
<file path=[Content_Types].xml><?xml version="1.0" encoding="utf-8"?>
<Types xmlns="http://schemas.openxmlformats.org/package/2006/content-types">
  <Default Extension="jpeg" ContentType="image/jpeg"/>
  <Default Extension="odttf" ContentType="application/vnd.openxmlformats-officedocument.obfuscatedFont"/>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ink/ink1.xml" ContentType="application/inkml+xml"/>
  <Override PartName="/word/footer3.xml" ContentType="application/vnd.openxmlformats-officedocument.wordprocessingml.foot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footer4.xml" ContentType="application/vnd.openxmlformats-officedocument.wordprocessingml.footer+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charts/chart8.xml" ContentType="application/vnd.openxmlformats-officedocument.drawingml.chart+xml"/>
  <Override PartName="/word/charts/style8.xml" ContentType="application/vnd.ms-office.chartstyle+xml"/>
  <Override PartName="/word/charts/colors8.xml" ContentType="application/vnd.ms-office.chartcolorstyle+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E895D8B" w14:textId="77777777" w:rsidR="00906DB9" w:rsidRPr="000F4607" w:rsidRDefault="00906DB9">
      <w:pPr>
        <w:rPr>
          <w:lang w:val="en-US"/>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shd w:val="clear" w:color="auto" w:fill="DDEEF3"/>
        <w:tblLook w:val="04A0" w:firstRow="1" w:lastRow="0" w:firstColumn="1" w:lastColumn="0" w:noHBand="0" w:noVBand="1"/>
      </w:tblPr>
      <w:tblGrid>
        <w:gridCol w:w="9020"/>
      </w:tblGrid>
      <w:tr w:rsidR="00F94A28" w:rsidRPr="00792B36" w14:paraId="2E60E312" w14:textId="77777777" w:rsidTr="003332A9">
        <w:tc>
          <w:tcPr>
            <w:tcW w:w="9350" w:type="dxa"/>
            <w:shd w:val="clear" w:color="auto" w:fill="DDEEF3"/>
          </w:tcPr>
          <w:p w14:paraId="4C17E4BA" w14:textId="33F5984C" w:rsidR="00906DB9" w:rsidRPr="00792B36" w:rsidRDefault="00906DB9" w:rsidP="00F94A28">
            <w:pPr>
              <w:spacing w:after="240" w:line="275" w:lineRule="auto"/>
              <w:jc w:val="center"/>
              <w:rPr>
                <w:b/>
                <w:bCs/>
                <w:color w:val="000000"/>
                <w:sz w:val="40"/>
                <w:szCs w:val="40"/>
              </w:rPr>
            </w:pPr>
            <w:r w:rsidRPr="00792B36">
              <w:rPr>
                <w:noProof/>
              </w:rPr>
              <w:drawing>
                <wp:anchor distT="0" distB="0" distL="114300" distR="114300" simplePos="0" relativeHeight="251664384" behindDoc="0" locked="0" layoutInCell="1" allowOverlap="1" wp14:anchorId="242EA04F" wp14:editId="4D5273F1">
                  <wp:simplePos x="0" y="0"/>
                  <wp:positionH relativeFrom="column">
                    <wp:posOffset>1807210</wp:posOffset>
                  </wp:positionH>
                  <wp:positionV relativeFrom="paragraph">
                    <wp:posOffset>62865</wp:posOffset>
                  </wp:positionV>
                  <wp:extent cx="2030095" cy="1173480"/>
                  <wp:effectExtent l="0" t="0" r="0" b="0"/>
                  <wp:wrapSquare wrapText="bothSides"/>
                  <wp:docPr id="720700411" name="Picture 17" descr="A logo of a marine and coastal resources company&#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87003886" name="Picture 17" descr="A logo of a marine and coastal resources company&#10;&#10;AI-generated content may be incorrect."/>
                          <pic:cNvPicPr/>
                        </pic:nvPicPr>
                        <pic:blipFill>
                          <a:blip r:embed="rId8">
                            <a:extLst>
                              <a:ext uri="{28A0092B-C50C-407E-A947-70E740481C1C}">
                                <a14:useLocalDpi xmlns:a14="http://schemas.microsoft.com/office/drawing/2010/main" val="0"/>
                              </a:ext>
                            </a:extLst>
                          </a:blip>
                          <a:stretch>
                            <a:fillRect/>
                          </a:stretch>
                        </pic:blipFill>
                        <pic:spPr>
                          <a:xfrm>
                            <a:off x="0" y="0"/>
                            <a:ext cx="2030095" cy="1173480"/>
                          </a:xfrm>
                          <a:prstGeom prst="rect">
                            <a:avLst/>
                          </a:prstGeom>
                        </pic:spPr>
                      </pic:pic>
                    </a:graphicData>
                  </a:graphic>
                  <wp14:sizeRelH relativeFrom="page">
                    <wp14:pctWidth>0</wp14:pctWidth>
                  </wp14:sizeRelH>
                  <wp14:sizeRelV relativeFrom="page">
                    <wp14:pctHeight>0</wp14:pctHeight>
                  </wp14:sizeRelV>
                </wp:anchor>
              </w:drawing>
            </w:r>
          </w:p>
          <w:p w14:paraId="7E7D400B" w14:textId="0A3F2831" w:rsidR="00906DB9" w:rsidRPr="00792B36" w:rsidRDefault="00906DB9" w:rsidP="00F94A28">
            <w:pPr>
              <w:spacing w:after="240" w:line="275" w:lineRule="auto"/>
              <w:jc w:val="center"/>
              <w:rPr>
                <w:b/>
                <w:bCs/>
                <w:color w:val="000000"/>
                <w:sz w:val="40"/>
                <w:szCs w:val="40"/>
              </w:rPr>
            </w:pPr>
          </w:p>
          <w:p w14:paraId="2611F3B9" w14:textId="77777777" w:rsidR="00906DB9" w:rsidRPr="00792B36" w:rsidRDefault="00906DB9" w:rsidP="00F94A28">
            <w:pPr>
              <w:spacing w:after="240" w:line="275" w:lineRule="auto"/>
              <w:jc w:val="center"/>
              <w:rPr>
                <w:b/>
                <w:bCs/>
                <w:color w:val="000000"/>
                <w:sz w:val="40"/>
                <w:szCs w:val="40"/>
              </w:rPr>
            </w:pPr>
          </w:p>
          <w:p w14:paraId="24846839" w14:textId="260EEFCB" w:rsidR="00F94A28" w:rsidRPr="00792B36" w:rsidRDefault="00F94A28" w:rsidP="00F94A28">
            <w:pPr>
              <w:spacing w:after="240" w:line="275" w:lineRule="auto"/>
              <w:jc w:val="center"/>
              <w:rPr>
                <w:b/>
                <w:bCs/>
                <w:color w:val="000000"/>
                <w:sz w:val="40"/>
                <w:szCs w:val="40"/>
              </w:rPr>
            </w:pPr>
            <w:r w:rsidRPr="00792B36">
              <w:rPr>
                <w:b/>
                <w:bCs/>
                <w:color w:val="000000"/>
                <w:sz w:val="40"/>
                <w:szCs w:val="40"/>
              </w:rPr>
              <w:t>National TDA-SAP Report: Thailand</w:t>
            </w:r>
          </w:p>
          <w:p w14:paraId="759453C3" w14:textId="7BF3882B" w:rsidR="00F94A28" w:rsidRPr="00792B36" w:rsidRDefault="00F94A28" w:rsidP="00906DB9">
            <w:pPr>
              <w:spacing w:after="240" w:line="275" w:lineRule="auto"/>
              <w:jc w:val="center"/>
              <w:rPr>
                <w:b/>
                <w:bCs/>
                <w:color w:val="000000"/>
                <w:sz w:val="32"/>
                <w:szCs w:val="32"/>
                <w:lang w:val="en-US"/>
              </w:rPr>
            </w:pPr>
            <w:r w:rsidRPr="00792B36">
              <w:rPr>
                <w:b/>
                <w:bCs/>
                <w:color w:val="000000"/>
                <w:sz w:val="32"/>
                <w:szCs w:val="32"/>
                <w:lang w:val="en-US"/>
              </w:rPr>
              <w:t xml:space="preserve">Implementing the Strategic Action </w:t>
            </w:r>
            <w:proofErr w:type="spellStart"/>
            <w:r w:rsidRPr="00792B36">
              <w:rPr>
                <w:b/>
                <w:bCs/>
                <w:color w:val="000000"/>
                <w:sz w:val="32"/>
                <w:szCs w:val="32"/>
                <w:lang w:val="en-US"/>
              </w:rPr>
              <w:t>Programme</w:t>
            </w:r>
            <w:proofErr w:type="spellEnd"/>
            <w:r w:rsidRPr="00792B36">
              <w:rPr>
                <w:b/>
                <w:bCs/>
                <w:color w:val="000000"/>
                <w:sz w:val="32"/>
                <w:szCs w:val="32"/>
                <w:lang w:val="en-US"/>
              </w:rPr>
              <w:t xml:space="preserve"> for the South China Sea and Gulf of Thailand (SCS SAP) Project</w:t>
            </w:r>
          </w:p>
          <w:p w14:paraId="5F588EF7" w14:textId="77777777" w:rsidR="005B164A" w:rsidRPr="00792B36" w:rsidRDefault="005B164A" w:rsidP="00906DB9">
            <w:pPr>
              <w:spacing w:after="240" w:line="275" w:lineRule="auto"/>
              <w:jc w:val="center"/>
              <w:rPr>
                <w:color w:val="000000"/>
                <w:sz w:val="32"/>
                <w:szCs w:val="32"/>
              </w:rPr>
            </w:pPr>
          </w:p>
          <w:p w14:paraId="6BB19B4D" w14:textId="78A835B8" w:rsidR="00F94A28" w:rsidRPr="00792B36" w:rsidRDefault="00F94A28" w:rsidP="00906DB9">
            <w:pPr>
              <w:spacing w:after="240" w:line="275" w:lineRule="auto"/>
              <w:jc w:val="center"/>
              <w:rPr>
                <w:color w:val="000000"/>
                <w:sz w:val="24"/>
                <w:szCs w:val="24"/>
                <w:lang w:val="en-US"/>
              </w:rPr>
            </w:pPr>
            <w:r w:rsidRPr="00792B36">
              <w:rPr>
                <w:noProof/>
                <w:color w:val="000000"/>
                <w:sz w:val="24"/>
                <w:szCs w:val="24"/>
                <w:lang w:val="en-US"/>
              </w:rPr>
              <w:drawing>
                <wp:inline distT="0" distB="0" distL="0" distR="0" wp14:anchorId="171BE4AA" wp14:editId="482BE4CA">
                  <wp:extent cx="4102612" cy="2827565"/>
                  <wp:effectExtent l="0" t="0" r="0" b="5080"/>
                  <wp:docPr id="82005408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20054089" name=""/>
                          <pic:cNvPicPr/>
                        </pic:nvPicPr>
                        <pic:blipFill rotWithShape="1">
                          <a:blip r:embed="rId9"/>
                          <a:srcRect l="11688" t="33777" r="11565" b="29135"/>
                          <a:stretch>
                            <a:fillRect/>
                          </a:stretch>
                        </pic:blipFill>
                        <pic:spPr bwMode="auto">
                          <a:xfrm>
                            <a:off x="0" y="0"/>
                            <a:ext cx="4137686" cy="2851738"/>
                          </a:xfrm>
                          <a:prstGeom prst="rect">
                            <a:avLst/>
                          </a:prstGeom>
                          <a:ln>
                            <a:noFill/>
                          </a:ln>
                          <a:extLst>
                            <a:ext uri="{53640926-AAD7-44D8-BBD7-CCE9431645EC}">
                              <a14:shadowObscured xmlns:a14="http://schemas.microsoft.com/office/drawing/2010/main"/>
                            </a:ext>
                          </a:extLst>
                        </pic:spPr>
                      </pic:pic>
                    </a:graphicData>
                  </a:graphic>
                </wp:inline>
              </w:drawing>
            </w:r>
          </w:p>
          <w:p w14:paraId="04267410" w14:textId="77777777" w:rsidR="00F94A28" w:rsidRPr="00792B36" w:rsidRDefault="00F94A28" w:rsidP="00F94A28">
            <w:pPr>
              <w:spacing w:after="240" w:line="275" w:lineRule="auto"/>
              <w:rPr>
                <w:color w:val="000000"/>
                <w:sz w:val="24"/>
                <w:szCs w:val="24"/>
                <w:lang w:val="en-US"/>
              </w:rPr>
            </w:pPr>
          </w:p>
          <w:p w14:paraId="5E383BF4" w14:textId="4974E374" w:rsidR="005B164A" w:rsidRPr="00792B36" w:rsidRDefault="005B164A" w:rsidP="00F94A28">
            <w:pPr>
              <w:spacing w:after="240" w:line="275" w:lineRule="auto"/>
              <w:rPr>
                <w:color w:val="000000"/>
                <w:sz w:val="24"/>
                <w:szCs w:val="24"/>
                <w:lang w:val="en-US"/>
              </w:rPr>
            </w:pPr>
          </w:p>
        </w:tc>
      </w:tr>
      <w:tr w:rsidR="00F94A28" w:rsidRPr="00792B36" w14:paraId="3BD9DDE6" w14:textId="77777777" w:rsidTr="003332A9">
        <w:tc>
          <w:tcPr>
            <w:tcW w:w="9350" w:type="dxa"/>
            <w:shd w:val="clear" w:color="auto" w:fill="DDEEF3"/>
            <w:vAlign w:val="center"/>
          </w:tcPr>
          <w:p w14:paraId="3F585C4D" w14:textId="54224D2F" w:rsidR="00F94A28" w:rsidRPr="00792B36" w:rsidRDefault="00906DB9" w:rsidP="00906DB9">
            <w:pPr>
              <w:spacing w:after="240" w:line="275" w:lineRule="auto"/>
              <w:jc w:val="center"/>
              <w:rPr>
                <w:b/>
                <w:bCs/>
                <w:color w:val="000000"/>
                <w:sz w:val="40"/>
                <w:szCs w:val="40"/>
              </w:rPr>
            </w:pPr>
            <w:r w:rsidRPr="00792B36">
              <w:rPr>
                <w:noProof/>
              </w:rPr>
              <w:drawing>
                <wp:anchor distT="0" distB="0" distL="114300" distR="114300" simplePos="0" relativeHeight="251658240" behindDoc="0" locked="0" layoutInCell="1" allowOverlap="1" wp14:anchorId="000974CF" wp14:editId="632938E9">
                  <wp:simplePos x="0" y="0"/>
                  <wp:positionH relativeFrom="column">
                    <wp:posOffset>3295015</wp:posOffset>
                  </wp:positionH>
                  <wp:positionV relativeFrom="paragraph">
                    <wp:posOffset>131445</wp:posOffset>
                  </wp:positionV>
                  <wp:extent cx="1860550" cy="459740"/>
                  <wp:effectExtent l="0" t="0" r="0" b="0"/>
                  <wp:wrapSquare wrapText="bothSides"/>
                  <wp:docPr id="1369687468" name="Picture 13" descr="A blue and black logo&#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34831172" name="Picture 13" descr="A blue and black logo&#10;&#10;AI-generated content may be incorrect."/>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1860550" cy="459740"/>
                          </a:xfrm>
                          <a:prstGeom prst="rect">
                            <a:avLst/>
                          </a:prstGeom>
                          <a:noFill/>
                          <a:ln>
                            <a:noFill/>
                          </a:ln>
                        </pic:spPr>
                      </pic:pic>
                    </a:graphicData>
                  </a:graphic>
                  <wp14:sizeRelH relativeFrom="page">
                    <wp14:pctWidth>0</wp14:pctWidth>
                  </wp14:sizeRelH>
                  <wp14:sizeRelV relativeFrom="page">
                    <wp14:pctHeight>0</wp14:pctHeight>
                  </wp14:sizeRelV>
                </wp:anchor>
              </w:drawing>
            </w:r>
            <w:r w:rsidRPr="00792B36">
              <w:rPr>
                <w:b/>
                <w:bCs/>
                <w:noProof/>
                <w:color w:val="000000"/>
                <w:sz w:val="40"/>
                <w:szCs w:val="40"/>
              </w:rPr>
              <w:drawing>
                <wp:anchor distT="0" distB="0" distL="114300" distR="114300" simplePos="0" relativeHeight="251659264" behindDoc="1" locked="0" layoutInCell="1" allowOverlap="1" wp14:anchorId="6AB074EB" wp14:editId="31C1C4F1">
                  <wp:simplePos x="0" y="0"/>
                  <wp:positionH relativeFrom="column">
                    <wp:posOffset>2741295</wp:posOffset>
                  </wp:positionH>
                  <wp:positionV relativeFrom="paragraph">
                    <wp:posOffset>42545</wp:posOffset>
                  </wp:positionV>
                  <wp:extent cx="447040" cy="597535"/>
                  <wp:effectExtent l="0" t="0" r="0" b="0"/>
                  <wp:wrapTight wrapText="bothSides">
                    <wp:wrapPolygon edited="0">
                      <wp:start x="6136" y="0"/>
                      <wp:lineTo x="2455" y="2755"/>
                      <wp:lineTo x="0" y="5509"/>
                      <wp:lineTo x="0" y="11936"/>
                      <wp:lineTo x="2455" y="15150"/>
                      <wp:lineTo x="1227" y="16986"/>
                      <wp:lineTo x="1841" y="20200"/>
                      <wp:lineTo x="6136" y="21118"/>
                      <wp:lineTo x="8591" y="21118"/>
                      <wp:lineTo x="12886" y="20659"/>
                      <wp:lineTo x="20250" y="16986"/>
                      <wp:lineTo x="20864" y="7804"/>
                      <wp:lineTo x="20864" y="1836"/>
                      <wp:lineTo x="14727" y="0"/>
                      <wp:lineTo x="6136" y="0"/>
                    </wp:wrapPolygon>
                  </wp:wrapTight>
                  <wp:docPr id="982607766" name="Picture 15" descr="A blue green and black logo&#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82607766" name="Picture 15" descr="A blue green and black logo&#10;&#10;AI-generated content may be incorrect."/>
                          <pic:cNvPicPr/>
                        </pic:nvPicPr>
                        <pic:blipFill>
                          <a:blip r:embed="rId11">
                            <a:extLst>
                              <a:ext uri="{28A0092B-C50C-407E-A947-70E740481C1C}">
                                <a14:useLocalDpi xmlns:a14="http://schemas.microsoft.com/office/drawing/2010/main" val="0"/>
                              </a:ext>
                            </a:extLst>
                          </a:blip>
                          <a:stretch>
                            <a:fillRect/>
                          </a:stretch>
                        </pic:blipFill>
                        <pic:spPr>
                          <a:xfrm>
                            <a:off x="0" y="0"/>
                            <a:ext cx="447040" cy="597535"/>
                          </a:xfrm>
                          <a:prstGeom prst="rect">
                            <a:avLst/>
                          </a:prstGeom>
                        </pic:spPr>
                      </pic:pic>
                    </a:graphicData>
                  </a:graphic>
                  <wp14:sizeRelH relativeFrom="page">
                    <wp14:pctWidth>0</wp14:pctWidth>
                  </wp14:sizeRelH>
                  <wp14:sizeRelV relativeFrom="page">
                    <wp14:pctHeight>0</wp14:pctHeight>
                  </wp14:sizeRelV>
                </wp:anchor>
              </w:drawing>
            </w:r>
            <w:r w:rsidRPr="00792B36">
              <w:rPr>
                <w:noProof/>
                <w:color w:val="000000"/>
                <w:sz w:val="24"/>
                <w:szCs w:val="24"/>
                <w:lang w:val="en-US"/>
              </w:rPr>
              <w:drawing>
                <wp:anchor distT="0" distB="0" distL="114300" distR="114300" simplePos="0" relativeHeight="251660288" behindDoc="0" locked="0" layoutInCell="1" allowOverlap="1" wp14:anchorId="11CC72EB" wp14:editId="250AB9D3">
                  <wp:simplePos x="0" y="0"/>
                  <wp:positionH relativeFrom="column">
                    <wp:posOffset>1862455</wp:posOffset>
                  </wp:positionH>
                  <wp:positionV relativeFrom="paragraph">
                    <wp:posOffset>20955</wp:posOffset>
                  </wp:positionV>
                  <wp:extent cx="669290" cy="669290"/>
                  <wp:effectExtent l="0" t="0" r="0" b="0"/>
                  <wp:wrapSquare wrapText="bothSides"/>
                  <wp:docPr id="1773059634" name="Picture 4" descr="A blue text on a black background&#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73059634" name="Picture 4" descr="A blue text on a black background&#10;&#10;AI-generated content may be incorrect."/>
                          <pic:cNvPicPr/>
                        </pic:nvPicPr>
                        <pic:blipFill>
                          <a:blip r:embed="rId12" cstate="print">
                            <a:extLst>
                              <a:ext uri="{28A0092B-C50C-407E-A947-70E740481C1C}">
                                <a14:useLocalDpi xmlns:a14="http://schemas.microsoft.com/office/drawing/2010/main" val="0"/>
                              </a:ext>
                            </a:extLst>
                          </a:blip>
                          <a:stretch>
                            <a:fillRect/>
                          </a:stretch>
                        </pic:blipFill>
                        <pic:spPr>
                          <a:xfrm>
                            <a:off x="0" y="0"/>
                            <a:ext cx="669290" cy="669290"/>
                          </a:xfrm>
                          <a:prstGeom prst="rect">
                            <a:avLst/>
                          </a:prstGeom>
                        </pic:spPr>
                      </pic:pic>
                    </a:graphicData>
                  </a:graphic>
                  <wp14:sizeRelH relativeFrom="page">
                    <wp14:pctWidth>0</wp14:pctWidth>
                  </wp14:sizeRelH>
                  <wp14:sizeRelV relativeFrom="page">
                    <wp14:pctHeight>0</wp14:pctHeight>
                  </wp14:sizeRelV>
                </wp:anchor>
              </w:drawing>
            </w:r>
            <w:r w:rsidRPr="00792B36">
              <w:rPr>
                <w:b/>
                <w:bCs/>
                <w:noProof/>
                <w:color w:val="000000"/>
                <w:sz w:val="40"/>
                <w:szCs w:val="40"/>
              </w:rPr>
              <w:drawing>
                <wp:anchor distT="0" distB="0" distL="114300" distR="114300" simplePos="0" relativeHeight="251661312" behindDoc="0" locked="0" layoutInCell="1" allowOverlap="1" wp14:anchorId="7BF30EF6" wp14:editId="2268AEE8">
                  <wp:simplePos x="0" y="0"/>
                  <wp:positionH relativeFrom="column">
                    <wp:posOffset>813435</wp:posOffset>
                  </wp:positionH>
                  <wp:positionV relativeFrom="paragraph">
                    <wp:posOffset>23495</wp:posOffset>
                  </wp:positionV>
                  <wp:extent cx="855980" cy="568325"/>
                  <wp:effectExtent l="0" t="0" r="0" b="3175"/>
                  <wp:wrapSquare wrapText="bothSides"/>
                  <wp:docPr id="1429636935" name="Picture 16" descr="A logo of a company&#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29636935" name="Picture 16" descr="A logo of a company&#10;&#10;AI-generated content may be incorrect."/>
                          <pic:cNvPicPr/>
                        </pic:nvPicPr>
                        <pic:blipFill>
                          <a:blip r:embed="rId13" cstate="print">
                            <a:extLst>
                              <a:ext uri="{28A0092B-C50C-407E-A947-70E740481C1C}">
                                <a14:useLocalDpi xmlns:a14="http://schemas.microsoft.com/office/drawing/2010/main" val="0"/>
                              </a:ext>
                            </a:extLst>
                          </a:blip>
                          <a:stretch>
                            <a:fillRect/>
                          </a:stretch>
                        </pic:blipFill>
                        <pic:spPr>
                          <a:xfrm>
                            <a:off x="0" y="0"/>
                            <a:ext cx="855980" cy="568325"/>
                          </a:xfrm>
                          <a:prstGeom prst="rect">
                            <a:avLst/>
                          </a:prstGeom>
                        </pic:spPr>
                      </pic:pic>
                    </a:graphicData>
                  </a:graphic>
                  <wp14:sizeRelH relativeFrom="page">
                    <wp14:pctWidth>0</wp14:pctWidth>
                  </wp14:sizeRelH>
                  <wp14:sizeRelV relativeFrom="page">
                    <wp14:pctHeight>0</wp14:pctHeight>
                  </wp14:sizeRelV>
                </wp:anchor>
              </w:drawing>
            </w:r>
          </w:p>
        </w:tc>
      </w:tr>
      <w:tr w:rsidR="00F94A28" w:rsidRPr="00792B36" w14:paraId="2043B0C9" w14:textId="77777777" w:rsidTr="003332A9">
        <w:tc>
          <w:tcPr>
            <w:tcW w:w="9350" w:type="dxa"/>
            <w:shd w:val="clear" w:color="auto" w:fill="DDEEF3"/>
          </w:tcPr>
          <w:p w14:paraId="1C51749E" w14:textId="77777777" w:rsidR="00906DB9" w:rsidRPr="00792B36" w:rsidRDefault="00906DB9" w:rsidP="00F94A28">
            <w:pPr>
              <w:spacing w:line="275" w:lineRule="auto"/>
              <w:jc w:val="center"/>
              <w:rPr>
                <w:b/>
                <w:bCs/>
                <w:color w:val="000000"/>
                <w:sz w:val="32"/>
                <w:szCs w:val="32"/>
                <w:lang w:val="en-US"/>
              </w:rPr>
            </w:pPr>
          </w:p>
          <w:p w14:paraId="2AF31D82" w14:textId="2E5C0C52" w:rsidR="00F94A28" w:rsidRPr="00792B36" w:rsidRDefault="00F94A28" w:rsidP="00F94A28">
            <w:pPr>
              <w:spacing w:line="275" w:lineRule="auto"/>
              <w:jc w:val="center"/>
              <w:rPr>
                <w:b/>
                <w:bCs/>
                <w:color w:val="000000"/>
                <w:sz w:val="32"/>
                <w:szCs w:val="32"/>
                <w:lang w:val="en-US"/>
              </w:rPr>
            </w:pPr>
            <w:r w:rsidRPr="00792B36">
              <w:rPr>
                <w:b/>
                <w:bCs/>
                <w:color w:val="000000"/>
                <w:sz w:val="32"/>
                <w:szCs w:val="32"/>
                <w:lang w:val="en-US"/>
              </w:rPr>
              <w:t>Department of Marine and Coastal Resources</w:t>
            </w:r>
          </w:p>
          <w:p w14:paraId="4BBFDDFE" w14:textId="77777777" w:rsidR="00F94A28" w:rsidRPr="00792B36" w:rsidRDefault="00F94A28" w:rsidP="00F94A28">
            <w:pPr>
              <w:spacing w:line="275" w:lineRule="auto"/>
              <w:jc w:val="center"/>
              <w:rPr>
                <w:b/>
                <w:bCs/>
                <w:color w:val="000000"/>
                <w:sz w:val="32"/>
                <w:szCs w:val="32"/>
                <w:lang w:val="en-US"/>
              </w:rPr>
            </w:pPr>
            <w:r w:rsidRPr="00792B36">
              <w:rPr>
                <w:b/>
                <w:bCs/>
                <w:color w:val="000000"/>
                <w:sz w:val="32"/>
                <w:szCs w:val="32"/>
                <w:lang w:val="en-US"/>
              </w:rPr>
              <w:t>Ministry of Natural Resources and Environment</w:t>
            </w:r>
          </w:p>
          <w:p w14:paraId="3A2B0AA2" w14:textId="54844B13" w:rsidR="00F94A28" w:rsidRPr="00792B36" w:rsidRDefault="00F94A28" w:rsidP="00906DB9">
            <w:pPr>
              <w:spacing w:line="275" w:lineRule="auto"/>
              <w:jc w:val="center"/>
              <w:rPr>
                <w:b/>
                <w:bCs/>
                <w:color w:val="000000"/>
                <w:sz w:val="32"/>
                <w:szCs w:val="32"/>
                <w:lang w:val="en-US"/>
              </w:rPr>
            </w:pPr>
            <w:r w:rsidRPr="00792B36">
              <w:rPr>
                <w:b/>
                <w:bCs/>
                <w:color w:val="000000"/>
                <w:sz w:val="32"/>
                <w:szCs w:val="32"/>
                <w:lang w:val="en-US"/>
              </w:rPr>
              <w:t>December 2025</w:t>
            </w:r>
          </w:p>
        </w:tc>
      </w:tr>
    </w:tbl>
    <w:p w14:paraId="55FF2451" w14:textId="29E282C6" w:rsidR="0009162B" w:rsidRPr="00792B36" w:rsidRDefault="00DE2E46" w:rsidP="0009162B">
      <w:pPr>
        <w:rPr>
          <w:b/>
          <w:bCs/>
          <w:sz w:val="24"/>
          <w:szCs w:val="24"/>
        </w:rPr>
      </w:pPr>
      <w:r w:rsidRPr="00792B36">
        <w:rPr>
          <w:b/>
          <w:bCs/>
          <w:sz w:val="24"/>
          <w:szCs w:val="24"/>
        </w:rPr>
        <w:lastRenderedPageBreak/>
        <w:t>List of National Authors</w:t>
      </w:r>
    </w:p>
    <w:p w14:paraId="0E8BF27E" w14:textId="77777777" w:rsidR="00DE2E46" w:rsidRPr="00792B36" w:rsidRDefault="00DE2E46" w:rsidP="0009162B">
      <w:pPr>
        <w:rPr>
          <w:szCs w:val="24"/>
        </w:rPr>
      </w:pPr>
    </w:p>
    <w:tbl>
      <w:tblPr>
        <w:tblStyle w:val="TableGridLight"/>
        <w:tblW w:w="5189" w:type="pct"/>
        <w:tblLook w:val="04A0" w:firstRow="1" w:lastRow="0" w:firstColumn="1" w:lastColumn="0" w:noHBand="0" w:noVBand="1"/>
      </w:tblPr>
      <w:tblGrid>
        <w:gridCol w:w="2808"/>
        <w:gridCol w:w="3254"/>
        <w:gridCol w:w="3289"/>
      </w:tblGrid>
      <w:tr w:rsidR="00C41C3F" w:rsidRPr="00792B36" w14:paraId="541F8E1B" w14:textId="10C9810F" w:rsidTr="00C41C3F">
        <w:trPr>
          <w:trHeight w:val="567"/>
        </w:trPr>
        <w:tc>
          <w:tcPr>
            <w:tcW w:w="1678" w:type="pct"/>
            <w:vAlign w:val="center"/>
            <w:hideMark/>
          </w:tcPr>
          <w:p w14:paraId="38210F51" w14:textId="77777777" w:rsidR="00B80FD9" w:rsidRPr="00792B36" w:rsidRDefault="00B80FD9" w:rsidP="00B80FD9">
            <w:pPr>
              <w:jc w:val="center"/>
              <w:rPr>
                <w:rFonts w:eastAsia="Times New Roman"/>
                <w:b/>
                <w:bCs/>
                <w:color w:val="1F1F1F"/>
              </w:rPr>
            </w:pPr>
            <w:r w:rsidRPr="00792B36">
              <w:rPr>
                <w:rFonts w:eastAsia="Times New Roman"/>
                <w:b/>
                <w:bCs/>
                <w:color w:val="1F1F1F"/>
                <w:bdr w:val="none" w:sz="0" w:space="0" w:color="auto" w:frame="1"/>
              </w:rPr>
              <w:t>Name</w:t>
            </w:r>
          </w:p>
        </w:tc>
        <w:tc>
          <w:tcPr>
            <w:tcW w:w="1916" w:type="pct"/>
            <w:vAlign w:val="center"/>
            <w:hideMark/>
          </w:tcPr>
          <w:p w14:paraId="675572BC" w14:textId="48CB6719" w:rsidR="00B80FD9" w:rsidRPr="00792B36" w:rsidRDefault="00B80FD9" w:rsidP="00B80FD9">
            <w:pPr>
              <w:jc w:val="center"/>
              <w:rPr>
                <w:rFonts w:eastAsia="Times New Roman"/>
                <w:b/>
                <w:bCs/>
                <w:color w:val="1F1F1F"/>
              </w:rPr>
            </w:pPr>
            <w:r w:rsidRPr="00792B36">
              <w:rPr>
                <w:rFonts w:eastAsia="Times New Roman"/>
                <w:b/>
                <w:bCs/>
                <w:color w:val="1F1F1F"/>
                <w:bdr w:val="none" w:sz="0" w:space="0" w:color="auto" w:frame="1"/>
              </w:rPr>
              <w:t>Position and Agency</w:t>
            </w:r>
          </w:p>
        </w:tc>
        <w:tc>
          <w:tcPr>
            <w:tcW w:w="1406" w:type="pct"/>
            <w:vAlign w:val="center"/>
          </w:tcPr>
          <w:p w14:paraId="1D68E701" w14:textId="744DD74D" w:rsidR="00B80FD9" w:rsidRPr="00792B36" w:rsidRDefault="00B80FD9" w:rsidP="00B80FD9">
            <w:pPr>
              <w:jc w:val="center"/>
              <w:rPr>
                <w:rFonts w:eastAsia="Times New Roman"/>
                <w:b/>
                <w:bCs/>
                <w:color w:val="1F1F1F"/>
                <w:bdr w:val="none" w:sz="0" w:space="0" w:color="auto" w:frame="1"/>
              </w:rPr>
            </w:pPr>
            <w:r w:rsidRPr="00792B36">
              <w:rPr>
                <w:rFonts w:eastAsia="Times New Roman"/>
                <w:b/>
                <w:bCs/>
                <w:color w:val="1F1F1F"/>
                <w:bdr w:val="none" w:sz="0" w:space="0" w:color="auto" w:frame="1"/>
              </w:rPr>
              <w:t>Email</w:t>
            </w:r>
          </w:p>
        </w:tc>
      </w:tr>
      <w:tr w:rsidR="00C41C3F" w:rsidRPr="00792B36" w14:paraId="691D5E84" w14:textId="5C72E0F0" w:rsidTr="00C41C3F">
        <w:trPr>
          <w:trHeight w:val="567"/>
        </w:trPr>
        <w:tc>
          <w:tcPr>
            <w:tcW w:w="1678" w:type="pct"/>
          </w:tcPr>
          <w:p w14:paraId="4C66FEB4" w14:textId="77777777" w:rsidR="00B80FD9" w:rsidRPr="00792B36" w:rsidRDefault="00B80FD9" w:rsidP="0096560E">
            <w:pPr>
              <w:rPr>
                <w:rFonts w:eastAsia="Times New Roman"/>
                <w:color w:val="1F1F1F"/>
                <w:bdr w:val="none" w:sz="0" w:space="0" w:color="auto" w:frame="1"/>
              </w:rPr>
            </w:pPr>
            <w:r w:rsidRPr="00792B36">
              <w:rPr>
                <w:rFonts w:eastAsia="Times New Roman"/>
                <w:color w:val="1F1F1F"/>
                <w:bdr w:val="none" w:sz="0" w:space="0" w:color="auto" w:frame="1"/>
              </w:rPr>
              <w:t xml:space="preserve">Monissa Srisomwong, PhD </w:t>
            </w:r>
          </w:p>
          <w:p w14:paraId="6D33DC38" w14:textId="77777777" w:rsidR="00B80FD9" w:rsidRPr="00792B36" w:rsidRDefault="00B80FD9" w:rsidP="0096560E">
            <w:pPr>
              <w:rPr>
                <w:rFonts w:eastAsia="Times New Roman"/>
                <w:color w:val="1F1F1F"/>
                <w:bdr w:val="none" w:sz="0" w:space="0" w:color="auto" w:frame="1"/>
              </w:rPr>
            </w:pPr>
          </w:p>
          <w:p w14:paraId="2D4D73DF" w14:textId="26462CDD" w:rsidR="00B80FD9" w:rsidRPr="00792B36" w:rsidRDefault="00B80FD9" w:rsidP="0096560E">
            <w:pPr>
              <w:rPr>
                <w:rFonts w:eastAsia="Times New Roman"/>
                <w:color w:val="1F1F1F"/>
                <w:bdr w:val="none" w:sz="0" w:space="0" w:color="auto" w:frame="1"/>
              </w:rPr>
            </w:pPr>
            <w:r w:rsidRPr="00792B36">
              <w:rPr>
                <w:rFonts w:eastAsia="Times New Roman"/>
                <w:color w:val="1F1F1F"/>
                <w:bdr w:val="none" w:sz="0" w:space="0" w:color="auto" w:frame="1"/>
              </w:rPr>
              <w:t>National TDA-SAP Expert on Socioeconomics</w:t>
            </w:r>
            <w:r w:rsidRPr="00792B36">
              <w:rPr>
                <w:rFonts w:eastAsia="Times New Roman"/>
                <w:bdr w:val="none" w:sz="0" w:space="0" w:color="auto" w:frame="1"/>
              </w:rPr>
              <w:t>s and Climate-Related Threats</w:t>
            </w:r>
          </w:p>
        </w:tc>
        <w:tc>
          <w:tcPr>
            <w:tcW w:w="1916" w:type="pct"/>
          </w:tcPr>
          <w:p w14:paraId="7A01A80E" w14:textId="77777777" w:rsidR="00C41C3F" w:rsidRPr="00792B36" w:rsidRDefault="00B80FD9" w:rsidP="0096560E">
            <w:pPr>
              <w:rPr>
                <w:rFonts w:eastAsia="Times New Roman"/>
                <w:color w:val="1F1F1F"/>
                <w:bdr w:val="none" w:sz="0" w:space="0" w:color="auto" w:frame="1"/>
              </w:rPr>
            </w:pPr>
            <w:r w:rsidRPr="00792B36">
              <w:rPr>
                <w:rFonts w:eastAsia="Times New Roman"/>
                <w:color w:val="1F1F1F"/>
                <w:bdr w:val="none" w:sz="0" w:space="0" w:color="auto" w:frame="1"/>
              </w:rPr>
              <w:t>Asst. Prof</w:t>
            </w:r>
            <w:r w:rsidR="00C41C3F" w:rsidRPr="00792B36">
              <w:rPr>
                <w:rFonts w:eastAsia="Times New Roman"/>
                <w:color w:val="1F1F1F"/>
                <w:bdr w:val="none" w:sz="0" w:space="0" w:color="auto" w:frame="1"/>
              </w:rPr>
              <w:t xml:space="preserve">. </w:t>
            </w:r>
          </w:p>
          <w:p w14:paraId="0F6303FD" w14:textId="7BA16737" w:rsidR="00B80FD9" w:rsidRPr="00792B36" w:rsidRDefault="00B80FD9" w:rsidP="0096560E">
            <w:pPr>
              <w:rPr>
                <w:rFonts w:eastAsia="Times New Roman"/>
                <w:color w:val="1F1F1F"/>
                <w:bdr w:val="none" w:sz="0" w:space="0" w:color="auto" w:frame="1"/>
              </w:rPr>
            </w:pPr>
            <w:r w:rsidRPr="00792B36">
              <w:rPr>
                <w:rFonts w:eastAsia="Times New Roman"/>
                <w:color w:val="1F1F1F"/>
                <w:bdr w:val="none" w:sz="0" w:space="0" w:color="auto" w:frame="1"/>
              </w:rPr>
              <w:t xml:space="preserve">Department of Fishery Management, Faculty of Fisheries, Kasetsart University </w:t>
            </w:r>
          </w:p>
          <w:p w14:paraId="649CA972" w14:textId="7228E4EA" w:rsidR="00B80FD9" w:rsidRPr="00792B36" w:rsidRDefault="00B80FD9" w:rsidP="0096560E">
            <w:pPr>
              <w:rPr>
                <w:rFonts w:eastAsia="Times New Roman"/>
                <w:color w:val="1F1F1F"/>
                <w:bdr w:val="none" w:sz="0" w:space="0" w:color="auto" w:frame="1"/>
              </w:rPr>
            </w:pPr>
          </w:p>
        </w:tc>
        <w:tc>
          <w:tcPr>
            <w:tcW w:w="1406" w:type="pct"/>
          </w:tcPr>
          <w:p w14:paraId="3E2C2D48" w14:textId="7CE8EE9F" w:rsidR="00B80FD9" w:rsidRPr="00792B36" w:rsidRDefault="00C41C3F" w:rsidP="0096560E">
            <w:pPr>
              <w:rPr>
                <w:rFonts w:eastAsia="Times New Roman"/>
                <w:color w:val="1F1F1F"/>
                <w:bdr w:val="none" w:sz="0" w:space="0" w:color="auto" w:frame="1"/>
              </w:rPr>
            </w:pPr>
            <w:hyperlink r:id="rId14" w:history="1">
              <w:r w:rsidRPr="00792B36">
                <w:rPr>
                  <w:rStyle w:val="Hyperlink"/>
                </w:rPr>
                <w:t>ffisjts@ku.ac.th</w:t>
              </w:r>
            </w:hyperlink>
          </w:p>
        </w:tc>
      </w:tr>
      <w:tr w:rsidR="00C41C3F" w:rsidRPr="00792B36" w14:paraId="0ADF8052" w14:textId="3FD1F1AE" w:rsidTr="00C41C3F">
        <w:trPr>
          <w:trHeight w:val="567"/>
        </w:trPr>
        <w:tc>
          <w:tcPr>
            <w:tcW w:w="1678" w:type="pct"/>
          </w:tcPr>
          <w:p w14:paraId="034F1810" w14:textId="77777777" w:rsidR="00B80FD9" w:rsidRPr="00792B36" w:rsidRDefault="00B80FD9" w:rsidP="0096560E">
            <w:pPr>
              <w:rPr>
                <w:rFonts w:eastAsia="Times New Roman"/>
                <w:color w:val="1F1F1F"/>
                <w:bdr w:val="none" w:sz="0" w:space="0" w:color="auto" w:frame="1"/>
              </w:rPr>
            </w:pPr>
            <w:r w:rsidRPr="00792B36">
              <w:rPr>
                <w:rFonts w:eastAsia="Times New Roman"/>
                <w:color w:val="1F1F1F"/>
                <w:bdr w:val="none" w:sz="0" w:space="0" w:color="auto" w:frame="1"/>
              </w:rPr>
              <w:t xml:space="preserve">Wilawan Thanatemaneerat, PhD </w:t>
            </w:r>
          </w:p>
          <w:p w14:paraId="1052F5A2" w14:textId="77777777" w:rsidR="00B80FD9" w:rsidRPr="00792B36" w:rsidRDefault="00B80FD9" w:rsidP="0096560E">
            <w:pPr>
              <w:rPr>
                <w:rFonts w:eastAsia="Times New Roman"/>
                <w:color w:val="1F1F1F"/>
                <w:bdr w:val="none" w:sz="0" w:space="0" w:color="auto" w:frame="1"/>
              </w:rPr>
            </w:pPr>
          </w:p>
          <w:p w14:paraId="26BFE192" w14:textId="0C5ABEB6" w:rsidR="00B80FD9" w:rsidRPr="00792B36" w:rsidRDefault="00B80FD9" w:rsidP="0096560E">
            <w:pPr>
              <w:rPr>
                <w:rFonts w:eastAsia="Times New Roman"/>
                <w:color w:val="1F1F1F"/>
                <w:bdr w:val="none" w:sz="0" w:space="0" w:color="auto" w:frame="1"/>
              </w:rPr>
            </w:pPr>
            <w:r w:rsidRPr="00792B36">
              <w:rPr>
                <w:rFonts w:eastAsia="Times New Roman"/>
                <w:color w:val="1F1F1F"/>
                <w:bdr w:val="none" w:sz="0" w:space="0" w:color="auto" w:frame="1"/>
              </w:rPr>
              <w:t>National TDA-SAP Expert on Pollution</w:t>
            </w:r>
          </w:p>
        </w:tc>
        <w:tc>
          <w:tcPr>
            <w:tcW w:w="1916" w:type="pct"/>
          </w:tcPr>
          <w:p w14:paraId="78A96E58" w14:textId="77777777" w:rsidR="00C41C3F" w:rsidRPr="00792B36" w:rsidRDefault="00B80FD9" w:rsidP="0096560E">
            <w:pPr>
              <w:rPr>
                <w:rFonts w:eastAsia="Times New Roman"/>
                <w:color w:val="1F1F1F"/>
                <w:bdr w:val="none" w:sz="0" w:space="0" w:color="auto" w:frame="1"/>
              </w:rPr>
            </w:pPr>
            <w:r w:rsidRPr="00792B36">
              <w:rPr>
                <w:rFonts w:eastAsia="Times New Roman"/>
                <w:color w:val="1F1F1F"/>
                <w:bdr w:val="none" w:sz="0" w:space="0" w:color="auto" w:frame="1"/>
              </w:rPr>
              <w:t xml:space="preserve">Environmentalists Senior Professional Level </w:t>
            </w:r>
          </w:p>
          <w:p w14:paraId="2A3D5BEE" w14:textId="09FAE17F" w:rsidR="00B80FD9" w:rsidRPr="00792B36" w:rsidRDefault="00B80FD9" w:rsidP="0096560E">
            <w:pPr>
              <w:rPr>
                <w:rFonts w:eastAsia="Times New Roman"/>
                <w:color w:val="1F1F1F"/>
                <w:bdr w:val="none" w:sz="0" w:space="0" w:color="auto" w:frame="1"/>
              </w:rPr>
            </w:pPr>
            <w:r w:rsidRPr="00792B36">
              <w:rPr>
                <w:rFonts w:eastAsia="Times New Roman"/>
                <w:color w:val="1F1F1F"/>
                <w:bdr w:val="none" w:sz="0" w:space="0" w:color="auto" w:frame="1"/>
              </w:rPr>
              <w:t xml:space="preserve">Pollution Control Department </w:t>
            </w:r>
          </w:p>
          <w:p w14:paraId="0EFC94A7" w14:textId="12CC68A2" w:rsidR="00B80FD9" w:rsidRPr="00792B36" w:rsidRDefault="00B80FD9" w:rsidP="0096560E">
            <w:pPr>
              <w:rPr>
                <w:rFonts w:eastAsia="Times New Roman"/>
                <w:color w:val="1F1F1F"/>
                <w:bdr w:val="none" w:sz="0" w:space="0" w:color="auto" w:frame="1"/>
              </w:rPr>
            </w:pPr>
          </w:p>
        </w:tc>
        <w:tc>
          <w:tcPr>
            <w:tcW w:w="1406" w:type="pct"/>
          </w:tcPr>
          <w:p w14:paraId="743187D5" w14:textId="6C2F1B20" w:rsidR="00B80FD9" w:rsidRPr="00792B36" w:rsidRDefault="00C41C3F" w:rsidP="0096560E">
            <w:pPr>
              <w:rPr>
                <w:rFonts w:eastAsia="Times New Roman"/>
                <w:color w:val="1F1F1F"/>
                <w:bdr w:val="none" w:sz="0" w:space="0" w:color="auto" w:frame="1"/>
              </w:rPr>
            </w:pPr>
            <w:hyperlink r:id="rId15" w:history="1">
              <w:r w:rsidRPr="00792B36">
                <w:rPr>
                  <w:rStyle w:val="Hyperlink"/>
                </w:rPr>
                <w:t>aristrotle@gmail.com</w:t>
              </w:r>
            </w:hyperlink>
          </w:p>
        </w:tc>
      </w:tr>
      <w:tr w:rsidR="00C41C3F" w:rsidRPr="00792B36" w14:paraId="7BE3939A" w14:textId="2B34FE9A" w:rsidTr="00C41C3F">
        <w:trPr>
          <w:trHeight w:val="567"/>
        </w:trPr>
        <w:tc>
          <w:tcPr>
            <w:tcW w:w="1678" w:type="pct"/>
          </w:tcPr>
          <w:p w14:paraId="2C783875" w14:textId="77777777" w:rsidR="00B80FD9" w:rsidRPr="00792B36" w:rsidRDefault="00B80FD9" w:rsidP="0096560E">
            <w:pPr>
              <w:rPr>
                <w:rFonts w:eastAsia="Times New Roman"/>
                <w:color w:val="1F1F1F"/>
                <w:bdr w:val="none" w:sz="0" w:space="0" w:color="auto" w:frame="1"/>
              </w:rPr>
            </w:pPr>
            <w:r w:rsidRPr="00792B36">
              <w:rPr>
                <w:rFonts w:eastAsia="Times New Roman"/>
                <w:color w:val="1F1F1F"/>
                <w:bdr w:val="none" w:sz="0" w:space="0" w:color="auto" w:frame="1"/>
              </w:rPr>
              <w:t xml:space="preserve">Thamasak Yeemin, PhD </w:t>
            </w:r>
          </w:p>
          <w:p w14:paraId="6B90FD75" w14:textId="77777777" w:rsidR="00B80FD9" w:rsidRPr="00792B36" w:rsidRDefault="00B80FD9" w:rsidP="0096560E">
            <w:pPr>
              <w:rPr>
                <w:rFonts w:eastAsia="Times New Roman"/>
                <w:color w:val="1F1F1F"/>
                <w:bdr w:val="none" w:sz="0" w:space="0" w:color="auto" w:frame="1"/>
              </w:rPr>
            </w:pPr>
          </w:p>
          <w:p w14:paraId="3B4A7F5D" w14:textId="1B1ABB52" w:rsidR="00B80FD9" w:rsidRPr="00792B36" w:rsidRDefault="00B80FD9" w:rsidP="0096560E">
            <w:pPr>
              <w:rPr>
                <w:rFonts w:eastAsia="Times New Roman"/>
                <w:color w:val="1F1F1F"/>
                <w:bdr w:val="none" w:sz="0" w:space="0" w:color="auto" w:frame="1"/>
              </w:rPr>
            </w:pPr>
            <w:r w:rsidRPr="00792B36">
              <w:rPr>
                <w:rFonts w:eastAsia="Times New Roman"/>
                <w:color w:val="1F1F1F"/>
                <w:bdr w:val="none" w:sz="0" w:space="0" w:color="auto" w:frame="1"/>
              </w:rPr>
              <w:t>National TDA-SAP Expert on Ecosystems</w:t>
            </w:r>
          </w:p>
        </w:tc>
        <w:tc>
          <w:tcPr>
            <w:tcW w:w="1916" w:type="pct"/>
          </w:tcPr>
          <w:p w14:paraId="147661CA" w14:textId="77777777" w:rsidR="00C41C3F" w:rsidRPr="00792B36" w:rsidRDefault="00B80FD9" w:rsidP="0096560E">
            <w:pPr>
              <w:rPr>
                <w:rFonts w:eastAsia="Times New Roman"/>
                <w:color w:val="1F1F1F"/>
                <w:bdr w:val="none" w:sz="0" w:space="0" w:color="auto" w:frame="1"/>
              </w:rPr>
            </w:pPr>
            <w:r w:rsidRPr="00792B36">
              <w:rPr>
                <w:rFonts w:eastAsia="Times New Roman"/>
                <w:color w:val="1F1F1F"/>
                <w:bdr w:val="none" w:sz="0" w:space="0" w:color="auto" w:frame="1"/>
              </w:rPr>
              <w:t>Assoc. Prof</w:t>
            </w:r>
            <w:r w:rsidR="00C41C3F" w:rsidRPr="00792B36">
              <w:rPr>
                <w:rFonts w:eastAsia="Times New Roman"/>
                <w:color w:val="1F1F1F"/>
                <w:bdr w:val="none" w:sz="0" w:space="0" w:color="auto" w:frame="1"/>
              </w:rPr>
              <w:t xml:space="preserve">. </w:t>
            </w:r>
          </w:p>
          <w:p w14:paraId="72D648A6" w14:textId="231C6C60" w:rsidR="00C41C3F" w:rsidRPr="00792B36" w:rsidRDefault="00B80FD9" w:rsidP="0096560E">
            <w:pPr>
              <w:rPr>
                <w:rFonts w:eastAsia="Times New Roman"/>
                <w:color w:val="1F1F1F"/>
                <w:bdr w:val="none" w:sz="0" w:space="0" w:color="auto" w:frame="1"/>
              </w:rPr>
            </w:pPr>
            <w:r w:rsidRPr="00792B36">
              <w:rPr>
                <w:rFonts w:eastAsia="Times New Roman"/>
                <w:color w:val="1F1F1F"/>
                <w:bdr w:val="none" w:sz="0" w:space="0" w:color="auto" w:frame="1"/>
              </w:rPr>
              <w:t>Department of Biology</w:t>
            </w:r>
          </w:p>
          <w:p w14:paraId="3404E7C1" w14:textId="171A9BC3" w:rsidR="00B80FD9" w:rsidRPr="00792B36" w:rsidRDefault="00B80FD9" w:rsidP="0096560E">
            <w:pPr>
              <w:rPr>
                <w:rFonts w:eastAsia="Times New Roman"/>
                <w:color w:val="1F1F1F"/>
                <w:bdr w:val="none" w:sz="0" w:space="0" w:color="auto" w:frame="1"/>
              </w:rPr>
            </w:pPr>
            <w:r w:rsidRPr="00792B36">
              <w:rPr>
                <w:rFonts w:eastAsia="Times New Roman"/>
                <w:color w:val="1F1F1F"/>
                <w:bdr w:val="none" w:sz="0" w:space="0" w:color="auto" w:frame="1"/>
              </w:rPr>
              <w:t>Faculty of Science, Ramkhamhaeng University</w:t>
            </w:r>
          </w:p>
          <w:p w14:paraId="3B3BB034" w14:textId="77567798" w:rsidR="00B80FD9" w:rsidRPr="00792B36" w:rsidRDefault="00B80FD9" w:rsidP="0096560E">
            <w:pPr>
              <w:rPr>
                <w:rFonts w:eastAsia="Times New Roman"/>
                <w:color w:val="1F1F1F"/>
                <w:bdr w:val="none" w:sz="0" w:space="0" w:color="auto" w:frame="1"/>
              </w:rPr>
            </w:pPr>
          </w:p>
        </w:tc>
        <w:tc>
          <w:tcPr>
            <w:tcW w:w="1406" w:type="pct"/>
          </w:tcPr>
          <w:p w14:paraId="2B1815F7" w14:textId="4E20BCA6" w:rsidR="00B80FD9" w:rsidRPr="00792B36" w:rsidRDefault="00C41C3F" w:rsidP="0096560E">
            <w:pPr>
              <w:rPr>
                <w:rFonts w:eastAsia="Times New Roman"/>
                <w:color w:val="1F1F1F"/>
                <w:bdr w:val="none" w:sz="0" w:space="0" w:color="auto" w:frame="1"/>
              </w:rPr>
            </w:pPr>
            <w:hyperlink r:id="rId16" w:history="1">
              <w:r w:rsidRPr="00792B36">
                <w:rPr>
                  <w:rStyle w:val="Hyperlink"/>
                </w:rPr>
                <w:t>thamasakyeemin@hotmail.com</w:t>
              </w:r>
            </w:hyperlink>
          </w:p>
        </w:tc>
      </w:tr>
      <w:tr w:rsidR="00C41C3F" w:rsidRPr="00792B36" w14:paraId="5DB1C3B8" w14:textId="560F6B29" w:rsidTr="00C41C3F">
        <w:trPr>
          <w:trHeight w:val="567"/>
        </w:trPr>
        <w:tc>
          <w:tcPr>
            <w:tcW w:w="1678" w:type="pct"/>
          </w:tcPr>
          <w:p w14:paraId="4638E24B" w14:textId="77777777" w:rsidR="00B80FD9" w:rsidRPr="00792B36" w:rsidRDefault="00B80FD9" w:rsidP="0096560E">
            <w:pPr>
              <w:rPr>
                <w:rFonts w:eastAsia="Times New Roman"/>
                <w:color w:val="1F1F1F"/>
                <w:bdr w:val="none" w:sz="0" w:space="0" w:color="auto" w:frame="1"/>
              </w:rPr>
            </w:pPr>
            <w:r w:rsidRPr="00792B36">
              <w:rPr>
                <w:rFonts w:eastAsia="Times New Roman"/>
                <w:color w:val="1F1F1F"/>
                <w:bdr w:val="none" w:sz="0" w:space="0" w:color="auto" w:frame="1"/>
              </w:rPr>
              <w:t xml:space="preserve">Pavarot Noranarttragoon, PhD </w:t>
            </w:r>
          </w:p>
          <w:p w14:paraId="44621A50" w14:textId="77777777" w:rsidR="00B80FD9" w:rsidRPr="00792B36" w:rsidRDefault="00B80FD9" w:rsidP="0096560E">
            <w:pPr>
              <w:rPr>
                <w:rFonts w:eastAsia="Times New Roman"/>
                <w:color w:val="1F1F1F"/>
                <w:bdr w:val="none" w:sz="0" w:space="0" w:color="auto" w:frame="1"/>
              </w:rPr>
            </w:pPr>
          </w:p>
          <w:p w14:paraId="64A27D8B" w14:textId="0F4E2806" w:rsidR="00B80FD9" w:rsidRPr="00792B36" w:rsidRDefault="00B80FD9" w:rsidP="0096560E">
            <w:pPr>
              <w:rPr>
                <w:rFonts w:eastAsia="Times New Roman"/>
                <w:color w:val="1F1F1F"/>
                <w:bdr w:val="none" w:sz="0" w:space="0" w:color="auto" w:frame="1"/>
              </w:rPr>
            </w:pPr>
            <w:r w:rsidRPr="00792B36">
              <w:rPr>
                <w:rFonts w:eastAsia="Times New Roman"/>
                <w:color w:val="1F1F1F"/>
                <w:bdr w:val="none" w:sz="0" w:space="0" w:color="auto" w:frame="1"/>
              </w:rPr>
              <w:t>National TDA-SAP Expert on Fisheries</w:t>
            </w:r>
          </w:p>
        </w:tc>
        <w:tc>
          <w:tcPr>
            <w:tcW w:w="1916" w:type="pct"/>
          </w:tcPr>
          <w:p w14:paraId="2907FBE8" w14:textId="6D25B2C7" w:rsidR="00C41C3F" w:rsidRPr="00792B36" w:rsidRDefault="00B80FD9" w:rsidP="0096560E">
            <w:pPr>
              <w:rPr>
                <w:rFonts w:eastAsia="Times New Roman"/>
                <w:color w:val="1F1F1F"/>
                <w:bdr w:val="none" w:sz="0" w:space="0" w:color="auto" w:frame="1"/>
              </w:rPr>
            </w:pPr>
            <w:r w:rsidRPr="00792B36">
              <w:rPr>
                <w:rFonts w:eastAsia="Times New Roman"/>
                <w:color w:val="1F1F1F"/>
                <w:bdr w:val="none" w:sz="0" w:space="0" w:color="auto" w:frame="1"/>
              </w:rPr>
              <w:t>Senior Expert on Marine Fisheries</w:t>
            </w:r>
          </w:p>
          <w:p w14:paraId="48B72E6A" w14:textId="71C8378C" w:rsidR="00B80FD9" w:rsidRPr="00792B36" w:rsidRDefault="00B80FD9" w:rsidP="0096560E">
            <w:pPr>
              <w:rPr>
                <w:rFonts w:eastAsia="Times New Roman"/>
                <w:color w:val="1F1F1F"/>
                <w:bdr w:val="none" w:sz="0" w:space="0" w:color="auto" w:frame="1"/>
              </w:rPr>
            </w:pPr>
            <w:r w:rsidRPr="00792B36">
              <w:rPr>
                <w:rFonts w:eastAsia="Times New Roman"/>
                <w:color w:val="1F1F1F"/>
                <w:bdr w:val="none" w:sz="0" w:space="0" w:color="auto" w:frame="1"/>
              </w:rPr>
              <w:t xml:space="preserve">Department of Fisheries </w:t>
            </w:r>
          </w:p>
          <w:p w14:paraId="367C6815" w14:textId="065BC23F" w:rsidR="00B80FD9" w:rsidRPr="00792B36" w:rsidRDefault="00B80FD9" w:rsidP="0096560E">
            <w:pPr>
              <w:rPr>
                <w:rFonts w:eastAsia="Times New Roman"/>
                <w:color w:val="1F1F1F"/>
                <w:bdr w:val="none" w:sz="0" w:space="0" w:color="auto" w:frame="1"/>
              </w:rPr>
            </w:pPr>
          </w:p>
        </w:tc>
        <w:tc>
          <w:tcPr>
            <w:tcW w:w="1406" w:type="pct"/>
          </w:tcPr>
          <w:p w14:paraId="288EFA35" w14:textId="275D4A12" w:rsidR="00B80FD9" w:rsidRPr="00792B36" w:rsidRDefault="00C41C3F" w:rsidP="0096560E">
            <w:pPr>
              <w:rPr>
                <w:rFonts w:eastAsia="Times New Roman"/>
                <w:color w:val="1F1F1F"/>
                <w:bdr w:val="none" w:sz="0" w:space="0" w:color="auto" w:frame="1"/>
              </w:rPr>
            </w:pPr>
            <w:hyperlink r:id="rId17" w:history="1">
              <w:r w:rsidRPr="00792B36">
                <w:rPr>
                  <w:rStyle w:val="Hyperlink"/>
                </w:rPr>
                <w:t>pavarotn@gmail.com</w:t>
              </w:r>
            </w:hyperlink>
            <w:r w:rsidRPr="00792B36">
              <w:t xml:space="preserve"> </w:t>
            </w:r>
          </w:p>
        </w:tc>
      </w:tr>
      <w:tr w:rsidR="00C41C3F" w:rsidRPr="00792B36" w14:paraId="454F5F37" w14:textId="102195D4" w:rsidTr="00C41C3F">
        <w:trPr>
          <w:trHeight w:val="567"/>
        </w:trPr>
        <w:tc>
          <w:tcPr>
            <w:tcW w:w="1678" w:type="pct"/>
          </w:tcPr>
          <w:p w14:paraId="31AA5ACA" w14:textId="77777777" w:rsidR="00B80FD9" w:rsidRPr="00792B36" w:rsidRDefault="00B80FD9" w:rsidP="0096560E">
            <w:pPr>
              <w:rPr>
                <w:rFonts w:eastAsia="Times New Roman"/>
                <w:color w:val="1F1F1F"/>
                <w:bdr w:val="none" w:sz="0" w:space="0" w:color="auto" w:frame="1"/>
              </w:rPr>
            </w:pPr>
            <w:r w:rsidRPr="00792B36">
              <w:rPr>
                <w:rFonts w:eastAsia="Times New Roman"/>
                <w:color w:val="1F1F1F"/>
                <w:bdr w:val="none" w:sz="0" w:space="0" w:color="auto" w:frame="1"/>
              </w:rPr>
              <w:t xml:space="preserve">Suvaluck Satumanatpan, PhD </w:t>
            </w:r>
          </w:p>
          <w:p w14:paraId="4AA03CF7" w14:textId="77777777" w:rsidR="00B80FD9" w:rsidRPr="00792B36" w:rsidRDefault="00B80FD9" w:rsidP="0096560E">
            <w:pPr>
              <w:rPr>
                <w:rFonts w:eastAsia="Times New Roman"/>
                <w:color w:val="1F1F1F"/>
                <w:bdr w:val="none" w:sz="0" w:space="0" w:color="auto" w:frame="1"/>
              </w:rPr>
            </w:pPr>
          </w:p>
          <w:p w14:paraId="07AE5EBC" w14:textId="6F69D86A" w:rsidR="00B80FD9" w:rsidRPr="00792B36" w:rsidRDefault="00B80FD9" w:rsidP="0096560E">
            <w:pPr>
              <w:rPr>
                <w:rFonts w:eastAsia="Times New Roman"/>
                <w:color w:val="1F1F1F"/>
                <w:bdr w:val="none" w:sz="0" w:space="0" w:color="auto" w:frame="1"/>
              </w:rPr>
            </w:pPr>
            <w:r w:rsidRPr="00792B36">
              <w:rPr>
                <w:rFonts w:eastAsia="Times New Roman"/>
                <w:color w:val="1F1F1F"/>
                <w:bdr w:val="none" w:sz="0" w:space="0" w:color="auto" w:frame="1"/>
              </w:rPr>
              <w:t>National TDA-SAP Expert on Governance</w:t>
            </w:r>
          </w:p>
        </w:tc>
        <w:tc>
          <w:tcPr>
            <w:tcW w:w="1916" w:type="pct"/>
          </w:tcPr>
          <w:p w14:paraId="48D62120" w14:textId="77777777" w:rsidR="00C41C3F" w:rsidRPr="00792B36" w:rsidRDefault="00B80FD9" w:rsidP="0096560E">
            <w:pPr>
              <w:rPr>
                <w:rFonts w:eastAsia="Times New Roman"/>
                <w:color w:val="1F1F1F"/>
                <w:bdr w:val="none" w:sz="0" w:space="0" w:color="auto" w:frame="1"/>
              </w:rPr>
            </w:pPr>
            <w:r w:rsidRPr="00792B36">
              <w:rPr>
                <w:rFonts w:eastAsia="Times New Roman"/>
                <w:color w:val="1F1F1F"/>
                <w:bdr w:val="none" w:sz="0" w:space="0" w:color="auto" w:frame="1"/>
              </w:rPr>
              <w:t>Prof</w:t>
            </w:r>
            <w:r w:rsidR="00C41C3F" w:rsidRPr="00792B36">
              <w:rPr>
                <w:rFonts w:eastAsia="Times New Roman"/>
                <w:color w:val="1F1F1F"/>
                <w:bdr w:val="none" w:sz="0" w:space="0" w:color="auto" w:frame="1"/>
              </w:rPr>
              <w:t>.</w:t>
            </w:r>
          </w:p>
          <w:p w14:paraId="598E1282" w14:textId="50F066CA" w:rsidR="00C41C3F" w:rsidRPr="00792B36" w:rsidRDefault="00B80FD9" w:rsidP="0096560E">
            <w:pPr>
              <w:rPr>
                <w:rFonts w:eastAsia="Times New Roman"/>
                <w:color w:val="1F1F1F"/>
                <w:bdr w:val="none" w:sz="0" w:space="0" w:color="auto" w:frame="1"/>
              </w:rPr>
            </w:pPr>
            <w:r w:rsidRPr="00792B36">
              <w:rPr>
                <w:rFonts w:eastAsia="Times New Roman"/>
                <w:color w:val="1F1F1F"/>
                <w:bdr w:val="none" w:sz="0" w:space="0" w:color="auto" w:frame="1"/>
              </w:rPr>
              <w:t>Faculty of Environment and Resou</w:t>
            </w:r>
            <w:r w:rsidR="00792B36" w:rsidRPr="00792B36">
              <w:rPr>
                <w:rFonts w:eastAsia="Times New Roman"/>
                <w:color w:val="1F1F1F"/>
                <w:bdr w:val="none" w:sz="0" w:space="0" w:color="auto" w:frame="1"/>
              </w:rPr>
              <w:t>r</w:t>
            </w:r>
            <w:r w:rsidRPr="00792B36">
              <w:rPr>
                <w:rFonts w:eastAsia="Times New Roman"/>
                <w:color w:val="1F1F1F"/>
                <w:bdr w:val="none" w:sz="0" w:space="0" w:color="auto" w:frame="1"/>
              </w:rPr>
              <w:t>ce Studies</w:t>
            </w:r>
          </w:p>
          <w:p w14:paraId="4775138F" w14:textId="6D867046" w:rsidR="00B80FD9" w:rsidRPr="00792B36" w:rsidRDefault="00B80FD9" w:rsidP="0096560E">
            <w:pPr>
              <w:rPr>
                <w:rFonts w:eastAsia="Times New Roman"/>
                <w:color w:val="1F1F1F"/>
                <w:bdr w:val="none" w:sz="0" w:space="0" w:color="auto" w:frame="1"/>
              </w:rPr>
            </w:pPr>
            <w:r w:rsidRPr="00792B36">
              <w:rPr>
                <w:rFonts w:eastAsia="Times New Roman"/>
                <w:color w:val="1F1F1F"/>
                <w:bdr w:val="none" w:sz="0" w:space="0" w:color="auto" w:frame="1"/>
              </w:rPr>
              <w:t xml:space="preserve">Mahidol University </w:t>
            </w:r>
          </w:p>
          <w:p w14:paraId="717C36CE" w14:textId="5F9EE976" w:rsidR="00B80FD9" w:rsidRPr="00792B36" w:rsidRDefault="00B80FD9" w:rsidP="0096560E">
            <w:pPr>
              <w:rPr>
                <w:rFonts w:eastAsia="Times New Roman"/>
                <w:color w:val="1F1F1F"/>
                <w:bdr w:val="none" w:sz="0" w:space="0" w:color="auto" w:frame="1"/>
              </w:rPr>
            </w:pPr>
          </w:p>
        </w:tc>
        <w:tc>
          <w:tcPr>
            <w:tcW w:w="1406" w:type="pct"/>
          </w:tcPr>
          <w:p w14:paraId="737D9FEF" w14:textId="504CC475" w:rsidR="00B80FD9" w:rsidRPr="00792B36" w:rsidRDefault="00C41C3F" w:rsidP="0096560E">
            <w:pPr>
              <w:rPr>
                <w:rFonts w:eastAsia="Times New Roman"/>
                <w:color w:val="1F1F1F"/>
                <w:bdr w:val="none" w:sz="0" w:space="0" w:color="auto" w:frame="1"/>
              </w:rPr>
            </w:pPr>
            <w:hyperlink r:id="rId18" w:history="1">
              <w:r w:rsidRPr="00792B36">
                <w:rPr>
                  <w:rStyle w:val="Hyperlink"/>
                </w:rPr>
                <w:t>suvaluck.nat@mahidol.ac.th</w:t>
              </w:r>
            </w:hyperlink>
          </w:p>
        </w:tc>
      </w:tr>
    </w:tbl>
    <w:p w14:paraId="06C1031B" w14:textId="77777777" w:rsidR="000A613A" w:rsidRPr="00792B36" w:rsidRDefault="000A613A" w:rsidP="0009162B"/>
    <w:p w14:paraId="771B56BF" w14:textId="77777777" w:rsidR="000A613A" w:rsidRPr="00792B36" w:rsidRDefault="000A613A" w:rsidP="0009162B"/>
    <w:p w14:paraId="04A851D5" w14:textId="77777777" w:rsidR="000A613A" w:rsidRPr="00792B36" w:rsidRDefault="000A613A" w:rsidP="0009162B"/>
    <w:p w14:paraId="7469E6A0" w14:textId="77777777" w:rsidR="000A613A" w:rsidRPr="00792B36" w:rsidRDefault="000A613A" w:rsidP="0009162B"/>
    <w:p w14:paraId="2286E80F" w14:textId="77777777" w:rsidR="000A613A" w:rsidRPr="00792B36" w:rsidRDefault="000A613A" w:rsidP="0009162B"/>
    <w:p w14:paraId="7A1F49D2" w14:textId="77777777" w:rsidR="000A613A" w:rsidRPr="00792B36" w:rsidRDefault="000A613A" w:rsidP="0009162B"/>
    <w:p w14:paraId="39B615EA" w14:textId="77777777" w:rsidR="00DE2E46" w:rsidRPr="00792B36" w:rsidRDefault="00DE2E46" w:rsidP="0009162B"/>
    <w:p w14:paraId="028C2134" w14:textId="77777777" w:rsidR="00DE2E46" w:rsidRPr="00792B36" w:rsidRDefault="00DE2E46" w:rsidP="0009162B"/>
    <w:p w14:paraId="1058AEAE" w14:textId="77777777" w:rsidR="00DE2E46" w:rsidRPr="00792B36" w:rsidRDefault="00DE2E46" w:rsidP="0009162B"/>
    <w:p w14:paraId="58AF4982" w14:textId="77777777" w:rsidR="00DE2E46" w:rsidRPr="00792B36" w:rsidRDefault="00DE2E46" w:rsidP="0009162B"/>
    <w:p w14:paraId="4333D862" w14:textId="77777777" w:rsidR="00DE2E46" w:rsidRPr="00792B36" w:rsidRDefault="00DE2E46" w:rsidP="0009162B"/>
    <w:p w14:paraId="3D14188D" w14:textId="77777777" w:rsidR="00DE2E46" w:rsidRPr="00792B36" w:rsidRDefault="00DE2E46" w:rsidP="0009162B"/>
    <w:p w14:paraId="326212EB" w14:textId="77777777" w:rsidR="00DE2E46" w:rsidRPr="00792B36" w:rsidRDefault="00DE2E46" w:rsidP="0009162B"/>
    <w:p w14:paraId="0221BAE1" w14:textId="77777777" w:rsidR="00DE2E46" w:rsidRPr="00792B36" w:rsidRDefault="00DE2E46" w:rsidP="0009162B"/>
    <w:p w14:paraId="386A2F9A" w14:textId="77777777" w:rsidR="00DE2E46" w:rsidRPr="00792B36" w:rsidRDefault="00DE2E46" w:rsidP="0009162B"/>
    <w:p w14:paraId="0DDC8C2B" w14:textId="77777777" w:rsidR="00DE2E46" w:rsidRPr="00792B36" w:rsidRDefault="00DE2E46" w:rsidP="0009162B"/>
    <w:p w14:paraId="73593E9F" w14:textId="77777777" w:rsidR="00DE2E46" w:rsidRPr="00792B36" w:rsidRDefault="00DE2E46" w:rsidP="0009162B"/>
    <w:p w14:paraId="216670D0" w14:textId="77777777" w:rsidR="00DE2E46" w:rsidRPr="00792B36" w:rsidRDefault="00DE2E46" w:rsidP="0009162B"/>
    <w:p w14:paraId="6C57E933" w14:textId="77777777" w:rsidR="00DE2E46" w:rsidRPr="00792B36" w:rsidRDefault="00DE2E46" w:rsidP="0009162B"/>
    <w:p w14:paraId="5075E368" w14:textId="77777777" w:rsidR="00DE2E46" w:rsidRPr="00792B36" w:rsidRDefault="00DE2E46" w:rsidP="0009162B"/>
    <w:p w14:paraId="3DB1E39A" w14:textId="77777777" w:rsidR="00DE2E46" w:rsidRPr="00792B36" w:rsidRDefault="00DE2E46" w:rsidP="0009162B"/>
    <w:p w14:paraId="06BF0BBD" w14:textId="77777777" w:rsidR="00C25E58" w:rsidRPr="00792B36" w:rsidRDefault="00C25E58" w:rsidP="0009162B"/>
    <w:p w14:paraId="1C71BC16" w14:textId="77777777" w:rsidR="00C25E58" w:rsidRPr="00792B36" w:rsidRDefault="00C25E58" w:rsidP="0009162B"/>
    <w:p w14:paraId="643C8598" w14:textId="77777777" w:rsidR="00C25E58" w:rsidRPr="00792B36" w:rsidRDefault="00C25E58" w:rsidP="0009162B"/>
    <w:p w14:paraId="03DD9B5C" w14:textId="77777777" w:rsidR="000A613A" w:rsidRPr="00792B36" w:rsidRDefault="000A613A" w:rsidP="0009162B"/>
    <w:p w14:paraId="5C090D83" w14:textId="77777777" w:rsidR="00DA144D" w:rsidRPr="00792B36" w:rsidRDefault="000A613A" w:rsidP="0009162B">
      <w:pPr>
        <w:rPr>
          <w:b/>
          <w:bCs/>
          <w:sz w:val="24"/>
          <w:szCs w:val="24"/>
        </w:rPr>
      </w:pPr>
      <w:r w:rsidRPr="00792B36">
        <w:rPr>
          <w:b/>
          <w:bCs/>
          <w:sz w:val="24"/>
          <w:szCs w:val="24"/>
        </w:rPr>
        <w:t>Contributing In</w:t>
      </w:r>
      <w:r w:rsidR="00DA144D" w:rsidRPr="00792B36">
        <w:rPr>
          <w:b/>
          <w:bCs/>
          <w:sz w:val="24"/>
          <w:szCs w:val="24"/>
        </w:rPr>
        <w:t>stitutions</w:t>
      </w:r>
    </w:p>
    <w:p w14:paraId="0E2708E3" w14:textId="77777777" w:rsidR="00DA144D" w:rsidRPr="00792B36" w:rsidRDefault="00DA144D" w:rsidP="0009162B">
      <w:pPr>
        <w:rPr>
          <w:b/>
          <w:bCs/>
          <w:sz w:val="24"/>
          <w:szCs w:val="24"/>
        </w:rPr>
      </w:pPr>
    </w:p>
    <w:tbl>
      <w:tblPr>
        <w:tblStyle w:val="TableGridLight"/>
        <w:tblW w:w="5000" w:type="pct"/>
        <w:tblLook w:val="04A0" w:firstRow="1" w:lastRow="0" w:firstColumn="1" w:lastColumn="0" w:noHBand="0" w:noVBand="1"/>
      </w:tblPr>
      <w:tblGrid>
        <w:gridCol w:w="4101"/>
        <w:gridCol w:w="4909"/>
      </w:tblGrid>
      <w:tr w:rsidR="00DA144D" w:rsidRPr="00792B36" w14:paraId="606001DB" w14:textId="77777777" w:rsidTr="00DA144D">
        <w:trPr>
          <w:trHeight w:val="567"/>
        </w:trPr>
        <w:tc>
          <w:tcPr>
            <w:tcW w:w="2253" w:type="pct"/>
          </w:tcPr>
          <w:p w14:paraId="0A8CA647" w14:textId="77777777" w:rsidR="00DA144D" w:rsidRPr="00792B36" w:rsidRDefault="00DA144D" w:rsidP="00A24459">
            <w:pPr>
              <w:rPr>
                <w:rFonts w:eastAsia="Times New Roman"/>
                <w:b/>
                <w:bCs/>
                <w:color w:val="1F1F1F"/>
                <w:bdr w:val="none" w:sz="0" w:space="0" w:color="auto" w:frame="1"/>
              </w:rPr>
            </w:pPr>
            <w:r w:rsidRPr="00792B36">
              <w:rPr>
                <w:b/>
                <w:bCs/>
              </w:rPr>
              <w:t>Contributing Author</w:t>
            </w:r>
          </w:p>
        </w:tc>
        <w:tc>
          <w:tcPr>
            <w:tcW w:w="2697" w:type="pct"/>
          </w:tcPr>
          <w:p w14:paraId="50D3974B" w14:textId="77777777" w:rsidR="00DA144D" w:rsidRPr="00792B36" w:rsidRDefault="00DA144D" w:rsidP="00A24459">
            <w:pPr>
              <w:rPr>
                <w:rFonts w:eastAsia="Times New Roman"/>
                <w:b/>
                <w:bCs/>
                <w:color w:val="1F1F1F"/>
                <w:bdr w:val="none" w:sz="0" w:space="0" w:color="auto" w:frame="1"/>
              </w:rPr>
            </w:pPr>
          </w:p>
        </w:tc>
      </w:tr>
      <w:tr w:rsidR="00DA144D" w:rsidRPr="00792B36" w14:paraId="6AB34DA8" w14:textId="77777777" w:rsidTr="00DA144D">
        <w:trPr>
          <w:trHeight w:val="567"/>
        </w:trPr>
        <w:tc>
          <w:tcPr>
            <w:tcW w:w="2253" w:type="pct"/>
          </w:tcPr>
          <w:p w14:paraId="5E341C7A" w14:textId="77777777" w:rsidR="00DA144D" w:rsidRPr="00792B36" w:rsidRDefault="00DA144D" w:rsidP="00A24459">
            <w:pPr>
              <w:rPr>
                <w:rFonts w:eastAsia="Times New Roman"/>
                <w:color w:val="000000" w:themeColor="text1"/>
                <w:bdr w:val="none" w:sz="0" w:space="0" w:color="auto" w:frame="1"/>
              </w:rPr>
            </w:pPr>
            <w:r w:rsidRPr="00792B36">
              <w:rPr>
                <w:color w:val="000000" w:themeColor="text1"/>
              </w:rPr>
              <w:t>Suwimol Sereepaowong</w:t>
            </w:r>
          </w:p>
        </w:tc>
        <w:tc>
          <w:tcPr>
            <w:tcW w:w="2697" w:type="pct"/>
          </w:tcPr>
          <w:p w14:paraId="10356012" w14:textId="77777777" w:rsidR="00DA144D" w:rsidRPr="00792B36" w:rsidRDefault="00DA144D" w:rsidP="00A24459">
            <w:pPr>
              <w:rPr>
                <w:rFonts w:eastAsia="Times New Roman"/>
                <w:color w:val="000000" w:themeColor="text1"/>
                <w:bdr w:val="none" w:sz="0" w:space="0" w:color="auto" w:frame="1"/>
              </w:rPr>
            </w:pPr>
            <w:r w:rsidRPr="00792B36">
              <w:rPr>
                <w:color w:val="000000" w:themeColor="text1"/>
                <w:shd w:val="clear" w:color="auto" w:fill="FFFFFF"/>
              </w:rPr>
              <w:t>National Coordinator-Project Management Specialist, SCS SAP Project</w:t>
            </w:r>
          </w:p>
        </w:tc>
      </w:tr>
      <w:tr w:rsidR="00DA144D" w:rsidRPr="00792B36" w14:paraId="3014AE70" w14:textId="77777777" w:rsidTr="00DA144D">
        <w:trPr>
          <w:trHeight w:val="567"/>
        </w:trPr>
        <w:tc>
          <w:tcPr>
            <w:tcW w:w="2253" w:type="pct"/>
          </w:tcPr>
          <w:p w14:paraId="7BB70BEE" w14:textId="77777777" w:rsidR="00DA144D" w:rsidRPr="00792B36" w:rsidRDefault="00DA144D" w:rsidP="00A24459">
            <w:pPr>
              <w:rPr>
                <w:rFonts w:eastAsia="Times New Roman"/>
                <w:b/>
                <w:bCs/>
                <w:color w:val="1F1F1F"/>
                <w:bdr w:val="none" w:sz="0" w:space="0" w:color="auto" w:frame="1"/>
              </w:rPr>
            </w:pPr>
            <w:r w:rsidRPr="00792B36">
              <w:rPr>
                <w:rFonts w:eastAsia="Times New Roman"/>
                <w:b/>
                <w:bCs/>
                <w:color w:val="1F1F1F"/>
                <w:bdr w:val="none" w:sz="0" w:space="0" w:color="auto" w:frame="1"/>
              </w:rPr>
              <w:t xml:space="preserve">TDA Coordinators </w:t>
            </w:r>
          </w:p>
        </w:tc>
        <w:tc>
          <w:tcPr>
            <w:tcW w:w="2697" w:type="pct"/>
          </w:tcPr>
          <w:p w14:paraId="3851AADD" w14:textId="77777777" w:rsidR="00DA144D" w:rsidRPr="00792B36" w:rsidRDefault="00DA144D" w:rsidP="00A24459">
            <w:pPr>
              <w:rPr>
                <w:rFonts w:eastAsia="Times New Roman"/>
                <w:b/>
                <w:bCs/>
                <w:color w:val="1F1F1F"/>
                <w:bdr w:val="none" w:sz="0" w:space="0" w:color="auto" w:frame="1"/>
              </w:rPr>
            </w:pPr>
          </w:p>
        </w:tc>
      </w:tr>
      <w:tr w:rsidR="00DA144D" w:rsidRPr="00792B36" w14:paraId="5DDCFE98" w14:textId="77777777" w:rsidTr="00DA144D">
        <w:trPr>
          <w:trHeight w:val="567"/>
        </w:trPr>
        <w:tc>
          <w:tcPr>
            <w:tcW w:w="2253" w:type="pct"/>
          </w:tcPr>
          <w:p w14:paraId="2474C379" w14:textId="77777777" w:rsidR="00DA144D" w:rsidRPr="00792B36" w:rsidRDefault="00DA144D" w:rsidP="00A24459">
            <w:pPr>
              <w:rPr>
                <w:rFonts w:eastAsia="Times New Roman"/>
                <w:color w:val="1F1F1F"/>
                <w:bdr w:val="none" w:sz="0" w:space="0" w:color="auto" w:frame="1"/>
              </w:rPr>
            </w:pPr>
            <w:r w:rsidRPr="00792B36">
              <w:rPr>
                <w:color w:val="1F1F1F"/>
                <w:bdr w:val="none" w:sz="0" w:space="0" w:color="auto" w:frame="1"/>
              </w:rPr>
              <w:t>Varin Vongpanich</w:t>
            </w:r>
          </w:p>
        </w:tc>
        <w:tc>
          <w:tcPr>
            <w:tcW w:w="2697" w:type="pct"/>
          </w:tcPr>
          <w:p w14:paraId="2E7BC90F" w14:textId="77777777" w:rsidR="00DA144D" w:rsidRPr="00792B36" w:rsidRDefault="00DA144D" w:rsidP="00A24459">
            <w:pPr>
              <w:rPr>
                <w:rFonts w:eastAsia="Times New Roman"/>
                <w:color w:val="1F1F1F"/>
                <w:bdr w:val="none" w:sz="0" w:space="0" w:color="auto" w:frame="1"/>
              </w:rPr>
            </w:pPr>
            <w:r w:rsidRPr="00792B36">
              <w:rPr>
                <w:rStyle w:val="citation-493"/>
                <w:color w:val="1F1F1F"/>
                <w:bdr w:val="none" w:sz="0" w:space="0" w:color="auto" w:frame="1"/>
              </w:rPr>
              <w:t xml:space="preserve">Biodiversity Expert, Department of Marine and Coastal Resources (DMCR) </w:t>
            </w:r>
          </w:p>
        </w:tc>
      </w:tr>
      <w:tr w:rsidR="00DA144D" w:rsidRPr="00792B36" w14:paraId="23860908" w14:textId="77777777" w:rsidTr="00DA144D">
        <w:trPr>
          <w:trHeight w:val="567"/>
        </w:trPr>
        <w:tc>
          <w:tcPr>
            <w:tcW w:w="2253" w:type="pct"/>
          </w:tcPr>
          <w:p w14:paraId="021FE543" w14:textId="77777777" w:rsidR="00DA144D" w:rsidRPr="00792B36" w:rsidRDefault="00DA144D" w:rsidP="00A24459">
            <w:pPr>
              <w:rPr>
                <w:rFonts w:eastAsia="Times New Roman"/>
                <w:color w:val="1F1F1F"/>
                <w:bdr w:val="none" w:sz="0" w:space="0" w:color="auto" w:frame="1"/>
              </w:rPr>
            </w:pPr>
            <w:r w:rsidRPr="00792B36">
              <w:rPr>
                <w:color w:val="1F1F1F"/>
                <w:bdr w:val="none" w:sz="0" w:space="0" w:color="auto" w:frame="1"/>
              </w:rPr>
              <w:t>Chanokphon Jantharakhantee</w:t>
            </w:r>
          </w:p>
        </w:tc>
        <w:tc>
          <w:tcPr>
            <w:tcW w:w="2697" w:type="pct"/>
          </w:tcPr>
          <w:p w14:paraId="670E1D47" w14:textId="00E105EB" w:rsidR="00DA144D" w:rsidRPr="00792B36" w:rsidRDefault="00DA144D" w:rsidP="00A24459">
            <w:pPr>
              <w:rPr>
                <w:color w:val="1F1F1F"/>
                <w:bdr w:val="none" w:sz="0" w:space="0" w:color="auto" w:frame="1"/>
              </w:rPr>
            </w:pPr>
            <w:r w:rsidRPr="00792B36">
              <w:rPr>
                <w:rStyle w:val="citation-492"/>
                <w:color w:val="1F1F1F"/>
                <w:bdr w:val="none" w:sz="0" w:space="0" w:color="auto" w:frame="1"/>
              </w:rPr>
              <w:t xml:space="preserve">Fishery Biologist (Senior Professional Level), DMCR </w:t>
            </w:r>
          </w:p>
        </w:tc>
      </w:tr>
      <w:tr w:rsidR="0009162B" w:rsidRPr="00792B36" w14:paraId="7006B07A" w14:textId="77777777" w:rsidTr="00DA144D">
        <w:trPr>
          <w:trHeight w:val="567"/>
        </w:trPr>
        <w:tc>
          <w:tcPr>
            <w:tcW w:w="2253" w:type="pct"/>
          </w:tcPr>
          <w:p w14:paraId="3A7CEF75" w14:textId="77777777" w:rsidR="0009162B" w:rsidRPr="00792B36" w:rsidRDefault="0009162B" w:rsidP="0096560E">
            <w:pPr>
              <w:rPr>
                <w:b/>
                <w:bCs/>
                <w:color w:val="1F1F1F"/>
                <w:bdr w:val="none" w:sz="0" w:space="0" w:color="auto" w:frame="1"/>
              </w:rPr>
            </w:pPr>
            <w:r w:rsidRPr="00792B36">
              <w:rPr>
                <w:b/>
                <w:bCs/>
                <w:color w:val="1F1F1F"/>
                <w:bdr w:val="none" w:sz="0" w:space="0" w:color="auto" w:frame="1"/>
              </w:rPr>
              <w:t xml:space="preserve">Reviewers </w:t>
            </w:r>
          </w:p>
        </w:tc>
        <w:tc>
          <w:tcPr>
            <w:tcW w:w="2697" w:type="pct"/>
          </w:tcPr>
          <w:p w14:paraId="65FB2D53" w14:textId="77777777" w:rsidR="0009162B" w:rsidRPr="00792B36" w:rsidRDefault="0009162B" w:rsidP="0096560E">
            <w:pPr>
              <w:rPr>
                <w:rStyle w:val="citation-491"/>
                <w:color w:val="1F1F1F"/>
                <w:bdr w:val="none" w:sz="0" w:space="0" w:color="auto" w:frame="1"/>
              </w:rPr>
            </w:pPr>
          </w:p>
        </w:tc>
      </w:tr>
      <w:tr w:rsidR="0009162B" w:rsidRPr="00792B36" w14:paraId="46A73F0F" w14:textId="77777777" w:rsidTr="00DA144D">
        <w:trPr>
          <w:trHeight w:val="567"/>
        </w:trPr>
        <w:tc>
          <w:tcPr>
            <w:tcW w:w="2253" w:type="pct"/>
          </w:tcPr>
          <w:p w14:paraId="4BAD24AB" w14:textId="77777777" w:rsidR="0009162B" w:rsidRPr="00792B36" w:rsidRDefault="0009162B" w:rsidP="0096560E">
            <w:pPr>
              <w:rPr>
                <w:rFonts w:eastAsia="Times New Roman"/>
                <w:color w:val="1F1F1F"/>
                <w:bdr w:val="none" w:sz="0" w:space="0" w:color="auto" w:frame="1"/>
              </w:rPr>
            </w:pPr>
            <w:r w:rsidRPr="00792B36">
              <w:rPr>
                <w:color w:val="1F1F1F"/>
                <w:bdr w:val="none" w:sz="0" w:space="0" w:color="auto" w:frame="1"/>
              </w:rPr>
              <w:t>Ukkrit Satapoomin</w:t>
            </w:r>
          </w:p>
        </w:tc>
        <w:tc>
          <w:tcPr>
            <w:tcW w:w="2697" w:type="pct"/>
          </w:tcPr>
          <w:p w14:paraId="4C64809F" w14:textId="77777777" w:rsidR="0009162B" w:rsidRPr="00792B36" w:rsidRDefault="0009162B" w:rsidP="0096560E">
            <w:pPr>
              <w:rPr>
                <w:rFonts w:eastAsia="Times New Roman"/>
                <w:color w:val="1F1F1F"/>
                <w:bdr w:val="none" w:sz="0" w:space="0" w:color="auto" w:frame="1"/>
              </w:rPr>
            </w:pPr>
            <w:r w:rsidRPr="00792B36">
              <w:rPr>
                <w:rStyle w:val="citation-491"/>
                <w:color w:val="1F1F1F"/>
                <w:bdr w:val="none" w:sz="0" w:space="0" w:color="auto" w:frame="1"/>
              </w:rPr>
              <w:t xml:space="preserve">Deputy Director General, Department of Marine and Coastal Resources </w:t>
            </w:r>
          </w:p>
        </w:tc>
      </w:tr>
      <w:tr w:rsidR="0009162B" w:rsidRPr="00792B36" w14:paraId="21746EDB" w14:textId="77777777" w:rsidTr="00DA144D">
        <w:trPr>
          <w:trHeight w:val="567"/>
        </w:trPr>
        <w:tc>
          <w:tcPr>
            <w:tcW w:w="2253" w:type="pct"/>
          </w:tcPr>
          <w:p w14:paraId="192B007D" w14:textId="77777777" w:rsidR="0009162B" w:rsidRPr="00792B36" w:rsidRDefault="0009162B" w:rsidP="0096560E">
            <w:pPr>
              <w:rPr>
                <w:rFonts w:eastAsia="Times New Roman"/>
                <w:color w:val="1F1F1F"/>
                <w:bdr w:val="none" w:sz="0" w:space="0" w:color="auto" w:frame="1"/>
              </w:rPr>
            </w:pPr>
            <w:r w:rsidRPr="00792B36">
              <w:rPr>
                <w:color w:val="1F1F1F"/>
                <w:bdr w:val="none" w:sz="0" w:space="0" w:color="auto" w:frame="1"/>
              </w:rPr>
              <w:t>Sumana Kajonwattanakul</w:t>
            </w:r>
          </w:p>
        </w:tc>
        <w:tc>
          <w:tcPr>
            <w:tcW w:w="2697" w:type="pct"/>
          </w:tcPr>
          <w:p w14:paraId="21BE6D51" w14:textId="77777777" w:rsidR="0009162B" w:rsidRPr="00792B36" w:rsidRDefault="0009162B" w:rsidP="0096560E">
            <w:pPr>
              <w:rPr>
                <w:rFonts w:eastAsia="Times New Roman"/>
                <w:color w:val="1F1F1F"/>
                <w:bdr w:val="none" w:sz="0" w:space="0" w:color="auto" w:frame="1"/>
              </w:rPr>
            </w:pPr>
            <w:r w:rsidRPr="00792B36">
              <w:rPr>
                <w:rStyle w:val="citation-490"/>
                <w:color w:val="1F1F1F"/>
                <w:bdr w:val="none" w:sz="0" w:space="0" w:color="auto" w:frame="1"/>
              </w:rPr>
              <w:t xml:space="preserve">Director, Marine and Coastal Resources Research and Development Institute </w:t>
            </w:r>
          </w:p>
        </w:tc>
      </w:tr>
      <w:tr w:rsidR="0009162B" w:rsidRPr="00792B36" w14:paraId="56188046" w14:textId="77777777" w:rsidTr="00DA144D">
        <w:trPr>
          <w:trHeight w:val="567"/>
        </w:trPr>
        <w:tc>
          <w:tcPr>
            <w:tcW w:w="2253" w:type="pct"/>
          </w:tcPr>
          <w:p w14:paraId="0ACD8467" w14:textId="77777777" w:rsidR="0009162B" w:rsidRPr="00792B36" w:rsidRDefault="0009162B" w:rsidP="0096560E">
            <w:pPr>
              <w:rPr>
                <w:rFonts w:eastAsia="Times New Roman"/>
                <w:color w:val="1F1F1F"/>
                <w:bdr w:val="none" w:sz="0" w:space="0" w:color="auto" w:frame="1"/>
              </w:rPr>
            </w:pPr>
            <w:r w:rsidRPr="00792B36">
              <w:rPr>
                <w:color w:val="1F1F1F"/>
                <w:bdr w:val="none" w:sz="0" w:space="0" w:color="auto" w:frame="1"/>
              </w:rPr>
              <w:t>Surasak Thongsukdee</w:t>
            </w:r>
          </w:p>
        </w:tc>
        <w:tc>
          <w:tcPr>
            <w:tcW w:w="2697" w:type="pct"/>
          </w:tcPr>
          <w:p w14:paraId="095D29C8" w14:textId="77777777" w:rsidR="0009162B" w:rsidRPr="00792B36" w:rsidRDefault="0009162B" w:rsidP="0096560E">
            <w:pPr>
              <w:rPr>
                <w:rFonts w:eastAsia="Times New Roman"/>
                <w:color w:val="1F1F1F"/>
                <w:bdr w:val="none" w:sz="0" w:space="0" w:color="auto" w:frame="1"/>
              </w:rPr>
            </w:pPr>
            <w:r w:rsidRPr="00792B36">
              <w:rPr>
                <w:rStyle w:val="citation-489"/>
                <w:color w:val="1F1F1F"/>
                <w:bdr w:val="none" w:sz="0" w:space="0" w:color="auto" w:frame="1"/>
              </w:rPr>
              <w:t xml:space="preserve">Director, Marine Resources Conservation Division </w:t>
            </w:r>
          </w:p>
        </w:tc>
      </w:tr>
      <w:tr w:rsidR="0009162B" w:rsidRPr="00792B36" w14:paraId="06FE23A5" w14:textId="77777777" w:rsidTr="00DA144D">
        <w:trPr>
          <w:trHeight w:val="567"/>
        </w:trPr>
        <w:tc>
          <w:tcPr>
            <w:tcW w:w="2253" w:type="pct"/>
          </w:tcPr>
          <w:p w14:paraId="04FDD420" w14:textId="77777777" w:rsidR="0009162B" w:rsidRPr="00792B36" w:rsidRDefault="0009162B" w:rsidP="0096560E">
            <w:pPr>
              <w:rPr>
                <w:rFonts w:eastAsia="Times New Roman"/>
                <w:color w:val="1F1F1F"/>
                <w:bdr w:val="none" w:sz="0" w:space="0" w:color="auto" w:frame="1"/>
              </w:rPr>
            </w:pPr>
            <w:r w:rsidRPr="00792B36">
              <w:rPr>
                <w:color w:val="1F1F1F"/>
                <w:bdr w:val="none" w:sz="0" w:space="0" w:color="auto" w:frame="1"/>
              </w:rPr>
              <w:t>Poonsri Wanthonchai</w:t>
            </w:r>
          </w:p>
        </w:tc>
        <w:tc>
          <w:tcPr>
            <w:tcW w:w="2697" w:type="pct"/>
          </w:tcPr>
          <w:p w14:paraId="18BF892C" w14:textId="77777777" w:rsidR="0009162B" w:rsidRPr="00792B36" w:rsidRDefault="0009162B" w:rsidP="0096560E">
            <w:pPr>
              <w:rPr>
                <w:rFonts w:eastAsia="Times New Roman"/>
                <w:color w:val="1F1F1F"/>
                <w:bdr w:val="none" w:sz="0" w:space="0" w:color="auto" w:frame="1"/>
              </w:rPr>
            </w:pPr>
            <w:r w:rsidRPr="00792B36">
              <w:rPr>
                <w:rStyle w:val="citation-488"/>
                <w:color w:val="1F1F1F"/>
                <w:bdr w:val="none" w:sz="0" w:space="0" w:color="auto" w:frame="1"/>
              </w:rPr>
              <w:t xml:space="preserve">Director, Mangrove Resources Research and Development Institute </w:t>
            </w:r>
          </w:p>
        </w:tc>
      </w:tr>
      <w:tr w:rsidR="0009162B" w:rsidRPr="00792B36" w14:paraId="5B91F1D0" w14:textId="77777777" w:rsidTr="00DA144D">
        <w:trPr>
          <w:trHeight w:val="567"/>
        </w:trPr>
        <w:tc>
          <w:tcPr>
            <w:tcW w:w="2253" w:type="pct"/>
          </w:tcPr>
          <w:p w14:paraId="5EAA2F6E" w14:textId="77777777" w:rsidR="0009162B" w:rsidRPr="00792B36" w:rsidRDefault="0009162B" w:rsidP="0096560E">
            <w:pPr>
              <w:rPr>
                <w:rFonts w:eastAsia="Times New Roman"/>
                <w:color w:val="1F1F1F"/>
                <w:bdr w:val="none" w:sz="0" w:space="0" w:color="auto" w:frame="1"/>
              </w:rPr>
            </w:pPr>
            <w:r w:rsidRPr="00792B36">
              <w:rPr>
                <w:color w:val="1F1F1F"/>
                <w:bdr w:val="none" w:sz="0" w:space="0" w:color="auto" w:frame="1"/>
              </w:rPr>
              <w:t>Tanuwong Sangtian</w:t>
            </w:r>
          </w:p>
        </w:tc>
        <w:tc>
          <w:tcPr>
            <w:tcW w:w="2697" w:type="pct"/>
          </w:tcPr>
          <w:p w14:paraId="41EA7B88" w14:textId="77777777" w:rsidR="0009162B" w:rsidRPr="00792B36" w:rsidRDefault="0009162B" w:rsidP="0096560E">
            <w:pPr>
              <w:rPr>
                <w:rFonts w:eastAsia="Times New Roman"/>
                <w:color w:val="1F1F1F"/>
                <w:bdr w:val="none" w:sz="0" w:space="0" w:color="auto" w:frame="1"/>
              </w:rPr>
            </w:pPr>
            <w:r w:rsidRPr="00792B36">
              <w:rPr>
                <w:rStyle w:val="citation-487"/>
                <w:color w:val="1F1F1F"/>
                <w:bdr w:val="none" w:sz="0" w:space="0" w:color="auto" w:frame="1"/>
              </w:rPr>
              <w:t xml:space="preserve">Expert on Coastal Resources and Mangrove Management </w:t>
            </w:r>
          </w:p>
        </w:tc>
      </w:tr>
      <w:tr w:rsidR="0009162B" w:rsidRPr="00792B36" w14:paraId="7210AB4F" w14:textId="77777777" w:rsidTr="00DA144D">
        <w:trPr>
          <w:trHeight w:val="567"/>
        </w:trPr>
        <w:tc>
          <w:tcPr>
            <w:tcW w:w="2253" w:type="pct"/>
          </w:tcPr>
          <w:p w14:paraId="08F69780" w14:textId="77777777" w:rsidR="0009162B" w:rsidRPr="00792B36" w:rsidRDefault="0009162B" w:rsidP="0096560E">
            <w:pPr>
              <w:rPr>
                <w:rFonts w:eastAsia="Times New Roman"/>
                <w:color w:val="1F1F1F"/>
                <w:bdr w:val="none" w:sz="0" w:space="0" w:color="auto" w:frame="1"/>
              </w:rPr>
            </w:pPr>
            <w:r w:rsidRPr="00792B36">
              <w:rPr>
                <w:color w:val="1F1F1F"/>
                <w:bdr w:val="none" w:sz="0" w:space="0" w:color="auto" w:frame="1"/>
              </w:rPr>
              <w:t>Varin Vongpanich</w:t>
            </w:r>
          </w:p>
        </w:tc>
        <w:tc>
          <w:tcPr>
            <w:tcW w:w="2697" w:type="pct"/>
          </w:tcPr>
          <w:p w14:paraId="771EC24B" w14:textId="77777777" w:rsidR="0009162B" w:rsidRPr="00792B36" w:rsidRDefault="0009162B" w:rsidP="0096560E">
            <w:pPr>
              <w:rPr>
                <w:rFonts w:eastAsia="Times New Roman"/>
                <w:color w:val="1F1F1F"/>
                <w:bdr w:val="none" w:sz="0" w:space="0" w:color="auto" w:frame="1"/>
              </w:rPr>
            </w:pPr>
            <w:r w:rsidRPr="00792B36">
              <w:rPr>
                <w:rStyle w:val="citation-486"/>
                <w:color w:val="1F1F1F"/>
                <w:bdr w:val="none" w:sz="0" w:space="0" w:color="auto" w:frame="1"/>
              </w:rPr>
              <w:t xml:space="preserve">Expert on Biodiversity Research </w:t>
            </w:r>
          </w:p>
        </w:tc>
      </w:tr>
      <w:tr w:rsidR="0009162B" w:rsidRPr="00792B36" w14:paraId="0F9A31C3" w14:textId="77777777" w:rsidTr="00DA144D">
        <w:trPr>
          <w:trHeight w:val="567"/>
        </w:trPr>
        <w:tc>
          <w:tcPr>
            <w:tcW w:w="2253" w:type="pct"/>
          </w:tcPr>
          <w:p w14:paraId="0488DD7B" w14:textId="77777777" w:rsidR="0009162B" w:rsidRPr="00792B36" w:rsidRDefault="0009162B" w:rsidP="0096560E">
            <w:pPr>
              <w:rPr>
                <w:rFonts w:eastAsia="Times New Roman"/>
                <w:color w:val="1F1F1F"/>
                <w:bdr w:val="none" w:sz="0" w:space="0" w:color="auto" w:frame="1"/>
              </w:rPr>
            </w:pPr>
            <w:r w:rsidRPr="00792B36">
              <w:rPr>
                <w:color w:val="1F1F1F"/>
                <w:bdr w:val="none" w:sz="0" w:space="0" w:color="auto" w:frame="1"/>
              </w:rPr>
              <w:t>Wannakiat Thubthimsang</w:t>
            </w:r>
          </w:p>
        </w:tc>
        <w:tc>
          <w:tcPr>
            <w:tcW w:w="2697" w:type="pct"/>
          </w:tcPr>
          <w:p w14:paraId="11A55AD4" w14:textId="77777777" w:rsidR="0009162B" w:rsidRPr="00792B36" w:rsidRDefault="0009162B" w:rsidP="0096560E">
            <w:pPr>
              <w:rPr>
                <w:rFonts w:eastAsia="Times New Roman"/>
                <w:color w:val="1F1F1F"/>
                <w:bdr w:val="none" w:sz="0" w:space="0" w:color="auto" w:frame="1"/>
              </w:rPr>
            </w:pPr>
            <w:r w:rsidRPr="00792B36">
              <w:rPr>
                <w:rStyle w:val="citation-485"/>
                <w:color w:val="1F1F1F"/>
                <w:bdr w:val="none" w:sz="0" w:space="0" w:color="auto" w:frame="1"/>
              </w:rPr>
              <w:t xml:space="preserve">Special Expert on Marine Resources and Ecosystem Management </w:t>
            </w:r>
          </w:p>
        </w:tc>
      </w:tr>
      <w:tr w:rsidR="0009162B" w:rsidRPr="00792B36" w14:paraId="4326E3BB" w14:textId="77777777" w:rsidTr="00DA144D">
        <w:trPr>
          <w:trHeight w:val="567"/>
        </w:trPr>
        <w:tc>
          <w:tcPr>
            <w:tcW w:w="2253" w:type="pct"/>
          </w:tcPr>
          <w:p w14:paraId="2973C8E7" w14:textId="77777777" w:rsidR="0009162B" w:rsidRPr="00792B36" w:rsidRDefault="0009162B" w:rsidP="0096560E">
            <w:pPr>
              <w:rPr>
                <w:rFonts w:eastAsia="Times New Roman"/>
                <w:color w:val="1F1F1F"/>
                <w:bdr w:val="none" w:sz="0" w:space="0" w:color="auto" w:frame="1"/>
              </w:rPr>
            </w:pPr>
            <w:r w:rsidRPr="00792B36">
              <w:rPr>
                <w:color w:val="1F1F1F"/>
                <w:bdr w:val="none" w:sz="0" w:space="0" w:color="auto" w:frame="1"/>
              </w:rPr>
              <w:t>Suree Satapoomin</w:t>
            </w:r>
          </w:p>
        </w:tc>
        <w:tc>
          <w:tcPr>
            <w:tcW w:w="2697" w:type="pct"/>
          </w:tcPr>
          <w:p w14:paraId="59EF0F32" w14:textId="77777777" w:rsidR="0009162B" w:rsidRPr="00792B36" w:rsidRDefault="0009162B" w:rsidP="0096560E">
            <w:pPr>
              <w:rPr>
                <w:rFonts w:eastAsia="Times New Roman"/>
                <w:color w:val="1F1F1F"/>
                <w:bdr w:val="none" w:sz="0" w:space="0" w:color="auto" w:frame="1"/>
              </w:rPr>
            </w:pPr>
            <w:r w:rsidRPr="00792B36">
              <w:rPr>
                <w:rStyle w:val="citation-484"/>
                <w:color w:val="1F1F1F"/>
                <w:bdr w:val="none" w:sz="0" w:space="0" w:color="auto" w:frame="1"/>
              </w:rPr>
              <w:t xml:space="preserve">Special Expert on Marine and Coastal Resources Management </w:t>
            </w:r>
          </w:p>
        </w:tc>
      </w:tr>
      <w:tr w:rsidR="0009162B" w:rsidRPr="00792B36" w14:paraId="12BA5D89" w14:textId="77777777" w:rsidTr="00DA144D">
        <w:trPr>
          <w:trHeight w:val="567"/>
        </w:trPr>
        <w:tc>
          <w:tcPr>
            <w:tcW w:w="2253" w:type="pct"/>
          </w:tcPr>
          <w:p w14:paraId="45FB4C5C" w14:textId="77777777" w:rsidR="0009162B" w:rsidRPr="00792B36" w:rsidRDefault="0009162B" w:rsidP="0096560E">
            <w:pPr>
              <w:rPr>
                <w:rFonts w:eastAsia="Times New Roman"/>
                <w:color w:val="1F1F1F"/>
                <w:bdr w:val="none" w:sz="0" w:space="0" w:color="auto" w:frame="1"/>
              </w:rPr>
            </w:pPr>
            <w:r w:rsidRPr="00792B36">
              <w:rPr>
                <w:color w:val="1F1F1F"/>
                <w:bdr w:val="none" w:sz="0" w:space="0" w:color="auto" w:frame="1"/>
              </w:rPr>
              <w:t>Anuwat Nateewathana</w:t>
            </w:r>
          </w:p>
        </w:tc>
        <w:tc>
          <w:tcPr>
            <w:tcW w:w="2697" w:type="pct"/>
          </w:tcPr>
          <w:p w14:paraId="54AD2D94" w14:textId="77777777" w:rsidR="0009162B" w:rsidRPr="00792B36" w:rsidRDefault="0009162B" w:rsidP="0096560E">
            <w:pPr>
              <w:rPr>
                <w:rFonts w:eastAsia="Times New Roman"/>
                <w:color w:val="1F1F1F"/>
                <w:bdr w:val="none" w:sz="0" w:space="0" w:color="auto" w:frame="1"/>
              </w:rPr>
            </w:pPr>
            <w:r w:rsidRPr="00792B36">
              <w:rPr>
                <w:rStyle w:val="citation-483"/>
                <w:color w:val="1F1F1F"/>
                <w:bdr w:val="none" w:sz="0" w:space="0" w:color="auto" w:frame="1"/>
              </w:rPr>
              <w:t xml:space="preserve">Expert on Hydrology </w:t>
            </w:r>
          </w:p>
        </w:tc>
      </w:tr>
      <w:tr w:rsidR="0009162B" w:rsidRPr="00792B36" w14:paraId="2BD25E51" w14:textId="77777777" w:rsidTr="00DA144D">
        <w:trPr>
          <w:trHeight w:val="567"/>
        </w:trPr>
        <w:tc>
          <w:tcPr>
            <w:tcW w:w="2253" w:type="pct"/>
          </w:tcPr>
          <w:p w14:paraId="12A31149" w14:textId="42B5C2C2" w:rsidR="0009162B" w:rsidRPr="00792B36" w:rsidRDefault="0009162B" w:rsidP="0096560E">
            <w:pPr>
              <w:rPr>
                <w:rFonts w:eastAsia="Times New Roman"/>
                <w:color w:val="1F1F1F"/>
                <w:bdr w:val="none" w:sz="0" w:space="0" w:color="auto" w:frame="1"/>
              </w:rPr>
            </w:pPr>
            <w:r w:rsidRPr="00792B36">
              <w:rPr>
                <w:color w:val="1F1F1F"/>
                <w:bdr w:val="none" w:sz="0" w:space="0" w:color="auto" w:frame="1"/>
              </w:rPr>
              <w:t>Porns</w:t>
            </w:r>
            <w:r w:rsidR="00502886">
              <w:rPr>
                <w:color w:val="1F1F1F"/>
                <w:bdr w:val="none" w:sz="0" w:space="0" w:color="auto" w:frame="1"/>
              </w:rPr>
              <w:t>oo</w:t>
            </w:r>
            <w:r w:rsidRPr="00792B36">
              <w:rPr>
                <w:color w:val="1F1F1F"/>
                <w:bdr w:val="none" w:sz="0" w:space="0" w:color="auto" w:frame="1"/>
              </w:rPr>
              <w:t>k Chongprasith</w:t>
            </w:r>
          </w:p>
        </w:tc>
        <w:tc>
          <w:tcPr>
            <w:tcW w:w="2697" w:type="pct"/>
          </w:tcPr>
          <w:p w14:paraId="14DAE00F" w14:textId="77777777" w:rsidR="0009162B" w:rsidRPr="00792B36" w:rsidRDefault="0009162B" w:rsidP="0096560E">
            <w:pPr>
              <w:rPr>
                <w:rFonts w:eastAsia="Times New Roman"/>
                <w:color w:val="1F1F1F"/>
                <w:bdr w:val="none" w:sz="0" w:space="0" w:color="auto" w:frame="1"/>
              </w:rPr>
            </w:pPr>
            <w:r w:rsidRPr="00792B36">
              <w:rPr>
                <w:rStyle w:val="citation-482"/>
                <w:color w:val="1F1F1F"/>
                <w:bdr w:val="none" w:sz="0" w:space="0" w:color="auto" w:frame="1"/>
              </w:rPr>
              <w:t xml:space="preserve">Expert on Coastal Water Quality </w:t>
            </w:r>
          </w:p>
        </w:tc>
      </w:tr>
      <w:tr w:rsidR="0009162B" w:rsidRPr="00792B36" w14:paraId="6CB8A10C" w14:textId="77777777" w:rsidTr="00DA144D">
        <w:trPr>
          <w:trHeight w:val="567"/>
        </w:trPr>
        <w:tc>
          <w:tcPr>
            <w:tcW w:w="2253" w:type="pct"/>
          </w:tcPr>
          <w:p w14:paraId="40790C1D" w14:textId="77777777" w:rsidR="0009162B" w:rsidRPr="00792B36" w:rsidRDefault="0009162B" w:rsidP="0096560E">
            <w:pPr>
              <w:pStyle w:val="Heading3"/>
              <w:shd w:val="clear" w:color="auto" w:fill="FFFFFF"/>
              <w:spacing w:before="0" w:after="0"/>
              <w:rPr>
                <w:b w:val="0"/>
                <w:bCs w:val="0"/>
                <w:color w:val="5F6368"/>
                <w:sz w:val="22"/>
                <w:szCs w:val="22"/>
              </w:rPr>
            </w:pPr>
            <w:r w:rsidRPr="00792B36">
              <w:rPr>
                <w:rStyle w:val="gd"/>
                <w:b w:val="0"/>
                <w:bCs w:val="0"/>
                <w:color w:val="1F1F1F"/>
                <w:sz w:val="22"/>
                <w:szCs w:val="22"/>
              </w:rPr>
              <w:t>Liana Talaue McManus,</w:t>
            </w:r>
            <w:r w:rsidRPr="00792B36">
              <w:rPr>
                <w:rStyle w:val="gd"/>
                <w:b w:val="0"/>
                <w:bCs w:val="0"/>
                <w:sz w:val="22"/>
                <w:szCs w:val="22"/>
              </w:rPr>
              <w:t xml:space="preserve"> PhD</w:t>
            </w:r>
          </w:p>
        </w:tc>
        <w:tc>
          <w:tcPr>
            <w:tcW w:w="2697" w:type="pct"/>
          </w:tcPr>
          <w:p w14:paraId="7ED28155" w14:textId="77777777" w:rsidR="0009162B" w:rsidRPr="00792B36" w:rsidRDefault="0009162B" w:rsidP="0096560E">
            <w:pPr>
              <w:rPr>
                <w:rFonts w:eastAsia="Times New Roman"/>
                <w:color w:val="1F1F1F"/>
                <w:bdr w:val="none" w:sz="0" w:space="0" w:color="auto" w:frame="1"/>
              </w:rPr>
            </w:pPr>
            <w:r w:rsidRPr="00792B36">
              <w:rPr>
                <w:rFonts w:eastAsia="Times New Roman"/>
                <w:color w:val="1F1F1F"/>
                <w:bdr w:val="none" w:sz="0" w:space="0" w:color="auto" w:frame="1"/>
              </w:rPr>
              <w:t>Lead of Regional TDA-SAP, Regional Expert on Socioeconomics</w:t>
            </w:r>
            <w:r w:rsidRPr="00792B36">
              <w:rPr>
                <w:rFonts w:eastAsia="Times New Roman"/>
                <w:bdr w:val="none" w:sz="0" w:space="0" w:color="auto" w:frame="1"/>
              </w:rPr>
              <w:t xml:space="preserve"> and Climate-Related Threats </w:t>
            </w:r>
          </w:p>
        </w:tc>
      </w:tr>
      <w:tr w:rsidR="0009162B" w:rsidRPr="00792B36" w14:paraId="5C33A8BD" w14:textId="77777777" w:rsidTr="00DA144D">
        <w:trPr>
          <w:trHeight w:val="567"/>
        </w:trPr>
        <w:tc>
          <w:tcPr>
            <w:tcW w:w="2253" w:type="pct"/>
          </w:tcPr>
          <w:p w14:paraId="02073D47" w14:textId="77777777" w:rsidR="0009162B" w:rsidRPr="00792B36" w:rsidRDefault="0009162B" w:rsidP="0096560E">
            <w:pPr>
              <w:rPr>
                <w:rFonts w:eastAsia="Times New Roman"/>
                <w:color w:val="1F1F1F"/>
                <w:bdr w:val="none" w:sz="0" w:space="0" w:color="auto" w:frame="1"/>
              </w:rPr>
            </w:pPr>
            <w:r w:rsidRPr="00792B36">
              <w:rPr>
                <w:color w:val="1F1F1F"/>
                <w:shd w:val="clear" w:color="auto" w:fill="F8FAFD"/>
              </w:rPr>
              <w:t>Gil Suico J</w:t>
            </w:r>
            <w:r w:rsidRPr="00792B36">
              <w:rPr>
                <w:shd w:val="clear" w:color="auto" w:fill="F8FAFD"/>
              </w:rPr>
              <w:t>acinto</w:t>
            </w:r>
          </w:p>
        </w:tc>
        <w:tc>
          <w:tcPr>
            <w:tcW w:w="2697" w:type="pct"/>
          </w:tcPr>
          <w:p w14:paraId="6AC68044" w14:textId="77777777" w:rsidR="0009162B" w:rsidRPr="00792B36" w:rsidRDefault="0009162B" w:rsidP="0096560E">
            <w:pPr>
              <w:rPr>
                <w:rFonts w:eastAsia="Times New Roman"/>
                <w:color w:val="1F1F1F"/>
                <w:bdr w:val="none" w:sz="0" w:space="0" w:color="auto" w:frame="1"/>
              </w:rPr>
            </w:pPr>
            <w:r w:rsidRPr="00792B36">
              <w:rPr>
                <w:rFonts w:eastAsia="Times New Roman"/>
                <w:color w:val="1F1F1F"/>
                <w:bdr w:val="none" w:sz="0" w:space="0" w:color="auto" w:frame="1"/>
              </w:rPr>
              <w:t>Regional TDA-SAP Expert on Pollution</w:t>
            </w:r>
          </w:p>
        </w:tc>
      </w:tr>
      <w:tr w:rsidR="0009162B" w:rsidRPr="00792B36" w14:paraId="1D495C93" w14:textId="77777777" w:rsidTr="00DA144D">
        <w:trPr>
          <w:trHeight w:val="567"/>
        </w:trPr>
        <w:tc>
          <w:tcPr>
            <w:tcW w:w="2253" w:type="pct"/>
          </w:tcPr>
          <w:p w14:paraId="44DD4AFA" w14:textId="77777777" w:rsidR="0009162B" w:rsidRPr="00792B36" w:rsidRDefault="0009162B" w:rsidP="0096560E">
            <w:pPr>
              <w:rPr>
                <w:rFonts w:eastAsia="Times New Roman"/>
                <w:color w:val="1F1F1F"/>
                <w:bdr w:val="none" w:sz="0" w:space="0" w:color="auto" w:frame="1"/>
              </w:rPr>
            </w:pPr>
            <w:r w:rsidRPr="00792B36">
              <w:rPr>
                <w:color w:val="1F1F1F"/>
                <w:shd w:val="clear" w:color="auto" w:fill="F8FAFD"/>
              </w:rPr>
              <w:t>Si Tuan Vo, PhD</w:t>
            </w:r>
          </w:p>
        </w:tc>
        <w:tc>
          <w:tcPr>
            <w:tcW w:w="2697" w:type="pct"/>
          </w:tcPr>
          <w:p w14:paraId="78923D5F" w14:textId="77777777" w:rsidR="0009162B" w:rsidRPr="00792B36" w:rsidRDefault="0009162B" w:rsidP="0096560E">
            <w:pPr>
              <w:rPr>
                <w:rFonts w:eastAsia="Times New Roman"/>
                <w:color w:val="1F1F1F"/>
                <w:bdr w:val="none" w:sz="0" w:space="0" w:color="auto" w:frame="1"/>
              </w:rPr>
            </w:pPr>
            <w:r w:rsidRPr="00792B36">
              <w:rPr>
                <w:rFonts w:eastAsia="Times New Roman"/>
                <w:color w:val="1F1F1F"/>
                <w:bdr w:val="none" w:sz="0" w:space="0" w:color="auto" w:frame="1"/>
              </w:rPr>
              <w:t xml:space="preserve">Regional TDA-SAP Expert on Ecosystems </w:t>
            </w:r>
          </w:p>
        </w:tc>
      </w:tr>
      <w:tr w:rsidR="0009162B" w:rsidRPr="00792B36" w14:paraId="05D06155" w14:textId="77777777" w:rsidTr="00DA144D">
        <w:trPr>
          <w:trHeight w:val="567"/>
        </w:trPr>
        <w:tc>
          <w:tcPr>
            <w:tcW w:w="2253" w:type="pct"/>
          </w:tcPr>
          <w:p w14:paraId="22713F02" w14:textId="77777777" w:rsidR="0009162B" w:rsidRPr="00792B36" w:rsidRDefault="0009162B" w:rsidP="0096560E">
            <w:pPr>
              <w:rPr>
                <w:rFonts w:eastAsia="Times New Roman"/>
                <w:color w:val="1F1F1F"/>
                <w:bdr w:val="none" w:sz="0" w:space="0" w:color="auto" w:frame="1"/>
              </w:rPr>
            </w:pPr>
            <w:r w:rsidRPr="00792B36">
              <w:rPr>
                <w:rFonts w:eastAsia="Times New Roman"/>
                <w:color w:val="1F1F1F"/>
                <w:bdr w:val="none" w:sz="0" w:space="0" w:color="auto" w:frame="1"/>
              </w:rPr>
              <w:t>Somboon Siriraksophon, PhD</w:t>
            </w:r>
          </w:p>
        </w:tc>
        <w:tc>
          <w:tcPr>
            <w:tcW w:w="2697" w:type="pct"/>
          </w:tcPr>
          <w:p w14:paraId="6D8AEDC4" w14:textId="77777777" w:rsidR="0009162B" w:rsidRPr="00792B36" w:rsidRDefault="0009162B" w:rsidP="0096560E">
            <w:pPr>
              <w:rPr>
                <w:rFonts w:eastAsia="Times New Roman"/>
                <w:color w:val="1F1F1F"/>
                <w:bdr w:val="none" w:sz="0" w:space="0" w:color="auto" w:frame="1"/>
              </w:rPr>
            </w:pPr>
            <w:r w:rsidRPr="00792B36">
              <w:rPr>
                <w:rFonts w:eastAsia="Times New Roman"/>
                <w:color w:val="1F1F1F"/>
                <w:bdr w:val="none" w:sz="0" w:space="0" w:color="auto" w:frame="1"/>
              </w:rPr>
              <w:t>Regional TDA-SAP Expert on Fisheries</w:t>
            </w:r>
          </w:p>
        </w:tc>
      </w:tr>
      <w:tr w:rsidR="0009162B" w:rsidRPr="00792B36" w14:paraId="657EC111" w14:textId="77777777" w:rsidTr="00DA144D">
        <w:trPr>
          <w:trHeight w:val="567"/>
        </w:trPr>
        <w:tc>
          <w:tcPr>
            <w:tcW w:w="2253" w:type="pct"/>
          </w:tcPr>
          <w:p w14:paraId="2632A75D" w14:textId="77777777" w:rsidR="0009162B" w:rsidRPr="00792B36" w:rsidRDefault="0009162B" w:rsidP="0096560E">
            <w:pPr>
              <w:rPr>
                <w:rFonts w:eastAsia="Times New Roman"/>
                <w:color w:val="1F1F1F"/>
                <w:bdr w:val="none" w:sz="0" w:space="0" w:color="auto" w:frame="1"/>
              </w:rPr>
            </w:pPr>
            <w:r w:rsidRPr="00792B36">
              <w:rPr>
                <w:rFonts w:eastAsia="Times New Roman"/>
                <w:color w:val="1F1F1F"/>
                <w:bdr w:val="none" w:sz="0" w:space="0" w:color="auto" w:frame="1"/>
              </w:rPr>
              <w:t xml:space="preserve">Megan Knight </w:t>
            </w:r>
          </w:p>
        </w:tc>
        <w:tc>
          <w:tcPr>
            <w:tcW w:w="2697" w:type="pct"/>
          </w:tcPr>
          <w:p w14:paraId="004B5815" w14:textId="77777777" w:rsidR="0009162B" w:rsidRPr="00792B36" w:rsidRDefault="0009162B" w:rsidP="0096560E">
            <w:pPr>
              <w:rPr>
                <w:rFonts w:eastAsia="Times New Roman"/>
                <w:color w:val="1F1F1F"/>
                <w:bdr w:val="none" w:sz="0" w:space="0" w:color="auto" w:frame="1"/>
              </w:rPr>
            </w:pPr>
            <w:r w:rsidRPr="00792B36">
              <w:rPr>
                <w:rFonts w:eastAsia="Times New Roman"/>
                <w:color w:val="1F1F1F"/>
                <w:bdr w:val="none" w:sz="0" w:space="0" w:color="auto" w:frame="1"/>
              </w:rPr>
              <w:t>Regional TDA-SAP Expert on Governance</w:t>
            </w:r>
          </w:p>
        </w:tc>
      </w:tr>
    </w:tbl>
    <w:p w14:paraId="4AC1A628" w14:textId="77777777" w:rsidR="0009162B" w:rsidRPr="00792B36" w:rsidRDefault="0009162B" w:rsidP="0009162B">
      <w:pPr>
        <w:rPr>
          <w:szCs w:val="24"/>
        </w:rPr>
      </w:pPr>
    </w:p>
    <w:p w14:paraId="021033DD" w14:textId="77777777" w:rsidR="0009162B" w:rsidRPr="00792B36" w:rsidRDefault="0009162B" w:rsidP="0009162B">
      <w:pPr>
        <w:rPr>
          <w:szCs w:val="24"/>
        </w:rPr>
      </w:pPr>
    </w:p>
    <w:p w14:paraId="4F220781" w14:textId="77777777" w:rsidR="00C25E58" w:rsidRPr="00792B36" w:rsidRDefault="00C25E58" w:rsidP="00C25E58">
      <w:bookmarkStart w:id="0" w:name="_Toc216019164"/>
    </w:p>
    <w:p w14:paraId="2B8A9F69" w14:textId="2B3C6D97" w:rsidR="005B164A" w:rsidRPr="00792B36" w:rsidRDefault="005B164A" w:rsidP="005B164A">
      <w:pPr>
        <w:pStyle w:val="Heading1"/>
        <w:spacing w:before="0" w:after="0"/>
        <w:jc w:val="thaiDistribute"/>
        <w:rPr>
          <w:rFonts w:eastAsia="Google Sans"/>
          <w:color w:val="1F1F1F"/>
          <w:sz w:val="28"/>
          <w:szCs w:val="28"/>
        </w:rPr>
      </w:pPr>
      <w:r w:rsidRPr="00792B36">
        <w:rPr>
          <w:rFonts w:eastAsia="Google Sans"/>
          <w:color w:val="1F1F1F"/>
          <w:sz w:val="28"/>
          <w:szCs w:val="28"/>
        </w:rPr>
        <w:lastRenderedPageBreak/>
        <w:t>Preface</w:t>
      </w:r>
      <w:bookmarkEnd w:id="0"/>
    </w:p>
    <w:p w14:paraId="001237A5" w14:textId="77777777" w:rsidR="005B164A" w:rsidRPr="00792B36" w:rsidRDefault="005B164A" w:rsidP="005B164A">
      <w:pPr>
        <w:jc w:val="thaiDistribute"/>
      </w:pPr>
    </w:p>
    <w:p w14:paraId="55ED66C5" w14:textId="77777777" w:rsidR="005B164A" w:rsidRPr="00792B36" w:rsidRDefault="005B164A" w:rsidP="005B164A">
      <w:pPr>
        <w:pBdr>
          <w:top w:val="nil"/>
          <w:left w:val="nil"/>
          <w:bottom w:val="nil"/>
          <w:right w:val="nil"/>
          <w:between w:val="nil"/>
        </w:pBdr>
        <w:jc w:val="thaiDistribute"/>
        <w:rPr>
          <w:rFonts w:eastAsia="Google Sans Text"/>
          <w:color w:val="1F1F1F"/>
        </w:rPr>
      </w:pPr>
      <w:r w:rsidRPr="00792B36">
        <w:rPr>
          <w:rFonts w:eastAsia="Google Sans Text"/>
          <w:color w:val="1F1F1F"/>
        </w:rPr>
        <w:t>The UNEP/GEF “Implementing the Strategic Action Programme for the South China Sea and Gulf of Thailand” (SCS-SAP) Project was initiated to assist participating countries in meeting the targets of the approved Strategic Action Programme (SAP) for the marine and coastal environment. Executed by the United Nations Office for Project Services (UNOPS), the project is a partnership between the Ministries responsible for the environment in Cambodia, China, Indonesia, Philippines, Thailand, and Vietnam. The SCS-SAP commenced in 2018 and will be implemented until 2026, supported by USD 15 million in funding from the GEF and co-financing of USD 81 million from participating countries.</w:t>
      </w:r>
    </w:p>
    <w:p w14:paraId="0F8C6565" w14:textId="77777777" w:rsidR="005B164A" w:rsidRPr="00792B36" w:rsidRDefault="005B164A" w:rsidP="005B164A">
      <w:pPr>
        <w:pBdr>
          <w:top w:val="nil"/>
          <w:left w:val="nil"/>
          <w:bottom w:val="nil"/>
          <w:right w:val="nil"/>
          <w:between w:val="nil"/>
        </w:pBdr>
        <w:jc w:val="thaiDistribute"/>
        <w:rPr>
          <w:rFonts w:eastAsia="Google Sans Text"/>
          <w:color w:val="1F1F1F"/>
        </w:rPr>
      </w:pPr>
    </w:p>
    <w:p w14:paraId="181A7BEE" w14:textId="77777777" w:rsidR="005B164A" w:rsidRPr="00792B36" w:rsidRDefault="005B164A" w:rsidP="005B164A">
      <w:pPr>
        <w:pBdr>
          <w:top w:val="nil"/>
          <w:left w:val="nil"/>
          <w:bottom w:val="nil"/>
          <w:right w:val="nil"/>
          <w:between w:val="nil"/>
        </w:pBdr>
        <w:jc w:val="thaiDistribute"/>
        <w:rPr>
          <w:rFonts w:eastAsia="Google Sans Text"/>
          <w:color w:val="1F1F1F"/>
        </w:rPr>
      </w:pPr>
      <w:r w:rsidRPr="00792B36">
        <w:rPr>
          <w:rFonts w:eastAsia="Google Sans Text"/>
          <w:color w:val="1F1F1F"/>
        </w:rPr>
        <w:t>The project works in synergy with its sister project, the UNEP/GEF “Establishment and Operation of a Regional System of Fisheries Refugia in the South China Sea and Gulf of Thailand,” executed by SEAFDEC. Together, these initiatives aim to improve the management of fisheries and critical marine habitat linkages. Full implementation of the SCS-SAP began in July 2021, focusing on three key components:</w:t>
      </w:r>
    </w:p>
    <w:p w14:paraId="4B1121B1" w14:textId="77777777" w:rsidR="005B164A" w:rsidRPr="00792B36" w:rsidRDefault="005B164A" w:rsidP="005B164A">
      <w:pPr>
        <w:pBdr>
          <w:top w:val="nil"/>
          <w:left w:val="nil"/>
          <w:bottom w:val="nil"/>
          <w:right w:val="nil"/>
          <w:between w:val="nil"/>
        </w:pBdr>
        <w:jc w:val="thaiDistribute"/>
        <w:rPr>
          <w:rFonts w:eastAsia="Google Sans Text"/>
          <w:color w:val="1F1F1F"/>
        </w:rPr>
      </w:pPr>
    </w:p>
    <w:p w14:paraId="6B466109" w14:textId="77777777" w:rsidR="005B164A" w:rsidRPr="00792B36" w:rsidRDefault="005B164A" w:rsidP="005B164A">
      <w:pPr>
        <w:numPr>
          <w:ilvl w:val="0"/>
          <w:numId w:val="1"/>
        </w:numPr>
        <w:pBdr>
          <w:top w:val="nil"/>
          <w:left w:val="nil"/>
          <w:bottom w:val="nil"/>
          <w:right w:val="nil"/>
          <w:between w:val="nil"/>
        </w:pBdr>
        <w:jc w:val="thaiDistribute"/>
      </w:pPr>
      <w:r w:rsidRPr="00792B36">
        <w:rPr>
          <w:rFonts w:eastAsia="Google Sans Text"/>
          <w:b/>
          <w:bCs/>
          <w:color w:val="1F1F1F"/>
        </w:rPr>
        <w:t>Component 1:</w:t>
      </w:r>
      <w:r w:rsidRPr="00792B36">
        <w:rPr>
          <w:rFonts w:eastAsia="Google Sans Text"/>
          <w:color w:val="1F1F1F"/>
        </w:rPr>
        <w:t xml:space="preserve"> Reducing habitat degradation and loss via national and local reforms to achieve SAP targets for coastal habitat management.</w:t>
      </w:r>
    </w:p>
    <w:p w14:paraId="06057907" w14:textId="77777777" w:rsidR="005B164A" w:rsidRPr="00792B36" w:rsidRDefault="005B164A" w:rsidP="005B164A">
      <w:pPr>
        <w:numPr>
          <w:ilvl w:val="0"/>
          <w:numId w:val="1"/>
        </w:numPr>
        <w:pBdr>
          <w:top w:val="nil"/>
          <w:left w:val="nil"/>
          <w:bottom w:val="nil"/>
          <w:right w:val="nil"/>
          <w:between w:val="nil"/>
        </w:pBdr>
        <w:jc w:val="thaiDistribute"/>
      </w:pPr>
      <w:r w:rsidRPr="00792B36">
        <w:rPr>
          <w:rFonts w:eastAsia="Google Sans Text"/>
          <w:b/>
          <w:bCs/>
          <w:color w:val="1F1F1F"/>
        </w:rPr>
        <w:t>Component 2:</w:t>
      </w:r>
      <w:r w:rsidRPr="00792B36">
        <w:rPr>
          <w:rFonts w:eastAsia="Google Sans Text"/>
          <w:color w:val="1F1F1F"/>
        </w:rPr>
        <w:t xml:space="preserve"> Strengthening knowledge-based action planning for the management of coastal habitats and land-based pollution.</w:t>
      </w:r>
    </w:p>
    <w:p w14:paraId="1B00C475" w14:textId="77777777" w:rsidR="005B164A" w:rsidRPr="00792B36" w:rsidRDefault="005B164A" w:rsidP="005B164A">
      <w:pPr>
        <w:numPr>
          <w:ilvl w:val="0"/>
          <w:numId w:val="1"/>
        </w:numPr>
        <w:pBdr>
          <w:top w:val="nil"/>
          <w:left w:val="nil"/>
          <w:bottom w:val="nil"/>
          <w:right w:val="nil"/>
          <w:between w:val="nil"/>
        </w:pBdr>
        <w:jc w:val="thaiDistribute"/>
      </w:pPr>
      <w:r w:rsidRPr="00792B36">
        <w:rPr>
          <w:rFonts w:eastAsia="Google Sans Text"/>
          <w:b/>
          <w:bCs/>
          <w:color w:val="1F1F1F"/>
        </w:rPr>
        <w:t>Component 3:</w:t>
      </w:r>
      <w:r w:rsidRPr="00792B36">
        <w:rPr>
          <w:rFonts w:eastAsia="Google Sans Text"/>
          <w:color w:val="1F1F1F"/>
        </w:rPr>
        <w:t xml:space="preserve"> Facilitating regional and national level integration and cooperation for the implementation of the SAP.</w:t>
      </w:r>
    </w:p>
    <w:p w14:paraId="077D77DA" w14:textId="77777777" w:rsidR="005B164A" w:rsidRPr="00792B36" w:rsidRDefault="005B164A" w:rsidP="005B164A">
      <w:pPr>
        <w:pBdr>
          <w:top w:val="nil"/>
          <w:left w:val="nil"/>
          <w:bottom w:val="nil"/>
          <w:right w:val="nil"/>
          <w:between w:val="nil"/>
        </w:pBdr>
        <w:ind w:left="465"/>
        <w:jc w:val="thaiDistribute"/>
      </w:pPr>
    </w:p>
    <w:p w14:paraId="736B9446" w14:textId="77777777" w:rsidR="005B164A" w:rsidRPr="00792B36" w:rsidRDefault="005B164A" w:rsidP="005B164A">
      <w:pPr>
        <w:pBdr>
          <w:top w:val="nil"/>
          <w:left w:val="nil"/>
          <w:bottom w:val="nil"/>
          <w:right w:val="nil"/>
          <w:between w:val="nil"/>
        </w:pBdr>
        <w:jc w:val="thaiDistribute"/>
      </w:pPr>
      <w:r w:rsidRPr="00792B36">
        <w:t>In Thailand, the Department of Marine and Coastal Resources (DMCR) of the Ministry of Natural Resources and Environment serves as the national lead and implementing agency. Supported by Regional and National Expert teams—including governmental and academic partners from the Department of Fisheries, the Pollution Control Department, Ramkhamhaeng University, and Kasetsart University—the project is currently undertaking a critical update of the Transboundary Diagnostic Analysis (TDA) and Strategic Action Programme (SAP).</w:t>
      </w:r>
    </w:p>
    <w:p w14:paraId="01243679" w14:textId="77777777" w:rsidR="005B164A" w:rsidRPr="00792B36" w:rsidRDefault="005B164A" w:rsidP="005B164A">
      <w:pPr>
        <w:pBdr>
          <w:top w:val="nil"/>
          <w:left w:val="nil"/>
          <w:bottom w:val="nil"/>
          <w:right w:val="nil"/>
          <w:between w:val="nil"/>
        </w:pBdr>
        <w:jc w:val="thaiDistribute"/>
      </w:pPr>
    </w:p>
    <w:p w14:paraId="654A68CA" w14:textId="77777777" w:rsidR="005B164A" w:rsidRPr="00792B36" w:rsidRDefault="005B164A" w:rsidP="005B164A">
      <w:pPr>
        <w:pBdr>
          <w:top w:val="nil"/>
          <w:left w:val="nil"/>
          <w:bottom w:val="nil"/>
          <w:right w:val="nil"/>
          <w:between w:val="nil"/>
        </w:pBdr>
        <w:jc w:val="thaiDistribute"/>
        <w:rPr>
          <w:rFonts w:eastAsia="Google Sans Text"/>
          <w:color w:val="1F1F1F"/>
        </w:rPr>
      </w:pPr>
      <w:r w:rsidRPr="00792B36">
        <w:rPr>
          <w:rFonts w:eastAsia="Google Sans Text"/>
          <w:color w:val="1F1F1F"/>
        </w:rPr>
        <w:t xml:space="preserve">This document, the </w:t>
      </w:r>
      <w:r w:rsidRPr="00792B36">
        <w:rPr>
          <w:rFonts w:eastAsia="Google Sans Text"/>
          <w:b/>
          <w:bCs/>
          <w:color w:val="1F1F1F"/>
        </w:rPr>
        <w:t>National Transboundary Diagnostic Analysis (TDA) for Thailand</w:t>
      </w:r>
      <w:r w:rsidRPr="00792B36">
        <w:rPr>
          <w:rFonts w:eastAsia="Google Sans Text"/>
          <w:color w:val="1F1F1F"/>
        </w:rPr>
        <w:t>, represents a fundamental process for assessing and managing aquatic ecosystems. As the Large Marine Ecosystems (LMEs) of the South China Sea and the Gulf of Thailand are critical for biodiversity and millions of livelihoods, effective management is essential. Building upon the previous regional analysis undertaken in 2000 (Talaue-McManus), this report updates the diagnostic analysis of environmental problems to guide the next phase of strategic action.</w:t>
      </w:r>
    </w:p>
    <w:p w14:paraId="72A30D5C" w14:textId="77777777" w:rsidR="005B164A" w:rsidRPr="00792B36" w:rsidRDefault="005B164A" w:rsidP="005B164A">
      <w:pPr>
        <w:pBdr>
          <w:top w:val="nil"/>
          <w:left w:val="nil"/>
          <w:bottom w:val="nil"/>
          <w:right w:val="nil"/>
          <w:between w:val="nil"/>
        </w:pBdr>
        <w:jc w:val="thaiDistribute"/>
        <w:rPr>
          <w:rFonts w:eastAsia="Google Sans Text"/>
          <w:color w:val="1F1F1F"/>
        </w:rPr>
      </w:pPr>
    </w:p>
    <w:p w14:paraId="74447103" w14:textId="77777777" w:rsidR="005B164A" w:rsidRPr="00792B36" w:rsidRDefault="005B164A" w:rsidP="005B164A">
      <w:pPr>
        <w:pBdr>
          <w:top w:val="nil"/>
          <w:left w:val="nil"/>
          <w:bottom w:val="nil"/>
          <w:right w:val="nil"/>
          <w:between w:val="nil"/>
        </w:pBdr>
        <w:jc w:val="thaiDistribute"/>
        <w:rPr>
          <w:rFonts w:eastAsia="Google Sans Text"/>
          <w:color w:val="1F1F1F"/>
        </w:rPr>
      </w:pPr>
      <w:r w:rsidRPr="00792B36">
        <w:rPr>
          <w:rFonts w:eastAsia="Google Sans Text"/>
          <w:color w:val="1F1F1F"/>
        </w:rPr>
        <w:t>The assessment results presented herein are organized to identify transboundary environmental problems, analyze their root causes and impacts, and prioritize actions with potential global and national benefits. The report is structured as follows:</w:t>
      </w:r>
    </w:p>
    <w:p w14:paraId="00B08431" w14:textId="77777777" w:rsidR="005B164A" w:rsidRPr="00792B36" w:rsidRDefault="005B164A" w:rsidP="005B164A">
      <w:pPr>
        <w:pBdr>
          <w:top w:val="nil"/>
          <w:left w:val="nil"/>
          <w:bottom w:val="nil"/>
          <w:right w:val="nil"/>
          <w:between w:val="nil"/>
        </w:pBdr>
        <w:jc w:val="thaiDistribute"/>
        <w:rPr>
          <w:rFonts w:eastAsia="Google Sans Text"/>
          <w:color w:val="1F1F1F"/>
        </w:rPr>
      </w:pPr>
    </w:p>
    <w:p w14:paraId="0ECC0845" w14:textId="77777777" w:rsidR="005B164A" w:rsidRPr="00792B36" w:rsidRDefault="005B164A" w:rsidP="005B164A">
      <w:pPr>
        <w:numPr>
          <w:ilvl w:val="0"/>
          <w:numId w:val="2"/>
        </w:numPr>
        <w:pBdr>
          <w:top w:val="nil"/>
          <w:left w:val="nil"/>
          <w:bottom w:val="nil"/>
          <w:right w:val="nil"/>
          <w:between w:val="nil"/>
        </w:pBdr>
        <w:jc w:val="thaiDistribute"/>
      </w:pPr>
      <w:r w:rsidRPr="00792B36">
        <w:rPr>
          <w:rFonts w:eastAsia="Google Sans Text"/>
          <w:b/>
          <w:bCs/>
          <w:color w:val="1F1F1F"/>
        </w:rPr>
        <w:t>Status of the Marine Environment:</w:t>
      </w:r>
      <w:r w:rsidRPr="00792B36">
        <w:rPr>
          <w:rFonts w:eastAsia="Google Sans Text"/>
          <w:color w:val="1F1F1F"/>
        </w:rPr>
        <w:t xml:space="preserve"> An update on the physical and biological status of the Gulf of Thailand and South China Sea coastal zones.</w:t>
      </w:r>
    </w:p>
    <w:p w14:paraId="446608F2" w14:textId="77777777" w:rsidR="005B164A" w:rsidRPr="00792B36" w:rsidRDefault="005B164A" w:rsidP="005B164A">
      <w:pPr>
        <w:numPr>
          <w:ilvl w:val="0"/>
          <w:numId w:val="2"/>
        </w:numPr>
        <w:pBdr>
          <w:top w:val="nil"/>
          <w:left w:val="nil"/>
          <w:bottom w:val="nil"/>
          <w:right w:val="nil"/>
          <w:between w:val="nil"/>
        </w:pBdr>
        <w:jc w:val="thaiDistribute"/>
      </w:pPr>
      <w:r w:rsidRPr="00792B36">
        <w:rPr>
          <w:rFonts w:eastAsia="Google Sans Text"/>
          <w:b/>
          <w:bCs/>
          <w:color w:val="1F1F1F"/>
        </w:rPr>
        <w:t>Causal Chain Analysis:</w:t>
      </w:r>
      <w:r w:rsidRPr="00792B36">
        <w:rPr>
          <w:rFonts w:eastAsia="Google Sans Text"/>
          <w:color w:val="1F1F1F"/>
        </w:rPr>
        <w:t xml:space="preserve"> A detailed examination of the root causes linking socio-economic drivers to environmental degradation.</w:t>
      </w:r>
    </w:p>
    <w:p w14:paraId="19721501" w14:textId="77777777" w:rsidR="005B164A" w:rsidRPr="00792B36" w:rsidRDefault="005B164A" w:rsidP="005B164A">
      <w:pPr>
        <w:numPr>
          <w:ilvl w:val="0"/>
          <w:numId w:val="2"/>
        </w:numPr>
        <w:pBdr>
          <w:top w:val="nil"/>
          <w:left w:val="nil"/>
          <w:bottom w:val="nil"/>
          <w:right w:val="nil"/>
          <w:between w:val="nil"/>
        </w:pBdr>
        <w:jc w:val="thaiDistribute"/>
      </w:pPr>
      <w:r w:rsidRPr="00792B36">
        <w:rPr>
          <w:rFonts w:eastAsia="Google Sans Text"/>
          <w:b/>
          <w:bCs/>
          <w:color w:val="1F1F1F"/>
        </w:rPr>
        <w:t>Governance Analysis:</w:t>
      </w:r>
      <w:r w:rsidRPr="00792B36">
        <w:rPr>
          <w:rFonts w:eastAsia="Google Sans Text"/>
          <w:color w:val="1F1F1F"/>
        </w:rPr>
        <w:t xml:space="preserve"> An assessment of the legal and institutional frameworks supporting marine resource management in Thailand.</w:t>
      </w:r>
    </w:p>
    <w:p w14:paraId="489C8481" w14:textId="77777777" w:rsidR="005B164A" w:rsidRPr="00792B36" w:rsidRDefault="005B164A" w:rsidP="005B164A">
      <w:pPr>
        <w:numPr>
          <w:ilvl w:val="0"/>
          <w:numId w:val="2"/>
        </w:numPr>
        <w:pBdr>
          <w:top w:val="nil"/>
          <w:left w:val="nil"/>
          <w:bottom w:val="nil"/>
          <w:right w:val="nil"/>
          <w:between w:val="nil"/>
        </w:pBdr>
        <w:jc w:val="thaiDistribute"/>
      </w:pPr>
      <w:r w:rsidRPr="00792B36">
        <w:rPr>
          <w:rFonts w:eastAsia="Google Sans Text"/>
          <w:b/>
          <w:bCs/>
          <w:color w:val="1F1F1F"/>
        </w:rPr>
        <w:t>Priority Actions:</w:t>
      </w:r>
      <w:r w:rsidRPr="00792B36">
        <w:rPr>
          <w:rFonts w:eastAsia="Google Sans Text"/>
          <w:color w:val="1F1F1F"/>
        </w:rPr>
        <w:t xml:space="preserve"> Recommendations for national reforms to support the regional Strategic Action Programme.</w:t>
      </w:r>
    </w:p>
    <w:p w14:paraId="37942B18" w14:textId="77777777" w:rsidR="005B164A" w:rsidRPr="00792B36" w:rsidRDefault="005B164A" w:rsidP="005B164A">
      <w:pPr>
        <w:pBdr>
          <w:top w:val="nil"/>
          <w:left w:val="nil"/>
          <w:bottom w:val="nil"/>
          <w:right w:val="nil"/>
          <w:between w:val="nil"/>
        </w:pBdr>
        <w:ind w:left="120"/>
        <w:jc w:val="thaiDistribute"/>
      </w:pPr>
    </w:p>
    <w:p w14:paraId="06C3F59B" w14:textId="10E2702A" w:rsidR="00D90809" w:rsidRPr="00792B36" w:rsidRDefault="005B164A" w:rsidP="005B164A">
      <w:pPr>
        <w:pBdr>
          <w:top w:val="nil"/>
          <w:left w:val="nil"/>
          <w:bottom w:val="nil"/>
          <w:right w:val="nil"/>
          <w:between w:val="nil"/>
        </w:pBdr>
        <w:jc w:val="thaiDistribute"/>
        <w:rPr>
          <w:rFonts w:eastAsia="Google Sans Text"/>
          <w:color w:val="1F1F1F"/>
        </w:rPr>
      </w:pPr>
      <w:r w:rsidRPr="00792B36">
        <w:rPr>
          <w:rFonts w:eastAsia="Google Sans Text"/>
          <w:color w:val="1F1F1F"/>
        </w:rPr>
        <w:t>This National TDA serves as a key output of the SCS-SAP Project, providing the scientific and technical baseline required to facilitate sustainable resource management and strengthen regional coordination.</w:t>
      </w:r>
    </w:p>
    <w:p w14:paraId="63C30789" w14:textId="77777777" w:rsidR="00143ED6" w:rsidRPr="00792B36" w:rsidRDefault="00143ED6" w:rsidP="00143ED6">
      <w:pPr>
        <w:rPr>
          <w:b/>
          <w:bCs/>
          <w:sz w:val="24"/>
          <w:szCs w:val="28"/>
        </w:rPr>
      </w:pPr>
      <w:r w:rsidRPr="00792B36">
        <w:rPr>
          <w:b/>
          <w:bCs/>
          <w:sz w:val="24"/>
          <w:szCs w:val="28"/>
        </w:rPr>
        <w:lastRenderedPageBreak/>
        <w:t>Acronyms</w:t>
      </w:r>
    </w:p>
    <w:p w14:paraId="4C04F05B" w14:textId="77777777" w:rsidR="00143ED6" w:rsidRPr="00792B36" w:rsidRDefault="00143ED6" w:rsidP="00143ED6">
      <w:pPr>
        <w:rPr>
          <w:sz w:val="20"/>
          <w:szCs w:val="20"/>
        </w:rPr>
      </w:pPr>
    </w:p>
    <w:tbl>
      <w:tblPr>
        <w:tblStyle w:val="TableGridLight"/>
        <w:tblW w:w="0" w:type="auto"/>
        <w:tblLook w:val="04A0" w:firstRow="1" w:lastRow="0" w:firstColumn="1" w:lastColumn="0" w:noHBand="0" w:noVBand="1"/>
      </w:tblPr>
      <w:tblGrid>
        <w:gridCol w:w="1152"/>
        <w:gridCol w:w="3585"/>
        <w:gridCol w:w="1205"/>
        <w:gridCol w:w="3068"/>
      </w:tblGrid>
      <w:tr w:rsidR="00143ED6" w:rsidRPr="00792B36" w14:paraId="5BF50CA3" w14:textId="77777777" w:rsidTr="000C7AD0">
        <w:tc>
          <w:tcPr>
            <w:tcW w:w="0" w:type="auto"/>
            <w:hideMark/>
          </w:tcPr>
          <w:p w14:paraId="7485A7E0" w14:textId="77777777" w:rsidR="00143ED6" w:rsidRPr="00792B36" w:rsidRDefault="00143ED6" w:rsidP="0096560E">
            <w:pPr>
              <w:rPr>
                <w:rFonts w:eastAsia="Times New Roman"/>
                <w:b/>
                <w:bCs/>
                <w:color w:val="1F1F1F"/>
                <w:sz w:val="20"/>
                <w:szCs w:val="20"/>
              </w:rPr>
            </w:pPr>
            <w:r w:rsidRPr="00792B36">
              <w:rPr>
                <w:rFonts w:eastAsia="Times New Roman"/>
                <w:b/>
                <w:bCs/>
                <w:color w:val="1F1F1F"/>
                <w:sz w:val="20"/>
                <w:szCs w:val="20"/>
                <w:bdr w:val="none" w:sz="0" w:space="0" w:color="auto" w:frame="1"/>
              </w:rPr>
              <w:t>Acronym</w:t>
            </w:r>
          </w:p>
        </w:tc>
        <w:tc>
          <w:tcPr>
            <w:tcW w:w="0" w:type="auto"/>
            <w:hideMark/>
          </w:tcPr>
          <w:p w14:paraId="46862DE4" w14:textId="77777777" w:rsidR="00143ED6" w:rsidRPr="00792B36" w:rsidRDefault="00143ED6" w:rsidP="0096560E">
            <w:pPr>
              <w:rPr>
                <w:rFonts w:eastAsia="Times New Roman"/>
                <w:b/>
                <w:bCs/>
                <w:color w:val="1F1F1F"/>
                <w:sz w:val="20"/>
                <w:szCs w:val="20"/>
              </w:rPr>
            </w:pPr>
            <w:r w:rsidRPr="00792B36">
              <w:rPr>
                <w:rFonts w:eastAsia="Times New Roman"/>
                <w:b/>
                <w:bCs/>
                <w:color w:val="1F1F1F"/>
                <w:sz w:val="20"/>
                <w:szCs w:val="20"/>
                <w:bdr w:val="none" w:sz="0" w:space="0" w:color="auto" w:frame="1"/>
              </w:rPr>
              <w:t>Definition</w:t>
            </w:r>
          </w:p>
        </w:tc>
        <w:tc>
          <w:tcPr>
            <w:tcW w:w="0" w:type="auto"/>
            <w:hideMark/>
          </w:tcPr>
          <w:p w14:paraId="249B64DD" w14:textId="77777777" w:rsidR="00143ED6" w:rsidRPr="00792B36" w:rsidRDefault="00143ED6" w:rsidP="0096560E">
            <w:pPr>
              <w:rPr>
                <w:rFonts w:eastAsia="Times New Roman"/>
                <w:b/>
                <w:bCs/>
                <w:color w:val="1F1F1F"/>
                <w:sz w:val="20"/>
                <w:szCs w:val="20"/>
              </w:rPr>
            </w:pPr>
            <w:r w:rsidRPr="00792B36">
              <w:rPr>
                <w:rFonts w:eastAsia="Times New Roman"/>
                <w:b/>
                <w:bCs/>
                <w:color w:val="1F1F1F"/>
                <w:sz w:val="20"/>
                <w:szCs w:val="20"/>
                <w:bdr w:val="none" w:sz="0" w:space="0" w:color="auto" w:frame="1"/>
              </w:rPr>
              <w:t>Acronym</w:t>
            </w:r>
          </w:p>
        </w:tc>
        <w:tc>
          <w:tcPr>
            <w:tcW w:w="0" w:type="auto"/>
            <w:hideMark/>
          </w:tcPr>
          <w:p w14:paraId="78792E60" w14:textId="77777777" w:rsidR="00143ED6" w:rsidRPr="00792B36" w:rsidRDefault="00143ED6" w:rsidP="0096560E">
            <w:pPr>
              <w:rPr>
                <w:rFonts w:eastAsia="Times New Roman"/>
                <w:b/>
                <w:bCs/>
                <w:color w:val="1F1F1F"/>
                <w:sz w:val="20"/>
                <w:szCs w:val="20"/>
              </w:rPr>
            </w:pPr>
            <w:r w:rsidRPr="00792B36">
              <w:rPr>
                <w:rFonts w:eastAsia="Times New Roman"/>
                <w:b/>
                <w:bCs/>
                <w:color w:val="1F1F1F"/>
                <w:sz w:val="20"/>
                <w:szCs w:val="20"/>
                <w:bdr w:val="none" w:sz="0" w:space="0" w:color="auto" w:frame="1"/>
              </w:rPr>
              <w:t>Definition</w:t>
            </w:r>
          </w:p>
        </w:tc>
      </w:tr>
      <w:tr w:rsidR="00143ED6" w:rsidRPr="00792B36" w14:paraId="3198516C" w14:textId="77777777" w:rsidTr="000C7AD0">
        <w:tc>
          <w:tcPr>
            <w:tcW w:w="0" w:type="auto"/>
            <w:hideMark/>
          </w:tcPr>
          <w:p w14:paraId="62F2BB7B" w14:textId="77777777" w:rsidR="00143ED6" w:rsidRPr="00792B36" w:rsidRDefault="00143ED6" w:rsidP="0096560E">
            <w:pPr>
              <w:rPr>
                <w:rFonts w:eastAsia="Times New Roman"/>
                <w:color w:val="1F1F1F"/>
                <w:sz w:val="20"/>
                <w:szCs w:val="20"/>
              </w:rPr>
            </w:pPr>
            <w:r w:rsidRPr="00792B36">
              <w:rPr>
                <w:rFonts w:eastAsia="Times New Roman"/>
                <w:color w:val="1F1F1F"/>
                <w:sz w:val="20"/>
                <w:szCs w:val="20"/>
                <w:bdr w:val="none" w:sz="0" w:space="0" w:color="auto" w:frame="1"/>
              </w:rPr>
              <w:t>ACB</w:t>
            </w:r>
          </w:p>
        </w:tc>
        <w:tc>
          <w:tcPr>
            <w:tcW w:w="0" w:type="auto"/>
            <w:hideMark/>
          </w:tcPr>
          <w:p w14:paraId="150F379A" w14:textId="77777777" w:rsidR="00143ED6" w:rsidRPr="00792B36" w:rsidRDefault="00143ED6" w:rsidP="0096560E">
            <w:pPr>
              <w:rPr>
                <w:rFonts w:eastAsia="Times New Roman"/>
                <w:color w:val="1F1F1F"/>
                <w:sz w:val="20"/>
                <w:szCs w:val="20"/>
              </w:rPr>
            </w:pPr>
            <w:r w:rsidRPr="00792B36">
              <w:rPr>
                <w:rFonts w:eastAsia="Times New Roman"/>
                <w:color w:val="1F1F1F"/>
                <w:sz w:val="20"/>
                <w:szCs w:val="20"/>
                <w:bdr w:val="none" w:sz="0" w:space="0" w:color="auto" w:frame="1"/>
              </w:rPr>
              <w:t>ASEAN Centre for Biodiversity</w:t>
            </w:r>
          </w:p>
        </w:tc>
        <w:tc>
          <w:tcPr>
            <w:tcW w:w="0" w:type="auto"/>
            <w:hideMark/>
          </w:tcPr>
          <w:p w14:paraId="03D4C13A" w14:textId="77777777" w:rsidR="00143ED6" w:rsidRPr="00792B36" w:rsidRDefault="00143ED6" w:rsidP="0096560E">
            <w:pPr>
              <w:rPr>
                <w:rFonts w:eastAsia="Times New Roman"/>
                <w:color w:val="1F1F1F"/>
                <w:sz w:val="20"/>
                <w:szCs w:val="20"/>
              </w:rPr>
            </w:pPr>
            <w:r w:rsidRPr="00792B36">
              <w:rPr>
                <w:rFonts w:eastAsia="Times New Roman"/>
                <w:color w:val="1F1F1F"/>
                <w:sz w:val="20"/>
                <w:szCs w:val="20"/>
                <w:bdr w:val="none" w:sz="0" w:space="0" w:color="auto" w:frame="1"/>
              </w:rPr>
              <w:t>JABBA</w:t>
            </w:r>
          </w:p>
        </w:tc>
        <w:tc>
          <w:tcPr>
            <w:tcW w:w="0" w:type="auto"/>
            <w:hideMark/>
          </w:tcPr>
          <w:p w14:paraId="14057CFA" w14:textId="77777777" w:rsidR="00143ED6" w:rsidRPr="00792B36" w:rsidRDefault="00143ED6" w:rsidP="0096560E">
            <w:pPr>
              <w:rPr>
                <w:rFonts w:eastAsia="Times New Roman"/>
                <w:color w:val="1F1F1F"/>
                <w:sz w:val="20"/>
                <w:szCs w:val="20"/>
              </w:rPr>
            </w:pPr>
            <w:r w:rsidRPr="00792B36">
              <w:rPr>
                <w:rFonts w:eastAsia="Times New Roman"/>
                <w:color w:val="1F1F1F"/>
                <w:sz w:val="20"/>
                <w:szCs w:val="20"/>
                <w:bdr w:val="none" w:sz="0" w:space="0" w:color="auto" w:frame="1"/>
              </w:rPr>
              <w:t>Just Another Bayesian Biomass Assessment</w:t>
            </w:r>
          </w:p>
        </w:tc>
      </w:tr>
      <w:tr w:rsidR="00143ED6" w:rsidRPr="00792B36" w14:paraId="2368A57F" w14:textId="77777777" w:rsidTr="000C7AD0">
        <w:tc>
          <w:tcPr>
            <w:tcW w:w="0" w:type="auto"/>
            <w:hideMark/>
          </w:tcPr>
          <w:p w14:paraId="3B786477" w14:textId="77777777" w:rsidR="00143ED6" w:rsidRPr="00792B36" w:rsidRDefault="00143ED6" w:rsidP="0096560E">
            <w:pPr>
              <w:rPr>
                <w:rFonts w:eastAsia="Times New Roman"/>
                <w:color w:val="1F1F1F"/>
                <w:sz w:val="20"/>
                <w:szCs w:val="20"/>
              </w:rPr>
            </w:pPr>
            <w:r w:rsidRPr="00792B36">
              <w:rPr>
                <w:rFonts w:eastAsia="Times New Roman"/>
                <w:color w:val="1F1F1F"/>
                <w:sz w:val="20"/>
                <w:szCs w:val="20"/>
                <w:bdr w:val="none" w:sz="0" w:space="0" w:color="auto" w:frame="1"/>
              </w:rPr>
              <w:t>ACCPP</w:t>
            </w:r>
          </w:p>
        </w:tc>
        <w:tc>
          <w:tcPr>
            <w:tcW w:w="0" w:type="auto"/>
            <w:hideMark/>
          </w:tcPr>
          <w:p w14:paraId="14B306F8" w14:textId="77777777" w:rsidR="00143ED6" w:rsidRPr="00792B36" w:rsidRDefault="00143ED6" w:rsidP="0096560E">
            <w:pPr>
              <w:rPr>
                <w:rFonts w:eastAsia="Times New Roman"/>
                <w:color w:val="1F1F1F"/>
                <w:sz w:val="20"/>
                <w:szCs w:val="20"/>
              </w:rPr>
            </w:pPr>
            <w:r w:rsidRPr="00792B36">
              <w:rPr>
                <w:rFonts w:eastAsia="Times New Roman"/>
                <w:color w:val="1F1F1F"/>
                <w:sz w:val="20"/>
                <w:szCs w:val="20"/>
                <w:bdr w:val="none" w:sz="0" w:space="0" w:color="auto" w:frame="1"/>
              </w:rPr>
              <w:t>ASEAN Conference on Combatting Plastic Pollution</w:t>
            </w:r>
          </w:p>
        </w:tc>
        <w:tc>
          <w:tcPr>
            <w:tcW w:w="0" w:type="auto"/>
            <w:hideMark/>
          </w:tcPr>
          <w:p w14:paraId="331F147D" w14:textId="77777777" w:rsidR="00143ED6" w:rsidRPr="00792B36" w:rsidRDefault="00143ED6" w:rsidP="0096560E">
            <w:pPr>
              <w:rPr>
                <w:rFonts w:eastAsia="Times New Roman"/>
                <w:color w:val="1F1F1F"/>
                <w:sz w:val="20"/>
                <w:szCs w:val="20"/>
              </w:rPr>
            </w:pPr>
            <w:r w:rsidRPr="00792B36">
              <w:rPr>
                <w:rFonts w:eastAsia="Times New Roman"/>
                <w:color w:val="1F1F1F"/>
                <w:sz w:val="20"/>
                <w:szCs w:val="20"/>
                <w:bdr w:val="none" w:sz="0" w:space="0" w:color="auto" w:frame="1"/>
              </w:rPr>
              <w:t>LB-SPR</w:t>
            </w:r>
          </w:p>
        </w:tc>
        <w:tc>
          <w:tcPr>
            <w:tcW w:w="0" w:type="auto"/>
            <w:hideMark/>
          </w:tcPr>
          <w:p w14:paraId="4A61C252" w14:textId="77777777" w:rsidR="00143ED6" w:rsidRPr="00792B36" w:rsidRDefault="00143ED6" w:rsidP="0096560E">
            <w:pPr>
              <w:rPr>
                <w:rFonts w:eastAsia="Times New Roman"/>
                <w:color w:val="1F1F1F"/>
                <w:sz w:val="20"/>
                <w:szCs w:val="20"/>
              </w:rPr>
            </w:pPr>
            <w:r w:rsidRPr="00792B36">
              <w:rPr>
                <w:rFonts w:eastAsia="Times New Roman"/>
                <w:color w:val="1F1F1F"/>
                <w:sz w:val="20"/>
                <w:szCs w:val="20"/>
                <w:bdr w:val="none" w:sz="0" w:space="0" w:color="auto" w:frame="1"/>
              </w:rPr>
              <w:t>Length-Based Spawning Potential Ratio</w:t>
            </w:r>
          </w:p>
        </w:tc>
      </w:tr>
      <w:tr w:rsidR="00143ED6" w:rsidRPr="00792B36" w14:paraId="310F5C72" w14:textId="77777777" w:rsidTr="000C7AD0">
        <w:tc>
          <w:tcPr>
            <w:tcW w:w="0" w:type="auto"/>
            <w:hideMark/>
          </w:tcPr>
          <w:p w14:paraId="00A1CD96" w14:textId="77777777" w:rsidR="00143ED6" w:rsidRPr="00792B36" w:rsidRDefault="00143ED6" w:rsidP="0096560E">
            <w:pPr>
              <w:rPr>
                <w:rFonts w:eastAsia="Times New Roman"/>
                <w:color w:val="1F1F1F"/>
                <w:sz w:val="20"/>
                <w:szCs w:val="20"/>
              </w:rPr>
            </w:pPr>
            <w:r w:rsidRPr="00792B36">
              <w:rPr>
                <w:rFonts w:eastAsia="Times New Roman"/>
                <w:color w:val="1F1F1F"/>
                <w:sz w:val="20"/>
                <w:szCs w:val="20"/>
                <w:bdr w:val="none" w:sz="0" w:space="0" w:color="auto" w:frame="1"/>
              </w:rPr>
              <w:t>ADB</w:t>
            </w:r>
          </w:p>
        </w:tc>
        <w:tc>
          <w:tcPr>
            <w:tcW w:w="0" w:type="auto"/>
            <w:hideMark/>
          </w:tcPr>
          <w:p w14:paraId="5A589BCD" w14:textId="77777777" w:rsidR="00143ED6" w:rsidRPr="00792B36" w:rsidRDefault="00143ED6" w:rsidP="0096560E">
            <w:pPr>
              <w:rPr>
                <w:rFonts w:eastAsia="Times New Roman"/>
                <w:color w:val="1F1F1F"/>
                <w:sz w:val="20"/>
                <w:szCs w:val="20"/>
              </w:rPr>
            </w:pPr>
            <w:r w:rsidRPr="00792B36">
              <w:rPr>
                <w:rFonts w:eastAsia="Times New Roman"/>
                <w:color w:val="1F1F1F"/>
                <w:sz w:val="20"/>
                <w:szCs w:val="20"/>
                <w:bdr w:val="none" w:sz="0" w:space="0" w:color="auto" w:frame="1"/>
              </w:rPr>
              <w:t>Asian Development Bank</w:t>
            </w:r>
          </w:p>
        </w:tc>
        <w:tc>
          <w:tcPr>
            <w:tcW w:w="0" w:type="auto"/>
            <w:hideMark/>
          </w:tcPr>
          <w:p w14:paraId="145DFD0A" w14:textId="77777777" w:rsidR="00143ED6" w:rsidRPr="00792B36" w:rsidRDefault="00143ED6" w:rsidP="0096560E">
            <w:pPr>
              <w:rPr>
                <w:rFonts w:eastAsia="Times New Roman"/>
                <w:color w:val="1F1F1F"/>
                <w:sz w:val="20"/>
                <w:szCs w:val="20"/>
              </w:rPr>
            </w:pPr>
            <w:r w:rsidRPr="00792B36">
              <w:rPr>
                <w:rFonts w:eastAsia="Times New Roman"/>
                <w:color w:val="1F1F1F"/>
                <w:sz w:val="20"/>
                <w:szCs w:val="20"/>
                <w:bdr w:val="none" w:sz="0" w:space="0" w:color="auto" w:frame="1"/>
              </w:rPr>
              <w:t>LEG</w:t>
            </w:r>
          </w:p>
        </w:tc>
        <w:tc>
          <w:tcPr>
            <w:tcW w:w="0" w:type="auto"/>
            <w:hideMark/>
          </w:tcPr>
          <w:p w14:paraId="74C12758" w14:textId="77777777" w:rsidR="00143ED6" w:rsidRPr="00792B36" w:rsidRDefault="00143ED6" w:rsidP="0096560E">
            <w:pPr>
              <w:rPr>
                <w:rFonts w:eastAsia="Times New Roman"/>
                <w:color w:val="1F1F1F"/>
                <w:sz w:val="20"/>
                <w:szCs w:val="20"/>
              </w:rPr>
            </w:pPr>
            <w:r w:rsidRPr="00792B36">
              <w:rPr>
                <w:rFonts w:eastAsia="Times New Roman"/>
                <w:color w:val="1F1F1F"/>
                <w:sz w:val="20"/>
                <w:szCs w:val="20"/>
                <w:bdr w:val="none" w:sz="0" w:space="0" w:color="auto" w:frame="1"/>
              </w:rPr>
              <w:t>Low Efficiency Gear</w:t>
            </w:r>
          </w:p>
        </w:tc>
      </w:tr>
      <w:tr w:rsidR="00143ED6" w:rsidRPr="00792B36" w14:paraId="023A1E27" w14:textId="77777777" w:rsidTr="000C7AD0">
        <w:tc>
          <w:tcPr>
            <w:tcW w:w="0" w:type="auto"/>
            <w:hideMark/>
          </w:tcPr>
          <w:p w14:paraId="355A5675" w14:textId="77777777" w:rsidR="00143ED6" w:rsidRPr="00792B36" w:rsidRDefault="00143ED6" w:rsidP="0096560E">
            <w:pPr>
              <w:rPr>
                <w:rFonts w:eastAsia="Times New Roman"/>
                <w:color w:val="1F1F1F"/>
                <w:sz w:val="20"/>
                <w:szCs w:val="20"/>
              </w:rPr>
            </w:pPr>
            <w:r w:rsidRPr="00792B36">
              <w:rPr>
                <w:rFonts w:eastAsia="Times New Roman"/>
                <w:color w:val="1F1F1F"/>
                <w:sz w:val="20"/>
                <w:szCs w:val="20"/>
                <w:bdr w:val="none" w:sz="0" w:space="0" w:color="auto" w:frame="1"/>
              </w:rPr>
              <w:t>ALDFG</w:t>
            </w:r>
          </w:p>
        </w:tc>
        <w:tc>
          <w:tcPr>
            <w:tcW w:w="0" w:type="auto"/>
            <w:hideMark/>
          </w:tcPr>
          <w:p w14:paraId="65B3A68F" w14:textId="77777777" w:rsidR="00143ED6" w:rsidRPr="00792B36" w:rsidRDefault="00143ED6" w:rsidP="0096560E">
            <w:pPr>
              <w:rPr>
                <w:rFonts w:eastAsia="Times New Roman"/>
                <w:color w:val="1F1F1F"/>
                <w:sz w:val="20"/>
                <w:szCs w:val="20"/>
              </w:rPr>
            </w:pPr>
            <w:r w:rsidRPr="00792B36">
              <w:rPr>
                <w:rFonts w:eastAsia="Times New Roman"/>
                <w:color w:val="1F1F1F"/>
                <w:sz w:val="20"/>
                <w:szCs w:val="20"/>
                <w:bdr w:val="none" w:sz="0" w:space="0" w:color="auto" w:frame="1"/>
              </w:rPr>
              <w:t>Abandoned, Lost, or otherwise Discarded Fishing Gear</w:t>
            </w:r>
          </w:p>
        </w:tc>
        <w:tc>
          <w:tcPr>
            <w:tcW w:w="0" w:type="auto"/>
            <w:hideMark/>
          </w:tcPr>
          <w:p w14:paraId="3809B6E8" w14:textId="77777777" w:rsidR="00143ED6" w:rsidRPr="00792B36" w:rsidRDefault="00143ED6" w:rsidP="0096560E">
            <w:pPr>
              <w:rPr>
                <w:rFonts w:eastAsia="Times New Roman"/>
                <w:color w:val="1F1F1F"/>
                <w:sz w:val="20"/>
                <w:szCs w:val="20"/>
              </w:rPr>
            </w:pPr>
            <w:r w:rsidRPr="00792B36">
              <w:rPr>
                <w:rFonts w:eastAsia="Times New Roman"/>
                <w:color w:val="1F1F1F"/>
                <w:sz w:val="20"/>
                <w:szCs w:val="20"/>
                <w:bdr w:val="none" w:sz="0" w:space="0" w:color="auto" w:frame="1"/>
              </w:rPr>
              <w:t>MARPOL</w:t>
            </w:r>
          </w:p>
        </w:tc>
        <w:tc>
          <w:tcPr>
            <w:tcW w:w="0" w:type="auto"/>
            <w:hideMark/>
          </w:tcPr>
          <w:p w14:paraId="67BABEE4" w14:textId="77777777" w:rsidR="00143ED6" w:rsidRPr="00792B36" w:rsidRDefault="00143ED6" w:rsidP="0096560E">
            <w:pPr>
              <w:rPr>
                <w:rFonts w:eastAsia="Times New Roman"/>
                <w:color w:val="1F1F1F"/>
                <w:sz w:val="20"/>
                <w:szCs w:val="20"/>
              </w:rPr>
            </w:pPr>
            <w:r w:rsidRPr="00792B36">
              <w:rPr>
                <w:rFonts w:eastAsia="Times New Roman"/>
                <w:color w:val="1F1F1F"/>
                <w:sz w:val="20"/>
                <w:szCs w:val="20"/>
                <w:bdr w:val="none" w:sz="0" w:space="0" w:color="auto" w:frame="1"/>
              </w:rPr>
              <w:t>International Convention for the Prevention of Pollution from Ships</w:t>
            </w:r>
          </w:p>
        </w:tc>
      </w:tr>
      <w:tr w:rsidR="00143ED6" w:rsidRPr="00792B36" w14:paraId="70AA783B" w14:textId="77777777" w:rsidTr="000C7AD0">
        <w:tc>
          <w:tcPr>
            <w:tcW w:w="0" w:type="auto"/>
            <w:hideMark/>
          </w:tcPr>
          <w:p w14:paraId="0AA3722C" w14:textId="77777777" w:rsidR="00143ED6" w:rsidRPr="00792B36" w:rsidRDefault="00143ED6" w:rsidP="0096560E">
            <w:pPr>
              <w:rPr>
                <w:rFonts w:eastAsia="Times New Roman"/>
                <w:color w:val="1F1F1F"/>
                <w:sz w:val="20"/>
                <w:szCs w:val="20"/>
              </w:rPr>
            </w:pPr>
            <w:r w:rsidRPr="00792B36">
              <w:rPr>
                <w:rFonts w:eastAsia="Times New Roman"/>
                <w:color w:val="1F1F1F"/>
                <w:sz w:val="20"/>
                <w:szCs w:val="20"/>
                <w:bdr w:val="none" w:sz="0" w:space="0" w:color="auto" w:frame="1"/>
              </w:rPr>
              <w:t>AMAF</w:t>
            </w:r>
          </w:p>
        </w:tc>
        <w:tc>
          <w:tcPr>
            <w:tcW w:w="0" w:type="auto"/>
            <w:hideMark/>
          </w:tcPr>
          <w:p w14:paraId="3B5FB7B6" w14:textId="77777777" w:rsidR="00143ED6" w:rsidRPr="00792B36" w:rsidRDefault="00143ED6" w:rsidP="0096560E">
            <w:pPr>
              <w:rPr>
                <w:rFonts w:eastAsia="Times New Roman"/>
                <w:color w:val="1F1F1F"/>
                <w:sz w:val="20"/>
                <w:szCs w:val="20"/>
              </w:rPr>
            </w:pPr>
            <w:r w:rsidRPr="00792B36">
              <w:rPr>
                <w:rFonts w:eastAsia="Times New Roman"/>
                <w:color w:val="1F1F1F"/>
                <w:sz w:val="20"/>
                <w:szCs w:val="20"/>
                <w:bdr w:val="none" w:sz="0" w:space="0" w:color="auto" w:frame="1"/>
              </w:rPr>
              <w:t>ASEAN Ministers on Agriculture and Forestry</w:t>
            </w:r>
          </w:p>
        </w:tc>
        <w:tc>
          <w:tcPr>
            <w:tcW w:w="0" w:type="auto"/>
            <w:hideMark/>
          </w:tcPr>
          <w:p w14:paraId="621794A7" w14:textId="77777777" w:rsidR="00143ED6" w:rsidRPr="00792B36" w:rsidRDefault="00143ED6" w:rsidP="0096560E">
            <w:pPr>
              <w:rPr>
                <w:rFonts w:eastAsia="Times New Roman"/>
                <w:color w:val="1F1F1F"/>
                <w:sz w:val="20"/>
                <w:szCs w:val="20"/>
              </w:rPr>
            </w:pPr>
            <w:r w:rsidRPr="00792B36">
              <w:rPr>
                <w:rFonts w:eastAsia="Times New Roman"/>
                <w:color w:val="1F1F1F"/>
                <w:sz w:val="20"/>
                <w:szCs w:val="20"/>
                <w:bdr w:val="none" w:sz="0" w:space="0" w:color="auto" w:frame="1"/>
              </w:rPr>
              <w:t>MCS</w:t>
            </w:r>
          </w:p>
        </w:tc>
        <w:tc>
          <w:tcPr>
            <w:tcW w:w="0" w:type="auto"/>
            <w:hideMark/>
          </w:tcPr>
          <w:p w14:paraId="3DAEA987" w14:textId="77777777" w:rsidR="00143ED6" w:rsidRPr="00792B36" w:rsidRDefault="00143ED6" w:rsidP="0096560E">
            <w:pPr>
              <w:rPr>
                <w:rFonts w:eastAsia="Times New Roman"/>
                <w:color w:val="1F1F1F"/>
                <w:sz w:val="20"/>
                <w:szCs w:val="20"/>
              </w:rPr>
            </w:pPr>
            <w:r w:rsidRPr="00792B36">
              <w:rPr>
                <w:rFonts w:eastAsia="Times New Roman"/>
                <w:color w:val="1F1F1F"/>
                <w:sz w:val="20"/>
                <w:szCs w:val="20"/>
                <w:bdr w:val="none" w:sz="0" w:space="0" w:color="auto" w:frame="1"/>
              </w:rPr>
              <w:t>Monitoring, Control, and Surveillance</w:t>
            </w:r>
          </w:p>
        </w:tc>
      </w:tr>
      <w:tr w:rsidR="00143ED6" w:rsidRPr="00792B36" w14:paraId="5D83035D" w14:textId="77777777" w:rsidTr="000C7AD0">
        <w:tc>
          <w:tcPr>
            <w:tcW w:w="0" w:type="auto"/>
            <w:hideMark/>
          </w:tcPr>
          <w:p w14:paraId="56D3679E" w14:textId="77777777" w:rsidR="00143ED6" w:rsidRPr="00792B36" w:rsidRDefault="00143ED6" w:rsidP="0096560E">
            <w:pPr>
              <w:rPr>
                <w:rFonts w:eastAsia="Times New Roman"/>
                <w:color w:val="1F1F1F"/>
                <w:sz w:val="20"/>
                <w:szCs w:val="20"/>
              </w:rPr>
            </w:pPr>
            <w:r w:rsidRPr="00792B36">
              <w:rPr>
                <w:rFonts w:eastAsia="Times New Roman"/>
                <w:color w:val="1F1F1F"/>
                <w:sz w:val="20"/>
                <w:szCs w:val="20"/>
                <w:bdr w:val="none" w:sz="0" w:space="0" w:color="auto" w:frame="1"/>
              </w:rPr>
              <w:t>AN-IUU</w:t>
            </w:r>
          </w:p>
        </w:tc>
        <w:tc>
          <w:tcPr>
            <w:tcW w:w="0" w:type="auto"/>
            <w:hideMark/>
          </w:tcPr>
          <w:p w14:paraId="073AFFBA" w14:textId="77777777" w:rsidR="00143ED6" w:rsidRPr="00792B36" w:rsidRDefault="00143ED6" w:rsidP="0096560E">
            <w:pPr>
              <w:rPr>
                <w:rFonts w:eastAsia="Times New Roman"/>
                <w:color w:val="1F1F1F"/>
                <w:sz w:val="20"/>
                <w:szCs w:val="20"/>
              </w:rPr>
            </w:pPr>
            <w:r w:rsidRPr="00792B36">
              <w:rPr>
                <w:rFonts w:eastAsia="Times New Roman"/>
                <w:color w:val="1F1F1F"/>
                <w:sz w:val="20"/>
                <w:szCs w:val="20"/>
                <w:bdr w:val="none" w:sz="0" w:space="0" w:color="auto" w:frame="1"/>
              </w:rPr>
              <w:t>ASEAN Network for Combating IUU Fishing</w:t>
            </w:r>
          </w:p>
        </w:tc>
        <w:tc>
          <w:tcPr>
            <w:tcW w:w="0" w:type="auto"/>
            <w:hideMark/>
          </w:tcPr>
          <w:p w14:paraId="7D71488D" w14:textId="77777777" w:rsidR="00143ED6" w:rsidRPr="00792B36" w:rsidRDefault="00143ED6" w:rsidP="0096560E">
            <w:pPr>
              <w:rPr>
                <w:rFonts w:eastAsia="Times New Roman"/>
                <w:color w:val="1F1F1F"/>
                <w:sz w:val="20"/>
                <w:szCs w:val="20"/>
              </w:rPr>
            </w:pPr>
            <w:r w:rsidRPr="00792B36">
              <w:rPr>
                <w:rFonts w:eastAsia="Times New Roman"/>
                <w:color w:val="1F1F1F"/>
                <w:sz w:val="20"/>
                <w:szCs w:val="20"/>
                <w:bdr w:val="none" w:sz="0" w:space="0" w:color="auto" w:frame="1"/>
              </w:rPr>
              <w:t>MD</w:t>
            </w:r>
          </w:p>
        </w:tc>
        <w:tc>
          <w:tcPr>
            <w:tcW w:w="0" w:type="auto"/>
            <w:hideMark/>
          </w:tcPr>
          <w:p w14:paraId="7DF93C16" w14:textId="77777777" w:rsidR="00143ED6" w:rsidRPr="00792B36" w:rsidRDefault="00143ED6" w:rsidP="0096560E">
            <w:pPr>
              <w:rPr>
                <w:rFonts w:eastAsia="Times New Roman"/>
                <w:color w:val="1F1F1F"/>
                <w:sz w:val="20"/>
                <w:szCs w:val="20"/>
              </w:rPr>
            </w:pPr>
            <w:r w:rsidRPr="00792B36">
              <w:rPr>
                <w:rFonts w:eastAsia="Times New Roman"/>
                <w:color w:val="1F1F1F"/>
                <w:sz w:val="20"/>
                <w:szCs w:val="20"/>
                <w:bdr w:val="none" w:sz="0" w:space="0" w:color="auto" w:frame="1"/>
              </w:rPr>
              <w:t>Marine Department</w:t>
            </w:r>
          </w:p>
        </w:tc>
      </w:tr>
      <w:tr w:rsidR="00143ED6" w:rsidRPr="00792B36" w14:paraId="410E42AC" w14:textId="77777777" w:rsidTr="000C7AD0">
        <w:tc>
          <w:tcPr>
            <w:tcW w:w="0" w:type="auto"/>
            <w:hideMark/>
          </w:tcPr>
          <w:p w14:paraId="0624EBDE" w14:textId="77777777" w:rsidR="00143ED6" w:rsidRPr="00792B36" w:rsidRDefault="00143ED6" w:rsidP="0096560E">
            <w:pPr>
              <w:rPr>
                <w:rFonts w:eastAsia="Times New Roman"/>
                <w:color w:val="1F1F1F"/>
                <w:sz w:val="20"/>
                <w:szCs w:val="20"/>
              </w:rPr>
            </w:pPr>
            <w:r w:rsidRPr="00792B36">
              <w:rPr>
                <w:rFonts w:eastAsia="Times New Roman"/>
                <w:color w:val="1F1F1F"/>
                <w:sz w:val="20"/>
                <w:szCs w:val="20"/>
                <w:bdr w:val="none" w:sz="0" w:space="0" w:color="auto" w:frame="1"/>
              </w:rPr>
              <w:t>APEC</w:t>
            </w:r>
          </w:p>
        </w:tc>
        <w:tc>
          <w:tcPr>
            <w:tcW w:w="0" w:type="auto"/>
            <w:hideMark/>
          </w:tcPr>
          <w:p w14:paraId="51795866" w14:textId="77777777" w:rsidR="00143ED6" w:rsidRPr="00792B36" w:rsidRDefault="00143ED6" w:rsidP="0096560E">
            <w:pPr>
              <w:rPr>
                <w:rFonts w:eastAsia="Times New Roman"/>
                <w:color w:val="1F1F1F"/>
                <w:sz w:val="20"/>
                <w:szCs w:val="20"/>
              </w:rPr>
            </w:pPr>
            <w:r w:rsidRPr="00792B36">
              <w:rPr>
                <w:rFonts w:eastAsia="Times New Roman"/>
                <w:color w:val="1F1F1F"/>
                <w:sz w:val="20"/>
                <w:szCs w:val="20"/>
                <w:bdr w:val="none" w:sz="0" w:space="0" w:color="auto" w:frame="1"/>
              </w:rPr>
              <w:t>Asia-Pacific Economic Cooperation</w:t>
            </w:r>
          </w:p>
        </w:tc>
        <w:tc>
          <w:tcPr>
            <w:tcW w:w="0" w:type="auto"/>
            <w:hideMark/>
          </w:tcPr>
          <w:p w14:paraId="37411619" w14:textId="77777777" w:rsidR="00143ED6" w:rsidRPr="00792B36" w:rsidRDefault="00143ED6" w:rsidP="0096560E">
            <w:pPr>
              <w:rPr>
                <w:rFonts w:eastAsia="Times New Roman"/>
                <w:color w:val="1F1F1F"/>
                <w:sz w:val="20"/>
                <w:szCs w:val="20"/>
              </w:rPr>
            </w:pPr>
            <w:r w:rsidRPr="00792B36">
              <w:rPr>
                <w:rFonts w:eastAsia="Times New Roman"/>
                <w:color w:val="1F1F1F"/>
                <w:sz w:val="20"/>
                <w:szCs w:val="20"/>
                <w:bdr w:val="none" w:sz="0" w:space="0" w:color="auto" w:frame="1"/>
              </w:rPr>
              <w:t>MFA</w:t>
            </w:r>
          </w:p>
        </w:tc>
        <w:tc>
          <w:tcPr>
            <w:tcW w:w="0" w:type="auto"/>
            <w:hideMark/>
          </w:tcPr>
          <w:p w14:paraId="56F99D24" w14:textId="77777777" w:rsidR="00143ED6" w:rsidRPr="00792B36" w:rsidRDefault="00143ED6" w:rsidP="0096560E">
            <w:pPr>
              <w:rPr>
                <w:rFonts w:eastAsia="Times New Roman"/>
                <w:color w:val="1F1F1F"/>
                <w:sz w:val="20"/>
                <w:szCs w:val="20"/>
              </w:rPr>
            </w:pPr>
            <w:r w:rsidRPr="00792B36">
              <w:rPr>
                <w:rFonts w:eastAsia="Times New Roman"/>
                <w:color w:val="1F1F1F"/>
                <w:sz w:val="20"/>
                <w:szCs w:val="20"/>
                <w:bdr w:val="none" w:sz="0" w:space="0" w:color="auto" w:frame="1"/>
              </w:rPr>
              <w:t>Ministry of Foreign Affairs</w:t>
            </w:r>
          </w:p>
        </w:tc>
      </w:tr>
      <w:tr w:rsidR="00143ED6" w:rsidRPr="00792B36" w14:paraId="5528D21D" w14:textId="77777777" w:rsidTr="000C7AD0">
        <w:tc>
          <w:tcPr>
            <w:tcW w:w="0" w:type="auto"/>
            <w:hideMark/>
          </w:tcPr>
          <w:p w14:paraId="5B209D18" w14:textId="77777777" w:rsidR="00143ED6" w:rsidRPr="00792B36" w:rsidRDefault="00143ED6" w:rsidP="0096560E">
            <w:pPr>
              <w:rPr>
                <w:rFonts w:eastAsia="Times New Roman"/>
                <w:color w:val="1F1F1F"/>
                <w:sz w:val="20"/>
                <w:szCs w:val="20"/>
              </w:rPr>
            </w:pPr>
            <w:r w:rsidRPr="00792B36">
              <w:rPr>
                <w:rFonts w:eastAsia="Times New Roman"/>
                <w:color w:val="1F1F1F"/>
                <w:sz w:val="20"/>
                <w:szCs w:val="20"/>
                <w:bdr w:val="none" w:sz="0" w:space="0" w:color="auto" w:frame="1"/>
              </w:rPr>
              <w:t>ASEAN</w:t>
            </w:r>
          </w:p>
        </w:tc>
        <w:tc>
          <w:tcPr>
            <w:tcW w:w="0" w:type="auto"/>
            <w:hideMark/>
          </w:tcPr>
          <w:p w14:paraId="0D378F0B" w14:textId="77777777" w:rsidR="00143ED6" w:rsidRPr="00792B36" w:rsidRDefault="00143ED6" w:rsidP="0096560E">
            <w:pPr>
              <w:rPr>
                <w:rFonts w:eastAsia="Times New Roman"/>
                <w:color w:val="1F1F1F"/>
                <w:sz w:val="20"/>
                <w:szCs w:val="20"/>
              </w:rPr>
            </w:pPr>
            <w:r w:rsidRPr="00792B36">
              <w:rPr>
                <w:rFonts w:eastAsia="Times New Roman"/>
                <w:color w:val="1F1F1F"/>
                <w:sz w:val="20"/>
                <w:szCs w:val="20"/>
                <w:bdr w:val="none" w:sz="0" w:space="0" w:color="auto" w:frame="1"/>
              </w:rPr>
              <w:t>Association of Southeast Asian Nations</w:t>
            </w:r>
          </w:p>
        </w:tc>
        <w:tc>
          <w:tcPr>
            <w:tcW w:w="0" w:type="auto"/>
            <w:hideMark/>
          </w:tcPr>
          <w:p w14:paraId="27774D00" w14:textId="77777777" w:rsidR="00143ED6" w:rsidRPr="00792B36" w:rsidRDefault="00143ED6" w:rsidP="0096560E">
            <w:pPr>
              <w:rPr>
                <w:rFonts w:eastAsia="Times New Roman"/>
                <w:color w:val="1F1F1F"/>
                <w:sz w:val="20"/>
                <w:szCs w:val="20"/>
              </w:rPr>
            </w:pPr>
            <w:r w:rsidRPr="00792B36">
              <w:rPr>
                <w:rFonts w:eastAsia="Times New Roman"/>
                <w:color w:val="1F1F1F"/>
                <w:sz w:val="20"/>
                <w:szCs w:val="20"/>
                <w:bdr w:val="none" w:sz="0" w:space="0" w:color="auto" w:frame="1"/>
              </w:rPr>
              <w:t>MIP</w:t>
            </w:r>
          </w:p>
        </w:tc>
        <w:tc>
          <w:tcPr>
            <w:tcW w:w="0" w:type="auto"/>
            <w:hideMark/>
          </w:tcPr>
          <w:p w14:paraId="26D1AEBA" w14:textId="77777777" w:rsidR="00143ED6" w:rsidRPr="00792B36" w:rsidRDefault="00143ED6" w:rsidP="0096560E">
            <w:pPr>
              <w:rPr>
                <w:rFonts w:eastAsia="Times New Roman"/>
                <w:color w:val="1F1F1F"/>
                <w:sz w:val="20"/>
                <w:szCs w:val="20"/>
              </w:rPr>
            </w:pPr>
            <w:r w:rsidRPr="00792B36">
              <w:rPr>
                <w:rFonts w:eastAsia="Times New Roman"/>
                <w:color w:val="1F1F1F"/>
                <w:sz w:val="20"/>
                <w:szCs w:val="20"/>
                <w:bdr w:val="none" w:sz="0" w:space="0" w:color="auto" w:frame="1"/>
              </w:rPr>
              <w:t>National Maritime Interests Protection Policy Committee</w:t>
            </w:r>
          </w:p>
        </w:tc>
      </w:tr>
      <w:tr w:rsidR="00143ED6" w:rsidRPr="00792B36" w14:paraId="124084CC" w14:textId="77777777" w:rsidTr="000C7AD0">
        <w:tc>
          <w:tcPr>
            <w:tcW w:w="0" w:type="auto"/>
            <w:hideMark/>
          </w:tcPr>
          <w:p w14:paraId="1A117363" w14:textId="77777777" w:rsidR="00143ED6" w:rsidRPr="00792B36" w:rsidRDefault="00143ED6" w:rsidP="0096560E">
            <w:pPr>
              <w:rPr>
                <w:rFonts w:eastAsia="Times New Roman"/>
                <w:color w:val="1F1F1F"/>
                <w:sz w:val="20"/>
                <w:szCs w:val="20"/>
              </w:rPr>
            </w:pPr>
            <w:r w:rsidRPr="00792B36">
              <w:rPr>
                <w:rFonts w:eastAsia="Times New Roman"/>
                <w:color w:val="1F1F1F"/>
                <w:sz w:val="20"/>
                <w:szCs w:val="20"/>
                <w:bdr w:val="none" w:sz="0" w:space="0" w:color="auto" w:frame="1"/>
              </w:rPr>
              <w:t>BBNJ</w:t>
            </w:r>
          </w:p>
        </w:tc>
        <w:tc>
          <w:tcPr>
            <w:tcW w:w="0" w:type="auto"/>
            <w:hideMark/>
          </w:tcPr>
          <w:p w14:paraId="2A845011" w14:textId="77777777" w:rsidR="00143ED6" w:rsidRPr="00792B36" w:rsidRDefault="00143ED6" w:rsidP="0096560E">
            <w:pPr>
              <w:rPr>
                <w:rFonts w:eastAsia="Times New Roman"/>
                <w:color w:val="1F1F1F"/>
                <w:sz w:val="20"/>
                <w:szCs w:val="20"/>
              </w:rPr>
            </w:pPr>
            <w:r w:rsidRPr="00792B36">
              <w:rPr>
                <w:rFonts w:eastAsia="Times New Roman"/>
                <w:color w:val="1F1F1F"/>
                <w:sz w:val="20"/>
                <w:szCs w:val="20"/>
                <w:bdr w:val="none" w:sz="0" w:space="0" w:color="auto" w:frame="1"/>
              </w:rPr>
              <w:t>Biodiversity Beyond National Jurisdiction</w:t>
            </w:r>
          </w:p>
        </w:tc>
        <w:tc>
          <w:tcPr>
            <w:tcW w:w="0" w:type="auto"/>
            <w:hideMark/>
          </w:tcPr>
          <w:p w14:paraId="3100715F" w14:textId="77777777" w:rsidR="00143ED6" w:rsidRPr="00792B36" w:rsidRDefault="00143ED6" w:rsidP="0096560E">
            <w:pPr>
              <w:rPr>
                <w:rFonts w:eastAsia="Times New Roman"/>
                <w:color w:val="1F1F1F"/>
                <w:sz w:val="20"/>
                <w:szCs w:val="20"/>
              </w:rPr>
            </w:pPr>
            <w:r w:rsidRPr="00792B36">
              <w:rPr>
                <w:rFonts w:eastAsia="Times New Roman"/>
                <w:color w:val="1F1F1F"/>
                <w:sz w:val="20"/>
                <w:szCs w:val="20"/>
                <w:bdr w:val="none" w:sz="0" w:space="0" w:color="auto" w:frame="1"/>
              </w:rPr>
              <w:t>MONRE</w:t>
            </w:r>
          </w:p>
        </w:tc>
        <w:tc>
          <w:tcPr>
            <w:tcW w:w="0" w:type="auto"/>
            <w:hideMark/>
          </w:tcPr>
          <w:p w14:paraId="790A1124" w14:textId="77777777" w:rsidR="00143ED6" w:rsidRPr="00792B36" w:rsidRDefault="00143ED6" w:rsidP="0096560E">
            <w:pPr>
              <w:rPr>
                <w:rFonts w:eastAsia="Times New Roman"/>
                <w:color w:val="1F1F1F"/>
                <w:sz w:val="20"/>
                <w:szCs w:val="20"/>
              </w:rPr>
            </w:pPr>
            <w:r w:rsidRPr="00792B36">
              <w:rPr>
                <w:rFonts w:eastAsia="Times New Roman"/>
                <w:color w:val="1F1F1F"/>
                <w:sz w:val="20"/>
                <w:szCs w:val="20"/>
                <w:bdr w:val="none" w:sz="0" w:space="0" w:color="auto" w:frame="1"/>
              </w:rPr>
              <w:t>Ministry of Natural Resources and Environment</w:t>
            </w:r>
          </w:p>
        </w:tc>
      </w:tr>
      <w:tr w:rsidR="00143ED6" w:rsidRPr="00792B36" w14:paraId="023A0DE0" w14:textId="77777777" w:rsidTr="000C7AD0">
        <w:tc>
          <w:tcPr>
            <w:tcW w:w="0" w:type="auto"/>
            <w:hideMark/>
          </w:tcPr>
          <w:p w14:paraId="50333D2E" w14:textId="77777777" w:rsidR="00143ED6" w:rsidRPr="00792B36" w:rsidRDefault="00143ED6" w:rsidP="0096560E">
            <w:pPr>
              <w:rPr>
                <w:rFonts w:eastAsia="Times New Roman"/>
                <w:color w:val="1F1F1F"/>
                <w:sz w:val="20"/>
                <w:szCs w:val="20"/>
              </w:rPr>
            </w:pPr>
            <w:r w:rsidRPr="00792B36">
              <w:rPr>
                <w:rFonts w:eastAsia="Times New Roman"/>
                <w:color w:val="1F1F1F"/>
                <w:sz w:val="20"/>
                <w:szCs w:val="20"/>
                <w:bdr w:val="none" w:sz="0" w:space="0" w:color="auto" w:frame="1"/>
              </w:rPr>
              <w:t>BCG</w:t>
            </w:r>
          </w:p>
        </w:tc>
        <w:tc>
          <w:tcPr>
            <w:tcW w:w="0" w:type="auto"/>
            <w:hideMark/>
          </w:tcPr>
          <w:p w14:paraId="58BEFAF5" w14:textId="77777777" w:rsidR="00143ED6" w:rsidRPr="00792B36" w:rsidRDefault="00143ED6" w:rsidP="0096560E">
            <w:pPr>
              <w:rPr>
                <w:rFonts w:eastAsia="Times New Roman"/>
                <w:color w:val="1F1F1F"/>
                <w:sz w:val="20"/>
                <w:szCs w:val="20"/>
              </w:rPr>
            </w:pPr>
            <w:r w:rsidRPr="00792B36">
              <w:rPr>
                <w:rFonts w:eastAsia="Times New Roman"/>
                <w:color w:val="1F1F1F"/>
                <w:sz w:val="20"/>
                <w:szCs w:val="20"/>
                <w:bdr w:val="none" w:sz="0" w:space="0" w:color="auto" w:frame="1"/>
              </w:rPr>
              <w:t>Bio-Circular-Green Economy</w:t>
            </w:r>
          </w:p>
        </w:tc>
        <w:tc>
          <w:tcPr>
            <w:tcW w:w="0" w:type="auto"/>
            <w:hideMark/>
          </w:tcPr>
          <w:p w14:paraId="31AE5C66" w14:textId="77777777" w:rsidR="00143ED6" w:rsidRPr="00792B36" w:rsidRDefault="00143ED6" w:rsidP="0096560E">
            <w:pPr>
              <w:rPr>
                <w:rFonts w:eastAsia="Times New Roman"/>
                <w:color w:val="1F1F1F"/>
                <w:sz w:val="20"/>
                <w:szCs w:val="20"/>
              </w:rPr>
            </w:pPr>
            <w:r w:rsidRPr="00792B36">
              <w:rPr>
                <w:rFonts w:eastAsia="Times New Roman"/>
                <w:color w:val="1F1F1F"/>
                <w:sz w:val="20"/>
                <w:szCs w:val="20"/>
                <w:bdr w:val="none" w:sz="0" w:space="0" w:color="auto" w:frame="1"/>
              </w:rPr>
              <w:t>MPA</w:t>
            </w:r>
          </w:p>
        </w:tc>
        <w:tc>
          <w:tcPr>
            <w:tcW w:w="0" w:type="auto"/>
            <w:hideMark/>
          </w:tcPr>
          <w:p w14:paraId="091B9544" w14:textId="77777777" w:rsidR="00143ED6" w:rsidRPr="00792B36" w:rsidRDefault="00143ED6" w:rsidP="0096560E">
            <w:pPr>
              <w:rPr>
                <w:rFonts w:eastAsia="Times New Roman"/>
                <w:color w:val="1F1F1F"/>
                <w:sz w:val="20"/>
                <w:szCs w:val="20"/>
              </w:rPr>
            </w:pPr>
            <w:r w:rsidRPr="00792B36">
              <w:rPr>
                <w:rFonts w:eastAsia="Times New Roman"/>
                <w:color w:val="1F1F1F"/>
                <w:sz w:val="20"/>
                <w:szCs w:val="20"/>
                <w:bdr w:val="none" w:sz="0" w:space="0" w:color="auto" w:frame="1"/>
              </w:rPr>
              <w:t>Marine Protected Area</w:t>
            </w:r>
          </w:p>
        </w:tc>
      </w:tr>
      <w:tr w:rsidR="00143ED6" w:rsidRPr="00792B36" w14:paraId="3B2364EB" w14:textId="77777777" w:rsidTr="000C7AD0">
        <w:tc>
          <w:tcPr>
            <w:tcW w:w="0" w:type="auto"/>
            <w:hideMark/>
          </w:tcPr>
          <w:p w14:paraId="0832F862" w14:textId="77777777" w:rsidR="00143ED6" w:rsidRPr="00792B36" w:rsidRDefault="00143ED6" w:rsidP="0096560E">
            <w:pPr>
              <w:rPr>
                <w:rFonts w:eastAsia="Times New Roman"/>
                <w:color w:val="1F1F1F"/>
                <w:sz w:val="20"/>
                <w:szCs w:val="20"/>
              </w:rPr>
            </w:pPr>
            <w:r w:rsidRPr="00792B36">
              <w:rPr>
                <w:rFonts w:eastAsia="Times New Roman"/>
                <w:color w:val="1F1F1F"/>
                <w:sz w:val="20"/>
                <w:szCs w:val="20"/>
                <w:bdr w:val="none" w:sz="0" w:space="0" w:color="auto" w:frame="1"/>
              </w:rPr>
              <w:t>BMSY</w:t>
            </w:r>
          </w:p>
        </w:tc>
        <w:tc>
          <w:tcPr>
            <w:tcW w:w="0" w:type="auto"/>
            <w:hideMark/>
          </w:tcPr>
          <w:p w14:paraId="266F8F50" w14:textId="77777777" w:rsidR="00143ED6" w:rsidRPr="00792B36" w:rsidRDefault="00143ED6" w:rsidP="0096560E">
            <w:pPr>
              <w:rPr>
                <w:rFonts w:eastAsia="Times New Roman"/>
                <w:color w:val="1F1F1F"/>
                <w:sz w:val="20"/>
                <w:szCs w:val="20"/>
              </w:rPr>
            </w:pPr>
            <w:r w:rsidRPr="00792B36">
              <w:rPr>
                <w:rFonts w:eastAsia="Times New Roman"/>
                <w:color w:val="1F1F1F"/>
                <w:sz w:val="20"/>
                <w:szCs w:val="20"/>
                <w:bdr w:val="none" w:sz="0" w:space="0" w:color="auto" w:frame="1"/>
              </w:rPr>
              <w:t>Biomass at Maximum Sustainable Yield</w:t>
            </w:r>
          </w:p>
        </w:tc>
        <w:tc>
          <w:tcPr>
            <w:tcW w:w="0" w:type="auto"/>
            <w:hideMark/>
          </w:tcPr>
          <w:p w14:paraId="20D9B404" w14:textId="77777777" w:rsidR="00143ED6" w:rsidRPr="00792B36" w:rsidRDefault="00143ED6" w:rsidP="0096560E">
            <w:pPr>
              <w:rPr>
                <w:rFonts w:eastAsia="Times New Roman"/>
                <w:color w:val="1F1F1F"/>
                <w:sz w:val="20"/>
                <w:szCs w:val="20"/>
              </w:rPr>
            </w:pPr>
            <w:r w:rsidRPr="00792B36">
              <w:rPr>
                <w:rFonts w:eastAsia="Times New Roman"/>
                <w:color w:val="1F1F1F"/>
                <w:sz w:val="20"/>
                <w:szCs w:val="20"/>
                <w:bdr w:val="none" w:sz="0" w:space="0" w:color="auto" w:frame="1"/>
              </w:rPr>
              <w:t>MSP</w:t>
            </w:r>
          </w:p>
        </w:tc>
        <w:tc>
          <w:tcPr>
            <w:tcW w:w="0" w:type="auto"/>
            <w:hideMark/>
          </w:tcPr>
          <w:p w14:paraId="5ADBBE61" w14:textId="77777777" w:rsidR="00143ED6" w:rsidRPr="00792B36" w:rsidRDefault="00143ED6" w:rsidP="0096560E">
            <w:pPr>
              <w:rPr>
                <w:rFonts w:eastAsia="Times New Roman"/>
                <w:color w:val="1F1F1F"/>
                <w:sz w:val="20"/>
                <w:szCs w:val="20"/>
              </w:rPr>
            </w:pPr>
            <w:r w:rsidRPr="00792B36">
              <w:rPr>
                <w:rFonts w:eastAsia="Times New Roman"/>
                <w:color w:val="1F1F1F"/>
                <w:sz w:val="20"/>
                <w:szCs w:val="20"/>
                <w:bdr w:val="none" w:sz="0" w:space="0" w:color="auto" w:frame="1"/>
              </w:rPr>
              <w:t>Marine Spatial Planning</w:t>
            </w:r>
          </w:p>
        </w:tc>
      </w:tr>
      <w:tr w:rsidR="00143ED6" w:rsidRPr="00792B36" w14:paraId="6F0BD6E5" w14:textId="77777777" w:rsidTr="000C7AD0">
        <w:tc>
          <w:tcPr>
            <w:tcW w:w="0" w:type="auto"/>
            <w:hideMark/>
          </w:tcPr>
          <w:p w14:paraId="57E36D27" w14:textId="77777777" w:rsidR="00143ED6" w:rsidRPr="00792B36" w:rsidRDefault="00143ED6" w:rsidP="0096560E">
            <w:pPr>
              <w:rPr>
                <w:rFonts w:eastAsia="Times New Roman"/>
                <w:color w:val="1F1F1F"/>
                <w:sz w:val="20"/>
                <w:szCs w:val="20"/>
              </w:rPr>
            </w:pPr>
            <w:r w:rsidRPr="00792B36">
              <w:rPr>
                <w:rFonts w:eastAsia="Times New Roman"/>
                <w:color w:val="1F1F1F"/>
                <w:sz w:val="20"/>
                <w:szCs w:val="20"/>
                <w:bdr w:val="none" w:sz="0" w:space="0" w:color="auto" w:frame="1"/>
              </w:rPr>
              <w:t>BOI</w:t>
            </w:r>
          </w:p>
        </w:tc>
        <w:tc>
          <w:tcPr>
            <w:tcW w:w="0" w:type="auto"/>
            <w:hideMark/>
          </w:tcPr>
          <w:p w14:paraId="4ADF4C95" w14:textId="77777777" w:rsidR="00143ED6" w:rsidRPr="00792B36" w:rsidRDefault="00143ED6" w:rsidP="0096560E">
            <w:pPr>
              <w:rPr>
                <w:rFonts w:eastAsia="Times New Roman"/>
                <w:color w:val="1F1F1F"/>
                <w:sz w:val="20"/>
                <w:szCs w:val="20"/>
              </w:rPr>
            </w:pPr>
            <w:r w:rsidRPr="00792B36">
              <w:rPr>
                <w:rFonts w:eastAsia="Times New Roman"/>
                <w:color w:val="1F1F1F"/>
                <w:sz w:val="20"/>
                <w:szCs w:val="20"/>
                <w:bdr w:val="none" w:sz="0" w:space="0" w:color="auto" w:frame="1"/>
              </w:rPr>
              <w:t>Board of Investment</w:t>
            </w:r>
          </w:p>
        </w:tc>
        <w:tc>
          <w:tcPr>
            <w:tcW w:w="0" w:type="auto"/>
            <w:hideMark/>
          </w:tcPr>
          <w:p w14:paraId="7389BAAE" w14:textId="77777777" w:rsidR="00143ED6" w:rsidRPr="00792B36" w:rsidRDefault="00143ED6" w:rsidP="0096560E">
            <w:pPr>
              <w:rPr>
                <w:rFonts w:eastAsia="Times New Roman"/>
                <w:color w:val="1F1F1F"/>
                <w:sz w:val="20"/>
                <w:szCs w:val="20"/>
              </w:rPr>
            </w:pPr>
            <w:r w:rsidRPr="00792B36">
              <w:rPr>
                <w:rFonts w:eastAsia="Times New Roman"/>
                <w:color w:val="1F1F1F"/>
                <w:sz w:val="20"/>
                <w:szCs w:val="20"/>
                <w:bdr w:val="none" w:sz="0" w:space="0" w:color="auto" w:frame="1"/>
              </w:rPr>
              <w:t>MSY</w:t>
            </w:r>
          </w:p>
        </w:tc>
        <w:tc>
          <w:tcPr>
            <w:tcW w:w="0" w:type="auto"/>
            <w:hideMark/>
          </w:tcPr>
          <w:p w14:paraId="05CB9B27" w14:textId="77777777" w:rsidR="00143ED6" w:rsidRPr="00792B36" w:rsidRDefault="00143ED6" w:rsidP="0096560E">
            <w:pPr>
              <w:rPr>
                <w:rFonts w:eastAsia="Times New Roman"/>
                <w:color w:val="1F1F1F"/>
                <w:sz w:val="20"/>
                <w:szCs w:val="20"/>
              </w:rPr>
            </w:pPr>
            <w:r w:rsidRPr="00792B36">
              <w:rPr>
                <w:rFonts w:eastAsia="Times New Roman"/>
                <w:color w:val="1F1F1F"/>
                <w:sz w:val="20"/>
                <w:szCs w:val="20"/>
                <w:bdr w:val="none" w:sz="0" w:space="0" w:color="auto" w:frame="1"/>
              </w:rPr>
              <w:t>Maximum Sustainable Yield</w:t>
            </w:r>
          </w:p>
        </w:tc>
      </w:tr>
      <w:tr w:rsidR="00143ED6" w:rsidRPr="00792B36" w14:paraId="3D137A70" w14:textId="77777777" w:rsidTr="000C7AD0">
        <w:tc>
          <w:tcPr>
            <w:tcW w:w="0" w:type="auto"/>
            <w:hideMark/>
          </w:tcPr>
          <w:p w14:paraId="34400415" w14:textId="77777777" w:rsidR="00143ED6" w:rsidRPr="00792B36" w:rsidRDefault="00143ED6" w:rsidP="0096560E">
            <w:pPr>
              <w:rPr>
                <w:rFonts w:eastAsia="Times New Roman"/>
                <w:color w:val="1F1F1F"/>
                <w:sz w:val="20"/>
                <w:szCs w:val="20"/>
              </w:rPr>
            </w:pPr>
            <w:r w:rsidRPr="00792B36">
              <w:rPr>
                <w:rFonts w:eastAsia="Times New Roman"/>
                <w:color w:val="1F1F1F"/>
                <w:sz w:val="20"/>
                <w:szCs w:val="20"/>
                <w:bdr w:val="none" w:sz="0" w:space="0" w:color="auto" w:frame="1"/>
              </w:rPr>
              <w:t>BOD</w:t>
            </w:r>
          </w:p>
        </w:tc>
        <w:tc>
          <w:tcPr>
            <w:tcW w:w="0" w:type="auto"/>
            <w:hideMark/>
          </w:tcPr>
          <w:p w14:paraId="16E95AE5" w14:textId="77777777" w:rsidR="00143ED6" w:rsidRPr="00792B36" w:rsidRDefault="00143ED6" w:rsidP="0096560E">
            <w:pPr>
              <w:rPr>
                <w:rFonts w:eastAsia="Times New Roman"/>
                <w:color w:val="1F1F1F"/>
                <w:sz w:val="20"/>
                <w:szCs w:val="20"/>
              </w:rPr>
            </w:pPr>
            <w:r w:rsidRPr="00792B36">
              <w:rPr>
                <w:rFonts w:eastAsia="Times New Roman"/>
                <w:color w:val="1F1F1F"/>
                <w:sz w:val="20"/>
                <w:szCs w:val="20"/>
                <w:bdr w:val="none" w:sz="0" w:space="0" w:color="auto" w:frame="1"/>
              </w:rPr>
              <w:t>Biochemical Oxygen Demand</w:t>
            </w:r>
          </w:p>
        </w:tc>
        <w:tc>
          <w:tcPr>
            <w:tcW w:w="0" w:type="auto"/>
            <w:hideMark/>
          </w:tcPr>
          <w:p w14:paraId="1150BEB0" w14:textId="77777777" w:rsidR="00143ED6" w:rsidRPr="00792B36" w:rsidRDefault="00143ED6" w:rsidP="0096560E">
            <w:pPr>
              <w:rPr>
                <w:rFonts w:eastAsia="Times New Roman"/>
                <w:color w:val="1F1F1F"/>
                <w:sz w:val="20"/>
                <w:szCs w:val="20"/>
              </w:rPr>
            </w:pPr>
            <w:r w:rsidRPr="00792B36">
              <w:rPr>
                <w:rFonts w:eastAsia="Times New Roman"/>
                <w:color w:val="1F1F1F"/>
                <w:sz w:val="20"/>
                <w:szCs w:val="20"/>
                <w:bdr w:val="none" w:sz="0" w:space="0" w:color="auto" w:frame="1"/>
              </w:rPr>
              <w:t>MTI</w:t>
            </w:r>
          </w:p>
        </w:tc>
        <w:tc>
          <w:tcPr>
            <w:tcW w:w="0" w:type="auto"/>
            <w:hideMark/>
          </w:tcPr>
          <w:p w14:paraId="61B021F4" w14:textId="77777777" w:rsidR="00143ED6" w:rsidRPr="00792B36" w:rsidRDefault="00143ED6" w:rsidP="0096560E">
            <w:pPr>
              <w:rPr>
                <w:rFonts w:eastAsia="Times New Roman"/>
                <w:color w:val="1F1F1F"/>
                <w:sz w:val="20"/>
                <w:szCs w:val="20"/>
              </w:rPr>
            </w:pPr>
            <w:r w:rsidRPr="00792B36">
              <w:rPr>
                <w:rFonts w:eastAsia="Times New Roman"/>
                <w:color w:val="1F1F1F"/>
                <w:sz w:val="20"/>
                <w:szCs w:val="20"/>
                <w:bdr w:val="none" w:sz="0" w:space="0" w:color="auto" w:frame="1"/>
              </w:rPr>
              <w:t>Marine Trophic Index</w:t>
            </w:r>
          </w:p>
        </w:tc>
      </w:tr>
      <w:tr w:rsidR="00143ED6" w:rsidRPr="00792B36" w14:paraId="45FB3535" w14:textId="77777777" w:rsidTr="000C7AD0">
        <w:tc>
          <w:tcPr>
            <w:tcW w:w="0" w:type="auto"/>
            <w:hideMark/>
          </w:tcPr>
          <w:p w14:paraId="2F4CEAA3" w14:textId="77777777" w:rsidR="00143ED6" w:rsidRPr="00792B36" w:rsidRDefault="00143ED6" w:rsidP="0096560E">
            <w:pPr>
              <w:rPr>
                <w:rFonts w:eastAsia="Times New Roman"/>
                <w:color w:val="1F1F1F"/>
                <w:sz w:val="20"/>
                <w:szCs w:val="20"/>
              </w:rPr>
            </w:pPr>
            <w:r w:rsidRPr="00792B36">
              <w:rPr>
                <w:rFonts w:eastAsia="Times New Roman"/>
                <w:color w:val="1F1F1F"/>
                <w:sz w:val="20"/>
                <w:szCs w:val="20"/>
                <w:bdr w:val="none" w:sz="0" w:space="0" w:color="auto" w:frame="1"/>
              </w:rPr>
              <w:t>BTR</w:t>
            </w:r>
          </w:p>
        </w:tc>
        <w:tc>
          <w:tcPr>
            <w:tcW w:w="0" w:type="auto"/>
            <w:hideMark/>
          </w:tcPr>
          <w:p w14:paraId="34D241C9" w14:textId="77777777" w:rsidR="00143ED6" w:rsidRPr="00792B36" w:rsidRDefault="00143ED6" w:rsidP="0096560E">
            <w:pPr>
              <w:rPr>
                <w:rFonts w:eastAsia="Times New Roman"/>
                <w:color w:val="1F1F1F"/>
                <w:sz w:val="20"/>
                <w:szCs w:val="20"/>
              </w:rPr>
            </w:pPr>
            <w:r w:rsidRPr="00792B36">
              <w:rPr>
                <w:rFonts w:eastAsia="Times New Roman"/>
                <w:color w:val="1F1F1F"/>
                <w:sz w:val="20"/>
                <w:szCs w:val="20"/>
                <w:bdr w:val="none" w:sz="0" w:space="0" w:color="auto" w:frame="1"/>
              </w:rPr>
              <w:t>Biennial Transparency Report</w:t>
            </w:r>
          </w:p>
        </w:tc>
        <w:tc>
          <w:tcPr>
            <w:tcW w:w="0" w:type="auto"/>
            <w:hideMark/>
          </w:tcPr>
          <w:p w14:paraId="01329C4E" w14:textId="77777777" w:rsidR="00143ED6" w:rsidRPr="00792B36" w:rsidRDefault="00143ED6" w:rsidP="0096560E">
            <w:pPr>
              <w:rPr>
                <w:rFonts w:eastAsia="Times New Roman"/>
                <w:color w:val="1F1F1F"/>
                <w:sz w:val="20"/>
                <w:szCs w:val="20"/>
              </w:rPr>
            </w:pPr>
            <w:r w:rsidRPr="00792B36">
              <w:rPr>
                <w:rFonts w:eastAsia="Times New Roman"/>
                <w:color w:val="1F1F1F"/>
                <w:sz w:val="20"/>
                <w:szCs w:val="20"/>
                <w:bdr w:val="none" w:sz="0" w:space="0" w:color="auto" w:frame="1"/>
              </w:rPr>
              <w:t>MWQI</w:t>
            </w:r>
          </w:p>
        </w:tc>
        <w:tc>
          <w:tcPr>
            <w:tcW w:w="0" w:type="auto"/>
            <w:hideMark/>
          </w:tcPr>
          <w:p w14:paraId="0DA31F7A" w14:textId="77777777" w:rsidR="00143ED6" w:rsidRPr="00792B36" w:rsidRDefault="00143ED6" w:rsidP="0096560E">
            <w:pPr>
              <w:rPr>
                <w:rFonts w:eastAsia="Times New Roman"/>
                <w:color w:val="1F1F1F"/>
                <w:sz w:val="20"/>
                <w:szCs w:val="20"/>
              </w:rPr>
            </w:pPr>
            <w:r w:rsidRPr="00792B36">
              <w:rPr>
                <w:rFonts w:eastAsia="Times New Roman"/>
                <w:color w:val="1F1F1F"/>
                <w:sz w:val="20"/>
                <w:szCs w:val="20"/>
                <w:bdr w:val="none" w:sz="0" w:space="0" w:color="auto" w:frame="1"/>
              </w:rPr>
              <w:t>Marine Water Quality Index</w:t>
            </w:r>
          </w:p>
        </w:tc>
      </w:tr>
      <w:tr w:rsidR="00143ED6" w:rsidRPr="00792B36" w14:paraId="2BB0BF15" w14:textId="77777777" w:rsidTr="000C7AD0">
        <w:tc>
          <w:tcPr>
            <w:tcW w:w="0" w:type="auto"/>
            <w:hideMark/>
          </w:tcPr>
          <w:p w14:paraId="513505D6" w14:textId="77777777" w:rsidR="00143ED6" w:rsidRPr="00792B36" w:rsidRDefault="00143ED6" w:rsidP="0096560E">
            <w:pPr>
              <w:rPr>
                <w:rFonts w:eastAsia="Times New Roman"/>
                <w:color w:val="1F1F1F"/>
                <w:sz w:val="20"/>
                <w:szCs w:val="20"/>
              </w:rPr>
            </w:pPr>
            <w:r w:rsidRPr="00792B36">
              <w:rPr>
                <w:rFonts w:eastAsia="Times New Roman"/>
                <w:color w:val="1F1F1F"/>
                <w:sz w:val="20"/>
                <w:szCs w:val="20"/>
                <w:bdr w:val="none" w:sz="0" w:space="0" w:color="auto" w:frame="1"/>
              </w:rPr>
              <w:t>CAGR</w:t>
            </w:r>
          </w:p>
        </w:tc>
        <w:tc>
          <w:tcPr>
            <w:tcW w:w="0" w:type="auto"/>
            <w:hideMark/>
          </w:tcPr>
          <w:p w14:paraId="7A2DC139" w14:textId="77777777" w:rsidR="00143ED6" w:rsidRPr="00792B36" w:rsidRDefault="00143ED6" w:rsidP="0096560E">
            <w:pPr>
              <w:rPr>
                <w:rFonts w:eastAsia="Times New Roman"/>
                <w:color w:val="1F1F1F"/>
                <w:sz w:val="20"/>
                <w:szCs w:val="20"/>
              </w:rPr>
            </w:pPr>
            <w:r w:rsidRPr="00792B36">
              <w:rPr>
                <w:rFonts w:eastAsia="Times New Roman"/>
                <w:color w:val="1F1F1F"/>
                <w:sz w:val="20"/>
                <w:szCs w:val="20"/>
                <w:bdr w:val="none" w:sz="0" w:space="0" w:color="auto" w:frame="1"/>
              </w:rPr>
              <w:t>Compound Annual Growth Rate</w:t>
            </w:r>
          </w:p>
        </w:tc>
        <w:tc>
          <w:tcPr>
            <w:tcW w:w="0" w:type="auto"/>
            <w:hideMark/>
          </w:tcPr>
          <w:p w14:paraId="485AA9C8" w14:textId="77777777" w:rsidR="00143ED6" w:rsidRPr="00792B36" w:rsidRDefault="00143ED6" w:rsidP="0096560E">
            <w:pPr>
              <w:rPr>
                <w:rFonts w:eastAsia="Times New Roman"/>
                <w:color w:val="1F1F1F"/>
                <w:sz w:val="20"/>
                <w:szCs w:val="20"/>
              </w:rPr>
            </w:pPr>
            <w:r w:rsidRPr="00792B36">
              <w:rPr>
                <w:rFonts w:eastAsia="Times New Roman"/>
                <w:color w:val="1F1F1F"/>
                <w:sz w:val="20"/>
                <w:szCs w:val="20"/>
                <w:bdr w:val="none" w:sz="0" w:space="0" w:color="auto" w:frame="1"/>
              </w:rPr>
              <w:t>NAP</w:t>
            </w:r>
          </w:p>
        </w:tc>
        <w:tc>
          <w:tcPr>
            <w:tcW w:w="0" w:type="auto"/>
            <w:hideMark/>
          </w:tcPr>
          <w:p w14:paraId="59304415" w14:textId="77777777" w:rsidR="00143ED6" w:rsidRPr="00792B36" w:rsidRDefault="00143ED6" w:rsidP="0096560E">
            <w:pPr>
              <w:rPr>
                <w:rFonts w:eastAsia="Times New Roman"/>
                <w:color w:val="1F1F1F"/>
                <w:sz w:val="20"/>
                <w:szCs w:val="20"/>
              </w:rPr>
            </w:pPr>
            <w:r w:rsidRPr="00792B36">
              <w:rPr>
                <w:rFonts w:eastAsia="Times New Roman"/>
                <w:color w:val="1F1F1F"/>
                <w:sz w:val="20"/>
                <w:szCs w:val="20"/>
                <w:bdr w:val="none" w:sz="0" w:space="0" w:color="auto" w:frame="1"/>
              </w:rPr>
              <w:t>National Action Plan / National Adaptation Plan</w:t>
            </w:r>
          </w:p>
        </w:tc>
      </w:tr>
      <w:tr w:rsidR="00143ED6" w:rsidRPr="00792B36" w14:paraId="5D38BD98" w14:textId="77777777" w:rsidTr="000C7AD0">
        <w:tc>
          <w:tcPr>
            <w:tcW w:w="0" w:type="auto"/>
            <w:hideMark/>
          </w:tcPr>
          <w:p w14:paraId="369F6039" w14:textId="77777777" w:rsidR="00143ED6" w:rsidRPr="00792B36" w:rsidRDefault="00143ED6" w:rsidP="0096560E">
            <w:pPr>
              <w:rPr>
                <w:rFonts w:eastAsia="Times New Roman"/>
                <w:color w:val="1F1F1F"/>
                <w:sz w:val="20"/>
                <w:szCs w:val="20"/>
              </w:rPr>
            </w:pPr>
            <w:r w:rsidRPr="00792B36">
              <w:rPr>
                <w:rFonts w:eastAsia="Times New Roman"/>
                <w:color w:val="1F1F1F"/>
                <w:sz w:val="20"/>
                <w:szCs w:val="20"/>
                <w:bdr w:val="none" w:sz="0" w:space="0" w:color="auto" w:frame="1"/>
              </w:rPr>
              <w:t>CBD</w:t>
            </w:r>
          </w:p>
        </w:tc>
        <w:tc>
          <w:tcPr>
            <w:tcW w:w="0" w:type="auto"/>
            <w:hideMark/>
          </w:tcPr>
          <w:p w14:paraId="1B3B2B26" w14:textId="77777777" w:rsidR="00143ED6" w:rsidRPr="00792B36" w:rsidRDefault="00143ED6" w:rsidP="0096560E">
            <w:pPr>
              <w:rPr>
                <w:rFonts w:eastAsia="Times New Roman"/>
                <w:color w:val="1F1F1F"/>
                <w:sz w:val="20"/>
                <w:szCs w:val="20"/>
              </w:rPr>
            </w:pPr>
            <w:r w:rsidRPr="00792B36">
              <w:rPr>
                <w:rFonts w:eastAsia="Times New Roman"/>
                <w:color w:val="1F1F1F"/>
                <w:sz w:val="20"/>
                <w:szCs w:val="20"/>
                <w:bdr w:val="none" w:sz="0" w:space="0" w:color="auto" w:frame="1"/>
              </w:rPr>
              <w:t>Convention on Biological Diversity</w:t>
            </w:r>
          </w:p>
        </w:tc>
        <w:tc>
          <w:tcPr>
            <w:tcW w:w="0" w:type="auto"/>
            <w:hideMark/>
          </w:tcPr>
          <w:p w14:paraId="47F30C5F" w14:textId="77777777" w:rsidR="00143ED6" w:rsidRPr="00792B36" w:rsidRDefault="00143ED6" w:rsidP="0096560E">
            <w:pPr>
              <w:rPr>
                <w:rFonts w:eastAsia="Times New Roman"/>
                <w:color w:val="1F1F1F"/>
                <w:sz w:val="20"/>
                <w:szCs w:val="20"/>
              </w:rPr>
            </w:pPr>
            <w:r w:rsidRPr="00792B36">
              <w:rPr>
                <w:rFonts w:eastAsia="Times New Roman"/>
                <w:color w:val="1F1F1F"/>
                <w:sz w:val="20"/>
                <w:szCs w:val="20"/>
                <w:bdr w:val="none" w:sz="0" w:space="0" w:color="auto" w:frame="1"/>
              </w:rPr>
              <w:t>NBC</w:t>
            </w:r>
          </w:p>
        </w:tc>
        <w:tc>
          <w:tcPr>
            <w:tcW w:w="0" w:type="auto"/>
            <w:hideMark/>
          </w:tcPr>
          <w:p w14:paraId="522E81DC" w14:textId="77777777" w:rsidR="00143ED6" w:rsidRPr="00792B36" w:rsidRDefault="00143ED6" w:rsidP="0096560E">
            <w:pPr>
              <w:rPr>
                <w:rFonts w:eastAsia="Times New Roman"/>
                <w:color w:val="1F1F1F"/>
                <w:sz w:val="20"/>
                <w:szCs w:val="20"/>
              </w:rPr>
            </w:pPr>
            <w:r w:rsidRPr="00792B36">
              <w:rPr>
                <w:rFonts w:eastAsia="Times New Roman"/>
                <w:color w:val="1F1F1F"/>
                <w:sz w:val="20"/>
                <w:szCs w:val="20"/>
                <w:bdr w:val="none" w:sz="0" w:space="0" w:color="auto" w:frame="1"/>
              </w:rPr>
              <w:t>National Biodiversity Conservation Committee</w:t>
            </w:r>
          </w:p>
        </w:tc>
      </w:tr>
      <w:tr w:rsidR="00143ED6" w:rsidRPr="00792B36" w14:paraId="15CEB303" w14:textId="77777777" w:rsidTr="000C7AD0">
        <w:tc>
          <w:tcPr>
            <w:tcW w:w="0" w:type="auto"/>
            <w:hideMark/>
          </w:tcPr>
          <w:p w14:paraId="64CE66E7" w14:textId="77777777" w:rsidR="00143ED6" w:rsidRPr="00792B36" w:rsidRDefault="00143ED6" w:rsidP="0096560E">
            <w:pPr>
              <w:rPr>
                <w:rFonts w:eastAsia="Times New Roman"/>
                <w:color w:val="1F1F1F"/>
                <w:sz w:val="20"/>
                <w:szCs w:val="20"/>
              </w:rPr>
            </w:pPr>
            <w:r w:rsidRPr="00792B36">
              <w:rPr>
                <w:rFonts w:eastAsia="Times New Roman"/>
                <w:color w:val="1F1F1F"/>
                <w:sz w:val="20"/>
                <w:szCs w:val="20"/>
                <w:bdr w:val="none" w:sz="0" w:space="0" w:color="auto" w:frame="1"/>
              </w:rPr>
              <w:t>CITES</w:t>
            </w:r>
          </w:p>
        </w:tc>
        <w:tc>
          <w:tcPr>
            <w:tcW w:w="0" w:type="auto"/>
            <w:hideMark/>
          </w:tcPr>
          <w:p w14:paraId="5D4EA154" w14:textId="77777777" w:rsidR="00143ED6" w:rsidRPr="00792B36" w:rsidRDefault="00143ED6" w:rsidP="0096560E">
            <w:pPr>
              <w:rPr>
                <w:rFonts w:eastAsia="Times New Roman"/>
                <w:color w:val="1F1F1F"/>
                <w:sz w:val="20"/>
                <w:szCs w:val="20"/>
              </w:rPr>
            </w:pPr>
            <w:r w:rsidRPr="00792B36">
              <w:rPr>
                <w:rFonts w:eastAsia="Times New Roman"/>
                <w:color w:val="1F1F1F"/>
                <w:sz w:val="20"/>
                <w:szCs w:val="20"/>
                <w:bdr w:val="none" w:sz="0" w:space="0" w:color="auto" w:frame="1"/>
              </w:rPr>
              <w:t>Convention on International Trade in Endangered Species of Wild Fauna and Flora</w:t>
            </w:r>
          </w:p>
        </w:tc>
        <w:tc>
          <w:tcPr>
            <w:tcW w:w="0" w:type="auto"/>
            <w:hideMark/>
          </w:tcPr>
          <w:p w14:paraId="2C90058F" w14:textId="77777777" w:rsidR="00143ED6" w:rsidRPr="00792B36" w:rsidRDefault="00143ED6" w:rsidP="0096560E">
            <w:pPr>
              <w:rPr>
                <w:rFonts w:eastAsia="Times New Roman"/>
                <w:color w:val="1F1F1F"/>
                <w:sz w:val="20"/>
                <w:szCs w:val="20"/>
              </w:rPr>
            </w:pPr>
            <w:r w:rsidRPr="00792B36">
              <w:rPr>
                <w:rFonts w:eastAsia="Times New Roman"/>
                <w:color w:val="1F1F1F"/>
                <w:sz w:val="20"/>
                <w:szCs w:val="20"/>
                <w:bdr w:val="none" w:sz="0" w:space="0" w:color="auto" w:frame="1"/>
              </w:rPr>
              <w:t>NBSAP</w:t>
            </w:r>
          </w:p>
        </w:tc>
        <w:tc>
          <w:tcPr>
            <w:tcW w:w="0" w:type="auto"/>
            <w:hideMark/>
          </w:tcPr>
          <w:p w14:paraId="2C3203F6" w14:textId="77777777" w:rsidR="00143ED6" w:rsidRPr="00792B36" w:rsidRDefault="00143ED6" w:rsidP="0096560E">
            <w:pPr>
              <w:rPr>
                <w:rFonts w:eastAsia="Times New Roman"/>
                <w:color w:val="1F1F1F"/>
                <w:sz w:val="20"/>
                <w:szCs w:val="20"/>
              </w:rPr>
            </w:pPr>
            <w:r w:rsidRPr="00792B36">
              <w:rPr>
                <w:rFonts w:eastAsia="Times New Roman"/>
                <w:color w:val="1F1F1F"/>
                <w:sz w:val="20"/>
                <w:szCs w:val="20"/>
                <w:bdr w:val="none" w:sz="0" w:space="0" w:color="auto" w:frame="1"/>
              </w:rPr>
              <w:t>National Biodiversity Strategy and Action Plan</w:t>
            </w:r>
          </w:p>
        </w:tc>
      </w:tr>
      <w:tr w:rsidR="00143ED6" w:rsidRPr="00792B36" w14:paraId="6144E908" w14:textId="77777777" w:rsidTr="000C7AD0">
        <w:tc>
          <w:tcPr>
            <w:tcW w:w="0" w:type="auto"/>
            <w:hideMark/>
          </w:tcPr>
          <w:p w14:paraId="35B627DF" w14:textId="77777777" w:rsidR="00143ED6" w:rsidRPr="00792B36" w:rsidRDefault="00143ED6" w:rsidP="0096560E">
            <w:pPr>
              <w:rPr>
                <w:rFonts w:eastAsia="Times New Roman"/>
                <w:color w:val="1F1F1F"/>
                <w:sz w:val="20"/>
                <w:szCs w:val="20"/>
              </w:rPr>
            </w:pPr>
            <w:r w:rsidRPr="00792B36">
              <w:rPr>
                <w:rFonts w:eastAsia="Times New Roman"/>
                <w:color w:val="1F1F1F"/>
                <w:sz w:val="20"/>
                <w:szCs w:val="20"/>
                <w:bdr w:val="none" w:sz="0" w:space="0" w:color="auto" w:frame="1"/>
              </w:rPr>
              <w:t>CMS</w:t>
            </w:r>
          </w:p>
        </w:tc>
        <w:tc>
          <w:tcPr>
            <w:tcW w:w="0" w:type="auto"/>
            <w:hideMark/>
          </w:tcPr>
          <w:p w14:paraId="28246F2E" w14:textId="77777777" w:rsidR="00143ED6" w:rsidRPr="00792B36" w:rsidRDefault="00143ED6" w:rsidP="0096560E">
            <w:pPr>
              <w:rPr>
                <w:rFonts w:eastAsia="Times New Roman"/>
                <w:color w:val="1F1F1F"/>
                <w:sz w:val="20"/>
                <w:szCs w:val="20"/>
              </w:rPr>
            </w:pPr>
            <w:r w:rsidRPr="00792B36">
              <w:rPr>
                <w:rFonts w:eastAsia="Times New Roman"/>
                <w:color w:val="1F1F1F"/>
                <w:sz w:val="20"/>
                <w:szCs w:val="20"/>
                <w:bdr w:val="none" w:sz="0" w:space="0" w:color="auto" w:frame="1"/>
              </w:rPr>
              <w:t>Convention on Migratory Species</w:t>
            </w:r>
          </w:p>
        </w:tc>
        <w:tc>
          <w:tcPr>
            <w:tcW w:w="0" w:type="auto"/>
            <w:hideMark/>
          </w:tcPr>
          <w:p w14:paraId="18C9F109" w14:textId="77777777" w:rsidR="00143ED6" w:rsidRPr="00792B36" w:rsidRDefault="00143ED6" w:rsidP="0096560E">
            <w:pPr>
              <w:rPr>
                <w:rFonts w:eastAsia="Times New Roman"/>
                <w:color w:val="1F1F1F"/>
                <w:sz w:val="20"/>
                <w:szCs w:val="20"/>
              </w:rPr>
            </w:pPr>
            <w:r w:rsidRPr="00792B36">
              <w:rPr>
                <w:rFonts w:eastAsia="Times New Roman"/>
                <w:color w:val="1F1F1F"/>
                <w:sz w:val="20"/>
                <w:szCs w:val="20"/>
                <w:bdr w:val="none" w:sz="0" w:space="0" w:color="auto" w:frame="1"/>
              </w:rPr>
              <w:t>NbS</w:t>
            </w:r>
          </w:p>
        </w:tc>
        <w:tc>
          <w:tcPr>
            <w:tcW w:w="0" w:type="auto"/>
            <w:hideMark/>
          </w:tcPr>
          <w:p w14:paraId="16309806" w14:textId="77777777" w:rsidR="00143ED6" w:rsidRPr="00792B36" w:rsidRDefault="00143ED6" w:rsidP="0096560E">
            <w:pPr>
              <w:rPr>
                <w:rFonts w:eastAsia="Times New Roman"/>
                <w:color w:val="1F1F1F"/>
                <w:sz w:val="20"/>
                <w:szCs w:val="20"/>
              </w:rPr>
            </w:pPr>
            <w:r w:rsidRPr="00792B36">
              <w:rPr>
                <w:rFonts w:eastAsia="Times New Roman"/>
                <w:color w:val="1F1F1F"/>
                <w:sz w:val="20"/>
                <w:szCs w:val="20"/>
                <w:bdr w:val="none" w:sz="0" w:space="0" w:color="auto" w:frame="1"/>
              </w:rPr>
              <w:t>Nature-based Solutions</w:t>
            </w:r>
          </w:p>
        </w:tc>
      </w:tr>
      <w:tr w:rsidR="00143ED6" w:rsidRPr="00792B36" w14:paraId="58DAF858" w14:textId="77777777" w:rsidTr="000C7AD0">
        <w:tc>
          <w:tcPr>
            <w:tcW w:w="0" w:type="auto"/>
            <w:hideMark/>
          </w:tcPr>
          <w:p w14:paraId="2BACC35B" w14:textId="77777777" w:rsidR="00143ED6" w:rsidRPr="00792B36" w:rsidRDefault="00143ED6" w:rsidP="0096560E">
            <w:pPr>
              <w:rPr>
                <w:rFonts w:eastAsia="Times New Roman"/>
                <w:color w:val="1F1F1F"/>
                <w:sz w:val="20"/>
                <w:szCs w:val="20"/>
              </w:rPr>
            </w:pPr>
            <w:r w:rsidRPr="00792B36">
              <w:rPr>
                <w:rFonts w:eastAsia="Times New Roman"/>
                <w:color w:val="1F1F1F"/>
                <w:sz w:val="20"/>
                <w:szCs w:val="20"/>
                <w:bdr w:val="none" w:sz="0" w:space="0" w:color="auto" w:frame="1"/>
              </w:rPr>
              <w:t>COBSEA</w:t>
            </w:r>
          </w:p>
        </w:tc>
        <w:tc>
          <w:tcPr>
            <w:tcW w:w="0" w:type="auto"/>
            <w:hideMark/>
          </w:tcPr>
          <w:p w14:paraId="1DCF3FAB" w14:textId="77777777" w:rsidR="00143ED6" w:rsidRPr="00792B36" w:rsidRDefault="00143ED6" w:rsidP="0096560E">
            <w:pPr>
              <w:rPr>
                <w:rFonts w:eastAsia="Times New Roman"/>
                <w:color w:val="1F1F1F"/>
                <w:sz w:val="20"/>
                <w:szCs w:val="20"/>
              </w:rPr>
            </w:pPr>
            <w:r w:rsidRPr="00792B36">
              <w:rPr>
                <w:rFonts w:eastAsia="Times New Roman"/>
                <w:color w:val="1F1F1F"/>
                <w:sz w:val="20"/>
                <w:szCs w:val="20"/>
                <w:bdr w:val="none" w:sz="0" w:space="0" w:color="auto" w:frame="1"/>
              </w:rPr>
              <w:t>Coordinating Body on the Seas of East Asia</w:t>
            </w:r>
          </w:p>
        </w:tc>
        <w:tc>
          <w:tcPr>
            <w:tcW w:w="0" w:type="auto"/>
            <w:hideMark/>
          </w:tcPr>
          <w:p w14:paraId="32CA5325" w14:textId="77777777" w:rsidR="00143ED6" w:rsidRPr="00792B36" w:rsidRDefault="00143ED6" w:rsidP="0096560E">
            <w:pPr>
              <w:rPr>
                <w:rFonts w:eastAsia="Times New Roman"/>
                <w:color w:val="1F1F1F"/>
                <w:sz w:val="20"/>
                <w:szCs w:val="20"/>
              </w:rPr>
            </w:pPr>
            <w:r w:rsidRPr="00792B36">
              <w:rPr>
                <w:rFonts w:eastAsia="Times New Roman"/>
                <w:color w:val="1F1F1F"/>
                <w:sz w:val="20"/>
                <w:szCs w:val="20"/>
                <w:bdr w:val="none" w:sz="0" w:space="0" w:color="auto" w:frame="1"/>
              </w:rPr>
              <w:t>NC</w:t>
            </w:r>
          </w:p>
        </w:tc>
        <w:tc>
          <w:tcPr>
            <w:tcW w:w="0" w:type="auto"/>
            <w:hideMark/>
          </w:tcPr>
          <w:p w14:paraId="16E48BFC" w14:textId="77777777" w:rsidR="00143ED6" w:rsidRPr="00792B36" w:rsidRDefault="00143ED6" w:rsidP="0096560E">
            <w:pPr>
              <w:rPr>
                <w:rFonts w:eastAsia="Times New Roman"/>
                <w:color w:val="1F1F1F"/>
                <w:sz w:val="20"/>
                <w:szCs w:val="20"/>
              </w:rPr>
            </w:pPr>
            <w:r w:rsidRPr="00792B36">
              <w:rPr>
                <w:rFonts w:eastAsia="Times New Roman"/>
                <w:color w:val="1F1F1F"/>
                <w:sz w:val="20"/>
                <w:szCs w:val="20"/>
                <w:bdr w:val="none" w:sz="0" w:space="0" w:color="auto" w:frame="1"/>
              </w:rPr>
              <w:t>National Communication (UNFCCC)</w:t>
            </w:r>
          </w:p>
        </w:tc>
      </w:tr>
      <w:tr w:rsidR="00143ED6" w:rsidRPr="00792B36" w14:paraId="6F343AA8" w14:textId="77777777" w:rsidTr="000C7AD0">
        <w:tc>
          <w:tcPr>
            <w:tcW w:w="0" w:type="auto"/>
            <w:hideMark/>
          </w:tcPr>
          <w:p w14:paraId="637631D7" w14:textId="77777777" w:rsidR="00143ED6" w:rsidRPr="00792B36" w:rsidRDefault="00143ED6" w:rsidP="0096560E">
            <w:pPr>
              <w:rPr>
                <w:rFonts w:eastAsia="Times New Roman"/>
                <w:color w:val="1F1F1F"/>
                <w:sz w:val="20"/>
                <w:szCs w:val="20"/>
              </w:rPr>
            </w:pPr>
            <w:r w:rsidRPr="00792B36">
              <w:rPr>
                <w:rFonts w:eastAsia="Times New Roman"/>
                <w:color w:val="1F1F1F"/>
                <w:sz w:val="20"/>
                <w:szCs w:val="20"/>
                <w:bdr w:val="none" w:sz="0" w:space="0" w:color="auto" w:frame="1"/>
              </w:rPr>
              <w:t>COD</w:t>
            </w:r>
          </w:p>
        </w:tc>
        <w:tc>
          <w:tcPr>
            <w:tcW w:w="0" w:type="auto"/>
            <w:hideMark/>
          </w:tcPr>
          <w:p w14:paraId="4862F832" w14:textId="77777777" w:rsidR="00143ED6" w:rsidRPr="00792B36" w:rsidRDefault="00143ED6" w:rsidP="0096560E">
            <w:pPr>
              <w:rPr>
                <w:rFonts w:eastAsia="Times New Roman"/>
                <w:color w:val="1F1F1F"/>
                <w:sz w:val="20"/>
                <w:szCs w:val="20"/>
              </w:rPr>
            </w:pPr>
            <w:r w:rsidRPr="00792B36">
              <w:rPr>
                <w:rFonts w:eastAsia="Times New Roman"/>
                <w:color w:val="1F1F1F"/>
                <w:sz w:val="20"/>
                <w:szCs w:val="20"/>
                <w:bdr w:val="none" w:sz="0" w:space="0" w:color="auto" w:frame="1"/>
              </w:rPr>
              <w:t>Chemical Oxygen Demand</w:t>
            </w:r>
          </w:p>
        </w:tc>
        <w:tc>
          <w:tcPr>
            <w:tcW w:w="0" w:type="auto"/>
            <w:hideMark/>
          </w:tcPr>
          <w:p w14:paraId="17D87002" w14:textId="77777777" w:rsidR="00143ED6" w:rsidRPr="00792B36" w:rsidRDefault="00143ED6" w:rsidP="0096560E">
            <w:pPr>
              <w:rPr>
                <w:rFonts w:eastAsia="Times New Roman"/>
                <w:color w:val="1F1F1F"/>
                <w:sz w:val="20"/>
                <w:szCs w:val="20"/>
              </w:rPr>
            </w:pPr>
            <w:r w:rsidRPr="00792B36">
              <w:rPr>
                <w:rFonts w:eastAsia="Times New Roman"/>
                <w:color w:val="1F1F1F"/>
                <w:sz w:val="20"/>
                <w:szCs w:val="20"/>
                <w:bdr w:val="none" w:sz="0" w:space="0" w:color="auto" w:frame="1"/>
              </w:rPr>
              <w:t>NCCP</w:t>
            </w:r>
          </w:p>
        </w:tc>
        <w:tc>
          <w:tcPr>
            <w:tcW w:w="0" w:type="auto"/>
            <w:hideMark/>
          </w:tcPr>
          <w:p w14:paraId="654DA808" w14:textId="77777777" w:rsidR="00143ED6" w:rsidRPr="00792B36" w:rsidRDefault="00143ED6" w:rsidP="0096560E">
            <w:pPr>
              <w:rPr>
                <w:rFonts w:eastAsia="Times New Roman"/>
                <w:color w:val="1F1F1F"/>
                <w:sz w:val="20"/>
                <w:szCs w:val="20"/>
              </w:rPr>
            </w:pPr>
            <w:r w:rsidRPr="00792B36">
              <w:rPr>
                <w:rFonts w:eastAsia="Times New Roman"/>
                <w:color w:val="1F1F1F"/>
                <w:sz w:val="20"/>
                <w:szCs w:val="20"/>
                <w:bdr w:val="none" w:sz="0" w:space="0" w:color="auto" w:frame="1"/>
              </w:rPr>
              <w:t>National Climate Change Policy Committee</w:t>
            </w:r>
          </w:p>
        </w:tc>
      </w:tr>
      <w:tr w:rsidR="00143ED6" w:rsidRPr="00792B36" w14:paraId="42C1AC7D" w14:textId="77777777" w:rsidTr="000C7AD0">
        <w:tc>
          <w:tcPr>
            <w:tcW w:w="0" w:type="auto"/>
            <w:hideMark/>
          </w:tcPr>
          <w:p w14:paraId="41BB339F" w14:textId="77777777" w:rsidR="00143ED6" w:rsidRPr="00792B36" w:rsidRDefault="00143ED6" w:rsidP="0096560E">
            <w:pPr>
              <w:rPr>
                <w:rFonts w:eastAsia="Times New Roman"/>
                <w:color w:val="1F1F1F"/>
                <w:sz w:val="20"/>
                <w:szCs w:val="20"/>
              </w:rPr>
            </w:pPr>
            <w:r w:rsidRPr="00792B36">
              <w:rPr>
                <w:rFonts w:eastAsia="Times New Roman"/>
                <w:color w:val="1F1F1F"/>
                <w:sz w:val="20"/>
                <w:szCs w:val="20"/>
                <w:bdr w:val="none" w:sz="0" w:space="0" w:color="auto" w:frame="1"/>
              </w:rPr>
              <w:t>CPUE</w:t>
            </w:r>
          </w:p>
        </w:tc>
        <w:tc>
          <w:tcPr>
            <w:tcW w:w="0" w:type="auto"/>
            <w:hideMark/>
          </w:tcPr>
          <w:p w14:paraId="45B82684" w14:textId="77777777" w:rsidR="00143ED6" w:rsidRPr="00792B36" w:rsidRDefault="00143ED6" w:rsidP="0096560E">
            <w:pPr>
              <w:rPr>
                <w:rFonts w:eastAsia="Times New Roman"/>
                <w:color w:val="1F1F1F"/>
                <w:sz w:val="20"/>
                <w:szCs w:val="20"/>
              </w:rPr>
            </w:pPr>
            <w:r w:rsidRPr="00792B36">
              <w:rPr>
                <w:rFonts w:eastAsia="Times New Roman"/>
                <w:color w:val="1F1F1F"/>
                <w:sz w:val="20"/>
                <w:szCs w:val="20"/>
                <w:bdr w:val="none" w:sz="0" w:space="0" w:color="auto" w:frame="1"/>
              </w:rPr>
              <w:t>Catch Per Unit Effort</w:t>
            </w:r>
          </w:p>
        </w:tc>
        <w:tc>
          <w:tcPr>
            <w:tcW w:w="0" w:type="auto"/>
            <w:hideMark/>
          </w:tcPr>
          <w:p w14:paraId="44AA61EE" w14:textId="77777777" w:rsidR="00143ED6" w:rsidRPr="00792B36" w:rsidRDefault="00143ED6" w:rsidP="0096560E">
            <w:pPr>
              <w:rPr>
                <w:rFonts w:eastAsia="Times New Roman"/>
                <w:color w:val="1F1F1F"/>
                <w:sz w:val="20"/>
                <w:szCs w:val="20"/>
              </w:rPr>
            </w:pPr>
            <w:r w:rsidRPr="00792B36">
              <w:rPr>
                <w:rFonts w:eastAsia="Times New Roman"/>
                <w:color w:val="1F1F1F"/>
                <w:sz w:val="20"/>
                <w:szCs w:val="20"/>
                <w:bdr w:val="none" w:sz="0" w:space="0" w:color="auto" w:frame="1"/>
              </w:rPr>
              <w:t>NCS</w:t>
            </w:r>
          </w:p>
        </w:tc>
        <w:tc>
          <w:tcPr>
            <w:tcW w:w="0" w:type="auto"/>
            <w:hideMark/>
          </w:tcPr>
          <w:p w14:paraId="577BC858" w14:textId="77777777" w:rsidR="00143ED6" w:rsidRPr="00792B36" w:rsidRDefault="00143ED6" w:rsidP="0096560E">
            <w:pPr>
              <w:rPr>
                <w:rFonts w:eastAsia="Times New Roman"/>
                <w:color w:val="1F1F1F"/>
                <w:sz w:val="20"/>
                <w:szCs w:val="20"/>
              </w:rPr>
            </w:pPr>
            <w:r w:rsidRPr="00792B36">
              <w:rPr>
                <w:rFonts w:eastAsia="Times New Roman"/>
                <w:color w:val="1F1F1F"/>
                <w:sz w:val="20"/>
                <w:szCs w:val="20"/>
                <w:bdr w:val="none" w:sz="0" w:space="0" w:color="auto" w:frame="1"/>
              </w:rPr>
              <w:t>Natural Climate Solutions</w:t>
            </w:r>
          </w:p>
        </w:tc>
      </w:tr>
      <w:tr w:rsidR="00143ED6" w:rsidRPr="00792B36" w14:paraId="3E970749" w14:textId="77777777" w:rsidTr="000C7AD0">
        <w:tc>
          <w:tcPr>
            <w:tcW w:w="0" w:type="auto"/>
            <w:hideMark/>
          </w:tcPr>
          <w:p w14:paraId="1B030D0E" w14:textId="77777777" w:rsidR="00143ED6" w:rsidRPr="00792B36" w:rsidRDefault="00143ED6" w:rsidP="0096560E">
            <w:pPr>
              <w:rPr>
                <w:rFonts w:eastAsia="Times New Roman"/>
                <w:color w:val="1F1F1F"/>
                <w:sz w:val="20"/>
                <w:szCs w:val="20"/>
              </w:rPr>
            </w:pPr>
            <w:r w:rsidRPr="00792B36">
              <w:rPr>
                <w:rFonts w:eastAsia="Times New Roman"/>
                <w:color w:val="1F1F1F"/>
                <w:sz w:val="20"/>
                <w:szCs w:val="20"/>
                <w:bdr w:val="none" w:sz="0" w:space="0" w:color="auto" w:frame="1"/>
              </w:rPr>
              <w:t>CR</w:t>
            </w:r>
          </w:p>
        </w:tc>
        <w:tc>
          <w:tcPr>
            <w:tcW w:w="0" w:type="auto"/>
            <w:hideMark/>
          </w:tcPr>
          <w:p w14:paraId="5F189D2A" w14:textId="77777777" w:rsidR="00143ED6" w:rsidRPr="00792B36" w:rsidRDefault="00143ED6" w:rsidP="0096560E">
            <w:pPr>
              <w:rPr>
                <w:rFonts w:eastAsia="Times New Roman"/>
                <w:color w:val="1F1F1F"/>
                <w:sz w:val="20"/>
                <w:szCs w:val="20"/>
              </w:rPr>
            </w:pPr>
            <w:r w:rsidRPr="00792B36">
              <w:rPr>
                <w:rFonts w:eastAsia="Times New Roman"/>
                <w:color w:val="1F1F1F"/>
                <w:sz w:val="20"/>
                <w:szCs w:val="20"/>
                <w:bdr w:val="none" w:sz="0" w:space="0" w:color="auto" w:frame="1"/>
              </w:rPr>
              <w:t>Critically Endangered (IUCN status)</w:t>
            </w:r>
          </w:p>
        </w:tc>
        <w:tc>
          <w:tcPr>
            <w:tcW w:w="0" w:type="auto"/>
            <w:hideMark/>
          </w:tcPr>
          <w:p w14:paraId="4E522E3F" w14:textId="77777777" w:rsidR="00143ED6" w:rsidRPr="00792B36" w:rsidRDefault="00143ED6" w:rsidP="0096560E">
            <w:pPr>
              <w:rPr>
                <w:rFonts w:eastAsia="Times New Roman"/>
                <w:color w:val="1F1F1F"/>
                <w:sz w:val="20"/>
                <w:szCs w:val="20"/>
              </w:rPr>
            </w:pPr>
            <w:r w:rsidRPr="00792B36">
              <w:rPr>
                <w:rFonts w:eastAsia="Times New Roman"/>
                <w:color w:val="1F1F1F"/>
                <w:sz w:val="20"/>
                <w:szCs w:val="20"/>
                <w:bdr w:val="none" w:sz="0" w:space="0" w:color="auto" w:frame="1"/>
              </w:rPr>
              <w:t>NDC</w:t>
            </w:r>
          </w:p>
        </w:tc>
        <w:tc>
          <w:tcPr>
            <w:tcW w:w="0" w:type="auto"/>
            <w:hideMark/>
          </w:tcPr>
          <w:p w14:paraId="41C5067F" w14:textId="77777777" w:rsidR="00143ED6" w:rsidRPr="00792B36" w:rsidRDefault="00143ED6" w:rsidP="0096560E">
            <w:pPr>
              <w:rPr>
                <w:rFonts w:eastAsia="Times New Roman"/>
                <w:color w:val="1F1F1F"/>
                <w:sz w:val="20"/>
                <w:szCs w:val="20"/>
              </w:rPr>
            </w:pPr>
            <w:r w:rsidRPr="00792B36">
              <w:rPr>
                <w:rFonts w:eastAsia="Times New Roman"/>
                <w:color w:val="1F1F1F"/>
                <w:sz w:val="20"/>
                <w:szCs w:val="20"/>
                <w:bdr w:val="none" w:sz="0" w:space="0" w:color="auto" w:frame="1"/>
              </w:rPr>
              <w:t>Nationally Determined Contribution</w:t>
            </w:r>
          </w:p>
        </w:tc>
      </w:tr>
      <w:tr w:rsidR="00143ED6" w:rsidRPr="00792B36" w14:paraId="46870661" w14:textId="77777777" w:rsidTr="000C7AD0">
        <w:tc>
          <w:tcPr>
            <w:tcW w:w="0" w:type="auto"/>
            <w:hideMark/>
          </w:tcPr>
          <w:p w14:paraId="42FF4A7E" w14:textId="77777777" w:rsidR="00143ED6" w:rsidRPr="00792B36" w:rsidRDefault="00143ED6" w:rsidP="0096560E">
            <w:pPr>
              <w:rPr>
                <w:rFonts w:eastAsia="Times New Roman"/>
                <w:color w:val="1F1F1F"/>
                <w:sz w:val="20"/>
                <w:szCs w:val="20"/>
              </w:rPr>
            </w:pPr>
            <w:r w:rsidRPr="00792B36">
              <w:rPr>
                <w:rFonts w:eastAsia="Times New Roman"/>
                <w:color w:val="1F1F1F"/>
                <w:sz w:val="20"/>
                <w:szCs w:val="20"/>
                <w:bdr w:val="none" w:sz="0" w:space="0" w:color="auto" w:frame="1"/>
              </w:rPr>
              <w:t>CRI</w:t>
            </w:r>
          </w:p>
        </w:tc>
        <w:tc>
          <w:tcPr>
            <w:tcW w:w="0" w:type="auto"/>
            <w:hideMark/>
          </w:tcPr>
          <w:p w14:paraId="56D9AED8" w14:textId="77777777" w:rsidR="00143ED6" w:rsidRPr="00792B36" w:rsidRDefault="00143ED6" w:rsidP="0096560E">
            <w:pPr>
              <w:rPr>
                <w:rFonts w:eastAsia="Times New Roman"/>
                <w:color w:val="1F1F1F"/>
                <w:sz w:val="20"/>
                <w:szCs w:val="20"/>
              </w:rPr>
            </w:pPr>
            <w:r w:rsidRPr="00792B36">
              <w:rPr>
                <w:rFonts w:eastAsia="Times New Roman"/>
                <w:color w:val="1F1F1F"/>
                <w:sz w:val="20"/>
                <w:szCs w:val="20"/>
                <w:bdr w:val="none" w:sz="0" w:space="0" w:color="auto" w:frame="1"/>
              </w:rPr>
              <w:t>Composite Risk Index</w:t>
            </w:r>
          </w:p>
        </w:tc>
        <w:tc>
          <w:tcPr>
            <w:tcW w:w="0" w:type="auto"/>
            <w:hideMark/>
          </w:tcPr>
          <w:p w14:paraId="781583F5" w14:textId="77777777" w:rsidR="00143ED6" w:rsidRPr="00792B36" w:rsidRDefault="00143ED6" w:rsidP="0096560E">
            <w:pPr>
              <w:rPr>
                <w:rFonts w:eastAsia="Times New Roman"/>
                <w:color w:val="1F1F1F"/>
                <w:sz w:val="20"/>
                <w:szCs w:val="20"/>
              </w:rPr>
            </w:pPr>
            <w:r w:rsidRPr="00792B36">
              <w:rPr>
                <w:rFonts w:eastAsia="Times New Roman"/>
                <w:color w:val="1F1F1F"/>
                <w:sz w:val="20"/>
                <w:szCs w:val="20"/>
                <w:bdr w:val="none" w:sz="0" w:space="0" w:color="auto" w:frame="1"/>
              </w:rPr>
              <w:t>NEA</w:t>
            </w:r>
          </w:p>
        </w:tc>
        <w:tc>
          <w:tcPr>
            <w:tcW w:w="0" w:type="auto"/>
            <w:hideMark/>
          </w:tcPr>
          <w:p w14:paraId="6C7458FE" w14:textId="77777777" w:rsidR="00143ED6" w:rsidRPr="00792B36" w:rsidRDefault="00143ED6" w:rsidP="0096560E">
            <w:pPr>
              <w:rPr>
                <w:rFonts w:eastAsia="Times New Roman"/>
                <w:color w:val="1F1F1F"/>
                <w:sz w:val="20"/>
                <w:szCs w:val="20"/>
              </w:rPr>
            </w:pPr>
            <w:r w:rsidRPr="00792B36">
              <w:rPr>
                <w:rFonts w:eastAsia="Times New Roman"/>
                <w:color w:val="1F1F1F"/>
                <w:sz w:val="20"/>
                <w:szCs w:val="20"/>
                <w:bdr w:val="none" w:sz="0" w:space="0" w:color="auto" w:frame="1"/>
              </w:rPr>
              <w:t>National Environmental Assessment</w:t>
            </w:r>
          </w:p>
        </w:tc>
      </w:tr>
      <w:tr w:rsidR="00143ED6" w:rsidRPr="00792B36" w14:paraId="2AF5EBF1" w14:textId="77777777" w:rsidTr="000C7AD0">
        <w:tc>
          <w:tcPr>
            <w:tcW w:w="0" w:type="auto"/>
            <w:hideMark/>
          </w:tcPr>
          <w:p w14:paraId="450C85B0" w14:textId="77777777" w:rsidR="00143ED6" w:rsidRPr="00792B36" w:rsidRDefault="00143ED6" w:rsidP="0096560E">
            <w:pPr>
              <w:rPr>
                <w:rFonts w:eastAsia="Times New Roman"/>
                <w:color w:val="1F1F1F"/>
                <w:sz w:val="20"/>
                <w:szCs w:val="20"/>
              </w:rPr>
            </w:pPr>
            <w:r w:rsidRPr="00792B36">
              <w:rPr>
                <w:rFonts w:eastAsia="Times New Roman"/>
                <w:color w:val="1F1F1F"/>
                <w:sz w:val="20"/>
                <w:szCs w:val="20"/>
                <w:bdr w:val="none" w:sz="0" w:space="0" w:color="auto" w:frame="1"/>
              </w:rPr>
              <w:t>CSO</w:t>
            </w:r>
          </w:p>
        </w:tc>
        <w:tc>
          <w:tcPr>
            <w:tcW w:w="0" w:type="auto"/>
            <w:hideMark/>
          </w:tcPr>
          <w:p w14:paraId="0C719199" w14:textId="77777777" w:rsidR="00143ED6" w:rsidRPr="00792B36" w:rsidRDefault="00143ED6" w:rsidP="0096560E">
            <w:pPr>
              <w:rPr>
                <w:rFonts w:eastAsia="Times New Roman"/>
                <w:color w:val="1F1F1F"/>
                <w:sz w:val="20"/>
                <w:szCs w:val="20"/>
              </w:rPr>
            </w:pPr>
            <w:r w:rsidRPr="00792B36">
              <w:rPr>
                <w:rFonts w:eastAsia="Times New Roman"/>
                <w:color w:val="1F1F1F"/>
                <w:sz w:val="20"/>
                <w:szCs w:val="20"/>
                <w:bdr w:val="none" w:sz="0" w:space="0" w:color="auto" w:frame="1"/>
              </w:rPr>
              <w:t>Civil Society Organization</w:t>
            </w:r>
          </w:p>
        </w:tc>
        <w:tc>
          <w:tcPr>
            <w:tcW w:w="0" w:type="auto"/>
            <w:hideMark/>
          </w:tcPr>
          <w:p w14:paraId="7BEB5A31" w14:textId="77777777" w:rsidR="00143ED6" w:rsidRPr="00792B36" w:rsidRDefault="00143ED6" w:rsidP="0096560E">
            <w:pPr>
              <w:rPr>
                <w:rFonts w:eastAsia="Times New Roman"/>
                <w:color w:val="1F1F1F"/>
                <w:sz w:val="20"/>
                <w:szCs w:val="20"/>
              </w:rPr>
            </w:pPr>
            <w:r w:rsidRPr="00792B36">
              <w:rPr>
                <w:rFonts w:eastAsia="Times New Roman"/>
                <w:color w:val="1F1F1F"/>
                <w:sz w:val="20"/>
                <w:szCs w:val="20"/>
                <w:bdr w:val="none" w:sz="0" w:space="0" w:color="auto" w:frame="1"/>
              </w:rPr>
              <w:t>NEB</w:t>
            </w:r>
          </w:p>
        </w:tc>
        <w:tc>
          <w:tcPr>
            <w:tcW w:w="0" w:type="auto"/>
            <w:hideMark/>
          </w:tcPr>
          <w:p w14:paraId="0EF0122C" w14:textId="77777777" w:rsidR="00143ED6" w:rsidRPr="00792B36" w:rsidRDefault="00143ED6" w:rsidP="0096560E">
            <w:pPr>
              <w:rPr>
                <w:rFonts w:eastAsia="Times New Roman"/>
                <w:color w:val="1F1F1F"/>
                <w:sz w:val="20"/>
                <w:szCs w:val="20"/>
              </w:rPr>
            </w:pPr>
            <w:r w:rsidRPr="00792B36">
              <w:rPr>
                <w:rFonts w:eastAsia="Times New Roman"/>
                <w:color w:val="1F1F1F"/>
                <w:sz w:val="20"/>
                <w:szCs w:val="20"/>
                <w:bdr w:val="none" w:sz="0" w:space="0" w:color="auto" w:frame="1"/>
              </w:rPr>
              <w:t>National Environment Board</w:t>
            </w:r>
          </w:p>
        </w:tc>
      </w:tr>
      <w:tr w:rsidR="00143ED6" w:rsidRPr="00792B36" w14:paraId="0FBFA32F" w14:textId="77777777" w:rsidTr="000C7AD0">
        <w:tc>
          <w:tcPr>
            <w:tcW w:w="0" w:type="auto"/>
            <w:hideMark/>
          </w:tcPr>
          <w:p w14:paraId="37693ABE" w14:textId="77777777" w:rsidR="00143ED6" w:rsidRPr="00792B36" w:rsidRDefault="00143ED6" w:rsidP="0096560E">
            <w:pPr>
              <w:rPr>
                <w:rFonts w:eastAsia="Times New Roman"/>
                <w:color w:val="1F1F1F"/>
                <w:sz w:val="20"/>
                <w:szCs w:val="20"/>
              </w:rPr>
            </w:pPr>
            <w:r w:rsidRPr="00792B36">
              <w:rPr>
                <w:rFonts w:eastAsia="Times New Roman"/>
                <w:color w:val="1F1F1F"/>
                <w:sz w:val="20"/>
                <w:szCs w:val="20"/>
                <w:bdr w:val="none" w:sz="0" w:space="0" w:color="auto" w:frame="1"/>
              </w:rPr>
              <w:t>CSR</w:t>
            </w:r>
          </w:p>
        </w:tc>
        <w:tc>
          <w:tcPr>
            <w:tcW w:w="0" w:type="auto"/>
            <w:hideMark/>
          </w:tcPr>
          <w:p w14:paraId="5AFF5BB8" w14:textId="77777777" w:rsidR="00143ED6" w:rsidRPr="00792B36" w:rsidRDefault="00143ED6" w:rsidP="0096560E">
            <w:pPr>
              <w:rPr>
                <w:rFonts w:eastAsia="Times New Roman"/>
                <w:color w:val="1F1F1F"/>
                <w:sz w:val="20"/>
                <w:szCs w:val="20"/>
              </w:rPr>
            </w:pPr>
            <w:r w:rsidRPr="00792B36">
              <w:rPr>
                <w:rFonts w:eastAsia="Times New Roman"/>
                <w:color w:val="1F1F1F"/>
                <w:sz w:val="20"/>
                <w:szCs w:val="20"/>
                <w:bdr w:val="none" w:sz="0" w:space="0" w:color="auto" w:frame="1"/>
              </w:rPr>
              <w:t>Corporate Social Responsibility</w:t>
            </w:r>
          </w:p>
        </w:tc>
        <w:tc>
          <w:tcPr>
            <w:tcW w:w="0" w:type="auto"/>
            <w:hideMark/>
          </w:tcPr>
          <w:p w14:paraId="116E93BD" w14:textId="77777777" w:rsidR="00143ED6" w:rsidRPr="00792B36" w:rsidRDefault="00143ED6" w:rsidP="0096560E">
            <w:pPr>
              <w:rPr>
                <w:rFonts w:eastAsia="Times New Roman"/>
                <w:color w:val="1F1F1F"/>
                <w:sz w:val="20"/>
                <w:szCs w:val="20"/>
              </w:rPr>
            </w:pPr>
            <w:r w:rsidRPr="00792B36">
              <w:rPr>
                <w:rFonts w:eastAsia="Times New Roman"/>
                <w:color w:val="1F1F1F"/>
                <w:sz w:val="20"/>
                <w:szCs w:val="20"/>
                <w:bdr w:val="none" w:sz="0" w:space="0" w:color="auto" w:frame="1"/>
              </w:rPr>
              <w:t>NESDC</w:t>
            </w:r>
          </w:p>
        </w:tc>
        <w:tc>
          <w:tcPr>
            <w:tcW w:w="0" w:type="auto"/>
            <w:hideMark/>
          </w:tcPr>
          <w:p w14:paraId="5A2670BB" w14:textId="77777777" w:rsidR="00143ED6" w:rsidRPr="00792B36" w:rsidRDefault="00143ED6" w:rsidP="0096560E">
            <w:pPr>
              <w:rPr>
                <w:rFonts w:eastAsia="Times New Roman"/>
                <w:color w:val="1F1F1F"/>
                <w:sz w:val="20"/>
                <w:szCs w:val="20"/>
              </w:rPr>
            </w:pPr>
            <w:r w:rsidRPr="00792B36">
              <w:rPr>
                <w:rFonts w:eastAsia="Times New Roman"/>
                <w:color w:val="1F1F1F"/>
                <w:sz w:val="20"/>
                <w:szCs w:val="20"/>
                <w:bdr w:val="none" w:sz="0" w:space="0" w:color="auto" w:frame="1"/>
              </w:rPr>
              <w:t>Office of the National Economic and Social Development Council</w:t>
            </w:r>
          </w:p>
        </w:tc>
      </w:tr>
      <w:tr w:rsidR="00143ED6" w:rsidRPr="00792B36" w14:paraId="5D532813" w14:textId="77777777" w:rsidTr="000C7AD0">
        <w:tc>
          <w:tcPr>
            <w:tcW w:w="0" w:type="auto"/>
            <w:hideMark/>
          </w:tcPr>
          <w:p w14:paraId="45E3EF1B" w14:textId="77777777" w:rsidR="00143ED6" w:rsidRPr="00792B36" w:rsidRDefault="00143ED6" w:rsidP="0096560E">
            <w:pPr>
              <w:rPr>
                <w:rFonts w:eastAsia="Times New Roman"/>
                <w:color w:val="1F1F1F"/>
                <w:sz w:val="20"/>
                <w:szCs w:val="20"/>
              </w:rPr>
            </w:pPr>
            <w:r w:rsidRPr="00792B36">
              <w:rPr>
                <w:rFonts w:eastAsia="Times New Roman"/>
                <w:color w:val="1F1F1F"/>
                <w:sz w:val="20"/>
                <w:szCs w:val="20"/>
                <w:bdr w:val="none" w:sz="0" w:space="0" w:color="auto" w:frame="1"/>
              </w:rPr>
              <w:t>DASTA</w:t>
            </w:r>
          </w:p>
        </w:tc>
        <w:tc>
          <w:tcPr>
            <w:tcW w:w="0" w:type="auto"/>
            <w:hideMark/>
          </w:tcPr>
          <w:p w14:paraId="5458BF04" w14:textId="77777777" w:rsidR="00143ED6" w:rsidRPr="00792B36" w:rsidRDefault="00143ED6" w:rsidP="0096560E">
            <w:pPr>
              <w:rPr>
                <w:rFonts w:eastAsia="Times New Roman"/>
                <w:color w:val="1F1F1F"/>
                <w:sz w:val="20"/>
                <w:szCs w:val="20"/>
              </w:rPr>
            </w:pPr>
            <w:r w:rsidRPr="00792B36">
              <w:rPr>
                <w:rFonts w:eastAsia="Times New Roman"/>
                <w:color w:val="1F1F1F"/>
                <w:sz w:val="20"/>
                <w:szCs w:val="20"/>
                <w:bdr w:val="none" w:sz="0" w:space="0" w:color="auto" w:frame="1"/>
              </w:rPr>
              <w:t>Designated Areas for Sustainable Tourism Administration</w:t>
            </w:r>
          </w:p>
        </w:tc>
        <w:tc>
          <w:tcPr>
            <w:tcW w:w="0" w:type="auto"/>
            <w:hideMark/>
          </w:tcPr>
          <w:p w14:paraId="6BA4DEFB" w14:textId="77777777" w:rsidR="00143ED6" w:rsidRPr="00792B36" w:rsidRDefault="00143ED6" w:rsidP="0096560E">
            <w:pPr>
              <w:rPr>
                <w:rFonts w:eastAsia="Times New Roman"/>
                <w:color w:val="1F1F1F"/>
                <w:sz w:val="20"/>
                <w:szCs w:val="20"/>
              </w:rPr>
            </w:pPr>
            <w:r w:rsidRPr="00792B36">
              <w:rPr>
                <w:rFonts w:eastAsia="Times New Roman"/>
                <w:color w:val="1F1F1F"/>
                <w:sz w:val="20"/>
                <w:szCs w:val="20"/>
                <w:bdr w:val="none" w:sz="0" w:space="0" w:color="auto" w:frame="1"/>
              </w:rPr>
              <w:t>NESDP</w:t>
            </w:r>
          </w:p>
        </w:tc>
        <w:tc>
          <w:tcPr>
            <w:tcW w:w="0" w:type="auto"/>
            <w:hideMark/>
          </w:tcPr>
          <w:p w14:paraId="2F0B3DEB" w14:textId="77777777" w:rsidR="00143ED6" w:rsidRPr="00792B36" w:rsidRDefault="00143ED6" w:rsidP="0096560E">
            <w:pPr>
              <w:rPr>
                <w:rFonts w:eastAsia="Times New Roman"/>
                <w:color w:val="1F1F1F"/>
                <w:sz w:val="20"/>
                <w:szCs w:val="20"/>
              </w:rPr>
            </w:pPr>
            <w:r w:rsidRPr="00792B36">
              <w:rPr>
                <w:rFonts w:eastAsia="Times New Roman"/>
                <w:color w:val="1F1F1F"/>
                <w:sz w:val="20"/>
                <w:szCs w:val="20"/>
                <w:bdr w:val="none" w:sz="0" w:space="0" w:color="auto" w:frame="1"/>
              </w:rPr>
              <w:t>National Economic and Social Development Plan</w:t>
            </w:r>
          </w:p>
        </w:tc>
      </w:tr>
      <w:tr w:rsidR="00143ED6" w:rsidRPr="00792B36" w14:paraId="383141A4" w14:textId="77777777" w:rsidTr="000C7AD0">
        <w:tc>
          <w:tcPr>
            <w:tcW w:w="0" w:type="auto"/>
            <w:hideMark/>
          </w:tcPr>
          <w:p w14:paraId="5A355A96" w14:textId="77777777" w:rsidR="00143ED6" w:rsidRPr="00792B36" w:rsidRDefault="00143ED6" w:rsidP="0096560E">
            <w:pPr>
              <w:rPr>
                <w:rFonts w:eastAsia="Times New Roman"/>
                <w:color w:val="1F1F1F"/>
                <w:sz w:val="20"/>
                <w:szCs w:val="20"/>
              </w:rPr>
            </w:pPr>
            <w:r w:rsidRPr="00792B36">
              <w:rPr>
                <w:rFonts w:eastAsia="Times New Roman"/>
                <w:color w:val="1F1F1F"/>
                <w:sz w:val="20"/>
                <w:szCs w:val="20"/>
                <w:bdr w:val="none" w:sz="0" w:space="0" w:color="auto" w:frame="1"/>
              </w:rPr>
              <w:t>DBD</w:t>
            </w:r>
          </w:p>
        </w:tc>
        <w:tc>
          <w:tcPr>
            <w:tcW w:w="0" w:type="auto"/>
            <w:hideMark/>
          </w:tcPr>
          <w:p w14:paraId="4BE105BB" w14:textId="77777777" w:rsidR="00143ED6" w:rsidRPr="00792B36" w:rsidRDefault="00143ED6" w:rsidP="0096560E">
            <w:pPr>
              <w:rPr>
                <w:rFonts w:eastAsia="Times New Roman"/>
                <w:color w:val="1F1F1F"/>
                <w:sz w:val="20"/>
                <w:szCs w:val="20"/>
              </w:rPr>
            </w:pPr>
            <w:r w:rsidRPr="00792B36">
              <w:rPr>
                <w:rFonts w:eastAsia="Times New Roman"/>
                <w:color w:val="1F1F1F"/>
                <w:sz w:val="20"/>
                <w:szCs w:val="20"/>
                <w:bdr w:val="none" w:sz="0" w:space="0" w:color="auto" w:frame="1"/>
              </w:rPr>
              <w:t>Department of Business Development</w:t>
            </w:r>
          </w:p>
        </w:tc>
        <w:tc>
          <w:tcPr>
            <w:tcW w:w="0" w:type="auto"/>
            <w:hideMark/>
          </w:tcPr>
          <w:p w14:paraId="12A5BD97" w14:textId="77777777" w:rsidR="00143ED6" w:rsidRPr="00792B36" w:rsidRDefault="00143ED6" w:rsidP="0096560E">
            <w:pPr>
              <w:rPr>
                <w:rFonts w:eastAsia="Times New Roman"/>
                <w:color w:val="1F1F1F"/>
                <w:sz w:val="20"/>
                <w:szCs w:val="20"/>
              </w:rPr>
            </w:pPr>
            <w:r w:rsidRPr="00792B36">
              <w:rPr>
                <w:rFonts w:eastAsia="Times New Roman"/>
                <w:color w:val="1F1F1F"/>
                <w:sz w:val="20"/>
                <w:szCs w:val="20"/>
                <w:bdr w:val="none" w:sz="0" w:space="0" w:color="auto" w:frame="1"/>
              </w:rPr>
              <w:t>NFC</w:t>
            </w:r>
          </w:p>
        </w:tc>
        <w:tc>
          <w:tcPr>
            <w:tcW w:w="0" w:type="auto"/>
            <w:hideMark/>
          </w:tcPr>
          <w:p w14:paraId="7B66F77C" w14:textId="77777777" w:rsidR="00143ED6" w:rsidRPr="00792B36" w:rsidRDefault="00143ED6" w:rsidP="0096560E">
            <w:pPr>
              <w:rPr>
                <w:rFonts w:eastAsia="Times New Roman"/>
                <w:color w:val="1F1F1F"/>
                <w:sz w:val="20"/>
                <w:szCs w:val="20"/>
              </w:rPr>
            </w:pPr>
            <w:r w:rsidRPr="00792B36">
              <w:rPr>
                <w:rFonts w:eastAsia="Times New Roman"/>
                <w:color w:val="1F1F1F"/>
                <w:sz w:val="20"/>
                <w:szCs w:val="20"/>
                <w:bdr w:val="none" w:sz="0" w:space="0" w:color="auto" w:frame="1"/>
              </w:rPr>
              <w:t>National Fisheries Committee</w:t>
            </w:r>
          </w:p>
        </w:tc>
      </w:tr>
      <w:tr w:rsidR="00143ED6" w:rsidRPr="00792B36" w14:paraId="3F90295F" w14:textId="77777777" w:rsidTr="000C7AD0">
        <w:tc>
          <w:tcPr>
            <w:tcW w:w="0" w:type="auto"/>
            <w:hideMark/>
          </w:tcPr>
          <w:p w14:paraId="54AFF224" w14:textId="77777777" w:rsidR="00143ED6" w:rsidRPr="00792B36" w:rsidRDefault="00143ED6" w:rsidP="0096560E">
            <w:pPr>
              <w:rPr>
                <w:rFonts w:eastAsia="Times New Roman"/>
                <w:color w:val="1F1F1F"/>
                <w:sz w:val="20"/>
                <w:szCs w:val="20"/>
              </w:rPr>
            </w:pPr>
            <w:r w:rsidRPr="00792B36">
              <w:rPr>
                <w:rFonts w:eastAsia="Times New Roman"/>
                <w:color w:val="1F1F1F"/>
                <w:sz w:val="20"/>
                <w:szCs w:val="20"/>
                <w:bdr w:val="none" w:sz="0" w:space="0" w:color="auto" w:frame="1"/>
              </w:rPr>
              <w:t>DCCE</w:t>
            </w:r>
          </w:p>
        </w:tc>
        <w:tc>
          <w:tcPr>
            <w:tcW w:w="0" w:type="auto"/>
            <w:hideMark/>
          </w:tcPr>
          <w:p w14:paraId="7CE92671" w14:textId="77777777" w:rsidR="00143ED6" w:rsidRPr="00792B36" w:rsidRDefault="00143ED6" w:rsidP="0096560E">
            <w:pPr>
              <w:rPr>
                <w:rFonts w:eastAsia="Times New Roman"/>
                <w:color w:val="1F1F1F"/>
                <w:sz w:val="20"/>
                <w:szCs w:val="20"/>
              </w:rPr>
            </w:pPr>
            <w:r w:rsidRPr="00792B36">
              <w:rPr>
                <w:rFonts w:eastAsia="Times New Roman"/>
                <w:color w:val="1F1F1F"/>
                <w:sz w:val="20"/>
                <w:szCs w:val="20"/>
                <w:bdr w:val="none" w:sz="0" w:space="0" w:color="auto" w:frame="1"/>
              </w:rPr>
              <w:t>Department of Climate Change and Environment</w:t>
            </w:r>
          </w:p>
        </w:tc>
        <w:tc>
          <w:tcPr>
            <w:tcW w:w="0" w:type="auto"/>
            <w:hideMark/>
          </w:tcPr>
          <w:p w14:paraId="1774B550" w14:textId="77777777" w:rsidR="00143ED6" w:rsidRPr="00792B36" w:rsidRDefault="00143ED6" w:rsidP="0096560E">
            <w:pPr>
              <w:rPr>
                <w:rFonts w:eastAsia="Times New Roman"/>
                <w:color w:val="1F1F1F"/>
                <w:sz w:val="20"/>
                <w:szCs w:val="20"/>
              </w:rPr>
            </w:pPr>
            <w:r w:rsidRPr="00792B36">
              <w:rPr>
                <w:rFonts w:eastAsia="Times New Roman"/>
                <w:color w:val="1F1F1F"/>
                <w:sz w:val="20"/>
                <w:szCs w:val="20"/>
                <w:bdr w:val="none" w:sz="0" w:space="0" w:color="auto" w:frame="1"/>
              </w:rPr>
              <w:t>NGO</w:t>
            </w:r>
          </w:p>
        </w:tc>
        <w:tc>
          <w:tcPr>
            <w:tcW w:w="0" w:type="auto"/>
            <w:hideMark/>
          </w:tcPr>
          <w:p w14:paraId="735C8611" w14:textId="77777777" w:rsidR="00143ED6" w:rsidRPr="00792B36" w:rsidRDefault="00143ED6" w:rsidP="0096560E">
            <w:pPr>
              <w:rPr>
                <w:rFonts w:eastAsia="Times New Roman"/>
                <w:color w:val="1F1F1F"/>
                <w:sz w:val="20"/>
                <w:szCs w:val="20"/>
              </w:rPr>
            </w:pPr>
            <w:r w:rsidRPr="00792B36">
              <w:rPr>
                <w:rFonts w:eastAsia="Times New Roman"/>
                <w:color w:val="1F1F1F"/>
                <w:sz w:val="20"/>
                <w:szCs w:val="20"/>
                <w:bdr w:val="none" w:sz="0" w:space="0" w:color="auto" w:frame="1"/>
              </w:rPr>
              <w:t>Non-Governmental Organization</w:t>
            </w:r>
          </w:p>
        </w:tc>
      </w:tr>
      <w:tr w:rsidR="00143ED6" w:rsidRPr="00792B36" w14:paraId="3D01E90B" w14:textId="77777777" w:rsidTr="000C7AD0">
        <w:tc>
          <w:tcPr>
            <w:tcW w:w="0" w:type="auto"/>
            <w:hideMark/>
          </w:tcPr>
          <w:p w14:paraId="188FEA45" w14:textId="77777777" w:rsidR="00143ED6" w:rsidRPr="00792B36" w:rsidRDefault="00143ED6" w:rsidP="0096560E">
            <w:pPr>
              <w:rPr>
                <w:rFonts w:eastAsia="Times New Roman"/>
                <w:color w:val="1F1F1F"/>
                <w:sz w:val="20"/>
                <w:szCs w:val="20"/>
              </w:rPr>
            </w:pPr>
            <w:r w:rsidRPr="00792B36">
              <w:rPr>
                <w:rFonts w:eastAsia="Times New Roman"/>
                <w:color w:val="1F1F1F"/>
                <w:sz w:val="20"/>
                <w:szCs w:val="20"/>
                <w:bdr w:val="none" w:sz="0" w:space="0" w:color="auto" w:frame="1"/>
              </w:rPr>
              <w:t>DG-MARE</w:t>
            </w:r>
          </w:p>
        </w:tc>
        <w:tc>
          <w:tcPr>
            <w:tcW w:w="0" w:type="auto"/>
            <w:hideMark/>
          </w:tcPr>
          <w:p w14:paraId="641B1ADA" w14:textId="77777777" w:rsidR="00143ED6" w:rsidRPr="00792B36" w:rsidRDefault="00143ED6" w:rsidP="0096560E">
            <w:pPr>
              <w:rPr>
                <w:rFonts w:eastAsia="Times New Roman"/>
                <w:color w:val="1F1F1F"/>
                <w:sz w:val="20"/>
                <w:szCs w:val="20"/>
              </w:rPr>
            </w:pPr>
            <w:r w:rsidRPr="00792B36">
              <w:rPr>
                <w:rFonts w:eastAsia="Times New Roman"/>
                <w:color w:val="1F1F1F"/>
                <w:sz w:val="20"/>
                <w:szCs w:val="20"/>
                <w:bdr w:val="none" w:sz="0" w:space="0" w:color="auto" w:frame="1"/>
              </w:rPr>
              <w:t>Directorate-General for Maritime Affairs and Fisheries</w:t>
            </w:r>
          </w:p>
        </w:tc>
        <w:tc>
          <w:tcPr>
            <w:tcW w:w="0" w:type="auto"/>
            <w:hideMark/>
          </w:tcPr>
          <w:p w14:paraId="7EE20977" w14:textId="77777777" w:rsidR="00143ED6" w:rsidRPr="00792B36" w:rsidRDefault="00143ED6" w:rsidP="0096560E">
            <w:pPr>
              <w:rPr>
                <w:rFonts w:eastAsia="Times New Roman"/>
                <w:color w:val="1F1F1F"/>
                <w:sz w:val="20"/>
                <w:szCs w:val="20"/>
              </w:rPr>
            </w:pPr>
            <w:r w:rsidRPr="00792B36">
              <w:rPr>
                <w:rFonts w:eastAsia="Times New Roman"/>
                <w:color w:val="1F1F1F"/>
                <w:sz w:val="20"/>
                <w:szCs w:val="20"/>
                <w:bdr w:val="none" w:sz="0" w:space="0" w:color="auto" w:frame="1"/>
              </w:rPr>
              <w:t>NMCRC</w:t>
            </w:r>
          </w:p>
        </w:tc>
        <w:tc>
          <w:tcPr>
            <w:tcW w:w="0" w:type="auto"/>
            <w:hideMark/>
          </w:tcPr>
          <w:p w14:paraId="40920621" w14:textId="77777777" w:rsidR="00143ED6" w:rsidRPr="00792B36" w:rsidRDefault="00143ED6" w:rsidP="0096560E">
            <w:pPr>
              <w:rPr>
                <w:rFonts w:eastAsia="Times New Roman"/>
                <w:color w:val="1F1F1F"/>
                <w:sz w:val="20"/>
                <w:szCs w:val="20"/>
              </w:rPr>
            </w:pPr>
            <w:r w:rsidRPr="00792B36">
              <w:rPr>
                <w:rFonts w:eastAsia="Times New Roman"/>
                <w:color w:val="1F1F1F"/>
                <w:sz w:val="20"/>
                <w:szCs w:val="20"/>
                <w:bdr w:val="none" w:sz="0" w:space="0" w:color="auto" w:frame="1"/>
              </w:rPr>
              <w:t>National Marine and Coastal Resources Committee</w:t>
            </w:r>
          </w:p>
        </w:tc>
      </w:tr>
      <w:tr w:rsidR="00143ED6" w:rsidRPr="00792B36" w14:paraId="1445633B" w14:textId="77777777" w:rsidTr="000C7AD0">
        <w:tc>
          <w:tcPr>
            <w:tcW w:w="0" w:type="auto"/>
            <w:hideMark/>
          </w:tcPr>
          <w:p w14:paraId="0D5628A9" w14:textId="77777777" w:rsidR="00143ED6" w:rsidRPr="00792B36" w:rsidRDefault="00143ED6" w:rsidP="0096560E">
            <w:pPr>
              <w:rPr>
                <w:rFonts w:eastAsia="Times New Roman"/>
                <w:color w:val="1F1F1F"/>
                <w:sz w:val="20"/>
                <w:szCs w:val="20"/>
              </w:rPr>
            </w:pPr>
            <w:r w:rsidRPr="00792B36">
              <w:rPr>
                <w:rFonts w:eastAsia="Times New Roman"/>
                <w:color w:val="1F1F1F"/>
                <w:sz w:val="20"/>
                <w:szCs w:val="20"/>
                <w:bdr w:val="none" w:sz="0" w:space="0" w:color="auto" w:frame="1"/>
              </w:rPr>
              <w:t>DIW</w:t>
            </w:r>
          </w:p>
        </w:tc>
        <w:tc>
          <w:tcPr>
            <w:tcW w:w="0" w:type="auto"/>
            <w:hideMark/>
          </w:tcPr>
          <w:p w14:paraId="3D6290D2" w14:textId="77777777" w:rsidR="00143ED6" w:rsidRPr="00792B36" w:rsidRDefault="00143ED6" w:rsidP="0096560E">
            <w:pPr>
              <w:rPr>
                <w:rFonts w:eastAsia="Times New Roman"/>
                <w:color w:val="1F1F1F"/>
                <w:sz w:val="20"/>
                <w:szCs w:val="20"/>
              </w:rPr>
            </w:pPr>
            <w:r w:rsidRPr="00792B36">
              <w:rPr>
                <w:rFonts w:eastAsia="Times New Roman"/>
                <w:color w:val="1F1F1F"/>
                <w:sz w:val="20"/>
                <w:szCs w:val="20"/>
                <w:bdr w:val="none" w:sz="0" w:space="0" w:color="auto" w:frame="1"/>
              </w:rPr>
              <w:t>Department of Industrial Works</w:t>
            </w:r>
          </w:p>
        </w:tc>
        <w:tc>
          <w:tcPr>
            <w:tcW w:w="0" w:type="auto"/>
            <w:hideMark/>
          </w:tcPr>
          <w:p w14:paraId="095A8F53" w14:textId="77777777" w:rsidR="00143ED6" w:rsidRPr="00792B36" w:rsidRDefault="00143ED6" w:rsidP="0096560E">
            <w:pPr>
              <w:rPr>
                <w:rFonts w:eastAsia="Times New Roman"/>
                <w:color w:val="1F1F1F"/>
                <w:sz w:val="20"/>
                <w:szCs w:val="20"/>
              </w:rPr>
            </w:pPr>
            <w:r w:rsidRPr="00792B36">
              <w:rPr>
                <w:rFonts w:eastAsia="Times New Roman"/>
                <w:color w:val="1F1F1F"/>
                <w:sz w:val="20"/>
                <w:szCs w:val="20"/>
                <w:bdr w:val="none" w:sz="0" w:space="0" w:color="auto" w:frame="1"/>
              </w:rPr>
              <w:t>NPC</w:t>
            </w:r>
          </w:p>
        </w:tc>
        <w:tc>
          <w:tcPr>
            <w:tcW w:w="0" w:type="auto"/>
            <w:hideMark/>
          </w:tcPr>
          <w:p w14:paraId="72391E1E" w14:textId="77777777" w:rsidR="00143ED6" w:rsidRPr="00792B36" w:rsidRDefault="00143ED6" w:rsidP="0096560E">
            <w:pPr>
              <w:rPr>
                <w:rFonts w:eastAsia="Times New Roman"/>
                <w:color w:val="1F1F1F"/>
                <w:sz w:val="20"/>
                <w:szCs w:val="20"/>
              </w:rPr>
            </w:pPr>
            <w:r w:rsidRPr="00792B36">
              <w:rPr>
                <w:rFonts w:eastAsia="Times New Roman"/>
                <w:color w:val="1F1F1F"/>
                <w:sz w:val="20"/>
                <w:szCs w:val="20"/>
                <w:bdr w:val="none" w:sz="0" w:space="0" w:color="auto" w:frame="1"/>
              </w:rPr>
              <w:t>National Park Committees / National Pollution Control Committee</w:t>
            </w:r>
          </w:p>
        </w:tc>
      </w:tr>
      <w:tr w:rsidR="00143ED6" w:rsidRPr="00792B36" w14:paraId="57891D6A" w14:textId="77777777" w:rsidTr="000C7AD0">
        <w:tc>
          <w:tcPr>
            <w:tcW w:w="0" w:type="auto"/>
            <w:hideMark/>
          </w:tcPr>
          <w:p w14:paraId="44FC8B5A" w14:textId="77777777" w:rsidR="00143ED6" w:rsidRPr="00792B36" w:rsidRDefault="00143ED6" w:rsidP="0096560E">
            <w:pPr>
              <w:rPr>
                <w:rFonts w:eastAsia="Times New Roman"/>
                <w:color w:val="1F1F1F"/>
                <w:sz w:val="20"/>
                <w:szCs w:val="20"/>
              </w:rPr>
            </w:pPr>
            <w:r w:rsidRPr="00792B36">
              <w:rPr>
                <w:rFonts w:eastAsia="Times New Roman"/>
                <w:color w:val="1F1F1F"/>
                <w:sz w:val="20"/>
                <w:szCs w:val="20"/>
                <w:bdr w:val="none" w:sz="0" w:space="0" w:color="auto" w:frame="1"/>
              </w:rPr>
              <w:t>DMCR</w:t>
            </w:r>
          </w:p>
        </w:tc>
        <w:tc>
          <w:tcPr>
            <w:tcW w:w="0" w:type="auto"/>
            <w:hideMark/>
          </w:tcPr>
          <w:p w14:paraId="277AC906" w14:textId="77777777" w:rsidR="00143ED6" w:rsidRPr="00792B36" w:rsidRDefault="00143ED6" w:rsidP="0096560E">
            <w:pPr>
              <w:rPr>
                <w:rFonts w:eastAsia="Times New Roman"/>
                <w:color w:val="1F1F1F"/>
                <w:sz w:val="20"/>
                <w:szCs w:val="20"/>
              </w:rPr>
            </w:pPr>
            <w:r w:rsidRPr="00792B36">
              <w:rPr>
                <w:rFonts w:eastAsia="Times New Roman"/>
                <w:color w:val="1F1F1F"/>
                <w:sz w:val="20"/>
                <w:szCs w:val="20"/>
                <w:bdr w:val="none" w:sz="0" w:space="0" w:color="auto" w:frame="1"/>
              </w:rPr>
              <w:t>Department of Marine and Coastal Resources</w:t>
            </w:r>
          </w:p>
        </w:tc>
        <w:tc>
          <w:tcPr>
            <w:tcW w:w="0" w:type="auto"/>
            <w:hideMark/>
          </w:tcPr>
          <w:p w14:paraId="2C7EB00A" w14:textId="77777777" w:rsidR="00143ED6" w:rsidRPr="00792B36" w:rsidRDefault="00143ED6" w:rsidP="0096560E">
            <w:pPr>
              <w:rPr>
                <w:rFonts w:eastAsia="Times New Roman"/>
                <w:color w:val="1F1F1F"/>
                <w:sz w:val="20"/>
                <w:szCs w:val="20"/>
              </w:rPr>
            </w:pPr>
            <w:r w:rsidRPr="00792B36">
              <w:rPr>
                <w:rFonts w:eastAsia="Times New Roman"/>
                <w:color w:val="1F1F1F"/>
                <w:sz w:val="20"/>
                <w:szCs w:val="20"/>
                <w:bdr w:val="none" w:sz="0" w:space="0" w:color="auto" w:frame="1"/>
              </w:rPr>
              <w:t>NT</w:t>
            </w:r>
          </w:p>
        </w:tc>
        <w:tc>
          <w:tcPr>
            <w:tcW w:w="0" w:type="auto"/>
            <w:hideMark/>
          </w:tcPr>
          <w:p w14:paraId="133446B4" w14:textId="77777777" w:rsidR="00143ED6" w:rsidRPr="00792B36" w:rsidRDefault="00143ED6" w:rsidP="0096560E">
            <w:pPr>
              <w:rPr>
                <w:rFonts w:eastAsia="Times New Roman"/>
                <w:color w:val="1F1F1F"/>
                <w:sz w:val="20"/>
                <w:szCs w:val="20"/>
              </w:rPr>
            </w:pPr>
            <w:r w:rsidRPr="00792B36">
              <w:rPr>
                <w:rFonts w:eastAsia="Times New Roman"/>
                <w:color w:val="1F1F1F"/>
                <w:sz w:val="20"/>
                <w:szCs w:val="20"/>
                <w:bdr w:val="none" w:sz="0" w:space="0" w:color="auto" w:frame="1"/>
              </w:rPr>
              <w:t>Near Threatened (IUCN status)</w:t>
            </w:r>
          </w:p>
        </w:tc>
      </w:tr>
      <w:tr w:rsidR="00143ED6" w:rsidRPr="00792B36" w14:paraId="557DBF59" w14:textId="77777777" w:rsidTr="000C7AD0">
        <w:tc>
          <w:tcPr>
            <w:tcW w:w="0" w:type="auto"/>
            <w:hideMark/>
          </w:tcPr>
          <w:p w14:paraId="423A43EC" w14:textId="77777777" w:rsidR="00143ED6" w:rsidRPr="00792B36" w:rsidRDefault="00143ED6" w:rsidP="0096560E">
            <w:pPr>
              <w:rPr>
                <w:rFonts w:eastAsia="Times New Roman"/>
                <w:color w:val="1F1F1F"/>
                <w:sz w:val="20"/>
                <w:szCs w:val="20"/>
              </w:rPr>
            </w:pPr>
            <w:r w:rsidRPr="00792B36">
              <w:rPr>
                <w:rFonts w:eastAsia="Times New Roman"/>
                <w:color w:val="1F1F1F"/>
                <w:sz w:val="20"/>
                <w:szCs w:val="20"/>
                <w:bdr w:val="none" w:sz="0" w:space="0" w:color="auto" w:frame="1"/>
              </w:rPr>
              <w:lastRenderedPageBreak/>
              <w:t>DMF</w:t>
            </w:r>
          </w:p>
        </w:tc>
        <w:tc>
          <w:tcPr>
            <w:tcW w:w="0" w:type="auto"/>
            <w:hideMark/>
          </w:tcPr>
          <w:p w14:paraId="504C9B76" w14:textId="77777777" w:rsidR="00143ED6" w:rsidRPr="00792B36" w:rsidRDefault="00143ED6" w:rsidP="0096560E">
            <w:pPr>
              <w:rPr>
                <w:rFonts w:eastAsia="Times New Roman"/>
                <w:color w:val="1F1F1F"/>
                <w:sz w:val="20"/>
                <w:szCs w:val="20"/>
              </w:rPr>
            </w:pPr>
            <w:r w:rsidRPr="00792B36">
              <w:rPr>
                <w:rFonts w:eastAsia="Times New Roman"/>
                <w:color w:val="1F1F1F"/>
                <w:sz w:val="20"/>
                <w:szCs w:val="20"/>
                <w:bdr w:val="none" w:sz="0" w:space="0" w:color="auto" w:frame="1"/>
              </w:rPr>
              <w:t>Department of Mineral Fuels</w:t>
            </w:r>
          </w:p>
        </w:tc>
        <w:tc>
          <w:tcPr>
            <w:tcW w:w="0" w:type="auto"/>
            <w:hideMark/>
          </w:tcPr>
          <w:p w14:paraId="25F4D8D5" w14:textId="77777777" w:rsidR="00143ED6" w:rsidRPr="00792B36" w:rsidRDefault="00143ED6" w:rsidP="0096560E">
            <w:pPr>
              <w:rPr>
                <w:rFonts w:eastAsia="Times New Roman"/>
                <w:color w:val="1F1F1F"/>
                <w:sz w:val="20"/>
                <w:szCs w:val="20"/>
              </w:rPr>
            </w:pPr>
            <w:r w:rsidRPr="00792B36">
              <w:rPr>
                <w:rFonts w:eastAsia="Times New Roman"/>
                <w:color w:val="1F1F1F"/>
                <w:sz w:val="20"/>
                <w:szCs w:val="20"/>
                <w:bdr w:val="none" w:sz="0" w:space="0" w:color="auto" w:frame="1"/>
              </w:rPr>
              <w:t>OECM</w:t>
            </w:r>
          </w:p>
        </w:tc>
        <w:tc>
          <w:tcPr>
            <w:tcW w:w="0" w:type="auto"/>
            <w:hideMark/>
          </w:tcPr>
          <w:p w14:paraId="3D2F2A7D" w14:textId="77777777" w:rsidR="00143ED6" w:rsidRPr="00792B36" w:rsidRDefault="00143ED6" w:rsidP="0096560E">
            <w:pPr>
              <w:rPr>
                <w:rFonts w:eastAsia="Times New Roman"/>
                <w:color w:val="1F1F1F"/>
                <w:sz w:val="20"/>
                <w:szCs w:val="20"/>
              </w:rPr>
            </w:pPr>
            <w:r w:rsidRPr="00792B36">
              <w:rPr>
                <w:rFonts w:eastAsia="Times New Roman"/>
                <w:color w:val="1F1F1F"/>
                <w:sz w:val="20"/>
                <w:szCs w:val="20"/>
                <w:bdr w:val="none" w:sz="0" w:space="0" w:color="auto" w:frame="1"/>
              </w:rPr>
              <w:t>Other Effective Area-based Conservation Measures</w:t>
            </w:r>
          </w:p>
        </w:tc>
      </w:tr>
      <w:tr w:rsidR="00143ED6" w:rsidRPr="00792B36" w14:paraId="4301DC1A" w14:textId="77777777" w:rsidTr="000C7AD0">
        <w:tc>
          <w:tcPr>
            <w:tcW w:w="0" w:type="auto"/>
            <w:hideMark/>
          </w:tcPr>
          <w:p w14:paraId="54228D2D" w14:textId="77777777" w:rsidR="00143ED6" w:rsidRPr="00792B36" w:rsidRDefault="00143ED6" w:rsidP="0096560E">
            <w:pPr>
              <w:rPr>
                <w:rFonts w:eastAsia="Times New Roman"/>
                <w:color w:val="1F1F1F"/>
                <w:sz w:val="20"/>
                <w:szCs w:val="20"/>
              </w:rPr>
            </w:pPr>
            <w:r w:rsidRPr="00792B36">
              <w:rPr>
                <w:rFonts w:eastAsia="Times New Roman"/>
                <w:color w:val="1F1F1F"/>
                <w:sz w:val="20"/>
                <w:szCs w:val="20"/>
                <w:bdr w:val="none" w:sz="0" w:space="0" w:color="auto" w:frame="1"/>
              </w:rPr>
              <w:t>DNP</w:t>
            </w:r>
          </w:p>
        </w:tc>
        <w:tc>
          <w:tcPr>
            <w:tcW w:w="0" w:type="auto"/>
            <w:hideMark/>
          </w:tcPr>
          <w:p w14:paraId="4C8EDB00" w14:textId="77777777" w:rsidR="00143ED6" w:rsidRPr="00792B36" w:rsidRDefault="00143ED6" w:rsidP="0096560E">
            <w:pPr>
              <w:rPr>
                <w:rFonts w:eastAsia="Times New Roman"/>
                <w:color w:val="1F1F1F"/>
                <w:sz w:val="20"/>
                <w:szCs w:val="20"/>
              </w:rPr>
            </w:pPr>
            <w:r w:rsidRPr="00792B36">
              <w:rPr>
                <w:rFonts w:eastAsia="Times New Roman"/>
                <w:color w:val="1F1F1F"/>
                <w:sz w:val="20"/>
                <w:szCs w:val="20"/>
                <w:bdr w:val="none" w:sz="0" w:space="0" w:color="auto" w:frame="1"/>
              </w:rPr>
              <w:t>Department of National Parks, Wildlife and Plant Conservation</w:t>
            </w:r>
          </w:p>
        </w:tc>
        <w:tc>
          <w:tcPr>
            <w:tcW w:w="0" w:type="auto"/>
            <w:hideMark/>
          </w:tcPr>
          <w:p w14:paraId="1F747F2C" w14:textId="77777777" w:rsidR="00143ED6" w:rsidRPr="00792B36" w:rsidRDefault="00143ED6" w:rsidP="0096560E">
            <w:pPr>
              <w:rPr>
                <w:rFonts w:eastAsia="Times New Roman"/>
                <w:color w:val="1F1F1F"/>
                <w:sz w:val="20"/>
                <w:szCs w:val="20"/>
              </w:rPr>
            </w:pPr>
            <w:r w:rsidRPr="00792B36">
              <w:rPr>
                <w:rFonts w:eastAsia="Times New Roman"/>
                <w:color w:val="1F1F1F"/>
                <w:sz w:val="20"/>
                <w:szCs w:val="20"/>
                <w:bdr w:val="none" w:sz="0" w:space="0" w:color="auto" w:frame="1"/>
              </w:rPr>
              <w:t>ONEP</w:t>
            </w:r>
          </w:p>
        </w:tc>
        <w:tc>
          <w:tcPr>
            <w:tcW w:w="0" w:type="auto"/>
            <w:hideMark/>
          </w:tcPr>
          <w:p w14:paraId="533F6B3D" w14:textId="77777777" w:rsidR="00143ED6" w:rsidRPr="00792B36" w:rsidRDefault="00143ED6" w:rsidP="0096560E">
            <w:pPr>
              <w:rPr>
                <w:rFonts w:eastAsia="Times New Roman"/>
                <w:color w:val="1F1F1F"/>
                <w:sz w:val="20"/>
                <w:szCs w:val="20"/>
              </w:rPr>
            </w:pPr>
            <w:r w:rsidRPr="00792B36">
              <w:rPr>
                <w:rFonts w:eastAsia="Times New Roman"/>
                <w:color w:val="1F1F1F"/>
                <w:sz w:val="20"/>
                <w:szCs w:val="20"/>
                <w:bdr w:val="none" w:sz="0" w:space="0" w:color="auto" w:frame="1"/>
              </w:rPr>
              <w:t>Office of Natural Resources and Environmental Policy and Planning</w:t>
            </w:r>
          </w:p>
        </w:tc>
      </w:tr>
      <w:tr w:rsidR="00143ED6" w:rsidRPr="00792B36" w14:paraId="15966B21" w14:textId="77777777" w:rsidTr="000C7AD0">
        <w:tc>
          <w:tcPr>
            <w:tcW w:w="0" w:type="auto"/>
            <w:hideMark/>
          </w:tcPr>
          <w:p w14:paraId="39659C39" w14:textId="77777777" w:rsidR="00143ED6" w:rsidRPr="00792B36" w:rsidRDefault="00143ED6" w:rsidP="0096560E">
            <w:pPr>
              <w:rPr>
                <w:rFonts w:eastAsia="Times New Roman"/>
                <w:color w:val="1F1F1F"/>
                <w:sz w:val="20"/>
                <w:szCs w:val="20"/>
              </w:rPr>
            </w:pPr>
            <w:r w:rsidRPr="00792B36">
              <w:rPr>
                <w:rFonts w:eastAsia="Times New Roman"/>
                <w:color w:val="1F1F1F"/>
                <w:sz w:val="20"/>
                <w:szCs w:val="20"/>
                <w:bdr w:val="none" w:sz="0" w:space="0" w:color="auto" w:frame="1"/>
              </w:rPr>
              <w:t>DO</w:t>
            </w:r>
          </w:p>
        </w:tc>
        <w:tc>
          <w:tcPr>
            <w:tcW w:w="0" w:type="auto"/>
            <w:hideMark/>
          </w:tcPr>
          <w:p w14:paraId="0A271B31" w14:textId="77777777" w:rsidR="00143ED6" w:rsidRPr="00792B36" w:rsidRDefault="00143ED6" w:rsidP="0096560E">
            <w:pPr>
              <w:rPr>
                <w:rFonts w:eastAsia="Times New Roman"/>
                <w:color w:val="1F1F1F"/>
                <w:sz w:val="20"/>
                <w:szCs w:val="20"/>
              </w:rPr>
            </w:pPr>
            <w:r w:rsidRPr="00792B36">
              <w:rPr>
                <w:rFonts w:eastAsia="Times New Roman"/>
                <w:color w:val="1F1F1F"/>
                <w:sz w:val="20"/>
                <w:szCs w:val="20"/>
                <w:bdr w:val="none" w:sz="0" w:space="0" w:color="auto" w:frame="1"/>
              </w:rPr>
              <w:t>Dissolved Oxygen</w:t>
            </w:r>
          </w:p>
        </w:tc>
        <w:tc>
          <w:tcPr>
            <w:tcW w:w="0" w:type="auto"/>
            <w:hideMark/>
          </w:tcPr>
          <w:p w14:paraId="194ACA2B" w14:textId="77777777" w:rsidR="00143ED6" w:rsidRPr="00792B36" w:rsidRDefault="00143ED6" w:rsidP="0096560E">
            <w:pPr>
              <w:rPr>
                <w:rFonts w:eastAsia="Times New Roman"/>
                <w:color w:val="1F1F1F"/>
                <w:sz w:val="20"/>
                <w:szCs w:val="20"/>
              </w:rPr>
            </w:pPr>
            <w:r w:rsidRPr="00792B36">
              <w:rPr>
                <w:rFonts w:eastAsia="Times New Roman"/>
                <w:color w:val="1F1F1F"/>
                <w:sz w:val="20"/>
                <w:szCs w:val="20"/>
                <w:bdr w:val="none" w:sz="0" w:space="0" w:color="auto" w:frame="1"/>
              </w:rPr>
              <w:t>ONSC</w:t>
            </w:r>
          </w:p>
        </w:tc>
        <w:tc>
          <w:tcPr>
            <w:tcW w:w="0" w:type="auto"/>
            <w:hideMark/>
          </w:tcPr>
          <w:p w14:paraId="653AA345" w14:textId="77777777" w:rsidR="00143ED6" w:rsidRPr="00792B36" w:rsidRDefault="00143ED6" w:rsidP="0096560E">
            <w:pPr>
              <w:rPr>
                <w:rFonts w:eastAsia="Times New Roman"/>
                <w:color w:val="1F1F1F"/>
                <w:sz w:val="20"/>
                <w:szCs w:val="20"/>
              </w:rPr>
            </w:pPr>
            <w:r w:rsidRPr="00792B36">
              <w:rPr>
                <w:rFonts w:eastAsia="Times New Roman"/>
                <w:color w:val="1F1F1F"/>
                <w:sz w:val="20"/>
                <w:szCs w:val="20"/>
                <w:bdr w:val="none" w:sz="0" w:space="0" w:color="auto" w:frame="1"/>
              </w:rPr>
              <w:t>Office of the National Security Council</w:t>
            </w:r>
          </w:p>
        </w:tc>
      </w:tr>
      <w:tr w:rsidR="00143ED6" w:rsidRPr="00792B36" w14:paraId="7EC5C3C2" w14:textId="77777777" w:rsidTr="000C7AD0">
        <w:tc>
          <w:tcPr>
            <w:tcW w:w="0" w:type="auto"/>
            <w:hideMark/>
          </w:tcPr>
          <w:p w14:paraId="46989B64" w14:textId="77777777" w:rsidR="00143ED6" w:rsidRPr="00792B36" w:rsidRDefault="00143ED6" w:rsidP="0096560E">
            <w:pPr>
              <w:rPr>
                <w:rFonts w:eastAsia="Times New Roman"/>
                <w:color w:val="1F1F1F"/>
                <w:sz w:val="20"/>
                <w:szCs w:val="20"/>
              </w:rPr>
            </w:pPr>
            <w:r w:rsidRPr="00792B36">
              <w:rPr>
                <w:rFonts w:eastAsia="Times New Roman"/>
                <w:color w:val="1F1F1F"/>
                <w:sz w:val="20"/>
                <w:szCs w:val="20"/>
                <w:bdr w:val="none" w:sz="0" w:space="0" w:color="auto" w:frame="1"/>
              </w:rPr>
              <w:t>DOF</w:t>
            </w:r>
          </w:p>
        </w:tc>
        <w:tc>
          <w:tcPr>
            <w:tcW w:w="0" w:type="auto"/>
            <w:hideMark/>
          </w:tcPr>
          <w:p w14:paraId="678E3354" w14:textId="77777777" w:rsidR="00143ED6" w:rsidRPr="00792B36" w:rsidRDefault="00143ED6" w:rsidP="0096560E">
            <w:pPr>
              <w:rPr>
                <w:rFonts w:eastAsia="Times New Roman"/>
                <w:color w:val="1F1F1F"/>
                <w:sz w:val="20"/>
                <w:szCs w:val="20"/>
              </w:rPr>
            </w:pPr>
            <w:r w:rsidRPr="00792B36">
              <w:rPr>
                <w:rFonts w:eastAsia="Times New Roman"/>
                <w:color w:val="1F1F1F"/>
                <w:sz w:val="20"/>
                <w:szCs w:val="20"/>
                <w:bdr w:val="none" w:sz="0" w:space="0" w:color="auto" w:frame="1"/>
              </w:rPr>
              <w:t>Department of Fisheries</w:t>
            </w:r>
          </w:p>
        </w:tc>
        <w:tc>
          <w:tcPr>
            <w:tcW w:w="0" w:type="auto"/>
            <w:hideMark/>
          </w:tcPr>
          <w:p w14:paraId="5553FBD9" w14:textId="77777777" w:rsidR="00143ED6" w:rsidRPr="00792B36" w:rsidRDefault="00143ED6" w:rsidP="0096560E">
            <w:pPr>
              <w:rPr>
                <w:rFonts w:eastAsia="Times New Roman"/>
                <w:color w:val="1F1F1F"/>
                <w:sz w:val="20"/>
                <w:szCs w:val="20"/>
              </w:rPr>
            </w:pPr>
            <w:r w:rsidRPr="00792B36">
              <w:rPr>
                <w:rFonts w:eastAsia="Times New Roman"/>
                <w:color w:val="1F1F1F"/>
                <w:sz w:val="20"/>
                <w:szCs w:val="20"/>
                <w:bdr w:val="none" w:sz="0" w:space="0" w:color="auto" w:frame="1"/>
              </w:rPr>
              <w:t>OPRC</w:t>
            </w:r>
          </w:p>
        </w:tc>
        <w:tc>
          <w:tcPr>
            <w:tcW w:w="0" w:type="auto"/>
            <w:hideMark/>
          </w:tcPr>
          <w:p w14:paraId="11F1A7F9" w14:textId="77777777" w:rsidR="00143ED6" w:rsidRPr="00792B36" w:rsidRDefault="00143ED6" w:rsidP="0096560E">
            <w:pPr>
              <w:rPr>
                <w:rFonts w:eastAsia="Times New Roman"/>
                <w:color w:val="1F1F1F"/>
                <w:sz w:val="20"/>
                <w:szCs w:val="20"/>
              </w:rPr>
            </w:pPr>
            <w:r w:rsidRPr="00792B36">
              <w:rPr>
                <w:rFonts w:eastAsia="Times New Roman"/>
                <w:color w:val="1F1F1F"/>
                <w:sz w:val="20"/>
                <w:szCs w:val="20"/>
                <w:bdr w:val="none" w:sz="0" w:space="0" w:color="auto" w:frame="1"/>
              </w:rPr>
              <w:t>International Convention on Oil Pollution Preparedness, Response and Co-operation</w:t>
            </w:r>
          </w:p>
        </w:tc>
      </w:tr>
      <w:tr w:rsidR="00143ED6" w:rsidRPr="00792B36" w14:paraId="1B551442" w14:textId="77777777" w:rsidTr="000C7AD0">
        <w:tc>
          <w:tcPr>
            <w:tcW w:w="0" w:type="auto"/>
            <w:hideMark/>
          </w:tcPr>
          <w:p w14:paraId="03F3F48C" w14:textId="77777777" w:rsidR="00143ED6" w:rsidRPr="00792B36" w:rsidRDefault="00143ED6" w:rsidP="0096560E">
            <w:pPr>
              <w:rPr>
                <w:rFonts w:eastAsia="Times New Roman"/>
                <w:color w:val="1F1F1F"/>
                <w:sz w:val="20"/>
                <w:szCs w:val="20"/>
              </w:rPr>
            </w:pPr>
            <w:r w:rsidRPr="00792B36">
              <w:rPr>
                <w:rFonts w:eastAsia="Times New Roman"/>
                <w:color w:val="1F1F1F"/>
                <w:sz w:val="20"/>
                <w:szCs w:val="20"/>
                <w:bdr w:val="none" w:sz="0" w:space="0" w:color="auto" w:frame="1"/>
              </w:rPr>
              <w:t>DOPA</w:t>
            </w:r>
          </w:p>
        </w:tc>
        <w:tc>
          <w:tcPr>
            <w:tcW w:w="0" w:type="auto"/>
            <w:hideMark/>
          </w:tcPr>
          <w:p w14:paraId="40F95721" w14:textId="77777777" w:rsidR="00143ED6" w:rsidRPr="00792B36" w:rsidRDefault="00143ED6" w:rsidP="0096560E">
            <w:pPr>
              <w:rPr>
                <w:rFonts w:eastAsia="Times New Roman"/>
                <w:color w:val="1F1F1F"/>
                <w:sz w:val="20"/>
                <w:szCs w:val="20"/>
              </w:rPr>
            </w:pPr>
            <w:r w:rsidRPr="00792B36">
              <w:rPr>
                <w:rFonts w:eastAsia="Times New Roman"/>
                <w:color w:val="1F1F1F"/>
                <w:sz w:val="20"/>
                <w:szCs w:val="20"/>
                <w:bdr w:val="none" w:sz="0" w:space="0" w:color="auto" w:frame="1"/>
              </w:rPr>
              <w:t>Department of Provincial Administration</w:t>
            </w:r>
          </w:p>
        </w:tc>
        <w:tc>
          <w:tcPr>
            <w:tcW w:w="0" w:type="auto"/>
            <w:hideMark/>
          </w:tcPr>
          <w:p w14:paraId="389076A3" w14:textId="77777777" w:rsidR="00143ED6" w:rsidRPr="00792B36" w:rsidRDefault="00143ED6" w:rsidP="0096560E">
            <w:pPr>
              <w:rPr>
                <w:rFonts w:eastAsia="Times New Roman"/>
                <w:color w:val="1F1F1F"/>
                <w:sz w:val="20"/>
                <w:szCs w:val="20"/>
              </w:rPr>
            </w:pPr>
            <w:r w:rsidRPr="00792B36">
              <w:rPr>
                <w:rFonts w:eastAsia="Times New Roman"/>
                <w:color w:val="1F1F1F"/>
                <w:sz w:val="20"/>
                <w:szCs w:val="20"/>
                <w:bdr w:val="none" w:sz="0" w:space="0" w:color="auto" w:frame="1"/>
              </w:rPr>
              <w:t>PCD</w:t>
            </w:r>
          </w:p>
        </w:tc>
        <w:tc>
          <w:tcPr>
            <w:tcW w:w="0" w:type="auto"/>
            <w:hideMark/>
          </w:tcPr>
          <w:p w14:paraId="19242967" w14:textId="77777777" w:rsidR="00143ED6" w:rsidRPr="00792B36" w:rsidRDefault="00143ED6" w:rsidP="0096560E">
            <w:pPr>
              <w:rPr>
                <w:rFonts w:eastAsia="Times New Roman"/>
                <w:color w:val="1F1F1F"/>
                <w:sz w:val="20"/>
                <w:szCs w:val="20"/>
              </w:rPr>
            </w:pPr>
            <w:r w:rsidRPr="00792B36">
              <w:rPr>
                <w:rFonts w:eastAsia="Times New Roman"/>
                <w:color w:val="1F1F1F"/>
                <w:sz w:val="20"/>
                <w:szCs w:val="20"/>
                <w:bdr w:val="none" w:sz="0" w:space="0" w:color="auto" w:frame="1"/>
              </w:rPr>
              <w:t>Pollution Control Department</w:t>
            </w:r>
          </w:p>
        </w:tc>
      </w:tr>
      <w:tr w:rsidR="00143ED6" w:rsidRPr="00792B36" w14:paraId="496FA693" w14:textId="77777777" w:rsidTr="000C7AD0">
        <w:tc>
          <w:tcPr>
            <w:tcW w:w="0" w:type="auto"/>
            <w:hideMark/>
          </w:tcPr>
          <w:p w14:paraId="29F6F887" w14:textId="77777777" w:rsidR="00143ED6" w:rsidRPr="00792B36" w:rsidRDefault="00143ED6" w:rsidP="0096560E">
            <w:pPr>
              <w:rPr>
                <w:rFonts w:eastAsia="Times New Roman"/>
                <w:color w:val="1F1F1F"/>
                <w:sz w:val="20"/>
                <w:szCs w:val="20"/>
              </w:rPr>
            </w:pPr>
            <w:r w:rsidRPr="00792B36">
              <w:rPr>
                <w:rFonts w:eastAsia="Times New Roman"/>
                <w:color w:val="1F1F1F"/>
                <w:sz w:val="20"/>
                <w:szCs w:val="20"/>
                <w:bdr w:val="none" w:sz="0" w:space="0" w:color="auto" w:frame="1"/>
              </w:rPr>
              <w:t>DoT</w:t>
            </w:r>
          </w:p>
        </w:tc>
        <w:tc>
          <w:tcPr>
            <w:tcW w:w="0" w:type="auto"/>
            <w:hideMark/>
          </w:tcPr>
          <w:p w14:paraId="02A910A3" w14:textId="77777777" w:rsidR="00143ED6" w:rsidRPr="00792B36" w:rsidRDefault="00143ED6" w:rsidP="0096560E">
            <w:pPr>
              <w:rPr>
                <w:rFonts w:eastAsia="Times New Roman"/>
                <w:color w:val="1F1F1F"/>
                <w:sz w:val="20"/>
                <w:szCs w:val="20"/>
              </w:rPr>
            </w:pPr>
            <w:r w:rsidRPr="00792B36">
              <w:rPr>
                <w:rFonts w:eastAsia="Times New Roman"/>
                <w:color w:val="1F1F1F"/>
                <w:sz w:val="20"/>
                <w:szCs w:val="20"/>
                <w:bdr w:val="none" w:sz="0" w:space="0" w:color="auto" w:frame="1"/>
              </w:rPr>
              <w:t>Department of Tourism</w:t>
            </w:r>
          </w:p>
        </w:tc>
        <w:tc>
          <w:tcPr>
            <w:tcW w:w="0" w:type="auto"/>
            <w:hideMark/>
          </w:tcPr>
          <w:p w14:paraId="2AEFFC88" w14:textId="77777777" w:rsidR="00143ED6" w:rsidRPr="00792B36" w:rsidRDefault="00143ED6" w:rsidP="0096560E">
            <w:pPr>
              <w:rPr>
                <w:rFonts w:eastAsia="Times New Roman"/>
                <w:color w:val="1F1F1F"/>
                <w:sz w:val="20"/>
                <w:szCs w:val="20"/>
              </w:rPr>
            </w:pPr>
            <w:r w:rsidRPr="00792B36">
              <w:rPr>
                <w:rFonts w:eastAsia="Times New Roman"/>
                <w:color w:val="1F1F1F"/>
                <w:sz w:val="20"/>
                <w:szCs w:val="20"/>
                <w:bdr w:val="none" w:sz="0" w:space="0" w:color="auto" w:frame="1"/>
              </w:rPr>
              <w:t>PEMSEA</w:t>
            </w:r>
          </w:p>
        </w:tc>
        <w:tc>
          <w:tcPr>
            <w:tcW w:w="0" w:type="auto"/>
            <w:hideMark/>
          </w:tcPr>
          <w:p w14:paraId="53B7B38A" w14:textId="77777777" w:rsidR="00143ED6" w:rsidRPr="00792B36" w:rsidRDefault="00143ED6" w:rsidP="0096560E">
            <w:pPr>
              <w:rPr>
                <w:rFonts w:eastAsia="Times New Roman"/>
                <w:color w:val="1F1F1F"/>
                <w:sz w:val="20"/>
                <w:szCs w:val="20"/>
              </w:rPr>
            </w:pPr>
            <w:r w:rsidRPr="00792B36">
              <w:rPr>
                <w:rFonts w:eastAsia="Times New Roman"/>
                <w:color w:val="1F1F1F"/>
                <w:sz w:val="20"/>
                <w:szCs w:val="20"/>
                <w:bdr w:val="none" w:sz="0" w:space="0" w:color="auto" w:frame="1"/>
              </w:rPr>
              <w:t>Partnerships in Environmental Management for the Seas of East Asia</w:t>
            </w:r>
          </w:p>
        </w:tc>
      </w:tr>
      <w:tr w:rsidR="00143ED6" w:rsidRPr="00792B36" w14:paraId="42B4810E" w14:textId="77777777" w:rsidTr="000C7AD0">
        <w:tc>
          <w:tcPr>
            <w:tcW w:w="0" w:type="auto"/>
            <w:hideMark/>
          </w:tcPr>
          <w:p w14:paraId="5B562F64" w14:textId="77777777" w:rsidR="00143ED6" w:rsidRPr="00792B36" w:rsidRDefault="00143ED6" w:rsidP="0096560E">
            <w:pPr>
              <w:rPr>
                <w:rFonts w:eastAsia="Times New Roman"/>
                <w:color w:val="1F1F1F"/>
                <w:sz w:val="20"/>
                <w:szCs w:val="20"/>
              </w:rPr>
            </w:pPr>
            <w:r w:rsidRPr="00792B36">
              <w:rPr>
                <w:rFonts w:eastAsia="Times New Roman"/>
                <w:color w:val="1F1F1F"/>
                <w:sz w:val="20"/>
                <w:szCs w:val="20"/>
                <w:bdr w:val="none" w:sz="0" w:space="0" w:color="auto" w:frame="1"/>
              </w:rPr>
              <w:t>DPSIR</w:t>
            </w:r>
          </w:p>
        </w:tc>
        <w:tc>
          <w:tcPr>
            <w:tcW w:w="0" w:type="auto"/>
            <w:hideMark/>
          </w:tcPr>
          <w:p w14:paraId="1464EEF1" w14:textId="77777777" w:rsidR="00143ED6" w:rsidRPr="00792B36" w:rsidRDefault="00143ED6" w:rsidP="0096560E">
            <w:pPr>
              <w:rPr>
                <w:rFonts w:eastAsia="Times New Roman"/>
                <w:color w:val="1F1F1F"/>
                <w:sz w:val="20"/>
                <w:szCs w:val="20"/>
              </w:rPr>
            </w:pPr>
            <w:r w:rsidRPr="00792B36">
              <w:rPr>
                <w:rFonts w:eastAsia="Times New Roman"/>
                <w:color w:val="1F1F1F"/>
                <w:sz w:val="20"/>
                <w:szCs w:val="20"/>
                <w:bdr w:val="none" w:sz="0" w:space="0" w:color="auto" w:frame="1"/>
              </w:rPr>
              <w:t>Driver-Pressure-State-Impact-Response (framework)</w:t>
            </w:r>
          </w:p>
        </w:tc>
        <w:tc>
          <w:tcPr>
            <w:tcW w:w="0" w:type="auto"/>
            <w:hideMark/>
          </w:tcPr>
          <w:p w14:paraId="7F2F3E55" w14:textId="77777777" w:rsidR="00143ED6" w:rsidRPr="00792B36" w:rsidRDefault="00143ED6" w:rsidP="0096560E">
            <w:pPr>
              <w:rPr>
                <w:rFonts w:eastAsia="Times New Roman"/>
                <w:color w:val="1F1F1F"/>
                <w:sz w:val="20"/>
                <w:szCs w:val="20"/>
              </w:rPr>
            </w:pPr>
            <w:r w:rsidRPr="00792B36">
              <w:rPr>
                <w:rFonts w:eastAsia="Times New Roman"/>
                <w:color w:val="1F1F1F"/>
                <w:sz w:val="20"/>
                <w:szCs w:val="20"/>
                <w:bdr w:val="none" w:sz="0" w:space="0" w:color="auto" w:frame="1"/>
              </w:rPr>
              <w:t>PES</w:t>
            </w:r>
          </w:p>
        </w:tc>
        <w:tc>
          <w:tcPr>
            <w:tcW w:w="0" w:type="auto"/>
            <w:hideMark/>
          </w:tcPr>
          <w:p w14:paraId="52773837" w14:textId="77777777" w:rsidR="00143ED6" w:rsidRPr="00792B36" w:rsidRDefault="00143ED6" w:rsidP="0096560E">
            <w:pPr>
              <w:rPr>
                <w:rFonts w:eastAsia="Times New Roman"/>
                <w:color w:val="1F1F1F"/>
                <w:sz w:val="20"/>
                <w:szCs w:val="20"/>
              </w:rPr>
            </w:pPr>
            <w:r w:rsidRPr="00792B36">
              <w:rPr>
                <w:rFonts w:eastAsia="Times New Roman"/>
                <w:color w:val="1F1F1F"/>
                <w:sz w:val="20"/>
                <w:szCs w:val="20"/>
                <w:bdr w:val="none" w:sz="0" w:space="0" w:color="auto" w:frame="1"/>
              </w:rPr>
              <w:t>Payment for Ecosystem Services</w:t>
            </w:r>
          </w:p>
        </w:tc>
      </w:tr>
      <w:tr w:rsidR="00143ED6" w:rsidRPr="00792B36" w14:paraId="7F21CEE6" w14:textId="77777777" w:rsidTr="000C7AD0">
        <w:tc>
          <w:tcPr>
            <w:tcW w:w="0" w:type="auto"/>
            <w:hideMark/>
          </w:tcPr>
          <w:p w14:paraId="21C7BF38" w14:textId="77777777" w:rsidR="00143ED6" w:rsidRPr="00792B36" w:rsidRDefault="00143ED6" w:rsidP="0096560E">
            <w:pPr>
              <w:rPr>
                <w:rFonts w:eastAsia="Times New Roman"/>
                <w:color w:val="1F1F1F"/>
                <w:sz w:val="20"/>
                <w:szCs w:val="20"/>
              </w:rPr>
            </w:pPr>
            <w:r w:rsidRPr="00792B36">
              <w:rPr>
                <w:rFonts w:eastAsia="Times New Roman"/>
                <w:color w:val="1F1F1F"/>
                <w:sz w:val="20"/>
                <w:szCs w:val="20"/>
                <w:bdr w:val="none" w:sz="0" w:space="0" w:color="auto" w:frame="1"/>
              </w:rPr>
              <w:t>DPWTC</w:t>
            </w:r>
          </w:p>
        </w:tc>
        <w:tc>
          <w:tcPr>
            <w:tcW w:w="0" w:type="auto"/>
            <w:hideMark/>
          </w:tcPr>
          <w:p w14:paraId="06FF859D" w14:textId="77777777" w:rsidR="00143ED6" w:rsidRPr="00792B36" w:rsidRDefault="00143ED6" w:rsidP="0096560E">
            <w:pPr>
              <w:rPr>
                <w:rFonts w:eastAsia="Times New Roman"/>
                <w:color w:val="1F1F1F"/>
                <w:sz w:val="20"/>
                <w:szCs w:val="20"/>
              </w:rPr>
            </w:pPr>
            <w:r w:rsidRPr="00792B36">
              <w:rPr>
                <w:rFonts w:eastAsia="Times New Roman"/>
                <w:color w:val="1F1F1F"/>
                <w:sz w:val="20"/>
                <w:szCs w:val="20"/>
                <w:bdr w:val="none" w:sz="0" w:space="0" w:color="auto" w:frame="1"/>
              </w:rPr>
              <w:t>Department of Public Works and Town &amp; Country Planning</w:t>
            </w:r>
          </w:p>
        </w:tc>
        <w:tc>
          <w:tcPr>
            <w:tcW w:w="0" w:type="auto"/>
            <w:hideMark/>
          </w:tcPr>
          <w:p w14:paraId="13B58957" w14:textId="77777777" w:rsidR="00143ED6" w:rsidRPr="00792B36" w:rsidRDefault="00143ED6" w:rsidP="0096560E">
            <w:pPr>
              <w:rPr>
                <w:rFonts w:eastAsia="Times New Roman"/>
                <w:color w:val="1F1F1F"/>
                <w:sz w:val="20"/>
                <w:szCs w:val="20"/>
              </w:rPr>
            </w:pPr>
            <w:r w:rsidRPr="00792B36">
              <w:rPr>
                <w:rFonts w:eastAsia="Times New Roman"/>
                <w:color w:val="1F1F1F"/>
                <w:sz w:val="20"/>
                <w:szCs w:val="20"/>
                <w:bdr w:val="none" w:sz="0" w:space="0" w:color="auto" w:frame="1"/>
              </w:rPr>
              <w:t>PI</w:t>
            </w:r>
          </w:p>
        </w:tc>
        <w:tc>
          <w:tcPr>
            <w:tcW w:w="0" w:type="auto"/>
            <w:hideMark/>
          </w:tcPr>
          <w:p w14:paraId="36629603" w14:textId="77777777" w:rsidR="00143ED6" w:rsidRPr="00792B36" w:rsidRDefault="00143ED6" w:rsidP="0096560E">
            <w:pPr>
              <w:rPr>
                <w:rFonts w:eastAsia="Times New Roman"/>
                <w:color w:val="1F1F1F"/>
                <w:sz w:val="20"/>
                <w:szCs w:val="20"/>
              </w:rPr>
            </w:pPr>
            <w:r w:rsidRPr="00792B36">
              <w:rPr>
                <w:rFonts w:eastAsia="Times New Roman"/>
                <w:color w:val="1F1F1F"/>
                <w:sz w:val="20"/>
                <w:szCs w:val="20"/>
                <w:bdr w:val="none" w:sz="0" w:space="0" w:color="auto" w:frame="1"/>
              </w:rPr>
              <w:t>Pressure Index</w:t>
            </w:r>
          </w:p>
        </w:tc>
      </w:tr>
      <w:tr w:rsidR="00143ED6" w:rsidRPr="00792B36" w14:paraId="3CE7C596" w14:textId="77777777" w:rsidTr="000C7AD0">
        <w:tc>
          <w:tcPr>
            <w:tcW w:w="0" w:type="auto"/>
            <w:hideMark/>
          </w:tcPr>
          <w:p w14:paraId="4F0B3747" w14:textId="77777777" w:rsidR="00143ED6" w:rsidRPr="00792B36" w:rsidRDefault="00143ED6" w:rsidP="0096560E">
            <w:pPr>
              <w:rPr>
                <w:rFonts w:eastAsia="Times New Roman"/>
                <w:color w:val="1F1F1F"/>
                <w:sz w:val="20"/>
                <w:szCs w:val="20"/>
              </w:rPr>
            </w:pPr>
            <w:r w:rsidRPr="00792B36">
              <w:rPr>
                <w:rFonts w:eastAsia="Times New Roman"/>
                <w:color w:val="1F1F1F"/>
                <w:sz w:val="20"/>
                <w:szCs w:val="20"/>
                <w:bdr w:val="none" w:sz="0" w:space="0" w:color="auto" w:frame="1"/>
              </w:rPr>
              <w:t>EAFM</w:t>
            </w:r>
          </w:p>
        </w:tc>
        <w:tc>
          <w:tcPr>
            <w:tcW w:w="0" w:type="auto"/>
            <w:hideMark/>
          </w:tcPr>
          <w:p w14:paraId="7C548405" w14:textId="77777777" w:rsidR="00143ED6" w:rsidRPr="00792B36" w:rsidRDefault="00143ED6" w:rsidP="0096560E">
            <w:pPr>
              <w:rPr>
                <w:rFonts w:eastAsia="Times New Roman"/>
                <w:color w:val="1F1F1F"/>
                <w:sz w:val="20"/>
                <w:szCs w:val="20"/>
              </w:rPr>
            </w:pPr>
            <w:r w:rsidRPr="00792B36">
              <w:rPr>
                <w:rFonts w:eastAsia="Times New Roman"/>
                <w:color w:val="1F1F1F"/>
                <w:sz w:val="20"/>
                <w:szCs w:val="20"/>
                <w:bdr w:val="none" w:sz="0" w:space="0" w:color="auto" w:frame="1"/>
              </w:rPr>
              <w:t>Ecosystem Approach to Fisheries Management</w:t>
            </w:r>
          </w:p>
        </w:tc>
        <w:tc>
          <w:tcPr>
            <w:tcW w:w="0" w:type="auto"/>
            <w:hideMark/>
          </w:tcPr>
          <w:p w14:paraId="51599CDD" w14:textId="77777777" w:rsidR="00143ED6" w:rsidRPr="00792B36" w:rsidRDefault="00143ED6" w:rsidP="0096560E">
            <w:pPr>
              <w:rPr>
                <w:rFonts w:eastAsia="Times New Roman"/>
                <w:color w:val="1F1F1F"/>
                <w:sz w:val="20"/>
                <w:szCs w:val="20"/>
              </w:rPr>
            </w:pPr>
            <w:r w:rsidRPr="00792B36">
              <w:rPr>
                <w:rFonts w:eastAsia="Times New Roman"/>
                <w:color w:val="1F1F1F"/>
                <w:sz w:val="20"/>
                <w:szCs w:val="20"/>
                <w:bdr w:val="none" w:sz="0" w:space="0" w:color="auto" w:frame="1"/>
              </w:rPr>
              <w:t>PMUC</w:t>
            </w:r>
          </w:p>
        </w:tc>
        <w:tc>
          <w:tcPr>
            <w:tcW w:w="0" w:type="auto"/>
            <w:hideMark/>
          </w:tcPr>
          <w:p w14:paraId="75E3BD72" w14:textId="77777777" w:rsidR="00143ED6" w:rsidRPr="00792B36" w:rsidRDefault="00143ED6" w:rsidP="0096560E">
            <w:pPr>
              <w:rPr>
                <w:rFonts w:eastAsia="Times New Roman"/>
                <w:color w:val="1F1F1F"/>
                <w:sz w:val="20"/>
                <w:szCs w:val="20"/>
              </w:rPr>
            </w:pPr>
            <w:r w:rsidRPr="00792B36">
              <w:rPr>
                <w:rFonts w:eastAsia="Times New Roman"/>
                <w:color w:val="1F1F1F"/>
                <w:sz w:val="20"/>
                <w:szCs w:val="20"/>
                <w:bdr w:val="none" w:sz="0" w:space="0" w:color="auto" w:frame="1"/>
              </w:rPr>
              <w:t>Program Management Unit for Competitiveness</w:t>
            </w:r>
          </w:p>
        </w:tc>
      </w:tr>
      <w:tr w:rsidR="00143ED6" w:rsidRPr="00792B36" w14:paraId="6A6DC393" w14:textId="77777777" w:rsidTr="000C7AD0">
        <w:tc>
          <w:tcPr>
            <w:tcW w:w="0" w:type="auto"/>
            <w:hideMark/>
          </w:tcPr>
          <w:p w14:paraId="2293D90C" w14:textId="77777777" w:rsidR="00143ED6" w:rsidRPr="00792B36" w:rsidRDefault="00143ED6" w:rsidP="0096560E">
            <w:pPr>
              <w:rPr>
                <w:rFonts w:eastAsia="Times New Roman"/>
                <w:color w:val="1F1F1F"/>
                <w:sz w:val="20"/>
                <w:szCs w:val="20"/>
              </w:rPr>
            </w:pPr>
            <w:r w:rsidRPr="00792B36">
              <w:rPr>
                <w:rFonts w:eastAsia="Times New Roman"/>
                <w:color w:val="1F1F1F"/>
                <w:sz w:val="20"/>
                <w:szCs w:val="20"/>
                <w:bdr w:val="none" w:sz="0" w:space="0" w:color="auto" w:frame="1"/>
              </w:rPr>
              <w:t>EBM</w:t>
            </w:r>
          </w:p>
        </w:tc>
        <w:tc>
          <w:tcPr>
            <w:tcW w:w="0" w:type="auto"/>
            <w:hideMark/>
          </w:tcPr>
          <w:p w14:paraId="1CFA54C3" w14:textId="77777777" w:rsidR="00143ED6" w:rsidRPr="00792B36" w:rsidRDefault="00143ED6" w:rsidP="0096560E">
            <w:pPr>
              <w:rPr>
                <w:rFonts w:eastAsia="Times New Roman"/>
                <w:color w:val="1F1F1F"/>
                <w:sz w:val="20"/>
                <w:szCs w:val="20"/>
              </w:rPr>
            </w:pPr>
            <w:r w:rsidRPr="00792B36">
              <w:rPr>
                <w:rFonts w:eastAsia="Times New Roman"/>
                <w:color w:val="1F1F1F"/>
                <w:sz w:val="20"/>
                <w:szCs w:val="20"/>
                <w:bdr w:val="none" w:sz="0" w:space="0" w:color="auto" w:frame="1"/>
              </w:rPr>
              <w:t>Ecosystem-Based Management</w:t>
            </w:r>
          </w:p>
        </w:tc>
        <w:tc>
          <w:tcPr>
            <w:tcW w:w="0" w:type="auto"/>
            <w:hideMark/>
          </w:tcPr>
          <w:p w14:paraId="4A92878B" w14:textId="77777777" w:rsidR="00143ED6" w:rsidRPr="00792B36" w:rsidRDefault="00143ED6" w:rsidP="0096560E">
            <w:pPr>
              <w:rPr>
                <w:rFonts w:eastAsia="Times New Roman"/>
                <w:color w:val="1F1F1F"/>
                <w:sz w:val="20"/>
                <w:szCs w:val="20"/>
              </w:rPr>
            </w:pPr>
            <w:r w:rsidRPr="00792B36">
              <w:rPr>
                <w:rFonts w:eastAsia="Times New Roman"/>
                <w:color w:val="1F1F1F"/>
                <w:sz w:val="20"/>
                <w:szCs w:val="20"/>
                <w:bdr w:val="none" w:sz="0" w:space="0" w:color="auto" w:frame="1"/>
              </w:rPr>
              <w:t>PPP</w:t>
            </w:r>
          </w:p>
        </w:tc>
        <w:tc>
          <w:tcPr>
            <w:tcW w:w="0" w:type="auto"/>
            <w:hideMark/>
          </w:tcPr>
          <w:p w14:paraId="7266BD01" w14:textId="77777777" w:rsidR="00143ED6" w:rsidRPr="00792B36" w:rsidRDefault="00143ED6" w:rsidP="0096560E">
            <w:pPr>
              <w:rPr>
                <w:rFonts w:eastAsia="Times New Roman"/>
                <w:color w:val="1F1F1F"/>
                <w:sz w:val="20"/>
                <w:szCs w:val="20"/>
              </w:rPr>
            </w:pPr>
            <w:r w:rsidRPr="00792B36">
              <w:rPr>
                <w:rFonts w:eastAsia="Times New Roman"/>
                <w:color w:val="1F1F1F"/>
                <w:sz w:val="20"/>
                <w:szCs w:val="20"/>
                <w:bdr w:val="none" w:sz="0" w:space="0" w:color="auto" w:frame="1"/>
              </w:rPr>
              <w:t>Public-Private Partnership</w:t>
            </w:r>
          </w:p>
        </w:tc>
      </w:tr>
      <w:tr w:rsidR="00143ED6" w:rsidRPr="00792B36" w14:paraId="35B8A095" w14:textId="77777777" w:rsidTr="000C7AD0">
        <w:tc>
          <w:tcPr>
            <w:tcW w:w="0" w:type="auto"/>
            <w:hideMark/>
          </w:tcPr>
          <w:p w14:paraId="0FF4D41E" w14:textId="77777777" w:rsidR="00143ED6" w:rsidRPr="00792B36" w:rsidRDefault="00143ED6" w:rsidP="0096560E">
            <w:pPr>
              <w:rPr>
                <w:rFonts w:eastAsia="Times New Roman"/>
                <w:color w:val="1F1F1F"/>
                <w:sz w:val="20"/>
                <w:szCs w:val="20"/>
              </w:rPr>
            </w:pPr>
            <w:r w:rsidRPr="00792B36">
              <w:rPr>
                <w:rFonts w:eastAsia="Times New Roman"/>
                <w:color w:val="1F1F1F"/>
                <w:sz w:val="20"/>
                <w:szCs w:val="20"/>
                <w:bdr w:val="none" w:sz="0" w:space="0" w:color="auto" w:frame="1"/>
              </w:rPr>
              <w:t>EbA</w:t>
            </w:r>
          </w:p>
        </w:tc>
        <w:tc>
          <w:tcPr>
            <w:tcW w:w="0" w:type="auto"/>
            <w:hideMark/>
          </w:tcPr>
          <w:p w14:paraId="3E7A4416" w14:textId="77777777" w:rsidR="00143ED6" w:rsidRPr="00792B36" w:rsidRDefault="00143ED6" w:rsidP="0096560E">
            <w:pPr>
              <w:rPr>
                <w:rFonts w:eastAsia="Times New Roman"/>
                <w:color w:val="1F1F1F"/>
                <w:sz w:val="20"/>
                <w:szCs w:val="20"/>
              </w:rPr>
            </w:pPr>
            <w:r w:rsidRPr="00792B36">
              <w:rPr>
                <w:rFonts w:eastAsia="Times New Roman"/>
                <w:color w:val="1F1F1F"/>
                <w:sz w:val="20"/>
                <w:szCs w:val="20"/>
                <w:bdr w:val="none" w:sz="0" w:space="0" w:color="auto" w:frame="1"/>
              </w:rPr>
              <w:t>Ecosystem-based Adaptation</w:t>
            </w:r>
          </w:p>
        </w:tc>
        <w:tc>
          <w:tcPr>
            <w:tcW w:w="0" w:type="auto"/>
            <w:hideMark/>
          </w:tcPr>
          <w:p w14:paraId="7392DAE1" w14:textId="77777777" w:rsidR="00143ED6" w:rsidRPr="00792B36" w:rsidRDefault="00143ED6" w:rsidP="0096560E">
            <w:pPr>
              <w:rPr>
                <w:rFonts w:eastAsia="Times New Roman"/>
                <w:color w:val="1F1F1F"/>
                <w:sz w:val="20"/>
                <w:szCs w:val="20"/>
              </w:rPr>
            </w:pPr>
            <w:r w:rsidRPr="00792B36">
              <w:rPr>
                <w:rFonts w:eastAsia="Times New Roman"/>
                <w:color w:val="1F1F1F"/>
                <w:sz w:val="20"/>
                <w:szCs w:val="20"/>
                <w:bdr w:val="none" w:sz="0" w:space="0" w:color="auto" w:frame="1"/>
              </w:rPr>
              <w:t>PPR</w:t>
            </w:r>
          </w:p>
        </w:tc>
        <w:tc>
          <w:tcPr>
            <w:tcW w:w="0" w:type="auto"/>
            <w:hideMark/>
          </w:tcPr>
          <w:p w14:paraId="63E3D03D" w14:textId="77777777" w:rsidR="00143ED6" w:rsidRPr="00792B36" w:rsidRDefault="00143ED6" w:rsidP="0096560E">
            <w:pPr>
              <w:rPr>
                <w:rFonts w:eastAsia="Times New Roman"/>
                <w:color w:val="1F1F1F"/>
                <w:sz w:val="20"/>
                <w:szCs w:val="20"/>
              </w:rPr>
            </w:pPr>
            <w:r w:rsidRPr="00792B36">
              <w:rPr>
                <w:rFonts w:eastAsia="Times New Roman"/>
                <w:color w:val="1F1F1F"/>
                <w:sz w:val="20"/>
                <w:szCs w:val="20"/>
                <w:bdr w:val="none" w:sz="0" w:space="0" w:color="auto" w:frame="1"/>
              </w:rPr>
              <w:t>Primary Production Required</w:t>
            </w:r>
          </w:p>
        </w:tc>
      </w:tr>
      <w:tr w:rsidR="00143ED6" w:rsidRPr="00792B36" w14:paraId="48903BCD" w14:textId="77777777" w:rsidTr="000C7AD0">
        <w:tc>
          <w:tcPr>
            <w:tcW w:w="0" w:type="auto"/>
            <w:hideMark/>
          </w:tcPr>
          <w:p w14:paraId="06F5479A" w14:textId="77777777" w:rsidR="00143ED6" w:rsidRPr="00792B36" w:rsidRDefault="00143ED6" w:rsidP="0096560E">
            <w:pPr>
              <w:rPr>
                <w:rFonts w:eastAsia="Times New Roman"/>
                <w:color w:val="1F1F1F"/>
                <w:sz w:val="20"/>
                <w:szCs w:val="20"/>
              </w:rPr>
            </w:pPr>
            <w:r w:rsidRPr="00792B36">
              <w:rPr>
                <w:rFonts w:eastAsia="Times New Roman"/>
                <w:color w:val="1F1F1F"/>
                <w:sz w:val="20"/>
                <w:szCs w:val="20"/>
                <w:bdr w:val="none" w:sz="0" w:space="0" w:color="auto" w:frame="1"/>
              </w:rPr>
              <w:t>EEC</w:t>
            </w:r>
          </w:p>
        </w:tc>
        <w:tc>
          <w:tcPr>
            <w:tcW w:w="0" w:type="auto"/>
            <w:hideMark/>
          </w:tcPr>
          <w:p w14:paraId="0AC89FC3" w14:textId="77777777" w:rsidR="00143ED6" w:rsidRPr="00792B36" w:rsidRDefault="00143ED6" w:rsidP="0096560E">
            <w:pPr>
              <w:rPr>
                <w:rFonts w:eastAsia="Times New Roman"/>
                <w:color w:val="1F1F1F"/>
                <w:sz w:val="20"/>
                <w:szCs w:val="20"/>
              </w:rPr>
            </w:pPr>
            <w:r w:rsidRPr="00792B36">
              <w:rPr>
                <w:rFonts w:eastAsia="Times New Roman"/>
                <w:color w:val="1F1F1F"/>
                <w:sz w:val="20"/>
                <w:szCs w:val="20"/>
                <w:bdr w:val="none" w:sz="0" w:space="0" w:color="auto" w:frame="1"/>
              </w:rPr>
              <w:t>Eastern Economic Corridor</w:t>
            </w:r>
          </w:p>
        </w:tc>
        <w:tc>
          <w:tcPr>
            <w:tcW w:w="0" w:type="auto"/>
            <w:hideMark/>
          </w:tcPr>
          <w:p w14:paraId="4DA5B3E3" w14:textId="77777777" w:rsidR="00143ED6" w:rsidRPr="00792B36" w:rsidRDefault="00143ED6" w:rsidP="0096560E">
            <w:pPr>
              <w:rPr>
                <w:rFonts w:eastAsia="Times New Roman"/>
                <w:color w:val="1F1F1F"/>
                <w:sz w:val="20"/>
                <w:szCs w:val="20"/>
              </w:rPr>
            </w:pPr>
            <w:r w:rsidRPr="00792B36">
              <w:rPr>
                <w:rFonts w:eastAsia="Times New Roman"/>
                <w:color w:val="1F1F1F"/>
                <w:sz w:val="20"/>
                <w:szCs w:val="20"/>
                <w:bdr w:val="none" w:sz="0" w:space="0" w:color="auto" w:frame="1"/>
              </w:rPr>
              <w:t>RAP</w:t>
            </w:r>
          </w:p>
        </w:tc>
        <w:tc>
          <w:tcPr>
            <w:tcW w:w="0" w:type="auto"/>
            <w:hideMark/>
          </w:tcPr>
          <w:p w14:paraId="68F2E035" w14:textId="77777777" w:rsidR="00143ED6" w:rsidRPr="00792B36" w:rsidRDefault="00143ED6" w:rsidP="0096560E">
            <w:pPr>
              <w:rPr>
                <w:rFonts w:eastAsia="Times New Roman"/>
                <w:color w:val="1F1F1F"/>
                <w:sz w:val="20"/>
                <w:szCs w:val="20"/>
              </w:rPr>
            </w:pPr>
            <w:r w:rsidRPr="00792B36">
              <w:rPr>
                <w:rFonts w:eastAsia="Times New Roman"/>
                <w:color w:val="1F1F1F"/>
                <w:sz w:val="20"/>
                <w:szCs w:val="20"/>
                <w:bdr w:val="none" w:sz="0" w:space="0" w:color="auto" w:frame="1"/>
              </w:rPr>
              <w:t>Regional Action Plan</w:t>
            </w:r>
          </w:p>
        </w:tc>
      </w:tr>
      <w:tr w:rsidR="00143ED6" w:rsidRPr="00792B36" w14:paraId="5DE0A23B" w14:textId="77777777" w:rsidTr="000C7AD0">
        <w:tc>
          <w:tcPr>
            <w:tcW w:w="0" w:type="auto"/>
            <w:hideMark/>
          </w:tcPr>
          <w:p w14:paraId="60530C8D" w14:textId="77777777" w:rsidR="00143ED6" w:rsidRPr="00792B36" w:rsidRDefault="00143ED6" w:rsidP="0096560E">
            <w:pPr>
              <w:rPr>
                <w:rFonts w:eastAsia="Times New Roman"/>
                <w:color w:val="1F1F1F"/>
                <w:sz w:val="20"/>
                <w:szCs w:val="20"/>
              </w:rPr>
            </w:pPr>
            <w:r w:rsidRPr="00792B36">
              <w:rPr>
                <w:rFonts w:eastAsia="Times New Roman"/>
                <w:color w:val="1F1F1F"/>
                <w:sz w:val="20"/>
                <w:szCs w:val="20"/>
                <w:bdr w:val="none" w:sz="0" w:space="0" w:color="auto" w:frame="1"/>
              </w:rPr>
              <w:t>EEA</w:t>
            </w:r>
          </w:p>
        </w:tc>
        <w:tc>
          <w:tcPr>
            <w:tcW w:w="0" w:type="auto"/>
            <w:hideMark/>
          </w:tcPr>
          <w:p w14:paraId="6D155855" w14:textId="77777777" w:rsidR="00143ED6" w:rsidRPr="00792B36" w:rsidRDefault="00143ED6" w:rsidP="0096560E">
            <w:pPr>
              <w:rPr>
                <w:rFonts w:eastAsia="Times New Roman"/>
                <w:color w:val="1F1F1F"/>
                <w:sz w:val="20"/>
                <w:szCs w:val="20"/>
              </w:rPr>
            </w:pPr>
            <w:r w:rsidRPr="00792B36">
              <w:rPr>
                <w:rFonts w:eastAsia="Times New Roman"/>
                <w:color w:val="1F1F1F"/>
                <w:sz w:val="20"/>
                <w:szCs w:val="20"/>
                <w:bdr w:val="none" w:sz="0" w:space="0" w:color="auto" w:frame="1"/>
              </w:rPr>
              <w:t>European Environment Agency</w:t>
            </w:r>
          </w:p>
        </w:tc>
        <w:tc>
          <w:tcPr>
            <w:tcW w:w="0" w:type="auto"/>
            <w:hideMark/>
          </w:tcPr>
          <w:p w14:paraId="66EAB049" w14:textId="77777777" w:rsidR="00143ED6" w:rsidRPr="00792B36" w:rsidRDefault="00143ED6" w:rsidP="0096560E">
            <w:pPr>
              <w:rPr>
                <w:rFonts w:eastAsia="Times New Roman"/>
                <w:color w:val="1F1F1F"/>
                <w:sz w:val="20"/>
                <w:szCs w:val="20"/>
              </w:rPr>
            </w:pPr>
            <w:r w:rsidRPr="00792B36">
              <w:rPr>
                <w:rFonts w:eastAsia="Times New Roman"/>
                <w:color w:val="1F1F1F"/>
                <w:sz w:val="20"/>
                <w:szCs w:val="20"/>
                <w:bdr w:val="none" w:sz="0" w:space="0" w:color="auto" w:frame="1"/>
              </w:rPr>
              <w:t>RAP MALI</w:t>
            </w:r>
          </w:p>
        </w:tc>
        <w:tc>
          <w:tcPr>
            <w:tcW w:w="0" w:type="auto"/>
            <w:hideMark/>
          </w:tcPr>
          <w:p w14:paraId="5479C0A7" w14:textId="77777777" w:rsidR="00143ED6" w:rsidRPr="00792B36" w:rsidRDefault="00143ED6" w:rsidP="0096560E">
            <w:pPr>
              <w:rPr>
                <w:rFonts w:eastAsia="Times New Roman"/>
                <w:color w:val="1F1F1F"/>
                <w:sz w:val="20"/>
                <w:szCs w:val="20"/>
              </w:rPr>
            </w:pPr>
            <w:r w:rsidRPr="00792B36">
              <w:rPr>
                <w:rFonts w:eastAsia="Times New Roman"/>
                <w:color w:val="1F1F1F"/>
                <w:sz w:val="20"/>
                <w:szCs w:val="20"/>
                <w:bdr w:val="none" w:sz="0" w:space="0" w:color="auto" w:frame="1"/>
              </w:rPr>
              <w:t>Regional Action Plan on Marine Litter</w:t>
            </w:r>
          </w:p>
        </w:tc>
      </w:tr>
      <w:tr w:rsidR="00143ED6" w:rsidRPr="00792B36" w14:paraId="57BC0834" w14:textId="77777777" w:rsidTr="000C7AD0">
        <w:tc>
          <w:tcPr>
            <w:tcW w:w="0" w:type="auto"/>
            <w:hideMark/>
          </w:tcPr>
          <w:p w14:paraId="0DBC89ED" w14:textId="77777777" w:rsidR="00143ED6" w:rsidRPr="00792B36" w:rsidRDefault="00143ED6" w:rsidP="0096560E">
            <w:pPr>
              <w:rPr>
                <w:rFonts w:eastAsia="Times New Roman"/>
                <w:color w:val="1F1F1F"/>
                <w:sz w:val="20"/>
                <w:szCs w:val="20"/>
              </w:rPr>
            </w:pPr>
            <w:r w:rsidRPr="00792B36">
              <w:rPr>
                <w:rFonts w:eastAsia="Times New Roman"/>
                <w:color w:val="1F1F1F"/>
                <w:sz w:val="20"/>
                <w:szCs w:val="20"/>
                <w:bdr w:val="none" w:sz="0" w:space="0" w:color="auto" w:frame="1"/>
              </w:rPr>
              <w:t>EEZ</w:t>
            </w:r>
          </w:p>
        </w:tc>
        <w:tc>
          <w:tcPr>
            <w:tcW w:w="0" w:type="auto"/>
            <w:hideMark/>
          </w:tcPr>
          <w:p w14:paraId="1504106F" w14:textId="77777777" w:rsidR="00143ED6" w:rsidRPr="00792B36" w:rsidRDefault="00143ED6" w:rsidP="0096560E">
            <w:pPr>
              <w:rPr>
                <w:rFonts w:eastAsia="Times New Roman"/>
                <w:color w:val="1F1F1F"/>
                <w:sz w:val="20"/>
                <w:szCs w:val="20"/>
              </w:rPr>
            </w:pPr>
            <w:r w:rsidRPr="00792B36">
              <w:rPr>
                <w:rFonts w:eastAsia="Times New Roman"/>
                <w:color w:val="1F1F1F"/>
                <w:sz w:val="20"/>
                <w:szCs w:val="20"/>
                <w:bdr w:val="none" w:sz="0" w:space="0" w:color="auto" w:frame="1"/>
              </w:rPr>
              <w:t>Exclusive Economic Zone</w:t>
            </w:r>
          </w:p>
        </w:tc>
        <w:tc>
          <w:tcPr>
            <w:tcW w:w="0" w:type="auto"/>
            <w:hideMark/>
          </w:tcPr>
          <w:p w14:paraId="57F722CD" w14:textId="77777777" w:rsidR="00143ED6" w:rsidRPr="00792B36" w:rsidRDefault="00143ED6" w:rsidP="0096560E">
            <w:pPr>
              <w:rPr>
                <w:rFonts w:eastAsia="Times New Roman"/>
                <w:color w:val="1F1F1F"/>
                <w:sz w:val="20"/>
                <w:szCs w:val="20"/>
              </w:rPr>
            </w:pPr>
            <w:r w:rsidRPr="00792B36">
              <w:rPr>
                <w:rFonts w:eastAsia="Times New Roman"/>
                <w:color w:val="1F1F1F"/>
                <w:sz w:val="20"/>
                <w:szCs w:val="20"/>
                <w:bdr w:val="none" w:sz="0" w:space="0" w:color="auto" w:frame="1"/>
              </w:rPr>
              <w:t>RCP</w:t>
            </w:r>
          </w:p>
        </w:tc>
        <w:tc>
          <w:tcPr>
            <w:tcW w:w="0" w:type="auto"/>
            <w:hideMark/>
          </w:tcPr>
          <w:p w14:paraId="3EFF0051" w14:textId="77777777" w:rsidR="00143ED6" w:rsidRPr="00792B36" w:rsidRDefault="00143ED6" w:rsidP="0096560E">
            <w:pPr>
              <w:rPr>
                <w:rFonts w:eastAsia="Times New Roman"/>
                <w:color w:val="1F1F1F"/>
                <w:sz w:val="20"/>
                <w:szCs w:val="20"/>
              </w:rPr>
            </w:pPr>
            <w:r w:rsidRPr="00792B36">
              <w:rPr>
                <w:rFonts w:eastAsia="Times New Roman"/>
                <w:color w:val="1F1F1F"/>
                <w:sz w:val="20"/>
                <w:szCs w:val="20"/>
                <w:bdr w:val="none" w:sz="0" w:space="0" w:color="auto" w:frame="1"/>
              </w:rPr>
              <w:t>Representative Concentration Pathway</w:t>
            </w:r>
          </w:p>
        </w:tc>
      </w:tr>
      <w:tr w:rsidR="00143ED6" w:rsidRPr="00792B36" w14:paraId="56ED854C" w14:textId="77777777" w:rsidTr="000C7AD0">
        <w:tc>
          <w:tcPr>
            <w:tcW w:w="0" w:type="auto"/>
            <w:hideMark/>
          </w:tcPr>
          <w:p w14:paraId="6393987E" w14:textId="77777777" w:rsidR="00143ED6" w:rsidRPr="00792B36" w:rsidRDefault="00143ED6" w:rsidP="0096560E">
            <w:pPr>
              <w:rPr>
                <w:rFonts w:eastAsia="Times New Roman"/>
                <w:color w:val="1F1F1F"/>
                <w:sz w:val="20"/>
                <w:szCs w:val="20"/>
              </w:rPr>
            </w:pPr>
            <w:r w:rsidRPr="00792B36">
              <w:rPr>
                <w:rFonts w:eastAsia="Times New Roman"/>
                <w:color w:val="1F1F1F"/>
                <w:sz w:val="20"/>
                <w:szCs w:val="20"/>
                <w:bdr w:val="none" w:sz="0" w:space="0" w:color="auto" w:frame="1"/>
              </w:rPr>
              <w:t>EIA</w:t>
            </w:r>
          </w:p>
        </w:tc>
        <w:tc>
          <w:tcPr>
            <w:tcW w:w="0" w:type="auto"/>
            <w:hideMark/>
          </w:tcPr>
          <w:p w14:paraId="304DFF4D" w14:textId="77777777" w:rsidR="00143ED6" w:rsidRPr="00792B36" w:rsidRDefault="00143ED6" w:rsidP="0096560E">
            <w:pPr>
              <w:rPr>
                <w:rFonts w:eastAsia="Times New Roman"/>
                <w:color w:val="1F1F1F"/>
                <w:sz w:val="20"/>
                <w:szCs w:val="20"/>
              </w:rPr>
            </w:pPr>
            <w:r w:rsidRPr="00792B36">
              <w:rPr>
                <w:rFonts w:eastAsia="Times New Roman"/>
                <w:color w:val="1F1F1F"/>
                <w:sz w:val="20"/>
                <w:szCs w:val="20"/>
                <w:bdr w:val="none" w:sz="0" w:space="0" w:color="auto" w:frame="1"/>
              </w:rPr>
              <w:t>Environmental Impact Assessment</w:t>
            </w:r>
          </w:p>
        </w:tc>
        <w:tc>
          <w:tcPr>
            <w:tcW w:w="0" w:type="auto"/>
            <w:hideMark/>
          </w:tcPr>
          <w:p w14:paraId="3B480B88" w14:textId="77777777" w:rsidR="00143ED6" w:rsidRPr="00792B36" w:rsidRDefault="00143ED6" w:rsidP="0096560E">
            <w:pPr>
              <w:rPr>
                <w:rFonts w:eastAsia="Times New Roman"/>
                <w:color w:val="1F1F1F"/>
                <w:sz w:val="20"/>
                <w:szCs w:val="20"/>
              </w:rPr>
            </w:pPr>
            <w:r w:rsidRPr="00792B36">
              <w:rPr>
                <w:rFonts w:eastAsia="Times New Roman"/>
                <w:color w:val="1F1F1F"/>
                <w:sz w:val="20"/>
                <w:szCs w:val="20"/>
                <w:bdr w:val="none" w:sz="0" w:space="0" w:color="auto" w:frame="1"/>
              </w:rPr>
              <w:t>RID</w:t>
            </w:r>
          </w:p>
        </w:tc>
        <w:tc>
          <w:tcPr>
            <w:tcW w:w="0" w:type="auto"/>
            <w:hideMark/>
          </w:tcPr>
          <w:p w14:paraId="55EF4316" w14:textId="77777777" w:rsidR="00143ED6" w:rsidRPr="00792B36" w:rsidRDefault="00143ED6" w:rsidP="0096560E">
            <w:pPr>
              <w:rPr>
                <w:rFonts w:eastAsia="Times New Roman"/>
                <w:color w:val="1F1F1F"/>
                <w:sz w:val="20"/>
                <w:szCs w:val="20"/>
              </w:rPr>
            </w:pPr>
            <w:r w:rsidRPr="00792B36">
              <w:rPr>
                <w:rFonts w:eastAsia="Times New Roman"/>
                <w:color w:val="1F1F1F"/>
                <w:sz w:val="20"/>
                <w:szCs w:val="20"/>
                <w:bdr w:val="none" w:sz="0" w:space="0" w:color="auto" w:frame="1"/>
              </w:rPr>
              <w:t>Royal Irrigation Department</w:t>
            </w:r>
          </w:p>
        </w:tc>
      </w:tr>
      <w:tr w:rsidR="00143ED6" w:rsidRPr="00792B36" w14:paraId="21CE7AA0" w14:textId="77777777" w:rsidTr="000C7AD0">
        <w:tc>
          <w:tcPr>
            <w:tcW w:w="0" w:type="auto"/>
            <w:hideMark/>
          </w:tcPr>
          <w:p w14:paraId="711F9A6F" w14:textId="77777777" w:rsidR="00143ED6" w:rsidRPr="00792B36" w:rsidRDefault="00143ED6" w:rsidP="0096560E">
            <w:pPr>
              <w:rPr>
                <w:rFonts w:eastAsia="Times New Roman"/>
                <w:color w:val="1F1F1F"/>
                <w:sz w:val="20"/>
                <w:szCs w:val="20"/>
              </w:rPr>
            </w:pPr>
            <w:r w:rsidRPr="00792B36">
              <w:rPr>
                <w:rFonts w:eastAsia="Times New Roman"/>
                <w:color w:val="1F1F1F"/>
                <w:sz w:val="20"/>
                <w:szCs w:val="20"/>
                <w:bdr w:val="none" w:sz="0" w:space="0" w:color="auto" w:frame="1"/>
              </w:rPr>
              <w:t>EM-DAT</w:t>
            </w:r>
          </w:p>
        </w:tc>
        <w:tc>
          <w:tcPr>
            <w:tcW w:w="0" w:type="auto"/>
            <w:hideMark/>
          </w:tcPr>
          <w:p w14:paraId="64748EC1" w14:textId="77777777" w:rsidR="00143ED6" w:rsidRPr="00792B36" w:rsidRDefault="00143ED6" w:rsidP="0096560E">
            <w:pPr>
              <w:rPr>
                <w:rFonts w:eastAsia="Times New Roman"/>
                <w:color w:val="1F1F1F"/>
                <w:sz w:val="20"/>
                <w:szCs w:val="20"/>
              </w:rPr>
            </w:pPr>
            <w:r w:rsidRPr="00792B36">
              <w:rPr>
                <w:rFonts w:eastAsia="Times New Roman"/>
                <w:color w:val="1F1F1F"/>
                <w:sz w:val="20"/>
                <w:szCs w:val="20"/>
                <w:bdr w:val="none" w:sz="0" w:space="0" w:color="auto" w:frame="1"/>
              </w:rPr>
              <w:t>Emergency Events Database</w:t>
            </w:r>
          </w:p>
        </w:tc>
        <w:tc>
          <w:tcPr>
            <w:tcW w:w="0" w:type="auto"/>
            <w:hideMark/>
          </w:tcPr>
          <w:p w14:paraId="66957AAC" w14:textId="77777777" w:rsidR="00143ED6" w:rsidRPr="00792B36" w:rsidRDefault="00143ED6" w:rsidP="0096560E">
            <w:pPr>
              <w:rPr>
                <w:rFonts w:eastAsia="Times New Roman"/>
                <w:color w:val="1F1F1F"/>
                <w:sz w:val="20"/>
                <w:szCs w:val="20"/>
              </w:rPr>
            </w:pPr>
            <w:r w:rsidRPr="00792B36">
              <w:rPr>
                <w:rFonts w:eastAsia="Times New Roman"/>
                <w:color w:val="1F1F1F"/>
                <w:sz w:val="20"/>
                <w:szCs w:val="20"/>
                <w:bdr w:val="none" w:sz="0" w:space="0" w:color="auto" w:frame="1"/>
              </w:rPr>
              <w:t>RPOA-IUU</w:t>
            </w:r>
          </w:p>
        </w:tc>
        <w:tc>
          <w:tcPr>
            <w:tcW w:w="0" w:type="auto"/>
            <w:hideMark/>
          </w:tcPr>
          <w:p w14:paraId="0F8FFC4B" w14:textId="77777777" w:rsidR="00143ED6" w:rsidRPr="00792B36" w:rsidRDefault="00143ED6" w:rsidP="0096560E">
            <w:pPr>
              <w:rPr>
                <w:rFonts w:eastAsia="Times New Roman"/>
                <w:color w:val="1F1F1F"/>
                <w:sz w:val="20"/>
                <w:szCs w:val="20"/>
              </w:rPr>
            </w:pPr>
            <w:r w:rsidRPr="00792B36">
              <w:rPr>
                <w:rFonts w:eastAsia="Times New Roman"/>
                <w:color w:val="1F1F1F"/>
                <w:sz w:val="20"/>
                <w:szCs w:val="20"/>
                <w:bdr w:val="none" w:sz="0" w:space="0" w:color="auto" w:frame="1"/>
              </w:rPr>
              <w:t>Regional Plan of Action to Promote Responsible Fishing Practices Including Combating IUU Fishing in the Region</w:t>
            </w:r>
          </w:p>
        </w:tc>
      </w:tr>
      <w:tr w:rsidR="00143ED6" w:rsidRPr="00792B36" w14:paraId="20ABF6F9" w14:textId="77777777" w:rsidTr="000C7AD0">
        <w:tc>
          <w:tcPr>
            <w:tcW w:w="0" w:type="auto"/>
            <w:hideMark/>
          </w:tcPr>
          <w:p w14:paraId="09431A81" w14:textId="77777777" w:rsidR="00143ED6" w:rsidRPr="00792B36" w:rsidRDefault="00143ED6" w:rsidP="0096560E">
            <w:pPr>
              <w:rPr>
                <w:rFonts w:eastAsia="Times New Roman"/>
                <w:color w:val="1F1F1F"/>
                <w:sz w:val="20"/>
                <w:szCs w:val="20"/>
              </w:rPr>
            </w:pPr>
            <w:r w:rsidRPr="00792B36">
              <w:rPr>
                <w:rFonts w:eastAsia="Times New Roman"/>
                <w:color w:val="1F1F1F"/>
                <w:sz w:val="20"/>
                <w:szCs w:val="20"/>
                <w:bdr w:val="none" w:sz="0" w:space="0" w:color="auto" w:frame="1"/>
              </w:rPr>
              <w:t>EMSY</w:t>
            </w:r>
          </w:p>
        </w:tc>
        <w:tc>
          <w:tcPr>
            <w:tcW w:w="0" w:type="auto"/>
            <w:hideMark/>
          </w:tcPr>
          <w:p w14:paraId="6E5C7A30" w14:textId="77777777" w:rsidR="00143ED6" w:rsidRPr="00792B36" w:rsidRDefault="00143ED6" w:rsidP="0096560E">
            <w:pPr>
              <w:rPr>
                <w:rFonts w:eastAsia="Times New Roman"/>
                <w:color w:val="1F1F1F"/>
                <w:sz w:val="20"/>
                <w:szCs w:val="20"/>
              </w:rPr>
            </w:pPr>
            <w:r w:rsidRPr="00792B36">
              <w:rPr>
                <w:rFonts w:eastAsia="Times New Roman"/>
                <w:color w:val="1F1F1F"/>
                <w:sz w:val="20"/>
                <w:szCs w:val="20"/>
                <w:bdr w:val="none" w:sz="0" w:space="0" w:color="auto" w:frame="1"/>
              </w:rPr>
              <w:t>Fishing Effort at Maximum Sustainable Yield</w:t>
            </w:r>
          </w:p>
        </w:tc>
        <w:tc>
          <w:tcPr>
            <w:tcW w:w="0" w:type="auto"/>
            <w:hideMark/>
          </w:tcPr>
          <w:p w14:paraId="6CC86D89" w14:textId="77777777" w:rsidR="00143ED6" w:rsidRPr="00792B36" w:rsidRDefault="00143ED6" w:rsidP="0096560E">
            <w:pPr>
              <w:rPr>
                <w:rFonts w:eastAsia="Times New Roman"/>
                <w:color w:val="1F1F1F"/>
                <w:sz w:val="20"/>
                <w:szCs w:val="20"/>
              </w:rPr>
            </w:pPr>
            <w:r w:rsidRPr="00792B36">
              <w:rPr>
                <w:rFonts w:eastAsia="Times New Roman"/>
                <w:color w:val="1F1F1F"/>
                <w:sz w:val="20"/>
                <w:szCs w:val="20"/>
                <w:bdr w:val="none" w:sz="0" w:space="0" w:color="auto" w:frame="1"/>
              </w:rPr>
              <w:t>RTN</w:t>
            </w:r>
          </w:p>
        </w:tc>
        <w:tc>
          <w:tcPr>
            <w:tcW w:w="0" w:type="auto"/>
            <w:hideMark/>
          </w:tcPr>
          <w:p w14:paraId="601F0266" w14:textId="77777777" w:rsidR="00143ED6" w:rsidRPr="00792B36" w:rsidRDefault="00143ED6" w:rsidP="0096560E">
            <w:pPr>
              <w:rPr>
                <w:rFonts w:eastAsia="Times New Roman"/>
                <w:color w:val="1F1F1F"/>
                <w:sz w:val="20"/>
                <w:szCs w:val="20"/>
              </w:rPr>
            </w:pPr>
            <w:r w:rsidRPr="00792B36">
              <w:rPr>
                <w:rFonts w:eastAsia="Times New Roman"/>
                <w:color w:val="1F1F1F"/>
                <w:sz w:val="20"/>
                <w:szCs w:val="20"/>
                <w:bdr w:val="none" w:sz="0" w:space="0" w:color="auto" w:frame="1"/>
              </w:rPr>
              <w:t>Royal Thai Navy</w:t>
            </w:r>
          </w:p>
        </w:tc>
      </w:tr>
      <w:tr w:rsidR="00143ED6" w:rsidRPr="00792B36" w14:paraId="087FC3A8" w14:textId="77777777" w:rsidTr="000C7AD0">
        <w:tc>
          <w:tcPr>
            <w:tcW w:w="0" w:type="auto"/>
            <w:hideMark/>
          </w:tcPr>
          <w:p w14:paraId="002E61DD" w14:textId="77777777" w:rsidR="00143ED6" w:rsidRPr="00792B36" w:rsidRDefault="00143ED6" w:rsidP="0096560E">
            <w:pPr>
              <w:rPr>
                <w:rFonts w:eastAsia="Times New Roman"/>
                <w:color w:val="1F1F1F"/>
                <w:sz w:val="20"/>
                <w:szCs w:val="20"/>
              </w:rPr>
            </w:pPr>
            <w:r w:rsidRPr="00792B36">
              <w:rPr>
                <w:rFonts w:eastAsia="Times New Roman"/>
                <w:color w:val="1F1F1F"/>
                <w:sz w:val="20"/>
                <w:szCs w:val="20"/>
                <w:bdr w:val="none" w:sz="0" w:space="0" w:color="auto" w:frame="1"/>
              </w:rPr>
              <w:t>EN</w:t>
            </w:r>
          </w:p>
        </w:tc>
        <w:tc>
          <w:tcPr>
            <w:tcW w:w="0" w:type="auto"/>
            <w:hideMark/>
          </w:tcPr>
          <w:p w14:paraId="0E6CFFA1" w14:textId="77777777" w:rsidR="00143ED6" w:rsidRPr="00792B36" w:rsidRDefault="00143ED6" w:rsidP="0096560E">
            <w:pPr>
              <w:rPr>
                <w:rFonts w:eastAsia="Times New Roman"/>
                <w:color w:val="1F1F1F"/>
                <w:sz w:val="20"/>
                <w:szCs w:val="20"/>
              </w:rPr>
            </w:pPr>
            <w:r w:rsidRPr="00792B36">
              <w:rPr>
                <w:rFonts w:eastAsia="Times New Roman"/>
                <w:color w:val="1F1F1F"/>
                <w:sz w:val="20"/>
                <w:szCs w:val="20"/>
                <w:bdr w:val="none" w:sz="0" w:space="0" w:color="auto" w:frame="1"/>
              </w:rPr>
              <w:t>Endangered (IUCN status)</w:t>
            </w:r>
          </w:p>
        </w:tc>
        <w:tc>
          <w:tcPr>
            <w:tcW w:w="0" w:type="auto"/>
            <w:hideMark/>
          </w:tcPr>
          <w:p w14:paraId="06977AA4" w14:textId="77777777" w:rsidR="00143ED6" w:rsidRPr="00792B36" w:rsidRDefault="00143ED6" w:rsidP="0096560E">
            <w:pPr>
              <w:rPr>
                <w:rFonts w:eastAsia="Times New Roman"/>
                <w:color w:val="1F1F1F"/>
                <w:sz w:val="20"/>
                <w:szCs w:val="20"/>
              </w:rPr>
            </w:pPr>
            <w:r w:rsidRPr="00792B36">
              <w:rPr>
                <w:rFonts w:eastAsia="Times New Roman"/>
                <w:color w:val="1F1F1F"/>
                <w:sz w:val="20"/>
                <w:szCs w:val="20"/>
                <w:bdr w:val="none" w:sz="0" w:space="0" w:color="auto" w:frame="1"/>
              </w:rPr>
              <w:t>SAP</w:t>
            </w:r>
          </w:p>
        </w:tc>
        <w:tc>
          <w:tcPr>
            <w:tcW w:w="0" w:type="auto"/>
            <w:hideMark/>
          </w:tcPr>
          <w:p w14:paraId="7C489B6E" w14:textId="77777777" w:rsidR="00143ED6" w:rsidRPr="00792B36" w:rsidRDefault="00143ED6" w:rsidP="0096560E">
            <w:pPr>
              <w:rPr>
                <w:rFonts w:eastAsia="Times New Roman"/>
                <w:color w:val="1F1F1F"/>
                <w:sz w:val="20"/>
                <w:szCs w:val="20"/>
              </w:rPr>
            </w:pPr>
            <w:r w:rsidRPr="00792B36">
              <w:rPr>
                <w:rFonts w:eastAsia="Times New Roman"/>
                <w:color w:val="1F1F1F"/>
                <w:sz w:val="20"/>
                <w:szCs w:val="20"/>
                <w:bdr w:val="none" w:sz="0" w:space="0" w:color="auto" w:frame="1"/>
              </w:rPr>
              <w:t>Strategic Action Programme</w:t>
            </w:r>
          </w:p>
        </w:tc>
      </w:tr>
      <w:tr w:rsidR="00143ED6" w:rsidRPr="00792B36" w14:paraId="7D06655B" w14:textId="77777777" w:rsidTr="000C7AD0">
        <w:tc>
          <w:tcPr>
            <w:tcW w:w="0" w:type="auto"/>
            <w:hideMark/>
          </w:tcPr>
          <w:p w14:paraId="2881B0EA" w14:textId="77777777" w:rsidR="00143ED6" w:rsidRPr="00792B36" w:rsidRDefault="00143ED6" w:rsidP="0096560E">
            <w:pPr>
              <w:rPr>
                <w:rFonts w:eastAsia="Times New Roman"/>
                <w:color w:val="1F1F1F"/>
                <w:sz w:val="20"/>
                <w:szCs w:val="20"/>
              </w:rPr>
            </w:pPr>
            <w:r w:rsidRPr="00792B36">
              <w:rPr>
                <w:rFonts w:eastAsia="Times New Roman"/>
                <w:color w:val="1F1F1F"/>
                <w:sz w:val="20"/>
                <w:szCs w:val="20"/>
                <w:bdr w:val="none" w:sz="0" w:space="0" w:color="auto" w:frame="1"/>
              </w:rPr>
              <w:t>EnLAW</w:t>
            </w:r>
          </w:p>
        </w:tc>
        <w:tc>
          <w:tcPr>
            <w:tcW w:w="0" w:type="auto"/>
            <w:hideMark/>
          </w:tcPr>
          <w:p w14:paraId="126CD348" w14:textId="77777777" w:rsidR="00143ED6" w:rsidRPr="00792B36" w:rsidRDefault="00143ED6" w:rsidP="0096560E">
            <w:pPr>
              <w:rPr>
                <w:rFonts w:eastAsia="Times New Roman"/>
                <w:color w:val="1F1F1F"/>
                <w:sz w:val="20"/>
                <w:szCs w:val="20"/>
              </w:rPr>
            </w:pPr>
            <w:r w:rsidRPr="00792B36">
              <w:rPr>
                <w:rFonts w:eastAsia="Times New Roman"/>
                <w:color w:val="1F1F1F"/>
                <w:sz w:val="20"/>
                <w:szCs w:val="20"/>
                <w:bdr w:val="none" w:sz="0" w:space="0" w:color="auto" w:frame="1"/>
              </w:rPr>
              <w:t>Environmental Litigation and Advocacy for the Wants</w:t>
            </w:r>
          </w:p>
        </w:tc>
        <w:tc>
          <w:tcPr>
            <w:tcW w:w="0" w:type="auto"/>
            <w:hideMark/>
          </w:tcPr>
          <w:p w14:paraId="73F23590" w14:textId="77777777" w:rsidR="00143ED6" w:rsidRPr="00792B36" w:rsidRDefault="00143ED6" w:rsidP="0096560E">
            <w:pPr>
              <w:rPr>
                <w:rFonts w:eastAsia="Times New Roman"/>
                <w:color w:val="1F1F1F"/>
                <w:sz w:val="20"/>
                <w:szCs w:val="20"/>
              </w:rPr>
            </w:pPr>
            <w:r w:rsidRPr="00792B36">
              <w:rPr>
                <w:rFonts w:eastAsia="Times New Roman"/>
                <w:color w:val="1F1F1F"/>
                <w:sz w:val="20"/>
                <w:szCs w:val="20"/>
                <w:bdr w:val="none" w:sz="0" w:space="0" w:color="auto" w:frame="1"/>
              </w:rPr>
              <w:t>SCS</w:t>
            </w:r>
          </w:p>
        </w:tc>
        <w:tc>
          <w:tcPr>
            <w:tcW w:w="0" w:type="auto"/>
            <w:hideMark/>
          </w:tcPr>
          <w:p w14:paraId="2DFDCF4C" w14:textId="77777777" w:rsidR="00143ED6" w:rsidRPr="00792B36" w:rsidRDefault="00143ED6" w:rsidP="0096560E">
            <w:pPr>
              <w:rPr>
                <w:rFonts w:eastAsia="Times New Roman"/>
                <w:color w:val="1F1F1F"/>
                <w:sz w:val="20"/>
                <w:szCs w:val="20"/>
              </w:rPr>
            </w:pPr>
            <w:r w:rsidRPr="00792B36">
              <w:rPr>
                <w:rFonts w:eastAsia="Times New Roman"/>
                <w:color w:val="1F1F1F"/>
                <w:sz w:val="20"/>
                <w:szCs w:val="20"/>
                <w:bdr w:val="none" w:sz="0" w:space="0" w:color="auto" w:frame="1"/>
              </w:rPr>
              <w:t>South China Sea</w:t>
            </w:r>
          </w:p>
        </w:tc>
      </w:tr>
      <w:tr w:rsidR="00143ED6" w:rsidRPr="00792B36" w14:paraId="0B383F36" w14:textId="77777777" w:rsidTr="000C7AD0">
        <w:tc>
          <w:tcPr>
            <w:tcW w:w="0" w:type="auto"/>
            <w:hideMark/>
          </w:tcPr>
          <w:p w14:paraId="796B5096" w14:textId="77777777" w:rsidR="00143ED6" w:rsidRPr="00792B36" w:rsidRDefault="00143ED6" w:rsidP="0096560E">
            <w:pPr>
              <w:rPr>
                <w:rFonts w:eastAsia="Times New Roman"/>
                <w:color w:val="1F1F1F"/>
                <w:sz w:val="20"/>
                <w:szCs w:val="20"/>
              </w:rPr>
            </w:pPr>
            <w:r w:rsidRPr="00792B36">
              <w:rPr>
                <w:rFonts w:eastAsia="Times New Roman"/>
                <w:color w:val="1F1F1F"/>
                <w:sz w:val="20"/>
                <w:szCs w:val="20"/>
                <w:bdr w:val="none" w:sz="0" w:space="0" w:color="auto" w:frame="1"/>
              </w:rPr>
              <w:t>EPI</w:t>
            </w:r>
          </w:p>
        </w:tc>
        <w:tc>
          <w:tcPr>
            <w:tcW w:w="0" w:type="auto"/>
            <w:hideMark/>
          </w:tcPr>
          <w:p w14:paraId="24FF865A" w14:textId="77777777" w:rsidR="00143ED6" w:rsidRPr="00792B36" w:rsidRDefault="00143ED6" w:rsidP="0096560E">
            <w:pPr>
              <w:rPr>
                <w:rFonts w:eastAsia="Times New Roman"/>
                <w:color w:val="1F1F1F"/>
                <w:sz w:val="20"/>
                <w:szCs w:val="20"/>
              </w:rPr>
            </w:pPr>
            <w:r w:rsidRPr="00792B36">
              <w:rPr>
                <w:rFonts w:eastAsia="Times New Roman"/>
                <w:color w:val="1F1F1F"/>
                <w:sz w:val="20"/>
                <w:szCs w:val="20"/>
                <w:bdr w:val="none" w:sz="0" w:space="0" w:color="auto" w:frame="1"/>
              </w:rPr>
              <w:t>Environmental Performance Index</w:t>
            </w:r>
          </w:p>
        </w:tc>
        <w:tc>
          <w:tcPr>
            <w:tcW w:w="0" w:type="auto"/>
            <w:hideMark/>
          </w:tcPr>
          <w:p w14:paraId="79D1E7E9" w14:textId="77777777" w:rsidR="00143ED6" w:rsidRPr="00792B36" w:rsidRDefault="00143ED6" w:rsidP="0096560E">
            <w:pPr>
              <w:rPr>
                <w:rFonts w:eastAsia="Times New Roman"/>
                <w:color w:val="1F1F1F"/>
                <w:sz w:val="20"/>
                <w:szCs w:val="20"/>
              </w:rPr>
            </w:pPr>
            <w:r w:rsidRPr="00792B36">
              <w:rPr>
                <w:rFonts w:eastAsia="Times New Roman"/>
                <w:color w:val="1F1F1F"/>
                <w:sz w:val="20"/>
                <w:szCs w:val="20"/>
                <w:bdr w:val="none" w:sz="0" w:space="0" w:color="auto" w:frame="1"/>
              </w:rPr>
              <w:t>SDF</w:t>
            </w:r>
          </w:p>
        </w:tc>
        <w:tc>
          <w:tcPr>
            <w:tcW w:w="0" w:type="auto"/>
            <w:hideMark/>
          </w:tcPr>
          <w:p w14:paraId="04BABED9" w14:textId="77777777" w:rsidR="00143ED6" w:rsidRPr="00792B36" w:rsidRDefault="00143ED6" w:rsidP="0096560E">
            <w:pPr>
              <w:rPr>
                <w:rFonts w:eastAsia="Times New Roman"/>
                <w:color w:val="1F1F1F"/>
                <w:sz w:val="20"/>
                <w:szCs w:val="20"/>
              </w:rPr>
            </w:pPr>
            <w:r w:rsidRPr="00792B36">
              <w:rPr>
                <w:rFonts w:eastAsia="Times New Roman"/>
                <w:color w:val="1F1F1F"/>
                <w:sz w:val="20"/>
                <w:szCs w:val="20"/>
                <w:bdr w:val="none" w:sz="0" w:space="0" w:color="auto" w:frame="1"/>
              </w:rPr>
              <w:t>Sustainable Development Foundation</w:t>
            </w:r>
          </w:p>
        </w:tc>
      </w:tr>
      <w:tr w:rsidR="00143ED6" w:rsidRPr="00792B36" w14:paraId="5BACCB04" w14:textId="77777777" w:rsidTr="000C7AD0">
        <w:tc>
          <w:tcPr>
            <w:tcW w:w="0" w:type="auto"/>
            <w:hideMark/>
          </w:tcPr>
          <w:p w14:paraId="07DDACD3" w14:textId="77777777" w:rsidR="00143ED6" w:rsidRPr="00792B36" w:rsidRDefault="00143ED6" w:rsidP="0096560E">
            <w:pPr>
              <w:rPr>
                <w:rFonts w:eastAsia="Times New Roman"/>
                <w:color w:val="1F1F1F"/>
                <w:sz w:val="20"/>
                <w:szCs w:val="20"/>
              </w:rPr>
            </w:pPr>
            <w:r w:rsidRPr="00792B36">
              <w:rPr>
                <w:rFonts w:eastAsia="Times New Roman"/>
                <w:color w:val="1F1F1F"/>
                <w:sz w:val="20"/>
                <w:szCs w:val="20"/>
                <w:bdr w:val="none" w:sz="0" w:space="0" w:color="auto" w:frame="1"/>
              </w:rPr>
              <w:t>EPR</w:t>
            </w:r>
          </w:p>
        </w:tc>
        <w:tc>
          <w:tcPr>
            <w:tcW w:w="0" w:type="auto"/>
            <w:hideMark/>
          </w:tcPr>
          <w:p w14:paraId="5E3BC296" w14:textId="77777777" w:rsidR="00143ED6" w:rsidRPr="00792B36" w:rsidRDefault="00143ED6" w:rsidP="0096560E">
            <w:pPr>
              <w:rPr>
                <w:rFonts w:eastAsia="Times New Roman"/>
                <w:color w:val="1F1F1F"/>
                <w:sz w:val="20"/>
                <w:szCs w:val="20"/>
              </w:rPr>
            </w:pPr>
            <w:r w:rsidRPr="00792B36">
              <w:rPr>
                <w:rFonts w:eastAsia="Times New Roman"/>
                <w:color w:val="1F1F1F"/>
                <w:sz w:val="20"/>
                <w:szCs w:val="20"/>
                <w:bdr w:val="none" w:sz="0" w:space="0" w:color="auto" w:frame="1"/>
              </w:rPr>
              <w:t>Extended Producer Responsibility</w:t>
            </w:r>
          </w:p>
        </w:tc>
        <w:tc>
          <w:tcPr>
            <w:tcW w:w="0" w:type="auto"/>
            <w:hideMark/>
          </w:tcPr>
          <w:p w14:paraId="35A4ED94" w14:textId="77777777" w:rsidR="00143ED6" w:rsidRPr="00792B36" w:rsidRDefault="00143ED6" w:rsidP="0096560E">
            <w:pPr>
              <w:rPr>
                <w:rFonts w:eastAsia="Times New Roman"/>
                <w:color w:val="1F1F1F"/>
                <w:sz w:val="20"/>
                <w:szCs w:val="20"/>
              </w:rPr>
            </w:pPr>
            <w:r w:rsidRPr="00792B36">
              <w:rPr>
                <w:rFonts w:eastAsia="Times New Roman"/>
                <w:color w:val="1F1F1F"/>
                <w:sz w:val="20"/>
                <w:szCs w:val="20"/>
                <w:bdr w:val="none" w:sz="0" w:space="0" w:color="auto" w:frame="1"/>
              </w:rPr>
              <w:t>SDG</w:t>
            </w:r>
          </w:p>
        </w:tc>
        <w:tc>
          <w:tcPr>
            <w:tcW w:w="0" w:type="auto"/>
            <w:hideMark/>
          </w:tcPr>
          <w:p w14:paraId="133B0EA0" w14:textId="77777777" w:rsidR="00143ED6" w:rsidRPr="00792B36" w:rsidRDefault="00143ED6" w:rsidP="0096560E">
            <w:pPr>
              <w:rPr>
                <w:rFonts w:eastAsia="Times New Roman"/>
                <w:color w:val="1F1F1F"/>
                <w:sz w:val="20"/>
                <w:szCs w:val="20"/>
              </w:rPr>
            </w:pPr>
            <w:r w:rsidRPr="00792B36">
              <w:rPr>
                <w:rFonts w:eastAsia="Times New Roman"/>
                <w:color w:val="1F1F1F"/>
                <w:sz w:val="20"/>
                <w:szCs w:val="20"/>
                <w:bdr w:val="none" w:sz="0" w:space="0" w:color="auto" w:frame="1"/>
              </w:rPr>
              <w:t>Sustainable Development Goal</w:t>
            </w:r>
          </w:p>
        </w:tc>
      </w:tr>
      <w:tr w:rsidR="00143ED6" w:rsidRPr="00792B36" w14:paraId="282CE22F" w14:textId="77777777" w:rsidTr="000C7AD0">
        <w:tc>
          <w:tcPr>
            <w:tcW w:w="0" w:type="auto"/>
            <w:hideMark/>
          </w:tcPr>
          <w:p w14:paraId="0EF54FD1" w14:textId="77777777" w:rsidR="00143ED6" w:rsidRPr="00792B36" w:rsidRDefault="00143ED6" w:rsidP="0096560E">
            <w:pPr>
              <w:rPr>
                <w:rFonts w:eastAsia="Times New Roman"/>
                <w:color w:val="1F1F1F"/>
                <w:sz w:val="20"/>
                <w:szCs w:val="20"/>
              </w:rPr>
            </w:pPr>
            <w:r w:rsidRPr="00792B36">
              <w:rPr>
                <w:rFonts w:eastAsia="Times New Roman"/>
                <w:color w:val="1F1F1F"/>
                <w:sz w:val="20"/>
                <w:szCs w:val="20"/>
                <w:bdr w:val="none" w:sz="0" w:space="0" w:color="auto" w:frame="1"/>
              </w:rPr>
              <w:t>E-READI</w:t>
            </w:r>
          </w:p>
        </w:tc>
        <w:tc>
          <w:tcPr>
            <w:tcW w:w="0" w:type="auto"/>
            <w:hideMark/>
          </w:tcPr>
          <w:p w14:paraId="7403C5F6" w14:textId="77777777" w:rsidR="00143ED6" w:rsidRPr="00792B36" w:rsidRDefault="00143ED6" w:rsidP="0096560E">
            <w:pPr>
              <w:rPr>
                <w:rFonts w:eastAsia="Times New Roman"/>
                <w:color w:val="1F1F1F"/>
                <w:sz w:val="20"/>
                <w:szCs w:val="20"/>
              </w:rPr>
            </w:pPr>
            <w:r w:rsidRPr="00792B36">
              <w:rPr>
                <w:rFonts w:eastAsia="Times New Roman"/>
                <w:color w:val="1F1F1F"/>
                <w:sz w:val="20"/>
                <w:szCs w:val="20"/>
                <w:bdr w:val="none" w:sz="0" w:space="0" w:color="auto" w:frame="1"/>
              </w:rPr>
              <w:t>Enhanced Regional EU-ASEAN Dialogue Instrument</w:t>
            </w:r>
          </w:p>
        </w:tc>
        <w:tc>
          <w:tcPr>
            <w:tcW w:w="0" w:type="auto"/>
            <w:hideMark/>
          </w:tcPr>
          <w:p w14:paraId="4FCE61AE" w14:textId="77777777" w:rsidR="00143ED6" w:rsidRPr="00792B36" w:rsidRDefault="00143ED6" w:rsidP="0096560E">
            <w:pPr>
              <w:rPr>
                <w:rFonts w:eastAsia="Times New Roman"/>
                <w:color w:val="1F1F1F"/>
                <w:sz w:val="20"/>
                <w:szCs w:val="20"/>
              </w:rPr>
            </w:pPr>
            <w:r w:rsidRPr="00792B36">
              <w:rPr>
                <w:rFonts w:eastAsia="Times New Roman"/>
                <w:color w:val="1F1F1F"/>
                <w:sz w:val="20"/>
                <w:szCs w:val="20"/>
                <w:bdr w:val="none" w:sz="0" w:space="0" w:color="auto" w:frame="1"/>
              </w:rPr>
              <w:t>SEA-MaP</w:t>
            </w:r>
          </w:p>
        </w:tc>
        <w:tc>
          <w:tcPr>
            <w:tcW w:w="0" w:type="auto"/>
            <w:hideMark/>
          </w:tcPr>
          <w:p w14:paraId="3B863F08" w14:textId="77777777" w:rsidR="00143ED6" w:rsidRPr="00792B36" w:rsidRDefault="00143ED6" w:rsidP="0096560E">
            <w:pPr>
              <w:rPr>
                <w:rFonts w:eastAsia="Times New Roman"/>
                <w:color w:val="1F1F1F"/>
                <w:sz w:val="20"/>
                <w:szCs w:val="20"/>
              </w:rPr>
            </w:pPr>
            <w:r w:rsidRPr="00792B36">
              <w:rPr>
                <w:rFonts w:eastAsia="Times New Roman"/>
                <w:color w:val="1F1F1F"/>
                <w:sz w:val="20"/>
                <w:szCs w:val="20"/>
                <w:bdr w:val="none" w:sz="0" w:space="0" w:color="auto" w:frame="1"/>
              </w:rPr>
              <w:t>Southeast Asia Regional Program on Combating Marine Plastics</w:t>
            </w:r>
          </w:p>
        </w:tc>
      </w:tr>
      <w:tr w:rsidR="00143ED6" w:rsidRPr="00792B36" w14:paraId="518ADEC3" w14:textId="77777777" w:rsidTr="000C7AD0">
        <w:tc>
          <w:tcPr>
            <w:tcW w:w="0" w:type="auto"/>
            <w:hideMark/>
          </w:tcPr>
          <w:p w14:paraId="5CEDFB77" w14:textId="77777777" w:rsidR="00143ED6" w:rsidRPr="00792B36" w:rsidRDefault="00143ED6" w:rsidP="0096560E">
            <w:pPr>
              <w:rPr>
                <w:rFonts w:eastAsia="Times New Roman"/>
                <w:color w:val="1F1F1F"/>
                <w:sz w:val="20"/>
                <w:szCs w:val="20"/>
              </w:rPr>
            </w:pPr>
            <w:r w:rsidRPr="00792B36">
              <w:rPr>
                <w:rFonts w:eastAsia="Times New Roman"/>
                <w:color w:val="1F1F1F"/>
                <w:sz w:val="20"/>
                <w:szCs w:val="20"/>
                <w:bdr w:val="none" w:sz="0" w:space="0" w:color="auto" w:frame="1"/>
              </w:rPr>
              <w:t>F</w:t>
            </w:r>
          </w:p>
        </w:tc>
        <w:tc>
          <w:tcPr>
            <w:tcW w:w="0" w:type="auto"/>
            <w:hideMark/>
          </w:tcPr>
          <w:p w14:paraId="30D4EEA1" w14:textId="77777777" w:rsidR="00143ED6" w:rsidRPr="00792B36" w:rsidRDefault="00143ED6" w:rsidP="0096560E">
            <w:pPr>
              <w:rPr>
                <w:rFonts w:eastAsia="Times New Roman"/>
                <w:color w:val="1F1F1F"/>
                <w:sz w:val="20"/>
                <w:szCs w:val="20"/>
              </w:rPr>
            </w:pPr>
            <w:r w:rsidRPr="00792B36">
              <w:rPr>
                <w:rFonts w:eastAsia="Times New Roman"/>
                <w:color w:val="1F1F1F"/>
                <w:sz w:val="20"/>
                <w:szCs w:val="20"/>
                <w:bdr w:val="none" w:sz="0" w:space="0" w:color="auto" w:frame="1"/>
              </w:rPr>
              <w:t>Fishing Mortality</w:t>
            </w:r>
          </w:p>
        </w:tc>
        <w:tc>
          <w:tcPr>
            <w:tcW w:w="0" w:type="auto"/>
            <w:hideMark/>
          </w:tcPr>
          <w:p w14:paraId="73D36DA1" w14:textId="77777777" w:rsidR="00143ED6" w:rsidRPr="00792B36" w:rsidRDefault="00143ED6" w:rsidP="0096560E">
            <w:pPr>
              <w:rPr>
                <w:rFonts w:eastAsia="Times New Roman"/>
                <w:color w:val="1F1F1F"/>
                <w:sz w:val="20"/>
                <w:szCs w:val="20"/>
              </w:rPr>
            </w:pPr>
            <w:r w:rsidRPr="00792B36">
              <w:rPr>
                <w:rFonts w:eastAsia="Times New Roman"/>
                <w:color w:val="1F1F1F"/>
                <w:sz w:val="20"/>
                <w:szCs w:val="20"/>
                <w:bdr w:val="none" w:sz="0" w:space="0" w:color="auto" w:frame="1"/>
              </w:rPr>
              <w:t>SEAFDEC</w:t>
            </w:r>
          </w:p>
        </w:tc>
        <w:tc>
          <w:tcPr>
            <w:tcW w:w="0" w:type="auto"/>
            <w:hideMark/>
          </w:tcPr>
          <w:p w14:paraId="11219CD9" w14:textId="77777777" w:rsidR="00143ED6" w:rsidRPr="00792B36" w:rsidRDefault="00143ED6" w:rsidP="0096560E">
            <w:pPr>
              <w:rPr>
                <w:rFonts w:eastAsia="Times New Roman"/>
                <w:color w:val="1F1F1F"/>
                <w:sz w:val="20"/>
                <w:szCs w:val="20"/>
              </w:rPr>
            </w:pPr>
            <w:r w:rsidRPr="00792B36">
              <w:rPr>
                <w:rFonts w:eastAsia="Times New Roman"/>
                <w:color w:val="1F1F1F"/>
                <w:sz w:val="20"/>
                <w:szCs w:val="20"/>
                <w:bdr w:val="none" w:sz="0" w:space="0" w:color="auto" w:frame="1"/>
              </w:rPr>
              <w:t>Southeast Asian Fisheries Development Center</w:t>
            </w:r>
          </w:p>
        </w:tc>
      </w:tr>
      <w:tr w:rsidR="00143ED6" w:rsidRPr="00792B36" w14:paraId="29BDFF11" w14:textId="77777777" w:rsidTr="000C7AD0">
        <w:tc>
          <w:tcPr>
            <w:tcW w:w="0" w:type="auto"/>
            <w:hideMark/>
          </w:tcPr>
          <w:p w14:paraId="5790C5F1" w14:textId="77777777" w:rsidR="00143ED6" w:rsidRPr="00792B36" w:rsidRDefault="00143ED6" w:rsidP="0096560E">
            <w:pPr>
              <w:rPr>
                <w:rFonts w:eastAsia="Times New Roman"/>
                <w:color w:val="1F1F1F"/>
                <w:sz w:val="20"/>
                <w:szCs w:val="20"/>
              </w:rPr>
            </w:pPr>
            <w:r w:rsidRPr="00792B36">
              <w:rPr>
                <w:rFonts w:eastAsia="Times New Roman"/>
                <w:color w:val="1F1F1F"/>
                <w:sz w:val="20"/>
                <w:szCs w:val="20"/>
                <w:bdr w:val="none" w:sz="0" w:space="0" w:color="auto" w:frame="1"/>
              </w:rPr>
              <w:t>FAO</w:t>
            </w:r>
          </w:p>
        </w:tc>
        <w:tc>
          <w:tcPr>
            <w:tcW w:w="0" w:type="auto"/>
            <w:hideMark/>
          </w:tcPr>
          <w:p w14:paraId="680685FD" w14:textId="77777777" w:rsidR="00143ED6" w:rsidRPr="00792B36" w:rsidRDefault="00143ED6" w:rsidP="0096560E">
            <w:pPr>
              <w:rPr>
                <w:rFonts w:eastAsia="Times New Roman"/>
                <w:color w:val="1F1F1F"/>
                <w:sz w:val="20"/>
                <w:szCs w:val="20"/>
              </w:rPr>
            </w:pPr>
            <w:r w:rsidRPr="00792B36">
              <w:rPr>
                <w:rFonts w:eastAsia="Times New Roman"/>
                <w:color w:val="1F1F1F"/>
                <w:sz w:val="20"/>
                <w:szCs w:val="20"/>
                <w:bdr w:val="none" w:sz="0" w:space="0" w:color="auto" w:frame="1"/>
              </w:rPr>
              <w:t>Food and Agriculture Organization of the United Nations</w:t>
            </w:r>
          </w:p>
        </w:tc>
        <w:tc>
          <w:tcPr>
            <w:tcW w:w="0" w:type="auto"/>
            <w:hideMark/>
          </w:tcPr>
          <w:p w14:paraId="5D4F3A23" w14:textId="77777777" w:rsidR="00143ED6" w:rsidRPr="00792B36" w:rsidRDefault="00143ED6" w:rsidP="0096560E">
            <w:pPr>
              <w:rPr>
                <w:rFonts w:eastAsia="Times New Roman"/>
                <w:color w:val="1F1F1F"/>
                <w:sz w:val="20"/>
                <w:szCs w:val="20"/>
              </w:rPr>
            </w:pPr>
            <w:r w:rsidRPr="00792B36">
              <w:rPr>
                <w:rFonts w:eastAsia="Times New Roman"/>
                <w:color w:val="1F1F1F"/>
                <w:sz w:val="20"/>
                <w:szCs w:val="20"/>
                <w:bdr w:val="none" w:sz="0" w:space="0" w:color="auto" w:frame="1"/>
              </w:rPr>
              <w:t>SEP</w:t>
            </w:r>
          </w:p>
        </w:tc>
        <w:tc>
          <w:tcPr>
            <w:tcW w:w="0" w:type="auto"/>
            <w:hideMark/>
          </w:tcPr>
          <w:p w14:paraId="43763AE3" w14:textId="77777777" w:rsidR="00143ED6" w:rsidRPr="00792B36" w:rsidRDefault="00143ED6" w:rsidP="0096560E">
            <w:pPr>
              <w:rPr>
                <w:rFonts w:eastAsia="Times New Roman"/>
                <w:color w:val="1F1F1F"/>
                <w:sz w:val="20"/>
                <w:szCs w:val="20"/>
              </w:rPr>
            </w:pPr>
            <w:r w:rsidRPr="00792B36">
              <w:rPr>
                <w:rFonts w:eastAsia="Times New Roman"/>
                <w:color w:val="1F1F1F"/>
                <w:sz w:val="20"/>
                <w:szCs w:val="20"/>
                <w:bdr w:val="none" w:sz="0" w:space="0" w:color="auto" w:frame="1"/>
              </w:rPr>
              <w:t>Sufficiency Economy Philosophy</w:t>
            </w:r>
          </w:p>
        </w:tc>
      </w:tr>
      <w:tr w:rsidR="00143ED6" w:rsidRPr="00792B36" w14:paraId="586248C9" w14:textId="77777777" w:rsidTr="000C7AD0">
        <w:tc>
          <w:tcPr>
            <w:tcW w:w="0" w:type="auto"/>
            <w:hideMark/>
          </w:tcPr>
          <w:p w14:paraId="78EEF887" w14:textId="77777777" w:rsidR="00143ED6" w:rsidRPr="00792B36" w:rsidRDefault="00143ED6" w:rsidP="0096560E">
            <w:pPr>
              <w:rPr>
                <w:rFonts w:eastAsia="Times New Roman"/>
                <w:color w:val="1F1F1F"/>
                <w:sz w:val="20"/>
                <w:szCs w:val="20"/>
              </w:rPr>
            </w:pPr>
            <w:r w:rsidRPr="00792B36">
              <w:rPr>
                <w:rFonts w:eastAsia="Times New Roman"/>
                <w:color w:val="1F1F1F"/>
                <w:sz w:val="20"/>
                <w:szCs w:val="20"/>
                <w:bdr w:val="none" w:sz="0" w:space="0" w:color="auto" w:frame="1"/>
              </w:rPr>
              <w:t>FDI</w:t>
            </w:r>
          </w:p>
        </w:tc>
        <w:tc>
          <w:tcPr>
            <w:tcW w:w="0" w:type="auto"/>
            <w:hideMark/>
          </w:tcPr>
          <w:p w14:paraId="02C14C95" w14:textId="77777777" w:rsidR="00143ED6" w:rsidRPr="00792B36" w:rsidRDefault="00143ED6" w:rsidP="0096560E">
            <w:pPr>
              <w:rPr>
                <w:rFonts w:eastAsia="Times New Roman"/>
                <w:color w:val="1F1F1F"/>
                <w:sz w:val="20"/>
                <w:szCs w:val="20"/>
              </w:rPr>
            </w:pPr>
            <w:r w:rsidRPr="00792B36">
              <w:rPr>
                <w:rFonts w:eastAsia="Times New Roman"/>
                <w:color w:val="1F1F1F"/>
                <w:sz w:val="20"/>
                <w:szCs w:val="20"/>
                <w:bdr w:val="none" w:sz="0" w:space="0" w:color="auto" w:frame="1"/>
              </w:rPr>
              <w:t>Foreign Direct Investment</w:t>
            </w:r>
          </w:p>
        </w:tc>
        <w:tc>
          <w:tcPr>
            <w:tcW w:w="0" w:type="auto"/>
            <w:hideMark/>
          </w:tcPr>
          <w:p w14:paraId="4CA39511" w14:textId="77777777" w:rsidR="00143ED6" w:rsidRPr="00792B36" w:rsidRDefault="00143ED6" w:rsidP="0096560E">
            <w:pPr>
              <w:rPr>
                <w:rFonts w:eastAsia="Times New Roman"/>
                <w:color w:val="1F1F1F"/>
                <w:sz w:val="20"/>
                <w:szCs w:val="20"/>
              </w:rPr>
            </w:pPr>
            <w:r w:rsidRPr="00792B36">
              <w:rPr>
                <w:rFonts w:eastAsia="Times New Roman"/>
                <w:color w:val="1F1F1F"/>
                <w:sz w:val="20"/>
                <w:szCs w:val="20"/>
                <w:bdr w:val="none" w:sz="0" w:space="0" w:color="auto" w:frame="1"/>
              </w:rPr>
              <w:t>SLR</w:t>
            </w:r>
          </w:p>
        </w:tc>
        <w:tc>
          <w:tcPr>
            <w:tcW w:w="0" w:type="auto"/>
            <w:hideMark/>
          </w:tcPr>
          <w:p w14:paraId="3A9A9C13" w14:textId="77777777" w:rsidR="00143ED6" w:rsidRPr="00792B36" w:rsidRDefault="00143ED6" w:rsidP="0096560E">
            <w:pPr>
              <w:rPr>
                <w:rFonts w:eastAsia="Times New Roman"/>
                <w:color w:val="1F1F1F"/>
                <w:sz w:val="20"/>
                <w:szCs w:val="20"/>
              </w:rPr>
            </w:pPr>
            <w:r w:rsidRPr="00792B36">
              <w:rPr>
                <w:rFonts w:eastAsia="Times New Roman"/>
                <w:color w:val="1F1F1F"/>
                <w:sz w:val="20"/>
                <w:szCs w:val="20"/>
                <w:bdr w:val="none" w:sz="0" w:space="0" w:color="auto" w:frame="1"/>
              </w:rPr>
              <w:t>Sea Level Rise</w:t>
            </w:r>
          </w:p>
        </w:tc>
      </w:tr>
      <w:tr w:rsidR="00143ED6" w:rsidRPr="00792B36" w14:paraId="341A9F51" w14:textId="77777777" w:rsidTr="000C7AD0">
        <w:tc>
          <w:tcPr>
            <w:tcW w:w="0" w:type="auto"/>
            <w:hideMark/>
          </w:tcPr>
          <w:p w14:paraId="4D8F3696" w14:textId="77777777" w:rsidR="00143ED6" w:rsidRPr="00792B36" w:rsidRDefault="00143ED6" w:rsidP="0096560E">
            <w:pPr>
              <w:rPr>
                <w:rFonts w:eastAsia="Times New Roman"/>
                <w:color w:val="1F1F1F"/>
                <w:sz w:val="20"/>
                <w:szCs w:val="20"/>
              </w:rPr>
            </w:pPr>
            <w:r w:rsidRPr="00792B36">
              <w:rPr>
                <w:rFonts w:eastAsia="Times New Roman"/>
                <w:color w:val="1F1F1F"/>
                <w:sz w:val="20"/>
                <w:szCs w:val="20"/>
                <w:bdr w:val="none" w:sz="0" w:space="0" w:color="auto" w:frame="1"/>
              </w:rPr>
              <w:t>FMSY</w:t>
            </w:r>
          </w:p>
        </w:tc>
        <w:tc>
          <w:tcPr>
            <w:tcW w:w="0" w:type="auto"/>
            <w:hideMark/>
          </w:tcPr>
          <w:p w14:paraId="0A2E0418" w14:textId="77777777" w:rsidR="00143ED6" w:rsidRPr="00792B36" w:rsidRDefault="00143ED6" w:rsidP="0096560E">
            <w:pPr>
              <w:rPr>
                <w:rFonts w:eastAsia="Times New Roman"/>
                <w:color w:val="1F1F1F"/>
                <w:sz w:val="20"/>
                <w:szCs w:val="20"/>
              </w:rPr>
            </w:pPr>
            <w:r w:rsidRPr="00792B36">
              <w:rPr>
                <w:rFonts w:eastAsia="Times New Roman"/>
                <w:color w:val="1F1F1F"/>
                <w:sz w:val="20"/>
                <w:szCs w:val="20"/>
                <w:bdr w:val="none" w:sz="0" w:space="0" w:color="auto" w:frame="1"/>
              </w:rPr>
              <w:t>Fishing Mortality at Maximum Sustainable Yield</w:t>
            </w:r>
          </w:p>
        </w:tc>
        <w:tc>
          <w:tcPr>
            <w:tcW w:w="0" w:type="auto"/>
            <w:hideMark/>
          </w:tcPr>
          <w:p w14:paraId="225FB9E7" w14:textId="77777777" w:rsidR="00143ED6" w:rsidRPr="00792B36" w:rsidRDefault="00143ED6" w:rsidP="0096560E">
            <w:pPr>
              <w:rPr>
                <w:rFonts w:eastAsia="Times New Roman"/>
                <w:color w:val="1F1F1F"/>
                <w:sz w:val="20"/>
                <w:szCs w:val="20"/>
              </w:rPr>
            </w:pPr>
            <w:r w:rsidRPr="00792B36">
              <w:rPr>
                <w:rFonts w:eastAsia="Times New Roman"/>
                <w:color w:val="1F1F1F"/>
                <w:sz w:val="20"/>
                <w:szCs w:val="20"/>
                <w:bdr w:val="none" w:sz="0" w:space="0" w:color="auto" w:frame="1"/>
              </w:rPr>
              <w:t>SSB</w:t>
            </w:r>
          </w:p>
        </w:tc>
        <w:tc>
          <w:tcPr>
            <w:tcW w:w="0" w:type="auto"/>
            <w:hideMark/>
          </w:tcPr>
          <w:p w14:paraId="4D6B9AB3" w14:textId="77777777" w:rsidR="00143ED6" w:rsidRPr="00792B36" w:rsidRDefault="00143ED6" w:rsidP="0096560E">
            <w:pPr>
              <w:rPr>
                <w:rFonts w:eastAsia="Times New Roman"/>
                <w:color w:val="1F1F1F"/>
                <w:sz w:val="20"/>
                <w:szCs w:val="20"/>
              </w:rPr>
            </w:pPr>
            <w:r w:rsidRPr="00792B36">
              <w:rPr>
                <w:rFonts w:eastAsia="Times New Roman"/>
                <w:color w:val="1F1F1F"/>
                <w:sz w:val="20"/>
                <w:szCs w:val="20"/>
                <w:bdr w:val="none" w:sz="0" w:space="0" w:color="auto" w:frame="1"/>
              </w:rPr>
              <w:t>Spawning Stock Biomass</w:t>
            </w:r>
          </w:p>
        </w:tc>
      </w:tr>
      <w:tr w:rsidR="00143ED6" w:rsidRPr="00792B36" w14:paraId="203C0BDC" w14:textId="77777777" w:rsidTr="000C7AD0">
        <w:tc>
          <w:tcPr>
            <w:tcW w:w="0" w:type="auto"/>
            <w:hideMark/>
          </w:tcPr>
          <w:p w14:paraId="7C5EBB8A" w14:textId="77777777" w:rsidR="00143ED6" w:rsidRPr="00792B36" w:rsidRDefault="00143ED6" w:rsidP="0096560E">
            <w:pPr>
              <w:rPr>
                <w:rFonts w:eastAsia="Times New Roman"/>
                <w:color w:val="1F1F1F"/>
                <w:sz w:val="20"/>
                <w:szCs w:val="20"/>
              </w:rPr>
            </w:pPr>
            <w:r w:rsidRPr="00792B36">
              <w:rPr>
                <w:rFonts w:eastAsia="Times New Roman"/>
                <w:color w:val="1F1F1F"/>
                <w:sz w:val="20"/>
                <w:szCs w:val="20"/>
                <w:bdr w:val="none" w:sz="0" w:space="0" w:color="auto" w:frame="1"/>
              </w:rPr>
              <w:t>GBF</w:t>
            </w:r>
          </w:p>
        </w:tc>
        <w:tc>
          <w:tcPr>
            <w:tcW w:w="0" w:type="auto"/>
            <w:hideMark/>
          </w:tcPr>
          <w:p w14:paraId="594DAA85" w14:textId="77777777" w:rsidR="00143ED6" w:rsidRPr="00792B36" w:rsidRDefault="00143ED6" w:rsidP="0096560E">
            <w:pPr>
              <w:rPr>
                <w:rFonts w:eastAsia="Times New Roman"/>
                <w:color w:val="1F1F1F"/>
                <w:sz w:val="20"/>
                <w:szCs w:val="20"/>
              </w:rPr>
            </w:pPr>
            <w:r w:rsidRPr="00792B36">
              <w:rPr>
                <w:rFonts w:eastAsia="Times New Roman"/>
                <w:color w:val="1F1F1F"/>
                <w:sz w:val="20"/>
                <w:szCs w:val="20"/>
                <w:bdr w:val="none" w:sz="0" w:space="0" w:color="auto" w:frame="1"/>
              </w:rPr>
              <w:t>Kunming-Montreal Global Biodiversity Framework</w:t>
            </w:r>
          </w:p>
        </w:tc>
        <w:tc>
          <w:tcPr>
            <w:tcW w:w="0" w:type="auto"/>
            <w:hideMark/>
          </w:tcPr>
          <w:p w14:paraId="1393A73B" w14:textId="77777777" w:rsidR="00143ED6" w:rsidRPr="00792B36" w:rsidRDefault="00143ED6" w:rsidP="0096560E">
            <w:pPr>
              <w:rPr>
                <w:rFonts w:eastAsia="Times New Roman"/>
                <w:color w:val="1F1F1F"/>
                <w:sz w:val="20"/>
                <w:szCs w:val="20"/>
              </w:rPr>
            </w:pPr>
            <w:r w:rsidRPr="00792B36">
              <w:rPr>
                <w:rFonts w:eastAsia="Times New Roman"/>
                <w:color w:val="1F1F1F"/>
                <w:sz w:val="20"/>
                <w:szCs w:val="20"/>
                <w:bdr w:val="none" w:sz="0" w:space="0" w:color="auto" w:frame="1"/>
              </w:rPr>
              <w:t>SSF</w:t>
            </w:r>
          </w:p>
        </w:tc>
        <w:tc>
          <w:tcPr>
            <w:tcW w:w="0" w:type="auto"/>
            <w:hideMark/>
          </w:tcPr>
          <w:p w14:paraId="22834007" w14:textId="77777777" w:rsidR="00143ED6" w:rsidRPr="00792B36" w:rsidRDefault="00143ED6" w:rsidP="0096560E">
            <w:pPr>
              <w:rPr>
                <w:rFonts w:eastAsia="Times New Roman"/>
                <w:color w:val="1F1F1F"/>
                <w:sz w:val="20"/>
                <w:szCs w:val="20"/>
              </w:rPr>
            </w:pPr>
            <w:r w:rsidRPr="00792B36">
              <w:rPr>
                <w:rFonts w:eastAsia="Times New Roman"/>
                <w:color w:val="1F1F1F"/>
                <w:sz w:val="20"/>
                <w:szCs w:val="20"/>
                <w:bdr w:val="none" w:sz="0" w:space="0" w:color="auto" w:frame="1"/>
              </w:rPr>
              <w:t>Small-Scale Fisheries</w:t>
            </w:r>
          </w:p>
        </w:tc>
      </w:tr>
      <w:tr w:rsidR="00143ED6" w:rsidRPr="00792B36" w14:paraId="3C6EF0DA" w14:textId="77777777" w:rsidTr="000C7AD0">
        <w:tc>
          <w:tcPr>
            <w:tcW w:w="0" w:type="auto"/>
            <w:hideMark/>
          </w:tcPr>
          <w:p w14:paraId="3A9FBD0E" w14:textId="77777777" w:rsidR="00143ED6" w:rsidRPr="00792B36" w:rsidRDefault="00143ED6" w:rsidP="0096560E">
            <w:pPr>
              <w:rPr>
                <w:rFonts w:eastAsia="Times New Roman"/>
                <w:color w:val="1F1F1F"/>
                <w:sz w:val="20"/>
                <w:szCs w:val="20"/>
              </w:rPr>
            </w:pPr>
            <w:r w:rsidRPr="00792B36">
              <w:rPr>
                <w:rFonts w:eastAsia="Times New Roman"/>
                <w:color w:val="1F1F1F"/>
                <w:sz w:val="20"/>
                <w:szCs w:val="20"/>
                <w:bdr w:val="none" w:sz="0" w:space="0" w:color="auto" w:frame="1"/>
              </w:rPr>
              <w:t>GCF</w:t>
            </w:r>
          </w:p>
        </w:tc>
        <w:tc>
          <w:tcPr>
            <w:tcW w:w="0" w:type="auto"/>
            <w:hideMark/>
          </w:tcPr>
          <w:p w14:paraId="1D249C87" w14:textId="77777777" w:rsidR="00143ED6" w:rsidRPr="00792B36" w:rsidRDefault="00143ED6" w:rsidP="0096560E">
            <w:pPr>
              <w:rPr>
                <w:rFonts w:eastAsia="Times New Roman"/>
                <w:color w:val="1F1F1F"/>
                <w:sz w:val="20"/>
                <w:szCs w:val="20"/>
              </w:rPr>
            </w:pPr>
            <w:r w:rsidRPr="00792B36">
              <w:rPr>
                <w:rFonts w:eastAsia="Times New Roman"/>
                <w:color w:val="1F1F1F"/>
                <w:sz w:val="20"/>
                <w:szCs w:val="20"/>
                <w:bdr w:val="none" w:sz="0" w:space="0" w:color="auto" w:frame="1"/>
              </w:rPr>
              <w:t>Green Climate Fund</w:t>
            </w:r>
          </w:p>
        </w:tc>
        <w:tc>
          <w:tcPr>
            <w:tcW w:w="0" w:type="auto"/>
            <w:hideMark/>
          </w:tcPr>
          <w:p w14:paraId="2095A3BD" w14:textId="77777777" w:rsidR="00143ED6" w:rsidRPr="00792B36" w:rsidRDefault="00143ED6" w:rsidP="0096560E">
            <w:pPr>
              <w:rPr>
                <w:rFonts w:eastAsia="Times New Roman"/>
                <w:color w:val="1F1F1F"/>
                <w:sz w:val="20"/>
                <w:szCs w:val="20"/>
              </w:rPr>
            </w:pPr>
            <w:r w:rsidRPr="00792B36">
              <w:rPr>
                <w:rFonts w:eastAsia="Times New Roman"/>
                <w:color w:val="1F1F1F"/>
                <w:sz w:val="20"/>
                <w:szCs w:val="20"/>
                <w:bdr w:val="none" w:sz="0" w:space="0" w:color="auto" w:frame="1"/>
              </w:rPr>
              <w:t>SSOM</w:t>
            </w:r>
          </w:p>
        </w:tc>
        <w:tc>
          <w:tcPr>
            <w:tcW w:w="0" w:type="auto"/>
            <w:hideMark/>
          </w:tcPr>
          <w:p w14:paraId="27B74215" w14:textId="77777777" w:rsidR="00143ED6" w:rsidRPr="00792B36" w:rsidRDefault="00143ED6" w:rsidP="0096560E">
            <w:pPr>
              <w:rPr>
                <w:rFonts w:eastAsia="Times New Roman"/>
                <w:color w:val="1F1F1F"/>
                <w:sz w:val="20"/>
                <w:szCs w:val="20"/>
              </w:rPr>
            </w:pPr>
            <w:r w:rsidRPr="00792B36">
              <w:rPr>
                <w:rFonts w:eastAsia="Times New Roman"/>
                <w:color w:val="1F1F1F"/>
                <w:sz w:val="20"/>
                <w:szCs w:val="20"/>
                <w:bdr w:val="none" w:sz="0" w:space="0" w:color="auto" w:frame="1"/>
              </w:rPr>
              <w:t>Special Senior Officials Meeting</w:t>
            </w:r>
          </w:p>
        </w:tc>
      </w:tr>
      <w:tr w:rsidR="00143ED6" w:rsidRPr="00792B36" w14:paraId="50ECFADB" w14:textId="77777777" w:rsidTr="000C7AD0">
        <w:tc>
          <w:tcPr>
            <w:tcW w:w="0" w:type="auto"/>
            <w:hideMark/>
          </w:tcPr>
          <w:p w14:paraId="071AB124" w14:textId="77777777" w:rsidR="00143ED6" w:rsidRPr="00792B36" w:rsidRDefault="00143ED6" w:rsidP="0096560E">
            <w:pPr>
              <w:rPr>
                <w:rFonts w:eastAsia="Times New Roman"/>
                <w:color w:val="1F1F1F"/>
                <w:sz w:val="20"/>
                <w:szCs w:val="20"/>
              </w:rPr>
            </w:pPr>
            <w:r w:rsidRPr="00792B36">
              <w:rPr>
                <w:rFonts w:eastAsia="Times New Roman"/>
                <w:color w:val="1F1F1F"/>
                <w:sz w:val="20"/>
                <w:szCs w:val="20"/>
                <w:bdr w:val="none" w:sz="0" w:space="0" w:color="auto" w:frame="1"/>
              </w:rPr>
              <w:t>GDP</w:t>
            </w:r>
          </w:p>
        </w:tc>
        <w:tc>
          <w:tcPr>
            <w:tcW w:w="0" w:type="auto"/>
            <w:hideMark/>
          </w:tcPr>
          <w:p w14:paraId="260A72AB" w14:textId="77777777" w:rsidR="00143ED6" w:rsidRPr="00792B36" w:rsidRDefault="00143ED6" w:rsidP="0096560E">
            <w:pPr>
              <w:rPr>
                <w:rFonts w:eastAsia="Times New Roman"/>
                <w:color w:val="1F1F1F"/>
                <w:sz w:val="20"/>
                <w:szCs w:val="20"/>
              </w:rPr>
            </w:pPr>
            <w:r w:rsidRPr="00792B36">
              <w:rPr>
                <w:rFonts w:eastAsia="Times New Roman"/>
                <w:color w:val="1F1F1F"/>
                <w:sz w:val="20"/>
                <w:szCs w:val="20"/>
                <w:bdr w:val="none" w:sz="0" w:space="0" w:color="auto" w:frame="1"/>
              </w:rPr>
              <w:t>Gross Domestic Product</w:t>
            </w:r>
          </w:p>
        </w:tc>
        <w:tc>
          <w:tcPr>
            <w:tcW w:w="0" w:type="auto"/>
            <w:hideMark/>
          </w:tcPr>
          <w:p w14:paraId="79DDD39F" w14:textId="77777777" w:rsidR="00143ED6" w:rsidRPr="00792B36" w:rsidRDefault="00143ED6" w:rsidP="0096560E">
            <w:pPr>
              <w:rPr>
                <w:rFonts w:eastAsia="Times New Roman"/>
                <w:color w:val="1F1F1F"/>
                <w:sz w:val="20"/>
                <w:szCs w:val="20"/>
              </w:rPr>
            </w:pPr>
            <w:r w:rsidRPr="00792B36">
              <w:rPr>
                <w:rFonts w:eastAsia="Times New Roman"/>
                <w:color w:val="1F1F1F"/>
                <w:sz w:val="20"/>
                <w:szCs w:val="20"/>
                <w:bdr w:val="none" w:sz="0" w:space="0" w:color="auto" w:frame="1"/>
              </w:rPr>
              <w:t>SWG</w:t>
            </w:r>
          </w:p>
        </w:tc>
        <w:tc>
          <w:tcPr>
            <w:tcW w:w="0" w:type="auto"/>
            <w:hideMark/>
          </w:tcPr>
          <w:p w14:paraId="4E0C823B" w14:textId="77777777" w:rsidR="00143ED6" w:rsidRPr="00792B36" w:rsidRDefault="00143ED6" w:rsidP="0096560E">
            <w:pPr>
              <w:rPr>
                <w:rFonts w:eastAsia="Times New Roman"/>
                <w:color w:val="1F1F1F"/>
                <w:sz w:val="20"/>
                <w:szCs w:val="20"/>
              </w:rPr>
            </w:pPr>
            <w:r w:rsidRPr="00792B36">
              <w:rPr>
                <w:rFonts w:eastAsia="Times New Roman"/>
                <w:color w:val="1F1F1F"/>
                <w:sz w:val="20"/>
                <w:szCs w:val="20"/>
                <w:bdr w:val="none" w:sz="0" w:space="0" w:color="auto" w:frame="1"/>
              </w:rPr>
              <w:t>Scientific Working Group</w:t>
            </w:r>
          </w:p>
        </w:tc>
      </w:tr>
      <w:tr w:rsidR="00143ED6" w:rsidRPr="00792B36" w14:paraId="48238959" w14:textId="77777777" w:rsidTr="000C7AD0">
        <w:tc>
          <w:tcPr>
            <w:tcW w:w="0" w:type="auto"/>
            <w:hideMark/>
          </w:tcPr>
          <w:p w14:paraId="2E609334" w14:textId="77777777" w:rsidR="00143ED6" w:rsidRPr="00792B36" w:rsidRDefault="00143ED6" w:rsidP="0096560E">
            <w:pPr>
              <w:rPr>
                <w:rFonts w:eastAsia="Times New Roman"/>
                <w:color w:val="1F1F1F"/>
                <w:sz w:val="20"/>
                <w:szCs w:val="20"/>
              </w:rPr>
            </w:pPr>
            <w:r w:rsidRPr="00792B36">
              <w:rPr>
                <w:rFonts w:eastAsia="Times New Roman"/>
                <w:color w:val="1F1F1F"/>
                <w:sz w:val="20"/>
                <w:szCs w:val="20"/>
                <w:bdr w:val="none" w:sz="0" w:space="0" w:color="auto" w:frame="1"/>
              </w:rPr>
              <w:t>GEF</w:t>
            </w:r>
          </w:p>
        </w:tc>
        <w:tc>
          <w:tcPr>
            <w:tcW w:w="0" w:type="auto"/>
            <w:hideMark/>
          </w:tcPr>
          <w:p w14:paraId="49FBFE18" w14:textId="77777777" w:rsidR="00143ED6" w:rsidRPr="00792B36" w:rsidRDefault="00143ED6" w:rsidP="0096560E">
            <w:pPr>
              <w:rPr>
                <w:rFonts w:eastAsia="Times New Roman"/>
                <w:color w:val="1F1F1F"/>
                <w:sz w:val="20"/>
                <w:szCs w:val="20"/>
              </w:rPr>
            </w:pPr>
            <w:r w:rsidRPr="00792B36">
              <w:rPr>
                <w:rFonts w:eastAsia="Times New Roman"/>
                <w:color w:val="1F1F1F"/>
                <w:sz w:val="20"/>
                <w:szCs w:val="20"/>
                <w:bdr w:val="none" w:sz="0" w:space="0" w:color="auto" w:frame="1"/>
              </w:rPr>
              <w:t>Global Environment Facility</w:t>
            </w:r>
          </w:p>
        </w:tc>
        <w:tc>
          <w:tcPr>
            <w:tcW w:w="0" w:type="auto"/>
            <w:hideMark/>
          </w:tcPr>
          <w:p w14:paraId="634FAE24" w14:textId="77777777" w:rsidR="00143ED6" w:rsidRPr="00792B36" w:rsidRDefault="00143ED6" w:rsidP="0096560E">
            <w:pPr>
              <w:rPr>
                <w:rFonts w:eastAsia="Times New Roman"/>
                <w:color w:val="1F1F1F"/>
                <w:sz w:val="20"/>
                <w:szCs w:val="20"/>
              </w:rPr>
            </w:pPr>
            <w:r w:rsidRPr="00792B36">
              <w:rPr>
                <w:rFonts w:eastAsia="Times New Roman"/>
                <w:color w:val="1F1F1F"/>
                <w:sz w:val="20"/>
                <w:szCs w:val="20"/>
                <w:bdr w:val="none" w:sz="0" w:space="0" w:color="auto" w:frame="1"/>
              </w:rPr>
              <w:t>TAC</w:t>
            </w:r>
          </w:p>
        </w:tc>
        <w:tc>
          <w:tcPr>
            <w:tcW w:w="0" w:type="auto"/>
            <w:hideMark/>
          </w:tcPr>
          <w:p w14:paraId="02D8899A" w14:textId="77777777" w:rsidR="00143ED6" w:rsidRPr="00792B36" w:rsidRDefault="00143ED6" w:rsidP="0096560E">
            <w:pPr>
              <w:rPr>
                <w:rFonts w:eastAsia="Times New Roman"/>
                <w:color w:val="1F1F1F"/>
                <w:sz w:val="20"/>
                <w:szCs w:val="20"/>
              </w:rPr>
            </w:pPr>
            <w:r w:rsidRPr="00792B36">
              <w:rPr>
                <w:rFonts w:eastAsia="Times New Roman"/>
                <w:color w:val="1F1F1F"/>
                <w:sz w:val="20"/>
                <w:szCs w:val="20"/>
                <w:bdr w:val="none" w:sz="0" w:space="0" w:color="auto" w:frame="1"/>
              </w:rPr>
              <w:t>Total Allowable Catch</w:t>
            </w:r>
          </w:p>
        </w:tc>
      </w:tr>
      <w:tr w:rsidR="00143ED6" w:rsidRPr="00792B36" w14:paraId="7AEFBC12" w14:textId="77777777" w:rsidTr="000C7AD0">
        <w:tc>
          <w:tcPr>
            <w:tcW w:w="0" w:type="auto"/>
            <w:hideMark/>
          </w:tcPr>
          <w:p w14:paraId="16590237" w14:textId="77777777" w:rsidR="00143ED6" w:rsidRPr="00792B36" w:rsidRDefault="00143ED6" w:rsidP="0096560E">
            <w:pPr>
              <w:rPr>
                <w:rFonts w:eastAsia="Times New Roman"/>
                <w:color w:val="1F1F1F"/>
                <w:sz w:val="20"/>
                <w:szCs w:val="20"/>
              </w:rPr>
            </w:pPr>
            <w:r w:rsidRPr="00792B36">
              <w:rPr>
                <w:rFonts w:eastAsia="Times New Roman"/>
                <w:color w:val="1F1F1F"/>
                <w:sz w:val="20"/>
                <w:szCs w:val="20"/>
                <w:bdr w:val="none" w:sz="0" w:space="0" w:color="auto" w:frame="1"/>
              </w:rPr>
              <w:t>GHG</w:t>
            </w:r>
          </w:p>
        </w:tc>
        <w:tc>
          <w:tcPr>
            <w:tcW w:w="0" w:type="auto"/>
            <w:hideMark/>
          </w:tcPr>
          <w:p w14:paraId="6FB6AB27" w14:textId="77777777" w:rsidR="00143ED6" w:rsidRPr="00792B36" w:rsidRDefault="00143ED6" w:rsidP="0096560E">
            <w:pPr>
              <w:rPr>
                <w:rFonts w:eastAsia="Times New Roman"/>
                <w:color w:val="1F1F1F"/>
                <w:sz w:val="20"/>
                <w:szCs w:val="20"/>
              </w:rPr>
            </w:pPr>
            <w:r w:rsidRPr="00792B36">
              <w:rPr>
                <w:rFonts w:eastAsia="Times New Roman"/>
                <w:color w:val="1F1F1F"/>
                <w:sz w:val="20"/>
                <w:szCs w:val="20"/>
                <w:bdr w:val="none" w:sz="0" w:space="0" w:color="auto" w:frame="1"/>
              </w:rPr>
              <w:t>Greenhouse Gas</w:t>
            </w:r>
          </w:p>
        </w:tc>
        <w:tc>
          <w:tcPr>
            <w:tcW w:w="0" w:type="auto"/>
            <w:hideMark/>
          </w:tcPr>
          <w:p w14:paraId="4DD0F9B1" w14:textId="77777777" w:rsidR="00143ED6" w:rsidRPr="00792B36" w:rsidRDefault="00143ED6" w:rsidP="0096560E">
            <w:pPr>
              <w:rPr>
                <w:rFonts w:eastAsia="Times New Roman"/>
                <w:color w:val="1F1F1F"/>
                <w:sz w:val="20"/>
                <w:szCs w:val="20"/>
              </w:rPr>
            </w:pPr>
            <w:r w:rsidRPr="00792B36">
              <w:rPr>
                <w:rFonts w:eastAsia="Times New Roman"/>
                <w:color w:val="1F1F1F"/>
                <w:sz w:val="20"/>
                <w:szCs w:val="20"/>
                <w:bdr w:val="none" w:sz="0" w:space="0" w:color="auto" w:frame="1"/>
              </w:rPr>
              <w:t>TDA</w:t>
            </w:r>
          </w:p>
        </w:tc>
        <w:tc>
          <w:tcPr>
            <w:tcW w:w="0" w:type="auto"/>
            <w:hideMark/>
          </w:tcPr>
          <w:p w14:paraId="6507E52C" w14:textId="77777777" w:rsidR="00143ED6" w:rsidRPr="00792B36" w:rsidRDefault="00143ED6" w:rsidP="0096560E">
            <w:pPr>
              <w:rPr>
                <w:rFonts w:eastAsia="Times New Roman"/>
                <w:color w:val="1F1F1F"/>
                <w:sz w:val="20"/>
                <w:szCs w:val="20"/>
              </w:rPr>
            </w:pPr>
            <w:r w:rsidRPr="00792B36">
              <w:rPr>
                <w:rFonts w:eastAsia="Times New Roman"/>
                <w:color w:val="1F1F1F"/>
                <w:sz w:val="20"/>
                <w:szCs w:val="20"/>
                <w:bdr w:val="none" w:sz="0" w:space="0" w:color="auto" w:frame="1"/>
              </w:rPr>
              <w:t>Transboundary Diagnostic Analysis</w:t>
            </w:r>
          </w:p>
        </w:tc>
      </w:tr>
      <w:tr w:rsidR="00143ED6" w:rsidRPr="00792B36" w14:paraId="391D0A05" w14:textId="77777777" w:rsidTr="000C7AD0">
        <w:tc>
          <w:tcPr>
            <w:tcW w:w="0" w:type="auto"/>
            <w:hideMark/>
          </w:tcPr>
          <w:p w14:paraId="5A0EFEBD" w14:textId="77777777" w:rsidR="00143ED6" w:rsidRPr="00792B36" w:rsidRDefault="00143ED6" w:rsidP="0096560E">
            <w:pPr>
              <w:rPr>
                <w:rFonts w:eastAsia="Times New Roman"/>
                <w:color w:val="1F1F1F"/>
                <w:sz w:val="20"/>
                <w:szCs w:val="20"/>
              </w:rPr>
            </w:pPr>
            <w:r w:rsidRPr="00792B36">
              <w:rPr>
                <w:rFonts w:eastAsia="Times New Roman"/>
                <w:color w:val="1F1F1F"/>
                <w:sz w:val="20"/>
                <w:szCs w:val="20"/>
                <w:bdr w:val="none" w:sz="0" w:space="0" w:color="auto" w:frame="1"/>
              </w:rPr>
              <w:t>GNI</w:t>
            </w:r>
          </w:p>
        </w:tc>
        <w:tc>
          <w:tcPr>
            <w:tcW w:w="0" w:type="auto"/>
            <w:hideMark/>
          </w:tcPr>
          <w:p w14:paraId="0C4F90C6" w14:textId="77777777" w:rsidR="00143ED6" w:rsidRPr="00792B36" w:rsidRDefault="00143ED6" w:rsidP="0096560E">
            <w:pPr>
              <w:rPr>
                <w:rFonts w:eastAsia="Times New Roman"/>
                <w:color w:val="1F1F1F"/>
                <w:sz w:val="20"/>
                <w:szCs w:val="20"/>
              </w:rPr>
            </w:pPr>
            <w:r w:rsidRPr="00792B36">
              <w:rPr>
                <w:rFonts w:eastAsia="Times New Roman"/>
                <w:color w:val="1F1F1F"/>
                <w:sz w:val="20"/>
                <w:szCs w:val="20"/>
                <w:bdr w:val="none" w:sz="0" w:space="0" w:color="auto" w:frame="1"/>
              </w:rPr>
              <w:t>Gross National Income</w:t>
            </w:r>
          </w:p>
        </w:tc>
        <w:tc>
          <w:tcPr>
            <w:tcW w:w="0" w:type="auto"/>
            <w:hideMark/>
          </w:tcPr>
          <w:p w14:paraId="6371B5EC" w14:textId="77777777" w:rsidR="00143ED6" w:rsidRPr="00792B36" w:rsidRDefault="00143ED6" w:rsidP="0096560E">
            <w:pPr>
              <w:rPr>
                <w:rFonts w:eastAsia="Times New Roman"/>
                <w:color w:val="1F1F1F"/>
                <w:sz w:val="20"/>
                <w:szCs w:val="20"/>
              </w:rPr>
            </w:pPr>
            <w:r w:rsidRPr="00792B36">
              <w:rPr>
                <w:rFonts w:eastAsia="Times New Roman"/>
                <w:color w:val="1F1F1F"/>
                <w:sz w:val="20"/>
                <w:szCs w:val="20"/>
                <w:bdr w:val="none" w:sz="0" w:space="0" w:color="auto" w:frame="1"/>
              </w:rPr>
              <w:t>TDRI</w:t>
            </w:r>
          </w:p>
        </w:tc>
        <w:tc>
          <w:tcPr>
            <w:tcW w:w="0" w:type="auto"/>
            <w:hideMark/>
          </w:tcPr>
          <w:p w14:paraId="1C5D0F34" w14:textId="77777777" w:rsidR="00143ED6" w:rsidRPr="00792B36" w:rsidRDefault="00143ED6" w:rsidP="0096560E">
            <w:pPr>
              <w:rPr>
                <w:rFonts w:eastAsia="Times New Roman"/>
                <w:color w:val="1F1F1F"/>
                <w:sz w:val="20"/>
                <w:szCs w:val="20"/>
              </w:rPr>
            </w:pPr>
            <w:r w:rsidRPr="00792B36">
              <w:rPr>
                <w:rFonts w:eastAsia="Times New Roman"/>
                <w:color w:val="1F1F1F"/>
                <w:sz w:val="20"/>
                <w:szCs w:val="20"/>
                <w:bdr w:val="none" w:sz="0" w:space="0" w:color="auto" w:frame="1"/>
              </w:rPr>
              <w:t xml:space="preserve">Thailand Development </w:t>
            </w:r>
            <w:r w:rsidRPr="00792B36">
              <w:rPr>
                <w:rFonts w:eastAsia="Times New Roman"/>
                <w:color w:val="1F1F1F"/>
                <w:sz w:val="20"/>
                <w:szCs w:val="20"/>
                <w:bdr w:val="none" w:sz="0" w:space="0" w:color="auto" w:frame="1"/>
              </w:rPr>
              <w:lastRenderedPageBreak/>
              <w:t>Research Institute</w:t>
            </w:r>
          </w:p>
        </w:tc>
      </w:tr>
      <w:tr w:rsidR="00143ED6" w:rsidRPr="00792B36" w14:paraId="75B86D3E" w14:textId="77777777" w:rsidTr="000C7AD0">
        <w:tc>
          <w:tcPr>
            <w:tcW w:w="0" w:type="auto"/>
            <w:hideMark/>
          </w:tcPr>
          <w:p w14:paraId="2A162A46" w14:textId="77777777" w:rsidR="00143ED6" w:rsidRPr="00792B36" w:rsidRDefault="00143ED6" w:rsidP="0096560E">
            <w:pPr>
              <w:rPr>
                <w:rFonts w:eastAsia="Times New Roman"/>
                <w:color w:val="1F1F1F"/>
                <w:sz w:val="20"/>
                <w:szCs w:val="20"/>
              </w:rPr>
            </w:pPr>
            <w:r w:rsidRPr="00792B36">
              <w:rPr>
                <w:rFonts w:eastAsia="Times New Roman"/>
                <w:color w:val="1F1F1F"/>
                <w:sz w:val="20"/>
                <w:szCs w:val="20"/>
                <w:bdr w:val="none" w:sz="0" w:space="0" w:color="auto" w:frame="1"/>
              </w:rPr>
              <w:lastRenderedPageBreak/>
              <w:t>GoTFish</w:t>
            </w:r>
          </w:p>
        </w:tc>
        <w:tc>
          <w:tcPr>
            <w:tcW w:w="0" w:type="auto"/>
            <w:hideMark/>
          </w:tcPr>
          <w:p w14:paraId="2F608BB5" w14:textId="77777777" w:rsidR="00143ED6" w:rsidRPr="00792B36" w:rsidRDefault="00143ED6" w:rsidP="0096560E">
            <w:pPr>
              <w:rPr>
                <w:rFonts w:eastAsia="Times New Roman"/>
                <w:color w:val="1F1F1F"/>
                <w:sz w:val="20"/>
                <w:szCs w:val="20"/>
              </w:rPr>
            </w:pPr>
            <w:r w:rsidRPr="00792B36">
              <w:rPr>
                <w:rFonts w:eastAsia="Times New Roman"/>
                <w:color w:val="1F1F1F"/>
                <w:sz w:val="20"/>
                <w:szCs w:val="20"/>
                <w:bdr w:val="none" w:sz="0" w:space="0" w:color="auto" w:frame="1"/>
              </w:rPr>
              <w:t>Promoting the Blue Economy and Strengthening Fisheries Governance of the Gulf of Thailand through the Ecosystem Approach to Fisheries</w:t>
            </w:r>
          </w:p>
        </w:tc>
        <w:tc>
          <w:tcPr>
            <w:tcW w:w="0" w:type="auto"/>
            <w:hideMark/>
          </w:tcPr>
          <w:p w14:paraId="25DC7526" w14:textId="77777777" w:rsidR="00143ED6" w:rsidRPr="00792B36" w:rsidRDefault="00143ED6" w:rsidP="0096560E">
            <w:pPr>
              <w:rPr>
                <w:rFonts w:eastAsia="Times New Roman"/>
                <w:color w:val="1F1F1F"/>
                <w:sz w:val="20"/>
                <w:szCs w:val="20"/>
              </w:rPr>
            </w:pPr>
            <w:r w:rsidRPr="00792B36">
              <w:rPr>
                <w:rFonts w:eastAsia="Times New Roman"/>
                <w:color w:val="1F1F1F"/>
                <w:sz w:val="20"/>
                <w:szCs w:val="20"/>
                <w:bdr w:val="none" w:sz="0" w:space="0" w:color="auto" w:frame="1"/>
              </w:rPr>
              <w:t>TEV</w:t>
            </w:r>
          </w:p>
        </w:tc>
        <w:tc>
          <w:tcPr>
            <w:tcW w:w="0" w:type="auto"/>
            <w:hideMark/>
          </w:tcPr>
          <w:p w14:paraId="1586F6D8" w14:textId="77777777" w:rsidR="00143ED6" w:rsidRPr="00792B36" w:rsidRDefault="00143ED6" w:rsidP="0096560E">
            <w:pPr>
              <w:rPr>
                <w:rFonts w:eastAsia="Times New Roman"/>
                <w:color w:val="1F1F1F"/>
                <w:sz w:val="20"/>
                <w:szCs w:val="20"/>
              </w:rPr>
            </w:pPr>
            <w:r w:rsidRPr="00792B36">
              <w:rPr>
                <w:rFonts w:eastAsia="Times New Roman"/>
                <w:color w:val="1F1F1F"/>
                <w:sz w:val="20"/>
                <w:szCs w:val="20"/>
                <w:bdr w:val="none" w:sz="0" w:space="0" w:color="auto" w:frame="1"/>
              </w:rPr>
              <w:t>Total Economic Value</w:t>
            </w:r>
          </w:p>
        </w:tc>
      </w:tr>
      <w:tr w:rsidR="00143ED6" w:rsidRPr="00792B36" w14:paraId="256BE76A" w14:textId="77777777" w:rsidTr="000C7AD0">
        <w:tc>
          <w:tcPr>
            <w:tcW w:w="0" w:type="auto"/>
            <w:hideMark/>
          </w:tcPr>
          <w:p w14:paraId="3F43ED3E" w14:textId="77777777" w:rsidR="00143ED6" w:rsidRPr="00792B36" w:rsidRDefault="00143ED6" w:rsidP="0096560E">
            <w:pPr>
              <w:rPr>
                <w:rFonts w:eastAsia="Times New Roman"/>
                <w:color w:val="1F1F1F"/>
                <w:sz w:val="20"/>
                <w:szCs w:val="20"/>
              </w:rPr>
            </w:pPr>
            <w:r w:rsidRPr="00792B36">
              <w:rPr>
                <w:rFonts w:eastAsia="Times New Roman"/>
                <w:color w:val="1F1F1F"/>
                <w:sz w:val="20"/>
                <w:szCs w:val="20"/>
                <w:bdr w:val="none" w:sz="0" w:space="0" w:color="auto" w:frame="1"/>
              </w:rPr>
              <w:t>GPP</w:t>
            </w:r>
          </w:p>
        </w:tc>
        <w:tc>
          <w:tcPr>
            <w:tcW w:w="0" w:type="auto"/>
            <w:hideMark/>
          </w:tcPr>
          <w:p w14:paraId="2BF137D2" w14:textId="77777777" w:rsidR="00143ED6" w:rsidRPr="00792B36" w:rsidRDefault="00143ED6" w:rsidP="0096560E">
            <w:pPr>
              <w:rPr>
                <w:rFonts w:eastAsia="Times New Roman"/>
                <w:color w:val="1F1F1F"/>
                <w:sz w:val="20"/>
                <w:szCs w:val="20"/>
              </w:rPr>
            </w:pPr>
            <w:r w:rsidRPr="00792B36">
              <w:rPr>
                <w:rFonts w:eastAsia="Times New Roman"/>
                <w:color w:val="1F1F1F"/>
                <w:sz w:val="20"/>
                <w:szCs w:val="20"/>
                <w:bdr w:val="none" w:sz="0" w:space="0" w:color="auto" w:frame="1"/>
              </w:rPr>
              <w:t>Gross Provincial Product</w:t>
            </w:r>
          </w:p>
        </w:tc>
        <w:tc>
          <w:tcPr>
            <w:tcW w:w="0" w:type="auto"/>
            <w:hideMark/>
          </w:tcPr>
          <w:p w14:paraId="5FF73407" w14:textId="77777777" w:rsidR="00143ED6" w:rsidRPr="00792B36" w:rsidRDefault="00143ED6" w:rsidP="0096560E">
            <w:pPr>
              <w:rPr>
                <w:rFonts w:eastAsia="Times New Roman"/>
                <w:color w:val="1F1F1F"/>
                <w:sz w:val="20"/>
                <w:szCs w:val="20"/>
              </w:rPr>
            </w:pPr>
            <w:r w:rsidRPr="00792B36">
              <w:rPr>
                <w:rFonts w:eastAsia="Times New Roman"/>
                <w:color w:val="1F1F1F"/>
                <w:sz w:val="20"/>
                <w:szCs w:val="20"/>
                <w:bdr w:val="none" w:sz="0" w:space="0" w:color="auto" w:frame="1"/>
              </w:rPr>
              <w:t>THB</w:t>
            </w:r>
          </w:p>
        </w:tc>
        <w:tc>
          <w:tcPr>
            <w:tcW w:w="0" w:type="auto"/>
            <w:hideMark/>
          </w:tcPr>
          <w:p w14:paraId="2993C7FC" w14:textId="77777777" w:rsidR="00143ED6" w:rsidRPr="00792B36" w:rsidRDefault="00143ED6" w:rsidP="0096560E">
            <w:pPr>
              <w:rPr>
                <w:rFonts w:eastAsia="Times New Roman"/>
                <w:color w:val="1F1F1F"/>
                <w:sz w:val="20"/>
                <w:szCs w:val="20"/>
              </w:rPr>
            </w:pPr>
            <w:r w:rsidRPr="00792B36">
              <w:rPr>
                <w:rFonts w:eastAsia="Times New Roman"/>
                <w:color w:val="1F1F1F"/>
                <w:sz w:val="20"/>
                <w:szCs w:val="20"/>
                <w:bdr w:val="none" w:sz="0" w:space="0" w:color="auto" w:frame="1"/>
              </w:rPr>
              <w:t>Thai Baht</w:t>
            </w:r>
          </w:p>
        </w:tc>
      </w:tr>
      <w:tr w:rsidR="00143ED6" w:rsidRPr="00792B36" w14:paraId="2A0366E0" w14:textId="77777777" w:rsidTr="000C7AD0">
        <w:tc>
          <w:tcPr>
            <w:tcW w:w="0" w:type="auto"/>
            <w:hideMark/>
          </w:tcPr>
          <w:p w14:paraId="37999152" w14:textId="77777777" w:rsidR="00143ED6" w:rsidRPr="00792B36" w:rsidRDefault="00143ED6" w:rsidP="0096560E">
            <w:pPr>
              <w:rPr>
                <w:rFonts w:eastAsia="Times New Roman"/>
                <w:color w:val="1F1F1F"/>
                <w:sz w:val="20"/>
                <w:szCs w:val="20"/>
              </w:rPr>
            </w:pPr>
            <w:r w:rsidRPr="00792B36">
              <w:rPr>
                <w:rFonts w:eastAsia="Times New Roman"/>
                <w:color w:val="1F1F1F"/>
                <w:sz w:val="20"/>
                <w:szCs w:val="20"/>
                <w:bdr w:val="none" w:sz="0" w:space="0" w:color="auto" w:frame="1"/>
              </w:rPr>
              <w:t>GT</w:t>
            </w:r>
          </w:p>
        </w:tc>
        <w:tc>
          <w:tcPr>
            <w:tcW w:w="0" w:type="auto"/>
            <w:hideMark/>
          </w:tcPr>
          <w:p w14:paraId="1968B907" w14:textId="77777777" w:rsidR="00143ED6" w:rsidRPr="00792B36" w:rsidRDefault="00143ED6" w:rsidP="0096560E">
            <w:pPr>
              <w:rPr>
                <w:rFonts w:eastAsia="Times New Roman"/>
                <w:color w:val="1F1F1F"/>
                <w:sz w:val="20"/>
                <w:szCs w:val="20"/>
              </w:rPr>
            </w:pPr>
            <w:r w:rsidRPr="00792B36">
              <w:rPr>
                <w:rFonts w:eastAsia="Times New Roman"/>
                <w:color w:val="1F1F1F"/>
                <w:sz w:val="20"/>
                <w:szCs w:val="20"/>
                <w:bdr w:val="none" w:sz="0" w:space="0" w:color="auto" w:frame="1"/>
              </w:rPr>
              <w:t>Gross Tonnage</w:t>
            </w:r>
          </w:p>
        </w:tc>
        <w:tc>
          <w:tcPr>
            <w:tcW w:w="0" w:type="auto"/>
            <w:hideMark/>
          </w:tcPr>
          <w:p w14:paraId="618F0AE5" w14:textId="77777777" w:rsidR="00143ED6" w:rsidRPr="00792B36" w:rsidRDefault="00143ED6" w:rsidP="0096560E">
            <w:pPr>
              <w:rPr>
                <w:rFonts w:eastAsia="Times New Roman"/>
                <w:color w:val="1F1F1F"/>
                <w:sz w:val="20"/>
                <w:szCs w:val="20"/>
              </w:rPr>
            </w:pPr>
            <w:r w:rsidRPr="00792B36">
              <w:rPr>
                <w:rFonts w:eastAsia="Times New Roman"/>
                <w:color w:val="1F1F1F"/>
                <w:sz w:val="20"/>
                <w:szCs w:val="20"/>
                <w:bdr w:val="none" w:sz="0" w:space="0" w:color="auto" w:frame="1"/>
              </w:rPr>
              <w:t>TMD</w:t>
            </w:r>
          </w:p>
        </w:tc>
        <w:tc>
          <w:tcPr>
            <w:tcW w:w="0" w:type="auto"/>
            <w:hideMark/>
          </w:tcPr>
          <w:p w14:paraId="47A1ECBA" w14:textId="77777777" w:rsidR="00143ED6" w:rsidRPr="00792B36" w:rsidRDefault="00143ED6" w:rsidP="0096560E">
            <w:pPr>
              <w:rPr>
                <w:rFonts w:eastAsia="Times New Roman"/>
                <w:color w:val="1F1F1F"/>
                <w:sz w:val="20"/>
                <w:szCs w:val="20"/>
              </w:rPr>
            </w:pPr>
            <w:r w:rsidRPr="00792B36">
              <w:rPr>
                <w:rFonts w:eastAsia="Times New Roman"/>
                <w:color w:val="1F1F1F"/>
                <w:sz w:val="20"/>
                <w:szCs w:val="20"/>
                <w:bdr w:val="none" w:sz="0" w:space="0" w:color="auto" w:frame="1"/>
              </w:rPr>
              <w:t>Thai Meteorological Department</w:t>
            </w:r>
          </w:p>
        </w:tc>
      </w:tr>
      <w:tr w:rsidR="00143ED6" w:rsidRPr="00792B36" w14:paraId="65A80F5C" w14:textId="77777777" w:rsidTr="000C7AD0">
        <w:tc>
          <w:tcPr>
            <w:tcW w:w="0" w:type="auto"/>
            <w:hideMark/>
          </w:tcPr>
          <w:p w14:paraId="5F8E67E7" w14:textId="77777777" w:rsidR="00143ED6" w:rsidRPr="00792B36" w:rsidRDefault="00143ED6" w:rsidP="0096560E">
            <w:pPr>
              <w:rPr>
                <w:rFonts w:eastAsia="Times New Roman"/>
                <w:color w:val="1F1F1F"/>
                <w:sz w:val="20"/>
                <w:szCs w:val="20"/>
              </w:rPr>
            </w:pPr>
            <w:r w:rsidRPr="00792B36">
              <w:rPr>
                <w:rFonts w:eastAsia="Times New Roman"/>
                <w:color w:val="1F1F1F"/>
                <w:sz w:val="20"/>
                <w:szCs w:val="20"/>
                <w:bdr w:val="none" w:sz="0" w:space="0" w:color="auto" w:frame="1"/>
              </w:rPr>
              <w:t>HDI</w:t>
            </w:r>
          </w:p>
        </w:tc>
        <w:tc>
          <w:tcPr>
            <w:tcW w:w="0" w:type="auto"/>
            <w:hideMark/>
          </w:tcPr>
          <w:p w14:paraId="75350286" w14:textId="77777777" w:rsidR="00143ED6" w:rsidRPr="00792B36" w:rsidRDefault="00143ED6" w:rsidP="0096560E">
            <w:pPr>
              <w:rPr>
                <w:rFonts w:eastAsia="Times New Roman"/>
                <w:color w:val="1F1F1F"/>
                <w:sz w:val="20"/>
                <w:szCs w:val="20"/>
              </w:rPr>
            </w:pPr>
            <w:r w:rsidRPr="00792B36">
              <w:rPr>
                <w:rFonts w:eastAsia="Times New Roman"/>
                <w:color w:val="1F1F1F"/>
                <w:sz w:val="20"/>
                <w:szCs w:val="20"/>
                <w:bdr w:val="none" w:sz="0" w:space="0" w:color="auto" w:frame="1"/>
              </w:rPr>
              <w:t>Human Development Index</w:t>
            </w:r>
          </w:p>
        </w:tc>
        <w:tc>
          <w:tcPr>
            <w:tcW w:w="0" w:type="auto"/>
            <w:hideMark/>
          </w:tcPr>
          <w:p w14:paraId="0DAEC751" w14:textId="77777777" w:rsidR="00143ED6" w:rsidRPr="00792B36" w:rsidRDefault="00143ED6" w:rsidP="0096560E">
            <w:pPr>
              <w:rPr>
                <w:rFonts w:eastAsia="Times New Roman"/>
                <w:color w:val="1F1F1F"/>
                <w:sz w:val="20"/>
                <w:szCs w:val="20"/>
              </w:rPr>
            </w:pPr>
            <w:r w:rsidRPr="00792B36">
              <w:rPr>
                <w:rFonts w:eastAsia="Times New Roman"/>
                <w:color w:val="1F1F1F"/>
                <w:sz w:val="20"/>
                <w:szCs w:val="20"/>
                <w:bdr w:val="none" w:sz="0" w:space="0" w:color="auto" w:frame="1"/>
              </w:rPr>
              <w:t>TRF</w:t>
            </w:r>
          </w:p>
        </w:tc>
        <w:tc>
          <w:tcPr>
            <w:tcW w:w="0" w:type="auto"/>
            <w:hideMark/>
          </w:tcPr>
          <w:p w14:paraId="052132D7" w14:textId="77777777" w:rsidR="00143ED6" w:rsidRPr="00792B36" w:rsidRDefault="00143ED6" w:rsidP="0096560E">
            <w:pPr>
              <w:rPr>
                <w:rFonts w:eastAsia="Times New Roman"/>
                <w:color w:val="1F1F1F"/>
                <w:sz w:val="20"/>
                <w:szCs w:val="20"/>
              </w:rPr>
            </w:pPr>
            <w:r w:rsidRPr="00792B36">
              <w:rPr>
                <w:rFonts w:eastAsia="Times New Roman"/>
                <w:color w:val="1F1F1F"/>
                <w:sz w:val="20"/>
                <w:szCs w:val="20"/>
                <w:bdr w:val="none" w:sz="0" w:space="0" w:color="auto" w:frame="1"/>
              </w:rPr>
              <w:t>Thailand Research Fund</w:t>
            </w:r>
          </w:p>
        </w:tc>
      </w:tr>
      <w:tr w:rsidR="00143ED6" w:rsidRPr="00792B36" w14:paraId="70EFB62C" w14:textId="77777777" w:rsidTr="000C7AD0">
        <w:tc>
          <w:tcPr>
            <w:tcW w:w="0" w:type="auto"/>
            <w:hideMark/>
          </w:tcPr>
          <w:p w14:paraId="7B623188" w14:textId="77777777" w:rsidR="00143ED6" w:rsidRPr="00792B36" w:rsidRDefault="00143ED6" w:rsidP="0096560E">
            <w:pPr>
              <w:rPr>
                <w:rFonts w:eastAsia="Times New Roman"/>
                <w:color w:val="1F1F1F"/>
                <w:sz w:val="20"/>
                <w:szCs w:val="20"/>
              </w:rPr>
            </w:pPr>
            <w:r w:rsidRPr="00792B36">
              <w:rPr>
                <w:rFonts w:eastAsia="Times New Roman"/>
                <w:color w:val="1F1F1F"/>
                <w:sz w:val="20"/>
                <w:szCs w:val="20"/>
                <w:bdr w:val="none" w:sz="0" w:space="0" w:color="auto" w:frame="1"/>
              </w:rPr>
              <w:t>HEG</w:t>
            </w:r>
          </w:p>
        </w:tc>
        <w:tc>
          <w:tcPr>
            <w:tcW w:w="0" w:type="auto"/>
            <w:hideMark/>
          </w:tcPr>
          <w:p w14:paraId="01132AF1" w14:textId="77777777" w:rsidR="00143ED6" w:rsidRPr="00792B36" w:rsidRDefault="00143ED6" w:rsidP="0096560E">
            <w:pPr>
              <w:rPr>
                <w:rFonts w:eastAsia="Times New Roman"/>
                <w:color w:val="1F1F1F"/>
                <w:sz w:val="20"/>
                <w:szCs w:val="20"/>
              </w:rPr>
            </w:pPr>
            <w:r w:rsidRPr="00792B36">
              <w:rPr>
                <w:rFonts w:eastAsia="Times New Roman"/>
                <w:color w:val="1F1F1F"/>
                <w:sz w:val="20"/>
                <w:szCs w:val="20"/>
                <w:bdr w:val="none" w:sz="0" w:space="0" w:color="auto" w:frame="1"/>
              </w:rPr>
              <w:t>High Efficiency Gear</w:t>
            </w:r>
          </w:p>
        </w:tc>
        <w:tc>
          <w:tcPr>
            <w:tcW w:w="0" w:type="auto"/>
            <w:hideMark/>
          </w:tcPr>
          <w:p w14:paraId="57630EAE" w14:textId="77777777" w:rsidR="00143ED6" w:rsidRPr="00792B36" w:rsidRDefault="00143ED6" w:rsidP="0096560E">
            <w:pPr>
              <w:rPr>
                <w:rFonts w:eastAsia="Times New Roman"/>
                <w:color w:val="1F1F1F"/>
                <w:sz w:val="20"/>
                <w:szCs w:val="20"/>
              </w:rPr>
            </w:pPr>
            <w:r w:rsidRPr="00792B36">
              <w:rPr>
                <w:rFonts w:eastAsia="Times New Roman"/>
                <w:color w:val="1F1F1F"/>
                <w:sz w:val="20"/>
                <w:szCs w:val="20"/>
                <w:bdr w:val="none" w:sz="0" w:space="0" w:color="auto" w:frame="1"/>
              </w:rPr>
              <w:t>TSRI</w:t>
            </w:r>
          </w:p>
        </w:tc>
        <w:tc>
          <w:tcPr>
            <w:tcW w:w="0" w:type="auto"/>
            <w:hideMark/>
          </w:tcPr>
          <w:p w14:paraId="0E370CB8" w14:textId="77777777" w:rsidR="00143ED6" w:rsidRPr="00792B36" w:rsidRDefault="00143ED6" w:rsidP="0096560E">
            <w:pPr>
              <w:rPr>
                <w:rFonts w:eastAsia="Times New Roman"/>
                <w:color w:val="1F1F1F"/>
                <w:sz w:val="20"/>
                <w:szCs w:val="20"/>
              </w:rPr>
            </w:pPr>
            <w:r w:rsidRPr="00792B36">
              <w:rPr>
                <w:rFonts w:eastAsia="Times New Roman"/>
                <w:color w:val="1F1F1F"/>
                <w:sz w:val="20"/>
                <w:szCs w:val="20"/>
                <w:bdr w:val="none" w:sz="0" w:space="0" w:color="auto" w:frame="1"/>
              </w:rPr>
              <w:t>Thailand Science Research and Innovation</w:t>
            </w:r>
          </w:p>
        </w:tc>
      </w:tr>
      <w:tr w:rsidR="00143ED6" w:rsidRPr="00792B36" w14:paraId="014D0555" w14:textId="77777777" w:rsidTr="000C7AD0">
        <w:tc>
          <w:tcPr>
            <w:tcW w:w="0" w:type="auto"/>
            <w:hideMark/>
          </w:tcPr>
          <w:p w14:paraId="372CB331" w14:textId="77777777" w:rsidR="00143ED6" w:rsidRPr="00792B36" w:rsidRDefault="00143ED6" w:rsidP="0096560E">
            <w:pPr>
              <w:rPr>
                <w:rFonts w:eastAsia="Times New Roman"/>
                <w:color w:val="1F1F1F"/>
                <w:sz w:val="20"/>
                <w:szCs w:val="20"/>
              </w:rPr>
            </w:pPr>
            <w:r w:rsidRPr="00792B36">
              <w:rPr>
                <w:rFonts w:eastAsia="Times New Roman"/>
                <w:color w:val="1F1F1F"/>
                <w:sz w:val="20"/>
                <w:szCs w:val="20"/>
                <w:bdr w:val="none" w:sz="0" w:space="0" w:color="auto" w:frame="1"/>
              </w:rPr>
              <w:t>ICM</w:t>
            </w:r>
          </w:p>
        </w:tc>
        <w:tc>
          <w:tcPr>
            <w:tcW w:w="0" w:type="auto"/>
            <w:hideMark/>
          </w:tcPr>
          <w:p w14:paraId="48E3265B" w14:textId="77777777" w:rsidR="00143ED6" w:rsidRPr="00792B36" w:rsidRDefault="00143ED6" w:rsidP="0096560E">
            <w:pPr>
              <w:rPr>
                <w:rFonts w:eastAsia="Times New Roman"/>
                <w:color w:val="1F1F1F"/>
                <w:sz w:val="20"/>
                <w:szCs w:val="20"/>
              </w:rPr>
            </w:pPr>
            <w:r w:rsidRPr="00792B36">
              <w:rPr>
                <w:rFonts w:eastAsia="Times New Roman"/>
                <w:color w:val="1F1F1F"/>
                <w:sz w:val="20"/>
                <w:szCs w:val="20"/>
                <w:bdr w:val="none" w:sz="0" w:space="0" w:color="auto" w:frame="1"/>
              </w:rPr>
              <w:t>Integrated Coastal Management</w:t>
            </w:r>
          </w:p>
        </w:tc>
        <w:tc>
          <w:tcPr>
            <w:tcW w:w="0" w:type="auto"/>
            <w:hideMark/>
          </w:tcPr>
          <w:p w14:paraId="4D435CCE" w14:textId="77777777" w:rsidR="00143ED6" w:rsidRPr="00792B36" w:rsidRDefault="00143ED6" w:rsidP="0096560E">
            <w:pPr>
              <w:rPr>
                <w:rFonts w:eastAsia="Times New Roman"/>
                <w:color w:val="1F1F1F"/>
                <w:sz w:val="20"/>
                <w:szCs w:val="20"/>
              </w:rPr>
            </w:pPr>
            <w:r w:rsidRPr="00792B36">
              <w:rPr>
                <w:rFonts w:eastAsia="Times New Roman"/>
                <w:color w:val="1F1F1F"/>
                <w:sz w:val="20"/>
                <w:szCs w:val="20"/>
                <w:bdr w:val="none" w:sz="0" w:space="0" w:color="auto" w:frame="1"/>
              </w:rPr>
              <w:t>TWAP</w:t>
            </w:r>
          </w:p>
        </w:tc>
        <w:tc>
          <w:tcPr>
            <w:tcW w:w="0" w:type="auto"/>
            <w:hideMark/>
          </w:tcPr>
          <w:p w14:paraId="2C4C2C52" w14:textId="77777777" w:rsidR="00143ED6" w:rsidRPr="00792B36" w:rsidRDefault="00143ED6" w:rsidP="0096560E">
            <w:pPr>
              <w:rPr>
                <w:rFonts w:eastAsia="Times New Roman"/>
                <w:color w:val="1F1F1F"/>
                <w:sz w:val="20"/>
                <w:szCs w:val="20"/>
              </w:rPr>
            </w:pPr>
            <w:r w:rsidRPr="00792B36">
              <w:rPr>
                <w:rFonts w:eastAsia="Times New Roman"/>
                <w:color w:val="1F1F1F"/>
                <w:sz w:val="20"/>
                <w:szCs w:val="20"/>
                <w:bdr w:val="none" w:sz="0" w:space="0" w:color="auto" w:frame="1"/>
              </w:rPr>
              <w:t>Transboundary Waters Assessment Programme</w:t>
            </w:r>
          </w:p>
        </w:tc>
      </w:tr>
      <w:tr w:rsidR="00143ED6" w:rsidRPr="00792B36" w14:paraId="6CFC32BF" w14:textId="77777777" w:rsidTr="000C7AD0">
        <w:tc>
          <w:tcPr>
            <w:tcW w:w="0" w:type="auto"/>
            <w:hideMark/>
          </w:tcPr>
          <w:p w14:paraId="02D2428F" w14:textId="77777777" w:rsidR="00143ED6" w:rsidRPr="00792B36" w:rsidRDefault="00143ED6" w:rsidP="0096560E">
            <w:pPr>
              <w:rPr>
                <w:rFonts w:eastAsia="Times New Roman"/>
                <w:color w:val="1F1F1F"/>
                <w:sz w:val="20"/>
                <w:szCs w:val="20"/>
              </w:rPr>
            </w:pPr>
            <w:r w:rsidRPr="00792B36">
              <w:rPr>
                <w:rFonts w:eastAsia="Times New Roman"/>
                <w:color w:val="1F1F1F"/>
                <w:sz w:val="20"/>
                <w:szCs w:val="20"/>
                <w:bdr w:val="none" w:sz="0" w:space="0" w:color="auto" w:frame="1"/>
              </w:rPr>
              <w:t>IHDI</w:t>
            </w:r>
          </w:p>
        </w:tc>
        <w:tc>
          <w:tcPr>
            <w:tcW w:w="0" w:type="auto"/>
            <w:hideMark/>
          </w:tcPr>
          <w:p w14:paraId="57500FA9" w14:textId="77777777" w:rsidR="00143ED6" w:rsidRPr="00792B36" w:rsidRDefault="00143ED6" w:rsidP="0096560E">
            <w:pPr>
              <w:rPr>
                <w:rFonts w:eastAsia="Times New Roman"/>
                <w:color w:val="1F1F1F"/>
                <w:sz w:val="20"/>
                <w:szCs w:val="20"/>
              </w:rPr>
            </w:pPr>
            <w:r w:rsidRPr="00792B36">
              <w:rPr>
                <w:rFonts w:eastAsia="Times New Roman"/>
                <w:color w:val="1F1F1F"/>
                <w:sz w:val="20"/>
                <w:szCs w:val="20"/>
                <w:bdr w:val="none" w:sz="0" w:space="0" w:color="auto" w:frame="1"/>
              </w:rPr>
              <w:t>Inequality-adjusted Human Development Index</w:t>
            </w:r>
          </w:p>
        </w:tc>
        <w:tc>
          <w:tcPr>
            <w:tcW w:w="0" w:type="auto"/>
            <w:hideMark/>
          </w:tcPr>
          <w:p w14:paraId="3575B613" w14:textId="77777777" w:rsidR="00143ED6" w:rsidRPr="00792B36" w:rsidRDefault="00143ED6" w:rsidP="0096560E">
            <w:pPr>
              <w:rPr>
                <w:rFonts w:eastAsia="Times New Roman"/>
                <w:color w:val="1F1F1F"/>
                <w:sz w:val="20"/>
                <w:szCs w:val="20"/>
              </w:rPr>
            </w:pPr>
            <w:r w:rsidRPr="00792B36">
              <w:rPr>
                <w:rFonts w:eastAsia="Times New Roman"/>
                <w:color w:val="1F1F1F"/>
                <w:sz w:val="20"/>
                <w:szCs w:val="20"/>
                <w:bdr w:val="none" w:sz="0" w:space="0" w:color="auto" w:frame="1"/>
              </w:rPr>
              <w:t>UN</w:t>
            </w:r>
          </w:p>
        </w:tc>
        <w:tc>
          <w:tcPr>
            <w:tcW w:w="0" w:type="auto"/>
            <w:hideMark/>
          </w:tcPr>
          <w:p w14:paraId="7FD6C2CD" w14:textId="77777777" w:rsidR="00143ED6" w:rsidRPr="00792B36" w:rsidRDefault="00143ED6" w:rsidP="0096560E">
            <w:pPr>
              <w:rPr>
                <w:rFonts w:eastAsia="Times New Roman"/>
                <w:color w:val="1F1F1F"/>
                <w:sz w:val="20"/>
                <w:szCs w:val="20"/>
              </w:rPr>
            </w:pPr>
            <w:r w:rsidRPr="00792B36">
              <w:rPr>
                <w:rFonts w:eastAsia="Times New Roman"/>
                <w:color w:val="1F1F1F"/>
                <w:sz w:val="20"/>
                <w:szCs w:val="20"/>
                <w:bdr w:val="none" w:sz="0" w:space="0" w:color="auto" w:frame="1"/>
              </w:rPr>
              <w:t>United Nations</w:t>
            </w:r>
          </w:p>
        </w:tc>
      </w:tr>
      <w:tr w:rsidR="00143ED6" w:rsidRPr="00792B36" w14:paraId="22567E47" w14:textId="77777777" w:rsidTr="000C7AD0">
        <w:tc>
          <w:tcPr>
            <w:tcW w:w="0" w:type="auto"/>
            <w:hideMark/>
          </w:tcPr>
          <w:p w14:paraId="2233C864" w14:textId="77777777" w:rsidR="00143ED6" w:rsidRPr="00792B36" w:rsidRDefault="00143ED6" w:rsidP="0096560E">
            <w:pPr>
              <w:rPr>
                <w:rFonts w:eastAsia="Times New Roman"/>
                <w:color w:val="1F1F1F"/>
                <w:sz w:val="20"/>
                <w:szCs w:val="20"/>
              </w:rPr>
            </w:pPr>
            <w:r w:rsidRPr="00792B36">
              <w:rPr>
                <w:rFonts w:eastAsia="Times New Roman"/>
                <w:color w:val="1F1F1F"/>
                <w:sz w:val="20"/>
                <w:szCs w:val="20"/>
                <w:bdr w:val="none" w:sz="0" w:space="0" w:color="auto" w:frame="1"/>
              </w:rPr>
              <w:t>INFOFISH</w:t>
            </w:r>
          </w:p>
        </w:tc>
        <w:tc>
          <w:tcPr>
            <w:tcW w:w="0" w:type="auto"/>
            <w:hideMark/>
          </w:tcPr>
          <w:p w14:paraId="379B79AC" w14:textId="77777777" w:rsidR="00143ED6" w:rsidRPr="00792B36" w:rsidRDefault="00143ED6" w:rsidP="0096560E">
            <w:pPr>
              <w:rPr>
                <w:rFonts w:eastAsia="Times New Roman"/>
                <w:color w:val="1F1F1F"/>
                <w:sz w:val="20"/>
                <w:szCs w:val="20"/>
              </w:rPr>
            </w:pPr>
            <w:r w:rsidRPr="00792B36">
              <w:rPr>
                <w:rFonts w:eastAsia="Times New Roman"/>
                <w:color w:val="1F1F1F"/>
                <w:sz w:val="20"/>
                <w:szCs w:val="20"/>
                <w:bdr w:val="none" w:sz="0" w:space="0" w:color="auto" w:frame="1"/>
              </w:rPr>
              <w:t>Intergovernmental Organization for Marketing Information and Technical Advisory Services for Fishery Products in the Asia and Pacific Region</w:t>
            </w:r>
          </w:p>
        </w:tc>
        <w:tc>
          <w:tcPr>
            <w:tcW w:w="0" w:type="auto"/>
            <w:hideMark/>
          </w:tcPr>
          <w:p w14:paraId="6297910D" w14:textId="77777777" w:rsidR="00143ED6" w:rsidRPr="00792B36" w:rsidRDefault="00143ED6" w:rsidP="0096560E">
            <w:pPr>
              <w:rPr>
                <w:rFonts w:eastAsia="Times New Roman"/>
                <w:color w:val="1F1F1F"/>
                <w:sz w:val="20"/>
                <w:szCs w:val="20"/>
              </w:rPr>
            </w:pPr>
            <w:r w:rsidRPr="00792B36">
              <w:rPr>
                <w:rFonts w:eastAsia="Times New Roman"/>
                <w:color w:val="1F1F1F"/>
                <w:sz w:val="20"/>
                <w:szCs w:val="20"/>
                <w:bdr w:val="none" w:sz="0" w:space="0" w:color="auto" w:frame="1"/>
              </w:rPr>
              <w:t>UNCCD</w:t>
            </w:r>
          </w:p>
        </w:tc>
        <w:tc>
          <w:tcPr>
            <w:tcW w:w="0" w:type="auto"/>
            <w:hideMark/>
          </w:tcPr>
          <w:p w14:paraId="6BA48A32" w14:textId="77777777" w:rsidR="00143ED6" w:rsidRPr="00792B36" w:rsidRDefault="00143ED6" w:rsidP="0096560E">
            <w:pPr>
              <w:rPr>
                <w:rFonts w:eastAsia="Times New Roman"/>
                <w:color w:val="1F1F1F"/>
                <w:sz w:val="20"/>
                <w:szCs w:val="20"/>
              </w:rPr>
            </w:pPr>
            <w:r w:rsidRPr="00792B36">
              <w:rPr>
                <w:rFonts w:eastAsia="Times New Roman"/>
                <w:color w:val="1F1F1F"/>
                <w:sz w:val="20"/>
                <w:szCs w:val="20"/>
                <w:bdr w:val="none" w:sz="0" w:space="0" w:color="auto" w:frame="1"/>
              </w:rPr>
              <w:t>United Nations Convention to Combat Desertification</w:t>
            </w:r>
          </w:p>
        </w:tc>
      </w:tr>
      <w:tr w:rsidR="00143ED6" w:rsidRPr="00792B36" w14:paraId="75768998" w14:textId="77777777" w:rsidTr="000C7AD0">
        <w:tc>
          <w:tcPr>
            <w:tcW w:w="0" w:type="auto"/>
            <w:hideMark/>
          </w:tcPr>
          <w:p w14:paraId="6B3722A9" w14:textId="77777777" w:rsidR="00143ED6" w:rsidRPr="00792B36" w:rsidRDefault="00143ED6" w:rsidP="0096560E">
            <w:pPr>
              <w:rPr>
                <w:rFonts w:eastAsia="Times New Roman"/>
                <w:color w:val="1F1F1F"/>
                <w:sz w:val="20"/>
                <w:szCs w:val="20"/>
              </w:rPr>
            </w:pPr>
            <w:r w:rsidRPr="00792B36">
              <w:rPr>
                <w:rFonts w:eastAsia="Times New Roman"/>
                <w:color w:val="1F1F1F"/>
                <w:sz w:val="20"/>
                <w:szCs w:val="20"/>
                <w:bdr w:val="none" w:sz="0" w:space="0" w:color="auto" w:frame="1"/>
              </w:rPr>
              <w:t>IOC</w:t>
            </w:r>
          </w:p>
        </w:tc>
        <w:tc>
          <w:tcPr>
            <w:tcW w:w="0" w:type="auto"/>
            <w:hideMark/>
          </w:tcPr>
          <w:p w14:paraId="3D39A86D" w14:textId="77777777" w:rsidR="00143ED6" w:rsidRPr="00792B36" w:rsidRDefault="00143ED6" w:rsidP="0096560E">
            <w:pPr>
              <w:rPr>
                <w:rFonts w:eastAsia="Times New Roman"/>
                <w:color w:val="1F1F1F"/>
                <w:sz w:val="20"/>
                <w:szCs w:val="20"/>
              </w:rPr>
            </w:pPr>
            <w:r w:rsidRPr="00792B36">
              <w:rPr>
                <w:rFonts w:eastAsia="Times New Roman"/>
                <w:color w:val="1F1F1F"/>
                <w:sz w:val="20"/>
                <w:szCs w:val="20"/>
                <w:bdr w:val="none" w:sz="0" w:space="0" w:color="auto" w:frame="1"/>
              </w:rPr>
              <w:t>Intergovernmental Oceanographic Commission</w:t>
            </w:r>
          </w:p>
        </w:tc>
        <w:tc>
          <w:tcPr>
            <w:tcW w:w="0" w:type="auto"/>
            <w:hideMark/>
          </w:tcPr>
          <w:p w14:paraId="67FF412D" w14:textId="77777777" w:rsidR="00143ED6" w:rsidRPr="00792B36" w:rsidRDefault="00143ED6" w:rsidP="0096560E">
            <w:pPr>
              <w:rPr>
                <w:rFonts w:eastAsia="Times New Roman"/>
                <w:color w:val="1F1F1F"/>
                <w:sz w:val="20"/>
                <w:szCs w:val="20"/>
              </w:rPr>
            </w:pPr>
            <w:r w:rsidRPr="00792B36">
              <w:rPr>
                <w:rFonts w:eastAsia="Times New Roman"/>
                <w:color w:val="1F1F1F"/>
                <w:sz w:val="20"/>
                <w:szCs w:val="20"/>
                <w:bdr w:val="none" w:sz="0" w:space="0" w:color="auto" w:frame="1"/>
              </w:rPr>
              <w:t>UNCLOS</w:t>
            </w:r>
          </w:p>
        </w:tc>
        <w:tc>
          <w:tcPr>
            <w:tcW w:w="0" w:type="auto"/>
            <w:hideMark/>
          </w:tcPr>
          <w:p w14:paraId="4674448C" w14:textId="77777777" w:rsidR="00143ED6" w:rsidRPr="00792B36" w:rsidRDefault="00143ED6" w:rsidP="0096560E">
            <w:pPr>
              <w:rPr>
                <w:rFonts w:eastAsia="Times New Roman"/>
                <w:color w:val="1F1F1F"/>
                <w:sz w:val="20"/>
                <w:szCs w:val="20"/>
              </w:rPr>
            </w:pPr>
            <w:r w:rsidRPr="00792B36">
              <w:rPr>
                <w:rFonts w:eastAsia="Times New Roman"/>
                <w:color w:val="1F1F1F"/>
                <w:sz w:val="20"/>
                <w:szCs w:val="20"/>
                <w:bdr w:val="none" w:sz="0" w:space="0" w:color="auto" w:frame="1"/>
              </w:rPr>
              <w:t>United Nations Convention on the Law of the Sea</w:t>
            </w:r>
          </w:p>
        </w:tc>
      </w:tr>
      <w:tr w:rsidR="00143ED6" w:rsidRPr="00792B36" w14:paraId="69F119AB" w14:textId="77777777" w:rsidTr="000C7AD0">
        <w:tc>
          <w:tcPr>
            <w:tcW w:w="0" w:type="auto"/>
            <w:hideMark/>
          </w:tcPr>
          <w:p w14:paraId="5F898B25" w14:textId="77777777" w:rsidR="00143ED6" w:rsidRPr="00792B36" w:rsidRDefault="00143ED6" w:rsidP="0096560E">
            <w:pPr>
              <w:rPr>
                <w:rFonts w:eastAsia="Times New Roman"/>
                <w:color w:val="1F1F1F"/>
                <w:sz w:val="20"/>
                <w:szCs w:val="20"/>
              </w:rPr>
            </w:pPr>
            <w:r w:rsidRPr="00792B36">
              <w:rPr>
                <w:rFonts w:eastAsia="Times New Roman"/>
                <w:color w:val="1F1F1F"/>
                <w:sz w:val="20"/>
                <w:szCs w:val="20"/>
                <w:bdr w:val="none" w:sz="0" w:space="0" w:color="auto" w:frame="1"/>
              </w:rPr>
              <w:t>IOI</w:t>
            </w:r>
          </w:p>
        </w:tc>
        <w:tc>
          <w:tcPr>
            <w:tcW w:w="0" w:type="auto"/>
            <w:hideMark/>
          </w:tcPr>
          <w:p w14:paraId="3AABFF1B" w14:textId="77777777" w:rsidR="00143ED6" w:rsidRPr="00792B36" w:rsidRDefault="00143ED6" w:rsidP="0096560E">
            <w:pPr>
              <w:rPr>
                <w:rFonts w:eastAsia="Times New Roman"/>
                <w:color w:val="1F1F1F"/>
                <w:sz w:val="20"/>
                <w:szCs w:val="20"/>
              </w:rPr>
            </w:pPr>
            <w:r w:rsidRPr="00792B36">
              <w:rPr>
                <w:rFonts w:eastAsia="Times New Roman"/>
                <w:color w:val="1F1F1F"/>
                <w:sz w:val="20"/>
                <w:szCs w:val="20"/>
                <w:bdr w:val="none" w:sz="0" w:space="0" w:color="auto" w:frame="1"/>
              </w:rPr>
              <w:t>International Ocean Institute</w:t>
            </w:r>
          </w:p>
        </w:tc>
        <w:tc>
          <w:tcPr>
            <w:tcW w:w="0" w:type="auto"/>
            <w:hideMark/>
          </w:tcPr>
          <w:p w14:paraId="73668187" w14:textId="77777777" w:rsidR="00143ED6" w:rsidRPr="00792B36" w:rsidRDefault="00143ED6" w:rsidP="0096560E">
            <w:pPr>
              <w:rPr>
                <w:rFonts w:eastAsia="Times New Roman"/>
                <w:color w:val="1F1F1F"/>
                <w:sz w:val="20"/>
                <w:szCs w:val="20"/>
              </w:rPr>
            </w:pPr>
            <w:r w:rsidRPr="00792B36">
              <w:rPr>
                <w:rFonts w:eastAsia="Times New Roman"/>
                <w:color w:val="1F1F1F"/>
                <w:sz w:val="20"/>
                <w:szCs w:val="20"/>
                <w:bdr w:val="none" w:sz="0" w:space="0" w:color="auto" w:frame="1"/>
              </w:rPr>
              <w:t>UNDP</w:t>
            </w:r>
          </w:p>
        </w:tc>
        <w:tc>
          <w:tcPr>
            <w:tcW w:w="0" w:type="auto"/>
            <w:hideMark/>
          </w:tcPr>
          <w:p w14:paraId="3E840643" w14:textId="77777777" w:rsidR="00143ED6" w:rsidRPr="00792B36" w:rsidRDefault="00143ED6" w:rsidP="0096560E">
            <w:pPr>
              <w:rPr>
                <w:rFonts w:eastAsia="Times New Roman"/>
                <w:color w:val="1F1F1F"/>
                <w:sz w:val="20"/>
                <w:szCs w:val="20"/>
              </w:rPr>
            </w:pPr>
            <w:r w:rsidRPr="00792B36">
              <w:rPr>
                <w:rFonts w:eastAsia="Times New Roman"/>
                <w:color w:val="1F1F1F"/>
                <w:sz w:val="20"/>
                <w:szCs w:val="20"/>
                <w:bdr w:val="none" w:sz="0" w:space="0" w:color="auto" w:frame="1"/>
              </w:rPr>
              <w:t>United Nations Development Programme</w:t>
            </w:r>
          </w:p>
        </w:tc>
      </w:tr>
      <w:tr w:rsidR="00143ED6" w:rsidRPr="00792B36" w14:paraId="4C19B43C" w14:textId="77777777" w:rsidTr="000C7AD0">
        <w:tc>
          <w:tcPr>
            <w:tcW w:w="0" w:type="auto"/>
            <w:hideMark/>
          </w:tcPr>
          <w:p w14:paraId="6172B373" w14:textId="77777777" w:rsidR="00143ED6" w:rsidRPr="00792B36" w:rsidRDefault="00143ED6" w:rsidP="0096560E">
            <w:pPr>
              <w:rPr>
                <w:rFonts w:eastAsia="Times New Roman"/>
                <w:color w:val="1F1F1F"/>
                <w:sz w:val="20"/>
                <w:szCs w:val="20"/>
              </w:rPr>
            </w:pPr>
            <w:r w:rsidRPr="00792B36">
              <w:rPr>
                <w:rFonts w:eastAsia="Times New Roman"/>
                <w:color w:val="1F1F1F"/>
                <w:sz w:val="20"/>
                <w:szCs w:val="20"/>
                <w:bdr w:val="none" w:sz="0" w:space="0" w:color="auto" w:frame="1"/>
              </w:rPr>
              <w:t>IORA</w:t>
            </w:r>
          </w:p>
        </w:tc>
        <w:tc>
          <w:tcPr>
            <w:tcW w:w="0" w:type="auto"/>
            <w:hideMark/>
          </w:tcPr>
          <w:p w14:paraId="085B2610" w14:textId="77777777" w:rsidR="00143ED6" w:rsidRPr="00792B36" w:rsidRDefault="00143ED6" w:rsidP="0096560E">
            <w:pPr>
              <w:rPr>
                <w:rFonts w:eastAsia="Times New Roman"/>
                <w:color w:val="1F1F1F"/>
                <w:sz w:val="20"/>
                <w:szCs w:val="20"/>
              </w:rPr>
            </w:pPr>
            <w:r w:rsidRPr="00792B36">
              <w:rPr>
                <w:rFonts w:eastAsia="Times New Roman"/>
                <w:color w:val="1F1F1F"/>
                <w:sz w:val="20"/>
                <w:szCs w:val="20"/>
                <w:bdr w:val="none" w:sz="0" w:space="0" w:color="auto" w:frame="1"/>
              </w:rPr>
              <w:t>Indian Ocean Rim Association</w:t>
            </w:r>
          </w:p>
        </w:tc>
        <w:tc>
          <w:tcPr>
            <w:tcW w:w="0" w:type="auto"/>
            <w:hideMark/>
          </w:tcPr>
          <w:p w14:paraId="2BCFDAC7" w14:textId="77777777" w:rsidR="00143ED6" w:rsidRPr="00792B36" w:rsidRDefault="00143ED6" w:rsidP="0096560E">
            <w:pPr>
              <w:rPr>
                <w:rFonts w:eastAsia="Times New Roman"/>
                <w:color w:val="1F1F1F"/>
                <w:sz w:val="20"/>
                <w:szCs w:val="20"/>
              </w:rPr>
            </w:pPr>
            <w:r w:rsidRPr="00792B36">
              <w:rPr>
                <w:rFonts w:eastAsia="Times New Roman"/>
                <w:color w:val="1F1F1F"/>
                <w:sz w:val="20"/>
                <w:szCs w:val="20"/>
                <w:bdr w:val="none" w:sz="0" w:space="0" w:color="auto" w:frame="1"/>
              </w:rPr>
              <w:t>UNEP</w:t>
            </w:r>
          </w:p>
        </w:tc>
        <w:tc>
          <w:tcPr>
            <w:tcW w:w="0" w:type="auto"/>
            <w:hideMark/>
          </w:tcPr>
          <w:p w14:paraId="6008C927" w14:textId="77777777" w:rsidR="00143ED6" w:rsidRPr="00792B36" w:rsidRDefault="00143ED6" w:rsidP="0096560E">
            <w:pPr>
              <w:rPr>
                <w:rFonts w:eastAsia="Times New Roman"/>
                <w:color w:val="1F1F1F"/>
                <w:sz w:val="20"/>
                <w:szCs w:val="20"/>
              </w:rPr>
            </w:pPr>
            <w:r w:rsidRPr="00792B36">
              <w:rPr>
                <w:rFonts w:eastAsia="Times New Roman"/>
                <w:color w:val="1F1F1F"/>
                <w:sz w:val="20"/>
                <w:szCs w:val="20"/>
                <w:bdr w:val="none" w:sz="0" w:space="0" w:color="auto" w:frame="1"/>
              </w:rPr>
              <w:t>United Nations Environment Programme</w:t>
            </w:r>
          </w:p>
        </w:tc>
      </w:tr>
      <w:tr w:rsidR="00143ED6" w:rsidRPr="00792B36" w14:paraId="22242E52" w14:textId="77777777" w:rsidTr="000C7AD0">
        <w:tc>
          <w:tcPr>
            <w:tcW w:w="0" w:type="auto"/>
            <w:hideMark/>
          </w:tcPr>
          <w:p w14:paraId="11243E30" w14:textId="77777777" w:rsidR="00143ED6" w:rsidRPr="00792B36" w:rsidRDefault="00143ED6" w:rsidP="0096560E">
            <w:pPr>
              <w:rPr>
                <w:rFonts w:eastAsia="Times New Roman"/>
                <w:color w:val="1F1F1F"/>
                <w:sz w:val="20"/>
                <w:szCs w:val="20"/>
              </w:rPr>
            </w:pPr>
            <w:r w:rsidRPr="00792B36">
              <w:rPr>
                <w:rFonts w:eastAsia="Times New Roman"/>
                <w:color w:val="1F1F1F"/>
                <w:sz w:val="20"/>
                <w:szCs w:val="20"/>
                <w:bdr w:val="none" w:sz="0" w:space="0" w:color="auto" w:frame="1"/>
              </w:rPr>
              <w:t>IOSEA</w:t>
            </w:r>
          </w:p>
        </w:tc>
        <w:tc>
          <w:tcPr>
            <w:tcW w:w="0" w:type="auto"/>
            <w:hideMark/>
          </w:tcPr>
          <w:p w14:paraId="3672697E" w14:textId="77777777" w:rsidR="00143ED6" w:rsidRPr="00792B36" w:rsidRDefault="00143ED6" w:rsidP="0096560E">
            <w:pPr>
              <w:rPr>
                <w:rFonts w:eastAsia="Times New Roman"/>
                <w:color w:val="1F1F1F"/>
                <w:sz w:val="20"/>
                <w:szCs w:val="20"/>
              </w:rPr>
            </w:pPr>
            <w:r w:rsidRPr="00792B36">
              <w:rPr>
                <w:rFonts w:eastAsia="Times New Roman"/>
                <w:color w:val="1F1F1F"/>
                <w:sz w:val="20"/>
                <w:szCs w:val="20"/>
                <w:bdr w:val="none" w:sz="0" w:space="0" w:color="auto" w:frame="1"/>
              </w:rPr>
              <w:t>Indian Ocean - South-East Asian (Marine Turtle MoU)</w:t>
            </w:r>
          </w:p>
        </w:tc>
        <w:tc>
          <w:tcPr>
            <w:tcW w:w="0" w:type="auto"/>
            <w:hideMark/>
          </w:tcPr>
          <w:p w14:paraId="5E45C723" w14:textId="77777777" w:rsidR="00143ED6" w:rsidRPr="00792B36" w:rsidRDefault="00143ED6" w:rsidP="0096560E">
            <w:pPr>
              <w:rPr>
                <w:rFonts w:eastAsia="Times New Roman"/>
                <w:color w:val="1F1F1F"/>
                <w:sz w:val="20"/>
                <w:szCs w:val="20"/>
              </w:rPr>
            </w:pPr>
            <w:r w:rsidRPr="00792B36">
              <w:rPr>
                <w:rFonts w:eastAsia="Times New Roman"/>
                <w:color w:val="1F1F1F"/>
                <w:sz w:val="20"/>
                <w:szCs w:val="20"/>
                <w:bdr w:val="none" w:sz="0" w:space="0" w:color="auto" w:frame="1"/>
              </w:rPr>
              <w:t>UNESCO</w:t>
            </w:r>
          </w:p>
        </w:tc>
        <w:tc>
          <w:tcPr>
            <w:tcW w:w="0" w:type="auto"/>
            <w:hideMark/>
          </w:tcPr>
          <w:p w14:paraId="35F564AE" w14:textId="77777777" w:rsidR="00143ED6" w:rsidRPr="00792B36" w:rsidRDefault="00143ED6" w:rsidP="0096560E">
            <w:pPr>
              <w:rPr>
                <w:rFonts w:eastAsia="Times New Roman"/>
                <w:color w:val="1F1F1F"/>
                <w:sz w:val="20"/>
                <w:szCs w:val="20"/>
              </w:rPr>
            </w:pPr>
            <w:r w:rsidRPr="00792B36">
              <w:rPr>
                <w:rFonts w:eastAsia="Times New Roman"/>
                <w:color w:val="1F1F1F"/>
                <w:sz w:val="20"/>
                <w:szCs w:val="20"/>
                <w:bdr w:val="none" w:sz="0" w:space="0" w:color="auto" w:frame="1"/>
              </w:rPr>
              <w:t>United Nations Educational, Scientific and Cultural Organization</w:t>
            </w:r>
          </w:p>
        </w:tc>
      </w:tr>
      <w:tr w:rsidR="00143ED6" w:rsidRPr="00792B36" w14:paraId="68AA6EE4" w14:textId="77777777" w:rsidTr="000C7AD0">
        <w:tc>
          <w:tcPr>
            <w:tcW w:w="0" w:type="auto"/>
            <w:hideMark/>
          </w:tcPr>
          <w:p w14:paraId="6111C1B9" w14:textId="77777777" w:rsidR="00143ED6" w:rsidRPr="00792B36" w:rsidRDefault="00143ED6" w:rsidP="0096560E">
            <w:pPr>
              <w:rPr>
                <w:rFonts w:eastAsia="Times New Roman"/>
                <w:color w:val="1F1F1F"/>
                <w:sz w:val="20"/>
                <w:szCs w:val="20"/>
              </w:rPr>
            </w:pPr>
            <w:r w:rsidRPr="00792B36">
              <w:rPr>
                <w:rFonts w:eastAsia="Times New Roman"/>
                <w:color w:val="1F1F1F"/>
                <w:sz w:val="20"/>
                <w:szCs w:val="20"/>
                <w:bdr w:val="none" w:sz="0" w:space="0" w:color="auto" w:frame="1"/>
              </w:rPr>
              <w:t>IOTC</w:t>
            </w:r>
          </w:p>
        </w:tc>
        <w:tc>
          <w:tcPr>
            <w:tcW w:w="0" w:type="auto"/>
            <w:hideMark/>
          </w:tcPr>
          <w:p w14:paraId="0141D06B" w14:textId="77777777" w:rsidR="00143ED6" w:rsidRPr="00792B36" w:rsidRDefault="00143ED6" w:rsidP="0096560E">
            <w:pPr>
              <w:rPr>
                <w:rFonts w:eastAsia="Times New Roman"/>
                <w:color w:val="1F1F1F"/>
                <w:sz w:val="20"/>
                <w:szCs w:val="20"/>
              </w:rPr>
            </w:pPr>
            <w:r w:rsidRPr="00792B36">
              <w:rPr>
                <w:rFonts w:eastAsia="Times New Roman"/>
                <w:color w:val="1F1F1F"/>
                <w:sz w:val="20"/>
                <w:szCs w:val="20"/>
                <w:bdr w:val="none" w:sz="0" w:space="0" w:color="auto" w:frame="1"/>
              </w:rPr>
              <w:t>Indian Ocean Tuna Commission</w:t>
            </w:r>
          </w:p>
        </w:tc>
        <w:tc>
          <w:tcPr>
            <w:tcW w:w="0" w:type="auto"/>
            <w:hideMark/>
          </w:tcPr>
          <w:p w14:paraId="54E55629" w14:textId="77777777" w:rsidR="00143ED6" w:rsidRPr="00792B36" w:rsidRDefault="00143ED6" w:rsidP="0096560E">
            <w:pPr>
              <w:rPr>
                <w:rFonts w:eastAsia="Times New Roman"/>
                <w:color w:val="1F1F1F"/>
                <w:sz w:val="20"/>
                <w:szCs w:val="20"/>
              </w:rPr>
            </w:pPr>
            <w:r w:rsidRPr="00792B36">
              <w:rPr>
                <w:rFonts w:eastAsia="Times New Roman"/>
                <w:color w:val="1F1F1F"/>
                <w:sz w:val="20"/>
                <w:szCs w:val="20"/>
                <w:bdr w:val="none" w:sz="0" w:space="0" w:color="auto" w:frame="1"/>
              </w:rPr>
              <w:t>UNFCCC</w:t>
            </w:r>
          </w:p>
        </w:tc>
        <w:tc>
          <w:tcPr>
            <w:tcW w:w="0" w:type="auto"/>
            <w:hideMark/>
          </w:tcPr>
          <w:p w14:paraId="7D27530F" w14:textId="77777777" w:rsidR="00143ED6" w:rsidRPr="00792B36" w:rsidRDefault="00143ED6" w:rsidP="0096560E">
            <w:pPr>
              <w:rPr>
                <w:rFonts w:eastAsia="Times New Roman"/>
                <w:color w:val="1F1F1F"/>
                <w:sz w:val="20"/>
                <w:szCs w:val="20"/>
              </w:rPr>
            </w:pPr>
            <w:r w:rsidRPr="00792B36">
              <w:rPr>
                <w:rFonts w:eastAsia="Times New Roman"/>
                <w:color w:val="1F1F1F"/>
                <w:sz w:val="20"/>
                <w:szCs w:val="20"/>
                <w:bdr w:val="none" w:sz="0" w:space="0" w:color="auto" w:frame="1"/>
              </w:rPr>
              <w:t>United Nations Framework Convention on Climate Change</w:t>
            </w:r>
          </w:p>
        </w:tc>
      </w:tr>
      <w:tr w:rsidR="00143ED6" w:rsidRPr="00792B36" w14:paraId="359338B0" w14:textId="77777777" w:rsidTr="000C7AD0">
        <w:tc>
          <w:tcPr>
            <w:tcW w:w="0" w:type="auto"/>
            <w:hideMark/>
          </w:tcPr>
          <w:p w14:paraId="6D6D1830" w14:textId="77777777" w:rsidR="00143ED6" w:rsidRPr="00792B36" w:rsidRDefault="00143ED6" w:rsidP="0096560E">
            <w:pPr>
              <w:rPr>
                <w:rFonts w:eastAsia="Times New Roman"/>
                <w:color w:val="1F1F1F"/>
                <w:sz w:val="20"/>
                <w:szCs w:val="20"/>
              </w:rPr>
            </w:pPr>
            <w:r w:rsidRPr="00792B36">
              <w:rPr>
                <w:rFonts w:eastAsia="Times New Roman"/>
                <w:color w:val="1F1F1F"/>
                <w:sz w:val="20"/>
                <w:szCs w:val="20"/>
                <w:bdr w:val="none" w:sz="0" w:space="0" w:color="auto" w:frame="1"/>
              </w:rPr>
              <w:t>IPOA-IUU</w:t>
            </w:r>
          </w:p>
        </w:tc>
        <w:tc>
          <w:tcPr>
            <w:tcW w:w="0" w:type="auto"/>
            <w:hideMark/>
          </w:tcPr>
          <w:p w14:paraId="0D45D0D8" w14:textId="77777777" w:rsidR="00143ED6" w:rsidRPr="00792B36" w:rsidRDefault="00143ED6" w:rsidP="0096560E">
            <w:pPr>
              <w:rPr>
                <w:rFonts w:eastAsia="Times New Roman"/>
                <w:color w:val="1F1F1F"/>
                <w:sz w:val="20"/>
                <w:szCs w:val="20"/>
              </w:rPr>
            </w:pPr>
            <w:r w:rsidRPr="00792B36">
              <w:rPr>
                <w:rFonts w:eastAsia="Times New Roman"/>
                <w:color w:val="1F1F1F"/>
                <w:sz w:val="20"/>
                <w:szCs w:val="20"/>
                <w:bdr w:val="none" w:sz="0" w:space="0" w:color="auto" w:frame="1"/>
              </w:rPr>
              <w:t>International Plan of Action to Prevent, Deter and Eliminate Illegal, Unreported and Unregulated Fishing</w:t>
            </w:r>
          </w:p>
        </w:tc>
        <w:tc>
          <w:tcPr>
            <w:tcW w:w="0" w:type="auto"/>
            <w:hideMark/>
          </w:tcPr>
          <w:p w14:paraId="4A69950E" w14:textId="77777777" w:rsidR="00143ED6" w:rsidRPr="00792B36" w:rsidRDefault="00143ED6" w:rsidP="0096560E">
            <w:pPr>
              <w:rPr>
                <w:rFonts w:eastAsia="Times New Roman"/>
                <w:color w:val="1F1F1F"/>
                <w:sz w:val="20"/>
                <w:szCs w:val="20"/>
              </w:rPr>
            </w:pPr>
            <w:r w:rsidRPr="00792B36">
              <w:rPr>
                <w:rFonts w:eastAsia="Times New Roman"/>
                <w:color w:val="1F1F1F"/>
                <w:sz w:val="20"/>
                <w:szCs w:val="20"/>
                <w:bdr w:val="none" w:sz="0" w:space="0" w:color="auto" w:frame="1"/>
              </w:rPr>
              <w:t>USD</w:t>
            </w:r>
          </w:p>
        </w:tc>
        <w:tc>
          <w:tcPr>
            <w:tcW w:w="0" w:type="auto"/>
            <w:hideMark/>
          </w:tcPr>
          <w:p w14:paraId="4F8828D4" w14:textId="77777777" w:rsidR="00143ED6" w:rsidRPr="00792B36" w:rsidRDefault="00143ED6" w:rsidP="0096560E">
            <w:pPr>
              <w:rPr>
                <w:rFonts w:eastAsia="Times New Roman"/>
                <w:color w:val="1F1F1F"/>
                <w:sz w:val="20"/>
                <w:szCs w:val="20"/>
              </w:rPr>
            </w:pPr>
            <w:r w:rsidRPr="00792B36">
              <w:rPr>
                <w:rFonts w:eastAsia="Times New Roman"/>
                <w:color w:val="1F1F1F"/>
                <w:sz w:val="20"/>
                <w:szCs w:val="20"/>
                <w:bdr w:val="none" w:sz="0" w:space="0" w:color="auto" w:frame="1"/>
              </w:rPr>
              <w:t>United States Dollar</w:t>
            </w:r>
          </w:p>
        </w:tc>
      </w:tr>
      <w:tr w:rsidR="00143ED6" w:rsidRPr="00792B36" w14:paraId="48525F60" w14:textId="77777777" w:rsidTr="000C7AD0">
        <w:tc>
          <w:tcPr>
            <w:tcW w:w="0" w:type="auto"/>
            <w:hideMark/>
          </w:tcPr>
          <w:p w14:paraId="6BF29273" w14:textId="77777777" w:rsidR="00143ED6" w:rsidRPr="00792B36" w:rsidRDefault="00143ED6" w:rsidP="0096560E">
            <w:pPr>
              <w:rPr>
                <w:rFonts w:eastAsia="Times New Roman"/>
                <w:color w:val="1F1F1F"/>
                <w:sz w:val="20"/>
                <w:szCs w:val="20"/>
              </w:rPr>
            </w:pPr>
            <w:r w:rsidRPr="00792B36">
              <w:rPr>
                <w:rFonts w:eastAsia="Times New Roman"/>
                <w:color w:val="1F1F1F"/>
                <w:sz w:val="20"/>
                <w:szCs w:val="20"/>
                <w:bdr w:val="none" w:sz="0" w:space="0" w:color="auto" w:frame="1"/>
              </w:rPr>
              <w:t>IPPU</w:t>
            </w:r>
          </w:p>
        </w:tc>
        <w:tc>
          <w:tcPr>
            <w:tcW w:w="0" w:type="auto"/>
            <w:hideMark/>
          </w:tcPr>
          <w:p w14:paraId="53E92FCD" w14:textId="77777777" w:rsidR="00143ED6" w:rsidRPr="00792B36" w:rsidRDefault="00143ED6" w:rsidP="0096560E">
            <w:pPr>
              <w:rPr>
                <w:rFonts w:eastAsia="Times New Roman"/>
                <w:color w:val="1F1F1F"/>
                <w:sz w:val="20"/>
                <w:szCs w:val="20"/>
              </w:rPr>
            </w:pPr>
            <w:r w:rsidRPr="00792B36">
              <w:rPr>
                <w:rFonts w:eastAsia="Times New Roman"/>
                <w:color w:val="1F1F1F"/>
                <w:sz w:val="20"/>
                <w:szCs w:val="20"/>
                <w:bdr w:val="none" w:sz="0" w:space="0" w:color="auto" w:frame="1"/>
              </w:rPr>
              <w:t>Industrial Processes and Product Use</w:t>
            </w:r>
          </w:p>
        </w:tc>
        <w:tc>
          <w:tcPr>
            <w:tcW w:w="0" w:type="auto"/>
            <w:hideMark/>
          </w:tcPr>
          <w:p w14:paraId="33DBA636" w14:textId="77777777" w:rsidR="00143ED6" w:rsidRPr="00792B36" w:rsidRDefault="00143ED6" w:rsidP="0096560E">
            <w:pPr>
              <w:rPr>
                <w:rFonts w:eastAsia="Times New Roman"/>
                <w:color w:val="1F1F1F"/>
                <w:sz w:val="20"/>
                <w:szCs w:val="20"/>
              </w:rPr>
            </w:pPr>
            <w:r w:rsidRPr="00792B36">
              <w:rPr>
                <w:rFonts w:eastAsia="Times New Roman"/>
                <w:color w:val="1F1F1F"/>
                <w:sz w:val="20"/>
                <w:szCs w:val="20"/>
                <w:bdr w:val="none" w:sz="0" w:space="0" w:color="auto" w:frame="1"/>
              </w:rPr>
              <w:t>VI</w:t>
            </w:r>
          </w:p>
        </w:tc>
        <w:tc>
          <w:tcPr>
            <w:tcW w:w="0" w:type="auto"/>
            <w:hideMark/>
          </w:tcPr>
          <w:p w14:paraId="0C843E30" w14:textId="77777777" w:rsidR="00143ED6" w:rsidRPr="00792B36" w:rsidRDefault="00143ED6" w:rsidP="0096560E">
            <w:pPr>
              <w:rPr>
                <w:rFonts w:eastAsia="Times New Roman"/>
                <w:color w:val="1F1F1F"/>
                <w:sz w:val="20"/>
                <w:szCs w:val="20"/>
              </w:rPr>
            </w:pPr>
            <w:r w:rsidRPr="00792B36">
              <w:rPr>
                <w:rFonts w:eastAsia="Times New Roman"/>
                <w:color w:val="1F1F1F"/>
                <w:sz w:val="20"/>
                <w:szCs w:val="20"/>
                <w:bdr w:val="none" w:sz="0" w:space="0" w:color="auto" w:frame="1"/>
              </w:rPr>
              <w:t>Vulnerability Index</w:t>
            </w:r>
          </w:p>
        </w:tc>
      </w:tr>
      <w:tr w:rsidR="00143ED6" w:rsidRPr="00792B36" w14:paraId="5FB4880B" w14:textId="77777777" w:rsidTr="000C7AD0">
        <w:tc>
          <w:tcPr>
            <w:tcW w:w="0" w:type="auto"/>
            <w:hideMark/>
          </w:tcPr>
          <w:p w14:paraId="1B21B899" w14:textId="77777777" w:rsidR="00143ED6" w:rsidRPr="00792B36" w:rsidRDefault="00143ED6" w:rsidP="0096560E">
            <w:pPr>
              <w:rPr>
                <w:rFonts w:eastAsia="Times New Roman"/>
                <w:color w:val="1F1F1F"/>
                <w:sz w:val="20"/>
                <w:szCs w:val="20"/>
              </w:rPr>
            </w:pPr>
            <w:r w:rsidRPr="00792B36">
              <w:rPr>
                <w:rFonts w:eastAsia="Times New Roman"/>
                <w:color w:val="1F1F1F"/>
                <w:sz w:val="20"/>
                <w:szCs w:val="20"/>
                <w:bdr w:val="none" w:sz="0" w:space="0" w:color="auto" w:frame="1"/>
              </w:rPr>
              <w:t>IUCN</w:t>
            </w:r>
          </w:p>
        </w:tc>
        <w:tc>
          <w:tcPr>
            <w:tcW w:w="0" w:type="auto"/>
            <w:hideMark/>
          </w:tcPr>
          <w:p w14:paraId="77B38D6F" w14:textId="77777777" w:rsidR="00143ED6" w:rsidRPr="00792B36" w:rsidRDefault="00143ED6" w:rsidP="0096560E">
            <w:pPr>
              <w:rPr>
                <w:rFonts w:eastAsia="Times New Roman"/>
                <w:color w:val="1F1F1F"/>
                <w:sz w:val="20"/>
                <w:szCs w:val="20"/>
              </w:rPr>
            </w:pPr>
            <w:r w:rsidRPr="00792B36">
              <w:rPr>
                <w:rFonts w:eastAsia="Times New Roman"/>
                <w:color w:val="1F1F1F"/>
                <w:sz w:val="20"/>
                <w:szCs w:val="20"/>
                <w:bdr w:val="none" w:sz="0" w:space="0" w:color="auto" w:frame="1"/>
              </w:rPr>
              <w:t>International Union for Conservation of Nature</w:t>
            </w:r>
          </w:p>
        </w:tc>
        <w:tc>
          <w:tcPr>
            <w:tcW w:w="0" w:type="auto"/>
            <w:hideMark/>
          </w:tcPr>
          <w:p w14:paraId="3E45E2F2" w14:textId="77777777" w:rsidR="00143ED6" w:rsidRPr="00792B36" w:rsidRDefault="00143ED6" w:rsidP="0096560E">
            <w:pPr>
              <w:rPr>
                <w:rFonts w:eastAsia="Times New Roman"/>
                <w:color w:val="1F1F1F"/>
                <w:sz w:val="20"/>
                <w:szCs w:val="20"/>
              </w:rPr>
            </w:pPr>
            <w:r w:rsidRPr="00792B36">
              <w:rPr>
                <w:rFonts w:eastAsia="Times New Roman"/>
                <w:color w:val="1F1F1F"/>
                <w:sz w:val="20"/>
                <w:szCs w:val="20"/>
                <w:bdr w:val="none" w:sz="0" w:space="0" w:color="auto" w:frame="1"/>
              </w:rPr>
              <w:t>VNR</w:t>
            </w:r>
          </w:p>
        </w:tc>
        <w:tc>
          <w:tcPr>
            <w:tcW w:w="0" w:type="auto"/>
            <w:hideMark/>
          </w:tcPr>
          <w:p w14:paraId="1A202EEA" w14:textId="77777777" w:rsidR="00143ED6" w:rsidRPr="00792B36" w:rsidRDefault="00143ED6" w:rsidP="0096560E">
            <w:pPr>
              <w:rPr>
                <w:rFonts w:eastAsia="Times New Roman"/>
                <w:color w:val="1F1F1F"/>
                <w:sz w:val="20"/>
                <w:szCs w:val="20"/>
              </w:rPr>
            </w:pPr>
            <w:r w:rsidRPr="00792B36">
              <w:rPr>
                <w:rFonts w:eastAsia="Times New Roman"/>
                <w:color w:val="1F1F1F"/>
                <w:sz w:val="20"/>
                <w:szCs w:val="20"/>
                <w:bdr w:val="none" w:sz="0" w:space="0" w:color="auto" w:frame="1"/>
              </w:rPr>
              <w:t>Voluntary National Review</w:t>
            </w:r>
          </w:p>
        </w:tc>
      </w:tr>
      <w:tr w:rsidR="00143ED6" w:rsidRPr="00792B36" w14:paraId="6DFC97BC" w14:textId="77777777" w:rsidTr="000C7AD0">
        <w:tc>
          <w:tcPr>
            <w:tcW w:w="0" w:type="auto"/>
            <w:hideMark/>
          </w:tcPr>
          <w:p w14:paraId="2BD40150" w14:textId="77777777" w:rsidR="00143ED6" w:rsidRPr="00792B36" w:rsidRDefault="00143ED6" w:rsidP="0096560E">
            <w:pPr>
              <w:rPr>
                <w:rFonts w:eastAsia="Times New Roman"/>
                <w:color w:val="1F1F1F"/>
                <w:sz w:val="20"/>
                <w:szCs w:val="20"/>
              </w:rPr>
            </w:pPr>
            <w:r w:rsidRPr="00792B36">
              <w:rPr>
                <w:rFonts w:eastAsia="Times New Roman"/>
                <w:color w:val="1F1F1F"/>
                <w:sz w:val="20"/>
                <w:szCs w:val="20"/>
                <w:bdr w:val="none" w:sz="0" w:space="0" w:color="auto" w:frame="1"/>
              </w:rPr>
              <w:t>IUU</w:t>
            </w:r>
          </w:p>
        </w:tc>
        <w:tc>
          <w:tcPr>
            <w:tcW w:w="0" w:type="auto"/>
            <w:hideMark/>
          </w:tcPr>
          <w:p w14:paraId="7F432271" w14:textId="77777777" w:rsidR="00143ED6" w:rsidRPr="00792B36" w:rsidRDefault="00143ED6" w:rsidP="0096560E">
            <w:pPr>
              <w:rPr>
                <w:rFonts w:eastAsia="Times New Roman"/>
                <w:color w:val="1F1F1F"/>
                <w:sz w:val="20"/>
                <w:szCs w:val="20"/>
              </w:rPr>
            </w:pPr>
            <w:r w:rsidRPr="00792B36">
              <w:rPr>
                <w:rFonts w:eastAsia="Times New Roman"/>
                <w:color w:val="1F1F1F"/>
                <w:sz w:val="20"/>
                <w:szCs w:val="20"/>
                <w:bdr w:val="none" w:sz="0" w:space="0" w:color="auto" w:frame="1"/>
              </w:rPr>
              <w:t>Illegal, Unreported, and Unregulated (fishing)</w:t>
            </w:r>
          </w:p>
        </w:tc>
        <w:tc>
          <w:tcPr>
            <w:tcW w:w="0" w:type="auto"/>
            <w:hideMark/>
          </w:tcPr>
          <w:p w14:paraId="4D8D34B9" w14:textId="77777777" w:rsidR="00143ED6" w:rsidRPr="00792B36" w:rsidRDefault="00143ED6" w:rsidP="0096560E">
            <w:pPr>
              <w:rPr>
                <w:rFonts w:eastAsia="Times New Roman"/>
                <w:color w:val="1F1F1F"/>
                <w:sz w:val="20"/>
                <w:szCs w:val="20"/>
              </w:rPr>
            </w:pPr>
            <w:r w:rsidRPr="00792B36">
              <w:rPr>
                <w:rFonts w:eastAsia="Times New Roman"/>
                <w:color w:val="1F1F1F"/>
                <w:sz w:val="20"/>
                <w:szCs w:val="20"/>
                <w:bdr w:val="none" w:sz="0" w:space="0" w:color="auto" w:frame="1"/>
              </w:rPr>
              <w:t>VU</w:t>
            </w:r>
          </w:p>
        </w:tc>
        <w:tc>
          <w:tcPr>
            <w:tcW w:w="0" w:type="auto"/>
            <w:hideMark/>
          </w:tcPr>
          <w:p w14:paraId="3D2C77CC" w14:textId="77777777" w:rsidR="00143ED6" w:rsidRPr="00792B36" w:rsidRDefault="00143ED6" w:rsidP="0096560E">
            <w:pPr>
              <w:rPr>
                <w:rFonts w:eastAsia="Times New Roman"/>
                <w:color w:val="1F1F1F"/>
                <w:sz w:val="20"/>
                <w:szCs w:val="20"/>
              </w:rPr>
            </w:pPr>
            <w:r w:rsidRPr="00792B36">
              <w:rPr>
                <w:rFonts w:eastAsia="Times New Roman"/>
                <w:color w:val="1F1F1F"/>
                <w:sz w:val="20"/>
                <w:szCs w:val="20"/>
                <w:bdr w:val="none" w:sz="0" w:space="0" w:color="auto" w:frame="1"/>
              </w:rPr>
              <w:t>Vulnerable (IUCN status)</w:t>
            </w:r>
          </w:p>
        </w:tc>
      </w:tr>
      <w:tr w:rsidR="00143ED6" w:rsidRPr="00792B36" w14:paraId="013C3A2B" w14:textId="77777777" w:rsidTr="000C7AD0">
        <w:tc>
          <w:tcPr>
            <w:tcW w:w="0" w:type="auto"/>
            <w:hideMark/>
          </w:tcPr>
          <w:p w14:paraId="0E560435" w14:textId="77777777" w:rsidR="00143ED6" w:rsidRPr="00792B36" w:rsidRDefault="00143ED6" w:rsidP="0096560E">
            <w:pPr>
              <w:rPr>
                <w:rFonts w:eastAsia="Times New Roman"/>
                <w:color w:val="1F1F1F"/>
                <w:sz w:val="20"/>
                <w:szCs w:val="20"/>
              </w:rPr>
            </w:pPr>
          </w:p>
        </w:tc>
        <w:tc>
          <w:tcPr>
            <w:tcW w:w="0" w:type="auto"/>
            <w:hideMark/>
          </w:tcPr>
          <w:p w14:paraId="14EC10F1" w14:textId="77777777" w:rsidR="00143ED6" w:rsidRPr="00792B36" w:rsidRDefault="00143ED6" w:rsidP="0096560E">
            <w:pPr>
              <w:rPr>
                <w:rFonts w:eastAsia="Times New Roman"/>
                <w:sz w:val="20"/>
                <w:szCs w:val="20"/>
              </w:rPr>
            </w:pPr>
          </w:p>
        </w:tc>
        <w:tc>
          <w:tcPr>
            <w:tcW w:w="0" w:type="auto"/>
            <w:hideMark/>
          </w:tcPr>
          <w:p w14:paraId="3F529D0E" w14:textId="77777777" w:rsidR="00143ED6" w:rsidRPr="00792B36" w:rsidRDefault="00143ED6" w:rsidP="0096560E">
            <w:pPr>
              <w:rPr>
                <w:rFonts w:eastAsia="Times New Roman"/>
                <w:color w:val="1F1F1F"/>
                <w:sz w:val="20"/>
                <w:szCs w:val="20"/>
              </w:rPr>
            </w:pPr>
            <w:r w:rsidRPr="00792B36">
              <w:rPr>
                <w:rFonts w:eastAsia="Times New Roman"/>
                <w:color w:val="1F1F1F"/>
                <w:sz w:val="20"/>
                <w:szCs w:val="20"/>
                <w:bdr w:val="none" w:sz="0" w:space="0" w:color="auto" w:frame="1"/>
              </w:rPr>
              <w:t>WEEE</w:t>
            </w:r>
          </w:p>
        </w:tc>
        <w:tc>
          <w:tcPr>
            <w:tcW w:w="0" w:type="auto"/>
            <w:hideMark/>
          </w:tcPr>
          <w:p w14:paraId="5F600211" w14:textId="77777777" w:rsidR="00143ED6" w:rsidRPr="00792B36" w:rsidRDefault="00143ED6" w:rsidP="0096560E">
            <w:pPr>
              <w:rPr>
                <w:rFonts w:eastAsia="Times New Roman"/>
                <w:color w:val="1F1F1F"/>
                <w:sz w:val="20"/>
                <w:szCs w:val="20"/>
              </w:rPr>
            </w:pPr>
            <w:r w:rsidRPr="00792B36">
              <w:rPr>
                <w:rFonts w:eastAsia="Times New Roman"/>
                <w:color w:val="1F1F1F"/>
                <w:sz w:val="20"/>
                <w:szCs w:val="20"/>
                <w:bdr w:val="none" w:sz="0" w:space="0" w:color="auto" w:frame="1"/>
              </w:rPr>
              <w:t>Waste from Electrical and Electronic Equipment</w:t>
            </w:r>
          </w:p>
        </w:tc>
      </w:tr>
      <w:tr w:rsidR="00143ED6" w:rsidRPr="00792B36" w14:paraId="7A085216" w14:textId="77777777" w:rsidTr="000C7AD0">
        <w:tc>
          <w:tcPr>
            <w:tcW w:w="0" w:type="auto"/>
            <w:hideMark/>
          </w:tcPr>
          <w:p w14:paraId="7E903DFD" w14:textId="77777777" w:rsidR="00143ED6" w:rsidRPr="00792B36" w:rsidRDefault="00143ED6" w:rsidP="0096560E">
            <w:pPr>
              <w:rPr>
                <w:rFonts w:eastAsia="Times New Roman"/>
                <w:color w:val="1F1F1F"/>
                <w:sz w:val="20"/>
                <w:szCs w:val="20"/>
              </w:rPr>
            </w:pPr>
          </w:p>
        </w:tc>
        <w:tc>
          <w:tcPr>
            <w:tcW w:w="0" w:type="auto"/>
            <w:hideMark/>
          </w:tcPr>
          <w:p w14:paraId="7EA6FFDB" w14:textId="77777777" w:rsidR="00143ED6" w:rsidRPr="00792B36" w:rsidRDefault="00143ED6" w:rsidP="0096560E">
            <w:pPr>
              <w:rPr>
                <w:rFonts w:eastAsia="Times New Roman"/>
                <w:sz w:val="20"/>
                <w:szCs w:val="20"/>
              </w:rPr>
            </w:pPr>
          </w:p>
        </w:tc>
        <w:tc>
          <w:tcPr>
            <w:tcW w:w="0" w:type="auto"/>
            <w:hideMark/>
          </w:tcPr>
          <w:p w14:paraId="67B25DFB" w14:textId="77777777" w:rsidR="00143ED6" w:rsidRPr="00792B36" w:rsidRDefault="00143ED6" w:rsidP="0096560E">
            <w:pPr>
              <w:rPr>
                <w:rFonts w:eastAsia="Times New Roman"/>
                <w:color w:val="1F1F1F"/>
                <w:sz w:val="20"/>
                <w:szCs w:val="20"/>
              </w:rPr>
            </w:pPr>
            <w:r w:rsidRPr="00792B36">
              <w:rPr>
                <w:rFonts w:eastAsia="Times New Roman"/>
                <w:color w:val="1F1F1F"/>
                <w:sz w:val="20"/>
                <w:szCs w:val="20"/>
                <w:bdr w:val="none" w:sz="0" w:space="0" w:color="auto" w:frame="1"/>
              </w:rPr>
              <w:t>WESTPAC</w:t>
            </w:r>
          </w:p>
        </w:tc>
        <w:tc>
          <w:tcPr>
            <w:tcW w:w="0" w:type="auto"/>
            <w:hideMark/>
          </w:tcPr>
          <w:p w14:paraId="40CC55E7" w14:textId="77777777" w:rsidR="00143ED6" w:rsidRPr="00792B36" w:rsidRDefault="00143ED6" w:rsidP="0096560E">
            <w:pPr>
              <w:rPr>
                <w:rFonts w:eastAsia="Times New Roman"/>
                <w:color w:val="1F1F1F"/>
                <w:sz w:val="20"/>
                <w:szCs w:val="20"/>
              </w:rPr>
            </w:pPr>
            <w:r w:rsidRPr="00792B36">
              <w:rPr>
                <w:rFonts w:eastAsia="Times New Roman"/>
                <w:color w:val="1F1F1F"/>
                <w:sz w:val="20"/>
                <w:szCs w:val="20"/>
                <w:bdr w:val="none" w:sz="0" w:space="0" w:color="auto" w:frame="1"/>
              </w:rPr>
              <w:t>IOC Sub-Commission for the Western Pacific</w:t>
            </w:r>
          </w:p>
        </w:tc>
      </w:tr>
      <w:tr w:rsidR="00143ED6" w:rsidRPr="00792B36" w14:paraId="65DFA622" w14:textId="77777777" w:rsidTr="000C7AD0">
        <w:tc>
          <w:tcPr>
            <w:tcW w:w="0" w:type="auto"/>
            <w:hideMark/>
          </w:tcPr>
          <w:p w14:paraId="2C4207A9" w14:textId="77777777" w:rsidR="00143ED6" w:rsidRPr="00792B36" w:rsidRDefault="00143ED6" w:rsidP="0096560E">
            <w:pPr>
              <w:rPr>
                <w:rFonts w:eastAsia="Times New Roman"/>
                <w:color w:val="1F1F1F"/>
                <w:sz w:val="20"/>
                <w:szCs w:val="20"/>
              </w:rPr>
            </w:pPr>
          </w:p>
        </w:tc>
        <w:tc>
          <w:tcPr>
            <w:tcW w:w="0" w:type="auto"/>
            <w:hideMark/>
          </w:tcPr>
          <w:p w14:paraId="7C2CA6FF" w14:textId="77777777" w:rsidR="00143ED6" w:rsidRPr="00792B36" w:rsidRDefault="00143ED6" w:rsidP="0096560E">
            <w:pPr>
              <w:rPr>
                <w:rFonts w:eastAsia="Times New Roman"/>
                <w:sz w:val="20"/>
                <w:szCs w:val="20"/>
              </w:rPr>
            </w:pPr>
          </w:p>
        </w:tc>
        <w:tc>
          <w:tcPr>
            <w:tcW w:w="0" w:type="auto"/>
            <w:hideMark/>
          </w:tcPr>
          <w:p w14:paraId="580F8536" w14:textId="77777777" w:rsidR="00143ED6" w:rsidRPr="00792B36" w:rsidRDefault="00143ED6" w:rsidP="0096560E">
            <w:pPr>
              <w:rPr>
                <w:rFonts w:eastAsia="Times New Roman"/>
                <w:color w:val="1F1F1F"/>
                <w:sz w:val="20"/>
                <w:szCs w:val="20"/>
              </w:rPr>
            </w:pPr>
            <w:r w:rsidRPr="00792B36">
              <w:rPr>
                <w:rFonts w:eastAsia="Times New Roman"/>
                <w:color w:val="1F1F1F"/>
                <w:sz w:val="20"/>
                <w:szCs w:val="20"/>
                <w:bdr w:val="none" w:sz="0" w:space="0" w:color="auto" w:frame="1"/>
              </w:rPr>
              <w:t>YPR</w:t>
            </w:r>
          </w:p>
        </w:tc>
        <w:tc>
          <w:tcPr>
            <w:tcW w:w="0" w:type="auto"/>
            <w:hideMark/>
          </w:tcPr>
          <w:p w14:paraId="66765D21" w14:textId="77777777" w:rsidR="00143ED6" w:rsidRPr="00792B36" w:rsidRDefault="00143ED6" w:rsidP="0096560E">
            <w:pPr>
              <w:rPr>
                <w:rFonts w:eastAsia="Times New Roman"/>
                <w:color w:val="1F1F1F"/>
                <w:sz w:val="20"/>
                <w:szCs w:val="20"/>
              </w:rPr>
            </w:pPr>
            <w:r w:rsidRPr="00792B36">
              <w:rPr>
                <w:rFonts w:eastAsia="Times New Roman"/>
                <w:color w:val="1F1F1F"/>
                <w:sz w:val="20"/>
                <w:szCs w:val="20"/>
                <w:bdr w:val="none" w:sz="0" w:space="0" w:color="auto" w:frame="1"/>
              </w:rPr>
              <w:t>Yield-Per-Recruit</w:t>
            </w:r>
          </w:p>
        </w:tc>
      </w:tr>
    </w:tbl>
    <w:p w14:paraId="4FF55CD0" w14:textId="77777777" w:rsidR="00143ED6" w:rsidRPr="00792B36" w:rsidRDefault="00143ED6" w:rsidP="00143ED6">
      <w:pPr>
        <w:rPr>
          <w:sz w:val="20"/>
          <w:szCs w:val="20"/>
        </w:rPr>
      </w:pPr>
    </w:p>
    <w:p w14:paraId="24297725" w14:textId="77777777" w:rsidR="009863E5" w:rsidRPr="00792B36" w:rsidRDefault="009863E5">
      <w:pPr>
        <w:pBdr>
          <w:top w:val="nil"/>
          <w:left w:val="nil"/>
          <w:bottom w:val="nil"/>
          <w:right w:val="nil"/>
          <w:between w:val="nil"/>
        </w:pBdr>
        <w:rPr>
          <w:color w:val="000000"/>
          <w:sz w:val="24"/>
          <w:szCs w:val="24"/>
        </w:rPr>
      </w:pPr>
    </w:p>
    <w:p w14:paraId="4C9D814B" w14:textId="77777777" w:rsidR="00143ED6" w:rsidRPr="00792B36" w:rsidRDefault="00143ED6">
      <w:pPr>
        <w:pBdr>
          <w:top w:val="nil"/>
          <w:left w:val="nil"/>
          <w:bottom w:val="nil"/>
          <w:right w:val="nil"/>
          <w:between w:val="nil"/>
        </w:pBdr>
        <w:rPr>
          <w:color w:val="000000"/>
          <w:sz w:val="24"/>
          <w:szCs w:val="24"/>
        </w:rPr>
      </w:pPr>
    </w:p>
    <w:p w14:paraId="347B092A" w14:textId="77777777" w:rsidR="00143ED6" w:rsidRPr="00792B36" w:rsidRDefault="00143ED6">
      <w:pPr>
        <w:pBdr>
          <w:top w:val="nil"/>
          <w:left w:val="nil"/>
          <w:bottom w:val="nil"/>
          <w:right w:val="nil"/>
          <w:between w:val="nil"/>
        </w:pBdr>
        <w:rPr>
          <w:color w:val="000000"/>
          <w:sz w:val="24"/>
          <w:szCs w:val="24"/>
        </w:rPr>
      </w:pPr>
    </w:p>
    <w:p w14:paraId="0B040446" w14:textId="77777777" w:rsidR="00143ED6" w:rsidRPr="00792B36" w:rsidRDefault="00143ED6">
      <w:pPr>
        <w:pBdr>
          <w:top w:val="nil"/>
          <w:left w:val="nil"/>
          <w:bottom w:val="nil"/>
          <w:right w:val="nil"/>
          <w:between w:val="nil"/>
        </w:pBdr>
        <w:rPr>
          <w:color w:val="000000"/>
          <w:sz w:val="24"/>
          <w:szCs w:val="24"/>
        </w:rPr>
      </w:pPr>
    </w:p>
    <w:p w14:paraId="7C97ECCB" w14:textId="77777777" w:rsidR="00143ED6" w:rsidRPr="00792B36" w:rsidRDefault="00143ED6">
      <w:pPr>
        <w:pBdr>
          <w:top w:val="nil"/>
          <w:left w:val="nil"/>
          <w:bottom w:val="nil"/>
          <w:right w:val="nil"/>
          <w:between w:val="nil"/>
        </w:pBdr>
        <w:rPr>
          <w:color w:val="000000"/>
          <w:sz w:val="24"/>
          <w:szCs w:val="24"/>
        </w:rPr>
      </w:pPr>
    </w:p>
    <w:p w14:paraId="7E62CFBE" w14:textId="77777777" w:rsidR="00143ED6" w:rsidRPr="00792B36" w:rsidRDefault="00143ED6">
      <w:pPr>
        <w:pBdr>
          <w:top w:val="nil"/>
          <w:left w:val="nil"/>
          <w:bottom w:val="nil"/>
          <w:right w:val="nil"/>
          <w:between w:val="nil"/>
        </w:pBdr>
        <w:rPr>
          <w:color w:val="000000"/>
          <w:sz w:val="24"/>
          <w:szCs w:val="24"/>
        </w:rPr>
      </w:pPr>
    </w:p>
    <w:p w14:paraId="3F9289AE" w14:textId="77777777" w:rsidR="00143ED6" w:rsidRPr="00792B36" w:rsidRDefault="00143ED6">
      <w:pPr>
        <w:pBdr>
          <w:top w:val="nil"/>
          <w:left w:val="nil"/>
          <w:bottom w:val="nil"/>
          <w:right w:val="nil"/>
          <w:between w:val="nil"/>
        </w:pBdr>
        <w:rPr>
          <w:color w:val="000000"/>
          <w:sz w:val="24"/>
          <w:szCs w:val="24"/>
        </w:rPr>
      </w:pPr>
    </w:p>
    <w:p w14:paraId="10B00198" w14:textId="77777777" w:rsidR="00143ED6" w:rsidRPr="00792B36" w:rsidRDefault="00143ED6">
      <w:pPr>
        <w:pBdr>
          <w:top w:val="nil"/>
          <w:left w:val="nil"/>
          <w:bottom w:val="nil"/>
          <w:right w:val="nil"/>
          <w:between w:val="nil"/>
        </w:pBdr>
        <w:rPr>
          <w:color w:val="000000"/>
          <w:sz w:val="24"/>
          <w:szCs w:val="24"/>
        </w:rPr>
      </w:pPr>
    </w:p>
    <w:p w14:paraId="071FC1CD" w14:textId="77777777" w:rsidR="00143ED6" w:rsidRPr="00792B36" w:rsidRDefault="00143ED6">
      <w:pPr>
        <w:pBdr>
          <w:top w:val="nil"/>
          <w:left w:val="nil"/>
          <w:bottom w:val="nil"/>
          <w:right w:val="nil"/>
          <w:between w:val="nil"/>
        </w:pBdr>
        <w:rPr>
          <w:color w:val="000000"/>
          <w:sz w:val="24"/>
          <w:szCs w:val="24"/>
        </w:rPr>
      </w:pPr>
    </w:p>
    <w:p w14:paraId="066792CF" w14:textId="77777777" w:rsidR="000C7AD0" w:rsidRPr="00792B36" w:rsidRDefault="000C7AD0">
      <w:pPr>
        <w:pBdr>
          <w:top w:val="nil"/>
          <w:left w:val="nil"/>
          <w:bottom w:val="nil"/>
          <w:right w:val="nil"/>
          <w:between w:val="nil"/>
        </w:pBdr>
        <w:rPr>
          <w:color w:val="000000"/>
          <w:sz w:val="24"/>
          <w:szCs w:val="24"/>
        </w:rPr>
      </w:pPr>
    </w:p>
    <w:p w14:paraId="643D6F77" w14:textId="77777777" w:rsidR="000C7AD0" w:rsidRPr="00792B36" w:rsidRDefault="000C7AD0">
      <w:pPr>
        <w:pBdr>
          <w:top w:val="nil"/>
          <w:left w:val="nil"/>
          <w:bottom w:val="nil"/>
          <w:right w:val="nil"/>
          <w:between w:val="nil"/>
        </w:pBdr>
        <w:rPr>
          <w:color w:val="000000"/>
          <w:sz w:val="24"/>
          <w:szCs w:val="24"/>
        </w:rPr>
      </w:pPr>
    </w:p>
    <w:p w14:paraId="41FEEDD7" w14:textId="77777777" w:rsidR="00143ED6" w:rsidRPr="00792B36" w:rsidRDefault="00143ED6">
      <w:pPr>
        <w:pBdr>
          <w:top w:val="nil"/>
          <w:left w:val="nil"/>
          <w:bottom w:val="nil"/>
          <w:right w:val="nil"/>
          <w:between w:val="nil"/>
        </w:pBdr>
        <w:rPr>
          <w:color w:val="000000"/>
          <w:sz w:val="24"/>
          <w:szCs w:val="24"/>
        </w:rPr>
      </w:pPr>
    </w:p>
    <w:p w14:paraId="4E86FB2A" w14:textId="721E30FE" w:rsidR="00B1503D" w:rsidRPr="00792B36" w:rsidRDefault="008672B9" w:rsidP="00B1503D">
      <w:pPr>
        <w:pBdr>
          <w:top w:val="nil"/>
          <w:left w:val="nil"/>
          <w:bottom w:val="nil"/>
          <w:right w:val="nil"/>
          <w:between w:val="nil"/>
        </w:pBdr>
        <w:jc w:val="thaiDistribute"/>
        <w:rPr>
          <w:rFonts w:eastAsia="Google Sans Text"/>
          <w:b/>
          <w:bCs/>
          <w:color w:val="1F1F1F"/>
          <w:sz w:val="28"/>
          <w:szCs w:val="28"/>
        </w:rPr>
      </w:pPr>
      <w:r w:rsidRPr="00792B36">
        <w:rPr>
          <w:rFonts w:eastAsia="Google Sans Text"/>
          <w:b/>
          <w:bCs/>
          <w:color w:val="1F1F1F"/>
          <w:sz w:val="28"/>
          <w:szCs w:val="28"/>
        </w:rPr>
        <w:lastRenderedPageBreak/>
        <w:t xml:space="preserve">Table of </w:t>
      </w:r>
      <w:r w:rsidR="00B1503D" w:rsidRPr="00792B36">
        <w:rPr>
          <w:rFonts w:eastAsia="Google Sans Text"/>
          <w:b/>
          <w:bCs/>
          <w:color w:val="1F1F1F"/>
          <w:sz w:val="28"/>
          <w:szCs w:val="28"/>
        </w:rPr>
        <w:t>Contents</w:t>
      </w:r>
    </w:p>
    <w:p w14:paraId="33E0FA91" w14:textId="77777777" w:rsidR="002F0C4A" w:rsidRPr="00792B36" w:rsidRDefault="002F0C4A" w:rsidP="00B1503D">
      <w:pPr>
        <w:pBdr>
          <w:top w:val="nil"/>
          <w:left w:val="nil"/>
          <w:bottom w:val="nil"/>
          <w:right w:val="nil"/>
          <w:between w:val="nil"/>
        </w:pBdr>
        <w:jc w:val="thaiDistribute"/>
        <w:rPr>
          <w:rFonts w:eastAsia="Google Sans Text"/>
          <w:b/>
          <w:bCs/>
          <w:color w:val="1F1F1F"/>
          <w:sz w:val="28"/>
          <w:szCs w:val="28"/>
        </w:rPr>
      </w:pPr>
    </w:p>
    <w:p w14:paraId="73268464" w14:textId="77777777" w:rsidR="002F0C4A" w:rsidRPr="00792B36" w:rsidRDefault="002F0C4A" w:rsidP="00B1503D">
      <w:pPr>
        <w:pBdr>
          <w:top w:val="nil"/>
          <w:left w:val="nil"/>
          <w:bottom w:val="nil"/>
          <w:right w:val="nil"/>
          <w:between w:val="nil"/>
        </w:pBdr>
        <w:jc w:val="thaiDistribute"/>
        <w:rPr>
          <w:rFonts w:eastAsia="Google Sans Text"/>
          <w:b/>
          <w:bCs/>
          <w:color w:val="1F1F1F"/>
          <w:sz w:val="28"/>
          <w:szCs w:val="28"/>
        </w:rPr>
      </w:pPr>
    </w:p>
    <w:tbl>
      <w:tblPr>
        <w:tblStyle w:val="TableGridLight"/>
        <w:tblW w:w="5000" w:type="pct"/>
        <w:tblLook w:val="0000" w:firstRow="0" w:lastRow="0" w:firstColumn="0" w:lastColumn="0" w:noHBand="0" w:noVBand="0"/>
      </w:tblPr>
      <w:tblGrid>
        <w:gridCol w:w="1157"/>
        <w:gridCol w:w="2755"/>
        <w:gridCol w:w="3775"/>
        <w:gridCol w:w="1323"/>
      </w:tblGrid>
      <w:tr w:rsidR="002F0C4A" w:rsidRPr="00792B36" w14:paraId="33E534D9" w14:textId="77777777" w:rsidTr="002F0C4A">
        <w:trPr>
          <w:trHeight w:val="397"/>
        </w:trPr>
        <w:tc>
          <w:tcPr>
            <w:tcW w:w="642" w:type="pct"/>
          </w:tcPr>
          <w:p w14:paraId="2E6F8029" w14:textId="1C5731C8" w:rsidR="000C7AD0" w:rsidRPr="00792B36" w:rsidRDefault="000C7AD0" w:rsidP="0053799B">
            <w:pPr>
              <w:widowControl/>
              <w:autoSpaceDE w:val="0"/>
              <w:autoSpaceDN w:val="0"/>
              <w:adjustRightInd w:val="0"/>
              <w:jc w:val="center"/>
              <w:rPr>
                <w:b/>
                <w:bCs/>
                <w:color w:val="333333"/>
                <w:sz w:val="24"/>
                <w:szCs w:val="24"/>
                <w:lang w:val="en-US"/>
              </w:rPr>
            </w:pPr>
            <w:r w:rsidRPr="00792B36">
              <w:rPr>
                <w:b/>
                <w:bCs/>
                <w:color w:val="333333"/>
                <w:sz w:val="24"/>
                <w:szCs w:val="24"/>
                <w:lang w:val="en-US"/>
              </w:rPr>
              <w:t>Chapter</w:t>
            </w:r>
          </w:p>
        </w:tc>
        <w:tc>
          <w:tcPr>
            <w:tcW w:w="1529" w:type="pct"/>
          </w:tcPr>
          <w:p w14:paraId="069478AB" w14:textId="5DD17872" w:rsidR="000C7AD0" w:rsidRPr="00792B36" w:rsidRDefault="000C7AD0" w:rsidP="0053799B">
            <w:pPr>
              <w:widowControl/>
              <w:autoSpaceDE w:val="0"/>
              <w:autoSpaceDN w:val="0"/>
              <w:adjustRightInd w:val="0"/>
              <w:jc w:val="center"/>
              <w:rPr>
                <w:b/>
                <w:bCs/>
                <w:color w:val="333333"/>
                <w:sz w:val="24"/>
                <w:szCs w:val="24"/>
                <w:lang w:val="en-US"/>
              </w:rPr>
            </w:pPr>
            <w:r w:rsidRPr="00792B36">
              <w:rPr>
                <w:b/>
                <w:bCs/>
                <w:color w:val="333333"/>
                <w:sz w:val="24"/>
                <w:szCs w:val="24"/>
                <w:lang w:val="en-US"/>
              </w:rPr>
              <w:t>Title</w:t>
            </w:r>
          </w:p>
        </w:tc>
        <w:tc>
          <w:tcPr>
            <w:tcW w:w="2095" w:type="pct"/>
          </w:tcPr>
          <w:p w14:paraId="08E5EE73" w14:textId="779E8139" w:rsidR="000C7AD0" w:rsidRPr="00792B36" w:rsidRDefault="000C7AD0" w:rsidP="0053799B">
            <w:pPr>
              <w:widowControl/>
              <w:autoSpaceDE w:val="0"/>
              <w:autoSpaceDN w:val="0"/>
              <w:adjustRightInd w:val="0"/>
              <w:jc w:val="center"/>
              <w:rPr>
                <w:b/>
                <w:bCs/>
                <w:color w:val="333333"/>
                <w:sz w:val="24"/>
                <w:szCs w:val="24"/>
                <w:lang w:val="en-US"/>
              </w:rPr>
            </w:pPr>
            <w:r w:rsidRPr="00792B36">
              <w:rPr>
                <w:b/>
                <w:bCs/>
                <w:color w:val="333333"/>
                <w:sz w:val="24"/>
                <w:szCs w:val="24"/>
                <w:lang w:val="en-US"/>
              </w:rPr>
              <w:t>Author</w:t>
            </w:r>
            <w:r w:rsidR="0053799B" w:rsidRPr="00792B36">
              <w:rPr>
                <w:b/>
                <w:bCs/>
                <w:color w:val="333333"/>
                <w:sz w:val="24"/>
                <w:szCs w:val="24"/>
                <w:lang w:val="en-US"/>
              </w:rPr>
              <w:t xml:space="preserve"> (s)</w:t>
            </w:r>
          </w:p>
        </w:tc>
        <w:tc>
          <w:tcPr>
            <w:tcW w:w="734" w:type="pct"/>
          </w:tcPr>
          <w:p w14:paraId="77F95956" w14:textId="51E2EA1B" w:rsidR="000C7AD0" w:rsidRPr="00792B36" w:rsidRDefault="000C7AD0" w:rsidP="002F0C4A">
            <w:pPr>
              <w:widowControl/>
              <w:autoSpaceDE w:val="0"/>
              <w:autoSpaceDN w:val="0"/>
              <w:adjustRightInd w:val="0"/>
              <w:jc w:val="center"/>
              <w:rPr>
                <w:b/>
                <w:bCs/>
                <w:color w:val="333333"/>
                <w:sz w:val="24"/>
                <w:szCs w:val="24"/>
                <w:lang w:val="en-US"/>
              </w:rPr>
            </w:pPr>
            <w:r w:rsidRPr="00792B36">
              <w:rPr>
                <w:b/>
                <w:bCs/>
                <w:color w:val="333333"/>
                <w:sz w:val="24"/>
                <w:szCs w:val="24"/>
                <w:lang w:val="en-US"/>
              </w:rPr>
              <w:t>Page</w:t>
            </w:r>
          </w:p>
        </w:tc>
      </w:tr>
      <w:tr w:rsidR="002F0C4A" w:rsidRPr="00792B36" w14:paraId="63EB3374" w14:textId="77777777" w:rsidTr="002F0C4A">
        <w:trPr>
          <w:trHeight w:val="397"/>
        </w:trPr>
        <w:tc>
          <w:tcPr>
            <w:tcW w:w="642" w:type="pct"/>
          </w:tcPr>
          <w:p w14:paraId="0BE975CB" w14:textId="77777777" w:rsidR="000C7AD0" w:rsidRPr="00792B36" w:rsidRDefault="000C7AD0" w:rsidP="00337ED1">
            <w:pPr>
              <w:widowControl/>
              <w:autoSpaceDE w:val="0"/>
              <w:autoSpaceDN w:val="0"/>
              <w:adjustRightInd w:val="0"/>
              <w:rPr>
                <w:b/>
                <w:bCs/>
                <w:color w:val="333333"/>
                <w:sz w:val="24"/>
                <w:szCs w:val="24"/>
                <w:lang w:val="en-US"/>
              </w:rPr>
            </w:pPr>
          </w:p>
        </w:tc>
        <w:tc>
          <w:tcPr>
            <w:tcW w:w="1529" w:type="pct"/>
          </w:tcPr>
          <w:p w14:paraId="49128339" w14:textId="44738953" w:rsidR="000C7AD0" w:rsidRPr="00792B36" w:rsidRDefault="000C7AD0" w:rsidP="00337ED1">
            <w:pPr>
              <w:widowControl/>
              <w:autoSpaceDE w:val="0"/>
              <w:autoSpaceDN w:val="0"/>
              <w:adjustRightInd w:val="0"/>
              <w:rPr>
                <w:color w:val="333333"/>
                <w:sz w:val="24"/>
                <w:szCs w:val="24"/>
                <w:lang w:val="en-US"/>
              </w:rPr>
            </w:pPr>
            <w:r w:rsidRPr="00792B36">
              <w:rPr>
                <w:color w:val="333333"/>
                <w:sz w:val="24"/>
                <w:szCs w:val="24"/>
                <w:lang w:val="en-US"/>
              </w:rPr>
              <w:t xml:space="preserve">List of Authors </w:t>
            </w:r>
          </w:p>
        </w:tc>
        <w:tc>
          <w:tcPr>
            <w:tcW w:w="2095" w:type="pct"/>
          </w:tcPr>
          <w:p w14:paraId="2BC36A4C" w14:textId="77777777" w:rsidR="000C7AD0" w:rsidRPr="00792B36" w:rsidRDefault="000C7AD0" w:rsidP="00337ED1">
            <w:pPr>
              <w:widowControl/>
              <w:autoSpaceDE w:val="0"/>
              <w:autoSpaceDN w:val="0"/>
              <w:adjustRightInd w:val="0"/>
              <w:jc w:val="right"/>
              <w:rPr>
                <w:color w:val="333333"/>
                <w:sz w:val="24"/>
                <w:szCs w:val="24"/>
                <w:lang w:val="en-US"/>
              </w:rPr>
            </w:pPr>
          </w:p>
        </w:tc>
        <w:tc>
          <w:tcPr>
            <w:tcW w:w="734" w:type="pct"/>
          </w:tcPr>
          <w:p w14:paraId="6640EDAF" w14:textId="4F9F4268" w:rsidR="000C7AD0" w:rsidRPr="00792B36" w:rsidRDefault="000C7AD0" w:rsidP="002F0C4A">
            <w:pPr>
              <w:widowControl/>
              <w:autoSpaceDE w:val="0"/>
              <w:autoSpaceDN w:val="0"/>
              <w:adjustRightInd w:val="0"/>
              <w:jc w:val="right"/>
              <w:rPr>
                <w:color w:val="333333"/>
                <w:sz w:val="24"/>
                <w:szCs w:val="24"/>
                <w:lang w:val="en-US"/>
              </w:rPr>
            </w:pPr>
            <w:r w:rsidRPr="00792B36">
              <w:rPr>
                <w:color w:val="333333"/>
                <w:sz w:val="24"/>
                <w:szCs w:val="24"/>
                <w:lang w:val="en-US"/>
              </w:rPr>
              <w:t>ii</w:t>
            </w:r>
          </w:p>
        </w:tc>
      </w:tr>
      <w:tr w:rsidR="002F0C4A" w:rsidRPr="00792B36" w14:paraId="29FC3246" w14:textId="77777777" w:rsidTr="002F0C4A">
        <w:trPr>
          <w:trHeight w:val="397"/>
        </w:trPr>
        <w:tc>
          <w:tcPr>
            <w:tcW w:w="642" w:type="pct"/>
          </w:tcPr>
          <w:p w14:paraId="744C7F05" w14:textId="77777777" w:rsidR="000C7AD0" w:rsidRPr="00792B36" w:rsidRDefault="000C7AD0" w:rsidP="00337ED1">
            <w:pPr>
              <w:widowControl/>
              <w:autoSpaceDE w:val="0"/>
              <w:autoSpaceDN w:val="0"/>
              <w:adjustRightInd w:val="0"/>
              <w:rPr>
                <w:color w:val="333333"/>
                <w:sz w:val="24"/>
                <w:szCs w:val="24"/>
                <w:lang w:val="en-US"/>
              </w:rPr>
            </w:pPr>
          </w:p>
        </w:tc>
        <w:tc>
          <w:tcPr>
            <w:tcW w:w="1529" w:type="pct"/>
          </w:tcPr>
          <w:p w14:paraId="35B1DCF3" w14:textId="0845F0AD" w:rsidR="000C7AD0" w:rsidRPr="00792B36" w:rsidRDefault="000C7AD0" w:rsidP="000C7AD0">
            <w:pPr>
              <w:rPr>
                <w:sz w:val="24"/>
                <w:szCs w:val="24"/>
              </w:rPr>
            </w:pPr>
            <w:r w:rsidRPr="00792B36">
              <w:rPr>
                <w:sz w:val="24"/>
                <w:szCs w:val="24"/>
              </w:rPr>
              <w:t>Contributing Institutions</w:t>
            </w:r>
          </w:p>
        </w:tc>
        <w:tc>
          <w:tcPr>
            <w:tcW w:w="2095" w:type="pct"/>
          </w:tcPr>
          <w:p w14:paraId="037632F8" w14:textId="77777777" w:rsidR="000C7AD0" w:rsidRPr="00792B36" w:rsidRDefault="000C7AD0" w:rsidP="00337ED1">
            <w:pPr>
              <w:widowControl/>
              <w:autoSpaceDE w:val="0"/>
              <w:autoSpaceDN w:val="0"/>
              <w:adjustRightInd w:val="0"/>
              <w:jc w:val="right"/>
              <w:rPr>
                <w:color w:val="333333"/>
                <w:sz w:val="24"/>
                <w:szCs w:val="24"/>
                <w:lang w:val="en-US"/>
              </w:rPr>
            </w:pPr>
          </w:p>
        </w:tc>
        <w:tc>
          <w:tcPr>
            <w:tcW w:w="734" w:type="pct"/>
          </w:tcPr>
          <w:p w14:paraId="688DFBA7" w14:textId="2A7A1F0A" w:rsidR="000C7AD0" w:rsidRPr="00792B36" w:rsidRDefault="000C7AD0" w:rsidP="002F0C4A">
            <w:pPr>
              <w:widowControl/>
              <w:autoSpaceDE w:val="0"/>
              <w:autoSpaceDN w:val="0"/>
              <w:adjustRightInd w:val="0"/>
              <w:jc w:val="right"/>
              <w:rPr>
                <w:color w:val="333333"/>
                <w:sz w:val="24"/>
                <w:szCs w:val="24"/>
                <w:lang w:val="en-US"/>
              </w:rPr>
            </w:pPr>
            <w:r w:rsidRPr="00792B36">
              <w:rPr>
                <w:color w:val="333333"/>
                <w:sz w:val="24"/>
                <w:szCs w:val="24"/>
                <w:lang w:val="en-US"/>
              </w:rPr>
              <w:t>iii</w:t>
            </w:r>
          </w:p>
        </w:tc>
      </w:tr>
      <w:tr w:rsidR="002F0C4A" w:rsidRPr="00792B36" w14:paraId="4DDB5CBB" w14:textId="77777777" w:rsidTr="002F0C4A">
        <w:trPr>
          <w:trHeight w:val="397"/>
        </w:trPr>
        <w:tc>
          <w:tcPr>
            <w:tcW w:w="642" w:type="pct"/>
          </w:tcPr>
          <w:p w14:paraId="61077C61" w14:textId="77777777" w:rsidR="000C7AD0" w:rsidRPr="00792B36" w:rsidRDefault="000C7AD0" w:rsidP="00337ED1">
            <w:pPr>
              <w:widowControl/>
              <w:autoSpaceDE w:val="0"/>
              <w:autoSpaceDN w:val="0"/>
              <w:adjustRightInd w:val="0"/>
              <w:rPr>
                <w:b/>
                <w:bCs/>
                <w:color w:val="333333"/>
                <w:sz w:val="24"/>
                <w:szCs w:val="24"/>
                <w:lang w:val="en-US"/>
              </w:rPr>
            </w:pPr>
          </w:p>
        </w:tc>
        <w:tc>
          <w:tcPr>
            <w:tcW w:w="1529" w:type="pct"/>
          </w:tcPr>
          <w:p w14:paraId="5121E406" w14:textId="1658A03A" w:rsidR="000C7AD0" w:rsidRPr="00792B36" w:rsidRDefault="000C7AD0" w:rsidP="00337ED1">
            <w:pPr>
              <w:widowControl/>
              <w:autoSpaceDE w:val="0"/>
              <w:autoSpaceDN w:val="0"/>
              <w:adjustRightInd w:val="0"/>
              <w:rPr>
                <w:color w:val="333333"/>
                <w:sz w:val="24"/>
                <w:szCs w:val="24"/>
                <w:lang w:val="en-US"/>
              </w:rPr>
            </w:pPr>
            <w:r w:rsidRPr="00792B36">
              <w:rPr>
                <w:color w:val="333333"/>
                <w:sz w:val="24"/>
                <w:szCs w:val="24"/>
                <w:lang w:val="en-US"/>
              </w:rPr>
              <w:t>Preface</w:t>
            </w:r>
          </w:p>
        </w:tc>
        <w:tc>
          <w:tcPr>
            <w:tcW w:w="2095" w:type="pct"/>
          </w:tcPr>
          <w:p w14:paraId="405796BB" w14:textId="77777777" w:rsidR="000C7AD0" w:rsidRPr="00792B36" w:rsidRDefault="000C7AD0" w:rsidP="00337ED1">
            <w:pPr>
              <w:widowControl/>
              <w:autoSpaceDE w:val="0"/>
              <w:autoSpaceDN w:val="0"/>
              <w:adjustRightInd w:val="0"/>
              <w:jc w:val="right"/>
              <w:rPr>
                <w:color w:val="333333"/>
                <w:sz w:val="24"/>
                <w:szCs w:val="24"/>
                <w:lang w:val="en-US"/>
              </w:rPr>
            </w:pPr>
          </w:p>
        </w:tc>
        <w:tc>
          <w:tcPr>
            <w:tcW w:w="734" w:type="pct"/>
          </w:tcPr>
          <w:p w14:paraId="1C358FD3" w14:textId="02D1A946" w:rsidR="000C7AD0" w:rsidRPr="00792B36" w:rsidRDefault="000C7AD0" w:rsidP="002F0C4A">
            <w:pPr>
              <w:widowControl/>
              <w:autoSpaceDE w:val="0"/>
              <w:autoSpaceDN w:val="0"/>
              <w:adjustRightInd w:val="0"/>
              <w:jc w:val="right"/>
              <w:rPr>
                <w:color w:val="333333"/>
                <w:sz w:val="24"/>
                <w:szCs w:val="24"/>
                <w:lang w:val="en-US"/>
              </w:rPr>
            </w:pPr>
            <w:r w:rsidRPr="00792B36">
              <w:rPr>
                <w:color w:val="333333"/>
                <w:sz w:val="24"/>
                <w:szCs w:val="24"/>
                <w:lang w:val="en-US"/>
              </w:rPr>
              <w:t>iv</w:t>
            </w:r>
          </w:p>
        </w:tc>
      </w:tr>
      <w:tr w:rsidR="002F0C4A" w:rsidRPr="00792B36" w14:paraId="3E910D1E" w14:textId="77777777" w:rsidTr="002F0C4A">
        <w:trPr>
          <w:trHeight w:val="397"/>
        </w:trPr>
        <w:tc>
          <w:tcPr>
            <w:tcW w:w="642" w:type="pct"/>
          </w:tcPr>
          <w:p w14:paraId="3E0FE4B7" w14:textId="77777777" w:rsidR="000C7AD0" w:rsidRPr="00792B36" w:rsidRDefault="000C7AD0" w:rsidP="00337ED1">
            <w:pPr>
              <w:widowControl/>
              <w:autoSpaceDE w:val="0"/>
              <w:autoSpaceDN w:val="0"/>
              <w:adjustRightInd w:val="0"/>
              <w:rPr>
                <w:b/>
                <w:bCs/>
                <w:color w:val="333333"/>
                <w:sz w:val="24"/>
                <w:szCs w:val="24"/>
                <w:lang w:val="en-US"/>
              </w:rPr>
            </w:pPr>
          </w:p>
        </w:tc>
        <w:tc>
          <w:tcPr>
            <w:tcW w:w="1529" w:type="pct"/>
          </w:tcPr>
          <w:p w14:paraId="73814BEB" w14:textId="773B6EA0" w:rsidR="000C7AD0" w:rsidRPr="00792B36" w:rsidRDefault="000C7AD0" w:rsidP="00337ED1">
            <w:pPr>
              <w:widowControl/>
              <w:autoSpaceDE w:val="0"/>
              <w:autoSpaceDN w:val="0"/>
              <w:adjustRightInd w:val="0"/>
              <w:rPr>
                <w:color w:val="333333"/>
                <w:sz w:val="24"/>
                <w:szCs w:val="24"/>
                <w:lang w:val="en-US"/>
              </w:rPr>
            </w:pPr>
            <w:r w:rsidRPr="00792B36">
              <w:rPr>
                <w:color w:val="333333"/>
                <w:sz w:val="24"/>
                <w:szCs w:val="24"/>
                <w:lang w:val="en-US"/>
              </w:rPr>
              <w:t xml:space="preserve">Acronyms </w:t>
            </w:r>
          </w:p>
        </w:tc>
        <w:tc>
          <w:tcPr>
            <w:tcW w:w="2095" w:type="pct"/>
          </w:tcPr>
          <w:p w14:paraId="21642BD5" w14:textId="77777777" w:rsidR="000C7AD0" w:rsidRPr="00792B36" w:rsidRDefault="000C7AD0" w:rsidP="00337ED1">
            <w:pPr>
              <w:widowControl/>
              <w:autoSpaceDE w:val="0"/>
              <w:autoSpaceDN w:val="0"/>
              <w:adjustRightInd w:val="0"/>
              <w:jc w:val="right"/>
              <w:rPr>
                <w:color w:val="333333"/>
                <w:sz w:val="24"/>
                <w:szCs w:val="24"/>
                <w:lang w:val="en-US"/>
              </w:rPr>
            </w:pPr>
          </w:p>
        </w:tc>
        <w:tc>
          <w:tcPr>
            <w:tcW w:w="734" w:type="pct"/>
          </w:tcPr>
          <w:p w14:paraId="424A7C58" w14:textId="7B3E5588" w:rsidR="000C7AD0" w:rsidRPr="00792B36" w:rsidRDefault="000C7AD0" w:rsidP="002F0C4A">
            <w:pPr>
              <w:widowControl/>
              <w:autoSpaceDE w:val="0"/>
              <w:autoSpaceDN w:val="0"/>
              <w:adjustRightInd w:val="0"/>
              <w:jc w:val="right"/>
              <w:rPr>
                <w:color w:val="333333"/>
                <w:sz w:val="24"/>
                <w:szCs w:val="24"/>
                <w:lang w:val="en-US"/>
              </w:rPr>
            </w:pPr>
            <w:r w:rsidRPr="00792B36">
              <w:rPr>
                <w:color w:val="333333"/>
                <w:sz w:val="24"/>
                <w:szCs w:val="24"/>
                <w:lang w:val="en-US"/>
              </w:rPr>
              <w:t>v</w:t>
            </w:r>
          </w:p>
        </w:tc>
      </w:tr>
      <w:tr w:rsidR="002F0C4A" w:rsidRPr="00792B36" w14:paraId="17150920" w14:textId="77777777" w:rsidTr="002F0C4A">
        <w:trPr>
          <w:trHeight w:val="397"/>
        </w:trPr>
        <w:tc>
          <w:tcPr>
            <w:tcW w:w="642" w:type="pct"/>
          </w:tcPr>
          <w:p w14:paraId="02D025C7" w14:textId="77777777" w:rsidR="000C7AD0" w:rsidRPr="00792B36" w:rsidRDefault="000C7AD0" w:rsidP="00337ED1">
            <w:pPr>
              <w:widowControl/>
              <w:autoSpaceDE w:val="0"/>
              <w:autoSpaceDN w:val="0"/>
              <w:adjustRightInd w:val="0"/>
              <w:rPr>
                <w:b/>
                <w:bCs/>
                <w:color w:val="333333"/>
                <w:sz w:val="24"/>
                <w:szCs w:val="24"/>
                <w:lang w:val="en-US"/>
              </w:rPr>
            </w:pPr>
          </w:p>
        </w:tc>
        <w:tc>
          <w:tcPr>
            <w:tcW w:w="1529" w:type="pct"/>
          </w:tcPr>
          <w:p w14:paraId="5DB106DF" w14:textId="02C60C3D" w:rsidR="000C7AD0" w:rsidRPr="00792B36" w:rsidRDefault="000C7AD0" w:rsidP="00337ED1">
            <w:pPr>
              <w:widowControl/>
              <w:autoSpaceDE w:val="0"/>
              <w:autoSpaceDN w:val="0"/>
              <w:adjustRightInd w:val="0"/>
              <w:rPr>
                <w:color w:val="333333"/>
                <w:sz w:val="24"/>
                <w:szCs w:val="24"/>
                <w:lang w:val="en-US"/>
              </w:rPr>
            </w:pPr>
            <w:r w:rsidRPr="00792B36">
              <w:rPr>
                <w:color w:val="333333"/>
                <w:sz w:val="24"/>
                <w:szCs w:val="24"/>
                <w:lang w:val="en-US"/>
              </w:rPr>
              <w:t>Executive Summary</w:t>
            </w:r>
          </w:p>
        </w:tc>
        <w:tc>
          <w:tcPr>
            <w:tcW w:w="2095" w:type="pct"/>
          </w:tcPr>
          <w:p w14:paraId="5D832677" w14:textId="77777777" w:rsidR="000C7AD0" w:rsidRPr="00792B36" w:rsidRDefault="000C7AD0" w:rsidP="00337ED1">
            <w:pPr>
              <w:widowControl/>
              <w:autoSpaceDE w:val="0"/>
              <w:autoSpaceDN w:val="0"/>
              <w:adjustRightInd w:val="0"/>
              <w:jc w:val="right"/>
              <w:rPr>
                <w:color w:val="333333"/>
                <w:sz w:val="24"/>
                <w:szCs w:val="24"/>
                <w:lang w:val="en-US"/>
              </w:rPr>
            </w:pPr>
          </w:p>
        </w:tc>
        <w:tc>
          <w:tcPr>
            <w:tcW w:w="734" w:type="pct"/>
          </w:tcPr>
          <w:p w14:paraId="6B618415" w14:textId="042A9628" w:rsidR="000C7AD0" w:rsidRPr="00792B36" w:rsidRDefault="003E3972" w:rsidP="002F0C4A">
            <w:pPr>
              <w:widowControl/>
              <w:autoSpaceDE w:val="0"/>
              <w:autoSpaceDN w:val="0"/>
              <w:adjustRightInd w:val="0"/>
              <w:jc w:val="right"/>
              <w:rPr>
                <w:color w:val="333333"/>
                <w:sz w:val="24"/>
                <w:szCs w:val="24"/>
                <w:lang w:val="en-US"/>
              </w:rPr>
            </w:pPr>
            <w:r w:rsidRPr="00792B36">
              <w:rPr>
                <w:color w:val="333333"/>
                <w:sz w:val="24"/>
                <w:szCs w:val="24"/>
                <w:lang w:val="en-US"/>
              </w:rPr>
              <w:t>ix</w:t>
            </w:r>
          </w:p>
        </w:tc>
      </w:tr>
      <w:tr w:rsidR="002F0C4A" w:rsidRPr="00792B36" w14:paraId="02753B9B" w14:textId="77777777" w:rsidTr="002F0C4A">
        <w:trPr>
          <w:trHeight w:val="397"/>
        </w:trPr>
        <w:tc>
          <w:tcPr>
            <w:tcW w:w="642" w:type="pct"/>
          </w:tcPr>
          <w:p w14:paraId="2C45FE4B" w14:textId="6A504919" w:rsidR="000C7AD0" w:rsidRPr="00792B36" w:rsidRDefault="0053799B" w:rsidP="0053799B">
            <w:pPr>
              <w:widowControl/>
              <w:autoSpaceDE w:val="0"/>
              <w:autoSpaceDN w:val="0"/>
              <w:adjustRightInd w:val="0"/>
              <w:jc w:val="center"/>
              <w:rPr>
                <w:color w:val="333333"/>
                <w:sz w:val="24"/>
                <w:szCs w:val="24"/>
                <w:lang w:val="en-US"/>
              </w:rPr>
            </w:pPr>
            <w:r w:rsidRPr="00792B36">
              <w:rPr>
                <w:color w:val="333333"/>
                <w:sz w:val="24"/>
                <w:szCs w:val="24"/>
                <w:lang w:val="en-US"/>
              </w:rPr>
              <w:t>I.</w:t>
            </w:r>
          </w:p>
        </w:tc>
        <w:tc>
          <w:tcPr>
            <w:tcW w:w="1529" w:type="pct"/>
          </w:tcPr>
          <w:p w14:paraId="4CF77D4E" w14:textId="5A76ABAC" w:rsidR="000C7AD0" w:rsidRPr="00792B36" w:rsidRDefault="000C7AD0" w:rsidP="00337ED1">
            <w:pPr>
              <w:widowControl/>
              <w:autoSpaceDE w:val="0"/>
              <w:autoSpaceDN w:val="0"/>
              <w:adjustRightInd w:val="0"/>
              <w:rPr>
                <w:color w:val="333333"/>
                <w:sz w:val="24"/>
                <w:szCs w:val="24"/>
                <w:lang w:val="en-US"/>
              </w:rPr>
            </w:pPr>
            <w:r w:rsidRPr="00792B36">
              <w:rPr>
                <w:color w:val="333333"/>
                <w:sz w:val="24"/>
                <w:szCs w:val="24"/>
                <w:lang w:val="en-US"/>
              </w:rPr>
              <w:t>Introduction</w:t>
            </w:r>
          </w:p>
        </w:tc>
        <w:tc>
          <w:tcPr>
            <w:tcW w:w="2095" w:type="pct"/>
          </w:tcPr>
          <w:p w14:paraId="6F8A5D6E" w14:textId="4AF68EB5" w:rsidR="000C7AD0" w:rsidRPr="00792B36" w:rsidRDefault="002F0C4A" w:rsidP="002F0C4A">
            <w:pPr>
              <w:widowControl/>
              <w:autoSpaceDE w:val="0"/>
              <w:autoSpaceDN w:val="0"/>
              <w:adjustRightInd w:val="0"/>
              <w:jc w:val="right"/>
              <w:rPr>
                <w:color w:val="333333"/>
                <w:sz w:val="24"/>
                <w:szCs w:val="24"/>
                <w:lang w:val="en-US"/>
              </w:rPr>
            </w:pPr>
            <w:r w:rsidRPr="00792B36">
              <w:rPr>
                <w:color w:val="333333"/>
                <w:sz w:val="24"/>
                <w:szCs w:val="24"/>
                <w:lang w:val="en-US"/>
              </w:rPr>
              <w:t>Suwimol Sereepaowong</w:t>
            </w:r>
          </w:p>
        </w:tc>
        <w:tc>
          <w:tcPr>
            <w:tcW w:w="734" w:type="pct"/>
          </w:tcPr>
          <w:p w14:paraId="4D8F030F" w14:textId="595538C7" w:rsidR="000C7AD0" w:rsidRPr="00792B36" w:rsidRDefault="000C7AD0" w:rsidP="002F0C4A">
            <w:pPr>
              <w:widowControl/>
              <w:autoSpaceDE w:val="0"/>
              <w:autoSpaceDN w:val="0"/>
              <w:adjustRightInd w:val="0"/>
              <w:jc w:val="right"/>
              <w:rPr>
                <w:color w:val="333333"/>
                <w:sz w:val="24"/>
                <w:szCs w:val="24"/>
                <w:lang w:val="en-US"/>
              </w:rPr>
            </w:pPr>
            <w:r w:rsidRPr="00792B36">
              <w:rPr>
                <w:color w:val="333333"/>
                <w:sz w:val="24"/>
                <w:szCs w:val="24"/>
                <w:lang w:val="en-US"/>
              </w:rPr>
              <w:t>1</w:t>
            </w:r>
            <w:r w:rsidR="004F4D2C" w:rsidRPr="00792B36">
              <w:rPr>
                <w:color w:val="333333"/>
                <w:sz w:val="24"/>
                <w:szCs w:val="24"/>
                <w:lang w:val="en-US"/>
              </w:rPr>
              <w:t>3</w:t>
            </w:r>
          </w:p>
        </w:tc>
      </w:tr>
      <w:tr w:rsidR="002F0C4A" w:rsidRPr="00792B36" w14:paraId="05949C5C" w14:textId="77777777" w:rsidTr="002F0C4A">
        <w:trPr>
          <w:trHeight w:val="397"/>
        </w:trPr>
        <w:tc>
          <w:tcPr>
            <w:tcW w:w="642" w:type="pct"/>
          </w:tcPr>
          <w:p w14:paraId="7A09822B" w14:textId="663F7D1A" w:rsidR="000C7AD0" w:rsidRPr="00792B36" w:rsidRDefault="0053799B" w:rsidP="0053799B">
            <w:pPr>
              <w:widowControl/>
              <w:autoSpaceDE w:val="0"/>
              <w:autoSpaceDN w:val="0"/>
              <w:adjustRightInd w:val="0"/>
              <w:jc w:val="center"/>
              <w:rPr>
                <w:color w:val="333333"/>
                <w:sz w:val="24"/>
                <w:szCs w:val="24"/>
                <w:lang w:val="en-US"/>
              </w:rPr>
            </w:pPr>
            <w:r w:rsidRPr="00792B36">
              <w:rPr>
                <w:color w:val="333333"/>
                <w:sz w:val="24"/>
                <w:szCs w:val="24"/>
                <w:lang w:val="en-US"/>
              </w:rPr>
              <w:t>II.</w:t>
            </w:r>
          </w:p>
        </w:tc>
        <w:tc>
          <w:tcPr>
            <w:tcW w:w="1529" w:type="pct"/>
          </w:tcPr>
          <w:p w14:paraId="2AB578E5" w14:textId="5C09A7C5" w:rsidR="000C7AD0" w:rsidRPr="00792B36" w:rsidRDefault="000C7AD0" w:rsidP="00337ED1">
            <w:pPr>
              <w:widowControl/>
              <w:autoSpaceDE w:val="0"/>
              <w:autoSpaceDN w:val="0"/>
              <w:adjustRightInd w:val="0"/>
              <w:rPr>
                <w:color w:val="333333"/>
                <w:sz w:val="24"/>
                <w:szCs w:val="24"/>
                <w:lang w:val="en-US"/>
              </w:rPr>
            </w:pPr>
            <w:r w:rsidRPr="00792B36">
              <w:rPr>
                <w:color w:val="000000" w:themeColor="text1"/>
                <w:sz w:val="24"/>
                <w:szCs w:val="24"/>
                <w:lang w:val="en-US"/>
              </w:rPr>
              <w:t>Socioeconomics and Climate-Related Threats</w:t>
            </w:r>
          </w:p>
        </w:tc>
        <w:tc>
          <w:tcPr>
            <w:tcW w:w="2095" w:type="pct"/>
          </w:tcPr>
          <w:p w14:paraId="4A93E7E8" w14:textId="27B1D5C8" w:rsidR="002F0C4A" w:rsidRPr="00792B36" w:rsidRDefault="002F0C4A" w:rsidP="002F0C4A">
            <w:pPr>
              <w:jc w:val="right"/>
              <w:rPr>
                <w:rFonts w:eastAsia="Times New Roman"/>
                <w:color w:val="1F1F1F"/>
                <w:sz w:val="24"/>
                <w:szCs w:val="24"/>
                <w:bdr w:val="none" w:sz="0" w:space="0" w:color="auto" w:frame="1"/>
              </w:rPr>
            </w:pPr>
            <w:r w:rsidRPr="00792B36">
              <w:rPr>
                <w:rFonts w:eastAsia="Times New Roman"/>
                <w:color w:val="1F1F1F"/>
                <w:sz w:val="24"/>
                <w:szCs w:val="24"/>
                <w:bdr w:val="none" w:sz="0" w:space="0" w:color="auto" w:frame="1"/>
              </w:rPr>
              <w:t>Monissa Srisomwong, PhD</w:t>
            </w:r>
          </w:p>
          <w:p w14:paraId="60FE50B0" w14:textId="77777777" w:rsidR="000C7AD0" w:rsidRPr="00792B36" w:rsidRDefault="000C7AD0" w:rsidP="002F0C4A">
            <w:pPr>
              <w:widowControl/>
              <w:autoSpaceDE w:val="0"/>
              <w:autoSpaceDN w:val="0"/>
              <w:adjustRightInd w:val="0"/>
              <w:jc w:val="right"/>
              <w:rPr>
                <w:color w:val="333333"/>
                <w:sz w:val="24"/>
                <w:szCs w:val="24"/>
                <w:lang w:val="en-US"/>
              </w:rPr>
            </w:pPr>
          </w:p>
        </w:tc>
        <w:tc>
          <w:tcPr>
            <w:tcW w:w="734" w:type="pct"/>
          </w:tcPr>
          <w:p w14:paraId="0EEBC296" w14:textId="20921488" w:rsidR="000C7AD0" w:rsidRPr="00792B36" w:rsidRDefault="00563511" w:rsidP="002F0C4A">
            <w:pPr>
              <w:widowControl/>
              <w:autoSpaceDE w:val="0"/>
              <w:autoSpaceDN w:val="0"/>
              <w:adjustRightInd w:val="0"/>
              <w:jc w:val="right"/>
              <w:rPr>
                <w:color w:val="333333"/>
                <w:sz w:val="24"/>
                <w:szCs w:val="24"/>
                <w:lang w:val="en-US"/>
              </w:rPr>
            </w:pPr>
            <w:r w:rsidRPr="00792B36">
              <w:rPr>
                <w:color w:val="333333"/>
                <w:sz w:val="24"/>
                <w:szCs w:val="24"/>
                <w:lang w:val="en-US"/>
              </w:rPr>
              <w:t>24</w:t>
            </w:r>
          </w:p>
        </w:tc>
      </w:tr>
      <w:tr w:rsidR="002F0C4A" w:rsidRPr="00792B36" w14:paraId="04A6A536" w14:textId="77777777" w:rsidTr="002F0C4A">
        <w:trPr>
          <w:trHeight w:val="397"/>
        </w:trPr>
        <w:tc>
          <w:tcPr>
            <w:tcW w:w="642" w:type="pct"/>
          </w:tcPr>
          <w:p w14:paraId="2E453364" w14:textId="7D8C6174" w:rsidR="000C7AD0" w:rsidRPr="00792B36" w:rsidRDefault="002F0C4A" w:rsidP="0053799B">
            <w:pPr>
              <w:widowControl/>
              <w:autoSpaceDE w:val="0"/>
              <w:autoSpaceDN w:val="0"/>
              <w:adjustRightInd w:val="0"/>
              <w:jc w:val="center"/>
              <w:rPr>
                <w:color w:val="333333"/>
                <w:sz w:val="24"/>
                <w:szCs w:val="24"/>
                <w:lang w:val="en-US"/>
              </w:rPr>
            </w:pPr>
            <w:r w:rsidRPr="00792B36">
              <w:rPr>
                <w:color w:val="333333"/>
                <w:sz w:val="24"/>
                <w:szCs w:val="24"/>
                <w:lang w:val="en-US"/>
              </w:rPr>
              <w:t>III.</w:t>
            </w:r>
          </w:p>
        </w:tc>
        <w:tc>
          <w:tcPr>
            <w:tcW w:w="1529" w:type="pct"/>
          </w:tcPr>
          <w:p w14:paraId="1A6B4B92" w14:textId="3B852294" w:rsidR="000C7AD0" w:rsidRPr="00792B36" w:rsidRDefault="000C7AD0" w:rsidP="00337ED1">
            <w:pPr>
              <w:widowControl/>
              <w:autoSpaceDE w:val="0"/>
              <w:autoSpaceDN w:val="0"/>
              <w:adjustRightInd w:val="0"/>
              <w:rPr>
                <w:color w:val="000000"/>
                <w:sz w:val="24"/>
                <w:szCs w:val="24"/>
                <w:lang w:val="en-US"/>
              </w:rPr>
            </w:pPr>
            <w:r w:rsidRPr="00792B36">
              <w:rPr>
                <w:color w:val="000000"/>
                <w:sz w:val="24"/>
                <w:szCs w:val="24"/>
                <w:lang w:val="en-US"/>
              </w:rPr>
              <w:t>Pollution</w:t>
            </w:r>
          </w:p>
        </w:tc>
        <w:tc>
          <w:tcPr>
            <w:tcW w:w="2095" w:type="pct"/>
          </w:tcPr>
          <w:p w14:paraId="24130C3B" w14:textId="6C63313F" w:rsidR="002F0C4A" w:rsidRPr="00792B36" w:rsidRDefault="002F0C4A" w:rsidP="002F0C4A">
            <w:pPr>
              <w:jc w:val="right"/>
              <w:rPr>
                <w:rFonts w:eastAsia="Times New Roman"/>
                <w:color w:val="1F1F1F"/>
                <w:sz w:val="24"/>
                <w:szCs w:val="24"/>
                <w:bdr w:val="none" w:sz="0" w:space="0" w:color="auto" w:frame="1"/>
              </w:rPr>
            </w:pPr>
            <w:r w:rsidRPr="00792B36">
              <w:rPr>
                <w:rFonts w:eastAsia="Times New Roman"/>
                <w:color w:val="1F1F1F"/>
                <w:sz w:val="24"/>
                <w:szCs w:val="24"/>
                <w:bdr w:val="none" w:sz="0" w:space="0" w:color="auto" w:frame="1"/>
              </w:rPr>
              <w:t>Wilawan Thanatemaneerat, PhD</w:t>
            </w:r>
          </w:p>
          <w:p w14:paraId="49D9BB46" w14:textId="77777777" w:rsidR="000C7AD0" w:rsidRPr="00792B36" w:rsidRDefault="000C7AD0" w:rsidP="002F0C4A">
            <w:pPr>
              <w:widowControl/>
              <w:autoSpaceDE w:val="0"/>
              <w:autoSpaceDN w:val="0"/>
              <w:adjustRightInd w:val="0"/>
              <w:jc w:val="right"/>
              <w:rPr>
                <w:color w:val="333333"/>
                <w:sz w:val="24"/>
                <w:szCs w:val="24"/>
                <w:lang w:val="en-US"/>
              </w:rPr>
            </w:pPr>
          </w:p>
        </w:tc>
        <w:tc>
          <w:tcPr>
            <w:tcW w:w="734" w:type="pct"/>
          </w:tcPr>
          <w:p w14:paraId="213EE367" w14:textId="36F9C3C4" w:rsidR="000C7AD0" w:rsidRPr="00792B36" w:rsidRDefault="00563511" w:rsidP="002F0C4A">
            <w:pPr>
              <w:widowControl/>
              <w:autoSpaceDE w:val="0"/>
              <w:autoSpaceDN w:val="0"/>
              <w:adjustRightInd w:val="0"/>
              <w:jc w:val="right"/>
              <w:rPr>
                <w:color w:val="333333"/>
                <w:sz w:val="24"/>
                <w:szCs w:val="24"/>
                <w:lang w:val="en-US"/>
              </w:rPr>
            </w:pPr>
            <w:r w:rsidRPr="00792B36">
              <w:rPr>
                <w:color w:val="333333"/>
                <w:sz w:val="24"/>
                <w:szCs w:val="24"/>
                <w:lang w:val="en-US"/>
              </w:rPr>
              <w:t>59</w:t>
            </w:r>
          </w:p>
        </w:tc>
      </w:tr>
      <w:tr w:rsidR="002F0C4A" w:rsidRPr="00792B36" w14:paraId="01447D70" w14:textId="77777777" w:rsidTr="002F0C4A">
        <w:trPr>
          <w:trHeight w:val="397"/>
        </w:trPr>
        <w:tc>
          <w:tcPr>
            <w:tcW w:w="642" w:type="pct"/>
          </w:tcPr>
          <w:p w14:paraId="25E5CD8D" w14:textId="7DD765D3" w:rsidR="000C7AD0" w:rsidRPr="00792B36" w:rsidRDefault="002F0C4A" w:rsidP="0053799B">
            <w:pPr>
              <w:widowControl/>
              <w:autoSpaceDE w:val="0"/>
              <w:autoSpaceDN w:val="0"/>
              <w:adjustRightInd w:val="0"/>
              <w:jc w:val="center"/>
              <w:rPr>
                <w:color w:val="333333"/>
                <w:sz w:val="24"/>
                <w:szCs w:val="24"/>
                <w:lang w:val="en-US"/>
              </w:rPr>
            </w:pPr>
            <w:r w:rsidRPr="00792B36">
              <w:rPr>
                <w:color w:val="333333"/>
                <w:sz w:val="24"/>
                <w:szCs w:val="24"/>
                <w:lang w:val="en-US"/>
              </w:rPr>
              <w:t>IV.</w:t>
            </w:r>
          </w:p>
        </w:tc>
        <w:tc>
          <w:tcPr>
            <w:tcW w:w="1529" w:type="pct"/>
          </w:tcPr>
          <w:p w14:paraId="33C05DA2" w14:textId="6074D9E1" w:rsidR="000C7AD0" w:rsidRPr="00792B36" w:rsidRDefault="000C7AD0" w:rsidP="00337ED1">
            <w:pPr>
              <w:widowControl/>
              <w:autoSpaceDE w:val="0"/>
              <w:autoSpaceDN w:val="0"/>
              <w:adjustRightInd w:val="0"/>
              <w:rPr>
                <w:color w:val="333333"/>
                <w:sz w:val="24"/>
                <w:szCs w:val="24"/>
                <w:lang w:val="en-US"/>
              </w:rPr>
            </w:pPr>
            <w:r w:rsidRPr="00792B36">
              <w:rPr>
                <w:color w:val="333333"/>
                <w:sz w:val="24"/>
                <w:szCs w:val="24"/>
                <w:lang w:val="en-US"/>
              </w:rPr>
              <w:t xml:space="preserve">Ecosystems </w:t>
            </w:r>
          </w:p>
        </w:tc>
        <w:tc>
          <w:tcPr>
            <w:tcW w:w="2095" w:type="pct"/>
          </w:tcPr>
          <w:p w14:paraId="7E51A7A7" w14:textId="346524B0" w:rsidR="002F0C4A" w:rsidRPr="00792B36" w:rsidRDefault="002F0C4A" w:rsidP="002F0C4A">
            <w:pPr>
              <w:jc w:val="right"/>
              <w:rPr>
                <w:rFonts w:eastAsia="Times New Roman"/>
                <w:color w:val="1F1F1F"/>
                <w:sz w:val="24"/>
                <w:szCs w:val="24"/>
                <w:bdr w:val="none" w:sz="0" w:space="0" w:color="auto" w:frame="1"/>
              </w:rPr>
            </w:pPr>
            <w:r w:rsidRPr="00792B36">
              <w:rPr>
                <w:rFonts w:eastAsia="Times New Roman"/>
                <w:color w:val="1F1F1F"/>
                <w:sz w:val="24"/>
                <w:szCs w:val="24"/>
                <w:bdr w:val="none" w:sz="0" w:space="0" w:color="auto" w:frame="1"/>
              </w:rPr>
              <w:t>Thamasak Yeemin, PhD</w:t>
            </w:r>
          </w:p>
          <w:p w14:paraId="3894B995" w14:textId="77777777" w:rsidR="000C7AD0" w:rsidRPr="00792B36" w:rsidRDefault="000C7AD0" w:rsidP="002F0C4A">
            <w:pPr>
              <w:widowControl/>
              <w:autoSpaceDE w:val="0"/>
              <w:autoSpaceDN w:val="0"/>
              <w:adjustRightInd w:val="0"/>
              <w:jc w:val="right"/>
              <w:rPr>
                <w:color w:val="333333"/>
                <w:sz w:val="24"/>
                <w:szCs w:val="24"/>
                <w:lang w:val="en-US"/>
              </w:rPr>
            </w:pPr>
          </w:p>
        </w:tc>
        <w:tc>
          <w:tcPr>
            <w:tcW w:w="734" w:type="pct"/>
          </w:tcPr>
          <w:p w14:paraId="75D4D6E1" w14:textId="7AC7B31D" w:rsidR="000C7AD0" w:rsidRPr="00792B36" w:rsidRDefault="001B2839" w:rsidP="002F0C4A">
            <w:pPr>
              <w:widowControl/>
              <w:autoSpaceDE w:val="0"/>
              <w:autoSpaceDN w:val="0"/>
              <w:adjustRightInd w:val="0"/>
              <w:jc w:val="right"/>
              <w:rPr>
                <w:color w:val="333333"/>
                <w:sz w:val="24"/>
                <w:szCs w:val="24"/>
                <w:lang w:val="en-US"/>
              </w:rPr>
            </w:pPr>
            <w:r>
              <w:rPr>
                <w:color w:val="333333"/>
                <w:sz w:val="24"/>
                <w:szCs w:val="24"/>
                <w:lang w:val="en-US"/>
              </w:rPr>
              <w:t>91</w:t>
            </w:r>
          </w:p>
        </w:tc>
      </w:tr>
      <w:tr w:rsidR="002F0C4A" w:rsidRPr="00792B36" w14:paraId="7D2F1FC1" w14:textId="77777777" w:rsidTr="002F0C4A">
        <w:trPr>
          <w:trHeight w:val="397"/>
        </w:trPr>
        <w:tc>
          <w:tcPr>
            <w:tcW w:w="642" w:type="pct"/>
          </w:tcPr>
          <w:p w14:paraId="5D1CF701" w14:textId="69C30204" w:rsidR="000C7AD0" w:rsidRPr="00792B36" w:rsidRDefault="002F0C4A" w:rsidP="0053799B">
            <w:pPr>
              <w:widowControl/>
              <w:autoSpaceDE w:val="0"/>
              <w:autoSpaceDN w:val="0"/>
              <w:adjustRightInd w:val="0"/>
              <w:jc w:val="center"/>
              <w:rPr>
                <w:color w:val="333333"/>
                <w:sz w:val="24"/>
                <w:szCs w:val="24"/>
                <w:lang w:val="en-US"/>
              </w:rPr>
            </w:pPr>
            <w:r w:rsidRPr="00792B36">
              <w:rPr>
                <w:color w:val="333333"/>
                <w:sz w:val="24"/>
                <w:szCs w:val="24"/>
                <w:lang w:val="en-US"/>
              </w:rPr>
              <w:t>V.</w:t>
            </w:r>
          </w:p>
        </w:tc>
        <w:tc>
          <w:tcPr>
            <w:tcW w:w="1529" w:type="pct"/>
          </w:tcPr>
          <w:p w14:paraId="22088CE7" w14:textId="61FAB372" w:rsidR="000C7AD0" w:rsidRPr="00792B36" w:rsidRDefault="000C7AD0" w:rsidP="00337ED1">
            <w:pPr>
              <w:widowControl/>
              <w:autoSpaceDE w:val="0"/>
              <w:autoSpaceDN w:val="0"/>
              <w:adjustRightInd w:val="0"/>
              <w:rPr>
                <w:color w:val="333333"/>
                <w:sz w:val="24"/>
                <w:szCs w:val="24"/>
                <w:lang w:val="en-US"/>
              </w:rPr>
            </w:pPr>
            <w:r w:rsidRPr="00792B36">
              <w:rPr>
                <w:color w:val="333333"/>
                <w:sz w:val="24"/>
                <w:szCs w:val="24"/>
                <w:lang w:val="en-US"/>
              </w:rPr>
              <w:t xml:space="preserve">Fisheries </w:t>
            </w:r>
          </w:p>
        </w:tc>
        <w:tc>
          <w:tcPr>
            <w:tcW w:w="2095" w:type="pct"/>
          </w:tcPr>
          <w:p w14:paraId="2D6EBC92" w14:textId="273D55DF" w:rsidR="002F0C4A" w:rsidRPr="00792B36" w:rsidRDefault="002F0C4A" w:rsidP="002F0C4A">
            <w:pPr>
              <w:jc w:val="right"/>
              <w:rPr>
                <w:rFonts w:eastAsia="Times New Roman"/>
                <w:color w:val="1F1F1F"/>
                <w:sz w:val="24"/>
                <w:szCs w:val="24"/>
                <w:bdr w:val="none" w:sz="0" w:space="0" w:color="auto" w:frame="1"/>
              </w:rPr>
            </w:pPr>
            <w:r w:rsidRPr="00792B36">
              <w:rPr>
                <w:rFonts w:eastAsia="Times New Roman"/>
                <w:color w:val="1F1F1F"/>
                <w:sz w:val="24"/>
                <w:szCs w:val="24"/>
                <w:bdr w:val="none" w:sz="0" w:space="0" w:color="auto" w:frame="1"/>
              </w:rPr>
              <w:t>Pavarot Noranarttragoon, PhD</w:t>
            </w:r>
          </w:p>
          <w:p w14:paraId="31C03980" w14:textId="77777777" w:rsidR="000C7AD0" w:rsidRPr="00792B36" w:rsidRDefault="000C7AD0" w:rsidP="002F0C4A">
            <w:pPr>
              <w:widowControl/>
              <w:autoSpaceDE w:val="0"/>
              <w:autoSpaceDN w:val="0"/>
              <w:adjustRightInd w:val="0"/>
              <w:jc w:val="right"/>
              <w:rPr>
                <w:color w:val="333333"/>
                <w:sz w:val="24"/>
                <w:szCs w:val="24"/>
                <w:lang w:val="en-US"/>
              </w:rPr>
            </w:pPr>
          </w:p>
        </w:tc>
        <w:tc>
          <w:tcPr>
            <w:tcW w:w="734" w:type="pct"/>
          </w:tcPr>
          <w:p w14:paraId="3D122C02" w14:textId="644540C1" w:rsidR="000C7AD0" w:rsidRPr="00792B36" w:rsidRDefault="00563511" w:rsidP="002F0C4A">
            <w:pPr>
              <w:widowControl/>
              <w:autoSpaceDE w:val="0"/>
              <w:autoSpaceDN w:val="0"/>
              <w:adjustRightInd w:val="0"/>
              <w:jc w:val="right"/>
              <w:rPr>
                <w:color w:val="333333"/>
                <w:sz w:val="24"/>
                <w:szCs w:val="24"/>
                <w:lang w:val="en-US"/>
              </w:rPr>
            </w:pPr>
            <w:r w:rsidRPr="00792B36">
              <w:rPr>
                <w:color w:val="333333"/>
                <w:sz w:val="24"/>
                <w:szCs w:val="24"/>
                <w:lang w:val="en-US"/>
              </w:rPr>
              <w:t>11</w:t>
            </w:r>
            <w:r w:rsidR="001B2839">
              <w:rPr>
                <w:color w:val="333333"/>
                <w:sz w:val="24"/>
                <w:szCs w:val="24"/>
                <w:lang w:val="en-US"/>
              </w:rPr>
              <w:t>7</w:t>
            </w:r>
          </w:p>
        </w:tc>
      </w:tr>
      <w:tr w:rsidR="002F0C4A" w:rsidRPr="00792B36" w14:paraId="66AE0303" w14:textId="77777777" w:rsidTr="002F0C4A">
        <w:trPr>
          <w:trHeight w:val="397"/>
        </w:trPr>
        <w:tc>
          <w:tcPr>
            <w:tcW w:w="642" w:type="pct"/>
          </w:tcPr>
          <w:p w14:paraId="3D8ED35A" w14:textId="35ED2661" w:rsidR="000C7AD0" w:rsidRPr="00792B36" w:rsidRDefault="002F0C4A" w:rsidP="0053799B">
            <w:pPr>
              <w:widowControl/>
              <w:autoSpaceDE w:val="0"/>
              <w:autoSpaceDN w:val="0"/>
              <w:adjustRightInd w:val="0"/>
              <w:jc w:val="center"/>
              <w:rPr>
                <w:color w:val="000000"/>
                <w:sz w:val="24"/>
                <w:szCs w:val="24"/>
                <w:lang w:val="en-US"/>
              </w:rPr>
            </w:pPr>
            <w:r w:rsidRPr="00792B36">
              <w:rPr>
                <w:color w:val="000000"/>
                <w:sz w:val="24"/>
                <w:szCs w:val="24"/>
                <w:lang w:val="en-US"/>
              </w:rPr>
              <w:t>VI.</w:t>
            </w:r>
          </w:p>
        </w:tc>
        <w:tc>
          <w:tcPr>
            <w:tcW w:w="1529" w:type="pct"/>
          </w:tcPr>
          <w:p w14:paraId="7EDAD2FE" w14:textId="1D1E7EA4" w:rsidR="000C7AD0" w:rsidRPr="00792B36" w:rsidRDefault="000C7AD0" w:rsidP="00337ED1">
            <w:pPr>
              <w:widowControl/>
              <w:autoSpaceDE w:val="0"/>
              <w:autoSpaceDN w:val="0"/>
              <w:adjustRightInd w:val="0"/>
              <w:rPr>
                <w:color w:val="000000"/>
                <w:sz w:val="24"/>
                <w:szCs w:val="24"/>
                <w:lang w:val="en-US"/>
              </w:rPr>
            </w:pPr>
            <w:r w:rsidRPr="00792B36">
              <w:rPr>
                <w:color w:val="000000"/>
                <w:sz w:val="24"/>
                <w:szCs w:val="24"/>
                <w:lang w:val="en-US"/>
              </w:rPr>
              <w:t>Governance</w:t>
            </w:r>
          </w:p>
        </w:tc>
        <w:tc>
          <w:tcPr>
            <w:tcW w:w="2095" w:type="pct"/>
          </w:tcPr>
          <w:p w14:paraId="67283617" w14:textId="77140EFF" w:rsidR="000C7AD0" w:rsidRPr="00792B36" w:rsidRDefault="002F0C4A" w:rsidP="002F0C4A">
            <w:pPr>
              <w:jc w:val="right"/>
              <w:rPr>
                <w:rFonts w:eastAsia="Times New Roman"/>
                <w:color w:val="1F1F1F"/>
                <w:sz w:val="24"/>
                <w:szCs w:val="24"/>
                <w:bdr w:val="none" w:sz="0" w:space="0" w:color="auto" w:frame="1"/>
              </w:rPr>
            </w:pPr>
            <w:r w:rsidRPr="00792B36">
              <w:rPr>
                <w:rFonts w:eastAsia="Times New Roman"/>
                <w:color w:val="1F1F1F"/>
                <w:sz w:val="24"/>
                <w:szCs w:val="24"/>
                <w:bdr w:val="none" w:sz="0" w:space="0" w:color="auto" w:frame="1"/>
              </w:rPr>
              <w:t>Suvaluck Satumanatpan, PhD</w:t>
            </w:r>
          </w:p>
        </w:tc>
        <w:tc>
          <w:tcPr>
            <w:tcW w:w="734" w:type="pct"/>
          </w:tcPr>
          <w:p w14:paraId="2BDD5FB9" w14:textId="4D5200AF" w:rsidR="000C7AD0" w:rsidRPr="00792B36" w:rsidRDefault="00563511" w:rsidP="002F0C4A">
            <w:pPr>
              <w:widowControl/>
              <w:autoSpaceDE w:val="0"/>
              <w:autoSpaceDN w:val="0"/>
              <w:adjustRightInd w:val="0"/>
              <w:jc w:val="right"/>
              <w:rPr>
                <w:color w:val="000000"/>
                <w:sz w:val="24"/>
                <w:szCs w:val="24"/>
                <w:lang w:val="en-US"/>
              </w:rPr>
            </w:pPr>
            <w:r w:rsidRPr="00792B36">
              <w:rPr>
                <w:color w:val="000000"/>
                <w:sz w:val="24"/>
                <w:szCs w:val="24"/>
                <w:lang w:val="en-US"/>
              </w:rPr>
              <w:t>1</w:t>
            </w:r>
            <w:r w:rsidR="001B2839">
              <w:rPr>
                <w:color w:val="000000"/>
                <w:sz w:val="24"/>
                <w:szCs w:val="24"/>
                <w:lang w:val="en-US"/>
              </w:rPr>
              <w:t>34</w:t>
            </w:r>
          </w:p>
        </w:tc>
      </w:tr>
      <w:tr w:rsidR="002F0C4A" w:rsidRPr="00792B36" w14:paraId="6AA717C9" w14:textId="77777777" w:rsidTr="002F0C4A">
        <w:trPr>
          <w:trHeight w:val="397"/>
        </w:trPr>
        <w:tc>
          <w:tcPr>
            <w:tcW w:w="642" w:type="pct"/>
          </w:tcPr>
          <w:p w14:paraId="58D834D1" w14:textId="27DD6C52" w:rsidR="000C7AD0" w:rsidRPr="00792B36" w:rsidRDefault="002F0C4A" w:rsidP="0053799B">
            <w:pPr>
              <w:widowControl/>
              <w:autoSpaceDE w:val="0"/>
              <w:autoSpaceDN w:val="0"/>
              <w:adjustRightInd w:val="0"/>
              <w:jc w:val="center"/>
              <w:rPr>
                <w:color w:val="000000"/>
                <w:sz w:val="24"/>
                <w:szCs w:val="24"/>
                <w:lang w:val="en-US"/>
              </w:rPr>
            </w:pPr>
            <w:r w:rsidRPr="00792B36">
              <w:rPr>
                <w:color w:val="000000"/>
                <w:sz w:val="24"/>
                <w:szCs w:val="24"/>
                <w:lang w:val="en-US"/>
              </w:rPr>
              <w:t>VII.</w:t>
            </w:r>
          </w:p>
        </w:tc>
        <w:tc>
          <w:tcPr>
            <w:tcW w:w="1529" w:type="pct"/>
          </w:tcPr>
          <w:p w14:paraId="073BDD95" w14:textId="5DA541E2" w:rsidR="000C7AD0" w:rsidRPr="00792B36" w:rsidRDefault="000C7AD0" w:rsidP="00337ED1">
            <w:pPr>
              <w:widowControl/>
              <w:autoSpaceDE w:val="0"/>
              <w:autoSpaceDN w:val="0"/>
              <w:adjustRightInd w:val="0"/>
              <w:rPr>
                <w:color w:val="000000"/>
                <w:sz w:val="24"/>
                <w:szCs w:val="24"/>
                <w:lang w:val="en-US"/>
              </w:rPr>
            </w:pPr>
            <w:r w:rsidRPr="00792B36">
              <w:rPr>
                <w:color w:val="000000"/>
                <w:sz w:val="24"/>
                <w:szCs w:val="24"/>
                <w:lang w:val="en-US"/>
              </w:rPr>
              <w:t>Conclusion</w:t>
            </w:r>
          </w:p>
        </w:tc>
        <w:tc>
          <w:tcPr>
            <w:tcW w:w="2095" w:type="pct"/>
          </w:tcPr>
          <w:p w14:paraId="6C408BBF" w14:textId="3E4515EB" w:rsidR="000C7AD0" w:rsidRPr="00792B36" w:rsidRDefault="002F0C4A" w:rsidP="002F0C4A">
            <w:pPr>
              <w:widowControl/>
              <w:autoSpaceDE w:val="0"/>
              <w:autoSpaceDN w:val="0"/>
              <w:adjustRightInd w:val="0"/>
              <w:jc w:val="right"/>
              <w:rPr>
                <w:color w:val="000000"/>
                <w:sz w:val="24"/>
                <w:szCs w:val="24"/>
                <w:lang w:val="en-US"/>
              </w:rPr>
            </w:pPr>
            <w:r w:rsidRPr="00792B36">
              <w:rPr>
                <w:color w:val="000000"/>
                <w:sz w:val="24"/>
                <w:szCs w:val="24"/>
                <w:lang w:val="en-US"/>
              </w:rPr>
              <w:t>Suwimol Sereepaowong</w:t>
            </w:r>
          </w:p>
        </w:tc>
        <w:tc>
          <w:tcPr>
            <w:tcW w:w="734" w:type="pct"/>
          </w:tcPr>
          <w:p w14:paraId="1EB0407F" w14:textId="455DD27D" w:rsidR="000C7AD0" w:rsidRPr="00792B36" w:rsidRDefault="001A51FF" w:rsidP="002F0C4A">
            <w:pPr>
              <w:widowControl/>
              <w:autoSpaceDE w:val="0"/>
              <w:autoSpaceDN w:val="0"/>
              <w:adjustRightInd w:val="0"/>
              <w:jc w:val="right"/>
              <w:rPr>
                <w:color w:val="000000"/>
                <w:sz w:val="24"/>
                <w:szCs w:val="24"/>
                <w:cs/>
                <w:lang w:val="en-US"/>
              </w:rPr>
            </w:pPr>
            <w:r w:rsidRPr="00792B36">
              <w:rPr>
                <w:color w:val="000000"/>
                <w:sz w:val="24"/>
                <w:szCs w:val="24"/>
                <w:lang w:val="en-US"/>
              </w:rPr>
              <w:t>15</w:t>
            </w:r>
            <w:r w:rsidR="001B2839">
              <w:rPr>
                <w:color w:val="000000"/>
                <w:sz w:val="24"/>
                <w:szCs w:val="24"/>
                <w:lang w:val="en-US"/>
              </w:rPr>
              <w:t>8</w:t>
            </w:r>
          </w:p>
        </w:tc>
      </w:tr>
      <w:tr w:rsidR="002F0C4A" w:rsidRPr="00792B36" w14:paraId="76CA1968" w14:textId="77777777" w:rsidTr="002F0C4A">
        <w:trPr>
          <w:trHeight w:val="397"/>
        </w:trPr>
        <w:tc>
          <w:tcPr>
            <w:tcW w:w="642" w:type="pct"/>
          </w:tcPr>
          <w:p w14:paraId="7C9F575C" w14:textId="77777777" w:rsidR="002F0C4A" w:rsidRPr="00792B36" w:rsidRDefault="002F0C4A" w:rsidP="0053799B">
            <w:pPr>
              <w:widowControl/>
              <w:autoSpaceDE w:val="0"/>
              <w:autoSpaceDN w:val="0"/>
              <w:adjustRightInd w:val="0"/>
              <w:jc w:val="center"/>
              <w:rPr>
                <w:color w:val="000000"/>
                <w:sz w:val="24"/>
                <w:szCs w:val="24"/>
                <w:lang w:val="en-US"/>
              </w:rPr>
            </w:pPr>
          </w:p>
        </w:tc>
        <w:tc>
          <w:tcPr>
            <w:tcW w:w="1529" w:type="pct"/>
          </w:tcPr>
          <w:p w14:paraId="07E76F45" w14:textId="5501C81B" w:rsidR="002F0C4A" w:rsidRPr="00792B36" w:rsidRDefault="002F0C4A" w:rsidP="00337ED1">
            <w:pPr>
              <w:widowControl/>
              <w:autoSpaceDE w:val="0"/>
              <w:autoSpaceDN w:val="0"/>
              <w:adjustRightInd w:val="0"/>
              <w:rPr>
                <w:color w:val="000000"/>
                <w:sz w:val="24"/>
                <w:szCs w:val="24"/>
                <w:cs/>
                <w:lang w:val="en-US"/>
              </w:rPr>
            </w:pPr>
            <w:r w:rsidRPr="00792B36">
              <w:rPr>
                <w:color w:val="000000"/>
                <w:sz w:val="24"/>
                <w:szCs w:val="24"/>
              </w:rPr>
              <w:t>Compiled Bibliography</w:t>
            </w:r>
          </w:p>
        </w:tc>
        <w:tc>
          <w:tcPr>
            <w:tcW w:w="2095" w:type="pct"/>
          </w:tcPr>
          <w:p w14:paraId="54A44D82" w14:textId="77777777" w:rsidR="002F0C4A" w:rsidRPr="00792B36" w:rsidRDefault="002F0C4A" w:rsidP="00337ED1">
            <w:pPr>
              <w:widowControl/>
              <w:autoSpaceDE w:val="0"/>
              <w:autoSpaceDN w:val="0"/>
              <w:adjustRightInd w:val="0"/>
              <w:jc w:val="right"/>
              <w:rPr>
                <w:color w:val="000000"/>
                <w:sz w:val="24"/>
                <w:szCs w:val="24"/>
                <w:lang w:val="en-US"/>
              </w:rPr>
            </w:pPr>
          </w:p>
        </w:tc>
        <w:tc>
          <w:tcPr>
            <w:tcW w:w="734" w:type="pct"/>
          </w:tcPr>
          <w:p w14:paraId="3E3E4AD8" w14:textId="61B6408F" w:rsidR="002F0C4A" w:rsidRPr="00792B36" w:rsidRDefault="001B2839" w:rsidP="001A51FF">
            <w:pPr>
              <w:widowControl/>
              <w:autoSpaceDE w:val="0"/>
              <w:autoSpaceDN w:val="0"/>
              <w:adjustRightInd w:val="0"/>
              <w:jc w:val="right"/>
              <w:rPr>
                <w:color w:val="000000"/>
                <w:sz w:val="24"/>
                <w:szCs w:val="24"/>
                <w:cs/>
                <w:lang w:val="en-US"/>
              </w:rPr>
            </w:pPr>
            <w:r>
              <w:rPr>
                <w:color w:val="000000"/>
                <w:sz w:val="24"/>
                <w:szCs w:val="24"/>
                <w:lang w:val="en-US"/>
              </w:rPr>
              <w:t>161</w:t>
            </w:r>
          </w:p>
        </w:tc>
      </w:tr>
      <w:tr w:rsidR="002F0C4A" w:rsidRPr="00792B36" w14:paraId="4DA12170" w14:textId="77777777" w:rsidTr="002F0C4A">
        <w:trPr>
          <w:trHeight w:val="397"/>
        </w:trPr>
        <w:tc>
          <w:tcPr>
            <w:tcW w:w="642" w:type="pct"/>
          </w:tcPr>
          <w:p w14:paraId="0F453379" w14:textId="77777777" w:rsidR="002F0C4A" w:rsidRPr="00792B36" w:rsidRDefault="002F0C4A" w:rsidP="0053799B">
            <w:pPr>
              <w:widowControl/>
              <w:autoSpaceDE w:val="0"/>
              <w:autoSpaceDN w:val="0"/>
              <w:adjustRightInd w:val="0"/>
              <w:jc w:val="center"/>
              <w:rPr>
                <w:color w:val="000000"/>
                <w:sz w:val="24"/>
                <w:szCs w:val="24"/>
                <w:lang w:val="en-US"/>
              </w:rPr>
            </w:pPr>
          </w:p>
        </w:tc>
        <w:tc>
          <w:tcPr>
            <w:tcW w:w="1529" w:type="pct"/>
          </w:tcPr>
          <w:p w14:paraId="6CD473F5" w14:textId="5D5BBD28" w:rsidR="002F0C4A" w:rsidRPr="00792B36" w:rsidRDefault="002F0C4A" w:rsidP="00337ED1">
            <w:pPr>
              <w:widowControl/>
              <w:autoSpaceDE w:val="0"/>
              <w:autoSpaceDN w:val="0"/>
              <w:adjustRightInd w:val="0"/>
              <w:rPr>
                <w:color w:val="000000"/>
                <w:sz w:val="24"/>
                <w:szCs w:val="24"/>
                <w:cs/>
              </w:rPr>
            </w:pPr>
            <w:r w:rsidRPr="00792B36">
              <w:rPr>
                <w:color w:val="000000"/>
                <w:sz w:val="24"/>
                <w:szCs w:val="24"/>
              </w:rPr>
              <w:t>Annex Volume</w:t>
            </w:r>
          </w:p>
        </w:tc>
        <w:tc>
          <w:tcPr>
            <w:tcW w:w="2095" w:type="pct"/>
          </w:tcPr>
          <w:p w14:paraId="2D717764" w14:textId="77777777" w:rsidR="002F0C4A" w:rsidRPr="00792B36" w:rsidRDefault="002F0C4A" w:rsidP="00337ED1">
            <w:pPr>
              <w:widowControl/>
              <w:autoSpaceDE w:val="0"/>
              <w:autoSpaceDN w:val="0"/>
              <w:adjustRightInd w:val="0"/>
              <w:jc w:val="right"/>
              <w:rPr>
                <w:color w:val="000000"/>
                <w:sz w:val="24"/>
                <w:szCs w:val="24"/>
                <w:lang w:val="en-US"/>
              </w:rPr>
            </w:pPr>
          </w:p>
        </w:tc>
        <w:tc>
          <w:tcPr>
            <w:tcW w:w="734" w:type="pct"/>
          </w:tcPr>
          <w:p w14:paraId="74FDF4B1" w14:textId="24C1BDF0" w:rsidR="002F0C4A" w:rsidRPr="00792B36" w:rsidRDefault="001A51FF" w:rsidP="001A51FF">
            <w:pPr>
              <w:widowControl/>
              <w:autoSpaceDE w:val="0"/>
              <w:autoSpaceDN w:val="0"/>
              <w:adjustRightInd w:val="0"/>
              <w:jc w:val="right"/>
              <w:rPr>
                <w:color w:val="000000"/>
                <w:sz w:val="24"/>
                <w:szCs w:val="24"/>
                <w:lang w:val="en-US"/>
              </w:rPr>
            </w:pPr>
            <w:r w:rsidRPr="00792B36">
              <w:rPr>
                <w:color w:val="000000"/>
                <w:sz w:val="24"/>
                <w:szCs w:val="24"/>
                <w:lang w:val="en-US"/>
              </w:rPr>
              <w:t>1</w:t>
            </w:r>
            <w:r w:rsidR="001B2839">
              <w:rPr>
                <w:color w:val="000000"/>
                <w:sz w:val="24"/>
                <w:szCs w:val="24"/>
                <w:lang w:val="en-US"/>
              </w:rPr>
              <w:t>70</w:t>
            </w:r>
          </w:p>
        </w:tc>
      </w:tr>
    </w:tbl>
    <w:p w14:paraId="7CF249F5" w14:textId="77777777" w:rsidR="00337ED1" w:rsidRPr="00792B36" w:rsidRDefault="00337ED1" w:rsidP="00B1503D">
      <w:pPr>
        <w:pBdr>
          <w:top w:val="nil"/>
          <w:left w:val="nil"/>
          <w:bottom w:val="nil"/>
          <w:right w:val="nil"/>
          <w:between w:val="nil"/>
        </w:pBdr>
        <w:jc w:val="thaiDistribute"/>
        <w:rPr>
          <w:rFonts w:eastAsia="Google Sans Text"/>
          <w:b/>
          <w:bCs/>
          <w:color w:val="1F1F1F"/>
          <w:sz w:val="28"/>
          <w:szCs w:val="28"/>
        </w:rPr>
      </w:pPr>
    </w:p>
    <w:p w14:paraId="4BF9365B" w14:textId="77777777" w:rsidR="00337ED1" w:rsidRPr="00792B36" w:rsidRDefault="00337ED1" w:rsidP="00B1503D">
      <w:pPr>
        <w:pBdr>
          <w:top w:val="nil"/>
          <w:left w:val="nil"/>
          <w:bottom w:val="nil"/>
          <w:right w:val="nil"/>
          <w:between w:val="nil"/>
        </w:pBdr>
        <w:jc w:val="thaiDistribute"/>
        <w:rPr>
          <w:rFonts w:eastAsia="Google Sans Text"/>
          <w:b/>
          <w:bCs/>
          <w:color w:val="1F1F1F"/>
          <w:sz w:val="28"/>
          <w:szCs w:val="28"/>
        </w:rPr>
      </w:pPr>
    </w:p>
    <w:p w14:paraId="52353EE7" w14:textId="77777777" w:rsidR="00337ED1" w:rsidRPr="00792B36" w:rsidRDefault="00337ED1" w:rsidP="00B1503D">
      <w:pPr>
        <w:pBdr>
          <w:top w:val="nil"/>
          <w:left w:val="nil"/>
          <w:bottom w:val="nil"/>
          <w:right w:val="nil"/>
          <w:between w:val="nil"/>
        </w:pBdr>
        <w:jc w:val="thaiDistribute"/>
        <w:rPr>
          <w:rFonts w:eastAsia="Google Sans Text"/>
          <w:b/>
          <w:bCs/>
          <w:color w:val="1F1F1F"/>
          <w:sz w:val="28"/>
          <w:szCs w:val="28"/>
        </w:rPr>
      </w:pPr>
    </w:p>
    <w:p w14:paraId="4E09F374" w14:textId="77777777" w:rsidR="00337ED1" w:rsidRPr="00792B36" w:rsidRDefault="00337ED1" w:rsidP="00B1503D">
      <w:pPr>
        <w:pBdr>
          <w:top w:val="nil"/>
          <w:left w:val="nil"/>
          <w:bottom w:val="nil"/>
          <w:right w:val="nil"/>
          <w:between w:val="nil"/>
        </w:pBdr>
        <w:jc w:val="thaiDistribute"/>
        <w:rPr>
          <w:rFonts w:eastAsia="Google Sans Text"/>
          <w:b/>
          <w:bCs/>
          <w:color w:val="1F1F1F"/>
          <w:sz w:val="28"/>
          <w:szCs w:val="28"/>
        </w:rPr>
      </w:pPr>
    </w:p>
    <w:p w14:paraId="5BB6B968" w14:textId="77777777" w:rsidR="00337ED1" w:rsidRPr="00792B36" w:rsidRDefault="00337ED1" w:rsidP="00B1503D">
      <w:pPr>
        <w:pBdr>
          <w:top w:val="nil"/>
          <w:left w:val="nil"/>
          <w:bottom w:val="nil"/>
          <w:right w:val="nil"/>
          <w:between w:val="nil"/>
        </w:pBdr>
        <w:jc w:val="thaiDistribute"/>
        <w:rPr>
          <w:rFonts w:eastAsia="Google Sans Text"/>
          <w:b/>
          <w:bCs/>
          <w:color w:val="1F1F1F"/>
          <w:sz w:val="28"/>
          <w:szCs w:val="28"/>
        </w:rPr>
      </w:pPr>
    </w:p>
    <w:p w14:paraId="044ECB3A" w14:textId="77777777" w:rsidR="00F64698" w:rsidRPr="00792B36" w:rsidRDefault="00F64698" w:rsidP="00F64698">
      <w:pPr>
        <w:pBdr>
          <w:top w:val="nil"/>
          <w:left w:val="nil"/>
          <w:bottom w:val="nil"/>
          <w:right w:val="nil"/>
          <w:between w:val="nil"/>
        </w:pBdr>
        <w:jc w:val="thaiDistribute"/>
        <w:rPr>
          <w:rFonts w:eastAsia="Google Sans Text"/>
          <w:b/>
          <w:bCs/>
          <w:color w:val="1F1F1F"/>
          <w:sz w:val="28"/>
          <w:szCs w:val="28"/>
        </w:rPr>
      </w:pPr>
    </w:p>
    <w:p w14:paraId="507F3FD6" w14:textId="77777777" w:rsidR="00337ED1" w:rsidRPr="00792B36" w:rsidRDefault="00337ED1" w:rsidP="00F64698">
      <w:pPr>
        <w:pBdr>
          <w:top w:val="nil"/>
          <w:left w:val="nil"/>
          <w:bottom w:val="nil"/>
          <w:right w:val="nil"/>
          <w:between w:val="nil"/>
        </w:pBdr>
        <w:jc w:val="thaiDistribute"/>
        <w:rPr>
          <w:rFonts w:eastAsia="Google Sans Text"/>
          <w:b/>
          <w:bCs/>
          <w:color w:val="1F1F1F"/>
          <w:sz w:val="28"/>
          <w:szCs w:val="28"/>
        </w:rPr>
      </w:pPr>
    </w:p>
    <w:p w14:paraId="4C1837EC" w14:textId="77777777" w:rsidR="00337ED1" w:rsidRPr="00792B36" w:rsidRDefault="00337ED1" w:rsidP="00F64698">
      <w:pPr>
        <w:pBdr>
          <w:top w:val="nil"/>
          <w:left w:val="nil"/>
          <w:bottom w:val="nil"/>
          <w:right w:val="nil"/>
          <w:between w:val="nil"/>
        </w:pBdr>
        <w:jc w:val="thaiDistribute"/>
        <w:rPr>
          <w:rFonts w:eastAsia="Google Sans Text"/>
          <w:b/>
          <w:bCs/>
          <w:color w:val="1F1F1F"/>
          <w:sz w:val="28"/>
          <w:szCs w:val="28"/>
        </w:rPr>
      </w:pPr>
    </w:p>
    <w:p w14:paraId="4B161298" w14:textId="77777777" w:rsidR="00337ED1" w:rsidRPr="00792B36" w:rsidRDefault="00337ED1" w:rsidP="00F64698">
      <w:pPr>
        <w:pBdr>
          <w:top w:val="nil"/>
          <w:left w:val="nil"/>
          <w:bottom w:val="nil"/>
          <w:right w:val="nil"/>
          <w:between w:val="nil"/>
        </w:pBdr>
        <w:jc w:val="thaiDistribute"/>
        <w:rPr>
          <w:rFonts w:eastAsia="Google Sans Text"/>
          <w:b/>
          <w:bCs/>
          <w:color w:val="1F1F1F"/>
          <w:sz w:val="28"/>
          <w:szCs w:val="28"/>
        </w:rPr>
      </w:pPr>
    </w:p>
    <w:p w14:paraId="6DD27823" w14:textId="77777777" w:rsidR="00337ED1" w:rsidRPr="00792B36" w:rsidRDefault="00337ED1" w:rsidP="00F64698">
      <w:pPr>
        <w:pBdr>
          <w:top w:val="nil"/>
          <w:left w:val="nil"/>
          <w:bottom w:val="nil"/>
          <w:right w:val="nil"/>
          <w:between w:val="nil"/>
        </w:pBdr>
        <w:jc w:val="thaiDistribute"/>
        <w:rPr>
          <w:rFonts w:eastAsia="Google Sans Text"/>
          <w:b/>
          <w:bCs/>
          <w:color w:val="1F1F1F"/>
          <w:sz w:val="28"/>
          <w:szCs w:val="28"/>
        </w:rPr>
      </w:pPr>
    </w:p>
    <w:p w14:paraId="48D75E65" w14:textId="77777777" w:rsidR="00337ED1" w:rsidRPr="00792B36" w:rsidRDefault="00337ED1" w:rsidP="00F64698">
      <w:pPr>
        <w:pBdr>
          <w:top w:val="nil"/>
          <w:left w:val="nil"/>
          <w:bottom w:val="nil"/>
          <w:right w:val="nil"/>
          <w:between w:val="nil"/>
        </w:pBdr>
        <w:jc w:val="thaiDistribute"/>
        <w:rPr>
          <w:rFonts w:eastAsia="Google Sans Text"/>
          <w:b/>
          <w:bCs/>
          <w:color w:val="1F1F1F"/>
          <w:sz w:val="28"/>
          <w:szCs w:val="28"/>
        </w:rPr>
      </w:pPr>
    </w:p>
    <w:p w14:paraId="721B0B94" w14:textId="77777777" w:rsidR="00337ED1" w:rsidRPr="00792B36" w:rsidRDefault="00337ED1" w:rsidP="00F64698">
      <w:pPr>
        <w:pBdr>
          <w:top w:val="nil"/>
          <w:left w:val="nil"/>
          <w:bottom w:val="nil"/>
          <w:right w:val="nil"/>
          <w:between w:val="nil"/>
        </w:pBdr>
        <w:jc w:val="thaiDistribute"/>
        <w:rPr>
          <w:rFonts w:eastAsia="Google Sans Text"/>
          <w:b/>
          <w:bCs/>
          <w:color w:val="1F1F1F"/>
          <w:sz w:val="28"/>
          <w:szCs w:val="28"/>
        </w:rPr>
      </w:pPr>
    </w:p>
    <w:p w14:paraId="73F64CC5" w14:textId="77777777" w:rsidR="00337ED1" w:rsidRPr="00792B36" w:rsidRDefault="00337ED1" w:rsidP="00F64698">
      <w:pPr>
        <w:pBdr>
          <w:top w:val="nil"/>
          <w:left w:val="nil"/>
          <w:bottom w:val="nil"/>
          <w:right w:val="nil"/>
          <w:between w:val="nil"/>
        </w:pBdr>
        <w:jc w:val="thaiDistribute"/>
        <w:rPr>
          <w:rFonts w:eastAsia="Google Sans Text"/>
          <w:b/>
          <w:bCs/>
          <w:color w:val="1F1F1F"/>
          <w:sz w:val="28"/>
          <w:szCs w:val="28"/>
        </w:rPr>
      </w:pPr>
    </w:p>
    <w:p w14:paraId="5F067DAD" w14:textId="77777777" w:rsidR="00337ED1" w:rsidRPr="00792B36" w:rsidRDefault="00337ED1" w:rsidP="00F64698">
      <w:pPr>
        <w:pBdr>
          <w:top w:val="nil"/>
          <w:left w:val="nil"/>
          <w:bottom w:val="nil"/>
          <w:right w:val="nil"/>
          <w:between w:val="nil"/>
        </w:pBdr>
        <w:jc w:val="thaiDistribute"/>
        <w:rPr>
          <w:rFonts w:eastAsia="Google Sans Text"/>
          <w:b/>
          <w:bCs/>
          <w:color w:val="1F1F1F"/>
          <w:sz w:val="28"/>
          <w:szCs w:val="28"/>
        </w:rPr>
      </w:pPr>
    </w:p>
    <w:p w14:paraId="67C7EDA5" w14:textId="77777777" w:rsidR="00337ED1" w:rsidRPr="00792B36" w:rsidRDefault="00337ED1" w:rsidP="00F64698">
      <w:pPr>
        <w:pBdr>
          <w:top w:val="nil"/>
          <w:left w:val="nil"/>
          <w:bottom w:val="nil"/>
          <w:right w:val="nil"/>
          <w:between w:val="nil"/>
        </w:pBdr>
        <w:jc w:val="thaiDistribute"/>
        <w:rPr>
          <w:rFonts w:eastAsia="Google Sans Text"/>
          <w:b/>
          <w:bCs/>
          <w:color w:val="1F1F1F"/>
          <w:sz w:val="28"/>
          <w:szCs w:val="28"/>
        </w:rPr>
      </w:pPr>
    </w:p>
    <w:p w14:paraId="7680D036" w14:textId="77777777" w:rsidR="00337ED1" w:rsidRDefault="00337ED1" w:rsidP="00F64698">
      <w:pPr>
        <w:pBdr>
          <w:top w:val="nil"/>
          <w:left w:val="nil"/>
          <w:bottom w:val="nil"/>
          <w:right w:val="nil"/>
          <w:between w:val="nil"/>
        </w:pBdr>
        <w:jc w:val="thaiDistribute"/>
        <w:rPr>
          <w:rFonts w:eastAsia="Google Sans Text"/>
          <w:b/>
          <w:bCs/>
          <w:color w:val="1F1F1F"/>
          <w:sz w:val="28"/>
          <w:szCs w:val="28"/>
        </w:rPr>
      </w:pPr>
    </w:p>
    <w:p w14:paraId="6ED5C973" w14:textId="77777777" w:rsidR="00AF264B" w:rsidRPr="00792B36" w:rsidRDefault="00AF264B" w:rsidP="00F64698">
      <w:pPr>
        <w:pBdr>
          <w:top w:val="nil"/>
          <w:left w:val="nil"/>
          <w:bottom w:val="nil"/>
          <w:right w:val="nil"/>
          <w:between w:val="nil"/>
        </w:pBdr>
        <w:jc w:val="thaiDistribute"/>
        <w:rPr>
          <w:rFonts w:eastAsia="Google Sans Text"/>
          <w:b/>
          <w:bCs/>
          <w:color w:val="1F1F1F"/>
          <w:sz w:val="28"/>
          <w:szCs w:val="28"/>
        </w:rPr>
      </w:pPr>
    </w:p>
    <w:p w14:paraId="65C54E20" w14:textId="77777777" w:rsidR="00337ED1" w:rsidRPr="00792B36" w:rsidRDefault="00337ED1" w:rsidP="00F64698">
      <w:pPr>
        <w:pBdr>
          <w:top w:val="nil"/>
          <w:left w:val="nil"/>
          <w:bottom w:val="nil"/>
          <w:right w:val="nil"/>
          <w:between w:val="nil"/>
        </w:pBdr>
        <w:jc w:val="thaiDistribute"/>
        <w:rPr>
          <w:rFonts w:eastAsia="Google Sans Text"/>
          <w:b/>
          <w:bCs/>
          <w:color w:val="1F1F1F"/>
          <w:sz w:val="28"/>
          <w:szCs w:val="28"/>
        </w:rPr>
      </w:pPr>
    </w:p>
    <w:p w14:paraId="561EF856" w14:textId="0774834B" w:rsidR="000A691F" w:rsidRPr="00792B36" w:rsidRDefault="000A691F" w:rsidP="000A691F">
      <w:pPr>
        <w:pStyle w:val="Heading1"/>
        <w:spacing w:before="0" w:after="0"/>
        <w:jc w:val="thaiDistribute"/>
        <w:rPr>
          <w:rFonts w:eastAsia="Google Sans"/>
          <w:color w:val="1F1F1F"/>
          <w:sz w:val="28"/>
          <w:szCs w:val="28"/>
        </w:rPr>
      </w:pPr>
      <w:bookmarkStart w:id="1" w:name="_Toc216019165"/>
      <w:r w:rsidRPr="00792B36">
        <w:rPr>
          <w:rFonts w:eastAsia="Google Sans"/>
          <w:color w:val="1F1F1F"/>
          <w:sz w:val="28"/>
          <w:szCs w:val="28"/>
        </w:rPr>
        <w:lastRenderedPageBreak/>
        <w:t>Executive Summary</w:t>
      </w:r>
      <w:bookmarkEnd w:id="1"/>
    </w:p>
    <w:p w14:paraId="4C52D099" w14:textId="77777777" w:rsidR="000A691F" w:rsidRPr="00792B36" w:rsidRDefault="000A691F" w:rsidP="000A691F">
      <w:pPr>
        <w:jc w:val="thaiDistribute"/>
        <w:rPr>
          <w:sz w:val="24"/>
          <w:szCs w:val="24"/>
        </w:rPr>
      </w:pPr>
    </w:p>
    <w:p w14:paraId="080DC719" w14:textId="77777777" w:rsidR="00BC399A" w:rsidRPr="00792B36" w:rsidRDefault="00BC399A" w:rsidP="000A691F">
      <w:pPr>
        <w:jc w:val="thaiDistribute"/>
        <w:rPr>
          <w:sz w:val="24"/>
          <w:szCs w:val="24"/>
        </w:rPr>
      </w:pPr>
    </w:p>
    <w:p w14:paraId="201957DF" w14:textId="77777777" w:rsidR="000A691F" w:rsidRPr="00792B36" w:rsidRDefault="000A691F" w:rsidP="000A691F">
      <w:pPr>
        <w:pStyle w:val="Heading3"/>
        <w:spacing w:before="0" w:after="0"/>
        <w:jc w:val="thaiDistribute"/>
        <w:rPr>
          <w:rFonts w:eastAsia="Google Sans"/>
          <w:color w:val="1F1F1F"/>
          <w:sz w:val="24"/>
          <w:szCs w:val="24"/>
        </w:rPr>
      </w:pPr>
      <w:r w:rsidRPr="00792B36">
        <w:rPr>
          <w:rFonts w:eastAsia="Google Sans"/>
          <w:color w:val="1F1F1F"/>
          <w:sz w:val="24"/>
          <w:szCs w:val="24"/>
        </w:rPr>
        <w:t>Introduction and Strategic Context</w:t>
      </w:r>
    </w:p>
    <w:p w14:paraId="074CDB22" w14:textId="77777777" w:rsidR="000A691F" w:rsidRPr="00792B36" w:rsidRDefault="000A691F" w:rsidP="000A691F">
      <w:pPr>
        <w:jc w:val="thaiDistribute"/>
      </w:pPr>
    </w:p>
    <w:p w14:paraId="2A7F6804" w14:textId="77777777" w:rsidR="000A691F" w:rsidRPr="00792B36" w:rsidRDefault="000A691F" w:rsidP="000A691F">
      <w:pPr>
        <w:pBdr>
          <w:top w:val="nil"/>
          <w:left w:val="nil"/>
          <w:bottom w:val="nil"/>
          <w:right w:val="nil"/>
          <w:between w:val="nil"/>
        </w:pBdr>
        <w:jc w:val="thaiDistribute"/>
        <w:rPr>
          <w:rFonts w:eastAsia="Google Sans Text"/>
          <w:color w:val="1F1F1F"/>
          <w:sz w:val="24"/>
          <w:szCs w:val="24"/>
        </w:rPr>
      </w:pPr>
      <w:r w:rsidRPr="00792B36">
        <w:rPr>
          <w:rFonts w:eastAsia="Google Sans Text"/>
          <w:color w:val="1F1F1F"/>
          <w:sz w:val="24"/>
          <w:szCs w:val="24"/>
        </w:rPr>
        <w:t>The 2025 National Transboundary Diagnostic Analysis (TDA) establishes a scientifically robust baseline for the marine and coastal environment of the Gulf of Thailand (GoT). This report updates the seminal Year 2000 assessment, shifting focus from historical resource extraction issues to complex "cumulative" and "transboundary" threats, including marine plastic debris, climate-induced coral bleaching, and hazardous industrial waste from the Eastern Economic Corridor (EEC).</w:t>
      </w:r>
    </w:p>
    <w:p w14:paraId="74C631EC" w14:textId="77777777" w:rsidR="000A691F" w:rsidRPr="00792B36" w:rsidRDefault="000A691F" w:rsidP="000A691F">
      <w:pPr>
        <w:pBdr>
          <w:top w:val="nil"/>
          <w:left w:val="nil"/>
          <w:bottom w:val="nil"/>
          <w:right w:val="nil"/>
          <w:between w:val="nil"/>
        </w:pBdr>
        <w:jc w:val="thaiDistribute"/>
        <w:rPr>
          <w:rFonts w:eastAsia="Google Sans Text"/>
          <w:color w:val="1F1F1F"/>
          <w:sz w:val="24"/>
          <w:szCs w:val="24"/>
        </w:rPr>
      </w:pPr>
    </w:p>
    <w:p w14:paraId="72762E15" w14:textId="77777777" w:rsidR="000A691F" w:rsidRPr="00792B36" w:rsidRDefault="000A691F" w:rsidP="000A691F">
      <w:pPr>
        <w:pBdr>
          <w:top w:val="nil"/>
          <w:left w:val="nil"/>
          <w:bottom w:val="nil"/>
          <w:right w:val="nil"/>
          <w:between w:val="nil"/>
        </w:pBdr>
        <w:jc w:val="thaiDistribute"/>
        <w:rPr>
          <w:rFonts w:eastAsia="Google Sans Text"/>
          <w:color w:val="1F1F1F"/>
          <w:sz w:val="24"/>
          <w:szCs w:val="24"/>
        </w:rPr>
      </w:pPr>
      <w:r w:rsidRPr="00792B36">
        <w:rPr>
          <w:rFonts w:eastAsia="Google Sans Text"/>
          <w:color w:val="1F1F1F"/>
          <w:sz w:val="24"/>
          <w:szCs w:val="24"/>
        </w:rPr>
        <w:t>Serving as Thailand’s contribution to the regional SCS-GOT TDA, this analysis supports compliance with key international commitments, including SDG 14 (Life Below Water), the Kunming-Montreal Global Biodiversity Framework (Target 3: 30x30), and the COBSEA Regional Action Plan on Marine Litter. The findings provide the evidence base necessary for formulating the next National Action Plans (NAPs) and guiding investment into the "Blue Economy" and coastal resilience.</w:t>
      </w:r>
    </w:p>
    <w:p w14:paraId="3AD2C581" w14:textId="77777777" w:rsidR="000A691F" w:rsidRPr="00792B36" w:rsidRDefault="000A691F" w:rsidP="000A691F">
      <w:pPr>
        <w:pBdr>
          <w:top w:val="nil"/>
          <w:left w:val="nil"/>
          <w:bottom w:val="nil"/>
          <w:right w:val="nil"/>
          <w:between w:val="nil"/>
        </w:pBdr>
        <w:jc w:val="thaiDistribute"/>
        <w:rPr>
          <w:rFonts w:eastAsia="Google Sans Text"/>
          <w:color w:val="1F1F1F"/>
          <w:sz w:val="24"/>
          <w:szCs w:val="24"/>
        </w:rPr>
      </w:pPr>
    </w:p>
    <w:p w14:paraId="42EFB2AA" w14:textId="77777777" w:rsidR="000A691F" w:rsidRPr="00792B36" w:rsidRDefault="000A691F" w:rsidP="000A691F">
      <w:pPr>
        <w:pBdr>
          <w:top w:val="nil"/>
          <w:left w:val="nil"/>
          <w:bottom w:val="nil"/>
          <w:right w:val="nil"/>
          <w:between w:val="nil"/>
        </w:pBdr>
        <w:jc w:val="thaiDistribute"/>
        <w:rPr>
          <w:rFonts w:eastAsia="Google Sans Text"/>
          <w:color w:val="1F1F1F"/>
          <w:sz w:val="24"/>
          <w:szCs w:val="24"/>
        </w:rPr>
      </w:pPr>
    </w:p>
    <w:p w14:paraId="00A60492" w14:textId="77777777" w:rsidR="000A691F" w:rsidRPr="00792B36" w:rsidRDefault="000A691F" w:rsidP="000A691F">
      <w:pPr>
        <w:pStyle w:val="Heading3"/>
        <w:spacing w:before="0" w:after="0"/>
        <w:jc w:val="thaiDistribute"/>
        <w:rPr>
          <w:rFonts w:eastAsia="Google Sans"/>
          <w:color w:val="1F1F1F"/>
          <w:sz w:val="24"/>
          <w:szCs w:val="24"/>
        </w:rPr>
      </w:pPr>
      <w:r w:rsidRPr="00792B36">
        <w:rPr>
          <w:rFonts w:eastAsia="Google Sans"/>
          <w:color w:val="1F1F1F"/>
          <w:sz w:val="24"/>
          <w:szCs w:val="24"/>
        </w:rPr>
        <w:t>Assessment Methodology</w:t>
      </w:r>
    </w:p>
    <w:p w14:paraId="7C09FC39" w14:textId="77777777" w:rsidR="000A691F" w:rsidRPr="00792B36" w:rsidRDefault="000A691F" w:rsidP="000A691F">
      <w:pPr>
        <w:jc w:val="thaiDistribute"/>
      </w:pPr>
    </w:p>
    <w:p w14:paraId="261E16D6" w14:textId="77777777" w:rsidR="000A691F" w:rsidRPr="00792B36" w:rsidRDefault="000A691F" w:rsidP="000A691F">
      <w:pPr>
        <w:pBdr>
          <w:top w:val="nil"/>
          <w:left w:val="nil"/>
          <w:bottom w:val="nil"/>
          <w:right w:val="nil"/>
          <w:between w:val="nil"/>
        </w:pBdr>
        <w:jc w:val="thaiDistribute"/>
        <w:rPr>
          <w:rFonts w:eastAsia="Google Sans Text"/>
          <w:color w:val="1F1F1F"/>
          <w:sz w:val="24"/>
          <w:szCs w:val="24"/>
        </w:rPr>
      </w:pPr>
      <w:r w:rsidRPr="00792B36">
        <w:rPr>
          <w:rFonts w:eastAsia="Google Sans Text"/>
          <w:color w:val="1F1F1F"/>
          <w:sz w:val="24"/>
          <w:szCs w:val="24"/>
        </w:rPr>
        <w:t>The TDA employs a multi-scalar, indicator-based integrated assessment framework to move beyond simple inventorying toward holistic risk analysis.</w:t>
      </w:r>
    </w:p>
    <w:p w14:paraId="6B5EE5FB" w14:textId="77777777" w:rsidR="000A691F" w:rsidRPr="00792B36" w:rsidRDefault="000A691F" w:rsidP="000A691F">
      <w:pPr>
        <w:pBdr>
          <w:top w:val="nil"/>
          <w:left w:val="nil"/>
          <w:bottom w:val="nil"/>
          <w:right w:val="nil"/>
          <w:between w:val="nil"/>
        </w:pBdr>
        <w:jc w:val="thaiDistribute"/>
        <w:rPr>
          <w:rFonts w:eastAsia="Google Sans Text"/>
          <w:color w:val="1F1F1F"/>
          <w:sz w:val="24"/>
          <w:szCs w:val="24"/>
        </w:rPr>
      </w:pPr>
    </w:p>
    <w:p w14:paraId="32A9D102" w14:textId="77777777" w:rsidR="000A691F" w:rsidRPr="00792B36" w:rsidRDefault="000A691F" w:rsidP="000A691F">
      <w:pPr>
        <w:numPr>
          <w:ilvl w:val="0"/>
          <w:numId w:val="3"/>
        </w:numPr>
        <w:pBdr>
          <w:top w:val="nil"/>
          <w:left w:val="nil"/>
          <w:bottom w:val="nil"/>
          <w:right w:val="nil"/>
          <w:between w:val="nil"/>
        </w:pBdr>
        <w:jc w:val="thaiDistribute"/>
        <w:rPr>
          <w:sz w:val="24"/>
          <w:szCs w:val="24"/>
        </w:rPr>
      </w:pPr>
      <w:r w:rsidRPr="00792B36">
        <w:rPr>
          <w:rFonts w:eastAsia="Google Sans Text"/>
          <w:color w:val="1F1F1F"/>
          <w:sz w:val="24"/>
          <w:szCs w:val="24"/>
        </w:rPr>
        <w:t>Conceptual Frameworks: The assessment utilizes the "Concentric Circles of Risk" to map anthropogenic drivers against ecosystem health and the DPSIR (Driver-Pressure-State-Impact-Response) framework for socio-economic analysis.</w:t>
      </w:r>
    </w:p>
    <w:p w14:paraId="37C4191C" w14:textId="77777777" w:rsidR="000A691F" w:rsidRPr="00792B36" w:rsidRDefault="000A691F" w:rsidP="000A691F">
      <w:pPr>
        <w:pBdr>
          <w:top w:val="nil"/>
          <w:left w:val="nil"/>
          <w:bottom w:val="nil"/>
          <w:right w:val="nil"/>
          <w:between w:val="nil"/>
        </w:pBdr>
        <w:ind w:left="465"/>
        <w:jc w:val="thaiDistribute"/>
        <w:rPr>
          <w:sz w:val="24"/>
          <w:szCs w:val="24"/>
        </w:rPr>
      </w:pPr>
    </w:p>
    <w:p w14:paraId="790429C6" w14:textId="77777777" w:rsidR="000A691F" w:rsidRPr="00792B36" w:rsidRDefault="000A691F" w:rsidP="000A691F">
      <w:pPr>
        <w:numPr>
          <w:ilvl w:val="0"/>
          <w:numId w:val="3"/>
        </w:numPr>
        <w:pBdr>
          <w:top w:val="nil"/>
          <w:left w:val="nil"/>
          <w:bottom w:val="nil"/>
          <w:right w:val="nil"/>
          <w:between w:val="nil"/>
        </w:pBdr>
        <w:jc w:val="thaiDistribute"/>
        <w:rPr>
          <w:sz w:val="24"/>
          <w:szCs w:val="24"/>
        </w:rPr>
      </w:pPr>
      <w:r w:rsidRPr="00792B36">
        <w:rPr>
          <w:rFonts w:eastAsia="Google Sans Text"/>
          <w:color w:val="1F1F1F"/>
          <w:sz w:val="24"/>
          <w:szCs w:val="24"/>
        </w:rPr>
        <w:t>Geographic Scope: Analysis was conducted at the national scale, provincial scale (17 coastal provinces), and focal site scale (five sites: Welu River Estuary, Bandon Bay, Pak Phanang Bay, Samut Prakan Coast, and Don Hoi Lot).</w:t>
      </w:r>
    </w:p>
    <w:p w14:paraId="2FC392A2" w14:textId="77777777" w:rsidR="000A691F" w:rsidRPr="00792B36" w:rsidRDefault="000A691F" w:rsidP="000A691F">
      <w:pPr>
        <w:pBdr>
          <w:top w:val="nil"/>
          <w:left w:val="nil"/>
          <w:bottom w:val="nil"/>
          <w:right w:val="nil"/>
          <w:between w:val="nil"/>
        </w:pBdr>
        <w:jc w:val="thaiDistribute"/>
        <w:rPr>
          <w:sz w:val="24"/>
          <w:szCs w:val="24"/>
        </w:rPr>
      </w:pPr>
    </w:p>
    <w:p w14:paraId="7CDD1482" w14:textId="77777777" w:rsidR="000A691F" w:rsidRPr="00792B36" w:rsidRDefault="000A691F" w:rsidP="000A691F">
      <w:pPr>
        <w:numPr>
          <w:ilvl w:val="0"/>
          <w:numId w:val="3"/>
        </w:numPr>
        <w:pBdr>
          <w:top w:val="nil"/>
          <w:left w:val="nil"/>
          <w:bottom w:val="nil"/>
          <w:right w:val="nil"/>
          <w:between w:val="nil"/>
        </w:pBdr>
        <w:jc w:val="thaiDistribute"/>
        <w:rPr>
          <w:sz w:val="24"/>
          <w:szCs w:val="24"/>
        </w:rPr>
      </w:pPr>
      <w:r w:rsidRPr="00792B36">
        <w:rPr>
          <w:rFonts w:eastAsia="Google Sans Text"/>
          <w:color w:val="1F1F1F"/>
          <w:sz w:val="24"/>
          <w:szCs w:val="24"/>
        </w:rPr>
        <w:t>Thematic Modeling:</w:t>
      </w:r>
    </w:p>
    <w:p w14:paraId="4868C041" w14:textId="77777777" w:rsidR="000A691F" w:rsidRPr="00792B36" w:rsidRDefault="000A691F" w:rsidP="000A691F">
      <w:pPr>
        <w:numPr>
          <w:ilvl w:val="1"/>
          <w:numId w:val="4"/>
        </w:numPr>
        <w:pBdr>
          <w:top w:val="nil"/>
          <w:left w:val="nil"/>
          <w:bottom w:val="nil"/>
          <w:right w:val="nil"/>
          <w:between w:val="nil"/>
        </w:pBdr>
        <w:jc w:val="thaiDistribute"/>
        <w:rPr>
          <w:sz w:val="24"/>
          <w:szCs w:val="24"/>
        </w:rPr>
      </w:pPr>
      <w:r w:rsidRPr="00792B36">
        <w:rPr>
          <w:rFonts w:eastAsia="Google Sans Text"/>
          <w:color w:val="1F1F1F"/>
          <w:sz w:val="24"/>
          <w:szCs w:val="24"/>
        </w:rPr>
        <w:t>Socio-economics: A Composite Risk Index (CRI) quantifying "Pressure" and "Vulnerability".</w:t>
      </w:r>
    </w:p>
    <w:p w14:paraId="75A44F35" w14:textId="77777777" w:rsidR="000A691F" w:rsidRPr="00792B36" w:rsidRDefault="000A691F" w:rsidP="000A691F">
      <w:pPr>
        <w:numPr>
          <w:ilvl w:val="1"/>
          <w:numId w:val="4"/>
        </w:numPr>
        <w:pBdr>
          <w:top w:val="nil"/>
          <w:left w:val="nil"/>
          <w:bottom w:val="nil"/>
          <w:right w:val="nil"/>
          <w:between w:val="nil"/>
        </w:pBdr>
        <w:jc w:val="thaiDistribute"/>
        <w:rPr>
          <w:sz w:val="24"/>
          <w:szCs w:val="24"/>
        </w:rPr>
      </w:pPr>
      <w:r w:rsidRPr="00792B36">
        <w:rPr>
          <w:rFonts w:eastAsia="Google Sans Text"/>
          <w:color w:val="1F1F1F"/>
          <w:sz w:val="24"/>
          <w:szCs w:val="24"/>
        </w:rPr>
        <w:t>Fisheries: Fox Surplus Production and JABBA (Bayesian) models to estimate Maximum Sustainable Yield (MSY) and biomass depletion.</w:t>
      </w:r>
    </w:p>
    <w:p w14:paraId="3B7F9D0A" w14:textId="77777777" w:rsidR="000A691F" w:rsidRPr="00792B36" w:rsidRDefault="000A691F" w:rsidP="000A691F">
      <w:pPr>
        <w:numPr>
          <w:ilvl w:val="1"/>
          <w:numId w:val="4"/>
        </w:numPr>
        <w:pBdr>
          <w:top w:val="nil"/>
          <w:left w:val="nil"/>
          <w:bottom w:val="nil"/>
          <w:right w:val="nil"/>
          <w:between w:val="nil"/>
        </w:pBdr>
        <w:jc w:val="thaiDistribute"/>
        <w:rPr>
          <w:sz w:val="24"/>
          <w:szCs w:val="24"/>
        </w:rPr>
      </w:pPr>
      <w:r w:rsidRPr="00792B36">
        <w:rPr>
          <w:rFonts w:eastAsia="Google Sans Text"/>
          <w:color w:val="1F1F1F"/>
          <w:sz w:val="24"/>
          <w:szCs w:val="24"/>
        </w:rPr>
        <w:t>Pollution: Marine Water Quality Index (MWQI) and mass-balance waste flow analysis.</w:t>
      </w:r>
    </w:p>
    <w:p w14:paraId="29B85AFB" w14:textId="77777777" w:rsidR="000A691F" w:rsidRPr="00792B36" w:rsidRDefault="000A691F" w:rsidP="000A691F">
      <w:pPr>
        <w:numPr>
          <w:ilvl w:val="1"/>
          <w:numId w:val="4"/>
        </w:numPr>
        <w:pBdr>
          <w:top w:val="nil"/>
          <w:left w:val="nil"/>
          <w:bottom w:val="nil"/>
          <w:right w:val="nil"/>
          <w:between w:val="nil"/>
        </w:pBdr>
        <w:jc w:val="thaiDistribute"/>
        <w:rPr>
          <w:sz w:val="24"/>
          <w:szCs w:val="24"/>
        </w:rPr>
      </w:pPr>
      <w:r w:rsidRPr="00792B36">
        <w:rPr>
          <w:rFonts w:eastAsia="Google Sans Text"/>
          <w:color w:val="1F1F1F"/>
          <w:sz w:val="24"/>
          <w:szCs w:val="24"/>
        </w:rPr>
        <w:t xml:space="preserve">Governance: TWAP Architecture Assessment to evaluate institutional completeness and integration. </w:t>
      </w:r>
      <w:r w:rsidRPr="00792B36">
        <w:rPr>
          <w:sz w:val="24"/>
          <w:szCs w:val="24"/>
        </w:rPr>
        <w:t xml:space="preserve"> </w:t>
      </w:r>
    </w:p>
    <w:p w14:paraId="20871A90" w14:textId="77777777" w:rsidR="000A691F" w:rsidRPr="00792B36" w:rsidRDefault="000A691F" w:rsidP="000A691F">
      <w:pPr>
        <w:pBdr>
          <w:top w:val="nil"/>
          <w:left w:val="nil"/>
          <w:bottom w:val="nil"/>
          <w:right w:val="nil"/>
          <w:between w:val="nil"/>
        </w:pBdr>
        <w:jc w:val="thaiDistribute"/>
        <w:rPr>
          <w:sz w:val="24"/>
          <w:szCs w:val="24"/>
        </w:rPr>
      </w:pPr>
      <w:r w:rsidRPr="00792B36">
        <w:rPr>
          <w:color w:val="000000"/>
          <w:sz w:val="24"/>
          <w:szCs w:val="24"/>
        </w:rPr>
        <w:br/>
      </w:r>
    </w:p>
    <w:p w14:paraId="7A12D5CF" w14:textId="77777777" w:rsidR="000A691F" w:rsidRPr="00792B36" w:rsidRDefault="000A691F" w:rsidP="000A691F">
      <w:pPr>
        <w:pStyle w:val="Heading3"/>
        <w:spacing w:before="0" w:after="0"/>
        <w:jc w:val="thaiDistribute"/>
        <w:rPr>
          <w:rFonts w:eastAsia="Google Sans"/>
          <w:color w:val="1F1F1F"/>
          <w:sz w:val="24"/>
          <w:szCs w:val="24"/>
        </w:rPr>
      </w:pPr>
      <w:r w:rsidRPr="00792B36">
        <w:rPr>
          <w:rFonts w:eastAsia="Google Sans"/>
          <w:color w:val="1F1F1F"/>
          <w:sz w:val="24"/>
          <w:szCs w:val="24"/>
        </w:rPr>
        <w:t>Risk Assessment</w:t>
      </w:r>
    </w:p>
    <w:p w14:paraId="3FA15BB0" w14:textId="77777777" w:rsidR="000A691F" w:rsidRPr="00792B36" w:rsidRDefault="000A691F" w:rsidP="000A691F">
      <w:pPr>
        <w:jc w:val="thaiDistribute"/>
      </w:pPr>
    </w:p>
    <w:p w14:paraId="2C474196" w14:textId="77777777" w:rsidR="000A691F" w:rsidRPr="00792B36" w:rsidRDefault="000A691F" w:rsidP="000A691F">
      <w:pPr>
        <w:pBdr>
          <w:top w:val="nil"/>
          <w:left w:val="nil"/>
          <w:bottom w:val="nil"/>
          <w:right w:val="nil"/>
          <w:between w:val="nil"/>
        </w:pBdr>
        <w:jc w:val="thaiDistribute"/>
        <w:rPr>
          <w:rFonts w:eastAsia="Google Sans Text"/>
          <w:color w:val="1F1F1F"/>
          <w:sz w:val="24"/>
          <w:szCs w:val="24"/>
        </w:rPr>
      </w:pPr>
      <w:r w:rsidRPr="00792B36">
        <w:rPr>
          <w:rFonts w:eastAsia="Google Sans Text"/>
          <w:color w:val="1F1F1F"/>
          <w:sz w:val="24"/>
          <w:szCs w:val="24"/>
        </w:rPr>
        <w:t>The assessment reveals that risks are not evenly distributed across the 17 coastal provinces. The Composite Risk Index (CRI) classifies provinces into three critical typologies requiring differentiated policy responses:</w:t>
      </w:r>
    </w:p>
    <w:p w14:paraId="44ABD861" w14:textId="77777777" w:rsidR="000A691F" w:rsidRPr="00792B36" w:rsidRDefault="000A691F" w:rsidP="000A691F">
      <w:pPr>
        <w:pBdr>
          <w:top w:val="nil"/>
          <w:left w:val="nil"/>
          <w:bottom w:val="nil"/>
          <w:right w:val="nil"/>
          <w:between w:val="nil"/>
        </w:pBdr>
        <w:jc w:val="thaiDistribute"/>
        <w:rPr>
          <w:rFonts w:eastAsia="Google Sans Text"/>
          <w:color w:val="1F1F1F"/>
          <w:sz w:val="24"/>
          <w:szCs w:val="24"/>
        </w:rPr>
      </w:pPr>
    </w:p>
    <w:p w14:paraId="0F98E69F" w14:textId="77777777" w:rsidR="000A691F" w:rsidRPr="00792B36" w:rsidRDefault="000A691F" w:rsidP="000A691F">
      <w:pPr>
        <w:numPr>
          <w:ilvl w:val="0"/>
          <w:numId w:val="5"/>
        </w:numPr>
        <w:pBdr>
          <w:top w:val="nil"/>
          <w:left w:val="nil"/>
          <w:bottom w:val="nil"/>
          <w:right w:val="nil"/>
          <w:between w:val="nil"/>
        </w:pBdr>
        <w:jc w:val="thaiDistribute"/>
        <w:rPr>
          <w:sz w:val="24"/>
          <w:szCs w:val="24"/>
        </w:rPr>
      </w:pPr>
      <w:r w:rsidRPr="00792B36">
        <w:rPr>
          <w:rFonts w:eastAsia="Google Sans Text"/>
          <w:color w:val="1F1F1F"/>
          <w:sz w:val="24"/>
          <w:szCs w:val="24"/>
        </w:rPr>
        <w:lastRenderedPageBreak/>
        <w:t xml:space="preserve">Pure Intensity Risk (Hotspots): Provinces like Bangkok and Samut Songkhram face highly concentrated pressures within limited land areas, driven by urbanization and industrial activity. </w:t>
      </w:r>
    </w:p>
    <w:p w14:paraId="77D40C05" w14:textId="77777777" w:rsidR="000A691F" w:rsidRPr="00792B36" w:rsidRDefault="000A691F" w:rsidP="000A691F">
      <w:pPr>
        <w:pBdr>
          <w:top w:val="nil"/>
          <w:left w:val="nil"/>
          <w:bottom w:val="nil"/>
          <w:right w:val="nil"/>
          <w:between w:val="nil"/>
        </w:pBdr>
        <w:ind w:left="465"/>
        <w:jc w:val="thaiDistribute"/>
        <w:rPr>
          <w:sz w:val="24"/>
          <w:szCs w:val="24"/>
        </w:rPr>
      </w:pPr>
    </w:p>
    <w:p w14:paraId="1CDE06BE" w14:textId="77777777" w:rsidR="000A691F" w:rsidRPr="00792B36" w:rsidRDefault="000A691F" w:rsidP="000A691F">
      <w:pPr>
        <w:numPr>
          <w:ilvl w:val="0"/>
          <w:numId w:val="5"/>
        </w:numPr>
        <w:pBdr>
          <w:top w:val="nil"/>
          <w:left w:val="nil"/>
          <w:bottom w:val="nil"/>
          <w:right w:val="nil"/>
          <w:between w:val="nil"/>
        </w:pBdr>
        <w:jc w:val="thaiDistribute"/>
        <w:rPr>
          <w:sz w:val="24"/>
          <w:szCs w:val="24"/>
        </w:rPr>
      </w:pPr>
      <w:r w:rsidRPr="00792B36">
        <w:rPr>
          <w:rFonts w:eastAsia="Google Sans Text"/>
          <w:color w:val="1F1F1F"/>
          <w:sz w:val="24"/>
          <w:szCs w:val="24"/>
        </w:rPr>
        <w:t>Pure Magnitude Risk (Portfolio): Provinces such as Phetchaburi and Songkhla rank high in magnitude due to their extensive geography, increasing the aggregate exposure of resources and communities.</w:t>
      </w:r>
      <w:r w:rsidRPr="00792B36">
        <w:rPr>
          <w:sz w:val="24"/>
          <w:szCs w:val="24"/>
        </w:rPr>
        <w:t xml:space="preserve"> </w:t>
      </w:r>
    </w:p>
    <w:p w14:paraId="0CB5624C" w14:textId="77777777" w:rsidR="000A691F" w:rsidRPr="00792B36" w:rsidRDefault="000A691F" w:rsidP="000A691F">
      <w:pPr>
        <w:pBdr>
          <w:top w:val="nil"/>
          <w:left w:val="nil"/>
          <w:bottom w:val="nil"/>
          <w:right w:val="nil"/>
          <w:between w:val="nil"/>
        </w:pBdr>
        <w:jc w:val="thaiDistribute"/>
        <w:rPr>
          <w:sz w:val="24"/>
          <w:szCs w:val="24"/>
        </w:rPr>
      </w:pPr>
      <w:r w:rsidRPr="00792B36">
        <w:rPr>
          <w:sz w:val="24"/>
          <w:szCs w:val="24"/>
        </w:rPr>
        <w:t xml:space="preserve"> </w:t>
      </w:r>
    </w:p>
    <w:p w14:paraId="2588A4B9" w14:textId="77777777" w:rsidR="000A691F" w:rsidRPr="00792B36" w:rsidRDefault="000A691F" w:rsidP="000A691F">
      <w:pPr>
        <w:numPr>
          <w:ilvl w:val="0"/>
          <w:numId w:val="5"/>
        </w:numPr>
        <w:pBdr>
          <w:top w:val="nil"/>
          <w:left w:val="nil"/>
          <w:bottom w:val="nil"/>
          <w:right w:val="nil"/>
          <w:between w:val="nil"/>
        </w:pBdr>
        <w:jc w:val="thaiDistribute"/>
        <w:rPr>
          <w:sz w:val="24"/>
          <w:szCs w:val="24"/>
        </w:rPr>
      </w:pPr>
      <w:r w:rsidRPr="00792B36">
        <w:rPr>
          <w:rFonts w:eastAsia="Google Sans Text"/>
          <w:color w:val="1F1F1F"/>
          <w:sz w:val="24"/>
          <w:szCs w:val="24"/>
        </w:rPr>
        <w:t>Hybrid Risk (Double Burden): Surat Thani faces the most complex scenario, ranking high in both intensity and magnitude, requiring integrated spatial management and large-scale resource planning.</w:t>
      </w:r>
    </w:p>
    <w:p w14:paraId="06242002" w14:textId="77777777" w:rsidR="000A691F" w:rsidRPr="00792B36" w:rsidRDefault="000A691F" w:rsidP="000A691F">
      <w:pPr>
        <w:pBdr>
          <w:top w:val="nil"/>
          <w:left w:val="nil"/>
          <w:bottom w:val="nil"/>
          <w:right w:val="nil"/>
          <w:between w:val="nil"/>
        </w:pBdr>
        <w:jc w:val="thaiDistribute"/>
        <w:rPr>
          <w:sz w:val="24"/>
          <w:szCs w:val="24"/>
        </w:rPr>
      </w:pPr>
    </w:p>
    <w:p w14:paraId="32EC9530" w14:textId="77777777" w:rsidR="000A691F" w:rsidRPr="00792B36" w:rsidRDefault="000A691F" w:rsidP="000A691F">
      <w:pPr>
        <w:numPr>
          <w:ilvl w:val="0"/>
          <w:numId w:val="5"/>
        </w:numPr>
        <w:pBdr>
          <w:top w:val="nil"/>
          <w:left w:val="nil"/>
          <w:bottom w:val="nil"/>
          <w:right w:val="nil"/>
          <w:between w:val="nil"/>
        </w:pBdr>
        <w:jc w:val="thaiDistribute"/>
        <w:rPr>
          <w:sz w:val="24"/>
          <w:szCs w:val="24"/>
        </w:rPr>
      </w:pPr>
      <w:r w:rsidRPr="00792B36">
        <w:rPr>
          <w:rFonts w:eastAsia="Google Sans Text"/>
          <w:color w:val="1F1F1F"/>
          <w:sz w:val="24"/>
          <w:szCs w:val="24"/>
        </w:rPr>
        <w:t>Climate as a Multiplier: Hydrometeorological hazards amplify these vulnerabilities. Between 2000 and 2024, tropical cyclones caused significant volatility, with damages peaking at USD 904 million in 2024, confirming the fragility of coastal zones.</w:t>
      </w:r>
      <w:r w:rsidRPr="00792B36">
        <w:rPr>
          <w:color w:val="000000"/>
          <w:sz w:val="24"/>
          <w:szCs w:val="24"/>
        </w:rPr>
        <w:br/>
      </w:r>
    </w:p>
    <w:p w14:paraId="39242F93" w14:textId="77777777" w:rsidR="000A691F" w:rsidRPr="00792B36" w:rsidRDefault="000A691F" w:rsidP="000A691F">
      <w:pPr>
        <w:pBdr>
          <w:top w:val="nil"/>
          <w:left w:val="nil"/>
          <w:bottom w:val="nil"/>
          <w:right w:val="nil"/>
          <w:between w:val="nil"/>
        </w:pBdr>
        <w:ind w:left="465"/>
        <w:jc w:val="thaiDistribute"/>
        <w:rPr>
          <w:sz w:val="24"/>
          <w:szCs w:val="24"/>
        </w:rPr>
      </w:pPr>
    </w:p>
    <w:p w14:paraId="3C41EBC6" w14:textId="77777777" w:rsidR="000A691F" w:rsidRPr="00792B36" w:rsidRDefault="000A691F" w:rsidP="000A691F">
      <w:pPr>
        <w:pStyle w:val="Heading3"/>
        <w:spacing w:before="0" w:after="0"/>
        <w:jc w:val="thaiDistribute"/>
        <w:rPr>
          <w:rFonts w:eastAsia="Google Sans"/>
          <w:color w:val="1F1F1F"/>
          <w:sz w:val="24"/>
          <w:szCs w:val="24"/>
        </w:rPr>
      </w:pPr>
      <w:r w:rsidRPr="00792B36">
        <w:rPr>
          <w:rFonts w:eastAsia="Google Sans"/>
          <w:color w:val="1F1F1F"/>
          <w:sz w:val="24"/>
          <w:szCs w:val="24"/>
        </w:rPr>
        <w:t>Key Findings by Thematic Area</w:t>
      </w:r>
    </w:p>
    <w:p w14:paraId="47FEEECF" w14:textId="77777777" w:rsidR="000A691F" w:rsidRPr="00792B36" w:rsidRDefault="000A691F" w:rsidP="000A691F">
      <w:pPr>
        <w:jc w:val="thaiDistribute"/>
      </w:pPr>
    </w:p>
    <w:p w14:paraId="1A1C59E9" w14:textId="77777777" w:rsidR="000A691F" w:rsidRPr="00792B36" w:rsidRDefault="000A691F" w:rsidP="000A691F">
      <w:pPr>
        <w:pStyle w:val="Heading4"/>
        <w:spacing w:before="0" w:after="0"/>
        <w:jc w:val="thaiDistribute"/>
        <w:rPr>
          <w:rFonts w:eastAsia="Google Sans Text"/>
          <w:color w:val="1F1F1F"/>
        </w:rPr>
      </w:pPr>
      <w:r w:rsidRPr="00792B36">
        <w:rPr>
          <w:rFonts w:eastAsia="Google Sans Text"/>
          <w:color w:val="1F1F1F"/>
        </w:rPr>
        <w:t>1) Socioeconomicss and Climate-Related Threats</w:t>
      </w:r>
    </w:p>
    <w:p w14:paraId="4CB209E6" w14:textId="77777777" w:rsidR="000A691F" w:rsidRPr="00792B36" w:rsidRDefault="000A691F" w:rsidP="000A691F">
      <w:pPr>
        <w:pBdr>
          <w:top w:val="nil"/>
          <w:left w:val="nil"/>
          <w:bottom w:val="nil"/>
          <w:right w:val="nil"/>
          <w:between w:val="nil"/>
        </w:pBdr>
        <w:jc w:val="thaiDistribute"/>
        <w:rPr>
          <w:rFonts w:eastAsia="Google Sans Text"/>
          <w:color w:val="1F1F1F"/>
          <w:sz w:val="24"/>
          <w:szCs w:val="24"/>
        </w:rPr>
      </w:pPr>
      <w:r w:rsidRPr="00792B36">
        <w:rPr>
          <w:rFonts w:eastAsia="Google Sans Text"/>
          <w:color w:val="1F1F1F"/>
          <w:sz w:val="24"/>
          <w:szCs w:val="24"/>
        </w:rPr>
        <w:t>The assessment highlights that Socioeconomics vulnerabilities are deeply intertwined with specific geographic and climate risks:</w:t>
      </w:r>
    </w:p>
    <w:p w14:paraId="6532969E" w14:textId="77777777" w:rsidR="000A691F" w:rsidRPr="00792B36" w:rsidRDefault="000A691F" w:rsidP="000A691F">
      <w:pPr>
        <w:pBdr>
          <w:top w:val="nil"/>
          <w:left w:val="nil"/>
          <w:bottom w:val="nil"/>
          <w:right w:val="nil"/>
          <w:between w:val="nil"/>
        </w:pBdr>
        <w:jc w:val="thaiDistribute"/>
        <w:rPr>
          <w:rFonts w:eastAsia="Google Sans Text"/>
          <w:b/>
          <w:bCs/>
          <w:color w:val="1F1F1F"/>
          <w:sz w:val="24"/>
          <w:szCs w:val="24"/>
        </w:rPr>
      </w:pPr>
    </w:p>
    <w:p w14:paraId="60C911F9" w14:textId="77777777" w:rsidR="000A691F" w:rsidRPr="00792B36" w:rsidRDefault="000A691F" w:rsidP="000A691F">
      <w:pPr>
        <w:numPr>
          <w:ilvl w:val="0"/>
          <w:numId w:val="6"/>
        </w:numPr>
        <w:pBdr>
          <w:top w:val="nil"/>
          <w:left w:val="nil"/>
          <w:bottom w:val="nil"/>
          <w:right w:val="nil"/>
          <w:between w:val="nil"/>
        </w:pBdr>
        <w:ind w:left="825"/>
        <w:jc w:val="thaiDistribute"/>
        <w:rPr>
          <w:sz w:val="24"/>
          <w:szCs w:val="24"/>
        </w:rPr>
      </w:pPr>
      <w:r w:rsidRPr="00792B36">
        <w:rPr>
          <w:rFonts w:eastAsia="Google Sans Text"/>
          <w:color w:val="1F1F1F"/>
          <w:sz w:val="24"/>
          <w:szCs w:val="24"/>
        </w:rPr>
        <w:t>Inequality and Livelihood Traps: A stark development gap persists between regions. While industrial hubs in the Upper Gulf (e.g., Rayong, Chon Buri) exhibit high urbanization and dramatic poverty reduction, the Deep South (e.g., Pattani, Narathiwat) remains rural and trapped in persistent poverty. This creates a "livelihood trap" where the poorest communities are most dependent on the climate-sensitive resources currently under threat.</w:t>
      </w:r>
      <w:r w:rsidRPr="00792B36">
        <w:rPr>
          <w:sz w:val="24"/>
          <w:szCs w:val="24"/>
        </w:rPr>
        <w:t xml:space="preserve"> </w:t>
      </w:r>
    </w:p>
    <w:p w14:paraId="1CC370D9" w14:textId="77777777" w:rsidR="000A691F" w:rsidRPr="00792B36" w:rsidRDefault="000A691F" w:rsidP="000A691F">
      <w:pPr>
        <w:pBdr>
          <w:top w:val="nil"/>
          <w:left w:val="nil"/>
          <w:bottom w:val="nil"/>
          <w:right w:val="nil"/>
          <w:between w:val="nil"/>
        </w:pBdr>
        <w:ind w:left="825"/>
        <w:jc w:val="thaiDistribute"/>
        <w:rPr>
          <w:sz w:val="24"/>
          <w:szCs w:val="24"/>
        </w:rPr>
      </w:pPr>
    </w:p>
    <w:p w14:paraId="10CD042F" w14:textId="77777777" w:rsidR="000A691F" w:rsidRPr="00792B36" w:rsidRDefault="000A691F" w:rsidP="000A691F">
      <w:pPr>
        <w:numPr>
          <w:ilvl w:val="0"/>
          <w:numId w:val="6"/>
        </w:numPr>
        <w:pBdr>
          <w:top w:val="nil"/>
          <w:left w:val="nil"/>
          <w:bottom w:val="nil"/>
          <w:right w:val="nil"/>
          <w:between w:val="nil"/>
        </w:pBdr>
        <w:ind w:left="825"/>
        <w:jc w:val="thaiDistribute"/>
        <w:rPr>
          <w:sz w:val="24"/>
          <w:szCs w:val="24"/>
        </w:rPr>
      </w:pPr>
      <w:r w:rsidRPr="00792B36">
        <w:rPr>
          <w:rFonts w:eastAsia="Google Sans Text"/>
          <w:color w:val="1F1F1F"/>
          <w:sz w:val="24"/>
          <w:szCs w:val="24"/>
        </w:rPr>
        <w:t>Risk Amplification: Climate hazards act as a "multiplier" that intensifies these existing vulnerabilities. National data confirms that hydrometeorological hazards (cyclones, erosion) significantly amplify risks for coastal provinces, with fatality spikes recorded in volatile years like 2024 (45 deaths).</w:t>
      </w:r>
    </w:p>
    <w:p w14:paraId="24264044" w14:textId="77777777" w:rsidR="000A691F" w:rsidRPr="00792B36" w:rsidRDefault="000A691F" w:rsidP="000A691F">
      <w:pPr>
        <w:pBdr>
          <w:top w:val="nil"/>
          <w:left w:val="nil"/>
          <w:bottom w:val="nil"/>
          <w:right w:val="nil"/>
          <w:between w:val="nil"/>
        </w:pBdr>
        <w:ind w:left="360"/>
        <w:jc w:val="thaiDistribute"/>
        <w:rPr>
          <w:sz w:val="24"/>
          <w:szCs w:val="24"/>
        </w:rPr>
      </w:pPr>
    </w:p>
    <w:p w14:paraId="6A7C253A" w14:textId="77777777" w:rsidR="000A691F" w:rsidRPr="00792B36" w:rsidRDefault="000A691F" w:rsidP="000A691F">
      <w:pPr>
        <w:numPr>
          <w:ilvl w:val="0"/>
          <w:numId w:val="6"/>
        </w:numPr>
        <w:pBdr>
          <w:top w:val="nil"/>
          <w:left w:val="nil"/>
          <w:bottom w:val="nil"/>
          <w:right w:val="nil"/>
          <w:between w:val="nil"/>
        </w:pBdr>
        <w:ind w:left="825"/>
        <w:jc w:val="thaiDistribute"/>
        <w:rPr>
          <w:sz w:val="24"/>
          <w:szCs w:val="24"/>
        </w:rPr>
      </w:pPr>
      <w:r w:rsidRPr="00792B36">
        <w:rPr>
          <w:rFonts w:eastAsia="Google Sans Text"/>
          <w:color w:val="1F1F1F"/>
          <w:sz w:val="24"/>
          <w:szCs w:val="24"/>
        </w:rPr>
        <w:t>Urbanization Pressure: The Upper Gulf forms a primary urban corridor (Bangkok to EEC) with extreme population densities (up to 3,562 persons/km² in Bangkok), creating intense land-use pressure that contrasts sharply with the rural lower Gulf.</w:t>
      </w:r>
    </w:p>
    <w:p w14:paraId="37AD0893" w14:textId="77777777" w:rsidR="000A691F" w:rsidRPr="00792B36" w:rsidRDefault="000A691F" w:rsidP="000A691F">
      <w:pPr>
        <w:pBdr>
          <w:top w:val="nil"/>
          <w:left w:val="nil"/>
          <w:bottom w:val="nil"/>
          <w:right w:val="nil"/>
          <w:between w:val="nil"/>
        </w:pBdr>
        <w:jc w:val="thaiDistribute"/>
        <w:rPr>
          <w:sz w:val="24"/>
          <w:szCs w:val="24"/>
        </w:rPr>
      </w:pPr>
    </w:p>
    <w:p w14:paraId="042EB577" w14:textId="77777777" w:rsidR="000A691F" w:rsidRPr="00792B36" w:rsidRDefault="000A691F" w:rsidP="000A691F">
      <w:pPr>
        <w:pStyle w:val="Heading4"/>
        <w:spacing w:before="0" w:after="0"/>
        <w:jc w:val="thaiDistribute"/>
        <w:rPr>
          <w:rFonts w:eastAsia="Google Sans Text"/>
          <w:color w:val="1F1F1F"/>
        </w:rPr>
      </w:pPr>
      <w:r w:rsidRPr="00792B36">
        <w:rPr>
          <w:rFonts w:eastAsia="Google Sans Text"/>
          <w:color w:val="1F1F1F"/>
        </w:rPr>
        <w:t>2) Land Based Pollution and Marine Pollution</w:t>
      </w:r>
    </w:p>
    <w:p w14:paraId="0EF44357" w14:textId="77777777" w:rsidR="000A691F" w:rsidRPr="00792B36" w:rsidRDefault="000A691F" w:rsidP="000A691F">
      <w:pPr>
        <w:numPr>
          <w:ilvl w:val="0"/>
          <w:numId w:val="7"/>
        </w:numPr>
        <w:pBdr>
          <w:top w:val="nil"/>
          <w:left w:val="nil"/>
          <w:bottom w:val="nil"/>
          <w:right w:val="nil"/>
          <w:between w:val="nil"/>
        </w:pBdr>
        <w:ind w:left="825"/>
        <w:jc w:val="thaiDistribute"/>
        <w:rPr>
          <w:sz w:val="24"/>
          <w:szCs w:val="24"/>
        </w:rPr>
      </w:pPr>
      <w:r w:rsidRPr="00792B36">
        <w:rPr>
          <w:rFonts w:eastAsia="Google Sans Text"/>
          <w:color w:val="1F1F1F"/>
          <w:sz w:val="24"/>
          <w:szCs w:val="24"/>
        </w:rPr>
        <w:t>Waste Management Gap: Thailand generates ~27.2 million tonnes of municipal solid waste annually, but only 38% is properly disposed of. Approximately 4.73 million tonnes (17%) are improperly managed, leading to significant plastic leakage into the Gulf.</w:t>
      </w:r>
    </w:p>
    <w:p w14:paraId="4BC8216B" w14:textId="77777777" w:rsidR="000A691F" w:rsidRPr="00792B36" w:rsidRDefault="000A691F" w:rsidP="000A691F">
      <w:pPr>
        <w:pBdr>
          <w:top w:val="nil"/>
          <w:left w:val="nil"/>
          <w:bottom w:val="nil"/>
          <w:right w:val="nil"/>
          <w:between w:val="nil"/>
        </w:pBdr>
        <w:ind w:left="825"/>
        <w:jc w:val="thaiDistribute"/>
        <w:rPr>
          <w:sz w:val="24"/>
          <w:szCs w:val="24"/>
        </w:rPr>
      </w:pPr>
    </w:p>
    <w:p w14:paraId="57B6E448" w14:textId="77777777" w:rsidR="000A691F" w:rsidRPr="00792B36" w:rsidRDefault="000A691F" w:rsidP="000A691F">
      <w:pPr>
        <w:numPr>
          <w:ilvl w:val="0"/>
          <w:numId w:val="7"/>
        </w:numPr>
        <w:pBdr>
          <w:top w:val="nil"/>
          <w:left w:val="nil"/>
          <w:bottom w:val="nil"/>
          <w:right w:val="nil"/>
          <w:between w:val="nil"/>
        </w:pBdr>
        <w:ind w:left="825"/>
        <w:jc w:val="thaiDistribute"/>
        <w:rPr>
          <w:sz w:val="24"/>
          <w:szCs w:val="24"/>
        </w:rPr>
      </w:pPr>
      <w:r w:rsidRPr="00792B36">
        <w:rPr>
          <w:rFonts w:eastAsia="Google Sans Text"/>
          <w:color w:val="1F1F1F"/>
          <w:sz w:val="24"/>
          <w:szCs w:val="24"/>
        </w:rPr>
        <w:t>Wastewater Crisis: A critical infrastructure gap exists, with 59% of domestic wastewater remaining untreated, contributing to seasonal eutrophication in the Upper Gulf.</w:t>
      </w:r>
      <w:r w:rsidRPr="00792B36">
        <w:rPr>
          <w:sz w:val="24"/>
          <w:szCs w:val="24"/>
        </w:rPr>
        <w:t xml:space="preserve"> </w:t>
      </w:r>
    </w:p>
    <w:p w14:paraId="1E6072E7" w14:textId="77777777" w:rsidR="000A691F" w:rsidRPr="00792B36" w:rsidRDefault="000A691F" w:rsidP="000A691F">
      <w:pPr>
        <w:pBdr>
          <w:top w:val="nil"/>
          <w:left w:val="nil"/>
          <w:bottom w:val="nil"/>
          <w:right w:val="nil"/>
          <w:between w:val="nil"/>
        </w:pBdr>
        <w:ind w:left="360"/>
        <w:jc w:val="thaiDistribute"/>
        <w:rPr>
          <w:sz w:val="24"/>
          <w:szCs w:val="24"/>
        </w:rPr>
      </w:pPr>
    </w:p>
    <w:p w14:paraId="7524CC1A" w14:textId="77777777" w:rsidR="000A691F" w:rsidRPr="00792B36" w:rsidRDefault="000A691F" w:rsidP="000A691F">
      <w:pPr>
        <w:numPr>
          <w:ilvl w:val="0"/>
          <w:numId w:val="7"/>
        </w:numPr>
        <w:pBdr>
          <w:top w:val="nil"/>
          <w:left w:val="nil"/>
          <w:bottom w:val="nil"/>
          <w:right w:val="nil"/>
          <w:between w:val="nil"/>
        </w:pBdr>
        <w:ind w:left="825"/>
        <w:jc w:val="thaiDistribute"/>
        <w:rPr>
          <w:sz w:val="24"/>
          <w:szCs w:val="24"/>
        </w:rPr>
      </w:pPr>
      <w:r w:rsidRPr="00792B36">
        <w:rPr>
          <w:rFonts w:eastAsia="Google Sans Text"/>
          <w:color w:val="1F1F1F"/>
          <w:sz w:val="24"/>
          <w:szCs w:val="24"/>
        </w:rPr>
        <w:t xml:space="preserve">Industrial Risks: Rapid expansion in the EEC has concentrated hazardous waste risks (1.63 million tons generated annually), necessitating stricter enforcement in Rayong, Chonburi, and Samut Prakan. </w:t>
      </w:r>
      <w:r w:rsidRPr="00792B36">
        <w:rPr>
          <w:color w:val="000000"/>
          <w:sz w:val="24"/>
          <w:szCs w:val="24"/>
        </w:rPr>
        <w:t xml:space="preserve"> </w:t>
      </w:r>
    </w:p>
    <w:p w14:paraId="1FB6E687" w14:textId="77777777" w:rsidR="000A691F" w:rsidRPr="00792B36" w:rsidRDefault="000A691F" w:rsidP="000A691F">
      <w:pPr>
        <w:pBdr>
          <w:top w:val="nil"/>
          <w:left w:val="nil"/>
          <w:bottom w:val="nil"/>
          <w:right w:val="nil"/>
          <w:between w:val="nil"/>
        </w:pBdr>
        <w:jc w:val="thaiDistribute"/>
        <w:rPr>
          <w:sz w:val="24"/>
          <w:szCs w:val="24"/>
        </w:rPr>
      </w:pPr>
    </w:p>
    <w:p w14:paraId="46B67DDE" w14:textId="77777777" w:rsidR="000A691F" w:rsidRPr="00792B36" w:rsidRDefault="000A691F" w:rsidP="000A691F">
      <w:pPr>
        <w:pStyle w:val="Heading4"/>
        <w:spacing w:before="0" w:after="0"/>
        <w:jc w:val="thaiDistribute"/>
        <w:rPr>
          <w:rFonts w:eastAsia="Google Sans Text"/>
          <w:color w:val="1F1F1F"/>
        </w:rPr>
      </w:pPr>
      <w:r w:rsidRPr="00792B36">
        <w:rPr>
          <w:rFonts w:eastAsia="Google Sans Text"/>
          <w:color w:val="1F1F1F"/>
        </w:rPr>
        <w:t>3) Coastal Ecosystems</w:t>
      </w:r>
    </w:p>
    <w:p w14:paraId="620789A9" w14:textId="77777777" w:rsidR="000A691F" w:rsidRPr="00792B36" w:rsidRDefault="000A691F" w:rsidP="000A691F">
      <w:pPr>
        <w:numPr>
          <w:ilvl w:val="0"/>
          <w:numId w:val="8"/>
        </w:numPr>
        <w:pBdr>
          <w:top w:val="nil"/>
          <w:left w:val="nil"/>
          <w:bottom w:val="nil"/>
          <w:right w:val="nil"/>
          <w:between w:val="nil"/>
        </w:pBdr>
        <w:jc w:val="thaiDistribute"/>
        <w:rPr>
          <w:sz w:val="24"/>
          <w:szCs w:val="24"/>
        </w:rPr>
      </w:pPr>
      <w:r w:rsidRPr="00792B36">
        <w:rPr>
          <w:rFonts w:eastAsia="Google Sans Text"/>
          <w:color w:val="1F1F1F"/>
          <w:sz w:val="24"/>
          <w:szCs w:val="24"/>
        </w:rPr>
        <w:t>Condition Contrast: Offshore reefs (e.g., Koh Losin) remain healthy with ~70% live coral cover, acting as critical larval sources. In contrast, nearshore reefs (e.g., Koh Si Chang) are degraded (29% cover) by sedimentation and pollution.</w:t>
      </w:r>
      <w:r w:rsidRPr="00792B36">
        <w:rPr>
          <w:color w:val="000000"/>
          <w:sz w:val="24"/>
          <w:szCs w:val="24"/>
        </w:rPr>
        <w:br/>
      </w:r>
    </w:p>
    <w:p w14:paraId="5638F455" w14:textId="77777777" w:rsidR="000A691F" w:rsidRPr="00792B36" w:rsidRDefault="000A691F" w:rsidP="000A691F">
      <w:pPr>
        <w:numPr>
          <w:ilvl w:val="0"/>
          <w:numId w:val="8"/>
        </w:numPr>
        <w:pBdr>
          <w:top w:val="nil"/>
          <w:left w:val="nil"/>
          <w:bottom w:val="nil"/>
          <w:right w:val="nil"/>
          <w:between w:val="nil"/>
        </w:pBdr>
        <w:jc w:val="thaiDistribute"/>
        <w:rPr>
          <w:sz w:val="24"/>
          <w:szCs w:val="24"/>
        </w:rPr>
      </w:pPr>
      <w:r w:rsidRPr="00792B36">
        <w:rPr>
          <w:rFonts w:eastAsia="Google Sans Text"/>
          <w:color w:val="1F1F1F"/>
          <w:sz w:val="24"/>
          <w:szCs w:val="24"/>
        </w:rPr>
        <w:t>Blue Carbon Assets: Mangroves and seagrasses are vital carbon sinks, storing 0.25–2 million tonnes of carbon per focal site. However, seagrass meadows (e.g., Bandon Bay) face fragmentation from aquaculture and turbidity.</w:t>
      </w:r>
      <w:r w:rsidRPr="00792B36">
        <w:rPr>
          <w:color w:val="000000"/>
          <w:sz w:val="24"/>
          <w:szCs w:val="24"/>
        </w:rPr>
        <w:br/>
      </w:r>
    </w:p>
    <w:p w14:paraId="620235D9" w14:textId="77777777" w:rsidR="000A691F" w:rsidRPr="00792B36" w:rsidRDefault="000A691F" w:rsidP="000A691F">
      <w:pPr>
        <w:numPr>
          <w:ilvl w:val="0"/>
          <w:numId w:val="8"/>
        </w:numPr>
        <w:pBdr>
          <w:top w:val="nil"/>
          <w:left w:val="nil"/>
          <w:bottom w:val="nil"/>
          <w:right w:val="nil"/>
          <w:between w:val="nil"/>
        </w:pBdr>
        <w:jc w:val="thaiDistribute"/>
        <w:rPr>
          <w:sz w:val="24"/>
          <w:szCs w:val="24"/>
        </w:rPr>
      </w:pPr>
      <w:r w:rsidRPr="00792B36">
        <w:rPr>
          <w:rFonts w:eastAsia="Google Sans Text"/>
          <w:color w:val="1F1F1F"/>
          <w:sz w:val="24"/>
          <w:szCs w:val="24"/>
        </w:rPr>
        <w:t xml:space="preserve">Economic Value: The ecosystem services of the five focal sites alone are valued between USD 17–32 million per site annually. </w:t>
      </w:r>
    </w:p>
    <w:p w14:paraId="09D89EED" w14:textId="77777777" w:rsidR="000A691F" w:rsidRPr="00792B36" w:rsidRDefault="000A691F" w:rsidP="000A691F">
      <w:pPr>
        <w:pBdr>
          <w:top w:val="nil"/>
          <w:left w:val="nil"/>
          <w:bottom w:val="nil"/>
          <w:right w:val="nil"/>
          <w:between w:val="nil"/>
        </w:pBdr>
        <w:ind w:left="105"/>
        <w:jc w:val="thaiDistribute"/>
        <w:rPr>
          <w:sz w:val="24"/>
          <w:szCs w:val="24"/>
        </w:rPr>
      </w:pPr>
    </w:p>
    <w:p w14:paraId="56559C73" w14:textId="77777777" w:rsidR="000A691F" w:rsidRPr="00792B36" w:rsidRDefault="000A691F" w:rsidP="000A691F">
      <w:pPr>
        <w:pStyle w:val="Heading4"/>
        <w:spacing w:before="0" w:after="0"/>
        <w:jc w:val="thaiDistribute"/>
        <w:rPr>
          <w:rFonts w:eastAsia="Google Sans Text"/>
          <w:color w:val="1F1F1F"/>
        </w:rPr>
      </w:pPr>
      <w:r w:rsidRPr="00792B36">
        <w:rPr>
          <w:rFonts w:eastAsia="Google Sans Text"/>
          <w:color w:val="1F1F1F"/>
        </w:rPr>
        <w:t>4) Fisheries</w:t>
      </w:r>
    </w:p>
    <w:p w14:paraId="2D5FC404" w14:textId="77777777" w:rsidR="000A691F" w:rsidRPr="00792B36" w:rsidRDefault="000A691F" w:rsidP="000A691F">
      <w:pPr>
        <w:numPr>
          <w:ilvl w:val="0"/>
          <w:numId w:val="9"/>
        </w:numPr>
        <w:pBdr>
          <w:top w:val="nil"/>
          <w:left w:val="nil"/>
          <w:bottom w:val="nil"/>
          <w:right w:val="nil"/>
          <w:between w:val="nil"/>
        </w:pBdr>
        <w:ind w:left="825"/>
        <w:jc w:val="thaiDistribute"/>
        <w:rPr>
          <w:sz w:val="24"/>
          <w:szCs w:val="24"/>
        </w:rPr>
      </w:pPr>
      <w:r w:rsidRPr="00792B36">
        <w:rPr>
          <w:rFonts w:eastAsia="Google Sans Text"/>
          <w:color w:val="1F1F1F"/>
          <w:sz w:val="24"/>
          <w:szCs w:val="24"/>
        </w:rPr>
        <w:t>Stock Recovery: Following the 2015 legal reforms, the sector has transitioned from collapse to stabilization. Catch Per Unit Effort (CPUE) recovered from a low of 14.69 kg/hr (2013) to 21.52 kg/hr (2023).</w:t>
      </w:r>
    </w:p>
    <w:p w14:paraId="4DEF97EE" w14:textId="77777777" w:rsidR="000A691F" w:rsidRPr="00792B36" w:rsidRDefault="000A691F" w:rsidP="000A691F">
      <w:pPr>
        <w:pBdr>
          <w:top w:val="nil"/>
          <w:left w:val="nil"/>
          <w:bottom w:val="nil"/>
          <w:right w:val="nil"/>
          <w:between w:val="nil"/>
        </w:pBdr>
        <w:ind w:left="825"/>
        <w:jc w:val="thaiDistribute"/>
        <w:rPr>
          <w:sz w:val="24"/>
          <w:szCs w:val="24"/>
        </w:rPr>
      </w:pPr>
    </w:p>
    <w:p w14:paraId="7BA4746D" w14:textId="77777777" w:rsidR="000A691F" w:rsidRPr="00792B36" w:rsidRDefault="000A691F" w:rsidP="000A691F">
      <w:pPr>
        <w:numPr>
          <w:ilvl w:val="0"/>
          <w:numId w:val="9"/>
        </w:numPr>
        <w:pBdr>
          <w:top w:val="nil"/>
          <w:left w:val="nil"/>
          <w:bottom w:val="nil"/>
          <w:right w:val="nil"/>
          <w:between w:val="nil"/>
        </w:pBdr>
        <w:ind w:left="825"/>
        <w:jc w:val="thaiDistribute"/>
        <w:rPr>
          <w:sz w:val="24"/>
          <w:szCs w:val="24"/>
        </w:rPr>
      </w:pPr>
      <w:r w:rsidRPr="00792B36">
        <w:rPr>
          <w:rFonts w:eastAsia="Google Sans Text"/>
          <w:color w:val="1F1F1F"/>
          <w:sz w:val="24"/>
          <w:szCs w:val="24"/>
        </w:rPr>
        <w:t>Biomass Status: Current assessments indicate that the biomass of demersal, pelagic, and anchovy groups is now above the level producing MSY ($B &gt; B_{MSY}$).</w:t>
      </w:r>
      <w:r w:rsidRPr="00792B36">
        <w:rPr>
          <w:color w:val="000000"/>
          <w:sz w:val="24"/>
          <w:szCs w:val="24"/>
        </w:rPr>
        <w:br/>
      </w:r>
    </w:p>
    <w:p w14:paraId="6F137A2C" w14:textId="77777777" w:rsidR="000A691F" w:rsidRPr="00792B36" w:rsidRDefault="000A691F" w:rsidP="000A691F">
      <w:pPr>
        <w:numPr>
          <w:ilvl w:val="0"/>
          <w:numId w:val="9"/>
        </w:numPr>
        <w:pBdr>
          <w:top w:val="nil"/>
          <w:left w:val="nil"/>
          <w:bottom w:val="nil"/>
          <w:right w:val="nil"/>
          <w:between w:val="nil"/>
        </w:pBdr>
        <w:ind w:left="825"/>
        <w:jc w:val="thaiDistribute"/>
        <w:rPr>
          <w:sz w:val="24"/>
          <w:szCs w:val="24"/>
        </w:rPr>
      </w:pPr>
      <w:r w:rsidRPr="00792B36">
        <w:rPr>
          <w:rFonts w:eastAsia="Google Sans Text"/>
          <w:color w:val="1F1F1F"/>
          <w:sz w:val="24"/>
          <w:szCs w:val="24"/>
        </w:rPr>
        <w:t>Persistent Issues: Challenges remain regarding the high catch of juvenile "trash fish" by trawlers and "effort creep" (increased efficiency despite fishing day limits).</w:t>
      </w:r>
    </w:p>
    <w:p w14:paraId="5942DE7F" w14:textId="77777777" w:rsidR="000A691F" w:rsidRPr="00792B36" w:rsidRDefault="000A691F" w:rsidP="000A691F">
      <w:pPr>
        <w:pBdr>
          <w:top w:val="nil"/>
          <w:left w:val="nil"/>
          <w:bottom w:val="nil"/>
          <w:right w:val="nil"/>
          <w:between w:val="nil"/>
        </w:pBdr>
        <w:ind w:left="825"/>
        <w:jc w:val="thaiDistribute"/>
        <w:rPr>
          <w:sz w:val="24"/>
          <w:szCs w:val="24"/>
        </w:rPr>
      </w:pPr>
    </w:p>
    <w:p w14:paraId="755E995B" w14:textId="77777777" w:rsidR="000A691F" w:rsidRPr="00792B36" w:rsidRDefault="000A691F" w:rsidP="000A691F">
      <w:pPr>
        <w:pStyle w:val="Heading4"/>
        <w:spacing w:before="0" w:after="0"/>
        <w:jc w:val="thaiDistribute"/>
        <w:rPr>
          <w:rFonts w:eastAsia="Google Sans Text"/>
          <w:color w:val="1F1F1F"/>
        </w:rPr>
      </w:pPr>
      <w:r w:rsidRPr="00792B36">
        <w:rPr>
          <w:rFonts w:eastAsia="Google Sans Text"/>
          <w:color w:val="1F1F1F"/>
        </w:rPr>
        <w:t>5) Governance</w:t>
      </w:r>
    </w:p>
    <w:p w14:paraId="492E357D" w14:textId="77777777" w:rsidR="000A691F" w:rsidRPr="00792B36" w:rsidRDefault="000A691F" w:rsidP="000A691F">
      <w:pPr>
        <w:numPr>
          <w:ilvl w:val="0"/>
          <w:numId w:val="10"/>
        </w:numPr>
        <w:pBdr>
          <w:top w:val="nil"/>
          <w:left w:val="nil"/>
          <w:bottom w:val="nil"/>
          <w:right w:val="nil"/>
          <w:between w:val="nil"/>
        </w:pBdr>
        <w:ind w:left="825"/>
        <w:jc w:val="thaiDistribute"/>
        <w:rPr>
          <w:sz w:val="24"/>
          <w:szCs w:val="24"/>
        </w:rPr>
      </w:pPr>
      <w:r w:rsidRPr="00792B36">
        <w:rPr>
          <w:rFonts w:eastAsia="Google Sans Text"/>
          <w:color w:val="1F1F1F"/>
          <w:sz w:val="24"/>
          <w:szCs w:val="24"/>
        </w:rPr>
        <w:t xml:space="preserve">Structural Gaps: While Thailand has a strong legal framework (e.g., 2015 Marine Coastal Act), a significant "implementation gap" persists at the provincial level due to weak sectoral integration and budget constraints. </w:t>
      </w:r>
    </w:p>
    <w:p w14:paraId="0CC6D8CD" w14:textId="77777777" w:rsidR="000A691F" w:rsidRPr="00792B36" w:rsidRDefault="000A691F" w:rsidP="000A691F">
      <w:pPr>
        <w:pBdr>
          <w:top w:val="nil"/>
          <w:left w:val="nil"/>
          <w:bottom w:val="nil"/>
          <w:right w:val="nil"/>
          <w:between w:val="nil"/>
        </w:pBdr>
        <w:ind w:left="825"/>
        <w:jc w:val="thaiDistribute"/>
        <w:rPr>
          <w:sz w:val="24"/>
          <w:szCs w:val="24"/>
        </w:rPr>
      </w:pPr>
    </w:p>
    <w:p w14:paraId="4377E286" w14:textId="77777777" w:rsidR="000A691F" w:rsidRPr="00792B36" w:rsidRDefault="000A691F" w:rsidP="000A691F">
      <w:pPr>
        <w:numPr>
          <w:ilvl w:val="0"/>
          <w:numId w:val="10"/>
        </w:numPr>
        <w:pBdr>
          <w:top w:val="nil"/>
          <w:left w:val="nil"/>
          <w:bottom w:val="nil"/>
          <w:right w:val="nil"/>
          <w:between w:val="nil"/>
        </w:pBdr>
        <w:ind w:left="825"/>
        <w:jc w:val="thaiDistribute"/>
        <w:rPr>
          <w:sz w:val="24"/>
          <w:szCs w:val="24"/>
        </w:rPr>
      </w:pPr>
      <w:r w:rsidRPr="00792B36">
        <w:rPr>
          <w:rFonts w:eastAsia="Google Sans Text"/>
          <w:color w:val="1F1F1F"/>
          <w:sz w:val="24"/>
          <w:szCs w:val="24"/>
        </w:rPr>
        <w:t>Economic Disparity: High-income EEC provinces possess strong fiscal capacity for management, while resource-dependent provinces in the Deep South lack the funds for effective conservation, creating unequal governance outcomes.</w:t>
      </w:r>
      <w:r w:rsidRPr="00792B36">
        <w:rPr>
          <w:color w:val="000000"/>
          <w:sz w:val="24"/>
          <w:szCs w:val="24"/>
        </w:rPr>
        <w:br/>
      </w:r>
    </w:p>
    <w:p w14:paraId="693A1567" w14:textId="77777777" w:rsidR="000A691F" w:rsidRPr="00792B36" w:rsidRDefault="000A691F" w:rsidP="000A691F">
      <w:pPr>
        <w:pBdr>
          <w:top w:val="nil"/>
          <w:left w:val="nil"/>
          <w:bottom w:val="nil"/>
          <w:right w:val="nil"/>
          <w:between w:val="nil"/>
        </w:pBdr>
        <w:jc w:val="thaiDistribute"/>
        <w:rPr>
          <w:sz w:val="24"/>
          <w:szCs w:val="24"/>
        </w:rPr>
      </w:pPr>
    </w:p>
    <w:p w14:paraId="745411BE" w14:textId="77777777" w:rsidR="000A691F" w:rsidRPr="00792B36" w:rsidRDefault="000A691F" w:rsidP="000A691F">
      <w:pPr>
        <w:pStyle w:val="Heading3"/>
        <w:spacing w:before="0" w:after="0"/>
        <w:jc w:val="thaiDistribute"/>
        <w:rPr>
          <w:rFonts w:eastAsia="Google Sans"/>
          <w:color w:val="1F1F1F"/>
          <w:sz w:val="24"/>
          <w:szCs w:val="24"/>
        </w:rPr>
      </w:pPr>
      <w:r w:rsidRPr="00792B36">
        <w:rPr>
          <w:rFonts w:eastAsia="Google Sans"/>
          <w:color w:val="1F1F1F"/>
          <w:sz w:val="24"/>
          <w:szCs w:val="24"/>
        </w:rPr>
        <w:t>Recommended Priority Actions</w:t>
      </w:r>
    </w:p>
    <w:p w14:paraId="5839937E" w14:textId="77777777" w:rsidR="000A691F" w:rsidRPr="00792B36" w:rsidRDefault="000A691F" w:rsidP="000A691F"/>
    <w:p w14:paraId="33DC3126" w14:textId="77777777" w:rsidR="000A691F" w:rsidRPr="00792B36" w:rsidRDefault="000A691F" w:rsidP="000A691F">
      <w:pPr>
        <w:pBdr>
          <w:top w:val="nil"/>
          <w:left w:val="nil"/>
          <w:bottom w:val="nil"/>
          <w:right w:val="nil"/>
          <w:between w:val="nil"/>
        </w:pBdr>
        <w:jc w:val="thaiDistribute"/>
        <w:rPr>
          <w:rFonts w:eastAsia="Google Sans Text"/>
          <w:color w:val="1F1F1F"/>
          <w:sz w:val="24"/>
          <w:szCs w:val="24"/>
        </w:rPr>
      </w:pPr>
      <w:r w:rsidRPr="00792B36">
        <w:rPr>
          <w:rFonts w:eastAsia="Google Sans Text"/>
          <w:color w:val="1F1F1F"/>
          <w:sz w:val="24"/>
          <w:szCs w:val="24"/>
        </w:rPr>
        <w:t>To address these challenges, the TDA outlines a strategic roadmap shifting from reactive to proactive governance:</w:t>
      </w:r>
    </w:p>
    <w:p w14:paraId="2156599F" w14:textId="77777777" w:rsidR="000A691F" w:rsidRPr="00792B36" w:rsidRDefault="000A691F" w:rsidP="000A691F">
      <w:pPr>
        <w:pBdr>
          <w:top w:val="nil"/>
          <w:left w:val="nil"/>
          <w:bottom w:val="nil"/>
          <w:right w:val="nil"/>
          <w:between w:val="nil"/>
        </w:pBdr>
        <w:jc w:val="thaiDistribute"/>
        <w:rPr>
          <w:rFonts w:eastAsia="Google Sans Text"/>
          <w:color w:val="1F1F1F"/>
          <w:sz w:val="24"/>
          <w:szCs w:val="24"/>
        </w:rPr>
      </w:pPr>
    </w:p>
    <w:p w14:paraId="08B8E1F0" w14:textId="77777777" w:rsidR="000A691F" w:rsidRPr="00792B36" w:rsidRDefault="000A691F" w:rsidP="000A691F">
      <w:pPr>
        <w:pStyle w:val="ListParagraph"/>
        <w:numPr>
          <w:ilvl w:val="0"/>
          <w:numId w:val="11"/>
        </w:numPr>
        <w:pBdr>
          <w:top w:val="nil"/>
          <w:left w:val="nil"/>
          <w:bottom w:val="nil"/>
          <w:right w:val="nil"/>
          <w:between w:val="nil"/>
        </w:pBdr>
        <w:jc w:val="thaiDistribute"/>
        <w:rPr>
          <w:rFonts w:cs="Arial"/>
          <w:sz w:val="24"/>
          <w:szCs w:val="24"/>
        </w:rPr>
      </w:pPr>
      <w:r w:rsidRPr="00792B36">
        <w:rPr>
          <w:rFonts w:eastAsia="Google Sans Text" w:cs="Arial"/>
          <w:color w:val="1F1F1F"/>
          <w:sz w:val="24"/>
          <w:szCs w:val="24"/>
        </w:rPr>
        <w:t xml:space="preserve">Mainstream Proactive Risk Governance: Shift national budgeting from post-disaster relief to pre-disaster mitigation. Apply risk assessment models (like CRI) </w:t>
      </w:r>
      <w:r w:rsidRPr="00792B36">
        <w:rPr>
          <w:rFonts w:eastAsia="Google Sans Text" w:cs="Arial"/>
          <w:color w:val="1F1F1F"/>
          <w:sz w:val="24"/>
          <w:szCs w:val="24"/>
        </w:rPr>
        <w:lastRenderedPageBreak/>
        <w:t xml:space="preserve">to justify preventative investments in provincial plans. </w:t>
      </w:r>
    </w:p>
    <w:p w14:paraId="37C05801" w14:textId="77777777" w:rsidR="000A691F" w:rsidRPr="00792B36" w:rsidRDefault="000A691F" w:rsidP="000A691F">
      <w:pPr>
        <w:pBdr>
          <w:top w:val="nil"/>
          <w:left w:val="nil"/>
          <w:bottom w:val="nil"/>
          <w:right w:val="nil"/>
          <w:between w:val="nil"/>
        </w:pBdr>
        <w:ind w:left="120"/>
        <w:jc w:val="thaiDistribute"/>
        <w:rPr>
          <w:sz w:val="24"/>
          <w:szCs w:val="24"/>
        </w:rPr>
      </w:pPr>
    </w:p>
    <w:p w14:paraId="68FCF175" w14:textId="77777777" w:rsidR="000A691F" w:rsidRPr="00792B36" w:rsidRDefault="000A691F" w:rsidP="000A691F">
      <w:pPr>
        <w:numPr>
          <w:ilvl w:val="0"/>
          <w:numId w:val="11"/>
        </w:numPr>
        <w:pBdr>
          <w:top w:val="nil"/>
          <w:left w:val="nil"/>
          <w:bottom w:val="nil"/>
          <w:right w:val="nil"/>
          <w:between w:val="nil"/>
        </w:pBdr>
        <w:jc w:val="thaiDistribute"/>
        <w:rPr>
          <w:sz w:val="24"/>
          <w:szCs w:val="24"/>
        </w:rPr>
      </w:pPr>
      <w:r w:rsidRPr="00792B36">
        <w:rPr>
          <w:rFonts w:eastAsia="Google Sans Text"/>
          <w:color w:val="1F1F1F"/>
          <w:sz w:val="24"/>
          <w:szCs w:val="24"/>
        </w:rPr>
        <w:t>Implement Area-Based Adaptation:</w:t>
      </w:r>
    </w:p>
    <w:p w14:paraId="4AC80034" w14:textId="77777777" w:rsidR="000A691F" w:rsidRPr="00792B36" w:rsidRDefault="000A691F" w:rsidP="000A691F">
      <w:pPr>
        <w:numPr>
          <w:ilvl w:val="1"/>
          <w:numId w:val="12"/>
        </w:numPr>
        <w:pBdr>
          <w:top w:val="nil"/>
          <w:left w:val="nil"/>
          <w:bottom w:val="nil"/>
          <w:right w:val="nil"/>
          <w:between w:val="nil"/>
        </w:pBdr>
        <w:jc w:val="thaiDistribute"/>
        <w:rPr>
          <w:sz w:val="24"/>
          <w:szCs w:val="24"/>
        </w:rPr>
      </w:pPr>
      <w:r w:rsidRPr="00792B36">
        <w:rPr>
          <w:rFonts w:eastAsia="Google Sans Text"/>
          <w:i/>
          <w:iCs/>
          <w:color w:val="1F1F1F"/>
          <w:sz w:val="24"/>
          <w:szCs w:val="24"/>
        </w:rPr>
        <w:t>Intensity Zones:</w:t>
      </w:r>
      <w:r w:rsidRPr="00792B36">
        <w:rPr>
          <w:rFonts w:eastAsia="Google Sans Text"/>
          <w:color w:val="1F1F1F"/>
          <w:sz w:val="24"/>
          <w:szCs w:val="24"/>
        </w:rPr>
        <w:t xml:space="preserve"> Enforce climate-proofing for infrastructure in urban hubs.</w:t>
      </w:r>
    </w:p>
    <w:p w14:paraId="75BC978A" w14:textId="77777777" w:rsidR="000A691F" w:rsidRPr="00792B36" w:rsidRDefault="000A691F" w:rsidP="000A691F">
      <w:pPr>
        <w:numPr>
          <w:ilvl w:val="1"/>
          <w:numId w:val="12"/>
        </w:numPr>
        <w:pBdr>
          <w:top w:val="nil"/>
          <w:left w:val="nil"/>
          <w:bottom w:val="nil"/>
          <w:right w:val="nil"/>
          <w:between w:val="nil"/>
        </w:pBdr>
        <w:jc w:val="thaiDistribute"/>
        <w:rPr>
          <w:sz w:val="24"/>
          <w:szCs w:val="24"/>
        </w:rPr>
      </w:pPr>
      <w:r w:rsidRPr="00792B36">
        <w:rPr>
          <w:rFonts w:eastAsia="Google Sans Text"/>
          <w:i/>
          <w:iCs/>
          <w:color w:val="1F1F1F"/>
          <w:sz w:val="24"/>
          <w:szCs w:val="24"/>
        </w:rPr>
        <w:t>Magnitude Zones:</w:t>
      </w:r>
      <w:r w:rsidRPr="00792B36">
        <w:rPr>
          <w:rFonts w:eastAsia="Google Sans Text"/>
          <w:color w:val="1F1F1F"/>
          <w:sz w:val="24"/>
          <w:szCs w:val="24"/>
        </w:rPr>
        <w:t xml:space="preserve"> Invest in large-scale Ecosystem-based Adaptation (EbA) like mangrove restoration. </w:t>
      </w:r>
    </w:p>
    <w:p w14:paraId="5F0E825D" w14:textId="77777777" w:rsidR="000A691F" w:rsidRPr="00792B36" w:rsidRDefault="000A691F" w:rsidP="000A691F">
      <w:pPr>
        <w:pBdr>
          <w:top w:val="nil"/>
          <w:left w:val="nil"/>
          <w:bottom w:val="nil"/>
          <w:right w:val="nil"/>
          <w:between w:val="nil"/>
        </w:pBdr>
        <w:jc w:val="thaiDistribute"/>
        <w:rPr>
          <w:sz w:val="24"/>
          <w:szCs w:val="24"/>
        </w:rPr>
      </w:pPr>
    </w:p>
    <w:p w14:paraId="4AAC25F1" w14:textId="77777777" w:rsidR="000A691F" w:rsidRPr="00792B36" w:rsidRDefault="000A691F" w:rsidP="000A691F">
      <w:pPr>
        <w:numPr>
          <w:ilvl w:val="0"/>
          <w:numId w:val="11"/>
        </w:numPr>
        <w:pBdr>
          <w:top w:val="nil"/>
          <w:left w:val="nil"/>
          <w:bottom w:val="nil"/>
          <w:right w:val="nil"/>
          <w:between w:val="nil"/>
        </w:pBdr>
        <w:jc w:val="thaiDistribute"/>
        <w:rPr>
          <w:sz w:val="24"/>
          <w:szCs w:val="24"/>
        </w:rPr>
      </w:pPr>
      <w:r w:rsidRPr="00792B36">
        <w:rPr>
          <w:rFonts w:eastAsia="Google Sans Text"/>
          <w:color w:val="1F1F1F"/>
          <w:sz w:val="24"/>
          <w:szCs w:val="24"/>
        </w:rPr>
        <w:t>Enhance Regional Cooperation:</w:t>
      </w:r>
    </w:p>
    <w:p w14:paraId="49386791" w14:textId="77777777" w:rsidR="000A691F" w:rsidRPr="00792B36" w:rsidRDefault="000A691F" w:rsidP="000A691F">
      <w:pPr>
        <w:numPr>
          <w:ilvl w:val="1"/>
          <w:numId w:val="13"/>
        </w:numPr>
        <w:pBdr>
          <w:top w:val="nil"/>
          <w:left w:val="nil"/>
          <w:bottom w:val="nil"/>
          <w:right w:val="nil"/>
          <w:between w:val="nil"/>
        </w:pBdr>
        <w:jc w:val="thaiDistribute"/>
        <w:rPr>
          <w:sz w:val="24"/>
          <w:szCs w:val="24"/>
        </w:rPr>
      </w:pPr>
      <w:r w:rsidRPr="00792B36">
        <w:rPr>
          <w:rFonts w:eastAsia="Google Sans Text"/>
          <w:i/>
          <w:iCs/>
          <w:color w:val="1F1F1F"/>
          <w:sz w:val="24"/>
          <w:szCs w:val="24"/>
        </w:rPr>
        <w:t>Pollution:</w:t>
      </w:r>
      <w:r w:rsidRPr="00792B36">
        <w:rPr>
          <w:rFonts w:eastAsia="Google Sans Text"/>
          <w:color w:val="1F1F1F"/>
          <w:sz w:val="24"/>
          <w:szCs w:val="24"/>
        </w:rPr>
        <w:t xml:space="preserve"> Harmonize monitoring protocols and implement Extended Producer Responsibility (EPR) schemes under ASEAN/COBSEA frameworks.</w:t>
      </w:r>
    </w:p>
    <w:p w14:paraId="13E9F76D" w14:textId="77777777" w:rsidR="000A691F" w:rsidRPr="00792B36" w:rsidRDefault="000A691F" w:rsidP="000A691F">
      <w:pPr>
        <w:numPr>
          <w:ilvl w:val="1"/>
          <w:numId w:val="13"/>
        </w:numPr>
        <w:pBdr>
          <w:top w:val="nil"/>
          <w:left w:val="nil"/>
          <w:bottom w:val="nil"/>
          <w:right w:val="nil"/>
          <w:between w:val="nil"/>
        </w:pBdr>
        <w:jc w:val="thaiDistribute"/>
        <w:rPr>
          <w:sz w:val="24"/>
          <w:szCs w:val="24"/>
        </w:rPr>
      </w:pPr>
      <w:r w:rsidRPr="00792B36">
        <w:rPr>
          <w:rFonts w:eastAsia="Google Sans Text"/>
          <w:i/>
          <w:iCs/>
          <w:color w:val="1F1F1F"/>
          <w:sz w:val="24"/>
          <w:szCs w:val="24"/>
        </w:rPr>
        <w:t>Fisheries:</w:t>
      </w:r>
      <w:r w:rsidRPr="00792B36">
        <w:rPr>
          <w:rFonts w:eastAsia="Google Sans Text"/>
          <w:color w:val="1F1F1F"/>
          <w:sz w:val="24"/>
          <w:szCs w:val="24"/>
        </w:rPr>
        <w:t xml:space="preserve"> Establish joint management plans and regional Total Allowable Catch (TAC) for transboundary species like neritic tunas and mackerel.</w:t>
      </w:r>
    </w:p>
    <w:p w14:paraId="11C5CA98" w14:textId="77777777" w:rsidR="000A691F" w:rsidRPr="00792B36" w:rsidRDefault="000A691F" w:rsidP="000A691F">
      <w:pPr>
        <w:pBdr>
          <w:top w:val="nil"/>
          <w:left w:val="nil"/>
          <w:bottom w:val="nil"/>
          <w:right w:val="nil"/>
          <w:between w:val="nil"/>
        </w:pBdr>
        <w:jc w:val="thaiDistribute"/>
        <w:rPr>
          <w:sz w:val="24"/>
          <w:szCs w:val="24"/>
        </w:rPr>
      </w:pPr>
    </w:p>
    <w:p w14:paraId="6BF9F352" w14:textId="77777777" w:rsidR="000A691F" w:rsidRPr="00792B36" w:rsidRDefault="000A691F" w:rsidP="000A691F">
      <w:pPr>
        <w:numPr>
          <w:ilvl w:val="0"/>
          <w:numId w:val="11"/>
        </w:numPr>
        <w:pBdr>
          <w:top w:val="nil"/>
          <w:left w:val="nil"/>
          <w:bottom w:val="nil"/>
          <w:right w:val="nil"/>
          <w:between w:val="nil"/>
        </w:pBdr>
        <w:jc w:val="thaiDistribute"/>
        <w:rPr>
          <w:sz w:val="24"/>
          <w:szCs w:val="24"/>
        </w:rPr>
      </w:pPr>
      <w:r w:rsidRPr="00792B36">
        <w:rPr>
          <w:rFonts w:eastAsia="Google Sans Text"/>
          <w:color w:val="1F1F1F"/>
          <w:sz w:val="24"/>
          <w:szCs w:val="24"/>
        </w:rPr>
        <w:t xml:space="preserve">Strengthen Ecosystem Management: Accelerate the transition to Ecosystem-Based Management (EBM) by scaling up "Blue Carbon" financing and resolving legal contradictions regarding by-catch and gear selectivity. </w:t>
      </w:r>
    </w:p>
    <w:p w14:paraId="6EF88347" w14:textId="77777777" w:rsidR="000A691F" w:rsidRPr="00792B36" w:rsidRDefault="000A691F" w:rsidP="000A691F">
      <w:pPr>
        <w:pBdr>
          <w:top w:val="nil"/>
          <w:left w:val="nil"/>
          <w:bottom w:val="nil"/>
          <w:right w:val="nil"/>
          <w:between w:val="nil"/>
        </w:pBdr>
        <w:ind w:left="480"/>
        <w:jc w:val="thaiDistribute"/>
        <w:rPr>
          <w:sz w:val="24"/>
          <w:szCs w:val="24"/>
        </w:rPr>
      </w:pPr>
    </w:p>
    <w:p w14:paraId="0CBC47B9" w14:textId="77777777" w:rsidR="000A691F" w:rsidRPr="00792B36" w:rsidRDefault="000A691F" w:rsidP="00B1503D">
      <w:pPr>
        <w:numPr>
          <w:ilvl w:val="0"/>
          <w:numId w:val="11"/>
        </w:numPr>
        <w:pBdr>
          <w:top w:val="nil"/>
          <w:left w:val="nil"/>
          <w:bottom w:val="nil"/>
          <w:right w:val="nil"/>
          <w:between w:val="nil"/>
        </w:pBdr>
        <w:jc w:val="thaiDistribute"/>
        <w:rPr>
          <w:sz w:val="24"/>
          <w:szCs w:val="24"/>
        </w:rPr>
      </w:pPr>
      <w:r w:rsidRPr="00792B36">
        <w:rPr>
          <w:rFonts w:eastAsia="Google Sans Text"/>
          <w:color w:val="1F1F1F"/>
          <w:sz w:val="24"/>
          <w:szCs w:val="24"/>
        </w:rPr>
        <w:t>Governance Integration: Finalize the Climate Change Act to provide a binding legal framework and improve cross-sectoral coordination between the DMCR, key ministries, and provincial authorities.</w:t>
      </w:r>
    </w:p>
    <w:p w14:paraId="521DAB9A" w14:textId="77777777" w:rsidR="00B1503D" w:rsidRPr="00792B36" w:rsidRDefault="00B1503D" w:rsidP="00B1503D">
      <w:pPr>
        <w:pBdr>
          <w:top w:val="nil"/>
          <w:left w:val="nil"/>
          <w:bottom w:val="nil"/>
          <w:right w:val="nil"/>
          <w:between w:val="nil"/>
        </w:pBdr>
        <w:jc w:val="thaiDistribute"/>
        <w:rPr>
          <w:rFonts w:eastAsia="Google Sans Text"/>
          <w:color w:val="1F1F1F"/>
          <w:sz w:val="24"/>
          <w:szCs w:val="24"/>
        </w:rPr>
      </w:pPr>
    </w:p>
    <w:p w14:paraId="443AB24F" w14:textId="77777777" w:rsidR="00B1503D" w:rsidRPr="00792B36" w:rsidRDefault="00B1503D" w:rsidP="00B1503D">
      <w:pPr>
        <w:pBdr>
          <w:top w:val="nil"/>
          <w:left w:val="nil"/>
          <w:bottom w:val="nil"/>
          <w:right w:val="nil"/>
          <w:between w:val="nil"/>
        </w:pBdr>
        <w:jc w:val="thaiDistribute"/>
        <w:rPr>
          <w:rFonts w:eastAsia="Google Sans Text"/>
          <w:color w:val="1F1F1F"/>
          <w:sz w:val="24"/>
          <w:szCs w:val="24"/>
        </w:rPr>
      </w:pPr>
    </w:p>
    <w:p w14:paraId="53266CE4" w14:textId="77777777" w:rsidR="00B1503D" w:rsidRPr="00792B36" w:rsidRDefault="00B1503D" w:rsidP="00B1503D">
      <w:pPr>
        <w:pBdr>
          <w:top w:val="nil"/>
          <w:left w:val="nil"/>
          <w:bottom w:val="nil"/>
          <w:right w:val="nil"/>
          <w:between w:val="nil"/>
        </w:pBdr>
        <w:jc w:val="thaiDistribute"/>
        <w:rPr>
          <w:rFonts w:eastAsia="Google Sans Text"/>
          <w:color w:val="1F1F1F"/>
          <w:sz w:val="24"/>
          <w:szCs w:val="24"/>
        </w:rPr>
      </w:pPr>
    </w:p>
    <w:p w14:paraId="302FB800" w14:textId="77777777" w:rsidR="00B1503D" w:rsidRPr="00792B36" w:rsidRDefault="00B1503D" w:rsidP="00B1503D">
      <w:pPr>
        <w:pBdr>
          <w:top w:val="nil"/>
          <w:left w:val="nil"/>
          <w:bottom w:val="nil"/>
          <w:right w:val="nil"/>
          <w:between w:val="nil"/>
        </w:pBdr>
        <w:jc w:val="thaiDistribute"/>
        <w:rPr>
          <w:rFonts w:eastAsia="Google Sans Text"/>
          <w:color w:val="1F1F1F"/>
          <w:sz w:val="24"/>
          <w:szCs w:val="24"/>
        </w:rPr>
      </w:pPr>
    </w:p>
    <w:p w14:paraId="5DC4F38C" w14:textId="77777777" w:rsidR="00B1503D" w:rsidRPr="00792B36" w:rsidRDefault="00B1503D" w:rsidP="00B1503D">
      <w:pPr>
        <w:pBdr>
          <w:top w:val="nil"/>
          <w:left w:val="nil"/>
          <w:bottom w:val="nil"/>
          <w:right w:val="nil"/>
          <w:between w:val="nil"/>
        </w:pBdr>
        <w:jc w:val="thaiDistribute"/>
        <w:rPr>
          <w:rFonts w:eastAsia="Google Sans Text"/>
          <w:b/>
          <w:bCs/>
          <w:color w:val="1F1F1F"/>
          <w:sz w:val="28"/>
          <w:szCs w:val="28"/>
        </w:rPr>
      </w:pPr>
    </w:p>
    <w:p w14:paraId="4F9A57B5" w14:textId="77777777" w:rsidR="00B1503D" w:rsidRPr="00792B36" w:rsidRDefault="00B1503D" w:rsidP="00B1503D">
      <w:pPr>
        <w:pBdr>
          <w:top w:val="nil"/>
          <w:left w:val="nil"/>
          <w:bottom w:val="nil"/>
          <w:right w:val="nil"/>
          <w:between w:val="nil"/>
        </w:pBdr>
        <w:jc w:val="thaiDistribute"/>
        <w:rPr>
          <w:rFonts w:eastAsia="Google Sans Text"/>
          <w:b/>
          <w:bCs/>
          <w:color w:val="1F1F1F"/>
          <w:sz w:val="28"/>
          <w:szCs w:val="28"/>
        </w:rPr>
      </w:pPr>
    </w:p>
    <w:p w14:paraId="44DCE7CF" w14:textId="77777777" w:rsidR="00B1503D" w:rsidRPr="00792B36" w:rsidRDefault="00B1503D" w:rsidP="00B1503D">
      <w:pPr>
        <w:pBdr>
          <w:top w:val="nil"/>
          <w:left w:val="nil"/>
          <w:bottom w:val="nil"/>
          <w:right w:val="nil"/>
          <w:between w:val="nil"/>
        </w:pBdr>
        <w:jc w:val="thaiDistribute"/>
        <w:rPr>
          <w:rFonts w:eastAsia="Google Sans Text"/>
          <w:b/>
          <w:bCs/>
          <w:color w:val="1F1F1F"/>
          <w:sz w:val="28"/>
          <w:szCs w:val="28"/>
        </w:rPr>
      </w:pPr>
    </w:p>
    <w:p w14:paraId="00D7D37F" w14:textId="77777777" w:rsidR="00B1503D" w:rsidRPr="00792B36" w:rsidRDefault="00B1503D" w:rsidP="00B1503D">
      <w:pPr>
        <w:pBdr>
          <w:top w:val="nil"/>
          <w:left w:val="nil"/>
          <w:bottom w:val="nil"/>
          <w:right w:val="nil"/>
          <w:between w:val="nil"/>
        </w:pBdr>
        <w:jc w:val="thaiDistribute"/>
        <w:rPr>
          <w:rFonts w:eastAsia="Google Sans Text"/>
          <w:b/>
          <w:bCs/>
          <w:color w:val="1F1F1F"/>
          <w:sz w:val="28"/>
          <w:szCs w:val="28"/>
        </w:rPr>
      </w:pPr>
    </w:p>
    <w:p w14:paraId="16250FAE" w14:textId="77777777" w:rsidR="00B1503D" w:rsidRPr="00792B36" w:rsidRDefault="00B1503D" w:rsidP="00B1503D">
      <w:pPr>
        <w:pBdr>
          <w:top w:val="nil"/>
          <w:left w:val="nil"/>
          <w:bottom w:val="nil"/>
          <w:right w:val="nil"/>
          <w:between w:val="nil"/>
        </w:pBdr>
        <w:jc w:val="thaiDistribute"/>
        <w:rPr>
          <w:rFonts w:eastAsia="Google Sans Text"/>
          <w:b/>
          <w:bCs/>
          <w:color w:val="1F1F1F"/>
          <w:sz w:val="28"/>
          <w:szCs w:val="28"/>
        </w:rPr>
      </w:pPr>
    </w:p>
    <w:p w14:paraId="2BD24F55" w14:textId="77777777" w:rsidR="00B1503D" w:rsidRPr="00792B36" w:rsidRDefault="00B1503D" w:rsidP="00B1503D">
      <w:pPr>
        <w:pBdr>
          <w:top w:val="nil"/>
          <w:left w:val="nil"/>
          <w:bottom w:val="nil"/>
          <w:right w:val="nil"/>
          <w:between w:val="nil"/>
        </w:pBdr>
        <w:jc w:val="thaiDistribute"/>
        <w:rPr>
          <w:rFonts w:eastAsia="Google Sans Text"/>
          <w:b/>
          <w:bCs/>
          <w:color w:val="1F1F1F"/>
          <w:sz w:val="28"/>
          <w:szCs w:val="28"/>
        </w:rPr>
      </w:pPr>
    </w:p>
    <w:p w14:paraId="5B2B4089" w14:textId="77777777" w:rsidR="00B1503D" w:rsidRPr="00792B36" w:rsidRDefault="00B1503D" w:rsidP="00B1503D">
      <w:pPr>
        <w:pBdr>
          <w:top w:val="nil"/>
          <w:left w:val="nil"/>
          <w:bottom w:val="nil"/>
          <w:right w:val="nil"/>
          <w:between w:val="nil"/>
        </w:pBdr>
        <w:jc w:val="thaiDistribute"/>
        <w:rPr>
          <w:rFonts w:eastAsia="Google Sans Text"/>
          <w:b/>
          <w:bCs/>
          <w:color w:val="1F1F1F"/>
          <w:sz w:val="28"/>
          <w:szCs w:val="28"/>
        </w:rPr>
      </w:pPr>
    </w:p>
    <w:p w14:paraId="2E80A81A" w14:textId="77777777" w:rsidR="00B1503D" w:rsidRPr="00792B36" w:rsidRDefault="00B1503D" w:rsidP="00B1503D">
      <w:pPr>
        <w:pBdr>
          <w:top w:val="nil"/>
          <w:left w:val="nil"/>
          <w:bottom w:val="nil"/>
          <w:right w:val="nil"/>
          <w:between w:val="nil"/>
        </w:pBdr>
        <w:jc w:val="thaiDistribute"/>
        <w:rPr>
          <w:rFonts w:eastAsia="Google Sans Text"/>
          <w:b/>
          <w:bCs/>
          <w:color w:val="1F1F1F"/>
          <w:sz w:val="28"/>
          <w:szCs w:val="28"/>
        </w:rPr>
      </w:pPr>
    </w:p>
    <w:p w14:paraId="436ACF01" w14:textId="77777777" w:rsidR="00B1503D" w:rsidRPr="00792B36" w:rsidRDefault="00B1503D" w:rsidP="00B1503D">
      <w:pPr>
        <w:pBdr>
          <w:top w:val="nil"/>
          <w:left w:val="nil"/>
          <w:bottom w:val="nil"/>
          <w:right w:val="nil"/>
          <w:between w:val="nil"/>
        </w:pBdr>
        <w:jc w:val="thaiDistribute"/>
        <w:rPr>
          <w:rFonts w:eastAsia="Google Sans Text"/>
          <w:b/>
          <w:bCs/>
          <w:color w:val="1F1F1F"/>
          <w:sz w:val="28"/>
          <w:szCs w:val="28"/>
        </w:rPr>
      </w:pPr>
    </w:p>
    <w:p w14:paraId="1491C531" w14:textId="77777777" w:rsidR="00B1503D" w:rsidRPr="00792B36" w:rsidRDefault="00B1503D" w:rsidP="00B1503D">
      <w:pPr>
        <w:pBdr>
          <w:top w:val="nil"/>
          <w:left w:val="nil"/>
          <w:bottom w:val="nil"/>
          <w:right w:val="nil"/>
          <w:between w:val="nil"/>
        </w:pBdr>
        <w:jc w:val="thaiDistribute"/>
        <w:rPr>
          <w:rFonts w:eastAsia="Google Sans Text"/>
          <w:b/>
          <w:bCs/>
          <w:color w:val="1F1F1F"/>
          <w:sz w:val="28"/>
          <w:szCs w:val="28"/>
        </w:rPr>
      </w:pPr>
    </w:p>
    <w:p w14:paraId="42561C1B" w14:textId="77777777" w:rsidR="00B1503D" w:rsidRPr="00792B36" w:rsidRDefault="00B1503D" w:rsidP="00B1503D">
      <w:pPr>
        <w:pBdr>
          <w:top w:val="nil"/>
          <w:left w:val="nil"/>
          <w:bottom w:val="nil"/>
          <w:right w:val="nil"/>
          <w:between w:val="nil"/>
        </w:pBdr>
        <w:jc w:val="thaiDistribute"/>
        <w:rPr>
          <w:rFonts w:eastAsia="Google Sans Text"/>
          <w:b/>
          <w:bCs/>
          <w:color w:val="1F1F1F"/>
          <w:sz w:val="28"/>
          <w:szCs w:val="28"/>
        </w:rPr>
      </w:pPr>
    </w:p>
    <w:p w14:paraId="7C139B8E" w14:textId="77777777" w:rsidR="00B1503D" w:rsidRPr="00792B36" w:rsidRDefault="00B1503D" w:rsidP="00B1503D">
      <w:pPr>
        <w:pBdr>
          <w:top w:val="nil"/>
          <w:left w:val="nil"/>
          <w:bottom w:val="nil"/>
          <w:right w:val="nil"/>
          <w:between w:val="nil"/>
        </w:pBdr>
        <w:jc w:val="thaiDistribute"/>
        <w:rPr>
          <w:rFonts w:eastAsia="Google Sans Text"/>
          <w:b/>
          <w:bCs/>
          <w:color w:val="1F1F1F"/>
          <w:sz w:val="28"/>
          <w:szCs w:val="28"/>
        </w:rPr>
      </w:pPr>
    </w:p>
    <w:p w14:paraId="156FE6FB" w14:textId="77777777" w:rsidR="00B1503D" w:rsidRPr="00792B36" w:rsidRDefault="00B1503D" w:rsidP="00B1503D">
      <w:pPr>
        <w:pBdr>
          <w:top w:val="nil"/>
          <w:left w:val="nil"/>
          <w:bottom w:val="nil"/>
          <w:right w:val="nil"/>
          <w:between w:val="nil"/>
        </w:pBdr>
        <w:jc w:val="thaiDistribute"/>
        <w:rPr>
          <w:rFonts w:eastAsia="Google Sans Text"/>
          <w:b/>
          <w:bCs/>
          <w:color w:val="1F1F1F"/>
          <w:sz w:val="28"/>
          <w:szCs w:val="28"/>
        </w:rPr>
      </w:pPr>
    </w:p>
    <w:p w14:paraId="7FEE2B73" w14:textId="77777777" w:rsidR="00B1503D" w:rsidRPr="00792B36" w:rsidRDefault="00B1503D" w:rsidP="00B1503D">
      <w:pPr>
        <w:pBdr>
          <w:top w:val="nil"/>
          <w:left w:val="nil"/>
          <w:bottom w:val="nil"/>
          <w:right w:val="nil"/>
          <w:between w:val="nil"/>
        </w:pBdr>
        <w:jc w:val="thaiDistribute"/>
        <w:rPr>
          <w:rFonts w:eastAsia="Google Sans Text"/>
          <w:b/>
          <w:bCs/>
          <w:color w:val="1F1F1F"/>
          <w:sz w:val="28"/>
          <w:szCs w:val="28"/>
        </w:rPr>
      </w:pPr>
    </w:p>
    <w:p w14:paraId="5077B7D5" w14:textId="77777777" w:rsidR="00B1503D" w:rsidRPr="00792B36" w:rsidRDefault="00B1503D" w:rsidP="00B1503D">
      <w:pPr>
        <w:pBdr>
          <w:top w:val="nil"/>
          <w:left w:val="nil"/>
          <w:bottom w:val="nil"/>
          <w:right w:val="nil"/>
          <w:between w:val="nil"/>
        </w:pBdr>
        <w:jc w:val="thaiDistribute"/>
        <w:rPr>
          <w:rFonts w:eastAsia="Google Sans Text"/>
          <w:b/>
          <w:bCs/>
          <w:color w:val="1F1F1F"/>
          <w:sz w:val="28"/>
          <w:szCs w:val="28"/>
        </w:rPr>
      </w:pPr>
    </w:p>
    <w:p w14:paraId="3803FDC7" w14:textId="77777777" w:rsidR="00B1503D" w:rsidRPr="00792B36" w:rsidRDefault="00B1503D" w:rsidP="00B1503D">
      <w:pPr>
        <w:pBdr>
          <w:top w:val="nil"/>
          <w:left w:val="nil"/>
          <w:bottom w:val="nil"/>
          <w:right w:val="nil"/>
          <w:between w:val="nil"/>
        </w:pBdr>
        <w:jc w:val="thaiDistribute"/>
        <w:rPr>
          <w:rFonts w:eastAsia="Google Sans Text"/>
          <w:b/>
          <w:bCs/>
          <w:color w:val="1F1F1F"/>
          <w:sz w:val="28"/>
          <w:szCs w:val="28"/>
        </w:rPr>
      </w:pPr>
    </w:p>
    <w:p w14:paraId="7BC37086" w14:textId="77777777" w:rsidR="00B1503D" w:rsidRPr="00792B36" w:rsidRDefault="00B1503D" w:rsidP="00B1503D">
      <w:pPr>
        <w:pBdr>
          <w:top w:val="nil"/>
          <w:left w:val="nil"/>
          <w:bottom w:val="nil"/>
          <w:right w:val="nil"/>
          <w:between w:val="nil"/>
        </w:pBdr>
        <w:jc w:val="thaiDistribute"/>
        <w:rPr>
          <w:rFonts w:eastAsia="Google Sans Text"/>
          <w:b/>
          <w:bCs/>
          <w:color w:val="1F1F1F"/>
          <w:sz w:val="28"/>
          <w:szCs w:val="28"/>
        </w:rPr>
      </w:pPr>
    </w:p>
    <w:p w14:paraId="661CDA89" w14:textId="77777777" w:rsidR="00B1503D" w:rsidRPr="00792B36" w:rsidRDefault="00B1503D" w:rsidP="00B1503D">
      <w:pPr>
        <w:pBdr>
          <w:top w:val="nil"/>
          <w:left w:val="nil"/>
          <w:bottom w:val="nil"/>
          <w:right w:val="nil"/>
          <w:between w:val="nil"/>
        </w:pBdr>
        <w:jc w:val="thaiDistribute"/>
        <w:rPr>
          <w:rFonts w:eastAsia="Google Sans Text"/>
          <w:b/>
          <w:bCs/>
          <w:color w:val="1F1F1F"/>
          <w:sz w:val="28"/>
          <w:szCs w:val="28"/>
        </w:rPr>
      </w:pPr>
    </w:p>
    <w:p w14:paraId="0CC49C82" w14:textId="77777777" w:rsidR="00B1503D" w:rsidRPr="00792B36" w:rsidRDefault="00B1503D" w:rsidP="00B1503D">
      <w:pPr>
        <w:pBdr>
          <w:top w:val="nil"/>
          <w:left w:val="nil"/>
          <w:bottom w:val="nil"/>
          <w:right w:val="nil"/>
          <w:between w:val="nil"/>
        </w:pBdr>
        <w:jc w:val="thaiDistribute"/>
        <w:rPr>
          <w:rFonts w:eastAsia="Google Sans Text"/>
          <w:b/>
          <w:bCs/>
          <w:color w:val="1F1F1F"/>
          <w:sz w:val="28"/>
          <w:szCs w:val="28"/>
        </w:rPr>
      </w:pPr>
    </w:p>
    <w:p w14:paraId="4E6ABABC" w14:textId="77777777" w:rsidR="00B1503D" w:rsidRPr="00792B36" w:rsidRDefault="00B1503D" w:rsidP="00B1503D">
      <w:pPr>
        <w:pBdr>
          <w:top w:val="nil"/>
          <w:left w:val="nil"/>
          <w:bottom w:val="nil"/>
          <w:right w:val="nil"/>
          <w:between w:val="nil"/>
        </w:pBdr>
        <w:jc w:val="thaiDistribute"/>
        <w:rPr>
          <w:rFonts w:eastAsia="Google Sans Text"/>
          <w:b/>
          <w:bCs/>
          <w:color w:val="1F1F1F"/>
          <w:sz w:val="28"/>
          <w:szCs w:val="28"/>
        </w:rPr>
      </w:pPr>
    </w:p>
    <w:p w14:paraId="334BC4C4" w14:textId="77777777" w:rsidR="00B1503D" w:rsidRPr="00792B36" w:rsidRDefault="00B1503D" w:rsidP="00B1503D">
      <w:pPr>
        <w:pBdr>
          <w:top w:val="nil"/>
          <w:left w:val="nil"/>
          <w:bottom w:val="nil"/>
          <w:right w:val="nil"/>
          <w:between w:val="nil"/>
        </w:pBdr>
        <w:jc w:val="thaiDistribute"/>
        <w:rPr>
          <w:rFonts w:eastAsia="Google Sans Text"/>
          <w:b/>
          <w:bCs/>
          <w:color w:val="1F1F1F"/>
          <w:sz w:val="28"/>
          <w:szCs w:val="28"/>
        </w:rPr>
      </w:pPr>
    </w:p>
    <w:p w14:paraId="3EA84BA6" w14:textId="496E1339" w:rsidR="00B1503D" w:rsidRPr="00792B36" w:rsidRDefault="00B1503D" w:rsidP="00B1503D">
      <w:pPr>
        <w:pBdr>
          <w:top w:val="nil"/>
          <w:left w:val="nil"/>
          <w:bottom w:val="nil"/>
          <w:right w:val="nil"/>
          <w:between w:val="nil"/>
        </w:pBdr>
        <w:jc w:val="thaiDistribute"/>
        <w:rPr>
          <w:b/>
          <w:bCs/>
          <w:sz w:val="28"/>
          <w:szCs w:val="28"/>
        </w:rPr>
        <w:sectPr w:rsidR="00B1503D" w:rsidRPr="00792B36" w:rsidSect="003332A9">
          <w:footerReference w:type="even" r:id="rId19"/>
          <w:footerReference w:type="default" r:id="rId20"/>
          <w:pgSz w:w="11900" w:h="16840"/>
          <w:pgMar w:top="1440" w:right="1440" w:bottom="1440" w:left="1440" w:header="0" w:footer="720" w:gutter="0"/>
          <w:pgNumType w:fmt="lowerRoman"/>
          <w:cols w:space="720"/>
          <w:titlePg/>
          <w:docGrid w:linePitch="299"/>
        </w:sectPr>
      </w:pPr>
    </w:p>
    <w:p w14:paraId="2CE42A7F" w14:textId="64BA5666" w:rsidR="00931A50" w:rsidRPr="00792B36" w:rsidRDefault="00364AA9" w:rsidP="005C0D33">
      <w:pPr>
        <w:pStyle w:val="Heading1"/>
        <w:spacing w:before="0" w:after="0" w:line="275" w:lineRule="auto"/>
        <w:rPr>
          <w:rFonts w:eastAsia="Google Sans"/>
          <w:color w:val="1F1F1F"/>
          <w:sz w:val="28"/>
          <w:szCs w:val="28"/>
        </w:rPr>
      </w:pPr>
      <w:bookmarkStart w:id="2" w:name="_Toc216019166"/>
      <w:r w:rsidRPr="00792B36">
        <w:rPr>
          <w:rFonts w:eastAsia="Google Sans"/>
          <w:color w:val="1F1F1F"/>
          <w:sz w:val="28"/>
          <w:szCs w:val="28"/>
        </w:rPr>
        <w:lastRenderedPageBreak/>
        <w:t xml:space="preserve">I. </w:t>
      </w:r>
      <w:r w:rsidR="00931A50" w:rsidRPr="00792B36">
        <w:rPr>
          <w:rFonts w:eastAsia="Google Sans"/>
          <w:color w:val="1F1F1F"/>
          <w:sz w:val="28"/>
          <w:szCs w:val="28"/>
        </w:rPr>
        <w:t>Introduction</w:t>
      </w:r>
      <w:bookmarkEnd w:id="2"/>
    </w:p>
    <w:p w14:paraId="483F1FEE" w14:textId="77777777" w:rsidR="00931A50" w:rsidRPr="00792B36" w:rsidRDefault="00931A50" w:rsidP="00931A50">
      <w:pPr>
        <w:jc w:val="thaiDistribute"/>
      </w:pPr>
    </w:p>
    <w:p w14:paraId="38B8C67A" w14:textId="77777777" w:rsidR="00931A50" w:rsidRPr="00792B36" w:rsidRDefault="00931A50" w:rsidP="00931A50">
      <w:pPr>
        <w:jc w:val="thaiDistribute"/>
      </w:pPr>
    </w:p>
    <w:p w14:paraId="23A30812" w14:textId="77777777" w:rsidR="00931A50" w:rsidRPr="00792B36" w:rsidRDefault="00931A50" w:rsidP="00931A50">
      <w:pPr>
        <w:pStyle w:val="Heading3"/>
        <w:spacing w:before="0" w:after="0" w:line="275" w:lineRule="auto"/>
        <w:jc w:val="thaiDistribute"/>
        <w:rPr>
          <w:rFonts w:eastAsia="Google Sans"/>
          <w:color w:val="1F1F1F"/>
          <w:sz w:val="24"/>
          <w:szCs w:val="24"/>
        </w:rPr>
      </w:pPr>
      <w:r w:rsidRPr="00792B36">
        <w:rPr>
          <w:rFonts w:eastAsia="Google Sans"/>
          <w:color w:val="1F1F1F"/>
          <w:sz w:val="24"/>
          <w:szCs w:val="24"/>
        </w:rPr>
        <w:t>1.1 Aims of national report</w:t>
      </w:r>
    </w:p>
    <w:p w14:paraId="40795489" w14:textId="77777777" w:rsidR="00931A50" w:rsidRPr="00792B36" w:rsidRDefault="00931A50" w:rsidP="00931A50">
      <w:pPr>
        <w:pBdr>
          <w:top w:val="nil"/>
          <w:left w:val="nil"/>
          <w:bottom w:val="nil"/>
          <w:right w:val="nil"/>
          <w:between w:val="nil"/>
        </w:pBdr>
        <w:spacing w:line="275" w:lineRule="auto"/>
        <w:jc w:val="thaiDistribute"/>
        <w:rPr>
          <w:rFonts w:eastAsia="Google Sans"/>
          <w:color w:val="1F1F1F"/>
          <w:sz w:val="24"/>
          <w:szCs w:val="24"/>
        </w:rPr>
      </w:pPr>
    </w:p>
    <w:p w14:paraId="09ACD5E1" w14:textId="77777777" w:rsidR="00931A50" w:rsidRPr="00792B36" w:rsidRDefault="00931A50" w:rsidP="00931A50">
      <w:pPr>
        <w:pBdr>
          <w:top w:val="nil"/>
          <w:left w:val="nil"/>
          <w:bottom w:val="nil"/>
          <w:right w:val="nil"/>
          <w:between w:val="nil"/>
        </w:pBdr>
        <w:spacing w:line="275" w:lineRule="auto"/>
        <w:jc w:val="thaiDistribute"/>
        <w:rPr>
          <w:rFonts w:eastAsia="Google Sans Text"/>
          <w:color w:val="1F1F1F"/>
          <w:sz w:val="24"/>
          <w:szCs w:val="24"/>
        </w:rPr>
      </w:pPr>
      <w:r w:rsidRPr="00792B36">
        <w:rPr>
          <w:rFonts w:eastAsia="Google Sans Text"/>
          <w:color w:val="1F1F1F"/>
          <w:sz w:val="24"/>
          <w:szCs w:val="24"/>
        </w:rPr>
        <w:t>The primary aim of this National Transboundary Diagnostic Analysis (TDA) is to provide a scientifically robust, holistic assessment of the state of the marine and coastal environment in the Gulf of Thailand. This report serves as the fundamental baseline for identifying, quantifying, and prioritizing environmental problems that are transboundary in nature or have significant national implications.</w:t>
      </w:r>
    </w:p>
    <w:p w14:paraId="4695BE81" w14:textId="77777777" w:rsidR="00931A50" w:rsidRPr="00792B36" w:rsidRDefault="00931A50" w:rsidP="00931A50">
      <w:pPr>
        <w:pBdr>
          <w:top w:val="nil"/>
          <w:left w:val="nil"/>
          <w:bottom w:val="nil"/>
          <w:right w:val="nil"/>
          <w:between w:val="nil"/>
        </w:pBdr>
        <w:spacing w:line="275" w:lineRule="auto"/>
        <w:jc w:val="thaiDistribute"/>
        <w:rPr>
          <w:rFonts w:eastAsia="Google Sans Text"/>
          <w:color w:val="1F1F1F"/>
          <w:sz w:val="24"/>
          <w:szCs w:val="24"/>
        </w:rPr>
      </w:pPr>
    </w:p>
    <w:p w14:paraId="79BA2351" w14:textId="77777777" w:rsidR="00931A50" w:rsidRPr="00792B36" w:rsidRDefault="00931A50" w:rsidP="00931A50">
      <w:pPr>
        <w:pBdr>
          <w:top w:val="nil"/>
          <w:left w:val="nil"/>
          <w:bottom w:val="nil"/>
          <w:right w:val="nil"/>
          <w:between w:val="nil"/>
        </w:pBdr>
        <w:spacing w:line="275" w:lineRule="auto"/>
        <w:jc w:val="thaiDistribute"/>
        <w:rPr>
          <w:rFonts w:eastAsia="Google Sans Text"/>
          <w:color w:val="1F1F1F"/>
          <w:sz w:val="24"/>
          <w:szCs w:val="24"/>
        </w:rPr>
      </w:pPr>
      <w:r w:rsidRPr="00792B36">
        <w:rPr>
          <w:rFonts w:eastAsia="Google Sans Text"/>
          <w:color w:val="1F1F1F"/>
          <w:sz w:val="24"/>
          <w:szCs w:val="24"/>
        </w:rPr>
        <w:t>Specifically, this report aims to:</w:t>
      </w:r>
    </w:p>
    <w:p w14:paraId="74E9CD10" w14:textId="77777777" w:rsidR="00931A50" w:rsidRPr="00792B36" w:rsidRDefault="00931A50" w:rsidP="00931A50">
      <w:pPr>
        <w:pStyle w:val="ListParagraph"/>
        <w:numPr>
          <w:ilvl w:val="0"/>
          <w:numId w:val="14"/>
        </w:numPr>
        <w:pBdr>
          <w:top w:val="nil"/>
          <w:left w:val="nil"/>
          <w:bottom w:val="nil"/>
          <w:right w:val="nil"/>
          <w:between w:val="nil"/>
        </w:pBdr>
        <w:spacing w:line="275" w:lineRule="auto"/>
        <w:jc w:val="thaiDistribute"/>
        <w:rPr>
          <w:rFonts w:cs="Arial"/>
          <w:sz w:val="24"/>
          <w:szCs w:val="24"/>
        </w:rPr>
      </w:pPr>
      <w:r w:rsidRPr="00792B36">
        <w:rPr>
          <w:rFonts w:eastAsia="Google Sans Text" w:cs="Arial"/>
          <w:b/>
          <w:bCs/>
          <w:color w:val="1F1F1F"/>
          <w:sz w:val="24"/>
          <w:szCs w:val="24"/>
        </w:rPr>
        <w:t>Diagnose the State of the Environment:</w:t>
      </w:r>
      <w:r w:rsidRPr="00792B36">
        <w:rPr>
          <w:rFonts w:eastAsia="Google Sans Text" w:cs="Arial"/>
          <w:color w:val="1F1F1F"/>
          <w:sz w:val="24"/>
          <w:szCs w:val="24"/>
        </w:rPr>
        <w:t xml:space="preserve"> Consolidate data on the status of key coastal habitats (mangroves, coral reefs, seagrass, and wetlands), fisheries stocks, and water quality to establish a clear 2024–2025 baseline.</w:t>
      </w:r>
    </w:p>
    <w:p w14:paraId="486CDB91" w14:textId="77777777" w:rsidR="00931A50" w:rsidRPr="00792B36" w:rsidRDefault="00931A50" w:rsidP="00931A50">
      <w:pPr>
        <w:numPr>
          <w:ilvl w:val="0"/>
          <w:numId w:val="14"/>
        </w:numPr>
        <w:pBdr>
          <w:top w:val="nil"/>
          <w:left w:val="nil"/>
          <w:bottom w:val="nil"/>
          <w:right w:val="nil"/>
          <w:between w:val="nil"/>
        </w:pBdr>
        <w:spacing w:line="275" w:lineRule="auto"/>
        <w:jc w:val="thaiDistribute"/>
        <w:rPr>
          <w:sz w:val="24"/>
          <w:szCs w:val="24"/>
        </w:rPr>
      </w:pPr>
      <w:r w:rsidRPr="00792B36">
        <w:rPr>
          <w:rFonts w:eastAsia="Google Sans Text"/>
          <w:b/>
          <w:bCs/>
          <w:color w:val="1F1F1F"/>
          <w:sz w:val="24"/>
          <w:szCs w:val="24"/>
        </w:rPr>
        <w:t>Identify Root Causes:</w:t>
      </w:r>
      <w:r w:rsidRPr="00792B36">
        <w:rPr>
          <w:rFonts w:eastAsia="Google Sans Text"/>
          <w:color w:val="1F1F1F"/>
          <w:sz w:val="24"/>
          <w:szCs w:val="24"/>
        </w:rPr>
        <w:t xml:space="preserve"> Analyze the causal chains linking environmental degradation—such as eutrophication in the Upper Gulf or coral bleaching events—to their immediate and root causes, including socio-economic drivers like industrialization in the Eastern Economic Corridor (EEC) and agricultural runoff.</w:t>
      </w:r>
    </w:p>
    <w:p w14:paraId="13303427" w14:textId="77777777" w:rsidR="00931A50" w:rsidRPr="00792B36" w:rsidRDefault="00931A50" w:rsidP="00931A50">
      <w:pPr>
        <w:numPr>
          <w:ilvl w:val="0"/>
          <w:numId w:val="14"/>
        </w:numPr>
        <w:pBdr>
          <w:top w:val="nil"/>
          <w:left w:val="nil"/>
          <w:bottom w:val="nil"/>
          <w:right w:val="nil"/>
          <w:between w:val="nil"/>
        </w:pBdr>
        <w:spacing w:line="275" w:lineRule="auto"/>
        <w:jc w:val="thaiDistribute"/>
        <w:rPr>
          <w:sz w:val="24"/>
          <w:szCs w:val="24"/>
        </w:rPr>
      </w:pPr>
      <w:r w:rsidRPr="00792B36">
        <w:rPr>
          <w:rFonts w:eastAsia="Google Sans Text"/>
          <w:b/>
          <w:bCs/>
          <w:color w:val="1F1F1F"/>
          <w:sz w:val="24"/>
          <w:szCs w:val="24"/>
        </w:rPr>
        <w:t>Assess Governance Architectures:</w:t>
      </w:r>
      <w:r w:rsidRPr="00792B36">
        <w:rPr>
          <w:rFonts w:eastAsia="Google Sans Text"/>
          <w:color w:val="1F1F1F"/>
          <w:sz w:val="24"/>
          <w:szCs w:val="24"/>
        </w:rPr>
        <w:t xml:space="preserve"> Evaluate the effectiveness of current institutional arrangements, legal frameworks, and financial mechanisms (such as the budgets of the DMCR, DOF, and DNP) in managing these resources.</w:t>
      </w:r>
    </w:p>
    <w:p w14:paraId="3B4D73EA" w14:textId="77777777" w:rsidR="00931A50" w:rsidRPr="00792B36" w:rsidRDefault="00931A50" w:rsidP="00931A50">
      <w:pPr>
        <w:numPr>
          <w:ilvl w:val="0"/>
          <w:numId w:val="14"/>
        </w:numPr>
        <w:pBdr>
          <w:top w:val="nil"/>
          <w:left w:val="nil"/>
          <w:bottom w:val="nil"/>
          <w:right w:val="nil"/>
          <w:between w:val="nil"/>
        </w:pBdr>
        <w:spacing w:line="275" w:lineRule="auto"/>
        <w:jc w:val="thaiDistribute"/>
        <w:rPr>
          <w:sz w:val="24"/>
          <w:szCs w:val="24"/>
        </w:rPr>
      </w:pPr>
      <w:r w:rsidRPr="00792B36">
        <w:rPr>
          <w:rFonts w:eastAsia="Google Sans Text"/>
          <w:b/>
          <w:bCs/>
          <w:color w:val="1F1F1F"/>
          <w:sz w:val="24"/>
          <w:szCs w:val="24"/>
        </w:rPr>
        <w:t>Prioritize Action:</w:t>
      </w:r>
      <w:r w:rsidRPr="00792B36">
        <w:rPr>
          <w:rFonts w:eastAsia="Google Sans Text"/>
          <w:color w:val="1F1F1F"/>
          <w:sz w:val="24"/>
          <w:szCs w:val="24"/>
        </w:rPr>
        <w:t xml:space="preserve"> Provide the evidence base necessary for formulating the National Action Plans (NAPs) and guiding investment into "blue economy" initiatives, ecosystem restoration, and pollution control.</w:t>
      </w:r>
    </w:p>
    <w:p w14:paraId="2564B73E" w14:textId="77777777" w:rsidR="00931A50" w:rsidRPr="00792B36" w:rsidRDefault="00931A50" w:rsidP="00931A50">
      <w:pPr>
        <w:pBdr>
          <w:top w:val="nil"/>
          <w:left w:val="nil"/>
          <w:bottom w:val="nil"/>
          <w:right w:val="nil"/>
          <w:between w:val="nil"/>
        </w:pBdr>
        <w:spacing w:before="240" w:line="275" w:lineRule="auto"/>
        <w:jc w:val="thaiDistribute"/>
        <w:rPr>
          <w:rFonts w:eastAsia="Google Sans Text"/>
          <w:color w:val="1F1F1F"/>
          <w:sz w:val="24"/>
          <w:szCs w:val="24"/>
        </w:rPr>
      </w:pPr>
    </w:p>
    <w:p w14:paraId="23D69A32" w14:textId="77777777" w:rsidR="00931A50" w:rsidRPr="00792B36" w:rsidRDefault="00931A50" w:rsidP="00931A50">
      <w:pPr>
        <w:pStyle w:val="Heading4"/>
        <w:spacing w:before="0" w:after="0" w:line="275" w:lineRule="auto"/>
        <w:ind w:firstLine="426"/>
        <w:jc w:val="thaiDistribute"/>
        <w:rPr>
          <w:rFonts w:eastAsia="Google Sans"/>
          <w:color w:val="1F1F1F"/>
        </w:rPr>
      </w:pPr>
      <w:r w:rsidRPr="00792B36">
        <w:rPr>
          <w:rFonts w:eastAsia="Google Sans"/>
          <w:color w:val="1F1F1F"/>
        </w:rPr>
        <w:t>1.1.1 Inputs to the SCS-GOT TDA</w:t>
      </w:r>
    </w:p>
    <w:p w14:paraId="7AE62D61" w14:textId="77777777" w:rsidR="00931A50" w:rsidRPr="00792B36" w:rsidRDefault="00931A50" w:rsidP="00931A50">
      <w:pPr>
        <w:pBdr>
          <w:top w:val="nil"/>
          <w:left w:val="nil"/>
          <w:bottom w:val="nil"/>
          <w:right w:val="nil"/>
          <w:between w:val="nil"/>
        </w:pBdr>
        <w:spacing w:line="275" w:lineRule="auto"/>
        <w:ind w:firstLine="426"/>
        <w:jc w:val="thaiDistribute"/>
        <w:rPr>
          <w:rFonts w:eastAsia="Google Sans Text"/>
          <w:color w:val="1F1F1F"/>
          <w:sz w:val="24"/>
          <w:szCs w:val="24"/>
        </w:rPr>
      </w:pPr>
      <w:r w:rsidRPr="00792B36">
        <w:rPr>
          <w:rFonts w:eastAsia="Google Sans Text"/>
          <w:color w:val="1F1F1F"/>
          <w:sz w:val="24"/>
          <w:szCs w:val="24"/>
        </w:rPr>
        <w:t xml:space="preserve">This National TDA constitutes Thailand’s specific contribution to the regional </w:t>
      </w:r>
      <w:r w:rsidRPr="00792B36">
        <w:rPr>
          <w:rFonts w:eastAsia="Google Sans Text"/>
          <w:b/>
          <w:bCs/>
          <w:color w:val="1F1F1F"/>
          <w:sz w:val="24"/>
          <w:szCs w:val="24"/>
        </w:rPr>
        <w:t>Transboundary Diagnostic Analysis for the South China Sea and Gulf of Thailand (SCS-GOT TDA)</w:t>
      </w:r>
      <w:r w:rsidRPr="00792B36">
        <w:rPr>
          <w:rFonts w:eastAsia="Google Sans Text"/>
          <w:color w:val="1F1F1F"/>
          <w:sz w:val="24"/>
          <w:szCs w:val="24"/>
        </w:rPr>
        <w:t>. As the Gulf of Thailand is a semi-enclosed sea connected to the South China Sea, the environmental dynamics within Thai waters—including nutrient loads, fish stock migration, and marine debris transport—have direct transboundary implications for neighboring riparian states (Cambodia, Vietnam, and Malaysia).</w:t>
      </w:r>
    </w:p>
    <w:p w14:paraId="6B67CB6F" w14:textId="77777777" w:rsidR="00931A50" w:rsidRPr="00792B36" w:rsidRDefault="00931A50" w:rsidP="00931A50">
      <w:pPr>
        <w:pBdr>
          <w:top w:val="nil"/>
          <w:left w:val="nil"/>
          <w:bottom w:val="nil"/>
          <w:right w:val="nil"/>
          <w:between w:val="nil"/>
        </w:pBdr>
        <w:spacing w:line="275" w:lineRule="auto"/>
        <w:ind w:firstLine="426"/>
        <w:jc w:val="thaiDistribute"/>
        <w:rPr>
          <w:rFonts w:eastAsia="Google Sans Text"/>
          <w:color w:val="1F1F1F"/>
          <w:sz w:val="24"/>
          <w:szCs w:val="24"/>
        </w:rPr>
      </w:pPr>
    </w:p>
    <w:p w14:paraId="07F4626E" w14:textId="77777777" w:rsidR="00931A50" w:rsidRPr="00792B36" w:rsidRDefault="00931A50" w:rsidP="00931A50">
      <w:pPr>
        <w:pBdr>
          <w:top w:val="nil"/>
          <w:left w:val="nil"/>
          <w:bottom w:val="nil"/>
          <w:right w:val="nil"/>
          <w:between w:val="nil"/>
        </w:pBdr>
        <w:spacing w:line="275" w:lineRule="auto"/>
        <w:ind w:firstLine="426"/>
        <w:jc w:val="thaiDistribute"/>
        <w:rPr>
          <w:rFonts w:eastAsia="Google Sans Text"/>
          <w:color w:val="1F1F1F"/>
          <w:sz w:val="24"/>
          <w:szCs w:val="24"/>
        </w:rPr>
      </w:pPr>
      <w:r w:rsidRPr="00792B36">
        <w:rPr>
          <w:rFonts w:eastAsia="Google Sans Text"/>
          <w:color w:val="1F1F1F"/>
          <w:sz w:val="24"/>
          <w:szCs w:val="24"/>
        </w:rPr>
        <w:t>The inputs from this national report to the regional SCS-GOT TDA framework include:</w:t>
      </w:r>
    </w:p>
    <w:p w14:paraId="4570C83D" w14:textId="77777777" w:rsidR="00931A50" w:rsidRPr="00792B36" w:rsidRDefault="00931A50" w:rsidP="00F61B37">
      <w:pPr>
        <w:numPr>
          <w:ilvl w:val="0"/>
          <w:numId w:val="15"/>
        </w:numPr>
        <w:pBdr>
          <w:top w:val="nil"/>
          <w:left w:val="nil"/>
          <w:bottom w:val="nil"/>
          <w:right w:val="nil"/>
          <w:between w:val="nil"/>
        </w:pBdr>
        <w:spacing w:line="275" w:lineRule="auto"/>
        <w:ind w:left="0" w:firstLine="426"/>
        <w:jc w:val="thaiDistribute"/>
        <w:rPr>
          <w:sz w:val="24"/>
          <w:szCs w:val="24"/>
        </w:rPr>
      </w:pPr>
      <w:r w:rsidRPr="00792B36">
        <w:rPr>
          <w:rFonts w:eastAsia="Google Sans Text"/>
          <w:b/>
          <w:bCs/>
          <w:color w:val="1F1F1F"/>
          <w:sz w:val="24"/>
          <w:szCs w:val="24"/>
        </w:rPr>
        <w:t>Fisheries Data:</w:t>
      </w:r>
      <w:r w:rsidRPr="00792B36">
        <w:rPr>
          <w:rFonts w:eastAsia="Google Sans Text"/>
          <w:color w:val="1F1F1F"/>
          <w:sz w:val="24"/>
          <w:szCs w:val="24"/>
        </w:rPr>
        <w:t xml:space="preserve"> Providing catch reconstruction data and Catch Per Unit Effort (CPUE) trends for the Gulf of Thailand, which helps assess the status of shared transboundary fish stocks and the efficacy of effort control measures (e.g., "Fishing Days" limits).</w:t>
      </w:r>
    </w:p>
    <w:p w14:paraId="12BEA16F" w14:textId="77777777" w:rsidR="00931A50" w:rsidRPr="00792B36" w:rsidRDefault="00931A50" w:rsidP="00F61B37">
      <w:pPr>
        <w:numPr>
          <w:ilvl w:val="0"/>
          <w:numId w:val="15"/>
        </w:numPr>
        <w:pBdr>
          <w:top w:val="nil"/>
          <w:left w:val="nil"/>
          <w:bottom w:val="nil"/>
          <w:right w:val="nil"/>
          <w:between w:val="nil"/>
        </w:pBdr>
        <w:spacing w:line="275" w:lineRule="auto"/>
        <w:ind w:left="0" w:firstLine="426"/>
        <w:jc w:val="thaiDistribute"/>
        <w:rPr>
          <w:sz w:val="24"/>
          <w:szCs w:val="24"/>
        </w:rPr>
      </w:pPr>
      <w:r w:rsidRPr="00792B36">
        <w:rPr>
          <w:rFonts w:eastAsia="Google Sans Text"/>
          <w:b/>
          <w:bCs/>
          <w:color w:val="1F1F1F"/>
          <w:sz w:val="24"/>
          <w:szCs w:val="24"/>
        </w:rPr>
        <w:t>Pollution Hotspots:</w:t>
      </w:r>
      <w:r w:rsidRPr="00792B36">
        <w:rPr>
          <w:rFonts w:eastAsia="Google Sans Text"/>
          <w:color w:val="1F1F1F"/>
          <w:sz w:val="24"/>
          <w:szCs w:val="24"/>
        </w:rPr>
        <w:t xml:space="preserve"> Identifying land-based pollution sources, specifically </w:t>
      </w:r>
      <w:r w:rsidRPr="00792B36">
        <w:rPr>
          <w:rFonts w:eastAsia="Google Sans Text"/>
          <w:color w:val="1F1F1F"/>
          <w:sz w:val="24"/>
          <w:szCs w:val="24"/>
        </w:rPr>
        <w:lastRenderedPageBreak/>
        <w:t>nutrient loading from major river systems (Chao Phraya, Tha Chin) and plastic leakage, which contribute to regional eutrophication and marine litter problems addressed by mechanisms like COBSEA.</w:t>
      </w:r>
    </w:p>
    <w:p w14:paraId="3643C790" w14:textId="77777777" w:rsidR="00931A50" w:rsidRPr="00792B36" w:rsidRDefault="00931A50" w:rsidP="00F61B37">
      <w:pPr>
        <w:numPr>
          <w:ilvl w:val="0"/>
          <w:numId w:val="15"/>
        </w:numPr>
        <w:pBdr>
          <w:top w:val="nil"/>
          <w:left w:val="nil"/>
          <w:bottom w:val="nil"/>
          <w:right w:val="nil"/>
          <w:between w:val="nil"/>
        </w:pBdr>
        <w:spacing w:line="275" w:lineRule="auto"/>
        <w:ind w:left="0" w:firstLine="426"/>
        <w:jc w:val="thaiDistribute"/>
        <w:rPr>
          <w:sz w:val="24"/>
          <w:szCs w:val="24"/>
        </w:rPr>
      </w:pPr>
      <w:r w:rsidRPr="00792B36">
        <w:rPr>
          <w:rFonts w:eastAsia="Google Sans Text"/>
          <w:b/>
          <w:bCs/>
          <w:color w:val="1F1F1F"/>
          <w:sz w:val="24"/>
          <w:szCs w:val="24"/>
        </w:rPr>
        <w:t>Habitat Status:</w:t>
      </w:r>
      <w:r w:rsidRPr="00792B36">
        <w:rPr>
          <w:rFonts w:eastAsia="Google Sans Text"/>
          <w:color w:val="1F1F1F"/>
          <w:sz w:val="24"/>
          <w:szCs w:val="24"/>
        </w:rPr>
        <w:t xml:space="preserve"> Contributing data on the extent and health of critical habitats—such as the 255.7 km² mangrove complex in Bandon Bay and the "Larval Source" coral reefs at Koh Losin—which are essential for maintaining regional biodiversity connectivity and genetic refugia.</w:t>
      </w:r>
    </w:p>
    <w:p w14:paraId="614BA78B" w14:textId="77777777" w:rsidR="00931A50" w:rsidRPr="00792B36" w:rsidRDefault="00931A50" w:rsidP="00F61B37">
      <w:pPr>
        <w:numPr>
          <w:ilvl w:val="0"/>
          <w:numId w:val="15"/>
        </w:numPr>
        <w:pBdr>
          <w:top w:val="nil"/>
          <w:left w:val="nil"/>
          <w:bottom w:val="nil"/>
          <w:right w:val="nil"/>
          <w:between w:val="nil"/>
        </w:pBdr>
        <w:spacing w:line="275" w:lineRule="auto"/>
        <w:ind w:left="0" w:firstLine="426"/>
        <w:jc w:val="thaiDistribute"/>
        <w:rPr>
          <w:sz w:val="24"/>
          <w:szCs w:val="24"/>
        </w:rPr>
      </w:pPr>
      <w:r w:rsidRPr="00792B36">
        <w:rPr>
          <w:rFonts w:eastAsia="Google Sans Text"/>
          <w:b/>
          <w:bCs/>
          <w:color w:val="1F1F1F"/>
          <w:sz w:val="24"/>
          <w:szCs w:val="24"/>
        </w:rPr>
        <w:t>Climate Vulnerability:</w:t>
      </w:r>
      <w:r w:rsidRPr="00792B36">
        <w:rPr>
          <w:rFonts w:eastAsia="Google Sans Text"/>
          <w:color w:val="1F1F1F"/>
          <w:sz w:val="24"/>
          <w:szCs w:val="24"/>
        </w:rPr>
        <w:t xml:space="preserve"> Sharing assessments of climate impacts, such as sea-level rise and coral bleaching, to inform regional adaptation strategies.</w:t>
      </w:r>
    </w:p>
    <w:p w14:paraId="2E675D3C" w14:textId="77777777" w:rsidR="00931A50" w:rsidRPr="00792B36" w:rsidRDefault="00931A50" w:rsidP="00931A50">
      <w:pPr>
        <w:pBdr>
          <w:top w:val="nil"/>
          <w:left w:val="nil"/>
          <w:bottom w:val="nil"/>
          <w:right w:val="nil"/>
          <w:between w:val="nil"/>
        </w:pBdr>
        <w:spacing w:before="240" w:line="275" w:lineRule="auto"/>
        <w:ind w:firstLine="426"/>
        <w:jc w:val="thaiDistribute"/>
        <w:rPr>
          <w:rFonts w:eastAsia="Google Sans Text"/>
          <w:color w:val="1F1F1F"/>
          <w:sz w:val="24"/>
          <w:szCs w:val="24"/>
        </w:rPr>
      </w:pPr>
    </w:p>
    <w:p w14:paraId="4E708330" w14:textId="77777777" w:rsidR="00931A50" w:rsidRPr="00792B36" w:rsidRDefault="00931A50" w:rsidP="00931A50">
      <w:pPr>
        <w:pStyle w:val="Heading4"/>
        <w:spacing w:before="0" w:after="0" w:line="275" w:lineRule="auto"/>
        <w:ind w:firstLine="426"/>
        <w:jc w:val="thaiDistribute"/>
        <w:rPr>
          <w:rFonts w:eastAsia="Google Sans"/>
          <w:color w:val="1F1F1F"/>
        </w:rPr>
      </w:pPr>
      <w:r w:rsidRPr="00792B36">
        <w:rPr>
          <w:rFonts w:eastAsia="Google Sans"/>
          <w:color w:val="1F1F1F"/>
        </w:rPr>
        <w:t>1.1.2 Analysis to help national reporting to SDG and other international commitments</w:t>
      </w:r>
    </w:p>
    <w:p w14:paraId="4D65B1B6" w14:textId="77777777" w:rsidR="00931A50" w:rsidRPr="00792B36" w:rsidRDefault="00931A50" w:rsidP="00931A50">
      <w:pPr>
        <w:pBdr>
          <w:top w:val="nil"/>
          <w:left w:val="nil"/>
          <w:bottom w:val="nil"/>
          <w:right w:val="nil"/>
          <w:between w:val="nil"/>
        </w:pBdr>
        <w:spacing w:line="275" w:lineRule="auto"/>
        <w:ind w:firstLine="426"/>
        <w:jc w:val="thaiDistribute"/>
        <w:rPr>
          <w:rFonts w:eastAsia="Google Sans Text"/>
          <w:color w:val="1F1F1F"/>
          <w:sz w:val="24"/>
          <w:szCs w:val="24"/>
        </w:rPr>
      </w:pPr>
      <w:r w:rsidRPr="00792B36">
        <w:rPr>
          <w:rFonts w:eastAsia="Google Sans Text"/>
          <w:color w:val="1F1F1F"/>
          <w:sz w:val="24"/>
          <w:szCs w:val="24"/>
        </w:rPr>
        <w:t>The data and analysis generated in this National TDA are designed to directly support Thailand’s monitoring and reporting obligations under key global and regional frameworks. By harmonizing national indicators with international metrics, this report facilitates compliance with the following commitments:</w:t>
      </w:r>
    </w:p>
    <w:p w14:paraId="515F74D3" w14:textId="77777777" w:rsidR="00931A50" w:rsidRPr="00792B36" w:rsidRDefault="00931A50" w:rsidP="00931A50">
      <w:pPr>
        <w:pBdr>
          <w:top w:val="nil"/>
          <w:left w:val="nil"/>
          <w:bottom w:val="nil"/>
          <w:right w:val="nil"/>
          <w:between w:val="nil"/>
        </w:pBdr>
        <w:spacing w:line="275" w:lineRule="auto"/>
        <w:ind w:firstLine="426"/>
        <w:jc w:val="thaiDistribute"/>
        <w:rPr>
          <w:rFonts w:eastAsia="Google Sans Text"/>
          <w:color w:val="1F1F1F"/>
          <w:sz w:val="24"/>
          <w:szCs w:val="24"/>
        </w:rPr>
      </w:pPr>
    </w:p>
    <w:p w14:paraId="56119718" w14:textId="77777777" w:rsidR="00931A50" w:rsidRPr="00792B36" w:rsidRDefault="00931A50" w:rsidP="00F61B37">
      <w:pPr>
        <w:pStyle w:val="ListParagraph"/>
        <w:numPr>
          <w:ilvl w:val="0"/>
          <w:numId w:val="27"/>
        </w:numPr>
        <w:pBdr>
          <w:top w:val="nil"/>
          <w:left w:val="nil"/>
          <w:bottom w:val="nil"/>
          <w:right w:val="nil"/>
          <w:between w:val="nil"/>
        </w:pBdr>
        <w:spacing w:line="275" w:lineRule="auto"/>
        <w:jc w:val="thaiDistribute"/>
        <w:rPr>
          <w:rFonts w:eastAsia="Google Sans Text" w:cs="Arial"/>
          <w:b/>
          <w:bCs/>
          <w:color w:val="1F1F1F"/>
          <w:sz w:val="24"/>
          <w:szCs w:val="24"/>
        </w:rPr>
      </w:pPr>
      <w:r w:rsidRPr="00792B36">
        <w:rPr>
          <w:rFonts w:eastAsia="Google Sans Text" w:cs="Arial"/>
          <w:b/>
          <w:bCs/>
          <w:color w:val="1F1F1F"/>
          <w:sz w:val="24"/>
          <w:szCs w:val="24"/>
        </w:rPr>
        <w:t>UN Sustainable Development Goals (SDGs):</w:t>
      </w:r>
    </w:p>
    <w:p w14:paraId="7BDE68C1" w14:textId="77777777" w:rsidR="00931A50" w:rsidRPr="00792B36" w:rsidRDefault="00931A50" w:rsidP="00F61B37">
      <w:pPr>
        <w:numPr>
          <w:ilvl w:val="0"/>
          <w:numId w:val="16"/>
        </w:numPr>
        <w:pBdr>
          <w:top w:val="nil"/>
          <w:left w:val="nil"/>
          <w:bottom w:val="nil"/>
          <w:right w:val="nil"/>
          <w:between w:val="nil"/>
        </w:pBdr>
        <w:spacing w:line="275" w:lineRule="auto"/>
        <w:ind w:left="0" w:firstLine="426"/>
        <w:jc w:val="thaiDistribute"/>
        <w:rPr>
          <w:sz w:val="24"/>
          <w:szCs w:val="24"/>
        </w:rPr>
      </w:pPr>
      <w:r w:rsidRPr="00792B36">
        <w:rPr>
          <w:rFonts w:eastAsia="Google Sans Text"/>
          <w:b/>
          <w:bCs/>
          <w:color w:val="1F1F1F"/>
          <w:sz w:val="24"/>
          <w:szCs w:val="24"/>
        </w:rPr>
        <w:t>SDG 14 (Life Below Water):</w:t>
      </w:r>
      <w:r w:rsidRPr="00792B36">
        <w:rPr>
          <w:rFonts w:eastAsia="Google Sans Text"/>
          <w:color w:val="1F1F1F"/>
          <w:sz w:val="24"/>
          <w:szCs w:val="24"/>
        </w:rPr>
        <w:t xml:space="preserve"> The report’s assessment of marine pollution (Indicator 14.1), ecosystem management (Indicator 14.2), and fisheries sustainability (Indicator 14.4) provides the necessary data for Voluntary National Reviews (VNRs).</w:t>
      </w:r>
    </w:p>
    <w:p w14:paraId="1E65A9AE" w14:textId="77777777" w:rsidR="00931A50" w:rsidRPr="00792B36" w:rsidRDefault="00931A50" w:rsidP="00F61B37">
      <w:pPr>
        <w:numPr>
          <w:ilvl w:val="0"/>
          <w:numId w:val="16"/>
        </w:numPr>
        <w:pBdr>
          <w:top w:val="nil"/>
          <w:left w:val="nil"/>
          <w:bottom w:val="nil"/>
          <w:right w:val="nil"/>
          <w:between w:val="nil"/>
        </w:pBdr>
        <w:spacing w:line="275" w:lineRule="auto"/>
        <w:ind w:left="0" w:firstLine="426"/>
        <w:jc w:val="thaiDistribute"/>
        <w:rPr>
          <w:sz w:val="24"/>
          <w:szCs w:val="24"/>
        </w:rPr>
      </w:pPr>
      <w:r w:rsidRPr="00792B36">
        <w:rPr>
          <w:rFonts w:eastAsia="Google Sans Text"/>
          <w:b/>
          <w:bCs/>
          <w:color w:val="1F1F1F"/>
          <w:sz w:val="24"/>
          <w:szCs w:val="24"/>
        </w:rPr>
        <w:t>SDG 13 (Climate Action):</w:t>
      </w:r>
      <w:r w:rsidRPr="00792B36">
        <w:rPr>
          <w:rFonts w:eastAsia="Google Sans Text"/>
          <w:color w:val="1F1F1F"/>
          <w:sz w:val="24"/>
          <w:szCs w:val="24"/>
        </w:rPr>
        <w:t xml:space="preserve"> The quantification of "Blue Carbon" stocks in mangroves and seagrass beds (e.g., carbon storage estimates for Bandon Bay and Chumphon) directly supports Thailand's climate action reporting.</w:t>
      </w:r>
    </w:p>
    <w:p w14:paraId="3D2B2B8A" w14:textId="77777777" w:rsidR="00931A50" w:rsidRPr="00792B36" w:rsidRDefault="00931A50" w:rsidP="00F61B37">
      <w:pPr>
        <w:pStyle w:val="ListParagraph"/>
        <w:numPr>
          <w:ilvl w:val="0"/>
          <w:numId w:val="27"/>
        </w:numPr>
        <w:pBdr>
          <w:top w:val="nil"/>
          <w:left w:val="nil"/>
          <w:bottom w:val="nil"/>
          <w:right w:val="nil"/>
          <w:between w:val="nil"/>
        </w:pBdr>
        <w:spacing w:before="240" w:line="275" w:lineRule="auto"/>
        <w:jc w:val="thaiDistribute"/>
        <w:rPr>
          <w:rFonts w:eastAsia="Google Sans Text" w:cs="Arial"/>
          <w:b/>
          <w:bCs/>
          <w:color w:val="1F1F1F"/>
          <w:sz w:val="24"/>
          <w:szCs w:val="24"/>
        </w:rPr>
      </w:pPr>
      <w:r w:rsidRPr="00792B36">
        <w:rPr>
          <w:rFonts w:eastAsia="Google Sans Text" w:cs="Arial"/>
          <w:b/>
          <w:bCs/>
          <w:color w:val="1F1F1F"/>
          <w:sz w:val="24"/>
          <w:szCs w:val="24"/>
        </w:rPr>
        <w:t>The Kunming-Montreal Global Biodiversity Framework (GBF):</w:t>
      </w:r>
    </w:p>
    <w:p w14:paraId="3C3210DE" w14:textId="77777777" w:rsidR="00931A50" w:rsidRPr="00792B36" w:rsidRDefault="00931A50" w:rsidP="00931A50">
      <w:pPr>
        <w:pBdr>
          <w:top w:val="nil"/>
          <w:left w:val="nil"/>
          <w:bottom w:val="nil"/>
          <w:right w:val="nil"/>
          <w:between w:val="nil"/>
        </w:pBdr>
        <w:spacing w:line="275" w:lineRule="auto"/>
        <w:ind w:firstLine="426"/>
        <w:jc w:val="thaiDistribute"/>
        <w:rPr>
          <w:rFonts w:eastAsia="Google Sans Text"/>
          <w:color w:val="1F1F1F"/>
          <w:sz w:val="24"/>
          <w:szCs w:val="24"/>
        </w:rPr>
      </w:pPr>
      <w:r w:rsidRPr="00792B36">
        <w:rPr>
          <w:rFonts w:eastAsia="Google Sans Text"/>
          <w:b/>
          <w:bCs/>
          <w:color w:val="1F1F1F"/>
          <w:sz w:val="24"/>
          <w:szCs w:val="24"/>
        </w:rPr>
        <w:t>Target 3 (30x30):</w:t>
      </w:r>
      <w:r w:rsidRPr="00792B36">
        <w:rPr>
          <w:rFonts w:eastAsia="Google Sans Text"/>
          <w:color w:val="1F1F1F"/>
          <w:sz w:val="24"/>
          <w:szCs w:val="24"/>
        </w:rPr>
        <w:t xml:space="preserve"> The evaluation of Marine Protected Areas (MPAs) and Other Effective Area-based Conservation Measures (OECMs), such as the preservation of Koh Losin and underwater pinnacles, supports tracking progress toward protecting 30% of marine areas by 2030.</w:t>
      </w:r>
    </w:p>
    <w:p w14:paraId="67BDF647" w14:textId="77777777" w:rsidR="00931A50" w:rsidRPr="00792B36" w:rsidRDefault="00931A50" w:rsidP="00931A50">
      <w:pPr>
        <w:pBdr>
          <w:top w:val="nil"/>
          <w:left w:val="nil"/>
          <w:bottom w:val="nil"/>
          <w:right w:val="nil"/>
          <w:between w:val="nil"/>
        </w:pBdr>
        <w:spacing w:line="275" w:lineRule="auto"/>
        <w:ind w:firstLine="426"/>
        <w:jc w:val="thaiDistribute"/>
        <w:rPr>
          <w:sz w:val="24"/>
          <w:szCs w:val="24"/>
        </w:rPr>
      </w:pPr>
    </w:p>
    <w:p w14:paraId="7D9DF5A1" w14:textId="77777777" w:rsidR="00931A50" w:rsidRPr="00792B36" w:rsidRDefault="00931A50" w:rsidP="00F61B37">
      <w:pPr>
        <w:pStyle w:val="ListParagraph"/>
        <w:numPr>
          <w:ilvl w:val="0"/>
          <w:numId w:val="27"/>
        </w:numPr>
        <w:pBdr>
          <w:top w:val="nil"/>
          <w:left w:val="nil"/>
          <w:bottom w:val="nil"/>
          <w:right w:val="nil"/>
          <w:between w:val="nil"/>
        </w:pBdr>
        <w:spacing w:line="275" w:lineRule="auto"/>
        <w:jc w:val="thaiDistribute"/>
        <w:rPr>
          <w:rFonts w:eastAsia="Google Sans Text" w:cs="Arial"/>
          <w:b/>
          <w:bCs/>
          <w:color w:val="1F1F1F"/>
          <w:sz w:val="24"/>
          <w:szCs w:val="24"/>
        </w:rPr>
      </w:pPr>
      <w:r w:rsidRPr="00792B36">
        <w:rPr>
          <w:rFonts w:eastAsia="Google Sans Text" w:cs="Arial"/>
          <w:b/>
          <w:bCs/>
          <w:color w:val="1F1F1F"/>
          <w:sz w:val="24"/>
          <w:szCs w:val="24"/>
        </w:rPr>
        <w:t>Nationally Determined Contributions (NDCs) under the Paris Agreement:</w:t>
      </w:r>
    </w:p>
    <w:p w14:paraId="2FE51AA6" w14:textId="77777777" w:rsidR="00931A50" w:rsidRPr="00792B36" w:rsidRDefault="00931A50" w:rsidP="00931A50">
      <w:pPr>
        <w:pBdr>
          <w:top w:val="nil"/>
          <w:left w:val="nil"/>
          <w:bottom w:val="nil"/>
          <w:right w:val="nil"/>
          <w:between w:val="nil"/>
        </w:pBdr>
        <w:spacing w:line="275" w:lineRule="auto"/>
        <w:ind w:firstLine="426"/>
        <w:jc w:val="thaiDistribute"/>
        <w:rPr>
          <w:rFonts w:eastAsia="Google Sans Text"/>
          <w:b/>
          <w:bCs/>
          <w:color w:val="1F1F1F"/>
          <w:sz w:val="24"/>
          <w:szCs w:val="24"/>
        </w:rPr>
      </w:pPr>
      <w:r w:rsidRPr="00792B36">
        <w:rPr>
          <w:rFonts w:eastAsia="Google Sans Text"/>
          <w:b/>
          <w:bCs/>
          <w:color w:val="1F1F1F"/>
          <w:sz w:val="24"/>
          <w:szCs w:val="24"/>
        </w:rPr>
        <w:t>Climate Vulnerability and Socio-Economic Resilience:</w:t>
      </w:r>
      <w:r w:rsidRPr="00792B36">
        <w:rPr>
          <w:rFonts w:eastAsia="Google Sans Text"/>
          <w:color w:val="1F1F1F"/>
          <w:sz w:val="24"/>
          <w:szCs w:val="24"/>
        </w:rPr>
        <w:t xml:space="preserve"> The report integrates climate impact assessments with socioeconomic data to inform National Adaptation Plans. It highlights the acute vulnerability of </w:t>
      </w:r>
      <w:r w:rsidRPr="00792B36">
        <w:rPr>
          <w:rFonts w:eastAsia="Google Sans Text"/>
          <w:color w:val="1F1F1F"/>
          <w:sz w:val="24"/>
          <w:szCs w:val="24"/>
          <w:lang w:val="en-US"/>
        </w:rPr>
        <w:t>the 18.6 million residents in the Gulf of Thailand’s coastal provinces (2020)</w:t>
      </w:r>
      <w:r w:rsidRPr="00792B36">
        <w:rPr>
          <w:rFonts w:eastAsia="Google Sans Text"/>
          <w:color w:val="1F1F1F"/>
          <w:sz w:val="24"/>
          <w:szCs w:val="24"/>
        </w:rPr>
        <w:t>, particularly in high-density provinces like</w:t>
      </w:r>
      <w:r w:rsidRPr="00792B36">
        <w:rPr>
          <w:rFonts w:eastAsia="Google Sans Text"/>
          <w:color w:val="1F1F1F"/>
          <w:sz w:val="24"/>
          <w:szCs w:val="24"/>
          <w:lang w:val="en-US"/>
        </w:rPr>
        <w:t xml:space="preserve"> Bangkok (3,562 persons/km</w:t>
      </w:r>
      <w:r w:rsidRPr="00792B36">
        <w:rPr>
          <w:rFonts w:eastAsia="Google Sans Text"/>
          <w:color w:val="1F1F1F"/>
          <w:sz w:val="24"/>
          <w:szCs w:val="24"/>
          <w:vertAlign w:val="superscript"/>
          <w:lang w:val="en-US"/>
        </w:rPr>
        <w:t>2</w:t>
      </w:r>
      <w:r w:rsidRPr="00792B36">
        <w:rPr>
          <w:rFonts w:eastAsia="Google Sans Text"/>
          <w:color w:val="1F1F1F"/>
          <w:sz w:val="24"/>
          <w:szCs w:val="24"/>
          <w:lang w:val="en-US"/>
        </w:rPr>
        <w:t>)</w:t>
      </w:r>
      <w:r w:rsidRPr="00792B36">
        <w:rPr>
          <w:rFonts w:eastAsia="Google Sans Text"/>
          <w:color w:val="1F1F1F"/>
          <w:sz w:val="24"/>
          <w:szCs w:val="24"/>
        </w:rPr>
        <w:t xml:space="preserve"> </w:t>
      </w:r>
      <w:r w:rsidRPr="00792B36">
        <w:rPr>
          <w:rFonts w:eastAsia="Google Sans Text"/>
          <w:color w:val="1F1F1F"/>
          <w:sz w:val="24"/>
          <w:szCs w:val="24"/>
          <w:lang w:val="en-US"/>
        </w:rPr>
        <w:t xml:space="preserve">and </w:t>
      </w:r>
      <w:r w:rsidRPr="00792B36">
        <w:rPr>
          <w:rFonts w:eastAsia="Google Sans Text"/>
          <w:color w:val="1F1F1F"/>
          <w:sz w:val="24"/>
          <w:szCs w:val="24"/>
        </w:rPr>
        <w:t>Samut Prakan (1,346 persons/km²). It further analyzes economic exposure, noting that the 2024 cyclone season alone caused estimated damages of USD 904 million. By correlating poverty rates with climate risks, the analysis identifies populations with low adaptive capacity, ensuring that adaptation strategies prioritize the most vulnerable communities dependent on climate-sensitive sectors like fisheries and tourism.</w:t>
      </w:r>
    </w:p>
    <w:p w14:paraId="033C2135" w14:textId="77777777" w:rsidR="00931A50" w:rsidRPr="00792B36" w:rsidRDefault="00931A50" w:rsidP="00931A50">
      <w:pPr>
        <w:pBdr>
          <w:top w:val="nil"/>
          <w:left w:val="nil"/>
          <w:bottom w:val="nil"/>
          <w:right w:val="nil"/>
          <w:between w:val="nil"/>
        </w:pBdr>
        <w:jc w:val="thaiDistribute"/>
        <w:rPr>
          <w:sz w:val="24"/>
          <w:szCs w:val="24"/>
        </w:rPr>
      </w:pPr>
    </w:p>
    <w:p w14:paraId="34D2ABFF" w14:textId="77777777" w:rsidR="00931A50" w:rsidRPr="00792B36" w:rsidRDefault="00931A50" w:rsidP="00F61B37">
      <w:pPr>
        <w:pStyle w:val="ListParagraph"/>
        <w:numPr>
          <w:ilvl w:val="0"/>
          <w:numId w:val="27"/>
        </w:numPr>
        <w:pBdr>
          <w:top w:val="nil"/>
          <w:left w:val="nil"/>
          <w:bottom w:val="nil"/>
          <w:right w:val="nil"/>
          <w:between w:val="nil"/>
        </w:pBdr>
        <w:jc w:val="thaiDistribute"/>
        <w:rPr>
          <w:rFonts w:eastAsia="Google Sans Text" w:cs="Arial"/>
          <w:b/>
          <w:bCs/>
          <w:color w:val="1F1F1F"/>
          <w:sz w:val="24"/>
          <w:szCs w:val="24"/>
        </w:rPr>
      </w:pPr>
      <w:r w:rsidRPr="00792B36">
        <w:rPr>
          <w:rFonts w:eastAsia="Google Sans Text" w:cs="Arial"/>
          <w:b/>
          <w:bCs/>
          <w:color w:val="1F1F1F"/>
          <w:sz w:val="24"/>
          <w:szCs w:val="24"/>
        </w:rPr>
        <w:lastRenderedPageBreak/>
        <w:t>Regional and Specific Conventions:</w:t>
      </w:r>
    </w:p>
    <w:p w14:paraId="111D22E5" w14:textId="77777777" w:rsidR="00931A50" w:rsidRPr="00792B36" w:rsidRDefault="00931A50" w:rsidP="00F61B37">
      <w:pPr>
        <w:pStyle w:val="ListParagraph"/>
        <w:numPr>
          <w:ilvl w:val="0"/>
          <w:numId w:val="28"/>
        </w:numPr>
        <w:pBdr>
          <w:top w:val="nil"/>
          <w:left w:val="nil"/>
          <w:bottom w:val="nil"/>
          <w:right w:val="nil"/>
          <w:between w:val="nil"/>
        </w:pBdr>
        <w:ind w:left="0" w:firstLine="426"/>
        <w:jc w:val="thaiDistribute"/>
        <w:rPr>
          <w:rFonts w:eastAsia="Google Sans Text" w:cs="Arial"/>
          <w:color w:val="1F1F1F"/>
          <w:sz w:val="24"/>
          <w:szCs w:val="24"/>
        </w:rPr>
      </w:pPr>
      <w:r w:rsidRPr="00792B36">
        <w:rPr>
          <w:rFonts w:cs="Arial"/>
          <w:b/>
          <w:bCs/>
          <w:sz w:val="24"/>
          <w:szCs w:val="24"/>
        </w:rPr>
        <w:t>Marine Litter:</w:t>
      </w:r>
      <w:r w:rsidRPr="00792B36">
        <w:rPr>
          <w:rFonts w:cs="Arial"/>
          <w:sz w:val="24"/>
          <w:szCs w:val="24"/>
        </w:rPr>
        <w:t xml:space="preserve"> Supports the </w:t>
      </w:r>
      <w:r w:rsidRPr="00792B36">
        <w:rPr>
          <w:rFonts w:cs="Arial"/>
          <w:i/>
          <w:iCs/>
          <w:sz w:val="24"/>
          <w:szCs w:val="24"/>
        </w:rPr>
        <w:t xml:space="preserve">COBSEA Regional Action Plan on Marine Litter (RAP MALI) </w:t>
      </w:r>
      <w:r w:rsidRPr="00792B36">
        <w:rPr>
          <w:rFonts w:cs="Arial"/>
          <w:sz w:val="24"/>
          <w:szCs w:val="24"/>
        </w:rPr>
        <w:t xml:space="preserve">by quantifying land-based plastic leakage, monitoring microplastics, and addressing sea-based sources such as Abandoned, Lost, or otherwise Discarded Fishing Gear (ALDFG). In addition, </w:t>
      </w:r>
      <w:r w:rsidRPr="00792B36">
        <w:rPr>
          <w:rFonts w:eastAsia="Google Sans Text" w:cs="Arial"/>
          <w:color w:val="1F1F1F"/>
          <w:sz w:val="24"/>
          <w:szCs w:val="24"/>
        </w:rPr>
        <w:t xml:space="preserve">supports the </w:t>
      </w:r>
      <w:r w:rsidRPr="00792B36">
        <w:rPr>
          <w:rFonts w:eastAsia="Google Sans Text" w:cs="Arial"/>
          <w:i/>
          <w:iCs/>
          <w:color w:val="1F1F1F"/>
          <w:sz w:val="24"/>
          <w:szCs w:val="24"/>
        </w:rPr>
        <w:t>ASEAN Regional Action Plan for Combating Marine Debris</w:t>
      </w:r>
      <w:r w:rsidRPr="00792B36">
        <w:rPr>
          <w:rFonts w:eastAsia="Google Sans Text" w:cs="Arial"/>
          <w:color w:val="1F1F1F"/>
          <w:sz w:val="24"/>
          <w:szCs w:val="24"/>
        </w:rPr>
        <w:t xml:space="preserve"> by quantifying plastic leakage and identifying hotspot areas.</w:t>
      </w:r>
    </w:p>
    <w:p w14:paraId="25D059B9" w14:textId="77777777" w:rsidR="00931A50" w:rsidRPr="00792B36" w:rsidRDefault="00931A50" w:rsidP="00F61B37">
      <w:pPr>
        <w:pStyle w:val="NormalWeb"/>
        <w:numPr>
          <w:ilvl w:val="0"/>
          <w:numId w:val="28"/>
        </w:numPr>
        <w:spacing w:before="0" w:beforeAutospacing="0" w:after="0" w:afterAutospacing="0"/>
        <w:ind w:left="0" w:firstLine="426"/>
        <w:rPr>
          <w:rFonts w:ascii="Arial" w:hAnsi="Arial" w:cs="Arial"/>
        </w:rPr>
      </w:pPr>
      <w:r w:rsidRPr="00792B36">
        <w:rPr>
          <w:rFonts w:ascii="Arial" w:hAnsi="Arial" w:cs="Arial"/>
          <w:b/>
          <w:bCs/>
        </w:rPr>
        <w:t>Marine Ecosystems:</w:t>
      </w:r>
      <w:r w:rsidRPr="00792B36">
        <w:rPr>
          <w:rFonts w:ascii="Arial" w:hAnsi="Arial" w:cs="Arial"/>
        </w:rPr>
        <w:t xml:space="preserve"> Supports the COBSEA Marine and Coastal Ecosystems (MCE) Framework by aligning national initiatives on Marine Spatial Planning (MSP) and "Blue Carbon" habitat restoration (mangroves and seagrasses) with regional Sustainable Blue Economy goals and the "30x30" protection targets.</w:t>
      </w:r>
    </w:p>
    <w:p w14:paraId="450EE054" w14:textId="77777777" w:rsidR="00931A50" w:rsidRPr="00792B36" w:rsidRDefault="00931A50" w:rsidP="00F61B37">
      <w:pPr>
        <w:numPr>
          <w:ilvl w:val="0"/>
          <w:numId w:val="17"/>
        </w:numPr>
        <w:pBdr>
          <w:top w:val="nil"/>
          <w:left w:val="nil"/>
          <w:bottom w:val="nil"/>
          <w:right w:val="nil"/>
          <w:between w:val="nil"/>
        </w:pBdr>
        <w:ind w:left="0" w:firstLine="426"/>
        <w:jc w:val="thaiDistribute"/>
        <w:rPr>
          <w:sz w:val="24"/>
          <w:szCs w:val="24"/>
        </w:rPr>
      </w:pPr>
      <w:r w:rsidRPr="00792B36">
        <w:rPr>
          <w:rFonts w:eastAsia="Google Sans Text"/>
          <w:b/>
          <w:bCs/>
          <w:color w:val="1F1F1F"/>
          <w:sz w:val="24"/>
          <w:szCs w:val="24"/>
        </w:rPr>
        <w:t>Biodiversity Protection:</w:t>
      </w:r>
      <w:r w:rsidRPr="00792B36">
        <w:rPr>
          <w:rFonts w:eastAsia="Google Sans Text"/>
          <w:color w:val="1F1F1F"/>
          <w:sz w:val="24"/>
          <w:szCs w:val="24"/>
        </w:rPr>
        <w:t xml:space="preserve"> Provides status updates for species listed under </w:t>
      </w:r>
      <w:r w:rsidRPr="00792B36">
        <w:rPr>
          <w:rFonts w:eastAsia="Google Sans Text"/>
          <w:i/>
          <w:iCs/>
          <w:color w:val="1F1F1F"/>
          <w:sz w:val="24"/>
          <w:szCs w:val="24"/>
        </w:rPr>
        <w:t xml:space="preserve">CITES and the Convention on Migratory Species (CMS), </w:t>
      </w:r>
      <w:r w:rsidRPr="00792B36">
        <w:rPr>
          <w:rFonts w:eastAsia="Google Sans Text"/>
          <w:color w:val="1F1F1F"/>
          <w:sz w:val="24"/>
          <w:szCs w:val="24"/>
        </w:rPr>
        <w:t>specifically regarding the Dugong MOU and IOSEA Marine Turtle MOU.</w:t>
      </w:r>
    </w:p>
    <w:p w14:paraId="66C0D35A" w14:textId="77777777" w:rsidR="00931A50" w:rsidRPr="00792B36" w:rsidRDefault="00931A50" w:rsidP="00F61B37">
      <w:pPr>
        <w:numPr>
          <w:ilvl w:val="0"/>
          <w:numId w:val="17"/>
        </w:numPr>
        <w:pBdr>
          <w:top w:val="nil"/>
          <w:left w:val="nil"/>
          <w:bottom w:val="nil"/>
          <w:right w:val="nil"/>
          <w:between w:val="nil"/>
        </w:pBdr>
        <w:ind w:left="0" w:firstLine="426"/>
        <w:jc w:val="thaiDistribute"/>
        <w:rPr>
          <w:sz w:val="24"/>
          <w:szCs w:val="24"/>
        </w:rPr>
      </w:pPr>
      <w:r w:rsidRPr="00792B36">
        <w:rPr>
          <w:rFonts w:eastAsia="Google Sans Text"/>
          <w:b/>
          <w:bCs/>
          <w:color w:val="1F1F1F"/>
          <w:sz w:val="24"/>
          <w:szCs w:val="24"/>
        </w:rPr>
        <w:t>BBNJ Agreement:</w:t>
      </w:r>
      <w:r w:rsidRPr="00792B36">
        <w:rPr>
          <w:rFonts w:eastAsia="Google Sans Text"/>
          <w:color w:val="1F1F1F"/>
          <w:sz w:val="24"/>
          <w:szCs w:val="24"/>
        </w:rPr>
        <w:t xml:space="preserve"> The governance analysis prepares Thailand for future engagement in the </w:t>
      </w:r>
      <w:r w:rsidRPr="00792B36">
        <w:rPr>
          <w:rFonts w:eastAsia="Google Sans Text"/>
          <w:i/>
          <w:iCs/>
          <w:color w:val="1F1F1F"/>
          <w:sz w:val="24"/>
          <w:szCs w:val="24"/>
        </w:rPr>
        <w:t>Biodiversity Beyond National Jurisdiction (BBNJ)</w:t>
      </w:r>
      <w:r w:rsidRPr="00792B36">
        <w:rPr>
          <w:rFonts w:eastAsia="Google Sans Text"/>
          <w:color w:val="1F1F1F"/>
          <w:sz w:val="24"/>
          <w:szCs w:val="24"/>
        </w:rPr>
        <w:t xml:space="preserve"> framework by assessing national capacity for high-seas governance.</w:t>
      </w:r>
    </w:p>
    <w:p w14:paraId="0E78FF90" w14:textId="77777777" w:rsidR="00931A50" w:rsidRPr="00792B36" w:rsidRDefault="00931A50" w:rsidP="00931A50">
      <w:pPr>
        <w:pBdr>
          <w:top w:val="nil"/>
          <w:left w:val="nil"/>
          <w:bottom w:val="nil"/>
          <w:right w:val="nil"/>
          <w:between w:val="nil"/>
        </w:pBdr>
        <w:spacing w:before="240" w:line="275" w:lineRule="auto"/>
        <w:jc w:val="thaiDistribute"/>
        <w:rPr>
          <w:rFonts w:eastAsia="Google Sans Text"/>
          <w:color w:val="1F1F1F"/>
          <w:sz w:val="24"/>
          <w:szCs w:val="24"/>
        </w:rPr>
      </w:pPr>
    </w:p>
    <w:p w14:paraId="52F0DEF3" w14:textId="77777777" w:rsidR="00931A50" w:rsidRPr="00792B36" w:rsidRDefault="00931A50" w:rsidP="00931A50">
      <w:pPr>
        <w:pStyle w:val="Heading3"/>
        <w:spacing w:before="0" w:after="0" w:line="275" w:lineRule="auto"/>
        <w:jc w:val="thaiDistribute"/>
        <w:rPr>
          <w:rFonts w:eastAsia="Google Sans"/>
          <w:color w:val="1F1F1F"/>
          <w:sz w:val="24"/>
          <w:szCs w:val="24"/>
        </w:rPr>
      </w:pPr>
      <w:r w:rsidRPr="00792B36">
        <w:rPr>
          <w:rFonts w:eastAsia="Google Sans"/>
          <w:color w:val="1F1F1F"/>
          <w:sz w:val="24"/>
          <w:szCs w:val="24"/>
        </w:rPr>
        <w:t>1.2 Major water related environmental problems</w:t>
      </w:r>
    </w:p>
    <w:p w14:paraId="7DA5ED7C" w14:textId="77777777" w:rsidR="00931A50" w:rsidRPr="00792B36" w:rsidRDefault="00931A50" w:rsidP="00931A50">
      <w:pPr>
        <w:pBdr>
          <w:top w:val="nil"/>
          <w:left w:val="nil"/>
          <w:bottom w:val="nil"/>
          <w:right w:val="nil"/>
          <w:between w:val="nil"/>
        </w:pBdr>
        <w:spacing w:line="275" w:lineRule="auto"/>
        <w:jc w:val="thaiDistribute"/>
        <w:rPr>
          <w:rFonts w:eastAsia="Google Sans"/>
          <w:color w:val="1F1F1F"/>
          <w:sz w:val="24"/>
          <w:szCs w:val="24"/>
        </w:rPr>
      </w:pPr>
    </w:p>
    <w:p w14:paraId="6194ACC0" w14:textId="77777777" w:rsidR="00931A50" w:rsidRPr="00792B36" w:rsidRDefault="00931A50" w:rsidP="00931A50">
      <w:pPr>
        <w:pBdr>
          <w:top w:val="nil"/>
          <w:left w:val="nil"/>
          <w:bottom w:val="nil"/>
          <w:right w:val="nil"/>
          <w:between w:val="nil"/>
        </w:pBdr>
        <w:spacing w:line="275" w:lineRule="auto"/>
        <w:jc w:val="thaiDistribute"/>
        <w:rPr>
          <w:rFonts w:eastAsia="Google Sans Text"/>
          <w:color w:val="1F1F1F"/>
          <w:sz w:val="24"/>
          <w:szCs w:val="24"/>
        </w:rPr>
      </w:pPr>
      <w:r w:rsidRPr="00792B36">
        <w:rPr>
          <w:rFonts w:eastAsia="Google Sans Text"/>
          <w:color w:val="1F1F1F"/>
          <w:sz w:val="24"/>
          <w:szCs w:val="24"/>
        </w:rPr>
        <w:t>A comparative analysis between the seminal Year 2000 National TDA and the current 2025 assessment reveals a profound shift in the scale and complexity of Thailand's water-related challenges. In 2000, the primary concerns were driven by unchecked resource extraction (mangrove deforestation for shrimp farming) and basic sanitation failures (untreated domestic sewage). By 2025, while legacy issues persist, the landscape is dominated by "cumulative" and "transboundary" threats, including marine plastic debris, climate-induced coral bleaching, and hazardous industrial waste from the Eastern Economic Corridor (EEC).</w:t>
      </w:r>
    </w:p>
    <w:p w14:paraId="1FB42196" w14:textId="77777777" w:rsidR="00931A50" w:rsidRPr="00792B36" w:rsidRDefault="00931A50" w:rsidP="00931A50">
      <w:pPr>
        <w:pBdr>
          <w:top w:val="nil"/>
          <w:left w:val="nil"/>
          <w:bottom w:val="nil"/>
          <w:right w:val="nil"/>
          <w:between w:val="nil"/>
        </w:pBdr>
        <w:spacing w:line="275" w:lineRule="auto"/>
        <w:jc w:val="thaiDistribute"/>
        <w:rPr>
          <w:rFonts w:eastAsia="Google Sans Text"/>
          <w:color w:val="1F1F1F"/>
          <w:sz w:val="24"/>
          <w:szCs w:val="24"/>
        </w:rPr>
      </w:pPr>
    </w:p>
    <w:p w14:paraId="5C79372E" w14:textId="77777777" w:rsidR="00931A50" w:rsidRPr="00792B36" w:rsidRDefault="00931A50" w:rsidP="00931A50">
      <w:pPr>
        <w:pBdr>
          <w:top w:val="nil"/>
          <w:left w:val="nil"/>
          <w:bottom w:val="nil"/>
          <w:right w:val="nil"/>
          <w:between w:val="nil"/>
        </w:pBdr>
        <w:spacing w:line="275" w:lineRule="auto"/>
        <w:jc w:val="thaiDistribute"/>
        <w:rPr>
          <w:rFonts w:eastAsia="Google Sans Text"/>
          <w:color w:val="1F1F1F"/>
          <w:sz w:val="24"/>
          <w:szCs w:val="24"/>
        </w:rPr>
      </w:pPr>
      <w:r w:rsidRPr="00792B36">
        <w:rPr>
          <w:rFonts w:eastAsia="Google Sans Text"/>
          <w:color w:val="1F1F1F"/>
          <w:sz w:val="24"/>
          <w:szCs w:val="24"/>
        </w:rPr>
        <w:t>The following table summarizes the evolution of these environmental priorities over the past 25 years.</w:t>
      </w:r>
    </w:p>
    <w:p w14:paraId="3146C8B0" w14:textId="77777777" w:rsidR="00931A50" w:rsidRPr="00792B36" w:rsidRDefault="00931A50" w:rsidP="00931A50">
      <w:pPr>
        <w:pBdr>
          <w:top w:val="nil"/>
          <w:left w:val="nil"/>
          <w:bottom w:val="nil"/>
          <w:right w:val="nil"/>
          <w:between w:val="nil"/>
        </w:pBdr>
        <w:spacing w:line="275" w:lineRule="auto"/>
        <w:jc w:val="thaiDistribute"/>
        <w:rPr>
          <w:rFonts w:eastAsia="Google Sans Text"/>
          <w:color w:val="1F1F1F"/>
          <w:sz w:val="24"/>
          <w:szCs w:val="24"/>
        </w:rPr>
      </w:pPr>
    </w:p>
    <w:p w14:paraId="038DCDC6" w14:textId="77777777" w:rsidR="00931A50" w:rsidRPr="00792B36" w:rsidRDefault="00931A50" w:rsidP="00931A50">
      <w:pPr>
        <w:pBdr>
          <w:top w:val="nil"/>
          <w:left w:val="nil"/>
          <w:bottom w:val="nil"/>
          <w:right w:val="nil"/>
          <w:between w:val="nil"/>
        </w:pBdr>
        <w:spacing w:line="275" w:lineRule="auto"/>
        <w:jc w:val="thaiDistribute"/>
        <w:rPr>
          <w:rFonts w:eastAsia="Google Sans Text"/>
          <w:b/>
          <w:bCs/>
          <w:color w:val="1F1F1F"/>
          <w:sz w:val="24"/>
          <w:szCs w:val="24"/>
        </w:rPr>
      </w:pPr>
      <w:r w:rsidRPr="00792B36">
        <w:rPr>
          <w:rFonts w:eastAsia="Google Sans Text"/>
          <w:b/>
          <w:bCs/>
          <w:color w:val="1F1F1F"/>
          <w:sz w:val="24"/>
          <w:szCs w:val="24"/>
        </w:rPr>
        <w:t>Table 1.1 Comparative Assessment of Major Water-Related Environmental Problems (2000 vs 2025)</w:t>
      </w:r>
    </w:p>
    <w:p w14:paraId="721BE37E" w14:textId="77777777" w:rsidR="00931A50" w:rsidRPr="00792B36" w:rsidRDefault="00931A50" w:rsidP="00931A50">
      <w:pPr>
        <w:pBdr>
          <w:top w:val="nil"/>
          <w:left w:val="nil"/>
          <w:bottom w:val="nil"/>
          <w:right w:val="nil"/>
          <w:between w:val="nil"/>
        </w:pBdr>
        <w:spacing w:line="275" w:lineRule="auto"/>
        <w:jc w:val="thaiDistribute"/>
        <w:rPr>
          <w:rFonts w:eastAsia="Google Sans Text"/>
          <w:b/>
          <w:bCs/>
          <w:color w:val="1F1F1F"/>
          <w:sz w:val="24"/>
          <w:szCs w:val="24"/>
        </w:rPr>
      </w:pPr>
    </w:p>
    <w:tbl>
      <w:tblPr>
        <w:tblW w:w="936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2340"/>
        <w:gridCol w:w="2340"/>
        <w:gridCol w:w="2340"/>
        <w:gridCol w:w="2340"/>
      </w:tblGrid>
      <w:tr w:rsidR="00931A50" w:rsidRPr="00792B36" w14:paraId="4DDE5B83" w14:textId="77777777" w:rsidTr="0096560E">
        <w:tc>
          <w:tcPr>
            <w:tcW w:w="2340" w:type="dxa"/>
            <w:tcBorders>
              <w:top w:val="single" w:sz="6" w:space="0" w:color="000000"/>
              <w:left w:val="single" w:sz="6" w:space="0" w:color="000000"/>
              <w:bottom w:val="single" w:sz="6" w:space="0" w:color="000000"/>
              <w:right w:val="single" w:sz="6" w:space="0" w:color="000000"/>
            </w:tcBorders>
            <w:shd w:val="clear" w:color="auto" w:fill="F8FAFD"/>
            <w:tcMar>
              <w:top w:w="120" w:type="dxa"/>
              <w:left w:w="180" w:type="dxa"/>
              <w:bottom w:w="120" w:type="dxa"/>
              <w:right w:w="180" w:type="dxa"/>
            </w:tcMar>
          </w:tcPr>
          <w:p w14:paraId="32F34C50" w14:textId="77777777" w:rsidR="00931A50" w:rsidRPr="00792B36" w:rsidRDefault="00931A50" w:rsidP="0096560E">
            <w:pPr>
              <w:pBdr>
                <w:top w:val="nil"/>
                <w:left w:val="nil"/>
                <w:bottom w:val="nil"/>
                <w:right w:val="nil"/>
                <w:between w:val="nil"/>
              </w:pBdr>
              <w:spacing w:line="275" w:lineRule="auto"/>
              <w:jc w:val="center"/>
              <w:rPr>
                <w:rFonts w:eastAsia="Google Sans Text"/>
                <w:b/>
                <w:bCs/>
                <w:color w:val="1F1F1F"/>
              </w:rPr>
            </w:pPr>
            <w:r w:rsidRPr="00792B36">
              <w:rPr>
                <w:rFonts w:eastAsia="Google Sans Text"/>
                <w:b/>
                <w:bCs/>
                <w:color w:val="1F1F1F"/>
              </w:rPr>
              <w:t>Environmental Issue</w:t>
            </w:r>
          </w:p>
        </w:tc>
        <w:tc>
          <w:tcPr>
            <w:tcW w:w="2340" w:type="dxa"/>
            <w:tcBorders>
              <w:top w:val="single" w:sz="6" w:space="0" w:color="000000"/>
              <w:left w:val="single" w:sz="6" w:space="0" w:color="000000"/>
              <w:bottom w:val="single" w:sz="6" w:space="0" w:color="000000"/>
              <w:right w:val="single" w:sz="6" w:space="0" w:color="000000"/>
            </w:tcBorders>
            <w:shd w:val="clear" w:color="auto" w:fill="F8FAFD"/>
            <w:tcMar>
              <w:top w:w="120" w:type="dxa"/>
              <w:left w:w="180" w:type="dxa"/>
              <w:bottom w:w="120" w:type="dxa"/>
              <w:right w:w="180" w:type="dxa"/>
            </w:tcMar>
          </w:tcPr>
          <w:p w14:paraId="3AC37659" w14:textId="77777777" w:rsidR="00931A50" w:rsidRPr="00792B36" w:rsidRDefault="00931A50" w:rsidP="0096560E">
            <w:pPr>
              <w:pBdr>
                <w:top w:val="nil"/>
                <w:left w:val="nil"/>
                <w:bottom w:val="nil"/>
                <w:right w:val="nil"/>
                <w:between w:val="nil"/>
              </w:pBdr>
              <w:spacing w:line="275" w:lineRule="auto"/>
              <w:jc w:val="center"/>
              <w:rPr>
                <w:rFonts w:eastAsia="Google Sans Text"/>
                <w:b/>
                <w:bCs/>
                <w:color w:val="1F1F1F"/>
              </w:rPr>
            </w:pPr>
            <w:r w:rsidRPr="00792B36">
              <w:rPr>
                <w:rFonts w:eastAsia="Google Sans Text"/>
                <w:b/>
                <w:bCs/>
                <w:color w:val="1F1F1F"/>
              </w:rPr>
              <w:t>Year 2000 Status &amp; Priority</w:t>
            </w:r>
          </w:p>
        </w:tc>
        <w:tc>
          <w:tcPr>
            <w:tcW w:w="2340" w:type="dxa"/>
            <w:tcBorders>
              <w:top w:val="single" w:sz="6" w:space="0" w:color="000000"/>
              <w:left w:val="single" w:sz="6" w:space="0" w:color="000000"/>
              <w:bottom w:val="single" w:sz="6" w:space="0" w:color="000000"/>
              <w:right w:val="single" w:sz="6" w:space="0" w:color="000000"/>
            </w:tcBorders>
            <w:shd w:val="clear" w:color="auto" w:fill="F8FAFD"/>
            <w:tcMar>
              <w:top w:w="120" w:type="dxa"/>
              <w:left w:w="180" w:type="dxa"/>
              <w:bottom w:w="120" w:type="dxa"/>
              <w:right w:w="180" w:type="dxa"/>
            </w:tcMar>
          </w:tcPr>
          <w:p w14:paraId="77A013A3" w14:textId="77777777" w:rsidR="00931A50" w:rsidRPr="00792B36" w:rsidRDefault="00931A50" w:rsidP="0096560E">
            <w:pPr>
              <w:pBdr>
                <w:top w:val="nil"/>
                <w:left w:val="nil"/>
                <w:bottom w:val="nil"/>
                <w:right w:val="nil"/>
                <w:between w:val="nil"/>
              </w:pBdr>
              <w:spacing w:line="275" w:lineRule="auto"/>
              <w:jc w:val="center"/>
              <w:rPr>
                <w:rFonts w:eastAsia="Google Sans Text"/>
                <w:b/>
                <w:bCs/>
                <w:color w:val="1F1F1F"/>
              </w:rPr>
            </w:pPr>
            <w:r w:rsidRPr="00792B36">
              <w:rPr>
                <w:rFonts w:eastAsia="Google Sans Text"/>
                <w:b/>
                <w:bCs/>
                <w:color w:val="1F1F1F"/>
              </w:rPr>
              <w:t>Year 2025 Status &amp; Priority</w:t>
            </w:r>
          </w:p>
        </w:tc>
        <w:tc>
          <w:tcPr>
            <w:tcW w:w="2340" w:type="dxa"/>
            <w:tcBorders>
              <w:top w:val="single" w:sz="6" w:space="0" w:color="000000"/>
              <w:left w:val="single" w:sz="6" w:space="0" w:color="000000"/>
              <w:bottom w:val="single" w:sz="6" w:space="0" w:color="000000"/>
              <w:right w:val="single" w:sz="6" w:space="0" w:color="000000"/>
            </w:tcBorders>
            <w:shd w:val="clear" w:color="auto" w:fill="F8FAFD"/>
            <w:tcMar>
              <w:top w:w="120" w:type="dxa"/>
              <w:left w:w="180" w:type="dxa"/>
              <w:bottom w:w="120" w:type="dxa"/>
              <w:right w:w="180" w:type="dxa"/>
            </w:tcMar>
          </w:tcPr>
          <w:p w14:paraId="531E5637" w14:textId="77777777" w:rsidR="00931A50" w:rsidRPr="00792B36" w:rsidRDefault="00931A50" w:rsidP="0096560E">
            <w:pPr>
              <w:pBdr>
                <w:top w:val="nil"/>
                <w:left w:val="nil"/>
                <w:bottom w:val="nil"/>
                <w:right w:val="nil"/>
                <w:between w:val="nil"/>
              </w:pBdr>
              <w:spacing w:line="275" w:lineRule="auto"/>
              <w:jc w:val="center"/>
              <w:rPr>
                <w:rFonts w:eastAsia="Google Sans Text"/>
                <w:b/>
                <w:bCs/>
                <w:color w:val="1F1F1F"/>
              </w:rPr>
            </w:pPr>
            <w:r w:rsidRPr="00792B36">
              <w:rPr>
                <w:rFonts w:eastAsia="Google Sans Text"/>
                <w:b/>
                <w:bCs/>
                <w:color w:val="1F1F1F"/>
              </w:rPr>
              <w:t>Trend &amp; Strategic Shift</w:t>
            </w:r>
          </w:p>
        </w:tc>
      </w:tr>
      <w:tr w:rsidR="00931A50" w:rsidRPr="00792B36" w14:paraId="604F7D4E" w14:textId="77777777" w:rsidTr="0096560E">
        <w:tc>
          <w:tcPr>
            <w:tcW w:w="2340" w:type="dxa"/>
            <w:tcBorders>
              <w:top w:val="single" w:sz="6" w:space="0" w:color="000000"/>
              <w:left w:val="single" w:sz="6" w:space="0" w:color="000000"/>
              <w:bottom w:val="single" w:sz="6" w:space="0" w:color="000000"/>
              <w:right w:val="single" w:sz="6" w:space="0" w:color="000000"/>
            </w:tcBorders>
            <w:shd w:val="clear" w:color="auto" w:fill="F8FAFD"/>
            <w:tcMar>
              <w:top w:w="120" w:type="dxa"/>
              <w:left w:w="180" w:type="dxa"/>
              <w:bottom w:w="120" w:type="dxa"/>
              <w:right w:w="180" w:type="dxa"/>
            </w:tcMar>
          </w:tcPr>
          <w:p w14:paraId="6669A121" w14:textId="77777777" w:rsidR="00931A50" w:rsidRPr="00792B36" w:rsidRDefault="00931A50" w:rsidP="0096560E">
            <w:pPr>
              <w:pBdr>
                <w:top w:val="nil"/>
                <w:left w:val="nil"/>
                <w:bottom w:val="nil"/>
                <w:right w:val="nil"/>
                <w:between w:val="nil"/>
              </w:pBdr>
              <w:spacing w:line="275" w:lineRule="auto"/>
              <w:rPr>
                <w:rFonts w:eastAsia="Google Sans Text"/>
                <w:b/>
                <w:bCs/>
                <w:color w:val="1F1F1F"/>
              </w:rPr>
            </w:pPr>
            <w:r w:rsidRPr="00792B36">
              <w:rPr>
                <w:rFonts w:eastAsia="Google Sans Text"/>
                <w:b/>
                <w:bCs/>
                <w:color w:val="1F1F1F"/>
              </w:rPr>
              <w:t>1. Freshwater Shortage &amp; Management</w:t>
            </w:r>
          </w:p>
        </w:tc>
        <w:tc>
          <w:tcPr>
            <w:tcW w:w="2340" w:type="dxa"/>
            <w:tcBorders>
              <w:top w:val="single" w:sz="6" w:space="0" w:color="000000"/>
              <w:left w:val="single" w:sz="6" w:space="0" w:color="000000"/>
              <w:bottom w:val="single" w:sz="6" w:space="0" w:color="000000"/>
              <w:right w:val="single" w:sz="6" w:space="0" w:color="000000"/>
            </w:tcBorders>
            <w:shd w:val="clear" w:color="auto" w:fill="F8FAFD"/>
            <w:tcMar>
              <w:top w:w="120" w:type="dxa"/>
              <w:left w:w="180" w:type="dxa"/>
              <w:bottom w:w="120" w:type="dxa"/>
              <w:right w:w="180" w:type="dxa"/>
            </w:tcMar>
          </w:tcPr>
          <w:p w14:paraId="7D576872" w14:textId="77777777" w:rsidR="00931A50" w:rsidRPr="00792B36" w:rsidRDefault="00931A50" w:rsidP="0096560E">
            <w:pPr>
              <w:pBdr>
                <w:top w:val="nil"/>
                <w:left w:val="nil"/>
                <w:bottom w:val="nil"/>
                <w:right w:val="nil"/>
                <w:between w:val="nil"/>
              </w:pBdr>
              <w:spacing w:line="275" w:lineRule="auto"/>
              <w:rPr>
                <w:rFonts w:eastAsia="Google Sans Text"/>
                <w:color w:val="1F1F1F"/>
              </w:rPr>
            </w:pPr>
            <w:r w:rsidRPr="00792B36">
              <w:rPr>
                <w:rFonts w:eastAsia="Google Sans Text"/>
                <w:b/>
                <w:bCs/>
                <w:color w:val="1F1F1F"/>
              </w:rPr>
              <w:t>High Priority:</w:t>
            </w:r>
            <w:r w:rsidRPr="00792B36">
              <w:rPr>
                <w:rFonts w:eastAsia="Google Sans Text"/>
                <w:color w:val="1F1F1F"/>
              </w:rPr>
              <w:t xml:space="preserve"> Acute shortages due to deforestation and conflict between agriculture and golf courses. Lack of "user pay" systems.</w:t>
            </w:r>
          </w:p>
        </w:tc>
        <w:tc>
          <w:tcPr>
            <w:tcW w:w="2340" w:type="dxa"/>
            <w:tcBorders>
              <w:top w:val="single" w:sz="6" w:space="0" w:color="000000"/>
              <w:left w:val="single" w:sz="6" w:space="0" w:color="000000"/>
              <w:bottom w:val="single" w:sz="6" w:space="0" w:color="000000"/>
              <w:right w:val="single" w:sz="6" w:space="0" w:color="000000"/>
            </w:tcBorders>
            <w:shd w:val="clear" w:color="auto" w:fill="F8FAFD"/>
            <w:tcMar>
              <w:top w:w="120" w:type="dxa"/>
              <w:left w:w="180" w:type="dxa"/>
              <w:bottom w:w="120" w:type="dxa"/>
              <w:right w:w="180" w:type="dxa"/>
            </w:tcMar>
          </w:tcPr>
          <w:p w14:paraId="1D4EC81D" w14:textId="77777777" w:rsidR="00931A50" w:rsidRPr="00792B36" w:rsidRDefault="00931A50" w:rsidP="0096560E">
            <w:pPr>
              <w:pBdr>
                <w:top w:val="nil"/>
                <w:left w:val="nil"/>
                <w:bottom w:val="nil"/>
                <w:right w:val="nil"/>
                <w:between w:val="nil"/>
              </w:pBdr>
              <w:spacing w:line="275" w:lineRule="auto"/>
              <w:rPr>
                <w:rFonts w:eastAsia="Google Sans Text"/>
                <w:color w:val="1F1F1F"/>
              </w:rPr>
            </w:pPr>
            <w:r w:rsidRPr="00792B36">
              <w:rPr>
                <w:rFonts w:eastAsia="Google Sans Text"/>
                <w:b/>
                <w:bCs/>
                <w:color w:val="1F1F1F"/>
              </w:rPr>
              <w:t>Medium-High Priority:</w:t>
            </w:r>
            <w:r w:rsidRPr="00792B36">
              <w:rPr>
                <w:rFonts w:eastAsia="Google Sans Text"/>
                <w:color w:val="1F1F1F"/>
              </w:rPr>
              <w:t xml:space="preserve"> Shift to "Water Security" for the EEC industrial hub. Climate-driven droughts remain a threat, but focus has moved to </w:t>
            </w:r>
            <w:r w:rsidRPr="00792B36">
              <w:rPr>
                <w:rFonts w:eastAsia="Google Sans Text"/>
                <w:color w:val="1F1F1F"/>
              </w:rPr>
              <w:lastRenderedPageBreak/>
              <w:t>integrated water grid management.</w:t>
            </w:r>
          </w:p>
        </w:tc>
        <w:tc>
          <w:tcPr>
            <w:tcW w:w="2340" w:type="dxa"/>
            <w:tcBorders>
              <w:top w:val="single" w:sz="6" w:space="0" w:color="000000"/>
              <w:left w:val="single" w:sz="6" w:space="0" w:color="000000"/>
              <w:bottom w:val="single" w:sz="6" w:space="0" w:color="000000"/>
              <w:right w:val="single" w:sz="6" w:space="0" w:color="000000"/>
            </w:tcBorders>
            <w:shd w:val="clear" w:color="auto" w:fill="F8FAFD"/>
            <w:tcMar>
              <w:top w:w="120" w:type="dxa"/>
              <w:left w:w="180" w:type="dxa"/>
              <w:bottom w:w="120" w:type="dxa"/>
              <w:right w:w="180" w:type="dxa"/>
            </w:tcMar>
          </w:tcPr>
          <w:p w14:paraId="725FCD2F" w14:textId="77777777" w:rsidR="00931A50" w:rsidRPr="00792B36" w:rsidRDefault="00931A50" w:rsidP="0096560E">
            <w:pPr>
              <w:pBdr>
                <w:top w:val="nil"/>
                <w:left w:val="nil"/>
                <w:bottom w:val="nil"/>
                <w:right w:val="nil"/>
                <w:between w:val="nil"/>
              </w:pBdr>
              <w:spacing w:line="275" w:lineRule="auto"/>
              <w:rPr>
                <w:rFonts w:eastAsia="Google Sans Text"/>
                <w:color w:val="1F1F1F"/>
              </w:rPr>
            </w:pPr>
            <w:r w:rsidRPr="00792B36">
              <w:rPr>
                <w:rFonts w:eastAsia="Google Sans Text"/>
                <w:b/>
                <w:bCs/>
                <w:color w:val="1F1F1F"/>
              </w:rPr>
              <w:lastRenderedPageBreak/>
              <w:t>From Local Scarcity to Strategic Allocation:</w:t>
            </w:r>
            <w:r w:rsidRPr="00792B36">
              <w:rPr>
                <w:rFonts w:eastAsia="Google Sans Text"/>
                <w:color w:val="1F1F1F"/>
              </w:rPr>
              <w:t xml:space="preserve"> Emphasis is now on securing water for high-value economic zones </w:t>
            </w:r>
            <w:r w:rsidRPr="00792B36">
              <w:rPr>
                <w:rFonts w:eastAsia="Google Sans Text"/>
                <w:color w:val="1F1F1F"/>
              </w:rPr>
              <w:lastRenderedPageBreak/>
              <w:t>(EEC) amidst climate variability.</w:t>
            </w:r>
          </w:p>
        </w:tc>
      </w:tr>
      <w:tr w:rsidR="00931A50" w:rsidRPr="00792B36" w14:paraId="0E394071" w14:textId="77777777" w:rsidTr="0096560E">
        <w:tc>
          <w:tcPr>
            <w:tcW w:w="2340" w:type="dxa"/>
            <w:tcBorders>
              <w:top w:val="single" w:sz="6" w:space="0" w:color="000000"/>
              <w:left w:val="single" w:sz="6" w:space="0" w:color="000000"/>
              <w:bottom w:val="single" w:sz="6" w:space="0" w:color="000000"/>
              <w:right w:val="single" w:sz="6" w:space="0" w:color="000000"/>
            </w:tcBorders>
            <w:shd w:val="clear" w:color="auto" w:fill="F8FAFD"/>
            <w:tcMar>
              <w:top w:w="120" w:type="dxa"/>
              <w:left w:w="180" w:type="dxa"/>
              <w:bottom w:w="120" w:type="dxa"/>
              <w:right w:w="180" w:type="dxa"/>
            </w:tcMar>
          </w:tcPr>
          <w:p w14:paraId="6487157D" w14:textId="77777777" w:rsidR="00931A50" w:rsidRPr="00792B36" w:rsidRDefault="00931A50" w:rsidP="0096560E">
            <w:pPr>
              <w:pBdr>
                <w:top w:val="nil"/>
                <w:left w:val="nil"/>
                <w:bottom w:val="nil"/>
                <w:right w:val="nil"/>
                <w:between w:val="nil"/>
              </w:pBdr>
              <w:spacing w:line="275" w:lineRule="auto"/>
              <w:rPr>
                <w:rFonts w:eastAsia="Google Sans Text"/>
                <w:b/>
                <w:bCs/>
                <w:color w:val="1F1F1F"/>
              </w:rPr>
            </w:pPr>
            <w:r w:rsidRPr="00792B36">
              <w:rPr>
                <w:rFonts w:eastAsia="Google Sans Text"/>
                <w:b/>
                <w:bCs/>
                <w:color w:val="1F1F1F"/>
              </w:rPr>
              <w:lastRenderedPageBreak/>
              <w:t>2. Marine &amp; Coastal Pollution (Eutrophication)</w:t>
            </w:r>
          </w:p>
        </w:tc>
        <w:tc>
          <w:tcPr>
            <w:tcW w:w="2340" w:type="dxa"/>
            <w:tcBorders>
              <w:top w:val="single" w:sz="6" w:space="0" w:color="000000"/>
              <w:left w:val="single" w:sz="6" w:space="0" w:color="000000"/>
              <w:bottom w:val="single" w:sz="6" w:space="0" w:color="000000"/>
              <w:right w:val="single" w:sz="6" w:space="0" w:color="000000"/>
            </w:tcBorders>
            <w:shd w:val="clear" w:color="auto" w:fill="F8FAFD"/>
            <w:tcMar>
              <w:top w:w="120" w:type="dxa"/>
              <w:left w:w="180" w:type="dxa"/>
              <w:bottom w:w="120" w:type="dxa"/>
              <w:right w:w="180" w:type="dxa"/>
            </w:tcMar>
          </w:tcPr>
          <w:p w14:paraId="2D505BCA" w14:textId="77777777" w:rsidR="00931A50" w:rsidRPr="00792B36" w:rsidRDefault="00931A50" w:rsidP="0096560E">
            <w:pPr>
              <w:pBdr>
                <w:top w:val="nil"/>
                <w:left w:val="nil"/>
                <w:bottom w:val="nil"/>
                <w:right w:val="nil"/>
                <w:between w:val="nil"/>
              </w:pBdr>
              <w:spacing w:line="275" w:lineRule="auto"/>
              <w:rPr>
                <w:rFonts w:eastAsia="Google Sans Text"/>
                <w:color w:val="1F1F1F"/>
              </w:rPr>
            </w:pPr>
            <w:r w:rsidRPr="00792B36">
              <w:rPr>
                <w:rFonts w:eastAsia="Google Sans Text"/>
                <w:b/>
                <w:bCs/>
                <w:color w:val="1F1F1F"/>
              </w:rPr>
              <w:t>High Priority:</w:t>
            </w:r>
            <w:r w:rsidRPr="00792B36">
              <w:rPr>
                <w:rFonts w:eastAsia="Google Sans Text"/>
                <w:color w:val="1F1F1F"/>
              </w:rPr>
              <w:t xml:space="preserve"> Severe eutrophication in Upper Gulf caused by untreated domestic waste and agriculture.</w:t>
            </w:r>
          </w:p>
        </w:tc>
        <w:tc>
          <w:tcPr>
            <w:tcW w:w="2340" w:type="dxa"/>
            <w:tcBorders>
              <w:top w:val="single" w:sz="6" w:space="0" w:color="000000"/>
              <w:left w:val="single" w:sz="6" w:space="0" w:color="000000"/>
              <w:bottom w:val="single" w:sz="6" w:space="0" w:color="000000"/>
              <w:right w:val="single" w:sz="6" w:space="0" w:color="000000"/>
            </w:tcBorders>
            <w:shd w:val="clear" w:color="auto" w:fill="F8FAFD"/>
            <w:tcMar>
              <w:top w:w="120" w:type="dxa"/>
              <w:left w:w="180" w:type="dxa"/>
              <w:bottom w:w="120" w:type="dxa"/>
              <w:right w:w="180" w:type="dxa"/>
            </w:tcMar>
          </w:tcPr>
          <w:p w14:paraId="7EDE2620" w14:textId="77777777" w:rsidR="00931A50" w:rsidRPr="00792B36" w:rsidRDefault="00931A50" w:rsidP="0096560E">
            <w:pPr>
              <w:pBdr>
                <w:top w:val="nil"/>
                <w:left w:val="nil"/>
                <w:bottom w:val="nil"/>
                <w:right w:val="nil"/>
                <w:between w:val="nil"/>
              </w:pBdr>
              <w:spacing w:line="275" w:lineRule="auto"/>
              <w:rPr>
                <w:rFonts w:eastAsia="Google Sans Text"/>
                <w:color w:val="1F1F1F"/>
              </w:rPr>
            </w:pPr>
            <w:r w:rsidRPr="00792B36">
              <w:rPr>
                <w:rFonts w:eastAsia="Google Sans Text"/>
                <w:b/>
                <w:bCs/>
                <w:color w:val="1F1F1F"/>
              </w:rPr>
              <w:t>Critical Priority:</w:t>
            </w:r>
            <w:r w:rsidRPr="00792B36">
              <w:rPr>
                <w:rFonts w:eastAsia="Google Sans Text"/>
                <w:color w:val="1F1F1F"/>
              </w:rPr>
              <w:t xml:space="preserve"> Eutrophication persists in the Upper Gulf (Red Tides). Nutrient loading from agriculture remains high (1.55M tonnes N-fertilizer imported in 2024).</w:t>
            </w:r>
          </w:p>
        </w:tc>
        <w:tc>
          <w:tcPr>
            <w:tcW w:w="2340" w:type="dxa"/>
            <w:tcBorders>
              <w:top w:val="single" w:sz="6" w:space="0" w:color="000000"/>
              <w:left w:val="single" w:sz="6" w:space="0" w:color="000000"/>
              <w:bottom w:val="single" w:sz="6" w:space="0" w:color="000000"/>
              <w:right w:val="single" w:sz="6" w:space="0" w:color="000000"/>
            </w:tcBorders>
            <w:shd w:val="clear" w:color="auto" w:fill="F8FAFD"/>
            <w:tcMar>
              <w:top w:w="120" w:type="dxa"/>
              <w:left w:w="180" w:type="dxa"/>
              <w:bottom w:w="120" w:type="dxa"/>
              <w:right w:w="180" w:type="dxa"/>
            </w:tcMar>
          </w:tcPr>
          <w:p w14:paraId="2B69A059" w14:textId="77777777" w:rsidR="00931A50" w:rsidRPr="00792B36" w:rsidRDefault="00931A50" w:rsidP="0096560E">
            <w:pPr>
              <w:pBdr>
                <w:top w:val="nil"/>
                <w:left w:val="nil"/>
                <w:bottom w:val="nil"/>
                <w:right w:val="nil"/>
                <w:between w:val="nil"/>
              </w:pBdr>
              <w:spacing w:line="275" w:lineRule="auto"/>
              <w:rPr>
                <w:rFonts w:eastAsia="Google Sans Text"/>
                <w:color w:val="1F1F1F"/>
              </w:rPr>
            </w:pPr>
            <w:r w:rsidRPr="00792B36">
              <w:rPr>
                <w:rFonts w:eastAsia="Google Sans Text"/>
                <w:b/>
                <w:bCs/>
                <w:color w:val="1F1F1F"/>
              </w:rPr>
              <w:t>Persistent &amp; Unresolved:</w:t>
            </w:r>
            <w:r w:rsidRPr="00792B36">
              <w:rPr>
                <w:rFonts w:eastAsia="Google Sans Text"/>
                <w:color w:val="1F1F1F"/>
              </w:rPr>
              <w:t xml:space="preserve"> Basic organic loading remains a core challenge, compounded by denser urbanization in coastal provinces.</w:t>
            </w:r>
          </w:p>
        </w:tc>
      </w:tr>
      <w:tr w:rsidR="00931A50" w:rsidRPr="00792B36" w14:paraId="65509B62" w14:textId="77777777" w:rsidTr="0096560E">
        <w:tc>
          <w:tcPr>
            <w:tcW w:w="2340" w:type="dxa"/>
            <w:tcBorders>
              <w:top w:val="single" w:sz="6" w:space="0" w:color="000000"/>
              <w:left w:val="single" w:sz="6" w:space="0" w:color="000000"/>
              <w:bottom w:val="single" w:sz="6" w:space="0" w:color="000000"/>
              <w:right w:val="single" w:sz="6" w:space="0" w:color="000000"/>
            </w:tcBorders>
            <w:shd w:val="clear" w:color="auto" w:fill="F8FAFD"/>
            <w:tcMar>
              <w:top w:w="120" w:type="dxa"/>
              <w:left w:w="180" w:type="dxa"/>
              <w:bottom w:w="120" w:type="dxa"/>
              <w:right w:w="180" w:type="dxa"/>
            </w:tcMar>
          </w:tcPr>
          <w:p w14:paraId="4569D4D1" w14:textId="77777777" w:rsidR="00931A50" w:rsidRPr="00792B36" w:rsidRDefault="00931A50" w:rsidP="0096560E">
            <w:pPr>
              <w:pBdr>
                <w:top w:val="nil"/>
                <w:left w:val="nil"/>
                <w:bottom w:val="nil"/>
                <w:right w:val="nil"/>
                <w:between w:val="nil"/>
              </w:pBdr>
              <w:spacing w:line="275" w:lineRule="auto"/>
              <w:rPr>
                <w:rFonts w:eastAsia="Google Sans Text"/>
                <w:b/>
                <w:bCs/>
                <w:color w:val="1F1F1F"/>
              </w:rPr>
            </w:pPr>
            <w:r w:rsidRPr="00792B36">
              <w:rPr>
                <w:rFonts w:eastAsia="Google Sans Text"/>
                <w:b/>
                <w:bCs/>
                <w:color w:val="1F1F1F"/>
              </w:rPr>
              <w:t>3. Marine Debris &amp; Plastics</w:t>
            </w:r>
          </w:p>
        </w:tc>
        <w:tc>
          <w:tcPr>
            <w:tcW w:w="2340" w:type="dxa"/>
            <w:tcBorders>
              <w:top w:val="single" w:sz="6" w:space="0" w:color="000000"/>
              <w:left w:val="single" w:sz="6" w:space="0" w:color="000000"/>
              <w:bottom w:val="single" w:sz="6" w:space="0" w:color="000000"/>
              <w:right w:val="single" w:sz="6" w:space="0" w:color="000000"/>
            </w:tcBorders>
            <w:shd w:val="clear" w:color="auto" w:fill="F8FAFD"/>
            <w:tcMar>
              <w:top w:w="120" w:type="dxa"/>
              <w:left w:w="180" w:type="dxa"/>
              <w:bottom w:w="120" w:type="dxa"/>
              <w:right w:w="180" w:type="dxa"/>
            </w:tcMar>
          </w:tcPr>
          <w:p w14:paraId="08161E63" w14:textId="77777777" w:rsidR="00931A50" w:rsidRPr="00792B36" w:rsidRDefault="00931A50" w:rsidP="0096560E">
            <w:pPr>
              <w:pBdr>
                <w:top w:val="nil"/>
                <w:left w:val="nil"/>
                <w:bottom w:val="nil"/>
                <w:right w:val="nil"/>
                <w:between w:val="nil"/>
              </w:pBdr>
              <w:spacing w:line="275" w:lineRule="auto"/>
              <w:rPr>
                <w:rFonts w:eastAsia="Google Sans Text"/>
                <w:color w:val="1F1F1F"/>
              </w:rPr>
            </w:pPr>
            <w:r w:rsidRPr="00792B36">
              <w:rPr>
                <w:rFonts w:eastAsia="Google Sans Text"/>
                <w:b/>
                <w:bCs/>
                <w:color w:val="1F1F1F"/>
              </w:rPr>
              <w:t>Low/Not Prioritized:</w:t>
            </w:r>
            <w:r w:rsidRPr="00792B36">
              <w:rPr>
                <w:rFonts w:eastAsia="Google Sans Text"/>
                <w:color w:val="1F1F1F"/>
              </w:rPr>
              <w:t xml:space="preserve"> Mentioned only as "garbage dumping" or "aesthetic" issues.</w:t>
            </w:r>
          </w:p>
        </w:tc>
        <w:tc>
          <w:tcPr>
            <w:tcW w:w="2340" w:type="dxa"/>
            <w:tcBorders>
              <w:top w:val="single" w:sz="6" w:space="0" w:color="000000"/>
              <w:left w:val="single" w:sz="6" w:space="0" w:color="000000"/>
              <w:bottom w:val="single" w:sz="6" w:space="0" w:color="000000"/>
              <w:right w:val="single" w:sz="6" w:space="0" w:color="000000"/>
            </w:tcBorders>
            <w:shd w:val="clear" w:color="auto" w:fill="F8FAFD"/>
            <w:tcMar>
              <w:top w:w="120" w:type="dxa"/>
              <w:left w:w="180" w:type="dxa"/>
              <w:bottom w:w="120" w:type="dxa"/>
              <w:right w:w="180" w:type="dxa"/>
            </w:tcMar>
          </w:tcPr>
          <w:p w14:paraId="539861E1" w14:textId="77777777" w:rsidR="00931A50" w:rsidRPr="00792B36" w:rsidRDefault="00931A50" w:rsidP="0096560E">
            <w:pPr>
              <w:pBdr>
                <w:top w:val="nil"/>
                <w:left w:val="nil"/>
                <w:bottom w:val="nil"/>
                <w:right w:val="nil"/>
                <w:between w:val="nil"/>
              </w:pBdr>
              <w:spacing w:line="275" w:lineRule="auto"/>
              <w:rPr>
                <w:rFonts w:eastAsia="Google Sans Text"/>
                <w:color w:val="1F1F1F"/>
              </w:rPr>
            </w:pPr>
            <w:r w:rsidRPr="00792B36">
              <w:rPr>
                <w:rFonts w:eastAsia="Google Sans Text"/>
                <w:b/>
                <w:bCs/>
                <w:color w:val="1F1F1F"/>
              </w:rPr>
              <w:t>Top Priority (Transboundary):</w:t>
            </w:r>
            <w:r w:rsidRPr="00792B36">
              <w:rPr>
                <w:rFonts w:eastAsia="Google Sans Text"/>
                <w:color w:val="1F1F1F"/>
              </w:rPr>
              <w:t xml:space="preserve"> Thailand ranked among top global contributors. 27.2M tonnes of waste/year with high leakage. Regional focus via COBSEA/ASEAN.</w:t>
            </w:r>
          </w:p>
        </w:tc>
        <w:tc>
          <w:tcPr>
            <w:tcW w:w="2340" w:type="dxa"/>
            <w:tcBorders>
              <w:top w:val="single" w:sz="6" w:space="0" w:color="000000"/>
              <w:left w:val="single" w:sz="6" w:space="0" w:color="000000"/>
              <w:bottom w:val="single" w:sz="6" w:space="0" w:color="000000"/>
              <w:right w:val="single" w:sz="6" w:space="0" w:color="000000"/>
            </w:tcBorders>
            <w:shd w:val="clear" w:color="auto" w:fill="F8FAFD"/>
            <w:tcMar>
              <w:top w:w="120" w:type="dxa"/>
              <w:left w:w="180" w:type="dxa"/>
              <w:bottom w:w="120" w:type="dxa"/>
              <w:right w:w="180" w:type="dxa"/>
            </w:tcMar>
          </w:tcPr>
          <w:p w14:paraId="17EFCB22" w14:textId="77777777" w:rsidR="00931A50" w:rsidRPr="00792B36" w:rsidRDefault="00931A50" w:rsidP="0096560E">
            <w:pPr>
              <w:pBdr>
                <w:top w:val="nil"/>
                <w:left w:val="nil"/>
                <w:bottom w:val="nil"/>
                <w:right w:val="nil"/>
                <w:between w:val="nil"/>
              </w:pBdr>
              <w:spacing w:line="275" w:lineRule="auto"/>
              <w:rPr>
                <w:rFonts w:eastAsia="Google Sans Text"/>
                <w:color w:val="1F1F1F"/>
              </w:rPr>
            </w:pPr>
            <w:r w:rsidRPr="00792B36">
              <w:rPr>
                <w:rFonts w:eastAsia="Google Sans Text"/>
                <w:b/>
                <w:bCs/>
                <w:color w:val="1F1F1F"/>
              </w:rPr>
              <w:t>Emerging Crisis:</w:t>
            </w:r>
            <w:r w:rsidRPr="00792B36">
              <w:rPr>
                <w:rFonts w:eastAsia="Google Sans Text"/>
                <w:color w:val="1F1F1F"/>
              </w:rPr>
              <w:t xml:space="preserve"> Plastic pollution has escalated from a local nuisance to a global transboundary priority requiring circular economy interventions.</w:t>
            </w:r>
          </w:p>
        </w:tc>
      </w:tr>
      <w:tr w:rsidR="00931A50" w:rsidRPr="00792B36" w14:paraId="7F3FED97" w14:textId="77777777" w:rsidTr="0096560E">
        <w:tc>
          <w:tcPr>
            <w:tcW w:w="2340" w:type="dxa"/>
            <w:tcBorders>
              <w:top w:val="single" w:sz="6" w:space="0" w:color="000000"/>
              <w:left w:val="single" w:sz="6" w:space="0" w:color="000000"/>
              <w:bottom w:val="single" w:sz="6" w:space="0" w:color="000000"/>
              <w:right w:val="single" w:sz="6" w:space="0" w:color="000000"/>
            </w:tcBorders>
            <w:shd w:val="clear" w:color="auto" w:fill="F8FAFD"/>
            <w:tcMar>
              <w:top w:w="120" w:type="dxa"/>
              <w:left w:w="180" w:type="dxa"/>
              <w:bottom w:w="120" w:type="dxa"/>
              <w:right w:w="180" w:type="dxa"/>
            </w:tcMar>
          </w:tcPr>
          <w:p w14:paraId="6065FC1B" w14:textId="77777777" w:rsidR="00931A50" w:rsidRPr="00792B36" w:rsidRDefault="00931A50" w:rsidP="0096560E">
            <w:pPr>
              <w:pBdr>
                <w:top w:val="nil"/>
                <w:left w:val="nil"/>
                <w:bottom w:val="nil"/>
                <w:right w:val="nil"/>
                <w:between w:val="nil"/>
              </w:pBdr>
              <w:spacing w:line="275" w:lineRule="auto"/>
              <w:rPr>
                <w:rFonts w:eastAsia="Google Sans Text"/>
                <w:b/>
                <w:bCs/>
                <w:color w:val="1F1F1F"/>
              </w:rPr>
            </w:pPr>
            <w:r w:rsidRPr="00792B36">
              <w:rPr>
                <w:rFonts w:eastAsia="Google Sans Text"/>
                <w:b/>
                <w:bCs/>
                <w:color w:val="1F1F1F"/>
              </w:rPr>
              <w:t>4. Fisheries Resources</w:t>
            </w:r>
          </w:p>
        </w:tc>
        <w:tc>
          <w:tcPr>
            <w:tcW w:w="2340" w:type="dxa"/>
            <w:tcBorders>
              <w:top w:val="single" w:sz="6" w:space="0" w:color="000000"/>
              <w:left w:val="single" w:sz="6" w:space="0" w:color="000000"/>
              <w:bottom w:val="single" w:sz="6" w:space="0" w:color="000000"/>
              <w:right w:val="single" w:sz="6" w:space="0" w:color="000000"/>
            </w:tcBorders>
            <w:shd w:val="clear" w:color="auto" w:fill="F8FAFD"/>
            <w:tcMar>
              <w:top w:w="120" w:type="dxa"/>
              <w:left w:w="180" w:type="dxa"/>
              <w:bottom w:w="120" w:type="dxa"/>
              <w:right w:w="180" w:type="dxa"/>
            </w:tcMar>
          </w:tcPr>
          <w:p w14:paraId="43857B2A" w14:textId="77777777" w:rsidR="00931A50" w:rsidRPr="00792B36" w:rsidRDefault="00931A50" w:rsidP="0096560E">
            <w:pPr>
              <w:pBdr>
                <w:top w:val="nil"/>
                <w:left w:val="nil"/>
                <w:bottom w:val="nil"/>
                <w:right w:val="nil"/>
                <w:between w:val="nil"/>
              </w:pBdr>
              <w:spacing w:line="275" w:lineRule="auto"/>
              <w:rPr>
                <w:rFonts w:eastAsia="Google Sans Text"/>
                <w:color w:val="1F1F1F"/>
              </w:rPr>
            </w:pPr>
            <w:r w:rsidRPr="00792B36">
              <w:rPr>
                <w:rFonts w:eastAsia="Google Sans Text"/>
                <w:b/>
                <w:bCs/>
                <w:color w:val="1F1F1F"/>
              </w:rPr>
              <w:t>Critical Priority:</w:t>
            </w:r>
            <w:r w:rsidRPr="00792B36">
              <w:rPr>
                <w:rFonts w:eastAsia="Google Sans Text"/>
                <w:color w:val="1F1F1F"/>
              </w:rPr>
              <w:t xml:space="preserve"> "Over-exploitation" and "Open Access" regime. Collapse of CPUE to ~14 kg/hr.</w:t>
            </w:r>
          </w:p>
        </w:tc>
        <w:tc>
          <w:tcPr>
            <w:tcW w:w="2340" w:type="dxa"/>
            <w:tcBorders>
              <w:top w:val="single" w:sz="6" w:space="0" w:color="000000"/>
              <w:left w:val="single" w:sz="6" w:space="0" w:color="000000"/>
              <w:bottom w:val="single" w:sz="6" w:space="0" w:color="000000"/>
              <w:right w:val="single" w:sz="6" w:space="0" w:color="000000"/>
            </w:tcBorders>
            <w:shd w:val="clear" w:color="auto" w:fill="F8FAFD"/>
            <w:tcMar>
              <w:top w:w="120" w:type="dxa"/>
              <w:left w:w="180" w:type="dxa"/>
              <w:bottom w:w="120" w:type="dxa"/>
              <w:right w:w="180" w:type="dxa"/>
            </w:tcMar>
          </w:tcPr>
          <w:p w14:paraId="72D2CE8D" w14:textId="77777777" w:rsidR="00931A50" w:rsidRPr="00792B36" w:rsidRDefault="00931A50" w:rsidP="0096560E">
            <w:pPr>
              <w:pBdr>
                <w:top w:val="nil"/>
                <w:left w:val="nil"/>
                <w:bottom w:val="nil"/>
                <w:right w:val="nil"/>
                <w:between w:val="nil"/>
              </w:pBdr>
              <w:spacing w:line="275" w:lineRule="auto"/>
              <w:rPr>
                <w:rFonts w:eastAsia="Google Sans Text"/>
                <w:color w:val="1F1F1F"/>
              </w:rPr>
            </w:pPr>
            <w:r w:rsidRPr="00792B36">
              <w:rPr>
                <w:rFonts w:eastAsia="Google Sans Text"/>
                <w:b/>
                <w:bCs/>
                <w:color w:val="1F1F1F"/>
              </w:rPr>
              <w:t>High Priority (Stabilization):</w:t>
            </w:r>
            <w:r w:rsidRPr="00792B36">
              <w:rPr>
                <w:rFonts w:eastAsia="Google Sans Text"/>
                <w:color w:val="1F1F1F"/>
              </w:rPr>
              <w:t xml:space="preserve"> Fleet frozen/reduced; CPUE stabilized (~21 kg/hr in 2023). Focus on IUU combat and "Trash Fish" reduction.</w:t>
            </w:r>
          </w:p>
        </w:tc>
        <w:tc>
          <w:tcPr>
            <w:tcW w:w="2340" w:type="dxa"/>
            <w:tcBorders>
              <w:top w:val="single" w:sz="6" w:space="0" w:color="000000"/>
              <w:left w:val="single" w:sz="6" w:space="0" w:color="000000"/>
              <w:bottom w:val="single" w:sz="6" w:space="0" w:color="000000"/>
              <w:right w:val="single" w:sz="6" w:space="0" w:color="000000"/>
            </w:tcBorders>
            <w:shd w:val="clear" w:color="auto" w:fill="F8FAFD"/>
            <w:tcMar>
              <w:top w:w="120" w:type="dxa"/>
              <w:left w:w="180" w:type="dxa"/>
              <w:bottom w:w="120" w:type="dxa"/>
              <w:right w:w="180" w:type="dxa"/>
            </w:tcMar>
          </w:tcPr>
          <w:p w14:paraId="1C4ADE54" w14:textId="77777777" w:rsidR="00931A50" w:rsidRPr="00792B36" w:rsidRDefault="00931A50" w:rsidP="0096560E">
            <w:pPr>
              <w:pBdr>
                <w:top w:val="nil"/>
                <w:left w:val="nil"/>
                <w:bottom w:val="nil"/>
                <w:right w:val="nil"/>
                <w:between w:val="nil"/>
              </w:pBdr>
              <w:spacing w:line="275" w:lineRule="auto"/>
              <w:rPr>
                <w:rFonts w:eastAsia="Google Sans Text"/>
                <w:color w:val="1F1F1F"/>
              </w:rPr>
            </w:pPr>
            <w:r w:rsidRPr="00792B36">
              <w:rPr>
                <w:rFonts w:eastAsia="Google Sans Text"/>
                <w:b/>
                <w:bCs/>
                <w:color w:val="1F1F1F"/>
              </w:rPr>
              <w:t>From Expansion to Control:</w:t>
            </w:r>
            <w:r w:rsidRPr="00792B36">
              <w:rPr>
                <w:rFonts w:eastAsia="Google Sans Text"/>
                <w:color w:val="1F1F1F"/>
              </w:rPr>
              <w:t xml:space="preserve"> Shift from increasing catch volume to effort control (Fishing Days) and combatting IUU fishing.</w:t>
            </w:r>
          </w:p>
        </w:tc>
      </w:tr>
      <w:tr w:rsidR="00931A50" w:rsidRPr="00792B36" w14:paraId="2FA74E26" w14:textId="77777777" w:rsidTr="0096560E">
        <w:tc>
          <w:tcPr>
            <w:tcW w:w="2340" w:type="dxa"/>
            <w:tcBorders>
              <w:top w:val="single" w:sz="6" w:space="0" w:color="000000"/>
              <w:left w:val="single" w:sz="6" w:space="0" w:color="000000"/>
              <w:bottom w:val="single" w:sz="6" w:space="0" w:color="000000"/>
              <w:right w:val="single" w:sz="6" w:space="0" w:color="000000"/>
            </w:tcBorders>
            <w:shd w:val="clear" w:color="auto" w:fill="F8FAFD"/>
            <w:tcMar>
              <w:top w:w="120" w:type="dxa"/>
              <w:left w:w="180" w:type="dxa"/>
              <w:bottom w:w="120" w:type="dxa"/>
              <w:right w:w="180" w:type="dxa"/>
            </w:tcMar>
          </w:tcPr>
          <w:p w14:paraId="528AB915" w14:textId="77777777" w:rsidR="00931A50" w:rsidRPr="00792B36" w:rsidRDefault="00931A50" w:rsidP="0096560E">
            <w:pPr>
              <w:pBdr>
                <w:top w:val="nil"/>
                <w:left w:val="nil"/>
                <w:bottom w:val="nil"/>
                <w:right w:val="nil"/>
                <w:between w:val="nil"/>
              </w:pBdr>
              <w:spacing w:line="275" w:lineRule="auto"/>
              <w:rPr>
                <w:rFonts w:eastAsia="Google Sans Text"/>
                <w:b/>
                <w:bCs/>
                <w:color w:val="1F1F1F"/>
              </w:rPr>
            </w:pPr>
            <w:r w:rsidRPr="00792B36">
              <w:rPr>
                <w:rFonts w:eastAsia="Google Sans Text"/>
                <w:b/>
                <w:bCs/>
                <w:color w:val="1F1F1F"/>
              </w:rPr>
              <w:t>5. Mangrove Ecosystems</w:t>
            </w:r>
          </w:p>
        </w:tc>
        <w:tc>
          <w:tcPr>
            <w:tcW w:w="2340" w:type="dxa"/>
            <w:tcBorders>
              <w:top w:val="single" w:sz="6" w:space="0" w:color="000000"/>
              <w:left w:val="single" w:sz="6" w:space="0" w:color="000000"/>
              <w:bottom w:val="single" w:sz="6" w:space="0" w:color="000000"/>
              <w:right w:val="single" w:sz="6" w:space="0" w:color="000000"/>
            </w:tcBorders>
            <w:shd w:val="clear" w:color="auto" w:fill="F8FAFD"/>
            <w:tcMar>
              <w:top w:w="120" w:type="dxa"/>
              <w:left w:w="180" w:type="dxa"/>
              <w:bottom w:w="120" w:type="dxa"/>
              <w:right w:w="180" w:type="dxa"/>
            </w:tcMar>
          </w:tcPr>
          <w:p w14:paraId="2EEB44CE" w14:textId="77777777" w:rsidR="00931A50" w:rsidRPr="00792B36" w:rsidRDefault="00931A50" w:rsidP="0096560E">
            <w:pPr>
              <w:pBdr>
                <w:top w:val="nil"/>
                <w:left w:val="nil"/>
                <w:bottom w:val="nil"/>
                <w:right w:val="nil"/>
                <w:between w:val="nil"/>
              </w:pBdr>
              <w:spacing w:line="275" w:lineRule="auto"/>
              <w:rPr>
                <w:rFonts w:eastAsia="Google Sans Text"/>
                <w:color w:val="1F1F1F"/>
              </w:rPr>
            </w:pPr>
            <w:r w:rsidRPr="00792B36">
              <w:rPr>
                <w:rFonts w:eastAsia="Google Sans Text"/>
                <w:b/>
                <w:bCs/>
                <w:color w:val="1F1F1F"/>
              </w:rPr>
              <w:t>Critical Priority:</w:t>
            </w:r>
            <w:r w:rsidRPr="00792B36">
              <w:rPr>
                <w:rFonts w:eastAsia="Google Sans Text"/>
                <w:color w:val="1F1F1F"/>
              </w:rPr>
              <w:t xml:space="preserve"> Rapid, widespread destruction (60% loss) driven by intensive shrimp aquaculture conversion.</w:t>
            </w:r>
          </w:p>
        </w:tc>
        <w:tc>
          <w:tcPr>
            <w:tcW w:w="2340" w:type="dxa"/>
            <w:tcBorders>
              <w:top w:val="single" w:sz="6" w:space="0" w:color="000000"/>
              <w:left w:val="single" w:sz="6" w:space="0" w:color="000000"/>
              <w:bottom w:val="single" w:sz="6" w:space="0" w:color="000000"/>
              <w:right w:val="single" w:sz="6" w:space="0" w:color="000000"/>
            </w:tcBorders>
            <w:shd w:val="clear" w:color="auto" w:fill="F8FAFD"/>
            <w:tcMar>
              <w:top w:w="120" w:type="dxa"/>
              <w:left w:w="180" w:type="dxa"/>
              <w:bottom w:w="120" w:type="dxa"/>
              <w:right w:w="180" w:type="dxa"/>
            </w:tcMar>
          </w:tcPr>
          <w:p w14:paraId="12BB5513" w14:textId="77777777" w:rsidR="00931A50" w:rsidRPr="00792B36" w:rsidRDefault="00931A50" w:rsidP="0096560E">
            <w:pPr>
              <w:pBdr>
                <w:top w:val="nil"/>
                <w:left w:val="nil"/>
                <w:bottom w:val="nil"/>
                <w:right w:val="nil"/>
                <w:between w:val="nil"/>
              </w:pBdr>
              <w:spacing w:line="275" w:lineRule="auto"/>
              <w:rPr>
                <w:rFonts w:eastAsia="Google Sans Text"/>
                <w:color w:val="1F1F1F"/>
              </w:rPr>
            </w:pPr>
            <w:r w:rsidRPr="00792B36">
              <w:rPr>
                <w:rFonts w:eastAsia="Google Sans Text"/>
                <w:b/>
                <w:bCs/>
                <w:color w:val="1F1F1F"/>
              </w:rPr>
              <w:t>Medium Priority (Restoration):</w:t>
            </w:r>
            <w:r w:rsidRPr="00792B36">
              <w:rPr>
                <w:rFonts w:eastAsia="Google Sans Text"/>
                <w:color w:val="1F1F1F"/>
              </w:rPr>
              <w:t xml:space="preserve"> Deforestation halted; focus shifted to "Blue Carbon" restoration. Area stabilized at ~2,613 km² (wetlands).</w:t>
            </w:r>
          </w:p>
        </w:tc>
        <w:tc>
          <w:tcPr>
            <w:tcW w:w="2340" w:type="dxa"/>
            <w:tcBorders>
              <w:top w:val="single" w:sz="6" w:space="0" w:color="000000"/>
              <w:left w:val="single" w:sz="6" w:space="0" w:color="000000"/>
              <w:bottom w:val="single" w:sz="6" w:space="0" w:color="000000"/>
              <w:right w:val="single" w:sz="6" w:space="0" w:color="000000"/>
            </w:tcBorders>
            <w:shd w:val="clear" w:color="auto" w:fill="F8FAFD"/>
            <w:tcMar>
              <w:top w:w="120" w:type="dxa"/>
              <w:left w:w="180" w:type="dxa"/>
              <w:bottom w:w="120" w:type="dxa"/>
              <w:right w:w="180" w:type="dxa"/>
            </w:tcMar>
          </w:tcPr>
          <w:p w14:paraId="37BB8342" w14:textId="77777777" w:rsidR="00931A50" w:rsidRPr="00792B36" w:rsidRDefault="00931A50" w:rsidP="0096560E">
            <w:pPr>
              <w:pBdr>
                <w:top w:val="nil"/>
                <w:left w:val="nil"/>
                <w:bottom w:val="nil"/>
                <w:right w:val="nil"/>
                <w:between w:val="nil"/>
              </w:pBdr>
              <w:spacing w:line="275" w:lineRule="auto"/>
              <w:rPr>
                <w:rFonts w:eastAsia="Google Sans Text"/>
                <w:color w:val="1F1F1F"/>
              </w:rPr>
            </w:pPr>
            <w:r w:rsidRPr="00792B36">
              <w:rPr>
                <w:rFonts w:eastAsia="Google Sans Text"/>
                <w:b/>
                <w:bCs/>
                <w:color w:val="1F1F1F"/>
              </w:rPr>
              <w:t>From Destruction to Valuation:</w:t>
            </w:r>
            <w:r w:rsidRPr="00792B36">
              <w:rPr>
                <w:rFonts w:eastAsia="Google Sans Text"/>
                <w:color w:val="1F1F1F"/>
              </w:rPr>
              <w:t xml:space="preserve"> Mangroves are now valued assets for carbon credits and coastal defense rather than land for conversion.</w:t>
            </w:r>
          </w:p>
        </w:tc>
      </w:tr>
      <w:tr w:rsidR="00931A50" w:rsidRPr="00792B36" w14:paraId="690FB3D1" w14:textId="77777777" w:rsidTr="0096560E">
        <w:tc>
          <w:tcPr>
            <w:tcW w:w="2340" w:type="dxa"/>
            <w:tcBorders>
              <w:top w:val="single" w:sz="6" w:space="0" w:color="000000"/>
              <w:left w:val="single" w:sz="6" w:space="0" w:color="000000"/>
              <w:bottom w:val="single" w:sz="6" w:space="0" w:color="000000"/>
              <w:right w:val="single" w:sz="6" w:space="0" w:color="000000"/>
            </w:tcBorders>
            <w:shd w:val="clear" w:color="auto" w:fill="F8FAFD"/>
            <w:tcMar>
              <w:top w:w="120" w:type="dxa"/>
              <w:left w:w="180" w:type="dxa"/>
              <w:bottom w:w="120" w:type="dxa"/>
              <w:right w:w="180" w:type="dxa"/>
            </w:tcMar>
          </w:tcPr>
          <w:p w14:paraId="406DD31C" w14:textId="77777777" w:rsidR="00931A50" w:rsidRPr="00792B36" w:rsidRDefault="00931A50" w:rsidP="0096560E">
            <w:pPr>
              <w:pBdr>
                <w:top w:val="nil"/>
                <w:left w:val="nil"/>
                <w:bottom w:val="nil"/>
                <w:right w:val="nil"/>
                <w:between w:val="nil"/>
              </w:pBdr>
              <w:spacing w:line="275" w:lineRule="auto"/>
              <w:rPr>
                <w:rFonts w:eastAsia="Google Sans Text"/>
                <w:b/>
                <w:bCs/>
                <w:color w:val="1F1F1F"/>
              </w:rPr>
            </w:pPr>
            <w:r w:rsidRPr="00792B36">
              <w:rPr>
                <w:rFonts w:eastAsia="Google Sans Text"/>
                <w:b/>
                <w:bCs/>
                <w:color w:val="1F1F1F"/>
              </w:rPr>
              <w:t>6. Coral Reefs</w:t>
            </w:r>
          </w:p>
        </w:tc>
        <w:tc>
          <w:tcPr>
            <w:tcW w:w="2340" w:type="dxa"/>
            <w:tcBorders>
              <w:top w:val="single" w:sz="6" w:space="0" w:color="000000"/>
              <w:left w:val="single" w:sz="6" w:space="0" w:color="000000"/>
              <w:bottom w:val="single" w:sz="6" w:space="0" w:color="000000"/>
              <w:right w:val="single" w:sz="6" w:space="0" w:color="000000"/>
            </w:tcBorders>
            <w:shd w:val="clear" w:color="auto" w:fill="F8FAFD"/>
            <w:tcMar>
              <w:top w:w="120" w:type="dxa"/>
              <w:left w:w="180" w:type="dxa"/>
              <w:bottom w:w="120" w:type="dxa"/>
              <w:right w:w="180" w:type="dxa"/>
            </w:tcMar>
          </w:tcPr>
          <w:p w14:paraId="5048A1B4" w14:textId="77777777" w:rsidR="00931A50" w:rsidRPr="00792B36" w:rsidRDefault="00931A50" w:rsidP="0096560E">
            <w:pPr>
              <w:pBdr>
                <w:top w:val="nil"/>
                <w:left w:val="nil"/>
                <w:bottom w:val="nil"/>
                <w:right w:val="nil"/>
                <w:between w:val="nil"/>
              </w:pBdr>
              <w:spacing w:line="275" w:lineRule="auto"/>
              <w:rPr>
                <w:rFonts w:eastAsia="Google Sans Text"/>
                <w:color w:val="1F1F1F"/>
              </w:rPr>
            </w:pPr>
            <w:r w:rsidRPr="00792B36">
              <w:rPr>
                <w:rFonts w:eastAsia="Google Sans Text"/>
                <w:b/>
                <w:bCs/>
                <w:color w:val="1F1F1F"/>
              </w:rPr>
              <w:t>High Priority:</w:t>
            </w:r>
            <w:r w:rsidRPr="00792B36">
              <w:rPr>
                <w:rFonts w:eastAsia="Google Sans Text"/>
                <w:color w:val="1F1F1F"/>
              </w:rPr>
              <w:t xml:space="preserve"> Physical destruction (dynamite, anchors) </w:t>
            </w:r>
            <w:r w:rsidRPr="00792B36">
              <w:rPr>
                <w:rFonts w:eastAsia="Google Sans Text"/>
                <w:color w:val="1F1F1F"/>
              </w:rPr>
              <w:lastRenderedPageBreak/>
              <w:t>and sedimentation.</w:t>
            </w:r>
          </w:p>
        </w:tc>
        <w:tc>
          <w:tcPr>
            <w:tcW w:w="2340" w:type="dxa"/>
            <w:tcBorders>
              <w:top w:val="single" w:sz="6" w:space="0" w:color="000000"/>
              <w:left w:val="single" w:sz="6" w:space="0" w:color="000000"/>
              <w:bottom w:val="single" w:sz="6" w:space="0" w:color="000000"/>
              <w:right w:val="single" w:sz="6" w:space="0" w:color="000000"/>
            </w:tcBorders>
            <w:shd w:val="clear" w:color="auto" w:fill="F8FAFD"/>
            <w:tcMar>
              <w:top w:w="120" w:type="dxa"/>
              <w:left w:w="180" w:type="dxa"/>
              <w:bottom w:w="120" w:type="dxa"/>
              <w:right w:w="180" w:type="dxa"/>
            </w:tcMar>
          </w:tcPr>
          <w:p w14:paraId="0D7049A4" w14:textId="77777777" w:rsidR="00931A50" w:rsidRPr="00792B36" w:rsidRDefault="00931A50" w:rsidP="0096560E">
            <w:pPr>
              <w:pBdr>
                <w:top w:val="nil"/>
                <w:left w:val="nil"/>
                <w:bottom w:val="nil"/>
                <w:right w:val="nil"/>
                <w:between w:val="nil"/>
              </w:pBdr>
              <w:spacing w:line="275" w:lineRule="auto"/>
              <w:rPr>
                <w:rFonts w:eastAsia="Google Sans Text"/>
                <w:color w:val="1F1F1F"/>
              </w:rPr>
            </w:pPr>
            <w:r w:rsidRPr="00792B36">
              <w:rPr>
                <w:rFonts w:eastAsia="Google Sans Text"/>
                <w:b/>
                <w:bCs/>
                <w:color w:val="1F1F1F"/>
              </w:rPr>
              <w:lastRenderedPageBreak/>
              <w:t>High Priority (Climate):</w:t>
            </w:r>
            <w:r w:rsidRPr="00792B36">
              <w:rPr>
                <w:rFonts w:eastAsia="Google Sans Text"/>
                <w:color w:val="1F1F1F"/>
              </w:rPr>
              <w:t xml:space="preserve"> Mass bleaching events </w:t>
            </w:r>
            <w:r w:rsidRPr="00792B36">
              <w:rPr>
                <w:rFonts w:eastAsia="Google Sans Text"/>
                <w:color w:val="1F1F1F"/>
              </w:rPr>
              <w:lastRenderedPageBreak/>
              <w:t>(2010, 2016, 2024) are the primary threat. Nearshore reefs degraded (29% live cover) by tourism/sediment.</w:t>
            </w:r>
          </w:p>
        </w:tc>
        <w:tc>
          <w:tcPr>
            <w:tcW w:w="2340" w:type="dxa"/>
            <w:tcBorders>
              <w:top w:val="single" w:sz="6" w:space="0" w:color="000000"/>
              <w:left w:val="single" w:sz="6" w:space="0" w:color="000000"/>
              <w:bottom w:val="single" w:sz="6" w:space="0" w:color="000000"/>
              <w:right w:val="single" w:sz="6" w:space="0" w:color="000000"/>
            </w:tcBorders>
            <w:shd w:val="clear" w:color="auto" w:fill="F8FAFD"/>
            <w:tcMar>
              <w:top w:w="120" w:type="dxa"/>
              <w:left w:w="180" w:type="dxa"/>
              <w:bottom w:w="120" w:type="dxa"/>
              <w:right w:w="180" w:type="dxa"/>
            </w:tcMar>
          </w:tcPr>
          <w:p w14:paraId="27C5C47D" w14:textId="77777777" w:rsidR="00931A50" w:rsidRPr="00792B36" w:rsidRDefault="00931A50" w:rsidP="0096560E">
            <w:pPr>
              <w:pBdr>
                <w:top w:val="nil"/>
                <w:left w:val="nil"/>
                <w:bottom w:val="nil"/>
                <w:right w:val="nil"/>
                <w:between w:val="nil"/>
              </w:pBdr>
              <w:spacing w:line="275" w:lineRule="auto"/>
              <w:rPr>
                <w:rFonts w:eastAsia="Google Sans Text"/>
                <w:color w:val="1F1F1F"/>
              </w:rPr>
            </w:pPr>
            <w:r w:rsidRPr="00792B36">
              <w:rPr>
                <w:rFonts w:eastAsia="Google Sans Text"/>
                <w:b/>
                <w:bCs/>
                <w:color w:val="1F1F1F"/>
              </w:rPr>
              <w:lastRenderedPageBreak/>
              <w:t>From Local Damage to Global Threat:</w:t>
            </w:r>
            <w:r w:rsidRPr="00792B36">
              <w:rPr>
                <w:rFonts w:eastAsia="Google Sans Text"/>
                <w:color w:val="1F1F1F"/>
              </w:rPr>
              <w:t xml:space="preserve"> Local </w:t>
            </w:r>
            <w:r w:rsidRPr="00792B36">
              <w:rPr>
                <w:rFonts w:eastAsia="Google Sans Text"/>
                <w:color w:val="1F1F1F"/>
              </w:rPr>
              <w:lastRenderedPageBreak/>
              <w:t>protection is insufficient against thermal stress; focus is on "Resilience" and "Super Corals".</w:t>
            </w:r>
          </w:p>
        </w:tc>
      </w:tr>
      <w:tr w:rsidR="00931A50" w:rsidRPr="00792B36" w14:paraId="60058603" w14:textId="77777777" w:rsidTr="0096560E">
        <w:tc>
          <w:tcPr>
            <w:tcW w:w="2340" w:type="dxa"/>
            <w:tcBorders>
              <w:top w:val="single" w:sz="6" w:space="0" w:color="000000"/>
              <w:left w:val="single" w:sz="6" w:space="0" w:color="000000"/>
              <w:bottom w:val="single" w:sz="6" w:space="0" w:color="000000"/>
              <w:right w:val="single" w:sz="6" w:space="0" w:color="000000"/>
            </w:tcBorders>
            <w:shd w:val="clear" w:color="auto" w:fill="F8FAFD"/>
            <w:tcMar>
              <w:top w:w="120" w:type="dxa"/>
              <w:left w:w="180" w:type="dxa"/>
              <w:bottom w:w="120" w:type="dxa"/>
              <w:right w:w="180" w:type="dxa"/>
            </w:tcMar>
          </w:tcPr>
          <w:p w14:paraId="1A7252E9" w14:textId="77777777" w:rsidR="00931A50" w:rsidRPr="00792B36" w:rsidRDefault="00931A50" w:rsidP="0096560E">
            <w:pPr>
              <w:pBdr>
                <w:top w:val="nil"/>
                <w:left w:val="nil"/>
                <w:bottom w:val="nil"/>
                <w:right w:val="nil"/>
                <w:between w:val="nil"/>
              </w:pBdr>
              <w:spacing w:line="275" w:lineRule="auto"/>
              <w:rPr>
                <w:rFonts w:eastAsia="Google Sans Text"/>
                <w:b/>
                <w:bCs/>
                <w:color w:val="1F1F1F"/>
              </w:rPr>
            </w:pPr>
            <w:r w:rsidRPr="00792B36">
              <w:rPr>
                <w:rFonts w:eastAsia="Google Sans Text"/>
                <w:b/>
                <w:bCs/>
                <w:color w:val="1F1F1F"/>
              </w:rPr>
              <w:lastRenderedPageBreak/>
              <w:t>7. Hazardous/Industrial Waste</w:t>
            </w:r>
          </w:p>
        </w:tc>
        <w:tc>
          <w:tcPr>
            <w:tcW w:w="2340" w:type="dxa"/>
            <w:tcBorders>
              <w:top w:val="single" w:sz="6" w:space="0" w:color="000000"/>
              <w:left w:val="single" w:sz="6" w:space="0" w:color="000000"/>
              <w:bottom w:val="single" w:sz="6" w:space="0" w:color="000000"/>
              <w:right w:val="single" w:sz="6" w:space="0" w:color="000000"/>
            </w:tcBorders>
            <w:shd w:val="clear" w:color="auto" w:fill="F8FAFD"/>
            <w:tcMar>
              <w:top w:w="120" w:type="dxa"/>
              <w:left w:w="180" w:type="dxa"/>
              <w:bottom w:w="120" w:type="dxa"/>
              <w:right w:w="180" w:type="dxa"/>
            </w:tcMar>
          </w:tcPr>
          <w:p w14:paraId="2EE38365" w14:textId="77777777" w:rsidR="00931A50" w:rsidRPr="00792B36" w:rsidRDefault="00931A50" w:rsidP="0096560E">
            <w:pPr>
              <w:pBdr>
                <w:top w:val="nil"/>
                <w:left w:val="nil"/>
                <w:bottom w:val="nil"/>
                <w:right w:val="nil"/>
                <w:between w:val="nil"/>
              </w:pBdr>
              <w:spacing w:line="275" w:lineRule="auto"/>
              <w:rPr>
                <w:rFonts w:eastAsia="Google Sans Text"/>
                <w:color w:val="1F1F1F"/>
              </w:rPr>
            </w:pPr>
            <w:r w:rsidRPr="00792B36">
              <w:rPr>
                <w:rFonts w:eastAsia="Google Sans Text"/>
                <w:b/>
                <w:bCs/>
                <w:color w:val="1F1F1F"/>
              </w:rPr>
              <w:t>Medium Priority:</w:t>
            </w:r>
            <w:r w:rsidRPr="00792B36">
              <w:rPr>
                <w:rFonts w:eastAsia="Google Sans Text"/>
                <w:color w:val="1F1F1F"/>
              </w:rPr>
              <w:t xml:space="preserve"> Localized contamination (heavy metals) in Samut Prakan.</w:t>
            </w:r>
          </w:p>
        </w:tc>
        <w:tc>
          <w:tcPr>
            <w:tcW w:w="2340" w:type="dxa"/>
            <w:tcBorders>
              <w:top w:val="single" w:sz="6" w:space="0" w:color="000000"/>
              <w:left w:val="single" w:sz="6" w:space="0" w:color="000000"/>
              <w:bottom w:val="single" w:sz="6" w:space="0" w:color="000000"/>
              <w:right w:val="single" w:sz="6" w:space="0" w:color="000000"/>
            </w:tcBorders>
            <w:shd w:val="clear" w:color="auto" w:fill="F8FAFD"/>
            <w:tcMar>
              <w:top w:w="120" w:type="dxa"/>
              <w:left w:w="180" w:type="dxa"/>
              <w:bottom w:w="120" w:type="dxa"/>
              <w:right w:w="180" w:type="dxa"/>
            </w:tcMar>
          </w:tcPr>
          <w:p w14:paraId="69348FDB" w14:textId="77777777" w:rsidR="00931A50" w:rsidRPr="00792B36" w:rsidRDefault="00931A50" w:rsidP="0096560E">
            <w:pPr>
              <w:pBdr>
                <w:top w:val="nil"/>
                <w:left w:val="nil"/>
                <w:bottom w:val="nil"/>
                <w:right w:val="nil"/>
                <w:between w:val="nil"/>
              </w:pBdr>
              <w:spacing w:line="275" w:lineRule="auto"/>
              <w:rPr>
                <w:rFonts w:eastAsia="Google Sans Text"/>
                <w:color w:val="1F1F1F"/>
              </w:rPr>
            </w:pPr>
            <w:r w:rsidRPr="00792B36">
              <w:rPr>
                <w:rFonts w:eastAsia="Google Sans Text"/>
                <w:b/>
                <w:bCs/>
                <w:color w:val="1F1F1F"/>
              </w:rPr>
              <w:t>High Priority:</w:t>
            </w:r>
            <w:r w:rsidRPr="00792B36">
              <w:rPr>
                <w:rFonts w:eastAsia="Google Sans Text"/>
                <w:color w:val="1F1F1F"/>
              </w:rPr>
              <w:t xml:space="preserve"> Concentrated risk in the EEC (Rayong/Chonburi). 1.63M tonnes of hazardous waste/year.</w:t>
            </w:r>
          </w:p>
        </w:tc>
        <w:tc>
          <w:tcPr>
            <w:tcW w:w="2340" w:type="dxa"/>
            <w:tcBorders>
              <w:top w:val="single" w:sz="6" w:space="0" w:color="000000"/>
              <w:left w:val="single" w:sz="6" w:space="0" w:color="000000"/>
              <w:bottom w:val="single" w:sz="6" w:space="0" w:color="000000"/>
              <w:right w:val="single" w:sz="6" w:space="0" w:color="000000"/>
            </w:tcBorders>
            <w:shd w:val="clear" w:color="auto" w:fill="F8FAFD"/>
            <w:tcMar>
              <w:top w:w="120" w:type="dxa"/>
              <w:left w:w="180" w:type="dxa"/>
              <w:bottom w:w="120" w:type="dxa"/>
              <w:right w:w="180" w:type="dxa"/>
            </w:tcMar>
          </w:tcPr>
          <w:p w14:paraId="207FC06B" w14:textId="77777777" w:rsidR="00931A50" w:rsidRPr="00792B36" w:rsidRDefault="00931A50" w:rsidP="0096560E">
            <w:pPr>
              <w:pBdr>
                <w:top w:val="nil"/>
                <w:left w:val="nil"/>
                <w:bottom w:val="nil"/>
                <w:right w:val="nil"/>
                <w:between w:val="nil"/>
              </w:pBdr>
              <w:spacing w:line="275" w:lineRule="auto"/>
              <w:rPr>
                <w:rFonts w:eastAsia="Google Sans Text"/>
                <w:color w:val="1F1F1F"/>
              </w:rPr>
            </w:pPr>
            <w:r w:rsidRPr="00792B36">
              <w:rPr>
                <w:rFonts w:eastAsia="Google Sans Text"/>
                <w:b/>
                <w:bCs/>
                <w:color w:val="1F1F1F"/>
              </w:rPr>
              <w:t>Intensification:</w:t>
            </w:r>
            <w:r w:rsidRPr="00792B36">
              <w:rPr>
                <w:rFonts w:eastAsia="Google Sans Text"/>
                <w:color w:val="1F1F1F"/>
              </w:rPr>
              <w:t xml:space="preserve"> The scale of industrial risk has grown exponentially with the EEC development, requiring stricter enforcement.</w:t>
            </w:r>
          </w:p>
        </w:tc>
      </w:tr>
    </w:tbl>
    <w:p w14:paraId="4EF30352" w14:textId="77777777" w:rsidR="00931A50" w:rsidRPr="00792B36" w:rsidRDefault="00931A50" w:rsidP="00931A50">
      <w:pPr>
        <w:pBdr>
          <w:top w:val="nil"/>
          <w:left w:val="nil"/>
          <w:bottom w:val="nil"/>
          <w:right w:val="nil"/>
          <w:between w:val="nil"/>
        </w:pBdr>
        <w:spacing w:line="275" w:lineRule="auto"/>
        <w:jc w:val="thaiDistribute"/>
        <w:rPr>
          <w:rFonts w:eastAsia="Google Sans Text"/>
          <w:color w:val="1F1F1F"/>
          <w:sz w:val="24"/>
          <w:szCs w:val="24"/>
        </w:rPr>
      </w:pPr>
    </w:p>
    <w:p w14:paraId="5BD33FA6" w14:textId="77777777" w:rsidR="00931A50" w:rsidRPr="00792B36" w:rsidRDefault="00931A50" w:rsidP="00931A50">
      <w:pPr>
        <w:pStyle w:val="Heading3"/>
        <w:spacing w:before="0" w:after="0" w:line="275" w:lineRule="auto"/>
        <w:jc w:val="thaiDistribute"/>
        <w:rPr>
          <w:rFonts w:eastAsia="Google Sans"/>
          <w:color w:val="1F1F1F"/>
          <w:sz w:val="24"/>
          <w:szCs w:val="24"/>
        </w:rPr>
      </w:pPr>
    </w:p>
    <w:p w14:paraId="523D9B7F" w14:textId="77777777" w:rsidR="00931A50" w:rsidRPr="00792B36" w:rsidRDefault="00931A50" w:rsidP="00931A50">
      <w:pPr>
        <w:pStyle w:val="Heading3"/>
        <w:spacing w:before="0" w:after="0" w:line="275" w:lineRule="auto"/>
        <w:jc w:val="thaiDistribute"/>
        <w:rPr>
          <w:rFonts w:eastAsia="Google Sans"/>
          <w:color w:val="1F1F1F"/>
          <w:sz w:val="24"/>
          <w:szCs w:val="24"/>
        </w:rPr>
      </w:pPr>
      <w:r w:rsidRPr="00792B36">
        <w:rPr>
          <w:rFonts w:eastAsia="Google Sans"/>
          <w:color w:val="1F1F1F"/>
          <w:sz w:val="24"/>
          <w:szCs w:val="24"/>
        </w:rPr>
        <w:t>1.3 Biogeophysical setting</w:t>
      </w:r>
    </w:p>
    <w:p w14:paraId="208328F6" w14:textId="77777777" w:rsidR="00931A50" w:rsidRPr="00792B36" w:rsidRDefault="00931A50" w:rsidP="00931A50">
      <w:pPr>
        <w:pBdr>
          <w:top w:val="nil"/>
          <w:left w:val="nil"/>
          <w:bottom w:val="nil"/>
          <w:right w:val="nil"/>
          <w:between w:val="nil"/>
        </w:pBdr>
        <w:spacing w:line="275" w:lineRule="auto"/>
        <w:jc w:val="thaiDistribute"/>
        <w:rPr>
          <w:rFonts w:eastAsia="Google Sans"/>
          <w:color w:val="1F1F1F"/>
          <w:sz w:val="24"/>
          <w:szCs w:val="24"/>
        </w:rPr>
      </w:pPr>
    </w:p>
    <w:p w14:paraId="62C72654" w14:textId="77777777" w:rsidR="00931A50" w:rsidRPr="00792B36" w:rsidRDefault="00931A50" w:rsidP="00931A50">
      <w:pPr>
        <w:pStyle w:val="Heading4"/>
        <w:spacing w:before="0" w:after="0" w:line="275" w:lineRule="auto"/>
        <w:ind w:left="720"/>
        <w:jc w:val="thaiDistribute"/>
        <w:rPr>
          <w:rFonts w:eastAsia="Google Sans"/>
          <w:color w:val="1F1F1F"/>
        </w:rPr>
      </w:pPr>
      <w:r w:rsidRPr="00792B36">
        <w:rPr>
          <w:rFonts w:eastAsia="Google Sans"/>
          <w:color w:val="1F1F1F"/>
        </w:rPr>
        <w:t>1.3.1 Geomorphology and geological history</w:t>
      </w:r>
    </w:p>
    <w:p w14:paraId="0D1650DE" w14:textId="77777777" w:rsidR="00931A50" w:rsidRPr="00792B36" w:rsidRDefault="00931A50" w:rsidP="00931A50">
      <w:pPr>
        <w:pBdr>
          <w:top w:val="nil"/>
          <w:left w:val="nil"/>
          <w:bottom w:val="nil"/>
          <w:right w:val="nil"/>
          <w:between w:val="nil"/>
        </w:pBdr>
        <w:spacing w:line="275" w:lineRule="auto"/>
        <w:ind w:firstLine="709"/>
        <w:jc w:val="thaiDistribute"/>
        <w:rPr>
          <w:rFonts w:eastAsia="Google Sans Text"/>
          <w:color w:val="1F1F1F"/>
          <w:sz w:val="24"/>
          <w:szCs w:val="24"/>
        </w:rPr>
      </w:pPr>
      <w:r w:rsidRPr="00792B36">
        <w:rPr>
          <w:rFonts w:eastAsia="Google Sans Text"/>
          <w:color w:val="1F1F1F"/>
          <w:sz w:val="24"/>
          <w:szCs w:val="24"/>
        </w:rPr>
        <w:t>The Gulf of Thailand is a shallow, semi-enclosed sea located on the Sunda Shelf, covering an area of approximately 320,000 km² with an average depth of only 45–50 meters and a maximum depth of 85 meters in the central trough. Geologically, the Gulf is defined by a series of Cenozoic rift basins—most notably the Pattani Trough and Malay Basin—which are filled with thick sedimentary sequences (up to 10 km) favorable for hydrocarbon accumulation.</w:t>
      </w:r>
    </w:p>
    <w:p w14:paraId="2C28FACA" w14:textId="77777777" w:rsidR="00931A50" w:rsidRPr="00792B36" w:rsidRDefault="00931A50" w:rsidP="00931A50">
      <w:pPr>
        <w:pBdr>
          <w:top w:val="nil"/>
          <w:left w:val="nil"/>
          <w:bottom w:val="nil"/>
          <w:right w:val="nil"/>
          <w:between w:val="nil"/>
        </w:pBdr>
        <w:spacing w:line="275" w:lineRule="auto"/>
        <w:ind w:firstLine="709"/>
        <w:jc w:val="thaiDistribute"/>
        <w:rPr>
          <w:rFonts w:eastAsia="Google Sans Text"/>
          <w:color w:val="1F1F1F"/>
          <w:sz w:val="24"/>
          <w:szCs w:val="24"/>
        </w:rPr>
      </w:pPr>
    </w:p>
    <w:p w14:paraId="3B29DC51" w14:textId="77777777" w:rsidR="00931A50" w:rsidRPr="00792B36" w:rsidRDefault="00931A50" w:rsidP="00931A50">
      <w:pPr>
        <w:pBdr>
          <w:top w:val="nil"/>
          <w:left w:val="nil"/>
          <w:bottom w:val="nil"/>
          <w:right w:val="nil"/>
          <w:between w:val="nil"/>
        </w:pBdr>
        <w:spacing w:line="275" w:lineRule="auto"/>
        <w:ind w:firstLine="709"/>
        <w:jc w:val="thaiDistribute"/>
        <w:rPr>
          <w:rFonts w:eastAsia="Google Sans Text"/>
          <w:color w:val="1F1F1F"/>
          <w:sz w:val="24"/>
          <w:szCs w:val="24"/>
        </w:rPr>
      </w:pPr>
      <w:r w:rsidRPr="00792B36">
        <w:rPr>
          <w:rFonts w:eastAsia="Google Sans Text"/>
          <w:color w:val="1F1F1F"/>
          <w:sz w:val="24"/>
          <w:szCs w:val="24"/>
        </w:rPr>
        <w:t>The modern geomorphology of the Gulf is a result of the Holocene marine transgression. During the Last Glacial Maximum (approximately 20,000 years ago), sea levels were roughly 120 meters lower than today, exposing the Sunda Shelf as a vast dry landmass connecting mainland Southeast Asia to Borneo, Sumatra, and Java. The present-day Gulf was then a lowland basin drained by the "Paleo-Chao Phraya" river system, which flowed southeast into the South China Sea. As sea levels rose during the Holocene (reaching a highstand about 4,000–6,000 years ago, approximately 2.5–4 meters above present levels), the shelf was submerged, creating the current marine environment. This recent geological formation means the Gulf acts as a "sediment trap," receiving massive alluvial loads from the Chao Phraya, Tha Chin, Mae Klong, and Bang Pakong rivers, which form a prograding delta in the Upper Gulf.</w:t>
      </w:r>
    </w:p>
    <w:p w14:paraId="4FF5ED76" w14:textId="77777777" w:rsidR="00931A50" w:rsidRPr="00792B36" w:rsidRDefault="00931A50" w:rsidP="00931A50">
      <w:pPr>
        <w:pBdr>
          <w:top w:val="nil"/>
          <w:left w:val="nil"/>
          <w:bottom w:val="nil"/>
          <w:right w:val="nil"/>
          <w:between w:val="nil"/>
        </w:pBdr>
        <w:spacing w:line="275" w:lineRule="auto"/>
        <w:ind w:firstLine="709"/>
        <w:jc w:val="thaiDistribute"/>
        <w:rPr>
          <w:rFonts w:eastAsia="Google Sans Text"/>
          <w:color w:val="1F1F1F"/>
          <w:sz w:val="24"/>
          <w:szCs w:val="24"/>
        </w:rPr>
      </w:pPr>
    </w:p>
    <w:p w14:paraId="28A3A022" w14:textId="77777777" w:rsidR="00931A50" w:rsidRPr="00792B36" w:rsidRDefault="00931A50" w:rsidP="00931A50">
      <w:pPr>
        <w:pStyle w:val="Heading4"/>
        <w:spacing w:before="0" w:after="0" w:line="275" w:lineRule="auto"/>
        <w:ind w:firstLine="709"/>
        <w:jc w:val="thaiDistribute"/>
        <w:rPr>
          <w:rFonts w:eastAsia="Google Sans"/>
          <w:color w:val="1F1F1F"/>
        </w:rPr>
      </w:pPr>
      <w:r w:rsidRPr="00792B36">
        <w:rPr>
          <w:rFonts w:eastAsia="Google Sans"/>
          <w:color w:val="1F1F1F"/>
        </w:rPr>
        <w:t>1.3.2 Climatology, present and projected</w:t>
      </w:r>
    </w:p>
    <w:p w14:paraId="28431125" w14:textId="77777777" w:rsidR="00931A50" w:rsidRPr="00792B36" w:rsidRDefault="00931A50" w:rsidP="00931A50">
      <w:pPr>
        <w:pBdr>
          <w:top w:val="nil"/>
          <w:left w:val="nil"/>
          <w:bottom w:val="nil"/>
          <w:right w:val="nil"/>
          <w:between w:val="nil"/>
        </w:pBdr>
        <w:spacing w:line="275" w:lineRule="auto"/>
        <w:ind w:firstLine="709"/>
        <w:jc w:val="thaiDistribute"/>
        <w:rPr>
          <w:rFonts w:eastAsia="Google Sans Text"/>
          <w:color w:val="1F1F1F"/>
          <w:sz w:val="24"/>
          <w:szCs w:val="24"/>
        </w:rPr>
      </w:pPr>
      <w:r w:rsidRPr="00792B36">
        <w:rPr>
          <w:rFonts w:eastAsia="Google Sans Text"/>
          <w:color w:val="1F1F1F"/>
          <w:sz w:val="24"/>
          <w:szCs w:val="24"/>
        </w:rPr>
        <w:t>The Gulf of Thailand lies within the tropical monsoon zone, governed by two primary wind regimes that drive oceanographic circulation and rainfall patterns.</w:t>
      </w:r>
    </w:p>
    <w:p w14:paraId="2FF57549" w14:textId="77777777" w:rsidR="00931A50" w:rsidRPr="00792B36" w:rsidRDefault="00931A50" w:rsidP="00931A50">
      <w:pPr>
        <w:pBdr>
          <w:top w:val="nil"/>
          <w:left w:val="nil"/>
          <w:bottom w:val="nil"/>
          <w:right w:val="nil"/>
          <w:between w:val="nil"/>
        </w:pBdr>
        <w:spacing w:line="275" w:lineRule="auto"/>
        <w:ind w:firstLine="709"/>
        <w:jc w:val="thaiDistribute"/>
        <w:rPr>
          <w:rFonts w:eastAsia="Google Sans Text"/>
          <w:b/>
          <w:bCs/>
          <w:color w:val="1F1F1F"/>
          <w:sz w:val="24"/>
          <w:szCs w:val="24"/>
        </w:rPr>
      </w:pPr>
      <w:r w:rsidRPr="00792B36">
        <w:rPr>
          <w:rFonts w:eastAsia="Google Sans Text"/>
          <w:b/>
          <w:bCs/>
          <w:color w:val="1F1F1F"/>
          <w:sz w:val="24"/>
          <w:szCs w:val="24"/>
        </w:rPr>
        <w:t>Present Climate Regime:</w:t>
      </w:r>
    </w:p>
    <w:p w14:paraId="76A137E0" w14:textId="77777777" w:rsidR="00931A50" w:rsidRPr="00792B36" w:rsidRDefault="00931A50" w:rsidP="00F61B37">
      <w:pPr>
        <w:numPr>
          <w:ilvl w:val="0"/>
          <w:numId w:val="18"/>
        </w:numPr>
        <w:pBdr>
          <w:top w:val="nil"/>
          <w:left w:val="nil"/>
          <w:bottom w:val="nil"/>
          <w:right w:val="nil"/>
          <w:between w:val="nil"/>
        </w:pBdr>
        <w:spacing w:line="275" w:lineRule="auto"/>
        <w:ind w:firstLine="709"/>
        <w:jc w:val="thaiDistribute"/>
        <w:rPr>
          <w:sz w:val="24"/>
          <w:szCs w:val="24"/>
        </w:rPr>
      </w:pPr>
      <w:r w:rsidRPr="00792B36">
        <w:rPr>
          <w:rFonts w:eastAsia="Google Sans Text"/>
          <w:color w:val="1F1F1F"/>
          <w:sz w:val="24"/>
          <w:szCs w:val="24"/>
        </w:rPr>
        <w:t xml:space="preserve">Southwest Monsoon (May–October): Brings warm, moist air from the </w:t>
      </w:r>
      <w:r w:rsidRPr="00792B36">
        <w:rPr>
          <w:rFonts w:eastAsia="Google Sans Text"/>
          <w:color w:val="1F1F1F"/>
          <w:sz w:val="24"/>
          <w:szCs w:val="24"/>
        </w:rPr>
        <w:lastRenderedPageBreak/>
        <w:t>Indian Ocean, resulting in the wet season. It drives a general clockwise circulation in the Upper Gulf and influences upwelling along the west coast.</w:t>
      </w:r>
    </w:p>
    <w:p w14:paraId="21E97BB8" w14:textId="77777777" w:rsidR="00931A50" w:rsidRPr="00792B36" w:rsidRDefault="00931A50" w:rsidP="00F61B37">
      <w:pPr>
        <w:numPr>
          <w:ilvl w:val="0"/>
          <w:numId w:val="18"/>
        </w:numPr>
        <w:pBdr>
          <w:top w:val="nil"/>
          <w:left w:val="nil"/>
          <w:bottom w:val="nil"/>
          <w:right w:val="nil"/>
          <w:between w:val="nil"/>
        </w:pBdr>
        <w:spacing w:line="275" w:lineRule="auto"/>
        <w:ind w:firstLine="709"/>
        <w:jc w:val="thaiDistribute"/>
        <w:rPr>
          <w:sz w:val="24"/>
          <w:szCs w:val="24"/>
        </w:rPr>
      </w:pPr>
      <w:r w:rsidRPr="00792B36">
        <w:rPr>
          <w:rFonts w:eastAsia="Google Sans Text"/>
          <w:color w:val="1F1F1F"/>
          <w:sz w:val="24"/>
          <w:szCs w:val="24"/>
        </w:rPr>
        <w:t>Northeast Monsoon (November–February): Brings cool, dry air from the Asian continent. This season drives a counter-clockwise circulation and is associated with drier conditions, although heavy rainfall can still occur in the southern peninsula.</w:t>
      </w:r>
    </w:p>
    <w:p w14:paraId="153C188A" w14:textId="77777777" w:rsidR="00931A50" w:rsidRPr="00792B36" w:rsidRDefault="00931A50" w:rsidP="00F61B37">
      <w:pPr>
        <w:numPr>
          <w:ilvl w:val="0"/>
          <w:numId w:val="18"/>
        </w:numPr>
        <w:pBdr>
          <w:top w:val="nil"/>
          <w:left w:val="nil"/>
          <w:bottom w:val="nil"/>
          <w:right w:val="nil"/>
          <w:between w:val="nil"/>
        </w:pBdr>
        <w:spacing w:line="275" w:lineRule="auto"/>
        <w:ind w:firstLine="709"/>
        <w:jc w:val="thaiDistribute"/>
        <w:rPr>
          <w:sz w:val="24"/>
          <w:szCs w:val="24"/>
        </w:rPr>
      </w:pPr>
      <w:r w:rsidRPr="00792B36">
        <w:rPr>
          <w:rFonts w:eastAsia="Google Sans Text"/>
          <w:color w:val="1F1F1F"/>
          <w:sz w:val="24"/>
          <w:szCs w:val="24"/>
        </w:rPr>
        <w:t>Oceanography: Sea surface temperatures are generally high (28–30°C). Currents are tidal-dominated in nearshore areas, with complex seasonal reversals driven by the monsoons.</w:t>
      </w:r>
    </w:p>
    <w:p w14:paraId="3D861FAE" w14:textId="77777777" w:rsidR="00931A50" w:rsidRPr="00792B36" w:rsidRDefault="00931A50" w:rsidP="00931A50">
      <w:pPr>
        <w:pBdr>
          <w:top w:val="nil"/>
          <w:left w:val="nil"/>
          <w:bottom w:val="nil"/>
          <w:right w:val="nil"/>
          <w:between w:val="nil"/>
        </w:pBdr>
        <w:spacing w:before="240" w:line="275" w:lineRule="auto"/>
        <w:ind w:firstLine="709"/>
        <w:jc w:val="thaiDistribute"/>
        <w:rPr>
          <w:rFonts w:eastAsia="Google Sans Text"/>
          <w:b/>
          <w:bCs/>
          <w:sz w:val="24"/>
          <w:szCs w:val="24"/>
        </w:rPr>
      </w:pPr>
      <w:r w:rsidRPr="00792B36">
        <w:rPr>
          <w:rFonts w:eastAsia="Google Sans Text"/>
          <w:b/>
          <w:bCs/>
          <w:sz w:val="24"/>
          <w:szCs w:val="24"/>
        </w:rPr>
        <w:t>Projected Climate Trends (2030–2050):</w:t>
      </w:r>
    </w:p>
    <w:p w14:paraId="5D7A1CDE" w14:textId="77777777" w:rsidR="00931A50" w:rsidRPr="00792B36" w:rsidRDefault="00931A50" w:rsidP="00931A50">
      <w:pPr>
        <w:pBdr>
          <w:top w:val="nil"/>
          <w:left w:val="nil"/>
          <w:bottom w:val="nil"/>
          <w:right w:val="nil"/>
          <w:between w:val="nil"/>
        </w:pBdr>
        <w:spacing w:line="275" w:lineRule="auto"/>
        <w:ind w:firstLine="709"/>
        <w:jc w:val="thaiDistribute"/>
        <w:rPr>
          <w:rFonts w:eastAsia="Google Sans Text"/>
          <w:sz w:val="24"/>
          <w:szCs w:val="24"/>
        </w:rPr>
      </w:pPr>
      <w:r w:rsidRPr="00792B36">
        <w:rPr>
          <w:rFonts w:eastAsia="Google Sans Text"/>
          <w:sz w:val="24"/>
          <w:szCs w:val="24"/>
        </w:rPr>
        <w:t>Climate change modeling under RCP 4.5 and RCP 8.5 scenarios indicates significant shifts for the Gulf region:</w:t>
      </w:r>
    </w:p>
    <w:p w14:paraId="30B25581" w14:textId="77777777" w:rsidR="00931A50" w:rsidRPr="00792B36" w:rsidRDefault="00931A50" w:rsidP="00F61B37">
      <w:pPr>
        <w:numPr>
          <w:ilvl w:val="0"/>
          <w:numId w:val="19"/>
        </w:numPr>
        <w:pBdr>
          <w:top w:val="nil"/>
          <w:left w:val="nil"/>
          <w:bottom w:val="nil"/>
          <w:right w:val="nil"/>
          <w:between w:val="nil"/>
        </w:pBdr>
        <w:spacing w:line="275" w:lineRule="auto"/>
        <w:ind w:firstLine="709"/>
        <w:jc w:val="thaiDistribute"/>
        <w:rPr>
          <w:sz w:val="24"/>
          <w:szCs w:val="24"/>
        </w:rPr>
      </w:pPr>
      <w:r w:rsidRPr="00792B36">
        <w:rPr>
          <w:rFonts w:eastAsia="Google Sans Text"/>
          <w:color w:val="1F1F1F"/>
          <w:sz w:val="24"/>
          <w:szCs w:val="24"/>
        </w:rPr>
        <w:t>Temperature: Mean annual temperatures are projected to increase by 0.95°C to 3.23°C by the end of the century. By 2050, mean temperatures are expected to rise by approximately 1.5°C.</w:t>
      </w:r>
    </w:p>
    <w:p w14:paraId="4486FC12" w14:textId="77777777" w:rsidR="00931A50" w:rsidRPr="00792B36" w:rsidRDefault="00931A50" w:rsidP="00F61B37">
      <w:pPr>
        <w:numPr>
          <w:ilvl w:val="0"/>
          <w:numId w:val="19"/>
        </w:numPr>
        <w:pBdr>
          <w:top w:val="nil"/>
          <w:left w:val="nil"/>
          <w:bottom w:val="nil"/>
          <w:right w:val="nil"/>
          <w:between w:val="nil"/>
        </w:pBdr>
        <w:spacing w:line="275" w:lineRule="auto"/>
        <w:ind w:firstLine="709"/>
        <w:jc w:val="thaiDistribute"/>
        <w:rPr>
          <w:sz w:val="24"/>
          <w:szCs w:val="24"/>
        </w:rPr>
      </w:pPr>
      <w:r w:rsidRPr="00792B36">
        <w:rPr>
          <w:rFonts w:eastAsia="Google Sans Text"/>
          <w:color w:val="1F1F1F"/>
          <w:sz w:val="24"/>
          <w:szCs w:val="24"/>
        </w:rPr>
        <w:t>Rainfall: Precipitation patterns will become more volatile, with projections suggesting drier winters but more intense rainfall events during the wet season (increasing flood risks).</w:t>
      </w:r>
    </w:p>
    <w:p w14:paraId="09811FF3" w14:textId="77777777" w:rsidR="00931A50" w:rsidRPr="00792B36" w:rsidRDefault="00931A50" w:rsidP="00F61B37">
      <w:pPr>
        <w:numPr>
          <w:ilvl w:val="0"/>
          <w:numId w:val="19"/>
        </w:numPr>
        <w:pBdr>
          <w:top w:val="nil"/>
          <w:left w:val="nil"/>
          <w:bottom w:val="nil"/>
          <w:right w:val="nil"/>
          <w:between w:val="nil"/>
        </w:pBdr>
        <w:spacing w:line="275" w:lineRule="auto"/>
        <w:ind w:firstLine="709"/>
        <w:jc w:val="thaiDistribute"/>
        <w:rPr>
          <w:sz w:val="24"/>
          <w:szCs w:val="24"/>
        </w:rPr>
      </w:pPr>
      <w:r w:rsidRPr="00792B36">
        <w:rPr>
          <w:rFonts w:eastAsia="Google Sans Text"/>
          <w:color w:val="1F1F1F"/>
          <w:sz w:val="24"/>
          <w:szCs w:val="24"/>
        </w:rPr>
        <w:t>Sea Level Rise (SLR): The Upper Gulf is particularly vulnerable due to the synergistic effects of global sea-level rise and local land subsidence (up to 1-2 cm/year in some Bangkok areas). Projections for 2050 estimate a rise of 0.2–0.3 meters, with potential end-of-century rise exceeding 1 meter under high-emission scenarios, threatening coastal megacities and mangrove ecosystems.</w:t>
      </w:r>
    </w:p>
    <w:p w14:paraId="39B365D9" w14:textId="77777777" w:rsidR="00931A50" w:rsidRPr="00792B36" w:rsidRDefault="00931A50" w:rsidP="00931A50">
      <w:pPr>
        <w:pBdr>
          <w:top w:val="nil"/>
          <w:left w:val="nil"/>
          <w:bottom w:val="nil"/>
          <w:right w:val="nil"/>
          <w:between w:val="nil"/>
        </w:pBdr>
        <w:spacing w:before="240" w:line="275" w:lineRule="auto"/>
        <w:ind w:firstLine="709"/>
        <w:jc w:val="thaiDistribute"/>
        <w:rPr>
          <w:rFonts w:eastAsia="Google Sans Text"/>
          <w:color w:val="1F1F1F"/>
          <w:sz w:val="24"/>
          <w:szCs w:val="24"/>
        </w:rPr>
      </w:pPr>
    </w:p>
    <w:p w14:paraId="325714FE" w14:textId="77777777" w:rsidR="00931A50" w:rsidRPr="00792B36" w:rsidRDefault="00931A50" w:rsidP="00931A50">
      <w:pPr>
        <w:pStyle w:val="Heading4"/>
        <w:spacing w:before="0" w:after="0" w:line="275" w:lineRule="auto"/>
        <w:ind w:firstLine="709"/>
        <w:jc w:val="thaiDistribute"/>
        <w:rPr>
          <w:rFonts w:eastAsia="Google Sans"/>
          <w:color w:val="1F1F1F"/>
        </w:rPr>
      </w:pPr>
      <w:r w:rsidRPr="00792B36">
        <w:rPr>
          <w:rFonts w:eastAsia="Google Sans"/>
          <w:color w:val="1F1F1F"/>
        </w:rPr>
        <w:t>1.3.3 Biogeography, endemic and unique marine species</w:t>
      </w:r>
    </w:p>
    <w:p w14:paraId="51CD21F9" w14:textId="77777777" w:rsidR="00931A50" w:rsidRPr="00792B36" w:rsidRDefault="00931A50" w:rsidP="00931A50">
      <w:pPr>
        <w:pBdr>
          <w:top w:val="nil"/>
          <w:left w:val="nil"/>
          <w:bottom w:val="nil"/>
          <w:right w:val="nil"/>
          <w:between w:val="nil"/>
        </w:pBdr>
        <w:spacing w:line="275" w:lineRule="auto"/>
        <w:ind w:firstLine="709"/>
        <w:jc w:val="thaiDistribute"/>
        <w:rPr>
          <w:rFonts w:eastAsia="Google Sans Text"/>
          <w:color w:val="1F1F1F"/>
          <w:sz w:val="24"/>
          <w:szCs w:val="24"/>
        </w:rPr>
      </w:pPr>
      <w:r w:rsidRPr="00792B36">
        <w:rPr>
          <w:rFonts w:eastAsia="Google Sans Text"/>
          <w:color w:val="1F1F1F"/>
          <w:sz w:val="24"/>
          <w:szCs w:val="24"/>
        </w:rPr>
        <w:t>Biogeographically, the Gulf of Thailand belongs to the Sunda Shelf Province within the Indo-West Pacific Realm. This region is a global center of marine biodiversity, yet the Gulf's fauna is geologically young due to the recent Holocene transgression.</w:t>
      </w:r>
    </w:p>
    <w:p w14:paraId="459D3528" w14:textId="77777777" w:rsidR="00931A50" w:rsidRPr="00792B36" w:rsidRDefault="00931A50" w:rsidP="00931A50">
      <w:pPr>
        <w:pBdr>
          <w:top w:val="nil"/>
          <w:left w:val="nil"/>
          <w:bottom w:val="nil"/>
          <w:right w:val="nil"/>
          <w:between w:val="nil"/>
        </w:pBdr>
        <w:spacing w:line="275" w:lineRule="auto"/>
        <w:ind w:firstLine="709"/>
        <w:jc w:val="thaiDistribute"/>
        <w:rPr>
          <w:rFonts w:eastAsia="Google Sans Text"/>
          <w:b/>
          <w:bCs/>
          <w:sz w:val="24"/>
          <w:szCs w:val="24"/>
        </w:rPr>
      </w:pPr>
      <w:r w:rsidRPr="00792B36">
        <w:rPr>
          <w:rFonts w:eastAsia="Google Sans Text"/>
          <w:b/>
          <w:bCs/>
          <w:sz w:val="24"/>
          <w:szCs w:val="24"/>
        </w:rPr>
        <w:t>Biodiversity and Endemism:</w:t>
      </w:r>
    </w:p>
    <w:p w14:paraId="3B0D285B" w14:textId="77777777" w:rsidR="00931A50" w:rsidRPr="00792B36" w:rsidRDefault="00931A50" w:rsidP="00931A50">
      <w:pPr>
        <w:pBdr>
          <w:top w:val="nil"/>
          <w:left w:val="nil"/>
          <w:bottom w:val="nil"/>
          <w:right w:val="nil"/>
          <w:between w:val="nil"/>
        </w:pBdr>
        <w:spacing w:line="275" w:lineRule="auto"/>
        <w:ind w:firstLine="709"/>
        <w:jc w:val="thaiDistribute"/>
        <w:rPr>
          <w:rFonts w:eastAsia="Google Sans Text"/>
          <w:sz w:val="24"/>
          <w:szCs w:val="24"/>
        </w:rPr>
      </w:pPr>
      <w:r w:rsidRPr="00792B36">
        <w:rPr>
          <w:rFonts w:eastAsia="Google Sans Text"/>
          <w:sz w:val="24"/>
          <w:szCs w:val="24"/>
        </w:rPr>
        <w:t>While true deep-evolutionary endemism is limited because the Gulf was dry land until recently, the region supports unique populations and locally adapted species.</w:t>
      </w:r>
    </w:p>
    <w:p w14:paraId="02D20953" w14:textId="77777777" w:rsidR="00931A50" w:rsidRPr="00792B36" w:rsidRDefault="00931A50" w:rsidP="00F61B37">
      <w:pPr>
        <w:numPr>
          <w:ilvl w:val="0"/>
          <w:numId w:val="20"/>
        </w:numPr>
        <w:pBdr>
          <w:top w:val="nil"/>
          <w:left w:val="nil"/>
          <w:bottom w:val="nil"/>
          <w:right w:val="nil"/>
          <w:between w:val="nil"/>
        </w:pBdr>
        <w:spacing w:line="275" w:lineRule="auto"/>
        <w:ind w:firstLine="709"/>
        <w:jc w:val="thaiDistribute"/>
        <w:rPr>
          <w:sz w:val="24"/>
          <w:szCs w:val="24"/>
        </w:rPr>
      </w:pPr>
      <w:r w:rsidRPr="00792B36">
        <w:rPr>
          <w:rFonts w:eastAsia="Google Sans Text"/>
          <w:color w:val="1F1F1F"/>
          <w:sz w:val="24"/>
          <w:szCs w:val="24"/>
        </w:rPr>
        <w:t xml:space="preserve">Endemic Invertebrates: </w:t>
      </w:r>
      <w:r w:rsidRPr="00792B36">
        <w:rPr>
          <w:rFonts w:eastAsia="Google Sans Text"/>
          <w:i/>
          <w:iCs/>
          <w:color w:val="1F1F1F"/>
          <w:sz w:val="24"/>
          <w:szCs w:val="24"/>
        </w:rPr>
        <w:t>Idiosepius thailandicus</w:t>
      </w:r>
      <w:r w:rsidRPr="00792B36">
        <w:rPr>
          <w:rFonts w:eastAsia="Google Sans Text"/>
          <w:color w:val="1F1F1F"/>
          <w:sz w:val="24"/>
          <w:szCs w:val="24"/>
        </w:rPr>
        <w:t xml:space="preserve"> (Thai pygmy squid), discovered in the Gulf, is a notable species found in seagrass and mangrove habitats along the eastern coast.</w:t>
      </w:r>
    </w:p>
    <w:p w14:paraId="4EBC5599" w14:textId="77777777" w:rsidR="00931A50" w:rsidRPr="00792B36" w:rsidRDefault="00931A50" w:rsidP="00F61B37">
      <w:pPr>
        <w:numPr>
          <w:ilvl w:val="0"/>
          <w:numId w:val="20"/>
        </w:numPr>
        <w:pBdr>
          <w:top w:val="nil"/>
          <w:left w:val="nil"/>
          <w:bottom w:val="nil"/>
          <w:right w:val="nil"/>
          <w:between w:val="nil"/>
        </w:pBdr>
        <w:spacing w:line="275" w:lineRule="auto"/>
        <w:ind w:firstLine="709"/>
        <w:jc w:val="thaiDistribute"/>
        <w:rPr>
          <w:sz w:val="24"/>
          <w:szCs w:val="24"/>
        </w:rPr>
      </w:pPr>
      <w:r w:rsidRPr="00792B36">
        <w:rPr>
          <w:rFonts w:eastAsia="Google Sans Text"/>
          <w:color w:val="1F1F1F"/>
          <w:sz w:val="24"/>
          <w:szCs w:val="24"/>
        </w:rPr>
        <w:t>Marine Mammals: The Gulf hosts a genetically distinct population of the Irrawaddy Dolphin (</w:t>
      </w:r>
      <w:r w:rsidRPr="00792B36">
        <w:rPr>
          <w:rFonts w:eastAsia="Google Sans Text"/>
          <w:i/>
          <w:iCs/>
          <w:color w:val="1F1F1F"/>
          <w:sz w:val="24"/>
          <w:szCs w:val="24"/>
        </w:rPr>
        <w:t>Orcaella brevirostris</w:t>
      </w:r>
      <w:r w:rsidRPr="00792B36">
        <w:rPr>
          <w:rFonts w:eastAsia="Google Sans Text"/>
          <w:color w:val="1F1F1F"/>
          <w:sz w:val="24"/>
          <w:szCs w:val="24"/>
        </w:rPr>
        <w:t xml:space="preserve">). Genetic studies indicate restricted gene flow between the Gulf of Thailand population and those in the Andaman Sea, classifying it as a distinct management unit requiring specific conservation measures </w:t>
      </w:r>
    </w:p>
    <w:p w14:paraId="2A2C9B03" w14:textId="77777777" w:rsidR="00931A50" w:rsidRPr="00792B36" w:rsidRDefault="00931A50" w:rsidP="00F61B37">
      <w:pPr>
        <w:numPr>
          <w:ilvl w:val="0"/>
          <w:numId w:val="20"/>
        </w:numPr>
        <w:pBdr>
          <w:top w:val="nil"/>
          <w:left w:val="nil"/>
          <w:bottom w:val="nil"/>
          <w:right w:val="nil"/>
          <w:between w:val="nil"/>
        </w:pBdr>
        <w:spacing w:line="275" w:lineRule="auto"/>
        <w:ind w:firstLine="709"/>
        <w:jc w:val="thaiDistribute"/>
        <w:rPr>
          <w:sz w:val="24"/>
          <w:szCs w:val="24"/>
        </w:rPr>
      </w:pPr>
      <w:r w:rsidRPr="00792B36">
        <w:rPr>
          <w:rFonts w:eastAsia="Google Sans Text"/>
          <w:color w:val="1F1F1F"/>
          <w:sz w:val="24"/>
          <w:szCs w:val="24"/>
        </w:rPr>
        <w:t xml:space="preserve">Fish Diversity: A recent checklist (2023) recorded 131 fish species from </w:t>
      </w:r>
      <w:r w:rsidRPr="00792B36">
        <w:rPr>
          <w:rFonts w:eastAsia="Google Sans Text"/>
          <w:color w:val="1F1F1F"/>
          <w:sz w:val="24"/>
          <w:szCs w:val="24"/>
        </w:rPr>
        <w:lastRenderedPageBreak/>
        <w:t xml:space="preserve">bottom trawls, including new records like the lizardfish </w:t>
      </w:r>
      <w:r w:rsidRPr="00792B36">
        <w:rPr>
          <w:rFonts w:eastAsia="Google Sans Text"/>
          <w:i/>
          <w:iCs/>
          <w:color w:val="1F1F1F"/>
          <w:sz w:val="24"/>
          <w:szCs w:val="24"/>
        </w:rPr>
        <w:t>Saurida fortis</w:t>
      </w:r>
      <w:r w:rsidRPr="00792B36">
        <w:rPr>
          <w:rFonts w:eastAsia="Google Sans Text"/>
          <w:color w:val="1F1F1F"/>
          <w:sz w:val="24"/>
          <w:szCs w:val="24"/>
        </w:rPr>
        <w:t>. Other key species include the Brownbanded bamboo shark (</w:t>
      </w:r>
      <w:r w:rsidRPr="00792B36">
        <w:rPr>
          <w:rFonts w:eastAsia="Google Sans Text"/>
          <w:i/>
          <w:iCs/>
          <w:color w:val="1F1F1F"/>
          <w:sz w:val="24"/>
          <w:szCs w:val="24"/>
        </w:rPr>
        <w:t>Chiloscyllium punctatum</w:t>
      </w:r>
      <w:r w:rsidRPr="00792B36">
        <w:rPr>
          <w:rFonts w:eastAsia="Google Sans Text"/>
          <w:color w:val="1F1F1F"/>
          <w:sz w:val="24"/>
          <w:szCs w:val="24"/>
        </w:rPr>
        <w:t>) and the Whale shark (</w:t>
      </w:r>
      <w:r w:rsidRPr="00792B36">
        <w:rPr>
          <w:rFonts w:eastAsia="Google Sans Text"/>
          <w:i/>
          <w:iCs/>
          <w:color w:val="1F1F1F"/>
          <w:sz w:val="24"/>
          <w:szCs w:val="24"/>
        </w:rPr>
        <w:t>Rhincodon typus</w:t>
      </w:r>
      <w:r w:rsidRPr="00792B36">
        <w:rPr>
          <w:rFonts w:eastAsia="Google Sans Text"/>
          <w:color w:val="1F1F1F"/>
          <w:sz w:val="24"/>
          <w:szCs w:val="24"/>
        </w:rPr>
        <w:t>), which frequents the biodiversity hotspots of Koh Tao and Chumphon pinnacles.</w:t>
      </w:r>
    </w:p>
    <w:p w14:paraId="0C439710" w14:textId="77777777" w:rsidR="00931A50" w:rsidRPr="00792B36" w:rsidRDefault="00931A50" w:rsidP="00F61B37">
      <w:pPr>
        <w:numPr>
          <w:ilvl w:val="0"/>
          <w:numId w:val="20"/>
        </w:numPr>
        <w:pBdr>
          <w:top w:val="nil"/>
          <w:left w:val="nil"/>
          <w:bottom w:val="nil"/>
          <w:right w:val="nil"/>
          <w:between w:val="nil"/>
        </w:pBdr>
        <w:spacing w:line="275" w:lineRule="auto"/>
        <w:ind w:firstLine="709"/>
        <w:jc w:val="thaiDistribute"/>
        <w:rPr>
          <w:sz w:val="24"/>
          <w:szCs w:val="24"/>
        </w:rPr>
      </w:pPr>
      <w:r w:rsidRPr="00792B36">
        <w:rPr>
          <w:rFonts w:eastAsia="Google Sans Text"/>
          <w:color w:val="1F1F1F"/>
          <w:sz w:val="24"/>
          <w:szCs w:val="24"/>
        </w:rPr>
        <w:t xml:space="preserve">Mangrove Flora: The Gulf's wetlands harbor critically endangered flora such as </w:t>
      </w:r>
      <w:r w:rsidRPr="00792B36">
        <w:rPr>
          <w:rFonts w:eastAsia="Google Sans Text"/>
          <w:i/>
          <w:iCs/>
          <w:color w:val="1F1F1F"/>
          <w:sz w:val="24"/>
          <w:szCs w:val="24"/>
        </w:rPr>
        <w:t>Bruguiera hainesii</w:t>
      </w:r>
      <w:r w:rsidRPr="00792B36">
        <w:rPr>
          <w:rFonts w:eastAsia="Google Sans Text"/>
          <w:color w:val="1F1F1F"/>
          <w:sz w:val="24"/>
          <w:szCs w:val="24"/>
        </w:rPr>
        <w:t xml:space="preserve"> and </w:t>
      </w:r>
      <w:r w:rsidRPr="00792B36">
        <w:rPr>
          <w:rFonts w:eastAsia="Google Sans Text"/>
          <w:i/>
          <w:iCs/>
          <w:color w:val="1F1F1F"/>
          <w:sz w:val="24"/>
          <w:szCs w:val="24"/>
        </w:rPr>
        <w:t>Sonneratia griffithii</w:t>
      </w:r>
      <w:r w:rsidRPr="00792B36">
        <w:rPr>
          <w:rFonts w:eastAsia="Google Sans Text"/>
          <w:color w:val="1F1F1F"/>
          <w:sz w:val="24"/>
          <w:szCs w:val="24"/>
        </w:rPr>
        <w:t>, which are extremely rare globally but found in the Welu River Estuary and other focal sites.</w:t>
      </w:r>
    </w:p>
    <w:p w14:paraId="1806F38B" w14:textId="77777777" w:rsidR="00931A50" w:rsidRPr="00792B36" w:rsidRDefault="00931A50" w:rsidP="00931A50">
      <w:pPr>
        <w:pBdr>
          <w:top w:val="nil"/>
          <w:left w:val="nil"/>
          <w:bottom w:val="nil"/>
          <w:right w:val="nil"/>
          <w:between w:val="nil"/>
        </w:pBdr>
        <w:spacing w:before="240" w:line="275" w:lineRule="auto"/>
        <w:ind w:firstLine="709"/>
        <w:jc w:val="thaiDistribute"/>
        <w:rPr>
          <w:rFonts w:eastAsia="Google Sans Text"/>
          <w:color w:val="1F1F1F"/>
          <w:sz w:val="24"/>
          <w:szCs w:val="24"/>
        </w:rPr>
      </w:pPr>
      <w:r w:rsidRPr="00792B36">
        <w:rPr>
          <w:rFonts w:eastAsia="Google Sans Text"/>
          <w:color w:val="1F1F1F"/>
          <w:sz w:val="24"/>
          <w:szCs w:val="24"/>
        </w:rPr>
        <w:t>This unique biogeographical setting, combining high productivity with specific genetic refugia, highlights the Gulf's critical role as a "biological pump" for the wider South China Sea ecosystem.</w:t>
      </w:r>
    </w:p>
    <w:p w14:paraId="3C1ADA12" w14:textId="77777777" w:rsidR="00931A50" w:rsidRPr="00792B36" w:rsidRDefault="00931A50" w:rsidP="00931A50">
      <w:pPr>
        <w:pBdr>
          <w:top w:val="nil"/>
          <w:left w:val="nil"/>
          <w:bottom w:val="nil"/>
          <w:right w:val="nil"/>
          <w:between w:val="nil"/>
        </w:pBdr>
        <w:spacing w:line="275" w:lineRule="auto"/>
        <w:jc w:val="thaiDistribute"/>
        <w:rPr>
          <w:rFonts w:eastAsia="Google Sans Text"/>
          <w:color w:val="1F1F1F"/>
          <w:sz w:val="24"/>
          <w:szCs w:val="24"/>
        </w:rPr>
      </w:pPr>
    </w:p>
    <w:p w14:paraId="3535DA52" w14:textId="77777777" w:rsidR="003B0291" w:rsidRPr="00792B36" w:rsidRDefault="003B0291" w:rsidP="00931A50">
      <w:pPr>
        <w:pBdr>
          <w:top w:val="nil"/>
          <w:left w:val="nil"/>
          <w:bottom w:val="nil"/>
          <w:right w:val="nil"/>
          <w:between w:val="nil"/>
        </w:pBdr>
        <w:spacing w:line="275" w:lineRule="auto"/>
        <w:jc w:val="thaiDistribute"/>
        <w:rPr>
          <w:rFonts w:eastAsia="Google Sans Text"/>
          <w:color w:val="1F1F1F"/>
          <w:sz w:val="24"/>
          <w:szCs w:val="24"/>
        </w:rPr>
      </w:pPr>
    </w:p>
    <w:p w14:paraId="6D2CAF04" w14:textId="77777777" w:rsidR="00931A50" w:rsidRPr="00792B36" w:rsidRDefault="00931A50" w:rsidP="00931A50">
      <w:pPr>
        <w:pStyle w:val="Heading3"/>
        <w:spacing w:before="0" w:after="0" w:line="275" w:lineRule="auto"/>
        <w:jc w:val="thaiDistribute"/>
        <w:rPr>
          <w:rFonts w:eastAsia="Google Sans"/>
          <w:color w:val="1F1F1F"/>
          <w:sz w:val="24"/>
          <w:szCs w:val="24"/>
        </w:rPr>
      </w:pPr>
      <w:r w:rsidRPr="00792B36">
        <w:rPr>
          <w:rFonts w:eastAsia="Google Sans"/>
          <w:color w:val="1F1F1F"/>
          <w:sz w:val="24"/>
          <w:szCs w:val="24"/>
        </w:rPr>
        <w:t>1.4 Assessment Methodology</w:t>
      </w:r>
    </w:p>
    <w:p w14:paraId="66431B6B" w14:textId="77777777" w:rsidR="00931A50" w:rsidRPr="00792B36" w:rsidRDefault="00931A50" w:rsidP="00931A50">
      <w:pPr>
        <w:pBdr>
          <w:top w:val="nil"/>
          <w:left w:val="nil"/>
          <w:bottom w:val="nil"/>
          <w:right w:val="nil"/>
          <w:between w:val="nil"/>
        </w:pBdr>
        <w:spacing w:line="275" w:lineRule="auto"/>
        <w:jc w:val="thaiDistribute"/>
        <w:rPr>
          <w:rFonts w:eastAsia="Google Sans"/>
          <w:color w:val="1F1F1F"/>
          <w:sz w:val="24"/>
          <w:szCs w:val="24"/>
        </w:rPr>
      </w:pPr>
    </w:p>
    <w:p w14:paraId="377FD886" w14:textId="77777777" w:rsidR="00931A50" w:rsidRPr="00792B36" w:rsidRDefault="00931A50" w:rsidP="00931A50">
      <w:pPr>
        <w:pBdr>
          <w:top w:val="nil"/>
          <w:left w:val="nil"/>
          <w:bottom w:val="nil"/>
          <w:right w:val="nil"/>
          <w:between w:val="nil"/>
        </w:pBdr>
        <w:spacing w:line="275" w:lineRule="auto"/>
        <w:jc w:val="thaiDistribute"/>
        <w:rPr>
          <w:rFonts w:eastAsia="Google Sans Text"/>
          <w:color w:val="1F1F1F"/>
          <w:sz w:val="24"/>
          <w:szCs w:val="24"/>
        </w:rPr>
      </w:pPr>
      <w:r w:rsidRPr="00792B36">
        <w:rPr>
          <w:rFonts w:eastAsia="Google Sans Text"/>
          <w:color w:val="1F1F1F"/>
          <w:sz w:val="24"/>
          <w:szCs w:val="24"/>
        </w:rPr>
        <w:t>The methodology employed for the 2025 National TDA represents a significant evolution from previous assessments, moving beyond simple resource inventorying to a holistic, ecosystem-based risk assessment. This transition is necessitated by the increasing complexity of transboundary threats, particularly climate change and marine plastic pollution, which require an integrated analysis of socio-ecological systems.</w:t>
      </w:r>
    </w:p>
    <w:p w14:paraId="3EA261CC" w14:textId="77777777" w:rsidR="00931A50" w:rsidRPr="00792B36" w:rsidRDefault="00931A50" w:rsidP="00931A50">
      <w:pPr>
        <w:pBdr>
          <w:top w:val="nil"/>
          <w:left w:val="nil"/>
          <w:bottom w:val="nil"/>
          <w:right w:val="nil"/>
          <w:between w:val="nil"/>
        </w:pBdr>
        <w:spacing w:line="275" w:lineRule="auto"/>
        <w:jc w:val="thaiDistribute"/>
        <w:rPr>
          <w:rFonts w:eastAsia="Google Sans Text"/>
          <w:color w:val="1F1F1F"/>
          <w:sz w:val="24"/>
          <w:szCs w:val="24"/>
        </w:rPr>
      </w:pPr>
    </w:p>
    <w:p w14:paraId="768EB622" w14:textId="77777777" w:rsidR="00931A50" w:rsidRPr="00792B36" w:rsidRDefault="00931A50" w:rsidP="00931A50">
      <w:pPr>
        <w:pStyle w:val="Heading4"/>
        <w:spacing w:before="0" w:after="0" w:line="275" w:lineRule="auto"/>
        <w:ind w:firstLine="426"/>
        <w:jc w:val="thaiDistribute"/>
        <w:rPr>
          <w:rFonts w:eastAsia="Google Sans"/>
          <w:color w:val="1F1F1F"/>
        </w:rPr>
      </w:pPr>
      <w:r w:rsidRPr="00792B36">
        <w:rPr>
          <w:rFonts w:eastAsia="Google Sans"/>
          <w:color w:val="1F1F1F"/>
        </w:rPr>
        <w:t>1.4.1 Conceptual Framework</w:t>
      </w:r>
    </w:p>
    <w:p w14:paraId="5BEE2D30" w14:textId="77777777" w:rsidR="00931A50" w:rsidRPr="00792B36" w:rsidRDefault="00931A50" w:rsidP="00931A50">
      <w:pPr>
        <w:pBdr>
          <w:top w:val="nil"/>
          <w:left w:val="nil"/>
          <w:bottom w:val="nil"/>
          <w:right w:val="nil"/>
          <w:between w:val="nil"/>
        </w:pBdr>
        <w:spacing w:line="275" w:lineRule="auto"/>
        <w:ind w:firstLine="426"/>
        <w:jc w:val="thaiDistribute"/>
        <w:rPr>
          <w:rFonts w:eastAsia="Google Sans Text"/>
          <w:color w:val="1F1F1F"/>
          <w:sz w:val="24"/>
          <w:szCs w:val="24"/>
        </w:rPr>
      </w:pPr>
      <w:r w:rsidRPr="00792B36">
        <w:rPr>
          <w:rFonts w:eastAsia="Google Sans Text"/>
          <w:color w:val="1F1F1F"/>
          <w:sz w:val="24"/>
          <w:szCs w:val="24"/>
        </w:rPr>
        <w:t xml:space="preserve">The assessment adopts a modified </w:t>
      </w:r>
      <w:r w:rsidRPr="00792B36">
        <w:rPr>
          <w:rFonts w:eastAsia="Google Sans Text"/>
          <w:b/>
          <w:bCs/>
          <w:color w:val="1F1F1F"/>
          <w:sz w:val="24"/>
          <w:szCs w:val="24"/>
        </w:rPr>
        <w:t>"Concentric Circles of Risk"</w:t>
      </w:r>
      <w:r w:rsidRPr="00792B36">
        <w:rPr>
          <w:rFonts w:eastAsia="Google Sans Text"/>
          <w:color w:val="1F1F1F"/>
          <w:sz w:val="24"/>
          <w:szCs w:val="24"/>
        </w:rPr>
        <w:t xml:space="preserve"> framework to conceptualize the relationship between anthropogenic drivers and ecosystem health:</w:t>
      </w:r>
    </w:p>
    <w:p w14:paraId="5B48676C" w14:textId="77777777" w:rsidR="00931A50" w:rsidRPr="00792B36" w:rsidRDefault="00931A50" w:rsidP="00F61B37">
      <w:pPr>
        <w:pStyle w:val="ListParagraph"/>
        <w:numPr>
          <w:ilvl w:val="0"/>
          <w:numId w:val="21"/>
        </w:numPr>
        <w:pBdr>
          <w:top w:val="nil"/>
          <w:left w:val="nil"/>
          <w:bottom w:val="nil"/>
          <w:right w:val="nil"/>
          <w:between w:val="nil"/>
        </w:pBdr>
        <w:spacing w:line="275" w:lineRule="auto"/>
        <w:ind w:left="0" w:firstLine="426"/>
        <w:jc w:val="thaiDistribute"/>
        <w:rPr>
          <w:rFonts w:cs="Arial"/>
          <w:sz w:val="24"/>
          <w:szCs w:val="24"/>
        </w:rPr>
      </w:pPr>
      <w:r w:rsidRPr="00792B36">
        <w:rPr>
          <w:rFonts w:eastAsia="Google Sans Text" w:cs="Arial"/>
          <w:b/>
          <w:bCs/>
          <w:color w:val="1F1F1F"/>
          <w:sz w:val="24"/>
          <w:szCs w:val="24"/>
        </w:rPr>
        <w:t>Core (The Ecosystem):</w:t>
      </w:r>
      <w:r w:rsidRPr="00792B36">
        <w:rPr>
          <w:rFonts w:eastAsia="Google Sans Text" w:cs="Arial"/>
          <w:color w:val="1F1F1F"/>
          <w:sz w:val="24"/>
          <w:szCs w:val="24"/>
        </w:rPr>
        <w:t xml:space="preserve"> The physical and biological state of coastal resources (e.g., live coral cover, mangrove biomass, water quality). The assessment focuses on "Ecological Integrity" and "Service Provision" (e.g., carbon storage) rather than just extent or quantity.</w:t>
      </w:r>
    </w:p>
    <w:p w14:paraId="03B4840A" w14:textId="77777777" w:rsidR="00931A50" w:rsidRPr="00792B36" w:rsidRDefault="00931A50" w:rsidP="00F61B37">
      <w:pPr>
        <w:numPr>
          <w:ilvl w:val="0"/>
          <w:numId w:val="21"/>
        </w:numPr>
        <w:pBdr>
          <w:top w:val="nil"/>
          <w:left w:val="nil"/>
          <w:bottom w:val="nil"/>
          <w:right w:val="nil"/>
          <w:between w:val="nil"/>
        </w:pBdr>
        <w:spacing w:line="275" w:lineRule="auto"/>
        <w:ind w:left="0" w:firstLine="426"/>
        <w:jc w:val="thaiDistribute"/>
        <w:rPr>
          <w:sz w:val="24"/>
          <w:szCs w:val="24"/>
        </w:rPr>
      </w:pPr>
      <w:r w:rsidRPr="00792B36">
        <w:rPr>
          <w:rFonts w:eastAsia="Google Sans Text"/>
          <w:b/>
          <w:bCs/>
          <w:color w:val="1F1F1F"/>
          <w:sz w:val="24"/>
          <w:szCs w:val="24"/>
        </w:rPr>
        <w:t>Inner Circle (Direct Pressures):</w:t>
      </w:r>
      <w:r w:rsidRPr="00792B36">
        <w:rPr>
          <w:rFonts w:eastAsia="Google Sans Text"/>
          <w:color w:val="1F1F1F"/>
          <w:sz w:val="24"/>
          <w:szCs w:val="24"/>
        </w:rPr>
        <w:t xml:space="preserve"> Immediate stressors acting on the core, such as nutrient loading from the Chao Phraya River, destructive fishing gear (trawlers), and coastal land conversion.</w:t>
      </w:r>
    </w:p>
    <w:p w14:paraId="3F3A1307" w14:textId="77777777" w:rsidR="00931A50" w:rsidRPr="00792B36" w:rsidRDefault="00931A50" w:rsidP="00F61B37">
      <w:pPr>
        <w:numPr>
          <w:ilvl w:val="0"/>
          <w:numId w:val="21"/>
        </w:numPr>
        <w:pBdr>
          <w:top w:val="nil"/>
          <w:left w:val="nil"/>
          <w:bottom w:val="nil"/>
          <w:right w:val="nil"/>
          <w:between w:val="nil"/>
        </w:pBdr>
        <w:spacing w:line="275" w:lineRule="auto"/>
        <w:ind w:left="0" w:firstLine="426"/>
        <w:jc w:val="thaiDistribute"/>
        <w:rPr>
          <w:sz w:val="24"/>
          <w:szCs w:val="24"/>
        </w:rPr>
      </w:pPr>
      <w:r w:rsidRPr="00792B36">
        <w:rPr>
          <w:rFonts w:eastAsia="Google Sans Text"/>
          <w:b/>
          <w:bCs/>
          <w:color w:val="1F1F1F"/>
          <w:sz w:val="24"/>
          <w:szCs w:val="24"/>
        </w:rPr>
        <w:t>Middle Circle (Socio-Economic Drivers):</w:t>
      </w:r>
      <w:r w:rsidRPr="00792B36">
        <w:rPr>
          <w:rFonts w:eastAsia="Google Sans Text"/>
          <w:color w:val="1F1F1F"/>
          <w:sz w:val="24"/>
          <w:szCs w:val="24"/>
        </w:rPr>
        <w:t xml:space="preserve"> The local and national activities driving the pressures, including the "Blue Economy" sectors (tourism, fisheries), industrialization in the EEC, and urbanization in coastal provinces.</w:t>
      </w:r>
    </w:p>
    <w:p w14:paraId="31F8D181" w14:textId="77777777" w:rsidR="00931A50" w:rsidRPr="00792B36" w:rsidRDefault="00931A50" w:rsidP="00F61B37">
      <w:pPr>
        <w:numPr>
          <w:ilvl w:val="0"/>
          <w:numId w:val="21"/>
        </w:numPr>
        <w:pBdr>
          <w:top w:val="nil"/>
          <w:left w:val="nil"/>
          <w:bottom w:val="nil"/>
          <w:right w:val="nil"/>
          <w:between w:val="nil"/>
        </w:pBdr>
        <w:spacing w:line="275" w:lineRule="auto"/>
        <w:ind w:left="0" w:firstLine="426"/>
        <w:jc w:val="thaiDistribute"/>
        <w:rPr>
          <w:sz w:val="24"/>
          <w:szCs w:val="24"/>
        </w:rPr>
      </w:pPr>
      <w:r w:rsidRPr="00792B36">
        <w:rPr>
          <w:rFonts w:eastAsia="Google Sans Text"/>
          <w:b/>
          <w:bCs/>
          <w:color w:val="1F1F1F"/>
          <w:sz w:val="24"/>
          <w:szCs w:val="24"/>
        </w:rPr>
        <w:t>Outer Circle (Global &amp; Regional Forces):</w:t>
      </w:r>
      <w:r w:rsidRPr="00792B36">
        <w:rPr>
          <w:rFonts w:eastAsia="Google Sans Text"/>
          <w:color w:val="1F1F1F"/>
          <w:sz w:val="24"/>
          <w:szCs w:val="24"/>
        </w:rPr>
        <w:t xml:space="preserve"> Large-scale, often transboundary drivers such as global climate change (sea-level rise, ocean warming) , global market demand for seafood, and regional plastic waste leakage.</w:t>
      </w:r>
    </w:p>
    <w:p w14:paraId="318A1329" w14:textId="77777777" w:rsidR="00931A50" w:rsidRPr="00792B36" w:rsidRDefault="00931A50" w:rsidP="00931A50">
      <w:pPr>
        <w:pBdr>
          <w:top w:val="nil"/>
          <w:left w:val="nil"/>
          <w:bottom w:val="nil"/>
          <w:right w:val="nil"/>
          <w:between w:val="nil"/>
        </w:pBdr>
        <w:spacing w:before="240" w:line="275" w:lineRule="auto"/>
        <w:ind w:firstLine="426"/>
        <w:jc w:val="thaiDistribute"/>
        <w:rPr>
          <w:rFonts w:eastAsia="Google Sans Text"/>
          <w:color w:val="1F1F1F"/>
          <w:sz w:val="24"/>
          <w:szCs w:val="24"/>
          <w:lang w:val="en-US"/>
        </w:rPr>
      </w:pPr>
      <w:r w:rsidRPr="00792B36">
        <w:rPr>
          <w:rFonts w:eastAsia="Google Sans Text"/>
          <w:b/>
          <w:bCs/>
          <w:color w:val="1F1F1F"/>
          <w:sz w:val="24"/>
          <w:szCs w:val="24"/>
        </w:rPr>
        <w:t>Scale and Scope:</w:t>
      </w:r>
      <w:r w:rsidRPr="00792B36">
        <w:rPr>
          <w:rFonts w:eastAsia="Google Sans Text"/>
          <w:color w:val="1F1F1F"/>
          <w:sz w:val="24"/>
          <w:szCs w:val="24"/>
        </w:rPr>
        <w:t xml:space="preserve"> The assessment integrates data from local focal sites (micro-scale) up to the national and sub-regional levels (macro-scale), allowing for the identification of "hotspots" where global risks (climate) compound local stressors (pollution).</w:t>
      </w:r>
    </w:p>
    <w:p w14:paraId="190DE8CF" w14:textId="77777777" w:rsidR="00931A50" w:rsidRPr="00792B36" w:rsidRDefault="00931A50" w:rsidP="00931A50">
      <w:pPr>
        <w:pBdr>
          <w:top w:val="nil"/>
          <w:left w:val="nil"/>
          <w:bottom w:val="nil"/>
          <w:right w:val="nil"/>
          <w:between w:val="nil"/>
        </w:pBdr>
        <w:spacing w:line="275" w:lineRule="auto"/>
        <w:ind w:firstLine="426"/>
        <w:jc w:val="thaiDistribute"/>
        <w:rPr>
          <w:rFonts w:eastAsia="Google Sans Text"/>
          <w:color w:val="1F1F1F"/>
          <w:sz w:val="24"/>
          <w:szCs w:val="24"/>
        </w:rPr>
      </w:pPr>
    </w:p>
    <w:p w14:paraId="45A909AB" w14:textId="77777777" w:rsidR="00931A50" w:rsidRPr="00792B36" w:rsidRDefault="00931A50" w:rsidP="00931A50">
      <w:pPr>
        <w:pStyle w:val="Heading4"/>
        <w:spacing w:before="0" w:after="0" w:line="275" w:lineRule="auto"/>
        <w:ind w:firstLine="426"/>
        <w:jc w:val="thaiDistribute"/>
        <w:rPr>
          <w:rFonts w:eastAsia="Google Sans"/>
          <w:color w:val="1F1F1F"/>
        </w:rPr>
      </w:pPr>
      <w:r w:rsidRPr="00792B36">
        <w:rPr>
          <w:rFonts w:eastAsia="Google Sans"/>
          <w:color w:val="1F1F1F"/>
        </w:rPr>
        <w:lastRenderedPageBreak/>
        <w:t>1.4.2 Subnational Geographic Divisions used in the Analysis</w:t>
      </w:r>
    </w:p>
    <w:p w14:paraId="00E4AF01" w14:textId="77777777" w:rsidR="00931A50" w:rsidRPr="00792B36" w:rsidRDefault="00931A50" w:rsidP="00931A50">
      <w:pPr>
        <w:pBdr>
          <w:top w:val="nil"/>
          <w:left w:val="nil"/>
          <w:bottom w:val="nil"/>
          <w:right w:val="nil"/>
          <w:between w:val="nil"/>
        </w:pBdr>
        <w:spacing w:line="275" w:lineRule="auto"/>
        <w:ind w:firstLine="426"/>
        <w:jc w:val="thaiDistribute"/>
        <w:rPr>
          <w:rFonts w:eastAsia="Google Sans Text"/>
          <w:color w:val="1F1F1F"/>
          <w:sz w:val="24"/>
          <w:szCs w:val="24"/>
        </w:rPr>
      </w:pPr>
      <w:r w:rsidRPr="00792B36">
        <w:rPr>
          <w:rFonts w:eastAsia="Google Sans Text"/>
          <w:color w:val="1F1F1F"/>
          <w:sz w:val="24"/>
          <w:szCs w:val="24"/>
        </w:rPr>
        <w:t>The 2025 TDA refines the geographic scope to focus specifically on the Marine and Coastal Zone</w:t>
      </w:r>
      <w:r w:rsidRPr="00792B36">
        <w:rPr>
          <w:rFonts w:eastAsia="Google Sans Text"/>
          <w:color w:val="1F1F1F"/>
          <w:sz w:val="24"/>
          <w:szCs w:val="24"/>
          <w:lang w:val="en-US"/>
        </w:rPr>
        <w:t xml:space="preserve"> of the Gulf of Thailand</w:t>
      </w:r>
      <w:r w:rsidRPr="00792B36">
        <w:rPr>
          <w:rFonts w:eastAsia="Google Sans Text"/>
          <w:color w:val="1F1F1F"/>
          <w:sz w:val="24"/>
          <w:szCs w:val="24"/>
        </w:rPr>
        <w:t>, departing from the watershed-heavy focus of the Year 2000 report.</w:t>
      </w:r>
    </w:p>
    <w:p w14:paraId="601A7095" w14:textId="77777777" w:rsidR="00931A50" w:rsidRPr="00792B36" w:rsidRDefault="00931A50" w:rsidP="00F61B37">
      <w:pPr>
        <w:numPr>
          <w:ilvl w:val="0"/>
          <w:numId w:val="22"/>
        </w:numPr>
        <w:pBdr>
          <w:top w:val="nil"/>
          <w:left w:val="nil"/>
          <w:bottom w:val="nil"/>
          <w:right w:val="nil"/>
          <w:between w:val="nil"/>
        </w:pBdr>
        <w:spacing w:line="275" w:lineRule="auto"/>
        <w:ind w:left="0" w:firstLine="426"/>
        <w:jc w:val="thaiDistribute"/>
        <w:rPr>
          <w:sz w:val="24"/>
          <w:szCs w:val="24"/>
        </w:rPr>
      </w:pPr>
      <w:r w:rsidRPr="00792B36">
        <w:rPr>
          <w:rFonts w:eastAsia="Google Sans Text"/>
          <w:b/>
          <w:bCs/>
          <w:color w:val="1F1F1F"/>
          <w:sz w:val="24"/>
          <w:szCs w:val="24"/>
        </w:rPr>
        <w:t>Administrative Division:</w:t>
      </w:r>
      <w:r w:rsidRPr="00792B36">
        <w:rPr>
          <w:rFonts w:eastAsia="Google Sans Text"/>
          <w:color w:val="1F1F1F"/>
          <w:sz w:val="24"/>
          <w:szCs w:val="24"/>
        </w:rPr>
        <w:t xml:space="preserve"> The primary unit of socio-economic analysis comprises the </w:t>
      </w:r>
      <w:r w:rsidRPr="00792B36">
        <w:rPr>
          <w:rFonts w:eastAsia="Google Sans Text"/>
          <w:b/>
          <w:bCs/>
          <w:color w:val="1F1F1F"/>
          <w:sz w:val="24"/>
          <w:szCs w:val="24"/>
          <w:lang w:val="en-US"/>
        </w:rPr>
        <w:t>17</w:t>
      </w:r>
      <w:r w:rsidRPr="00792B36">
        <w:rPr>
          <w:rFonts w:eastAsia="Google Sans Text"/>
          <w:b/>
          <w:bCs/>
          <w:color w:val="1F1F1F"/>
          <w:sz w:val="24"/>
          <w:szCs w:val="24"/>
        </w:rPr>
        <w:t xml:space="preserve"> Coastal Provinces</w:t>
      </w:r>
      <w:r w:rsidRPr="00792B36">
        <w:rPr>
          <w:rFonts w:eastAsia="Google Sans Text"/>
          <w:color w:val="1F1F1F"/>
          <w:sz w:val="24"/>
          <w:szCs w:val="24"/>
        </w:rPr>
        <w:t xml:space="preserve"> bordering the Gulf of Thailand. These are stratified into three economic clusters: the Industrial Core (Eastern Seaboard), the Developing South, and the Tourism Hubs.</w:t>
      </w:r>
    </w:p>
    <w:p w14:paraId="715DFF4F" w14:textId="77777777" w:rsidR="00931A50" w:rsidRPr="00792B36" w:rsidRDefault="00931A50" w:rsidP="00F61B37">
      <w:pPr>
        <w:numPr>
          <w:ilvl w:val="0"/>
          <w:numId w:val="22"/>
        </w:numPr>
        <w:pBdr>
          <w:top w:val="nil"/>
          <w:left w:val="nil"/>
          <w:bottom w:val="nil"/>
          <w:right w:val="nil"/>
          <w:between w:val="nil"/>
        </w:pBdr>
        <w:spacing w:line="275" w:lineRule="auto"/>
        <w:ind w:left="0" w:firstLine="426"/>
        <w:jc w:val="thaiDistribute"/>
        <w:rPr>
          <w:sz w:val="24"/>
          <w:szCs w:val="24"/>
        </w:rPr>
      </w:pPr>
      <w:r w:rsidRPr="00792B36">
        <w:rPr>
          <w:rFonts w:eastAsia="Google Sans Text"/>
          <w:b/>
          <w:bCs/>
          <w:color w:val="1F1F1F"/>
          <w:sz w:val="24"/>
          <w:szCs w:val="24"/>
        </w:rPr>
        <w:t>Ecological Focal Sites:</w:t>
      </w:r>
      <w:r w:rsidRPr="00792B36">
        <w:rPr>
          <w:rFonts w:eastAsia="Google Sans Text"/>
          <w:color w:val="1F1F1F"/>
          <w:sz w:val="24"/>
          <w:szCs w:val="24"/>
        </w:rPr>
        <w:t xml:space="preserve"> To ground-truth the national data, the assessment utilizes five specific "Focal Sites" in the Gulf of Thailand representing distinct ecosystem types and pressure profiles:</w:t>
      </w:r>
    </w:p>
    <w:p w14:paraId="3E1876AE" w14:textId="77777777" w:rsidR="00931A50" w:rsidRPr="00792B36" w:rsidRDefault="00931A50" w:rsidP="00F61B37">
      <w:pPr>
        <w:numPr>
          <w:ilvl w:val="1"/>
          <w:numId w:val="23"/>
        </w:numPr>
        <w:pBdr>
          <w:top w:val="nil"/>
          <w:left w:val="nil"/>
          <w:bottom w:val="nil"/>
          <w:right w:val="nil"/>
          <w:between w:val="nil"/>
        </w:pBdr>
        <w:spacing w:line="275" w:lineRule="auto"/>
        <w:jc w:val="thaiDistribute"/>
        <w:rPr>
          <w:sz w:val="24"/>
          <w:szCs w:val="24"/>
        </w:rPr>
      </w:pPr>
      <w:r w:rsidRPr="00792B36">
        <w:rPr>
          <w:rFonts w:eastAsia="Google Sans Text"/>
          <w:b/>
          <w:bCs/>
          <w:color w:val="1F1F1F"/>
          <w:sz w:val="24"/>
          <w:szCs w:val="24"/>
        </w:rPr>
        <w:t>Welu River Estuary (Chanthaburi):</w:t>
      </w:r>
      <w:r w:rsidRPr="00792B36">
        <w:rPr>
          <w:rFonts w:eastAsia="Google Sans Text"/>
          <w:color w:val="1F1F1F"/>
          <w:sz w:val="24"/>
          <w:szCs w:val="24"/>
        </w:rPr>
        <w:t xml:space="preserve"> Represents a "Managed Ecosystem" with community forestry.</w:t>
      </w:r>
    </w:p>
    <w:p w14:paraId="4B8DCA27" w14:textId="77777777" w:rsidR="00931A50" w:rsidRPr="00792B36" w:rsidRDefault="00931A50" w:rsidP="00F61B37">
      <w:pPr>
        <w:numPr>
          <w:ilvl w:val="1"/>
          <w:numId w:val="23"/>
        </w:numPr>
        <w:pBdr>
          <w:top w:val="nil"/>
          <w:left w:val="nil"/>
          <w:bottom w:val="nil"/>
          <w:right w:val="nil"/>
          <w:between w:val="nil"/>
        </w:pBdr>
        <w:spacing w:line="275" w:lineRule="auto"/>
        <w:jc w:val="thaiDistribute"/>
        <w:rPr>
          <w:sz w:val="24"/>
          <w:szCs w:val="24"/>
        </w:rPr>
      </w:pPr>
      <w:r w:rsidRPr="00792B36">
        <w:rPr>
          <w:rFonts w:eastAsia="Google Sans Text"/>
          <w:b/>
          <w:bCs/>
          <w:color w:val="1F1F1F"/>
          <w:sz w:val="24"/>
          <w:szCs w:val="24"/>
        </w:rPr>
        <w:t>Bandon Bay (Surat Thani):</w:t>
      </w:r>
      <w:r w:rsidRPr="00792B36">
        <w:rPr>
          <w:rFonts w:eastAsia="Google Sans Text"/>
          <w:color w:val="1F1F1F"/>
          <w:sz w:val="24"/>
          <w:szCs w:val="24"/>
        </w:rPr>
        <w:t xml:space="preserve"> Represents a complex, high-use seascape (aquaculture + carbon sink).</w:t>
      </w:r>
    </w:p>
    <w:p w14:paraId="199104F3" w14:textId="77777777" w:rsidR="00931A50" w:rsidRPr="00792B36" w:rsidRDefault="00931A50" w:rsidP="00F61B37">
      <w:pPr>
        <w:numPr>
          <w:ilvl w:val="1"/>
          <w:numId w:val="23"/>
        </w:numPr>
        <w:pBdr>
          <w:top w:val="nil"/>
          <w:left w:val="nil"/>
          <w:bottom w:val="nil"/>
          <w:right w:val="nil"/>
          <w:between w:val="nil"/>
        </w:pBdr>
        <w:spacing w:line="275" w:lineRule="auto"/>
        <w:jc w:val="thaiDistribute"/>
        <w:rPr>
          <w:sz w:val="24"/>
          <w:szCs w:val="24"/>
        </w:rPr>
      </w:pPr>
      <w:r w:rsidRPr="00792B36">
        <w:rPr>
          <w:rFonts w:eastAsia="Google Sans Text"/>
          <w:b/>
          <w:bCs/>
          <w:color w:val="1F1F1F"/>
          <w:sz w:val="24"/>
          <w:szCs w:val="24"/>
        </w:rPr>
        <w:t>Pak Phanang Bay (Nakhon Si Thammarat):</w:t>
      </w:r>
      <w:r w:rsidRPr="00792B36">
        <w:rPr>
          <w:rFonts w:eastAsia="Google Sans Text"/>
          <w:color w:val="1F1F1F"/>
          <w:sz w:val="24"/>
          <w:szCs w:val="24"/>
        </w:rPr>
        <w:t xml:space="preserve"> Represents an estuary affected by hydrological alteration.</w:t>
      </w:r>
    </w:p>
    <w:p w14:paraId="6B779C64" w14:textId="77777777" w:rsidR="00931A50" w:rsidRPr="00792B36" w:rsidRDefault="00931A50" w:rsidP="00F61B37">
      <w:pPr>
        <w:numPr>
          <w:ilvl w:val="1"/>
          <w:numId w:val="23"/>
        </w:numPr>
        <w:pBdr>
          <w:top w:val="nil"/>
          <w:left w:val="nil"/>
          <w:bottom w:val="nil"/>
          <w:right w:val="nil"/>
          <w:between w:val="nil"/>
        </w:pBdr>
        <w:spacing w:line="275" w:lineRule="auto"/>
        <w:jc w:val="thaiDistribute"/>
        <w:rPr>
          <w:sz w:val="24"/>
          <w:szCs w:val="24"/>
        </w:rPr>
      </w:pPr>
      <w:r w:rsidRPr="00792B36">
        <w:rPr>
          <w:rFonts w:eastAsia="Google Sans Text"/>
          <w:b/>
          <w:bCs/>
          <w:color w:val="1F1F1F"/>
          <w:sz w:val="24"/>
          <w:szCs w:val="24"/>
        </w:rPr>
        <w:t>Samut Prakan Coast:</w:t>
      </w:r>
      <w:r w:rsidRPr="00792B36">
        <w:rPr>
          <w:rFonts w:eastAsia="Google Sans Text"/>
          <w:color w:val="1F1F1F"/>
          <w:sz w:val="24"/>
          <w:szCs w:val="24"/>
        </w:rPr>
        <w:t xml:space="preserve"> Represents a "Urban/Industrialized Delta" with extreme pollution stress.</w:t>
      </w:r>
    </w:p>
    <w:p w14:paraId="66B7986B" w14:textId="77777777" w:rsidR="00931A50" w:rsidRPr="00792B36" w:rsidRDefault="00931A50" w:rsidP="00F61B37">
      <w:pPr>
        <w:numPr>
          <w:ilvl w:val="1"/>
          <w:numId w:val="23"/>
        </w:numPr>
        <w:pBdr>
          <w:top w:val="nil"/>
          <w:left w:val="nil"/>
          <w:bottom w:val="nil"/>
          <w:right w:val="nil"/>
          <w:between w:val="nil"/>
        </w:pBdr>
        <w:spacing w:line="275" w:lineRule="auto"/>
        <w:jc w:val="thaiDistribute"/>
        <w:rPr>
          <w:sz w:val="24"/>
          <w:szCs w:val="24"/>
        </w:rPr>
      </w:pPr>
      <w:r w:rsidRPr="00792B36">
        <w:rPr>
          <w:rFonts w:eastAsia="Google Sans Text"/>
          <w:b/>
          <w:bCs/>
          <w:color w:val="1F1F1F"/>
          <w:sz w:val="24"/>
          <w:szCs w:val="24"/>
        </w:rPr>
        <w:t>Don Hoi Lot (Samut Songkhram):</w:t>
      </w:r>
      <w:r w:rsidRPr="00792B36">
        <w:rPr>
          <w:rFonts w:eastAsia="Google Sans Text"/>
          <w:color w:val="1F1F1F"/>
          <w:sz w:val="24"/>
          <w:szCs w:val="24"/>
        </w:rPr>
        <w:t xml:space="preserve"> Represents a Ramsar site with unique biodiversity values.</w:t>
      </w:r>
    </w:p>
    <w:p w14:paraId="2C5F36E2" w14:textId="77777777" w:rsidR="00931A50" w:rsidRPr="00792B36" w:rsidRDefault="00931A50" w:rsidP="00931A50">
      <w:pPr>
        <w:pBdr>
          <w:top w:val="nil"/>
          <w:left w:val="nil"/>
          <w:bottom w:val="nil"/>
          <w:right w:val="nil"/>
          <w:between w:val="nil"/>
        </w:pBdr>
        <w:spacing w:before="240" w:line="275" w:lineRule="auto"/>
        <w:ind w:firstLine="426"/>
        <w:jc w:val="thaiDistribute"/>
        <w:rPr>
          <w:rFonts w:eastAsia="Google Sans Text"/>
          <w:color w:val="1F1F1F"/>
          <w:sz w:val="24"/>
          <w:szCs w:val="24"/>
        </w:rPr>
      </w:pPr>
    </w:p>
    <w:p w14:paraId="5BC95929" w14:textId="77777777" w:rsidR="00931A50" w:rsidRPr="00792B36" w:rsidRDefault="00931A50" w:rsidP="00931A50">
      <w:pPr>
        <w:pStyle w:val="Heading4"/>
        <w:spacing w:before="0" w:after="0" w:line="275" w:lineRule="auto"/>
        <w:ind w:firstLine="426"/>
        <w:jc w:val="thaiDistribute"/>
        <w:rPr>
          <w:rFonts w:eastAsia="Google Sans"/>
          <w:color w:val="1F1F1F"/>
        </w:rPr>
      </w:pPr>
      <w:r w:rsidRPr="00792B36">
        <w:rPr>
          <w:rFonts w:eastAsia="Google Sans"/>
          <w:color w:val="1F1F1F"/>
        </w:rPr>
        <w:t>1.4.3 List of Indicators by Component (Comparative Assessment)</w:t>
      </w:r>
    </w:p>
    <w:p w14:paraId="566E6AA9" w14:textId="77777777" w:rsidR="00931A50" w:rsidRPr="00792B36" w:rsidRDefault="00931A50" w:rsidP="00931A50">
      <w:pPr>
        <w:pBdr>
          <w:top w:val="nil"/>
          <w:left w:val="nil"/>
          <w:bottom w:val="nil"/>
          <w:right w:val="nil"/>
          <w:between w:val="nil"/>
        </w:pBdr>
        <w:spacing w:line="275" w:lineRule="auto"/>
        <w:ind w:firstLine="426"/>
        <w:jc w:val="thaiDistribute"/>
        <w:rPr>
          <w:rFonts w:eastAsia="Google Sans Text"/>
          <w:color w:val="1F1F1F"/>
          <w:sz w:val="24"/>
          <w:szCs w:val="24"/>
        </w:rPr>
      </w:pPr>
      <w:r w:rsidRPr="00792B36">
        <w:rPr>
          <w:rFonts w:eastAsia="Google Sans Text"/>
          <w:color w:val="1F1F1F"/>
          <w:sz w:val="24"/>
          <w:szCs w:val="24"/>
        </w:rPr>
        <w:t>The selection of indicators reflects a paradigm shift from "Resource Exploitation" (2000) to "Ecosystem Health and Resilience" (2025).</w:t>
      </w:r>
    </w:p>
    <w:p w14:paraId="7CEB9C51" w14:textId="77777777" w:rsidR="00931A50" w:rsidRPr="00792B36" w:rsidRDefault="00931A50" w:rsidP="00931A50">
      <w:pPr>
        <w:pBdr>
          <w:top w:val="nil"/>
          <w:left w:val="nil"/>
          <w:bottom w:val="nil"/>
          <w:right w:val="nil"/>
          <w:between w:val="nil"/>
        </w:pBdr>
        <w:spacing w:line="275" w:lineRule="auto"/>
        <w:jc w:val="thaiDistribute"/>
        <w:rPr>
          <w:rFonts w:eastAsia="Google Sans Text"/>
          <w:b/>
          <w:bCs/>
          <w:color w:val="1F1F1F"/>
          <w:sz w:val="24"/>
          <w:szCs w:val="24"/>
        </w:rPr>
      </w:pPr>
    </w:p>
    <w:p w14:paraId="75D8BE18" w14:textId="77777777" w:rsidR="00931A50" w:rsidRPr="00792B36" w:rsidRDefault="00931A50" w:rsidP="00931A50">
      <w:pPr>
        <w:pBdr>
          <w:top w:val="nil"/>
          <w:left w:val="nil"/>
          <w:bottom w:val="nil"/>
          <w:right w:val="nil"/>
          <w:between w:val="nil"/>
        </w:pBdr>
        <w:spacing w:line="275" w:lineRule="auto"/>
        <w:jc w:val="thaiDistribute"/>
        <w:rPr>
          <w:rFonts w:eastAsia="Google Sans Text"/>
          <w:b/>
          <w:bCs/>
          <w:color w:val="1F1F1F"/>
          <w:sz w:val="24"/>
          <w:szCs w:val="24"/>
        </w:rPr>
      </w:pPr>
      <w:r w:rsidRPr="00792B36">
        <w:rPr>
          <w:rFonts w:eastAsia="Google Sans Text"/>
          <w:b/>
          <w:bCs/>
          <w:color w:val="1F1F1F"/>
          <w:sz w:val="24"/>
          <w:szCs w:val="24"/>
        </w:rPr>
        <w:t>Table 1.2 Comparative List of Assessment Indicators (2000 vs. 2025)</w:t>
      </w:r>
    </w:p>
    <w:p w14:paraId="17018380" w14:textId="77777777" w:rsidR="00931A50" w:rsidRPr="00792B36" w:rsidRDefault="00931A50" w:rsidP="00931A50">
      <w:pPr>
        <w:pBdr>
          <w:top w:val="nil"/>
          <w:left w:val="nil"/>
          <w:bottom w:val="nil"/>
          <w:right w:val="nil"/>
          <w:between w:val="nil"/>
        </w:pBdr>
        <w:spacing w:line="275" w:lineRule="auto"/>
        <w:ind w:firstLine="426"/>
        <w:jc w:val="thaiDistribute"/>
        <w:rPr>
          <w:rFonts w:eastAsia="Google Sans Text"/>
          <w:b/>
          <w:bCs/>
          <w:color w:val="1F1F1F"/>
          <w:sz w:val="24"/>
          <w:szCs w:val="24"/>
        </w:rPr>
      </w:pPr>
    </w:p>
    <w:tbl>
      <w:tblPr>
        <w:tblW w:w="936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3120"/>
        <w:gridCol w:w="3120"/>
        <w:gridCol w:w="3120"/>
      </w:tblGrid>
      <w:tr w:rsidR="00931A50" w:rsidRPr="00792B36" w14:paraId="0C706886" w14:textId="77777777" w:rsidTr="0096560E">
        <w:tc>
          <w:tcPr>
            <w:tcW w:w="3120" w:type="dxa"/>
            <w:tcBorders>
              <w:top w:val="single" w:sz="6" w:space="0" w:color="000000"/>
              <w:left w:val="single" w:sz="6" w:space="0" w:color="000000"/>
              <w:bottom w:val="single" w:sz="6" w:space="0" w:color="000000"/>
              <w:right w:val="single" w:sz="6" w:space="0" w:color="000000"/>
            </w:tcBorders>
            <w:shd w:val="clear" w:color="auto" w:fill="F8FAFD"/>
            <w:tcMar>
              <w:top w:w="120" w:type="dxa"/>
              <w:left w:w="180" w:type="dxa"/>
              <w:bottom w:w="120" w:type="dxa"/>
              <w:right w:w="180" w:type="dxa"/>
            </w:tcMar>
            <w:vAlign w:val="center"/>
          </w:tcPr>
          <w:p w14:paraId="301E84D1" w14:textId="77777777" w:rsidR="00931A50" w:rsidRPr="00792B36" w:rsidRDefault="00931A50" w:rsidP="0096560E">
            <w:pPr>
              <w:pBdr>
                <w:top w:val="nil"/>
                <w:left w:val="nil"/>
                <w:bottom w:val="nil"/>
                <w:right w:val="nil"/>
                <w:between w:val="nil"/>
              </w:pBdr>
              <w:spacing w:line="275" w:lineRule="auto"/>
              <w:ind w:firstLine="426"/>
              <w:jc w:val="center"/>
              <w:rPr>
                <w:rFonts w:eastAsia="Google Sans Text"/>
                <w:b/>
                <w:bCs/>
                <w:color w:val="1F1F1F"/>
                <w:sz w:val="24"/>
                <w:szCs w:val="24"/>
              </w:rPr>
            </w:pPr>
            <w:r w:rsidRPr="00792B36">
              <w:rPr>
                <w:rFonts w:eastAsia="Google Sans Text"/>
                <w:b/>
                <w:bCs/>
                <w:color w:val="1F1F1F"/>
                <w:sz w:val="24"/>
                <w:szCs w:val="24"/>
              </w:rPr>
              <w:t>Component</w:t>
            </w:r>
          </w:p>
        </w:tc>
        <w:tc>
          <w:tcPr>
            <w:tcW w:w="3120" w:type="dxa"/>
            <w:tcBorders>
              <w:top w:val="single" w:sz="6" w:space="0" w:color="000000"/>
              <w:left w:val="single" w:sz="6" w:space="0" w:color="000000"/>
              <w:bottom w:val="single" w:sz="6" w:space="0" w:color="000000"/>
              <w:right w:val="single" w:sz="6" w:space="0" w:color="000000"/>
            </w:tcBorders>
            <w:shd w:val="clear" w:color="auto" w:fill="F8FAFD"/>
            <w:tcMar>
              <w:top w:w="120" w:type="dxa"/>
              <w:left w:w="180" w:type="dxa"/>
              <w:bottom w:w="120" w:type="dxa"/>
              <w:right w:w="180" w:type="dxa"/>
            </w:tcMar>
            <w:vAlign w:val="center"/>
          </w:tcPr>
          <w:p w14:paraId="1DDA0C10" w14:textId="77777777" w:rsidR="00931A50" w:rsidRPr="00792B36" w:rsidRDefault="00931A50" w:rsidP="0096560E">
            <w:pPr>
              <w:pBdr>
                <w:top w:val="nil"/>
                <w:left w:val="nil"/>
                <w:bottom w:val="nil"/>
                <w:right w:val="nil"/>
                <w:between w:val="nil"/>
              </w:pBdr>
              <w:spacing w:line="275" w:lineRule="auto"/>
              <w:ind w:firstLine="426"/>
              <w:jc w:val="center"/>
              <w:rPr>
                <w:rFonts w:eastAsia="Google Sans Text"/>
                <w:b/>
                <w:bCs/>
                <w:color w:val="1F1F1F"/>
                <w:sz w:val="24"/>
                <w:szCs w:val="24"/>
              </w:rPr>
            </w:pPr>
            <w:r w:rsidRPr="00792B36">
              <w:rPr>
                <w:rFonts w:eastAsia="Google Sans Text"/>
                <w:b/>
                <w:bCs/>
                <w:color w:val="1F1F1F"/>
                <w:sz w:val="24"/>
                <w:szCs w:val="24"/>
              </w:rPr>
              <w:t>Year 2000 Indicators (Resource Focus)</w:t>
            </w:r>
          </w:p>
        </w:tc>
        <w:tc>
          <w:tcPr>
            <w:tcW w:w="3120" w:type="dxa"/>
            <w:tcBorders>
              <w:top w:val="single" w:sz="6" w:space="0" w:color="000000"/>
              <w:left w:val="single" w:sz="6" w:space="0" w:color="000000"/>
              <w:bottom w:val="single" w:sz="6" w:space="0" w:color="000000"/>
              <w:right w:val="single" w:sz="6" w:space="0" w:color="000000"/>
            </w:tcBorders>
            <w:shd w:val="clear" w:color="auto" w:fill="F8FAFD"/>
            <w:tcMar>
              <w:top w:w="120" w:type="dxa"/>
              <w:left w:w="180" w:type="dxa"/>
              <w:bottom w:w="120" w:type="dxa"/>
              <w:right w:w="180" w:type="dxa"/>
            </w:tcMar>
            <w:vAlign w:val="center"/>
          </w:tcPr>
          <w:p w14:paraId="510D75E3" w14:textId="77777777" w:rsidR="00931A50" w:rsidRPr="00792B36" w:rsidRDefault="00931A50" w:rsidP="0096560E">
            <w:pPr>
              <w:pBdr>
                <w:top w:val="nil"/>
                <w:left w:val="nil"/>
                <w:bottom w:val="nil"/>
                <w:right w:val="nil"/>
                <w:between w:val="nil"/>
              </w:pBdr>
              <w:spacing w:line="275" w:lineRule="auto"/>
              <w:ind w:firstLine="426"/>
              <w:jc w:val="center"/>
              <w:rPr>
                <w:rFonts w:eastAsia="Google Sans Text"/>
                <w:b/>
                <w:bCs/>
                <w:color w:val="1F1F1F"/>
                <w:sz w:val="24"/>
                <w:szCs w:val="24"/>
                <w:lang w:val="en-US"/>
              </w:rPr>
            </w:pPr>
            <w:r w:rsidRPr="00792B36">
              <w:rPr>
                <w:rFonts w:eastAsia="Google Sans Text"/>
                <w:b/>
                <w:bCs/>
                <w:color w:val="1F1F1F"/>
                <w:sz w:val="24"/>
                <w:szCs w:val="24"/>
              </w:rPr>
              <w:t>Year 2025 Indicators (Resilience Focus)</w:t>
            </w:r>
          </w:p>
        </w:tc>
      </w:tr>
      <w:tr w:rsidR="00931A50" w:rsidRPr="00792B36" w14:paraId="508E6F71" w14:textId="77777777" w:rsidTr="0096560E">
        <w:tc>
          <w:tcPr>
            <w:tcW w:w="3120" w:type="dxa"/>
            <w:tcBorders>
              <w:top w:val="single" w:sz="6" w:space="0" w:color="000000"/>
              <w:left w:val="single" w:sz="6" w:space="0" w:color="000000"/>
              <w:bottom w:val="single" w:sz="6" w:space="0" w:color="000000"/>
              <w:right w:val="single" w:sz="6" w:space="0" w:color="000000"/>
            </w:tcBorders>
            <w:shd w:val="clear" w:color="auto" w:fill="F8FAFD"/>
            <w:tcMar>
              <w:top w:w="120" w:type="dxa"/>
              <w:left w:w="180" w:type="dxa"/>
              <w:bottom w:w="120" w:type="dxa"/>
              <w:right w:w="180" w:type="dxa"/>
            </w:tcMar>
          </w:tcPr>
          <w:p w14:paraId="4F66951A" w14:textId="77777777" w:rsidR="00931A50" w:rsidRPr="00792B36" w:rsidRDefault="00931A50" w:rsidP="0096560E">
            <w:pPr>
              <w:pBdr>
                <w:top w:val="nil"/>
                <w:left w:val="nil"/>
                <w:bottom w:val="nil"/>
                <w:right w:val="nil"/>
                <w:between w:val="nil"/>
              </w:pBdr>
              <w:spacing w:line="275" w:lineRule="auto"/>
              <w:rPr>
                <w:rFonts w:eastAsia="Google Sans Text"/>
                <w:b/>
                <w:bCs/>
                <w:color w:val="1F1F1F"/>
                <w:sz w:val="24"/>
                <w:szCs w:val="24"/>
              </w:rPr>
            </w:pPr>
            <w:r w:rsidRPr="00792B36">
              <w:rPr>
                <w:rFonts w:eastAsia="Google Sans Text"/>
                <w:b/>
                <w:bCs/>
                <w:color w:val="1F1F1F"/>
                <w:sz w:val="24"/>
                <w:szCs w:val="24"/>
              </w:rPr>
              <w:t>Fisheries</w:t>
            </w:r>
          </w:p>
        </w:tc>
        <w:tc>
          <w:tcPr>
            <w:tcW w:w="3120" w:type="dxa"/>
            <w:tcBorders>
              <w:top w:val="single" w:sz="6" w:space="0" w:color="000000"/>
              <w:left w:val="single" w:sz="6" w:space="0" w:color="000000"/>
              <w:bottom w:val="single" w:sz="6" w:space="0" w:color="000000"/>
              <w:right w:val="single" w:sz="6" w:space="0" w:color="000000"/>
            </w:tcBorders>
            <w:shd w:val="clear" w:color="auto" w:fill="F8FAFD"/>
            <w:tcMar>
              <w:top w:w="120" w:type="dxa"/>
              <w:left w:w="180" w:type="dxa"/>
              <w:bottom w:w="120" w:type="dxa"/>
              <w:right w:w="180" w:type="dxa"/>
            </w:tcMar>
          </w:tcPr>
          <w:p w14:paraId="2D72D7AB" w14:textId="77777777" w:rsidR="00931A50" w:rsidRPr="00792B36" w:rsidRDefault="00931A50" w:rsidP="0096560E">
            <w:pPr>
              <w:pBdr>
                <w:top w:val="nil"/>
                <w:left w:val="nil"/>
                <w:bottom w:val="nil"/>
                <w:right w:val="nil"/>
                <w:between w:val="nil"/>
              </w:pBdr>
              <w:spacing w:line="275" w:lineRule="auto"/>
              <w:rPr>
                <w:rFonts w:eastAsia="Google Sans Text"/>
                <w:color w:val="1F1F1F"/>
                <w:sz w:val="24"/>
                <w:szCs w:val="24"/>
              </w:rPr>
            </w:pPr>
            <w:r w:rsidRPr="00792B36">
              <w:rPr>
                <w:rFonts w:eastAsia="Google Sans Text"/>
                <w:color w:val="1F1F1F"/>
                <w:sz w:val="24"/>
                <w:szCs w:val="24"/>
              </w:rPr>
              <w:t>- Total Catch Volume (Tonnes)</w:t>
            </w:r>
          </w:p>
          <w:p w14:paraId="29C89111" w14:textId="77777777" w:rsidR="00931A50" w:rsidRPr="00792B36" w:rsidRDefault="00931A50" w:rsidP="0096560E">
            <w:pPr>
              <w:pBdr>
                <w:top w:val="nil"/>
                <w:left w:val="nil"/>
                <w:bottom w:val="nil"/>
                <w:right w:val="nil"/>
                <w:between w:val="nil"/>
              </w:pBdr>
              <w:spacing w:line="275" w:lineRule="auto"/>
              <w:ind w:firstLine="426"/>
              <w:rPr>
                <w:rFonts w:eastAsia="Google Sans Text"/>
                <w:color w:val="1F1F1F"/>
                <w:sz w:val="24"/>
                <w:szCs w:val="24"/>
              </w:rPr>
            </w:pPr>
          </w:p>
          <w:p w14:paraId="0E71F9C4" w14:textId="77777777" w:rsidR="00931A50" w:rsidRPr="00792B36" w:rsidRDefault="00931A50" w:rsidP="0096560E">
            <w:pPr>
              <w:pBdr>
                <w:top w:val="nil"/>
                <w:left w:val="nil"/>
                <w:bottom w:val="nil"/>
                <w:right w:val="nil"/>
                <w:between w:val="nil"/>
              </w:pBdr>
              <w:spacing w:line="275" w:lineRule="auto"/>
              <w:rPr>
                <w:rFonts w:eastAsia="Google Sans Text"/>
                <w:color w:val="1F1F1F"/>
                <w:sz w:val="24"/>
                <w:szCs w:val="24"/>
              </w:rPr>
            </w:pPr>
            <w:r w:rsidRPr="00792B36">
              <w:rPr>
                <w:rFonts w:eastAsia="Google Sans Text"/>
                <w:color w:val="1F1F1F"/>
                <w:sz w:val="24"/>
                <w:szCs w:val="24"/>
              </w:rPr>
              <w:t>- Number of Vessels</w:t>
            </w:r>
          </w:p>
          <w:p w14:paraId="45879DB5" w14:textId="77777777" w:rsidR="00931A50" w:rsidRPr="00792B36" w:rsidRDefault="00931A50" w:rsidP="0096560E">
            <w:pPr>
              <w:pBdr>
                <w:top w:val="nil"/>
                <w:left w:val="nil"/>
                <w:bottom w:val="nil"/>
                <w:right w:val="nil"/>
                <w:between w:val="nil"/>
              </w:pBdr>
              <w:spacing w:line="275" w:lineRule="auto"/>
              <w:ind w:firstLine="426"/>
              <w:rPr>
                <w:rFonts w:eastAsia="Google Sans Text"/>
                <w:color w:val="1F1F1F"/>
                <w:sz w:val="24"/>
                <w:szCs w:val="24"/>
              </w:rPr>
            </w:pPr>
          </w:p>
          <w:p w14:paraId="7EBA09DC" w14:textId="77777777" w:rsidR="00931A50" w:rsidRPr="00792B36" w:rsidRDefault="00931A50" w:rsidP="0096560E">
            <w:pPr>
              <w:pBdr>
                <w:top w:val="nil"/>
                <w:left w:val="nil"/>
                <w:bottom w:val="nil"/>
                <w:right w:val="nil"/>
                <w:between w:val="nil"/>
              </w:pBdr>
              <w:spacing w:line="275" w:lineRule="auto"/>
              <w:rPr>
                <w:rFonts w:eastAsia="Google Sans Text"/>
                <w:color w:val="1F1F1F"/>
                <w:sz w:val="24"/>
                <w:szCs w:val="24"/>
              </w:rPr>
            </w:pPr>
            <w:r w:rsidRPr="00792B36">
              <w:rPr>
                <w:rFonts w:eastAsia="Google Sans Text"/>
                <w:color w:val="1F1F1F"/>
                <w:sz w:val="24"/>
                <w:szCs w:val="24"/>
              </w:rPr>
              <w:t>- CPUE (kg/hr)</w:t>
            </w:r>
          </w:p>
        </w:tc>
        <w:tc>
          <w:tcPr>
            <w:tcW w:w="3120" w:type="dxa"/>
            <w:tcBorders>
              <w:top w:val="single" w:sz="6" w:space="0" w:color="000000"/>
              <w:left w:val="single" w:sz="6" w:space="0" w:color="000000"/>
              <w:bottom w:val="single" w:sz="6" w:space="0" w:color="000000"/>
              <w:right w:val="single" w:sz="6" w:space="0" w:color="000000"/>
            </w:tcBorders>
            <w:shd w:val="clear" w:color="auto" w:fill="F8FAFD"/>
            <w:tcMar>
              <w:top w:w="120" w:type="dxa"/>
              <w:left w:w="180" w:type="dxa"/>
              <w:bottom w:w="120" w:type="dxa"/>
              <w:right w:w="180" w:type="dxa"/>
            </w:tcMar>
          </w:tcPr>
          <w:p w14:paraId="42192659" w14:textId="77777777" w:rsidR="00931A50" w:rsidRPr="00792B36" w:rsidRDefault="00931A50" w:rsidP="0096560E">
            <w:pPr>
              <w:pBdr>
                <w:top w:val="nil"/>
                <w:left w:val="nil"/>
                <w:bottom w:val="nil"/>
                <w:right w:val="nil"/>
                <w:between w:val="nil"/>
              </w:pBdr>
              <w:spacing w:line="275" w:lineRule="auto"/>
              <w:rPr>
                <w:rFonts w:eastAsia="Google Sans Text"/>
                <w:color w:val="1F1F1F"/>
                <w:sz w:val="24"/>
                <w:szCs w:val="24"/>
              </w:rPr>
            </w:pPr>
            <w:r w:rsidRPr="00792B36">
              <w:rPr>
                <w:rFonts w:eastAsia="Google Sans Text"/>
                <w:color w:val="1F1F1F"/>
                <w:sz w:val="24"/>
                <w:szCs w:val="24"/>
              </w:rPr>
              <w:t xml:space="preserve">- </w:t>
            </w:r>
            <w:r w:rsidRPr="00792B36">
              <w:rPr>
                <w:rFonts w:eastAsia="Google Sans Text"/>
                <w:b/>
                <w:bCs/>
                <w:color w:val="1F1F1F"/>
                <w:sz w:val="24"/>
                <w:szCs w:val="24"/>
              </w:rPr>
              <w:t>Catch Composition:</w:t>
            </w:r>
            <w:r w:rsidRPr="00792B36">
              <w:rPr>
                <w:rFonts w:eastAsia="Google Sans Text"/>
                <w:color w:val="1F1F1F"/>
                <w:sz w:val="24"/>
                <w:szCs w:val="24"/>
              </w:rPr>
              <w:t xml:space="preserve"> Ratio of "Trash Fish" vs. Commercial Species</w:t>
            </w:r>
          </w:p>
          <w:p w14:paraId="59E0EDB0" w14:textId="77777777" w:rsidR="00931A50" w:rsidRPr="00792B36" w:rsidRDefault="00931A50" w:rsidP="0096560E">
            <w:pPr>
              <w:pBdr>
                <w:top w:val="nil"/>
                <w:left w:val="nil"/>
                <w:bottom w:val="nil"/>
                <w:right w:val="nil"/>
                <w:between w:val="nil"/>
              </w:pBdr>
              <w:spacing w:line="275" w:lineRule="auto"/>
              <w:ind w:firstLine="426"/>
              <w:rPr>
                <w:rFonts w:eastAsia="Google Sans Text"/>
                <w:color w:val="1F1F1F"/>
                <w:sz w:val="24"/>
                <w:szCs w:val="24"/>
              </w:rPr>
            </w:pPr>
          </w:p>
          <w:p w14:paraId="250B4C1C" w14:textId="77777777" w:rsidR="00931A50" w:rsidRPr="00792B36" w:rsidRDefault="00931A50" w:rsidP="0096560E">
            <w:pPr>
              <w:pBdr>
                <w:top w:val="nil"/>
                <w:left w:val="nil"/>
                <w:bottom w:val="nil"/>
                <w:right w:val="nil"/>
                <w:between w:val="nil"/>
              </w:pBdr>
              <w:spacing w:line="275" w:lineRule="auto"/>
              <w:rPr>
                <w:rFonts w:eastAsia="Google Sans Text"/>
                <w:color w:val="1F1F1F"/>
                <w:sz w:val="24"/>
                <w:szCs w:val="24"/>
              </w:rPr>
            </w:pPr>
            <w:r w:rsidRPr="00792B36">
              <w:rPr>
                <w:rFonts w:eastAsia="Google Sans Text"/>
                <w:color w:val="1F1F1F"/>
                <w:sz w:val="24"/>
                <w:szCs w:val="24"/>
              </w:rPr>
              <w:t xml:space="preserve">- </w:t>
            </w:r>
            <w:r w:rsidRPr="00792B36">
              <w:rPr>
                <w:rFonts w:eastAsia="Google Sans Text"/>
                <w:b/>
                <w:bCs/>
                <w:color w:val="1F1F1F"/>
                <w:sz w:val="24"/>
                <w:szCs w:val="24"/>
              </w:rPr>
              <w:t>Effort Control:</w:t>
            </w:r>
            <w:r w:rsidRPr="00792B36">
              <w:rPr>
                <w:rFonts w:eastAsia="Google Sans Text"/>
                <w:color w:val="1F1F1F"/>
                <w:sz w:val="24"/>
                <w:szCs w:val="24"/>
              </w:rPr>
              <w:t xml:space="preserve"> "Fishing Days" per vessel class</w:t>
            </w:r>
          </w:p>
          <w:p w14:paraId="3D73997A" w14:textId="77777777" w:rsidR="00931A50" w:rsidRPr="00792B36" w:rsidRDefault="00931A50" w:rsidP="0096560E">
            <w:pPr>
              <w:pBdr>
                <w:top w:val="nil"/>
                <w:left w:val="nil"/>
                <w:bottom w:val="nil"/>
                <w:right w:val="nil"/>
                <w:between w:val="nil"/>
              </w:pBdr>
              <w:spacing w:line="275" w:lineRule="auto"/>
              <w:ind w:firstLine="426"/>
              <w:rPr>
                <w:rFonts w:eastAsia="Google Sans Text"/>
                <w:color w:val="1F1F1F"/>
                <w:sz w:val="24"/>
                <w:szCs w:val="24"/>
              </w:rPr>
            </w:pPr>
          </w:p>
          <w:p w14:paraId="16D3A5DB" w14:textId="77777777" w:rsidR="00931A50" w:rsidRPr="00792B36" w:rsidRDefault="00931A50" w:rsidP="0096560E">
            <w:pPr>
              <w:pBdr>
                <w:top w:val="nil"/>
                <w:left w:val="nil"/>
                <w:bottom w:val="nil"/>
                <w:right w:val="nil"/>
                <w:between w:val="nil"/>
              </w:pBdr>
              <w:spacing w:line="275" w:lineRule="auto"/>
              <w:rPr>
                <w:rFonts w:eastAsia="Google Sans Text"/>
                <w:color w:val="1F1F1F"/>
                <w:sz w:val="24"/>
                <w:szCs w:val="24"/>
              </w:rPr>
            </w:pPr>
            <w:r w:rsidRPr="00792B36">
              <w:rPr>
                <w:rFonts w:eastAsia="Google Sans Text"/>
                <w:color w:val="1F1F1F"/>
                <w:sz w:val="24"/>
                <w:szCs w:val="24"/>
              </w:rPr>
              <w:t xml:space="preserve">- </w:t>
            </w:r>
            <w:r w:rsidRPr="00792B36">
              <w:rPr>
                <w:rFonts w:eastAsia="Google Sans Text"/>
                <w:b/>
                <w:bCs/>
                <w:color w:val="1F1F1F"/>
                <w:sz w:val="24"/>
                <w:szCs w:val="24"/>
              </w:rPr>
              <w:t>Stock Health:</w:t>
            </w:r>
            <w:r w:rsidRPr="00792B36">
              <w:rPr>
                <w:rFonts w:eastAsia="Google Sans Text"/>
                <w:color w:val="1F1F1F"/>
                <w:sz w:val="24"/>
                <w:szCs w:val="24"/>
              </w:rPr>
              <w:t xml:space="preserve"> Spawning Stock Biomass (SSB) trends</w:t>
            </w:r>
          </w:p>
        </w:tc>
      </w:tr>
      <w:tr w:rsidR="00931A50" w:rsidRPr="00792B36" w14:paraId="165E3243" w14:textId="77777777" w:rsidTr="0096560E">
        <w:tc>
          <w:tcPr>
            <w:tcW w:w="3120" w:type="dxa"/>
            <w:tcBorders>
              <w:top w:val="single" w:sz="6" w:space="0" w:color="000000"/>
              <w:left w:val="single" w:sz="6" w:space="0" w:color="000000"/>
              <w:bottom w:val="single" w:sz="6" w:space="0" w:color="000000"/>
              <w:right w:val="single" w:sz="6" w:space="0" w:color="000000"/>
            </w:tcBorders>
            <w:shd w:val="clear" w:color="auto" w:fill="F8FAFD"/>
            <w:tcMar>
              <w:top w:w="120" w:type="dxa"/>
              <w:left w:w="180" w:type="dxa"/>
              <w:bottom w:w="120" w:type="dxa"/>
              <w:right w:w="180" w:type="dxa"/>
            </w:tcMar>
          </w:tcPr>
          <w:p w14:paraId="03561453" w14:textId="77777777" w:rsidR="00931A50" w:rsidRPr="00792B36" w:rsidRDefault="00931A50" w:rsidP="0096560E">
            <w:pPr>
              <w:pBdr>
                <w:top w:val="nil"/>
                <w:left w:val="nil"/>
                <w:bottom w:val="nil"/>
                <w:right w:val="nil"/>
                <w:between w:val="nil"/>
              </w:pBdr>
              <w:spacing w:line="275" w:lineRule="auto"/>
              <w:rPr>
                <w:rFonts w:eastAsia="Google Sans Text"/>
                <w:b/>
                <w:bCs/>
                <w:color w:val="1F1F1F"/>
                <w:sz w:val="24"/>
                <w:szCs w:val="24"/>
              </w:rPr>
            </w:pPr>
            <w:r w:rsidRPr="00792B36">
              <w:rPr>
                <w:rFonts w:eastAsia="Google Sans Text"/>
                <w:b/>
                <w:bCs/>
                <w:color w:val="1F1F1F"/>
                <w:sz w:val="24"/>
                <w:szCs w:val="24"/>
              </w:rPr>
              <w:lastRenderedPageBreak/>
              <w:t>Mangroves</w:t>
            </w:r>
          </w:p>
        </w:tc>
        <w:tc>
          <w:tcPr>
            <w:tcW w:w="3120" w:type="dxa"/>
            <w:tcBorders>
              <w:top w:val="single" w:sz="6" w:space="0" w:color="000000"/>
              <w:left w:val="single" w:sz="6" w:space="0" w:color="000000"/>
              <w:bottom w:val="single" w:sz="6" w:space="0" w:color="000000"/>
              <w:right w:val="single" w:sz="6" w:space="0" w:color="000000"/>
            </w:tcBorders>
            <w:shd w:val="clear" w:color="auto" w:fill="F8FAFD"/>
            <w:tcMar>
              <w:top w:w="120" w:type="dxa"/>
              <w:left w:w="180" w:type="dxa"/>
              <w:bottom w:w="120" w:type="dxa"/>
              <w:right w:w="180" w:type="dxa"/>
            </w:tcMar>
          </w:tcPr>
          <w:p w14:paraId="18567891" w14:textId="77777777" w:rsidR="00931A50" w:rsidRPr="00792B36" w:rsidRDefault="00931A50" w:rsidP="0096560E">
            <w:pPr>
              <w:pBdr>
                <w:top w:val="nil"/>
                <w:left w:val="nil"/>
                <w:bottom w:val="nil"/>
                <w:right w:val="nil"/>
                <w:between w:val="nil"/>
              </w:pBdr>
              <w:spacing w:line="275" w:lineRule="auto"/>
              <w:rPr>
                <w:rFonts w:eastAsia="Google Sans Text"/>
                <w:color w:val="1F1F1F"/>
                <w:sz w:val="24"/>
                <w:szCs w:val="24"/>
              </w:rPr>
            </w:pPr>
            <w:r w:rsidRPr="00792B36">
              <w:rPr>
                <w:rFonts w:eastAsia="Google Sans Text"/>
                <w:color w:val="1F1F1F"/>
                <w:sz w:val="24"/>
                <w:szCs w:val="24"/>
              </w:rPr>
              <w:t>- Total Forest Area (ha)</w:t>
            </w:r>
          </w:p>
          <w:p w14:paraId="485BFFEF" w14:textId="77777777" w:rsidR="00931A50" w:rsidRPr="00792B36" w:rsidRDefault="00931A50" w:rsidP="0096560E">
            <w:pPr>
              <w:pBdr>
                <w:top w:val="nil"/>
                <w:left w:val="nil"/>
                <w:bottom w:val="nil"/>
                <w:right w:val="nil"/>
                <w:between w:val="nil"/>
              </w:pBdr>
              <w:spacing w:line="275" w:lineRule="auto"/>
              <w:ind w:firstLine="426"/>
              <w:rPr>
                <w:rFonts w:eastAsia="Google Sans Text"/>
                <w:color w:val="1F1F1F"/>
                <w:sz w:val="24"/>
                <w:szCs w:val="24"/>
              </w:rPr>
            </w:pPr>
          </w:p>
          <w:p w14:paraId="0C764294" w14:textId="77777777" w:rsidR="00931A50" w:rsidRPr="00792B36" w:rsidRDefault="00931A50" w:rsidP="0096560E">
            <w:pPr>
              <w:pBdr>
                <w:top w:val="nil"/>
                <w:left w:val="nil"/>
                <w:bottom w:val="nil"/>
                <w:right w:val="nil"/>
                <w:between w:val="nil"/>
              </w:pBdr>
              <w:spacing w:line="275" w:lineRule="auto"/>
              <w:rPr>
                <w:rFonts w:eastAsia="Google Sans Text"/>
                <w:color w:val="1F1F1F"/>
                <w:sz w:val="24"/>
                <w:szCs w:val="24"/>
              </w:rPr>
            </w:pPr>
            <w:r w:rsidRPr="00792B36">
              <w:rPr>
                <w:rFonts w:eastAsia="Google Sans Text"/>
                <w:color w:val="1F1F1F"/>
                <w:sz w:val="24"/>
                <w:szCs w:val="24"/>
              </w:rPr>
              <w:t>- Rate of Deforestation</w:t>
            </w:r>
          </w:p>
          <w:p w14:paraId="2FE4D792" w14:textId="77777777" w:rsidR="00931A50" w:rsidRPr="00792B36" w:rsidRDefault="00931A50" w:rsidP="0096560E">
            <w:pPr>
              <w:pBdr>
                <w:top w:val="nil"/>
                <w:left w:val="nil"/>
                <w:bottom w:val="nil"/>
                <w:right w:val="nil"/>
                <w:between w:val="nil"/>
              </w:pBdr>
              <w:spacing w:line="275" w:lineRule="auto"/>
              <w:ind w:firstLine="426"/>
              <w:rPr>
                <w:rFonts w:eastAsia="Google Sans Text"/>
                <w:color w:val="1F1F1F"/>
                <w:sz w:val="24"/>
                <w:szCs w:val="24"/>
              </w:rPr>
            </w:pPr>
          </w:p>
          <w:p w14:paraId="792ED187" w14:textId="77777777" w:rsidR="00931A50" w:rsidRPr="00792B36" w:rsidRDefault="00931A50" w:rsidP="0096560E">
            <w:pPr>
              <w:pBdr>
                <w:top w:val="nil"/>
                <w:left w:val="nil"/>
                <w:bottom w:val="nil"/>
                <w:right w:val="nil"/>
                <w:between w:val="nil"/>
              </w:pBdr>
              <w:spacing w:line="275" w:lineRule="auto"/>
              <w:rPr>
                <w:rFonts w:eastAsia="Google Sans Text"/>
                <w:color w:val="1F1F1F"/>
                <w:sz w:val="24"/>
                <w:szCs w:val="24"/>
              </w:rPr>
            </w:pPr>
            <w:r w:rsidRPr="00792B36">
              <w:rPr>
                <w:rFonts w:eastAsia="Google Sans Text"/>
                <w:color w:val="1F1F1F"/>
                <w:sz w:val="24"/>
                <w:szCs w:val="24"/>
              </w:rPr>
              <w:t>- Charcoal/Timber Production</w:t>
            </w:r>
          </w:p>
        </w:tc>
        <w:tc>
          <w:tcPr>
            <w:tcW w:w="3120" w:type="dxa"/>
            <w:tcBorders>
              <w:top w:val="single" w:sz="6" w:space="0" w:color="000000"/>
              <w:left w:val="single" w:sz="6" w:space="0" w:color="000000"/>
              <w:bottom w:val="single" w:sz="6" w:space="0" w:color="000000"/>
              <w:right w:val="single" w:sz="6" w:space="0" w:color="000000"/>
            </w:tcBorders>
            <w:shd w:val="clear" w:color="auto" w:fill="F8FAFD"/>
            <w:tcMar>
              <w:top w:w="120" w:type="dxa"/>
              <w:left w:w="180" w:type="dxa"/>
              <w:bottom w:w="120" w:type="dxa"/>
              <w:right w:w="180" w:type="dxa"/>
            </w:tcMar>
          </w:tcPr>
          <w:p w14:paraId="142931EA" w14:textId="77777777" w:rsidR="00931A50" w:rsidRPr="00792B36" w:rsidRDefault="00931A50" w:rsidP="0096560E">
            <w:pPr>
              <w:pBdr>
                <w:top w:val="nil"/>
                <w:left w:val="nil"/>
                <w:bottom w:val="nil"/>
                <w:right w:val="nil"/>
                <w:between w:val="nil"/>
              </w:pBdr>
              <w:spacing w:line="275" w:lineRule="auto"/>
              <w:rPr>
                <w:rFonts w:eastAsia="Google Sans Text"/>
                <w:color w:val="1F1F1F"/>
                <w:sz w:val="24"/>
                <w:szCs w:val="24"/>
              </w:rPr>
            </w:pPr>
            <w:r w:rsidRPr="00792B36">
              <w:rPr>
                <w:rFonts w:eastAsia="Google Sans Text"/>
                <w:color w:val="1F1F1F"/>
                <w:sz w:val="24"/>
                <w:szCs w:val="24"/>
              </w:rPr>
              <w:t xml:space="preserve">- </w:t>
            </w:r>
            <w:r w:rsidRPr="00792B36">
              <w:rPr>
                <w:rFonts w:eastAsia="Google Sans Text"/>
                <w:b/>
                <w:bCs/>
                <w:color w:val="1F1F1F"/>
                <w:sz w:val="24"/>
                <w:szCs w:val="24"/>
              </w:rPr>
              <w:t>Blue Carbon Stock:</w:t>
            </w:r>
            <w:r w:rsidRPr="00792B36">
              <w:rPr>
                <w:rFonts w:eastAsia="Google Sans Text"/>
                <w:color w:val="1F1F1F"/>
                <w:sz w:val="24"/>
                <w:szCs w:val="24"/>
              </w:rPr>
              <w:t xml:space="preserve"> Soil Organic Carbon (tonnes C/ha)</w:t>
            </w:r>
          </w:p>
          <w:p w14:paraId="0B6C99E1" w14:textId="77777777" w:rsidR="00931A50" w:rsidRPr="00792B36" w:rsidRDefault="00931A50" w:rsidP="0096560E">
            <w:pPr>
              <w:pBdr>
                <w:top w:val="nil"/>
                <w:left w:val="nil"/>
                <w:bottom w:val="nil"/>
                <w:right w:val="nil"/>
                <w:between w:val="nil"/>
              </w:pBdr>
              <w:spacing w:line="275" w:lineRule="auto"/>
              <w:ind w:firstLine="426"/>
              <w:rPr>
                <w:rFonts w:eastAsia="Google Sans Text"/>
                <w:color w:val="1F1F1F"/>
                <w:sz w:val="24"/>
                <w:szCs w:val="24"/>
              </w:rPr>
            </w:pPr>
          </w:p>
          <w:p w14:paraId="6058053C" w14:textId="77777777" w:rsidR="00931A50" w:rsidRPr="00792B36" w:rsidRDefault="00931A50" w:rsidP="0096560E">
            <w:pPr>
              <w:pBdr>
                <w:top w:val="nil"/>
                <w:left w:val="nil"/>
                <w:bottom w:val="nil"/>
                <w:right w:val="nil"/>
                <w:between w:val="nil"/>
              </w:pBdr>
              <w:spacing w:line="275" w:lineRule="auto"/>
              <w:rPr>
                <w:rFonts w:eastAsia="Google Sans Text"/>
                <w:color w:val="1F1F1F"/>
                <w:sz w:val="24"/>
                <w:szCs w:val="24"/>
              </w:rPr>
            </w:pPr>
            <w:r w:rsidRPr="00792B36">
              <w:rPr>
                <w:rFonts w:eastAsia="Google Sans Text"/>
                <w:color w:val="1F1F1F"/>
                <w:sz w:val="24"/>
                <w:szCs w:val="24"/>
              </w:rPr>
              <w:t xml:space="preserve">- </w:t>
            </w:r>
            <w:r w:rsidRPr="00792B36">
              <w:rPr>
                <w:rFonts w:eastAsia="Google Sans Text"/>
                <w:b/>
                <w:bCs/>
                <w:color w:val="1F1F1F"/>
                <w:sz w:val="24"/>
                <w:szCs w:val="24"/>
              </w:rPr>
              <w:t>Biodiversity:</w:t>
            </w:r>
            <w:r w:rsidRPr="00792B36">
              <w:rPr>
                <w:rFonts w:eastAsia="Google Sans Text"/>
                <w:color w:val="1F1F1F"/>
                <w:sz w:val="24"/>
                <w:szCs w:val="24"/>
              </w:rPr>
              <w:t xml:space="preserve"> Species Diversity Indices (Shannon-Wiener)</w:t>
            </w:r>
          </w:p>
          <w:p w14:paraId="2BCDA6FD" w14:textId="77777777" w:rsidR="00931A50" w:rsidRPr="00792B36" w:rsidRDefault="00931A50" w:rsidP="0096560E">
            <w:pPr>
              <w:pBdr>
                <w:top w:val="nil"/>
                <w:left w:val="nil"/>
                <w:bottom w:val="nil"/>
                <w:right w:val="nil"/>
                <w:between w:val="nil"/>
              </w:pBdr>
              <w:spacing w:line="275" w:lineRule="auto"/>
              <w:ind w:firstLine="426"/>
              <w:rPr>
                <w:rFonts w:eastAsia="Google Sans Text"/>
                <w:color w:val="1F1F1F"/>
                <w:sz w:val="24"/>
                <w:szCs w:val="24"/>
              </w:rPr>
            </w:pPr>
          </w:p>
          <w:p w14:paraId="0B8C09BC" w14:textId="77777777" w:rsidR="00931A50" w:rsidRPr="00792B36" w:rsidRDefault="00931A50" w:rsidP="0096560E">
            <w:pPr>
              <w:pBdr>
                <w:top w:val="nil"/>
                <w:left w:val="nil"/>
                <w:bottom w:val="nil"/>
                <w:right w:val="nil"/>
                <w:between w:val="nil"/>
              </w:pBdr>
              <w:spacing w:line="275" w:lineRule="auto"/>
              <w:rPr>
                <w:rFonts w:eastAsia="Google Sans Text"/>
                <w:color w:val="1F1F1F"/>
                <w:sz w:val="24"/>
                <w:szCs w:val="24"/>
              </w:rPr>
            </w:pPr>
            <w:r w:rsidRPr="00792B36">
              <w:rPr>
                <w:rFonts w:eastAsia="Google Sans Text"/>
                <w:color w:val="1F1F1F"/>
                <w:sz w:val="24"/>
                <w:szCs w:val="24"/>
              </w:rPr>
              <w:t xml:space="preserve">- </w:t>
            </w:r>
            <w:r w:rsidRPr="00792B36">
              <w:rPr>
                <w:rFonts w:eastAsia="Google Sans Text"/>
                <w:b/>
                <w:bCs/>
                <w:color w:val="1F1F1F"/>
                <w:sz w:val="24"/>
                <w:szCs w:val="24"/>
              </w:rPr>
              <w:t>Regeneration:</w:t>
            </w:r>
            <w:r w:rsidRPr="00792B36">
              <w:rPr>
                <w:rFonts w:eastAsia="Google Sans Text"/>
                <w:color w:val="1F1F1F"/>
                <w:sz w:val="24"/>
                <w:szCs w:val="24"/>
              </w:rPr>
              <w:t xml:space="preserve"> Seedling density and restoration success rate</w:t>
            </w:r>
          </w:p>
        </w:tc>
      </w:tr>
      <w:tr w:rsidR="00931A50" w:rsidRPr="00792B36" w14:paraId="55D2E727" w14:textId="77777777" w:rsidTr="0096560E">
        <w:tc>
          <w:tcPr>
            <w:tcW w:w="3120" w:type="dxa"/>
            <w:tcBorders>
              <w:top w:val="single" w:sz="6" w:space="0" w:color="000000"/>
              <w:left w:val="single" w:sz="6" w:space="0" w:color="000000"/>
              <w:bottom w:val="single" w:sz="6" w:space="0" w:color="000000"/>
              <w:right w:val="single" w:sz="6" w:space="0" w:color="000000"/>
            </w:tcBorders>
            <w:shd w:val="clear" w:color="auto" w:fill="F8FAFD"/>
            <w:tcMar>
              <w:top w:w="120" w:type="dxa"/>
              <w:left w:w="180" w:type="dxa"/>
              <w:bottom w:w="120" w:type="dxa"/>
              <w:right w:w="180" w:type="dxa"/>
            </w:tcMar>
          </w:tcPr>
          <w:p w14:paraId="36BAFA53" w14:textId="77777777" w:rsidR="00931A50" w:rsidRPr="00792B36" w:rsidRDefault="00931A50" w:rsidP="0096560E">
            <w:pPr>
              <w:pBdr>
                <w:top w:val="nil"/>
                <w:left w:val="nil"/>
                <w:bottom w:val="nil"/>
                <w:right w:val="nil"/>
                <w:between w:val="nil"/>
              </w:pBdr>
              <w:spacing w:line="275" w:lineRule="auto"/>
              <w:rPr>
                <w:rFonts w:eastAsia="Google Sans Text"/>
                <w:b/>
                <w:bCs/>
                <w:color w:val="1F1F1F"/>
                <w:sz w:val="24"/>
                <w:szCs w:val="24"/>
              </w:rPr>
            </w:pPr>
            <w:r w:rsidRPr="00792B36">
              <w:rPr>
                <w:rFonts w:eastAsia="Google Sans Text"/>
                <w:b/>
                <w:bCs/>
                <w:color w:val="1F1F1F"/>
                <w:sz w:val="24"/>
                <w:szCs w:val="24"/>
              </w:rPr>
              <w:t>Coral Reefs</w:t>
            </w:r>
          </w:p>
        </w:tc>
        <w:tc>
          <w:tcPr>
            <w:tcW w:w="3120" w:type="dxa"/>
            <w:tcBorders>
              <w:top w:val="single" w:sz="6" w:space="0" w:color="000000"/>
              <w:left w:val="single" w:sz="6" w:space="0" w:color="000000"/>
              <w:bottom w:val="single" w:sz="6" w:space="0" w:color="000000"/>
              <w:right w:val="single" w:sz="6" w:space="0" w:color="000000"/>
            </w:tcBorders>
            <w:shd w:val="clear" w:color="auto" w:fill="F8FAFD"/>
            <w:tcMar>
              <w:top w:w="120" w:type="dxa"/>
              <w:left w:w="180" w:type="dxa"/>
              <w:bottom w:w="120" w:type="dxa"/>
              <w:right w:w="180" w:type="dxa"/>
            </w:tcMar>
          </w:tcPr>
          <w:p w14:paraId="3E220EA8" w14:textId="77777777" w:rsidR="00931A50" w:rsidRPr="00792B36" w:rsidRDefault="00931A50" w:rsidP="0096560E">
            <w:pPr>
              <w:pBdr>
                <w:top w:val="nil"/>
                <w:left w:val="nil"/>
                <w:bottom w:val="nil"/>
                <w:right w:val="nil"/>
                <w:between w:val="nil"/>
              </w:pBdr>
              <w:spacing w:line="275" w:lineRule="auto"/>
              <w:rPr>
                <w:rFonts w:eastAsia="Google Sans Text"/>
                <w:color w:val="1F1F1F"/>
                <w:sz w:val="24"/>
                <w:szCs w:val="24"/>
              </w:rPr>
            </w:pPr>
            <w:r w:rsidRPr="00792B36">
              <w:rPr>
                <w:rFonts w:eastAsia="Google Sans Text"/>
                <w:color w:val="1F1F1F"/>
                <w:sz w:val="24"/>
                <w:szCs w:val="24"/>
              </w:rPr>
              <w:t>- Percentage of Dead Coral</w:t>
            </w:r>
          </w:p>
          <w:p w14:paraId="3B9907F7" w14:textId="77777777" w:rsidR="00931A50" w:rsidRPr="00792B36" w:rsidRDefault="00931A50" w:rsidP="0096560E">
            <w:pPr>
              <w:pBdr>
                <w:top w:val="nil"/>
                <w:left w:val="nil"/>
                <w:bottom w:val="nil"/>
                <w:right w:val="nil"/>
                <w:between w:val="nil"/>
              </w:pBdr>
              <w:spacing w:line="275" w:lineRule="auto"/>
              <w:ind w:firstLine="426"/>
              <w:rPr>
                <w:rFonts w:eastAsia="Google Sans Text"/>
                <w:color w:val="1F1F1F"/>
                <w:sz w:val="24"/>
                <w:szCs w:val="24"/>
              </w:rPr>
            </w:pPr>
          </w:p>
          <w:p w14:paraId="78D36CC3" w14:textId="77777777" w:rsidR="00931A50" w:rsidRPr="00792B36" w:rsidRDefault="00931A50" w:rsidP="0096560E">
            <w:pPr>
              <w:pBdr>
                <w:top w:val="nil"/>
                <w:left w:val="nil"/>
                <w:bottom w:val="nil"/>
                <w:right w:val="nil"/>
                <w:between w:val="nil"/>
              </w:pBdr>
              <w:spacing w:line="275" w:lineRule="auto"/>
              <w:rPr>
                <w:rFonts w:eastAsia="Google Sans Text"/>
                <w:color w:val="1F1F1F"/>
                <w:sz w:val="24"/>
                <w:szCs w:val="24"/>
              </w:rPr>
            </w:pPr>
            <w:r w:rsidRPr="00792B36">
              <w:rPr>
                <w:rFonts w:eastAsia="Google Sans Text"/>
                <w:color w:val="1F1F1F"/>
                <w:sz w:val="24"/>
                <w:szCs w:val="24"/>
              </w:rPr>
              <w:t>- Physical Damage (Dynamite/Anchors)</w:t>
            </w:r>
          </w:p>
        </w:tc>
        <w:tc>
          <w:tcPr>
            <w:tcW w:w="3120" w:type="dxa"/>
            <w:tcBorders>
              <w:top w:val="single" w:sz="6" w:space="0" w:color="000000"/>
              <w:left w:val="single" w:sz="6" w:space="0" w:color="000000"/>
              <w:bottom w:val="single" w:sz="6" w:space="0" w:color="000000"/>
              <w:right w:val="single" w:sz="6" w:space="0" w:color="000000"/>
            </w:tcBorders>
            <w:shd w:val="clear" w:color="auto" w:fill="F8FAFD"/>
            <w:tcMar>
              <w:top w:w="120" w:type="dxa"/>
              <w:left w:w="180" w:type="dxa"/>
              <w:bottom w:w="120" w:type="dxa"/>
              <w:right w:w="180" w:type="dxa"/>
            </w:tcMar>
          </w:tcPr>
          <w:p w14:paraId="62007378" w14:textId="77777777" w:rsidR="00931A50" w:rsidRPr="00792B36" w:rsidRDefault="00931A50" w:rsidP="0096560E">
            <w:pPr>
              <w:pBdr>
                <w:top w:val="nil"/>
                <w:left w:val="nil"/>
                <w:bottom w:val="nil"/>
                <w:right w:val="nil"/>
                <w:between w:val="nil"/>
              </w:pBdr>
              <w:spacing w:line="275" w:lineRule="auto"/>
              <w:rPr>
                <w:rFonts w:eastAsia="Google Sans Text"/>
                <w:color w:val="1F1F1F"/>
                <w:sz w:val="24"/>
                <w:szCs w:val="24"/>
              </w:rPr>
            </w:pPr>
            <w:r w:rsidRPr="00792B36">
              <w:rPr>
                <w:rFonts w:eastAsia="Google Sans Text"/>
                <w:color w:val="1F1F1F"/>
                <w:sz w:val="24"/>
                <w:szCs w:val="24"/>
              </w:rPr>
              <w:t xml:space="preserve">- </w:t>
            </w:r>
            <w:r w:rsidRPr="00792B36">
              <w:rPr>
                <w:rFonts w:eastAsia="Google Sans Text"/>
                <w:b/>
                <w:bCs/>
                <w:color w:val="1F1F1F"/>
                <w:sz w:val="24"/>
                <w:szCs w:val="24"/>
              </w:rPr>
              <w:t>Live Coral Cover (%)</w:t>
            </w:r>
            <w:r w:rsidRPr="00792B36">
              <w:rPr>
                <w:rFonts w:eastAsia="Google Sans Text"/>
                <w:color w:val="1F1F1F"/>
                <w:sz w:val="24"/>
                <w:szCs w:val="24"/>
              </w:rPr>
              <w:t xml:space="preserve"> stratified by depth</w:t>
            </w:r>
          </w:p>
          <w:p w14:paraId="465A9B62" w14:textId="77777777" w:rsidR="00931A50" w:rsidRPr="00792B36" w:rsidRDefault="00931A50" w:rsidP="0096560E">
            <w:pPr>
              <w:pBdr>
                <w:top w:val="nil"/>
                <w:left w:val="nil"/>
                <w:bottom w:val="nil"/>
                <w:right w:val="nil"/>
                <w:between w:val="nil"/>
              </w:pBdr>
              <w:spacing w:line="275" w:lineRule="auto"/>
              <w:ind w:firstLine="426"/>
              <w:rPr>
                <w:rFonts w:eastAsia="Google Sans Text"/>
                <w:color w:val="1F1F1F"/>
                <w:sz w:val="24"/>
                <w:szCs w:val="24"/>
              </w:rPr>
            </w:pPr>
          </w:p>
          <w:p w14:paraId="1D07E1CF" w14:textId="77777777" w:rsidR="00931A50" w:rsidRPr="00792B36" w:rsidRDefault="00931A50" w:rsidP="0096560E">
            <w:pPr>
              <w:pBdr>
                <w:top w:val="nil"/>
                <w:left w:val="nil"/>
                <w:bottom w:val="nil"/>
                <w:right w:val="nil"/>
                <w:between w:val="nil"/>
              </w:pBdr>
              <w:spacing w:line="275" w:lineRule="auto"/>
              <w:rPr>
                <w:rFonts w:eastAsia="Google Sans Text"/>
                <w:color w:val="1F1F1F"/>
                <w:sz w:val="24"/>
                <w:szCs w:val="24"/>
              </w:rPr>
            </w:pPr>
            <w:r w:rsidRPr="00792B36">
              <w:rPr>
                <w:rFonts w:eastAsia="Google Sans Text"/>
                <w:color w:val="1F1F1F"/>
                <w:sz w:val="24"/>
                <w:szCs w:val="24"/>
              </w:rPr>
              <w:t xml:space="preserve">- </w:t>
            </w:r>
            <w:r w:rsidRPr="00792B36">
              <w:rPr>
                <w:rFonts w:eastAsia="Google Sans Text"/>
                <w:b/>
                <w:bCs/>
                <w:color w:val="1F1F1F"/>
                <w:sz w:val="24"/>
                <w:szCs w:val="24"/>
              </w:rPr>
              <w:t>Resilience:</w:t>
            </w:r>
            <w:r w:rsidRPr="00792B36">
              <w:rPr>
                <w:rFonts w:eastAsia="Google Sans Text"/>
                <w:color w:val="1F1F1F"/>
                <w:sz w:val="24"/>
                <w:szCs w:val="24"/>
              </w:rPr>
              <w:t xml:space="preserve"> Dominance of stress-tolerant forms (</w:t>
            </w:r>
            <w:r w:rsidRPr="00792B36">
              <w:rPr>
                <w:rFonts w:eastAsia="Google Sans Text"/>
                <w:i/>
                <w:iCs/>
                <w:color w:val="1F1F1F"/>
                <w:sz w:val="24"/>
                <w:szCs w:val="24"/>
              </w:rPr>
              <w:t>Porites</w:t>
            </w:r>
            <w:r w:rsidRPr="00792B36">
              <w:rPr>
                <w:rFonts w:eastAsia="Google Sans Text"/>
                <w:color w:val="1F1F1F"/>
                <w:sz w:val="24"/>
                <w:szCs w:val="24"/>
              </w:rPr>
              <w:t xml:space="preserve"> spp.)</w:t>
            </w:r>
          </w:p>
          <w:p w14:paraId="526E888E" w14:textId="77777777" w:rsidR="00931A50" w:rsidRPr="00792B36" w:rsidRDefault="00931A50" w:rsidP="0096560E">
            <w:pPr>
              <w:pBdr>
                <w:top w:val="nil"/>
                <w:left w:val="nil"/>
                <w:bottom w:val="nil"/>
                <w:right w:val="nil"/>
                <w:between w:val="nil"/>
              </w:pBdr>
              <w:spacing w:line="275" w:lineRule="auto"/>
              <w:ind w:firstLine="426"/>
              <w:rPr>
                <w:rFonts w:eastAsia="Google Sans Text"/>
                <w:color w:val="1F1F1F"/>
                <w:sz w:val="24"/>
                <w:szCs w:val="24"/>
              </w:rPr>
            </w:pPr>
          </w:p>
          <w:p w14:paraId="75799EED" w14:textId="77777777" w:rsidR="00931A50" w:rsidRPr="00792B36" w:rsidRDefault="00931A50" w:rsidP="0096560E">
            <w:pPr>
              <w:pBdr>
                <w:top w:val="nil"/>
                <w:left w:val="nil"/>
                <w:bottom w:val="nil"/>
                <w:right w:val="nil"/>
                <w:between w:val="nil"/>
              </w:pBdr>
              <w:spacing w:line="275" w:lineRule="auto"/>
              <w:rPr>
                <w:rFonts w:eastAsia="Google Sans Text"/>
                <w:color w:val="1F1F1F"/>
                <w:sz w:val="24"/>
                <w:szCs w:val="24"/>
              </w:rPr>
            </w:pPr>
            <w:r w:rsidRPr="00792B36">
              <w:rPr>
                <w:rFonts w:eastAsia="Google Sans Text"/>
                <w:color w:val="1F1F1F"/>
                <w:sz w:val="24"/>
                <w:szCs w:val="24"/>
              </w:rPr>
              <w:t xml:space="preserve">- </w:t>
            </w:r>
            <w:r w:rsidRPr="00792B36">
              <w:rPr>
                <w:rFonts w:eastAsia="Google Sans Text"/>
                <w:b/>
                <w:bCs/>
                <w:color w:val="1F1F1F"/>
                <w:sz w:val="24"/>
                <w:szCs w:val="24"/>
              </w:rPr>
              <w:t>Bleaching Response:</w:t>
            </w:r>
            <w:r w:rsidRPr="00792B36">
              <w:rPr>
                <w:rFonts w:eastAsia="Google Sans Text"/>
                <w:color w:val="1F1F1F"/>
                <w:sz w:val="24"/>
                <w:szCs w:val="24"/>
              </w:rPr>
              <w:t xml:space="preserve"> Severity and recovery rates</w:t>
            </w:r>
          </w:p>
        </w:tc>
      </w:tr>
      <w:tr w:rsidR="00931A50" w:rsidRPr="00792B36" w14:paraId="6630606A" w14:textId="77777777" w:rsidTr="0096560E">
        <w:tc>
          <w:tcPr>
            <w:tcW w:w="3120" w:type="dxa"/>
            <w:tcBorders>
              <w:top w:val="single" w:sz="6" w:space="0" w:color="000000"/>
              <w:left w:val="single" w:sz="6" w:space="0" w:color="000000"/>
              <w:bottom w:val="single" w:sz="6" w:space="0" w:color="000000"/>
              <w:right w:val="single" w:sz="6" w:space="0" w:color="000000"/>
            </w:tcBorders>
            <w:shd w:val="clear" w:color="auto" w:fill="F8FAFD"/>
            <w:tcMar>
              <w:top w:w="120" w:type="dxa"/>
              <w:left w:w="180" w:type="dxa"/>
              <w:bottom w:w="120" w:type="dxa"/>
              <w:right w:w="180" w:type="dxa"/>
            </w:tcMar>
          </w:tcPr>
          <w:p w14:paraId="16FAA327" w14:textId="77777777" w:rsidR="00931A50" w:rsidRPr="00792B36" w:rsidRDefault="00931A50" w:rsidP="0096560E">
            <w:pPr>
              <w:pBdr>
                <w:top w:val="nil"/>
                <w:left w:val="nil"/>
                <w:bottom w:val="nil"/>
                <w:right w:val="nil"/>
                <w:between w:val="nil"/>
              </w:pBdr>
              <w:spacing w:line="275" w:lineRule="auto"/>
              <w:rPr>
                <w:rFonts w:eastAsia="Google Sans Text"/>
                <w:b/>
                <w:bCs/>
                <w:color w:val="1F1F1F"/>
                <w:sz w:val="24"/>
                <w:szCs w:val="24"/>
              </w:rPr>
            </w:pPr>
            <w:r w:rsidRPr="00792B36">
              <w:rPr>
                <w:rFonts w:eastAsia="Google Sans Text"/>
                <w:b/>
                <w:bCs/>
                <w:color w:val="1F1F1F"/>
                <w:sz w:val="24"/>
                <w:szCs w:val="24"/>
              </w:rPr>
              <w:t>Pollution</w:t>
            </w:r>
          </w:p>
        </w:tc>
        <w:tc>
          <w:tcPr>
            <w:tcW w:w="3120" w:type="dxa"/>
            <w:tcBorders>
              <w:top w:val="single" w:sz="6" w:space="0" w:color="000000"/>
              <w:left w:val="single" w:sz="6" w:space="0" w:color="000000"/>
              <w:bottom w:val="single" w:sz="6" w:space="0" w:color="000000"/>
              <w:right w:val="single" w:sz="6" w:space="0" w:color="000000"/>
            </w:tcBorders>
            <w:shd w:val="clear" w:color="auto" w:fill="F8FAFD"/>
            <w:tcMar>
              <w:top w:w="120" w:type="dxa"/>
              <w:left w:w="180" w:type="dxa"/>
              <w:bottom w:w="120" w:type="dxa"/>
              <w:right w:w="180" w:type="dxa"/>
            </w:tcMar>
          </w:tcPr>
          <w:p w14:paraId="2851DCCC" w14:textId="77777777" w:rsidR="00931A50" w:rsidRPr="00792B36" w:rsidRDefault="00931A50" w:rsidP="0096560E">
            <w:pPr>
              <w:pBdr>
                <w:top w:val="nil"/>
                <w:left w:val="nil"/>
                <w:bottom w:val="nil"/>
                <w:right w:val="nil"/>
                <w:between w:val="nil"/>
              </w:pBdr>
              <w:spacing w:line="275" w:lineRule="auto"/>
              <w:rPr>
                <w:rFonts w:eastAsia="Google Sans Text"/>
                <w:color w:val="1F1F1F"/>
                <w:sz w:val="24"/>
                <w:szCs w:val="24"/>
              </w:rPr>
            </w:pPr>
            <w:r w:rsidRPr="00792B36">
              <w:rPr>
                <w:rFonts w:eastAsia="Google Sans Text"/>
                <w:color w:val="1F1F1F"/>
                <w:sz w:val="24"/>
                <w:szCs w:val="24"/>
              </w:rPr>
              <w:t>- BOD/COD Loads</w:t>
            </w:r>
          </w:p>
          <w:p w14:paraId="6790387A" w14:textId="77777777" w:rsidR="00931A50" w:rsidRPr="00792B36" w:rsidRDefault="00931A50" w:rsidP="0096560E">
            <w:pPr>
              <w:pBdr>
                <w:top w:val="nil"/>
                <w:left w:val="nil"/>
                <w:bottom w:val="nil"/>
                <w:right w:val="nil"/>
                <w:between w:val="nil"/>
              </w:pBdr>
              <w:spacing w:line="275" w:lineRule="auto"/>
              <w:ind w:firstLine="426"/>
              <w:rPr>
                <w:rFonts w:eastAsia="Google Sans Text"/>
                <w:color w:val="1F1F1F"/>
                <w:sz w:val="24"/>
                <w:szCs w:val="24"/>
              </w:rPr>
            </w:pPr>
          </w:p>
          <w:p w14:paraId="22D38D45" w14:textId="77777777" w:rsidR="00931A50" w:rsidRPr="00792B36" w:rsidRDefault="00931A50" w:rsidP="0096560E">
            <w:pPr>
              <w:pBdr>
                <w:top w:val="nil"/>
                <w:left w:val="nil"/>
                <w:bottom w:val="nil"/>
                <w:right w:val="nil"/>
                <w:between w:val="nil"/>
              </w:pBdr>
              <w:spacing w:line="275" w:lineRule="auto"/>
              <w:rPr>
                <w:rFonts w:eastAsia="Google Sans Text"/>
                <w:color w:val="1F1F1F"/>
                <w:sz w:val="24"/>
                <w:szCs w:val="24"/>
              </w:rPr>
            </w:pPr>
            <w:r w:rsidRPr="00792B36">
              <w:rPr>
                <w:rFonts w:eastAsia="Google Sans Text"/>
                <w:color w:val="1F1F1F"/>
                <w:sz w:val="24"/>
                <w:szCs w:val="24"/>
              </w:rPr>
              <w:t>- Coliform Bacteria counts</w:t>
            </w:r>
          </w:p>
          <w:p w14:paraId="28DF4797" w14:textId="77777777" w:rsidR="00931A50" w:rsidRPr="00792B36" w:rsidRDefault="00931A50" w:rsidP="0096560E">
            <w:pPr>
              <w:pBdr>
                <w:top w:val="nil"/>
                <w:left w:val="nil"/>
                <w:bottom w:val="nil"/>
                <w:right w:val="nil"/>
                <w:between w:val="nil"/>
              </w:pBdr>
              <w:spacing w:line="275" w:lineRule="auto"/>
              <w:ind w:firstLine="426"/>
              <w:rPr>
                <w:rFonts w:eastAsia="Google Sans Text"/>
                <w:color w:val="1F1F1F"/>
                <w:sz w:val="24"/>
                <w:szCs w:val="24"/>
              </w:rPr>
            </w:pPr>
          </w:p>
          <w:p w14:paraId="18CA3630" w14:textId="77777777" w:rsidR="00931A50" w:rsidRPr="00792B36" w:rsidRDefault="00931A50" w:rsidP="0096560E">
            <w:pPr>
              <w:pBdr>
                <w:top w:val="nil"/>
                <w:left w:val="nil"/>
                <w:bottom w:val="nil"/>
                <w:right w:val="nil"/>
                <w:between w:val="nil"/>
              </w:pBdr>
              <w:spacing w:line="275" w:lineRule="auto"/>
              <w:rPr>
                <w:rFonts w:eastAsia="Google Sans Text"/>
                <w:color w:val="1F1F1F"/>
                <w:sz w:val="24"/>
                <w:szCs w:val="24"/>
              </w:rPr>
            </w:pPr>
            <w:r w:rsidRPr="00792B36">
              <w:rPr>
                <w:rFonts w:eastAsia="Google Sans Text"/>
                <w:color w:val="1F1F1F"/>
                <w:sz w:val="24"/>
                <w:szCs w:val="24"/>
              </w:rPr>
              <w:t>- Heavy Metals (Mercury/Lead)</w:t>
            </w:r>
          </w:p>
        </w:tc>
        <w:tc>
          <w:tcPr>
            <w:tcW w:w="3120" w:type="dxa"/>
            <w:tcBorders>
              <w:top w:val="single" w:sz="6" w:space="0" w:color="000000"/>
              <w:left w:val="single" w:sz="6" w:space="0" w:color="000000"/>
              <w:bottom w:val="single" w:sz="6" w:space="0" w:color="000000"/>
              <w:right w:val="single" w:sz="6" w:space="0" w:color="000000"/>
            </w:tcBorders>
            <w:shd w:val="clear" w:color="auto" w:fill="F8FAFD"/>
            <w:tcMar>
              <w:top w:w="120" w:type="dxa"/>
              <w:left w:w="180" w:type="dxa"/>
              <w:bottom w:w="120" w:type="dxa"/>
              <w:right w:w="180" w:type="dxa"/>
            </w:tcMar>
          </w:tcPr>
          <w:p w14:paraId="208D8A1C" w14:textId="77777777" w:rsidR="00931A50" w:rsidRPr="00792B36" w:rsidRDefault="00931A50" w:rsidP="0096560E">
            <w:pPr>
              <w:pBdr>
                <w:top w:val="nil"/>
                <w:left w:val="nil"/>
                <w:bottom w:val="nil"/>
                <w:right w:val="nil"/>
                <w:between w:val="nil"/>
              </w:pBdr>
              <w:spacing w:line="275" w:lineRule="auto"/>
              <w:rPr>
                <w:rFonts w:eastAsia="Google Sans Text"/>
                <w:color w:val="1F1F1F"/>
                <w:sz w:val="24"/>
                <w:szCs w:val="24"/>
              </w:rPr>
            </w:pPr>
            <w:r w:rsidRPr="00792B36">
              <w:rPr>
                <w:rFonts w:eastAsia="Google Sans Text"/>
                <w:color w:val="1F1F1F"/>
                <w:sz w:val="24"/>
                <w:szCs w:val="24"/>
              </w:rPr>
              <w:t xml:space="preserve">- </w:t>
            </w:r>
            <w:r w:rsidRPr="00792B36">
              <w:rPr>
                <w:rFonts w:eastAsia="Google Sans Text"/>
                <w:b/>
                <w:bCs/>
                <w:color w:val="1F1F1F"/>
                <w:sz w:val="24"/>
                <w:szCs w:val="24"/>
              </w:rPr>
              <w:t>Nutrient Flux:</w:t>
            </w:r>
            <w:r w:rsidRPr="00792B36">
              <w:rPr>
                <w:rFonts w:eastAsia="Google Sans Text"/>
                <w:color w:val="1F1F1F"/>
                <w:sz w:val="24"/>
                <w:szCs w:val="24"/>
              </w:rPr>
              <w:t xml:space="preserve"> Nitrogen/Phosphorus loading estimates</w:t>
            </w:r>
          </w:p>
          <w:p w14:paraId="70F81043" w14:textId="77777777" w:rsidR="00931A50" w:rsidRPr="00792B36" w:rsidRDefault="00931A50" w:rsidP="0096560E">
            <w:pPr>
              <w:pBdr>
                <w:top w:val="nil"/>
                <w:left w:val="nil"/>
                <w:bottom w:val="nil"/>
                <w:right w:val="nil"/>
                <w:between w:val="nil"/>
              </w:pBdr>
              <w:spacing w:line="275" w:lineRule="auto"/>
              <w:ind w:firstLine="426"/>
              <w:rPr>
                <w:rFonts w:eastAsia="Google Sans Text"/>
                <w:color w:val="1F1F1F"/>
                <w:sz w:val="24"/>
                <w:szCs w:val="24"/>
              </w:rPr>
            </w:pPr>
          </w:p>
          <w:p w14:paraId="7794CE1A" w14:textId="77777777" w:rsidR="00931A50" w:rsidRPr="00792B36" w:rsidRDefault="00931A50" w:rsidP="0096560E">
            <w:pPr>
              <w:pBdr>
                <w:top w:val="nil"/>
                <w:left w:val="nil"/>
                <w:bottom w:val="nil"/>
                <w:right w:val="nil"/>
                <w:between w:val="nil"/>
              </w:pBdr>
              <w:spacing w:line="275" w:lineRule="auto"/>
              <w:rPr>
                <w:rFonts w:eastAsia="Google Sans Text"/>
                <w:color w:val="1F1F1F"/>
                <w:sz w:val="24"/>
                <w:szCs w:val="24"/>
              </w:rPr>
            </w:pPr>
            <w:r w:rsidRPr="00792B36">
              <w:rPr>
                <w:rFonts w:eastAsia="Google Sans Text"/>
                <w:color w:val="1F1F1F"/>
                <w:sz w:val="24"/>
                <w:szCs w:val="24"/>
              </w:rPr>
              <w:t xml:space="preserve">- </w:t>
            </w:r>
            <w:r w:rsidRPr="00792B36">
              <w:rPr>
                <w:rFonts w:eastAsia="Google Sans Text"/>
                <w:b/>
                <w:bCs/>
                <w:color w:val="1F1F1F"/>
                <w:sz w:val="24"/>
                <w:szCs w:val="24"/>
              </w:rPr>
              <w:t>Marine Debris:</w:t>
            </w:r>
            <w:r w:rsidRPr="00792B36">
              <w:rPr>
                <w:rFonts w:eastAsia="Google Sans Text"/>
                <w:color w:val="1F1F1F"/>
                <w:sz w:val="24"/>
                <w:szCs w:val="24"/>
              </w:rPr>
              <w:t xml:space="preserve"> Microplastic density (particles/m³) and composition</w:t>
            </w:r>
          </w:p>
          <w:p w14:paraId="22B3ADB7" w14:textId="77777777" w:rsidR="00931A50" w:rsidRPr="00792B36" w:rsidRDefault="00931A50" w:rsidP="0096560E">
            <w:pPr>
              <w:pBdr>
                <w:top w:val="nil"/>
                <w:left w:val="nil"/>
                <w:bottom w:val="nil"/>
                <w:right w:val="nil"/>
                <w:between w:val="nil"/>
              </w:pBdr>
              <w:spacing w:line="275" w:lineRule="auto"/>
              <w:ind w:firstLine="426"/>
              <w:rPr>
                <w:rFonts w:eastAsia="Google Sans Text"/>
                <w:color w:val="1F1F1F"/>
                <w:sz w:val="24"/>
                <w:szCs w:val="24"/>
              </w:rPr>
            </w:pPr>
          </w:p>
          <w:p w14:paraId="621BF91B" w14:textId="77777777" w:rsidR="00931A50" w:rsidRPr="00792B36" w:rsidRDefault="00931A50" w:rsidP="0096560E">
            <w:pPr>
              <w:pBdr>
                <w:top w:val="nil"/>
                <w:left w:val="nil"/>
                <w:bottom w:val="nil"/>
                <w:right w:val="nil"/>
                <w:between w:val="nil"/>
              </w:pBdr>
              <w:spacing w:line="275" w:lineRule="auto"/>
              <w:rPr>
                <w:rFonts w:eastAsia="Google Sans Text"/>
                <w:color w:val="1F1F1F"/>
                <w:sz w:val="24"/>
                <w:szCs w:val="24"/>
              </w:rPr>
            </w:pPr>
            <w:r w:rsidRPr="00792B36">
              <w:rPr>
                <w:rFonts w:eastAsia="Google Sans Text"/>
                <w:color w:val="1F1F1F"/>
                <w:sz w:val="24"/>
                <w:szCs w:val="24"/>
              </w:rPr>
              <w:t xml:space="preserve">- </w:t>
            </w:r>
            <w:r w:rsidRPr="00792B36">
              <w:rPr>
                <w:rFonts w:eastAsia="Google Sans Text"/>
                <w:b/>
                <w:bCs/>
                <w:color w:val="1F1F1F"/>
                <w:sz w:val="24"/>
                <w:szCs w:val="24"/>
              </w:rPr>
              <w:t>Eutrophication Potential:</w:t>
            </w:r>
            <w:r w:rsidRPr="00792B36">
              <w:rPr>
                <w:rFonts w:eastAsia="Google Sans Text"/>
                <w:color w:val="1F1F1F"/>
                <w:sz w:val="24"/>
                <w:szCs w:val="24"/>
              </w:rPr>
              <w:t xml:space="preserve"> Frequency of Red Tides/Algal Blooms</w:t>
            </w:r>
          </w:p>
        </w:tc>
      </w:tr>
      <w:tr w:rsidR="00931A50" w:rsidRPr="00792B36" w14:paraId="7385D078" w14:textId="77777777" w:rsidTr="0096560E">
        <w:tc>
          <w:tcPr>
            <w:tcW w:w="3120" w:type="dxa"/>
            <w:tcBorders>
              <w:top w:val="single" w:sz="6" w:space="0" w:color="000000"/>
              <w:left w:val="single" w:sz="6" w:space="0" w:color="000000"/>
              <w:bottom w:val="single" w:sz="6" w:space="0" w:color="000000"/>
              <w:right w:val="single" w:sz="6" w:space="0" w:color="000000"/>
            </w:tcBorders>
            <w:shd w:val="clear" w:color="auto" w:fill="F8FAFD"/>
            <w:tcMar>
              <w:top w:w="120" w:type="dxa"/>
              <w:left w:w="180" w:type="dxa"/>
              <w:bottom w:w="120" w:type="dxa"/>
              <w:right w:w="180" w:type="dxa"/>
            </w:tcMar>
          </w:tcPr>
          <w:p w14:paraId="68EFBA04" w14:textId="77777777" w:rsidR="00931A50" w:rsidRPr="00792B36" w:rsidRDefault="00931A50" w:rsidP="0096560E">
            <w:pPr>
              <w:pBdr>
                <w:top w:val="nil"/>
                <w:left w:val="nil"/>
                <w:bottom w:val="nil"/>
                <w:right w:val="nil"/>
                <w:between w:val="nil"/>
              </w:pBdr>
              <w:spacing w:line="275" w:lineRule="auto"/>
              <w:rPr>
                <w:rFonts w:eastAsia="Google Sans Text"/>
                <w:b/>
                <w:bCs/>
                <w:color w:val="1F1F1F"/>
                <w:sz w:val="24"/>
                <w:szCs w:val="24"/>
              </w:rPr>
            </w:pPr>
            <w:r w:rsidRPr="00792B36">
              <w:rPr>
                <w:rFonts w:eastAsia="Google Sans Text"/>
                <w:b/>
                <w:bCs/>
                <w:color w:val="1F1F1F"/>
                <w:sz w:val="24"/>
                <w:szCs w:val="24"/>
              </w:rPr>
              <w:t>Socio-Economics</w:t>
            </w:r>
          </w:p>
        </w:tc>
        <w:tc>
          <w:tcPr>
            <w:tcW w:w="3120" w:type="dxa"/>
            <w:tcBorders>
              <w:top w:val="single" w:sz="6" w:space="0" w:color="000000"/>
              <w:left w:val="single" w:sz="6" w:space="0" w:color="000000"/>
              <w:bottom w:val="single" w:sz="6" w:space="0" w:color="000000"/>
              <w:right w:val="single" w:sz="6" w:space="0" w:color="000000"/>
            </w:tcBorders>
            <w:shd w:val="clear" w:color="auto" w:fill="F8FAFD"/>
            <w:tcMar>
              <w:top w:w="120" w:type="dxa"/>
              <w:left w:w="180" w:type="dxa"/>
              <w:bottom w:w="120" w:type="dxa"/>
              <w:right w:w="180" w:type="dxa"/>
            </w:tcMar>
          </w:tcPr>
          <w:p w14:paraId="4FC020CA" w14:textId="77777777" w:rsidR="00931A50" w:rsidRPr="00792B36" w:rsidRDefault="00931A50" w:rsidP="0096560E">
            <w:pPr>
              <w:pBdr>
                <w:top w:val="nil"/>
                <w:left w:val="nil"/>
                <w:bottom w:val="nil"/>
                <w:right w:val="nil"/>
                <w:between w:val="nil"/>
              </w:pBdr>
              <w:spacing w:line="275" w:lineRule="auto"/>
              <w:rPr>
                <w:rFonts w:eastAsia="Google Sans Text"/>
                <w:color w:val="1F1F1F"/>
                <w:sz w:val="24"/>
                <w:szCs w:val="24"/>
              </w:rPr>
            </w:pPr>
            <w:r w:rsidRPr="00792B36">
              <w:rPr>
                <w:rFonts w:eastAsia="Google Sans Text"/>
                <w:color w:val="1F1F1F"/>
                <w:sz w:val="24"/>
                <w:szCs w:val="24"/>
              </w:rPr>
              <w:t>- Fishery Income</w:t>
            </w:r>
          </w:p>
          <w:p w14:paraId="18B6D075" w14:textId="77777777" w:rsidR="00931A50" w:rsidRPr="00792B36" w:rsidRDefault="00931A50" w:rsidP="0096560E">
            <w:pPr>
              <w:pBdr>
                <w:top w:val="nil"/>
                <w:left w:val="nil"/>
                <w:bottom w:val="nil"/>
                <w:right w:val="nil"/>
                <w:between w:val="nil"/>
              </w:pBdr>
              <w:spacing w:line="275" w:lineRule="auto"/>
              <w:ind w:firstLine="426"/>
              <w:rPr>
                <w:rFonts w:eastAsia="Google Sans Text"/>
                <w:color w:val="1F1F1F"/>
                <w:sz w:val="24"/>
                <w:szCs w:val="24"/>
              </w:rPr>
            </w:pPr>
          </w:p>
          <w:p w14:paraId="3867E1A2" w14:textId="77777777" w:rsidR="00931A50" w:rsidRPr="00792B36" w:rsidRDefault="00931A50" w:rsidP="0096560E">
            <w:pPr>
              <w:pBdr>
                <w:top w:val="nil"/>
                <w:left w:val="nil"/>
                <w:bottom w:val="nil"/>
                <w:right w:val="nil"/>
                <w:between w:val="nil"/>
              </w:pBdr>
              <w:spacing w:line="275" w:lineRule="auto"/>
              <w:rPr>
                <w:rFonts w:eastAsia="Google Sans Text"/>
                <w:color w:val="1F1F1F"/>
                <w:sz w:val="24"/>
                <w:szCs w:val="24"/>
              </w:rPr>
            </w:pPr>
            <w:r w:rsidRPr="00792B36">
              <w:rPr>
                <w:rFonts w:eastAsia="Google Sans Text"/>
                <w:color w:val="1F1F1F"/>
                <w:sz w:val="24"/>
                <w:szCs w:val="24"/>
              </w:rPr>
              <w:t>- Water Use Demand</w:t>
            </w:r>
          </w:p>
        </w:tc>
        <w:tc>
          <w:tcPr>
            <w:tcW w:w="3120" w:type="dxa"/>
            <w:tcBorders>
              <w:top w:val="single" w:sz="6" w:space="0" w:color="000000"/>
              <w:left w:val="single" w:sz="6" w:space="0" w:color="000000"/>
              <w:bottom w:val="single" w:sz="6" w:space="0" w:color="000000"/>
              <w:right w:val="single" w:sz="6" w:space="0" w:color="000000"/>
            </w:tcBorders>
            <w:shd w:val="clear" w:color="auto" w:fill="F8FAFD"/>
            <w:tcMar>
              <w:top w:w="120" w:type="dxa"/>
              <w:left w:w="180" w:type="dxa"/>
              <w:bottom w:w="120" w:type="dxa"/>
              <w:right w:w="180" w:type="dxa"/>
            </w:tcMar>
          </w:tcPr>
          <w:p w14:paraId="0447E87C" w14:textId="77777777" w:rsidR="00931A50" w:rsidRPr="00792B36" w:rsidRDefault="00931A50" w:rsidP="0096560E">
            <w:pPr>
              <w:pBdr>
                <w:top w:val="nil"/>
                <w:left w:val="nil"/>
                <w:bottom w:val="nil"/>
                <w:right w:val="nil"/>
                <w:between w:val="nil"/>
              </w:pBdr>
              <w:spacing w:line="275" w:lineRule="auto"/>
              <w:rPr>
                <w:rFonts w:eastAsia="Google Sans Text"/>
                <w:color w:val="1F1F1F"/>
                <w:sz w:val="24"/>
                <w:szCs w:val="30"/>
                <w:lang w:val="en-US"/>
              </w:rPr>
            </w:pPr>
            <w:r w:rsidRPr="00792B36">
              <w:rPr>
                <w:rFonts w:eastAsia="Google Sans Text"/>
                <w:color w:val="1F1F1F"/>
                <w:sz w:val="24"/>
                <w:szCs w:val="24"/>
              </w:rPr>
              <w:t xml:space="preserve">- </w:t>
            </w:r>
            <w:r w:rsidRPr="00792B36">
              <w:rPr>
                <w:rFonts w:eastAsia="Google Sans Text"/>
                <w:color w:val="1F1F1F"/>
                <w:sz w:val="24"/>
                <w:szCs w:val="30"/>
                <w:lang w:val="en-US"/>
              </w:rPr>
              <w:t>Demographics: Coastal population, population density</w:t>
            </w:r>
          </w:p>
          <w:p w14:paraId="55AE8E59" w14:textId="77777777" w:rsidR="00931A50" w:rsidRPr="00792B36" w:rsidRDefault="00931A50" w:rsidP="0096560E">
            <w:pPr>
              <w:pBdr>
                <w:top w:val="nil"/>
                <w:left w:val="nil"/>
                <w:bottom w:val="nil"/>
                <w:right w:val="nil"/>
                <w:between w:val="nil"/>
              </w:pBdr>
              <w:spacing w:line="275" w:lineRule="auto"/>
              <w:rPr>
                <w:rFonts w:eastAsia="Google Sans Text"/>
                <w:color w:val="1F1F1F"/>
                <w:sz w:val="24"/>
                <w:szCs w:val="30"/>
                <w:lang w:val="en-US"/>
              </w:rPr>
            </w:pPr>
            <w:r w:rsidRPr="00792B36">
              <w:rPr>
                <w:rFonts w:eastAsia="Google Sans Text"/>
                <w:color w:val="1F1F1F"/>
                <w:sz w:val="24"/>
                <w:szCs w:val="30"/>
                <w:lang w:val="en-US"/>
              </w:rPr>
              <w:t>- Human wellbeing: Coastal poor, HDI</w:t>
            </w:r>
          </w:p>
          <w:p w14:paraId="2497DA1B" w14:textId="77777777" w:rsidR="00931A50" w:rsidRPr="00792B36" w:rsidRDefault="00931A50" w:rsidP="0096560E">
            <w:pPr>
              <w:pBdr>
                <w:top w:val="nil"/>
                <w:left w:val="nil"/>
                <w:bottom w:val="nil"/>
                <w:right w:val="nil"/>
                <w:between w:val="nil"/>
              </w:pBdr>
              <w:spacing w:line="275" w:lineRule="auto"/>
              <w:rPr>
                <w:rFonts w:eastAsia="Google Sans Text"/>
                <w:color w:val="1F1F1F"/>
                <w:sz w:val="24"/>
                <w:szCs w:val="30"/>
                <w:lang w:val="en-US"/>
              </w:rPr>
            </w:pPr>
            <w:r w:rsidRPr="00792B36">
              <w:rPr>
                <w:rFonts w:eastAsia="Google Sans Text"/>
                <w:color w:val="1F1F1F"/>
                <w:sz w:val="24"/>
                <w:szCs w:val="30"/>
                <w:lang w:val="en-US"/>
              </w:rPr>
              <w:t xml:space="preserve">- Economic activities: GDP, fisheries </w:t>
            </w:r>
            <w:r w:rsidRPr="00792B36">
              <w:rPr>
                <w:rFonts w:eastAsia="Google Sans Text"/>
                <w:color w:val="1F1F1F"/>
                <w:sz w:val="24"/>
                <w:szCs w:val="30"/>
                <w:lang w:val="en-US"/>
              </w:rPr>
              <w:lastRenderedPageBreak/>
              <w:t>contribution to GDP</w:t>
            </w:r>
          </w:p>
          <w:p w14:paraId="7096F541" w14:textId="77777777" w:rsidR="00931A50" w:rsidRPr="00792B36" w:rsidRDefault="00931A50" w:rsidP="0096560E">
            <w:pPr>
              <w:pBdr>
                <w:top w:val="nil"/>
                <w:left w:val="nil"/>
                <w:bottom w:val="nil"/>
                <w:right w:val="nil"/>
                <w:between w:val="nil"/>
              </w:pBdr>
              <w:spacing w:line="275" w:lineRule="auto"/>
              <w:rPr>
                <w:rFonts w:eastAsia="Google Sans Text"/>
                <w:color w:val="1F1F1F"/>
                <w:sz w:val="24"/>
                <w:szCs w:val="30"/>
                <w:lang w:val="en-US"/>
              </w:rPr>
            </w:pPr>
            <w:r w:rsidRPr="00792B36">
              <w:rPr>
                <w:rFonts w:eastAsia="Google Sans Text"/>
                <w:color w:val="1F1F1F"/>
                <w:sz w:val="24"/>
                <w:szCs w:val="30"/>
                <w:lang w:val="en-US"/>
              </w:rPr>
              <w:t>- Climate related threats: Number of tropical cyclones per year, total damage due to tropical cyclones</w:t>
            </w:r>
          </w:p>
          <w:p w14:paraId="6A4BA856" w14:textId="77777777" w:rsidR="00931A50" w:rsidRPr="00792B36" w:rsidRDefault="00931A50" w:rsidP="0096560E">
            <w:pPr>
              <w:pBdr>
                <w:top w:val="nil"/>
                <w:left w:val="nil"/>
                <w:bottom w:val="nil"/>
                <w:right w:val="nil"/>
                <w:between w:val="nil"/>
              </w:pBdr>
              <w:spacing w:line="275" w:lineRule="auto"/>
              <w:rPr>
                <w:rFonts w:eastAsia="Google Sans Text"/>
                <w:color w:val="1F1F1F"/>
                <w:sz w:val="24"/>
                <w:szCs w:val="24"/>
              </w:rPr>
            </w:pPr>
          </w:p>
        </w:tc>
      </w:tr>
    </w:tbl>
    <w:p w14:paraId="6F9B74A4" w14:textId="77777777" w:rsidR="00931A50" w:rsidRPr="00792B36" w:rsidRDefault="00931A50" w:rsidP="00931A50">
      <w:pPr>
        <w:pBdr>
          <w:top w:val="nil"/>
          <w:left w:val="nil"/>
          <w:bottom w:val="nil"/>
          <w:right w:val="nil"/>
          <w:between w:val="nil"/>
        </w:pBdr>
        <w:spacing w:line="275" w:lineRule="auto"/>
        <w:ind w:firstLine="426"/>
        <w:jc w:val="thaiDistribute"/>
        <w:rPr>
          <w:rFonts w:eastAsia="Google Sans Text"/>
          <w:color w:val="1F1F1F"/>
          <w:sz w:val="24"/>
          <w:szCs w:val="24"/>
          <w:lang w:val="en-US"/>
        </w:rPr>
      </w:pPr>
    </w:p>
    <w:p w14:paraId="39D6AABE" w14:textId="77777777" w:rsidR="00931A50" w:rsidRPr="00792B36" w:rsidRDefault="00931A50" w:rsidP="00931A50">
      <w:pPr>
        <w:pBdr>
          <w:top w:val="nil"/>
          <w:left w:val="nil"/>
          <w:bottom w:val="nil"/>
          <w:right w:val="nil"/>
          <w:between w:val="nil"/>
        </w:pBdr>
        <w:spacing w:line="275" w:lineRule="auto"/>
        <w:ind w:firstLine="426"/>
        <w:jc w:val="thaiDistribute"/>
        <w:rPr>
          <w:rFonts w:eastAsia="Google Sans Text"/>
          <w:color w:val="1F1F1F"/>
          <w:sz w:val="24"/>
          <w:szCs w:val="24"/>
          <w:lang w:val="en-US"/>
        </w:rPr>
      </w:pPr>
    </w:p>
    <w:p w14:paraId="7B611BE7" w14:textId="77777777" w:rsidR="00931A50" w:rsidRPr="00792B36" w:rsidRDefault="00931A50" w:rsidP="00931A50">
      <w:pPr>
        <w:pStyle w:val="Heading4"/>
        <w:spacing w:before="0" w:after="0" w:line="275" w:lineRule="auto"/>
        <w:ind w:firstLine="426"/>
        <w:jc w:val="thaiDistribute"/>
        <w:rPr>
          <w:rFonts w:eastAsia="Google Sans"/>
          <w:color w:val="1F1F1F"/>
        </w:rPr>
      </w:pPr>
    </w:p>
    <w:p w14:paraId="577867CD" w14:textId="77777777" w:rsidR="00931A50" w:rsidRPr="00792B36" w:rsidRDefault="00931A50" w:rsidP="00931A50">
      <w:pPr>
        <w:pStyle w:val="Heading4"/>
        <w:spacing w:before="0" w:after="0" w:line="275" w:lineRule="auto"/>
        <w:ind w:firstLine="426"/>
        <w:jc w:val="thaiDistribute"/>
        <w:rPr>
          <w:rFonts w:eastAsia="Google Sans"/>
          <w:color w:val="1F1F1F"/>
          <w:lang w:val="en-US"/>
        </w:rPr>
      </w:pPr>
      <w:r w:rsidRPr="00792B36">
        <w:rPr>
          <w:rFonts w:eastAsia="Google Sans"/>
          <w:color w:val="1F1F1F"/>
        </w:rPr>
        <w:t>1.4.4 Assessing Risks to Ecosystems, People, and Livelihoods</w:t>
      </w:r>
    </w:p>
    <w:p w14:paraId="4132F91E" w14:textId="77777777" w:rsidR="00931A50" w:rsidRPr="00792B36" w:rsidRDefault="00931A50" w:rsidP="00931A50">
      <w:pPr>
        <w:pBdr>
          <w:top w:val="nil"/>
          <w:left w:val="nil"/>
          <w:bottom w:val="nil"/>
          <w:right w:val="nil"/>
          <w:between w:val="nil"/>
        </w:pBdr>
        <w:spacing w:line="275" w:lineRule="auto"/>
        <w:ind w:firstLine="426"/>
        <w:jc w:val="thaiDistribute"/>
        <w:rPr>
          <w:rFonts w:eastAsia="Google Sans Text"/>
          <w:color w:val="1F1F1F"/>
          <w:sz w:val="24"/>
          <w:szCs w:val="24"/>
        </w:rPr>
      </w:pPr>
      <w:r w:rsidRPr="00792B36">
        <w:rPr>
          <w:rFonts w:eastAsia="Google Sans Text"/>
          <w:color w:val="1F1F1F"/>
          <w:sz w:val="24"/>
          <w:szCs w:val="24"/>
        </w:rPr>
        <w:t xml:space="preserve">The synthesis of these indicators reveals a landscape of compounded risks. The assessment determines risk levels by overlaying </w:t>
      </w:r>
      <w:r w:rsidRPr="00792B36">
        <w:rPr>
          <w:rFonts w:eastAsia="Google Sans Text"/>
          <w:b/>
          <w:bCs/>
          <w:color w:val="1F1F1F"/>
          <w:sz w:val="24"/>
          <w:szCs w:val="24"/>
        </w:rPr>
        <w:t>Hazard Exposure</w:t>
      </w:r>
      <w:r w:rsidRPr="00792B36">
        <w:rPr>
          <w:rFonts w:eastAsia="Google Sans Text"/>
          <w:color w:val="1F1F1F"/>
          <w:sz w:val="24"/>
          <w:szCs w:val="24"/>
        </w:rPr>
        <w:t xml:space="preserve"> (Pollution/Climate) with </w:t>
      </w:r>
      <w:r w:rsidRPr="00792B36">
        <w:rPr>
          <w:rFonts w:eastAsia="Google Sans Text"/>
          <w:b/>
          <w:bCs/>
          <w:color w:val="1F1F1F"/>
          <w:sz w:val="24"/>
          <w:szCs w:val="24"/>
        </w:rPr>
        <w:t>Vulnerability</w:t>
      </w:r>
      <w:r w:rsidRPr="00792B36">
        <w:rPr>
          <w:rFonts w:eastAsia="Google Sans Text"/>
          <w:color w:val="1F1F1F"/>
          <w:sz w:val="24"/>
          <w:szCs w:val="24"/>
        </w:rPr>
        <w:t xml:space="preserve"> (Ecosystem Sensitivity/Social Adaptive Capacity).</w:t>
      </w:r>
    </w:p>
    <w:p w14:paraId="5B8BBEFA" w14:textId="77777777" w:rsidR="00931A50" w:rsidRPr="00792B36" w:rsidRDefault="00931A50" w:rsidP="00931A50">
      <w:pPr>
        <w:pBdr>
          <w:top w:val="nil"/>
          <w:left w:val="nil"/>
          <w:bottom w:val="nil"/>
          <w:right w:val="nil"/>
          <w:between w:val="nil"/>
        </w:pBdr>
        <w:spacing w:line="275" w:lineRule="auto"/>
        <w:ind w:firstLine="426"/>
        <w:jc w:val="thaiDistribute"/>
        <w:rPr>
          <w:rFonts w:eastAsia="Google Sans Text"/>
          <w:color w:val="1F1F1F"/>
          <w:sz w:val="24"/>
          <w:szCs w:val="24"/>
        </w:rPr>
      </w:pPr>
    </w:p>
    <w:p w14:paraId="1B2A56D0" w14:textId="77777777" w:rsidR="00931A50" w:rsidRPr="00792B36" w:rsidRDefault="00931A50" w:rsidP="00F61B37">
      <w:pPr>
        <w:pStyle w:val="ListParagraph"/>
        <w:numPr>
          <w:ilvl w:val="0"/>
          <w:numId w:val="29"/>
        </w:numPr>
        <w:pBdr>
          <w:top w:val="nil"/>
          <w:left w:val="nil"/>
          <w:bottom w:val="nil"/>
          <w:right w:val="nil"/>
          <w:between w:val="nil"/>
        </w:pBdr>
        <w:spacing w:line="275" w:lineRule="auto"/>
        <w:jc w:val="thaiDistribute"/>
        <w:rPr>
          <w:rFonts w:eastAsia="Google Sans Text" w:cs="Arial"/>
          <w:b/>
          <w:bCs/>
          <w:color w:val="1F1F1F"/>
          <w:sz w:val="24"/>
          <w:szCs w:val="24"/>
        </w:rPr>
      </w:pPr>
      <w:r w:rsidRPr="00792B36">
        <w:rPr>
          <w:rFonts w:eastAsia="Google Sans Text" w:cs="Arial"/>
          <w:b/>
          <w:bCs/>
          <w:color w:val="1F1F1F"/>
          <w:sz w:val="24"/>
          <w:szCs w:val="24"/>
        </w:rPr>
        <w:t>Ecosystem Risk:</w:t>
      </w:r>
    </w:p>
    <w:p w14:paraId="425122CF" w14:textId="77777777" w:rsidR="00931A50" w:rsidRPr="00792B36" w:rsidRDefault="00931A50" w:rsidP="00F61B37">
      <w:pPr>
        <w:numPr>
          <w:ilvl w:val="0"/>
          <w:numId w:val="24"/>
        </w:numPr>
        <w:pBdr>
          <w:top w:val="nil"/>
          <w:left w:val="nil"/>
          <w:bottom w:val="nil"/>
          <w:right w:val="nil"/>
          <w:between w:val="nil"/>
        </w:pBdr>
        <w:spacing w:line="275" w:lineRule="auto"/>
        <w:ind w:left="0" w:firstLine="426"/>
        <w:jc w:val="thaiDistribute"/>
        <w:rPr>
          <w:sz w:val="24"/>
          <w:szCs w:val="24"/>
        </w:rPr>
      </w:pPr>
      <w:r w:rsidRPr="00792B36">
        <w:rPr>
          <w:rFonts w:eastAsia="Google Sans Text"/>
          <w:b/>
          <w:bCs/>
          <w:color w:val="1F1F1F"/>
          <w:sz w:val="24"/>
          <w:szCs w:val="24"/>
        </w:rPr>
        <w:t>High Risk:</w:t>
      </w:r>
      <w:r w:rsidRPr="00792B36">
        <w:rPr>
          <w:rFonts w:eastAsia="Google Sans Text"/>
          <w:color w:val="1F1F1F"/>
          <w:sz w:val="24"/>
          <w:szCs w:val="24"/>
        </w:rPr>
        <w:t xml:space="preserve"> Nearshore reefs in the Upper Gulf (e.g., Koh Si Chang) and estuaries in Samut Prakan. These areas face a "double burden" of acute land-based pollution (hypoxia, sedimentation) and thermal stress from climate change. The dominance of stress-tolerant species indicates low resilience to future shocks.</w:t>
      </w:r>
    </w:p>
    <w:p w14:paraId="3DB13059" w14:textId="77777777" w:rsidR="00931A50" w:rsidRPr="00792B36" w:rsidRDefault="00931A50" w:rsidP="00F61B37">
      <w:pPr>
        <w:numPr>
          <w:ilvl w:val="0"/>
          <w:numId w:val="24"/>
        </w:numPr>
        <w:pBdr>
          <w:top w:val="nil"/>
          <w:left w:val="nil"/>
          <w:bottom w:val="nil"/>
          <w:right w:val="nil"/>
          <w:between w:val="nil"/>
        </w:pBdr>
        <w:spacing w:line="275" w:lineRule="auto"/>
        <w:ind w:left="0" w:firstLine="426"/>
        <w:jc w:val="thaiDistribute"/>
        <w:rPr>
          <w:sz w:val="24"/>
          <w:szCs w:val="24"/>
        </w:rPr>
      </w:pPr>
      <w:r w:rsidRPr="00792B36">
        <w:rPr>
          <w:rFonts w:eastAsia="Google Sans Text"/>
          <w:b/>
          <w:bCs/>
          <w:color w:val="1F1F1F"/>
          <w:sz w:val="24"/>
          <w:szCs w:val="24"/>
        </w:rPr>
        <w:t>Moderate Risk:</w:t>
      </w:r>
      <w:r w:rsidRPr="00792B36">
        <w:rPr>
          <w:rFonts w:eastAsia="Google Sans Text"/>
          <w:color w:val="1F1F1F"/>
          <w:sz w:val="24"/>
          <w:szCs w:val="24"/>
        </w:rPr>
        <w:t xml:space="preserve"> Mangrove systems in Bandon Bay. While carbon stocks are high, the conversion pressure from aquaculture remains a latent threat, moderated by active community restoration.</w:t>
      </w:r>
    </w:p>
    <w:p w14:paraId="5198954E" w14:textId="77777777" w:rsidR="00931A50" w:rsidRPr="00792B36" w:rsidRDefault="00931A50" w:rsidP="00F61B37">
      <w:pPr>
        <w:pStyle w:val="ListParagraph"/>
        <w:numPr>
          <w:ilvl w:val="0"/>
          <w:numId w:val="29"/>
        </w:numPr>
        <w:pBdr>
          <w:top w:val="nil"/>
          <w:left w:val="nil"/>
          <w:bottom w:val="nil"/>
          <w:right w:val="nil"/>
          <w:between w:val="nil"/>
        </w:pBdr>
        <w:spacing w:before="240" w:line="275" w:lineRule="auto"/>
        <w:jc w:val="thaiDistribute"/>
        <w:rPr>
          <w:rFonts w:eastAsia="Google Sans Text" w:cs="Arial"/>
          <w:b/>
          <w:bCs/>
          <w:color w:val="1F1F1F"/>
          <w:sz w:val="24"/>
          <w:szCs w:val="24"/>
        </w:rPr>
      </w:pPr>
      <w:r w:rsidRPr="00792B36">
        <w:rPr>
          <w:rFonts w:eastAsia="Google Sans Text" w:cs="Arial"/>
          <w:b/>
          <w:bCs/>
          <w:color w:val="1F1F1F"/>
          <w:sz w:val="24"/>
          <w:szCs w:val="24"/>
        </w:rPr>
        <w:t>Socio-Economic and Livelihood Risk:</w:t>
      </w:r>
    </w:p>
    <w:p w14:paraId="65A4BC68" w14:textId="77777777" w:rsidR="00931A50" w:rsidRPr="00792B36" w:rsidRDefault="00931A50" w:rsidP="00F61B37">
      <w:pPr>
        <w:numPr>
          <w:ilvl w:val="0"/>
          <w:numId w:val="25"/>
        </w:numPr>
        <w:pBdr>
          <w:top w:val="nil"/>
          <w:left w:val="nil"/>
          <w:bottom w:val="nil"/>
          <w:right w:val="nil"/>
          <w:between w:val="nil"/>
        </w:pBdr>
        <w:spacing w:line="275" w:lineRule="auto"/>
        <w:ind w:left="0" w:firstLine="426"/>
        <w:jc w:val="thaiDistribute"/>
        <w:rPr>
          <w:sz w:val="24"/>
          <w:szCs w:val="24"/>
        </w:rPr>
      </w:pPr>
      <w:r w:rsidRPr="00792B36">
        <w:rPr>
          <w:rFonts w:eastAsia="Google Sans Text"/>
          <w:b/>
          <w:bCs/>
          <w:color w:val="1F1F1F"/>
          <w:sz w:val="24"/>
          <w:szCs w:val="24"/>
        </w:rPr>
        <w:t>Climate-Poverty Nexus:</w:t>
      </w:r>
      <w:r w:rsidRPr="00792B36">
        <w:rPr>
          <w:rFonts w:eastAsia="Google Sans Text"/>
          <w:color w:val="1F1F1F"/>
          <w:sz w:val="24"/>
          <w:szCs w:val="24"/>
        </w:rPr>
        <w:t xml:space="preserve"> The Deep South (Pattani/Narathiwat) is identified as a high-risk zone. High poverty rates (up to 23%) combined with reliance on climate-sensitive small-scale fisheries create a "poverty trap" where resource degradation directly exacerbates social deprivation.</w:t>
      </w:r>
    </w:p>
    <w:p w14:paraId="7BDCD145" w14:textId="77777777" w:rsidR="00931A50" w:rsidRPr="00792B36" w:rsidRDefault="00931A50" w:rsidP="00F61B37">
      <w:pPr>
        <w:numPr>
          <w:ilvl w:val="0"/>
          <w:numId w:val="25"/>
        </w:numPr>
        <w:pBdr>
          <w:top w:val="nil"/>
          <w:left w:val="nil"/>
          <w:bottom w:val="nil"/>
          <w:right w:val="nil"/>
          <w:between w:val="nil"/>
        </w:pBdr>
        <w:spacing w:line="275" w:lineRule="auto"/>
        <w:ind w:left="0" w:firstLine="426"/>
        <w:jc w:val="thaiDistribute"/>
        <w:rPr>
          <w:sz w:val="24"/>
          <w:szCs w:val="24"/>
        </w:rPr>
      </w:pPr>
      <w:r w:rsidRPr="00792B36">
        <w:rPr>
          <w:rFonts w:eastAsia="Google Sans Text"/>
          <w:b/>
          <w:bCs/>
          <w:color w:val="1F1F1F"/>
          <w:sz w:val="24"/>
          <w:szCs w:val="24"/>
        </w:rPr>
        <w:t>Economic Exposure:</w:t>
      </w:r>
      <w:r w:rsidRPr="00792B36">
        <w:rPr>
          <w:rFonts w:eastAsia="Google Sans Text"/>
          <w:color w:val="1F1F1F"/>
          <w:sz w:val="24"/>
          <w:szCs w:val="24"/>
        </w:rPr>
        <w:t xml:space="preserve"> The Eastern Economic Corridor (Rayong/Chonburi) faces high </w:t>
      </w:r>
      <w:r w:rsidRPr="00792B36">
        <w:rPr>
          <w:rFonts w:eastAsia="Google Sans Text"/>
          <w:i/>
          <w:iCs/>
          <w:color w:val="1F1F1F"/>
          <w:sz w:val="24"/>
          <w:szCs w:val="24"/>
        </w:rPr>
        <w:t>financial</w:t>
      </w:r>
      <w:r w:rsidRPr="00792B36">
        <w:rPr>
          <w:rFonts w:eastAsia="Google Sans Text"/>
          <w:color w:val="1F1F1F"/>
          <w:sz w:val="24"/>
          <w:szCs w:val="24"/>
        </w:rPr>
        <w:t xml:space="preserve"> risk. While adaptive capacity is high due to wealth, the sheer value of assets exposed to sea-level rise and storm surges (infrastructure, ports, tourism real estate) poses a significant liability to the national economy.</w:t>
      </w:r>
    </w:p>
    <w:p w14:paraId="61554F0F" w14:textId="77777777" w:rsidR="00931A50" w:rsidRPr="00792B36" w:rsidRDefault="00931A50" w:rsidP="00931A50">
      <w:pPr>
        <w:pBdr>
          <w:top w:val="nil"/>
          <w:left w:val="nil"/>
          <w:bottom w:val="nil"/>
          <w:right w:val="nil"/>
          <w:between w:val="nil"/>
        </w:pBdr>
        <w:spacing w:before="240" w:line="275" w:lineRule="auto"/>
        <w:ind w:firstLine="426"/>
        <w:jc w:val="thaiDistribute"/>
        <w:rPr>
          <w:rFonts w:eastAsia="Google Sans Text"/>
          <w:b/>
          <w:bCs/>
          <w:sz w:val="24"/>
          <w:szCs w:val="24"/>
        </w:rPr>
      </w:pPr>
      <w:r w:rsidRPr="00792B36">
        <w:rPr>
          <w:rFonts w:eastAsia="Google Sans Text"/>
          <w:b/>
          <w:bCs/>
          <w:sz w:val="24"/>
          <w:szCs w:val="24"/>
        </w:rPr>
        <w:t>3. Integrated Governance Implication:</w:t>
      </w:r>
    </w:p>
    <w:p w14:paraId="20C6CA31" w14:textId="77777777" w:rsidR="00931A50" w:rsidRPr="00792B36" w:rsidRDefault="00931A50" w:rsidP="00931A50">
      <w:pPr>
        <w:pBdr>
          <w:top w:val="nil"/>
          <w:left w:val="nil"/>
          <w:bottom w:val="nil"/>
          <w:right w:val="nil"/>
          <w:between w:val="nil"/>
        </w:pBdr>
        <w:spacing w:line="275" w:lineRule="auto"/>
        <w:ind w:firstLine="426"/>
        <w:jc w:val="thaiDistribute"/>
        <w:rPr>
          <w:rFonts w:eastAsia="Google Sans Text"/>
          <w:sz w:val="24"/>
          <w:szCs w:val="24"/>
        </w:rPr>
      </w:pPr>
      <w:r w:rsidRPr="00792B36">
        <w:rPr>
          <w:rFonts w:eastAsia="Google Sans Text"/>
          <w:sz w:val="24"/>
          <w:szCs w:val="24"/>
        </w:rPr>
        <w:t>This risk stratification underscores the need for differentiated governance.</w:t>
      </w:r>
    </w:p>
    <w:p w14:paraId="0547882E" w14:textId="77777777" w:rsidR="00931A50" w:rsidRPr="00792B36" w:rsidRDefault="00931A50" w:rsidP="00F61B37">
      <w:pPr>
        <w:numPr>
          <w:ilvl w:val="0"/>
          <w:numId w:val="26"/>
        </w:numPr>
        <w:pBdr>
          <w:top w:val="nil"/>
          <w:left w:val="nil"/>
          <w:bottom w:val="nil"/>
          <w:right w:val="nil"/>
          <w:between w:val="nil"/>
        </w:pBdr>
        <w:spacing w:line="275" w:lineRule="auto"/>
        <w:ind w:left="0" w:firstLine="426"/>
        <w:jc w:val="thaiDistribute"/>
        <w:rPr>
          <w:sz w:val="24"/>
          <w:szCs w:val="24"/>
        </w:rPr>
      </w:pPr>
      <w:r w:rsidRPr="00792B36">
        <w:rPr>
          <w:rFonts w:eastAsia="Google Sans Text"/>
          <w:b/>
          <w:bCs/>
          <w:color w:val="1F1F1F"/>
          <w:sz w:val="24"/>
          <w:szCs w:val="24"/>
        </w:rPr>
        <w:t>For High-Risk Ecosystems (Upper Gulf):</w:t>
      </w:r>
      <w:r w:rsidRPr="00792B36">
        <w:rPr>
          <w:rFonts w:eastAsia="Google Sans Text"/>
          <w:color w:val="1F1F1F"/>
          <w:sz w:val="24"/>
          <w:szCs w:val="24"/>
        </w:rPr>
        <w:t xml:space="preserve"> Immediate, stringent pollution control (TMDL enforcement) and strict zoning are required to prevent collapse.</w:t>
      </w:r>
    </w:p>
    <w:p w14:paraId="2440000A" w14:textId="77777777" w:rsidR="00931A50" w:rsidRPr="00792B36" w:rsidRDefault="00931A50" w:rsidP="00F61B37">
      <w:pPr>
        <w:numPr>
          <w:ilvl w:val="0"/>
          <w:numId w:val="26"/>
        </w:numPr>
        <w:pBdr>
          <w:top w:val="nil"/>
          <w:left w:val="nil"/>
          <w:bottom w:val="nil"/>
          <w:right w:val="nil"/>
          <w:between w:val="nil"/>
        </w:pBdr>
        <w:spacing w:line="275" w:lineRule="auto"/>
        <w:ind w:left="0" w:firstLine="426"/>
        <w:jc w:val="thaiDistribute"/>
        <w:rPr>
          <w:sz w:val="24"/>
          <w:szCs w:val="24"/>
        </w:rPr>
      </w:pPr>
      <w:r w:rsidRPr="00792B36">
        <w:rPr>
          <w:rFonts w:eastAsia="Google Sans Text"/>
          <w:b/>
          <w:bCs/>
          <w:color w:val="1F1F1F"/>
          <w:sz w:val="24"/>
          <w:szCs w:val="24"/>
        </w:rPr>
        <w:t>For High-Risk Livelihoods (Deep South):</w:t>
      </w:r>
      <w:r w:rsidRPr="00792B36">
        <w:rPr>
          <w:rFonts w:eastAsia="Google Sans Text"/>
          <w:color w:val="1F1F1F"/>
          <w:sz w:val="24"/>
          <w:szCs w:val="24"/>
        </w:rPr>
        <w:t xml:space="preserve"> Interventions must focus on social safety nets, livelihood diversification, and community-based resource management rather than top-down regulation alone.</w:t>
      </w:r>
    </w:p>
    <w:p w14:paraId="464E435E" w14:textId="77777777" w:rsidR="00931A50" w:rsidRPr="00792B36" w:rsidRDefault="00931A50" w:rsidP="00F61B37">
      <w:pPr>
        <w:numPr>
          <w:ilvl w:val="0"/>
          <w:numId w:val="26"/>
        </w:numPr>
        <w:pBdr>
          <w:top w:val="nil"/>
          <w:left w:val="nil"/>
          <w:bottom w:val="nil"/>
          <w:right w:val="nil"/>
          <w:between w:val="nil"/>
        </w:pBdr>
        <w:spacing w:line="275" w:lineRule="auto"/>
        <w:ind w:left="0" w:firstLine="426"/>
        <w:jc w:val="thaiDistribute"/>
        <w:rPr>
          <w:sz w:val="24"/>
          <w:szCs w:val="24"/>
        </w:rPr>
      </w:pPr>
      <w:r w:rsidRPr="00792B36">
        <w:rPr>
          <w:rFonts w:eastAsia="Google Sans Text"/>
          <w:b/>
          <w:bCs/>
          <w:color w:val="1F1F1F"/>
          <w:sz w:val="24"/>
          <w:szCs w:val="24"/>
        </w:rPr>
        <w:t>For Climate Adaptation:</w:t>
      </w:r>
      <w:r w:rsidRPr="00792B36">
        <w:rPr>
          <w:rFonts w:eastAsia="Google Sans Text"/>
          <w:color w:val="1F1F1F"/>
          <w:sz w:val="24"/>
          <w:szCs w:val="24"/>
        </w:rPr>
        <w:t xml:space="preserve"> "Blue Carbon" financing mechanisms must be </w:t>
      </w:r>
      <w:r w:rsidRPr="00792B36">
        <w:rPr>
          <w:rFonts w:eastAsia="Google Sans Text"/>
          <w:color w:val="1F1F1F"/>
          <w:sz w:val="24"/>
          <w:szCs w:val="24"/>
        </w:rPr>
        <w:lastRenderedPageBreak/>
        <w:t>prioritized to fund the restoration of buffers (mangroves/seagrass) that protect both the wealthy industrial zones and vulnerable coastal communities.</w:t>
      </w:r>
    </w:p>
    <w:p w14:paraId="437B4EC8" w14:textId="77777777" w:rsidR="00931A50" w:rsidRPr="00792B36" w:rsidRDefault="00931A50" w:rsidP="00931A50">
      <w:pPr>
        <w:pBdr>
          <w:top w:val="nil"/>
          <w:left w:val="nil"/>
          <w:bottom w:val="nil"/>
          <w:right w:val="nil"/>
          <w:between w:val="nil"/>
        </w:pBdr>
        <w:spacing w:before="240" w:line="275" w:lineRule="auto"/>
        <w:jc w:val="thaiDistribute"/>
        <w:rPr>
          <w:rFonts w:eastAsia="Google Sans Text"/>
          <w:color w:val="1F1F1F"/>
          <w:sz w:val="24"/>
          <w:szCs w:val="24"/>
        </w:rPr>
      </w:pPr>
    </w:p>
    <w:p w14:paraId="6C8A1C21" w14:textId="7C2668B5" w:rsidR="00931A50" w:rsidRPr="00792B36" w:rsidRDefault="00931A50" w:rsidP="00931A50">
      <w:pPr>
        <w:pStyle w:val="Heading2"/>
        <w:spacing w:before="0" w:after="0" w:line="275" w:lineRule="auto"/>
        <w:jc w:val="thaiDistribute"/>
        <w:rPr>
          <w:rFonts w:eastAsia="Google Sans"/>
          <w:color w:val="1F1F1F"/>
          <w:sz w:val="24"/>
          <w:szCs w:val="24"/>
        </w:rPr>
      </w:pPr>
      <w:r w:rsidRPr="00792B36">
        <w:rPr>
          <w:rFonts w:eastAsia="Google Sans"/>
          <w:color w:val="1F1F1F"/>
          <w:sz w:val="24"/>
          <w:szCs w:val="24"/>
        </w:rPr>
        <w:t>References</w:t>
      </w:r>
    </w:p>
    <w:p w14:paraId="09661727" w14:textId="77777777" w:rsidR="00931A50" w:rsidRPr="00792B36" w:rsidRDefault="00931A50" w:rsidP="00931A50">
      <w:pPr>
        <w:pBdr>
          <w:top w:val="nil"/>
          <w:left w:val="nil"/>
          <w:bottom w:val="nil"/>
          <w:right w:val="nil"/>
          <w:between w:val="nil"/>
        </w:pBdr>
        <w:spacing w:line="275" w:lineRule="auto"/>
        <w:jc w:val="thaiDistribute"/>
        <w:rPr>
          <w:rFonts w:eastAsia="Google Sans"/>
          <w:color w:val="1F1F1F"/>
          <w:sz w:val="24"/>
          <w:szCs w:val="24"/>
        </w:rPr>
      </w:pPr>
    </w:p>
    <w:p w14:paraId="2C92DBB5" w14:textId="77777777" w:rsidR="00931A50" w:rsidRPr="00792B36" w:rsidRDefault="00931A50" w:rsidP="003B0291">
      <w:pPr>
        <w:pBdr>
          <w:top w:val="nil"/>
          <w:left w:val="nil"/>
          <w:bottom w:val="nil"/>
          <w:right w:val="nil"/>
          <w:between w:val="nil"/>
        </w:pBdr>
        <w:spacing w:line="275" w:lineRule="auto"/>
        <w:jc w:val="thaiDistribute"/>
        <w:rPr>
          <w:sz w:val="24"/>
          <w:szCs w:val="24"/>
        </w:rPr>
      </w:pPr>
      <w:r w:rsidRPr="00792B36">
        <w:rPr>
          <w:rFonts w:eastAsia="Google Sans Text"/>
          <w:color w:val="1F1F1F"/>
          <w:sz w:val="24"/>
          <w:szCs w:val="24"/>
        </w:rPr>
        <w:t xml:space="preserve">Department of Fisheries (DOF). (2025). </w:t>
      </w:r>
      <w:r w:rsidRPr="00792B36">
        <w:rPr>
          <w:rFonts w:eastAsia="Google Sans Text"/>
          <w:i/>
          <w:iCs/>
          <w:color w:val="1F1F1F"/>
          <w:sz w:val="24"/>
          <w:szCs w:val="24"/>
        </w:rPr>
        <w:t>Current Status of Fisheries and Ecosystem Health in the Gulf of Thailand (Draft Report)</w:t>
      </w:r>
      <w:r w:rsidRPr="00792B36">
        <w:rPr>
          <w:rFonts w:eastAsia="Google Sans Text"/>
          <w:color w:val="1F1F1F"/>
          <w:sz w:val="24"/>
          <w:szCs w:val="24"/>
        </w:rPr>
        <w:t>. Ministry of Agriculture and Cooperatives.</w:t>
      </w:r>
    </w:p>
    <w:p w14:paraId="42AA99AC" w14:textId="77777777" w:rsidR="003B0291" w:rsidRPr="00792B36" w:rsidRDefault="003B0291" w:rsidP="003B0291">
      <w:pPr>
        <w:pBdr>
          <w:top w:val="nil"/>
          <w:left w:val="nil"/>
          <w:bottom w:val="nil"/>
          <w:right w:val="nil"/>
          <w:between w:val="nil"/>
        </w:pBdr>
        <w:spacing w:line="275" w:lineRule="auto"/>
        <w:jc w:val="thaiDistribute"/>
        <w:rPr>
          <w:rFonts w:eastAsia="Google Sans Text"/>
          <w:color w:val="1F1F1F"/>
          <w:sz w:val="24"/>
          <w:szCs w:val="24"/>
        </w:rPr>
      </w:pPr>
    </w:p>
    <w:p w14:paraId="261A6F2E" w14:textId="77777777" w:rsidR="003B0291" w:rsidRPr="00792B36" w:rsidRDefault="00931A50" w:rsidP="003B0291">
      <w:pPr>
        <w:pBdr>
          <w:top w:val="nil"/>
          <w:left w:val="nil"/>
          <w:bottom w:val="nil"/>
          <w:right w:val="nil"/>
          <w:between w:val="nil"/>
        </w:pBdr>
        <w:spacing w:line="275" w:lineRule="auto"/>
        <w:jc w:val="thaiDistribute"/>
        <w:rPr>
          <w:rFonts w:eastAsia="Google Sans Text"/>
          <w:color w:val="1F1F1F"/>
          <w:sz w:val="24"/>
          <w:szCs w:val="24"/>
        </w:rPr>
      </w:pPr>
      <w:r w:rsidRPr="00792B36">
        <w:rPr>
          <w:rFonts w:eastAsia="Google Sans Text"/>
          <w:color w:val="1F1F1F"/>
          <w:sz w:val="24"/>
          <w:szCs w:val="24"/>
        </w:rPr>
        <w:t xml:space="preserve">Pollution Control Department (PCD). (2025). </w:t>
      </w:r>
      <w:r w:rsidRPr="00792B36">
        <w:rPr>
          <w:rFonts w:eastAsia="Google Sans Text"/>
          <w:i/>
          <w:iCs/>
          <w:color w:val="1F1F1F"/>
          <w:sz w:val="24"/>
          <w:szCs w:val="24"/>
        </w:rPr>
        <w:t>National TDA of Land-based Pollution and Marine Pollution Assessment — Thailand (Draft Report)</w:t>
      </w:r>
      <w:r w:rsidRPr="00792B36">
        <w:rPr>
          <w:rFonts w:eastAsia="Google Sans Text"/>
          <w:color w:val="1F1F1F"/>
          <w:sz w:val="24"/>
          <w:szCs w:val="24"/>
        </w:rPr>
        <w:t xml:space="preserve">. Ministry of Natural </w:t>
      </w:r>
    </w:p>
    <w:p w14:paraId="19036C7F" w14:textId="5F27EBDC" w:rsidR="00931A50" w:rsidRPr="00792B36" w:rsidRDefault="00931A50" w:rsidP="003B0291">
      <w:pPr>
        <w:pBdr>
          <w:top w:val="nil"/>
          <w:left w:val="nil"/>
          <w:bottom w:val="nil"/>
          <w:right w:val="nil"/>
          <w:between w:val="nil"/>
        </w:pBdr>
        <w:spacing w:line="275" w:lineRule="auto"/>
        <w:jc w:val="thaiDistribute"/>
        <w:rPr>
          <w:sz w:val="24"/>
          <w:szCs w:val="24"/>
        </w:rPr>
      </w:pPr>
      <w:r w:rsidRPr="00792B36">
        <w:rPr>
          <w:rFonts w:eastAsia="Google Sans Text"/>
          <w:color w:val="1F1F1F"/>
          <w:sz w:val="24"/>
          <w:szCs w:val="24"/>
        </w:rPr>
        <w:t>Resources and Environment.</w:t>
      </w:r>
    </w:p>
    <w:p w14:paraId="17F1255E" w14:textId="77777777" w:rsidR="003B0291" w:rsidRPr="00792B36" w:rsidRDefault="003B0291" w:rsidP="003B0291">
      <w:pPr>
        <w:pBdr>
          <w:top w:val="nil"/>
          <w:left w:val="nil"/>
          <w:bottom w:val="nil"/>
          <w:right w:val="nil"/>
          <w:between w:val="nil"/>
        </w:pBdr>
        <w:spacing w:line="275" w:lineRule="auto"/>
        <w:jc w:val="thaiDistribute"/>
        <w:rPr>
          <w:rFonts w:eastAsia="Google Sans Text"/>
          <w:color w:val="1F1F1F"/>
          <w:sz w:val="24"/>
          <w:szCs w:val="24"/>
        </w:rPr>
      </w:pPr>
    </w:p>
    <w:p w14:paraId="33661164" w14:textId="4E185E94" w:rsidR="00931A50" w:rsidRPr="00792B36" w:rsidRDefault="00931A50" w:rsidP="003B0291">
      <w:pPr>
        <w:pBdr>
          <w:top w:val="nil"/>
          <w:left w:val="nil"/>
          <w:bottom w:val="nil"/>
          <w:right w:val="nil"/>
          <w:between w:val="nil"/>
        </w:pBdr>
        <w:spacing w:line="275" w:lineRule="auto"/>
        <w:jc w:val="thaiDistribute"/>
        <w:rPr>
          <w:sz w:val="24"/>
          <w:szCs w:val="24"/>
        </w:rPr>
      </w:pPr>
      <w:r w:rsidRPr="00792B36">
        <w:rPr>
          <w:rFonts w:eastAsia="Google Sans Text"/>
          <w:color w:val="1F1F1F"/>
          <w:sz w:val="24"/>
          <w:szCs w:val="24"/>
        </w:rPr>
        <w:t xml:space="preserve">Department of Marine and Coastal Resources (DMCR). (2025). </w:t>
      </w:r>
      <w:r w:rsidRPr="00792B36">
        <w:rPr>
          <w:rFonts w:eastAsia="Google Sans Text"/>
          <w:i/>
          <w:iCs/>
          <w:color w:val="1F1F1F"/>
          <w:sz w:val="24"/>
          <w:szCs w:val="24"/>
        </w:rPr>
        <w:t>National TDA Governance Profile and Analysis (Draft Report)</w:t>
      </w:r>
      <w:r w:rsidRPr="00792B36">
        <w:rPr>
          <w:rFonts w:eastAsia="Google Sans Text"/>
          <w:color w:val="1F1F1F"/>
          <w:sz w:val="24"/>
          <w:szCs w:val="24"/>
        </w:rPr>
        <w:t>. Ministry of Natural Resources and Environment.</w:t>
      </w:r>
    </w:p>
    <w:p w14:paraId="5C404A99" w14:textId="77777777" w:rsidR="003B0291" w:rsidRPr="00792B36" w:rsidRDefault="003B0291" w:rsidP="003B0291">
      <w:pPr>
        <w:pBdr>
          <w:top w:val="nil"/>
          <w:left w:val="nil"/>
          <w:bottom w:val="nil"/>
          <w:right w:val="nil"/>
          <w:between w:val="nil"/>
        </w:pBdr>
        <w:spacing w:line="275" w:lineRule="auto"/>
        <w:jc w:val="thaiDistribute"/>
        <w:rPr>
          <w:rFonts w:eastAsia="Google Sans Text"/>
          <w:color w:val="1F1F1F"/>
          <w:sz w:val="24"/>
          <w:szCs w:val="24"/>
        </w:rPr>
      </w:pPr>
    </w:p>
    <w:p w14:paraId="6DB5E737" w14:textId="19333335" w:rsidR="00931A50" w:rsidRPr="00792B36" w:rsidRDefault="00931A50" w:rsidP="003B0291">
      <w:pPr>
        <w:pBdr>
          <w:top w:val="nil"/>
          <w:left w:val="nil"/>
          <w:bottom w:val="nil"/>
          <w:right w:val="nil"/>
          <w:between w:val="nil"/>
        </w:pBdr>
        <w:spacing w:line="275" w:lineRule="auto"/>
        <w:jc w:val="thaiDistribute"/>
        <w:rPr>
          <w:sz w:val="24"/>
          <w:szCs w:val="24"/>
        </w:rPr>
      </w:pPr>
      <w:r w:rsidRPr="00792B36">
        <w:rPr>
          <w:rFonts w:eastAsia="Google Sans Text"/>
          <w:color w:val="1F1F1F"/>
          <w:sz w:val="24"/>
          <w:szCs w:val="24"/>
        </w:rPr>
        <w:t xml:space="preserve">Department of Marine and Coastal Resources (DMCR). (2025). </w:t>
      </w:r>
      <w:r w:rsidRPr="00792B36">
        <w:rPr>
          <w:rFonts w:eastAsia="Google Sans Text"/>
          <w:i/>
          <w:iCs/>
          <w:color w:val="1F1F1F"/>
          <w:sz w:val="24"/>
          <w:szCs w:val="24"/>
        </w:rPr>
        <w:t>The National TDA report - Socioeconomics and Climate-related threats (Draft Report).</w:t>
      </w:r>
    </w:p>
    <w:p w14:paraId="65575CA6" w14:textId="77777777" w:rsidR="003B0291" w:rsidRPr="00792B36" w:rsidRDefault="003B0291" w:rsidP="003B0291">
      <w:pPr>
        <w:pBdr>
          <w:top w:val="nil"/>
          <w:left w:val="nil"/>
          <w:bottom w:val="nil"/>
          <w:right w:val="nil"/>
          <w:between w:val="nil"/>
        </w:pBdr>
        <w:spacing w:line="275" w:lineRule="auto"/>
        <w:jc w:val="thaiDistribute"/>
        <w:rPr>
          <w:rFonts w:eastAsia="Google Sans Text"/>
          <w:color w:val="1F1F1F"/>
          <w:sz w:val="24"/>
          <w:szCs w:val="24"/>
        </w:rPr>
      </w:pPr>
    </w:p>
    <w:p w14:paraId="76742A87" w14:textId="297AC153" w:rsidR="00931A50" w:rsidRPr="00792B36" w:rsidRDefault="00931A50" w:rsidP="003B0291">
      <w:pPr>
        <w:pBdr>
          <w:top w:val="nil"/>
          <w:left w:val="nil"/>
          <w:bottom w:val="nil"/>
          <w:right w:val="nil"/>
          <w:between w:val="nil"/>
        </w:pBdr>
        <w:spacing w:line="275" w:lineRule="auto"/>
        <w:jc w:val="thaiDistribute"/>
        <w:rPr>
          <w:sz w:val="24"/>
          <w:szCs w:val="24"/>
        </w:rPr>
      </w:pPr>
      <w:r w:rsidRPr="00792B36">
        <w:rPr>
          <w:rFonts w:eastAsia="Google Sans Text"/>
          <w:color w:val="1F1F1F"/>
          <w:sz w:val="24"/>
          <w:szCs w:val="24"/>
        </w:rPr>
        <w:t xml:space="preserve">Department of Marine and Coastal Resources (DMCR). (2025). </w:t>
      </w:r>
      <w:r w:rsidRPr="00792B36">
        <w:rPr>
          <w:rFonts w:eastAsia="Google Sans Text"/>
          <w:i/>
          <w:iCs/>
          <w:color w:val="1F1F1F"/>
          <w:sz w:val="24"/>
          <w:szCs w:val="24"/>
        </w:rPr>
        <w:t>Draft of National TDA Report (Ecosystems).</w:t>
      </w:r>
    </w:p>
    <w:p w14:paraId="4A0ADB64" w14:textId="77777777" w:rsidR="003B0291" w:rsidRPr="00792B36" w:rsidRDefault="003B0291" w:rsidP="003B0291">
      <w:pPr>
        <w:pBdr>
          <w:top w:val="nil"/>
          <w:left w:val="nil"/>
          <w:bottom w:val="nil"/>
          <w:right w:val="nil"/>
          <w:between w:val="nil"/>
        </w:pBdr>
        <w:spacing w:line="275" w:lineRule="auto"/>
        <w:jc w:val="thaiDistribute"/>
        <w:rPr>
          <w:rFonts w:eastAsia="Google Sans Text"/>
          <w:color w:val="1F1F1F"/>
          <w:sz w:val="24"/>
          <w:szCs w:val="24"/>
        </w:rPr>
      </w:pPr>
    </w:p>
    <w:p w14:paraId="61907F7E" w14:textId="638A41CA" w:rsidR="00931A50" w:rsidRPr="00792B36" w:rsidRDefault="00931A50" w:rsidP="003B0291">
      <w:pPr>
        <w:pBdr>
          <w:top w:val="nil"/>
          <w:left w:val="nil"/>
          <w:bottom w:val="nil"/>
          <w:right w:val="nil"/>
          <w:between w:val="nil"/>
        </w:pBdr>
        <w:spacing w:line="275" w:lineRule="auto"/>
        <w:jc w:val="thaiDistribute"/>
        <w:rPr>
          <w:sz w:val="24"/>
          <w:szCs w:val="24"/>
        </w:rPr>
      </w:pPr>
      <w:r w:rsidRPr="00792B36">
        <w:rPr>
          <w:rFonts w:eastAsia="Google Sans Text"/>
          <w:color w:val="1F1F1F"/>
          <w:sz w:val="24"/>
          <w:szCs w:val="24"/>
        </w:rPr>
        <w:t xml:space="preserve">UNEP/GEF. (2000). </w:t>
      </w:r>
      <w:r w:rsidRPr="00792B36">
        <w:rPr>
          <w:rFonts w:eastAsia="Google Sans Text"/>
          <w:i/>
          <w:iCs/>
          <w:color w:val="1F1F1F"/>
          <w:sz w:val="24"/>
          <w:szCs w:val="24"/>
        </w:rPr>
        <w:t>National Report of Thailand on the Formulation of a Transboundary Diagnostic Analysis</w:t>
      </w:r>
      <w:r w:rsidRPr="00792B36">
        <w:rPr>
          <w:rFonts w:eastAsia="Google Sans Text"/>
          <w:color w:val="1F1F1F"/>
          <w:sz w:val="24"/>
          <w:szCs w:val="24"/>
        </w:rPr>
        <w:t>.</w:t>
      </w:r>
    </w:p>
    <w:p w14:paraId="3A451880" w14:textId="77777777" w:rsidR="00931A50" w:rsidRPr="00792B36" w:rsidRDefault="00931A50" w:rsidP="00931A50">
      <w:pPr>
        <w:pBdr>
          <w:top w:val="nil"/>
          <w:left w:val="nil"/>
          <w:bottom w:val="nil"/>
          <w:right w:val="nil"/>
          <w:between w:val="nil"/>
        </w:pBdr>
        <w:spacing w:line="275" w:lineRule="auto"/>
        <w:jc w:val="thaiDistribute"/>
        <w:rPr>
          <w:sz w:val="24"/>
          <w:szCs w:val="24"/>
        </w:rPr>
      </w:pPr>
    </w:p>
    <w:p w14:paraId="60214F94" w14:textId="77777777" w:rsidR="00931A50" w:rsidRPr="00792B36" w:rsidRDefault="00931A50" w:rsidP="00931A50">
      <w:pPr>
        <w:pBdr>
          <w:top w:val="nil"/>
          <w:left w:val="nil"/>
          <w:bottom w:val="nil"/>
          <w:right w:val="nil"/>
          <w:between w:val="nil"/>
        </w:pBdr>
        <w:spacing w:line="275" w:lineRule="auto"/>
        <w:jc w:val="thaiDistribute"/>
        <w:rPr>
          <w:sz w:val="24"/>
          <w:szCs w:val="24"/>
        </w:rPr>
      </w:pPr>
    </w:p>
    <w:p w14:paraId="1B64C322" w14:textId="77777777" w:rsidR="00931A50" w:rsidRPr="00792B36" w:rsidRDefault="00931A50" w:rsidP="00931A50">
      <w:pPr>
        <w:pBdr>
          <w:top w:val="nil"/>
          <w:left w:val="nil"/>
          <w:bottom w:val="nil"/>
          <w:right w:val="nil"/>
          <w:between w:val="nil"/>
        </w:pBdr>
        <w:spacing w:line="275" w:lineRule="auto"/>
        <w:jc w:val="thaiDistribute"/>
        <w:rPr>
          <w:sz w:val="24"/>
          <w:szCs w:val="24"/>
        </w:rPr>
      </w:pPr>
    </w:p>
    <w:p w14:paraId="79DBF989" w14:textId="77777777" w:rsidR="00931A50" w:rsidRPr="00792B36" w:rsidRDefault="00931A50" w:rsidP="00931A50">
      <w:pPr>
        <w:pBdr>
          <w:top w:val="nil"/>
          <w:left w:val="nil"/>
          <w:bottom w:val="nil"/>
          <w:right w:val="nil"/>
          <w:between w:val="nil"/>
        </w:pBdr>
        <w:spacing w:line="275" w:lineRule="auto"/>
        <w:jc w:val="thaiDistribute"/>
        <w:rPr>
          <w:sz w:val="24"/>
          <w:szCs w:val="24"/>
        </w:rPr>
      </w:pPr>
    </w:p>
    <w:p w14:paraId="4A941E09" w14:textId="77777777" w:rsidR="00931A50" w:rsidRPr="00792B36" w:rsidRDefault="00931A50" w:rsidP="00931A50">
      <w:pPr>
        <w:pBdr>
          <w:top w:val="nil"/>
          <w:left w:val="nil"/>
          <w:bottom w:val="nil"/>
          <w:right w:val="nil"/>
          <w:between w:val="nil"/>
        </w:pBdr>
        <w:spacing w:line="275" w:lineRule="auto"/>
        <w:jc w:val="thaiDistribute"/>
        <w:rPr>
          <w:sz w:val="24"/>
          <w:szCs w:val="24"/>
        </w:rPr>
      </w:pPr>
    </w:p>
    <w:p w14:paraId="56652B86" w14:textId="77777777" w:rsidR="00931A50" w:rsidRPr="00792B36" w:rsidRDefault="00931A50" w:rsidP="00931A50">
      <w:pPr>
        <w:pBdr>
          <w:top w:val="nil"/>
          <w:left w:val="nil"/>
          <w:bottom w:val="nil"/>
          <w:right w:val="nil"/>
          <w:between w:val="nil"/>
        </w:pBdr>
        <w:spacing w:line="275" w:lineRule="auto"/>
        <w:jc w:val="thaiDistribute"/>
        <w:rPr>
          <w:sz w:val="24"/>
          <w:szCs w:val="24"/>
        </w:rPr>
      </w:pPr>
    </w:p>
    <w:p w14:paraId="7428DE07" w14:textId="77777777" w:rsidR="00931A50" w:rsidRPr="00792B36" w:rsidRDefault="00931A50" w:rsidP="00931A50">
      <w:pPr>
        <w:pBdr>
          <w:top w:val="nil"/>
          <w:left w:val="nil"/>
          <w:bottom w:val="nil"/>
          <w:right w:val="nil"/>
          <w:between w:val="nil"/>
        </w:pBdr>
        <w:spacing w:line="275" w:lineRule="auto"/>
        <w:jc w:val="thaiDistribute"/>
        <w:rPr>
          <w:sz w:val="24"/>
          <w:szCs w:val="24"/>
        </w:rPr>
      </w:pPr>
    </w:p>
    <w:p w14:paraId="080DC639" w14:textId="77777777" w:rsidR="00931A50" w:rsidRPr="00792B36" w:rsidRDefault="00931A50" w:rsidP="00931A50">
      <w:pPr>
        <w:pBdr>
          <w:top w:val="nil"/>
          <w:left w:val="nil"/>
          <w:bottom w:val="nil"/>
          <w:right w:val="nil"/>
          <w:between w:val="nil"/>
        </w:pBdr>
        <w:spacing w:line="275" w:lineRule="auto"/>
        <w:jc w:val="thaiDistribute"/>
        <w:rPr>
          <w:sz w:val="24"/>
          <w:szCs w:val="24"/>
        </w:rPr>
      </w:pPr>
    </w:p>
    <w:p w14:paraId="4FD00653" w14:textId="77777777" w:rsidR="00931A50" w:rsidRPr="00792B36" w:rsidRDefault="00931A50" w:rsidP="00931A50">
      <w:pPr>
        <w:pBdr>
          <w:top w:val="nil"/>
          <w:left w:val="nil"/>
          <w:bottom w:val="nil"/>
          <w:right w:val="nil"/>
          <w:between w:val="nil"/>
        </w:pBdr>
        <w:spacing w:line="275" w:lineRule="auto"/>
        <w:jc w:val="thaiDistribute"/>
        <w:rPr>
          <w:sz w:val="24"/>
          <w:szCs w:val="24"/>
        </w:rPr>
      </w:pPr>
    </w:p>
    <w:p w14:paraId="6E84EB3A" w14:textId="77777777" w:rsidR="00931A50" w:rsidRPr="00792B36" w:rsidRDefault="00931A50" w:rsidP="00931A50">
      <w:pPr>
        <w:pBdr>
          <w:top w:val="nil"/>
          <w:left w:val="nil"/>
          <w:bottom w:val="nil"/>
          <w:right w:val="nil"/>
          <w:between w:val="nil"/>
        </w:pBdr>
        <w:spacing w:line="275" w:lineRule="auto"/>
        <w:jc w:val="thaiDistribute"/>
        <w:rPr>
          <w:sz w:val="24"/>
          <w:szCs w:val="24"/>
        </w:rPr>
      </w:pPr>
    </w:p>
    <w:p w14:paraId="62ECCF49" w14:textId="77777777" w:rsidR="00931A50" w:rsidRPr="00792B36" w:rsidRDefault="00931A50" w:rsidP="00931A50">
      <w:pPr>
        <w:pBdr>
          <w:top w:val="nil"/>
          <w:left w:val="nil"/>
          <w:bottom w:val="nil"/>
          <w:right w:val="nil"/>
          <w:between w:val="nil"/>
        </w:pBdr>
        <w:spacing w:line="275" w:lineRule="auto"/>
        <w:jc w:val="thaiDistribute"/>
        <w:rPr>
          <w:sz w:val="24"/>
          <w:szCs w:val="24"/>
        </w:rPr>
      </w:pPr>
    </w:p>
    <w:p w14:paraId="6D3FFB4C" w14:textId="77777777" w:rsidR="00931A50" w:rsidRPr="00792B36" w:rsidRDefault="00931A50" w:rsidP="00931A50">
      <w:pPr>
        <w:pBdr>
          <w:top w:val="nil"/>
          <w:left w:val="nil"/>
          <w:bottom w:val="nil"/>
          <w:right w:val="nil"/>
          <w:between w:val="nil"/>
        </w:pBdr>
        <w:spacing w:line="275" w:lineRule="auto"/>
        <w:jc w:val="thaiDistribute"/>
        <w:rPr>
          <w:sz w:val="24"/>
          <w:szCs w:val="24"/>
        </w:rPr>
      </w:pPr>
    </w:p>
    <w:p w14:paraId="58735C42" w14:textId="77777777" w:rsidR="00931A50" w:rsidRPr="00792B36" w:rsidRDefault="00931A50" w:rsidP="00931A50">
      <w:pPr>
        <w:pBdr>
          <w:top w:val="nil"/>
          <w:left w:val="nil"/>
          <w:bottom w:val="nil"/>
          <w:right w:val="nil"/>
          <w:between w:val="nil"/>
        </w:pBdr>
        <w:spacing w:line="275" w:lineRule="auto"/>
        <w:jc w:val="thaiDistribute"/>
        <w:rPr>
          <w:sz w:val="24"/>
          <w:szCs w:val="24"/>
        </w:rPr>
      </w:pPr>
    </w:p>
    <w:p w14:paraId="174642B5" w14:textId="77777777" w:rsidR="00931A50" w:rsidRPr="00792B36" w:rsidRDefault="00931A50" w:rsidP="00931A50">
      <w:pPr>
        <w:pBdr>
          <w:top w:val="nil"/>
          <w:left w:val="nil"/>
          <w:bottom w:val="nil"/>
          <w:right w:val="nil"/>
          <w:between w:val="nil"/>
        </w:pBdr>
        <w:spacing w:line="275" w:lineRule="auto"/>
        <w:jc w:val="thaiDistribute"/>
        <w:rPr>
          <w:sz w:val="24"/>
          <w:szCs w:val="24"/>
        </w:rPr>
      </w:pPr>
    </w:p>
    <w:p w14:paraId="47B72018" w14:textId="77777777" w:rsidR="00931A50" w:rsidRPr="00792B36" w:rsidRDefault="00931A50" w:rsidP="00931A50">
      <w:pPr>
        <w:pBdr>
          <w:top w:val="nil"/>
          <w:left w:val="nil"/>
          <w:bottom w:val="nil"/>
          <w:right w:val="nil"/>
          <w:between w:val="nil"/>
        </w:pBdr>
        <w:spacing w:line="275" w:lineRule="auto"/>
        <w:jc w:val="thaiDistribute"/>
        <w:rPr>
          <w:sz w:val="24"/>
          <w:szCs w:val="24"/>
        </w:rPr>
      </w:pPr>
    </w:p>
    <w:p w14:paraId="40EE9AF3" w14:textId="77777777" w:rsidR="00931A50" w:rsidRPr="00792B36" w:rsidRDefault="00931A50" w:rsidP="00931A50">
      <w:pPr>
        <w:pBdr>
          <w:top w:val="nil"/>
          <w:left w:val="nil"/>
          <w:bottom w:val="nil"/>
          <w:right w:val="nil"/>
          <w:between w:val="nil"/>
        </w:pBdr>
        <w:spacing w:line="275" w:lineRule="auto"/>
        <w:jc w:val="thaiDistribute"/>
        <w:rPr>
          <w:sz w:val="24"/>
          <w:szCs w:val="24"/>
        </w:rPr>
      </w:pPr>
    </w:p>
    <w:p w14:paraId="574B5539" w14:textId="77777777" w:rsidR="00931A50" w:rsidRPr="00792B36" w:rsidRDefault="00931A50" w:rsidP="00931A50">
      <w:pPr>
        <w:pBdr>
          <w:top w:val="nil"/>
          <w:left w:val="nil"/>
          <w:bottom w:val="nil"/>
          <w:right w:val="nil"/>
          <w:between w:val="nil"/>
        </w:pBdr>
        <w:spacing w:line="275" w:lineRule="auto"/>
        <w:jc w:val="thaiDistribute"/>
        <w:rPr>
          <w:sz w:val="24"/>
          <w:szCs w:val="24"/>
        </w:rPr>
      </w:pPr>
    </w:p>
    <w:p w14:paraId="314421EE" w14:textId="77777777" w:rsidR="00931A50" w:rsidRPr="00792B36" w:rsidRDefault="00931A50" w:rsidP="00931A50">
      <w:pPr>
        <w:pBdr>
          <w:top w:val="nil"/>
          <w:left w:val="nil"/>
          <w:bottom w:val="nil"/>
          <w:right w:val="nil"/>
          <w:between w:val="nil"/>
        </w:pBdr>
        <w:spacing w:line="275" w:lineRule="auto"/>
        <w:jc w:val="thaiDistribute"/>
        <w:rPr>
          <w:sz w:val="24"/>
          <w:szCs w:val="24"/>
        </w:rPr>
      </w:pPr>
    </w:p>
    <w:p w14:paraId="231F625A" w14:textId="77777777" w:rsidR="00DD40A8" w:rsidRPr="00792B36" w:rsidRDefault="00DD40A8">
      <w:pPr>
        <w:rPr>
          <w:b/>
          <w:bCs/>
          <w:sz w:val="28"/>
          <w:szCs w:val="28"/>
        </w:rPr>
      </w:pPr>
      <w:r w:rsidRPr="00792B36">
        <w:rPr>
          <w:b/>
          <w:bCs/>
          <w:sz w:val="28"/>
          <w:szCs w:val="28"/>
        </w:rPr>
        <w:br w:type="page"/>
      </w:r>
    </w:p>
    <w:p w14:paraId="6C5D18B8" w14:textId="1E734C88" w:rsidR="00DB4CBA" w:rsidRPr="00792B36" w:rsidRDefault="00BA713F" w:rsidP="00DB4CBA">
      <w:pPr>
        <w:pBdr>
          <w:top w:val="nil"/>
          <w:left w:val="nil"/>
          <w:bottom w:val="nil"/>
          <w:right w:val="nil"/>
          <w:between w:val="nil"/>
        </w:pBdr>
        <w:spacing w:line="360" w:lineRule="auto"/>
        <w:contextualSpacing/>
        <w:rPr>
          <w:b/>
          <w:bCs/>
          <w:color w:val="000000" w:themeColor="text1"/>
          <w:sz w:val="28"/>
          <w:szCs w:val="28"/>
        </w:rPr>
      </w:pPr>
      <w:r w:rsidRPr="00792B36">
        <w:rPr>
          <w:b/>
          <w:bCs/>
          <w:sz w:val="28"/>
          <w:szCs w:val="28"/>
        </w:rPr>
        <w:lastRenderedPageBreak/>
        <w:t xml:space="preserve">II. </w:t>
      </w:r>
      <w:r w:rsidRPr="00792B36">
        <w:rPr>
          <w:b/>
          <w:bCs/>
          <w:color w:val="000000" w:themeColor="text1"/>
          <w:sz w:val="28"/>
          <w:szCs w:val="28"/>
        </w:rPr>
        <w:t>Socioeconomics and Climate-related threats</w:t>
      </w:r>
    </w:p>
    <w:p w14:paraId="2F02EE0E" w14:textId="77777777" w:rsidR="00DB4CBA" w:rsidRPr="00792B36" w:rsidRDefault="00DB4CBA" w:rsidP="00DB4CBA">
      <w:pPr>
        <w:spacing w:line="360" w:lineRule="auto"/>
        <w:jc w:val="center"/>
        <w:rPr>
          <w:b/>
          <w:bCs/>
          <w:sz w:val="24"/>
          <w:szCs w:val="32"/>
        </w:rPr>
      </w:pPr>
    </w:p>
    <w:p w14:paraId="1A7D2366" w14:textId="77777777" w:rsidR="00DB4CBA" w:rsidRPr="00792B36" w:rsidRDefault="00DB4CBA" w:rsidP="00DB4CBA">
      <w:pPr>
        <w:spacing w:line="360" w:lineRule="auto"/>
        <w:jc w:val="center"/>
        <w:rPr>
          <w:b/>
          <w:bCs/>
          <w:sz w:val="24"/>
          <w:szCs w:val="32"/>
        </w:rPr>
      </w:pPr>
    </w:p>
    <w:p w14:paraId="558FEB89" w14:textId="5001B3D7" w:rsidR="00DB4CBA" w:rsidRPr="00792B36" w:rsidRDefault="00DB4CBA" w:rsidP="00DB4CBA">
      <w:pPr>
        <w:spacing w:line="360" w:lineRule="auto"/>
        <w:jc w:val="center"/>
        <w:rPr>
          <w:b/>
          <w:bCs/>
          <w:sz w:val="24"/>
          <w:szCs w:val="32"/>
        </w:rPr>
      </w:pPr>
      <w:r w:rsidRPr="00792B36">
        <w:rPr>
          <w:b/>
          <w:bCs/>
          <w:sz w:val="24"/>
          <w:szCs w:val="32"/>
        </w:rPr>
        <w:t>Abstract</w:t>
      </w:r>
    </w:p>
    <w:p w14:paraId="0D4BC94E" w14:textId="77777777" w:rsidR="00DB4CBA" w:rsidRPr="00792B36" w:rsidRDefault="00DB4CBA" w:rsidP="00DB4CBA">
      <w:pPr>
        <w:spacing w:line="360" w:lineRule="auto"/>
        <w:jc w:val="center"/>
        <w:rPr>
          <w:b/>
          <w:bCs/>
          <w:sz w:val="24"/>
          <w:szCs w:val="32"/>
        </w:rPr>
      </w:pPr>
    </w:p>
    <w:p w14:paraId="2F766358" w14:textId="77777777" w:rsidR="00DB4CBA" w:rsidRPr="00792B36" w:rsidRDefault="00DB4CBA" w:rsidP="00DB4CBA">
      <w:pPr>
        <w:spacing w:line="360" w:lineRule="auto"/>
        <w:jc w:val="thaiDistribute"/>
        <w:rPr>
          <w:sz w:val="24"/>
          <w:szCs w:val="32"/>
        </w:rPr>
      </w:pPr>
      <w:r w:rsidRPr="00792B36">
        <w:rPr>
          <w:sz w:val="24"/>
          <w:szCs w:val="32"/>
        </w:rPr>
        <w:t>This National Transboundary Diagnostic Analysis (TDA) report evaluates Thailand's current vulnerabilities by examining socioeconomic risks, climate hazards, and the existing policy framework. The analysis employs a Composite Risk Index (CRI), which integrates risk magnitude and intensity metrics to prioritize coastal management efforts. This diagnostic tool categorizes coastal provinces into three distinct groups: 'Pure intensity risk' areas, such as economic hubs requiring targeted spatial management; 'Pure magnitude risk' zones, comprising large provinces that need broad resource planning; and 'Hybrid risk' regions, which score high in both metrics and demand the most integrated policy response. To address these challenges, Thailand relies on an established multi-level policy architecture, extending from the Level 1 National Strategy (2018-2037) and the Level 2 13th National Economic and Social Development Plan down to Level 3 agency-specific mandates, such as the Department of Climate Change and Environment (DCCE) Action Plans. Despite this robust planning, four critical implementation deficiencies remain: strategic gaps arising from poor coordination between economic and climate policies, technical gaps due to scientific uncertainty, operational gaps caused by resource constraints in agencies like the DCCE, and systemic gaps where budgeting prioritizes reactive relief over proactive mitigation. Consequently, shifting from reactive to proactive governance requires reforming the budget structure to favor prevention backed by risk assessment models and implementing differentiated, area-based adaptation tailored to specific risk profiles, such as infrastructure resilience for 'Intensity-risk' areas and ecosystem restoration for 'Magnitude-risk' zones. Finally, strengthening regional cooperation is essential to manage shared threats through upgraded early warning systems and joint climate finance strategies.</w:t>
      </w:r>
    </w:p>
    <w:p w14:paraId="6BCDEEAC" w14:textId="77777777" w:rsidR="00DB4CBA" w:rsidRPr="00792B36" w:rsidRDefault="00DB4CBA" w:rsidP="00DB4CBA">
      <w:pPr>
        <w:spacing w:line="360" w:lineRule="auto"/>
        <w:jc w:val="thaiDistribute"/>
        <w:rPr>
          <w:sz w:val="24"/>
          <w:szCs w:val="32"/>
          <w:cs/>
        </w:rPr>
      </w:pPr>
    </w:p>
    <w:p w14:paraId="564A362B" w14:textId="77777777" w:rsidR="00DB4CBA" w:rsidRPr="00792B36" w:rsidRDefault="00DB4CBA" w:rsidP="00DB4CBA">
      <w:pPr>
        <w:spacing w:line="360" w:lineRule="auto"/>
        <w:jc w:val="thaiDistribute"/>
        <w:rPr>
          <w:sz w:val="24"/>
          <w:szCs w:val="32"/>
        </w:rPr>
      </w:pPr>
      <w:r w:rsidRPr="00792B36">
        <w:rPr>
          <w:b/>
          <w:bCs/>
          <w:sz w:val="24"/>
          <w:szCs w:val="32"/>
        </w:rPr>
        <w:t>Keywords:</w:t>
      </w:r>
      <w:r w:rsidRPr="00792B36">
        <w:rPr>
          <w:sz w:val="24"/>
          <w:szCs w:val="32"/>
        </w:rPr>
        <w:t xml:space="preserve"> National Transboundary Diagnostic Analysis (TDA), Composite Risk Index (CRI), Coastal vulnerability</w:t>
      </w:r>
    </w:p>
    <w:p w14:paraId="67C57A56" w14:textId="77777777" w:rsidR="00DB4CBA" w:rsidRPr="00792B36" w:rsidRDefault="00DB4CBA">
      <w:pPr>
        <w:rPr>
          <w:b/>
          <w:bCs/>
          <w:color w:val="000000" w:themeColor="text1"/>
          <w:sz w:val="24"/>
          <w:szCs w:val="24"/>
        </w:rPr>
      </w:pPr>
      <w:r w:rsidRPr="00792B36">
        <w:rPr>
          <w:b/>
          <w:bCs/>
          <w:color w:val="000000" w:themeColor="text1"/>
          <w:sz w:val="24"/>
          <w:szCs w:val="24"/>
        </w:rPr>
        <w:br w:type="page"/>
      </w:r>
    </w:p>
    <w:p w14:paraId="6F01DAB6" w14:textId="4DC3B361" w:rsidR="00BA713F" w:rsidRPr="00792B36" w:rsidRDefault="00BA713F" w:rsidP="00BA713F">
      <w:pPr>
        <w:pBdr>
          <w:top w:val="nil"/>
          <w:left w:val="nil"/>
          <w:bottom w:val="nil"/>
          <w:right w:val="nil"/>
          <w:between w:val="nil"/>
        </w:pBdr>
        <w:spacing w:line="360" w:lineRule="auto"/>
        <w:contextualSpacing/>
        <w:rPr>
          <w:b/>
          <w:bCs/>
          <w:color w:val="000000" w:themeColor="text1"/>
          <w:sz w:val="24"/>
          <w:szCs w:val="24"/>
        </w:rPr>
      </w:pPr>
      <w:r w:rsidRPr="00792B36">
        <w:rPr>
          <w:b/>
          <w:bCs/>
          <w:color w:val="000000" w:themeColor="text1"/>
          <w:sz w:val="24"/>
          <w:szCs w:val="24"/>
        </w:rPr>
        <w:lastRenderedPageBreak/>
        <w:t>2.1 Key findings</w:t>
      </w:r>
    </w:p>
    <w:p w14:paraId="35306032" w14:textId="77777777" w:rsidR="00BA713F" w:rsidRPr="00792B36" w:rsidRDefault="00BA713F" w:rsidP="00BA713F">
      <w:pPr>
        <w:pBdr>
          <w:top w:val="nil"/>
          <w:left w:val="nil"/>
          <w:bottom w:val="nil"/>
          <w:right w:val="nil"/>
          <w:between w:val="nil"/>
        </w:pBdr>
        <w:spacing w:line="360" w:lineRule="auto"/>
        <w:contextualSpacing/>
        <w:jc w:val="thaiDistribute"/>
        <w:rPr>
          <w:color w:val="000000" w:themeColor="text1"/>
          <w:sz w:val="24"/>
          <w:szCs w:val="24"/>
        </w:rPr>
      </w:pPr>
      <w:r w:rsidRPr="00792B36">
        <w:rPr>
          <w:color w:val="000000" w:themeColor="text1"/>
          <w:sz w:val="24"/>
          <w:szCs w:val="24"/>
        </w:rPr>
        <w:t>This National TDA report assesses Thailand's current vulnerabilities by analyzing socioeconomic risks, climate hazards, and the policy landscape. The synthesis yields the following key findings:</w:t>
      </w:r>
    </w:p>
    <w:p w14:paraId="1BE71D2E" w14:textId="77777777" w:rsidR="00BA713F" w:rsidRPr="00792B36" w:rsidRDefault="00BA713F" w:rsidP="00BA713F">
      <w:pPr>
        <w:pBdr>
          <w:top w:val="nil"/>
          <w:left w:val="nil"/>
          <w:bottom w:val="nil"/>
          <w:right w:val="nil"/>
          <w:between w:val="nil"/>
        </w:pBdr>
        <w:spacing w:line="360" w:lineRule="auto"/>
        <w:contextualSpacing/>
        <w:jc w:val="thaiDistribute"/>
        <w:rPr>
          <w:color w:val="000000" w:themeColor="text1"/>
          <w:sz w:val="24"/>
          <w:szCs w:val="24"/>
        </w:rPr>
      </w:pPr>
    </w:p>
    <w:p w14:paraId="0C573E56" w14:textId="77777777" w:rsidR="00BA713F" w:rsidRPr="00792B36" w:rsidRDefault="00BA713F" w:rsidP="00BA713F">
      <w:pPr>
        <w:pBdr>
          <w:top w:val="nil"/>
          <w:left w:val="nil"/>
          <w:bottom w:val="nil"/>
          <w:right w:val="nil"/>
          <w:between w:val="nil"/>
        </w:pBdr>
        <w:spacing w:line="360" w:lineRule="auto"/>
        <w:ind w:firstLine="720"/>
        <w:contextualSpacing/>
        <w:jc w:val="thaiDistribute"/>
        <w:rPr>
          <w:color w:val="000000" w:themeColor="text1"/>
          <w:sz w:val="24"/>
          <w:szCs w:val="24"/>
        </w:rPr>
      </w:pPr>
      <w:r w:rsidRPr="00792B36">
        <w:rPr>
          <w:color w:val="000000" w:themeColor="text1"/>
          <w:sz w:val="24"/>
          <w:szCs w:val="24"/>
        </w:rPr>
        <w:t>1. Distinct socioeconomic risk profiles</w:t>
      </w:r>
      <w:r w:rsidRPr="00792B36">
        <w:rPr>
          <w:b/>
          <w:bCs/>
          <w:color w:val="000000" w:themeColor="text1"/>
          <w:sz w:val="24"/>
          <w:szCs w:val="24"/>
        </w:rPr>
        <w:t>:</w:t>
      </w:r>
      <w:r w:rsidRPr="00792B36">
        <w:rPr>
          <w:color w:val="000000" w:themeColor="text1"/>
          <w:sz w:val="24"/>
          <w:szCs w:val="24"/>
        </w:rPr>
        <w:t xml:space="preserve"> The Composite Risk Index classifies coastal provinces into three priority groups. The 'Pure intensity risk' group covers economic hubs like Bangkok that need targeted spatial management. The 'Pure magnitude risk' group includes large provinces like Surat Thani requiring broad resource planning. Finally, the 'Hybrid risk' group ranks high in both metrics and demands the most integrated policy response.</w:t>
      </w:r>
    </w:p>
    <w:p w14:paraId="09FF2DCE" w14:textId="77777777" w:rsidR="00BA713F" w:rsidRPr="00792B36" w:rsidRDefault="00BA713F" w:rsidP="00BA713F">
      <w:pPr>
        <w:pBdr>
          <w:top w:val="nil"/>
          <w:left w:val="nil"/>
          <w:bottom w:val="nil"/>
          <w:right w:val="nil"/>
          <w:between w:val="nil"/>
        </w:pBdr>
        <w:spacing w:line="360" w:lineRule="auto"/>
        <w:ind w:firstLine="720"/>
        <w:contextualSpacing/>
        <w:jc w:val="thaiDistribute"/>
        <w:rPr>
          <w:color w:val="000000" w:themeColor="text1"/>
          <w:sz w:val="24"/>
          <w:szCs w:val="24"/>
        </w:rPr>
      </w:pPr>
      <w:r w:rsidRPr="00792B36">
        <w:rPr>
          <w:color w:val="000000" w:themeColor="text1"/>
          <w:sz w:val="24"/>
          <w:szCs w:val="24"/>
        </w:rPr>
        <w:t>2. Climate hazards as risk multipliers: Physical threats act as a multiplier that intensifies existing socioeconomic vulnerabilities. National data confirms that hydrometeorological hazards, such as cyclones and erosion, significantly amplify the risks facing coastal provinces.</w:t>
      </w:r>
    </w:p>
    <w:p w14:paraId="1D8CF308" w14:textId="77777777" w:rsidR="00BA713F" w:rsidRPr="00792B36" w:rsidRDefault="00BA713F" w:rsidP="00BA713F">
      <w:pPr>
        <w:pBdr>
          <w:top w:val="nil"/>
          <w:left w:val="nil"/>
          <w:bottom w:val="nil"/>
          <w:right w:val="nil"/>
          <w:between w:val="nil"/>
        </w:pBdr>
        <w:spacing w:line="360" w:lineRule="auto"/>
        <w:ind w:firstLine="720"/>
        <w:contextualSpacing/>
        <w:jc w:val="thaiDistribute"/>
        <w:rPr>
          <w:color w:val="000000" w:themeColor="text1"/>
          <w:sz w:val="24"/>
          <w:szCs w:val="24"/>
        </w:rPr>
      </w:pPr>
      <w:r w:rsidRPr="00792B36">
        <w:rPr>
          <w:color w:val="000000" w:themeColor="text1"/>
          <w:sz w:val="24"/>
          <w:szCs w:val="24"/>
        </w:rPr>
        <w:t xml:space="preserve">3. Established policy architecture: Thailand </w:t>
      </w:r>
      <w:r w:rsidRPr="00792B36">
        <w:rPr>
          <w:color w:val="000000" w:themeColor="text1"/>
          <w:sz w:val="24"/>
          <w:szCs w:val="30"/>
        </w:rPr>
        <w:t>has established</w:t>
      </w:r>
      <w:r w:rsidRPr="00792B36">
        <w:rPr>
          <w:color w:val="000000" w:themeColor="text1"/>
          <w:sz w:val="24"/>
          <w:szCs w:val="24"/>
        </w:rPr>
        <w:t xml:space="preserve"> a comprehensive multi-level framework to address these challenges. This hierarchy spans from the Level 1 National Strategy (2018-2037) to the Level 2 13th National Economic and Social Development Plan, specifically Milestone 11. It is then operationalized through Level 3 agency-specific frameworks, such as the Action Plans of the Department of Climate Change and Environment.</w:t>
      </w:r>
    </w:p>
    <w:p w14:paraId="4354406A" w14:textId="77777777" w:rsidR="00BA713F" w:rsidRPr="00792B36" w:rsidRDefault="00BA713F" w:rsidP="00BA713F">
      <w:pPr>
        <w:pBdr>
          <w:top w:val="nil"/>
          <w:left w:val="nil"/>
          <w:bottom w:val="nil"/>
          <w:right w:val="nil"/>
          <w:between w:val="nil"/>
        </w:pBdr>
        <w:spacing w:line="360" w:lineRule="auto"/>
        <w:ind w:firstLine="720"/>
        <w:contextualSpacing/>
        <w:jc w:val="thaiDistribute"/>
        <w:rPr>
          <w:color w:val="000000" w:themeColor="text1"/>
          <w:sz w:val="24"/>
          <w:szCs w:val="24"/>
        </w:rPr>
      </w:pPr>
      <w:r w:rsidRPr="00792B36">
        <w:rPr>
          <w:color w:val="000000" w:themeColor="text1"/>
          <w:sz w:val="24"/>
          <w:szCs w:val="24"/>
        </w:rPr>
        <w:t xml:space="preserve">4. </w:t>
      </w:r>
      <w:bookmarkStart w:id="3" w:name="_Hlk214007446"/>
      <w:r w:rsidRPr="00792B36">
        <w:rPr>
          <w:color w:val="000000" w:themeColor="text1"/>
          <w:sz w:val="24"/>
          <w:szCs w:val="24"/>
        </w:rPr>
        <w:t>Critical implementation gaps: Despite good planning, four deficiencies hinder progress. Strategic gaps arise from a lack of coordination between economic and climate policies. Technical gaps arise from scientific uncertainty about specific climate impacts. Operational gaps involve resource constraints where agencies like the DCCE face expanded mandates without sufficient budget or staff. Systemic gaps persist due to a budgeting preference for reactive relief over proactive mitigation.</w:t>
      </w:r>
    </w:p>
    <w:p w14:paraId="1237F96E" w14:textId="77777777" w:rsidR="00BA713F" w:rsidRPr="00792B36" w:rsidRDefault="00BA713F" w:rsidP="00BA713F">
      <w:pPr>
        <w:pBdr>
          <w:top w:val="nil"/>
          <w:left w:val="nil"/>
          <w:bottom w:val="nil"/>
          <w:right w:val="nil"/>
          <w:between w:val="nil"/>
        </w:pBdr>
        <w:spacing w:line="360" w:lineRule="auto"/>
        <w:ind w:firstLine="720"/>
        <w:contextualSpacing/>
        <w:jc w:val="thaiDistribute"/>
        <w:rPr>
          <w:color w:val="000000" w:themeColor="text1"/>
          <w:sz w:val="24"/>
          <w:szCs w:val="24"/>
        </w:rPr>
      </w:pPr>
      <w:r w:rsidRPr="00792B36">
        <w:rPr>
          <w:color w:val="000000" w:themeColor="text1"/>
          <w:sz w:val="24"/>
          <w:szCs w:val="24"/>
        </w:rPr>
        <w:t xml:space="preserve">5. Priority actions to transition from reactive to proactive governance: A shift to proactive governance requires three key steps. First, the budget structure must change to prioritize prevention, supported by data from applied risk assessment models. Second, the government needs to implement differentiated, area-based adaptation. This means tailoring responses to specific needs, such as infrastructure resilience for 'Intensity-risk' groups, ecosystem restoration for 'Magnitude-risk' groups, and comprehensive planning for 'Hybrid-risk' areas. Third, regional cooperation must </w:t>
      </w:r>
      <w:r w:rsidRPr="00792B36">
        <w:rPr>
          <w:color w:val="000000" w:themeColor="text1"/>
          <w:sz w:val="24"/>
          <w:szCs w:val="24"/>
        </w:rPr>
        <w:lastRenderedPageBreak/>
        <w:t>be strengthened to manage shared threats. Essential measures include upgrading early warning systems, managing marine pollution and oil spills collaboratively, and formulating joint strategies for climate finance.</w:t>
      </w:r>
    </w:p>
    <w:p w14:paraId="0868990D" w14:textId="77777777" w:rsidR="00BA713F" w:rsidRPr="00792B36" w:rsidRDefault="00BA713F" w:rsidP="00BA713F">
      <w:pPr>
        <w:pBdr>
          <w:top w:val="nil"/>
          <w:left w:val="nil"/>
          <w:bottom w:val="nil"/>
          <w:right w:val="nil"/>
          <w:between w:val="nil"/>
        </w:pBdr>
        <w:spacing w:line="360" w:lineRule="auto"/>
        <w:ind w:firstLine="720"/>
        <w:contextualSpacing/>
        <w:jc w:val="thaiDistribute"/>
        <w:rPr>
          <w:color w:val="000000" w:themeColor="text1"/>
          <w:sz w:val="24"/>
          <w:szCs w:val="24"/>
        </w:rPr>
      </w:pPr>
    </w:p>
    <w:bookmarkEnd w:id="3"/>
    <w:p w14:paraId="2FC44205" w14:textId="77777777" w:rsidR="00BA713F" w:rsidRPr="00792B36" w:rsidRDefault="00BA713F" w:rsidP="00BA713F">
      <w:pPr>
        <w:pBdr>
          <w:top w:val="nil"/>
          <w:left w:val="nil"/>
          <w:bottom w:val="nil"/>
          <w:right w:val="nil"/>
          <w:between w:val="nil"/>
        </w:pBdr>
        <w:spacing w:line="360" w:lineRule="auto"/>
        <w:contextualSpacing/>
        <w:rPr>
          <w:b/>
          <w:bCs/>
          <w:color w:val="000000" w:themeColor="text1"/>
          <w:sz w:val="24"/>
          <w:szCs w:val="24"/>
        </w:rPr>
      </w:pPr>
      <w:r w:rsidRPr="00792B36">
        <w:rPr>
          <w:b/>
          <w:bCs/>
          <w:color w:val="000000" w:themeColor="text1"/>
          <w:sz w:val="24"/>
          <w:szCs w:val="24"/>
        </w:rPr>
        <w:t>2.2 Current status by indicator group</w:t>
      </w:r>
    </w:p>
    <w:p w14:paraId="1725796F" w14:textId="77777777" w:rsidR="00BA713F" w:rsidRPr="00792B36" w:rsidRDefault="00BA713F" w:rsidP="00BA713F">
      <w:pPr>
        <w:pBdr>
          <w:top w:val="nil"/>
          <w:left w:val="nil"/>
          <w:bottom w:val="nil"/>
          <w:right w:val="nil"/>
          <w:between w:val="nil"/>
        </w:pBdr>
        <w:spacing w:line="360" w:lineRule="auto"/>
        <w:contextualSpacing/>
        <w:rPr>
          <w:b/>
          <w:bCs/>
          <w:color w:val="000000" w:themeColor="text1"/>
          <w:sz w:val="24"/>
          <w:szCs w:val="24"/>
        </w:rPr>
      </w:pPr>
    </w:p>
    <w:p w14:paraId="13B052F8" w14:textId="77777777" w:rsidR="00BA713F" w:rsidRPr="00792B36" w:rsidRDefault="00BA713F" w:rsidP="00BA713F">
      <w:pPr>
        <w:pBdr>
          <w:top w:val="nil"/>
          <w:left w:val="nil"/>
          <w:bottom w:val="nil"/>
          <w:right w:val="nil"/>
          <w:between w:val="nil"/>
        </w:pBdr>
        <w:spacing w:line="360" w:lineRule="auto"/>
        <w:contextualSpacing/>
        <w:rPr>
          <w:color w:val="000000" w:themeColor="text1"/>
          <w:sz w:val="24"/>
          <w:szCs w:val="24"/>
        </w:rPr>
      </w:pPr>
      <w:r w:rsidRPr="00792B36">
        <w:rPr>
          <w:b/>
          <w:bCs/>
          <w:color w:val="000000" w:themeColor="text1"/>
          <w:sz w:val="24"/>
          <w:szCs w:val="24"/>
        </w:rPr>
        <w:t>2.2.1 Demographic patterns</w:t>
      </w:r>
      <w:r w:rsidRPr="00792B36">
        <w:rPr>
          <w:color w:val="000000" w:themeColor="text1"/>
          <w:sz w:val="24"/>
          <w:szCs w:val="24"/>
        </w:rPr>
        <w:t xml:space="preserve"> </w:t>
      </w:r>
    </w:p>
    <w:p w14:paraId="6E6BBE0C" w14:textId="77777777" w:rsidR="00BA713F" w:rsidRPr="00792B36" w:rsidRDefault="00BA713F" w:rsidP="00BA713F">
      <w:pPr>
        <w:pBdr>
          <w:top w:val="nil"/>
          <w:left w:val="nil"/>
          <w:bottom w:val="nil"/>
          <w:right w:val="nil"/>
          <w:between w:val="nil"/>
        </w:pBdr>
        <w:spacing w:line="360" w:lineRule="auto"/>
        <w:contextualSpacing/>
        <w:jc w:val="both"/>
        <w:rPr>
          <w:color w:val="000000" w:themeColor="text1"/>
          <w:sz w:val="24"/>
          <w:szCs w:val="24"/>
        </w:rPr>
      </w:pPr>
    </w:p>
    <w:p w14:paraId="3666B6EA" w14:textId="77777777" w:rsidR="00BA713F" w:rsidRPr="00792B36" w:rsidRDefault="00BA713F" w:rsidP="00BA713F">
      <w:pPr>
        <w:pBdr>
          <w:top w:val="nil"/>
          <w:left w:val="nil"/>
          <w:bottom w:val="nil"/>
          <w:right w:val="nil"/>
          <w:between w:val="nil"/>
        </w:pBdr>
        <w:spacing w:line="360" w:lineRule="auto"/>
        <w:contextualSpacing/>
        <w:jc w:val="both"/>
        <w:rPr>
          <w:color w:val="000000" w:themeColor="text1"/>
          <w:sz w:val="24"/>
          <w:szCs w:val="24"/>
          <w:cs/>
        </w:rPr>
      </w:pPr>
      <w:r w:rsidRPr="00792B36">
        <w:rPr>
          <w:color w:val="000000" w:themeColor="text1"/>
          <w:sz w:val="24"/>
          <w:szCs w:val="24"/>
        </w:rPr>
        <w:t>Thailand has 23 coastal provinces,</w:t>
      </w:r>
      <w:r w:rsidRPr="00792B36">
        <w:rPr>
          <w:color w:val="000000" w:themeColor="text1"/>
          <w:sz w:val="24"/>
          <w:szCs w:val="24"/>
          <w:cs/>
        </w:rPr>
        <w:t xml:space="preserve"> </w:t>
      </w:r>
      <w:r w:rsidRPr="00792B36">
        <w:rPr>
          <w:color w:val="000000" w:themeColor="text1"/>
          <w:sz w:val="24"/>
          <w:szCs w:val="24"/>
        </w:rPr>
        <w:t xml:space="preserve">including Bangkok, stretching along both the Gulf of Thailand and the Andaman Sea, covering a diverse range of ecological, economic, and geographic characteristics </w:t>
      </w:r>
      <w:r w:rsidRPr="00792B36">
        <w:rPr>
          <w:b/>
          <w:bCs/>
          <w:color w:val="000000" w:themeColor="text1"/>
          <w:sz w:val="24"/>
          <w:szCs w:val="24"/>
        </w:rPr>
        <w:t>(Figure 2.1)</w:t>
      </w:r>
      <w:r w:rsidRPr="00792B36">
        <w:rPr>
          <w:color w:val="000000" w:themeColor="text1"/>
          <w:sz w:val="24"/>
          <w:szCs w:val="24"/>
        </w:rPr>
        <w:t>. Of these, six provinces are situated along the Andaman coast, namely Ranong, Phang-nga, Phuket, Krabi, Trang, and Satun, while seventeen provinces lie along the Gulf of Thailand, including Trat, Chanthaburi, Rayong, Chon Buri, Samut Prakan, Samut Sakhon, Samut Songkhram, Bangkok, Chachoengsao, Phetchaburi, Prachuap Khiri Khan, Chumphon, Surat Thani, Nakhon Si Thammarat, Songkhla, Pattani, and Narathiwat.</w:t>
      </w:r>
      <w:r w:rsidRPr="00792B36">
        <w:rPr>
          <w:color w:val="000000" w:themeColor="text1"/>
          <w:sz w:val="24"/>
          <w:szCs w:val="24"/>
          <w:cs/>
        </w:rPr>
        <w:t xml:space="preserve"> </w:t>
      </w:r>
      <w:r w:rsidRPr="00792B36">
        <w:rPr>
          <w:color w:val="000000" w:themeColor="text1"/>
          <w:sz w:val="24"/>
          <w:szCs w:val="24"/>
        </w:rPr>
        <w:t>The province with the longest coastline is Chumphon, extending approximately 248.33 kilometers, whereas Bangkok has the shortest coastline, measuring only 7.11 kilometers.</w:t>
      </w:r>
    </w:p>
    <w:p w14:paraId="1D83FFB5" w14:textId="77777777" w:rsidR="00BA713F" w:rsidRPr="00792B36" w:rsidRDefault="00BA713F" w:rsidP="00BA713F">
      <w:pPr>
        <w:pBdr>
          <w:top w:val="nil"/>
          <w:left w:val="nil"/>
          <w:bottom w:val="nil"/>
          <w:right w:val="nil"/>
          <w:between w:val="nil"/>
        </w:pBdr>
        <w:spacing w:line="360" w:lineRule="auto"/>
        <w:contextualSpacing/>
        <w:jc w:val="both"/>
        <w:rPr>
          <w:color w:val="000000" w:themeColor="text1"/>
          <w:sz w:val="24"/>
          <w:szCs w:val="24"/>
        </w:rPr>
      </w:pPr>
      <w:r w:rsidRPr="00792B36">
        <w:rPr>
          <w:noProof/>
          <w:color w:val="000000" w:themeColor="text1"/>
          <w:sz w:val="24"/>
          <w:szCs w:val="24"/>
        </w:rPr>
        <mc:AlternateContent>
          <mc:Choice Requires="wpi">
            <w:drawing>
              <wp:anchor distT="0" distB="0" distL="114300" distR="114300" simplePos="0" relativeHeight="251666432" behindDoc="0" locked="0" layoutInCell="1" allowOverlap="1" wp14:anchorId="36906B7D" wp14:editId="5D786018">
                <wp:simplePos x="0" y="0"/>
                <wp:positionH relativeFrom="column">
                  <wp:posOffset>2914650</wp:posOffset>
                </wp:positionH>
                <wp:positionV relativeFrom="paragraph">
                  <wp:posOffset>76110</wp:posOffset>
                </wp:positionV>
                <wp:extent cx="360" cy="360"/>
                <wp:effectExtent l="57150" t="57150" r="57150" b="57150"/>
                <wp:wrapNone/>
                <wp:docPr id="2110964685" name="Ink 44"/>
                <wp:cNvGraphicFramePr/>
                <a:graphic xmlns:a="http://schemas.openxmlformats.org/drawingml/2006/main">
                  <a:graphicData uri="http://schemas.microsoft.com/office/word/2010/wordprocessingInk">
                    <w14:contentPart bwMode="auto" r:id="rId21">
                      <w14:nvContentPartPr>
                        <w14:cNvContentPartPr/>
                      </w14:nvContentPartPr>
                      <w14:xfrm>
                        <a:off x="0" y="0"/>
                        <a:ext cx="360" cy="360"/>
                      </w14:xfrm>
                    </w14:contentPart>
                  </a:graphicData>
                </a:graphic>
              </wp:anchor>
            </w:drawing>
          </mc:Choice>
          <mc:Fallback>
            <w:pict>
              <v:shapetype w14:anchorId="0D602D5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nk 44" o:spid="_x0000_s1026" type="#_x0000_t75" style="position:absolute;margin-left:228.8pt;margin-top:5.3pt;width:1.45pt;height:1.45pt;z-index:251666432;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3;&#10;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">
                <v:imagedata r:id="rId22" o:title=""/>
              </v:shape>
            </w:pict>
          </mc:Fallback>
        </mc:AlternateConten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017"/>
      </w:tblGrid>
      <w:tr w:rsidR="00BA713F" w:rsidRPr="00792B36" w14:paraId="46603D97" w14:textId="77777777" w:rsidTr="0096560E">
        <w:tc>
          <w:tcPr>
            <w:tcW w:w="9017" w:type="dxa"/>
          </w:tcPr>
          <w:p w14:paraId="6BF58E47" w14:textId="77777777" w:rsidR="00BA713F" w:rsidRPr="00792B36" w:rsidRDefault="00BA713F" w:rsidP="0096560E">
            <w:pPr>
              <w:spacing w:line="360" w:lineRule="auto"/>
              <w:contextualSpacing/>
              <w:jc w:val="center"/>
              <w:rPr>
                <w:color w:val="000000" w:themeColor="text1"/>
                <w:sz w:val="24"/>
                <w:szCs w:val="24"/>
              </w:rPr>
            </w:pPr>
            <w:r w:rsidRPr="00792B36">
              <w:rPr>
                <w:noProof/>
                <w:color w:val="000000" w:themeColor="text1"/>
                <w:sz w:val="24"/>
                <w:szCs w:val="24"/>
              </w:rPr>
              <w:lastRenderedPageBreak/>
              <w:drawing>
                <wp:inline distT="0" distB="0" distL="0" distR="0" wp14:anchorId="6E0B4FB5" wp14:editId="0BEDC35C">
                  <wp:extent cx="3520745" cy="4976291"/>
                  <wp:effectExtent l="19050" t="19050" r="22860" b="15240"/>
                  <wp:docPr id="284705668" name="Picture 1" descr="A map of the island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4705668" name="Picture 1" descr="A map of the islands&#10;&#10;AI-generated content may be incorrect."/>
                          <pic:cNvPicPr/>
                        </pic:nvPicPr>
                        <pic:blipFill>
                          <a:blip r:embed="rId23"/>
                          <a:stretch>
                            <a:fillRect/>
                          </a:stretch>
                        </pic:blipFill>
                        <pic:spPr>
                          <a:xfrm>
                            <a:off x="0" y="0"/>
                            <a:ext cx="3520745" cy="4976291"/>
                          </a:xfrm>
                          <a:prstGeom prst="rect">
                            <a:avLst/>
                          </a:prstGeom>
                          <a:ln w="12700">
                            <a:solidFill>
                              <a:schemeClr val="bg1">
                                <a:lumMod val="65000"/>
                              </a:schemeClr>
                            </a:solidFill>
                          </a:ln>
                        </pic:spPr>
                      </pic:pic>
                    </a:graphicData>
                  </a:graphic>
                </wp:inline>
              </w:drawing>
            </w:r>
          </w:p>
        </w:tc>
      </w:tr>
      <w:tr w:rsidR="00BA713F" w:rsidRPr="00792B36" w14:paraId="0FAB13B7" w14:textId="77777777" w:rsidTr="0096560E">
        <w:tc>
          <w:tcPr>
            <w:tcW w:w="9017" w:type="dxa"/>
          </w:tcPr>
          <w:p w14:paraId="7527B72C" w14:textId="77777777" w:rsidR="00BA713F" w:rsidRPr="00792B36" w:rsidRDefault="00BA713F" w:rsidP="0096560E">
            <w:pPr>
              <w:spacing w:line="360" w:lineRule="auto"/>
              <w:contextualSpacing/>
              <w:jc w:val="both"/>
              <w:rPr>
                <w:color w:val="000000" w:themeColor="text1"/>
                <w:sz w:val="24"/>
                <w:szCs w:val="24"/>
              </w:rPr>
            </w:pPr>
          </w:p>
        </w:tc>
      </w:tr>
      <w:tr w:rsidR="00BA713F" w:rsidRPr="00792B36" w14:paraId="350DF2CC" w14:textId="77777777" w:rsidTr="0096560E">
        <w:tc>
          <w:tcPr>
            <w:tcW w:w="9017" w:type="dxa"/>
          </w:tcPr>
          <w:p w14:paraId="31200935" w14:textId="77777777" w:rsidR="00BA713F" w:rsidRPr="00792B36" w:rsidRDefault="00BA713F" w:rsidP="0096560E">
            <w:pPr>
              <w:spacing w:line="360" w:lineRule="auto"/>
              <w:contextualSpacing/>
              <w:jc w:val="center"/>
              <w:rPr>
                <w:color w:val="000000" w:themeColor="text1"/>
                <w:sz w:val="24"/>
                <w:szCs w:val="24"/>
              </w:rPr>
            </w:pPr>
            <w:r w:rsidRPr="00792B36">
              <w:rPr>
                <w:b/>
                <w:bCs/>
                <w:color w:val="000000" w:themeColor="text1"/>
                <w:sz w:val="24"/>
                <w:szCs w:val="24"/>
              </w:rPr>
              <w:t>Figure 2.1</w:t>
            </w:r>
            <w:r w:rsidRPr="00792B36">
              <w:rPr>
                <w:color w:val="000000" w:themeColor="text1"/>
                <w:sz w:val="24"/>
                <w:szCs w:val="24"/>
              </w:rPr>
              <w:t xml:space="preserve"> The coastal provinces of Thailand</w:t>
            </w:r>
          </w:p>
        </w:tc>
      </w:tr>
    </w:tbl>
    <w:p w14:paraId="73284CF4" w14:textId="77777777" w:rsidR="00BA713F" w:rsidRPr="00792B36" w:rsidRDefault="00BA713F" w:rsidP="00BA713F">
      <w:pPr>
        <w:pBdr>
          <w:top w:val="nil"/>
          <w:left w:val="nil"/>
          <w:bottom w:val="nil"/>
          <w:right w:val="nil"/>
          <w:between w:val="nil"/>
        </w:pBdr>
        <w:spacing w:line="360" w:lineRule="auto"/>
        <w:contextualSpacing/>
        <w:jc w:val="both"/>
        <w:rPr>
          <w:color w:val="000000" w:themeColor="text1"/>
          <w:sz w:val="24"/>
          <w:szCs w:val="24"/>
        </w:rPr>
      </w:pPr>
    </w:p>
    <w:p w14:paraId="6C1D2C77" w14:textId="77777777" w:rsidR="00BA713F" w:rsidRPr="00792B36" w:rsidRDefault="00BA713F" w:rsidP="00BA713F">
      <w:pPr>
        <w:pBdr>
          <w:top w:val="nil"/>
          <w:left w:val="nil"/>
          <w:bottom w:val="nil"/>
          <w:right w:val="nil"/>
          <w:between w:val="nil"/>
        </w:pBdr>
        <w:spacing w:line="360" w:lineRule="auto"/>
        <w:contextualSpacing/>
        <w:jc w:val="both"/>
        <w:rPr>
          <w:color w:val="000000" w:themeColor="text1"/>
          <w:sz w:val="24"/>
          <w:szCs w:val="24"/>
        </w:rPr>
      </w:pPr>
      <w:r w:rsidRPr="00792B36">
        <w:rPr>
          <w:color w:val="000000" w:themeColor="text1"/>
          <w:sz w:val="24"/>
          <w:szCs w:val="24"/>
        </w:rPr>
        <w:t>Co</w:t>
      </w:r>
      <w:r w:rsidRPr="00792B36">
        <w:rPr>
          <w:color w:val="000000" w:themeColor="text1"/>
          <w:sz w:val="24"/>
          <w:szCs w:val="30"/>
        </w:rPr>
        <w:t>mbined</w:t>
      </w:r>
      <w:r w:rsidRPr="00792B36">
        <w:rPr>
          <w:color w:val="000000" w:themeColor="text1"/>
          <w:sz w:val="24"/>
          <w:szCs w:val="24"/>
        </w:rPr>
        <w:t xml:space="preserve"> covering 101,647 km² as of 2020, the coastal provinces along the Gulf of Thailand account for 19.8% of the national land area. Provincial sizes vary significantly, ranging from extensive territories like Surat Thani (12,891.5 km², 2.5% of the national total) and Nakhon Si Thammarat (9,942.5 km², 1.9%) to smaller entities such as Samut Songkhram, which occupies only 416.7 km² or 0.08% of the country's total area </w:t>
      </w:r>
      <w:r w:rsidRPr="00792B36">
        <w:rPr>
          <w:b/>
          <w:bCs/>
          <w:color w:val="000000" w:themeColor="text1"/>
          <w:sz w:val="24"/>
          <w:szCs w:val="24"/>
        </w:rPr>
        <w:t>(Figure 2.2)</w:t>
      </w:r>
      <w:r w:rsidRPr="00792B36">
        <w:rPr>
          <w:color w:val="000000" w:themeColor="text1"/>
          <w:sz w:val="24"/>
          <w:szCs w:val="24"/>
        </w:rPr>
        <w:t>.</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020"/>
      </w:tblGrid>
      <w:tr w:rsidR="00BA713F" w:rsidRPr="00792B36" w14:paraId="48A02917" w14:textId="77777777" w:rsidTr="0096560E">
        <w:tc>
          <w:tcPr>
            <w:tcW w:w="9350" w:type="dxa"/>
          </w:tcPr>
          <w:p w14:paraId="363FCCCA" w14:textId="77777777" w:rsidR="00BA713F" w:rsidRPr="00792B36" w:rsidRDefault="00BA713F" w:rsidP="0096560E">
            <w:pPr>
              <w:spacing w:line="360" w:lineRule="auto"/>
              <w:contextualSpacing/>
              <w:rPr>
                <w:color w:val="000000" w:themeColor="text1"/>
                <w:sz w:val="24"/>
                <w:szCs w:val="24"/>
              </w:rPr>
            </w:pPr>
            <w:r w:rsidRPr="00792B36">
              <w:rPr>
                <w:noProof/>
                <w:color w:val="000000" w:themeColor="text1"/>
                <w:sz w:val="24"/>
                <w:szCs w:val="24"/>
              </w:rPr>
              <w:lastRenderedPageBreak/>
              <w:drawing>
                <wp:inline distT="0" distB="0" distL="0" distR="0" wp14:anchorId="1DE93A4F" wp14:editId="253AFDD9">
                  <wp:extent cx="5775036" cy="2340000"/>
                  <wp:effectExtent l="0" t="0" r="0" b="3175"/>
                  <wp:docPr id="532678447" name="Picture 102" descr="A graph of a number of land area&#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32678447" name="Picture 102" descr="A graph of a number of land area&#10;&#10;AI-generated content may be incorrect."/>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5775036" cy="2340000"/>
                          </a:xfrm>
                          <a:prstGeom prst="rect">
                            <a:avLst/>
                          </a:prstGeom>
                          <a:noFill/>
                        </pic:spPr>
                      </pic:pic>
                    </a:graphicData>
                  </a:graphic>
                </wp:inline>
              </w:drawing>
            </w:r>
          </w:p>
        </w:tc>
      </w:tr>
      <w:tr w:rsidR="00BA713F" w:rsidRPr="00792B36" w14:paraId="4D6A1AA5" w14:textId="77777777" w:rsidTr="0096560E">
        <w:tc>
          <w:tcPr>
            <w:tcW w:w="9350" w:type="dxa"/>
          </w:tcPr>
          <w:p w14:paraId="43552AAD" w14:textId="77777777" w:rsidR="00BA713F" w:rsidRPr="00792B36" w:rsidRDefault="00BA713F" w:rsidP="0096560E">
            <w:pPr>
              <w:pBdr>
                <w:top w:val="nil"/>
                <w:left w:val="nil"/>
                <w:bottom w:val="nil"/>
                <w:right w:val="nil"/>
                <w:between w:val="nil"/>
              </w:pBdr>
              <w:spacing w:line="360" w:lineRule="auto"/>
              <w:contextualSpacing/>
              <w:jc w:val="center"/>
              <w:rPr>
                <w:color w:val="000000" w:themeColor="text1"/>
                <w:sz w:val="24"/>
                <w:szCs w:val="24"/>
              </w:rPr>
            </w:pPr>
            <w:r w:rsidRPr="00792B36">
              <w:rPr>
                <w:b/>
                <w:bCs/>
                <w:color w:val="000000" w:themeColor="text1"/>
                <w:sz w:val="24"/>
                <w:szCs w:val="24"/>
              </w:rPr>
              <w:t>Figure 2.2</w:t>
            </w:r>
            <w:r w:rsidRPr="00792B36">
              <w:rPr>
                <w:color w:val="000000" w:themeColor="text1"/>
                <w:sz w:val="24"/>
                <w:szCs w:val="24"/>
              </w:rPr>
              <w:t xml:space="preserve"> Land area and national share of coastal provinces along the Gulf of Thailand (2020)</w:t>
            </w:r>
          </w:p>
          <w:p w14:paraId="35530817" w14:textId="77777777" w:rsidR="00BA713F" w:rsidRPr="00792B36" w:rsidRDefault="00BA713F" w:rsidP="0096560E">
            <w:pPr>
              <w:pBdr>
                <w:top w:val="nil"/>
                <w:left w:val="nil"/>
                <w:bottom w:val="nil"/>
                <w:right w:val="nil"/>
                <w:between w:val="nil"/>
              </w:pBdr>
              <w:spacing w:line="360" w:lineRule="auto"/>
              <w:contextualSpacing/>
              <w:jc w:val="center"/>
              <w:rPr>
                <w:color w:val="000000" w:themeColor="text1"/>
                <w:sz w:val="24"/>
                <w:szCs w:val="24"/>
                <w:cs/>
              </w:rPr>
            </w:pPr>
            <w:r w:rsidRPr="00792B36">
              <w:rPr>
                <w:color w:val="000000" w:themeColor="text1"/>
                <w:sz w:val="20"/>
                <w:szCs w:val="20"/>
              </w:rPr>
              <w:t xml:space="preserve">Source: Department of Provincial Administration. 2025. Official statistics registration systems. </w:t>
            </w:r>
            <w:r w:rsidRPr="00792B36">
              <w:fldChar w:fldCharType="begin"/>
            </w:r>
            <w:r w:rsidRPr="00792B36">
              <w:instrText>HYPERLINK "https://stat.bora.dopa.go.th/stat/statnew/statMenu/newStat/home.php"</w:instrText>
            </w:r>
            <w:r w:rsidRPr="00792B36">
              <w:fldChar w:fldCharType="separate"/>
            </w:r>
            <w:r w:rsidRPr="00792B36">
              <w:rPr>
                <w:rStyle w:val="Hyperlink"/>
                <w:color w:val="000000" w:themeColor="text1"/>
                <w:sz w:val="20"/>
                <w:szCs w:val="20"/>
              </w:rPr>
              <w:t>https://stat.bora.dopa.go.th/stat/statnew/statMenu/newStat/home.php</w:t>
            </w:r>
            <w:r w:rsidRPr="00792B36">
              <w:fldChar w:fldCharType="end"/>
            </w:r>
            <w:r w:rsidRPr="00792B36">
              <w:rPr>
                <w:color w:val="000000" w:themeColor="text1"/>
                <w:sz w:val="20"/>
                <w:szCs w:val="20"/>
              </w:rPr>
              <w:t xml:space="preserve"> (accessed 19 April 2025)</w:t>
            </w:r>
          </w:p>
        </w:tc>
      </w:tr>
    </w:tbl>
    <w:p w14:paraId="7A8CFFEF" w14:textId="77777777" w:rsidR="00BA713F" w:rsidRPr="00792B36" w:rsidRDefault="00BA713F" w:rsidP="00BA713F">
      <w:pPr>
        <w:pBdr>
          <w:top w:val="nil"/>
          <w:left w:val="nil"/>
          <w:bottom w:val="nil"/>
          <w:right w:val="nil"/>
          <w:between w:val="nil"/>
        </w:pBdr>
        <w:spacing w:line="360" w:lineRule="auto"/>
        <w:contextualSpacing/>
        <w:rPr>
          <w:color w:val="000000" w:themeColor="text1"/>
          <w:sz w:val="24"/>
          <w:szCs w:val="24"/>
          <w:cs/>
        </w:rPr>
      </w:pPr>
    </w:p>
    <w:p w14:paraId="0E43656B" w14:textId="77777777" w:rsidR="00BA713F" w:rsidRPr="00792B36" w:rsidRDefault="00BA713F" w:rsidP="00BA713F">
      <w:pPr>
        <w:pBdr>
          <w:top w:val="nil"/>
          <w:left w:val="nil"/>
          <w:bottom w:val="nil"/>
          <w:right w:val="nil"/>
          <w:between w:val="nil"/>
        </w:pBdr>
        <w:spacing w:line="360" w:lineRule="auto"/>
        <w:contextualSpacing/>
        <w:jc w:val="both"/>
        <w:rPr>
          <w:color w:val="000000" w:themeColor="text1"/>
          <w:sz w:val="24"/>
          <w:szCs w:val="24"/>
        </w:rPr>
      </w:pPr>
      <w:r w:rsidRPr="00792B36">
        <w:rPr>
          <w:color w:val="000000" w:themeColor="text1"/>
          <w:sz w:val="24"/>
          <w:szCs w:val="24"/>
        </w:rPr>
        <w:t xml:space="preserve">Between 2000 and 2020, Thailand’s total population increased from 61.9 million to 66.2 million, reflecting a gradual national growth, with the 17 coastal provinces along the Gulf of Thailand accounting for approximately 18.6 million people in 2020. This population consists of nearly equal proportions of males and females, although the share of females increased to 51.7% </w:t>
      </w:r>
      <w:r w:rsidRPr="00792B36">
        <w:rPr>
          <w:b/>
          <w:bCs/>
          <w:color w:val="000000" w:themeColor="text1"/>
          <w:sz w:val="24"/>
          <w:szCs w:val="24"/>
        </w:rPr>
        <w:t>(Figure 2.3)</w:t>
      </w:r>
      <w:r w:rsidRPr="00792B36">
        <w:rPr>
          <w:color w:val="000000" w:themeColor="text1"/>
          <w:sz w:val="24"/>
          <w:szCs w:val="24"/>
        </w:rPr>
        <w:t xml:space="preserve"> alongside a steady rise in the number of households due to smaller household sizes and urban migration. Provinces with the largest coastal populations include Nakhon Si Thammarat, Chon Buri, Songkhla, Samut Prakan, and notably Bangkok, which stands out as the most populous province with over 5.5 million residents and a predominance of females. In contrast, smaller provinces such as Samut Songkhram and Trat maintained populations below 300,000 </w:t>
      </w:r>
      <w:r w:rsidRPr="00792B36">
        <w:rPr>
          <w:b/>
          <w:bCs/>
          <w:color w:val="000000" w:themeColor="text1"/>
          <w:sz w:val="24"/>
          <w:szCs w:val="24"/>
        </w:rPr>
        <w:t>(Figure 2.4)</w:t>
      </w:r>
      <w:r w:rsidRPr="00792B36">
        <w:rPr>
          <w:color w:val="000000" w:themeColor="text1"/>
          <w:sz w:val="24"/>
          <w:szCs w:val="24"/>
        </w:rPr>
        <w:t>.</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020"/>
      </w:tblGrid>
      <w:tr w:rsidR="00BA713F" w:rsidRPr="00792B36" w14:paraId="0A0A28B2" w14:textId="77777777" w:rsidTr="0096560E">
        <w:tc>
          <w:tcPr>
            <w:tcW w:w="9017" w:type="dxa"/>
          </w:tcPr>
          <w:p w14:paraId="4A967B6F" w14:textId="77777777" w:rsidR="00BA713F" w:rsidRPr="00792B36" w:rsidRDefault="00BA713F" w:rsidP="0096560E">
            <w:pPr>
              <w:spacing w:line="360" w:lineRule="auto"/>
              <w:contextualSpacing/>
              <w:rPr>
                <w:b/>
                <w:bCs/>
                <w:color w:val="000000" w:themeColor="text1"/>
                <w:sz w:val="24"/>
                <w:szCs w:val="24"/>
              </w:rPr>
            </w:pPr>
            <w:r w:rsidRPr="00792B36">
              <w:rPr>
                <w:b/>
                <w:bCs/>
                <w:noProof/>
                <w:color w:val="000000" w:themeColor="text1"/>
                <w:sz w:val="24"/>
                <w:szCs w:val="24"/>
              </w:rPr>
              <w:drawing>
                <wp:inline distT="0" distB="0" distL="0" distR="0" wp14:anchorId="0B4A466D" wp14:editId="3700654D">
                  <wp:extent cx="5781600" cy="1855409"/>
                  <wp:effectExtent l="0" t="0" r="0" b="0"/>
                  <wp:docPr id="1283184047" name="Picture 106" descr="A graph showing the number of people in the population&#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83184047" name="Picture 106" descr="A graph showing the number of people in the population&#10;&#10;AI-generated content may be incorrect."/>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5781600" cy="1855409"/>
                          </a:xfrm>
                          <a:prstGeom prst="rect">
                            <a:avLst/>
                          </a:prstGeom>
                          <a:noFill/>
                        </pic:spPr>
                      </pic:pic>
                    </a:graphicData>
                  </a:graphic>
                </wp:inline>
              </w:drawing>
            </w:r>
          </w:p>
        </w:tc>
      </w:tr>
      <w:tr w:rsidR="00BA713F" w:rsidRPr="00792B36" w14:paraId="08F0CC76" w14:textId="77777777" w:rsidTr="0096560E">
        <w:tc>
          <w:tcPr>
            <w:tcW w:w="9017" w:type="dxa"/>
          </w:tcPr>
          <w:p w14:paraId="42C7E033" w14:textId="77777777" w:rsidR="00BA713F" w:rsidRPr="00792B36" w:rsidRDefault="00BA713F" w:rsidP="0096560E">
            <w:pPr>
              <w:spacing w:line="360" w:lineRule="auto"/>
              <w:contextualSpacing/>
              <w:rPr>
                <w:b/>
                <w:bCs/>
                <w:noProof/>
                <w:color w:val="000000" w:themeColor="text1"/>
                <w:sz w:val="24"/>
                <w:szCs w:val="24"/>
              </w:rPr>
            </w:pPr>
          </w:p>
        </w:tc>
      </w:tr>
      <w:tr w:rsidR="00BA713F" w:rsidRPr="00792B36" w14:paraId="7983AECF" w14:textId="77777777" w:rsidTr="0096560E">
        <w:tc>
          <w:tcPr>
            <w:tcW w:w="9017" w:type="dxa"/>
          </w:tcPr>
          <w:p w14:paraId="18E08CBB" w14:textId="77777777" w:rsidR="00BA713F" w:rsidRPr="00792B36" w:rsidRDefault="00BA713F" w:rsidP="0096560E">
            <w:pPr>
              <w:spacing w:line="360" w:lineRule="auto"/>
              <w:contextualSpacing/>
              <w:rPr>
                <w:b/>
                <w:bCs/>
                <w:noProof/>
                <w:color w:val="000000" w:themeColor="text1"/>
                <w:sz w:val="24"/>
                <w:szCs w:val="24"/>
              </w:rPr>
            </w:pPr>
            <w:r w:rsidRPr="00792B36">
              <w:rPr>
                <w:b/>
                <w:bCs/>
                <w:noProof/>
                <w:color w:val="000000" w:themeColor="text1"/>
                <w:sz w:val="24"/>
                <w:szCs w:val="24"/>
              </w:rPr>
              <w:lastRenderedPageBreak/>
              <w:drawing>
                <wp:inline distT="0" distB="0" distL="0" distR="0" wp14:anchorId="3138C258" wp14:editId="1DADFE45">
                  <wp:extent cx="5782022" cy="1800000"/>
                  <wp:effectExtent l="0" t="0" r="0" b="0"/>
                  <wp:docPr id="1330345089" name="Picture 103" descr="A graph showing the number of people in the population&#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30345089" name="Picture 103" descr="A graph showing the number of people in the population&#10;&#10;AI-generated content may be incorrect."/>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5782022" cy="1800000"/>
                          </a:xfrm>
                          <a:prstGeom prst="rect">
                            <a:avLst/>
                          </a:prstGeom>
                          <a:noFill/>
                        </pic:spPr>
                      </pic:pic>
                    </a:graphicData>
                  </a:graphic>
                </wp:inline>
              </w:drawing>
            </w:r>
          </w:p>
        </w:tc>
      </w:tr>
      <w:tr w:rsidR="00BA713F" w:rsidRPr="00792B36" w14:paraId="71089A53" w14:textId="77777777" w:rsidTr="0096560E">
        <w:tc>
          <w:tcPr>
            <w:tcW w:w="9017" w:type="dxa"/>
          </w:tcPr>
          <w:p w14:paraId="4BD622F9" w14:textId="77777777" w:rsidR="00BA713F" w:rsidRPr="00792B36" w:rsidRDefault="00BA713F" w:rsidP="0096560E">
            <w:pPr>
              <w:spacing w:line="360" w:lineRule="auto"/>
              <w:contextualSpacing/>
              <w:rPr>
                <w:b/>
                <w:bCs/>
                <w:noProof/>
                <w:color w:val="000000" w:themeColor="text1"/>
                <w:sz w:val="24"/>
                <w:szCs w:val="24"/>
              </w:rPr>
            </w:pPr>
          </w:p>
        </w:tc>
      </w:tr>
      <w:tr w:rsidR="00BA713F" w:rsidRPr="00792B36" w14:paraId="16FB4CC7" w14:textId="77777777" w:rsidTr="0096560E">
        <w:tc>
          <w:tcPr>
            <w:tcW w:w="9017" w:type="dxa"/>
          </w:tcPr>
          <w:p w14:paraId="72154342" w14:textId="77777777" w:rsidR="00BA713F" w:rsidRPr="00792B36" w:rsidRDefault="00BA713F" w:rsidP="0096560E">
            <w:pPr>
              <w:spacing w:line="360" w:lineRule="auto"/>
              <w:contextualSpacing/>
              <w:jc w:val="center"/>
              <w:rPr>
                <w:color w:val="000000" w:themeColor="text1"/>
                <w:sz w:val="24"/>
                <w:szCs w:val="24"/>
              </w:rPr>
            </w:pPr>
            <w:r w:rsidRPr="00792B36">
              <w:rPr>
                <w:b/>
                <w:bCs/>
                <w:color w:val="000000" w:themeColor="text1"/>
                <w:sz w:val="24"/>
                <w:szCs w:val="24"/>
              </w:rPr>
              <w:t xml:space="preserve">Figure </w:t>
            </w:r>
            <w:r w:rsidRPr="00792B36">
              <w:rPr>
                <w:b/>
                <w:bCs/>
                <w:color w:val="000000" w:themeColor="text1"/>
                <w:sz w:val="24"/>
                <w:szCs w:val="24"/>
                <w:cs/>
              </w:rPr>
              <w:t>2</w:t>
            </w:r>
            <w:r w:rsidRPr="00792B36">
              <w:rPr>
                <w:b/>
                <w:bCs/>
                <w:color w:val="000000" w:themeColor="text1"/>
                <w:sz w:val="24"/>
                <w:szCs w:val="24"/>
              </w:rPr>
              <w:t xml:space="preserve">.3 </w:t>
            </w:r>
            <w:r w:rsidRPr="00792B36">
              <w:rPr>
                <w:color w:val="000000" w:themeColor="text1"/>
                <w:sz w:val="24"/>
                <w:szCs w:val="24"/>
              </w:rPr>
              <w:t>Population and Household Trends in Thailand (above) and Coastal Provinces along the Gulf of Thailand (below): 2000, 2005, 2010, 2020</w:t>
            </w:r>
          </w:p>
          <w:p w14:paraId="34C22467" w14:textId="77777777" w:rsidR="00BA713F" w:rsidRPr="00792B36" w:rsidRDefault="00BA713F" w:rsidP="0096560E">
            <w:pPr>
              <w:spacing w:line="360" w:lineRule="auto"/>
              <w:contextualSpacing/>
              <w:jc w:val="center"/>
              <w:rPr>
                <w:color w:val="000000" w:themeColor="text1"/>
                <w:sz w:val="24"/>
                <w:szCs w:val="24"/>
              </w:rPr>
            </w:pPr>
            <w:r w:rsidRPr="00792B36">
              <w:rPr>
                <w:color w:val="000000" w:themeColor="text1"/>
                <w:sz w:val="20"/>
                <w:szCs w:val="20"/>
              </w:rPr>
              <w:t xml:space="preserve">Source: Department of Provincial Administration. 2025. Official statistics registration systems. </w:t>
            </w:r>
            <w:r w:rsidRPr="00792B36">
              <w:fldChar w:fldCharType="begin"/>
            </w:r>
            <w:r w:rsidRPr="00792B36">
              <w:instrText>HYPERLINK "https://stat.bora.dopa.go.th/stat/statnew/statMenu/newStat/home.php"</w:instrText>
            </w:r>
            <w:r w:rsidRPr="00792B36">
              <w:fldChar w:fldCharType="separate"/>
            </w:r>
            <w:r w:rsidRPr="00792B36">
              <w:rPr>
                <w:rStyle w:val="Hyperlink"/>
                <w:color w:val="000000" w:themeColor="text1"/>
                <w:sz w:val="20"/>
                <w:szCs w:val="20"/>
              </w:rPr>
              <w:t>https://stat.bora.dopa.go.th/stat/statnew/statMenu/newStat/home.php</w:t>
            </w:r>
            <w:r w:rsidRPr="00792B36">
              <w:fldChar w:fldCharType="end"/>
            </w:r>
            <w:r w:rsidRPr="00792B36">
              <w:rPr>
                <w:color w:val="000000" w:themeColor="text1"/>
                <w:sz w:val="20"/>
                <w:szCs w:val="20"/>
              </w:rPr>
              <w:t xml:space="preserve"> (accessed 19 April 2025)</w:t>
            </w:r>
          </w:p>
        </w:tc>
      </w:tr>
    </w:tbl>
    <w:p w14:paraId="41BD1B1A" w14:textId="77777777" w:rsidR="00BA713F" w:rsidRPr="00792B36" w:rsidRDefault="00BA713F" w:rsidP="00BA713F">
      <w:pPr>
        <w:pBdr>
          <w:top w:val="nil"/>
          <w:left w:val="nil"/>
          <w:bottom w:val="nil"/>
          <w:right w:val="nil"/>
          <w:between w:val="nil"/>
        </w:pBdr>
        <w:spacing w:line="360" w:lineRule="auto"/>
        <w:contextualSpacing/>
        <w:jc w:val="both"/>
        <w:rPr>
          <w:color w:val="000000" w:themeColor="text1"/>
          <w:sz w:val="24"/>
          <w:szCs w:val="24"/>
        </w:rPr>
      </w:pPr>
    </w:p>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020"/>
      </w:tblGrid>
      <w:tr w:rsidR="00BA713F" w:rsidRPr="00792B36" w14:paraId="49C2B148" w14:textId="77777777" w:rsidTr="0096560E">
        <w:trPr>
          <w:jc w:val="center"/>
        </w:trPr>
        <w:tc>
          <w:tcPr>
            <w:tcW w:w="9027" w:type="dxa"/>
          </w:tcPr>
          <w:p w14:paraId="0EC57FC0" w14:textId="77777777" w:rsidR="00BA713F" w:rsidRPr="00792B36" w:rsidRDefault="00BA713F" w:rsidP="0096560E">
            <w:pPr>
              <w:spacing w:line="360" w:lineRule="auto"/>
              <w:contextualSpacing/>
              <w:rPr>
                <w:color w:val="000000" w:themeColor="text1"/>
                <w:sz w:val="24"/>
                <w:szCs w:val="24"/>
              </w:rPr>
            </w:pPr>
            <w:r w:rsidRPr="00792B36">
              <w:rPr>
                <w:noProof/>
                <w:color w:val="000000" w:themeColor="text1"/>
                <w:sz w:val="24"/>
                <w:szCs w:val="24"/>
              </w:rPr>
              <w:drawing>
                <wp:inline distT="0" distB="0" distL="0" distR="0" wp14:anchorId="17BF3C0B" wp14:editId="00B43DA8">
                  <wp:extent cx="5760000" cy="1153041"/>
                  <wp:effectExtent l="0" t="0" r="0" b="9525"/>
                  <wp:docPr id="421909883" name="Picture 3" descr="A graph of a bar graph&#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1909883" name="Picture 3" descr="A graph of a bar graph&#10;&#10;AI-generated content may be incorrect."/>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5760000" cy="1153041"/>
                          </a:xfrm>
                          <a:prstGeom prst="rect">
                            <a:avLst/>
                          </a:prstGeom>
                          <a:noFill/>
                        </pic:spPr>
                      </pic:pic>
                    </a:graphicData>
                  </a:graphic>
                </wp:inline>
              </w:drawing>
            </w:r>
          </w:p>
        </w:tc>
      </w:tr>
      <w:tr w:rsidR="00BA713F" w:rsidRPr="00792B36" w14:paraId="298843B1" w14:textId="77777777" w:rsidTr="0096560E">
        <w:trPr>
          <w:jc w:val="center"/>
        </w:trPr>
        <w:tc>
          <w:tcPr>
            <w:tcW w:w="9027" w:type="dxa"/>
          </w:tcPr>
          <w:p w14:paraId="4D17EA67" w14:textId="77777777" w:rsidR="00BA713F" w:rsidRPr="00792B36" w:rsidRDefault="00BA713F" w:rsidP="0096560E">
            <w:pPr>
              <w:spacing w:line="360" w:lineRule="auto"/>
              <w:contextualSpacing/>
              <w:rPr>
                <w:color w:val="000000" w:themeColor="text1"/>
                <w:sz w:val="24"/>
                <w:szCs w:val="24"/>
              </w:rPr>
            </w:pPr>
          </w:p>
        </w:tc>
      </w:tr>
      <w:tr w:rsidR="00BA713F" w:rsidRPr="00792B36" w14:paraId="7FDD96BC" w14:textId="77777777" w:rsidTr="0096560E">
        <w:trPr>
          <w:jc w:val="center"/>
        </w:trPr>
        <w:tc>
          <w:tcPr>
            <w:tcW w:w="9027" w:type="dxa"/>
          </w:tcPr>
          <w:p w14:paraId="6B99A1B5" w14:textId="77777777" w:rsidR="00BA713F" w:rsidRPr="00792B36" w:rsidRDefault="00BA713F" w:rsidP="0096560E">
            <w:pPr>
              <w:spacing w:line="360" w:lineRule="auto"/>
              <w:contextualSpacing/>
              <w:rPr>
                <w:color w:val="000000" w:themeColor="text1"/>
                <w:sz w:val="24"/>
                <w:szCs w:val="24"/>
              </w:rPr>
            </w:pPr>
            <w:r w:rsidRPr="00792B36">
              <w:rPr>
                <w:noProof/>
                <w:color w:val="000000" w:themeColor="text1"/>
                <w:sz w:val="24"/>
                <w:szCs w:val="24"/>
              </w:rPr>
              <w:drawing>
                <wp:inline distT="0" distB="0" distL="0" distR="0" wp14:anchorId="2AEEAE42" wp14:editId="52757FCA">
                  <wp:extent cx="5760000" cy="1153041"/>
                  <wp:effectExtent l="0" t="0" r="0" b="9525"/>
                  <wp:docPr id="730347640" name="Picture 4" descr="A graph of a number of boxe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30347640" name="Picture 4" descr="A graph of a number of boxes&#10;&#10;AI-generated content may be incorrect."/>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5760000" cy="1153041"/>
                          </a:xfrm>
                          <a:prstGeom prst="rect">
                            <a:avLst/>
                          </a:prstGeom>
                          <a:noFill/>
                        </pic:spPr>
                      </pic:pic>
                    </a:graphicData>
                  </a:graphic>
                </wp:inline>
              </w:drawing>
            </w:r>
          </w:p>
        </w:tc>
      </w:tr>
      <w:tr w:rsidR="00BA713F" w:rsidRPr="00792B36" w14:paraId="7AAC5562" w14:textId="77777777" w:rsidTr="0096560E">
        <w:trPr>
          <w:jc w:val="center"/>
        </w:trPr>
        <w:tc>
          <w:tcPr>
            <w:tcW w:w="9027" w:type="dxa"/>
          </w:tcPr>
          <w:p w14:paraId="72EC9F68" w14:textId="77777777" w:rsidR="00BA713F" w:rsidRPr="00792B36" w:rsidRDefault="00BA713F" w:rsidP="0096560E">
            <w:pPr>
              <w:spacing w:line="360" w:lineRule="auto"/>
              <w:contextualSpacing/>
              <w:rPr>
                <w:color w:val="000000" w:themeColor="text1"/>
                <w:sz w:val="24"/>
                <w:szCs w:val="24"/>
              </w:rPr>
            </w:pPr>
          </w:p>
        </w:tc>
      </w:tr>
      <w:tr w:rsidR="00BA713F" w:rsidRPr="00792B36" w14:paraId="07AB7BEE" w14:textId="77777777" w:rsidTr="0096560E">
        <w:trPr>
          <w:jc w:val="center"/>
        </w:trPr>
        <w:tc>
          <w:tcPr>
            <w:tcW w:w="9027" w:type="dxa"/>
          </w:tcPr>
          <w:p w14:paraId="40549380" w14:textId="77777777" w:rsidR="00BA713F" w:rsidRPr="00792B36" w:rsidRDefault="00BA713F" w:rsidP="0096560E">
            <w:pPr>
              <w:spacing w:line="360" w:lineRule="auto"/>
              <w:contextualSpacing/>
              <w:rPr>
                <w:color w:val="000000" w:themeColor="text1"/>
                <w:sz w:val="24"/>
                <w:szCs w:val="24"/>
              </w:rPr>
            </w:pPr>
            <w:r w:rsidRPr="00792B36">
              <w:rPr>
                <w:noProof/>
                <w:color w:val="000000" w:themeColor="text1"/>
                <w:sz w:val="24"/>
                <w:szCs w:val="24"/>
              </w:rPr>
              <w:drawing>
                <wp:inline distT="0" distB="0" distL="0" distR="0" wp14:anchorId="0CECB20C" wp14:editId="19D9C55F">
                  <wp:extent cx="5760000" cy="1181329"/>
                  <wp:effectExtent l="0" t="0" r="0" b="0"/>
                  <wp:docPr id="697917562" name="Picture 105" descr="A graph with red and yellow square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97917562" name="Picture 105" descr="A graph with red and yellow squares&#10;&#10;AI-generated content may be incorrect."/>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5760000" cy="1181329"/>
                          </a:xfrm>
                          <a:prstGeom prst="rect">
                            <a:avLst/>
                          </a:prstGeom>
                          <a:noFill/>
                        </pic:spPr>
                      </pic:pic>
                    </a:graphicData>
                  </a:graphic>
                </wp:inline>
              </w:drawing>
            </w:r>
          </w:p>
        </w:tc>
      </w:tr>
      <w:tr w:rsidR="00BA713F" w:rsidRPr="00792B36" w14:paraId="0FC0B0D1" w14:textId="77777777" w:rsidTr="0096560E">
        <w:trPr>
          <w:jc w:val="center"/>
        </w:trPr>
        <w:tc>
          <w:tcPr>
            <w:tcW w:w="9027" w:type="dxa"/>
          </w:tcPr>
          <w:p w14:paraId="58BE188D" w14:textId="77777777" w:rsidR="00BA713F" w:rsidRPr="00792B36" w:rsidRDefault="00BA713F" w:rsidP="0096560E">
            <w:pPr>
              <w:spacing w:line="360" w:lineRule="auto"/>
              <w:contextualSpacing/>
              <w:rPr>
                <w:color w:val="000000" w:themeColor="text1"/>
                <w:sz w:val="24"/>
                <w:szCs w:val="24"/>
              </w:rPr>
            </w:pPr>
          </w:p>
        </w:tc>
      </w:tr>
      <w:tr w:rsidR="00BA713F" w:rsidRPr="00792B36" w14:paraId="75038BB7" w14:textId="77777777" w:rsidTr="0096560E">
        <w:trPr>
          <w:jc w:val="center"/>
        </w:trPr>
        <w:tc>
          <w:tcPr>
            <w:tcW w:w="9027" w:type="dxa"/>
          </w:tcPr>
          <w:p w14:paraId="6E4C025D" w14:textId="77777777" w:rsidR="00BA713F" w:rsidRPr="00792B36" w:rsidRDefault="00BA713F" w:rsidP="0096560E">
            <w:pPr>
              <w:spacing w:line="360" w:lineRule="auto"/>
              <w:contextualSpacing/>
              <w:jc w:val="center"/>
              <w:rPr>
                <w:b/>
                <w:bCs/>
                <w:color w:val="000000" w:themeColor="text1"/>
                <w:sz w:val="24"/>
                <w:szCs w:val="24"/>
              </w:rPr>
            </w:pPr>
            <w:r w:rsidRPr="00792B36">
              <w:rPr>
                <w:b/>
                <w:bCs/>
                <w:color w:val="000000" w:themeColor="text1"/>
                <w:sz w:val="24"/>
                <w:szCs w:val="24"/>
              </w:rPr>
              <w:t xml:space="preserve">Figure 2.4 </w:t>
            </w:r>
            <w:r w:rsidRPr="00792B36">
              <w:rPr>
                <w:color w:val="000000" w:themeColor="text1"/>
                <w:sz w:val="24"/>
                <w:szCs w:val="24"/>
              </w:rPr>
              <w:t>Population</w:t>
            </w:r>
            <w:r w:rsidRPr="00792B36">
              <w:rPr>
                <w:color w:val="000000" w:themeColor="text1"/>
                <w:sz w:val="24"/>
                <w:szCs w:val="24"/>
                <w:cs/>
              </w:rPr>
              <w:t xml:space="preserve"> </w:t>
            </w:r>
            <w:r w:rsidRPr="00792B36">
              <w:rPr>
                <w:color w:val="000000" w:themeColor="text1"/>
                <w:sz w:val="24"/>
                <w:szCs w:val="24"/>
              </w:rPr>
              <w:t>and household trends in Thailand’s coastal provinces along the Gulf of Thailand (2000, 2005, 2010, 2020)</w:t>
            </w:r>
          </w:p>
        </w:tc>
      </w:tr>
    </w:tbl>
    <w:p w14:paraId="2413D4E8" w14:textId="77777777" w:rsidR="00BA713F" w:rsidRPr="00792B36" w:rsidRDefault="00BA713F" w:rsidP="00BA713F">
      <w:pPr>
        <w:pBdr>
          <w:top w:val="nil"/>
          <w:left w:val="nil"/>
          <w:bottom w:val="nil"/>
          <w:right w:val="nil"/>
          <w:between w:val="nil"/>
        </w:pBdr>
        <w:spacing w:line="360" w:lineRule="auto"/>
        <w:contextualSpacing/>
        <w:jc w:val="center"/>
        <w:rPr>
          <w:color w:val="000000" w:themeColor="text1"/>
          <w:sz w:val="20"/>
          <w:szCs w:val="20"/>
        </w:rPr>
      </w:pPr>
      <w:r w:rsidRPr="00792B36">
        <w:rPr>
          <w:color w:val="000000" w:themeColor="text1"/>
          <w:sz w:val="20"/>
          <w:szCs w:val="20"/>
        </w:rPr>
        <w:t xml:space="preserve">Source: Department of Provincial Administration. 2025. Official statistics registration systems. </w:t>
      </w:r>
      <w:r w:rsidRPr="00792B36">
        <w:fldChar w:fldCharType="begin"/>
      </w:r>
      <w:r w:rsidRPr="00792B36">
        <w:instrText>HYPERLINK "https://stat.bora.dopa.go.th/stat/statnew/statMenu/newStat/home.php"</w:instrText>
      </w:r>
      <w:r w:rsidRPr="00792B36">
        <w:fldChar w:fldCharType="separate"/>
      </w:r>
      <w:r w:rsidRPr="00792B36">
        <w:rPr>
          <w:rStyle w:val="Hyperlink"/>
          <w:color w:val="000000" w:themeColor="text1"/>
          <w:sz w:val="20"/>
          <w:szCs w:val="20"/>
        </w:rPr>
        <w:t>https://stat.bora.dopa.go.th/stat/statnew/statMenu/newStat/home.php</w:t>
      </w:r>
      <w:r w:rsidRPr="00792B36">
        <w:fldChar w:fldCharType="end"/>
      </w:r>
      <w:r w:rsidRPr="00792B36">
        <w:rPr>
          <w:color w:val="000000" w:themeColor="text1"/>
          <w:sz w:val="20"/>
          <w:szCs w:val="20"/>
        </w:rPr>
        <w:t xml:space="preserve"> (accessed 19 April 2025)</w:t>
      </w:r>
    </w:p>
    <w:p w14:paraId="27DB91A3" w14:textId="77777777" w:rsidR="00BA713F" w:rsidRPr="00792B36" w:rsidRDefault="00BA713F" w:rsidP="00BA713F">
      <w:pPr>
        <w:pBdr>
          <w:top w:val="nil"/>
          <w:left w:val="nil"/>
          <w:bottom w:val="nil"/>
          <w:right w:val="nil"/>
          <w:between w:val="nil"/>
        </w:pBdr>
        <w:spacing w:line="360" w:lineRule="auto"/>
        <w:contextualSpacing/>
        <w:jc w:val="both"/>
        <w:rPr>
          <w:color w:val="000000" w:themeColor="text1"/>
          <w:sz w:val="24"/>
          <w:szCs w:val="24"/>
        </w:rPr>
      </w:pPr>
      <w:r w:rsidRPr="00792B36">
        <w:rPr>
          <w:color w:val="000000" w:themeColor="text1"/>
          <w:sz w:val="24"/>
          <w:szCs w:val="24"/>
        </w:rPr>
        <w:lastRenderedPageBreak/>
        <w:t xml:space="preserve">Between 2000 and 2020, the population of Thailand’s coastal provinces along the Gulf of Thailand grew at an average annual rate of 0.6–0.9% when excluding Bangkok, compared to 0.4–0.7% when Bangkok is included </w:t>
      </w:r>
      <w:r w:rsidRPr="00792B36">
        <w:rPr>
          <w:b/>
          <w:bCs/>
          <w:color w:val="000000" w:themeColor="text1"/>
          <w:sz w:val="24"/>
          <w:szCs w:val="24"/>
        </w:rPr>
        <w:t>(Table 2.1)</w:t>
      </w:r>
      <w:r w:rsidRPr="00792B36">
        <w:rPr>
          <w:color w:val="000000" w:themeColor="text1"/>
          <w:sz w:val="24"/>
          <w:szCs w:val="24"/>
        </w:rPr>
        <w:t xml:space="preserve">, which is considered a moderate level of growth by global demographic standards. </w:t>
      </w:r>
    </w:p>
    <w:p w14:paraId="2D6EED63" w14:textId="77777777" w:rsidR="00BA713F" w:rsidRPr="00792B36" w:rsidRDefault="00BA713F" w:rsidP="00BA713F">
      <w:pPr>
        <w:pBdr>
          <w:top w:val="nil"/>
          <w:left w:val="nil"/>
          <w:bottom w:val="nil"/>
          <w:right w:val="nil"/>
          <w:between w:val="nil"/>
        </w:pBdr>
        <w:spacing w:line="360" w:lineRule="auto"/>
        <w:contextualSpacing/>
        <w:jc w:val="both"/>
        <w:rPr>
          <w:b/>
          <w:bCs/>
          <w:color w:val="000000" w:themeColor="text1"/>
          <w:sz w:val="24"/>
          <w:szCs w:val="24"/>
        </w:rPr>
      </w:pPr>
    </w:p>
    <w:p w14:paraId="1395BA45" w14:textId="77777777" w:rsidR="00BA713F" w:rsidRPr="00792B36" w:rsidRDefault="00BA713F" w:rsidP="00BA713F">
      <w:pPr>
        <w:pBdr>
          <w:top w:val="nil"/>
          <w:left w:val="nil"/>
          <w:bottom w:val="nil"/>
          <w:right w:val="nil"/>
          <w:between w:val="nil"/>
        </w:pBdr>
        <w:spacing w:line="360" w:lineRule="auto"/>
        <w:contextualSpacing/>
        <w:jc w:val="both"/>
        <w:rPr>
          <w:b/>
          <w:bCs/>
          <w:color w:val="000000" w:themeColor="text1"/>
          <w:sz w:val="24"/>
          <w:szCs w:val="24"/>
        </w:rPr>
      </w:pPr>
      <w:r w:rsidRPr="00792B36">
        <w:rPr>
          <w:b/>
          <w:bCs/>
          <w:color w:val="000000" w:themeColor="text1"/>
          <w:sz w:val="24"/>
          <w:szCs w:val="24"/>
        </w:rPr>
        <w:t xml:space="preserve">Table 2.1 </w:t>
      </w:r>
      <w:r w:rsidRPr="00792B36">
        <w:rPr>
          <w:color w:val="000000" w:themeColor="text1"/>
          <w:sz w:val="24"/>
          <w:szCs w:val="24"/>
        </w:rPr>
        <w:t>Population growth rate (%) and household growth rate (%) of coastal provinces along the Gulf of Thailand (2000-2020)</w:t>
      </w:r>
    </w:p>
    <w:p w14:paraId="7217B198" w14:textId="77777777" w:rsidR="00BA713F" w:rsidRPr="00792B36" w:rsidRDefault="00BA713F" w:rsidP="00BA713F">
      <w:pPr>
        <w:pBdr>
          <w:top w:val="nil"/>
          <w:left w:val="nil"/>
          <w:bottom w:val="nil"/>
          <w:right w:val="nil"/>
          <w:between w:val="nil"/>
        </w:pBdr>
        <w:spacing w:line="360" w:lineRule="auto"/>
        <w:contextualSpacing/>
        <w:jc w:val="both"/>
        <w:rPr>
          <w:b/>
          <w:bCs/>
          <w:color w:val="000000" w:themeColor="text1"/>
          <w:sz w:val="24"/>
          <w:szCs w:val="24"/>
        </w:rPr>
      </w:pPr>
    </w:p>
    <w:tbl>
      <w:tblPr>
        <w:tblStyle w:val="TableGrid"/>
        <w:tblW w:w="9214" w:type="dxa"/>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418"/>
        <w:gridCol w:w="2126"/>
        <w:gridCol w:w="1701"/>
        <w:gridCol w:w="2126"/>
        <w:gridCol w:w="1843"/>
      </w:tblGrid>
      <w:tr w:rsidR="00BA713F" w:rsidRPr="00792B36" w14:paraId="5949D9C1" w14:textId="77777777" w:rsidTr="0096560E">
        <w:trPr>
          <w:trHeight w:val="397"/>
        </w:trPr>
        <w:tc>
          <w:tcPr>
            <w:tcW w:w="1418" w:type="dxa"/>
            <w:vMerge w:val="restart"/>
            <w:tcBorders>
              <w:top w:val="single" w:sz="4" w:space="0" w:color="auto"/>
              <w:bottom w:val="nil"/>
            </w:tcBorders>
            <w:vAlign w:val="center"/>
          </w:tcPr>
          <w:p w14:paraId="12050DD5" w14:textId="77777777" w:rsidR="00BA713F" w:rsidRPr="00792B36" w:rsidRDefault="00BA713F" w:rsidP="0096560E">
            <w:pPr>
              <w:spacing w:line="360" w:lineRule="auto"/>
              <w:contextualSpacing/>
              <w:jc w:val="center"/>
              <w:rPr>
                <w:b/>
                <w:bCs/>
                <w:color w:val="000000" w:themeColor="text1"/>
                <w:sz w:val="24"/>
                <w:szCs w:val="24"/>
              </w:rPr>
            </w:pPr>
            <w:r w:rsidRPr="00792B36">
              <w:rPr>
                <w:b/>
                <w:bCs/>
                <w:color w:val="000000" w:themeColor="text1"/>
                <w:sz w:val="24"/>
                <w:szCs w:val="24"/>
              </w:rPr>
              <w:t>Year</w:t>
            </w:r>
          </w:p>
        </w:tc>
        <w:tc>
          <w:tcPr>
            <w:tcW w:w="3827" w:type="dxa"/>
            <w:gridSpan w:val="2"/>
            <w:tcBorders>
              <w:top w:val="single" w:sz="4" w:space="0" w:color="auto"/>
              <w:bottom w:val="single" w:sz="4" w:space="0" w:color="auto"/>
            </w:tcBorders>
            <w:vAlign w:val="center"/>
          </w:tcPr>
          <w:p w14:paraId="66F0505C" w14:textId="77777777" w:rsidR="00BA713F" w:rsidRPr="00792B36" w:rsidRDefault="00BA713F" w:rsidP="0096560E">
            <w:pPr>
              <w:spacing w:line="360" w:lineRule="auto"/>
              <w:contextualSpacing/>
              <w:jc w:val="center"/>
              <w:rPr>
                <w:b/>
                <w:bCs/>
                <w:color w:val="000000" w:themeColor="text1"/>
                <w:sz w:val="24"/>
                <w:szCs w:val="24"/>
              </w:rPr>
            </w:pPr>
            <w:r w:rsidRPr="00792B36">
              <w:rPr>
                <w:b/>
                <w:bCs/>
                <w:color w:val="000000" w:themeColor="text1"/>
                <w:sz w:val="24"/>
                <w:szCs w:val="24"/>
              </w:rPr>
              <w:t>Population growth rate (%)</w:t>
            </w:r>
          </w:p>
        </w:tc>
        <w:tc>
          <w:tcPr>
            <w:tcW w:w="3969" w:type="dxa"/>
            <w:gridSpan w:val="2"/>
            <w:tcBorders>
              <w:top w:val="single" w:sz="4" w:space="0" w:color="auto"/>
              <w:bottom w:val="single" w:sz="4" w:space="0" w:color="auto"/>
            </w:tcBorders>
            <w:vAlign w:val="center"/>
          </w:tcPr>
          <w:p w14:paraId="2C47CB2A" w14:textId="77777777" w:rsidR="00BA713F" w:rsidRPr="00792B36" w:rsidRDefault="00BA713F" w:rsidP="0096560E">
            <w:pPr>
              <w:spacing w:line="360" w:lineRule="auto"/>
              <w:contextualSpacing/>
              <w:jc w:val="center"/>
              <w:rPr>
                <w:b/>
                <w:bCs/>
                <w:color w:val="000000" w:themeColor="text1"/>
                <w:sz w:val="24"/>
                <w:szCs w:val="24"/>
              </w:rPr>
            </w:pPr>
            <w:r w:rsidRPr="00792B36">
              <w:rPr>
                <w:b/>
                <w:bCs/>
                <w:color w:val="000000" w:themeColor="text1"/>
                <w:sz w:val="24"/>
                <w:szCs w:val="24"/>
              </w:rPr>
              <w:t>Household growth rate (%)</w:t>
            </w:r>
          </w:p>
        </w:tc>
      </w:tr>
      <w:tr w:rsidR="00BA713F" w:rsidRPr="00792B36" w14:paraId="694152A4" w14:textId="77777777" w:rsidTr="0096560E">
        <w:trPr>
          <w:trHeight w:val="397"/>
        </w:trPr>
        <w:tc>
          <w:tcPr>
            <w:tcW w:w="1418" w:type="dxa"/>
            <w:vMerge/>
            <w:tcBorders>
              <w:top w:val="nil"/>
              <w:bottom w:val="single" w:sz="4" w:space="0" w:color="auto"/>
            </w:tcBorders>
            <w:vAlign w:val="center"/>
          </w:tcPr>
          <w:p w14:paraId="0133B69B" w14:textId="77777777" w:rsidR="00BA713F" w:rsidRPr="00792B36" w:rsidRDefault="00BA713F" w:rsidP="0096560E">
            <w:pPr>
              <w:spacing w:line="360" w:lineRule="auto"/>
              <w:contextualSpacing/>
              <w:rPr>
                <w:b/>
                <w:bCs/>
                <w:color w:val="000000" w:themeColor="text1"/>
                <w:sz w:val="24"/>
                <w:szCs w:val="24"/>
              </w:rPr>
            </w:pPr>
          </w:p>
        </w:tc>
        <w:tc>
          <w:tcPr>
            <w:tcW w:w="2126" w:type="dxa"/>
            <w:tcBorders>
              <w:top w:val="single" w:sz="4" w:space="0" w:color="auto"/>
              <w:bottom w:val="single" w:sz="4" w:space="0" w:color="auto"/>
            </w:tcBorders>
            <w:vAlign w:val="center"/>
          </w:tcPr>
          <w:p w14:paraId="37F10498" w14:textId="77777777" w:rsidR="00BA713F" w:rsidRPr="00792B36" w:rsidRDefault="00BA713F" w:rsidP="0096560E">
            <w:pPr>
              <w:spacing w:line="360" w:lineRule="auto"/>
              <w:contextualSpacing/>
              <w:jc w:val="center"/>
              <w:rPr>
                <w:b/>
                <w:bCs/>
                <w:color w:val="000000" w:themeColor="text1"/>
              </w:rPr>
            </w:pPr>
            <w:r w:rsidRPr="00792B36">
              <w:rPr>
                <w:b/>
                <w:bCs/>
                <w:color w:val="000000" w:themeColor="text1"/>
              </w:rPr>
              <w:t>Without Bangkok</w:t>
            </w:r>
          </w:p>
        </w:tc>
        <w:tc>
          <w:tcPr>
            <w:tcW w:w="1701" w:type="dxa"/>
            <w:tcBorders>
              <w:top w:val="single" w:sz="4" w:space="0" w:color="auto"/>
              <w:bottom w:val="single" w:sz="4" w:space="0" w:color="auto"/>
            </w:tcBorders>
            <w:vAlign w:val="center"/>
          </w:tcPr>
          <w:p w14:paraId="3449FC1C" w14:textId="77777777" w:rsidR="00BA713F" w:rsidRPr="00792B36" w:rsidRDefault="00BA713F" w:rsidP="0096560E">
            <w:pPr>
              <w:spacing w:line="360" w:lineRule="auto"/>
              <w:contextualSpacing/>
              <w:jc w:val="center"/>
              <w:rPr>
                <w:b/>
                <w:bCs/>
                <w:color w:val="000000" w:themeColor="text1"/>
              </w:rPr>
            </w:pPr>
            <w:r w:rsidRPr="00792B36">
              <w:rPr>
                <w:b/>
                <w:bCs/>
                <w:color w:val="000000" w:themeColor="text1"/>
              </w:rPr>
              <w:t>With Bangkok</w:t>
            </w:r>
          </w:p>
        </w:tc>
        <w:tc>
          <w:tcPr>
            <w:tcW w:w="2126" w:type="dxa"/>
            <w:tcBorders>
              <w:top w:val="single" w:sz="4" w:space="0" w:color="auto"/>
              <w:bottom w:val="single" w:sz="4" w:space="0" w:color="auto"/>
            </w:tcBorders>
            <w:vAlign w:val="center"/>
          </w:tcPr>
          <w:p w14:paraId="155988A7" w14:textId="77777777" w:rsidR="00BA713F" w:rsidRPr="00792B36" w:rsidRDefault="00BA713F" w:rsidP="0096560E">
            <w:pPr>
              <w:spacing w:line="360" w:lineRule="auto"/>
              <w:contextualSpacing/>
              <w:jc w:val="center"/>
              <w:rPr>
                <w:b/>
                <w:bCs/>
                <w:color w:val="000000" w:themeColor="text1"/>
              </w:rPr>
            </w:pPr>
            <w:r w:rsidRPr="00792B36">
              <w:rPr>
                <w:b/>
                <w:bCs/>
                <w:color w:val="000000" w:themeColor="text1"/>
              </w:rPr>
              <w:t>Without Bangkok</w:t>
            </w:r>
          </w:p>
        </w:tc>
        <w:tc>
          <w:tcPr>
            <w:tcW w:w="1843" w:type="dxa"/>
            <w:tcBorders>
              <w:top w:val="single" w:sz="4" w:space="0" w:color="auto"/>
              <w:bottom w:val="single" w:sz="4" w:space="0" w:color="auto"/>
            </w:tcBorders>
            <w:vAlign w:val="center"/>
          </w:tcPr>
          <w:p w14:paraId="26DC3746" w14:textId="77777777" w:rsidR="00BA713F" w:rsidRPr="00792B36" w:rsidRDefault="00BA713F" w:rsidP="0096560E">
            <w:pPr>
              <w:spacing w:line="360" w:lineRule="auto"/>
              <w:contextualSpacing/>
              <w:jc w:val="center"/>
              <w:rPr>
                <w:b/>
                <w:bCs/>
                <w:color w:val="000000" w:themeColor="text1"/>
              </w:rPr>
            </w:pPr>
            <w:r w:rsidRPr="00792B36">
              <w:rPr>
                <w:b/>
                <w:bCs/>
                <w:color w:val="000000" w:themeColor="text1"/>
              </w:rPr>
              <w:t>With Bangkok</w:t>
            </w:r>
          </w:p>
        </w:tc>
      </w:tr>
      <w:tr w:rsidR="00BA713F" w:rsidRPr="00792B36" w14:paraId="274CE1C2" w14:textId="77777777" w:rsidTr="0096560E">
        <w:trPr>
          <w:trHeight w:val="397"/>
        </w:trPr>
        <w:tc>
          <w:tcPr>
            <w:tcW w:w="1418" w:type="dxa"/>
            <w:tcBorders>
              <w:top w:val="single" w:sz="4" w:space="0" w:color="auto"/>
            </w:tcBorders>
            <w:vAlign w:val="center"/>
          </w:tcPr>
          <w:p w14:paraId="0A0C5218" w14:textId="77777777" w:rsidR="00BA713F" w:rsidRPr="00792B36" w:rsidRDefault="00BA713F" w:rsidP="0096560E">
            <w:pPr>
              <w:spacing w:line="360" w:lineRule="auto"/>
              <w:contextualSpacing/>
              <w:rPr>
                <w:b/>
                <w:bCs/>
                <w:color w:val="000000" w:themeColor="text1"/>
                <w:sz w:val="24"/>
                <w:szCs w:val="24"/>
              </w:rPr>
            </w:pPr>
            <w:r w:rsidRPr="00792B36">
              <w:rPr>
                <w:b/>
                <w:bCs/>
                <w:color w:val="000000" w:themeColor="text1"/>
                <w:sz w:val="24"/>
                <w:szCs w:val="24"/>
              </w:rPr>
              <w:t>2000-2005</w:t>
            </w:r>
          </w:p>
        </w:tc>
        <w:tc>
          <w:tcPr>
            <w:tcW w:w="2126" w:type="dxa"/>
            <w:tcBorders>
              <w:top w:val="single" w:sz="4" w:space="0" w:color="auto"/>
            </w:tcBorders>
            <w:vAlign w:val="center"/>
          </w:tcPr>
          <w:p w14:paraId="15B62781" w14:textId="77777777" w:rsidR="00BA713F" w:rsidRPr="00792B36" w:rsidRDefault="00BA713F" w:rsidP="0096560E">
            <w:pPr>
              <w:spacing w:line="360" w:lineRule="auto"/>
              <w:contextualSpacing/>
              <w:jc w:val="center"/>
              <w:rPr>
                <w:color w:val="000000" w:themeColor="text1"/>
                <w:sz w:val="24"/>
                <w:szCs w:val="24"/>
              </w:rPr>
            </w:pPr>
            <w:r w:rsidRPr="00792B36">
              <w:rPr>
                <w:color w:val="000000" w:themeColor="text1"/>
                <w:sz w:val="24"/>
                <w:szCs w:val="24"/>
              </w:rPr>
              <w:t>0.6</w:t>
            </w:r>
          </w:p>
        </w:tc>
        <w:tc>
          <w:tcPr>
            <w:tcW w:w="1701" w:type="dxa"/>
            <w:tcBorders>
              <w:top w:val="single" w:sz="4" w:space="0" w:color="auto"/>
            </w:tcBorders>
            <w:vAlign w:val="center"/>
          </w:tcPr>
          <w:p w14:paraId="08164FF7" w14:textId="77777777" w:rsidR="00BA713F" w:rsidRPr="00792B36" w:rsidRDefault="00BA713F" w:rsidP="0096560E">
            <w:pPr>
              <w:spacing w:line="360" w:lineRule="auto"/>
              <w:contextualSpacing/>
              <w:jc w:val="center"/>
              <w:rPr>
                <w:color w:val="000000" w:themeColor="text1"/>
                <w:sz w:val="24"/>
                <w:szCs w:val="24"/>
              </w:rPr>
            </w:pPr>
            <w:r w:rsidRPr="00792B36">
              <w:rPr>
                <w:color w:val="000000" w:themeColor="text1"/>
                <w:sz w:val="24"/>
                <w:szCs w:val="24"/>
              </w:rPr>
              <w:t>0.4</w:t>
            </w:r>
          </w:p>
        </w:tc>
        <w:tc>
          <w:tcPr>
            <w:tcW w:w="2126" w:type="dxa"/>
            <w:tcBorders>
              <w:top w:val="single" w:sz="4" w:space="0" w:color="auto"/>
            </w:tcBorders>
            <w:vAlign w:val="center"/>
          </w:tcPr>
          <w:p w14:paraId="5B0670E0" w14:textId="77777777" w:rsidR="00BA713F" w:rsidRPr="00792B36" w:rsidRDefault="00BA713F" w:rsidP="0096560E">
            <w:pPr>
              <w:spacing w:line="360" w:lineRule="auto"/>
              <w:contextualSpacing/>
              <w:jc w:val="center"/>
              <w:rPr>
                <w:color w:val="000000" w:themeColor="text1"/>
                <w:sz w:val="24"/>
                <w:szCs w:val="24"/>
              </w:rPr>
            </w:pPr>
            <w:r w:rsidRPr="00792B36">
              <w:rPr>
                <w:color w:val="000000" w:themeColor="text1"/>
                <w:sz w:val="24"/>
                <w:szCs w:val="24"/>
              </w:rPr>
              <w:t>3.4</w:t>
            </w:r>
          </w:p>
        </w:tc>
        <w:tc>
          <w:tcPr>
            <w:tcW w:w="1843" w:type="dxa"/>
            <w:tcBorders>
              <w:top w:val="single" w:sz="4" w:space="0" w:color="auto"/>
            </w:tcBorders>
            <w:vAlign w:val="center"/>
          </w:tcPr>
          <w:p w14:paraId="2125196B" w14:textId="77777777" w:rsidR="00BA713F" w:rsidRPr="00792B36" w:rsidRDefault="00BA713F" w:rsidP="0096560E">
            <w:pPr>
              <w:spacing w:line="360" w:lineRule="auto"/>
              <w:contextualSpacing/>
              <w:jc w:val="center"/>
              <w:rPr>
                <w:color w:val="000000" w:themeColor="text1"/>
                <w:sz w:val="24"/>
                <w:szCs w:val="24"/>
              </w:rPr>
            </w:pPr>
            <w:r w:rsidRPr="00792B36">
              <w:rPr>
                <w:color w:val="000000" w:themeColor="text1"/>
                <w:sz w:val="24"/>
                <w:szCs w:val="24"/>
              </w:rPr>
              <w:t>2.7</w:t>
            </w:r>
          </w:p>
        </w:tc>
      </w:tr>
      <w:tr w:rsidR="00BA713F" w:rsidRPr="00792B36" w14:paraId="66692BD6" w14:textId="77777777" w:rsidTr="0096560E">
        <w:trPr>
          <w:trHeight w:val="397"/>
        </w:trPr>
        <w:tc>
          <w:tcPr>
            <w:tcW w:w="1418" w:type="dxa"/>
            <w:vAlign w:val="center"/>
          </w:tcPr>
          <w:p w14:paraId="4B7D98AE" w14:textId="77777777" w:rsidR="00BA713F" w:rsidRPr="00792B36" w:rsidRDefault="00BA713F" w:rsidP="0096560E">
            <w:pPr>
              <w:spacing w:line="360" w:lineRule="auto"/>
              <w:contextualSpacing/>
              <w:rPr>
                <w:b/>
                <w:bCs/>
                <w:color w:val="000000" w:themeColor="text1"/>
                <w:sz w:val="24"/>
                <w:szCs w:val="24"/>
              </w:rPr>
            </w:pPr>
            <w:r w:rsidRPr="00792B36">
              <w:rPr>
                <w:b/>
                <w:bCs/>
                <w:color w:val="000000" w:themeColor="text1"/>
                <w:sz w:val="24"/>
                <w:szCs w:val="24"/>
              </w:rPr>
              <w:t>2005-2010</w:t>
            </w:r>
          </w:p>
        </w:tc>
        <w:tc>
          <w:tcPr>
            <w:tcW w:w="2126" w:type="dxa"/>
            <w:vAlign w:val="center"/>
          </w:tcPr>
          <w:p w14:paraId="2C5736CF" w14:textId="77777777" w:rsidR="00BA713F" w:rsidRPr="00792B36" w:rsidRDefault="00BA713F" w:rsidP="0096560E">
            <w:pPr>
              <w:spacing w:line="360" w:lineRule="auto"/>
              <w:contextualSpacing/>
              <w:jc w:val="center"/>
              <w:rPr>
                <w:color w:val="000000" w:themeColor="text1"/>
                <w:sz w:val="24"/>
                <w:szCs w:val="24"/>
              </w:rPr>
            </w:pPr>
            <w:r w:rsidRPr="00792B36">
              <w:rPr>
                <w:color w:val="000000" w:themeColor="text1"/>
                <w:sz w:val="24"/>
                <w:szCs w:val="24"/>
              </w:rPr>
              <w:t>0.9</w:t>
            </w:r>
          </w:p>
        </w:tc>
        <w:tc>
          <w:tcPr>
            <w:tcW w:w="1701" w:type="dxa"/>
            <w:vAlign w:val="center"/>
          </w:tcPr>
          <w:p w14:paraId="28DE76BF" w14:textId="77777777" w:rsidR="00BA713F" w:rsidRPr="00792B36" w:rsidRDefault="00BA713F" w:rsidP="0096560E">
            <w:pPr>
              <w:spacing w:line="360" w:lineRule="auto"/>
              <w:contextualSpacing/>
              <w:jc w:val="center"/>
              <w:rPr>
                <w:color w:val="000000" w:themeColor="text1"/>
                <w:sz w:val="24"/>
                <w:szCs w:val="24"/>
              </w:rPr>
            </w:pPr>
            <w:r w:rsidRPr="00792B36">
              <w:rPr>
                <w:color w:val="000000" w:themeColor="text1"/>
                <w:sz w:val="24"/>
                <w:szCs w:val="24"/>
              </w:rPr>
              <w:t>0.7</w:t>
            </w:r>
          </w:p>
        </w:tc>
        <w:tc>
          <w:tcPr>
            <w:tcW w:w="2126" w:type="dxa"/>
            <w:vAlign w:val="center"/>
          </w:tcPr>
          <w:p w14:paraId="797E452A" w14:textId="77777777" w:rsidR="00BA713F" w:rsidRPr="00792B36" w:rsidRDefault="00BA713F" w:rsidP="0096560E">
            <w:pPr>
              <w:spacing w:line="360" w:lineRule="auto"/>
              <w:contextualSpacing/>
              <w:jc w:val="center"/>
              <w:rPr>
                <w:color w:val="000000" w:themeColor="text1"/>
                <w:sz w:val="24"/>
                <w:szCs w:val="24"/>
              </w:rPr>
            </w:pPr>
            <w:r w:rsidRPr="00792B36">
              <w:rPr>
                <w:color w:val="000000" w:themeColor="text1"/>
                <w:sz w:val="24"/>
                <w:szCs w:val="24"/>
              </w:rPr>
              <w:t>3.2</w:t>
            </w:r>
          </w:p>
        </w:tc>
        <w:tc>
          <w:tcPr>
            <w:tcW w:w="1843" w:type="dxa"/>
            <w:vAlign w:val="center"/>
          </w:tcPr>
          <w:p w14:paraId="7C305CE8" w14:textId="77777777" w:rsidR="00BA713F" w:rsidRPr="00792B36" w:rsidRDefault="00BA713F" w:rsidP="0096560E">
            <w:pPr>
              <w:spacing w:line="360" w:lineRule="auto"/>
              <w:contextualSpacing/>
              <w:jc w:val="center"/>
              <w:rPr>
                <w:color w:val="000000" w:themeColor="text1"/>
                <w:sz w:val="24"/>
                <w:szCs w:val="24"/>
              </w:rPr>
            </w:pPr>
            <w:r w:rsidRPr="00792B36">
              <w:rPr>
                <w:color w:val="000000" w:themeColor="text1"/>
                <w:sz w:val="24"/>
                <w:szCs w:val="24"/>
              </w:rPr>
              <w:t>2.9</w:t>
            </w:r>
          </w:p>
        </w:tc>
      </w:tr>
      <w:tr w:rsidR="00BA713F" w:rsidRPr="00792B36" w14:paraId="1D493DB0" w14:textId="77777777" w:rsidTr="0096560E">
        <w:trPr>
          <w:trHeight w:val="397"/>
        </w:trPr>
        <w:tc>
          <w:tcPr>
            <w:tcW w:w="1418" w:type="dxa"/>
            <w:vAlign w:val="center"/>
          </w:tcPr>
          <w:p w14:paraId="6BC39ECF" w14:textId="77777777" w:rsidR="00BA713F" w:rsidRPr="00792B36" w:rsidRDefault="00BA713F" w:rsidP="0096560E">
            <w:pPr>
              <w:spacing w:line="360" w:lineRule="auto"/>
              <w:contextualSpacing/>
              <w:rPr>
                <w:b/>
                <w:bCs/>
                <w:color w:val="000000" w:themeColor="text1"/>
                <w:sz w:val="24"/>
                <w:szCs w:val="24"/>
              </w:rPr>
            </w:pPr>
            <w:r w:rsidRPr="00792B36">
              <w:rPr>
                <w:b/>
                <w:bCs/>
                <w:color w:val="000000" w:themeColor="text1"/>
                <w:sz w:val="24"/>
                <w:szCs w:val="24"/>
              </w:rPr>
              <w:t>2010-2020</w:t>
            </w:r>
          </w:p>
        </w:tc>
        <w:tc>
          <w:tcPr>
            <w:tcW w:w="2126" w:type="dxa"/>
            <w:vAlign w:val="center"/>
          </w:tcPr>
          <w:p w14:paraId="4AB064E2" w14:textId="77777777" w:rsidR="00BA713F" w:rsidRPr="00792B36" w:rsidRDefault="00BA713F" w:rsidP="0096560E">
            <w:pPr>
              <w:spacing w:line="360" w:lineRule="auto"/>
              <w:contextualSpacing/>
              <w:jc w:val="center"/>
              <w:rPr>
                <w:color w:val="000000" w:themeColor="text1"/>
                <w:sz w:val="24"/>
                <w:szCs w:val="24"/>
              </w:rPr>
            </w:pPr>
            <w:r w:rsidRPr="00792B36">
              <w:rPr>
                <w:color w:val="000000" w:themeColor="text1"/>
                <w:sz w:val="24"/>
                <w:szCs w:val="24"/>
              </w:rPr>
              <w:t>0.8</w:t>
            </w:r>
          </w:p>
        </w:tc>
        <w:tc>
          <w:tcPr>
            <w:tcW w:w="1701" w:type="dxa"/>
            <w:vAlign w:val="center"/>
          </w:tcPr>
          <w:p w14:paraId="6C1B0B57" w14:textId="77777777" w:rsidR="00BA713F" w:rsidRPr="00792B36" w:rsidRDefault="00BA713F" w:rsidP="0096560E">
            <w:pPr>
              <w:spacing w:line="360" w:lineRule="auto"/>
              <w:contextualSpacing/>
              <w:jc w:val="center"/>
              <w:rPr>
                <w:color w:val="000000" w:themeColor="text1"/>
                <w:sz w:val="24"/>
                <w:szCs w:val="24"/>
              </w:rPr>
            </w:pPr>
            <w:r w:rsidRPr="00792B36">
              <w:rPr>
                <w:color w:val="000000" w:themeColor="text1"/>
                <w:sz w:val="24"/>
                <w:szCs w:val="24"/>
              </w:rPr>
              <w:t>0.5</w:t>
            </w:r>
          </w:p>
        </w:tc>
        <w:tc>
          <w:tcPr>
            <w:tcW w:w="2126" w:type="dxa"/>
            <w:vAlign w:val="center"/>
          </w:tcPr>
          <w:p w14:paraId="648EEF41" w14:textId="77777777" w:rsidR="00BA713F" w:rsidRPr="00792B36" w:rsidRDefault="00BA713F" w:rsidP="0096560E">
            <w:pPr>
              <w:spacing w:line="360" w:lineRule="auto"/>
              <w:contextualSpacing/>
              <w:jc w:val="center"/>
              <w:rPr>
                <w:color w:val="000000" w:themeColor="text1"/>
                <w:sz w:val="24"/>
                <w:szCs w:val="24"/>
                <w:cs/>
              </w:rPr>
            </w:pPr>
            <w:r w:rsidRPr="00792B36">
              <w:rPr>
                <w:color w:val="000000" w:themeColor="text1"/>
                <w:sz w:val="24"/>
                <w:szCs w:val="24"/>
              </w:rPr>
              <w:t>3.1</w:t>
            </w:r>
          </w:p>
        </w:tc>
        <w:tc>
          <w:tcPr>
            <w:tcW w:w="1843" w:type="dxa"/>
            <w:vAlign w:val="center"/>
          </w:tcPr>
          <w:p w14:paraId="5A7D8AF8" w14:textId="77777777" w:rsidR="00BA713F" w:rsidRPr="00792B36" w:rsidRDefault="00BA713F" w:rsidP="0096560E">
            <w:pPr>
              <w:spacing w:line="360" w:lineRule="auto"/>
              <w:contextualSpacing/>
              <w:jc w:val="center"/>
              <w:rPr>
                <w:color w:val="000000" w:themeColor="text1"/>
                <w:sz w:val="24"/>
                <w:szCs w:val="24"/>
              </w:rPr>
            </w:pPr>
            <w:r w:rsidRPr="00792B36">
              <w:rPr>
                <w:color w:val="000000" w:themeColor="text1"/>
                <w:sz w:val="24"/>
                <w:szCs w:val="24"/>
              </w:rPr>
              <w:t>2.9</w:t>
            </w:r>
          </w:p>
        </w:tc>
      </w:tr>
    </w:tbl>
    <w:p w14:paraId="1DD04A81" w14:textId="77777777" w:rsidR="00BA713F" w:rsidRPr="00792B36" w:rsidRDefault="00BA713F" w:rsidP="00BA713F">
      <w:pPr>
        <w:pBdr>
          <w:top w:val="nil"/>
          <w:left w:val="nil"/>
          <w:bottom w:val="nil"/>
          <w:right w:val="nil"/>
          <w:between w:val="nil"/>
        </w:pBdr>
        <w:spacing w:line="360" w:lineRule="auto"/>
        <w:contextualSpacing/>
        <w:jc w:val="both"/>
        <w:rPr>
          <w:b/>
          <w:bCs/>
          <w:color w:val="000000" w:themeColor="text1"/>
          <w:sz w:val="24"/>
          <w:szCs w:val="24"/>
        </w:rPr>
      </w:pPr>
    </w:p>
    <w:p w14:paraId="5AC6E7DD" w14:textId="77777777" w:rsidR="00BA713F" w:rsidRPr="00792B36" w:rsidRDefault="00BA713F" w:rsidP="00BA713F">
      <w:pPr>
        <w:pBdr>
          <w:top w:val="nil"/>
          <w:left w:val="nil"/>
          <w:bottom w:val="nil"/>
          <w:right w:val="nil"/>
          <w:between w:val="nil"/>
        </w:pBdr>
        <w:spacing w:line="360" w:lineRule="auto"/>
        <w:contextualSpacing/>
        <w:jc w:val="both"/>
        <w:rPr>
          <w:color w:val="000000" w:themeColor="text1"/>
          <w:sz w:val="24"/>
          <w:szCs w:val="24"/>
        </w:rPr>
      </w:pPr>
      <w:r w:rsidRPr="00792B36">
        <w:rPr>
          <w:color w:val="000000" w:themeColor="text1"/>
          <w:sz w:val="24"/>
          <w:szCs w:val="24"/>
        </w:rPr>
        <w:t>When considering the rate of change between 2000 and 2020, the annual household growth in coastal provinces excluding Bangkok declined from 3.4% to 3.1%, yet remains high. In contrast, the trend for coastal provinces including Bangkok diverges, with household growth stabilizing around 2.7–2.9% despite modest population growth of 0.4–0.7%. As noted by UN-Habitat (2016), households are growing faster than population due to declining household size, a pattern evident in Bangkok’s shift toward smaller, fragmented urban living arrangements. This increase in households translates into higher demand for housing, energy, and coastal land resources (Liu et al., 2003; FAO, 2018), intensifying pressure on ecosystems in the land-constrained upper Gulf of Thailand.</w:t>
      </w:r>
    </w:p>
    <w:p w14:paraId="1BBA018C" w14:textId="77777777" w:rsidR="00BA713F" w:rsidRPr="00792B36" w:rsidRDefault="00BA713F" w:rsidP="00BA713F">
      <w:pPr>
        <w:pBdr>
          <w:top w:val="nil"/>
          <w:left w:val="nil"/>
          <w:bottom w:val="nil"/>
          <w:right w:val="nil"/>
          <w:between w:val="nil"/>
        </w:pBdr>
        <w:spacing w:line="360" w:lineRule="auto"/>
        <w:contextualSpacing/>
        <w:jc w:val="both"/>
        <w:rPr>
          <w:color w:val="000000" w:themeColor="text1"/>
          <w:sz w:val="24"/>
          <w:szCs w:val="24"/>
        </w:rPr>
      </w:pPr>
    </w:p>
    <w:p w14:paraId="49DA1FCA" w14:textId="77777777" w:rsidR="00BA713F" w:rsidRPr="00792B36" w:rsidRDefault="00BA713F" w:rsidP="00BA713F">
      <w:pPr>
        <w:pBdr>
          <w:top w:val="nil"/>
          <w:left w:val="nil"/>
          <w:bottom w:val="nil"/>
          <w:right w:val="nil"/>
          <w:between w:val="nil"/>
        </w:pBdr>
        <w:spacing w:line="360" w:lineRule="auto"/>
        <w:contextualSpacing/>
        <w:jc w:val="thaiDistribute"/>
        <w:rPr>
          <w:color w:val="000000" w:themeColor="text1"/>
          <w:sz w:val="24"/>
          <w:szCs w:val="24"/>
        </w:rPr>
      </w:pPr>
      <w:r w:rsidRPr="00792B36">
        <w:rPr>
          <w:color w:val="000000" w:themeColor="text1"/>
          <w:sz w:val="24"/>
          <w:szCs w:val="24"/>
        </w:rPr>
        <w:t>Population and household growth trends vary significantly across the region. Economic hubs such as Chonburi</w:t>
      </w:r>
      <w:r w:rsidRPr="00792B36">
        <w:rPr>
          <w:color w:val="000000" w:themeColor="text1"/>
          <w:sz w:val="24"/>
          <w:szCs w:val="24"/>
          <w:cs/>
        </w:rPr>
        <w:t xml:space="preserve"> </w:t>
      </w:r>
      <w:r w:rsidRPr="00792B36">
        <w:rPr>
          <w:color w:val="000000" w:themeColor="text1"/>
          <w:sz w:val="24"/>
          <w:szCs w:val="24"/>
        </w:rPr>
        <w:t xml:space="preserve">(1.28–2.05%) and Rayong (1.13–2.01%) demonstrated relatively high population growth rates, while household growth was even more pronounced at 4.7% to over 5% annually (Figure 2.5), driven by tourism and industrial expansion. Conversely, provinces such as Samut Songkhram and Nakhon Si Thammarat recorded minimal or negative growth, likely reflecting outmigration and limited economic opportunities. Bangkok also experienced periods of slight population decline ranging from –0.06% to –0.32%, influenced by changing socio-economic conditions that have led to shifts in childbearing behavior, with people </w:t>
      </w:r>
      <w:r w:rsidRPr="00792B36">
        <w:rPr>
          <w:color w:val="000000" w:themeColor="text1"/>
          <w:sz w:val="24"/>
          <w:szCs w:val="24"/>
        </w:rPr>
        <w:lastRenderedPageBreak/>
        <w:t>opting to have fewer or no children due to financial and time constraints</w:t>
      </w:r>
      <w:r w:rsidRPr="00792B36">
        <w:rPr>
          <w:color w:val="000000" w:themeColor="text1"/>
          <w:sz w:val="24"/>
          <w:szCs w:val="24"/>
          <w:cs/>
        </w:rPr>
        <w:t xml:space="preserve"> </w:t>
      </w:r>
      <w:r w:rsidRPr="00792B36">
        <w:rPr>
          <w:b/>
          <w:bCs/>
          <w:color w:val="000000" w:themeColor="text1"/>
          <w:sz w:val="24"/>
          <w:szCs w:val="24"/>
        </w:rPr>
        <w:t>(Figure 2.5)</w:t>
      </w:r>
      <w:r w:rsidRPr="00792B36">
        <w:rPr>
          <w:color w:val="000000" w:themeColor="text1"/>
          <w:sz w:val="24"/>
          <w:szCs w:val="24"/>
        </w:rPr>
        <w:t>.</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020"/>
      </w:tblGrid>
      <w:tr w:rsidR="00BA713F" w:rsidRPr="00792B36" w14:paraId="08A6DD8D" w14:textId="77777777" w:rsidTr="0096560E">
        <w:tc>
          <w:tcPr>
            <w:tcW w:w="9027" w:type="dxa"/>
          </w:tcPr>
          <w:p w14:paraId="5002709B" w14:textId="77777777" w:rsidR="00BA713F" w:rsidRPr="00792B36" w:rsidRDefault="00BA713F" w:rsidP="0096560E">
            <w:pPr>
              <w:spacing w:line="360" w:lineRule="auto"/>
              <w:contextualSpacing/>
              <w:rPr>
                <w:b/>
                <w:bCs/>
                <w:color w:val="000000" w:themeColor="text1"/>
                <w:sz w:val="24"/>
                <w:szCs w:val="24"/>
              </w:rPr>
            </w:pPr>
            <w:r w:rsidRPr="00792B36">
              <w:rPr>
                <w:color w:val="000000" w:themeColor="text1"/>
                <w:sz w:val="24"/>
                <w:szCs w:val="24"/>
              </w:rPr>
              <w:t xml:space="preserve"> </w:t>
            </w:r>
            <w:r w:rsidRPr="00792B36">
              <w:rPr>
                <w:b/>
                <w:bCs/>
                <w:noProof/>
                <w:color w:val="000000" w:themeColor="text1"/>
                <w:sz w:val="24"/>
                <w:szCs w:val="24"/>
              </w:rPr>
              <w:drawing>
                <wp:inline distT="0" distB="0" distL="0" distR="0" wp14:anchorId="481FB8D7" wp14:editId="70EBC543">
                  <wp:extent cx="5760000" cy="1068033"/>
                  <wp:effectExtent l="0" t="0" r="0" b="0"/>
                  <wp:docPr id="1347983052" name="Picture 7" descr="A graph with red lines and black text&#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47983052" name="Picture 7" descr="A graph with red lines and black text&#10;&#10;AI-generated content may be incorrect."/>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5760000" cy="1068033"/>
                          </a:xfrm>
                          <a:prstGeom prst="rect">
                            <a:avLst/>
                          </a:prstGeom>
                          <a:noFill/>
                        </pic:spPr>
                      </pic:pic>
                    </a:graphicData>
                  </a:graphic>
                </wp:inline>
              </w:drawing>
            </w:r>
          </w:p>
        </w:tc>
      </w:tr>
      <w:tr w:rsidR="00BA713F" w:rsidRPr="00792B36" w14:paraId="5D2CD5A5" w14:textId="77777777" w:rsidTr="0096560E">
        <w:tc>
          <w:tcPr>
            <w:tcW w:w="9027" w:type="dxa"/>
          </w:tcPr>
          <w:p w14:paraId="048E2BA4" w14:textId="77777777" w:rsidR="00BA713F" w:rsidRPr="00792B36" w:rsidRDefault="00BA713F" w:rsidP="0096560E">
            <w:pPr>
              <w:spacing w:line="360" w:lineRule="auto"/>
              <w:contextualSpacing/>
              <w:rPr>
                <w:b/>
                <w:bCs/>
                <w:color w:val="000000" w:themeColor="text1"/>
                <w:sz w:val="24"/>
                <w:szCs w:val="24"/>
              </w:rPr>
            </w:pPr>
          </w:p>
        </w:tc>
      </w:tr>
      <w:tr w:rsidR="00BA713F" w:rsidRPr="00792B36" w14:paraId="3822EDD0" w14:textId="77777777" w:rsidTr="0096560E">
        <w:tc>
          <w:tcPr>
            <w:tcW w:w="9027" w:type="dxa"/>
          </w:tcPr>
          <w:p w14:paraId="1C0CF515" w14:textId="77777777" w:rsidR="00BA713F" w:rsidRPr="00792B36" w:rsidRDefault="00BA713F" w:rsidP="0096560E">
            <w:pPr>
              <w:spacing w:line="360" w:lineRule="auto"/>
              <w:contextualSpacing/>
              <w:rPr>
                <w:b/>
                <w:bCs/>
                <w:color w:val="000000" w:themeColor="text1"/>
                <w:sz w:val="24"/>
                <w:szCs w:val="24"/>
              </w:rPr>
            </w:pPr>
            <w:r w:rsidRPr="00792B36">
              <w:rPr>
                <w:b/>
                <w:bCs/>
                <w:noProof/>
                <w:color w:val="000000" w:themeColor="text1"/>
                <w:sz w:val="24"/>
                <w:szCs w:val="24"/>
              </w:rPr>
              <w:drawing>
                <wp:inline distT="0" distB="0" distL="0" distR="0" wp14:anchorId="7CB952E5" wp14:editId="1FFB8597">
                  <wp:extent cx="5760000" cy="1066330"/>
                  <wp:effectExtent l="0" t="0" r="0" b="635"/>
                  <wp:docPr id="421794129" name="Picture 8" descr="A graph with numbers and line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1794129" name="Picture 8" descr="A graph with numbers and lines&#10;&#10;AI-generated content may be incorrect."/>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5760000" cy="1066330"/>
                          </a:xfrm>
                          <a:prstGeom prst="rect">
                            <a:avLst/>
                          </a:prstGeom>
                          <a:noFill/>
                        </pic:spPr>
                      </pic:pic>
                    </a:graphicData>
                  </a:graphic>
                </wp:inline>
              </w:drawing>
            </w:r>
          </w:p>
        </w:tc>
      </w:tr>
      <w:tr w:rsidR="00BA713F" w:rsidRPr="00792B36" w14:paraId="2FB38452" w14:textId="77777777" w:rsidTr="0096560E">
        <w:tc>
          <w:tcPr>
            <w:tcW w:w="9027" w:type="dxa"/>
          </w:tcPr>
          <w:p w14:paraId="2F0A0D78" w14:textId="77777777" w:rsidR="00BA713F" w:rsidRPr="00792B36" w:rsidRDefault="00BA713F" w:rsidP="0096560E">
            <w:pPr>
              <w:spacing w:line="360" w:lineRule="auto"/>
              <w:contextualSpacing/>
              <w:rPr>
                <w:b/>
                <w:bCs/>
                <w:color w:val="000000" w:themeColor="text1"/>
                <w:sz w:val="24"/>
                <w:szCs w:val="24"/>
              </w:rPr>
            </w:pPr>
          </w:p>
        </w:tc>
      </w:tr>
      <w:tr w:rsidR="00BA713F" w:rsidRPr="00792B36" w14:paraId="22A67DCA" w14:textId="77777777" w:rsidTr="0096560E">
        <w:tc>
          <w:tcPr>
            <w:tcW w:w="9027" w:type="dxa"/>
          </w:tcPr>
          <w:p w14:paraId="14E7FB75" w14:textId="77777777" w:rsidR="00BA713F" w:rsidRPr="00792B36" w:rsidRDefault="00BA713F" w:rsidP="0096560E">
            <w:pPr>
              <w:spacing w:line="360" w:lineRule="auto"/>
              <w:contextualSpacing/>
              <w:rPr>
                <w:b/>
                <w:bCs/>
                <w:color w:val="000000" w:themeColor="text1"/>
                <w:sz w:val="24"/>
                <w:szCs w:val="24"/>
              </w:rPr>
            </w:pPr>
            <w:r w:rsidRPr="00792B36">
              <w:rPr>
                <w:b/>
                <w:bCs/>
                <w:noProof/>
                <w:color w:val="000000" w:themeColor="text1"/>
                <w:sz w:val="24"/>
                <w:szCs w:val="24"/>
              </w:rPr>
              <w:drawing>
                <wp:inline distT="0" distB="0" distL="0" distR="0" wp14:anchorId="6F6BF747" wp14:editId="0F40BB10">
                  <wp:extent cx="5760000" cy="1037194"/>
                  <wp:effectExtent l="0" t="0" r="0" b="0"/>
                  <wp:docPr id="693828118" name="Picture 107" descr="A graph with numbers and line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93828118" name="Picture 107" descr="A graph with numbers and lines&#10;&#10;AI-generated content may be incorrect."/>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5760000" cy="1037194"/>
                          </a:xfrm>
                          <a:prstGeom prst="rect">
                            <a:avLst/>
                          </a:prstGeom>
                          <a:noFill/>
                        </pic:spPr>
                      </pic:pic>
                    </a:graphicData>
                  </a:graphic>
                </wp:inline>
              </w:drawing>
            </w:r>
          </w:p>
        </w:tc>
      </w:tr>
      <w:tr w:rsidR="00BA713F" w:rsidRPr="00792B36" w14:paraId="3EC8AD81" w14:textId="77777777" w:rsidTr="0096560E">
        <w:tc>
          <w:tcPr>
            <w:tcW w:w="9027" w:type="dxa"/>
          </w:tcPr>
          <w:p w14:paraId="68347064" w14:textId="77777777" w:rsidR="00BA713F" w:rsidRPr="00792B36" w:rsidRDefault="00BA713F" w:rsidP="0096560E">
            <w:pPr>
              <w:spacing w:line="360" w:lineRule="auto"/>
              <w:contextualSpacing/>
              <w:rPr>
                <w:b/>
                <w:bCs/>
                <w:color w:val="000000" w:themeColor="text1"/>
                <w:sz w:val="24"/>
                <w:szCs w:val="24"/>
              </w:rPr>
            </w:pPr>
          </w:p>
        </w:tc>
      </w:tr>
      <w:tr w:rsidR="00BA713F" w:rsidRPr="00792B36" w14:paraId="43CFCC3C" w14:textId="77777777" w:rsidTr="0096560E">
        <w:tc>
          <w:tcPr>
            <w:tcW w:w="9027" w:type="dxa"/>
          </w:tcPr>
          <w:p w14:paraId="33B50D66" w14:textId="77777777" w:rsidR="00BA713F" w:rsidRPr="00792B36" w:rsidRDefault="00BA713F" w:rsidP="0096560E">
            <w:pPr>
              <w:spacing w:line="360" w:lineRule="auto"/>
              <w:contextualSpacing/>
              <w:jc w:val="center"/>
              <w:rPr>
                <w:b/>
                <w:bCs/>
                <w:color w:val="000000" w:themeColor="text1"/>
                <w:sz w:val="24"/>
                <w:szCs w:val="24"/>
              </w:rPr>
            </w:pPr>
            <w:r w:rsidRPr="00792B36">
              <w:rPr>
                <w:b/>
                <w:bCs/>
                <w:color w:val="000000" w:themeColor="text1"/>
                <w:sz w:val="24"/>
                <w:szCs w:val="24"/>
              </w:rPr>
              <w:t>Figure 2.5</w:t>
            </w:r>
            <w:r w:rsidRPr="00792B36">
              <w:rPr>
                <w:color w:val="000000" w:themeColor="text1"/>
                <w:sz w:val="24"/>
                <w:szCs w:val="24"/>
              </w:rPr>
              <w:t xml:space="preserve"> Annual population changes by coastal provinces along the Gulf of Thailand (2000-2020)</w:t>
            </w:r>
          </w:p>
        </w:tc>
      </w:tr>
    </w:tbl>
    <w:p w14:paraId="15DAECE5" w14:textId="77777777" w:rsidR="00BA713F" w:rsidRPr="00792B36" w:rsidRDefault="00BA713F" w:rsidP="00BA713F">
      <w:pPr>
        <w:pBdr>
          <w:top w:val="nil"/>
          <w:left w:val="nil"/>
          <w:bottom w:val="nil"/>
          <w:right w:val="nil"/>
          <w:between w:val="nil"/>
        </w:pBdr>
        <w:spacing w:line="360" w:lineRule="auto"/>
        <w:contextualSpacing/>
        <w:rPr>
          <w:color w:val="000000" w:themeColor="text1"/>
          <w:sz w:val="20"/>
          <w:szCs w:val="20"/>
        </w:rPr>
      </w:pPr>
      <w:r w:rsidRPr="00792B36">
        <w:rPr>
          <w:color w:val="000000" w:themeColor="text1"/>
          <w:sz w:val="20"/>
          <w:szCs w:val="20"/>
        </w:rPr>
        <w:t xml:space="preserve">Source: Author’s calculation based on data from Department of Provincial Administration. 2025. Official statistics registration systems. </w:t>
      </w:r>
      <w:r w:rsidRPr="00792B36">
        <w:fldChar w:fldCharType="begin"/>
      </w:r>
      <w:r w:rsidRPr="00792B36">
        <w:instrText>HYPERLINK "https://stat.bora.dopa.go.th/stat/statnew/statMenu/newStat/home.php"</w:instrText>
      </w:r>
      <w:r w:rsidRPr="00792B36">
        <w:fldChar w:fldCharType="separate"/>
      </w:r>
      <w:r w:rsidRPr="00792B36">
        <w:rPr>
          <w:rStyle w:val="Hyperlink"/>
          <w:color w:val="000000" w:themeColor="text1"/>
          <w:sz w:val="20"/>
          <w:szCs w:val="20"/>
        </w:rPr>
        <w:t>https://stat.bora.dopa.go.th/stat/statnew/statMenu/newStat/home.php</w:t>
      </w:r>
      <w:r w:rsidRPr="00792B36">
        <w:fldChar w:fldCharType="end"/>
      </w:r>
      <w:r w:rsidRPr="00792B36">
        <w:rPr>
          <w:color w:val="000000" w:themeColor="text1"/>
          <w:sz w:val="20"/>
          <w:szCs w:val="20"/>
        </w:rPr>
        <w:t xml:space="preserve"> (accessed 19 April 2025)</w:t>
      </w:r>
    </w:p>
    <w:p w14:paraId="0ABED188" w14:textId="77777777" w:rsidR="00BA713F" w:rsidRPr="00792B36" w:rsidRDefault="00BA713F" w:rsidP="00BA713F">
      <w:pPr>
        <w:pBdr>
          <w:top w:val="nil"/>
          <w:left w:val="nil"/>
          <w:bottom w:val="nil"/>
          <w:right w:val="nil"/>
          <w:between w:val="nil"/>
        </w:pBdr>
        <w:spacing w:line="360" w:lineRule="auto"/>
        <w:contextualSpacing/>
        <w:jc w:val="both"/>
        <w:rPr>
          <w:color w:val="000000" w:themeColor="text1"/>
          <w:sz w:val="24"/>
          <w:szCs w:val="24"/>
        </w:rPr>
      </w:pPr>
    </w:p>
    <w:p w14:paraId="5578F4B2" w14:textId="77777777" w:rsidR="00BA713F" w:rsidRPr="00792B36" w:rsidRDefault="00BA713F" w:rsidP="00BA713F">
      <w:pPr>
        <w:pBdr>
          <w:top w:val="nil"/>
          <w:left w:val="nil"/>
          <w:bottom w:val="nil"/>
          <w:right w:val="nil"/>
          <w:between w:val="nil"/>
        </w:pBdr>
        <w:spacing w:line="360" w:lineRule="auto"/>
        <w:contextualSpacing/>
        <w:jc w:val="both"/>
        <w:rPr>
          <w:color w:val="000000" w:themeColor="text1"/>
          <w:sz w:val="24"/>
          <w:szCs w:val="24"/>
        </w:rPr>
      </w:pPr>
      <w:r w:rsidRPr="00792B36">
        <w:rPr>
          <w:b/>
          <w:bCs/>
          <w:color w:val="000000" w:themeColor="text1"/>
          <w:sz w:val="24"/>
          <w:szCs w:val="24"/>
        </w:rPr>
        <w:t>Figure 2.6</w:t>
      </w:r>
      <w:r w:rsidRPr="00792B36">
        <w:rPr>
          <w:color w:val="000000" w:themeColor="text1"/>
          <w:sz w:val="24"/>
          <w:szCs w:val="24"/>
        </w:rPr>
        <w:t xml:space="preserve"> presents the proportion of each coastal province’s population relative to the national total for 2000, 2005, 2010, and 2020. While the overall coastal share has remained relatively stable, ranging from 26.8% to 28.1%, Bangkok alone accounted for the largest share, representing 9.2%, 9.1%, 8.9%, and 8.4% across these respective years. Although this share has gradually declined, Bangkok remains the central economic and administrative hub. Other provinces such as Samut Prakan and Chonburi also hold substantial shares due to their proximity to major urban centers and importance in industrial development, with Chonburi’s increasing share aligning with the </w:t>
      </w:r>
      <w:bookmarkStart w:id="4" w:name="_Hlk215914863"/>
      <w:r w:rsidRPr="00792B36">
        <w:rPr>
          <w:color w:val="000000" w:themeColor="text1"/>
          <w:sz w:val="24"/>
          <w:szCs w:val="24"/>
        </w:rPr>
        <w:t>Eastern Economic Corridor (EEC)</w:t>
      </w:r>
      <w:bookmarkEnd w:id="4"/>
      <w:r w:rsidRPr="00792B36">
        <w:rPr>
          <w:color w:val="000000" w:themeColor="text1"/>
          <w:sz w:val="24"/>
          <w:szCs w:val="24"/>
        </w:rPr>
        <w:t xml:space="preserve"> initiative. In contrast, provinces such as Trat and Samut Songkhram have consistently accounted for less than 1% of the </w:t>
      </w:r>
      <w:r w:rsidRPr="00792B36">
        <w:rPr>
          <w:color w:val="000000" w:themeColor="text1"/>
          <w:sz w:val="24"/>
          <w:szCs w:val="24"/>
        </w:rPr>
        <w:lastRenderedPageBreak/>
        <w:t>national population each.</w:t>
      </w:r>
    </w:p>
    <w:p w14:paraId="1C50238A" w14:textId="77777777" w:rsidR="00BA713F" w:rsidRPr="00792B36" w:rsidRDefault="00BA713F" w:rsidP="00BA713F">
      <w:pPr>
        <w:pBdr>
          <w:top w:val="nil"/>
          <w:left w:val="nil"/>
          <w:bottom w:val="nil"/>
          <w:right w:val="nil"/>
          <w:between w:val="nil"/>
        </w:pBdr>
        <w:spacing w:line="360" w:lineRule="auto"/>
        <w:contextualSpacing/>
        <w:jc w:val="both"/>
        <w:rPr>
          <w:color w:val="000000" w:themeColor="text1"/>
          <w:sz w:val="24"/>
          <w:szCs w:val="24"/>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020"/>
      </w:tblGrid>
      <w:tr w:rsidR="00BA713F" w:rsidRPr="00792B36" w14:paraId="6BD1B153" w14:textId="77777777" w:rsidTr="0096560E">
        <w:tc>
          <w:tcPr>
            <w:tcW w:w="9027" w:type="dxa"/>
          </w:tcPr>
          <w:p w14:paraId="49701490" w14:textId="77777777" w:rsidR="00BA713F" w:rsidRPr="00792B36" w:rsidRDefault="00BA713F" w:rsidP="0096560E">
            <w:pPr>
              <w:spacing w:line="360" w:lineRule="auto"/>
              <w:contextualSpacing/>
              <w:rPr>
                <w:color w:val="000000" w:themeColor="text1"/>
                <w:sz w:val="24"/>
                <w:szCs w:val="24"/>
              </w:rPr>
            </w:pPr>
            <w:r w:rsidRPr="00792B36">
              <w:rPr>
                <w:noProof/>
                <w:color w:val="000000" w:themeColor="text1"/>
                <w:sz w:val="24"/>
                <w:szCs w:val="24"/>
              </w:rPr>
              <w:drawing>
                <wp:inline distT="0" distB="0" distL="0" distR="0" wp14:anchorId="6F886977" wp14:editId="4E547A04">
                  <wp:extent cx="5760000" cy="1081506"/>
                  <wp:effectExtent l="0" t="0" r="0" b="4445"/>
                  <wp:docPr id="568853890" name="Picture 109" descr="A screenshot of a cell phone&#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68853890" name="Picture 109" descr="A screenshot of a cell phone&#10;&#10;AI-generated content may be incorrect."/>
                          <pic:cNvPicPr>
                            <a:picLocks noChangeAspect="1" noChangeArrowheads="1"/>
                          </pic:cNvPicPr>
                        </pic:nvPicPr>
                        <pic:blipFill>
                          <a:blip r:embed="rId33" cstate="print">
                            <a:extLst>
                              <a:ext uri="{28A0092B-C50C-407E-A947-70E740481C1C}">
                                <a14:useLocalDpi xmlns:a14="http://schemas.microsoft.com/office/drawing/2010/main" val="0"/>
                              </a:ext>
                            </a:extLst>
                          </a:blip>
                          <a:srcRect/>
                          <a:stretch>
                            <a:fillRect/>
                          </a:stretch>
                        </pic:blipFill>
                        <pic:spPr bwMode="auto">
                          <a:xfrm>
                            <a:off x="0" y="0"/>
                            <a:ext cx="5760000" cy="1081506"/>
                          </a:xfrm>
                          <a:prstGeom prst="rect">
                            <a:avLst/>
                          </a:prstGeom>
                          <a:noFill/>
                        </pic:spPr>
                      </pic:pic>
                    </a:graphicData>
                  </a:graphic>
                </wp:inline>
              </w:drawing>
            </w:r>
          </w:p>
        </w:tc>
      </w:tr>
      <w:tr w:rsidR="00BA713F" w:rsidRPr="00792B36" w14:paraId="3F12ABC6" w14:textId="77777777" w:rsidTr="0096560E">
        <w:tc>
          <w:tcPr>
            <w:tcW w:w="9027" w:type="dxa"/>
          </w:tcPr>
          <w:p w14:paraId="668CB543" w14:textId="77777777" w:rsidR="00BA713F" w:rsidRPr="00792B36" w:rsidRDefault="00BA713F" w:rsidP="0096560E">
            <w:pPr>
              <w:spacing w:line="360" w:lineRule="auto"/>
              <w:contextualSpacing/>
              <w:rPr>
                <w:color w:val="000000" w:themeColor="text1"/>
                <w:sz w:val="24"/>
                <w:szCs w:val="24"/>
              </w:rPr>
            </w:pPr>
          </w:p>
        </w:tc>
      </w:tr>
      <w:tr w:rsidR="00BA713F" w:rsidRPr="00792B36" w14:paraId="2AF19A5F" w14:textId="77777777" w:rsidTr="0096560E">
        <w:tc>
          <w:tcPr>
            <w:tcW w:w="9027" w:type="dxa"/>
          </w:tcPr>
          <w:p w14:paraId="4A549C00" w14:textId="77777777" w:rsidR="00BA713F" w:rsidRPr="00792B36" w:rsidRDefault="00BA713F" w:rsidP="0096560E">
            <w:pPr>
              <w:spacing w:line="360" w:lineRule="auto"/>
              <w:contextualSpacing/>
              <w:rPr>
                <w:color w:val="000000" w:themeColor="text1"/>
                <w:sz w:val="24"/>
                <w:szCs w:val="24"/>
              </w:rPr>
            </w:pPr>
            <w:r w:rsidRPr="00792B36">
              <w:rPr>
                <w:noProof/>
                <w:color w:val="000000" w:themeColor="text1"/>
                <w:sz w:val="24"/>
                <w:szCs w:val="24"/>
              </w:rPr>
              <w:drawing>
                <wp:inline distT="0" distB="0" distL="0" distR="0" wp14:anchorId="280FA02E" wp14:editId="6365AAC0">
                  <wp:extent cx="5760000" cy="1079594"/>
                  <wp:effectExtent l="0" t="0" r="0" b="6350"/>
                  <wp:docPr id="32254678" name="Picture 13" descr="A screenshot of a computer&#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254678" name="Picture 13" descr="A screenshot of a computer&#10;&#10;AI-generated content may be incorrect."/>
                          <pic:cNvPicPr>
                            <a:picLocks noChangeAspect="1" noChangeArrowheads="1"/>
                          </pic:cNvPicPr>
                        </pic:nvPicPr>
                        <pic:blipFill>
                          <a:blip r:embed="rId34" cstate="print">
                            <a:extLst>
                              <a:ext uri="{28A0092B-C50C-407E-A947-70E740481C1C}">
                                <a14:useLocalDpi xmlns:a14="http://schemas.microsoft.com/office/drawing/2010/main" val="0"/>
                              </a:ext>
                            </a:extLst>
                          </a:blip>
                          <a:srcRect/>
                          <a:stretch>
                            <a:fillRect/>
                          </a:stretch>
                        </pic:blipFill>
                        <pic:spPr bwMode="auto">
                          <a:xfrm>
                            <a:off x="0" y="0"/>
                            <a:ext cx="5760000" cy="1079594"/>
                          </a:xfrm>
                          <a:prstGeom prst="rect">
                            <a:avLst/>
                          </a:prstGeom>
                          <a:noFill/>
                        </pic:spPr>
                      </pic:pic>
                    </a:graphicData>
                  </a:graphic>
                </wp:inline>
              </w:drawing>
            </w:r>
          </w:p>
        </w:tc>
      </w:tr>
      <w:tr w:rsidR="00BA713F" w:rsidRPr="00792B36" w14:paraId="730CB3B9" w14:textId="77777777" w:rsidTr="0096560E">
        <w:tc>
          <w:tcPr>
            <w:tcW w:w="9027" w:type="dxa"/>
          </w:tcPr>
          <w:p w14:paraId="11BBF758" w14:textId="77777777" w:rsidR="00BA713F" w:rsidRPr="00792B36" w:rsidRDefault="00BA713F" w:rsidP="0096560E">
            <w:pPr>
              <w:spacing w:line="360" w:lineRule="auto"/>
              <w:contextualSpacing/>
              <w:rPr>
                <w:color w:val="000000" w:themeColor="text1"/>
                <w:sz w:val="24"/>
                <w:szCs w:val="24"/>
              </w:rPr>
            </w:pPr>
          </w:p>
        </w:tc>
      </w:tr>
      <w:tr w:rsidR="00BA713F" w:rsidRPr="00792B36" w14:paraId="42E29755" w14:textId="77777777" w:rsidTr="0096560E">
        <w:tc>
          <w:tcPr>
            <w:tcW w:w="9027" w:type="dxa"/>
          </w:tcPr>
          <w:p w14:paraId="4957A85B" w14:textId="77777777" w:rsidR="00BA713F" w:rsidRPr="00792B36" w:rsidRDefault="00BA713F" w:rsidP="0096560E">
            <w:pPr>
              <w:spacing w:line="360" w:lineRule="auto"/>
              <w:contextualSpacing/>
              <w:rPr>
                <w:color w:val="000000" w:themeColor="text1"/>
                <w:sz w:val="24"/>
                <w:szCs w:val="24"/>
              </w:rPr>
            </w:pPr>
            <w:r w:rsidRPr="00792B36">
              <w:rPr>
                <w:noProof/>
                <w:color w:val="000000" w:themeColor="text1"/>
                <w:sz w:val="24"/>
                <w:szCs w:val="24"/>
              </w:rPr>
              <w:drawing>
                <wp:inline distT="0" distB="0" distL="0" distR="0" wp14:anchorId="3809F0E5" wp14:editId="51667A10">
                  <wp:extent cx="5580000" cy="1045857"/>
                  <wp:effectExtent l="0" t="0" r="1905" b="1905"/>
                  <wp:docPr id="1081544736" name="Picture 108" descr="A screenshot of a graph&#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81544736" name="Picture 108" descr="A screenshot of a graph&#10;&#10;AI-generated content may be incorrect."/>
                          <pic:cNvPicPr>
                            <a:picLocks noChangeAspect="1" noChangeArrowheads="1"/>
                          </pic:cNvPicPr>
                        </pic:nvPicPr>
                        <pic:blipFill>
                          <a:blip r:embed="rId35" cstate="print">
                            <a:extLst>
                              <a:ext uri="{28A0092B-C50C-407E-A947-70E740481C1C}">
                                <a14:useLocalDpi xmlns:a14="http://schemas.microsoft.com/office/drawing/2010/main" val="0"/>
                              </a:ext>
                            </a:extLst>
                          </a:blip>
                          <a:srcRect/>
                          <a:stretch>
                            <a:fillRect/>
                          </a:stretch>
                        </pic:blipFill>
                        <pic:spPr bwMode="auto">
                          <a:xfrm>
                            <a:off x="0" y="0"/>
                            <a:ext cx="5580000" cy="1045857"/>
                          </a:xfrm>
                          <a:prstGeom prst="rect">
                            <a:avLst/>
                          </a:prstGeom>
                          <a:noFill/>
                        </pic:spPr>
                      </pic:pic>
                    </a:graphicData>
                  </a:graphic>
                </wp:inline>
              </w:drawing>
            </w:r>
          </w:p>
        </w:tc>
      </w:tr>
      <w:tr w:rsidR="00BA713F" w:rsidRPr="00792B36" w14:paraId="33107490" w14:textId="77777777" w:rsidTr="0096560E">
        <w:tc>
          <w:tcPr>
            <w:tcW w:w="9027" w:type="dxa"/>
          </w:tcPr>
          <w:p w14:paraId="09D45D6A" w14:textId="77777777" w:rsidR="00BA713F" w:rsidRPr="00792B36" w:rsidRDefault="00BA713F" w:rsidP="0096560E">
            <w:pPr>
              <w:spacing w:line="360" w:lineRule="auto"/>
              <w:contextualSpacing/>
              <w:rPr>
                <w:color w:val="000000" w:themeColor="text1"/>
                <w:sz w:val="24"/>
                <w:szCs w:val="24"/>
              </w:rPr>
            </w:pPr>
          </w:p>
        </w:tc>
      </w:tr>
      <w:tr w:rsidR="00BA713F" w:rsidRPr="00792B36" w14:paraId="5D0A4D3E" w14:textId="77777777" w:rsidTr="0096560E">
        <w:tc>
          <w:tcPr>
            <w:tcW w:w="9027" w:type="dxa"/>
          </w:tcPr>
          <w:p w14:paraId="195495FA" w14:textId="77777777" w:rsidR="00BA713F" w:rsidRPr="00792B36" w:rsidRDefault="00BA713F" w:rsidP="0096560E">
            <w:pPr>
              <w:spacing w:line="360" w:lineRule="auto"/>
              <w:contextualSpacing/>
              <w:jc w:val="center"/>
              <w:rPr>
                <w:b/>
                <w:bCs/>
                <w:color w:val="000000" w:themeColor="text1"/>
                <w:sz w:val="24"/>
                <w:szCs w:val="24"/>
              </w:rPr>
            </w:pPr>
            <w:r w:rsidRPr="00792B36">
              <w:rPr>
                <w:b/>
                <w:bCs/>
                <w:color w:val="000000" w:themeColor="text1"/>
                <w:sz w:val="24"/>
                <w:szCs w:val="24"/>
              </w:rPr>
              <w:t xml:space="preserve">Figure 2.6 </w:t>
            </w:r>
            <w:r w:rsidRPr="00792B36">
              <w:rPr>
                <w:color w:val="000000" w:themeColor="text1"/>
                <w:sz w:val="24"/>
                <w:szCs w:val="24"/>
              </w:rPr>
              <w:t>Provincial share of coastal population along the Gulf of Thailand (2000, 2005, 2010, 2020)</w:t>
            </w:r>
          </w:p>
        </w:tc>
      </w:tr>
    </w:tbl>
    <w:p w14:paraId="6F4230EB" w14:textId="77777777" w:rsidR="00BA713F" w:rsidRPr="00792B36" w:rsidRDefault="00BA713F" w:rsidP="00BA713F">
      <w:pPr>
        <w:pBdr>
          <w:top w:val="nil"/>
          <w:left w:val="nil"/>
          <w:bottom w:val="nil"/>
          <w:right w:val="nil"/>
          <w:between w:val="nil"/>
        </w:pBdr>
        <w:spacing w:line="360" w:lineRule="auto"/>
        <w:contextualSpacing/>
        <w:rPr>
          <w:color w:val="000000" w:themeColor="text1"/>
          <w:sz w:val="20"/>
          <w:szCs w:val="20"/>
        </w:rPr>
      </w:pPr>
      <w:r w:rsidRPr="00792B36">
        <w:rPr>
          <w:color w:val="000000" w:themeColor="text1"/>
          <w:sz w:val="20"/>
          <w:szCs w:val="20"/>
        </w:rPr>
        <w:t xml:space="preserve">Source: Author’s calculation based on data from Department of Provincial Administration. 2025. Official statistics registration systems. </w:t>
      </w:r>
      <w:r w:rsidRPr="00792B36">
        <w:fldChar w:fldCharType="begin"/>
      </w:r>
      <w:r w:rsidRPr="00792B36">
        <w:instrText>HYPERLINK "https://stat.bora.dopa.go.th/stat/statnew/statMenu/newStat/home.php"</w:instrText>
      </w:r>
      <w:r w:rsidRPr="00792B36">
        <w:fldChar w:fldCharType="separate"/>
      </w:r>
      <w:r w:rsidRPr="00792B36">
        <w:rPr>
          <w:rStyle w:val="Hyperlink"/>
          <w:color w:val="000000" w:themeColor="text1"/>
          <w:sz w:val="20"/>
          <w:szCs w:val="20"/>
        </w:rPr>
        <w:t>https://stat.bora.dopa.go.th/stat/statnew/statMenu/newStat/home.php</w:t>
      </w:r>
      <w:r w:rsidRPr="00792B36">
        <w:fldChar w:fldCharType="end"/>
      </w:r>
      <w:r w:rsidRPr="00792B36">
        <w:rPr>
          <w:color w:val="000000" w:themeColor="text1"/>
          <w:sz w:val="20"/>
          <w:szCs w:val="20"/>
        </w:rPr>
        <w:t xml:space="preserve"> (accessed 19 April 2025)</w:t>
      </w:r>
    </w:p>
    <w:p w14:paraId="595B88B4" w14:textId="77777777" w:rsidR="00BA713F" w:rsidRPr="00792B36" w:rsidRDefault="00BA713F" w:rsidP="00BA713F">
      <w:pPr>
        <w:pBdr>
          <w:top w:val="nil"/>
          <w:left w:val="nil"/>
          <w:bottom w:val="nil"/>
          <w:right w:val="nil"/>
          <w:between w:val="nil"/>
        </w:pBdr>
        <w:spacing w:line="360" w:lineRule="auto"/>
        <w:contextualSpacing/>
        <w:jc w:val="both"/>
        <w:rPr>
          <w:color w:val="000000" w:themeColor="text1"/>
          <w:sz w:val="24"/>
          <w:szCs w:val="24"/>
        </w:rPr>
      </w:pPr>
    </w:p>
    <w:p w14:paraId="2798396F" w14:textId="77777777" w:rsidR="00BA713F" w:rsidRPr="00792B36" w:rsidRDefault="00BA713F" w:rsidP="00BA713F">
      <w:pPr>
        <w:pBdr>
          <w:top w:val="nil"/>
          <w:left w:val="nil"/>
          <w:bottom w:val="nil"/>
          <w:right w:val="nil"/>
          <w:between w:val="nil"/>
        </w:pBdr>
        <w:spacing w:line="360" w:lineRule="auto"/>
        <w:contextualSpacing/>
        <w:jc w:val="both"/>
        <w:rPr>
          <w:color w:val="000000" w:themeColor="text1"/>
          <w:sz w:val="24"/>
          <w:szCs w:val="24"/>
        </w:rPr>
      </w:pPr>
      <w:r w:rsidRPr="00792B36">
        <w:rPr>
          <w:b/>
          <w:bCs/>
          <w:color w:val="000000" w:themeColor="text1"/>
          <w:sz w:val="24"/>
          <w:szCs w:val="24"/>
        </w:rPr>
        <w:t>Figure 2.7</w:t>
      </w:r>
      <w:r w:rsidRPr="00792B36">
        <w:rPr>
          <w:color w:val="000000" w:themeColor="text1"/>
          <w:sz w:val="24"/>
          <w:szCs w:val="24"/>
        </w:rPr>
        <w:t xml:space="preserve"> illustrates the relationship between land area and population concentration from 2000 to 2020. While Thailand’s national average density increased gradually from 121 to 129 persons/km², coastal provinces exhibit densities far exceeding this benchmark. Bangkok consistently recorded the highest extreme concentration, ranging between 3,562 and 3,634 persons/km². Similarly, Samut Prakan (992–1,346 persons/km²), Samut Sakhon (492–672 persons/km²), and Samut Songkhram (461–492 persons/km²) display densities significantly higher than the national level due to large populations confined within limited land areas.</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020"/>
      </w:tblGrid>
      <w:tr w:rsidR="00BA713F" w:rsidRPr="00792B36" w14:paraId="5180AFD2" w14:textId="77777777" w:rsidTr="0096560E">
        <w:tc>
          <w:tcPr>
            <w:tcW w:w="9027" w:type="dxa"/>
          </w:tcPr>
          <w:p w14:paraId="15E01B36" w14:textId="77777777" w:rsidR="00BA713F" w:rsidRPr="00792B36" w:rsidRDefault="00BA713F" w:rsidP="0096560E">
            <w:pPr>
              <w:spacing w:line="360" w:lineRule="auto"/>
              <w:contextualSpacing/>
              <w:rPr>
                <w:color w:val="000000" w:themeColor="text1"/>
                <w:sz w:val="24"/>
                <w:szCs w:val="24"/>
              </w:rPr>
            </w:pPr>
            <w:bookmarkStart w:id="5" w:name="_Hlk202876354"/>
            <w:r w:rsidRPr="00792B36">
              <w:rPr>
                <w:noProof/>
                <w:color w:val="000000" w:themeColor="text1"/>
                <w:sz w:val="24"/>
                <w:szCs w:val="24"/>
              </w:rPr>
              <w:lastRenderedPageBreak/>
              <w:drawing>
                <wp:inline distT="0" distB="0" distL="0" distR="0" wp14:anchorId="5EB5F46D" wp14:editId="2CEE6A08">
                  <wp:extent cx="5580000" cy="1045857"/>
                  <wp:effectExtent l="0" t="0" r="1905" b="1905"/>
                  <wp:docPr id="1305645684" name="Picture 17" descr="A screenshot of a cell phone&#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05645684" name="Picture 17" descr="A screenshot of a cell phone&#10;&#10;AI-generated content may be incorrect."/>
                          <pic:cNvPicPr>
                            <a:picLocks noChangeAspect="1" noChangeArrowheads="1"/>
                          </pic:cNvPicPr>
                        </pic:nvPicPr>
                        <pic:blipFill>
                          <a:blip r:embed="rId36" cstate="print">
                            <a:extLst>
                              <a:ext uri="{28A0092B-C50C-407E-A947-70E740481C1C}">
                                <a14:useLocalDpi xmlns:a14="http://schemas.microsoft.com/office/drawing/2010/main" val="0"/>
                              </a:ext>
                            </a:extLst>
                          </a:blip>
                          <a:srcRect/>
                          <a:stretch>
                            <a:fillRect/>
                          </a:stretch>
                        </pic:blipFill>
                        <pic:spPr bwMode="auto">
                          <a:xfrm>
                            <a:off x="0" y="0"/>
                            <a:ext cx="5580000" cy="1045857"/>
                          </a:xfrm>
                          <a:prstGeom prst="rect">
                            <a:avLst/>
                          </a:prstGeom>
                          <a:noFill/>
                        </pic:spPr>
                      </pic:pic>
                    </a:graphicData>
                  </a:graphic>
                </wp:inline>
              </w:drawing>
            </w:r>
          </w:p>
        </w:tc>
      </w:tr>
      <w:tr w:rsidR="00BA713F" w:rsidRPr="00792B36" w14:paraId="213D3603" w14:textId="77777777" w:rsidTr="0096560E">
        <w:tc>
          <w:tcPr>
            <w:tcW w:w="9027" w:type="dxa"/>
          </w:tcPr>
          <w:p w14:paraId="50E5F6E3" w14:textId="77777777" w:rsidR="00BA713F" w:rsidRPr="00792B36" w:rsidRDefault="00BA713F" w:rsidP="0096560E">
            <w:pPr>
              <w:spacing w:line="360" w:lineRule="auto"/>
              <w:contextualSpacing/>
              <w:rPr>
                <w:color w:val="000000" w:themeColor="text1"/>
                <w:sz w:val="24"/>
                <w:szCs w:val="24"/>
              </w:rPr>
            </w:pPr>
          </w:p>
        </w:tc>
      </w:tr>
      <w:tr w:rsidR="00BA713F" w:rsidRPr="00792B36" w14:paraId="7985BD4C" w14:textId="77777777" w:rsidTr="0096560E">
        <w:tc>
          <w:tcPr>
            <w:tcW w:w="9027" w:type="dxa"/>
          </w:tcPr>
          <w:p w14:paraId="444DD8DF" w14:textId="77777777" w:rsidR="00BA713F" w:rsidRPr="00792B36" w:rsidRDefault="00BA713F" w:rsidP="0096560E">
            <w:pPr>
              <w:spacing w:line="360" w:lineRule="auto"/>
              <w:contextualSpacing/>
              <w:rPr>
                <w:color w:val="000000" w:themeColor="text1"/>
                <w:sz w:val="24"/>
                <w:szCs w:val="24"/>
              </w:rPr>
            </w:pPr>
            <w:r w:rsidRPr="00792B36">
              <w:rPr>
                <w:noProof/>
                <w:color w:val="000000" w:themeColor="text1"/>
                <w:sz w:val="24"/>
                <w:szCs w:val="24"/>
              </w:rPr>
              <w:drawing>
                <wp:inline distT="0" distB="0" distL="0" distR="0" wp14:anchorId="0944AF42" wp14:editId="040E2001">
                  <wp:extent cx="5580000" cy="1045857"/>
                  <wp:effectExtent l="0" t="0" r="1905" b="1905"/>
                  <wp:docPr id="1443527530" name="Picture 18" descr="A screenshot of a computer&#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43527530" name="Picture 18" descr="A screenshot of a computer&#10;&#10;AI-generated content may be incorrect."/>
                          <pic:cNvPicPr>
                            <a:picLocks noChangeAspect="1" noChangeArrowheads="1"/>
                          </pic:cNvPicPr>
                        </pic:nvPicPr>
                        <pic:blipFill>
                          <a:blip r:embed="rId37" cstate="print">
                            <a:extLst>
                              <a:ext uri="{28A0092B-C50C-407E-A947-70E740481C1C}">
                                <a14:useLocalDpi xmlns:a14="http://schemas.microsoft.com/office/drawing/2010/main" val="0"/>
                              </a:ext>
                            </a:extLst>
                          </a:blip>
                          <a:srcRect/>
                          <a:stretch>
                            <a:fillRect/>
                          </a:stretch>
                        </pic:blipFill>
                        <pic:spPr bwMode="auto">
                          <a:xfrm>
                            <a:off x="0" y="0"/>
                            <a:ext cx="5580000" cy="1045857"/>
                          </a:xfrm>
                          <a:prstGeom prst="rect">
                            <a:avLst/>
                          </a:prstGeom>
                          <a:noFill/>
                        </pic:spPr>
                      </pic:pic>
                    </a:graphicData>
                  </a:graphic>
                </wp:inline>
              </w:drawing>
            </w:r>
          </w:p>
        </w:tc>
      </w:tr>
      <w:tr w:rsidR="00BA713F" w:rsidRPr="00792B36" w14:paraId="3A8F4162" w14:textId="77777777" w:rsidTr="0096560E">
        <w:tc>
          <w:tcPr>
            <w:tcW w:w="9027" w:type="dxa"/>
          </w:tcPr>
          <w:p w14:paraId="1ABC0818" w14:textId="77777777" w:rsidR="00BA713F" w:rsidRPr="00792B36" w:rsidRDefault="00BA713F" w:rsidP="0096560E">
            <w:pPr>
              <w:spacing w:line="360" w:lineRule="auto"/>
              <w:contextualSpacing/>
              <w:rPr>
                <w:color w:val="000000" w:themeColor="text1"/>
                <w:sz w:val="24"/>
                <w:szCs w:val="24"/>
              </w:rPr>
            </w:pPr>
          </w:p>
        </w:tc>
      </w:tr>
      <w:tr w:rsidR="00BA713F" w:rsidRPr="00792B36" w14:paraId="45843EE3" w14:textId="77777777" w:rsidTr="0096560E">
        <w:tc>
          <w:tcPr>
            <w:tcW w:w="9027" w:type="dxa"/>
          </w:tcPr>
          <w:p w14:paraId="24CC1D14" w14:textId="77777777" w:rsidR="00BA713F" w:rsidRPr="00792B36" w:rsidRDefault="00BA713F" w:rsidP="0096560E">
            <w:pPr>
              <w:spacing w:line="360" w:lineRule="auto"/>
              <w:contextualSpacing/>
              <w:rPr>
                <w:color w:val="000000" w:themeColor="text1"/>
                <w:sz w:val="24"/>
                <w:szCs w:val="24"/>
              </w:rPr>
            </w:pPr>
            <w:r w:rsidRPr="00792B36">
              <w:rPr>
                <w:noProof/>
                <w:color w:val="000000" w:themeColor="text1"/>
                <w:sz w:val="24"/>
                <w:szCs w:val="24"/>
              </w:rPr>
              <w:drawing>
                <wp:inline distT="0" distB="0" distL="0" distR="0" wp14:anchorId="5992B92C" wp14:editId="0A1C8B06">
                  <wp:extent cx="5580000" cy="1045856"/>
                  <wp:effectExtent l="0" t="0" r="1905" b="1905"/>
                  <wp:docPr id="1862635298" name="Picture 111" descr="A screenshot of a computer&#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62635298" name="Picture 111" descr="A screenshot of a computer&#10;&#10;AI-generated content may be incorrect."/>
                          <pic:cNvPicPr>
                            <a:picLocks noChangeAspect="1" noChangeArrowheads="1"/>
                          </pic:cNvPicPr>
                        </pic:nvPicPr>
                        <pic:blipFill>
                          <a:blip r:embed="rId38" cstate="print">
                            <a:extLst>
                              <a:ext uri="{28A0092B-C50C-407E-A947-70E740481C1C}">
                                <a14:useLocalDpi xmlns:a14="http://schemas.microsoft.com/office/drawing/2010/main" val="0"/>
                              </a:ext>
                            </a:extLst>
                          </a:blip>
                          <a:srcRect/>
                          <a:stretch>
                            <a:fillRect/>
                          </a:stretch>
                        </pic:blipFill>
                        <pic:spPr bwMode="auto">
                          <a:xfrm>
                            <a:off x="0" y="0"/>
                            <a:ext cx="5580000" cy="1045856"/>
                          </a:xfrm>
                          <a:prstGeom prst="rect">
                            <a:avLst/>
                          </a:prstGeom>
                          <a:noFill/>
                        </pic:spPr>
                      </pic:pic>
                    </a:graphicData>
                  </a:graphic>
                </wp:inline>
              </w:drawing>
            </w:r>
          </w:p>
        </w:tc>
      </w:tr>
      <w:tr w:rsidR="00BA713F" w:rsidRPr="00792B36" w14:paraId="6B121A76" w14:textId="77777777" w:rsidTr="0096560E">
        <w:tc>
          <w:tcPr>
            <w:tcW w:w="9027" w:type="dxa"/>
          </w:tcPr>
          <w:p w14:paraId="7D6D7443" w14:textId="77777777" w:rsidR="00BA713F" w:rsidRPr="00792B36" w:rsidRDefault="00BA713F" w:rsidP="0096560E">
            <w:pPr>
              <w:spacing w:line="360" w:lineRule="auto"/>
              <w:contextualSpacing/>
              <w:rPr>
                <w:color w:val="000000" w:themeColor="text1"/>
                <w:sz w:val="24"/>
                <w:szCs w:val="24"/>
              </w:rPr>
            </w:pPr>
          </w:p>
        </w:tc>
      </w:tr>
      <w:tr w:rsidR="00BA713F" w:rsidRPr="00792B36" w14:paraId="5278BC42" w14:textId="77777777" w:rsidTr="0096560E">
        <w:tc>
          <w:tcPr>
            <w:tcW w:w="9027" w:type="dxa"/>
          </w:tcPr>
          <w:p w14:paraId="308DFEE7" w14:textId="77777777" w:rsidR="00BA713F" w:rsidRPr="00792B36" w:rsidRDefault="00BA713F" w:rsidP="0096560E">
            <w:pPr>
              <w:spacing w:line="360" w:lineRule="auto"/>
              <w:contextualSpacing/>
              <w:jc w:val="center"/>
              <w:rPr>
                <w:b/>
                <w:bCs/>
                <w:color w:val="000000" w:themeColor="text1"/>
                <w:sz w:val="24"/>
                <w:szCs w:val="24"/>
              </w:rPr>
            </w:pPr>
            <w:r w:rsidRPr="00792B36">
              <w:rPr>
                <w:b/>
                <w:bCs/>
                <w:color w:val="000000" w:themeColor="text1"/>
                <w:sz w:val="24"/>
                <w:szCs w:val="24"/>
              </w:rPr>
              <w:t xml:space="preserve">Figure 2.7 </w:t>
            </w:r>
            <w:r w:rsidRPr="00792B36">
              <w:rPr>
                <w:color w:val="000000" w:themeColor="text1"/>
                <w:sz w:val="24"/>
                <w:szCs w:val="24"/>
              </w:rPr>
              <w:t>Population density of Thailand and coastal provinces along the Gulf of Thailand (2000, 2005, 2010, 2020)</w:t>
            </w:r>
          </w:p>
        </w:tc>
      </w:tr>
    </w:tbl>
    <w:bookmarkEnd w:id="5"/>
    <w:p w14:paraId="7CDB0FBB" w14:textId="77777777" w:rsidR="00BA713F" w:rsidRPr="00792B36" w:rsidRDefault="00BA713F" w:rsidP="00BA713F">
      <w:pPr>
        <w:pBdr>
          <w:top w:val="nil"/>
          <w:left w:val="nil"/>
          <w:bottom w:val="nil"/>
          <w:right w:val="nil"/>
          <w:between w:val="nil"/>
        </w:pBdr>
        <w:spacing w:line="360" w:lineRule="auto"/>
        <w:contextualSpacing/>
        <w:jc w:val="both"/>
        <w:rPr>
          <w:color w:val="000000" w:themeColor="text1"/>
          <w:sz w:val="20"/>
          <w:szCs w:val="20"/>
        </w:rPr>
      </w:pPr>
      <w:r w:rsidRPr="00792B36">
        <w:rPr>
          <w:color w:val="000000" w:themeColor="text1"/>
          <w:sz w:val="20"/>
          <w:szCs w:val="20"/>
        </w:rPr>
        <w:t xml:space="preserve">Source: Author’s calculation based on data from Department of Provincial Administration. 2025. Official statistics registration systems. </w:t>
      </w:r>
      <w:r w:rsidRPr="00792B36">
        <w:fldChar w:fldCharType="begin"/>
      </w:r>
      <w:r w:rsidRPr="00792B36">
        <w:instrText>HYPERLINK "https://stat.bora.dopa.go.th/stat/statnew/statMenu/newStat/home.php"</w:instrText>
      </w:r>
      <w:r w:rsidRPr="00792B36">
        <w:fldChar w:fldCharType="separate"/>
      </w:r>
      <w:r w:rsidRPr="00792B36">
        <w:rPr>
          <w:rStyle w:val="Hyperlink"/>
          <w:color w:val="000000" w:themeColor="text1"/>
          <w:sz w:val="20"/>
          <w:szCs w:val="20"/>
        </w:rPr>
        <w:t>https://stat.bora.dopa.go.th/stat/statnew/statMenu/newStat/home.php</w:t>
      </w:r>
      <w:r w:rsidRPr="00792B36">
        <w:fldChar w:fldCharType="end"/>
      </w:r>
      <w:r w:rsidRPr="00792B36">
        <w:rPr>
          <w:color w:val="000000" w:themeColor="text1"/>
          <w:sz w:val="20"/>
          <w:szCs w:val="20"/>
        </w:rPr>
        <w:t xml:space="preserve"> (accessed 19 April 2025)</w:t>
      </w:r>
    </w:p>
    <w:p w14:paraId="7AF77E61" w14:textId="77777777" w:rsidR="00BA713F" w:rsidRPr="00792B36" w:rsidRDefault="00BA713F" w:rsidP="00BA713F">
      <w:pPr>
        <w:pBdr>
          <w:top w:val="nil"/>
          <w:left w:val="nil"/>
          <w:bottom w:val="nil"/>
          <w:right w:val="nil"/>
          <w:between w:val="nil"/>
        </w:pBdr>
        <w:spacing w:line="360" w:lineRule="auto"/>
        <w:contextualSpacing/>
        <w:jc w:val="both"/>
        <w:rPr>
          <w:color w:val="000000" w:themeColor="text1"/>
          <w:sz w:val="24"/>
          <w:szCs w:val="24"/>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020"/>
      </w:tblGrid>
      <w:tr w:rsidR="00BA713F" w:rsidRPr="00792B36" w14:paraId="4DF254A5" w14:textId="77777777" w:rsidTr="0096560E">
        <w:tc>
          <w:tcPr>
            <w:tcW w:w="9027" w:type="dxa"/>
          </w:tcPr>
          <w:p w14:paraId="03B83C6A" w14:textId="77777777" w:rsidR="00BA713F" w:rsidRPr="00792B36" w:rsidRDefault="00BA713F" w:rsidP="0096560E">
            <w:pPr>
              <w:spacing w:line="360" w:lineRule="auto"/>
              <w:contextualSpacing/>
              <w:rPr>
                <w:color w:val="000000" w:themeColor="text1"/>
                <w:sz w:val="24"/>
                <w:szCs w:val="24"/>
              </w:rPr>
            </w:pPr>
            <w:r w:rsidRPr="00792B36">
              <w:rPr>
                <w:noProof/>
                <w:color w:val="000000" w:themeColor="text1"/>
                <w:sz w:val="24"/>
                <w:szCs w:val="24"/>
              </w:rPr>
              <w:drawing>
                <wp:inline distT="0" distB="0" distL="0" distR="0" wp14:anchorId="06488A99" wp14:editId="68511842">
                  <wp:extent cx="5580000" cy="1412364"/>
                  <wp:effectExtent l="0" t="0" r="1905" b="0"/>
                  <wp:docPr id="602725933" name="Picture 21" descr="A graph of the year&#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02725933" name="Picture 21" descr="A graph of the year&#10;&#10;AI-generated content may be incorrect."/>
                          <pic:cNvPicPr>
                            <a:picLocks noChangeAspect="1" noChangeArrowheads="1"/>
                          </pic:cNvPicPr>
                        </pic:nvPicPr>
                        <pic:blipFill>
                          <a:blip r:embed="rId39" cstate="print">
                            <a:extLst>
                              <a:ext uri="{28A0092B-C50C-407E-A947-70E740481C1C}">
                                <a14:useLocalDpi xmlns:a14="http://schemas.microsoft.com/office/drawing/2010/main" val="0"/>
                              </a:ext>
                            </a:extLst>
                          </a:blip>
                          <a:srcRect/>
                          <a:stretch>
                            <a:fillRect/>
                          </a:stretch>
                        </pic:blipFill>
                        <pic:spPr bwMode="auto">
                          <a:xfrm>
                            <a:off x="0" y="0"/>
                            <a:ext cx="5580000" cy="1412364"/>
                          </a:xfrm>
                          <a:prstGeom prst="rect">
                            <a:avLst/>
                          </a:prstGeom>
                          <a:noFill/>
                        </pic:spPr>
                      </pic:pic>
                    </a:graphicData>
                  </a:graphic>
                </wp:inline>
              </w:drawing>
            </w:r>
          </w:p>
        </w:tc>
      </w:tr>
      <w:tr w:rsidR="00BA713F" w:rsidRPr="00792B36" w14:paraId="5588E732" w14:textId="77777777" w:rsidTr="0096560E">
        <w:tc>
          <w:tcPr>
            <w:tcW w:w="9027" w:type="dxa"/>
          </w:tcPr>
          <w:p w14:paraId="64A6293D" w14:textId="77777777" w:rsidR="00BA713F" w:rsidRPr="00792B36" w:rsidRDefault="00BA713F" w:rsidP="0096560E">
            <w:pPr>
              <w:spacing w:line="360" w:lineRule="auto"/>
              <w:contextualSpacing/>
              <w:rPr>
                <w:color w:val="000000" w:themeColor="text1"/>
                <w:sz w:val="24"/>
                <w:szCs w:val="24"/>
              </w:rPr>
            </w:pPr>
          </w:p>
        </w:tc>
      </w:tr>
      <w:tr w:rsidR="00BA713F" w:rsidRPr="00792B36" w14:paraId="0A4CF1C1" w14:textId="77777777" w:rsidTr="0096560E">
        <w:tc>
          <w:tcPr>
            <w:tcW w:w="9027" w:type="dxa"/>
          </w:tcPr>
          <w:p w14:paraId="001A416F" w14:textId="77777777" w:rsidR="00BA713F" w:rsidRPr="00792B36" w:rsidRDefault="00BA713F" w:rsidP="0096560E">
            <w:pPr>
              <w:spacing w:line="360" w:lineRule="auto"/>
              <w:contextualSpacing/>
              <w:jc w:val="center"/>
              <w:rPr>
                <w:color w:val="000000" w:themeColor="text1"/>
                <w:sz w:val="24"/>
                <w:szCs w:val="24"/>
              </w:rPr>
            </w:pPr>
            <w:r w:rsidRPr="00792B36">
              <w:rPr>
                <w:b/>
                <w:bCs/>
                <w:color w:val="000000" w:themeColor="text1"/>
                <w:sz w:val="24"/>
                <w:szCs w:val="24"/>
              </w:rPr>
              <w:t>Figure 2.8</w:t>
            </w:r>
            <w:r w:rsidRPr="00792B36">
              <w:rPr>
                <w:color w:val="000000" w:themeColor="text1"/>
                <w:sz w:val="24"/>
                <w:szCs w:val="24"/>
              </w:rPr>
              <w:t xml:space="preserve"> Percentage of population at mid-year residing in urban areas of Thailand (1950-2050)</w:t>
            </w:r>
          </w:p>
        </w:tc>
      </w:tr>
    </w:tbl>
    <w:p w14:paraId="44E335F5" w14:textId="77777777" w:rsidR="00BA713F" w:rsidRPr="00792B36" w:rsidRDefault="00BA713F" w:rsidP="00BA713F">
      <w:pPr>
        <w:pBdr>
          <w:top w:val="nil"/>
          <w:left w:val="nil"/>
          <w:bottom w:val="nil"/>
          <w:right w:val="nil"/>
          <w:between w:val="nil"/>
        </w:pBdr>
        <w:spacing w:line="360" w:lineRule="auto"/>
        <w:contextualSpacing/>
        <w:rPr>
          <w:color w:val="000000" w:themeColor="text1"/>
          <w:sz w:val="20"/>
          <w:szCs w:val="20"/>
        </w:rPr>
      </w:pPr>
      <w:r w:rsidRPr="00792B36">
        <w:rPr>
          <w:color w:val="000000" w:themeColor="text1"/>
          <w:sz w:val="20"/>
          <w:szCs w:val="20"/>
        </w:rPr>
        <w:t xml:space="preserve">Source: </w:t>
      </w:r>
      <w:bookmarkStart w:id="6" w:name="_Hlk213613693"/>
      <w:r w:rsidRPr="00792B36">
        <w:rPr>
          <w:color w:val="000000" w:themeColor="text1"/>
          <w:sz w:val="20"/>
          <w:szCs w:val="20"/>
        </w:rPr>
        <w:t>United Nations, Department of Economic and Social Affairs, Population Division (2018). World Urbanization Prospects: The 2018 Revision, Online Edition.</w:t>
      </w:r>
      <w:bookmarkEnd w:id="6"/>
    </w:p>
    <w:p w14:paraId="5B99CCBD" w14:textId="77777777" w:rsidR="00BA713F" w:rsidRPr="00792B36" w:rsidRDefault="00BA713F" w:rsidP="00BA713F">
      <w:pPr>
        <w:pBdr>
          <w:top w:val="nil"/>
          <w:left w:val="nil"/>
          <w:bottom w:val="nil"/>
          <w:right w:val="nil"/>
          <w:between w:val="nil"/>
        </w:pBdr>
        <w:spacing w:line="360" w:lineRule="auto"/>
        <w:contextualSpacing/>
        <w:jc w:val="both"/>
        <w:rPr>
          <w:b/>
          <w:bCs/>
          <w:color w:val="000000" w:themeColor="text1"/>
          <w:sz w:val="24"/>
          <w:szCs w:val="24"/>
        </w:rPr>
      </w:pPr>
    </w:p>
    <w:p w14:paraId="365049EC" w14:textId="77777777" w:rsidR="00BA713F" w:rsidRPr="00792B36" w:rsidRDefault="00BA713F" w:rsidP="00BA713F">
      <w:pPr>
        <w:pBdr>
          <w:top w:val="nil"/>
          <w:left w:val="nil"/>
          <w:bottom w:val="nil"/>
          <w:right w:val="nil"/>
          <w:between w:val="nil"/>
        </w:pBdr>
        <w:spacing w:line="360" w:lineRule="auto"/>
        <w:contextualSpacing/>
        <w:jc w:val="both"/>
        <w:rPr>
          <w:color w:val="000000" w:themeColor="text1"/>
          <w:sz w:val="24"/>
          <w:szCs w:val="24"/>
        </w:rPr>
      </w:pPr>
      <w:r w:rsidRPr="00792B36">
        <w:rPr>
          <w:color w:val="000000" w:themeColor="text1"/>
          <w:sz w:val="24"/>
          <w:szCs w:val="24"/>
        </w:rPr>
        <w:t xml:space="preserve">As illustrated in </w:t>
      </w:r>
      <w:r w:rsidRPr="00792B36">
        <w:rPr>
          <w:b/>
          <w:bCs/>
          <w:color w:val="000000" w:themeColor="text1"/>
          <w:sz w:val="24"/>
          <w:szCs w:val="24"/>
        </w:rPr>
        <w:t>Figure 2.8</w:t>
      </w:r>
      <w:r w:rsidRPr="00792B36">
        <w:rPr>
          <w:color w:val="000000" w:themeColor="text1"/>
          <w:sz w:val="24"/>
          <w:szCs w:val="24"/>
        </w:rPr>
        <w:t xml:space="preserve">, the percentage of Thailand’s population residing in urban </w:t>
      </w:r>
      <w:r w:rsidRPr="00792B36">
        <w:rPr>
          <w:color w:val="000000" w:themeColor="text1"/>
          <w:sz w:val="24"/>
          <w:szCs w:val="24"/>
        </w:rPr>
        <w:lastRenderedPageBreak/>
        <w:t>areas rose from 16.5% in 1950 to 51.4% by 2020, with projections reaching approximately 69.5% by 2050. This trend reflects economic growth, rural-to-urban migration, and infrastructure expansion.</w:t>
      </w:r>
    </w:p>
    <w:p w14:paraId="4130C5B7" w14:textId="77777777" w:rsidR="00BA713F" w:rsidRPr="00792B36" w:rsidRDefault="00BA713F" w:rsidP="00BA713F">
      <w:pPr>
        <w:pBdr>
          <w:top w:val="nil"/>
          <w:left w:val="nil"/>
          <w:bottom w:val="nil"/>
          <w:right w:val="nil"/>
          <w:between w:val="nil"/>
        </w:pBdr>
        <w:spacing w:line="360" w:lineRule="auto"/>
        <w:contextualSpacing/>
        <w:jc w:val="both"/>
        <w:rPr>
          <w:color w:val="000000" w:themeColor="text1"/>
          <w:sz w:val="24"/>
          <w:szCs w:val="24"/>
        </w:rPr>
      </w:pPr>
    </w:p>
    <w:p w14:paraId="071DD54D" w14:textId="77777777" w:rsidR="00BA713F" w:rsidRPr="00792B36" w:rsidRDefault="00BA713F" w:rsidP="00BA713F">
      <w:pPr>
        <w:pBdr>
          <w:top w:val="nil"/>
          <w:left w:val="nil"/>
          <w:bottom w:val="nil"/>
          <w:right w:val="nil"/>
          <w:between w:val="nil"/>
        </w:pBdr>
        <w:spacing w:line="360" w:lineRule="auto"/>
        <w:contextualSpacing/>
        <w:jc w:val="both"/>
        <w:rPr>
          <w:color w:val="000000" w:themeColor="text1"/>
          <w:sz w:val="24"/>
          <w:szCs w:val="24"/>
        </w:rPr>
      </w:pPr>
      <w:r w:rsidRPr="00792B36">
        <w:rPr>
          <w:color w:val="000000" w:themeColor="text1"/>
          <w:sz w:val="24"/>
          <w:szCs w:val="24"/>
        </w:rPr>
        <w:t xml:space="preserve">The 2020 urban population ratio and density data reveal distinct spatial patterns among coastal provinces </w:t>
      </w:r>
      <w:r w:rsidRPr="00792B36">
        <w:rPr>
          <w:b/>
          <w:bCs/>
          <w:color w:val="000000" w:themeColor="text1"/>
          <w:sz w:val="24"/>
          <w:szCs w:val="24"/>
        </w:rPr>
        <w:t>(Table 2.2)</w:t>
      </w:r>
      <w:r w:rsidRPr="00792B36">
        <w:rPr>
          <w:color w:val="000000" w:themeColor="text1"/>
          <w:sz w:val="24"/>
          <w:szCs w:val="24"/>
        </w:rPr>
        <w:t xml:space="preserve">. While the national average indicates moderate urbanization (34.5% share, 129 persons/km²), coastal areas exhibit stronger contrasts. The upper Gulf forms Thailand’s primary urban corridor, extending from Bangkok to the Eastern Economic Corridor (EEC), where industrial development dominates. Key provinces here include Bangkok (100%, 3,562 persons/km²), Samut Prakan (48.6%, 1,346), Samut Sakhon (45.6%, 672), and Chon Buri (68.9%, 359). In contrast, lower Gulf provinces such as Chumphon, Narathiwat, and Nakhon Si Thammarat reflect predominantly rural settlement patterns with low urban ratios (&lt; 25%) and densities (&lt; 200 persons/km²). </w:t>
      </w:r>
    </w:p>
    <w:p w14:paraId="1E8C99F4" w14:textId="77777777" w:rsidR="00BA713F" w:rsidRPr="00792B36" w:rsidRDefault="00BA713F" w:rsidP="00BA713F">
      <w:pPr>
        <w:pBdr>
          <w:top w:val="nil"/>
          <w:left w:val="nil"/>
          <w:bottom w:val="nil"/>
          <w:right w:val="nil"/>
          <w:between w:val="nil"/>
        </w:pBdr>
        <w:spacing w:line="360" w:lineRule="auto"/>
        <w:contextualSpacing/>
        <w:jc w:val="both"/>
        <w:rPr>
          <w:color w:val="000000" w:themeColor="text1"/>
          <w:sz w:val="24"/>
          <w:szCs w:val="24"/>
        </w:rPr>
      </w:pPr>
    </w:p>
    <w:p w14:paraId="12FAFB36" w14:textId="77777777" w:rsidR="00BA713F" w:rsidRPr="00792B36" w:rsidRDefault="00BA713F" w:rsidP="00BA713F">
      <w:pPr>
        <w:pBdr>
          <w:top w:val="nil"/>
          <w:left w:val="nil"/>
          <w:bottom w:val="nil"/>
          <w:right w:val="nil"/>
          <w:between w:val="nil"/>
        </w:pBdr>
        <w:spacing w:line="360" w:lineRule="auto"/>
        <w:contextualSpacing/>
        <w:jc w:val="both"/>
        <w:rPr>
          <w:color w:val="000000" w:themeColor="text1"/>
          <w:sz w:val="24"/>
          <w:szCs w:val="24"/>
        </w:rPr>
      </w:pPr>
      <w:r w:rsidRPr="00792B36">
        <w:rPr>
          <w:b/>
          <w:bCs/>
          <w:color w:val="000000" w:themeColor="text1"/>
          <w:sz w:val="24"/>
          <w:szCs w:val="24"/>
        </w:rPr>
        <w:t>Table 2.2</w:t>
      </w:r>
      <w:r w:rsidRPr="00792B36">
        <w:rPr>
          <w:color w:val="000000" w:themeColor="text1"/>
          <w:sz w:val="24"/>
          <w:szCs w:val="24"/>
        </w:rPr>
        <w:t xml:space="preserve"> Urban population ratio and population density of Thailand and coastal provinces along the Gulf of Thailand (2020)</w:t>
      </w:r>
    </w:p>
    <w:tbl>
      <w:tblPr>
        <w:tblStyle w:val="TableGrid"/>
        <w:tblW w:w="0" w:type="auto"/>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05"/>
        <w:gridCol w:w="3369"/>
        <w:gridCol w:w="2643"/>
      </w:tblGrid>
      <w:tr w:rsidR="00BA713F" w:rsidRPr="00792B36" w14:paraId="57196B15" w14:textId="77777777" w:rsidTr="0096560E">
        <w:trPr>
          <w:trHeight w:val="397"/>
        </w:trPr>
        <w:tc>
          <w:tcPr>
            <w:tcW w:w="3005" w:type="dxa"/>
            <w:tcBorders>
              <w:top w:val="single" w:sz="4" w:space="0" w:color="auto"/>
              <w:bottom w:val="single" w:sz="4" w:space="0" w:color="auto"/>
            </w:tcBorders>
            <w:vAlign w:val="center"/>
          </w:tcPr>
          <w:p w14:paraId="41840ABA" w14:textId="77777777" w:rsidR="00BA713F" w:rsidRPr="00792B36" w:rsidRDefault="00BA713F" w:rsidP="0096560E">
            <w:pPr>
              <w:spacing w:line="360" w:lineRule="auto"/>
              <w:contextualSpacing/>
              <w:rPr>
                <w:b/>
                <w:bCs/>
                <w:color w:val="000000" w:themeColor="text1"/>
                <w:sz w:val="24"/>
                <w:szCs w:val="24"/>
              </w:rPr>
            </w:pPr>
            <w:r w:rsidRPr="00792B36">
              <w:rPr>
                <w:b/>
                <w:bCs/>
                <w:color w:val="000000" w:themeColor="text1"/>
                <w:sz w:val="24"/>
                <w:szCs w:val="24"/>
              </w:rPr>
              <w:t>Provinces</w:t>
            </w:r>
          </w:p>
        </w:tc>
        <w:tc>
          <w:tcPr>
            <w:tcW w:w="3369" w:type="dxa"/>
            <w:tcBorders>
              <w:top w:val="single" w:sz="4" w:space="0" w:color="auto"/>
              <w:bottom w:val="single" w:sz="4" w:space="0" w:color="auto"/>
            </w:tcBorders>
            <w:vAlign w:val="center"/>
          </w:tcPr>
          <w:p w14:paraId="019C5FAF" w14:textId="77777777" w:rsidR="00BA713F" w:rsidRPr="00792B36" w:rsidRDefault="00BA713F" w:rsidP="0096560E">
            <w:pPr>
              <w:spacing w:line="360" w:lineRule="auto"/>
              <w:contextualSpacing/>
              <w:jc w:val="center"/>
              <w:rPr>
                <w:b/>
                <w:bCs/>
                <w:color w:val="000000" w:themeColor="text1"/>
                <w:sz w:val="24"/>
                <w:szCs w:val="24"/>
              </w:rPr>
            </w:pPr>
            <w:r w:rsidRPr="00792B36">
              <w:rPr>
                <w:b/>
                <w:bCs/>
                <w:color w:val="000000" w:themeColor="text1"/>
                <w:sz w:val="24"/>
                <w:szCs w:val="24"/>
              </w:rPr>
              <w:t>Urban population ratio (%)</w:t>
            </w:r>
          </w:p>
        </w:tc>
        <w:tc>
          <w:tcPr>
            <w:tcW w:w="2643" w:type="dxa"/>
            <w:tcBorders>
              <w:top w:val="single" w:sz="4" w:space="0" w:color="auto"/>
              <w:bottom w:val="single" w:sz="4" w:space="0" w:color="auto"/>
            </w:tcBorders>
            <w:vAlign w:val="center"/>
          </w:tcPr>
          <w:p w14:paraId="670F7571" w14:textId="77777777" w:rsidR="00BA713F" w:rsidRPr="00792B36" w:rsidRDefault="00BA713F" w:rsidP="0096560E">
            <w:pPr>
              <w:spacing w:line="360" w:lineRule="auto"/>
              <w:contextualSpacing/>
              <w:jc w:val="center"/>
              <w:rPr>
                <w:b/>
                <w:bCs/>
                <w:color w:val="000000" w:themeColor="text1"/>
                <w:sz w:val="24"/>
                <w:szCs w:val="24"/>
              </w:rPr>
            </w:pPr>
            <w:r w:rsidRPr="00792B36">
              <w:rPr>
                <w:b/>
                <w:bCs/>
                <w:color w:val="000000" w:themeColor="text1"/>
                <w:sz w:val="24"/>
                <w:szCs w:val="24"/>
              </w:rPr>
              <w:t>Density (pers./km</w:t>
            </w:r>
            <w:r w:rsidRPr="00792B36">
              <w:rPr>
                <w:b/>
                <w:bCs/>
                <w:color w:val="000000" w:themeColor="text1"/>
                <w:sz w:val="24"/>
                <w:szCs w:val="24"/>
                <w:vertAlign w:val="superscript"/>
              </w:rPr>
              <w:t>2</w:t>
            </w:r>
            <w:r w:rsidRPr="00792B36">
              <w:rPr>
                <w:b/>
                <w:bCs/>
                <w:color w:val="000000" w:themeColor="text1"/>
                <w:sz w:val="24"/>
                <w:szCs w:val="24"/>
              </w:rPr>
              <w:t>)</w:t>
            </w:r>
          </w:p>
        </w:tc>
      </w:tr>
      <w:tr w:rsidR="00BA713F" w:rsidRPr="00792B36" w14:paraId="6824FD53" w14:textId="77777777" w:rsidTr="0096560E">
        <w:trPr>
          <w:trHeight w:val="397"/>
        </w:trPr>
        <w:tc>
          <w:tcPr>
            <w:tcW w:w="3005" w:type="dxa"/>
            <w:tcBorders>
              <w:top w:val="single" w:sz="4" w:space="0" w:color="auto"/>
            </w:tcBorders>
            <w:vAlign w:val="center"/>
          </w:tcPr>
          <w:p w14:paraId="052DF3AD" w14:textId="77777777" w:rsidR="00BA713F" w:rsidRPr="00792B36" w:rsidRDefault="00BA713F" w:rsidP="0096560E">
            <w:pPr>
              <w:spacing w:line="360" w:lineRule="auto"/>
              <w:contextualSpacing/>
              <w:rPr>
                <w:color w:val="000000" w:themeColor="text1"/>
                <w:sz w:val="24"/>
                <w:szCs w:val="24"/>
              </w:rPr>
            </w:pPr>
            <w:r w:rsidRPr="00792B36">
              <w:rPr>
                <w:color w:val="000000" w:themeColor="text1"/>
                <w:sz w:val="24"/>
                <w:szCs w:val="24"/>
              </w:rPr>
              <w:t>Nation</w:t>
            </w:r>
          </w:p>
        </w:tc>
        <w:tc>
          <w:tcPr>
            <w:tcW w:w="3369" w:type="dxa"/>
            <w:tcBorders>
              <w:top w:val="single" w:sz="4" w:space="0" w:color="auto"/>
            </w:tcBorders>
            <w:vAlign w:val="center"/>
          </w:tcPr>
          <w:p w14:paraId="4EE9EEAA" w14:textId="77777777" w:rsidR="00BA713F" w:rsidRPr="00792B36" w:rsidRDefault="00BA713F" w:rsidP="0096560E">
            <w:pPr>
              <w:spacing w:line="360" w:lineRule="auto"/>
              <w:contextualSpacing/>
              <w:jc w:val="center"/>
              <w:rPr>
                <w:color w:val="000000" w:themeColor="text1"/>
                <w:sz w:val="24"/>
                <w:szCs w:val="24"/>
              </w:rPr>
            </w:pPr>
            <w:r w:rsidRPr="00792B36">
              <w:rPr>
                <w:color w:val="000000" w:themeColor="text1"/>
                <w:sz w:val="24"/>
                <w:szCs w:val="24"/>
              </w:rPr>
              <w:t>34.5</w:t>
            </w:r>
          </w:p>
        </w:tc>
        <w:tc>
          <w:tcPr>
            <w:tcW w:w="2643" w:type="dxa"/>
            <w:tcBorders>
              <w:top w:val="single" w:sz="4" w:space="0" w:color="auto"/>
            </w:tcBorders>
            <w:vAlign w:val="center"/>
          </w:tcPr>
          <w:p w14:paraId="7F75E026" w14:textId="77777777" w:rsidR="00BA713F" w:rsidRPr="00792B36" w:rsidRDefault="00BA713F" w:rsidP="0096560E">
            <w:pPr>
              <w:spacing w:line="360" w:lineRule="auto"/>
              <w:contextualSpacing/>
              <w:jc w:val="center"/>
              <w:rPr>
                <w:color w:val="000000" w:themeColor="text1"/>
                <w:sz w:val="24"/>
                <w:szCs w:val="24"/>
              </w:rPr>
            </w:pPr>
            <w:r w:rsidRPr="00792B36">
              <w:rPr>
                <w:color w:val="000000" w:themeColor="text1"/>
                <w:sz w:val="24"/>
                <w:szCs w:val="24"/>
              </w:rPr>
              <w:t>129</w:t>
            </w:r>
          </w:p>
        </w:tc>
      </w:tr>
      <w:tr w:rsidR="00BA713F" w:rsidRPr="00792B36" w14:paraId="5FFAEEB0" w14:textId="77777777" w:rsidTr="0096560E">
        <w:trPr>
          <w:trHeight w:val="397"/>
        </w:trPr>
        <w:tc>
          <w:tcPr>
            <w:tcW w:w="3005" w:type="dxa"/>
            <w:vAlign w:val="center"/>
          </w:tcPr>
          <w:p w14:paraId="6E174C2A" w14:textId="77777777" w:rsidR="00BA713F" w:rsidRPr="00792B36" w:rsidRDefault="00BA713F" w:rsidP="0096560E">
            <w:pPr>
              <w:spacing w:line="360" w:lineRule="auto"/>
              <w:contextualSpacing/>
              <w:rPr>
                <w:color w:val="000000" w:themeColor="text1"/>
                <w:sz w:val="24"/>
                <w:szCs w:val="24"/>
              </w:rPr>
            </w:pPr>
            <w:r w:rsidRPr="00792B36">
              <w:rPr>
                <w:color w:val="000000" w:themeColor="text1"/>
                <w:sz w:val="24"/>
                <w:szCs w:val="24"/>
              </w:rPr>
              <w:t>Rayong</w:t>
            </w:r>
          </w:p>
        </w:tc>
        <w:tc>
          <w:tcPr>
            <w:tcW w:w="3369" w:type="dxa"/>
            <w:vAlign w:val="center"/>
          </w:tcPr>
          <w:p w14:paraId="0ED1E07F" w14:textId="77777777" w:rsidR="00BA713F" w:rsidRPr="00792B36" w:rsidRDefault="00BA713F" w:rsidP="0096560E">
            <w:pPr>
              <w:spacing w:line="360" w:lineRule="auto"/>
              <w:contextualSpacing/>
              <w:jc w:val="center"/>
              <w:rPr>
                <w:color w:val="000000" w:themeColor="text1"/>
                <w:sz w:val="24"/>
                <w:szCs w:val="24"/>
              </w:rPr>
            </w:pPr>
            <w:r w:rsidRPr="00792B36">
              <w:rPr>
                <w:color w:val="000000" w:themeColor="text1"/>
                <w:sz w:val="24"/>
                <w:szCs w:val="24"/>
              </w:rPr>
              <w:t>48.6</w:t>
            </w:r>
          </w:p>
        </w:tc>
        <w:tc>
          <w:tcPr>
            <w:tcW w:w="2643" w:type="dxa"/>
            <w:vAlign w:val="center"/>
          </w:tcPr>
          <w:p w14:paraId="249E1791" w14:textId="77777777" w:rsidR="00BA713F" w:rsidRPr="00792B36" w:rsidRDefault="00BA713F" w:rsidP="0096560E">
            <w:pPr>
              <w:spacing w:line="360" w:lineRule="auto"/>
              <w:contextualSpacing/>
              <w:jc w:val="center"/>
              <w:rPr>
                <w:color w:val="000000" w:themeColor="text1"/>
                <w:sz w:val="24"/>
                <w:szCs w:val="24"/>
              </w:rPr>
            </w:pPr>
            <w:r w:rsidRPr="00792B36">
              <w:rPr>
                <w:color w:val="000000" w:themeColor="text1"/>
                <w:sz w:val="24"/>
                <w:szCs w:val="24"/>
              </w:rPr>
              <w:t>209</w:t>
            </w:r>
          </w:p>
        </w:tc>
      </w:tr>
      <w:tr w:rsidR="00BA713F" w:rsidRPr="00792B36" w14:paraId="3C26B47B" w14:textId="77777777" w:rsidTr="0096560E">
        <w:trPr>
          <w:trHeight w:val="397"/>
        </w:trPr>
        <w:tc>
          <w:tcPr>
            <w:tcW w:w="3005" w:type="dxa"/>
            <w:vAlign w:val="center"/>
          </w:tcPr>
          <w:p w14:paraId="38A3CE0C" w14:textId="77777777" w:rsidR="00BA713F" w:rsidRPr="00792B36" w:rsidRDefault="00BA713F" w:rsidP="0096560E">
            <w:pPr>
              <w:spacing w:line="360" w:lineRule="auto"/>
              <w:contextualSpacing/>
              <w:rPr>
                <w:color w:val="000000" w:themeColor="text1"/>
                <w:sz w:val="24"/>
                <w:szCs w:val="24"/>
              </w:rPr>
            </w:pPr>
            <w:r w:rsidRPr="00792B36">
              <w:rPr>
                <w:color w:val="000000" w:themeColor="text1"/>
                <w:sz w:val="24"/>
                <w:szCs w:val="24"/>
              </w:rPr>
              <w:t>Chanthaburi</w:t>
            </w:r>
          </w:p>
        </w:tc>
        <w:tc>
          <w:tcPr>
            <w:tcW w:w="3369" w:type="dxa"/>
            <w:vAlign w:val="center"/>
          </w:tcPr>
          <w:p w14:paraId="7F2482B7" w14:textId="77777777" w:rsidR="00BA713F" w:rsidRPr="00792B36" w:rsidRDefault="00BA713F" w:rsidP="0096560E">
            <w:pPr>
              <w:spacing w:line="360" w:lineRule="auto"/>
              <w:contextualSpacing/>
              <w:jc w:val="center"/>
              <w:rPr>
                <w:color w:val="000000" w:themeColor="text1"/>
                <w:sz w:val="24"/>
                <w:szCs w:val="24"/>
              </w:rPr>
            </w:pPr>
            <w:r w:rsidRPr="00792B36">
              <w:rPr>
                <w:color w:val="000000" w:themeColor="text1"/>
                <w:sz w:val="24"/>
                <w:szCs w:val="24"/>
              </w:rPr>
              <w:t>42.3</w:t>
            </w:r>
          </w:p>
        </w:tc>
        <w:tc>
          <w:tcPr>
            <w:tcW w:w="2643" w:type="dxa"/>
            <w:vAlign w:val="center"/>
          </w:tcPr>
          <w:p w14:paraId="36B796F3" w14:textId="77777777" w:rsidR="00BA713F" w:rsidRPr="00792B36" w:rsidRDefault="00BA713F" w:rsidP="0096560E">
            <w:pPr>
              <w:spacing w:line="360" w:lineRule="auto"/>
              <w:contextualSpacing/>
              <w:jc w:val="center"/>
              <w:rPr>
                <w:color w:val="000000" w:themeColor="text1"/>
                <w:sz w:val="24"/>
                <w:szCs w:val="24"/>
              </w:rPr>
            </w:pPr>
            <w:r w:rsidRPr="00792B36">
              <w:rPr>
                <w:color w:val="000000" w:themeColor="text1"/>
                <w:sz w:val="24"/>
                <w:szCs w:val="24"/>
              </w:rPr>
              <w:t>84</w:t>
            </w:r>
          </w:p>
        </w:tc>
      </w:tr>
      <w:tr w:rsidR="00BA713F" w:rsidRPr="00792B36" w14:paraId="4079BE08" w14:textId="77777777" w:rsidTr="0096560E">
        <w:trPr>
          <w:trHeight w:val="397"/>
        </w:trPr>
        <w:tc>
          <w:tcPr>
            <w:tcW w:w="3005" w:type="dxa"/>
            <w:vAlign w:val="center"/>
          </w:tcPr>
          <w:p w14:paraId="33E6A21C" w14:textId="77777777" w:rsidR="00BA713F" w:rsidRPr="00792B36" w:rsidRDefault="00BA713F" w:rsidP="0096560E">
            <w:pPr>
              <w:spacing w:line="360" w:lineRule="auto"/>
              <w:contextualSpacing/>
              <w:rPr>
                <w:color w:val="000000" w:themeColor="text1"/>
                <w:sz w:val="24"/>
                <w:szCs w:val="24"/>
              </w:rPr>
            </w:pPr>
            <w:r w:rsidRPr="00792B36">
              <w:rPr>
                <w:color w:val="000000" w:themeColor="text1"/>
                <w:sz w:val="24"/>
                <w:szCs w:val="24"/>
              </w:rPr>
              <w:t>Trat</w:t>
            </w:r>
          </w:p>
        </w:tc>
        <w:tc>
          <w:tcPr>
            <w:tcW w:w="3369" w:type="dxa"/>
            <w:vAlign w:val="center"/>
          </w:tcPr>
          <w:p w14:paraId="31E5D454" w14:textId="77777777" w:rsidR="00BA713F" w:rsidRPr="00792B36" w:rsidRDefault="00BA713F" w:rsidP="0096560E">
            <w:pPr>
              <w:spacing w:line="360" w:lineRule="auto"/>
              <w:contextualSpacing/>
              <w:jc w:val="center"/>
              <w:rPr>
                <w:color w:val="000000" w:themeColor="text1"/>
                <w:sz w:val="24"/>
                <w:szCs w:val="24"/>
              </w:rPr>
            </w:pPr>
            <w:r w:rsidRPr="00792B36">
              <w:rPr>
                <w:color w:val="000000" w:themeColor="text1"/>
                <w:sz w:val="24"/>
                <w:szCs w:val="24"/>
              </w:rPr>
              <w:t>24.4</w:t>
            </w:r>
          </w:p>
        </w:tc>
        <w:tc>
          <w:tcPr>
            <w:tcW w:w="2643" w:type="dxa"/>
            <w:vAlign w:val="center"/>
          </w:tcPr>
          <w:p w14:paraId="590F7148" w14:textId="77777777" w:rsidR="00BA713F" w:rsidRPr="00792B36" w:rsidRDefault="00BA713F" w:rsidP="0096560E">
            <w:pPr>
              <w:spacing w:line="360" w:lineRule="auto"/>
              <w:contextualSpacing/>
              <w:jc w:val="center"/>
              <w:rPr>
                <w:color w:val="000000" w:themeColor="text1"/>
                <w:sz w:val="24"/>
                <w:szCs w:val="24"/>
              </w:rPr>
            </w:pPr>
            <w:r w:rsidRPr="00792B36">
              <w:rPr>
                <w:color w:val="000000" w:themeColor="text1"/>
                <w:sz w:val="24"/>
                <w:szCs w:val="24"/>
              </w:rPr>
              <w:t>81</w:t>
            </w:r>
          </w:p>
        </w:tc>
      </w:tr>
      <w:tr w:rsidR="00BA713F" w:rsidRPr="00792B36" w14:paraId="4296CA16" w14:textId="77777777" w:rsidTr="0096560E">
        <w:trPr>
          <w:trHeight w:val="397"/>
        </w:trPr>
        <w:tc>
          <w:tcPr>
            <w:tcW w:w="3005" w:type="dxa"/>
            <w:vAlign w:val="center"/>
          </w:tcPr>
          <w:p w14:paraId="197C21CF" w14:textId="77777777" w:rsidR="00BA713F" w:rsidRPr="00792B36" w:rsidRDefault="00BA713F" w:rsidP="0096560E">
            <w:pPr>
              <w:spacing w:line="360" w:lineRule="auto"/>
              <w:contextualSpacing/>
              <w:rPr>
                <w:color w:val="000000" w:themeColor="text1"/>
                <w:sz w:val="24"/>
                <w:szCs w:val="24"/>
              </w:rPr>
            </w:pPr>
            <w:r w:rsidRPr="00792B36">
              <w:rPr>
                <w:color w:val="000000" w:themeColor="text1"/>
                <w:sz w:val="24"/>
                <w:szCs w:val="24"/>
              </w:rPr>
              <w:t>Samut Prakan</w:t>
            </w:r>
          </w:p>
        </w:tc>
        <w:tc>
          <w:tcPr>
            <w:tcW w:w="3369" w:type="dxa"/>
            <w:vAlign w:val="center"/>
          </w:tcPr>
          <w:p w14:paraId="4A29C110" w14:textId="77777777" w:rsidR="00BA713F" w:rsidRPr="00792B36" w:rsidRDefault="00BA713F" w:rsidP="0096560E">
            <w:pPr>
              <w:spacing w:line="360" w:lineRule="auto"/>
              <w:contextualSpacing/>
              <w:jc w:val="center"/>
              <w:rPr>
                <w:color w:val="000000" w:themeColor="text1"/>
                <w:sz w:val="24"/>
                <w:szCs w:val="24"/>
              </w:rPr>
            </w:pPr>
            <w:r w:rsidRPr="00792B36">
              <w:rPr>
                <w:color w:val="000000" w:themeColor="text1"/>
                <w:sz w:val="24"/>
                <w:szCs w:val="24"/>
              </w:rPr>
              <w:t>48.6</w:t>
            </w:r>
          </w:p>
        </w:tc>
        <w:tc>
          <w:tcPr>
            <w:tcW w:w="2643" w:type="dxa"/>
            <w:vAlign w:val="center"/>
          </w:tcPr>
          <w:p w14:paraId="3EE06BDD" w14:textId="77777777" w:rsidR="00BA713F" w:rsidRPr="00792B36" w:rsidRDefault="00BA713F" w:rsidP="0096560E">
            <w:pPr>
              <w:spacing w:line="360" w:lineRule="auto"/>
              <w:contextualSpacing/>
              <w:jc w:val="center"/>
              <w:rPr>
                <w:color w:val="000000" w:themeColor="text1"/>
                <w:sz w:val="24"/>
                <w:szCs w:val="24"/>
              </w:rPr>
            </w:pPr>
            <w:r w:rsidRPr="00792B36">
              <w:rPr>
                <w:color w:val="000000" w:themeColor="text1"/>
                <w:sz w:val="24"/>
                <w:szCs w:val="24"/>
              </w:rPr>
              <w:t>1,346</w:t>
            </w:r>
          </w:p>
        </w:tc>
      </w:tr>
      <w:tr w:rsidR="00BA713F" w:rsidRPr="00792B36" w14:paraId="20B56D9F" w14:textId="77777777" w:rsidTr="0096560E">
        <w:trPr>
          <w:trHeight w:val="397"/>
        </w:trPr>
        <w:tc>
          <w:tcPr>
            <w:tcW w:w="3005" w:type="dxa"/>
            <w:vAlign w:val="center"/>
          </w:tcPr>
          <w:p w14:paraId="2DD38ECD" w14:textId="77777777" w:rsidR="00BA713F" w:rsidRPr="00792B36" w:rsidRDefault="00BA713F" w:rsidP="0096560E">
            <w:pPr>
              <w:spacing w:line="360" w:lineRule="auto"/>
              <w:contextualSpacing/>
              <w:rPr>
                <w:color w:val="000000" w:themeColor="text1"/>
                <w:sz w:val="24"/>
                <w:szCs w:val="24"/>
              </w:rPr>
            </w:pPr>
            <w:r w:rsidRPr="00792B36">
              <w:rPr>
                <w:color w:val="000000" w:themeColor="text1"/>
                <w:sz w:val="24"/>
                <w:szCs w:val="24"/>
              </w:rPr>
              <w:t>Chon Buri</w:t>
            </w:r>
          </w:p>
        </w:tc>
        <w:tc>
          <w:tcPr>
            <w:tcW w:w="3369" w:type="dxa"/>
            <w:vAlign w:val="center"/>
          </w:tcPr>
          <w:p w14:paraId="281A1C06" w14:textId="77777777" w:rsidR="00BA713F" w:rsidRPr="00792B36" w:rsidRDefault="00BA713F" w:rsidP="0096560E">
            <w:pPr>
              <w:spacing w:line="360" w:lineRule="auto"/>
              <w:contextualSpacing/>
              <w:jc w:val="center"/>
              <w:rPr>
                <w:color w:val="000000" w:themeColor="text1"/>
                <w:sz w:val="24"/>
                <w:szCs w:val="24"/>
              </w:rPr>
            </w:pPr>
            <w:r w:rsidRPr="00792B36">
              <w:rPr>
                <w:color w:val="000000" w:themeColor="text1"/>
                <w:sz w:val="24"/>
                <w:szCs w:val="24"/>
              </w:rPr>
              <w:t>68.9</w:t>
            </w:r>
          </w:p>
        </w:tc>
        <w:tc>
          <w:tcPr>
            <w:tcW w:w="2643" w:type="dxa"/>
            <w:vAlign w:val="center"/>
          </w:tcPr>
          <w:p w14:paraId="0CB1EBF2" w14:textId="77777777" w:rsidR="00BA713F" w:rsidRPr="00792B36" w:rsidRDefault="00BA713F" w:rsidP="0096560E">
            <w:pPr>
              <w:spacing w:line="360" w:lineRule="auto"/>
              <w:contextualSpacing/>
              <w:jc w:val="center"/>
              <w:rPr>
                <w:color w:val="000000" w:themeColor="text1"/>
                <w:sz w:val="24"/>
                <w:szCs w:val="24"/>
              </w:rPr>
            </w:pPr>
            <w:r w:rsidRPr="00792B36">
              <w:rPr>
                <w:color w:val="000000" w:themeColor="text1"/>
                <w:sz w:val="24"/>
                <w:szCs w:val="24"/>
              </w:rPr>
              <w:t>359</w:t>
            </w:r>
          </w:p>
        </w:tc>
      </w:tr>
      <w:tr w:rsidR="00BA713F" w:rsidRPr="00792B36" w14:paraId="2F69BE99" w14:textId="77777777" w:rsidTr="0096560E">
        <w:trPr>
          <w:trHeight w:val="397"/>
        </w:trPr>
        <w:tc>
          <w:tcPr>
            <w:tcW w:w="3005" w:type="dxa"/>
            <w:vAlign w:val="center"/>
          </w:tcPr>
          <w:p w14:paraId="6B3B23E8" w14:textId="77777777" w:rsidR="00BA713F" w:rsidRPr="00792B36" w:rsidRDefault="00BA713F" w:rsidP="0096560E">
            <w:pPr>
              <w:spacing w:line="360" w:lineRule="auto"/>
              <w:contextualSpacing/>
              <w:rPr>
                <w:color w:val="000000" w:themeColor="text1"/>
                <w:sz w:val="24"/>
                <w:szCs w:val="24"/>
              </w:rPr>
            </w:pPr>
            <w:r w:rsidRPr="00792B36">
              <w:rPr>
                <w:color w:val="000000" w:themeColor="text1"/>
                <w:sz w:val="24"/>
                <w:szCs w:val="24"/>
              </w:rPr>
              <w:t>Chachoengsao</w:t>
            </w:r>
          </w:p>
        </w:tc>
        <w:tc>
          <w:tcPr>
            <w:tcW w:w="3369" w:type="dxa"/>
            <w:vAlign w:val="center"/>
          </w:tcPr>
          <w:p w14:paraId="56DD6F7E" w14:textId="77777777" w:rsidR="00BA713F" w:rsidRPr="00792B36" w:rsidRDefault="00BA713F" w:rsidP="0096560E">
            <w:pPr>
              <w:spacing w:line="360" w:lineRule="auto"/>
              <w:contextualSpacing/>
              <w:jc w:val="center"/>
              <w:rPr>
                <w:color w:val="000000" w:themeColor="text1"/>
                <w:sz w:val="24"/>
                <w:szCs w:val="24"/>
              </w:rPr>
            </w:pPr>
            <w:r w:rsidRPr="00792B36">
              <w:rPr>
                <w:color w:val="000000" w:themeColor="text1"/>
                <w:sz w:val="24"/>
                <w:szCs w:val="24"/>
              </w:rPr>
              <w:t>21.8</w:t>
            </w:r>
          </w:p>
        </w:tc>
        <w:tc>
          <w:tcPr>
            <w:tcW w:w="2643" w:type="dxa"/>
            <w:vAlign w:val="center"/>
          </w:tcPr>
          <w:p w14:paraId="080B2A7D" w14:textId="77777777" w:rsidR="00BA713F" w:rsidRPr="00792B36" w:rsidRDefault="00BA713F" w:rsidP="0096560E">
            <w:pPr>
              <w:spacing w:line="360" w:lineRule="auto"/>
              <w:contextualSpacing/>
              <w:jc w:val="center"/>
              <w:rPr>
                <w:color w:val="000000" w:themeColor="text1"/>
                <w:sz w:val="24"/>
                <w:szCs w:val="24"/>
              </w:rPr>
            </w:pPr>
            <w:r w:rsidRPr="00792B36">
              <w:rPr>
                <w:color w:val="000000" w:themeColor="text1"/>
                <w:sz w:val="24"/>
                <w:szCs w:val="24"/>
              </w:rPr>
              <w:t>135</w:t>
            </w:r>
          </w:p>
        </w:tc>
      </w:tr>
      <w:tr w:rsidR="00BA713F" w:rsidRPr="00792B36" w14:paraId="6EA3018C" w14:textId="77777777" w:rsidTr="0096560E">
        <w:trPr>
          <w:trHeight w:val="397"/>
        </w:trPr>
        <w:tc>
          <w:tcPr>
            <w:tcW w:w="3005" w:type="dxa"/>
            <w:vAlign w:val="center"/>
          </w:tcPr>
          <w:p w14:paraId="06C1CE79" w14:textId="77777777" w:rsidR="00BA713F" w:rsidRPr="00792B36" w:rsidRDefault="00BA713F" w:rsidP="0096560E">
            <w:pPr>
              <w:spacing w:line="360" w:lineRule="auto"/>
              <w:contextualSpacing/>
              <w:rPr>
                <w:b/>
                <w:bCs/>
                <w:color w:val="000000" w:themeColor="text1"/>
                <w:sz w:val="24"/>
                <w:szCs w:val="24"/>
              </w:rPr>
            </w:pPr>
            <w:r w:rsidRPr="00792B36">
              <w:rPr>
                <w:color w:val="000000" w:themeColor="text1"/>
                <w:sz w:val="24"/>
                <w:szCs w:val="24"/>
              </w:rPr>
              <w:t>Samut Sakhon</w:t>
            </w:r>
          </w:p>
        </w:tc>
        <w:tc>
          <w:tcPr>
            <w:tcW w:w="3369" w:type="dxa"/>
            <w:vAlign w:val="center"/>
          </w:tcPr>
          <w:p w14:paraId="541AB818" w14:textId="77777777" w:rsidR="00BA713F" w:rsidRPr="00792B36" w:rsidRDefault="00BA713F" w:rsidP="0096560E">
            <w:pPr>
              <w:spacing w:line="360" w:lineRule="auto"/>
              <w:contextualSpacing/>
              <w:jc w:val="center"/>
              <w:rPr>
                <w:b/>
                <w:bCs/>
                <w:color w:val="000000" w:themeColor="text1"/>
                <w:sz w:val="24"/>
                <w:szCs w:val="24"/>
              </w:rPr>
            </w:pPr>
            <w:r w:rsidRPr="00792B36">
              <w:rPr>
                <w:color w:val="000000" w:themeColor="text1"/>
                <w:sz w:val="24"/>
                <w:szCs w:val="24"/>
              </w:rPr>
              <w:t>45.6</w:t>
            </w:r>
          </w:p>
        </w:tc>
        <w:tc>
          <w:tcPr>
            <w:tcW w:w="2643" w:type="dxa"/>
            <w:vAlign w:val="center"/>
          </w:tcPr>
          <w:p w14:paraId="20155D24" w14:textId="77777777" w:rsidR="00BA713F" w:rsidRPr="00792B36" w:rsidRDefault="00BA713F" w:rsidP="0096560E">
            <w:pPr>
              <w:spacing w:line="360" w:lineRule="auto"/>
              <w:contextualSpacing/>
              <w:jc w:val="center"/>
              <w:rPr>
                <w:b/>
                <w:bCs/>
                <w:color w:val="000000" w:themeColor="text1"/>
                <w:sz w:val="24"/>
                <w:szCs w:val="24"/>
              </w:rPr>
            </w:pPr>
            <w:r w:rsidRPr="00792B36">
              <w:rPr>
                <w:color w:val="000000" w:themeColor="text1"/>
                <w:sz w:val="24"/>
                <w:szCs w:val="24"/>
              </w:rPr>
              <w:t>672</w:t>
            </w:r>
          </w:p>
        </w:tc>
      </w:tr>
      <w:tr w:rsidR="00BA713F" w:rsidRPr="00792B36" w14:paraId="415F1A06" w14:textId="77777777" w:rsidTr="0096560E">
        <w:trPr>
          <w:trHeight w:val="397"/>
        </w:trPr>
        <w:tc>
          <w:tcPr>
            <w:tcW w:w="3005" w:type="dxa"/>
            <w:vAlign w:val="center"/>
          </w:tcPr>
          <w:p w14:paraId="7E7F3F08" w14:textId="77777777" w:rsidR="00BA713F" w:rsidRPr="00792B36" w:rsidRDefault="00BA713F" w:rsidP="0096560E">
            <w:pPr>
              <w:spacing w:line="360" w:lineRule="auto"/>
              <w:contextualSpacing/>
              <w:rPr>
                <w:b/>
                <w:bCs/>
                <w:color w:val="000000" w:themeColor="text1"/>
                <w:sz w:val="24"/>
                <w:szCs w:val="24"/>
              </w:rPr>
            </w:pPr>
            <w:r w:rsidRPr="00792B36">
              <w:rPr>
                <w:color w:val="000000" w:themeColor="text1"/>
                <w:sz w:val="24"/>
                <w:szCs w:val="24"/>
              </w:rPr>
              <w:t>Samut Songkhram</w:t>
            </w:r>
          </w:p>
        </w:tc>
        <w:tc>
          <w:tcPr>
            <w:tcW w:w="3369" w:type="dxa"/>
            <w:vAlign w:val="center"/>
          </w:tcPr>
          <w:p w14:paraId="72A21AC0" w14:textId="77777777" w:rsidR="00BA713F" w:rsidRPr="00792B36" w:rsidRDefault="00BA713F" w:rsidP="0096560E">
            <w:pPr>
              <w:spacing w:line="360" w:lineRule="auto"/>
              <w:contextualSpacing/>
              <w:jc w:val="center"/>
              <w:rPr>
                <w:b/>
                <w:bCs/>
                <w:color w:val="000000" w:themeColor="text1"/>
                <w:sz w:val="24"/>
                <w:szCs w:val="24"/>
              </w:rPr>
            </w:pPr>
            <w:r w:rsidRPr="00792B36">
              <w:rPr>
                <w:color w:val="000000" w:themeColor="text1"/>
                <w:sz w:val="24"/>
                <w:szCs w:val="24"/>
              </w:rPr>
              <w:t>19.8</w:t>
            </w:r>
          </w:p>
        </w:tc>
        <w:tc>
          <w:tcPr>
            <w:tcW w:w="2643" w:type="dxa"/>
            <w:vAlign w:val="center"/>
          </w:tcPr>
          <w:p w14:paraId="4FE939E6" w14:textId="77777777" w:rsidR="00BA713F" w:rsidRPr="00792B36" w:rsidRDefault="00BA713F" w:rsidP="0096560E">
            <w:pPr>
              <w:spacing w:line="360" w:lineRule="auto"/>
              <w:contextualSpacing/>
              <w:jc w:val="center"/>
              <w:rPr>
                <w:b/>
                <w:bCs/>
                <w:color w:val="000000" w:themeColor="text1"/>
                <w:sz w:val="24"/>
                <w:szCs w:val="24"/>
              </w:rPr>
            </w:pPr>
            <w:r w:rsidRPr="00792B36">
              <w:rPr>
                <w:color w:val="000000" w:themeColor="text1"/>
                <w:sz w:val="24"/>
                <w:szCs w:val="24"/>
              </w:rPr>
              <w:t>461</w:t>
            </w:r>
          </w:p>
        </w:tc>
      </w:tr>
      <w:tr w:rsidR="00BA713F" w:rsidRPr="00792B36" w14:paraId="7A3A74C6" w14:textId="77777777" w:rsidTr="0096560E">
        <w:trPr>
          <w:trHeight w:val="397"/>
        </w:trPr>
        <w:tc>
          <w:tcPr>
            <w:tcW w:w="3005" w:type="dxa"/>
            <w:vAlign w:val="center"/>
          </w:tcPr>
          <w:p w14:paraId="7876407A" w14:textId="77777777" w:rsidR="00BA713F" w:rsidRPr="00792B36" w:rsidRDefault="00BA713F" w:rsidP="0096560E">
            <w:pPr>
              <w:spacing w:line="360" w:lineRule="auto"/>
              <w:contextualSpacing/>
              <w:rPr>
                <w:b/>
                <w:bCs/>
                <w:color w:val="000000" w:themeColor="text1"/>
                <w:sz w:val="24"/>
                <w:szCs w:val="24"/>
              </w:rPr>
            </w:pPr>
            <w:r w:rsidRPr="00792B36">
              <w:rPr>
                <w:color w:val="000000" w:themeColor="text1"/>
                <w:sz w:val="24"/>
                <w:szCs w:val="24"/>
              </w:rPr>
              <w:t>Phetchaburi</w:t>
            </w:r>
          </w:p>
        </w:tc>
        <w:tc>
          <w:tcPr>
            <w:tcW w:w="3369" w:type="dxa"/>
            <w:vAlign w:val="center"/>
          </w:tcPr>
          <w:p w14:paraId="6B948287" w14:textId="77777777" w:rsidR="00BA713F" w:rsidRPr="00792B36" w:rsidRDefault="00BA713F" w:rsidP="0096560E">
            <w:pPr>
              <w:spacing w:line="360" w:lineRule="auto"/>
              <w:contextualSpacing/>
              <w:jc w:val="center"/>
              <w:rPr>
                <w:b/>
                <w:bCs/>
                <w:color w:val="000000" w:themeColor="text1"/>
                <w:sz w:val="24"/>
                <w:szCs w:val="24"/>
              </w:rPr>
            </w:pPr>
            <w:r w:rsidRPr="00792B36">
              <w:rPr>
                <w:color w:val="000000" w:themeColor="text1"/>
                <w:sz w:val="24"/>
                <w:szCs w:val="24"/>
              </w:rPr>
              <w:t>33.9</w:t>
            </w:r>
          </w:p>
        </w:tc>
        <w:tc>
          <w:tcPr>
            <w:tcW w:w="2643" w:type="dxa"/>
            <w:vAlign w:val="center"/>
          </w:tcPr>
          <w:p w14:paraId="3B6058C6" w14:textId="77777777" w:rsidR="00BA713F" w:rsidRPr="00792B36" w:rsidRDefault="00BA713F" w:rsidP="0096560E">
            <w:pPr>
              <w:spacing w:line="360" w:lineRule="auto"/>
              <w:contextualSpacing/>
              <w:jc w:val="center"/>
              <w:rPr>
                <w:b/>
                <w:bCs/>
                <w:color w:val="000000" w:themeColor="text1"/>
                <w:sz w:val="24"/>
                <w:szCs w:val="24"/>
              </w:rPr>
            </w:pPr>
            <w:r w:rsidRPr="00792B36">
              <w:rPr>
                <w:color w:val="000000" w:themeColor="text1"/>
                <w:sz w:val="24"/>
                <w:szCs w:val="24"/>
              </w:rPr>
              <w:t>77</w:t>
            </w:r>
          </w:p>
        </w:tc>
      </w:tr>
      <w:tr w:rsidR="00BA713F" w:rsidRPr="00792B36" w14:paraId="6A6A4B40" w14:textId="77777777" w:rsidTr="0096560E">
        <w:trPr>
          <w:trHeight w:val="397"/>
        </w:trPr>
        <w:tc>
          <w:tcPr>
            <w:tcW w:w="3005" w:type="dxa"/>
            <w:vAlign w:val="center"/>
          </w:tcPr>
          <w:p w14:paraId="2F9ECFC2" w14:textId="77777777" w:rsidR="00BA713F" w:rsidRPr="00792B36" w:rsidRDefault="00BA713F" w:rsidP="0096560E">
            <w:pPr>
              <w:spacing w:line="360" w:lineRule="auto"/>
              <w:contextualSpacing/>
              <w:rPr>
                <w:b/>
                <w:bCs/>
                <w:color w:val="000000" w:themeColor="text1"/>
                <w:sz w:val="24"/>
                <w:szCs w:val="24"/>
              </w:rPr>
            </w:pPr>
            <w:r w:rsidRPr="00792B36">
              <w:rPr>
                <w:color w:val="000000" w:themeColor="text1"/>
                <w:sz w:val="24"/>
                <w:szCs w:val="24"/>
              </w:rPr>
              <w:t>Prachuap Khiri Khan</w:t>
            </w:r>
          </w:p>
        </w:tc>
        <w:tc>
          <w:tcPr>
            <w:tcW w:w="3369" w:type="dxa"/>
            <w:vAlign w:val="center"/>
          </w:tcPr>
          <w:p w14:paraId="7A951AAB" w14:textId="77777777" w:rsidR="00BA713F" w:rsidRPr="00792B36" w:rsidRDefault="00BA713F" w:rsidP="0096560E">
            <w:pPr>
              <w:spacing w:line="360" w:lineRule="auto"/>
              <w:contextualSpacing/>
              <w:jc w:val="center"/>
              <w:rPr>
                <w:b/>
                <w:bCs/>
                <w:color w:val="000000" w:themeColor="text1"/>
                <w:sz w:val="24"/>
                <w:szCs w:val="24"/>
              </w:rPr>
            </w:pPr>
            <w:r w:rsidRPr="00792B36">
              <w:rPr>
                <w:color w:val="000000" w:themeColor="text1"/>
                <w:sz w:val="24"/>
                <w:szCs w:val="24"/>
              </w:rPr>
              <w:t>31.2</w:t>
            </w:r>
          </w:p>
        </w:tc>
        <w:tc>
          <w:tcPr>
            <w:tcW w:w="2643" w:type="dxa"/>
            <w:vAlign w:val="center"/>
          </w:tcPr>
          <w:p w14:paraId="452D001E" w14:textId="77777777" w:rsidR="00BA713F" w:rsidRPr="00792B36" w:rsidRDefault="00BA713F" w:rsidP="0096560E">
            <w:pPr>
              <w:spacing w:line="360" w:lineRule="auto"/>
              <w:contextualSpacing/>
              <w:jc w:val="center"/>
              <w:rPr>
                <w:b/>
                <w:bCs/>
                <w:color w:val="000000" w:themeColor="text1"/>
                <w:sz w:val="24"/>
                <w:szCs w:val="24"/>
              </w:rPr>
            </w:pPr>
            <w:r w:rsidRPr="00792B36">
              <w:rPr>
                <w:color w:val="000000" w:themeColor="text1"/>
                <w:sz w:val="24"/>
                <w:szCs w:val="24"/>
              </w:rPr>
              <w:t>86</w:t>
            </w:r>
          </w:p>
        </w:tc>
      </w:tr>
      <w:tr w:rsidR="00BA713F" w:rsidRPr="00792B36" w14:paraId="4FE35D94" w14:textId="77777777" w:rsidTr="0096560E">
        <w:trPr>
          <w:trHeight w:val="397"/>
        </w:trPr>
        <w:tc>
          <w:tcPr>
            <w:tcW w:w="3005" w:type="dxa"/>
            <w:vAlign w:val="center"/>
          </w:tcPr>
          <w:p w14:paraId="0AD5B39D" w14:textId="77777777" w:rsidR="00BA713F" w:rsidRPr="00792B36" w:rsidRDefault="00BA713F" w:rsidP="0096560E">
            <w:pPr>
              <w:spacing w:line="360" w:lineRule="auto"/>
              <w:contextualSpacing/>
              <w:rPr>
                <w:b/>
                <w:bCs/>
                <w:color w:val="000000" w:themeColor="text1"/>
                <w:sz w:val="24"/>
                <w:szCs w:val="24"/>
              </w:rPr>
            </w:pPr>
            <w:r w:rsidRPr="00792B36">
              <w:rPr>
                <w:color w:val="000000" w:themeColor="text1"/>
                <w:sz w:val="24"/>
                <w:szCs w:val="24"/>
              </w:rPr>
              <w:t>Nakhon Si Thammarat</w:t>
            </w:r>
          </w:p>
        </w:tc>
        <w:tc>
          <w:tcPr>
            <w:tcW w:w="3369" w:type="dxa"/>
            <w:vAlign w:val="center"/>
          </w:tcPr>
          <w:p w14:paraId="43584DF3" w14:textId="77777777" w:rsidR="00BA713F" w:rsidRPr="00792B36" w:rsidRDefault="00BA713F" w:rsidP="0096560E">
            <w:pPr>
              <w:spacing w:line="360" w:lineRule="auto"/>
              <w:contextualSpacing/>
              <w:jc w:val="center"/>
              <w:rPr>
                <w:b/>
                <w:bCs/>
                <w:color w:val="000000" w:themeColor="text1"/>
                <w:sz w:val="24"/>
                <w:szCs w:val="24"/>
              </w:rPr>
            </w:pPr>
            <w:r w:rsidRPr="00792B36">
              <w:rPr>
                <w:color w:val="000000" w:themeColor="text1"/>
                <w:sz w:val="24"/>
                <w:szCs w:val="24"/>
              </w:rPr>
              <w:t>18.8</w:t>
            </w:r>
          </w:p>
        </w:tc>
        <w:tc>
          <w:tcPr>
            <w:tcW w:w="2643" w:type="dxa"/>
            <w:vAlign w:val="center"/>
          </w:tcPr>
          <w:p w14:paraId="2DB33ACC" w14:textId="77777777" w:rsidR="00BA713F" w:rsidRPr="00792B36" w:rsidRDefault="00BA713F" w:rsidP="0096560E">
            <w:pPr>
              <w:spacing w:line="360" w:lineRule="auto"/>
              <w:contextualSpacing/>
              <w:jc w:val="center"/>
              <w:rPr>
                <w:b/>
                <w:bCs/>
                <w:color w:val="000000" w:themeColor="text1"/>
                <w:sz w:val="24"/>
                <w:szCs w:val="24"/>
              </w:rPr>
            </w:pPr>
            <w:r w:rsidRPr="00792B36">
              <w:rPr>
                <w:color w:val="000000" w:themeColor="text1"/>
                <w:sz w:val="24"/>
                <w:szCs w:val="24"/>
              </w:rPr>
              <w:t>156</w:t>
            </w:r>
          </w:p>
        </w:tc>
      </w:tr>
      <w:tr w:rsidR="00BA713F" w:rsidRPr="00792B36" w14:paraId="312F77AE" w14:textId="77777777" w:rsidTr="0096560E">
        <w:trPr>
          <w:trHeight w:val="397"/>
        </w:trPr>
        <w:tc>
          <w:tcPr>
            <w:tcW w:w="3005" w:type="dxa"/>
            <w:vAlign w:val="center"/>
          </w:tcPr>
          <w:p w14:paraId="6089DCD1" w14:textId="77777777" w:rsidR="00BA713F" w:rsidRPr="00792B36" w:rsidRDefault="00BA713F" w:rsidP="0096560E">
            <w:pPr>
              <w:spacing w:line="360" w:lineRule="auto"/>
              <w:contextualSpacing/>
              <w:rPr>
                <w:b/>
                <w:bCs/>
                <w:color w:val="000000" w:themeColor="text1"/>
                <w:sz w:val="24"/>
                <w:szCs w:val="24"/>
              </w:rPr>
            </w:pPr>
            <w:r w:rsidRPr="00792B36">
              <w:rPr>
                <w:color w:val="000000" w:themeColor="text1"/>
                <w:sz w:val="24"/>
                <w:szCs w:val="24"/>
              </w:rPr>
              <w:t>Surat-Thani</w:t>
            </w:r>
          </w:p>
        </w:tc>
        <w:tc>
          <w:tcPr>
            <w:tcW w:w="3369" w:type="dxa"/>
            <w:vAlign w:val="center"/>
          </w:tcPr>
          <w:p w14:paraId="23E926E7" w14:textId="77777777" w:rsidR="00BA713F" w:rsidRPr="00792B36" w:rsidRDefault="00BA713F" w:rsidP="0096560E">
            <w:pPr>
              <w:spacing w:line="360" w:lineRule="auto"/>
              <w:contextualSpacing/>
              <w:jc w:val="center"/>
              <w:rPr>
                <w:b/>
                <w:bCs/>
                <w:color w:val="000000" w:themeColor="text1"/>
                <w:sz w:val="24"/>
                <w:szCs w:val="24"/>
              </w:rPr>
            </w:pPr>
            <w:r w:rsidRPr="00792B36">
              <w:rPr>
                <w:color w:val="000000" w:themeColor="text1"/>
                <w:sz w:val="24"/>
                <w:szCs w:val="24"/>
              </w:rPr>
              <w:t>41.3</w:t>
            </w:r>
          </w:p>
        </w:tc>
        <w:tc>
          <w:tcPr>
            <w:tcW w:w="2643" w:type="dxa"/>
            <w:vAlign w:val="center"/>
          </w:tcPr>
          <w:p w14:paraId="428631C0" w14:textId="77777777" w:rsidR="00BA713F" w:rsidRPr="00792B36" w:rsidRDefault="00BA713F" w:rsidP="0096560E">
            <w:pPr>
              <w:spacing w:line="360" w:lineRule="auto"/>
              <w:contextualSpacing/>
              <w:jc w:val="center"/>
              <w:rPr>
                <w:b/>
                <w:bCs/>
                <w:color w:val="000000" w:themeColor="text1"/>
                <w:sz w:val="24"/>
                <w:szCs w:val="24"/>
              </w:rPr>
            </w:pPr>
            <w:r w:rsidRPr="00792B36">
              <w:rPr>
                <w:color w:val="000000" w:themeColor="text1"/>
                <w:sz w:val="24"/>
                <w:szCs w:val="24"/>
              </w:rPr>
              <w:t>83</w:t>
            </w:r>
          </w:p>
        </w:tc>
      </w:tr>
      <w:tr w:rsidR="00BA713F" w:rsidRPr="00792B36" w14:paraId="38193996" w14:textId="77777777" w:rsidTr="0096560E">
        <w:trPr>
          <w:trHeight w:val="397"/>
        </w:trPr>
        <w:tc>
          <w:tcPr>
            <w:tcW w:w="3005" w:type="dxa"/>
            <w:vAlign w:val="center"/>
          </w:tcPr>
          <w:p w14:paraId="050F1B64" w14:textId="77777777" w:rsidR="00BA713F" w:rsidRPr="00792B36" w:rsidRDefault="00BA713F" w:rsidP="0096560E">
            <w:pPr>
              <w:spacing w:line="360" w:lineRule="auto"/>
              <w:contextualSpacing/>
              <w:rPr>
                <w:color w:val="000000" w:themeColor="text1"/>
                <w:sz w:val="24"/>
                <w:szCs w:val="24"/>
              </w:rPr>
            </w:pPr>
            <w:r w:rsidRPr="00792B36">
              <w:rPr>
                <w:color w:val="000000" w:themeColor="text1"/>
                <w:sz w:val="24"/>
                <w:szCs w:val="24"/>
              </w:rPr>
              <w:t>Chumphon</w:t>
            </w:r>
          </w:p>
        </w:tc>
        <w:tc>
          <w:tcPr>
            <w:tcW w:w="3369" w:type="dxa"/>
            <w:vAlign w:val="center"/>
          </w:tcPr>
          <w:p w14:paraId="2F9A8240" w14:textId="77777777" w:rsidR="00BA713F" w:rsidRPr="00792B36" w:rsidRDefault="00BA713F" w:rsidP="0096560E">
            <w:pPr>
              <w:spacing w:line="360" w:lineRule="auto"/>
              <w:contextualSpacing/>
              <w:jc w:val="center"/>
              <w:rPr>
                <w:color w:val="000000" w:themeColor="text1"/>
                <w:sz w:val="24"/>
                <w:szCs w:val="24"/>
              </w:rPr>
            </w:pPr>
            <w:r w:rsidRPr="00792B36">
              <w:rPr>
                <w:color w:val="000000" w:themeColor="text1"/>
                <w:sz w:val="24"/>
                <w:szCs w:val="24"/>
              </w:rPr>
              <w:t>19.1</w:t>
            </w:r>
          </w:p>
        </w:tc>
        <w:tc>
          <w:tcPr>
            <w:tcW w:w="2643" w:type="dxa"/>
            <w:vAlign w:val="center"/>
          </w:tcPr>
          <w:p w14:paraId="5583B08F" w14:textId="77777777" w:rsidR="00BA713F" w:rsidRPr="00792B36" w:rsidRDefault="00BA713F" w:rsidP="0096560E">
            <w:pPr>
              <w:spacing w:line="360" w:lineRule="auto"/>
              <w:contextualSpacing/>
              <w:jc w:val="center"/>
              <w:rPr>
                <w:color w:val="000000" w:themeColor="text1"/>
                <w:sz w:val="24"/>
                <w:szCs w:val="24"/>
              </w:rPr>
            </w:pPr>
            <w:r w:rsidRPr="00792B36">
              <w:rPr>
                <w:color w:val="000000" w:themeColor="text1"/>
                <w:sz w:val="24"/>
                <w:szCs w:val="24"/>
              </w:rPr>
              <w:t>85</w:t>
            </w:r>
          </w:p>
        </w:tc>
      </w:tr>
      <w:tr w:rsidR="00BA713F" w:rsidRPr="00792B36" w14:paraId="7FB15177" w14:textId="77777777" w:rsidTr="0096560E">
        <w:trPr>
          <w:trHeight w:val="397"/>
        </w:trPr>
        <w:tc>
          <w:tcPr>
            <w:tcW w:w="3005" w:type="dxa"/>
            <w:vAlign w:val="center"/>
          </w:tcPr>
          <w:p w14:paraId="3AC30EF4" w14:textId="77777777" w:rsidR="00BA713F" w:rsidRPr="00792B36" w:rsidRDefault="00BA713F" w:rsidP="0096560E">
            <w:pPr>
              <w:spacing w:line="360" w:lineRule="auto"/>
              <w:contextualSpacing/>
              <w:rPr>
                <w:color w:val="000000" w:themeColor="text1"/>
                <w:sz w:val="24"/>
                <w:szCs w:val="24"/>
              </w:rPr>
            </w:pPr>
            <w:r w:rsidRPr="00792B36">
              <w:rPr>
                <w:color w:val="000000" w:themeColor="text1"/>
                <w:sz w:val="24"/>
                <w:szCs w:val="24"/>
              </w:rPr>
              <w:t>Songkhla</w:t>
            </w:r>
          </w:p>
        </w:tc>
        <w:tc>
          <w:tcPr>
            <w:tcW w:w="3369" w:type="dxa"/>
            <w:vAlign w:val="center"/>
          </w:tcPr>
          <w:p w14:paraId="682169D9" w14:textId="77777777" w:rsidR="00BA713F" w:rsidRPr="00792B36" w:rsidRDefault="00BA713F" w:rsidP="0096560E">
            <w:pPr>
              <w:spacing w:line="360" w:lineRule="auto"/>
              <w:contextualSpacing/>
              <w:jc w:val="center"/>
              <w:rPr>
                <w:color w:val="000000" w:themeColor="text1"/>
                <w:sz w:val="24"/>
                <w:szCs w:val="24"/>
              </w:rPr>
            </w:pPr>
            <w:r w:rsidRPr="00792B36">
              <w:rPr>
                <w:color w:val="000000" w:themeColor="text1"/>
                <w:sz w:val="24"/>
                <w:szCs w:val="24"/>
              </w:rPr>
              <w:t>50.8</w:t>
            </w:r>
          </w:p>
        </w:tc>
        <w:tc>
          <w:tcPr>
            <w:tcW w:w="2643" w:type="dxa"/>
            <w:vAlign w:val="center"/>
          </w:tcPr>
          <w:p w14:paraId="64E6A769" w14:textId="77777777" w:rsidR="00BA713F" w:rsidRPr="00792B36" w:rsidRDefault="00BA713F" w:rsidP="0096560E">
            <w:pPr>
              <w:spacing w:line="360" w:lineRule="auto"/>
              <w:contextualSpacing/>
              <w:jc w:val="center"/>
              <w:rPr>
                <w:color w:val="000000" w:themeColor="text1"/>
                <w:sz w:val="24"/>
                <w:szCs w:val="24"/>
              </w:rPr>
            </w:pPr>
            <w:r w:rsidRPr="00792B36">
              <w:rPr>
                <w:color w:val="000000" w:themeColor="text1"/>
                <w:sz w:val="24"/>
                <w:szCs w:val="24"/>
              </w:rPr>
              <w:t>193</w:t>
            </w:r>
          </w:p>
        </w:tc>
      </w:tr>
      <w:tr w:rsidR="00BA713F" w:rsidRPr="00792B36" w14:paraId="20E8D59D" w14:textId="77777777" w:rsidTr="0096560E">
        <w:trPr>
          <w:trHeight w:val="397"/>
        </w:trPr>
        <w:tc>
          <w:tcPr>
            <w:tcW w:w="3005" w:type="dxa"/>
            <w:vAlign w:val="center"/>
          </w:tcPr>
          <w:p w14:paraId="508F38C4" w14:textId="77777777" w:rsidR="00BA713F" w:rsidRPr="00792B36" w:rsidRDefault="00BA713F" w:rsidP="0096560E">
            <w:pPr>
              <w:spacing w:line="360" w:lineRule="auto"/>
              <w:contextualSpacing/>
              <w:rPr>
                <w:color w:val="000000" w:themeColor="text1"/>
                <w:sz w:val="24"/>
                <w:szCs w:val="24"/>
              </w:rPr>
            </w:pPr>
            <w:r w:rsidRPr="00792B36">
              <w:rPr>
                <w:color w:val="000000" w:themeColor="text1"/>
                <w:sz w:val="24"/>
                <w:szCs w:val="24"/>
              </w:rPr>
              <w:lastRenderedPageBreak/>
              <w:t>Pattani</w:t>
            </w:r>
          </w:p>
        </w:tc>
        <w:tc>
          <w:tcPr>
            <w:tcW w:w="3369" w:type="dxa"/>
            <w:vAlign w:val="center"/>
          </w:tcPr>
          <w:p w14:paraId="21819EAE" w14:textId="77777777" w:rsidR="00BA713F" w:rsidRPr="00792B36" w:rsidRDefault="00BA713F" w:rsidP="0096560E">
            <w:pPr>
              <w:spacing w:line="360" w:lineRule="auto"/>
              <w:contextualSpacing/>
              <w:jc w:val="center"/>
              <w:rPr>
                <w:color w:val="000000" w:themeColor="text1"/>
                <w:sz w:val="24"/>
                <w:szCs w:val="24"/>
              </w:rPr>
            </w:pPr>
            <w:r w:rsidRPr="00792B36">
              <w:rPr>
                <w:color w:val="000000" w:themeColor="text1"/>
                <w:sz w:val="24"/>
                <w:szCs w:val="24"/>
              </w:rPr>
              <w:t>17.9</w:t>
            </w:r>
          </w:p>
        </w:tc>
        <w:tc>
          <w:tcPr>
            <w:tcW w:w="2643" w:type="dxa"/>
            <w:vAlign w:val="center"/>
          </w:tcPr>
          <w:p w14:paraId="04B14D22" w14:textId="77777777" w:rsidR="00BA713F" w:rsidRPr="00792B36" w:rsidRDefault="00BA713F" w:rsidP="0096560E">
            <w:pPr>
              <w:spacing w:line="360" w:lineRule="auto"/>
              <w:contextualSpacing/>
              <w:jc w:val="center"/>
              <w:rPr>
                <w:color w:val="000000" w:themeColor="text1"/>
                <w:sz w:val="24"/>
                <w:szCs w:val="24"/>
              </w:rPr>
            </w:pPr>
            <w:r w:rsidRPr="00792B36">
              <w:rPr>
                <w:color w:val="000000" w:themeColor="text1"/>
                <w:sz w:val="24"/>
                <w:szCs w:val="24"/>
              </w:rPr>
              <w:t>374</w:t>
            </w:r>
          </w:p>
        </w:tc>
      </w:tr>
      <w:tr w:rsidR="00BA713F" w:rsidRPr="00792B36" w14:paraId="56CABE6F" w14:textId="77777777" w:rsidTr="0096560E">
        <w:trPr>
          <w:trHeight w:val="397"/>
        </w:trPr>
        <w:tc>
          <w:tcPr>
            <w:tcW w:w="3005" w:type="dxa"/>
            <w:vAlign w:val="center"/>
          </w:tcPr>
          <w:p w14:paraId="1F57ADB9" w14:textId="77777777" w:rsidR="00BA713F" w:rsidRPr="00792B36" w:rsidRDefault="00BA713F" w:rsidP="0096560E">
            <w:pPr>
              <w:spacing w:line="360" w:lineRule="auto"/>
              <w:contextualSpacing/>
              <w:rPr>
                <w:color w:val="000000" w:themeColor="text1"/>
                <w:sz w:val="24"/>
                <w:szCs w:val="24"/>
              </w:rPr>
            </w:pPr>
            <w:r w:rsidRPr="00792B36">
              <w:rPr>
                <w:color w:val="000000" w:themeColor="text1"/>
                <w:sz w:val="24"/>
                <w:szCs w:val="24"/>
              </w:rPr>
              <w:t>Narathiwat</w:t>
            </w:r>
          </w:p>
        </w:tc>
        <w:tc>
          <w:tcPr>
            <w:tcW w:w="3369" w:type="dxa"/>
            <w:vAlign w:val="center"/>
          </w:tcPr>
          <w:p w14:paraId="01B042D7" w14:textId="77777777" w:rsidR="00BA713F" w:rsidRPr="00792B36" w:rsidRDefault="00BA713F" w:rsidP="0096560E">
            <w:pPr>
              <w:spacing w:line="360" w:lineRule="auto"/>
              <w:contextualSpacing/>
              <w:jc w:val="center"/>
              <w:rPr>
                <w:color w:val="000000" w:themeColor="text1"/>
                <w:sz w:val="24"/>
                <w:szCs w:val="24"/>
              </w:rPr>
            </w:pPr>
            <w:r w:rsidRPr="00792B36">
              <w:rPr>
                <w:color w:val="000000" w:themeColor="text1"/>
                <w:sz w:val="24"/>
                <w:szCs w:val="24"/>
              </w:rPr>
              <w:t>20.8</w:t>
            </w:r>
          </w:p>
        </w:tc>
        <w:tc>
          <w:tcPr>
            <w:tcW w:w="2643" w:type="dxa"/>
            <w:vAlign w:val="center"/>
          </w:tcPr>
          <w:p w14:paraId="6200E129" w14:textId="77777777" w:rsidR="00BA713F" w:rsidRPr="00792B36" w:rsidRDefault="00BA713F" w:rsidP="0096560E">
            <w:pPr>
              <w:spacing w:line="360" w:lineRule="auto"/>
              <w:contextualSpacing/>
              <w:jc w:val="center"/>
              <w:rPr>
                <w:color w:val="000000" w:themeColor="text1"/>
                <w:sz w:val="24"/>
                <w:szCs w:val="24"/>
              </w:rPr>
            </w:pPr>
            <w:r w:rsidRPr="00792B36">
              <w:rPr>
                <w:color w:val="000000" w:themeColor="text1"/>
                <w:sz w:val="24"/>
                <w:szCs w:val="24"/>
              </w:rPr>
              <w:t>180</w:t>
            </w:r>
          </w:p>
        </w:tc>
      </w:tr>
      <w:tr w:rsidR="00BA713F" w:rsidRPr="00792B36" w14:paraId="6602AEB7" w14:textId="77777777" w:rsidTr="0096560E">
        <w:trPr>
          <w:trHeight w:val="397"/>
        </w:trPr>
        <w:tc>
          <w:tcPr>
            <w:tcW w:w="3005" w:type="dxa"/>
            <w:vAlign w:val="center"/>
          </w:tcPr>
          <w:p w14:paraId="3AF87F51" w14:textId="77777777" w:rsidR="00BA713F" w:rsidRPr="00792B36" w:rsidRDefault="00BA713F" w:rsidP="0096560E">
            <w:pPr>
              <w:spacing w:line="360" w:lineRule="auto"/>
              <w:contextualSpacing/>
              <w:rPr>
                <w:color w:val="000000" w:themeColor="text1"/>
                <w:sz w:val="24"/>
                <w:szCs w:val="24"/>
              </w:rPr>
            </w:pPr>
            <w:r w:rsidRPr="00792B36">
              <w:rPr>
                <w:color w:val="000000" w:themeColor="text1"/>
                <w:sz w:val="24"/>
                <w:szCs w:val="24"/>
              </w:rPr>
              <w:t>Bangkok</w:t>
            </w:r>
          </w:p>
        </w:tc>
        <w:tc>
          <w:tcPr>
            <w:tcW w:w="3369" w:type="dxa"/>
            <w:vAlign w:val="center"/>
          </w:tcPr>
          <w:p w14:paraId="6A391BD7" w14:textId="77777777" w:rsidR="00BA713F" w:rsidRPr="00792B36" w:rsidRDefault="00BA713F" w:rsidP="0096560E">
            <w:pPr>
              <w:spacing w:line="360" w:lineRule="auto"/>
              <w:contextualSpacing/>
              <w:jc w:val="center"/>
              <w:rPr>
                <w:color w:val="000000" w:themeColor="text1"/>
                <w:sz w:val="24"/>
                <w:szCs w:val="24"/>
              </w:rPr>
            </w:pPr>
            <w:r w:rsidRPr="00792B36">
              <w:rPr>
                <w:color w:val="000000" w:themeColor="text1"/>
                <w:sz w:val="24"/>
                <w:szCs w:val="24"/>
              </w:rPr>
              <w:t>100.0</w:t>
            </w:r>
          </w:p>
        </w:tc>
        <w:tc>
          <w:tcPr>
            <w:tcW w:w="2643" w:type="dxa"/>
            <w:vAlign w:val="center"/>
          </w:tcPr>
          <w:p w14:paraId="2BEE0A02" w14:textId="77777777" w:rsidR="00BA713F" w:rsidRPr="00792B36" w:rsidRDefault="00BA713F" w:rsidP="0096560E">
            <w:pPr>
              <w:spacing w:line="360" w:lineRule="auto"/>
              <w:contextualSpacing/>
              <w:jc w:val="center"/>
              <w:rPr>
                <w:color w:val="000000" w:themeColor="text1"/>
                <w:sz w:val="24"/>
                <w:szCs w:val="24"/>
              </w:rPr>
            </w:pPr>
            <w:r w:rsidRPr="00792B36">
              <w:rPr>
                <w:color w:val="000000" w:themeColor="text1"/>
                <w:sz w:val="24"/>
                <w:szCs w:val="24"/>
              </w:rPr>
              <w:t>3,562</w:t>
            </w:r>
          </w:p>
        </w:tc>
      </w:tr>
    </w:tbl>
    <w:p w14:paraId="0FF580F8" w14:textId="77777777" w:rsidR="00BA713F" w:rsidRPr="00792B36" w:rsidRDefault="00BA713F" w:rsidP="00BA713F">
      <w:pPr>
        <w:pBdr>
          <w:top w:val="nil"/>
          <w:left w:val="nil"/>
          <w:bottom w:val="nil"/>
          <w:right w:val="nil"/>
          <w:between w:val="nil"/>
        </w:pBdr>
        <w:spacing w:line="360" w:lineRule="auto"/>
        <w:contextualSpacing/>
        <w:jc w:val="both"/>
        <w:rPr>
          <w:b/>
          <w:bCs/>
          <w:color w:val="000000" w:themeColor="text1"/>
          <w:sz w:val="24"/>
          <w:szCs w:val="24"/>
          <w:cs/>
        </w:rPr>
      </w:pPr>
    </w:p>
    <w:p w14:paraId="58615F71" w14:textId="77777777" w:rsidR="00BA713F" w:rsidRPr="00792B36" w:rsidRDefault="00BA713F" w:rsidP="00BA713F">
      <w:pPr>
        <w:pBdr>
          <w:top w:val="nil"/>
          <w:left w:val="nil"/>
          <w:bottom w:val="nil"/>
          <w:right w:val="nil"/>
          <w:between w:val="nil"/>
        </w:pBdr>
        <w:tabs>
          <w:tab w:val="left" w:pos="8364"/>
        </w:tabs>
        <w:spacing w:line="360" w:lineRule="auto"/>
        <w:contextualSpacing/>
        <w:jc w:val="both"/>
        <w:rPr>
          <w:color w:val="000000" w:themeColor="text1"/>
          <w:sz w:val="28"/>
        </w:rPr>
      </w:pPr>
      <w:r w:rsidRPr="00792B36">
        <w:rPr>
          <w:rStyle w:val="Strong"/>
          <w:color w:val="000000" w:themeColor="text1"/>
          <w:sz w:val="24"/>
          <w:szCs w:val="32"/>
        </w:rPr>
        <w:t>Figure 2.9</w:t>
      </w:r>
      <w:r w:rsidRPr="00792B36">
        <w:rPr>
          <w:color w:val="000000" w:themeColor="text1"/>
          <w:sz w:val="24"/>
          <w:szCs w:val="32"/>
        </w:rPr>
        <w:t xml:space="preserve"> illustrates the progressive loss of Thailand’s natural and semi-natural vegetated land between 2005 and 2022. The indicator reports the loss as a percentage of the natural and semi-natural land area in the base year 2000, increasing from </w:t>
      </w:r>
      <w:r w:rsidRPr="00792B36">
        <w:rPr>
          <w:rStyle w:val="Strong"/>
          <w:color w:val="000000" w:themeColor="text1"/>
          <w:sz w:val="24"/>
          <w:szCs w:val="32"/>
        </w:rPr>
        <w:t>1.26% in 2005</w:t>
      </w:r>
      <w:r w:rsidRPr="00792B36">
        <w:rPr>
          <w:color w:val="000000" w:themeColor="text1"/>
          <w:sz w:val="24"/>
          <w:szCs w:val="32"/>
        </w:rPr>
        <w:t xml:space="preserve"> to </w:t>
      </w:r>
      <w:r w:rsidRPr="00792B36">
        <w:rPr>
          <w:rStyle w:val="Strong"/>
          <w:color w:val="000000" w:themeColor="text1"/>
          <w:sz w:val="24"/>
          <w:szCs w:val="32"/>
        </w:rPr>
        <w:t>2.13% in 2022</w:t>
      </w:r>
      <w:r w:rsidRPr="00792B36">
        <w:rPr>
          <w:color w:val="000000" w:themeColor="text1"/>
          <w:sz w:val="24"/>
          <w:szCs w:val="32"/>
        </w:rPr>
        <w:t>. This pattern suggests a continued conversion of vegetated land to other land uses over the period.</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020"/>
      </w:tblGrid>
      <w:tr w:rsidR="00BA713F" w:rsidRPr="00792B36" w14:paraId="0B2A25C7" w14:textId="77777777" w:rsidTr="0096560E">
        <w:tc>
          <w:tcPr>
            <w:tcW w:w="9350" w:type="dxa"/>
          </w:tcPr>
          <w:p w14:paraId="2A97587B" w14:textId="77777777" w:rsidR="00BA713F" w:rsidRPr="00792B36" w:rsidRDefault="00BA713F" w:rsidP="0096560E">
            <w:pPr>
              <w:spacing w:line="360" w:lineRule="auto"/>
              <w:contextualSpacing/>
              <w:jc w:val="center"/>
              <w:rPr>
                <w:color w:val="000000" w:themeColor="text1"/>
                <w:sz w:val="24"/>
                <w:szCs w:val="24"/>
              </w:rPr>
            </w:pPr>
            <w:r w:rsidRPr="00792B36">
              <w:rPr>
                <w:noProof/>
                <w:color w:val="000000" w:themeColor="text1"/>
                <w:sz w:val="24"/>
                <w:szCs w:val="24"/>
              </w:rPr>
              <w:drawing>
                <wp:inline distT="0" distB="0" distL="0" distR="0" wp14:anchorId="33D9A6D4" wp14:editId="6FFEA81F">
                  <wp:extent cx="5209309" cy="2389332"/>
                  <wp:effectExtent l="0" t="0" r="0" b="0"/>
                  <wp:docPr id="428794369" name="Picture 22" descr="A graph with a line going up&#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8794369" name="Picture 22" descr="A graph with a line going up&#10;&#10;AI-generated content may be incorrect."/>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5218845" cy="2393706"/>
                          </a:xfrm>
                          <a:prstGeom prst="rect">
                            <a:avLst/>
                          </a:prstGeom>
                          <a:noFill/>
                        </pic:spPr>
                      </pic:pic>
                    </a:graphicData>
                  </a:graphic>
                </wp:inline>
              </w:drawing>
            </w:r>
          </w:p>
        </w:tc>
      </w:tr>
      <w:tr w:rsidR="00BA713F" w:rsidRPr="00792B36" w14:paraId="456C791E" w14:textId="77777777" w:rsidTr="0096560E">
        <w:tc>
          <w:tcPr>
            <w:tcW w:w="9350" w:type="dxa"/>
          </w:tcPr>
          <w:p w14:paraId="6AF7F485" w14:textId="77777777" w:rsidR="00BA713F" w:rsidRPr="00792B36" w:rsidRDefault="00BA713F" w:rsidP="0096560E">
            <w:pPr>
              <w:spacing w:line="360" w:lineRule="auto"/>
              <w:contextualSpacing/>
              <w:rPr>
                <w:color w:val="000000" w:themeColor="text1"/>
                <w:sz w:val="24"/>
                <w:szCs w:val="24"/>
              </w:rPr>
            </w:pPr>
          </w:p>
        </w:tc>
      </w:tr>
      <w:tr w:rsidR="00BA713F" w:rsidRPr="00792B36" w14:paraId="2554CB76" w14:textId="77777777" w:rsidTr="0096560E">
        <w:tc>
          <w:tcPr>
            <w:tcW w:w="9350" w:type="dxa"/>
          </w:tcPr>
          <w:p w14:paraId="6D6F55D4" w14:textId="77777777" w:rsidR="00BA713F" w:rsidRPr="00792B36" w:rsidRDefault="00BA713F" w:rsidP="0096560E">
            <w:pPr>
              <w:spacing w:line="360" w:lineRule="auto"/>
              <w:contextualSpacing/>
              <w:jc w:val="center"/>
              <w:rPr>
                <w:color w:val="000000" w:themeColor="text1"/>
                <w:sz w:val="24"/>
                <w:szCs w:val="24"/>
              </w:rPr>
            </w:pPr>
            <w:r w:rsidRPr="00792B36">
              <w:rPr>
                <w:b/>
                <w:bCs/>
                <w:color w:val="000000" w:themeColor="text1"/>
                <w:sz w:val="24"/>
                <w:szCs w:val="24"/>
              </w:rPr>
              <w:t>Figure 2.9</w:t>
            </w:r>
            <w:r w:rsidRPr="00792B36">
              <w:rPr>
                <w:color w:val="000000" w:themeColor="text1"/>
                <w:sz w:val="24"/>
                <w:szCs w:val="24"/>
              </w:rPr>
              <w:t xml:space="preserve"> Loss of natural and semi-natural vegetated land in Thailand </w:t>
            </w:r>
          </w:p>
          <w:p w14:paraId="633C8F5D" w14:textId="77777777" w:rsidR="00BA713F" w:rsidRPr="00792B36" w:rsidRDefault="00BA713F" w:rsidP="0096560E">
            <w:pPr>
              <w:spacing w:line="360" w:lineRule="auto"/>
              <w:contextualSpacing/>
              <w:jc w:val="center"/>
              <w:rPr>
                <w:b/>
                <w:bCs/>
                <w:color w:val="000000" w:themeColor="text1"/>
                <w:sz w:val="24"/>
                <w:szCs w:val="24"/>
              </w:rPr>
            </w:pPr>
            <w:r w:rsidRPr="00792B36">
              <w:rPr>
                <w:color w:val="000000" w:themeColor="text1"/>
                <w:sz w:val="24"/>
                <w:szCs w:val="24"/>
              </w:rPr>
              <w:t>(2005, 2010, 2015, 2020, 2022)</w:t>
            </w:r>
          </w:p>
        </w:tc>
      </w:tr>
    </w:tbl>
    <w:p w14:paraId="410E3E31" w14:textId="77777777" w:rsidR="00BA713F" w:rsidRPr="00792B36" w:rsidRDefault="00BA713F" w:rsidP="00BA713F">
      <w:pPr>
        <w:pBdr>
          <w:top w:val="nil"/>
          <w:left w:val="nil"/>
          <w:bottom w:val="nil"/>
          <w:right w:val="nil"/>
          <w:between w:val="nil"/>
        </w:pBdr>
        <w:spacing w:line="360" w:lineRule="auto"/>
        <w:contextualSpacing/>
        <w:jc w:val="both"/>
        <w:rPr>
          <w:color w:val="000000" w:themeColor="text1"/>
          <w:sz w:val="20"/>
          <w:szCs w:val="20"/>
        </w:rPr>
      </w:pPr>
      <w:r w:rsidRPr="00792B36">
        <w:rPr>
          <w:color w:val="000000" w:themeColor="text1"/>
          <w:sz w:val="20"/>
          <w:szCs w:val="20"/>
        </w:rPr>
        <w:t xml:space="preserve">Source: </w:t>
      </w:r>
      <w:bookmarkStart w:id="7" w:name="_Hlk213613707"/>
      <w:r w:rsidRPr="00792B36">
        <w:rPr>
          <w:color w:val="000000" w:themeColor="text1"/>
          <w:sz w:val="20"/>
          <w:szCs w:val="20"/>
        </w:rPr>
        <w:t xml:space="preserve">OECD Data Explorer. 2025. Land cover and land change. </w:t>
      </w:r>
      <w:r w:rsidRPr="00792B36">
        <w:fldChar w:fldCharType="begin"/>
      </w:r>
      <w:r w:rsidRPr="00792B36">
        <w:instrText>HYPERLINK "https://data-explorer.oecd.org/"</w:instrText>
      </w:r>
      <w:r w:rsidRPr="00792B36">
        <w:fldChar w:fldCharType="separate"/>
      </w:r>
      <w:r w:rsidRPr="00792B36">
        <w:rPr>
          <w:rStyle w:val="Hyperlink"/>
          <w:color w:val="000000" w:themeColor="text1"/>
          <w:sz w:val="20"/>
          <w:szCs w:val="20"/>
        </w:rPr>
        <w:t>https://data-explorer.oecd.org/</w:t>
      </w:r>
      <w:r w:rsidRPr="00792B36">
        <w:fldChar w:fldCharType="end"/>
      </w:r>
      <w:r w:rsidRPr="00792B36">
        <w:rPr>
          <w:color w:val="000000" w:themeColor="text1"/>
          <w:sz w:val="20"/>
          <w:szCs w:val="20"/>
        </w:rPr>
        <w:t xml:space="preserve"> (accessed 25 May 2025)</w:t>
      </w:r>
    </w:p>
    <w:bookmarkEnd w:id="7"/>
    <w:p w14:paraId="5A74ACD9" w14:textId="77777777" w:rsidR="00BA713F" w:rsidRPr="00792B36" w:rsidRDefault="00BA713F" w:rsidP="00BA713F">
      <w:pPr>
        <w:pBdr>
          <w:top w:val="nil"/>
          <w:left w:val="nil"/>
          <w:bottom w:val="nil"/>
          <w:right w:val="nil"/>
          <w:between w:val="nil"/>
        </w:pBdr>
        <w:spacing w:line="360" w:lineRule="auto"/>
        <w:contextualSpacing/>
        <w:jc w:val="both"/>
        <w:rPr>
          <w:color w:val="000000" w:themeColor="text1"/>
          <w:sz w:val="24"/>
          <w:szCs w:val="24"/>
        </w:rPr>
      </w:pPr>
    </w:p>
    <w:p w14:paraId="4917F2DF" w14:textId="77777777" w:rsidR="00BA713F" w:rsidRPr="00792B36" w:rsidRDefault="00BA713F" w:rsidP="00BA713F">
      <w:pPr>
        <w:spacing w:line="360" w:lineRule="auto"/>
        <w:contextualSpacing/>
        <w:jc w:val="thaiDistribute"/>
        <w:rPr>
          <w:color w:val="000000" w:themeColor="text1"/>
          <w:sz w:val="24"/>
          <w:szCs w:val="24"/>
        </w:rPr>
      </w:pPr>
      <w:r w:rsidRPr="00792B36">
        <w:rPr>
          <w:b/>
          <w:bCs/>
          <w:color w:val="000000" w:themeColor="text1"/>
          <w:sz w:val="24"/>
          <w:szCs w:val="24"/>
        </w:rPr>
        <w:t>2.2.2 Human wellbeing</w:t>
      </w:r>
      <w:r w:rsidRPr="00792B36">
        <w:rPr>
          <w:color w:val="000000" w:themeColor="text1"/>
          <w:sz w:val="24"/>
          <w:szCs w:val="24"/>
        </w:rPr>
        <w:t xml:space="preserve"> </w:t>
      </w:r>
    </w:p>
    <w:p w14:paraId="36CD4063" w14:textId="77777777" w:rsidR="00BA713F" w:rsidRPr="00792B36" w:rsidRDefault="00BA713F" w:rsidP="00BA713F">
      <w:pPr>
        <w:spacing w:line="360" w:lineRule="auto"/>
        <w:contextualSpacing/>
        <w:jc w:val="thaiDistribute"/>
        <w:rPr>
          <w:color w:val="000000" w:themeColor="text1"/>
          <w:sz w:val="24"/>
          <w:szCs w:val="24"/>
        </w:rPr>
      </w:pPr>
    </w:p>
    <w:p w14:paraId="7B2BD49A" w14:textId="77777777" w:rsidR="00BA713F" w:rsidRPr="00792B36" w:rsidRDefault="00BA713F" w:rsidP="00BA713F">
      <w:pPr>
        <w:spacing w:line="360" w:lineRule="auto"/>
        <w:contextualSpacing/>
        <w:jc w:val="thaiDistribute"/>
        <w:rPr>
          <w:color w:val="000000" w:themeColor="text1"/>
          <w:sz w:val="24"/>
          <w:szCs w:val="24"/>
        </w:rPr>
      </w:pPr>
      <w:r w:rsidRPr="00792B36">
        <w:rPr>
          <w:color w:val="000000" w:themeColor="text1"/>
          <w:sz w:val="24"/>
          <w:szCs w:val="24"/>
        </w:rPr>
        <w:t xml:space="preserve">Poverty in coastal areas is a key indicator of vulnerability, particularly where communities depend on open-access ecosystems such as coastal fisheries, mangroves, and intertidal zones. While population size alone does not adequately reflect pressure, the number of poor residents provides a direct measure of subsistence dependence. National statistics from 2000 to 2020 reveal a significant reduction in those living below the poverty line, falling from approximately 25.7 million </w:t>
      </w:r>
      <w:r w:rsidRPr="00792B36">
        <w:rPr>
          <w:sz w:val="24"/>
          <w:szCs w:val="24"/>
        </w:rPr>
        <w:t xml:space="preserve">(41.7%) to 4.7 million (7.2%), representing an average annual reduction of 4.1% </w:t>
      </w:r>
      <w:r w:rsidRPr="00792B36">
        <w:rPr>
          <w:b/>
          <w:bCs/>
          <w:color w:val="000000" w:themeColor="text1"/>
          <w:sz w:val="24"/>
          <w:szCs w:val="24"/>
        </w:rPr>
        <w:lastRenderedPageBreak/>
        <w:t>(Figure 2.10)</w:t>
      </w:r>
      <w:r w:rsidRPr="00792B36">
        <w:rPr>
          <w:color w:val="000000" w:themeColor="text1"/>
          <w:sz w:val="24"/>
          <w:szCs w:val="24"/>
        </w:rPr>
        <w:t>. This positive trend reflects broader socioeconomic developments, including agricultural expansion and targeted government assistance via social protection schemes and improved access to public services. Together, these factors have contributed to a marked reduction in poverty and a consequent shift in natural resource dependence patterns in coastal regions.</w:t>
      </w:r>
    </w:p>
    <w:tbl>
      <w:tblPr>
        <w:tblStyle w:val="TableGrid"/>
        <w:tblW w:w="0" w:type="auto"/>
        <w:tblInd w:w="-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11"/>
        <w:gridCol w:w="4511"/>
      </w:tblGrid>
      <w:tr w:rsidR="00BA713F" w:rsidRPr="00792B36" w14:paraId="32F900E4" w14:textId="77777777" w:rsidTr="0096560E">
        <w:tc>
          <w:tcPr>
            <w:tcW w:w="4511" w:type="dxa"/>
          </w:tcPr>
          <w:p w14:paraId="5B881274" w14:textId="77777777" w:rsidR="00BA713F" w:rsidRPr="00792B36" w:rsidRDefault="00BA713F" w:rsidP="0096560E">
            <w:pPr>
              <w:spacing w:line="360" w:lineRule="auto"/>
              <w:contextualSpacing/>
              <w:jc w:val="center"/>
              <w:rPr>
                <w:color w:val="000000" w:themeColor="text1"/>
                <w:sz w:val="24"/>
                <w:szCs w:val="24"/>
              </w:rPr>
            </w:pPr>
            <w:bookmarkStart w:id="8" w:name="_Hlk215682698"/>
            <w:r w:rsidRPr="00792B36">
              <w:rPr>
                <w:noProof/>
                <w:color w:val="000000" w:themeColor="text1"/>
                <w:sz w:val="24"/>
                <w:szCs w:val="24"/>
              </w:rPr>
              <w:drawing>
                <wp:inline distT="0" distB="0" distL="0" distR="0" wp14:anchorId="58C9E4EB" wp14:editId="41760957">
                  <wp:extent cx="2520000" cy="1688373"/>
                  <wp:effectExtent l="0" t="0" r="0" b="7620"/>
                  <wp:docPr id="1240752491" name="Picture 1" descr="A graph with a red line and number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40752491" name="Picture 1" descr="A graph with a red line and numbers&#10;&#10;AI-generated content may be incorrect."/>
                          <pic:cNvPicPr>
                            <a:picLocks noChangeAspect="1" noChangeArrowheads="1"/>
                          </pic:cNvPicPr>
                        </pic:nvPicPr>
                        <pic:blipFill>
                          <a:blip r:embed="rId41" cstate="print">
                            <a:extLst>
                              <a:ext uri="{28A0092B-C50C-407E-A947-70E740481C1C}">
                                <a14:useLocalDpi xmlns:a14="http://schemas.microsoft.com/office/drawing/2010/main" val="0"/>
                              </a:ext>
                            </a:extLst>
                          </a:blip>
                          <a:srcRect/>
                          <a:stretch>
                            <a:fillRect/>
                          </a:stretch>
                        </pic:blipFill>
                        <pic:spPr bwMode="auto">
                          <a:xfrm>
                            <a:off x="0" y="0"/>
                            <a:ext cx="2520000" cy="1688373"/>
                          </a:xfrm>
                          <a:prstGeom prst="rect">
                            <a:avLst/>
                          </a:prstGeom>
                          <a:noFill/>
                        </pic:spPr>
                      </pic:pic>
                    </a:graphicData>
                  </a:graphic>
                </wp:inline>
              </w:drawing>
            </w:r>
          </w:p>
        </w:tc>
        <w:tc>
          <w:tcPr>
            <w:tcW w:w="4511" w:type="dxa"/>
          </w:tcPr>
          <w:p w14:paraId="0E38C562" w14:textId="77777777" w:rsidR="00BA713F" w:rsidRPr="00792B36" w:rsidRDefault="00BA713F" w:rsidP="0096560E">
            <w:pPr>
              <w:spacing w:line="360" w:lineRule="auto"/>
              <w:contextualSpacing/>
              <w:jc w:val="center"/>
              <w:rPr>
                <w:color w:val="000000" w:themeColor="text1"/>
                <w:sz w:val="24"/>
                <w:szCs w:val="24"/>
              </w:rPr>
            </w:pPr>
            <w:r w:rsidRPr="00792B36">
              <w:rPr>
                <w:noProof/>
                <w:color w:val="000000" w:themeColor="text1"/>
                <w:sz w:val="24"/>
                <w:szCs w:val="24"/>
              </w:rPr>
              <w:drawing>
                <wp:inline distT="0" distB="0" distL="0" distR="0" wp14:anchorId="02052AF6" wp14:editId="7A7A50AD">
                  <wp:extent cx="2520000" cy="1686115"/>
                  <wp:effectExtent l="0" t="0" r="0" b="0"/>
                  <wp:docPr id="94904734" name="Picture 2" descr="A graph with a red line and number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4904734" name="Picture 2" descr="A graph with a red line and numbers&#10;&#10;AI-generated content may be incorrect."/>
                          <pic:cNvPicPr>
                            <a:picLocks noChangeAspect="1" noChangeArrowheads="1"/>
                          </pic:cNvPicPr>
                        </pic:nvPicPr>
                        <pic:blipFill>
                          <a:blip r:embed="rId42" cstate="print">
                            <a:extLst>
                              <a:ext uri="{28A0092B-C50C-407E-A947-70E740481C1C}">
                                <a14:useLocalDpi xmlns:a14="http://schemas.microsoft.com/office/drawing/2010/main" val="0"/>
                              </a:ext>
                            </a:extLst>
                          </a:blip>
                          <a:srcRect/>
                          <a:stretch>
                            <a:fillRect/>
                          </a:stretch>
                        </pic:blipFill>
                        <pic:spPr bwMode="auto">
                          <a:xfrm>
                            <a:off x="0" y="0"/>
                            <a:ext cx="2520000" cy="1686115"/>
                          </a:xfrm>
                          <a:prstGeom prst="rect">
                            <a:avLst/>
                          </a:prstGeom>
                          <a:noFill/>
                        </pic:spPr>
                      </pic:pic>
                    </a:graphicData>
                  </a:graphic>
                </wp:inline>
              </w:drawing>
            </w:r>
          </w:p>
        </w:tc>
      </w:tr>
      <w:tr w:rsidR="00BA713F" w:rsidRPr="00792B36" w14:paraId="4F73AFE1" w14:textId="77777777" w:rsidTr="0096560E">
        <w:tc>
          <w:tcPr>
            <w:tcW w:w="9022" w:type="dxa"/>
            <w:gridSpan w:val="2"/>
          </w:tcPr>
          <w:p w14:paraId="15A3FED3" w14:textId="77777777" w:rsidR="00BA713F" w:rsidRPr="00792B36" w:rsidRDefault="00BA713F" w:rsidP="0096560E">
            <w:pPr>
              <w:spacing w:line="360" w:lineRule="auto"/>
              <w:contextualSpacing/>
              <w:jc w:val="center"/>
              <w:rPr>
                <w:color w:val="000000" w:themeColor="text1"/>
                <w:spacing w:val="-6"/>
                <w:sz w:val="24"/>
                <w:szCs w:val="24"/>
                <w:cs/>
              </w:rPr>
            </w:pPr>
            <w:r w:rsidRPr="00792B36">
              <w:rPr>
                <w:b/>
                <w:bCs/>
                <w:color w:val="000000" w:themeColor="text1"/>
                <w:spacing w:val="-6"/>
                <w:sz w:val="24"/>
                <w:szCs w:val="24"/>
              </w:rPr>
              <w:t xml:space="preserve">Figure 2.10 </w:t>
            </w:r>
            <w:r w:rsidRPr="00792B36">
              <w:rPr>
                <w:color w:val="000000" w:themeColor="text1"/>
                <w:spacing w:val="-6"/>
                <w:sz w:val="24"/>
                <w:szCs w:val="24"/>
              </w:rPr>
              <w:t>Poor people of Thailand and Bangkok province (2000, 2006, 2010, 2020)</w:t>
            </w:r>
          </w:p>
        </w:tc>
      </w:tr>
    </w:tbl>
    <w:bookmarkEnd w:id="8"/>
    <w:p w14:paraId="242F32AA" w14:textId="77777777" w:rsidR="00BA713F" w:rsidRPr="00792B36" w:rsidRDefault="00BA713F" w:rsidP="00BA713F">
      <w:pPr>
        <w:pBdr>
          <w:top w:val="nil"/>
          <w:left w:val="nil"/>
          <w:bottom w:val="nil"/>
          <w:right w:val="nil"/>
          <w:between w:val="nil"/>
        </w:pBdr>
        <w:spacing w:line="360" w:lineRule="auto"/>
        <w:contextualSpacing/>
        <w:jc w:val="both"/>
        <w:rPr>
          <w:color w:val="000000" w:themeColor="text1"/>
          <w:sz w:val="20"/>
          <w:szCs w:val="20"/>
        </w:rPr>
      </w:pPr>
      <w:r w:rsidRPr="00792B36">
        <w:rPr>
          <w:color w:val="000000" w:themeColor="text1"/>
          <w:sz w:val="20"/>
          <w:szCs w:val="20"/>
        </w:rPr>
        <w:t xml:space="preserve">Source: </w:t>
      </w:r>
      <w:bookmarkStart w:id="9" w:name="_Hlk213613750"/>
      <w:r w:rsidRPr="00792B36">
        <w:rPr>
          <w:color w:val="000000" w:themeColor="text1"/>
          <w:sz w:val="20"/>
          <w:szCs w:val="20"/>
        </w:rPr>
        <w:t xml:space="preserve">Office of the National Economic and Social Development Council. 2025. Household Socio-Economic Survey by the National Statistical Office; compiled by the Division of Social Data and Indicators Development, NESDC. </w:t>
      </w:r>
      <w:r w:rsidRPr="00792B36">
        <w:fldChar w:fldCharType="begin"/>
      </w:r>
      <w:r w:rsidRPr="00792B36">
        <w:instrText>HYPERLINK "https://www.nesdc.go.th/main.php?filename=social"</w:instrText>
      </w:r>
      <w:r w:rsidRPr="00792B36">
        <w:fldChar w:fldCharType="separate"/>
      </w:r>
      <w:r w:rsidRPr="00792B36">
        <w:rPr>
          <w:rStyle w:val="Hyperlink"/>
          <w:color w:val="000000" w:themeColor="text1"/>
          <w:sz w:val="20"/>
          <w:szCs w:val="20"/>
        </w:rPr>
        <w:t>https://www.nesdc.go.th/main.php?filename=social</w:t>
      </w:r>
      <w:r w:rsidRPr="00792B36">
        <w:fldChar w:fldCharType="end"/>
      </w:r>
      <w:r w:rsidRPr="00792B36">
        <w:rPr>
          <w:color w:val="000000" w:themeColor="text1"/>
          <w:sz w:val="20"/>
          <w:szCs w:val="20"/>
          <w:cs/>
        </w:rPr>
        <w:t xml:space="preserve"> </w:t>
      </w:r>
      <w:r w:rsidRPr="00792B36">
        <w:rPr>
          <w:color w:val="000000" w:themeColor="text1"/>
          <w:sz w:val="20"/>
          <w:szCs w:val="20"/>
        </w:rPr>
        <w:t>(accessed 22 April 2025)</w:t>
      </w:r>
    </w:p>
    <w:bookmarkEnd w:id="9"/>
    <w:p w14:paraId="41B77B20" w14:textId="77777777" w:rsidR="00BA713F" w:rsidRPr="00792B36" w:rsidRDefault="00BA713F" w:rsidP="00BA713F">
      <w:pPr>
        <w:spacing w:line="360" w:lineRule="auto"/>
        <w:contextualSpacing/>
        <w:jc w:val="thaiDistribute"/>
        <w:rPr>
          <w:color w:val="000000" w:themeColor="text1"/>
          <w:sz w:val="24"/>
          <w:szCs w:val="24"/>
          <w:cs/>
        </w:rPr>
      </w:pPr>
    </w:p>
    <w:p w14:paraId="36FB4C86" w14:textId="77777777" w:rsidR="00BA713F" w:rsidRPr="00792B36" w:rsidRDefault="00BA713F" w:rsidP="00BA713F">
      <w:pPr>
        <w:spacing w:line="360" w:lineRule="auto"/>
        <w:contextualSpacing/>
        <w:jc w:val="thaiDistribute"/>
        <w:rPr>
          <w:color w:val="000000" w:themeColor="text1"/>
          <w:sz w:val="24"/>
          <w:szCs w:val="24"/>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020"/>
      </w:tblGrid>
      <w:tr w:rsidR="00BA713F" w:rsidRPr="00792B36" w14:paraId="3D26E0E6" w14:textId="77777777" w:rsidTr="0096560E">
        <w:tc>
          <w:tcPr>
            <w:tcW w:w="9027" w:type="dxa"/>
          </w:tcPr>
          <w:p w14:paraId="61B3789C" w14:textId="77777777" w:rsidR="00BA713F" w:rsidRPr="00792B36" w:rsidRDefault="00BA713F" w:rsidP="0096560E">
            <w:pPr>
              <w:spacing w:line="360" w:lineRule="auto"/>
              <w:contextualSpacing/>
              <w:jc w:val="thaiDistribute"/>
              <w:rPr>
                <w:color w:val="000000" w:themeColor="text1"/>
                <w:sz w:val="24"/>
                <w:szCs w:val="24"/>
              </w:rPr>
            </w:pPr>
            <w:r w:rsidRPr="00792B36">
              <w:rPr>
                <w:noProof/>
                <w:color w:val="000000" w:themeColor="text1"/>
                <w:sz w:val="24"/>
                <w:szCs w:val="24"/>
              </w:rPr>
              <w:drawing>
                <wp:inline distT="0" distB="0" distL="0" distR="0" wp14:anchorId="11BB8FDF" wp14:editId="7B0B459B">
                  <wp:extent cx="5580000" cy="816837"/>
                  <wp:effectExtent l="0" t="0" r="1905" b="2540"/>
                  <wp:docPr id="639136184" name="Picture 24" descr="A red line with black text&#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39136184" name="Picture 24" descr="A red line with black text&#10;&#10;AI-generated content may be incorrect."/>
                          <pic:cNvPicPr>
                            <a:picLocks noChangeAspect="1" noChangeArrowheads="1"/>
                          </pic:cNvPicPr>
                        </pic:nvPicPr>
                        <pic:blipFill>
                          <a:blip r:embed="rId43" cstate="print">
                            <a:extLst>
                              <a:ext uri="{28A0092B-C50C-407E-A947-70E740481C1C}">
                                <a14:useLocalDpi xmlns:a14="http://schemas.microsoft.com/office/drawing/2010/main" val="0"/>
                              </a:ext>
                            </a:extLst>
                          </a:blip>
                          <a:srcRect/>
                          <a:stretch>
                            <a:fillRect/>
                          </a:stretch>
                        </pic:blipFill>
                        <pic:spPr bwMode="auto">
                          <a:xfrm>
                            <a:off x="0" y="0"/>
                            <a:ext cx="5580000" cy="816837"/>
                          </a:xfrm>
                          <a:prstGeom prst="rect">
                            <a:avLst/>
                          </a:prstGeom>
                          <a:noFill/>
                        </pic:spPr>
                      </pic:pic>
                    </a:graphicData>
                  </a:graphic>
                </wp:inline>
              </w:drawing>
            </w:r>
          </w:p>
        </w:tc>
      </w:tr>
      <w:tr w:rsidR="00BA713F" w:rsidRPr="00792B36" w14:paraId="5646F7BC" w14:textId="77777777" w:rsidTr="0096560E">
        <w:tc>
          <w:tcPr>
            <w:tcW w:w="9027" w:type="dxa"/>
          </w:tcPr>
          <w:p w14:paraId="178EA46F" w14:textId="77777777" w:rsidR="00BA713F" w:rsidRPr="00792B36" w:rsidRDefault="00BA713F" w:rsidP="0096560E">
            <w:pPr>
              <w:spacing w:line="360" w:lineRule="auto"/>
              <w:contextualSpacing/>
              <w:jc w:val="thaiDistribute"/>
              <w:rPr>
                <w:color w:val="000000" w:themeColor="text1"/>
                <w:sz w:val="24"/>
                <w:szCs w:val="24"/>
              </w:rPr>
            </w:pPr>
          </w:p>
        </w:tc>
      </w:tr>
      <w:tr w:rsidR="00BA713F" w:rsidRPr="00792B36" w14:paraId="7E3A677E" w14:textId="77777777" w:rsidTr="0096560E">
        <w:tc>
          <w:tcPr>
            <w:tcW w:w="9027" w:type="dxa"/>
          </w:tcPr>
          <w:p w14:paraId="7B9AD716" w14:textId="77777777" w:rsidR="00BA713F" w:rsidRPr="00792B36" w:rsidRDefault="00BA713F" w:rsidP="0096560E">
            <w:pPr>
              <w:spacing w:line="360" w:lineRule="auto"/>
              <w:contextualSpacing/>
              <w:jc w:val="thaiDistribute"/>
              <w:rPr>
                <w:color w:val="000000" w:themeColor="text1"/>
                <w:sz w:val="24"/>
                <w:szCs w:val="24"/>
              </w:rPr>
            </w:pPr>
            <w:r w:rsidRPr="00792B36">
              <w:rPr>
                <w:noProof/>
                <w:color w:val="000000" w:themeColor="text1"/>
                <w:sz w:val="24"/>
                <w:szCs w:val="24"/>
              </w:rPr>
              <w:drawing>
                <wp:inline distT="0" distB="0" distL="0" distR="0" wp14:anchorId="6CD0F00C" wp14:editId="5F1E1909">
                  <wp:extent cx="5580000" cy="817103"/>
                  <wp:effectExtent l="0" t="0" r="1905" b="2540"/>
                  <wp:docPr id="1603590318" name="Picture 25" descr="A graph with numbers and a red line&#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03590318" name="Picture 25" descr="A graph with numbers and a red line&#10;&#10;AI-generated content may be incorrect."/>
                          <pic:cNvPicPr>
                            <a:picLocks noChangeAspect="1" noChangeArrowheads="1"/>
                          </pic:cNvPicPr>
                        </pic:nvPicPr>
                        <pic:blipFill>
                          <a:blip r:embed="rId44" cstate="print">
                            <a:extLst>
                              <a:ext uri="{28A0092B-C50C-407E-A947-70E740481C1C}">
                                <a14:useLocalDpi xmlns:a14="http://schemas.microsoft.com/office/drawing/2010/main" val="0"/>
                              </a:ext>
                            </a:extLst>
                          </a:blip>
                          <a:srcRect/>
                          <a:stretch>
                            <a:fillRect/>
                          </a:stretch>
                        </pic:blipFill>
                        <pic:spPr bwMode="auto">
                          <a:xfrm>
                            <a:off x="0" y="0"/>
                            <a:ext cx="5580000" cy="817103"/>
                          </a:xfrm>
                          <a:prstGeom prst="rect">
                            <a:avLst/>
                          </a:prstGeom>
                          <a:noFill/>
                        </pic:spPr>
                      </pic:pic>
                    </a:graphicData>
                  </a:graphic>
                </wp:inline>
              </w:drawing>
            </w:r>
          </w:p>
        </w:tc>
      </w:tr>
      <w:tr w:rsidR="00BA713F" w:rsidRPr="00792B36" w14:paraId="414A04A4" w14:textId="77777777" w:rsidTr="0096560E">
        <w:tc>
          <w:tcPr>
            <w:tcW w:w="9027" w:type="dxa"/>
          </w:tcPr>
          <w:p w14:paraId="21A13A65" w14:textId="77777777" w:rsidR="00BA713F" w:rsidRPr="00792B36" w:rsidRDefault="00BA713F" w:rsidP="0096560E">
            <w:pPr>
              <w:spacing w:line="360" w:lineRule="auto"/>
              <w:contextualSpacing/>
              <w:jc w:val="thaiDistribute"/>
              <w:rPr>
                <w:noProof/>
                <w:color w:val="000000" w:themeColor="text1"/>
                <w:sz w:val="24"/>
                <w:szCs w:val="24"/>
              </w:rPr>
            </w:pPr>
          </w:p>
        </w:tc>
      </w:tr>
      <w:tr w:rsidR="00BA713F" w:rsidRPr="00792B36" w14:paraId="68DDC416" w14:textId="77777777" w:rsidTr="0096560E">
        <w:tc>
          <w:tcPr>
            <w:tcW w:w="9027" w:type="dxa"/>
          </w:tcPr>
          <w:p w14:paraId="4FA0DA26" w14:textId="77777777" w:rsidR="00BA713F" w:rsidRPr="00792B36" w:rsidRDefault="00BA713F" w:rsidP="0096560E">
            <w:pPr>
              <w:spacing w:line="360" w:lineRule="auto"/>
              <w:contextualSpacing/>
              <w:jc w:val="thaiDistribute"/>
              <w:rPr>
                <w:noProof/>
                <w:color w:val="000000" w:themeColor="text1"/>
                <w:sz w:val="24"/>
                <w:szCs w:val="24"/>
              </w:rPr>
            </w:pPr>
            <w:r w:rsidRPr="00792B36">
              <w:rPr>
                <w:noProof/>
                <w:color w:val="000000" w:themeColor="text1"/>
                <w:sz w:val="24"/>
                <w:szCs w:val="24"/>
              </w:rPr>
              <w:drawing>
                <wp:inline distT="0" distB="0" distL="0" distR="0" wp14:anchorId="63770CF0" wp14:editId="0BD4BAB4">
                  <wp:extent cx="5580000" cy="816837"/>
                  <wp:effectExtent l="0" t="0" r="1905" b="2540"/>
                  <wp:docPr id="901867526" name="Picture 1" descr="A graph of a number of number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01867526" name="Picture 1" descr="A graph of a number of numbers&#10;&#10;AI-generated content may be incorrect."/>
                          <pic:cNvPicPr>
                            <a:picLocks noChangeAspect="1" noChangeArrowheads="1"/>
                          </pic:cNvPicPr>
                        </pic:nvPicPr>
                        <pic:blipFill>
                          <a:blip r:embed="rId45" cstate="print">
                            <a:extLst>
                              <a:ext uri="{28A0092B-C50C-407E-A947-70E740481C1C}">
                                <a14:useLocalDpi xmlns:a14="http://schemas.microsoft.com/office/drawing/2010/main" val="0"/>
                              </a:ext>
                            </a:extLst>
                          </a:blip>
                          <a:srcRect/>
                          <a:stretch>
                            <a:fillRect/>
                          </a:stretch>
                        </pic:blipFill>
                        <pic:spPr bwMode="auto">
                          <a:xfrm>
                            <a:off x="0" y="0"/>
                            <a:ext cx="5580000" cy="816837"/>
                          </a:xfrm>
                          <a:prstGeom prst="rect">
                            <a:avLst/>
                          </a:prstGeom>
                          <a:noFill/>
                        </pic:spPr>
                      </pic:pic>
                    </a:graphicData>
                  </a:graphic>
                </wp:inline>
              </w:drawing>
            </w:r>
          </w:p>
        </w:tc>
      </w:tr>
      <w:tr w:rsidR="00BA713F" w:rsidRPr="00792B36" w14:paraId="23B3D706" w14:textId="77777777" w:rsidTr="0096560E">
        <w:tc>
          <w:tcPr>
            <w:tcW w:w="9027" w:type="dxa"/>
          </w:tcPr>
          <w:p w14:paraId="1EB8697E" w14:textId="77777777" w:rsidR="00BA713F" w:rsidRPr="00792B36" w:rsidRDefault="00BA713F" w:rsidP="0096560E">
            <w:pPr>
              <w:spacing w:line="360" w:lineRule="auto"/>
              <w:contextualSpacing/>
              <w:jc w:val="thaiDistribute"/>
              <w:rPr>
                <w:noProof/>
                <w:color w:val="000000" w:themeColor="text1"/>
                <w:sz w:val="24"/>
                <w:szCs w:val="24"/>
              </w:rPr>
            </w:pPr>
          </w:p>
        </w:tc>
      </w:tr>
      <w:tr w:rsidR="00BA713F" w:rsidRPr="00792B36" w14:paraId="2DD1DF24" w14:textId="77777777" w:rsidTr="0096560E">
        <w:tc>
          <w:tcPr>
            <w:tcW w:w="9027" w:type="dxa"/>
          </w:tcPr>
          <w:p w14:paraId="454CC943" w14:textId="77777777" w:rsidR="00BA713F" w:rsidRPr="00792B36" w:rsidRDefault="00BA713F" w:rsidP="0096560E">
            <w:pPr>
              <w:spacing w:line="360" w:lineRule="auto"/>
              <w:contextualSpacing/>
              <w:jc w:val="center"/>
              <w:rPr>
                <w:color w:val="000000" w:themeColor="text1"/>
                <w:spacing w:val="-6"/>
                <w:sz w:val="24"/>
                <w:szCs w:val="24"/>
                <w:cs/>
              </w:rPr>
            </w:pPr>
            <w:r w:rsidRPr="00792B36">
              <w:rPr>
                <w:b/>
                <w:bCs/>
                <w:color w:val="000000" w:themeColor="text1"/>
                <w:spacing w:val="-6"/>
                <w:sz w:val="24"/>
                <w:szCs w:val="24"/>
              </w:rPr>
              <w:t xml:space="preserve">Figure 2.11 </w:t>
            </w:r>
            <w:r w:rsidRPr="00792B36">
              <w:rPr>
                <w:color w:val="000000" w:themeColor="text1"/>
                <w:spacing w:val="-6"/>
                <w:sz w:val="24"/>
                <w:szCs w:val="24"/>
              </w:rPr>
              <w:t>Poor people in coastal provinces along the Gulf of Thailand (2000, 2006, 2010, 2020)</w:t>
            </w:r>
          </w:p>
        </w:tc>
      </w:tr>
    </w:tbl>
    <w:p w14:paraId="676A2CB6" w14:textId="77777777" w:rsidR="00BA713F" w:rsidRPr="00792B36" w:rsidRDefault="00BA713F" w:rsidP="00BA713F">
      <w:pPr>
        <w:pBdr>
          <w:top w:val="nil"/>
          <w:left w:val="nil"/>
          <w:bottom w:val="nil"/>
          <w:right w:val="nil"/>
          <w:between w:val="nil"/>
        </w:pBdr>
        <w:spacing w:line="360" w:lineRule="auto"/>
        <w:contextualSpacing/>
        <w:jc w:val="both"/>
        <w:rPr>
          <w:color w:val="000000" w:themeColor="text1"/>
          <w:sz w:val="20"/>
          <w:szCs w:val="20"/>
        </w:rPr>
      </w:pPr>
      <w:r w:rsidRPr="00792B36">
        <w:rPr>
          <w:color w:val="000000" w:themeColor="text1"/>
          <w:sz w:val="20"/>
          <w:szCs w:val="20"/>
        </w:rPr>
        <w:lastRenderedPageBreak/>
        <w:t xml:space="preserve">Source: Office of the National Economic and Social Development Council. 2025. Household Socio-Economic Survey by the National Statistical Office; compiled by the Division of Social Data and Indicators Development, NESDC. </w:t>
      </w:r>
      <w:r w:rsidRPr="00792B36">
        <w:fldChar w:fldCharType="begin"/>
      </w:r>
      <w:r w:rsidRPr="00792B36">
        <w:instrText>HYPERLINK "https://www.nesdc.go.th/main.php?filename=social"</w:instrText>
      </w:r>
      <w:r w:rsidRPr="00792B36">
        <w:fldChar w:fldCharType="separate"/>
      </w:r>
      <w:r w:rsidRPr="00792B36">
        <w:rPr>
          <w:rStyle w:val="Hyperlink"/>
          <w:color w:val="000000" w:themeColor="text1"/>
          <w:sz w:val="20"/>
          <w:szCs w:val="20"/>
        </w:rPr>
        <w:t>https://www.nesdc.go.th/main.php?filename=social</w:t>
      </w:r>
      <w:r w:rsidRPr="00792B36">
        <w:fldChar w:fldCharType="end"/>
      </w:r>
      <w:r w:rsidRPr="00792B36">
        <w:rPr>
          <w:color w:val="000000" w:themeColor="text1"/>
          <w:sz w:val="20"/>
          <w:szCs w:val="20"/>
          <w:cs/>
        </w:rPr>
        <w:t xml:space="preserve"> </w:t>
      </w:r>
      <w:r w:rsidRPr="00792B36">
        <w:rPr>
          <w:color w:val="000000" w:themeColor="text1"/>
          <w:sz w:val="20"/>
          <w:szCs w:val="20"/>
        </w:rPr>
        <w:t>(accessed 22 April 2025)</w:t>
      </w:r>
    </w:p>
    <w:p w14:paraId="6F422AA4" w14:textId="77777777" w:rsidR="00BA713F" w:rsidRPr="00792B36" w:rsidRDefault="00BA713F" w:rsidP="00BA713F">
      <w:pPr>
        <w:pBdr>
          <w:top w:val="nil"/>
          <w:left w:val="nil"/>
          <w:bottom w:val="nil"/>
          <w:right w:val="nil"/>
          <w:between w:val="nil"/>
        </w:pBdr>
        <w:spacing w:line="360" w:lineRule="auto"/>
        <w:contextualSpacing/>
        <w:jc w:val="both"/>
        <w:rPr>
          <w:color w:val="000000" w:themeColor="text1"/>
          <w:sz w:val="20"/>
          <w:szCs w:val="20"/>
        </w:rPr>
      </w:pPr>
    </w:p>
    <w:p w14:paraId="586ABE54" w14:textId="77777777" w:rsidR="00BA713F" w:rsidRPr="00792B36" w:rsidRDefault="00BA713F" w:rsidP="00BA713F">
      <w:pPr>
        <w:spacing w:line="360" w:lineRule="auto"/>
        <w:contextualSpacing/>
        <w:jc w:val="thaiDistribute"/>
        <w:rPr>
          <w:color w:val="000000" w:themeColor="text1"/>
          <w:sz w:val="24"/>
          <w:szCs w:val="24"/>
        </w:rPr>
      </w:pPr>
      <w:r w:rsidRPr="00792B36">
        <w:rPr>
          <w:color w:val="000000" w:themeColor="text1"/>
          <w:sz w:val="24"/>
          <w:szCs w:val="24"/>
        </w:rPr>
        <w:t>Data from the 17 coastal provinces shows significant but unequal progress in reducing poverty</w:t>
      </w:r>
      <w:r w:rsidRPr="00792B36">
        <w:rPr>
          <w:b/>
          <w:bCs/>
          <w:color w:val="000000" w:themeColor="text1"/>
          <w:sz w:val="24"/>
          <w:szCs w:val="24"/>
        </w:rPr>
        <w:t xml:space="preserve"> (Figure 2.11)</w:t>
      </w:r>
      <w:r w:rsidRPr="00792B36">
        <w:rPr>
          <w:color w:val="000000" w:themeColor="text1"/>
          <w:sz w:val="24"/>
          <w:szCs w:val="24"/>
        </w:rPr>
        <w:t>. Industrial hubs like Rayong, Chonburi, and Samut Prakan achieved dramatic declines driven by the Eastern Economic Corridor (EEC), with Rayong’s poor population dropping over 96% to just 4,900. Bangkok also saw significant improvement, falling to 44,100. Conversely, southern provinces face persistent poverty where Pattani saw only slight improvement to 285,400 and Narathiwat recorded over 182,000, reflecting complex local issues. These regional differences are critical as high poverty often correlates with reliance on fragile ecosystems.</w:t>
      </w:r>
    </w:p>
    <w:p w14:paraId="121473CF" w14:textId="77777777" w:rsidR="00BA713F" w:rsidRPr="00792B36" w:rsidRDefault="00BA713F" w:rsidP="00BA713F">
      <w:pPr>
        <w:spacing w:line="360" w:lineRule="auto"/>
        <w:contextualSpacing/>
        <w:jc w:val="thaiDistribute"/>
        <w:rPr>
          <w:color w:val="000000" w:themeColor="text1"/>
          <w:sz w:val="24"/>
          <w:szCs w:val="24"/>
        </w:rPr>
      </w:pPr>
    </w:p>
    <w:p w14:paraId="35AB9721" w14:textId="77777777" w:rsidR="00BA713F" w:rsidRPr="00792B36" w:rsidRDefault="00BA713F" w:rsidP="00BA713F">
      <w:pPr>
        <w:spacing w:line="360" w:lineRule="auto"/>
        <w:contextualSpacing/>
        <w:jc w:val="thaiDistribute"/>
        <w:rPr>
          <w:color w:val="000000" w:themeColor="text1"/>
          <w:sz w:val="24"/>
          <w:szCs w:val="24"/>
        </w:rPr>
      </w:pPr>
      <w:r w:rsidRPr="00792B36">
        <w:rPr>
          <w:color w:val="000000" w:themeColor="text1"/>
          <w:sz w:val="24"/>
          <w:szCs w:val="24"/>
        </w:rPr>
        <w:t>Regarding SDG 1, Thailand is broadly on track to end extreme poverty by 2030 provided social protection continues. However, progress varies significantly. While industrial coastal provinces may meet targets early, persistent poverty in Pattani and Narathiwat requires area-specific, conflict-sensitive, and livelihood-diversification measures. Without such interventions, Thailand risks meeting SDG 1 nationally while retaining significant coastal pockets of poverty.</w:t>
      </w:r>
    </w:p>
    <w:p w14:paraId="12D1990B" w14:textId="77777777" w:rsidR="00BA713F" w:rsidRPr="00792B36" w:rsidRDefault="00BA713F" w:rsidP="00BA713F">
      <w:pPr>
        <w:spacing w:line="360" w:lineRule="auto"/>
        <w:contextualSpacing/>
        <w:jc w:val="thaiDistribute"/>
        <w:rPr>
          <w:color w:val="000000" w:themeColor="text1"/>
          <w:sz w:val="24"/>
          <w:szCs w:val="24"/>
        </w:rPr>
      </w:pPr>
    </w:p>
    <w:p w14:paraId="0DE8FC7D" w14:textId="77777777" w:rsidR="00BA713F" w:rsidRPr="00792B36" w:rsidRDefault="00BA713F" w:rsidP="00BA713F">
      <w:pPr>
        <w:spacing w:line="360" w:lineRule="auto"/>
        <w:contextualSpacing/>
        <w:jc w:val="thaiDistribute"/>
        <w:rPr>
          <w:b/>
          <w:bCs/>
          <w:color w:val="000000" w:themeColor="text1"/>
          <w:sz w:val="24"/>
          <w:szCs w:val="24"/>
        </w:rPr>
      </w:pPr>
      <w:r w:rsidRPr="00792B36">
        <w:rPr>
          <w:b/>
          <w:bCs/>
          <w:color w:val="000000" w:themeColor="text1"/>
          <w:sz w:val="24"/>
          <w:szCs w:val="24"/>
        </w:rPr>
        <w:t>Contemporary Human Development Index (HDI)</w:t>
      </w:r>
    </w:p>
    <w:p w14:paraId="3E2AF172" w14:textId="77777777" w:rsidR="00BA713F" w:rsidRPr="00792B36" w:rsidRDefault="00BA713F" w:rsidP="00BA713F">
      <w:pPr>
        <w:spacing w:line="360" w:lineRule="auto"/>
        <w:contextualSpacing/>
        <w:jc w:val="thaiDistribute"/>
        <w:rPr>
          <w:color w:val="000000" w:themeColor="text1"/>
          <w:sz w:val="24"/>
          <w:szCs w:val="24"/>
        </w:rPr>
      </w:pPr>
      <w:r w:rsidRPr="00792B36">
        <w:rPr>
          <w:color w:val="000000" w:themeColor="text1"/>
          <w:sz w:val="24"/>
          <w:szCs w:val="24"/>
        </w:rPr>
        <w:t xml:space="preserve">Thailand’s HDI has shown steady progress over the past three decades, rising from 0.584 in 1990 to 0.742 by 2010 due to improvements in life expectancy, education attainment, and gross national income per capita </w:t>
      </w:r>
      <w:r w:rsidRPr="00792B36">
        <w:rPr>
          <w:b/>
          <w:bCs/>
          <w:color w:val="000000" w:themeColor="text1"/>
          <w:sz w:val="24"/>
          <w:szCs w:val="24"/>
        </w:rPr>
        <w:t>(Figure 2.12)</w:t>
      </w:r>
      <w:r w:rsidRPr="00792B36">
        <w:rPr>
          <w:color w:val="000000" w:themeColor="text1"/>
          <w:sz w:val="24"/>
          <w:szCs w:val="24"/>
        </w:rPr>
        <w:t>. The index reached 0.800 in 2021 before experiencing a slight dip to 0.792 in 2022 and subsequently recovering to 0.798 in 2023.</w:t>
      </w:r>
    </w:p>
    <w:tbl>
      <w:tblPr>
        <w:tblStyle w:val="TableGrid"/>
        <w:tblW w:w="0" w:type="auto"/>
        <w:tblInd w:w="-1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
        <w:gridCol w:w="9012"/>
        <w:gridCol w:w="9"/>
      </w:tblGrid>
      <w:tr w:rsidR="00BA713F" w:rsidRPr="00792B36" w14:paraId="388201E2" w14:textId="77777777" w:rsidTr="0096560E">
        <w:trPr>
          <w:gridBefore w:val="1"/>
          <w:wBefore w:w="10" w:type="dxa"/>
        </w:trPr>
        <w:tc>
          <w:tcPr>
            <w:tcW w:w="9350" w:type="dxa"/>
            <w:gridSpan w:val="2"/>
          </w:tcPr>
          <w:p w14:paraId="107D786F" w14:textId="77777777" w:rsidR="00BA713F" w:rsidRPr="00792B36" w:rsidRDefault="00BA713F" w:rsidP="0096560E">
            <w:pPr>
              <w:spacing w:line="360" w:lineRule="auto"/>
              <w:contextualSpacing/>
              <w:jc w:val="center"/>
              <w:rPr>
                <w:color w:val="000000" w:themeColor="text1"/>
                <w:sz w:val="24"/>
                <w:szCs w:val="24"/>
              </w:rPr>
            </w:pPr>
            <w:r w:rsidRPr="00792B36">
              <w:rPr>
                <w:noProof/>
                <w:color w:val="000000" w:themeColor="text1"/>
                <w:sz w:val="24"/>
                <w:szCs w:val="24"/>
              </w:rPr>
              <w:lastRenderedPageBreak/>
              <w:drawing>
                <wp:inline distT="0" distB="0" distL="0" distR="0" wp14:anchorId="2FBBE252" wp14:editId="19AE59AB">
                  <wp:extent cx="5040000" cy="2780857"/>
                  <wp:effectExtent l="0" t="0" r="8255" b="635"/>
                  <wp:docPr id="669162210" name="Picture 33" descr="A graph of numbers and a bar&#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69162210" name="Picture 33" descr="A graph of numbers and a bar&#10;&#10;AI-generated content may be incorrect."/>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5040000" cy="2780857"/>
                          </a:xfrm>
                          <a:prstGeom prst="rect">
                            <a:avLst/>
                          </a:prstGeom>
                          <a:noFill/>
                        </pic:spPr>
                      </pic:pic>
                    </a:graphicData>
                  </a:graphic>
                </wp:inline>
              </w:drawing>
            </w:r>
          </w:p>
        </w:tc>
      </w:tr>
      <w:tr w:rsidR="00BA713F" w:rsidRPr="00792B36" w14:paraId="7F127686" w14:textId="77777777" w:rsidTr="0096560E">
        <w:trPr>
          <w:gridBefore w:val="1"/>
          <w:wBefore w:w="10" w:type="dxa"/>
        </w:trPr>
        <w:tc>
          <w:tcPr>
            <w:tcW w:w="9350" w:type="dxa"/>
            <w:gridSpan w:val="2"/>
          </w:tcPr>
          <w:p w14:paraId="6E8F007C" w14:textId="77777777" w:rsidR="00BA713F" w:rsidRPr="00792B36" w:rsidRDefault="00BA713F" w:rsidP="0096560E">
            <w:pPr>
              <w:spacing w:line="360" w:lineRule="auto"/>
              <w:contextualSpacing/>
              <w:jc w:val="thaiDistribute"/>
              <w:rPr>
                <w:color w:val="000000" w:themeColor="text1"/>
                <w:sz w:val="24"/>
                <w:szCs w:val="24"/>
              </w:rPr>
            </w:pPr>
          </w:p>
        </w:tc>
      </w:tr>
      <w:tr w:rsidR="00BA713F" w:rsidRPr="00792B36" w14:paraId="519944E6" w14:textId="77777777" w:rsidTr="0096560E">
        <w:trPr>
          <w:gridAfter w:val="1"/>
          <w:wAfter w:w="10" w:type="dxa"/>
        </w:trPr>
        <w:tc>
          <w:tcPr>
            <w:tcW w:w="9350" w:type="dxa"/>
            <w:gridSpan w:val="2"/>
          </w:tcPr>
          <w:p w14:paraId="0259FF06" w14:textId="77777777" w:rsidR="00BA713F" w:rsidRPr="00792B36" w:rsidRDefault="00BA713F" w:rsidP="0096560E">
            <w:pPr>
              <w:spacing w:line="360" w:lineRule="auto"/>
              <w:contextualSpacing/>
              <w:jc w:val="center"/>
              <w:rPr>
                <w:color w:val="000000" w:themeColor="text1"/>
                <w:sz w:val="24"/>
                <w:szCs w:val="24"/>
                <w:cs/>
              </w:rPr>
            </w:pPr>
            <w:r w:rsidRPr="00792B36">
              <w:rPr>
                <w:b/>
                <w:bCs/>
                <w:color w:val="000000" w:themeColor="text1"/>
                <w:sz w:val="24"/>
                <w:szCs w:val="24"/>
              </w:rPr>
              <w:t xml:space="preserve">Figure 2.12 </w:t>
            </w:r>
            <w:r w:rsidRPr="00792B36">
              <w:rPr>
                <w:color w:val="000000" w:themeColor="text1"/>
                <w:sz w:val="24"/>
                <w:szCs w:val="24"/>
              </w:rPr>
              <w:t>HDI of Thailand (1990-2023)</w:t>
            </w:r>
          </w:p>
        </w:tc>
      </w:tr>
    </w:tbl>
    <w:p w14:paraId="7FF4FC7A" w14:textId="77777777" w:rsidR="00BA713F" w:rsidRPr="00792B36" w:rsidRDefault="00BA713F" w:rsidP="00BA713F">
      <w:pPr>
        <w:pBdr>
          <w:top w:val="nil"/>
          <w:left w:val="nil"/>
          <w:bottom w:val="nil"/>
          <w:right w:val="nil"/>
          <w:between w:val="nil"/>
        </w:pBdr>
        <w:spacing w:line="360" w:lineRule="auto"/>
        <w:contextualSpacing/>
        <w:jc w:val="both"/>
        <w:rPr>
          <w:color w:val="000000" w:themeColor="text1"/>
          <w:sz w:val="20"/>
          <w:szCs w:val="20"/>
        </w:rPr>
      </w:pPr>
      <w:r w:rsidRPr="00792B36">
        <w:rPr>
          <w:color w:val="000000" w:themeColor="text1"/>
          <w:sz w:val="20"/>
          <w:szCs w:val="20"/>
        </w:rPr>
        <w:t xml:space="preserve">Source: </w:t>
      </w:r>
      <w:bookmarkStart w:id="10" w:name="_Hlk213613818"/>
      <w:r w:rsidRPr="00792B36">
        <w:rPr>
          <w:color w:val="000000" w:themeColor="text1"/>
          <w:sz w:val="20"/>
          <w:szCs w:val="20"/>
        </w:rPr>
        <w:t xml:space="preserve">UNDP. 2025. Human Development Reports. </w:t>
      </w:r>
      <w:r w:rsidRPr="00792B36">
        <w:fldChar w:fldCharType="begin"/>
      </w:r>
      <w:r w:rsidRPr="00792B36">
        <w:instrText>HYPERLINK "https://hdr.undp.org/data-center/documentation-and-downloads"</w:instrText>
      </w:r>
      <w:r w:rsidRPr="00792B36">
        <w:fldChar w:fldCharType="separate"/>
      </w:r>
      <w:r w:rsidRPr="00792B36">
        <w:rPr>
          <w:rStyle w:val="Hyperlink"/>
          <w:color w:val="000000" w:themeColor="text1"/>
          <w:sz w:val="20"/>
          <w:szCs w:val="20"/>
        </w:rPr>
        <w:t>https://hdr.undp.org/data-center/documentation-and-downloads</w:t>
      </w:r>
      <w:r w:rsidRPr="00792B36">
        <w:fldChar w:fldCharType="end"/>
      </w:r>
      <w:r w:rsidRPr="00792B36">
        <w:rPr>
          <w:color w:val="000000" w:themeColor="text1"/>
          <w:sz w:val="20"/>
          <w:szCs w:val="20"/>
        </w:rPr>
        <w:t xml:space="preserve"> (accessed 22 April 2025)</w:t>
      </w:r>
    </w:p>
    <w:bookmarkEnd w:id="10"/>
    <w:p w14:paraId="7486CBC1" w14:textId="77777777" w:rsidR="00BA713F" w:rsidRPr="00792B36" w:rsidRDefault="00BA713F" w:rsidP="00BA713F">
      <w:pPr>
        <w:spacing w:line="360" w:lineRule="auto"/>
        <w:contextualSpacing/>
        <w:jc w:val="thaiDistribute"/>
        <w:rPr>
          <w:b/>
          <w:bCs/>
          <w:color w:val="000000" w:themeColor="text1"/>
          <w:sz w:val="24"/>
          <w:szCs w:val="24"/>
        </w:rPr>
      </w:pPr>
    </w:p>
    <w:p w14:paraId="7243997B" w14:textId="77777777" w:rsidR="00BA713F" w:rsidRPr="00792B36" w:rsidRDefault="00BA713F" w:rsidP="00BA713F">
      <w:pPr>
        <w:spacing w:line="360" w:lineRule="auto"/>
        <w:contextualSpacing/>
        <w:jc w:val="thaiDistribute"/>
        <w:rPr>
          <w:b/>
          <w:bCs/>
          <w:color w:val="000000" w:themeColor="text1"/>
          <w:sz w:val="24"/>
          <w:szCs w:val="24"/>
        </w:rPr>
      </w:pPr>
      <w:r w:rsidRPr="00792B36">
        <w:rPr>
          <w:b/>
          <w:bCs/>
          <w:color w:val="000000" w:themeColor="text1"/>
          <w:sz w:val="24"/>
          <w:szCs w:val="24"/>
        </w:rPr>
        <w:t>Inequality-</w:t>
      </w:r>
      <w:r w:rsidRPr="00792B36">
        <w:rPr>
          <w:b/>
          <w:bCs/>
          <w:color w:val="000000" w:themeColor="text1"/>
          <w:sz w:val="24"/>
          <w:szCs w:val="30"/>
        </w:rPr>
        <w:t>a</w:t>
      </w:r>
      <w:r w:rsidRPr="00792B36">
        <w:rPr>
          <w:b/>
          <w:bCs/>
          <w:color w:val="000000" w:themeColor="text1"/>
          <w:sz w:val="24"/>
          <w:szCs w:val="24"/>
        </w:rPr>
        <w:t>djusted human development index (IHDI)</w:t>
      </w:r>
    </w:p>
    <w:p w14:paraId="2663F2F4" w14:textId="77777777" w:rsidR="00BA713F" w:rsidRPr="00792B36" w:rsidRDefault="00BA713F" w:rsidP="00BA713F">
      <w:pPr>
        <w:spacing w:line="360" w:lineRule="auto"/>
        <w:contextualSpacing/>
        <w:jc w:val="both"/>
        <w:rPr>
          <w:color w:val="000000" w:themeColor="text1"/>
          <w:sz w:val="24"/>
          <w:szCs w:val="24"/>
        </w:rPr>
      </w:pPr>
      <w:r w:rsidRPr="00792B36">
        <w:rPr>
          <w:color w:val="000000" w:themeColor="text1"/>
          <w:sz w:val="24"/>
          <w:szCs w:val="24"/>
        </w:rPr>
        <w:t xml:space="preserve">From 2012 to 2023, Thailand’s IHDI increased from 0.622 to 0.677, signaling reduced overall inequality across key development sectors likely stemming from better healthcare, education, and targeted social policies </w:t>
      </w:r>
      <w:r w:rsidRPr="00792B36">
        <w:rPr>
          <w:b/>
          <w:bCs/>
          <w:color w:val="000000" w:themeColor="text1"/>
          <w:sz w:val="24"/>
          <w:szCs w:val="24"/>
        </w:rPr>
        <w:t>(Figure 2.13)</w:t>
      </w:r>
      <w:r w:rsidRPr="00792B36">
        <w:rPr>
          <w:color w:val="000000" w:themeColor="text1"/>
          <w:sz w:val="24"/>
          <w:szCs w:val="24"/>
        </w:rPr>
        <w:t>. While the index temporarily dropped to 0.670 between 2020 and 2022 due to COVID-19 disruptions, it rebounded to 0.677 in 2023, indicating the country is recovering from these recent vulnerabilities.</w:t>
      </w:r>
    </w:p>
    <w:p w14:paraId="636C4A70" w14:textId="77777777" w:rsidR="00BA713F" w:rsidRPr="00792B36" w:rsidRDefault="00BA713F" w:rsidP="00BA713F">
      <w:pPr>
        <w:spacing w:line="360" w:lineRule="auto"/>
        <w:contextualSpacing/>
        <w:jc w:val="both"/>
        <w:rPr>
          <w:b/>
          <w:bCs/>
          <w:color w:val="000000" w:themeColor="text1"/>
          <w:sz w:val="24"/>
          <w:szCs w:val="24"/>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020"/>
      </w:tblGrid>
      <w:tr w:rsidR="00BA713F" w:rsidRPr="00792B36" w14:paraId="162B431A" w14:textId="77777777" w:rsidTr="0096560E">
        <w:tc>
          <w:tcPr>
            <w:tcW w:w="9350" w:type="dxa"/>
          </w:tcPr>
          <w:p w14:paraId="4C7095AF" w14:textId="77777777" w:rsidR="00BA713F" w:rsidRPr="00792B36" w:rsidRDefault="00BA713F" w:rsidP="0096560E">
            <w:pPr>
              <w:spacing w:line="360" w:lineRule="auto"/>
              <w:contextualSpacing/>
              <w:jc w:val="center"/>
              <w:rPr>
                <w:color w:val="000000" w:themeColor="text1"/>
                <w:sz w:val="24"/>
                <w:szCs w:val="24"/>
              </w:rPr>
            </w:pPr>
            <w:r w:rsidRPr="00792B36">
              <w:rPr>
                <w:noProof/>
                <w:color w:val="000000" w:themeColor="text1"/>
                <w:sz w:val="24"/>
                <w:szCs w:val="24"/>
              </w:rPr>
              <w:lastRenderedPageBreak/>
              <w:drawing>
                <wp:inline distT="0" distB="0" distL="0" distR="0" wp14:anchorId="7D24B7AA" wp14:editId="50B2AD64">
                  <wp:extent cx="5040000" cy="2809526"/>
                  <wp:effectExtent l="0" t="0" r="8255" b="0"/>
                  <wp:docPr id="1970676685" name="Picture 34" descr="A graph with numbers and a red line&#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70676685" name="Picture 34" descr="A graph with numbers and a red line&#10;&#10;AI-generated content may be incorrect."/>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5040000" cy="2809526"/>
                          </a:xfrm>
                          <a:prstGeom prst="rect">
                            <a:avLst/>
                          </a:prstGeom>
                          <a:noFill/>
                        </pic:spPr>
                      </pic:pic>
                    </a:graphicData>
                  </a:graphic>
                </wp:inline>
              </w:drawing>
            </w:r>
          </w:p>
        </w:tc>
      </w:tr>
      <w:tr w:rsidR="00BA713F" w:rsidRPr="00792B36" w14:paraId="3E7208AC" w14:textId="77777777" w:rsidTr="0096560E">
        <w:tc>
          <w:tcPr>
            <w:tcW w:w="9350" w:type="dxa"/>
          </w:tcPr>
          <w:p w14:paraId="14B9FED6" w14:textId="77777777" w:rsidR="00BA713F" w:rsidRPr="00792B36" w:rsidRDefault="00BA713F" w:rsidP="0096560E">
            <w:pPr>
              <w:spacing w:line="360" w:lineRule="auto"/>
              <w:contextualSpacing/>
              <w:rPr>
                <w:color w:val="000000" w:themeColor="text1"/>
                <w:sz w:val="24"/>
                <w:szCs w:val="24"/>
              </w:rPr>
            </w:pPr>
          </w:p>
        </w:tc>
      </w:tr>
      <w:tr w:rsidR="00BA713F" w:rsidRPr="00792B36" w14:paraId="6115A38F" w14:textId="77777777" w:rsidTr="0096560E">
        <w:tc>
          <w:tcPr>
            <w:tcW w:w="9350" w:type="dxa"/>
          </w:tcPr>
          <w:p w14:paraId="37C3796A" w14:textId="77777777" w:rsidR="00BA713F" w:rsidRPr="00792B36" w:rsidRDefault="00BA713F" w:rsidP="0096560E">
            <w:pPr>
              <w:spacing w:line="360" w:lineRule="auto"/>
              <w:contextualSpacing/>
              <w:jc w:val="center"/>
              <w:rPr>
                <w:color w:val="000000" w:themeColor="text1"/>
                <w:sz w:val="24"/>
                <w:szCs w:val="24"/>
              </w:rPr>
            </w:pPr>
            <w:r w:rsidRPr="00792B36">
              <w:rPr>
                <w:b/>
                <w:bCs/>
                <w:color w:val="000000" w:themeColor="text1"/>
                <w:sz w:val="24"/>
                <w:szCs w:val="24"/>
              </w:rPr>
              <w:t xml:space="preserve">Figure 2.13 </w:t>
            </w:r>
            <w:r w:rsidRPr="00792B36">
              <w:rPr>
                <w:color w:val="000000" w:themeColor="text1"/>
                <w:sz w:val="24"/>
                <w:szCs w:val="24"/>
              </w:rPr>
              <w:t>IHDI of Thailand (2012-2023)</w:t>
            </w:r>
          </w:p>
        </w:tc>
      </w:tr>
    </w:tbl>
    <w:p w14:paraId="16308CCD" w14:textId="77777777" w:rsidR="00BA713F" w:rsidRPr="00792B36" w:rsidRDefault="00BA713F" w:rsidP="00BA713F">
      <w:pPr>
        <w:pBdr>
          <w:top w:val="nil"/>
          <w:left w:val="nil"/>
          <w:bottom w:val="nil"/>
          <w:right w:val="nil"/>
          <w:between w:val="nil"/>
        </w:pBdr>
        <w:spacing w:line="360" w:lineRule="auto"/>
        <w:contextualSpacing/>
        <w:jc w:val="both"/>
        <w:rPr>
          <w:color w:val="000000" w:themeColor="text1"/>
          <w:sz w:val="20"/>
          <w:szCs w:val="20"/>
        </w:rPr>
      </w:pPr>
      <w:r w:rsidRPr="00792B36">
        <w:rPr>
          <w:color w:val="000000" w:themeColor="text1"/>
          <w:sz w:val="20"/>
          <w:szCs w:val="20"/>
        </w:rPr>
        <w:t xml:space="preserve">Source: UNDP. 2025. Human Development Reports. </w:t>
      </w:r>
      <w:r w:rsidRPr="00792B36">
        <w:fldChar w:fldCharType="begin"/>
      </w:r>
      <w:r w:rsidRPr="00792B36">
        <w:instrText>HYPERLINK "https://hdr.undp.org/data-center/documentation-and-downloads"</w:instrText>
      </w:r>
      <w:r w:rsidRPr="00792B36">
        <w:fldChar w:fldCharType="separate"/>
      </w:r>
      <w:r w:rsidRPr="00792B36">
        <w:rPr>
          <w:rStyle w:val="Hyperlink"/>
          <w:color w:val="000000" w:themeColor="text1"/>
          <w:sz w:val="20"/>
          <w:szCs w:val="20"/>
        </w:rPr>
        <w:t>https://hdr.undp.org/data-center/documentation-and-downloads</w:t>
      </w:r>
      <w:r w:rsidRPr="00792B36">
        <w:fldChar w:fldCharType="end"/>
      </w:r>
      <w:r w:rsidRPr="00792B36">
        <w:rPr>
          <w:color w:val="000000" w:themeColor="text1"/>
          <w:sz w:val="20"/>
          <w:szCs w:val="20"/>
        </w:rPr>
        <w:t xml:space="preserve"> (accessed 22 April 2025)</w:t>
      </w:r>
    </w:p>
    <w:p w14:paraId="5F9664DE" w14:textId="77777777" w:rsidR="00BA713F" w:rsidRPr="00792B36" w:rsidRDefault="00BA713F" w:rsidP="00BA713F">
      <w:pPr>
        <w:spacing w:line="360" w:lineRule="auto"/>
        <w:contextualSpacing/>
        <w:jc w:val="thaiDistribute"/>
        <w:rPr>
          <w:b/>
          <w:bCs/>
          <w:color w:val="000000" w:themeColor="text1"/>
          <w:sz w:val="24"/>
          <w:szCs w:val="24"/>
        </w:rPr>
      </w:pPr>
    </w:p>
    <w:p w14:paraId="27A89508" w14:textId="77777777" w:rsidR="00BA713F" w:rsidRPr="00792B36" w:rsidRDefault="00BA713F" w:rsidP="00BA713F">
      <w:pPr>
        <w:pBdr>
          <w:top w:val="nil"/>
          <w:left w:val="nil"/>
          <w:bottom w:val="nil"/>
          <w:right w:val="nil"/>
          <w:between w:val="nil"/>
        </w:pBdr>
        <w:spacing w:line="360" w:lineRule="auto"/>
        <w:contextualSpacing/>
        <w:rPr>
          <w:color w:val="000000" w:themeColor="text1"/>
          <w:sz w:val="24"/>
          <w:szCs w:val="24"/>
        </w:rPr>
      </w:pPr>
      <w:r w:rsidRPr="00792B36">
        <w:rPr>
          <w:b/>
          <w:bCs/>
          <w:color w:val="000000" w:themeColor="text1"/>
          <w:sz w:val="24"/>
          <w:szCs w:val="24"/>
        </w:rPr>
        <w:t>2.2.3 Economic activities</w:t>
      </w:r>
      <w:r w:rsidRPr="00792B36">
        <w:rPr>
          <w:color w:val="000000" w:themeColor="text1"/>
          <w:sz w:val="24"/>
          <w:szCs w:val="24"/>
        </w:rPr>
        <w:t xml:space="preserve"> </w:t>
      </w:r>
    </w:p>
    <w:p w14:paraId="096A1B77" w14:textId="77777777" w:rsidR="00BA713F" w:rsidRPr="00792B36" w:rsidRDefault="00BA713F" w:rsidP="00BA713F">
      <w:pPr>
        <w:pBdr>
          <w:top w:val="nil"/>
          <w:left w:val="nil"/>
          <w:bottom w:val="nil"/>
          <w:right w:val="nil"/>
          <w:between w:val="nil"/>
        </w:pBdr>
        <w:spacing w:line="360" w:lineRule="auto"/>
        <w:contextualSpacing/>
        <w:rPr>
          <w:color w:val="000000" w:themeColor="text1"/>
          <w:sz w:val="24"/>
          <w:szCs w:val="24"/>
        </w:rPr>
      </w:pPr>
    </w:p>
    <w:p w14:paraId="46AC699D" w14:textId="77777777" w:rsidR="00BA713F" w:rsidRPr="00792B36" w:rsidRDefault="00BA713F" w:rsidP="00BA713F">
      <w:pPr>
        <w:pBdr>
          <w:top w:val="nil"/>
          <w:left w:val="nil"/>
          <w:bottom w:val="nil"/>
          <w:right w:val="nil"/>
          <w:between w:val="nil"/>
        </w:pBdr>
        <w:spacing w:line="360" w:lineRule="auto"/>
        <w:contextualSpacing/>
        <w:jc w:val="thaiDistribute"/>
        <w:rPr>
          <w:color w:val="000000" w:themeColor="text1"/>
          <w:sz w:val="24"/>
          <w:szCs w:val="24"/>
        </w:rPr>
      </w:pPr>
      <w:r w:rsidRPr="00792B36">
        <w:rPr>
          <w:color w:val="000000" w:themeColor="text1"/>
          <w:sz w:val="24"/>
          <w:szCs w:val="24"/>
        </w:rPr>
        <w:t xml:space="preserve">Provincial GDP data highlights varying degrees of economic diversification as shown in </w:t>
      </w:r>
      <w:r w:rsidRPr="00792B36">
        <w:rPr>
          <w:b/>
          <w:bCs/>
          <w:color w:val="000000" w:themeColor="text1"/>
          <w:sz w:val="24"/>
          <w:szCs w:val="24"/>
        </w:rPr>
        <w:t>Figure 2.14</w:t>
      </w:r>
      <w:r w:rsidRPr="00792B36">
        <w:rPr>
          <w:color w:val="000000" w:themeColor="text1"/>
          <w:sz w:val="24"/>
          <w:szCs w:val="24"/>
        </w:rPr>
        <w:t xml:space="preserve">. The service sector dominates tourism destinations like Phetchaburi and Songkhla while agriculture plays a major role in Trat. Conversely, industrial activity is clustered in Chon Buri, Rayong, Chachoengsao, and Samut Sakhon due to proximity to ports and special economic zones. </w:t>
      </w:r>
    </w:p>
    <w:p w14:paraId="5F5C8D84" w14:textId="77777777" w:rsidR="00BA713F" w:rsidRPr="00792B36" w:rsidRDefault="00BA713F" w:rsidP="00BA713F">
      <w:pPr>
        <w:pBdr>
          <w:top w:val="nil"/>
          <w:left w:val="nil"/>
          <w:bottom w:val="nil"/>
          <w:right w:val="nil"/>
          <w:between w:val="nil"/>
        </w:pBdr>
        <w:spacing w:line="360" w:lineRule="auto"/>
        <w:contextualSpacing/>
        <w:jc w:val="thaiDistribute"/>
        <w:rPr>
          <w:color w:val="000000" w:themeColor="text1"/>
          <w:sz w:val="24"/>
          <w:szCs w:val="24"/>
        </w:rPr>
      </w:pPr>
    </w:p>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10"/>
        <w:gridCol w:w="4510"/>
      </w:tblGrid>
      <w:tr w:rsidR="00BA713F" w:rsidRPr="00792B36" w14:paraId="239ACDBC" w14:textId="77777777" w:rsidTr="0096560E">
        <w:trPr>
          <w:jc w:val="center"/>
        </w:trPr>
        <w:tc>
          <w:tcPr>
            <w:tcW w:w="4513" w:type="dxa"/>
          </w:tcPr>
          <w:p w14:paraId="7CADE6DA" w14:textId="77777777" w:rsidR="00BA713F" w:rsidRPr="00792B36" w:rsidRDefault="00BA713F" w:rsidP="0096560E">
            <w:pPr>
              <w:spacing w:line="360" w:lineRule="auto"/>
              <w:contextualSpacing/>
              <w:rPr>
                <w:color w:val="000000" w:themeColor="text1"/>
                <w:sz w:val="24"/>
                <w:szCs w:val="24"/>
              </w:rPr>
            </w:pPr>
            <w:r w:rsidRPr="00792B36">
              <w:rPr>
                <w:noProof/>
                <w:color w:val="000000" w:themeColor="text1"/>
                <w:sz w:val="24"/>
                <w:szCs w:val="24"/>
              </w:rPr>
              <w:drawing>
                <wp:inline distT="0" distB="0" distL="0" distR="0" wp14:anchorId="1491AD39" wp14:editId="475E6851">
                  <wp:extent cx="2880000" cy="868069"/>
                  <wp:effectExtent l="0" t="0" r="0" b="8255"/>
                  <wp:docPr id="66997115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8" cstate="print">
                            <a:extLst>
                              <a:ext uri="{28A0092B-C50C-407E-A947-70E740481C1C}">
                                <a14:useLocalDpi xmlns:a14="http://schemas.microsoft.com/office/drawing/2010/main" val="0"/>
                              </a:ext>
                            </a:extLst>
                          </a:blip>
                          <a:srcRect/>
                          <a:stretch>
                            <a:fillRect/>
                          </a:stretch>
                        </pic:blipFill>
                        <pic:spPr bwMode="auto">
                          <a:xfrm>
                            <a:off x="0" y="0"/>
                            <a:ext cx="2880000" cy="868069"/>
                          </a:xfrm>
                          <a:prstGeom prst="rect">
                            <a:avLst/>
                          </a:prstGeom>
                          <a:noFill/>
                        </pic:spPr>
                      </pic:pic>
                    </a:graphicData>
                  </a:graphic>
                </wp:inline>
              </w:drawing>
            </w:r>
          </w:p>
        </w:tc>
        <w:tc>
          <w:tcPr>
            <w:tcW w:w="4514" w:type="dxa"/>
          </w:tcPr>
          <w:p w14:paraId="367E3A99" w14:textId="77777777" w:rsidR="00BA713F" w:rsidRPr="00792B36" w:rsidRDefault="00BA713F" w:rsidP="0096560E">
            <w:pPr>
              <w:spacing w:line="360" w:lineRule="auto"/>
              <w:contextualSpacing/>
              <w:rPr>
                <w:color w:val="000000" w:themeColor="text1"/>
                <w:sz w:val="24"/>
                <w:szCs w:val="24"/>
              </w:rPr>
            </w:pPr>
            <w:r w:rsidRPr="00792B36">
              <w:rPr>
                <w:noProof/>
                <w:color w:val="000000" w:themeColor="text1"/>
                <w:sz w:val="24"/>
                <w:szCs w:val="24"/>
              </w:rPr>
              <w:drawing>
                <wp:inline distT="0" distB="0" distL="0" distR="0" wp14:anchorId="5FFC4D87" wp14:editId="71B2BEF9">
                  <wp:extent cx="2880000" cy="893243"/>
                  <wp:effectExtent l="0" t="0" r="0" b="2540"/>
                  <wp:docPr id="1343236462" name="Picture 2" descr="A graph with numbers and line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43236462" name="Picture 2" descr="A graph with numbers and lines&#10;&#10;AI-generated content may be incorrect."/>
                          <pic:cNvPicPr>
                            <a:picLocks noChangeAspect="1" noChangeArrowheads="1"/>
                          </pic:cNvPicPr>
                        </pic:nvPicPr>
                        <pic:blipFill>
                          <a:blip r:embed="rId49" cstate="print">
                            <a:extLst>
                              <a:ext uri="{28A0092B-C50C-407E-A947-70E740481C1C}">
                                <a14:useLocalDpi xmlns:a14="http://schemas.microsoft.com/office/drawing/2010/main" val="0"/>
                              </a:ext>
                            </a:extLst>
                          </a:blip>
                          <a:srcRect/>
                          <a:stretch>
                            <a:fillRect/>
                          </a:stretch>
                        </pic:blipFill>
                        <pic:spPr bwMode="auto">
                          <a:xfrm>
                            <a:off x="0" y="0"/>
                            <a:ext cx="2880000" cy="893243"/>
                          </a:xfrm>
                          <a:prstGeom prst="rect">
                            <a:avLst/>
                          </a:prstGeom>
                          <a:noFill/>
                        </pic:spPr>
                      </pic:pic>
                    </a:graphicData>
                  </a:graphic>
                </wp:inline>
              </w:drawing>
            </w:r>
          </w:p>
        </w:tc>
      </w:tr>
      <w:tr w:rsidR="00BA713F" w:rsidRPr="00792B36" w14:paraId="4392FB14" w14:textId="77777777" w:rsidTr="0096560E">
        <w:trPr>
          <w:jc w:val="center"/>
        </w:trPr>
        <w:tc>
          <w:tcPr>
            <w:tcW w:w="4513" w:type="dxa"/>
          </w:tcPr>
          <w:p w14:paraId="04D36A16" w14:textId="77777777" w:rsidR="00BA713F" w:rsidRPr="00792B36" w:rsidRDefault="00BA713F" w:rsidP="0096560E">
            <w:pPr>
              <w:spacing w:line="360" w:lineRule="auto"/>
              <w:contextualSpacing/>
              <w:rPr>
                <w:color w:val="000000" w:themeColor="text1"/>
                <w:sz w:val="24"/>
                <w:szCs w:val="24"/>
              </w:rPr>
            </w:pPr>
          </w:p>
        </w:tc>
        <w:tc>
          <w:tcPr>
            <w:tcW w:w="4514" w:type="dxa"/>
          </w:tcPr>
          <w:p w14:paraId="3D9977BA" w14:textId="77777777" w:rsidR="00BA713F" w:rsidRPr="00792B36" w:rsidRDefault="00BA713F" w:rsidP="0096560E">
            <w:pPr>
              <w:spacing w:line="360" w:lineRule="auto"/>
              <w:contextualSpacing/>
              <w:rPr>
                <w:color w:val="000000" w:themeColor="text1"/>
                <w:sz w:val="24"/>
                <w:szCs w:val="24"/>
              </w:rPr>
            </w:pPr>
          </w:p>
        </w:tc>
      </w:tr>
      <w:tr w:rsidR="00BA713F" w:rsidRPr="00792B36" w14:paraId="7B10EBB2" w14:textId="77777777" w:rsidTr="0096560E">
        <w:trPr>
          <w:jc w:val="center"/>
        </w:trPr>
        <w:tc>
          <w:tcPr>
            <w:tcW w:w="4513" w:type="dxa"/>
          </w:tcPr>
          <w:p w14:paraId="78B7064E" w14:textId="77777777" w:rsidR="00BA713F" w:rsidRPr="00792B36" w:rsidRDefault="00BA713F" w:rsidP="0096560E">
            <w:pPr>
              <w:spacing w:line="360" w:lineRule="auto"/>
              <w:contextualSpacing/>
              <w:rPr>
                <w:color w:val="000000" w:themeColor="text1"/>
                <w:sz w:val="24"/>
                <w:szCs w:val="24"/>
              </w:rPr>
            </w:pPr>
            <w:r w:rsidRPr="00792B36">
              <w:rPr>
                <w:noProof/>
                <w:color w:val="000000" w:themeColor="text1"/>
                <w:sz w:val="24"/>
                <w:szCs w:val="24"/>
              </w:rPr>
              <w:drawing>
                <wp:inline distT="0" distB="0" distL="0" distR="0" wp14:anchorId="76FF2789" wp14:editId="34088EE3">
                  <wp:extent cx="2880000" cy="865101"/>
                  <wp:effectExtent l="0" t="0" r="0" b="0"/>
                  <wp:docPr id="1146357859"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50" cstate="print">
                            <a:extLst>
                              <a:ext uri="{28A0092B-C50C-407E-A947-70E740481C1C}">
                                <a14:useLocalDpi xmlns:a14="http://schemas.microsoft.com/office/drawing/2010/main" val="0"/>
                              </a:ext>
                            </a:extLst>
                          </a:blip>
                          <a:srcRect/>
                          <a:stretch>
                            <a:fillRect/>
                          </a:stretch>
                        </pic:blipFill>
                        <pic:spPr bwMode="auto">
                          <a:xfrm>
                            <a:off x="0" y="0"/>
                            <a:ext cx="2880000" cy="865101"/>
                          </a:xfrm>
                          <a:prstGeom prst="rect">
                            <a:avLst/>
                          </a:prstGeom>
                          <a:noFill/>
                        </pic:spPr>
                      </pic:pic>
                    </a:graphicData>
                  </a:graphic>
                </wp:inline>
              </w:drawing>
            </w:r>
          </w:p>
        </w:tc>
        <w:tc>
          <w:tcPr>
            <w:tcW w:w="4514" w:type="dxa"/>
          </w:tcPr>
          <w:p w14:paraId="2079C896" w14:textId="77777777" w:rsidR="00BA713F" w:rsidRPr="00792B36" w:rsidRDefault="00BA713F" w:rsidP="0096560E">
            <w:pPr>
              <w:spacing w:line="360" w:lineRule="auto"/>
              <w:contextualSpacing/>
              <w:rPr>
                <w:color w:val="000000" w:themeColor="text1"/>
                <w:sz w:val="24"/>
                <w:szCs w:val="24"/>
              </w:rPr>
            </w:pPr>
            <w:r w:rsidRPr="00792B36">
              <w:rPr>
                <w:noProof/>
                <w:color w:val="000000" w:themeColor="text1"/>
                <w:sz w:val="24"/>
                <w:szCs w:val="24"/>
              </w:rPr>
              <w:drawing>
                <wp:inline distT="0" distB="0" distL="0" distR="0" wp14:anchorId="53FE7512" wp14:editId="3660A0E0">
                  <wp:extent cx="2880000" cy="869927"/>
                  <wp:effectExtent l="0" t="0" r="0" b="6985"/>
                  <wp:docPr id="1563939953" name="Picture 4" descr="A graph of different colored line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63939953" name="Picture 4" descr="A graph of different colored lines&#10;&#10;AI-generated content may be incorrect."/>
                          <pic:cNvPicPr>
                            <a:picLocks noChangeAspect="1" noChangeArrowheads="1"/>
                          </pic:cNvPicPr>
                        </pic:nvPicPr>
                        <pic:blipFill>
                          <a:blip r:embed="rId51" cstate="print">
                            <a:extLst>
                              <a:ext uri="{28A0092B-C50C-407E-A947-70E740481C1C}">
                                <a14:useLocalDpi xmlns:a14="http://schemas.microsoft.com/office/drawing/2010/main" val="0"/>
                              </a:ext>
                            </a:extLst>
                          </a:blip>
                          <a:srcRect/>
                          <a:stretch>
                            <a:fillRect/>
                          </a:stretch>
                        </pic:blipFill>
                        <pic:spPr bwMode="auto">
                          <a:xfrm>
                            <a:off x="0" y="0"/>
                            <a:ext cx="2880000" cy="869927"/>
                          </a:xfrm>
                          <a:prstGeom prst="rect">
                            <a:avLst/>
                          </a:prstGeom>
                          <a:noFill/>
                        </pic:spPr>
                      </pic:pic>
                    </a:graphicData>
                  </a:graphic>
                </wp:inline>
              </w:drawing>
            </w:r>
          </w:p>
        </w:tc>
      </w:tr>
      <w:tr w:rsidR="00BA713F" w:rsidRPr="00792B36" w14:paraId="1C860440" w14:textId="77777777" w:rsidTr="0096560E">
        <w:trPr>
          <w:jc w:val="center"/>
        </w:trPr>
        <w:tc>
          <w:tcPr>
            <w:tcW w:w="4513" w:type="dxa"/>
          </w:tcPr>
          <w:p w14:paraId="532EF743" w14:textId="77777777" w:rsidR="00BA713F" w:rsidRPr="00792B36" w:rsidRDefault="00BA713F" w:rsidP="0096560E">
            <w:pPr>
              <w:spacing w:line="360" w:lineRule="auto"/>
              <w:contextualSpacing/>
              <w:rPr>
                <w:color w:val="000000" w:themeColor="text1"/>
                <w:sz w:val="24"/>
                <w:szCs w:val="24"/>
              </w:rPr>
            </w:pPr>
          </w:p>
        </w:tc>
        <w:tc>
          <w:tcPr>
            <w:tcW w:w="4514" w:type="dxa"/>
          </w:tcPr>
          <w:p w14:paraId="4BD098E2" w14:textId="77777777" w:rsidR="00BA713F" w:rsidRPr="00792B36" w:rsidRDefault="00BA713F" w:rsidP="0096560E">
            <w:pPr>
              <w:spacing w:line="360" w:lineRule="auto"/>
              <w:contextualSpacing/>
              <w:rPr>
                <w:color w:val="000000" w:themeColor="text1"/>
                <w:sz w:val="24"/>
                <w:szCs w:val="24"/>
              </w:rPr>
            </w:pPr>
          </w:p>
        </w:tc>
      </w:tr>
      <w:tr w:rsidR="00BA713F" w:rsidRPr="00792B36" w14:paraId="15AB1A43" w14:textId="77777777" w:rsidTr="0096560E">
        <w:trPr>
          <w:jc w:val="center"/>
        </w:trPr>
        <w:tc>
          <w:tcPr>
            <w:tcW w:w="4513" w:type="dxa"/>
          </w:tcPr>
          <w:p w14:paraId="5C5DBF2D" w14:textId="77777777" w:rsidR="00BA713F" w:rsidRPr="00792B36" w:rsidRDefault="00BA713F" w:rsidP="0096560E">
            <w:pPr>
              <w:spacing w:line="360" w:lineRule="auto"/>
              <w:contextualSpacing/>
              <w:rPr>
                <w:color w:val="000000" w:themeColor="text1"/>
                <w:sz w:val="24"/>
                <w:szCs w:val="24"/>
              </w:rPr>
            </w:pPr>
            <w:r w:rsidRPr="00792B36">
              <w:rPr>
                <w:noProof/>
                <w:color w:val="000000" w:themeColor="text1"/>
                <w:sz w:val="24"/>
                <w:szCs w:val="24"/>
              </w:rPr>
              <w:lastRenderedPageBreak/>
              <w:drawing>
                <wp:inline distT="0" distB="0" distL="0" distR="0" wp14:anchorId="595DAC47" wp14:editId="07CBF41D">
                  <wp:extent cx="2880000" cy="876238"/>
                  <wp:effectExtent l="0" t="0" r="0" b="635"/>
                  <wp:docPr id="1453252790" name="Picture 5" descr="A graph of different colored line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53252790" name="Picture 5" descr="A graph of different colored lines&#10;&#10;AI-generated content may be incorrect."/>
                          <pic:cNvPicPr>
                            <a:picLocks noChangeAspect="1" noChangeArrowheads="1"/>
                          </pic:cNvPicPr>
                        </pic:nvPicPr>
                        <pic:blipFill>
                          <a:blip r:embed="rId52" cstate="print">
                            <a:extLst>
                              <a:ext uri="{28A0092B-C50C-407E-A947-70E740481C1C}">
                                <a14:useLocalDpi xmlns:a14="http://schemas.microsoft.com/office/drawing/2010/main" val="0"/>
                              </a:ext>
                            </a:extLst>
                          </a:blip>
                          <a:srcRect/>
                          <a:stretch>
                            <a:fillRect/>
                          </a:stretch>
                        </pic:blipFill>
                        <pic:spPr bwMode="auto">
                          <a:xfrm>
                            <a:off x="0" y="0"/>
                            <a:ext cx="2880000" cy="876238"/>
                          </a:xfrm>
                          <a:prstGeom prst="rect">
                            <a:avLst/>
                          </a:prstGeom>
                          <a:noFill/>
                        </pic:spPr>
                      </pic:pic>
                    </a:graphicData>
                  </a:graphic>
                </wp:inline>
              </w:drawing>
            </w:r>
          </w:p>
        </w:tc>
        <w:tc>
          <w:tcPr>
            <w:tcW w:w="4514" w:type="dxa"/>
          </w:tcPr>
          <w:p w14:paraId="137BF678" w14:textId="77777777" w:rsidR="00BA713F" w:rsidRPr="00792B36" w:rsidRDefault="00BA713F" w:rsidP="0096560E">
            <w:pPr>
              <w:spacing w:line="360" w:lineRule="auto"/>
              <w:contextualSpacing/>
              <w:rPr>
                <w:color w:val="000000" w:themeColor="text1"/>
                <w:sz w:val="24"/>
                <w:szCs w:val="24"/>
              </w:rPr>
            </w:pPr>
            <w:r w:rsidRPr="00792B36">
              <w:rPr>
                <w:noProof/>
                <w:color w:val="000000" w:themeColor="text1"/>
                <w:sz w:val="24"/>
                <w:szCs w:val="24"/>
              </w:rPr>
              <w:drawing>
                <wp:inline distT="0" distB="0" distL="0" distR="0" wp14:anchorId="1980C276" wp14:editId="3BFA2E38">
                  <wp:extent cx="2880000" cy="876238"/>
                  <wp:effectExtent l="0" t="0" r="0" b="635"/>
                  <wp:docPr id="858703929"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53" cstate="print">
                            <a:extLst>
                              <a:ext uri="{28A0092B-C50C-407E-A947-70E740481C1C}">
                                <a14:useLocalDpi xmlns:a14="http://schemas.microsoft.com/office/drawing/2010/main" val="0"/>
                              </a:ext>
                            </a:extLst>
                          </a:blip>
                          <a:srcRect/>
                          <a:stretch>
                            <a:fillRect/>
                          </a:stretch>
                        </pic:blipFill>
                        <pic:spPr bwMode="auto">
                          <a:xfrm>
                            <a:off x="0" y="0"/>
                            <a:ext cx="2880000" cy="876238"/>
                          </a:xfrm>
                          <a:prstGeom prst="rect">
                            <a:avLst/>
                          </a:prstGeom>
                          <a:noFill/>
                        </pic:spPr>
                      </pic:pic>
                    </a:graphicData>
                  </a:graphic>
                </wp:inline>
              </w:drawing>
            </w:r>
          </w:p>
        </w:tc>
      </w:tr>
      <w:tr w:rsidR="00BA713F" w:rsidRPr="00792B36" w14:paraId="4707B0A3" w14:textId="77777777" w:rsidTr="0096560E">
        <w:trPr>
          <w:jc w:val="center"/>
        </w:trPr>
        <w:tc>
          <w:tcPr>
            <w:tcW w:w="4513" w:type="dxa"/>
          </w:tcPr>
          <w:p w14:paraId="601B2673" w14:textId="77777777" w:rsidR="00BA713F" w:rsidRPr="00792B36" w:rsidRDefault="00BA713F" w:rsidP="0096560E">
            <w:pPr>
              <w:spacing w:line="360" w:lineRule="auto"/>
              <w:contextualSpacing/>
              <w:rPr>
                <w:color w:val="000000" w:themeColor="text1"/>
                <w:sz w:val="24"/>
                <w:szCs w:val="24"/>
              </w:rPr>
            </w:pPr>
          </w:p>
        </w:tc>
        <w:tc>
          <w:tcPr>
            <w:tcW w:w="4514" w:type="dxa"/>
          </w:tcPr>
          <w:p w14:paraId="0C9EE6C4" w14:textId="77777777" w:rsidR="00BA713F" w:rsidRPr="00792B36" w:rsidRDefault="00BA713F" w:rsidP="0096560E">
            <w:pPr>
              <w:spacing w:line="360" w:lineRule="auto"/>
              <w:contextualSpacing/>
              <w:rPr>
                <w:color w:val="000000" w:themeColor="text1"/>
                <w:sz w:val="24"/>
                <w:szCs w:val="24"/>
              </w:rPr>
            </w:pPr>
          </w:p>
        </w:tc>
      </w:tr>
      <w:tr w:rsidR="00BA713F" w:rsidRPr="00792B36" w14:paraId="04C40A31" w14:textId="77777777" w:rsidTr="0096560E">
        <w:tblPrEx>
          <w:jc w:val="left"/>
        </w:tblPrEx>
        <w:tc>
          <w:tcPr>
            <w:tcW w:w="4513" w:type="dxa"/>
          </w:tcPr>
          <w:p w14:paraId="0D104957" w14:textId="77777777" w:rsidR="00BA713F" w:rsidRPr="00792B36" w:rsidRDefault="00BA713F" w:rsidP="0096560E">
            <w:pPr>
              <w:spacing w:line="360" w:lineRule="auto"/>
              <w:contextualSpacing/>
              <w:rPr>
                <w:color w:val="000000" w:themeColor="text1"/>
                <w:sz w:val="24"/>
                <w:szCs w:val="24"/>
              </w:rPr>
            </w:pPr>
            <w:r w:rsidRPr="00792B36">
              <w:rPr>
                <w:noProof/>
                <w:color w:val="000000" w:themeColor="text1"/>
                <w:sz w:val="24"/>
                <w:szCs w:val="24"/>
              </w:rPr>
              <w:drawing>
                <wp:inline distT="0" distB="0" distL="0" distR="0" wp14:anchorId="4C43DF28" wp14:editId="56EC22A6">
                  <wp:extent cx="2880000" cy="874900"/>
                  <wp:effectExtent l="0" t="0" r="0" b="1905"/>
                  <wp:docPr id="1116408596"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54" cstate="print">
                            <a:extLst>
                              <a:ext uri="{28A0092B-C50C-407E-A947-70E740481C1C}">
                                <a14:useLocalDpi xmlns:a14="http://schemas.microsoft.com/office/drawing/2010/main" val="0"/>
                              </a:ext>
                            </a:extLst>
                          </a:blip>
                          <a:srcRect/>
                          <a:stretch>
                            <a:fillRect/>
                          </a:stretch>
                        </pic:blipFill>
                        <pic:spPr bwMode="auto">
                          <a:xfrm>
                            <a:off x="0" y="0"/>
                            <a:ext cx="2880000" cy="874900"/>
                          </a:xfrm>
                          <a:prstGeom prst="rect">
                            <a:avLst/>
                          </a:prstGeom>
                          <a:noFill/>
                        </pic:spPr>
                      </pic:pic>
                    </a:graphicData>
                  </a:graphic>
                </wp:inline>
              </w:drawing>
            </w:r>
          </w:p>
        </w:tc>
        <w:tc>
          <w:tcPr>
            <w:tcW w:w="4514" w:type="dxa"/>
          </w:tcPr>
          <w:p w14:paraId="44DA4634" w14:textId="77777777" w:rsidR="00BA713F" w:rsidRPr="00792B36" w:rsidRDefault="00BA713F" w:rsidP="0096560E">
            <w:pPr>
              <w:spacing w:line="360" w:lineRule="auto"/>
              <w:contextualSpacing/>
              <w:rPr>
                <w:color w:val="000000" w:themeColor="text1"/>
                <w:sz w:val="24"/>
                <w:szCs w:val="24"/>
              </w:rPr>
            </w:pPr>
            <w:r w:rsidRPr="00792B36">
              <w:rPr>
                <w:noProof/>
                <w:color w:val="000000" w:themeColor="text1"/>
                <w:sz w:val="24"/>
                <w:szCs w:val="24"/>
              </w:rPr>
              <w:drawing>
                <wp:inline distT="0" distB="0" distL="0" distR="0" wp14:anchorId="1AB16008" wp14:editId="6F597BB8">
                  <wp:extent cx="2880000" cy="882403"/>
                  <wp:effectExtent l="0" t="0" r="0" b="0"/>
                  <wp:docPr id="282839505"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55" cstate="print">
                            <a:extLst>
                              <a:ext uri="{28A0092B-C50C-407E-A947-70E740481C1C}">
                                <a14:useLocalDpi xmlns:a14="http://schemas.microsoft.com/office/drawing/2010/main" val="0"/>
                              </a:ext>
                            </a:extLst>
                          </a:blip>
                          <a:srcRect/>
                          <a:stretch>
                            <a:fillRect/>
                          </a:stretch>
                        </pic:blipFill>
                        <pic:spPr bwMode="auto">
                          <a:xfrm>
                            <a:off x="0" y="0"/>
                            <a:ext cx="2880000" cy="882403"/>
                          </a:xfrm>
                          <a:prstGeom prst="rect">
                            <a:avLst/>
                          </a:prstGeom>
                          <a:noFill/>
                        </pic:spPr>
                      </pic:pic>
                    </a:graphicData>
                  </a:graphic>
                </wp:inline>
              </w:drawing>
            </w:r>
          </w:p>
        </w:tc>
      </w:tr>
    </w:tbl>
    <w:p w14:paraId="6FC7B059" w14:textId="77777777" w:rsidR="00BA713F" w:rsidRPr="00792B36" w:rsidRDefault="00BA713F" w:rsidP="00BA713F"/>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10"/>
        <w:gridCol w:w="4510"/>
      </w:tblGrid>
      <w:tr w:rsidR="00BA713F" w:rsidRPr="00792B36" w14:paraId="3133CE2C" w14:textId="77777777" w:rsidTr="0096560E">
        <w:tc>
          <w:tcPr>
            <w:tcW w:w="4508" w:type="dxa"/>
          </w:tcPr>
          <w:p w14:paraId="5AC52929" w14:textId="77777777" w:rsidR="00BA713F" w:rsidRPr="00792B36" w:rsidRDefault="00BA713F" w:rsidP="0096560E">
            <w:pPr>
              <w:spacing w:line="360" w:lineRule="auto"/>
              <w:contextualSpacing/>
              <w:rPr>
                <w:color w:val="000000" w:themeColor="text1"/>
                <w:sz w:val="24"/>
                <w:szCs w:val="24"/>
              </w:rPr>
            </w:pPr>
            <w:r w:rsidRPr="00792B36">
              <w:rPr>
                <w:noProof/>
                <w:color w:val="000000" w:themeColor="text1"/>
                <w:sz w:val="24"/>
                <w:szCs w:val="24"/>
              </w:rPr>
              <w:drawing>
                <wp:inline distT="0" distB="0" distL="0" distR="0" wp14:anchorId="0A75D800" wp14:editId="4DEF45E7">
                  <wp:extent cx="2880000" cy="891867"/>
                  <wp:effectExtent l="0" t="0" r="0" b="3810"/>
                  <wp:docPr id="674883970" name="Picture 9" descr="A graph of a number of year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74883970" name="Picture 9" descr="A graph of a number of years&#10;&#10;AI-generated content may be incorrect."/>
                          <pic:cNvPicPr>
                            <a:picLocks noChangeAspect="1" noChangeArrowheads="1"/>
                          </pic:cNvPicPr>
                        </pic:nvPicPr>
                        <pic:blipFill>
                          <a:blip r:embed="rId56" cstate="print">
                            <a:extLst>
                              <a:ext uri="{28A0092B-C50C-407E-A947-70E740481C1C}">
                                <a14:useLocalDpi xmlns:a14="http://schemas.microsoft.com/office/drawing/2010/main" val="0"/>
                              </a:ext>
                            </a:extLst>
                          </a:blip>
                          <a:srcRect/>
                          <a:stretch>
                            <a:fillRect/>
                          </a:stretch>
                        </pic:blipFill>
                        <pic:spPr bwMode="auto">
                          <a:xfrm>
                            <a:off x="0" y="0"/>
                            <a:ext cx="2880000" cy="891867"/>
                          </a:xfrm>
                          <a:prstGeom prst="rect">
                            <a:avLst/>
                          </a:prstGeom>
                          <a:noFill/>
                        </pic:spPr>
                      </pic:pic>
                    </a:graphicData>
                  </a:graphic>
                </wp:inline>
              </w:drawing>
            </w:r>
          </w:p>
        </w:tc>
        <w:tc>
          <w:tcPr>
            <w:tcW w:w="4509" w:type="dxa"/>
          </w:tcPr>
          <w:p w14:paraId="58C8FA36" w14:textId="77777777" w:rsidR="00BA713F" w:rsidRPr="00792B36" w:rsidRDefault="00BA713F" w:rsidP="0096560E">
            <w:pPr>
              <w:spacing w:line="360" w:lineRule="auto"/>
              <w:contextualSpacing/>
              <w:rPr>
                <w:color w:val="000000" w:themeColor="text1"/>
                <w:sz w:val="24"/>
                <w:szCs w:val="24"/>
              </w:rPr>
            </w:pPr>
            <w:r w:rsidRPr="00792B36">
              <w:rPr>
                <w:noProof/>
                <w:color w:val="000000" w:themeColor="text1"/>
                <w:sz w:val="24"/>
                <w:szCs w:val="24"/>
              </w:rPr>
              <w:drawing>
                <wp:inline distT="0" distB="0" distL="0" distR="0" wp14:anchorId="2E4D1003" wp14:editId="66650EA2">
                  <wp:extent cx="2880000" cy="903066"/>
                  <wp:effectExtent l="0" t="0" r="0" b="0"/>
                  <wp:docPr id="1031727811" name="Picture 10" descr="A graph of a number of people&#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31727811" name="Picture 10" descr="A graph of a number of people&#10;&#10;AI-generated content may be incorrect."/>
                          <pic:cNvPicPr>
                            <a:picLocks noChangeAspect="1" noChangeArrowheads="1"/>
                          </pic:cNvPicPr>
                        </pic:nvPicPr>
                        <pic:blipFill>
                          <a:blip r:embed="rId57" cstate="print">
                            <a:extLst>
                              <a:ext uri="{28A0092B-C50C-407E-A947-70E740481C1C}">
                                <a14:useLocalDpi xmlns:a14="http://schemas.microsoft.com/office/drawing/2010/main" val="0"/>
                              </a:ext>
                            </a:extLst>
                          </a:blip>
                          <a:srcRect/>
                          <a:stretch>
                            <a:fillRect/>
                          </a:stretch>
                        </pic:blipFill>
                        <pic:spPr bwMode="auto">
                          <a:xfrm>
                            <a:off x="0" y="0"/>
                            <a:ext cx="2880000" cy="903066"/>
                          </a:xfrm>
                          <a:prstGeom prst="rect">
                            <a:avLst/>
                          </a:prstGeom>
                          <a:noFill/>
                        </pic:spPr>
                      </pic:pic>
                    </a:graphicData>
                  </a:graphic>
                </wp:inline>
              </w:drawing>
            </w:r>
          </w:p>
        </w:tc>
      </w:tr>
      <w:tr w:rsidR="00BA713F" w:rsidRPr="00792B36" w14:paraId="29F341E2" w14:textId="77777777" w:rsidTr="0096560E">
        <w:tblPrEx>
          <w:jc w:val="center"/>
        </w:tblPrEx>
        <w:trPr>
          <w:jc w:val="center"/>
        </w:trPr>
        <w:tc>
          <w:tcPr>
            <w:tcW w:w="4508" w:type="dxa"/>
          </w:tcPr>
          <w:p w14:paraId="2B793EAF" w14:textId="77777777" w:rsidR="00BA713F" w:rsidRPr="00792B36" w:rsidRDefault="00BA713F" w:rsidP="0096560E">
            <w:pPr>
              <w:spacing w:line="360" w:lineRule="auto"/>
              <w:contextualSpacing/>
              <w:rPr>
                <w:color w:val="000000" w:themeColor="text1"/>
                <w:sz w:val="24"/>
                <w:szCs w:val="24"/>
              </w:rPr>
            </w:pPr>
          </w:p>
        </w:tc>
        <w:tc>
          <w:tcPr>
            <w:tcW w:w="4509" w:type="dxa"/>
          </w:tcPr>
          <w:p w14:paraId="65668B1A" w14:textId="77777777" w:rsidR="00BA713F" w:rsidRPr="00792B36" w:rsidRDefault="00BA713F" w:rsidP="0096560E">
            <w:pPr>
              <w:spacing w:line="360" w:lineRule="auto"/>
              <w:contextualSpacing/>
              <w:rPr>
                <w:color w:val="000000" w:themeColor="text1"/>
                <w:sz w:val="24"/>
                <w:szCs w:val="24"/>
              </w:rPr>
            </w:pPr>
          </w:p>
        </w:tc>
      </w:tr>
      <w:tr w:rsidR="00BA713F" w:rsidRPr="00792B36" w14:paraId="111084D6" w14:textId="77777777" w:rsidTr="0096560E">
        <w:tc>
          <w:tcPr>
            <w:tcW w:w="4508" w:type="dxa"/>
          </w:tcPr>
          <w:p w14:paraId="743341FB" w14:textId="77777777" w:rsidR="00BA713F" w:rsidRPr="00792B36" w:rsidRDefault="00BA713F" w:rsidP="0096560E">
            <w:pPr>
              <w:spacing w:line="360" w:lineRule="auto"/>
              <w:contextualSpacing/>
              <w:rPr>
                <w:color w:val="000000" w:themeColor="text1"/>
                <w:sz w:val="24"/>
                <w:szCs w:val="24"/>
              </w:rPr>
            </w:pPr>
            <w:r w:rsidRPr="00792B36">
              <w:rPr>
                <w:noProof/>
                <w:color w:val="000000" w:themeColor="text1"/>
                <w:sz w:val="24"/>
                <w:szCs w:val="24"/>
              </w:rPr>
              <w:drawing>
                <wp:inline distT="0" distB="0" distL="0" distR="0" wp14:anchorId="183FA0E5" wp14:editId="53866888">
                  <wp:extent cx="2880000" cy="990604"/>
                  <wp:effectExtent l="0" t="0" r="0" b="0"/>
                  <wp:docPr id="1456051472" name="Picture 11" descr="A graph of a number of people&#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56051472" name="Picture 11" descr="A graph of a number of people&#10;&#10;AI-generated content may be incorrect."/>
                          <pic:cNvPicPr>
                            <a:picLocks noChangeAspect="1" noChangeArrowheads="1"/>
                          </pic:cNvPicPr>
                        </pic:nvPicPr>
                        <pic:blipFill>
                          <a:blip r:embed="rId58" cstate="print">
                            <a:extLst>
                              <a:ext uri="{28A0092B-C50C-407E-A947-70E740481C1C}">
                                <a14:useLocalDpi xmlns:a14="http://schemas.microsoft.com/office/drawing/2010/main" val="0"/>
                              </a:ext>
                            </a:extLst>
                          </a:blip>
                          <a:srcRect/>
                          <a:stretch>
                            <a:fillRect/>
                          </a:stretch>
                        </pic:blipFill>
                        <pic:spPr bwMode="auto">
                          <a:xfrm>
                            <a:off x="0" y="0"/>
                            <a:ext cx="2880000" cy="990604"/>
                          </a:xfrm>
                          <a:prstGeom prst="rect">
                            <a:avLst/>
                          </a:prstGeom>
                          <a:noFill/>
                        </pic:spPr>
                      </pic:pic>
                    </a:graphicData>
                  </a:graphic>
                </wp:inline>
              </w:drawing>
            </w:r>
          </w:p>
        </w:tc>
        <w:tc>
          <w:tcPr>
            <w:tcW w:w="4509" w:type="dxa"/>
          </w:tcPr>
          <w:p w14:paraId="6D7733F1" w14:textId="77777777" w:rsidR="00BA713F" w:rsidRPr="00792B36" w:rsidRDefault="00BA713F" w:rsidP="0096560E">
            <w:pPr>
              <w:spacing w:line="360" w:lineRule="auto"/>
              <w:contextualSpacing/>
              <w:rPr>
                <w:color w:val="000000" w:themeColor="text1"/>
                <w:sz w:val="24"/>
                <w:szCs w:val="24"/>
              </w:rPr>
            </w:pPr>
            <w:r w:rsidRPr="00792B36">
              <w:rPr>
                <w:noProof/>
                <w:color w:val="000000" w:themeColor="text1"/>
                <w:sz w:val="24"/>
                <w:szCs w:val="24"/>
              </w:rPr>
              <w:drawing>
                <wp:inline distT="0" distB="0" distL="0" distR="0" wp14:anchorId="58BF479A" wp14:editId="7FAE0F1B">
                  <wp:extent cx="2880000" cy="988388"/>
                  <wp:effectExtent l="0" t="0" r="0" b="2540"/>
                  <wp:docPr id="209845549"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59" cstate="print">
                            <a:extLst>
                              <a:ext uri="{28A0092B-C50C-407E-A947-70E740481C1C}">
                                <a14:useLocalDpi xmlns:a14="http://schemas.microsoft.com/office/drawing/2010/main" val="0"/>
                              </a:ext>
                            </a:extLst>
                          </a:blip>
                          <a:srcRect/>
                          <a:stretch>
                            <a:fillRect/>
                          </a:stretch>
                        </pic:blipFill>
                        <pic:spPr bwMode="auto">
                          <a:xfrm>
                            <a:off x="0" y="0"/>
                            <a:ext cx="2880000" cy="988388"/>
                          </a:xfrm>
                          <a:prstGeom prst="rect">
                            <a:avLst/>
                          </a:prstGeom>
                          <a:noFill/>
                        </pic:spPr>
                      </pic:pic>
                    </a:graphicData>
                  </a:graphic>
                </wp:inline>
              </w:drawing>
            </w:r>
          </w:p>
        </w:tc>
      </w:tr>
      <w:tr w:rsidR="00BA713F" w:rsidRPr="00792B36" w14:paraId="74932EE1" w14:textId="77777777" w:rsidTr="0096560E">
        <w:tc>
          <w:tcPr>
            <w:tcW w:w="4508" w:type="dxa"/>
          </w:tcPr>
          <w:p w14:paraId="41C4C8F4" w14:textId="77777777" w:rsidR="00BA713F" w:rsidRPr="00792B36" w:rsidRDefault="00BA713F" w:rsidP="0096560E">
            <w:pPr>
              <w:spacing w:line="360" w:lineRule="auto"/>
              <w:contextualSpacing/>
              <w:rPr>
                <w:color w:val="000000" w:themeColor="text1"/>
                <w:sz w:val="24"/>
                <w:szCs w:val="24"/>
              </w:rPr>
            </w:pPr>
          </w:p>
        </w:tc>
        <w:tc>
          <w:tcPr>
            <w:tcW w:w="4509" w:type="dxa"/>
          </w:tcPr>
          <w:p w14:paraId="355E0FDC" w14:textId="77777777" w:rsidR="00BA713F" w:rsidRPr="00792B36" w:rsidRDefault="00BA713F" w:rsidP="0096560E">
            <w:pPr>
              <w:spacing w:line="360" w:lineRule="auto"/>
              <w:contextualSpacing/>
              <w:rPr>
                <w:color w:val="000000" w:themeColor="text1"/>
                <w:sz w:val="24"/>
                <w:szCs w:val="24"/>
              </w:rPr>
            </w:pPr>
          </w:p>
        </w:tc>
      </w:tr>
      <w:tr w:rsidR="00BA713F" w:rsidRPr="00792B36" w14:paraId="38737034" w14:textId="77777777" w:rsidTr="0096560E">
        <w:tc>
          <w:tcPr>
            <w:tcW w:w="4508" w:type="dxa"/>
          </w:tcPr>
          <w:p w14:paraId="4D7A6446" w14:textId="77777777" w:rsidR="00BA713F" w:rsidRPr="00792B36" w:rsidRDefault="00BA713F" w:rsidP="0096560E">
            <w:pPr>
              <w:spacing w:line="360" w:lineRule="auto"/>
              <w:contextualSpacing/>
              <w:rPr>
                <w:color w:val="000000" w:themeColor="text1"/>
                <w:sz w:val="24"/>
                <w:szCs w:val="24"/>
              </w:rPr>
            </w:pPr>
            <w:r w:rsidRPr="00792B36">
              <w:rPr>
                <w:noProof/>
                <w:color w:val="000000" w:themeColor="text1"/>
                <w:sz w:val="24"/>
                <w:szCs w:val="24"/>
              </w:rPr>
              <w:drawing>
                <wp:inline distT="0" distB="0" distL="0" distR="0" wp14:anchorId="2DD4281A" wp14:editId="6D9EC9BB">
                  <wp:extent cx="2880000" cy="981166"/>
                  <wp:effectExtent l="0" t="0" r="0" b="0"/>
                  <wp:docPr id="1382218012"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60" cstate="print">
                            <a:extLst>
                              <a:ext uri="{28A0092B-C50C-407E-A947-70E740481C1C}">
                                <a14:useLocalDpi xmlns:a14="http://schemas.microsoft.com/office/drawing/2010/main" val="0"/>
                              </a:ext>
                            </a:extLst>
                          </a:blip>
                          <a:srcRect/>
                          <a:stretch>
                            <a:fillRect/>
                          </a:stretch>
                        </pic:blipFill>
                        <pic:spPr bwMode="auto">
                          <a:xfrm>
                            <a:off x="0" y="0"/>
                            <a:ext cx="2880000" cy="981166"/>
                          </a:xfrm>
                          <a:prstGeom prst="rect">
                            <a:avLst/>
                          </a:prstGeom>
                          <a:noFill/>
                        </pic:spPr>
                      </pic:pic>
                    </a:graphicData>
                  </a:graphic>
                </wp:inline>
              </w:drawing>
            </w:r>
          </w:p>
        </w:tc>
        <w:tc>
          <w:tcPr>
            <w:tcW w:w="4509" w:type="dxa"/>
          </w:tcPr>
          <w:p w14:paraId="6B65B8E7" w14:textId="77777777" w:rsidR="00BA713F" w:rsidRPr="00792B36" w:rsidRDefault="00BA713F" w:rsidP="0096560E">
            <w:pPr>
              <w:spacing w:line="360" w:lineRule="auto"/>
              <w:contextualSpacing/>
              <w:rPr>
                <w:color w:val="000000" w:themeColor="text1"/>
                <w:sz w:val="24"/>
                <w:szCs w:val="24"/>
              </w:rPr>
            </w:pPr>
            <w:r w:rsidRPr="00792B36">
              <w:rPr>
                <w:noProof/>
                <w:color w:val="000000" w:themeColor="text1"/>
                <w:sz w:val="24"/>
                <w:szCs w:val="24"/>
              </w:rPr>
              <w:drawing>
                <wp:inline distT="0" distB="0" distL="0" distR="0" wp14:anchorId="6129D29F" wp14:editId="5992BE63">
                  <wp:extent cx="2880000" cy="975999"/>
                  <wp:effectExtent l="0" t="0" r="0" b="0"/>
                  <wp:docPr id="877572197"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61" cstate="print">
                            <a:extLst>
                              <a:ext uri="{28A0092B-C50C-407E-A947-70E740481C1C}">
                                <a14:useLocalDpi xmlns:a14="http://schemas.microsoft.com/office/drawing/2010/main" val="0"/>
                              </a:ext>
                            </a:extLst>
                          </a:blip>
                          <a:srcRect/>
                          <a:stretch>
                            <a:fillRect/>
                          </a:stretch>
                        </pic:blipFill>
                        <pic:spPr bwMode="auto">
                          <a:xfrm>
                            <a:off x="0" y="0"/>
                            <a:ext cx="2880000" cy="975999"/>
                          </a:xfrm>
                          <a:prstGeom prst="rect">
                            <a:avLst/>
                          </a:prstGeom>
                          <a:noFill/>
                        </pic:spPr>
                      </pic:pic>
                    </a:graphicData>
                  </a:graphic>
                </wp:inline>
              </w:drawing>
            </w:r>
          </w:p>
        </w:tc>
      </w:tr>
      <w:tr w:rsidR="00BA713F" w:rsidRPr="00792B36" w14:paraId="6FB7022F" w14:textId="77777777" w:rsidTr="0096560E">
        <w:tc>
          <w:tcPr>
            <w:tcW w:w="4508" w:type="dxa"/>
          </w:tcPr>
          <w:p w14:paraId="3FA43F27" w14:textId="77777777" w:rsidR="00BA713F" w:rsidRPr="00792B36" w:rsidRDefault="00BA713F" w:rsidP="0096560E">
            <w:pPr>
              <w:spacing w:line="360" w:lineRule="auto"/>
              <w:contextualSpacing/>
              <w:rPr>
                <w:color w:val="000000" w:themeColor="text1"/>
                <w:sz w:val="24"/>
                <w:szCs w:val="24"/>
              </w:rPr>
            </w:pPr>
          </w:p>
        </w:tc>
        <w:tc>
          <w:tcPr>
            <w:tcW w:w="4509" w:type="dxa"/>
          </w:tcPr>
          <w:p w14:paraId="1B1780DB" w14:textId="77777777" w:rsidR="00BA713F" w:rsidRPr="00792B36" w:rsidRDefault="00BA713F" w:rsidP="0096560E">
            <w:pPr>
              <w:spacing w:line="360" w:lineRule="auto"/>
              <w:contextualSpacing/>
              <w:rPr>
                <w:color w:val="000000" w:themeColor="text1"/>
                <w:sz w:val="24"/>
                <w:szCs w:val="24"/>
              </w:rPr>
            </w:pPr>
          </w:p>
        </w:tc>
      </w:tr>
      <w:tr w:rsidR="00BA713F" w:rsidRPr="00792B36" w14:paraId="15C67513" w14:textId="77777777" w:rsidTr="0096560E">
        <w:tc>
          <w:tcPr>
            <w:tcW w:w="4508" w:type="dxa"/>
          </w:tcPr>
          <w:p w14:paraId="5ADBC0DB" w14:textId="77777777" w:rsidR="00BA713F" w:rsidRPr="00792B36" w:rsidRDefault="00BA713F" w:rsidP="0096560E">
            <w:pPr>
              <w:spacing w:line="360" w:lineRule="auto"/>
              <w:contextualSpacing/>
              <w:rPr>
                <w:color w:val="000000" w:themeColor="text1"/>
                <w:sz w:val="24"/>
                <w:szCs w:val="24"/>
                <w:cs/>
              </w:rPr>
            </w:pPr>
            <w:r w:rsidRPr="00792B36">
              <w:rPr>
                <w:noProof/>
                <w:color w:val="000000" w:themeColor="text1"/>
                <w:sz w:val="24"/>
                <w:szCs w:val="24"/>
              </w:rPr>
              <w:drawing>
                <wp:inline distT="0" distB="0" distL="0" distR="0" wp14:anchorId="43E47F83" wp14:editId="31EC840D">
                  <wp:extent cx="2880000" cy="916641"/>
                  <wp:effectExtent l="0" t="0" r="0" b="0"/>
                  <wp:docPr id="895258737" name="Picture 15" descr="A graph with different colored line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95258737" name="Picture 15" descr="A graph with different colored lines&#10;&#10;AI-generated content may be incorrect."/>
                          <pic:cNvPicPr>
                            <a:picLocks noChangeAspect="1" noChangeArrowheads="1"/>
                          </pic:cNvPicPr>
                        </pic:nvPicPr>
                        <pic:blipFill>
                          <a:blip r:embed="rId62" cstate="print">
                            <a:extLst>
                              <a:ext uri="{28A0092B-C50C-407E-A947-70E740481C1C}">
                                <a14:useLocalDpi xmlns:a14="http://schemas.microsoft.com/office/drawing/2010/main" val="0"/>
                              </a:ext>
                            </a:extLst>
                          </a:blip>
                          <a:srcRect/>
                          <a:stretch>
                            <a:fillRect/>
                          </a:stretch>
                        </pic:blipFill>
                        <pic:spPr bwMode="auto">
                          <a:xfrm>
                            <a:off x="0" y="0"/>
                            <a:ext cx="2880000" cy="916641"/>
                          </a:xfrm>
                          <a:prstGeom prst="rect">
                            <a:avLst/>
                          </a:prstGeom>
                          <a:noFill/>
                        </pic:spPr>
                      </pic:pic>
                    </a:graphicData>
                  </a:graphic>
                </wp:inline>
              </w:drawing>
            </w:r>
          </w:p>
        </w:tc>
        <w:tc>
          <w:tcPr>
            <w:tcW w:w="4509" w:type="dxa"/>
          </w:tcPr>
          <w:p w14:paraId="3B826E18" w14:textId="77777777" w:rsidR="00BA713F" w:rsidRPr="00792B36" w:rsidRDefault="00BA713F" w:rsidP="0096560E">
            <w:pPr>
              <w:spacing w:line="360" w:lineRule="auto"/>
              <w:contextualSpacing/>
              <w:rPr>
                <w:color w:val="000000" w:themeColor="text1"/>
                <w:sz w:val="24"/>
                <w:szCs w:val="24"/>
              </w:rPr>
            </w:pPr>
            <w:r w:rsidRPr="00792B36">
              <w:rPr>
                <w:noProof/>
                <w:color w:val="000000" w:themeColor="text1"/>
                <w:sz w:val="24"/>
                <w:szCs w:val="24"/>
              </w:rPr>
              <w:drawing>
                <wp:inline distT="0" distB="0" distL="0" distR="0" wp14:anchorId="06659585" wp14:editId="128FCE5D">
                  <wp:extent cx="2880000" cy="897873"/>
                  <wp:effectExtent l="0" t="0" r="0" b="0"/>
                  <wp:docPr id="1623798549"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63" cstate="print">
                            <a:extLst>
                              <a:ext uri="{28A0092B-C50C-407E-A947-70E740481C1C}">
                                <a14:useLocalDpi xmlns:a14="http://schemas.microsoft.com/office/drawing/2010/main" val="0"/>
                              </a:ext>
                            </a:extLst>
                          </a:blip>
                          <a:srcRect/>
                          <a:stretch>
                            <a:fillRect/>
                          </a:stretch>
                        </pic:blipFill>
                        <pic:spPr bwMode="auto">
                          <a:xfrm>
                            <a:off x="0" y="0"/>
                            <a:ext cx="2880000" cy="897873"/>
                          </a:xfrm>
                          <a:prstGeom prst="rect">
                            <a:avLst/>
                          </a:prstGeom>
                          <a:noFill/>
                        </pic:spPr>
                      </pic:pic>
                    </a:graphicData>
                  </a:graphic>
                </wp:inline>
              </w:drawing>
            </w:r>
          </w:p>
        </w:tc>
      </w:tr>
      <w:tr w:rsidR="00BA713F" w:rsidRPr="00792B36" w14:paraId="4D625041" w14:textId="77777777" w:rsidTr="0096560E">
        <w:tc>
          <w:tcPr>
            <w:tcW w:w="4508" w:type="dxa"/>
          </w:tcPr>
          <w:p w14:paraId="79861205" w14:textId="77777777" w:rsidR="00BA713F" w:rsidRPr="00792B36" w:rsidRDefault="00BA713F" w:rsidP="0096560E">
            <w:pPr>
              <w:spacing w:line="360" w:lineRule="auto"/>
              <w:contextualSpacing/>
              <w:rPr>
                <w:noProof/>
                <w:color w:val="000000" w:themeColor="text1"/>
                <w:sz w:val="24"/>
                <w:szCs w:val="24"/>
              </w:rPr>
            </w:pPr>
          </w:p>
        </w:tc>
        <w:tc>
          <w:tcPr>
            <w:tcW w:w="4509" w:type="dxa"/>
          </w:tcPr>
          <w:p w14:paraId="276E4BE5" w14:textId="77777777" w:rsidR="00BA713F" w:rsidRPr="00792B36" w:rsidRDefault="00BA713F" w:rsidP="0096560E">
            <w:pPr>
              <w:spacing w:line="360" w:lineRule="auto"/>
              <w:contextualSpacing/>
              <w:rPr>
                <w:noProof/>
                <w:color w:val="000000" w:themeColor="text1"/>
                <w:sz w:val="24"/>
                <w:szCs w:val="24"/>
              </w:rPr>
            </w:pPr>
          </w:p>
        </w:tc>
      </w:tr>
      <w:tr w:rsidR="00BA713F" w:rsidRPr="00792B36" w14:paraId="11FBC802" w14:textId="77777777" w:rsidTr="0096560E">
        <w:tc>
          <w:tcPr>
            <w:tcW w:w="4508" w:type="dxa"/>
          </w:tcPr>
          <w:p w14:paraId="4FADB311" w14:textId="77777777" w:rsidR="00BA713F" w:rsidRPr="00792B36" w:rsidRDefault="00BA713F" w:rsidP="0096560E">
            <w:pPr>
              <w:spacing w:line="360" w:lineRule="auto"/>
              <w:contextualSpacing/>
              <w:rPr>
                <w:noProof/>
                <w:color w:val="000000" w:themeColor="text1"/>
                <w:sz w:val="24"/>
                <w:szCs w:val="24"/>
              </w:rPr>
            </w:pPr>
            <w:r w:rsidRPr="00792B36">
              <w:rPr>
                <w:noProof/>
                <w:color w:val="000000" w:themeColor="text1"/>
                <w:sz w:val="24"/>
                <w:szCs w:val="24"/>
              </w:rPr>
              <w:drawing>
                <wp:inline distT="0" distB="0" distL="0" distR="0" wp14:anchorId="7E722E9F" wp14:editId="35C2F077">
                  <wp:extent cx="2880000" cy="918313"/>
                  <wp:effectExtent l="0" t="0" r="0" b="0"/>
                  <wp:docPr id="1901108665"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64" cstate="print">
                            <a:extLst>
                              <a:ext uri="{28A0092B-C50C-407E-A947-70E740481C1C}">
                                <a14:useLocalDpi xmlns:a14="http://schemas.microsoft.com/office/drawing/2010/main" val="0"/>
                              </a:ext>
                            </a:extLst>
                          </a:blip>
                          <a:srcRect/>
                          <a:stretch>
                            <a:fillRect/>
                          </a:stretch>
                        </pic:blipFill>
                        <pic:spPr bwMode="auto">
                          <a:xfrm>
                            <a:off x="0" y="0"/>
                            <a:ext cx="2880000" cy="918313"/>
                          </a:xfrm>
                          <a:prstGeom prst="rect">
                            <a:avLst/>
                          </a:prstGeom>
                          <a:noFill/>
                        </pic:spPr>
                      </pic:pic>
                    </a:graphicData>
                  </a:graphic>
                </wp:inline>
              </w:drawing>
            </w:r>
          </w:p>
        </w:tc>
        <w:tc>
          <w:tcPr>
            <w:tcW w:w="4509" w:type="dxa"/>
          </w:tcPr>
          <w:p w14:paraId="55BB6AC4" w14:textId="77777777" w:rsidR="00BA713F" w:rsidRPr="00792B36" w:rsidRDefault="00BA713F" w:rsidP="0096560E">
            <w:pPr>
              <w:spacing w:line="360" w:lineRule="auto"/>
              <w:contextualSpacing/>
              <w:rPr>
                <w:noProof/>
                <w:color w:val="000000" w:themeColor="text1"/>
                <w:sz w:val="24"/>
                <w:szCs w:val="24"/>
              </w:rPr>
            </w:pPr>
            <w:r w:rsidRPr="00792B36">
              <w:rPr>
                <w:noProof/>
                <w:color w:val="000000" w:themeColor="text1"/>
                <w:sz w:val="24"/>
                <w:szCs w:val="24"/>
              </w:rPr>
              <w:drawing>
                <wp:inline distT="0" distB="0" distL="0" distR="0" wp14:anchorId="52AF065B" wp14:editId="5BBE7CB4">
                  <wp:extent cx="2880000" cy="910758"/>
                  <wp:effectExtent l="0" t="0" r="0" b="3810"/>
                  <wp:docPr id="1474978889"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65" cstate="print">
                            <a:extLst>
                              <a:ext uri="{28A0092B-C50C-407E-A947-70E740481C1C}">
                                <a14:useLocalDpi xmlns:a14="http://schemas.microsoft.com/office/drawing/2010/main" val="0"/>
                              </a:ext>
                            </a:extLst>
                          </a:blip>
                          <a:srcRect/>
                          <a:stretch>
                            <a:fillRect/>
                          </a:stretch>
                        </pic:blipFill>
                        <pic:spPr bwMode="auto">
                          <a:xfrm>
                            <a:off x="0" y="0"/>
                            <a:ext cx="2880000" cy="910758"/>
                          </a:xfrm>
                          <a:prstGeom prst="rect">
                            <a:avLst/>
                          </a:prstGeom>
                          <a:noFill/>
                        </pic:spPr>
                      </pic:pic>
                    </a:graphicData>
                  </a:graphic>
                </wp:inline>
              </w:drawing>
            </w:r>
          </w:p>
        </w:tc>
      </w:tr>
      <w:tr w:rsidR="00BA713F" w:rsidRPr="00792B36" w14:paraId="42DBADE5" w14:textId="77777777" w:rsidTr="0096560E">
        <w:tc>
          <w:tcPr>
            <w:tcW w:w="4508" w:type="dxa"/>
          </w:tcPr>
          <w:p w14:paraId="0334B04C" w14:textId="77777777" w:rsidR="00BA713F" w:rsidRPr="00792B36" w:rsidRDefault="00BA713F" w:rsidP="0096560E">
            <w:pPr>
              <w:spacing w:line="360" w:lineRule="auto"/>
              <w:contextualSpacing/>
              <w:rPr>
                <w:color w:val="000000" w:themeColor="text1"/>
                <w:sz w:val="24"/>
                <w:szCs w:val="24"/>
              </w:rPr>
            </w:pPr>
          </w:p>
        </w:tc>
        <w:tc>
          <w:tcPr>
            <w:tcW w:w="4509" w:type="dxa"/>
          </w:tcPr>
          <w:p w14:paraId="175C1699" w14:textId="77777777" w:rsidR="00BA713F" w:rsidRPr="00792B36" w:rsidRDefault="00BA713F" w:rsidP="0096560E">
            <w:pPr>
              <w:spacing w:line="360" w:lineRule="auto"/>
              <w:contextualSpacing/>
              <w:rPr>
                <w:color w:val="000000" w:themeColor="text1"/>
                <w:sz w:val="24"/>
                <w:szCs w:val="24"/>
              </w:rPr>
            </w:pPr>
          </w:p>
        </w:tc>
      </w:tr>
      <w:tr w:rsidR="00BA713F" w:rsidRPr="00792B36" w14:paraId="3DCBE14D" w14:textId="77777777" w:rsidTr="0096560E">
        <w:tc>
          <w:tcPr>
            <w:tcW w:w="9017" w:type="dxa"/>
            <w:gridSpan w:val="2"/>
          </w:tcPr>
          <w:p w14:paraId="00AB1186" w14:textId="77777777" w:rsidR="00BA713F" w:rsidRPr="00792B36" w:rsidRDefault="00BA713F" w:rsidP="0096560E">
            <w:pPr>
              <w:spacing w:line="360" w:lineRule="auto"/>
              <w:contextualSpacing/>
              <w:jc w:val="center"/>
              <w:rPr>
                <w:color w:val="000000" w:themeColor="text1"/>
                <w:sz w:val="24"/>
                <w:szCs w:val="24"/>
              </w:rPr>
            </w:pPr>
            <w:r w:rsidRPr="00792B36">
              <w:rPr>
                <w:b/>
                <w:bCs/>
                <w:color w:val="000000" w:themeColor="text1"/>
                <w:sz w:val="24"/>
                <w:szCs w:val="24"/>
              </w:rPr>
              <w:lastRenderedPageBreak/>
              <w:t>Figure</w:t>
            </w:r>
            <w:r w:rsidRPr="00792B36">
              <w:rPr>
                <w:color w:val="000000" w:themeColor="text1"/>
                <w:sz w:val="24"/>
                <w:szCs w:val="24"/>
              </w:rPr>
              <w:t xml:space="preserve"> </w:t>
            </w:r>
            <w:r w:rsidRPr="00792B36">
              <w:rPr>
                <w:b/>
                <w:bCs/>
                <w:color w:val="000000" w:themeColor="text1"/>
                <w:sz w:val="24"/>
                <w:szCs w:val="24"/>
              </w:rPr>
              <w:t xml:space="preserve">2.14 </w:t>
            </w:r>
            <w:r w:rsidRPr="00792B36">
              <w:rPr>
                <w:color w:val="000000" w:themeColor="text1"/>
                <w:sz w:val="24"/>
                <w:szCs w:val="24"/>
              </w:rPr>
              <w:t>GDP per capita by sector (agriculture, industrial, services) of coastal provinces along the Gulf of Thailand (1995-2018)</w:t>
            </w:r>
            <w:r w:rsidRPr="00792B36">
              <w:rPr>
                <w:color w:val="000000" w:themeColor="text1"/>
                <w:sz w:val="24"/>
                <w:szCs w:val="24"/>
                <w:cs/>
              </w:rPr>
              <w:t xml:space="preserve"> </w:t>
            </w:r>
          </w:p>
        </w:tc>
      </w:tr>
    </w:tbl>
    <w:p w14:paraId="518F137A" w14:textId="77777777" w:rsidR="00BA713F" w:rsidRPr="00792B36" w:rsidRDefault="00BA713F" w:rsidP="00BA713F">
      <w:pPr>
        <w:pBdr>
          <w:top w:val="nil"/>
          <w:left w:val="nil"/>
          <w:bottom w:val="nil"/>
          <w:right w:val="nil"/>
          <w:between w:val="nil"/>
        </w:pBdr>
        <w:spacing w:line="360" w:lineRule="auto"/>
        <w:contextualSpacing/>
        <w:jc w:val="center"/>
        <w:rPr>
          <w:color w:val="000000" w:themeColor="text1"/>
          <w:sz w:val="20"/>
          <w:szCs w:val="20"/>
        </w:rPr>
      </w:pPr>
      <w:r w:rsidRPr="00792B36">
        <w:rPr>
          <w:color w:val="000000" w:themeColor="text1"/>
          <w:sz w:val="20"/>
          <w:szCs w:val="20"/>
        </w:rPr>
        <w:t xml:space="preserve">Source: </w:t>
      </w:r>
      <w:bookmarkStart w:id="11" w:name="_Hlk213613961"/>
      <w:r w:rsidRPr="00792B36">
        <w:rPr>
          <w:color w:val="000000" w:themeColor="text1"/>
          <w:sz w:val="20"/>
          <w:szCs w:val="20"/>
        </w:rPr>
        <w:t xml:space="preserve">Office of the National Economic and Social Development Council. 2025. GDP. </w:t>
      </w:r>
      <w:r w:rsidRPr="00792B36">
        <w:fldChar w:fldCharType="begin"/>
      </w:r>
      <w:r w:rsidRPr="00792B36">
        <w:instrText>HYPERLINK "https://www.nesdc.go.th/nesdb_en/more_news.php?cid=156&amp;filename=index"</w:instrText>
      </w:r>
      <w:r w:rsidRPr="00792B36">
        <w:fldChar w:fldCharType="separate"/>
      </w:r>
      <w:r w:rsidRPr="00792B36">
        <w:rPr>
          <w:rStyle w:val="Hyperlink"/>
          <w:color w:val="000000" w:themeColor="text1"/>
          <w:sz w:val="20"/>
          <w:szCs w:val="20"/>
        </w:rPr>
        <w:t>https://www.nesdc.go.th/nesdb_en/more_news.php?cid=156&amp;filename=index</w:t>
      </w:r>
      <w:r w:rsidRPr="00792B36">
        <w:fldChar w:fldCharType="end"/>
      </w:r>
      <w:r w:rsidRPr="00792B36">
        <w:rPr>
          <w:color w:val="000000" w:themeColor="text1"/>
          <w:sz w:val="20"/>
          <w:szCs w:val="20"/>
        </w:rPr>
        <w:t xml:space="preserve"> (Accessed 21 Apr 2025)</w:t>
      </w:r>
    </w:p>
    <w:bookmarkEnd w:id="11"/>
    <w:p w14:paraId="78EAFFB7" w14:textId="77777777" w:rsidR="00BA713F" w:rsidRPr="00792B36" w:rsidRDefault="00BA713F" w:rsidP="00BA713F">
      <w:pPr>
        <w:pBdr>
          <w:top w:val="nil"/>
          <w:left w:val="nil"/>
          <w:bottom w:val="nil"/>
          <w:right w:val="nil"/>
          <w:between w:val="nil"/>
        </w:pBdr>
        <w:spacing w:line="360" w:lineRule="auto"/>
        <w:contextualSpacing/>
        <w:rPr>
          <w:color w:val="000000" w:themeColor="text1"/>
          <w:sz w:val="24"/>
          <w:szCs w:val="24"/>
        </w:rPr>
      </w:pPr>
    </w:p>
    <w:p w14:paraId="6A610BDC" w14:textId="77777777" w:rsidR="00BA713F" w:rsidRPr="00792B36" w:rsidRDefault="00BA713F" w:rsidP="00BA713F">
      <w:pPr>
        <w:pBdr>
          <w:top w:val="nil"/>
          <w:left w:val="nil"/>
          <w:bottom w:val="nil"/>
          <w:right w:val="nil"/>
          <w:between w:val="nil"/>
        </w:pBdr>
        <w:spacing w:line="360" w:lineRule="auto"/>
        <w:contextualSpacing/>
        <w:jc w:val="both"/>
        <w:rPr>
          <w:color w:val="000000" w:themeColor="text1"/>
          <w:sz w:val="24"/>
          <w:szCs w:val="24"/>
        </w:rPr>
      </w:pPr>
      <w:r w:rsidRPr="00792B36">
        <w:rPr>
          <w:color w:val="000000" w:themeColor="text1"/>
          <w:sz w:val="24"/>
          <w:szCs w:val="24"/>
        </w:rPr>
        <w:t>A broader comparison highlights clear differences between the national economy and Bangkok. The capital is heavily reliant on the service sector, consistent with its role as the primary commercial hub. Nationally, the economic structure is more balanced, featuring strong contributions from both services and industry, the latter supported by export-oriented investments. In both contexts, agriculture is no longer the dominant sector, though it remains a supporting pillar of the economy.</w:t>
      </w:r>
    </w:p>
    <w:p w14:paraId="2810E4D8" w14:textId="77777777" w:rsidR="00BA713F" w:rsidRPr="00792B36" w:rsidRDefault="00BA713F" w:rsidP="00BA713F">
      <w:pPr>
        <w:pBdr>
          <w:top w:val="nil"/>
          <w:left w:val="nil"/>
          <w:bottom w:val="nil"/>
          <w:right w:val="nil"/>
          <w:between w:val="nil"/>
        </w:pBdr>
        <w:spacing w:line="360" w:lineRule="auto"/>
        <w:contextualSpacing/>
        <w:jc w:val="both"/>
        <w:rPr>
          <w:color w:val="000000" w:themeColor="text1"/>
          <w:sz w:val="24"/>
          <w:szCs w:val="24"/>
        </w:rPr>
      </w:pPr>
    </w:p>
    <w:p w14:paraId="2B27F7DB" w14:textId="77777777" w:rsidR="00BA713F" w:rsidRPr="00792B36" w:rsidRDefault="00BA713F" w:rsidP="00BA713F">
      <w:pPr>
        <w:pBdr>
          <w:top w:val="nil"/>
          <w:left w:val="nil"/>
          <w:bottom w:val="nil"/>
          <w:right w:val="nil"/>
          <w:between w:val="nil"/>
        </w:pBdr>
        <w:spacing w:line="360" w:lineRule="auto"/>
        <w:contextualSpacing/>
        <w:rPr>
          <w:b/>
          <w:bCs/>
          <w:color w:val="000000" w:themeColor="text1"/>
          <w:sz w:val="24"/>
          <w:szCs w:val="24"/>
        </w:rPr>
      </w:pPr>
      <w:r w:rsidRPr="00792B36">
        <w:rPr>
          <w:b/>
          <w:bCs/>
          <w:color w:val="000000" w:themeColor="text1"/>
          <w:sz w:val="24"/>
          <w:szCs w:val="24"/>
        </w:rPr>
        <w:t xml:space="preserve">Sustainable fisheries contribution to GDP </w:t>
      </w:r>
    </w:p>
    <w:p w14:paraId="375C47AE" w14:textId="77777777" w:rsidR="00BA713F" w:rsidRPr="00792B36" w:rsidRDefault="00BA713F" w:rsidP="00BA713F">
      <w:pPr>
        <w:pBdr>
          <w:top w:val="nil"/>
          <w:left w:val="nil"/>
          <w:bottom w:val="nil"/>
          <w:right w:val="nil"/>
          <w:between w:val="nil"/>
        </w:pBdr>
        <w:spacing w:line="360" w:lineRule="auto"/>
        <w:contextualSpacing/>
        <w:jc w:val="thaiDistribute"/>
        <w:rPr>
          <w:color w:val="000000" w:themeColor="text1"/>
          <w:sz w:val="24"/>
          <w:szCs w:val="24"/>
        </w:rPr>
      </w:pPr>
      <w:r w:rsidRPr="00792B36">
        <w:rPr>
          <w:color w:val="000000" w:themeColor="text1"/>
          <w:sz w:val="24"/>
          <w:szCs w:val="24"/>
        </w:rPr>
        <w:t xml:space="preserve">Between 2011 and 2021, the contribution of sustainable fisheries to Thailand’s GDP dropped from 0.45% to 0.28% </w:t>
      </w:r>
      <w:r w:rsidRPr="00792B36">
        <w:rPr>
          <w:b/>
          <w:bCs/>
          <w:color w:val="000000" w:themeColor="text1"/>
          <w:sz w:val="24"/>
          <w:szCs w:val="24"/>
        </w:rPr>
        <w:t>(Figure 2.15)</w:t>
      </w:r>
      <w:r w:rsidRPr="00792B36">
        <w:rPr>
          <w:color w:val="000000" w:themeColor="text1"/>
          <w:sz w:val="24"/>
          <w:szCs w:val="24"/>
        </w:rPr>
        <w:t>. This downward trend coincided with a period of broader structural shifts in the economy and the strict enforcement of measures against Illegal, Unreported, and Unregulated (IUU) fishing. In this changing environment, the sector faces the critical task of balancing ecological compliance with the economic stability of fishing communities.</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020"/>
      </w:tblGrid>
      <w:tr w:rsidR="00BA713F" w:rsidRPr="00792B36" w14:paraId="4C4EA9CA" w14:textId="77777777" w:rsidTr="0096560E">
        <w:tc>
          <w:tcPr>
            <w:tcW w:w="9027" w:type="dxa"/>
          </w:tcPr>
          <w:p w14:paraId="6A369DBF" w14:textId="77777777" w:rsidR="00BA713F" w:rsidRPr="00792B36" w:rsidRDefault="00BA713F" w:rsidP="0096560E">
            <w:pPr>
              <w:spacing w:line="360" w:lineRule="auto"/>
              <w:contextualSpacing/>
              <w:jc w:val="center"/>
              <w:rPr>
                <w:color w:val="000000" w:themeColor="text1"/>
                <w:sz w:val="24"/>
                <w:szCs w:val="24"/>
              </w:rPr>
            </w:pPr>
            <w:r w:rsidRPr="00792B36">
              <w:rPr>
                <w:noProof/>
                <w:color w:val="000000" w:themeColor="text1"/>
                <w:sz w:val="24"/>
                <w:szCs w:val="24"/>
              </w:rPr>
              <w:drawing>
                <wp:inline distT="0" distB="0" distL="0" distR="0" wp14:anchorId="7FF600E0" wp14:editId="1B8CA0B7">
                  <wp:extent cx="5039560" cy="2604943"/>
                  <wp:effectExtent l="0" t="0" r="8890" b="5080"/>
                  <wp:docPr id="52724076" name="Picture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6"/>
                          <pic:cNvPicPr>
                            <a:picLocks noChangeAspect="1" noChangeArrowheads="1"/>
                          </pic:cNvPicPr>
                        </pic:nvPicPr>
                        <pic:blipFill rotWithShape="1">
                          <a:blip r:embed="rId66">
                            <a:extLst>
                              <a:ext uri="{28A0092B-C50C-407E-A947-70E740481C1C}">
                                <a14:useLocalDpi xmlns:a14="http://schemas.microsoft.com/office/drawing/2010/main" val="0"/>
                              </a:ext>
                            </a:extLst>
                          </a:blip>
                          <a:srcRect t="8737"/>
                          <a:stretch>
                            <a:fillRect/>
                          </a:stretch>
                        </pic:blipFill>
                        <pic:spPr bwMode="auto">
                          <a:xfrm>
                            <a:off x="0" y="0"/>
                            <a:ext cx="5040000" cy="2605170"/>
                          </a:xfrm>
                          <a:prstGeom prst="rect">
                            <a:avLst/>
                          </a:prstGeom>
                          <a:noFill/>
                          <a:ln>
                            <a:noFill/>
                          </a:ln>
                          <a:extLst>
                            <a:ext uri="{53640926-AAD7-44D8-BBD7-CCE9431645EC}">
                              <a14:shadowObscured xmlns:a14="http://schemas.microsoft.com/office/drawing/2010/main"/>
                            </a:ext>
                          </a:extLst>
                        </pic:spPr>
                      </pic:pic>
                    </a:graphicData>
                  </a:graphic>
                </wp:inline>
              </w:drawing>
            </w:r>
          </w:p>
        </w:tc>
      </w:tr>
      <w:tr w:rsidR="00BA713F" w:rsidRPr="00792B36" w14:paraId="721E04AE" w14:textId="77777777" w:rsidTr="0096560E">
        <w:tc>
          <w:tcPr>
            <w:tcW w:w="9027" w:type="dxa"/>
          </w:tcPr>
          <w:p w14:paraId="00D47876" w14:textId="77777777" w:rsidR="00BA713F" w:rsidRPr="00792B36" w:rsidRDefault="00BA713F" w:rsidP="0096560E">
            <w:pPr>
              <w:spacing w:line="360" w:lineRule="auto"/>
              <w:contextualSpacing/>
              <w:rPr>
                <w:color w:val="000000" w:themeColor="text1"/>
                <w:sz w:val="24"/>
                <w:szCs w:val="24"/>
              </w:rPr>
            </w:pPr>
          </w:p>
        </w:tc>
      </w:tr>
      <w:tr w:rsidR="00BA713F" w:rsidRPr="00792B36" w14:paraId="02CE346C" w14:textId="77777777" w:rsidTr="0096560E">
        <w:tc>
          <w:tcPr>
            <w:tcW w:w="9027" w:type="dxa"/>
          </w:tcPr>
          <w:p w14:paraId="04A681CC" w14:textId="77777777" w:rsidR="00BA713F" w:rsidRPr="00792B36" w:rsidRDefault="00BA713F" w:rsidP="0096560E">
            <w:pPr>
              <w:spacing w:line="360" w:lineRule="auto"/>
              <w:contextualSpacing/>
              <w:jc w:val="center"/>
              <w:rPr>
                <w:color w:val="000000" w:themeColor="text1"/>
                <w:sz w:val="24"/>
                <w:szCs w:val="24"/>
              </w:rPr>
            </w:pPr>
            <w:r w:rsidRPr="00792B36">
              <w:rPr>
                <w:b/>
                <w:bCs/>
                <w:color w:val="000000" w:themeColor="text1"/>
                <w:sz w:val="24"/>
                <w:szCs w:val="24"/>
              </w:rPr>
              <w:t>Figure 2.15</w:t>
            </w:r>
            <w:r w:rsidRPr="00792B36">
              <w:rPr>
                <w:color w:val="000000" w:themeColor="text1"/>
                <w:sz w:val="24"/>
                <w:szCs w:val="24"/>
              </w:rPr>
              <w:t xml:space="preserve"> Sustainable fisheries as a percentage of GDP in Thailand (2011-2021)</w:t>
            </w:r>
          </w:p>
        </w:tc>
      </w:tr>
    </w:tbl>
    <w:p w14:paraId="3BBDC763" w14:textId="77777777" w:rsidR="00BA713F" w:rsidRPr="00792B36" w:rsidRDefault="00BA713F" w:rsidP="00BA713F">
      <w:pPr>
        <w:pBdr>
          <w:top w:val="nil"/>
          <w:left w:val="nil"/>
          <w:bottom w:val="nil"/>
          <w:right w:val="nil"/>
          <w:between w:val="nil"/>
        </w:pBdr>
        <w:spacing w:line="360" w:lineRule="auto"/>
        <w:contextualSpacing/>
        <w:jc w:val="center"/>
        <w:rPr>
          <w:color w:val="000000" w:themeColor="text1"/>
          <w:sz w:val="20"/>
          <w:szCs w:val="20"/>
        </w:rPr>
      </w:pPr>
      <w:r w:rsidRPr="00792B36">
        <w:rPr>
          <w:color w:val="000000" w:themeColor="text1"/>
          <w:sz w:val="20"/>
          <w:szCs w:val="20"/>
        </w:rPr>
        <w:t xml:space="preserve">Source: </w:t>
      </w:r>
      <w:bookmarkStart w:id="12" w:name="_Hlk213613999"/>
      <w:r w:rsidRPr="00792B36">
        <w:rPr>
          <w:color w:val="000000" w:themeColor="text1"/>
          <w:sz w:val="20"/>
          <w:szCs w:val="20"/>
        </w:rPr>
        <w:t xml:space="preserve">FAO. 2025. Sustainable fisheries as a proportion of GDP. </w:t>
      </w:r>
      <w:r w:rsidRPr="00792B36">
        <w:fldChar w:fldCharType="begin"/>
      </w:r>
      <w:r w:rsidRPr="00792B36">
        <w:instrText>HYPERLINK "https://de-public-statsuite.fao.org/"</w:instrText>
      </w:r>
      <w:r w:rsidRPr="00792B36">
        <w:fldChar w:fldCharType="separate"/>
      </w:r>
      <w:r w:rsidRPr="00792B36">
        <w:rPr>
          <w:rStyle w:val="Hyperlink"/>
          <w:color w:val="000000" w:themeColor="text1"/>
          <w:sz w:val="20"/>
          <w:szCs w:val="20"/>
        </w:rPr>
        <w:t>https://de-public-statsuite.fao.org/</w:t>
      </w:r>
      <w:r w:rsidRPr="00792B36">
        <w:fldChar w:fldCharType="end"/>
      </w:r>
      <w:r w:rsidRPr="00792B36">
        <w:rPr>
          <w:color w:val="000000" w:themeColor="text1"/>
          <w:sz w:val="20"/>
          <w:szCs w:val="20"/>
        </w:rPr>
        <w:t xml:space="preserve"> </w:t>
      </w:r>
      <w:r w:rsidRPr="00792B36">
        <w:rPr>
          <w:color w:val="000000" w:themeColor="text1"/>
          <w:sz w:val="20"/>
          <w:szCs w:val="20"/>
        </w:rPr>
        <w:lastRenderedPageBreak/>
        <w:t>(Accessed 25 June 2025)</w:t>
      </w:r>
    </w:p>
    <w:bookmarkEnd w:id="12"/>
    <w:p w14:paraId="7A96E4A0" w14:textId="77777777" w:rsidR="00BA713F" w:rsidRPr="00792B36" w:rsidRDefault="00BA713F" w:rsidP="00BA713F">
      <w:pPr>
        <w:pBdr>
          <w:top w:val="nil"/>
          <w:left w:val="nil"/>
          <w:bottom w:val="nil"/>
          <w:right w:val="nil"/>
          <w:between w:val="nil"/>
        </w:pBdr>
        <w:spacing w:line="360" w:lineRule="auto"/>
        <w:contextualSpacing/>
        <w:rPr>
          <w:color w:val="000000" w:themeColor="text1"/>
          <w:sz w:val="24"/>
          <w:szCs w:val="24"/>
        </w:rPr>
      </w:pPr>
    </w:p>
    <w:p w14:paraId="09CDBFCB" w14:textId="77777777" w:rsidR="00BA713F" w:rsidRPr="00792B36" w:rsidRDefault="00BA713F" w:rsidP="00BA713F">
      <w:pPr>
        <w:pBdr>
          <w:top w:val="nil"/>
          <w:left w:val="nil"/>
          <w:bottom w:val="nil"/>
          <w:right w:val="nil"/>
          <w:between w:val="nil"/>
        </w:pBdr>
        <w:spacing w:line="360" w:lineRule="auto"/>
        <w:contextualSpacing/>
        <w:rPr>
          <w:b/>
          <w:bCs/>
          <w:color w:val="000000" w:themeColor="text1"/>
          <w:sz w:val="24"/>
          <w:szCs w:val="24"/>
        </w:rPr>
      </w:pPr>
      <w:r w:rsidRPr="00792B36">
        <w:rPr>
          <w:b/>
          <w:bCs/>
          <w:color w:val="000000" w:themeColor="text1"/>
          <w:sz w:val="24"/>
          <w:szCs w:val="24"/>
        </w:rPr>
        <w:t>Tourism percent of GDP</w:t>
      </w:r>
    </w:p>
    <w:p w14:paraId="3543975A" w14:textId="77777777" w:rsidR="00BA713F" w:rsidRPr="00792B36" w:rsidRDefault="00BA713F" w:rsidP="00BA713F">
      <w:pPr>
        <w:pBdr>
          <w:top w:val="nil"/>
          <w:left w:val="nil"/>
          <w:bottom w:val="nil"/>
          <w:right w:val="nil"/>
          <w:between w:val="nil"/>
        </w:pBdr>
        <w:spacing w:line="360" w:lineRule="auto"/>
        <w:contextualSpacing/>
        <w:jc w:val="both"/>
        <w:rPr>
          <w:color w:val="000000" w:themeColor="text1"/>
          <w:sz w:val="24"/>
          <w:szCs w:val="24"/>
        </w:rPr>
      </w:pPr>
      <w:r w:rsidRPr="00792B36">
        <w:rPr>
          <w:color w:val="000000" w:themeColor="text1"/>
          <w:sz w:val="24"/>
          <w:szCs w:val="24"/>
        </w:rPr>
        <w:t xml:space="preserve">Thailand’s tourism sector saw robust growth between 2010 and 2019, with its GDP contribution climbing from 3.56% to a peak of over 7.4% </w:t>
      </w:r>
      <w:r w:rsidRPr="00792B36">
        <w:rPr>
          <w:b/>
          <w:bCs/>
          <w:color w:val="000000" w:themeColor="text1"/>
          <w:sz w:val="24"/>
          <w:szCs w:val="24"/>
        </w:rPr>
        <w:t>(Figure 2.16)</w:t>
      </w:r>
      <w:r w:rsidRPr="00792B36">
        <w:rPr>
          <w:color w:val="000000" w:themeColor="text1"/>
          <w:sz w:val="24"/>
          <w:szCs w:val="24"/>
        </w:rPr>
        <w:t>. This expansion established tourism as a critical economic driver, particularly for coastal destinations like Phuket and Chon Buri, while also increasing the demand for infrastructure and resources. The trend, however, was drastically reversed by the COVID-19 pandemic, which caused the sector’s share to drop to 0.84% by 2021 due to global travel disruptions.</w:t>
      </w:r>
    </w:p>
    <w:p w14:paraId="7D1231E8" w14:textId="77777777" w:rsidR="00BA713F" w:rsidRPr="00792B36" w:rsidRDefault="00BA713F" w:rsidP="00BA713F">
      <w:pPr>
        <w:pBdr>
          <w:top w:val="nil"/>
          <w:left w:val="nil"/>
          <w:bottom w:val="nil"/>
          <w:right w:val="nil"/>
          <w:between w:val="nil"/>
        </w:pBdr>
        <w:spacing w:line="360" w:lineRule="auto"/>
        <w:contextualSpacing/>
        <w:jc w:val="both"/>
        <w:rPr>
          <w:b/>
          <w:bCs/>
          <w:color w:val="000000" w:themeColor="text1"/>
          <w:sz w:val="24"/>
          <w:szCs w:val="24"/>
        </w:rPr>
      </w:pPr>
    </w:p>
    <w:tbl>
      <w:tblPr>
        <w:tblStyle w:val="TableGrid"/>
        <w:tblW w:w="0" w:type="auto"/>
        <w:tblInd w:w="-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025"/>
      </w:tblGrid>
      <w:tr w:rsidR="00BA713F" w:rsidRPr="00792B36" w14:paraId="4146A7F8" w14:textId="77777777" w:rsidTr="0096560E">
        <w:tc>
          <w:tcPr>
            <w:tcW w:w="9350" w:type="dxa"/>
          </w:tcPr>
          <w:p w14:paraId="3E1185CC" w14:textId="77777777" w:rsidR="00BA713F" w:rsidRPr="00792B36" w:rsidRDefault="00BA713F" w:rsidP="0096560E">
            <w:pPr>
              <w:spacing w:line="360" w:lineRule="auto"/>
              <w:contextualSpacing/>
              <w:jc w:val="center"/>
              <w:rPr>
                <w:color w:val="000000" w:themeColor="text1"/>
                <w:sz w:val="24"/>
                <w:szCs w:val="24"/>
              </w:rPr>
            </w:pPr>
            <w:r w:rsidRPr="00792B36">
              <w:rPr>
                <w:noProof/>
                <w:color w:val="000000" w:themeColor="text1"/>
                <w:sz w:val="24"/>
                <w:szCs w:val="24"/>
              </w:rPr>
              <w:drawing>
                <wp:inline distT="0" distB="0" distL="0" distR="0" wp14:anchorId="7CFE5263" wp14:editId="43AB8BDD">
                  <wp:extent cx="5400000" cy="2406354"/>
                  <wp:effectExtent l="0" t="0" r="0" b="0"/>
                  <wp:docPr id="28925670" name="Picture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7"/>
                          <pic:cNvPicPr>
                            <a:picLocks noChangeAspect="1" noChangeArrowheads="1"/>
                          </pic:cNvPicPr>
                        </pic:nvPicPr>
                        <pic:blipFill>
                          <a:blip r:embed="rId67">
                            <a:extLst>
                              <a:ext uri="{28A0092B-C50C-407E-A947-70E740481C1C}">
                                <a14:useLocalDpi xmlns:a14="http://schemas.microsoft.com/office/drawing/2010/main" val="0"/>
                              </a:ext>
                            </a:extLst>
                          </a:blip>
                          <a:srcRect/>
                          <a:stretch>
                            <a:fillRect/>
                          </a:stretch>
                        </pic:blipFill>
                        <pic:spPr bwMode="auto">
                          <a:xfrm>
                            <a:off x="0" y="0"/>
                            <a:ext cx="5400000" cy="2406354"/>
                          </a:xfrm>
                          <a:prstGeom prst="rect">
                            <a:avLst/>
                          </a:prstGeom>
                          <a:noFill/>
                        </pic:spPr>
                      </pic:pic>
                    </a:graphicData>
                  </a:graphic>
                </wp:inline>
              </w:drawing>
            </w:r>
          </w:p>
        </w:tc>
      </w:tr>
      <w:tr w:rsidR="00BA713F" w:rsidRPr="00792B36" w14:paraId="6B277D47" w14:textId="77777777" w:rsidTr="0096560E">
        <w:tc>
          <w:tcPr>
            <w:tcW w:w="9350" w:type="dxa"/>
          </w:tcPr>
          <w:p w14:paraId="4EA6AC29" w14:textId="77777777" w:rsidR="00BA713F" w:rsidRPr="00792B36" w:rsidRDefault="00BA713F" w:rsidP="0096560E">
            <w:pPr>
              <w:spacing w:line="360" w:lineRule="auto"/>
              <w:contextualSpacing/>
              <w:rPr>
                <w:color w:val="000000" w:themeColor="text1"/>
                <w:sz w:val="24"/>
                <w:szCs w:val="24"/>
              </w:rPr>
            </w:pPr>
          </w:p>
        </w:tc>
      </w:tr>
      <w:tr w:rsidR="00BA713F" w:rsidRPr="00792B36" w14:paraId="010EC6C5" w14:textId="77777777" w:rsidTr="0096560E">
        <w:tc>
          <w:tcPr>
            <w:tcW w:w="9350" w:type="dxa"/>
          </w:tcPr>
          <w:p w14:paraId="64FE0B92" w14:textId="77777777" w:rsidR="00BA713F" w:rsidRPr="00792B36" w:rsidRDefault="00BA713F" w:rsidP="0096560E">
            <w:pPr>
              <w:spacing w:line="360" w:lineRule="auto"/>
              <w:contextualSpacing/>
              <w:jc w:val="center"/>
              <w:rPr>
                <w:color w:val="000000" w:themeColor="text1"/>
                <w:sz w:val="24"/>
                <w:szCs w:val="24"/>
              </w:rPr>
            </w:pPr>
            <w:r w:rsidRPr="00792B36">
              <w:rPr>
                <w:b/>
                <w:bCs/>
                <w:color w:val="000000" w:themeColor="text1"/>
                <w:sz w:val="24"/>
                <w:szCs w:val="24"/>
              </w:rPr>
              <w:t>Figure 2.16</w:t>
            </w:r>
            <w:r w:rsidRPr="00792B36">
              <w:rPr>
                <w:color w:val="000000" w:themeColor="text1"/>
                <w:sz w:val="24"/>
                <w:szCs w:val="24"/>
              </w:rPr>
              <w:t xml:space="preserve"> Tourism as a percentage of GDP in Thailand (2011-2021)</w:t>
            </w:r>
          </w:p>
        </w:tc>
      </w:tr>
    </w:tbl>
    <w:p w14:paraId="2EEC282B" w14:textId="77777777" w:rsidR="00BA713F" w:rsidRPr="00792B36" w:rsidRDefault="00BA713F" w:rsidP="00BA713F">
      <w:pPr>
        <w:spacing w:line="360" w:lineRule="auto"/>
        <w:contextualSpacing/>
        <w:jc w:val="center"/>
        <w:rPr>
          <w:color w:val="000000" w:themeColor="text1"/>
          <w:sz w:val="20"/>
          <w:szCs w:val="20"/>
        </w:rPr>
      </w:pPr>
      <w:r w:rsidRPr="00792B36">
        <w:rPr>
          <w:color w:val="000000" w:themeColor="text1"/>
          <w:sz w:val="20"/>
          <w:szCs w:val="20"/>
        </w:rPr>
        <w:t xml:space="preserve">Source: </w:t>
      </w:r>
      <w:bookmarkStart w:id="13" w:name="_Hlk213614030"/>
      <w:r w:rsidRPr="00792B36">
        <w:rPr>
          <w:color w:val="000000" w:themeColor="text1"/>
          <w:sz w:val="20"/>
          <w:szCs w:val="20"/>
        </w:rPr>
        <w:t xml:space="preserve">Our World in Data. 2024.  Tourism’s contribution to GDP. </w:t>
      </w:r>
      <w:r w:rsidRPr="00792B36">
        <w:fldChar w:fldCharType="begin"/>
      </w:r>
      <w:r w:rsidRPr="00792B36">
        <w:instrText>HYPERLINK "https://www.unwto.org/tourism-statistics/economic-contribution-SDG" \t "_blank"</w:instrText>
      </w:r>
      <w:r w:rsidRPr="00792B36">
        <w:fldChar w:fldCharType="separate"/>
      </w:r>
      <w:r w:rsidRPr="00792B36">
        <w:rPr>
          <w:rStyle w:val="Hyperlink"/>
          <w:color w:val="000000" w:themeColor="text1"/>
          <w:sz w:val="20"/>
          <w:szCs w:val="20"/>
        </w:rPr>
        <w:t>https://www.unwto.org/tourism-statistics/economic-contribution-SDG</w:t>
      </w:r>
      <w:r w:rsidRPr="00792B36">
        <w:fldChar w:fldCharType="end"/>
      </w:r>
      <w:r w:rsidRPr="00792B36">
        <w:rPr>
          <w:color w:val="000000" w:themeColor="text1"/>
          <w:sz w:val="20"/>
          <w:szCs w:val="20"/>
        </w:rPr>
        <w:t xml:space="preserve"> (Accessed 25 June 2025)</w:t>
      </w:r>
    </w:p>
    <w:bookmarkEnd w:id="13"/>
    <w:p w14:paraId="34CDC0BB" w14:textId="77777777" w:rsidR="00BA713F" w:rsidRPr="00792B36" w:rsidRDefault="00BA713F" w:rsidP="00BA713F">
      <w:pPr>
        <w:spacing w:line="360" w:lineRule="auto"/>
        <w:contextualSpacing/>
        <w:rPr>
          <w:b/>
          <w:bCs/>
          <w:color w:val="000000" w:themeColor="text1"/>
          <w:sz w:val="24"/>
          <w:szCs w:val="24"/>
        </w:rPr>
      </w:pPr>
    </w:p>
    <w:p w14:paraId="5467935F" w14:textId="77777777" w:rsidR="00BA713F" w:rsidRPr="00792B36" w:rsidRDefault="00BA713F" w:rsidP="00BA713F">
      <w:pPr>
        <w:spacing w:line="360" w:lineRule="auto"/>
        <w:contextualSpacing/>
        <w:rPr>
          <w:b/>
          <w:bCs/>
          <w:color w:val="000000" w:themeColor="text1"/>
          <w:sz w:val="24"/>
          <w:szCs w:val="24"/>
        </w:rPr>
      </w:pPr>
      <w:r w:rsidRPr="00792B36">
        <w:rPr>
          <w:b/>
          <w:bCs/>
          <w:color w:val="000000" w:themeColor="text1"/>
          <w:sz w:val="24"/>
          <w:szCs w:val="24"/>
        </w:rPr>
        <w:t>2.2.4 Climate-related threats</w:t>
      </w:r>
    </w:p>
    <w:p w14:paraId="248D8602" w14:textId="77777777" w:rsidR="00BA713F" w:rsidRPr="00792B36" w:rsidRDefault="00BA713F" w:rsidP="00BA713F">
      <w:pPr>
        <w:pBdr>
          <w:top w:val="nil"/>
          <w:left w:val="nil"/>
          <w:bottom w:val="nil"/>
          <w:right w:val="nil"/>
          <w:between w:val="nil"/>
        </w:pBdr>
        <w:spacing w:line="360" w:lineRule="auto"/>
        <w:contextualSpacing/>
        <w:jc w:val="thaiDistribute"/>
        <w:rPr>
          <w:color w:val="000000" w:themeColor="text1"/>
          <w:sz w:val="24"/>
          <w:szCs w:val="24"/>
        </w:rPr>
      </w:pPr>
      <w:r w:rsidRPr="00792B36">
        <w:rPr>
          <w:color w:val="000000" w:themeColor="text1"/>
          <w:sz w:val="24"/>
          <w:szCs w:val="24"/>
        </w:rPr>
        <w:t xml:space="preserve">Tropical cyclones remain a major threat to Thailand’s coastal economies and natural resources. Data from the Thai Meteorological Department (2000–2024) indicates an annual average of 1.6 cyclones, peaking at three in specific years </w:t>
      </w:r>
      <w:r w:rsidRPr="00792B36">
        <w:rPr>
          <w:b/>
          <w:bCs/>
          <w:color w:val="000000" w:themeColor="text1"/>
          <w:sz w:val="24"/>
          <w:szCs w:val="24"/>
        </w:rPr>
        <w:t>(Figure 2.17)</w:t>
      </w:r>
      <w:r w:rsidRPr="00792B36">
        <w:rPr>
          <w:color w:val="000000" w:themeColor="text1"/>
          <w:sz w:val="24"/>
          <w:szCs w:val="24"/>
        </w:rPr>
        <w:t>. Although long-term frequency shows no clear increase, significant annual variation highlights climate uncertainty, demanding strong disaster response mechanisms to protect high-risk areas from storm surges.</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020"/>
      </w:tblGrid>
      <w:tr w:rsidR="00BA713F" w:rsidRPr="00792B36" w14:paraId="0763A0D9" w14:textId="77777777" w:rsidTr="0096560E">
        <w:tc>
          <w:tcPr>
            <w:tcW w:w="9027" w:type="dxa"/>
          </w:tcPr>
          <w:p w14:paraId="645AB877" w14:textId="77777777" w:rsidR="00BA713F" w:rsidRPr="00792B36" w:rsidRDefault="00BA713F" w:rsidP="0096560E">
            <w:pPr>
              <w:spacing w:line="360" w:lineRule="auto"/>
              <w:contextualSpacing/>
              <w:rPr>
                <w:iCs/>
                <w:color w:val="000000" w:themeColor="text1"/>
                <w:sz w:val="24"/>
                <w:szCs w:val="24"/>
              </w:rPr>
            </w:pPr>
            <w:r w:rsidRPr="00792B36">
              <w:rPr>
                <w:iCs/>
                <w:noProof/>
                <w:color w:val="000000" w:themeColor="text1"/>
                <w:sz w:val="24"/>
                <w:szCs w:val="24"/>
              </w:rPr>
              <w:lastRenderedPageBreak/>
              <w:drawing>
                <wp:inline distT="0" distB="0" distL="0" distR="0" wp14:anchorId="27216658" wp14:editId="1F60B2F7">
                  <wp:extent cx="5400000" cy="2273301"/>
                  <wp:effectExtent l="0" t="0" r="0" b="0"/>
                  <wp:docPr id="305834132" name="Picture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8"/>
                          <pic:cNvPicPr>
                            <a:picLocks noChangeAspect="1" noChangeArrowheads="1"/>
                          </pic:cNvPicPr>
                        </pic:nvPicPr>
                        <pic:blipFill>
                          <a:blip r:embed="rId68" cstate="print">
                            <a:extLst>
                              <a:ext uri="{28A0092B-C50C-407E-A947-70E740481C1C}">
                                <a14:useLocalDpi xmlns:a14="http://schemas.microsoft.com/office/drawing/2010/main" val="0"/>
                              </a:ext>
                            </a:extLst>
                          </a:blip>
                          <a:srcRect/>
                          <a:stretch>
                            <a:fillRect/>
                          </a:stretch>
                        </pic:blipFill>
                        <pic:spPr bwMode="auto">
                          <a:xfrm>
                            <a:off x="0" y="0"/>
                            <a:ext cx="5400000" cy="2273301"/>
                          </a:xfrm>
                          <a:prstGeom prst="rect">
                            <a:avLst/>
                          </a:prstGeom>
                          <a:noFill/>
                        </pic:spPr>
                      </pic:pic>
                    </a:graphicData>
                  </a:graphic>
                </wp:inline>
              </w:drawing>
            </w:r>
          </w:p>
        </w:tc>
      </w:tr>
      <w:tr w:rsidR="00BA713F" w:rsidRPr="00792B36" w14:paraId="6CBE2E64" w14:textId="77777777" w:rsidTr="0096560E">
        <w:tc>
          <w:tcPr>
            <w:tcW w:w="9027" w:type="dxa"/>
          </w:tcPr>
          <w:p w14:paraId="141E62BA" w14:textId="77777777" w:rsidR="00BA713F" w:rsidRPr="00792B36" w:rsidRDefault="00BA713F" w:rsidP="0096560E">
            <w:pPr>
              <w:spacing w:line="360" w:lineRule="auto"/>
              <w:contextualSpacing/>
              <w:rPr>
                <w:iCs/>
                <w:color w:val="000000" w:themeColor="text1"/>
                <w:sz w:val="24"/>
                <w:szCs w:val="24"/>
              </w:rPr>
            </w:pPr>
          </w:p>
        </w:tc>
      </w:tr>
      <w:tr w:rsidR="00BA713F" w:rsidRPr="00792B36" w14:paraId="374F3954" w14:textId="77777777" w:rsidTr="0096560E">
        <w:tc>
          <w:tcPr>
            <w:tcW w:w="9027" w:type="dxa"/>
          </w:tcPr>
          <w:p w14:paraId="5706B4B4" w14:textId="77777777" w:rsidR="00BA713F" w:rsidRPr="00792B36" w:rsidRDefault="00BA713F" w:rsidP="0096560E">
            <w:pPr>
              <w:spacing w:line="360" w:lineRule="auto"/>
              <w:contextualSpacing/>
              <w:jc w:val="center"/>
              <w:rPr>
                <w:iCs/>
                <w:color w:val="000000" w:themeColor="text1"/>
                <w:sz w:val="24"/>
                <w:szCs w:val="24"/>
              </w:rPr>
            </w:pPr>
            <w:r w:rsidRPr="00792B36">
              <w:rPr>
                <w:b/>
                <w:bCs/>
                <w:iCs/>
                <w:color w:val="000000" w:themeColor="text1"/>
                <w:sz w:val="24"/>
                <w:szCs w:val="24"/>
              </w:rPr>
              <w:t>Figure 2.17</w:t>
            </w:r>
            <w:r w:rsidRPr="00792B36">
              <w:rPr>
                <w:iCs/>
                <w:color w:val="000000" w:themeColor="text1"/>
                <w:sz w:val="24"/>
                <w:szCs w:val="24"/>
              </w:rPr>
              <w:t xml:space="preserve"> Number of tropical cyclones per year of Thailand (2000-2024) from Thai Meteorological Department (TMD) and EM-DAT</w:t>
            </w:r>
          </w:p>
        </w:tc>
      </w:tr>
    </w:tbl>
    <w:p w14:paraId="7557207B" w14:textId="77777777" w:rsidR="00BA713F" w:rsidRPr="00792B36" w:rsidRDefault="00BA713F" w:rsidP="00BA713F">
      <w:pPr>
        <w:spacing w:line="360" w:lineRule="auto"/>
        <w:contextualSpacing/>
        <w:jc w:val="center"/>
        <w:rPr>
          <w:color w:val="000000" w:themeColor="text1"/>
          <w:sz w:val="20"/>
          <w:szCs w:val="20"/>
        </w:rPr>
      </w:pPr>
      <w:r w:rsidRPr="00792B36">
        <w:rPr>
          <w:color w:val="000000" w:themeColor="text1"/>
          <w:sz w:val="20"/>
          <w:szCs w:val="20"/>
        </w:rPr>
        <w:t xml:space="preserve">Source: </w:t>
      </w:r>
      <w:bookmarkStart w:id="14" w:name="_Hlk213614065"/>
      <w:r w:rsidRPr="00792B36">
        <w:rPr>
          <w:color w:val="000000" w:themeColor="text1"/>
          <w:sz w:val="20"/>
          <w:szCs w:val="20"/>
        </w:rPr>
        <w:t>EM-DAT, CRED / UCLouvain. 2025. </w:t>
      </w:r>
      <w:r w:rsidRPr="00792B36">
        <w:fldChar w:fldCharType="begin"/>
      </w:r>
      <w:r w:rsidRPr="00792B36">
        <w:instrText>HYPERLINK "https://www.emdat.be/"</w:instrText>
      </w:r>
      <w:r w:rsidRPr="00792B36">
        <w:fldChar w:fldCharType="separate"/>
      </w:r>
      <w:r w:rsidRPr="00792B36">
        <w:rPr>
          <w:rStyle w:val="Hyperlink"/>
          <w:color w:val="000000" w:themeColor="text1"/>
          <w:sz w:val="20"/>
          <w:szCs w:val="20"/>
        </w:rPr>
        <w:t>www.emdat.be</w:t>
      </w:r>
      <w:r w:rsidRPr="00792B36">
        <w:fldChar w:fldCharType="end"/>
      </w:r>
      <w:r w:rsidRPr="00792B36">
        <w:rPr>
          <w:color w:val="000000" w:themeColor="text1"/>
          <w:sz w:val="20"/>
          <w:szCs w:val="20"/>
        </w:rPr>
        <w:t xml:space="preserve"> (Accessed 25 Jun 2025)</w:t>
      </w:r>
      <w:bookmarkEnd w:id="14"/>
      <w:r w:rsidRPr="00792B36">
        <w:rPr>
          <w:color w:val="000000" w:themeColor="text1"/>
          <w:sz w:val="20"/>
          <w:szCs w:val="20"/>
        </w:rPr>
        <w:t xml:space="preserve">; </w:t>
      </w:r>
      <w:bookmarkStart w:id="15" w:name="_Hlk213614098"/>
      <w:r w:rsidRPr="00792B36">
        <w:rPr>
          <w:color w:val="000000" w:themeColor="text1"/>
          <w:sz w:val="20"/>
          <w:szCs w:val="20"/>
        </w:rPr>
        <w:t>TMD. 2025. Tropical Cyclones in Thailand (1951-2024)</w:t>
      </w:r>
      <w:bookmarkEnd w:id="15"/>
      <w:r w:rsidRPr="00792B36">
        <w:rPr>
          <w:color w:val="000000" w:themeColor="text1"/>
          <w:sz w:val="20"/>
          <w:szCs w:val="20"/>
        </w:rPr>
        <w:t xml:space="preserve">. </w:t>
      </w:r>
    </w:p>
    <w:p w14:paraId="2A860E23" w14:textId="77777777" w:rsidR="00BA713F" w:rsidRPr="00792B36" w:rsidRDefault="00BA713F" w:rsidP="00BA713F">
      <w:pPr>
        <w:spacing w:line="360" w:lineRule="auto"/>
        <w:contextualSpacing/>
        <w:rPr>
          <w:color w:val="000000" w:themeColor="text1"/>
          <w:sz w:val="24"/>
          <w:szCs w:val="24"/>
        </w:rPr>
      </w:pPr>
    </w:p>
    <w:p w14:paraId="73D92D81" w14:textId="77777777" w:rsidR="00BA713F" w:rsidRPr="00792B36" w:rsidRDefault="00BA713F" w:rsidP="00BA713F">
      <w:pPr>
        <w:pBdr>
          <w:top w:val="nil"/>
          <w:left w:val="nil"/>
          <w:bottom w:val="nil"/>
          <w:right w:val="nil"/>
          <w:between w:val="nil"/>
        </w:pBdr>
        <w:spacing w:line="360" w:lineRule="auto"/>
        <w:contextualSpacing/>
        <w:jc w:val="both"/>
        <w:rPr>
          <w:i/>
          <w:color w:val="000000" w:themeColor="text1"/>
          <w:sz w:val="24"/>
          <w:szCs w:val="24"/>
        </w:rPr>
      </w:pPr>
      <w:r w:rsidRPr="00792B36">
        <w:rPr>
          <w:iCs/>
          <w:color w:val="000000" w:themeColor="text1"/>
          <w:sz w:val="24"/>
          <w:szCs w:val="24"/>
        </w:rPr>
        <w:t xml:space="preserve">Although storm frequency has not steadily increased, human impact varies significantly. Data between 2000 and 2024 highlights this unpredictability, with death tolls surging to 45 in 2024 and exceeding 10 in 2005 and 2020, in sharp contrast to years like 2008 and 2017 with zero recorded deaths </w:t>
      </w:r>
      <w:r w:rsidRPr="00792B36">
        <w:rPr>
          <w:b/>
          <w:bCs/>
          <w:iCs/>
          <w:color w:val="000000" w:themeColor="text1"/>
          <w:sz w:val="24"/>
          <w:szCs w:val="24"/>
        </w:rPr>
        <w:t>(Figure 2.18)</w:t>
      </w:r>
      <w:r w:rsidRPr="00792B36">
        <w:rPr>
          <w:iCs/>
          <w:color w:val="000000" w:themeColor="text1"/>
          <w:sz w:val="24"/>
          <w:szCs w:val="24"/>
        </w:rPr>
        <w:t>. These contrasts expose the fragility of low-lying coastal areas, reinforcing the urgent need for effective early warning systems and community-based risk reduction to minimize fatalities.</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020"/>
      </w:tblGrid>
      <w:tr w:rsidR="00BA713F" w:rsidRPr="00792B36" w14:paraId="1CD125E6" w14:textId="77777777" w:rsidTr="0096560E">
        <w:tc>
          <w:tcPr>
            <w:tcW w:w="9350" w:type="dxa"/>
          </w:tcPr>
          <w:p w14:paraId="6DB39111" w14:textId="77777777" w:rsidR="00BA713F" w:rsidRPr="00792B36" w:rsidRDefault="00BA713F" w:rsidP="0096560E">
            <w:pPr>
              <w:spacing w:line="360" w:lineRule="auto"/>
              <w:contextualSpacing/>
              <w:jc w:val="center"/>
              <w:rPr>
                <w:iCs/>
                <w:color w:val="000000" w:themeColor="text1"/>
                <w:sz w:val="24"/>
                <w:szCs w:val="24"/>
              </w:rPr>
            </w:pPr>
            <w:r w:rsidRPr="00792B36">
              <w:rPr>
                <w:iCs/>
                <w:noProof/>
                <w:color w:val="000000" w:themeColor="text1"/>
                <w:sz w:val="24"/>
                <w:szCs w:val="24"/>
              </w:rPr>
              <w:drawing>
                <wp:inline distT="0" distB="0" distL="0" distR="0" wp14:anchorId="47510D7D" wp14:editId="0B7F61CF">
                  <wp:extent cx="4731328" cy="2518953"/>
                  <wp:effectExtent l="0" t="0" r="0" b="0"/>
                  <wp:docPr id="461128906" name="Picture 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0"/>
                          <pic:cNvPicPr>
                            <a:picLocks noChangeAspect="1" noChangeArrowheads="1"/>
                          </pic:cNvPicPr>
                        </pic:nvPicPr>
                        <pic:blipFill>
                          <a:blip r:embed="rId69">
                            <a:extLst>
                              <a:ext uri="{28A0092B-C50C-407E-A947-70E740481C1C}">
                                <a14:useLocalDpi xmlns:a14="http://schemas.microsoft.com/office/drawing/2010/main" val="0"/>
                              </a:ext>
                            </a:extLst>
                          </a:blip>
                          <a:srcRect/>
                          <a:stretch>
                            <a:fillRect/>
                          </a:stretch>
                        </pic:blipFill>
                        <pic:spPr bwMode="auto">
                          <a:xfrm>
                            <a:off x="0" y="0"/>
                            <a:ext cx="4740872" cy="2524034"/>
                          </a:xfrm>
                          <a:prstGeom prst="rect">
                            <a:avLst/>
                          </a:prstGeom>
                          <a:noFill/>
                        </pic:spPr>
                      </pic:pic>
                    </a:graphicData>
                  </a:graphic>
                </wp:inline>
              </w:drawing>
            </w:r>
          </w:p>
        </w:tc>
      </w:tr>
      <w:tr w:rsidR="00BA713F" w:rsidRPr="00792B36" w14:paraId="22558B56" w14:textId="77777777" w:rsidTr="0096560E">
        <w:tc>
          <w:tcPr>
            <w:tcW w:w="9350" w:type="dxa"/>
          </w:tcPr>
          <w:p w14:paraId="1EA7B19D" w14:textId="77777777" w:rsidR="00BA713F" w:rsidRPr="00792B36" w:rsidRDefault="00BA713F" w:rsidP="0096560E">
            <w:pPr>
              <w:spacing w:line="360" w:lineRule="auto"/>
              <w:contextualSpacing/>
              <w:rPr>
                <w:iCs/>
                <w:color w:val="000000" w:themeColor="text1"/>
                <w:sz w:val="24"/>
                <w:szCs w:val="24"/>
              </w:rPr>
            </w:pPr>
          </w:p>
        </w:tc>
      </w:tr>
      <w:tr w:rsidR="00BA713F" w:rsidRPr="00792B36" w14:paraId="11CBC228" w14:textId="77777777" w:rsidTr="0096560E">
        <w:tc>
          <w:tcPr>
            <w:tcW w:w="9350" w:type="dxa"/>
          </w:tcPr>
          <w:p w14:paraId="46CF17AA" w14:textId="77777777" w:rsidR="00BA713F" w:rsidRPr="00792B36" w:rsidRDefault="00BA713F" w:rsidP="0096560E">
            <w:pPr>
              <w:spacing w:line="360" w:lineRule="auto"/>
              <w:contextualSpacing/>
              <w:jc w:val="center"/>
              <w:rPr>
                <w:iCs/>
                <w:color w:val="000000" w:themeColor="text1"/>
                <w:spacing w:val="-6"/>
                <w:sz w:val="24"/>
                <w:szCs w:val="24"/>
              </w:rPr>
            </w:pPr>
            <w:r w:rsidRPr="00792B36">
              <w:rPr>
                <w:b/>
                <w:bCs/>
                <w:iCs/>
                <w:color w:val="000000" w:themeColor="text1"/>
                <w:spacing w:val="-6"/>
                <w:sz w:val="24"/>
                <w:szCs w:val="24"/>
              </w:rPr>
              <w:t>Figure 2.18</w:t>
            </w:r>
            <w:r w:rsidRPr="00792B36">
              <w:rPr>
                <w:iCs/>
                <w:color w:val="000000" w:themeColor="text1"/>
                <w:spacing w:val="-6"/>
                <w:sz w:val="24"/>
                <w:szCs w:val="24"/>
              </w:rPr>
              <w:t xml:space="preserve"> Number of deaths from tropical cyclones per year of Thailand (2000-2024)</w:t>
            </w:r>
          </w:p>
        </w:tc>
      </w:tr>
    </w:tbl>
    <w:p w14:paraId="50E43380" w14:textId="77777777" w:rsidR="00BA713F" w:rsidRPr="00792B36" w:rsidRDefault="00BA713F" w:rsidP="00BA713F">
      <w:pPr>
        <w:spacing w:line="360" w:lineRule="auto"/>
        <w:contextualSpacing/>
        <w:jc w:val="center"/>
        <w:rPr>
          <w:color w:val="000000" w:themeColor="text1"/>
          <w:sz w:val="20"/>
          <w:szCs w:val="20"/>
        </w:rPr>
      </w:pPr>
      <w:r w:rsidRPr="00792B36">
        <w:rPr>
          <w:color w:val="000000" w:themeColor="text1"/>
          <w:sz w:val="20"/>
          <w:szCs w:val="20"/>
        </w:rPr>
        <w:t xml:space="preserve">Source: </w:t>
      </w:r>
      <w:bookmarkStart w:id="16" w:name="_Hlk213614346"/>
      <w:r w:rsidRPr="00792B36">
        <w:rPr>
          <w:color w:val="000000" w:themeColor="text1"/>
          <w:sz w:val="20"/>
          <w:szCs w:val="20"/>
        </w:rPr>
        <w:t>EM-DAT, CRED / UCLouvain. 2025. </w:t>
      </w:r>
      <w:r w:rsidRPr="00792B36">
        <w:fldChar w:fldCharType="begin"/>
      </w:r>
      <w:r w:rsidRPr="00792B36">
        <w:instrText>HYPERLINK "https://www.emdat.be/"</w:instrText>
      </w:r>
      <w:r w:rsidRPr="00792B36">
        <w:fldChar w:fldCharType="separate"/>
      </w:r>
      <w:r w:rsidRPr="00792B36">
        <w:rPr>
          <w:rStyle w:val="Hyperlink"/>
          <w:color w:val="000000" w:themeColor="text1"/>
          <w:sz w:val="20"/>
          <w:szCs w:val="20"/>
        </w:rPr>
        <w:t>www.emdat.be</w:t>
      </w:r>
      <w:r w:rsidRPr="00792B36">
        <w:fldChar w:fldCharType="end"/>
      </w:r>
      <w:r w:rsidRPr="00792B36">
        <w:rPr>
          <w:color w:val="000000" w:themeColor="text1"/>
          <w:sz w:val="20"/>
          <w:szCs w:val="20"/>
        </w:rPr>
        <w:t xml:space="preserve"> (Accessed 25 Jun 2025) </w:t>
      </w:r>
      <w:bookmarkEnd w:id="16"/>
    </w:p>
    <w:p w14:paraId="5D988D77" w14:textId="77777777" w:rsidR="00BA713F" w:rsidRPr="00792B36" w:rsidRDefault="00BA713F" w:rsidP="00BA713F">
      <w:pPr>
        <w:pBdr>
          <w:top w:val="nil"/>
          <w:left w:val="nil"/>
          <w:bottom w:val="nil"/>
          <w:right w:val="nil"/>
          <w:between w:val="nil"/>
        </w:pBdr>
        <w:spacing w:line="360" w:lineRule="auto"/>
        <w:contextualSpacing/>
        <w:rPr>
          <w:iCs/>
          <w:color w:val="000000" w:themeColor="text1"/>
          <w:sz w:val="24"/>
          <w:szCs w:val="24"/>
        </w:rPr>
      </w:pPr>
    </w:p>
    <w:p w14:paraId="4077F183" w14:textId="77777777" w:rsidR="00BA713F" w:rsidRPr="00792B36" w:rsidRDefault="00BA713F" w:rsidP="00BA713F">
      <w:pPr>
        <w:pBdr>
          <w:top w:val="nil"/>
          <w:left w:val="nil"/>
          <w:bottom w:val="nil"/>
          <w:right w:val="nil"/>
          <w:between w:val="nil"/>
        </w:pBdr>
        <w:spacing w:line="360" w:lineRule="auto"/>
        <w:contextualSpacing/>
        <w:rPr>
          <w:color w:val="000000" w:themeColor="text1"/>
          <w:sz w:val="24"/>
          <w:szCs w:val="24"/>
        </w:rPr>
      </w:pPr>
      <w:r w:rsidRPr="00792B36">
        <w:rPr>
          <w:color w:val="000000" w:themeColor="text1"/>
          <w:sz w:val="24"/>
          <w:szCs w:val="24"/>
        </w:rPr>
        <w:t xml:space="preserve">Data on cyclone-related damages in Thailand (2005–2024) reveal significant annual variation. Losses ranged from USD 20 million in 2005 (USD 32.1 million adjusted) and a minor USD 561,000 in 2015 (USD 742,000 adjusted) to a peak of USD 904 million in 2024 </w:t>
      </w:r>
      <w:r w:rsidRPr="00792B36">
        <w:rPr>
          <w:b/>
          <w:bCs/>
          <w:color w:val="000000" w:themeColor="text1"/>
          <w:sz w:val="24"/>
          <w:szCs w:val="24"/>
        </w:rPr>
        <w:t>(Figure 2.19)</w:t>
      </w:r>
      <w:r w:rsidRPr="00792B36">
        <w:rPr>
          <w:color w:val="000000" w:themeColor="text1"/>
          <w:sz w:val="24"/>
          <w:szCs w:val="24"/>
        </w:rPr>
        <w:t>.</w:t>
      </w:r>
    </w:p>
    <w:p w14:paraId="5478FBEA" w14:textId="77777777" w:rsidR="00BA713F" w:rsidRPr="00792B36" w:rsidRDefault="00BA713F" w:rsidP="00BA713F">
      <w:pPr>
        <w:pBdr>
          <w:top w:val="nil"/>
          <w:left w:val="nil"/>
          <w:bottom w:val="nil"/>
          <w:right w:val="nil"/>
          <w:between w:val="nil"/>
        </w:pBdr>
        <w:spacing w:line="360" w:lineRule="auto"/>
        <w:contextualSpacing/>
        <w:rPr>
          <w:b/>
          <w:bCs/>
          <w:i/>
          <w:color w:val="000000" w:themeColor="text1"/>
          <w:sz w:val="24"/>
          <w:szCs w:val="24"/>
        </w:rPr>
      </w:pPr>
    </w:p>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020"/>
      </w:tblGrid>
      <w:tr w:rsidR="00BA713F" w:rsidRPr="00792B36" w14:paraId="04384D81" w14:textId="77777777" w:rsidTr="0096560E">
        <w:trPr>
          <w:jc w:val="center"/>
        </w:trPr>
        <w:tc>
          <w:tcPr>
            <w:tcW w:w="9350" w:type="dxa"/>
          </w:tcPr>
          <w:p w14:paraId="40652B3B" w14:textId="77777777" w:rsidR="00BA713F" w:rsidRPr="00792B36" w:rsidRDefault="00BA713F" w:rsidP="0096560E">
            <w:pPr>
              <w:spacing w:line="360" w:lineRule="auto"/>
              <w:contextualSpacing/>
              <w:jc w:val="center"/>
              <w:rPr>
                <w:iCs/>
                <w:color w:val="000000" w:themeColor="text1"/>
                <w:sz w:val="24"/>
                <w:szCs w:val="24"/>
              </w:rPr>
            </w:pPr>
            <w:r w:rsidRPr="00792B36">
              <w:rPr>
                <w:iCs/>
                <w:noProof/>
                <w:color w:val="000000" w:themeColor="text1"/>
                <w:sz w:val="24"/>
                <w:szCs w:val="24"/>
              </w:rPr>
              <w:drawing>
                <wp:inline distT="0" distB="0" distL="0" distR="0" wp14:anchorId="30D7FD2B" wp14:editId="49E98A05">
                  <wp:extent cx="4565073" cy="2074133"/>
                  <wp:effectExtent l="0" t="0" r="6985" b="2540"/>
                  <wp:docPr id="97221173" name="Picture 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1"/>
                          <pic:cNvPicPr>
                            <a:picLocks noChangeAspect="1" noChangeArrowheads="1"/>
                          </pic:cNvPicPr>
                        </pic:nvPicPr>
                        <pic:blipFill>
                          <a:blip r:embed="rId70" cstate="print">
                            <a:extLst>
                              <a:ext uri="{28A0092B-C50C-407E-A947-70E740481C1C}">
                                <a14:useLocalDpi xmlns:a14="http://schemas.microsoft.com/office/drawing/2010/main" val="0"/>
                              </a:ext>
                            </a:extLst>
                          </a:blip>
                          <a:srcRect/>
                          <a:stretch>
                            <a:fillRect/>
                          </a:stretch>
                        </pic:blipFill>
                        <pic:spPr bwMode="auto">
                          <a:xfrm>
                            <a:off x="0" y="0"/>
                            <a:ext cx="4574714" cy="2078513"/>
                          </a:xfrm>
                          <a:prstGeom prst="rect">
                            <a:avLst/>
                          </a:prstGeom>
                          <a:noFill/>
                        </pic:spPr>
                      </pic:pic>
                    </a:graphicData>
                  </a:graphic>
                </wp:inline>
              </w:drawing>
            </w:r>
          </w:p>
        </w:tc>
      </w:tr>
      <w:tr w:rsidR="00BA713F" w:rsidRPr="00792B36" w14:paraId="0B5BF3E2" w14:textId="77777777" w:rsidTr="0096560E">
        <w:trPr>
          <w:jc w:val="center"/>
        </w:trPr>
        <w:tc>
          <w:tcPr>
            <w:tcW w:w="9350" w:type="dxa"/>
          </w:tcPr>
          <w:p w14:paraId="7F0203E2" w14:textId="77777777" w:rsidR="00BA713F" w:rsidRPr="00792B36" w:rsidRDefault="00BA713F" w:rsidP="0096560E">
            <w:pPr>
              <w:spacing w:line="360" w:lineRule="auto"/>
              <w:contextualSpacing/>
              <w:rPr>
                <w:iCs/>
                <w:color w:val="000000" w:themeColor="text1"/>
                <w:sz w:val="24"/>
                <w:szCs w:val="24"/>
              </w:rPr>
            </w:pPr>
          </w:p>
        </w:tc>
      </w:tr>
      <w:tr w:rsidR="00BA713F" w:rsidRPr="00792B36" w14:paraId="7F3E0244" w14:textId="77777777" w:rsidTr="0096560E">
        <w:trPr>
          <w:jc w:val="center"/>
        </w:trPr>
        <w:tc>
          <w:tcPr>
            <w:tcW w:w="9350" w:type="dxa"/>
          </w:tcPr>
          <w:p w14:paraId="61A7E577" w14:textId="77777777" w:rsidR="00BA713F" w:rsidRPr="00792B36" w:rsidRDefault="00BA713F" w:rsidP="0096560E">
            <w:pPr>
              <w:spacing w:line="360" w:lineRule="auto"/>
              <w:contextualSpacing/>
              <w:jc w:val="center"/>
              <w:rPr>
                <w:iCs/>
                <w:color w:val="000000" w:themeColor="text1"/>
                <w:sz w:val="24"/>
                <w:szCs w:val="24"/>
              </w:rPr>
            </w:pPr>
            <w:r w:rsidRPr="00792B36">
              <w:rPr>
                <w:b/>
                <w:bCs/>
                <w:iCs/>
                <w:color w:val="000000" w:themeColor="text1"/>
                <w:sz w:val="24"/>
                <w:szCs w:val="24"/>
              </w:rPr>
              <w:t>Figure 2.19</w:t>
            </w:r>
            <w:r w:rsidRPr="00792B36">
              <w:rPr>
                <w:iCs/>
                <w:color w:val="000000" w:themeColor="text1"/>
                <w:sz w:val="24"/>
                <w:szCs w:val="24"/>
              </w:rPr>
              <w:t xml:space="preserve"> Total damage and total damage (adjusted)</w:t>
            </w:r>
          </w:p>
          <w:p w14:paraId="011AE133" w14:textId="77777777" w:rsidR="00BA713F" w:rsidRPr="00792B36" w:rsidRDefault="00BA713F" w:rsidP="0096560E">
            <w:pPr>
              <w:spacing w:line="360" w:lineRule="auto"/>
              <w:contextualSpacing/>
              <w:jc w:val="center"/>
              <w:rPr>
                <w:iCs/>
                <w:color w:val="000000" w:themeColor="text1"/>
                <w:sz w:val="24"/>
                <w:szCs w:val="24"/>
                <w:cs/>
              </w:rPr>
            </w:pPr>
            <w:r w:rsidRPr="00792B36">
              <w:rPr>
                <w:iCs/>
                <w:color w:val="000000" w:themeColor="text1"/>
                <w:sz w:val="24"/>
                <w:szCs w:val="24"/>
              </w:rPr>
              <w:t>due to tropical cyclones of Thailand (2000-2024)</w:t>
            </w:r>
          </w:p>
        </w:tc>
      </w:tr>
    </w:tbl>
    <w:p w14:paraId="08E9F95F" w14:textId="77777777" w:rsidR="00BA713F" w:rsidRPr="00792B36" w:rsidRDefault="00BA713F" w:rsidP="00BA713F">
      <w:pPr>
        <w:spacing w:line="360" w:lineRule="auto"/>
        <w:contextualSpacing/>
        <w:jc w:val="center"/>
        <w:rPr>
          <w:color w:val="000000" w:themeColor="text1"/>
          <w:sz w:val="20"/>
          <w:szCs w:val="20"/>
        </w:rPr>
      </w:pPr>
      <w:r w:rsidRPr="00792B36">
        <w:rPr>
          <w:color w:val="000000" w:themeColor="text1"/>
          <w:sz w:val="20"/>
          <w:szCs w:val="20"/>
        </w:rPr>
        <w:t>Source: EM-DAT, CRED / UCLouvain. 2025. </w:t>
      </w:r>
      <w:r w:rsidRPr="00792B36">
        <w:fldChar w:fldCharType="begin"/>
      </w:r>
      <w:r w:rsidRPr="00792B36">
        <w:instrText>HYPERLINK "https://www.emdat.be/"</w:instrText>
      </w:r>
      <w:r w:rsidRPr="00792B36">
        <w:fldChar w:fldCharType="separate"/>
      </w:r>
      <w:r w:rsidRPr="00792B36">
        <w:rPr>
          <w:rStyle w:val="Hyperlink"/>
          <w:color w:val="000000" w:themeColor="text1"/>
          <w:sz w:val="20"/>
          <w:szCs w:val="20"/>
        </w:rPr>
        <w:t>www.emdat.be</w:t>
      </w:r>
      <w:r w:rsidRPr="00792B36">
        <w:fldChar w:fldCharType="end"/>
      </w:r>
      <w:r w:rsidRPr="00792B36">
        <w:rPr>
          <w:color w:val="000000" w:themeColor="text1"/>
          <w:sz w:val="20"/>
          <w:szCs w:val="20"/>
        </w:rPr>
        <w:t xml:space="preserve"> (Accessed 25 Jun 2025)</w:t>
      </w:r>
    </w:p>
    <w:p w14:paraId="13106A89" w14:textId="77777777" w:rsidR="00BA713F" w:rsidRPr="00792B36" w:rsidRDefault="00BA713F" w:rsidP="00BA713F">
      <w:pPr>
        <w:spacing w:line="360" w:lineRule="auto"/>
        <w:contextualSpacing/>
        <w:rPr>
          <w:b/>
          <w:bCs/>
          <w:color w:val="000000" w:themeColor="text1"/>
          <w:sz w:val="24"/>
          <w:szCs w:val="24"/>
        </w:rPr>
      </w:pPr>
    </w:p>
    <w:p w14:paraId="77D3C602" w14:textId="77777777" w:rsidR="00BA713F" w:rsidRPr="00792B36" w:rsidRDefault="00BA713F" w:rsidP="00BA713F">
      <w:pPr>
        <w:spacing w:line="360" w:lineRule="auto"/>
        <w:contextualSpacing/>
        <w:rPr>
          <w:b/>
          <w:bCs/>
          <w:color w:val="000000" w:themeColor="text1"/>
          <w:sz w:val="24"/>
          <w:szCs w:val="24"/>
          <w:cs/>
        </w:rPr>
      </w:pPr>
      <w:r w:rsidRPr="00792B36">
        <w:rPr>
          <w:b/>
          <w:bCs/>
          <w:color w:val="000000" w:themeColor="text1"/>
          <w:sz w:val="24"/>
          <w:szCs w:val="24"/>
        </w:rPr>
        <w:t>2.3 Discussion and conclusions</w:t>
      </w:r>
    </w:p>
    <w:p w14:paraId="12603C6E" w14:textId="77777777" w:rsidR="00BA713F" w:rsidRPr="00792B36" w:rsidRDefault="00BA713F" w:rsidP="00BA713F">
      <w:pPr>
        <w:spacing w:line="360" w:lineRule="auto"/>
        <w:contextualSpacing/>
        <w:rPr>
          <w:b/>
          <w:bCs/>
          <w:color w:val="000000" w:themeColor="text1"/>
          <w:sz w:val="24"/>
          <w:szCs w:val="24"/>
        </w:rPr>
      </w:pPr>
    </w:p>
    <w:p w14:paraId="10FB0BA0" w14:textId="77777777" w:rsidR="00BA713F" w:rsidRPr="00792B36" w:rsidRDefault="00BA713F" w:rsidP="00BA713F">
      <w:pPr>
        <w:spacing w:line="360" w:lineRule="auto"/>
        <w:contextualSpacing/>
        <w:rPr>
          <w:b/>
          <w:bCs/>
          <w:color w:val="000000" w:themeColor="text1"/>
          <w:sz w:val="24"/>
          <w:szCs w:val="24"/>
        </w:rPr>
      </w:pPr>
      <w:r w:rsidRPr="00792B36">
        <w:rPr>
          <w:b/>
          <w:bCs/>
          <w:color w:val="000000" w:themeColor="text1"/>
          <w:sz w:val="24"/>
          <w:szCs w:val="24"/>
        </w:rPr>
        <w:t>2.3.1 Risk assessment from socioeconomic trends</w:t>
      </w:r>
    </w:p>
    <w:p w14:paraId="09F9AD6E" w14:textId="77777777" w:rsidR="00BA713F" w:rsidRPr="00792B36" w:rsidRDefault="00BA713F" w:rsidP="00BA713F">
      <w:pPr>
        <w:spacing w:line="360" w:lineRule="auto"/>
        <w:contextualSpacing/>
        <w:jc w:val="thaiDistribute"/>
        <w:rPr>
          <w:color w:val="000000" w:themeColor="text1"/>
          <w:sz w:val="24"/>
          <w:szCs w:val="24"/>
        </w:rPr>
      </w:pPr>
      <w:bookmarkStart w:id="17" w:name="_Hlk213348490"/>
      <w:r w:rsidRPr="00792B36">
        <w:rPr>
          <w:color w:val="000000" w:themeColor="text1"/>
          <w:sz w:val="24"/>
          <w:szCs w:val="24"/>
        </w:rPr>
        <w:t>For sustainable management, a Composite Risk Index (CRI) was established to quantify risk across 17 Gulf of Thailand provinces based on the DPSIR framework (EEA, 1999; Kristensen, 2004). Calculated as CRI = 0.5×PI + 0.5×VI, the index equally weights Pressure (PI) and Vulnerability (VI). The PI aggregates three socioeconomic drivers: population dynamics (2000–2020), current population density (2020), and economic pressure derived from gross provincial product (2000-2020). The VI averages social sensitivity proxies: changes in poverty headcount and gender ratio imbalance (2000–2020). All indicators are normalized to a [0,1] scale. Notably, critical physical exposure variables such as elevation metrics and tropical cyclone statistics were excluded due to a lack of provincial resolution, ensuring the index remains spatially consistent and comparable across all provinces.</w:t>
      </w:r>
    </w:p>
    <w:bookmarkEnd w:id="17"/>
    <w:p w14:paraId="4A7F0032" w14:textId="77777777" w:rsidR="00BA713F" w:rsidRPr="00792B36" w:rsidRDefault="00BA713F" w:rsidP="00BA713F">
      <w:pPr>
        <w:spacing w:line="360" w:lineRule="auto"/>
        <w:contextualSpacing/>
        <w:jc w:val="thaiDistribute"/>
        <w:rPr>
          <w:color w:val="000000" w:themeColor="text1"/>
          <w:sz w:val="24"/>
          <w:szCs w:val="24"/>
        </w:rPr>
      </w:pPr>
      <w:r w:rsidRPr="00792B36">
        <w:rPr>
          <w:color w:val="000000" w:themeColor="text1"/>
          <w:sz w:val="24"/>
          <w:szCs w:val="24"/>
        </w:rPr>
        <w:lastRenderedPageBreak/>
        <w:t xml:space="preserve">The 'Risk intensity' format (CRI_Unweighted) measures severity independent of physical size, identifying Bangkok (0.646), Samut Songkhram (0.538), and Samut Prakan (0.419) as highest-risk </w:t>
      </w:r>
      <w:r w:rsidRPr="00792B36">
        <w:rPr>
          <w:b/>
          <w:bCs/>
          <w:color w:val="000000" w:themeColor="text1"/>
          <w:sz w:val="24"/>
          <w:szCs w:val="24"/>
        </w:rPr>
        <w:t>(Table 2.3)</w:t>
      </w:r>
      <w:r w:rsidRPr="00792B36">
        <w:rPr>
          <w:color w:val="000000" w:themeColor="text1"/>
          <w:sz w:val="24"/>
          <w:szCs w:val="24"/>
        </w:rPr>
        <w:t>. Drivers vary from concentrated economic and industrial activity in Bangkok and Samut Prakan to high population density within Samut Songkhram’s confined territory. Conversely, Rayong registered the lowest intensity at 0.261.</w:t>
      </w:r>
    </w:p>
    <w:p w14:paraId="05375097" w14:textId="77777777" w:rsidR="00BA713F" w:rsidRPr="00792B36" w:rsidRDefault="00BA713F" w:rsidP="00BA713F">
      <w:pPr>
        <w:spacing w:line="360" w:lineRule="auto"/>
        <w:contextualSpacing/>
        <w:jc w:val="thaiDistribute"/>
        <w:rPr>
          <w:color w:val="000000" w:themeColor="text1"/>
          <w:sz w:val="24"/>
          <w:szCs w:val="24"/>
        </w:rPr>
      </w:pPr>
    </w:p>
    <w:p w14:paraId="361B5CD7" w14:textId="77777777" w:rsidR="00BA713F" w:rsidRPr="00792B36" w:rsidRDefault="00BA713F" w:rsidP="00BA713F">
      <w:pPr>
        <w:spacing w:line="360" w:lineRule="auto"/>
        <w:contextualSpacing/>
        <w:jc w:val="thaiDistribute"/>
        <w:rPr>
          <w:color w:val="000000" w:themeColor="text1"/>
          <w:sz w:val="24"/>
          <w:szCs w:val="24"/>
          <w:cs/>
        </w:rPr>
      </w:pPr>
      <w:r w:rsidRPr="00792B36">
        <w:rPr>
          <w:b/>
          <w:bCs/>
          <w:color w:val="000000" w:themeColor="text1"/>
          <w:sz w:val="24"/>
          <w:szCs w:val="24"/>
        </w:rPr>
        <w:t xml:space="preserve">Table 2.3 </w:t>
      </w:r>
      <w:r w:rsidRPr="00792B36">
        <w:rPr>
          <w:color w:val="000000" w:themeColor="text1"/>
          <w:sz w:val="24"/>
          <w:szCs w:val="24"/>
        </w:rPr>
        <w:t xml:space="preserve">Risk </w:t>
      </w:r>
      <w:r w:rsidRPr="00792B36">
        <w:rPr>
          <w:color w:val="000000" w:themeColor="text1"/>
          <w:sz w:val="24"/>
          <w:szCs w:val="30"/>
        </w:rPr>
        <w:t>i</w:t>
      </w:r>
      <w:r w:rsidRPr="00792B36">
        <w:rPr>
          <w:color w:val="000000" w:themeColor="text1"/>
          <w:sz w:val="24"/>
          <w:szCs w:val="24"/>
        </w:rPr>
        <w:t>ntensity assessment (CRI_Unweighted) and provincial ranking</w:t>
      </w:r>
    </w:p>
    <w:tbl>
      <w:tblPr>
        <w:tblStyle w:val="TableGrid"/>
        <w:tblW w:w="0" w:type="auto"/>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22"/>
        <w:gridCol w:w="1701"/>
        <w:gridCol w:w="1842"/>
        <w:gridCol w:w="2268"/>
        <w:gridCol w:w="1084"/>
      </w:tblGrid>
      <w:tr w:rsidR="00BA713F" w:rsidRPr="00792B36" w14:paraId="7E12D519" w14:textId="77777777" w:rsidTr="0096560E">
        <w:trPr>
          <w:trHeight w:val="340"/>
        </w:trPr>
        <w:tc>
          <w:tcPr>
            <w:tcW w:w="2122" w:type="dxa"/>
            <w:tcBorders>
              <w:top w:val="single" w:sz="4" w:space="0" w:color="auto"/>
              <w:bottom w:val="single" w:sz="4" w:space="0" w:color="auto"/>
            </w:tcBorders>
            <w:vAlign w:val="center"/>
          </w:tcPr>
          <w:p w14:paraId="52C56F7C" w14:textId="77777777" w:rsidR="00BA713F" w:rsidRPr="00792B36" w:rsidRDefault="00BA713F" w:rsidP="0096560E">
            <w:pPr>
              <w:contextualSpacing/>
              <w:rPr>
                <w:color w:val="000000" w:themeColor="text1"/>
                <w:sz w:val="20"/>
                <w:szCs w:val="20"/>
                <w:cs/>
              </w:rPr>
            </w:pPr>
            <w:bookmarkStart w:id="18" w:name="_Hlk215692142"/>
            <w:r w:rsidRPr="00792B36">
              <w:rPr>
                <w:rFonts w:eastAsia="Times New Roman"/>
                <w:b/>
                <w:bCs/>
                <w:color w:val="000000" w:themeColor="text1"/>
                <w:sz w:val="20"/>
                <w:szCs w:val="20"/>
              </w:rPr>
              <w:t>Province</w:t>
            </w:r>
          </w:p>
        </w:tc>
        <w:tc>
          <w:tcPr>
            <w:tcW w:w="1701" w:type="dxa"/>
            <w:tcBorders>
              <w:top w:val="single" w:sz="4" w:space="0" w:color="auto"/>
              <w:bottom w:val="single" w:sz="4" w:space="0" w:color="auto"/>
            </w:tcBorders>
            <w:vAlign w:val="center"/>
          </w:tcPr>
          <w:p w14:paraId="7B52B78B" w14:textId="77777777" w:rsidR="00BA713F" w:rsidRPr="00792B36" w:rsidRDefault="00BA713F" w:rsidP="0096560E">
            <w:pPr>
              <w:contextualSpacing/>
              <w:jc w:val="center"/>
              <w:rPr>
                <w:color w:val="000000" w:themeColor="text1"/>
                <w:sz w:val="20"/>
                <w:szCs w:val="20"/>
              </w:rPr>
            </w:pPr>
            <w:r w:rsidRPr="00792B36">
              <w:rPr>
                <w:rFonts w:eastAsia="Times New Roman"/>
                <w:b/>
                <w:bCs/>
                <w:color w:val="000000" w:themeColor="text1"/>
                <w:sz w:val="20"/>
                <w:szCs w:val="20"/>
              </w:rPr>
              <w:t>Pressure index (PI) score</w:t>
            </w:r>
          </w:p>
        </w:tc>
        <w:tc>
          <w:tcPr>
            <w:tcW w:w="1842" w:type="dxa"/>
            <w:tcBorders>
              <w:top w:val="single" w:sz="4" w:space="0" w:color="auto"/>
              <w:bottom w:val="single" w:sz="4" w:space="0" w:color="auto"/>
            </w:tcBorders>
            <w:vAlign w:val="center"/>
          </w:tcPr>
          <w:p w14:paraId="2F5844FC" w14:textId="77777777" w:rsidR="00BA713F" w:rsidRPr="00792B36" w:rsidRDefault="00BA713F" w:rsidP="0096560E">
            <w:pPr>
              <w:contextualSpacing/>
              <w:jc w:val="center"/>
              <w:rPr>
                <w:color w:val="000000" w:themeColor="text1"/>
                <w:sz w:val="20"/>
                <w:szCs w:val="20"/>
              </w:rPr>
            </w:pPr>
            <w:r w:rsidRPr="00792B36">
              <w:rPr>
                <w:rFonts w:eastAsia="Times New Roman"/>
                <w:b/>
                <w:bCs/>
                <w:color w:val="000000" w:themeColor="text1"/>
                <w:sz w:val="20"/>
                <w:szCs w:val="20"/>
              </w:rPr>
              <w:t>Vulnerability index (VI) score</w:t>
            </w:r>
          </w:p>
        </w:tc>
        <w:tc>
          <w:tcPr>
            <w:tcW w:w="2268" w:type="dxa"/>
            <w:tcBorders>
              <w:top w:val="single" w:sz="4" w:space="0" w:color="auto"/>
              <w:bottom w:val="single" w:sz="4" w:space="0" w:color="auto"/>
            </w:tcBorders>
            <w:vAlign w:val="center"/>
          </w:tcPr>
          <w:p w14:paraId="685B4A31" w14:textId="77777777" w:rsidR="00BA713F" w:rsidRPr="00792B36" w:rsidRDefault="00BA713F" w:rsidP="0096560E">
            <w:pPr>
              <w:contextualSpacing/>
              <w:jc w:val="center"/>
              <w:rPr>
                <w:color w:val="000000" w:themeColor="text1"/>
                <w:sz w:val="20"/>
                <w:szCs w:val="20"/>
              </w:rPr>
            </w:pPr>
            <w:r w:rsidRPr="00792B36">
              <w:rPr>
                <w:rFonts w:eastAsia="Times New Roman"/>
                <w:b/>
                <w:bCs/>
                <w:color w:val="000000" w:themeColor="text1"/>
                <w:sz w:val="20"/>
                <w:szCs w:val="20"/>
              </w:rPr>
              <w:t>Risk intensity score (CRI_Unweighted)</w:t>
            </w:r>
          </w:p>
        </w:tc>
        <w:tc>
          <w:tcPr>
            <w:tcW w:w="1084" w:type="dxa"/>
            <w:tcBorders>
              <w:top w:val="single" w:sz="4" w:space="0" w:color="auto"/>
              <w:bottom w:val="single" w:sz="4" w:space="0" w:color="auto"/>
            </w:tcBorders>
            <w:vAlign w:val="center"/>
          </w:tcPr>
          <w:p w14:paraId="113A210E" w14:textId="77777777" w:rsidR="00BA713F" w:rsidRPr="00792B36" w:rsidRDefault="00BA713F" w:rsidP="0096560E">
            <w:pPr>
              <w:contextualSpacing/>
              <w:jc w:val="center"/>
              <w:rPr>
                <w:rFonts w:eastAsia="Times New Roman"/>
                <w:b/>
                <w:bCs/>
                <w:color w:val="000000" w:themeColor="text1"/>
                <w:sz w:val="20"/>
                <w:szCs w:val="20"/>
              </w:rPr>
            </w:pPr>
            <w:r w:rsidRPr="00792B36">
              <w:rPr>
                <w:b/>
                <w:bCs/>
                <w:color w:val="000000" w:themeColor="text1"/>
                <w:sz w:val="20"/>
                <w:szCs w:val="20"/>
              </w:rPr>
              <w:t>Intensity rank</w:t>
            </w:r>
          </w:p>
        </w:tc>
      </w:tr>
      <w:tr w:rsidR="00BA713F" w:rsidRPr="00792B36" w14:paraId="41B94F18" w14:textId="77777777" w:rsidTr="0096560E">
        <w:trPr>
          <w:trHeight w:val="340"/>
        </w:trPr>
        <w:tc>
          <w:tcPr>
            <w:tcW w:w="2122" w:type="dxa"/>
            <w:tcBorders>
              <w:top w:val="single" w:sz="4" w:space="0" w:color="auto"/>
            </w:tcBorders>
            <w:vAlign w:val="bottom"/>
          </w:tcPr>
          <w:p w14:paraId="33861712" w14:textId="77777777" w:rsidR="00BA713F" w:rsidRPr="00792B36" w:rsidRDefault="00BA713F" w:rsidP="0096560E">
            <w:pPr>
              <w:contextualSpacing/>
              <w:rPr>
                <w:color w:val="000000" w:themeColor="text1"/>
                <w:sz w:val="24"/>
                <w:szCs w:val="24"/>
              </w:rPr>
            </w:pPr>
            <w:r w:rsidRPr="00792B36">
              <w:rPr>
                <w:color w:val="000000"/>
              </w:rPr>
              <w:t>Bangkok</w:t>
            </w:r>
          </w:p>
        </w:tc>
        <w:tc>
          <w:tcPr>
            <w:tcW w:w="1701" w:type="dxa"/>
            <w:tcBorders>
              <w:top w:val="single" w:sz="4" w:space="0" w:color="auto"/>
            </w:tcBorders>
            <w:vAlign w:val="bottom"/>
          </w:tcPr>
          <w:p w14:paraId="3A2FD219" w14:textId="77777777" w:rsidR="00BA713F" w:rsidRPr="00792B36" w:rsidRDefault="00BA713F" w:rsidP="0096560E">
            <w:pPr>
              <w:contextualSpacing/>
              <w:jc w:val="center"/>
              <w:rPr>
                <w:color w:val="000000" w:themeColor="text1"/>
                <w:sz w:val="24"/>
                <w:szCs w:val="24"/>
              </w:rPr>
            </w:pPr>
            <w:r w:rsidRPr="00792B36">
              <w:rPr>
                <w:color w:val="000000"/>
              </w:rPr>
              <w:t>0.586</w:t>
            </w:r>
          </w:p>
        </w:tc>
        <w:tc>
          <w:tcPr>
            <w:tcW w:w="1842" w:type="dxa"/>
            <w:tcBorders>
              <w:top w:val="single" w:sz="4" w:space="0" w:color="auto"/>
            </w:tcBorders>
            <w:vAlign w:val="bottom"/>
          </w:tcPr>
          <w:p w14:paraId="579BEAA3" w14:textId="77777777" w:rsidR="00BA713F" w:rsidRPr="00792B36" w:rsidRDefault="00BA713F" w:rsidP="0096560E">
            <w:pPr>
              <w:contextualSpacing/>
              <w:jc w:val="center"/>
              <w:rPr>
                <w:color w:val="000000" w:themeColor="text1"/>
                <w:sz w:val="24"/>
                <w:szCs w:val="24"/>
              </w:rPr>
            </w:pPr>
            <w:r w:rsidRPr="00792B36">
              <w:rPr>
                <w:color w:val="000000"/>
              </w:rPr>
              <w:t>0.706</w:t>
            </w:r>
          </w:p>
        </w:tc>
        <w:tc>
          <w:tcPr>
            <w:tcW w:w="2268" w:type="dxa"/>
            <w:tcBorders>
              <w:top w:val="single" w:sz="4" w:space="0" w:color="auto"/>
            </w:tcBorders>
            <w:vAlign w:val="bottom"/>
          </w:tcPr>
          <w:p w14:paraId="13855C17" w14:textId="77777777" w:rsidR="00BA713F" w:rsidRPr="00792B36" w:rsidRDefault="00BA713F" w:rsidP="0096560E">
            <w:pPr>
              <w:contextualSpacing/>
              <w:jc w:val="center"/>
              <w:rPr>
                <w:color w:val="000000" w:themeColor="text1"/>
                <w:sz w:val="24"/>
                <w:szCs w:val="24"/>
              </w:rPr>
            </w:pPr>
            <w:r w:rsidRPr="00792B36">
              <w:rPr>
                <w:color w:val="000000"/>
              </w:rPr>
              <w:t>0.646</w:t>
            </w:r>
          </w:p>
        </w:tc>
        <w:tc>
          <w:tcPr>
            <w:tcW w:w="1084" w:type="dxa"/>
            <w:tcBorders>
              <w:top w:val="single" w:sz="4" w:space="0" w:color="auto"/>
            </w:tcBorders>
            <w:vAlign w:val="bottom"/>
          </w:tcPr>
          <w:p w14:paraId="7E2A8EE8" w14:textId="77777777" w:rsidR="00BA713F" w:rsidRPr="00792B36" w:rsidRDefault="00BA713F" w:rsidP="0096560E">
            <w:pPr>
              <w:contextualSpacing/>
              <w:jc w:val="center"/>
              <w:rPr>
                <w:rFonts w:eastAsia="Times New Roman"/>
                <w:color w:val="000000" w:themeColor="text1"/>
                <w:sz w:val="24"/>
                <w:szCs w:val="24"/>
              </w:rPr>
            </w:pPr>
            <w:r w:rsidRPr="00792B36">
              <w:rPr>
                <w:color w:val="000000"/>
              </w:rPr>
              <w:t>1</w:t>
            </w:r>
          </w:p>
        </w:tc>
      </w:tr>
      <w:tr w:rsidR="00BA713F" w:rsidRPr="00792B36" w14:paraId="36F1C9C9" w14:textId="77777777" w:rsidTr="0096560E">
        <w:trPr>
          <w:trHeight w:val="340"/>
        </w:trPr>
        <w:tc>
          <w:tcPr>
            <w:tcW w:w="2122" w:type="dxa"/>
            <w:vAlign w:val="bottom"/>
          </w:tcPr>
          <w:p w14:paraId="7D1C2C73" w14:textId="77777777" w:rsidR="00BA713F" w:rsidRPr="00792B36" w:rsidRDefault="00BA713F" w:rsidP="0096560E">
            <w:pPr>
              <w:contextualSpacing/>
              <w:rPr>
                <w:color w:val="000000" w:themeColor="text1"/>
                <w:sz w:val="24"/>
                <w:szCs w:val="24"/>
              </w:rPr>
            </w:pPr>
            <w:r w:rsidRPr="00792B36">
              <w:rPr>
                <w:color w:val="000000"/>
              </w:rPr>
              <w:t>Samut Songkhram</w:t>
            </w:r>
          </w:p>
        </w:tc>
        <w:tc>
          <w:tcPr>
            <w:tcW w:w="1701" w:type="dxa"/>
            <w:vAlign w:val="bottom"/>
          </w:tcPr>
          <w:p w14:paraId="3CE224B9" w14:textId="77777777" w:rsidR="00BA713F" w:rsidRPr="00792B36" w:rsidRDefault="00BA713F" w:rsidP="0096560E">
            <w:pPr>
              <w:contextualSpacing/>
              <w:jc w:val="center"/>
              <w:rPr>
                <w:color w:val="000000" w:themeColor="text1"/>
                <w:sz w:val="24"/>
                <w:szCs w:val="24"/>
              </w:rPr>
            </w:pPr>
            <w:r w:rsidRPr="00792B36">
              <w:rPr>
                <w:color w:val="000000"/>
              </w:rPr>
              <w:t>0.337</w:t>
            </w:r>
          </w:p>
        </w:tc>
        <w:tc>
          <w:tcPr>
            <w:tcW w:w="1842" w:type="dxa"/>
            <w:vAlign w:val="bottom"/>
          </w:tcPr>
          <w:p w14:paraId="4AA7AB18" w14:textId="77777777" w:rsidR="00BA713F" w:rsidRPr="00792B36" w:rsidRDefault="00BA713F" w:rsidP="0096560E">
            <w:pPr>
              <w:contextualSpacing/>
              <w:jc w:val="center"/>
              <w:rPr>
                <w:color w:val="000000" w:themeColor="text1"/>
                <w:sz w:val="24"/>
                <w:szCs w:val="24"/>
              </w:rPr>
            </w:pPr>
            <w:r w:rsidRPr="00792B36">
              <w:rPr>
                <w:color w:val="000000"/>
              </w:rPr>
              <w:t>0.740</w:t>
            </w:r>
          </w:p>
        </w:tc>
        <w:tc>
          <w:tcPr>
            <w:tcW w:w="2268" w:type="dxa"/>
            <w:vAlign w:val="bottom"/>
          </w:tcPr>
          <w:p w14:paraId="1D5B820D" w14:textId="77777777" w:rsidR="00BA713F" w:rsidRPr="00792B36" w:rsidRDefault="00BA713F" w:rsidP="0096560E">
            <w:pPr>
              <w:contextualSpacing/>
              <w:jc w:val="center"/>
              <w:rPr>
                <w:color w:val="000000" w:themeColor="text1"/>
                <w:sz w:val="24"/>
                <w:szCs w:val="24"/>
              </w:rPr>
            </w:pPr>
            <w:r w:rsidRPr="00792B36">
              <w:rPr>
                <w:color w:val="000000"/>
              </w:rPr>
              <w:t>0.538</w:t>
            </w:r>
          </w:p>
        </w:tc>
        <w:tc>
          <w:tcPr>
            <w:tcW w:w="1084" w:type="dxa"/>
            <w:vAlign w:val="bottom"/>
          </w:tcPr>
          <w:p w14:paraId="5A98E764" w14:textId="77777777" w:rsidR="00BA713F" w:rsidRPr="00792B36" w:rsidRDefault="00BA713F" w:rsidP="0096560E">
            <w:pPr>
              <w:contextualSpacing/>
              <w:jc w:val="center"/>
              <w:rPr>
                <w:rFonts w:eastAsia="Times New Roman"/>
                <w:color w:val="000000" w:themeColor="text1"/>
                <w:sz w:val="24"/>
                <w:szCs w:val="24"/>
              </w:rPr>
            </w:pPr>
            <w:r w:rsidRPr="00792B36">
              <w:rPr>
                <w:color w:val="000000"/>
              </w:rPr>
              <w:t>2</w:t>
            </w:r>
          </w:p>
        </w:tc>
      </w:tr>
      <w:tr w:rsidR="00BA713F" w:rsidRPr="00792B36" w14:paraId="4E54710B" w14:textId="77777777" w:rsidTr="0096560E">
        <w:trPr>
          <w:trHeight w:val="340"/>
        </w:trPr>
        <w:tc>
          <w:tcPr>
            <w:tcW w:w="2122" w:type="dxa"/>
            <w:vAlign w:val="bottom"/>
          </w:tcPr>
          <w:p w14:paraId="74D6F16B" w14:textId="77777777" w:rsidR="00BA713F" w:rsidRPr="00792B36" w:rsidRDefault="00BA713F" w:rsidP="0096560E">
            <w:pPr>
              <w:contextualSpacing/>
              <w:rPr>
                <w:color w:val="000000" w:themeColor="text1"/>
              </w:rPr>
            </w:pPr>
            <w:r w:rsidRPr="00792B36">
              <w:rPr>
                <w:color w:val="000000"/>
              </w:rPr>
              <w:t>Samut Prakan</w:t>
            </w:r>
          </w:p>
        </w:tc>
        <w:tc>
          <w:tcPr>
            <w:tcW w:w="1701" w:type="dxa"/>
            <w:vAlign w:val="bottom"/>
          </w:tcPr>
          <w:p w14:paraId="74F8880F" w14:textId="77777777" w:rsidR="00BA713F" w:rsidRPr="00792B36" w:rsidRDefault="00BA713F" w:rsidP="0096560E">
            <w:pPr>
              <w:contextualSpacing/>
              <w:jc w:val="center"/>
              <w:rPr>
                <w:color w:val="000000" w:themeColor="text1"/>
                <w:sz w:val="24"/>
                <w:szCs w:val="24"/>
              </w:rPr>
            </w:pPr>
            <w:r w:rsidRPr="00792B36">
              <w:rPr>
                <w:color w:val="000000"/>
              </w:rPr>
              <w:t>0.332</w:t>
            </w:r>
          </w:p>
        </w:tc>
        <w:tc>
          <w:tcPr>
            <w:tcW w:w="1842" w:type="dxa"/>
            <w:vAlign w:val="bottom"/>
          </w:tcPr>
          <w:p w14:paraId="7D88A0C1" w14:textId="77777777" w:rsidR="00BA713F" w:rsidRPr="00792B36" w:rsidRDefault="00BA713F" w:rsidP="0096560E">
            <w:pPr>
              <w:contextualSpacing/>
              <w:jc w:val="center"/>
              <w:rPr>
                <w:color w:val="000000" w:themeColor="text1"/>
                <w:sz w:val="24"/>
                <w:szCs w:val="24"/>
              </w:rPr>
            </w:pPr>
            <w:r w:rsidRPr="00792B36">
              <w:rPr>
                <w:color w:val="000000"/>
              </w:rPr>
              <w:t>0.506</w:t>
            </w:r>
          </w:p>
        </w:tc>
        <w:tc>
          <w:tcPr>
            <w:tcW w:w="2268" w:type="dxa"/>
            <w:vAlign w:val="bottom"/>
          </w:tcPr>
          <w:p w14:paraId="7D8C0F4F" w14:textId="77777777" w:rsidR="00BA713F" w:rsidRPr="00792B36" w:rsidRDefault="00BA713F" w:rsidP="0096560E">
            <w:pPr>
              <w:contextualSpacing/>
              <w:jc w:val="center"/>
              <w:rPr>
                <w:color w:val="000000" w:themeColor="text1"/>
                <w:sz w:val="24"/>
                <w:szCs w:val="24"/>
              </w:rPr>
            </w:pPr>
            <w:r w:rsidRPr="00792B36">
              <w:rPr>
                <w:color w:val="000000"/>
              </w:rPr>
              <w:t>0.419</w:t>
            </w:r>
          </w:p>
        </w:tc>
        <w:tc>
          <w:tcPr>
            <w:tcW w:w="1084" w:type="dxa"/>
            <w:vAlign w:val="bottom"/>
          </w:tcPr>
          <w:p w14:paraId="01344C01" w14:textId="77777777" w:rsidR="00BA713F" w:rsidRPr="00792B36" w:rsidRDefault="00BA713F" w:rsidP="0096560E">
            <w:pPr>
              <w:contextualSpacing/>
              <w:jc w:val="center"/>
              <w:rPr>
                <w:rFonts w:eastAsia="Times New Roman"/>
                <w:color w:val="000000" w:themeColor="text1"/>
                <w:sz w:val="24"/>
                <w:szCs w:val="24"/>
              </w:rPr>
            </w:pPr>
            <w:r w:rsidRPr="00792B36">
              <w:rPr>
                <w:color w:val="000000"/>
              </w:rPr>
              <w:t>3</w:t>
            </w:r>
          </w:p>
        </w:tc>
      </w:tr>
      <w:tr w:rsidR="00BA713F" w:rsidRPr="00792B36" w14:paraId="2F74E7D0" w14:textId="77777777" w:rsidTr="0096560E">
        <w:trPr>
          <w:trHeight w:val="340"/>
        </w:trPr>
        <w:tc>
          <w:tcPr>
            <w:tcW w:w="2122" w:type="dxa"/>
            <w:vAlign w:val="bottom"/>
          </w:tcPr>
          <w:p w14:paraId="1881930F" w14:textId="77777777" w:rsidR="00BA713F" w:rsidRPr="00792B36" w:rsidRDefault="00BA713F" w:rsidP="0096560E">
            <w:pPr>
              <w:contextualSpacing/>
              <w:rPr>
                <w:color w:val="000000" w:themeColor="text1"/>
                <w:sz w:val="24"/>
                <w:szCs w:val="24"/>
              </w:rPr>
            </w:pPr>
            <w:r w:rsidRPr="00792B36">
              <w:rPr>
                <w:color w:val="000000"/>
              </w:rPr>
              <w:t>Samut Sakhon</w:t>
            </w:r>
          </w:p>
        </w:tc>
        <w:tc>
          <w:tcPr>
            <w:tcW w:w="1701" w:type="dxa"/>
            <w:vAlign w:val="bottom"/>
          </w:tcPr>
          <w:p w14:paraId="3DF36025" w14:textId="77777777" w:rsidR="00BA713F" w:rsidRPr="00792B36" w:rsidRDefault="00BA713F" w:rsidP="0096560E">
            <w:pPr>
              <w:contextualSpacing/>
              <w:jc w:val="center"/>
              <w:rPr>
                <w:color w:val="000000" w:themeColor="text1"/>
                <w:sz w:val="24"/>
                <w:szCs w:val="24"/>
              </w:rPr>
            </w:pPr>
            <w:r w:rsidRPr="00792B36">
              <w:rPr>
                <w:color w:val="000000"/>
              </w:rPr>
              <w:t>0.316</w:t>
            </w:r>
          </w:p>
        </w:tc>
        <w:tc>
          <w:tcPr>
            <w:tcW w:w="1842" w:type="dxa"/>
            <w:vAlign w:val="bottom"/>
          </w:tcPr>
          <w:p w14:paraId="3CBC4009" w14:textId="77777777" w:rsidR="00BA713F" w:rsidRPr="00792B36" w:rsidRDefault="00BA713F" w:rsidP="0096560E">
            <w:pPr>
              <w:contextualSpacing/>
              <w:jc w:val="center"/>
              <w:rPr>
                <w:color w:val="000000" w:themeColor="text1"/>
                <w:sz w:val="24"/>
                <w:szCs w:val="24"/>
              </w:rPr>
            </w:pPr>
            <w:r w:rsidRPr="00792B36">
              <w:rPr>
                <w:color w:val="000000"/>
              </w:rPr>
              <w:t>0.438</w:t>
            </w:r>
          </w:p>
        </w:tc>
        <w:tc>
          <w:tcPr>
            <w:tcW w:w="2268" w:type="dxa"/>
            <w:vAlign w:val="bottom"/>
          </w:tcPr>
          <w:p w14:paraId="1CF175E2" w14:textId="77777777" w:rsidR="00BA713F" w:rsidRPr="00792B36" w:rsidRDefault="00BA713F" w:rsidP="0096560E">
            <w:pPr>
              <w:contextualSpacing/>
              <w:jc w:val="center"/>
              <w:rPr>
                <w:color w:val="000000" w:themeColor="text1"/>
                <w:sz w:val="24"/>
                <w:szCs w:val="24"/>
              </w:rPr>
            </w:pPr>
            <w:r w:rsidRPr="00792B36">
              <w:rPr>
                <w:color w:val="000000"/>
              </w:rPr>
              <w:t>0.377</w:t>
            </w:r>
          </w:p>
        </w:tc>
        <w:tc>
          <w:tcPr>
            <w:tcW w:w="1084" w:type="dxa"/>
            <w:vAlign w:val="bottom"/>
          </w:tcPr>
          <w:p w14:paraId="7644260E" w14:textId="77777777" w:rsidR="00BA713F" w:rsidRPr="00792B36" w:rsidRDefault="00BA713F" w:rsidP="0096560E">
            <w:pPr>
              <w:contextualSpacing/>
              <w:jc w:val="center"/>
              <w:rPr>
                <w:rFonts w:eastAsia="Times New Roman"/>
                <w:color w:val="000000" w:themeColor="text1"/>
                <w:sz w:val="24"/>
                <w:szCs w:val="24"/>
              </w:rPr>
            </w:pPr>
            <w:r w:rsidRPr="00792B36">
              <w:rPr>
                <w:color w:val="000000"/>
              </w:rPr>
              <w:t>4</w:t>
            </w:r>
          </w:p>
        </w:tc>
      </w:tr>
      <w:tr w:rsidR="00BA713F" w:rsidRPr="00792B36" w14:paraId="37736972" w14:textId="77777777" w:rsidTr="0096560E">
        <w:trPr>
          <w:trHeight w:val="340"/>
        </w:trPr>
        <w:tc>
          <w:tcPr>
            <w:tcW w:w="2122" w:type="dxa"/>
            <w:vAlign w:val="bottom"/>
          </w:tcPr>
          <w:p w14:paraId="32EDF2A7" w14:textId="77777777" w:rsidR="00BA713F" w:rsidRPr="00792B36" w:rsidRDefault="00BA713F" w:rsidP="0096560E">
            <w:pPr>
              <w:contextualSpacing/>
              <w:rPr>
                <w:color w:val="000000" w:themeColor="text1"/>
                <w:sz w:val="24"/>
                <w:szCs w:val="24"/>
              </w:rPr>
            </w:pPr>
            <w:r w:rsidRPr="00792B36">
              <w:rPr>
                <w:color w:val="000000"/>
              </w:rPr>
              <w:t>Chumphon</w:t>
            </w:r>
          </w:p>
        </w:tc>
        <w:tc>
          <w:tcPr>
            <w:tcW w:w="1701" w:type="dxa"/>
            <w:vAlign w:val="bottom"/>
          </w:tcPr>
          <w:p w14:paraId="6D82AD35" w14:textId="77777777" w:rsidR="00BA713F" w:rsidRPr="00792B36" w:rsidRDefault="00BA713F" w:rsidP="0096560E">
            <w:pPr>
              <w:contextualSpacing/>
              <w:jc w:val="center"/>
              <w:rPr>
                <w:color w:val="000000" w:themeColor="text1"/>
                <w:sz w:val="24"/>
                <w:szCs w:val="24"/>
              </w:rPr>
            </w:pPr>
            <w:r w:rsidRPr="00792B36">
              <w:rPr>
                <w:color w:val="000000"/>
              </w:rPr>
              <w:t>0.382</w:t>
            </w:r>
          </w:p>
        </w:tc>
        <w:tc>
          <w:tcPr>
            <w:tcW w:w="1842" w:type="dxa"/>
            <w:vAlign w:val="bottom"/>
          </w:tcPr>
          <w:p w14:paraId="493BC177" w14:textId="77777777" w:rsidR="00BA713F" w:rsidRPr="00792B36" w:rsidRDefault="00BA713F" w:rsidP="0096560E">
            <w:pPr>
              <w:contextualSpacing/>
              <w:jc w:val="center"/>
              <w:rPr>
                <w:color w:val="000000" w:themeColor="text1"/>
                <w:sz w:val="24"/>
                <w:szCs w:val="24"/>
              </w:rPr>
            </w:pPr>
            <w:r w:rsidRPr="00792B36">
              <w:rPr>
                <w:color w:val="000000"/>
              </w:rPr>
              <w:t>0.362</w:t>
            </w:r>
          </w:p>
        </w:tc>
        <w:tc>
          <w:tcPr>
            <w:tcW w:w="2268" w:type="dxa"/>
            <w:vAlign w:val="bottom"/>
          </w:tcPr>
          <w:p w14:paraId="1479CBC6" w14:textId="77777777" w:rsidR="00BA713F" w:rsidRPr="00792B36" w:rsidRDefault="00BA713F" w:rsidP="0096560E">
            <w:pPr>
              <w:contextualSpacing/>
              <w:jc w:val="center"/>
              <w:rPr>
                <w:color w:val="000000" w:themeColor="text1"/>
                <w:sz w:val="24"/>
                <w:szCs w:val="24"/>
              </w:rPr>
            </w:pPr>
            <w:r w:rsidRPr="00792B36">
              <w:rPr>
                <w:color w:val="000000"/>
              </w:rPr>
              <w:t>0.372</w:t>
            </w:r>
          </w:p>
        </w:tc>
        <w:tc>
          <w:tcPr>
            <w:tcW w:w="1084" w:type="dxa"/>
            <w:vAlign w:val="bottom"/>
          </w:tcPr>
          <w:p w14:paraId="1F8B20BB" w14:textId="77777777" w:rsidR="00BA713F" w:rsidRPr="00792B36" w:rsidRDefault="00BA713F" w:rsidP="0096560E">
            <w:pPr>
              <w:contextualSpacing/>
              <w:jc w:val="center"/>
              <w:rPr>
                <w:rFonts w:eastAsia="Times New Roman"/>
                <w:color w:val="000000" w:themeColor="text1"/>
                <w:sz w:val="24"/>
                <w:szCs w:val="24"/>
              </w:rPr>
            </w:pPr>
            <w:r w:rsidRPr="00792B36">
              <w:rPr>
                <w:color w:val="000000"/>
              </w:rPr>
              <w:t>5</w:t>
            </w:r>
          </w:p>
        </w:tc>
      </w:tr>
      <w:tr w:rsidR="00BA713F" w:rsidRPr="00792B36" w14:paraId="51A1B48D" w14:textId="77777777" w:rsidTr="0096560E">
        <w:trPr>
          <w:trHeight w:val="340"/>
        </w:trPr>
        <w:tc>
          <w:tcPr>
            <w:tcW w:w="2122" w:type="dxa"/>
            <w:vAlign w:val="bottom"/>
          </w:tcPr>
          <w:p w14:paraId="61A10724" w14:textId="77777777" w:rsidR="00BA713F" w:rsidRPr="00792B36" w:rsidRDefault="00BA713F" w:rsidP="0096560E">
            <w:pPr>
              <w:contextualSpacing/>
              <w:rPr>
                <w:color w:val="000000" w:themeColor="text1"/>
                <w:sz w:val="24"/>
                <w:szCs w:val="24"/>
              </w:rPr>
            </w:pPr>
            <w:r w:rsidRPr="00792B36">
              <w:rPr>
                <w:color w:val="000000"/>
              </w:rPr>
              <w:t>Pattani</w:t>
            </w:r>
          </w:p>
        </w:tc>
        <w:tc>
          <w:tcPr>
            <w:tcW w:w="1701" w:type="dxa"/>
            <w:vAlign w:val="bottom"/>
          </w:tcPr>
          <w:p w14:paraId="799BC9EA" w14:textId="77777777" w:rsidR="00BA713F" w:rsidRPr="00792B36" w:rsidRDefault="00BA713F" w:rsidP="0096560E">
            <w:pPr>
              <w:contextualSpacing/>
              <w:jc w:val="center"/>
              <w:rPr>
                <w:color w:val="000000" w:themeColor="text1"/>
                <w:sz w:val="24"/>
                <w:szCs w:val="24"/>
              </w:rPr>
            </w:pPr>
            <w:r w:rsidRPr="00792B36">
              <w:rPr>
                <w:color w:val="000000"/>
              </w:rPr>
              <w:t>0.209</w:t>
            </w:r>
          </w:p>
        </w:tc>
        <w:tc>
          <w:tcPr>
            <w:tcW w:w="1842" w:type="dxa"/>
            <w:vAlign w:val="bottom"/>
          </w:tcPr>
          <w:p w14:paraId="689E0E0A" w14:textId="77777777" w:rsidR="00BA713F" w:rsidRPr="00792B36" w:rsidRDefault="00BA713F" w:rsidP="0096560E">
            <w:pPr>
              <w:contextualSpacing/>
              <w:jc w:val="center"/>
              <w:rPr>
                <w:color w:val="000000" w:themeColor="text1"/>
                <w:sz w:val="24"/>
                <w:szCs w:val="24"/>
              </w:rPr>
            </w:pPr>
            <w:r w:rsidRPr="00792B36">
              <w:rPr>
                <w:color w:val="000000"/>
              </w:rPr>
              <w:t>0.531</w:t>
            </w:r>
          </w:p>
        </w:tc>
        <w:tc>
          <w:tcPr>
            <w:tcW w:w="2268" w:type="dxa"/>
            <w:vAlign w:val="bottom"/>
          </w:tcPr>
          <w:p w14:paraId="128D9563" w14:textId="77777777" w:rsidR="00BA713F" w:rsidRPr="00792B36" w:rsidRDefault="00BA713F" w:rsidP="0096560E">
            <w:pPr>
              <w:contextualSpacing/>
              <w:jc w:val="center"/>
              <w:rPr>
                <w:color w:val="000000" w:themeColor="text1"/>
                <w:sz w:val="24"/>
                <w:szCs w:val="24"/>
              </w:rPr>
            </w:pPr>
            <w:r w:rsidRPr="00792B36">
              <w:rPr>
                <w:color w:val="000000"/>
              </w:rPr>
              <w:t>0.370</w:t>
            </w:r>
          </w:p>
        </w:tc>
        <w:tc>
          <w:tcPr>
            <w:tcW w:w="1084" w:type="dxa"/>
            <w:vAlign w:val="bottom"/>
          </w:tcPr>
          <w:p w14:paraId="5CA8C530" w14:textId="77777777" w:rsidR="00BA713F" w:rsidRPr="00792B36" w:rsidRDefault="00BA713F" w:rsidP="0096560E">
            <w:pPr>
              <w:contextualSpacing/>
              <w:jc w:val="center"/>
              <w:rPr>
                <w:rFonts w:eastAsia="Times New Roman"/>
                <w:color w:val="000000" w:themeColor="text1"/>
                <w:sz w:val="24"/>
                <w:szCs w:val="24"/>
              </w:rPr>
            </w:pPr>
            <w:r w:rsidRPr="00792B36">
              <w:rPr>
                <w:color w:val="000000"/>
              </w:rPr>
              <w:t>6</w:t>
            </w:r>
          </w:p>
        </w:tc>
      </w:tr>
      <w:tr w:rsidR="00BA713F" w:rsidRPr="00792B36" w14:paraId="7EBE0D18" w14:textId="77777777" w:rsidTr="0096560E">
        <w:trPr>
          <w:trHeight w:val="340"/>
        </w:trPr>
        <w:tc>
          <w:tcPr>
            <w:tcW w:w="2122" w:type="dxa"/>
            <w:vAlign w:val="bottom"/>
          </w:tcPr>
          <w:p w14:paraId="43987790" w14:textId="77777777" w:rsidR="00BA713F" w:rsidRPr="00792B36" w:rsidRDefault="00BA713F" w:rsidP="0096560E">
            <w:pPr>
              <w:contextualSpacing/>
              <w:rPr>
                <w:color w:val="000000" w:themeColor="text1"/>
                <w:sz w:val="24"/>
                <w:szCs w:val="24"/>
              </w:rPr>
            </w:pPr>
            <w:r w:rsidRPr="00792B36">
              <w:rPr>
                <w:color w:val="000000"/>
              </w:rPr>
              <w:t>Songkhla</w:t>
            </w:r>
          </w:p>
        </w:tc>
        <w:tc>
          <w:tcPr>
            <w:tcW w:w="1701" w:type="dxa"/>
            <w:vAlign w:val="bottom"/>
          </w:tcPr>
          <w:p w14:paraId="4B2FB032" w14:textId="77777777" w:rsidR="00BA713F" w:rsidRPr="00792B36" w:rsidRDefault="00BA713F" w:rsidP="0096560E">
            <w:pPr>
              <w:contextualSpacing/>
              <w:jc w:val="center"/>
              <w:rPr>
                <w:color w:val="000000" w:themeColor="text1"/>
                <w:sz w:val="24"/>
                <w:szCs w:val="24"/>
              </w:rPr>
            </w:pPr>
            <w:r w:rsidRPr="00792B36">
              <w:rPr>
                <w:color w:val="000000"/>
              </w:rPr>
              <w:t>0.264</w:t>
            </w:r>
          </w:p>
        </w:tc>
        <w:tc>
          <w:tcPr>
            <w:tcW w:w="1842" w:type="dxa"/>
            <w:vAlign w:val="bottom"/>
          </w:tcPr>
          <w:p w14:paraId="7F8742AE" w14:textId="77777777" w:rsidR="00BA713F" w:rsidRPr="00792B36" w:rsidRDefault="00BA713F" w:rsidP="0096560E">
            <w:pPr>
              <w:contextualSpacing/>
              <w:jc w:val="center"/>
              <w:rPr>
                <w:color w:val="000000" w:themeColor="text1"/>
                <w:sz w:val="24"/>
                <w:szCs w:val="24"/>
              </w:rPr>
            </w:pPr>
            <w:r w:rsidRPr="00792B36">
              <w:rPr>
                <w:color w:val="000000"/>
              </w:rPr>
              <w:t>0.470</w:t>
            </w:r>
          </w:p>
        </w:tc>
        <w:tc>
          <w:tcPr>
            <w:tcW w:w="2268" w:type="dxa"/>
            <w:vAlign w:val="bottom"/>
          </w:tcPr>
          <w:p w14:paraId="03160939" w14:textId="77777777" w:rsidR="00BA713F" w:rsidRPr="00792B36" w:rsidRDefault="00BA713F" w:rsidP="0096560E">
            <w:pPr>
              <w:contextualSpacing/>
              <w:jc w:val="center"/>
              <w:rPr>
                <w:color w:val="000000" w:themeColor="text1"/>
                <w:sz w:val="24"/>
                <w:szCs w:val="24"/>
              </w:rPr>
            </w:pPr>
            <w:r w:rsidRPr="00792B36">
              <w:rPr>
                <w:color w:val="000000"/>
              </w:rPr>
              <w:t>0.367</w:t>
            </w:r>
          </w:p>
        </w:tc>
        <w:tc>
          <w:tcPr>
            <w:tcW w:w="1084" w:type="dxa"/>
            <w:vAlign w:val="bottom"/>
          </w:tcPr>
          <w:p w14:paraId="7F6C747E" w14:textId="77777777" w:rsidR="00BA713F" w:rsidRPr="00792B36" w:rsidRDefault="00BA713F" w:rsidP="0096560E">
            <w:pPr>
              <w:contextualSpacing/>
              <w:jc w:val="center"/>
              <w:rPr>
                <w:rFonts w:eastAsia="Times New Roman"/>
                <w:color w:val="000000" w:themeColor="text1"/>
                <w:sz w:val="24"/>
                <w:szCs w:val="24"/>
              </w:rPr>
            </w:pPr>
            <w:r w:rsidRPr="00792B36">
              <w:rPr>
                <w:color w:val="000000"/>
              </w:rPr>
              <w:t>7</w:t>
            </w:r>
          </w:p>
        </w:tc>
      </w:tr>
      <w:tr w:rsidR="00BA713F" w:rsidRPr="00792B36" w14:paraId="01B1BCF3" w14:textId="77777777" w:rsidTr="0096560E">
        <w:trPr>
          <w:trHeight w:val="340"/>
        </w:trPr>
        <w:tc>
          <w:tcPr>
            <w:tcW w:w="2122" w:type="dxa"/>
            <w:vAlign w:val="bottom"/>
          </w:tcPr>
          <w:p w14:paraId="5C094422" w14:textId="77777777" w:rsidR="00BA713F" w:rsidRPr="00792B36" w:rsidRDefault="00BA713F" w:rsidP="0096560E">
            <w:pPr>
              <w:contextualSpacing/>
              <w:rPr>
                <w:color w:val="000000" w:themeColor="text1"/>
                <w:sz w:val="24"/>
                <w:szCs w:val="24"/>
              </w:rPr>
            </w:pPr>
            <w:r w:rsidRPr="00792B36">
              <w:rPr>
                <w:color w:val="000000"/>
              </w:rPr>
              <w:t>Chachoengsao</w:t>
            </w:r>
          </w:p>
        </w:tc>
        <w:tc>
          <w:tcPr>
            <w:tcW w:w="1701" w:type="dxa"/>
            <w:vAlign w:val="bottom"/>
          </w:tcPr>
          <w:p w14:paraId="6A87B446" w14:textId="77777777" w:rsidR="00BA713F" w:rsidRPr="00792B36" w:rsidRDefault="00BA713F" w:rsidP="0096560E">
            <w:pPr>
              <w:contextualSpacing/>
              <w:jc w:val="center"/>
              <w:rPr>
                <w:color w:val="000000" w:themeColor="text1"/>
                <w:sz w:val="24"/>
                <w:szCs w:val="24"/>
              </w:rPr>
            </w:pPr>
            <w:r w:rsidRPr="00792B36">
              <w:rPr>
                <w:color w:val="000000"/>
              </w:rPr>
              <w:t>0.458</w:t>
            </w:r>
          </w:p>
        </w:tc>
        <w:tc>
          <w:tcPr>
            <w:tcW w:w="1842" w:type="dxa"/>
            <w:vAlign w:val="bottom"/>
          </w:tcPr>
          <w:p w14:paraId="731BDF28" w14:textId="77777777" w:rsidR="00BA713F" w:rsidRPr="00792B36" w:rsidRDefault="00BA713F" w:rsidP="0096560E">
            <w:pPr>
              <w:contextualSpacing/>
              <w:jc w:val="center"/>
              <w:rPr>
                <w:color w:val="000000" w:themeColor="text1"/>
                <w:sz w:val="24"/>
                <w:szCs w:val="24"/>
              </w:rPr>
            </w:pPr>
            <w:r w:rsidRPr="00792B36">
              <w:rPr>
                <w:color w:val="000000"/>
              </w:rPr>
              <w:t>0.253</w:t>
            </w:r>
          </w:p>
        </w:tc>
        <w:tc>
          <w:tcPr>
            <w:tcW w:w="2268" w:type="dxa"/>
            <w:vAlign w:val="bottom"/>
          </w:tcPr>
          <w:p w14:paraId="0F4CF9CB" w14:textId="77777777" w:rsidR="00BA713F" w:rsidRPr="00792B36" w:rsidRDefault="00BA713F" w:rsidP="0096560E">
            <w:pPr>
              <w:contextualSpacing/>
              <w:jc w:val="center"/>
              <w:rPr>
                <w:color w:val="000000" w:themeColor="text1"/>
                <w:sz w:val="24"/>
                <w:szCs w:val="24"/>
              </w:rPr>
            </w:pPr>
            <w:r w:rsidRPr="00792B36">
              <w:rPr>
                <w:color w:val="000000"/>
              </w:rPr>
              <w:t>0.355</w:t>
            </w:r>
          </w:p>
        </w:tc>
        <w:tc>
          <w:tcPr>
            <w:tcW w:w="1084" w:type="dxa"/>
            <w:vAlign w:val="bottom"/>
          </w:tcPr>
          <w:p w14:paraId="1717A8C1" w14:textId="77777777" w:rsidR="00BA713F" w:rsidRPr="00792B36" w:rsidRDefault="00BA713F" w:rsidP="0096560E">
            <w:pPr>
              <w:contextualSpacing/>
              <w:jc w:val="center"/>
              <w:rPr>
                <w:rFonts w:eastAsia="Times New Roman"/>
                <w:color w:val="000000" w:themeColor="text1"/>
                <w:sz w:val="24"/>
                <w:szCs w:val="24"/>
              </w:rPr>
            </w:pPr>
            <w:r w:rsidRPr="00792B36">
              <w:rPr>
                <w:color w:val="000000"/>
              </w:rPr>
              <w:t>8</w:t>
            </w:r>
          </w:p>
        </w:tc>
      </w:tr>
      <w:tr w:rsidR="00BA713F" w:rsidRPr="00792B36" w14:paraId="0E683044" w14:textId="77777777" w:rsidTr="0096560E">
        <w:trPr>
          <w:trHeight w:val="340"/>
        </w:trPr>
        <w:tc>
          <w:tcPr>
            <w:tcW w:w="2122" w:type="dxa"/>
            <w:vAlign w:val="bottom"/>
          </w:tcPr>
          <w:p w14:paraId="1AAA58AC" w14:textId="77777777" w:rsidR="00BA713F" w:rsidRPr="00792B36" w:rsidRDefault="00BA713F" w:rsidP="0096560E">
            <w:pPr>
              <w:contextualSpacing/>
              <w:rPr>
                <w:color w:val="000000" w:themeColor="text1"/>
                <w:sz w:val="24"/>
                <w:szCs w:val="24"/>
              </w:rPr>
            </w:pPr>
            <w:r w:rsidRPr="00792B36">
              <w:rPr>
                <w:color w:val="000000"/>
              </w:rPr>
              <w:t>Surat-Thani</w:t>
            </w:r>
          </w:p>
        </w:tc>
        <w:tc>
          <w:tcPr>
            <w:tcW w:w="1701" w:type="dxa"/>
            <w:vAlign w:val="bottom"/>
          </w:tcPr>
          <w:p w14:paraId="14188047" w14:textId="77777777" w:rsidR="00BA713F" w:rsidRPr="00792B36" w:rsidRDefault="00BA713F" w:rsidP="0096560E">
            <w:pPr>
              <w:contextualSpacing/>
              <w:jc w:val="center"/>
              <w:rPr>
                <w:color w:val="000000" w:themeColor="text1"/>
                <w:sz w:val="24"/>
                <w:szCs w:val="24"/>
              </w:rPr>
            </w:pPr>
            <w:r w:rsidRPr="00792B36">
              <w:rPr>
                <w:color w:val="000000"/>
              </w:rPr>
              <w:t>0.369</w:t>
            </w:r>
          </w:p>
        </w:tc>
        <w:tc>
          <w:tcPr>
            <w:tcW w:w="1842" w:type="dxa"/>
            <w:vAlign w:val="bottom"/>
          </w:tcPr>
          <w:p w14:paraId="0AFDDA58" w14:textId="77777777" w:rsidR="00BA713F" w:rsidRPr="00792B36" w:rsidRDefault="00BA713F" w:rsidP="0096560E">
            <w:pPr>
              <w:contextualSpacing/>
              <w:jc w:val="center"/>
              <w:rPr>
                <w:color w:val="000000" w:themeColor="text1"/>
                <w:sz w:val="24"/>
                <w:szCs w:val="24"/>
              </w:rPr>
            </w:pPr>
            <w:r w:rsidRPr="00792B36">
              <w:rPr>
                <w:color w:val="000000"/>
              </w:rPr>
              <w:t>0.326</w:t>
            </w:r>
          </w:p>
        </w:tc>
        <w:tc>
          <w:tcPr>
            <w:tcW w:w="2268" w:type="dxa"/>
            <w:vAlign w:val="bottom"/>
          </w:tcPr>
          <w:p w14:paraId="47AE1E70" w14:textId="77777777" w:rsidR="00BA713F" w:rsidRPr="00792B36" w:rsidRDefault="00BA713F" w:rsidP="0096560E">
            <w:pPr>
              <w:contextualSpacing/>
              <w:jc w:val="center"/>
              <w:rPr>
                <w:color w:val="000000" w:themeColor="text1"/>
                <w:sz w:val="24"/>
                <w:szCs w:val="24"/>
              </w:rPr>
            </w:pPr>
            <w:r w:rsidRPr="00792B36">
              <w:rPr>
                <w:color w:val="000000"/>
              </w:rPr>
              <w:t>0.348</w:t>
            </w:r>
          </w:p>
        </w:tc>
        <w:tc>
          <w:tcPr>
            <w:tcW w:w="1084" w:type="dxa"/>
            <w:vAlign w:val="bottom"/>
          </w:tcPr>
          <w:p w14:paraId="7DD27890" w14:textId="77777777" w:rsidR="00BA713F" w:rsidRPr="00792B36" w:rsidRDefault="00BA713F" w:rsidP="0096560E">
            <w:pPr>
              <w:contextualSpacing/>
              <w:jc w:val="center"/>
              <w:rPr>
                <w:rFonts w:eastAsia="Times New Roman"/>
                <w:color w:val="000000" w:themeColor="text1"/>
                <w:sz w:val="24"/>
                <w:szCs w:val="24"/>
              </w:rPr>
            </w:pPr>
            <w:r w:rsidRPr="00792B36">
              <w:rPr>
                <w:color w:val="000000"/>
              </w:rPr>
              <w:t>9</w:t>
            </w:r>
          </w:p>
        </w:tc>
      </w:tr>
      <w:tr w:rsidR="00BA713F" w:rsidRPr="00792B36" w14:paraId="5B326BC4" w14:textId="77777777" w:rsidTr="0096560E">
        <w:trPr>
          <w:trHeight w:val="340"/>
        </w:trPr>
        <w:tc>
          <w:tcPr>
            <w:tcW w:w="2122" w:type="dxa"/>
            <w:vAlign w:val="bottom"/>
          </w:tcPr>
          <w:p w14:paraId="4E104F3C" w14:textId="77777777" w:rsidR="00BA713F" w:rsidRPr="00792B36" w:rsidRDefault="00BA713F" w:rsidP="0096560E">
            <w:pPr>
              <w:contextualSpacing/>
              <w:rPr>
                <w:color w:val="000000" w:themeColor="text1"/>
                <w:sz w:val="24"/>
                <w:szCs w:val="24"/>
              </w:rPr>
            </w:pPr>
            <w:r w:rsidRPr="00792B36">
              <w:rPr>
                <w:color w:val="000000"/>
              </w:rPr>
              <w:t>Phetchaburi</w:t>
            </w:r>
          </w:p>
        </w:tc>
        <w:tc>
          <w:tcPr>
            <w:tcW w:w="1701" w:type="dxa"/>
            <w:vAlign w:val="bottom"/>
          </w:tcPr>
          <w:p w14:paraId="62BC82EB" w14:textId="77777777" w:rsidR="00BA713F" w:rsidRPr="00792B36" w:rsidRDefault="00BA713F" w:rsidP="0096560E">
            <w:pPr>
              <w:contextualSpacing/>
              <w:jc w:val="center"/>
              <w:rPr>
                <w:color w:val="000000" w:themeColor="text1"/>
                <w:sz w:val="24"/>
                <w:szCs w:val="24"/>
              </w:rPr>
            </w:pPr>
            <w:r w:rsidRPr="00792B36">
              <w:rPr>
                <w:color w:val="000000"/>
              </w:rPr>
              <w:t>0.219</w:t>
            </w:r>
          </w:p>
        </w:tc>
        <w:tc>
          <w:tcPr>
            <w:tcW w:w="1842" w:type="dxa"/>
            <w:vAlign w:val="bottom"/>
          </w:tcPr>
          <w:p w14:paraId="74F74E34" w14:textId="77777777" w:rsidR="00BA713F" w:rsidRPr="00792B36" w:rsidRDefault="00BA713F" w:rsidP="0096560E">
            <w:pPr>
              <w:contextualSpacing/>
              <w:jc w:val="center"/>
              <w:rPr>
                <w:color w:val="000000" w:themeColor="text1"/>
                <w:sz w:val="24"/>
                <w:szCs w:val="24"/>
              </w:rPr>
            </w:pPr>
            <w:r w:rsidRPr="00792B36">
              <w:rPr>
                <w:color w:val="000000"/>
              </w:rPr>
              <w:t>0.452</w:t>
            </w:r>
          </w:p>
        </w:tc>
        <w:tc>
          <w:tcPr>
            <w:tcW w:w="2268" w:type="dxa"/>
            <w:vAlign w:val="bottom"/>
          </w:tcPr>
          <w:p w14:paraId="4E80231E" w14:textId="77777777" w:rsidR="00BA713F" w:rsidRPr="00792B36" w:rsidRDefault="00BA713F" w:rsidP="0096560E">
            <w:pPr>
              <w:contextualSpacing/>
              <w:jc w:val="center"/>
              <w:rPr>
                <w:color w:val="000000" w:themeColor="text1"/>
                <w:sz w:val="24"/>
                <w:szCs w:val="24"/>
              </w:rPr>
            </w:pPr>
            <w:r w:rsidRPr="00792B36">
              <w:rPr>
                <w:color w:val="000000"/>
              </w:rPr>
              <w:t>0.336</w:t>
            </w:r>
          </w:p>
        </w:tc>
        <w:tc>
          <w:tcPr>
            <w:tcW w:w="1084" w:type="dxa"/>
            <w:vAlign w:val="bottom"/>
          </w:tcPr>
          <w:p w14:paraId="24D003E7" w14:textId="77777777" w:rsidR="00BA713F" w:rsidRPr="00792B36" w:rsidRDefault="00BA713F" w:rsidP="0096560E">
            <w:pPr>
              <w:contextualSpacing/>
              <w:jc w:val="center"/>
              <w:rPr>
                <w:rFonts w:eastAsia="Times New Roman"/>
                <w:color w:val="000000" w:themeColor="text1"/>
                <w:sz w:val="24"/>
                <w:szCs w:val="24"/>
              </w:rPr>
            </w:pPr>
            <w:r w:rsidRPr="00792B36">
              <w:rPr>
                <w:color w:val="000000"/>
              </w:rPr>
              <w:t>10</w:t>
            </w:r>
          </w:p>
        </w:tc>
      </w:tr>
      <w:tr w:rsidR="00BA713F" w:rsidRPr="00792B36" w14:paraId="63B0110F" w14:textId="77777777" w:rsidTr="0096560E">
        <w:trPr>
          <w:trHeight w:val="340"/>
        </w:trPr>
        <w:tc>
          <w:tcPr>
            <w:tcW w:w="2122" w:type="dxa"/>
            <w:vAlign w:val="bottom"/>
          </w:tcPr>
          <w:p w14:paraId="385D168B" w14:textId="77777777" w:rsidR="00BA713F" w:rsidRPr="00792B36" w:rsidRDefault="00BA713F" w:rsidP="0096560E">
            <w:pPr>
              <w:contextualSpacing/>
              <w:rPr>
                <w:color w:val="000000" w:themeColor="text1"/>
                <w:sz w:val="24"/>
                <w:szCs w:val="24"/>
              </w:rPr>
            </w:pPr>
            <w:r w:rsidRPr="00792B36">
              <w:rPr>
                <w:color w:val="000000"/>
              </w:rPr>
              <w:t>Chon Buri</w:t>
            </w:r>
          </w:p>
        </w:tc>
        <w:tc>
          <w:tcPr>
            <w:tcW w:w="1701" w:type="dxa"/>
            <w:vAlign w:val="bottom"/>
          </w:tcPr>
          <w:p w14:paraId="6636B241" w14:textId="77777777" w:rsidR="00BA713F" w:rsidRPr="00792B36" w:rsidRDefault="00BA713F" w:rsidP="0096560E">
            <w:pPr>
              <w:contextualSpacing/>
              <w:jc w:val="center"/>
              <w:rPr>
                <w:color w:val="000000" w:themeColor="text1"/>
                <w:sz w:val="24"/>
                <w:szCs w:val="24"/>
              </w:rPr>
            </w:pPr>
            <w:r w:rsidRPr="00792B36">
              <w:rPr>
                <w:color w:val="000000"/>
              </w:rPr>
              <w:t>0.497</w:t>
            </w:r>
          </w:p>
        </w:tc>
        <w:tc>
          <w:tcPr>
            <w:tcW w:w="1842" w:type="dxa"/>
            <w:vAlign w:val="bottom"/>
          </w:tcPr>
          <w:p w14:paraId="5B6146B2" w14:textId="77777777" w:rsidR="00BA713F" w:rsidRPr="00792B36" w:rsidRDefault="00BA713F" w:rsidP="0096560E">
            <w:pPr>
              <w:contextualSpacing/>
              <w:jc w:val="center"/>
              <w:rPr>
                <w:color w:val="000000" w:themeColor="text1"/>
                <w:sz w:val="24"/>
                <w:szCs w:val="24"/>
              </w:rPr>
            </w:pPr>
            <w:r w:rsidRPr="00792B36">
              <w:rPr>
                <w:color w:val="000000"/>
              </w:rPr>
              <w:t>0.160</w:t>
            </w:r>
          </w:p>
        </w:tc>
        <w:tc>
          <w:tcPr>
            <w:tcW w:w="2268" w:type="dxa"/>
            <w:vAlign w:val="bottom"/>
          </w:tcPr>
          <w:p w14:paraId="3DE207C3" w14:textId="77777777" w:rsidR="00BA713F" w:rsidRPr="00792B36" w:rsidRDefault="00BA713F" w:rsidP="0096560E">
            <w:pPr>
              <w:contextualSpacing/>
              <w:jc w:val="center"/>
              <w:rPr>
                <w:color w:val="000000" w:themeColor="text1"/>
                <w:sz w:val="24"/>
                <w:szCs w:val="24"/>
              </w:rPr>
            </w:pPr>
            <w:r w:rsidRPr="00792B36">
              <w:rPr>
                <w:color w:val="000000"/>
              </w:rPr>
              <w:t>0.329</w:t>
            </w:r>
          </w:p>
        </w:tc>
        <w:tc>
          <w:tcPr>
            <w:tcW w:w="1084" w:type="dxa"/>
            <w:vAlign w:val="bottom"/>
          </w:tcPr>
          <w:p w14:paraId="2350894D" w14:textId="77777777" w:rsidR="00BA713F" w:rsidRPr="00792B36" w:rsidRDefault="00BA713F" w:rsidP="0096560E">
            <w:pPr>
              <w:contextualSpacing/>
              <w:jc w:val="center"/>
              <w:rPr>
                <w:rFonts w:eastAsia="Times New Roman"/>
                <w:color w:val="000000" w:themeColor="text1"/>
                <w:sz w:val="24"/>
                <w:szCs w:val="24"/>
              </w:rPr>
            </w:pPr>
            <w:r w:rsidRPr="00792B36">
              <w:rPr>
                <w:color w:val="000000"/>
              </w:rPr>
              <w:t>11</w:t>
            </w:r>
          </w:p>
        </w:tc>
      </w:tr>
      <w:tr w:rsidR="00BA713F" w:rsidRPr="00792B36" w14:paraId="148E1399" w14:textId="77777777" w:rsidTr="0096560E">
        <w:trPr>
          <w:trHeight w:val="340"/>
        </w:trPr>
        <w:tc>
          <w:tcPr>
            <w:tcW w:w="2122" w:type="dxa"/>
            <w:vAlign w:val="bottom"/>
          </w:tcPr>
          <w:p w14:paraId="748B4E3A" w14:textId="77777777" w:rsidR="00BA713F" w:rsidRPr="00792B36" w:rsidRDefault="00BA713F" w:rsidP="0096560E">
            <w:pPr>
              <w:contextualSpacing/>
              <w:rPr>
                <w:color w:val="000000" w:themeColor="text1"/>
                <w:sz w:val="24"/>
                <w:szCs w:val="24"/>
              </w:rPr>
            </w:pPr>
            <w:r w:rsidRPr="00792B36">
              <w:rPr>
                <w:color w:val="000000"/>
              </w:rPr>
              <w:t>Chanthaburi</w:t>
            </w:r>
          </w:p>
        </w:tc>
        <w:tc>
          <w:tcPr>
            <w:tcW w:w="1701" w:type="dxa"/>
            <w:vAlign w:val="bottom"/>
          </w:tcPr>
          <w:p w14:paraId="1F4508D9" w14:textId="77777777" w:rsidR="00BA713F" w:rsidRPr="00792B36" w:rsidRDefault="00BA713F" w:rsidP="0096560E">
            <w:pPr>
              <w:contextualSpacing/>
              <w:jc w:val="center"/>
              <w:rPr>
                <w:color w:val="000000" w:themeColor="text1"/>
                <w:sz w:val="24"/>
                <w:szCs w:val="24"/>
              </w:rPr>
            </w:pPr>
            <w:r w:rsidRPr="00792B36">
              <w:rPr>
                <w:color w:val="000000"/>
              </w:rPr>
              <w:t>0.249</w:t>
            </w:r>
          </w:p>
        </w:tc>
        <w:tc>
          <w:tcPr>
            <w:tcW w:w="1842" w:type="dxa"/>
            <w:vAlign w:val="bottom"/>
          </w:tcPr>
          <w:p w14:paraId="36713763" w14:textId="77777777" w:rsidR="00BA713F" w:rsidRPr="00792B36" w:rsidRDefault="00BA713F" w:rsidP="0096560E">
            <w:pPr>
              <w:contextualSpacing/>
              <w:jc w:val="center"/>
              <w:rPr>
                <w:color w:val="000000" w:themeColor="text1"/>
                <w:sz w:val="24"/>
                <w:szCs w:val="24"/>
              </w:rPr>
            </w:pPr>
            <w:r w:rsidRPr="00792B36">
              <w:rPr>
                <w:color w:val="000000"/>
              </w:rPr>
              <w:t>0.378</w:t>
            </w:r>
          </w:p>
        </w:tc>
        <w:tc>
          <w:tcPr>
            <w:tcW w:w="2268" w:type="dxa"/>
            <w:vAlign w:val="bottom"/>
          </w:tcPr>
          <w:p w14:paraId="3066A08A" w14:textId="77777777" w:rsidR="00BA713F" w:rsidRPr="00792B36" w:rsidRDefault="00BA713F" w:rsidP="0096560E">
            <w:pPr>
              <w:contextualSpacing/>
              <w:jc w:val="center"/>
              <w:rPr>
                <w:color w:val="000000" w:themeColor="text1"/>
                <w:sz w:val="24"/>
                <w:szCs w:val="24"/>
              </w:rPr>
            </w:pPr>
            <w:r w:rsidRPr="00792B36">
              <w:rPr>
                <w:color w:val="000000"/>
              </w:rPr>
              <w:t>0.314</w:t>
            </w:r>
          </w:p>
        </w:tc>
        <w:tc>
          <w:tcPr>
            <w:tcW w:w="1084" w:type="dxa"/>
            <w:vAlign w:val="bottom"/>
          </w:tcPr>
          <w:p w14:paraId="6C29A439" w14:textId="77777777" w:rsidR="00BA713F" w:rsidRPr="00792B36" w:rsidRDefault="00BA713F" w:rsidP="0096560E">
            <w:pPr>
              <w:contextualSpacing/>
              <w:jc w:val="center"/>
              <w:rPr>
                <w:rFonts w:eastAsia="Times New Roman"/>
                <w:color w:val="000000" w:themeColor="text1"/>
                <w:sz w:val="24"/>
                <w:szCs w:val="24"/>
              </w:rPr>
            </w:pPr>
            <w:r w:rsidRPr="00792B36">
              <w:rPr>
                <w:color w:val="000000"/>
              </w:rPr>
              <w:t>12</w:t>
            </w:r>
          </w:p>
        </w:tc>
      </w:tr>
      <w:tr w:rsidR="00BA713F" w:rsidRPr="00792B36" w14:paraId="36E76F91" w14:textId="77777777" w:rsidTr="0096560E">
        <w:trPr>
          <w:trHeight w:val="340"/>
        </w:trPr>
        <w:tc>
          <w:tcPr>
            <w:tcW w:w="2122" w:type="dxa"/>
            <w:vAlign w:val="bottom"/>
          </w:tcPr>
          <w:p w14:paraId="299295D9" w14:textId="77777777" w:rsidR="00BA713F" w:rsidRPr="00792B36" w:rsidRDefault="00BA713F" w:rsidP="0096560E">
            <w:pPr>
              <w:contextualSpacing/>
              <w:rPr>
                <w:color w:val="000000" w:themeColor="text1"/>
                <w:sz w:val="24"/>
                <w:szCs w:val="24"/>
              </w:rPr>
            </w:pPr>
            <w:r w:rsidRPr="00792B36">
              <w:rPr>
                <w:color w:val="000000"/>
              </w:rPr>
              <w:t>Narathiwat</w:t>
            </w:r>
          </w:p>
        </w:tc>
        <w:tc>
          <w:tcPr>
            <w:tcW w:w="1701" w:type="dxa"/>
            <w:vAlign w:val="bottom"/>
          </w:tcPr>
          <w:p w14:paraId="778B6152" w14:textId="77777777" w:rsidR="00BA713F" w:rsidRPr="00792B36" w:rsidRDefault="00BA713F" w:rsidP="0096560E">
            <w:pPr>
              <w:contextualSpacing/>
              <w:jc w:val="center"/>
              <w:rPr>
                <w:color w:val="000000" w:themeColor="text1"/>
                <w:sz w:val="24"/>
                <w:szCs w:val="24"/>
              </w:rPr>
            </w:pPr>
            <w:r w:rsidRPr="00792B36">
              <w:rPr>
                <w:color w:val="000000"/>
              </w:rPr>
              <w:t>0.226</w:t>
            </w:r>
          </w:p>
        </w:tc>
        <w:tc>
          <w:tcPr>
            <w:tcW w:w="1842" w:type="dxa"/>
            <w:vAlign w:val="bottom"/>
          </w:tcPr>
          <w:p w14:paraId="39218F89" w14:textId="77777777" w:rsidR="00BA713F" w:rsidRPr="00792B36" w:rsidRDefault="00BA713F" w:rsidP="0096560E">
            <w:pPr>
              <w:contextualSpacing/>
              <w:jc w:val="center"/>
              <w:rPr>
                <w:color w:val="000000" w:themeColor="text1"/>
                <w:sz w:val="24"/>
                <w:szCs w:val="24"/>
              </w:rPr>
            </w:pPr>
            <w:r w:rsidRPr="00792B36">
              <w:rPr>
                <w:color w:val="000000"/>
              </w:rPr>
              <w:t>0.401</w:t>
            </w:r>
          </w:p>
        </w:tc>
        <w:tc>
          <w:tcPr>
            <w:tcW w:w="2268" w:type="dxa"/>
            <w:vAlign w:val="bottom"/>
          </w:tcPr>
          <w:p w14:paraId="578C4147" w14:textId="77777777" w:rsidR="00BA713F" w:rsidRPr="00792B36" w:rsidRDefault="00BA713F" w:rsidP="0096560E">
            <w:pPr>
              <w:contextualSpacing/>
              <w:jc w:val="center"/>
              <w:rPr>
                <w:color w:val="000000" w:themeColor="text1"/>
                <w:sz w:val="24"/>
                <w:szCs w:val="24"/>
              </w:rPr>
            </w:pPr>
            <w:r w:rsidRPr="00792B36">
              <w:rPr>
                <w:color w:val="000000"/>
              </w:rPr>
              <w:t>0.314</w:t>
            </w:r>
          </w:p>
        </w:tc>
        <w:tc>
          <w:tcPr>
            <w:tcW w:w="1084" w:type="dxa"/>
            <w:vAlign w:val="bottom"/>
          </w:tcPr>
          <w:p w14:paraId="3AB117B6" w14:textId="77777777" w:rsidR="00BA713F" w:rsidRPr="00792B36" w:rsidRDefault="00BA713F" w:rsidP="0096560E">
            <w:pPr>
              <w:contextualSpacing/>
              <w:jc w:val="center"/>
              <w:rPr>
                <w:rFonts w:eastAsia="Times New Roman"/>
                <w:color w:val="000000" w:themeColor="text1"/>
                <w:sz w:val="24"/>
                <w:szCs w:val="24"/>
              </w:rPr>
            </w:pPr>
            <w:r w:rsidRPr="00792B36">
              <w:rPr>
                <w:color w:val="000000"/>
              </w:rPr>
              <w:t>13</w:t>
            </w:r>
          </w:p>
        </w:tc>
      </w:tr>
      <w:tr w:rsidR="00BA713F" w:rsidRPr="00792B36" w14:paraId="254C02B2" w14:textId="77777777" w:rsidTr="0096560E">
        <w:trPr>
          <w:trHeight w:val="340"/>
        </w:trPr>
        <w:tc>
          <w:tcPr>
            <w:tcW w:w="2122" w:type="dxa"/>
            <w:vAlign w:val="bottom"/>
          </w:tcPr>
          <w:p w14:paraId="67AFEE55" w14:textId="77777777" w:rsidR="00BA713F" w:rsidRPr="00792B36" w:rsidRDefault="00BA713F" w:rsidP="0096560E">
            <w:pPr>
              <w:contextualSpacing/>
              <w:rPr>
                <w:color w:val="000000" w:themeColor="text1"/>
                <w:sz w:val="24"/>
                <w:szCs w:val="24"/>
              </w:rPr>
            </w:pPr>
            <w:r w:rsidRPr="00792B36">
              <w:rPr>
                <w:color w:val="000000"/>
                <w:sz w:val="20"/>
                <w:szCs w:val="24"/>
              </w:rPr>
              <w:t>Prachuap Khiri Khan</w:t>
            </w:r>
          </w:p>
        </w:tc>
        <w:tc>
          <w:tcPr>
            <w:tcW w:w="1701" w:type="dxa"/>
            <w:vAlign w:val="bottom"/>
          </w:tcPr>
          <w:p w14:paraId="635718DB" w14:textId="77777777" w:rsidR="00BA713F" w:rsidRPr="00792B36" w:rsidRDefault="00BA713F" w:rsidP="0096560E">
            <w:pPr>
              <w:contextualSpacing/>
              <w:jc w:val="center"/>
              <w:rPr>
                <w:color w:val="000000" w:themeColor="text1"/>
                <w:sz w:val="24"/>
                <w:szCs w:val="24"/>
              </w:rPr>
            </w:pPr>
            <w:r w:rsidRPr="00792B36">
              <w:rPr>
                <w:color w:val="000000"/>
              </w:rPr>
              <w:t>0.387</w:t>
            </w:r>
          </w:p>
        </w:tc>
        <w:tc>
          <w:tcPr>
            <w:tcW w:w="1842" w:type="dxa"/>
            <w:vAlign w:val="bottom"/>
          </w:tcPr>
          <w:p w14:paraId="1F616B91" w14:textId="77777777" w:rsidR="00BA713F" w:rsidRPr="00792B36" w:rsidRDefault="00BA713F" w:rsidP="0096560E">
            <w:pPr>
              <w:contextualSpacing/>
              <w:jc w:val="center"/>
              <w:rPr>
                <w:color w:val="000000" w:themeColor="text1"/>
                <w:sz w:val="24"/>
                <w:szCs w:val="24"/>
              </w:rPr>
            </w:pPr>
            <w:r w:rsidRPr="00792B36">
              <w:rPr>
                <w:color w:val="000000"/>
              </w:rPr>
              <w:t>0.148</w:t>
            </w:r>
          </w:p>
        </w:tc>
        <w:tc>
          <w:tcPr>
            <w:tcW w:w="2268" w:type="dxa"/>
            <w:vAlign w:val="bottom"/>
          </w:tcPr>
          <w:p w14:paraId="776863A0" w14:textId="77777777" w:rsidR="00BA713F" w:rsidRPr="00792B36" w:rsidRDefault="00BA713F" w:rsidP="0096560E">
            <w:pPr>
              <w:contextualSpacing/>
              <w:jc w:val="center"/>
              <w:rPr>
                <w:color w:val="000000" w:themeColor="text1"/>
                <w:sz w:val="24"/>
                <w:szCs w:val="24"/>
              </w:rPr>
            </w:pPr>
            <w:r w:rsidRPr="00792B36">
              <w:rPr>
                <w:color w:val="000000"/>
              </w:rPr>
              <w:t>0.268</w:t>
            </w:r>
          </w:p>
        </w:tc>
        <w:tc>
          <w:tcPr>
            <w:tcW w:w="1084" w:type="dxa"/>
            <w:vAlign w:val="bottom"/>
          </w:tcPr>
          <w:p w14:paraId="7AC2FC0A" w14:textId="77777777" w:rsidR="00BA713F" w:rsidRPr="00792B36" w:rsidRDefault="00BA713F" w:rsidP="0096560E">
            <w:pPr>
              <w:contextualSpacing/>
              <w:jc w:val="center"/>
              <w:rPr>
                <w:rFonts w:eastAsia="Times New Roman"/>
                <w:color w:val="000000" w:themeColor="text1"/>
                <w:sz w:val="24"/>
                <w:szCs w:val="24"/>
              </w:rPr>
            </w:pPr>
            <w:r w:rsidRPr="00792B36">
              <w:rPr>
                <w:color w:val="000000"/>
              </w:rPr>
              <w:t>14</w:t>
            </w:r>
          </w:p>
        </w:tc>
      </w:tr>
      <w:tr w:rsidR="00BA713F" w:rsidRPr="00792B36" w14:paraId="688EC048" w14:textId="77777777" w:rsidTr="0096560E">
        <w:trPr>
          <w:trHeight w:val="340"/>
        </w:trPr>
        <w:tc>
          <w:tcPr>
            <w:tcW w:w="2122" w:type="dxa"/>
            <w:vAlign w:val="bottom"/>
          </w:tcPr>
          <w:p w14:paraId="70103244" w14:textId="77777777" w:rsidR="00BA713F" w:rsidRPr="00792B36" w:rsidRDefault="00BA713F" w:rsidP="0096560E">
            <w:pPr>
              <w:contextualSpacing/>
              <w:rPr>
                <w:color w:val="000000" w:themeColor="text1"/>
                <w:sz w:val="24"/>
                <w:szCs w:val="24"/>
              </w:rPr>
            </w:pPr>
            <w:r w:rsidRPr="00792B36">
              <w:rPr>
                <w:color w:val="000000"/>
              </w:rPr>
              <w:t>Trat</w:t>
            </w:r>
          </w:p>
        </w:tc>
        <w:tc>
          <w:tcPr>
            <w:tcW w:w="1701" w:type="dxa"/>
            <w:vAlign w:val="bottom"/>
          </w:tcPr>
          <w:p w14:paraId="38653F1C" w14:textId="77777777" w:rsidR="00BA713F" w:rsidRPr="00792B36" w:rsidRDefault="00BA713F" w:rsidP="0096560E">
            <w:pPr>
              <w:contextualSpacing/>
              <w:jc w:val="center"/>
              <w:rPr>
                <w:color w:val="000000" w:themeColor="text1"/>
                <w:sz w:val="24"/>
                <w:szCs w:val="24"/>
              </w:rPr>
            </w:pPr>
            <w:r w:rsidRPr="00792B36">
              <w:rPr>
                <w:color w:val="000000"/>
              </w:rPr>
              <w:t>0.183</w:t>
            </w:r>
          </w:p>
        </w:tc>
        <w:tc>
          <w:tcPr>
            <w:tcW w:w="1842" w:type="dxa"/>
            <w:vAlign w:val="bottom"/>
          </w:tcPr>
          <w:p w14:paraId="1F32D7EF" w14:textId="77777777" w:rsidR="00BA713F" w:rsidRPr="00792B36" w:rsidRDefault="00BA713F" w:rsidP="0096560E">
            <w:pPr>
              <w:contextualSpacing/>
              <w:jc w:val="center"/>
              <w:rPr>
                <w:color w:val="000000" w:themeColor="text1"/>
                <w:sz w:val="24"/>
                <w:szCs w:val="24"/>
              </w:rPr>
            </w:pPr>
            <w:r w:rsidRPr="00792B36">
              <w:rPr>
                <w:color w:val="000000"/>
              </w:rPr>
              <w:t>0.346</w:t>
            </w:r>
          </w:p>
        </w:tc>
        <w:tc>
          <w:tcPr>
            <w:tcW w:w="2268" w:type="dxa"/>
            <w:vAlign w:val="bottom"/>
          </w:tcPr>
          <w:p w14:paraId="7C92BF97" w14:textId="77777777" w:rsidR="00BA713F" w:rsidRPr="00792B36" w:rsidRDefault="00BA713F" w:rsidP="0096560E">
            <w:pPr>
              <w:contextualSpacing/>
              <w:jc w:val="center"/>
              <w:rPr>
                <w:color w:val="000000" w:themeColor="text1"/>
                <w:sz w:val="24"/>
                <w:szCs w:val="24"/>
              </w:rPr>
            </w:pPr>
            <w:r w:rsidRPr="00792B36">
              <w:rPr>
                <w:color w:val="000000"/>
              </w:rPr>
              <w:t>0.265</w:t>
            </w:r>
          </w:p>
        </w:tc>
        <w:tc>
          <w:tcPr>
            <w:tcW w:w="1084" w:type="dxa"/>
            <w:vAlign w:val="bottom"/>
          </w:tcPr>
          <w:p w14:paraId="24CD06E8" w14:textId="77777777" w:rsidR="00BA713F" w:rsidRPr="00792B36" w:rsidRDefault="00BA713F" w:rsidP="0096560E">
            <w:pPr>
              <w:contextualSpacing/>
              <w:jc w:val="center"/>
              <w:rPr>
                <w:rFonts w:eastAsia="Times New Roman"/>
                <w:color w:val="000000" w:themeColor="text1"/>
                <w:sz w:val="24"/>
                <w:szCs w:val="24"/>
              </w:rPr>
            </w:pPr>
            <w:r w:rsidRPr="00792B36">
              <w:rPr>
                <w:color w:val="000000"/>
              </w:rPr>
              <w:t>15</w:t>
            </w:r>
          </w:p>
        </w:tc>
      </w:tr>
      <w:tr w:rsidR="00BA713F" w:rsidRPr="00792B36" w14:paraId="30EA8EDF" w14:textId="77777777" w:rsidTr="0096560E">
        <w:trPr>
          <w:trHeight w:val="340"/>
        </w:trPr>
        <w:tc>
          <w:tcPr>
            <w:tcW w:w="2122" w:type="dxa"/>
            <w:vAlign w:val="bottom"/>
          </w:tcPr>
          <w:p w14:paraId="4773675E" w14:textId="77777777" w:rsidR="00BA713F" w:rsidRPr="00792B36" w:rsidRDefault="00BA713F" w:rsidP="0096560E">
            <w:pPr>
              <w:contextualSpacing/>
              <w:rPr>
                <w:color w:val="000000" w:themeColor="text1"/>
                <w:sz w:val="24"/>
                <w:szCs w:val="24"/>
              </w:rPr>
            </w:pPr>
            <w:r w:rsidRPr="00792B36">
              <w:rPr>
                <w:color w:val="000000"/>
                <w:sz w:val="18"/>
              </w:rPr>
              <w:t>Nakhon Si Thammarat</w:t>
            </w:r>
          </w:p>
        </w:tc>
        <w:tc>
          <w:tcPr>
            <w:tcW w:w="1701" w:type="dxa"/>
            <w:vAlign w:val="bottom"/>
          </w:tcPr>
          <w:p w14:paraId="3151597D" w14:textId="77777777" w:rsidR="00BA713F" w:rsidRPr="00792B36" w:rsidRDefault="00BA713F" w:rsidP="0096560E">
            <w:pPr>
              <w:contextualSpacing/>
              <w:jc w:val="center"/>
              <w:rPr>
                <w:color w:val="000000" w:themeColor="text1"/>
                <w:sz w:val="24"/>
                <w:szCs w:val="24"/>
              </w:rPr>
            </w:pPr>
            <w:r w:rsidRPr="00792B36">
              <w:rPr>
                <w:color w:val="000000"/>
              </w:rPr>
              <w:t>0.231</w:t>
            </w:r>
          </w:p>
        </w:tc>
        <w:tc>
          <w:tcPr>
            <w:tcW w:w="1842" w:type="dxa"/>
            <w:vAlign w:val="bottom"/>
          </w:tcPr>
          <w:p w14:paraId="18E2F02C" w14:textId="77777777" w:rsidR="00BA713F" w:rsidRPr="00792B36" w:rsidRDefault="00BA713F" w:rsidP="0096560E">
            <w:pPr>
              <w:contextualSpacing/>
              <w:jc w:val="center"/>
              <w:rPr>
                <w:color w:val="000000" w:themeColor="text1"/>
                <w:sz w:val="24"/>
                <w:szCs w:val="24"/>
              </w:rPr>
            </w:pPr>
            <w:r w:rsidRPr="00792B36">
              <w:rPr>
                <w:color w:val="000000"/>
              </w:rPr>
              <w:t>0.293</w:t>
            </w:r>
          </w:p>
        </w:tc>
        <w:tc>
          <w:tcPr>
            <w:tcW w:w="2268" w:type="dxa"/>
            <w:vAlign w:val="bottom"/>
          </w:tcPr>
          <w:p w14:paraId="552480B4" w14:textId="77777777" w:rsidR="00BA713F" w:rsidRPr="00792B36" w:rsidRDefault="00BA713F" w:rsidP="0096560E">
            <w:pPr>
              <w:contextualSpacing/>
              <w:jc w:val="center"/>
              <w:rPr>
                <w:color w:val="000000" w:themeColor="text1"/>
                <w:sz w:val="24"/>
                <w:szCs w:val="24"/>
              </w:rPr>
            </w:pPr>
            <w:r w:rsidRPr="00792B36">
              <w:rPr>
                <w:color w:val="000000"/>
              </w:rPr>
              <w:t>0.262</w:t>
            </w:r>
          </w:p>
        </w:tc>
        <w:tc>
          <w:tcPr>
            <w:tcW w:w="1084" w:type="dxa"/>
            <w:vAlign w:val="bottom"/>
          </w:tcPr>
          <w:p w14:paraId="746A667C" w14:textId="77777777" w:rsidR="00BA713F" w:rsidRPr="00792B36" w:rsidRDefault="00BA713F" w:rsidP="0096560E">
            <w:pPr>
              <w:contextualSpacing/>
              <w:jc w:val="center"/>
              <w:rPr>
                <w:rFonts w:eastAsia="Times New Roman"/>
                <w:color w:val="000000" w:themeColor="text1"/>
                <w:sz w:val="24"/>
                <w:szCs w:val="24"/>
              </w:rPr>
            </w:pPr>
            <w:r w:rsidRPr="00792B36">
              <w:rPr>
                <w:color w:val="000000"/>
              </w:rPr>
              <w:t>16</w:t>
            </w:r>
          </w:p>
        </w:tc>
      </w:tr>
      <w:tr w:rsidR="00BA713F" w:rsidRPr="00792B36" w14:paraId="69FB1276" w14:textId="77777777" w:rsidTr="0096560E">
        <w:trPr>
          <w:trHeight w:val="340"/>
        </w:trPr>
        <w:tc>
          <w:tcPr>
            <w:tcW w:w="2122" w:type="dxa"/>
            <w:vAlign w:val="bottom"/>
          </w:tcPr>
          <w:p w14:paraId="3177C32D" w14:textId="77777777" w:rsidR="00BA713F" w:rsidRPr="00792B36" w:rsidRDefault="00BA713F" w:rsidP="0096560E">
            <w:pPr>
              <w:contextualSpacing/>
              <w:rPr>
                <w:color w:val="000000" w:themeColor="text1"/>
                <w:sz w:val="24"/>
                <w:szCs w:val="24"/>
              </w:rPr>
            </w:pPr>
            <w:r w:rsidRPr="00792B36">
              <w:rPr>
                <w:color w:val="000000"/>
              </w:rPr>
              <w:t>Rayong</w:t>
            </w:r>
          </w:p>
        </w:tc>
        <w:tc>
          <w:tcPr>
            <w:tcW w:w="1701" w:type="dxa"/>
            <w:vAlign w:val="bottom"/>
          </w:tcPr>
          <w:p w14:paraId="5A8757BC" w14:textId="77777777" w:rsidR="00BA713F" w:rsidRPr="00792B36" w:rsidRDefault="00BA713F" w:rsidP="0096560E">
            <w:pPr>
              <w:contextualSpacing/>
              <w:jc w:val="center"/>
              <w:rPr>
                <w:color w:val="000000" w:themeColor="text1"/>
                <w:sz w:val="24"/>
                <w:szCs w:val="24"/>
              </w:rPr>
            </w:pPr>
            <w:r w:rsidRPr="00792B36">
              <w:rPr>
                <w:color w:val="000000"/>
              </w:rPr>
              <w:t>0.425</w:t>
            </w:r>
          </w:p>
        </w:tc>
        <w:tc>
          <w:tcPr>
            <w:tcW w:w="1842" w:type="dxa"/>
            <w:vAlign w:val="bottom"/>
          </w:tcPr>
          <w:p w14:paraId="153D9E97" w14:textId="77777777" w:rsidR="00BA713F" w:rsidRPr="00792B36" w:rsidRDefault="00BA713F" w:rsidP="0096560E">
            <w:pPr>
              <w:contextualSpacing/>
              <w:jc w:val="center"/>
              <w:rPr>
                <w:color w:val="000000" w:themeColor="text1"/>
                <w:sz w:val="24"/>
                <w:szCs w:val="24"/>
              </w:rPr>
            </w:pPr>
            <w:r w:rsidRPr="00792B36">
              <w:rPr>
                <w:color w:val="000000"/>
              </w:rPr>
              <w:t>0.098</w:t>
            </w:r>
          </w:p>
        </w:tc>
        <w:tc>
          <w:tcPr>
            <w:tcW w:w="2268" w:type="dxa"/>
            <w:vAlign w:val="bottom"/>
          </w:tcPr>
          <w:p w14:paraId="77F9D1C8" w14:textId="77777777" w:rsidR="00BA713F" w:rsidRPr="00792B36" w:rsidRDefault="00BA713F" w:rsidP="0096560E">
            <w:pPr>
              <w:contextualSpacing/>
              <w:jc w:val="center"/>
              <w:rPr>
                <w:color w:val="000000" w:themeColor="text1"/>
                <w:sz w:val="24"/>
                <w:szCs w:val="24"/>
              </w:rPr>
            </w:pPr>
            <w:r w:rsidRPr="00792B36">
              <w:rPr>
                <w:color w:val="000000"/>
              </w:rPr>
              <w:t>0.261</w:t>
            </w:r>
          </w:p>
        </w:tc>
        <w:tc>
          <w:tcPr>
            <w:tcW w:w="1084" w:type="dxa"/>
            <w:vAlign w:val="bottom"/>
          </w:tcPr>
          <w:p w14:paraId="45F1D812" w14:textId="77777777" w:rsidR="00BA713F" w:rsidRPr="00792B36" w:rsidRDefault="00BA713F" w:rsidP="0096560E">
            <w:pPr>
              <w:contextualSpacing/>
              <w:jc w:val="center"/>
              <w:rPr>
                <w:rFonts w:eastAsia="Times New Roman"/>
                <w:color w:val="000000" w:themeColor="text1"/>
                <w:sz w:val="24"/>
                <w:szCs w:val="24"/>
              </w:rPr>
            </w:pPr>
            <w:r w:rsidRPr="00792B36">
              <w:rPr>
                <w:color w:val="000000"/>
              </w:rPr>
              <w:t>17</w:t>
            </w:r>
          </w:p>
        </w:tc>
      </w:tr>
      <w:bookmarkEnd w:id="18"/>
    </w:tbl>
    <w:p w14:paraId="60003698" w14:textId="77777777" w:rsidR="00BA713F" w:rsidRPr="00792B36" w:rsidRDefault="00BA713F" w:rsidP="00BA713F">
      <w:pPr>
        <w:spacing w:line="360" w:lineRule="auto"/>
        <w:contextualSpacing/>
        <w:jc w:val="thaiDistribute"/>
        <w:rPr>
          <w:color w:val="000000" w:themeColor="text1"/>
          <w:sz w:val="24"/>
          <w:szCs w:val="24"/>
        </w:rPr>
      </w:pPr>
    </w:p>
    <w:p w14:paraId="033B5D7C" w14:textId="77777777" w:rsidR="00BA713F" w:rsidRPr="00792B36" w:rsidRDefault="00BA713F" w:rsidP="00BA713F">
      <w:pPr>
        <w:spacing w:line="360" w:lineRule="auto"/>
        <w:contextualSpacing/>
        <w:jc w:val="thaiDistribute"/>
        <w:rPr>
          <w:color w:val="000000" w:themeColor="text1"/>
          <w:sz w:val="24"/>
          <w:szCs w:val="24"/>
        </w:rPr>
      </w:pPr>
      <w:bookmarkStart w:id="19" w:name="_Hlk215692620"/>
      <w:r w:rsidRPr="00792B36">
        <w:rPr>
          <w:color w:val="000000" w:themeColor="text1"/>
          <w:sz w:val="24"/>
          <w:szCs w:val="24"/>
        </w:rPr>
        <w:t xml:space="preserve">Incorporating area weighting, the 'Overall risk magnitude' (CRI_Final) measures total risk volume rather than concentration, causing a distinct shift in priorities. Surat Thani (0.055), Songkhla (0.033), and Nakhon Si Thammarat (0.032) rise to the top </w:t>
      </w:r>
      <w:r w:rsidRPr="00792B36">
        <w:rPr>
          <w:b/>
          <w:bCs/>
          <w:color w:val="000000" w:themeColor="text1"/>
          <w:sz w:val="24"/>
          <w:szCs w:val="24"/>
        </w:rPr>
        <w:t>(Table 2.4)</w:t>
      </w:r>
      <w:r w:rsidRPr="00792B36">
        <w:rPr>
          <w:color w:val="000000" w:themeColor="text1"/>
          <w:sz w:val="24"/>
          <w:szCs w:val="24"/>
        </w:rPr>
        <w:t xml:space="preserve"> as extensive geography increases the aggregate exposure of critical habitats </w:t>
      </w:r>
      <w:bookmarkEnd w:id="19"/>
      <w:r w:rsidRPr="00792B36">
        <w:rPr>
          <w:color w:val="000000" w:themeColor="text1"/>
          <w:sz w:val="24"/>
          <w:szCs w:val="24"/>
        </w:rPr>
        <w:t>and communities. Conversely, rankings for smaller provinces like Samut Songkhram and Samut Sakhon decline, confirming that while local pressures are intense, overall resource exposure is limited by size.</w:t>
      </w:r>
    </w:p>
    <w:p w14:paraId="177DFF9E" w14:textId="77777777" w:rsidR="00BA713F" w:rsidRPr="00792B36" w:rsidRDefault="00BA713F" w:rsidP="00BA713F">
      <w:pPr>
        <w:spacing w:line="360" w:lineRule="auto"/>
        <w:contextualSpacing/>
        <w:jc w:val="thaiDistribute"/>
        <w:rPr>
          <w:color w:val="000000" w:themeColor="text1"/>
          <w:sz w:val="24"/>
          <w:szCs w:val="24"/>
        </w:rPr>
      </w:pPr>
    </w:p>
    <w:p w14:paraId="57C41243" w14:textId="77777777" w:rsidR="00BA713F" w:rsidRPr="00792B36" w:rsidRDefault="00BA713F" w:rsidP="00BA713F">
      <w:pPr>
        <w:spacing w:line="360" w:lineRule="auto"/>
        <w:contextualSpacing/>
        <w:jc w:val="thaiDistribute"/>
        <w:rPr>
          <w:color w:val="000000" w:themeColor="text1"/>
          <w:sz w:val="24"/>
          <w:szCs w:val="24"/>
        </w:rPr>
      </w:pPr>
      <w:r w:rsidRPr="00792B36">
        <w:rPr>
          <w:b/>
          <w:bCs/>
          <w:color w:val="000000" w:themeColor="text1"/>
          <w:sz w:val="24"/>
          <w:szCs w:val="24"/>
        </w:rPr>
        <w:t>Table 2.4</w:t>
      </w:r>
      <w:r w:rsidRPr="00792B36">
        <w:rPr>
          <w:color w:val="000000" w:themeColor="text1"/>
          <w:sz w:val="24"/>
          <w:szCs w:val="24"/>
        </w:rPr>
        <w:t xml:space="preserve"> Overall risk magnitude assessment (CRI_Final) and provincial ranking after </w:t>
      </w:r>
      <w:r w:rsidRPr="00792B36">
        <w:rPr>
          <w:color w:val="000000" w:themeColor="text1"/>
          <w:sz w:val="24"/>
          <w:szCs w:val="24"/>
        </w:rPr>
        <w:lastRenderedPageBreak/>
        <w:t>area weighting</w:t>
      </w:r>
    </w:p>
    <w:tbl>
      <w:tblPr>
        <w:tblStyle w:val="TableGrid"/>
        <w:tblW w:w="5000" w:type="pct"/>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78"/>
        <w:gridCol w:w="2167"/>
        <w:gridCol w:w="1039"/>
        <w:gridCol w:w="879"/>
        <w:gridCol w:w="2152"/>
        <w:gridCol w:w="705"/>
      </w:tblGrid>
      <w:tr w:rsidR="00BA713F" w:rsidRPr="00792B36" w14:paraId="43270FA3" w14:textId="77777777" w:rsidTr="0096560E">
        <w:trPr>
          <w:trHeight w:val="340"/>
        </w:trPr>
        <w:tc>
          <w:tcPr>
            <w:tcW w:w="1152" w:type="pct"/>
            <w:tcBorders>
              <w:top w:val="single" w:sz="4" w:space="0" w:color="auto"/>
              <w:bottom w:val="single" w:sz="4" w:space="0" w:color="auto"/>
            </w:tcBorders>
            <w:vAlign w:val="center"/>
          </w:tcPr>
          <w:p w14:paraId="17FD7839" w14:textId="77777777" w:rsidR="00BA713F" w:rsidRPr="00792B36" w:rsidRDefault="00BA713F" w:rsidP="0096560E">
            <w:pPr>
              <w:contextualSpacing/>
              <w:jc w:val="center"/>
              <w:rPr>
                <w:b/>
                <w:bCs/>
                <w:color w:val="000000" w:themeColor="text1"/>
                <w:sz w:val="20"/>
                <w:szCs w:val="20"/>
              </w:rPr>
            </w:pPr>
            <w:r w:rsidRPr="00792B36">
              <w:rPr>
                <w:b/>
                <w:bCs/>
                <w:color w:val="000000" w:themeColor="text1"/>
                <w:sz w:val="20"/>
                <w:szCs w:val="20"/>
              </w:rPr>
              <w:t>Province</w:t>
            </w:r>
          </w:p>
        </w:tc>
        <w:tc>
          <w:tcPr>
            <w:tcW w:w="1201" w:type="pct"/>
            <w:tcBorders>
              <w:top w:val="single" w:sz="4" w:space="0" w:color="auto"/>
              <w:bottom w:val="single" w:sz="4" w:space="0" w:color="auto"/>
            </w:tcBorders>
            <w:vAlign w:val="center"/>
          </w:tcPr>
          <w:p w14:paraId="71F9DB0D" w14:textId="77777777" w:rsidR="00BA713F" w:rsidRPr="00792B36" w:rsidRDefault="00BA713F" w:rsidP="0096560E">
            <w:pPr>
              <w:contextualSpacing/>
              <w:jc w:val="center"/>
              <w:rPr>
                <w:b/>
                <w:bCs/>
                <w:color w:val="000000" w:themeColor="text1"/>
                <w:sz w:val="20"/>
                <w:szCs w:val="20"/>
              </w:rPr>
            </w:pPr>
            <w:r w:rsidRPr="00792B36">
              <w:rPr>
                <w:b/>
                <w:bCs/>
                <w:color w:val="000000" w:themeColor="text1"/>
                <w:sz w:val="20"/>
                <w:szCs w:val="20"/>
              </w:rPr>
              <w:t>Risk intensity score (CRI_Unweighted)</w:t>
            </w:r>
          </w:p>
        </w:tc>
        <w:tc>
          <w:tcPr>
            <w:tcW w:w="576" w:type="pct"/>
            <w:tcBorders>
              <w:top w:val="single" w:sz="4" w:space="0" w:color="auto"/>
              <w:bottom w:val="single" w:sz="4" w:space="0" w:color="auto"/>
            </w:tcBorders>
            <w:vAlign w:val="center"/>
          </w:tcPr>
          <w:p w14:paraId="19557258" w14:textId="77777777" w:rsidR="00BA713F" w:rsidRPr="00792B36" w:rsidRDefault="00BA713F" w:rsidP="0096560E">
            <w:pPr>
              <w:contextualSpacing/>
              <w:jc w:val="center"/>
              <w:rPr>
                <w:b/>
                <w:bCs/>
                <w:color w:val="000000" w:themeColor="text1"/>
                <w:sz w:val="20"/>
                <w:szCs w:val="20"/>
              </w:rPr>
            </w:pPr>
            <w:r w:rsidRPr="00792B36">
              <w:rPr>
                <w:b/>
                <w:bCs/>
                <w:color w:val="000000" w:themeColor="text1"/>
                <w:sz w:val="20"/>
                <w:szCs w:val="20"/>
              </w:rPr>
              <w:t>Intensity rank</w:t>
            </w:r>
          </w:p>
        </w:tc>
        <w:tc>
          <w:tcPr>
            <w:tcW w:w="487" w:type="pct"/>
            <w:tcBorders>
              <w:top w:val="single" w:sz="4" w:space="0" w:color="auto"/>
              <w:bottom w:val="single" w:sz="4" w:space="0" w:color="auto"/>
            </w:tcBorders>
            <w:vAlign w:val="center"/>
          </w:tcPr>
          <w:p w14:paraId="7E104DBE" w14:textId="77777777" w:rsidR="00BA713F" w:rsidRPr="00792B36" w:rsidRDefault="00BA713F" w:rsidP="0096560E">
            <w:pPr>
              <w:contextualSpacing/>
              <w:jc w:val="center"/>
              <w:rPr>
                <w:b/>
                <w:bCs/>
                <w:color w:val="000000" w:themeColor="text1"/>
                <w:sz w:val="20"/>
                <w:szCs w:val="20"/>
              </w:rPr>
            </w:pPr>
            <w:r w:rsidRPr="00792B36">
              <w:rPr>
                <w:b/>
                <w:bCs/>
                <w:color w:val="000000" w:themeColor="text1"/>
                <w:sz w:val="20"/>
                <w:szCs w:val="20"/>
              </w:rPr>
              <w:t>Area weight</w:t>
            </w:r>
          </w:p>
        </w:tc>
        <w:tc>
          <w:tcPr>
            <w:tcW w:w="1193" w:type="pct"/>
            <w:tcBorders>
              <w:top w:val="single" w:sz="4" w:space="0" w:color="auto"/>
              <w:bottom w:val="single" w:sz="4" w:space="0" w:color="auto"/>
            </w:tcBorders>
            <w:vAlign w:val="center"/>
          </w:tcPr>
          <w:p w14:paraId="52835F91" w14:textId="77777777" w:rsidR="00BA713F" w:rsidRPr="00792B36" w:rsidRDefault="00BA713F" w:rsidP="0096560E">
            <w:pPr>
              <w:contextualSpacing/>
              <w:jc w:val="center"/>
              <w:rPr>
                <w:b/>
                <w:bCs/>
                <w:color w:val="000000" w:themeColor="text1"/>
                <w:sz w:val="20"/>
                <w:szCs w:val="20"/>
              </w:rPr>
            </w:pPr>
            <w:r w:rsidRPr="00792B36">
              <w:rPr>
                <w:b/>
                <w:bCs/>
                <w:color w:val="000000" w:themeColor="text1"/>
                <w:sz w:val="20"/>
                <w:szCs w:val="20"/>
              </w:rPr>
              <w:t>Risk magnitude score (CRI_Final)</w:t>
            </w:r>
          </w:p>
        </w:tc>
        <w:tc>
          <w:tcPr>
            <w:tcW w:w="391" w:type="pct"/>
            <w:tcBorders>
              <w:top w:val="single" w:sz="4" w:space="0" w:color="auto"/>
              <w:bottom w:val="single" w:sz="4" w:space="0" w:color="auto"/>
            </w:tcBorders>
            <w:vAlign w:val="center"/>
          </w:tcPr>
          <w:p w14:paraId="14F62CF2" w14:textId="77777777" w:rsidR="00BA713F" w:rsidRPr="00792B36" w:rsidRDefault="00BA713F" w:rsidP="0096560E">
            <w:pPr>
              <w:contextualSpacing/>
              <w:jc w:val="center"/>
              <w:rPr>
                <w:b/>
                <w:bCs/>
                <w:color w:val="000000" w:themeColor="text1"/>
                <w:sz w:val="20"/>
                <w:szCs w:val="20"/>
              </w:rPr>
            </w:pPr>
            <w:r w:rsidRPr="00792B36">
              <w:rPr>
                <w:b/>
                <w:bCs/>
                <w:color w:val="000000" w:themeColor="text1"/>
                <w:sz w:val="20"/>
                <w:szCs w:val="20"/>
              </w:rPr>
              <w:t>Final rank</w:t>
            </w:r>
          </w:p>
        </w:tc>
      </w:tr>
      <w:tr w:rsidR="00BA713F" w:rsidRPr="00792B36" w14:paraId="2153A89F" w14:textId="77777777" w:rsidTr="0096560E">
        <w:trPr>
          <w:trHeight w:val="340"/>
        </w:trPr>
        <w:tc>
          <w:tcPr>
            <w:tcW w:w="1152" w:type="pct"/>
            <w:tcBorders>
              <w:top w:val="single" w:sz="4" w:space="0" w:color="auto"/>
            </w:tcBorders>
            <w:vAlign w:val="bottom"/>
          </w:tcPr>
          <w:p w14:paraId="4C8FC43E" w14:textId="77777777" w:rsidR="00BA713F" w:rsidRPr="00792B36" w:rsidRDefault="00BA713F" w:rsidP="0096560E">
            <w:pPr>
              <w:contextualSpacing/>
              <w:rPr>
                <w:sz w:val="20"/>
                <w:szCs w:val="20"/>
              </w:rPr>
            </w:pPr>
            <w:r w:rsidRPr="00792B36">
              <w:rPr>
                <w:sz w:val="20"/>
                <w:szCs w:val="20"/>
              </w:rPr>
              <w:t>Surat-Thani</w:t>
            </w:r>
          </w:p>
        </w:tc>
        <w:tc>
          <w:tcPr>
            <w:tcW w:w="1201" w:type="pct"/>
            <w:tcBorders>
              <w:top w:val="single" w:sz="4" w:space="0" w:color="auto"/>
            </w:tcBorders>
            <w:vAlign w:val="bottom"/>
          </w:tcPr>
          <w:p w14:paraId="42686B2B" w14:textId="77777777" w:rsidR="00BA713F" w:rsidRPr="00792B36" w:rsidRDefault="00BA713F" w:rsidP="0096560E">
            <w:pPr>
              <w:contextualSpacing/>
              <w:jc w:val="center"/>
              <w:rPr>
                <w:sz w:val="20"/>
                <w:szCs w:val="20"/>
              </w:rPr>
            </w:pPr>
            <w:r w:rsidRPr="00792B36">
              <w:rPr>
                <w:sz w:val="20"/>
                <w:szCs w:val="20"/>
              </w:rPr>
              <w:t>0.348</w:t>
            </w:r>
          </w:p>
        </w:tc>
        <w:tc>
          <w:tcPr>
            <w:tcW w:w="576" w:type="pct"/>
            <w:tcBorders>
              <w:top w:val="single" w:sz="4" w:space="0" w:color="auto"/>
            </w:tcBorders>
            <w:vAlign w:val="bottom"/>
          </w:tcPr>
          <w:p w14:paraId="3AE438FF" w14:textId="77777777" w:rsidR="00BA713F" w:rsidRPr="00792B36" w:rsidRDefault="00BA713F" w:rsidP="0096560E">
            <w:pPr>
              <w:contextualSpacing/>
              <w:jc w:val="center"/>
              <w:rPr>
                <w:sz w:val="20"/>
                <w:szCs w:val="20"/>
              </w:rPr>
            </w:pPr>
            <w:r w:rsidRPr="00792B36">
              <w:rPr>
                <w:sz w:val="20"/>
                <w:szCs w:val="20"/>
              </w:rPr>
              <w:t>9</w:t>
            </w:r>
          </w:p>
        </w:tc>
        <w:tc>
          <w:tcPr>
            <w:tcW w:w="487" w:type="pct"/>
            <w:tcBorders>
              <w:top w:val="single" w:sz="4" w:space="0" w:color="auto"/>
            </w:tcBorders>
            <w:vAlign w:val="bottom"/>
          </w:tcPr>
          <w:p w14:paraId="606B6973" w14:textId="77777777" w:rsidR="00BA713F" w:rsidRPr="00792B36" w:rsidRDefault="00BA713F" w:rsidP="0096560E">
            <w:pPr>
              <w:contextualSpacing/>
              <w:jc w:val="center"/>
              <w:rPr>
                <w:sz w:val="20"/>
                <w:szCs w:val="20"/>
              </w:rPr>
            </w:pPr>
            <w:r w:rsidRPr="00792B36">
              <w:rPr>
                <w:sz w:val="20"/>
                <w:szCs w:val="20"/>
              </w:rPr>
              <w:t>0.158</w:t>
            </w:r>
          </w:p>
        </w:tc>
        <w:tc>
          <w:tcPr>
            <w:tcW w:w="1193" w:type="pct"/>
            <w:tcBorders>
              <w:top w:val="single" w:sz="4" w:space="0" w:color="auto"/>
            </w:tcBorders>
            <w:vAlign w:val="bottom"/>
          </w:tcPr>
          <w:p w14:paraId="13B94050" w14:textId="77777777" w:rsidR="00BA713F" w:rsidRPr="00792B36" w:rsidRDefault="00BA713F" w:rsidP="0096560E">
            <w:pPr>
              <w:contextualSpacing/>
              <w:jc w:val="center"/>
              <w:rPr>
                <w:sz w:val="20"/>
                <w:szCs w:val="20"/>
              </w:rPr>
            </w:pPr>
            <w:r w:rsidRPr="00792B36">
              <w:rPr>
                <w:sz w:val="20"/>
                <w:szCs w:val="20"/>
              </w:rPr>
              <w:t>0.055</w:t>
            </w:r>
          </w:p>
        </w:tc>
        <w:tc>
          <w:tcPr>
            <w:tcW w:w="391" w:type="pct"/>
            <w:tcBorders>
              <w:top w:val="single" w:sz="4" w:space="0" w:color="auto"/>
            </w:tcBorders>
            <w:vAlign w:val="bottom"/>
          </w:tcPr>
          <w:p w14:paraId="44E5073E" w14:textId="77777777" w:rsidR="00BA713F" w:rsidRPr="00792B36" w:rsidRDefault="00BA713F" w:rsidP="0096560E">
            <w:pPr>
              <w:contextualSpacing/>
              <w:jc w:val="center"/>
              <w:rPr>
                <w:sz w:val="20"/>
                <w:szCs w:val="20"/>
              </w:rPr>
            </w:pPr>
            <w:r w:rsidRPr="00792B36">
              <w:rPr>
                <w:sz w:val="20"/>
                <w:szCs w:val="20"/>
              </w:rPr>
              <w:t>1</w:t>
            </w:r>
          </w:p>
        </w:tc>
      </w:tr>
      <w:tr w:rsidR="00BA713F" w:rsidRPr="00792B36" w14:paraId="18E877F5" w14:textId="77777777" w:rsidTr="0096560E">
        <w:trPr>
          <w:trHeight w:val="340"/>
        </w:trPr>
        <w:tc>
          <w:tcPr>
            <w:tcW w:w="1152" w:type="pct"/>
            <w:vAlign w:val="bottom"/>
          </w:tcPr>
          <w:p w14:paraId="2178A019" w14:textId="77777777" w:rsidR="00BA713F" w:rsidRPr="00792B36" w:rsidRDefault="00BA713F" w:rsidP="0096560E">
            <w:pPr>
              <w:contextualSpacing/>
              <w:rPr>
                <w:sz w:val="20"/>
                <w:szCs w:val="20"/>
              </w:rPr>
            </w:pPr>
            <w:r w:rsidRPr="00792B36">
              <w:rPr>
                <w:sz w:val="20"/>
                <w:szCs w:val="20"/>
              </w:rPr>
              <w:t>Songkhla</w:t>
            </w:r>
          </w:p>
        </w:tc>
        <w:tc>
          <w:tcPr>
            <w:tcW w:w="1201" w:type="pct"/>
            <w:vAlign w:val="bottom"/>
          </w:tcPr>
          <w:p w14:paraId="2BA2ABBC" w14:textId="77777777" w:rsidR="00BA713F" w:rsidRPr="00792B36" w:rsidRDefault="00BA713F" w:rsidP="0096560E">
            <w:pPr>
              <w:contextualSpacing/>
              <w:jc w:val="center"/>
              <w:rPr>
                <w:sz w:val="20"/>
                <w:szCs w:val="20"/>
              </w:rPr>
            </w:pPr>
            <w:r w:rsidRPr="00792B36">
              <w:rPr>
                <w:sz w:val="20"/>
                <w:szCs w:val="20"/>
              </w:rPr>
              <w:t>0.367</w:t>
            </w:r>
          </w:p>
        </w:tc>
        <w:tc>
          <w:tcPr>
            <w:tcW w:w="576" w:type="pct"/>
            <w:vAlign w:val="bottom"/>
          </w:tcPr>
          <w:p w14:paraId="1AA31E2C" w14:textId="77777777" w:rsidR="00BA713F" w:rsidRPr="00792B36" w:rsidRDefault="00BA713F" w:rsidP="0096560E">
            <w:pPr>
              <w:contextualSpacing/>
              <w:jc w:val="center"/>
              <w:rPr>
                <w:sz w:val="20"/>
                <w:szCs w:val="20"/>
              </w:rPr>
            </w:pPr>
            <w:r w:rsidRPr="00792B36">
              <w:rPr>
                <w:sz w:val="20"/>
                <w:szCs w:val="20"/>
              </w:rPr>
              <w:t>7</w:t>
            </w:r>
          </w:p>
        </w:tc>
        <w:tc>
          <w:tcPr>
            <w:tcW w:w="487" w:type="pct"/>
            <w:vAlign w:val="bottom"/>
          </w:tcPr>
          <w:p w14:paraId="7EC92D69" w14:textId="77777777" w:rsidR="00BA713F" w:rsidRPr="00792B36" w:rsidRDefault="00BA713F" w:rsidP="0096560E">
            <w:pPr>
              <w:contextualSpacing/>
              <w:jc w:val="center"/>
              <w:rPr>
                <w:sz w:val="20"/>
                <w:szCs w:val="20"/>
              </w:rPr>
            </w:pPr>
            <w:r w:rsidRPr="00792B36">
              <w:rPr>
                <w:sz w:val="20"/>
                <w:szCs w:val="20"/>
              </w:rPr>
              <w:t>0.091</w:t>
            </w:r>
          </w:p>
        </w:tc>
        <w:tc>
          <w:tcPr>
            <w:tcW w:w="1193" w:type="pct"/>
            <w:vAlign w:val="bottom"/>
          </w:tcPr>
          <w:p w14:paraId="06E01487" w14:textId="77777777" w:rsidR="00BA713F" w:rsidRPr="00792B36" w:rsidRDefault="00BA713F" w:rsidP="0096560E">
            <w:pPr>
              <w:contextualSpacing/>
              <w:jc w:val="center"/>
              <w:rPr>
                <w:sz w:val="20"/>
                <w:szCs w:val="20"/>
              </w:rPr>
            </w:pPr>
            <w:r w:rsidRPr="00792B36">
              <w:rPr>
                <w:sz w:val="20"/>
                <w:szCs w:val="20"/>
              </w:rPr>
              <w:t>0.033</w:t>
            </w:r>
          </w:p>
        </w:tc>
        <w:tc>
          <w:tcPr>
            <w:tcW w:w="391" w:type="pct"/>
            <w:vAlign w:val="bottom"/>
          </w:tcPr>
          <w:p w14:paraId="5D802A6D" w14:textId="77777777" w:rsidR="00BA713F" w:rsidRPr="00792B36" w:rsidRDefault="00BA713F" w:rsidP="0096560E">
            <w:pPr>
              <w:contextualSpacing/>
              <w:jc w:val="center"/>
              <w:rPr>
                <w:sz w:val="20"/>
                <w:szCs w:val="20"/>
              </w:rPr>
            </w:pPr>
            <w:r w:rsidRPr="00792B36">
              <w:rPr>
                <w:sz w:val="20"/>
                <w:szCs w:val="20"/>
              </w:rPr>
              <w:t>2</w:t>
            </w:r>
          </w:p>
        </w:tc>
      </w:tr>
      <w:tr w:rsidR="00BA713F" w:rsidRPr="00792B36" w14:paraId="4A56CFE7" w14:textId="77777777" w:rsidTr="0096560E">
        <w:trPr>
          <w:trHeight w:val="340"/>
        </w:trPr>
        <w:tc>
          <w:tcPr>
            <w:tcW w:w="1152" w:type="pct"/>
            <w:vAlign w:val="bottom"/>
          </w:tcPr>
          <w:p w14:paraId="294EBC1C" w14:textId="77777777" w:rsidR="00BA713F" w:rsidRPr="00792B36" w:rsidRDefault="00BA713F" w:rsidP="0096560E">
            <w:pPr>
              <w:contextualSpacing/>
              <w:rPr>
                <w:sz w:val="20"/>
                <w:szCs w:val="20"/>
              </w:rPr>
            </w:pPr>
            <w:r w:rsidRPr="00792B36">
              <w:rPr>
                <w:sz w:val="18"/>
                <w:szCs w:val="18"/>
              </w:rPr>
              <w:t>Nakhon Si Thammarat</w:t>
            </w:r>
          </w:p>
        </w:tc>
        <w:tc>
          <w:tcPr>
            <w:tcW w:w="1201" w:type="pct"/>
            <w:vAlign w:val="bottom"/>
          </w:tcPr>
          <w:p w14:paraId="4C934A4C" w14:textId="77777777" w:rsidR="00BA713F" w:rsidRPr="00792B36" w:rsidRDefault="00BA713F" w:rsidP="0096560E">
            <w:pPr>
              <w:contextualSpacing/>
              <w:jc w:val="center"/>
              <w:rPr>
                <w:sz w:val="20"/>
                <w:szCs w:val="20"/>
              </w:rPr>
            </w:pPr>
            <w:r w:rsidRPr="00792B36">
              <w:rPr>
                <w:sz w:val="20"/>
                <w:szCs w:val="20"/>
              </w:rPr>
              <w:t>0.262</w:t>
            </w:r>
          </w:p>
        </w:tc>
        <w:tc>
          <w:tcPr>
            <w:tcW w:w="576" w:type="pct"/>
            <w:vAlign w:val="bottom"/>
          </w:tcPr>
          <w:p w14:paraId="4996346E" w14:textId="77777777" w:rsidR="00BA713F" w:rsidRPr="00792B36" w:rsidRDefault="00BA713F" w:rsidP="0096560E">
            <w:pPr>
              <w:contextualSpacing/>
              <w:jc w:val="center"/>
              <w:rPr>
                <w:sz w:val="20"/>
                <w:szCs w:val="20"/>
              </w:rPr>
            </w:pPr>
            <w:r w:rsidRPr="00792B36">
              <w:rPr>
                <w:sz w:val="20"/>
                <w:szCs w:val="20"/>
              </w:rPr>
              <w:t>16</w:t>
            </w:r>
          </w:p>
        </w:tc>
        <w:tc>
          <w:tcPr>
            <w:tcW w:w="487" w:type="pct"/>
            <w:vAlign w:val="bottom"/>
          </w:tcPr>
          <w:p w14:paraId="22662C3D" w14:textId="77777777" w:rsidR="00BA713F" w:rsidRPr="00792B36" w:rsidRDefault="00BA713F" w:rsidP="0096560E">
            <w:pPr>
              <w:contextualSpacing/>
              <w:jc w:val="center"/>
              <w:rPr>
                <w:sz w:val="20"/>
                <w:szCs w:val="20"/>
              </w:rPr>
            </w:pPr>
            <w:r w:rsidRPr="00792B36">
              <w:rPr>
                <w:sz w:val="20"/>
                <w:szCs w:val="20"/>
              </w:rPr>
              <w:t>0.122</w:t>
            </w:r>
          </w:p>
        </w:tc>
        <w:tc>
          <w:tcPr>
            <w:tcW w:w="1193" w:type="pct"/>
            <w:vAlign w:val="bottom"/>
          </w:tcPr>
          <w:p w14:paraId="44BBF68D" w14:textId="77777777" w:rsidR="00BA713F" w:rsidRPr="00792B36" w:rsidRDefault="00BA713F" w:rsidP="0096560E">
            <w:pPr>
              <w:contextualSpacing/>
              <w:jc w:val="center"/>
              <w:rPr>
                <w:sz w:val="20"/>
                <w:szCs w:val="20"/>
              </w:rPr>
            </w:pPr>
            <w:r w:rsidRPr="00792B36">
              <w:rPr>
                <w:sz w:val="20"/>
                <w:szCs w:val="20"/>
              </w:rPr>
              <w:t>0.032</w:t>
            </w:r>
          </w:p>
        </w:tc>
        <w:tc>
          <w:tcPr>
            <w:tcW w:w="391" w:type="pct"/>
            <w:vAlign w:val="bottom"/>
          </w:tcPr>
          <w:p w14:paraId="79EE699E" w14:textId="77777777" w:rsidR="00BA713F" w:rsidRPr="00792B36" w:rsidRDefault="00BA713F" w:rsidP="0096560E">
            <w:pPr>
              <w:contextualSpacing/>
              <w:jc w:val="center"/>
              <w:rPr>
                <w:sz w:val="20"/>
                <w:szCs w:val="20"/>
              </w:rPr>
            </w:pPr>
            <w:r w:rsidRPr="00792B36">
              <w:rPr>
                <w:sz w:val="20"/>
                <w:szCs w:val="20"/>
              </w:rPr>
              <w:t>3</w:t>
            </w:r>
          </w:p>
        </w:tc>
      </w:tr>
      <w:tr w:rsidR="00BA713F" w:rsidRPr="00792B36" w14:paraId="2539B92B" w14:textId="77777777" w:rsidTr="0096560E">
        <w:trPr>
          <w:trHeight w:val="340"/>
        </w:trPr>
        <w:tc>
          <w:tcPr>
            <w:tcW w:w="1152" w:type="pct"/>
            <w:vAlign w:val="bottom"/>
          </w:tcPr>
          <w:p w14:paraId="7F72B458" w14:textId="77777777" w:rsidR="00BA713F" w:rsidRPr="00792B36" w:rsidRDefault="00BA713F" w:rsidP="0096560E">
            <w:pPr>
              <w:contextualSpacing/>
              <w:rPr>
                <w:sz w:val="20"/>
                <w:szCs w:val="20"/>
              </w:rPr>
            </w:pPr>
            <w:r w:rsidRPr="00792B36">
              <w:rPr>
                <w:sz w:val="20"/>
                <w:szCs w:val="20"/>
              </w:rPr>
              <w:t>Chumphon</w:t>
            </w:r>
          </w:p>
        </w:tc>
        <w:tc>
          <w:tcPr>
            <w:tcW w:w="1201" w:type="pct"/>
            <w:vAlign w:val="bottom"/>
          </w:tcPr>
          <w:p w14:paraId="6E7D9598" w14:textId="77777777" w:rsidR="00BA713F" w:rsidRPr="00792B36" w:rsidRDefault="00BA713F" w:rsidP="0096560E">
            <w:pPr>
              <w:contextualSpacing/>
              <w:jc w:val="center"/>
              <w:rPr>
                <w:sz w:val="20"/>
                <w:szCs w:val="20"/>
              </w:rPr>
            </w:pPr>
            <w:r w:rsidRPr="00792B36">
              <w:rPr>
                <w:sz w:val="20"/>
                <w:szCs w:val="20"/>
              </w:rPr>
              <w:t>0.372</w:t>
            </w:r>
          </w:p>
        </w:tc>
        <w:tc>
          <w:tcPr>
            <w:tcW w:w="576" w:type="pct"/>
            <w:vAlign w:val="bottom"/>
          </w:tcPr>
          <w:p w14:paraId="62E0CB32" w14:textId="77777777" w:rsidR="00BA713F" w:rsidRPr="00792B36" w:rsidRDefault="00BA713F" w:rsidP="0096560E">
            <w:pPr>
              <w:contextualSpacing/>
              <w:jc w:val="center"/>
              <w:rPr>
                <w:sz w:val="20"/>
                <w:szCs w:val="20"/>
              </w:rPr>
            </w:pPr>
            <w:r w:rsidRPr="00792B36">
              <w:rPr>
                <w:sz w:val="20"/>
                <w:szCs w:val="20"/>
              </w:rPr>
              <w:t>5</w:t>
            </w:r>
          </w:p>
        </w:tc>
        <w:tc>
          <w:tcPr>
            <w:tcW w:w="487" w:type="pct"/>
            <w:vAlign w:val="bottom"/>
          </w:tcPr>
          <w:p w14:paraId="64E03B6B" w14:textId="77777777" w:rsidR="00BA713F" w:rsidRPr="00792B36" w:rsidRDefault="00BA713F" w:rsidP="0096560E">
            <w:pPr>
              <w:contextualSpacing/>
              <w:jc w:val="center"/>
              <w:rPr>
                <w:sz w:val="20"/>
                <w:szCs w:val="20"/>
              </w:rPr>
            </w:pPr>
            <w:r w:rsidRPr="00792B36">
              <w:rPr>
                <w:sz w:val="20"/>
                <w:szCs w:val="20"/>
              </w:rPr>
              <w:t>0.074</w:t>
            </w:r>
          </w:p>
        </w:tc>
        <w:tc>
          <w:tcPr>
            <w:tcW w:w="1193" w:type="pct"/>
            <w:vAlign w:val="bottom"/>
          </w:tcPr>
          <w:p w14:paraId="09545430" w14:textId="77777777" w:rsidR="00BA713F" w:rsidRPr="00792B36" w:rsidRDefault="00BA713F" w:rsidP="0096560E">
            <w:pPr>
              <w:contextualSpacing/>
              <w:jc w:val="center"/>
              <w:rPr>
                <w:sz w:val="20"/>
                <w:szCs w:val="20"/>
              </w:rPr>
            </w:pPr>
            <w:r w:rsidRPr="00792B36">
              <w:rPr>
                <w:sz w:val="20"/>
                <w:szCs w:val="20"/>
              </w:rPr>
              <w:t>0.027</w:t>
            </w:r>
          </w:p>
        </w:tc>
        <w:tc>
          <w:tcPr>
            <w:tcW w:w="391" w:type="pct"/>
            <w:vAlign w:val="bottom"/>
          </w:tcPr>
          <w:p w14:paraId="032E6086" w14:textId="77777777" w:rsidR="00BA713F" w:rsidRPr="00792B36" w:rsidRDefault="00BA713F" w:rsidP="0096560E">
            <w:pPr>
              <w:contextualSpacing/>
              <w:jc w:val="center"/>
              <w:rPr>
                <w:sz w:val="20"/>
                <w:szCs w:val="20"/>
              </w:rPr>
            </w:pPr>
            <w:r w:rsidRPr="00792B36">
              <w:rPr>
                <w:sz w:val="20"/>
                <w:szCs w:val="20"/>
              </w:rPr>
              <w:t>4</w:t>
            </w:r>
          </w:p>
        </w:tc>
      </w:tr>
      <w:tr w:rsidR="00BA713F" w:rsidRPr="00792B36" w14:paraId="1017E283" w14:textId="77777777" w:rsidTr="0096560E">
        <w:trPr>
          <w:trHeight w:val="340"/>
        </w:trPr>
        <w:tc>
          <w:tcPr>
            <w:tcW w:w="1152" w:type="pct"/>
            <w:vAlign w:val="bottom"/>
          </w:tcPr>
          <w:p w14:paraId="32815AD9" w14:textId="77777777" w:rsidR="00BA713F" w:rsidRPr="00792B36" w:rsidRDefault="00BA713F" w:rsidP="0096560E">
            <w:pPr>
              <w:contextualSpacing/>
              <w:rPr>
                <w:sz w:val="20"/>
                <w:szCs w:val="20"/>
              </w:rPr>
            </w:pPr>
            <w:r w:rsidRPr="00792B36">
              <w:rPr>
                <w:sz w:val="20"/>
                <w:szCs w:val="20"/>
              </w:rPr>
              <w:t>Phetchaburi</w:t>
            </w:r>
          </w:p>
        </w:tc>
        <w:tc>
          <w:tcPr>
            <w:tcW w:w="1201" w:type="pct"/>
            <w:vAlign w:val="bottom"/>
          </w:tcPr>
          <w:p w14:paraId="27871877" w14:textId="77777777" w:rsidR="00BA713F" w:rsidRPr="00792B36" w:rsidRDefault="00BA713F" w:rsidP="0096560E">
            <w:pPr>
              <w:contextualSpacing/>
              <w:jc w:val="center"/>
              <w:rPr>
                <w:sz w:val="20"/>
                <w:szCs w:val="20"/>
              </w:rPr>
            </w:pPr>
            <w:r w:rsidRPr="00792B36">
              <w:rPr>
                <w:sz w:val="20"/>
                <w:szCs w:val="20"/>
              </w:rPr>
              <w:t>0.336</w:t>
            </w:r>
          </w:p>
        </w:tc>
        <w:tc>
          <w:tcPr>
            <w:tcW w:w="576" w:type="pct"/>
            <w:vAlign w:val="bottom"/>
          </w:tcPr>
          <w:p w14:paraId="04C25AB6" w14:textId="77777777" w:rsidR="00BA713F" w:rsidRPr="00792B36" w:rsidRDefault="00BA713F" w:rsidP="0096560E">
            <w:pPr>
              <w:contextualSpacing/>
              <w:jc w:val="center"/>
              <w:rPr>
                <w:sz w:val="20"/>
                <w:szCs w:val="20"/>
              </w:rPr>
            </w:pPr>
            <w:r w:rsidRPr="00792B36">
              <w:rPr>
                <w:sz w:val="20"/>
                <w:szCs w:val="20"/>
              </w:rPr>
              <w:t>10</w:t>
            </w:r>
          </w:p>
        </w:tc>
        <w:tc>
          <w:tcPr>
            <w:tcW w:w="487" w:type="pct"/>
            <w:vAlign w:val="bottom"/>
          </w:tcPr>
          <w:p w14:paraId="2F1EA48D" w14:textId="77777777" w:rsidR="00BA713F" w:rsidRPr="00792B36" w:rsidRDefault="00BA713F" w:rsidP="0096560E">
            <w:pPr>
              <w:contextualSpacing/>
              <w:jc w:val="center"/>
              <w:rPr>
                <w:sz w:val="20"/>
                <w:szCs w:val="20"/>
              </w:rPr>
            </w:pPr>
            <w:r w:rsidRPr="00792B36">
              <w:rPr>
                <w:sz w:val="20"/>
                <w:szCs w:val="20"/>
              </w:rPr>
              <w:t>0.076</w:t>
            </w:r>
          </w:p>
        </w:tc>
        <w:tc>
          <w:tcPr>
            <w:tcW w:w="1193" w:type="pct"/>
            <w:vAlign w:val="bottom"/>
          </w:tcPr>
          <w:p w14:paraId="459B840C" w14:textId="77777777" w:rsidR="00BA713F" w:rsidRPr="00792B36" w:rsidRDefault="00BA713F" w:rsidP="0096560E">
            <w:pPr>
              <w:contextualSpacing/>
              <w:jc w:val="center"/>
              <w:rPr>
                <w:sz w:val="20"/>
                <w:szCs w:val="20"/>
              </w:rPr>
            </w:pPr>
            <w:r w:rsidRPr="00792B36">
              <w:rPr>
                <w:sz w:val="20"/>
                <w:szCs w:val="20"/>
              </w:rPr>
              <w:t>0.026</w:t>
            </w:r>
          </w:p>
        </w:tc>
        <w:tc>
          <w:tcPr>
            <w:tcW w:w="391" w:type="pct"/>
            <w:vAlign w:val="bottom"/>
          </w:tcPr>
          <w:p w14:paraId="7A259D7E" w14:textId="77777777" w:rsidR="00BA713F" w:rsidRPr="00792B36" w:rsidRDefault="00BA713F" w:rsidP="0096560E">
            <w:pPr>
              <w:contextualSpacing/>
              <w:jc w:val="center"/>
              <w:rPr>
                <w:sz w:val="20"/>
                <w:szCs w:val="20"/>
              </w:rPr>
            </w:pPr>
            <w:r w:rsidRPr="00792B36">
              <w:rPr>
                <w:sz w:val="20"/>
                <w:szCs w:val="20"/>
              </w:rPr>
              <w:t>5</w:t>
            </w:r>
          </w:p>
        </w:tc>
      </w:tr>
      <w:tr w:rsidR="00BA713F" w:rsidRPr="00792B36" w14:paraId="727E459A" w14:textId="77777777" w:rsidTr="0096560E">
        <w:trPr>
          <w:trHeight w:val="340"/>
        </w:trPr>
        <w:tc>
          <w:tcPr>
            <w:tcW w:w="1152" w:type="pct"/>
            <w:vAlign w:val="bottom"/>
          </w:tcPr>
          <w:p w14:paraId="7F59791A" w14:textId="77777777" w:rsidR="00BA713F" w:rsidRPr="00792B36" w:rsidRDefault="00BA713F" w:rsidP="0096560E">
            <w:pPr>
              <w:contextualSpacing/>
              <w:rPr>
                <w:sz w:val="20"/>
                <w:szCs w:val="20"/>
              </w:rPr>
            </w:pPr>
            <w:r w:rsidRPr="00792B36">
              <w:rPr>
                <w:sz w:val="20"/>
                <w:szCs w:val="20"/>
              </w:rPr>
              <w:t>Chanthaburi</w:t>
            </w:r>
          </w:p>
        </w:tc>
        <w:tc>
          <w:tcPr>
            <w:tcW w:w="1201" w:type="pct"/>
            <w:vAlign w:val="bottom"/>
          </w:tcPr>
          <w:p w14:paraId="2687DF85" w14:textId="77777777" w:rsidR="00BA713F" w:rsidRPr="00792B36" w:rsidRDefault="00BA713F" w:rsidP="0096560E">
            <w:pPr>
              <w:contextualSpacing/>
              <w:jc w:val="center"/>
              <w:rPr>
                <w:sz w:val="20"/>
                <w:szCs w:val="20"/>
              </w:rPr>
            </w:pPr>
            <w:r w:rsidRPr="00792B36">
              <w:rPr>
                <w:sz w:val="20"/>
                <w:szCs w:val="20"/>
              </w:rPr>
              <w:t>0.314</w:t>
            </w:r>
          </w:p>
        </w:tc>
        <w:tc>
          <w:tcPr>
            <w:tcW w:w="576" w:type="pct"/>
            <w:vAlign w:val="bottom"/>
          </w:tcPr>
          <w:p w14:paraId="4596BB92" w14:textId="77777777" w:rsidR="00BA713F" w:rsidRPr="00792B36" w:rsidRDefault="00BA713F" w:rsidP="0096560E">
            <w:pPr>
              <w:contextualSpacing/>
              <w:jc w:val="center"/>
              <w:rPr>
                <w:sz w:val="20"/>
                <w:szCs w:val="20"/>
              </w:rPr>
            </w:pPr>
            <w:r w:rsidRPr="00792B36">
              <w:rPr>
                <w:sz w:val="20"/>
                <w:szCs w:val="20"/>
              </w:rPr>
              <w:t>12</w:t>
            </w:r>
          </w:p>
        </w:tc>
        <w:tc>
          <w:tcPr>
            <w:tcW w:w="487" w:type="pct"/>
            <w:vAlign w:val="bottom"/>
          </w:tcPr>
          <w:p w14:paraId="42A6AA1A" w14:textId="77777777" w:rsidR="00BA713F" w:rsidRPr="00792B36" w:rsidRDefault="00BA713F" w:rsidP="0096560E">
            <w:pPr>
              <w:contextualSpacing/>
              <w:jc w:val="center"/>
              <w:rPr>
                <w:sz w:val="20"/>
                <w:szCs w:val="20"/>
              </w:rPr>
            </w:pPr>
            <w:r w:rsidRPr="00792B36">
              <w:rPr>
                <w:sz w:val="20"/>
                <w:szCs w:val="20"/>
              </w:rPr>
              <w:t>0.078</w:t>
            </w:r>
          </w:p>
        </w:tc>
        <w:tc>
          <w:tcPr>
            <w:tcW w:w="1193" w:type="pct"/>
            <w:vAlign w:val="bottom"/>
          </w:tcPr>
          <w:p w14:paraId="0ED88E07" w14:textId="77777777" w:rsidR="00BA713F" w:rsidRPr="00792B36" w:rsidRDefault="00BA713F" w:rsidP="0096560E">
            <w:pPr>
              <w:contextualSpacing/>
              <w:jc w:val="center"/>
              <w:rPr>
                <w:sz w:val="20"/>
                <w:szCs w:val="20"/>
              </w:rPr>
            </w:pPr>
            <w:r w:rsidRPr="00792B36">
              <w:rPr>
                <w:sz w:val="20"/>
                <w:szCs w:val="20"/>
              </w:rPr>
              <w:t>0.024</w:t>
            </w:r>
          </w:p>
        </w:tc>
        <w:tc>
          <w:tcPr>
            <w:tcW w:w="391" w:type="pct"/>
            <w:vAlign w:val="bottom"/>
          </w:tcPr>
          <w:p w14:paraId="24CD4935" w14:textId="77777777" w:rsidR="00BA713F" w:rsidRPr="00792B36" w:rsidRDefault="00BA713F" w:rsidP="0096560E">
            <w:pPr>
              <w:contextualSpacing/>
              <w:jc w:val="center"/>
              <w:rPr>
                <w:sz w:val="20"/>
                <w:szCs w:val="20"/>
              </w:rPr>
            </w:pPr>
            <w:r w:rsidRPr="00792B36">
              <w:rPr>
                <w:sz w:val="20"/>
                <w:szCs w:val="20"/>
              </w:rPr>
              <w:t>6</w:t>
            </w:r>
          </w:p>
        </w:tc>
      </w:tr>
      <w:tr w:rsidR="00BA713F" w:rsidRPr="00792B36" w14:paraId="17126D83" w14:textId="77777777" w:rsidTr="0096560E">
        <w:trPr>
          <w:trHeight w:val="340"/>
        </w:trPr>
        <w:tc>
          <w:tcPr>
            <w:tcW w:w="1152" w:type="pct"/>
            <w:vAlign w:val="bottom"/>
          </w:tcPr>
          <w:p w14:paraId="71410C7E" w14:textId="77777777" w:rsidR="00BA713F" w:rsidRPr="00792B36" w:rsidRDefault="00BA713F" w:rsidP="0096560E">
            <w:pPr>
              <w:contextualSpacing/>
              <w:rPr>
                <w:sz w:val="20"/>
                <w:szCs w:val="20"/>
              </w:rPr>
            </w:pPr>
            <w:r w:rsidRPr="00792B36">
              <w:rPr>
                <w:sz w:val="20"/>
                <w:szCs w:val="20"/>
              </w:rPr>
              <w:t>Chachoengsao</w:t>
            </w:r>
          </w:p>
        </w:tc>
        <w:tc>
          <w:tcPr>
            <w:tcW w:w="1201" w:type="pct"/>
            <w:vAlign w:val="bottom"/>
          </w:tcPr>
          <w:p w14:paraId="67893F06" w14:textId="77777777" w:rsidR="00BA713F" w:rsidRPr="00792B36" w:rsidRDefault="00BA713F" w:rsidP="0096560E">
            <w:pPr>
              <w:contextualSpacing/>
              <w:jc w:val="center"/>
              <w:rPr>
                <w:sz w:val="20"/>
                <w:szCs w:val="20"/>
              </w:rPr>
            </w:pPr>
            <w:r w:rsidRPr="00792B36">
              <w:rPr>
                <w:sz w:val="20"/>
                <w:szCs w:val="20"/>
              </w:rPr>
              <w:t>0.355</w:t>
            </w:r>
          </w:p>
        </w:tc>
        <w:tc>
          <w:tcPr>
            <w:tcW w:w="576" w:type="pct"/>
            <w:vAlign w:val="bottom"/>
          </w:tcPr>
          <w:p w14:paraId="1743AFC2" w14:textId="77777777" w:rsidR="00BA713F" w:rsidRPr="00792B36" w:rsidRDefault="00BA713F" w:rsidP="0096560E">
            <w:pPr>
              <w:contextualSpacing/>
              <w:jc w:val="center"/>
              <w:rPr>
                <w:sz w:val="20"/>
                <w:szCs w:val="20"/>
              </w:rPr>
            </w:pPr>
            <w:r w:rsidRPr="00792B36">
              <w:rPr>
                <w:sz w:val="20"/>
                <w:szCs w:val="20"/>
              </w:rPr>
              <w:t>8</w:t>
            </w:r>
          </w:p>
        </w:tc>
        <w:tc>
          <w:tcPr>
            <w:tcW w:w="487" w:type="pct"/>
            <w:vAlign w:val="bottom"/>
          </w:tcPr>
          <w:p w14:paraId="1ABA7281" w14:textId="77777777" w:rsidR="00BA713F" w:rsidRPr="00792B36" w:rsidRDefault="00BA713F" w:rsidP="0096560E">
            <w:pPr>
              <w:contextualSpacing/>
              <w:jc w:val="center"/>
              <w:rPr>
                <w:sz w:val="20"/>
                <w:szCs w:val="20"/>
              </w:rPr>
            </w:pPr>
            <w:r w:rsidRPr="00792B36">
              <w:rPr>
                <w:sz w:val="20"/>
                <w:szCs w:val="20"/>
              </w:rPr>
              <w:t>0.066</w:t>
            </w:r>
          </w:p>
        </w:tc>
        <w:tc>
          <w:tcPr>
            <w:tcW w:w="1193" w:type="pct"/>
            <w:vAlign w:val="bottom"/>
          </w:tcPr>
          <w:p w14:paraId="7DC78E35" w14:textId="77777777" w:rsidR="00BA713F" w:rsidRPr="00792B36" w:rsidRDefault="00BA713F" w:rsidP="0096560E">
            <w:pPr>
              <w:contextualSpacing/>
              <w:jc w:val="center"/>
              <w:rPr>
                <w:sz w:val="20"/>
                <w:szCs w:val="20"/>
              </w:rPr>
            </w:pPr>
            <w:r w:rsidRPr="00792B36">
              <w:rPr>
                <w:sz w:val="20"/>
                <w:szCs w:val="20"/>
              </w:rPr>
              <w:t>0.023</w:t>
            </w:r>
          </w:p>
        </w:tc>
        <w:tc>
          <w:tcPr>
            <w:tcW w:w="391" w:type="pct"/>
            <w:vAlign w:val="bottom"/>
          </w:tcPr>
          <w:p w14:paraId="6BA7952A" w14:textId="77777777" w:rsidR="00BA713F" w:rsidRPr="00792B36" w:rsidRDefault="00BA713F" w:rsidP="0096560E">
            <w:pPr>
              <w:contextualSpacing/>
              <w:jc w:val="center"/>
              <w:rPr>
                <w:sz w:val="20"/>
                <w:szCs w:val="20"/>
              </w:rPr>
            </w:pPr>
            <w:r w:rsidRPr="00792B36">
              <w:rPr>
                <w:sz w:val="20"/>
                <w:szCs w:val="20"/>
              </w:rPr>
              <w:t>7</w:t>
            </w:r>
          </w:p>
        </w:tc>
      </w:tr>
      <w:tr w:rsidR="00BA713F" w:rsidRPr="00792B36" w14:paraId="24DBB22A" w14:textId="77777777" w:rsidTr="0096560E">
        <w:trPr>
          <w:trHeight w:val="340"/>
        </w:trPr>
        <w:tc>
          <w:tcPr>
            <w:tcW w:w="1152" w:type="pct"/>
            <w:vAlign w:val="bottom"/>
          </w:tcPr>
          <w:p w14:paraId="38FFFACE" w14:textId="77777777" w:rsidR="00BA713F" w:rsidRPr="00792B36" w:rsidRDefault="00BA713F" w:rsidP="0096560E">
            <w:pPr>
              <w:contextualSpacing/>
              <w:rPr>
                <w:sz w:val="20"/>
                <w:szCs w:val="20"/>
              </w:rPr>
            </w:pPr>
            <w:r w:rsidRPr="00792B36">
              <w:rPr>
                <w:sz w:val="20"/>
                <w:szCs w:val="20"/>
              </w:rPr>
              <w:t>Prachuap Khiri Khan</w:t>
            </w:r>
          </w:p>
        </w:tc>
        <w:tc>
          <w:tcPr>
            <w:tcW w:w="1201" w:type="pct"/>
            <w:vAlign w:val="bottom"/>
          </w:tcPr>
          <w:p w14:paraId="4F457DDD" w14:textId="77777777" w:rsidR="00BA713F" w:rsidRPr="00792B36" w:rsidRDefault="00BA713F" w:rsidP="0096560E">
            <w:pPr>
              <w:contextualSpacing/>
              <w:jc w:val="center"/>
              <w:rPr>
                <w:sz w:val="20"/>
                <w:szCs w:val="20"/>
              </w:rPr>
            </w:pPr>
            <w:r w:rsidRPr="00792B36">
              <w:rPr>
                <w:sz w:val="20"/>
                <w:szCs w:val="20"/>
              </w:rPr>
              <w:t>0.268</w:t>
            </w:r>
          </w:p>
        </w:tc>
        <w:tc>
          <w:tcPr>
            <w:tcW w:w="576" w:type="pct"/>
            <w:vAlign w:val="bottom"/>
          </w:tcPr>
          <w:p w14:paraId="37FA56A3" w14:textId="77777777" w:rsidR="00BA713F" w:rsidRPr="00792B36" w:rsidRDefault="00BA713F" w:rsidP="0096560E">
            <w:pPr>
              <w:contextualSpacing/>
              <w:jc w:val="center"/>
              <w:rPr>
                <w:sz w:val="20"/>
                <w:szCs w:val="20"/>
              </w:rPr>
            </w:pPr>
            <w:r w:rsidRPr="00792B36">
              <w:rPr>
                <w:sz w:val="20"/>
                <w:szCs w:val="20"/>
              </w:rPr>
              <w:t>14</w:t>
            </w:r>
          </w:p>
        </w:tc>
        <w:tc>
          <w:tcPr>
            <w:tcW w:w="487" w:type="pct"/>
            <w:vAlign w:val="bottom"/>
          </w:tcPr>
          <w:p w14:paraId="19DA6C68" w14:textId="77777777" w:rsidR="00BA713F" w:rsidRPr="00792B36" w:rsidRDefault="00BA713F" w:rsidP="0096560E">
            <w:pPr>
              <w:contextualSpacing/>
              <w:jc w:val="center"/>
              <w:rPr>
                <w:sz w:val="20"/>
                <w:szCs w:val="20"/>
              </w:rPr>
            </w:pPr>
            <w:r w:rsidRPr="00792B36">
              <w:rPr>
                <w:sz w:val="20"/>
                <w:szCs w:val="20"/>
              </w:rPr>
              <w:t>0.078</w:t>
            </w:r>
          </w:p>
        </w:tc>
        <w:tc>
          <w:tcPr>
            <w:tcW w:w="1193" w:type="pct"/>
            <w:vAlign w:val="bottom"/>
          </w:tcPr>
          <w:p w14:paraId="6B7D864E" w14:textId="77777777" w:rsidR="00BA713F" w:rsidRPr="00792B36" w:rsidRDefault="00BA713F" w:rsidP="0096560E">
            <w:pPr>
              <w:contextualSpacing/>
              <w:jc w:val="center"/>
              <w:rPr>
                <w:sz w:val="20"/>
                <w:szCs w:val="20"/>
              </w:rPr>
            </w:pPr>
            <w:r w:rsidRPr="00792B36">
              <w:rPr>
                <w:sz w:val="20"/>
                <w:szCs w:val="20"/>
              </w:rPr>
              <w:t>0.021</w:t>
            </w:r>
          </w:p>
        </w:tc>
        <w:tc>
          <w:tcPr>
            <w:tcW w:w="391" w:type="pct"/>
            <w:vAlign w:val="bottom"/>
          </w:tcPr>
          <w:p w14:paraId="499644D6" w14:textId="77777777" w:rsidR="00BA713F" w:rsidRPr="00792B36" w:rsidRDefault="00BA713F" w:rsidP="0096560E">
            <w:pPr>
              <w:contextualSpacing/>
              <w:jc w:val="center"/>
              <w:rPr>
                <w:sz w:val="20"/>
                <w:szCs w:val="20"/>
              </w:rPr>
            </w:pPr>
            <w:r w:rsidRPr="00792B36">
              <w:rPr>
                <w:sz w:val="20"/>
                <w:szCs w:val="20"/>
              </w:rPr>
              <w:t>8</w:t>
            </w:r>
          </w:p>
        </w:tc>
      </w:tr>
      <w:tr w:rsidR="00BA713F" w:rsidRPr="00792B36" w14:paraId="04E2C490" w14:textId="77777777" w:rsidTr="0096560E">
        <w:trPr>
          <w:trHeight w:val="340"/>
        </w:trPr>
        <w:tc>
          <w:tcPr>
            <w:tcW w:w="1152" w:type="pct"/>
            <w:vAlign w:val="bottom"/>
          </w:tcPr>
          <w:p w14:paraId="1B4EC8BB" w14:textId="77777777" w:rsidR="00BA713F" w:rsidRPr="00792B36" w:rsidRDefault="00BA713F" w:rsidP="0096560E">
            <w:pPr>
              <w:contextualSpacing/>
              <w:rPr>
                <w:sz w:val="20"/>
                <w:szCs w:val="20"/>
              </w:rPr>
            </w:pPr>
            <w:r w:rsidRPr="00792B36">
              <w:rPr>
                <w:sz w:val="20"/>
                <w:szCs w:val="20"/>
              </w:rPr>
              <w:t>Chon Buri</w:t>
            </w:r>
          </w:p>
        </w:tc>
        <w:tc>
          <w:tcPr>
            <w:tcW w:w="1201" w:type="pct"/>
            <w:vAlign w:val="bottom"/>
          </w:tcPr>
          <w:p w14:paraId="38776EBF" w14:textId="77777777" w:rsidR="00BA713F" w:rsidRPr="00792B36" w:rsidRDefault="00BA713F" w:rsidP="0096560E">
            <w:pPr>
              <w:contextualSpacing/>
              <w:jc w:val="center"/>
              <w:rPr>
                <w:sz w:val="20"/>
                <w:szCs w:val="20"/>
              </w:rPr>
            </w:pPr>
            <w:r w:rsidRPr="00792B36">
              <w:rPr>
                <w:sz w:val="20"/>
                <w:szCs w:val="20"/>
              </w:rPr>
              <w:t>0.329</w:t>
            </w:r>
          </w:p>
        </w:tc>
        <w:tc>
          <w:tcPr>
            <w:tcW w:w="576" w:type="pct"/>
            <w:vAlign w:val="bottom"/>
          </w:tcPr>
          <w:p w14:paraId="58E073CC" w14:textId="77777777" w:rsidR="00BA713F" w:rsidRPr="00792B36" w:rsidRDefault="00BA713F" w:rsidP="0096560E">
            <w:pPr>
              <w:contextualSpacing/>
              <w:jc w:val="center"/>
              <w:rPr>
                <w:sz w:val="20"/>
                <w:szCs w:val="20"/>
              </w:rPr>
            </w:pPr>
            <w:r w:rsidRPr="00792B36">
              <w:rPr>
                <w:sz w:val="20"/>
                <w:szCs w:val="20"/>
              </w:rPr>
              <w:t>11</w:t>
            </w:r>
          </w:p>
        </w:tc>
        <w:tc>
          <w:tcPr>
            <w:tcW w:w="487" w:type="pct"/>
            <w:vAlign w:val="bottom"/>
          </w:tcPr>
          <w:p w14:paraId="35C72DDB" w14:textId="77777777" w:rsidR="00BA713F" w:rsidRPr="00792B36" w:rsidRDefault="00BA713F" w:rsidP="0096560E">
            <w:pPr>
              <w:contextualSpacing/>
              <w:jc w:val="center"/>
              <w:rPr>
                <w:sz w:val="20"/>
                <w:szCs w:val="20"/>
              </w:rPr>
            </w:pPr>
            <w:r w:rsidRPr="00792B36">
              <w:rPr>
                <w:sz w:val="20"/>
                <w:szCs w:val="20"/>
              </w:rPr>
              <w:t>0.054</w:t>
            </w:r>
          </w:p>
        </w:tc>
        <w:tc>
          <w:tcPr>
            <w:tcW w:w="1193" w:type="pct"/>
            <w:vAlign w:val="bottom"/>
          </w:tcPr>
          <w:p w14:paraId="3536EEBF" w14:textId="77777777" w:rsidR="00BA713F" w:rsidRPr="00792B36" w:rsidRDefault="00BA713F" w:rsidP="0096560E">
            <w:pPr>
              <w:contextualSpacing/>
              <w:jc w:val="center"/>
              <w:rPr>
                <w:sz w:val="20"/>
                <w:szCs w:val="20"/>
              </w:rPr>
            </w:pPr>
            <w:r w:rsidRPr="00792B36">
              <w:rPr>
                <w:sz w:val="20"/>
                <w:szCs w:val="20"/>
              </w:rPr>
              <w:t>0.018</w:t>
            </w:r>
          </w:p>
        </w:tc>
        <w:tc>
          <w:tcPr>
            <w:tcW w:w="391" w:type="pct"/>
            <w:vAlign w:val="bottom"/>
          </w:tcPr>
          <w:p w14:paraId="1771D41B" w14:textId="77777777" w:rsidR="00BA713F" w:rsidRPr="00792B36" w:rsidRDefault="00BA713F" w:rsidP="0096560E">
            <w:pPr>
              <w:contextualSpacing/>
              <w:jc w:val="center"/>
              <w:rPr>
                <w:sz w:val="20"/>
                <w:szCs w:val="20"/>
              </w:rPr>
            </w:pPr>
            <w:r w:rsidRPr="00792B36">
              <w:rPr>
                <w:sz w:val="20"/>
                <w:szCs w:val="20"/>
              </w:rPr>
              <w:t>9</w:t>
            </w:r>
          </w:p>
        </w:tc>
      </w:tr>
      <w:tr w:rsidR="00BA713F" w:rsidRPr="00792B36" w14:paraId="0C583517" w14:textId="77777777" w:rsidTr="0096560E">
        <w:trPr>
          <w:trHeight w:val="340"/>
        </w:trPr>
        <w:tc>
          <w:tcPr>
            <w:tcW w:w="1152" w:type="pct"/>
            <w:vAlign w:val="bottom"/>
          </w:tcPr>
          <w:p w14:paraId="0A9B76FF" w14:textId="77777777" w:rsidR="00BA713F" w:rsidRPr="00792B36" w:rsidRDefault="00BA713F" w:rsidP="0096560E">
            <w:pPr>
              <w:contextualSpacing/>
              <w:rPr>
                <w:sz w:val="20"/>
                <w:szCs w:val="20"/>
              </w:rPr>
            </w:pPr>
            <w:r w:rsidRPr="00792B36">
              <w:rPr>
                <w:sz w:val="20"/>
                <w:szCs w:val="20"/>
              </w:rPr>
              <w:t>Narathiwat</w:t>
            </w:r>
          </w:p>
        </w:tc>
        <w:tc>
          <w:tcPr>
            <w:tcW w:w="1201" w:type="pct"/>
            <w:vAlign w:val="bottom"/>
          </w:tcPr>
          <w:p w14:paraId="0930CE56" w14:textId="77777777" w:rsidR="00BA713F" w:rsidRPr="00792B36" w:rsidRDefault="00BA713F" w:rsidP="0096560E">
            <w:pPr>
              <w:contextualSpacing/>
              <w:jc w:val="center"/>
              <w:rPr>
                <w:sz w:val="20"/>
                <w:szCs w:val="20"/>
              </w:rPr>
            </w:pPr>
            <w:r w:rsidRPr="00792B36">
              <w:rPr>
                <w:sz w:val="20"/>
                <w:szCs w:val="20"/>
              </w:rPr>
              <w:t>0.314</w:t>
            </w:r>
          </w:p>
        </w:tc>
        <w:tc>
          <w:tcPr>
            <w:tcW w:w="576" w:type="pct"/>
            <w:vAlign w:val="bottom"/>
          </w:tcPr>
          <w:p w14:paraId="30686779" w14:textId="77777777" w:rsidR="00BA713F" w:rsidRPr="00792B36" w:rsidRDefault="00BA713F" w:rsidP="0096560E">
            <w:pPr>
              <w:contextualSpacing/>
              <w:jc w:val="center"/>
              <w:rPr>
                <w:sz w:val="20"/>
                <w:szCs w:val="20"/>
              </w:rPr>
            </w:pPr>
            <w:r w:rsidRPr="00792B36">
              <w:rPr>
                <w:sz w:val="20"/>
                <w:szCs w:val="20"/>
              </w:rPr>
              <w:t>13</w:t>
            </w:r>
          </w:p>
        </w:tc>
        <w:tc>
          <w:tcPr>
            <w:tcW w:w="487" w:type="pct"/>
            <w:vAlign w:val="bottom"/>
          </w:tcPr>
          <w:p w14:paraId="30566992" w14:textId="77777777" w:rsidR="00BA713F" w:rsidRPr="00792B36" w:rsidRDefault="00BA713F" w:rsidP="0096560E">
            <w:pPr>
              <w:contextualSpacing/>
              <w:jc w:val="center"/>
              <w:rPr>
                <w:sz w:val="20"/>
                <w:szCs w:val="20"/>
              </w:rPr>
            </w:pPr>
            <w:r w:rsidRPr="00792B36">
              <w:rPr>
                <w:sz w:val="20"/>
                <w:szCs w:val="20"/>
              </w:rPr>
              <w:t>0.055</w:t>
            </w:r>
          </w:p>
        </w:tc>
        <w:tc>
          <w:tcPr>
            <w:tcW w:w="1193" w:type="pct"/>
            <w:vAlign w:val="bottom"/>
          </w:tcPr>
          <w:p w14:paraId="7E1CCCFE" w14:textId="77777777" w:rsidR="00BA713F" w:rsidRPr="00792B36" w:rsidRDefault="00BA713F" w:rsidP="0096560E">
            <w:pPr>
              <w:contextualSpacing/>
              <w:jc w:val="center"/>
              <w:rPr>
                <w:sz w:val="20"/>
                <w:szCs w:val="20"/>
              </w:rPr>
            </w:pPr>
            <w:r w:rsidRPr="00792B36">
              <w:rPr>
                <w:sz w:val="20"/>
                <w:szCs w:val="20"/>
              </w:rPr>
              <w:t>0.017</w:t>
            </w:r>
          </w:p>
        </w:tc>
        <w:tc>
          <w:tcPr>
            <w:tcW w:w="391" w:type="pct"/>
            <w:vAlign w:val="bottom"/>
          </w:tcPr>
          <w:p w14:paraId="31F12D00" w14:textId="77777777" w:rsidR="00BA713F" w:rsidRPr="00792B36" w:rsidRDefault="00BA713F" w:rsidP="0096560E">
            <w:pPr>
              <w:contextualSpacing/>
              <w:jc w:val="center"/>
              <w:rPr>
                <w:sz w:val="20"/>
                <w:szCs w:val="20"/>
              </w:rPr>
            </w:pPr>
            <w:r w:rsidRPr="00792B36">
              <w:rPr>
                <w:sz w:val="20"/>
                <w:szCs w:val="20"/>
              </w:rPr>
              <w:t>10</w:t>
            </w:r>
          </w:p>
        </w:tc>
      </w:tr>
      <w:tr w:rsidR="00BA713F" w:rsidRPr="00792B36" w14:paraId="3B32F5BC" w14:textId="77777777" w:rsidTr="0096560E">
        <w:trPr>
          <w:trHeight w:val="340"/>
        </w:trPr>
        <w:tc>
          <w:tcPr>
            <w:tcW w:w="1152" w:type="pct"/>
            <w:vAlign w:val="bottom"/>
          </w:tcPr>
          <w:p w14:paraId="2EF96FE6" w14:textId="77777777" w:rsidR="00BA713F" w:rsidRPr="00792B36" w:rsidRDefault="00BA713F" w:rsidP="0096560E">
            <w:pPr>
              <w:contextualSpacing/>
              <w:rPr>
                <w:sz w:val="20"/>
                <w:szCs w:val="20"/>
              </w:rPr>
            </w:pPr>
            <w:r w:rsidRPr="00792B36">
              <w:rPr>
                <w:sz w:val="20"/>
                <w:szCs w:val="20"/>
              </w:rPr>
              <w:t>Bangkok</w:t>
            </w:r>
          </w:p>
        </w:tc>
        <w:tc>
          <w:tcPr>
            <w:tcW w:w="1201" w:type="pct"/>
            <w:vAlign w:val="bottom"/>
          </w:tcPr>
          <w:p w14:paraId="32469B67" w14:textId="77777777" w:rsidR="00BA713F" w:rsidRPr="00792B36" w:rsidRDefault="00BA713F" w:rsidP="0096560E">
            <w:pPr>
              <w:contextualSpacing/>
              <w:jc w:val="center"/>
              <w:rPr>
                <w:sz w:val="20"/>
                <w:szCs w:val="20"/>
              </w:rPr>
            </w:pPr>
            <w:r w:rsidRPr="00792B36">
              <w:rPr>
                <w:sz w:val="20"/>
                <w:szCs w:val="20"/>
              </w:rPr>
              <w:t>0.646</w:t>
            </w:r>
          </w:p>
        </w:tc>
        <w:tc>
          <w:tcPr>
            <w:tcW w:w="576" w:type="pct"/>
            <w:vAlign w:val="bottom"/>
          </w:tcPr>
          <w:p w14:paraId="59C497E2" w14:textId="77777777" w:rsidR="00BA713F" w:rsidRPr="00792B36" w:rsidRDefault="00BA713F" w:rsidP="0096560E">
            <w:pPr>
              <w:contextualSpacing/>
              <w:jc w:val="center"/>
              <w:rPr>
                <w:sz w:val="20"/>
                <w:szCs w:val="20"/>
              </w:rPr>
            </w:pPr>
            <w:r w:rsidRPr="00792B36">
              <w:rPr>
                <w:sz w:val="20"/>
                <w:szCs w:val="20"/>
              </w:rPr>
              <w:t>1</w:t>
            </w:r>
          </w:p>
        </w:tc>
        <w:tc>
          <w:tcPr>
            <w:tcW w:w="487" w:type="pct"/>
            <w:vAlign w:val="bottom"/>
          </w:tcPr>
          <w:p w14:paraId="66038E4B" w14:textId="77777777" w:rsidR="00BA713F" w:rsidRPr="00792B36" w:rsidRDefault="00BA713F" w:rsidP="0096560E">
            <w:pPr>
              <w:contextualSpacing/>
              <w:jc w:val="center"/>
              <w:rPr>
                <w:sz w:val="20"/>
                <w:szCs w:val="20"/>
              </w:rPr>
            </w:pPr>
            <w:r w:rsidRPr="00792B36">
              <w:rPr>
                <w:sz w:val="20"/>
                <w:szCs w:val="20"/>
              </w:rPr>
              <w:t>0.019</w:t>
            </w:r>
          </w:p>
        </w:tc>
        <w:tc>
          <w:tcPr>
            <w:tcW w:w="1193" w:type="pct"/>
            <w:vAlign w:val="bottom"/>
          </w:tcPr>
          <w:p w14:paraId="3176C13E" w14:textId="77777777" w:rsidR="00BA713F" w:rsidRPr="00792B36" w:rsidRDefault="00BA713F" w:rsidP="0096560E">
            <w:pPr>
              <w:contextualSpacing/>
              <w:jc w:val="center"/>
              <w:rPr>
                <w:sz w:val="20"/>
                <w:szCs w:val="20"/>
              </w:rPr>
            </w:pPr>
            <w:r w:rsidRPr="00792B36">
              <w:rPr>
                <w:sz w:val="20"/>
                <w:szCs w:val="20"/>
              </w:rPr>
              <w:t>0.012</w:t>
            </w:r>
          </w:p>
        </w:tc>
        <w:tc>
          <w:tcPr>
            <w:tcW w:w="391" w:type="pct"/>
            <w:vAlign w:val="bottom"/>
          </w:tcPr>
          <w:p w14:paraId="33E033E0" w14:textId="77777777" w:rsidR="00BA713F" w:rsidRPr="00792B36" w:rsidRDefault="00BA713F" w:rsidP="0096560E">
            <w:pPr>
              <w:contextualSpacing/>
              <w:jc w:val="center"/>
              <w:rPr>
                <w:sz w:val="20"/>
                <w:szCs w:val="20"/>
              </w:rPr>
            </w:pPr>
            <w:r w:rsidRPr="00792B36">
              <w:rPr>
                <w:sz w:val="20"/>
                <w:szCs w:val="20"/>
              </w:rPr>
              <w:t>11</w:t>
            </w:r>
          </w:p>
        </w:tc>
      </w:tr>
      <w:tr w:rsidR="00BA713F" w:rsidRPr="00792B36" w14:paraId="238A1495" w14:textId="77777777" w:rsidTr="0096560E">
        <w:trPr>
          <w:trHeight w:val="340"/>
        </w:trPr>
        <w:tc>
          <w:tcPr>
            <w:tcW w:w="1152" w:type="pct"/>
            <w:vAlign w:val="bottom"/>
          </w:tcPr>
          <w:p w14:paraId="2D0A1393" w14:textId="77777777" w:rsidR="00BA713F" w:rsidRPr="00792B36" w:rsidRDefault="00BA713F" w:rsidP="0096560E">
            <w:pPr>
              <w:contextualSpacing/>
              <w:rPr>
                <w:sz w:val="20"/>
                <w:szCs w:val="20"/>
              </w:rPr>
            </w:pPr>
            <w:r w:rsidRPr="00792B36">
              <w:rPr>
                <w:sz w:val="20"/>
                <w:szCs w:val="20"/>
              </w:rPr>
              <w:t>Rayong</w:t>
            </w:r>
          </w:p>
        </w:tc>
        <w:tc>
          <w:tcPr>
            <w:tcW w:w="1201" w:type="pct"/>
            <w:vAlign w:val="bottom"/>
          </w:tcPr>
          <w:p w14:paraId="769DC5EA" w14:textId="77777777" w:rsidR="00BA713F" w:rsidRPr="00792B36" w:rsidRDefault="00BA713F" w:rsidP="0096560E">
            <w:pPr>
              <w:contextualSpacing/>
              <w:jc w:val="center"/>
              <w:rPr>
                <w:sz w:val="20"/>
                <w:szCs w:val="20"/>
              </w:rPr>
            </w:pPr>
            <w:r w:rsidRPr="00792B36">
              <w:rPr>
                <w:sz w:val="20"/>
                <w:szCs w:val="20"/>
              </w:rPr>
              <w:t>0.261</w:t>
            </w:r>
          </w:p>
        </w:tc>
        <w:tc>
          <w:tcPr>
            <w:tcW w:w="576" w:type="pct"/>
            <w:vAlign w:val="bottom"/>
          </w:tcPr>
          <w:p w14:paraId="1DBEA835" w14:textId="77777777" w:rsidR="00BA713F" w:rsidRPr="00792B36" w:rsidRDefault="00BA713F" w:rsidP="0096560E">
            <w:pPr>
              <w:contextualSpacing/>
              <w:jc w:val="center"/>
              <w:rPr>
                <w:sz w:val="20"/>
                <w:szCs w:val="20"/>
              </w:rPr>
            </w:pPr>
            <w:r w:rsidRPr="00792B36">
              <w:rPr>
                <w:sz w:val="20"/>
                <w:szCs w:val="20"/>
              </w:rPr>
              <w:t>17</w:t>
            </w:r>
          </w:p>
        </w:tc>
        <w:tc>
          <w:tcPr>
            <w:tcW w:w="487" w:type="pct"/>
            <w:vAlign w:val="bottom"/>
          </w:tcPr>
          <w:p w14:paraId="3647B905" w14:textId="77777777" w:rsidR="00BA713F" w:rsidRPr="00792B36" w:rsidRDefault="00BA713F" w:rsidP="0096560E">
            <w:pPr>
              <w:contextualSpacing/>
              <w:jc w:val="center"/>
              <w:rPr>
                <w:sz w:val="20"/>
                <w:szCs w:val="20"/>
              </w:rPr>
            </w:pPr>
            <w:r w:rsidRPr="00792B36">
              <w:rPr>
                <w:sz w:val="20"/>
                <w:szCs w:val="20"/>
              </w:rPr>
              <w:t>0.044</w:t>
            </w:r>
          </w:p>
        </w:tc>
        <w:tc>
          <w:tcPr>
            <w:tcW w:w="1193" w:type="pct"/>
            <w:vAlign w:val="bottom"/>
          </w:tcPr>
          <w:p w14:paraId="7891BE65" w14:textId="77777777" w:rsidR="00BA713F" w:rsidRPr="00792B36" w:rsidRDefault="00BA713F" w:rsidP="0096560E">
            <w:pPr>
              <w:contextualSpacing/>
              <w:jc w:val="center"/>
              <w:rPr>
                <w:sz w:val="20"/>
                <w:szCs w:val="20"/>
              </w:rPr>
            </w:pPr>
            <w:r w:rsidRPr="00792B36">
              <w:rPr>
                <w:sz w:val="20"/>
                <w:szCs w:val="20"/>
              </w:rPr>
              <w:t>0.011</w:t>
            </w:r>
          </w:p>
        </w:tc>
        <w:tc>
          <w:tcPr>
            <w:tcW w:w="391" w:type="pct"/>
            <w:vAlign w:val="bottom"/>
          </w:tcPr>
          <w:p w14:paraId="0A4210C5" w14:textId="77777777" w:rsidR="00BA713F" w:rsidRPr="00792B36" w:rsidRDefault="00BA713F" w:rsidP="0096560E">
            <w:pPr>
              <w:contextualSpacing/>
              <w:jc w:val="center"/>
              <w:rPr>
                <w:sz w:val="20"/>
                <w:szCs w:val="20"/>
              </w:rPr>
            </w:pPr>
            <w:r w:rsidRPr="00792B36">
              <w:rPr>
                <w:sz w:val="20"/>
                <w:szCs w:val="20"/>
              </w:rPr>
              <w:t>12</w:t>
            </w:r>
          </w:p>
        </w:tc>
      </w:tr>
      <w:tr w:rsidR="00BA713F" w:rsidRPr="00792B36" w14:paraId="3E333483" w14:textId="77777777" w:rsidTr="0096560E">
        <w:trPr>
          <w:trHeight w:val="340"/>
        </w:trPr>
        <w:tc>
          <w:tcPr>
            <w:tcW w:w="1152" w:type="pct"/>
            <w:vAlign w:val="bottom"/>
          </w:tcPr>
          <w:p w14:paraId="034468C1" w14:textId="77777777" w:rsidR="00BA713F" w:rsidRPr="00792B36" w:rsidRDefault="00BA713F" w:rsidP="0096560E">
            <w:pPr>
              <w:contextualSpacing/>
              <w:rPr>
                <w:sz w:val="20"/>
                <w:szCs w:val="20"/>
              </w:rPr>
            </w:pPr>
            <w:r w:rsidRPr="00792B36">
              <w:rPr>
                <w:sz w:val="20"/>
                <w:szCs w:val="20"/>
              </w:rPr>
              <w:t>Trat</w:t>
            </w:r>
          </w:p>
        </w:tc>
        <w:tc>
          <w:tcPr>
            <w:tcW w:w="1201" w:type="pct"/>
            <w:vAlign w:val="bottom"/>
          </w:tcPr>
          <w:p w14:paraId="727378AB" w14:textId="77777777" w:rsidR="00BA713F" w:rsidRPr="00792B36" w:rsidRDefault="00BA713F" w:rsidP="0096560E">
            <w:pPr>
              <w:contextualSpacing/>
              <w:jc w:val="center"/>
              <w:rPr>
                <w:sz w:val="20"/>
                <w:szCs w:val="20"/>
              </w:rPr>
            </w:pPr>
            <w:r w:rsidRPr="00792B36">
              <w:rPr>
                <w:sz w:val="20"/>
                <w:szCs w:val="20"/>
              </w:rPr>
              <w:t>0.265</w:t>
            </w:r>
          </w:p>
        </w:tc>
        <w:tc>
          <w:tcPr>
            <w:tcW w:w="576" w:type="pct"/>
            <w:vAlign w:val="bottom"/>
          </w:tcPr>
          <w:p w14:paraId="52E9400B" w14:textId="77777777" w:rsidR="00BA713F" w:rsidRPr="00792B36" w:rsidRDefault="00BA713F" w:rsidP="0096560E">
            <w:pPr>
              <w:contextualSpacing/>
              <w:jc w:val="center"/>
              <w:rPr>
                <w:sz w:val="20"/>
                <w:szCs w:val="20"/>
              </w:rPr>
            </w:pPr>
            <w:r w:rsidRPr="00792B36">
              <w:rPr>
                <w:sz w:val="20"/>
                <w:szCs w:val="20"/>
              </w:rPr>
              <w:t>15</w:t>
            </w:r>
          </w:p>
        </w:tc>
        <w:tc>
          <w:tcPr>
            <w:tcW w:w="487" w:type="pct"/>
            <w:vAlign w:val="bottom"/>
          </w:tcPr>
          <w:p w14:paraId="594AC36E" w14:textId="77777777" w:rsidR="00BA713F" w:rsidRPr="00792B36" w:rsidRDefault="00BA713F" w:rsidP="0096560E">
            <w:pPr>
              <w:contextualSpacing/>
              <w:jc w:val="center"/>
              <w:rPr>
                <w:sz w:val="20"/>
                <w:szCs w:val="20"/>
              </w:rPr>
            </w:pPr>
            <w:r w:rsidRPr="00792B36">
              <w:rPr>
                <w:sz w:val="20"/>
                <w:szCs w:val="20"/>
              </w:rPr>
              <w:t>0.035</w:t>
            </w:r>
          </w:p>
        </w:tc>
        <w:tc>
          <w:tcPr>
            <w:tcW w:w="1193" w:type="pct"/>
            <w:vAlign w:val="bottom"/>
          </w:tcPr>
          <w:p w14:paraId="24384035" w14:textId="77777777" w:rsidR="00BA713F" w:rsidRPr="00792B36" w:rsidRDefault="00BA713F" w:rsidP="0096560E">
            <w:pPr>
              <w:contextualSpacing/>
              <w:jc w:val="center"/>
              <w:rPr>
                <w:sz w:val="20"/>
                <w:szCs w:val="20"/>
              </w:rPr>
            </w:pPr>
            <w:r w:rsidRPr="00792B36">
              <w:rPr>
                <w:sz w:val="20"/>
                <w:szCs w:val="20"/>
              </w:rPr>
              <w:t>0.009</w:t>
            </w:r>
          </w:p>
        </w:tc>
        <w:tc>
          <w:tcPr>
            <w:tcW w:w="391" w:type="pct"/>
            <w:vAlign w:val="bottom"/>
          </w:tcPr>
          <w:p w14:paraId="1D0404A7" w14:textId="77777777" w:rsidR="00BA713F" w:rsidRPr="00792B36" w:rsidRDefault="00BA713F" w:rsidP="0096560E">
            <w:pPr>
              <w:contextualSpacing/>
              <w:jc w:val="center"/>
              <w:rPr>
                <w:sz w:val="20"/>
                <w:szCs w:val="20"/>
              </w:rPr>
            </w:pPr>
            <w:r w:rsidRPr="00792B36">
              <w:rPr>
                <w:sz w:val="20"/>
                <w:szCs w:val="20"/>
              </w:rPr>
              <w:t>13</w:t>
            </w:r>
          </w:p>
        </w:tc>
      </w:tr>
      <w:tr w:rsidR="00BA713F" w:rsidRPr="00792B36" w14:paraId="2B14E2E9" w14:textId="77777777" w:rsidTr="0096560E">
        <w:trPr>
          <w:trHeight w:val="340"/>
        </w:trPr>
        <w:tc>
          <w:tcPr>
            <w:tcW w:w="1152" w:type="pct"/>
            <w:vAlign w:val="bottom"/>
          </w:tcPr>
          <w:p w14:paraId="4D72681F" w14:textId="77777777" w:rsidR="00BA713F" w:rsidRPr="00792B36" w:rsidRDefault="00BA713F" w:rsidP="0096560E">
            <w:pPr>
              <w:contextualSpacing/>
              <w:rPr>
                <w:sz w:val="20"/>
                <w:szCs w:val="20"/>
              </w:rPr>
            </w:pPr>
            <w:r w:rsidRPr="00792B36">
              <w:rPr>
                <w:sz w:val="20"/>
                <w:szCs w:val="20"/>
              </w:rPr>
              <w:t>Pattani</w:t>
            </w:r>
          </w:p>
        </w:tc>
        <w:tc>
          <w:tcPr>
            <w:tcW w:w="1201" w:type="pct"/>
            <w:vAlign w:val="bottom"/>
          </w:tcPr>
          <w:p w14:paraId="391141A2" w14:textId="77777777" w:rsidR="00BA713F" w:rsidRPr="00792B36" w:rsidRDefault="00BA713F" w:rsidP="0096560E">
            <w:pPr>
              <w:contextualSpacing/>
              <w:jc w:val="center"/>
              <w:rPr>
                <w:sz w:val="20"/>
                <w:szCs w:val="20"/>
              </w:rPr>
            </w:pPr>
            <w:r w:rsidRPr="00792B36">
              <w:rPr>
                <w:sz w:val="20"/>
                <w:szCs w:val="20"/>
              </w:rPr>
              <w:t>0.370</w:t>
            </w:r>
          </w:p>
        </w:tc>
        <w:tc>
          <w:tcPr>
            <w:tcW w:w="576" w:type="pct"/>
            <w:vAlign w:val="bottom"/>
          </w:tcPr>
          <w:p w14:paraId="660FAB8E" w14:textId="77777777" w:rsidR="00BA713F" w:rsidRPr="00792B36" w:rsidRDefault="00BA713F" w:rsidP="0096560E">
            <w:pPr>
              <w:contextualSpacing/>
              <w:jc w:val="center"/>
              <w:rPr>
                <w:sz w:val="20"/>
                <w:szCs w:val="20"/>
              </w:rPr>
            </w:pPr>
            <w:r w:rsidRPr="00792B36">
              <w:rPr>
                <w:sz w:val="20"/>
                <w:szCs w:val="20"/>
              </w:rPr>
              <w:t>6</w:t>
            </w:r>
          </w:p>
        </w:tc>
        <w:tc>
          <w:tcPr>
            <w:tcW w:w="487" w:type="pct"/>
            <w:vAlign w:val="bottom"/>
          </w:tcPr>
          <w:p w14:paraId="02356046" w14:textId="77777777" w:rsidR="00BA713F" w:rsidRPr="00792B36" w:rsidRDefault="00BA713F" w:rsidP="0096560E">
            <w:pPr>
              <w:contextualSpacing/>
              <w:jc w:val="center"/>
              <w:rPr>
                <w:sz w:val="20"/>
                <w:szCs w:val="20"/>
              </w:rPr>
            </w:pPr>
            <w:r w:rsidRPr="00792B36">
              <w:rPr>
                <w:sz w:val="20"/>
                <w:szCs w:val="20"/>
              </w:rPr>
              <w:t>0.024</w:t>
            </w:r>
          </w:p>
        </w:tc>
        <w:tc>
          <w:tcPr>
            <w:tcW w:w="1193" w:type="pct"/>
            <w:vAlign w:val="bottom"/>
          </w:tcPr>
          <w:p w14:paraId="54BB104E" w14:textId="77777777" w:rsidR="00BA713F" w:rsidRPr="00792B36" w:rsidRDefault="00BA713F" w:rsidP="0096560E">
            <w:pPr>
              <w:contextualSpacing/>
              <w:jc w:val="center"/>
              <w:rPr>
                <w:sz w:val="20"/>
                <w:szCs w:val="20"/>
              </w:rPr>
            </w:pPr>
            <w:r w:rsidRPr="00792B36">
              <w:rPr>
                <w:sz w:val="20"/>
                <w:szCs w:val="20"/>
              </w:rPr>
              <w:t>0.009</w:t>
            </w:r>
          </w:p>
        </w:tc>
        <w:tc>
          <w:tcPr>
            <w:tcW w:w="391" w:type="pct"/>
            <w:vAlign w:val="bottom"/>
          </w:tcPr>
          <w:p w14:paraId="276D66FE" w14:textId="77777777" w:rsidR="00BA713F" w:rsidRPr="00792B36" w:rsidRDefault="00BA713F" w:rsidP="0096560E">
            <w:pPr>
              <w:contextualSpacing/>
              <w:jc w:val="center"/>
              <w:rPr>
                <w:sz w:val="20"/>
                <w:szCs w:val="20"/>
              </w:rPr>
            </w:pPr>
            <w:r w:rsidRPr="00792B36">
              <w:rPr>
                <w:sz w:val="20"/>
                <w:szCs w:val="20"/>
              </w:rPr>
              <w:t>14</w:t>
            </w:r>
          </w:p>
        </w:tc>
      </w:tr>
      <w:tr w:rsidR="00BA713F" w:rsidRPr="00792B36" w14:paraId="17B1A1C1" w14:textId="77777777" w:rsidTr="0096560E">
        <w:trPr>
          <w:trHeight w:val="340"/>
        </w:trPr>
        <w:tc>
          <w:tcPr>
            <w:tcW w:w="1152" w:type="pct"/>
            <w:vAlign w:val="bottom"/>
          </w:tcPr>
          <w:p w14:paraId="5B51C6CE" w14:textId="77777777" w:rsidR="00BA713F" w:rsidRPr="00792B36" w:rsidRDefault="00BA713F" w:rsidP="0096560E">
            <w:pPr>
              <w:contextualSpacing/>
              <w:rPr>
                <w:sz w:val="20"/>
                <w:szCs w:val="20"/>
              </w:rPr>
            </w:pPr>
            <w:r w:rsidRPr="00792B36">
              <w:rPr>
                <w:sz w:val="20"/>
                <w:szCs w:val="20"/>
              </w:rPr>
              <w:t>Samut Prakan</w:t>
            </w:r>
          </w:p>
        </w:tc>
        <w:tc>
          <w:tcPr>
            <w:tcW w:w="1201" w:type="pct"/>
            <w:vAlign w:val="bottom"/>
          </w:tcPr>
          <w:p w14:paraId="6B44B595" w14:textId="77777777" w:rsidR="00BA713F" w:rsidRPr="00792B36" w:rsidRDefault="00BA713F" w:rsidP="0096560E">
            <w:pPr>
              <w:contextualSpacing/>
              <w:jc w:val="center"/>
              <w:rPr>
                <w:sz w:val="20"/>
                <w:szCs w:val="20"/>
              </w:rPr>
            </w:pPr>
            <w:r w:rsidRPr="00792B36">
              <w:rPr>
                <w:sz w:val="20"/>
                <w:szCs w:val="20"/>
              </w:rPr>
              <w:t>0.419</w:t>
            </w:r>
          </w:p>
        </w:tc>
        <w:tc>
          <w:tcPr>
            <w:tcW w:w="576" w:type="pct"/>
            <w:vAlign w:val="bottom"/>
          </w:tcPr>
          <w:p w14:paraId="45F712C9" w14:textId="77777777" w:rsidR="00BA713F" w:rsidRPr="00792B36" w:rsidRDefault="00BA713F" w:rsidP="0096560E">
            <w:pPr>
              <w:contextualSpacing/>
              <w:jc w:val="center"/>
              <w:rPr>
                <w:sz w:val="20"/>
                <w:szCs w:val="20"/>
              </w:rPr>
            </w:pPr>
            <w:r w:rsidRPr="00792B36">
              <w:rPr>
                <w:sz w:val="20"/>
                <w:szCs w:val="20"/>
              </w:rPr>
              <w:t>3</w:t>
            </w:r>
          </w:p>
        </w:tc>
        <w:tc>
          <w:tcPr>
            <w:tcW w:w="487" w:type="pct"/>
            <w:vAlign w:val="bottom"/>
          </w:tcPr>
          <w:p w14:paraId="32987406" w14:textId="77777777" w:rsidR="00BA713F" w:rsidRPr="00792B36" w:rsidRDefault="00BA713F" w:rsidP="0096560E">
            <w:pPr>
              <w:contextualSpacing/>
              <w:jc w:val="center"/>
              <w:rPr>
                <w:sz w:val="20"/>
                <w:szCs w:val="20"/>
              </w:rPr>
            </w:pPr>
            <w:r w:rsidRPr="00792B36">
              <w:rPr>
                <w:sz w:val="20"/>
                <w:szCs w:val="20"/>
              </w:rPr>
              <w:t>0.012</w:t>
            </w:r>
          </w:p>
        </w:tc>
        <w:tc>
          <w:tcPr>
            <w:tcW w:w="1193" w:type="pct"/>
            <w:vAlign w:val="bottom"/>
          </w:tcPr>
          <w:p w14:paraId="1DA7DD34" w14:textId="77777777" w:rsidR="00BA713F" w:rsidRPr="00792B36" w:rsidRDefault="00BA713F" w:rsidP="0096560E">
            <w:pPr>
              <w:contextualSpacing/>
              <w:jc w:val="center"/>
              <w:rPr>
                <w:sz w:val="20"/>
                <w:szCs w:val="20"/>
              </w:rPr>
            </w:pPr>
            <w:r w:rsidRPr="00792B36">
              <w:rPr>
                <w:sz w:val="20"/>
                <w:szCs w:val="20"/>
              </w:rPr>
              <w:t>0.005</w:t>
            </w:r>
          </w:p>
        </w:tc>
        <w:tc>
          <w:tcPr>
            <w:tcW w:w="391" w:type="pct"/>
            <w:vAlign w:val="bottom"/>
          </w:tcPr>
          <w:p w14:paraId="4BDDD142" w14:textId="77777777" w:rsidR="00BA713F" w:rsidRPr="00792B36" w:rsidRDefault="00BA713F" w:rsidP="0096560E">
            <w:pPr>
              <w:contextualSpacing/>
              <w:jc w:val="center"/>
              <w:rPr>
                <w:sz w:val="20"/>
                <w:szCs w:val="20"/>
              </w:rPr>
            </w:pPr>
            <w:r w:rsidRPr="00792B36">
              <w:rPr>
                <w:sz w:val="20"/>
                <w:szCs w:val="20"/>
              </w:rPr>
              <w:t>15</w:t>
            </w:r>
          </w:p>
        </w:tc>
      </w:tr>
      <w:tr w:rsidR="00BA713F" w:rsidRPr="00792B36" w14:paraId="44C1F04A" w14:textId="77777777" w:rsidTr="0096560E">
        <w:trPr>
          <w:trHeight w:val="340"/>
        </w:trPr>
        <w:tc>
          <w:tcPr>
            <w:tcW w:w="1152" w:type="pct"/>
            <w:tcBorders>
              <w:bottom w:val="nil"/>
            </w:tcBorders>
            <w:vAlign w:val="bottom"/>
          </w:tcPr>
          <w:p w14:paraId="14971540" w14:textId="77777777" w:rsidR="00BA713F" w:rsidRPr="00792B36" w:rsidRDefault="00BA713F" w:rsidP="0096560E">
            <w:pPr>
              <w:contextualSpacing/>
              <w:rPr>
                <w:sz w:val="20"/>
                <w:szCs w:val="20"/>
              </w:rPr>
            </w:pPr>
            <w:r w:rsidRPr="00792B36">
              <w:rPr>
                <w:sz w:val="20"/>
                <w:szCs w:val="20"/>
              </w:rPr>
              <w:t>Samut Sakhon</w:t>
            </w:r>
          </w:p>
        </w:tc>
        <w:tc>
          <w:tcPr>
            <w:tcW w:w="1201" w:type="pct"/>
            <w:tcBorders>
              <w:bottom w:val="nil"/>
            </w:tcBorders>
            <w:vAlign w:val="bottom"/>
          </w:tcPr>
          <w:p w14:paraId="0316EB35" w14:textId="77777777" w:rsidR="00BA713F" w:rsidRPr="00792B36" w:rsidRDefault="00BA713F" w:rsidP="0096560E">
            <w:pPr>
              <w:contextualSpacing/>
              <w:jc w:val="center"/>
              <w:rPr>
                <w:sz w:val="20"/>
                <w:szCs w:val="20"/>
              </w:rPr>
            </w:pPr>
            <w:r w:rsidRPr="00792B36">
              <w:rPr>
                <w:sz w:val="20"/>
                <w:szCs w:val="20"/>
              </w:rPr>
              <w:t>0.377</w:t>
            </w:r>
          </w:p>
        </w:tc>
        <w:tc>
          <w:tcPr>
            <w:tcW w:w="576" w:type="pct"/>
            <w:tcBorders>
              <w:bottom w:val="nil"/>
            </w:tcBorders>
            <w:vAlign w:val="bottom"/>
          </w:tcPr>
          <w:p w14:paraId="2149F126" w14:textId="77777777" w:rsidR="00BA713F" w:rsidRPr="00792B36" w:rsidRDefault="00BA713F" w:rsidP="0096560E">
            <w:pPr>
              <w:contextualSpacing/>
              <w:jc w:val="center"/>
              <w:rPr>
                <w:sz w:val="20"/>
                <w:szCs w:val="20"/>
              </w:rPr>
            </w:pPr>
            <w:r w:rsidRPr="00792B36">
              <w:rPr>
                <w:sz w:val="20"/>
                <w:szCs w:val="20"/>
              </w:rPr>
              <w:t>4</w:t>
            </w:r>
          </w:p>
        </w:tc>
        <w:tc>
          <w:tcPr>
            <w:tcW w:w="487" w:type="pct"/>
            <w:tcBorders>
              <w:bottom w:val="nil"/>
            </w:tcBorders>
            <w:vAlign w:val="bottom"/>
          </w:tcPr>
          <w:p w14:paraId="2CB50EAF" w14:textId="77777777" w:rsidR="00BA713F" w:rsidRPr="00792B36" w:rsidRDefault="00BA713F" w:rsidP="0096560E">
            <w:pPr>
              <w:contextualSpacing/>
              <w:jc w:val="center"/>
              <w:rPr>
                <w:sz w:val="20"/>
                <w:szCs w:val="20"/>
              </w:rPr>
            </w:pPr>
            <w:r w:rsidRPr="00792B36">
              <w:rPr>
                <w:sz w:val="20"/>
                <w:szCs w:val="20"/>
              </w:rPr>
              <w:t>0.011</w:t>
            </w:r>
          </w:p>
        </w:tc>
        <w:tc>
          <w:tcPr>
            <w:tcW w:w="1193" w:type="pct"/>
            <w:tcBorders>
              <w:bottom w:val="nil"/>
            </w:tcBorders>
            <w:vAlign w:val="bottom"/>
          </w:tcPr>
          <w:p w14:paraId="39010BD1" w14:textId="77777777" w:rsidR="00BA713F" w:rsidRPr="00792B36" w:rsidRDefault="00BA713F" w:rsidP="0096560E">
            <w:pPr>
              <w:contextualSpacing/>
              <w:jc w:val="center"/>
              <w:rPr>
                <w:sz w:val="20"/>
                <w:szCs w:val="20"/>
              </w:rPr>
            </w:pPr>
            <w:r w:rsidRPr="00792B36">
              <w:rPr>
                <w:sz w:val="20"/>
                <w:szCs w:val="20"/>
              </w:rPr>
              <w:t>0.004</w:t>
            </w:r>
          </w:p>
        </w:tc>
        <w:tc>
          <w:tcPr>
            <w:tcW w:w="391" w:type="pct"/>
            <w:tcBorders>
              <w:bottom w:val="nil"/>
            </w:tcBorders>
            <w:vAlign w:val="bottom"/>
          </w:tcPr>
          <w:p w14:paraId="782F2C43" w14:textId="77777777" w:rsidR="00BA713F" w:rsidRPr="00792B36" w:rsidRDefault="00BA713F" w:rsidP="0096560E">
            <w:pPr>
              <w:contextualSpacing/>
              <w:jc w:val="center"/>
              <w:rPr>
                <w:sz w:val="20"/>
                <w:szCs w:val="20"/>
              </w:rPr>
            </w:pPr>
            <w:r w:rsidRPr="00792B36">
              <w:rPr>
                <w:sz w:val="20"/>
                <w:szCs w:val="20"/>
              </w:rPr>
              <w:t>16</w:t>
            </w:r>
          </w:p>
        </w:tc>
      </w:tr>
      <w:tr w:rsidR="00BA713F" w:rsidRPr="00792B36" w14:paraId="512FFDA5" w14:textId="77777777" w:rsidTr="0096560E">
        <w:trPr>
          <w:trHeight w:val="340"/>
        </w:trPr>
        <w:tc>
          <w:tcPr>
            <w:tcW w:w="1152" w:type="pct"/>
            <w:tcBorders>
              <w:top w:val="nil"/>
              <w:bottom w:val="single" w:sz="4" w:space="0" w:color="auto"/>
            </w:tcBorders>
            <w:vAlign w:val="bottom"/>
          </w:tcPr>
          <w:p w14:paraId="5F2C1A93" w14:textId="77777777" w:rsidR="00BA713F" w:rsidRPr="00792B36" w:rsidRDefault="00BA713F" w:rsidP="0096560E">
            <w:pPr>
              <w:contextualSpacing/>
              <w:rPr>
                <w:sz w:val="20"/>
                <w:szCs w:val="20"/>
              </w:rPr>
            </w:pPr>
            <w:r w:rsidRPr="00792B36">
              <w:rPr>
                <w:sz w:val="20"/>
                <w:szCs w:val="20"/>
              </w:rPr>
              <w:t>Samut Songkhram</w:t>
            </w:r>
          </w:p>
        </w:tc>
        <w:tc>
          <w:tcPr>
            <w:tcW w:w="1201" w:type="pct"/>
            <w:tcBorders>
              <w:top w:val="nil"/>
              <w:bottom w:val="single" w:sz="4" w:space="0" w:color="auto"/>
            </w:tcBorders>
            <w:vAlign w:val="bottom"/>
          </w:tcPr>
          <w:p w14:paraId="3A04757C" w14:textId="77777777" w:rsidR="00BA713F" w:rsidRPr="00792B36" w:rsidRDefault="00BA713F" w:rsidP="0096560E">
            <w:pPr>
              <w:contextualSpacing/>
              <w:jc w:val="center"/>
              <w:rPr>
                <w:sz w:val="20"/>
                <w:szCs w:val="20"/>
              </w:rPr>
            </w:pPr>
            <w:r w:rsidRPr="00792B36">
              <w:rPr>
                <w:sz w:val="20"/>
                <w:szCs w:val="20"/>
              </w:rPr>
              <w:t>0.538</w:t>
            </w:r>
          </w:p>
        </w:tc>
        <w:tc>
          <w:tcPr>
            <w:tcW w:w="576" w:type="pct"/>
            <w:tcBorders>
              <w:top w:val="nil"/>
              <w:bottom w:val="single" w:sz="4" w:space="0" w:color="auto"/>
            </w:tcBorders>
            <w:vAlign w:val="bottom"/>
          </w:tcPr>
          <w:p w14:paraId="581BE818" w14:textId="77777777" w:rsidR="00BA713F" w:rsidRPr="00792B36" w:rsidRDefault="00BA713F" w:rsidP="0096560E">
            <w:pPr>
              <w:contextualSpacing/>
              <w:jc w:val="center"/>
              <w:rPr>
                <w:sz w:val="20"/>
                <w:szCs w:val="20"/>
              </w:rPr>
            </w:pPr>
            <w:r w:rsidRPr="00792B36">
              <w:rPr>
                <w:sz w:val="20"/>
                <w:szCs w:val="20"/>
              </w:rPr>
              <w:t>2</w:t>
            </w:r>
          </w:p>
        </w:tc>
        <w:tc>
          <w:tcPr>
            <w:tcW w:w="487" w:type="pct"/>
            <w:tcBorders>
              <w:top w:val="nil"/>
              <w:bottom w:val="single" w:sz="4" w:space="0" w:color="auto"/>
            </w:tcBorders>
            <w:vAlign w:val="bottom"/>
          </w:tcPr>
          <w:p w14:paraId="41A3B696" w14:textId="77777777" w:rsidR="00BA713F" w:rsidRPr="00792B36" w:rsidRDefault="00BA713F" w:rsidP="0096560E">
            <w:pPr>
              <w:contextualSpacing/>
              <w:jc w:val="center"/>
              <w:rPr>
                <w:sz w:val="20"/>
                <w:szCs w:val="20"/>
              </w:rPr>
            </w:pPr>
            <w:r w:rsidRPr="00792B36">
              <w:rPr>
                <w:sz w:val="20"/>
                <w:szCs w:val="20"/>
              </w:rPr>
              <w:t>0.005</w:t>
            </w:r>
          </w:p>
        </w:tc>
        <w:tc>
          <w:tcPr>
            <w:tcW w:w="1193" w:type="pct"/>
            <w:tcBorders>
              <w:top w:val="nil"/>
              <w:bottom w:val="single" w:sz="4" w:space="0" w:color="auto"/>
            </w:tcBorders>
            <w:vAlign w:val="bottom"/>
          </w:tcPr>
          <w:p w14:paraId="40A0787A" w14:textId="77777777" w:rsidR="00BA713F" w:rsidRPr="00792B36" w:rsidRDefault="00BA713F" w:rsidP="0096560E">
            <w:pPr>
              <w:contextualSpacing/>
              <w:jc w:val="center"/>
              <w:rPr>
                <w:sz w:val="20"/>
                <w:szCs w:val="20"/>
              </w:rPr>
            </w:pPr>
            <w:r w:rsidRPr="00792B36">
              <w:rPr>
                <w:sz w:val="20"/>
                <w:szCs w:val="20"/>
              </w:rPr>
              <w:t>0.003</w:t>
            </w:r>
          </w:p>
        </w:tc>
        <w:tc>
          <w:tcPr>
            <w:tcW w:w="391" w:type="pct"/>
            <w:tcBorders>
              <w:top w:val="nil"/>
              <w:bottom w:val="single" w:sz="4" w:space="0" w:color="auto"/>
            </w:tcBorders>
            <w:vAlign w:val="bottom"/>
          </w:tcPr>
          <w:p w14:paraId="673AADF2" w14:textId="77777777" w:rsidR="00BA713F" w:rsidRPr="00792B36" w:rsidRDefault="00BA713F" w:rsidP="0096560E">
            <w:pPr>
              <w:contextualSpacing/>
              <w:jc w:val="center"/>
              <w:rPr>
                <w:sz w:val="20"/>
                <w:szCs w:val="20"/>
              </w:rPr>
            </w:pPr>
            <w:r w:rsidRPr="00792B36">
              <w:rPr>
                <w:sz w:val="20"/>
                <w:szCs w:val="20"/>
              </w:rPr>
              <w:t>17</w:t>
            </w:r>
          </w:p>
        </w:tc>
      </w:tr>
      <w:tr w:rsidR="00BA713F" w:rsidRPr="00792B36" w14:paraId="14DEEB61" w14:textId="77777777" w:rsidTr="0096560E">
        <w:trPr>
          <w:trHeight w:val="340"/>
        </w:trPr>
        <w:tc>
          <w:tcPr>
            <w:tcW w:w="1152" w:type="pct"/>
            <w:tcBorders>
              <w:top w:val="single" w:sz="4" w:space="0" w:color="auto"/>
            </w:tcBorders>
            <w:vAlign w:val="center"/>
          </w:tcPr>
          <w:p w14:paraId="39228FE3" w14:textId="77777777" w:rsidR="00BA713F" w:rsidRPr="00792B36" w:rsidRDefault="00BA713F" w:rsidP="0096560E">
            <w:pPr>
              <w:contextualSpacing/>
              <w:jc w:val="center"/>
              <w:rPr>
                <w:color w:val="000000" w:themeColor="text1"/>
              </w:rPr>
            </w:pPr>
            <w:r w:rsidRPr="00792B36">
              <w:rPr>
                <w:color w:val="000000" w:themeColor="text1"/>
              </w:rPr>
              <w:t>Total</w:t>
            </w:r>
          </w:p>
        </w:tc>
        <w:tc>
          <w:tcPr>
            <w:tcW w:w="1201" w:type="pct"/>
            <w:tcBorders>
              <w:top w:val="single" w:sz="4" w:space="0" w:color="auto"/>
            </w:tcBorders>
            <w:vAlign w:val="center"/>
          </w:tcPr>
          <w:p w14:paraId="7DF6D559" w14:textId="77777777" w:rsidR="00BA713F" w:rsidRPr="00792B36" w:rsidRDefault="00BA713F" w:rsidP="0096560E">
            <w:pPr>
              <w:contextualSpacing/>
              <w:jc w:val="center"/>
              <w:rPr>
                <w:color w:val="000000" w:themeColor="text1"/>
              </w:rPr>
            </w:pPr>
            <w:r w:rsidRPr="00792B36">
              <w:rPr>
                <w:color w:val="000000" w:themeColor="text1"/>
              </w:rPr>
              <w:t> </w:t>
            </w:r>
          </w:p>
        </w:tc>
        <w:tc>
          <w:tcPr>
            <w:tcW w:w="576" w:type="pct"/>
            <w:tcBorders>
              <w:top w:val="single" w:sz="4" w:space="0" w:color="auto"/>
            </w:tcBorders>
            <w:vAlign w:val="center"/>
          </w:tcPr>
          <w:p w14:paraId="0163A807" w14:textId="77777777" w:rsidR="00BA713F" w:rsidRPr="00792B36" w:rsidRDefault="00BA713F" w:rsidP="0096560E">
            <w:pPr>
              <w:contextualSpacing/>
              <w:jc w:val="center"/>
              <w:rPr>
                <w:color w:val="000000" w:themeColor="text1"/>
              </w:rPr>
            </w:pPr>
            <w:r w:rsidRPr="00792B36">
              <w:rPr>
                <w:color w:val="000000" w:themeColor="text1"/>
              </w:rPr>
              <w:t> </w:t>
            </w:r>
          </w:p>
        </w:tc>
        <w:tc>
          <w:tcPr>
            <w:tcW w:w="487" w:type="pct"/>
            <w:tcBorders>
              <w:top w:val="single" w:sz="4" w:space="0" w:color="auto"/>
            </w:tcBorders>
            <w:vAlign w:val="center"/>
          </w:tcPr>
          <w:p w14:paraId="6731CF36" w14:textId="77777777" w:rsidR="00BA713F" w:rsidRPr="00792B36" w:rsidRDefault="00BA713F" w:rsidP="0096560E">
            <w:pPr>
              <w:contextualSpacing/>
              <w:jc w:val="center"/>
              <w:rPr>
                <w:color w:val="000000" w:themeColor="text1"/>
              </w:rPr>
            </w:pPr>
            <w:r w:rsidRPr="00792B36">
              <w:rPr>
                <w:color w:val="000000" w:themeColor="text1"/>
              </w:rPr>
              <w:t>1.000</w:t>
            </w:r>
          </w:p>
        </w:tc>
        <w:tc>
          <w:tcPr>
            <w:tcW w:w="1193" w:type="pct"/>
            <w:tcBorders>
              <w:top w:val="single" w:sz="4" w:space="0" w:color="auto"/>
            </w:tcBorders>
            <w:vAlign w:val="center"/>
          </w:tcPr>
          <w:p w14:paraId="7CE72D12" w14:textId="77777777" w:rsidR="00BA713F" w:rsidRPr="00792B36" w:rsidRDefault="00BA713F" w:rsidP="0096560E">
            <w:pPr>
              <w:contextualSpacing/>
              <w:jc w:val="center"/>
              <w:rPr>
                <w:color w:val="000000" w:themeColor="text1"/>
              </w:rPr>
            </w:pPr>
            <w:r w:rsidRPr="00792B36">
              <w:rPr>
                <w:color w:val="000000" w:themeColor="text1"/>
              </w:rPr>
              <w:t> </w:t>
            </w:r>
          </w:p>
        </w:tc>
        <w:tc>
          <w:tcPr>
            <w:tcW w:w="391" w:type="pct"/>
            <w:tcBorders>
              <w:top w:val="single" w:sz="4" w:space="0" w:color="auto"/>
            </w:tcBorders>
            <w:vAlign w:val="center"/>
          </w:tcPr>
          <w:p w14:paraId="4BB90AC4" w14:textId="77777777" w:rsidR="00BA713F" w:rsidRPr="00792B36" w:rsidRDefault="00BA713F" w:rsidP="0096560E">
            <w:pPr>
              <w:contextualSpacing/>
              <w:jc w:val="center"/>
              <w:rPr>
                <w:color w:val="000000" w:themeColor="text1"/>
              </w:rPr>
            </w:pPr>
            <w:r w:rsidRPr="00792B36">
              <w:rPr>
                <w:color w:val="000000" w:themeColor="text1"/>
              </w:rPr>
              <w:t> </w:t>
            </w:r>
          </w:p>
        </w:tc>
      </w:tr>
    </w:tbl>
    <w:p w14:paraId="46F8AA7A" w14:textId="77777777" w:rsidR="00BA713F" w:rsidRPr="00792B36" w:rsidRDefault="00BA713F" w:rsidP="00BA713F">
      <w:pPr>
        <w:spacing w:line="360" w:lineRule="auto"/>
        <w:contextualSpacing/>
        <w:jc w:val="thaiDistribute"/>
        <w:rPr>
          <w:color w:val="000000" w:themeColor="text1"/>
          <w:sz w:val="24"/>
          <w:szCs w:val="24"/>
        </w:rPr>
      </w:pPr>
    </w:p>
    <w:p w14:paraId="4CB0D3AD" w14:textId="77777777" w:rsidR="00BA713F" w:rsidRPr="00792B36" w:rsidRDefault="00BA713F" w:rsidP="00BA713F">
      <w:pPr>
        <w:spacing w:line="360" w:lineRule="auto"/>
        <w:contextualSpacing/>
        <w:jc w:val="thaiDistribute"/>
        <w:rPr>
          <w:color w:val="000000" w:themeColor="text1"/>
          <w:sz w:val="24"/>
          <w:szCs w:val="24"/>
        </w:rPr>
      </w:pPr>
      <w:r w:rsidRPr="00792B36">
        <w:rPr>
          <w:color w:val="000000" w:themeColor="text1"/>
          <w:sz w:val="24"/>
          <w:szCs w:val="24"/>
        </w:rPr>
        <w:t>Finally, the 'Hybrid-risk group,' exemplified by Chumphon (Intensity rank 5, Magnitude rank 4), faces the dual burden of intense pressure and large scale. This 'double-risk' status creates a complex management scenario requiring a complete response that combines urgent action for specific areas with long-term planning for vast resources.</w:t>
      </w:r>
    </w:p>
    <w:p w14:paraId="36B56705" w14:textId="77777777" w:rsidR="00BA713F" w:rsidRPr="00792B36" w:rsidRDefault="00BA713F" w:rsidP="00BA713F">
      <w:pPr>
        <w:spacing w:line="360" w:lineRule="auto"/>
        <w:contextualSpacing/>
        <w:jc w:val="both"/>
        <w:rPr>
          <w:color w:val="000000" w:themeColor="text1"/>
          <w:sz w:val="24"/>
          <w:szCs w:val="24"/>
        </w:rPr>
      </w:pPr>
    </w:p>
    <w:p w14:paraId="683DF61E" w14:textId="77777777" w:rsidR="00BA713F" w:rsidRPr="00792B36" w:rsidRDefault="00BA713F" w:rsidP="00BA713F">
      <w:pPr>
        <w:spacing w:line="360" w:lineRule="auto"/>
        <w:contextualSpacing/>
        <w:jc w:val="both"/>
        <w:rPr>
          <w:color w:val="000000" w:themeColor="text1"/>
          <w:sz w:val="24"/>
          <w:szCs w:val="30"/>
        </w:rPr>
      </w:pPr>
      <w:r w:rsidRPr="00792B36">
        <w:rPr>
          <w:color w:val="000000" w:themeColor="text1"/>
          <w:sz w:val="24"/>
          <w:szCs w:val="30"/>
        </w:rPr>
        <w:t>This risk assessment identifies three priority groups essential for policy planning. The 'Pure intensity risk' group (e.g., Bangkok, Samut Songkhram) requires urgent spatial management to control concentrated pressures in small areas. The 'Pure magnitude risk' group (e.g., Surat Thani, Songkhla) demands large-scale resource management and budgetary allocation due to extensive resource portfolios despite lower intensity. Finally, the 'Hybrid-risk group' (e.g., Chumphon) ranks high in both dimensions requiring complex integrated responses that combine urgent management with large-scale planning. This analysis serves as a critical tool for prioritizing interventions and designing effective responses.</w:t>
      </w:r>
    </w:p>
    <w:p w14:paraId="232B7D25" w14:textId="77777777" w:rsidR="003B0291" w:rsidRPr="00792B36" w:rsidRDefault="003B0291" w:rsidP="00BA713F">
      <w:pPr>
        <w:spacing w:line="360" w:lineRule="auto"/>
        <w:contextualSpacing/>
        <w:rPr>
          <w:b/>
          <w:bCs/>
          <w:color w:val="000000" w:themeColor="text1"/>
          <w:sz w:val="24"/>
          <w:szCs w:val="24"/>
        </w:rPr>
      </w:pPr>
    </w:p>
    <w:p w14:paraId="25D0E1BD" w14:textId="77777777" w:rsidR="003B0291" w:rsidRPr="00792B36" w:rsidRDefault="003B0291" w:rsidP="00BA713F">
      <w:pPr>
        <w:spacing w:line="360" w:lineRule="auto"/>
        <w:contextualSpacing/>
        <w:rPr>
          <w:b/>
          <w:bCs/>
          <w:color w:val="000000" w:themeColor="text1"/>
          <w:sz w:val="24"/>
          <w:szCs w:val="24"/>
        </w:rPr>
      </w:pPr>
    </w:p>
    <w:p w14:paraId="27F1FDFE" w14:textId="566CC510" w:rsidR="00BA713F" w:rsidRPr="00792B36" w:rsidRDefault="00BA713F" w:rsidP="00BA713F">
      <w:pPr>
        <w:spacing w:line="360" w:lineRule="auto"/>
        <w:contextualSpacing/>
        <w:rPr>
          <w:b/>
          <w:bCs/>
          <w:color w:val="000000" w:themeColor="text1"/>
          <w:sz w:val="24"/>
          <w:szCs w:val="24"/>
        </w:rPr>
      </w:pPr>
      <w:r w:rsidRPr="00792B36">
        <w:rPr>
          <w:b/>
          <w:bCs/>
          <w:color w:val="000000" w:themeColor="text1"/>
          <w:sz w:val="24"/>
          <w:szCs w:val="24"/>
        </w:rPr>
        <w:lastRenderedPageBreak/>
        <w:t>2.3.2 Risk assessment from climate- and environment-related threats</w:t>
      </w:r>
    </w:p>
    <w:p w14:paraId="09A9CB8C" w14:textId="77777777" w:rsidR="00BA713F" w:rsidRPr="00792B36" w:rsidRDefault="00BA713F" w:rsidP="00BA713F">
      <w:pPr>
        <w:spacing w:line="360" w:lineRule="auto"/>
        <w:contextualSpacing/>
        <w:jc w:val="thaiDistribute"/>
        <w:rPr>
          <w:color w:val="000000" w:themeColor="text1"/>
          <w:sz w:val="24"/>
          <w:szCs w:val="24"/>
        </w:rPr>
      </w:pPr>
      <w:r w:rsidRPr="00792B36">
        <w:rPr>
          <w:color w:val="000000" w:themeColor="text1"/>
          <w:sz w:val="24"/>
          <w:szCs w:val="24"/>
        </w:rPr>
        <w:t>The socioeconomic risks identified in section 2.3.1 are compounded by physical, climate- and environment-related threats. Although province-level physical vulnerability data is unavailable, the broader hazard context is critical as the Gulf of Thailand persistently faces hydrometeorological hazards including coastal erosion, storm surges, and tropical cyclones.</w:t>
      </w:r>
    </w:p>
    <w:p w14:paraId="51F27E45" w14:textId="77777777" w:rsidR="00BA713F" w:rsidRPr="00792B36" w:rsidRDefault="00BA713F" w:rsidP="00BA713F">
      <w:pPr>
        <w:spacing w:line="360" w:lineRule="auto"/>
        <w:contextualSpacing/>
        <w:jc w:val="thaiDistribute"/>
        <w:rPr>
          <w:color w:val="000000" w:themeColor="text1"/>
          <w:sz w:val="24"/>
          <w:szCs w:val="24"/>
        </w:rPr>
      </w:pPr>
    </w:p>
    <w:p w14:paraId="5EE2F0AF" w14:textId="77777777" w:rsidR="00BA713F" w:rsidRPr="00792B36" w:rsidRDefault="00BA713F" w:rsidP="00BA713F">
      <w:pPr>
        <w:spacing w:line="360" w:lineRule="auto"/>
        <w:contextualSpacing/>
        <w:jc w:val="thaiDistribute"/>
        <w:rPr>
          <w:color w:val="000000" w:themeColor="text1"/>
          <w:sz w:val="24"/>
          <w:szCs w:val="24"/>
        </w:rPr>
      </w:pPr>
      <w:r w:rsidRPr="00792B36">
        <w:rPr>
          <w:color w:val="000000" w:themeColor="text1"/>
          <w:sz w:val="24"/>
          <w:szCs w:val="24"/>
        </w:rPr>
        <w:t xml:space="preserve">National-level data </w:t>
      </w:r>
      <w:r w:rsidRPr="00792B36">
        <w:rPr>
          <w:b/>
          <w:bCs/>
          <w:color w:val="000000" w:themeColor="text1"/>
          <w:sz w:val="24"/>
          <w:szCs w:val="24"/>
        </w:rPr>
        <w:t>(Figures 2.17–2.19)</w:t>
      </w:r>
      <w:r w:rsidRPr="00792B36">
        <w:rPr>
          <w:color w:val="000000" w:themeColor="text1"/>
          <w:sz w:val="24"/>
          <w:szCs w:val="24"/>
        </w:rPr>
        <w:t xml:space="preserve"> confirms this persistent threat, showing numerous cyclone events annually between 2000 and 2024. These events have caused significant economic damages and loss of life, with recorded losses of approximately $32 million in 2005, $742,000 in 2015, and a severe $904 million in 2024. While this data covers the national level, the 17 coastal provinces are primary targets. Consequently, this general exposure acts as a risk multiplier, threatening to amplify the socioeconomic weaknesses</w:t>
      </w:r>
      <w:r w:rsidRPr="00792B36">
        <w:rPr>
          <w:color w:val="000000" w:themeColor="text1"/>
          <w:sz w:val="24"/>
          <w:szCs w:val="30"/>
        </w:rPr>
        <w:t xml:space="preserve">, </w:t>
      </w:r>
      <w:r w:rsidRPr="00792B36">
        <w:rPr>
          <w:color w:val="000000" w:themeColor="text1"/>
          <w:sz w:val="24"/>
          <w:szCs w:val="24"/>
        </w:rPr>
        <w:t>such as poverty and dense settlements, identified in the CRI assessment.</w:t>
      </w:r>
    </w:p>
    <w:p w14:paraId="43385EB0" w14:textId="77777777" w:rsidR="00BA713F" w:rsidRPr="00792B36" w:rsidRDefault="00BA713F" w:rsidP="00BA713F">
      <w:pPr>
        <w:spacing w:line="360" w:lineRule="auto"/>
        <w:contextualSpacing/>
        <w:rPr>
          <w:b/>
          <w:bCs/>
          <w:color w:val="000000" w:themeColor="text1"/>
          <w:sz w:val="24"/>
          <w:szCs w:val="24"/>
        </w:rPr>
      </w:pPr>
    </w:p>
    <w:p w14:paraId="64955C1A" w14:textId="77777777" w:rsidR="00BA713F" w:rsidRPr="00792B36" w:rsidRDefault="00BA713F" w:rsidP="00BA713F">
      <w:pPr>
        <w:spacing w:line="360" w:lineRule="auto"/>
        <w:contextualSpacing/>
        <w:rPr>
          <w:b/>
          <w:bCs/>
          <w:color w:val="000000" w:themeColor="text1"/>
          <w:sz w:val="24"/>
          <w:szCs w:val="24"/>
        </w:rPr>
      </w:pPr>
      <w:r w:rsidRPr="00792B36">
        <w:rPr>
          <w:b/>
          <w:bCs/>
          <w:color w:val="000000" w:themeColor="text1"/>
          <w:sz w:val="24"/>
          <w:szCs w:val="24"/>
        </w:rPr>
        <w:t>2.3.3 Mitigating socioeconomic vulnerability from climate-mediated environmental change- current actions and gaps</w:t>
      </w:r>
    </w:p>
    <w:p w14:paraId="50FB4D4D" w14:textId="77777777" w:rsidR="00BA713F" w:rsidRPr="00792B36" w:rsidRDefault="00BA713F" w:rsidP="00BA713F">
      <w:pPr>
        <w:spacing w:line="360" w:lineRule="auto"/>
        <w:contextualSpacing/>
        <w:jc w:val="thaiDistribute"/>
        <w:rPr>
          <w:color w:val="000000" w:themeColor="text1"/>
          <w:sz w:val="24"/>
          <w:szCs w:val="24"/>
        </w:rPr>
      </w:pPr>
      <w:r w:rsidRPr="00792B36">
        <w:rPr>
          <w:color w:val="000000" w:themeColor="text1"/>
          <w:sz w:val="24"/>
          <w:szCs w:val="24"/>
        </w:rPr>
        <w:t>Thailand implements a structured policy system to build coastal resilience against climate change risks across three levels. Level 1 sets the long-term vision through the National Strategy. Level 2 guides mid-term planning via the Master Plan under the National Strategy (2023 to 2037) and the 13th National Economic and Social Development Plan (NESDP) for 2023 to 2027. Level 3 executes these strategies through specific agency plans, including the Department of Climate Change and Environment’s 5 Year Action Plan.</w:t>
      </w:r>
    </w:p>
    <w:p w14:paraId="53D1667A" w14:textId="77777777" w:rsidR="00BA713F" w:rsidRPr="00792B36" w:rsidRDefault="00BA713F" w:rsidP="00BA713F">
      <w:pPr>
        <w:spacing w:line="360" w:lineRule="auto"/>
        <w:contextualSpacing/>
        <w:jc w:val="thaiDistribute"/>
        <w:rPr>
          <w:b/>
          <w:bCs/>
          <w:color w:val="000000" w:themeColor="text1"/>
          <w:sz w:val="28"/>
        </w:rPr>
      </w:pPr>
    </w:p>
    <w:p w14:paraId="2355388E" w14:textId="77777777" w:rsidR="00BA713F" w:rsidRPr="00792B36" w:rsidRDefault="00BA713F" w:rsidP="00BA713F">
      <w:pPr>
        <w:spacing w:line="360" w:lineRule="auto"/>
        <w:contextualSpacing/>
        <w:jc w:val="thaiDistribute"/>
        <w:rPr>
          <w:color w:val="000000" w:themeColor="text1"/>
          <w:sz w:val="24"/>
          <w:szCs w:val="24"/>
        </w:rPr>
      </w:pPr>
      <w:r w:rsidRPr="00792B36">
        <w:rPr>
          <w:color w:val="000000" w:themeColor="text1"/>
          <w:sz w:val="24"/>
          <w:szCs w:val="24"/>
        </w:rPr>
        <w:t>The 20 Year National Strategy (2018 to 2037) addresses unpredictable climate change threats to lives, infrastructure, food security, and ecosystems. It targets a stable nation with sustainable natural resources by fostering environmentally friendly growth. This vision builds a climate friendly society that reduces greenhouse gas emissions and adapts to minimize disaster loss. These goals serve as the foundation for the National Economic and Social Development Plan and other master plans.</w:t>
      </w:r>
    </w:p>
    <w:p w14:paraId="17675816" w14:textId="77777777" w:rsidR="00BA713F" w:rsidRPr="00792B36" w:rsidRDefault="00BA713F" w:rsidP="00BA713F">
      <w:pPr>
        <w:spacing w:line="360" w:lineRule="auto"/>
        <w:contextualSpacing/>
        <w:jc w:val="thaiDistribute"/>
        <w:rPr>
          <w:color w:val="000000" w:themeColor="text1"/>
        </w:rPr>
      </w:pPr>
    </w:p>
    <w:p w14:paraId="72AAF5D1" w14:textId="77777777" w:rsidR="00BA713F" w:rsidRPr="00792B36" w:rsidRDefault="00BA713F" w:rsidP="00BA713F">
      <w:pPr>
        <w:spacing w:line="360" w:lineRule="auto"/>
        <w:contextualSpacing/>
        <w:jc w:val="thaiDistribute"/>
        <w:rPr>
          <w:color w:val="000000" w:themeColor="text1"/>
          <w:sz w:val="24"/>
          <w:szCs w:val="24"/>
        </w:rPr>
      </w:pPr>
      <w:r w:rsidRPr="00792B36">
        <w:rPr>
          <w:color w:val="000000" w:themeColor="text1"/>
          <w:sz w:val="24"/>
          <w:szCs w:val="24"/>
        </w:rPr>
        <w:lastRenderedPageBreak/>
        <w:t>Level 2 translates the National Strategy into the Master Plan under the National Strategy (2023 to 2037), specifically Issue 18 on sustainable growth. This issue features a sub-plan for creating a climate friendly society aimed at lowering greenhouse gas emissions. The plan outlines four development guidelines: reducing emissions, adapting to minimize loss from natural disasters, promoting climate friendly infrastructure investments, and enhancing adaptation and emission reduction capacity.</w:t>
      </w:r>
    </w:p>
    <w:p w14:paraId="23A54B1D" w14:textId="77777777" w:rsidR="00BA713F" w:rsidRPr="00792B36" w:rsidRDefault="00BA713F" w:rsidP="00BA713F">
      <w:pPr>
        <w:spacing w:line="360" w:lineRule="auto"/>
        <w:contextualSpacing/>
        <w:jc w:val="thaiDistribute"/>
        <w:rPr>
          <w:color w:val="000000" w:themeColor="text1"/>
          <w:sz w:val="24"/>
          <w:szCs w:val="24"/>
        </w:rPr>
      </w:pPr>
    </w:p>
    <w:p w14:paraId="173F5880" w14:textId="77777777" w:rsidR="00BA713F" w:rsidRPr="00792B36" w:rsidRDefault="00BA713F" w:rsidP="00BA713F">
      <w:pPr>
        <w:spacing w:line="360" w:lineRule="auto"/>
        <w:contextualSpacing/>
        <w:jc w:val="thaiDistribute"/>
        <w:rPr>
          <w:color w:val="000000" w:themeColor="text1"/>
          <w:sz w:val="24"/>
          <w:szCs w:val="24"/>
        </w:rPr>
      </w:pPr>
      <w:r w:rsidRPr="00792B36">
        <w:rPr>
          <w:color w:val="000000" w:themeColor="text1"/>
          <w:sz w:val="24"/>
          <w:szCs w:val="24"/>
        </w:rPr>
        <w:t>The 13th National Economic and Social Development Plan (NESDP) for 2023 to 2027 puts this vision into practice toward Security, Prosperity, and Sustainability based on the Sufficiency Economy Philosophy. It aims to transform the country into a progressive, value driven, and sustainable society. The plan prioritizes building resilience against global risks like climate change to reduce socioeconomic vulnerability. It establishes 13 specific Development milestones to direct national action.</w:t>
      </w:r>
    </w:p>
    <w:p w14:paraId="7432EC7B" w14:textId="77777777" w:rsidR="00BA713F" w:rsidRPr="00792B36" w:rsidRDefault="00BA713F" w:rsidP="00BA713F">
      <w:pPr>
        <w:spacing w:line="360" w:lineRule="auto"/>
        <w:contextualSpacing/>
        <w:jc w:val="thaiDistribute"/>
        <w:rPr>
          <w:color w:val="000000" w:themeColor="text1"/>
          <w:sz w:val="24"/>
          <w:szCs w:val="24"/>
        </w:rPr>
      </w:pPr>
    </w:p>
    <w:p w14:paraId="60A71D8C" w14:textId="77777777" w:rsidR="00BA713F" w:rsidRPr="00792B36" w:rsidRDefault="00BA713F" w:rsidP="00BA713F">
      <w:pPr>
        <w:spacing w:line="360" w:lineRule="auto"/>
        <w:contextualSpacing/>
        <w:jc w:val="thaiDistribute"/>
        <w:rPr>
          <w:color w:val="000000" w:themeColor="text1"/>
          <w:sz w:val="24"/>
          <w:szCs w:val="24"/>
        </w:rPr>
      </w:pPr>
      <w:r w:rsidRPr="00792B36">
        <w:rPr>
          <w:color w:val="000000" w:themeColor="text1"/>
          <w:sz w:val="24"/>
          <w:szCs w:val="24"/>
        </w:rPr>
        <w:t>Milestone 11 builds capacity to reduce disaster and climate change impacts through three primary objectives. First involves minimizing damage by lowering fatalities, economic loss, and affected areas. Second lowers exposure using provincial risk maps and effective early warning systems. Third strengthens societal resilience, targeting 80% community self-management by 2027 and expanded insurance access. These efforts utilize five strategies: preventing risks in critical zones, building community skills, utilizing technology, restoring ecosystems, and promoting international cooperation.</w:t>
      </w:r>
    </w:p>
    <w:p w14:paraId="06256F3C" w14:textId="77777777" w:rsidR="00BA713F" w:rsidRPr="00792B36" w:rsidRDefault="00BA713F" w:rsidP="00BA713F">
      <w:pPr>
        <w:spacing w:line="360" w:lineRule="auto"/>
        <w:contextualSpacing/>
        <w:jc w:val="thaiDistribute"/>
        <w:rPr>
          <w:color w:val="000000" w:themeColor="text1"/>
          <w:sz w:val="24"/>
          <w:szCs w:val="24"/>
        </w:rPr>
      </w:pPr>
    </w:p>
    <w:p w14:paraId="65290F6F" w14:textId="77777777" w:rsidR="00BA713F" w:rsidRPr="00792B36" w:rsidRDefault="00BA713F" w:rsidP="00BA713F">
      <w:pPr>
        <w:spacing w:line="360" w:lineRule="auto"/>
        <w:contextualSpacing/>
        <w:jc w:val="thaiDistribute"/>
        <w:rPr>
          <w:color w:val="000000" w:themeColor="text1"/>
          <w:sz w:val="24"/>
          <w:szCs w:val="24"/>
        </w:rPr>
      </w:pPr>
      <w:r w:rsidRPr="00792B36">
        <w:rPr>
          <w:color w:val="000000" w:themeColor="text1"/>
          <w:sz w:val="24"/>
          <w:szCs w:val="24"/>
        </w:rPr>
        <w:t>At practical Level 3 broad national strategies turn into action through agency specific plans like the Department of Climate Change and Environment (DCCE) 5 Year Action Plan (2023 to 2027). This plan guides the department under the Ministry of Natural Resources and Environment toward climate resilience and a low carbon lifestyle. To achieve this the DCCE focuses on five areas aligning policy with global commitments, creating tools for adaptation and mitigation, building public networks, improving data for governance, and strengthening the organization.</w:t>
      </w:r>
    </w:p>
    <w:p w14:paraId="73420FD4" w14:textId="77777777" w:rsidR="00BA713F" w:rsidRPr="00792B36" w:rsidRDefault="00BA713F" w:rsidP="00BA713F">
      <w:pPr>
        <w:spacing w:line="360" w:lineRule="auto"/>
        <w:contextualSpacing/>
        <w:jc w:val="thaiDistribute"/>
        <w:rPr>
          <w:b/>
          <w:bCs/>
          <w:color w:val="000000" w:themeColor="text1"/>
          <w:sz w:val="24"/>
          <w:szCs w:val="24"/>
        </w:rPr>
      </w:pPr>
    </w:p>
    <w:p w14:paraId="4866378B" w14:textId="77777777" w:rsidR="00BA713F" w:rsidRPr="00792B36" w:rsidRDefault="00BA713F" w:rsidP="00BA713F">
      <w:pPr>
        <w:spacing w:line="360" w:lineRule="auto"/>
        <w:contextualSpacing/>
        <w:jc w:val="thaiDistribute"/>
        <w:rPr>
          <w:color w:val="000000" w:themeColor="text1"/>
          <w:sz w:val="24"/>
          <w:szCs w:val="24"/>
        </w:rPr>
      </w:pPr>
      <w:r w:rsidRPr="00792B36">
        <w:rPr>
          <w:color w:val="000000" w:themeColor="text1"/>
          <w:sz w:val="24"/>
          <w:szCs w:val="24"/>
        </w:rPr>
        <w:t xml:space="preserve">In essence, Thailand's implementation, as reflected in the previously mentioned plans, </w:t>
      </w:r>
      <w:r w:rsidRPr="00792B36">
        <w:rPr>
          <w:color w:val="000000" w:themeColor="text1"/>
          <w:sz w:val="24"/>
          <w:szCs w:val="24"/>
        </w:rPr>
        <w:lastRenderedPageBreak/>
        <w:t xml:space="preserve">is presented in </w:t>
      </w:r>
      <w:r w:rsidRPr="00792B36">
        <w:rPr>
          <w:b/>
          <w:bCs/>
          <w:color w:val="000000" w:themeColor="text1"/>
          <w:sz w:val="24"/>
          <w:szCs w:val="24"/>
        </w:rPr>
        <w:t>Table 2.5</w:t>
      </w:r>
      <w:r w:rsidRPr="00792B36">
        <w:rPr>
          <w:color w:val="000000" w:themeColor="text1"/>
          <w:sz w:val="24"/>
          <w:szCs w:val="24"/>
        </w:rPr>
        <w:t>.</w:t>
      </w:r>
    </w:p>
    <w:p w14:paraId="146DAF2F" w14:textId="77777777" w:rsidR="00BA713F" w:rsidRPr="00792B36" w:rsidRDefault="00BA713F" w:rsidP="00BA713F">
      <w:pPr>
        <w:spacing w:line="360" w:lineRule="auto"/>
        <w:contextualSpacing/>
        <w:rPr>
          <w:b/>
          <w:bCs/>
          <w:color w:val="000000" w:themeColor="text1"/>
          <w:sz w:val="24"/>
          <w:szCs w:val="24"/>
        </w:rPr>
      </w:pPr>
    </w:p>
    <w:p w14:paraId="4EE64FD3" w14:textId="77777777" w:rsidR="00BA713F" w:rsidRPr="00792B36" w:rsidRDefault="00BA713F" w:rsidP="00BA713F">
      <w:pPr>
        <w:spacing w:line="360" w:lineRule="auto"/>
        <w:contextualSpacing/>
        <w:rPr>
          <w:b/>
          <w:bCs/>
          <w:color w:val="000000" w:themeColor="text1"/>
          <w:sz w:val="24"/>
          <w:szCs w:val="24"/>
          <w:cs/>
        </w:rPr>
      </w:pPr>
      <w:r w:rsidRPr="00792B36">
        <w:rPr>
          <w:b/>
          <w:bCs/>
          <w:color w:val="000000" w:themeColor="text1"/>
          <w:sz w:val="24"/>
          <w:szCs w:val="24"/>
        </w:rPr>
        <w:t xml:space="preserve">Table 2.5 </w:t>
      </w:r>
      <w:r w:rsidRPr="00792B36">
        <w:rPr>
          <w:color w:val="000000" w:themeColor="text1"/>
          <w:sz w:val="24"/>
          <w:szCs w:val="24"/>
        </w:rPr>
        <w:t>Significance of the implementation driven by the DCCE</w:t>
      </w:r>
    </w:p>
    <w:tbl>
      <w:tblPr>
        <w:tblStyle w:val="TableGrid"/>
        <w:tblW w:w="0" w:type="auto"/>
        <w:tblBorders>
          <w:left w:val="none" w:sz="0" w:space="0" w:color="auto"/>
          <w:right w:val="none" w:sz="0" w:space="0" w:color="auto"/>
          <w:insideV w:val="none" w:sz="0" w:space="0" w:color="auto"/>
        </w:tblBorders>
        <w:tblLook w:val="04A0" w:firstRow="1" w:lastRow="0" w:firstColumn="1" w:lastColumn="0" w:noHBand="0" w:noVBand="1"/>
      </w:tblPr>
      <w:tblGrid>
        <w:gridCol w:w="2835"/>
        <w:gridCol w:w="6182"/>
      </w:tblGrid>
      <w:tr w:rsidR="00BA713F" w:rsidRPr="00792B36" w14:paraId="57BEC6B0" w14:textId="77777777" w:rsidTr="0096560E">
        <w:tc>
          <w:tcPr>
            <w:tcW w:w="2835" w:type="dxa"/>
          </w:tcPr>
          <w:p w14:paraId="749142DE" w14:textId="77777777" w:rsidR="00BA713F" w:rsidRPr="00792B36" w:rsidRDefault="00BA713F" w:rsidP="0096560E">
            <w:pPr>
              <w:spacing w:line="360" w:lineRule="auto"/>
              <w:contextualSpacing/>
              <w:jc w:val="center"/>
              <w:rPr>
                <w:b/>
                <w:bCs/>
                <w:color w:val="000000" w:themeColor="text1"/>
                <w:sz w:val="24"/>
                <w:szCs w:val="24"/>
                <w:cs/>
              </w:rPr>
            </w:pPr>
            <w:r w:rsidRPr="00792B36">
              <w:rPr>
                <w:b/>
                <w:bCs/>
                <w:color w:val="000000" w:themeColor="text1"/>
                <w:sz w:val="24"/>
                <w:szCs w:val="24"/>
              </w:rPr>
              <w:t>Issue</w:t>
            </w:r>
          </w:p>
        </w:tc>
        <w:tc>
          <w:tcPr>
            <w:tcW w:w="6182" w:type="dxa"/>
          </w:tcPr>
          <w:p w14:paraId="03BF2A1A" w14:textId="77777777" w:rsidR="00BA713F" w:rsidRPr="00792B36" w:rsidRDefault="00BA713F" w:rsidP="0096560E">
            <w:pPr>
              <w:spacing w:line="360" w:lineRule="auto"/>
              <w:contextualSpacing/>
              <w:jc w:val="center"/>
              <w:rPr>
                <w:b/>
                <w:bCs/>
                <w:color w:val="000000" w:themeColor="text1"/>
                <w:sz w:val="24"/>
                <w:szCs w:val="24"/>
              </w:rPr>
            </w:pPr>
            <w:r w:rsidRPr="00792B36">
              <w:rPr>
                <w:b/>
                <w:bCs/>
                <w:color w:val="000000" w:themeColor="text1"/>
                <w:sz w:val="24"/>
                <w:szCs w:val="24"/>
              </w:rPr>
              <w:t>Key implementation aspects</w:t>
            </w:r>
          </w:p>
        </w:tc>
      </w:tr>
      <w:tr w:rsidR="00BA713F" w:rsidRPr="00792B36" w14:paraId="274DADBB" w14:textId="77777777" w:rsidTr="0096560E">
        <w:tc>
          <w:tcPr>
            <w:tcW w:w="2835" w:type="dxa"/>
          </w:tcPr>
          <w:p w14:paraId="4CD94453" w14:textId="77777777" w:rsidR="00BA713F" w:rsidRPr="00792B36" w:rsidRDefault="00BA713F" w:rsidP="0096560E">
            <w:pPr>
              <w:spacing w:line="360" w:lineRule="auto"/>
              <w:contextualSpacing/>
              <w:rPr>
                <w:color w:val="000000" w:themeColor="text1"/>
                <w:sz w:val="24"/>
                <w:szCs w:val="24"/>
              </w:rPr>
            </w:pPr>
            <w:r w:rsidRPr="00792B36">
              <w:rPr>
                <w:color w:val="000000" w:themeColor="text1"/>
                <w:sz w:val="24"/>
                <w:szCs w:val="24"/>
              </w:rPr>
              <w:t>Impacts of climate change at both the global and national levels (Thailand)</w:t>
            </w:r>
          </w:p>
        </w:tc>
        <w:tc>
          <w:tcPr>
            <w:tcW w:w="6182" w:type="dxa"/>
          </w:tcPr>
          <w:p w14:paraId="461EFDB1" w14:textId="77777777" w:rsidR="00BA713F" w:rsidRPr="00792B36" w:rsidRDefault="00BA713F" w:rsidP="0096560E">
            <w:pPr>
              <w:spacing w:line="360" w:lineRule="auto"/>
              <w:contextualSpacing/>
              <w:jc w:val="thaiDistribute"/>
              <w:rPr>
                <w:color w:val="000000" w:themeColor="text1"/>
                <w:sz w:val="24"/>
                <w:szCs w:val="24"/>
              </w:rPr>
            </w:pPr>
            <w:r w:rsidRPr="00792B36">
              <w:rPr>
                <w:color w:val="000000" w:themeColor="text1"/>
                <w:sz w:val="24"/>
                <w:szCs w:val="24"/>
              </w:rPr>
              <w:t>1.  Assessing impacts and developing risk datasets from climate change, covering 6 adaptation sectors, such as: agriculture and food security, water management and disasters, tourism, public health, natural resource management, and the human settlement and security sector, including area-based risks.</w:t>
            </w:r>
          </w:p>
          <w:p w14:paraId="2DF74B77" w14:textId="77777777" w:rsidR="00BA713F" w:rsidRPr="00792B36" w:rsidRDefault="00BA713F" w:rsidP="0096560E">
            <w:pPr>
              <w:spacing w:line="360" w:lineRule="auto"/>
              <w:contextualSpacing/>
              <w:jc w:val="thaiDistribute"/>
              <w:rPr>
                <w:color w:val="000000" w:themeColor="text1"/>
                <w:sz w:val="24"/>
                <w:szCs w:val="24"/>
              </w:rPr>
            </w:pPr>
            <w:r w:rsidRPr="00792B36">
              <w:rPr>
                <w:color w:val="000000" w:themeColor="text1"/>
                <w:sz w:val="24"/>
                <w:szCs w:val="24"/>
              </w:rPr>
              <w:t>2.  Formulation of policies and plans for climate change adaptation.</w:t>
            </w:r>
          </w:p>
          <w:p w14:paraId="0316D7BF" w14:textId="77777777" w:rsidR="00BA713F" w:rsidRPr="00792B36" w:rsidRDefault="00BA713F" w:rsidP="0096560E">
            <w:pPr>
              <w:spacing w:line="360" w:lineRule="auto"/>
              <w:contextualSpacing/>
              <w:jc w:val="thaiDistribute"/>
              <w:rPr>
                <w:color w:val="000000" w:themeColor="text1"/>
                <w:sz w:val="24"/>
                <w:szCs w:val="24"/>
              </w:rPr>
            </w:pPr>
            <w:r w:rsidRPr="00792B36">
              <w:rPr>
                <w:color w:val="000000" w:themeColor="text1"/>
                <w:sz w:val="24"/>
                <w:szCs w:val="24"/>
              </w:rPr>
              <w:t>3. Driving and promoting public readiness to adapt to climate change.</w:t>
            </w:r>
          </w:p>
          <w:p w14:paraId="1E5F60C1" w14:textId="77777777" w:rsidR="00BA713F" w:rsidRPr="00792B36" w:rsidRDefault="00BA713F" w:rsidP="0096560E">
            <w:pPr>
              <w:spacing w:line="360" w:lineRule="auto"/>
              <w:contextualSpacing/>
              <w:jc w:val="thaiDistribute"/>
              <w:rPr>
                <w:color w:val="000000" w:themeColor="text1"/>
                <w:sz w:val="24"/>
                <w:szCs w:val="24"/>
              </w:rPr>
            </w:pPr>
            <w:r w:rsidRPr="00792B36">
              <w:rPr>
                <w:color w:val="000000" w:themeColor="text1"/>
                <w:sz w:val="24"/>
                <w:szCs w:val="24"/>
              </w:rPr>
              <w:t>4.  Developing adaptation plans at the policy and area levels to cover the adaptation sectors, including the implementation of efficient and effective adaptation measures.</w:t>
            </w:r>
          </w:p>
          <w:p w14:paraId="4C0F7F97" w14:textId="77777777" w:rsidR="00BA713F" w:rsidRPr="00792B36" w:rsidRDefault="00BA713F" w:rsidP="0096560E">
            <w:pPr>
              <w:spacing w:line="360" w:lineRule="auto"/>
              <w:contextualSpacing/>
              <w:jc w:val="thaiDistribute"/>
              <w:rPr>
                <w:color w:val="000000" w:themeColor="text1"/>
                <w:sz w:val="24"/>
                <w:szCs w:val="24"/>
              </w:rPr>
            </w:pPr>
            <w:r w:rsidRPr="00792B36">
              <w:rPr>
                <w:color w:val="000000" w:themeColor="text1"/>
                <w:sz w:val="24"/>
                <w:szCs w:val="24"/>
              </w:rPr>
              <w:t>5.  Driving and implementing actions at the policy level in collaboration with central and local agencies to drive area-based adaptation and scale up implementation.</w:t>
            </w:r>
          </w:p>
          <w:p w14:paraId="099EAC89" w14:textId="77777777" w:rsidR="00BA713F" w:rsidRPr="00792B36" w:rsidRDefault="00BA713F" w:rsidP="0096560E">
            <w:pPr>
              <w:spacing w:line="360" w:lineRule="auto"/>
              <w:contextualSpacing/>
              <w:jc w:val="thaiDistribute"/>
              <w:rPr>
                <w:color w:val="000000" w:themeColor="text1"/>
                <w:sz w:val="24"/>
                <w:szCs w:val="24"/>
              </w:rPr>
            </w:pPr>
            <w:r w:rsidRPr="00792B36">
              <w:rPr>
                <w:color w:val="000000" w:themeColor="text1"/>
                <w:sz w:val="24"/>
                <w:szCs w:val="24"/>
              </w:rPr>
              <w:t>6.  Monitoring and evaluation of implementation and ensuring continuous improvement.</w:t>
            </w:r>
          </w:p>
        </w:tc>
      </w:tr>
      <w:tr w:rsidR="00BA713F" w:rsidRPr="00792B36" w14:paraId="78592ACB" w14:textId="77777777" w:rsidTr="0096560E">
        <w:tc>
          <w:tcPr>
            <w:tcW w:w="2835" w:type="dxa"/>
          </w:tcPr>
          <w:p w14:paraId="6A0EADFB" w14:textId="77777777" w:rsidR="00BA713F" w:rsidRPr="00792B36" w:rsidRDefault="00BA713F" w:rsidP="0096560E">
            <w:pPr>
              <w:spacing w:line="360" w:lineRule="auto"/>
              <w:contextualSpacing/>
              <w:rPr>
                <w:color w:val="000000" w:themeColor="text1"/>
                <w:sz w:val="24"/>
                <w:szCs w:val="24"/>
              </w:rPr>
            </w:pPr>
            <w:r w:rsidRPr="00792B36">
              <w:rPr>
                <w:color w:val="000000" w:themeColor="text1"/>
                <w:sz w:val="24"/>
                <w:szCs w:val="24"/>
              </w:rPr>
              <w:t>GHG Mitigation, Carbon Neutrality, and Net-Zero</w:t>
            </w:r>
          </w:p>
        </w:tc>
        <w:tc>
          <w:tcPr>
            <w:tcW w:w="6182" w:type="dxa"/>
          </w:tcPr>
          <w:p w14:paraId="50356839" w14:textId="77777777" w:rsidR="00BA713F" w:rsidRPr="00792B36" w:rsidRDefault="00BA713F" w:rsidP="0096560E">
            <w:pPr>
              <w:spacing w:line="360" w:lineRule="auto"/>
              <w:contextualSpacing/>
              <w:jc w:val="thaiDistribute"/>
              <w:rPr>
                <w:color w:val="000000" w:themeColor="text1"/>
                <w:sz w:val="24"/>
                <w:szCs w:val="24"/>
              </w:rPr>
            </w:pPr>
            <w:r w:rsidRPr="00792B36">
              <w:rPr>
                <w:color w:val="000000" w:themeColor="text1"/>
                <w:sz w:val="24"/>
                <w:szCs w:val="24"/>
              </w:rPr>
              <w:t>1.  Assess the potential for greenhouse gas (GHG) mitigation and develop policies and plans, including setting national GHG-reduction targets that cover the five key sectors: energy; industrial processes and product use (IPPU); waste; agriculture; and land use and forestry.</w:t>
            </w:r>
          </w:p>
          <w:p w14:paraId="2BEC3E15" w14:textId="77777777" w:rsidR="00BA713F" w:rsidRPr="00792B36" w:rsidRDefault="00BA713F" w:rsidP="0096560E">
            <w:pPr>
              <w:spacing w:line="360" w:lineRule="auto"/>
              <w:contextualSpacing/>
              <w:jc w:val="thaiDistribute"/>
              <w:rPr>
                <w:color w:val="000000" w:themeColor="text1"/>
                <w:sz w:val="24"/>
                <w:szCs w:val="24"/>
              </w:rPr>
            </w:pPr>
            <w:r w:rsidRPr="00792B36">
              <w:rPr>
                <w:color w:val="000000" w:themeColor="text1"/>
                <w:sz w:val="24"/>
                <w:szCs w:val="24"/>
              </w:rPr>
              <w:t xml:space="preserve">2.  Prepare and submit implementation reports on the plans and targets that Thailand has pledged, in accordance with the submission timelines under the United Nations Framework Convention on Climate Change (UNFCCC) and the Paris Agreement, such as </w:t>
            </w:r>
            <w:r w:rsidRPr="00792B36">
              <w:rPr>
                <w:color w:val="000000" w:themeColor="text1"/>
                <w:sz w:val="24"/>
                <w:szCs w:val="24"/>
              </w:rPr>
              <w:lastRenderedPageBreak/>
              <w:t>National Communications (NCs) and Biennial Transparency Reports (BTRs).</w:t>
            </w:r>
          </w:p>
          <w:p w14:paraId="21166A45" w14:textId="77777777" w:rsidR="00BA713F" w:rsidRPr="00792B36" w:rsidRDefault="00BA713F" w:rsidP="0096560E">
            <w:pPr>
              <w:spacing w:line="360" w:lineRule="auto"/>
              <w:contextualSpacing/>
              <w:jc w:val="thaiDistribute"/>
              <w:rPr>
                <w:color w:val="000000" w:themeColor="text1"/>
                <w:sz w:val="24"/>
                <w:szCs w:val="24"/>
              </w:rPr>
            </w:pPr>
            <w:r w:rsidRPr="00792B36">
              <w:rPr>
                <w:color w:val="000000" w:themeColor="text1"/>
                <w:sz w:val="24"/>
                <w:szCs w:val="24"/>
              </w:rPr>
              <w:t>3.  Drive and implement climate policy in coordination with central and local government agencies.</w:t>
            </w:r>
          </w:p>
          <w:p w14:paraId="73F7AD35" w14:textId="77777777" w:rsidR="00BA713F" w:rsidRPr="00792B36" w:rsidRDefault="00BA713F" w:rsidP="0096560E">
            <w:pPr>
              <w:spacing w:line="360" w:lineRule="auto"/>
              <w:contextualSpacing/>
              <w:jc w:val="thaiDistribute"/>
              <w:rPr>
                <w:color w:val="000000" w:themeColor="text1"/>
                <w:sz w:val="24"/>
                <w:szCs w:val="24"/>
              </w:rPr>
            </w:pPr>
            <w:r w:rsidRPr="00792B36">
              <w:rPr>
                <w:color w:val="000000" w:themeColor="text1"/>
                <w:sz w:val="24"/>
                <w:szCs w:val="24"/>
              </w:rPr>
              <w:t>4.  Promote and enable the public to be ready to develop and adopt low-GHG lifestyles.</w:t>
            </w:r>
          </w:p>
          <w:p w14:paraId="7FBCC9C7" w14:textId="77777777" w:rsidR="00BA713F" w:rsidRPr="00792B36" w:rsidRDefault="00BA713F" w:rsidP="0096560E">
            <w:pPr>
              <w:spacing w:line="360" w:lineRule="auto"/>
              <w:contextualSpacing/>
              <w:jc w:val="thaiDistribute"/>
              <w:rPr>
                <w:color w:val="000000" w:themeColor="text1"/>
                <w:sz w:val="24"/>
                <w:szCs w:val="24"/>
              </w:rPr>
            </w:pPr>
            <w:r w:rsidRPr="00792B36">
              <w:rPr>
                <w:color w:val="000000" w:themeColor="text1"/>
                <w:sz w:val="24"/>
                <w:szCs w:val="24"/>
              </w:rPr>
              <w:t>5. Advance GHG mitigation actions across sectors and at subnational levels, and scale up successful initiatives.</w:t>
            </w:r>
          </w:p>
          <w:p w14:paraId="0895DD58" w14:textId="77777777" w:rsidR="00BA713F" w:rsidRPr="00792B36" w:rsidRDefault="00BA713F" w:rsidP="0096560E">
            <w:pPr>
              <w:spacing w:line="360" w:lineRule="auto"/>
              <w:contextualSpacing/>
              <w:jc w:val="thaiDistribute"/>
              <w:rPr>
                <w:color w:val="000000" w:themeColor="text1"/>
                <w:sz w:val="24"/>
                <w:szCs w:val="24"/>
              </w:rPr>
            </w:pPr>
            <w:r w:rsidRPr="00792B36">
              <w:rPr>
                <w:color w:val="000000" w:themeColor="text1"/>
                <w:sz w:val="24"/>
                <w:szCs w:val="24"/>
              </w:rPr>
              <w:t>6.  Continuously monitor and evaluate progress and improve implementation.</w:t>
            </w:r>
          </w:p>
        </w:tc>
      </w:tr>
    </w:tbl>
    <w:p w14:paraId="0FCBA5EF" w14:textId="77777777" w:rsidR="00BA713F" w:rsidRPr="00792B36" w:rsidRDefault="00BA713F" w:rsidP="00BA713F">
      <w:pPr>
        <w:spacing w:line="360" w:lineRule="auto"/>
        <w:contextualSpacing/>
        <w:rPr>
          <w:b/>
          <w:bCs/>
          <w:color w:val="000000" w:themeColor="text1"/>
          <w:sz w:val="24"/>
          <w:szCs w:val="24"/>
        </w:rPr>
      </w:pPr>
    </w:p>
    <w:p w14:paraId="12A982CA" w14:textId="77777777" w:rsidR="00BA713F" w:rsidRPr="00792B36" w:rsidRDefault="00BA713F" w:rsidP="00BA713F">
      <w:pPr>
        <w:spacing w:line="360" w:lineRule="auto"/>
        <w:contextualSpacing/>
        <w:jc w:val="both"/>
        <w:rPr>
          <w:color w:val="000000" w:themeColor="text1"/>
          <w:sz w:val="24"/>
          <w:szCs w:val="24"/>
        </w:rPr>
      </w:pPr>
      <w:r w:rsidRPr="00792B36">
        <w:rPr>
          <w:color w:val="000000" w:themeColor="text1"/>
          <w:sz w:val="24"/>
          <w:szCs w:val="24"/>
        </w:rPr>
        <w:t>Even with these solid policies in place, putting them into practice remains difficult. A review of the DCCE’s analysis highlights serious obstacles that stand in the way of reducing risks for the population. These challenges generally fall into two main groups:</w:t>
      </w:r>
    </w:p>
    <w:p w14:paraId="0C0B455F" w14:textId="77777777" w:rsidR="00BA713F" w:rsidRPr="00792B36" w:rsidRDefault="00BA713F" w:rsidP="00BA713F">
      <w:pPr>
        <w:spacing w:line="360" w:lineRule="auto"/>
        <w:contextualSpacing/>
        <w:jc w:val="both"/>
        <w:rPr>
          <w:color w:val="000000" w:themeColor="text1"/>
          <w:sz w:val="24"/>
          <w:szCs w:val="24"/>
        </w:rPr>
      </w:pPr>
      <w:r w:rsidRPr="00792B36">
        <w:rPr>
          <w:color w:val="000000" w:themeColor="text1"/>
          <w:sz w:val="24"/>
          <w:szCs w:val="24"/>
        </w:rPr>
        <w:t>1. Strategic and technical gaps</w:t>
      </w:r>
    </w:p>
    <w:p w14:paraId="2770F3A7" w14:textId="77777777" w:rsidR="00BA713F" w:rsidRPr="00792B36" w:rsidRDefault="00BA713F" w:rsidP="00BA713F">
      <w:pPr>
        <w:spacing w:line="360" w:lineRule="auto"/>
        <w:contextualSpacing/>
        <w:rPr>
          <w:color w:val="000000" w:themeColor="text1"/>
          <w:sz w:val="24"/>
          <w:szCs w:val="24"/>
        </w:rPr>
      </w:pPr>
      <w:r w:rsidRPr="00792B36">
        <w:rPr>
          <w:color w:val="000000" w:themeColor="text1"/>
          <w:sz w:val="24"/>
          <w:szCs w:val="24"/>
        </w:rPr>
        <w:t>These challenges arise from the complex nature of the climate problem itself and the tools available to address it:</w:t>
      </w:r>
    </w:p>
    <w:p w14:paraId="3340129A" w14:textId="77777777" w:rsidR="00BA713F" w:rsidRPr="00792B36" w:rsidRDefault="00BA713F" w:rsidP="00F61B37">
      <w:pPr>
        <w:widowControl/>
        <w:numPr>
          <w:ilvl w:val="0"/>
          <w:numId w:val="30"/>
        </w:numPr>
        <w:spacing w:line="360" w:lineRule="auto"/>
        <w:contextualSpacing/>
        <w:jc w:val="both"/>
        <w:rPr>
          <w:color w:val="000000" w:themeColor="text1"/>
          <w:sz w:val="24"/>
          <w:szCs w:val="24"/>
        </w:rPr>
      </w:pPr>
      <w:r w:rsidRPr="00792B36">
        <w:rPr>
          <w:color w:val="000000" w:themeColor="text1"/>
          <w:sz w:val="24"/>
          <w:szCs w:val="24"/>
        </w:rPr>
        <w:t>Scientific uncertainty remains a primary gap in conducting precise risk assessments. While general climate impacts are understood significant uncertainty persists regarding specific timing severity and exact location. This lack of precision limits targeted cost effective adaptation policies and complicates clear public communication.</w:t>
      </w:r>
    </w:p>
    <w:p w14:paraId="3C167BFB" w14:textId="77777777" w:rsidR="00BA713F" w:rsidRPr="00792B36" w:rsidRDefault="00BA713F" w:rsidP="00F61B37">
      <w:pPr>
        <w:widowControl/>
        <w:numPr>
          <w:ilvl w:val="0"/>
          <w:numId w:val="30"/>
        </w:numPr>
        <w:spacing w:line="360" w:lineRule="auto"/>
        <w:contextualSpacing/>
        <w:jc w:val="both"/>
        <w:rPr>
          <w:color w:val="000000" w:themeColor="text1"/>
          <w:sz w:val="24"/>
          <w:szCs w:val="24"/>
        </w:rPr>
      </w:pPr>
      <w:r w:rsidRPr="00792B36">
        <w:rPr>
          <w:color w:val="000000" w:themeColor="text1"/>
          <w:sz w:val="24"/>
          <w:szCs w:val="24"/>
        </w:rPr>
        <w:t>Problem complexity and integration make management difficult as climate change affects multiple sectors. A fragmented approach persists where economic development policies are not fully integrated with climate adaptation goals often leading to conflicting objectives. National frameworks like NESDP Milestone 11 set general goals but deploy a one size fits all approach. This fails to address distinct needs of priority groups specifically Intensity risk provinces like Bangkok, Magnitude risk group like Surat Thani or Hybrid risk group like Chumphon.</w:t>
      </w:r>
    </w:p>
    <w:p w14:paraId="05462892" w14:textId="77777777" w:rsidR="00BA713F" w:rsidRPr="00792B36" w:rsidRDefault="00BA713F" w:rsidP="00BA713F">
      <w:pPr>
        <w:spacing w:line="360" w:lineRule="auto"/>
        <w:contextualSpacing/>
        <w:jc w:val="both"/>
        <w:rPr>
          <w:color w:val="000000" w:themeColor="text1"/>
          <w:sz w:val="24"/>
          <w:szCs w:val="24"/>
        </w:rPr>
      </w:pPr>
    </w:p>
    <w:p w14:paraId="6F8F25E1" w14:textId="77777777" w:rsidR="00BA713F" w:rsidRPr="00792B36" w:rsidRDefault="00BA713F" w:rsidP="00BA713F">
      <w:pPr>
        <w:spacing w:line="360" w:lineRule="auto"/>
        <w:contextualSpacing/>
        <w:jc w:val="both"/>
        <w:rPr>
          <w:color w:val="000000" w:themeColor="text1"/>
          <w:sz w:val="24"/>
          <w:szCs w:val="24"/>
        </w:rPr>
      </w:pPr>
      <w:r w:rsidRPr="00792B36">
        <w:rPr>
          <w:color w:val="000000" w:themeColor="text1"/>
          <w:sz w:val="24"/>
          <w:szCs w:val="24"/>
        </w:rPr>
        <w:t>2. Operational and institutional gaps</w:t>
      </w:r>
    </w:p>
    <w:p w14:paraId="61AD1575" w14:textId="77777777" w:rsidR="00BA713F" w:rsidRPr="00792B36" w:rsidRDefault="00BA713F" w:rsidP="00BA713F">
      <w:pPr>
        <w:spacing w:line="360" w:lineRule="auto"/>
        <w:contextualSpacing/>
        <w:jc w:val="both"/>
        <w:rPr>
          <w:color w:val="000000" w:themeColor="text1"/>
          <w:sz w:val="24"/>
          <w:szCs w:val="24"/>
        </w:rPr>
      </w:pPr>
      <w:r w:rsidRPr="00792B36">
        <w:rPr>
          <w:color w:val="000000" w:themeColor="text1"/>
          <w:sz w:val="24"/>
          <w:szCs w:val="24"/>
        </w:rPr>
        <w:t>These challenges concern the ability of key institutions, particularly the DCCE, to carry out the national strategy effectively:</w:t>
      </w:r>
    </w:p>
    <w:p w14:paraId="481D18EC" w14:textId="77777777" w:rsidR="00BA713F" w:rsidRPr="00792B36" w:rsidRDefault="00BA713F" w:rsidP="00F61B37">
      <w:pPr>
        <w:widowControl/>
        <w:numPr>
          <w:ilvl w:val="0"/>
          <w:numId w:val="31"/>
        </w:numPr>
        <w:spacing w:line="360" w:lineRule="auto"/>
        <w:contextualSpacing/>
        <w:jc w:val="both"/>
        <w:rPr>
          <w:color w:val="000000" w:themeColor="text1"/>
          <w:sz w:val="24"/>
          <w:szCs w:val="24"/>
        </w:rPr>
      </w:pPr>
      <w:r w:rsidRPr="00792B36">
        <w:rPr>
          <w:color w:val="000000" w:themeColor="text1"/>
          <w:sz w:val="24"/>
          <w:szCs w:val="24"/>
        </w:rPr>
        <w:lastRenderedPageBreak/>
        <w:t>Expanded mandate vs resource constraints arise as the DCCE faces a heavier workload from severe climate impacts like frequent disasters and ecosystem loss. Although new specialized divisions for GHG reduction and adaptation were established this wider scope creates a resource shortage. Consequently, the agency requires significant new funding modern monitoring technology and continuous personnel training to meet demands.</w:t>
      </w:r>
    </w:p>
    <w:p w14:paraId="1F51F366" w14:textId="77777777" w:rsidR="00BA713F" w:rsidRPr="00792B36" w:rsidRDefault="00BA713F" w:rsidP="00F61B37">
      <w:pPr>
        <w:widowControl/>
        <w:numPr>
          <w:ilvl w:val="0"/>
          <w:numId w:val="31"/>
        </w:numPr>
        <w:spacing w:line="360" w:lineRule="auto"/>
        <w:contextualSpacing/>
        <w:jc w:val="both"/>
        <w:rPr>
          <w:color w:val="000000" w:themeColor="text1"/>
          <w:sz w:val="24"/>
          <w:szCs w:val="24"/>
        </w:rPr>
      </w:pPr>
      <w:r w:rsidRPr="00792B36">
        <w:rPr>
          <w:color w:val="000000" w:themeColor="text1"/>
          <w:sz w:val="24"/>
          <w:szCs w:val="24"/>
        </w:rPr>
        <w:t>Cooperation and communication gaps hinder effective coordination and implementation involving the need to strengthen cooperation across ministries and local governments to drive area-based adaptation. A challenge remains in translating complex scientific data into clear public communication. Overcoming this is essential to build broad support among stakeholders and encourage real behavioral change.</w:t>
      </w:r>
    </w:p>
    <w:p w14:paraId="25F3457B" w14:textId="77777777" w:rsidR="00BA713F" w:rsidRPr="00792B36" w:rsidRDefault="00BA713F" w:rsidP="00BA713F">
      <w:pPr>
        <w:spacing w:line="360" w:lineRule="auto"/>
        <w:ind w:left="720"/>
        <w:contextualSpacing/>
        <w:jc w:val="both"/>
        <w:rPr>
          <w:color w:val="000000" w:themeColor="text1"/>
          <w:sz w:val="24"/>
          <w:szCs w:val="24"/>
        </w:rPr>
      </w:pPr>
    </w:p>
    <w:p w14:paraId="00BD46B8" w14:textId="77777777" w:rsidR="00BA713F" w:rsidRPr="00792B36" w:rsidRDefault="00BA713F" w:rsidP="00BA713F">
      <w:pPr>
        <w:spacing w:line="360" w:lineRule="auto"/>
        <w:contextualSpacing/>
        <w:jc w:val="thaiDistribute"/>
        <w:rPr>
          <w:b/>
          <w:bCs/>
          <w:color w:val="000000" w:themeColor="text1"/>
          <w:sz w:val="24"/>
          <w:szCs w:val="24"/>
        </w:rPr>
      </w:pPr>
      <w:r w:rsidRPr="00792B36">
        <w:rPr>
          <w:b/>
          <w:bCs/>
          <w:color w:val="000000" w:themeColor="text1"/>
          <w:sz w:val="24"/>
          <w:szCs w:val="24"/>
        </w:rPr>
        <w:t>2.3.4 Recommended priority actions, including regional cooperation</w:t>
      </w:r>
    </w:p>
    <w:p w14:paraId="784EBBCF" w14:textId="77777777" w:rsidR="00BA713F" w:rsidRPr="00792B36" w:rsidRDefault="00BA713F" w:rsidP="00BA713F">
      <w:pPr>
        <w:spacing w:line="360" w:lineRule="auto"/>
        <w:contextualSpacing/>
        <w:jc w:val="thaiDistribute"/>
        <w:rPr>
          <w:color w:val="000000" w:themeColor="text1"/>
          <w:sz w:val="24"/>
          <w:szCs w:val="24"/>
        </w:rPr>
      </w:pPr>
      <w:r w:rsidRPr="00792B36">
        <w:rPr>
          <w:color w:val="000000" w:themeColor="text1"/>
          <w:sz w:val="24"/>
          <w:szCs w:val="24"/>
        </w:rPr>
        <w:t>Thailand has a structured policy framework yet significant gaps remain between planning and implementation. The system struggles with institutional constraints and lacks specific strategies for Intensity Magnitude and Hybrid risk groups. To address high climate exposure the country must shift from reactive measures to a proactive risk governance model. Accordingly, the following priority actions are recommended.</w:t>
      </w:r>
    </w:p>
    <w:p w14:paraId="7F87F287" w14:textId="77777777" w:rsidR="00BA713F" w:rsidRPr="00792B36" w:rsidRDefault="00BA713F" w:rsidP="00BA713F">
      <w:pPr>
        <w:spacing w:line="360" w:lineRule="auto"/>
        <w:contextualSpacing/>
        <w:jc w:val="thaiDistribute"/>
        <w:rPr>
          <w:b/>
          <w:bCs/>
          <w:color w:val="000000" w:themeColor="text1"/>
          <w:sz w:val="24"/>
          <w:szCs w:val="24"/>
        </w:rPr>
      </w:pPr>
    </w:p>
    <w:p w14:paraId="1D7013DD" w14:textId="77777777" w:rsidR="00BA713F" w:rsidRPr="00792B36" w:rsidRDefault="00BA713F" w:rsidP="00BA713F">
      <w:pPr>
        <w:spacing w:line="360" w:lineRule="auto"/>
        <w:contextualSpacing/>
        <w:rPr>
          <w:b/>
          <w:bCs/>
          <w:color w:val="000000" w:themeColor="text1"/>
          <w:sz w:val="24"/>
          <w:szCs w:val="24"/>
        </w:rPr>
      </w:pPr>
      <w:r w:rsidRPr="00792B36">
        <w:rPr>
          <w:b/>
          <w:bCs/>
          <w:color w:val="000000" w:themeColor="text1"/>
          <w:sz w:val="24"/>
          <w:szCs w:val="24"/>
        </w:rPr>
        <w:t>1. Priority 1: Mainstream proactive risk governance and financing</w:t>
      </w:r>
    </w:p>
    <w:p w14:paraId="6FB6D1A2" w14:textId="77777777" w:rsidR="00BA713F" w:rsidRPr="00792B36" w:rsidRDefault="00BA713F" w:rsidP="00BA713F">
      <w:pPr>
        <w:spacing w:line="360" w:lineRule="auto"/>
        <w:contextualSpacing/>
        <w:jc w:val="both"/>
        <w:rPr>
          <w:color w:val="000000" w:themeColor="text1"/>
          <w:sz w:val="24"/>
          <w:szCs w:val="24"/>
        </w:rPr>
      </w:pPr>
      <w:r w:rsidRPr="00792B36">
        <w:rPr>
          <w:color w:val="000000" w:themeColor="text1"/>
          <w:sz w:val="24"/>
          <w:szCs w:val="24"/>
        </w:rPr>
        <w:t>The most critical gap is the reliance on reactive management. This is sustained by budget systems that allocate more funds to post-disaster relief than pre-disaster mitigation.</w:t>
      </w:r>
    </w:p>
    <w:p w14:paraId="53953793" w14:textId="77777777" w:rsidR="00BA713F" w:rsidRPr="00792B36" w:rsidRDefault="00BA713F" w:rsidP="00F61B37">
      <w:pPr>
        <w:widowControl/>
        <w:numPr>
          <w:ilvl w:val="0"/>
          <w:numId w:val="32"/>
        </w:numPr>
        <w:spacing w:line="360" w:lineRule="auto"/>
        <w:contextualSpacing/>
        <w:jc w:val="both"/>
        <w:rPr>
          <w:color w:val="000000" w:themeColor="text1"/>
          <w:sz w:val="24"/>
          <w:szCs w:val="24"/>
        </w:rPr>
      </w:pPr>
      <w:r w:rsidRPr="00792B36">
        <w:rPr>
          <w:color w:val="000000" w:themeColor="text1"/>
          <w:sz w:val="24"/>
          <w:szCs w:val="24"/>
        </w:rPr>
        <w:t>Action Shift budget priorities. Adjust budget structure to focus on proactive risk reduction. Integrate climate adaptation and disaster prevention into key planning stages including the national budget process 13th NESDP implementation and provincial plans.</w:t>
      </w:r>
    </w:p>
    <w:p w14:paraId="1E81E8AF" w14:textId="77777777" w:rsidR="00BA713F" w:rsidRPr="00792B36" w:rsidRDefault="00BA713F" w:rsidP="00F61B37">
      <w:pPr>
        <w:widowControl/>
        <w:numPr>
          <w:ilvl w:val="0"/>
          <w:numId w:val="32"/>
        </w:numPr>
        <w:spacing w:line="360" w:lineRule="auto"/>
        <w:contextualSpacing/>
        <w:jc w:val="both"/>
        <w:rPr>
          <w:color w:val="000000" w:themeColor="text1"/>
          <w:sz w:val="24"/>
          <w:szCs w:val="24"/>
        </w:rPr>
      </w:pPr>
      <w:r w:rsidRPr="00792B36">
        <w:rPr>
          <w:color w:val="000000" w:themeColor="text1"/>
          <w:sz w:val="24"/>
          <w:szCs w:val="24"/>
        </w:rPr>
        <w:t xml:space="preserve">Action Expand use of risk assessment models. Apply the study risk assessment model widely. The CRI methodology exemplifies applied risk assessment models required by the 13th NESDP. Quantifying specific risks provides data to justify proactive budget allocation. Future assessments must incorporate ocean literacy as a vulnerability indicator. Measuring public understanding is </w:t>
      </w:r>
      <w:r w:rsidRPr="00792B36">
        <w:rPr>
          <w:color w:val="000000" w:themeColor="text1"/>
          <w:sz w:val="24"/>
          <w:szCs w:val="24"/>
        </w:rPr>
        <w:lastRenderedPageBreak/>
        <w:t>critical as lower awareness reduces preparedness and conservation support increasing overall vulnerability.</w:t>
      </w:r>
    </w:p>
    <w:p w14:paraId="78C832B9" w14:textId="77777777" w:rsidR="00BA713F" w:rsidRPr="00792B36" w:rsidRDefault="00BA713F" w:rsidP="00BA713F">
      <w:pPr>
        <w:spacing w:line="360" w:lineRule="auto"/>
        <w:ind w:left="720"/>
        <w:contextualSpacing/>
        <w:jc w:val="both"/>
        <w:rPr>
          <w:color w:val="000000" w:themeColor="text1"/>
          <w:sz w:val="24"/>
          <w:szCs w:val="24"/>
        </w:rPr>
      </w:pPr>
    </w:p>
    <w:p w14:paraId="334EE968" w14:textId="77777777" w:rsidR="00BA713F" w:rsidRPr="00792B36" w:rsidRDefault="00BA713F" w:rsidP="00BA713F">
      <w:pPr>
        <w:spacing w:line="360" w:lineRule="auto"/>
        <w:contextualSpacing/>
        <w:rPr>
          <w:b/>
          <w:bCs/>
          <w:color w:val="000000" w:themeColor="text1"/>
          <w:sz w:val="24"/>
          <w:szCs w:val="24"/>
        </w:rPr>
      </w:pPr>
      <w:r w:rsidRPr="00792B36">
        <w:rPr>
          <w:b/>
          <w:bCs/>
          <w:color w:val="000000" w:themeColor="text1"/>
          <w:sz w:val="24"/>
          <w:szCs w:val="24"/>
        </w:rPr>
        <w:t>2. Priority 2: Implement differentiated, area-based adaptation</w:t>
      </w:r>
    </w:p>
    <w:p w14:paraId="755CFA8B" w14:textId="77777777" w:rsidR="00BA713F" w:rsidRPr="00792B36" w:rsidRDefault="00BA713F" w:rsidP="00BA713F">
      <w:pPr>
        <w:spacing w:line="360" w:lineRule="auto"/>
        <w:contextualSpacing/>
        <w:jc w:val="both"/>
        <w:rPr>
          <w:color w:val="000000" w:themeColor="text1"/>
          <w:sz w:val="24"/>
          <w:szCs w:val="24"/>
        </w:rPr>
      </w:pPr>
      <w:r w:rsidRPr="00792B36">
        <w:rPr>
          <w:color w:val="000000" w:themeColor="text1"/>
          <w:sz w:val="24"/>
          <w:szCs w:val="24"/>
        </w:rPr>
        <w:t>The CRI analysis shows that risk varies significantly across different areas. Therefore, policy responses must be tailored to the specific risk profile of each province.</w:t>
      </w:r>
    </w:p>
    <w:p w14:paraId="0B049671" w14:textId="77777777" w:rsidR="00BA713F" w:rsidRPr="00792B36" w:rsidRDefault="00BA713F" w:rsidP="00F61B37">
      <w:pPr>
        <w:widowControl/>
        <w:numPr>
          <w:ilvl w:val="0"/>
          <w:numId w:val="33"/>
        </w:numPr>
        <w:spacing w:line="360" w:lineRule="auto"/>
        <w:contextualSpacing/>
        <w:jc w:val="both"/>
        <w:rPr>
          <w:color w:val="000000" w:themeColor="text1"/>
          <w:sz w:val="24"/>
          <w:szCs w:val="24"/>
        </w:rPr>
      </w:pPr>
      <w:r w:rsidRPr="00792B36">
        <w:rPr>
          <w:color w:val="000000" w:themeColor="text1"/>
          <w:sz w:val="24"/>
          <w:szCs w:val="24"/>
        </w:rPr>
        <w:t>For pure intensity risk groups e.g. Bangkok, Samut Songkhram actions focus on enforcing resilience standards. Require climate proofing for all new infrastructure and urban development to manage high concentration of socioeconomic pressure.</w:t>
      </w:r>
    </w:p>
    <w:p w14:paraId="4A0C2EC3" w14:textId="77777777" w:rsidR="00BA713F" w:rsidRPr="00792B36" w:rsidRDefault="00BA713F" w:rsidP="00F61B37">
      <w:pPr>
        <w:widowControl/>
        <w:numPr>
          <w:ilvl w:val="0"/>
          <w:numId w:val="33"/>
        </w:numPr>
        <w:spacing w:line="360" w:lineRule="auto"/>
        <w:contextualSpacing/>
        <w:jc w:val="both"/>
        <w:rPr>
          <w:color w:val="000000" w:themeColor="text1"/>
          <w:sz w:val="24"/>
          <w:szCs w:val="24"/>
        </w:rPr>
      </w:pPr>
      <w:r w:rsidRPr="00792B36">
        <w:rPr>
          <w:color w:val="000000" w:themeColor="text1"/>
          <w:sz w:val="24"/>
          <w:szCs w:val="24"/>
        </w:rPr>
        <w:t>For pure magnitude risk Groups e.g. Surat Thani, Songkhla prioritize large scale Ecosystem based Adaptation EbA. Invest in soft infrastructure like mangrove restoration and watershed protection to safeguard resource bases.</w:t>
      </w:r>
    </w:p>
    <w:p w14:paraId="506AD424" w14:textId="77777777" w:rsidR="00BA713F" w:rsidRPr="00792B36" w:rsidRDefault="00BA713F" w:rsidP="00F61B37">
      <w:pPr>
        <w:pStyle w:val="ListParagraph"/>
        <w:widowControl/>
        <w:numPr>
          <w:ilvl w:val="0"/>
          <w:numId w:val="33"/>
        </w:numPr>
        <w:spacing w:before="100" w:beforeAutospacing="1" w:afterAutospacing="1" w:line="360" w:lineRule="auto"/>
        <w:ind w:left="714" w:hanging="357"/>
        <w:jc w:val="both"/>
        <w:rPr>
          <w:rFonts w:cs="Arial"/>
          <w:b/>
          <w:bCs/>
          <w:color w:val="000000" w:themeColor="text1"/>
          <w:sz w:val="24"/>
          <w:szCs w:val="24"/>
        </w:rPr>
      </w:pPr>
      <w:r w:rsidRPr="00792B36">
        <w:rPr>
          <w:rFonts w:eastAsia="Times New Roman" w:cs="Arial"/>
          <w:sz w:val="24"/>
          <w:szCs w:val="24"/>
        </w:rPr>
        <w:t>For hybrid risk Group e.g. Chumphon, high intensity and magnitude requires comprehensive response. Combine targeted spatial planning with large scale resource management.</w:t>
      </w:r>
    </w:p>
    <w:p w14:paraId="2D595919" w14:textId="77777777" w:rsidR="00BA713F" w:rsidRPr="00792B36" w:rsidRDefault="00BA713F" w:rsidP="00BA713F">
      <w:pPr>
        <w:spacing w:line="360" w:lineRule="auto"/>
        <w:contextualSpacing/>
        <w:jc w:val="both"/>
        <w:rPr>
          <w:b/>
          <w:bCs/>
          <w:color w:val="000000" w:themeColor="text1"/>
          <w:sz w:val="24"/>
          <w:szCs w:val="24"/>
        </w:rPr>
      </w:pPr>
      <w:r w:rsidRPr="00792B36">
        <w:rPr>
          <w:b/>
          <w:bCs/>
          <w:color w:val="000000" w:themeColor="text1"/>
          <w:sz w:val="24"/>
          <w:szCs w:val="24"/>
        </w:rPr>
        <w:t>3. Priority 3: Strengthen transboundary and regional cooperation</w:t>
      </w:r>
    </w:p>
    <w:p w14:paraId="57BBDCC3" w14:textId="77777777" w:rsidR="00BA713F" w:rsidRPr="00792B36" w:rsidRDefault="00BA713F" w:rsidP="00BA713F">
      <w:pPr>
        <w:spacing w:line="360" w:lineRule="auto"/>
        <w:contextualSpacing/>
        <w:jc w:val="both"/>
        <w:rPr>
          <w:color w:val="000000" w:themeColor="text1"/>
          <w:sz w:val="24"/>
          <w:szCs w:val="24"/>
        </w:rPr>
      </w:pPr>
      <w:r w:rsidRPr="00792B36">
        <w:rPr>
          <w:color w:val="000000" w:themeColor="text1"/>
          <w:sz w:val="24"/>
          <w:szCs w:val="24"/>
        </w:rPr>
        <w:t>Analysis confirms severe threats like tsunamis typhoons and droughts are transboundary and unmanageable alone. The 17 coastal provinces serve as the frontline making regional cooperation critical for domestic resilience.</w:t>
      </w:r>
    </w:p>
    <w:p w14:paraId="5D110605" w14:textId="77777777" w:rsidR="00BA713F" w:rsidRPr="00792B36" w:rsidRDefault="00BA713F" w:rsidP="00F61B37">
      <w:pPr>
        <w:widowControl/>
        <w:numPr>
          <w:ilvl w:val="0"/>
          <w:numId w:val="34"/>
        </w:numPr>
        <w:spacing w:line="360" w:lineRule="auto"/>
        <w:contextualSpacing/>
        <w:jc w:val="both"/>
        <w:rPr>
          <w:color w:val="000000" w:themeColor="text1"/>
          <w:sz w:val="24"/>
          <w:szCs w:val="24"/>
        </w:rPr>
      </w:pPr>
      <w:r w:rsidRPr="00792B36">
        <w:rPr>
          <w:color w:val="000000" w:themeColor="text1"/>
          <w:sz w:val="24"/>
          <w:szCs w:val="24"/>
        </w:rPr>
        <w:t>Action Enhance regional early warning systems. Improve data sharing and technical cooperation covering meteorological hazards through partnerships with ASEAN and typhoon committees. Address seismic and tsunami risks drawing on lessons from the 2004 disaster.</w:t>
      </w:r>
    </w:p>
    <w:p w14:paraId="7120DE35" w14:textId="77777777" w:rsidR="00BA713F" w:rsidRPr="00792B36" w:rsidRDefault="00BA713F" w:rsidP="00F61B37">
      <w:pPr>
        <w:widowControl/>
        <w:numPr>
          <w:ilvl w:val="0"/>
          <w:numId w:val="34"/>
        </w:numPr>
        <w:spacing w:line="360" w:lineRule="auto"/>
        <w:contextualSpacing/>
        <w:jc w:val="both"/>
        <w:rPr>
          <w:color w:val="000000" w:themeColor="text1"/>
          <w:sz w:val="24"/>
          <w:szCs w:val="24"/>
        </w:rPr>
      </w:pPr>
      <w:r w:rsidRPr="00792B36">
        <w:rPr>
          <w:color w:val="000000" w:themeColor="text1"/>
          <w:sz w:val="24"/>
          <w:szCs w:val="24"/>
        </w:rPr>
        <w:t>Action Establish regional frameworks for shared resources. Manage shared marine ecosystems and fisheries sustaining local economies. Address transboundary environmental issues like marine pollution and oil spills impacting vulnerable coastal communities.</w:t>
      </w:r>
    </w:p>
    <w:p w14:paraId="14F982C7" w14:textId="77777777" w:rsidR="00BA713F" w:rsidRPr="00792B36" w:rsidRDefault="00BA713F" w:rsidP="00F61B37">
      <w:pPr>
        <w:widowControl/>
        <w:numPr>
          <w:ilvl w:val="0"/>
          <w:numId w:val="34"/>
        </w:numPr>
        <w:spacing w:line="360" w:lineRule="auto"/>
        <w:contextualSpacing/>
        <w:jc w:val="both"/>
        <w:rPr>
          <w:color w:val="000000" w:themeColor="text1"/>
          <w:sz w:val="24"/>
          <w:szCs w:val="24"/>
        </w:rPr>
      </w:pPr>
      <w:r w:rsidRPr="00792B36">
        <w:rPr>
          <w:color w:val="000000" w:themeColor="text1"/>
          <w:sz w:val="24"/>
          <w:szCs w:val="24"/>
        </w:rPr>
        <w:t>Action Develop joint regional strategies. Collaborate to access international climate finance and technology converting shared goals into effective regional action.</w:t>
      </w:r>
    </w:p>
    <w:p w14:paraId="791B87BD" w14:textId="77777777" w:rsidR="00BA713F" w:rsidRPr="00792B36" w:rsidRDefault="00BA713F" w:rsidP="00BA713F">
      <w:pPr>
        <w:widowControl/>
        <w:spacing w:line="360" w:lineRule="auto"/>
        <w:ind w:left="720"/>
        <w:contextualSpacing/>
        <w:jc w:val="both"/>
        <w:rPr>
          <w:color w:val="000000" w:themeColor="text1"/>
          <w:sz w:val="24"/>
          <w:szCs w:val="24"/>
        </w:rPr>
      </w:pPr>
    </w:p>
    <w:p w14:paraId="5722FA11" w14:textId="77777777" w:rsidR="003B0291" w:rsidRPr="00792B36" w:rsidRDefault="003B0291" w:rsidP="00BA713F">
      <w:pPr>
        <w:widowControl/>
        <w:spacing w:line="360" w:lineRule="auto"/>
        <w:ind w:left="720"/>
        <w:contextualSpacing/>
        <w:jc w:val="both"/>
        <w:rPr>
          <w:color w:val="000000" w:themeColor="text1"/>
          <w:sz w:val="24"/>
          <w:szCs w:val="24"/>
        </w:rPr>
      </w:pPr>
    </w:p>
    <w:p w14:paraId="431AD8F2" w14:textId="77777777" w:rsidR="00BA713F" w:rsidRPr="00792B36" w:rsidRDefault="00BA713F" w:rsidP="00BA713F">
      <w:pPr>
        <w:spacing w:line="360" w:lineRule="auto"/>
        <w:contextualSpacing/>
        <w:rPr>
          <w:b/>
          <w:bCs/>
          <w:color w:val="000000" w:themeColor="text1"/>
          <w:sz w:val="24"/>
          <w:szCs w:val="24"/>
        </w:rPr>
      </w:pPr>
      <w:r w:rsidRPr="00792B36">
        <w:rPr>
          <w:b/>
          <w:bCs/>
          <w:color w:val="000000" w:themeColor="text1"/>
          <w:sz w:val="24"/>
          <w:szCs w:val="24"/>
        </w:rPr>
        <w:lastRenderedPageBreak/>
        <w:t xml:space="preserve">2.4 Methodology and analysis </w:t>
      </w:r>
    </w:p>
    <w:p w14:paraId="78018EC8" w14:textId="77777777" w:rsidR="00BA713F" w:rsidRPr="00792B36" w:rsidRDefault="00BA713F" w:rsidP="00BA713F">
      <w:pPr>
        <w:spacing w:line="360" w:lineRule="auto"/>
        <w:contextualSpacing/>
        <w:jc w:val="thaiDistribute"/>
        <w:rPr>
          <w:color w:val="000000" w:themeColor="text1"/>
          <w:sz w:val="24"/>
          <w:szCs w:val="24"/>
        </w:rPr>
      </w:pPr>
      <w:r w:rsidRPr="00792B36">
        <w:rPr>
          <w:color w:val="000000" w:themeColor="text1"/>
          <w:sz w:val="24"/>
          <w:szCs w:val="24"/>
        </w:rPr>
        <w:t>The Composite Risk Index (CRI) ranks risk across 17 Gulf of Thailand provinces based on the DPSIR framework. The model operates on the principle that Risk aggregates Pressure and Vulnerability mapping the interactions between socioeconomic trends and environmental conditions.</w:t>
      </w:r>
    </w:p>
    <w:p w14:paraId="6ECF8ACF" w14:textId="77777777" w:rsidR="00BA713F" w:rsidRPr="00792B36" w:rsidRDefault="00BA713F" w:rsidP="00BA713F">
      <w:pPr>
        <w:spacing w:line="360" w:lineRule="auto"/>
        <w:contextualSpacing/>
        <w:jc w:val="thaiDistribute"/>
        <w:rPr>
          <w:color w:val="000000" w:themeColor="text1"/>
          <w:sz w:val="24"/>
          <w:szCs w:val="24"/>
        </w:rPr>
      </w:pPr>
    </w:p>
    <w:p w14:paraId="2B0D26A7" w14:textId="77777777" w:rsidR="00BA713F" w:rsidRPr="00792B36" w:rsidRDefault="00BA713F" w:rsidP="00BA713F">
      <w:pPr>
        <w:spacing w:line="360" w:lineRule="auto"/>
        <w:contextualSpacing/>
        <w:jc w:val="thaiDistribute"/>
        <w:rPr>
          <w:color w:val="000000" w:themeColor="text1"/>
          <w:sz w:val="24"/>
          <w:szCs w:val="24"/>
        </w:rPr>
      </w:pPr>
      <w:r w:rsidRPr="00792B36">
        <w:rPr>
          <w:color w:val="000000" w:themeColor="text1"/>
          <w:sz w:val="24"/>
          <w:szCs w:val="24"/>
        </w:rPr>
        <w:t>The Pressure Index (PI) comprises three pillars population dynamics density and economic pressure. The Vulnerability Index (VI) assesses social sensitivity through poverty and gender imbalance indicators. All metrics analyze data changes between 2000 and 2020.</w:t>
      </w:r>
    </w:p>
    <w:p w14:paraId="3290AD76" w14:textId="77777777" w:rsidR="00BA713F" w:rsidRPr="00792B36" w:rsidRDefault="00BA713F" w:rsidP="00BA713F">
      <w:pPr>
        <w:spacing w:line="360" w:lineRule="auto"/>
        <w:contextualSpacing/>
        <w:jc w:val="thaiDistribute"/>
        <w:rPr>
          <w:color w:val="000000" w:themeColor="text1"/>
          <w:sz w:val="24"/>
          <w:szCs w:val="24"/>
        </w:rPr>
      </w:pPr>
    </w:p>
    <w:p w14:paraId="735B44B5" w14:textId="77777777" w:rsidR="00BA713F" w:rsidRPr="00792B36" w:rsidRDefault="00BA713F" w:rsidP="00BA713F">
      <w:pPr>
        <w:spacing w:line="360" w:lineRule="auto"/>
        <w:contextualSpacing/>
        <w:jc w:val="thaiDistribute"/>
        <w:rPr>
          <w:color w:val="000000" w:themeColor="text1"/>
          <w:sz w:val="24"/>
          <w:szCs w:val="24"/>
          <w:cs/>
        </w:rPr>
      </w:pPr>
      <w:r w:rsidRPr="00792B36">
        <w:rPr>
          <w:color w:val="000000" w:themeColor="text1"/>
          <w:sz w:val="24"/>
          <w:szCs w:val="24"/>
        </w:rPr>
        <w:t>Indicators measuring temporal change utilize Compound Annual Growth Rate CAGR. Density change was excluded to prevent statistical redundancy with population metrics. All data undergoes min-max normalization to a standard [0, 1] interval allowing aggregation of different units. Directionality is adjusted so higher values consistently indicate negative outcomes</w:t>
      </w:r>
    </w:p>
    <w:p w14:paraId="0F67C07A" w14:textId="77777777" w:rsidR="00BA713F" w:rsidRPr="00792B36" w:rsidRDefault="00BA713F" w:rsidP="00BA713F">
      <w:pPr>
        <w:spacing w:line="360" w:lineRule="auto"/>
        <w:contextualSpacing/>
        <w:rPr>
          <w:b/>
          <w:bCs/>
          <w:color w:val="000000" w:themeColor="text1"/>
          <w:sz w:val="24"/>
          <w:szCs w:val="24"/>
        </w:rPr>
      </w:pPr>
    </w:p>
    <w:p w14:paraId="1A4FD161" w14:textId="77777777" w:rsidR="00BA713F" w:rsidRPr="00792B36" w:rsidRDefault="00BA713F" w:rsidP="00BA713F">
      <w:pPr>
        <w:spacing w:line="360" w:lineRule="auto"/>
        <w:contextualSpacing/>
        <w:jc w:val="thaiDistribute"/>
        <w:rPr>
          <w:color w:val="000000" w:themeColor="text1"/>
          <w:sz w:val="24"/>
          <w:szCs w:val="24"/>
        </w:rPr>
      </w:pPr>
      <w:r w:rsidRPr="00792B36">
        <w:rPr>
          <w:color w:val="000000" w:themeColor="text1"/>
          <w:sz w:val="24"/>
          <w:szCs w:val="24"/>
        </w:rPr>
        <w:t>The methodology applies equal weighting for calculation. The PI score averages its three pillars while the VI score averages its two indicators. The final CRI score results from the simple average of the calculated PI and VI scores.</w:t>
      </w:r>
    </w:p>
    <w:p w14:paraId="03202D8A" w14:textId="77777777" w:rsidR="00BA713F" w:rsidRPr="00792B36" w:rsidRDefault="00BA713F" w:rsidP="00BA713F">
      <w:pPr>
        <w:spacing w:line="360" w:lineRule="auto"/>
        <w:contextualSpacing/>
        <w:jc w:val="thaiDistribute"/>
        <w:rPr>
          <w:color w:val="000000" w:themeColor="text1"/>
          <w:sz w:val="24"/>
          <w:szCs w:val="24"/>
        </w:rPr>
      </w:pPr>
    </w:p>
    <w:p w14:paraId="047FBC90" w14:textId="77777777" w:rsidR="00BA713F" w:rsidRPr="00792B36" w:rsidRDefault="00BA713F" w:rsidP="00BA713F">
      <w:pPr>
        <w:spacing w:line="360" w:lineRule="auto"/>
        <w:contextualSpacing/>
        <w:jc w:val="thaiDistribute"/>
        <w:rPr>
          <w:color w:val="000000" w:themeColor="text1"/>
          <w:sz w:val="24"/>
          <w:szCs w:val="24"/>
        </w:rPr>
      </w:pPr>
      <w:r w:rsidRPr="00792B36">
        <w:rPr>
          <w:color w:val="000000" w:themeColor="text1"/>
          <w:sz w:val="24"/>
          <w:szCs w:val="24"/>
        </w:rPr>
        <w:t>The assessment utilizes two dimensions. The Intensity Score measures risk concentration regardless of physical size highlighting localized urban pressure. The Magnitude Score applies area weighting to reflect the total scale of resources and management workload. This dual analysis identifies three specific categories Intensity risk Magnitude risk and Hybrid risk.</w:t>
      </w:r>
    </w:p>
    <w:p w14:paraId="3A1C0E24" w14:textId="77777777" w:rsidR="00BA713F" w:rsidRPr="00792B36" w:rsidRDefault="00BA713F" w:rsidP="00BA713F">
      <w:pPr>
        <w:spacing w:line="360" w:lineRule="auto"/>
        <w:contextualSpacing/>
        <w:jc w:val="thaiDistribute"/>
        <w:rPr>
          <w:color w:val="000000" w:themeColor="text1"/>
          <w:sz w:val="24"/>
          <w:szCs w:val="24"/>
        </w:rPr>
      </w:pPr>
    </w:p>
    <w:p w14:paraId="60E5D13E" w14:textId="77777777" w:rsidR="00BA713F" w:rsidRPr="00792B36" w:rsidRDefault="00BA713F" w:rsidP="00BA713F">
      <w:pPr>
        <w:spacing w:line="360" w:lineRule="auto"/>
        <w:contextualSpacing/>
        <w:jc w:val="thaiDistribute"/>
        <w:rPr>
          <w:color w:val="000000" w:themeColor="text1"/>
          <w:sz w:val="24"/>
          <w:szCs w:val="24"/>
        </w:rPr>
      </w:pPr>
    </w:p>
    <w:p w14:paraId="6BCE5C59" w14:textId="77777777" w:rsidR="00BA713F" w:rsidRPr="00792B36" w:rsidRDefault="00BA713F" w:rsidP="00BA713F">
      <w:pPr>
        <w:spacing w:line="360" w:lineRule="auto"/>
        <w:contextualSpacing/>
        <w:jc w:val="thaiDistribute"/>
        <w:rPr>
          <w:color w:val="000000" w:themeColor="text1"/>
          <w:sz w:val="24"/>
          <w:szCs w:val="24"/>
        </w:rPr>
      </w:pPr>
    </w:p>
    <w:p w14:paraId="7F1E16E0" w14:textId="77777777" w:rsidR="00BA713F" w:rsidRPr="00792B36" w:rsidRDefault="00BA713F" w:rsidP="00BA713F">
      <w:pPr>
        <w:spacing w:line="360" w:lineRule="auto"/>
        <w:contextualSpacing/>
        <w:jc w:val="thaiDistribute"/>
        <w:rPr>
          <w:color w:val="000000" w:themeColor="text1"/>
          <w:sz w:val="24"/>
          <w:szCs w:val="24"/>
        </w:rPr>
      </w:pPr>
    </w:p>
    <w:p w14:paraId="533A54E5" w14:textId="77777777" w:rsidR="00BA713F" w:rsidRPr="00792B36" w:rsidRDefault="00BA713F" w:rsidP="00BA713F">
      <w:pPr>
        <w:spacing w:line="360" w:lineRule="auto"/>
        <w:contextualSpacing/>
        <w:jc w:val="thaiDistribute"/>
        <w:rPr>
          <w:color w:val="000000" w:themeColor="text1"/>
          <w:sz w:val="24"/>
          <w:szCs w:val="24"/>
        </w:rPr>
      </w:pPr>
    </w:p>
    <w:p w14:paraId="108DB5A4" w14:textId="77777777" w:rsidR="00BA713F" w:rsidRPr="00792B36" w:rsidRDefault="00BA713F" w:rsidP="00BA713F">
      <w:pPr>
        <w:spacing w:line="360" w:lineRule="auto"/>
        <w:contextualSpacing/>
        <w:jc w:val="thaiDistribute"/>
        <w:rPr>
          <w:color w:val="000000" w:themeColor="text1"/>
          <w:sz w:val="24"/>
          <w:szCs w:val="24"/>
        </w:rPr>
      </w:pPr>
    </w:p>
    <w:p w14:paraId="2B3579AC" w14:textId="77777777" w:rsidR="00BA713F" w:rsidRPr="00792B36" w:rsidRDefault="00BA713F" w:rsidP="00BA713F">
      <w:pPr>
        <w:spacing w:line="360" w:lineRule="auto"/>
        <w:contextualSpacing/>
        <w:jc w:val="thaiDistribute"/>
        <w:rPr>
          <w:color w:val="000000" w:themeColor="text1"/>
          <w:sz w:val="24"/>
          <w:szCs w:val="24"/>
        </w:rPr>
      </w:pPr>
    </w:p>
    <w:p w14:paraId="5D4D1B35" w14:textId="77777777" w:rsidR="00BA713F" w:rsidRPr="00792B36" w:rsidRDefault="00BA713F" w:rsidP="00BA713F">
      <w:pPr>
        <w:spacing w:line="360" w:lineRule="auto"/>
        <w:contextualSpacing/>
        <w:jc w:val="thaiDistribute"/>
        <w:rPr>
          <w:color w:val="000000" w:themeColor="text1"/>
          <w:sz w:val="24"/>
          <w:szCs w:val="24"/>
        </w:rPr>
      </w:pPr>
    </w:p>
    <w:p w14:paraId="615757C3" w14:textId="77777777" w:rsidR="00BA713F" w:rsidRPr="00792B36" w:rsidRDefault="00BA713F" w:rsidP="00BA713F">
      <w:pPr>
        <w:spacing w:line="360" w:lineRule="auto"/>
        <w:contextualSpacing/>
        <w:rPr>
          <w:b/>
          <w:bCs/>
          <w:color w:val="000000" w:themeColor="text1"/>
          <w:sz w:val="24"/>
          <w:szCs w:val="24"/>
        </w:rPr>
      </w:pPr>
      <w:r w:rsidRPr="00792B36">
        <w:rPr>
          <w:b/>
          <w:bCs/>
          <w:color w:val="000000" w:themeColor="text1"/>
          <w:sz w:val="24"/>
          <w:szCs w:val="24"/>
        </w:rPr>
        <w:lastRenderedPageBreak/>
        <w:t>Glossary</w:t>
      </w:r>
    </w:p>
    <w:tbl>
      <w:tblPr>
        <w:tblW w:w="9027" w:type="dxa"/>
        <w:tblCellMar>
          <w:left w:w="0" w:type="dxa"/>
          <w:right w:w="0" w:type="dxa"/>
        </w:tblCellMar>
        <w:tblLook w:val="04A0" w:firstRow="1" w:lastRow="0" w:firstColumn="1" w:lastColumn="0" w:noHBand="0" w:noVBand="1"/>
      </w:tblPr>
      <w:tblGrid>
        <w:gridCol w:w="2127"/>
        <w:gridCol w:w="6900"/>
      </w:tblGrid>
      <w:tr w:rsidR="00BA713F" w:rsidRPr="00792B36" w14:paraId="763E63F8" w14:textId="77777777" w:rsidTr="0096560E">
        <w:trPr>
          <w:trHeight w:val="315"/>
        </w:trPr>
        <w:tc>
          <w:tcPr>
            <w:tcW w:w="2127" w:type="dxa"/>
            <w:tcMar>
              <w:top w:w="30" w:type="dxa"/>
              <w:left w:w="45" w:type="dxa"/>
              <w:bottom w:w="30" w:type="dxa"/>
              <w:right w:w="45" w:type="dxa"/>
            </w:tcMar>
            <w:hideMark/>
          </w:tcPr>
          <w:p w14:paraId="6ECEC820" w14:textId="77777777" w:rsidR="00BA713F" w:rsidRPr="00792B36" w:rsidRDefault="00BA713F" w:rsidP="0096560E">
            <w:pPr>
              <w:spacing w:line="360" w:lineRule="auto"/>
              <w:contextualSpacing/>
              <w:rPr>
                <w:color w:val="000000" w:themeColor="text1"/>
                <w:sz w:val="24"/>
                <w:szCs w:val="24"/>
              </w:rPr>
            </w:pPr>
            <w:r w:rsidRPr="00792B36">
              <w:rPr>
                <w:color w:val="000000" w:themeColor="text1"/>
                <w:sz w:val="24"/>
                <w:szCs w:val="24"/>
              </w:rPr>
              <w:t>Composite Risk Index (CRI)</w:t>
            </w:r>
          </w:p>
        </w:tc>
        <w:tc>
          <w:tcPr>
            <w:tcW w:w="6900" w:type="dxa"/>
            <w:tcMar>
              <w:top w:w="30" w:type="dxa"/>
              <w:left w:w="0" w:type="dxa"/>
              <w:bottom w:w="30" w:type="dxa"/>
              <w:right w:w="0" w:type="dxa"/>
            </w:tcMar>
            <w:hideMark/>
          </w:tcPr>
          <w:p w14:paraId="0DE0703C" w14:textId="77777777" w:rsidR="00BA713F" w:rsidRPr="00792B36" w:rsidRDefault="00BA713F" w:rsidP="0096560E">
            <w:pPr>
              <w:spacing w:line="360" w:lineRule="auto"/>
              <w:contextualSpacing/>
              <w:jc w:val="thaiDistribute"/>
              <w:rPr>
                <w:color w:val="000000" w:themeColor="text1"/>
                <w:sz w:val="24"/>
                <w:szCs w:val="24"/>
              </w:rPr>
            </w:pPr>
            <w:r w:rsidRPr="00792B36">
              <w:rPr>
                <w:color w:val="000000" w:themeColor="text1"/>
                <w:sz w:val="24"/>
                <w:szCs w:val="24"/>
              </w:rPr>
              <w:t>An index constructed by integrating metrics of risk magnitude and risk intensity to diagnose and rank the risk levels of coastal areas, which subsequently informs the prioritization of management measures.</w:t>
            </w:r>
          </w:p>
        </w:tc>
      </w:tr>
      <w:tr w:rsidR="00BA713F" w:rsidRPr="00792B36" w14:paraId="4CD11944" w14:textId="77777777" w:rsidTr="0096560E">
        <w:trPr>
          <w:trHeight w:val="315"/>
        </w:trPr>
        <w:tc>
          <w:tcPr>
            <w:tcW w:w="2127" w:type="dxa"/>
            <w:tcMar>
              <w:top w:w="30" w:type="dxa"/>
              <w:left w:w="45" w:type="dxa"/>
              <w:bottom w:w="30" w:type="dxa"/>
              <w:right w:w="45" w:type="dxa"/>
            </w:tcMar>
            <w:hideMark/>
          </w:tcPr>
          <w:p w14:paraId="528E0772" w14:textId="77777777" w:rsidR="00BA713F" w:rsidRPr="00792B36" w:rsidRDefault="00BA713F" w:rsidP="0096560E">
            <w:pPr>
              <w:spacing w:line="360" w:lineRule="auto"/>
              <w:contextualSpacing/>
              <w:rPr>
                <w:color w:val="000000" w:themeColor="text1"/>
                <w:sz w:val="24"/>
                <w:szCs w:val="24"/>
              </w:rPr>
            </w:pPr>
            <w:r w:rsidRPr="00792B36">
              <w:rPr>
                <w:color w:val="000000" w:themeColor="text1"/>
                <w:sz w:val="24"/>
                <w:szCs w:val="24"/>
              </w:rPr>
              <w:t>DCCE</w:t>
            </w:r>
          </w:p>
        </w:tc>
        <w:tc>
          <w:tcPr>
            <w:tcW w:w="6900" w:type="dxa"/>
            <w:tcMar>
              <w:top w:w="30" w:type="dxa"/>
              <w:left w:w="0" w:type="dxa"/>
              <w:bottom w:w="30" w:type="dxa"/>
              <w:right w:w="0" w:type="dxa"/>
            </w:tcMar>
            <w:hideMark/>
          </w:tcPr>
          <w:p w14:paraId="2DC07EE6" w14:textId="77777777" w:rsidR="00BA713F" w:rsidRPr="00792B36" w:rsidRDefault="00BA713F" w:rsidP="0096560E">
            <w:pPr>
              <w:spacing w:line="360" w:lineRule="auto"/>
              <w:contextualSpacing/>
              <w:jc w:val="thaiDistribute"/>
              <w:rPr>
                <w:color w:val="000000" w:themeColor="text1"/>
                <w:sz w:val="24"/>
                <w:szCs w:val="24"/>
              </w:rPr>
            </w:pPr>
            <w:r w:rsidRPr="00792B36">
              <w:rPr>
                <w:color w:val="000000" w:themeColor="text1"/>
                <w:sz w:val="24"/>
                <w:szCs w:val="24"/>
              </w:rPr>
              <w:t>Department of Climate Change and Environment; the primary government agency in Thailand responsible for climate policy and environmental management.</w:t>
            </w:r>
          </w:p>
        </w:tc>
      </w:tr>
      <w:tr w:rsidR="00BA713F" w:rsidRPr="00792B36" w14:paraId="073C6DA5" w14:textId="77777777" w:rsidTr="0096560E">
        <w:trPr>
          <w:trHeight w:val="315"/>
        </w:trPr>
        <w:tc>
          <w:tcPr>
            <w:tcW w:w="2127" w:type="dxa"/>
            <w:tcMar>
              <w:top w:w="30" w:type="dxa"/>
              <w:left w:w="45" w:type="dxa"/>
              <w:bottom w:w="30" w:type="dxa"/>
              <w:right w:w="45" w:type="dxa"/>
            </w:tcMar>
            <w:hideMark/>
          </w:tcPr>
          <w:p w14:paraId="0CC32C22" w14:textId="77777777" w:rsidR="00BA713F" w:rsidRPr="00792B36" w:rsidRDefault="00BA713F" w:rsidP="0096560E">
            <w:pPr>
              <w:spacing w:line="360" w:lineRule="auto"/>
              <w:contextualSpacing/>
              <w:rPr>
                <w:color w:val="000000" w:themeColor="text1"/>
                <w:sz w:val="24"/>
                <w:szCs w:val="24"/>
              </w:rPr>
            </w:pPr>
            <w:r w:rsidRPr="00792B36">
              <w:rPr>
                <w:color w:val="000000" w:themeColor="text1"/>
                <w:sz w:val="24"/>
                <w:szCs w:val="24"/>
              </w:rPr>
              <w:t>Eastern Economic Corridor (EEC)</w:t>
            </w:r>
          </w:p>
        </w:tc>
        <w:tc>
          <w:tcPr>
            <w:tcW w:w="6900" w:type="dxa"/>
            <w:tcMar>
              <w:top w:w="30" w:type="dxa"/>
              <w:left w:w="0" w:type="dxa"/>
              <w:bottom w:w="30" w:type="dxa"/>
              <w:right w:w="0" w:type="dxa"/>
            </w:tcMar>
            <w:hideMark/>
          </w:tcPr>
          <w:p w14:paraId="3680D371" w14:textId="77777777" w:rsidR="00BA713F" w:rsidRPr="00792B36" w:rsidRDefault="00BA713F" w:rsidP="0096560E">
            <w:pPr>
              <w:spacing w:line="360" w:lineRule="auto"/>
              <w:contextualSpacing/>
              <w:jc w:val="thaiDistribute"/>
              <w:rPr>
                <w:color w:val="000000" w:themeColor="text1"/>
                <w:sz w:val="24"/>
                <w:szCs w:val="24"/>
              </w:rPr>
            </w:pPr>
            <w:r w:rsidRPr="00792B36">
              <w:rPr>
                <w:color w:val="000000" w:themeColor="text1"/>
                <w:sz w:val="24"/>
                <w:szCs w:val="24"/>
              </w:rPr>
              <w:t>A special economic zone in eastern Thailand (Chonburi, Rayong, and Chachoengsao provinces) designed to be the nation's leading economic hub for trade, investment, and innovation.</w:t>
            </w:r>
          </w:p>
        </w:tc>
      </w:tr>
      <w:tr w:rsidR="00BA713F" w:rsidRPr="00792B36" w14:paraId="37C024F9" w14:textId="77777777" w:rsidTr="0096560E">
        <w:trPr>
          <w:trHeight w:val="315"/>
        </w:trPr>
        <w:tc>
          <w:tcPr>
            <w:tcW w:w="2127" w:type="dxa"/>
            <w:tcMar>
              <w:top w:w="30" w:type="dxa"/>
              <w:left w:w="45" w:type="dxa"/>
              <w:bottom w:w="30" w:type="dxa"/>
              <w:right w:w="45" w:type="dxa"/>
            </w:tcMar>
            <w:hideMark/>
          </w:tcPr>
          <w:p w14:paraId="34471361" w14:textId="77777777" w:rsidR="00BA713F" w:rsidRPr="00792B36" w:rsidRDefault="00BA713F" w:rsidP="0096560E">
            <w:pPr>
              <w:spacing w:line="360" w:lineRule="auto"/>
              <w:contextualSpacing/>
              <w:rPr>
                <w:color w:val="000000" w:themeColor="text1"/>
                <w:sz w:val="24"/>
                <w:szCs w:val="24"/>
              </w:rPr>
            </w:pPr>
            <w:r w:rsidRPr="00792B36">
              <w:rPr>
                <w:color w:val="000000" w:themeColor="text1"/>
                <w:sz w:val="24"/>
                <w:szCs w:val="24"/>
              </w:rPr>
              <w:t>EbA</w:t>
            </w:r>
          </w:p>
        </w:tc>
        <w:tc>
          <w:tcPr>
            <w:tcW w:w="6900" w:type="dxa"/>
            <w:tcMar>
              <w:top w:w="30" w:type="dxa"/>
              <w:left w:w="0" w:type="dxa"/>
              <w:bottom w:w="30" w:type="dxa"/>
              <w:right w:w="0" w:type="dxa"/>
            </w:tcMar>
            <w:hideMark/>
          </w:tcPr>
          <w:p w14:paraId="25BF522C" w14:textId="77777777" w:rsidR="00BA713F" w:rsidRPr="00792B36" w:rsidRDefault="00BA713F" w:rsidP="0096560E">
            <w:pPr>
              <w:spacing w:line="360" w:lineRule="auto"/>
              <w:contextualSpacing/>
              <w:jc w:val="thaiDistribute"/>
              <w:rPr>
                <w:color w:val="000000" w:themeColor="text1"/>
                <w:sz w:val="24"/>
                <w:szCs w:val="24"/>
              </w:rPr>
            </w:pPr>
            <w:r w:rsidRPr="00792B36">
              <w:rPr>
                <w:color w:val="000000" w:themeColor="text1"/>
                <w:sz w:val="24"/>
                <w:szCs w:val="24"/>
              </w:rPr>
              <w:t>Ecosystem-based Adaptation; the use of biodiversity and ecosystem services as part of an overall adaptation strategy to help people adapt to the adverse effects of climate change.</w:t>
            </w:r>
          </w:p>
        </w:tc>
      </w:tr>
      <w:tr w:rsidR="00BA713F" w:rsidRPr="00792B36" w14:paraId="60A8B0E0" w14:textId="77777777" w:rsidTr="0096560E">
        <w:trPr>
          <w:trHeight w:val="315"/>
        </w:trPr>
        <w:tc>
          <w:tcPr>
            <w:tcW w:w="2127" w:type="dxa"/>
            <w:tcMar>
              <w:top w:w="30" w:type="dxa"/>
              <w:left w:w="45" w:type="dxa"/>
              <w:bottom w:w="30" w:type="dxa"/>
              <w:right w:w="45" w:type="dxa"/>
            </w:tcMar>
            <w:hideMark/>
          </w:tcPr>
          <w:p w14:paraId="615726C4" w14:textId="77777777" w:rsidR="00BA713F" w:rsidRPr="00792B36" w:rsidRDefault="00BA713F" w:rsidP="0096560E">
            <w:pPr>
              <w:spacing w:line="360" w:lineRule="auto"/>
              <w:contextualSpacing/>
              <w:rPr>
                <w:color w:val="000000" w:themeColor="text1"/>
                <w:sz w:val="24"/>
                <w:szCs w:val="24"/>
              </w:rPr>
            </w:pPr>
            <w:r w:rsidRPr="00792B36">
              <w:rPr>
                <w:color w:val="000000" w:themeColor="text1"/>
                <w:sz w:val="24"/>
                <w:szCs w:val="24"/>
              </w:rPr>
              <w:t>EM-DAT</w:t>
            </w:r>
          </w:p>
        </w:tc>
        <w:tc>
          <w:tcPr>
            <w:tcW w:w="6900" w:type="dxa"/>
            <w:tcMar>
              <w:top w:w="30" w:type="dxa"/>
              <w:left w:w="0" w:type="dxa"/>
              <w:bottom w:w="30" w:type="dxa"/>
              <w:right w:w="0" w:type="dxa"/>
            </w:tcMar>
            <w:hideMark/>
          </w:tcPr>
          <w:p w14:paraId="677723E3" w14:textId="77777777" w:rsidR="00BA713F" w:rsidRPr="00792B36" w:rsidRDefault="00BA713F" w:rsidP="0096560E">
            <w:pPr>
              <w:spacing w:line="360" w:lineRule="auto"/>
              <w:contextualSpacing/>
              <w:jc w:val="thaiDistribute"/>
              <w:rPr>
                <w:color w:val="000000" w:themeColor="text1"/>
                <w:sz w:val="24"/>
                <w:szCs w:val="24"/>
              </w:rPr>
            </w:pPr>
            <w:r w:rsidRPr="00792B36">
              <w:rPr>
                <w:color w:val="000000" w:themeColor="text1"/>
                <w:sz w:val="24"/>
                <w:szCs w:val="24"/>
              </w:rPr>
              <w:t>Emergency Events Database; a global database on natural and technological disasters maintained by the Centre for Research on the Epidemiology of Disasters (CRED).</w:t>
            </w:r>
          </w:p>
        </w:tc>
      </w:tr>
      <w:tr w:rsidR="00BA713F" w:rsidRPr="00792B36" w14:paraId="631A60BD" w14:textId="77777777" w:rsidTr="0096560E">
        <w:trPr>
          <w:trHeight w:val="315"/>
        </w:trPr>
        <w:tc>
          <w:tcPr>
            <w:tcW w:w="2127" w:type="dxa"/>
            <w:tcMar>
              <w:top w:w="30" w:type="dxa"/>
              <w:left w:w="45" w:type="dxa"/>
              <w:bottom w:w="30" w:type="dxa"/>
              <w:right w:w="45" w:type="dxa"/>
            </w:tcMar>
            <w:hideMark/>
          </w:tcPr>
          <w:p w14:paraId="4296736B" w14:textId="77777777" w:rsidR="00BA713F" w:rsidRPr="00792B36" w:rsidRDefault="00BA713F" w:rsidP="0096560E">
            <w:pPr>
              <w:spacing w:line="360" w:lineRule="auto"/>
              <w:contextualSpacing/>
              <w:rPr>
                <w:color w:val="000000" w:themeColor="text1"/>
                <w:sz w:val="24"/>
                <w:szCs w:val="24"/>
              </w:rPr>
            </w:pPr>
            <w:r w:rsidRPr="00792B36">
              <w:rPr>
                <w:color w:val="000000" w:themeColor="text1"/>
                <w:sz w:val="24"/>
                <w:szCs w:val="24"/>
              </w:rPr>
              <w:t>GDP</w:t>
            </w:r>
          </w:p>
        </w:tc>
        <w:tc>
          <w:tcPr>
            <w:tcW w:w="6900" w:type="dxa"/>
            <w:tcMar>
              <w:top w:w="30" w:type="dxa"/>
              <w:left w:w="0" w:type="dxa"/>
              <w:bottom w:w="30" w:type="dxa"/>
              <w:right w:w="0" w:type="dxa"/>
            </w:tcMar>
            <w:hideMark/>
          </w:tcPr>
          <w:p w14:paraId="20D694E2" w14:textId="77777777" w:rsidR="00BA713F" w:rsidRPr="00792B36" w:rsidRDefault="00BA713F" w:rsidP="0096560E">
            <w:pPr>
              <w:spacing w:line="360" w:lineRule="auto"/>
              <w:contextualSpacing/>
              <w:jc w:val="thaiDistribute"/>
              <w:rPr>
                <w:color w:val="000000" w:themeColor="text1"/>
                <w:sz w:val="24"/>
                <w:szCs w:val="24"/>
              </w:rPr>
            </w:pPr>
            <w:r w:rsidRPr="00792B36">
              <w:rPr>
                <w:color w:val="000000" w:themeColor="text1"/>
                <w:sz w:val="24"/>
                <w:szCs w:val="24"/>
              </w:rPr>
              <w:t>Gross Domestic Product; the total monetary or market value of all the finished goods and services produced within a country's borders in a specific time period.</w:t>
            </w:r>
          </w:p>
        </w:tc>
      </w:tr>
      <w:tr w:rsidR="00BA713F" w:rsidRPr="00792B36" w14:paraId="3CF335B4" w14:textId="77777777" w:rsidTr="0096560E">
        <w:trPr>
          <w:trHeight w:val="315"/>
        </w:trPr>
        <w:tc>
          <w:tcPr>
            <w:tcW w:w="2127" w:type="dxa"/>
            <w:tcMar>
              <w:top w:w="30" w:type="dxa"/>
              <w:left w:w="45" w:type="dxa"/>
              <w:bottom w:w="30" w:type="dxa"/>
              <w:right w:w="45" w:type="dxa"/>
            </w:tcMar>
            <w:hideMark/>
          </w:tcPr>
          <w:p w14:paraId="05FE2D2C" w14:textId="77777777" w:rsidR="00BA713F" w:rsidRPr="00792B36" w:rsidRDefault="00BA713F" w:rsidP="0096560E">
            <w:pPr>
              <w:spacing w:line="360" w:lineRule="auto"/>
              <w:contextualSpacing/>
              <w:rPr>
                <w:color w:val="000000" w:themeColor="text1"/>
                <w:sz w:val="24"/>
                <w:szCs w:val="24"/>
              </w:rPr>
            </w:pPr>
            <w:r w:rsidRPr="00792B36">
              <w:rPr>
                <w:color w:val="000000" w:themeColor="text1"/>
                <w:sz w:val="24"/>
                <w:szCs w:val="24"/>
              </w:rPr>
              <w:t>GHG</w:t>
            </w:r>
          </w:p>
        </w:tc>
        <w:tc>
          <w:tcPr>
            <w:tcW w:w="6900" w:type="dxa"/>
            <w:tcMar>
              <w:top w:w="30" w:type="dxa"/>
              <w:left w:w="0" w:type="dxa"/>
              <w:bottom w:w="30" w:type="dxa"/>
              <w:right w:w="0" w:type="dxa"/>
            </w:tcMar>
            <w:hideMark/>
          </w:tcPr>
          <w:p w14:paraId="0317A3CA" w14:textId="77777777" w:rsidR="00BA713F" w:rsidRPr="00792B36" w:rsidRDefault="00BA713F" w:rsidP="0096560E">
            <w:pPr>
              <w:spacing w:line="360" w:lineRule="auto"/>
              <w:contextualSpacing/>
              <w:jc w:val="thaiDistribute"/>
              <w:rPr>
                <w:color w:val="000000" w:themeColor="text1"/>
                <w:sz w:val="24"/>
                <w:szCs w:val="24"/>
              </w:rPr>
            </w:pPr>
            <w:r w:rsidRPr="00792B36">
              <w:rPr>
                <w:color w:val="000000" w:themeColor="text1"/>
                <w:sz w:val="24"/>
                <w:szCs w:val="24"/>
              </w:rPr>
              <w:t>Greenhouse Gas; gases in the earth's atmosphere that trap heat, such as carbon dioxide (CO</w:t>
            </w:r>
            <w:r w:rsidRPr="00792B36">
              <w:rPr>
                <w:color w:val="000000" w:themeColor="text1"/>
                <w:sz w:val="24"/>
                <w:szCs w:val="24"/>
                <w:vertAlign w:val="subscript"/>
              </w:rPr>
              <w:t>2</w:t>
            </w:r>
            <w:r w:rsidRPr="00792B36">
              <w:rPr>
                <w:color w:val="000000" w:themeColor="text1"/>
                <w:sz w:val="24"/>
                <w:szCs w:val="24"/>
              </w:rPr>
              <w:t>​) and methane (CH</w:t>
            </w:r>
            <w:r w:rsidRPr="00792B36">
              <w:rPr>
                <w:color w:val="000000" w:themeColor="text1"/>
                <w:sz w:val="24"/>
                <w:szCs w:val="24"/>
                <w:vertAlign w:val="subscript"/>
              </w:rPr>
              <w:t>4</w:t>
            </w:r>
            <w:r w:rsidRPr="00792B36">
              <w:rPr>
                <w:color w:val="000000" w:themeColor="text1"/>
                <w:sz w:val="24"/>
                <w:szCs w:val="24"/>
              </w:rPr>
              <w:t>​), contributing to the greenhouse effect.</w:t>
            </w:r>
          </w:p>
        </w:tc>
      </w:tr>
      <w:tr w:rsidR="00BA713F" w:rsidRPr="00792B36" w14:paraId="4B57F302" w14:textId="77777777" w:rsidTr="0096560E">
        <w:trPr>
          <w:trHeight w:val="315"/>
        </w:trPr>
        <w:tc>
          <w:tcPr>
            <w:tcW w:w="2127" w:type="dxa"/>
            <w:tcMar>
              <w:top w:w="30" w:type="dxa"/>
              <w:left w:w="45" w:type="dxa"/>
              <w:bottom w:w="30" w:type="dxa"/>
              <w:right w:w="45" w:type="dxa"/>
            </w:tcMar>
            <w:hideMark/>
          </w:tcPr>
          <w:p w14:paraId="59601282" w14:textId="77777777" w:rsidR="00BA713F" w:rsidRPr="00792B36" w:rsidRDefault="00BA713F" w:rsidP="0096560E">
            <w:pPr>
              <w:spacing w:line="360" w:lineRule="auto"/>
              <w:contextualSpacing/>
              <w:rPr>
                <w:color w:val="000000" w:themeColor="text1"/>
                <w:sz w:val="24"/>
                <w:szCs w:val="24"/>
              </w:rPr>
            </w:pPr>
            <w:r w:rsidRPr="00792B36">
              <w:rPr>
                <w:color w:val="000000" w:themeColor="text1"/>
                <w:sz w:val="24"/>
                <w:szCs w:val="24"/>
              </w:rPr>
              <w:t>GPP</w:t>
            </w:r>
          </w:p>
        </w:tc>
        <w:tc>
          <w:tcPr>
            <w:tcW w:w="6900" w:type="dxa"/>
            <w:tcMar>
              <w:top w:w="30" w:type="dxa"/>
              <w:left w:w="0" w:type="dxa"/>
              <w:bottom w:w="30" w:type="dxa"/>
              <w:right w:w="0" w:type="dxa"/>
            </w:tcMar>
            <w:hideMark/>
          </w:tcPr>
          <w:p w14:paraId="55B2E715" w14:textId="77777777" w:rsidR="00BA713F" w:rsidRPr="00792B36" w:rsidRDefault="00BA713F" w:rsidP="0096560E">
            <w:pPr>
              <w:spacing w:line="360" w:lineRule="auto"/>
              <w:contextualSpacing/>
              <w:jc w:val="thaiDistribute"/>
              <w:rPr>
                <w:color w:val="000000" w:themeColor="text1"/>
                <w:sz w:val="24"/>
                <w:szCs w:val="24"/>
              </w:rPr>
            </w:pPr>
            <w:r w:rsidRPr="00792B36">
              <w:rPr>
                <w:color w:val="000000" w:themeColor="text1"/>
                <w:sz w:val="24"/>
                <w:szCs w:val="24"/>
              </w:rPr>
              <w:t>Gross Provincial Product; the total economic value of all final goods and services produced within a specific province during a given period.</w:t>
            </w:r>
          </w:p>
        </w:tc>
      </w:tr>
      <w:tr w:rsidR="00BA713F" w:rsidRPr="00792B36" w14:paraId="56F6470F" w14:textId="77777777" w:rsidTr="0096560E">
        <w:trPr>
          <w:trHeight w:val="315"/>
        </w:trPr>
        <w:tc>
          <w:tcPr>
            <w:tcW w:w="2127" w:type="dxa"/>
            <w:tcMar>
              <w:top w:w="30" w:type="dxa"/>
              <w:left w:w="45" w:type="dxa"/>
              <w:bottom w:w="30" w:type="dxa"/>
              <w:right w:w="45" w:type="dxa"/>
            </w:tcMar>
            <w:hideMark/>
          </w:tcPr>
          <w:p w14:paraId="08128087" w14:textId="77777777" w:rsidR="00BA713F" w:rsidRPr="00792B36" w:rsidRDefault="00BA713F" w:rsidP="0096560E">
            <w:pPr>
              <w:spacing w:line="360" w:lineRule="auto"/>
              <w:contextualSpacing/>
              <w:rPr>
                <w:color w:val="000000" w:themeColor="text1"/>
                <w:sz w:val="24"/>
                <w:szCs w:val="24"/>
              </w:rPr>
            </w:pPr>
            <w:r w:rsidRPr="00792B36">
              <w:rPr>
                <w:color w:val="000000" w:themeColor="text1"/>
                <w:sz w:val="24"/>
                <w:szCs w:val="24"/>
              </w:rPr>
              <w:t>HDI</w:t>
            </w:r>
          </w:p>
        </w:tc>
        <w:tc>
          <w:tcPr>
            <w:tcW w:w="6900" w:type="dxa"/>
            <w:tcMar>
              <w:top w:w="30" w:type="dxa"/>
              <w:left w:w="0" w:type="dxa"/>
              <w:bottom w:w="30" w:type="dxa"/>
              <w:right w:w="0" w:type="dxa"/>
            </w:tcMar>
            <w:hideMark/>
          </w:tcPr>
          <w:p w14:paraId="48D964A1" w14:textId="77777777" w:rsidR="00BA713F" w:rsidRPr="00792B36" w:rsidRDefault="00BA713F" w:rsidP="0096560E">
            <w:pPr>
              <w:spacing w:line="360" w:lineRule="auto"/>
              <w:contextualSpacing/>
              <w:jc w:val="thaiDistribute"/>
              <w:rPr>
                <w:color w:val="000000" w:themeColor="text1"/>
                <w:sz w:val="24"/>
                <w:szCs w:val="24"/>
              </w:rPr>
            </w:pPr>
            <w:r w:rsidRPr="00792B36">
              <w:rPr>
                <w:color w:val="000000" w:themeColor="text1"/>
                <w:sz w:val="24"/>
                <w:szCs w:val="24"/>
              </w:rPr>
              <w:t>Human Development Index; a statistical composite index of life expectancy, education, and per capita income indicators, used to measure key dimensions of human development.</w:t>
            </w:r>
          </w:p>
        </w:tc>
      </w:tr>
      <w:tr w:rsidR="00BA713F" w:rsidRPr="00792B36" w14:paraId="357FFF93" w14:textId="77777777" w:rsidTr="0096560E">
        <w:trPr>
          <w:trHeight w:val="315"/>
        </w:trPr>
        <w:tc>
          <w:tcPr>
            <w:tcW w:w="2127" w:type="dxa"/>
            <w:tcMar>
              <w:top w:w="30" w:type="dxa"/>
              <w:left w:w="45" w:type="dxa"/>
              <w:bottom w:w="30" w:type="dxa"/>
              <w:right w:w="45" w:type="dxa"/>
            </w:tcMar>
            <w:hideMark/>
          </w:tcPr>
          <w:p w14:paraId="4110EABB" w14:textId="77777777" w:rsidR="00BA713F" w:rsidRPr="00792B36" w:rsidRDefault="00BA713F" w:rsidP="0096560E">
            <w:pPr>
              <w:spacing w:line="360" w:lineRule="auto"/>
              <w:contextualSpacing/>
              <w:rPr>
                <w:color w:val="000000" w:themeColor="text1"/>
                <w:sz w:val="24"/>
                <w:szCs w:val="24"/>
              </w:rPr>
            </w:pPr>
            <w:r w:rsidRPr="00792B36">
              <w:rPr>
                <w:color w:val="000000" w:themeColor="text1"/>
                <w:sz w:val="24"/>
                <w:szCs w:val="24"/>
              </w:rPr>
              <w:t>Hybrid Risk</w:t>
            </w:r>
          </w:p>
        </w:tc>
        <w:tc>
          <w:tcPr>
            <w:tcW w:w="6900" w:type="dxa"/>
            <w:tcMar>
              <w:top w:w="30" w:type="dxa"/>
              <w:left w:w="0" w:type="dxa"/>
              <w:bottom w:w="30" w:type="dxa"/>
              <w:right w:w="0" w:type="dxa"/>
            </w:tcMar>
            <w:hideMark/>
          </w:tcPr>
          <w:p w14:paraId="4109F16F" w14:textId="77777777" w:rsidR="00BA713F" w:rsidRPr="00792B36" w:rsidRDefault="00BA713F" w:rsidP="0096560E">
            <w:pPr>
              <w:spacing w:line="360" w:lineRule="auto"/>
              <w:contextualSpacing/>
              <w:jc w:val="thaiDistribute"/>
              <w:rPr>
                <w:color w:val="000000" w:themeColor="text1"/>
                <w:sz w:val="24"/>
                <w:szCs w:val="24"/>
              </w:rPr>
            </w:pPr>
            <w:r w:rsidRPr="00792B36">
              <w:rPr>
                <w:color w:val="000000" w:themeColor="text1"/>
                <w:sz w:val="24"/>
                <w:szCs w:val="24"/>
              </w:rPr>
              <w:t>A risk classification for areas that rank high in both risk magnitude and risk intensity, requiring the most integrated and comprehensive policy responses.</w:t>
            </w:r>
          </w:p>
        </w:tc>
      </w:tr>
      <w:tr w:rsidR="00BA713F" w:rsidRPr="00792B36" w14:paraId="484C1F77" w14:textId="77777777" w:rsidTr="0096560E">
        <w:trPr>
          <w:trHeight w:val="315"/>
        </w:trPr>
        <w:tc>
          <w:tcPr>
            <w:tcW w:w="2127" w:type="dxa"/>
            <w:tcMar>
              <w:top w:w="30" w:type="dxa"/>
              <w:left w:w="45" w:type="dxa"/>
              <w:bottom w:w="30" w:type="dxa"/>
              <w:right w:w="45" w:type="dxa"/>
            </w:tcMar>
            <w:hideMark/>
          </w:tcPr>
          <w:p w14:paraId="0A7C727D" w14:textId="77777777" w:rsidR="00BA713F" w:rsidRPr="00792B36" w:rsidRDefault="00BA713F" w:rsidP="0096560E">
            <w:pPr>
              <w:spacing w:line="360" w:lineRule="auto"/>
              <w:contextualSpacing/>
              <w:rPr>
                <w:color w:val="000000" w:themeColor="text1"/>
                <w:sz w:val="24"/>
                <w:szCs w:val="24"/>
              </w:rPr>
            </w:pPr>
            <w:r w:rsidRPr="00792B36">
              <w:rPr>
                <w:color w:val="000000" w:themeColor="text1"/>
                <w:sz w:val="24"/>
                <w:szCs w:val="24"/>
              </w:rPr>
              <w:lastRenderedPageBreak/>
              <w:t>IHDI</w:t>
            </w:r>
          </w:p>
        </w:tc>
        <w:tc>
          <w:tcPr>
            <w:tcW w:w="6900" w:type="dxa"/>
            <w:tcMar>
              <w:top w:w="30" w:type="dxa"/>
              <w:left w:w="0" w:type="dxa"/>
              <w:bottom w:w="30" w:type="dxa"/>
              <w:right w:w="0" w:type="dxa"/>
            </w:tcMar>
            <w:hideMark/>
          </w:tcPr>
          <w:p w14:paraId="6340CED8" w14:textId="77777777" w:rsidR="00BA713F" w:rsidRPr="00792B36" w:rsidRDefault="00BA713F" w:rsidP="0096560E">
            <w:pPr>
              <w:spacing w:line="360" w:lineRule="auto"/>
              <w:contextualSpacing/>
              <w:jc w:val="thaiDistribute"/>
              <w:rPr>
                <w:color w:val="000000" w:themeColor="text1"/>
                <w:sz w:val="24"/>
                <w:szCs w:val="24"/>
              </w:rPr>
            </w:pPr>
            <w:r w:rsidRPr="00792B36">
              <w:rPr>
                <w:color w:val="000000" w:themeColor="text1"/>
                <w:sz w:val="24"/>
                <w:szCs w:val="24"/>
              </w:rPr>
              <w:t>Inequality-adjusted Human Development Index; an index that combines a country's average achievements in health, education, and income with how those achievements are distributed among the population.</w:t>
            </w:r>
          </w:p>
        </w:tc>
      </w:tr>
      <w:tr w:rsidR="00BA713F" w:rsidRPr="00792B36" w14:paraId="1D37F994" w14:textId="77777777" w:rsidTr="0096560E">
        <w:trPr>
          <w:trHeight w:val="315"/>
        </w:trPr>
        <w:tc>
          <w:tcPr>
            <w:tcW w:w="2127" w:type="dxa"/>
            <w:tcMar>
              <w:top w:w="30" w:type="dxa"/>
              <w:left w:w="45" w:type="dxa"/>
              <w:bottom w:w="30" w:type="dxa"/>
              <w:right w:w="45" w:type="dxa"/>
            </w:tcMar>
            <w:hideMark/>
          </w:tcPr>
          <w:p w14:paraId="2B6000C2" w14:textId="77777777" w:rsidR="00BA713F" w:rsidRPr="00792B36" w:rsidRDefault="00BA713F" w:rsidP="0096560E">
            <w:pPr>
              <w:spacing w:line="360" w:lineRule="auto"/>
              <w:contextualSpacing/>
              <w:rPr>
                <w:color w:val="000000" w:themeColor="text1"/>
                <w:sz w:val="24"/>
                <w:szCs w:val="24"/>
              </w:rPr>
            </w:pPr>
            <w:r w:rsidRPr="00792B36">
              <w:rPr>
                <w:color w:val="000000" w:themeColor="text1"/>
                <w:sz w:val="24"/>
                <w:szCs w:val="24"/>
              </w:rPr>
              <w:t>Intensity Risk</w:t>
            </w:r>
          </w:p>
        </w:tc>
        <w:tc>
          <w:tcPr>
            <w:tcW w:w="6900" w:type="dxa"/>
            <w:tcMar>
              <w:top w:w="30" w:type="dxa"/>
              <w:left w:w="0" w:type="dxa"/>
              <w:bottom w:w="30" w:type="dxa"/>
              <w:right w:w="0" w:type="dxa"/>
            </w:tcMar>
            <w:hideMark/>
          </w:tcPr>
          <w:p w14:paraId="1D09D4DE" w14:textId="77777777" w:rsidR="00BA713F" w:rsidRPr="00792B36" w:rsidRDefault="00BA713F" w:rsidP="0096560E">
            <w:pPr>
              <w:spacing w:line="360" w:lineRule="auto"/>
              <w:contextualSpacing/>
              <w:jc w:val="thaiDistribute"/>
              <w:rPr>
                <w:color w:val="000000" w:themeColor="text1"/>
                <w:sz w:val="24"/>
                <w:szCs w:val="24"/>
              </w:rPr>
            </w:pPr>
            <w:r w:rsidRPr="00792B36">
              <w:rPr>
                <w:color w:val="000000" w:themeColor="text1"/>
                <w:sz w:val="24"/>
                <w:szCs w:val="24"/>
              </w:rPr>
              <w:t>A risk classification characterized by high economic density or concentrated asset value within a specific area (e.g., economic hubs), often requiring targeted spatial management.</w:t>
            </w:r>
          </w:p>
        </w:tc>
      </w:tr>
      <w:tr w:rsidR="00BA713F" w:rsidRPr="00792B36" w14:paraId="037B8156" w14:textId="77777777" w:rsidTr="0096560E">
        <w:trPr>
          <w:trHeight w:val="315"/>
        </w:trPr>
        <w:tc>
          <w:tcPr>
            <w:tcW w:w="2127" w:type="dxa"/>
            <w:tcMar>
              <w:top w:w="30" w:type="dxa"/>
              <w:left w:w="45" w:type="dxa"/>
              <w:bottom w:w="30" w:type="dxa"/>
              <w:right w:w="45" w:type="dxa"/>
            </w:tcMar>
            <w:hideMark/>
          </w:tcPr>
          <w:p w14:paraId="076E6DB3" w14:textId="77777777" w:rsidR="00BA713F" w:rsidRPr="00792B36" w:rsidRDefault="00BA713F" w:rsidP="0096560E">
            <w:pPr>
              <w:spacing w:line="360" w:lineRule="auto"/>
              <w:contextualSpacing/>
              <w:rPr>
                <w:color w:val="000000" w:themeColor="text1"/>
                <w:sz w:val="24"/>
                <w:szCs w:val="24"/>
              </w:rPr>
            </w:pPr>
            <w:r w:rsidRPr="00792B36">
              <w:rPr>
                <w:color w:val="000000" w:themeColor="text1"/>
                <w:sz w:val="24"/>
                <w:szCs w:val="24"/>
              </w:rPr>
              <w:t>Magnitude Risk</w:t>
            </w:r>
          </w:p>
        </w:tc>
        <w:tc>
          <w:tcPr>
            <w:tcW w:w="6900" w:type="dxa"/>
            <w:tcMar>
              <w:top w:w="30" w:type="dxa"/>
              <w:left w:w="0" w:type="dxa"/>
              <w:bottom w:w="30" w:type="dxa"/>
              <w:right w:w="0" w:type="dxa"/>
            </w:tcMar>
            <w:hideMark/>
          </w:tcPr>
          <w:p w14:paraId="327311B8" w14:textId="77777777" w:rsidR="00BA713F" w:rsidRPr="00792B36" w:rsidRDefault="00BA713F" w:rsidP="0096560E">
            <w:pPr>
              <w:spacing w:line="360" w:lineRule="auto"/>
              <w:contextualSpacing/>
              <w:jc w:val="thaiDistribute"/>
              <w:rPr>
                <w:color w:val="000000" w:themeColor="text1"/>
                <w:sz w:val="24"/>
                <w:szCs w:val="24"/>
              </w:rPr>
            </w:pPr>
            <w:r w:rsidRPr="00792B36">
              <w:rPr>
                <w:color w:val="000000" w:themeColor="text1"/>
                <w:sz w:val="24"/>
                <w:szCs w:val="24"/>
              </w:rPr>
              <w:t>A risk classification characterized by the broad geographic scale or large population size exposed to potential hazards, often requiring broad resource planning.</w:t>
            </w:r>
          </w:p>
        </w:tc>
      </w:tr>
      <w:tr w:rsidR="00BA713F" w:rsidRPr="00792B36" w14:paraId="2703221F" w14:textId="77777777" w:rsidTr="0096560E">
        <w:trPr>
          <w:trHeight w:val="315"/>
        </w:trPr>
        <w:tc>
          <w:tcPr>
            <w:tcW w:w="2127" w:type="dxa"/>
            <w:tcMar>
              <w:top w:w="30" w:type="dxa"/>
              <w:left w:w="45" w:type="dxa"/>
              <w:bottom w:w="30" w:type="dxa"/>
              <w:right w:w="45" w:type="dxa"/>
            </w:tcMar>
            <w:hideMark/>
          </w:tcPr>
          <w:p w14:paraId="341D6A47" w14:textId="77777777" w:rsidR="00BA713F" w:rsidRPr="00792B36" w:rsidRDefault="00BA713F" w:rsidP="0096560E">
            <w:pPr>
              <w:spacing w:line="360" w:lineRule="auto"/>
              <w:contextualSpacing/>
              <w:rPr>
                <w:color w:val="000000" w:themeColor="text1"/>
                <w:sz w:val="24"/>
                <w:szCs w:val="24"/>
              </w:rPr>
            </w:pPr>
            <w:r w:rsidRPr="00792B36">
              <w:rPr>
                <w:color w:val="000000" w:themeColor="text1"/>
                <w:sz w:val="24"/>
                <w:szCs w:val="24"/>
              </w:rPr>
              <w:t>NESDP</w:t>
            </w:r>
          </w:p>
        </w:tc>
        <w:tc>
          <w:tcPr>
            <w:tcW w:w="6900" w:type="dxa"/>
            <w:tcMar>
              <w:top w:w="30" w:type="dxa"/>
              <w:left w:w="0" w:type="dxa"/>
              <w:bottom w:w="30" w:type="dxa"/>
              <w:right w:w="0" w:type="dxa"/>
            </w:tcMar>
            <w:hideMark/>
          </w:tcPr>
          <w:p w14:paraId="6782FBCF" w14:textId="77777777" w:rsidR="00BA713F" w:rsidRPr="00792B36" w:rsidRDefault="00BA713F" w:rsidP="0096560E">
            <w:pPr>
              <w:spacing w:line="360" w:lineRule="auto"/>
              <w:contextualSpacing/>
              <w:jc w:val="thaiDistribute"/>
              <w:rPr>
                <w:color w:val="000000" w:themeColor="text1"/>
                <w:sz w:val="24"/>
                <w:szCs w:val="24"/>
              </w:rPr>
            </w:pPr>
            <w:r w:rsidRPr="00792B36">
              <w:rPr>
                <w:color w:val="000000" w:themeColor="text1"/>
                <w:sz w:val="24"/>
                <w:szCs w:val="24"/>
              </w:rPr>
              <w:t>National Economic and Social Development Plan; Thailand’s five-year national master plan for economic and social development.</w:t>
            </w:r>
          </w:p>
        </w:tc>
      </w:tr>
      <w:tr w:rsidR="00BA713F" w:rsidRPr="00792B36" w14:paraId="7A564822" w14:textId="77777777" w:rsidTr="0096560E">
        <w:trPr>
          <w:trHeight w:val="315"/>
        </w:trPr>
        <w:tc>
          <w:tcPr>
            <w:tcW w:w="2127" w:type="dxa"/>
            <w:tcMar>
              <w:top w:w="30" w:type="dxa"/>
              <w:left w:w="45" w:type="dxa"/>
              <w:bottom w:w="30" w:type="dxa"/>
              <w:right w:w="45" w:type="dxa"/>
            </w:tcMar>
            <w:hideMark/>
          </w:tcPr>
          <w:p w14:paraId="3E40C4A5" w14:textId="77777777" w:rsidR="00BA713F" w:rsidRPr="00792B36" w:rsidRDefault="00BA713F" w:rsidP="0096560E">
            <w:pPr>
              <w:spacing w:line="360" w:lineRule="auto"/>
              <w:contextualSpacing/>
              <w:rPr>
                <w:color w:val="000000" w:themeColor="text1"/>
                <w:sz w:val="24"/>
                <w:szCs w:val="24"/>
              </w:rPr>
            </w:pPr>
            <w:r w:rsidRPr="00792B36">
              <w:rPr>
                <w:color w:val="000000" w:themeColor="text1"/>
                <w:sz w:val="24"/>
                <w:szCs w:val="24"/>
              </w:rPr>
              <w:t>Pressure Index (PI)</w:t>
            </w:r>
          </w:p>
        </w:tc>
        <w:tc>
          <w:tcPr>
            <w:tcW w:w="6900" w:type="dxa"/>
            <w:tcMar>
              <w:top w:w="30" w:type="dxa"/>
              <w:left w:w="0" w:type="dxa"/>
              <w:bottom w:w="30" w:type="dxa"/>
              <w:right w:w="0" w:type="dxa"/>
            </w:tcMar>
            <w:hideMark/>
          </w:tcPr>
          <w:p w14:paraId="55C4CF6C" w14:textId="77777777" w:rsidR="00BA713F" w:rsidRPr="00792B36" w:rsidRDefault="00BA713F" w:rsidP="0096560E">
            <w:pPr>
              <w:spacing w:line="360" w:lineRule="auto"/>
              <w:contextualSpacing/>
              <w:jc w:val="thaiDistribute"/>
              <w:rPr>
                <w:color w:val="000000" w:themeColor="text1"/>
                <w:sz w:val="24"/>
                <w:szCs w:val="24"/>
              </w:rPr>
            </w:pPr>
            <w:r w:rsidRPr="00792B36">
              <w:rPr>
                <w:color w:val="000000" w:themeColor="text1"/>
                <w:sz w:val="24"/>
                <w:szCs w:val="24"/>
              </w:rPr>
              <w:t>An index that measures the intensity of human activities and their potential negative impacts on natural resources and ecosystems, calculated in this study using population count, household count, population density, and Gross Provincial Product (GPP).</w:t>
            </w:r>
          </w:p>
        </w:tc>
      </w:tr>
      <w:tr w:rsidR="00BA713F" w:rsidRPr="00792B36" w14:paraId="1375907E" w14:textId="77777777" w:rsidTr="0096560E">
        <w:trPr>
          <w:trHeight w:val="315"/>
        </w:trPr>
        <w:tc>
          <w:tcPr>
            <w:tcW w:w="2127" w:type="dxa"/>
            <w:tcMar>
              <w:top w:w="30" w:type="dxa"/>
              <w:left w:w="45" w:type="dxa"/>
              <w:bottom w:w="30" w:type="dxa"/>
              <w:right w:w="45" w:type="dxa"/>
            </w:tcMar>
            <w:hideMark/>
          </w:tcPr>
          <w:p w14:paraId="5B1A41C0" w14:textId="77777777" w:rsidR="00BA713F" w:rsidRPr="00792B36" w:rsidRDefault="00BA713F" w:rsidP="0096560E">
            <w:pPr>
              <w:spacing w:line="360" w:lineRule="auto"/>
              <w:contextualSpacing/>
              <w:rPr>
                <w:color w:val="000000" w:themeColor="text1"/>
                <w:sz w:val="24"/>
                <w:szCs w:val="24"/>
              </w:rPr>
            </w:pPr>
            <w:r w:rsidRPr="00792B36">
              <w:rPr>
                <w:color w:val="000000" w:themeColor="text1"/>
                <w:sz w:val="24"/>
                <w:szCs w:val="24"/>
              </w:rPr>
              <w:t>SDGs</w:t>
            </w:r>
          </w:p>
        </w:tc>
        <w:tc>
          <w:tcPr>
            <w:tcW w:w="6900" w:type="dxa"/>
            <w:tcMar>
              <w:top w:w="30" w:type="dxa"/>
              <w:left w:w="0" w:type="dxa"/>
              <w:bottom w:w="30" w:type="dxa"/>
              <w:right w:w="0" w:type="dxa"/>
            </w:tcMar>
            <w:hideMark/>
          </w:tcPr>
          <w:p w14:paraId="19595744" w14:textId="77777777" w:rsidR="00BA713F" w:rsidRPr="00792B36" w:rsidRDefault="00BA713F" w:rsidP="0096560E">
            <w:pPr>
              <w:spacing w:line="360" w:lineRule="auto"/>
              <w:contextualSpacing/>
              <w:jc w:val="thaiDistribute"/>
              <w:rPr>
                <w:color w:val="000000" w:themeColor="text1"/>
                <w:sz w:val="24"/>
                <w:szCs w:val="24"/>
              </w:rPr>
            </w:pPr>
            <w:r w:rsidRPr="00792B36">
              <w:rPr>
                <w:color w:val="000000" w:themeColor="text1"/>
                <w:sz w:val="24"/>
                <w:szCs w:val="24"/>
              </w:rPr>
              <w:t>Sustainable Development Goals; a collection of 17 interlinked global goals set by the United Nations to achieve a better and more sustainable future for all by 2030.</w:t>
            </w:r>
          </w:p>
        </w:tc>
      </w:tr>
      <w:tr w:rsidR="00BA713F" w:rsidRPr="00792B36" w14:paraId="779B0656" w14:textId="77777777" w:rsidTr="0096560E">
        <w:trPr>
          <w:trHeight w:val="315"/>
        </w:trPr>
        <w:tc>
          <w:tcPr>
            <w:tcW w:w="2127" w:type="dxa"/>
            <w:tcMar>
              <w:top w:w="30" w:type="dxa"/>
              <w:left w:w="45" w:type="dxa"/>
              <w:bottom w:w="30" w:type="dxa"/>
              <w:right w:w="45" w:type="dxa"/>
            </w:tcMar>
            <w:hideMark/>
          </w:tcPr>
          <w:p w14:paraId="2034DB83" w14:textId="77777777" w:rsidR="00BA713F" w:rsidRPr="00792B36" w:rsidRDefault="00BA713F" w:rsidP="0096560E">
            <w:pPr>
              <w:spacing w:line="360" w:lineRule="auto"/>
              <w:contextualSpacing/>
              <w:rPr>
                <w:color w:val="000000" w:themeColor="text1"/>
                <w:sz w:val="24"/>
                <w:szCs w:val="24"/>
              </w:rPr>
            </w:pPr>
            <w:r w:rsidRPr="00792B36">
              <w:rPr>
                <w:color w:val="000000" w:themeColor="text1"/>
                <w:sz w:val="24"/>
                <w:szCs w:val="24"/>
              </w:rPr>
              <w:t>TMD</w:t>
            </w:r>
          </w:p>
        </w:tc>
        <w:tc>
          <w:tcPr>
            <w:tcW w:w="6900" w:type="dxa"/>
            <w:tcMar>
              <w:top w:w="30" w:type="dxa"/>
              <w:left w:w="0" w:type="dxa"/>
              <w:bottom w:w="30" w:type="dxa"/>
              <w:right w:w="0" w:type="dxa"/>
            </w:tcMar>
            <w:hideMark/>
          </w:tcPr>
          <w:p w14:paraId="26D5EABC" w14:textId="77777777" w:rsidR="00BA713F" w:rsidRPr="00792B36" w:rsidRDefault="00BA713F" w:rsidP="0096560E">
            <w:pPr>
              <w:spacing w:line="360" w:lineRule="auto"/>
              <w:contextualSpacing/>
              <w:jc w:val="thaiDistribute"/>
              <w:rPr>
                <w:color w:val="000000" w:themeColor="text1"/>
                <w:sz w:val="24"/>
                <w:szCs w:val="24"/>
              </w:rPr>
            </w:pPr>
            <w:r w:rsidRPr="00792B36">
              <w:rPr>
                <w:color w:val="000000" w:themeColor="text1"/>
                <w:sz w:val="24"/>
                <w:szCs w:val="24"/>
              </w:rPr>
              <w:t>Thai Meteorological Department; the governmental agency responsible for weather forecasting and issuing warnings for hydrometeorological hazards in Thailand.</w:t>
            </w:r>
          </w:p>
        </w:tc>
      </w:tr>
      <w:tr w:rsidR="00BA713F" w:rsidRPr="00792B36" w14:paraId="5441376B" w14:textId="77777777" w:rsidTr="0096560E">
        <w:trPr>
          <w:trHeight w:val="315"/>
        </w:trPr>
        <w:tc>
          <w:tcPr>
            <w:tcW w:w="2127" w:type="dxa"/>
            <w:tcMar>
              <w:top w:w="30" w:type="dxa"/>
              <w:left w:w="45" w:type="dxa"/>
              <w:bottom w:w="30" w:type="dxa"/>
              <w:right w:w="45" w:type="dxa"/>
            </w:tcMar>
            <w:hideMark/>
          </w:tcPr>
          <w:p w14:paraId="114EFB7E" w14:textId="77777777" w:rsidR="00BA713F" w:rsidRPr="00792B36" w:rsidRDefault="00BA713F" w:rsidP="0096560E">
            <w:pPr>
              <w:spacing w:line="360" w:lineRule="auto"/>
              <w:contextualSpacing/>
              <w:rPr>
                <w:color w:val="000000" w:themeColor="text1"/>
                <w:sz w:val="24"/>
                <w:szCs w:val="24"/>
              </w:rPr>
            </w:pPr>
            <w:r w:rsidRPr="00792B36">
              <w:rPr>
                <w:color w:val="000000" w:themeColor="text1"/>
                <w:sz w:val="24"/>
                <w:szCs w:val="24"/>
              </w:rPr>
              <w:t>UNFCCC</w:t>
            </w:r>
          </w:p>
        </w:tc>
        <w:tc>
          <w:tcPr>
            <w:tcW w:w="6900" w:type="dxa"/>
            <w:tcMar>
              <w:top w:w="30" w:type="dxa"/>
              <w:left w:w="0" w:type="dxa"/>
              <w:bottom w:w="30" w:type="dxa"/>
              <w:right w:w="0" w:type="dxa"/>
            </w:tcMar>
            <w:hideMark/>
          </w:tcPr>
          <w:p w14:paraId="1E12D9FB" w14:textId="77777777" w:rsidR="00BA713F" w:rsidRPr="00792B36" w:rsidRDefault="00BA713F" w:rsidP="0096560E">
            <w:pPr>
              <w:spacing w:line="360" w:lineRule="auto"/>
              <w:contextualSpacing/>
              <w:jc w:val="thaiDistribute"/>
              <w:rPr>
                <w:color w:val="000000" w:themeColor="text1"/>
                <w:sz w:val="24"/>
                <w:szCs w:val="24"/>
              </w:rPr>
            </w:pPr>
            <w:r w:rsidRPr="00792B36">
              <w:rPr>
                <w:color w:val="000000" w:themeColor="text1"/>
                <w:sz w:val="24"/>
                <w:szCs w:val="24"/>
              </w:rPr>
              <w:t>United Nations Framework Convention on Climate Change; an international environmental treaty establishing a framework for intergovernmental efforts to address climate change.</w:t>
            </w:r>
          </w:p>
        </w:tc>
      </w:tr>
      <w:tr w:rsidR="00BA713F" w:rsidRPr="00792B36" w14:paraId="64D03FF4" w14:textId="77777777" w:rsidTr="0096560E">
        <w:trPr>
          <w:trHeight w:val="315"/>
        </w:trPr>
        <w:tc>
          <w:tcPr>
            <w:tcW w:w="2127" w:type="dxa"/>
            <w:tcMar>
              <w:top w:w="30" w:type="dxa"/>
              <w:left w:w="45" w:type="dxa"/>
              <w:bottom w:w="30" w:type="dxa"/>
              <w:right w:w="45" w:type="dxa"/>
            </w:tcMar>
            <w:hideMark/>
          </w:tcPr>
          <w:p w14:paraId="64F7D76A" w14:textId="77777777" w:rsidR="00BA713F" w:rsidRPr="00792B36" w:rsidRDefault="00BA713F" w:rsidP="0096560E">
            <w:pPr>
              <w:spacing w:line="360" w:lineRule="auto"/>
              <w:contextualSpacing/>
              <w:rPr>
                <w:color w:val="000000" w:themeColor="text1"/>
                <w:sz w:val="24"/>
                <w:szCs w:val="24"/>
              </w:rPr>
            </w:pPr>
            <w:r w:rsidRPr="00792B36">
              <w:rPr>
                <w:color w:val="000000" w:themeColor="text1"/>
                <w:sz w:val="24"/>
                <w:szCs w:val="24"/>
              </w:rPr>
              <w:t>Vulnerability Index (VI)</w:t>
            </w:r>
          </w:p>
        </w:tc>
        <w:tc>
          <w:tcPr>
            <w:tcW w:w="6900" w:type="dxa"/>
            <w:tcMar>
              <w:top w:w="30" w:type="dxa"/>
              <w:left w:w="0" w:type="dxa"/>
              <w:bottom w:w="30" w:type="dxa"/>
              <w:right w:w="0" w:type="dxa"/>
            </w:tcMar>
            <w:hideMark/>
          </w:tcPr>
          <w:p w14:paraId="130FEBA8" w14:textId="77777777" w:rsidR="00BA713F" w:rsidRPr="00792B36" w:rsidRDefault="00BA713F" w:rsidP="0096560E">
            <w:pPr>
              <w:spacing w:line="360" w:lineRule="auto"/>
              <w:contextualSpacing/>
              <w:jc w:val="thaiDistribute"/>
              <w:rPr>
                <w:color w:val="000000" w:themeColor="text1"/>
                <w:sz w:val="24"/>
                <w:szCs w:val="24"/>
              </w:rPr>
            </w:pPr>
            <w:r w:rsidRPr="00792B36">
              <w:rPr>
                <w:color w:val="000000" w:themeColor="text1"/>
                <w:sz w:val="24"/>
                <w:szCs w:val="24"/>
              </w:rPr>
              <w:t>An index that measures the socioeconomic susceptibility of a population, calculated in this study using the poverty headcount ratio and sex ratio imbalance.</w:t>
            </w:r>
          </w:p>
        </w:tc>
      </w:tr>
    </w:tbl>
    <w:p w14:paraId="24326F20" w14:textId="77777777" w:rsidR="00BA713F" w:rsidRPr="00792B36" w:rsidRDefault="00BA713F" w:rsidP="00BA713F">
      <w:pPr>
        <w:spacing w:line="360" w:lineRule="auto"/>
        <w:contextualSpacing/>
        <w:rPr>
          <w:b/>
          <w:bCs/>
          <w:color w:val="000000" w:themeColor="text1"/>
          <w:sz w:val="24"/>
          <w:szCs w:val="24"/>
        </w:rPr>
      </w:pPr>
    </w:p>
    <w:p w14:paraId="3DDDDF4A" w14:textId="77777777" w:rsidR="00BA713F" w:rsidRPr="00792B36" w:rsidRDefault="00BA713F" w:rsidP="00BA713F">
      <w:pPr>
        <w:spacing w:line="360" w:lineRule="auto"/>
        <w:contextualSpacing/>
        <w:rPr>
          <w:b/>
          <w:bCs/>
          <w:color w:val="000000" w:themeColor="text1"/>
          <w:sz w:val="24"/>
          <w:szCs w:val="24"/>
        </w:rPr>
      </w:pPr>
    </w:p>
    <w:p w14:paraId="03CBEA5C" w14:textId="77777777" w:rsidR="00BA713F" w:rsidRPr="00792B36" w:rsidRDefault="00BA713F" w:rsidP="00BA713F">
      <w:pPr>
        <w:spacing w:line="360" w:lineRule="auto"/>
        <w:contextualSpacing/>
        <w:rPr>
          <w:b/>
          <w:bCs/>
          <w:color w:val="000000" w:themeColor="text1"/>
          <w:sz w:val="24"/>
          <w:szCs w:val="24"/>
        </w:rPr>
      </w:pPr>
    </w:p>
    <w:p w14:paraId="40EA820B" w14:textId="77777777" w:rsidR="00BA713F" w:rsidRPr="00792B36" w:rsidRDefault="00BA713F" w:rsidP="00BA713F">
      <w:pPr>
        <w:spacing w:line="360" w:lineRule="auto"/>
        <w:contextualSpacing/>
        <w:rPr>
          <w:b/>
          <w:bCs/>
          <w:color w:val="000000" w:themeColor="text1"/>
          <w:sz w:val="24"/>
          <w:szCs w:val="24"/>
        </w:rPr>
      </w:pPr>
      <w:r w:rsidRPr="00792B36">
        <w:rPr>
          <w:b/>
          <w:bCs/>
          <w:color w:val="000000" w:themeColor="text1"/>
          <w:sz w:val="24"/>
          <w:szCs w:val="24"/>
        </w:rPr>
        <w:t>Acknowledgement</w:t>
      </w:r>
    </w:p>
    <w:p w14:paraId="7F8BC9CB" w14:textId="77777777" w:rsidR="00BA713F" w:rsidRPr="00792B36" w:rsidRDefault="00BA713F" w:rsidP="00BA713F">
      <w:pPr>
        <w:spacing w:line="360" w:lineRule="auto"/>
        <w:contextualSpacing/>
        <w:jc w:val="thaiDistribute"/>
        <w:rPr>
          <w:color w:val="000000" w:themeColor="text1"/>
          <w:sz w:val="24"/>
          <w:szCs w:val="24"/>
        </w:rPr>
      </w:pPr>
      <w:r w:rsidRPr="00792B36">
        <w:rPr>
          <w:color w:val="000000" w:themeColor="text1"/>
          <w:sz w:val="24"/>
          <w:szCs w:val="24"/>
        </w:rPr>
        <w:lastRenderedPageBreak/>
        <w:t>The author gratefully acknowledges the Department of Marine and Coastal Resources (DMCR) for serving as the National Coordinator for Thailand. Sincere appreciation is extended to the regional team for their technical guidance, and to all experts and stakeholders for their contributions to the completion of this National Transboundary Diagnostic Analysis.</w:t>
      </w:r>
    </w:p>
    <w:p w14:paraId="30C95CDE" w14:textId="77777777" w:rsidR="00BA713F" w:rsidRPr="00792B36" w:rsidRDefault="00BA713F" w:rsidP="00BA713F">
      <w:pPr>
        <w:spacing w:line="360" w:lineRule="auto"/>
        <w:contextualSpacing/>
        <w:jc w:val="thaiDistribute"/>
        <w:rPr>
          <w:color w:val="000000" w:themeColor="text1"/>
          <w:sz w:val="24"/>
          <w:szCs w:val="24"/>
        </w:rPr>
      </w:pPr>
    </w:p>
    <w:p w14:paraId="37FC8EAF" w14:textId="77777777" w:rsidR="00BA713F" w:rsidRPr="00792B36" w:rsidRDefault="00BA713F" w:rsidP="00BA713F">
      <w:pPr>
        <w:spacing w:line="360" w:lineRule="auto"/>
        <w:contextualSpacing/>
        <w:jc w:val="thaiDistribute"/>
        <w:rPr>
          <w:b/>
          <w:bCs/>
          <w:color w:val="000000" w:themeColor="text1"/>
          <w:sz w:val="24"/>
          <w:szCs w:val="24"/>
          <w:cs/>
        </w:rPr>
      </w:pPr>
      <w:r w:rsidRPr="00792B36">
        <w:rPr>
          <w:b/>
          <w:bCs/>
          <w:color w:val="000000" w:themeColor="text1"/>
          <w:sz w:val="24"/>
          <w:szCs w:val="24"/>
        </w:rPr>
        <w:t>Author contributions</w:t>
      </w:r>
    </w:p>
    <w:p w14:paraId="6EFAA7D6" w14:textId="77777777" w:rsidR="00BA713F" w:rsidRPr="00792B36" w:rsidRDefault="00BA713F" w:rsidP="00BA713F">
      <w:pPr>
        <w:spacing w:line="360" w:lineRule="auto"/>
        <w:contextualSpacing/>
        <w:jc w:val="thaiDistribute"/>
        <w:rPr>
          <w:color w:val="000000" w:themeColor="text1"/>
          <w:sz w:val="24"/>
          <w:szCs w:val="24"/>
          <w:cs/>
        </w:rPr>
      </w:pPr>
      <w:r w:rsidRPr="00792B36">
        <w:rPr>
          <w:color w:val="000000" w:themeColor="text1"/>
          <w:sz w:val="24"/>
          <w:szCs w:val="24"/>
        </w:rPr>
        <w:t xml:space="preserve">Monissa Srisomwong: Data curation, formal analysis, methodology, visualization, writing-original draft, writing-review and editing, </w:t>
      </w:r>
    </w:p>
    <w:p w14:paraId="2105BBE6" w14:textId="77777777" w:rsidR="00BA713F" w:rsidRPr="00792B36" w:rsidRDefault="00BA713F" w:rsidP="00BA713F">
      <w:pPr>
        <w:spacing w:line="360" w:lineRule="auto"/>
        <w:contextualSpacing/>
        <w:jc w:val="thaiDistribute"/>
        <w:rPr>
          <w:color w:val="000000" w:themeColor="text1"/>
          <w:sz w:val="24"/>
          <w:szCs w:val="24"/>
        </w:rPr>
      </w:pPr>
    </w:p>
    <w:p w14:paraId="74062378" w14:textId="77777777" w:rsidR="00BA713F" w:rsidRPr="00792B36" w:rsidRDefault="00BA713F" w:rsidP="00BA713F">
      <w:pPr>
        <w:spacing w:line="360" w:lineRule="auto"/>
        <w:contextualSpacing/>
        <w:rPr>
          <w:b/>
          <w:bCs/>
          <w:color w:val="000000" w:themeColor="text1"/>
          <w:sz w:val="24"/>
          <w:szCs w:val="24"/>
        </w:rPr>
      </w:pPr>
      <w:r w:rsidRPr="00792B36">
        <w:rPr>
          <w:b/>
          <w:bCs/>
          <w:color w:val="000000" w:themeColor="text1"/>
          <w:sz w:val="24"/>
          <w:szCs w:val="24"/>
        </w:rPr>
        <w:t>References</w:t>
      </w:r>
    </w:p>
    <w:p w14:paraId="2A8BA649" w14:textId="77777777" w:rsidR="00BA713F" w:rsidRPr="00792B36" w:rsidRDefault="00BA713F" w:rsidP="00BA713F">
      <w:pPr>
        <w:spacing w:line="360" w:lineRule="auto"/>
        <w:contextualSpacing/>
        <w:rPr>
          <w:color w:val="000000" w:themeColor="text1"/>
          <w:sz w:val="24"/>
          <w:szCs w:val="24"/>
        </w:rPr>
      </w:pPr>
      <w:r w:rsidRPr="00792B36">
        <w:rPr>
          <w:color w:val="000000" w:themeColor="text1"/>
          <w:sz w:val="24"/>
          <w:szCs w:val="24"/>
        </w:rPr>
        <w:t xml:space="preserve">Department of Climate Change and Environment (DCCE), 2023. </w:t>
      </w:r>
      <w:r w:rsidRPr="00792B36">
        <w:rPr>
          <w:i/>
          <w:iCs/>
          <w:color w:val="000000" w:themeColor="text1"/>
          <w:sz w:val="24"/>
          <w:szCs w:val="24"/>
        </w:rPr>
        <w:t>5-Year Action Plan (2023-2027)</w:t>
      </w:r>
      <w:r w:rsidRPr="00792B36">
        <w:rPr>
          <w:color w:val="000000" w:themeColor="text1"/>
          <w:sz w:val="24"/>
          <w:szCs w:val="24"/>
        </w:rPr>
        <w:t xml:space="preserve">. Ministry of Natural Resources and Environment, Thailand. </w:t>
      </w:r>
      <w:r w:rsidRPr="00792B36">
        <w:fldChar w:fldCharType="begin"/>
      </w:r>
      <w:r w:rsidRPr="00792B36">
        <w:instrText>HYPERLINK "https://www.dcce.go.th/" \t "_blank"</w:instrText>
      </w:r>
      <w:r w:rsidRPr="00792B36">
        <w:fldChar w:fldCharType="separate"/>
      </w:r>
      <w:r w:rsidRPr="00792B36">
        <w:rPr>
          <w:rStyle w:val="Hyperlink"/>
          <w:sz w:val="24"/>
          <w:szCs w:val="24"/>
        </w:rPr>
        <w:t>https://www.dcce.go.th/</w:t>
      </w:r>
      <w:r w:rsidRPr="00792B36">
        <w:fldChar w:fldCharType="end"/>
      </w:r>
      <w:r w:rsidRPr="00792B36">
        <w:rPr>
          <w:color w:val="000000" w:themeColor="text1"/>
          <w:sz w:val="24"/>
          <w:szCs w:val="24"/>
        </w:rPr>
        <w:t xml:space="preserve"> (accessed 5 November 2025).</w:t>
      </w:r>
    </w:p>
    <w:p w14:paraId="4A770361" w14:textId="77777777" w:rsidR="00BA713F" w:rsidRPr="00792B36" w:rsidRDefault="00BA713F" w:rsidP="00BA713F">
      <w:pPr>
        <w:spacing w:line="360" w:lineRule="auto"/>
        <w:ind w:left="709" w:hanging="709"/>
        <w:contextualSpacing/>
        <w:rPr>
          <w:color w:val="000000" w:themeColor="text1"/>
          <w:sz w:val="24"/>
          <w:szCs w:val="24"/>
        </w:rPr>
      </w:pPr>
    </w:p>
    <w:p w14:paraId="52C9774E" w14:textId="77777777" w:rsidR="00BA713F" w:rsidRPr="00792B36" w:rsidRDefault="00BA713F" w:rsidP="00BA713F">
      <w:pPr>
        <w:spacing w:line="360" w:lineRule="auto"/>
        <w:contextualSpacing/>
        <w:rPr>
          <w:color w:val="000000" w:themeColor="text1"/>
          <w:sz w:val="24"/>
          <w:szCs w:val="24"/>
        </w:rPr>
      </w:pPr>
      <w:r w:rsidRPr="00792B36">
        <w:rPr>
          <w:color w:val="000000" w:themeColor="text1"/>
          <w:sz w:val="24"/>
          <w:szCs w:val="24"/>
        </w:rPr>
        <w:t>Department of Provincial Administration</w:t>
      </w:r>
      <w:r w:rsidRPr="00792B36">
        <w:rPr>
          <w:color w:val="000000" w:themeColor="text1"/>
          <w:sz w:val="24"/>
          <w:szCs w:val="30"/>
        </w:rPr>
        <w:t>,</w:t>
      </w:r>
      <w:r w:rsidRPr="00792B36">
        <w:rPr>
          <w:color w:val="000000" w:themeColor="text1"/>
          <w:sz w:val="24"/>
          <w:szCs w:val="24"/>
        </w:rPr>
        <w:t xml:space="preserve"> 2025. Official statistics registration systems. </w:t>
      </w:r>
      <w:r w:rsidRPr="00792B36">
        <w:fldChar w:fldCharType="begin"/>
      </w:r>
      <w:r w:rsidRPr="00792B36">
        <w:instrText>HYPERLINK "https://stat.bora.dopa.go.th/stat/statnew/statMenu/newStat/home.php"</w:instrText>
      </w:r>
      <w:r w:rsidRPr="00792B36">
        <w:fldChar w:fldCharType="separate"/>
      </w:r>
      <w:r w:rsidRPr="00792B36">
        <w:rPr>
          <w:rStyle w:val="Hyperlink"/>
          <w:color w:val="000000" w:themeColor="text1"/>
          <w:sz w:val="24"/>
          <w:szCs w:val="24"/>
        </w:rPr>
        <w:t>https://stat.bora.dopa.go.th/stat/statnew/statMenu/newStat/home.php</w:t>
      </w:r>
      <w:r w:rsidRPr="00792B36">
        <w:fldChar w:fldCharType="end"/>
      </w:r>
      <w:r w:rsidRPr="00792B36">
        <w:rPr>
          <w:color w:val="000000" w:themeColor="text1"/>
          <w:sz w:val="24"/>
          <w:szCs w:val="24"/>
        </w:rPr>
        <w:t xml:space="preserve"> (accessed 19 April 2025).</w:t>
      </w:r>
    </w:p>
    <w:p w14:paraId="15F2C7BA" w14:textId="77777777" w:rsidR="00BA713F" w:rsidRPr="00792B36" w:rsidRDefault="00BA713F" w:rsidP="00BA713F">
      <w:pPr>
        <w:pBdr>
          <w:top w:val="nil"/>
          <w:left w:val="nil"/>
          <w:bottom w:val="nil"/>
          <w:right w:val="nil"/>
          <w:between w:val="nil"/>
        </w:pBdr>
        <w:spacing w:line="360" w:lineRule="auto"/>
        <w:ind w:left="709" w:hanging="709"/>
        <w:contextualSpacing/>
        <w:rPr>
          <w:color w:val="000000" w:themeColor="text1"/>
          <w:sz w:val="24"/>
          <w:szCs w:val="24"/>
        </w:rPr>
      </w:pPr>
    </w:p>
    <w:p w14:paraId="1DE4DCA0" w14:textId="77777777" w:rsidR="00BA713F" w:rsidRPr="00792B36" w:rsidRDefault="00BA713F" w:rsidP="00BA713F">
      <w:pPr>
        <w:pBdr>
          <w:top w:val="nil"/>
          <w:left w:val="nil"/>
          <w:bottom w:val="nil"/>
          <w:right w:val="nil"/>
          <w:between w:val="nil"/>
        </w:pBdr>
        <w:spacing w:line="360" w:lineRule="auto"/>
        <w:contextualSpacing/>
        <w:rPr>
          <w:color w:val="000000" w:themeColor="text1"/>
          <w:sz w:val="24"/>
          <w:szCs w:val="24"/>
        </w:rPr>
      </w:pPr>
      <w:r w:rsidRPr="00792B36">
        <w:rPr>
          <w:color w:val="000000" w:themeColor="text1"/>
          <w:sz w:val="24"/>
          <w:szCs w:val="24"/>
        </w:rPr>
        <w:t xml:space="preserve">EEA, 1999. </w:t>
      </w:r>
      <w:r w:rsidRPr="00792B36">
        <w:rPr>
          <w:i/>
          <w:iCs/>
          <w:color w:val="000000" w:themeColor="text1"/>
          <w:sz w:val="24"/>
          <w:szCs w:val="24"/>
        </w:rPr>
        <w:t>Environmental indicators: Typology and terminology</w:t>
      </w:r>
      <w:r w:rsidRPr="00792B36">
        <w:rPr>
          <w:color w:val="000000" w:themeColor="text1"/>
          <w:sz w:val="24"/>
          <w:szCs w:val="24"/>
        </w:rPr>
        <w:t xml:space="preserve">. EEA Technical report No 25. </w:t>
      </w:r>
      <w:r w:rsidRPr="00792B36">
        <w:fldChar w:fldCharType="begin"/>
      </w:r>
      <w:r w:rsidRPr="00792B36">
        <w:instrText>HYPERLINK "https://www.eea.europa.eu/publications/TEC25" \t "_blank"</w:instrText>
      </w:r>
      <w:r w:rsidRPr="00792B36">
        <w:fldChar w:fldCharType="separate"/>
      </w:r>
      <w:r w:rsidRPr="00792B36">
        <w:rPr>
          <w:rStyle w:val="Hyperlink"/>
          <w:sz w:val="24"/>
          <w:szCs w:val="24"/>
        </w:rPr>
        <w:t>https://www.eea.europa.eu/publications/TEC25</w:t>
      </w:r>
      <w:r w:rsidRPr="00792B36">
        <w:fldChar w:fldCharType="end"/>
      </w:r>
      <w:r w:rsidRPr="00792B36">
        <w:rPr>
          <w:color w:val="000000" w:themeColor="text1"/>
          <w:sz w:val="24"/>
          <w:szCs w:val="24"/>
        </w:rPr>
        <w:t xml:space="preserve"> (</w:t>
      </w:r>
      <w:r w:rsidRPr="00792B36">
        <w:rPr>
          <w:color w:val="000000" w:themeColor="text1"/>
          <w:sz w:val="24"/>
          <w:szCs w:val="30"/>
        </w:rPr>
        <w:t>a</w:t>
      </w:r>
      <w:r w:rsidRPr="00792B36">
        <w:rPr>
          <w:color w:val="000000" w:themeColor="text1"/>
          <w:sz w:val="24"/>
          <w:szCs w:val="24"/>
        </w:rPr>
        <w:t>ccessed 27 November 2025).</w:t>
      </w:r>
    </w:p>
    <w:p w14:paraId="6FF0A67C" w14:textId="77777777" w:rsidR="00BA713F" w:rsidRPr="00792B36" w:rsidRDefault="00BA713F" w:rsidP="00BA713F">
      <w:pPr>
        <w:pBdr>
          <w:top w:val="nil"/>
          <w:left w:val="nil"/>
          <w:bottom w:val="nil"/>
          <w:right w:val="nil"/>
          <w:between w:val="nil"/>
        </w:pBdr>
        <w:spacing w:line="360" w:lineRule="auto"/>
        <w:ind w:left="709" w:hanging="709"/>
        <w:contextualSpacing/>
        <w:rPr>
          <w:color w:val="000000" w:themeColor="text1"/>
          <w:sz w:val="24"/>
          <w:szCs w:val="24"/>
        </w:rPr>
      </w:pPr>
    </w:p>
    <w:p w14:paraId="7E2FE45F" w14:textId="77777777" w:rsidR="00BA713F" w:rsidRPr="00792B36" w:rsidRDefault="00BA713F" w:rsidP="00BA713F">
      <w:pPr>
        <w:pBdr>
          <w:top w:val="nil"/>
          <w:left w:val="nil"/>
          <w:bottom w:val="nil"/>
          <w:right w:val="nil"/>
          <w:between w:val="nil"/>
        </w:pBdr>
        <w:spacing w:line="360" w:lineRule="auto"/>
        <w:ind w:left="709" w:hanging="709"/>
        <w:contextualSpacing/>
        <w:rPr>
          <w:color w:val="000000" w:themeColor="text1"/>
          <w:sz w:val="24"/>
          <w:szCs w:val="24"/>
        </w:rPr>
      </w:pPr>
      <w:r w:rsidRPr="00792B36">
        <w:rPr>
          <w:color w:val="000000" w:themeColor="text1"/>
          <w:sz w:val="24"/>
          <w:szCs w:val="24"/>
        </w:rPr>
        <w:t>EM-DAT, CRED / UCLouvain, 2025. </w:t>
      </w:r>
      <w:r w:rsidRPr="00792B36">
        <w:fldChar w:fldCharType="begin"/>
      </w:r>
      <w:r w:rsidRPr="00792B36">
        <w:instrText>HYPERLINK "https://www.emdat.be/"</w:instrText>
      </w:r>
      <w:r w:rsidRPr="00792B36">
        <w:fldChar w:fldCharType="separate"/>
      </w:r>
      <w:r w:rsidRPr="00792B36">
        <w:rPr>
          <w:rStyle w:val="Hyperlink"/>
          <w:color w:val="000000" w:themeColor="text1"/>
          <w:sz w:val="24"/>
          <w:szCs w:val="24"/>
        </w:rPr>
        <w:t>www.emdat.be</w:t>
      </w:r>
      <w:r w:rsidRPr="00792B36">
        <w:fldChar w:fldCharType="end"/>
      </w:r>
      <w:r w:rsidRPr="00792B36">
        <w:rPr>
          <w:color w:val="000000" w:themeColor="text1"/>
          <w:sz w:val="24"/>
          <w:szCs w:val="24"/>
        </w:rPr>
        <w:t xml:space="preserve"> (accessed 25 Jun 2025)</w:t>
      </w:r>
    </w:p>
    <w:p w14:paraId="0E58FDFC" w14:textId="77777777" w:rsidR="00BA713F" w:rsidRPr="00792B36" w:rsidRDefault="00BA713F" w:rsidP="00BA713F">
      <w:pPr>
        <w:pBdr>
          <w:top w:val="nil"/>
          <w:left w:val="nil"/>
          <w:bottom w:val="nil"/>
          <w:right w:val="nil"/>
          <w:between w:val="nil"/>
        </w:pBdr>
        <w:spacing w:line="360" w:lineRule="auto"/>
        <w:ind w:left="709" w:hanging="709"/>
        <w:contextualSpacing/>
        <w:rPr>
          <w:color w:val="000000" w:themeColor="text1"/>
          <w:sz w:val="24"/>
          <w:szCs w:val="24"/>
        </w:rPr>
      </w:pPr>
    </w:p>
    <w:p w14:paraId="07146E90" w14:textId="77777777" w:rsidR="00BA713F" w:rsidRPr="00792B36" w:rsidRDefault="00BA713F" w:rsidP="00BA713F">
      <w:pPr>
        <w:pBdr>
          <w:top w:val="nil"/>
          <w:left w:val="nil"/>
          <w:bottom w:val="nil"/>
          <w:right w:val="nil"/>
          <w:between w:val="nil"/>
        </w:pBdr>
        <w:spacing w:line="360" w:lineRule="auto"/>
        <w:contextualSpacing/>
        <w:rPr>
          <w:color w:val="000000" w:themeColor="text1"/>
          <w:sz w:val="24"/>
          <w:szCs w:val="24"/>
        </w:rPr>
      </w:pPr>
      <w:r w:rsidRPr="00792B36">
        <w:rPr>
          <w:color w:val="000000" w:themeColor="text1"/>
          <w:sz w:val="24"/>
          <w:szCs w:val="24"/>
        </w:rPr>
        <w:t xml:space="preserve">FAO, 2018. </w:t>
      </w:r>
      <w:r w:rsidRPr="00792B36">
        <w:rPr>
          <w:i/>
          <w:iCs/>
          <w:color w:val="000000" w:themeColor="text1"/>
          <w:sz w:val="24"/>
          <w:szCs w:val="24"/>
        </w:rPr>
        <w:t>The State of World Fisheries and Aquaculture 2018 - Meeting the sustainable development goals</w:t>
      </w:r>
      <w:r w:rsidRPr="00792B36">
        <w:rPr>
          <w:color w:val="000000" w:themeColor="text1"/>
          <w:sz w:val="24"/>
          <w:szCs w:val="24"/>
        </w:rPr>
        <w:t xml:space="preserve">. Rome. </w:t>
      </w:r>
      <w:r w:rsidRPr="00792B36">
        <w:fldChar w:fldCharType="begin"/>
      </w:r>
      <w:r w:rsidRPr="00792B36">
        <w:instrText>HYPERLINK "https://www.fao.org/3/i9540en/i9540en.pdf" \t "_blank"</w:instrText>
      </w:r>
      <w:r w:rsidRPr="00792B36">
        <w:fldChar w:fldCharType="separate"/>
      </w:r>
      <w:r w:rsidRPr="00792B36">
        <w:rPr>
          <w:rStyle w:val="Hyperlink"/>
          <w:sz w:val="24"/>
          <w:szCs w:val="24"/>
        </w:rPr>
        <w:t>https://www.fao.org/3/i9540en/i9540en.pdf</w:t>
      </w:r>
      <w:r w:rsidRPr="00792B36">
        <w:fldChar w:fldCharType="end"/>
      </w:r>
      <w:r w:rsidRPr="00792B36">
        <w:rPr>
          <w:color w:val="000000" w:themeColor="text1"/>
          <w:sz w:val="24"/>
          <w:szCs w:val="24"/>
        </w:rPr>
        <w:t xml:space="preserve"> (accessed [Accessed Date]).</w:t>
      </w:r>
    </w:p>
    <w:p w14:paraId="35E23EC3" w14:textId="77777777" w:rsidR="00BA713F" w:rsidRPr="00792B36" w:rsidRDefault="00BA713F" w:rsidP="00BA713F">
      <w:pPr>
        <w:pBdr>
          <w:top w:val="nil"/>
          <w:left w:val="nil"/>
          <w:bottom w:val="nil"/>
          <w:right w:val="nil"/>
          <w:between w:val="nil"/>
        </w:pBdr>
        <w:spacing w:line="360" w:lineRule="auto"/>
        <w:ind w:left="709" w:hanging="709"/>
        <w:contextualSpacing/>
        <w:rPr>
          <w:color w:val="000000" w:themeColor="text1"/>
          <w:sz w:val="24"/>
          <w:szCs w:val="24"/>
        </w:rPr>
      </w:pPr>
    </w:p>
    <w:p w14:paraId="438E9E60" w14:textId="77777777" w:rsidR="00BA713F" w:rsidRPr="00792B36" w:rsidRDefault="00BA713F" w:rsidP="00BA713F">
      <w:pPr>
        <w:pBdr>
          <w:top w:val="nil"/>
          <w:left w:val="nil"/>
          <w:bottom w:val="nil"/>
          <w:right w:val="nil"/>
          <w:between w:val="nil"/>
        </w:pBdr>
        <w:spacing w:line="360" w:lineRule="auto"/>
        <w:contextualSpacing/>
        <w:rPr>
          <w:color w:val="000000" w:themeColor="text1"/>
          <w:sz w:val="24"/>
          <w:szCs w:val="24"/>
        </w:rPr>
      </w:pPr>
      <w:r w:rsidRPr="00792B36">
        <w:rPr>
          <w:color w:val="000000" w:themeColor="text1"/>
          <w:sz w:val="24"/>
          <w:szCs w:val="24"/>
        </w:rPr>
        <w:t xml:space="preserve">FAO, 2025. Sustainable fisheries as a proportion of GDP. </w:t>
      </w:r>
      <w:r w:rsidRPr="00792B36">
        <w:fldChar w:fldCharType="begin"/>
      </w:r>
      <w:r w:rsidRPr="00792B36">
        <w:instrText>HYPERLINK "https://de-public-statsuite.fao.org/"</w:instrText>
      </w:r>
      <w:r w:rsidRPr="00792B36">
        <w:fldChar w:fldCharType="separate"/>
      </w:r>
      <w:r w:rsidRPr="00792B36">
        <w:rPr>
          <w:rStyle w:val="Hyperlink"/>
          <w:color w:val="000000" w:themeColor="text1"/>
          <w:sz w:val="24"/>
          <w:szCs w:val="24"/>
        </w:rPr>
        <w:t>https://de-public-statsuite.fao.org/</w:t>
      </w:r>
      <w:r w:rsidRPr="00792B36">
        <w:fldChar w:fldCharType="end"/>
      </w:r>
      <w:r w:rsidRPr="00792B36">
        <w:rPr>
          <w:color w:val="000000" w:themeColor="text1"/>
          <w:sz w:val="24"/>
          <w:szCs w:val="24"/>
        </w:rPr>
        <w:t xml:space="preserve"> (accessed 25 June 2025).</w:t>
      </w:r>
    </w:p>
    <w:p w14:paraId="515E930E" w14:textId="77777777" w:rsidR="00BA713F" w:rsidRPr="00792B36" w:rsidRDefault="00BA713F" w:rsidP="00BA713F">
      <w:pPr>
        <w:pBdr>
          <w:top w:val="nil"/>
          <w:left w:val="nil"/>
          <w:bottom w:val="nil"/>
          <w:right w:val="nil"/>
          <w:between w:val="nil"/>
        </w:pBdr>
        <w:spacing w:line="360" w:lineRule="auto"/>
        <w:ind w:left="709" w:hanging="709"/>
        <w:contextualSpacing/>
        <w:rPr>
          <w:color w:val="000000" w:themeColor="text1"/>
          <w:sz w:val="24"/>
          <w:szCs w:val="24"/>
        </w:rPr>
      </w:pPr>
    </w:p>
    <w:p w14:paraId="343C532F" w14:textId="77777777" w:rsidR="00BA713F" w:rsidRPr="00792B36" w:rsidRDefault="00BA713F" w:rsidP="00BA713F">
      <w:pPr>
        <w:pBdr>
          <w:top w:val="nil"/>
          <w:left w:val="nil"/>
          <w:bottom w:val="nil"/>
          <w:right w:val="nil"/>
          <w:between w:val="nil"/>
        </w:pBdr>
        <w:spacing w:line="360" w:lineRule="auto"/>
        <w:contextualSpacing/>
        <w:rPr>
          <w:color w:val="000000" w:themeColor="text1"/>
          <w:sz w:val="24"/>
          <w:szCs w:val="24"/>
        </w:rPr>
      </w:pPr>
      <w:r w:rsidRPr="00792B36">
        <w:rPr>
          <w:color w:val="000000" w:themeColor="text1"/>
          <w:sz w:val="24"/>
          <w:szCs w:val="24"/>
        </w:rPr>
        <w:t xml:space="preserve">Kristensen, P., 2004. </w:t>
      </w:r>
      <w:r w:rsidRPr="00792B36">
        <w:rPr>
          <w:i/>
          <w:iCs/>
          <w:color w:val="000000" w:themeColor="text1"/>
          <w:sz w:val="24"/>
          <w:szCs w:val="24"/>
        </w:rPr>
        <w:t>The DPSIR Framework</w:t>
      </w:r>
      <w:r w:rsidRPr="00792B36">
        <w:rPr>
          <w:color w:val="000000" w:themeColor="text1"/>
          <w:sz w:val="24"/>
          <w:szCs w:val="24"/>
        </w:rPr>
        <w:t xml:space="preserve">. Paper presented at the 27-29 September 2004 workshop on a comprehensive/detailed assessment of the </w:t>
      </w:r>
      <w:r w:rsidRPr="00792B36">
        <w:rPr>
          <w:color w:val="000000" w:themeColor="text1"/>
          <w:sz w:val="24"/>
          <w:szCs w:val="24"/>
        </w:rPr>
        <w:lastRenderedPageBreak/>
        <w:t xml:space="preserve">vulnerability of water resources to environmental change in Africa using indicator based methods, UNEP. </w:t>
      </w:r>
      <w:r w:rsidRPr="00792B36">
        <w:fldChar w:fldCharType="begin"/>
      </w:r>
      <w:r w:rsidRPr="00792B36">
        <w:instrText>HYPERLINK "https://www.google.com/search?q=https://dce-fs-live-dce.it.au.dk/filarkiv/89/AR_89.pdf" \t "_blank"</w:instrText>
      </w:r>
      <w:r w:rsidRPr="00792B36">
        <w:fldChar w:fldCharType="separate"/>
      </w:r>
      <w:r w:rsidRPr="00792B36">
        <w:rPr>
          <w:rStyle w:val="Hyperlink"/>
          <w:sz w:val="24"/>
          <w:szCs w:val="24"/>
        </w:rPr>
        <w:t>https://dce-fs-live-dce.it.au.dk/filarkiv/89/AR_89.pdf</w:t>
      </w:r>
      <w:r w:rsidRPr="00792B36">
        <w:fldChar w:fldCharType="end"/>
      </w:r>
      <w:r w:rsidRPr="00792B36">
        <w:rPr>
          <w:color w:val="000000" w:themeColor="text1"/>
          <w:sz w:val="24"/>
          <w:szCs w:val="24"/>
        </w:rPr>
        <w:t xml:space="preserve">  (</w:t>
      </w:r>
      <w:r w:rsidRPr="00792B36">
        <w:rPr>
          <w:color w:val="000000" w:themeColor="text1"/>
          <w:sz w:val="24"/>
          <w:szCs w:val="30"/>
        </w:rPr>
        <w:t>a</w:t>
      </w:r>
      <w:r w:rsidRPr="00792B36">
        <w:rPr>
          <w:color w:val="000000" w:themeColor="text1"/>
          <w:sz w:val="24"/>
          <w:szCs w:val="24"/>
        </w:rPr>
        <w:t>ccessed 27 November 2025).</w:t>
      </w:r>
    </w:p>
    <w:p w14:paraId="094FF66A" w14:textId="77777777" w:rsidR="00BA713F" w:rsidRPr="00792B36" w:rsidRDefault="00BA713F" w:rsidP="00BA713F">
      <w:pPr>
        <w:spacing w:line="360" w:lineRule="auto"/>
        <w:ind w:left="709" w:hanging="709"/>
        <w:contextualSpacing/>
        <w:rPr>
          <w:color w:val="000000" w:themeColor="text1"/>
          <w:sz w:val="24"/>
          <w:szCs w:val="24"/>
        </w:rPr>
      </w:pPr>
    </w:p>
    <w:p w14:paraId="5BACE6CB" w14:textId="77777777" w:rsidR="00BA713F" w:rsidRPr="00792B36" w:rsidRDefault="00BA713F" w:rsidP="00BA713F">
      <w:pPr>
        <w:spacing w:line="360" w:lineRule="auto"/>
        <w:contextualSpacing/>
        <w:rPr>
          <w:color w:val="000000" w:themeColor="text1"/>
          <w:sz w:val="24"/>
          <w:szCs w:val="24"/>
        </w:rPr>
      </w:pPr>
      <w:r w:rsidRPr="00792B36">
        <w:rPr>
          <w:color w:val="000000" w:themeColor="text1"/>
          <w:sz w:val="24"/>
          <w:szCs w:val="24"/>
        </w:rPr>
        <w:t xml:space="preserve">Liu, J., Daily, G.C., Ehrlich, P.R., Luck, G.W., 2003. Effects of household dynamics on resource consumption and biodiversity. </w:t>
      </w:r>
      <w:r w:rsidRPr="00792B36">
        <w:rPr>
          <w:i/>
          <w:iCs/>
          <w:color w:val="000000" w:themeColor="text1"/>
          <w:sz w:val="24"/>
          <w:szCs w:val="24"/>
        </w:rPr>
        <w:t>Nature</w:t>
      </w:r>
      <w:r w:rsidRPr="00792B36">
        <w:rPr>
          <w:color w:val="000000" w:themeColor="text1"/>
          <w:sz w:val="24"/>
          <w:szCs w:val="24"/>
        </w:rPr>
        <w:t xml:space="preserve">, 421(6922), pp.530-533. </w:t>
      </w:r>
      <w:r w:rsidRPr="00792B36">
        <w:fldChar w:fldCharType="begin"/>
      </w:r>
      <w:r w:rsidRPr="00792B36">
        <w:instrText>HYPERLINK "https://www.nature.com/articles/nature01359" \t "_blank"</w:instrText>
      </w:r>
      <w:r w:rsidRPr="00792B36">
        <w:fldChar w:fldCharType="separate"/>
      </w:r>
      <w:r w:rsidRPr="00792B36">
        <w:rPr>
          <w:rStyle w:val="Hyperlink"/>
          <w:sz w:val="24"/>
          <w:szCs w:val="24"/>
        </w:rPr>
        <w:t>https://www.nature.com/articles/nature01359</w:t>
      </w:r>
      <w:r w:rsidRPr="00792B36">
        <w:fldChar w:fldCharType="end"/>
      </w:r>
      <w:r w:rsidRPr="00792B36">
        <w:rPr>
          <w:color w:val="000000" w:themeColor="text1"/>
          <w:sz w:val="24"/>
          <w:szCs w:val="24"/>
        </w:rPr>
        <w:t xml:space="preserve"> (accessed 19 April 2025).</w:t>
      </w:r>
    </w:p>
    <w:p w14:paraId="131EF2FC" w14:textId="77777777" w:rsidR="00BA713F" w:rsidRPr="00792B36" w:rsidRDefault="00BA713F" w:rsidP="00BA713F">
      <w:pPr>
        <w:spacing w:line="360" w:lineRule="auto"/>
        <w:ind w:left="709" w:hanging="709"/>
        <w:contextualSpacing/>
        <w:jc w:val="thaiDistribute"/>
        <w:rPr>
          <w:color w:val="000000" w:themeColor="text1"/>
          <w:sz w:val="24"/>
          <w:szCs w:val="24"/>
        </w:rPr>
      </w:pPr>
    </w:p>
    <w:p w14:paraId="255C5CFA" w14:textId="77777777" w:rsidR="00BA713F" w:rsidRPr="00792B36" w:rsidRDefault="00BA713F" w:rsidP="00BA713F">
      <w:pPr>
        <w:spacing w:line="360" w:lineRule="auto"/>
        <w:contextualSpacing/>
        <w:jc w:val="thaiDistribute"/>
        <w:rPr>
          <w:color w:val="000000" w:themeColor="text1"/>
          <w:sz w:val="24"/>
          <w:szCs w:val="24"/>
        </w:rPr>
      </w:pPr>
      <w:r w:rsidRPr="00792B36">
        <w:rPr>
          <w:color w:val="000000" w:themeColor="text1"/>
          <w:sz w:val="24"/>
          <w:szCs w:val="24"/>
        </w:rPr>
        <w:t xml:space="preserve">National Economic and Social Development Council (NESDC), 2019. </w:t>
      </w:r>
      <w:r w:rsidRPr="00792B36">
        <w:rPr>
          <w:i/>
          <w:iCs/>
          <w:color w:val="000000" w:themeColor="text1"/>
          <w:sz w:val="24"/>
          <w:szCs w:val="24"/>
        </w:rPr>
        <w:t>Study report on assumptions for population projections of Thailand, 2010–2040 (Revised edition).</w:t>
      </w:r>
      <w:r w:rsidRPr="00792B36">
        <w:rPr>
          <w:color w:val="000000" w:themeColor="text1"/>
          <w:sz w:val="24"/>
          <w:szCs w:val="24"/>
        </w:rPr>
        <w:t xml:space="preserve"> Bangkok: Office of the National Economic and Social Development Council. (in Thai).</w:t>
      </w:r>
    </w:p>
    <w:p w14:paraId="6367BBD5" w14:textId="77777777" w:rsidR="00BA713F" w:rsidRPr="00792B36" w:rsidRDefault="00BA713F" w:rsidP="00BA713F">
      <w:pPr>
        <w:pBdr>
          <w:top w:val="nil"/>
          <w:left w:val="nil"/>
          <w:bottom w:val="nil"/>
          <w:right w:val="nil"/>
          <w:between w:val="nil"/>
        </w:pBdr>
        <w:spacing w:line="360" w:lineRule="auto"/>
        <w:ind w:left="709" w:hanging="709"/>
        <w:contextualSpacing/>
        <w:jc w:val="both"/>
        <w:rPr>
          <w:color w:val="000000" w:themeColor="text1"/>
          <w:sz w:val="24"/>
          <w:szCs w:val="24"/>
        </w:rPr>
      </w:pPr>
    </w:p>
    <w:p w14:paraId="1D9DD27E" w14:textId="77777777" w:rsidR="00BA713F" w:rsidRPr="00792B36" w:rsidRDefault="00BA713F" w:rsidP="00BA713F">
      <w:pPr>
        <w:pBdr>
          <w:top w:val="nil"/>
          <w:left w:val="nil"/>
          <w:bottom w:val="nil"/>
          <w:right w:val="nil"/>
          <w:between w:val="nil"/>
        </w:pBdr>
        <w:spacing w:line="360" w:lineRule="auto"/>
        <w:contextualSpacing/>
        <w:jc w:val="both"/>
        <w:rPr>
          <w:color w:val="000000" w:themeColor="text1"/>
          <w:sz w:val="24"/>
          <w:szCs w:val="24"/>
        </w:rPr>
      </w:pPr>
      <w:r w:rsidRPr="00792B36">
        <w:rPr>
          <w:color w:val="000000" w:themeColor="text1"/>
          <w:sz w:val="24"/>
          <w:szCs w:val="24"/>
        </w:rPr>
        <w:t xml:space="preserve">OECD Data Explorer, 2025. Land cover and land change. </w:t>
      </w:r>
      <w:r w:rsidRPr="00792B36">
        <w:fldChar w:fldCharType="begin"/>
      </w:r>
      <w:r w:rsidRPr="00792B36">
        <w:instrText>HYPERLINK "https://data-explorer.oecd.org/"</w:instrText>
      </w:r>
      <w:r w:rsidRPr="00792B36">
        <w:fldChar w:fldCharType="separate"/>
      </w:r>
      <w:r w:rsidRPr="00792B36">
        <w:rPr>
          <w:rStyle w:val="Hyperlink"/>
          <w:color w:val="000000" w:themeColor="text1"/>
          <w:sz w:val="24"/>
          <w:szCs w:val="24"/>
        </w:rPr>
        <w:t>https://data-explorer.oecd.org/</w:t>
      </w:r>
      <w:r w:rsidRPr="00792B36">
        <w:fldChar w:fldCharType="end"/>
      </w:r>
      <w:r w:rsidRPr="00792B36">
        <w:rPr>
          <w:color w:val="000000" w:themeColor="text1"/>
          <w:sz w:val="24"/>
          <w:szCs w:val="24"/>
        </w:rPr>
        <w:t xml:space="preserve"> (accessed 25 May 2025).</w:t>
      </w:r>
    </w:p>
    <w:p w14:paraId="4AA0E5C5" w14:textId="77777777" w:rsidR="00BA713F" w:rsidRPr="00792B36" w:rsidRDefault="00BA713F" w:rsidP="00BA713F">
      <w:pPr>
        <w:pBdr>
          <w:top w:val="nil"/>
          <w:left w:val="nil"/>
          <w:bottom w:val="nil"/>
          <w:right w:val="nil"/>
          <w:between w:val="nil"/>
        </w:pBdr>
        <w:spacing w:line="360" w:lineRule="auto"/>
        <w:ind w:left="709" w:hanging="709"/>
        <w:contextualSpacing/>
        <w:rPr>
          <w:color w:val="000000" w:themeColor="text1"/>
          <w:sz w:val="24"/>
          <w:szCs w:val="24"/>
        </w:rPr>
      </w:pPr>
    </w:p>
    <w:p w14:paraId="199B80AC" w14:textId="77777777" w:rsidR="00BA713F" w:rsidRPr="00792B36" w:rsidRDefault="00BA713F" w:rsidP="00BA713F">
      <w:pPr>
        <w:pBdr>
          <w:top w:val="nil"/>
          <w:left w:val="nil"/>
          <w:bottom w:val="nil"/>
          <w:right w:val="nil"/>
          <w:between w:val="nil"/>
        </w:pBdr>
        <w:spacing w:line="360" w:lineRule="auto"/>
        <w:contextualSpacing/>
        <w:rPr>
          <w:color w:val="000000" w:themeColor="text1"/>
          <w:sz w:val="24"/>
          <w:szCs w:val="24"/>
        </w:rPr>
      </w:pPr>
      <w:r w:rsidRPr="00792B36">
        <w:rPr>
          <w:color w:val="000000" w:themeColor="text1"/>
          <w:sz w:val="24"/>
          <w:szCs w:val="24"/>
        </w:rPr>
        <w:t xml:space="preserve">Office of the National Economic and Social Development Council, 2025. GDP. </w:t>
      </w:r>
      <w:r w:rsidRPr="00792B36">
        <w:fldChar w:fldCharType="begin"/>
      </w:r>
      <w:r w:rsidRPr="00792B36">
        <w:instrText>HYPERLINK "https://www.nesdc.go.th/nesdb_en/more_news.php?cid=156&amp;filename=index"</w:instrText>
      </w:r>
      <w:r w:rsidRPr="00792B36">
        <w:fldChar w:fldCharType="separate"/>
      </w:r>
      <w:r w:rsidRPr="00792B36">
        <w:rPr>
          <w:rStyle w:val="Hyperlink"/>
          <w:color w:val="000000" w:themeColor="text1"/>
          <w:sz w:val="24"/>
          <w:szCs w:val="24"/>
        </w:rPr>
        <w:t>https://www.nesdc.go.th/nesdb_en/more_news.php?cid=156&amp;filename=index</w:t>
      </w:r>
      <w:r w:rsidRPr="00792B36">
        <w:fldChar w:fldCharType="end"/>
      </w:r>
      <w:r w:rsidRPr="00792B36">
        <w:rPr>
          <w:color w:val="000000" w:themeColor="text1"/>
          <w:sz w:val="24"/>
          <w:szCs w:val="24"/>
        </w:rPr>
        <w:t xml:space="preserve"> (accessed 21 Apr 2025).</w:t>
      </w:r>
    </w:p>
    <w:p w14:paraId="7DA4129C" w14:textId="77777777" w:rsidR="00BA713F" w:rsidRPr="00792B36" w:rsidRDefault="00BA713F" w:rsidP="00BA713F">
      <w:pPr>
        <w:pBdr>
          <w:top w:val="nil"/>
          <w:left w:val="nil"/>
          <w:bottom w:val="nil"/>
          <w:right w:val="nil"/>
          <w:between w:val="nil"/>
        </w:pBdr>
        <w:spacing w:line="360" w:lineRule="auto"/>
        <w:ind w:left="851" w:hanging="851"/>
        <w:contextualSpacing/>
        <w:jc w:val="both"/>
        <w:rPr>
          <w:color w:val="000000" w:themeColor="text1"/>
          <w:sz w:val="24"/>
          <w:szCs w:val="24"/>
        </w:rPr>
      </w:pPr>
    </w:p>
    <w:p w14:paraId="1A6AD97E" w14:textId="77777777" w:rsidR="00BA713F" w:rsidRPr="00792B36" w:rsidRDefault="00BA713F" w:rsidP="00BA713F">
      <w:pPr>
        <w:pBdr>
          <w:top w:val="nil"/>
          <w:left w:val="nil"/>
          <w:bottom w:val="nil"/>
          <w:right w:val="nil"/>
          <w:between w:val="nil"/>
        </w:pBdr>
        <w:spacing w:line="360" w:lineRule="auto"/>
        <w:contextualSpacing/>
        <w:jc w:val="both"/>
        <w:rPr>
          <w:color w:val="000000" w:themeColor="text1"/>
          <w:sz w:val="24"/>
          <w:szCs w:val="24"/>
        </w:rPr>
      </w:pPr>
      <w:r w:rsidRPr="00792B36">
        <w:rPr>
          <w:color w:val="000000" w:themeColor="text1"/>
          <w:sz w:val="24"/>
          <w:szCs w:val="24"/>
        </w:rPr>
        <w:t>Office of the National Economic and Social Development Council, 2025. Household Socio-Economic Survey by the National Statistical Office; compiled by the Division of Social Data and Indicators Development, NESDC.</w:t>
      </w:r>
    </w:p>
    <w:p w14:paraId="10268321" w14:textId="77777777" w:rsidR="00BA713F" w:rsidRPr="00792B36" w:rsidRDefault="00BA713F" w:rsidP="00BA713F">
      <w:pPr>
        <w:pBdr>
          <w:top w:val="nil"/>
          <w:left w:val="nil"/>
          <w:bottom w:val="nil"/>
          <w:right w:val="nil"/>
          <w:between w:val="nil"/>
        </w:pBdr>
        <w:spacing w:line="360" w:lineRule="auto"/>
        <w:contextualSpacing/>
        <w:jc w:val="both"/>
        <w:rPr>
          <w:color w:val="000000" w:themeColor="text1"/>
          <w:sz w:val="24"/>
          <w:szCs w:val="24"/>
        </w:rPr>
      </w:pPr>
      <w:r w:rsidRPr="00792B36">
        <w:rPr>
          <w:color w:val="000000" w:themeColor="text1"/>
          <w:sz w:val="24"/>
          <w:szCs w:val="24"/>
        </w:rPr>
        <w:t xml:space="preserve"> </w:t>
      </w:r>
      <w:hyperlink r:id="rId71" w:history="1">
        <w:r w:rsidRPr="00792B36">
          <w:rPr>
            <w:rStyle w:val="Hyperlink"/>
            <w:color w:val="000000" w:themeColor="text1"/>
            <w:sz w:val="24"/>
            <w:szCs w:val="24"/>
          </w:rPr>
          <w:t>https://www.nesdc.go.th/main.php?filename=social</w:t>
        </w:r>
      </w:hyperlink>
      <w:r w:rsidRPr="00792B36">
        <w:rPr>
          <w:color w:val="000000" w:themeColor="text1"/>
          <w:sz w:val="24"/>
          <w:szCs w:val="24"/>
          <w:cs/>
        </w:rPr>
        <w:t xml:space="preserve"> </w:t>
      </w:r>
      <w:r w:rsidRPr="00792B36">
        <w:rPr>
          <w:color w:val="000000" w:themeColor="text1"/>
          <w:sz w:val="24"/>
          <w:szCs w:val="24"/>
        </w:rPr>
        <w:t>(accessed 22 April 2025).</w:t>
      </w:r>
    </w:p>
    <w:p w14:paraId="30813FFD" w14:textId="77777777" w:rsidR="00BA713F" w:rsidRPr="00792B36" w:rsidRDefault="00BA713F" w:rsidP="00BA713F">
      <w:pPr>
        <w:spacing w:line="360" w:lineRule="auto"/>
        <w:ind w:left="851" w:hanging="851"/>
        <w:contextualSpacing/>
        <w:rPr>
          <w:color w:val="000000" w:themeColor="text1"/>
          <w:sz w:val="24"/>
          <w:szCs w:val="24"/>
        </w:rPr>
      </w:pPr>
    </w:p>
    <w:p w14:paraId="69808CD2" w14:textId="77777777" w:rsidR="00BA713F" w:rsidRPr="00792B36" w:rsidRDefault="00BA713F" w:rsidP="00BA713F">
      <w:pPr>
        <w:spacing w:line="360" w:lineRule="auto"/>
        <w:contextualSpacing/>
        <w:rPr>
          <w:color w:val="000000" w:themeColor="text1"/>
          <w:sz w:val="24"/>
          <w:szCs w:val="24"/>
        </w:rPr>
      </w:pPr>
      <w:r w:rsidRPr="00792B36">
        <w:rPr>
          <w:color w:val="000000" w:themeColor="text1"/>
          <w:sz w:val="24"/>
          <w:szCs w:val="24"/>
        </w:rPr>
        <w:t xml:space="preserve">Office of the National Economic and Social Development Council (NESDC), 2018. </w:t>
      </w:r>
      <w:r w:rsidRPr="00792B36">
        <w:rPr>
          <w:i/>
          <w:iCs/>
          <w:color w:val="000000" w:themeColor="text1"/>
          <w:sz w:val="24"/>
          <w:szCs w:val="24"/>
        </w:rPr>
        <w:t>National Strategy (2018 - 2037)</w:t>
      </w:r>
      <w:r w:rsidRPr="00792B36">
        <w:rPr>
          <w:color w:val="000000" w:themeColor="text1"/>
          <w:sz w:val="24"/>
          <w:szCs w:val="24"/>
        </w:rPr>
        <w:t xml:space="preserve">. </w:t>
      </w:r>
      <w:r w:rsidRPr="00792B36">
        <w:fldChar w:fldCharType="begin"/>
      </w:r>
      <w:r w:rsidRPr="00792B36">
        <w:instrText>HYPERLINK "https://faolex.fao.org/docs/pdf/tha200834.pdf" \t "_blank"</w:instrText>
      </w:r>
      <w:r w:rsidRPr="00792B36">
        <w:fldChar w:fldCharType="separate"/>
      </w:r>
      <w:r w:rsidRPr="00792B36">
        <w:rPr>
          <w:rStyle w:val="Hyperlink"/>
          <w:sz w:val="24"/>
          <w:szCs w:val="24"/>
        </w:rPr>
        <w:t>https://faolex.fao.org/docs/pdf/tha200834.pdf</w:t>
      </w:r>
      <w:r w:rsidRPr="00792B36">
        <w:fldChar w:fldCharType="end"/>
      </w:r>
      <w:r w:rsidRPr="00792B36">
        <w:rPr>
          <w:color w:val="000000" w:themeColor="text1"/>
          <w:sz w:val="24"/>
          <w:szCs w:val="24"/>
        </w:rPr>
        <w:t xml:space="preserve"> (accessed 5 November 2025).</w:t>
      </w:r>
    </w:p>
    <w:p w14:paraId="03A7522C" w14:textId="77777777" w:rsidR="00BA713F" w:rsidRPr="00792B36" w:rsidRDefault="00BA713F" w:rsidP="00BA713F">
      <w:pPr>
        <w:spacing w:line="360" w:lineRule="auto"/>
        <w:ind w:left="851" w:hanging="851"/>
        <w:contextualSpacing/>
        <w:rPr>
          <w:color w:val="000000" w:themeColor="text1"/>
          <w:sz w:val="24"/>
          <w:szCs w:val="24"/>
        </w:rPr>
      </w:pPr>
    </w:p>
    <w:p w14:paraId="45081B74" w14:textId="77777777" w:rsidR="00BA713F" w:rsidRPr="00792B36" w:rsidRDefault="00BA713F" w:rsidP="00BA713F">
      <w:pPr>
        <w:spacing w:line="360" w:lineRule="auto"/>
        <w:contextualSpacing/>
        <w:rPr>
          <w:color w:val="000000" w:themeColor="text1"/>
          <w:sz w:val="24"/>
          <w:szCs w:val="24"/>
        </w:rPr>
      </w:pPr>
      <w:r w:rsidRPr="00792B36">
        <w:rPr>
          <w:color w:val="000000" w:themeColor="text1"/>
          <w:sz w:val="24"/>
          <w:szCs w:val="24"/>
        </w:rPr>
        <w:t xml:space="preserve">Office of the National Economic and Social Development Council (NESDC), 2022. </w:t>
      </w:r>
      <w:r w:rsidRPr="00792B36">
        <w:rPr>
          <w:i/>
          <w:iCs/>
          <w:color w:val="000000" w:themeColor="text1"/>
          <w:sz w:val="24"/>
          <w:szCs w:val="24"/>
        </w:rPr>
        <w:t>The Thirteenth National Economic and Social Development Plan (2023-2027)</w:t>
      </w:r>
      <w:r w:rsidRPr="00792B36">
        <w:rPr>
          <w:color w:val="000000" w:themeColor="text1"/>
          <w:sz w:val="24"/>
          <w:szCs w:val="24"/>
        </w:rPr>
        <w:t xml:space="preserve">. </w:t>
      </w:r>
      <w:r w:rsidRPr="00792B36">
        <w:fldChar w:fldCharType="begin"/>
      </w:r>
      <w:r w:rsidRPr="00792B36">
        <w:instrText>HYPERLINK "https://www.google.com/search?q=https://www.nesdc.go.th/download/document/Socio-Economic/13th_Plan_Eng.pdf" \t "_blank"</w:instrText>
      </w:r>
      <w:r w:rsidRPr="00792B36">
        <w:fldChar w:fldCharType="separate"/>
      </w:r>
      <w:r w:rsidRPr="00792B36">
        <w:rPr>
          <w:rStyle w:val="Hyperlink"/>
          <w:sz w:val="24"/>
          <w:szCs w:val="24"/>
        </w:rPr>
        <w:t>https://www.nesdc.go.th/download/document/Socio-Economic/13th_Plan_Eng.pdf</w:t>
      </w:r>
      <w:r w:rsidRPr="00792B36">
        <w:fldChar w:fldCharType="end"/>
      </w:r>
      <w:r w:rsidRPr="00792B36">
        <w:rPr>
          <w:color w:val="000000" w:themeColor="text1"/>
          <w:sz w:val="24"/>
          <w:szCs w:val="24"/>
        </w:rPr>
        <w:t xml:space="preserve"> (accessed 5 November 2025).</w:t>
      </w:r>
    </w:p>
    <w:p w14:paraId="63121731" w14:textId="77777777" w:rsidR="00BA713F" w:rsidRPr="00792B36" w:rsidRDefault="00BA713F" w:rsidP="00BA713F">
      <w:pPr>
        <w:spacing w:line="360" w:lineRule="auto"/>
        <w:ind w:left="851" w:hanging="851"/>
        <w:contextualSpacing/>
        <w:rPr>
          <w:color w:val="000000" w:themeColor="text1"/>
          <w:sz w:val="24"/>
          <w:szCs w:val="24"/>
        </w:rPr>
      </w:pPr>
    </w:p>
    <w:p w14:paraId="48109BC6" w14:textId="77777777" w:rsidR="00BA713F" w:rsidRPr="00792B36" w:rsidRDefault="00BA713F" w:rsidP="00BA713F">
      <w:pPr>
        <w:spacing w:line="360" w:lineRule="auto"/>
        <w:contextualSpacing/>
        <w:rPr>
          <w:color w:val="000000" w:themeColor="text1"/>
          <w:sz w:val="24"/>
          <w:szCs w:val="24"/>
        </w:rPr>
      </w:pPr>
      <w:r w:rsidRPr="00792B36">
        <w:rPr>
          <w:color w:val="000000" w:themeColor="text1"/>
          <w:sz w:val="24"/>
          <w:szCs w:val="24"/>
        </w:rPr>
        <w:t xml:space="preserve">Our World in Data, 2024.  Tourism’s contribution to GDP. </w:t>
      </w:r>
      <w:r w:rsidRPr="00792B36">
        <w:lastRenderedPageBreak/>
        <w:fldChar w:fldCharType="begin"/>
      </w:r>
      <w:r w:rsidRPr="00792B36">
        <w:instrText>HYPERLINK "https://www.unwto.org/tourism-statistics/economic-contribution-SDG" \t "_blank"</w:instrText>
      </w:r>
      <w:r w:rsidRPr="00792B36">
        <w:fldChar w:fldCharType="separate"/>
      </w:r>
      <w:r w:rsidRPr="00792B36">
        <w:rPr>
          <w:rStyle w:val="Hyperlink"/>
          <w:color w:val="000000" w:themeColor="text1"/>
          <w:sz w:val="24"/>
          <w:szCs w:val="24"/>
        </w:rPr>
        <w:t>https://www.unwto.org/tourism-statistics/economic-contribution-SDG</w:t>
      </w:r>
      <w:r w:rsidRPr="00792B36">
        <w:fldChar w:fldCharType="end"/>
      </w:r>
      <w:r w:rsidRPr="00792B36">
        <w:rPr>
          <w:color w:val="000000" w:themeColor="text1"/>
          <w:sz w:val="24"/>
          <w:szCs w:val="24"/>
        </w:rPr>
        <w:t xml:space="preserve"> (accessed 25 June 2025).</w:t>
      </w:r>
    </w:p>
    <w:p w14:paraId="4034E720" w14:textId="77777777" w:rsidR="00BA713F" w:rsidRPr="00792B36" w:rsidRDefault="00BA713F" w:rsidP="00BA713F">
      <w:pPr>
        <w:pBdr>
          <w:top w:val="nil"/>
          <w:left w:val="nil"/>
          <w:bottom w:val="nil"/>
          <w:right w:val="nil"/>
          <w:between w:val="nil"/>
        </w:pBdr>
        <w:spacing w:line="360" w:lineRule="auto"/>
        <w:ind w:left="851" w:hanging="851"/>
        <w:contextualSpacing/>
        <w:jc w:val="both"/>
        <w:rPr>
          <w:color w:val="000000" w:themeColor="text1"/>
          <w:sz w:val="24"/>
          <w:szCs w:val="24"/>
        </w:rPr>
      </w:pPr>
    </w:p>
    <w:p w14:paraId="48939B8E" w14:textId="77777777" w:rsidR="00BA713F" w:rsidRPr="00792B36" w:rsidRDefault="00BA713F" w:rsidP="00BA713F">
      <w:pPr>
        <w:pBdr>
          <w:top w:val="nil"/>
          <w:left w:val="nil"/>
          <w:bottom w:val="nil"/>
          <w:right w:val="nil"/>
          <w:between w:val="nil"/>
        </w:pBdr>
        <w:spacing w:line="360" w:lineRule="auto"/>
        <w:contextualSpacing/>
        <w:jc w:val="both"/>
        <w:rPr>
          <w:color w:val="000000" w:themeColor="text1"/>
          <w:sz w:val="24"/>
          <w:szCs w:val="24"/>
        </w:rPr>
      </w:pPr>
      <w:r w:rsidRPr="00792B36">
        <w:rPr>
          <w:color w:val="000000" w:themeColor="text1"/>
          <w:sz w:val="24"/>
          <w:szCs w:val="24"/>
        </w:rPr>
        <w:t>TMD, 2025. Tropical Cyclones in Thailand (1951-2024). Climate Center, Meteorological Development Division, Thai Meteorological Department.</w:t>
      </w:r>
    </w:p>
    <w:p w14:paraId="61C363C3" w14:textId="77777777" w:rsidR="00BA713F" w:rsidRPr="00792B36" w:rsidRDefault="00BA713F" w:rsidP="00BA713F">
      <w:pPr>
        <w:pBdr>
          <w:top w:val="nil"/>
          <w:left w:val="nil"/>
          <w:bottom w:val="nil"/>
          <w:right w:val="nil"/>
          <w:between w:val="nil"/>
        </w:pBdr>
        <w:spacing w:line="360" w:lineRule="auto"/>
        <w:ind w:left="851" w:hanging="851"/>
        <w:contextualSpacing/>
        <w:jc w:val="both"/>
        <w:rPr>
          <w:color w:val="000000" w:themeColor="text1"/>
          <w:sz w:val="24"/>
          <w:szCs w:val="24"/>
        </w:rPr>
      </w:pPr>
    </w:p>
    <w:p w14:paraId="1FD70D21" w14:textId="77777777" w:rsidR="00BA713F" w:rsidRPr="00792B36" w:rsidRDefault="00BA713F" w:rsidP="00BA713F">
      <w:pPr>
        <w:pBdr>
          <w:top w:val="nil"/>
          <w:left w:val="nil"/>
          <w:bottom w:val="nil"/>
          <w:right w:val="nil"/>
          <w:between w:val="nil"/>
        </w:pBdr>
        <w:spacing w:line="360" w:lineRule="auto"/>
        <w:ind w:left="851" w:hanging="851"/>
        <w:contextualSpacing/>
        <w:jc w:val="both"/>
        <w:rPr>
          <w:color w:val="000000" w:themeColor="text1"/>
          <w:sz w:val="24"/>
          <w:szCs w:val="24"/>
        </w:rPr>
      </w:pPr>
      <w:r w:rsidRPr="00792B36">
        <w:rPr>
          <w:color w:val="000000" w:themeColor="text1"/>
          <w:sz w:val="24"/>
          <w:szCs w:val="24"/>
        </w:rPr>
        <w:t xml:space="preserve">UNDP, 2025. Human Development Reports. </w:t>
      </w:r>
    </w:p>
    <w:p w14:paraId="181F63F0" w14:textId="77777777" w:rsidR="00BA713F" w:rsidRPr="00792B36" w:rsidRDefault="00BA713F" w:rsidP="00BA713F">
      <w:pPr>
        <w:pBdr>
          <w:top w:val="nil"/>
          <w:left w:val="nil"/>
          <w:bottom w:val="nil"/>
          <w:right w:val="nil"/>
          <w:between w:val="nil"/>
        </w:pBdr>
        <w:spacing w:line="360" w:lineRule="auto"/>
        <w:contextualSpacing/>
        <w:jc w:val="both"/>
        <w:rPr>
          <w:color w:val="000000" w:themeColor="text1"/>
          <w:sz w:val="24"/>
          <w:szCs w:val="24"/>
        </w:rPr>
      </w:pPr>
      <w:hyperlink r:id="rId72" w:history="1">
        <w:r w:rsidRPr="00792B36">
          <w:rPr>
            <w:rStyle w:val="Hyperlink"/>
            <w:sz w:val="24"/>
            <w:szCs w:val="24"/>
          </w:rPr>
          <w:t>https://hdr.undp.org/data-center/documentation-and-downloads</w:t>
        </w:r>
      </w:hyperlink>
      <w:r w:rsidRPr="00792B36">
        <w:rPr>
          <w:color w:val="000000" w:themeColor="text1"/>
          <w:sz w:val="24"/>
          <w:szCs w:val="24"/>
        </w:rPr>
        <w:t xml:space="preserve"> (accessed 22 April 2025).</w:t>
      </w:r>
    </w:p>
    <w:p w14:paraId="0749A377" w14:textId="77777777" w:rsidR="00BA713F" w:rsidRPr="00792B36" w:rsidRDefault="00BA713F" w:rsidP="00BA713F">
      <w:pPr>
        <w:spacing w:line="360" w:lineRule="auto"/>
        <w:ind w:left="709" w:hanging="709"/>
        <w:contextualSpacing/>
        <w:rPr>
          <w:color w:val="000000" w:themeColor="text1"/>
          <w:sz w:val="24"/>
          <w:szCs w:val="24"/>
        </w:rPr>
      </w:pPr>
    </w:p>
    <w:p w14:paraId="2F10C554" w14:textId="77777777" w:rsidR="00BA713F" w:rsidRPr="00792B36" w:rsidRDefault="00BA713F" w:rsidP="00BA713F">
      <w:pPr>
        <w:spacing w:line="360" w:lineRule="auto"/>
        <w:contextualSpacing/>
        <w:rPr>
          <w:color w:val="000000" w:themeColor="text1"/>
          <w:sz w:val="24"/>
          <w:szCs w:val="24"/>
        </w:rPr>
      </w:pPr>
      <w:r w:rsidRPr="00792B36">
        <w:rPr>
          <w:color w:val="000000" w:themeColor="text1"/>
          <w:sz w:val="24"/>
          <w:szCs w:val="24"/>
        </w:rPr>
        <w:t xml:space="preserve">UN-Habitat (United Nations Human Settlements Programme), 2016. </w:t>
      </w:r>
      <w:r w:rsidRPr="00792B36">
        <w:rPr>
          <w:i/>
          <w:iCs/>
          <w:color w:val="000000" w:themeColor="text1"/>
          <w:sz w:val="24"/>
          <w:szCs w:val="24"/>
        </w:rPr>
        <w:t>World Cities Report 2016, Urbanization and Development: Emerging Futures</w:t>
      </w:r>
      <w:r w:rsidRPr="00792B36">
        <w:rPr>
          <w:color w:val="000000" w:themeColor="text1"/>
          <w:sz w:val="24"/>
          <w:szCs w:val="24"/>
        </w:rPr>
        <w:t xml:space="preserve">. Nairobi. </w:t>
      </w:r>
      <w:r w:rsidRPr="00792B36">
        <w:fldChar w:fldCharType="begin"/>
      </w:r>
      <w:r w:rsidRPr="00792B36">
        <w:instrText>HYPERLINK "https://unhabitat.org/world-cities-report-2016" \t "_blank"</w:instrText>
      </w:r>
      <w:r w:rsidRPr="00792B36">
        <w:fldChar w:fldCharType="separate"/>
      </w:r>
      <w:r w:rsidRPr="00792B36">
        <w:rPr>
          <w:rStyle w:val="Hyperlink"/>
          <w:sz w:val="24"/>
          <w:szCs w:val="24"/>
        </w:rPr>
        <w:t>https://unhabitat.org/world-cities-report-2016</w:t>
      </w:r>
      <w:r w:rsidRPr="00792B36">
        <w:fldChar w:fldCharType="end"/>
      </w:r>
      <w:r w:rsidRPr="00792B36">
        <w:rPr>
          <w:color w:val="000000" w:themeColor="text1"/>
          <w:sz w:val="24"/>
          <w:szCs w:val="24"/>
        </w:rPr>
        <w:t xml:space="preserve"> (accessed 19 April 2025).</w:t>
      </w:r>
    </w:p>
    <w:p w14:paraId="316EEABA" w14:textId="77777777" w:rsidR="00BA713F" w:rsidRPr="00792B36" w:rsidRDefault="00BA713F" w:rsidP="00BA713F">
      <w:pPr>
        <w:spacing w:line="360" w:lineRule="auto"/>
        <w:ind w:left="851" w:hanging="851"/>
        <w:contextualSpacing/>
        <w:rPr>
          <w:color w:val="000000" w:themeColor="text1"/>
          <w:sz w:val="24"/>
          <w:szCs w:val="24"/>
        </w:rPr>
      </w:pPr>
    </w:p>
    <w:p w14:paraId="072FB8CA" w14:textId="77777777" w:rsidR="00BA713F" w:rsidRPr="00792B36" w:rsidRDefault="00BA713F" w:rsidP="00BA713F">
      <w:pPr>
        <w:spacing w:line="360" w:lineRule="auto"/>
        <w:contextualSpacing/>
        <w:rPr>
          <w:b/>
          <w:bCs/>
          <w:color w:val="31849B" w:themeColor="accent5" w:themeShade="BF"/>
          <w:sz w:val="24"/>
          <w:szCs w:val="24"/>
        </w:rPr>
      </w:pPr>
      <w:r w:rsidRPr="00792B36">
        <w:rPr>
          <w:color w:val="000000" w:themeColor="text1"/>
          <w:sz w:val="24"/>
          <w:szCs w:val="24"/>
        </w:rPr>
        <w:t>United Nations, Department of Economic and Social Affairs, Population Division, 2018. World Urbanization Prospects: The 2018 Revision, Online Edition.</w:t>
      </w:r>
    </w:p>
    <w:p w14:paraId="4CD0E158" w14:textId="77777777" w:rsidR="00BA713F" w:rsidRPr="00792B36" w:rsidRDefault="00BA713F" w:rsidP="00BA713F">
      <w:pPr>
        <w:spacing w:line="360" w:lineRule="auto"/>
        <w:contextualSpacing/>
        <w:rPr>
          <w:b/>
          <w:bCs/>
          <w:color w:val="000000" w:themeColor="text1"/>
          <w:sz w:val="24"/>
          <w:szCs w:val="24"/>
        </w:rPr>
      </w:pPr>
    </w:p>
    <w:p w14:paraId="0461BD25" w14:textId="77777777" w:rsidR="00BA713F" w:rsidRPr="00792B36" w:rsidRDefault="00BA713F" w:rsidP="00BA713F">
      <w:pPr>
        <w:spacing w:line="360" w:lineRule="auto"/>
        <w:contextualSpacing/>
        <w:rPr>
          <w:b/>
          <w:bCs/>
          <w:color w:val="000000" w:themeColor="text1"/>
          <w:sz w:val="24"/>
          <w:szCs w:val="24"/>
          <w:cs/>
        </w:rPr>
      </w:pPr>
    </w:p>
    <w:p w14:paraId="34A1F58E" w14:textId="77777777" w:rsidR="00BA713F" w:rsidRPr="00792B36" w:rsidRDefault="00BA713F" w:rsidP="00BA713F">
      <w:pPr>
        <w:spacing w:line="360" w:lineRule="auto"/>
        <w:rPr>
          <w:color w:val="000000" w:themeColor="text1"/>
          <w:cs/>
        </w:rPr>
      </w:pPr>
    </w:p>
    <w:p w14:paraId="0DCBC1CA" w14:textId="44561C81" w:rsidR="00B1503D" w:rsidRPr="00792B36" w:rsidRDefault="00B1503D">
      <w:pPr>
        <w:pBdr>
          <w:top w:val="nil"/>
          <w:left w:val="nil"/>
          <w:bottom w:val="nil"/>
          <w:right w:val="nil"/>
          <w:between w:val="nil"/>
        </w:pBdr>
        <w:rPr>
          <w:b/>
          <w:bCs/>
          <w:color w:val="000000"/>
          <w:sz w:val="24"/>
          <w:szCs w:val="24"/>
        </w:rPr>
      </w:pPr>
    </w:p>
    <w:p w14:paraId="2A41C0C8" w14:textId="77777777" w:rsidR="007A5A40" w:rsidRPr="00792B36" w:rsidRDefault="007A5A40">
      <w:pPr>
        <w:pBdr>
          <w:top w:val="nil"/>
          <w:left w:val="nil"/>
          <w:bottom w:val="nil"/>
          <w:right w:val="nil"/>
          <w:between w:val="nil"/>
        </w:pBdr>
        <w:rPr>
          <w:b/>
          <w:bCs/>
          <w:color w:val="000000"/>
          <w:sz w:val="24"/>
          <w:szCs w:val="24"/>
        </w:rPr>
      </w:pPr>
    </w:p>
    <w:p w14:paraId="49712F64" w14:textId="77777777" w:rsidR="007A5A40" w:rsidRPr="00792B36" w:rsidRDefault="007A5A40">
      <w:pPr>
        <w:pBdr>
          <w:top w:val="nil"/>
          <w:left w:val="nil"/>
          <w:bottom w:val="nil"/>
          <w:right w:val="nil"/>
          <w:between w:val="nil"/>
        </w:pBdr>
        <w:rPr>
          <w:b/>
          <w:bCs/>
          <w:color w:val="000000"/>
          <w:sz w:val="24"/>
          <w:szCs w:val="24"/>
        </w:rPr>
      </w:pPr>
    </w:p>
    <w:p w14:paraId="619BBBBF" w14:textId="77777777" w:rsidR="007A5A40" w:rsidRPr="00792B36" w:rsidRDefault="007A5A40">
      <w:pPr>
        <w:pBdr>
          <w:top w:val="nil"/>
          <w:left w:val="nil"/>
          <w:bottom w:val="nil"/>
          <w:right w:val="nil"/>
          <w:between w:val="nil"/>
        </w:pBdr>
        <w:rPr>
          <w:b/>
          <w:bCs/>
          <w:color w:val="000000"/>
          <w:sz w:val="24"/>
          <w:szCs w:val="24"/>
        </w:rPr>
      </w:pPr>
    </w:p>
    <w:p w14:paraId="45B5C51C" w14:textId="77777777" w:rsidR="007A5A40" w:rsidRPr="00792B36" w:rsidRDefault="007A5A40">
      <w:pPr>
        <w:pBdr>
          <w:top w:val="nil"/>
          <w:left w:val="nil"/>
          <w:bottom w:val="nil"/>
          <w:right w:val="nil"/>
          <w:between w:val="nil"/>
        </w:pBdr>
        <w:rPr>
          <w:b/>
          <w:bCs/>
          <w:color w:val="000000"/>
          <w:sz w:val="24"/>
          <w:szCs w:val="24"/>
        </w:rPr>
      </w:pPr>
    </w:p>
    <w:p w14:paraId="5F9FBFBD" w14:textId="77777777" w:rsidR="007A5A40" w:rsidRPr="00792B36" w:rsidRDefault="007A5A40">
      <w:pPr>
        <w:pBdr>
          <w:top w:val="nil"/>
          <w:left w:val="nil"/>
          <w:bottom w:val="nil"/>
          <w:right w:val="nil"/>
          <w:between w:val="nil"/>
        </w:pBdr>
        <w:rPr>
          <w:b/>
          <w:bCs/>
          <w:color w:val="000000"/>
          <w:sz w:val="24"/>
          <w:szCs w:val="24"/>
        </w:rPr>
      </w:pPr>
    </w:p>
    <w:p w14:paraId="1A97187A" w14:textId="77777777" w:rsidR="007A5A40" w:rsidRPr="00792B36" w:rsidRDefault="007A5A40">
      <w:pPr>
        <w:pBdr>
          <w:top w:val="nil"/>
          <w:left w:val="nil"/>
          <w:bottom w:val="nil"/>
          <w:right w:val="nil"/>
          <w:between w:val="nil"/>
        </w:pBdr>
        <w:rPr>
          <w:b/>
          <w:bCs/>
          <w:color w:val="000000"/>
          <w:sz w:val="24"/>
          <w:szCs w:val="24"/>
        </w:rPr>
      </w:pPr>
    </w:p>
    <w:p w14:paraId="664A30C9" w14:textId="77777777" w:rsidR="007A5A40" w:rsidRPr="00792B36" w:rsidRDefault="007A5A40">
      <w:pPr>
        <w:pBdr>
          <w:top w:val="nil"/>
          <w:left w:val="nil"/>
          <w:bottom w:val="nil"/>
          <w:right w:val="nil"/>
          <w:between w:val="nil"/>
        </w:pBdr>
        <w:rPr>
          <w:b/>
          <w:bCs/>
          <w:color w:val="000000"/>
          <w:sz w:val="24"/>
          <w:szCs w:val="24"/>
        </w:rPr>
      </w:pPr>
    </w:p>
    <w:p w14:paraId="42911757" w14:textId="77777777" w:rsidR="007A5A40" w:rsidRPr="00792B36" w:rsidRDefault="007A5A40">
      <w:pPr>
        <w:pBdr>
          <w:top w:val="nil"/>
          <w:left w:val="nil"/>
          <w:bottom w:val="nil"/>
          <w:right w:val="nil"/>
          <w:between w:val="nil"/>
        </w:pBdr>
        <w:rPr>
          <w:b/>
          <w:bCs/>
          <w:color w:val="000000"/>
          <w:sz w:val="24"/>
          <w:szCs w:val="24"/>
        </w:rPr>
      </w:pPr>
    </w:p>
    <w:p w14:paraId="5728C10F" w14:textId="77777777" w:rsidR="007A5A40" w:rsidRPr="00792B36" w:rsidRDefault="007A5A40">
      <w:pPr>
        <w:pBdr>
          <w:top w:val="nil"/>
          <w:left w:val="nil"/>
          <w:bottom w:val="nil"/>
          <w:right w:val="nil"/>
          <w:between w:val="nil"/>
        </w:pBdr>
        <w:rPr>
          <w:b/>
          <w:bCs/>
          <w:color w:val="000000"/>
          <w:sz w:val="24"/>
          <w:szCs w:val="24"/>
        </w:rPr>
      </w:pPr>
    </w:p>
    <w:p w14:paraId="31C3A6AF" w14:textId="77777777" w:rsidR="007A5A40" w:rsidRPr="00792B36" w:rsidRDefault="007A5A40">
      <w:pPr>
        <w:pBdr>
          <w:top w:val="nil"/>
          <w:left w:val="nil"/>
          <w:bottom w:val="nil"/>
          <w:right w:val="nil"/>
          <w:between w:val="nil"/>
        </w:pBdr>
        <w:rPr>
          <w:b/>
          <w:bCs/>
          <w:color w:val="000000"/>
          <w:sz w:val="24"/>
          <w:szCs w:val="24"/>
        </w:rPr>
      </w:pPr>
    </w:p>
    <w:p w14:paraId="23D8CAD8" w14:textId="77777777" w:rsidR="007A5A40" w:rsidRPr="00792B36" w:rsidRDefault="007A5A40">
      <w:pPr>
        <w:pBdr>
          <w:top w:val="nil"/>
          <w:left w:val="nil"/>
          <w:bottom w:val="nil"/>
          <w:right w:val="nil"/>
          <w:between w:val="nil"/>
        </w:pBdr>
        <w:rPr>
          <w:b/>
          <w:bCs/>
          <w:color w:val="000000"/>
          <w:sz w:val="24"/>
          <w:szCs w:val="24"/>
        </w:rPr>
      </w:pPr>
    </w:p>
    <w:p w14:paraId="17994C9C" w14:textId="77777777" w:rsidR="007A5A40" w:rsidRPr="00792B36" w:rsidRDefault="007A5A40">
      <w:pPr>
        <w:pBdr>
          <w:top w:val="nil"/>
          <w:left w:val="nil"/>
          <w:bottom w:val="nil"/>
          <w:right w:val="nil"/>
          <w:between w:val="nil"/>
        </w:pBdr>
        <w:rPr>
          <w:b/>
          <w:bCs/>
          <w:color w:val="000000"/>
          <w:sz w:val="24"/>
          <w:szCs w:val="24"/>
        </w:rPr>
      </w:pPr>
    </w:p>
    <w:p w14:paraId="3B64CA8E" w14:textId="77777777" w:rsidR="007A5A40" w:rsidRPr="00792B36" w:rsidRDefault="007A5A40">
      <w:pPr>
        <w:pBdr>
          <w:top w:val="nil"/>
          <w:left w:val="nil"/>
          <w:bottom w:val="nil"/>
          <w:right w:val="nil"/>
          <w:between w:val="nil"/>
        </w:pBdr>
        <w:rPr>
          <w:b/>
          <w:bCs/>
          <w:color w:val="000000"/>
          <w:sz w:val="24"/>
          <w:szCs w:val="24"/>
        </w:rPr>
      </w:pPr>
    </w:p>
    <w:p w14:paraId="4640DA34" w14:textId="77777777" w:rsidR="007A5A40" w:rsidRPr="00792B36" w:rsidRDefault="007A5A40">
      <w:pPr>
        <w:pBdr>
          <w:top w:val="nil"/>
          <w:left w:val="nil"/>
          <w:bottom w:val="nil"/>
          <w:right w:val="nil"/>
          <w:between w:val="nil"/>
        </w:pBdr>
        <w:rPr>
          <w:b/>
          <w:bCs/>
          <w:color w:val="000000"/>
          <w:sz w:val="24"/>
          <w:szCs w:val="24"/>
        </w:rPr>
      </w:pPr>
    </w:p>
    <w:p w14:paraId="32F748EF" w14:textId="77777777" w:rsidR="007A5A40" w:rsidRPr="00792B36" w:rsidRDefault="007A5A40">
      <w:pPr>
        <w:pBdr>
          <w:top w:val="nil"/>
          <w:left w:val="nil"/>
          <w:bottom w:val="nil"/>
          <w:right w:val="nil"/>
          <w:between w:val="nil"/>
        </w:pBdr>
        <w:rPr>
          <w:b/>
          <w:bCs/>
          <w:color w:val="000000"/>
          <w:sz w:val="24"/>
          <w:szCs w:val="24"/>
        </w:rPr>
      </w:pPr>
    </w:p>
    <w:p w14:paraId="7E46391F" w14:textId="77777777" w:rsidR="007A5A40" w:rsidRPr="00792B36" w:rsidRDefault="007A5A40">
      <w:pPr>
        <w:pBdr>
          <w:top w:val="nil"/>
          <w:left w:val="nil"/>
          <w:bottom w:val="nil"/>
          <w:right w:val="nil"/>
          <w:between w:val="nil"/>
        </w:pBdr>
        <w:rPr>
          <w:b/>
          <w:bCs/>
          <w:color w:val="000000"/>
          <w:sz w:val="24"/>
          <w:szCs w:val="24"/>
        </w:rPr>
      </w:pPr>
    </w:p>
    <w:p w14:paraId="1126B109" w14:textId="0D9DB4AB" w:rsidR="00942BB6" w:rsidRPr="00792B36" w:rsidRDefault="00942BB6">
      <w:pPr>
        <w:rPr>
          <w:b/>
          <w:bCs/>
          <w:color w:val="000000"/>
          <w:sz w:val="24"/>
          <w:szCs w:val="24"/>
        </w:rPr>
      </w:pPr>
      <w:r w:rsidRPr="00792B36">
        <w:rPr>
          <w:b/>
          <w:bCs/>
          <w:color w:val="000000"/>
          <w:sz w:val="24"/>
          <w:szCs w:val="24"/>
        </w:rPr>
        <w:br w:type="page"/>
      </w:r>
    </w:p>
    <w:p w14:paraId="50222209" w14:textId="0E412972" w:rsidR="007D1694" w:rsidRPr="00792B36" w:rsidRDefault="007D1694" w:rsidP="007D1694">
      <w:pPr>
        <w:pStyle w:val="Title"/>
        <w:spacing w:before="0" w:after="0"/>
        <w:rPr>
          <w:sz w:val="28"/>
          <w:szCs w:val="28"/>
        </w:rPr>
      </w:pPr>
      <w:r w:rsidRPr="00792B36">
        <w:rPr>
          <w:sz w:val="28"/>
          <w:szCs w:val="28"/>
        </w:rPr>
        <w:lastRenderedPageBreak/>
        <w:t xml:space="preserve">III. Pollution </w:t>
      </w:r>
    </w:p>
    <w:p w14:paraId="7A6E80FE" w14:textId="77777777" w:rsidR="007D1694" w:rsidRPr="00792B36" w:rsidRDefault="007D1694" w:rsidP="007D1694">
      <w:pPr>
        <w:rPr>
          <w:sz w:val="24"/>
          <w:szCs w:val="24"/>
        </w:rPr>
      </w:pPr>
    </w:p>
    <w:p w14:paraId="7B61A82A" w14:textId="77777777" w:rsidR="003B0291" w:rsidRPr="00792B36" w:rsidRDefault="003B0291" w:rsidP="007D1694">
      <w:pPr>
        <w:rPr>
          <w:sz w:val="24"/>
          <w:szCs w:val="24"/>
        </w:rPr>
      </w:pPr>
    </w:p>
    <w:p w14:paraId="5595DC17" w14:textId="77777777" w:rsidR="007123E7" w:rsidRPr="00067F99" w:rsidRDefault="007123E7" w:rsidP="007123E7">
      <w:pPr>
        <w:ind w:firstLine="720"/>
        <w:jc w:val="thaiDistribute"/>
        <w:rPr>
          <w:sz w:val="24"/>
          <w:szCs w:val="24"/>
          <w:lang w:bidi="ar-SA"/>
        </w:rPr>
      </w:pPr>
      <w:r w:rsidRPr="00067F99">
        <w:rPr>
          <w:sz w:val="24"/>
          <w:szCs w:val="24"/>
          <w:lang w:bidi="ar-SA"/>
        </w:rPr>
        <w:t>Thailand’s coastal and marine environments face mounting pressures from land-based pollution that threaten economic development, public health, and ecosystem integrity. Key pollution sources are industrial effluents, agricultural runoff, untreated domestic wastewater, and solid waste (notably plastics). The Upper Gulf of Thailand is the most critically affected area due to large riverine inflows that deliver high nutrient and organic loads, driving seasonal eutrophication, harmful algal blooms and hypoxic events that cause fish kills and aquaculture losses. The Eastern Economic Corridor (EEC) is a major hotspot for industrial and hazardous discharges. Annual municipal solid waste generation reached about 27.2 million tons in 2024, with only ~38% receiving proper disposal, sustaining high leakage of plastics to rivers and coasts.</w:t>
      </w:r>
    </w:p>
    <w:p w14:paraId="712931D3" w14:textId="77777777" w:rsidR="007123E7" w:rsidRPr="00067F99" w:rsidRDefault="007123E7" w:rsidP="007123E7">
      <w:pPr>
        <w:ind w:firstLine="720"/>
        <w:jc w:val="thaiDistribute"/>
        <w:rPr>
          <w:sz w:val="24"/>
          <w:szCs w:val="24"/>
          <w:lang w:bidi="ar-SA"/>
        </w:rPr>
      </w:pPr>
      <w:r w:rsidRPr="00067F99">
        <w:rPr>
          <w:sz w:val="24"/>
          <w:szCs w:val="24"/>
          <w:lang w:bidi="ar-SA"/>
        </w:rPr>
        <w:t>These dynamics create clear social and economic impacts: reduced fisheries productivity, lost tourism revenue, elevated public health risk from contaminated seafood and bathing waters, and rising remediation costs. Existing monitoring shows that most marine waters retain beneficial quality, but persistent localized hotspots, data gaps (notably agricultural nutrient loading), and enforcement and infrastructure shortfalls present clear risks to future resilience.</w:t>
      </w:r>
    </w:p>
    <w:p w14:paraId="546952D4" w14:textId="77777777" w:rsidR="007123E7" w:rsidRPr="00067F99" w:rsidRDefault="007123E7" w:rsidP="007123E7">
      <w:pPr>
        <w:pStyle w:val="Heading1"/>
        <w:jc w:val="thaiDistribute"/>
        <w:rPr>
          <w:sz w:val="24"/>
          <w:szCs w:val="24"/>
        </w:rPr>
      </w:pPr>
      <w:r w:rsidRPr="00067F99">
        <w:rPr>
          <w:sz w:val="24"/>
          <w:szCs w:val="24"/>
        </w:rPr>
        <w:t>3.1 Key Findings, Pollution Concerns, and National-Regional Significance</w:t>
      </w:r>
    </w:p>
    <w:p w14:paraId="679B6D80" w14:textId="77777777" w:rsidR="007123E7" w:rsidRPr="00067F99" w:rsidRDefault="007123E7" w:rsidP="007123E7">
      <w:pPr>
        <w:jc w:val="thaiDistribute"/>
        <w:rPr>
          <w:sz w:val="24"/>
          <w:szCs w:val="24"/>
        </w:rPr>
      </w:pPr>
      <w:r w:rsidRPr="00067F99">
        <w:rPr>
          <w:sz w:val="24"/>
          <w:szCs w:val="24"/>
        </w:rPr>
        <w:t xml:space="preserve">Thailand faces escalating environmental pressures from both land-based and marine pollution, which pose serious risks to economic development, public health, and ecosystem integrity. Pollution-related costs are estimated at 2 - 3% of GDP annually, driven by industrial effluents, agricultural runoff, untreated domestic wastewater, and plastic waste leakage.  </w:t>
      </w:r>
    </w:p>
    <w:p w14:paraId="50C4A336" w14:textId="77777777" w:rsidR="007123E7" w:rsidRPr="00067F99" w:rsidRDefault="007123E7" w:rsidP="007123E7">
      <w:pPr>
        <w:pStyle w:val="whitespace-normal"/>
        <w:jc w:val="thaiDistribute"/>
        <w:rPr>
          <w:rFonts w:ascii="Arial" w:hAnsi="Arial" w:cs="Arial"/>
        </w:rPr>
      </w:pPr>
      <w:r w:rsidRPr="00067F99">
        <w:rPr>
          <w:rFonts w:ascii="Arial" w:hAnsi="Arial" w:cs="Arial"/>
        </w:rPr>
        <w:t xml:space="preserve">The country faces persistent and growing pressures from land-based pollution sources, with coastal water quality most critically stressed in the Upper Gulf of Thailand. The region experiences the most severe impacts due to riverine inflows from the Chao Phraya, </w:t>
      </w:r>
      <w:proofErr w:type="spellStart"/>
      <w:r w:rsidRPr="00067F99">
        <w:rPr>
          <w:rFonts w:ascii="Arial" w:hAnsi="Arial" w:cs="Arial"/>
        </w:rPr>
        <w:t>Tha</w:t>
      </w:r>
      <w:proofErr w:type="spellEnd"/>
      <w:r w:rsidRPr="00067F99">
        <w:rPr>
          <w:rFonts w:ascii="Arial" w:hAnsi="Arial" w:cs="Arial"/>
        </w:rPr>
        <w:t xml:space="preserve"> Chin, Mae Klong, and Bang </w:t>
      </w:r>
      <w:proofErr w:type="spellStart"/>
      <w:r w:rsidRPr="00067F99">
        <w:rPr>
          <w:rFonts w:ascii="Arial" w:hAnsi="Arial" w:cs="Arial"/>
        </w:rPr>
        <w:t>Pakong</w:t>
      </w:r>
      <w:proofErr w:type="spellEnd"/>
      <w:r w:rsidRPr="00067F99">
        <w:rPr>
          <w:rFonts w:ascii="Arial" w:hAnsi="Arial" w:cs="Arial"/>
        </w:rPr>
        <w:t xml:space="preserve"> Rivers, which deliver high nutrient and organic loads, driving recurrent algal and plankton blooms and seasonal hypoxic events that cause fish kills and aquaculture losses. Table 1 outlines the key pollution concerns affecting Thailand’s marine and coastal zones, highlighting their sources, impacted areas, and consequences.</w:t>
      </w:r>
    </w:p>
    <w:p w14:paraId="22B6350C" w14:textId="77777777" w:rsidR="007123E7" w:rsidRPr="00067F99" w:rsidRDefault="007123E7" w:rsidP="007123E7">
      <w:pPr>
        <w:pStyle w:val="Heading2"/>
        <w:rPr>
          <w:b w:val="0"/>
          <w:bCs w:val="0"/>
          <w:sz w:val="24"/>
          <w:szCs w:val="24"/>
        </w:rPr>
      </w:pPr>
      <w:r w:rsidRPr="00067F99">
        <w:rPr>
          <w:b w:val="0"/>
          <w:bCs w:val="0"/>
          <w:sz w:val="24"/>
          <w:szCs w:val="24"/>
        </w:rPr>
        <w:t>Table 1: Major Pollution Sources and Impacts</w:t>
      </w:r>
    </w:p>
    <w:tbl>
      <w:tblPr>
        <w:tblStyle w:val="TableGrid"/>
        <w:tblW w:w="9445" w:type="dxa"/>
        <w:tblLook w:val="04A0" w:firstRow="1" w:lastRow="0" w:firstColumn="1" w:lastColumn="0" w:noHBand="0" w:noVBand="1"/>
      </w:tblPr>
      <w:tblGrid>
        <w:gridCol w:w="1858"/>
        <w:gridCol w:w="2637"/>
        <w:gridCol w:w="2340"/>
        <w:gridCol w:w="2610"/>
      </w:tblGrid>
      <w:tr w:rsidR="007123E7" w:rsidRPr="00067F99" w14:paraId="7D573D9A" w14:textId="77777777" w:rsidTr="00E27C70">
        <w:trPr>
          <w:tblHeader/>
        </w:trPr>
        <w:tc>
          <w:tcPr>
            <w:tcW w:w="1858" w:type="dxa"/>
          </w:tcPr>
          <w:p w14:paraId="431DCC73" w14:textId="77777777" w:rsidR="007123E7" w:rsidRPr="00067F99" w:rsidRDefault="007123E7" w:rsidP="00E27C70">
            <w:pPr>
              <w:pStyle w:val="whitespace-normal"/>
              <w:rPr>
                <w:rFonts w:ascii="Arial" w:hAnsi="Arial" w:cs="Arial"/>
                <w:b/>
                <w:bCs/>
              </w:rPr>
            </w:pPr>
            <w:r w:rsidRPr="00067F99">
              <w:rPr>
                <w:rFonts w:ascii="Arial" w:hAnsi="Arial" w:cs="Arial"/>
                <w:b/>
                <w:bCs/>
              </w:rPr>
              <w:t>Pollution Category</w:t>
            </w:r>
          </w:p>
        </w:tc>
        <w:tc>
          <w:tcPr>
            <w:tcW w:w="2637" w:type="dxa"/>
          </w:tcPr>
          <w:p w14:paraId="69392F5E" w14:textId="77777777" w:rsidR="007123E7" w:rsidRPr="00067F99" w:rsidRDefault="007123E7" w:rsidP="00E27C70">
            <w:pPr>
              <w:pStyle w:val="whitespace-normal"/>
              <w:rPr>
                <w:rFonts w:ascii="Arial" w:hAnsi="Arial" w:cs="Arial"/>
                <w:b/>
                <w:bCs/>
              </w:rPr>
            </w:pPr>
            <w:r w:rsidRPr="00067F99">
              <w:rPr>
                <w:rFonts w:ascii="Arial" w:hAnsi="Arial" w:cs="Arial"/>
                <w:b/>
                <w:bCs/>
              </w:rPr>
              <w:t>Key Aspects</w:t>
            </w:r>
          </w:p>
        </w:tc>
        <w:tc>
          <w:tcPr>
            <w:tcW w:w="2340" w:type="dxa"/>
          </w:tcPr>
          <w:p w14:paraId="51DB0FF3" w14:textId="77777777" w:rsidR="007123E7" w:rsidRPr="00067F99" w:rsidRDefault="007123E7" w:rsidP="00E27C70">
            <w:pPr>
              <w:pStyle w:val="whitespace-normal"/>
              <w:rPr>
                <w:rFonts w:ascii="Arial" w:hAnsi="Arial" w:cs="Arial"/>
                <w:b/>
                <w:bCs/>
              </w:rPr>
            </w:pPr>
            <w:r w:rsidRPr="00067F99">
              <w:rPr>
                <w:rFonts w:ascii="Arial" w:hAnsi="Arial" w:cs="Arial"/>
                <w:b/>
                <w:bCs/>
              </w:rPr>
              <w:t>Primary Locations</w:t>
            </w:r>
          </w:p>
        </w:tc>
        <w:tc>
          <w:tcPr>
            <w:tcW w:w="2610" w:type="dxa"/>
          </w:tcPr>
          <w:p w14:paraId="5BFFBF35" w14:textId="77777777" w:rsidR="007123E7" w:rsidRPr="00067F99" w:rsidRDefault="007123E7" w:rsidP="00E27C70">
            <w:pPr>
              <w:pStyle w:val="whitespace-normal"/>
              <w:rPr>
                <w:rFonts w:ascii="Arial" w:hAnsi="Arial" w:cs="Arial"/>
                <w:b/>
                <w:bCs/>
              </w:rPr>
            </w:pPr>
            <w:r w:rsidRPr="00067F99">
              <w:rPr>
                <w:rFonts w:ascii="Arial" w:hAnsi="Arial" w:cs="Arial"/>
                <w:b/>
                <w:bCs/>
              </w:rPr>
              <w:t>Environmental &amp; Socioeconomic Impacts</w:t>
            </w:r>
          </w:p>
        </w:tc>
      </w:tr>
      <w:tr w:rsidR="007123E7" w:rsidRPr="00067F99" w14:paraId="6737AB0F" w14:textId="77777777" w:rsidTr="00E27C70">
        <w:tc>
          <w:tcPr>
            <w:tcW w:w="1858" w:type="dxa"/>
          </w:tcPr>
          <w:p w14:paraId="16E3259F" w14:textId="77777777" w:rsidR="007123E7" w:rsidRPr="00067F99" w:rsidRDefault="007123E7" w:rsidP="00E27C70">
            <w:pPr>
              <w:pStyle w:val="whitespace-normal"/>
              <w:rPr>
                <w:rFonts w:ascii="Arial" w:hAnsi="Arial" w:cs="Arial"/>
              </w:rPr>
            </w:pPr>
            <w:r w:rsidRPr="00067F99">
              <w:rPr>
                <w:rFonts w:ascii="Arial" w:hAnsi="Arial" w:cs="Arial"/>
              </w:rPr>
              <w:t>1. Nutrient &amp; Organic Loading</w:t>
            </w:r>
          </w:p>
        </w:tc>
        <w:tc>
          <w:tcPr>
            <w:tcW w:w="2637" w:type="dxa"/>
          </w:tcPr>
          <w:p w14:paraId="23271529" w14:textId="77777777" w:rsidR="007123E7" w:rsidRPr="00067F99" w:rsidRDefault="007123E7" w:rsidP="00E27C70">
            <w:pPr>
              <w:pStyle w:val="whitespace-normal"/>
              <w:rPr>
                <w:rFonts w:ascii="Arial" w:hAnsi="Arial" w:cs="Arial"/>
                <w:b/>
                <w:bCs/>
              </w:rPr>
            </w:pPr>
            <w:r w:rsidRPr="00067F99">
              <w:rPr>
                <w:rFonts w:ascii="Arial" w:hAnsi="Arial" w:cs="Arial"/>
              </w:rPr>
              <w:t xml:space="preserve">- Untreated/partially treated municipal wastewater, industrial effluents, and agricultural runoff contribute to elevated levels of Biochemical </w:t>
            </w:r>
            <w:r w:rsidRPr="00067F99">
              <w:rPr>
                <w:rFonts w:ascii="Arial" w:hAnsi="Arial" w:cs="Arial"/>
              </w:rPr>
              <w:lastRenderedPageBreak/>
              <w:t>Oxygen Demand (BOD), Chemical Oxygen Demand (COD), and nutrients (nitrogen, phosphorus).</w:t>
            </w:r>
            <w:r w:rsidRPr="00067F99">
              <w:rPr>
                <w:rFonts w:ascii="Arial" w:hAnsi="Arial" w:cs="Arial"/>
                <w:cs/>
              </w:rPr>
              <w:br/>
            </w:r>
            <w:r w:rsidRPr="00067F99">
              <w:rPr>
                <w:rFonts w:ascii="Arial" w:hAnsi="Arial" w:cs="Arial"/>
              </w:rPr>
              <w:t>Seasonal eutrophication and algal blooms are common.</w:t>
            </w:r>
          </w:p>
        </w:tc>
        <w:tc>
          <w:tcPr>
            <w:tcW w:w="2340" w:type="dxa"/>
          </w:tcPr>
          <w:p w14:paraId="2D639BEA" w14:textId="77777777" w:rsidR="007123E7" w:rsidRPr="00067F99" w:rsidRDefault="007123E7" w:rsidP="00E27C70">
            <w:pPr>
              <w:pStyle w:val="whitespace-normal"/>
              <w:rPr>
                <w:rFonts w:ascii="Arial" w:hAnsi="Arial" w:cs="Arial"/>
              </w:rPr>
            </w:pPr>
            <w:r w:rsidRPr="00067F99">
              <w:rPr>
                <w:rFonts w:ascii="Arial" w:hAnsi="Arial" w:cs="Arial"/>
              </w:rPr>
              <w:lastRenderedPageBreak/>
              <w:t>- Upper Gulf of Thailand (Bangkok vicinity, Chao Phraya River mouth)</w:t>
            </w:r>
            <w:r w:rsidRPr="00067F99">
              <w:rPr>
                <w:rFonts w:ascii="Arial" w:hAnsi="Arial" w:cs="Arial"/>
                <w:cs/>
              </w:rPr>
              <w:br/>
            </w:r>
            <w:r w:rsidRPr="00067F99">
              <w:rPr>
                <w:rFonts w:ascii="Arial" w:hAnsi="Arial" w:cs="Arial"/>
              </w:rPr>
              <w:t xml:space="preserve">- Estuarine zones with high </w:t>
            </w:r>
            <w:r w:rsidRPr="00067F99">
              <w:rPr>
                <w:rFonts w:ascii="Arial" w:hAnsi="Arial" w:cs="Arial"/>
              </w:rPr>
              <w:lastRenderedPageBreak/>
              <w:t>urban/agricultural discharge</w:t>
            </w:r>
          </w:p>
        </w:tc>
        <w:tc>
          <w:tcPr>
            <w:tcW w:w="2610" w:type="dxa"/>
          </w:tcPr>
          <w:p w14:paraId="61612790" w14:textId="77777777" w:rsidR="007123E7" w:rsidRPr="00067F99" w:rsidRDefault="007123E7" w:rsidP="00E27C70">
            <w:pPr>
              <w:pStyle w:val="whitespace-normal"/>
              <w:rPr>
                <w:rFonts w:ascii="Arial" w:hAnsi="Arial" w:cs="Arial"/>
              </w:rPr>
            </w:pPr>
            <w:r w:rsidRPr="00067F99">
              <w:rPr>
                <w:rFonts w:ascii="Arial" w:hAnsi="Arial" w:cs="Arial"/>
              </w:rPr>
              <w:lastRenderedPageBreak/>
              <w:t>- Hypoxia (low oxygen) events harming marine biodiversity</w:t>
            </w:r>
            <w:r w:rsidRPr="00067F99">
              <w:rPr>
                <w:rFonts w:ascii="Arial" w:hAnsi="Arial" w:cs="Arial"/>
                <w:cs/>
              </w:rPr>
              <w:br/>
            </w:r>
            <w:r w:rsidRPr="00067F99">
              <w:rPr>
                <w:rFonts w:ascii="Arial" w:hAnsi="Arial" w:cs="Arial"/>
              </w:rPr>
              <w:t>- Fish kills and aquaculture losses</w:t>
            </w:r>
            <w:r w:rsidRPr="00067F99">
              <w:rPr>
                <w:rFonts w:ascii="Arial" w:hAnsi="Arial" w:cs="Arial"/>
                <w:cs/>
              </w:rPr>
              <w:br/>
            </w:r>
            <w:r w:rsidRPr="00067F99">
              <w:rPr>
                <w:rFonts w:ascii="Arial" w:hAnsi="Arial" w:cs="Arial"/>
              </w:rPr>
              <w:t xml:space="preserve">- degraded water </w:t>
            </w:r>
            <w:r w:rsidRPr="00067F99">
              <w:rPr>
                <w:rFonts w:ascii="Arial" w:hAnsi="Arial" w:cs="Arial"/>
              </w:rPr>
              <w:lastRenderedPageBreak/>
              <w:t>quality affecting tourism</w:t>
            </w:r>
          </w:p>
        </w:tc>
      </w:tr>
      <w:tr w:rsidR="007123E7" w:rsidRPr="00067F99" w14:paraId="5747D8C0" w14:textId="77777777" w:rsidTr="00E27C70">
        <w:tc>
          <w:tcPr>
            <w:tcW w:w="1858" w:type="dxa"/>
          </w:tcPr>
          <w:p w14:paraId="5DAA3FEE" w14:textId="77777777" w:rsidR="007123E7" w:rsidRPr="00067F99" w:rsidRDefault="007123E7" w:rsidP="00E27C70">
            <w:pPr>
              <w:pStyle w:val="whitespace-normal"/>
              <w:rPr>
                <w:rFonts w:ascii="Arial" w:hAnsi="Arial" w:cs="Arial"/>
              </w:rPr>
            </w:pPr>
            <w:r w:rsidRPr="00067F99">
              <w:rPr>
                <w:rFonts w:ascii="Arial" w:hAnsi="Arial" w:cs="Arial"/>
              </w:rPr>
              <w:lastRenderedPageBreak/>
              <w:t>2. Solid Waste &amp; Marine Litter</w:t>
            </w:r>
          </w:p>
        </w:tc>
        <w:tc>
          <w:tcPr>
            <w:tcW w:w="2637" w:type="dxa"/>
          </w:tcPr>
          <w:p w14:paraId="6763735D" w14:textId="77777777" w:rsidR="007123E7" w:rsidRPr="00067F99" w:rsidRDefault="007123E7" w:rsidP="00E27C70">
            <w:pPr>
              <w:pStyle w:val="whitespace-normal"/>
              <w:rPr>
                <w:rFonts w:ascii="Arial" w:hAnsi="Arial" w:cs="Arial"/>
              </w:rPr>
            </w:pPr>
            <w:r w:rsidRPr="00067F99">
              <w:rPr>
                <w:rFonts w:ascii="Arial" w:hAnsi="Arial" w:cs="Arial"/>
              </w:rPr>
              <w:t xml:space="preserve">- ~27.2 million </w:t>
            </w:r>
            <w:proofErr w:type="spellStart"/>
            <w:r w:rsidRPr="00067F99">
              <w:rPr>
                <w:rFonts w:ascii="Arial" w:hAnsi="Arial" w:cs="Arial"/>
              </w:rPr>
              <w:t>tonnes</w:t>
            </w:r>
            <w:proofErr w:type="spellEnd"/>
            <w:r w:rsidRPr="00067F99">
              <w:rPr>
                <w:rFonts w:ascii="Arial" w:hAnsi="Arial" w:cs="Arial"/>
              </w:rPr>
              <w:t xml:space="preserve"> of municipal solid waste generated (in 2024 properly treated)</w:t>
            </w:r>
            <w:r w:rsidRPr="00067F99">
              <w:rPr>
                <w:rFonts w:ascii="Arial" w:hAnsi="Arial" w:cs="Arial"/>
                <w:cs/>
              </w:rPr>
              <w:br/>
            </w:r>
            <w:r w:rsidRPr="00067F99">
              <w:rPr>
                <w:rFonts w:ascii="Arial" w:hAnsi="Arial" w:cs="Arial"/>
              </w:rPr>
              <w:t>- High plastics leakage from tourism and urban centers</w:t>
            </w:r>
          </w:p>
        </w:tc>
        <w:tc>
          <w:tcPr>
            <w:tcW w:w="2340" w:type="dxa"/>
          </w:tcPr>
          <w:p w14:paraId="6D4D91D2" w14:textId="77777777" w:rsidR="007123E7" w:rsidRPr="00067F99" w:rsidRDefault="007123E7" w:rsidP="00E27C70">
            <w:pPr>
              <w:pStyle w:val="whitespace-normal"/>
              <w:rPr>
                <w:rFonts w:ascii="Arial" w:hAnsi="Arial" w:cs="Arial"/>
              </w:rPr>
            </w:pPr>
            <w:r w:rsidRPr="00067F99">
              <w:rPr>
                <w:rFonts w:ascii="Arial" w:hAnsi="Arial" w:cs="Arial"/>
              </w:rPr>
              <w:t>- Coastal provinces: Chonburi, Phuket, Koh Samui, Pattaya</w:t>
            </w:r>
            <w:r w:rsidRPr="00067F99">
              <w:rPr>
                <w:rFonts w:ascii="Arial" w:hAnsi="Arial" w:cs="Arial"/>
                <w:cs/>
              </w:rPr>
              <w:br/>
            </w:r>
            <w:r w:rsidRPr="00067F99">
              <w:rPr>
                <w:rFonts w:ascii="Arial" w:hAnsi="Arial" w:cs="Arial"/>
              </w:rPr>
              <w:t>- River mouths draining into the Gulf of Thailand</w:t>
            </w:r>
          </w:p>
        </w:tc>
        <w:tc>
          <w:tcPr>
            <w:tcW w:w="2610" w:type="dxa"/>
          </w:tcPr>
          <w:p w14:paraId="53E019BA" w14:textId="77777777" w:rsidR="007123E7" w:rsidRPr="00067F99" w:rsidRDefault="007123E7" w:rsidP="00E27C70">
            <w:pPr>
              <w:pStyle w:val="whitespace-normal"/>
              <w:rPr>
                <w:rFonts w:ascii="Arial" w:hAnsi="Arial" w:cs="Arial"/>
              </w:rPr>
            </w:pPr>
            <w:r w:rsidRPr="00067F99">
              <w:rPr>
                <w:rFonts w:ascii="Arial" w:hAnsi="Arial" w:cs="Arial"/>
              </w:rPr>
              <w:t>- Accumulation of marine litter on beaches and mangroves</w:t>
            </w:r>
            <w:r w:rsidRPr="00067F99">
              <w:rPr>
                <w:rFonts w:ascii="Arial" w:hAnsi="Arial" w:cs="Arial"/>
                <w:cs/>
              </w:rPr>
              <w:br/>
            </w:r>
            <w:r w:rsidRPr="00067F99">
              <w:rPr>
                <w:rFonts w:ascii="Arial" w:hAnsi="Arial" w:cs="Arial"/>
              </w:rPr>
              <w:t>- Microplastic contamination in marine food chains</w:t>
            </w:r>
            <w:r w:rsidRPr="00067F99">
              <w:rPr>
                <w:rFonts w:ascii="Arial" w:hAnsi="Arial" w:cs="Arial"/>
                <w:cs/>
              </w:rPr>
              <w:br/>
            </w:r>
            <w:r w:rsidRPr="00067F99">
              <w:rPr>
                <w:rFonts w:ascii="Arial" w:hAnsi="Arial" w:cs="Arial"/>
              </w:rPr>
              <w:t>- Negative impact on fisheries, tourism, and coastal aesthetics</w:t>
            </w:r>
          </w:p>
        </w:tc>
      </w:tr>
      <w:tr w:rsidR="007123E7" w:rsidRPr="00067F99" w14:paraId="502FA331" w14:textId="77777777" w:rsidTr="00E27C70">
        <w:tc>
          <w:tcPr>
            <w:tcW w:w="1858" w:type="dxa"/>
          </w:tcPr>
          <w:p w14:paraId="7A5311F7" w14:textId="77777777" w:rsidR="007123E7" w:rsidRPr="00067F99" w:rsidRDefault="007123E7" w:rsidP="00E27C70">
            <w:pPr>
              <w:pStyle w:val="whitespace-normal"/>
              <w:rPr>
                <w:rFonts w:ascii="Arial" w:hAnsi="Arial" w:cs="Arial"/>
              </w:rPr>
            </w:pPr>
            <w:r w:rsidRPr="00067F99">
              <w:rPr>
                <w:rFonts w:ascii="Arial" w:hAnsi="Arial" w:cs="Arial"/>
              </w:rPr>
              <w:t>3. Industrial &amp; Hazardous Pollution</w:t>
            </w:r>
          </w:p>
        </w:tc>
        <w:tc>
          <w:tcPr>
            <w:tcW w:w="2637" w:type="dxa"/>
          </w:tcPr>
          <w:p w14:paraId="5FE5373A" w14:textId="77777777" w:rsidR="007123E7" w:rsidRPr="00067F99" w:rsidRDefault="007123E7" w:rsidP="00E27C70">
            <w:pPr>
              <w:pStyle w:val="whitespace-normal"/>
              <w:rPr>
                <w:rFonts w:ascii="Arial" w:hAnsi="Arial" w:cs="Arial"/>
              </w:rPr>
            </w:pPr>
            <w:r w:rsidRPr="00067F99">
              <w:rPr>
                <w:rFonts w:ascii="Arial" w:hAnsi="Arial" w:cs="Arial"/>
              </w:rPr>
              <w:t>- Wastewater and hazardous discharges from petrochemical, manufacturing, and heavy industries</w:t>
            </w:r>
            <w:r w:rsidRPr="00067F99">
              <w:rPr>
                <w:rFonts w:ascii="Arial" w:hAnsi="Arial" w:cs="Arial"/>
                <w:cs/>
              </w:rPr>
              <w:br/>
            </w:r>
            <w:r w:rsidRPr="00067F99">
              <w:rPr>
                <w:rFonts w:ascii="Arial" w:hAnsi="Arial" w:cs="Arial"/>
              </w:rPr>
              <w:t>- Includes heavy metals, solvents, and persistent organic pollutants</w:t>
            </w:r>
            <w:r w:rsidRPr="00067F99">
              <w:rPr>
                <w:rFonts w:ascii="Arial" w:hAnsi="Arial" w:cs="Arial"/>
                <w:cs/>
              </w:rPr>
              <w:br/>
            </w:r>
            <w:r w:rsidRPr="00067F99">
              <w:rPr>
                <w:rFonts w:ascii="Arial" w:hAnsi="Arial" w:cs="Arial"/>
              </w:rPr>
              <w:t>- Linked to industrial expansion in the Eastern Economic Corridor (EEC)</w:t>
            </w:r>
          </w:p>
        </w:tc>
        <w:tc>
          <w:tcPr>
            <w:tcW w:w="2340" w:type="dxa"/>
          </w:tcPr>
          <w:p w14:paraId="778487B4" w14:textId="77777777" w:rsidR="007123E7" w:rsidRPr="00067F99" w:rsidRDefault="007123E7" w:rsidP="00E27C70">
            <w:pPr>
              <w:pStyle w:val="whitespace-normal"/>
              <w:rPr>
                <w:rFonts w:ascii="Arial" w:hAnsi="Arial" w:cs="Arial"/>
              </w:rPr>
            </w:pPr>
            <w:r w:rsidRPr="00067F99">
              <w:rPr>
                <w:rFonts w:ascii="Arial" w:hAnsi="Arial" w:cs="Arial"/>
              </w:rPr>
              <w:t>- Rayong, Chachoengsao, Chonburi (EEC zone)</w:t>
            </w:r>
            <w:r w:rsidRPr="00067F99">
              <w:rPr>
                <w:rFonts w:ascii="Arial" w:hAnsi="Arial" w:cs="Arial"/>
                <w:cs/>
              </w:rPr>
              <w:br/>
            </w:r>
            <w:r w:rsidRPr="00067F99">
              <w:rPr>
                <w:rFonts w:ascii="Arial" w:hAnsi="Arial" w:cs="Arial"/>
              </w:rPr>
              <w:t>- Industrial estates and export zones</w:t>
            </w:r>
          </w:p>
        </w:tc>
        <w:tc>
          <w:tcPr>
            <w:tcW w:w="2610" w:type="dxa"/>
          </w:tcPr>
          <w:p w14:paraId="32570A37" w14:textId="77777777" w:rsidR="007123E7" w:rsidRPr="00067F99" w:rsidRDefault="007123E7" w:rsidP="00E27C70">
            <w:pPr>
              <w:pStyle w:val="whitespace-normal"/>
              <w:rPr>
                <w:rFonts w:ascii="Arial" w:hAnsi="Arial" w:cs="Arial"/>
              </w:rPr>
            </w:pPr>
            <w:r w:rsidRPr="00067F99">
              <w:rPr>
                <w:rFonts w:ascii="Arial" w:hAnsi="Arial" w:cs="Arial"/>
              </w:rPr>
              <w:t>- Contamination of coastal waters and sediments</w:t>
            </w:r>
            <w:r w:rsidRPr="00067F99">
              <w:rPr>
                <w:rFonts w:ascii="Arial" w:hAnsi="Arial" w:cs="Arial"/>
                <w:cs/>
              </w:rPr>
              <w:br/>
            </w:r>
            <w:r w:rsidRPr="00067F99">
              <w:rPr>
                <w:rFonts w:ascii="Arial" w:hAnsi="Arial" w:cs="Arial"/>
              </w:rPr>
              <w:t>- Bioaccumulation in seafood affecting public health</w:t>
            </w:r>
            <w:r w:rsidRPr="00067F99">
              <w:rPr>
                <w:rFonts w:ascii="Arial" w:hAnsi="Arial" w:cs="Arial"/>
                <w:cs/>
              </w:rPr>
              <w:br/>
            </w:r>
            <w:r w:rsidRPr="00067F99">
              <w:rPr>
                <w:rFonts w:ascii="Arial" w:hAnsi="Arial" w:cs="Arial"/>
              </w:rPr>
              <w:t>- Conflict between industrial development and</w:t>
            </w:r>
            <w:r w:rsidRPr="00067F99">
              <w:rPr>
                <w:rFonts w:ascii="Arial" w:hAnsi="Arial" w:cs="Arial"/>
                <w:cs/>
              </w:rPr>
              <w:t xml:space="preserve"> </w:t>
            </w:r>
            <w:r w:rsidRPr="00067F99">
              <w:rPr>
                <w:rFonts w:ascii="Arial" w:hAnsi="Arial" w:cs="Arial"/>
              </w:rPr>
              <w:t>fisheries/aquaculture livelihoods</w:t>
            </w:r>
          </w:p>
        </w:tc>
      </w:tr>
      <w:tr w:rsidR="007123E7" w:rsidRPr="00067F99" w14:paraId="5C1A46AC" w14:textId="77777777" w:rsidTr="00E27C70">
        <w:tc>
          <w:tcPr>
            <w:tcW w:w="1858" w:type="dxa"/>
          </w:tcPr>
          <w:p w14:paraId="4E946604" w14:textId="77777777" w:rsidR="007123E7" w:rsidRPr="00067F99" w:rsidRDefault="007123E7" w:rsidP="00E27C70">
            <w:pPr>
              <w:pStyle w:val="whitespace-normal"/>
              <w:rPr>
                <w:rFonts w:ascii="Arial" w:hAnsi="Arial" w:cs="Arial"/>
              </w:rPr>
            </w:pPr>
            <w:r w:rsidRPr="00067F99">
              <w:rPr>
                <w:rFonts w:ascii="Arial" w:hAnsi="Arial" w:cs="Arial"/>
              </w:rPr>
              <w:t>4. Oil Spills &amp; Hydrocarbon Pollution</w:t>
            </w:r>
          </w:p>
        </w:tc>
        <w:tc>
          <w:tcPr>
            <w:tcW w:w="2637" w:type="dxa"/>
          </w:tcPr>
          <w:p w14:paraId="2E1A91C7" w14:textId="77777777" w:rsidR="007123E7" w:rsidRPr="00067F99" w:rsidRDefault="007123E7" w:rsidP="00E27C70">
            <w:pPr>
              <w:pStyle w:val="whitespace-normal"/>
              <w:rPr>
                <w:rFonts w:ascii="Arial" w:hAnsi="Arial" w:cs="Arial"/>
              </w:rPr>
            </w:pPr>
            <w:r w:rsidRPr="00067F99">
              <w:rPr>
                <w:rFonts w:ascii="Arial" w:hAnsi="Arial" w:cs="Arial"/>
              </w:rPr>
              <w:t>- Risks from offshore petroleum operations, shipping lanes, and port activities</w:t>
            </w:r>
            <w:r w:rsidRPr="00067F99">
              <w:rPr>
                <w:rFonts w:ascii="Arial" w:hAnsi="Arial" w:cs="Arial"/>
                <w:cs/>
              </w:rPr>
              <w:br/>
            </w:r>
            <w:r w:rsidRPr="00067F99">
              <w:rPr>
                <w:rFonts w:ascii="Arial" w:hAnsi="Arial" w:cs="Arial"/>
              </w:rPr>
              <w:t>- Notable incidents like the Rayong oil spill (2022)</w:t>
            </w:r>
            <w:r w:rsidRPr="00067F99">
              <w:rPr>
                <w:rFonts w:ascii="Arial" w:hAnsi="Arial" w:cs="Arial"/>
                <w:cs/>
              </w:rPr>
              <w:br/>
            </w:r>
            <w:r w:rsidRPr="00067F99">
              <w:rPr>
                <w:rFonts w:ascii="Arial" w:hAnsi="Arial" w:cs="Arial"/>
              </w:rPr>
              <w:t>- Chronic low-level hydrocarbon pollution from vessel discharges</w:t>
            </w:r>
          </w:p>
        </w:tc>
        <w:tc>
          <w:tcPr>
            <w:tcW w:w="2340" w:type="dxa"/>
          </w:tcPr>
          <w:p w14:paraId="4C574F77" w14:textId="77777777" w:rsidR="007123E7" w:rsidRPr="00067F99" w:rsidRDefault="007123E7" w:rsidP="00E27C70">
            <w:pPr>
              <w:pStyle w:val="whitespace-normal"/>
              <w:rPr>
                <w:rFonts w:ascii="Arial" w:hAnsi="Arial" w:cs="Arial"/>
              </w:rPr>
            </w:pPr>
            <w:r w:rsidRPr="00067F99">
              <w:rPr>
                <w:rFonts w:ascii="Arial" w:hAnsi="Arial" w:cs="Arial"/>
              </w:rPr>
              <w:t>- Gulf of Thailand</w:t>
            </w:r>
            <w:r w:rsidRPr="00067F99">
              <w:rPr>
                <w:rFonts w:ascii="Arial" w:hAnsi="Arial" w:cs="Arial"/>
                <w:cs/>
              </w:rPr>
              <w:br/>
            </w:r>
            <w:r w:rsidRPr="00067F99">
              <w:rPr>
                <w:rFonts w:ascii="Arial" w:hAnsi="Arial" w:cs="Arial"/>
              </w:rPr>
              <w:t>- Port areas and shipping routes</w:t>
            </w:r>
            <w:r w:rsidRPr="00067F99">
              <w:rPr>
                <w:rFonts w:ascii="Arial" w:hAnsi="Arial" w:cs="Arial"/>
                <w:cs/>
              </w:rPr>
              <w:br/>
            </w:r>
            <w:r w:rsidRPr="00067F99">
              <w:rPr>
                <w:rFonts w:ascii="Arial" w:hAnsi="Arial" w:cs="Arial"/>
              </w:rPr>
              <w:t>- Rayong coast</w:t>
            </w:r>
          </w:p>
        </w:tc>
        <w:tc>
          <w:tcPr>
            <w:tcW w:w="2610" w:type="dxa"/>
          </w:tcPr>
          <w:p w14:paraId="4C906FB5" w14:textId="77777777" w:rsidR="007123E7" w:rsidRPr="00067F99" w:rsidRDefault="007123E7" w:rsidP="00E27C70">
            <w:pPr>
              <w:pStyle w:val="whitespace-normal"/>
              <w:rPr>
                <w:rFonts w:ascii="Arial" w:hAnsi="Arial" w:cs="Arial"/>
              </w:rPr>
            </w:pPr>
            <w:r w:rsidRPr="00067F99">
              <w:rPr>
                <w:rFonts w:ascii="Arial" w:hAnsi="Arial" w:cs="Arial"/>
              </w:rPr>
              <w:t>- Coral reef and seagrass damage</w:t>
            </w:r>
            <w:r w:rsidRPr="00067F99">
              <w:rPr>
                <w:rFonts w:ascii="Arial" w:hAnsi="Arial" w:cs="Arial"/>
                <w:cs/>
              </w:rPr>
              <w:br/>
            </w:r>
            <w:r w:rsidRPr="00067F99">
              <w:rPr>
                <w:rFonts w:ascii="Arial" w:hAnsi="Arial" w:cs="Arial"/>
              </w:rPr>
              <w:t>- Economic losses in tourism and seafood sectors</w:t>
            </w:r>
            <w:r w:rsidRPr="00067F99">
              <w:rPr>
                <w:rFonts w:ascii="Arial" w:hAnsi="Arial" w:cs="Arial"/>
                <w:cs/>
              </w:rPr>
              <w:br/>
            </w:r>
            <w:r w:rsidRPr="00067F99">
              <w:rPr>
                <w:rFonts w:ascii="Arial" w:hAnsi="Arial" w:cs="Arial"/>
              </w:rPr>
              <w:t>- Long-term ecological degradation</w:t>
            </w:r>
          </w:p>
        </w:tc>
      </w:tr>
      <w:tr w:rsidR="007123E7" w:rsidRPr="00067F99" w14:paraId="41B5D81D" w14:textId="77777777" w:rsidTr="00E27C70">
        <w:tc>
          <w:tcPr>
            <w:tcW w:w="1858" w:type="dxa"/>
          </w:tcPr>
          <w:p w14:paraId="77161F1B" w14:textId="77777777" w:rsidR="007123E7" w:rsidRPr="00067F99" w:rsidRDefault="007123E7" w:rsidP="00E27C70">
            <w:pPr>
              <w:pStyle w:val="whitespace-normal"/>
              <w:rPr>
                <w:rFonts w:ascii="Arial" w:hAnsi="Arial" w:cs="Arial"/>
              </w:rPr>
            </w:pPr>
            <w:r w:rsidRPr="00067F99">
              <w:rPr>
                <w:rFonts w:ascii="Arial" w:hAnsi="Arial" w:cs="Arial"/>
              </w:rPr>
              <w:t>5. High-Risk &amp; Sensitive Areas</w:t>
            </w:r>
          </w:p>
        </w:tc>
        <w:tc>
          <w:tcPr>
            <w:tcW w:w="2637" w:type="dxa"/>
          </w:tcPr>
          <w:p w14:paraId="26B43ADB" w14:textId="77777777" w:rsidR="007123E7" w:rsidRPr="00067F99" w:rsidRDefault="007123E7" w:rsidP="00E27C70">
            <w:pPr>
              <w:pStyle w:val="whitespace-normal"/>
              <w:rPr>
                <w:rFonts w:ascii="Arial" w:hAnsi="Arial" w:cs="Arial"/>
              </w:rPr>
            </w:pPr>
            <w:r w:rsidRPr="00067F99">
              <w:rPr>
                <w:rFonts w:ascii="Arial" w:hAnsi="Arial" w:cs="Arial"/>
              </w:rPr>
              <w:t xml:space="preserve">- Ecosystems and zones highly vulnerable to pollution </w:t>
            </w:r>
            <w:r w:rsidRPr="00067F99">
              <w:rPr>
                <w:rFonts w:ascii="Arial" w:hAnsi="Arial" w:cs="Arial"/>
              </w:rPr>
              <w:lastRenderedPageBreak/>
              <w:t>stressors</w:t>
            </w:r>
            <w:r w:rsidRPr="00067F99">
              <w:rPr>
                <w:rFonts w:ascii="Arial" w:hAnsi="Arial" w:cs="Arial"/>
                <w:cs/>
              </w:rPr>
              <w:br/>
            </w:r>
            <w:r w:rsidRPr="00067F99">
              <w:rPr>
                <w:rFonts w:ascii="Arial" w:hAnsi="Arial" w:cs="Arial"/>
              </w:rPr>
              <w:t>- Includes enclosed bays, coral reefs, mangroves, and estuaries</w:t>
            </w:r>
            <w:r w:rsidRPr="00067F99">
              <w:rPr>
                <w:rFonts w:ascii="Arial" w:hAnsi="Arial" w:cs="Arial"/>
                <w:cs/>
              </w:rPr>
              <w:br/>
            </w:r>
            <w:r w:rsidRPr="00067F99">
              <w:rPr>
                <w:rFonts w:ascii="Arial" w:hAnsi="Arial" w:cs="Arial"/>
              </w:rPr>
              <w:t>- Often overlap with tourism hotspots and industrial zones</w:t>
            </w:r>
          </w:p>
        </w:tc>
        <w:tc>
          <w:tcPr>
            <w:tcW w:w="2340" w:type="dxa"/>
          </w:tcPr>
          <w:p w14:paraId="6B42BA8C" w14:textId="77777777" w:rsidR="007123E7" w:rsidRPr="00067F99" w:rsidRDefault="007123E7" w:rsidP="00E27C70">
            <w:pPr>
              <w:pStyle w:val="whitespace-normal"/>
              <w:rPr>
                <w:rFonts w:ascii="Arial" w:hAnsi="Arial" w:cs="Arial"/>
              </w:rPr>
            </w:pPr>
            <w:r w:rsidRPr="00067F99">
              <w:rPr>
                <w:rFonts w:ascii="Arial" w:hAnsi="Arial" w:cs="Arial"/>
              </w:rPr>
              <w:lastRenderedPageBreak/>
              <w:t>- Upper Gulf of Thailand</w:t>
            </w:r>
            <w:r w:rsidRPr="00067F99">
              <w:rPr>
                <w:rFonts w:ascii="Arial" w:hAnsi="Arial" w:cs="Arial"/>
                <w:cs/>
              </w:rPr>
              <w:br/>
            </w:r>
            <w:r w:rsidRPr="00067F99">
              <w:rPr>
                <w:rFonts w:ascii="Arial" w:hAnsi="Arial" w:cs="Arial"/>
              </w:rPr>
              <w:t xml:space="preserve">- Rayong-Chonburi </w:t>
            </w:r>
            <w:r w:rsidRPr="00067F99">
              <w:rPr>
                <w:rFonts w:ascii="Arial" w:hAnsi="Arial" w:cs="Arial"/>
              </w:rPr>
              <w:lastRenderedPageBreak/>
              <w:t>coasts</w:t>
            </w:r>
            <w:r w:rsidRPr="00067F99">
              <w:rPr>
                <w:rFonts w:ascii="Arial" w:hAnsi="Arial" w:cs="Arial"/>
                <w:cs/>
              </w:rPr>
              <w:br/>
            </w:r>
            <w:r w:rsidRPr="00067F99">
              <w:rPr>
                <w:rFonts w:ascii="Arial" w:hAnsi="Arial" w:cs="Arial"/>
              </w:rPr>
              <w:t xml:space="preserve">- Phuket, Krabi, Phi </w:t>
            </w:r>
            <w:proofErr w:type="spellStart"/>
            <w:r w:rsidRPr="00067F99">
              <w:rPr>
                <w:rFonts w:ascii="Arial" w:hAnsi="Arial" w:cs="Arial"/>
              </w:rPr>
              <w:t>Phi</w:t>
            </w:r>
            <w:proofErr w:type="spellEnd"/>
            <w:r w:rsidRPr="00067F99">
              <w:rPr>
                <w:rFonts w:ascii="Arial" w:hAnsi="Arial" w:cs="Arial"/>
              </w:rPr>
              <w:t xml:space="preserve"> Islands (Andaman Sea)</w:t>
            </w:r>
            <w:r w:rsidRPr="00067F99">
              <w:rPr>
                <w:rFonts w:ascii="Arial" w:hAnsi="Arial" w:cs="Arial"/>
                <w:cs/>
              </w:rPr>
              <w:br/>
            </w:r>
            <w:r w:rsidRPr="00067F99">
              <w:rPr>
                <w:rFonts w:ascii="Arial" w:hAnsi="Arial" w:cs="Arial"/>
              </w:rPr>
              <w:t>- Pattaya Bay, Koh Samui (Gulf)</w:t>
            </w:r>
            <w:r w:rsidRPr="00067F99">
              <w:rPr>
                <w:rFonts w:ascii="Arial" w:hAnsi="Arial" w:cs="Arial"/>
                <w:cs/>
              </w:rPr>
              <w:br/>
            </w:r>
            <w:r w:rsidRPr="00067F99">
              <w:rPr>
                <w:rFonts w:ascii="Arial" w:hAnsi="Arial" w:cs="Arial"/>
              </w:rPr>
              <w:t>- Major river mouths and estuaries</w:t>
            </w:r>
            <w:r w:rsidRPr="00067F99">
              <w:rPr>
                <w:rFonts w:ascii="Arial" w:hAnsi="Arial" w:cs="Arial"/>
                <w:cs/>
              </w:rPr>
              <w:br/>
            </w:r>
            <w:r w:rsidRPr="00067F99">
              <w:rPr>
                <w:rFonts w:ascii="Arial" w:hAnsi="Arial" w:cs="Arial"/>
              </w:rPr>
              <w:t>- Coral reef and seagrass ecosystems</w:t>
            </w:r>
            <w:r w:rsidRPr="00067F99">
              <w:rPr>
                <w:rFonts w:ascii="Arial" w:hAnsi="Arial" w:cs="Arial"/>
                <w:cs/>
              </w:rPr>
              <w:br/>
            </w:r>
            <w:r w:rsidRPr="00067F99">
              <w:rPr>
                <w:rFonts w:ascii="Arial" w:hAnsi="Arial" w:cs="Arial"/>
              </w:rPr>
              <w:t>- Mangrove forests</w:t>
            </w:r>
          </w:p>
        </w:tc>
        <w:tc>
          <w:tcPr>
            <w:tcW w:w="2610" w:type="dxa"/>
          </w:tcPr>
          <w:p w14:paraId="79FB88A3" w14:textId="77777777" w:rsidR="007123E7" w:rsidRPr="00067F99" w:rsidRDefault="007123E7" w:rsidP="00E27C70">
            <w:pPr>
              <w:pStyle w:val="whitespace-normal"/>
              <w:rPr>
                <w:rFonts w:ascii="Arial" w:hAnsi="Arial" w:cs="Arial"/>
              </w:rPr>
            </w:pPr>
            <w:r w:rsidRPr="00067F99">
              <w:rPr>
                <w:rFonts w:ascii="Arial" w:hAnsi="Arial" w:cs="Arial"/>
              </w:rPr>
              <w:lastRenderedPageBreak/>
              <w:t xml:space="preserve">Biodiversity loss, reduced climate resilience, threats to </w:t>
            </w:r>
            <w:r w:rsidRPr="00067F99">
              <w:rPr>
                <w:rFonts w:ascii="Arial" w:hAnsi="Arial" w:cs="Arial"/>
              </w:rPr>
              <w:lastRenderedPageBreak/>
              <w:t xml:space="preserve">fisheries and tourism-dependent livelihoods </w:t>
            </w:r>
          </w:p>
        </w:tc>
      </w:tr>
    </w:tbl>
    <w:p w14:paraId="7830B6F6" w14:textId="77777777" w:rsidR="007123E7" w:rsidRPr="00067F99" w:rsidRDefault="007123E7" w:rsidP="007123E7">
      <w:pPr>
        <w:pStyle w:val="Heading2"/>
        <w:rPr>
          <w:sz w:val="24"/>
          <w:szCs w:val="24"/>
        </w:rPr>
      </w:pPr>
      <w:r w:rsidRPr="00067F99">
        <w:rPr>
          <w:sz w:val="24"/>
          <w:szCs w:val="24"/>
        </w:rPr>
        <w:lastRenderedPageBreak/>
        <w:t>Regional and Transboundary Dimensions</w:t>
      </w:r>
    </w:p>
    <w:p w14:paraId="7FE7E0D1" w14:textId="77777777" w:rsidR="007123E7" w:rsidRPr="00067F99" w:rsidRDefault="007123E7" w:rsidP="007123E7">
      <w:pPr>
        <w:pStyle w:val="whitespace-normal"/>
        <w:rPr>
          <w:rFonts w:ascii="Arial" w:hAnsi="Arial" w:cs="Arial"/>
        </w:rPr>
      </w:pPr>
      <w:r w:rsidRPr="00067F99">
        <w:rPr>
          <w:rFonts w:ascii="Arial" w:hAnsi="Arial" w:cs="Arial"/>
        </w:rPr>
        <w:t>Thailand’ pollution challenges have regional implications:</w:t>
      </w:r>
    </w:p>
    <w:p w14:paraId="7DA8AFE0" w14:textId="77777777" w:rsidR="007123E7" w:rsidRPr="00067F99" w:rsidRDefault="007123E7" w:rsidP="007123E7">
      <w:pPr>
        <w:pStyle w:val="whitespace-normal"/>
        <w:numPr>
          <w:ilvl w:val="0"/>
          <w:numId w:val="35"/>
        </w:numPr>
        <w:jc w:val="thaiDistribute"/>
        <w:rPr>
          <w:rFonts w:ascii="Arial" w:hAnsi="Arial" w:cs="Arial"/>
        </w:rPr>
      </w:pPr>
      <w:r w:rsidRPr="00067F99">
        <w:rPr>
          <w:rStyle w:val="Strong"/>
          <w:rFonts w:ascii="Arial" w:hAnsi="Arial" w:cs="Arial"/>
        </w:rPr>
        <w:t>Gulf of Thailand</w:t>
      </w:r>
      <w:r w:rsidRPr="00067F99">
        <w:rPr>
          <w:rFonts w:ascii="Arial" w:hAnsi="Arial" w:cs="Arial"/>
        </w:rPr>
        <w:t>: As a semi-enclosed sea, nutrient enrichment and pollution accumulation affect EEZ boundaries (Thailand, Cambodia, Vietnam)</w:t>
      </w:r>
    </w:p>
    <w:p w14:paraId="4B70319D" w14:textId="77777777" w:rsidR="007123E7" w:rsidRPr="00067F99" w:rsidRDefault="007123E7" w:rsidP="007123E7">
      <w:pPr>
        <w:pStyle w:val="whitespace-normal"/>
        <w:numPr>
          <w:ilvl w:val="0"/>
          <w:numId w:val="35"/>
        </w:numPr>
        <w:jc w:val="thaiDistribute"/>
        <w:rPr>
          <w:rFonts w:ascii="Arial" w:hAnsi="Arial" w:cs="Arial"/>
        </w:rPr>
      </w:pPr>
      <w:r w:rsidRPr="00067F99">
        <w:rPr>
          <w:rStyle w:val="Strong"/>
          <w:rFonts w:ascii="Arial" w:hAnsi="Arial" w:cs="Arial"/>
        </w:rPr>
        <w:t>Marine debris transport</w:t>
      </w:r>
      <w:r w:rsidRPr="00067F99">
        <w:rPr>
          <w:rFonts w:ascii="Arial" w:hAnsi="Arial" w:cs="Arial"/>
        </w:rPr>
        <w:t>: Plastics and litter are transported by monsoon-driven currents into neighboring waters, contributing to regional marine debris problems</w:t>
      </w:r>
    </w:p>
    <w:p w14:paraId="2A2C3D03" w14:textId="77777777" w:rsidR="007123E7" w:rsidRPr="00067F99" w:rsidRDefault="007123E7" w:rsidP="007123E7">
      <w:pPr>
        <w:pStyle w:val="whitespace-normal"/>
        <w:numPr>
          <w:ilvl w:val="0"/>
          <w:numId w:val="35"/>
        </w:numPr>
        <w:jc w:val="thaiDistribute"/>
        <w:rPr>
          <w:rFonts w:ascii="Arial" w:hAnsi="Arial" w:cs="Arial"/>
        </w:rPr>
      </w:pPr>
      <w:r w:rsidRPr="00067F99">
        <w:rPr>
          <w:rStyle w:val="Strong"/>
          <w:rFonts w:ascii="Arial" w:hAnsi="Arial" w:cs="Arial"/>
        </w:rPr>
        <w:t>Andaman Sea connectivity</w:t>
      </w:r>
      <w:r w:rsidRPr="00067F99">
        <w:rPr>
          <w:rFonts w:ascii="Arial" w:hAnsi="Arial" w:cs="Arial"/>
        </w:rPr>
        <w:t>: Thailand shares connected ecosystems with Myanmar and Malaysia, where nutrient and waste flows affect coral reefs, fisheries, and shared biodiversity</w:t>
      </w:r>
    </w:p>
    <w:p w14:paraId="7E2D61EB" w14:textId="77777777" w:rsidR="007123E7" w:rsidRPr="00067F99" w:rsidRDefault="007123E7" w:rsidP="007123E7">
      <w:pPr>
        <w:pStyle w:val="whitespace-normal"/>
        <w:numPr>
          <w:ilvl w:val="0"/>
          <w:numId w:val="35"/>
        </w:numPr>
        <w:jc w:val="thaiDistribute"/>
        <w:rPr>
          <w:rFonts w:ascii="Arial" w:hAnsi="Arial" w:cs="Arial"/>
        </w:rPr>
      </w:pPr>
      <w:r w:rsidRPr="00067F99">
        <w:rPr>
          <w:rStyle w:val="Strong"/>
          <w:rFonts w:ascii="Arial" w:hAnsi="Arial" w:cs="Arial"/>
        </w:rPr>
        <w:t>Coordination needs</w:t>
      </w:r>
      <w:r w:rsidRPr="00067F99">
        <w:rPr>
          <w:rFonts w:ascii="Arial" w:hAnsi="Arial" w:cs="Arial"/>
        </w:rPr>
        <w:t>: Transboundary transport of plastics and nutrients requires joint monitoring and response via COBSEA, ASEAN frameworks, and bilateral mechanisms</w:t>
      </w:r>
    </w:p>
    <w:p w14:paraId="2E127FAA" w14:textId="77777777" w:rsidR="007123E7" w:rsidRPr="00067F99" w:rsidRDefault="007123E7" w:rsidP="007123E7">
      <w:pPr>
        <w:pStyle w:val="Heading2"/>
        <w:rPr>
          <w:sz w:val="24"/>
          <w:szCs w:val="24"/>
        </w:rPr>
      </w:pPr>
      <w:r w:rsidRPr="00067F99">
        <w:rPr>
          <w:sz w:val="24"/>
          <w:szCs w:val="24"/>
        </w:rPr>
        <w:t>Strategic</w:t>
      </w:r>
      <w:r w:rsidRPr="00067F99">
        <w:rPr>
          <w:strike/>
          <w:sz w:val="24"/>
          <w:szCs w:val="24"/>
        </w:rPr>
        <w:t xml:space="preserve"> </w:t>
      </w:r>
      <w:r w:rsidRPr="00067F99">
        <w:rPr>
          <w:sz w:val="24"/>
          <w:szCs w:val="24"/>
        </w:rPr>
        <w:t>Implications</w:t>
      </w:r>
    </w:p>
    <w:p w14:paraId="16B86A03" w14:textId="77777777" w:rsidR="007123E7" w:rsidRPr="00067F99" w:rsidRDefault="007123E7" w:rsidP="007123E7">
      <w:pPr>
        <w:spacing w:before="100" w:beforeAutospacing="1" w:after="100" w:afterAutospacing="1"/>
        <w:jc w:val="thaiDistribute"/>
        <w:outlineLvl w:val="2"/>
        <w:rPr>
          <w:sz w:val="24"/>
          <w:szCs w:val="24"/>
        </w:rPr>
      </w:pPr>
      <w:r w:rsidRPr="00067F99">
        <w:rPr>
          <w:sz w:val="24"/>
          <w:szCs w:val="24"/>
        </w:rPr>
        <w:t xml:space="preserve">Thailand’s coastal and marine environments are among the country’s most valuable natural assets, supporting biodiversity, livelihoods, and economic activities such as fisheries, aquaculture, and tourism. As urbanization, industrial development, and tourism continue to grow, these ecosystems face increasing pressure from nutrient pollution, solid waste leakage, and marine litter. In 2024, Thailand generated approximately 27.2 million tonnes of municipal solid waste, with only 38% properly treated—highlighting the need for improved waste management systems. Additionally, untreated wastewater and agricultural runoff contribute to seasonal eutrophication, particularly in the Upper Gulf of Thailand. Industrial zones along the Eastern Economic Corridor also present challenges in managing hazardous discharges. Addressing these issues demands strengthened national infrastructure, improved enforcement, and regional cooperation to reduce nutrient loads, enhance waste management, and prevent marine litter leakage. </w:t>
      </w:r>
    </w:p>
    <w:p w14:paraId="3BC7B2FB" w14:textId="77777777" w:rsidR="007123E7" w:rsidRPr="00067F99" w:rsidRDefault="007123E7" w:rsidP="007123E7">
      <w:pPr>
        <w:pStyle w:val="ListParagraph"/>
        <w:widowControl/>
        <w:numPr>
          <w:ilvl w:val="1"/>
          <w:numId w:val="36"/>
        </w:numPr>
        <w:tabs>
          <w:tab w:val="left" w:pos="450"/>
        </w:tabs>
        <w:spacing w:after="160" w:line="259" w:lineRule="auto"/>
        <w:rPr>
          <w:rFonts w:cs="Arial"/>
          <w:sz w:val="24"/>
          <w:szCs w:val="24"/>
        </w:rPr>
      </w:pPr>
      <w:r w:rsidRPr="00067F99">
        <w:rPr>
          <w:rFonts w:cs="Arial"/>
          <w:b/>
          <w:bCs/>
          <w:sz w:val="24"/>
          <w:szCs w:val="24"/>
        </w:rPr>
        <w:t xml:space="preserve">Current Status by indicator group </w:t>
      </w:r>
    </w:p>
    <w:p w14:paraId="772A225E" w14:textId="77777777" w:rsidR="007123E7" w:rsidRPr="00067F99" w:rsidRDefault="007123E7" w:rsidP="007123E7">
      <w:pPr>
        <w:pStyle w:val="ListParagraph"/>
        <w:tabs>
          <w:tab w:val="left" w:pos="450"/>
        </w:tabs>
        <w:ind w:left="360"/>
        <w:rPr>
          <w:rFonts w:cs="Arial"/>
          <w:sz w:val="24"/>
          <w:szCs w:val="24"/>
        </w:rPr>
      </w:pPr>
      <w:r w:rsidRPr="00067F99">
        <w:rPr>
          <w:rFonts w:cs="Arial"/>
          <w:sz w:val="24"/>
          <w:szCs w:val="24"/>
        </w:rPr>
        <w:lastRenderedPageBreak/>
        <w:t>Indicators are summarized nationally with emphasis on the Gulf of Thailand and the Andaman Sea.</w:t>
      </w:r>
    </w:p>
    <w:p w14:paraId="26757287" w14:textId="77777777" w:rsidR="007123E7" w:rsidRPr="00067F99" w:rsidRDefault="007123E7" w:rsidP="007123E7">
      <w:pPr>
        <w:pStyle w:val="ListParagraph"/>
        <w:tabs>
          <w:tab w:val="left" w:pos="450"/>
        </w:tabs>
        <w:ind w:left="360"/>
        <w:rPr>
          <w:rFonts w:cs="Arial"/>
          <w:b/>
          <w:bCs/>
          <w:sz w:val="24"/>
          <w:szCs w:val="24"/>
        </w:rPr>
      </w:pPr>
    </w:p>
    <w:p w14:paraId="02B75A9F" w14:textId="77777777" w:rsidR="007123E7" w:rsidRPr="00067F99" w:rsidRDefault="007123E7" w:rsidP="007123E7">
      <w:pPr>
        <w:pStyle w:val="ListParagraph"/>
        <w:widowControl/>
        <w:numPr>
          <w:ilvl w:val="2"/>
          <w:numId w:val="36"/>
        </w:numPr>
        <w:tabs>
          <w:tab w:val="left" w:pos="450"/>
        </w:tabs>
        <w:spacing w:after="160" w:line="259" w:lineRule="auto"/>
        <w:ind w:left="540" w:hanging="528"/>
        <w:rPr>
          <w:rFonts w:cs="Arial"/>
          <w:b/>
          <w:bCs/>
          <w:sz w:val="24"/>
          <w:szCs w:val="24"/>
        </w:rPr>
      </w:pPr>
      <w:r w:rsidRPr="00067F99">
        <w:rPr>
          <w:rFonts w:cs="Arial"/>
          <w:b/>
          <w:bCs/>
          <w:sz w:val="24"/>
          <w:szCs w:val="24"/>
        </w:rPr>
        <w:t>Pollution sources and Magnitude</w:t>
      </w:r>
    </w:p>
    <w:p w14:paraId="4F1C345E" w14:textId="77777777" w:rsidR="007123E7" w:rsidRPr="00067F99" w:rsidRDefault="007123E7" w:rsidP="007123E7">
      <w:pPr>
        <w:pStyle w:val="Heading2"/>
        <w:rPr>
          <w:sz w:val="24"/>
          <w:szCs w:val="24"/>
        </w:rPr>
      </w:pPr>
      <w:r w:rsidRPr="00067F99">
        <w:rPr>
          <w:sz w:val="24"/>
          <w:szCs w:val="24"/>
        </w:rPr>
        <w:t>1) Agricultural Runoff</w:t>
      </w:r>
    </w:p>
    <w:p w14:paraId="0811D33F" w14:textId="77777777" w:rsidR="007123E7" w:rsidRPr="00067F99" w:rsidRDefault="007123E7" w:rsidP="007123E7">
      <w:pPr>
        <w:pStyle w:val="whitespace-normal"/>
        <w:jc w:val="thaiDistribute"/>
        <w:rPr>
          <w:rFonts w:ascii="Arial" w:hAnsi="Arial" w:cs="Arial"/>
        </w:rPr>
      </w:pPr>
      <w:r w:rsidRPr="00067F99">
        <w:rPr>
          <w:rFonts w:ascii="Arial" w:hAnsi="Arial" w:cs="Arial"/>
        </w:rPr>
        <w:t>Agricultural runoff is a significant source of pollution, primarily characterized by the presence of key parameters such as nitrogen (N), phosphorus (P), and pesticide residues. These pollutants mainly originate from fertilizer applications used in major crop production systems including rice, sugarcane, and maize. The excessive use of fertilizers and pesticides contributes to the transport of these substances into water bodies, causing serious environmental concerns.</w:t>
      </w:r>
    </w:p>
    <w:p w14:paraId="2EE1BAE1" w14:textId="77777777" w:rsidR="007123E7" w:rsidRPr="00067F99" w:rsidRDefault="007123E7" w:rsidP="007123E7">
      <w:pPr>
        <w:pStyle w:val="whitespace-normal"/>
        <w:jc w:val="thaiDistribute"/>
        <w:rPr>
          <w:rFonts w:ascii="Arial" w:hAnsi="Arial" w:cs="Arial"/>
        </w:rPr>
      </w:pPr>
      <w:r w:rsidRPr="00067F99">
        <w:rPr>
          <w:rFonts w:ascii="Arial" w:hAnsi="Arial" w:cs="Arial"/>
        </w:rPr>
        <w:t>The environmental impacts of agricultural runoff are notable, with eutrophication occurring in freshwater bodies and coastal zones, leading to excessive algal blooms and oxygen depletion. This runoff also contaminates drinking water sources, posing health risks to local communities. Furthermore, it results in the degradation of aquatic ecosystem health, affecting biodiversity and the sustainability of aquatic habitats. Despite the severity of these impacts, current monitoring of agricultural runoff in many areas remains limited, with insufficient spatial coverage and a lack of comprehensive data on seasonal variations, hindering effective management and mitigation efforts.</w:t>
      </w:r>
    </w:p>
    <w:p w14:paraId="24CB1CE9" w14:textId="77777777" w:rsidR="007123E7" w:rsidRPr="00067F99" w:rsidRDefault="007123E7" w:rsidP="007123E7">
      <w:pPr>
        <w:pStyle w:val="Heading3"/>
        <w:rPr>
          <w:sz w:val="24"/>
          <w:szCs w:val="24"/>
        </w:rPr>
      </w:pPr>
      <w:r w:rsidRPr="00067F99">
        <w:rPr>
          <w:sz w:val="24"/>
          <w:szCs w:val="24"/>
        </w:rPr>
        <w:t xml:space="preserve">Fertilizer Import Data </w:t>
      </w:r>
    </w:p>
    <w:p w14:paraId="1F20E1F3" w14:textId="77777777" w:rsidR="007123E7" w:rsidRPr="00067F99" w:rsidRDefault="007123E7" w:rsidP="007123E7">
      <w:pPr>
        <w:pStyle w:val="whitespace-normal"/>
        <w:rPr>
          <w:rFonts w:ascii="Arial" w:hAnsi="Arial" w:cs="Arial"/>
        </w:rPr>
      </w:pPr>
      <w:r w:rsidRPr="00067F99">
        <w:rPr>
          <w:rFonts w:ascii="Arial" w:hAnsi="Arial" w:cs="Arial"/>
        </w:rPr>
        <w:t>According to data from the Department of Agriculture, Thailand imported significant quantities of straight fertilizers in 2024:</w:t>
      </w:r>
    </w:p>
    <w:p w14:paraId="4B88EFCF" w14:textId="77777777" w:rsidR="007123E7" w:rsidRPr="00067F99" w:rsidRDefault="007123E7" w:rsidP="007123E7">
      <w:pPr>
        <w:pStyle w:val="whitespace-normal"/>
        <w:numPr>
          <w:ilvl w:val="0"/>
          <w:numId w:val="37"/>
        </w:numPr>
        <w:rPr>
          <w:rFonts w:ascii="Arial" w:hAnsi="Arial" w:cs="Arial"/>
        </w:rPr>
      </w:pPr>
      <w:r w:rsidRPr="00067F99">
        <w:rPr>
          <w:rStyle w:val="Strong"/>
          <w:rFonts w:ascii="Arial" w:hAnsi="Arial" w:cs="Arial"/>
        </w:rPr>
        <w:t>Nitrogen fertilizers</w:t>
      </w:r>
      <w:r w:rsidRPr="00067F99">
        <w:rPr>
          <w:rFonts w:ascii="Arial" w:hAnsi="Arial" w:cs="Arial"/>
        </w:rPr>
        <w:t xml:space="preserve">: 1,558,940.2 </w:t>
      </w:r>
      <w:proofErr w:type="spellStart"/>
      <w:r w:rsidRPr="00067F99">
        <w:rPr>
          <w:rFonts w:ascii="Arial" w:hAnsi="Arial" w:cs="Arial"/>
        </w:rPr>
        <w:t>tonnes</w:t>
      </w:r>
      <w:proofErr w:type="spellEnd"/>
      <w:r w:rsidRPr="00067F99">
        <w:rPr>
          <w:rFonts w:ascii="Arial" w:hAnsi="Arial" w:cs="Arial"/>
        </w:rPr>
        <w:t xml:space="preserve"> per year</w:t>
      </w:r>
    </w:p>
    <w:p w14:paraId="5F64AB71" w14:textId="77777777" w:rsidR="007123E7" w:rsidRPr="00067F99" w:rsidRDefault="007123E7" w:rsidP="007123E7">
      <w:pPr>
        <w:pStyle w:val="whitespace-normal"/>
        <w:numPr>
          <w:ilvl w:val="0"/>
          <w:numId w:val="37"/>
        </w:numPr>
        <w:rPr>
          <w:rFonts w:ascii="Arial" w:hAnsi="Arial" w:cs="Arial"/>
        </w:rPr>
      </w:pPr>
      <w:r w:rsidRPr="00067F99">
        <w:rPr>
          <w:rStyle w:val="Strong"/>
          <w:rFonts w:ascii="Arial" w:hAnsi="Arial" w:cs="Arial"/>
        </w:rPr>
        <w:t>Phosphorus fertilizers</w:t>
      </w:r>
      <w:r w:rsidRPr="00067F99">
        <w:rPr>
          <w:rFonts w:ascii="Arial" w:hAnsi="Arial" w:cs="Arial"/>
        </w:rPr>
        <w:t xml:space="preserve">: 571,032.0 </w:t>
      </w:r>
      <w:proofErr w:type="spellStart"/>
      <w:r w:rsidRPr="00067F99">
        <w:rPr>
          <w:rFonts w:ascii="Arial" w:hAnsi="Arial" w:cs="Arial"/>
        </w:rPr>
        <w:t>tonnes</w:t>
      </w:r>
      <w:proofErr w:type="spellEnd"/>
      <w:r w:rsidRPr="00067F99">
        <w:rPr>
          <w:rFonts w:ascii="Arial" w:hAnsi="Arial" w:cs="Arial"/>
        </w:rPr>
        <w:t xml:space="preserve"> per year</w:t>
      </w:r>
    </w:p>
    <w:p w14:paraId="341206B0" w14:textId="77777777" w:rsidR="007123E7" w:rsidRPr="00067F99" w:rsidRDefault="007123E7" w:rsidP="007123E7">
      <w:pPr>
        <w:pStyle w:val="whitespace-normal"/>
        <w:rPr>
          <w:rFonts w:ascii="Arial" w:hAnsi="Arial" w:cs="Arial"/>
        </w:rPr>
      </w:pPr>
      <w:r w:rsidRPr="00067F99">
        <w:rPr>
          <w:rFonts w:ascii="Arial" w:hAnsi="Arial" w:cs="Arial"/>
        </w:rPr>
        <w:t>These import volumes highlight the substantial use of nitrogen and phosphorus-based fertilizers in Thai agriculture, representing a significant potential source of nutrient runoff to water bodies.</w:t>
      </w:r>
    </w:p>
    <w:p w14:paraId="32975259" w14:textId="77777777" w:rsidR="007123E7" w:rsidRPr="00067F99" w:rsidRDefault="007123E7" w:rsidP="007123E7">
      <w:pPr>
        <w:pStyle w:val="Heading3"/>
        <w:rPr>
          <w:sz w:val="24"/>
          <w:szCs w:val="24"/>
        </w:rPr>
      </w:pPr>
      <w:r w:rsidRPr="00067F99">
        <w:rPr>
          <w:sz w:val="24"/>
          <w:szCs w:val="24"/>
        </w:rPr>
        <w:t>Data Gaps and Monitoring Challenges</w:t>
      </w:r>
    </w:p>
    <w:p w14:paraId="723EF3F3" w14:textId="77777777" w:rsidR="007123E7" w:rsidRPr="00067F99" w:rsidRDefault="007123E7" w:rsidP="007123E7">
      <w:pPr>
        <w:pStyle w:val="whitespace-normal"/>
        <w:rPr>
          <w:rFonts w:ascii="Arial" w:hAnsi="Arial" w:cs="Arial"/>
        </w:rPr>
      </w:pPr>
      <w:r w:rsidRPr="00067F99">
        <w:rPr>
          <w:rFonts w:ascii="Arial" w:hAnsi="Arial" w:cs="Arial"/>
        </w:rPr>
        <w:t>Currently, there is no officially reported quantification of annual nitrogen and phosphorus runoff from agricultural activities. Limited spatial coverage and seasonal data hinder effective management. This data gap represents a critical limitation in:</w:t>
      </w:r>
    </w:p>
    <w:p w14:paraId="7421A663" w14:textId="77777777" w:rsidR="007123E7" w:rsidRPr="00067F99" w:rsidRDefault="007123E7" w:rsidP="007123E7">
      <w:pPr>
        <w:pStyle w:val="whitespace-normal"/>
        <w:numPr>
          <w:ilvl w:val="0"/>
          <w:numId w:val="38"/>
        </w:numPr>
        <w:rPr>
          <w:rFonts w:ascii="Arial" w:hAnsi="Arial" w:cs="Arial"/>
        </w:rPr>
      </w:pPr>
      <w:r w:rsidRPr="00067F99">
        <w:rPr>
          <w:rFonts w:ascii="Arial" w:hAnsi="Arial" w:cs="Arial"/>
        </w:rPr>
        <w:t>Understanding the actual environmental loading from agricultural sources</w:t>
      </w:r>
    </w:p>
    <w:p w14:paraId="49F92092" w14:textId="77777777" w:rsidR="007123E7" w:rsidRPr="00067F99" w:rsidRDefault="007123E7" w:rsidP="007123E7">
      <w:pPr>
        <w:pStyle w:val="whitespace-normal"/>
        <w:numPr>
          <w:ilvl w:val="0"/>
          <w:numId w:val="38"/>
        </w:numPr>
        <w:rPr>
          <w:rFonts w:ascii="Arial" w:hAnsi="Arial" w:cs="Arial"/>
        </w:rPr>
      </w:pPr>
      <w:r w:rsidRPr="00067F99">
        <w:rPr>
          <w:rFonts w:ascii="Arial" w:hAnsi="Arial" w:cs="Arial"/>
        </w:rPr>
        <w:t>Developing evidence-based nutrient management strategies</w:t>
      </w:r>
    </w:p>
    <w:p w14:paraId="75635D93" w14:textId="77777777" w:rsidR="007123E7" w:rsidRPr="00067F99" w:rsidRDefault="007123E7" w:rsidP="007123E7">
      <w:pPr>
        <w:pStyle w:val="whitespace-normal"/>
        <w:numPr>
          <w:ilvl w:val="0"/>
          <w:numId w:val="38"/>
        </w:numPr>
        <w:rPr>
          <w:rFonts w:ascii="Arial" w:hAnsi="Arial" w:cs="Arial"/>
        </w:rPr>
      </w:pPr>
      <w:r w:rsidRPr="00067F99">
        <w:rPr>
          <w:rFonts w:ascii="Arial" w:hAnsi="Arial" w:cs="Arial"/>
        </w:rPr>
        <w:t>Establishing effective pollution reduction targets</w:t>
      </w:r>
    </w:p>
    <w:p w14:paraId="0009B6C2" w14:textId="77777777" w:rsidR="007123E7" w:rsidRPr="00067F99" w:rsidRDefault="007123E7" w:rsidP="007123E7">
      <w:pPr>
        <w:pStyle w:val="whitespace-normal"/>
        <w:numPr>
          <w:ilvl w:val="0"/>
          <w:numId w:val="38"/>
        </w:numPr>
        <w:rPr>
          <w:rFonts w:ascii="Arial" w:hAnsi="Arial" w:cs="Arial"/>
        </w:rPr>
      </w:pPr>
      <w:r w:rsidRPr="00067F99">
        <w:rPr>
          <w:rFonts w:ascii="Arial" w:hAnsi="Arial" w:cs="Arial"/>
        </w:rPr>
        <w:t>Monitoring the effectiveness of best management practices</w:t>
      </w:r>
    </w:p>
    <w:p w14:paraId="0FB4E89A" w14:textId="77777777" w:rsidR="007123E7" w:rsidRPr="00067F99" w:rsidRDefault="007123E7" w:rsidP="007123E7">
      <w:pPr>
        <w:pStyle w:val="whitespace-normal"/>
        <w:rPr>
          <w:rFonts w:ascii="Arial" w:hAnsi="Arial" w:cs="Arial"/>
        </w:rPr>
      </w:pPr>
      <w:r w:rsidRPr="00067F99">
        <w:rPr>
          <w:rStyle w:val="Strong"/>
          <w:rFonts w:ascii="Arial" w:hAnsi="Arial" w:cs="Arial"/>
        </w:rPr>
        <w:t>Recommendation</w:t>
      </w:r>
      <w:r w:rsidRPr="00067F99">
        <w:rPr>
          <w:rFonts w:ascii="Arial" w:hAnsi="Arial" w:cs="Arial"/>
        </w:rPr>
        <w:t>: Establishment of systematic monitoring and reporting mechanisms for agricultural nutrient runoff is essential for comprehensive water quality management and pollution source control.</w:t>
      </w:r>
    </w:p>
    <w:p w14:paraId="2A4C114C" w14:textId="77777777" w:rsidR="007123E7" w:rsidRPr="00067F99" w:rsidRDefault="007123E7" w:rsidP="007123E7">
      <w:pPr>
        <w:pStyle w:val="Heading2"/>
        <w:rPr>
          <w:sz w:val="24"/>
          <w:szCs w:val="24"/>
        </w:rPr>
      </w:pPr>
      <w:r w:rsidRPr="00067F99">
        <w:rPr>
          <w:sz w:val="24"/>
          <w:szCs w:val="24"/>
        </w:rPr>
        <w:lastRenderedPageBreak/>
        <w:t>2) Marine &amp; Coastal Water Quality</w:t>
      </w:r>
    </w:p>
    <w:p w14:paraId="43405E54" w14:textId="77777777" w:rsidR="007123E7" w:rsidRPr="00067F99" w:rsidRDefault="007123E7" w:rsidP="007123E7">
      <w:pPr>
        <w:pStyle w:val="whitespace-normal"/>
        <w:rPr>
          <w:rStyle w:val="Strong"/>
          <w:rFonts w:ascii="Arial" w:hAnsi="Arial" w:cs="Arial"/>
        </w:rPr>
      </w:pPr>
      <w:r w:rsidRPr="00067F99">
        <w:rPr>
          <w:rStyle w:val="Strong"/>
          <w:rFonts w:ascii="Arial" w:hAnsi="Arial" w:cs="Arial"/>
        </w:rPr>
        <w:t>Coastal Water Quality Assessment: Key Parameters and Trends</w:t>
      </w:r>
    </w:p>
    <w:p w14:paraId="176F9C64" w14:textId="77777777" w:rsidR="007123E7" w:rsidRPr="00067F99" w:rsidRDefault="007123E7" w:rsidP="007123E7">
      <w:pPr>
        <w:pStyle w:val="whitespace-normal"/>
        <w:jc w:val="thaiDistribute"/>
        <w:rPr>
          <w:rStyle w:val="Strong"/>
          <w:rFonts w:ascii="Arial" w:hAnsi="Arial" w:cs="Arial"/>
          <w:b w:val="0"/>
          <w:bCs w:val="0"/>
        </w:rPr>
      </w:pPr>
      <w:r w:rsidRPr="00067F99">
        <w:rPr>
          <w:rStyle w:val="Strong"/>
          <w:rFonts w:ascii="Arial" w:hAnsi="Arial" w:cs="Arial"/>
          <w:b w:val="0"/>
          <w:bCs w:val="0"/>
        </w:rPr>
        <w:t>The assessment of Thailand’s coastal water quality is based on a set of core environmental indicators, including dissolved oxygen (DO), biochemical oxygen demand (BOD), chemical oxygen demand (COD), nutrient concentrations (notably nitrogen and phosphorus), and coliform bacteria levels. These parameters are essential for evaluating the ecological integrity of marine and estuarine systems and their capacity to support fisheries, aquaculture, tourism, and biodiversity.</w:t>
      </w:r>
    </w:p>
    <w:p w14:paraId="2FCF585C" w14:textId="77777777" w:rsidR="007123E7" w:rsidRPr="00067F99" w:rsidRDefault="007123E7" w:rsidP="007123E7">
      <w:pPr>
        <w:pStyle w:val="whitespace-normal"/>
        <w:jc w:val="thaiDistribute"/>
        <w:rPr>
          <w:rStyle w:val="Strong"/>
          <w:rFonts w:ascii="Arial" w:hAnsi="Arial" w:cs="Arial"/>
          <w:b w:val="0"/>
          <w:bCs w:val="0"/>
        </w:rPr>
      </w:pPr>
      <w:r w:rsidRPr="00067F99">
        <w:rPr>
          <w:rStyle w:val="Strong"/>
          <w:rFonts w:ascii="Arial" w:hAnsi="Arial" w:cs="Arial"/>
          <w:b w:val="0"/>
          <w:bCs w:val="0"/>
        </w:rPr>
        <w:t>Monitoring data has identified several primary hotspots where water quality degradation is most pronounced. These include the Upper Gulf of Thailand, particularly the Bay of Bangkok; estuarine zones adjacent to major urban centers; and river mouth discharge areas receiving high volumes of untreated or partially treated wastewater. These zones are subject to elevated pollutant loads due to dense population, industrial activity, and land-based runoff.</w:t>
      </w:r>
    </w:p>
    <w:p w14:paraId="407D8575" w14:textId="77777777" w:rsidR="007123E7" w:rsidRPr="00067F99" w:rsidRDefault="007123E7" w:rsidP="007123E7">
      <w:pPr>
        <w:pStyle w:val="whitespace-normal"/>
        <w:jc w:val="thaiDistribute"/>
        <w:rPr>
          <w:rStyle w:val="Strong"/>
          <w:rFonts w:ascii="Arial" w:hAnsi="Arial" w:cs="Arial"/>
          <w:b w:val="0"/>
          <w:bCs w:val="0"/>
        </w:rPr>
      </w:pPr>
      <w:r w:rsidRPr="00067F99">
        <w:rPr>
          <w:rStyle w:val="Strong"/>
          <w:rFonts w:ascii="Arial" w:hAnsi="Arial" w:cs="Arial"/>
          <w:b w:val="0"/>
          <w:bCs w:val="0"/>
        </w:rPr>
        <w:t>Recent trends show declining dissolved oxygen levels in estuarine environments, which may lead to hypoxic conditions and associated ecological stress. Additionally, elevated coliform bacteria counts have been recorded near urban coastal zones and popular tourist beaches, posing potential risks to public health and recreational water use. Seasonal nutrient fluctuations further increase ecosystem vulnerability.</w:t>
      </w:r>
    </w:p>
    <w:p w14:paraId="2A75B0A6" w14:textId="77777777" w:rsidR="007123E7" w:rsidRPr="00067F99" w:rsidRDefault="007123E7" w:rsidP="007123E7">
      <w:pPr>
        <w:pStyle w:val="whitespace-normal"/>
        <w:jc w:val="thaiDistribute"/>
        <w:rPr>
          <w:rStyle w:val="Strong"/>
          <w:rFonts w:ascii="Arial" w:hAnsi="Arial" w:cs="Arial"/>
          <w:b w:val="0"/>
          <w:bCs w:val="0"/>
        </w:rPr>
      </w:pPr>
      <w:r w:rsidRPr="00067F99">
        <w:rPr>
          <w:rStyle w:val="Strong"/>
          <w:rFonts w:ascii="Arial" w:hAnsi="Arial" w:cs="Arial"/>
          <w:b w:val="0"/>
          <w:bCs w:val="0"/>
        </w:rPr>
        <w:t>The environmental significance of these findings is substantial. There is a demonstrable link between water quality parameters and the productivity of coastal fisheries, the sustainability of marine tourism, and the resilience of marine biodiversity. Continued monitoring and targeted interventions are essential to safeguard these critical resources and to support Thailand’s commitments under regional and international environmental frameworks.</w:t>
      </w:r>
    </w:p>
    <w:p w14:paraId="00068D4D" w14:textId="77777777" w:rsidR="007123E7" w:rsidRPr="00067F99" w:rsidRDefault="007123E7" w:rsidP="007123E7">
      <w:pPr>
        <w:pStyle w:val="Heading3"/>
        <w:rPr>
          <w:b w:val="0"/>
          <w:bCs w:val="0"/>
          <w:sz w:val="24"/>
          <w:szCs w:val="24"/>
        </w:rPr>
      </w:pPr>
      <w:r w:rsidRPr="00067F99">
        <w:rPr>
          <w:sz w:val="24"/>
          <w:szCs w:val="24"/>
        </w:rPr>
        <w:t xml:space="preserve">Marine Water Quality Assessment </w:t>
      </w:r>
      <w:r w:rsidRPr="00067F99">
        <w:rPr>
          <w:b w:val="0"/>
          <w:bCs w:val="0"/>
          <w:sz w:val="24"/>
          <w:szCs w:val="24"/>
        </w:rPr>
        <w:t>(PCD, 2024).</w:t>
      </w:r>
    </w:p>
    <w:p w14:paraId="166770E8" w14:textId="77777777" w:rsidR="007123E7" w:rsidRPr="00067F99" w:rsidRDefault="007123E7" w:rsidP="007123E7">
      <w:pPr>
        <w:pStyle w:val="whitespace-normal"/>
        <w:rPr>
          <w:rFonts w:ascii="Arial" w:hAnsi="Arial" w:cs="Arial"/>
        </w:rPr>
      </w:pPr>
      <w:r w:rsidRPr="00067F99">
        <w:rPr>
          <w:rFonts w:ascii="Arial" w:hAnsi="Arial" w:cs="Arial"/>
        </w:rPr>
        <w:t>The Pollution Control Department (PCD) and the Department of Marine and Coastal Resources (DMCR) conducted comprehensive water quality monitoring across Thailand's coastal and marine waters in 2024, providing critical insights into the current state of marine environmental health.</w:t>
      </w:r>
    </w:p>
    <w:p w14:paraId="19633506" w14:textId="77777777" w:rsidR="007123E7" w:rsidRPr="00067F99" w:rsidRDefault="007123E7" w:rsidP="007123E7">
      <w:pPr>
        <w:pStyle w:val="Heading4"/>
        <w:rPr>
          <w:rFonts w:eastAsia="Times New Roman"/>
          <w:b w:val="0"/>
          <w:bCs w:val="0"/>
          <w:u w:val="single"/>
        </w:rPr>
      </w:pPr>
      <w:r w:rsidRPr="00067F99">
        <w:rPr>
          <w:rFonts w:eastAsia="Times New Roman"/>
          <w:u w:val="single"/>
        </w:rPr>
        <w:t xml:space="preserve">Marine </w:t>
      </w:r>
      <w:r w:rsidRPr="00067F99">
        <w:rPr>
          <w:rFonts w:eastAsia="Times New Roman"/>
          <w:strike/>
          <w:u w:val="single"/>
        </w:rPr>
        <w:t>Coastal</w:t>
      </w:r>
      <w:r w:rsidRPr="00067F99">
        <w:rPr>
          <w:rFonts w:eastAsia="Times New Roman"/>
          <w:u w:val="single"/>
        </w:rPr>
        <w:t xml:space="preserve"> Water Quality Status</w:t>
      </w:r>
    </w:p>
    <w:p w14:paraId="0DF5E5EB" w14:textId="77777777" w:rsidR="007123E7" w:rsidRPr="00067F99" w:rsidRDefault="007123E7" w:rsidP="007123E7">
      <w:pPr>
        <w:pStyle w:val="whitespace-normal"/>
        <w:rPr>
          <w:rFonts w:ascii="Arial" w:hAnsi="Arial" w:cs="Arial"/>
        </w:rPr>
      </w:pPr>
      <w:r w:rsidRPr="00067F99">
        <w:rPr>
          <w:rStyle w:val="Strong"/>
          <w:rFonts w:ascii="Arial" w:hAnsi="Arial" w:cs="Arial"/>
        </w:rPr>
        <w:t>Monitoring Network</w:t>
      </w:r>
      <w:r w:rsidRPr="00067F99">
        <w:rPr>
          <w:rFonts w:ascii="Arial" w:hAnsi="Arial" w:cs="Arial"/>
        </w:rPr>
        <w:t xml:space="preserve">: 450 monitoring stations strategically positioned at varying distances from the shoreline (10, 100, and 500 meters) and 85 monitoring stations located 3 kilometers offshore from the shoreline. Quality classification results are divided into two areas: the Gulf of Thailand and the Andaman Sea as shown in Table 2- 4. </w:t>
      </w:r>
    </w:p>
    <w:p w14:paraId="2D821546" w14:textId="77777777" w:rsidR="007123E7" w:rsidRPr="00067F99" w:rsidRDefault="007123E7" w:rsidP="007123E7">
      <w:pPr>
        <w:pStyle w:val="whitespace-normal"/>
        <w:rPr>
          <w:rFonts w:ascii="Arial" w:hAnsi="Arial" w:cs="Arial"/>
        </w:rPr>
      </w:pPr>
      <w:r w:rsidRPr="00067F99">
        <w:rPr>
          <w:rFonts w:ascii="Arial" w:hAnsi="Arial" w:cs="Arial"/>
        </w:rPr>
        <w:t>Table 2: Marine Water Quality Status (MWQS) in the Gulf of Thailand (10, 100, and 500 meters from the shoreline)</w:t>
      </w:r>
    </w:p>
    <w:tbl>
      <w:tblPr>
        <w:tblStyle w:val="TableGrid"/>
        <w:tblW w:w="0" w:type="auto"/>
        <w:tblLook w:val="04A0" w:firstRow="1" w:lastRow="0" w:firstColumn="1" w:lastColumn="0" w:noHBand="0" w:noVBand="1"/>
      </w:tblPr>
      <w:tblGrid>
        <w:gridCol w:w="2330"/>
        <w:gridCol w:w="2430"/>
        <w:gridCol w:w="3600"/>
      </w:tblGrid>
      <w:tr w:rsidR="007123E7" w:rsidRPr="00067F99" w14:paraId="56CFD35D" w14:textId="77777777" w:rsidTr="00E27C70">
        <w:tc>
          <w:tcPr>
            <w:tcW w:w="8360" w:type="dxa"/>
            <w:gridSpan w:val="3"/>
            <w:tcBorders>
              <w:top w:val="single" w:sz="8" w:space="0" w:color="auto"/>
              <w:left w:val="single" w:sz="8" w:space="0" w:color="auto"/>
              <w:bottom w:val="single" w:sz="8" w:space="0" w:color="auto"/>
              <w:right w:val="single" w:sz="8" w:space="0" w:color="auto"/>
            </w:tcBorders>
          </w:tcPr>
          <w:p w14:paraId="7276E8D9" w14:textId="77777777" w:rsidR="007123E7" w:rsidRPr="00067F99" w:rsidRDefault="007123E7" w:rsidP="00E27C70">
            <w:pPr>
              <w:pStyle w:val="whitespace-normal"/>
              <w:jc w:val="center"/>
              <w:rPr>
                <w:rFonts w:ascii="Arial" w:hAnsi="Arial" w:cs="Arial"/>
                <w:b/>
                <w:bCs/>
                <w:cs/>
              </w:rPr>
            </w:pPr>
            <w:bookmarkStart w:id="20" w:name="_Hlk216960786"/>
            <w:r w:rsidRPr="00067F99">
              <w:rPr>
                <w:rFonts w:ascii="Arial" w:hAnsi="Arial" w:cs="Arial"/>
                <w:b/>
                <w:bCs/>
              </w:rPr>
              <w:lastRenderedPageBreak/>
              <w:t xml:space="preserve">MWQS in the Gulf of Thailand at 10, 100, and 500 meters from the shoreline) </w:t>
            </w:r>
            <w:r w:rsidRPr="00067F99">
              <w:rPr>
                <w:rFonts w:ascii="Arial" w:hAnsi="Arial" w:cs="Arial"/>
                <w:cs/>
              </w:rPr>
              <w:t xml:space="preserve">(269 </w:t>
            </w:r>
            <w:r w:rsidRPr="00067F99">
              <w:rPr>
                <w:rFonts w:ascii="Arial" w:hAnsi="Arial" w:cs="Arial"/>
              </w:rPr>
              <w:t>stations</w:t>
            </w:r>
            <w:r w:rsidRPr="00067F99">
              <w:rPr>
                <w:rFonts w:ascii="Arial" w:hAnsi="Arial" w:cs="Arial"/>
                <w:cs/>
              </w:rPr>
              <w:t>)</w:t>
            </w:r>
          </w:p>
        </w:tc>
      </w:tr>
      <w:tr w:rsidR="007123E7" w:rsidRPr="00067F99" w14:paraId="0AD690E8" w14:textId="77777777" w:rsidTr="00E27C70">
        <w:tc>
          <w:tcPr>
            <w:tcW w:w="2330" w:type="dxa"/>
            <w:tcBorders>
              <w:top w:val="single" w:sz="8" w:space="0" w:color="auto"/>
              <w:left w:val="single" w:sz="8" w:space="0" w:color="auto"/>
              <w:bottom w:val="single" w:sz="8" w:space="0" w:color="auto"/>
              <w:right w:val="single" w:sz="8" w:space="0" w:color="auto"/>
            </w:tcBorders>
          </w:tcPr>
          <w:p w14:paraId="7DEC890C" w14:textId="77777777" w:rsidR="007123E7" w:rsidRPr="00067F99" w:rsidRDefault="007123E7" w:rsidP="00E27C70">
            <w:pPr>
              <w:jc w:val="center"/>
              <w:rPr>
                <w:b/>
                <w:bCs/>
                <w:sz w:val="24"/>
                <w:szCs w:val="24"/>
              </w:rPr>
            </w:pPr>
            <w:r w:rsidRPr="00067F99">
              <w:rPr>
                <w:b/>
                <w:bCs/>
                <w:sz w:val="24"/>
                <w:szCs w:val="24"/>
              </w:rPr>
              <w:t>Status</w:t>
            </w:r>
          </w:p>
        </w:tc>
        <w:tc>
          <w:tcPr>
            <w:tcW w:w="2430" w:type="dxa"/>
            <w:tcBorders>
              <w:top w:val="single" w:sz="8" w:space="0" w:color="auto"/>
              <w:left w:val="single" w:sz="8" w:space="0" w:color="auto"/>
              <w:bottom w:val="single" w:sz="8" w:space="0" w:color="auto"/>
              <w:right w:val="single" w:sz="8" w:space="0" w:color="auto"/>
            </w:tcBorders>
          </w:tcPr>
          <w:p w14:paraId="765291A2" w14:textId="77777777" w:rsidR="007123E7" w:rsidRPr="00067F99" w:rsidRDefault="007123E7" w:rsidP="00E27C70">
            <w:pPr>
              <w:jc w:val="center"/>
              <w:rPr>
                <w:b/>
                <w:bCs/>
                <w:sz w:val="24"/>
                <w:szCs w:val="24"/>
              </w:rPr>
            </w:pPr>
            <w:r w:rsidRPr="00067F99">
              <w:rPr>
                <w:b/>
                <w:bCs/>
                <w:sz w:val="24"/>
                <w:szCs w:val="24"/>
              </w:rPr>
              <w:t>%</w:t>
            </w:r>
          </w:p>
        </w:tc>
        <w:tc>
          <w:tcPr>
            <w:tcW w:w="3600" w:type="dxa"/>
            <w:tcBorders>
              <w:top w:val="single" w:sz="8" w:space="0" w:color="auto"/>
              <w:left w:val="single" w:sz="8" w:space="0" w:color="auto"/>
              <w:bottom w:val="single" w:sz="8" w:space="0" w:color="auto"/>
              <w:right w:val="single" w:sz="8" w:space="0" w:color="auto"/>
            </w:tcBorders>
          </w:tcPr>
          <w:p w14:paraId="58A9F2DB" w14:textId="77777777" w:rsidR="007123E7" w:rsidRPr="00067F99" w:rsidRDefault="007123E7" w:rsidP="00E27C70">
            <w:pPr>
              <w:jc w:val="center"/>
              <w:rPr>
                <w:b/>
                <w:bCs/>
                <w:sz w:val="24"/>
                <w:szCs w:val="24"/>
              </w:rPr>
            </w:pPr>
            <w:r w:rsidRPr="00067F99">
              <w:rPr>
                <w:b/>
                <w:bCs/>
                <w:sz w:val="24"/>
                <w:szCs w:val="24"/>
              </w:rPr>
              <w:t>Stations</w:t>
            </w:r>
          </w:p>
        </w:tc>
      </w:tr>
      <w:tr w:rsidR="007123E7" w:rsidRPr="00067F99" w14:paraId="31ADD6D5" w14:textId="77777777" w:rsidTr="00E27C70">
        <w:tc>
          <w:tcPr>
            <w:tcW w:w="2330" w:type="dxa"/>
            <w:tcBorders>
              <w:top w:val="single" w:sz="8" w:space="0" w:color="auto"/>
              <w:left w:val="single" w:sz="8" w:space="0" w:color="auto"/>
              <w:bottom w:val="single" w:sz="8" w:space="0" w:color="auto"/>
              <w:right w:val="single" w:sz="8" w:space="0" w:color="auto"/>
            </w:tcBorders>
          </w:tcPr>
          <w:p w14:paraId="6481C37C" w14:textId="77777777" w:rsidR="007123E7" w:rsidRPr="00067F99" w:rsidRDefault="007123E7" w:rsidP="00E27C70">
            <w:pPr>
              <w:rPr>
                <w:sz w:val="24"/>
                <w:szCs w:val="24"/>
              </w:rPr>
            </w:pPr>
            <w:r w:rsidRPr="00067F99">
              <w:rPr>
                <w:sz w:val="24"/>
                <w:szCs w:val="24"/>
              </w:rPr>
              <w:t>Excellent</w:t>
            </w:r>
          </w:p>
        </w:tc>
        <w:tc>
          <w:tcPr>
            <w:tcW w:w="2430" w:type="dxa"/>
            <w:tcBorders>
              <w:top w:val="single" w:sz="8" w:space="0" w:color="auto"/>
              <w:left w:val="single" w:sz="8" w:space="0" w:color="auto"/>
              <w:bottom w:val="single" w:sz="8" w:space="0" w:color="auto"/>
              <w:right w:val="single" w:sz="8" w:space="0" w:color="auto"/>
            </w:tcBorders>
          </w:tcPr>
          <w:p w14:paraId="61355685" w14:textId="77777777" w:rsidR="007123E7" w:rsidRPr="00067F99" w:rsidRDefault="007123E7" w:rsidP="00E27C70">
            <w:pPr>
              <w:jc w:val="center"/>
              <w:rPr>
                <w:sz w:val="24"/>
                <w:szCs w:val="24"/>
              </w:rPr>
            </w:pPr>
            <w:r w:rsidRPr="00067F99">
              <w:rPr>
                <w:sz w:val="24"/>
                <w:szCs w:val="24"/>
                <w:cs/>
              </w:rPr>
              <w:t>2</w:t>
            </w:r>
          </w:p>
        </w:tc>
        <w:tc>
          <w:tcPr>
            <w:tcW w:w="3600" w:type="dxa"/>
            <w:tcBorders>
              <w:top w:val="single" w:sz="8" w:space="0" w:color="auto"/>
              <w:left w:val="single" w:sz="8" w:space="0" w:color="auto"/>
              <w:bottom w:val="single" w:sz="8" w:space="0" w:color="auto"/>
              <w:right w:val="single" w:sz="8" w:space="0" w:color="auto"/>
            </w:tcBorders>
          </w:tcPr>
          <w:p w14:paraId="56450A6D" w14:textId="77777777" w:rsidR="007123E7" w:rsidRPr="00067F99" w:rsidRDefault="007123E7" w:rsidP="00E27C70">
            <w:pPr>
              <w:jc w:val="center"/>
              <w:rPr>
                <w:sz w:val="24"/>
                <w:szCs w:val="24"/>
              </w:rPr>
            </w:pPr>
            <w:r w:rsidRPr="00067F99">
              <w:rPr>
                <w:sz w:val="24"/>
                <w:szCs w:val="24"/>
                <w:cs/>
              </w:rPr>
              <w:t>5</w:t>
            </w:r>
          </w:p>
        </w:tc>
      </w:tr>
      <w:tr w:rsidR="007123E7" w:rsidRPr="00067F99" w14:paraId="61BFCD92" w14:textId="77777777" w:rsidTr="00E27C70">
        <w:tc>
          <w:tcPr>
            <w:tcW w:w="2330" w:type="dxa"/>
            <w:tcBorders>
              <w:top w:val="single" w:sz="8" w:space="0" w:color="auto"/>
              <w:left w:val="single" w:sz="8" w:space="0" w:color="auto"/>
              <w:bottom w:val="single" w:sz="8" w:space="0" w:color="auto"/>
              <w:right w:val="single" w:sz="8" w:space="0" w:color="auto"/>
            </w:tcBorders>
          </w:tcPr>
          <w:p w14:paraId="75177E0C" w14:textId="77777777" w:rsidR="007123E7" w:rsidRPr="00067F99" w:rsidRDefault="007123E7" w:rsidP="00E27C70">
            <w:pPr>
              <w:rPr>
                <w:sz w:val="24"/>
                <w:szCs w:val="24"/>
              </w:rPr>
            </w:pPr>
            <w:r w:rsidRPr="00067F99">
              <w:rPr>
                <w:sz w:val="24"/>
                <w:szCs w:val="24"/>
              </w:rPr>
              <w:t>Good</w:t>
            </w:r>
          </w:p>
        </w:tc>
        <w:tc>
          <w:tcPr>
            <w:tcW w:w="2430" w:type="dxa"/>
            <w:tcBorders>
              <w:top w:val="single" w:sz="8" w:space="0" w:color="auto"/>
              <w:left w:val="single" w:sz="8" w:space="0" w:color="auto"/>
              <w:bottom w:val="single" w:sz="8" w:space="0" w:color="auto"/>
              <w:right w:val="single" w:sz="8" w:space="0" w:color="auto"/>
            </w:tcBorders>
          </w:tcPr>
          <w:p w14:paraId="214B75F1" w14:textId="77777777" w:rsidR="007123E7" w:rsidRPr="00067F99" w:rsidRDefault="007123E7" w:rsidP="00E27C70">
            <w:pPr>
              <w:jc w:val="center"/>
              <w:rPr>
                <w:sz w:val="24"/>
                <w:szCs w:val="24"/>
              </w:rPr>
            </w:pPr>
            <w:r w:rsidRPr="00067F99">
              <w:rPr>
                <w:sz w:val="24"/>
                <w:szCs w:val="24"/>
                <w:cs/>
              </w:rPr>
              <w:t>57</w:t>
            </w:r>
          </w:p>
        </w:tc>
        <w:tc>
          <w:tcPr>
            <w:tcW w:w="3600" w:type="dxa"/>
            <w:tcBorders>
              <w:top w:val="single" w:sz="8" w:space="0" w:color="auto"/>
              <w:left w:val="single" w:sz="8" w:space="0" w:color="auto"/>
              <w:bottom w:val="single" w:sz="8" w:space="0" w:color="auto"/>
              <w:right w:val="single" w:sz="8" w:space="0" w:color="auto"/>
            </w:tcBorders>
          </w:tcPr>
          <w:p w14:paraId="66F86176" w14:textId="77777777" w:rsidR="007123E7" w:rsidRPr="00067F99" w:rsidRDefault="007123E7" w:rsidP="00E27C70">
            <w:pPr>
              <w:jc w:val="center"/>
              <w:rPr>
                <w:sz w:val="24"/>
                <w:szCs w:val="24"/>
              </w:rPr>
            </w:pPr>
            <w:r w:rsidRPr="00067F99">
              <w:rPr>
                <w:sz w:val="24"/>
                <w:szCs w:val="24"/>
                <w:cs/>
              </w:rPr>
              <w:t>152</w:t>
            </w:r>
          </w:p>
        </w:tc>
      </w:tr>
      <w:tr w:rsidR="007123E7" w:rsidRPr="00067F99" w14:paraId="5788E049" w14:textId="77777777" w:rsidTr="00E27C70">
        <w:tc>
          <w:tcPr>
            <w:tcW w:w="2330" w:type="dxa"/>
            <w:tcBorders>
              <w:top w:val="single" w:sz="8" w:space="0" w:color="auto"/>
              <w:left w:val="single" w:sz="8" w:space="0" w:color="auto"/>
              <w:bottom w:val="single" w:sz="8" w:space="0" w:color="auto"/>
              <w:right w:val="single" w:sz="8" w:space="0" w:color="auto"/>
            </w:tcBorders>
          </w:tcPr>
          <w:p w14:paraId="163E54D9" w14:textId="77777777" w:rsidR="007123E7" w:rsidRPr="00067F99" w:rsidRDefault="007123E7" w:rsidP="00E27C70">
            <w:pPr>
              <w:rPr>
                <w:sz w:val="24"/>
                <w:szCs w:val="24"/>
              </w:rPr>
            </w:pPr>
            <w:r w:rsidRPr="00067F99">
              <w:rPr>
                <w:sz w:val="24"/>
                <w:szCs w:val="24"/>
              </w:rPr>
              <w:t>Fair</w:t>
            </w:r>
          </w:p>
        </w:tc>
        <w:tc>
          <w:tcPr>
            <w:tcW w:w="2430" w:type="dxa"/>
            <w:tcBorders>
              <w:top w:val="single" w:sz="8" w:space="0" w:color="auto"/>
              <w:left w:val="single" w:sz="8" w:space="0" w:color="auto"/>
              <w:bottom w:val="single" w:sz="8" w:space="0" w:color="auto"/>
              <w:right w:val="single" w:sz="8" w:space="0" w:color="auto"/>
            </w:tcBorders>
          </w:tcPr>
          <w:p w14:paraId="7049D781" w14:textId="77777777" w:rsidR="007123E7" w:rsidRPr="00067F99" w:rsidRDefault="007123E7" w:rsidP="00E27C70">
            <w:pPr>
              <w:jc w:val="center"/>
              <w:rPr>
                <w:sz w:val="24"/>
                <w:szCs w:val="24"/>
              </w:rPr>
            </w:pPr>
            <w:r w:rsidRPr="00067F99">
              <w:rPr>
                <w:sz w:val="24"/>
                <w:szCs w:val="24"/>
                <w:cs/>
              </w:rPr>
              <w:t>36</w:t>
            </w:r>
          </w:p>
        </w:tc>
        <w:tc>
          <w:tcPr>
            <w:tcW w:w="3600" w:type="dxa"/>
            <w:tcBorders>
              <w:top w:val="single" w:sz="8" w:space="0" w:color="auto"/>
              <w:left w:val="single" w:sz="8" w:space="0" w:color="auto"/>
              <w:bottom w:val="single" w:sz="8" w:space="0" w:color="auto"/>
              <w:right w:val="single" w:sz="8" w:space="0" w:color="auto"/>
            </w:tcBorders>
          </w:tcPr>
          <w:p w14:paraId="5BDD656D" w14:textId="77777777" w:rsidR="007123E7" w:rsidRPr="00067F99" w:rsidRDefault="007123E7" w:rsidP="00E27C70">
            <w:pPr>
              <w:jc w:val="center"/>
              <w:rPr>
                <w:sz w:val="24"/>
                <w:szCs w:val="24"/>
              </w:rPr>
            </w:pPr>
            <w:r w:rsidRPr="00067F99">
              <w:rPr>
                <w:sz w:val="24"/>
                <w:szCs w:val="24"/>
                <w:cs/>
              </w:rPr>
              <w:t>99</w:t>
            </w:r>
          </w:p>
        </w:tc>
      </w:tr>
      <w:tr w:rsidR="007123E7" w:rsidRPr="00067F99" w14:paraId="621EEB65" w14:textId="77777777" w:rsidTr="00E27C70">
        <w:tc>
          <w:tcPr>
            <w:tcW w:w="2330" w:type="dxa"/>
            <w:tcBorders>
              <w:top w:val="single" w:sz="8" w:space="0" w:color="auto"/>
              <w:left w:val="single" w:sz="8" w:space="0" w:color="auto"/>
              <w:bottom w:val="single" w:sz="8" w:space="0" w:color="auto"/>
              <w:right w:val="single" w:sz="8" w:space="0" w:color="auto"/>
            </w:tcBorders>
          </w:tcPr>
          <w:p w14:paraId="39113A9E" w14:textId="77777777" w:rsidR="007123E7" w:rsidRPr="00067F99" w:rsidRDefault="007123E7" w:rsidP="00E27C70">
            <w:pPr>
              <w:rPr>
                <w:sz w:val="24"/>
                <w:szCs w:val="24"/>
              </w:rPr>
            </w:pPr>
            <w:r w:rsidRPr="00067F99">
              <w:rPr>
                <w:sz w:val="24"/>
                <w:szCs w:val="24"/>
              </w:rPr>
              <w:t>Poor</w:t>
            </w:r>
          </w:p>
        </w:tc>
        <w:tc>
          <w:tcPr>
            <w:tcW w:w="2430" w:type="dxa"/>
            <w:tcBorders>
              <w:top w:val="single" w:sz="8" w:space="0" w:color="auto"/>
              <w:left w:val="single" w:sz="8" w:space="0" w:color="auto"/>
              <w:bottom w:val="single" w:sz="8" w:space="0" w:color="auto"/>
              <w:right w:val="single" w:sz="8" w:space="0" w:color="auto"/>
            </w:tcBorders>
          </w:tcPr>
          <w:p w14:paraId="6502A107" w14:textId="77777777" w:rsidR="007123E7" w:rsidRPr="00067F99" w:rsidRDefault="007123E7" w:rsidP="00E27C70">
            <w:pPr>
              <w:jc w:val="center"/>
              <w:rPr>
                <w:sz w:val="24"/>
                <w:szCs w:val="24"/>
              </w:rPr>
            </w:pPr>
            <w:r w:rsidRPr="00067F99">
              <w:rPr>
                <w:sz w:val="24"/>
                <w:szCs w:val="24"/>
                <w:cs/>
              </w:rPr>
              <w:t>3</w:t>
            </w:r>
          </w:p>
        </w:tc>
        <w:tc>
          <w:tcPr>
            <w:tcW w:w="3600" w:type="dxa"/>
            <w:tcBorders>
              <w:top w:val="single" w:sz="8" w:space="0" w:color="auto"/>
              <w:left w:val="single" w:sz="8" w:space="0" w:color="auto"/>
              <w:bottom w:val="single" w:sz="8" w:space="0" w:color="auto"/>
              <w:right w:val="single" w:sz="8" w:space="0" w:color="auto"/>
            </w:tcBorders>
          </w:tcPr>
          <w:p w14:paraId="30E87D62" w14:textId="77777777" w:rsidR="007123E7" w:rsidRPr="00067F99" w:rsidRDefault="007123E7" w:rsidP="00E27C70">
            <w:pPr>
              <w:jc w:val="center"/>
              <w:rPr>
                <w:sz w:val="24"/>
                <w:szCs w:val="24"/>
              </w:rPr>
            </w:pPr>
            <w:r w:rsidRPr="00067F99">
              <w:rPr>
                <w:sz w:val="24"/>
                <w:szCs w:val="24"/>
                <w:cs/>
              </w:rPr>
              <w:t>8</w:t>
            </w:r>
          </w:p>
        </w:tc>
      </w:tr>
      <w:tr w:rsidR="007123E7" w:rsidRPr="00067F99" w14:paraId="5EB49F44" w14:textId="77777777" w:rsidTr="00E27C70">
        <w:tc>
          <w:tcPr>
            <w:tcW w:w="2330" w:type="dxa"/>
            <w:tcBorders>
              <w:top w:val="single" w:sz="8" w:space="0" w:color="auto"/>
              <w:left w:val="single" w:sz="8" w:space="0" w:color="auto"/>
              <w:bottom w:val="single" w:sz="8" w:space="0" w:color="auto"/>
              <w:right w:val="single" w:sz="8" w:space="0" w:color="auto"/>
            </w:tcBorders>
          </w:tcPr>
          <w:p w14:paraId="573976E1" w14:textId="77777777" w:rsidR="007123E7" w:rsidRPr="00067F99" w:rsidRDefault="007123E7" w:rsidP="00E27C70">
            <w:pPr>
              <w:rPr>
                <w:sz w:val="24"/>
                <w:szCs w:val="24"/>
              </w:rPr>
            </w:pPr>
            <w:r w:rsidRPr="00067F99">
              <w:rPr>
                <w:sz w:val="24"/>
                <w:szCs w:val="24"/>
              </w:rPr>
              <w:t>Very Poor</w:t>
            </w:r>
          </w:p>
        </w:tc>
        <w:tc>
          <w:tcPr>
            <w:tcW w:w="2430" w:type="dxa"/>
            <w:tcBorders>
              <w:top w:val="single" w:sz="8" w:space="0" w:color="auto"/>
              <w:left w:val="single" w:sz="8" w:space="0" w:color="auto"/>
              <w:bottom w:val="single" w:sz="8" w:space="0" w:color="auto"/>
              <w:right w:val="single" w:sz="8" w:space="0" w:color="auto"/>
            </w:tcBorders>
          </w:tcPr>
          <w:p w14:paraId="529272E0" w14:textId="77777777" w:rsidR="007123E7" w:rsidRPr="00067F99" w:rsidRDefault="007123E7" w:rsidP="00E27C70">
            <w:pPr>
              <w:jc w:val="center"/>
              <w:rPr>
                <w:sz w:val="24"/>
                <w:szCs w:val="24"/>
              </w:rPr>
            </w:pPr>
            <w:r w:rsidRPr="00067F99">
              <w:rPr>
                <w:sz w:val="24"/>
                <w:szCs w:val="24"/>
                <w:cs/>
              </w:rPr>
              <w:t>2</w:t>
            </w:r>
          </w:p>
        </w:tc>
        <w:tc>
          <w:tcPr>
            <w:tcW w:w="3600" w:type="dxa"/>
            <w:tcBorders>
              <w:top w:val="single" w:sz="8" w:space="0" w:color="auto"/>
              <w:left w:val="single" w:sz="8" w:space="0" w:color="auto"/>
              <w:bottom w:val="single" w:sz="8" w:space="0" w:color="auto"/>
              <w:right w:val="single" w:sz="8" w:space="0" w:color="auto"/>
            </w:tcBorders>
          </w:tcPr>
          <w:p w14:paraId="574DCCBF" w14:textId="77777777" w:rsidR="007123E7" w:rsidRPr="00067F99" w:rsidRDefault="007123E7" w:rsidP="00E27C70">
            <w:pPr>
              <w:jc w:val="center"/>
              <w:rPr>
                <w:sz w:val="24"/>
                <w:szCs w:val="24"/>
              </w:rPr>
            </w:pPr>
            <w:r w:rsidRPr="00067F99">
              <w:rPr>
                <w:sz w:val="24"/>
                <w:szCs w:val="24"/>
                <w:cs/>
              </w:rPr>
              <w:t>5</w:t>
            </w:r>
          </w:p>
        </w:tc>
      </w:tr>
      <w:bookmarkEnd w:id="20"/>
    </w:tbl>
    <w:p w14:paraId="524ED269" w14:textId="77777777" w:rsidR="007123E7" w:rsidRPr="00067F99" w:rsidRDefault="007123E7" w:rsidP="007123E7">
      <w:pPr>
        <w:pStyle w:val="whitespace-normal"/>
        <w:rPr>
          <w:rStyle w:val="Strong"/>
          <w:rFonts w:ascii="Arial" w:hAnsi="Arial" w:cs="Arial"/>
        </w:rPr>
      </w:pPr>
    </w:p>
    <w:p w14:paraId="34EAF6C3" w14:textId="77777777" w:rsidR="007123E7" w:rsidRPr="00067F99" w:rsidRDefault="007123E7" w:rsidP="007123E7">
      <w:pPr>
        <w:pStyle w:val="whitespace-normal"/>
        <w:rPr>
          <w:rStyle w:val="Strong"/>
          <w:rFonts w:ascii="Arial" w:hAnsi="Arial" w:cs="Arial"/>
        </w:rPr>
      </w:pPr>
    </w:p>
    <w:p w14:paraId="350970E8" w14:textId="77777777" w:rsidR="007123E7" w:rsidRPr="00067F99" w:rsidRDefault="007123E7" w:rsidP="007123E7">
      <w:pPr>
        <w:pStyle w:val="whitespace-normal"/>
        <w:rPr>
          <w:rStyle w:val="Strong"/>
          <w:rFonts w:ascii="Arial" w:hAnsi="Arial" w:cs="Arial"/>
        </w:rPr>
      </w:pPr>
    </w:p>
    <w:p w14:paraId="463D347F" w14:textId="77777777" w:rsidR="007123E7" w:rsidRPr="00067F99" w:rsidRDefault="007123E7" w:rsidP="007123E7">
      <w:pPr>
        <w:pStyle w:val="whitespace-normal"/>
        <w:rPr>
          <w:rStyle w:val="Strong"/>
          <w:rFonts w:ascii="Arial" w:hAnsi="Arial" w:cs="Arial"/>
        </w:rPr>
      </w:pPr>
    </w:p>
    <w:p w14:paraId="3513B92A" w14:textId="77777777" w:rsidR="007123E7" w:rsidRPr="00067F99" w:rsidRDefault="007123E7" w:rsidP="007123E7">
      <w:pPr>
        <w:pStyle w:val="whitespace-normal"/>
        <w:rPr>
          <w:rStyle w:val="Strong"/>
          <w:rFonts w:ascii="Arial" w:hAnsi="Arial" w:cs="Arial"/>
          <w:b w:val="0"/>
          <w:bCs w:val="0"/>
          <w:cs/>
        </w:rPr>
      </w:pPr>
      <w:r w:rsidRPr="00067F99">
        <w:rPr>
          <w:rFonts w:ascii="Arial" w:hAnsi="Arial" w:cs="Arial"/>
        </w:rPr>
        <w:t>Table 3: Marine Water Quality Status (MWQS) in the Andaman Sea</w:t>
      </w:r>
    </w:p>
    <w:tbl>
      <w:tblPr>
        <w:tblStyle w:val="TableGrid"/>
        <w:tblW w:w="0" w:type="auto"/>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4A0" w:firstRow="1" w:lastRow="0" w:firstColumn="1" w:lastColumn="0" w:noHBand="0" w:noVBand="1"/>
      </w:tblPr>
      <w:tblGrid>
        <w:gridCol w:w="2055"/>
        <w:gridCol w:w="1620"/>
        <w:gridCol w:w="4500"/>
      </w:tblGrid>
      <w:tr w:rsidR="007123E7" w:rsidRPr="00067F99" w14:paraId="0A01D4DD" w14:textId="77777777" w:rsidTr="00E27C70">
        <w:tc>
          <w:tcPr>
            <w:tcW w:w="8175" w:type="dxa"/>
            <w:gridSpan w:val="3"/>
            <w:tcBorders>
              <w:top w:val="single" w:sz="12" w:space="0" w:color="auto"/>
              <w:left w:val="single" w:sz="12" w:space="0" w:color="auto"/>
              <w:bottom w:val="single" w:sz="12" w:space="0" w:color="auto"/>
              <w:right w:val="single" w:sz="12" w:space="0" w:color="auto"/>
            </w:tcBorders>
          </w:tcPr>
          <w:p w14:paraId="50B34F9B" w14:textId="77777777" w:rsidR="007123E7" w:rsidRPr="00067F99" w:rsidRDefault="007123E7" w:rsidP="00E27C70">
            <w:pPr>
              <w:jc w:val="center"/>
              <w:rPr>
                <w:b/>
                <w:bCs/>
                <w:sz w:val="24"/>
                <w:szCs w:val="24"/>
                <w:cs/>
              </w:rPr>
            </w:pPr>
            <w:r w:rsidRPr="00067F99">
              <w:rPr>
                <w:b/>
                <w:bCs/>
                <w:sz w:val="24"/>
                <w:szCs w:val="24"/>
              </w:rPr>
              <w:t xml:space="preserve">MWQS in the Andaman Sea at 10, 100, and 500 meters from the shoreline) </w:t>
            </w:r>
            <w:r w:rsidRPr="00067F99">
              <w:rPr>
                <w:sz w:val="24"/>
                <w:szCs w:val="24"/>
                <w:cs/>
              </w:rPr>
              <w:t xml:space="preserve">(181 </w:t>
            </w:r>
            <w:r w:rsidRPr="00067F99">
              <w:rPr>
                <w:sz w:val="24"/>
                <w:szCs w:val="24"/>
              </w:rPr>
              <w:t>stations</w:t>
            </w:r>
            <w:r w:rsidRPr="00067F99">
              <w:rPr>
                <w:sz w:val="24"/>
                <w:szCs w:val="24"/>
                <w:cs/>
              </w:rPr>
              <w:t>)</w:t>
            </w:r>
          </w:p>
        </w:tc>
      </w:tr>
      <w:tr w:rsidR="007123E7" w:rsidRPr="00067F99" w14:paraId="47A23A40" w14:textId="77777777" w:rsidTr="00E27C70">
        <w:tc>
          <w:tcPr>
            <w:tcW w:w="2055" w:type="dxa"/>
            <w:tcBorders>
              <w:top w:val="single" w:sz="12" w:space="0" w:color="auto"/>
            </w:tcBorders>
          </w:tcPr>
          <w:p w14:paraId="034FD6D0" w14:textId="77777777" w:rsidR="007123E7" w:rsidRPr="00067F99" w:rsidRDefault="007123E7" w:rsidP="00E27C70">
            <w:pPr>
              <w:jc w:val="center"/>
              <w:rPr>
                <w:b/>
                <w:bCs/>
                <w:sz w:val="24"/>
                <w:szCs w:val="24"/>
              </w:rPr>
            </w:pPr>
            <w:r w:rsidRPr="00067F99">
              <w:rPr>
                <w:b/>
                <w:bCs/>
                <w:sz w:val="24"/>
                <w:szCs w:val="24"/>
              </w:rPr>
              <w:t>Status</w:t>
            </w:r>
          </w:p>
        </w:tc>
        <w:tc>
          <w:tcPr>
            <w:tcW w:w="1620" w:type="dxa"/>
            <w:tcBorders>
              <w:top w:val="single" w:sz="12" w:space="0" w:color="auto"/>
            </w:tcBorders>
          </w:tcPr>
          <w:p w14:paraId="28F0A9B4" w14:textId="77777777" w:rsidR="007123E7" w:rsidRPr="00067F99" w:rsidRDefault="007123E7" w:rsidP="00E27C70">
            <w:pPr>
              <w:jc w:val="center"/>
              <w:rPr>
                <w:b/>
                <w:bCs/>
                <w:sz w:val="24"/>
                <w:szCs w:val="24"/>
              </w:rPr>
            </w:pPr>
            <w:r w:rsidRPr="00067F99">
              <w:rPr>
                <w:b/>
                <w:bCs/>
                <w:sz w:val="24"/>
                <w:szCs w:val="24"/>
              </w:rPr>
              <w:t>%</w:t>
            </w:r>
          </w:p>
        </w:tc>
        <w:tc>
          <w:tcPr>
            <w:tcW w:w="4500" w:type="dxa"/>
            <w:tcBorders>
              <w:top w:val="single" w:sz="12" w:space="0" w:color="auto"/>
            </w:tcBorders>
          </w:tcPr>
          <w:p w14:paraId="33AB2474" w14:textId="77777777" w:rsidR="007123E7" w:rsidRPr="00067F99" w:rsidRDefault="007123E7" w:rsidP="00E27C70">
            <w:pPr>
              <w:jc w:val="center"/>
              <w:rPr>
                <w:b/>
                <w:bCs/>
                <w:sz w:val="24"/>
                <w:szCs w:val="24"/>
              </w:rPr>
            </w:pPr>
            <w:r w:rsidRPr="00067F99">
              <w:rPr>
                <w:b/>
                <w:bCs/>
                <w:sz w:val="24"/>
                <w:szCs w:val="24"/>
              </w:rPr>
              <w:t>Stations</w:t>
            </w:r>
          </w:p>
        </w:tc>
      </w:tr>
      <w:tr w:rsidR="007123E7" w:rsidRPr="00067F99" w14:paraId="6CB19E9B" w14:textId="77777777" w:rsidTr="00E27C70">
        <w:tc>
          <w:tcPr>
            <w:tcW w:w="2055" w:type="dxa"/>
          </w:tcPr>
          <w:p w14:paraId="35A1875C" w14:textId="77777777" w:rsidR="007123E7" w:rsidRPr="00067F99" w:rsidRDefault="007123E7" w:rsidP="00E27C70">
            <w:pPr>
              <w:rPr>
                <w:sz w:val="24"/>
                <w:szCs w:val="24"/>
              </w:rPr>
            </w:pPr>
            <w:r w:rsidRPr="00067F99">
              <w:rPr>
                <w:sz w:val="24"/>
                <w:szCs w:val="24"/>
              </w:rPr>
              <w:t>Excellent</w:t>
            </w:r>
          </w:p>
        </w:tc>
        <w:tc>
          <w:tcPr>
            <w:tcW w:w="1620" w:type="dxa"/>
          </w:tcPr>
          <w:p w14:paraId="10D2B3A9" w14:textId="77777777" w:rsidR="007123E7" w:rsidRPr="00067F99" w:rsidRDefault="007123E7" w:rsidP="00E27C70">
            <w:pPr>
              <w:jc w:val="center"/>
              <w:rPr>
                <w:sz w:val="24"/>
                <w:szCs w:val="24"/>
              </w:rPr>
            </w:pPr>
            <w:r w:rsidRPr="00067F99">
              <w:rPr>
                <w:sz w:val="24"/>
                <w:szCs w:val="24"/>
                <w:cs/>
              </w:rPr>
              <w:t>8</w:t>
            </w:r>
          </w:p>
        </w:tc>
        <w:tc>
          <w:tcPr>
            <w:tcW w:w="4500" w:type="dxa"/>
          </w:tcPr>
          <w:p w14:paraId="7E4308B2" w14:textId="77777777" w:rsidR="007123E7" w:rsidRPr="00067F99" w:rsidRDefault="007123E7" w:rsidP="00E27C70">
            <w:pPr>
              <w:jc w:val="center"/>
              <w:rPr>
                <w:sz w:val="24"/>
                <w:szCs w:val="24"/>
              </w:rPr>
            </w:pPr>
            <w:r w:rsidRPr="00067F99">
              <w:rPr>
                <w:sz w:val="24"/>
                <w:szCs w:val="24"/>
                <w:cs/>
              </w:rPr>
              <w:t>14</w:t>
            </w:r>
          </w:p>
        </w:tc>
      </w:tr>
      <w:tr w:rsidR="007123E7" w:rsidRPr="00067F99" w14:paraId="7A3721DF" w14:textId="77777777" w:rsidTr="00E27C70">
        <w:tc>
          <w:tcPr>
            <w:tcW w:w="2055" w:type="dxa"/>
          </w:tcPr>
          <w:p w14:paraId="751E8994" w14:textId="77777777" w:rsidR="007123E7" w:rsidRPr="00067F99" w:rsidRDefault="007123E7" w:rsidP="00E27C70">
            <w:pPr>
              <w:rPr>
                <w:sz w:val="24"/>
                <w:szCs w:val="24"/>
              </w:rPr>
            </w:pPr>
            <w:r w:rsidRPr="00067F99">
              <w:rPr>
                <w:sz w:val="24"/>
                <w:szCs w:val="24"/>
              </w:rPr>
              <w:t>Good</w:t>
            </w:r>
          </w:p>
        </w:tc>
        <w:tc>
          <w:tcPr>
            <w:tcW w:w="1620" w:type="dxa"/>
          </w:tcPr>
          <w:p w14:paraId="2F90FAE9" w14:textId="77777777" w:rsidR="007123E7" w:rsidRPr="00067F99" w:rsidRDefault="007123E7" w:rsidP="00E27C70">
            <w:pPr>
              <w:jc w:val="center"/>
              <w:rPr>
                <w:sz w:val="24"/>
                <w:szCs w:val="24"/>
              </w:rPr>
            </w:pPr>
            <w:r w:rsidRPr="00067F99">
              <w:rPr>
                <w:sz w:val="24"/>
                <w:szCs w:val="24"/>
                <w:cs/>
              </w:rPr>
              <w:t>64</w:t>
            </w:r>
          </w:p>
        </w:tc>
        <w:tc>
          <w:tcPr>
            <w:tcW w:w="4500" w:type="dxa"/>
          </w:tcPr>
          <w:p w14:paraId="67F69821" w14:textId="77777777" w:rsidR="007123E7" w:rsidRPr="00067F99" w:rsidRDefault="007123E7" w:rsidP="00E27C70">
            <w:pPr>
              <w:jc w:val="center"/>
              <w:rPr>
                <w:sz w:val="24"/>
                <w:szCs w:val="24"/>
              </w:rPr>
            </w:pPr>
            <w:r w:rsidRPr="00067F99">
              <w:rPr>
                <w:sz w:val="24"/>
                <w:szCs w:val="24"/>
                <w:cs/>
              </w:rPr>
              <w:t>116</w:t>
            </w:r>
          </w:p>
        </w:tc>
      </w:tr>
      <w:tr w:rsidR="007123E7" w:rsidRPr="00067F99" w14:paraId="1E807FA3" w14:textId="77777777" w:rsidTr="00E27C70">
        <w:tc>
          <w:tcPr>
            <w:tcW w:w="2055" w:type="dxa"/>
          </w:tcPr>
          <w:p w14:paraId="301B59D4" w14:textId="77777777" w:rsidR="007123E7" w:rsidRPr="00067F99" w:rsidRDefault="007123E7" w:rsidP="00E27C70">
            <w:pPr>
              <w:rPr>
                <w:sz w:val="24"/>
                <w:szCs w:val="24"/>
              </w:rPr>
            </w:pPr>
            <w:r w:rsidRPr="00067F99">
              <w:rPr>
                <w:sz w:val="24"/>
                <w:szCs w:val="24"/>
              </w:rPr>
              <w:t>Fair</w:t>
            </w:r>
          </w:p>
        </w:tc>
        <w:tc>
          <w:tcPr>
            <w:tcW w:w="1620" w:type="dxa"/>
          </w:tcPr>
          <w:p w14:paraId="2451F08F" w14:textId="77777777" w:rsidR="007123E7" w:rsidRPr="00067F99" w:rsidRDefault="007123E7" w:rsidP="00E27C70">
            <w:pPr>
              <w:jc w:val="center"/>
              <w:rPr>
                <w:sz w:val="24"/>
                <w:szCs w:val="24"/>
              </w:rPr>
            </w:pPr>
            <w:r w:rsidRPr="00067F99">
              <w:rPr>
                <w:sz w:val="24"/>
                <w:szCs w:val="24"/>
                <w:cs/>
              </w:rPr>
              <w:t>26</w:t>
            </w:r>
          </w:p>
        </w:tc>
        <w:tc>
          <w:tcPr>
            <w:tcW w:w="4500" w:type="dxa"/>
          </w:tcPr>
          <w:p w14:paraId="76866FEB" w14:textId="77777777" w:rsidR="007123E7" w:rsidRPr="00067F99" w:rsidRDefault="007123E7" w:rsidP="00E27C70">
            <w:pPr>
              <w:jc w:val="center"/>
              <w:rPr>
                <w:sz w:val="24"/>
                <w:szCs w:val="24"/>
              </w:rPr>
            </w:pPr>
            <w:r w:rsidRPr="00067F99">
              <w:rPr>
                <w:sz w:val="24"/>
                <w:szCs w:val="24"/>
                <w:cs/>
              </w:rPr>
              <w:t>48</w:t>
            </w:r>
          </w:p>
        </w:tc>
      </w:tr>
      <w:tr w:rsidR="007123E7" w:rsidRPr="00067F99" w14:paraId="5E78120A" w14:textId="77777777" w:rsidTr="00E27C70">
        <w:tc>
          <w:tcPr>
            <w:tcW w:w="2055" w:type="dxa"/>
          </w:tcPr>
          <w:p w14:paraId="42AD4E08" w14:textId="77777777" w:rsidR="007123E7" w:rsidRPr="00067F99" w:rsidRDefault="007123E7" w:rsidP="00E27C70">
            <w:pPr>
              <w:rPr>
                <w:sz w:val="24"/>
                <w:szCs w:val="24"/>
              </w:rPr>
            </w:pPr>
            <w:r w:rsidRPr="00067F99">
              <w:rPr>
                <w:sz w:val="24"/>
                <w:szCs w:val="24"/>
              </w:rPr>
              <w:t>Poor</w:t>
            </w:r>
          </w:p>
        </w:tc>
        <w:tc>
          <w:tcPr>
            <w:tcW w:w="1620" w:type="dxa"/>
          </w:tcPr>
          <w:p w14:paraId="0D975D21" w14:textId="77777777" w:rsidR="007123E7" w:rsidRPr="00067F99" w:rsidRDefault="007123E7" w:rsidP="00E27C70">
            <w:pPr>
              <w:jc w:val="center"/>
              <w:rPr>
                <w:sz w:val="24"/>
                <w:szCs w:val="24"/>
              </w:rPr>
            </w:pPr>
            <w:r w:rsidRPr="00067F99">
              <w:rPr>
                <w:sz w:val="24"/>
                <w:szCs w:val="24"/>
                <w:cs/>
              </w:rPr>
              <w:t>2</w:t>
            </w:r>
          </w:p>
        </w:tc>
        <w:tc>
          <w:tcPr>
            <w:tcW w:w="4500" w:type="dxa"/>
          </w:tcPr>
          <w:p w14:paraId="02DC74C3" w14:textId="77777777" w:rsidR="007123E7" w:rsidRPr="00067F99" w:rsidRDefault="007123E7" w:rsidP="00E27C70">
            <w:pPr>
              <w:jc w:val="center"/>
              <w:rPr>
                <w:sz w:val="24"/>
                <w:szCs w:val="24"/>
              </w:rPr>
            </w:pPr>
            <w:r w:rsidRPr="00067F99">
              <w:rPr>
                <w:sz w:val="24"/>
                <w:szCs w:val="24"/>
                <w:cs/>
              </w:rPr>
              <w:t>3</w:t>
            </w:r>
          </w:p>
        </w:tc>
      </w:tr>
      <w:tr w:rsidR="007123E7" w:rsidRPr="00067F99" w14:paraId="306E8DC0" w14:textId="77777777" w:rsidTr="00E27C70">
        <w:tc>
          <w:tcPr>
            <w:tcW w:w="2055" w:type="dxa"/>
          </w:tcPr>
          <w:p w14:paraId="3F58E220" w14:textId="77777777" w:rsidR="007123E7" w:rsidRPr="00067F99" w:rsidRDefault="007123E7" w:rsidP="00E27C70">
            <w:pPr>
              <w:rPr>
                <w:sz w:val="24"/>
                <w:szCs w:val="24"/>
              </w:rPr>
            </w:pPr>
            <w:r w:rsidRPr="00067F99">
              <w:rPr>
                <w:sz w:val="24"/>
                <w:szCs w:val="24"/>
              </w:rPr>
              <w:t>Very Poor</w:t>
            </w:r>
          </w:p>
        </w:tc>
        <w:tc>
          <w:tcPr>
            <w:tcW w:w="1620" w:type="dxa"/>
          </w:tcPr>
          <w:p w14:paraId="4FE7C3F6" w14:textId="77777777" w:rsidR="007123E7" w:rsidRPr="00067F99" w:rsidRDefault="007123E7" w:rsidP="00E27C70">
            <w:pPr>
              <w:jc w:val="center"/>
              <w:rPr>
                <w:sz w:val="24"/>
                <w:szCs w:val="24"/>
              </w:rPr>
            </w:pPr>
            <w:r w:rsidRPr="00067F99">
              <w:rPr>
                <w:sz w:val="24"/>
                <w:szCs w:val="24"/>
                <w:cs/>
              </w:rPr>
              <w:t>0</w:t>
            </w:r>
          </w:p>
        </w:tc>
        <w:tc>
          <w:tcPr>
            <w:tcW w:w="4500" w:type="dxa"/>
          </w:tcPr>
          <w:p w14:paraId="09558225" w14:textId="77777777" w:rsidR="007123E7" w:rsidRPr="00067F99" w:rsidRDefault="007123E7" w:rsidP="00E27C70">
            <w:pPr>
              <w:jc w:val="center"/>
              <w:rPr>
                <w:sz w:val="24"/>
                <w:szCs w:val="24"/>
              </w:rPr>
            </w:pPr>
            <w:r w:rsidRPr="00067F99">
              <w:rPr>
                <w:sz w:val="24"/>
                <w:szCs w:val="24"/>
                <w:cs/>
              </w:rPr>
              <w:t>0</w:t>
            </w:r>
          </w:p>
        </w:tc>
      </w:tr>
    </w:tbl>
    <w:p w14:paraId="1C40BD18" w14:textId="77777777" w:rsidR="007123E7" w:rsidRPr="00067F99" w:rsidRDefault="007123E7" w:rsidP="007123E7">
      <w:pPr>
        <w:pStyle w:val="whitespace-normal"/>
        <w:rPr>
          <w:rStyle w:val="Strong"/>
          <w:rFonts w:ascii="Arial" w:hAnsi="Arial" w:cs="Arial"/>
          <w:b w:val="0"/>
          <w:bCs w:val="0"/>
        </w:rPr>
      </w:pPr>
      <w:r w:rsidRPr="00067F99">
        <w:rPr>
          <w:rFonts w:ascii="Arial" w:hAnsi="Arial" w:cs="Arial"/>
        </w:rPr>
        <w:t>Table 4: Marine Water Quality Status in the Gulf of Thailand (3 kilometers offshore from the shoreline)</w:t>
      </w:r>
    </w:p>
    <w:tbl>
      <w:tblPr>
        <w:tblStyle w:val="TableGrid"/>
        <w:tblW w:w="0" w:type="auto"/>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4A0" w:firstRow="1" w:lastRow="0" w:firstColumn="1" w:lastColumn="0" w:noHBand="0" w:noVBand="1"/>
      </w:tblPr>
      <w:tblGrid>
        <w:gridCol w:w="1368"/>
        <w:gridCol w:w="1368"/>
        <w:gridCol w:w="4809"/>
      </w:tblGrid>
      <w:tr w:rsidR="007123E7" w:rsidRPr="00067F99" w14:paraId="595D488F" w14:textId="77777777" w:rsidTr="00E27C70">
        <w:tc>
          <w:tcPr>
            <w:tcW w:w="7545" w:type="dxa"/>
            <w:gridSpan w:val="3"/>
            <w:tcBorders>
              <w:top w:val="single" w:sz="12" w:space="0" w:color="auto"/>
              <w:left w:val="single" w:sz="12" w:space="0" w:color="auto"/>
              <w:bottom w:val="single" w:sz="12" w:space="0" w:color="auto"/>
              <w:right w:val="single" w:sz="12" w:space="0" w:color="auto"/>
            </w:tcBorders>
          </w:tcPr>
          <w:p w14:paraId="7AA2F9FD" w14:textId="77777777" w:rsidR="007123E7" w:rsidRPr="00067F99" w:rsidRDefault="007123E7" w:rsidP="00E27C70">
            <w:pPr>
              <w:jc w:val="center"/>
              <w:rPr>
                <w:b/>
                <w:bCs/>
                <w:sz w:val="24"/>
                <w:szCs w:val="24"/>
                <w:cs/>
              </w:rPr>
            </w:pPr>
            <w:r w:rsidRPr="00067F99">
              <w:rPr>
                <w:b/>
                <w:bCs/>
                <w:sz w:val="24"/>
                <w:szCs w:val="24"/>
              </w:rPr>
              <w:t>MWQS in the Gulf of Thailand at 3,000 meters from the shoreline</w:t>
            </w:r>
            <w:r w:rsidRPr="00067F99">
              <w:rPr>
                <w:b/>
                <w:bCs/>
                <w:sz w:val="24"/>
                <w:szCs w:val="24"/>
              </w:rPr>
              <w:br/>
            </w:r>
            <w:r w:rsidRPr="00067F99">
              <w:rPr>
                <w:sz w:val="24"/>
                <w:szCs w:val="24"/>
                <w:cs/>
              </w:rPr>
              <w:t xml:space="preserve"> (</w:t>
            </w:r>
            <w:r w:rsidRPr="00067F99">
              <w:rPr>
                <w:sz w:val="24"/>
                <w:szCs w:val="24"/>
              </w:rPr>
              <w:t>85</w:t>
            </w:r>
            <w:r w:rsidRPr="00067F99">
              <w:rPr>
                <w:sz w:val="24"/>
                <w:szCs w:val="24"/>
                <w:cs/>
              </w:rPr>
              <w:t xml:space="preserve"> </w:t>
            </w:r>
            <w:r w:rsidRPr="00067F99">
              <w:rPr>
                <w:sz w:val="24"/>
                <w:szCs w:val="24"/>
              </w:rPr>
              <w:t>stations</w:t>
            </w:r>
            <w:r w:rsidRPr="00067F99">
              <w:rPr>
                <w:sz w:val="24"/>
                <w:szCs w:val="24"/>
                <w:cs/>
              </w:rPr>
              <w:t>)</w:t>
            </w:r>
          </w:p>
        </w:tc>
      </w:tr>
      <w:tr w:rsidR="007123E7" w:rsidRPr="00067F99" w14:paraId="05D6664F" w14:textId="77777777" w:rsidTr="00E27C70">
        <w:tc>
          <w:tcPr>
            <w:tcW w:w="1368" w:type="dxa"/>
            <w:tcBorders>
              <w:top w:val="single" w:sz="12" w:space="0" w:color="auto"/>
            </w:tcBorders>
          </w:tcPr>
          <w:p w14:paraId="6AB57422" w14:textId="77777777" w:rsidR="007123E7" w:rsidRPr="00067F99" w:rsidRDefault="007123E7" w:rsidP="00E27C70">
            <w:pPr>
              <w:jc w:val="center"/>
              <w:rPr>
                <w:b/>
                <w:bCs/>
                <w:sz w:val="24"/>
                <w:szCs w:val="24"/>
              </w:rPr>
            </w:pPr>
            <w:r w:rsidRPr="00067F99">
              <w:rPr>
                <w:b/>
                <w:bCs/>
                <w:sz w:val="24"/>
                <w:szCs w:val="24"/>
              </w:rPr>
              <w:t>Status</w:t>
            </w:r>
          </w:p>
        </w:tc>
        <w:tc>
          <w:tcPr>
            <w:tcW w:w="1368" w:type="dxa"/>
            <w:tcBorders>
              <w:top w:val="single" w:sz="12" w:space="0" w:color="auto"/>
            </w:tcBorders>
          </w:tcPr>
          <w:p w14:paraId="4E35228E" w14:textId="77777777" w:rsidR="007123E7" w:rsidRPr="00067F99" w:rsidRDefault="007123E7" w:rsidP="00E27C70">
            <w:pPr>
              <w:jc w:val="center"/>
              <w:rPr>
                <w:b/>
                <w:bCs/>
                <w:sz w:val="24"/>
                <w:szCs w:val="24"/>
              </w:rPr>
            </w:pPr>
            <w:r w:rsidRPr="00067F99">
              <w:rPr>
                <w:b/>
                <w:bCs/>
                <w:sz w:val="24"/>
                <w:szCs w:val="24"/>
              </w:rPr>
              <w:t>%</w:t>
            </w:r>
          </w:p>
        </w:tc>
        <w:tc>
          <w:tcPr>
            <w:tcW w:w="4809" w:type="dxa"/>
            <w:tcBorders>
              <w:top w:val="single" w:sz="12" w:space="0" w:color="auto"/>
            </w:tcBorders>
          </w:tcPr>
          <w:p w14:paraId="677B7222" w14:textId="77777777" w:rsidR="007123E7" w:rsidRPr="00067F99" w:rsidRDefault="007123E7" w:rsidP="00E27C70">
            <w:pPr>
              <w:jc w:val="center"/>
              <w:rPr>
                <w:b/>
                <w:bCs/>
                <w:sz w:val="24"/>
                <w:szCs w:val="24"/>
              </w:rPr>
            </w:pPr>
            <w:r w:rsidRPr="00067F99">
              <w:rPr>
                <w:b/>
                <w:bCs/>
                <w:sz w:val="24"/>
                <w:szCs w:val="24"/>
              </w:rPr>
              <w:t>Stations</w:t>
            </w:r>
          </w:p>
        </w:tc>
      </w:tr>
      <w:tr w:rsidR="007123E7" w:rsidRPr="00067F99" w14:paraId="58DEDC84" w14:textId="77777777" w:rsidTr="00E27C70">
        <w:tc>
          <w:tcPr>
            <w:tcW w:w="1368" w:type="dxa"/>
          </w:tcPr>
          <w:p w14:paraId="0D1FA404" w14:textId="77777777" w:rsidR="007123E7" w:rsidRPr="00067F99" w:rsidRDefault="007123E7" w:rsidP="00E27C70">
            <w:pPr>
              <w:rPr>
                <w:sz w:val="24"/>
                <w:szCs w:val="24"/>
              </w:rPr>
            </w:pPr>
            <w:r w:rsidRPr="00067F99">
              <w:rPr>
                <w:sz w:val="24"/>
                <w:szCs w:val="24"/>
              </w:rPr>
              <w:t>Excellent</w:t>
            </w:r>
          </w:p>
        </w:tc>
        <w:tc>
          <w:tcPr>
            <w:tcW w:w="1368" w:type="dxa"/>
          </w:tcPr>
          <w:p w14:paraId="11E3F397" w14:textId="77777777" w:rsidR="007123E7" w:rsidRPr="00067F99" w:rsidRDefault="007123E7" w:rsidP="00E27C70">
            <w:pPr>
              <w:jc w:val="center"/>
              <w:rPr>
                <w:sz w:val="24"/>
                <w:szCs w:val="24"/>
              </w:rPr>
            </w:pPr>
            <w:r w:rsidRPr="00067F99">
              <w:rPr>
                <w:sz w:val="24"/>
                <w:szCs w:val="24"/>
              </w:rPr>
              <w:t>25</w:t>
            </w:r>
          </w:p>
        </w:tc>
        <w:tc>
          <w:tcPr>
            <w:tcW w:w="4809" w:type="dxa"/>
          </w:tcPr>
          <w:p w14:paraId="71049BEE" w14:textId="77777777" w:rsidR="007123E7" w:rsidRPr="00067F99" w:rsidRDefault="007123E7" w:rsidP="00E27C70">
            <w:pPr>
              <w:jc w:val="center"/>
              <w:rPr>
                <w:sz w:val="24"/>
                <w:szCs w:val="24"/>
              </w:rPr>
            </w:pPr>
            <w:r w:rsidRPr="00067F99">
              <w:rPr>
                <w:sz w:val="24"/>
                <w:szCs w:val="24"/>
              </w:rPr>
              <w:t>21</w:t>
            </w:r>
          </w:p>
        </w:tc>
      </w:tr>
      <w:tr w:rsidR="007123E7" w:rsidRPr="00067F99" w14:paraId="4CAA45F2" w14:textId="77777777" w:rsidTr="00E27C70">
        <w:tc>
          <w:tcPr>
            <w:tcW w:w="1368" w:type="dxa"/>
          </w:tcPr>
          <w:p w14:paraId="78BE92BC" w14:textId="77777777" w:rsidR="007123E7" w:rsidRPr="00067F99" w:rsidRDefault="007123E7" w:rsidP="00E27C70">
            <w:pPr>
              <w:rPr>
                <w:sz w:val="24"/>
                <w:szCs w:val="24"/>
              </w:rPr>
            </w:pPr>
            <w:r w:rsidRPr="00067F99">
              <w:rPr>
                <w:sz w:val="24"/>
                <w:szCs w:val="24"/>
              </w:rPr>
              <w:t>Good</w:t>
            </w:r>
          </w:p>
        </w:tc>
        <w:tc>
          <w:tcPr>
            <w:tcW w:w="1368" w:type="dxa"/>
          </w:tcPr>
          <w:p w14:paraId="42102DE2" w14:textId="77777777" w:rsidR="007123E7" w:rsidRPr="00067F99" w:rsidRDefault="007123E7" w:rsidP="00E27C70">
            <w:pPr>
              <w:jc w:val="center"/>
              <w:rPr>
                <w:sz w:val="24"/>
                <w:szCs w:val="24"/>
              </w:rPr>
            </w:pPr>
            <w:r w:rsidRPr="00067F99">
              <w:rPr>
                <w:sz w:val="24"/>
                <w:szCs w:val="24"/>
              </w:rPr>
              <w:t>67</w:t>
            </w:r>
          </w:p>
        </w:tc>
        <w:tc>
          <w:tcPr>
            <w:tcW w:w="4809" w:type="dxa"/>
          </w:tcPr>
          <w:p w14:paraId="01BD0D0C" w14:textId="77777777" w:rsidR="007123E7" w:rsidRPr="00067F99" w:rsidRDefault="007123E7" w:rsidP="00E27C70">
            <w:pPr>
              <w:jc w:val="center"/>
              <w:rPr>
                <w:sz w:val="24"/>
                <w:szCs w:val="24"/>
              </w:rPr>
            </w:pPr>
            <w:r w:rsidRPr="00067F99">
              <w:rPr>
                <w:sz w:val="24"/>
                <w:szCs w:val="24"/>
              </w:rPr>
              <w:t>57</w:t>
            </w:r>
          </w:p>
        </w:tc>
      </w:tr>
      <w:tr w:rsidR="007123E7" w:rsidRPr="00067F99" w14:paraId="104F056B" w14:textId="77777777" w:rsidTr="00E27C70">
        <w:tc>
          <w:tcPr>
            <w:tcW w:w="1368" w:type="dxa"/>
          </w:tcPr>
          <w:p w14:paraId="3B4A44C9" w14:textId="77777777" w:rsidR="007123E7" w:rsidRPr="00067F99" w:rsidRDefault="007123E7" w:rsidP="00E27C70">
            <w:pPr>
              <w:rPr>
                <w:sz w:val="24"/>
                <w:szCs w:val="24"/>
              </w:rPr>
            </w:pPr>
            <w:r w:rsidRPr="00067F99">
              <w:rPr>
                <w:sz w:val="24"/>
                <w:szCs w:val="24"/>
              </w:rPr>
              <w:t>Fair</w:t>
            </w:r>
          </w:p>
        </w:tc>
        <w:tc>
          <w:tcPr>
            <w:tcW w:w="1368" w:type="dxa"/>
          </w:tcPr>
          <w:p w14:paraId="2B3DA4C5" w14:textId="77777777" w:rsidR="007123E7" w:rsidRPr="00067F99" w:rsidRDefault="007123E7" w:rsidP="00E27C70">
            <w:pPr>
              <w:jc w:val="center"/>
              <w:rPr>
                <w:sz w:val="24"/>
                <w:szCs w:val="24"/>
              </w:rPr>
            </w:pPr>
            <w:r w:rsidRPr="00067F99">
              <w:rPr>
                <w:sz w:val="24"/>
                <w:szCs w:val="24"/>
              </w:rPr>
              <w:t>7</w:t>
            </w:r>
          </w:p>
        </w:tc>
        <w:tc>
          <w:tcPr>
            <w:tcW w:w="4809" w:type="dxa"/>
          </w:tcPr>
          <w:p w14:paraId="76E6D38F" w14:textId="77777777" w:rsidR="007123E7" w:rsidRPr="00067F99" w:rsidRDefault="007123E7" w:rsidP="00E27C70">
            <w:pPr>
              <w:jc w:val="center"/>
              <w:rPr>
                <w:sz w:val="24"/>
                <w:szCs w:val="24"/>
              </w:rPr>
            </w:pPr>
            <w:r w:rsidRPr="00067F99">
              <w:rPr>
                <w:sz w:val="24"/>
                <w:szCs w:val="24"/>
              </w:rPr>
              <w:t>6</w:t>
            </w:r>
          </w:p>
        </w:tc>
      </w:tr>
      <w:tr w:rsidR="007123E7" w:rsidRPr="00067F99" w14:paraId="3622E941" w14:textId="77777777" w:rsidTr="00E27C70">
        <w:tc>
          <w:tcPr>
            <w:tcW w:w="1368" w:type="dxa"/>
          </w:tcPr>
          <w:p w14:paraId="428FA613" w14:textId="77777777" w:rsidR="007123E7" w:rsidRPr="00067F99" w:rsidRDefault="007123E7" w:rsidP="00E27C70">
            <w:pPr>
              <w:rPr>
                <w:sz w:val="24"/>
                <w:szCs w:val="24"/>
              </w:rPr>
            </w:pPr>
            <w:r w:rsidRPr="00067F99">
              <w:rPr>
                <w:sz w:val="24"/>
                <w:szCs w:val="24"/>
              </w:rPr>
              <w:t>Poor</w:t>
            </w:r>
          </w:p>
        </w:tc>
        <w:tc>
          <w:tcPr>
            <w:tcW w:w="1368" w:type="dxa"/>
          </w:tcPr>
          <w:p w14:paraId="1BE2F654" w14:textId="77777777" w:rsidR="007123E7" w:rsidRPr="00067F99" w:rsidRDefault="007123E7" w:rsidP="00E27C70">
            <w:pPr>
              <w:jc w:val="center"/>
              <w:rPr>
                <w:sz w:val="24"/>
                <w:szCs w:val="24"/>
              </w:rPr>
            </w:pPr>
            <w:r w:rsidRPr="00067F99">
              <w:rPr>
                <w:sz w:val="24"/>
                <w:szCs w:val="24"/>
              </w:rPr>
              <w:t>1</w:t>
            </w:r>
          </w:p>
        </w:tc>
        <w:tc>
          <w:tcPr>
            <w:tcW w:w="4809" w:type="dxa"/>
          </w:tcPr>
          <w:p w14:paraId="6D10BCAB" w14:textId="77777777" w:rsidR="007123E7" w:rsidRPr="00067F99" w:rsidRDefault="007123E7" w:rsidP="00E27C70">
            <w:pPr>
              <w:jc w:val="center"/>
              <w:rPr>
                <w:sz w:val="24"/>
                <w:szCs w:val="24"/>
              </w:rPr>
            </w:pPr>
            <w:r w:rsidRPr="00067F99">
              <w:rPr>
                <w:sz w:val="24"/>
                <w:szCs w:val="24"/>
              </w:rPr>
              <w:t>1</w:t>
            </w:r>
          </w:p>
        </w:tc>
      </w:tr>
      <w:tr w:rsidR="007123E7" w:rsidRPr="00067F99" w14:paraId="4C0A2555" w14:textId="77777777" w:rsidTr="00E27C70">
        <w:tc>
          <w:tcPr>
            <w:tcW w:w="1368" w:type="dxa"/>
          </w:tcPr>
          <w:p w14:paraId="745B2320" w14:textId="77777777" w:rsidR="007123E7" w:rsidRPr="00067F99" w:rsidRDefault="007123E7" w:rsidP="00E27C70">
            <w:pPr>
              <w:rPr>
                <w:sz w:val="24"/>
                <w:szCs w:val="24"/>
              </w:rPr>
            </w:pPr>
            <w:r w:rsidRPr="00067F99">
              <w:rPr>
                <w:sz w:val="24"/>
                <w:szCs w:val="24"/>
              </w:rPr>
              <w:t>Very Poor</w:t>
            </w:r>
          </w:p>
        </w:tc>
        <w:tc>
          <w:tcPr>
            <w:tcW w:w="1368" w:type="dxa"/>
          </w:tcPr>
          <w:p w14:paraId="675F6B86" w14:textId="77777777" w:rsidR="007123E7" w:rsidRPr="00067F99" w:rsidRDefault="007123E7" w:rsidP="00E27C70">
            <w:pPr>
              <w:jc w:val="center"/>
              <w:rPr>
                <w:sz w:val="24"/>
                <w:szCs w:val="24"/>
              </w:rPr>
            </w:pPr>
            <w:r w:rsidRPr="00067F99">
              <w:rPr>
                <w:sz w:val="24"/>
                <w:szCs w:val="24"/>
                <w:cs/>
              </w:rPr>
              <w:t>0</w:t>
            </w:r>
          </w:p>
        </w:tc>
        <w:tc>
          <w:tcPr>
            <w:tcW w:w="4809" w:type="dxa"/>
          </w:tcPr>
          <w:p w14:paraId="52ACD8E8" w14:textId="77777777" w:rsidR="007123E7" w:rsidRPr="00067F99" w:rsidRDefault="007123E7" w:rsidP="00E27C70">
            <w:pPr>
              <w:jc w:val="center"/>
              <w:rPr>
                <w:sz w:val="24"/>
                <w:szCs w:val="24"/>
              </w:rPr>
            </w:pPr>
            <w:r w:rsidRPr="00067F99">
              <w:rPr>
                <w:sz w:val="24"/>
                <w:szCs w:val="24"/>
                <w:cs/>
              </w:rPr>
              <w:t>0</w:t>
            </w:r>
          </w:p>
        </w:tc>
      </w:tr>
    </w:tbl>
    <w:p w14:paraId="3C46FAAE" w14:textId="77777777" w:rsidR="007123E7" w:rsidRPr="00067F99" w:rsidRDefault="007123E7" w:rsidP="007123E7">
      <w:pPr>
        <w:pStyle w:val="Heading3"/>
        <w:rPr>
          <w:sz w:val="24"/>
          <w:szCs w:val="24"/>
        </w:rPr>
      </w:pPr>
      <w:r w:rsidRPr="00067F99">
        <w:rPr>
          <w:sz w:val="24"/>
          <w:szCs w:val="24"/>
        </w:rPr>
        <w:t xml:space="preserve">Long-Term Trends: Marine Water Quality (2015–2024) </w:t>
      </w:r>
    </w:p>
    <w:p w14:paraId="0A0BC606" w14:textId="77777777" w:rsidR="007123E7" w:rsidRPr="00067F99" w:rsidRDefault="007123E7" w:rsidP="007123E7">
      <w:pPr>
        <w:pStyle w:val="whitespace-normal"/>
        <w:rPr>
          <w:rFonts w:ascii="Arial" w:hAnsi="Arial" w:cs="Arial"/>
        </w:rPr>
      </w:pPr>
      <w:r w:rsidRPr="00067F99">
        <w:rPr>
          <w:rFonts w:ascii="Arial" w:hAnsi="Arial" w:cs="Arial"/>
        </w:rPr>
        <w:t xml:space="preserve">The analysis of marine water quality over the past decade revels a decline in environmental conditions, as several measures parameters have surpassed the threshold set by the Marine Water Quality Standard </w:t>
      </w:r>
      <w:r w:rsidRPr="00067F99">
        <w:rPr>
          <w:rStyle w:val="Strong"/>
          <w:rFonts w:ascii="Arial" w:hAnsi="Arial" w:cs="Arial"/>
        </w:rPr>
        <w:t>Overall Assessment</w:t>
      </w:r>
      <w:r w:rsidRPr="00067F99">
        <w:rPr>
          <w:rFonts w:ascii="Arial" w:hAnsi="Arial" w:cs="Arial"/>
        </w:rPr>
        <w:t xml:space="preserve">: Marine water quality has remained </w:t>
      </w:r>
      <w:r w:rsidRPr="00067F99">
        <w:rPr>
          <w:rStyle w:val="Strong"/>
          <w:rFonts w:ascii="Arial" w:hAnsi="Arial" w:cs="Arial"/>
        </w:rPr>
        <w:t>stable</w:t>
      </w:r>
      <w:r w:rsidRPr="00067F99">
        <w:rPr>
          <w:rFonts w:ascii="Arial" w:hAnsi="Arial" w:cs="Arial"/>
        </w:rPr>
        <w:t xml:space="preserve"> throughout the 10-year monitoring period</w:t>
      </w:r>
    </w:p>
    <w:p w14:paraId="00B87B5F" w14:textId="77777777" w:rsidR="007123E7" w:rsidRPr="00067F99" w:rsidRDefault="007123E7" w:rsidP="007123E7">
      <w:pPr>
        <w:pStyle w:val="whitespace-normal"/>
        <w:numPr>
          <w:ilvl w:val="0"/>
          <w:numId w:val="40"/>
        </w:numPr>
        <w:rPr>
          <w:rFonts w:ascii="Arial" w:hAnsi="Arial" w:cs="Arial"/>
        </w:rPr>
      </w:pPr>
      <w:r w:rsidRPr="00067F99">
        <w:rPr>
          <w:rStyle w:val="Strong"/>
          <w:rFonts w:ascii="Arial" w:hAnsi="Arial" w:cs="Arial"/>
        </w:rPr>
        <w:lastRenderedPageBreak/>
        <w:t>Beneficial Quality Maintenance</w:t>
      </w:r>
      <w:r w:rsidRPr="00067F99">
        <w:rPr>
          <w:rFonts w:ascii="Arial" w:hAnsi="Arial" w:cs="Arial"/>
        </w:rPr>
        <w:t xml:space="preserve">: The proportion of marine waters rated as beneficial (ranging from "very good" to "fair" categories) has </w:t>
      </w:r>
      <w:r w:rsidRPr="00067F99">
        <w:rPr>
          <w:rStyle w:val="Strong"/>
          <w:rFonts w:ascii="Arial" w:hAnsi="Arial" w:cs="Arial"/>
        </w:rPr>
        <w:t>consistently exceeded 90%</w:t>
      </w:r>
      <w:r w:rsidRPr="00067F99">
        <w:rPr>
          <w:rFonts w:ascii="Arial" w:hAnsi="Arial" w:cs="Arial"/>
        </w:rPr>
        <w:t xml:space="preserve"> since 2016</w:t>
      </w:r>
    </w:p>
    <w:p w14:paraId="40619EEA" w14:textId="77777777" w:rsidR="007123E7" w:rsidRPr="00067F99" w:rsidRDefault="007123E7" w:rsidP="007123E7">
      <w:pPr>
        <w:pStyle w:val="whitespace-normal"/>
        <w:numPr>
          <w:ilvl w:val="0"/>
          <w:numId w:val="40"/>
        </w:numPr>
        <w:rPr>
          <w:rFonts w:ascii="Arial" w:hAnsi="Arial" w:cs="Arial"/>
        </w:rPr>
      </w:pPr>
      <w:r w:rsidRPr="00067F99">
        <w:rPr>
          <w:rStyle w:val="Strong"/>
          <w:rFonts w:ascii="Arial" w:hAnsi="Arial" w:cs="Arial"/>
        </w:rPr>
        <w:t>System Resilience</w:t>
      </w:r>
      <w:r w:rsidRPr="00067F99">
        <w:rPr>
          <w:rFonts w:ascii="Arial" w:hAnsi="Arial" w:cs="Arial"/>
        </w:rPr>
        <w:t>: Despite increasing coastal development and tourism pressures, the marine ecosystem has demonstrated remarkable resilience in maintaining acceptable water quality standards</w:t>
      </w:r>
    </w:p>
    <w:p w14:paraId="7C1A41B6" w14:textId="77777777" w:rsidR="007123E7" w:rsidRPr="00067F99" w:rsidRDefault="007123E7" w:rsidP="007123E7">
      <w:pPr>
        <w:pStyle w:val="whitespace-normal"/>
        <w:numPr>
          <w:ilvl w:val="0"/>
          <w:numId w:val="41"/>
        </w:numPr>
        <w:rPr>
          <w:rFonts w:ascii="Arial" w:hAnsi="Arial" w:cs="Arial"/>
        </w:rPr>
      </w:pPr>
      <w:r w:rsidRPr="00067F99">
        <w:rPr>
          <w:rStyle w:val="Strong"/>
          <w:rFonts w:ascii="Arial" w:hAnsi="Arial" w:cs="Arial"/>
        </w:rPr>
        <w:t>2015</w:t>
      </w:r>
      <w:r w:rsidRPr="00067F99">
        <w:rPr>
          <w:rFonts w:ascii="Arial" w:hAnsi="Arial" w:cs="Arial"/>
        </w:rPr>
        <w:t>: Initial baseline establishment</w:t>
      </w:r>
    </w:p>
    <w:p w14:paraId="1657CC18" w14:textId="77777777" w:rsidR="007123E7" w:rsidRPr="00067F99" w:rsidRDefault="007123E7" w:rsidP="007123E7">
      <w:pPr>
        <w:pStyle w:val="whitespace-normal"/>
        <w:numPr>
          <w:ilvl w:val="0"/>
          <w:numId w:val="41"/>
        </w:numPr>
        <w:rPr>
          <w:rFonts w:ascii="Arial" w:hAnsi="Arial" w:cs="Arial"/>
        </w:rPr>
      </w:pPr>
      <w:r w:rsidRPr="00067F99">
        <w:rPr>
          <w:rStyle w:val="Strong"/>
          <w:rFonts w:ascii="Arial" w:hAnsi="Arial" w:cs="Arial"/>
        </w:rPr>
        <w:t>2016–2024</w:t>
      </w:r>
      <w:r w:rsidRPr="00067F99">
        <w:rPr>
          <w:rFonts w:ascii="Arial" w:hAnsi="Arial" w:cs="Arial"/>
        </w:rPr>
        <w:t>: Sustained performance with &gt;90% of marine waters maintaining beneficial quality ratings</w:t>
      </w:r>
    </w:p>
    <w:p w14:paraId="413D7AA1" w14:textId="77777777" w:rsidR="007123E7" w:rsidRPr="00067F99" w:rsidRDefault="007123E7" w:rsidP="007123E7">
      <w:pPr>
        <w:pStyle w:val="whitespace-normal"/>
        <w:numPr>
          <w:ilvl w:val="0"/>
          <w:numId w:val="41"/>
        </w:numPr>
        <w:rPr>
          <w:rFonts w:ascii="Arial" w:hAnsi="Arial" w:cs="Arial"/>
        </w:rPr>
      </w:pPr>
      <w:r w:rsidRPr="00067F99">
        <w:rPr>
          <w:rStyle w:val="Strong"/>
          <w:rFonts w:ascii="Arial" w:hAnsi="Arial" w:cs="Arial"/>
        </w:rPr>
        <w:t>Trend Trajectory</w:t>
      </w:r>
      <w:r w:rsidRPr="00067F99">
        <w:rPr>
          <w:rFonts w:ascii="Arial" w:hAnsi="Arial" w:cs="Arial"/>
        </w:rPr>
        <w:t>: Stable with no significant deterioration despite growing anthropogenic pressures</w:t>
      </w:r>
    </w:p>
    <w:p w14:paraId="6E963805" w14:textId="77777777" w:rsidR="007123E7" w:rsidRPr="00067F99" w:rsidRDefault="007123E7" w:rsidP="007123E7">
      <w:pPr>
        <w:pStyle w:val="Heading2"/>
        <w:ind w:firstLine="360"/>
        <w:jc w:val="thaiDistribute"/>
        <w:rPr>
          <w:b w:val="0"/>
          <w:bCs w:val="0"/>
          <w:color w:val="FF0000"/>
          <w:sz w:val="24"/>
          <w:szCs w:val="24"/>
          <w:cs/>
        </w:rPr>
      </w:pPr>
      <w:r w:rsidRPr="00067F99">
        <w:rPr>
          <w:b w:val="0"/>
          <w:bCs w:val="0"/>
          <w:color w:val="FF0000"/>
          <w:sz w:val="24"/>
          <w:szCs w:val="24"/>
        </w:rPr>
        <w:t>Over the past 10 years (2015–2024), marine water quality, as reflected by the Marine Water Quality Index (MWQI), has remained relatively stable. However, when examining individual parameters, nutrient-related parameters show increasing trends. In particular, total ammonia concentrations have tended to increase and exceed marine water quality standards, especially in river-mouth areas. Similar trends are observed for phosphate-phosphorus, as well as total coliform bacteria and fecal coliform bacteria, which also show increasing trends and exceed standards at certain monitoring stations and river-mouth areas.</w:t>
      </w:r>
    </w:p>
    <w:p w14:paraId="13F0073D" w14:textId="77777777" w:rsidR="007123E7" w:rsidRPr="00067F99" w:rsidRDefault="007123E7" w:rsidP="007123E7">
      <w:pPr>
        <w:pStyle w:val="Heading2"/>
        <w:rPr>
          <w:sz w:val="24"/>
          <w:szCs w:val="24"/>
        </w:rPr>
      </w:pPr>
      <w:r w:rsidRPr="00067F99">
        <w:rPr>
          <w:sz w:val="24"/>
          <w:szCs w:val="24"/>
        </w:rPr>
        <w:t>Marine Water Quality Assessment Summary</w:t>
      </w:r>
    </w:p>
    <w:p w14:paraId="7A526687" w14:textId="77777777" w:rsidR="007123E7" w:rsidRPr="00067F99" w:rsidRDefault="007123E7" w:rsidP="007123E7">
      <w:pPr>
        <w:pStyle w:val="Heading2"/>
        <w:rPr>
          <w:b w:val="0"/>
          <w:bCs w:val="0"/>
          <w:i/>
          <w:iCs/>
          <w:sz w:val="24"/>
          <w:szCs w:val="24"/>
        </w:rPr>
      </w:pPr>
      <w:r w:rsidRPr="00067F99">
        <w:rPr>
          <w:b w:val="0"/>
          <w:bCs w:val="0"/>
          <w:i/>
          <w:iCs/>
          <w:sz w:val="24"/>
          <w:szCs w:val="24"/>
        </w:rPr>
        <w:t>Current Status</w:t>
      </w:r>
    </w:p>
    <w:p w14:paraId="46345229" w14:textId="77777777" w:rsidR="007123E7" w:rsidRPr="00067F99" w:rsidRDefault="007123E7" w:rsidP="007123E7">
      <w:pPr>
        <w:pStyle w:val="Heading2"/>
        <w:jc w:val="thaiDistribute"/>
        <w:rPr>
          <w:b w:val="0"/>
          <w:bCs w:val="0"/>
          <w:sz w:val="24"/>
          <w:szCs w:val="24"/>
        </w:rPr>
      </w:pPr>
      <w:r w:rsidRPr="00067F99">
        <w:rPr>
          <w:b w:val="0"/>
          <w:bCs w:val="0"/>
          <w:sz w:val="24"/>
          <w:szCs w:val="24"/>
        </w:rPr>
        <w:t>As of 2024, Thailand's coastal waters demonstrate a predominantly positive environmental condition. Comprehensive monitoring data indicates that nearly two-thirds of coastal waters, representing 64% of assessment stations, maintain good to excellent quality standards. This measurement reflects the ongoing commitment to marine environmental stewardship across the nation's extensive coastline. The majority of Thailand's coastline continues to support healthy marine ecosystems, which are vital to both ecological integrity and the economic sectors dependent upon marine resources. However, it is noteworthy that 36% of monitoring stations report fair to poor conditions, reflecting localized pollution pressures in specific areas. These findings warrant continued attention and targeted intervention in affected regions.</w:t>
      </w:r>
    </w:p>
    <w:p w14:paraId="6040D82B" w14:textId="77777777" w:rsidR="007123E7" w:rsidRPr="00067F99" w:rsidRDefault="007123E7" w:rsidP="007123E7">
      <w:pPr>
        <w:pStyle w:val="Heading2"/>
        <w:rPr>
          <w:b w:val="0"/>
          <w:bCs w:val="0"/>
          <w:i/>
          <w:iCs/>
          <w:sz w:val="24"/>
          <w:szCs w:val="24"/>
        </w:rPr>
      </w:pPr>
      <w:r w:rsidRPr="00067F99">
        <w:rPr>
          <w:b w:val="0"/>
          <w:bCs w:val="0"/>
          <w:i/>
          <w:iCs/>
          <w:sz w:val="24"/>
          <w:szCs w:val="24"/>
        </w:rPr>
        <w:t>Historical Performance and Effectiveness</w:t>
      </w:r>
    </w:p>
    <w:p w14:paraId="32B1CB54" w14:textId="77777777" w:rsidR="007123E7" w:rsidRPr="00067F99" w:rsidRDefault="007123E7" w:rsidP="007123E7">
      <w:pPr>
        <w:pStyle w:val="Heading2"/>
        <w:jc w:val="thaiDistribute"/>
        <w:rPr>
          <w:b w:val="0"/>
          <w:bCs w:val="0"/>
          <w:sz w:val="24"/>
          <w:szCs w:val="24"/>
        </w:rPr>
      </w:pPr>
      <w:r w:rsidRPr="00067F99">
        <w:rPr>
          <w:b w:val="0"/>
          <w:bCs w:val="0"/>
          <w:sz w:val="24"/>
          <w:szCs w:val="24"/>
        </w:rPr>
        <w:t>An examination of historical performance over the past decade reveals a stabilized trajectory in coastal water quality management. This decade-long stability demonstrates that existing environmental management frameworks have been effective in maintaining or improving marine conditions. Notably, consistent beneficial quality ratings exceeding 90% across the monitoring period indicate the successful implementation and execution of pollution control measures throughout Thailand's coastal zones. Such sustained performance attests to the dedication of environmental agencies, regulatory compliance by stakeholders, and ongoing investment in marine protection initiatives.</w:t>
      </w:r>
    </w:p>
    <w:p w14:paraId="69D229F5" w14:textId="77777777" w:rsidR="007123E7" w:rsidRPr="00067F99" w:rsidRDefault="007123E7" w:rsidP="007123E7">
      <w:pPr>
        <w:pStyle w:val="Heading2"/>
        <w:jc w:val="thaiDistribute"/>
        <w:rPr>
          <w:b w:val="0"/>
          <w:bCs w:val="0"/>
          <w:sz w:val="24"/>
          <w:szCs w:val="24"/>
        </w:rPr>
      </w:pPr>
      <w:r w:rsidRPr="00067F99">
        <w:rPr>
          <w:b w:val="0"/>
          <w:bCs w:val="0"/>
          <w:sz w:val="24"/>
          <w:szCs w:val="24"/>
        </w:rPr>
        <w:t xml:space="preserve">The Marine Water Quality Index has proven to be an effective and reliable monitoring tool for assessing and tracking the nation's coastal environmental conditions. Through </w:t>
      </w:r>
      <w:r w:rsidRPr="00067F99">
        <w:rPr>
          <w:b w:val="0"/>
          <w:bCs w:val="0"/>
          <w:sz w:val="24"/>
          <w:szCs w:val="24"/>
        </w:rPr>
        <w:lastRenderedPageBreak/>
        <w:t>systematic data collection and analysis, this index provides a comprehensive foundation for evidence-based decision-making and adaptive management strategies to preserve and enhance Thailand's marine resources for future generations.</w:t>
      </w:r>
    </w:p>
    <w:p w14:paraId="3EA0910B" w14:textId="77777777" w:rsidR="007123E7" w:rsidRPr="00067F99" w:rsidRDefault="007123E7" w:rsidP="007123E7">
      <w:pPr>
        <w:pStyle w:val="Heading2"/>
        <w:rPr>
          <w:b w:val="0"/>
          <w:bCs w:val="0"/>
          <w:i/>
          <w:iCs/>
          <w:sz w:val="24"/>
          <w:szCs w:val="24"/>
        </w:rPr>
      </w:pPr>
      <w:r w:rsidRPr="00067F99">
        <w:rPr>
          <w:b w:val="0"/>
          <w:bCs w:val="0"/>
          <w:i/>
          <w:iCs/>
          <w:sz w:val="24"/>
          <w:szCs w:val="24"/>
        </w:rPr>
        <w:t>Management Implications</w:t>
      </w:r>
    </w:p>
    <w:p w14:paraId="30E92232" w14:textId="77777777" w:rsidR="007123E7" w:rsidRPr="00067F99" w:rsidRDefault="007123E7" w:rsidP="007123E7">
      <w:pPr>
        <w:pStyle w:val="whitespace-normal"/>
        <w:jc w:val="thaiDistribute"/>
        <w:rPr>
          <w:rFonts w:ascii="Arial" w:hAnsi="Arial" w:cs="Arial"/>
        </w:rPr>
      </w:pPr>
      <w:r w:rsidRPr="00067F99">
        <w:rPr>
          <w:rFonts w:ascii="Arial" w:hAnsi="Arial" w:cs="Arial"/>
        </w:rPr>
        <w:t>The combined current assessment and historical trends highlight several critical priorities for Thailand's marine water quality management. First, the long-term stability observed over the past decade indicates that existing management frameworks are effective and should be sustained as a foundation for future efforts. Second, targeted intervention is needed to focus remediation efforts on the 3% of monitoring stations with poor to very poor conditions, addressing localized pollution hotspots that continue to threaten marine ecosystems and coastal livelihoods.</w:t>
      </w:r>
    </w:p>
    <w:p w14:paraId="7AD1B1C6" w14:textId="77777777" w:rsidR="007123E7" w:rsidRPr="00067F99" w:rsidRDefault="007123E7" w:rsidP="007123E7">
      <w:pPr>
        <w:pStyle w:val="whitespace-normal"/>
        <w:jc w:val="thaiDistribute"/>
        <w:rPr>
          <w:rFonts w:ascii="Arial" w:hAnsi="Arial" w:cs="Arial"/>
        </w:rPr>
      </w:pPr>
      <w:r w:rsidRPr="00067F99">
        <w:rPr>
          <w:rFonts w:ascii="Arial" w:hAnsi="Arial" w:cs="Arial"/>
        </w:rPr>
        <w:t>Moving forward, a preventive approach is essential to maintain current protection levels while proactively addressing emerging pressures from coastal development and tourism expansion. This should be complemented by adaptive management strategies that utilize the established monitoring baseline to detect early warning signs and respond promptly to future changes in water quality conditions. Additionally, regional coordination through COBSEA and ASEAN frameworks will be crucial to share successful management practices and lessons learned with neighboring countries facing similar challenges.</w:t>
      </w:r>
    </w:p>
    <w:p w14:paraId="599E026C" w14:textId="77777777" w:rsidR="007123E7" w:rsidRPr="00067F99" w:rsidRDefault="007123E7" w:rsidP="007123E7">
      <w:pPr>
        <w:pStyle w:val="whitespace-normal"/>
        <w:jc w:val="thaiDistribute"/>
        <w:rPr>
          <w:rFonts w:ascii="Arial" w:hAnsi="Arial" w:cs="Arial"/>
        </w:rPr>
      </w:pPr>
      <w:r w:rsidRPr="00067F99">
        <w:rPr>
          <w:rFonts w:ascii="Arial" w:hAnsi="Arial" w:cs="Arial"/>
        </w:rPr>
        <w:t>In conclusion, Thailand's marine water quality demonstrates both current challenges and long-term resilience, providing a solid foundation for sustainable coastal and marine resource management. The decade-long monitoring record serves as valuable evidence that comprehensive pollution control measures, when properly implemented and maintained, can effectively protect marine ecosystems despite growing anthropogenic pressures.</w:t>
      </w:r>
    </w:p>
    <w:p w14:paraId="1DCFCF10" w14:textId="77777777" w:rsidR="007123E7" w:rsidRPr="00067F99" w:rsidRDefault="007123E7" w:rsidP="007123E7">
      <w:pPr>
        <w:pStyle w:val="Heading2"/>
        <w:rPr>
          <w:sz w:val="24"/>
          <w:szCs w:val="24"/>
        </w:rPr>
      </w:pPr>
      <w:r w:rsidRPr="00067F99">
        <w:rPr>
          <w:sz w:val="24"/>
          <w:szCs w:val="24"/>
        </w:rPr>
        <w:t>3) Wastewater Pollution (Domestic and Industrial Sources)</w:t>
      </w:r>
    </w:p>
    <w:p w14:paraId="48476CE2" w14:textId="77777777" w:rsidR="007123E7" w:rsidRPr="00067F99" w:rsidRDefault="007123E7" w:rsidP="007123E7">
      <w:pPr>
        <w:rPr>
          <w:sz w:val="24"/>
          <w:szCs w:val="24"/>
        </w:rPr>
      </w:pPr>
      <w:r w:rsidRPr="00067F99">
        <w:rPr>
          <w:sz w:val="24"/>
          <w:szCs w:val="24"/>
        </w:rPr>
        <w:t>Thailand’s wastewater management system faces critical challenges in both domestic and industrial sectors. These challenges contribute directly to nutrient enrichment, chemical contamination, and microbial pollution in freshwater and coastal ecosystems.</w:t>
      </w:r>
    </w:p>
    <w:p w14:paraId="7728EC4B" w14:textId="77777777" w:rsidR="007123E7" w:rsidRPr="00067F99" w:rsidRDefault="007123E7" w:rsidP="007123E7">
      <w:pPr>
        <w:pStyle w:val="Heading3"/>
        <w:rPr>
          <w:sz w:val="24"/>
          <w:szCs w:val="24"/>
        </w:rPr>
      </w:pPr>
      <w:r w:rsidRPr="00067F99">
        <w:rPr>
          <w:sz w:val="24"/>
          <w:szCs w:val="24"/>
        </w:rPr>
        <w:t>3.1 Domestic Wastewater Management</w:t>
      </w:r>
    </w:p>
    <w:p w14:paraId="77FE0369" w14:textId="77777777" w:rsidR="007123E7" w:rsidRPr="00067F99" w:rsidRDefault="007123E7" w:rsidP="007123E7">
      <w:pPr>
        <w:pStyle w:val="Heading3"/>
        <w:rPr>
          <w:strike/>
          <w:sz w:val="24"/>
          <w:szCs w:val="24"/>
        </w:rPr>
      </w:pPr>
      <w:r w:rsidRPr="00067F99">
        <w:rPr>
          <w:sz w:val="24"/>
          <w:szCs w:val="24"/>
        </w:rPr>
        <w:t>Infrastructure and Coverage Status</w:t>
      </w:r>
    </w:p>
    <w:p w14:paraId="66D5D13F" w14:textId="77777777" w:rsidR="007123E7" w:rsidRPr="00067F99" w:rsidRDefault="007123E7" w:rsidP="007123E7">
      <w:pPr>
        <w:pStyle w:val="Heading3"/>
        <w:jc w:val="thaiDistribute"/>
        <w:rPr>
          <w:b w:val="0"/>
          <w:bCs w:val="0"/>
          <w:i/>
          <w:iCs/>
          <w:sz w:val="24"/>
          <w:szCs w:val="24"/>
          <w:cs/>
        </w:rPr>
      </w:pPr>
      <w:r w:rsidRPr="00067F99">
        <w:rPr>
          <w:b w:val="0"/>
          <w:bCs w:val="0"/>
          <w:sz w:val="24"/>
          <w:szCs w:val="24"/>
        </w:rPr>
        <w:t>As of 2024, Thailand operates 214 domestic wastewater treatment facilities with a combined annual capacity of 581.9 million cubic meters. However, the country generates approximately 2.5 million cubic meters of domestic wastewater daily—equivalent to over 912 million cubic meters annually. This means only 41% of domestic wastewater receives proper treatment, while 59% is discharged untreated or inadequately treated into rivers and canals.</w:t>
      </w:r>
      <w:r w:rsidRPr="00067F99">
        <w:rPr>
          <w:b w:val="0"/>
          <w:bCs w:val="0"/>
          <w:sz w:val="24"/>
          <w:szCs w:val="24"/>
          <w:cs/>
        </w:rPr>
        <w:t xml:space="preserve"> </w:t>
      </w:r>
      <w:r w:rsidRPr="00067F99">
        <w:rPr>
          <w:b w:val="0"/>
          <w:bCs w:val="0"/>
          <w:sz w:val="24"/>
          <w:szCs w:val="24"/>
        </w:rPr>
        <w:t>(PCD, 2024)</w:t>
      </w:r>
      <w:r w:rsidRPr="00067F99">
        <w:rPr>
          <w:b w:val="0"/>
          <w:bCs w:val="0"/>
          <w:i/>
          <w:iCs/>
          <w:sz w:val="24"/>
          <w:szCs w:val="24"/>
        </w:rPr>
        <w:t xml:space="preserve"> (</w:t>
      </w:r>
      <w:r w:rsidRPr="00067F99">
        <w:rPr>
          <w:sz w:val="24"/>
          <w:szCs w:val="24"/>
        </w:rPr>
        <w:fldChar w:fldCharType="begin"/>
      </w:r>
      <w:r w:rsidRPr="00067F99">
        <w:rPr>
          <w:sz w:val="24"/>
          <w:szCs w:val="24"/>
        </w:rPr>
        <w:instrText>HYPERLINK "https://dspot.pcd.go.th/" \t "_blank"</w:instrText>
      </w:r>
      <w:r w:rsidRPr="00067F99">
        <w:rPr>
          <w:sz w:val="24"/>
          <w:szCs w:val="24"/>
        </w:rPr>
      </w:r>
      <w:r w:rsidRPr="00067F99">
        <w:rPr>
          <w:sz w:val="24"/>
          <w:szCs w:val="24"/>
        </w:rPr>
        <w:fldChar w:fldCharType="separate"/>
      </w:r>
      <w:r w:rsidRPr="00067F99">
        <w:rPr>
          <w:rStyle w:val="Hyperlink"/>
          <w:b w:val="0"/>
          <w:bCs w:val="0"/>
          <w:i/>
          <w:iCs/>
          <w:color w:val="auto"/>
          <w:sz w:val="24"/>
          <w:szCs w:val="24"/>
        </w:rPr>
        <w:t>https://dspot.pcd.go.th/</w:t>
      </w:r>
      <w:r w:rsidRPr="00067F99">
        <w:rPr>
          <w:sz w:val="24"/>
          <w:szCs w:val="24"/>
        </w:rPr>
        <w:fldChar w:fldCharType="end"/>
      </w:r>
      <w:r w:rsidRPr="00067F99">
        <w:rPr>
          <w:b w:val="0"/>
          <w:bCs w:val="0"/>
          <w:i/>
          <w:iCs/>
          <w:sz w:val="24"/>
          <w:szCs w:val="24"/>
        </w:rPr>
        <w:t>)</w:t>
      </w:r>
    </w:p>
    <w:p w14:paraId="33C952B3" w14:textId="77777777" w:rsidR="007123E7" w:rsidRPr="00067F99" w:rsidRDefault="007123E7" w:rsidP="007123E7">
      <w:pPr>
        <w:widowControl/>
        <w:numPr>
          <w:ilvl w:val="0"/>
          <w:numId w:val="143"/>
        </w:numPr>
        <w:spacing w:after="160" w:line="259" w:lineRule="auto"/>
        <w:rPr>
          <w:sz w:val="24"/>
          <w:szCs w:val="24"/>
        </w:rPr>
      </w:pPr>
      <w:r w:rsidRPr="00067F99">
        <w:rPr>
          <w:b/>
          <w:bCs/>
          <w:sz w:val="24"/>
          <w:szCs w:val="24"/>
        </w:rPr>
        <w:t>Coverage gap</w:t>
      </w:r>
      <w:r w:rsidRPr="00067F99">
        <w:rPr>
          <w:sz w:val="24"/>
          <w:szCs w:val="24"/>
        </w:rPr>
        <w:t>: Nearly three-fifths of domestic wastewater remains untreated.</w:t>
      </w:r>
    </w:p>
    <w:p w14:paraId="4D767DAF" w14:textId="77777777" w:rsidR="007123E7" w:rsidRPr="00067F99" w:rsidRDefault="007123E7" w:rsidP="007123E7">
      <w:pPr>
        <w:widowControl/>
        <w:numPr>
          <w:ilvl w:val="0"/>
          <w:numId w:val="143"/>
        </w:numPr>
        <w:spacing w:after="160" w:line="259" w:lineRule="auto"/>
        <w:rPr>
          <w:sz w:val="24"/>
          <w:szCs w:val="24"/>
        </w:rPr>
      </w:pPr>
      <w:r w:rsidRPr="00067F99">
        <w:rPr>
          <w:b/>
          <w:bCs/>
          <w:sz w:val="24"/>
          <w:szCs w:val="24"/>
        </w:rPr>
        <w:lastRenderedPageBreak/>
        <w:t>Urban–rural disparity</w:t>
      </w:r>
      <w:r w:rsidRPr="00067F99">
        <w:rPr>
          <w:sz w:val="24"/>
          <w:szCs w:val="24"/>
        </w:rPr>
        <w:t>: Urban centers benefit from more developed infrastructure, while rural areas face limited-service provision.</w:t>
      </w:r>
    </w:p>
    <w:p w14:paraId="55C0888D" w14:textId="77777777" w:rsidR="007123E7" w:rsidRPr="00067F99" w:rsidRDefault="007123E7" w:rsidP="007123E7">
      <w:pPr>
        <w:widowControl/>
        <w:numPr>
          <w:ilvl w:val="0"/>
          <w:numId w:val="143"/>
        </w:numPr>
        <w:spacing w:after="160" w:line="259" w:lineRule="auto"/>
        <w:rPr>
          <w:sz w:val="24"/>
          <w:szCs w:val="24"/>
        </w:rPr>
      </w:pPr>
      <w:r w:rsidRPr="00067F99">
        <w:rPr>
          <w:b/>
          <w:bCs/>
          <w:sz w:val="24"/>
          <w:szCs w:val="24"/>
        </w:rPr>
        <w:t>Aging infrastructure</w:t>
      </w:r>
      <w:r w:rsidRPr="00067F99">
        <w:rPr>
          <w:sz w:val="24"/>
          <w:szCs w:val="24"/>
        </w:rPr>
        <w:t>: Many existing facilities require upgrades and maintenance to maintain operational efficiency.</w:t>
      </w:r>
    </w:p>
    <w:p w14:paraId="56436B3A" w14:textId="77777777" w:rsidR="007123E7" w:rsidRPr="00067F99" w:rsidRDefault="007123E7" w:rsidP="007123E7">
      <w:pPr>
        <w:pStyle w:val="Heading3"/>
        <w:rPr>
          <w:sz w:val="24"/>
          <w:szCs w:val="24"/>
        </w:rPr>
      </w:pPr>
      <w:r w:rsidRPr="00067F99">
        <w:rPr>
          <w:sz w:val="24"/>
          <w:szCs w:val="24"/>
        </w:rPr>
        <w:t>Key Challenges and Impacts</w:t>
      </w:r>
    </w:p>
    <w:p w14:paraId="73758063" w14:textId="77777777" w:rsidR="007123E7" w:rsidRPr="00067F99" w:rsidRDefault="007123E7" w:rsidP="007123E7">
      <w:pPr>
        <w:pStyle w:val="Heading3"/>
        <w:jc w:val="thaiDistribute"/>
        <w:rPr>
          <w:b w:val="0"/>
          <w:bCs w:val="0"/>
          <w:sz w:val="24"/>
          <w:szCs w:val="24"/>
        </w:rPr>
      </w:pPr>
      <w:r w:rsidRPr="00067F99">
        <w:rPr>
          <w:b w:val="0"/>
          <w:bCs w:val="0"/>
          <w:sz w:val="24"/>
          <w:szCs w:val="24"/>
        </w:rPr>
        <w:t>The current state of domestic wastewater management presents multiple interconnected challenges to Thailand's environmental and public health objectives. The infrastructure deficit is evident in the less than 40% national treatment coverage, indicating substantial investment needs to expand capacity and extend service to underserved regions. The consequence of inadequate treatment infrastructure is the direct discharge of untreated wastewater into rivers and canal systems throughout the country. This uncontrolled discharge contributes to documented water quality degradation, with a clear causal correlation between untreated wastewater discharge and deteriorating surface water quality in affected watersheds. Beyond environmental impacts, inadequate wastewater treatment poses significant risks to both environmental integrity and human health, affecting communities dependent upon affected water resources. Addressing these challenges through expanded infrastructure development, improved treatment facility efficiency, and enhanced service coverage remains critical to achieving national water quality and public health objectives.</w:t>
      </w:r>
    </w:p>
    <w:p w14:paraId="7DCB3A84" w14:textId="77777777" w:rsidR="007123E7" w:rsidRPr="00067F99" w:rsidRDefault="007123E7" w:rsidP="007123E7">
      <w:pPr>
        <w:rPr>
          <w:b/>
          <w:bCs/>
          <w:sz w:val="24"/>
          <w:szCs w:val="24"/>
        </w:rPr>
      </w:pPr>
      <w:r w:rsidRPr="00067F99">
        <w:rPr>
          <w:b/>
          <w:bCs/>
          <w:sz w:val="24"/>
          <w:szCs w:val="24"/>
        </w:rPr>
        <w:t>In summary, environmental and public Health Impacts are as follows:</w:t>
      </w:r>
    </w:p>
    <w:p w14:paraId="7890D103" w14:textId="77777777" w:rsidR="007123E7" w:rsidRPr="00067F99" w:rsidRDefault="007123E7" w:rsidP="007123E7">
      <w:pPr>
        <w:widowControl/>
        <w:numPr>
          <w:ilvl w:val="0"/>
          <w:numId w:val="144"/>
        </w:numPr>
        <w:spacing w:after="160" w:line="259" w:lineRule="auto"/>
        <w:rPr>
          <w:sz w:val="24"/>
          <w:szCs w:val="24"/>
        </w:rPr>
      </w:pPr>
      <w:r w:rsidRPr="00067F99">
        <w:rPr>
          <w:sz w:val="24"/>
          <w:szCs w:val="24"/>
        </w:rPr>
        <w:t>Untreated wastewater contributes to elevated nutrient and pathogen loads in surface waters.</w:t>
      </w:r>
    </w:p>
    <w:p w14:paraId="66AF520E" w14:textId="77777777" w:rsidR="007123E7" w:rsidRPr="00067F99" w:rsidRDefault="007123E7" w:rsidP="007123E7">
      <w:pPr>
        <w:widowControl/>
        <w:numPr>
          <w:ilvl w:val="0"/>
          <w:numId w:val="144"/>
        </w:numPr>
        <w:spacing w:after="160" w:line="259" w:lineRule="auto"/>
        <w:rPr>
          <w:sz w:val="24"/>
          <w:szCs w:val="24"/>
        </w:rPr>
      </w:pPr>
      <w:r w:rsidRPr="00067F99">
        <w:rPr>
          <w:sz w:val="24"/>
          <w:szCs w:val="24"/>
        </w:rPr>
        <w:t>Direct discharge into rivers and estuaries drives eutrophication, algal blooms, and hypoxic conditions.</w:t>
      </w:r>
    </w:p>
    <w:p w14:paraId="6EEBC790" w14:textId="77777777" w:rsidR="007123E7" w:rsidRPr="00067F99" w:rsidRDefault="007123E7" w:rsidP="007123E7">
      <w:pPr>
        <w:widowControl/>
        <w:numPr>
          <w:ilvl w:val="0"/>
          <w:numId w:val="144"/>
        </w:numPr>
        <w:spacing w:after="160" w:line="259" w:lineRule="auto"/>
        <w:rPr>
          <w:sz w:val="24"/>
          <w:szCs w:val="24"/>
        </w:rPr>
      </w:pPr>
      <w:r w:rsidRPr="00067F99">
        <w:rPr>
          <w:sz w:val="24"/>
          <w:szCs w:val="24"/>
        </w:rPr>
        <w:t>Coliform bacteria contamination near urban beaches poses health risks for recreational users and seafood consumers.</w:t>
      </w:r>
    </w:p>
    <w:p w14:paraId="6653CF67" w14:textId="77777777" w:rsidR="007123E7" w:rsidRPr="00067F99" w:rsidRDefault="007123E7" w:rsidP="007123E7">
      <w:pPr>
        <w:pStyle w:val="Heading2"/>
        <w:rPr>
          <w:sz w:val="24"/>
          <w:szCs w:val="24"/>
        </w:rPr>
      </w:pPr>
      <w:r w:rsidRPr="00067F99">
        <w:rPr>
          <w:sz w:val="24"/>
          <w:szCs w:val="24"/>
        </w:rPr>
        <w:t>3.2 Industrial Wastewater Management</w:t>
      </w:r>
    </w:p>
    <w:p w14:paraId="3848986E" w14:textId="77777777" w:rsidR="007123E7" w:rsidRPr="00067F99" w:rsidRDefault="007123E7" w:rsidP="007123E7">
      <w:pPr>
        <w:pStyle w:val="Heading2"/>
        <w:rPr>
          <w:sz w:val="24"/>
          <w:szCs w:val="24"/>
        </w:rPr>
      </w:pPr>
      <w:r w:rsidRPr="00067F99">
        <w:rPr>
          <w:sz w:val="24"/>
          <w:szCs w:val="24"/>
        </w:rPr>
        <w:t>Pollutant Profile</w:t>
      </w:r>
    </w:p>
    <w:p w14:paraId="540C9105" w14:textId="77777777" w:rsidR="007123E7" w:rsidRPr="00067F99" w:rsidRDefault="007123E7" w:rsidP="007123E7">
      <w:pPr>
        <w:pStyle w:val="Heading2"/>
        <w:jc w:val="thaiDistribute"/>
        <w:rPr>
          <w:b w:val="0"/>
          <w:bCs w:val="0"/>
          <w:sz w:val="24"/>
          <w:szCs w:val="24"/>
        </w:rPr>
      </w:pPr>
      <w:r w:rsidRPr="00067F99">
        <w:rPr>
          <w:b w:val="0"/>
          <w:bCs w:val="0"/>
          <w:sz w:val="24"/>
          <w:szCs w:val="24"/>
        </w:rPr>
        <w:t xml:space="preserve">Thailand's industrial wastewater streams contain a complex array of contaminants that reflect the diversity of manufacturing activities across the country. The primary contaminants identified include heavy metals such as lead, mercury, cadmium, and chromium, which present significant environmental and health risks due to their persistence and bioaccumulative properties. Industrial discharges also contain organic compounds including petrochemicals, solvents, and various industrial chemicals that contribute to surface and groundwater contamination. Additionally, toxic substances specific to individual manufacturing processes present sector-dependent pollution challenges that require tailored management approaches and regulatory frameworks. </w:t>
      </w:r>
    </w:p>
    <w:p w14:paraId="01245D96" w14:textId="77777777" w:rsidR="007123E7" w:rsidRPr="00067F99" w:rsidRDefault="007123E7" w:rsidP="007123E7">
      <w:pPr>
        <w:pStyle w:val="Heading2"/>
        <w:jc w:val="thaiDistribute"/>
        <w:rPr>
          <w:b w:val="0"/>
          <w:bCs w:val="0"/>
          <w:sz w:val="24"/>
          <w:szCs w:val="24"/>
        </w:rPr>
      </w:pPr>
      <w:r w:rsidRPr="00067F99">
        <w:rPr>
          <w:b w:val="0"/>
          <w:bCs w:val="0"/>
          <w:sz w:val="24"/>
          <w:szCs w:val="24"/>
        </w:rPr>
        <w:t>Thus, industrial wastewater contains a complex mix of contaminants.</w:t>
      </w:r>
      <w:r w:rsidRPr="00067F99">
        <w:rPr>
          <w:sz w:val="24"/>
          <w:szCs w:val="24"/>
        </w:rPr>
        <w:t xml:space="preserve"> </w:t>
      </w:r>
      <w:r w:rsidRPr="00067F99">
        <w:rPr>
          <w:b w:val="0"/>
          <w:bCs w:val="0"/>
          <w:sz w:val="24"/>
          <w:szCs w:val="24"/>
        </w:rPr>
        <w:t>These pollutants pose long-term risks due to persistence, bioaccumulation, and potential groundwater contamination.</w:t>
      </w:r>
    </w:p>
    <w:p w14:paraId="6B270521" w14:textId="77777777" w:rsidR="007123E7" w:rsidRPr="00067F99" w:rsidRDefault="007123E7" w:rsidP="007123E7">
      <w:pPr>
        <w:pStyle w:val="Heading2"/>
        <w:rPr>
          <w:sz w:val="24"/>
          <w:szCs w:val="24"/>
        </w:rPr>
      </w:pPr>
      <w:r w:rsidRPr="00067F99">
        <w:rPr>
          <w:sz w:val="24"/>
          <w:szCs w:val="24"/>
        </w:rPr>
        <w:lastRenderedPageBreak/>
        <w:t>Geographic Distribution</w:t>
      </w:r>
    </w:p>
    <w:p w14:paraId="52FCA153" w14:textId="77777777" w:rsidR="007123E7" w:rsidRPr="00067F99" w:rsidRDefault="007123E7" w:rsidP="007123E7">
      <w:pPr>
        <w:pStyle w:val="Heading2"/>
        <w:jc w:val="thaiDistribute"/>
        <w:rPr>
          <w:b w:val="0"/>
          <w:bCs w:val="0"/>
          <w:sz w:val="24"/>
          <w:szCs w:val="24"/>
        </w:rPr>
      </w:pPr>
      <w:r w:rsidRPr="00067F99">
        <w:rPr>
          <w:b w:val="0"/>
          <w:bCs w:val="0"/>
          <w:sz w:val="24"/>
          <w:szCs w:val="24"/>
        </w:rPr>
        <w:t>Industrial wastewater generation is concentrated in specific regions corresponding to Thailand's major industrial zones. The Eastern Seaboard represents a significant concentration of petrochemical and heavy industry operations, making it a critical area for wastewater management and pollution control oversight. The Bangkok Metropolitan Region encompasses diverse industrial activities including manufacturing, food processing, and textile production, each presenting distinct wastewater management requirements. Beyond these major centers, regional industrial estates distributed throughout the country contribute to national wastewater volumes and require ongoing monitoring and regulatory attention.</w:t>
      </w:r>
    </w:p>
    <w:p w14:paraId="40C5C664" w14:textId="77777777" w:rsidR="007123E7" w:rsidRPr="00067F99" w:rsidRDefault="007123E7" w:rsidP="007123E7">
      <w:pPr>
        <w:pStyle w:val="Heading2"/>
        <w:jc w:val="thaiDistribute"/>
        <w:rPr>
          <w:b w:val="0"/>
          <w:bCs w:val="0"/>
          <w:sz w:val="24"/>
          <w:szCs w:val="24"/>
        </w:rPr>
      </w:pPr>
    </w:p>
    <w:p w14:paraId="7E58D0FA" w14:textId="77777777" w:rsidR="007123E7" w:rsidRPr="00067F99" w:rsidRDefault="007123E7" w:rsidP="007123E7">
      <w:pPr>
        <w:pStyle w:val="Heading2"/>
        <w:rPr>
          <w:sz w:val="24"/>
          <w:szCs w:val="24"/>
        </w:rPr>
      </w:pPr>
      <w:r w:rsidRPr="00067F99">
        <w:rPr>
          <w:sz w:val="24"/>
          <w:szCs w:val="24"/>
        </w:rPr>
        <w:t>Regulatory Compliance Status</w:t>
      </w:r>
    </w:p>
    <w:p w14:paraId="3056012E" w14:textId="77777777" w:rsidR="007123E7" w:rsidRPr="00067F99" w:rsidRDefault="007123E7" w:rsidP="007123E7">
      <w:pPr>
        <w:pStyle w:val="Heading2"/>
        <w:jc w:val="thaiDistribute"/>
        <w:rPr>
          <w:b w:val="0"/>
          <w:bCs w:val="0"/>
          <w:sz w:val="24"/>
          <w:szCs w:val="24"/>
        </w:rPr>
      </w:pPr>
      <w:r w:rsidRPr="00067F99">
        <w:rPr>
          <w:b w:val="0"/>
          <w:bCs w:val="0"/>
          <w:sz w:val="24"/>
          <w:szCs w:val="24"/>
        </w:rPr>
        <w:t>Compliance with industrial wastewater regulations demonstrates significant variability across Thailand's industrial landscape. Sector-specific performance data indicates that compliance rates differ substantially depending on industry type and operational characteristics. Large-scale industrial operations generally maintain higher compliance rates compared to small and medium enterprises, reflecting differences in technical capacity, financial resources, and regulatory engagement. A notable challenge in achieving comprehensive compliance stems from gaps in monitoring and enforcement capacity, particularly in remote industrial areas where regulatory oversight is limited. These enforcement challenges compromise the effectiveness of existing regulatory frameworks and necessitate enhanced resource allocation to monitoring and compliance verification activities.</w:t>
      </w:r>
    </w:p>
    <w:p w14:paraId="6E780D03" w14:textId="77777777" w:rsidR="007123E7" w:rsidRPr="00067F99" w:rsidRDefault="007123E7" w:rsidP="007123E7">
      <w:pPr>
        <w:pStyle w:val="Heading2"/>
        <w:rPr>
          <w:sz w:val="24"/>
          <w:szCs w:val="24"/>
        </w:rPr>
      </w:pPr>
      <w:r w:rsidRPr="00067F99">
        <w:rPr>
          <w:sz w:val="24"/>
          <w:szCs w:val="24"/>
        </w:rPr>
        <w:t>Critical Issues and Management Gaps</w:t>
      </w:r>
    </w:p>
    <w:p w14:paraId="0E981AFD" w14:textId="77777777" w:rsidR="007123E7" w:rsidRPr="00067F99" w:rsidRDefault="007123E7" w:rsidP="007123E7">
      <w:pPr>
        <w:pStyle w:val="Heading2"/>
        <w:jc w:val="thaiDistribute"/>
        <w:rPr>
          <w:b w:val="0"/>
          <w:bCs w:val="0"/>
          <w:sz w:val="24"/>
          <w:szCs w:val="24"/>
        </w:rPr>
      </w:pPr>
      <w:r w:rsidRPr="00067F99">
        <w:rPr>
          <w:b w:val="0"/>
          <w:bCs w:val="0"/>
          <w:sz w:val="24"/>
          <w:szCs w:val="24"/>
        </w:rPr>
        <w:t>The management of industrial and domestic wastewater reveals interconnected challenges requiring coordinated policy responses and strategic investments.</w:t>
      </w:r>
    </w:p>
    <w:p w14:paraId="7C5008CA" w14:textId="77777777" w:rsidR="007123E7" w:rsidRPr="00067F99" w:rsidRDefault="007123E7" w:rsidP="007123E7">
      <w:pPr>
        <w:pStyle w:val="Heading2"/>
        <w:jc w:val="thaiDistribute"/>
        <w:rPr>
          <w:b w:val="0"/>
          <w:bCs w:val="0"/>
          <w:sz w:val="24"/>
          <w:szCs w:val="24"/>
        </w:rPr>
      </w:pPr>
      <w:r w:rsidRPr="00067F99">
        <w:rPr>
          <w:b w:val="0"/>
          <w:bCs w:val="0"/>
          <w:sz w:val="24"/>
          <w:szCs w:val="24"/>
        </w:rPr>
        <w:t>Domestic Wastewater Priorities: Infrastructure investment remains urgently needed to address the existing 59% coverage gap in domestic wastewater treatment. A significant rural versus urban disparity characterizes current treatment access, with urban centers generally benefiting from more developed infrastructure while rural communities face limited-service provision. Aging infrastructure throughout the nation requires systematic upgrading and regular maintenance to ensure operational effectiveness and treatment efficiency.</w:t>
      </w:r>
    </w:p>
    <w:p w14:paraId="256E2605" w14:textId="77777777" w:rsidR="007123E7" w:rsidRPr="00067F99" w:rsidRDefault="007123E7" w:rsidP="007123E7">
      <w:pPr>
        <w:pStyle w:val="Heading2"/>
        <w:jc w:val="thaiDistribute"/>
        <w:rPr>
          <w:b w:val="0"/>
          <w:bCs w:val="0"/>
          <w:sz w:val="24"/>
          <w:szCs w:val="24"/>
        </w:rPr>
      </w:pPr>
      <w:r w:rsidRPr="00067F99">
        <w:rPr>
          <w:b w:val="0"/>
          <w:bCs w:val="0"/>
          <w:sz w:val="24"/>
          <w:szCs w:val="24"/>
        </w:rPr>
        <w:t>Industrial Wastewater Priorities: Enforcement consistency must be strengthened through enhanced regulatory oversight and more rigorous compliance monitoring mechanisms. The adoption of cleaner production technologies should be actively encouraged through incentive programs and technical support to reduce pollutant generation at the source. Small and medium enterprises require enhanced technical and financial assistance programs to facilitate compliance with environmental regulations and to enable adoption of improved wastewater treatment technologies. These coordinated interventions are essential to achieving comprehensive wastewater management across both domestic and industrial sectors.</w:t>
      </w:r>
    </w:p>
    <w:p w14:paraId="0DB5523B" w14:textId="77777777" w:rsidR="007123E7" w:rsidRPr="00067F99" w:rsidRDefault="007123E7" w:rsidP="007123E7">
      <w:pPr>
        <w:pStyle w:val="Heading2"/>
        <w:rPr>
          <w:sz w:val="24"/>
          <w:szCs w:val="24"/>
        </w:rPr>
      </w:pPr>
      <w:r w:rsidRPr="00067F99">
        <w:rPr>
          <w:sz w:val="24"/>
          <w:szCs w:val="24"/>
        </w:rPr>
        <w:t>Strategic Priorities</w:t>
      </w:r>
    </w:p>
    <w:p w14:paraId="00204EB2" w14:textId="77777777" w:rsidR="007123E7" w:rsidRPr="00067F99" w:rsidRDefault="007123E7" w:rsidP="007123E7">
      <w:pPr>
        <w:pStyle w:val="whitespace-normal"/>
        <w:jc w:val="thaiDistribute"/>
        <w:rPr>
          <w:rFonts w:ascii="Arial" w:hAnsi="Arial" w:cs="Arial"/>
        </w:rPr>
      </w:pPr>
      <w:r w:rsidRPr="00067F99">
        <w:rPr>
          <w:rFonts w:ascii="Arial" w:hAnsi="Arial" w:cs="Arial"/>
        </w:rPr>
        <w:lastRenderedPageBreak/>
        <w:t>Short-term actions are required to address the current wastewater management challenges. These include accelerating the construction of domestic wastewater treatment facilities to close the existing coverage gap, strengthening industrial discharge monitoring and enforcement mechanisms to ensure regulatory compliance, and implementing stricter penalties for non-compliance to create effective deterrents against pollution violations.</w:t>
      </w:r>
    </w:p>
    <w:p w14:paraId="7277AB0C" w14:textId="77777777" w:rsidR="007123E7" w:rsidRPr="00067F99" w:rsidRDefault="007123E7" w:rsidP="007123E7">
      <w:pPr>
        <w:pStyle w:val="whitespace-normal"/>
        <w:jc w:val="thaiDistribute"/>
        <w:rPr>
          <w:rFonts w:ascii="Arial" w:hAnsi="Arial" w:cs="Arial"/>
        </w:rPr>
      </w:pPr>
      <w:r w:rsidRPr="00067F99">
        <w:rPr>
          <w:rFonts w:ascii="Arial" w:hAnsi="Arial" w:cs="Arial"/>
        </w:rPr>
        <w:t>In the long term, Thailand must pursue ambitious yet achievable goals to transform its wastewater management system. The country should aim to achieve 80% domestic wastewater treatment coverage by 2030, establish comprehensive industrial wastewater tracking systems that provide real-time monitoring and data transparency, and integrate wastewater management with broader water resource planning to ensure holistic and sustainable approaches to water security.</w:t>
      </w:r>
    </w:p>
    <w:p w14:paraId="73E9E7E4" w14:textId="77777777" w:rsidR="007123E7" w:rsidRPr="00067F99" w:rsidRDefault="007123E7" w:rsidP="007123E7">
      <w:pPr>
        <w:pStyle w:val="whitespace-normal"/>
        <w:jc w:val="thaiDistribute"/>
        <w:rPr>
          <w:rFonts w:ascii="Arial" w:hAnsi="Arial" w:cs="Arial"/>
        </w:rPr>
      </w:pPr>
      <w:r w:rsidRPr="00067F99">
        <w:rPr>
          <w:rFonts w:ascii="Arial" w:hAnsi="Arial" w:cs="Arial"/>
        </w:rPr>
        <w:t>Regional coordination is equally essential to addressing shared water quality challenges. Thailand should align its industrial wastewater standards with international best practices to maintain competitiveness while protecting the environment, actively share treatment technologies and management experiences with neighboring countries to build regional capacity, and coordinate transboundary pollution prevention strategies through existing mechanisms such as COBSEA and ASEAN to protect shared marine and coastal resources.</w:t>
      </w:r>
    </w:p>
    <w:p w14:paraId="6F71F9B4" w14:textId="77777777" w:rsidR="007123E7" w:rsidRPr="00067F99" w:rsidRDefault="007123E7" w:rsidP="007123E7">
      <w:pPr>
        <w:spacing w:before="100" w:beforeAutospacing="1" w:after="100" w:afterAutospacing="1"/>
        <w:outlineLvl w:val="0"/>
        <w:rPr>
          <w:rFonts w:eastAsia="Times New Roman"/>
          <w:b/>
          <w:bCs/>
          <w:kern w:val="36"/>
          <w:sz w:val="24"/>
          <w:szCs w:val="24"/>
        </w:rPr>
      </w:pPr>
      <w:r w:rsidRPr="00067F99">
        <w:rPr>
          <w:rFonts w:eastAsia="Times New Roman"/>
          <w:b/>
          <w:bCs/>
          <w:kern w:val="36"/>
          <w:sz w:val="24"/>
          <w:szCs w:val="24"/>
        </w:rPr>
        <w:t xml:space="preserve">4) Municipal Solid Waste Situation in Thailand </w:t>
      </w:r>
      <w:r w:rsidRPr="00067F99">
        <w:rPr>
          <w:rFonts w:eastAsia="Times New Roman"/>
          <w:kern w:val="36"/>
          <w:sz w:val="24"/>
          <w:szCs w:val="24"/>
        </w:rPr>
        <w:t>(PCD, 2024)</w:t>
      </w:r>
    </w:p>
    <w:p w14:paraId="0285738B" w14:textId="77777777" w:rsidR="007123E7" w:rsidRPr="00067F99" w:rsidRDefault="007123E7" w:rsidP="007123E7">
      <w:pPr>
        <w:spacing w:before="100" w:beforeAutospacing="1" w:after="100" w:afterAutospacing="1"/>
        <w:outlineLvl w:val="0"/>
        <w:rPr>
          <w:rFonts w:eastAsia="Times New Roman"/>
          <w:b/>
          <w:bCs/>
          <w:kern w:val="36"/>
          <w:sz w:val="24"/>
          <w:szCs w:val="24"/>
        </w:rPr>
      </w:pPr>
      <w:r w:rsidRPr="00067F99">
        <w:rPr>
          <w:rFonts w:eastAsia="Times New Roman"/>
          <w:b/>
          <w:bCs/>
          <w:kern w:val="36"/>
          <w:sz w:val="24"/>
          <w:szCs w:val="24"/>
        </w:rPr>
        <w:t xml:space="preserve">Waste Generation Overview </w:t>
      </w:r>
    </w:p>
    <w:p w14:paraId="54AE466E" w14:textId="77777777" w:rsidR="007123E7" w:rsidRPr="00067F99" w:rsidRDefault="007123E7" w:rsidP="007123E7">
      <w:pPr>
        <w:spacing w:before="100" w:beforeAutospacing="1" w:after="100" w:afterAutospacing="1"/>
        <w:rPr>
          <w:rFonts w:eastAsia="Times New Roman"/>
          <w:sz w:val="24"/>
          <w:szCs w:val="24"/>
        </w:rPr>
      </w:pPr>
      <w:r w:rsidRPr="00067F99">
        <w:rPr>
          <w:rFonts w:eastAsia="Times New Roman"/>
          <w:sz w:val="24"/>
          <w:szCs w:val="24"/>
        </w:rPr>
        <w:t>Thailand continues to face systemic challenges in managing municipal solid waste (MSW), with growing volumes, uneven disposal quality, and persistent leakage into terrestrial and marine environments. In 2024, the country generated approximately 27.2 million tones of MSW—an increase of 0.9% from 2023—highlighting the need for scalable infrastructure, improved operational efficiency, and circular economy integration.</w:t>
      </w:r>
    </w:p>
    <w:p w14:paraId="3CD0C6E0" w14:textId="77777777" w:rsidR="007123E7" w:rsidRPr="00067F99" w:rsidRDefault="007123E7" w:rsidP="007123E7">
      <w:pPr>
        <w:spacing w:before="100" w:beforeAutospacing="1" w:after="100" w:afterAutospacing="1"/>
        <w:outlineLvl w:val="0"/>
        <w:rPr>
          <w:rFonts w:eastAsia="Times New Roman"/>
          <w:b/>
          <w:bCs/>
          <w:kern w:val="36"/>
          <w:sz w:val="24"/>
          <w:szCs w:val="24"/>
        </w:rPr>
      </w:pPr>
      <w:r w:rsidRPr="00067F99">
        <w:rPr>
          <w:rFonts w:eastAsia="Times New Roman"/>
          <w:b/>
          <w:bCs/>
          <w:kern w:val="36"/>
          <w:sz w:val="24"/>
          <w:szCs w:val="24"/>
        </w:rPr>
        <w:t>Waste Management Flow Analysis</w:t>
      </w:r>
    </w:p>
    <w:p w14:paraId="306A52D9" w14:textId="77777777" w:rsidR="007123E7" w:rsidRPr="00067F99" w:rsidRDefault="007123E7" w:rsidP="007123E7">
      <w:pPr>
        <w:spacing w:before="100" w:beforeAutospacing="1" w:after="100" w:afterAutospacing="1"/>
        <w:jc w:val="thaiDistribute"/>
        <w:outlineLvl w:val="0"/>
        <w:rPr>
          <w:rFonts w:eastAsia="Times New Roman"/>
          <w:kern w:val="36"/>
          <w:sz w:val="24"/>
          <w:szCs w:val="24"/>
        </w:rPr>
      </w:pPr>
      <w:r w:rsidRPr="00067F99">
        <w:rPr>
          <w:rFonts w:eastAsia="Times New Roman"/>
          <w:kern w:val="36"/>
          <w:sz w:val="24"/>
          <w:szCs w:val="24"/>
        </w:rPr>
        <w:t>Thailand's waste management system encompasses multiple pathways through which municipal solid waste is processed from generation through final disposition. Understanding this complex management flow is essential to identifying system inefficiencies and opportunities for optimization.</w:t>
      </w:r>
    </w:p>
    <w:p w14:paraId="79F90FA4" w14:textId="77777777" w:rsidR="007123E7" w:rsidRPr="00067F99" w:rsidRDefault="007123E7" w:rsidP="007123E7">
      <w:pPr>
        <w:spacing w:before="100" w:beforeAutospacing="1" w:after="100" w:afterAutospacing="1"/>
        <w:jc w:val="thaiDistribute"/>
        <w:outlineLvl w:val="0"/>
        <w:rPr>
          <w:rFonts w:eastAsia="Times New Roman"/>
          <w:b/>
          <w:bCs/>
          <w:kern w:val="36"/>
          <w:sz w:val="24"/>
          <w:szCs w:val="24"/>
        </w:rPr>
      </w:pPr>
      <w:r w:rsidRPr="00067F99">
        <w:rPr>
          <w:rFonts w:eastAsia="Times New Roman"/>
          <w:b/>
          <w:bCs/>
          <w:kern w:val="36"/>
          <w:sz w:val="24"/>
          <w:szCs w:val="24"/>
        </w:rPr>
        <w:t>Initial Waste Management at Source</w:t>
      </w:r>
    </w:p>
    <w:p w14:paraId="62DA0B59" w14:textId="77777777" w:rsidR="007123E7" w:rsidRPr="00067F99" w:rsidRDefault="007123E7" w:rsidP="007123E7">
      <w:pPr>
        <w:spacing w:before="100" w:beforeAutospacing="1" w:after="100" w:afterAutospacing="1"/>
        <w:jc w:val="thaiDistribute"/>
        <w:outlineLvl w:val="0"/>
        <w:rPr>
          <w:rFonts w:eastAsia="Times New Roman"/>
          <w:kern w:val="36"/>
          <w:sz w:val="24"/>
          <w:szCs w:val="24"/>
        </w:rPr>
      </w:pPr>
      <w:r w:rsidRPr="00067F99">
        <w:rPr>
          <w:rFonts w:eastAsia="Times New Roman"/>
          <w:kern w:val="36"/>
          <w:sz w:val="24"/>
          <w:szCs w:val="24"/>
        </w:rPr>
        <w:t>A portion of generated waste undergoes treatment and processing at the point of origin before entering formal waste management systems. Source-level management accounts for 1.54 million tonnes, representing 6% of total waste generation. This waste is managed through household-level composting, backyard burning, and other source-level treatment methods. These decentralized practices reduce the volume of waste requiring formal collection and processing, thereby decreasing overall system burdens while promoting individual household engagement in waste reduction activities.</w:t>
      </w:r>
    </w:p>
    <w:p w14:paraId="61F25070" w14:textId="77777777" w:rsidR="007123E7" w:rsidRPr="00067F99" w:rsidRDefault="007123E7" w:rsidP="007123E7">
      <w:pPr>
        <w:spacing w:before="100" w:beforeAutospacing="1" w:after="100" w:afterAutospacing="1"/>
        <w:jc w:val="thaiDistribute"/>
        <w:outlineLvl w:val="0"/>
        <w:rPr>
          <w:rFonts w:eastAsia="Times New Roman"/>
          <w:b/>
          <w:bCs/>
          <w:kern w:val="36"/>
          <w:sz w:val="24"/>
          <w:szCs w:val="24"/>
        </w:rPr>
      </w:pPr>
      <w:r w:rsidRPr="00067F99">
        <w:rPr>
          <w:rFonts w:eastAsia="Times New Roman"/>
          <w:b/>
          <w:bCs/>
          <w:kern w:val="36"/>
          <w:sz w:val="24"/>
          <w:szCs w:val="24"/>
        </w:rPr>
        <w:lastRenderedPageBreak/>
        <w:t>Pre-Collection Utilization and Recovery</w:t>
      </w:r>
    </w:p>
    <w:p w14:paraId="2804C33D" w14:textId="77777777" w:rsidR="007123E7" w:rsidRPr="00067F99" w:rsidRDefault="007123E7" w:rsidP="007123E7">
      <w:pPr>
        <w:spacing w:before="100" w:beforeAutospacing="1" w:after="100" w:afterAutospacing="1"/>
        <w:jc w:val="thaiDistribute"/>
        <w:outlineLvl w:val="0"/>
        <w:rPr>
          <w:rFonts w:eastAsia="Times New Roman"/>
          <w:kern w:val="36"/>
          <w:sz w:val="24"/>
          <w:szCs w:val="24"/>
        </w:rPr>
      </w:pPr>
      <w:r w:rsidRPr="00067F99">
        <w:rPr>
          <w:rFonts w:eastAsia="Times New Roman"/>
          <w:kern w:val="36"/>
          <w:sz w:val="24"/>
          <w:szCs w:val="24"/>
        </w:rPr>
        <w:t>Substantial quantities of waste are separated and recovered for beneficial use directly from generation sources before entering the formal waste collection system. Utilized-before-collection waste volumes total 6.02 million tonnes, representing 22% of total waste generation. This pre-collection recovery encompasses recycling activities by informal waste pickers operating throughout communities, material recovery by households engaging in source separation practices, and direct reuse practices where materials are repurposed without intermediate processing. This significant pre-collection recovery pathway reflects active circular economy engagement across Thai society and demonstrates the substantial role of informal waste recovery activities in the national waste management system.</w:t>
      </w:r>
    </w:p>
    <w:p w14:paraId="59C2B9E0" w14:textId="77777777" w:rsidR="007123E7" w:rsidRPr="00067F99" w:rsidRDefault="007123E7" w:rsidP="007123E7">
      <w:pPr>
        <w:spacing w:before="100" w:beforeAutospacing="1" w:after="100" w:afterAutospacing="1"/>
        <w:outlineLvl w:val="0"/>
        <w:rPr>
          <w:rFonts w:eastAsia="Times New Roman"/>
          <w:b/>
          <w:bCs/>
          <w:kern w:val="36"/>
          <w:sz w:val="24"/>
          <w:szCs w:val="24"/>
        </w:rPr>
      </w:pPr>
      <w:r w:rsidRPr="00067F99">
        <w:rPr>
          <w:rFonts w:eastAsia="Times New Roman"/>
          <w:b/>
          <w:bCs/>
          <w:kern w:val="36"/>
          <w:sz w:val="24"/>
          <w:szCs w:val="24"/>
        </w:rPr>
        <w:t>Formal Collection Operations</w:t>
      </w:r>
    </w:p>
    <w:p w14:paraId="1E61A17D" w14:textId="77777777" w:rsidR="007123E7" w:rsidRPr="00067F99" w:rsidRDefault="007123E7" w:rsidP="007123E7">
      <w:pPr>
        <w:spacing w:before="100" w:beforeAutospacing="1" w:after="100" w:afterAutospacing="1"/>
        <w:jc w:val="thaiDistribute"/>
        <w:outlineLvl w:val="0"/>
        <w:rPr>
          <w:rFonts w:eastAsia="Times New Roman"/>
          <w:kern w:val="36"/>
          <w:sz w:val="24"/>
          <w:szCs w:val="24"/>
        </w:rPr>
      </w:pPr>
      <w:r w:rsidRPr="00067F99">
        <w:rPr>
          <w:rFonts w:eastAsia="Times New Roman"/>
          <w:kern w:val="36"/>
          <w:sz w:val="24"/>
          <w:szCs w:val="24"/>
        </w:rPr>
        <w:t>The local government collection system represents the primary mechanism through which waste enters formal waste management pathways. Waste collected by local authorities totals 19.64 million tonnes, representing 72% of total waste generation. This high collection rate reflects substantial municipal infrastructure investment and operational capacity dedicated to ensuring comprehensive waste collection services across urban and rural areas. The collected waste is subsequently transported to formal disposal facilities or transfer stations for processing and final disposition.</w:t>
      </w:r>
    </w:p>
    <w:p w14:paraId="227D0D75" w14:textId="77777777" w:rsidR="007123E7" w:rsidRPr="00067F99" w:rsidRDefault="007123E7" w:rsidP="007123E7">
      <w:pPr>
        <w:spacing w:before="100" w:beforeAutospacing="1" w:after="100" w:afterAutospacing="1"/>
        <w:jc w:val="thaiDistribute"/>
        <w:outlineLvl w:val="0"/>
        <w:rPr>
          <w:rFonts w:eastAsia="Times New Roman"/>
          <w:b/>
          <w:bCs/>
          <w:kern w:val="36"/>
          <w:sz w:val="24"/>
          <w:szCs w:val="24"/>
        </w:rPr>
      </w:pPr>
      <w:r w:rsidRPr="00067F99">
        <w:rPr>
          <w:rFonts w:eastAsia="Times New Roman"/>
          <w:b/>
          <w:bCs/>
          <w:kern w:val="36"/>
          <w:sz w:val="24"/>
          <w:szCs w:val="24"/>
        </w:rPr>
        <w:t>Post-Collection Recovery and Processing</w:t>
      </w:r>
    </w:p>
    <w:p w14:paraId="3279FB33" w14:textId="77777777" w:rsidR="007123E7" w:rsidRPr="00067F99" w:rsidRDefault="007123E7" w:rsidP="007123E7">
      <w:pPr>
        <w:spacing w:before="100" w:beforeAutospacing="1" w:after="100" w:afterAutospacing="1"/>
        <w:jc w:val="thaiDistribute"/>
        <w:outlineLvl w:val="0"/>
        <w:rPr>
          <w:rFonts w:eastAsia="Times New Roman"/>
          <w:kern w:val="36"/>
          <w:sz w:val="24"/>
          <w:szCs w:val="24"/>
        </w:rPr>
      </w:pPr>
      <w:r w:rsidRPr="00067F99">
        <w:rPr>
          <w:rFonts w:eastAsia="Times New Roman"/>
          <w:kern w:val="36"/>
          <w:sz w:val="24"/>
          <w:szCs w:val="24"/>
        </w:rPr>
        <w:t>Following collection and transport to formal facilities, a portion of waste undergoes separation and recovery processes for beneficial reuse and recycling. Post-collection utilization accounts for 4.49 million tonnes of collected waste, representing 17% of total generated waste. These recovery operations occur at transfer stations, material recovery facilities, and disposal sites, where waste is processed to extract valuable materials for secondary use. Post-collection recovery mechanisms represent important opportunities to maximize resource efficiency and minimize disposal volumes within formal waste management systems.</w:t>
      </w:r>
    </w:p>
    <w:p w14:paraId="0CA6A820" w14:textId="77777777" w:rsidR="007123E7" w:rsidRPr="00067F99" w:rsidRDefault="007123E7" w:rsidP="007123E7">
      <w:pPr>
        <w:spacing w:before="100" w:beforeAutospacing="1" w:after="100" w:afterAutospacing="1"/>
        <w:jc w:val="thaiDistribute"/>
        <w:outlineLvl w:val="0"/>
        <w:rPr>
          <w:rFonts w:eastAsia="Times New Roman"/>
          <w:b/>
          <w:bCs/>
          <w:kern w:val="36"/>
          <w:sz w:val="24"/>
          <w:szCs w:val="24"/>
        </w:rPr>
      </w:pPr>
      <w:r w:rsidRPr="00067F99">
        <w:rPr>
          <w:rFonts w:eastAsia="Times New Roman"/>
          <w:b/>
          <w:bCs/>
          <w:kern w:val="36"/>
          <w:sz w:val="24"/>
          <w:szCs w:val="24"/>
        </w:rPr>
        <w:t>Final Disposal Requirements</w:t>
      </w:r>
    </w:p>
    <w:p w14:paraId="708C89DF" w14:textId="77777777" w:rsidR="007123E7" w:rsidRPr="00067F99" w:rsidRDefault="007123E7" w:rsidP="007123E7">
      <w:pPr>
        <w:spacing w:before="100" w:beforeAutospacing="1" w:after="100" w:afterAutospacing="1"/>
        <w:jc w:val="thaiDistribute"/>
        <w:outlineLvl w:val="0"/>
        <w:rPr>
          <w:rFonts w:eastAsia="Times New Roman"/>
          <w:kern w:val="36"/>
          <w:sz w:val="24"/>
          <w:szCs w:val="24"/>
        </w:rPr>
      </w:pPr>
      <w:r w:rsidRPr="00067F99">
        <w:rPr>
          <w:rFonts w:eastAsia="Times New Roman"/>
          <w:kern w:val="36"/>
          <w:sz w:val="24"/>
          <w:szCs w:val="24"/>
        </w:rPr>
        <w:t>After accounting for source management, pre-collection recovery, and post-collection recovery, the remaining waste requires final disposition through waste management facilities. This remaining waste volume totals 15.15 million tonnes, representing 55% of originally generated waste. The final disposal pathway represents the terminal stage of waste management processing, requiring infrastructure and operational capacity to safely manage waste that cannot be recovered or treated through other mechanisms.</w:t>
      </w:r>
    </w:p>
    <w:p w14:paraId="5A921D55" w14:textId="77777777" w:rsidR="007123E7" w:rsidRPr="00067F99" w:rsidRDefault="007123E7" w:rsidP="007123E7">
      <w:pPr>
        <w:spacing w:before="100" w:beforeAutospacing="1" w:after="100" w:afterAutospacing="1"/>
        <w:jc w:val="thaiDistribute"/>
        <w:outlineLvl w:val="0"/>
        <w:rPr>
          <w:rFonts w:eastAsia="Times New Roman"/>
          <w:b/>
          <w:bCs/>
          <w:kern w:val="36"/>
          <w:sz w:val="24"/>
          <w:szCs w:val="24"/>
        </w:rPr>
      </w:pPr>
      <w:r w:rsidRPr="00067F99">
        <w:rPr>
          <w:rFonts w:eastAsia="Times New Roman"/>
          <w:b/>
          <w:bCs/>
          <w:kern w:val="36"/>
          <w:sz w:val="24"/>
          <w:szCs w:val="24"/>
        </w:rPr>
        <w:t>Disposal Quality Assessment</w:t>
      </w:r>
    </w:p>
    <w:p w14:paraId="327C2052" w14:textId="77777777" w:rsidR="007123E7" w:rsidRPr="00067F99" w:rsidRDefault="007123E7" w:rsidP="007123E7">
      <w:pPr>
        <w:spacing w:before="100" w:beforeAutospacing="1" w:after="100" w:afterAutospacing="1"/>
        <w:jc w:val="thaiDistribute"/>
        <w:outlineLvl w:val="0"/>
        <w:rPr>
          <w:rFonts w:eastAsia="Times New Roman"/>
          <w:kern w:val="36"/>
          <w:sz w:val="24"/>
          <w:szCs w:val="24"/>
        </w:rPr>
      </w:pPr>
      <w:r w:rsidRPr="00067F99">
        <w:rPr>
          <w:rFonts w:eastAsia="Times New Roman"/>
          <w:kern w:val="36"/>
          <w:sz w:val="24"/>
          <w:szCs w:val="24"/>
        </w:rPr>
        <w:t xml:space="preserve">The quality of disposal operations demonstrates substantial variation in environmental management standards. Proper disposal management accounts for 10.42 million tonnes of waste, representing 38% of total generated waste. This waste receives appropriate disposal through sanitary landfills, waste-to-energy facilities, and other environmentally sound methods that minimize environmental and public health risks. </w:t>
      </w:r>
    </w:p>
    <w:p w14:paraId="5EF0A67B" w14:textId="77777777" w:rsidR="007123E7" w:rsidRPr="00067F99" w:rsidRDefault="007123E7" w:rsidP="007123E7">
      <w:pPr>
        <w:spacing w:before="100" w:beforeAutospacing="1" w:after="100" w:afterAutospacing="1"/>
        <w:jc w:val="thaiDistribute"/>
        <w:outlineLvl w:val="0"/>
        <w:rPr>
          <w:rFonts w:eastAsia="Times New Roman"/>
          <w:kern w:val="36"/>
          <w:sz w:val="24"/>
          <w:szCs w:val="24"/>
        </w:rPr>
      </w:pPr>
      <w:r w:rsidRPr="00067F99">
        <w:rPr>
          <w:rFonts w:eastAsia="Times New Roman"/>
          <w:kern w:val="36"/>
          <w:sz w:val="24"/>
          <w:szCs w:val="24"/>
        </w:rPr>
        <w:lastRenderedPageBreak/>
        <w:t>Improper disposal remains a critical concern, with 4.73 million tonnes of waste—representing 17% of total generated waste—being disposed of through inadequate methods including open dumping, uncontrolled burning, and disposal in unsuitable locations. This improper disposal volume represents both an environmental liability and a significant gap in waste management infrastructure and operational standards that requires urgent attention and remediation.</w:t>
      </w:r>
    </w:p>
    <w:p w14:paraId="512F9B78" w14:textId="77777777" w:rsidR="007123E7" w:rsidRPr="00067F99" w:rsidRDefault="007123E7" w:rsidP="007123E7">
      <w:pPr>
        <w:spacing w:before="100" w:beforeAutospacing="1" w:after="100" w:afterAutospacing="1"/>
        <w:outlineLvl w:val="1"/>
        <w:rPr>
          <w:rFonts w:eastAsia="Times New Roman"/>
          <w:b/>
          <w:bCs/>
          <w:sz w:val="24"/>
          <w:szCs w:val="24"/>
        </w:rPr>
      </w:pPr>
      <w:r w:rsidRPr="00067F99">
        <w:rPr>
          <w:rFonts w:eastAsia="Times New Roman"/>
          <w:b/>
          <w:bCs/>
          <w:sz w:val="24"/>
          <w:szCs w:val="24"/>
        </w:rPr>
        <w:t xml:space="preserve">Table 5: Key Performance Indicators of </w:t>
      </w:r>
      <w:r w:rsidRPr="00067F99">
        <w:rPr>
          <w:rFonts w:eastAsia="Times New Roman"/>
          <w:b/>
          <w:bCs/>
          <w:kern w:val="36"/>
          <w:sz w:val="24"/>
          <w:szCs w:val="24"/>
        </w:rPr>
        <w:t>Municipal Solid Waste Situation</w:t>
      </w:r>
    </w:p>
    <w:tbl>
      <w:tblPr>
        <w:tblStyle w:val="TableGrid"/>
        <w:tblW w:w="9535" w:type="dxa"/>
        <w:tblLook w:val="04A0" w:firstRow="1" w:lastRow="0" w:firstColumn="1" w:lastColumn="0" w:noHBand="0" w:noVBand="1"/>
      </w:tblPr>
      <w:tblGrid>
        <w:gridCol w:w="2365"/>
        <w:gridCol w:w="2183"/>
        <w:gridCol w:w="2034"/>
        <w:gridCol w:w="2953"/>
      </w:tblGrid>
      <w:tr w:rsidR="007123E7" w:rsidRPr="00067F99" w14:paraId="7865F6E2" w14:textId="77777777" w:rsidTr="00E27C70">
        <w:trPr>
          <w:tblHeader/>
        </w:trPr>
        <w:tc>
          <w:tcPr>
            <w:tcW w:w="0" w:type="auto"/>
            <w:hideMark/>
          </w:tcPr>
          <w:p w14:paraId="2A6C1BD1" w14:textId="77777777" w:rsidR="007123E7" w:rsidRPr="00067F99" w:rsidRDefault="007123E7" w:rsidP="00E27C70">
            <w:pPr>
              <w:jc w:val="center"/>
              <w:rPr>
                <w:rFonts w:eastAsia="Times New Roman"/>
                <w:b/>
                <w:bCs/>
                <w:sz w:val="24"/>
                <w:szCs w:val="24"/>
              </w:rPr>
            </w:pPr>
            <w:r w:rsidRPr="00067F99">
              <w:rPr>
                <w:rFonts w:eastAsia="Times New Roman"/>
                <w:b/>
                <w:bCs/>
                <w:sz w:val="24"/>
                <w:szCs w:val="24"/>
              </w:rPr>
              <w:t>Management Category</w:t>
            </w:r>
          </w:p>
        </w:tc>
        <w:tc>
          <w:tcPr>
            <w:tcW w:w="0" w:type="auto"/>
            <w:hideMark/>
          </w:tcPr>
          <w:p w14:paraId="1073F6DF" w14:textId="77777777" w:rsidR="007123E7" w:rsidRPr="00067F99" w:rsidRDefault="007123E7" w:rsidP="00E27C70">
            <w:pPr>
              <w:jc w:val="center"/>
              <w:rPr>
                <w:rFonts w:eastAsia="Times New Roman"/>
                <w:b/>
                <w:bCs/>
                <w:sz w:val="24"/>
                <w:szCs w:val="24"/>
              </w:rPr>
            </w:pPr>
            <w:r w:rsidRPr="00067F99">
              <w:rPr>
                <w:rFonts w:eastAsia="Times New Roman"/>
                <w:b/>
                <w:bCs/>
                <w:sz w:val="24"/>
                <w:szCs w:val="24"/>
              </w:rPr>
              <w:t>Volume (Million Tonnes)</w:t>
            </w:r>
          </w:p>
        </w:tc>
        <w:tc>
          <w:tcPr>
            <w:tcW w:w="0" w:type="auto"/>
            <w:hideMark/>
          </w:tcPr>
          <w:p w14:paraId="4BD28999" w14:textId="77777777" w:rsidR="007123E7" w:rsidRPr="00067F99" w:rsidRDefault="007123E7" w:rsidP="00E27C70">
            <w:pPr>
              <w:jc w:val="center"/>
              <w:rPr>
                <w:rFonts w:eastAsia="Times New Roman"/>
                <w:b/>
                <w:bCs/>
                <w:sz w:val="24"/>
                <w:szCs w:val="24"/>
              </w:rPr>
            </w:pPr>
            <w:r w:rsidRPr="00067F99">
              <w:rPr>
                <w:rFonts w:eastAsia="Times New Roman"/>
                <w:b/>
                <w:bCs/>
                <w:sz w:val="24"/>
                <w:szCs w:val="24"/>
              </w:rPr>
              <w:t>Percentage of Total</w:t>
            </w:r>
          </w:p>
        </w:tc>
        <w:tc>
          <w:tcPr>
            <w:tcW w:w="2953" w:type="dxa"/>
          </w:tcPr>
          <w:p w14:paraId="66F5A273" w14:textId="77777777" w:rsidR="007123E7" w:rsidRPr="00067F99" w:rsidRDefault="007123E7" w:rsidP="00E27C70">
            <w:pPr>
              <w:jc w:val="center"/>
              <w:rPr>
                <w:rFonts w:eastAsia="Times New Roman"/>
                <w:b/>
                <w:bCs/>
                <w:sz w:val="24"/>
                <w:szCs w:val="24"/>
              </w:rPr>
            </w:pPr>
            <w:r w:rsidRPr="00067F99">
              <w:rPr>
                <w:rFonts w:eastAsia="Times New Roman"/>
                <w:b/>
                <w:bCs/>
                <w:sz w:val="24"/>
                <w:szCs w:val="24"/>
              </w:rPr>
              <w:t>Description</w:t>
            </w:r>
          </w:p>
        </w:tc>
      </w:tr>
      <w:tr w:rsidR="007123E7" w:rsidRPr="00067F99" w14:paraId="0B68E64D" w14:textId="77777777" w:rsidTr="00E27C70">
        <w:tc>
          <w:tcPr>
            <w:tcW w:w="0" w:type="auto"/>
            <w:hideMark/>
          </w:tcPr>
          <w:p w14:paraId="7ABD2586" w14:textId="77777777" w:rsidR="007123E7" w:rsidRPr="00067F99" w:rsidRDefault="007123E7" w:rsidP="00E27C70">
            <w:pPr>
              <w:rPr>
                <w:rFonts w:eastAsia="Times New Roman"/>
                <w:sz w:val="24"/>
                <w:szCs w:val="24"/>
              </w:rPr>
            </w:pPr>
            <w:r w:rsidRPr="00067F99">
              <w:rPr>
                <w:rFonts w:eastAsia="Times New Roman"/>
                <w:b/>
                <w:bCs/>
                <w:sz w:val="24"/>
                <w:szCs w:val="24"/>
              </w:rPr>
              <w:t>Total Generated</w:t>
            </w:r>
          </w:p>
        </w:tc>
        <w:tc>
          <w:tcPr>
            <w:tcW w:w="0" w:type="auto"/>
            <w:hideMark/>
          </w:tcPr>
          <w:p w14:paraId="45557566" w14:textId="77777777" w:rsidR="007123E7" w:rsidRPr="00067F99" w:rsidRDefault="007123E7" w:rsidP="00E27C70">
            <w:pPr>
              <w:jc w:val="center"/>
              <w:rPr>
                <w:rFonts w:eastAsia="Times New Roman"/>
                <w:sz w:val="24"/>
                <w:szCs w:val="24"/>
              </w:rPr>
            </w:pPr>
            <w:r w:rsidRPr="00067F99">
              <w:rPr>
                <w:rFonts w:eastAsia="Times New Roman"/>
                <w:sz w:val="24"/>
                <w:szCs w:val="24"/>
              </w:rPr>
              <w:t>27.20</w:t>
            </w:r>
          </w:p>
        </w:tc>
        <w:tc>
          <w:tcPr>
            <w:tcW w:w="0" w:type="auto"/>
            <w:hideMark/>
          </w:tcPr>
          <w:p w14:paraId="7A859D4C" w14:textId="77777777" w:rsidR="007123E7" w:rsidRPr="00067F99" w:rsidRDefault="007123E7" w:rsidP="00E27C70">
            <w:pPr>
              <w:jc w:val="center"/>
              <w:rPr>
                <w:rFonts w:eastAsia="Times New Roman"/>
                <w:sz w:val="24"/>
                <w:szCs w:val="24"/>
              </w:rPr>
            </w:pPr>
            <w:r w:rsidRPr="00067F99">
              <w:rPr>
                <w:rFonts w:eastAsia="Times New Roman"/>
                <w:sz w:val="24"/>
                <w:szCs w:val="24"/>
              </w:rPr>
              <w:t>100%</w:t>
            </w:r>
          </w:p>
        </w:tc>
        <w:tc>
          <w:tcPr>
            <w:tcW w:w="2953" w:type="dxa"/>
          </w:tcPr>
          <w:p w14:paraId="72F0653E" w14:textId="77777777" w:rsidR="007123E7" w:rsidRPr="00067F99" w:rsidRDefault="007123E7" w:rsidP="00E27C70">
            <w:pPr>
              <w:rPr>
                <w:rFonts w:eastAsia="Times New Roman"/>
                <w:sz w:val="24"/>
                <w:szCs w:val="24"/>
              </w:rPr>
            </w:pPr>
            <w:r w:rsidRPr="00067F99">
              <w:rPr>
                <w:rFonts w:eastAsia="Times New Roman"/>
                <w:sz w:val="24"/>
                <w:szCs w:val="24"/>
              </w:rPr>
              <w:t>National MSW generation in 2024</w:t>
            </w:r>
          </w:p>
        </w:tc>
      </w:tr>
      <w:tr w:rsidR="007123E7" w:rsidRPr="00067F99" w14:paraId="7D37B053" w14:textId="77777777" w:rsidTr="00E27C70">
        <w:tc>
          <w:tcPr>
            <w:tcW w:w="0" w:type="auto"/>
            <w:hideMark/>
          </w:tcPr>
          <w:p w14:paraId="5257C54E" w14:textId="77777777" w:rsidR="007123E7" w:rsidRPr="00067F99" w:rsidRDefault="007123E7" w:rsidP="00E27C70">
            <w:pPr>
              <w:rPr>
                <w:rFonts w:eastAsia="Times New Roman"/>
                <w:sz w:val="24"/>
                <w:szCs w:val="24"/>
              </w:rPr>
            </w:pPr>
            <w:r w:rsidRPr="00067F99">
              <w:rPr>
                <w:rFonts w:eastAsia="Times New Roman"/>
                <w:sz w:val="24"/>
                <w:szCs w:val="24"/>
              </w:rPr>
              <w:t>Managed at Source</w:t>
            </w:r>
          </w:p>
        </w:tc>
        <w:tc>
          <w:tcPr>
            <w:tcW w:w="0" w:type="auto"/>
            <w:hideMark/>
          </w:tcPr>
          <w:p w14:paraId="0C39170F" w14:textId="77777777" w:rsidR="007123E7" w:rsidRPr="00067F99" w:rsidRDefault="007123E7" w:rsidP="00E27C70">
            <w:pPr>
              <w:jc w:val="center"/>
              <w:rPr>
                <w:rFonts w:eastAsia="Times New Roman"/>
                <w:sz w:val="24"/>
                <w:szCs w:val="24"/>
              </w:rPr>
            </w:pPr>
            <w:r w:rsidRPr="00067F99">
              <w:rPr>
                <w:rFonts w:eastAsia="Times New Roman"/>
                <w:sz w:val="24"/>
                <w:szCs w:val="24"/>
              </w:rPr>
              <w:t>1.54</w:t>
            </w:r>
          </w:p>
        </w:tc>
        <w:tc>
          <w:tcPr>
            <w:tcW w:w="0" w:type="auto"/>
            <w:hideMark/>
          </w:tcPr>
          <w:p w14:paraId="05364623" w14:textId="77777777" w:rsidR="007123E7" w:rsidRPr="00067F99" w:rsidRDefault="007123E7" w:rsidP="00E27C70">
            <w:pPr>
              <w:jc w:val="center"/>
              <w:rPr>
                <w:rFonts w:eastAsia="Times New Roman"/>
                <w:sz w:val="24"/>
                <w:szCs w:val="24"/>
              </w:rPr>
            </w:pPr>
            <w:r w:rsidRPr="00067F99">
              <w:rPr>
                <w:rFonts w:eastAsia="Times New Roman"/>
                <w:sz w:val="24"/>
                <w:szCs w:val="24"/>
              </w:rPr>
              <w:t>6%</w:t>
            </w:r>
          </w:p>
        </w:tc>
        <w:tc>
          <w:tcPr>
            <w:tcW w:w="2953" w:type="dxa"/>
          </w:tcPr>
          <w:p w14:paraId="0E2D5C39" w14:textId="77777777" w:rsidR="007123E7" w:rsidRPr="00067F99" w:rsidRDefault="007123E7" w:rsidP="00E27C70">
            <w:pPr>
              <w:rPr>
                <w:rFonts w:eastAsia="Times New Roman"/>
                <w:sz w:val="24"/>
                <w:szCs w:val="24"/>
              </w:rPr>
            </w:pPr>
            <w:r w:rsidRPr="00067F99">
              <w:rPr>
                <w:rFonts w:eastAsia="Times New Roman"/>
                <w:sz w:val="24"/>
                <w:szCs w:val="24"/>
              </w:rPr>
              <w:t>Household composting, backyard burning, and other decentralized practices</w:t>
            </w:r>
          </w:p>
        </w:tc>
      </w:tr>
      <w:tr w:rsidR="007123E7" w:rsidRPr="00067F99" w14:paraId="769274D7" w14:textId="77777777" w:rsidTr="00E27C70">
        <w:tc>
          <w:tcPr>
            <w:tcW w:w="0" w:type="auto"/>
            <w:hideMark/>
          </w:tcPr>
          <w:p w14:paraId="5C745424" w14:textId="77777777" w:rsidR="007123E7" w:rsidRPr="00067F99" w:rsidRDefault="007123E7" w:rsidP="00E27C70">
            <w:pPr>
              <w:rPr>
                <w:rFonts w:eastAsia="Times New Roman"/>
                <w:sz w:val="24"/>
                <w:szCs w:val="24"/>
              </w:rPr>
            </w:pPr>
            <w:r w:rsidRPr="00067F99">
              <w:rPr>
                <w:rFonts w:eastAsia="Times New Roman"/>
                <w:sz w:val="24"/>
                <w:szCs w:val="24"/>
              </w:rPr>
              <w:t>Utilized Before Collection</w:t>
            </w:r>
          </w:p>
        </w:tc>
        <w:tc>
          <w:tcPr>
            <w:tcW w:w="0" w:type="auto"/>
            <w:hideMark/>
          </w:tcPr>
          <w:p w14:paraId="75CCC9CF" w14:textId="77777777" w:rsidR="007123E7" w:rsidRPr="00067F99" w:rsidRDefault="007123E7" w:rsidP="00E27C70">
            <w:pPr>
              <w:jc w:val="center"/>
              <w:rPr>
                <w:rFonts w:eastAsia="Times New Roman"/>
                <w:sz w:val="24"/>
                <w:szCs w:val="24"/>
              </w:rPr>
            </w:pPr>
            <w:r w:rsidRPr="00067F99">
              <w:rPr>
                <w:rFonts w:eastAsia="Times New Roman"/>
                <w:sz w:val="24"/>
                <w:szCs w:val="24"/>
              </w:rPr>
              <w:t>6.02</w:t>
            </w:r>
          </w:p>
        </w:tc>
        <w:tc>
          <w:tcPr>
            <w:tcW w:w="0" w:type="auto"/>
            <w:hideMark/>
          </w:tcPr>
          <w:p w14:paraId="4C66F725" w14:textId="77777777" w:rsidR="007123E7" w:rsidRPr="00067F99" w:rsidRDefault="007123E7" w:rsidP="00E27C70">
            <w:pPr>
              <w:jc w:val="center"/>
              <w:rPr>
                <w:rFonts w:eastAsia="Times New Roman"/>
                <w:sz w:val="24"/>
                <w:szCs w:val="24"/>
              </w:rPr>
            </w:pPr>
            <w:r w:rsidRPr="00067F99">
              <w:rPr>
                <w:rFonts w:eastAsia="Times New Roman"/>
                <w:sz w:val="24"/>
                <w:szCs w:val="24"/>
              </w:rPr>
              <w:t>22%</w:t>
            </w:r>
          </w:p>
        </w:tc>
        <w:tc>
          <w:tcPr>
            <w:tcW w:w="2953" w:type="dxa"/>
          </w:tcPr>
          <w:p w14:paraId="25242454" w14:textId="77777777" w:rsidR="007123E7" w:rsidRPr="00067F99" w:rsidRDefault="007123E7" w:rsidP="00E27C70">
            <w:pPr>
              <w:rPr>
                <w:rFonts w:eastAsia="Times New Roman"/>
                <w:sz w:val="24"/>
                <w:szCs w:val="24"/>
              </w:rPr>
            </w:pPr>
            <w:r w:rsidRPr="00067F99">
              <w:rPr>
                <w:rFonts w:eastAsia="Times New Roman"/>
                <w:sz w:val="24"/>
                <w:szCs w:val="24"/>
              </w:rPr>
              <w:t>Informal recycling, source separation, and direct reuse</w:t>
            </w:r>
          </w:p>
        </w:tc>
      </w:tr>
      <w:tr w:rsidR="007123E7" w:rsidRPr="00067F99" w14:paraId="33F2D195" w14:textId="77777777" w:rsidTr="00E27C70">
        <w:tc>
          <w:tcPr>
            <w:tcW w:w="0" w:type="auto"/>
            <w:hideMark/>
          </w:tcPr>
          <w:p w14:paraId="6B996380" w14:textId="77777777" w:rsidR="007123E7" w:rsidRPr="00067F99" w:rsidRDefault="007123E7" w:rsidP="00E27C70">
            <w:pPr>
              <w:rPr>
                <w:rFonts w:eastAsia="Times New Roman"/>
                <w:sz w:val="24"/>
                <w:szCs w:val="24"/>
              </w:rPr>
            </w:pPr>
            <w:r w:rsidRPr="00067F99">
              <w:rPr>
                <w:rFonts w:eastAsia="Times New Roman"/>
                <w:sz w:val="24"/>
                <w:szCs w:val="24"/>
              </w:rPr>
              <w:t>Collected by Authorities</w:t>
            </w:r>
          </w:p>
        </w:tc>
        <w:tc>
          <w:tcPr>
            <w:tcW w:w="0" w:type="auto"/>
            <w:hideMark/>
          </w:tcPr>
          <w:p w14:paraId="768B0807" w14:textId="77777777" w:rsidR="007123E7" w:rsidRPr="00067F99" w:rsidRDefault="007123E7" w:rsidP="00E27C70">
            <w:pPr>
              <w:jc w:val="center"/>
              <w:rPr>
                <w:rFonts w:eastAsia="Times New Roman"/>
                <w:sz w:val="24"/>
                <w:szCs w:val="24"/>
              </w:rPr>
            </w:pPr>
            <w:r w:rsidRPr="00067F99">
              <w:rPr>
                <w:rFonts w:eastAsia="Times New Roman"/>
                <w:sz w:val="24"/>
                <w:szCs w:val="24"/>
              </w:rPr>
              <w:t>19.64</w:t>
            </w:r>
          </w:p>
        </w:tc>
        <w:tc>
          <w:tcPr>
            <w:tcW w:w="0" w:type="auto"/>
            <w:hideMark/>
          </w:tcPr>
          <w:p w14:paraId="4EBFEF5A" w14:textId="77777777" w:rsidR="007123E7" w:rsidRPr="00067F99" w:rsidRDefault="007123E7" w:rsidP="00E27C70">
            <w:pPr>
              <w:jc w:val="center"/>
              <w:rPr>
                <w:rFonts w:eastAsia="Times New Roman"/>
                <w:sz w:val="24"/>
                <w:szCs w:val="24"/>
              </w:rPr>
            </w:pPr>
            <w:r w:rsidRPr="00067F99">
              <w:rPr>
                <w:rFonts w:eastAsia="Times New Roman"/>
                <w:sz w:val="24"/>
                <w:szCs w:val="24"/>
              </w:rPr>
              <w:t>72%</w:t>
            </w:r>
          </w:p>
        </w:tc>
        <w:tc>
          <w:tcPr>
            <w:tcW w:w="2953" w:type="dxa"/>
          </w:tcPr>
          <w:p w14:paraId="344E1E72" w14:textId="77777777" w:rsidR="007123E7" w:rsidRPr="00067F99" w:rsidRDefault="007123E7" w:rsidP="00E27C70">
            <w:pPr>
              <w:rPr>
                <w:rFonts w:eastAsia="Times New Roman"/>
                <w:sz w:val="24"/>
                <w:szCs w:val="24"/>
              </w:rPr>
            </w:pPr>
            <w:r w:rsidRPr="00067F99">
              <w:rPr>
                <w:rFonts w:eastAsia="Times New Roman"/>
                <w:sz w:val="24"/>
                <w:szCs w:val="24"/>
              </w:rPr>
              <w:t>Formal municipal collection systems</w:t>
            </w:r>
          </w:p>
        </w:tc>
      </w:tr>
      <w:tr w:rsidR="007123E7" w:rsidRPr="00067F99" w14:paraId="61624FC3" w14:textId="77777777" w:rsidTr="00E27C70">
        <w:tc>
          <w:tcPr>
            <w:tcW w:w="0" w:type="auto"/>
            <w:hideMark/>
          </w:tcPr>
          <w:p w14:paraId="055F16A0" w14:textId="77777777" w:rsidR="007123E7" w:rsidRPr="00067F99" w:rsidRDefault="007123E7" w:rsidP="00E27C70">
            <w:pPr>
              <w:rPr>
                <w:rFonts w:eastAsia="Times New Roman"/>
                <w:sz w:val="24"/>
                <w:szCs w:val="24"/>
              </w:rPr>
            </w:pPr>
            <w:r w:rsidRPr="00067F99">
              <w:rPr>
                <w:rFonts w:eastAsia="Times New Roman"/>
                <w:sz w:val="24"/>
                <w:szCs w:val="24"/>
              </w:rPr>
              <w:t>Utilized After Collection</w:t>
            </w:r>
          </w:p>
        </w:tc>
        <w:tc>
          <w:tcPr>
            <w:tcW w:w="0" w:type="auto"/>
            <w:hideMark/>
          </w:tcPr>
          <w:p w14:paraId="2BF3B545" w14:textId="77777777" w:rsidR="007123E7" w:rsidRPr="00067F99" w:rsidRDefault="007123E7" w:rsidP="00E27C70">
            <w:pPr>
              <w:jc w:val="center"/>
              <w:rPr>
                <w:rFonts w:eastAsia="Times New Roman"/>
                <w:sz w:val="24"/>
                <w:szCs w:val="24"/>
              </w:rPr>
            </w:pPr>
            <w:r w:rsidRPr="00067F99">
              <w:rPr>
                <w:rFonts w:eastAsia="Times New Roman"/>
                <w:sz w:val="24"/>
                <w:szCs w:val="24"/>
              </w:rPr>
              <w:t>4.49</w:t>
            </w:r>
          </w:p>
        </w:tc>
        <w:tc>
          <w:tcPr>
            <w:tcW w:w="0" w:type="auto"/>
            <w:hideMark/>
          </w:tcPr>
          <w:p w14:paraId="3F7DD3EF" w14:textId="77777777" w:rsidR="007123E7" w:rsidRPr="00067F99" w:rsidRDefault="007123E7" w:rsidP="00E27C70">
            <w:pPr>
              <w:jc w:val="center"/>
              <w:rPr>
                <w:rFonts w:eastAsia="Times New Roman"/>
                <w:sz w:val="24"/>
                <w:szCs w:val="24"/>
              </w:rPr>
            </w:pPr>
            <w:r w:rsidRPr="00067F99">
              <w:rPr>
                <w:rFonts w:eastAsia="Times New Roman"/>
                <w:sz w:val="24"/>
                <w:szCs w:val="24"/>
              </w:rPr>
              <w:t>17%</w:t>
            </w:r>
          </w:p>
        </w:tc>
        <w:tc>
          <w:tcPr>
            <w:tcW w:w="2953" w:type="dxa"/>
          </w:tcPr>
          <w:p w14:paraId="593856AF" w14:textId="77777777" w:rsidR="007123E7" w:rsidRPr="00067F99" w:rsidRDefault="007123E7" w:rsidP="00E27C70">
            <w:pPr>
              <w:rPr>
                <w:rFonts w:eastAsia="Times New Roman"/>
                <w:sz w:val="24"/>
                <w:szCs w:val="24"/>
              </w:rPr>
            </w:pPr>
            <w:r w:rsidRPr="00067F99">
              <w:rPr>
                <w:rFonts w:eastAsia="Times New Roman"/>
                <w:sz w:val="24"/>
                <w:szCs w:val="24"/>
              </w:rPr>
              <w:t>Recovery at transfer stations and disposal sites</w:t>
            </w:r>
          </w:p>
        </w:tc>
      </w:tr>
      <w:tr w:rsidR="007123E7" w:rsidRPr="00067F99" w14:paraId="406D6C32" w14:textId="77777777" w:rsidTr="00E27C70">
        <w:tc>
          <w:tcPr>
            <w:tcW w:w="0" w:type="auto"/>
            <w:hideMark/>
          </w:tcPr>
          <w:p w14:paraId="139AE407" w14:textId="77777777" w:rsidR="007123E7" w:rsidRPr="00067F99" w:rsidRDefault="007123E7" w:rsidP="00E27C70">
            <w:pPr>
              <w:rPr>
                <w:rFonts w:eastAsia="Times New Roman"/>
                <w:sz w:val="24"/>
                <w:szCs w:val="24"/>
              </w:rPr>
            </w:pPr>
            <w:r w:rsidRPr="00067F99">
              <w:rPr>
                <w:rFonts w:eastAsia="Times New Roman"/>
                <w:b/>
                <w:bCs/>
                <w:sz w:val="24"/>
                <w:szCs w:val="24"/>
              </w:rPr>
              <w:t>Final Disposal</w:t>
            </w:r>
          </w:p>
        </w:tc>
        <w:tc>
          <w:tcPr>
            <w:tcW w:w="0" w:type="auto"/>
            <w:hideMark/>
          </w:tcPr>
          <w:p w14:paraId="382AA182" w14:textId="77777777" w:rsidR="007123E7" w:rsidRPr="00067F99" w:rsidRDefault="007123E7" w:rsidP="00E27C70">
            <w:pPr>
              <w:jc w:val="center"/>
              <w:rPr>
                <w:rFonts w:eastAsia="Times New Roman"/>
                <w:sz w:val="24"/>
                <w:szCs w:val="24"/>
              </w:rPr>
            </w:pPr>
            <w:r w:rsidRPr="00067F99">
              <w:rPr>
                <w:rFonts w:eastAsia="Times New Roman"/>
                <w:sz w:val="24"/>
                <w:szCs w:val="24"/>
              </w:rPr>
              <w:t>15.15</w:t>
            </w:r>
          </w:p>
        </w:tc>
        <w:tc>
          <w:tcPr>
            <w:tcW w:w="0" w:type="auto"/>
            <w:hideMark/>
          </w:tcPr>
          <w:p w14:paraId="5682BE35" w14:textId="77777777" w:rsidR="007123E7" w:rsidRPr="00067F99" w:rsidRDefault="007123E7" w:rsidP="00E27C70">
            <w:pPr>
              <w:jc w:val="center"/>
              <w:rPr>
                <w:rFonts w:eastAsia="Times New Roman"/>
                <w:sz w:val="24"/>
                <w:szCs w:val="24"/>
              </w:rPr>
            </w:pPr>
            <w:r w:rsidRPr="00067F99">
              <w:rPr>
                <w:rFonts w:eastAsia="Times New Roman"/>
                <w:sz w:val="24"/>
                <w:szCs w:val="24"/>
              </w:rPr>
              <w:t>55%</w:t>
            </w:r>
          </w:p>
        </w:tc>
        <w:tc>
          <w:tcPr>
            <w:tcW w:w="2953" w:type="dxa"/>
          </w:tcPr>
          <w:p w14:paraId="70C7EA1E" w14:textId="77777777" w:rsidR="007123E7" w:rsidRPr="00067F99" w:rsidRDefault="007123E7" w:rsidP="00E27C70">
            <w:pPr>
              <w:rPr>
                <w:rFonts w:eastAsia="Times New Roman"/>
                <w:sz w:val="24"/>
                <w:szCs w:val="24"/>
              </w:rPr>
            </w:pPr>
            <w:r w:rsidRPr="00067F99">
              <w:rPr>
                <w:rFonts w:eastAsia="Times New Roman"/>
                <w:sz w:val="24"/>
                <w:szCs w:val="24"/>
              </w:rPr>
              <w:t>Waste requiring terminal treatment or disposal</w:t>
            </w:r>
          </w:p>
        </w:tc>
      </w:tr>
      <w:tr w:rsidR="007123E7" w:rsidRPr="00067F99" w14:paraId="5FC4A72D" w14:textId="77777777" w:rsidTr="00E27C70">
        <w:tc>
          <w:tcPr>
            <w:tcW w:w="0" w:type="auto"/>
            <w:hideMark/>
          </w:tcPr>
          <w:p w14:paraId="40DC9833" w14:textId="77777777" w:rsidR="007123E7" w:rsidRPr="00067F99" w:rsidRDefault="007123E7" w:rsidP="00E27C70">
            <w:pPr>
              <w:rPr>
                <w:rFonts w:eastAsia="Times New Roman"/>
                <w:sz w:val="24"/>
                <w:szCs w:val="24"/>
              </w:rPr>
            </w:pPr>
            <w:r w:rsidRPr="00067F99">
              <w:rPr>
                <w:rFonts w:eastAsia="Times New Roman"/>
                <w:sz w:val="24"/>
                <w:szCs w:val="24"/>
              </w:rPr>
              <w:t>- Proper Management</w:t>
            </w:r>
          </w:p>
        </w:tc>
        <w:tc>
          <w:tcPr>
            <w:tcW w:w="0" w:type="auto"/>
            <w:hideMark/>
          </w:tcPr>
          <w:p w14:paraId="69C7B4CA" w14:textId="77777777" w:rsidR="007123E7" w:rsidRPr="00067F99" w:rsidRDefault="007123E7" w:rsidP="00E27C70">
            <w:pPr>
              <w:jc w:val="center"/>
              <w:rPr>
                <w:rFonts w:eastAsia="Times New Roman"/>
                <w:sz w:val="24"/>
                <w:szCs w:val="24"/>
              </w:rPr>
            </w:pPr>
            <w:r w:rsidRPr="00067F99">
              <w:rPr>
                <w:rFonts w:eastAsia="Times New Roman"/>
                <w:sz w:val="24"/>
                <w:szCs w:val="24"/>
              </w:rPr>
              <w:t>10.42</w:t>
            </w:r>
          </w:p>
        </w:tc>
        <w:tc>
          <w:tcPr>
            <w:tcW w:w="0" w:type="auto"/>
            <w:hideMark/>
          </w:tcPr>
          <w:p w14:paraId="2D6FA88A" w14:textId="77777777" w:rsidR="007123E7" w:rsidRPr="00067F99" w:rsidRDefault="007123E7" w:rsidP="00E27C70">
            <w:pPr>
              <w:jc w:val="center"/>
              <w:rPr>
                <w:rFonts w:eastAsia="Times New Roman"/>
                <w:sz w:val="24"/>
                <w:szCs w:val="24"/>
              </w:rPr>
            </w:pPr>
            <w:r w:rsidRPr="00067F99">
              <w:rPr>
                <w:rFonts w:eastAsia="Times New Roman"/>
                <w:sz w:val="24"/>
                <w:szCs w:val="24"/>
              </w:rPr>
              <w:t>38%</w:t>
            </w:r>
          </w:p>
        </w:tc>
        <w:tc>
          <w:tcPr>
            <w:tcW w:w="2953" w:type="dxa"/>
          </w:tcPr>
          <w:p w14:paraId="2FA172FA" w14:textId="77777777" w:rsidR="007123E7" w:rsidRPr="00067F99" w:rsidRDefault="007123E7" w:rsidP="00E27C70">
            <w:pPr>
              <w:rPr>
                <w:rFonts w:eastAsia="Times New Roman"/>
                <w:sz w:val="24"/>
                <w:szCs w:val="24"/>
              </w:rPr>
            </w:pPr>
            <w:r w:rsidRPr="00067F99">
              <w:rPr>
                <w:rFonts w:eastAsia="Times New Roman"/>
                <w:sz w:val="24"/>
                <w:szCs w:val="24"/>
              </w:rPr>
              <w:t>Sanitary landfills, waste-to-energy, and compliant methods</w:t>
            </w:r>
          </w:p>
        </w:tc>
      </w:tr>
      <w:tr w:rsidR="007123E7" w:rsidRPr="00067F99" w14:paraId="3F92EBCA" w14:textId="77777777" w:rsidTr="00E27C70">
        <w:tc>
          <w:tcPr>
            <w:tcW w:w="0" w:type="auto"/>
            <w:hideMark/>
          </w:tcPr>
          <w:p w14:paraId="164E58B2" w14:textId="77777777" w:rsidR="007123E7" w:rsidRPr="00067F99" w:rsidRDefault="007123E7" w:rsidP="00E27C70">
            <w:pPr>
              <w:rPr>
                <w:rFonts w:eastAsia="Times New Roman"/>
                <w:sz w:val="24"/>
                <w:szCs w:val="24"/>
              </w:rPr>
            </w:pPr>
            <w:r w:rsidRPr="00067F99">
              <w:rPr>
                <w:rFonts w:eastAsia="Times New Roman"/>
                <w:sz w:val="24"/>
                <w:szCs w:val="24"/>
              </w:rPr>
              <w:t>- Improper Management</w:t>
            </w:r>
          </w:p>
        </w:tc>
        <w:tc>
          <w:tcPr>
            <w:tcW w:w="0" w:type="auto"/>
            <w:hideMark/>
          </w:tcPr>
          <w:p w14:paraId="56AD54FE" w14:textId="77777777" w:rsidR="007123E7" w:rsidRPr="00067F99" w:rsidRDefault="007123E7" w:rsidP="00E27C70">
            <w:pPr>
              <w:jc w:val="center"/>
              <w:rPr>
                <w:rFonts w:eastAsia="Times New Roman"/>
                <w:sz w:val="24"/>
                <w:szCs w:val="24"/>
              </w:rPr>
            </w:pPr>
            <w:r w:rsidRPr="00067F99">
              <w:rPr>
                <w:rFonts w:eastAsia="Times New Roman"/>
                <w:sz w:val="24"/>
                <w:szCs w:val="24"/>
              </w:rPr>
              <w:t>4.73</w:t>
            </w:r>
          </w:p>
        </w:tc>
        <w:tc>
          <w:tcPr>
            <w:tcW w:w="0" w:type="auto"/>
            <w:hideMark/>
          </w:tcPr>
          <w:p w14:paraId="52A2742E" w14:textId="77777777" w:rsidR="007123E7" w:rsidRPr="00067F99" w:rsidRDefault="007123E7" w:rsidP="00E27C70">
            <w:pPr>
              <w:jc w:val="center"/>
              <w:rPr>
                <w:rFonts w:eastAsia="Times New Roman"/>
                <w:sz w:val="24"/>
                <w:szCs w:val="24"/>
              </w:rPr>
            </w:pPr>
            <w:r w:rsidRPr="00067F99">
              <w:rPr>
                <w:rFonts w:eastAsia="Times New Roman"/>
                <w:sz w:val="24"/>
                <w:szCs w:val="24"/>
              </w:rPr>
              <w:t>17%</w:t>
            </w:r>
          </w:p>
        </w:tc>
        <w:tc>
          <w:tcPr>
            <w:tcW w:w="2953" w:type="dxa"/>
          </w:tcPr>
          <w:p w14:paraId="3D4FF5BB" w14:textId="77777777" w:rsidR="007123E7" w:rsidRPr="00067F99" w:rsidRDefault="007123E7" w:rsidP="00E27C70">
            <w:pPr>
              <w:rPr>
                <w:rFonts w:eastAsia="Times New Roman"/>
                <w:sz w:val="24"/>
                <w:szCs w:val="24"/>
              </w:rPr>
            </w:pPr>
            <w:r w:rsidRPr="00067F99">
              <w:rPr>
                <w:rFonts w:eastAsia="Times New Roman"/>
                <w:sz w:val="24"/>
                <w:szCs w:val="24"/>
              </w:rPr>
              <w:t>Open dumping, uncontrolled burning, and unsuitable sites</w:t>
            </w:r>
          </w:p>
        </w:tc>
      </w:tr>
    </w:tbl>
    <w:p w14:paraId="026C6A98" w14:textId="77777777" w:rsidR="007123E7" w:rsidRPr="00067F99" w:rsidRDefault="007123E7" w:rsidP="007123E7">
      <w:pPr>
        <w:tabs>
          <w:tab w:val="left" w:pos="450"/>
        </w:tabs>
        <w:rPr>
          <w:b/>
          <w:bCs/>
          <w:sz w:val="24"/>
          <w:szCs w:val="24"/>
        </w:rPr>
      </w:pPr>
    </w:p>
    <w:p w14:paraId="14420444" w14:textId="77777777" w:rsidR="007123E7" w:rsidRPr="00067F99" w:rsidRDefault="007123E7" w:rsidP="007123E7">
      <w:pPr>
        <w:tabs>
          <w:tab w:val="left" w:pos="450"/>
        </w:tabs>
        <w:rPr>
          <w:b/>
          <w:bCs/>
          <w:sz w:val="24"/>
          <w:szCs w:val="24"/>
        </w:rPr>
      </w:pPr>
      <w:r w:rsidRPr="00067F99">
        <w:rPr>
          <w:b/>
          <w:bCs/>
          <w:sz w:val="24"/>
          <w:szCs w:val="24"/>
        </w:rPr>
        <w:t>Critical Assessment of Waste Management System</w:t>
      </w:r>
    </w:p>
    <w:p w14:paraId="43AA5D47" w14:textId="77777777" w:rsidR="007123E7" w:rsidRPr="00067F99" w:rsidRDefault="007123E7" w:rsidP="007123E7">
      <w:pPr>
        <w:tabs>
          <w:tab w:val="left" w:pos="450"/>
        </w:tabs>
        <w:rPr>
          <w:i/>
          <w:iCs/>
          <w:sz w:val="24"/>
          <w:szCs w:val="24"/>
        </w:rPr>
      </w:pPr>
      <w:r w:rsidRPr="00067F99">
        <w:rPr>
          <w:i/>
          <w:iCs/>
          <w:sz w:val="24"/>
          <w:szCs w:val="24"/>
        </w:rPr>
        <w:t>Positive Aspects</w:t>
      </w:r>
    </w:p>
    <w:p w14:paraId="79C93C97" w14:textId="77777777" w:rsidR="007123E7" w:rsidRPr="00067F99" w:rsidRDefault="007123E7" w:rsidP="007123E7">
      <w:pPr>
        <w:tabs>
          <w:tab w:val="left" w:pos="450"/>
        </w:tabs>
        <w:jc w:val="thaiDistribute"/>
        <w:rPr>
          <w:sz w:val="24"/>
          <w:szCs w:val="24"/>
        </w:rPr>
      </w:pPr>
      <w:r w:rsidRPr="00067F99">
        <w:rPr>
          <w:sz w:val="24"/>
          <w:szCs w:val="24"/>
        </w:rPr>
        <w:t>Thailand's waste management system demonstrates several commendable operational achievements. The collection rate of 72% reflects strong municipal service delivery infrastructure across urban and peri-urban areas, indicating substantial investment in and commitment to waste collection services. This high collection coverage establishes a robust foundation for downstream waste processing and management activities. Furthermore, the combined pre- and post-collection recovery rate of 39% demonstrates active engagement with circular economy practices. This recovery performance indicates that a substantial portion of collected waste materials are being redirected toward reuse and recycling pathways, reducing the volume of waste requiring final disposal. Additionally, proper disposal management covers 38% of total waste generation, representing significant infrastructure capacity dedicated to environmentally sound waste treatment and disposal operations. These positive developments reflect ongoing efforts to transition toward more sustainable waste management practices.</w:t>
      </w:r>
    </w:p>
    <w:p w14:paraId="382657DB" w14:textId="77777777" w:rsidR="007123E7" w:rsidRPr="00067F99" w:rsidRDefault="007123E7" w:rsidP="007123E7">
      <w:pPr>
        <w:tabs>
          <w:tab w:val="left" w:pos="450"/>
        </w:tabs>
        <w:rPr>
          <w:i/>
          <w:iCs/>
          <w:sz w:val="24"/>
          <w:szCs w:val="24"/>
        </w:rPr>
      </w:pPr>
      <w:r w:rsidRPr="00067F99">
        <w:rPr>
          <w:i/>
          <w:iCs/>
          <w:sz w:val="24"/>
          <w:szCs w:val="24"/>
        </w:rPr>
        <w:lastRenderedPageBreak/>
        <w:t>Areas of Concern</w:t>
      </w:r>
    </w:p>
    <w:p w14:paraId="32052EB9" w14:textId="77777777" w:rsidR="007123E7" w:rsidRPr="00067F99" w:rsidRDefault="007123E7" w:rsidP="007123E7">
      <w:pPr>
        <w:tabs>
          <w:tab w:val="left" w:pos="450"/>
        </w:tabs>
        <w:jc w:val="thaiDistribute"/>
        <w:rPr>
          <w:sz w:val="24"/>
          <w:szCs w:val="24"/>
        </w:rPr>
      </w:pPr>
      <w:r w:rsidRPr="00067F99">
        <w:rPr>
          <w:sz w:val="24"/>
          <w:szCs w:val="24"/>
        </w:rPr>
        <w:t>Despite these positive achievements, significant challenges remain within Thailand's waste management framework. Improper disposal represents a critical concern, with 17% of total generated waste—equivalent to 4.73 million tonnes annually—lacking proper environmental management. This substantial volume of improperly managed waste represents both an environmental liability and a missed opportunity for resource recovery. A notable gap exists between collected waste volumes and the quantity of waste receiving proper disposal, indicating structural infrastructure and management deficiencies within the waste management system. This collection-to-disposal gap reflects incomplete integration of waste management operations and highlights areas where collection capacity exceeds treatment and disposal infrastructure. Environmental risks associated with improper disposal are particularly acute, with documented correlations between inadequately managed waste and leakage of contaminants into water bodies. Improperly disposed waste represents a significant source of marine litter generation and terrestrial environmental contamination.</w:t>
      </w:r>
    </w:p>
    <w:p w14:paraId="0BDE3199" w14:textId="77777777" w:rsidR="007123E7" w:rsidRPr="00067F99" w:rsidRDefault="007123E7" w:rsidP="007123E7">
      <w:pPr>
        <w:tabs>
          <w:tab w:val="left" w:pos="450"/>
        </w:tabs>
        <w:rPr>
          <w:i/>
          <w:iCs/>
          <w:sz w:val="24"/>
          <w:szCs w:val="24"/>
        </w:rPr>
      </w:pPr>
      <w:r w:rsidRPr="00067F99">
        <w:rPr>
          <w:i/>
          <w:iCs/>
          <w:sz w:val="24"/>
          <w:szCs w:val="24"/>
        </w:rPr>
        <w:t>Management Implications and Strategic Priorities</w:t>
      </w:r>
    </w:p>
    <w:p w14:paraId="66216B82" w14:textId="77777777" w:rsidR="007123E7" w:rsidRPr="00067F99" w:rsidRDefault="007123E7" w:rsidP="007123E7">
      <w:pPr>
        <w:tabs>
          <w:tab w:val="left" w:pos="450"/>
        </w:tabs>
        <w:jc w:val="thaiDistribute"/>
        <w:rPr>
          <w:sz w:val="24"/>
          <w:szCs w:val="24"/>
        </w:rPr>
      </w:pPr>
      <w:r w:rsidRPr="00067F99">
        <w:rPr>
          <w:sz w:val="24"/>
          <w:szCs w:val="24"/>
        </w:rPr>
        <w:t>Addressing the identified deficiencies requires urgent and coordinated action across multiple dimensions of waste management infrastructure and governance. Infrastructure investment constitutes the most pressing priority, with an urgent need to expand proper disposal capacity to manage the 4.73 million tonnes of annually improperly managed waste. Current infrastructure gaps must be systematically addressed through strategic capital investment in treatment and disposal facilities. Technology upgrading remains essential to improving waste management system efficiency. Enhanced sorting, recycling, and treatment facilities must be deployed to maximize resource recovery and minimize final disposal volumes. Regional coordination across local government boundaries requires strengthening to ensure integrated waste management planning and consistent environmental standards. The direct correlation between improper waste management and marine litter generation necessitates immediate and focused attention to prevent environmental contamination of Thailand's marine resources. Comprehensive waste management reform addressing these implications is essential to achieving sustainable resource management and environmental protection objectives.</w:t>
      </w:r>
    </w:p>
    <w:p w14:paraId="2B264B85" w14:textId="77777777" w:rsidR="007123E7" w:rsidRPr="00067F99" w:rsidRDefault="007123E7" w:rsidP="007123E7">
      <w:pPr>
        <w:spacing w:before="100" w:beforeAutospacing="1" w:after="100" w:afterAutospacing="1"/>
        <w:outlineLvl w:val="2"/>
        <w:rPr>
          <w:rFonts w:eastAsia="Times New Roman"/>
          <w:i/>
          <w:iCs/>
          <w:sz w:val="24"/>
          <w:szCs w:val="24"/>
        </w:rPr>
      </w:pPr>
      <w:r w:rsidRPr="00067F99">
        <w:rPr>
          <w:rFonts w:eastAsia="Times New Roman"/>
          <w:i/>
          <w:iCs/>
          <w:sz w:val="24"/>
          <w:szCs w:val="24"/>
        </w:rPr>
        <w:t>In summary, followings are key challenges and root causes</w:t>
      </w:r>
    </w:p>
    <w:p w14:paraId="772BF95E" w14:textId="77777777" w:rsidR="007123E7" w:rsidRPr="00067F99" w:rsidRDefault="007123E7" w:rsidP="007123E7">
      <w:pPr>
        <w:widowControl/>
        <w:numPr>
          <w:ilvl w:val="0"/>
          <w:numId w:val="145"/>
        </w:numPr>
        <w:spacing w:before="100" w:beforeAutospacing="1" w:after="100" w:afterAutospacing="1"/>
        <w:rPr>
          <w:rFonts w:eastAsia="Times New Roman"/>
          <w:sz w:val="24"/>
          <w:szCs w:val="24"/>
        </w:rPr>
      </w:pPr>
      <w:r w:rsidRPr="00067F99">
        <w:rPr>
          <w:rFonts w:eastAsia="Times New Roman"/>
          <w:b/>
          <w:bCs/>
          <w:sz w:val="24"/>
          <w:szCs w:val="24"/>
        </w:rPr>
        <w:t>Low proper disposal rate</w:t>
      </w:r>
      <w:r w:rsidRPr="00067F99">
        <w:rPr>
          <w:rFonts w:eastAsia="Times New Roman"/>
          <w:sz w:val="24"/>
          <w:szCs w:val="24"/>
        </w:rPr>
        <w:t>: Only 38% of MSW receives environmentally sound treatment. The remaining 17% is improperly disposed, contributing to land, air, and marine pollution.</w:t>
      </w:r>
    </w:p>
    <w:p w14:paraId="6D0A72FF" w14:textId="77777777" w:rsidR="007123E7" w:rsidRPr="00067F99" w:rsidRDefault="007123E7" w:rsidP="007123E7">
      <w:pPr>
        <w:widowControl/>
        <w:numPr>
          <w:ilvl w:val="0"/>
          <w:numId w:val="145"/>
        </w:numPr>
        <w:spacing w:before="100" w:beforeAutospacing="1" w:after="100" w:afterAutospacing="1"/>
        <w:rPr>
          <w:rFonts w:eastAsia="Times New Roman"/>
          <w:sz w:val="24"/>
          <w:szCs w:val="24"/>
        </w:rPr>
      </w:pPr>
      <w:r w:rsidRPr="00067F99">
        <w:rPr>
          <w:rFonts w:eastAsia="Times New Roman"/>
          <w:b/>
          <w:bCs/>
          <w:sz w:val="24"/>
          <w:szCs w:val="24"/>
        </w:rPr>
        <w:t>Plastic leakage</w:t>
      </w:r>
      <w:r w:rsidRPr="00067F99">
        <w:rPr>
          <w:rFonts w:eastAsia="Times New Roman"/>
          <w:sz w:val="24"/>
          <w:szCs w:val="24"/>
        </w:rPr>
        <w:t>: Urban centers and tourism hotspots generate large volumes of plastic waste, much of which enters waterways due to inadequate containment and recycling systems.</w:t>
      </w:r>
    </w:p>
    <w:p w14:paraId="44EA9766" w14:textId="77777777" w:rsidR="007123E7" w:rsidRPr="00067F99" w:rsidRDefault="007123E7" w:rsidP="007123E7">
      <w:pPr>
        <w:widowControl/>
        <w:numPr>
          <w:ilvl w:val="0"/>
          <w:numId w:val="145"/>
        </w:numPr>
        <w:spacing w:before="100" w:beforeAutospacing="1" w:after="100" w:afterAutospacing="1"/>
        <w:rPr>
          <w:rFonts w:eastAsia="Times New Roman"/>
          <w:sz w:val="24"/>
          <w:szCs w:val="24"/>
        </w:rPr>
      </w:pPr>
      <w:r w:rsidRPr="00067F99">
        <w:rPr>
          <w:rFonts w:eastAsia="Times New Roman"/>
          <w:b/>
          <w:bCs/>
          <w:sz w:val="24"/>
          <w:szCs w:val="24"/>
        </w:rPr>
        <w:t>Informal sector dependence</w:t>
      </w:r>
      <w:r w:rsidRPr="00067F99">
        <w:rPr>
          <w:rFonts w:eastAsia="Times New Roman"/>
          <w:sz w:val="24"/>
          <w:szCs w:val="24"/>
        </w:rPr>
        <w:t>: Informal waste pickers play a vital role in pre-collection recovery but operate without formal recognition or support.</w:t>
      </w:r>
    </w:p>
    <w:p w14:paraId="76BEFA25" w14:textId="77777777" w:rsidR="007123E7" w:rsidRPr="00067F99" w:rsidRDefault="007123E7" w:rsidP="007123E7">
      <w:pPr>
        <w:widowControl/>
        <w:numPr>
          <w:ilvl w:val="0"/>
          <w:numId w:val="145"/>
        </w:numPr>
        <w:spacing w:before="100" w:beforeAutospacing="1" w:after="100" w:afterAutospacing="1"/>
        <w:rPr>
          <w:rFonts w:eastAsia="Times New Roman"/>
          <w:sz w:val="24"/>
          <w:szCs w:val="24"/>
        </w:rPr>
      </w:pPr>
      <w:r w:rsidRPr="00067F99">
        <w:rPr>
          <w:rFonts w:eastAsia="Times New Roman"/>
          <w:b/>
          <w:bCs/>
          <w:sz w:val="24"/>
          <w:szCs w:val="24"/>
        </w:rPr>
        <w:t>Infrastructure gaps</w:t>
      </w:r>
      <w:r w:rsidRPr="00067F99">
        <w:rPr>
          <w:rFonts w:eastAsia="Times New Roman"/>
          <w:sz w:val="24"/>
          <w:szCs w:val="24"/>
        </w:rPr>
        <w:t>: Many provinces lack access to sanitary landfills or modern waste-to-energy facilities, leading to reliance on open dumping.</w:t>
      </w:r>
    </w:p>
    <w:p w14:paraId="178F5255" w14:textId="77777777" w:rsidR="007123E7" w:rsidRPr="00067F99" w:rsidRDefault="007123E7" w:rsidP="007123E7">
      <w:pPr>
        <w:widowControl/>
        <w:numPr>
          <w:ilvl w:val="0"/>
          <w:numId w:val="145"/>
        </w:numPr>
        <w:spacing w:before="100" w:beforeAutospacing="1" w:after="100" w:afterAutospacing="1"/>
        <w:rPr>
          <w:rFonts w:eastAsia="Times New Roman"/>
          <w:sz w:val="24"/>
          <w:szCs w:val="24"/>
        </w:rPr>
      </w:pPr>
      <w:r w:rsidRPr="00067F99">
        <w:rPr>
          <w:rFonts w:eastAsia="Times New Roman"/>
          <w:b/>
          <w:bCs/>
          <w:sz w:val="24"/>
          <w:szCs w:val="24"/>
        </w:rPr>
        <w:t>Data and monitoring limitations</w:t>
      </w:r>
      <w:r w:rsidRPr="00067F99">
        <w:rPr>
          <w:rFonts w:eastAsia="Times New Roman"/>
          <w:sz w:val="24"/>
          <w:szCs w:val="24"/>
        </w:rPr>
        <w:t>: Waste flow data is fragmented, and there is limited tracking of leakage pathways to coastal zones.</w:t>
      </w:r>
    </w:p>
    <w:p w14:paraId="70564824" w14:textId="77777777" w:rsidR="007123E7" w:rsidRPr="00067F99" w:rsidRDefault="007123E7" w:rsidP="007123E7">
      <w:pPr>
        <w:spacing w:before="100" w:beforeAutospacing="1" w:after="100" w:afterAutospacing="1"/>
        <w:outlineLvl w:val="2"/>
        <w:rPr>
          <w:rFonts w:eastAsia="Times New Roman"/>
          <w:sz w:val="24"/>
          <w:szCs w:val="24"/>
          <w:cs/>
        </w:rPr>
      </w:pPr>
      <w:r w:rsidRPr="00067F99">
        <w:rPr>
          <w:rFonts w:eastAsia="Times New Roman"/>
          <w:sz w:val="24"/>
          <w:szCs w:val="24"/>
        </w:rPr>
        <w:t>Table 6: Proposed Strategic Priorities for SAP Integration</w:t>
      </w:r>
      <w:r w:rsidRPr="00067F99">
        <w:rPr>
          <w:rFonts w:eastAsia="Times New Roman"/>
          <w:sz w:val="24"/>
          <w:szCs w:val="24"/>
          <w:cs/>
        </w:rPr>
        <w:t xml:space="preserve"> </w:t>
      </w:r>
    </w:p>
    <w:tbl>
      <w:tblPr>
        <w:tblStyle w:val="TableGridLight"/>
        <w:tblW w:w="0" w:type="auto"/>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4A0" w:firstRow="1" w:lastRow="0" w:firstColumn="1" w:lastColumn="0" w:noHBand="0" w:noVBand="1"/>
      </w:tblPr>
      <w:tblGrid>
        <w:gridCol w:w="2030"/>
        <w:gridCol w:w="4253"/>
        <w:gridCol w:w="2717"/>
      </w:tblGrid>
      <w:tr w:rsidR="007123E7" w:rsidRPr="00067F99" w14:paraId="4CAF5BE3" w14:textId="77777777" w:rsidTr="00E27C70">
        <w:trPr>
          <w:tblHeader/>
        </w:trPr>
        <w:tc>
          <w:tcPr>
            <w:tcW w:w="0" w:type="auto"/>
            <w:hideMark/>
          </w:tcPr>
          <w:p w14:paraId="391A6EEF" w14:textId="77777777" w:rsidR="007123E7" w:rsidRPr="00067F99" w:rsidRDefault="007123E7" w:rsidP="00E27C70">
            <w:pPr>
              <w:jc w:val="center"/>
              <w:rPr>
                <w:rFonts w:eastAsia="Times New Roman"/>
                <w:b/>
                <w:bCs/>
                <w:sz w:val="24"/>
                <w:szCs w:val="24"/>
              </w:rPr>
            </w:pPr>
            <w:r w:rsidRPr="00067F99">
              <w:rPr>
                <w:rFonts w:eastAsia="Times New Roman"/>
                <w:b/>
                <w:bCs/>
                <w:sz w:val="24"/>
                <w:szCs w:val="24"/>
              </w:rPr>
              <w:lastRenderedPageBreak/>
              <w:t>Priority Area</w:t>
            </w:r>
          </w:p>
        </w:tc>
        <w:tc>
          <w:tcPr>
            <w:tcW w:w="0" w:type="auto"/>
            <w:hideMark/>
          </w:tcPr>
          <w:p w14:paraId="461EA934" w14:textId="77777777" w:rsidR="007123E7" w:rsidRPr="00067F99" w:rsidRDefault="007123E7" w:rsidP="00E27C70">
            <w:pPr>
              <w:jc w:val="center"/>
              <w:rPr>
                <w:rFonts w:eastAsia="Times New Roman"/>
                <w:b/>
                <w:bCs/>
                <w:sz w:val="24"/>
                <w:szCs w:val="24"/>
              </w:rPr>
            </w:pPr>
            <w:r w:rsidRPr="00067F99">
              <w:rPr>
                <w:rFonts w:eastAsia="Times New Roman"/>
                <w:b/>
                <w:bCs/>
                <w:sz w:val="24"/>
                <w:szCs w:val="24"/>
              </w:rPr>
              <w:t>Action</w:t>
            </w:r>
          </w:p>
        </w:tc>
        <w:tc>
          <w:tcPr>
            <w:tcW w:w="0" w:type="auto"/>
            <w:hideMark/>
          </w:tcPr>
          <w:p w14:paraId="214E1CB0" w14:textId="77777777" w:rsidR="007123E7" w:rsidRPr="00067F99" w:rsidRDefault="007123E7" w:rsidP="00E27C70">
            <w:pPr>
              <w:jc w:val="center"/>
              <w:rPr>
                <w:rFonts w:eastAsia="Times New Roman"/>
                <w:b/>
                <w:bCs/>
                <w:sz w:val="24"/>
                <w:szCs w:val="24"/>
              </w:rPr>
            </w:pPr>
            <w:r w:rsidRPr="00067F99">
              <w:rPr>
                <w:rFonts w:eastAsia="Times New Roman"/>
                <w:b/>
                <w:bCs/>
                <w:sz w:val="24"/>
                <w:szCs w:val="24"/>
              </w:rPr>
              <w:t>Indicator</w:t>
            </w:r>
          </w:p>
        </w:tc>
      </w:tr>
      <w:tr w:rsidR="007123E7" w:rsidRPr="00067F99" w14:paraId="784C1C58" w14:textId="77777777" w:rsidTr="00E27C70">
        <w:tc>
          <w:tcPr>
            <w:tcW w:w="0" w:type="auto"/>
            <w:hideMark/>
          </w:tcPr>
          <w:p w14:paraId="7E64E608" w14:textId="77777777" w:rsidR="007123E7" w:rsidRPr="00067F99" w:rsidRDefault="007123E7" w:rsidP="00E27C70">
            <w:pPr>
              <w:rPr>
                <w:rFonts w:eastAsia="Times New Roman"/>
                <w:sz w:val="24"/>
                <w:szCs w:val="24"/>
              </w:rPr>
            </w:pPr>
            <w:r w:rsidRPr="00067F99">
              <w:rPr>
                <w:rFonts w:eastAsia="Times New Roman"/>
                <w:sz w:val="24"/>
                <w:szCs w:val="24"/>
              </w:rPr>
              <w:t>Disposal Infrastructure</w:t>
            </w:r>
          </w:p>
        </w:tc>
        <w:tc>
          <w:tcPr>
            <w:tcW w:w="0" w:type="auto"/>
            <w:hideMark/>
          </w:tcPr>
          <w:p w14:paraId="7FD9C78C" w14:textId="77777777" w:rsidR="007123E7" w:rsidRPr="00067F99" w:rsidRDefault="007123E7" w:rsidP="00E27C70">
            <w:pPr>
              <w:rPr>
                <w:rFonts w:eastAsia="Times New Roman"/>
                <w:sz w:val="24"/>
                <w:szCs w:val="24"/>
              </w:rPr>
            </w:pPr>
            <w:r w:rsidRPr="00067F99">
              <w:rPr>
                <w:rFonts w:eastAsia="Times New Roman"/>
                <w:sz w:val="24"/>
                <w:szCs w:val="24"/>
              </w:rPr>
              <w:t>Construct regional sanitary landfills and MBT (Mechanical-Biological Treatment) hubs</w:t>
            </w:r>
          </w:p>
        </w:tc>
        <w:tc>
          <w:tcPr>
            <w:tcW w:w="0" w:type="auto"/>
            <w:hideMark/>
          </w:tcPr>
          <w:p w14:paraId="60C955CC" w14:textId="77777777" w:rsidR="007123E7" w:rsidRPr="00067F99" w:rsidRDefault="007123E7" w:rsidP="00E27C70">
            <w:pPr>
              <w:rPr>
                <w:rFonts w:eastAsia="Times New Roman"/>
                <w:sz w:val="24"/>
                <w:szCs w:val="24"/>
              </w:rPr>
            </w:pPr>
            <w:r w:rsidRPr="00067F99">
              <w:rPr>
                <w:rFonts w:eastAsia="Times New Roman"/>
                <w:sz w:val="24"/>
                <w:szCs w:val="24"/>
              </w:rPr>
              <w:t>% increase in properly disposed waste</w:t>
            </w:r>
          </w:p>
          <w:p w14:paraId="26ED4A67" w14:textId="77777777" w:rsidR="007123E7" w:rsidRPr="00067F99" w:rsidRDefault="007123E7" w:rsidP="00E27C70">
            <w:pPr>
              <w:rPr>
                <w:rFonts w:eastAsia="Times New Roman"/>
                <w:sz w:val="24"/>
                <w:szCs w:val="24"/>
              </w:rPr>
            </w:pPr>
          </w:p>
        </w:tc>
      </w:tr>
      <w:tr w:rsidR="007123E7" w:rsidRPr="00067F99" w14:paraId="104EC6EE" w14:textId="77777777" w:rsidTr="00E27C70">
        <w:tc>
          <w:tcPr>
            <w:tcW w:w="0" w:type="auto"/>
            <w:hideMark/>
          </w:tcPr>
          <w:p w14:paraId="1AE84E63" w14:textId="77777777" w:rsidR="007123E7" w:rsidRPr="00067F99" w:rsidRDefault="007123E7" w:rsidP="00E27C70">
            <w:pPr>
              <w:rPr>
                <w:rFonts w:eastAsia="Times New Roman"/>
                <w:sz w:val="24"/>
                <w:szCs w:val="24"/>
              </w:rPr>
            </w:pPr>
            <w:r w:rsidRPr="00067F99">
              <w:rPr>
                <w:rFonts w:eastAsia="Times New Roman"/>
                <w:sz w:val="24"/>
                <w:szCs w:val="24"/>
              </w:rPr>
              <w:t>Plastic Leakage Prevention</w:t>
            </w:r>
          </w:p>
        </w:tc>
        <w:tc>
          <w:tcPr>
            <w:tcW w:w="0" w:type="auto"/>
            <w:hideMark/>
          </w:tcPr>
          <w:p w14:paraId="5D13ED87" w14:textId="77777777" w:rsidR="007123E7" w:rsidRPr="00067F99" w:rsidRDefault="007123E7" w:rsidP="00E27C70">
            <w:pPr>
              <w:rPr>
                <w:rFonts w:eastAsia="Times New Roman"/>
                <w:sz w:val="24"/>
                <w:szCs w:val="24"/>
              </w:rPr>
            </w:pPr>
            <w:r w:rsidRPr="00067F99">
              <w:rPr>
                <w:rFonts w:eastAsia="Times New Roman"/>
                <w:sz w:val="24"/>
                <w:szCs w:val="24"/>
              </w:rPr>
              <w:t>Implement Extended Producer Responsibility (EPR) for packaging and scale coastal cleanup programs</w:t>
            </w:r>
          </w:p>
        </w:tc>
        <w:tc>
          <w:tcPr>
            <w:tcW w:w="0" w:type="auto"/>
            <w:hideMark/>
          </w:tcPr>
          <w:p w14:paraId="608C2B68" w14:textId="77777777" w:rsidR="007123E7" w:rsidRPr="00067F99" w:rsidRDefault="007123E7" w:rsidP="00E27C70">
            <w:pPr>
              <w:rPr>
                <w:rFonts w:eastAsia="Times New Roman"/>
                <w:sz w:val="24"/>
                <w:szCs w:val="24"/>
              </w:rPr>
            </w:pPr>
            <w:r w:rsidRPr="00067F99">
              <w:rPr>
                <w:rFonts w:eastAsia="Times New Roman"/>
                <w:sz w:val="24"/>
                <w:szCs w:val="24"/>
              </w:rPr>
              <w:t>Reduction in plastic items per km of shoreline</w:t>
            </w:r>
          </w:p>
          <w:p w14:paraId="7C6A2D0A" w14:textId="77777777" w:rsidR="007123E7" w:rsidRPr="00067F99" w:rsidRDefault="007123E7" w:rsidP="00E27C70">
            <w:pPr>
              <w:rPr>
                <w:rFonts w:eastAsia="Times New Roman"/>
                <w:sz w:val="24"/>
                <w:szCs w:val="24"/>
              </w:rPr>
            </w:pPr>
          </w:p>
        </w:tc>
      </w:tr>
      <w:tr w:rsidR="007123E7" w:rsidRPr="00067F99" w14:paraId="7D93647B" w14:textId="77777777" w:rsidTr="00E27C70">
        <w:tc>
          <w:tcPr>
            <w:tcW w:w="0" w:type="auto"/>
            <w:hideMark/>
          </w:tcPr>
          <w:p w14:paraId="39325A53" w14:textId="77777777" w:rsidR="007123E7" w:rsidRPr="00067F99" w:rsidRDefault="007123E7" w:rsidP="00E27C70">
            <w:pPr>
              <w:rPr>
                <w:rFonts w:eastAsia="Times New Roman"/>
                <w:sz w:val="24"/>
                <w:szCs w:val="24"/>
              </w:rPr>
            </w:pPr>
            <w:r w:rsidRPr="00067F99">
              <w:rPr>
                <w:rFonts w:eastAsia="Times New Roman"/>
                <w:sz w:val="24"/>
                <w:szCs w:val="24"/>
              </w:rPr>
              <w:t>Informal Sector Integration</w:t>
            </w:r>
          </w:p>
        </w:tc>
        <w:tc>
          <w:tcPr>
            <w:tcW w:w="0" w:type="auto"/>
            <w:hideMark/>
          </w:tcPr>
          <w:p w14:paraId="5BBFEF07" w14:textId="77777777" w:rsidR="007123E7" w:rsidRPr="00067F99" w:rsidRDefault="007123E7" w:rsidP="00E27C70">
            <w:pPr>
              <w:rPr>
                <w:rFonts w:eastAsia="Times New Roman"/>
                <w:sz w:val="24"/>
                <w:szCs w:val="24"/>
              </w:rPr>
            </w:pPr>
            <w:r w:rsidRPr="00067F99">
              <w:rPr>
                <w:rFonts w:eastAsia="Times New Roman"/>
                <w:sz w:val="24"/>
                <w:szCs w:val="24"/>
              </w:rPr>
              <w:t>Formalize and support informal recyclers through training, equipment, and incentives</w:t>
            </w:r>
          </w:p>
        </w:tc>
        <w:tc>
          <w:tcPr>
            <w:tcW w:w="0" w:type="auto"/>
            <w:hideMark/>
          </w:tcPr>
          <w:p w14:paraId="6D41C751" w14:textId="77777777" w:rsidR="007123E7" w:rsidRPr="00067F99" w:rsidRDefault="007123E7" w:rsidP="00E27C70">
            <w:pPr>
              <w:rPr>
                <w:rFonts w:eastAsia="Times New Roman"/>
                <w:sz w:val="24"/>
                <w:szCs w:val="24"/>
              </w:rPr>
            </w:pPr>
            <w:r w:rsidRPr="00067F99">
              <w:rPr>
                <w:rFonts w:eastAsia="Times New Roman"/>
                <w:sz w:val="24"/>
                <w:szCs w:val="24"/>
              </w:rPr>
              <w:t>Number of registered informal workers; volume recovered</w:t>
            </w:r>
          </w:p>
          <w:p w14:paraId="0F885E39" w14:textId="77777777" w:rsidR="007123E7" w:rsidRPr="00067F99" w:rsidRDefault="007123E7" w:rsidP="00E27C70">
            <w:pPr>
              <w:rPr>
                <w:rFonts w:eastAsia="Times New Roman"/>
                <w:sz w:val="24"/>
                <w:szCs w:val="24"/>
              </w:rPr>
            </w:pPr>
          </w:p>
        </w:tc>
      </w:tr>
      <w:tr w:rsidR="007123E7" w:rsidRPr="00067F99" w14:paraId="04ED4425" w14:textId="77777777" w:rsidTr="00E27C70">
        <w:tc>
          <w:tcPr>
            <w:tcW w:w="0" w:type="auto"/>
            <w:hideMark/>
          </w:tcPr>
          <w:p w14:paraId="1A82B03B" w14:textId="77777777" w:rsidR="007123E7" w:rsidRPr="00067F99" w:rsidRDefault="007123E7" w:rsidP="00E27C70">
            <w:pPr>
              <w:rPr>
                <w:rFonts w:eastAsia="Times New Roman"/>
                <w:sz w:val="24"/>
                <w:szCs w:val="24"/>
              </w:rPr>
            </w:pPr>
            <w:r w:rsidRPr="00067F99">
              <w:rPr>
                <w:rFonts w:eastAsia="Times New Roman"/>
                <w:sz w:val="24"/>
                <w:szCs w:val="24"/>
              </w:rPr>
              <w:t>Data &amp; Monitoring</w:t>
            </w:r>
          </w:p>
        </w:tc>
        <w:tc>
          <w:tcPr>
            <w:tcW w:w="0" w:type="auto"/>
            <w:hideMark/>
          </w:tcPr>
          <w:p w14:paraId="22AF9057" w14:textId="77777777" w:rsidR="007123E7" w:rsidRPr="00067F99" w:rsidRDefault="007123E7" w:rsidP="00E27C70">
            <w:pPr>
              <w:rPr>
                <w:rFonts w:eastAsia="Times New Roman"/>
                <w:sz w:val="24"/>
                <w:szCs w:val="24"/>
              </w:rPr>
            </w:pPr>
            <w:r w:rsidRPr="00067F99">
              <w:rPr>
                <w:rFonts w:eastAsia="Times New Roman"/>
                <w:sz w:val="24"/>
                <w:szCs w:val="24"/>
              </w:rPr>
              <w:t>Establish national waste flow tracking system with leakage modeling to marine environments</w:t>
            </w:r>
          </w:p>
        </w:tc>
        <w:tc>
          <w:tcPr>
            <w:tcW w:w="0" w:type="auto"/>
            <w:hideMark/>
          </w:tcPr>
          <w:p w14:paraId="44412954" w14:textId="77777777" w:rsidR="007123E7" w:rsidRPr="00067F99" w:rsidRDefault="007123E7" w:rsidP="00E27C70">
            <w:pPr>
              <w:rPr>
                <w:rFonts w:eastAsia="Times New Roman"/>
                <w:sz w:val="24"/>
                <w:szCs w:val="24"/>
              </w:rPr>
            </w:pPr>
            <w:r w:rsidRPr="00067F99">
              <w:rPr>
                <w:rFonts w:eastAsia="Times New Roman"/>
                <w:sz w:val="24"/>
                <w:szCs w:val="24"/>
              </w:rPr>
              <w:t>Annual leakage estimates published; hotspot maps updated</w:t>
            </w:r>
          </w:p>
          <w:p w14:paraId="12DB5F8C" w14:textId="77777777" w:rsidR="007123E7" w:rsidRPr="00067F99" w:rsidRDefault="007123E7" w:rsidP="00E27C70">
            <w:pPr>
              <w:rPr>
                <w:rFonts w:eastAsia="Times New Roman"/>
                <w:sz w:val="24"/>
                <w:szCs w:val="24"/>
              </w:rPr>
            </w:pPr>
          </w:p>
        </w:tc>
      </w:tr>
      <w:tr w:rsidR="007123E7" w:rsidRPr="00067F99" w14:paraId="7A465999" w14:textId="77777777" w:rsidTr="00E27C70">
        <w:tc>
          <w:tcPr>
            <w:tcW w:w="0" w:type="auto"/>
            <w:hideMark/>
          </w:tcPr>
          <w:p w14:paraId="1D5C0175" w14:textId="77777777" w:rsidR="007123E7" w:rsidRPr="00067F99" w:rsidRDefault="007123E7" w:rsidP="00E27C70">
            <w:pPr>
              <w:rPr>
                <w:rFonts w:eastAsia="Times New Roman"/>
                <w:sz w:val="24"/>
                <w:szCs w:val="24"/>
              </w:rPr>
            </w:pPr>
            <w:r w:rsidRPr="00067F99">
              <w:rPr>
                <w:rFonts w:eastAsia="Times New Roman"/>
                <w:sz w:val="24"/>
                <w:szCs w:val="24"/>
              </w:rPr>
              <w:t>Circular Economy</w:t>
            </w:r>
          </w:p>
        </w:tc>
        <w:tc>
          <w:tcPr>
            <w:tcW w:w="0" w:type="auto"/>
            <w:hideMark/>
          </w:tcPr>
          <w:p w14:paraId="6DB099F4" w14:textId="77777777" w:rsidR="007123E7" w:rsidRPr="00067F99" w:rsidRDefault="007123E7" w:rsidP="00E27C70">
            <w:pPr>
              <w:rPr>
                <w:rFonts w:eastAsia="Times New Roman"/>
                <w:sz w:val="24"/>
                <w:szCs w:val="24"/>
              </w:rPr>
            </w:pPr>
            <w:r w:rsidRPr="00067F99">
              <w:rPr>
                <w:rFonts w:eastAsia="Times New Roman"/>
                <w:sz w:val="24"/>
                <w:szCs w:val="24"/>
              </w:rPr>
              <w:t>Promote reuse, recycling, and biodegradable alternatives through public campaigns and incentives</w:t>
            </w:r>
          </w:p>
        </w:tc>
        <w:tc>
          <w:tcPr>
            <w:tcW w:w="0" w:type="auto"/>
            <w:hideMark/>
          </w:tcPr>
          <w:p w14:paraId="2B0F052D" w14:textId="77777777" w:rsidR="007123E7" w:rsidRPr="00067F99" w:rsidRDefault="007123E7" w:rsidP="00E27C70">
            <w:pPr>
              <w:rPr>
                <w:rFonts w:eastAsia="Times New Roman"/>
                <w:sz w:val="24"/>
                <w:szCs w:val="24"/>
              </w:rPr>
            </w:pPr>
            <w:r w:rsidRPr="00067F99">
              <w:rPr>
                <w:rFonts w:eastAsia="Times New Roman"/>
                <w:sz w:val="24"/>
                <w:szCs w:val="24"/>
              </w:rPr>
              <w:t>% of MSW diverted from disposal; % of plastic recycled</w:t>
            </w:r>
          </w:p>
        </w:tc>
      </w:tr>
    </w:tbl>
    <w:p w14:paraId="77E84302" w14:textId="77777777" w:rsidR="007123E7" w:rsidRPr="00067F99" w:rsidRDefault="007123E7" w:rsidP="007123E7">
      <w:pPr>
        <w:tabs>
          <w:tab w:val="left" w:pos="450"/>
        </w:tabs>
        <w:jc w:val="thaiDistribute"/>
        <w:rPr>
          <w:sz w:val="24"/>
          <w:szCs w:val="24"/>
        </w:rPr>
      </w:pPr>
    </w:p>
    <w:p w14:paraId="245F8A4E" w14:textId="77777777" w:rsidR="007123E7" w:rsidRPr="00067F99" w:rsidRDefault="007123E7" w:rsidP="007123E7">
      <w:pPr>
        <w:spacing w:before="100" w:beforeAutospacing="1" w:after="100" w:afterAutospacing="1"/>
        <w:outlineLvl w:val="2"/>
        <w:rPr>
          <w:rFonts w:eastAsia="Times New Roman"/>
          <w:b/>
          <w:bCs/>
          <w:sz w:val="24"/>
          <w:szCs w:val="24"/>
        </w:rPr>
      </w:pPr>
      <w:r w:rsidRPr="00067F99">
        <w:rPr>
          <w:rFonts w:eastAsia="Times New Roman"/>
          <w:b/>
          <w:bCs/>
          <w:sz w:val="24"/>
          <w:szCs w:val="24"/>
        </w:rPr>
        <w:t>5) Hazardous Waste</w:t>
      </w:r>
    </w:p>
    <w:p w14:paraId="00499F71" w14:textId="77777777" w:rsidR="007123E7" w:rsidRPr="00067F99" w:rsidRDefault="007123E7" w:rsidP="007123E7">
      <w:pPr>
        <w:spacing w:before="100" w:beforeAutospacing="1" w:after="100" w:afterAutospacing="1"/>
        <w:rPr>
          <w:rFonts w:eastAsia="Times New Roman"/>
          <w:sz w:val="24"/>
          <w:szCs w:val="24"/>
        </w:rPr>
      </w:pPr>
      <w:r w:rsidRPr="00067F99">
        <w:rPr>
          <w:rFonts w:eastAsia="Times New Roman"/>
          <w:sz w:val="24"/>
          <w:szCs w:val="24"/>
        </w:rPr>
        <w:t>Hazardous waste in Thailand is primarily generated by petrochemical, electronics, automotive, and manufacturing industries. Key waste streams include:</w:t>
      </w:r>
    </w:p>
    <w:p w14:paraId="23766202" w14:textId="77777777" w:rsidR="007123E7" w:rsidRPr="00067F99" w:rsidRDefault="007123E7" w:rsidP="007123E7">
      <w:pPr>
        <w:widowControl/>
        <w:numPr>
          <w:ilvl w:val="0"/>
          <w:numId w:val="146"/>
        </w:numPr>
        <w:spacing w:before="100" w:beforeAutospacing="1" w:after="100" w:afterAutospacing="1"/>
        <w:rPr>
          <w:rFonts w:eastAsia="Times New Roman"/>
          <w:sz w:val="24"/>
          <w:szCs w:val="24"/>
        </w:rPr>
      </w:pPr>
      <w:r w:rsidRPr="00067F99">
        <w:rPr>
          <w:rFonts w:eastAsia="Times New Roman"/>
          <w:sz w:val="24"/>
          <w:szCs w:val="24"/>
        </w:rPr>
        <w:t>Heavy metals (e.g., lead, mercury, cadmium, chromium)</w:t>
      </w:r>
    </w:p>
    <w:p w14:paraId="0F9AA3CC" w14:textId="77777777" w:rsidR="007123E7" w:rsidRPr="00067F99" w:rsidRDefault="007123E7" w:rsidP="007123E7">
      <w:pPr>
        <w:widowControl/>
        <w:numPr>
          <w:ilvl w:val="0"/>
          <w:numId w:val="146"/>
        </w:numPr>
        <w:spacing w:before="100" w:beforeAutospacing="1" w:after="100" w:afterAutospacing="1"/>
        <w:rPr>
          <w:rFonts w:eastAsia="Times New Roman"/>
          <w:sz w:val="24"/>
          <w:szCs w:val="24"/>
        </w:rPr>
      </w:pPr>
      <w:r w:rsidRPr="00067F99">
        <w:rPr>
          <w:rFonts w:eastAsia="Times New Roman"/>
          <w:sz w:val="24"/>
          <w:szCs w:val="24"/>
        </w:rPr>
        <w:t>Persistent organic pollutants (POPs)</w:t>
      </w:r>
    </w:p>
    <w:p w14:paraId="3A8A8C65" w14:textId="77777777" w:rsidR="007123E7" w:rsidRPr="00067F99" w:rsidRDefault="007123E7" w:rsidP="007123E7">
      <w:pPr>
        <w:widowControl/>
        <w:numPr>
          <w:ilvl w:val="0"/>
          <w:numId w:val="146"/>
        </w:numPr>
        <w:spacing w:before="100" w:beforeAutospacing="1" w:after="100" w:afterAutospacing="1"/>
        <w:rPr>
          <w:rFonts w:eastAsia="Times New Roman"/>
          <w:sz w:val="24"/>
          <w:szCs w:val="24"/>
        </w:rPr>
      </w:pPr>
      <w:r w:rsidRPr="00067F99">
        <w:rPr>
          <w:rFonts w:eastAsia="Times New Roman"/>
          <w:sz w:val="24"/>
          <w:szCs w:val="24"/>
        </w:rPr>
        <w:t>Industrial solvents and by-products</w:t>
      </w:r>
    </w:p>
    <w:p w14:paraId="7038DCE0" w14:textId="77777777" w:rsidR="007123E7" w:rsidRPr="00067F99" w:rsidRDefault="007123E7" w:rsidP="007123E7">
      <w:pPr>
        <w:widowControl/>
        <w:numPr>
          <w:ilvl w:val="0"/>
          <w:numId w:val="146"/>
        </w:numPr>
        <w:spacing w:before="100" w:beforeAutospacing="1" w:after="100" w:afterAutospacing="1"/>
        <w:rPr>
          <w:rFonts w:eastAsia="Times New Roman"/>
          <w:sz w:val="24"/>
          <w:szCs w:val="24"/>
        </w:rPr>
      </w:pPr>
      <w:r w:rsidRPr="00067F99">
        <w:rPr>
          <w:rFonts w:eastAsia="Times New Roman"/>
          <w:sz w:val="24"/>
          <w:szCs w:val="24"/>
        </w:rPr>
        <w:t>Medical and pharmaceutical waste</w:t>
      </w:r>
    </w:p>
    <w:p w14:paraId="507E6394" w14:textId="77777777" w:rsidR="007123E7" w:rsidRPr="00067F99" w:rsidRDefault="007123E7" w:rsidP="007123E7">
      <w:pPr>
        <w:spacing w:before="100" w:beforeAutospacing="1" w:after="100" w:afterAutospacing="1"/>
        <w:rPr>
          <w:rFonts w:eastAsia="Times New Roman"/>
          <w:sz w:val="24"/>
          <w:szCs w:val="24"/>
          <w:cs/>
        </w:rPr>
      </w:pPr>
      <w:r w:rsidRPr="00067F99">
        <w:rPr>
          <w:rFonts w:eastAsia="Times New Roman"/>
          <w:sz w:val="24"/>
          <w:szCs w:val="24"/>
        </w:rPr>
        <w:t>While large-scale industries often have in-house treatment or licensed disposal arrangements, small and medium-sized enterprises (SMEs) frequently lack the capacity or resources to manage hazardous waste safely.</w:t>
      </w:r>
    </w:p>
    <w:p w14:paraId="1BBEF551" w14:textId="77777777" w:rsidR="007123E7" w:rsidRPr="00067F99" w:rsidRDefault="007123E7" w:rsidP="007123E7">
      <w:pPr>
        <w:pStyle w:val="ListParagraph"/>
        <w:widowControl/>
        <w:numPr>
          <w:ilvl w:val="0"/>
          <w:numId w:val="42"/>
        </w:numPr>
        <w:spacing w:before="100" w:beforeAutospacing="1" w:after="100" w:afterAutospacing="1"/>
        <w:jc w:val="thaiDistribute"/>
        <w:rPr>
          <w:rFonts w:eastAsia="Times New Roman" w:cs="Arial"/>
          <w:sz w:val="24"/>
          <w:szCs w:val="24"/>
        </w:rPr>
      </w:pPr>
      <w:r w:rsidRPr="00067F99">
        <w:rPr>
          <w:rFonts w:eastAsia="Times New Roman" w:cs="Arial"/>
          <w:sz w:val="24"/>
          <w:szCs w:val="24"/>
        </w:rPr>
        <w:t>Industrial hazardous waste: 1.63 million tons of hazardous industrial waste out of 16.8 million tons total industrial waste generated annually (2024 data), with processing capacity of 37.6 million tonnes per year available (PCD, 2024).</w:t>
      </w:r>
    </w:p>
    <w:p w14:paraId="07D5E205" w14:textId="77777777" w:rsidR="007123E7" w:rsidRPr="00067F99" w:rsidRDefault="007123E7" w:rsidP="007123E7">
      <w:pPr>
        <w:pStyle w:val="ListParagraph"/>
        <w:widowControl/>
        <w:numPr>
          <w:ilvl w:val="0"/>
          <w:numId w:val="42"/>
        </w:numPr>
        <w:spacing w:before="100" w:beforeAutospacing="1" w:after="100" w:afterAutospacing="1"/>
        <w:jc w:val="thaiDistribute"/>
        <w:rPr>
          <w:rFonts w:eastAsia="Times New Roman" w:cs="Arial"/>
          <w:sz w:val="24"/>
          <w:szCs w:val="24"/>
        </w:rPr>
      </w:pPr>
      <w:r w:rsidRPr="00067F99">
        <w:rPr>
          <w:rFonts w:eastAsia="Times New Roman" w:cs="Arial"/>
          <w:sz w:val="24"/>
          <w:szCs w:val="24"/>
        </w:rPr>
        <w:t>Medical and infectious waste: Thailand maintains 188,321 tons per year disposal capacity through 19 agencies (18 incineration plants with 186,479 tons/year capacity and 1 steam sterilizer with 1,752 tons/year capacity); normal generation rate averages 0.41 kg per hospital bed per day (Ministry of Public Health, 2022).</w:t>
      </w:r>
    </w:p>
    <w:p w14:paraId="334C9922" w14:textId="77777777" w:rsidR="007123E7" w:rsidRPr="00067F99" w:rsidRDefault="007123E7" w:rsidP="007123E7">
      <w:pPr>
        <w:pStyle w:val="ListParagraph"/>
        <w:widowControl/>
        <w:numPr>
          <w:ilvl w:val="0"/>
          <w:numId w:val="42"/>
        </w:numPr>
        <w:spacing w:before="100" w:beforeAutospacing="1" w:after="100" w:afterAutospacing="1"/>
        <w:jc w:val="thaiDistribute"/>
        <w:rPr>
          <w:rFonts w:eastAsia="Times New Roman" w:cs="Arial"/>
          <w:sz w:val="24"/>
          <w:szCs w:val="24"/>
        </w:rPr>
      </w:pPr>
      <w:r w:rsidRPr="00067F99">
        <w:rPr>
          <w:rFonts w:eastAsia="Times New Roman" w:cs="Arial"/>
          <w:sz w:val="24"/>
          <w:szCs w:val="24"/>
        </w:rPr>
        <w:t xml:space="preserve">Electronic waste (e-waste): 439,000 tonnes generated annually (2024), ranking Thailand third in ASEAN after Indonesia (1.89 million tonnes) and Philippines (537,000 tonnes); domestic generation estimated at 418,113 tons per year (2020 data) with only 22% properly treated (Global E-Waste Monitor, 2025; </w:t>
      </w:r>
      <w:bookmarkStart w:id="21" w:name="_Hlk211815951"/>
      <w:r w:rsidRPr="00067F99">
        <w:rPr>
          <w:rFonts w:eastAsia="Times New Roman" w:cs="Arial"/>
          <w:sz w:val="24"/>
          <w:szCs w:val="24"/>
        </w:rPr>
        <w:t>Ministry of Industry, Thailand</w:t>
      </w:r>
      <w:bookmarkEnd w:id="21"/>
      <w:r w:rsidRPr="00067F99">
        <w:rPr>
          <w:rFonts w:eastAsia="Times New Roman" w:cs="Arial"/>
          <w:sz w:val="24"/>
          <w:szCs w:val="24"/>
        </w:rPr>
        <w:t>, 2025).</w:t>
      </w:r>
    </w:p>
    <w:p w14:paraId="1C9B737D" w14:textId="77777777" w:rsidR="007123E7" w:rsidRPr="00067F99" w:rsidRDefault="007123E7" w:rsidP="007123E7">
      <w:pPr>
        <w:pStyle w:val="ListParagraph"/>
        <w:widowControl/>
        <w:numPr>
          <w:ilvl w:val="0"/>
          <w:numId w:val="42"/>
        </w:numPr>
        <w:spacing w:before="100" w:beforeAutospacing="1" w:after="100" w:afterAutospacing="1"/>
        <w:jc w:val="thaiDistribute"/>
        <w:rPr>
          <w:rFonts w:eastAsia="Times New Roman" w:cs="Arial"/>
          <w:sz w:val="24"/>
          <w:szCs w:val="24"/>
        </w:rPr>
      </w:pPr>
      <w:r w:rsidRPr="00067F99">
        <w:rPr>
          <w:rFonts w:eastAsia="Times New Roman" w:cs="Arial"/>
          <w:sz w:val="24"/>
          <w:szCs w:val="24"/>
        </w:rPr>
        <w:t xml:space="preserve">Household hazardous waste: 685,999 tons, representing a 0.8% increase from 2023 (680,386 tons), composition of WEEE (waste from electrical and electric equipment) 445,899 tons (65%), and other hazardous household waste (light </w:t>
      </w:r>
      <w:r w:rsidRPr="00067F99">
        <w:rPr>
          <w:rFonts w:eastAsia="Times New Roman" w:cs="Arial"/>
          <w:sz w:val="24"/>
          <w:szCs w:val="24"/>
        </w:rPr>
        <w:lastRenderedPageBreak/>
        <w:t xml:space="preserve">bulbs, batteries, chemical containers, spray cans) 240,100 tons (35%) (PCD, 2024; Jawjit, et.al, 2024). </w:t>
      </w:r>
    </w:p>
    <w:p w14:paraId="12AA367D" w14:textId="77777777" w:rsidR="007123E7" w:rsidRPr="00067F99" w:rsidRDefault="007123E7" w:rsidP="007123E7">
      <w:pPr>
        <w:pStyle w:val="ListParagraph"/>
        <w:widowControl/>
        <w:numPr>
          <w:ilvl w:val="0"/>
          <w:numId w:val="42"/>
        </w:numPr>
        <w:spacing w:before="100" w:beforeAutospacing="1" w:after="100" w:afterAutospacing="1"/>
        <w:jc w:val="thaiDistribute"/>
        <w:rPr>
          <w:rFonts w:eastAsia="Times New Roman" w:cs="Arial"/>
          <w:sz w:val="24"/>
          <w:szCs w:val="24"/>
        </w:rPr>
      </w:pPr>
      <w:r w:rsidRPr="00067F99">
        <w:rPr>
          <w:rFonts w:eastAsia="Times New Roman" w:cs="Arial"/>
          <w:sz w:val="24"/>
          <w:szCs w:val="24"/>
        </w:rPr>
        <w:t>Agricultural hazardous waste: Over 516,000 tons of pesticides used by February 2021, generating significant volumes of contaminated containers and expired chemicals requiring specialized management (Thailand Agricultural Sector Report, 2025).</w:t>
      </w:r>
    </w:p>
    <w:p w14:paraId="26F9161B" w14:textId="77777777" w:rsidR="007123E7" w:rsidRPr="00067F99" w:rsidRDefault="007123E7" w:rsidP="007123E7">
      <w:pPr>
        <w:spacing w:before="100" w:beforeAutospacing="1" w:after="100" w:afterAutospacing="1"/>
        <w:outlineLvl w:val="3"/>
        <w:rPr>
          <w:rFonts w:eastAsia="Times New Roman"/>
          <w:b/>
          <w:bCs/>
          <w:sz w:val="24"/>
          <w:szCs w:val="24"/>
        </w:rPr>
      </w:pPr>
      <w:r w:rsidRPr="00067F99">
        <w:rPr>
          <w:rFonts w:eastAsia="Times New Roman"/>
          <w:b/>
          <w:bCs/>
          <w:sz w:val="24"/>
          <w:szCs w:val="24"/>
        </w:rPr>
        <w:t>Management Challenges</w:t>
      </w:r>
    </w:p>
    <w:p w14:paraId="3CD1C23B" w14:textId="77777777" w:rsidR="007123E7" w:rsidRPr="00067F99" w:rsidRDefault="007123E7" w:rsidP="007123E7">
      <w:pPr>
        <w:widowControl/>
        <w:numPr>
          <w:ilvl w:val="0"/>
          <w:numId w:val="147"/>
        </w:numPr>
        <w:spacing w:before="100" w:beforeAutospacing="1" w:after="100" w:afterAutospacing="1"/>
        <w:rPr>
          <w:rFonts w:eastAsia="Times New Roman"/>
          <w:sz w:val="24"/>
          <w:szCs w:val="24"/>
        </w:rPr>
      </w:pPr>
      <w:r w:rsidRPr="00067F99">
        <w:rPr>
          <w:rFonts w:eastAsia="Times New Roman"/>
          <w:b/>
          <w:bCs/>
          <w:sz w:val="24"/>
          <w:szCs w:val="24"/>
        </w:rPr>
        <w:t>Inadequate tracking</w:t>
      </w:r>
      <w:r w:rsidRPr="00067F99">
        <w:rPr>
          <w:rFonts w:eastAsia="Times New Roman"/>
          <w:sz w:val="24"/>
          <w:szCs w:val="24"/>
        </w:rPr>
        <w:t>: Gaps in cradle-to-grave tracking systems hinder accountability and risk assessment.</w:t>
      </w:r>
    </w:p>
    <w:p w14:paraId="561522A8" w14:textId="77777777" w:rsidR="007123E7" w:rsidRPr="00067F99" w:rsidRDefault="007123E7" w:rsidP="007123E7">
      <w:pPr>
        <w:widowControl/>
        <w:numPr>
          <w:ilvl w:val="0"/>
          <w:numId w:val="147"/>
        </w:numPr>
        <w:spacing w:before="100" w:beforeAutospacing="1" w:after="100" w:afterAutospacing="1"/>
        <w:rPr>
          <w:rFonts w:eastAsia="Times New Roman"/>
          <w:sz w:val="24"/>
          <w:szCs w:val="24"/>
        </w:rPr>
      </w:pPr>
      <w:r w:rsidRPr="00067F99">
        <w:rPr>
          <w:rFonts w:eastAsia="Times New Roman"/>
          <w:b/>
          <w:bCs/>
          <w:sz w:val="24"/>
          <w:szCs w:val="24"/>
        </w:rPr>
        <w:t>Illegal dumping</w:t>
      </w:r>
      <w:r w:rsidRPr="00067F99">
        <w:rPr>
          <w:rFonts w:eastAsia="Times New Roman"/>
          <w:sz w:val="24"/>
          <w:szCs w:val="24"/>
        </w:rPr>
        <w:t>: Improper disposal in unauthorized sites, particularly in peri-urban and rural areas, remains a concern.</w:t>
      </w:r>
    </w:p>
    <w:p w14:paraId="03DF5CFA" w14:textId="77777777" w:rsidR="007123E7" w:rsidRPr="00067F99" w:rsidRDefault="007123E7" w:rsidP="007123E7">
      <w:pPr>
        <w:widowControl/>
        <w:numPr>
          <w:ilvl w:val="0"/>
          <w:numId w:val="147"/>
        </w:numPr>
        <w:spacing w:before="100" w:beforeAutospacing="1" w:after="100" w:afterAutospacing="1"/>
        <w:rPr>
          <w:rFonts w:eastAsia="Times New Roman"/>
          <w:sz w:val="24"/>
          <w:szCs w:val="24"/>
        </w:rPr>
      </w:pPr>
      <w:r w:rsidRPr="00067F99">
        <w:rPr>
          <w:rFonts w:eastAsia="Times New Roman"/>
          <w:b/>
          <w:bCs/>
          <w:sz w:val="24"/>
          <w:szCs w:val="24"/>
        </w:rPr>
        <w:t>Limited treatment capacity</w:t>
      </w:r>
      <w:r w:rsidRPr="00067F99">
        <w:rPr>
          <w:rFonts w:eastAsia="Times New Roman"/>
          <w:sz w:val="24"/>
          <w:szCs w:val="24"/>
        </w:rPr>
        <w:t>: Existing hazardous waste treatment facilities are concentrated in a few regions, limiting access for remote provinces.</w:t>
      </w:r>
    </w:p>
    <w:p w14:paraId="2AFEA369" w14:textId="77777777" w:rsidR="007123E7" w:rsidRPr="00067F99" w:rsidRDefault="007123E7" w:rsidP="007123E7">
      <w:pPr>
        <w:widowControl/>
        <w:numPr>
          <w:ilvl w:val="0"/>
          <w:numId w:val="147"/>
        </w:numPr>
        <w:spacing w:before="100" w:beforeAutospacing="1" w:after="100" w:afterAutospacing="1"/>
        <w:rPr>
          <w:rFonts w:eastAsia="Times New Roman"/>
          <w:sz w:val="24"/>
          <w:szCs w:val="24"/>
        </w:rPr>
      </w:pPr>
      <w:r w:rsidRPr="00067F99">
        <w:rPr>
          <w:rFonts w:eastAsia="Times New Roman"/>
          <w:b/>
          <w:bCs/>
          <w:sz w:val="24"/>
          <w:szCs w:val="24"/>
        </w:rPr>
        <w:t>Weak enforcement</w:t>
      </w:r>
      <w:r w:rsidRPr="00067F99">
        <w:rPr>
          <w:rFonts w:eastAsia="Times New Roman"/>
          <w:sz w:val="24"/>
          <w:szCs w:val="24"/>
        </w:rPr>
        <w:t>: Inspections and penalties for non-compliance are inconsistent, especially for SMEs.</w:t>
      </w:r>
    </w:p>
    <w:p w14:paraId="05CFBCA7" w14:textId="77777777" w:rsidR="007123E7" w:rsidRPr="00067F99" w:rsidRDefault="007123E7" w:rsidP="007123E7">
      <w:pPr>
        <w:spacing w:before="100" w:beforeAutospacing="1" w:after="100" w:afterAutospacing="1"/>
        <w:outlineLvl w:val="2"/>
        <w:rPr>
          <w:rFonts w:eastAsia="Times New Roman"/>
          <w:b/>
          <w:bCs/>
          <w:sz w:val="24"/>
          <w:szCs w:val="24"/>
          <w:cs/>
        </w:rPr>
      </w:pPr>
      <w:r w:rsidRPr="00067F99">
        <w:rPr>
          <w:rFonts w:eastAsia="Times New Roman"/>
          <w:b/>
          <w:bCs/>
          <w:sz w:val="24"/>
          <w:szCs w:val="24"/>
        </w:rPr>
        <w:t>6) Aquaculture Pollution</w:t>
      </w:r>
    </w:p>
    <w:p w14:paraId="0D850D6A" w14:textId="77777777" w:rsidR="007123E7" w:rsidRPr="00067F99" w:rsidRDefault="007123E7" w:rsidP="007123E7">
      <w:pPr>
        <w:pStyle w:val="ListParagraph"/>
        <w:spacing w:before="100" w:beforeAutospacing="1" w:after="100" w:afterAutospacing="1"/>
        <w:ind w:left="0" w:firstLine="720"/>
        <w:jc w:val="thaiDistribute"/>
        <w:rPr>
          <w:rFonts w:eastAsia="Times New Roman" w:cs="Arial"/>
          <w:sz w:val="24"/>
          <w:szCs w:val="24"/>
        </w:rPr>
      </w:pPr>
      <w:r w:rsidRPr="00067F99">
        <w:rPr>
          <w:rFonts w:eastAsia="Times New Roman" w:cs="Arial"/>
          <w:sz w:val="24"/>
          <w:szCs w:val="24"/>
        </w:rPr>
        <w:t xml:space="preserve">  </w:t>
      </w:r>
      <w:r w:rsidRPr="00067F99">
        <w:rPr>
          <w:rFonts w:eastAsia="Times New Roman" w:cs="Arial"/>
          <w:b/>
          <w:bCs/>
          <w:sz w:val="24"/>
          <w:szCs w:val="24"/>
        </w:rPr>
        <w:t>Coastal shrimp farming:</w:t>
      </w:r>
      <w:r w:rsidRPr="00067F99">
        <w:rPr>
          <w:rFonts w:eastAsia="Times New Roman" w:cs="Arial"/>
          <w:sz w:val="24"/>
          <w:szCs w:val="24"/>
        </w:rPr>
        <w:t xml:space="preserve"> The government has set a limit of 500,000 rai (approximately 80,000 hectares) for coastal shrimp farming, with an annual production cap of 200,000 tonnes. As of 2022, more than 26,000 marine shrimp farms were in operation, producing an estimated 270,000 tonnes in 2024 — about 90% of which originated from coastal culture systems (Department of Fisheries, 2025).</w:t>
      </w:r>
    </w:p>
    <w:p w14:paraId="44605E92" w14:textId="77777777" w:rsidR="007123E7" w:rsidRPr="00067F99" w:rsidRDefault="007123E7" w:rsidP="007123E7">
      <w:pPr>
        <w:pStyle w:val="ListParagraph"/>
        <w:spacing w:before="100" w:beforeAutospacing="1" w:after="100" w:afterAutospacing="1"/>
        <w:ind w:left="0" w:firstLine="720"/>
        <w:jc w:val="thaiDistribute"/>
        <w:rPr>
          <w:rFonts w:eastAsia="Times New Roman" w:cs="Arial"/>
          <w:sz w:val="24"/>
          <w:szCs w:val="24"/>
        </w:rPr>
      </w:pPr>
      <w:r w:rsidRPr="00067F99">
        <w:rPr>
          <w:rFonts w:eastAsia="Times New Roman" w:cs="Arial"/>
          <w:sz w:val="24"/>
          <w:szCs w:val="24"/>
        </w:rPr>
        <w:t xml:space="preserve">  </w:t>
      </w:r>
      <w:r w:rsidRPr="00067F99">
        <w:rPr>
          <w:rFonts w:eastAsia="Times New Roman" w:cs="Arial"/>
          <w:b/>
          <w:bCs/>
          <w:sz w:val="24"/>
          <w:szCs w:val="24"/>
        </w:rPr>
        <w:t>Organic loading from feed waste:</w:t>
      </w:r>
      <w:r w:rsidRPr="00067F99">
        <w:rPr>
          <w:rFonts w:eastAsia="Times New Roman" w:cs="Arial"/>
          <w:sz w:val="24"/>
          <w:szCs w:val="24"/>
        </w:rPr>
        <w:t xml:space="preserve"> Feed conversion ratios (FCR) in intensive shrimp farming systems typically range from 1.5 to 2.5:1. Only 20–30% of nitrogen and 10–15% of phosphorus in feed are assimilated into shrimp biomass, with the remainder released as waste. Phosphorus losses from aquaculture are estimated at 10,188 tonnes of P per year, accounting for 89% of total losses from the fisheries sector (Prathumchai et al., 2016).</w:t>
      </w:r>
    </w:p>
    <w:p w14:paraId="4018D052" w14:textId="77777777" w:rsidR="007123E7" w:rsidRPr="00067F99" w:rsidRDefault="007123E7" w:rsidP="007123E7">
      <w:pPr>
        <w:pStyle w:val="ListParagraph"/>
        <w:spacing w:before="100" w:beforeAutospacing="1" w:after="100" w:afterAutospacing="1"/>
        <w:ind w:left="0" w:firstLine="720"/>
        <w:jc w:val="thaiDistribute"/>
        <w:rPr>
          <w:rFonts w:eastAsia="Times New Roman" w:cs="Arial"/>
          <w:sz w:val="24"/>
          <w:szCs w:val="24"/>
        </w:rPr>
      </w:pPr>
      <w:r w:rsidRPr="00067F99">
        <w:rPr>
          <w:rFonts w:eastAsia="Times New Roman" w:cs="Arial"/>
          <w:sz w:val="24"/>
          <w:szCs w:val="24"/>
        </w:rPr>
        <w:t xml:space="preserve">  </w:t>
      </w:r>
      <w:r w:rsidRPr="00067F99">
        <w:rPr>
          <w:rFonts w:eastAsia="Times New Roman" w:cs="Arial"/>
          <w:b/>
          <w:bCs/>
          <w:sz w:val="24"/>
          <w:szCs w:val="24"/>
        </w:rPr>
        <w:t>Chemical use patterns:</w:t>
      </w:r>
      <w:r w:rsidRPr="00067F99">
        <w:rPr>
          <w:rFonts w:eastAsia="Times New Roman" w:cs="Arial"/>
          <w:sz w:val="24"/>
          <w:szCs w:val="24"/>
        </w:rPr>
        <w:t xml:space="preserve"> Antibiotic use in shrimp farming was estimated at 500–600 metric tonnes (based on 1994 levels). Antibiotics have been detected in aquaculture wastewater at concentrations ranging from 3.36 to 85,000 ng/L. Commonly used chemicals include oxytetracycline, chloramphenicol, furazolidone, and various disinfectants (Sharma et al., 2021; Dierberg, 1996).</w:t>
      </w:r>
    </w:p>
    <w:p w14:paraId="12FCA5FF" w14:textId="77777777" w:rsidR="007123E7" w:rsidRPr="00067F99" w:rsidRDefault="007123E7" w:rsidP="007123E7">
      <w:pPr>
        <w:pStyle w:val="ListParagraph"/>
        <w:spacing w:before="100" w:beforeAutospacing="1" w:after="100" w:afterAutospacing="1"/>
        <w:ind w:left="0" w:firstLine="720"/>
        <w:jc w:val="thaiDistribute"/>
        <w:rPr>
          <w:rFonts w:eastAsia="Times New Roman" w:cs="Arial"/>
          <w:sz w:val="24"/>
          <w:szCs w:val="24"/>
        </w:rPr>
      </w:pPr>
      <w:r w:rsidRPr="00067F99">
        <w:rPr>
          <w:rFonts w:eastAsia="Times New Roman" w:cs="Arial"/>
          <w:sz w:val="24"/>
          <w:szCs w:val="24"/>
        </w:rPr>
        <w:t xml:space="preserve">  </w:t>
      </w:r>
      <w:r w:rsidRPr="00067F99">
        <w:rPr>
          <w:rFonts w:eastAsia="Times New Roman" w:cs="Arial"/>
          <w:b/>
          <w:bCs/>
          <w:sz w:val="24"/>
          <w:szCs w:val="24"/>
        </w:rPr>
        <w:t>Pond discharge impacts:</w:t>
      </w:r>
      <w:r w:rsidRPr="00067F99">
        <w:rPr>
          <w:rFonts w:eastAsia="Times New Roman" w:cs="Arial"/>
          <w:sz w:val="24"/>
          <w:szCs w:val="24"/>
        </w:rPr>
        <w:t xml:space="preserve"> Pond effluents contribute to water quality degradation through elevated levels of suspended solids, oxygen-demanding organic matter, and nutrients. Cumulative impacts arise from routine water exchange during grow-out phases, pond drainage at harvest, and illegal sediment disposal. Brackish-water aquaculture has also led to salinization of freshwater resources, while antimicrobial resistance genes have been detected in coastal aquaculture areas.</w:t>
      </w:r>
    </w:p>
    <w:p w14:paraId="0178D0B4" w14:textId="77777777" w:rsidR="007123E7" w:rsidRPr="00067F99" w:rsidRDefault="007123E7" w:rsidP="007123E7">
      <w:pPr>
        <w:spacing w:before="100" w:beforeAutospacing="1" w:after="100" w:afterAutospacing="1"/>
        <w:outlineLvl w:val="2"/>
        <w:rPr>
          <w:rFonts w:eastAsia="Times New Roman"/>
          <w:b/>
          <w:bCs/>
          <w:sz w:val="24"/>
          <w:szCs w:val="24"/>
        </w:rPr>
      </w:pPr>
      <w:r w:rsidRPr="00067F99">
        <w:rPr>
          <w:rFonts w:eastAsia="Times New Roman"/>
          <w:b/>
          <w:bCs/>
          <w:sz w:val="24"/>
          <w:szCs w:val="24"/>
        </w:rPr>
        <w:t>7) Industrial Waste</w:t>
      </w:r>
    </w:p>
    <w:p w14:paraId="12EB2B30" w14:textId="77777777" w:rsidR="007123E7" w:rsidRPr="00067F99" w:rsidRDefault="007123E7" w:rsidP="007123E7">
      <w:pPr>
        <w:spacing w:before="100" w:beforeAutospacing="1" w:after="100" w:afterAutospacing="1"/>
        <w:rPr>
          <w:rFonts w:eastAsia="Times New Roman"/>
          <w:b/>
          <w:bCs/>
          <w:sz w:val="24"/>
          <w:szCs w:val="24"/>
        </w:rPr>
      </w:pPr>
      <w:r w:rsidRPr="00067F99">
        <w:rPr>
          <w:rFonts w:eastAsia="Times New Roman"/>
          <w:b/>
          <w:bCs/>
          <w:sz w:val="24"/>
          <w:szCs w:val="24"/>
        </w:rPr>
        <w:t>Composition and Quantities</w:t>
      </w:r>
    </w:p>
    <w:p w14:paraId="62E480D7" w14:textId="77777777" w:rsidR="007123E7" w:rsidRPr="00067F99" w:rsidRDefault="007123E7" w:rsidP="007123E7">
      <w:pPr>
        <w:spacing w:before="100" w:beforeAutospacing="1" w:after="100" w:afterAutospacing="1"/>
        <w:jc w:val="thaiDistribute"/>
        <w:rPr>
          <w:rFonts w:eastAsia="Times New Roman"/>
          <w:sz w:val="24"/>
          <w:szCs w:val="24"/>
        </w:rPr>
      </w:pPr>
      <w:r w:rsidRPr="00067F99">
        <w:rPr>
          <w:rFonts w:eastAsia="Times New Roman"/>
          <w:sz w:val="24"/>
          <w:szCs w:val="24"/>
        </w:rPr>
        <w:t xml:space="preserve">Industrial waste globally amounts to about 9.2 billion tonnes yearly, representing nearly half of worldwide waste, but only about 2% is recycled (Business Waste, 2025). Industrial waste composition varies substantially by sector, but key components </w:t>
      </w:r>
      <w:r w:rsidRPr="00067F99">
        <w:rPr>
          <w:rFonts w:eastAsia="Times New Roman"/>
          <w:sz w:val="24"/>
          <w:szCs w:val="24"/>
        </w:rPr>
        <w:lastRenderedPageBreak/>
        <w:t xml:space="preserve">include sludge, solvents, metals, plastics, paper, cardboard, and rubber. </w:t>
      </w:r>
    </w:p>
    <w:p w14:paraId="732FAA7B" w14:textId="77777777" w:rsidR="007123E7" w:rsidRPr="00067F99" w:rsidRDefault="007123E7" w:rsidP="007123E7">
      <w:pPr>
        <w:spacing w:before="100" w:beforeAutospacing="1" w:after="100" w:afterAutospacing="1"/>
        <w:jc w:val="thaiDistribute"/>
        <w:rPr>
          <w:rFonts w:eastAsia="Times New Roman"/>
          <w:b/>
          <w:bCs/>
          <w:sz w:val="24"/>
          <w:szCs w:val="24"/>
        </w:rPr>
      </w:pPr>
      <w:r w:rsidRPr="00067F99">
        <w:rPr>
          <w:rFonts w:eastAsia="Times New Roman"/>
          <w:b/>
          <w:bCs/>
          <w:sz w:val="24"/>
          <w:szCs w:val="24"/>
        </w:rPr>
        <w:t>Industrial Waste Management in Thailand</w:t>
      </w:r>
    </w:p>
    <w:p w14:paraId="06AC2846" w14:textId="77777777" w:rsidR="007123E7" w:rsidRPr="00067F99" w:rsidRDefault="007123E7" w:rsidP="007123E7">
      <w:pPr>
        <w:spacing w:before="100" w:beforeAutospacing="1" w:after="100" w:afterAutospacing="1"/>
        <w:jc w:val="thaiDistribute"/>
        <w:rPr>
          <w:rFonts w:eastAsia="Times New Roman"/>
          <w:sz w:val="24"/>
          <w:szCs w:val="24"/>
        </w:rPr>
      </w:pPr>
      <w:r w:rsidRPr="00067F99">
        <w:rPr>
          <w:rFonts w:eastAsia="Times New Roman"/>
          <w:sz w:val="24"/>
          <w:szCs w:val="24"/>
        </w:rPr>
        <w:t>Thailand requires factories to follow the Factory Act and Ministry of Industry notifications regulating industrial waste disposal, including registration and separate handling of hazardous and non-hazardous waste. Notably, many factories are located in industrial estates where further regulatory frameworks apply, such as detailed reporting and waste separation standards (Siam City Cement, 2021; Waste Management Thailand, 2025).</w:t>
      </w:r>
    </w:p>
    <w:p w14:paraId="1591B503" w14:textId="77777777" w:rsidR="007123E7" w:rsidRPr="00067F99" w:rsidRDefault="007123E7" w:rsidP="007123E7">
      <w:pPr>
        <w:spacing w:before="100" w:beforeAutospacing="1" w:after="100" w:afterAutospacing="1"/>
        <w:jc w:val="thaiDistribute"/>
        <w:rPr>
          <w:rFonts w:eastAsia="Times New Roman"/>
          <w:b/>
          <w:bCs/>
          <w:sz w:val="24"/>
          <w:szCs w:val="24"/>
        </w:rPr>
      </w:pPr>
      <w:r w:rsidRPr="00067F99">
        <w:rPr>
          <w:rFonts w:eastAsia="Times New Roman"/>
          <w:b/>
          <w:bCs/>
          <w:sz w:val="24"/>
          <w:szCs w:val="24"/>
        </w:rPr>
        <w:t>Hotspots and Regional Data</w:t>
      </w:r>
    </w:p>
    <w:p w14:paraId="11D9F4AE" w14:textId="77777777" w:rsidR="007123E7" w:rsidRPr="00067F99" w:rsidRDefault="007123E7" w:rsidP="007123E7">
      <w:pPr>
        <w:spacing w:before="100" w:beforeAutospacing="1" w:after="100" w:afterAutospacing="1"/>
        <w:jc w:val="thaiDistribute"/>
        <w:rPr>
          <w:rFonts w:eastAsia="Times New Roman"/>
          <w:sz w:val="24"/>
          <w:szCs w:val="24"/>
        </w:rPr>
      </w:pPr>
      <w:r w:rsidRPr="00067F99">
        <w:rPr>
          <w:rFonts w:eastAsia="Times New Roman"/>
          <w:sz w:val="24"/>
          <w:szCs w:val="24"/>
        </w:rPr>
        <w:t>Key industrial waste hotspots in Thailand include the provinces of Rayong, Chonburi, and Samut Prakan. For example, the AMATA industrial estates in Rayong and Chonburi generated approximately 6,781 tons of sludge in 2024, fully reused within the estates, showing progress in sustainable waste utilization (AMATA, 2025). Industrial wastes here mainly consist of sludge, metals, paint, plastic, rubber, and batteries.</w:t>
      </w:r>
    </w:p>
    <w:p w14:paraId="718C80B7" w14:textId="77777777" w:rsidR="007123E7" w:rsidRPr="00067F99" w:rsidRDefault="007123E7" w:rsidP="007123E7">
      <w:pPr>
        <w:spacing w:before="100" w:beforeAutospacing="1" w:after="100" w:afterAutospacing="1"/>
        <w:rPr>
          <w:rFonts w:eastAsia="Times New Roman"/>
          <w:b/>
          <w:bCs/>
          <w:sz w:val="24"/>
          <w:szCs w:val="24"/>
        </w:rPr>
      </w:pPr>
      <w:r w:rsidRPr="00067F99">
        <w:rPr>
          <w:rFonts w:eastAsia="Times New Roman"/>
          <w:b/>
          <w:bCs/>
          <w:sz w:val="24"/>
          <w:szCs w:val="24"/>
        </w:rPr>
        <w:t>Monitoring and Data Gaps</w:t>
      </w:r>
    </w:p>
    <w:p w14:paraId="3632CD97" w14:textId="77777777" w:rsidR="007123E7" w:rsidRPr="00067F99" w:rsidRDefault="007123E7" w:rsidP="007123E7">
      <w:pPr>
        <w:spacing w:before="100" w:beforeAutospacing="1" w:after="100" w:afterAutospacing="1"/>
        <w:rPr>
          <w:rFonts w:eastAsia="Times New Roman"/>
          <w:sz w:val="24"/>
          <w:szCs w:val="24"/>
          <w:cs/>
        </w:rPr>
      </w:pPr>
      <w:r w:rsidRPr="00067F99">
        <w:rPr>
          <w:rFonts w:eastAsia="Times New Roman"/>
          <w:sz w:val="24"/>
          <w:szCs w:val="24"/>
        </w:rPr>
        <w:t>Monitoring of industrial waste, especially long-term accumulation, remains incomplete. Advanced technologies like IoT sensors, AI, and big data are increasingly used for real-time waste production monitoring, improving accuracy and efficiency, but comprehensive national data is still lacking (SBN Software, 2025).</w:t>
      </w:r>
    </w:p>
    <w:p w14:paraId="5605DCEA" w14:textId="77777777" w:rsidR="007123E7" w:rsidRPr="00067F99" w:rsidRDefault="007123E7" w:rsidP="007123E7">
      <w:pPr>
        <w:spacing w:before="100" w:beforeAutospacing="1" w:after="100" w:afterAutospacing="1"/>
        <w:rPr>
          <w:rFonts w:eastAsia="Times New Roman"/>
          <w:sz w:val="24"/>
          <w:szCs w:val="24"/>
        </w:rPr>
      </w:pPr>
      <w:r w:rsidRPr="00067F99">
        <w:rPr>
          <w:rFonts w:eastAsia="Times New Roman"/>
          <w:sz w:val="24"/>
          <w:szCs w:val="24"/>
        </w:rPr>
        <w:t>Table 7: Summary Industrial Waste Aspect</w:t>
      </w:r>
    </w:p>
    <w:tbl>
      <w:tblPr>
        <w:tblStyle w:val="TableGrid"/>
        <w:tblW w:w="0" w:type="auto"/>
        <w:tblLook w:val="04A0" w:firstRow="1" w:lastRow="0" w:firstColumn="1" w:lastColumn="0" w:noHBand="0" w:noVBand="1"/>
      </w:tblPr>
      <w:tblGrid>
        <w:gridCol w:w="2261"/>
        <w:gridCol w:w="2247"/>
        <w:gridCol w:w="2240"/>
        <w:gridCol w:w="2262"/>
      </w:tblGrid>
      <w:tr w:rsidR="007123E7" w:rsidRPr="00067F99" w14:paraId="3B61D550" w14:textId="77777777" w:rsidTr="00E27C70">
        <w:tc>
          <w:tcPr>
            <w:tcW w:w="2337" w:type="dxa"/>
          </w:tcPr>
          <w:p w14:paraId="39F8ECA7" w14:textId="77777777" w:rsidR="007123E7" w:rsidRPr="00067F99" w:rsidRDefault="007123E7" w:rsidP="00E27C70">
            <w:pPr>
              <w:spacing w:before="100" w:beforeAutospacing="1" w:after="100" w:afterAutospacing="1"/>
              <w:jc w:val="center"/>
              <w:rPr>
                <w:rFonts w:eastAsia="Times New Roman"/>
                <w:b/>
                <w:bCs/>
                <w:sz w:val="24"/>
                <w:szCs w:val="24"/>
              </w:rPr>
            </w:pPr>
            <w:r w:rsidRPr="00067F99">
              <w:rPr>
                <w:rFonts w:eastAsia="Times New Roman"/>
                <w:b/>
                <w:bCs/>
                <w:sz w:val="24"/>
                <w:szCs w:val="24"/>
              </w:rPr>
              <w:t>Aspect</w:t>
            </w:r>
          </w:p>
        </w:tc>
        <w:tc>
          <w:tcPr>
            <w:tcW w:w="2337" w:type="dxa"/>
          </w:tcPr>
          <w:p w14:paraId="1D9B8EDF" w14:textId="77777777" w:rsidR="007123E7" w:rsidRPr="00067F99" w:rsidRDefault="007123E7" w:rsidP="00E27C70">
            <w:pPr>
              <w:spacing w:before="100" w:beforeAutospacing="1" w:after="100" w:afterAutospacing="1"/>
              <w:jc w:val="center"/>
              <w:rPr>
                <w:rFonts w:eastAsia="Times New Roman"/>
                <w:b/>
                <w:bCs/>
                <w:sz w:val="24"/>
                <w:szCs w:val="24"/>
              </w:rPr>
            </w:pPr>
            <w:r w:rsidRPr="00067F99">
              <w:rPr>
                <w:rFonts w:eastAsia="Times New Roman"/>
                <w:b/>
                <w:bCs/>
                <w:sz w:val="24"/>
                <w:szCs w:val="24"/>
              </w:rPr>
              <w:t>Details</w:t>
            </w:r>
          </w:p>
        </w:tc>
        <w:tc>
          <w:tcPr>
            <w:tcW w:w="2338" w:type="dxa"/>
          </w:tcPr>
          <w:p w14:paraId="73C4D06F" w14:textId="77777777" w:rsidR="007123E7" w:rsidRPr="00067F99" w:rsidRDefault="007123E7" w:rsidP="00E27C70">
            <w:pPr>
              <w:spacing w:before="100" w:beforeAutospacing="1" w:after="100" w:afterAutospacing="1"/>
              <w:jc w:val="center"/>
              <w:rPr>
                <w:rFonts w:eastAsia="Times New Roman"/>
                <w:b/>
                <w:bCs/>
                <w:sz w:val="24"/>
                <w:szCs w:val="24"/>
              </w:rPr>
            </w:pPr>
            <w:r w:rsidRPr="00067F99">
              <w:rPr>
                <w:rFonts w:eastAsia="Times New Roman"/>
                <w:b/>
                <w:bCs/>
                <w:sz w:val="24"/>
                <w:szCs w:val="24"/>
              </w:rPr>
              <w:t>Numbers</w:t>
            </w:r>
          </w:p>
        </w:tc>
        <w:tc>
          <w:tcPr>
            <w:tcW w:w="2338" w:type="dxa"/>
          </w:tcPr>
          <w:p w14:paraId="607D20D8" w14:textId="77777777" w:rsidR="007123E7" w:rsidRPr="00067F99" w:rsidRDefault="007123E7" w:rsidP="00E27C70">
            <w:pPr>
              <w:spacing w:before="100" w:beforeAutospacing="1" w:after="100" w:afterAutospacing="1"/>
              <w:jc w:val="center"/>
              <w:rPr>
                <w:rFonts w:eastAsia="Times New Roman"/>
                <w:b/>
                <w:bCs/>
                <w:sz w:val="24"/>
                <w:szCs w:val="24"/>
              </w:rPr>
            </w:pPr>
            <w:r w:rsidRPr="00067F99">
              <w:rPr>
                <w:rFonts w:eastAsia="Times New Roman"/>
                <w:b/>
                <w:bCs/>
                <w:sz w:val="24"/>
                <w:szCs w:val="24"/>
              </w:rPr>
              <w:t>References</w:t>
            </w:r>
          </w:p>
        </w:tc>
      </w:tr>
      <w:tr w:rsidR="007123E7" w:rsidRPr="00067F99" w14:paraId="7682C5E1" w14:textId="77777777" w:rsidTr="00E27C70">
        <w:tc>
          <w:tcPr>
            <w:tcW w:w="2337" w:type="dxa"/>
          </w:tcPr>
          <w:p w14:paraId="3341258C" w14:textId="77777777" w:rsidR="007123E7" w:rsidRPr="00067F99" w:rsidRDefault="007123E7" w:rsidP="00E27C70">
            <w:pPr>
              <w:spacing w:before="100" w:beforeAutospacing="1" w:after="100" w:afterAutospacing="1"/>
              <w:rPr>
                <w:rFonts w:eastAsia="Times New Roman"/>
                <w:sz w:val="24"/>
                <w:szCs w:val="24"/>
              </w:rPr>
            </w:pPr>
            <w:r w:rsidRPr="00067F99">
              <w:rPr>
                <w:rFonts w:eastAsia="Times New Roman"/>
                <w:sz w:val="24"/>
                <w:szCs w:val="24"/>
              </w:rPr>
              <w:t>Global industrial waste generation</w:t>
            </w:r>
          </w:p>
        </w:tc>
        <w:tc>
          <w:tcPr>
            <w:tcW w:w="2337" w:type="dxa"/>
          </w:tcPr>
          <w:p w14:paraId="654A2A46" w14:textId="77777777" w:rsidR="007123E7" w:rsidRPr="00067F99" w:rsidRDefault="007123E7" w:rsidP="00E27C70">
            <w:pPr>
              <w:spacing w:before="100" w:beforeAutospacing="1" w:after="100" w:afterAutospacing="1"/>
              <w:rPr>
                <w:rFonts w:eastAsia="Times New Roman"/>
                <w:sz w:val="24"/>
                <w:szCs w:val="24"/>
              </w:rPr>
            </w:pPr>
            <w:r w:rsidRPr="00067F99">
              <w:rPr>
                <w:rFonts w:eastAsia="Times New Roman"/>
                <w:sz w:val="24"/>
                <w:szCs w:val="24"/>
              </w:rPr>
              <w:t>~9.2 billion tonnes yearly</w:t>
            </w:r>
          </w:p>
        </w:tc>
        <w:tc>
          <w:tcPr>
            <w:tcW w:w="2338" w:type="dxa"/>
          </w:tcPr>
          <w:p w14:paraId="6944A508" w14:textId="77777777" w:rsidR="007123E7" w:rsidRPr="00067F99" w:rsidRDefault="007123E7" w:rsidP="00E27C70">
            <w:pPr>
              <w:spacing w:before="100" w:beforeAutospacing="1" w:after="100" w:afterAutospacing="1"/>
              <w:rPr>
                <w:rFonts w:eastAsia="Times New Roman"/>
                <w:sz w:val="24"/>
                <w:szCs w:val="24"/>
              </w:rPr>
            </w:pPr>
            <w:r w:rsidRPr="00067F99">
              <w:rPr>
                <w:rFonts w:eastAsia="Times New Roman"/>
                <w:sz w:val="24"/>
                <w:szCs w:val="24"/>
              </w:rPr>
              <w:t>9.2 billion tonnes</w:t>
            </w:r>
          </w:p>
        </w:tc>
        <w:tc>
          <w:tcPr>
            <w:tcW w:w="2338" w:type="dxa"/>
          </w:tcPr>
          <w:p w14:paraId="097C0970" w14:textId="77777777" w:rsidR="007123E7" w:rsidRPr="00067F99" w:rsidRDefault="007123E7" w:rsidP="00E27C70">
            <w:pPr>
              <w:spacing w:before="100" w:beforeAutospacing="1" w:after="100" w:afterAutospacing="1"/>
              <w:rPr>
                <w:rFonts w:eastAsia="Times New Roman"/>
                <w:sz w:val="24"/>
                <w:szCs w:val="24"/>
              </w:rPr>
            </w:pPr>
            <w:r w:rsidRPr="00067F99">
              <w:rPr>
                <w:rFonts w:eastAsia="Times New Roman"/>
                <w:sz w:val="24"/>
                <w:szCs w:val="24"/>
              </w:rPr>
              <w:t>Business Waste (2025)</w:t>
            </w:r>
          </w:p>
        </w:tc>
      </w:tr>
      <w:tr w:rsidR="007123E7" w:rsidRPr="00067F99" w14:paraId="63466832" w14:textId="77777777" w:rsidTr="00E27C70">
        <w:tc>
          <w:tcPr>
            <w:tcW w:w="2337" w:type="dxa"/>
          </w:tcPr>
          <w:p w14:paraId="11EE51C9" w14:textId="77777777" w:rsidR="007123E7" w:rsidRPr="00067F99" w:rsidRDefault="007123E7" w:rsidP="00E27C70">
            <w:pPr>
              <w:spacing w:before="100" w:beforeAutospacing="1" w:after="100" w:afterAutospacing="1"/>
              <w:rPr>
                <w:rFonts w:eastAsia="Times New Roman"/>
                <w:sz w:val="24"/>
                <w:szCs w:val="24"/>
              </w:rPr>
            </w:pPr>
            <w:r w:rsidRPr="00067F99">
              <w:rPr>
                <w:rFonts w:eastAsia="Times New Roman"/>
                <w:sz w:val="24"/>
                <w:szCs w:val="24"/>
              </w:rPr>
              <w:t>Thailand waste management laws</w:t>
            </w:r>
          </w:p>
        </w:tc>
        <w:tc>
          <w:tcPr>
            <w:tcW w:w="2337" w:type="dxa"/>
          </w:tcPr>
          <w:p w14:paraId="7EC44809" w14:textId="77777777" w:rsidR="007123E7" w:rsidRPr="00067F99" w:rsidRDefault="007123E7" w:rsidP="00E27C70">
            <w:pPr>
              <w:spacing w:before="100" w:beforeAutospacing="1" w:after="100" w:afterAutospacing="1"/>
              <w:rPr>
                <w:rFonts w:eastAsia="Times New Roman"/>
                <w:sz w:val="24"/>
                <w:szCs w:val="24"/>
              </w:rPr>
            </w:pPr>
            <w:r w:rsidRPr="00067F99">
              <w:rPr>
                <w:rFonts w:eastAsia="Times New Roman"/>
                <w:sz w:val="24"/>
                <w:szCs w:val="24"/>
              </w:rPr>
              <w:t>Factory Act, Ministry notifications</w:t>
            </w:r>
          </w:p>
        </w:tc>
        <w:tc>
          <w:tcPr>
            <w:tcW w:w="2338" w:type="dxa"/>
          </w:tcPr>
          <w:p w14:paraId="4B0C6E11" w14:textId="77777777" w:rsidR="007123E7" w:rsidRPr="00067F99" w:rsidRDefault="007123E7" w:rsidP="00E27C70">
            <w:pPr>
              <w:spacing w:before="100" w:beforeAutospacing="1" w:after="100" w:afterAutospacing="1"/>
              <w:rPr>
                <w:rFonts w:eastAsia="Times New Roman"/>
                <w:sz w:val="24"/>
                <w:szCs w:val="24"/>
              </w:rPr>
            </w:pPr>
            <w:r w:rsidRPr="00067F99">
              <w:rPr>
                <w:rFonts w:eastAsia="Times New Roman"/>
                <w:sz w:val="24"/>
                <w:szCs w:val="24"/>
              </w:rPr>
              <w:t>Mandatory registration &amp; regulation</w:t>
            </w:r>
          </w:p>
        </w:tc>
        <w:tc>
          <w:tcPr>
            <w:tcW w:w="2338" w:type="dxa"/>
          </w:tcPr>
          <w:p w14:paraId="36E75220" w14:textId="77777777" w:rsidR="007123E7" w:rsidRPr="00067F99" w:rsidRDefault="007123E7" w:rsidP="00E27C70">
            <w:pPr>
              <w:spacing w:before="100" w:beforeAutospacing="1" w:after="100" w:afterAutospacing="1"/>
              <w:rPr>
                <w:rFonts w:eastAsia="Times New Roman"/>
                <w:sz w:val="24"/>
                <w:szCs w:val="24"/>
              </w:rPr>
            </w:pPr>
            <w:r w:rsidRPr="00067F99">
              <w:rPr>
                <w:rFonts w:eastAsia="Times New Roman"/>
                <w:sz w:val="24"/>
                <w:szCs w:val="24"/>
              </w:rPr>
              <w:t>Siam City Cement (2021), Waste Management Thailand (2025)</w:t>
            </w:r>
          </w:p>
        </w:tc>
      </w:tr>
      <w:tr w:rsidR="007123E7" w:rsidRPr="00067F99" w14:paraId="0A921020" w14:textId="77777777" w:rsidTr="00E27C70">
        <w:tc>
          <w:tcPr>
            <w:tcW w:w="2337" w:type="dxa"/>
          </w:tcPr>
          <w:p w14:paraId="1F182673" w14:textId="77777777" w:rsidR="007123E7" w:rsidRPr="00067F99" w:rsidRDefault="007123E7" w:rsidP="00E27C70">
            <w:pPr>
              <w:spacing w:before="100" w:beforeAutospacing="1" w:after="100" w:afterAutospacing="1"/>
              <w:rPr>
                <w:rFonts w:eastAsia="Times New Roman"/>
                <w:sz w:val="24"/>
                <w:szCs w:val="24"/>
              </w:rPr>
            </w:pPr>
            <w:r w:rsidRPr="00067F99">
              <w:rPr>
                <w:rFonts w:eastAsia="Times New Roman"/>
                <w:sz w:val="24"/>
                <w:szCs w:val="24"/>
              </w:rPr>
              <w:t>Hotspots in Thailand</w:t>
            </w:r>
          </w:p>
        </w:tc>
        <w:tc>
          <w:tcPr>
            <w:tcW w:w="2337" w:type="dxa"/>
          </w:tcPr>
          <w:p w14:paraId="7C87CCE9" w14:textId="77777777" w:rsidR="007123E7" w:rsidRPr="00067F99" w:rsidRDefault="007123E7" w:rsidP="00E27C70">
            <w:pPr>
              <w:spacing w:before="100" w:beforeAutospacing="1" w:after="100" w:afterAutospacing="1"/>
              <w:rPr>
                <w:rFonts w:eastAsia="Times New Roman"/>
                <w:sz w:val="24"/>
                <w:szCs w:val="24"/>
              </w:rPr>
            </w:pPr>
            <w:r w:rsidRPr="00067F99">
              <w:rPr>
                <w:rFonts w:eastAsia="Times New Roman"/>
                <w:sz w:val="24"/>
                <w:szCs w:val="24"/>
              </w:rPr>
              <w:t>Rayong, Chonburi, Samut Prakan</w:t>
            </w:r>
          </w:p>
        </w:tc>
        <w:tc>
          <w:tcPr>
            <w:tcW w:w="2338" w:type="dxa"/>
          </w:tcPr>
          <w:p w14:paraId="00CCFD43" w14:textId="77777777" w:rsidR="007123E7" w:rsidRPr="00067F99" w:rsidRDefault="007123E7" w:rsidP="00E27C70">
            <w:pPr>
              <w:spacing w:before="100" w:beforeAutospacing="1" w:after="100" w:afterAutospacing="1"/>
              <w:rPr>
                <w:rFonts w:eastAsia="Times New Roman"/>
                <w:sz w:val="24"/>
                <w:szCs w:val="24"/>
              </w:rPr>
            </w:pPr>
            <w:r w:rsidRPr="00067F99">
              <w:rPr>
                <w:rFonts w:eastAsia="Times New Roman"/>
                <w:sz w:val="24"/>
                <w:szCs w:val="24"/>
              </w:rPr>
              <w:t xml:space="preserve">6,781 tons sludge in AMATA </w:t>
            </w:r>
          </w:p>
        </w:tc>
        <w:tc>
          <w:tcPr>
            <w:tcW w:w="2338" w:type="dxa"/>
          </w:tcPr>
          <w:p w14:paraId="531C9522" w14:textId="77777777" w:rsidR="007123E7" w:rsidRPr="00067F99" w:rsidRDefault="007123E7" w:rsidP="00E27C70">
            <w:pPr>
              <w:spacing w:before="100" w:beforeAutospacing="1" w:after="100" w:afterAutospacing="1"/>
              <w:rPr>
                <w:rFonts w:eastAsia="Times New Roman"/>
                <w:sz w:val="24"/>
                <w:szCs w:val="24"/>
              </w:rPr>
            </w:pPr>
            <w:r w:rsidRPr="00067F99">
              <w:rPr>
                <w:rFonts w:eastAsia="Times New Roman"/>
                <w:sz w:val="24"/>
                <w:szCs w:val="24"/>
              </w:rPr>
              <w:t xml:space="preserve">AMATA (2025), </w:t>
            </w:r>
          </w:p>
        </w:tc>
      </w:tr>
      <w:tr w:rsidR="007123E7" w:rsidRPr="00067F99" w14:paraId="46BDB5A9" w14:textId="77777777" w:rsidTr="00E27C70">
        <w:tc>
          <w:tcPr>
            <w:tcW w:w="2337" w:type="dxa"/>
          </w:tcPr>
          <w:p w14:paraId="2081413E" w14:textId="77777777" w:rsidR="007123E7" w:rsidRPr="00067F99" w:rsidRDefault="007123E7" w:rsidP="00E27C70">
            <w:pPr>
              <w:spacing w:before="100" w:beforeAutospacing="1" w:after="100" w:afterAutospacing="1"/>
              <w:rPr>
                <w:rFonts w:eastAsia="Times New Roman"/>
                <w:sz w:val="24"/>
                <w:szCs w:val="24"/>
              </w:rPr>
            </w:pPr>
            <w:r w:rsidRPr="00067F99">
              <w:rPr>
                <w:rFonts w:eastAsia="Times New Roman"/>
                <w:sz w:val="24"/>
                <w:szCs w:val="24"/>
              </w:rPr>
              <w:t>Monitoring status</w:t>
            </w:r>
          </w:p>
        </w:tc>
        <w:tc>
          <w:tcPr>
            <w:tcW w:w="2337" w:type="dxa"/>
          </w:tcPr>
          <w:p w14:paraId="19B0A20C" w14:textId="77777777" w:rsidR="007123E7" w:rsidRPr="00067F99" w:rsidRDefault="007123E7" w:rsidP="00E27C70">
            <w:pPr>
              <w:spacing w:before="100" w:beforeAutospacing="1" w:after="100" w:afterAutospacing="1"/>
              <w:rPr>
                <w:rFonts w:eastAsia="Times New Roman"/>
                <w:sz w:val="24"/>
                <w:szCs w:val="24"/>
              </w:rPr>
            </w:pPr>
            <w:r w:rsidRPr="00067F99">
              <w:rPr>
                <w:rFonts w:eastAsia="Times New Roman"/>
                <w:sz w:val="24"/>
                <w:szCs w:val="24"/>
              </w:rPr>
              <w:t>Incomplete long-term data, increasing use of IoT &amp; AI</w:t>
            </w:r>
          </w:p>
        </w:tc>
        <w:tc>
          <w:tcPr>
            <w:tcW w:w="2338" w:type="dxa"/>
          </w:tcPr>
          <w:p w14:paraId="28455484" w14:textId="77777777" w:rsidR="007123E7" w:rsidRPr="00067F99" w:rsidRDefault="007123E7" w:rsidP="00E27C70">
            <w:pPr>
              <w:spacing w:before="100" w:beforeAutospacing="1" w:after="100" w:afterAutospacing="1"/>
              <w:rPr>
                <w:rFonts w:eastAsia="Times New Roman"/>
                <w:sz w:val="24"/>
                <w:szCs w:val="24"/>
              </w:rPr>
            </w:pPr>
            <w:r w:rsidRPr="00067F99">
              <w:rPr>
                <w:rFonts w:eastAsia="Times New Roman"/>
                <w:sz w:val="24"/>
                <w:szCs w:val="24"/>
              </w:rPr>
              <w:t>Emerging real-time monitoring tech</w:t>
            </w:r>
          </w:p>
        </w:tc>
        <w:tc>
          <w:tcPr>
            <w:tcW w:w="2338" w:type="dxa"/>
          </w:tcPr>
          <w:p w14:paraId="06C8219A" w14:textId="77777777" w:rsidR="007123E7" w:rsidRPr="00067F99" w:rsidRDefault="007123E7" w:rsidP="00E27C70">
            <w:pPr>
              <w:spacing w:before="100" w:beforeAutospacing="1" w:after="100" w:afterAutospacing="1"/>
              <w:rPr>
                <w:rFonts w:eastAsia="Times New Roman"/>
                <w:sz w:val="24"/>
                <w:szCs w:val="24"/>
              </w:rPr>
            </w:pPr>
            <w:r w:rsidRPr="00067F99">
              <w:rPr>
                <w:rFonts w:eastAsia="Times New Roman"/>
                <w:sz w:val="24"/>
                <w:szCs w:val="24"/>
              </w:rPr>
              <w:t>SBN Software (2025)</w:t>
            </w:r>
          </w:p>
        </w:tc>
      </w:tr>
    </w:tbl>
    <w:p w14:paraId="76EEEE61" w14:textId="77777777" w:rsidR="007123E7" w:rsidRPr="00067F99" w:rsidRDefault="007123E7" w:rsidP="007123E7">
      <w:pPr>
        <w:spacing w:before="100" w:beforeAutospacing="1" w:after="100" w:afterAutospacing="1"/>
        <w:rPr>
          <w:rFonts w:eastAsia="Times New Roman"/>
          <w:b/>
          <w:bCs/>
          <w:sz w:val="24"/>
          <w:szCs w:val="24"/>
        </w:rPr>
      </w:pPr>
      <w:r w:rsidRPr="00067F99">
        <w:rPr>
          <w:rFonts w:eastAsia="Times New Roman"/>
          <w:b/>
          <w:bCs/>
          <w:sz w:val="24"/>
          <w:szCs w:val="24"/>
        </w:rPr>
        <w:t>Industrial Waste Recycle</w:t>
      </w:r>
    </w:p>
    <w:p w14:paraId="473C0536" w14:textId="77777777" w:rsidR="007123E7" w:rsidRPr="00067F99" w:rsidRDefault="007123E7" w:rsidP="007123E7">
      <w:pPr>
        <w:spacing w:before="100" w:beforeAutospacing="1" w:after="100" w:afterAutospacing="1"/>
        <w:jc w:val="thaiDistribute"/>
        <w:rPr>
          <w:rFonts w:eastAsia="Times New Roman"/>
          <w:sz w:val="24"/>
          <w:szCs w:val="24"/>
        </w:rPr>
      </w:pPr>
      <w:r w:rsidRPr="00067F99">
        <w:rPr>
          <w:rFonts w:eastAsia="Times New Roman"/>
          <w:sz w:val="24"/>
          <w:szCs w:val="24"/>
        </w:rPr>
        <w:t>Recent statistics indicate that the industrial waste recycling rate in Thailand is projected to reach around 51% by 2024, reflecting significant growth driven by government policies promoting waste reuse and circular economy models. However, challenges remain due to insufficient waste separation knowledge among the public and suboptimal waste management systems.</w:t>
      </w:r>
    </w:p>
    <w:p w14:paraId="64A0B9C3" w14:textId="77777777" w:rsidR="007123E7" w:rsidRPr="00067F99" w:rsidRDefault="007123E7" w:rsidP="007123E7">
      <w:pPr>
        <w:spacing w:before="100" w:beforeAutospacing="1" w:after="100" w:afterAutospacing="1"/>
        <w:jc w:val="thaiDistribute"/>
        <w:rPr>
          <w:rFonts w:eastAsia="Times New Roman"/>
          <w:sz w:val="24"/>
          <w:szCs w:val="24"/>
        </w:rPr>
      </w:pPr>
      <w:r w:rsidRPr="00067F99">
        <w:rPr>
          <w:rFonts w:eastAsia="Times New Roman"/>
          <w:sz w:val="24"/>
          <w:szCs w:val="24"/>
        </w:rPr>
        <w:lastRenderedPageBreak/>
        <w:t>Globally, only about 6.9% of the total materials used annually come from recycled sources, with industrial sectors producing much more waste than households and pushing for innovations in smart waste management systems to improve recycling rates. In Thailand, the recycling and utilization of municipal plastic waste is forecasted to reach above 90% by 2030 under a national roadmap scenario, although the 2025 target may be slightly lower due to plastic waste being prioritized for energy recovery uses.</w:t>
      </w:r>
    </w:p>
    <w:p w14:paraId="0503632E" w14:textId="77777777" w:rsidR="007123E7" w:rsidRPr="00067F99" w:rsidRDefault="007123E7" w:rsidP="007123E7">
      <w:pPr>
        <w:spacing w:before="100" w:beforeAutospacing="1" w:after="100" w:afterAutospacing="1"/>
        <w:jc w:val="thaiDistribute"/>
        <w:rPr>
          <w:rFonts w:eastAsia="Times New Roman"/>
          <w:sz w:val="24"/>
          <w:szCs w:val="24"/>
        </w:rPr>
      </w:pPr>
      <w:r w:rsidRPr="00067F99">
        <w:rPr>
          <w:rFonts w:eastAsia="Times New Roman"/>
          <w:sz w:val="24"/>
          <w:szCs w:val="24"/>
        </w:rPr>
        <w:t>Additionally, some private sector data show recycling of industrial waste could be quite high, with reports indicating about 88.37% of total industrial waste generated managed through recycling and other diversion methods in some cases.</w:t>
      </w:r>
    </w:p>
    <w:p w14:paraId="6E00A06B" w14:textId="77777777" w:rsidR="007123E7" w:rsidRPr="00067F99" w:rsidRDefault="007123E7" w:rsidP="007123E7">
      <w:pPr>
        <w:spacing w:before="100" w:beforeAutospacing="1" w:after="100" w:afterAutospacing="1"/>
        <w:outlineLvl w:val="2"/>
        <w:rPr>
          <w:rFonts w:eastAsia="Times New Roman"/>
          <w:b/>
          <w:bCs/>
          <w:sz w:val="24"/>
          <w:szCs w:val="24"/>
        </w:rPr>
      </w:pPr>
      <w:r w:rsidRPr="00067F99">
        <w:rPr>
          <w:rFonts w:eastAsia="Times New Roman"/>
          <w:b/>
          <w:bCs/>
          <w:sz w:val="24"/>
          <w:szCs w:val="24"/>
        </w:rPr>
        <w:t>8) Oil Pollution Sources and Incidents</w:t>
      </w:r>
    </w:p>
    <w:p w14:paraId="2917185E" w14:textId="77777777" w:rsidR="007123E7" w:rsidRPr="00067F99" w:rsidRDefault="007123E7" w:rsidP="007123E7">
      <w:pPr>
        <w:spacing w:before="100" w:beforeAutospacing="1" w:after="100" w:afterAutospacing="1"/>
        <w:rPr>
          <w:rFonts w:eastAsia="Times New Roman"/>
          <w:sz w:val="24"/>
          <w:szCs w:val="24"/>
        </w:rPr>
      </w:pPr>
      <w:r w:rsidRPr="00067F99">
        <w:rPr>
          <w:rFonts w:eastAsia="Times New Roman"/>
          <w:sz w:val="24"/>
          <w:szCs w:val="24"/>
        </w:rPr>
        <w:t>Oil pollution in Thailand primarily originates from shipping activities, offshore drilling, and port operations, with over 240 recorded oil spill incidents since 1974, mainly concentrated in the Gulf of Thailand and the Andaman Sea.</w:t>
      </w:r>
    </w:p>
    <w:p w14:paraId="760E8C69" w14:textId="77777777" w:rsidR="007123E7" w:rsidRPr="00067F99" w:rsidRDefault="007123E7" w:rsidP="007123E7">
      <w:pPr>
        <w:spacing w:before="100" w:beforeAutospacing="1" w:after="100" w:afterAutospacing="1"/>
        <w:rPr>
          <w:rFonts w:eastAsia="Times New Roman"/>
          <w:sz w:val="24"/>
          <w:szCs w:val="24"/>
        </w:rPr>
      </w:pPr>
      <w:r w:rsidRPr="00067F99">
        <w:rPr>
          <w:rFonts w:eastAsia="Times New Roman"/>
          <w:sz w:val="24"/>
          <w:szCs w:val="24"/>
        </w:rPr>
        <w:t>Major incidents include:</w:t>
      </w:r>
    </w:p>
    <w:p w14:paraId="272D962D" w14:textId="77777777" w:rsidR="007123E7" w:rsidRPr="00067F99" w:rsidRDefault="007123E7" w:rsidP="007123E7">
      <w:pPr>
        <w:widowControl/>
        <w:numPr>
          <w:ilvl w:val="0"/>
          <w:numId w:val="148"/>
        </w:numPr>
        <w:spacing w:before="100" w:beforeAutospacing="1" w:after="100" w:afterAutospacing="1"/>
        <w:rPr>
          <w:rFonts w:eastAsia="Times New Roman"/>
          <w:sz w:val="24"/>
          <w:szCs w:val="24"/>
        </w:rPr>
      </w:pPr>
      <w:r w:rsidRPr="00067F99">
        <w:rPr>
          <w:rFonts w:eastAsia="Times New Roman"/>
          <w:sz w:val="24"/>
          <w:szCs w:val="24"/>
        </w:rPr>
        <w:t>2016 – Koh Samet: Approximately 50,000 liters of oil spilled near Ao Prao Beach, severely affecting local tourism and marine ecosystems.</w:t>
      </w:r>
    </w:p>
    <w:p w14:paraId="1AE703C2" w14:textId="77777777" w:rsidR="007123E7" w:rsidRPr="00067F99" w:rsidRDefault="007123E7" w:rsidP="007123E7">
      <w:pPr>
        <w:widowControl/>
        <w:numPr>
          <w:ilvl w:val="0"/>
          <w:numId w:val="148"/>
        </w:numPr>
        <w:spacing w:before="100" w:beforeAutospacing="1" w:after="100" w:afterAutospacing="1"/>
        <w:rPr>
          <w:rFonts w:eastAsia="Times New Roman"/>
          <w:sz w:val="24"/>
          <w:szCs w:val="24"/>
        </w:rPr>
      </w:pPr>
      <w:r w:rsidRPr="00067F99">
        <w:rPr>
          <w:rFonts w:eastAsia="Times New Roman"/>
          <w:sz w:val="24"/>
          <w:szCs w:val="24"/>
        </w:rPr>
        <w:t>January 2022 – Map Ta Phut, Rayong Province: Around 47,000 liters of crude oil leaked near Map Ta Phut port, impacting coastal fisheries and beaches.</w:t>
      </w:r>
    </w:p>
    <w:p w14:paraId="2B87E0ED" w14:textId="77777777" w:rsidR="007123E7" w:rsidRPr="00067F99" w:rsidRDefault="007123E7" w:rsidP="007123E7">
      <w:pPr>
        <w:widowControl/>
        <w:numPr>
          <w:ilvl w:val="0"/>
          <w:numId w:val="148"/>
        </w:numPr>
        <w:spacing w:before="100" w:beforeAutospacing="1" w:after="100" w:afterAutospacing="1"/>
        <w:rPr>
          <w:rFonts w:eastAsia="Times New Roman"/>
          <w:sz w:val="24"/>
          <w:szCs w:val="24"/>
        </w:rPr>
      </w:pPr>
      <w:r w:rsidRPr="00067F99">
        <w:rPr>
          <w:rFonts w:eastAsia="Times New Roman"/>
          <w:sz w:val="24"/>
          <w:szCs w:val="24"/>
        </w:rPr>
        <w:t>September 2023 – Si Racha, Chonburi: Roughly 60,000 liters of oil spilled from a tanker, contaminating nearby marine waters.</w:t>
      </w:r>
    </w:p>
    <w:p w14:paraId="16CCA776" w14:textId="77777777" w:rsidR="007123E7" w:rsidRPr="00067F99" w:rsidRDefault="007123E7" w:rsidP="007123E7">
      <w:pPr>
        <w:spacing w:before="100" w:beforeAutospacing="1" w:after="100" w:afterAutospacing="1"/>
        <w:rPr>
          <w:rFonts w:eastAsia="Times New Roman"/>
          <w:sz w:val="24"/>
          <w:szCs w:val="24"/>
        </w:rPr>
      </w:pPr>
      <w:r w:rsidRPr="00067F99">
        <w:rPr>
          <w:rFonts w:eastAsia="Times New Roman"/>
          <w:sz w:val="24"/>
          <w:szCs w:val="24"/>
        </w:rPr>
        <w:t>In addition, since 2014, the Department of Marine and Coastal Resources (DMCR) has detected 44 unidentified oil spills, mostly along the eastern Gulf coast.</w:t>
      </w:r>
    </w:p>
    <w:p w14:paraId="444118A8" w14:textId="77777777" w:rsidR="007123E7" w:rsidRPr="00067F99" w:rsidRDefault="007123E7" w:rsidP="007123E7">
      <w:pPr>
        <w:spacing w:before="100" w:beforeAutospacing="1" w:after="100" w:afterAutospacing="1"/>
        <w:outlineLvl w:val="2"/>
        <w:rPr>
          <w:rFonts w:eastAsia="Times New Roman"/>
          <w:b/>
          <w:bCs/>
          <w:sz w:val="24"/>
          <w:szCs w:val="24"/>
        </w:rPr>
      </w:pPr>
      <w:r w:rsidRPr="00067F99">
        <w:rPr>
          <w:rFonts w:eastAsia="Times New Roman"/>
          <w:b/>
          <w:bCs/>
          <w:sz w:val="24"/>
          <w:szCs w:val="24"/>
        </w:rPr>
        <w:t>Response Capacity</w:t>
      </w:r>
    </w:p>
    <w:p w14:paraId="105BC71E" w14:textId="77777777" w:rsidR="007123E7" w:rsidRPr="00067F99" w:rsidRDefault="007123E7" w:rsidP="007123E7">
      <w:pPr>
        <w:spacing w:before="100" w:beforeAutospacing="1" w:after="100" w:afterAutospacing="1"/>
        <w:rPr>
          <w:rFonts w:eastAsia="Times New Roman"/>
          <w:sz w:val="24"/>
          <w:szCs w:val="24"/>
        </w:rPr>
      </w:pPr>
      <w:r w:rsidRPr="00067F99">
        <w:rPr>
          <w:rFonts w:eastAsia="Times New Roman"/>
          <w:sz w:val="24"/>
          <w:szCs w:val="24"/>
        </w:rPr>
        <w:t>Thailand’s oil spill response framework is governed by the National Oil Spill Contingency Plan, B.E. 2545 (2002), which implements a tiered response system based on spill volume (Ministry of Transport, 2002):</w:t>
      </w:r>
    </w:p>
    <w:p w14:paraId="2BF27476" w14:textId="77777777" w:rsidR="007123E7" w:rsidRPr="00067F99" w:rsidRDefault="007123E7" w:rsidP="007123E7">
      <w:pPr>
        <w:widowControl/>
        <w:numPr>
          <w:ilvl w:val="0"/>
          <w:numId w:val="149"/>
        </w:numPr>
        <w:spacing w:before="100" w:beforeAutospacing="1" w:after="100" w:afterAutospacing="1"/>
        <w:rPr>
          <w:rFonts w:eastAsia="Times New Roman"/>
          <w:sz w:val="24"/>
          <w:szCs w:val="24"/>
        </w:rPr>
      </w:pPr>
      <w:r w:rsidRPr="00067F99">
        <w:rPr>
          <w:rFonts w:eastAsia="Times New Roman"/>
          <w:sz w:val="24"/>
          <w:szCs w:val="24"/>
        </w:rPr>
        <w:t>Tier 1: Spills of less than 20 tonnes, handled by local agencies.</w:t>
      </w:r>
    </w:p>
    <w:p w14:paraId="0F6A8CF1" w14:textId="77777777" w:rsidR="007123E7" w:rsidRPr="00067F99" w:rsidRDefault="007123E7" w:rsidP="007123E7">
      <w:pPr>
        <w:widowControl/>
        <w:numPr>
          <w:ilvl w:val="0"/>
          <w:numId w:val="149"/>
        </w:numPr>
        <w:spacing w:before="100" w:beforeAutospacing="1" w:after="100" w:afterAutospacing="1"/>
        <w:rPr>
          <w:rFonts w:eastAsia="Times New Roman"/>
          <w:sz w:val="24"/>
          <w:szCs w:val="24"/>
        </w:rPr>
      </w:pPr>
      <w:r w:rsidRPr="00067F99">
        <w:rPr>
          <w:rFonts w:eastAsia="Times New Roman"/>
          <w:sz w:val="24"/>
          <w:szCs w:val="24"/>
        </w:rPr>
        <w:t>Tier 2: Spills of 20–1,000 tonnes, requiring national-level coordination and multi-agency involvement.</w:t>
      </w:r>
    </w:p>
    <w:p w14:paraId="05ADA444" w14:textId="77777777" w:rsidR="007123E7" w:rsidRPr="00067F99" w:rsidRDefault="007123E7" w:rsidP="007123E7">
      <w:pPr>
        <w:widowControl/>
        <w:numPr>
          <w:ilvl w:val="0"/>
          <w:numId w:val="149"/>
        </w:numPr>
        <w:spacing w:before="100" w:beforeAutospacing="1" w:after="100" w:afterAutospacing="1"/>
        <w:rPr>
          <w:rFonts w:eastAsia="Times New Roman"/>
          <w:sz w:val="24"/>
          <w:szCs w:val="24"/>
        </w:rPr>
      </w:pPr>
      <w:r w:rsidRPr="00067F99">
        <w:rPr>
          <w:rFonts w:eastAsia="Times New Roman"/>
          <w:sz w:val="24"/>
          <w:szCs w:val="24"/>
        </w:rPr>
        <w:t>Tier 3: Spills of over 1,000 tonnes, requiring international assistance.</w:t>
      </w:r>
    </w:p>
    <w:p w14:paraId="71836658" w14:textId="77777777" w:rsidR="007123E7" w:rsidRPr="00067F99" w:rsidRDefault="007123E7" w:rsidP="007123E7">
      <w:pPr>
        <w:spacing w:before="100" w:beforeAutospacing="1" w:after="100" w:afterAutospacing="1"/>
        <w:outlineLvl w:val="2"/>
        <w:rPr>
          <w:rFonts w:eastAsia="Times New Roman"/>
          <w:b/>
          <w:bCs/>
          <w:sz w:val="24"/>
          <w:szCs w:val="24"/>
        </w:rPr>
      </w:pPr>
      <w:r w:rsidRPr="00067F99">
        <w:rPr>
          <w:rFonts w:eastAsia="Times New Roman"/>
          <w:b/>
          <w:bCs/>
          <w:sz w:val="24"/>
          <w:szCs w:val="24"/>
        </w:rPr>
        <w:t>Impact Zones</w:t>
      </w:r>
    </w:p>
    <w:p w14:paraId="58FA2D29" w14:textId="77777777" w:rsidR="007123E7" w:rsidRPr="00067F99" w:rsidRDefault="007123E7" w:rsidP="007123E7">
      <w:pPr>
        <w:spacing w:before="100" w:beforeAutospacing="1" w:after="100" w:afterAutospacing="1"/>
        <w:rPr>
          <w:rFonts w:eastAsia="Times New Roman"/>
          <w:sz w:val="24"/>
          <w:szCs w:val="24"/>
        </w:rPr>
      </w:pPr>
      <w:r w:rsidRPr="00067F99">
        <w:rPr>
          <w:rFonts w:eastAsia="Times New Roman"/>
          <w:sz w:val="24"/>
          <w:szCs w:val="24"/>
        </w:rPr>
        <w:t>The Gulf of Thailand and the Andaman Sea remain the most impacted regions, with ecological risks peaking during high shipping seasons. Mangrove forests and coral reef ecosystems along the eastern Gulf coast are particularly vulnerable to oil contamination and long-term degradation</w:t>
      </w:r>
    </w:p>
    <w:p w14:paraId="10A36D04" w14:textId="77777777" w:rsidR="007123E7" w:rsidRPr="00067F99" w:rsidRDefault="007123E7" w:rsidP="007123E7">
      <w:pPr>
        <w:spacing w:before="100" w:beforeAutospacing="1" w:after="100" w:afterAutospacing="1"/>
        <w:outlineLvl w:val="2"/>
        <w:rPr>
          <w:rFonts w:eastAsia="Times New Roman"/>
          <w:sz w:val="24"/>
          <w:szCs w:val="24"/>
        </w:rPr>
      </w:pPr>
      <w:r w:rsidRPr="00067F99">
        <w:rPr>
          <w:rFonts w:eastAsia="Times New Roman"/>
          <w:sz w:val="24"/>
          <w:szCs w:val="24"/>
        </w:rPr>
        <w:t>Table 8. Summary of Oil Pollution in Thailand</w:t>
      </w:r>
    </w:p>
    <w:tbl>
      <w:tblPr>
        <w:tblStyle w:val="TableGridLight"/>
        <w:tblW w:w="0" w:type="auto"/>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4A0" w:firstRow="1" w:lastRow="0" w:firstColumn="1" w:lastColumn="0" w:noHBand="0" w:noVBand="1"/>
      </w:tblPr>
      <w:tblGrid>
        <w:gridCol w:w="2687"/>
        <w:gridCol w:w="4070"/>
        <w:gridCol w:w="2243"/>
      </w:tblGrid>
      <w:tr w:rsidR="007123E7" w:rsidRPr="00067F99" w14:paraId="3DEA7FFA" w14:textId="77777777" w:rsidTr="00E27C70">
        <w:trPr>
          <w:tblHeader/>
        </w:trPr>
        <w:tc>
          <w:tcPr>
            <w:tcW w:w="0" w:type="auto"/>
            <w:hideMark/>
          </w:tcPr>
          <w:p w14:paraId="6899F43D" w14:textId="77777777" w:rsidR="007123E7" w:rsidRPr="00067F99" w:rsidRDefault="007123E7" w:rsidP="00E27C70">
            <w:pPr>
              <w:jc w:val="center"/>
              <w:rPr>
                <w:rFonts w:eastAsia="Times New Roman"/>
                <w:b/>
                <w:bCs/>
                <w:sz w:val="24"/>
                <w:szCs w:val="24"/>
              </w:rPr>
            </w:pPr>
            <w:r w:rsidRPr="00067F99">
              <w:rPr>
                <w:rFonts w:eastAsia="Times New Roman"/>
                <w:b/>
                <w:bCs/>
                <w:sz w:val="24"/>
                <w:szCs w:val="24"/>
              </w:rPr>
              <w:lastRenderedPageBreak/>
              <w:t>Incidents</w:t>
            </w:r>
          </w:p>
        </w:tc>
        <w:tc>
          <w:tcPr>
            <w:tcW w:w="0" w:type="auto"/>
            <w:hideMark/>
          </w:tcPr>
          <w:p w14:paraId="753BB46E" w14:textId="77777777" w:rsidR="007123E7" w:rsidRPr="00067F99" w:rsidRDefault="007123E7" w:rsidP="00E27C70">
            <w:pPr>
              <w:jc w:val="center"/>
              <w:rPr>
                <w:rFonts w:eastAsia="Times New Roman"/>
                <w:b/>
                <w:bCs/>
                <w:sz w:val="24"/>
                <w:szCs w:val="24"/>
              </w:rPr>
            </w:pPr>
            <w:r w:rsidRPr="00067F99">
              <w:rPr>
                <w:rFonts w:eastAsia="Times New Roman"/>
                <w:b/>
                <w:bCs/>
                <w:sz w:val="24"/>
                <w:szCs w:val="24"/>
              </w:rPr>
              <w:t>Details</w:t>
            </w:r>
          </w:p>
        </w:tc>
        <w:tc>
          <w:tcPr>
            <w:tcW w:w="0" w:type="auto"/>
            <w:hideMark/>
          </w:tcPr>
          <w:p w14:paraId="0E85CBDC" w14:textId="77777777" w:rsidR="007123E7" w:rsidRPr="00067F99" w:rsidRDefault="007123E7" w:rsidP="00E27C70">
            <w:pPr>
              <w:jc w:val="center"/>
              <w:rPr>
                <w:rFonts w:eastAsia="Times New Roman"/>
                <w:b/>
                <w:bCs/>
                <w:sz w:val="24"/>
                <w:szCs w:val="24"/>
              </w:rPr>
            </w:pPr>
            <w:r w:rsidRPr="00067F99">
              <w:rPr>
                <w:rFonts w:eastAsia="Times New Roman"/>
                <w:b/>
                <w:bCs/>
                <w:sz w:val="24"/>
                <w:szCs w:val="24"/>
              </w:rPr>
              <w:t>Volume / Extent</w:t>
            </w:r>
          </w:p>
        </w:tc>
      </w:tr>
      <w:tr w:rsidR="007123E7" w:rsidRPr="00067F99" w14:paraId="0236803F" w14:textId="77777777" w:rsidTr="00E27C70">
        <w:tc>
          <w:tcPr>
            <w:tcW w:w="0" w:type="auto"/>
            <w:hideMark/>
          </w:tcPr>
          <w:p w14:paraId="683C777B" w14:textId="77777777" w:rsidR="007123E7" w:rsidRPr="00067F99" w:rsidRDefault="007123E7" w:rsidP="00E27C70">
            <w:pPr>
              <w:rPr>
                <w:rFonts w:eastAsia="Times New Roman"/>
                <w:sz w:val="24"/>
                <w:szCs w:val="24"/>
              </w:rPr>
            </w:pPr>
            <w:r w:rsidRPr="00067F99">
              <w:rPr>
                <w:rFonts w:eastAsia="Times New Roman"/>
                <w:sz w:val="24"/>
                <w:szCs w:val="24"/>
              </w:rPr>
              <w:t>Total recorded oil spills since 1974</w:t>
            </w:r>
          </w:p>
        </w:tc>
        <w:tc>
          <w:tcPr>
            <w:tcW w:w="0" w:type="auto"/>
            <w:hideMark/>
          </w:tcPr>
          <w:p w14:paraId="72C08578" w14:textId="77777777" w:rsidR="007123E7" w:rsidRPr="00067F99" w:rsidRDefault="007123E7" w:rsidP="00E27C70">
            <w:pPr>
              <w:rPr>
                <w:rFonts w:eastAsia="Times New Roman"/>
                <w:sz w:val="24"/>
                <w:szCs w:val="24"/>
              </w:rPr>
            </w:pPr>
            <w:r w:rsidRPr="00067F99">
              <w:rPr>
                <w:rFonts w:eastAsia="Times New Roman"/>
                <w:sz w:val="24"/>
                <w:szCs w:val="24"/>
              </w:rPr>
              <w:t>Multiple sources including shipping and offshore drilling</w:t>
            </w:r>
          </w:p>
        </w:tc>
        <w:tc>
          <w:tcPr>
            <w:tcW w:w="0" w:type="auto"/>
            <w:hideMark/>
          </w:tcPr>
          <w:p w14:paraId="5ECD39FD" w14:textId="77777777" w:rsidR="007123E7" w:rsidRPr="00067F99" w:rsidRDefault="007123E7" w:rsidP="00E27C70">
            <w:pPr>
              <w:rPr>
                <w:rFonts w:eastAsia="Times New Roman"/>
                <w:sz w:val="24"/>
                <w:szCs w:val="24"/>
              </w:rPr>
            </w:pPr>
            <w:r w:rsidRPr="00067F99">
              <w:rPr>
                <w:rFonts w:eastAsia="Times New Roman"/>
                <w:sz w:val="24"/>
                <w:szCs w:val="24"/>
              </w:rPr>
              <w:t>240+ incidents</w:t>
            </w:r>
          </w:p>
        </w:tc>
      </w:tr>
      <w:tr w:rsidR="007123E7" w:rsidRPr="00067F99" w14:paraId="6BA8BCA4" w14:textId="77777777" w:rsidTr="00E27C70">
        <w:tc>
          <w:tcPr>
            <w:tcW w:w="0" w:type="auto"/>
            <w:hideMark/>
          </w:tcPr>
          <w:p w14:paraId="7FE2A27C" w14:textId="77777777" w:rsidR="007123E7" w:rsidRPr="00067F99" w:rsidRDefault="007123E7" w:rsidP="00E27C70">
            <w:pPr>
              <w:rPr>
                <w:rFonts w:eastAsia="Times New Roman"/>
                <w:sz w:val="24"/>
                <w:szCs w:val="24"/>
              </w:rPr>
            </w:pPr>
            <w:r w:rsidRPr="00067F99">
              <w:rPr>
                <w:rFonts w:eastAsia="Times New Roman"/>
                <w:sz w:val="24"/>
                <w:szCs w:val="24"/>
              </w:rPr>
              <w:t>2016 Koh Samet spill</w:t>
            </w:r>
          </w:p>
        </w:tc>
        <w:tc>
          <w:tcPr>
            <w:tcW w:w="0" w:type="auto"/>
            <w:hideMark/>
          </w:tcPr>
          <w:p w14:paraId="348078B2" w14:textId="77777777" w:rsidR="007123E7" w:rsidRPr="00067F99" w:rsidRDefault="007123E7" w:rsidP="00E27C70">
            <w:pPr>
              <w:rPr>
                <w:rFonts w:eastAsia="Times New Roman"/>
                <w:sz w:val="24"/>
                <w:szCs w:val="24"/>
              </w:rPr>
            </w:pPr>
            <w:r w:rsidRPr="00067F99">
              <w:rPr>
                <w:rFonts w:eastAsia="Times New Roman"/>
                <w:sz w:val="24"/>
                <w:szCs w:val="24"/>
              </w:rPr>
              <w:t>Oil contamination at Ao Prao Beach</w:t>
            </w:r>
          </w:p>
        </w:tc>
        <w:tc>
          <w:tcPr>
            <w:tcW w:w="0" w:type="auto"/>
            <w:hideMark/>
          </w:tcPr>
          <w:p w14:paraId="3FA302A1" w14:textId="77777777" w:rsidR="007123E7" w:rsidRPr="00067F99" w:rsidRDefault="007123E7" w:rsidP="00E27C70">
            <w:pPr>
              <w:rPr>
                <w:rFonts w:eastAsia="Times New Roman"/>
                <w:sz w:val="24"/>
                <w:szCs w:val="24"/>
              </w:rPr>
            </w:pPr>
            <w:r w:rsidRPr="00067F99">
              <w:rPr>
                <w:rFonts w:eastAsia="Times New Roman"/>
                <w:sz w:val="24"/>
                <w:szCs w:val="24"/>
              </w:rPr>
              <w:t>~50,000 liters</w:t>
            </w:r>
          </w:p>
        </w:tc>
      </w:tr>
      <w:tr w:rsidR="007123E7" w:rsidRPr="00067F99" w14:paraId="48211F20" w14:textId="77777777" w:rsidTr="00E27C70">
        <w:tc>
          <w:tcPr>
            <w:tcW w:w="0" w:type="auto"/>
            <w:hideMark/>
          </w:tcPr>
          <w:p w14:paraId="4359DDD5" w14:textId="77777777" w:rsidR="007123E7" w:rsidRPr="00067F99" w:rsidRDefault="007123E7" w:rsidP="00E27C70">
            <w:pPr>
              <w:rPr>
                <w:rFonts w:eastAsia="Times New Roman"/>
                <w:sz w:val="24"/>
                <w:szCs w:val="24"/>
              </w:rPr>
            </w:pPr>
            <w:r w:rsidRPr="00067F99">
              <w:rPr>
                <w:rFonts w:eastAsia="Times New Roman"/>
                <w:sz w:val="24"/>
                <w:szCs w:val="24"/>
              </w:rPr>
              <w:t>2022 Map Ta Phut spill</w:t>
            </w:r>
          </w:p>
        </w:tc>
        <w:tc>
          <w:tcPr>
            <w:tcW w:w="0" w:type="auto"/>
            <w:hideMark/>
          </w:tcPr>
          <w:p w14:paraId="69A010C3" w14:textId="77777777" w:rsidR="007123E7" w:rsidRPr="00067F99" w:rsidRDefault="007123E7" w:rsidP="00E27C70">
            <w:pPr>
              <w:rPr>
                <w:rFonts w:eastAsia="Times New Roman"/>
                <w:sz w:val="24"/>
                <w:szCs w:val="24"/>
              </w:rPr>
            </w:pPr>
            <w:r w:rsidRPr="00067F99">
              <w:rPr>
                <w:rFonts w:eastAsia="Times New Roman"/>
                <w:sz w:val="24"/>
                <w:szCs w:val="24"/>
              </w:rPr>
              <w:t>Crude oil leak affecting fisheries</w:t>
            </w:r>
          </w:p>
        </w:tc>
        <w:tc>
          <w:tcPr>
            <w:tcW w:w="0" w:type="auto"/>
            <w:hideMark/>
          </w:tcPr>
          <w:p w14:paraId="3CB0079E" w14:textId="77777777" w:rsidR="007123E7" w:rsidRPr="00067F99" w:rsidRDefault="007123E7" w:rsidP="00E27C70">
            <w:pPr>
              <w:rPr>
                <w:rFonts w:eastAsia="Times New Roman"/>
                <w:sz w:val="24"/>
                <w:szCs w:val="24"/>
              </w:rPr>
            </w:pPr>
            <w:r w:rsidRPr="00067F99">
              <w:rPr>
                <w:rFonts w:eastAsia="Times New Roman"/>
                <w:sz w:val="24"/>
                <w:szCs w:val="24"/>
              </w:rPr>
              <w:t>~47,000 liters</w:t>
            </w:r>
          </w:p>
        </w:tc>
      </w:tr>
      <w:tr w:rsidR="007123E7" w:rsidRPr="00067F99" w14:paraId="63DB70F7" w14:textId="77777777" w:rsidTr="00E27C70">
        <w:tc>
          <w:tcPr>
            <w:tcW w:w="0" w:type="auto"/>
            <w:hideMark/>
          </w:tcPr>
          <w:p w14:paraId="39B3E997" w14:textId="77777777" w:rsidR="007123E7" w:rsidRPr="00067F99" w:rsidRDefault="007123E7" w:rsidP="00E27C70">
            <w:pPr>
              <w:rPr>
                <w:rFonts w:eastAsia="Times New Roman"/>
                <w:sz w:val="24"/>
                <w:szCs w:val="24"/>
              </w:rPr>
            </w:pPr>
            <w:r w:rsidRPr="00067F99">
              <w:rPr>
                <w:rFonts w:eastAsia="Times New Roman"/>
                <w:sz w:val="24"/>
                <w:szCs w:val="24"/>
              </w:rPr>
              <w:t>2023 Si Racha spill</w:t>
            </w:r>
          </w:p>
        </w:tc>
        <w:tc>
          <w:tcPr>
            <w:tcW w:w="0" w:type="auto"/>
            <w:hideMark/>
          </w:tcPr>
          <w:p w14:paraId="46150CF6" w14:textId="77777777" w:rsidR="007123E7" w:rsidRPr="00067F99" w:rsidRDefault="007123E7" w:rsidP="00E27C70">
            <w:pPr>
              <w:rPr>
                <w:rFonts w:eastAsia="Times New Roman"/>
                <w:sz w:val="24"/>
                <w:szCs w:val="24"/>
              </w:rPr>
            </w:pPr>
            <w:r w:rsidRPr="00067F99">
              <w:rPr>
                <w:rFonts w:eastAsia="Times New Roman"/>
                <w:sz w:val="24"/>
                <w:szCs w:val="24"/>
              </w:rPr>
              <w:t>Tanker oil leak</w:t>
            </w:r>
          </w:p>
        </w:tc>
        <w:tc>
          <w:tcPr>
            <w:tcW w:w="0" w:type="auto"/>
            <w:hideMark/>
          </w:tcPr>
          <w:p w14:paraId="309F21AB" w14:textId="77777777" w:rsidR="007123E7" w:rsidRPr="00067F99" w:rsidRDefault="007123E7" w:rsidP="00E27C70">
            <w:pPr>
              <w:rPr>
                <w:rFonts w:eastAsia="Times New Roman"/>
                <w:sz w:val="24"/>
                <w:szCs w:val="24"/>
              </w:rPr>
            </w:pPr>
            <w:r w:rsidRPr="00067F99">
              <w:rPr>
                <w:rFonts w:eastAsia="Times New Roman"/>
                <w:sz w:val="24"/>
                <w:szCs w:val="24"/>
              </w:rPr>
              <w:t>~60,000 liters</w:t>
            </w:r>
          </w:p>
        </w:tc>
      </w:tr>
      <w:tr w:rsidR="007123E7" w:rsidRPr="00067F99" w14:paraId="4ADCF9E2" w14:textId="77777777" w:rsidTr="00E27C70">
        <w:tc>
          <w:tcPr>
            <w:tcW w:w="0" w:type="auto"/>
            <w:hideMark/>
          </w:tcPr>
          <w:p w14:paraId="74899762" w14:textId="77777777" w:rsidR="007123E7" w:rsidRPr="00067F99" w:rsidRDefault="007123E7" w:rsidP="00E27C70">
            <w:pPr>
              <w:rPr>
                <w:rFonts w:eastAsia="Times New Roman"/>
                <w:sz w:val="24"/>
                <w:szCs w:val="24"/>
              </w:rPr>
            </w:pPr>
            <w:r w:rsidRPr="00067F99">
              <w:rPr>
                <w:rFonts w:eastAsia="Times New Roman"/>
                <w:sz w:val="24"/>
                <w:szCs w:val="24"/>
              </w:rPr>
              <w:t>Spill response tiers</w:t>
            </w:r>
          </w:p>
        </w:tc>
        <w:tc>
          <w:tcPr>
            <w:tcW w:w="0" w:type="auto"/>
            <w:hideMark/>
          </w:tcPr>
          <w:p w14:paraId="5D817AC5" w14:textId="77777777" w:rsidR="007123E7" w:rsidRPr="00067F99" w:rsidRDefault="007123E7" w:rsidP="00E27C70">
            <w:pPr>
              <w:rPr>
                <w:rFonts w:eastAsia="Times New Roman"/>
                <w:sz w:val="24"/>
                <w:szCs w:val="24"/>
              </w:rPr>
            </w:pPr>
            <w:r w:rsidRPr="00067F99">
              <w:rPr>
                <w:rFonts w:eastAsia="Times New Roman"/>
                <w:sz w:val="24"/>
                <w:szCs w:val="24"/>
              </w:rPr>
              <w:t>National contingency plan (Tier 1–3)</w:t>
            </w:r>
          </w:p>
        </w:tc>
        <w:tc>
          <w:tcPr>
            <w:tcW w:w="0" w:type="auto"/>
            <w:hideMark/>
          </w:tcPr>
          <w:p w14:paraId="4B4FAE42" w14:textId="77777777" w:rsidR="007123E7" w:rsidRPr="00067F99" w:rsidRDefault="007123E7" w:rsidP="00E27C70">
            <w:pPr>
              <w:rPr>
                <w:rFonts w:eastAsia="Times New Roman"/>
                <w:sz w:val="24"/>
                <w:szCs w:val="24"/>
              </w:rPr>
            </w:pPr>
            <w:r w:rsidRPr="00067F99">
              <w:rPr>
                <w:rFonts w:eastAsia="Times New Roman"/>
                <w:sz w:val="24"/>
                <w:szCs w:val="24"/>
              </w:rPr>
              <w:t>Tier 1: &lt;20 t</w:t>
            </w:r>
            <w:r w:rsidRPr="00067F99">
              <w:rPr>
                <w:rFonts w:eastAsia="Times New Roman"/>
                <w:sz w:val="24"/>
                <w:szCs w:val="24"/>
              </w:rPr>
              <w:br/>
              <w:t>Tier 2: 20–1,000 t</w:t>
            </w:r>
            <w:r w:rsidRPr="00067F99">
              <w:rPr>
                <w:rFonts w:eastAsia="Times New Roman"/>
                <w:sz w:val="24"/>
                <w:szCs w:val="24"/>
              </w:rPr>
              <w:br/>
              <w:t>Tier 3: &gt;1,000 t</w:t>
            </w:r>
          </w:p>
        </w:tc>
      </w:tr>
      <w:tr w:rsidR="007123E7" w:rsidRPr="00067F99" w14:paraId="38549837" w14:textId="77777777" w:rsidTr="00E27C70">
        <w:tc>
          <w:tcPr>
            <w:tcW w:w="0" w:type="auto"/>
            <w:hideMark/>
          </w:tcPr>
          <w:p w14:paraId="1A6B4020" w14:textId="77777777" w:rsidR="007123E7" w:rsidRPr="00067F99" w:rsidRDefault="007123E7" w:rsidP="00E27C70">
            <w:pPr>
              <w:rPr>
                <w:rFonts w:eastAsia="Times New Roman"/>
                <w:sz w:val="24"/>
                <w:szCs w:val="24"/>
              </w:rPr>
            </w:pPr>
            <w:r w:rsidRPr="00067F99">
              <w:rPr>
                <w:rFonts w:eastAsia="Times New Roman"/>
                <w:sz w:val="24"/>
                <w:szCs w:val="24"/>
              </w:rPr>
              <w:t>Most impacted zones</w:t>
            </w:r>
          </w:p>
        </w:tc>
        <w:tc>
          <w:tcPr>
            <w:tcW w:w="0" w:type="auto"/>
            <w:hideMark/>
          </w:tcPr>
          <w:p w14:paraId="1F87CA1E" w14:textId="77777777" w:rsidR="007123E7" w:rsidRPr="00067F99" w:rsidRDefault="007123E7" w:rsidP="00E27C70">
            <w:pPr>
              <w:rPr>
                <w:rFonts w:eastAsia="Times New Roman"/>
                <w:sz w:val="24"/>
                <w:szCs w:val="24"/>
              </w:rPr>
            </w:pPr>
            <w:r w:rsidRPr="00067F99">
              <w:rPr>
                <w:rFonts w:eastAsia="Times New Roman"/>
                <w:sz w:val="24"/>
                <w:szCs w:val="24"/>
              </w:rPr>
              <w:t>Gulf of Thailand, Andaman Sea</w:t>
            </w:r>
          </w:p>
        </w:tc>
        <w:tc>
          <w:tcPr>
            <w:tcW w:w="0" w:type="auto"/>
            <w:hideMark/>
          </w:tcPr>
          <w:p w14:paraId="3761A71B" w14:textId="77777777" w:rsidR="007123E7" w:rsidRPr="00067F99" w:rsidRDefault="007123E7" w:rsidP="00E27C70">
            <w:pPr>
              <w:rPr>
                <w:rFonts w:eastAsia="Times New Roman"/>
                <w:sz w:val="24"/>
                <w:szCs w:val="24"/>
              </w:rPr>
            </w:pPr>
            <w:r w:rsidRPr="00067F99">
              <w:rPr>
                <w:rFonts w:eastAsia="Times New Roman"/>
                <w:sz w:val="24"/>
                <w:szCs w:val="24"/>
              </w:rPr>
              <w:t>Eastern Gulf coast hotspots</w:t>
            </w:r>
          </w:p>
        </w:tc>
      </w:tr>
    </w:tbl>
    <w:p w14:paraId="206054EB" w14:textId="77777777" w:rsidR="007123E7" w:rsidRPr="00067F99" w:rsidRDefault="007123E7" w:rsidP="007123E7">
      <w:pPr>
        <w:tabs>
          <w:tab w:val="left" w:pos="450"/>
        </w:tabs>
        <w:rPr>
          <w:color w:val="00B0F0"/>
          <w:sz w:val="24"/>
          <w:szCs w:val="24"/>
        </w:rPr>
      </w:pPr>
    </w:p>
    <w:p w14:paraId="2AA6742B" w14:textId="77777777" w:rsidR="007123E7" w:rsidRPr="00067F99" w:rsidRDefault="007123E7" w:rsidP="007123E7">
      <w:pPr>
        <w:tabs>
          <w:tab w:val="left" w:pos="450"/>
        </w:tabs>
        <w:jc w:val="thaiDistribute"/>
        <w:rPr>
          <w:b/>
          <w:bCs/>
          <w:sz w:val="24"/>
          <w:szCs w:val="24"/>
        </w:rPr>
      </w:pPr>
      <w:r w:rsidRPr="00067F99">
        <w:rPr>
          <w:b/>
          <w:bCs/>
          <w:sz w:val="24"/>
          <w:szCs w:val="24"/>
        </w:rPr>
        <w:t xml:space="preserve">3.2.2 Pollution Hotspots and Sensitive Areas </w:t>
      </w:r>
    </w:p>
    <w:p w14:paraId="4EC36352" w14:textId="77777777" w:rsidR="007123E7" w:rsidRPr="00067F99" w:rsidRDefault="007123E7" w:rsidP="007123E7">
      <w:pPr>
        <w:tabs>
          <w:tab w:val="left" w:pos="450"/>
        </w:tabs>
        <w:rPr>
          <w:b/>
          <w:bCs/>
          <w:sz w:val="24"/>
          <w:szCs w:val="24"/>
        </w:rPr>
      </w:pPr>
      <w:r w:rsidRPr="00067F99">
        <w:rPr>
          <w:b/>
          <w:bCs/>
          <w:sz w:val="24"/>
          <w:szCs w:val="24"/>
        </w:rPr>
        <w:t>Hotspots:</w:t>
      </w:r>
    </w:p>
    <w:p w14:paraId="38C6287E" w14:textId="77777777" w:rsidR="007123E7" w:rsidRPr="00067F99" w:rsidRDefault="007123E7" w:rsidP="007123E7">
      <w:pPr>
        <w:tabs>
          <w:tab w:val="left" w:pos="450"/>
        </w:tabs>
        <w:rPr>
          <w:sz w:val="24"/>
          <w:szCs w:val="24"/>
        </w:rPr>
      </w:pPr>
      <w:r w:rsidRPr="00067F99">
        <w:rPr>
          <w:sz w:val="24"/>
          <w:szCs w:val="24"/>
        </w:rPr>
        <w:t>1.</w:t>
      </w:r>
      <w:r w:rsidRPr="00067F99">
        <w:rPr>
          <w:sz w:val="24"/>
          <w:szCs w:val="24"/>
        </w:rPr>
        <w:tab/>
        <w:t>Upper Gulf of Thailand: The convergence of the Chao Phraya, Tha Chin, and Mae Klong rivers carries pollution from Bangkok and the central plains, creating a severe pollution load. The areas around Map Ta Phut Industrial Estate (Rayong) are also critical.</w:t>
      </w:r>
    </w:p>
    <w:p w14:paraId="250C2C3D" w14:textId="77777777" w:rsidR="007123E7" w:rsidRPr="00067F99" w:rsidRDefault="007123E7" w:rsidP="007123E7">
      <w:pPr>
        <w:tabs>
          <w:tab w:val="left" w:pos="450"/>
        </w:tabs>
        <w:rPr>
          <w:sz w:val="24"/>
          <w:szCs w:val="24"/>
        </w:rPr>
      </w:pPr>
      <w:r w:rsidRPr="00067F99">
        <w:rPr>
          <w:sz w:val="24"/>
          <w:szCs w:val="24"/>
        </w:rPr>
        <w:t>2.</w:t>
      </w:r>
      <w:r w:rsidRPr="00067F99">
        <w:rPr>
          <w:sz w:val="24"/>
          <w:szCs w:val="24"/>
        </w:rPr>
        <w:tab/>
        <w:t>Tourist Destination Beaches and Bays: Patong Beach (Phuket), Maya Bay (Phi Phi Islands), and Chaweng Beach (Koh Samui) suffer from wastewater and solid waste overload, especially during high season.</w:t>
      </w:r>
    </w:p>
    <w:p w14:paraId="5F09D80E" w14:textId="77777777" w:rsidR="007123E7" w:rsidRPr="00067F99" w:rsidRDefault="007123E7" w:rsidP="007123E7">
      <w:pPr>
        <w:tabs>
          <w:tab w:val="left" w:pos="450"/>
        </w:tabs>
        <w:rPr>
          <w:sz w:val="24"/>
          <w:szCs w:val="24"/>
        </w:rPr>
      </w:pPr>
      <w:r w:rsidRPr="00067F99">
        <w:rPr>
          <w:sz w:val="24"/>
          <w:szCs w:val="24"/>
        </w:rPr>
        <w:t>3.</w:t>
      </w:r>
      <w:r w:rsidRPr="00067F99">
        <w:rPr>
          <w:sz w:val="24"/>
          <w:szCs w:val="24"/>
        </w:rPr>
        <w:tab/>
        <w:t>River Mouths and Estuaries: The mouths of major rivers act as conduits for pollution, affecting estuarine ecosystems.</w:t>
      </w:r>
    </w:p>
    <w:p w14:paraId="17B27E42" w14:textId="77777777" w:rsidR="007123E7" w:rsidRPr="00067F99" w:rsidRDefault="007123E7" w:rsidP="007123E7">
      <w:pPr>
        <w:tabs>
          <w:tab w:val="left" w:pos="450"/>
        </w:tabs>
        <w:rPr>
          <w:b/>
          <w:bCs/>
          <w:sz w:val="24"/>
          <w:szCs w:val="24"/>
        </w:rPr>
      </w:pPr>
      <w:r w:rsidRPr="00067F99">
        <w:rPr>
          <w:b/>
          <w:bCs/>
          <w:sz w:val="24"/>
          <w:szCs w:val="24"/>
        </w:rPr>
        <w:t>Sensitive Areas:</w:t>
      </w:r>
    </w:p>
    <w:p w14:paraId="35A27668" w14:textId="77777777" w:rsidR="007123E7" w:rsidRPr="00067F99" w:rsidRDefault="007123E7" w:rsidP="007123E7">
      <w:pPr>
        <w:tabs>
          <w:tab w:val="left" w:pos="450"/>
        </w:tabs>
        <w:rPr>
          <w:sz w:val="24"/>
          <w:szCs w:val="24"/>
        </w:rPr>
      </w:pPr>
      <w:r w:rsidRPr="00067F99">
        <w:rPr>
          <w:sz w:val="24"/>
          <w:szCs w:val="24"/>
        </w:rPr>
        <w:t>1.</w:t>
      </w:r>
      <w:r w:rsidRPr="00067F99">
        <w:rPr>
          <w:sz w:val="24"/>
          <w:szCs w:val="24"/>
        </w:rPr>
        <w:tab/>
        <w:t>Coral Reefs: e.g., in the Andaman Sea (Similan Islands, Surin Islands) and the Gulf (Koh Tao, Chumphon), are highly sensitive to sedimentation, nutrient loading, and rising temperatures.</w:t>
      </w:r>
    </w:p>
    <w:p w14:paraId="34A531BF" w14:textId="77777777" w:rsidR="007123E7" w:rsidRPr="00067F99" w:rsidRDefault="007123E7" w:rsidP="007123E7">
      <w:pPr>
        <w:tabs>
          <w:tab w:val="left" w:pos="450"/>
        </w:tabs>
        <w:rPr>
          <w:sz w:val="24"/>
          <w:szCs w:val="24"/>
        </w:rPr>
      </w:pPr>
      <w:r w:rsidRPr="00067F99">
        <w:rPr>
          <w:sz w:val="24"/>
          <w:szCs w:val="24"/>
        </w:rPr>
        <w:t>2.</w:t>
      </w:r>
      <w:r w:rsidRPr="00067F99">
        <w:rPr>
          <w:sz w:val="24"/>
          <w:szCs w:val="24"/>
        </w:rPr>
        <w:tab/>
        <w:t>Mangrove Forests: Critical for carbon sequestration and coastal protection, but are threatened by aquaculture pond expansion and pollution.</w:t>
      </w:r>
    </w:p>
    <w:p w14:paraId="40724E8B" w14:textId="77777777" w:rsidR="007123E7" w:rsidRPr="00067F99" w:rsidRDefault="007123E7" w:rsidP="007123E7">
      <w:pPr>
        <w:tabs>
          <w:tab w:val="left" w:pos="450"/>
        </w:tabs>
        <w:rPr>
          <w:sz w:val="24"/>
          <w:szCs w:val="24"/>
        </w:rPr>
      </w:pPr>
      <w:r w:rsidRPr="00067F99">
        <w:rPr>
          <w:sz w:val="24"/>
          <w:szCs w:val="24"/>
        </w:rPr>
        <w:t>3.</w:t>
      </w:r>
      <w:r w:rsidRPr="00067F99">
        <w:rPr>
          <w:sz w:val="24"/>
          <w:szCs w:val="24"/>
        </w:rPr>
        <w:tab/>
        <w:t>Seagrass Beds: Important foraging grounds for dugongs and sea turtles, vulnerable to sedimentation and water quality degradation.</w:t>
      </w:r>
    </w:p>
    <w:p w14:paraId="7C3C0262" w14:textId="77777777" w:rsidR="007123E7" w:rsidRPr="00067F99" w:rsidRDefault="007123E7" w:rsidP="007123E7">
      <w:pPr>
        <w:pStyle w:val="ListParagraph"/>
        <w:tabs>
          <w:tab w:val="left" w:pos="450"/>
        </w:tabs>
        <w:ind w:left="360"/>
        <w:rPr>
          <w:rFonts w:cs="Arial"/>
          <w:b/>
          <w:bCs/>
          <w:sz w:val="24"/>
          <w:szCs w:val="24"/>
        </w:rPr>
      </w:pPr>
    </w:p>
    <w:p w14:paraId="25346C47" w14:textId="77777777" w:rsidR="007123E7" w:rsidRPr="00067F99" w:rsidRDefault="007123E7" w:rsidP="007123E7">
      <w:pPr>
        <w:pStyle w:val="ListParagraph"/>
        <w:widowControl/>
        <w:numPr>
          <w:ilvl w:val="1"/>
          <w:numId w:val="36"/>
        </w:numPr>
        <w:tabs>
          <w:tab w:val="left" w:pos="450"/>
        </w:tabs>
        <w:spacing w:after="160" w:line="259" w:lineRule="auto"/>
        <w:rPr>
          <w:rFonts w:cs="Arial"/>
          <w:b/>
          <w:bCs/>
          <w:sz w:val="24"/>
          <w:szCs w:val="24"/>
        </w:rPr>
      </w:pPr>
      <w:r w:rsidRPr="00067F99">
        <w:rPr>
          <w:rFonts w:cs="Arial"/>
          <w:b/>
          <w:bCs/>
          <w:sz w:val="24"/>
          <w:szCs w:val="24"/>
        </w:rPr>
        <w:t xml:space="preserve"> Discussion and conclusions</w:t>
      </w:r>
    </w:p>
    <w:p w14:paraId="672AB13D" w14:textId="77777777" w:rsidR="007123E7" w:rsidRPr="00067F99" w:rsidRDefault="007123E7" w:rsidP="007123E7">
      <w:pPr>
        <w:pStyle w:val="ListParagraph"/>
        <w:tabs>
          <w:tab w:val="left" w:pos="450"/>
        </w:tabs>
        <w:ind w:left="360"/>
        <w:rPr>
          <w:rFonts w:cs="Arial"/>
          <w:b/>
          <w:bCs/>
          <w:sz w:val="24"/>
          <w:szCs w:val="24"/>
        </w:rPr>
      </w:pPr>
    </w:p>
    <w:p w14:paraId="6BDE5C01" w14:textId="77777777" w:rsidR="007123E7" w:rsidRPr="00067F99" w:rsidRDefault="007123E7" w:rsidP="007123E7">
      <w:pPr>
        <w:pStyle w:val="ListParagraph"/>
        <w:widowControl/>
        <w:numPr>
          <w:ilvl w:val="2"/>
          <w:numId w:val="36"/>
        </w:numPr>
        <w:tabs>
          <w:tab w:val="left" w:pos="450"/>
        </w:tabs>
        <w:spacing w:after="160" w:line="259" w:lineRule="auto"/>
        <w:ind w:left="540" w:hanging="540"/>
        <w:rPr>
          <w:rFonts w:cs="Arial"/>
          <w:b/>
          <w:bCs/>
          <w:sz w:val="24"/>
          <w:szCs w:val="24"/>
        </w:rPr>
      </w:pPr>
      <w:r w:rsidRPr="00067F99">
        <w:rPr>
          <w:rFonts w:cs="Arial"/>
          <w:b/>
          <w:bCs/>
          <w:sz w:val="24"/>
          <w:szCs w:val="24"/>
        </w:rPr>
        <w:t>Priority Transboundary Pollution Issues</w:t>
      </w:r>
    </w:p>
    <w:p w14:paraId="4C7C9350" w14:textId="77777777" w:rsidR="007123E7" w:rsidRPr="00067F99" w:rsidRDefault="007123E7" w:rsidP="007123E7">
      <w:pPr>
        <w:pStyle w:val="ListParagraph"/>
        <w:tabs>
          <w:tab w:val="left" w:pos="450"/>
        </w:tabs>
        <w:ind w:left="540"/>
        <w:rPr>
          <w:rFonts w:cs="Arial"/>
          <w:b/>
          <w:bCs/>
          <w:sz w:val="24"/>
          <w:szCs w:val="24"/>
        </w:rPr>
      </w:pPr>
    </w:p>
    <w:p w14:paraId="622C5521" w14:textId="77777777" w:rsidR="007123E7" w:rsidRPr="00067F99" w:rsidRDefault="007123E7" w:rsidP="007123E7">
      <w:pPr>
        <w:jc w:val="thaiDistribute"/>
        <w:rPr>
          <w:sz w:val="24"/>
          <w:szCs w:val="24"/>
        </w:rPr>
      </w:pPr>
      <w:r w:rsidRPr="00067F99">
        <w:rPr>
          <w:sz w:val="24"/>
          <w:szCs w:val="24"/>
        </w:rPr>
        <w:t>Transboundary marine water quality issues in Thailand and the broader ASEAN region are primarily driven by nutrient pollution, alongside plastic pollution and other chemical contaminants. Nutrient pollution mainly originates from agricultural runoff, untreated domestic wastewater, and industrial effluents. Excessive nitrogen and phosphorus compounds transported through rivers and coastal waters cause eutrophication, leading to harmful algal blooms (HABs), oxygen depletion, and the degradation of marine ecosystems. Because these impacts extend across national boundaries, particularly in shared seas, they represent an inherently transboundary challenge for ASEAN member states.</w:t>
      </w:r>
    </w:p>
    <w:p w14:paraId="59CAB07F" w14:textId="77777777" w:rsidR="007123E7" w:rsidRPr="00067F99" w:rsidRDefault="007123E7" w:rsidP="007123E7">
      <w:pPr>
        <w:jc w:val="thaiDistribute"/>
        <w:rPr>
          <w:sz w:val="24"/>
          <w:szCs w:val="24"/>
        </w:rPr>
      </w:pPr>
      <w:r w:rsidRPr="00067F99">
        <w:rPr>
          <w:sz w:val="24"/>
          <w:szCs w:val="24"/>
        </w:rPr>
        <w:t xml:space="preserve">According to the ASEAN Marine Water Quality Management report by the Pollution Control Department (PCD), coastal and estuarine waters throughout the region have experienced increasing nutrient loads due to expanding agriculture, urbanization, and aquaculture. The accumulation of nutrients and pollutants has been further intensified </w:t>
      </w:r>
      <w:r w:rsidRPr="00067F99">
        <w:rPr>
          <w:sz w:val="24"/>
          <w:szCs w:val="24"/>
        </w:rPr>
        <w:lastRenderedPageBreak/>
        <w:t>by population growth and industrial development, especially near river mouths and urban centers. The transboundary</w:t>
      </w:r>
      <w:r w:rsidRPr="00067F99">
        <w:rPr>
          <w:sz w:val="24"/>
          <w:szCs w:val="24"/>
          <w:cs/>
        </w:rPr>
        <w:t xml:space="preserve"> </w:t>
      </w:r>
      <w:r w:rsidRPr="00067F99">
        <w:rPr>
          <w:sz w:val="24"/>
          <w:szCs w:val="24"/>
        </w:rPr>
        <w:t>transport of nutrient-rich effluents via ocean currents, underscores the need for multinational governance and coordinated management (PCD, 2024).</w:t>
      </w:r>
    </w:p>
    <w:p w14:paraId="4FE1EC5A" w14:textId="77777777" w:rsidR="007123E7" w:rsidRPr="00067F99" w:rsidRDefault="007123E7" w:rsidP="007123E7">
      <w:pPr>
        <w:jc w:val="thaiDistribute"/>
        <w:rPr>
          <w:sz w:val="24"/>
          <w:szCs w:val="24"/>
        </w:rPr>
      </w:pPr>
      <w:r w:rsidRPr="00067F99">
        <w:rPr>
          <w:sz w:val="24"/>
          <w:szCs w:val="24"/>
        </w:rPr>
        <w:t>In response, ASEAN member states have made nutrient pollution control a regional priority. Actions include the harmonization of water quality monitoring standards, data sharing, and the implementation of best practices for wastewater treatment and agricultural runoff reduction. Regional initiatives such as the Partnerships in Environmental Management for the Seas of East Asia (PEMSEA) provide both technical guidance and governance frameworks to support these efforts. Key strategies emphasize integrated coastal zone management (ICZM), cross-country collaboration, and ecosystem-based approaches to restore and maintain marine water quality.</w:t>
      </w:r>
    </w:p>
    <w:p w14:paraId="293507F9" w14:textId="77777777" w:rsidR="007123E7" w:rsidRPr="00067F99" w:rsidRDefault="007123E7" w:rsidP="007123E7">
      <w:pPr>
        <w:jc w:val="thaiDistribute"/>
        <w:rPr>
          <w:sz w:val="24"/>
          <w:szCs w:val="24"/>
        </w:rPr>
      </w:pPr>
      <w:r w:rsidRPr="00067F99">
        <w:rPr>
          <w:sz w:val="24"/>
          <w:szCs w:val="24"/>
        </w:rPr>
        <w:t>Further, China–ASEAN subregional cooperation on coral reef and marine ecosystem conservation incorporates nutrient pollution management within broader environmental goals. These initiatives also focus on blue carbon habitats—such as mangroves and seagrasses—that mitigate climate change while sustaining marine biodiversity. Bilateral partnerships, for example between China and Thailand, illustrate how targeted, scalable collaborations can effectively address nutrient and other marine pollution challenges, serving as models for wider regional application.</w:t>
      </w:r>
    </w:p>
    <w:p w14:paraId="727F95AC" w14:textId="77777777" w:rsidR="007123E7" w:rsidRPr="00067F99" w:rsidRDefault="007123E7" w:rsidP="007123E7">
      <w:pPr>
        <w:jc w:val="thaiDistribute"/>
        <w:rPr>
          <w:sz w:val="24"/>
          <w:szCs w:val="24"/>
        </w:rPr>
      </w:pPr>
      <w:r w:rsidRPr="00067F99">
        <w:rPr>
          <w:sz w:val="24"/>
          <w:szCs w:val="24"/>
        </w:rPr>
        <w:t>Overall, these insights highlight that nutrient pollution, as a key transboundary marine water quality threat, demands multilateral coordination, science-based policymaking, and effective enforcement mechanisms across ASEAN and its neighboring countries.</w:t>
      </w:r>
    </w:p>
    <w:p w14:paraId="239DECDC" w14:textId="77777777" w:rsidR="007123E7" w:rsidRPr="00067F99" w:rsidRDefault="007123E7" w:rsidP="007123E7">
      <w:pPr>
        <w:pStyle w:val="ListParagraph"/>
        <w:tabs>
          <w:tab w:val="left" w:pos="450"/>
        </w:tabs>
        <w:ind w:left="0"/>
        <w:rPr>
          <w:rFonts w:cs="Arial"/>
          <w:b/>
          <w:bCs/>
          <w:color w:val="FF0000"/>
          <w:sz w:val="24"/>
          <w:szCs w:val="24"/>
          <w:cs/>
        </w:rPr>
      </w:pPr>
      <w:r w:rsidRPr="00067F99">
        <w:rPr>
          <w:rFonts w:cs="Arial"/>
          <w:b/>
          <w:bCs/>
          <w:sz w:val="24"/>
          <w:szCs w:val="24"/>
        </w:rPr>
        <w:t xml:space="preserve">Marine Plastic Pollution: </w:t>
      </w:r>
    </w:p>
    <w:p w14:paraId="7C9473AF" w14:textId="77777777" w:rsidR="007123E7" w:rsidRPr="00067F99" w:rsidRDefault="007123E7" w:rsidP="007123E7">
      <w:pPr>
        <w:jc w:val="thaiDistribute"/>
        <w:rPr>
          <w:sz w:val="24"/>
          <w:szCs w:val="24"/>
        </w:rPr>
      </w:pPr>
      <w:r w:rsidRPr="00067F99">
        <w:rPr>
          <w:sz w:val="24"/>
          <w:szCs w:val="24"/>
        </w:rPr>
        <w:t>Thailand ranks as the world's tenth largest marine plastic polluter, generating as estimated 1.03 million tonnes of mismanaged waste annually, of which nearly 0.41 million tonnes are discharged into the sea (TDRI, 2024). Marine debris, particularly plastic pollution, represents a major transboundary environmental issue for Thailand, intricately linked to broader regional waste management challenges in Southeast Asia.</w:t>
      </w:r>
    </w:p>
    <w:p w14:paraId="6626F084" w14:textId="77777777" w:rsidR="007123E7" w:rsidRPr="00067F99" w:rsidRDefault="007123E7" w:rsidP="007123E7">
      <w:pPr>
        <w:jc w:val="thaiDistribute"/>
        <w:rPr>
          <w:sz w:val="24"/>
          <w:szCs w:val="24"/>
        </w:rPr>
      </w:pPr>
      <w:r w:rsidRPr="00067F99">
        <w:rPr>
          <w:sz w:val="24"/>
          <w:szCs w:val="24"/>
        </w:rPr>
        <w:t>In 2023, approximately 882 tonnes of marine debris were recorded in the upper Gulf of Thailand, marking a substantial decline from 1,636 tonnes in 2022 (PCD, 2024). Single-use plastics—including food packaging, carrier bags, and thin plastic films—dominated the waste composition, reflecting prevalent consumption habits and inadequate waste management practices. The debris composition consisted of roughly 12% plastic fragments, 10% Styrofoam, 8% food wrappers, and 8% plastic bags, among other materials (TDRI, 2024).</w:t>
      </w:r>
    </w:p>
    <w:p w14:paraId="7EE5E006" w14:textId="77777777" w:rsidR="007123E7" w:rsidRPr="00067F99" w:rsidRDefault="007123E7" w:rsidP="007123E7">
      <w:pPr>
        <w:tabs>
          <w:tab w:val="left" w:pos="450"/>
        </w:tabs>
        <w:jc w:val="thaiDistribute"/>
        <w:rPr>
          <w:sz w:val="24"/>
          <w:szCs w:val="24"/>
        </w:rPr>
      </w:pPr>
      <w:r w:rsidRPr="00067F99">
        <w:rPr>
          <w:sz w:val="24"/>
          <w:szCs w:val="24"/>
        </w:rPr>
        <w:t>Thailand is ranked as the sixth largest contributor to marine plastic debris globally, driven by a combination of factors including population growth, changing consumer lifestyle rising plastic production, economic expansion, and the growth of online shopping. The COVID-19 pandemic further intensified the problem, increasing plastic waste generation by approximately 15% nationwide, while Bangkok experienced a 62% surge, significantly worsening marine pollution (World Bank, 2023).</w:t>
      </w:r>
    </w:p>
    <w:p w14:paraId="53D051D8" w14:textId="77777777" w:rsidR="007123E7" w:rsidRPr="00067F99" w:rsidRDefault="007123E7" w:rsidP="007123E7">
      <w:pPr>
        <w:jc w:val="thaiDistribute"/>
        <w:rPr>
          <w:sz w:val="24"/>
          <w:szCs w:val="24"/>
        </w:rPr>
      </w:pPr>
      <w:r w:rsidRPr="00067F99">
        <w:rPr>
          <w:sz w:val="24"/>
          <w:szCs w:val="24"/>
        </w:rPr>
        <w:t>Marine plastic debris carried by ocean currents, crossing national boundaries and affecting marine ecosystems and coastal economies across the ASEAN region. The Thai government plays an active role in regional cooperation frameworks and ASEAN initiatives that aim to reduce marine plastic pollution through the promotion of a circular economy and the implementation of Extended Producer Responsibility (EPR) systems (World Bank, 2023).</w:t>
      </w:r>
    </w:p>
    <w:p w14:paraId="79E0BB7C" w14:textId="77777777" w:rsidR="007123E7" w:rsidRPr="00067F99" w:rsidRDefault="007123E7" w:rsidP="007123E7">
      <w:pPr>
        <w:pStyle w:val="ListParagraph"/>
        <w:tabs>
          <w:tab w:val="left" w:pos="450"/>
        </w:tabs>
        <w:ind w:left="0"/>
        <w:jc w:val="thaiDistribute"/>
        <w:rPr>
          <w:rFonts w:cs="Arial"/>
          <w:b/>
          <w:bCs/>
          <w:sz w:val="24"/>
          <w:szCs w:val="24"/>
        </w:rPr>
      </w:pPr>
      <w:r w:rsidRPr="00067F99">
        <w:rPr>
          <w:rFonts w:cs="Arial"/>
          <w:sz w:val="24"/>
          <w:szCs w:val="24"/>
        </w:rPr>
        <w:t xml:space="preserve">Recent data indicate that single-use plastics continue to dominate marine debris along Thailand coastal region. According to the Pollution Control Department of Thailand </w:t>
      </w:r>
      <w:r w:rsidRPr="00067F99">
        <w:rPr>
          <w:rFonts w:cs="Arial"/>
          <w:sz w:val="24"/>
          <w:szCs w:val="24"/>
        </w:rPr>
        <w:lastRenderedPageBreak/>
        <w:t xml:space="preserve">(2024), the most common types of plastic waste washing ashore include food bags, carrier bags, thin plastic films, and fragments of polyethylene (PE), polypropylene (PP), polystyrene (PS), polyvinyl chloride (PVC), and polyethylene terephthalate (PET). These materials primarily originate from consumer products and packaging reflecting </w:t>
      </w:r>
      <w:r w:rsidRPr="00067F99">
        <w:rPr>
          <w:rStyle w:val="Strong"/>
          <w:rFonts w:cs="Arial"/>
          <w:b w:val="0"/>
          <w:bCs w:val="0"/>
          <w:sz w:val="24"/>
          <w:szCs w:val="24"/>
        </w:rPr>
        <w:t>prevalence of single-use plastics</w:t>
      </w:r>
      <w:r w:rsidRPr="00067F99">
        <w:rPr>
          <w:rFonts w:cs="Arial"/>
          <w:sz w:val="24"/>
          <w:szCs w:val="24"/>
        </w:rPr>
        <w:t xml:space="preserve"> and </w:t>
      </w:r>
      <w:r w:rsidRPr="00067F99">
        <w:rPr>
          <w:rStyle w:val="Strong"/>
          <w:rFonts w:cs="Arial"/>
          <w:b w:val="0"/>
          <w:bCs w:val="0"/>
          <w:sz w:val="24"/>
          <w:szCs w:val="24"/>
        </w:rPr>
        <w:t>improper disposal practices</w:t>
      </w:r>
      <w:r w:rsidRPr="00067F99">
        <w:rPr>
          <w:rFonts w:cs="Arial"/>
          <w:b/>
          <w:bCs/>
          <w:sz w:val="24"/>
          <w:szCs w:val="24"/>
        </w:rPr>
        <w:t xml:space="preserve"> </w:t>
      </w:r>
      <w:r w:rsidRPr="00067F99">
        <w:rPr>
          <w:rFonts w:cs="Arial"/>
          <w:sz w:val="24"/>
          <w:szCs w:val="24"/>
        </w:rPr>
        <w:t>nationwide.</w:t>
      </w:r>
    </w:p>
    <w:p w14:paraId="3D857317" w14:textId="77777777" w:rsidR="007123E7" w:rsidRPr="00067F99" w:rsidRDefault="007123E7" w:rsidP="007123E7">
      <w:pPr>
        <w:pStyle w:val="ListParagraph"/>
        <w:tabs>
          <w:tab w:val="left" w:pos="450"/>
        </w:tabs>
        <w:ind w:left="0"/>
        <w:jc w:val="thaiDistribute"/>
        <w:rPr>
          <w:rFonts w:cs="Arial"/>
          <w:sz w:val="24"/>
          <w:szCs w:val="24"/>
        </w:rPr>
      </w:pPr>
    </w:p>
    <w:p w14:paraId="439D1A8A" w14:textId="77777777" w:rsidR="007123E7" w:rsidRPr="00067F99" w:rsidRDefault="007123E7" w:rsidP="007123E7">
      <w:pPr>
        <w:pStyle w:val="ListParagraph"/>
        <w:tabs>
          <w:tab w:val="left" w:pos="450"/>
        </w:tabs>
        <w:ind w:left="0"/>
        <w:jc w:val="thaiDistribute"/>
        <w:rPr>
          <w:rFonts w:cs="Arial"/>
          <w:sz w:val="24"/>
          <w:szCs w:val="24"/>
        </w:rPr>
      </w:pPr>
      <w:r w:rsidRPr="00067F99">
        <w:rPr>
          <w:rFonts w:cs="Arial"/>
          <w:sz w:val="24"/>
          <w:szCs w:val="24"/>
        </w:rPr>
        <w:t xml:space="preserve">Marine plastic pollution remains a </w:t>
      </w:r>
      <w:r w:rsidRPr="00067F99">
        <w:rPr>
          <w:rStyle w:val="Strong"/>
          <w:rFonts w:cs="Arial"/>
          <w:b w:val="0"/>
          <w:bCs w:val="0"/>
          <w:sz w:val="24"/>
          <w:szCs w:val="24"/>
        </w:rPr>
        <w:t>key environmental issue</w:t>
      </w:r>
      <w:r w:rsidRPr="00067F99">
        <w:rPr>
          <w:rFonts w:cs="Arial"/>
          <w:sz w:val="24"/>
          <w:szCs w:val="24"/>
        </w:rPr>
        <w:t xml:space="preserve"> for the </w:t>
      </w:r>
      <w:r w:rsidRPr="00067F99">
        <w:rPr>
          <w:rStyle w:val="Strong"/>
          <w:rFonts w:cs="Arial"/>
          <w:b w:val="0"/>
          <w:bCs w:val="0"/>
          <w:sz w:val="24"/>
          <w:szCs w:val="24"/>
        </w:rPr>
        <w:t>ASEAN region</w:t>
      </w:r>
      <w:r w:rsidRPr="00067F99">
        <w:rPr>
          <w:rFonts w:cs="Arial"/>
          <w:sz w:val="24"/>
          <w:szCs w:val="24"/>
        </w:rPr>
        <w:t xml:space="preserve">, with ongoing efforts to enhance </w:t>
      </w:r>
      <w:r w:rsidRPr="00067F99">
        <w:rPr>
          <w:rStyle w:val="Strong"/>
          <w:rFonts w:cs="Arial"/>
          <w:b w:val="0"/>
          <w:bCs w:val="0"/>
          <w:sz w:val="24"/>
          <w:szCs w:val="24"/>
        </w:rPr>
        <w:t>regional cooperation</w:t>
      </w:r>
      <w:r w:rsidRPr="00067F99">
        <w:rPr>
          <w:rFonts w:cs="Arial"/>
          <w:sz w:val="24"/>
          <w:szCs w:val="24"/>
        </w:rPr>
        <w:t xml:space="preserve"> (World Economic Forum, 2025). ASEAN has formally recognized marine plastic pollution as a </w:t>
      </w:r>
      <w:r w:rsidRPr="00067F99">
        <w:rPr>
          <w:rStyle w:val="Strong"/>
          <w:rFonts w:cs="Arial"/>
          <w:b w:val="0"/>
          <w:bCs w:val="0"/>
          <w:sz w:val="24"/>
          <w:szCs w:val="24"/>
        </w:rPr>
        <w:t>transboundary environmental challenge</w:t>
      </w:r>
      <w:r w:rsidRPr="00067F99">
        <w:rPr>
          <w:rFonts w:cs="Arial"/>
          <w:sz w:val="24"/>
          <w:szCs w:val="24"/>
        </w:rPr>
        <w:t xml:space="preserve"> and has established several </w:t>
      </w:r>
      <w:r w:rsidRPr="00067F99">
        <w:rPr>
          <w:rStyle w:val="Strong"/>
          <w:rFonts w:cs="Arial"/>
          <w:b w:val="0"/>
          <w:bCs w:val="0"/>
          <w:sz w:val="24"/>
          <w:szCs w:val="24"/>
        </w:rPr>
        <w:t>collaborative frameworks</w:t>
      </w:r>
      <w:r w:rsidRPr="00067F99">
        <w:rPr>
          <w:rFonts w:cs="Arial"/>
          <w:sz w:val="24"/>
          <w:szCs w:val="24"/>
        </w:rPr>
        <w:t xml:space="preserve"> to address it. The </w:t>
      </w:r>
      <w:r w:rsidRPr="00067F99">
        <w:rPr>
          <w:rStyle w:val="Strong"/>
          <w:rFonts w:cs="Arial"/>
          <w:sz w:val="24"/>
          <w:szCs w:val="24"/>
        </w:rPr>
        <w:t>“</w:t>
      </w:r>
      <w:r w:rsidRPr="00067F99">
        <w:rPr>
          <w:rStyle w:val="Strong"/>
          <w:rFonts w:cs="Arial"/>
          <w:b w:val="0"/>
          <w:bCs w:val="0"/>
          <w:sz w:val="24"/>
          <w:szCs w:val="24"/>
        </w:rPr>
        <w:t>Bangkok Declaration on Combating Marine Debris in the ASEAN Region” (2019)</w:t>
      </w:r>
      <w:r w:rsidRPr="00067F99">
        <w:rPr>
          <w:rFonts w:cs="Arial"/>
          <w:b/>
          <w:bCs/>
          <w:sz w:val="24"/>
          <w:szCs w:val="24"/>
        </w:rPr>
        <w:t xml:space="preserve"> </w:t>
      </w:r>
      <w:r w:rsidRPr="00067F99">
        <w:rPr>
          <w:rFonts w:cs="Arial"/>
          <w:sz w:val="24"/>
          <w:szCs w:val="24"/>
        </w:rPr>
        <w:t>and the</w:t>
      </w:r>
      <w:r w:rsidRPr="00067F99">
        <w:rPr>
          <w:rFonts w:cs="Arial"/>
          <w:b/>
          <w:bCs/>
          <w:sz w:val="24"/>
          <w:szCs w:val="24"/>
        </w:rPr>
        <w:t xml:space="preserve"> </w:t>
      </w:r>
      <w:r w:rsidRPr="00067F99">
        <w:rPr>
          <w:rStyle w:val="Strong"/>
          <w:rFonts w:cs="Arial"/>
          <w:b w:val="0"/>
          <w:bCs w:val="0"/>
          <w:sz w:val="24"/>
          <w:szCs w:val="24"/>
        </w:rPr>
        <w:t>ASEAN Framework of Action on Marine Debris</w:t>
      </w:r>
      <w:r w:rsidRPr="00067F99">
        <w:rPr>
          <w:rFonts w:cs="Arial"/>
          <w:b/>
          <w:bCs/>
          <w:sz w:val="24"/>
          <w:szCs w:val="24"/>
        </w:rPr>
        <w:t xml:space="preserve"> </w:t>
      </w:r>
      <w:r w:rsidRPr="00067F99">
        <w:rPr>
          <w:rFonts w:cs="Arial"/>
          <w:sz w:val="24"/>
          <w:szCs w:val="24"/>
        </w:rPr>
        <w:t>demonstrate the region’s commitment to</w:t>
      </w:r>
      <w:r w:rsidRPr="00067F99">
        <w:rPr>
          <w:rFonts w:cs="Arial"/>
          <w:b/>
          <w:bCs/>
          <w:sz w:val="24"/>
          <w:szCs w:val="24"/>
        </w:rPr>
        <w:t xml:space="preserve"> </w:t>
      </w:r>
      <w:r w:rsidRPr="00067F99">
        <w:rPr>
          <w:rFonts w:cs="Arial"/>
          <w:sz w:val="24"/>
          <w:szCs w:val="24"/>
        </w:rPr>
        <w:t>strengthening</w:t>
      </w:r>
      <w:r w:rsidRPr="00067F99">
        <w:rPr>
          <w:rFonts w:cs="Arial"/>
          <w:b/>
          <w:bCs/>
          <w:sz w:val="24"/>
          <w:szCs w:val="24"/>
        </w:rPr>
        <w:t xml:space="preserve"> </w:t>
      </w:r>
      <w:r w:rsidRPr="00067F99">
        <w:rPr>
          <w:rStyle w:val="Strong"/>
          <w:rFonts w:cs="Arial"/>
          <w:b w:val="0"/>
          <w:bCs w:val="0"/>
          <w:sz w:val="24"/>
          <w:szCs w:val="24"/>
        </w:rPr>
        <w:t>cooperation for marine environmental protection</w:t>
      </w:r>
      <w:r w:rsidRPr="00067F99">
        <w:rPr>
          <w:rFonts w:cs="Arial"/>
          <w:b/>
          <w:bCs/>
          <w:sz w:val="24"/>
          <w:szCs w:val="24"/>
        </w:rPr>
        <w:t xml:space="preserve">. </w:t>
      </w:r>
      <w:r w:rsidRPr="00067F99">
        <w:rPr>
          <w:rFonts w:cs="Arial"/>
          <w:sz w:val="24"/>
          <w:szCs w:val="24"/>
        </w:rPr>
        <w:t>These frameworks promote</w:t>
      </w:r>
      <w:r w:rsidRPr="00067F99">
        <w:rPr>
          <w:rFonts w:cs="Arial"/>
          <w:b/>
          <w:bCs/>
          <w:sz w:val="24"/>
          <w:szCs w:val="24"/>
        </w:rPr>
        <w:t xml:space="preserve"> </w:t>
      </w:r>
      <w:r w:rsidRPr="00067F99">
        <w:rPr>
          <w:rStyle w:val="Strong"/>
          <w:rFonts w:cs="Arial"/>
          <w:b w:val="0"/>
          <w:bCs w:val="0"/>
          <w:sz w:val="24"/>
          <w:szCs w:val="24"/>
        </w:rPr>
        <w:t>integrated policy approaches</w:t>
      </w:r>
      <w:r w:rsidRPr="00067F99">
        <w:rPr>
          <w:rFonts w:cs="Arial"/>
          <w:b/>
          <w:bCs/>
          <w:sz w:val="24"/>
          <w:szCs w:val="24"/>
        </w:rPr>
        <w:t xml:space="preserve">, </w:t>
      </w:r>
      <w:r w:rsidRPr="00067F99">
        <w:rPr>
          <w:rStyle w:val="Strong"/>
          <w:rFonts w:cs="Arial"/>
          <w:b w:val="0"/>
          <w:bCs w:val="0"/>
          <w:sz w:val="24"/>
          <w:szCs w:val="24"/>
        </w:rPr>
        <w:t>harmonized regulations</w:t>
      </w:r>
      <w:r w:rsidRPr="00067F99">
        <w:rPr>
          <w:rFonts w:cs="Arial"/>
          <w:b/>
          <w:bCs/>
          <w:sz w:val="24"/>
          <w:szCs w:val="24"/>
        </w:rPr>
        <w:t xml:space="preserve">, </w:t>
      </w:r>
      <w:r w:rsidRPr="00067F99">
        <w:rPr>
          <w:rStyle w:val="Strong"/>
          <w:rFonts w:cs="Arial"/>
          <w:b w:val="0"/>
          <w:bCs w:val="0"/>
          <w:sz w:val="24"/>
          <w:szCs w:val="24"/>
        </w:rPr>
        <w:t>data sharing</w:t>
      </w:r>
      <w:r w:rsidRPr="00067F99">
        <w:rPr>
          <w:rFonts w:cs="Arial"/>
          <w:b/>
          <w:bCs/>
          <w:sz w:val="24"/>
          <w:szCs w:val="24"/>
        </w:rPr>
        <w:t xml:space="preserve">, </w:t>
      </w:r>
      <w:r w:rsidRPr="00067F99">
        <w:rPr>
          <w:rStyle w:val="Strong"/>
          <w:rFonts w:cs="Arial"/>
          <w:b w:val="0"/>
          <w:bCs w:val="0"/>
          <w:sz w:val="24"/>
          <w:szCs w:val="24"/>
        </w:rPr>
        <w:t>capacity building</w:t>
      </w:r>
      <w:r w:rsidRPr="00067F99">
        <w:rPr>
          <w:rFonts w:cs="Arial"/>
          <w:b/>
          <w:bCs/>
          <w:sz w:val="24"/>
          <w:szCs w:val="24"/>
        </w:rPr>
        <w:t xml:space="preserve">, </w:t>
      </w:r>
      <w:r w:rsidRPr="00067F99">
        <w:rPr>
          <w:rFonts w:cs="Arial"/>
          <w:sz w:val="24"/>
          <w:szCs w:val="24"/>
        </w:rPr>
        <w:t>and</w:t>
      </w:r>
      <w:r w:rsidRPr="00067F99">
        <w:rPr>
          <w:rFonts w:cs="Arial"/>
          <w:b/>
          <w:bCs/>
          <w:sz w:val="24"/>
          <w:szCs w:val="24"/>
        </w:rPr>
        <w:t xml:space="preserve"> </w:t>
      </w:r>
      <w:r w:rsidRPr="00067F99">
        <w:rPr>
          <w:rStyle w:val="Strong"/>
          <w:rFonts w:cs="Arial"/>
          <w:b w:val="0"/>
          <w:bCs w:val="0"/>
          <w:sz w:val="24"/>
          <w:szCs w:val="24"/>
        </w:rPr>
        <w:t>joint enforcement efforts</w:t>
      </w:r>
      <w:r w:rsidRPr="00067F99">
        <w:rPr>
          <w:rFonts w:cs="Arial"/>
          <w:b/>
          <w:bCs/>
          <w:sz w:val="24"/>
          <w:szCs w:val="24"/>
        </w:rPr>
        <w:t xml:space="preserve"> </w:t>
      </w:r>
      <w:r w:rsidRPr="00067F99">
        <w:rPr>
          <w:rFonts w:cs="Arial"/>
          <w:sz w:val="24"/>
          <w:szCs w:val="24"/>
        </w:rPr>
        <w:t>aimed at reducing</w:t>
      </w:r>
      <w:r w:rsidRPr="00067F99">
        <w:rPr>
          <w:rFonts w:cs="Arial"/>
          <w:b/>
          <w:bCs/>
          <w:sz w:val="24"/>
          <w:szCs w:val="24"/>
        </w:rPr>
        <w:t xml:space="preserve"> </w:t>
      </w:r>
      <w:r w:rsidRPr="00067F99">
        <w:rPr>
          <w:rStyle w:val="Strong"/>
          <w:rFonts w:cs="Arial"/>
          <w:b w:val="0"/>
          <w:bCs w:val="0"/>
          <w:sz w:val="24"/>
          <w:szCs w:val="24"/>
        </w:rPr>
        <w:t>plastic leakage</w:t>
      </w:r>
      <w:r w:rsidRPr="00067F99">
        <w:rPr>
          <w:rFonts w:cs="Arial"/>
          <w:b/>
          <w:bCs/>
          <w:sz w:val="24"/>
          <w:szCs w:val="24"/>
        </w:rPr>
        <w:t xml:space="preserve"> </w:t>
      </w:r>
      <w:r w:rsidRPr="00067F99">
        <w:rPr>
          <w:rFonts w:cs="Arial"/>
          <w:sz w:val="24"/>
          <w:szCs w:val="24"/>
        </w:rPr>
        <w:t>and other pollutants entering</w:t>
      </w:r>
      <w:r w:rsidRPr="00067F99">
        <w:rPr>
          <w:rFonts w:cs="Arial"/>
          <w:b/>
          <w:bCs/>
          <w:sz w:val="24"/>
          <w:szCs w:val="24"/>
        </w:rPr>
        <w:t xml:space="preserve"> </w:t>
      </w:r>
      <w:r w:rsidRPr="00067F99">
        <w:rPr>
          <w:rStyle w:val="Strong"/>
          <w:rFonts w:cs="Arial"/>
          <w:b w:val="0"/>
          <w:bCs w:val="0"/>
          <w:sz w:val="24"/>
          <w:szCs w:val="24"/>
        </w:rPr>
        <w:t>marine ecosystems</w:t>
      </w:r>
      <w:r w:rsidRPr="00067F99">
        <w:rPr>
          <w:rStyle w:val="Strong"/>
          <w:rFonts w:cs="Arial"/>
          <w:sz w:val="24"/>
          <w:szCs w:val="24"/>
        </w:rPr>
        <w:t xml:space="preserve"> </w:t>
      </w:r>
      <w:r w:rsidRPr="00067F99">
        <w:rPr>
          <w:rFonts w:cs="Arial"/>
          <w:sz w:val="24"/>
          <w:szCs w:val="24"/>
        </w:rPr>
        <w:t xml:space="preserve">(ASEAN Secretariat, 2024). </w:t>
      </w:r>
    </w:p>
    <w:p w14:paraId="7D0FEA29" w14:textId="77777777" w:rsidR="007123E7" w:rsidRPr="00067F99" w:rsidRDefault="007123E7" w:rsidP="007123E7">
      <w:pPr>
        <w:pStyle w:val="ListParagraph"/>
        <w:tabs>
          <w:tab w:val="left" w:pos="450"/>
        </w:tabs>
        <w:ind w:left="0"/>
        <w:jc w:val="thaiDistribute"/>
        <w:rPr>
          <w:rFonts w:cs="Arial"/>
          <w:sz w:val="24"/>
          <w:szCs w:val="24"/>
        </w:rPr>
      </w:pPr>
      <w:r w:rsidRPr="00067F99">
        <w:rPr>
          <w:rFonts w:cs="Arial"/>
          <w:sz w:val="24"/>
          <w:szCs w:val="24"/>
        </w:rPr>
        <w:t>ASEAN regional cooperation efforts to combat marine plastic pollution have advanced rapidly, emphasizing collective action and sustainable plastics management. The ASEAN Conference on Combatting Plastic Pollution (ACCPP), established in 2023, serves as a central platform for regional stakeholders to exchange knowledge, coordinate strategies, and align actions. The 2025 ACCPP, held in Kuala Lumpur under Malaysia’s ASEAN Chairmanship, continued this momentum under the theme “All Hands on Deck: Uniting Forces for a Sustainable Plastics Future.” The conference highlighted the importance of multi-stakeholder collaboration, engaging governments, businesses, civil society, and academic institutions in advancing a unified regional approach to plastic pollution reduction.</w:t>
      </w:r>
    </w:p>
    <w:p w14:paraId="6697126A" w14:textId="77777777" w:rsidR="007123E7" w:rsidRPr="00067F99" w:rsidRDefault="007123E7" w:rsidP="007123E7">
      <w:pPr>
        <w:tabs>
          <w:tab w:val="left" w:pos="450"/>
        </w:tabs>
        <w:jc w:val="thaiDistribute"/>
        <w:rPr>
          <w:sz w:val="24"/>
          <w:szCs w:val="24"/>
        </w:rPr>
      </w:pPr>
      <w:r w:rsidRPr="00067F99">
        <w:rPr>
          <w:sz w:val="24"/>
          <w:szCs w:val="24"/>
        </w:rPr>
        <w:t xml:space="preserve">ASEAN’s regional cooperation on marine plastic pollution includes several prominent initiatives, among which the Southeast Asia Regional Program on Combating Marine Plastics (SEA-MaP) stands out as a vital project funded by the World Bank. SEA-MaP supports ASEAN Member States in implementing the ASEAN Regional Action Plan for Combating Marine Debris (RAP), aiming to reduce plastics consumption, increase recycling, and minimize plastic leakages into marine and coastal environments. The project focuses on strengthening policies, harmonizing regulations, enhancing monitoring and data collection, and building capacity among decision-makers and stakeholders to achieve plastics circularity and sustainable waste management throughout the region. </w:t>
      </w:r>
    </w:p>
    <w:p w14:paraId="4CAA5F86" w14:textId="77777777" w:rsidR="007123E7" w:rsidRDefault="007123E7" w:rsidP="007123E7">
      <w:pPr>
        <w:tabs>
          <w:tab w:val="left" w:pos="450"/>
        </w:tabs>
        <w:jc w:val="thaiDistribute"/>
        <w:rPr>
          <w:sz w:val="24"/>
          <w:szCs w:val="24"/>
        </w:rPr>
      </w:pPr>
      <w:r w:rsidRPr="00067F99">
        <w:rPr>
          <w:sz w:val="24"/>
          <w:szCs w:val="24"/>
        </w:rPr>
        <w:t>SEA-MaP, launched in 2022 and running until 2027, serves as a catalyst for regional collaboration by developing guidelines and promoting multi-sectoral partnerships within ASEAN’s existing institutional frameworks. It supports capacity-building programs to enable governments, the private sector, and communities to implement more effective solutions to marine plastic pollution. In conclusion, the SEA-MaP project is a cornerstone initiative within ASEAN's regional cooperation framework, enhancing policies, capacities, and partnerships to mitigate marine plastic pollution effectively.</w:t>
      </w:r>
    </w:p>
    <w:p w14:paraId="39A7E779" w14:textId="77777777" w:rsidR="007123E7" w:rsidRPr="00067F99" w:rsidRDefault="007123E7" w:rsidP="007123E7">
      <w:pPr>
        <w:tabs>
          <w:tab w:val="left" w:pos="450"/>
        </w:tabs>
        <w:jc w:val="thaiDistribute"/>
        <w:rPr>
          <w:sz w:val="24"/>
          <w:szCs w:val="24"/>
        </w:rPr>
      </w:pPr>
    </w:p>
    <w:p w14:paraId="3F1F6A8D" w14:textId="77777777" w:rsidR="007123E7" w:rsidRPr="00067F99" w:rsidRDefault="007123E7" w:rsidP="007123E7">
      <w:pPr>
        <w:pStyle w:val="ListParagraph"/>
        <w:widowControl/>
        <w:numPr>
          <w:ilvl w:val="2"/>
          <w:numId w:val="36"/>
        </w:numPr>
        <w:tabs>
          <w:tab w:val="left" w:pos="450"/>
        </w:tabs>
        <w:spacing w:after="160" w:line="259" w:lineRule="auto"/>
        <w:ind w:left="540" w:hanging="540"/>
        <w:rPr>
          <w:rFonts w:cs="Arial"/>
          <w:b/>
          <w:bCs/>
          <w:sz w:val="24"/>
          <w:szCs w:val="24"/>
        </w:rPr>
      </w:pPr>
      <w:r w:rsidRPr="00067F99">
        <w:rPr>
          <w:rFonts w:cs="Arial"/>
          <w:b/>
          <w:bCs/>
          <w:sz w:val="24"/>
          <w:szCs w:val="24"/>
        </w:rPr>
        <w:t xml:space="preserve">Interactions (impacts on Environment and Society) </w:t>
      </w:r>
    </w:p>
    <w:p w14:paraId="33477904" w14:textId="77777777" w:rsidR="007123E7" w:rsidRPr="00067F99" w:rsidRDefault="007123E7" w:rsidP="007123E7">
      <w:pPr>
        <w:pStyle w:val="ListParagraph"/>
        <w:tabs>
          <w:tab w:val="left" w:pos="450"/>
        </w:tabs>
        <w:ind w:left="1080"/>
        <w:rPr>
          <w:rFonts w:cs="Arial"/>
          <w:sz w:val="24"/>
          <w:szCs w:val="24"/>
        </w:rPr>
      </w:pPr>
    </w:p>
    <w:p w14:paraId="57FA6778" w14:textId="77777777" w:rsidR="007123E7" w:rsidRPr="00067F99" w:rsidRDefault="007123E7" w:rsidP="007123E7">
      <w:pPr>
        <w:pStyle w:val="ListParagraph"/>
        <w:tabs>
          <w:tab w:val="left" w:pos="450"/>
        </w:tabs>
        <w:ind w:left="0"/>
        <w:jc w:val="thaiDistribute"/>
        <w:rPr>
          <w:rFonts w:cs="Arial"/>
          <w:b/>
          <w:bCs/>
          <w:sz w:val="24"/>
          <w:szCs w:val="24"/>
        </w:rPr>
      </w:pPr>
      <w:r w:rsidRPr="00067F99">
        <w:rPr>
          <w:rFonts w:cs="Arial"/>
          <w:b/>
          <w:bCs/>
          <w:sz w:val="24"/>
          <w:szCs w:val="24"/>
        </w:rPr>
        <w:t>Environmental Impacts:</w:t>
      </w:r>
    </w:p>
    <w:p w14:paraId="3C603857" w14:textId="77777777" w:rsidR="007123E7" w:rsidRPr="00067F99" w:rsidRDefault="007123E7" w:rsidP="007123E7">
      <w:pPr>
        <w:pStyle w:val="ListParagraph"/>
        <w:tabs>
          <w:tab w:val="left" w:pos="450"/>
        </w:tabs>
        <w:ind w:left="0"/>
        <w:jc w:val="thaiDistribute"/>
        <w:rPr>
          <w:rFonts w:cs="Arial"/>
          <w:b/>
          <w:bCs/>
          <w:sz w:val="24"/>
          <w:szCs w:val="24"/>
        </w:rPr>
      </w:pPr>
    </w:p>
    <w:p w14:paraId="525E41F6" w14:textId="77777777" w:rsidR="007123E7" w:rsidRPr="00067F99" w:rsidRDefault="007123E7" w:rsidP="007123E7">
      <w:pPr>
        <w:pStyle w:val="ListParagraph"/>
        <w:tabs>
          <w:tab w:val="left" w:pos="450"/>
        </w:tabs>
        <w:ind w:left="0"/>
        <w:jc w:val="thaiDistribute"/>
        <w:rPr>
          <w:rFonts w:cs="Arial"/>
          <w:sz w:val="24"/>
          <w:szCs w:val="24"/>
        </w:rPr>
      </w:pPr>
      <w:r w:rsidRPr="00067F99">
        <w:rPr>
          <w:rFonts w:cs="Arial"/>
          <w:sz w:val="24"/>
          <w:szCs w:val="24"/>
        </w:rPr>
        <w:t>Thailand is confronted with extensive environmental challenges resulting from various forms of pollution that adversely affect marine and freshwater ecosystems, air quality, and soil integrity. Notably, over one million tonnes of plastic waste are introduced into Thai marine environments annually, precipitating significant degradation of marine biodiversity and jeopardizing fisheries upon which local communities depend for food and livelihoods (World Bank, 2023). Concurrently, approximately 30% of the nation’s coral reefs experience bleaching and structural damage due to a combination of coastal pollution and rising ocean temperatures driven by climate change (ASEAN Secretariat, 2024). The freshwater ecosystem is similarly affected, as evidenced by water quality assessments indicating that 43% of monitored water bodies hold only fair ecological status, while 18% are classified as poor, largely owing to nutrient enrichment from agricultural runoff and urban effluents (PCD, 2024). Furthermore, localized soil contamination resulting from improper disposal of industrial waste presents additional environmental hazards (</w:t>
      </w:r>
      <w:r w:rsidRPr="00067F99">
        <w:rPr>
          <w:rFonts w:cs="Arial"/>
          <w:color w:val="000000" w:themeColor="text1"/>
          <w:sz w:val="24"/>
          <w:szCs w:val="24"/>
        </w:rPr>
        <w:t>Thammasat University</w:t>
      </w:r>
      <w:r w:rsidRPr="00067F99">
        <w:rPr>
          <w:rFonts w:cs="Arial"/>
          <w:sz w:val="24"/>
          <w:szCs w:val="24"/>
        </w:rPr>
        <w:t>, 2025).</w:t>
      </w:r>
    </w:p>
    <w:p w14:paraId="05156AD7" w14:textId="77777777" w:rsidR="007123E7" w:rsidRPr="00067F99" w:rsidRDefault="007123E7" w:rsidP="007123E7">
      <w:pPr>
        <w:pStyle w:val="ListParagraph"/>
        <w:tabs>
          <w:tab w:val="left" w:pos="450"/>
        </w:tabs>
        <w:ind w:left="0"/>
        <w:jc w:val="thaiDistribute"/>
        <w:rPr>
          <w:rFonts w:cs="Arial"/>
          <w:sz w:val="24"/>
          <w:szCs w:val="24"/>
        </w:rPr>
      </w:pPr>
    </w:p>
    <w:p w14:paraId="21B05FDF" w14:textId="77777777" w:rsidR="007123E7" w:rsidRPr="00067F99" w:rsidRDefault="007123E7" w:rsidP="007123E7">
      <w:pPr>
        <w:pStyle w:val="ListParagraph"/>
        <w:tabs>
          <w:tab w:val="left" w:pos="450"/>
        </w:tabs>
        <w:ind w:left="0"/>
        <w:jc w:val="thaiDistribute"/>
        <w:rPr>
          <w:rFonts w:cs="Arial"/>
          <w:sz w:val="24"/>
          <w:szCs w:val="24"/>
        </w:rPr>
      </w:pPr>
      <w:r w:rsidRPr="00067F99">
        <w:rPr>
          <w:rFonts w:cs="Arial"/>
          <w:sz w:val="24"/>
          <w:szCs w:val="24"/>
        </w:rPr>
        <w:t>These multifaceted environmental detriments manifest considerable socio-economic repercussions, including diminished tourism revenue, elevated healthcare expenditures, and disproportionate impacts on vulnerable populations such as coastal communities and outdoor laborers. Addressing these interlinked challenges necessitates the implementation of holistic and coordinated environmental management strategies, reinforced regulatory frameworks, regionally integrated cooperation, and enhanced public engagement to safeguard Thailand’s ecological integrity and promote sustainable development.</w:t>
      </w:r>
    </w:p>
    <w:p w14:paraId="065AB679" w14:textId="77777777" w:rsidR="007123E7" w:rsidRPr="00067F99" w:rsidRDefault="007123E7" w:rsidP="007123E7">
      <w:pPr>
        <w:pStyle w:val="ListParagraph"/>
        <w:tabs>
          <w:tab w:val="left" w:pos="450"/>
        </w:tabs>
        <w:ind w:left="0"/>
        <w:jc w:val="thaiDistribute"/>
        <w:rPr>
          <w:rFonts w:cs="Arial"/>
          <w:b/>
          <w:bCs/>
          <w:sz w:val="24"/>
          <w:szCs w:val="24"/>
        </w:rPr>
      </w:pPr>
    </w:p>
    <w:p w14:paraId="6116E5DE" w14:textId="77777777" w:rsidR="007123E7" w:rsidRPr="00067F99" w:rsidRDefault="007123E7" w:rsidP="007123E7">
      <w:pPr>
        <w:pStyle w:val="ListParagraph"/>
        <w:tabs>
          <w:tab w:val="left" w:pos="450"/>
        </w:tabs>
        <w:ind w:left="0"/>
        <w:jc w:val="thaiDistribute"/>
        <w:rPr>
          <w:rFonts w:cs="Arial"/>
          <w:b/>
          <w:bCs/>
          <w:sz w:val="24"/>
          <w:szCs w:val="24"/>
        </w:rPr>
      </w:pPr>
      <w:r w:rsidRPr="00067F99">
        <w:rPr>
          <w:rFonts w:cs="Arial"/>
          <w:b/>
          <w:bCs/>
          <w:sz w:val="24"/>
          <w:szCs w:val="24"/>
        </w:rPr>
        <w:t>Social Impacts:</w:t>
      </w:r>
    </w:p>
    <w:p w14:paraId="467D7267" w14:textId="77777777" w:rsidR="007123E7" w:rsidRPr="00067F99" w:rsidRDefault="007123E7" w:rsidP="007123E7">
      <w:pPr>
        <w:pStyle w:val="ListParagraph"/>
        <w:tabs>
          <w:tab w:val="left" w:pos="450"/>
        </w:tabs>
        <w:ind w:left="0"/>
        <w:jc w:val="thaiDistribute"/>
        <w:rPr>
          <w:rFonts w:cs="Arial"/>
          <w:sz w:val="24"/>
          <w:szCs w:val="24"/>
        </w:rPr>
      </w:pPr>
    </w:p>
    <w:p w14:paraId="559AC3D1" w14:textId="77777777" w:rsidR="007123E7" w:rsidRPr="00067F99" w:rsidRDefault="007123E7" w:rsidP="007123E7">
      <w:pPr>
        <w:pStyle w:val="ListParagraph"/>
        <w:tabs>
          <w:tab w:val="left" w:pos="450"/>
        </w:tabs>
        <w:ind w:left="0"/>
        <w:jc w:val="thaiDistribute"/>
        <w:rPr>
          <w:rFonts w:cs="Arial"/>
          <w:sz w:val="24"/>
          <w:szCs w:val="24"/>
        </w:rPr>
      </w:pPr>
      <w:r w:rsidRPr="00067F99">
        <w:rPr>
          <w:rFonts w:cs="Arial"/>
          <w:sz w:val="24"/>
          <w:szCs w:val="24"/>
        </w:rPr>
        <w:t>The social impacts of environmental pollution in Thailand are profound and multifaceted. According to a 2025 nationwide survey conducted by Marketbuzzz in collaboration with Thammasat University’s School of Global Studies, approximately 65% of Thai citizens perceive environmental issues as significantly impacting their quality of life, with 48% anticipating further deterioration over the next five years. Despite this heightened awareness, actual pro-environmental behaviors remain limited, with only 23% refusing plastic bags at retail outlets, highlighting a notable gap between concern and action (Thammasat University, 2025).</w:t>
      </w:r>
    </w:p>
    <w:p w14:paraId="2D570012" w14:textId="77777777" w:rsidR="007123E7" w:rsidRPr="00067F99" w:rsidRDefault="007123E7" w:rsidP="007123E7">
      <w:pPr>
        <w:pStyle w:val="ListParagraph"/>
        <w:tabs>
          <w:tab w:val="left" w:pos="450"/>
        </w:tabs>
        <w:ind w:left="0"/>
        <w:jc w:val="thaiDistribute"/>
        <w:rPr>
          <w:rFonts w:cs="Arial"/>
          <w:sz w:val="24"/>
          <w:szCs w:val="24"/>
        </w:rPr>
      </w:pPr>
    </w:p>
    <w:p w14:paraId="7DAA6F87" w14:textId="77777777" w:rsidR="007123E7" w:rsidRPr="00067F99" w:rsidRDefault="007123E7" w:rsidP="007123E7">
      <w:pPr>
        <w:pStyle w:val="ListParagraph"/>
        <w:tabs>
          <w:tab w:val="left" w:pos="450"/>
        </w:tabs>
        <w:ind w:left="0"/>
        <w:jc w:val="thaiDistribute"/>
        <w:rPr>
          <w:rFonts w:cs="Arial"/>
          <w:sz w:val="24"/>
          <w:szCs w:val="24"/>
        </w:rPr>
      </w:pPr>
      <w:r w:rsidRPr="00067F99">
        <w:rPr>
          <w:rFonts w:cs="Arial"/>
          <w:sz w:val="24"/>
          <w:szCs w:val="24"/>
        </w:rPr>
        <w:t>Economic repercussions are substantial, as degradation of coastal and marine environments contributes to losses estimated in the billions of US dollars annually within the tourism sector, a critical component of Thailand’s economy (World Bank, 2023). Additionally, the fisheries industry experiences adverse effects due to marine pollution; research indicates microplastic contamination in 87-93% of commercially harvested bivalves, raising acute food safety concerns and risking public health. Vulnerable groups, including coastal populations and outdoor laborers, disproportionately bear health risks associated with pollution exposure, underscoring socio-environmental inequities (Pollution Control Department, 2024). Emerging challenges to food security arise from pollutant bioaccumulation in both agricultural products and marine resources, exacerbating risks to community nutrition and wellbeing (PEMSEA, 2024).</w:t>
      </w:r>
    </w:p>
    <w:p w14:paraId="0E8588B4" w14:textId="77777777" w:rsidR="007123E7" w:rsidRPr="00067F99" w:rsidRDefault="007123E7" w:rsidP="007123E7">
      <w:pPr>
        <w:pStyle w:val="ListParagraph"/>
        <w:tabs>
          <w:tab w:val="left" w:pos="450"/>
        </w:tabs>
        <w:ind w:left="0"/>
        <w:jc w:val="thaiDistribute"/>
        <w:rPr>
          <w:rFonts w:cs="Arial"/>
          <w:sz w:val="24"/>
          <w:szCs w:val="24"/>
        </w:rPr>
      </w:pPr>
    </w:p>
    <w:p w14:paraId="33DA2234" w14:textId="77777777" w:rsidR="007123E7" w:rsidRPr="00067F99" w:rsidRDefault="007123E7" w:rsidP="007123E7">
      <w:pPr>
        <w:pStyle w:val="ListParagraph"/>
        <w:tabs>
          <w:tab w:val="left" w:pos="450"/>
        </w:tabs>
        <w:ind w:left="0"/>
        <w:jc w:val="thaiDistribute"/>
        <w:rPr>
          <w:rFonts w:cs="Arial"/>
          <w:sz w:val="24"/>
          <w:szCs w:val="24"/>
        </w:rPr>
      </w:pPr>
      <w:r w:rsidRPr="00067F99">
        <w:rPr>
          <w:rFonts w:cs="Arial"/>
          <w:sz w:val="24"/>
          <w:szCs w:val="24"/>
        </w:rPr>
        <w:t xml:space="preserve">This synthesis illustrates the critical intersection of environmental degradation with </w:t>
      </w:r>
      <w:r w:rsidRPr="00067F99">
        <w:rPr>
          <w:rFonts w:cs="Arial"/>
          <w:sz w:val="24"/>
          <w:szCs w:val="24"/>
        </w:rPr>
        <w:lastRenderedPageBreak/>
        <w:t>social and economic dimensions in Thailand, emphasizing the need for integrated policy responses and public engagement to mitigate these impacts.</w:t>
      </w:r>
    </w:p>
    <w:p w14:paraId="525F034D" w14:textId="77777777" w:rsidR="007123E7" w:rsidRPr="00067F99" w:rsidRDefault="007123E7" w:rsidP="007123E7">
      <w:pPr>
        <w:pStyle w:val="ListParagraph"/>
        <w:tabs>
          <w:tab w:val="left" w:pos="450"/>
        </w:tabs>
        <w:ind w:left="0"/>
        <w:jc w:val="thaiDistribute"/>
        <w:rPr>
          <w:rFonts w:cs="Arial"/>
          <w:sz w:val="24"/>
          <w:szCs w:val="24"/>
        </w:rPr>
      </w:pPr>
    </w:p>
    <w:p w14:paraId="220E75B8" w14:textId="77777777" w:rsidR="007123E7" w:rsidRPr="00067F99" w:rsidRDefault="007123E7" w:rsidP="007123E7">
      <w:pPr>
        <w:pStyle w:val="ListParagraph"/>
        <w:tabs>
          <w:tab w:val="left" w:pos="450"/>
        </w:tabs>
        <w:ind w:left="0"/>
        <w:jc w:val="thaiDistribute"/>
        <w:rPr>
          <w:rFonts w:cs="Arial"/>
          <w:b/>
          <w:bCs/>
          <w:sz w:val="24"/>
          <w:szCs w:val="24"/>
        </w:rPr>
      </w:pPr>
      <w:r w:rsidRPr="00067F99">
        <w:rPr>
          <w:rFonts w:cs="Arial"/>
          <w:b/>
          <w:bCs/>
          <w:sz w:val="24"/>
          <w:szCs w:val="24"/>
        </w:rPr>
        <w:t>Economic Impacts:</w:t>
      </w:r>
    </w:p>
    <w:p w14:paraId="1FC6D808" w14:textId="77777777" w:rsidR="007123E7" w:rsidRPr="00067F99" w:rsidRDefault="007123E7" w:rsidP="007123E7">
      <w:pPr>
        <w:tabs>
          <w:tab w:val="left" w:pos="450"/>
        </w:tabs>
        <w:jc w:val="thaiDistribute"/>
        <w:rPr>
          <w:sz w:val="24"/>
          <w:szCs w:val="24"/>
        </w:rPr>
      </w:pPr>
      <w:r w:rsidRPr="00067F99">
        <w:rPr>
          <w:sz w:val="24"/>
          <w:szCs w:val="24"/>
        </w:rPr>
        <w:t>Economic impacts related to marine water pollution in Thailand are considerable and multifaceted. Direct healthcare costs from illnesses associated with polluted marine environments, such as exposure to contaminated seafood and waterborne diseases, contribute significantly to public health expenditures, though exact nationwide figures vary by pollutant and locality. The Department of Marine and Coastal Resources (DMCR) estimates that degradation of marine habitats, including coral reefs and fisheries, indirectly drives up healthcare demands due to ecosystem service losses that affect food security (DMCR, 2024).</w:t>
      </w:r>
    </w:p>
    <w:p w14:paraId="2A5A699F" w14:textId="77777777" w:rsidR="007123E7" w:rsidRPr="00067F99" w:rsidRDefault="007123E7" w:rsidP="007123E7">
      <w:pPr>
        <w:tabs>
          <w:tab w:val="left" w:pos="450"/>
        </w:tabs>
        <w:jc w:val="thaiDistribute"/>
        <w:rPr>
          <w:sz w:val="24"/>
          <w:szCs w:val="24"/>
        </w:rPr>
      </w:pPr>
      <w:r w:rsidRPr="00067F99">
        <w:rPr>
          <w:sz w:val="24"/>
          <w:szCs w:val="24"/>
        </w:rPr>
        <w:t>Tourism revenue losses are substantial, with the ASEAN Secretariat (2024) estimating declines in the billions of USD annually due to polluted beaches and marine habitats, which undermine Thailand’s attractiveness as a tourist destination, crucial for local economies. The World Bank (2023) underscores that coastal erosion and marine pollution combined have led to an estimated land value loss exceeding $1.3 billion, further impacting tourism infrastructure and real estate.</w:t>
      </w:r>
    </w:p>
    <w:p w14:paraId="6992D3DF" w14:textId="77777777" w:rsidR="007123E7" w:rsidRPr="00067F99" w:rsidRDefault="007123E7" w:rsidP="007123E7">
      <w:pPr>
        <w:tabs>
          <w:tab w:val="left" w:pos="450"/>
        </w:tabs>
        <w:jc w:val="thaiDistribute"/>
        <w:rPr>
          <w:sz w:val="24"/>
          <w:szCs w:val="24"/>
        </w:rPr>
      </w:pPr>
      <w:r w:rsidRPr="00067F99">
        <w:rPr>
          <w:sz w:val="24"/>
          <w:szCs w:val="24"/>
        </w:rPr>
        <w:t>Water treatment and environmental remediation efforts are increasingly costly due to nutrient runoff and marine plastic pollution. The Pollution Control Department (PCD) reports that expenditures on water treatment facilities and cleanup initiatives have escalated significantly in recent years, straining both governmental budgets and private sector investments (PCD, 2024).</w:t>
      </w:r>
    </w:p>
    <w:p w14:paraId="40D70D6B" w14:textId="77777777" w:rsidR="007123E7" w:rsidRPr="00067F99" w:rsidRDefault="007123E7" w:rsidP="007123E7">
      <w:pPr>
        <w:tabs>
          <w:tab w:val="left" w:pos="450"/>
        </w:tabs>
        <w:jc w:val="thaiDistribute"/>
        <w:rPr>
          <w:sz w:val="24"/>
          <w:szCs w:val="24"/>
        </w:rPr>
      </w:pPr>
      <w:r w:rsidRPr="00067F99">
        <w:rPr>
          <w:sz w:val="24"/>
          <w:szCs w:val="24"/>
        </w:rPr>
        <w:t>Long-term sustainability threats remain acute, as continued environmental degradation jeopardizes economic stability. The World Bank (2023) highlights that without stronger pollution control and investment in sustainable marine resource management, economic growth prospects in coastal provinces and related industries may decline sharply.</w:t>
      </w:r>
    </w:p>
    <w:p w14:paraId="152AA1EF" w14:textId="77777777" w:rsidR="007123E7" w:rsidRPr="00067F99" w:rsidRDefault="007123E7" w:rsidP="007123E7">
      <w:pPr>
        <w:tabs>
          <w:tab w:val="left" w:pos="450"/>
        </w:tabs>
        <w:jc w:val="thaiDistribute"/>
        <w:rPr>
          <w:sz w:val="24"/>
          <w:szCs w:val="24"/>
        </w:rPr>
      </w:pPr>
      <w:r w:rsidRPr="00067F99">
        <w:rPr>
          <w:sz w:val="24"/>
          <w:szCs w:val="24"/>
        </w:rPr>
        <w:t>These data emphasize the importance of integrated policies and financing mechanisms to mitigate marine pollution impacts and promote sustainable economic development in Thailand.</w:t>
      </w:r>
    </w:p>
    <w:p w14:paraId="1F92FC0F" w14:textId="77777777" w:rsidR="007123E7" w:rsidRPr="00067F99" w:rsidRDefault="007123E7" w:rsidP="007123E7">
      <w:pPr>
        <w:tabs>
          <w:tab w:val="left" w:pos="450"/>
        </w:tabs>
        <w:jc w:val="thaiDistribute"/>
        <w:rPr>
          <w:sz w:val="24"/>
          <w:szCs w:val="24"/>
        </w:rPr>
      </w:pPr>
    </w:p>
    <w:p w14:paraId="64DC81B2" w14:textId="77777777" w:rsidR="007123E7" w:rsidRPr="00067F99" w:rsidRDefault="007123E7" w:rsidP="007123E7">
      <w:pPr>
        <w:pStyle w:val="ListParagraph"/>
        <w:widowControl/>
        <w:numPr>
          <w:ilvl w:val="2"/>
          <w:numId w:val="36"/>
        </w:numPr>
        <w:tabs>
          <w:tab w:val="left" w:pos="450"/>
        </w:tabs>
        <w:spacing w:after="160" w:line="259" w:lineRule="auto"/>
        <w:ind w:left="540" w:hanging="540"/>
        <w:rPr>
          <w:rFonts w:cs="Arial"/>
          <w:b/>
          <w:bCs/>
          <w:sz w:val="24"/>
          <w:szCs w:val="24"/>
        </w:rPr>
      </w:pPr>
      <w:r w:rsidRPr="00067F99">
        <w:rPr>
          <w:rFonts w:cs="Arial"/>
          <w:b/>
          <w:bCs/>
          <w:sz w:val="24"/>
          <w:szCs w:val="24"/>
        </w:rPr>
        <w:t>Risk Assessment</w:t>
      </w:r>
    </w:p>
    <w:p w14:paraId="7A6876FB" w14:textId="77777777" w:rsidR="007123E7" w:rsidRPr="00067F99" w:rsidRDefault="007123E7" w:rsidP="007123E7">
      <w:pPr>
        <w:tabs>
          <w:tab w:val="left" w:pos="450"/>
        </w:tabs>
        <w:jc w:val="thaiDistribute"/>
        <w:rPr>
          <w:sz w:val="24"/>
          <w:szCs w:val="24"/>
        </w:rPr>
      </w:pPr>
      <w:r w:rsidRPr="00067F99">
        <w:rPr>
          <w:sz w:val="24"/>
          <w:szCs w:val="24"/>
        </w:rPr>
        <w:t>Thailand generates over 3.2 million tonnes of plastic waste annually, with nearly 46% of this amount mismanaged, equating to 1.48 million tonnes of improperly handled plastic waste per year (Earth Action, 2024). This mismanagement rate is nearly double the global average, resulting in significant environmental pollution risks and substantial economic costs. The plastics industry contributed approximately 7.7% of Thailand's GDP in 2021, with projected annual growth of over 5% until 2029, highlighting its economic significance despite the environmental challenges it poses (Earth Action, 2024).</w:t>
      </w:r>
    </w:p>
    <w:p w14:paraId="14A97BEA" w14:textId="77777777" w:rsidR="007123E7" w:rsidRPr="00067F99" w:rsidRDefault="007123E7" w:rsidP="007123E7">
      <w:pPr>
        <w:tabs>
          <w:tab w:val="left" w:pos="450"/>
        </w:tabs>
        <w:jc w:val="thaiDistribute"/>
        <w:rPr>
          <w:sz w:val="24"/>
          <w:szCs w:val="24"/>
        </w:rPr>
      </w:pPr>
      <w:r w:rsidRPr="00067F99">
        <w:rPr>
          <w:sz w:val="24"/>
          <w:szCs w:val="24"/>
        </w:rPr>
        <w:t>To address pollution, the Thai government has introduced stringent policies, including a phased ban on plastic waste imports, which will be fully effective by 2025. This measure aims to prevent Thailand from becoming a destination for foreign plastic waste, thereby reducing environmental hazards and protecting public health (National News Bureau, 2023). Despite campaigns to boost recycling, only 17.6% of key plastics were recycled in 2018, indicating ongoing challenges in waste management infrastructure and public behavioral change (Earth Action, 2024).</w:t>
      </w:r>
    </w:p>
    <w:p w14:paraId="450375BB" w14:textId="77777777" w:rsidR="007123E7" w:rsidRPr="00067F99" w:rsidRDefault="007123E7" w:rsidP="007123E7">
      <w:pPr>
        <w:tabs>
          <w:tab w:val="left" w:pos="450"/>
        </w:tabs>
        <w:jc w:val="thaiDistribute"/>
        <w:rPr>
          <w:sz w:val="24"/>
          <w:szCs w:val="24"/>
        </w:rPr>
      </w:pPr>
      <w:r w:rsidRPr="00067F99">
        <w:rPr>
          <w:sz w:val="24"/>
          <w:szCs w:val="24"/>
        </w:rPr>
        <w:t xml:space="preserve">The economic consequences of plastic pollution in Thailand are considerable. They </w:t>
      </w:r>
      <w:r w:rsidRPr="00067F99">
        <w:rPr>
          <w:sz w:val="24"/>
          <w:szCs w:val="24"/>
        </w:rPr>
        <w:lastRenderedPageBreak/>
        <w:t>include increased healthcare costs due to diseases linked to environmental contamination, losses in tourism revenue from degraded coastal waters, and higher expenditures for water treatment and environmental remediation by governments and businesses (PCD, 2024; ASEAN Secretariat, 2024). Long-term sustainability is at risk, as environmental degradation threatens economic stability and growth (World Bank, 2023).</w:t>
      </w:r>
    </w:p>
    <w:p w14:paraId="30C869D7" w14:textId="77777777" w:rsidR="007123E7" w:rsidRDefault="007123E7" w:rsidP="007123E7">
      <w:pPr>
        <w:tabs>
          <w:tab w:val="left" w:pos="450"/>
        </w:tabs>
        <w:jc w:val="thaiDistribute"/>
        <w:rPr>
          <w:sz w:val="24"/>
          <w:szCs w:val="24"/>
        </w:rPr>
      </w:pPr>
      <w:r w:rsidRPr="00067F99">
        <w:rPr>
          <w:sz w:val="24"/>
          <w:szCs w:val="24"/>
        </w:rPr>
        <w:t>These statistics underscore the urgency of strengthening waste management system , implementing effective policy, and fostering behavioral change to mitigate the economic and environmental impacts of plastic pollution in Thailand.</w:t>
      </w:r>
    </w:p>
    <w:p w14:paraId="090596F9" w14:textId="77777777" w:rsidR="007123E7" w:rsidRPr="00067F99" w:rsidRDefault="007123E7" w:rsidP="007123E7">
      <w:pPr>
        <w:tabs>
          <w:tab w:val="left" w:pos="450"/>
        </w:tabs>
        <w:jc w:val="thaiDistribute"/>
        <w:rPr>
          <w:sz w:val="24"/>
          <w:szCs w:val="24"/>
        </w:rPr>
      </w:pPr>
    </w:p>
    <w:p w14:paraId="13912DF5" w14:textId="77777777" w:rsidR="007123E7" w:rsidRPr="00067F99" w:rsidRDefault="007123E7" w:rsidP="007123E7">
      <w:pPr>
        <w:pStyle w:val="ListParagraph"/>
        <w:widowControl/>
        <w:numPr>
          <w:ilvl w:val="2"/>
          <w:numId w:val="36"/>
        </w:numPr>
        <w:tabs>
          <w:tab w:val="left" w:pos="450"/>
        </w:tabs>
        <w:spacing w:after="160" w:line="259" w:lineRule="auto"/>
        <w:ind w:left="630" w:hanging="630"/>
        <w:rPr>
          <w:rFonts w:cs="Arial"/>
          <w:b/>
          <w:bCs/>
          <w:sz w:val="24"/>
          <w:szCs w:val="24"/>
        </w:rPr>
      </w:pPr>
      <w:r w:rsidRPr="00067F99">
        <w:rPr>
          <w:rFonts w:cs="Arial"/>
          <w:b/>
          <w:bCs/>
          <w:sz w:val="24"/>
          <w:szCs w:val="24"/>
        </w:rPr>
        <w:t>Interactions (Current Management and Institutions)</w:t>
      </w:r>
    </w:p>
    <w:p w14:paraId="439CC31B" w14:textId="77777777" w:rsidR="007123E7" w:rsidRPr="00067F99" w:rsidRDefault="007123E7" w:rsidP="007123E7">
      <w:pPr>
        <w:tabs>
          <w:tab w:val="left" w:pos="450"/>
        </w:tabs>
        <w:jc w:val="thaiDistribute"/>
        <w:rPr>
          <w:sz w:val="24"/>
          <w:szCs w:val="24"/>
        </w:rPr>
      </w:pPr>
      <w:r w:rsidRPr="00067F99">
        <w:rPr>
          <w:sz w:val="24"/>
          <w:szCs w:val="24"/>
        </w:rPr>
        <w:t>Thailand has established a robust institutional and policy framework for managing marine water quality pollution, involving multiple national agencies and regional cooperation mechanisms. Key national institutions include the Pollution Control Department (PCD) under the Ministry of Natural Resources and Environment, responsible for monitoring marine water quality through the Marine Water Quality Index (MWQI) system, and the Department of Marine and Coastal Resources (DMCR), which conducts coastal marine ecosystem assessments and plastic debris removal campaigns. The Industrial Estate Authority of Thailand, Metropolitan Waterworks Authority, and Royal Department of Irrigation also contribute to pollution management through regulation of industrial waste, water supply quality, and watershed management, respectively (PCD, 2024).</w:t>
      </w:r>
    </w:p>
    <w:p w14:paraId="6FF5B800" w14:textId="77777777" w:rsidR="007123E7" w:rsidRPr="00067F99" w:rsidRDefault="007123E7" w:rsidP="007123E7">
      <w:pPr>
        <w:tabs>
          <w:tab w:val="left" w:pos="450"/>
        </w:tabs>
        <w:jc w:val="thaiDistribute"/>
        <w:rPr>
          <w:sz w:val="24"/>
          <w:szCs w:val="24"/>
        </w:rPr>
      </w:pPr>
      <w:r w:rsidRPr="00067F99">
        <w:rPr>
          <w:sz w:val="24"/>
          <w:szCs w:val="24"/>
        </w:rPr>
        <w:t>Thailand has regulations related to the land-based pollution including waste water effluent standards, inland and seawater quality standards under and other related regulations under the Enhancement and Conservation of National Environmental Quality Act B.E. 2535. Thailand operates under comprehensive frameworks like the National Environment Quality Management Plan (2018 – 2027) and the Bio-Circular Green Economy (BCG) strategy, which integrates sustainability principles across sectors, including renewable energy targets set out in the National Energy Plan. The Sustainable Packaging Materials Management Bill, established in 2025, aims to reduce plastic waste and promote recycling by mandating sustainable packaging design and extended producer responsibility.</w:t>
      </w:r>
    </w:p>
    <w:p w14:paraId="40A0C5FF" w14:textId="77777777" w:rsidR="007123E7" w:rsidRPr="00067F99" w:rsidRDefault="007123E7" w:rsidP="007123E7">
      <w:pPr>
        <w:tabs>
          <w:tab w:val="left" w:pos="450"/>
        </w:tabs>
        <w:jc w:val="thaiDistribute"/>
        <w:rPr>
          <w:sz w:val="24"/>
          <w:szCs w:val="24"/>
        </w:rPr>
      </w:pPr>
      <w:r w:rsidRPr="00067F99">
        <w:rPr>
          <w:sz w:val="24"/>
          <w:szCs w:val="24"/>
        </w:rPr>
        <w:t>On the regional front, Thailand actively engages in ASEAN-led initiatives such as the ASEAN Regional Action Plan for Combating Marine Debris (2021-2025), which sets measurable targets including a 50% reduction in marine plastic debris by 2027. The ASEAN Agreement on Transboundary Haze Pollution addresses cross-border air and water pollutants, while the Southeast Asia Program to Combat Marine Plastic Pollution (SEA-MaP) enhances coordinated policy implementation and capacity building. ASEAN+3 environmental cooperation further facilitates joint management and data sharing between Thailand, its ASEAN neighbors, China, Japan, and South Korea (ASEAN Secretariat, 2024; PEMSEA, 2024).</w:t>
      </w:r>
    </w:p>
    <w:p w14:paraId="72D893FC" w14:textId="77777777" w:rsidR="007123E7" w:rsidRPr="00067F99" w:rsidRDefault="007123E7" w:rsidP="007123E7">
      <w:pPr>
        <w:tabs>
          <w:tab w:val="left" w:pos="450"/>
        </w:tabs>
        <w:jc w:val="thaiDistribute"/>
        <w:rPr>
          <w:sz w:val="24"/>
          <w:szCs w:val="24"/>
        </w:rPr>
      </w:pPr>
      <w:r w:rsidRPr="00067F99">
        <w:rPr>
          <w:sz w:val="24"/>
          <w:szCs w:val="24"/>
        </w:rPr>
        <w:t>Thailand’s integrated approach has produced tangible outcomes; for example, the PCD reported removal of over 220 tonnes of marine debris from coastal ecosystems in 2023, and average MWQI values have improved in many coastal zones. Nonetheless, challenges remain in enforcement and expanding infrastructure to match economic growth and urbanization (PCD, 2024; World Bank, 2023).</w:t>
      </w:r>
    </w:p>
    <w:p w14:paraId="79B22E45" w14:textId="77777777" w:rsidR="007123E7" w:rsidRPr="00067F99" w:rsidRDefault="007123E7" w:rsidP="007123E7">
      <w:pPr>
        <w:tabs>
          <w:tab w:val="left" w:pos="450"/>
        </w:tabs>
        <w:jc w:val="thaiDistribute"/>
        <w:rPr>
          <w:sz w:val="24"/>
          <w:szCs w:val="24"/>
        </w:rPr>
      </w:pPr>
      <w:r w:rsidRPr="00067F99">
        <w:rPr>
          <w:sz w:val="24"/>
          <w:szCs w:val="24"/>
        </w:rPr>
        <w:t>This institutional and policy ecosystem positions Thailand as a proactive actor in marine pollution management while highlighting the ongoing need for strengthened enforcement, infrastructure investment, and regional collaboration.</w:t>
      </w:r>
    </w:p>
    <w:p w14:paraId="43A5F358" w14:textId="77777777" w:rsidR="007123E7" w:rsidRPr="00067F99" w:rsidRDefault="007123E7" w:rsidP="007123E7">
      <w:pPr>
        <w:pStyle w:val="ListParagraph"/>
        <w:widowControl/>
        <w:numPr>
          <w:ilvl w:val="2"/>
          <w:numId w:val="36"/>
        </w:numPr>
        <w:tabs>
          <w:tab w:val="left" w:pos="450"/>
        </w:tabs>
        <w:spacing w:after="160" w:line="259" w:lineRule="auto"/>
        <w:ind w:left="540" w:hanging="540"/>
        <w:rPr>
          <w:rFonts w:cs="Arial"/>
          <w:b/>
          <w:bCs/>
          <w:sz w:val="24"/>
          <w:szCs w:val="24"/>
        </w:rPr>
      </w:pPr>
      <w:r w:rsidRPr="00067F99">
        <w:rPr>
          <w:rFonts w:cs="Arial"/>
          <w:b/>
          <w:bCs/>
          <w:sz w:val="24"/>
          <w:szCs w:val="24"/>
        </w:rPr>
        <w:lastRenderedPageBreak/>
        <w:t>Gaps and Priority Challenges</w:t>
      </w:r>
    </w:p>
    <w:p w14:paraId="50754E8F" w14:textId="77777777" w:rsidR="007123E7" w:rsidRPr="00067F99" w:rsidRDefault="007123E7" w:rsidP="007123E7">
      <w:pPr>
        <w:tabs>
          <w:tab w:val="left" w:pos="450"/>
        </w:tabs>
        <w:jc w:val="thaiDistribute"/>
        <w:rPr>
          <w:sz w:val="24"/>
          <w:szCs w:val="24"/>
        </w:rPr>
      </w:pPr>
      <w:r w:rsidRPr="00067F99">
        <w:rPr>
          <w:sz w:val="24"/>
          <w:szCs w:val="24"/>
        </w:rPr>
        <w:t>Thailand faces significant gaps and priority challenges in managing environmental pollution, spanning institutional, technical, financial, and knowledge domains.</w:t>
      </w:r>
    </w:p>
    <w:p w14:paraId="3F53AAC0" w14:textId="77777777" w:rsidR="007123E7" w:rsidRPr="00067F99" w:rsidRDefault="007123E7" w:rsidP="007123E7">
      <w:pPr>
        <w:tabs>
          <w:tab w:val="left" w:pos="450"/>
        </w:tabs>
        <w:jc w:val="thaiDistribute"/>
        <w:rPr>
          <w:sz w:val="24"/>
          <w:szCs w:val="24"/>
        </w:rPr>
      </w:pPr>
      <w:r w:rsidRPr="00067F99">
        <w:rPr>
          <w:sz w:val="24"/>
          <w:szCs w:val="24"/>
        </w:rPr>
        <w:t>Institutionally, coordination between national and local agencies remains limited, with sectoral ministries operating in silos, hindering effective integrated pollution. Enforcement capacity is weak; for instance, only 60% of reported environmental violations are penalized due to resource constraints (ONEP, 2023). Monitoring systems lack comprehensive coverage, especially in rural and coastal areas.</w:t>
      </w:r>
    </w:p>
    <w:p w14:paraId="07CA69AF" w14:textId="77777777" w:rsidR="007123E7" w:rsidRPr="00067F99" w:rsidRDefault="007123E7" w:rsidP="007123E7">
      <w:pPr>
        <w:tabs>
          <w:tab w:val="left" w:pos="450"/>
        </w:tabs>
        <w:jc w:val="thaiDistribute"/>
        <w:rPr>
          <w:sz w:val="24"/>
          <w:szCs w:val="24"/>
        </w:rPr>
      </w:pPr>
      <w:r w:rsidRPr="00067F99">
        <w:rPr>
          <w:sz w:val="24"/>
          <w:szCs w:val="24"/>
        </w:rPr>
        <w:t>Technically, wastewater treatment infrastructure is insufficient, with rural areas disproportionately underserved. Hazardous waste management capacity is constrained, with existing treatment centers handling, and planned expansion facing delays due to local opposition. Solid waste management challenges prevail in smaller municipalities, and incineration or sanitary landfill facilities are limited. Marine pollution monitoring capabilities are also insufficient to capture emerging pollutants comprehensively.</w:t>
      </w:r>
    </w:p>
    <w:p w14:paraId="7B45218F" w14:textId="77777777" w:rsidR="007123E7" w:rsidRPr="00067F99" w:rsidRDefault="007123E7" w:rsidP="007123E7">
      <w:pPr>
        <w:tabs>
          <w:tab w:val="left" w:pos="450"/>
        </w:tabs>
        <w:jc w:val="thaiDistribute"/>
        <w:rPr>
          <w:sz w:val="24"/>
          <w:szCs w:val="24"/>
        </w:rPr>
      </w:pPr>
      <w:r w:rsidRPr="00067F99">
        <w:rPr>
          <w:sz w:val="24"/>
          <w:szCs w:val="24"/>
        </w:rPr>
        <w:t>Financial gaps include limited funding for environmental infrastructure, with annual budget allocations insufficient to meet growing demands. Economic incentives and cost recovery mechanisms for pollution prevention lag, deterring private sector investment, though recent sustainability-linked bonds have raised over 30 billion baht for green infrastructure initiatives (ADB, 2024).</w:t>
      </w:r>
    </w:p>
    <w:p w14:paraId="262553A0" w14:textId="77777777" w:rsidR="007123E7" w:rsidRPr="00067F99" w:rsidRDefault="007123E7" w:rsidP="007123E7">
      <w:pPr>
        <w:tabs>
          <w:tab w:val="left" w:pos="450"/>
        </w:tabs>
        <w:jc w:val="thaiDistribute"/>
        <w:rPr>
          <w:sz w:val="24"/>
          <w:szCs w:val="24"/>
        </w:rPr>
      </w:pPr>
      <w:r w:rsidRPr="00067F99">
        <w:rPr>
          <w:sz w:val="24"/>
          <w:szCs w:val="24"/>
        </w:rPr>
        <w:t>In knowledge and capacity, public awareness is growing but behavioral change remains slow; only 23% of surveyed Thai citizens refuse plastic bags despite high environmental concern (Thammasat University, 2025). Technical expertise in advanced pollution management technologies is limited, affecting adoption of innovative solutions. Furthermore, research capacity, particularly in pollution assessment and monitoring, needs strengthening to support evidence-based policymaking.</w:t>
      </w:r>
    </w:p>
    <w:p w14:paraId="0105F187" w14:textId="77777777" w:rsidR="007123E7" w:rsidRPr="00067F99" w:rsidRDefault="007123E7" w:rsidP="007123E7">
      <w:pPr>
        <w:tabs>
          <w:tab w:val="left" w:pos="450"/>
        </w:tabs>
        <w:jc w:val="thaiDistribute"/>
        <w:rPr>
          <w:sz w:val="24"/>
          <w:szCs w:val="24"/>
        </w:rPr>
      </w:pPr>
      <w:r w:rsidRPr="00067F99">
        <w:rPr>
          <w:sz w:val="24"/>
          <w:szCs w:val="24"/>
        </w:rPr>
        <w:t>Addressing these intertwined challenges will require enhanced inter-agency collaboration, expanded infrastructure investment, improved enforcement, incentivization of green practices, and capacity-building programs, aligned with national policies and regional cooperation frameworks.</w:t>
      </w:r>
    </w:p>
    <w:p w14:paraId="5C0F77B2" w14:textId="77777777" w:rsidR="007123E7" w:rsidRPr="00067F99" w:rsidRDefault="007123E7" w:rsidP="007123E7">
      <w:pPr>
        <w:tabs>
          <w:tab w:val="left" w:pos="450"/>
        </w:tabs>
        <w:jc w:val="thaiDistribute"/>
        <w:rPr>
          <w:sz w:val="24"/>
          <w:szCs w:val="24"/>
        </w:rPr>
      </w:pPr>
      <w:r w:rsidRPr="00067F99">
        <w:rPr>
          <w:sz w:val="24"/>
          <w:szCs w:val="24"/>
        </w:rPr>
        <w:t>This synthesis highlights the critical priority areas for Thailand to bolster environmental governance and infrastructure to effectively combat pollution challenges.</w:t>
      </w:r>
    </w:p>
    <w:p w14:paraId="586FD595" w14:textId="77777777" w:rsidR="007123E7" w:rsidRPr="00067F99" w:rsidRDefault="007123E7" w:rsidP="007123E7">
      <w:pPr>
        <w:jc w:val="thaiDistribute"/>
        <w:rPr>
          <w:b/>
          <w:bCs/>
          <w:sz w:val="24"/>
          <w:szCs w:val="24"/>
        </w:rPr>
      </w:pPr>
      <w:r w:rsidRPr="00067F99">
        <w:rPr>
          <w:b/>
          <w:bCs/>
          <w:sz w:val="24"/>
          <w:szCs w:val="24"/>
        </w:rPr>
        <w:t xml:space="preserve">Validated root causes and gaps </w:t>
      </w:r>
    </w:p>
    <w:p w14:paraId="5561AC57" w14:textId="77777777" w:rsidR="007123E7" w:rsidRPr="00067F99" w:rsidRDefault="007123E7" w:rsidP="007123E7">
      <w:pPr>
        <w:widowControl/>
        <w:numPr>
          <w:ilvl w:val="0"/>
          <w:numId w:val="150"/>
        </w:numPr>
        <w:spacing w:after="160" w:line="259" w:lineRule="auto"/>
        <w:jc w:val="thaiDistribute"/>
        <w:rPr>
          <w:sz w:val="24"/>
          <w:szCs w:val="24"/>
        </w:rPr>
      </w:pPr>
      <w:r w:rsidRPr="00067F99">
        <w:rPr>
          <w:sz w:val="24"/>
          <w:szCs w:val="24"/>
        </w:rPr>
        <w:t>Root cause: Insufficient wastewater treatment capacity and coverage (domestic). Evidence: 214 treatment facilities with ~581.9 million m3/yr capacity vs ~2.5 million m3/day generated; only ~41% of domestic wastewater treated. Implication: Direct discharge of untreated sewage into rivers and estuaries drives nutrient and pathogen loads.</w:t>
      </w:r>
    </w:p>
    <w:p w14:paraId="1F1D5F12" w14:textId="77777777" w:rsidR="007123E7" w:rsidRPr="00067F99" w:rsidRDefault="007123E7" w:rsidP="007123E7">
      <w:pPr>
        <w:widowControl/>
        <w:numPr>
          <w:ilvl w:val="0"/>
          <w:numId w:val="150"/>
        </w:numPr>
        <w:spacing w:after="160" w:line="259" w:lineRule="auto"/>
        <w:jc w:val="thaiDistribute"/>
        <w:rPr>
          <w:sz w:val="24"/>
          <w:szCs w:val="24"/>
        </w:rPr>
      </w:pPr>
      <w:r w:rsidRPr="00067F99">
        <w:rPr>
          <w:sz w:val="24"/>
          <w:szCs w:val="24"/>
        </w:rPr>
        <w:t xml:space="preserve">Root cause: Intensive fertilizer use without nutrient management. Evidence: Large imports of straight N and P fertilizers (2024 figures). No national quantification of N/P runoff. Implication: Agricultural runoff is a principal source of nutrient enrichment and eutrophication in coastal zones. Confidence: </w:t>
      </w:r>
    </w:p>
    <w:p w14:paraId="44D50ABC" w14:textId="77777777" w:rsidR="007123E7" w:rsidRPr="00067F99" w:rsidRDefault="007123E7" w:rsidP="007123E7">
      <w:pPr>
        <w:widowControl/>
        <w:numPr>
          <w:ilvl w:val="0"/>
          <w:numId w:val="150"/>
        </w:numPr>
        <w:spacing w:after="160" w:line="259" w:lineRule="auto"/>
        <w:jc w:val="thaiDistribute"/>
        <w:rPr>
          <w:sz w:val="24"/>
          <w:szCs w:val="24"/>
        </w:rPr>
      </w:pPr>
      <w:r w:rsidRPr="00067F99">
        <w:rPr>
          <w:sz w:val="24"/>
          <w:szCs w:val="24"/>
        </w:rPr>
        <w:t>Root cause: High plastic and solid waste leakage due to limited final disposal capacity and informal handling. Evidence: 27.2 Mt MSW (2024) with only ~38% properly disposed and ~17% improperly disposed; substantial pre</w:t>
      </w:r>
      <w:r w:rsidRPr="00067F99">
        <w:rPr>
          <w:sz w:val="24"/>
          <w:szCs w:val="24"/>
        </w:rPr>
        <w:noBreakHyphen/>
        <w:t xml:space="preserve"> and </w:t>
      </w:r>
      <w:r w:rsidRPr="00067F99">
        <w:rPr>
          <w:sz w:val="24"/>
          <w:szCs w:val="24"/>
        </w:rPr>
        <w:lastRenderedPageBreak/>
        <w:t>post</w:t>
      </w:r>
      <w:r w:rsidRPr="00067F99">
        <w:rPr>
          <w:sz w:val="24"/>
          <w:szCs w:val="24"/>
        </w:rPr>
        <w:noBreakHyphen/>
        <w:t xml:space="preserve">collection recovery but final disposal gap. Implication: Continued marine litter and microplastic inputs. </w:t>
      </w:r>
    </w:p>
    <w:p w14:paraId="3C0995EE" w14:textId="77777777" w:rsidR="007123E7" w:rsidRPr="00067F99" w:rsidRDefault="007123E7" w:rsidP="007123E7">
      <w:pPr>
        <w:widowControl/>
        <w:numPr>
          <w:ilvl w:val="0"/>
          <w:numId w:val="150"/>
        </w:numPr>
        <w:spacing w:after="160" w:line="259" w:lineRule="auto"/>
        <w:jc w:val="thaiDistribute"/>
        <w:rPr>
          <w:sz w:val="24"/>
          <w:szCs w:val="24"/>
        </w:rPr>
      </w:pPr>
      <w:r w:rsidRPr="00067F99">
        <w:rPr>
          <w:sz w:val="24"/>
          <w:szCs w:val="24"/>
        </w:rPr>
        <w:t>Root cause: Industrial hazardous discharges concentrated in industrial estates (EEC), with variable compliance and limited enforcement capacity. Evidence: Hotspots in Rayong, Chonburi; mixed compliance across sectors; hazardous waste volumes specified. Implication: Localized contamination of sediments and seafood.</w:t>
      </w:r>
    </w:p>
    <w:p w14:paraId="56C997D0" w14:textId="77777777" w:rsidR="007123E7" w:rsidRPr="00067F99" w:rsidRDefault="007123E7" w:rsidP="007123E7">
      <w:pPr>
        <w:widowControl/>
        <w:numPr>
          <w:ilvl w:val="0"/>
          <w:numId w:val="150"/>
        </w:numPr>
        <w:spacing w:after="160" w:line="259" w:lineRule="auto"/>
        <w:jc w:val="thaiDistribute"/>
        <w:rPr>
          <w:sz w:val="24"/>
          <w:szCs w:val="24"/>
        </w:rPr>
      </w:pPr>
      <w:r w:rsidRPr="00067F99">
        <w:rPr>
          <w:sz w:val="24"/>
          <w:szCs w:val="24"/>
        </w:rPr>
        <w:t xml:space="preserve">Gap: Monitoring and data gaps for nutrient fluxes from agriculture and for emerging contaminants (antibiotics, microplastics, priority chemicals). Evidence: Draft explicitly states lack of official N/P runoff quantification and limited coverage for some pollutants. Implication: Limits ability to set reduction targets and track SAP outcomes. </w:t>
      </w:r>
    </w:p>
    <w:p w14:paraId="0ED1E3ED" w14:textId="77777777" w:rsidR="007123E7" w:rsidRPr="00067F99" w:rsidRDefault="007123E7" w:rsidP="007123E7">
      <w:pPr>
        <w:widowControl/>
        <w:numPr>
          <w:ilvl w:val="0"/>
          <w:numId w:val="150"/>
        </w:numPr>
        <w:spacing w:after="160" w:line="259" w:lineRule="auto"/>
        <w:jc w:val="thaiDistribute"/>
        <w:rPr>
          <w:sz w:val="24"/>
          <w:szCs w:val="24"/>
        </w:rPr>
      </w:pPr>
      <w:r w:rsidRPr="00067F99">
        <w:rPr>
          <w:sz w:val="24"/>
          <w:szCs w:val="24"/>
        </w:rPr>
        <w:t>Gap: Institutional fragmentation and weak inter</w:t>
      </w:r>
      <w:r w:rsidRPr="00067F99">
        <w:rPr>
          <w:sz w:val="24"/>
          <w:szCs w:val="24"/>
        </w:rPr>
        <w:noBreakHyphen/>
        <w:t xml:space="preserve">agency coordination. Evidence: Multiple agencies with overlapping mandates; enforcement and penalization shortfalls reported. Implication: Inconsistent policy implementation and inefficient response to transboundary issues. </w:t>
      </w:r>
    </w:p>
    <w:p w14:paraId="2521BB03" w14:textId="77777777" w:rsidR="007123E7" w:rsidRPr="00067F99" w:rsidRDefault="007123E7" w:rsidP="007123E7">
      <w:pPr>
        <w:widowControl/>
        <w:numPr>
          <w:ilvl w:val="0"/>
          <w:numId w:val="150"/>
        </w:numPr>
        <w:spacing w:after="160" w:line="259" w:lineRule="auto"/>
        <w:jc w:val="thaiDistribute"/>
        <w:rPr>
          <w:sz w:val="24"/>
          <w:szCs w:val="24"/>
        </w:rPr>
      </w:pPr>
      <w:r w:rsidRPr="00067F99">
        <w:rPr>
          <w:sz w:val="24"/>
          <w:szCs w:val="24"/>
        </w:rPr>
        <w:t>Gap: Financing and economic incentives. Evidence: Budget constraints; private finance growing (e.g., green bonds) but not yet targeted to priority infrastructure. Implication: Insufficient capital for rapid infrastructure scale</w:t>
      </w:r>
      <w:r w:rsidRPr="00067F99">
        <w:rPr>
          <w:sz w:val="24"/>
          <w:szCs w:val="24"/>
        </w:rPr>
        <w:noBreakHyphen/>
        <w:t xml:space="preserve">up. </w:t>
      </w:r>
    </w:p>
    <w:p w14:paraId="1322C7FB" w14:textId="77777777" w:rsidR="007123E7" w:rsidRDefault="007123E7" w:rsidP="007123E7">
      <w:pPr>
        <w:pStyle w:val="ListParagraph"/>
        <w:tabs>
          <w:tab w:val="left" w:pos="450"/>
        </w:tabs>
        <w:ind w:left="0"/>
        <w:rPr>
          <w:rFonts w:cs="Arial"/>
          <w:b/>
          <w:bCs/>
          <w:sz w:val="24"/>
          <w:szCs w:val="24"/>
        </w:rPr>
      </w:pPr>
    </w:p>
    <w:p w14:paraId="1A10399C" w14:textId="6269E27D" w:rsidR="007123E7" w:rsidRPr="00067F99" w:rsidRDefault="007123E7" w:rsidP="007123E7">
      <w:pPr>
        <w:pStyle w:val="ListParagraph"/>
        <w:tabs>
          <w:tab w:val="left" w:pos="450"/>
        </w:tabs>
        <w:ind w:left="0"/>
        <w:rPr>
          <w:rFonts w:cs="Arial"/>
          <w:b/>
          <w:bCs/>
          <w:sz w:val="24"/>
          <w:szCs w:val="24"/>
        </w:rPr>
      </w:pPr>
      <w:r w:rsidRPr="00067F99">
        <w:rPr>
          <w:rFonts w:cs="Arial"/>
          <w:b/>
          <w:bCs/>
          <w:sz w:val="24"/>
          <w:szCs w:val="24"/>
        </w:rPr>
        <w:t>3.3.6 Recommended Priority Actions, Emphasizing Regional Cooperation</w:t>
      </w:r>
    </w:p>
    <w:p w14:paraId="7B7ECF23" w14:textId="77777777" w:rsidR="007123E7" w:rsidRPr="00067F99" w:rsidRDefault="007123E7" w:rsidP="007123E7">
      <w:pPr>
        <w:pStyle w:val="ListParagraph"/>
        <w:tabs>
          <w:tab w:val="left" w:pos="450"/>
        </w:tabs>
        <w:ind w:left="0"/>
        <w:rPr>
          <w:rFonts w:cs="Arial"/>
          <w:b/>
          <w:bCs/>
          <w:sz w:val="24"/>
          <w:szCs w:val="24"/>
        </w:rPr>
      </w:pPr>
      <w:r w:rsidRPr="00067F99">
        <w:rPr>
          <w:rFonts w:cs="Arial"/>
          <w:sz w:val="24"/>
          <w:szCs w:val="24"/>
        </w:rPr>
        <w:br/>
      </w:r>
      <w:r w:rsidRPr="00067F99">
        <w:rPr>
          <w:rFonts w:cs="Arial"/>
          <w:b/>
          <w:bCs/>
          <w:sz w:val="24"/>
          <w:szCs w:val="24"/>
        </w:rPr>
        <w:t>Immediate Actions (0-2 years)</w:t>
      </w:r>
    </w:p>
    <w:p w14:paraId="4ADD7E21" w14:textId="77777777" w:rsidR="007123E7" w:rsidRPr="00067F99" w:rsidRDefault="007123E7" w:rsidP="007123E7">
      <w:pPr>
        <w:pStyle w:val="ListParagraph"/>
        <w:widowControl/>
        <w:numPr>
          <w:ilvl w:val="1"/>
          <w:numId w:val="40"/>
        </w:numPr>
        <w:tabs>
          <w:tab w:val="left" w:pos="450"/>
          <w:tab w:val="left" w:pos="810"/>
        </w:tabs>
        <w:spacing w:after="160" w:line="259" w:lineRule="auto"/>
        <w:ind w:left="900"/>
        <w:rPr>
          <w:rFonts w:cs="Arial"/>
          <w:sz w:val="24"/>
          <w:szCs w:val="24"/>
        </w:rPr>
      </w:pPr>
      <w:r w:rsidRPr="00067F99">
        <w:rPr>
          <w:rFonts w:cs="Arial"/>
          <w:sz w:val="24"/>
          <w:szCs w:val="24"/>
        </w:rPr>
        <w:t>Strengthen Regional Monitoring Systems</w:t>
      </w:r>
    </w:p>
    <w:p w14:paraId="2E3CA0F7" w14:textId="77777777" w:rsidR="007123E7" w:rsidRPr="00067F99" w:rsidRDefault="007123E7" w:rsidP="007123E7">
      <w:pPr>
        <w:pStyle w:val="ListParagraph"/>
        <w:tabs>
          <w:tab w:val="left" w:pos="450"/>
        </w:tabs>
        <w:ind w:left="0"/>
        <w:rPr>
          <w:rFonts w:cs="Arial"/>
          <w:sz w:val="24"/>
          <w:szCs w:val="24"/>
        </w:rPr>
      </w:pPr>
      <w:r w:rsidRPr="00067F99">
        <w:rPr>
          <w:rFonts w:cs="Arial"/>
          <w:sz w:val="24"/>
          <w:szCs w:val="24"/>
        </w:rPr>
        <w:tab/>
      </w:r>
      <w:r w:rsidRPr="00067F99">
        <w:rPr>
          <w:rFonts w:cs="Arial"/>
          <w:sz w:val="24"/>
          <w:szCs w:val="24"/>
        </w:rPr>
        <w:tab/>
        <w:t xml:space="preserve"> • Establish harmonized marine pollution monitoring protocols with ASEAN partners</w:t>
      </w:r>
    </w:p>
    <w:p w14:paraId="66F7E990" w14:textId="77777777" w:rsidR="007123E7" w:rsidRPr="00067F99" w:rsidRDefault="007123E7" w:rsidP="007123E7">
      <w:pPr>
        <w:pStyle w:val="ListParagraph"/>
        <w:tabs>
          <w:tab w:val="left" w:pos="450"/>
        </w:tabs>
        <w:ind w:left="0"/>
        <w:rPr>
          <w:rFonts w:cs="Arial"/>
          <w:sz w:val="24"/>
          <w:szCs w:val="24"/>
        </w:rPr>
      </w:pPr>
      <w:r w:rsidRPr="00067F99">
        <w:rPr>
          <w:rFonts w:cs="Arial"/>
          <w:sz w:val="24"/>
          <w:szCs w:val="24"/>
        </w:rPr>
        <w:tab/>
      </w:r>
      <w:r w:rsidRPr="00067F99">
        <w:rPr>
          <w:rFonts w:cs="Arial"/>
          <w:sz w:val="24"/>
          <w:szCs w:val="24"/>
        </w:rPr>
        <w:tab/>
        <w:t xml:space="preserve"> • Implement real-time data sharing mechanisms for transboundary pollution tracking</w:t>
      </w:r>
    </w:p>
    <w:p w14:paraId="4FC81E3E" w14:textId="77777777" w:rsidR="007123E7" w:rsidRPr="00067F99" w:rsidRDefault="007123E7" w:rsidP="007123E7">
      <w:pPr>
        <w:pStyle w:val="ListParagraph"/>
        <w:tabs>
          <w:tab w:val="left" w:pos="450"/>
        </w:tabs>
        <w:ind w:left="0"/>
        <w:rPr>
          <w:rFonts w:cs="Arial"/>
          <w:sz w:val="24"/>
          <w:szCs w:val="24"/>
        </w:rPr>
      </w:pPr>
      <w:r w:rsidRPr="00067F99">
        <w:rPr>
          <w:rFonts w:cs="Arial"/>
          <w:sz w:val="24"/>
          <w:szCs w:val="24"/>
        </w:rPr>
        <w:tab/>
      </w:r>
      <w:r w:rsidRPr="00067F99">
        <w:rPr>
          <w:rFonts w:cs="Arial"/>
          <w:sz w:val="24"/>
          <w:szCs w:val="24"/>
        </w:rPr>
        <w:tab/>
        <w:t xml:space="preserve"> • Develop joint early warning systems for pollution incidents</w:t>
      </w:r>
    </w:p>
    <w:p w14:paraId="4B3CFDB3" w14:textId="77777777" w:rsidR="007123E7" w:rsidRPr="00067F99" w:rsidRDefault="007123E7" w:rsidP="007123E7">
      <w:pPr>
        <w:pStyle w:val="ListParagraph"/>
        <w:widowControl/>
        <w:numPr>
          <w:ilvl w:val="1"/>
          <w:numId w:val="40"/>
        </w:numPr>
        <w:tabs>
          <w:tab w:val="left" w:pos="450"/>
          <w:tab w:val="left" w:pos="810"/>
        </w:tabs>
        <w:spacing w:after="160" w:line="259" w:lineRule="auto"/>
        <w:ind w:left="900"/>
        <w:rPr>
          <w:rFonts w:cs="Arial"/>
          <w:sz w:val="24"/>
          <w:szCs w:val="24"/>
        </w:rPr>
      </w:pPr>
      <w:r w:rsidRPr="00067F99">
        <w:rPr>
          <w:rFonts w:cs="Arial"/>
          <w:sz w:val="24"/>
          <w:szCs w:val="24"/>
        </w:rPr>
        <w:t>Enhance Waste Management Infrastructure</w:t>
      </w:r>
    </w:p>
    <w:p w14:paraId="7DDD994F" w14:textId="77777777" w:rsidR="007123E7" w:rsidRPr="00067F99" w:rsidRDefault="007123E7" w:rsidP="007123E7">
      <w:pPr>
        <w:pStyle w:val="ListParagraph"/>
        <w:tabs>
          <w:tab w:val="left" w:pos="450"/>
        </w:tabs>
        <w:ind w:left="0"/>
        <w:rPr>
          <w:rFonts w:cs="Arial"/>
          <w:sz w:val="24"/>
          <w:szCs w:val="24"/>
        </w:rPr>
      </w:pPr>
      <w:r w:rsidRPr="00067F99">
        <w:rPr>
          <w:rFonts w:cs="Arial"/>
          <w:sz w:val="24"/>
          <w:szCs w:val="24"/>
        </w:rPr>
        <w:tab/>
      </w:r>
      <w:r w:rsidRPr="00067F99">
        <w:rPr>
          <w:rFonts w:cs="Arial"/>
          <w:sz w:val="24"/>
          <w:szCs w:val="24"/>
        </w:rPr>
        <w:tab/>
        <w:t xml:space="preserve"> • Accelerate implementation of Extended Producer Responsibility schemes</w:t>
      </w:r>
    </w:p>
    <w:p w14:paraId="394F715F" w14:textId="77777777" w:rsidR="007123E7" w:rsidRPr="00067F99" w:rsidRDefault="007123E7" w:rsidP="007123E7">
      <w:pPr>
        <w:pStyle w:val="ListParagraph"/>
        <w:tabs>
          <w:tab w:val="left" w:pos="450"/>
        </w:tabs>
        <w:ind w:left="0"/>
        <w:rPr>
          <w:rFonts w:cs="Arial"/>
          <w:sz w:val="24"/>
          <w:szCs w:val="24"/>
        </w:rPr>
      </w:pPr>
      <w:r w:rsidRPr="00067F99">
        <w:rPr>
          <w:rFonts w:cs="Arial"/>
          <w:sz w:val="24"/>
          <w:szCs w:val="24"/>
        </w:rPr>
        <w:tab/>
      </w:r>
      <w:r w:rsidRPr="00067F99">
        <w:rPr>
          <w:rFonts w:cs="Arial"/>
          <w:sz w:val="24"/>
          <w:szCs w:val="24"/>
        </w:rPr>
        <w:tab/>
        <w:t xml:space="preserve"> • Improve waste collection systems in coastal and rural areas</w:t>
      </w:r>
    </w:p>
    <w:p w14:paraId="37BD2526" w14:textId="77777777" w:rsidR="007123E7" w:rsidRPr="00067F99" w:rsidRDefault="007123E7" w:rsidP="007123E7">
      <w:pPr>
        <w:pStyle w:val="ListParagraph"/>
        <w:tabs>
          <w:tab w:val="left" w:pos="450"/>
        </w:tabs>
        <w:ind w:left="0"/>
        <w:rPr>
          <w:rFonts w:cs="Arial"/>
          <w:sz w:val="24"/>
          <w:szCs w:val="24"/>
        </w:rPr>
      </w:pPr>
      <w:r w:rsidRPr="00067F99">
        <w:rPr>
          <w:rFonts w:cs="Arial"/>
          <w:sz w:val="24"/>
          <w:szCs w:val="24"/>
        </w:rPr>
        <w:tab/>
      </w:r>
      <w:r w:rsidRPr="00067F99">
        <w:rPr>
          <w:rFonts w:cs="Arial"/>
          <w:sz w:val="24"/>
          <w:szCs w:val="24"/>
        </w:rPr>
        <w:tab/>
        <w:t xml:space="preserve"> • Establish regional plastic waste trading mechanisms</w:t>
      </w:r>
    </w:p>
    <w:p w14:paraId="6E470243" w14:textId="77777777" w:rsidR="007123E7" w:rsidRPr="00067F99" w:rsidRDefault="007123E7" w:rsidP="007123E7">
      <w:pPr>
        <w:pStyle w:val="ListParagraph"/>
        <w:widowControl/>
        <w:numPr>
          <w:ilvl w:val="1"/>
          <w:numId w:val="40"/>
        </w:numPr>
        <w:tabs>
          <w:tab w:val="left" w:pos="450"/>
          <w:tab w:val="left" w:pos="810"/>
        </w:tabs>
        <w:spacing w:after="160" w:line="259" w:lineRule="auto"/>
        <w:ind w:left="900"/>
        <w:rPr>
          <w:rFonts w:cs="Arial"/>
          <w:sz w:val="24"/>
          <w:szCs w:val="24"/>
        </w:rPr>
      </w:pPr>
      <w:r w:rsidRPr="00067F99">
        <w:rPr>
          <w:rFonts w:cs="Arial"/>
          <w:sz w:val="24"/>
          <w:szCs w:val="24"/>
        </w:rPr>
        <w:t>Improve Regulatory Enforcement</w:t>
      </w:r>
    </w:p>
    <w:p w14:paraId="352EADEA" w14:textId="77777777" w:rsidR="007123E7" w:rsidRPr="00067F99" w:rsidRDefault="007123E7" w:rsidP="007123E7">
      <w:pPr>
        <w:pStyle w:val="ListParagraph"/>
        <w:tabs>
          <w:tab w:val="left" w:pos="450"/>
        </w:tabs>
        <w:ind w:left="0"/>
        <w:rPr>
          <w:rFonts w:cs="Arial"/>
          <w:sz w:val="24"/>
          <w:szCs w:val="24"/>
        </w:rPr>
      </w:pPr>
      <w:r w:rsidRPr="00067F99">
        <w:rPr>
          <w:rFonts w:cs="Arial"/>
          <w:sz w:val="24"/>
          <w:szCs w:val="24"/>
        </w:rPr>
        <w:tab/>
      </w:r>
      <w:r w:rsidRPr="00067F99">
        <w:rPr>
          <w:rFonts w:cs="Arial"/>
          <w:sz w:val="24"/>
          <w:szCs w:val="24"/>
        </w:rPr>
        <w:tab/>
        <w:t xml:space="preserve"> • Strengthen inter-agency coordination mechanisms</w:t>
      </w:r>
    </w:p>
    <w:p w14:paraId="5AD2C14C" w14:textId="77777777" w:rsidR="007123E7" w:rsidRPr="00067F99" w:rsidRDefault="007123E7" w:rsidP="007123E7">
      <w:pPr>
        <w:pStyle w:val="ListParagraph"/>
        <w:tabs>
          <w:tab w:val="left" w:pos="450"/>
        </w:tabs>
        <w:ind w:left="0"/>
        <w:rPr>
          <w:rFonts w:cs="Arial"/>
          <w:sz w:val="24"/>
          <w:szCs w:val="24"/>
        </w:rPr>
      </w:pPr>
      <w:r w:rsidRPr="00067F99">
        <w:rPr>
          <w:rFonts w:cs="Arial"/>
          <w:sz w:val="24"/>
          <w:szCs w:val="24"/>
        </w:rPr>
        <w:tab/>
      </w:r>
      <w:r w:rsidRPr="00067F99">
        <w:rPr>
          <w:rFonts w:cs="Arial"/>
          <w:sz w:val="24"/>
          <w:szCs w:val="24"/>
        </w:rPr>
        <w:tab/>
        <w:t xml:space="preserve"> • Enhance monitoring and compliance systems</w:t>
      </w:r>
    </w:p>
    <w:p w14:paraId="624E71E6" w14:textId="77777777" w:rsidR="007123E7" w:rsidRPr="00067F99" w:rsidRDefault="007123E7" w:rsidP="007123E7">
      <w:pPr>
        <w:pStyle w:val="ListParagraph"/>
        <w:tabs>
          <w:tab w:val="left" w:pos="450"/>
        </w:tabs>
        <w:ind w:left="0"/>
        <w:rPr>
          <w:rFonts w:cs="Arial"/>
          <w:sz w:val="24"/>
          <w:szCs w:val="24"/>
        </w:rPr>
      </w:pPr>
      <w:r w:rsidRPr="00067F99">
        <w:rPr>
          <w:rFonts w:cs="Arial"/>
          <w:sz w:val="24"/>
          <w:szCs w:val="24"/>
        </w:rPr>
        <w:tab/>
      </w:r>
      <w:r w:rsidRPr="00067F99">
        <w:rPr>
          <w:rFonts w:cs="Arial"/>
          <w:sz w:val="24"/>
          <w:szCs w:val="24"/>
        </w:rPr>
        <w:tab/>
        <w:t xml:space="preserve"> • Implement graduated penalty systems for pollution violation</w:t>
      </w:r>
    </w:p>
    <w:p w14:paraId="767476F8" w14:textId="77777777" w:rsidR="007123E7" w:rsidRPr="00067F99" w:rsidRDefault="007123E7" w:rsidP="007123E7">
      <w:pPr>
        <w:pStyle w:val="ListParagraph"/>
        <w:widowControl/>
        <w:numPr>
          <w:ilvl w:val="1"/>
          <w:numId w:val="40"/>
        </w:numPr>
        <w:tabs>
          <w:tab w:val="left" w:pos="450"/>
          <w:tab w:val="left" w:pos="810"/>
        </w:tabs>
        <w:spacing w:after="160" w:line="259" w:lineRule="auto"/>
        <w:ind w:left="900"/>
        <w:rPr>
          <w:rFonts w:cs="Arial"/>
          <w:sz w:val="24"/>
          <w:szCs w:val="24"/>
        </w:rPr>
      </w:pPr>
      <w:r w:rsidRPr="00067F99">
        <w:rPr>
          <w:rFonts w:cs="Arial"/>
          <w:sz w:val="24"/>
          <w:szCs w:val="24"/>
        </w:rPr>
        <w:t>Close critical monitoring gaps</w:t>
      </w:r>
    </w:p>
    <w:p w14:paraId="6D04EFF1" w14:textId="77777777" w:rsidR="007123E7" w:rsidRPr="00067F99" w:rsidRDefault="007123E7" w:rsidP="007123E7">
      <w:pPr>
        <w:pStyle w:val="ListParagraph"/>
        <w:tabs>
          <w:tab w:val="left" w:pos="450"/>
          <w:tab w:val="left" w:pos="810"/>
        </w:tabs>
        <w:ind w:left="0" w:firstLine="900"/>
        <w:rPr>
          <w:rFonts w:cs="Arial"/>
          <w:sz w:val="24"/>
          <w:szCs w:val="24"/>
        </w:rPr>
      </w:pPr>
      <w:r w:rsidRPr="00067F99">
        <w:rPr>
          <w:rFonts w:cs="Arial"/>
          <w:sz w:val="24"/>
          <w:szCs w:val="24"/>
        </w:rPr>
        <w:t>• Action: Design and fund a national nutrient loading assessment protocol and implement targeted monitoring in the Chao Phraya, Tha Chin, Mae Klong and Bang Pakong sub</w:t>
      </w:r>
      <w:r w:rsidRPr="00067F99">
        <w:rPr>
          <w:rFonts w:cs="Arial"/>
          <w:sz w:val="24"/>
          <w:szCs w:val="24"/>
        </w:rPr>
        <w:noBreakHyphen/>
        <w:t>catchments.</w:t>
      </w:r>
    </w:p>
    <w:p w14:paraId="7175E74F" w14:textId="77777777" w:rsidR="007123E7" w:rsidRPr="00067F99" w:rsidRDefault="007123E7" w:rsidP="007123E7">
      <w:pPr>
        <w:pStyle w:val="ListParagraph"/>
        <w:tabs>
          <w:tab w:val="left" w:pos="450"/>
          <w:tab w:val="left" w:pos="810"/>
        </w:tabs>
        <w:ind w:left="0" w:firstLine="900"/>
        <w:rPr>
          <w:rFonts w:cs="Arial"/>
          <w:sz w:val="24"/>
          <w:szCs w:val="24"/>
        </w:rPr>
      </w:pPr>
      <w:r w:rsidRPr="00067F99">
        <w:rPr>
          <w:rFonts w:cs="Arial"/>
          <w:sz w:val="24"/>
          <w:szCs w:val="24"/>
        </w:rPr>
        <w:t>• Indicator: Establishment of a national nutrient runoff dataset with quarterly estimates for main rivers within 24 months.</w:t>
      </w:r>
    </w:p>
    <w:p w14:paraId="5337BE27" w14:textId="77777777" w:rsidR="007123E7" w:rsidRPr="00067F99" w:rsidRDefault="007123E7" w:rsidP="007123E7">
      <w:pPr>
        <w:pStyle w:val="ListParagraph"/>
        <w:widowControl/>
        <w:numPr>
          <w:ilvl w:val="1"/>
          <w:numId w:val="40"/>
        </w:numPr>
        <w:tabs>
          <w:tab w:val="left" w:pos="450"/>
          <w:tab w:val="left" w:pos="810"/>
        </w:tabs>
        <w:spacing w:after="160" w:line="259" w:lineRule="auto"/>
        <w:ind w:left="900"/>
        <w:rPr>
          <w:rFonts w:cs="Arial"/>
          <w:sz w:val="24"/>
          <w:szCs w:val="24"/>
        </w:rPr>
      </w:pPr>
      <w:r w:rsidRPr="00067F99">
        <w:rPr>
          <w:rFonts w:cs="Arial"/>
          <w:sz w:val="24"/>
          <w:szCs w:val="24"/>
        </w:rPr>
        <w:t>Prevent new leakage of plastics</w:t>
      </w:r>
    </w:p>
    <w:p w14:paraId="1C86D322" w14:textId="77777777" w:rsidR="007123E7" w:rsidRPr="00067F99" w:rsidRDefault="007123E7" w:rsidP="007123E7">
      <w:pPr>
        <w:pStyle w:val="ListParagraph"/>
        <w:tabs>
          <w:tab w:val="left" w:pos="450"/>
          <w:tab w:val="left" w:pos="810"/>
        </w:tabs>
        <w:ind w:left="0" w:firstLine="900"/>
        <w:rPr>
          <w:rFonts w:cs="Arial"/>
          <w:sz w:val="24"/>
          <w:szCs w:val="24"/>
        </w:rPr>
      </w:pPr>
      <w:r w:rsidRPr="00067F99">
        <w:rPr>
          <w:rFonts w:cs="Arial"/>
          <w:sz w:val="24"/>
          <w:szCs w:val="24"/>
        </w:rPr>
        <w:t>• Action: Enforce single</w:t>
      </w:r>
      <w:r w:rsidRPr="00067F99">
        <w:rPr>
          <w:rFonts w:cs="Arial"/>
          <w:sz w:val="24"/>
          <w:szCs w:val="24"/>
        </w:rPr>
        <w:noBreakHyphen/>
        <w:t>use plastic restrictions and accelerate roll</w:t>
      </w:r>
      <w:r w:rsidRPr="00067F99">
        <w:rPr>
          <w:rFonts w:cs="Arial"/>
          <w:sz w:val="24"/>
          <w:szCs w:val="24"/>
        </w:rPr>
        <w:noBreakHyphen/>
        <w:t xml:space="preserve">out of </w:t>
      </w:r>
      <w:r w:rsidRPr="00067F99">
        <w:rPr>
          <w:rFonts w:cs="Arial"/>
          <w:sz w:val="24"/>
          <w:szCs w:val="24"/>
        </w:rPr>
        <w:lastRenderedPageBreak/>
        <w:t>Extended Producer Responsibility (EPR) systems for key packaging types.</w:t>
      </w:r>
    </w:p>
    <w:p w14:paraId="7B5E8794" w14:textId="77777777" w:rsidR="007123E7" w:rsidRPr="00067F99" w:rsidRDefault="007123E7" w:rsidP="007123E7">
      <w:pPr>
        <w:pStyle w:val="ListParagraph"/>
        <w:tabs>
          <w:tab w:val="left" w:pos="450"/>
          <w:tab w:val="left" w:pos="810"/>
        </w:tabs>
        <w:ind w:left="0" w:firstLine="900"/>
        <w:rPr>
          <w:rFonts w:cs="Arial"/>
          <w:sz w:val="24"/>
          <w:szCs w:val="24"/>
        </w:rPr>
      </w:pPr>
      <w:r w:rsidRPr="00067F99">
        <w:rPr>
          <w:rFonts w:cs="Arial"/>
          <w:sz w:val="24"/>
          <w:szCs w:val="24"/>
        </w:rPr>
        <w:t>• Indicator: EPR operational for top 5 packaging types; 20% reduction in reported coastal plastic items from beach surveys in two target provinces.</w:t>
      </w:r>
    </w:p>
    <w:p w14:paraId="74843CDC" w14:textId="77777777" w:rsidR="007123E7" w:rsidRPr="00067F99" w:rsidRDefault="007123E7" w:rsidP="007123E7">
      <w:pPr>
        <w:pStyle w:val="ListParagraph"/>
        <w:widowControl/>
        <w:numPr>
          <w:ilvl w:val="1"/>
          <w:numId w:val="40"/>
        </w:numPr>
        <w:tabs>
          <w:tab w:val="left" w:pos="450"/>
          <w:tab w:val="left" w:pos="810"/>
        </w:tabs>
        <w:spacing w:after="160" w:line="259" w:lineRule="auto"/>
        <w:ind w:left="900"/>
        <w:rPr>
          <w:rFonts w:cs="Arial"/>
          <w:sz w:val="24"/>
          <w:szCs w:val="24"/>
        </w:rPr>
      </w:pPr>
      <w:r w:rsidRPr="00067F99">
        <w:rPr>
          <w:rFonts w:cs="Arial"/>
          <w:sz w:val="24"/>
          <w:szCs w:val="24"/>
        </w:rPr>
        <w:t>Tackle wastewater hotspots</w:t>
      </w:r>
    </w:p>
    <w:p w14:paraId="101FCD1E" w14:textId="77777777" w:rsidR="007123E7" w:rsidRPr="00067F99" w:rsidRDefault="007123E7" w:rsidP="007123E7">
      <w:pPr>
        <w:pStyle w:val="ListParagraph"/>
        <w:tabs>
          <w:tab w:val="left" w:pos="450"/>
          <w:tab w:val="left" w:pos="810"/>
        </w:tabs>
        <w:ind w:left="0" w:firstLine="900"/>
        <w:rPr>
          <w:rFonts w:cs="Arial"/>
          <w:sz w:val="24"/>
          <w:szCs w:val="24"/>
        </w:rPr>
      </w:pPr>
      <w:r w:rsidRPr="00067F99">
        <w:rPr>
          <w:rFonts w:cs="Arial"/>
          <w:sz w:val="24"/>
          <w:szCs w:val="24"/>
        </w:rPr>
        <w:t>• Action: Prioritize construction/upgrading of decentralized sewage treatment for the top 10 coastal municipalities with repeated poor/fair readings.</w:t>
      </w:r>
    </w:p>
    <w:p w14:paraId="2F0CC1DB" w14:textId="77777777" w:rsidR="007123E7" w:rsidRPr="00067F99" w:rsidRDefault="007123E7" w:rsidP="007123E7">
      <w:pPr>
        <w:pStyle w:val="ListParagraph"/>
        <w:tabs>
          <w:tab w:val="left" w:pos="450"/>
          <w:tab w:val="left" w:pos="810"/>
        </w:tabs>
        <w:ind w:left="900"/>
        <w:rPr>
          <w:rFonts w:cs="Arial"/>
          <w:sz w:val="24"/>
          <w:szCs w:val="24"/>
        </w:rPr>
      </w:pPr>
      <w:r w:rsidRPr="00067F99">
        <w:rPr>
          <w:rFonts w:cs="Arial"/>
          <w:sz w:val="24"/>
          <w:szCs w:val="24"/>
        </w:rPr>
        <w:t>• Indicator: 10 target municipalities report &gt;60% treatment coverage within two years.</w:t>
      </w:r>
    </w:p>
    <w:p w14:paraId="1775ACC0" w14:textId="77777777" w:rsidR="007123E7" w:rsidRPr="00067F99" w:rsidRDefault="007123E7" w:rsidP="007123E7">
      <w:pPr>
        <w:pStyle w:val="ListParagraph"/>
        <w:widowControl/>
        <w:numPr>
          <w:ilvl w:val="1"/>
          <w:numId w:val="40"/>
        </w:numPr>
        <w:tabs>
          <w:tab w:val="left" w:pos="450"/>
          <w:tab w:val="left" w:pos="810"/>
        </w:tabs>
        <w:spacing w:after="160" w:line="259" w:lineRule="auto"/>
        <w:ind w:left="900"/>
        <w:rPr>
          <w:rFonts w:cs="Arial"/>
          <w:sz w:val="24"/>
          <w:szCs w:val="24"/>
        </w:rPr>
      </w:pPr>
      <w:r w:rsidRPr="00067F99">
        <w:rPr>
          <w:rFonts w:cs="Arial"/>
          <w:sz w:val="24"/>
          <w:szCs w:val="24"/>
        </w:rPr>
        <w:t>Strengthen oil spill and emergency response</w:t>
      </w:r>
    </w:p>
    <w:p w14:paraId="18711273" w14:textId="77777777" w:rsidR="007123E7" w:rsidRPr="00067F99" w:rsidRDefault="007123E7" w:rsidP="007123E7">
      <w:pPr>
        <w:pStyle w:val="ListParagraph"/>
        <w:tabs>
          <w:tab w:val="left" w:pos="450"/>
          <w:tab w:val="left" w:pos="810"/>
        </w:tabs>
        <w:ind w:left="0" w:firstLine="900"/>
        <w:rPr>
          <w:rFonts w:cs="Arial"/>
          <w:sz w:val="24"/>
          <w:szCs w:val="24"/>
        </w:rPr>
      </w:pPr>
      <w:r w:rsidRPr="00067F99">
        <w:rPr>
          <w:rFonts w:cs="Arial"/>
          <w:sz w:val="24"/>
          <w:szCs w:val="24"/>
        </w:rPr>
        <w:t>• Action: Conduct joint Tier 1/2 oil spill response exercises in the Gulf and Andaman hotspots; map local clean</w:t>
      </w:r>
      <w:r w:rsidRPr="00067F99">
        <w:rPr>
          <w:rFonts w:cs="Arial"/>
          <w:sz w:val="24"/>
          <w:szCs w:val="24"/>
        </w:rPr>
        <w:noBreakHyphen/>
        <w:t>up assets.</w:t>
      </w:r>
    </w:p>
    <w:p w14:paraId="44DD914E" w14:textId="77777777" w:rsidR="007123E7" w:rsidRPr="00067F99" w:rsidRDefault="007123E7" w:rsidP="007123E7">
      <w:pPr>
        <w:pStyle w:val="ListParagraph"/>
        <w:tabs>
          <w:tab w:val="left" w:pos="450"/>
          <w:tab w:val="left" w:pos="810"/>
        </w:tabs>
        <w:ind w:left="900"/>
        <w:rPr>
          <w:rFonts w:cs="Arial"/>
          <w:sz w:val="24"/>
          <w:szCs w:val="24"/>
        </w:rPr>
      </w:pPr>
      <w:r w:rsidRPr="00067F99">
        <w:rPr>
          <w:rFonts w:cs="Arial"/>
          <w:sz w:val="24"/>
          <w:szCs w:val="24"/>
        </w:rPr>
        <w:t>• Indicator: Two multi</w:t>
      </w:r>
      <w:r w:rsidRPr="00067F99">
        <w:rPr>
          <w:rFonts w:cs="Arial"/>
          <w:sz w:val="24"/>
          <w:szCs w:val="24"/>
        </w:rPr>
        <w:noBreakHyphen/>
        <w:t>agency exercises completed; local asset maps published.</w:t>
      </w:r>
    </w:p>
    <w:p w14:paraId="031C3AC7" w14:textId="77777777" w:rsidR="007123E7" w:rsidRPr="00067F99" w:rsidRDefault="007123E7" w:rsidP="007123E7">
      <w:pPr>
        <w:pStyle w:val="ListParagraph"/>
        <w:tabs>
          <w:tab w:val="left" w:pos="450"/>
        </w:tabs>
        <w:ind w:left="0"/>
        <w:rPr>
          <w:rFonts w:cs="Arial"/>
          <w:sz w:val="24"/>
          <w:szCs w:val="24"/>
        </w:rPr>
      </w:pPr>
    </w:p>
    <w:p w14:paraId="6D0784CF" w14:textId="77777777" w:rsidR="007123E7" w:rsidRPr="00067F99" w:rsidRDefault="007123E7" w:rsidP="007123E7">
      <w:pPr>
        <w:pStyle w:val="ListParagraph"/>
        <w:tabs>
          <w:tab w:val="left" w:pos="450"/>
        </w:tabs>
        <w:ind w:left="0"/>
        <w:rPr>
          <w:rFonts w:cs="Arial"/>
          <w:b/>
          <w:bCs/>
          <w:sz w:val="24"/>
          <w:szCs w:val="24"/>
        </w:rPr>
      </w:pPr>
      <w:r w:rsidRPr="00067F99">
        <w:rPr>
          <w:rFonts w:cs="Arial"/>
          <w:b/>
          <w:bCs/>
          <w:sz w:val="24"/>
          <w:szCs w:val="24"/>
        </w:rPr>
        <w:t>Medium-term Actions (3-5 years)</w:t>
      </w:r>
    </w:p>
    <w:p w14:paraId="547EF2F6" w14:textId="77777777" w:rsidR="007123E7" w:rsidRPr="00067F99" w:rsidRDefault="007123E7" w:rsidP="007123E7">
      <w:pPr>
        <w:pStyle w:val="ListParagraph"/>
        <w:widowControl/>
        <w:numPr>
          <w:ilvl w:val="0"/>
          <w:numId w:val="43"/>
        </w:numPr>
        <w:tabs>
          <w:tab w:val="left" w:pos="450"/>
          <w:tab w:val="left" w:pos="810"/>
        </w:tabs>
        <w:spacing w:after="160" w:line="259" w:lineRule="auto"/>
        <w:ind w:left="900"/>
        <w:rPr>
          <w:rFonts w:cs="Arial"/>
          <w:sz w:val="24"/>
          <w:szCs w:val="24"/>
        </w:rPr>
      </w:pPr>
      <w:r w:rsidRPr="00067F99">
        <w:rPr>
          <w:rFonts w:cs="Arial"/>
          <w:sz w:val="24"/>
          <w:szCs w:val="24"/>
        </w:rPr>
        <w:t>Regional Policy Harmonization</w:t>
      </w:r>
    </w:p>
    <w:p w14:paraId="253B9837" w14:textId="77777777" w:rsidR="007123E7" w:rsidRPr="00067F99" w:rsidRDefault="007123E7" w:rsidP="007123E7">
      <w:pPr>
        <w:pStyle w:val="ListParagraph"/>
        <w:tabs>
          <w:tab w:val="left" w:pos="450"/>
        </w:tabs>
        <w:ind w:left="0"/>
        <w:rPr>
          <w:rFonts w:cs="Arial"/>
          <w:sz w:val="24"/>
          <w:szCs w:val="24"/>
        </w:rPr>
      </w:pPr>
      <w:r w:rsidRPr="00067F99">
        <w:rPr>
          <w:rFonts w:cs="Arial"/>
          <w:sz w:val="24"/>
          <w:szCs w:val="24"/>
        </w:rPr>
        <w:tab/>
      </w:r>
      <w:r w:rsidRPr="00067F99">
        <w:rPr>
          <w:rFonts w:cs="Arial"/>
          <w:sz w:val="24"/>
          <w:szCs w:val="24"/>
        </w:rPr>
        <w:tab/>
        <w:t xml:space="preserve"> • Align national pollution standards with regional benchmarks</w:t>
      </w:r>
      <w:r w:rsidRPr="00067F99">
        <w:rPr>
          <w:rFonts w:cs="Arial"/>
          <w:sz w:val="24"/>
          <w:szCs w:val="24"/>
        </w:rPr>
        <w:br/>
        <w:t xml:space="preserve">  </w:t>
      </w:r>
      <w:r w:rsidRPr="00067F99">
        <w:rPr>
          <w:rFonts w:cs="Arial"/>
          <w:sz w:val="24"/>
          <w:szCs w:val="24"/>
        </w:rPr>
        <w:tab/>
        <w:t xml:space="preserve"> </w:t>
      </w:r>
      <w:r w:rsidRPr="00067F99">
        <w:rPr>
          <w:rFonts w:cs="Arial"/>
          <w:sz w:val="24"/>
          <w:szCs w:val="24"/>
        </w:rPr>
        <w:tab/>
        <w:t xml:space="preserve"> • Develop common approaches to plastic waste management</w:t>
      </w:r>
    </w:p>
    <w:p w14:paraId="7A4B4F71" w14:textId="77777777" w:rsidR="007123E7" w:rsidRPr="00067F99" w:rsidRDefault="007123E7" w:rsidP="007123E7">
      <w:pPr>
        <w:pStyle w:val="ListParagraph"/>
        <w:tabs>
          <w:tab w:val="left" w:pos="450"/>
        </w:tabs>
        <w:ind w:left="0"/>
        <w:rPr>
          <w:rFonts w:cs="Arial"/>
          <w:sz w:val="24"/>
          <w:szCs w:val="24"/>
        </w:rPr>
      </w:pPr>
      <w:r w:rsidRPr="00067F99">
        <w:rPr>
          <w:rFonts w:cs="Arial"/>
          <w:sz w:val="24"/>
          <w:szCs w:val="24"/>
        </w:rPr>
        <w:tab/>
      </w:r>
      <w:r w:rsidRPr="00067F99">
        <w:rPr>
          <w:rFonts w:cs="Arial"/>
          <w:sz w:val="24"/>
          <w:szCs w:val="24"/>
        </w:rPr>
        <w:tab/>
        <w:t xml:space="preserve"> • Establish regional certification systems for sustainable products</w:t>
      </w:r>
    </w:p>
    <w:p w14:paraId="36339D9C" w14:textId="77777777" w:rsidR="007123E7" w:rsidRPr="00067F99" w:rsidRDefault="007123E7" w:rsidP="007123E7">
      <w:pPr>
        <w:pStyle w:val="ListParagraph"/>
        <w:widowControl/>
        <w:numPr>
          <w:ilvl w:val="0"/>
          <w:numId w:val="43"/>
        </w:numPr>
        <w:tabs>
          <w:tab w:val="left" w:pos="450"/>
          <w:tab w:val="left" w:pos="810"/>
        </w:tabs>
        <w:spacing w:after="160" w:line="259" w:lineRule="auto"/>
        <w:ind w:left="900"/>
        <w:rPr>
          <w:rFonts w:cs="Arial"/>
          <w:sz w:val="24"/>
          <w:szCs w:val="24"/>
        </w:rPr>
      </w:pPr>
      <w:r w:rsidRPr="00067F99">
        <w:rPr>
          <w:rFonts w:cs="Arial"/>
          <w:sz w:val="24"/>
          <w:szCs w:val="24"/>
        </w:rPr>
        <w:t>Technology Transfer and Capacity Building</w:t>
      </w:r>
    </w:p>
    <w:p w14:paraId="75323160" w14:textId="77777777" w:rsidR="007123E7" w:rsidRPr="00067F99" w:rsidRDefault="007123E7" w:rsidP="007123E7">
      <w:pPr>
        <w:pStyle w:val="ListParagraph"/>
        <w:tabs>
          <w:tab w:val="left" w:pos="450"/>
        </w:tabs>
        <w:ind w:left="0"/>
        <w:rPr>
          <w:rFonts w:cs="Arial"/>
          <w:sz w:val="24"/>
          <w:szCs w:val="24"/>
        </w:rPr>
      </w:pPr>
      <w:r w:rsidRPr="00067F99">
        <w:rPr>
          <w:rFonts w:cs="Arial"/>
          <w:sz w:val="24"/>
          <w:szCs w:val="24"/>
        </w:rPr>
        <w:tab/>
      </w:r>
      <w:r w:rsidRPr="00067F99">
        <w:rPr>
          <w:rFonts w:cs="Arial"/>
          <w:sz w:val="24"/>
          <w:szCs w:val="24"/>
        </w:rPr>
        <w:tab/>
        <w:t xml:space="preserve"> • Facilitate knowledge sharing on pollution prevention technologies</w:t>
      </w:r>
    </w:p>
    <w:p w14:paraId="219D2990" w14:textId="77777777" w:rsidR="007123E7" w:rsidRPr="00067F99" w:rsidRDefault="007123E7" w:rsidP="007123E7">
      <w:pPr>
        <w:pStyle w:val="ListParagraph"/>
        <w:tabs>
          <w:tab w:val="left" w:pos="450"/>
        </w:tabs>
        <w:ind w:left="0"/>
        <w:rPr>
          <w:rFonts w:cs="Arial"/>
          <w:sz w:val="24"/>
          <w:szCs w:val="24"/>
        </w:rPr>
      </w:pPr>
      <w:r w:rsidRPr="00067F99">
        <w:rPr>
          <w:rFonts w:cs="Arial"/>
          <w:sz w:val="24"/>
          <w:szCs w:val="24"/>
        </w:rPr>
        <w:tab/>
      </w:r>
      <w:r w:rsidRPr="00067F99">
        <w:rPr>
          <w:rFonts w:cs="Arial"/>
          <w:sz w:val="24"/>
          <w:szCs w:val="24"/>
        </w:rPr>
        <w:tab/>
        <w:t xml:space="preserve"> • Establish regional training programs for environmental management</w:t>
      </w:r>
    </w:p>
    <w:p w14:paraId="25502C31" w14:textId="77777777" w:rsidR="007123E7" w:rsidRPr="00067F99" w:rsidRDefault="007123E7" w:rsidP="007123E7">
      <w:pPr>
        <w:pStyle w:val="ListParagraph"/>
        <w:tabs>
          <w:tab w:val="left" w:pos="450"/>
        </w:tabs>
        <w:ind w:left="0"/>
        <w:rPr>
          <w:rFonts w:cs="Arial"/>
          <w:sz w:val="24"/>
          <w:szCs w:val="24"/>
        </w:rPr>
      </w:pPr>
      <w:r w:rsidRPr="00067F99">
        <w:rPr>
          <w:rFonts w:cs="Arial"/>
          <w:sz w:val="24"/>
          <w:szCs w:val="24"/>
        </w:rPr>
        <w:tab/>
      </w:r>
      <w:r w:rsidRPr="00067F99">
        <w:rPr>
          <w:rFonts w:cs="Arial"/>
          <w:sz w:val="24"/>
          <w:szCs w:val="24"/>
        </w:rPr>
        <w:tab/>
        <w:t xml:space="preserve"> • Promote joint research and development initiatives</w:t>
      </w:r>
    </w:p>
    <w:p w14:paraId="0FBC1418" w14:textId="77777777" w:rsidR="007123E7" w:rsidRPr="00067F99" w:rsidRDefault="007123E7" w:rsidP="007123E7">
      <w:pPr>
        <w:pStyle w:val="ListParagraph"/>
        <w:widowControl/>
        <w:numPr>
          <w:ilvl w:val="0"/>
          <w:numId w:val="43"/>
        </w:numPr>
        <w:tabs>
          <w:tab w:val="left" w:pos="450"/>
          <w:tab w:val="left" w:pos="810"/>
        </w:tabs>
        <w:spacing w:after="160" w:line="259" w:lineRule="auto"/>
        <w:ind w:left="900"/>
        <w:rPr>
          <w:rFonts w:cs="Arial"/>
          <w:sz w:val="24"/>
          <w:szCs w:val="24"/>
        </w:rPr>
      </w:pPr>
      <w:r w:rsidRPr="00067F99">
        <w:rPr>
          <w:rFonts w:cs="Arial"/>
          <w:sz w:val="24"/>
          <w:szCs w:val="24"/>
        </w:rPr>
        <w:t>Economic Instruments</w:t>
      </w:r>
    </w:p>
    <w:p w14:paraId="3D5B8A5A" w14:textId="77777777" w:rsidR="007123E7" w:rsidRPr="00067F99" w:rsidRDefault="007123E7" w:rsidP="007123E7">
      <w:pPr>
        <w:pStyle w:val="ListParagraph"/>
        <w:tabs>
          <w:tab w:val="left" w:pos="450"/>
        </w:tabs>
        <w:ind w:left="0"/>
        <w:rPr>
          <w:rFonts w:cs="Arial"/>
          <w:sz w:val="24"/>
          <w:szCs w:val="24"/>
        </w:rPr>
      </w:pPr>
      <w:r w:rsidRPr="00067F99">
        <w:rPr>
          <w:rFonts w:cs="Arial"/>
          <w:sz w:val="24"/>
          <w:szCs w:val="24"/>
        </w:rPr>
        <w:tab/>
      </w:r>
      <w:r w:rsidRPr="00067F99">
        <w:rPr>
          <w:rFonts w:cs="Arial"/>
          <w:sz w:val="24"/>
          <w:szCs w:val="24"/>
        </w:rPr>
        <w:tab/>
        <w:t xml:space="preserve"> • Implement regional carbon pricing mechanisms</w:t>
      </w:r>
    </w:p>
    <w:p w14:paraId="7BD769EC" w14:textId="77777777" w:rsidR="007123E7" w:rsidRPr="00067F99" w:rsidRDefault="007123E7" w:rsidP="007123E7">
      <w:pPr>
        <w:pStyle w:val="ListParagraph"/>
        <w:tabs>
          <w:tab w:val="left" w:pos="450"/>
        </w:tabs>
        <w:ind w:left="0"/>
        <w:rPr>
          <w:rFonts w:cs="Arial"/>
          <w:sz w:val="24"/>
          <w:szCs w:val="24"/>
        </w:rPr>
      </w:pPr>
      <w:r w:rsidRPr="00067F99">
        <w:rPr>
          <w:rFonts w:cs="Arial"/>
          <w:sz w:val="24"/>
          <w:szCs w:val="24"/>
        </w:rPr>
        <w:tab/>
      </w:r>
      <w:r w:rsidRPr="00067F99">
        <w:rPr>
          <w:rFonts w:cs="Arial"/>
          <w:sz w:val="24"/>
          <w:szCs w:val="24"/>
        </w:rPr>
        <w:tab/>
        <w:t xml:space="preserve"> • Develop green bond markets for environmental infrastructure</w:t>
      </w:r>
    </w:p>
    <w:p w14:paraId="12076AAA" w14:textId="77777777" w:rsidR="007123E7" w:rsidRPr="00067F99" w:rsidRDefault="007123E7" w:rsidP="007123E7">
      <w:pPr>
        <w:pStyle w:val="ListParagraph"/>
        <w:tabs>
          <w:tab w:val="left" w:pos="450"/>
        </w:tabs>
        <w:ind w:left="0"/>
        <w:rPr>
          <w:rFonts w:cs="Arial"/>
          <w:sz w:val="24"/>
          <w:szCs w:val="24"/>
        </w:rPr>
      </w:pPr>
      <w:r w:rsidRPr="00067F99">
        <w:rPr>
          <w:rFonts w:cs="Arial"/>
          <w:sz w:val="24"/>
          <w:szCs w:val="24"/>
        </w:rPr>
        <w:tab/>
      </w:r>
      <w:r w:rsidRPr="00067F99">
        <w:rPr>
          <w:rFonts w:cs="Arial"/>
          <w:sz w:val="24"/>
          <w:szCs w:val="24"/>
        </w:rPr>
        <w:tab/>
        <w:t xml:space="preserve"> • Establish pollution trading systems where appropriate</w:t>
      </w:r>
    </w:p>
    <w:p w14:paraId="4193ACD6" w14:textId="77777777" w:rsidR="007123E7" w:rsidRPr="00067F99" w:rsidRDefault="007123E7" w:rsidP="007123E7">
      <w:pPr>
        <w:pStyle w:val="ListParagraph"/>
        <w:widowControl/>
        <w:numPr>
          <w:ilvl w:val="0"/>
          <w:numId w:val="43"/>
        </w:numPr>
        <w:tabs>
          <w:tab w:val="left" w:pos="450"/>
          <w:tab w:val="left" w:pos="810"/>
        </w:tabs>
        <w:spacing w:after="160" w:line="259" w:lineRule="auto"/>
        <w:ind w:left="900"/>
        <w:rPr>
          <w:rFonts w:cs="Arial"/>
          <w:sz w:val="24"/>
          <w:szCs w:val="24"/>
        </w:rPr>
      </w:pPr>
      <w:r w:rsidRPr="00067F99">
        <w:rPr>
          <w:rFonts w:cs="Arial"/>
          <w:sz w:val="24"/>
          <w:szCs w:val="24"/>
        </w:rPr>
        <w:t>Scale treatment and reduce nutrient loads</w:t>
      </w:r>
    </w:p>
    <w:p w14:paraId="595A669B" w14:textId="77777777" w:rsidR="007123E7" w:rsidRPr="00067F99" w:rsidRDefault="007123E7" w:rsidP="007123E7">
      <w:pPr>
        <w:pStyle w:val="ListParagraph"/>
        <w:tabs>
          <w:tab w:val="left" w:pos="450"/>
          <w:tab w:val="left" w:pos="810"/>
        </w:tabs>
        <w:ind w:left="0" w:firstLine="900"/>
        <w:rPr>
          <w:rFonts w:cs="Arial"/>
          <w:sz w:val="24"/>
          <w:szCs w:val="24"/>
        </w:rPr>
      </w:pPr>
      <w:r w:rsidRPr="00067F99">
        <w:rPr>
          <w:rFonts w:cs="Arial"/>
          <w:sz w:val="24"/>
          <w:szCs w:val="24"/>
        </w:rPr>
        <w:t>• Action: Implement nutrient best management practice (BMP) programs for rice and intensive crops, combine with cost</w:t>
      </w:r>
      <w:r w:rsidRPr="00067F99">
        <w:rPr>
          <w:rFonts w:cs="Arial"/>
          <w:sz w:val="24"/>
          <w:szCs w:val="24"/>
        </w:rPr>
        <w:noBreakHyphen/>
        <w:t>share schemes for precision fertilizer application.</w:t>
      </w:r>
    </w:p>
    <w:p w14:paraId="7C1F327B" w14:textId="77777777" w:rsidR="007123E7" w:rsidRPr="00067F99" w:rsidRDefault="007123E7" w:rsidP="007123E7">
      <w:pPr>
        <w:pStyle w:val="ListParagraph"/>
        <w:tabs>
          <w:tab w:val="left" w:pos="450"/>
          <w:tab w:val="left" w:pos="810"/>
        </w:tabs>
        <w:ind w:left="0" w:firstLine="900"/>
        <w:rPr>
          <w:rFonts w:cs="Arial"/>
          <w:sz w:val="24"/>
          <w:szCs w:val="24"/>
        </w:rPr>
      </w:pPr>
      <w:r w:rsidRPr="00067F99">
        <w:rPr>
          <w:rFonts w:cs="Arial"/>
          <w:sz w:val="24"/>
          <w:szCs w:val="24"/>
        </w:rPr>
        <w:t>• Indicator: 30% reduction in N and P loads from targeted sub</w:t>
      </w:r>
      <w:r w:rsidRPr="00067F99">
        <w:rPr>
          <w:rFonts w:cs="Arial"/>
          <w:sz w:val="24"/>
          <w:szCs w:val="24"/>
        </w:rPr>
        <w:noBreakHyphen/>
        <w:t>catchments versus baseline.</w:t>
      </w:r>
    </w:p>
    <w:p w14:paraId="53E08148" w14:textId="77777777" w:rsidR="007123E7" w:rsidRPr="00067F99" w:rsidRDefault="007123E7" w:rsidP="007123E7">
      <w:pPr>
        <w:pStyle w:val="ListParagraph"/>
        <w:widowControl/>
        <w:numPr>
          <w:ilvl w:val="0"/>
          <w:numId w:val="43"/>
        </w:numPr>
        <w:tabs>
          <w:tab w:val="left" w:pos="450"/>
          <w:tab w:val="left" w:pos="810"/>
        </w:tabs>
        <w:spacing w:after="160" w:line="259" w:lineRule="auto"/>
        <w:ind w:left="900"/>
        <w:rPr>
          <w:rFonts w:cs="Arial"/>
          <w:sz w:val="24"/>
          <w:szCs w:val="24"/>
        </w:rPr>
      </w:pPr>
      <w:r w:rsidRPr="00067F99">
        <w:rPr>
          <w:rFonts w:cs="Arial"/>
          <w:sz w:val="24"/>
          <w:szCs w:val="24"/>
        </w:rPr>
        <w:t>Improve industrial compliance and hazardous waste handling</w:t>
      </w:r>
    </w:p>
    <w:p w14:paraId="66CC96DF" w14:textId="77777777" w:rsidR="007123E7" w:rsidRPr="00067F99" w:rsidRDefault="007123E7" w:rsidP="007123E7">
      <w:pPr>
        <w:pStyle w:val="ListParagraph"/>
        <w:tabs>
          <w:tab w:val="left" w:pos="450"/>
          <w:tab w:val="left" w:pos="810"/>
        </w:tabs>
        <w:ind w:left="0" w:firstLine="900"/>
        <w:rPr>
          <w:rFonts w:cs="Arial"/>
          <w:sz w:val="24"/>
          <w:szCs w:val="24"/>
        </w:rPr>
      </w:pPr>
      <w:r w:rsidRPr="00067F99">
        <w:rPr>
          <w:rFonts w:cs="Arial"/>
          <w:sz w:val="24"/>
          <w:szCs w:val="24"/>
        </w:rPr>
        <w:t>• Action: Implement real</w:t>
      </w:r>
      <w:r w:rsidRPr="00067F99">
        <w:rPr>
          <w:rFonts w:cs="Arial"/>
          <w:sz w:val="24"/>
          <w:szCs w:val="24"/>
        </w:rPr>
        <w:noBreakHyphen/>
        <w:t>time effluent monitoring (pilot in EEC), coupled with a permit reform requiring electronic reporting and stronger sanctions.</w:t>
      </w:r>
    </w:p>
    <w:p w14:paraId="51C4E28B" w14:textId="77777777" w:rsidR="007123E7" w:rsidRPr="00067F99" w:rsidRDefault="007123E7" w:rsidP="007123E7">
      <w:pPr>
        <w:pStyle w:val="ListParagraph"/>
        <w:tabs>
          <w:tab w:val="left" w:pos="450"/>
          <w:tab w:val="left" w:pos="810"/>
        </w:tabs>
        <w:ind w:left="0" w:firstLine="900"/>
        <w:rPr>
          <w:rFonts w:cs="Arial"/>
          <w:sz w:val="24"/>
          <w:szCs w:val="24"/>
        </w:rPr>
      </w:pPr>
      <w:r w:rsidRPr="00067F99">
        <w:rPr>
          <w:rFonts w:cs="Arial"/>
          <w:sz w:val="24"/>
          <w:szCs w:val="24"/>
        </w:rPr>
        <w:t>• Indicator: 80% compliance rate among large industrial facilities in EEC; reduction in detected priority pollutant exceedances by 50% at sentinel stations.</w:t>
      </w:r>
    </w:p>
    <w:p w14:paraId="0933E02A" w14:textId="77777777" w:rsidR="007123E7" w:rsidRPr="00067F99" w:rsidRDefault="007123E7" w:rsidP="007123E7">
      <w:pPr>
        <w:pStyle w:val="ListParagraph"/>
        <w:widowControl/>
        <w:numPr>
          <w:ilvl w:val="0"/>
          <w:numId w:val="43"/>
        </w:numPr>
        <w:tabs>
          <w:tab w:val="left" w:pos="450"/>
          <w:tab w:val="left" w:pos="810"/>
        </w:tabs>
        <w:spacing w:after="160" w:line="259" w:lineRule="auto"/>
        <w:ind w:left="900"/>
        <w:rPr>
          <w:rFonts w:cs="Arial"/>
          <w:sz w:val="24"/>
          <w:szCs w:val="24"/>
        </w:rPr>
      </w:pPr>
      <w:r w:rsidRPr="00067F99">
        <w:rPr>
          <w:rFonts w:cs="Arial"/>
          <w:sz w:val="24"/>
          <w:szCs w:val="24"/>
        </w:rPr>
        <w:t>Upgrade solid waste infrastructure</w:t>
      </w:r>
    </w:p>
    <w:p w14:paraId="262B73CA" w14:textId="77777777" w:rsidR="007123E7" w:rsidRPr="00067F99" w:rsidRDefault="007123E7" w:rsidP="007123E7">
      <w:pPr>
        <w:pStyle w:val="ListParagraph"/>
        <w:tabs>
          <w:tab w:val="left" w:pos="450"/>
          <w:tab w:val="left" w:pos="810"/>
        </w:tabs>
        <w:ind w:left="0" w:firstLine="900"/>
        <w:rPr>
          <w:rFonts w:cs="Arial"/>
          <w:sz w:val="24"/>
          <w:szCs w:val="24"/>
        </w:rPr>
      </w:pPr>
      <w:r w:rsidRPr="00067F99">
        <w:rPr>
          <w:rFonts w:cs="Arial"/>
          <w:sz w:val="24"/>
          <w:szCs w:val="24"/>
        </w:rPr>
        <w:t>• Action: Build regional sanitary landfill/MBT hubs, formalize informal recyclers with incentives, and scale municipal recycling targets.</w:t>
      </w:r>
    </w:p>
    <w:p w14:paraId="6C05DFA0" w14:textId="77777777" w:rsidR="007123E7" w:rsidRPr="00067F99" w:rsidRDefault="007123E7" w:rsidP="007123E7">
      <w:pPr>
        <w:pStyle w:val="ListParagraph"/>
        <w:tabs>
          <w:tab w:val="left" w:pos="450"/>
          <w:tab w:val="left" w:pos="810"/>
        </w:tabs>
        <w:ind w:left="0" w:firstLine="900"/>
        <w:rPr>
          <w:rFonts w:cs="Arial"/>
          <w:sz w:val="24"/>
          <w:szCs w:val="24"/>
        </w:rPr>
      </w:pPr>
      <w:r w:rsidRPr="00067F99">
        <w:rPr>
          <w:rFonts w:cs="Arial"/>
          <w:sz w:val="24"/>
          <w:szCs w:val="24"/>
        </w:rPr>
        <w:t>• Indicator: Proper disposal rate increased from 38% to 60%; informal sector integrated in at least 3 regional hubs.</w:t>
      </w:r>
    </w:p>
    <w:p w14:paraId="3860F5C3" w14:textId="77777777" w:rsidR="007123E7" w:rsidRPr="00067F99" w:rsidRDefault="007123E7" w:rsidP="007123E7">
      <w:pPr>
        <w:pStyle w:val="ListParagraph"/>
        <w:tabs>
          <w:tab w:val="left" w:pos="450"/>
        </w:tabs>
        <w:ind w:left="0"/>
        <w:rPr>
          <w:rFonts w:cs="Arial"/>
          <w:sz w:val="24"/>
          <w:szCs w:val="24"/>
        </w:rPr>
      </w:pPr>
    </w:p>
    <w:p w14:paraId="7AC0FE3F" w14:textId="77777777" w:rsidR="007123E7" w:rsidRPr="00067F99" w:rsidRDefault="007123E7" w:rsidP="007123E7">
      <w:pPr>
        <w:pStyle w:val="ListParagraph"/>
        <w:tabs>
          <w:tab w:val="left" w:pos="450"/>
        </w:tabs>
        <w:ind w:left="0"/>
        <w:rPr>
          <w:rFonts w:cs="Arial"/>
          <w:b/>
          <w:bCs/>
          <w:sz w:val="24"/>
          <w:szCs w:val="24"/>
        </w:rPr>
      </w:pPr>
      <w:r w:rsidRPr="00067F99">
        <w:rPr>
          <w:rFonts w:cs="Arial"/>
          <w:b/>
          <w:bCs/>
          <w:sz w:val="24"/>
          <w:szCs w:val="24"/>
        </w:rPr>
        <w:t>Long-term Actions (5-10 years)</w:t>
      </w:r>
    </w:p>
    <w:p w14:paraId="58E6B0DE" w14:textId="77777777" w:rsidR="007123E7" w:rsidRPr="00067F99" w:rsidRDefault="007123E7" w:rsidP="007123E7">
      <w:pPr>
        <w:pStyle w:val="ListParagraph"/>
        <w:widowControl/>
        <w:numPr>
          <w:ilvl w:val="0"/>
          <w:numId w:val="44"/>
        </w:numPr>
        <w:tabs>
          <w:tab w:val="left" w:pos="450"/>
          <w:tab w:val="left" w:pos="810"/>
        </w:tabs>
        <w:spacing w:after="160" w:line="259" w:lineRule="auto"/>
        <w:ind w:left="900"/>
        <w:jc w:val="thaiDistribute"/>
        <w:rPr>
          <w:rFonts w:cs="Arial"/>
          <w:sz w:val="24"/>
          <w:szCs w:val="24"/>
        </w:rPr>
      </w:pPr>
      <w:r w:rsidRPr="00067F99">
        <w:rPr>
          <w:rFonts w:cs="Arial"/>
          <w:sz w:val="24"/>
          <w:szCs w:val="24"/>
        </w:rPr>
        <w:t>Ecosystem-based Management:</w:t>
      </w:r>
    </w:p>
    <w:p w14:paraId="251C29C3" w14:textId="77777777" w:rsidR="007123E7" w:rsidRPr="00067F99" w:rsidRDefault="007123E7" w:rsidP="007123E7">
      <w:pPr>
        <w:pStyle w:val="ListParagraph"/>
        <w:tabs>
          <w:tab w:val="left" w:pos="450"/>
        </w:tabs>
        <w:ind w:left="0"/>
        <w:jc w:val="thaiDistribute"/>
        <w:rPr>
          <w:rFonts w:cs="Arial"/>
          <w:sz w:val="24"/>
          <w:szCs w:val="24"/>
        </w:rPr>
      </w:pPr>
      <w:r w:rsidRPr="00067F99">
        <w:rPr>
          <w:rFonts w:cs="Arial"/>
          <w:sz w:val="24"/>
          <w:szCs w:val="24"/>
        </w:rPr>
        <w:tab/>
        <w:t xml:space="preserve">     • Implement integrated coastal zone management approaches</w:t>
      </w:r>
    </w:p>
    <w:p w14:paraId="447AF402" w14:textId="77777777" w:rsidR="007123E7" w:rsidRPr="00067F99" w:rsidRDefault="007123E7" w:rsidP="007123E7">
      <w:pPr>
        <w:pStyle w:val="ListParagraph"/>
        <w:tabs>
          <w:tab w:val="left" w:pos="450"/>
        </w:tabs>
        <w:ind w:left="0"/>
        <w:jc w:val="thaiDistribute"/>
        <w:rPr>
          <w:rFonts w:cs="Arial"/>
          <w:sz w:val="24"/>
          <w:szCs w:val="24"/>
        </w:rPr>
      </w:pPr>
      <w:r w:rsidRPr="00067F99">
        <w:rPr>
          <w:rFonts w:cs="Arial"/>
          <w:sz w:val="24"/>
          <w:szCs w:val="24"/>
        </w:rPr>
        <w:tab/>
      </w:r>
      <w:r w:rsidRPr="00067F99">
        <w:rPr>
          <w:rFonts w:cs="Arial"/>
          <w:sz w:val="24"/>
          <w:szCs w:val="24"/>
        </w:rPr>
        <w:tab/>
        <w:t>• Establish transboundary marine protected area networks</w:t>
      </w:r>
    </w:p>
    <w:p w14:paraId="3BEFC638" w14:textId="77777777" w:rsidR="007123E7" w:rsidRPr="00067F99" w:rsidRDefault="007123E7" w:rsidP="007123E7">
      <w:pPr>
        <w:pStyle w:val="ListParagraph"/>
        <w:tabs>
          <w:tab w:val="left" w:pos="450"/>
        </w:tabs>
        <w:ind w:left="0"/>
        <w:jc w:val="thaiDistribute"/>
        <w:rPr>
          <w:rFonts w:cs="Arial"/>
          <w:sz w:val="24"/>
          <w:szCs w:val="24"/>
        </w:rPr>
      </w:pPr>
      <w:r w:rsidRPr="00067F99">
        <w:rPr>
          <w:rFonts w:cs="Arial"/>
          <w:sz w:val="24"/>
          <w:szCs w:val="24"/>
        </w:rPr>
        <w:tab/>
      </w:r>
      <w:r w:rsidRPr="00067F99">
        <w:rPr>
          <w:rFonts w:cs="Arial"/>
          <w:sz w:val="24"/>
          <w:szCs w:val="24"/>
        </w:rPr>
        <w:tab/>
        <w:t>• Develop regional ecosystem restoration programs</w:t>
      </w:r>
    </w:p>
    <w:p w14:paraId="789435D8" w14:textId="77777777" w:rsidR="007123E7" w:rsidRPr="00067F99" w:rsidRDefault="007123E7" w:rsidP="007123E7">
      <w:pPr>
        <w:pStyle w:val="ListParagraph"/>
        <w:widowControl/>
        <w:numPr>
          <w:ilvl w:val="0"/>
          <w:numId w:val="44"/>
        </w:numPr>
        <w:tabs>
          <w:tab w:val="left" w:pos="450"/>
          <w:tab w:val="left" w:pos="810"/>
        </w:tabs>
        <w:spacing w:after="160" w:line="259" w:lineRule="auto"/>
        <w:ind w:left="900"/>
        <w:jc w:val="thaiDistribute"/>
        <w:rPr>
          <w:rFonts w:cs="Arial"/>
          <w:sz w:val="24"/>
          <w:szCs w:val="24"/>
        </w:rPr>
      </w:pPr>
      <w:r w:rsidRPr="00067F99">
        <w:rPr>
          <w:rFonts w:cs="Arial"/>
          <w:sz w:val="24"/>
          <w:szCs w:val="24"/>
        </w:rPr>
        <w:lastRenderedPageBreak/>
        <w:t>Innovation and Technology</w:t>
      </w:r>
    </w:p>
    <w:p w14:paraId="68E2A810" w14:textId="77777777" w:rsidR="007123E7" w:rsidRPr="00067F99" w:rsidRDefault="007123E7" w:rsidP="007123E7">
      <w:pPr>
        <w:pStyle w:val="ListParagraph"/>
        <w:tabs>
          <w:tab w:val="left" w:pos="450"/>
        </w:tabs>
        <w:ind w:left="0"/>
        <w:jc w:val="thaiDistribute"/>
        <w:rPr>
          <w:rFonts w:cs="Arial"/>
          <w:sz w:val="24"/>
          <w:szCs w:val="24"/>
        </w:rPr>
      </w:pPr>
      <w:r w:rsidRPr="00067F99">
        <w:rPr>
          <w:rFonts w:cs="Arial"/>
          <w:sz w:val="24"/>
          <w:szCs w:val="24"/>
        </w:rPr>
        <w:tab/>
      </w:r>
      <w:r w:rsidRPr="00067F99">
        <w:rPr>
          <w:rFonts w:cs="Arial"/>
          <w:sz w:val="24"/>
          <w:szCs w:val="24"/>
        </w:rPr>
        <w:tab/>
        <w:t>• Promote development of biodegradable alternatives to conventional plastics</w:t>
      </w:r>
    </w:p>
    <w:p w14:paraId="5A564CBF" w14:textId="77777777" w:rsidR="007123E7" w:rsidRPr="00067F99" w:rsidRDefault="007123E7" w:rsidP="007123E7">
      <w:pPr>
        <w:pStyle w:val="ListParagraph"/>
        <w:tabs>
          <w:tab w:val="left" w:pos="450"/>
        </w:tabs>
        <w:ind w:left="0"/>
        <w:jc w:val="thaiDistribute"/>
        <w:rPr>
          <w:rFonts w:cs="Arial"/>
          <w:sz w:val="24"/>
          <w:szCs w:val="24"/>
        </w:rPr>
      </w:pPr>
      <w:r w:rsidRPr="00067F99">
        <w:rPr>
          <w:rFonts w:cs="Arial"/>
          <w:sz w:val="24"/>
          <w:szCs w:val="24"/>
        </w:rPr>
        <w:tab/>
      </w:r>
      <w:r w:rsidRPr="00067F99">
        <w:rPr>
          <w:rFonts w:cs="Arial"/>
          <w:sz w:val="24"/>
          <w:szCs w:val="24"/>
        </w:rPr>
        <w:tab/>
        <w:t>• Advance circular economy principles in regional supply chains</w:t>
      </w:r>
    </w:p>
    <w:p w14:paraId="3BCB1A8C" w14:textId="77777777" w:rsidR="007123E7" w:rsidRPr="00067F99" w:rsidRDefault="007123E7" w:rsidP="007123E7">
      <w:pPr>
        <w:pStyle w:val="ListParagraph"/>
        <w:tabs>
          <w:tab w:val="left" w:pos="450"/>
        </w:tabs>
        <w:ind w:left="0"/>
        <w:jc w:val="thaiDistribute"/>
        <w:rPr>
          <w:rFonts w:cs="Arial"/>
          <w:sz w:val="24"/>
          <w:szCs w:val="24"/>
        </w:rPr>
      </w:pPr>
      <w:r w:rsidRPr="00067F99">
        <w:rPr>
          <w:rFonts w:cs="Arial"/>
          <w:sz w:val="24"/>
          <w:szCs w:val="24"/>
        </w:rPr>
        <w:tab/>
      </w:r>
      <w:r w:rsidRPr="00067F99">
        <w:rPr>
          <w:rFonts w:cs="Arial"/>
          <w:sz w:val="24"/>
          <w:szCs w:val="24"/>
        </w:rPr>
        <w:tab/>
        <w:t>• Develop next-generation pollution monitoring technologies</w:t>
      </w:r>
    </w:p>
    <w:p w14:paraId="79C63A8F" w14:textId="77777777" w:rsidR="007123E7" w:rsidRPr="00067F99" w:rsidRDefault="007123E7" w:rsidP="007123E7">
      <w:pPr>
        <w:pStyle w:val="ListParagraph"/>
        <w:widowControl/>
        <w:numPr>
          <w:ilvl w:val="0"/>
          <w:numId w:val="44"/>
        </w:numPr>
        <w:tabs>
          <w:tab w:val="left" w:pos="450"/>
          <w:tab w:val="left" w:pos="810"/>
        </w:tabs>
        <w:spacing w:after="160" w:line="259" w:lineRule="auto"/>
        <w:ind w:left="900"/>
        <w:jc w:val="thaiDistribute"/>
        <w:rPr>
          <w:rFonts w:cs="Arial"/>
          <w:sz w:val="24"/>
          <w:szCs w:val="24"/>
        </w:rPr>
      </w:pPr>
      <w:r w:rsidRPr="00067F99">
        <w:rPr>
          <w:rFonts w:cs="Arial"/>
          <w:sz w:val="24"/>
          <w:szCs w:val="24"/>
        </w:rPr>
        <w:t>Institutionalize integrated coastal management and regional cooperation</w:t>
      </w:r>
    </w:p>
    <w:p w14:paraId="44C167A6" w14:textId="77777777" w:rsidR="007123E7" w:rsidRPr="00067F99" w:rsidRDefault="007123E7" w:rsidP="007123E7">
      <w:pPr>
        <w:pStyle w:val="ListParagraph"/>
        <w:tabs>
          <w:tab w:val="left" w:pos="450"/>
          <w:tab w:val="left" w:pos="810"/>
        </w:tabs>
        <w:ind w:left="0" w:firstLine="900"/>
        <w:jc w:val="thaiDistribute"/>
        <w:rPr>
          <w:rFonts w:cs="Arial"/>
          <w:sz w:val="24"/>
          <w:szCs w:val="24"/>
        </w:rPr>
      </w:pPr>
      <w:r w:rsidRPr="00067F99">
        <w:rPr>
          <w:rFonts w:cs="Arial"/>
          <w:sz w:val="24"/>
          <w:szCs w:val="24"/>
        </w:rPr>
        <w:t>• Action: Establish inter</w:t>
      </w:r>
      <w:r w:rsidRPr="00067F99">
        <w:rPr>
          <w:rFonts w:cs="Arial"/>
          <w:sz w:val="24"/>
          <w:szCs w:val="24"/>
        </w:rPr>
        <w:noBreakHyphen/>
        <w:t>ministerial SAP steering body with provincial representation and a regional coordination mechanism with COBSEA/ASEAN for shared monitoring and response.</w:t>
      </w:r>
    </w:p>
    <w:p w14:paraId="4AB23421" w14:textId="77777777" w:rsidR="007123E7" w:rsidRPr="00067F99" w:rsidRDefault="007123E7" w:rsidP="007123E7">
      <w:pPr>
        <w:pStyle w:val="ListParagraph"/>
        <w:tabs>
          <w:tab w:val="left" w:pos="450"/>
          <w:tab w:val="left" w:pos="810"/>
        </w:tabs>
        <w:ind w:left="0" w:firstLine="900"/>
        <w:jc w:val="thaiDistribute"/>
        <w:rPr>
          <w:rFonts w:cs="Arial"/>
          <w:sz w:val="24"/>
          <w:szCs w:val="24"/>
        </w:rPr>
      </w:pPr>
      <w:r w:rsidRPr="00067F99">
        <w:rPr>
          <w:rFonts w:cs="Arial"/>
          <w:sz w:val="24"/>
          <w:szCs w:val="24"/>
        </w:rPr>
        <w:t>• Indicator: SAP steering body operational; bilateral/regional data</w:t>
      </w:r>
      <w:r w:rsidRPr="00067F99">
        <w:rPr>
          <w:rFonts w:cs="Arial"/>
          <w:sz w:val="24"/>
          <w:szCs w:val="24"/>
        </w:rPr>
        <w:noBreakHyphen/>
        <w:t>sharing MoUs signed and implemented.</w:t>
      </w:r>
    </w:p>
    <w:p w14:paraId="3186B440" w14:textId="77777777" w:rsidR="007123E7" w:rsidRPr="00067F99" w:rsidRDefault="007123E7" w:rsidP="007123E7">
      <w:pPr>
        <w:pStyle w:val="ListParagraph"/>
        <w:widowControl/>
        <w:numPr>
          <w:ilvl w:val="0"/>
          <w:numId w:val="44"/>
        </w:numPr>
        <w:tabs>
          <w:tab w:val="left" w:pos="450"/>
          <w:tab w:val="left" w:pos="810"/>
        </w:tabs>
        <w:spacing w:after="160" w:line="259" w:lineRule="auto"/>
        <w:ind w:left="900"/>
        <w:jc w:val="thaiDistribute"/>
        <w:rPr>
          <w:rFonts w:cs="Arial"/>
          <w:sz w:val="24"/>
          <w:szCs w:val="24"/>
        </w:rPr>
      </w:pPr>
      <w:r w:rsidRPr="00067F99">
        <w:rPr>
          <w:rFonts w:cs="Arial"/>
          <w:sz w:val="24"/>
          <w:szCs w:val="24"/>
        </w:rPr>
        <w:t>Move to circular economy</w:t>
      </w:r>
    </w:p>
    <w:p w14:paraId="17BDC20F" w14:textId="77777777" w:rsidR="007123E7" w:rsidRPr="00067F99" w:rsidRDefault="007123E7" w:rsidP="007123E7">
      <w:pPr>
        <w:pStyle w:val="ListParagraph"/>
        <w:tabs>
          <w:tab w:val="left" w:pos="450"/>
          <w:tab w:val="left" w:pos="810"/>
        </w:tabs>
        <w:ind w:left="0" w:firstLine="900"/>
        <w:jc w:val="thaiDistribute"/>
        <w:rPr>
          <w:rFonts w:cs="Arial"/>
          <w:sz w:val="24"/>
          <w:szCs w:val="24"/>
        </w:rPr>
      </w:pPr>
      <w:r w:rsidRPr="00067F99">
        <w:rPr>
          <w:rFonts w:cs="Arial"/>
          <w:sz w:val="24"/>
          <w:szCs w:val="24"/>
        </w:rPr>
        <w:t>• Action: Incentivize industrial symbiosis, national roadmap for plastic circularity and biodegradable alternatives, and scale green finance instruments for environmental infrastructure.</w:t>
      </w:r>
    </w:p>
    <w:p w14:paraId="65CA85E0" w14:textId="77777777" w:rsidR="007123E7" w:rsidRPr="00067F99" w:rsidRDefault="007123E7" w:rsidP="007123E7">
      <w:pPr>
        <w:pStyle w:val="ListParagraph"/>
        <w:tabs>
          <w:tab w:val="left" w:pos="450"/>
          <w:tab w:val="left" w:pos="810"/>
        </w:tabs>
        <w:ind w:left="0" w:firstLine="900"/>
        <w:jc w:val="thaiDistribute"/>
        <w:rPr>
          <w:rFonts w:cs="Arial"/>
          <w:sz w:val="24"/>
          <w:szCs w:val="24"/>
        </w:rPr>
      </w:pPr>
      <w:r w:rsidRPr="00067F99">
        <w:rPr>
          <w:rFonts w:cs="Arial"/>
          <w:sz w:val="24"/>
          <w:szCs w:val="24"/>
        </w:rPr>
        <w:t>• Indicator: National plastics circularity target met (e.g., 70% recycled/avoided by 2035); green finance flows &gt; X billion THB to SAP projects</w:t>
      </w:r>
    </w:p>
    <w:p w14:paraId="56FB5EBB" w14:textId="77777777" w:rsidR="007123E7" w:rsidRDefault="007123E7" w:rsidP="007123E7">
      <w:pPr>
        <w:rPr>
          <w:b/>
          <w:bCs/>
          <w:sz w:val="24"/>
          <w:szCs w:val="24"/>
        </w:rPr>
      </w:pPr>
    </w:p>
    <w:p w14:paraId="257EC6B5" w14:textId="6AB5AEAF" w:rsidR="007123E7" w:rsidRPr="00067F99" w:rsidRDefault="007123E7" w:rsidP="007123E7">
      <w:pPr>
        <w:rPr>
          <w:b/>
          <w:bCs/>
          <w:sz w:val="24"/>
          <w:szCs w:val="24"/>
        </w:rPr>
      </w:pPr>
      <w:r w:rsidRPr="00067F99">
        <w:rPr>
          <w:b/>
          <w:bCs/>
          <w:sz w:val="24"/>
          <w:szCs w:val="24"/>
        </w:rPr>
        <w:t>Monitoring, verification and adaptive management (for SAP reporting)</w:t>
      </w:r>
    </w:p>
    <w:p w14:paraId="0B99C98D" w14:textId="77777777" w:rsidR="007123E7" w:rsidRPr="00067F99" w:rsidRDefault="007123E7" w:rsidP="007123E7">
      <w:pPr>
        <w:widowControl/>
        <w:numPr>
          <w:ilvl w:val="0"/>
          <w:numId w:val="154"/>
        </w:numPr>
        <w:spacing w:after="160" w:line="259" w:lineRule="auto"/>
        <w:rPr>
          <w:sz w:val="24"/>
          <w:szCs w:val="24"/>
        </w:rPr>
      </w:pPr>
      <w:r w:rsidRPr="00067F99">
        <w:rPr>
          <w:sz w:val="24"/>
          <w:szCs w:val="24"/>
        </w:rPr>
        <w:t>Core SAP indicators (recommended, measurable and reportable annually):</w:t>
      </w:r>
    </w:p>
    <w:p w14:paraId="25D5D7C1" w14:textId="77777777" w:rsidR="007123E7" w:rsidRPr="00067F99" w:rsidRDefault="007123E7" w:rsidP="007123E7">
      <w:pPr>
        <w:widowControl/>
        <w:numPr>
          <w:ilvl w:val="1"/>
          <w:numId w:val="154"/>
        </w:numPr>
        <w:spacing w:after="160" w:line="259" w:lineRule="auto"/>
        <w:rPr>
          <w:sz w:val="24"/>
          <w:szCs w:val="24"/>
        </w:rPr>
      </w:pPr>
      <w:r w:rsidRPr="00067F99">
        <w:rPr>
          <w:sz w:val="24"/>
          <w:szCs w:val="24"/>
        </w:rPr>
        <w:t>Percent of domestic wastewater treated nationally and for priority coastal municipalities.</w:t>
      </w:r>
    </w:p>
    <w:p w14:paraId="17C2BD10" w14:textId="77777777" w:rsidR="007123E7" w:rsidRPr="00067F99" w:rsidRDefault="007123E7" w:rsidP="007123E7">
      <w:pPr>
        <w:widowControl/>
        <w:numPr>
          <w:ilvl w:val="1"/>
          <w:numId w:val="154"/>
        </w:numPr>
        <w:spacing w:after="160" w:line="259" w:lineRule="auto"/>
        <w:rPr>
          <w:sz w:val="24"/>
          <w:szCs w:val="24"/>
        </w:rPr>
      </w:pPr>
      <w:r w:rsidRPr="00067F99">
        <w:rPr>
          <w:sz w:val="24"/>
          <w:szCs w:val="24"/>
        </w:rPr>
        <w:t>N and P loads (tonnes/year) from major river basins draining to the Gulf and Andaman Sea.</w:t>
      </w:r>
    </w:p>
    <w:p w14:paraId="24DBE043" w14:textId="77777777" w:rsidR="007123E7" w:rsidRPr="00067F99" w:rsidRDefault="007123E7" w:rsidP="007123E7">
      <w:pPr>
        <w:widowControl/>
        <w:numPr>
          <w:ilvl w:val="1"/>
          <w:numId w:val="154"/>
        </w:numPr>
        <w:spacing w:after="160" w:line="259" w:lineRule="auto"/>
        <w:rPr>
          <w:sz w:val="24"/>
          <w:szCs w:val="24"/>
        </w:rPr>
      </w:pPr>
      <w:r w:rsidRPr="00067F99">
        <w:rPr>
          <w:sz w:val="24"/>
          <w:szCs w:val="24"/>
        </w:rPr>
        <w:t>Tonnes of mismanaged plastic leakage to marine environment (modelled and shoreline survey corroboration).</w:t>
      </w:r>
    </w:p>
    <w:p w14:paraId="22372ED4" w14:textId="77777777" w:rsidR="007123E7" w:rsidRPr="00067F99" w:rsidRDefault="007123E7" w:rsidP="007123E7">
      <w:pPr>
        <w:widowControl/>
        <w:numPr>
          <w:ilvl w:val="1"/>
          <w:numId w:val="154"/>
        </w:numPr>
        <w:spacing w:after="160" w:line="259" w:lineRule="auto"/>
        <w:rPr>
          <w:sz w:val="24"/>
          <w:szCs w:val="24"/>
        </w:rPr>
      </w:pPr>
      <w:r w:rsidRPr="00067F99">
        <w:rPr>
          <w:sz w:val="24"/>
          <w:szCs w:val="24"/>
        </w:rPr>
        <w:t>Number and volume of industrial effluent exceedances at sentinel sites.</w:t>
      </w:r>
    </w:p>
    <w:p w14:paraId="3A0C2F3E" w14:textId="77777777" w:rsidR="007123E7" w:rsidRPr="00067F99" w:rsidRDefault="007123E7" w:rsidP="007123E7">
      <w:pPr>
        <w:widowControl/>
        <w:numPr>
          <w:ilvl w:val="1"/>
          <w:numId w:val="154"/>
        </w:numPr>
        <w:spacing w:after="160" w:line="259" w:lineRule="auto"/>
        <w:rPr>
          <w:sz w:val="24"/>
          <w:szCs w:val="24"/>
        </w:rPr>
      </w:pPr>
      <w:r w:rsidRPr="00067F99">
        <w:rPr>
          <w:sz w:val="24"/>
          <w:szCs w:val="24"/>
        </w:rPr>
        <w:t>Area of degraded sensitive habitats (coral, seagrass, mangrove) recovered or stabilized.</w:t>
      </w:r>
    </w:p>
    <w:p w14:paraId="007D2828" w14:textId="77777777" w:rsidR="007123E7" w:rsidRPr="00067F99" w:rsidRDefault="007123E7" w:rsidP="007123E7">
      <w:pPr>
        <w:widowControl/>
        <w:numPr>
          <w:ilvl w:val="0"/>
          <w:numId w:val="154"/>
        </w:numPr>
        <w:spacing w:after="160" w:line="259" w:lineRule="auto"/>
        <w:rPr>
          <w:sz w:val="24"/>
          <w:szCs w:val="24"/>
        </w:rPr>
      </w:pPr>
      <w:r w:rsidRPr="00067F99">
        <w:rPr>
          <w:sz w:val="24"/>
          <w:szCs w:val="24"/>
        </w:rPr>
        <w:t>Monitoring design:</w:t>
      </w:r>
    </w:p>
    <w:p w14:paraId="5C7A36B5" w14:textId="77777777" w:rsidR="007123E7" w:rsidRPr="00067F99" w:rsidRDefault="007123E7" w:rsidP="007123E7">
      <w:pPr>
        <w:widowControl/>
        <w:numPr>
          <w:ilvl w:val="1"/>
          <w:numId w:val="154"/>
        </w:numPr>
        <w:spacing w:after="160" w:line="259" w:lineRule="auto"/>
        <w:rPr>
          <w:sz w:val="24"/>
          <w:szCs w:val="24"/>
        </w:rPr>
      </w:pPr>
      <w:r w:rsidRPr="00067F99">
        <w:rPr>
          <w:sz w:val="24"/>
          <w:szCs w:val="24"/>
        </w:rPr>
        <w:t>Combine fixed station water quality monitoring (PCD/DMCR) with targeted catchment monitoring for nutrient fluxes (grab + automated samplers), periodic citizen science beach litter surveys, and sentinel biota sampling for microplastics.</w:t>
      </w:r>
    </w:p>
    <w:p w14:paraId="5791B617" w14:textId="77777777" w:rsidR="007123E7" w:rsidRPr="00067F99" w:rsidRDefault="007123E7" w:rsidP="007123E7">
      <w:pPr>
        <w:widowControl/>
        <w:numPr>
          <w:ilvl w:val="1"/>
          <w:numId w:val="154"/>
        </w:numPr>
        <w:spacing w:after="160" w:line="259" w:lineRule="auto"/>
        <w:rPr>
          <w:sz w:val="24"/>
          <w:szCs w:val="24"/>
        </w:rPr>
      </w:pPr>
      <w:r w:rsidRPr="00067F99">
        <w:rPr>
          <w:sz w:val="24"/>
          <w:szCs w:val="24"/>
        </w:rPr>
        <w:t>Use data framework and require metadata and QA/QC documentation for all datasets.</w:t>
      </w:r>
    </w:p>
    <w:p w14:paraId="0C036AB9" w14:textId="77777777" w:rsidR="007123E7" w:rsidRPr="00067F99" w:rsidRDefault="007123E7" w:rsidP="007123E7">
      <w:pPr>
        <w:widowControl/>
        <w:numPr>
          <w:ilvl w:val="0"/>
          <w:numId w:val="154"/>
        </w:numPr>
        <w:spacing w:after="160" w:line="259" w:lineRule="auto"/>
        <w:rPr>
          <w:sz w:val="24"/>
          <w:szCs w:val="24"/>
        </w:rPr>
      </w:pPr>
      <w:r w:rsidRPr="00067F99">
        <w:rPr>
          <w:sz w:val="24"/>
          <w:szCs w:val="24"/>
        </w:rPr>
        <w:t>Verification and adaptive management:</w:t>
      </w:r>
    </w:p>
    <w:p w14:paraId="7A21F0ED" w14:textId="77777777" w:rsidR="007123E7" w:rsidRPr="00067F99" w:rsidRDefault="007123E7" w:rsidP="007123E7">
      <w:pPr>
        <w:widowControl/>
        <w:numPr>
          <w:ilvl w:val="1"/>
          <w:numId w:val="154"/>
        </w:numPr>
        <w:spacing w:after="160" w:line="259" w:lineRule="auto"/>
        <w:rPr>
          <w:sz w:val="24"/>
          <w:szCs w:val="24"/>
        </w:rPr>
      </w:pPr>
      <w:r w:rsidRPr="00067F99">
        <w:rPr>
          <w:sz w:val="24"/>
          <w:szCs w:val="24"/>
        </w:rPr>
        <w:t>Annual SAP progress review with independent technical audit every 3 years to recalibrate targets, budgets and interventions.</w:t>
      </w:r>
    </w:p>
    <w:p w14:paraId="0324BD5F" w14:textId="77777777" w:rsidR="007123E7" w:rsidRPr="00067F99" w:rsidRDefault="007123E7" w:rsidP="007123E7">
      <w:pPr>
        <w:widowControl/>
        <w:numPr>
          <w:ilvl w:val="1"/>
          <w:numId w:val="154"/>
        </w:numPr>
        <w:spacing w:after="160" w:line="259" w:lineRule="auto"/>
        <w:rPr>
          <w:sz w:val="24"/>
          <w:szCs w:val="24"/>
        </w:rPr>
      </w:pPr>
      <w:r w:rsidRPr="00067F99">
        <w:rPr>
          <w:sz w:val="24"/>
          <w:szCs w:val="24"/>
        </w:rPr>
        <w:t>Use a learning cycle: Plan → Implement → Monitor → Evaluate → Adjust.</w:t>
      </w:r>
    </w:p>
    <w:p w14:paraId="33818FFF" w14:textId="77777777" w:rsidR="007123E7" w:rsidRPr="00067F99" w:rsidRDefault="007123E7" w:rsidP="007123E7">
      <w:pPr>
        <w:ind w:left="1440"/>
        <w:rPr>
          <w:sz w:val="24"/>
          <w:szCs w:val="24"/>
          <w:cs/>
        </w:rPr>
      </w:pPr>
    </w:p>
    <w:p w14:paraId="0C7E031B" w14:textId="77777777" w:rsidR="007123E7" w:rsidRPr="00067F99" w:rsidRDefault="007123E7" w:rsidP="007123E7">
      <w:pPr>
        <w:pStyle w:val="ListParagraph"/>
        <w:widowControl/>
        <w:numPr>
          <w:ilvl w:val="1"/>
          <w:numId w:val="36"/>
        </w:numPr>
        <w:spacing w:after="160" w:line="259" w:lineRule="auto"/>
        <w:jc w:val="thaiDistribute"/>
        <w:rPr>
          <w:rFonts w:cs="Arial"/>
          <w:b/>
          <w:bCs/>
          <w:sz w:val="24"/>
          <w:szCs w:val="24"/>
        </w:rPr>
      </w:pPr>
      <w:r w:rsidRPr="00067F99">
        <w:rPr>
          <w:rFonts w:cs="Arial"/>
          <w:b/>
          <w:bCs/>
          <w:sz w:val="24"/>
          <w:szCs w:val="24"/>
        </w:rPr>
        <w:lastRenderedPageBreak/>
        <w:t>Methodology and Analysis</w:t>
      </w:r>
    </w:p>
    <w:p w14:paraId="5949E8A4" w14:textId="77777777" w:rsidR="007123E7" w:rsidRPr="00067F99" w:rsidRDefault="007123E7" w:rsidP="007123E7">
      <w:pPr>
        <w:ind w:firstLine="360"/>
        <w:jc w:val="thaiDistribute"/>
        <w:rPr>
          <w:color w:val="000000" w:themeColor="text1"/>
          <w:sz w:val="24"/>
          <w:szCs w:val="24"/>
        </w:rPr>
      </w:pPr>
      <w:r w:rsidRPr="00067F99">
        <w:rPr>
          <w:color w:val="000000" w:themeColor="text1"/>
          <w:sz w:val="24"/>
          <w:szCs w:val="24"/>
        </w:rPr>
        <w:t>This assessment adopts a comprehensive multi-media approach to examine pollution across both land-based and marine environments. The methodology integrates quantitative environmental monitoring data with qualitative institutional and policy analysis to provide an in-depth understanding of Thailand’s pollution challenges, sources, and existing management responses.</w:t>
      </w:r>
    </w:p>
    <w:p w14:paraId="036EC083" w14:textId="77777777" w:rsidR="007123E7" w:rsidRPr="00067F99" w:rsidRDefault="007123E7" w:rsidP="007123E7">
      <w:pPr>
        <w:ind w:firstLine="360"/>
        <w:jc w:val="thaiDistribute"/>
        <w:rPr>
          <w:color w:val="000000" w:themeColor="text1"/>
          <w:sz w:val="24"/>
          <w:szCs w:val="24"/>
        </w:rPr>
      </w:pPr>
      <w:r w:rsidRPr="00067F99">
        <w:rPr>
          <w:color w:val="000000" w:themeColor="text1"/>
          <w:sz w:val="24"/>
          <w:szCs w:val="24"/>
        </w:rPr>
        <w:t>A source-pathway-receptor framework is applied to identify key pollution sources, transport mechanisms, and environmental and human receptors. Risk-based prioritization is used to focus the assessment on pollution issues with the greatest potential environmental and public health impacts, while also incorporating environmental, social, and economic dimensions to support sustainable development and informed decision-making.</w:t>
      </w:r>
    </w:p>
    <w:p w14:paraId="4ADC0867" w14:textId="77777777" w:rsidR="007123E7" w:rsidRPr="00067F99" w:rsidRDefault="007123E7" w:rsidP="007123E7">
      <w:pPr>
        <w:ind w:firstLine="360"/>
        <w:jc w:val="thaiDistribute"/>
        <w:rPr>
          <w:color w:val="000000" w:themeColor="text1"/>
          <w:sz w:val="24"/>
          <w:szCs w:val="24"/>
        </w:rPr>
      </w:pPr>
      <w:r w:rsidRPr="00067F99">
        <w:rPr>
          <w:color w:val="000000" w:themeColor="text1"/>
          <w:sz w:val="24"/>
          <w:szCs w:val="24"/>
        </w:rPr>
        <w:t>The assessment integrates multiple spatial and temporal scales. Pollution impacts are analyzed at local, national, and regional levels to support hotspot identification, policy formulation, and transboundary cooperation. Temporal analysis combines historical trend assessment—using indicators such as the Marine Water Quality Index (MWQI)—with current status evaluation to establish baseline conditions and support future scenario development for planning and risk management.</w:t>
      </w:r>
    </w:p>
    <w:p w14:paraId="763B34B3" w14:textId="77777777" w:rsidR="007123E7" w:rsidRPr="00067F99" w:rsidRDefault="007123E7" w:rsidP="007123E7">
      <w:pPr>
        <w:ind w:firstLine="360"/>
        <w:jc w:val="thaiDistribute"/>
        <w:rPr>
          <w:color w:val="000000" w:themeColor="text1"/>
          <w:sz w:val="24"/>
          <w:szCs w:val="24"/>
        </w:rPr>
      </w:pPr>
      <w:r w:rsidRPr="00067F99">
        <w:rPr>
          <w:color w:val="000000" w:themeColor="text1"/>
          <w:sz w:val="24"/>
          <w:szCs w:val="24"/>
        </w:rPr>
        <w:t>Data collection draws on both primary and secondary sources. Primary data include marine and coastal water quality monitoring from national networks operated by relevant environmental agencies, as well as pollution source data from industrial monitoring, waste generation surveys, and agricultural activity assessments. Secondary data are obtained from government databases and sectoral ministries, providing socioeconomic, industrial, agricultural, and transportation information, as well as historical environmental datasets to support trend and impact analysis.</w:t>
      </w:r>
    </w:p>
    <w:p w14:paraId="5861BCB3" w14:textId="77777777" w:rsidR="007123E7" w:rsidRPr="00067F99" w:rsidRDefault="007123E7" w:rsidP="007123E7">
      <w:pPr>
        <w:ind w:firstLine="360"/>
        <w:jc w:val="thaiDistribute"/>
        <w:rPr>
          <w:color w:val="000000" w:themeColor="text1"/>
          <w:sz w:val="24"/>
          <w:szCs w:val="24"/>
        </w:rPr>
      </w:pPr>
    </w:p>
    <w:p w14:paraId="3890FAAA" w14:textId="77777777" w:rsidR="007123E7" w:rsidRPr="00067F99" w:rsidRDefault="007123E7" w:rsidP="007123E7">
      <w:pPr>
        <w:jc w:val="thaiDistribute"/>
        <w:rPr>
          <w:b/>
          <w:bCs/>
          <w:sz w:val="24"/>
          <w:szCs w:val="24"/>
        </w:rPr>
      </w:pPr>
      <w:r w:rsidRPr="00067F99">
        <w:rPr>
          <w:b/>
          <w:bCs/>
          <w:sz w:val="24"/>
          <w:szCs w:val="24"/>
        </w:rPr>
        <w:t>References</w:t>
      </w:r>
    </w:p>
    <w:p w14:paraId="2CED2B38" w14:textId="77777777" w:rsidR="007123E7" w:rsidRPr="00067F99" w:rsidRDefault="007123E7" w:rsidP="007123E7">
      <w:pPr>
        <w:spacing w:before="100" w:beforeAutospacing="1" w:after="100" w:afterAutospacing="1"/>
        <w:rPr>
          <w:rFonts w:eastAsia="Times New Roman"/>
          <w:color w:val="000000" w:themeColor="text1"/>
          <w:sz w:val="24"/>
          <w:szCs w:val="24"/>
        </w:rPr>
      </w:pPr>
      <w:r w:rsidRPr="00067F99">
        <w:rPr>
          <w:rFonts w:eastAsia="Times New Roman"/>
          <w:color w:val="000000" w:themeColor="text1"/>
          <w:sz w:val="24"/>
          <w:szCs w:val="24"/>
        </w:rPr>
        <w:t>AMATA Corporation. (2025, March 6). Solid &amp; Industrial Waste Management. Retrieved from https://amata.com/sustainability/environmental-stewardship/solid-industrial-waste-management</w:t>
      </w:r>
    </w:p>
    <w:p w14:paraId="219FC68E" w14:textId="77777777" w:rsidR="007123E7" w:rsidRPr="00067F99" w:rsidRDefault="007123E7" w:rsidP="007123E7">
      <w:pPr>
        <w:pStyle w:val="ListParagraph"/>
        <w:tabs>
          <w:tab w:val="left" w:pos="450"/>
        </w:tabs>
        <w:ind w:left="0"/>
        <w:rPr>
          <w:rFonts w:cs="Arial"/>
          <w:color w:val="000000" w:themeColor="text1"/>
          <w:sz w:val="24"/>
          <w:szCs w:val="24"/>
        </w:rPr>
      </w:pPr>
      <w:r w:rsidRPr="00067F99">
        <w:rPr>
          <w:rFonts w:cs="Arial"/>
          <w:color w:val="000000" w:themeColor="text1"/>
          <w:sz w:val="24"/>
          <w:szCs w:val="24"/>
        </w:rPr>
        <w:t>World Economic Forum. (2025). How ASEAN can lead the world on plastic pollution. SEA-MaP Regional Project Details. (2024). PEMSEA.</w:t>
      </w:r>
    </w:p>
    <w:p w14:paraId="09910CCE" w14:textId="77777777" w:rsidR="007123E7" w:rsidRPr="00067F99" w:rsidRDefault="007123E7" w:rsidP="007123E7">
      <w:pPr>
        <w:pStyle w:val="ListParagraph"/>
        <w:tabs>
          <w:tab w:val="left" w:pos="450"/>
        </w:tabs>
        <w:ind w:left="0"/>
        <w:rPr>
          <w:rFonts w:cs="Arial"/>
          <w:color w:val="000000" w:themeColor="text1"/>
          <w:sz w:val="24"/>
          <w:szCs w:val="24"/>
        </w:rPr>
      </w:pPr>
    </w:p>
    <w:p w14:paraId="1CA4FECC" w14:textId="77777777" w:rsidR="007123E7" w:rsidRPr="00067F99" w:rsidRDefault="007123E7" w:rsidP="007123E7">
      <w:pPr>
        <w:pStyle w:val="ListParagraph"/>
        <w:tabs>
          <w:tab w:val="left" w:pos="450"/>
        </w:tabs>
        <w:ind w:left="0"/>
        <w:rPr>
          <w:rFonts w:cs="Arial"/>
          <w:color w:val="000000" w:themeColor="text1"/>
          <w:sz w:val="24"/>
          <w:szCs w:val="24"/>
        </w:rPr>
      </w:pPr>
      <w:r w:rsidRPr="00067F99">
        <w:rPr>
          <w:rFonts w:cs="Arial"/>
          <w:color w:val="000000" w:themeColor="text1"/>
          <w:sz w:val="24"/>
          <w:szCs w:val="24"/>
        </w:rPr>
        <w:t xml:space="preserve">Asian Development Bank (ADB) (December 9, 2024): ADB Supports Asia’s First Sovereign Sustainability-Linked Bond in Thailand </w:t>
      </w:r>
      <w:r w:rsidRPr="00067F99">
        <w:rPr>
          <w:rFonts w:cs="Arial"/>
          <w:sz w:val="24"/>
          <w:szCs w:val="24"/>
        </w:rPr>
        <w:fldChar w:fldCharType="begin"/>
      </w:r>
      <w:r w:rsidRPr="00067F99">
        <w:rPr>
          <w:rFonts w:cs="Arial"/>
          <w:sz w:val="24"/>
          <w:szCs w:val="24"/>
        </w:rPr>
        <w:instrText>HYPERLINK "https://www.adb.org/news/adb-supports-asia-first-sovereign-sustainability-linked-bond-thailand"</w:instrText>
      </w:r>
      <w:r w:rsidRPr="00067F99">
        <w:rPr>
          <w:rFonts w:cs="Arial"/>
          <w:sz w:val="24"/>
          <w:szCs w:val="24"/>
        </w:rPr>
      </w:r>
      <w:r w:rsidRPr="00067F99">
        <w:rPr>
          <w:rFonts w:cs="Arial"/>
          <w:sz w:val="24"/>
          <w:szCs w:val="24"/>
        </w:rPr>
        <w:fldChar w:fldCharType="separate"/>
      </w:r>
      <w:r w:rsidRPr="00067F99">
        <w:rPr>
          <w:rStyle w:val="Hyperlink"/>
          <w:rFonts w:cs="Arial"/>
          <w:color w:val="000000" w:themeColor="text1"/>
          <w:sz w:val="24"/>
          <w:szCs w:val="24"/>
          <w:u w:val="none"/>
        </w:rPr>
        <w:t>https://www.adb.org/news/adb-supports-asia-first-sovereign-sustainability-linked-bond-thailand</w:t>
      </w:r>
      <w:r w:rsidRPr="00067F99">
        <w:rPr>
          <w:rFonts w:cs="Arial"/>
          <w:sz w:val="24"/>
          <w:szCs w:val="24"/>
        </w:rPr>
        <w:fldChar w:fldCharType="end"/>
      </w:r>
    </w:p>
    <w:p w14:paraId="00CFA849" w14:textId="77777777" w:rsidR="007123E7" w:rsidRPr="00067F99" w:rsidRDefault="007123E7" w:rsidP="007123E7">
      <w:pPr>
        <w:spacing w:before="100" w:beforeAutospacing="1" w:after="100" w:afterAutospacing="1"/>
        <w:outlineLvl w:val="2"/>
        <w:rPr>
          <w:color w:val="000000" w:themeColor="text1"/>
          <w:sz w:val="24"/>
          <w:szCs w:val="24"/>
        </w:rPr>
      </w:pPr>
      <w:r w:rsidRPr="00067F99">
        <w:rPr>
          <w:color w:val="000000" w:themeColor="text1"/>
          <w:sz w:val="24"/>
          <w:szCs w:val="24"/>
        </w:rPr>
        <w:t>ASEAN Secretariat. (2024). ASEAN Marine Environment Protection Report.</w:t>
      </w:r>
    </w:p>
    <w:p w14:paraId="3977B9A2" w14:textId="77777777" w:rsidR="007123E7" w:rsidRPr="00067F99" w:rsidRDefault="007123E7" w:rsidP="007123E7">
      <w:pPr>
        <w:spacing w:before="100" w:beforeAutospacing="1" w:after="100" w:afterAutospacing="1"/>
        <w:outlineLvl w:val="2"/>
        <w:rPr>
          <w:color w:val="000000" w:themeColor="text1"/>
          <w:sz w:val="24"/>
          <w:szCs w:val="24"/>
        </w:rPr>
      </w:pPr>
      <w:r w:rsidRPr="00067F99">
        <w:rPr>
          <w:color w:val="000000" w:themeColor="text1"/>
          <w:sz w:val="24"/>
          <w:szCs w:val="24"/>
        </w:rPr>
        <w:t>ASEAN Secretariat. (2024). ASEAN Regional Action Plan for Combating Marine Debris 2021-2025.</w:t>
      </w:r>
    </w:p>
    <w:p w14:paraId="41194FC6" w14:textId="77777777" w:rsidR="007123E7" w:rsidRPr="00067F99" w:rsidRDefault="007123E7" w:rsidP="007123E7">
      <w:pPr>
        <w:spacing w:before="100" w:beforeAutospacing="1" w:after="100" w:afterAutospacing="1"/>
        <w:outlineLvl w:val="2"/>
        <w:rPr>
          <w:color w:val="000000" w:themeColor="text1"/>
          <w:sz w:val="24"/>
          <w:szCs w:val="24"/>
        </w:rPr>
      </w:pPr>
      <w:r w:rsidRPr="00067F99">
        <w:rPr>
          <w:color w:val="000000" w:themeColor="text1"/>
          <w:sz w:val="24"/>
          <w:szCs w:val="24"/>
        </w:rPr>
        <w:t xml:space="preserve">Briggs, M. R. P., &amp; Funge-Smith, S. J. (1994). A nutrient budget of some intensive marine shrimp ponds in Thailand. Aquaculture Research, 25(8), 789-811. </w:t>
      </w:r>
      <w:r w:rsidRPr="00067F99">
        <w:rPr>
          <w:sz w:val="24"/>
          <w:szCs w:val="24"/>
        </w:rPr>
        <w:fldChar w:fldCharType="begin"/>
      </w:r>
      <w:r w:rsidRPr="00067F99">
        <w:rPr>
          <w:sz w:val="24"/>
          <w:szCs w:val="24"/>
        </w:rPr>
        <w:instrText>HYPERLINK "https://doi.org/10.1111/j.1365-2109.1994.tb00744.x"</w:instrText>
      </w:r>
      <w:r w:rsidRPr="00067F99">
        <w:rPr>
          <w:sz w:val="24"/>
          <w:szCs w:val="24"/>
        </w:rPr>
      </w:r>
      <w:r w:rsidRPr="00067F99">
        <w:rPr>
          <w:sz w:val="24"/>
          <w:szCs w:val="24"/>
        </w:rPr>
        <w:fldChar w:fldCharType="separate"/>
      </w:r>
      <w:r w:rsidRPr="00067F99">
        <w:rPr>
          <w:color w:val="000000" w:themeColor="text1"/>
          <w:sz w:val="24"/>
          <w:szCs w:val="24"/>
        </w:rPr>
        <w:t>https://doi.org/10.1111/j.1365-2109.1994.tb00744.x</w:t>
      </w:r>
      <w:r w:rsidRPr="00067F99">
        <w:rPr>
          <w:sz w:val="24"/>
          <w:szCs w:val="24"/>
        </w:rPr>
        <w:fldChar w:fldCharType="end"/>
      </w:r>
    </w:p>
    <w:p w14:paraId="03162EA8" w14:textId="77777777" w:rsidR="007123E7" w:rsidRPr="00067F99" w:rsidRDefault="007123E7" w:rsidP="007123E7">
      <w:pPr>
        <w:spacing w:before="100" w:beforeAutospacing="1" w:after="100" w:afterAutospacing="1"/>
        <w:rPr>
          <w:rFonts w:eastAsia="Times New Roman"/>
          <w:color w:val="000000" w:themeColor="text1"/>
          <w:sz w:val="24"/>
          <w:szCs w:val="24"/>
        </w:rPr>
      </w:pPr>
      <w:r w:rsidRPr="00067F99">
        <w:rPr>
          <w:rFonts w:eastAsia="Times New Roman"/>
          <w:color w:val="000000" w:themeColor="text1"/>
          <w:sz w:val="24"/>
          <w:szCs w:val="24"/>
        </w:rPr>
        <w:t xml:space="preserve">Business Waste. (2025, June 26). Industrial Waste Facts and Statistics. Retrieved </w:t>
      </w:r>
      <w:r w:rsidRPr="00067F99">
        <w:rPr>
          <w:rFonts w:eastAsia="Times New Roman"/>
          <w:color w:val="000000" w:themeColor="text1"/>
          <w:sz w:val="24"/>
          <w:szCs w:val="24"/>
        </w:rPr>
        <w:lastRenderedPageBreak/>
        <w:t>from https://www.businesswaste.co.uk/your-waste/industrial-waste-disposal/industrial-waste-facts/</w:t>
      </w:r>
    </w:p>
    <w:p w14:paraId="0508A0B3" w14:textId="77777777" w:rsidR="007123E7" w:rsidRPr="00067F99" w:rsidRDefault="007123E7" w:rsidP="007123E7">
      <w:pPr>
        <w:spacing w:before="100" w:beforeAutospacing="1" w:after="100" w:afterAutospacing="1"/>
        <w:outlineLvl w:val="2"/>
        <w:rPr>
          <w:color w:val="000000" w:themeColor="text1"/>
          <w:sz w:val="24"/>
          <w:szCs w:val="24"/>
        </w:rPr>
      </w:pPr>
      <w:r w:rsidRPr="00067F99">
        <w:rPr>
          <w:color w:val="000000" w:themeColor="text1"/>
          <w:sz w:val="24"/>
          <w:szCs w:val="24"/>
        </w:rPr>
        <w:t>Chulalongkorn University. (2023, November 8). Chulalongkorn University Combats Oil Spill Crisis to Protect Thailand’s Seas. Retrieved from </w:t>
      </w:r>
      <w:r w:rsidRPr="00067F99">
        <w:rPr>
          <w:sz w:val="24"/>
          <w:szCs w:val="24"/>
        </w:rPr>
        <w:fldChar w:fldCharType="begin"/>
      </w:r>
      <w:r w:rsidRPr="00067F99">
        <w:rPr>
          <w:sz w:val="24"/>
          <w:szCs w:val="24"/>
        </w:rPr>
        <w:instrText>HYPERLINK "http://www.sustainability.chula.ac.th/report/3322/" \t "_blank"</w:instrText>
      </w:r>
      <w:r w:rsidRPr="00067F99">
        <w:rPr>
          <w:sz w:val="24"/>
          <w:szCs w:val="24"/>
        </w:rPr>
      </w:r>
      <w:r w:rsidRPr="00067F99">
        <w:rPr>
          <w:sz w:val="24"/>
          <w:szCs w:val="24"/>
        </w:rPr>
        <w:fldChar w:fldCharType="separate"/>
      </w:r>
      <w:r w:rsidRPr="00067F99">
        <w:rPr>
          <w:rStyle w:val="Hyperlink"/>
          <w:color w:val="000000" w:themeColor="text1"/>
          <w:sz w:val="24"/>
          <w:szCs w:val="24"/>
          <w:u w:val="none"/>
        </w:rPr>
        <w:t>http://www.sustainability.chula.ac.th/report/3322/</w:t>
      </w:r>
      <w:r w:rsidRPr="00067F99">
        <w:rPr>
          <w:sz w:val="24"/>
          <w:szCs w:val="24"/>
        </w:rPr>
        <w:fldChar w:fldCharType="end"/>
      </w:r>
    </w:p>
    <w:p w14:paraId="3709B950" w14:textId="77777777" w:rsidR="007123E7" w:rsidRPr="00067F99" w:rsidRDefault="007123E7" w:rsidP="007123E7">
      <w:pPr>
        <w:spacing w:before="100" w:beforeAutospacing="1" w:after="100" w:afterAutospacing="1"/>
        <w:outlineLvl w:val="2"/>
        <w:rPr>
          <w:color w:val="000000" w:themeColor="text1"/>
          <w:sz w:val="24"/>
          <w:szCs w:val="24"/>
        </w:rPr>
      </w:pPr>
      <w:r w:rsidRPr="00067F99">
        <w:rPr>
          <w:color w:val="000000" w:themeColor="text1"/>
          <w:sz w:val="24"/>
          <w:szCs w:val="24"/>
        </w:rPr>
        <w:t>Department of Fisheries, Thailand. (2025). Statistical Yearbook Thailand 2024. National Statistical Office. </w:t>
      </w:r>
      <w:r w:rsidRPr="00067F99">
        <w:rPr>
          <w:sz w:val="24"/>
          <w:szCs w:val="24"/>
        </w:rPr>
        <w:fldChar w:fldCharType="begin"/>
      </w:r>
      <w:r w:rsidRPr="00067F99">
        <w:rPr>
          <w:sz w:val="24"/>
          <w:szCs w:val="24"/>
        </w:rPr>
        <w:instrText>HYPERLINK "https://www.nso.go.th/public/e-book/Statistical-Yearbook/SYB-2024/353/" \t "_blank"</w:instrText>
      </w:r>
      <w:r w:rsidRPr="00067F99">
        <w:rPr>
          <w:sz w:val="24"/>
          <w:szCs w:val="24"/>
        </w:rPr>
      </w:r>
      <w:r w:rsidRPr="00067F99">
        <w:rPr>
          <w:sz w:val="24"/>
          <w:szCs w:val="24"/>
        </w:rPr>
        <w:fldChar w:fldCharType="separate"/>
      </w:r>
      <w:r w:rsidRPr="00067F99">
        <w:rPr>
          <w:rStyle w:val="Hyperlink"/>
          <w:color w:val="000000" w:themeColor="text1"/>
          <w:sz w:val="24"/>
          <w:szCs w:val="24"/>
          <w:u w:val="none"/>
        </w:rPr>
        <w:t>https://www.nso.go.th/public/e-book/Statistical-Yearbook/SYB-2024/353/</w:t>
      </w:r>
      <w:r w:rsidRPr="00067F99">
        <w:rPr>
          <w:sz w:val="24"/>
          <w:szCs w:val="24"/>
        </w:rPr>
        <w:fldChar w:fldCharType="end"/>
      </w:r>
    </w:p>
    <w:p w14:paraId="0B170B14" w14:textId="77777777" w:rsidR="007123E7" w:rsidRPr="00067F99" w:rsidRDefault="007123E7" w:rsidP="007123E7">
      <w:pPr>
        <w:spacing w:before="100" w:beforeAutospacing="1" w:after="100" w:afterAutospacing="1"/>
        <w:outlineLvl w:val="2"/>
        <w:rPr>
          <w:color w:val="000000" w:themeColor="text1"/>
          <w:sz w:val="24"/>
          <w:szCs w:val="24"/>
        </w:rPr>
      </w:pPr>
      <w:r w:rsidRPr="00067F99">
        <w:rPr>
          <w:color w:val="000000" w:themeColor="text1"/>
          <w:sz w:val="24"/>
          <w:szCs w:val="24"/>
        </w:rPr>
        <w:t>Department of Marine and Coastal Resources (DMCR). (2024). Annual Marine Ecosystem Health Assessment.</w:t>
      </w:r>
    </w:p>
    <w:p w14:paraId="0E10A203" w14:textId="77777777" w:rsidR="007123E7" w:rsidRPr="00067F99" w:rsidRDefault="007123E7" w:rsidP="007123E7">
      <w:pPr>
        <w:tabs>
          <w:tab w:val="left" w:pos="450"/>
        </w:tabs>
        <w:rPr>
          <w:color w:val="000000" w:themeColor="text1"/>
          <w:sz w:val="24"/>
          <w:szCs w:val="24"/>
        </w:rPr>
      </w:pPr>
      <w:r w:rsidRPr="00067F99">
        <w:rPr>
          <w:color w:val="000000" w:themeColor="text1"/>
          <w:sz w:val="24"/>
          <w:szCs w:val="24"/>
        </w:rPr>
        <w:t>Dierberg, F.E. (1996). Issues, Impacts, and Implications of Shrimp Aquaculture in Thailand. National Center for Biotechnology Information. </w:t>
      </w:r>
      <w:r w:rsidRPr="00067F99">
        <w:rPr>
          <w:sz w:val="24"/>
          <w:szCs w:val="24"/>
        </w:rPr>
        <w:fldChar w:fldCharType="begin"/>
      </w:r>
      <w:r w:rsidRPr="00067F99">
        <w:rPr>
          <w:sz w:val="24"/>
          <w:szCs w:val="24"/>
        </w:rPr>
        <w:instrText>HYPERLINK "https://pubmed.ncbi.nlm.nih.gov/8703103/" \t "_blank"</w:instrText>
      </w:r>
      <w:r w:rsidRPr="00067F99">
        <w:rPr>
          <w:sz w:val="24"/>
          <w:szCs w:val="24"/>
        </w:rPr>
      </w:r>
      <w:r w:rsidRPr="00067F99">
        <w:rPr>
          <w:sz w:val="24"/>
          <w:szCs w:val="24"/>
        </w:rPr>
        <w:fldChar w:fldCharType="separate"/>
      </w:r>
      <w:r w:rsidRPr="00067F99">
        <w:rPr>
          <w:rStyle w:val="Hyperlink"/>
          <w:color w:val="000000" w:themeColor="text1"/>
          <w:sz w:val="24"/>
          <w:szCs w:val="24"/>
          <w:u w:val="none"/>
        </w:rPr>
        <w:t>https://pubmed.ncbi.nlm.nih.gov/8703103/</w:t>
      </w:r>
      <w:r w:rsidRPr="00067F99">
        <w:rPr>
          <w:sz w:val="24"/>
          <w:szCs w:val="24"/>
        </w:rPr>
        <w:fldChar w:fldCharType="end"/>
      </w:r>
    </w:p>
    <w:p w14:paraId="2F23F2DB" w14:textId="77777777" w:rsidR="007123E7" w:rsidRPr="00067F99" w:rsidRDefault="007123E7" w:rsidP="007123E7">
      <w:pPr>
        <w:spacing w:before="100" w:beforeAutospacing="1" w:after="100" w:afterAutospacing="1"/>
        <w:outlineLvl w:val="2"/>
        <w:rPr>
          <w:color w:val="000000" w:themeColor="text1"/>
          <w:sz w:val="24"/>
          <w:szCs w:val="24"/>
        </w:rPr>
      </w:pPr>
      <w:r w:rsidRPr="00067F99">
        <w:rPr>
          <w:color w:val="000000" w:themeColor="text1"/>
          <w:sz w:val="24"/>
          <w:szCs w:val="24"/>
        </w:rPr>
        <w:t>Earth Action. (2024). Plastic policies in Thailand: Waste management challenges and economic overview.</w:t>
      </w:r>
    </w:p>
    <w:p w14:paraId="11288404" w14:textId="77777777" w:rsidR="007123E7" w:rsidRPr="00067F99" w:rsidRDefault="007123E7" w:rsidP="007123E7">
      <w:pPr>
        <w:pStyle w:val="ListParagraph"/>
        <w:tabs>
          <w:tab w:val="left" w:pos="450"/>
        </w:tabs>
        <w:ind w:left="0"/>
        <w:rPr>
          <w:rFonts w:cs="Arial"/>
          <w:color w:val="000000" w:themeColor="text1"/>
          <w:sz w:val="24"/>
          <w:szCs w:val="24"/>
        </w:rPr>
      </w:pPr>
      <w:r w:rsidRPr="00067F99">
        <w:rPr>
          <w:rFonts w:cs="Arial"/>
          <w:color w:val="000000" w:themeColor="text1"/>
          <w:sz w:val="24"/>
          <w:szCs w:val="24"/>
        </w:rPr>
        <w:t xml:space="preserve">ERIA. (2025). ASEAN Conference on Combatting Plastic Pollution 2025 Report. </w:t>
      </w:r>
    </w:p>
    <w:p w14:paraId="5A5D59BB" w14:textId="77777777" w:rsidR="007123E7" w:rsidRPr="00067F99" w:rsidRDefault="007123E7" w:rsidP="007123E7">
      <w:pPr>
        <w:spacing w:before="100" w:beforeAutospacing="1" w:after="100" w:afterAutospacing="1"/>
        <w:outlineLvl w:val="2"/>
        <w:rPr>
          <w:color w:val="000000" w:themeColor="text1"/>
          <w:sz w:val="24"/>
          <w:szCs w:val="24"/>
        </w:rPr>
      </w:pPr>
      <w:r w:rsidRPr="00067F99">
        <w:rPr>
          <w:color w:val="000000" w:themeColor="text1"/>
          <w:sz w:val="24"/>
          <w:szCs w:val="24"/>
        </w:rPr>
        <w:t>Global E-Waste Monitor. (2025). Electronic waste statistics and global rankings. United Nations University. </w:t>
      </w:r>
      <w:r w:rsidRPr="00067F99">
        <w:rPr>
          <w:sz w:val="24"/>
          <w:szCs w:val="24"/>
        </w:rPr>
        <w:fldChar w:fldCharType="begin"/>
      </w:r>
      <w:r w:rsidRPr="00067F99">
        <w:rPr>
          <w:sz w:val="24"/>
          <w:szCs w:val="24"/>
        </w:rPr>
        <w:instrText>HYPERLINK "https://www.itu.int/en/ITU-D/Environment/Pages/Priority-Areas/E-waste/Country%20Pages/Thailand.aspx" \t "_blank"</w:instrText>
      </w:r>
      <w:r w:rsidRPr="00067F99">
        <w:rPr>
          <w:sz w:val="24"/>
          <w:szCs w:val="24"/>
        </w:rPr>
      </w:r>
      <w:r w:rsidRPr="00067F99">
        <w:rPr>
          <w:sz w:val="24"/>
          <w:szCs w:val="24"/>
        </w:rPr>
        <w:fldChar w:fldCharType="separate"/>
      </w:r>
      <w:r w:rsidRPr="00067F99">
        <w:rPr>
          <w:color w:val="000000" w:themeColor="text1"/>
          <w:sz w:val="24"/>
          <w:szCs w:val="24"/>
        </w:rPr>
        <w:t>https://www.itu.int/en/ITU-D/Environment/Pages/Priority-Areas/E-waste/Country%20Pages/Thailand.aspx</w:t>
      </w:r>
      <w:r w:rsidRPr="00067F99">
        <w:rPr>
          <w:sz w:val="24"/>
          <w:szCs w:val="24"/>
        </w:rPr>
        <w:fldChar w:fldCharType="end"/>
      </w:r>
    </w:p>
    <w:p w14:paraId="4A483153" w14:textId="77777777" w:rsidR="007123E7" w:rsidRPr="00067F99" w:rsidRDefault="007123E7" w:rsidP="007123E7">
      <w:pPr>
        <w:pStyle w:val="ListParagraph"/>
        <w:tabs>
          <w:tab w:val="left" w:pos="450"/>
        </w:tabs>
        <w:ind w:left="0"/>
        <w:rPr>
          <w:rFonts w:cs="Arial"/>
          <w:color w:val="000000" w:themeColor="text1"/>
          <w:sz w:val="24"/>
          <w:szCs w:val="24"/>
        </w:rPr>
      </w:pPr>
      <w:r w:rsidRPr="00067F99">
        <w:rPr>
          <w:rFonts w:cs="Arial"/>
          <w:color w:val="000000" w:themeColor="text1"/>
          <w:sz w:val="24"/>
          <w:szCs w:val="24"/>
        </w:rPr>
        <w:t>Jawjit, S., Narom, N., &amp; Thongkaow, P. (2024). Evaluating Household Hazardous Waste Generation, Composition, and Health Risks in an Urban Municipality. </w:t>
      </w:r>
      <w:r w:rsidRPr="00067F99">
        <w:rPr>
          <w:rFonts w:cs="Arial"/>
          <w:i/>
          <w:iCs/>
          <w:color w:val="000000" w:themeColor="text1"/>
          <w:sz w:val="24"/>
          <w:szCs w:val="24"/>
        </w:rPr>
        <w:t>Journal of Human, Earth, and Future</w:t>
      </w:r>
      <w:r w:rsidRPr="00067F99">
        <w:rPr>
          <w:rFonts w:cs="Arial"/>
          <w:color w:val="000000" w:themeColor="text1"/>
          <w:sz w:val="24"/>
          <w:szCs w:val="24"/>
        </w:rPr>
        <w:t>, </w:t>
      </w:r>
      <w:r w:rsidRPr="00067F99">
        <w:rPr>
          <w:rFonts w:cs="Arial"/>
          <w:i/>
          <w:iCs/>
          <w:color w:val="000000" w:themeColor="text1"/>
          <w:sz w:val="24"/>
          <w:szCs w:val="24"/>
        </w:rPr>
        <w:t>5</w:t>
      </w:r>
      <w:r w:rsidRPr="00067F99">
        <w:rPr>
          <w:rFonts w:cs="Arial"/>
          <w:color w:val="000000" w:themeColor="text1"/>
          <w:sz w:val="24"/>
          <w:szCs w:val="24"/>
        </w:rPr>
        <w:t xml:space="preserve">(3), 471–482. </w:t>
      </w:r>
      <w:r w:rsidRPr="00067F99">
        <w:rPr>
          <w:rFonts w:cs="Arial"/>
          <w:sz w:val="24"/>
          <w:szCs w:val="24"/>
        </w:rPr>
        <w:fldChar w:fldCharType="begin"/>
      </w:r>
      <w:r w:rsidRPr="00067F99">
        <w:rPr>
          <w:rFonts w:cs="Arial"/>
          <w:sz w:val="24"/>
          <w:szCs w:val="24"/>
        </w:rPr>
        <w:instrText>HYPERLINK "https://doi.org/10.28991/HEF-2024-05-03-011"</w:instrText>
      </w:r>
      <w:r w:rsidRPr="00067F99">
        <w:rPr>
          <w:rFonts w:cs="Arial"/>
          <w:sz w:val="24"/>
          <w:szCs w:val="24"/>
        </w:rPr>
      </w:r>
      <w:r w:rsidRPr="00067F99">
        <w:rPr>
          <w:rFonts w:cs="Arial"/>
          <w:sz w:val="24"/>
          <w:szCs w:val="24"/>
        </w:rPr>
        <w:fldChar w:fldCharType="separate"/>
      </w:r>
      <w:r w:rsidRPr="00067F99">
        <w:rPr>
          <w:rStyle w:val="Hyperlink"/>
          <w:rFonts w:cs="Arial"/>
          <w:color w:val="000000" w:themeColor="text1"/>
          <w:sz w:val="24"/>
          <w:szCs w:val="24"/>
          <w:u w:val="none"/>
        </w:rPr>
        <w:t>https://doi.org/10.28991/HEF-2024-05-03-011</w:t>
      </w:r>
      <w:r w:rsidRPr="00067F99">
        <w:rPr>
          <w:rFonts w:cs="Arial"/>
          <w:sz w:val="24"/>
          <w:szCs w:val="24"/>
        </w:rPr>
        <w:fldChar w:fldCharType="end"/>
      </w:r>
    </w:p>
    <w:p w14:paraId="4E99278D" w14:textId="77777777" w:rsidR="007123E7" w:rsidRPr="00067F99" w:rsidRDefault="007123E7" w:rsidP="007123E7">
      <w:pPr>
        <w:spacing w:before="100" w:beforeAutospacing="1" w:after="100" w:afterAutospacing="1"/>
        <w:outlineLvl w:val="2"/>
        <w:rPr>
          <w:color w:val="000000" w:themeColor="text1"/>
          <w:sz w:val="24"/>
          <w:szCs w:val="24"/>
        </w:rPr>
      </w:pPr>
      <w:r w:rsidRPr="00067F99">
        <w:rPr>
          <w:color w:val="000000" w:themeColor="text1"/>
          <w:sz w:val="24"/>
          <w:szCs w:val="24"/>
        </w:rPr>
        <w:t>Ministry of Industry, Thailand. (2025). Sustainable Packaging Materials Management Bill.</w:t>
      </w:r>
    </w:p>
    <w:p w14:paraId="648F235D" w14:textId="77777777" w:rsidR="007123E7" w:rsidRPr="00067F99" w:rsidRDefault="007123E7" w:rsidP="007123E7">
      <w:pPr>
        <w:tabs>
          <w:tab w:val="left" w:pos="450"/>
        </w:tabs>
        <w:rPr>
          <w:color w:val="000000" w:themeColor="text1"/>
          <w:sz w:val="24"/>
          <w:szCs w:val="24"/>
        </w:rPr>
      </w:pPr>
      <w:r w:rsidRPr="00067F99">
        <w:rPr>
          <w:color w:val="000000" w:themeColor="text1"/>
          <w:sz w:val="24"/>
          <w:szCs w:val="24"/>
        </w:rPr>
        <w:t>Ministry of Public Health. (2022). Managing medical waste in Thailand: Capacity and disposal methods. </w:t>
      </w:r>
      <w:r w:rsidRPr="00067F99">
        <w:rPr>
          <w:sz w:val="24"/>
          <w:szCs w:val="24"/>
        </w:rPr>
        <w:fldChar w:fldCharType="begin"/>
      </w:r>
      <w:r w:rsidRPr="00067F99">
        <w:rPr>
          <w:sz w:val="24"/>
          <w:szCs w:val="24"/>
        </w:rPr>
        <w:instrText>HYPERLINK "https://thailand.un.org/en/174022-managing-medical-waste-measures-mitigate-impact-climate-change-napapan-shows-way" \t "_blank"</w:instrText>
      </w:r>
      <w:r w:rsidRPr="00067F99">
        <w:rPr>
          <w:sz w:val="24"/>
          <w:szCs w:val="24"/>
        </w:rPr>
      </w:r>
      <w:r w:rsidRPr="00067F99">
        <w:rPr>
          <w:sz w:val="24"/>
          <w:szCs w:val="24"/>
        </w:rPr>
        <w:fldChar w:fldCharType="separate"/>
      </w:r>
      <w:r w:rsidRPr="00067F99">
        <w:rPr>
          <w:rStyle w:val="Hyperlink"/>
          <w:color w:val="000000" w:themeColor="text1"/>
          <w:sz w:val="24"/>
          <w:szCs w:val="24"/>
          <w:u w:val="none"/>
        </w:rPr>
        <w:t>https://thailand.un.org/en/174022-managing-medical-waste-measures-mitigate-impact-climate-change-napapan-shows-way</w:t>
      </w:r>
      <w:r w:rsidRPr="00067F99">
        <w:rPr>
          <w:sz w:val="24"/>
          <w:szCs w:val="24"/>
        </w:rPr>
        <w:fldChar w:fldCharType="end"/>
      </w:r>
    </w:p>
    <w:p w14:paraId="624C8A23" w14:textId="77777777" w:rsidR="007123E7" w:rsidRPr="00067F99" w:rsidRDefault="007123E7" w:rsidP="007123E7">
      <w:pPr>
        <w:spacing w:before="100" w:beforeAutospacing="1" w:after="100" w:afterAutospacing="1"/>
        <w:outlineLvl w:val="2"/>
        <w:rPr>
          <w:rStyle w:val="Hyperlink"/>
          <w:color w:val="000000" w:themeColor="text1"/>
          <w:sz w:val="24"/>
          <w:szCs w:val="24"/>
          <w:u w:val="none"/>
        </w:rPr>
      </w:pPr>
      <w:r w:rsidRPr="00067F99">
        <w:rPr>
          <w:rStyle w:val="Hyperlink"/>
          <w:color w:val="000000" w:themeColor="text1"/>
          <w:sz w:val="24"/>
          <w:szCs w:val="24"/>
          <w:u w:val="none"/>
        </w:rPr>
        <w:t xml:space="preserve">Ministry of Transport. (2002). National Oil Spill Contingency Plan, B.E. 2545 (2002). Retrieved from </w:t>
      </w:r>
      <w:r w:rsidRPr="00067F99">
        <w:rPr>
          <w:sz w:val="24"/>
          <w:szCs w:val="24"/>
        </w:rPr>
        <w:fldChar w:fldCharType="begin"/>
      </w:r>
      <w:r w:rsidRPr="00067F99">
        <w:rPr>
          <w:sz w:val="24"/>
          <w:szCs w:val="24"/>
        </w:rPr>
        <w:instrText>HYPERLINK "https://thai-mecc.go.th/thaimeccsite/datacenter/file/get/224050?utm_source=chatgpt.com" \t "_new"</w:instrText>
      </w:r>
      <w:r w:rsidRPr="00067F99">
        <w:rPr>
          <w:sz w:val="24"/>
          <w:szCs w:val="24"/>
        </w:rPr>
      </w:r>
      <w:r w:rsidRPr="00067F99">
        <w:rPr>
          <w:sz w:val="24"/>
          <w:szCs w:val="24"/>
        </w:rPr>
        <w:fldChar w:fldCharType="separate"/>
      </w:r>
      <w:r w:rsidRPr="00067F99">
        <w:rPr>
          <w:rStyle w:val="Hyperlink"/>
          <w:color w:val="000000" w:themeColor="text1"/>
          <w:sz w:val="24"/>
          <w:szCs w:val="24"/>
          <w:u w:val="none"/>
        </w:rPr>
        <w:t>https://thai-mecc.go.th/thaimeccsite/datacenter/file/get/224050</w:t>
      </w:r>
      <w:r w:rsidRPr="00067F99">
        <w:rPr>
          <w:sz w:val="24"/>
          <w:szCs w:val="24"/>
        </w:rPr>
        <w:fldChar w:fldCharType="end"/>
      </w:r>
    </w:p>
    <w:p w14:paraId="2D5C5B60" w14:textId="77777777" w:rsidR="007123E7" w:rsidRPr="00067F99" w:rsidRDefault="007123E7" w:rsidP="007123E7">
      <w:pPr>
        <w:spacing w:before="100" w:beforeAutospacing="1" w:after="100" w:afterAutospacing="1"/>
        <w:outlineLvl w:val="2"/>
        <w:rPr>
          <w:color w:val="000000" w:themeColor="text1"/>
          <w:sz w:val="24"/>
          <w:szCs w:val="24"/>
        </w:rPr>
      </w:pPr>
      <w:r w:rsidRPr="00067F99">
        <w:rPr>
          <w:color w:val="000000" w:themeColor="text1"/>
          <w:sz w:val="24"/>
          <w:szCs w:val="24"/>
        </w:rPr>
        <w:t>National News Bureau. (2023). Thailand announces ban on plastic waste imports by 2025.</w:t>
      </w:r>
    </w:p>
    <w:p w14:paraId="4B2A329D" w14:textId="77777777" w:rsidR="007123E7" w:rsidRPr="00067F99" w:rsidRDefault="007123E7" w:rsidP="007123E7">
      <w:pPr>
        <w:spacing w:before="100" w:beforeAutospacing="1" w:after="100" w:afterAutospacing="1"/>
        <w:outlineLvl w:val="2"/>
        <w:rPr>
          <w:color w:val="000000" w:themeColor="text1"/>
          <w:sz w:val="24"/>
          <w:szCs w:val="24"/>
        </w:rPr>
      </w:pPr>
      <w:r w:rsidRPr="00067F99">
        <w:rPr>
          <w:color w:val="000000" w:themeColor="text1"/>
          <w:sz w:val="24"/>
          <w:szCs w:val="24"/>
        </w:rPr>
        <w:t xml:space="preserve">Niampradit, S., Kiangkoo, N., Mingkhwan, R., &amp; others. (2024). Occurrence, distribution, and ecological risk assessment of heavy metals in Chao Phraya River, </w:t>
      </w:r>
      <w:r w:rsidRPr="00067F99">
        <w:rPr>
          <w:color w:val="000000" w:themeColor="text1"/>
          <w:spacing w:val="-2"/>
          <w:sz w:val="24"/>
          <w:szCs w:val="24"/>
        </w:rPr>
        <w:t>Thailand. Scientific Reports, 14, 8366. https://doi.org/10.1038/s41598-024-59133-0</w:t>
      </w:r>
    </w:p>
    <w:p w14:paraId="2CE4887A" w14:textId="77777777" w:rsidR="007123E7" w:rsidRPr="00067F99" w:rsidRDefault="007123E7" w:rsidP="007123E7">
      <w:pPr>
        <w:pStyle w:val="ListParagraph"/>
        <w:tabs>
          <w:tab w:val="left" w:pos="450"/>
        </w:tabs>
        <w:ind w:left="0"/>
        <w:rPr>
          <w:rFonts w:cs="Arial"/>
          <w:color w:val="000000" w:themeColor="text1"/>
          <w:sz w:val="24"/>
          <w:szCs w:val="24"/>
        </w:rPr>
      </w:pPr>
      <w:r w:rsidRPr="00067F99">
        <w:rPr>
          <w:rFonts w:cs="Arial"/>
          <w:color w:val="000000" w:themeColor="text1"/>
          <w:sz w:val="24"/>
          <w:szCs w:val="24"/>
        </w:rPr>
        <w:t xml:space="preserve">Office of Natural Resources and Environmental Policy and Planning  (ONEP). </w:t>
      </w:r>
      <w:r w:rsidRPr="00067F99">
        <w:rPr>
          <w:rFonts w:cs="Arial"/>
          <w:color w:val="000000" w:themeColor="text1"/>
          <w:sz w:val="24"/>
          <w:szCs w:val="24"/>
        </w:rPr>
        <w:lastRenderedPageBreak/>
        <w:t xml:space="preserve">(2023). Thailand Environmental Quality Management Plan 2023 - 2027. Ministry of Natural Resources and Environment. </w:t>
      </w:r>
    </w:p>
    <w:p w14:paraId="5654892F" w14:textId="77777777" w:rsidR="007123E7" w:rsidRPr="00067F99" w:rsidRDefault="007123E7" w:rsidP="007123E7">
      <w:pPr>
        <w:spacing w:before="100" w:beforeAutospacing="1" w:after="100" w:afterAutospacing="1"/>
        <w:outlineLvl w:val="2"/>
        <w:rPr>
          <w:color w:val="000000" w:themeColor="text1"/>
          <w:sz w:val="24"/>
          <w:szCs w:val="24"/>
        </w:rPr>
      </w:pPr>
      <w:r w:rsidRPr="00067F99">
        <w:rPr>
          <w:color w:val="000000" w:themeColor="text1"/>
          <w:sz w:val="24"/>
          <w:szCs w:val="24"/>
        </w:rPr>
        <w:t>PEMSEA. (2024). Marine Plastic Pollution and Food Security in Southeast Asia.</w:t>
      </w:r>
    </w:p>
    <w:p w14:paraId="041FBA40" w14:textId="77777777" w:rsidR="007123E7" w:rsidRPr="00067F99" w:rsidRDefault="007123E7" w:rsidP="007123E7">
      <w:pPr>
        <w:tabs>
          <w:tab w:val="left" w:pos="450"/>
        </w:tabs>
        <w:rPr>
          <w:color w:val="000000" w:themeColor="text1"/>
          <w:sz w:val="24"/>
          <w:szCs w:val="24"/>
        </w:rPr>
      </w:pPr>
      <w:r w:rsidRPr="00067F99">
        <w:rPr>
          <w:color w:val="000000" w:themeColor="text1"/>
          <w:sz w:val="24"/>
          <w:szCs w:val="24"/>
        </w:rPr>
        <w:t>Pollution Control Department (PCD). (2003). A decade of water quality monitoring in Thailand's four major rivers. https://www.pcd.go.th/wp-content/uploads/2020/04/pcdnew-2020-04-21_10-08-08_046956.pdf</w:t>
      </w:r>
    </w:p>
    <w:p w14:paraId="5038EB7C" w14:textId="77777777" w:rsidR="007123E7" w:rsidRPr="00067F99" w:rsidRDefault="007123E7" w:rsidP="007123E7">
      <w:pPr>
        <w:pStyle w:val="ListParagraph"/>
        <w:tabs>
          <w:tab w:val="left" w:pos="450"/>
        </w:tabs>
        <w:ind w:left="0"/>
        <w:rPr>
          <w:rFonts w:cs="Arial"/>
          <w:color w:val="000000" w:themeColor="text1"/>
          <w:sz w:val="24"/>
          <w:szCs w:val="24"/>
        </w:rPr>
      </w:pPr>
      <w:r w:rsidRPr="00067F99">
        <w:rPr>
          <w:rFonts w:cs="Arial"/>
          <w:color w:val="000000" w:themeColor="text1"/>
          <w:sz w:val="24"/>
          <w:szCs w:val="24"/>
        </w:rPr>
        <w:t>Pollution Control Department (PCD). (2024). ASEAN Marine Water Quality Management Guidelines. Ministry of Natural Resources and Environment.</w:t>
      </w:r>
    </w:p>
    <w:p w14:paraId="32AEE3C4" w14:textId="77777777" w:rsidR="007123E7" w:rsidRPr="00067F99" w:rsidRDefault="007123E7" w:rsidP="007123E7">
      <w:pPr>
        <w:pStyle w:val="ListParagraph"/>
        <w:tabs>
          <w:tab w:val="left" w:pos="450"/>
        </w:tabs>
        <w:ind w:left="0"/>
        <w:rPr>
          <w:rFonts w:cs="Arial"/>
          <w:color w:val="000000" w:themeColor="text1"/>
          <w:sz w:val="24"/>
          <w:szCs w:val="24"/>
        </w:rPr>
      </w:pPr>
    </w:p>
    <w:p w14:paraId="7A64A95F" w14:textId="77777777" w:rsidR="007123E7" w:rsidRPr="00067F99" w:rsidRDefault="007123E7" w:rsidP="007123E7">
      <w:pPr>
        <w:pStyle w:val="ListParagraph"/>
        <w:tabs>
          <w:tab w:val="left" w:pos="450"/>
        </w:tabs>
        <w:ind w:left="0"/>
        <w:rPr>
          <w:rFonts w:cs="Arial"/>
          <w:color w:val="000000" w:themeColor="text1"/>
          <w:sz w:val="24"/>
          <w:szCs w:val="24"/>
        </w:rPr>
      </w:pPr>
      <w:r w:rsidRPr="00067F99">
        <w:rPr>
          <w:rFonts w:cs="Arial"/>
          <w:color w:val="000000" w:themeColor="text1"/>
          <w:sz w:val="24"/>
          <w:szCs w:val="24"/>
        </w:rPr>
        <w:t>Pollution Control Department (PCD). (2024). Thailand State of Pollution Report 2024. Ministry of Natural Resources and Environment.</w:t>
      </w:r>
    </w:p>
    <w:p w14:paraId="02C2932F" w14:textId="77777777" w:rsidR="007123E7" w:rsidRPr="00067F99" w:rsidRDefault="007123E7" w:rsidP="007123E7">
      <w:pPr>
        <w:pStyle w:val="ListParagraph"/>
        <w:tabs>
          <w:tab w:val="left" w:pos="450"/>
        </w:tabs>
        <w:ind w:left="0"/>
        <w:rPr>
          <w:rFonts w:cs="Arial"/>
          <w:color w:val="000000" w:themeColor="text1"/>
          <w:sz w:val="24"/>
          <w:szCs w:val="24"/>
        </w:rPr>
      </w:pPr>
    </w:p>
    <w:p w14:paraId="7D951450" w14:textId="77777777" w:rsidR="007123E7" w:rsidRPr="00067F99" w:rsidRDefault="007123E7" w:rsidP="007123E7">
      <w:pPr>
        <w:pStyle w:val="ListParagraph"/>
        <w:tabs>
          <w:tab w:val="left" w:pos="450"/>
        </w:tabs>
        <w:ind w:left="0"/>
        <w:rPr>
          <w:rFonts w:cs="Arial"/>
          <w:color w:val="000000" w:themeColor="text1"/>
          <w:sz w:val="24"/>
          <w:szCs w:val="24"/>
        </w:rPr>
      </w:pPr>
      <w:r w:rsidRPr="00067F99">
        <w:rPr>
          <w:rFonts w:cs="Arial"/>
          <w:color w:val="000000" w:themeColor="text1"/>
          <w:sz w:val="24"/>
          <w:szCs w:val="24"/>
        </w:rPr>
        <w:t>Prathumchai, N., et al. (2016). Phosphorus leakage from fisheries sector – A case study in Thailand. ScienceDirect. </w:t>
      </w:r>
      <w:r w:rsidRPr="00067F99">
        <w:rPr>
          <w:rFonts w:cs="Arial"/>
          <w:sz w:val="24"/>
          <w:szCs w:val="24"/>
        </w:rPr>
        <w:fldChar w:fldCharType="begin"/>
      </w:r>
      <w:r w:rsidRPr="00067F99">
        <w:rPr>
          <w:rFonts w:cs="Arial"/>
          <w:sz w:val="24"/>
          <w:szCs w:val="24"/>
        </w:rPr>
        <w:instrText>HYPERLINK "https://www.sciencedirect.com/science/article/abs/pii/S0269749116314890" \t "_blank"</w:instrText>
      </w:r>
      <w:r w:rsidRPr="00067F99">
        <w:rPr>
          <w:rFonts w:cs="Arial"/>
          <w:sz w:val="24"/>
          <w:szCs w:val="24"/>
        </w:rPr>
      </w:r>
      <w:r w:rsidRPr="00067F99">
        <w:rPr>
          <w:rFonts w:cs="Arial"/>
          <w:sz w:val="24"/>
          <w:szCs w:val="24"/>
        </w:rPr>
        <w:fldChar w:fldCharType="separate"/>
      </w:r>
      <w:r w:rsidRPr="00067F99">
        <w:rPr>
          <w:rStyle w:val="Hyperlink"/>
          <w:rFonts w:cs="Arial"/>
          <w:color w:val="000000" w:themeColor="text1"/>
          <w:sz w:val="24"/>
          <w:szCs w:val="24"/>
          <w:u w:val="none"/>
        </w:rPr>
        <w:t>https://www.sciencedirect.com/science/article/abs/pii/S0269749116314890</w:t>
      </w:r>
      <w:r w:rsidRPr="00067F99">
        <w:rPr>
          <w:rFonts w:cs="Arial"/>
          <w:sz w:val="24"/>
          <w:szCs w:val="24"/>
        </w:rPr>
        <w:fldChar w:fldCharType="end"/>
      </w:r>
    </w:p>
    <w:p w14:paraId="5B3941A4" w14:textId="77777777" w:rsidR="007123E7" w:rsidRPr="00067F99" w:rsidRDefault="007123E7" w:rsidP="007123E7">
      <w:pPr>
        <w:spacing w:before="100" w:beforeAutospacing="1" w:after="100" w:afterAutospacing="1"/>
        <w:outlineLvl w:val="2"/>
        <w:rPr>
          <w:color w:val="000000" w:themeColor="text1"/>
          <w:sz w:val="24"/>
          <w:szCs w:val="24"/>
        </w:rPr>
      </w:pPr>
      <w:r w:rsidRPr="00067F99">
        <w:rPr>
          <w:color w:val="000000" w:themeColor="text1"/>
          <w:sz w:val="24"/>
          <w:szCs w:val="24"/>
        </w:rPr>
        <w:t>PTT Public Company Limited. (2021, December 31). Spill Management. Retrieved from </w:t>
      </w:r>
      <w:r w:rsidRPr="00067F99">
        <w:rPr>
          <w:sz w:val="24"/>
          <w:szCs w:val="24"/>
        </w:rPr>
        <w:fldChar w:fldCharType="begin"/>
      </w:r>
      <w:r w:rsidRPr="00067F99">
        <w:rPr>
          <w:sz w:val="24"/>
          <w:szCs w:val="24"/>
        </w:rPr>
        <w:instrText>HYPERLINK "https://www.pttplc.com/en/Sustainability/Environment/Spill.aspx" \t "_blank"</w:instrText>
      </w:r>
      <w:r w:rsidRPr="00067F99">
        <w:rPr>
          <w:sz w:val="24"/>
          <w:szCs w:val="24"/>
        </w:rPr>
      </w:r>
      <w:r w:rsidRPr="00067F99">
        <w:rPr>
          <w:sz w:val="24"/>
          <w:szCs w:val="24"/>
        </w:rPr>
        <w:fldChar w:fldCharType="separate"/>
      </w:r>
      <w:r w:rsidRPr="00067F99">
        <w:rPr>
          <w:rStyle w:val="Hyperlink"/>
          <w:color w:val="000000" w:themeColor="text1"/>
          <w:sz w:val="24"/>
          <w:szCs w:val="24"/>
          <w:u w:val="none"/>
        </w:rPr>
        <w:t>https://www.pttplc.com/en/Sustainability/Environment/Spill.aspx</w:t>
      </w:r>
      <w:r w:rsidRPr="00067F99">
        <w:rPr>
          <w:sz w:val="24"/>
          <w:szCs w:val="24"/>
        </w:rPr>
        <w:fldChar w:fldCharType="end"/>
      </w:r>
    </w:p>
    <w:p w14:paraId="3E9815A8" w14:textId="77777777" w:rsidR="007123E7" w:rsidRPr="00067F99" w:rsidRDefault="007123E7" w:rsidP="007123E7">
      <w:pPr>
        <w:spacing w:before="100" w:beforeAutospacing="1" w:after="100" w:afterAutospacing="1"/>
        <w:outlineLvl w:val="2"/>
        <w:rPr>
          <w:color w:val="000000" w:themeColor="text1"/>
          <w:sz w:val="24"/>
          <w:szCs w:val="24"/>
        </w:rPr>
      </w:pPr>
      <w:r w:rsidRPr="00067F99">
        <w:rPr>
          <w:color w:val="000000" w:themeColor="text1"/>
          <w:sz w:val="24"/>
          <w:szCs w:val="24"/>
        </w:rPr>
        <w:t>Rattanakunuprakarn, C. (2025). Oil spill response tiers and management in Thailand. Frontiers in Marine Science, 1632601. </w:t>
      </w:r>
      <w:r w:rsidRPr="00067F99">
        <w:rPr>
          <w:sz w:val="24"/>
          <w:szCs w:val="24"/>
        </w:rPr>
        <w:fldChar w:fldCharType="begin"/>
      </w:r>
      <w:r w:rsidRPr="00067F99">
        <w:rPr>
          <w:sz w:val="24"/>
          <w:szCs w:val="24"/>
        </w:rPr>
        <w:instrText>HYPERLINK "https://www.frontiersin.org/journals/marine-science/articles/10.3389/fmars.2025.1632601/full" \t "_blank"</w:instrText>
      </w:r>
      <w:r w:rsidRPr="00067F99">
        <w:rPr>
          <w:sz w:val="24"/>
          <w:szCs w:val="24"/>
        </w:rPr>
      </w:r>
      <w:r w:rsidRPr="00067F99">
        <w:rPr>
          <w:sz w:val="24"/>
          <w:szCs w:val="24"/>
        </w:rPr>
        <w:fldChar w:fldCharType="separate"/>
      </w:r>
      <w:r w:rsidRPr="00067F99">
        <w:rPr>
          <w:rStyle w:val="Hyperlink"/>
          <w:color w:val="000000" w:themeColor="text1"/>
          <w:sz w:val="24"/>
          <w:szCs w:val="24"/>
          <w:u w:val="none"/>
        </w:rPr>
        <w:t>https://www.frontiersin.org/journals/marine-science/articles/10.3389/fmars.2025.1632601/full</w:t>
      </w:r>
      <w:r w:rsidRPr="00067F99">
        <w:rPr>
          <w:sz w:val="24"/>
          <w:szCs w:val="24"/>
        </w:rPr>
        <w:fldChar w:fldCharType="end"/>
      </w:r>
    </w:p>
    <w:p w14:paraId="6B83A924" w14:textId="77777777" w:rsidR="007123E7" w:rsidRPr="00067F99" w:rsidRDefault="007123E7" w:rsidP="007123E7">
      <w:pPr>
        <w:spacing w:before="100" w:beforeAutospacing="1" w:after="100" w:afterAutospacing="1"/>
        <w:outlineLvl w:val="2"/>
        <w:rPr>
          <w:color w:val="000000" w:themeColor="text1"/>
          <w:sz w:val="24"/>
          <w:szCs w:val="24"/>
        </w:rPr>
      </w:pPr>
      <w:r w:rsidRPr="00067F99">
        <w:rPr>
          <w:color w:val="000000" w:themeColor="text1"/>
          <w:sz w:val="24"/>
          <w:szCs w:val="24"/>
        </w:rPr>
        <w:t>Rattikansukha, C. (2016). Oil Spill Risk Management in Thailand. Academic Study. Retrieved from </w:t>
      </w:r>
      <w:r w:rsidRPr="00067F99">
        <w:rPr>
          <w:sz w:val="24"/>
          <w:szCs w:val="24"/>
        </w:rPr>
        <w:fldChar w:fldCharType="begin"/>
      </w:r>
      <w:r w:rsidRPr="00067F99">
        <w:rPr>
          <w:sz w:val="24"/>
          <w:szCs w:val="24"/>
        </w:rPr>
        <w:instrText>HYPERLINK "https://www.academia.edu/24930832/Oil_Spill_Risk_Management_in_Thailand" \t "_blank"</w:instrText>
      </w:r>
      <w:r w:rsidRPr="00067F99">
        <w:rPr>
          <w:sz w:val="24"/>
          <w:szCs w:val="24"/>
        </w:rPr>
      </w:r>
      <w:r w:rsidRPr="00067F99">
        <w:rPr>
          <w:sz w:val="24"/>
          <w:szCs w:val="24"/>
        </w:rPr>
        <w:fldChar w:fldCharType="separate"/>
      </w:r>
      <w:r w:rsidRPr="00067F99">
        <w:rPr>
          <w:rStyle w:val="Hyperlink"/>
          <w:color w:val="000000" w:themeColor="text1"/>
          <w:sz w:val="24"/>
          <w:szCs w:val="24"/>
          <w:u w:val="none"/>
        </w:rPr>
        <w:t>https://www.academia.edu/24930832/Oil_Spill_Risk_Management_in_Thailand</w:t>
      </w:r>
      <w:r w:rsidRPr="00067F99">
        <w:rPr>
          <w:sz w:val="24"/>
          <w:szCs w:val="24"/>
        </w:rPr>
        <w:fldChar w:fldCharType="end"/>
      </w:r>
    </w:p>
    <w:p w14:paraId="34FCC57C" w14:textId="77777777" w:rsidR="007123E7" w:rsidRPr="00067F99" w:rsidRDefault="007123E7" w:rsidP="007123E7">
      <w:pPr>
        <w:spacing w:before="100" w:beforeAutospacing="1" w:after="100" w:afterAutospacing="1"/>
        <w:rPr>
          <w:rFonts w:eastAsia="Times New Roman"/>
          <w:sz w:val="24"/>
          <w:szCs w:val="24"/>
        </w:rPr>
      </w:pPr>
      <w:r w:rsidRPr="00067F99">
        <w:rPr>
          <w:rFonts w:eastAsia="Times New Roman"/>
          <w:sz w:val="24"/>
          <w:szCs w:val="24"/>
        </w:rPr>
        <w:t>SBN Software. (2025). What technologies are available to monitor industrial waste production in real-time? Retrieved from https://sbnsoftware.com/blog/what-technologies-are-available-to-monitor-industrial-waste-production-in-real-time/</w:t>
      </w:r>
    </w:p>
    <w:p w14:paraId="6031062E" w14:textId="77777777" w:rsidR="007123E7" w:rsidRPr="00067F99" w:rsidRDefault="007123E7" w:rsidP="007123E7">
      <w:pPr>
        <w:spacing w:before="100" w:beforeAutospacing="1" w:after="100" w:afterAutospacing="1"/>
        <w:rPr>
          <w:rFonts w:eastAsia="Times New Roman"/>
          <w:color w:val="000000" w:themeColor="text1"/>
          <w:sz w:val="24"/>
          <w:szCs w:val="24"/>
        </w:rPr>
      </w:pPr>
      <w:r w:rsidRPr="00067F99">
        <w:rPr>
          <w:rFonts w:eastAsia="Times New Roman"/>
          <w:color w:val="000000" w:themeColor="text1"/>
          <w:sz w:val="24"/>
          <w:szCs w:val="24"/>
        </w:rPr>
        <w:t>Sharma, L., et al. (2021). Antibiotic-resistant bacteria and gut microbiome in farmed shrimp. Nature. </w:t>
      </w:r>
      <w:r w:rsidRPr="00067F99">
        <w:rPr>
          <w:sz w:val="24"/>
          <w:szCs w:val="24"/>
        </w:rPr>
        <w:fldChar w:fldCharType="begin"/>
      </w:r>
      <w:r w:rsidRPr="00067F99">
        <w:rPr>
          <w:sz w:val="24"/>
          <w:szCs w:val="24"/>
        </w:rPr>
        <w:instrText>HYPERLINK "https://www.nature.com/articles/s41598-021-82823-y" \t "_blank"</w:instrText>
      </w:r>
      <w:r w:rsidRPr="00067F99">
        <w:rPr>
          <w:sz w:val="24"/>
          <w:szCs w:val="24"/>
        </w:rPr>
      </w:r>
      <w:r w:rsidRPr="00067F99">
        <w:rPr>
          <w:sz w:val="24"/>
          <w:szCs w:val="24"/>
        </w:rPr>
        <w:fldChar w:fldCharType="separate"/>
      </w:r>
      <w:r w:rsidRPr="00067F99">
        <w:rPr>
          <w:rStyle w:val="Hyperlink"/>
          <w:rFonts w:eastAsia="Times New Roman"/>
          <w:color w:val="000000" w:themeColor="text1"/>
          <w:sz w:val="24"/>
          <w:szCs w:val="24"/>
          <w:u w:val="none"/>
        </w:rPr>
        <w:t>https://www.nature.com/articles/s41598-021-82823-y</w:t>
      </w:r>
      <w:r w:rsidRPr="00067F99">
        <w:rPr>
          <w:sz w:val="24"/>
          <w:szCs w:val="24"/>
        </w:rPr>
        <w:fldChar w:fldCharType="end"/>
      </w:r>
    </w:p>
    <w:p w14:paraId="53C6EE46" w14:textId="77777777" w:rsidR="007123E7" w:rsidRPr="00067F99" w:rsidRDefault="007123E7" w:rsidP="007123E7">
      <w:pPr>
        <w:spacing w:before="100" w:beforeAutospacing="1" w:after="100" w:afterAutospacing="1"/>
        <w:rPr>
          <w:rFonts w:eastAsia="Times New Roman"/>
          <w:color w:val="000000" w:themeColor="text1"/>
          <w:sz w:val="24"/>
          <w:szCs w:val="24"/>
        </w:rPr>
      </w:pPr>
      <w:r w:rsidRPr="00067F99">
        <w:rPr>
          <w:rFonts w:eastAsia="Times New Roman"/>
          <w:color w:val="000000" w:themeColor="text1"/>
          <w:sz w:val="24"/>
          <w:szCs w:val="24"/>
        </w:rPr>
        <w:t>Siam City Cement. (2021). Looking at industrial waste management trends in Thailand. Retrieved from https://www.siamcitycement.com/thailand/inseeecocycle/en/media/detail/looking-at-industrial-waste-management-trends-in-thailand</w:t>
      </w:r>
    </w:p>
    <w:p w14:paraId="11AFCBEC" w14:textId="77777777" w:rsidR="007123E7" w:rsidRPr="00067F99" w:rsidRDefault="007123E7" w:rsidP="007123E7">
      <w:pPr>
        <w:pStyle w:val="whitespace-normal"/>
        <w:jc w:val="thaiDistribute"/>
        <w:rPr>
          <w:rFonts w:ascii="Arial" w:hAnsi="Arial" w:cs="Arial"/>
          <w:color w:val="000000" w:themeColor="text1"/>
        </w:rPr>
      </w:pPr>
      <w:proofErr w:type="spellStart"/>
      <w:r w:rsidRPr="00067F99">
        <w:rPr>
          <w:rFonts w:ascii="Arial" w:hAnsi="Arial" w:cs="Arial"/>
          <w:color w:val="000000" w:themeColor="text1"/>
        </w:rPr>
        <w:t>Sonthi</w:t>
      </w:r>
      <w:proofErr w:type="spellEnd"/>
      <w:r w:rsidRPr="00067F99">
        <w:rPr>
          <w:rFonts w:ascii="Arial" w:hAnsi="Arial" w:cs="Arial"/>
          <w:color w:val="000000" w:themeColor="text1"/>
        </w:rPr>
        <w:t xml:space="preserve">, C., </w:t>
      </w:r>
      <w:proofErr w:type="spellStart"/>
      <w:r w:rsidRPr="00067F99">
        <w:rPr>
          <w:rFonts w:ascii="Arial" w:hAnsi="Arial" w:cs="Arial"/>
          <w:color w:val="000000" w:themeColor="text1"/>
        </w:rPr>
        <w:t>Harnphattananusorn</w:t>
      </w:r>
      <w:proofErr w:type="spellEnd"/>
      <w:r w:rsidRPr="00067F99">
        <w:rPr>
          <w:rFonts w:ascii="Arial" w:hAnsi="Arial" w:cs="Arial"/>
          <w:color w:val="000000" w:themeColor="text1"/>
        </w:rPr>
        <w:t xml:space="preserve">, S., &amp; </w:t>
      </w:r>
      <w:proofErr w:type="spellStart"/>
      <w:r w:rsidRPr="00067F99">
        <w:rPr>
          <w:rFonts w:ascii="Arial" w:hAnsi="Arial" w:cs="Arial"/>
          <w:color w:val="000000" w:themeColor="text1"/>
        </w:rPr>
        <w:t>Santipolvut</w:t>
      </w:r>
      <w:proofErr w:type="spellEnd"/>
      <w:r w:rsidRPr="00067F99">
        <w:rPr>
          <w:rFonts w:ascii="Arial" w:hAnsi="Arial" w:cs="Arial"/>
          <w:color w:val="000000" w:themeColor="text1"/>
        </w:rPr>
        <w:t>, S. (2020). Pollution cost as a variable for calculating Green GDP. UTCC International Journal of Business and Economics, 12(1). Retrieved from https://doi.nrct.go.th/admin/doc/doc_630136.pdf</w:t>
      </w:r>
    </w:p>
    <w:p w14:paraId="202EE412" w14:textId="77777777" w:rsidR="007123E7" w:rsidRPr="00067F99" w:rsidRDefault="007123E7" w:rsidP="007123E7">
      <w:pPr>
        <w:tabs>
          <w:tab w:val="left" w:pos="450"/>
        </w:tabs>
        <w:rPr>
          <w:color w:val="000000" w:themeColor="text1"/>
          <w:sz w:val="24"/>
          <w:szCs w:val="24"/>
        </w:rPr>
      </w:pPr>
      <w:r w:rsidRPr="00067F99">
        <w:rPr>
          <w:color w:val="000000" w:themeColor="text1"/>
          <w:sz w:val="24"/>
          <w:szCs w:val="24"/>
        </w:rPr>
        <w:t>Thailand Agricultural Sector Report. (2025). Thailand taxonomy agriculture sector. Bank of Thailand. </w:t>
      </w:r>
      <w:r w:rsidRPr="00067F99">
        <w:rPr>
          <w:sz w:val="24"/>
          <w:szCs w:val="24"/>
        </w:rPr>
        <w:fldChar w:fldCharType="begin"/>
      </w:r>
      <w:r w:rsidRPr="00067F99">
        <w:rPr>
          <w:sz w:val="24"/>
          <w:szCs w:val="24"/>
        </w:rPr>
        <w:instrText>HYPERLINK "https://www.bot.or.th/content/dam/bot/financial-innovation/sustainable-finance/green/taxonomy/03_EN_Thailand_Taxonomy-Agriculture_Sector.pdf" \t "_blank"</w:instrText>
      </w:r>
      <w:r w:rsidRPr="00067F99">
        <w:rPr>
          <w:sz w:val="24"/>
          <w:szCs w:val="24"/>
        </w:rPr>
      </w:r>
      <w:r w:rsidRPr="00067F99">
        <w:rPr>
          <w:sz w:val="24"/>
          <w:szCs w:val="24"/>
        </w:rPr>
        <w:fldChar w:fldCharType="separate"/>
      </w:r>
      <w:r w:rsidRPr="00067F99">
        <w:rPr>
          <w:rStyle w:val="Hyperlink"/>
          <w:color w:val="000000" w:themeColor="text1"/>
          <w:sz w:val="24"/>
          <w:szCs w:val="24"/>
          <w:u w:val="none"/>
        </w:rPr>
        <w:t>https://www.bot.or.th/content/dam/bot/financial-innovation/sustainable-finance/green/taxonomy/03_EN_Thailand_Taxonomy-</w:t>
      </w:r>
      <w:r w:rsidRPr="00067F99">
        <w:rPr>
          <w:rStyle w:val="Hyperlink"/>
          <w:color w:val="000000" w:themeColor="text1"/>
          <w:sz w:val="24"/>
          <w:szCs w:val="24"/>
          <w:u w:val="none"/>
        </w:rPr>
        <w:lastRenderedPageBreak/>
        <w:t>Agriculture_Sector.pdf</w:t>
      </w:r>
      <w:r w:rsidRPr="00067F99">
        <w:rPr>
          <w:sz w:val="24"/>
          <w:szCs w:val="24"/>
        </w:rPr>
        <w:fldChar w:fldCharType="end"/>
      </w:r>
    </w:p>
    <w:p w14:paraId="41F03705" w14:textId="77777777" w:rsidR="007123E7" w:rsidRPr="00067F99" w:rsidRDefault="007123E7" w:rsidP="007123E7">
      <w:pPr>
        <w:pStyle w:val="ListParagraph"/>
        <w:tabs>
          <w:tab w:val="left" w:pos="450"/>
        </w:tabs>
        <w:ind w:left="0"/>
        <w:rPr>
          <w:rFonts w:cs="Arial"/>
          <w:color w:val="000000" w:themeColor="text1"/>
          <w:sz w:val="24"/>
          <w:szCs w:val="24"/>
        </w:rPr>
      </w:pPr>
      <w:r w:rsidRPr="00067F99">
        <w:rPr>
          <w:rFonts w:cs="Arial"/>
          <w:color w:val="000000" w:themeColor="text1"/>
          <w:sz w:val="24"/>
          <w:szCs w:val="24"/>
        </w:rPr>
        <w:t>Thailand Development Research Institute. (2024). Disparity worsens ocean pollution.</w:t>
      </w:r>
    </w:p>
    <w:p w14:paraId="377B824D" w14:textId="77777777" w:rsidR="007123E7" w:rsidRPr="00067F99" w:rsidRDefault="007123E7" w:rsidP="007123E7">
      <w:pPr>
        <w:pStyle w:val="ListParagraph"/>
        <w:tabs>
          <w:tab w:val="left" w:pos="450"/>
        </w:tabs>
        <w:ind w:left="0"/>
        <w:rPr>
          <w:rFonts w:cs="Arial"/>
          <w:color w:val="000000" w:themeColor="text1"/>
          <w:sz w:val="24"/>
          <w:szCs w:val="24"/>
        </w:rPr>
      </w:pPr>
      <w:r w:rsidRPr="00067F99">
        <w:rPr>
          <w:rFonts w:cs="Arial"/>
          <w:color w:val="000000" w:themeColor="text1"/>
          <w:sz w:val="24"/>
          <w:szCs w:val="24"/>
        </w:rPr>
        <w:t>World Economic Forum. (2025). How the ASEAN region's plastic pollution is being defeated.</w:t>
      </w:r>
    </w:p>
    <w:p w14:paraId="18428264" w14:textId="77777777" w:rsidR="007123E7" w:rsidRPr="00067F99" w:rsidRDefault="007123E7" w:rsidP="007123E7">
      <w:pPr>
        <w:spacing w:before="100" w:beforeAutospacing="1" w:after="100" w:afterAutospacing="1"/>
        <w:outlineLvl w:val="2"/>
        <w:rPr>
          <w:color w:val="000000" w:themeColor="text1"/>
          <w:sz w:val="24"/>
          <w:szCs w:val="24"/>
        </w:rPr>
      </w:pPr>
      <w:r w:rsidRPr="00067F99">
        <w:rPr>
          <w:color w:val="000000" w:themeColor="text1"/>
          <w:sz w:val="24"/>
          <w:szCs w:val="24"/>
        </w:rPr>
        <w:t>Thammasat University. (2025). Thailand Environmental Survey 2025: Citizens Prioritize Environment.</w:t>
      </w:r>
    </w:p>
    <w:p w14:paraId="4A90F591" w14:textId="77777777" w:rsidR="007123E7" w:rsidRPr="00067F99" w:rsidRDefault="007123E7" w:rsidP="007123E7">
      <w:pPr>
        <w:spacing w:before="100" w:beforeAutospacing="1" w:after="100" w:afterAutospacing="1"/>
        <w:rPr>
          <w:rFonts w:eastAsia="Times New Roman"/>
          <w:color w:val="000000" w:themeColor="text1"/>
          <w:sz w:val="24"/>
          <w:szCs w:val="24"/>
        </w:rPr>
      </w:pPr>
      <w:r w:rsidRPr="00067F99">
        <w:rPr>
          <w:rFonts w:eastAsia="Times New Roman"/>
          <w:color w:val="000000" w:themeColor="text1"/>
          <w:sz w:val="24"/>
          <w:szCs w:val="24"/>
        </w:rPr>
        <w:t>Waste Management Thailand. (2025). Waste Management in Thailand. Retrieved from https://www.yamada-spire-th.com/wp-content/uploads/2022/08/checked.pdf</w:t>
      </w:r>
    </w:p>
    <w:p w14:paraId="3629A134" w14:textId="77777777" w:rsidR="007123E7" w:rsidRPr="00067F99" w:rsidRDefault="007123E7" w:rsidP="007123E7">
      <w:pPr>
        <w:spacing w:before="100" w:beforeAutospacing="1" w:after="100" w:afterAutospacing="1"/>
        <w:outlineLvl w:val="2"/>
        <w:rPr>
          <w:color w:val="000000" w:themeColor="text1"/>
          <w:sz w:val="24"/>
          <w:szCs w:val="24"/>
        </w:rPr>
      </w:pPr>
      <w:r w:rsidRPr="00067F99">
        <w:rPr>
          <w:color w:val="000000" w:themeColor="text1"/>
          <w:sz w:val="24"/>
          <w:szCs w:val="24"/>
        </w:rPr>
        <w:t>World Bank. (2023). Charting a Smarter Ocean Future for Thailand.</w:t>
      </w:r>
    </w:p>
    <w:p w14:paraId="761A2672" w14:textId="77777777" w:rsidR="007123E7" w:rsidRPr="00067F99" w:rsidRDefault="007123E7" w:rsidP="007123E7">
      <w:pPr>
        <w:pStyle w:val="ListParagraph"/>
        <w:tabs>
          <w:tab w:val="left" w:pos="450"/>
        </w:tabs>
        <w:ind w:left="0"/>
        <w:rPr>
          <w:rFonts w:cs="Arial"/>
          <w:color w:val="000000" w:themeColor="text1"/>
          <w:sz w:val="24"/>
          <w:szCs w:val="24"/>
        </w:rPr>
      </w:pPr>
      <w:r w:rsidRPr="00067F99">
        <w:rPr>
          <w:rFonts w:cs="Arial"/>
          <w:color w:val="000000" w:themeColor="text1"/>
          <w:sz w:val="24"/>
          <w:szCs w:val="24"/>
        </w:rPr>
        <w:t>World Bank. (2023). Plastic Waste Material Flow Analysis for Thailand.</w:t>
      </w:r>
    </w:p>
    <w:p w14:paraId="6441EC75" w14:textId="77777777" w:rsidR="007123E7" w:rsidRPr="00067F99" w:rsidRDefault="007123E7" w:rsidP="007123E7">
      <w:pPr>
        <w:pStyle w:val="ListParagraph"/>
        <w:tabs>
          <w:tab w:val="left" w:pos="450"/>
        </w:tabs>
        <w:ind w:left="0"/>
        <w:rPr>
          <w:rFonts w:cs="Arial"/>
          <w:color w:val="000000" w:themeColor="text1"/>
          <w:sz w:val="24"/>
          <w:szCs w:val="24"/>
        </w:rPr>
      </w:pPr>
    </w:p>
    <w:p w14:paraId="501926E2" w14:textId="77777777" w:rsidR="007123E7" w:rsidRPr="00067F99" w:rsidRDefault="007123E7" w:rsidP="007123E7">
      <w:pPr>
        <w:pStyle w:val="ListParagraph"/>
        <w:tabs>
          <w:tab w:val="left" w:pos="450"/>
        </w:tabs>
        <w:ind w:left="0"/>
        <w:rPr>
          <w:rFonts w:cs="Arial"/>
          <w:color w:val="000000" w:themeColor="text1"/>
          <w:sz w:val="24"/>
          <w:szCs w:val="24"/>
        </w:rPr>
      </w:pPr>
    </w:p>
    <w:p w14:paraId="6FF598E5" w14:textId="77777777" w:rsidR="007123E7" w:rsidRPr="00067F99" w:rsidRDefault="007123E7" w:rsidP="007123E7">
      <w:pPr>
        <w:pStyle w:val="ListParagraph"/>
        <w:tabs>
          <w:tab w:val="left" w:pos="450"/>
        </w:tabs>
        <w:ind w:left="0"/>
        <w:rPr>
          <w:rFonts w:cs="Arial"/>
          <w:color w:val="000000" w:themeColor="text1"/>
          <w:sz w:val="24"/>
          <w:szCs w:val="24"/>
        </w:rPr>
      </w:pPr>
    </w:p>
    <w:p w14:paraId="204D6812" w14:textId="77777777" w:rsidR="00502886" w:rsidRDefault="00502886" w:rsidP="00BC399A">
      <w:pPr>
        <w:spacing w:after="100"/>
        <w:rPr>
          <w:b/>
          <w:bCs/>
          <w:sz w:val="28"/>
          <w:szCs w:val="28"/>
        </w:rPr>
      </w:pPr>
    </w:p>
    <w:p w14:paraId="532A2331" w14:textId="77777777" w:rsidR="00502886" w:rsidRDefault="00502886" w:rsidP="00BC399A">
      <w:pPr>
        <w:spacing w:after="100"/>
        <w:rPr>
          <w:b/>
          <w:bCs/>
          <w:sz w:val="28"/>
          <w:szCs w:val="28"/>
        </w:rPr>
      </w:pPr>
    </w:p>
    <w:p w14:paraId="79BE3E6E" w14:textId="77777777" w:rsidR="00502886" w:rsidRDefault="00502886" w:rsidP="00BC399A">
      <w:pPr>
        <w:spacing w:after="100"/>
        <w:rPr>
          <w:b/>
          <w:bCs/>
          <w:sz w:val="28"/>
          <w:szCs w:val="28"/>
        </w:rPr>
      </w:pPr>
    </w:p>
    <w:p w14:paraId="21EB5048" w14:textId="77777777" w:rsidR="00502886" w:rsidRDefault="00502886" w:rsidP="00BC399A">
      <w:pPr>
        <w:spacing w:after="100"/>
        <w:rPr>
          <w:b/>
          <w:bCs/>
          <w:sz w:val="28"/>
          <w:szCs w:val="28"/>
        </w:rPr>
      </w:pPr>
    </w:p>
    <w:p w14:paraId="7E68CADA" w14:textId="77777777" w:rsidR="00502886" w:rsidRDefault="00502886" w:rsidP="00BC399A">
      <w:pPr>
        <w:spacing w:after="100"/>
        <w:rPr>
          <w:b/>
          <w:bCs/>
          <w:sz w:val="28"/>
          <w:szCs w:val="28"/>
        </w:rPr>
      </w:pPr>
    </w:p>
    <w:p w14:paraId="14BD3C65" w14:textId="77777777" w:rsidR="00502886" w:rsidRDefault="00502886" w:rsidP="00BC399A">
      <w:pPr>
        <w:spacing w:after="100"/>
        <w:rPr>
          <w:b/>
          <w:bCs/>
          <w:sz w:val="28"/>
          <w:szCs w:val="28"/>
        </w:rPr>
      </w:pPr>
    </w:p>
    <w:p w14:paraId="58E53101" w14:textId="77777777" w:rsidR="00502886" w:rsidRDefault="00502886" w:rsidP="00BC399A">
      <w:pPr>
        <w:spacing w:after="100"/>
        <w:rPr>
          <w:b/>
          <w:bCs/>
          <w:sz w:val="28"/>
          <w:szCs w:val="28"/>
        </w:rPr>
      </w:pPr>
    </w:p>
    <w:p w14:paraId="716EC1B3" w14:textId="77777777" w:rsidR="00502886" w:rsidRDefault="00502886" w:rsidP="00BC399A">
      <w:pPr>
        <w:spacing w:after="100"/>
        <w:rPr>
          <w:b/>
          <w:bCs/>
          <w:sz w:val="28"/>
          <w:szCs w:val="28"/>
        </w:rPr>
      </w:pPr>
    </w:p>
    <w:p w14:paraId="34D35EDF" w14:textId="77777777" w:rsidR="00502886" w:rsidRDefault="00502886" w:rsidP="00BC399A">
      <w:pPr>
        <w:spacing w:after="100"/>
        <w:rPr>
          <w:b/>
          <w:bCs/>
          <w:sz w:val="28"/>
          <w:szCs w:val="28"/>
        </w:rPr>
      </w:pPr>
    </w:p>
    <w:p w14:paraId="00D6A5BA" w14:textId="77777777" w:rsidR="00502886" w:rsidRDefault="00502886" w:rsidP="00BC399A">
      <w:pPr>
        <w:spacing w:after="100"/>
        <w:rPr>
          <w:b/>
          <w:bCs/>
          <w:sz w:val="28"/>
          <w:szCs w:val="28"/>
        </w:rPr>
      </w:pPr>
    </w:p>
    <w:p w14:paraId="3822071D" w14:textId="77777777" w:rsidR="00502886" w:rsidRDefault="00502886" w:rsidP="00BC399A">
      <w:pPr>
        <w:spacing w:after="100"/>
        <w:rPr>
          <w:b/>
          <w:bCs/>
          <w:sz w:val="28"/>
          <w:szCs w:val="28"/>
        </w:rPr>
      </w:pPr>
    </w:p>
    <w:p w14:paraId="677DEAFF" w14:textId="77777777" w:rsidR="00502886" w:rsidRDefault="00502886" w:rsidP="00BC399A">
      <w:pPr>
        <w:spacing w:after="100"/>
        <w:rPr>
          <w:b/>
          <w:bCs/>
          <w:sz w:val="28"/>
          <w:szCs w:val="28"/>
        </w:rPr>
      </w:pPr>
    </w:p>
    <w:p w14:paraId="5F965963" w14:textId="77777777" w:rsidR="00502886" w:rsidRDefault="00502886" w:rsidP="00BC399A">
      <w:pPr>
        <w:spacing w:after="100"/>
        <w:rPr>
          <w:b/>
          <w:bCs/>
          <w:sz w:val="28"/>
          <w:szCs w:val="28"/>
        </w:rPr>
      </w:pPr>
    </w:p>
    <w:p w14:paraId="67364F7F" w14:textId="77777777" w:rsidR="007123E7" w:rsidRDefault="007123E7">
      <w:pPr>
        <w:rPr>
          <w:b/>
          <w:bCs/>
          <w:sz w:val="28"/>
          <w:szCs w:val="28"/>
        </w:rPr>
      </w:pPr>
      <w:r>
        <w:rPr>
          <w:b/>
          <w:bCs/>
          <w:sz w:val="28"/>
          <w:szCs w:val="28"/>
        </w:rPr>
        <w:br w:type="page"/>
      </w:r>
    </w:p>
    <w:p w14:paraId="63D24777" w14:textId="7ECF066C" w:rsidR="00BC399A" w:rsidRPr="00792B36" w:rsidRDefault="00533A7B" w:rsidP="00BC399A">
      <w:pPr>
        <w:spacing w:after="100"/>
        <w:rPr>
          <w:b/>
          <w:bCs/>
          <w:sz w:val="28"/>
          <w:szCs w:val="28"/>
        </w:rPr>
      </w:pPr>
      <w:r w:rsidRPr="00792B36">
        <w:rPr>
          <w:b/>
          <w:bCs/>
          <w:sz w:val="28"/>
          <w:szCs w:val="28"/>
        </w:rPr>
        <w:lastRenderedPageBreak/>
        <w:t>IV</w:t>
      </w:r>
      <w:r w:rsidR="00BC399A" w:rsidRPr="00792B36">
        <w:rPr>
          <w:b/>
          <w:bCs/>
          <w:sz w:val="28"/>
          <w:szCs w:val="28"/>
        </w:rPr>
        <w:t>. Ecosystems</w:t>
      </w:r>
    </w:p>
    <w:p w14:paraId="14670623" w14:textId="77777777" w:rsidR="00BC399A" w:rsidRPr="00792B36" w:rsidRDefault="00BC399A" w:rsidP="00BC399A">
      <w:pPr>
        <w:spacing w:after="100"/>
        <w:rPr>
          <w:b/>
          <w:bCs/>
          <w:sz w:val="24"/>
          <w:szCs w:val="24"/>
        </w:rPr>
      </w:pPr>
    </w:p>
    <w:p w14:paraId="5AA3F306" w14:textId="77777777" w:rsidR="00BC399A" w:rsidRPr="00792B36" w:rsidRDefault="00BC399A" w:rsidP="00BC399A">
      <w:pPr>
        <w:spacing w:after="100"/>
        <w:rPr>
          <w:b/>
          <w:bCs/>
          <w:sz w:val="24"/>
          <w:szCs w:val="24"/>
        </w:rPr>
      </w:pPr>
    </w:p>
    <w:p w14:paraId="150C9E30" w14:textId="77777777" w:rsidR="00BC399A" w:rsidRPr="00792B36" w:rsidRDefault="00BC399A" w:rsidP="00BC399A">
      <w:pPr>
        <w:spacing w:after="100"/>
        <w:rPr>
          <w:b/>
          <w:bCs/>
          <w:sz w:val="24"/>
          <w:szCs w:val="24"/>
        </w:rPr>
      </w:pPr>
      <w:r w:rsidRPr="00792B36">
        <w:rPr>
          <w:b/>
          <w:bCs/>
          <w:sz w:val="24"/>
          <w:szCs w:val="24"/>
        </w:rPr>
        <w:t xml:space="preserve">4.1 Key Findings </w:t>
      </w:r>
    </w:p>
    <w:p w14:paraId="201D57E1" w14:textId="77777777" w:rsidR="00BC399A" w:rsidRPr="00792B36" w:rsidRDefault="00BC399A" w:rsidP="00BC399A">
      <w:pPr>
        <w:spacing w:after="100"/>
        <w:ind w:firstLine="720"/>
        <w:jc w:val="thaiDistribute"/>
        <w:rPr>
          <w:sz w:val="24"/>
          <w:szCs w:val="24"/>
        </w:rPr>
      </w:pPr>
      <w:r w:rsidRPr="00792B36">
        <w:rPr>
          <w:sz w:val="24"/>
          <w:szCs w:val="24"/>
        </w:rPr>
        <w:t>Thailand’s coastal and marine ecosystems</w:t>
      </w:r>
      <w:r w:rsidRPr="00792B36">
        <w:rPr>
          <w:sz w:val="24"/>
          <w:szCs w:val="24"/>
          <w:cs/>
        </w:rPr>
        <w:t xml:space="preserve"> </w:t>
      </w:r>
      <w:r w:rsidRPr="00792B36">
        <w:rPr>
          <w:sz w:val="24"/>
          <w:szCs w:val="24"/>
        </w:rPr>
        <w:t>comprising mangroves, coral reefs, and seagrass meadows</w:t>
      </w:r>
      <w:r w:rsidRPr="00792B36">
        <w:rPr>
          <w:sz w:val="24"/>
          <w:szCs w:val="24"/>
          <w:cs/>
        </w:rPr>
        <w:t xml:space="preserve"> </w:t>
      </w:r>
      <w:r w:rsidRPr="00792B36">
        <w:rPr>
          <w:sz w:val="24"/>
          <w:szCs w:val="24"/>
        </w:rPr>
        <w:t>are the foundation of the country’s coastal resilience and blue economy. The assessment across the five focal sites (Welu River Estuary, Bandon Bay, Pak Phanang Bay, Samut Prakan, and Don Hoi Lot) reveals a mosaic of ecological conditions, demonstrating both significant conservation success and persistent management challenges.</w:t>
      </w:r>
    </w:p>
    <w:p w14:paraId="20C10E4F" w14:textId="77777777" w:rsidR="00BC399A" w:rsidRPr="00792B36" w:rsidRDefault="00BC399A" w:rsidP="00BC399A">
      <w:pPr>
        <w:spacing w:after="100"/>
        <w:ind w:firstLine="720"/>
        <w:jc w:val="thaiDistribute"/>
        <w:rPr>
          <w:sz w:val="24"/>
          <w:szCs w:val="24"/>
        </w:rPr>
      </w:pPr>
      <w:r w:rsidRPr="00792B36">
        <w:rPr>
          <w:sz w:val="24"/>
          <w:szCs w:val="24"/>
        </w:rPr>
        <w:t xml:space="preserve">Mangroves occupy approximately 480.7 km² (18.4%) of the total wetland area (2,613.7 km²). The most extensive stands are found in Bandon Bay (255.7 km²) and Pak Phanang Bay (90.0 km²), while smaller but ecologically crucial tracts remain in Samut Prakan and Don Hoi Lot. Species diversity is high (17–30 species), dominated by </w:t>
      </w:r>
      <w:r w:rsidRPr="00792B36">
        <w:rPr>
          <w:i/>
          <w:iCs/>
          <w:sz w:val="24"/>
          <w:szCs w:val="24"/>
        </w:rPr>
        <w:t>Rhizophora apiculata</w:t>
      </w:r>
      <w:r w:rsidRPr="00792B36">
        <w:rPr>
          <w:sz w:val="24"/>
          <w:szCs w:val="24"/>
        </w:rPr>
        <w:t xml:space="preserve">, </w:t>
      </w:r>
      <w:r w:rsidRPr="00792B36">
        <w:rPr>
          <w:i/>
          <w:iCs/>
          <w:sz w:val="24"/>
          <w:szCs w:val="24"/>
        </w:rPr>
        <w:t>R. mucronata</w:t>
      </w:r>
      <w:r w:rsidRPr="00792B36">
        <w:rPr>
          <w:sz w:val="24"/>
          <w:szCs w:val="24"/>
        </w:rPr>
        <w:t xml:space="preserve">, and </w:t>
      </w:r>
      <w:r w:rsidRPr="00792B36">
        <w:rPr>
          <w:i/>
          <w:iCs/>
          <w:sz w:val="24"/>
          <w:szCs w:val="24"/>
        </w:rPr>
        <w:t>Avicennia alba</w:t>
      </w:r>
      <w:r w:rsidRPr="00792B36">
        <w:rPr>
          <w:sz w:val="24"/>
          <w:szCs w:val="24"/>
        </w:rPr>
        <w:t>.</w:t>
      </w:r>
      <w:r w:rsidRPr="00792B36">
        <w:rPr>
          <w:sz w:val="24"/>
          <w:szCs w:val="24"/>
          <w:cs/>
        </w:rPr>
        <w:t xml:space="preserve"> </w:t>
      </w:r>
      <w:r w:rsidRPr="00792B36">
        <w:rPr>
          <w:sz w:val="24"/>
          <w:szCs w:val="24"/>
        </w:rPr>
        <w:t>The occurrence of rare and globally threatened species</w:t>
      </w:r>
      <w:r w:rsidRPr="00792B36">
        <w:rPr>
          <w:sz w:val="24"/>
          <w:szCs w:val="24"/>
          <w:cs/>
        </w:rPr>
        <w:t xml:space="preserve"> </w:t>
      </w:r>
      <w:r w:rsidRPr="00792B36">
        <w:rPr>
          <w:i/>
          <w:iCs/>
          <w:sz w:val="24"/>
          <w:szCs w:val="24"/>
        </w:rPr>
        <w:t>Bruguiera hainesii</w:t>
      </w:r>
      <w:r w:rsidRPr="00792B36">
        <w:rPr>
          <w:sz w:val="24"/>
          <w:szCs w:val="24"/>
        </w:rPr>
        <w:t xml:space="preserve">, </w:t>
      </w:r>
      <w:r w:rsidRPr="00792B36">
        <w:rPr>
          <w:i/>
          <w:iCs/>
          <w:sz w:val="24"/>
          <w:szCs w:val="24"/>
        </w:rPr>
        <w:t>Sonneratia griffithii</w:t>
      </w:r>
      <w:r w:rsidRPr="00792B36">
        <w:rPr>
          <w:sz w:val="24"/>
          <w:szCs w:val="24"/>
        </w:rPr>
        <w:t xml:space="preserve"> (CR), and </w:t>
      </w:r>
      <w:r w:rsidRPr="00792B36">
        <w:rPr>
          <w:i/>
          <w:iCs/>
          <w:sz w:val="24"/>
          <w:szCs w:val="24"/>
        </w:rPr>
        <w:t>Heritiera fomes</w:t>
      </w:r>
      <w:r w:rsidRPr="00792B36">
        <w:rPr>
          <w:sz w:val="24"/>
          <w:szCs w:val="24"/>
        </w:rPr>
        <w:t xml:space="preserve"> (EN)</w:t>
      </w:r>
      <w:r w:rsidRPr="00792B36">
        <w:rPr>
          <w:sz w:val="24"/>
          <w:szCs w:val="24"/>
          <w:cs/>
        </w:rPr>
        <w:t xml:space="preserve"> </w:t>
      </w:r>
      <w:r w:rsidRPr="00792B36">
        <w:rPr>
          <w:sz w:val="24"/>
          <w:szCs w:val="24"/>
        </w:rPr>
        <w:t>underscores Thailand’s international conservation importance.</w:t>
      </w:r>
      <w:r w:rsidRPr="00792B36">
        <w:rPr>
          <w:sz w:val="24"/>
          <w:szCs w:val="24"/>
          <w:cs/>
        </w:rPr>
        <w:t xml:space="preserve"> </w:t>
      </w:r>
      <w:r w:rsidRPr="00792B36">
        <w:rPr>
          <w:sz w:val="24"/>
          <w:szCs w:val="24"/>
        </w:rPr>
        <w:t>Mangrove condition varies by site: natural and well-conserved (&gt;65%) in Pak Phanang and Don Hoi Lot, but moderately managed (~47%) in Welu. Restoration and replanting programs led by DMCR and community networks have successfully reversed historic declines (up to 60% loss since the 1970s). These areas now provide vital shoreline stabilization, nursery habitats, and substantial blue carbon storage, with estimated carbon stocks of 0.25–2 million tonnes C per site.</w:t>
      </w:r>
    </w:p>
    <w:p w14:paraId="294EAFB0" w14:textId="77777777" w:rsidR="00BC399A" w:rsidRPr="00792B36" w:rsidRDefault="00BC399A" w:rsidP="00BC399A">
      <w:pPr>
        <w:spacing w:after="100"/>
        <w:ind w:firstLine="720"/>
        <w:jc w:val="thaiDistribute"/>
        <w:rPr>
          <w:sz w:val="24"/>
          <w:szCs w:val="24"/>
        </w:rPr>
      </w:pPr>
      <w:r w:rsidRPr="00792B36">
        <w:rPr>
          <w:sz w:val="24"/>
          <w:szCs w:val="24"/>
        </w:rPr>
        <w:t>Coral reefs show strong spatial contrasts between offshore and nearshore conditions. Offshore reefs at Koh Losin (69.5% live coral) and Koh Tao (61.3%) are in good to excellent condition, characterized by high biodiversity, complex reef structures, and strong tourism potential.</w:t>
      </w:r>
      <w:r w:rsidRPr="00792B36">
        <w:rPr>
          <w:sz w:val="24"/>
          <w:szCs w:val="24"/>
          <w:cs/>
        </w:rPr>
        <w:t xml:space="preserve"> </w:t>
      </w:r>
      <w:r w:rsidRPr="00792B36">
        <w:rPr>
          <w:sz w:val="24"/>
          <w:szCs w:val="24"/>
        </w:rPr>
        <w:t>In contrast, nearshore reefs such as Koh Kood, Koh Mak, and Koh Si Chang exhibit moderate degradation (29–39% live coral) from sedimentation, nutrient loading, and recreational impacts. Dominant massive coral forms (</w:t>
      </w:r>
      <w:r w:rsidRPr="00792B36">
        <w:rPr>
          <w:i/>
          <w:iCs/>
          <w:sz w:val="24"/>
          <w:szCs w:val="24"/>
        </w:rPr>
        <w:t>Porites</w:t>
      </w:r>
      <w:r w:rsidRPr="00792B36">
        <w:rPr>
          <w:sz w:val="24"/>
          <w:szCs w:val="24"/>
        </w:rPr>
        <w:t xml:space="preserve">, </w:t>
      </w:r>
      <w:r w:rsidRPr="00792B36">
        <w:rPr>
          <w:i/>
          <w:iCs/>
          <w:sz w:val="24"/>
          <w:szCs w:val="24"/>
        </w:rPr>
        <w:t>Dipsastraea</w:t>
      </w:r>
      <w:r w:rsidRPr="00792B36">
        <w:rPr>
          <w:sz w:val="24"/>
          <w:szCs w:val="24"/>
        </w:rPr>
        <w:t xml:space="preserve">, </w:t>
      </w:r>
      <w:r w:rsidRPr="00792B36">
        <w:rPr>
          <w:i/>
          <w:iCs/>
          <w:sz w:val="24"/>
          <w:szCs w:val="24"/>
        </w:rPr>
        <w:t>Platygyra</w:t>
      </w:r>
      <w:r w:rsidRPr="00792B36">
        <w:rPr>
          <w:sz w:val="24"/>
          <w:szCs w:val="24"/>
        </w:rPr>
        <w:t>) indicate structural resilience, yet recurrent bleaching events and land-based runoff continue to suppress recovery rates.</w:t>
      </w:r>
      <w:r w:rsidRPr="00792B36">
        <w:rPr>
          <w:sz w:val="24"/>
          <w:szCs w:val="24"/>
          <w:cs/>
        </w:rPr>
        <w:t xml:space="preserve"> </w:t>
      </w:r>
      <w:r w:rsidRPr="00792B36">
        <w:rPr>
          <w:sz w:val="24"/>
          <w:szCs w:val="24"/>
        </w:rPr>
        <w:t>Offshore pinnacles in Chumphon Province host diverse coral assemblages (55–68% live cover) and function as key larval source zones linking shallow and deep reef habitats, suggesting high ecological connectivity and potential for inclusion in OECM networks.</w:t>
      </w:r>
    </w:p>
    <w:p w14:paraId="4AB6B540" w14:textId="77777777" w:rsidR="00BC399A" w:rsidRPr="00792B36" w:rsidRDefault="00BC399A" w:rsidP="00BC399A">
      <w:pPr>
        <w:spacing w:after="100"/>
        <w:ind w:firstLine="720"/>
        <w:jc w:val="thaiDistribute"/>
        <w:rPr>
          <w:sz w:val="24"/>
          <w:szCs w:val="24"/>
        </w:rPr>
      </w:pPr>
      <w:r w:rsidRPr="00792B36">
        <w:rPr>
          <w:sz w:val="24"/>
          <w:szCs w:val="24"/>
        </w:rPr>
        <w:t xml:space="preserve">Seagrass cover roughly 25 km², concentrated in Bandon Bay (12.74 km²) and Chumphon (11.64 km²). Dominant species include </w:t>
      </w:r>
      <w:r w:rsidRPr="00792B36">
        <w:rPr>
          <w:i/>
          <w:iCs/>
          <w:sz w:val="24"/>
          <w:szCs w:val="24"/>
        </w:rPr>
        <w:t>Enhalus acoroides</w:t>
      </w:r>
      <w:r w:rsidRPr="00792B36">
        <w:rPr>
          <w:sz w:val="24"/>
          <w:szCs w:val="24"/>
        </w:rPr>
        <w:t xml:space="preserve">, </w:t>
      </w:r>
      <w:r w:rsidRPr="00792B36">
        <w:rPr>
          <w:i/>
          <w:iCs/>
          <w:sz w:val="24"/>
          <w:szCs w:val="24"/>
        </w:rPr>
        <w:t>Thalassia hemprichii</w:t>
      </w:r>
      <w:r w:rsidRPr="00792B36">
        <w:rPr>
          <w:sz w:val="24"/>
          <w:szCs w:val="24"/>
        </w:rPr>
        <w:t xml:space="preserve">, </w:t>
      </w:r>
      <w:r w:rsidRPr="00792B36">
        <w:rPr>
          <w:i/>
          <w:iCs/>
          <w:sz w:val="24"/>
          <w:szCs w:val="24"/>
        </w:rPr>
        <w:t>Halodule uninervis</w:t>
      </w:r>
      <w:r w:rsidRPr="00792B36">
        <w:rPr>
          <w:sz w:val="24"/>
          <w:szCs w:val="24"/>
        </w:rPr>
        <w:t xml:space="preserve">, and </w:t>
      </w:r>
      <w:r w:rsidRPr="00792B36">
        <w:rPr>
          <w:i/>
          <w:iCs/>
          <w:sz w:val="24"/>
          <w:szCs w:val="24"/>
        </w:rPr>
        <w:t>Halophila ovalis</w:t>
      </w:r>
      <w:r w:rsidRPr="00792B36">
        <w:rPr>
          <w:sz w:val="24"/>
          <w:szCs w:val="24"/>
        </w:rPr>
        <w:t>. These habitats serve as critical nurseries for juvenile fish and crustaceans, feeding grounds for dugongs, and major carbon sinks with high productivity and sediment stabilization capacity.</w:t>
      </w:r>
      <w:r w:rsidRPr="00792B36">
        <w:rPr>
          <w:sz w:val="24"/>
          <w:szCs w:val="24"/>
        </w:rPr>
        <w:br/>
        <w:t>Despite their importance, seagrass meadows remain vulnerable to turbidity, nutrient runoff, boat anchoring, and coastal reclamation, leading to habitat fragmentation and loss of connectivity with coral and mangrove systems. The Bandon Bay complex, however, remains a national model for blue carbon monitoring and community-based restoration.</w:t>
      </w:r>
    </w:p>
    <w:p w14:paraId="5E542892" w14:textId="77777777" w:rsidR="00BC399A" w:rsidRPr="00792B36" w:rsidRDefault="00BC399A" w:rsidP="00BC399A">
      <w:pPr>
        <w:spacing w:after="100"/>
        <w:ind w:firstLine="720"/>
        <w:jc w:val="thaiDistribute"/>
        <w:rPr>
          <w:sz w:val="24"/>
          <w:szCs w:val="24"/>
        </w:rPr>
      </w:pPr>
      <w:r w:rsidRPr="00792B36">
        <w:rPr>
          <w:sz w:val="24"/>
          <w:szCs w:val="24"/>
        </w:rPr>
        <w:t>The interconnected ecosystems of mangroves, coral reefs, and seagrasses face multiple cumulative pressures:</w:t>
      </w:r>
    </w:p>
    <w:p w14:paraId="5DA55E73" w14:textId="77777777" w:rsidR="00BC399A" w:rsidRPr="00792B36" w:rsidRDefault="00BC399A" w:rsidP="00F61B37">
      <w:pPr>
        <w:widowControl/>
        <w:numPr>
          <w:ilvl w:val="0"/>
          <w:numId w:val="111"/>
        </w:numPr>
        <w:spacing w:after="100"/>
        <w:jc w:val="thaiDistribute"/>
        <w:rPr>
          <w:sz w:val="24"/>
          <w:szCs w:val="24"/>
        </w:rPr>
      </w:pPr>
      <w:r w:rsidRPr="00792B36">
        <w:rPr>
          <w:sz w:val="24"/>
          <w:szCs w:val="24"/>
        </w:rPr>
        <w:lastRenderedPageBreak/>
        <w:t>Aquaculture expansion and urbanization causing habitat conversion.</w:t>
      </w:r>
    </w:p>
    <w:p w14:paraId="2C2553D2" w14:textId="77777777" w:rsidR="00BC399A" w:rsidRPr="00792B36" w:rsidRDefault="00BC399A" w:rsidP="00F61B37">
      <w:pPr>
        <w:widowControl/>
        <w:numPr>
          <w:ilvl w:val="0"/>
          <w:numId w:val="111"/>
        </w:numPr>
        <w:spacing w:after="100"/>
        <w:jc w:val="thaiDistribute"/>
        <w:rPr>
          <w:sz w:val="24"/>
          <w:szCs w:val="24"/>
        </w:rPr>
      </w:pPr>
      <w:r w:rsidRPr="00792B36">
        <w:rPr>
          <w:sz w:val="24"/>
          <w:szCs w:val="24"/>
        </w:rPr>
        <w:t>Eutrophication and chemical pollution degrading coral and seagrass habitats.</w:t>
      </w:r>
    </w:p>
    <w:p w14:paraId="2F0D644D" w14:textId="77777777" w:rsidR="00BC399A" w:rsidRPr="00792B36" w:rsidRDefault="00BC399A" w:rsidP="00F61B37">
      <w:pPr>
        <w:widowControl/>
        <w:numPr>
          <w:ilvl w:val="0"/>
          <w:numId w:val="111"/>
        </w:numPr>
        <w:spacing w:after="100"/>
        <w:jc w:val="thaiDistribute"/>
        <w:rPr>
          <w:sz w:val="24"/>
          <w:szCs w:val="24"/>
        </w:rPr>
      </w:pPr>
      <w:r w:rsidRPr="00792B36">
        <w:rPr>
          <w:sz w:val="24"/>
          <w:szCs w:val="24"/>
        </w:rPr>
        <w:t>Coastal erosion and climate-driven sea-level rise impacting mangrove zonation.</w:t>
      </w:r>
    </w:p>
    <w:p w14:paraId="2FCD9C9D" w14:textId="77777777" w:rsidR="00BC399A" w:rsidRPr="00792B36" w:rsidRDefault="00BC399A" w:rsidP="00F61B37">
      <w:pPr>
        <w:widowControl/>
        <w:numPr>
          <w:ilvl w:val="0"/>
          <w:numId w:val="111"/>
        </w:numPr>
        <w:spacing w:after="100"/>
        <w:jc w:val="thaiDistribute"/>
        <w:rPr>
          <w:sz w:val="24"/>
          <w:szCs w:val="24"/>
        </w:rPr>
      </w:pPr>
      <w:r w:rsidRPr="00792B36">
        <w:rPr>
          <w:sz w:val="24"/>
          <w:szCs w:val="24"/>
        </w:rPr>
        <w:t>Thermal anomalies and bleaching events reducing coral diversity and cover.</w:t>
      </w:r>
      <w:r w:rsidRPr="00792B36">
        <w:rPr>
          <w:sz w:val="24"/>
          <w:szCs w:val="24"/>
        </w:rPr>
        <w:br/>
        <w:t>These stressors collectively weaken ecological connectivity and reduce ecosystem resilience, particularly where watershed–coast interactions remain unmanaged. Integrated land–sea governance and pollution control are therefore critical to sustaining ecosystem functions.</w:t>
      </w:r>
    </w:p>
    <w:p w14:paraId="7DFE072D" w14:textId="77777777" w:rsidR="00BC399A" w:rsidRPr="00792B36" w:rsidRDefault="00BC399A" w:rsidP="00BC399A">
      <w:pPr>
        <w:spacing w:after="100"/>
        <w:ind w:firstLine="720"/>
        <w:jc w:val="thaiDistribute"/>
        <w:rPr>
          <w:sz w:val="24"/>
          <w:szCs w:val="24"/>
        </w:rPr>
      </w:pPr>
      <w:r w:rsidRPr="00792B36">
        <w:rPr>
          <w:sz w:val="24"/>
          <w:szCs w:val="24"/>
        </w:rPr>
        <w:t>Ecosystem Services and Blue Economy Contribution:</w:t>
      </w:r>
      <w:r w:rsidRPr="00792B36">
        <w:rPr>
          <w:sz w:val="24"/>
          <w:szCs w:val="24"/>
          <w:cs/>
        </w:rPr>
        <w:t xml:space="preserve"> </w:t>
      </w:r>
      <w:r w:rsidRPr="00792B36">
        <w:rPr>
          <w:sz w:val="24"/>
          <w:szCs w:val="24"/>
        </w:rPr>
        <w:t>Combined annual ecosystem service values across the focal sites are estimated at US$17–32 million per site, encompassing fisheries, tourism, shoreline protection, and carbon storage.</w:t>
      </w:r>
    </w:p>
    <w:p w14:paraId="156648E1" w14:textId="77777777" w:rsidR="00BC399A" w:rsidRPr="00792B36" w:rsidRDefault="00BC399A" w:rsidP="00F61B37">
      <w:pPr>
        <w:widowControl/>
        <w:numPr>
          <w:ilvl w:val="0"/>
          <w:numId w:val="113"/>
        </w:numPr>
        <w:spacing w:after="100"/>
        <w:jc w:val="thaiDistribute"/>
        <w:rPr>
          <w:sz w:val="24"/>
          <w:szCs w:val="24"/>
        </w:rPr>
      </w:pPr>
      <w:r w:rsidRPr="00792B36">
        <w:rPr>
          <w:sz w:val="24"/>
          <w:szCs w:val="24"/>
        </w:rPr>
        <w:t>Mangroves and seagrass meadows contribute significantly to blue carbon markets through measurable carbon sequestration.</w:t>
      </w:r>
    </w:p>
    <w:p w14:paraId="10069910" w14:textId="77777777" w:rsidR="00BC399A" w:rsidRPr="00792B36" w:rsidRDefault="00BC399A" w:rsidP="00F61B37">
      <w:pPr>
        <w:widowControl/>
        <w:numPr>
          <w:ilvl w:val="0"/>
          <w:numId w:val="113"/>
        </w:numPr>
        <w:spacing w:after="100"/>
        <w:jc w:val="thaiDistribute"/>
        <w:rPr>
          <w:sz w:val="24"/>
          <w:szCs w:val="24"/>
        </w:rPr>
      </w:pPr>
      <w:r w:rsidRPr="00792B36">
        <w:rPr>
          <w:sz w:val="24"/>
          <w:szCs w:val="24"/>
        </w:rPr>
        <w:t>Coral reefs support marine tourism, biodiversity conservation, and fisheries productivity.</w:t>
      </w:r>
    </w:p>
    <w:p w14:paraId="682AAC90" w14:textId="77777777" w:rsidR="00BC399A" w:rsidRPr="00792B36" w:rsidRDefault="00BC399A" w:rsidP="00BC399A">
      <w:pPr>
        <w:spacing w:after="100"/>
        <w:ind w:firstLine="720"/>
        <w:jc w:val="thaiDistribute"/>
        <w:rPr>
          <w:sz w:val="24"/>
          <w:szCs w:val="24"/>
        </w:rPr>
      </w:pPr>
      <w:r w:rsidRPr="00792B36">
        <w:rPr>
          <w:sz w:val="24"/>
          <w:szCs w:val="24"/>
        </w:rPr>
        <w:t>Estimated blue carbon storage ranges from 0.25 to 2 million tonnes of carbon (C) per site, underscoring their critical role in Thailand’s climate mitigation commitments.</w:t>
      </w:r>
    </w:p>
    <w:p w14:paraId="482B0187" w14:textId="77777777" w:rsidR="00BC399A" w:rsidRPr="00792B36" w:rsidRDefault="00BC399A" w:rsidP="00BC399A">
      <w:pPr>
        <w:spacing w:after="100"/>
        <w:ind w:firstLine="720"/>
        <w:rPr>
          <w:sz w:val="24"/>
          <w:szCs w:val="24"/>
        </w:rPr>
      </w:pPr>
      <w:r w:rsidRPr="00792B36">
        <w:rPr>
          <w:sz w:val="24"/>
          <w:szCs w:val="24"/>
        </w:rPr>
        <w:t>Thailand’s progress in mangrove rehabilitation, coral restoration, and seagrass monitoring demonstrates a strong foundation for Integrated Coastal Management (ICM) and Nature-based Solutions (NbS). However, management fragmentation and enforcement gaps persist.</w:t>
      </w:r>
      <w:r w:rsidRPr="00792B36">
        <w:rPr>
          <w:sz w:val="24"/>
          <w:szCs w:val="24"/>
          <w:cs/>
        </w:rPr>
        <w:t xml:space="preserve"> </w:t>
      </w:r>
      <w:r w:rsidRPr="00792B36">
        <w:rPr>
          <w:sz w:val="24"/>
          <w:szCs w:val="24"/>
        </w:rPr>
        <w:t>To ensure long-term ecosystem resilience and socio-economic benefits, Thailand should:</w:t>
      </w:r>
    </w:p>
    <w:p w14:paraId="34E6837E" w14:textId="77777777" w:rsidR="00BC399A" w:rsidRPr="00792B36" w:rsidRDefault="00BC399A" w:rsidP="00F61B37">
      <w:pPr>
        <w:widowControl/>
        <w:numPr>
          <w:ilvl w:val="0"/>
          <w:numId w:val="112"/>
        </w:numPr>
        <w:tabs>
          <w:tab w:val="clear" w:pos="1080"/>
          <w:tab w:val="num" w:pos="720"/>
        </w:tabs>
        <w:spacing w:after="100"/>
        <w:jc w:val="thaiDistribute"/>
        <w:rPr>
          <w:sz w:val="24"/>
          <w:szCs w:val="24"/>
        </w:rPr>
      </w:pPr>
      <w:r w:rsidRPr="00792B36">
        <w:rPr>
          <w:sz w:val="24"/>
          <w:szCs w:val="24"/>
        </w:rPr>
        <w:t>Strengthen institutional coordination among DMCR, DNP, DOF, and provincial agencies.</w:t>
      </w:r>
    </w:p>
    <w:p w14:paraId="0A4F3E63" w14:textId="77777777" w:rsidR="00BC399A" w:rsidRPr="00792B36" w:rsidRDefault="00BC399A" w:rsidP="00F61B37">
      <w:pPr>
        <w:widowControl/>
        <w:numPr>
          <w:ilvl w:val="0"/>
          <w:numId w:val="112"/>
        </w:numPr>
        <w:tabs>
          <w:tab w:val="clear" w:pos="1080"/>
          <w:tab w:val="num" w:pos="720"/>
        </w:tabs>
        <w:spacing w:after="100"/>
        <w:jc w:val="thaiDistribute"/>
        <w:rPr>
          <w:sz w:val="24"/>
          <w:szCs w:val="24"/>
        </w:rPr>
      </w:pPr>
      <w:r w:rsidRPr="00792B36">
        <w:rPr>
          <w:sz w:val="24"/>
          <w:szCs w:val="24"/>
        </w:rPr>
        <w:t>Scale up blue carbon initiatives and establish verified carbon credit schemes.</w:t>
      </w:r>
    </w:p>
    <w:p w14:paraId="1D1905A1" w14:textId="77777777" w:rsidR="00BC399A" w:rsidRPr="00792B36" w:rsidRDefault="00BC399A" w:rsidP="00F61B37">
      <w:pPr>
        <w:widowControl/>
        <w:numPr>
          <w:ilvl w:val="0"/>
          <w:numId w:val="112"/>
        </w:numPr>
        <w:tabs>
          <w:tab w:val="clear" w:pos="1080"/>
          <w:tab w:val="num" w:pos="720"/>
        </w:tabs>
        <w:spacing w:after="100"/>
        <w:jc w:val="thaiDistribute"/>
        <w:rPr>
          <w:sz w:val="24"/>
          <w:szCs w:val="24"/>
        </w:rPr>
      </w:pPr>
      <w:r w:rsidRPr="00792B36">
        <w:rPr>
          <w:sz w:val="24"/>
          <w:szCs w:val="24"/>
        </w:rPr>
        <w:t>Integrate land–sea connectivity into watershed planning and coastal zoning.</w:t>
      </w:r>
    </w:p>
    <w:p w14:paraId="63F9A4AA" w14:textId="77777777" w:rsidR="00BC399A" w:rsidRPr="00792B36" w:rsidRDefault="00BC399A" w:rsidP="00F61B37">
      <w:pPr>
        <w:widowControl/>
        <w:numPr>
          <w:ilvl w:val="0"/>
          <w:numId w:val="112"/>
        </w:numPr>
        <w:tabs>
          <w:tab w:val="clear" w:pos="1080"/>
          <w:tab w:val="num" w:pos="720"/>
        </w:tabs>
        <w:spacing w:after="100"/>
        <w:jc w:val="thaiDistribute"/>
        <w:rPr>
          <w:sz w:val="24"/>
          <w:szCs w:val="24"/>
        </w:rPr>
      </w:pPr>
      <w:r w:rsidRPr="00792B36">
        <w:rPr>
          <w:sz w:val="24"/>
          <w:szCs w:val="24"/>
        </w:rPr>
        <w:t>Expand OECM and community-based restoration programs to enhance local stewardship.</w:t>
      </w:r>
    </w:p>
    <w:p w14:paraId="7B2EE9EB" w14:textId="77777777" w:rsidR="00BC399A" w:rsidRPr="00792B36" w:rsidRDefault="00BC399A" w:rsidP="00F61B37">
      <w:pPr>
        <w:widowControl/>
        <w:numPr>
          <w:ilvl w:val="0"/>
          <w:numId w:val="112"/>
        </w:numPr>
        <w:tabs>
          <w:tab w:val="clear" w:pos="1080"/>
          <w:tab w:val="num" w:pos="720"/>
        </w:tabs>
        <w:spacing w:after="100"/>
        <w:jc w:val="thaiDistribute"/>
        <w:rPr>
          <w:sz w:val="24"/>
          <w:szCs w:val="24"/>
        </w:rPr>
      </w:pPr>
      <w:r w:rsidRPr="00792B36">
        <w:rPr>
          <w:sz w:val="24"/>
          <w:szCs w:val="24"/>
        </w:rPr>
        <w:t>Mobilize sustainable financing through eco-certification, community ecotourism, and payment for ecosystem services (PES).</w:t>
      </w:r>
    </w:p>
    <w:p w14:paraId="51D0C63E" w14:textId="77777777" w:rsidR="00BC399A" w:rsidRPr="00792B36" w:rsidRDefault="00BC399A" w:rsidP="00BC399A">
      <w:pPr>
        <w:spacing w:after="100"/>
        <w:ind w:firstLine="360"/>
        <w:jc w:val="thaiDistribute"/>
        <w:rPr>
          <w:sz w:val="24"/>
          <w:szCs w:val="24"/>
        </w:rPr>
      </w:pPr>
      <w:r w:rsidRPr="00792B36">
        <w:rPr>
          <w:sz w:val="24"/>
          <w:szCs w:val="24"/>
        </w:rPr>
        <w:t>Thailand’s coastal ecosystems collectively represent a living natural infrastructure supporting biodiversity, food security, and climate resilience. By linking science-based management, community participation, and sustainable financing, Thailand can solidify its leadership in the ASEAN region under global frameworks such as the Ramsar Convention, BBNJ Agreement, and UN SDGs 13, 14, and 15</w:t>
      </w:r>
      <w:r w:rsidRPr="00792B36">
        <w:rPr>
          <w:sz w:val="24"/>
          <w:szCs w:val="24"/>
          <w:cs/>
        </w:rPr>
        <w:t xml:space="preserve"> </w:t>
      </w:r>
      <w:r w:rsidRPr="00792B36">
        <w:rPr>
          <w:sz w:val="24"/>
          <w:szCs w:val="24"/>
        </w:rPr>
        <w:t>advancing a nature-positive, climate-resilient, and inclusive blue economy.</w:t>
      </w:r>
    </w:p>
    <w:p w14:paraId="7BF4F940" w14:textId="77777777" w:rsidR="00BC399A" w:rsidRPr="00792B36" w:rsidRDefault="00BC399A" w:rsidP="00BC399A">
      <w:pPr>
        <w:spacing w:after="100"/>
        <w:ind w:firstLine="360"/>
        <w:jc w:val="thaiDistribute"/>
        <w:rPr>
          <w:sz w:val="24"/>
          <w:szCs w:val="24"/>
        </w:rPr>
      </w:pPr>
    </w:p>
    <w:p w14:paraId="51522BB0" w14:textId="77777777" w:rsidR="00BC399A" w:rsidRPr="00792B36" w:rsidRDefault="00BC399A" w:rsidP="00BC399A">
      <w:pPr>
        <w:spacing w:after="100"/>
        <w:rPr>
          <w:b/>
          <w:bCs/>
          <w:sz w:val="24"/>
          <w:szCs w:val="24"/>
        </w:rPr>
      </w:pPr>
      <w:r w:rsidRPr="00792B36">
        <w:rPr>
          <w:b/>
          <w:bCs/>
          <w:sz w:val="24"/>
          <w:szCs w:val="24"/>
        </w:rPr>
        <w:t>4.2 Current status by ecosystem and by indicator group</w:t>
      </w:r>
    </w:p>
    <w:p w14:paraId="5862DFBE" w14:textId="77777777" w:rsidR="00BC399A" w:rsidRPr="00792B36" w:rsidRDefault="00BC399A" w:rsidP="00BC399A">
      <w:pPr>
        <w:spacing w:after="100"/>
        <w:ind w:firstLine="720"/>
        <w:rPr>
          <w:b/>
          <w:bCs/>
          <w:sz w:val="24"/>
          <w:szCs w:val="24"/>
        </w:rPr>
      </w:pPr>
      <w:r w:rsidRPr="00792B36">
        <w:rPr>
          <w:b/>
          <w:bCs/>
          <w:sz w:val="24"/>
          <w:szCs w:val="24"/>
        </w:rPr>
        <w:t xml:space="preserve">4.2.1 Mangroves and Wetlands </w:t>
      </w:r>
    </w:p>
    <w:p w14:paraId="642E6FF0" w14:textId="77777777" w:rsidR="00BC399A" w:rsidRPr="00792B36" w:rsidRDefault="00BC399A" w:rsidP="00BC399A">
      <w:pPr>
        <w:spacing w:after="100"/>
        <w:ind w:firstLine="720"/>
        <w:jc w:val="thaiDistribute"/>
        <w:rPr>
          <w:sz w:val="24"/>
          <w:szCs w:val="24"/>
        </w:rPr>
      </w:pPr>
      <w:r w:rsidRPr="00792B36">
        <w:rPr>
          <w:sz w:val="24"/>
          <w:szCs w:val="24"/>
        </w:rPr>
        <w:t xml:space="preserve">Mangrove and wetland ecosystems along the Gulf of Thailand play a critical </w:t>
      </w:r>
      <w:r w:rsidRPr="00792B36">
        <w:rPr>
          <w:sz w:val="24"/>
          <w:szCs w:val="24"/>
        </w:rPr>
        <w:lastRenderedPageBreak/>
        <w:t>role in sustaining biodiversity, regulating hydrological processes, and supporting coastal livelihoods. The five focal sites</w:t>
      </w:r>
      <w:r w:rsidRPr="00792B36">
        <w:rPr>
          <w:sz w:val="24"/>
          <w:szCs w:val="24"/>
          <w:cs/>
        </w:rPr>
        <w:t xml:space="preserve"> </w:t>
      </w:r>
      <w:r w:rsidRPr="00792B36">
        <w:rPr>
          <w:sz w:val="24"/>
          <w:szCs w:val="24"/>
        </w:rPr>
        <w:t>Welu River Estuary, Bandon Bay, Pak Phanang Bay, Samut Prakan, and Don Hoi Lot</w:t>
      </w:r>
      <w:r w:rsidRPr="00792B36">
        <w:rPr>
          <w:sz w:val="24"/>
          <w:szCs w:val="24"/>
          <w:cs/>
        </w:rPr>
        <w:t xml:space="preserve"> </w:t>
      </w:r>
      <w:r w:rsidRPr="00792B36">
        <w:rPr>
          <w:sz w:val="24"/>
          <w:szCs w:val="24"/>
        </w:rPr>
        <w:t>illustrate the diversity of Thailand’s coastal landscapes, from industrialized estuaries to intact Ramsar-listed wetlands. Together they cover 2,613.68 km², including 480.69 km² of mangroves, accounting for 18.4% of total wetland area. These ecosystems provide multifunctional services, including nursery grounds for fisheries, shoreline stabilization, carbon sequestration, and cultural values for local communities. Their overall health, however, varies widely according to the degree of human influence, catchment management, and conservation policy enforcement.</w:t>
      </w:r>
    </w:p>
    <w:p w14:paraId="648923F3" w14:textId="77777777" w:rsidR="00BC399A" w:rsidRPr="00792B36" w:rsidRDefault="00BC399A" w:rsidP="00BC399A">
      <w:pPr>
        <w:spacing w:after="100"/>
        <w:ind w:firstLine="720"/>
        <w:jc w:val="thaiDistribute"/>
        <w:rPr>
          <w:b/>
          <w:bCs/>
          <w:i/>
          <w:iCs/>
          <w:sz w:val="24"/>
          <w:szCs w:val="24"/>
        </w:rPr>
      </w:pPr>
      <w:r w:rsidRPr="00792B36">
        <w:rPr>
          <w:b/>
          <w:bCs/>
          <w:i/>
          <w:iCs/>
          <w:sz w:val="24"/>
          <w:szCs w:val="24"/>
        </w:rPr>
        <w:t>Biological Condition and Diversity</w:t>
      </w:r>
    </w:p>
    <w:p w14:paraId="7C351257" w14:textId="77777777" w:rsidR="00BC399A" w:rsidRPr="00792B36" w:rsidRDefault="00BC399A" w:rsidP="00BC399A">
      <w:pPr>
        <w:spacing w:after="100"/>
        <w:ind w:firstLine="720"/>
        <w:jc w:val="thaiDistribute"/>
        <w:rPr>
          <w:sz w:val="24"/>
          <w:szCs w:val="24"/>
        </w:rPr>
      </w:pPr>
      <w:r w:rsidRPr="00792B36">
        <w:rPr>
          <w:sz w:val="24"/>
          <w:szCs w:val="24"/>
        </w:rPr>
        <w:t>The extent of mangrove forests reflects a gradient of anthropogenic impact:</w:t>
      </w:r>
    </w:p>
    <w:p w14:paraId="1B0D977B" w14:textId="77777777" w:rsidR="00BC399A" w:rsidRPr="00792B36" w:rsidRDefault="00BC399A" w:rsidP="00F61B37">
      <w:pPr>
        <w:widowControl/>
        <w:numPr>
          <w:ilvl w:val="0"/>
          <w:numId w:val="49"/>
        </w:numPr>
        <w:tabs>
          <w:tab w:val="num" w:pos="1701"/>
        </w:tabs>
        <w:spacing w:after="100"/>
        <w:jc w:val="thaiDistribute"/>
        <w:rPr>
          <w:sz w:val="24"/>
          <w:szCs w:val="24"/>
        </w:rPr>
      </w:pPr>
      <w:r w:rsidRPr="00792B36">
        <w:rPr>
          <w:sz w:val="24"/>
          <w:szCs w:val="24"/>
        </w:rPr>
        <w:t>Welu River Estuary: 72.06 km² (52.7% natural; 47.3% managed) under local community reforestation schemes.</w:t>
      </w:r>
    </w:p>
    <w:p w14:paraId="73791788" w14:textId="77777777" w:rsidR="00BC399A" w:rsidRPr="00792B36" w:rsidRDefault="00BC399A" w:rsidP="00F61B37">
      <w:pPr>
        <w:widowControl/>
        <w:numPr>
          <w:ilvl w:val="0"/>
          <w:numId w:val="49"/>
        </w:numPr>
        <w:tabs>
          <w:tab w:val="num" w:pos="1701"/>
        </w:tabs>
        <w:spacing w:after="100"/>
        <w:jc w:val="thaiDistribute"/>
        <w:rPr>
          <w:sz w:val="24"/>
          <w:szCs w:val="24"/>
        </w:rPr>
      </w:pPr>
      <w:r w:rsidRPr="00792B36">
        <w:rPr>
          <w:sz w:val="24"/>
          <w:szCs w:val="24"/>
        </w:rPr>
        <w:t>Bandon Bay: 255.70 km² (63–77.5% natural) interspersed with shrimp ponds and shellfish farms.</w:t>
      </w:r>
    </w:p>
    <w:p w14:paraId="0788B20C" w14:textId="77777777" w:rsidR="00BC399A" w:rsidRPr="00792B36" w:rsidRDefault="00BC399A" w:rsidP="00F61B37">
      <w:pPr>
        <w:widowControl/>
        <w:numPr>
          <w:ilvl w:val="0"/>
          <w:numId w:val="49"/>
        </w:numPr>
        <w:tabs>
          <w:tab w:val="num" w:pos="1701"/>
        </w:tabs>
        <w:spacing w:after="100"/>
        <w:jc w:val="thaiDistribute"/>
        <w:rPr>
          <w:sz w:val="24"/>
          <w:szCs w:val="24"/>
        </w:rPr>
      </w:pPr>
      <w:r w:rsidRPr="00792B36">
        <w:rPr>
          <w:sz w:val="24"/>
          <w:szCs w:val="24"/>
        </w:rPr>
        <w:t>Pak Phanang Bay: 90.00 km² (≥65% natural) in the Lower Songkhla watershed.</w:t>
      </w:r>
    </w:p>
    <w:p w14:paraId="22233095" w14:textId="77777777" w:rsidR="00BC399A" w:rsidRPr="00792B36" w:rsidRDefault="00BC399A" w:rsidP="00F61B37">
      <w:pPr>
        <w:widowControl/>
        <w:numPr>
          <w:ilvl w:val="0"/>
          <w:numId w:val="49"/>
        </w:numPr>
        <w:tabs>
          <w:tab w:val="num" w:pos="1701"/>
        </w:tabs>
        <w:spacing w:after="100"/>
        <w:jc w:val="thaiDistribute"/>
        <w:rPr>
          <w:sz w:val="24"/>
          <w:szCs w:val="24"/>
        </w:rPr>
      </w:pPr>
      <w:r w:rsidRPr="00792B36">
        <w:rPr>
          <w:sz w:val="24"/>
          <w:szCs w:val="24"/>
        </w:rPr>
        <w:t>Samut Prakan: 33.74 km², highly fragmented due to industrial zones and land reclamation.</w:t>
      </w:r>
    </w:p>
    <w:p w14:paraId="3B0B7CC6" w14:textId="77777777" w:rsidR="00BC399A" w:rsidRPr="00792B36" w:rsidRDefault="00BC399A" w:rsidP="00F61B37">
      <w:pPr>
        <w:widowControl/>
        <w:numPr>
          <w:ilvl w:val="0"/>
          <w:numId w:val="49"/>
        </w:numPr>
        <w:tabs>
          <w:tab w:val="num" w:pos="1701"/>
        </w:tabs>
        <w:spacing w:after="100"/>
        <w:jc w:val="thaiDistribute"/>
        <w:rPr>
          <w:sz w:val="24"/>
          <w:szCs w:val="24"/>
        </w:rPr>
      </w:pPr>
      <w:r w:rsidRPr="00792B36">
        <w:rPr>
          <w:sz w:val="24"/>
          <w:szCs w:val="24"/>
        </w:rPr>
        <w:t>Don Hoi Lot: 29.19 km² of largely natural mangrove and mudflat systems forming an ecologically intact Ramsar wetland.</w:t>
      </w:r>
    </w:p>
    <w:p w14:paraId="42BE9E0F" w14:textId="77777777" w:rsidR="00BC399A" w:rsidRPr="00792B36" w:rsidRDefault="00BC399A" w:rsidP="00BC399A">
      <w:pPr>
        <w:spacing w:after="100"/>
        <w:ind w:firstLine="720"/>
        <w:jc w:val="thaiDistribute"/>
        <w:rPr>
          <w:b/>
          <w:bCs/>
          <w:i/>
          <w:iCs/>
          <w:sz w:val="24"/>
          <w:szCs w:val="24"/>
        </w:rPr>
      </w:pPr>
      <w:r w:rsidRPr="00792B36">
        <w:rPr>
          <w:b/>
          <w:bCs/>
          <w:i/>
          <w:iCs/>
          <w:sz w:val="24"/>
          <w:szCs w:val="24"/>
        </w:rPr>
        <w:t>Species Richness</w:t>
      </w:r>
    </w:p>
    <w:p w14:paraId="25C26F08" w14:textId="77777777" w:rsidR="00BC399A" w:rsidRPr="00792B36" w:rsidRDefault="00BC399A" w:rsidP="00BC399A">
      <w:pPr>
        <w:spacing w:after="100"/>
        <w:ind w:firstLine="720"/>
        <w:jc w:val="thaiDistribute"/>
        <w:rPr>
          <w:sz w:val="24"/>
          <w:szCs w:val="24"/>
        </w:rPr>
      </w:pPr>
      <w:r w:rsidRPr="00792B36">
        <w:rPr>
          <w:sz w:val="24"/>
          <w:szCs w:val="24"/>
        </w:rPr>
        <w:t>A total of 30 mangrove species were recorded nationwide.</w:t>
      </w:r>
    </w:p>
    <w:p w14:paraId="2F2A479F" w14:textId="77777777" w:rsidR="00BC399A" w:rsidRPr="00792B36" w:rsidRDefault="00BC399A" w:rsidP="00F61B37">
      <w:pPr>
        <w:widowControl/>
        <w:numPr>
          <w:ilvl w:val="0"/>
          <w:numId w:val="50"/>
        </w:numPr>
        <w:tabs>
          <w:tab w:val="clear" w:pos="1080"/>
          <w:tab w:val="num" w:pos="720"/>
        </w:tabs>
        <w:spacing w:after="100"/>
        <w:jc w:val="thaiDistribute"/>
        <w:rPr>
          <w:sz w:val="24"/>
          <w:szCs w:val="24"/>
        </w:rPr>
      </w:pPr>
      <w:r w:rsidRPr="00792B36">
        <w:rPr>
          <w:sz w:val="24"/>
          <w:szCs w:val="24"/>
        </w:rPr>
        <w:t>Khlong Dan (Samut Prakan) supports 30 species, representing the highest species richness.</w:t>
      </w:r>
    </w:p>
    <w:p w14:paraId="040A5DB5" w14:textId="77777777" w:rsidR="00BC399A" w:rsidRPr="00792B36" w:rsidRDefault="00BC399A" w:rsidP="00F61B37">
      <w:pPr>
        <w:widowControl/>
        <w:numPr>
          <w:ilvl w:val="0"/>
          <w:numId w:val="50"/>
        </w:numPr>
        <w:tabs>
          <w:tab w:val="clear" w:pos="1080"/>
          <w:tab w:val="num" w:pos="720"/>
        </w:tabs>
        <w:spacing w:after="100"/>
        <w:jc w:val="thaiDistribute"/>
        <w:rPr>
          <w:sz w:val="24"/>
          <w:szCs w:val="24"/>
        </w:rPr>
      </w:pPr>
      <w:r w:rsidRPr="00792B36">
        <w:rPr>
          <w:sz w:val="24"/>
          <w:szCs w:val="24"/>
        </w:rPr>
        <w:t>Welu Estuary and Bandon Bay host 24–26 species each.</w:t>
      </w:r>
    </w:p>
    <w:p w14:paraId="1CB98C0C" w14:textId="77777777" w:rsidR="00BC399A" w:rsidRPr="00792B36" w:rsidRDefault="00BC399A" w:rsidP="00F61B37">
      <w:pPr>
        <w:widowControl/>
        <w:numPr>
          <w:ilvl w:val="0"/>
          <w:numId w:val="50"/>
        </w:numPr>
        <w:tabs>
          <w:tab w:val="clear" w:pos="1080"/>
          <w:tab w:val="num" w:pos="720"/>
        </w:tabs>
        <w:spacing w:after="100"/>
        <w:jc w:val="thaiDistribute"/>
        <w:rPr>
          <w:sz w:val="24"/>
          <w:szCs w:val="24"/>
        </w:rPr>
      </w:pPr>
      <w:r w:rsidRPr="00792B36">
        <w:rPr>
          <w:sz w:val="24"/>
          <w:szCs w:val="24"/>
        </w:rPr>
        <w:t xml:space="preserve">Endangered species such as </w:t>
      </w:r>
      <w:r w:rsidRPr="00792B36">
        <w:rPr>
          <w:i/>
          <w:iCs/>
          <w:sz w:val="24"/>
          <w:szCs w:val="24"/>
        </w:rPr>
        <w:t>Bruguiera hainesii</w:t>
      </w:r>
      <w:r w:rsidRPr="00792B36">
        <w:rPr>
          <w:sz w:val="24"/>
          <w:szCs w:val="24"/>
        </w:rPr>
        <w:t xml:space="preserve">, </w:t>
      </w:r>
      <w:r w:rsidRPr="00792B36">
        <w:rPr>
          <w:i/>
          <w:iCs/>
          <w:sz w:val="24"/>
          <w:szCs w:val="24"/>
        </w:rPr>
        <w:t>Sonneratia griffithii</w:t>
      </w:r>
      <w:r w:rsidRPr="00792B36">
        <w:rPr>
          <w:sz w:val="24"/>
          <w:szCs w:val="24"/>
        </w:rPr>
        <w:t xml:space="preserve">, and </w:t>
      </w:r>
      <w:r w:rsidRPr="00792B36">
        <w:rPr>
          <w:i/>
          <w:iCs/>
          <w:sz w:val="24"/>
          <w:szCs w:val="24"/>
        </w:rPr>
        <w:t>Heritiera fomes</w:t>
      </w:r>
      <w:r w:rsidRPr="00792B36">
        <w:rPr>
          <w:sz w:val="24"/>
          <w:szCs w:val="24"/>
        </w:rPr>
        <w:t xml:space="preserve"> highlight the global conservation significance of Thailand’s mangrove flora.</w:t>
      </w:r>
    </w:p>
    <w:p w14:paraId="153E710B" w14:textId="77777777" w:rsidR="00BC399A" w:rsidRPr="00792B36" w:rsidRDefault="00BC399A" w:rsidP="00BC399A">
      <w:pPr>
        <w:spacing w:after="100"/>
        <w:ind w:firstLine="720"/>
        <w:jc w:val="thaiDistribute"/>
        <w:rPr>
          <w:sz w:val="24"/>
          <w:szCs w:val="24"/>
        </w:rPr>
      </w:pPr>
      <w:r w:rsidRPr="00792B36">
        <w:rPr>
          <w:sz w:val="24"/>
          <w:szCs w:val="24"/>
        </w:rPr>
        <w:t xml:space="preserve">The structure is dominated by </w:t>
      </w:r>
      <w:r w:rsidRPr="00792B36">
        <w:rPr>
          <w:i/>
          <w:iCs/>
          <w:sz w:val="24"/>
          <w:szCs w:val="24"/>
        </w:rPr>
        <w:t>Rhizophora apiculata</w:t>
      </w:r>
      <w:r w:rsidRPr="00792B36">
        <w:rPr>
          <w:sz w:val="24"/>
          <w:szCs w:val="24"/>
        </w:rPr>
        <w:t xml:space="preserve">, </w:t>
      </w:r>
      <w:r w:rsidRPr="00792B36">
        <w:rPr>
          <w:i/>
          <w:iCs/>
          <w:sz w:val="24"/>
          <w:szCs w:val="24"/>
        </w:rPr>
        <w:t>R. mucronata</w:t>
      </w:r>
      <w:r w:rsidRPr="00792B36">
        <w:rPr>
          <w:sz w:val="24"/>
          <w:szCs w:val="24"/>
        </w:rPr>
        <w:t xml:space="preserve">, </w:t>
      </w:r>
      <w:r w:rsidRPr="00792B36">
        <w:rPr>
          <w:i/>
          <w:iCs/>
          <w:sz w:val="24"/>
          <w:szCs w:val="24"/>
        </w:rPr>
        <w:t>Avicennia alba</w:t>
      </w:r>
      <w:r w:rsidRPr="00792B36">
        <w:rPr>
          <w:sz w:val="24"/>
          <w:szCs w:val="24"/>
        </w:rPr>
        <w:t xml:space="preserve">, </w:t>
      </w:r>
      <w:r w:rsidRPr="00792B36">
        <w:rPr>
          <w:i/>
          <w:iCs/>
          <w:sz w:val="24"/>
          <w:szCs w:val="24"/>
        </w:rPr>
        <w:t>Lumnitzera racemosa</w:t>
      </w:r>
      <w:r w:rsidRPr="00792B36">
        <w:rPr>
          <w:sz w:val="24"/>
          <w:szCs w:val="24"/>
        </w:rPr>
        <w:t xml:space="preserve">, and </w:t>
      </w:r>
      <w:r w:rsidRPr="00792B36">
        <w:rPr>
          <w:i/>
          <w:iCs/>
          <w:sz w:val="24"/>
          <w:szCs w:val="24"/>
        </w:rPr>
        <w:t>Excoecaria agallocha</w:t>
      </w:r>
      <w:r w:rsidRPr="00792B36">
        <w:rPr>
          <w:sz w:val="24"/>
          <w:szCs w:val="24"/>
        </w:rPr>
        <w:t>. Rooted vegetation provides substrate stability and supports nursery functions for crustaceans and juvenile fish.</w:t>
      </w:r>
    </w:p>
    <w:p w14:paraId="17836DD1" w14:textId="77777777" w:rsidR="00BC399A" w:rsidRPr="00792B36" w:rsidRDefault="00BC399A" w:rsidP="00BC399A">
      <w:pPr>
        <w:spacing w:after="100"/>
        <w:jc w:val="thaiDistribute"/>
        <w:rPr>
          <w:b/>
          <w:bCs/>
          <w:i/>
          <w:iCs/>
          <w:sz w:val="24"/>
          <w:szCs w:val="24"/>
        </w:rPr>
      </w:pPr>
      <w:r w:rsidRPr="00792B36">
        <w:rPr>
          <w:sz w:val="24"/>
          <w:szCs w:val="24"/>
        </w:rPr>
        <w:t xml:space="preserve"> </w:t>
      </w:r>
      <w:r w:rsidRPr="00792B36">
        <w:rPr>
          <w:sz w:val="24"/>
          <w:szCs w:val="24"/>
        </w:rPr>
        <w:tab/>
      </w:r>
      <w:r w:rsidRPr="00792B36">
        <w:rPr>
          <w:b/>
          <w:bCs/>
          <w:i/>
          <w:iCs/>
          <w:sz w:val="24"/>
          <w:szCs w:val="24"/>
        </w:rPr>
        <w:t>Indicator-Based Assessment</w:t>
      </w:r>
    </w:p>
    <w:p w14:paraId="2818B4F5" w14:textId="77777777" w:rsidR="00BC399A" w:rsidRPr="00792B36" w:rsidRDefault="00BC399A" w:rsidP="00F61B37">
      <w:pPr>
        <w:widowControl/>
        <w:numPr>
          <w:ilvl w:val="0"/>
          <w:numId w:val="51"/>
        </w:numPr>
        <w:tabs>
          <w:tab w:val="clear" w:pos="1080"/>
          <w:tab w:val="num" w:pos="720"/>
        </w:tabs>
        <w:spacing w:after="100"/>
        <w:jc w:val="thaiDistribute"/>
        <w:rPr>
          <w:sz w:val="24"/>
          <w:szCs w:val="24"/>
        </w:rPr>
      </w:pPr>
      <w:r w:rsidRPr="00792B36">
        <w:rPr>
          <w:sz w:val="24"/>
          <w:szCs w:val="24"/>
        </w:rPr>
        <w:t>Vegetation cover and canopy density remain highest in Pak Phanang and Don Hoi Lot, indicating strong natural regeneration and low disturbance.</w:t>
      </w:r>
    </w:p>
    <w:p w14:paraId="56E2E029" w14:textId="77777777" w:rsidR="00BC399A" w:rsidRPr="00792B36" w:rsidRDefault="00BC399A" w:rsidP="00F61B37">
      <w:pPr>
        <w:widowControl/>
        <w:numPr>
          <w:ilvl w:val="0"/>
          <w:numId w:val="51"/>
        </w:numPr>
        <w:tabs>
          <w:tab w:val="clear" w:pos="1080"/>
          <w:tab w:val="num" w:pos="720"/>
        </w:tabs>
        <w:spacing w:after="100"/>
        <w:jc w:val="thaiDistribute"/>
        <w:rPr>
          <w:sz w:val="24"/>
          <w:szCs w:val="24"/>
        </w:rPr>
      </w:pPr>
      <w:r w:rsidRPr="00792B36">
        <w:rPr>
          <w:sz w:val="24"/>
          <w:szCs w:val="24"/>
        </w:rPr>
        <w:t>Soil organic carbon levels average 80–150 tonnes C/ha, corresponding to high blue carbon potential.</w:t>
      </w:r>
    </w:p>
    <w:p w14:paraId="58BE77D5" w14:textId="77777777" w:rsidR="00BC399A" w:rsidRPr="00792B36" w:rsidRDefault="00BC399A" w:rsidP="00F61B37">
      <w:pPr>
        <w:widowControl/>
        <w:numPr>
          <w:ilvl w:val="0"/>
          <w:numId w:val="51"/>
        </w:numPr>
        <w:tabs>
          <w:tab w:val="clear" w:pos="1080"/>
          <w:tab w:val="num" w:pos="720"/>
        </w:tabs>
        <w:spacing w:after="100"/>
        <w:jc w:val="thaiDistribute"/>
        <w:rPr>
          <w:sz w:val="24"/>
          <w:szCs w:val="24"/>
        </w:rPr>
      </w:pPr>
      <w:r w:rsidRPr="00792B36">
        <w:rPr>
          <w:sz w:val="24"/>
          <w:szCs w:val="24"/>
        </w:rPr>
        <w:t>Hydrological connectivity is moderately impaired in Welu and Bandon Bays due to embankments and aquaculture dikes, while tidal flushing remains intact in Don Hoi Lot.</w:t>
      </w:r>
    </w:p>
    <w:p w14:paraId="1E0818A6" w14:textId="77777777" w:rsidR="00BC399A" w:rsidRPr="00792B36" w:rsidRDefault="00BC399A" w:rsidP="00F61B37">
      <w:pPr>
        <w:widowControl/>
        <w:numPr>
          <w:ilvl w:val="0"/>
          <w:numId w:val="51"/>
        </w:numPr>
        <w:tabs>
          <w:tab w:val="clear" w:pos="1080"/>
          <w:tab w:val="num" w:pos="720"/>
        </w:tabs>
        <w:spacing w:after="100"/>
        <w:jc w:val="thaiDistribute"/>
        <w:rPr>
          <w:sz w:val="24"/>
          <w:szCs w:val="24"/>
        </w:rPr>
      </w:pPr>
      <w:r w:rsidRPr="00792B36">
        <w:rPr>
          <w:sz w:val="24"/>
          <w:szCs w:val="24"/>
        </w:rPr>
        <w:t>Biodiversity indices suggest medium to high species evenness (Shannon–Wiener index 2.0–2.8) in natural zones but decline sharply (&lt;1.5) in managed aquaculture areas.</w:t>
      </w:r>
    </w:p>
    <w:p w14:paraId="37A64BDB" w14:textId="77777777" w:rsidR="00BC399A" w:rsidRPr="00792B36" w:rsidRDefault="00BC399A" w:rsidP="00BC399A">
      <w:pPr>
        <w:spacing w:after="100"/>
        <w:ind w:firstLine="720"/>
        <w:rPr>
          <w:b/>
          <w:bCs/>
          <w:i/>
          <w:iCs/>
          <w:sz w:val="24"/>
          <w:szCs w:val="24"/>
        </w:rPr>
      </w:pPr>
      <w:r w:rsidRPr="00792B36">
        <w:rPr>
          <w:b/>
          <w:bCs/>
          <w:i/>
          <w:iCs/>
          <w:sz w:val="24"/>
          <w:szCs w:val="24"/>
        </w:rPr>
        <w:lastRenderedPageBreak/>
        <w:t>Pressure Indicators</w:t>
      </w:r>
    </w:p>
    <w:p w14:paraId="01B8E934" w14:textId="77777777" w:rsidR="00BC399A" w:rsidRPr="00792B36" w:rsidRDefault="00BC399A" w:rsidP="00BC399A">
      <w:pPr>
        <w:spacing w:after="100"/>
        <w:ind w:firstLine="720"/>
        <w:rPr>
          <w:sz w:val="24"/>
          <w:szCs w:val="24"/>
        </w:rPr>
      </w:pPr>
      <w:r w:rsidRPr="00792B36">
        <w:rPr>
          <w:sz w:val="24"/>
          <w:szCs w:val="24"/>
        </w:rPr>
        <w:t>Key pressures across sites include:</w:t>
      </w:r>
    </w:p>
    <w:p w14:paraId="2DD71ECC" w14:textId="77777777" w:rsidR="00BC399A" w:rsidRPr="00792B36" w:rsidRDefault="00BC399A" w:rsidP="00F61B37">
      <w:pPr>
        <w:widowControl/>
        <w:numPr>
          <w:ilvl w:val="0"/>
          <w:numId w:val="52"/>
        </w:numPr>
        <w:tabs>
          <w:tab w:val="clear" w:pos="1080"/>
          <w:tab w:val="num" w:pos="720"/>
        </w:tabs>
        <w:spacing w:after="100"/>
        <w:rPr>
          <w:sz w:val="24"/>
          <w:szCs w:val="24"/>
        </w:rPr>
      </w:pPr>
      <w:r w:rsidRPr="00792B36">
        <w:rPr>
          <w:sz w:val="24"/>
          <w:szCs w:val="24"/>
        </w:rPr>
        <w:t>Aquaculture expansion and conversion (most severe in Welu and Bandon Bay).</w:t>
      </w:r>
    </w:p>
    <w:p w14:paraId="30C546B6" w14:textId="77777777" w:rsidR="00BC399A" w:rsidRPr="00792B36" w:rsidRDefault="00BC399A" w:rsidP="00F61B37">
      <w:pPr>
        <w:widowControl/>
        <w:numPr>
          <w:ilvl w:val="0"/>
          <w:numId w:val="52"/>
        </w:numPr>
        <w:tabs>
          <w:tab w:val="clear" w:pos="1080"/>
          <w:tab w:val="num" w:pos="720"/>
        </w:tabs>
        <w:spacing w:after="100"/>
        <w:rPr>
          <w:sz w:val="24"/>
          <w:szCs w:val="24"/>
        </w:rPr>
      </w:pPr>
      <w:r w:rsidRPr="00792B36">
        <w:rPr>
          <w:sz w:val="24"/>
          <w:szCs w:val="24"/>
        </w:rPr>
        <w:t>Pollution from agriculture and industry, including nutrient and heavy-metal contamination in Samut Prakan.</w:t>
      </w:r>
    </w:p>
    <w:p w14:paraId="1B36935B" w14:textId="77777777" w:rsidR="00BC399A" w:rsidRPr="00792B36" w:rsidRDefault="00BC399A" w:rsidP="00F61B37">
      <w:pPr>
        <w:widowControl/>
        <w:numPr>
          <w:ilvl w:val="0"/>
          <w:numId w:val="52"/>
        </w:numPr>
        <w:tabs>
          <w:tab w:val="clear" w:pos="1080"/>
          <w:tab w:val="num" w:pos="720"/>
        </w:tabs>
        <w:spacing w:after="100"/>
        <w:rPr>
          <w:sz w:val="24"/>
          <w:szCs w:val="24"/>
        </w:rPr>
      </w:pPr>
      <w:r w:rsidRPr="00792B36">
        <w:rPr>
          <w:sz w:val="24"/>
          <w:szCs w:val="24"/>
        </w:rPr>
        <w:t>Coastal erosion and sediment imbalance notably in Pak Phanang and Welu due to reduced riverine sediment flow.</w:t>
      </w:r>
    </w:p>
    <w:p w14:paraId="17BFB85E" w14:textId="77777777" w:rsidR="00BC399A" w:rsidRPr="00792B36" w:rsidRDefault="00BC399A" w:rsidP="00F61B37">
      <w:pPr>
        <w:widowControl/>
        <w:numPr>
          <w:ilvl w:val="0"/>
          <w:numId w:val="52"/>
        </w:numPr>
        <w:tabs>
          <w:tab w:val="clear" w:pos="1080"/>
          <w:tab w:val="num" w:pos="720"/>
        </w:tabs>
        <w:spacing w:after="100"/>
        <w:jc w:val="thaiDistribute"/>
        <w:rPr>
          <w:sz w:val="24"/>
          <w:szCs w:val="24"/>
        </w:rPr>
      </w:pPr>
      <w:r w:rsidRPr="00792B36">
        <w:rPr>
          <w:sz w:val="24"/>
          <w:szCs w:val="24"/>
        </w:rPr>
        <w:t>Overharvesting and mangrove cutting for fuelwood in rural zones.</w:t>
      </w:r>
    </w:p>
    <w:p w14:paraId="3110AB5E" w14:textId="77777777" w:rsidR="00BC399A" w:rsidRPr="00792B36" w:rsidRDefault="00BC399A" w:rsidP="00F61B37">
      <w:pPr>
        <w:widowControl/>
        <w:numPr>
          <w:ilvl w:val="0"/>
          <w:numId w:val="52"/>
        </w:numPr>
        <w:tabs>
          <w:tab w:val="clear" w:pos="1080"/>
          <w:tab w:val="num" w:pos="720"/>
        </w:tabs>
        <w:spacing w:after="100"/>
        <w:jc w:val="thaiDistribute"/>
        <w:rPr>
          <w:sz w:val="24"/>
          <w:szCs w:val="24"/>
        </w:rPr>
      </w:pPr>
      <w:r w:rsidRPr="00792B36">
        <w:rPr>
          <w:sz w:val="24"/>
          <w:szCs w:val="24"/>
        </w:rPr>
        <w:t>Tourism infrastructure development around Don Hoi Lot’s tidal flats.</w:t>
      </w:r>
    </w:p>
    <w:p w14:paraId="678AF7FB" w14:textId="77777777" w:rsidR="00BC399A" w:rsidRPr="00792B36" w:rsidRDefault="00BC399A" w:rsidP="00BC399A">
      <w:pPr>
        <w:spacing w:after="100"/>
        <w:ind w:firstLine="720"/>
        <w:jc w:val="thaiDistribute"/>
        <w:rPr>
          <w:sz w:val="24"/>
          <w:szCs w:val="24"/>
        </w:rPr>
      </w:pPr>
      <w:r w:rsidRPr="00792B36">
        <w:rPr>
          <w:sz w:val="24"/>
          <w:szCs w:val="24"/>
        </w:rPr>
        <w:t>Responses have been implemented at national and local scales:</w:t>
      </w:r>
    </w:p>
    <w:p w14:paraId="59585949" w14:textId="77777777" w:rsidR="00BC399A" w:rsidRPr="00792B36" w:rsidRDefault="00BC399A" w:rsidP="00F61B37">
      <w:pPr>
        <w:widowControl/>
        <w:numPr>
          <w:ilvl w:val="0"/>
          <w:numId w:val="53"/>
        </w:numPr>
        <w:spacing w:after="100"/>
        <w:jc w:val="thaiDistribute"/>
        <w:rPr>
          <w:sz w:val="24"/>
          <w:szCs w:val="24"/>
        </w:rPr>
      </w:pPr>
      <w:r w:rsidRPr="00792B36">
        <w:rPr>
          <w:sz w:val="24"/>
          <w:szCs w:val="24"/>
        </w:rPr>
        <w:t>DMCR’s National Mangrove Rehabilitation Program (2014–2024) restored over 80 km² across surveyed provinces.</w:t>
      </w:r>
    </w:p>
    <w:p w14:paraId="2D661E16" w14:textId="77777777" w:rsidR="00BC399A" w:rsidRPr="00792B36" w:rsidRDefault="00BC399A" w:rsidP="00F61B37">
      <w:pPr>
        <w:widowControl/>
        <w:numPr>
          <w:ilvl w:val="0"/>
          <w:numId w:val="53"/>
        </w:numPr>
        <w:spacing w:after="100"/>
        <w:jc w:val="thaiDistribute"/>
        <w:rPr>
          <w:sz w:val="24"/>
          <w:szCs w:val="24"/>
        </w:rPr>
      </w:pPr>
      <w:r w:rsidRPr="00792B36">
        <w:rPr>
          <w:sz w:val="24"/>
          <w:szCs w:val="24"/>
        </w:rPr>
        <w:t>Community co-management groups in Welu and Bandon Bays lead local monitoring, seedling nurseries, and carbon accounting.</w:t>
      </w:r>
    </w:p>
    <w:p w14:paraId="419D004B" w14:textId="77777777" w:rsidR="00BC399A" w:rsidRPr="00792B36" w:rsidRDefault="00BC399A" w:rsidP="00F61B37">
      <w:pPr>
        <w:widowControl/>
        <w:numPr>
          <w:ilvl w:val="0"/>
          <w:numId w:val="53"/>
        </w:numPr>
        <w:spacing w:after="100"/>
        <w:jc w:val="thaiDistribute"/>
        <w:rPr>
          <w:sz w:val="24"/>
          <w:szCs w:val="24"/>
        </w:rPr>
      </w:pPr>
      <w:r w:rsidRPr="00792B36">
        <w:rPr>
          <w:sz w:val="24"/>
          <w:szCs w:val="24"/>
        </w:rPr>
        <w:t>Eco-restoration projects under the “Reversing Environmental Damage” framework have promoted mangrove planting integrated with aquaculture (“silvo-fishery” systems).</w:t>
      </w:r>
    </w:p>
    <w:p w14:paraId="3F210FF8" w14:textId="77777777" w:rsidR="00BC399A" w:rsidRPr="00792B36" w:rsidRDefault="00BC399A" w:rsidP="00F61B37">
      <w:pPr>
        <w:widowControl/>
        <w:numPr>
          <w:ilvl w:val="0"/>
          <w:numId w:val="53"/>
        </w:numPr>
        <w:spacing w:after="100"/>
        <w:jc w:val="thaiDistribute"/>
        <w:rPr>
          <w:sz w:val="24"/>
          <w:szCs w:val="24"/>
        </w:rPr>
      </w:pPr>
      <w:r w:rsidRPr="00792B36">
        <w:rPr>
          <w:sz w:val="24"/>
          <w:szCs w:val="24"/>
        </w:rPr>
        <w:t>Protected area designations such as Don Hoi Lot’s Ramsar status (No.1099) and Pak Phanang’s provincial conservation zones have strengthened legal protection.</w:t>
      </w:r>
    </w:p>
    <w:p w14:paraId="726E64F2" w14:textId="77777777" w:rsidR="00BC399A" w:rsidRPr="00792B36" w:rsidRDefault="00BC399A" w:rsidP="00BC399A">
      <w:pPr>
        <w:spacing w:after="100"/>
        <w:ind w:firstLine="720"/>
        <w:jc w:val="thaiDistribute"/>
        <w:rPr>
          <w:b/>
          <w:bCs/>
          <w:i/>
          <w:iCs/>
          <w:sz w:val="24"/>
          <w:szCs w:val="24"/>
        </w:rPr>
      </w:pPr>
      <w:r w:rsidRPr="00792B36">
        <w:rPr>
          <w:b/>
          <w:bCs/>
          <w:i/>
          <w:iCs/>
          <w:sz w:val="24"/>
          <w:szCs w:val="24"/>
        </w:rPr>
        <w:t>Trends, Dynamics, and Drivers</w:t>
      </w:r>
    </w:p>
    <w:p w14:paraId="10239F8A" w14:textId="77777777" w:rsidR="00BC399A" w:rsidRPr="00792B36" w:rsidRDefault="00BC399A" w:rsidP="00BC399A">
      <w:pPr>
        <w:spacing w:after="100"/>
        <w:ind w:firstLine="720"/>
        <w:jc w:val="thaiDistribute"/>
        <w:rPr>
          <w:sz w:val="24"/>
          <w:szCs w:val="24"/>
        </w:rPr>
      </w:pPr>
      <w:r w:rsidRPr="00792B36">
        <w:rPr>
          <w:sz w:val="24"/>
          <w:szCs w:val="24"/>
        </w:rPr>
        <w:t>Internal (Intrinsic) Drivers</w:t>
      </w:r>
    </w:p>
    <w:p w14:paraId="41AC1BC4" w14:textId="77777777" w:rsidR="00BC399A" w:rsidRPr="00792B36" w:rsidRDefault="00BC399A" w:rsidP="00F61B37">
      <w:pPr>
        <w:widowControl/>
        <w:numPr>
          <w:ilvl w:val="0"/>
          <w:numId w:val="54"/>
        </w:numPr>
        <w:spacing w:after="100"/>
        <w:jc w:val="thaiDistribute"/>
        <w:rPr>
          <w:sz w:val="24"/>
          <w:szCs w:val="24"/>
        </w:rPr>
      </w:pPr>
      <w:r w:rsidRPr="00792B36">
        <w:rPr>
          <w:sz w:val="24"/>
          <w:szCs w:val="24"/>
        </w:rPr>
        <w:t>Sediment redistribution and salinity variation influence mangrove zonation and regeneration.</w:t>
      </w:r>
    </w:p>
    <w:p w14:paraId="02B2159C" w14:textId="77777777" w:rsidR="00BC399A" w:rsidRPr="00792B36" w:rsidRDefault="00BC399A" w:rsidP="00F61B37">
      <w:pPr>
        <w:widowControl/>
        <w:numPr>
          <w:ilvl w:val="0"/>
          <w:numId w:val="54"/>
        </w:numPr>
        <w:spacing w:after="100"/>
        <w:jc w:val="thaiDistribute"/>
        <w:rPr>
          <w:sz w:val="24"/>
          <w:szCs w:val="24"/>
        </w:rPr>
      </w:pPr>
      <w:r w:rsidRPr="00792B36">
        <w:rPr>
          <w:sz w:val="24"/>
          <w:szCs w:val="24"/>
        </w:rPr>
        <w:t>Natural regeneration rates are high in Don Hoi Lot but slow in industrial areas.</w:t>
      </w:r>
    </w:p>
    <w:p w14:paraId="04F3A844" w14:textId="77777777" w:rsidR="00BC399A" w:rsidRPr="00792B36" w:rsidRDefault="00BC399A" w:rsidP="00F61B37">
      <w:pPr>
        <w:widowControl/>
        <w:numPr>
          <w:ilvl w:val="0"/>
          <w:numId w:val="54"/>
        </w:numPr>
        <w:spacing w:after="100"/>
        <w:jc w:val="thaiDistribute"/>
        <w:rPr>
          <w:sz w:val="24"/>
          <w:szCs w:val="24"/>
        </w:rPr>
      </w:pPr>
      <w:r w:rsidRPr="00792B36">
        <w:rPr>
          <w:sz w:val="24"/>
          <w:szCs w:val="24"/>
        </w:rPr>
        <w:t>Monsoonal patterns drive periodic flooding that enhances productivity but may limit propagule establishment.</w:t>
      </w:r>
    </w:p>
    <w:p w14:paraId="128ADABA" w14:textId="77777777" w:rsidR="00BC399A" w:rsidRPr="00792B36" w:rsidRDefault="00BC399A" w:rsidP="00BC399A">
      <w:pPr>
        <w:spacing w:after="100"/>
        <w:ind w:firstLine="720"/>
        <w:jc w:val="thaiDistribute"/>
        <w:rPr>
          <w:sz w:val="24"/>
          <w:szCs w:val="24"/>
        </w:rPr>
      </w:pPr>
      <w:r w:rsidRPr="00792B36">
        <w:rPr>
          <w:sz w:val="24"/>
          <w:szCs w:val="24"/>
        </w:rPr>
        <w:t>External (Extrinsic) Drivers</w:t>
      </w:r>
    </w:p>
    <w:p w14:paraId="73F5C783" w14:textId="77777777" w:rsidR="00BC399A" w:rsidRPr="00792B36" w:rsidRDefault="00BC399A" w:rsidP="00F61B37">
      <w:pPr>
        <w:widowControl/>
        <w:numPr>
          <w:ilvl w:val="0"/>
          <w:numId w:val="55"/>
        </w:numPr>
        <w:tabs>
          <w:tab w:val="clear" w:pos="1080"/>
          <w:tab w:val="num" w:pos="720"/>
        </w:tabs>
        <w:spacing w:after="100"/>
        <w:jc w:val="thaiDistribute"/>
        <w:rPr>
          <w:sz w:val="24"/>
          <w:szCs w:val="24"/>
        </w:rPr>
      </w:pPr>
      <w:r w:rsidRPr="00792B36">
        <w:rPr>
          <w:sz w:val="24"/>
          <w:szCs w:val="24"/>
        </w:rPr>
        <w:t>Watershed modification (dams, irrigation, dikes) alters freshwater flow and sediment supply.</w:t>
      </w:r>
    </w:p>
    <w:p w14:paraId="36F3DCC7" w14:textId="77777777" w:rsidR="00BC399A" w:rsidRPr="00792B36" w:rsidRDefault="00BC399A" w:rsidP="00F61B37">
      <w:pPr>
        <w:widowControl/>
        <w:numPr>
          <w:ilvl w:val="0"/>
          <w:numId w:val="55"/>
        </w:numPr>
        <w:tabs>
          <w:tab w:val="clear" w:pos="1080"/>
          <w:tab w:val="num" w:pos="720"/>
        </w:tabs>
        <w:spacing w:after="100"/>
        <w:jc w:val="thaiDistribute"/>
        <w:rPr>
          <w:sz w:val="24"/>
          <w:szCs w:val="24"/>
        </w:rPr>
      </w:pPr>
      <w:r w:rsidRPr="00792B36">
        <w:rPr>
          <w:sz w:val="24"/>
          <w:szCs w:val="24"/>
        </w:rPr>
        <w:t>Climate change intensifies erosion, sea-level rise, and storm surges.</w:t>
      </w:r>
    </w:p>
    <w:p w14:paraId="44698D0B" w14:textId="77777777" w:rsidR="00BC399A" w:rsidRPr="00792B36" w:rsidRDefault="00BC399A" w:rsidP="00F61B37">
      <w:pPr>
        <w:widowControl/>
        <w:numPr>
          <w:ilvl w:val="0"/>
          <w:numId w:val="55"/>
        </w:numPr>
        <w:tabs>
          <w:tab w:val="clear" w:pos="1080"/>
          <w:tab w:val="num" w:pos="720"/>
        </w:tabs>
        <w:spacing w:after="100"/>
        <w:jc w:val="thaiDistribute"/>
        <w:rPr>
          <w:sz w:val="24"/>
          <w:szCs w:val="24"/>
        </w:rPr>
      </w:pPr>
      <w:r w:rsidRPr="00792B36">
        <w:rPr>
          <w:sz w:val="24"/>
          <w:szCs w:val="24"/>
        </w:rPr>
        <w:t>Urbanization replaces wetlands with built-up zones, notably in Samut Prakan.</w:t>
      </w:r>
    </w:p>
    <w:p w14:paraId="2054B52A" w14:textId="77777777" w:rsidR="00BC399A" w:rsidRPr="00792B36" w:rsidRDefault="00BC399A" w:rsidP="00F61B37">
      <w:pPr>
        <w:widowControl/>
        <w:numPr>
          <w:ilvl w:val="0"/>
          <w:numId w:val="55"/>
        </w:numPr>
        <w:tabs>
          <w:tab w:val="clear" w:pos="1080"/>
          <w:tab w:val="num" w:pos="720"/>
        </w:tabs>
        <w:spacing w:after="100"/>
        <w:jc w:val="thaiDistribute"/>
        <w:rPr>
          <w:sz w:val="24"/>
          <w:szCs w:val="24"/>
        </w:rPr>
      </w:pPr>
      <w:r w:rsidRPr="00792B36">
        <w:rPr>
          <w:sz w:val="24"/>
          <w:szCs w:val="24"/>
        </w:rPr>
        <w:t>Shrimp-farm effluents lead to nutrient loading and algal blooms in enclosed bays.</w:t>
      </w:r>
    </w:p>
    <w:p w14:paraId="6CB6E1C0" w14:textId="77777777" w:rsidR="00BC399A" w:rsidRPr="00792B36" w:rsidRDefault="00BC399A" w:rsidP="00BC399A">
      <w:pPr>
        <w:spacing w:after="100"/>
        <w:ind w:firstLine="720"/>
        <w:jc w:val="thaiDistribute"/>
        <w:rPr>
          <w:sz w:val="24"/>
          <w:szCs w:val="24"/>
        </w:rPr>
      </w:pPr>
      <w:r w:rsidRPr="00792B36">
        <w:rPr>
          <w:sz w:val="24"/>
          <w:szCs w:val="24"/>
        </w:rPr>
        <w:t>These drivers collectively contribute to fragmentation, hydrological disconnection, and biodiversity loss, reducing the resilience of mangrove–wetland systems.</w:t>
      </w:r>
    </w:p>
    <w:p w14:paraId="3EFF6641" w14:textId="77777777" w:rsidR="00BC399A" w:rsidRPr="00792B36" w:rsidRDefault="00BC399A" w:rsidP="00BC399A">
      <w:pPr>
        <w:spacing w:after="100"/>
        <w:ind w:firstLine="720"/>
        <w:jc w:val="thaiDistribute"/>
        <w:rPr>
          <w:b/>
          <w:bCs/>
          <w:i/>
          <w:iCs/>
          <w:sz w:val="24"/>
          <w:szCs w:val="24"/>
        </w:rPr>
      </w:pPr>
      <w:r w:rsidRPr="00792B36">
        <w:rPr>
          <w:b/>
          <w:bCs/>
          <w:i/>
          <w:iCs/>
          <w:sz w:val="24"/>
          <w:szCs w:val="24"/>
        </w:rPr>
        <w:t>Socio-Economic and Ecosystem Service Values</w:t>
      </w:r>
    </w:p>
    <w:p w14:paraId="6702ADD8" w14:textId="77777777" w:rsidR="00BC399A" w:rsidRPr="00792B36" w:rsidRDefault="00BC399A" w:rsidP="00BC399A">
      <w:pPr>
        <w:spacing w:after="100"/>
        <w:ind w:firstLine="720"/>
        <w:jc w:val="thaiDistribute"/>
        <w:rPr>
          <w:sz w:val="24"/>
          <w:szCs w:val="24"/>
        </w:rPr>
      </w:pPr>
      <w:r w:rsidRPr="00792B36">
        <w:rPr>
          <w:sz w:val="24"/>
          <w:szCs w:val="24"/>
        </w:rPr>
        <w:lastRenderedPageBreak/>
        <w:t>Mangroves and wetlands deliver multiple ecosystem services valued between US$17–32 million per site annually, including:</w:t>
      </w:r>
    </w:p>
    <w:p w14:paraId="6CD41653" w14:textId="77777777" w:rsidR="00BC399A" w:rsidRPr="00792B36" w:rsidRDefault="00BC399A" w:rsidP="00F61B37">
      <w:pPr>
        <w:widowControl/>
        <w:numPr>
          <w:ilvl w:val="0"/>
          <w:numId w:val="56"/>
        </w:numPr>
        <w:spacing w:after="100"/>
        <w:jc w:val="thaiDistribute"/>
        <w:rPr>
          <w:sz w:val="24"/>
          <w:szCs w:val="24"/>
        </w:rPr>
      </w:pPr>
      <w:r w:rsidRPr="00792B36">
        <w:rPr>
          <w:sz w:val="24"/>
          <w:szCs w:val="24"/>
        </w:rPr>
        <w:t>Fisheries production (up to 60% of coastal fishery yields depend on mangrove nursery habitats).</w:t>
      </w:r>
    </w:p>
    <w:p w14:paraId="1F696CB5" w14:textId="77777777" w:rsidR="00BC399A" w:rsidRPr="00792B36" w:rsidRDefault="00BC399A" w:rsidP="00F61B37">
      <w:pPr>
        <w:widowControl/>
        <w:numPr>
          <w:ilvl w:val="0"/>
          <w:numId w:val="56"/>
        </w:numPr>
        <w:spacing w:after="100"/>
        <w:jc w:val="thaiDistribute"/>
        <w:rPr>
          <w:sz w:val="24"/>
          <w:szCs w:val="24"/>
        </w:rPr>
      </w:pPr>
      <w:r w:rsidRPr="00792B36">
        <w:rPr>
          <w:sz w:val="24"/>
          <w:szCs w:val="24"/>
        </w:rPr>
        <w:t>Coastal protection, reducing wave energy by 60–80%.</w:t>
      </w:r>
    </w:p>
    <w:p w14:paraId="2A7C2DA7" w14:textId="77777777" w:rsidR="00BC399A" w:rsidRPr="00792B36" w:rsidRDefault="00BC399A" w:rsidP="00F61B37">
      <w:pPr>
        <w:widowControl/>
        <w:numPr>
          <w:ilvl w:val="0"/>
          <w:numId w:val="56"/>
        </w:numPr>
        <w:spacing w:after="100"/>
        <w:jc w:val="thaiDistribute"/>
        <w:rPr>
          <w:sz w:val="24"/>
          <w:szCs w:val="24"/>
        </w:rPr>
      </w:pPr>
      <w:r w:rsidRPr="00792B36">
        <w:rPr>
          <w:sz w:val="24"/>
          <w:szCs w:val="24"/>
        </w:rPr>
        <w:t>Carbon sequestration: 250,000–2,000,000 tonnes of carbon per site (equivalent to US$2–14 million/year).</w:t>
      </w:r>
    </w:p>
    <w:p w14:paraId="78F02799" w14:textId="77777777" w:rsidR="00BC399A" w:rsidRPr="00792B36" w:rsidRDefault="00BC399A" w:rsidP="00F61B37">
      <w:pPr>
        <w:widowControl/>
        <w:numPr>
          <w:ilvl w:val="0"/>
          <w:numId w:val="56"/>
        </w:numPr>
        <w:spacing w:after="100"/>
        <w:jc w:val="thaiDistribute"/>
        <w:rPr>
          <w:sz w:val="24"/>
          <w:szCs w:val="24"/>
        </w:rPr>
      </w:pPr>
      <w:r w:rsidRPr="00792B36">
        <w:rPr>
          <w:sz w:val="24"/>
          <w:szCs w:val="24"/>
        </w:rPr>
        <w:t>Cultural and ecotourism benefits, such as the mudflat ecotourism at Don Hoi Lot and mangrove trails in Bandon Bay.</w:t>
      </w:r>
    </w:p>
    <w:p w14:paraId="302C00CF" w14:textId="77777777" w:rsidR="00BC399A" w:rsidRPr="00792B36" w:rsidRDefault="00BC399A" w:rsidP="00BC399A">
      <w:pPr>
        <w:spacing w:after="100"/>
        <w:ind w:firstLine="720"/>
        <w:jc w:val="thaiDistribute"/>
        <w:rPr>
          <w:sz w:val="24"/>
          <w:szCs w:val="24"/>
        </w:rPr>
      </w:pPr>
      <w:r w:rsidRPr="00792B36">
        <w:rPr>
          <w:sz w:val="24"/>
          <w:szCs w:val="24"/>
        </w:rPr>
        <w:t>However, monetization of ecosystem services remains limited, requiring standardized national valuation methods and integration into blue carbon credit frameworks under Thailand’s Nationally Determined Contributions (NDCs).</w:t>
      </w:r>
    </w:p>
    <w:p w14:paraId="2327D227" w14:textId="77777777" w:rsidR="00BC399A" w:rsidRPr="00792B36" w:rsidRDefault="00BC399A" w:rsidP="00BC399A">
      <w:pPr>
        <w:spacing w:after="100"/>
        <w:ind w:firstLine="720"/>
        <w:jc w:val="thaiDistribute"/>
        <w:rPr>
          <w:b/>
          <w:bCs/>
          <w:i/>
          <w:iCs/>
          <w:sz w:val="24"/>
          <w:szCs w:val="24"/>
        </w:rPr>
      </w:pPr>
      <w:r w:rsidRPr="00792B36">
        <w:rPr>
          <w:b/>
          <w:bCs/>
          <w:i/>
          <w:iCs/>
          <w:sz w:val="24"/>
          <w:szCs w:val="24"/>
        </w:rPr>
        <w:t>Governance and Management Performance</w:t>
      </w:r>
    </w:p>
    <w:p w14:paraId="49B5EA8C" w14:textId="77777777" w:rsidR="00BC399A" w:rsidRPr="00792B36" w:rsidRDefault="00BC399A" w:rsidP="00BC399A">
      <w:pPr>
        <w:spacing w:after="100"/>
        <w:ind w:firstLine="720"/>
        <w:jc w:val="thaiDistribute"/>
        <w:rPr>
          <w:sz w:val="24"/>
          <w:szCs w:val="24"/>
        </w:rPr>
      </w:pPr>
      <w:r w:rsidRPr="00792B36">
        <w:rPr>
          <w:sz w:val="24"/>
          <w:szCs w:val="24"/>
        </w:rPr>
        <w:t>The Department of Marine and Coastal Resources (DMCR) leads national mangrove management through Integrated Coastal Management (ICM) strategies, supported by provincial administrative organizations and local communities. Despite progress, gaps persist:</w:t>
      </w:r>
    </w:p>
    <w:p w14:paraId="62F3E888" w14:textId="77777777" w:rsidR="00BC399A" w:rsidRPr="00792B36" w:rsidRDefault="00BC399A" w:rsidP="00F61B37">
      <w:pPr>
        <w:widowControl/>
        <w:numPr>
          <w:ilvl w:val="0"/>
          <w:numId w:val="57"/>
        </w:numPr>
        <w:tabs>
          <w:tab w:val="clear" w:pos="1080"/>
          <w:tab w:val="num" w:pos="720"/>
        </w:tabs>
        <w:spacing w:after="100"/>
        <w:jc w:val="thaiDistribute"/>
        <w:rPr>
          <w:sz w:val="24"/>
          <w:szCs w:val="24"/>
        </w:rPr>
      </w:pPr>
      <w:r w:rsidRPr="00792B36">
        <w:rPr>
          <w:sz w:val="24"/>
          <w:szCs w:val="24"/>
        </w:rPr>
        <w:t>Fragmented monitoring responsibilities among DMCR, DNP, and local authorities.</w:t>
      </w:r>
    </w:p>
    <w:p w14:paraId="422C83EB" w14:textId="77777777" w:rsidR="00BC399A" w:rsidRPr="00792B36" w:rsidRDefault="00BC399A" w:rsidP="00F61B37">
      <w:pPr>
        <w:widowControl/>
        <w:numPr>
          <w:ilvl w:val="0"/>
          <w:numId w:val="57"/>
        </w:numPr>
        <w:tabs>
          <w:tab w:val="clear" w:pos="1080"/>
          <w:tab w:val="num" w:pos="720"/>
        </w:tabs>
        <w:spacing w:after="100"/>
        <w:jc w:val="thaiDistribute"/>
        <w:rPr>
          <w:sz w:val="24"/>
          <w:szCs w:val="24"/>
        </w:rPr>
      </w:pPr>
      <w:r w:rsidRPr="00792B36">
        <w:rPr>
          <w:sz w:val="24"/>
          <w:szCs w:val="24"/>
        </w:rPr>
        <w:t>Inconsistent application of environmental impact assessments (EIAs) for coastal projects.</w:t>
      </w:r>
    </w:p>
    <w:p w14:paraId="40CDB865" w14:textId="77777777" w:rsidR="00BC399A" w:rsidRPr="00792B36" w:rsidRDefault="00BC399A" w:rsidP="00F61B37">
      <w:pPr>
        <w:widowControl/>
        <w:numPr>
          <w:ilvl w:val="0"/>
          <w:numId w:val="57"/>
        </w:numPr>
        <w:tabs>
          <w:tab w:val="clear" w:pos="1080"/>
          <w:tab w:val="num" w:pos="720"/>
        </w:tabs>
        <w:spacing w:after="100"/>
        <w:jc w:val="thaiDistribute"/>
        <w:rPr>
          <w:sz w:val="24"/>
          <w:szCs w:val="24"/>
        </w:rPr>
      </w:pPr>
      <w:r w:rsidRPr="00792B36">
        <w:rPr>
          <w:sz w:val="24"/>
          <w:szCs w:val="24"/>
        </w:rPr>
        <w:t>Limited enforcement capacity against illegal aquaculture encroachment.</w:t>
      </w:r>
    </w:p>
    <w:p w14:paraId="2F27D55B" w14:textId="77777777" w:rsidR="00BC399A" w:rsidRPr="00792B36" w:rsidRDefault="00BC399A" w:rsidP="00F61B37">
      <w:pPr>
        <w:widowControl/>
        <w:numPr>
          <w:ilvl w:val="0"/>
          <w:numId w:val="57"/>
        </w:numPr>
        <w:tabs>
          <w:tab w:val="clear" w:pos="1080"/>
          <w:tab w:val="num" w:pos="720"/>
        </w:tabs>
        <w:spacing w:after="100"/>
        <w:jc w:val="thaiDistribute"/>
        <w:rPr>
          <w:sz w:val="24"/>
          <w:szCs w:val="24"/>
        </w:rPr>
      </w:pPr>
      <w:r w:rsidRPr="00792B36">
        <w:rPr>
          <w:sz w:val="24"/>
          <w:szCs w:val="24"/>
        </w:rPr>
        <w:t>Need for participatory and gender-sensitive community engagement in co-management.</w:t>
      </w:r>
    </w:p>
    <w:p w14:paraId="2630D5A8" w14:textId="77777777" w:rsidR="00BC399A" w:rsidRPr="00792B36" w:rsidRDefault="00BC399A" w:rsidP="00BC399A">
      <w:pPr>
        <w:spacing w:after="100"/>
        <w:ind w:firstLine="720"/>
        <w:jc w:val="thaiDistribute"/>
        <w:rPr>
          <w:sz w:val="24"/>
          <w:szCs w:val="24"/>
        </w:rPr>
      </w:pPr>
      <w:r w:rsidRPr="00792B36">
        <w:rPr>
          <w:sz w:val="24"/>
          <w:szCs w:val="24"/>
        </w:rPr>
        <w:t>Co-management success stories include:</w:t>
      </w:r>
    </w:p>
    <w:p w14:paraId="3A816074" w14:textId="77777777" w:rsidR="00BC399A" w:rsidRPr="00792B36" w:rsidRDefault="00BC399A" w:rsidP="00F61B37">
      <w:pPr>
        <w:widowControl/>
        <w:numPr>
          <w:ilvl w:val="0"/>
          <w:numId w:val="58"/>
        </w:numPr>
        <w:spacing w:after="100"/>
        <w:jc w:val="thaiDistribute"/>
        <w:rPr>
          <w:sz w:val="24"/>
          <w:szCs w:val="24"/>
        </w:rPr>
      </w:pPr>
      <w:r w:rsidRPr="00792B36">
        <w:rPr>
          <w:sz w:val="24"/>
          <w:szCs w:val="24"/>
        </w:rPr>
        <w:t>Welu Estuary Community Forest Group, which reforested &gt;300 ha since 2015 and established carbon monitoring.</w:t>
      </w:r>
    </w:p>
    <w:p w14:paraId="105E147D" w14:textId="77777777" w:rsidR="00BC399A" w:rsidRPr="00792B36" w:rsidRDefault="00BC399A" w:rsidP="00F61B37">
      <w:pPr>
        <w:widowControl/>
        <w:numPr>
          <w:ilvl w:val="0"/>
          <w:numId w:val="58"/>
        </w:numPr>
        <w:spacing w:after="100"/>
        <w:jc w:val="thaiDistribute"/>
        <w:rPr>
          <w:sz w:val="24"/>
          <w:szCs w:val="24"/>
        </w:rPr>
      </w:pPr>
      <w:r w:rsidRPr="00792B36">
        <w:rPr>
          <w:sz w:val="24"/>
          <w:szCs w:val="24"/>
        </w:rPr>
        <w:t>Bandon Bay Fishermen’s Network, which integrated blue carbon monitoring into local tourism enterprises.</w:t>
      </w:r>
    </w:p>
    <w:p w14:paraId="0444CACB" w14:textId="77777777" w:rsidR="00BC399A" w:rsidRPr="00792B36" w:rsidRDefault="00BC399A" w:rsidP="00F61B37">
      <w:pPr>
        <w:widowControl/>
        <w:numPr>
          <w:ilvl w:val="0"/>
          <w:numId w:val="58"/>
        </w:numPr>
        <w:spacing w:after="100"/>
        <w:jc w:val="thaiDistribute"/>
        <w:rPr>
          <w:sz w:val="24"/>
          <w:szCs w:val="24"/>
        </w:rPr>
      </w:pPr>
      <w:r w:rsidRPr="00792B36">
        <w:rPr>
          <w:sz w:val="24"/>
          <w:szCs w:val="24"/>
        </w:rPr>
        <w:t>Don Hoi Lot Ramsar Committee, involving DMCR, local authorities, and shellfish collectors in adaptive management.</w:t>
      </w:r>
    </w:p>
    <w:p w14:paraId="5E2476E1" w14:textId="77777777" w:rsidR="00BC399A" w:rsidRPr="00792B36" w:rsidRDefault="00BC399A" w:rsidP="00BC399A">
      <w:pPr>
        <w:spacing w:after="100"/>
        <w:ind w:firstLine="720"/>
        <w:jc w:val="thaiDistribute"/>
        <w:rPr>
          <w:b/>
          <w:bCs/>
          <w:i/>
          <w:iCs/>
          <w:sz w:val="24"/>
          <w:szCs w:val="24"/>
        </w:rPr>
      </w:pPr>
    </w:p>
    <w:p w14:paraId="37F18B3A" w14:textId="77777777" w:rsidR="00BC399A" w:rsidRPr="00792B36" w:rsidRDefault="00BC399A" w:rsidP="00BC399A">
      <w:pPr>
        <w:spacing w:after="100"/>
        <w:ind w:firstLine="720"/>
        <w:jc w:val="thaiDistribute"/>
        <w:rPr>
          <w:b/>
          <w:bCs/>
          <w:i/>
          <w:iCs/>
          <w:sz w:val="24"/>
          <w:szCs w:val="24"/>
        </w:rPr>
      </w:pPr>
      <w:r w:rsidRPr="00792B36">
        <w:rPr>
          <w:b/>
          <w:bCs/>
          <w:i/>
          <w:iCs/>
          <w:sz w:val="24"/>
          <w:szCs w:val="24"/>
        </w:rPr>
        <w:t>Cross-Cutting Issues and Recommendations</w:t>
      </w:r>
    </w:p>
    <w:p w14:paraId="487702B7" w14:textId="77777777" w:rsidR="00BC399A" w:rsidRPr="00792B36" w:rsidRDefault="00BC399A" w:rsidP="00F61B37">
      <w:pPr>
        <w:widowControl/>
        <w:numPr>
          <w:ilvl w:val="0"/>
          <w:numId w:val="59"/>
        </w:numPr>
        <w:spacing w:after="100"/>
        <w:jc w:val="thaiDistribute"/>
        <w:rPr>
          <w:sz w:val="24"/>
          <w:szCs w:val="24"/>
        </w:rPr>
      </w:pPr>
      <w:r w:rsidRPr="00792B36">
        <w:rPr>
          <w:sz w:val="24"/>
          <w:szCs w:val="24"/>
        </w:rPr>
        <w:t>Enhance Integrated Land–Sea Planning:</w:t>
      </w:r>
      <w:r w:rsidRPr="00792B36">
        <w:rPr>
          <w:sz w:val="24"/>
          <w:szCs w:val="24"/>
          <w:cs/>
        </w:rPr>
        <w:t xml:space="preserve"> </w:t>
      </w:r>
      <w:r w:rsidRPr="00792B36">
        <w:rPr>
          <w:sz w:val="24"/>
          <w:szCs w:val="24"/>
        </w:rPr>
        <w:t>Link watershed management with coastal ecosystem restoration to reduce sediment and pollution stress.</w:t>
      </w:r>
    </w:p>
    <w:p w14:paraId="18B00DBC" w14:textId="77777777" w:rsidR="00BC399A" w:rsidRPr="00792B36" w:rsidRDefault="00BC399A" w:rsidP="00F61B37">
      <w:pPr>
        <w:widowControl/>
        <w:numPr>
          <w:ilvl w:val="0"/>
          <w:numId w:val="59"/>
        </w:numPr>
        <w:spacing w:after="100"/>
        <w:jc w:val="thaiDistribute"/>
        <w:rPr>
          <w:sz w:val="24"/>
          <w:szCs w:val="24"/>
        </w:rPr>
      </w:pPr>
      <w:r w:rsidRPr="00792B36">
        <w:rPr>
          <w:sz w:val="24"/>
          <w:szCs w:val="24"/>
        </w:rPr>
        <w:t>Institutionalize Blue Carbon Accounting:</w:t>
      </w:r>
      <w:r w:rsidRPr="00792B36">
        <w:rPr>
          <w:sz w:val="24"/>
          <w:szCs w:val="24"/>
          <w:cs/>
        </w:rPr>
        <w:t xml:space="preserve"> </w:t>
      </w:r>
      <w:r w:rsidRPr="00792B36">
        <w:rPr>
          <w:sz w:val="24"/>
          <w:szCs w:val="24"/>
        </w:rPr>
        <w:t>Establish standardized methodologies for carbon monitoring and inclusion in national GHG inventories.</w:t>
      </w:r>
    </w:p>
    <w:p w14:paraId="350BA450" w14:textId="77777777" w:rsidR="00BC399A" w:rsidRPr="00792B36" w:rsidRDefault="00BC399A" w:rsidP="00F61B37">
      <w:pPr>
        <w:widowControl/>
        <w:numPr>
          <w:ilvl w:val="0"/>
          <w:numId w:val="59"/>
        </w:numPr>
        <w:spacing w:after="100"/>
        <w:jc w:val="thaiDistribute"/>
        <w:rPr>
          <w:sz w:val="24"/>
          <w:szCs w:val="24"/>
        </w:rPr>
      </w:pPr>
      <w:r w:rsidRPr="00792B36">
        <w:rPr>
          <w:sz w:val="24"/>
          <w:szCs w:val="24"/>
        </w:rPr>
        <w:t>Develop Sustainable Financing:</w:t>
      </w:r>
      <w:r w:rsidRPr="00792B36">
        <w:rPr>
          <w:sz w:val="24"/>
          <w:szCs w:val="24"/>
          <w:cs/>
        </w:rPr>
        <w:t xml:space="preserve"> </w:t>
      </w:r>
      <w:r w:rsidRPr="00792B36">
        <w:rPr>
          <w:sz w:val="24"/>
          <w:szCs w:val="24"/>
        </w:rPr>
        <w:t>Leverage green and blue funds for restoration (e.g., Thailand Climate Change Fund, GCF readiness projects).</w:t>
      </w:r>
    </w:p>
    <w:p w14:paraId="1AAB61B0" w14:textId="77777777" w:rsidR="00BC399A" w:rsidRPr="00792B36" w:rsidRDefault="00BC399A" w:rsidP="00F61B37">
      <w:pPr>
        <w:widowControl/>
        <w:numPr>
          <w:ilvl w:val="0"/>
          <w:numId w:val="59"/>
        </w:numPr>
        <w:spacing w:after="100"/>
        <w:jc w:val="thaiDistribute"/>
        <w:rPr>
          <w:sz w:val="24"/>
          <w:szCs w:val="24"/>
        </w:rPr>
      </w:pPr>
      <w:r w:rsidRPr="00792B36">
        <w:rPr>
          <w:sz w:val="24"/>
          <w:szCs w:val="24"/>
        </w:rPr>
        <w:t>Expand Community-Based Monitoring:</w:t>
      </w:r>
      <w:r w:rsidRPr="00792B36">
        <w:rPr>
          <w:sz w:val="24"/>
          <w:szCs w:val="24"/>
          <w:cs/>
        </w:rPr>
        <w:t xml:space="preserve"> </w:t>
      </w:r>
      <w:r w:rsidRPr="00792B36">
        <w:rPr>
          <w:sz w:val="24"/>
          <w:szCs w:val="24"/>
        </w:rPr>
        <w:t>Support citizen science initiatives to improve spatial data on species, hydrology, and carbon.</w:t>
      </w:r>
    </w:p>
    <w:p w14:paraId="3BCF617F" w14:textId="77777777" w:rsidR="00BC399A" w:rsidRPr="00792B36" w:rsidRDefault="00BC399A" w:rsidP="00F61B37">
      <w:pPr>
        <w:widowControl/>
        <w:numPr>
          <w:ilvl w:val="0"/>
          <w:numId w:val="59"/>
        </w:numPr>
        <w:spacing w:after="100"/>
        <w:jc w:val="thaiDistribute"/>
        <w:rPr>
          <w:sz w:val="24"/>
          <w:szCs w:val="24"/>
        </w:rPr>
      </w:pPr>
      <w:r w:rsidRPr="00792B36">
        <w:rPr>
          <w:sz w:val="24"/>
          <w:szCs w:val="24"/>
        </w:rPr>
        <w:lastRenderedPageBreak/>
        <w:t>Strengthen Legal Frameworks:</w:t>
      </w:r>
      <w:r w:rsidRPr="00792B36">
        <w:rPr>
          <w:sz w:val="24"/>
          <w:szCs w:val="24"/>
          <w:cs/>
        </w:rPr>
        <w:t xml:space="preserve"> </w:t>
      </w:r>
      <w:r w:rsidRPr="00792B36">
        <w:rPr>
          <w:sz w:val="24"/>
          <w:szCs w:val="24"/>
        </w:rPr>
        <w:t>Update the Mangrove Management Master Plan (2025–2035) to align with the BBNJ Agreement and SDG targets.</w:t>
      </w:r>
    </w:p>
    <w:p w14:paraId="1DDC26B2" w14:textId="77777777" w:rsidR="00BC399A" w:rsidRPr="00792B36" w:rsidRDefault="00BC399A" w:rsidP="00F61B37">
      <w:pPr>
        <w:widowControl/>
        <w:numPr>
          <w:ilvl w:val="0"/>
          <w:numId w:val="59"/>
        </w:numPr>
        <w:spacing w:after="100"/>
        <w:jc w:val="thaiDistribute"/>
        <w:rPr>
          <w:sz w:val="24"/>
          <w:szCs w:val="24"/>
        </w:rPr>
      </w:pPr>
      <w:r w:rsidRPr="00792B36">
        <w:rPr>
          <w:sz w:val="24"/>
          <w:szCs w:val="24"/>
        </w:rPr>
        <w:t>Integrate Restoration with Livelihoods:</w:t>
      </w:r>
      <w:r w:rsidRPr="00792B36">
        <w:rPr>
          <w:sz w:val="24"/>
          <w:szCs w:val="24"/>
          <w:cs/>
        </w:rPr>
        <w:t xml:space="preserve"> </w:t>
      </w:r>
      <w:r w:rsidRPr="00792B36">
        <w:rPr>
          <w:sz w:val="24"/>
          <w:szCs w:val="24"/>
        </w:rPr>
        <w:t>Promote silvo-fishery systems, eco-tourism, and blue carbon offsetting to align local benefits with conservation outcomes.</w:t>
      </w:r>
    </w:p>
    <w:p w14:paraId="21C5412C" w14:textId="77777777" w:rsidR="00BC399A" w:rsidRPr="00792B36" w:rsidRDefault="00BC399A" w:rsidP="00BC399A">
      <w:pPr>
        <w:spacing w:after="100"/>
        <w:ind w:firstLine="720"/>
        <w:jc w:val="thaiDistribute"/>
        <w:rPr>
          <w:sz w:val="24"/>
          <w:szCs w:val="24"/>
        </w:rPr>
      </w:pPr>
      <w:r w:rsidRPr="00792B36">
        <w:rPr>
          <w:sz w:val="24"/>
          <w:szCs w:val="24"/>
        </w:rPr>
        <w:t>Thailand’s mangrove and wetland ecosystems are ecologically diverse, socially significant, and economically productive yet increasingly vulnerable to cumulative anthropogenic pressures and climate stressors. The five focal sites (Welu River Estuary, Bandon Bay, Pak Phanang Bay, Samut Prakan, and Don Hoi Lot) collectively represent the full spectrum of coastal ecosystem conditions in the Gulf of Thailand, ranging from relatively intact natural systems to highly modified industrial estuaries.</w:t>
      </w:r>
    </w:p>
    <w:p w14:paraId="27620BE7" w14:textId="77777777" w:rsidR="00BC399A" w:rsidRPr="00792B36" w:rsidRDefault="00BC399A" w:rsidP="00BC399A">
      <w:pPr>
        <w:spacing w:after="100"/>
        <w:ind w:firstLine="720"/>
        <w:jc w:val="thaiDistribute"/>
        <w:rPr>
          <w:sz w:val="24"/>
          <w:szCs w:val="24"/>
        </w:rPr>
      </w:pPr>
      <w:r w:rsidRPr="00792B36">
        <w:rPr>
          <w:sz w:val="24"/>
          <w:szCs w:val="24"/>
        </w:rPr>
        <w:t>Overall, the condition indicators show that mangrove cover and biodiversity have stabilized or improved modestly in most areas due to reforestation, policy interventions, and community-based management. Pressure indicators, however, reveal persistent challenges: habitat fragmentation, water pollution, sediment imbalance, and urban encroachment. Despite restoration gains, external watershed drivers and climate-related sea-level rise continue to erode long-term resilience.</w:t>
      </w:r>
    </w:p>
    <w:p w14:paraId="776F6B5D" w14:textId="77777777" w:rsidR="00BC399A" w:rsidRPr="00792B36" w:rsidRDefault="00BC399A" w:rsidP="00BC399A">
      <w:pPr>
        <w:spacing w:after="100"/>
        <w:ind w:firstLine="720"/>
        <w:jc w:val="thaiDistribute"/>
        <w:rPr>
          <w:sz w:val="24"/>
          <w:szCs w:val="24"/>
        </w:rPr>
      </w:pPr>
      <w:r w:rsidRPr="00792B36">
        <w:rPr>
          <w:sz w:val="24"/>
          <w:szCs w:val="24"/>
        </w:rPr>
        <w:t>Economically, the assessed mangrove and wetland systems yield combined ecosystem service values exceeding US$100 million per year, underscoring their importance for national blue economy development, carbon neutrality, and disaster risk reduction. Yet these values are seldom internalized into planning or investment decisions. Strengthening the policy–finance–science interface will be key to unlocking the full potential of these ecosystems as natural climate assets.</w:t>
      </w:r>
    </w:p>
    <w:p w14:paraId="0876D5CF" w14:textId="77777777" w:rsidR="00BC399A" w:rsidRPr="00792B36" w:rsidRDefault="00BC399A" w:rsidP="00BC399A">
      <w:pPr>
        <w:spacing w:after="100"/>
        <w:ind w:firstLine="720"/>
        <w:jc w:val="thaiDistribute"/>
        <w:rPr>
          <w:sz w:val="24"/>
          <w:szCs w:val="24"/>
        </w:rPr>
      </w:pPr>
      <w:r w:rsidRPr="00792B36">
        <w:rPr>
          <w:sz w:val="24"/>
          <w:szCs w:val="24"/>
        </w:rPr>
        <w:t>From an institutional perspective, Thailand has made notable progress under the Department of Marine and Coastal Resources (DMCR) through Integrated Coastal Management (ICM) frameworks, the Mangrove Management Master Plan, and partnerships with local governments and communities. However, implementation remains uneven. Improved data sharing, clearer jurisdictional mandates, and enhanced monitoring capacity are urgently needed.</w:t>
      </w:r>
    </w:p>
    <w:p w14:paraId="51F525D0" w14:textId="77777777" w:rsidR="00BC399A" w:rsidRPr="00792B36" w:rsidRDefault="00BC399A" w:rsidP="00BC399A">
      <w:pPr>
        <w:spacing w:after="100"/>
        <w:ind w:firstLine="720"/>
        <w:jc w:val="thaiDistribute"/>
        <w:rPr>
          <w:sz w:val="24"/>
          <w:szCs w:val="24"/>
        </w:rPr>
      </w:pPr>
      <w:r w:rsidRPr="00792B36">
        <w:rPr>
          <w:sz w:val="24"/>
          <w:szCs w:val="24"/>
        </w:rPr>
        <w:t>At the community level, local networks in Welu and Bandon Bays demonstrate successful co-management through silvo-fishery, eco-restoration, and blue carbon pilot projects, serving as replicable models for scaling nationwide. The experience from Don Hoi Lot also highlights the value of participatory monitoring in sustaining Ramsar sites under multiple-use regimes.</w:t>
      </w:r>
    </w:p>
    <w:p w14:paraId="44B87E92" w14:textId="77777777" w:rsidR="00BC399A" w:rsidRPr="00792B36" w:rsidRDefault="00BC399A" w:rsidP="00BC399A">
      <w:pPr>
        <w:spacing w:after="100"/>
        <w:ind w:firstLine="720"/>
        <w:jc w:val="thaiDistribute"/>
        <w:rPr>
          <w:sz w:val="24"/>
          <w:szCs w:val="24"/>
        </w:rPr>
      </w:pPr>
      <w:r w:rsidRPr="00792B36">
        <w:rPr>
          <w:sz w:val="24"/>
          <w:szCs w:val="24"/>
        </w:rPr>
        <w:t>Looking ahead, sustaining mangrove and wetland resilience in Thailand will require a paradigm shift from restoration to regeneration, embedding these ecosystems into climate adaptation, carbon markets, and socio-economic development. A set of strategic priorities emerges from this assessment:</w:t>
      </w:r>
    </w:p>
    <w:p w14:paraId="74DC70FE" w14:textId="77777777" w:rsidR="00BC399A" w:rsidRPr="00792B36" w:rsidRDefault="00BC399A" w:rsidP="00F61B37">
      <w:pPr>
        <w:widowControl/>
        <w:numPr>
          <w:ilvl w:val="0"/>
          <w:numId w:val="60"/>
        </w:numPr>
        <w:spacing w:after="100"/>
        <w:jc w:val="thaiDistribute"/>
        <w:rPr>
          <w:sz w:val="24"/>
          <w:szCs w:val="24"/>
        </w:rPr>
      </w:pPr>
      <w:r w:rsidRPr="00792B36">
        <w:rPr>
          <w:sz w:val="24"/>
          <w:szCs w:val="24"/>
        </w:rPr>
        <w:t>Mainstream Nature-based Solutions (NbS) and Blue Carbon mechanisms into national climate and tourism strategies to secure long-term financing.</w:t>
      </w:r>
    </w:p>
    <w:p w14:paraId="47E7A4D4" w14:textId="77777777" w:rsidR="00BC399A" w:rsidRPr="00792B36" w:rsidRDefault="00BC399A" w:rsidP="00F61B37">
      <w:pPr>
        <w:widowControl/>
        <w:numPr>
          <w:ilvl w:val="0"/>
          <w:numId w:val="60"/>
        </w:numPr>
        <w:spacing w:after="100"/>
        <w:jc w:val="thaiDistribute"/>
        <w:rPr>
          <w:sz w:val="24"/>
          <w:szCs w:val="24"/>
        </w:rPr>
      </w:pPr>
      <w:r w:rsidRPr="00792B36">
        <w:rPr>
          <w:sz w:val="24"/>
          <w:szCs w:val="24"/>
        </w:rPr>
        <w:t>Institutionalize ecosystem accounting under Thailand’s Ocean Accounts framework, linking biodiversity and carbon metrics to investment outcomes.</w:t>
      </w:r>
    </w:p>
    <w:p w14:paraId="1CAB29B7" w14:textId="77777777" w:rsidR="00BC399A" w:rsidRPr="00792B36" w:rsidRDefault="00BC399A" w:rsidP="00F61B37">
      <w:pPr>
        <w:widowControl/>
        <w:numPr>
          <w:ilvl w:val="0"/>
          <w:numId w:val="60"/>
        </w:numPr>
        <w:spacing w:after="100"/>
        <w:jc w:val="thaiDistribute"/>
        <w:rPr>
          <w:sz w:val="24"/>
          <w:szCs w:val="24"/>
        </w:rPr>
      </w:pPr>
      <w:r w:rsidRPr="00792B36">
        <w:rPr>
          <w:sz w:val="24"/>
          <w:szCs w:val="24"/>
        </w:rPr>
        <w:t>Enhance community empowerment through decentralized governance, capacity building, and equitable benefit-sharing mechanisms.</w:t>
      </w:r>
    </w:p>
    <w:p w14:paraId="6D6C1D01" w14:textId="77777777" w:rsidR="00BC399A" w:rsidRPr="00792B36" w:rsidRDefault="00BC399A" w:rsidP="00F61B37">
      <w:pPr>
        <w:widowControl/>
        <w:numPr>
          <w:ilvl w:val="0"/>
          <w:numId w:val="60"/>
        </w:numPr>
        <w:spacing w:after="100"/>
        <w:jc w:val="thaiDistribute"/>
        <w:rPr>
          <w:sz w:val="24"/>
          <w:szCs w:val="24"/>
        </w:rPr>
      </w:pPr>
      <w:r w:rsidRPr="00792B36">
        <w:rPr>
          <w:sz w:val="24"/>
          <w:szCs w:val="24"/>
        </w:rPr>
        <w:t>Foster regional cooperation under ASEAN and BBNJ frameworks to protect transboundary mangrove–wetland corridors and migratory bird habitats.</w:t>
      </w:r>
    </w:p>
    <w:p w14:paraId="67A1B329" w14:textId="77777777" w:rsidR="00BC399A" w:rsidRPr="00792B36" w:rsidRDefault="00BC399A" w:rsidP="00F61B37">
      <w:pPr>
        <w:widowControl/>
        <w:numPr>
          <w:ilvl w:val="0"/>
          <w:numId w:val="60"/>
        </w:numPr>
        <w:spacing w:after="100"/>
        <w:jc w:val="thaiDistribute"/>
        <w:rPr>
          <w:sz w:val="24"/>
          <w:szCs w:val="24"/>
        </w:rPr>
      </w:pPr>
      <w:r w:rsidRPr="00792B36">
        <w:rPr>
          <w:sz w:val="24"/>
          <w:szCs w:val="24"/>
        </w:rPr>
        <w:lastRenderedPageBreak/>
        <w:t>Expand research–policy integration, especially on ecosystem thresholds, hydrological restoration, and socio-economic valuation.</w:t>
      </w:r>
    </w:p>
    <w:p w14:paraId="41631937" w14:textId="77777777" w:rsidR="00BC399A" w:rsidRPr="00792B36" w:rsidRDefault="00BC399A" w:rsidP="00BC399A">
      <w:pPr>
        <w:spacing w:after="100"/>
        <w:ind w:firstLine="720"/>
        <w:jc w:val="thaiDistribute"/>
        <w:rPr>
          <w:sz w:val="24"/>
          <w:szCs w:val="24"/>
        </w:rPr>
      </w:pPr>
      <w:r w:rsidRPr="00792B36">
        <w:rPr>
          <w:sz w:val="24"/>
          <w:szCs w:val="24"/>
        </w:rPr>
        <w:t>In conclusion, Thailand’s mangroves and wetlands are at a pivotal moment. They have demonstrated ecological recovery and community resilience but remain under pressure from rapid development and climate uncertainty. Achieving sustainable outcomes will depend on the nation’s ability to connect science, governance, and finance—transforming mangroves and wetlands from degraded resources into living infrastructures for a climate-resilient, carbon-neutral, and nature-positive future.</w:t>
      </w:r>
    </w:p>
    <w:p w14:paraId="44A71BC4" w14:textId="77777777" w:rsidR="00BC399A" w:rsidRPr="00792B36" w:rsidRDefault="00BC399A" w:rsidP="00BC399A">
      <w:pPr>
        <w:spacing w:after="100"/>
        <w:ind w:firstLine="720"/>
        <w:jc w:val="thaiDistribute"/>
        <w:rPr>
          <w:sz w:val="24"/>
          <w:szCs w:val="24"/>
        </w:rPr>
      </w:pPr>
    </w:p>
    <w:p w14:paraId="11CB2D59" w14:textId="77777777" w:rsidR="00BC399A" w:rsidRPr="00792B36" w:rsidRDefault="00BC399A" w:rsidP="00BC399A">
      <w:pPr>
        <w:spacing w:after="100"/>
        <w:ind w:firstLine="720"/>
        <w:rPr>
          <w:b/>
          <w:bCs/>
          <w:sz w:val="24"/>
          <w:szCs w:val="24"/>
        </w:rPr>
      </w:pPr>
      <w:r w:rsidRPr="00792B36">
        <w:rPr>
          <w:b/>
          <w:bCs/>
          <w:sz w:val="24"/>
          <w:szCs w:val="24"/>
        </w:rPr>
        <w:t>4.2.2 Coral Reefs and Seagrasses</w:t>
      </w:r>
    </w:p>
    <w:p w14:paraId="3A97650E" w14:textId="77777777" w:rsidR="00BC399A" w:rsidRPr="00792B36" w:rsidRDefault="00BC399A" w:rsidP="00BC399A">
      <w:pPr>
        <w:spacing w:after="100"/>
        <w:ind w:firstLine="720"/>
        <w:jc w:val="thaiDistribute"/>
        <w:rPr>
          <w:sz w:val="24"/>
          <w:szCs w:val="24"/>
        </w:rPr>
      </w:pPr>
      <w:r w:rsidRPr="00792B36">
        <w:rPr>
          <w:sz w:val="24"/>
          <w:szCs w:val="24"/>
        </w:rPr>
        <w:t>Coral reefs and seagrass meadows in the Gulf of Thailand are among the nation’s most productive and ecologically significant coastal ecosystems, providing the foundation for biodiversity, fisheries, and coastal protection. These ecosystems offer essential services such as nutrient cycling, carbon sequestration, and shoreline stabilization, while serving as critical nurseries for fish and invertebrates. Their condition varies considerably across spatial gradients, reflecting differences in exposure to human pressures, geomorphology, and hydrodynamic settings.</w:t>
      </w:r>
    </w:p>
    <w:p w14:paraId="5D0CACFD" w14:textId="77777777" w:rsidR="00BC399A" w:rsidRPr="00792B36" w:rsidRDefault="00BC399A" w:rsidP="00BC399A">
      <w:pPr>
        <w:spacing w:after="100"/>
        <w:ind w:firstLine="720"/>
        <w:jc w:val="thaiDistribute"/>
        <w:rPr>
          <w:sz w:val="24"/>
          <w:szCs w:val="24"/>
        </w:rPr>
      </w:pPr>
      <w:r w:rsidRPr="00792B36">
        <w:rPr>
          <w:sz w:val="24"/>
          <w:szCs w:val="24"/>
        </w:rPr>
        <w:t>Across the Gulf, coral reefs and seagrasses exhibit strong spatial gradients in condition, resilience, and exposure to human pressures:</w:t>
      </w:r>
    </w:p>
    <w:p w14:paraId="4A555D1F" w14:textId="77777777" w:rsidR="00BC399A" w:rsidRPr="00792B36" w:rsidRDefault="00BC399A" w:rsidP="00F61B37">
      <w:pPr>
        <w:widowControl/>
        <w:numPr>
          <w:ilvl w:val="0"/>
          <w:numId w:val="61"/>
        </w:numPr>
        <w:spacing w:after="100"/>
        <w:jc w:val="thaiDistribute"/>
        <w:rPr>
          <w:sz w:val="24"/>
          <w:szCs w:val="24"/>
        </w:rPr>
      </w:pPr>
      <w:r w:rsidRPr="00792B36">
        <w:rPr>
          <w:sz w:val="24"/>
          <w:szCs w:val="24"/>
        </w:rPr>
        <w:t>Offshore coral reefs</w:t>
      </w:r>
      <w:r w:rsidRPr="00792B36">
        <w:rPr>
          <w:sz w:val="24"/>
          <w:szCs w:val="24"/>
          <w:cs/>
        </w:rPr>
        <w:t xml:space="preserve"> </w:t>
      </w:r>
      <w:r w:rsidRPr="00792B36">
        <w:rPr>
          <w:sz w:val="24"/>
          <w:szCs w:val="24"/>
        </w:rPr>
        <w:t xml:space="preserve">particularly Koh Losin, Koh Kra, and Koh Tao, remain in healthy to remarkably healthy condition, with live coral cover ranging from 59.5–69.5% and high proportions of massive and branching corals such as </w:t>
      </w:r>
      <w:r w:rsidRPr="00792B36">
        <w:rPr>
          <w:i/>
          <w:iCs/>
          <w:sz w:val="24"/>
          <w:szCs w:val="24"/>
        </w:rPr>
        <w:t>Acropora</w:t>
      </w:r>
      <w:r w:rsidRPr="00792B36">
        <w:rPr>
          <w:sz w:val="24"/>
          <w:szCs w:val="24"/>
        </w:rPr>
        <w:t xml:space="preserve">, </w:t>
      </w:r>
      <w:r w:rsidRPr="00792B36">
        <w:rPr>
          <w:i/>
          <w:iCs/>
          <w:sz w:val="24"/>
          <w:szCs w:val="24"/>
        </w:rPr>
        <w:t>Porites</w:t>
      </w:r>
      <w:r w:rsidRPr="00792B36">
        <w:rPr>
          <w:sz w:val="24"/>
          <w:szCs w:val="24"/>
        </w:rPr>
        <w:t xml:space="preserve">, and </w:t>
      </w:r>
      <w:r w:rsidRPr="00792B36">
        <w:rPr>
          <w:i/>
          <w:iCs/>
          <w:sz w:val="24"/>
          <w:szCs w:val="24"/>
        </w:rPr>
        <w:t>Montipora</w:t>
      </w:r>
      <w:r w:rsidRPr="00792B36">
        <w:rPr>
          <w:sz w:val="24"/>
          <w:szCs w:val="24"/>
        </w:rPr>
        <w:t>. These reefs exhibit strong structural complexity, high fish biomass, and limited sedimentation due to clear oceanic waters and low anthropogenic stress. Koh Losin, in particular, demonstrates outstanding resilience, with minimal algal overgrowth and stable coral–fish trophic structures. These offshore systems are key larval sources and biodiversity reservoirs, critical to maintaining Gulf-wide ecological connectivity.</w:t>
      </w:r>
    </w:p>
    <w:p w14:paraId="47E247BA" w14:textId="77777777" w:rsidR="00BC399A" w:rsidRPr="00792B36" w:rsidRDefault="00BC399A" w:rsidP="00F61B37">
      <w:pPr>
        <w:widowControl/>
        <w:numPr>
          <w:ilvl w:val="0"/>
          <w:numId w:val="61"/>
        </w:numPr>
        <w:spacing w:after="100"/>
        <w:jc w:val="thaiDistribute"/>
        <w:rPr>
          <w:sz w:val="24"/>
          <w:szCs w:val="24"/>
        </w:rPr>
      </w:pPr>
      <w:r w:rsidRPr="00792B36">
        <w:rPr>
          <w:sz w:val="24"/>
          <w:szCs w:val="24"/>
        </w:rPr>
        <w:t xml:space="preserve">Underwater pinnacles in Chumphon Province represent unique offshore habitats characterized by 31.1% live coral cover, 27.2% dead coral, and 23.8% rocky substrate, indicating a moderately disturbed yet resilient ecosystem. Dominant taxa include </w:t>
      </w:r>
      <w:r w:rsidRPr="00792B36">
        <w:rPr>
          <w:i/>
          <w:iCs/>
          <w:sz w:val="24"/>
          <w:szCs w:val="24"/>
        </w:rPr>
        <w:t>Porites lutea</w:t>
      </w:r>
      <w:r w:rsidRPr="00792B36">
        <w:rPr>
          <w:sz w:val="24"/>
          <w:szCs w:val="24"/>
        </w:rPr>
        <w:t xml:space="preserve">, </w:t>
      </w:r>
      <w:r w:rsidRPr="00792B36">
        <w:rPr>
          <w:i/>
          <w:iCs/>
          <w:sz w:val="24"/>
          <w:szCs w:val="24"/>
        </w:rPr>
        <w:t>Platygyra sinensis</w:t>
      </w:r>
      <w:r w:rsidRPr="00792B36">
        <w:rPr>
          <w:sz w:val="24"/>
          <w:szCs w:val="24"/>
        </w:rPr>
        <w:t xml:space="preserve">, </w:t>
      </w:r>
      <w:r w:rsidRPr="00792B36">
        <w:rPr>
          <w:i/>
          <w:iCs/>
          <w:sz w:val="24"/>
          <w:szCs w:val="24"/>
        </w:rPr>
        <w:t>Favia favus</w:t>
      </w:r>
      <w:r w:rsidRPr="00792B36">
        <w:rPr>
          <w:sz w:val="24"/>
          <w:szCs w:val="24"/>
        </w:rPr>
        <w:t xml:space="preserve">, and </w:t>
      </w:r>
      <w:r w:rsidRPr="00792B36">
        <w:rPr>
          <w:i/>
          <w:iCs/>
          <w:sz w:val="24"/>
          <w:szCs w:val="24"/>
        </w:rPr>
        <w:t>Dipsastraea pallida</w:t>
      </w:r>
      <w:r w:rsidRPr="00792B36">
        <w:rPr>
          <w:sz w:val="24"/>
          <w:szCs w:val="24"/>
        </w:rPr>
        <w:t>, which form dense coral gardens along slopes at depths of 15–25 meters. These pinnacles support abundant reef fish assemblages and function as ecological linkages between coastal and deep reef systems, facilitating larval dispersal across the Gulf of Thailand. Although past disturbances such as coral bleaching and anchor damage have occurred, the reefs demonstrate high recovery potential under effective management. The site’s geomorphology and current regimes promote coral recruitment, making it a critical area for sustaining long-term reef resilience and contributing to blue carbon storage.</w:t>
      </w:r>
    </w:p>
    <w:p w14:paraId="4EE67FC3" w14:textId="77777777" w:rsidR="00BC399A" w:rsidRPr="00792B36" w:rsidRDefault="00BC399A" w:rsidP="00F61B37">
      <w:pPr>
        <w:widowControl/>
        <w:numPr>
          <w:ilvl w:val="0"/>
          <w:numId w:val="61"/>
        </w:numPr>
        <w:spacing w:after="100"/>
        <w:jc w:val="thaiDistribute"/>
        <w:rPr>
          <w:sz w:val="24"/>
          <w:szCs w:val="24"/>
        </w:rPr>
      </w:pPr>
      <w:r w:rsidRPr="00792B36">
        <w:rPr>
          <w:sz w:val="24"/>
          <w:szCs w:val="24"/>
        </w:rPr>
        <w:t xml:space="preserve">Nearshore reefs at Koh Si Chang (29.2%), Koh Lan (39.5%), Koh Mak (29.7%), and Koh Kood (33.5%) exhibit moderately healthy to degraded conditions, with substantial proportions of dead coral and sandy substrate. These patterns reflect chronic sedimentation, eutrophication, and physical damage associated with coastal tourism and dredging activities. Reefs near Laem Chabang and Si </w:t>
      </w:r>
      <w:r w:rsidRPr="00792B36">
        <w:rPr>
          <w:sz w:val="24"/>
          <w:szCs w:val="24"/>
        </w:rPr>
        <w:lastRenderedPageBreak/>
        <w:t>Racha experience particularly high sediment and pollution loads, microplastic contamination (0.02–42.46 particles/m³), and recurrent coral bleaching events, notably in 2010 and 2020. Although coral restoration initiatives</w:t>
      </w:r>
      <w:r w:rsidRPr="00792B36">
        <w:rPr>
          <w:sz w:val="24"/>
          <w:szCs w:val="24"/>
          <w:cs/>
        </w:rPr>
        <w:t xml:space="preserve"> </w:t>
      </w:r>
      <w:r w:rsidRPr="00792B36">
        <w:rPr>
          <w:sz w:val="24"/>
          <w:szCs w:val="24"/>
        </w:rPr>
        <w:t>such as coral nurseries and artificial reef modules</w:t>
      </w:r>
      <w:r w:rsidRPr="00792B36">
        <w:rPr>
          <w:sz w:val="24"/>
          <w:szCs w:val="24"/>
          <w:cs/>
        </w:rPr>
        <w:t xml:space="preserve"> </w:t>
      </w:r>
      <w:r w:rsidRPr="00792B36">
        <w:rPr>
          <w:sz w:val="24"/>
          <w:szCs w:val="24"/>
        </w:rPr>
        <w:t>have been implemented by the Department of Marine and Coastal Resources (DMCR) and local universities, natural recovery remains constrained by persistent turbidity and thermal stress. Continuous monitoring, coupled with effective land-based pollution management, is essential to enhance the resilience and recovery potential of these nearshore reef systems.</w:t>
      </w:r>
    </w:p>
    <w:p w14:paraId="7BC049D5" w14:textId="77777777" w:rsidR="00BC399A" w:rsidRPr="00792B36" w:rsidRDefault="00BC399A" w:rsidP="00F61B37">
      <w:pPr>
        <w:widowControl/>
        <w:numPr>
          <w:ilvl w:val="0"/>
          <w:numId w:val="61"/>
        </w:numPr>
        <w:spacing w:after="100"/>
        <w:jc w:val="thaiDistribute"/>
        <w:rPr>
          <w:sz w:val="24"/>
          <w:szCs w:val="24"/>
        </w:rPr>
      </w:pPr>
      <w:r w:rsidRPr="00792B36">
        <w:rPr>
          <w:sz w:val="24"/>
          <w:szCs w:val="24"/>
        </w:rPr>
        <w:t xml:space="preserve">Seagrass habitats are concentrated in Ban Don Bay (12.74 km², ~30% coverage) and Chumphon (11.64 km², ~27% coverage), dominated by </w:t>
      </w:r>
      <w:r w:rsidRPr="00792B36">
        <w:rPr>
          <w:i/>
          <w:iCs/>
          <w:sz w:val="24"/>
          <w:szCs w:val="24"/>
        </w:rPr>
        <w:t>Enhalus acoroides</w:t>
      </w:r>
      <w:r w:rsidRPr="00792B36">
        <w:rPr>
          <w:sz w:val="24"/>
          <w:szCs w:val="24"/>
        </w:rPr>
        <w:t xml:space="preserve">, </w:t>
      </w:r>
      <w:r w:rsidRPr="00792B36">
        <w:rPr>
          <w:i/>
          <w:iCs/>
          <w:sz w:val="24"/>
          <w:szCs w:val="24"/>
        </w:rPr>
        <w:t>Thalassia hemprichii</w:t>
      </w:r>
      <w:r w:rsidRPr="00792B36">
        <w:rPr>
          <w:sz w:val="24"/>
          <w:szCs w:val="24"/>
        </w:rPr>
        <w:t xml:space="preserve">, </w:t>
      </w:r>
      <w:r w:rsidRPr="00792B36">
        <w:rPr>
          <w:i/>
          <w:iCs/>
          <w:sz w:val="24"/>
          <w:szCs w:val="24"/>
        </w:rPr>
        <w:t>Halodule uninervis</w:t>
      </w:r>
      <w:r w:rsidRPr="00792B36">
        <w:rPr>
          <w:sz w:val="24"/>
          <w:szCs w:val="24"/>
        </w:rPr>
        <w:t xml:space="preserve">, and </w:t>
      </w:r>
      <w:r w:rsidRPr="00792B36">
        <w:rPr>
          <w:i/>
          <w:iCs/>
          <w:sz w:val="24"/>
          <w:szCs w:val="24"/>
        </w:rPr>
        <w:t>Halophila ovalis</w:t>
      </w:r>
      <w:r w:rsidRPr="00792B36">
        <w:rPr>
          <w:sz w:val="24"/>
          <w:szCs w:val="24"/>
        </w:rPr>
        <w:t>. These meadows function as blue carbon sinks, nursery grounds for dugongs, sea turtles, and juvenile fish, and sediment stabilizers. Chumphon’s meadows, extending across 8,000–10,000 hectares, fall partly within Mu Ko Chumphon National Park (IUCN II) and are managed as multiple-use zones under DMCR supervision. While generally stable, these seagrass systems face localized degradation from nutrient enrichment, aquaculture expansion, and boat propeller scarring. Restoration and monitoring are strengthened by community-based programs and blue carbon initiatives contributing to Thailand’s Nationally Determined Contributions (NDCs) for climate mitigation.Collectively, coral reefs, underwater pinnacles, and seagrass meadows form an interconnected ecological network. The offshore reefs and pinnacles act as biodiversity reservoirs and larval sources, while nearshore reefs and seagrass beds provide critical habitat functions for fisheries and local livelihoods. Maintaining these linkages is essential for sustaining ecosystem resilience, blue carbon potential, and the ecological integrity of the Gulf of Thailand.</w:t>
      </w:r>
    </w:p>
    <w:p w14:paraId="1ADD6319" w14:textId="77777777" w:rsidR="00BC399A" w:rsidRPr="00792B36" w:rsidRDefault="00BC399A" w:rsidP="00BC399A">
      <w:pPr>
        <w:spacing w:after="100"/>
        <w:ind w:firstLine="720"/>
        <w:jc w:val="thaiDistribute"/>
        <w:rPr>
          <w:b/>
          <w:bCs/>
          <w:i/>
          <w:iCs/>
          <w:sz w:val="24"/>
          <w:szCs w:val="24"/>
        </w:rPr>
      </w:pPr>
      <w:r w:rsidRPr="00792B36">
        <w:rPr>
          <w:b/>
          <w:bCs/>
          <w:i/>
          <w:iCs/>
          <w:sz w:val="24"/>
          <w:szCs w:val="24"/>
        </w:rPr>
        <w:t>Condition Indicators</w:t>
      </w:r>
    </w:p>
    <w:p w14:paraId="3A2F6D28" w14:textId="77777777" w:rsidR="00BC399A" w:rsidRPr="00792B36" w:rsidRDefault="00BC399A" w:rsidP="00BC399A">
      <w:pPr>
        <w:spacing w:after="100"/>
        <w:ind w:firstLine="720"/>
        <w:jc w:val="thaiDistribute"/>
        <w:rPr>
          <w:sz w:val="24"/>
          <w:szCs w:val="24"/>
        </w:rPr>
      </w:pPr>
      <w:r w:rsidRPr="00792B36">
        <w:rPr>
          <w:sz w:val="24"/>
          <w:szCs w:val="24"/>
        </w:rPr>
        <w:t>The biological condition of coral reefs and seagrass ecosystems in the Gulf of Thailand demonstrates clear spatial heterogeneity, shaped by water quality, geomorphology, and anthropogenic pressures. Overall, offshore ecosystems exhibit strong ecological integrity and resilience, while nearshore habitats remain under stress from sedimentation, pollution, and tourism activities.</w:t>
      </w:r>
    </w:p>
    <w:p w14:paraId="487B5E6A" w14:textId="77777777" w:rsidR="00BC399A" w:rsidRPr="00792B36" w:rsidRDefault="00BC399A" w:rsidP="00BC399A">
      <w:pPr>
        <w:spacing w:after="100"/>
        <w:ind w:firstLine="720"/>
        <w:rPr>
          <w:sz w:val="24"/>
          <w:szCs w:val="24"/>
        </w:rPr>
      </w:pPr>
      <w:r w:rsidRPr="00792B36">
        <w:rPr>
          <w:sz w:val="24"/>
          <w:szCs w:val="24"/>
        </w:rPr>
        <w:t>Coral Reefs</w:t>
      </w:r>
    </w:p>
    <w:p w14:paraId="3FE1DBE7" w14:textId="77777777" w:rsidR="00BC399A" w:rsidRPr="00792B36" w:rsidRDefault="00BC399A" w:rsidP="00F61B37">
      <w:pPr>
        <w:widowControl/>
        <w:numPr>
          <w:ilvl w:val="0"/>
          <w:numId w:val="65"/>
        </w:numPr>
        <w:spacing w:after="100"/>
        <w:jc w:val="thaiDistribute"/>
        <w:rPr>
          <w:sz w:val="24"/>
          <w:szCs w:val="24"/>
        </w:rPr>
      </w:pPr>
      <w:r w:rsidRPr="00792B36">
        <w:rPr>
          <w:sz w:val="24"/>
          <w:szCs w:val="24"/>
        </w:rPr>
        <w:t>Live Coral Cover:</w:t>
      </w:r>
      <w:r w:rsidRPr="00792B36">
        <w:rPr>
          <w:sz w:val="24"/>
          <w:szCs w:val="24"/>
          <w:cs/>
        </w:rPr>
        <w:t xml:space="preserve"> </w:t>
      </w:r>
      <w:r w:rsidRPr="00792B36">
        <w:rPr>
          <w:sz w:val="24"/>
          <w:szCs w:val="24"/>
        </w:rPr>
        <w:t xml:space="preserve">Coral cover ranges from 29% at Koh Si Chang—classified as degraded—to nearly 70% at Koh Losin, representing a healthy to remarkably healthy reef state. Offshore reefs such as Koh Kra and Koh Losin maintain structurally complex coral frameworks dominated by branching and massive forms of </w:t>
      </w:r>
      <w:r w:rsidRPr="00792B36">
        <w:rPr>
          <w:i/>
          <w:iCs/>
          <w:sz w:val="24"/>
          <w:szCs w:val="24"/>
        </w:rPr>
        <w:t>Acropora</w:t>
      </w:r>
      <w:r w:rsidRPr="00792B36">
        <w:rPr>
          <w:sz w:val="24"/>
          <w:szCs w:val="24"/>
        </w:rPr>
        <w:t xml:space="preserve">, </w:t>
      </w:r>
      <w:r w:rsidRPr="00792B36">
        <w:rPr>
          <w:i/>
          <w:iCs/>
          <w:sz w:val="24"/>
          <w:szCs w:val="24"/>
        </w:rPr>
        <w:t>Porites</w:t>
      </w:r>
      <w:r w:rsidRPr="00792B36">
        <w:rPr>
          <w:sz w:val="24"/>
          <w:szCs w:val="24"/>
        </w:rPr>
        <w:t xml:space="preserve">, and </w:t>
      </w:r>
      <w:r w:rsidRPr="00792B36">
        <w:rPr>
          <w:i/>
          <w:iCs/>
          <w:sz w:val="24"/>
          <w:szCs w:val="24"/>
        </w:rPr>
        <w:t>Montipora</w:t>
      </w:r>
      <w:r w:rsidRPr="00792B36">
        <w:rPr>
          <w:sz w:val="24"/>
          <w:szCs w:val="24"/>
        </w:rPr>
        <w:t>, supporting diverse fish assemblages and invertebrate communities.In contrast, nearshore reefs (Koh Si Chang, Koh Lan, Koh Mak) show a high proportion of dead coral and sand substrates (30–45%), with visible algal dominance and reduced coral recruitment rates.</w:t>
      </w:r>
    </w:p>
    <w:p w14:paraId="56BE0D20" w14:textId="77777777" w:rsidR="00BC399A" w:rsidRPr="00792B36" w:rsidRDefault="00BC399A" w:rsidP="00F61B37">
      <w:pPr>
        <w:widowControl/>
        <w:numPr>
          <w:ilvl w:val="0"/>
          <w:numId w:val="65"/>
        </w:numPr>
        <w:spacing w:after="100"/>
        <w:jc w:val="thaiDistribute"/>
        <w:rPr>
          <w:sz w:val="24"/>
          <w:szCs w:val="24"/>
        </w:rPr>
      </w:pPr>
      <w:r w:rsidRPr="00792B36">
        <w:rPr>
          <w:sz w:val="24"/>
          <w:szCs w:val="24"/>
        </w:rPr>
        <w:t>Dominant Genera and Functional Composition:</w:t>
      </w:r>
      <w:r w:rsidRPr="00792B36">
        <w:rPr>
          <w:sz w:val="24"/>
          <w:szCs w:val="24"/>
          <w:cs/>
        </w:rPr>
        <w:t xml:space="preserve"> </w:t>
      </w:r>
      <w:r w:rsidRPr="00792B36">
        <w:rPr>
          <w:sz w:val="24"/>
          <w:szCs w:val="24"/>
        </w:rPr>
        <w:t xml:space="preserve">Major coral taxa include </w:t>
      </w:r>
      <w:r w:rsidRPr="00792B36">
        <w:rPr>
          <w:i/>
          <w:iCs/>
          <w:sz w:val="24"/>
          <w:szCs w:val="24"/>
        </w:rPr>
        <w:t>Acropora</w:t>
      </w:r>
      <w:r w:rsidRPr="00792B36">
        <w:rPr>
          <w:sz w:val="24"/>
          <w:szCs w:val="24"/>
        </w:rPr>
        <w:t xml:space="preserve">, </w:t>
      </w:r>
      <w:r w:rsidRPr="00792B36">
        <w:rPr>
          <w:i/>
          <w:iCs/>
          <w:sz w:val="24"/>
          <w:szCs w:val="24"/>
        </w:rPr>
        <w:t>Porites</w:t>
      </w:r>
      <w:r w:rsidRPr="00792B36">
        <w:rPr>
          <w:sz w:val="24"/>
          <w:szCs w:val="24"/>
        </w:rPr>
        <w:t xml:space="preserve">, </w:t>
      </w:r>
      <w:r w:rsidRPr="00792B36">
        <w:rPr>
          <w:i/>
          <w:iCs/>
          <w:sz w:val="24"/>
          <w:szCs w:val="24"/>
        </w:rPr>
        <w:t>Montipora</w:t>
      </w:r>
      <w:r w:rsidRPr="00792B36">
        <w:rPr>
          <w:sz w:val="24"/>
          <w:szCs w:val="24"/>
        </w:rPr>
        <w:t xml:space="preserve">, </w:t>
      </w:r>
      <w:r w:rsidRPr="00792B36">
        <w:rPr>
          <w:i/>
          <w:iCs/>
          <w:sz w:val="24"/>
          <w:szCs w:val="24"/>
        </w:rPr>
        <w:t>Pocillopora</w:t>
      </w:r>
      <w:r w:rsidRPr="00792B36">
        <w:rPr>
          <w:sz w:val="24"/>
          <w:szCs w:val="24"/>
        </w:rPr>
        <w:t xml:space="preserve">, </w:t>
      </w:r>
      <w:r w:rsidRPr="00792B36">
        <w:rPr>
          <w:i/>
          <w:iCs/>
          <w:sz w:val="24"/>
          <w:szCs w:val="24"/>
        </w:rPr>
        <w:t>Dipsastraea</w:t>
      </w:r>
      <w:r w:rsidRPr="00792B36">
        <w:rPr>
          <w:sz w:val="24"/>
          <w:szCs w:val="24"/>
        </w:rPr>
        <w:t xml:space="preserve">, </w:t>
      </w:r>
      <w:r w:rsidRPr="00792B36">
        <w:rPr>
          <w:i/>
          <w:iCs/>
          <w:sz w:val="24"/>
          <w:szCs w:val="24"/>
        </w:rPr>
        <w:t>Favia</w:t>
      </w:r>
      <w:r w:rsidRPr="00792B36">
        <w:rPr>
          <w:sz w:val="24"/>
          <w:szCs w:val="24"/>
        </w:rPr>
        <w:t xml:space="preserve">, and </w:t>
      </w:r>
      <w:r w:rsidRPr="00792B36">
        <w:rPr>
          <w:i/>
          <w:iCs/>
          <w:sz w:val="24"/>
          <w:szCs w:val="24"/>
        </w:rPr>
        <w:t>Platygyra</w:t>
      </w:r>
      <w:r w:rsidRPr="00792B36">
        <w:rPr>
          <w:sz w:val="24"/>
          <w:szCs w:val="24"/>
        </w:rPr>
        <w:t xml:space="preserve">. These genera form the core reef-building community and contribute to the structural and functional diversity of reef ecosystems. Offshore assemblages </w:t>
      </w:r>
      <w:r w:rsidRPr="00792B36">
        <w:rPr>
          <w:sz w:val="24"/>
          <w:szCs w:val="24"/>
        </w:rPr>
        <w:lastRenderedPageBreak/>
        <w:t xml:space="preserve">are more diverse and resilient, while nearshore assemblages are increasingly dominated by stress-tolerant species such as </w:t>
      </w:r>
      <w:r w:rsidRPr="00792B36">
        <w:rPr>
          <w:i/>
          <w:iCs/>
          <w:sz w:val="24"/>
          <w:szCs w:val="24"/>
        </w:rPr>
        <w:t>Porites lutea</w:t>
      </w:r>
      <w:r w:rsidRPr="00792B36">
        <w:rPr>
          <w:sz w:val="24"/>
          <w:szCs w:val="24"/>
        </w:rPr>
        <w:t xml:space="preserve"> and </w:t>
      </w:r>
      <w:r w:rsidRPr="00792B36">
        <w:rPr>
          <w:i/>
          <w:iCs/>
          <w:sz w:val="24"/>
          <w:szCs w:val="24"/>
        </w:rPr>
        <w:t>Favia favus</w:t>
      </w:r>
      <w:r w:rsidRPr="00792B36">
        <w:rPr>
          <w:sz w:val="24"/>
          <w:szCs w:val="24"/>
        </w:rPr>
        <w:t>.</w:t>
      </w:r>
    </w:p>
    <w:p w14:paraId="540A6728" w14:textId="77777777" w:rsidR="00BC399A" w:rsidRPr="00792B36" w:rsidRDefault="00BC399A" w:rsidP="00F61B37">
      <w:pPr>
        <w:widowControl/>
        <w:numPr>
          <w:ilvl w:val="0"/>
          <w:numId w:val="65"/>
        </w:numPr>
        <w:spacing w:after="100"/>
        <w:jc w:val="thaiDistribute"/>
        <w:rPr>
          <w:sz w:val="24"/>
          <w:szCs w:val="24"/>
        </w:rPr>
      </w:pPr>
      <w:r w:rsidRPr="00792B36">
        <w:rPr>
          <w:sz w:val="24"/>
          <w:szCs w:val="24"/>
        </w:rPr>
        <w:t>Reef Structure and Complexity:</w:t>
      </w:r>
      <w:r w:rsidRPr="00792B36">
        <w:rPr>
          <w:sz w:val="24"/>
          <w:szCs w:val="24"/>
          <w:cs/>
        </w:rPr>
        <w:t xml:space="preserve"> </w:t>
      </w:r>
      <w:r w:rsidRPr="00792B36">
        <w:rPr>
          <w:sz w:val="24"/>
          <w:szCs w:val="24"/>
        </w:rPr>
        <w:t>Offshore sites, particularly Koh Kra, Koh Losin, and underwater pinnacles in Chumphon Province, exhibit high vertical relief (15–25 m), well-developed reef slopes, and extensive crustose coralline algae. These physical structures enhance coral larval settlement and habitat complexity. Nearshore reefs, however, are characterized by turbid, sediment-laden waters, leading to flatter topography and lower benthic diversity.</w:t>
      </w:r>
    </w:p>
    <w:p w14:paraId="2E243DE7" w14:textId="77777777" w:rsidR="00BC399A" w:rsidRPr="00792B36" w:rsidRDefault="00BC399A" w:rsidP="00F61B37">
      <w:pPr>
        <w:widowControl/>
        <w:numPr>
          <w:ilvl w:val="0"/>
          <w:numId w:val="65"/>
        </w:numPr>
        <w:spacing w:after="100"/>
        <w:jc w:val="thaiDistribute"/>
        <w:rPr>
          <w:sz w:val="24"/>
          <w:szCs w:val="24"/>
        </w:rPr>
      </w:pPr>
      <w:r w:rsidRPr="00792B36">
        <w:rPr>
          <w:sz w:val="24"/>
          <w:szCs w:val="24"/>
        </w:rPr>
        <w:t>Bleaching and Recovery Dynamics:</w:t>
      </w:r>
      <w:r w:rsidRPr="00792B36">
        <w:rPr>
          <w:sz w:val="24"/>
          <w:szCs w:val="24"/>
          <w:cs/>
        </w:rPr>
        <w:t xml:space="preserve"> </w:t>
      </w:r>
      <w:r w:rsidRPr="00792B36">
        <w:rPr>
          <w:sz w:val="24"/>
          <w:szCs w:val="24"/>
        </w:rPr>
        <w:t>Thailand’s reefs experienced major bleaching events in 2010, 2016, and 2024. While offshore reefs showed rapid recovery within 1–2 years due to strong water circulation and deeper refugia, nearshore reefs suffered partial mortality and slow regeneration. Recent DMCR surveys indicate that coral cover at Koh Kra and Koh Losin has returned to near pre-bleaching levels, whereas recovery at Koh Si Chang and Koh Lan remains incomplete due to recurring heat stress and sedimentation.</w:t>
      </w:r>
    </w:p>
    <w:p w14:paraId="3F678EA0" w14:textId="77777777" w:rsidR="00BC399A" w:rsidRPr="00792B36" w:rsidRDefault="00BC399A" w:rsidP="00BC399A">
      <w:pPr>
        <w:spacing w:after="100"/>
        <w:ind w:firstLine="720"/>
        <w:jc w:val="thaiDistribute"/>
        <w:rPr>
          <w:sz w:val="24"/>
          <w:szCs w:val="24"/>
        </w:rPr>
      </w:pPr>
      <w:r w:rsidRPr="00792B36">
        <w:rPr>
          <w:sz w:val="24"/>
          <w:szCs w:val="24"/>
        </w:rPr>
        <w:t xml:space="preserve">Seagrass </w:t>
      </w:r>
    </w:p>
    <w:p w14:paraId="02D76373" w14:textId="77777777" w:rsidR="00BC399A" w:rsidRPr="00792B36" w:rsidRDefault="00BC399A" w:rsidP="00F61B37">
      <w:pPr>
        <w:widowControl/>
        <w:numPr>
          <w:ilvl w:val="0"/>
          <w:numId w:val="66"/>
        </w:numPr>
        <w:spacing w:after="100"/>
        <w:jc w:val="thaiDistribute"/>
        <w:rPr>
          <w:sz w:val="24"/>
          <w:szCs w:val="24"/>
        </w:rPr>
      </w:pPr>
      <w:r w:rsidRPr="00792B36">
        <w:rPr>
          <w:sz w:val="24"/>
          <w:szCs w:val="24"/>
        </w:rPr>
        <w:t>Species Composition and Distribution:</w:t>
      </w:r>
      <w:r w:rsidRPr="00792B36">
        <w:rPr>
          <w:sz w:val="24"/>
          <w:szCs w:val="24"/>
          <w:cs/>
        </w:rPr>
        <w:t xml:space="preserve"> </w:t>
      </w:r>
      <w:r w:rsidRPr="00792B36">
        <w:rPr>
          <w:sz w:val="24"/>
          <w:szCs w:val="24"/>
        </w:rPr>
        <w:t xml:space="preserve">Dominated by </w:t>
      </w:r>
      <w:r w:rsidRPr="00792B36">
        <w:rPr>
          <w:i/>
          <w:iCs/>
          <w:sz w:val="24"/>
          <w:szCs w:val="24"/>
        </w:rPr>
        <w:t>Enhalus acoroides</w:t>
      </w:r>
      <w:r w:rsidRPr="00792B36">
        <w:rPr>
          <w:sz w:val="24"/>
          <w:szCs w:val="24"/>
        </w:rPr>
        <w:t xml:space="preserve">, </w:t>
      </w:r>
      <w:r w:rsidRPr="00792B36">
        <w:rPr>
          <w:i/>
          <w:iCs/>
          <w:sz w:val="24"/>
          <w:szCs w:val="24"/>
        </w:rPr>
        <w:t>Thalassia hemprichii</w:t>
      </w:r>
      <w:r w:rsidRPr="00792B36">
        <w:rPr>
          <w:sz w:val="24"/>
          <w:szCs w:val="24"/>
        </w:rPr>
        <w:t xml:space="preserve">, </w:t>
      </w:r>
      <w:r w:rsidRPr="00792B36">
        <w:rPr>
          <w:i/>
          <w:iCs/>
          <w:sz w:val="24"/>
          <w:szCs w:val="24"/>
        </w:rPr>
        <w:t>Halodule uninervis</w:t>
      </w:r>
      <w:r w:rsidRPr="00792B36">
        <w:rPr>
          <w:sz w:val="24"/>
          <w:szCs w:val="24"/>
        </w:rPr>
        <w:t xml:space="preserve">, and </w:t>
      </w:r>
      <w:r w:rsidRPr="00792B36">
        <w:rPr>
          <w:i/>
          <w:iCs/>
          <w:sz w:val="24"/>
          <w:szCs w:val="24"/>
        </w:rPr>
        <w:t>Halophila ovalis</w:t>
      </w:r>
      <w:r w:rsidRPr="00792B36">
        <w:rPr>
          <w:sz w:val="24"/>
          <w:szCs w:val="24"/>
        </w:rPr>
        <w:t>, seagrass meadows in Ban Don Bay (12.74 km²) and Chumphon (11.64 km²) form extensive habitats critical for marine megafauna such as dugongs and sea turtles. These meadows are typically found in shallow, sheltered bays influenced by estuarine inflows.</w:t>
      </w:r>
    </w:p>
    <w:p w14:paraId="1C0EE5A8" w14:textId="77777777" w:rsidR="00BC399A" w:rsidRPr="00792B36" w:rsidRDefault="00BC399A" w:rsidP="00F61B37">
      <w:pPr>
        <w:widowControl/>
        <w:numPr>
          <w:ilvl w:val="0"/>
          <w:numId w:val="66"/>
        </w:numPr>
        <w:spacing w:after="100"/>
        <w:jc w:val="thaiDistribute"/>
        <w:rPr>
          <w:sz w:val="24"/>
          <w:szCs w:val="24"/>
        </w:rPr>
      </w:pPr>
      <w:r w:rsidRPr="00792B36">
        <w:rPr>
          <w:sz w:val="24"/>
          <w:szCs w:val="24"/>
        </w:rPr>
        <w:t>Coverage, Density, and Biomass:</w:t>
      </w:r>
      <w:r w:rsidRPr="00792B36">
        <w:rPr>
          <w:sz w:val="24"/>
          <w:szCs w:val="24"/>
          <w:cs/>
        </w:rPr>
        <w:t xml:space="preserve"> </w:t>
      </w:r>
      <w:r w:rsidRPr="00792B36">
        <w:rPr>
          <w:sz w:val="24"/>
          <w:szCs w:val="24"/>
        </w:rPr>
        <w:t>Ban Don Bay supports Thailand’s largest continuous meadow, with seagrass cover reaching up to 30% in core zones. In contrast, Chumphon’s meadows are patchy but dense, often exceeding 27% coverage in localized areas. Average biomass values range between 400–800 g DW m</w:t>
      </w:r>
      <w:r w:rsidRPr="00792B36">
        <w:rPr>
          <w:rFonts w:ascii="Cambria Math" w:hAnsi="Cambria Math" w:cs="Cambria Math"/>
          <w:sz w:val="24"/>
          <w:szCs w:val="24"/>
        </w:rPr>
        <w:t>⁻</w:t>
      </w:r>
      <w:r w:rsidRPr="00792B36">
        <w:rPr>
          <w:sz w:val="24"/>
          <w:szCs w:val="24"/>
        </w:rPr>
        <w:t>², depending on species dominance and sediment characteristics.</w:t>
      </w:r>
    </w:p>
    <w:p w14:paraId="028D1E53" w14:textId="77777777" w:rsidR="00BC399A" w:rsidRPr="00792B36" w:rsidRDefault="00BC399A" w:rsidP="00F61B37">
      <w:pPr>
        <w:widowControl/>
        <w:numPr>
          <w:ilvl w:val="0"/>
          <w:numId w:val="66"/>
        </w:numPr>
        <w:spacing w:after="100"/>
        <w:jc w:val="thaiDistribute"/>
        <w:rPr>
          <w:sz w:val="24"/>
          <w:szCs w:val="24"/>
        </w:rPr>
      </w:pPr>
      <w:r w:rsidRPr="00792B36">
        <w:rPr>
          <w:sz w:val="24"/>
          <w:szCs w:val="24"/>
        </w:rPr>
        <w:t>Carbon Stock and Blue Carbon Role:</w:t>
      </w:r>
      <w:r w:rsidRPr="00792B36">
        <w:rPr>
          <w:sz w:val="24"/>
          <w:szCs w:val="24"/>
          <w:cs/>
        </w:rPr>
        <w:t xml:space="preserve"> </w:t>
      </w:r>
      <w:r w:rsidRPr="00792B36">
        <w:rPr>
          <w:sz w:val="24"/>
          <w:szCs w:val="24"/>
        </w:rPr>
        <w:t>Estimated carbon stocks are 35–60 tonnes C ha</w:t>
      </w:r>
      <w:r w:rsidRPr="00792B36">
        <w:rPr>
          <w:rFonts w:ascii="Cambria Math" w:hAnsi="Cambria Math" w:cs="Cambria Math"/>
          <w:sz w:val="24"/>
          <w:szCs w:val="24"/>
        </w:rPr>
        <w:t>⁻</w:t>
      </w:r>
      <w:r w:rsidRPr="00792B36">
        <w:rPr>
          <w:sz w:val="24"/>
          <w:szCs w:val="24"/>
        </w:rPr>
        <w:t>¹, placing these meadows among Thailand’s most important blue carbon ecosystems. Seagrass areas in Chumphon and Ban Don Bay are integrated into Thailand’s National Blue Carbon Assessment, contributing to national GHG accounting and carbon offset initiatives.</w:t>
      </w:r>
    </w:p>
    <w:p w14:paraId="7AD11AC9" w14:textId="77777777" w:rsidR="00BC399A" w:rsidRPr="00792B36" w:rsidRDefault="00BC399A" w:rsidP="00F61B37">
      <w:pPr>
        <w:widowControl/>
        <w:numPr>
          <w:ilvl w:val="0"/>
          <w:numId w:val="66"/>
        </w:numPr>
        <w:spacing w:after="100"/>
        <w:jc w:val="thaiDistribute"/>
        <w:rPr>
          <w:sz w:val="24"/>
          <w:szCs w:val="24"/>
        </w:rPr>
      </w:pPr>
      <w:r w:rsidRPr="00792B36">
        <w:rPr>
          <w:sz w:val="24"/>
          <w:szCs w:val="24"/>
        </w:rPr>
        <w:t>Ecological Function:</w:t>
      </w:r>
      <w:r w:rsidRPr="00792B36">
        <w:rPr>
          <w:sz w:val="24"/>
          <w:szCs w:val="24"/>
          <w:cs/>
        </w:rPr>
        <w:t xml:space="preserve"> </w:t>
      </w:r>
      <w:r w:rsidRPr="00792B36">
        <w:rPr>
          <w:sz w:val="24"/>
          <w:szCs w:val="24"/>
        </w:rPr>
        <w:t>Seagrasses act as sediment traps and nutrient filters, stabilizing shorelines and maintaining water clarity. They serve as nursery habitats for commercially valuable species such as juvenile groupers, shrimps, and blue swimming crabs. The health of these meadows directly supports the productivity of adjacent coral reef and mangrove systems.</w:t>
      </w:r>
    </w:p>
    <w:p w14:paraId="42FD798C" w14:textId="77777777" w:rsidR="00BC399A" w:rsidRPr="00792B36" w:rsidRDefault="00BC399A" w:rsidP="00BC399A">
      <w:pPr>
        <w:spacing w:after="100"/>
        <w:ind w:firstLine="720"/>
        <w:jc w:val="thaiDistribute"/>
        <w:rPr>
          <w:b/>
          <w:bCs/>
          <w:i/>
          <w:iCs/>
          <w:sz w:val="24"/>
          <w:szCs w:val="24"/>
        </w:rPr>
      </w:pPr>
      <w:r w:rsidRPr="00792B36">
        <w:rPr>
          <w:b/>
          <w:bCs/>
          <w:i/>
          <w:iCs/>
          <w:sz w:val="24"/>
          <w:szCs w:val="24"/>
        </w:rPr>
        <w:t>Pressure Indicators</w:t>
      </w:r>
    </w:p>
    <w:p w14:paraId="112CC941" w14:textId="77777777" w:rsidR="00BC399A" w:rsidRPr="00792B36" w:rsidRDefault="00BC399A" w:rsidP="00BC399A">
      <w:pPr>
        <w:spacing w:after="100"/>
        <w:ind w:firstLine="720"/>
        <w:jc w:val="thaiDistribute"/>
        <w:rPr>
          <w:sz w:val="24"/>
          <w:szCs w:val="24"/>
        </w:rPr>
      </w:pPr>
      <w:r w:rsidRPr="00792B36">
        <w:rPr>
          <w:sz w:val="24"/>
          <w:szCs w:val="24"/>
        </w:rPr>
        <w:t>Coral and seagrass ecosystems face multifaceted pressures:</w:t>
      </w:r>
    </w:p>
    <w:p w14:paraId="7E316A79" w14:textId="77777777" w:rsidR="00BC399A" w:rsidRPr="00792B36" w:rsidRDefault="00BC399A" w:rsidP="00F61B37">
      <w:pPr>
        <w:widowControl/>
        <w:numPr>
          <w:ilvl w:val="0"/>
          <w:numId w:val="62"/>
        </w:numPr>
        <w:spacing w:after="100"/>
        <w:ind w:left="1080"/>
        <w:jc w:val="thaiDistribute"/>
        <w:rPr>
          <w:sz w:val="24"/>
          <w:szCs w:val="24"/>
        </w:rPr>
      </w:pPr>
      <w:r w:rsidRPr="00792B36">
        <w:rPr>
          <w:sz w:val="24"/>
          <w:szCs w:val="24"/>
        </w:rPr>
        <w:t>Sedimentation and Erosion: Land-based runoff, dredging, and coastal construction reduce light penetration and smother benthic communities, particularly near Laem Chabang, Si Racha, and Ban Don Bay.</w:t>
      </w:r>
    </w:p>
    <w:p w14:paraId="48CE9613" w14:textId="77777777" w:rsidR="00BC399A" w:rsidRPr="00792B36" w:rsidRDefault="00BC399A" w:rsidP="00F61B37">
      <w:pPr>
        <w:widowControl/>
        <w:numPr>
          <w:ilvl w:val="0"/>
          <w:numId w:val="62"/>
        </w:numPr>
        <w:spacing w:after="100"/>
        <w:ind w:left="1080"/>
        <w:jc w:val="thaiDistribute"/>
        <w:rPr>
          <w:sz w:val="24"/>
          <w:szCs w:val="24"/>
        </w:rPr>
      </w:pPr>
      <w:r w:rsidRPr="00792B36">
        <w:rPr>
          <w:sz w:val="24"/>
          <w:szCs w:val="24"/>
        </w:rPr>
        <w:t>Nutrient and Chemical Pollution: Agricultural and aquaculture effluents elevate nitrogen and phosphorus, promoting algal overgrowth on reefs and seagrass leaves.</w:t>
      </w:r>
    </w:p>
    <w:p w14:paraId="386022F5" w14:textId="77777777" w:rsidR="00BC399A" w:rsidRPr="00792B36" w:rsidRDefault="00BC399A" w:rsidP="00F61B37">
      <w:pPr>
        <w:widowControl/>
        <w:numPr>
          <w:ilvl w:val="0"/>
          <w:numId w:val="62"/>
        </w:numPr>
        <w:spacing w:after="100"/>
        <w:ind w:left="1080"/>
        <w:jc w:val="thaiDistribute"/>
        <w:rPr>
          <w:sz w:val="24"/>
          <w:szCs w:val="24"/>
        </w:rPr>
      </w:pPr>
      <w:r w:rsidRPr="00792B36">
        <w:rPr>
          <w:sz w:val="24"/>
          <w:szCs w:val="24"/>
        </w:rPr>
        <w:lastRenderedPageBreak/>
        <w:t>Tourism Impacts: Anchoring, trampling, and wastewater discharge from resorts and boats are chronic stressors in Koh Si Chang, Koh Lan, and Koh Mak.</w:t>
      </w:r>
    </w:p>
    <w:p w14:paraId="5B29D27D" w14:textId="77777777" w:rsidR="00BC399A" w:rsidRPr="00792B36" w:rsidRDefault="00BC399A" w:rsidP="00F61B37">
      <w:pPr>
        <w:widowControl/>
        <w:numPr>
          <w:ilvl w:val="0"/>
          <w:numId w:val="62"/>
        </w:numPr>
        <w:spacing w:after="100"/>
        <w:ind w:left="1080"/>
        <w:jc w:val="thaiDistribute"/>
        <w:rPr>
          <w:sz w:val="24"/>
          <w:szCs w:val="24"/>
        </w:rPr>
      </w:pPr>
      <w:r w:rsidRPr="00792B36">
        <w:rPr>
          <w:sz w:val="24"/>
          <w:szCs w:val="24"/>
        </w:rPr>
        <w:t>Thermal Stress: Elevated sea-surface temperatures and bleaching events (2010, 2016, 2024) have caused up to 50% coral mortality in vulnerable areas.</w:t>
      </w:r>
    </w:p>
    <w:p w14:paraId="6E7CFC2B" w14:textId="77777777" w:rsidR="00BC399A" w:rsidRPr="00792B36" w:rsidRDefault="00BC399A" w:rsidP="00F61B37">
      <w:pPr>
        <w:widowControl/>
        <w:numPr>
          <w:ilvl w:val="0"/>
          <w:numId w:val="62"/>
        </w:numPr>
        <w:spacing w:after="100"/>
        <w:ind w:left="1080"/>
        <w:jc w:val="thaiDistribute"/>
        <w:rPr>
          <w:sz w:val="24"/>
          <w:szCs w:val="24"/>
        </w:rPr>
      </w:pPr>
      <w:r w:rsidRPr="00792B36">
        <w:rPr>
          <w:sz w:val="24"/>
          <w:szCs w:val="24"/>
        </w:rPr>
        <w:t>Overfishing and Physical Damage: Destructive gear (nets, traps) causes coral breakage and disturbs seagrass beds, especially near artisanal fishing grounds.</w:t>
      </w:r>
    </w:p>
    <w:p w14:paraId="4BE2FA00" w14:textId="77777777" w:rsidR="00BC399A" w:rsidRPr="00792B36" w:rsidRDefault="00BC399A" w:rsidP="00F61B37">
      <w:pPr>
        <w:widowControl/>
        <w:numPr>
          <w:ilvl w:val="0"/>
          <w:numId w:val="62"/>
        </w:numPr>
        <w:spacing w:after="100"/>
        <w:ind w:left="1080"/>
        <w:jc w:val="thaiDistribute"/>
        <w:rPr>
          <w:sz w:val="24"/>
          <w:szCs w:val="24"/>
        </w:rPr>
      </w:pPr>
      <w:r w:rsidRPr="00792B36">
        <w:rPr>
          <w:sz w:val="24"/>
          <w:szCs w:val="24"/>
        </w:rPr>
        <w:t>Microplastic Pollution: Concentrations up to 40–45 particles/m³ recorded near Koh Si Chang and Ban Don Bay indicate ongoing contamination risk.</w:t>
      </w:r>
    </w:p>
    <w:p w14:paraId="5D9DBFEB" w14:textId="77777777" w:rsidR="00BC399A" w:rsidRPr="00792B36" w:rsidRDefault="00BC399A" w:rsidP="00BC399A">
      <w:pPr>
        <w:spacing w:after="100"/>
        <w:ind w:firstLine="720"/>
        <w:jc w:val="thaiDistribute"/>
        <w:rPr>
          <w:sz w:val="24"/>
          <w:szCs w:val="24"/>
        </w:rPr>
      </w:pPr>
      <w:r w:rsidRPr="00792B36">
        <w:rPr>
          <w:sz w:val="24"/>
          <w:szCs w:val="24"/>
        </w:rPr>
        <w:t>Cumulative impacts from these pressures result in reduced resilience, particularly in transitional zones where coral and seagrass habitats overlap.</w:t>
      </w:r>
    </w:p>
    <w:p w14:paraId="07D8861F" w14:textId="77777777" w:rsidR="00BC399A" w:rsidRPr="00792B36" w:rsidRDefault="00BC399A" w:rsidP="00BC399A">
      <w:pPr>
        <w:spacing w:after="100"/>
        <w:ind w:firstLine="720"/>
        <w:rPr>
          <w:b/>
          <w:bCs/>
          <w:i/>
          <w:iCs/>
          <w:sz w:val="24"/>
          <w:szCs w:val="24"/>
        </w:rPr>
      </w:pPr>
      <w:r w:rsidRPr="00792B36">
        <w:rPr>
          <w:b/>
          <w:bCs/>
          <w:i/>
          <w:iCs/>
          <w:sz w:val="24"/>
          <w:szCs w:val="24"/>
        </w:rPr>
        <w:t>Response Indicators</w:t>
      </w:r>
    </w:p>
    <w:p w14:paraId="189E0E62" w14:textId="77777777" w:rsidR="00BC399A" w:rsidRPr="00792B36" w:rsidRDefault="00BC399A" w:rsidP="00BC399A">
      <w:pPr>
        <w:spacing w:after="100"/>
        <w:ind w:firstLine="720"/>
        <w:rPr>
          <w:sz w:val="24"/>
          <w:szCs w:val="24"/>
        </w:rPr>
      </w:pPr>
      <w:r w:rsidRPr="00792B36">
        <w:rPr>
          <w:sz w:val="24"/>
          <w:szCs w:val="24"/>
        </w:rPr>
        <w:t>Thailand has demonstrated significant policy and practical responses at multiple scales:</w:t>
      </w:r>
    </w:p>
    <w:p w14:paraId="029A8525" w14:textId="77777777" w:rsidR="00BC399A" w:rsidRPr="00792B36" w:rsidRDefault="00BC399A" w:rsidP="00F61B37">
      <w:pPr>
        <w:widowControl/>
        <w:numPr>
          <w:ilvl w:val="0"/>
          <w:numId w:val="63"/>
        </w:numPr>
        <w:spacing w:after="100"/>
        <w:ind w:left="1080"/>
        <w:jc w:val="thaiDistribute"/>
        <w:rPr>
          <w:sz w:val="24"/>
          <w:szCs w:val="24"/>
        </w:rPr>
      </w:pPr>
      <w:r w:rsidRPr="00792B36">
        <w:rPr>
          <w:sz w:val="24"/>
          <w:szCs w:val="24"/>
        </w:rPr>
        <w:t>National Frameworks:</w:t>
      </w:r>
    </w:p>
    <w:p w14:paraId="7CF2911D" w14:textId="77777777" w:rsidR="00BC399A" w:rsidRPr="00792B36" w:rsidRDefault="00BC399A" w:rsidP="00F61B37">
      <w:pPr>
        <w:widowControl/>
        <w:numPr>
          <w:ilvl w:val="1"/>
          <w:numId w:val="63"/>
        </w:numPr>
        <w:spacing w:after="100"/>
        <w:ind w:left="1800"/>
        <w:jc w:val="thaiDistribute"/>
        <w:rPr>
          <w:sz w:val="24"/>
          <w:szCs w:val="24"/>
        </w:rPr>
      </w:pPr>
      <w:r w:rsidRPr="00792B36">
        <w:rPr>
          <w:sz w:val="24"/>
          <w:szCs w:val="24"/>
        </w:rPr>
        <w:t>Implementation of the Marine and Coastal Resources Management Master Plan (2023–2030) under DMCR.</w:t>
      </w:r>
    </w:p>
    <w:p w14:paraId="00B5F9FB" w14:textId="77777777" w:rsidR="00BC399A" w:rsidRPr="00792B36" w:rsidRDefault="00BC399A" w:rsidP="00F61B37">
      <w:pPr>
        <w:widowControl/>
        <w:numPr>
          <w:ilvl w:val="1"/>
          <w:numId w:val="63"/>
        </w:numPr>
        <w:spacing w:after="100"/>
        <w:ind w:left="1800"/>
        <w:jc w:val="thaiDistribute"/>
        <w:rPr>
          <w:sz w:val="24"/>
          <w:szCs w:val="24"/>
        </w:rPr>
      </w:pPr>
      <w:r w:rsidRPr="00792B36">
        <w:rPr>
          <w:sz w:val="24"/>
          <w:szCs w:val="24"/>
        </w:rPr>
        <w:t>Integration of coral reef and seagrass monitoring within the National Blue Carbon Program and NDC implementation plan.</w:t>
      </w:r>
    </w:p>
    <w:p w14:paraId="6043C090" w14:textId="77777777" w:rsidR="00BC399A" w:rsidRPr="00792B36" w:rsidRDefault="00BC399A" w:rsidP="00F61B37">
      <w:pPr>
        <w:widowControl/>
        <w:numPr>
          <w:ilvl w:val="0"/>
          <w:numId w:val="63"/>
        </w:numPr>
        <w:spacing w:after="100"/>
        <w:ind w:left="1080"/>
        <w:jc w:val="thaiDistribute"/>
        <w:rPr>
          <w:sz w:val="24"/>
          <w:szCs w:val="24"/>
        </w:rPr>
      </w:pPr>
      <w:r w:rsidRPr="00792B36">
        <w:rPr>
          <w:sz w:val="24"/>
          <w:szCs w:val="24"/>
        </w:rPr>
        <w:t>Protected Areas and Site Management:</w:t>
      </w:r>
    </w:p>
    <w:p w14:paraId="223F3EDD" w14:textId="77777777" w:rsidR="00BC399A" w:rsidRPr="00792B36" w:rsidRDefault="00BC399A" w:rsidP="00F61B37">
      <w:pPr>
        <w:widowControl/>
        <w:numPr>
          <w:ilvl w:val="1"/>
          <w:numId w:val="63"/>
        </w:numPr>
        <w:spacing w:after="100"/>
        <w:ind w:left="1800"/>
        <w:jc w:val="thaiDistribute"/>
        <w:rPr>
          <w:sz w:val="24"/>
          <w:szCs w:val="24"/>
        </w:rPr>
      </w:pPr>
      <w:r w:rsidRPr="00792B36">
        <w:rPr>
          <w:sz w:val="24"/>
          <w:szCs w:val="24"/>
        </w:rPr>
        <w:t>Mu Ko Chumphon National Park, Koh Kra, and Koh Losin designated as biodiversity hotspots.</w:t>
      </w:r>
    </w:p>
    <w:p w14:paraId="6F5B6E76" w14:textId="77777777" w:rsidR="00BC399A" w:rsidRPr="00792B36" w:rsidRDefault="00BC399A" w:rsidP="00F61B37">
      <w:pPr>
        <w:widowControl/>
        <w:numPr>
          <w:ilvl w:val="1"/>
          <w:numId w:val="63"/>
        </w:numPr>
        <w:spacing w:after="100"/>
        <w:ind w:left="1800"/>
        <w:jc w:val="thaiDistribute"/>
        <w:rPr>
          <w:sz w:val="24"/>
          <w:szCs w:val="24"/>
        </w:rPr>
      </w:pPr>
      <w:r w:rsidRPr="00792B36">
        <w:rPr>
          <w:sz w:val="24"/>
          <w:szCs w:val="24"/>
        </w:rPr>
        <w:t>Marine zoning introduced to regulate tourism, aquaculture, and fishing activities.</w:t>
      </w:r>
    </w:p>
    <w:p w14:paraId="21A99E54" w14:textId="77777777" w:rsidR="00BC399A" w:rsidRPr="00792B36" w:rsidRDefault="00BC399A" w:rsidP="00F61B37">
      <w:pPr>
        <w:widowControl/>
        <w:numPr>
          <w:ilvl w:val="0"/>
          <w:numId w:val="63"/>
        </w:numPr>
        <w:spacing w:after="100"/>
        <w:ind w:left="1080"/>
        <w:jc w:val="thaiDistribute"/>
        <w:rPr>
          <w:sz w:val="24"/>
          <w:szCs w:val="24"/>
        </w:rPr>
      </w:pPr>
      <w:r w:rsidRPr="00792B36">
        <w:rPr>
          <w:sz w:val="24"/>
          <w:szCs w:val="24"/>
        </w:rPr>
        <w:t>Community and Local Initiatives:</w:t>
      </w:r>
    </w:p>
    <w:p w14:paraId="032BC0EE" w14:textId="77777777" w:rsidR="00BC399A" w:rsidRPr="00792B36" w:rsidRDefault="00BC399A" w:rsidP="00F61B37">
      <w:pPr>
        <w:widowControl/>
        <w:numPr>
          <w:ilvl w:val="1"/>
          <w:numId w:val="63"/>
        </w:numPr>
        <w:spacing w:after="100"/>
        <w:ind w:left="1800"/>
        <w:jc w:val="thaiDistribute"/>
        <w:rPr>
          <w:sz w:val="24"/>
          <w:szCs w:val="24"/>
        </w:rPr>
      </w:pPr>
      <w:r w:rsidRPr="00792B36">
        <w:rPr>
          <w:sz w:val="24"/>
          <w:szCs w:val="24"/>
        </w:rPr>
        <w:t>Seagrass replanting projects in Ban Don Bay and Chumphon involving local fishers and NGOs.</w:t>
      </w:r>
    </w:p>
    <w:p w14:paraId="409517B8" w14:textId="77777777" w:rsidR="00BC399A" w:rsidRPr="00792B36" w:rsidRDefault="00BC399A" w:rsidP="00F61B37">
      <w:pPr>
        <w:widowControl/>
        <w:numPr>
          <w:ilvl w:val="1"/>
          <w:numId w:val="63"/>
        </w:numPr>
        <w:spacing w:after="100"/>
        <w:ind w:left="1800"/>
        <w:jc w:val="thaiDistribute"/>
        <w:rPr>
          <w:sz w:val="24"/>
          <w:szCs w:val="24"/>
        </w:rPr>
      </w:pPr>
      <w:r w:rsidRPr="00792B36">
        <w:rPr>
          <w:sz w:val="24"/>
          <w:szCs w:val="24"/>
        </w:rPr>
        <w:t>Coral nurseries and eco-mooring systems reducing anchor damage in Koh Tao and Koh Mak.</w:t>
      </w:r>
    </w:p>
    <w:p w14:paraId="32BBBC99" w14:textId="77777777" w:rsidR="00BC399A" w:rsidRPr="00792B36" w:rsidRDefault="00BC399A" w:rsidP="00F61B37">
      <w:pPr>
        <w:widowControl/>
        <w:numPr>
          <w:ilvl w:val="1"/>
          <w:numId w:val="63"/>
        </w:numPr>
        <w:spacing w:after="100"/>
        <w:ind w:left="1800"/>
        <w:jc w:val="thaiDistribute"/>
        <w:rPr>
          <w:sz w:val="24"/>
          <w:szCs w:val="24"/>
        </w:rPr>
      </w:pPr>
      <w:r w:rsidRPr="00792B36">
        <w:rPr>
          <w:sz w:val="24"/>
          <w:szCs w:val="24"/>
        </w:rPr>
        <w:t>Citizen science programs (Reef Watch, Seagrass Guardians) improving public participation and data collection.</w:t>
      </w:r>
    </w:p>
    <w:p w14:paraId="673F0063" w14:textId="77777777" w:rsidR="00BC399A" w:rsidRPr="00792B36" w:rsidRDefault="00BC399A" w:rsidP="00F61B37">
      <w:pPr>
        <w:widowControl/>
        <w:numPr>
          <w:ilvl w:val="0"/>
          <w:numId w:val="63"/>
        </w:numPr>
        <w:spacing w:after="100"/>
        <w:ind w:left="1080"/>
        <w:jc w:val="thaiDistribute"/>
        <w:rPr>
          <w:sz w:val="24"/>
          <w:szCs w:val="24"/>
        </w:rPr>
      </w:pPr>
      <w:r w:rsidRPr="00792B36">
        <w:rPr>
          <w:sz w:val="24"/>
          <w:szCs w:val="24"/>
        </w:rPr>
        <w:t>Scientific and Regional Collaboration:</w:t>
      </w:r>
    </w:p>
    <w:p w14:paraId="76FEC8C1" w14:textId="77777777" w:rsidR="00BC399A" w:rsidRPr="00792B36" w:rsidRDefault="00BC399A" w:rsidP="00F61B37">
      <w:pPr>
        <w:widowControl/>
        <w:numPr>
          <w:ilvl w:val="1"/>
          <w:numId w:val="63"/>
        </w:numPr>
        <w:spacing w:after="100"/>
        <w:ind w:left="1800"/>
        <w:jc w:val="thaiDistribute"/>
        <w:rPr>
          <w:sz w:val="24"/>
          <w:szCs w:val="24"/>
        </w:rPr>
      </w:pPr>
      <w:r w:rsidRPr="00792B36">
        <w:rPr>
          <w:sz w:val="24"/>
          <w:szCs w:val="24"/>
        </w:rPr>
        <w:t>Continuous coral monitoring by DMCR, Chulalongkorn University, and the Southeast Asian Fisheries Development Center (SEAFDEC).</w:t>
      </w:r>
    </w:p>
    <w:p w14:paraId="27687872" w14:textId="77777777" w:rsidR="00BC399A" w:rsidRPr="00792B36" w:rsidRDefault="00BC399A" w:rsidP="00F61B37">
      <w:pPr>
        <w:widowControl/>
        <w:numPr>
          <w:ilvl w:val="1"/>
          <w:numId w:val="63"/>
        </w:numPr>
        <w:spacing w:after="100"/>
        <w:ind w:left="1800"/>
        <w:jc w:val="thaiDistribute"/>
        <w:rPr>
          <w:sz w:val="24"/>
          <w:szCs w:val="24"/>
        </w:rPr>
      </w:pPr>
      <w:r w:rsidRPr="00792B36">
        <w:rPr>
          <w:sz w:val="24"/>
          <w:szCs w:val="24"/>
        </w:rPr>
        <w:t>Partnerships with UNEP and ACB (ASEAN Centre for Biodiversity) to strengthen regional resilience networks.</w:t>
      </w:r>
    </w:p>
    <w:p w14:paraId="6DE16947" w14:textId="77777777" w:rsidR="00BC399A" w:rsidRPr="00792B36" w:rsidRDefault="00BC399A" w:rsidP="00BC399A">
      <w:pPr>
        <w:spacing w:after="100"/>
        <w:ind w:firstLine="720"/>
        <w:rPr>
          <w:b/>
          <w:bCs/>
          <w:i/>
          <w:iCs/>
          <w:sz w:val="24"/>
          <w:szCs w:val="24"/>
        </w:rPr>
      </w:pPr>
      <w:r w:rsidRPr="00792B36">
        <w:rPr>
          <w:b/>
          <w:bCs/>
          <w:i/>
          <w:iCs/>
          <w:sz w:val="24"/>
          <w:szCs w:val="24"/>
        </w:rPr>
        <w:t>Trends and Outlook</w:t>
      </w:r>
    </w:p>
    <w:p w14:paraId="7B90CE03" w14:textId="77777777" w:rsidR="00BC399A" w:rsidRPr="00792B36" w:rsidRDefault="00BC399A" w:rsidP="00F61B37">
      <w:pPr>
        <w:widowControl/>
        <w:numPr>
          <w:ilvl w:val="0"/>
          <w:numId w:val="64"/>
        </w:numPr>
        <w:spacing w:after="100"/>
        <w:rPr>
          <w:sz w:val="24"/>
          <w:szCs w:val="24"/>
        </w:rPr>
      </w:pPr>
      <w:r w:rsidRPr="00792B36">
        <w:rPr>
          <w:sz w:val="24"/>
          <w:szCs w:val="24"/>
        </w:rPr>
        <w:t xml:space="preserve">Coral Reefs: Offshore reefs show stabilizing or improving trends, particularly at Koh Kra and Koh Losin, where high water quality and low </w:t>
      </w:r>
      <w:r w:rsidRPr="00792B36">
        <w:rPr>
          <w:sz w:val="24"/>
          <w:szCs w:val="24"/>
        </w:rPr>
        <w:lastRenderedPageBreak/>
        <w:t>human pressure prevail. Nearshore reefs exhibit declining trends due to chronic stress, with some localized recovery from coral gardening and artificial reef installation.</w:t>
      </w:r>
    </w:p>
    <w:p w14:paraId="7D3C47A4" w14:textId="77777777" w:rsidR="00BC399A" w:rsidRPr="00792B36" w:rsidRDefault="00BC399A" w:rsidP="00F61B37">
      <w:pPr>
        <w:widowControl/>
        <w:numPr>
          <w:ilvl w:val="0"/>
          <w:numId w:val="64"/>
        </w:numPr>
        <w:spacing w:after="100"/>
        <w:jc w:val="thaiDistribute"/>
        <w:rPr>
          <w:sz w:val="24"/>
          <w:szCs w:val="24"/>
        </w:rPr>
      </w:pPr>
      <w:r w:rsidRPr="00792B36">
        <w:rPr>
          <w:sz w:val="24"/>
          <w:szCs w:val="24"/>
        </w:rPr>
        <w:t>Seagrasses: Coverage in Ban Don Bay and Chumphon has declined by ~25% from historical baselines, mainly due to sedimentation and eutrophication. However, adaptive restoration and improved community stewardship have led to localized regrowth.</w:t>
      </w:r>
    </w:p>
    <w:p w14:paraId="0C9556D7" w14:textId="77777777" w:rsidR="00BC399A" w:rsidRPr="00792B36" w:rsidRDefault="00BC399A" w:rsidP="00F61B37">
      <w:pPr>
        <w:widowControl/>
        <w:numPr>
          <w:ilvl w:val="0"/>
          <w:numId w:val="64"/>
        </w:numPr>
        <w:spacing w:after="100"/>
        <w:jc w:val="thaiDistribute"/>
        <w:rPr>
          <w:sz w:val="24"/>
          <w:szCs w:val="24"/>
        </w:rPr>
      </w:pPr>
      <w:r w:rsidRPr="00792B36">
        <w:rPr>
          <w:sz w:val="24"/>
          <w:szCs w:val="24"/>
        </w:rPr>
        <w:t>Climate Resilience: Offshore ecosystems demonstrate high potential for recovery post-disturbance, but increasing sea-surface temperatures, acidification, and coastal development could offset these gains without adaptive management.</w:t>
      </w:r>
    </w:p>
    <w:p w14:paraId="58313E1C" w14:textId="77777777" w:rsidR="00BC399A" w:rsidRPr="00792B36" w:rsidRDefault="00BC399A" w:rsidP="00BC399A">
      <w:pPr>
        <w:spacing w:after="100"/>
        <w:ind w:firstLine="720"/>
        <w:jc w:val="thaiDistribute"/>
        <w:rPr>
          <w:sz w:val="24"/>
          <w:szCs w:val="24"/>
        </w:rPr>
      </w:pPr>
      <w:r w:rsidRPr="00792B36">
        <w:rPr>
          <w:sz w:val="24"/>
          <w:szCs w:val="24"/>
        </w:rPr>
        <w:t>Future trajectories depend on pollution control, marine spatial planning, and integrated coral–seagrass restoration efforts at the landscape scale.</w:t>
      </w:r>
    </w:p>
    <w:p w14:paraId="7428A75D" w14:textId="77777777" w:rsidR="00BC399A" w:rsidRPr="00792B36" w:rsidRDefault="00BC399A" w:rsidP="00BC399A">
      <w:pPr>
        <w:spacing w:after="100"/>
        <w:ind w:firstLine="720"/>
        <w:jc w:val="thaiDistribute"/>
        <w:rPr>
          <w:b/>
          <w:bCs/>
          <w:i/>
          <w:iCs/>
          <w:sz w:val="24"/>
          <w:szCs w:val="24"/>
        </w:rPr>
      </w:pPr>
      <w:r w:rsidRPr="00792B36">
        <w:rPr>
          <w:b/>
          <w:bCs/>
          <w:i/>
          <w:iCs/>
          <w:sz w:val="24"/>
          <w:szCs w:val="24"/>
        </w:rPr>
        <w:t>Assessment by Indicator</w:t>
      </w:r>
    </w:p>
    <w:p w14:paraId="56A989E7" w14:textId="77777777" w:rsidR="00BC399A" w:rsidRPr="00792B36" w:rsidRDefault="00BC399A" w:rsidP="00BC399A">
      <w:pPr>
        <w:spacing w:after="100"/>
        <w:ind w:firstLine="720"/>
        <w:jc w:val="thaiDistribute"/>
        <w:rPr>
          <w:sz w:val="24"/>
          <w:szCs w:val="24"/>
        </w:rPr>
      </w:pPr>
      <w:r w:rsidRPr="00792B36">
        <w:rPr>
          <w:sz w:val="24"/>
          <w:szCs w:val="24"/>
        </w:rPr>
        <w:t>Coral reefs and seagrass ecosystems in the Gulf of Thailand exhibit coral cover ranging from 30–70%, with offshore reefs remaining healthy and nearshore reefs showing degradation, while seagrass beds remain stable in deeper zones. Overall trends indicate stable to improving conditions offshore but declining nearshore due to increasing human pressures.</w:t>
      </w:r>
    </w:p>
    <w:p w14:paraId="411C4B25" w14:textId="77777777" w:rsidR="00BC399A" w:rsidRPr="00792B36" w:rsidRDefault="00BC399A" w:rsidP="00BC399A">
      <w:pPr>
        <w:spacing w:after="100"/>
        <w:ind w:firstLine="720"/>
        <w:jc w:val="thaiDistribute"/>
        <w:rPr>
          <w:sz w:val="24"/>
          <w:szCs w:val="24"/>
        </w:rPr>
      </w:pPr>
      <w:r w:rsidRPr="00792B36">
        <w:rPr>
          <w:sz w:val="24"/>
          <w:szCs w:val="24"/>
        </w:rPr>
        <w:t>The main pressures affecting these ecosystems include sedimentation, pollution, coral bleaching, and tourism-related impacts, all of which are intensifying around urban and industrial coastal hubs.</w:t>
      </w:r>
    </w:p>
    <w:p w14:paraId="757B9751" w14:textId="77777777" w:rsidR="00BC399A" w:rsidRPr="00792B36" w:rsidRDefault="00BC399A" w:rsidP="00BC399A">
      <w:pPr>
        <w:spacing w:after="100"/>
        <w:ind w:firstLine="720"/>
        <w:jc w:val="thaiDistribute"/>
        <w:rPr>
          <w:sz w:val="24"/>
          <w:szCs w:val="24"/>
        </w:rPr>
      </w:pPr>
      <w:r w:rsidRPr="00792B36">
        <w:rPr>
          <w:sz w:val="24"/>
          <w:szCs w:val="24"/>
        </w:rPr>
        <w:t>Management responses led by the Department of Marine and Coastal Resources (DMCR), marine parks, and local communities have been expanding and increasingly effective, focusing on restoration, monitoring, and enforcement.</w:t>
      </w:r>
    </w:p>
    <w:p w14:paraId="2168E634" w14:textId="77777777" w:rsidR="00BC399A" w:rsidRPr="00792B36" w:rsidRDefault="00BC399A" w:rsidP="00BC399A">
      <w:pPr>
        <w:spacing w:after="100"/>
        <w:ind w:firstLine="720"/>
        <w:jc w:val="thaiDistribute"/>
        <w:rPr>
          <w:sz w:val="24"/>
          <w:szCs w:val="24"/>
        </w:rPr>
      </w:pPr>
      <w:r w:rsidRPr="00792B36">
        <w:rPr>
          <w:sz w:val="24"/>
          <w:szCs w:val="24"/>
        </w:rPr>
        <w:t>Ecological connectivity between coral reefs and seagrass meadows remains strong and critical for fisheries and biodiversity, yet it is moderate and declining in fragmented areas. To maintain these linkages, it is vital to expand marine protected area (MPA) networks and enhance integrated management.</w:t>
      </w:r>
    </w:p>
    <w:p w14:paraId="50542265" w14:textId="77777777" w:rsidR="00BC399A" w:rsidRPr="00792B36" w:rsidRDefault="00BC399A" w:rsidP="00BC399A">
      <w:pPr>
        <w:spacing w:after="100"/>
        <w:ind w:firstLine="720"/>
        <w:jc w:val="thaiDistribute"/>
        <w:rPr>
          <w:sz w:val="24"/>
          <w:szCs w:val="24"/>
        </w:rPr>
      </w:pPr>
      <w:r w:rsidRPr="00792B36">
        <w:rPr>
          <w:sz w:val="24"/>
          <w:szCs w:val="24"/>
        </w:rPr>
        <w:t>Key priorities therefore include expanding monitoring and habitat protection, strengthening land–sea integration and regulation of coastal activities, securing long-term funding, and maintaining ecological corridors through effective MPA expansion and blue-carbon initiatives.</w:t>
      </w:r>
    </w:p>
    <w:p w14:paraId="46B85DCC" w14:textId="77777777" w:rsidR="00BC399A" w:rsidRPr="00792B36" w:rsidRDefault="00BC399A" w:rsidP="00BC399A">
      <w:pPr>
        <w:spacing w:after="100"/>
        <w:ind w:firstLine="720"/>
        <w:jc w:val="thaiDistribute"/>
        <w:rPr>
          <w:sz w:val="24"/>
          <w:szCs w:val="24"/>
        </w:rPr>
      </w:pPr>
      <w:r w:rsidRPr="00792B36">
        <w:rPr>
          <w:sz w:val="24"/>
          <w:szCs w:val="24"/>
        </w:rPr>
        <w:t>Coral reefs and seagrass meadows in the Gulf of Thailand exhibit a complex mosaic of degradation and recovery, shaped by natural processes and human interventions. Offshore ecosystems, including Koh Kra, Koh Losin, Koh Tao, and underwater pinnacles in Chumphon Province, retain high ecological integrity with coral cover exceeding 60%, diverse benthic communities, and healthy fish assemblages. These areas serve as biodiversity reservoirs and larval sources, supporting regional connectivity across the Gulf. In contrast, nearshore habitats such as Koh Si Chang, Koh Lan, and Ban Don Bay remain under severe stress from sedimentation, nutrient enrichment, and coastal development. The continued decline in nearshore water quality has weakened coral–seagrass linkages, reduced fish nursery capacity, and heightened vulnerability to climate-induced disturbances.</w:t>
      </w:r>
    </w:p>
    <w:p w14:paraId="29F34489" w14:textId="77777777" w:rsidR="00BC399A" w:rsidRPr="00792B36" w:rsidRDefault="00BC399A" w:rsidP="00BC399A">
      <w:pPr>
        <w:spacing w:after="100"/>
        <w:ind w:firstLine="720"/>
        <w:jc w:val="thaiDistribute"/>
        <w:rPr>
          <w:sz w:val="24"/>
          <w:szCs w:val="24"/>
        </w:rPr>
      </w:pPr>
      <w:r w:rsidRPr="00792B36">
        <w:rPr>
          <w:sz w:val="24"/>
          <w:szCs w:val="24"/>
        </w:rPr>
        <w:t>Despite these pressures, Thailand’s integrated management frameworks</w:t>
      </w:r>
      <w:r w:rsidRPr="00792B36">
        <w:rPr>
          <w:sz w:val="24"/>
          <w:szCs w:val="24"/>
          <w:cs/>
        </w:rPr>
        <w:t xml:space="preserve"> </w:t>
      </w:r>
      <w:r w:rsidRPr="00792B36">
        <w:rPr>
          <w:sz w:val="24"/>
          <w:szCs w:val="24"/>
        </w:rPr>
        <w:t xml:space="preserve">anchored in science-based monitoring, blue carbon initiatives, and community </w:t>
      </w:r>
      <w:r w:rsidRPr="00792B36">
        <w:rPr>
          <w:sz w:val="24"/>
          <w:szCs w:val="24"/>
        </w:rPr>
        <w:lastRenderedPageBreak/>
        <w:t>engagement</w:t>
      </w:r>
      <w:r w:rsidRPr="00792B36">
        <w:rPr>
          <w:sz w:val="24"/>
          <w:szCs w:val="24"/>
          <w:cs/>
        </w:rPr>
        <w:t xml:space="preserve"> </w:t>
      </w:r>
      <w:r w:rsidRPr="00792B36">
        <w:rPr>
          <w:sz w:val="24"/>
          <w:szCs w:val="24"/>
        </w:rPr>
        <w:t>have provided a foundation for resilience. The Department of Marine and Coastal Resources (DMCR), together with universities and local communities, has expanded long-term coral and seagrass monitoring, restored degraded habitats, and implemented eco-mooring, coral nurseries, and seagrass replanting programs. These actions have led to measurable recovery in offshore reefs and localized improvements in seagrass density in Ban Don Bay and Chumphon. Importantly, national policies now recognize coral reefs and seagrasses as natural climate solutions (NCS) contributing to Thailand’s Nationally Determined Contributions (NDCs) under the Paris Agreement.</w:t>
      </w:r>
    </w:p>
    <w:p w14:paraId="7499050C" w14:textId="77777777" w:rsidR="00BC399A" w:rsidRPr="00792B36" w:rsidRDefault="00BC399A" w:rsidP="00BC399A">
      <w:pPr>
        <w:spacing w:after="100"/>
        <w:ind w:firstLine="720"/>
        <w:jc w:val="thaiDistribute"/>
        <w:rPr>
          <w:sz w:val="24"/>
          <w:szCs w:val="24"/>
        </w:rPr>
      </w:pPr>
      <w:r w:rsidRPr="00792B36">
        <w:rPr>
          <w:sz w:val="24"/>
          <w:szCs w:val="24"/>
        </w:rPr>
        <w:t>To sustain progress, Thailand must strengthen land–sea connectivity, ensuring that watershed management, coastal zoning, and marine spatial planning are harmonized to minimize land-based pollution and sedimentation. Institutionalizing blue carbon accounting is critical to valuing these ecosystems within national greenhouse gas inventories and climate financing mechanisms. Moreover, enhancing community participation through co-management and livelihood diversification will increase social ownership and reduce dependency on extractive coastal activities.</w:t>
      </w:r>
    </w:p>
    <w:p w14:paraId="2D638FED" w14:textId="77777777" w:rsidR="00BC399A" w:rsidRPr="00792B36" w:rsidRDefault="00BC399A" w:rsidP="00BC399A">
      <w:pPr>
        <w:spacing w:after="100"/>
        <w:ind w:firstLine="720"/>
        <w:jc w:val="thaiDistribute"/>
        <w:rPr>
          <w:sz w:val="24"/>
          <w:szCs w:val="24"/>
        </w:rPr>
      </w:pPr>
      <w:r w:rsidRPr="00792B36">
        <w:rPr>
          <w:sz w:val="24"/>
          <w:szCs w:val="24"/>
        </w:rPr>
        <w:t>Future success depends on embedding coral reef and seagrass conservation into national strategies for climate adaptation, biodiversity conservation, and sustainable coastal development. Establishing a Gulf-wide network of Marine Protected Areas (MPAs)</w:t>
      </w:r>
      <w:r w:rsidRPr="00792B36">
        <w:rPr>
          <w:sz w:val="24"/>
          <w:szCs w:val="24"/>
          <w:cs/>
        </w:rPr>
        <w:t xml:space="preserve"> </w:t>
      </w:r>
      <w:r w:rsidRPr="00792B36">
        <w:rPr>
          <w:sz w:val="24"/>
          <w:szCs w:val="24"/>
        </w:rPr>
        <w:t>interconnected through ecological corridors—will help maintain genetic exchange and habitat continuity. Expanding investment in research, restoration technology, and ecosystem accounting will further enable Thailand to transition from project-based restoration toward ecosystem-scale regeneration.</w:t>
      </w:r>
    </w:p>
    <w:p w14:paraId="5F954698" w14:textId="77777777" w:rsidR="00BC399A" w:rsidRPr="00792B36" w:rsidRDefault="00BC399A" w:rsidP="00BC399A">
      <w:pPr>
        <w:spacing w:after="100"/>
        <w:ind w:firstLine="720"/>
        <w:jc w:val="thaiDistribute"/>
        <w:rPr>
          <w:sz w:val="24"/>
          <w:szCs w:val="24"/>
        </w:rPr>
      </w:pPr>
      <w:r w:rsidRPr="00792B36">
        <w:rPr>
          <w:sz w:val="24"/>
          <w:szCs w:val="24"/>
        </w:rPr>
        <w:t>Ultimately, coral reefs and seagrass meadows must be recognized not only as habitats but as living natural infrastructures that protect coastlines, sustain fisheries, capture carbon, and support local economies. By integrating ecological science, policy innovation, and community stewardship, Thailand can ensure a resilient, carbon-neutral, and nature-positive Gulf of Thailand, securing these ecosystems for future generations.</w:t>
      </w:r>
    </w:p>
    <w:p w14:paraId="2AEFB6EF" w14:textId="77777777" w:rsidR="00BC399A" w:rsidRPr="00792B36" w:rsidRDefault="00BC399A" w:rsidP="00BC399A">
      <w:pPr>
        <w:spacing w:after="100"/>
        <w:ind w:firstLine="720"/>
        <w:jc w:val="thaiDistribute"/>
        <w:rPr>
          <w:sz w:val="24"/>
          <w:szCs w:val="24"/>
        </w:rPr>
      </w:pPr>
    </w:p>
    <w:p w14:paraId="7CC22AB4" w14:textId="77777777" w:rsidR="00BC399A" w:rsidRPr="00792B36" w:rsidRDefault="00BC399A" w:rsidP="00BC399A">
      <w:pPr>
        <w:spacing w:after="100"/>
        <w:ind w:firstLine="720"/>
        <w:jc w:val="thaiDistribute"/>
        <w:rPr>
          <w:b/>
          <w:bCs/>
          <w:color w:val="000000" w:themeColor="text1"/>
          <w:sz w:val="24"/>
          <w:szCs w:val="24"/>
          <w:cs/>
        </w:rPr>
      </w:pPr>
      <w:r w:rsidRPr="00792B36">
        <w:rPr>
          <w:b/>
          <w:bCs/>
          <w:color w:val="000000" w:themeColor="text1"/>
          <w:sz w:val="24"/>
          <w:szCs w:val="24"/>
        </w:rPr>
        <w:t>4.2.3 Biodiversity Hotspots and Sensitive Areas</w:t>
      </w:r>
    </w:p>
    <w:p w14:paraId="3FED3466" w14:textId="77777777" w:rsidR="00BC399A" w:rsidRPr="00792B36" w:rsidRDefault="00BC399A" w:rsidP="00BC399A">
      <w:pPr>
        <w:spacing w:after="100"/>
        <w:ind w:firstLine="720"/>
        <w:jc w:val="thaiDistribute"/>
        <w:rPr>
          <w:sz w:val="24"/>
          <w:szCs w:val="24"/>
        </w:rPr>
      </w:pPr>
      <w:r w:rsidRPr="00792B36">
        <w:rPr>
          <w:sz w:val="24"/>
          <w:szCs w:val="24"/>
        </w:rPr>
        <w:t>The Gulf of Thailand hosts an interconnected network of biodiversity hotspots that encompass coral reefs, seagrass meadows, mangrove forests, estuaries, and coastal wetlands. These ecosystems are ecologically sensitive and provide critical habitats for numerous threatened and endemic species. Key sites such as Koh Losin, Koh Kra, Koh Tao, Ban Don Bay, the Welu River Estuary, and Don Hoi Lot are recognized for their exceptional biodiversity, ecosystem productivity, and vital role in supporting fisheries, carbon storage, and coastal protection.</w:t>
      </w:r>
    </w:p>
    <w:p w14:paraId="0A001462" w14:textId="77777777" w:rsidR="00BC399A" w:rsidRPr="00792B36" w:rsidRDefault="00BC399A" w:rsidP="00BC399A">
      <w:pPr>
        <w:spacing w:after="100"/>
        <w:ind w:firstLine="720"/>
        <w:jc w:val="thaiDistribute"/>
        <w:rPr>
          <w:sz w:val="24"/>
          <w:szCs w:val="24"/>
        </w:rPr>
      </w:pPr>
      <w:r w:rsidRPr="00792B36">
        <w:rPr>
          <w:sz w:val="24"/>
          <w:szCs w:val="24"/>
        </w:rPr>
        <w:t>Collectively, these sites represent Thailand’s most valuable coastal ecosystems, underpinning national and regional objectives in climate resilience, blue carbon management, and sustainable blue economy development. They are essential for nursery, spawning, and feeding grounds for commercially important marine species, while also sustaining the livelihoods of coastal communities.</w:t>
      </w:r>
    </w:p>
    <w:p w14:paraId="401AB996" w14:textId="77777777" w:rsidR="00BC399A" w:rsidRPr="00792B36" w:rsidRDefault="00BC399A" w:rsidP="00BC399A">
      <w:pPr>
        <w:spacing w:after="100"/>
        <w:ind w:firstLine="720"/>
        <w:jc w:val="thaiDistribute"/>
        <w:rPr>
          <w:b/>
          <w:bCs/>
          <w:i/>
          <w:iCs/>
          <w:sz w:val="24"/>
          <w:szCs w:val="24"/>
        </w:rPr>
      </w:pPr>
      <w:r w:rsidRPr="00792B36">
        <w:rPr>
          <w:b/>
          <w:bCs/>
          <w:i/>
          <w:iCs/>
          <w:sz w:val="24"/>
          <w:szCs w:val="24"/>
        </w:rPr>
        <w:t>Current Status by Ecosystem Type</w:t>
      </w:r>
    </w:p>
    <w:p w14:paraId="5C4E7BFE" w14:textId="77777777" w:rsidR="00BC399A" w:rsidRPr="00792B36" w:rsidRDefault="00BC399A" w:rsidP="00BC399A">
      <w:pPr>
        <w:spacing w:after="100"/>
        <w:ind w:firstLine="720"/>
        <w:jc w:val="thaiDistribute"/>
        <w:rPr>
          <w:sz w:val="24"/>
          <w:szCs w:val="24"/>
        </w:rPr>
      </w:pPr>
      <w:r w:rsidRPr="00792B36">
        <w:rPr>
          <w:sz w:val="24"/>
          <w:szCs w:val="24"/>
        </w:rPr>
        <w:t>Coral Reef Hotspots</w:t>
      </w:r>
    </w:p>
    <w:p w14:paraId="49F7AA92" w14:textId="77777777" w:rsidR="00BC399A" w:rsidRPr="00792B36" w:rsidRDefault="00BC399A" w:rsidP="00BC399A">
      <w:pPr>
        <w:spacing w:after="100"/>
        <w:ind w:firstLine="720"/>
        <w:jc w:val="thaiDistribute"/>
        <w:rPr>
          <w:sz w:val="24"/>
          <w:szCs w:val="24"/>
        </w:rPr>
      </w:pPr>
      <w:r w:rsidRPr="00792B36">
        <w:rPr>
          <w:sz w:val="24"/>
          <w:szCs w:val="24"/>
        </w:rPr>
        <w:t>Coral reefs across the Gulf of Thailand exhibit a pronounced spatial gradient in condition:</w:t>
      </w:r>
    </w:p>
    <w:p w14:paraId="3D578113" w14:textId="77777777" w:rsidR="00BC399A" w:rsidRPr="00792B36" w:rsidRDefault="00BC399A" w:rsidP="00F61B37">
      <w:pPr>
        <w:widowControl/>
        <w:numPr>
          <w:ilvl w:val="0"/>
          <w:numId w:val="67"/>
        </w:numPr>
        <w:spacing w:after="100"/>
        <w:jc w:val="thaiDistribute"/>
        <w:rPr>
          <w:sz w:val="24"/>
          <w:szCs w:val="24"/>
        </w:rPr>
      </w:pPr>
      <w:r w:rsidRPr="00792B36">
        <w:rPr>
          <w:sz w:val="24"/>
          <w:szCs w:val="24"/>
        </w:rPr>
        <w:lastRenderedPageBreak/>
        <w:t xml:space="preserve">Offshore reefs such as </w:t>
      </w:r>
      <w:r w:rsidRPr="00792B36">
        <w:rPr>
          <w:i/>
          <w:iCs/>
          <w:sz w:val="24"/>
          <w:szCs w:val="24"/>
        </w:rPr>
        <w:t>Koh Kra</w:t>
      </w:r>
      <w:r w:rsidRPr="00792B36">
        <w:rPr>
          <w:sz w:val="24"/>
          <w:szCs w:val="24"/>
        </w:rPr>
        <w:t xml:space="preserve">, </w:t>
      </w:r>
      <w:r w:rsidRPr="00792B36">
        <w:rPr>
          <w:i/>
          <w:iCs/>
          <w:sz w:val="24"/>
          <w:szCs w:val="24"/>
        </w:rPr>
        <w:t>Koh Losin</w:t>
      </w:r>
      <w:r w:rsidRPr="00792B36">
        <w:rPr>
          <w:sz w:val="24"/>
          <w:szCs w:val="24"/>
        </w:rPr>
        <w:t xml:space="preserve">, and </w:t>
      </w:r>
      <w:r w:rsidRPr="00792B36">
        <w:rPr>
          <w:i/>
          <w:iCs/>
          <w:sz w:val="24"/>
          <w:szCs w:val="24"/>
        </w:rPr>
        <w:t>Koh Tao</w:t>
      </w:r>
      <w:r w:rsidRPr="00792B36">
        <w:rPr>
          <w:sz w:val="24"/>
          <w:szCs w:val="24"/>
        </w:rPr>
        <w:t xml:space="preserve"> maintain healthy to remarkably healthy status, with live coral cover between 59–70% and high structural complexity. Dominant genera include </w:t>
      </w:r>
      <w:r w:rsidRPr="00792B36">
        <w:rPr>
          <w:i/>
          <w:iCs/>
          <w:sz w:val="24"/>
          <w:szCs w:val="24"/>
        </w:rPr>
        <w:t>Acropora, Porites, Montipora,</w:t>
      </w:r>
      <w:r w:rsidRPr="00792B36">
        <w:rPr>
          <w:sz w:val="24"/>
          <w:szCs w:val="24"/>
        </w:rPr>
        <w:t xml:space="preserve"> and </w:t>
      </w:r>
      <w:r w:rsidRPr="00792B36">
        <w:rPr>
          <w:i/>
          <w:iCs/>
          <w:sz w:val="24"/>
          <w:szCs w:val="24"/>
        </w:rPr>
        <w:t>Pocillopora</w:t>
      </w:r>
      <w:r w:rsidRPr="00792B36">
        <w:rPr>
          <w:sz w:val="24"/>
          <w:szCs w:val="24"/>
        </w:rPr>
        <w:t>. These reefs serve as biodiversity reservoirs and larval sources that sustain adjacent coastal systems.</w:t>
      </w:r>
    </w:p>
    <w:p w14:paraId="60FF8E2B" w14:textId="77777777" w:rsidR="00BC399A" w:rsidRPr="00792B36" w:rsidRDefault="00BC399A" w:rsidP="00F61B37">
      <w:pPr>
        <w:widowControl/>
        <w:numPr>
          <w:ilvl w:val="0"/>
          <w:numId w:val="67"/>
        </w:numPr>
        <w:spacing w:after="100"/>
        <w:jc w:val="thaiDistribute"/>
        <w:rPr>
          <w:sz w:val="24"/>
          <w:szCs w:val="24"/>
        </w:rPr>
      </w:pPr>
      <w:r w:rsidRPr="00792B36">
        <w:rPr>
          <w:sz w:val="24"/>
          <w:szCs w:val="24"/>
        </w:rPr>
        <w:t xml:space="preserve">Mid-shelf and nearshore reefs, including </w:t>
      </w:r>
      <w:r w:rsidRPr="00792B36">
        <w:rPr>
          <w:i/>
          <w:iCs/>
          <w:sz w:val="24"/>
          <w:szCs w:val="24"/>
        </w:rPr>
        <w:t>Koh Kood</w:t>
      </w:r>
      <w:r w:rsidRPr="00792B36">
        <w:rPr>
          <w:sz w:val="24"/>
          <w:szCs w:val="24"/>
        </w:rPr>
        <w:t xml:space="preserve"> and </w:t>
      </w:r>
      <w:r w:rsidRPr="00792B36">
        <w:rPr>
          <w:i/>
          <w:iCs/>
          <w:sz w:val="24"/>
          <w:szCs w:val="24"/>
        </w:rPr>
        <w:t>Koh Mak</w:t>
      </w:r>
      <w:r w:rsidRPr="00792B36">
        <w:rPr>
          <w:sz w:val="24"/>
          <w:szCs w:val="24"/>
        </w:rPr>
        <w:t>, show moderately healthy conditions (29–33% live coral cover) but exhibit signs of recovery under improved water quality and local conservation actions.</w:t>
      </w:r>
    </w:p>
    <w:p w14:paraId="46FDE069" w14:textId="77777777" w:rsidR="00BC399A" w:rsidRPr="00792B36" w:rsidRDefault="00BC399A" w:rsidP="00F61B37">
      <w:pPr>
        <w:widowControl/>
        <w:numPr>
          <w:ilvl w:val="0"/>
          <w:numId w:val="67"/>
        </w:numPr>
        <w:spacing w:after="100"/>
        <w:jc w:val="thaiDistribute"/>
        <w:rPr>
          <w:sz w:val="24"/>
          <w:szCs w:val="24"/>
        </w:rPr>
      </w:pPr>
      <w:r w:rsidRPr="00792B36">
        <w:rPr>
          <w:sz w:val="24"/>
          <w:szCs w:val="24"/>
        </w:rPr>
        <w:t xml:space="preserve">Nearshore reefs near </w:t>
      </w:r>
      <w:r w:rsidRPr="00792B36">
        <w:rPr>
          <w:i/>
          <w:iCs/>
          <w:sz w:val="24"/>
          <w:szCs w:val="24"/>
        </w:rPr>
        <w:t>Koh Si Chang</w:t>
      </w:r>
      <w:r w:rsidRPr="00792B36">
        <w:rPr>
          <w:sz w:val="24"/>
          <w:szCs w:val="24"/>
        </w:rPr>
        <w:t xml:space="preserve"> and </w:t>
      </w:r>
      <w:r w:rsidRPr="00792B36">
        <w:rPr>
          <w:i/>
          <w:iCs/>
          <w:sz w:val="24"/>
          <w:szCs w:val="24"/>
        </w:rPr>
        <w:t>Koh Lan</w:t>
      </w:r>
      <w:r w:rsidRPr="00792B36">
        <w:rPr>
          <w:sz w:val="24"/>
          <w:szCs w:val="24"/>
        </w:rPr>
        <w:t xml:space="preserve"> are degraded, with coral cover below 40%, affected by sedimentation, eutrophication, and tourism-related pressures.</w:t>
      </w:r>
    </w:p>
    <w:p w14:paraId="1496FF5A" w14:textId="77777777" w:rsidR="00BC399A" w:rsidRPr="00792B36" w:rsidRDefault="00BC399A" w:rsidP="00F61B37">
      <w:pPr>
        <w:widowControl/>
        <w:numPr>
          <w:ilvl w:val="0"/>
          <w:numId w:val="67"/>
        </w:numPr>
        <w:spacing w:after="100"/>
        <w:jc w:val="thaiDistribute"/>
        <w:rPr>
          <w:sz w:val="24"/>
          <w:szCs w:val="24"/>
        </w:rPr>
      </w:pPr>
      <w:r w:rsidRPr="00792B36">
        <w:rPr>
          <w:sz w:val="24"/>
          <w:szCs w:val="24"/>
        </w:rPr>
        <w:t>Underwater pinnacles in Chumphon Province form unique mesophotic reef habitats supporting mixed coral assemblages (31% live cover) and diverse reef fish communities. Their vertical relief and hydrodynamics promote coral recruitment and larval dispersal between shallow and deeper reefs.</w:t>
      </w:r>
    </w:p>
    <w:p w14:paraId="7FCEE60D" w14:textId="77777777" w:rsidR="00BC399A" w:rsidRPr="00792B36" w:rsidRDefault="00BC399A" w:rsidP="00BC399A">
      <w:pPr>
        <w:spacing w:after="100"/>
        <w:ind w:firstLine="720"/>
        <w:jc w:val="thaiDistribute"/>
        <w:rPr>
          <w:sz w:val="24"/>
          <w:szCs w:val="24"/>
        </w:rPr>
      </w:pPr>
      <w:r w:rsidRPr="00792B36">
        <w:rPr>
          <w:sz w:val="24"/>
          <w:szCs w:val="24"/>
        </w:rPr>
        <w:t>These coral reef hotspots are also critical refugia for large pelagic species and reef-associated fishes, maintaining high trophic diversity and ecological connectivity across the Gulf.</w:t>
      </w:r>
    </w:p>
    <w:p w14:paraId="3F5C7011" w14:textId="77777777" w:rsidR="00BC399A" w:rsidRPr="00792B36" w:rsidRDefault="00BC399A" w:rsidP="00BC399A">
      <w:pPr>
        <w:spacing w:after="100"/>
        <w:ind w:firstLine="720"/>
        <w:jc w:val="thaiDistribute"/>
        <w:rPr>
          <w:sz w:val="24"/>
          <w:szCs w:val="24"/>
        </w:rPr>
      </w:pPr>
      <w:r w:rsidRPr="00792B36">
        <w:rPr>
          <w:sz w:val="24"/>
          <w:szCs w:val="24"/>
        </w:rPr>
        <w:t>Seagrass meadows are concentrated primarily in Ban Don Bay (12.74 km²) and Chumphon Province (11.64 km²), serving as biodiversity nodes for dugongs, sea turtles, and juvenile fishes. The dominant species</w:t>
      </w:r>
      <w:r w:rsidRPr="00792B36">
        <w:rPr>
          <w:sz w:val="24"/>
          <w:szCs w:val="24"/>
          <w:cs/>
        </w:rPr>
        <w:t xml:space="preserve"> </w:t>
      </w:r>
      <w:r w:rsidRPr="00792B36">
        <w:rPr>
          <w:i/>
          <w:iCs/>
          <w:sz w:val="24"/>
          <w:szCs w:val="24"/>
        </w:rPr>
        <w:t>Enhalus acoroides, Thalassia hemprichii, Halodule uninervis,</w:t>
      </w:r>
      <w:r w:rsidRPr="00792B36">
        <w:rPr>
          <w:sz w:val="24"/>
          <w:szCs w:val="24"/>
        </w:rPr>
        <w:t xml:space="preserve"> and </w:t>
      </w:r>
      <w:r w:rsidRPr="00792B36">
        <w:rPr>
          <w:i/>
          <w:iCs/>
          <w:sz w:val="24"/>
          <w:szCs w:val="24"/>
        </w:rPr>
        <w:t>Halophila ovalis</w:t>
      </w:r>
      <w:r w:rsidRPr="00792B36">
        <w:rPr>
          <w:sz w:val="24"/>
          <w:szCs w:val="24"/>
        </w:rPr>
        <w:t>reflect healthy, mixed meadows in shallow, sheltered bays. These meadows function as blue carbon sinks, estimated to store 35–60 tonnes C ha</w:t>
      </w:r>
      <w:r w:rsidRPr="00792B36">
        <w:rPr>
          <w:rFonts w:ascii="Cambria Math" w:hAnsi="Cambria Math" w:cs="Cambria Math"/>
          <w:sz w:val="24"/>
          <w:szCs w:val="24"/>
        </w:rPr>
        <w:t>⁻</w:t>
      </w:r>
      <w:r w:rsidRPr="00792B36">
        <w:rPr>
          <w:sz w:val="24"/>
          <w:szCs w:val="24"/>
        </w:rPr>
        <w:t>¹, and play a vital role in nutrient cycling and sediment stabilization.</w:t>
      </w:r>
      <w:r w:rsidRPr="00792B36">
        <w:rPr>
          <w:sz w:val="24"/>
          <w:szCs w:val="24"/>
          <w:cs/>
        </w:rPr>
        <w:t xml:space="preserve"> </w:t>
      </w:r>
      <w:r w:rsidRPr="00792B36">
        <w:rPr>
          <w:sz w:val="24"/>
          <w:szCs w:val="24"/>
        </w:rPr>
        <w:t>However, fragmentation is increasing due to turbidity, nutrient enrichment, and coastal modification from aquaculture and infrastructure expansion.</w:t>
      </w:r>
    </w:p>
    <w:p w14:paraId="584412DE" w14:textId="77777777" w:rsidR="00BC399A" w:rsidRPr="00792B36" w:rsidRDefault="00BC399A" w:rsidP="00BC399A">
      <w:pPr>
        <w:spacing w:after="100"/>
        <w:ind w:firstLine="720"/>
        <w:jc w:val="thaiDistribute"/>
        <w:rPr>
          <w:sz w:val="24"/>
          <w:szCs w:val="24"/>
        </w:rPr>
      </w:pPr>
      <w:r w:rsidRPr="00792B36">
        <w:rPr>
          <w:sz w:val="24"/>
          <w:szCs w:val="24"/>
        </w:rPr>
        <w:t>Mangrove ecosystems and coastal wetlands</w:t>
      </w:r>
      <w:r w:rsidRPr="00792B36">
        <w:rPr>
          <w:sz w:val="24"/>
          <w:szCs w:val="24"/>
          <w:cs/>
        </w:rPr>
        <w:t xml:space="preserve"> </w:t>
      </w:r>
      <w:r w:rsidRPr="00792B36">
        <w:rPr>
          <w:sz w:val="24"/>
          <w:szCs w:val="24"/>
        </w:rPr>
        <w:t>especially at Welu River Estuary, Bandon Bay, Pak Phanang Bay, Samut Prakan, and Don Hoi Lot</w:t>
      </w:r>
      <w:r w:rsidRPr="00792B36">
        <w:rPr>
          <w:rFonts w:ascii="Browallia New" w:hAnsi="Browallia New" w:cs="Browallia New" w:hint="cs"/>
          <w:sz w:val="24"/>
          <w:szCs w:val="24"/>
          <w:cs/>
        </w:rPr>
        <w:t>อ</w:t>
      </w:r>
      <w:r w:rsidRPr="00792B36">
        <w:rPr>
          <w:sz w:val="24"/>
          <w:szCs w:val="24"/>
        </w:rPr>
        <w:t>form Thailand’s coastal biodiversity foundation. These habitats support migratory birds, estuarine fishes, and crustaceans while acting as natural barriers against erosion and storm surges.</w:t>
      </w:r>
    </w:p>
    <w:p w14:paraId="4694AE8E" w14:textId="77777777" w:rsidR="00BC399A" w:rsidRPr="00792B36" w:rsidRDefault="00BC399A" w:rsidP="00F61B37">
      <w:pPr>
        <w:widowControl/>
        <w:numPr>
          <w:ilvl w:val="0"/>
          <w:numId w:val="68"/>
        </w:numPr>
        <w:tabs>
          <w:tab w:val="clear" w:pos="1080"/>
          <w:tab w:val="num" w:pos="720"/>
        </w:tabs>
        <w:spacing w:after="100"/>
        <w:jc w:val="thaiDistribute"/>
        <w:rPr>
          <w:sz w:val="24"/>
          <w:szCs w:val="24"/>
        </w:rPr>
      </w:pPr>
      <w:r w:rsidRPr="00792B36">
        <w:rPr>
          <w:sz w:val="24"/>
          <w:szCs w:val="24"/>
        </w:rPr>
        <w:t>Welu River Estuary provides extensive mangrove and tidal-flat habitats (~20,000 ha total area) and supports carbon storage, fisheries productivity, and community-based restoration programs.</w:t>
      </w:r>
    </w:p>
    <w:p w14:paraId="50F96A9B" w14:textId="77777777" w:rsidR="00BC399A" w:rsidRPr="00792B36" w:rsidRDefault="00BC399A" w:rsidP="00F61B37">
      <w:pPr>
        <w:widowControl/>
        <w:numPr>
          <w:ilvl w:val="0"/>
          <w:numId w:val="68"/>
        </w:numPr>
        <w:tabs>
          <w:tab w:val="clear" w:pos="1080"/>
          <w:tab w:val="num" w:pos="720"/>
        </w:tabs>
        <w:spacing w:after="100"/>
        <w:jc w:val="thaiDistribute"/>
        <w:rPr>
          <w:sz w:val="24"/>
          <w:szCs w:val="24"/>
        </w:rPr>
      </w:pPr>
      <w:r w:rsidRPr="00792B36">
        <w:rPr>
          <w:sz w:val="24"/>
          <w:szCs w:val="24"/>
        </w:rPr>
        <w:t>Bandon Bay contains ~17,000 ha of mangroves and 50,000 ha of tidal flats; it is a key blue-carbon landscape integrating seagrass, mangrove, and aquaculture systems.</w:t>
      </w:r>
    </w:p>
    <w:p w14:paraId="0B7BA12A" w14:textId="77777777" w:rsidR="00BC399A" w:rsidRPr="00792B36" w:rsidRDefault="00BC399A" w:rsidP="00F61B37">
      <w:pPr>
        <w:widowControl/>
        <w:numPr>
          <w:ilvl w:val="0"/>
          <w:numId w:val="68"/>
        </w:numPr>
        <w:tabs>
          <w:tab w:val="clear" w:pos="1080"/>
          <w:tab w:val="num" w:pos="720"/>
        </w:tabs>
        <w:spacing w:after="100"/>
        <w:jc w:val="thaiDistribute"/>
        <w:rPr>
          <w:sz w:val="24"/>
          <w:szCs w:val="24"/>
        </w:rPr>
      </w:pPr>
      <w:r w:rsidRPr="00792B36">
        <w:rPr>
          <w:sz w:val="24"/>
          <w:szCs w:val="24"/>
        </w:rPr>
        <w:t>Pak Phanang Bay and Samut Prakan act as deltaic and urban wetland systems providing sediment retention, pollution filtration, and flood regulation.</w:t>
      </w:r>
    </w:p>
    <w:p w14:paraId="20E28E78" w14:textId="77777777" w:rsidR="00BC399A" w:rsidRPr="00792B36" w:rsidRDefault="00BC399A" w:rsidP="00F61B37">
      <w:pPr>
        <w:widowControl/>
        <w:numPr>
          <w:ilvl w:val="0"/>
          <w:numId w:val="68"/>
        </w:numPr>
        <w:tabs>
          <w:tab w:val="clear" w:pos="1080"/>
          <w:tab w:val="num" w:pos="720"/>
        </w:tabs>
        <w:spacing w:after="100"/>
        <w:jc w:val="thaiDistribute"/>
        <w:rPr>
          <w:sz w:val="24"/>
          <w:szCs w:val="24"/>
        </w:rPr>
      </w:pPr>
      <w:r w:rsidRPr="00792B36">
        <w:rPr>
          <w:sz w:val="24"/>
          <w:szCs w:val="24"/>
        </w:rPr>
        <w:t>Don Hoi Lot (Ramsar Site) holds global significance as a wetland supporting endemic shellfish beds, migratory shorebirds, and intertidal biodiversity of the highest conservation value.</w:t>
      </w:r>
    </w:p>
    <w:p w14:paraId="2E804CA3" w14:textId="77777777" w:rsidR="00BC399A" w:rsidRPr="00792B36" w:rsidRDefault="00BC399A" w:rsidP="00BC399A">
      <w:pPr>
        <w:spacing w:after="100"/>
        <w:ind w:firstLine="720"/>
        <w:jc w:val="thaiDistribute"/>
        <w:rPr>
          <w:sz w:val="24"/>
          <w:szCs w:val="24"/>
        </w:rPr>
      </w:pPr>
      <w:r w:rsidRPr="00792B36">
        <w:rPr>
          <w:sz w:val="24"/>
          <w:szCs w:val="24"/>
        </w:rPr>
        <w:t>These areas are legally protected under frameworks such as National Reserved Forests, DMCR-managed Coastal Wetlands, National Parks, and Ramsar designations, forming a multi-layered protection network for coastal biodiversity.</w:t>
      </w:r>
    </w:p>
    <w:p w14:paraId="0B08E827" w14:textId="77777777" w:rsidR="00BC399A" w:rsidRPr="00792B36" w:rsidRDefault="00BC399A" w:rsidP="00BC399A">
      <w:pPr>
        <w:spacing w:after="100"/>
        <w:rPr>
          <w:sz w:val="24"/>
          <w:szCs w:val="24"/>
        </w:rPr>
      </w:pPr>
      <w:r w:rsidRPr="00792B36">
        <w:rPr>
          <w:sz w:val="24"/>
          <w:szCs w:val="24"/>
        </w:rPr>
        <w:lastRenderedPageBreak/>
        <w:t>Indicator Group Assessment</w:t>
      </w:r>
    </w:p>
    <w:p w14:paraId="6FBED8F6" w14:textId="77777777" w:rsidR="00BC399A" w:rsidRPr="00792B36" w:rsidRDefault="00BC399A" w:rsidP="00BC399A">
      <w:pPr>
        <w:spacing w:after="100"/>
        <w:ind w:firstLine="720"/>
        <w:rPr>
          <w:b/>
          <w:bCs/>
          <w:i/>
          <w:iCs/>
          <w:sz w:val="24"/>
          <w:szCs w:val="24"/>
        </w:rPr>
      </w:pPr>
      <w:r w:rsidRPr="00792B36">
        <w:rPr>
          <w:b/>
          <w:bCs/>
          <w:i/>
          <w:iCs/>
          <w:sz w:val="24"/>
          <w:szCs w:val="24"/>
        </w:rPr>
        <w:t>Ecological Indicators</w:t>
      </w:r>
    </w:p>
    <w:p w14:paraId="0796496F" w14:textId="77777777" w:rsidR="00BC399A" w:rsidRPr="00792B36" w:rsidRDefault="00BC399A" w:rsidP="00BC399A">
      <w:pPr>
        <w:spacing w:after="100"/>
        <w:jc w:val="thaiDistribute"/>
        <w:rPr>
          <w:sz w:val="24"/>
          <w:szCs w:val="24"/>
        </w:rPr>
      </w:pPr>
      <w:r w:rsidRPr="00792B36">
        <w:rPr>
          <w:sz w:val="24"/>
          <w:szCs w:val="24"/>
        </w:rPr>
        <w:t>Across hotspots, the live coral cover ranges from 29–70%, while seagrass coverage averages 25–30% in major bays. The biological integrity index classifies offshore reefs and mangroves as good, while nearshore reefs and estuaries rank moderate to poor due to cumulative pressures.</w:t>
      </w:r>
      <w:r w:rsidRPr="00792B36">
        <w:rPr>
          <w:sz w:val="24"/>
          <w:szCs w:val="24"/>
        </w:rPr>
        <w:br/>
        <w:t>Key ecological indicators include:</w:t>
      </w:r>
    </w:p>
    <w:p w14:paraId="2B8BE8BD" w14:textId="77777777" w:rsidR="00BC399A" w:rsidRPr="00792B36" w:rsidRDefault="00BC399A" w:rsidP="00F61B37">
      <w:pPr>
        <w:widowControl/>
        <w:numPr>
          <w:ilvl w:val="0"/>
          <w:numId w:val="69"/>
        </w:numPr>
        <w:spacing w:after="100"/>
        <w:jc w:val="thaiDistribute"/>
        <w:rPr>
          <w:sz w:val="24"/>
          <w:szCs w:val="24"/>
        </w:rPr>
      </w:pPr>
      <w:r w:rsidRPr="00792B36">
        <w:rPr>
          <w:sz w:val="24"/>
          <w:szCs w:val="24"/>
        </w:rPr>
        <w:t>High coral species richness (&gt;100 species site</w:t>
      </w:r>
      <w:r w:rsidRPr="00792B36">
        <w:rPr>
          <w:rFonts w:ascii="Cambria Math" w:hAnsi="Cambria Math" w:cs="Cambria Math"/>
          <w:sz w:val="24"/>
          <w:szCs w:val="24"/>
        </w:rPr>
        <w:t>⁻</w:t>
      </w:r>
      <w:r w:rsidRPr="00792B36">
        <w:rPr>
          <w:sz w:val="24"/>
          <w:szCs w:val="24"/>
        </w:rPr>
        <w:t>¹) at Koh Losin and Koh Tao.</w:t>
      </w:r>
    </w:p>
    <w:p w14:paraId="316C6417" w14:textId="77777777" w:rsidR="00BC399A" w:rsidRPr="00792B36" w:rsidRDefault="00BC399A" w:rsidP="00F61B37">
      <w:pPr>
        <w:widowControl/>
        <w:numPr>
          <w:ilvl w:val="0"/>
          <w:numId w:val="69"/>
        </w:numPr>
        <w:spacing w:after="100"/>
        <w:jc w:val="thaiDistribute"/>
        <w:rPr>
          <w:sz w:val="24"/>
          <w:szCs w:val="24"/>
        </w:rPr>
      </w:pPr>
      <w:r w:rsidRPr="00792B36">
        <w:rPr>
          <w:sz w:val="24"/>
          <w:szCs w:val="24"/>
        </w:rPr>
        <w:t xml:space="preserve">Dense seagrass meadows supporting </w:t>
      </w:r>
      <w:r w:rsidRPr="00792B36">
        <w:rPr>
          <w:i/>
          <w:iCs/>
          <w:sz w:val="24"/>
          <w:szCs w:val="24"/>
        </w:rPr>
        <w:t>Dugong dugon</w:t>
      </w:r>
      <w:r w:rsidRPr="00792B36">
        <w:rPr>
          <w:sz w:val="24"/>
          <w:szCs w:val="24"/>
        </w:rPr>
        <w:t xml:space="preserve"> populations in Chumphon and Surat Thani.</w:t>
      </w:r>
    </w:p>
    <w:p w14:paraId="2648A07F" w14:textId="77777777" w:rsidR="00BC399A" w:rsidRPr="00792B36" w:rsidRDefault="00BC399A" w:rsidP="00F61B37">
      <w:pPr>
        <w:widowControl/>
        <w:numPr>
          <w:ilvl w:val="0"/>
          <w:numId w:val="69"/>
        </w:numPr>
        <w:spacing w:after="100"/>
        <w:jc w:val="thaiDistribute"/>
        <w:rPr>
          <w:sz w:val="24"/>
          <w:szCs w:val="24"/>
        </w:rPr>
      </w:pPr>
      <w:r w:rsidRPr="00792B36">
        <w:rPr>
          <w:sz w:val="24"/>
          <w:szCs w:val="24"/>
        </w:rPr>
        <w:t>Over 120 mangrove and wetland bird species at Don Hoi Lot and Bandon Bay.</w:t>
      </w:r>
    </w:p>
    <w:p w14:paraId="4B41EF51" w14:textId="77777777" w:rsidR="00BC399A" w:rsidRPr="00792B36" w:rsidRDefault="00BC399A" w:rsidP="00F61B37">
      <w:pPr>
        <w:widowControl/>
        <w:numPr>
          <w:ilvl w:val="0"/>
          <w:numId w:val="69"/>
        </w:numPr>
        <w:spacing w:after="100"/>
        <w:jc w:val="thaiDistribute"/>
        <w:rPr>
          <w:sz w:val="24"/>
          <w:szCs w:val="24"/>
        </w:rPr>
      </w:pPr>
      <w:r w:rsidRPr="00792B36">
        <w:rPr>
          <w:sz w:val="24"/>
          <w:szCs w:val="24"/>
        </w:rPr>
        <w:t>Estimated blue carbon stock &gt; 5 million t CO</w:t>
      </w:r>
      <w:r w:rsidRPr="00792B36">
        <w:rPr>
          <w:rFonts w:ascii="Cambria Math" w:hAnsi="Cambria Math" w:cs="Cambria Math"/>
          <w:sz w:val="24"/>
          <w:szCs w:val="24"/>
        </w:rPr>
        <w:t>₂</w:t>
      </w:r>
      <w:r w:rsidRPr="00792B36">
        <w:rPr>
          <w:sz w:val="24"/>
          <w:szCs w:val="24"/>
        </w:rPr>
        <w:t xml:space="preserve"> eq across the Gulf’s mangrove–seagrass mosaic.</w:t>
      </w:r>
    </w:p>
    <w:p w14:paraId="3B86E5B2" w14:textId="77777777" w:rsidR="00BC399A" w:rsidRPr="00792B36" w:rsidRDefault="00BC399A" w:rsidP="00BC399A">
      <w:pPr>
        <w:spacing w:after="100"/>
        <w:ind w:firstLine="720"/>
        <w:jc w:val="thaiDistribute"/>
        <w:rPr>
          <w:b/>
          <w:bCs/>
          <w:i/>
          <w:iCs/>
          <w:sz w:val="24"/>
          <w:szCs w:val="24"/>
        </w:rPr>
      </w:pPr>
      <w:r w:rsidRPr="00792B36">
        <w:rPr>
          <w:b/>
          <w:bCs/>
          <w:i/>
          <w:iCs/>
          <w:sz w:val="24"/>
          <w:szCs w:val="24"/>
        </w:rPr>
        <w:t>Threat Indicators</w:t>
      </w:r>
    </w:p>
    <w:p w14:paraId="4126AD63" w14:textId="77777777" w:rsidR="00BC399A" w:rsidRPr="00792B36" w:rsidRDefault="00BC399A" w:rsidP="00BC399A">
      <w:pPr>
        <w:spacing w:after="100"/>
        <w:ind w:firstLine="360"/>
        <w:rPr>
          <w:sz w:val="24"/>
          <w:szCs w:val="24"/>
        </w:rPr>
      </w:pPr>
      <w:r w:rsidRPr="00792B36">
        <w:rPr>
          <w:sz w:val="24"/>
          <w:szCs w:val="24"/>
        </w:rPr>
        <w:t>The major pressures identified are:</w:t>
      </w:r>
    </w:p>
    <w:p w14:paraId="03D69300" w14:textId="77777777" w:rsidR="00BC399A" w:rsidRPr="00792B36" w:rsidRDefault="00BC399A" w:rsidP="00F61B37">
      <w:pPr>
        <w:widowControl/>
        <w:numPr>
          <w:ilvl w:val="0"/>
          <w:numId w:val="70"/>
        </w:numPr>
        <w:tabs>
          <w:tab w:val="clear" w:pos="1080"/>
          <w:tab w:val="num" w:pos="720"/>
        </w:tabs>
        <w:spacing w:after="100"/>
        <w:rPr>
          <w:sz w:val="24"/>
          <w:szCs w:val="24"/>
        </w:rPr>
      </w:pPr>
      <w:r w:rsidRPr="00792B36">
        <w:rPr>
          <w:sz w:val="24"/>
          <w:szCs w:val="24"/>
        </w:rPr>
        <w:t>Sedimentation and turbidity from land-based runoff and port expansion.</w:t>
      </w:r>
    </w:p>
    <w:p w14:paraId="59D206EB" w14:textId="77777777" w:rsidR="00BC399A" w:rsidRPr="00792B36" w:rsidRDefault="00BC399A" w:rsidP="00F61B37">
      <w:pPr>
        <w:widowControl/>
        <w:numPr>
          <w:ilvl w:val="0"/>
          <w:numId w:val="70"/>
        </w:numPr>
        <w:tabs>
          <w:tab w:val="clear" w:pos="1080"/>
          <w:tab w:val="num" w:pos="720"/>
        </w:tabs>
        <w:spacing w:after="100"/>
        <w:rPr>
          <w:sz w:val="24"/>
          <w:szCs w:val="24"/>
        </w:rPr>
      </w:pPr>
      <w:r w:rsidRPr="00792B36">
        <w:rPr>
          <w:sz w:val="24"/>
          <w:szCs w:val="24"/>
        </w:rPr>
        <w:t>Nutrient and chemical loading from aquaculture and agriculture.</w:t>
      </w:r>
    </w:p>
    <w:p w14:paraId="69604DBE" w14:textId="77777777" w:rsidR="00BC399A" w:rsidRPr="00792B36" w:rsidRDefault="00BC399A" w:rsidP="00F61B37">
      <w:pPr>
        <w:widowControl/>
        <w:numPr>
          <w:ilvl w:val="0"/>
          <w:numId w:val="70"/>
        </w:numPr>
        <w:tabs>
          <w:tab w:val="clear" w:pos="1080"/>
          <w:tab w:val="num" w:pos="720"/>
        </w:tabs>
        <w:spacing w:after="100"/>
        <w:rPr>
          <w:sz w:val="24"/>
          <w:szCs w:val="24"/>
        </w:rPr>
      </w:pPr>
      <w:r w:rsidRPr="00792B36">
        <w:rPr>
          <w:sz w:val="24"/>
          <w:szCs w:val="24"/>
        </w:rPr>
        <w:t>Thermal stress and bleaching (notably in 2010, 2016, 2024).</w:t>
      </w:r>
    </w:p>
    <w:p w14:paraId="2E937334" w14:textId="77777777" w:rsidR="00BC399A" w:rsidRPr="00792B36" w:rsidRDefault="00BC399A" w:rsidP="00F61B37">
      <w:pPr>
        <w:widowControl/>
        <w:numPr>
          <w:ilvl w:val="0"/>
          <w:numId w:val="70"/>
        </w:numPr>
        <w:tabs>
          <w:tab w:val="clear" w:pos="1080"/>
          <w:tab w:val="num" w:pos="720"/>
        </w:tabs>
        <w:spacing w:after="100"/>
        <w:jc w:val="thaiDistribute"/>
        <w:rPr>
          <w:sz w:val="24"/>
          <w:szCs w:val="24"/>
        </w:rPr>
      </w:pPr>
      <w:r w:rsidRPr="00792B36">
        <w:rPr>
          <w:sz w:val="24"/>
          <w:szCs w:val="24"/>
        </w:rPr>
        <w:t>Tourism and physical disturbance (anchoring, trampling, wastewater).</w:t>
      </w:r>
    </w:p>
    <w:p w14:paraId="69B74B0F" w14:textId="77777777" w:rsidR="00BC399A" w:rsidRPr="00792B36" w:rsidRDefault="00BC399A" w:rsidP="00F61B37">
      <w:pPr>
        <w:widowControl/>
        <w:numPr>
          <w:ilvl w:val="0"/>
          <w:numId w:val="70"/>
        </w:numPr>
        <w:tabs>
          <w:tab w:val="clear" w:pos="1080"/>
          <w:tab w:val="num" w:pos="720"/>
        </w:tabs>
        <w:spacing w:after="100"/>
        <w:jc w:val="thaiDistribute"/>
        <w:rPr>
          <w:sz w:val="24"/>
          <w:szCs w:val="24"/>
        </w:rPr>
      </w:pPr>
      <w:r w:rsidRPr="00792B36">
        <w:rPr>
          <w:sz w:val="24"/>
          <w:szCs w:val="24"/>
        </w:rPr>
        <w:t>Microplastic contamination, with densities of 0.02–45 particles m</w:t>
      </w:r>
      <w:r w:rsidRPr="00792B36">
        <w:rPr>
          <w:rFonts w:ascii="Cambria Math" w:hAnsi="Cambria Math" w:cs="Cambria Math"/>
          <w:sz w:val="24"/>
          <w:szCs w:val="24"/>
        </w:rPr>
        <w:t>⁻</w:t>
      </w:r>
      <w:r w:rsidRPr="00792B36">
        <w:rPr>
          <w:sz w:val="24"/>
          <w:szCs w:val="24"/>
        </w:rPr>
        <w:t>³ near urban coasts.</w:t>
      </w:r>
    </w:p>
    <w:p w14:paraId="37C76EFE" w14:textId="77777777" w:rsidR="00BC399A" w:rsidRPr="00792B36" w:rsidRDefault="00BC399A" w:rsidP="00F61B37">
      <w:pPr>
        <w:widowControl/>
        <w:numPr>
          <w:ilvl w:val="0"/>
          <w:numId w:val="70"/>
        </w:numPr>
        <w:tabs>
          <w:tab w:val="clear" w:pos="1080"/>
          <w:tab w:val="num" w:pos="720"/>
        </w:tabs>
        <w:spacing w:after="100"/>
        <w:jc w:val="thaiDistribute"/>
        <w:rPr>
          <w:sz w:val="24"/>
          <w:szCs w:val="24"/>
        </w:rPr>
      </w:pPr>
      <w:r w:rsidRPr="00792B36">
        <w:rPr>
          <w:sz w:val="24"/>
          <w:szCs w:val="24"/>
        </w:rPr>
        <w:t>Overfishing and habitat modification reducing nursery and feeding grounds.</w:t>
      </w:r>
    </w:p>
    <w:p w14:paraId="78F9D95E" w14:textId="77777777" w:rsidR="00BC399A" w:rsidRPr="00792B36" w:rsidRDefault="00BC399A" w:rsidP="00BC399A">
      <w:pPr>
        <w:spacing w:after="100"/>
        <w:ind w:firstLine="720"/>
        <w:jc w:val="thaiDistribute"/>
        <w:rPr>
          <w:sz w:val="24"/>
          <w:szCs w:val="24"/>
        </w:rPr>
      </w:pPr>
      <w:r w:rsidRPr="00792B36">
        <w:rPr>
          <w:sz w:val="24"/>
          <w:szCs w:val="24"/>
        </w:rPr>
        <w:t>These stressors interact synergistically, leading to community shifts toward stress-tolerant coral genera (</w:t>
      </w:r>
      <w:r w:rsidRPr="00792B36">
        <w:rPr>
          <w:i/>
          <w:iCs/>
          <w:sz w:val="24"/>
          <w:szCs w:val="24"/>
        </w:rPr>
        <w:t>Porites, Dipsastraea</w:t>
      </w:r>
      <w:r w:rsidRPr="00792B36">
        <w:rPr>
          <w:sz w:val="24"/>
          <w:szCs w:val="24"/>
        </w:rPr>
        <w:t>) and lower seagrass diversity in degraded bays.</w:t>
      </w:r>
    </w:p>
    <w:p w14:paraId="2414D5D9" w14:textId="77777777" w:rsidR="00BC399A" w:rsidRPr="00792B36" w:rsidRDefault="00BC399A" w:rsidP="00BC399A">
      <w:pPr>
        <w:spacing w:after="100"/>
        <w:ind w:firstLine="720"/>
        <w:jc w:val="thaiDistribute"/>
        <w:rPr>
          <w:b/>
          <w:bCs/>
          <w:i/>
          <w:iCs/>
          <w:sz w:val="24"/>
          <w:szCs w:val="24"/>
        </w:rPr>
      </w:pPr>
      <w:r w:rsidRPr="00792B36">
        <w:rPr>
          <w:b/>
          <w:bCs/>
          <w:i/>
          <w:iCs/>
          <w:sz w:val="24"/>
          <w:szCs w:val="24"/>
        </w:rPr>
        <w:t>Socio-economic and Governance Indicators</w:t>
      </w:r>
    </w:p>
    <w:p w14:paraId="4E5CB27C" w14:textId="77777777" w:rsidR="00BC399A" w:rsidRPr="00792B36" w:rsidRDefault="00BC399A" w:rsidP="00BC399A">
      <w:pPr>
        <w:spacing w:after="100"/>
        <w:ind w:firstLine="360"/>
        <w:jc w:val="thaiDistribute"/>
        <w:rPr>
          <w:sz w:val="24"/>
          <w:szCs w:val="24"/>
        </w:rPr>
      </w:pPr>
      <w:r w:rsidRPr="00792B36">
        <w:rPr>
          <w:sz w:val="24"/>
          <w:szCs w:val="24"/>
        </w:rPr>
        <w:t>Despite ecological pressures, community participation and restoration programs are increasing:</w:t>
      </w:r>
    </w:p>
    <w:p w14:paraId="553811EB" w14:textId="77777777" w:rsidR="00BC399A" w:rsidRPr="00792B36" w:rsidRDefault="00BC399A" w:rsidP="00F61B37">
      <w:pPr>
        <w:widowControl/>
        <w:numPr>
          <w:ilvl w:val="0"/>
          <w:numId w:val="71"/>
        </w:numPr>
        <w:tabs>
          <w:tab w:val="clear" w:pos="1080"/>
          <w:tab w:val="num" w:pos="720"/>
        </w:tabs>
        <w:spacing w:after="100"/>
        <w:jc w:val="thaiDistribute"/>
        <w:rPr>
          <w:sz w:val="24"/>
          <w:szCs w:val="24"/>
        </w:rPr>
      </w:pPr>
      <w:r w:rsidRPr="00792B36">
        <w:rPr>
          <w:sz w:val="24"/>
          <w:szCs w:val="24"/>
        </w:rPr>
        <w:t>DMCR-led restoration projects have rehabilitated &gt; 1,000 ha of mangroves and 100 ha of seagrass meadows.</w:t>
      </w:r>
    </w:p>
    <w:p w14:paraId="63143A2A" w14:textId="77777777" w:rsidR="00BC399A" w:rsidRPr="00792B36" w:rsidRDefault="00BC399A" w:rsidP="00F61B37">
      <w:pPr>
        <w:widowControl/>
        <w:numPr>
          <w:ilvl w:val="0"/>
          <w:numId w:val="71"/>
        </w:numPr>
        <w:tabs>
          <w:tab w:val="clear" w:pos="1080"/>
          <w:tab w:val="num" w:pos="720"/>
        </w:tabs>
        <w:spacing w:after="100"/>
        <w:jc w:val="thaiDistribute"/>
        <w:rPr>
          <w:sz w:val="24"/>
          <w:szCs w:val="24"/>
        </w:rPr>
      </w:pPr>
      <w:r w:rsidRPr="00792B36">
        <w:rPr>
          <w:sz w:val="24"/>
          <w:szCs w:val="24"/>
        </w:rPr>
        <w:t>Community-based monitoring networks in Chumphon and Bandon Bay track seagrass and coral conditions annually.</w:t>
      </w:r>
    </w:p>
    <w:p w14:paraId="1A083646" w14:textId="77777777" w:rsidR="00BC399A" w:rsidRPr="00792B36" w:rsidRDefault="00BC399A" w:rsidP="00F61B37">
      <w:pPr>
        <w:widowControl/>
        <w:numPr>
          <w:ilvl w:val="0"/>
          <w:numId w:val="71"/>
        </w:numPr>
        <w:tabs>
          <w:tab w:val="clear" w:pos="1080"/>
          <w:tab w:val="num" w:pos="720"/>
        </w:tabs>
        <w:spacing w:after="100"/>
        <w:jc w:val="thaiDistribute"/>
        <w:rPr>
          <w:sz w:val="24"/>
          <w:szCs w:val="24"/>
        </w:rPr>
      </w:pPr>
      <w:r w:rsidRPr="00792B36">
        <w:rPr>
          <w:sz w:val="24"/>
          <w:szCs w:val="24"/>
        </w:rPr>
        <w:t>Economic valuations show coastal ecosystem services worth US$20–32 million year</w:t>
      </w:r>
      <w:r w:rsidRPr="00792B36">
        <w:rPr>
          <w:rFonts w:ascii="Cambria Math" w:hAnsi="Cambria Math" w:cs="Cambria Math"/>
          <w:sz w:val="24"/>
          <w:szCs w:val="24"/>
        </w:rPr>
        <w:t>⁻</w:t>
      </w:r>
      <w:r w:rsidRPr="00792B36">
        <w:rPr>
          <w:sz w:val="24"/>
          <w:szCs w:val="24"/>
        </w:rPr>
        <w:t>¹ per major site, underscoring their contribution to Thailand’s blue economy.</w:t>
      </w:r>
      <w:r w:rsidRPr="00792B36">
        <w:rPr>
          <w:sz w:val="24"/>
          <w:szCs w:val="24"/>
        </w:rPr>
        <w:br/>
        <w:t>However, governance fragmentation and enforcement challenges persist, especially in mixed-use coastal zones.</w:t>
      </w:r>
    </w:p>
    <w:p w14:paraId="4816ED2D" w14:textId="77777777" w:rsidR="00BC399A" w:rsidRPr="00792B36" w:rsidRDefault="00BC399A" w:rsidP="00BC399A">
      <w:pPr>
        <w:spacing w:after="100"/>
        <w:ind w:firstLine="720"/>
        <w:jc w:val="thaiDistribute"/>
        <w:rPr>
          <w:b/>
          <w:bCs/>
          <w:i/>
          <w:iCs/>
          <w:sz w:val="24"/>
          <w:szCs w:val="24"/>
        </w:rPr>
      </w:pPr>
      <w:r w:rsidRPr="00792B36">
        <w:rPr>
          <w:b/>
          <w:bCs/>
          <w:i/>
          <w:iCs/>
          <w:sz w:val="24"/>
          <w:szCs w:val="24"/>
        </w:rPr>
        <w:t>Spatial Trends and Biodiversity Linkages</w:t>
      </w:r>
    </w:p>
    <w:p w14:paraId="3295B7B5" w14:textId="77777777" w:rsidR="00BC399A" w:rsidRPr="00792B36" w:rsidRDefault="00BC399A" w:rsidP="00BC399A">
      <w:pPr>
        <w:spacing w:after="100"/>
        <w:ind w:firstLine="720"/>
        <w:jc w:val="thaiDistribute"/>
        <w:rPr>
          <w:sz w:val="24"/>
          <w:szCs w:val="24"/>
        </w:rPr>
      </w:pPr>
      <w:r w:rsidRPr="00792B36">
        <w:rPr>
          <w:sz w:val="24"/>
          <w:szCs w:val="24"/>
        </w:rPr>
        <w:t>Biodiversity hotspots form an interconnected ecological continuum:</w:t>
      </w:r>
    </w:p>
    <w:p w14:paraId="34B564DC" w14:textId="77777777" w:rsidR="00BC399A" w:rsidRPr="00792B36" w:rsidRDefault="00BC399A" w:rsidP="00F61B37">
      <w:pPr>
        <w:widowControl/>
        <w:numPr>
          <w:ilvl w:val="0"/>
          <w:numId w:val="72"/>
        </w:numPr>
        <w:tabs>
          <w:tab w:val="clear" w:pos="1080"/>
          <w:tab w:val="num" w:pos="720"/>
        </w:tabs>
        <w:spacing w:after="100"/>
        <w:jc w:val="thaiDistribute"/>
        <w:rPr>
          <w:sz w:val="24"/>
          <w:szCs w:val="24"/>
        </w:rPr>
      </w:pPr>
      <w:r w:rsidRPr="00792B36">
        <w:rPr>
          <w:sz w:val="24"/>
          <w:szCs w:val="24"/>
        </w:rPr>
        <w:t>Eastern Gulf (Trat–Chanthaburi) hosts mixed coral–mangrove systems with high endemism.</w:t>
      </w:r>
    </w:p>
    <w:p w14:paraId="2DEB180D" w14:textId="77777777" w:rsidR="00BC399A" w:rsidRPr="00792B36" w:rsidRDefault="00BC399A" w:rsidP="00F61B37">
      <w:pPr>
        <w:widowControl/>
        <w:numPr>
          <w:ilvl w:val="0"/>
          <w:numId w:val="72"/>
        </w:numPr>
        <w:tabs>
          <w:tab w:val="clear" w:pos="1080"/>
          <w:tab w:val="num" w:pos="720"/>
        </w:tabs>
        <w:spacing w:after="100"/>
        <w:jc w:val="thaiDistribute"/>
        <w:rPr>
          <w:sz w:val="24"/>
          <w:szCs w:val="24"/>
        </w:rPr>
      </w:pPr>
      <w:r w:rsidRPr="00792B36">
        <w:rPr>
          <w:sz w:val="24"/>
          <w:szCs w:val="24"/>
        </w:rPr>
        <w:lastRenderedPageBreak/>
        <w:t>Central Gulf (Chonburi–Samut Prakan) experiences strong anthropogenic pressures but retains vital ecological corridors.</w:t>
      </w:r>
    </w:p>
    <w:p w14:paraId="2F06732E" w14:textId="77777777" w:rsidR="00BC399A" w:rsidRPr="00792B36" w:rsidRDefault="00BC399A" w:rsidP="00F61B37">
      <w:pPr>
        <w:widowControl/>
        <w:numPr>
          <w:ilvl w:val="0"/>
          <w:numId w:val="72"/>
        </w:numPr>
        <w:tabs>
          <w:tab w:val="clear" w:pos="1080"/>
          <w:tab w:val="num" w:pos="720"/>
        </w:tabs>
        <w:spacing w:after="100"/>
        <w:jc w:val="thaiDistribute"/>
        <w:rPr>
          <w:sz w:val="24"/>
          <w:szCs w:val="24"/>
        </w:rPr>
      </w:pPr>
      <w:r w:rsidRPr="00792B36">
        <w:rPr>
          <w:sz w:val="24"/>
          <w:szCs w:val="24"/>
        </w:rPr>
        <w:t>Southern Gulf (Chumphon–Surat Thani–Nakhon Si Thammarat) contains the most extensive seagrass–mangrove complexes, supporting dugongs, dolphins, and migratory species.</w:t>
      </w:r>
    </w:p>
    <w:p w14:paraId="257D77FD" w14:textId="77777777" w:rsidR="00BC399A" w:rsidRPr="00792B36" w:rsidRDefault="00BC399A" w:rsidP="00BC399A">
      <w:pPr>
        <w:spacing w:after="100"/>
        <w:ind w:firstLine="720"/>
        <w:jc w:val="thaiDistribute"/>
        <w:rPr>
          <w:sz w:val="24"/>
          <w:szCs w:val="24"/>
        </w:rPr>
      </w:pPr>
      <w:r w:rsidRPr="00792B36">
        <w:rPr>
          <w:sz w:val="24"/>
          <w:szCs w:val="24"/>
        </w:rPr>
        <w:t>The ecological linkages between coral reefs, seagrass meadows, and mangroves sustain nutrient flows and larval connectivity across trophic levels. Maintaining these linkages is crucial for biodiversity resilience, fisheries productivity, and blue-carbon potential.</w:t>
      </w:r>
    </w:p>
    <w:p w14:paraId="5970FB4D" w14:textId="77777777" w:rsidR="00BC399A" w:rsidRPr="00792B36" w:rsidRDefault="00BC399A" w:rsidP="00BC399A">
      <w:pPr>
        <w:spacing w:after="100"/>
        <w:ind w:firstLine="720"/>
        <w:jc w:val="thaiDistribute"/>
        <w:rPr>
          <w:b/>
          <w:bCs/>
          <w:i/>
          <w:iCs/>
          <w:sz w:val="24"/>
          <w:szCs w:val="24"/>
        </w:rPr>
      </w:pPr>
      <w:r w:rsidRPr="00792B36">
        <w:rPr>
          <w:b/>
          <w:bCs/>
          <w:i/>
          <w:iCs/>
          <w:sz w:val="24"/>
          <w:szCs w:val="24"/>
        </w:rPr>
        <w:t>Summary and Outlook</w:t>
      </w:r>
    </w:p>
    <w:p w14:paraId="5E65A35F" w14:textId="77777777" w:rsidR="00BC399A" w:rsidRPr="00792B36" w:rsidRDefault="00BC399A" w:rsidP="00BC399A">
      <w:pPr>
        <w:spacing w:after="100"/>
        <w:ind w:firstLine="720"/>
        <w:jc w:val="thaiDistribute"/>
        <w:rPr>
          <w:sz w:val="24"/>
          <w:szCs w:val="24"/>
        </w:rPr>
      </w:pPr>
      <w:r w:rsidRPr="00792B36">
        <w:rPr>
          <w:sz w:val="24"/>
          <w:szCs w:val="24"/>
        </w:rPr>
        <w:t>Biodiversity hotspots and sensitive areas in the Gulf of Thailand remain ecologically productive yet increasingly fragile. Offshore coral reefs and mangroves retain good ecological integrity, but nearshore and estuarine systems face cumulative threats from land-based activities and climate change.</w:t>
      </w:r>
    </w:p>
    <w:p w14:paraId="7C394AA6" w14:textId="77777777" w:rsidR="00BC399A" w:rsidRPr="00792B36" w:rsidRDefault="00BC399A" w:rsidP="00BC399A">
      <w:pPr>
        <w:spacing w:after="100"/>
        <w:jc w:val="thaiDistribute"/>
        <w:rPr>
          <w:sz w:val="24"/>
          <w:szCs w:val="24"/>
        </w:rPr>
      </w:pPr>
      <w:r w:rsidRPr="00792B36">
        <w:rPr>
          <w:sz w:val="24"/>
          <w:szCs w:val="24"/>
        </w:rPr>
        <w:t>To secure long-term resilience, Thailand should:</w:t>
      </w:r>
    </w:p>
    <w:p w14:paraId="3CF1CC06" w14:textId="77777777" w:rsidR="00BC399A" w:rsidRPr="00792B36" w:rsidRDefault="00BC399A" w:rsidP="00F61B37">
      <w:pPr>
        <w:widowControl/>
        <w:numPr>
          <w:ilvl w:val="0"/>
          <w:numId w:val="73"/>
        </w:numPr>
        <w:spacing w:after="100"/>
        <w:jc w:val="thaiDistribute"/>
        <w:rPr>
          <w:sz w:val="24"/>
          <w:szCs w:val="24"/>
        </w:rPr>
      </w:pPr>
      <w:r w:rsidRPr="00792B36">
        <w:rPr>
          <w:sz w:val="24"/>
          <w:szCs w:val="24"/>
        </w:rPr>
        <w:t>Integrate ecosystem-based management across coral, seagrass, and mangrove systems.</w:t>
      </w:r>
    </w:p>
    <w:p w14:paraId="232CD67A" w14:textId="77777777" w:rsidR="00BC399A" w:rsidRPr="00792B36" w:rsidRDefault="00BC399A" w:rsidP="00F61B37">
      <w:pPr>
        <w:widowControl/>
        <w:numPr>
          <w:ilvl w:val="0"/>
          <w:numId w:val="73"/>
        </w:numPr>
        <w:spacing w:after="100"/>
        <w:jc w:val="thaiDistribute"/>
        <w:rPr>
          <w:sz w:val="24"/>
          <w:szCs w:val="24"/>
        </w:rPr>
      </w:pPr>
      <w:r w:rsidRPr="00792B36">
        <w:rPr>
          <w:sz w:val="24"/>
          <w:szCs w:val="24"/>
        </w:rPr>
        <w:t>Institutionalize blue-carbon accounting and habitat restoration within national climate strategies.</w:t>
      </w:r>
    </w:p>
    <w:p w14:paraId="0A2CC710" w14:textId="77777777" w:rsidR="00BC399A" w:rsidRPr="00792B36" w:rsidRDefault="00BC399A" w:rsidP="00F61B37">
      <w:pPr>
        <w:widowControl/>
        <w:numPr>
          <w:ilvl w:val="0"/>
          <w:numId w:val="73"/>
        </w:numPr>
        <w:spacing w:after="100"/>
        <w:jc w:val="thaiDistribute"/>
        <w:rPr>
          <w:sz w:val="24"/>
          <w:szCs w:val="24"/>
        </w:rPr>
      </w:pPr>
      <w:r w:rsidRPr="00792B36">
        <w:rPr>
          <w:sz w:val="24"/>
          <w:szCs w:val="24"/>
        </w:rPr>
        <w:t>Strengthen community co-management and spatial planning to reduce localized pressures.</w:t>
      </w:r>
    </w:p>
    <w:p w14:paraId="72DD61E3" w14:textId="77777777" w:rsidR="00BC399A" w:rsidRPr="00792B36" w:rsidRDefault="00BC399A" w:rsidP="00F61B37">
      <w:pPr>
        <w:widowControl/>
        <w:numPr>
          <w:ilvl w:val="0"/>
          <w:numId w:val="73"/>
        </w:numPr>
        <w:spacing w:after="100"/>
        <w:jc w:val="thaiDistribute"/>
        <w:rPr>
          <w:sz w:val="24"/>
          <w:szCs w:val="24"/>
        </w:rPr>
      </w:pPr>
      <w:r w:rsidRPr="00792B36">
        <w:rPr>
          <w:sz w:val="24"/>
          <w:szCs w:val="24"/>
        </w:rPr>
        <w:t>Expand MPA and OECM networks to include seagrass and wetland habitats currently underrepresented in formal protection.</w:t>
      </w:r>
    </w:p>
    <w:p w14:paraId="320140B2" w14:textId="77777777" w:rsidR="00BC399A" w:rsidRPr="00792B36" w:rsidRDefault="00BC399A" w:rsidP="00BC399A">
      <w:pPr>
        <w:spacing w:after="100"/>
        <w:ind w:firstLine="720"/>
        <w:rPr>
          <w:sz w:val="24"/>
          <w:szCs w:val="24"/>
        </w:rPr>
      </w:pPr>
      <w:r w:rsidRPr="00792B36">
        <w:rPr>
          <w:sz w:val="24"/>
          <w:szCs w:val="24"/>
        </w:rPr>
        <w:t>Through continued scientific monitoring, adaptive governance, and participatory restoration, these biodiversity hotspots can remain the living foundation for a nature-positive, climate-resilient Gulf of Thailand</w:t>
      </w:r>
    </w:p>
    <w:p w14:paraId="2B8D76FF" w14:textId="77777777" w:rsidR="00BC399A" w:rsidRPr="00792B36" w:rsidRDefault="00BC399A" w:rsidP="00BC399A">
      <w:pPr>
        <w:spacing w:after="100"/>
        <w:ind w:firstLine="720"/>
        <w:rPr>
          <w:sz w:val="24"/>
          <w:szCs w:val="24"/>
        </w:rPr>
      </w:pPr>
    </w:p>
    <w:p w14:paraId="751BB079" w14:textId="77777777" w:rsidR="00BC399A" w:rsidRPr="00792B36" w:rsidRDefault="00BC399A" w:rsidP="00BC399A">
      <w:pPr>
        <w:pStyle w:val="ListParagraph"/>
        <w:spacing w:after="100"/>
        <w:rPr>
          <w:rFonts w:cs="Arial"/>
          <w:b/>
          <w:bCs/>
          <w:color w:val="000000" w:themeColor="text1"/>
          <w:sz w:val="24"/>
          <w:szCs w:val="24"/>
          <w:cs/>
        </w:rPr>
      </w:pPr>
      <w:r w:rsidRPr="00792B36">
        <w:rPr>
          <w:rFonts w:cs="Arial"/>
          <w:b/>
          <w:bCs/>
          <w:color w:val="000000" w:themeColor="text1"/>
          <w:sz w:val="24"/>
          <w:szCs w:val="24"/>
        </w:rPr>
        <w:t>4.2.4 Endemic, Endangered, and Threatened Species</w:t>
      </w:r>
    </w:p>
    <w:p w14:paraId="424DFA8F" w14:textId="77777777" w:rsidR="00BC399A" w:rsidRPr="00792B36" w:rsidRDefault="00BC399A" w:rsidP="00BC399A">
      <w:pPr>
        <w:spacing w:after="100"/>
        <w:ind w:firstLine="720"/>
        <w:rPr>
          <w:b/>
          <w:bCs/>
          <w:i/>
          <w:iCs/>
          <w:color w:val="000000" w:themeColor="text1"/>
          <w:sz w:val="24"/>
          <w:szCs w:val="24"/>
        </w:rPr>
      </w:pPr>
      <w:r w:rsidRPr="00792B36">
        <w:rPr>
          <w:b/>
          <w:bCs/>
          <w:i/>
          <w:iCs/>
          <w:color w:val="000000" w:themeColor="text1"/>
          <w:sz w:val="24"/>
          <w:szCs w:val="24"/>
        </w:rPr>
        <w:t>Coral Reef Ecosystems</w:t>
      </w:r>
    </w:p>
    <w:p w14:paraId="4492094E" w14:textId="77777777" w:rsidR="00BC399A" w:rsidRPr="00792B36" w:rsidRDefault="00BC399A" w:rsidP="00BC399A">
      <w:pPr>
        <w:spacing w:after="100"/>
        <w:ind w:firstLine="720"/>
        <w:rPr>
          <w:color w:val="000000" w:themeColor="text1"/>
          <w:sz w:val="24"/>
          <w:szCs w:val="24"/>
        </w:rPr>
      </w:pPr>
      <w:r w:rsidRPr="00792B36">
        <w:rPr>
          <w:color w:val="000000" w:themeColor="text1"/>
          <w:sz w:val="24"/>
          <w:szCs w:val="24"/>
        </w:rPr>
        <w:t>The coral reef ecosystems of the Gulf of Thailand harbor a high diversity of South China Sea endemic corals and numerous species listed under the IUCN Red List. Major reef systems include Koh Si Chang, Koh Lan, Koh Kood, Koh Mak, Koh Tao, Koh Kra, Koh Losin, and the underwater pinnacles of Chumphon Province. These areas represent biodiversity reservoirs and genetic refugia within the Western Indo-Pacific region.</w:t>
      </w:r>
    </w:p>
    <w:p w14:paraId="317BC882" w14:textId="77777777" w:rsidR="00BC399A" w:rsidRPr="00792B36" w:rsidRDefault="00BC399A" w:rsidP="00F61B37">
      <w:pPr>
        <w:widowControl/>
        <w:numPr>
          <w:ilvl w:val="0"/>
          <w:numId w:val="74"/>
        </w:numPr>
        <w:spacing w:after="100"/>
        <w:rPr>
          <w:color w:val="000000" w:themeColor="text1"/>
          <w:sz w:val="24"/>
          <w:szCs w:val="24"/>
        </w:rPr>
      </w:pPr>
      <w:r w:rsidRPr="00792B36">
        <w:rPr>
          <w:color w:val="000000" w:themeColor="text1"/>
          <w:sz w:val="24"/>
          <w:szCs w:val="24"/>
        </w:rPr>
        <w:t>Endemic Species:</w:t>
      </w:r>
      <w:r w:rsidRPr="00792B36">
        <w:rPr>
          <w:color w:val="000000" w:themeColor="text1"/>
          <w:sz w:val="24"/>
          <w:szCs w:val="24"/>
        </w:rPr>
        <w:br/>
        <w:t xml:space="preserve">Several coral species are regionally endemic to the South China Sea, including </w:t>
      </w:r>
      <w:r w:rsidRPr="00792B36">
        <w:rPr>
          <w:i/>
          <w:iCs/>
          <w:color w:val="000000" w:themeColor="text1"/>
          <w:sz w:val="24"/>
          <w:szCs w:val="24"/>
        </w:rPr>
        <w:t>Pectinia lactuca, Turbinaria patula, Acropora microclados, Merulina ampliata, Echinopora lamellosa, Pectinia paeonia,</w:t>
      </w:r>
      <w:r w:rsidRPr="00792B36">
        <w:rPr>
          <w:color w:val="000000" w:themeColor="text1"/>
          <w:sz w:val="24"/>
          <w:szCs w:val="24"/>
        </w:rPr>
        <w:t xml:space="preserve"> and </w:t>
      </w:r>
      <w:r w:rsidRPr="00792B36">
        <w:rPr>
          <w:i/>
          <w:iCs/>
          <w:color w:val="000000" w:themeColor="text1"/>
          <w:sz w:val="24"/>
          <w:szCs w:val="24"/>
        </w:rPr>
        <w:t>Goniopora stokesi</w:t>
      </w:r>
      <w:r w:rsidRPr="00792B36">
        <w:rPr>
          <w:color w:val="000000" w:themeColor="text1"/>
          <w:sz w:val="24"/>
          <w:szCs w:val="24"/>
        </w:rPr>
        <w:t>. Their restricted distribution highlights the genetic uniqueness and biogeographical value of Thailand’s reefs.</w:t>
      </w:r>
    </w:p>
    <w:p w14:paraId="74C7EE87" w14:textId="77777777" w:rsidR="00BC399A" w:rsidRPr="00792B36" w:rsidRDefault="00BC399A" w:rsidP="00F61B37">
      <w:pPr>
        <w:widowControl/>
        <w:numPr>
          <w:ilvl w:val="0"/>
          <w:numId w:val="74"/>
        </w:numPr>
        <w:spacing w:after="100"/>
        <w:rPr>
          <w:color w:val="000000" w:themeColor="text1"/>
          <w:sz w:val="24"/>
          <w:szCs w:val="24"/>
        </w:rPr>
      </w:pPr>
      <w:r w:rsidRPr="00792B36">
        <w:rPr>
          <w:color w:val="000000" w:themeColor="text1"/>
          <w:sz w:val="24"/>
          <w:szCs w:val="24"/>
        </w:rPr>
        <w:t>Threatened Categories (IUCN):</w:t>
      </w:r>
    </w:p>
    <w:p w14:paraId="35169FF0" w14:textId="77777777" w:rsidR="00BC399A" w:rsidRPr="00792B36" w:rsidRDefault="00BC399A" w:rsidP="00F61B37">
      <w:pPr>
        <w:widowControl/>
        <w:numPr>
          <w:ilvl w:val="1"/>
          <w:numId w:val="74"/>
        </w:numPr>
        <w:spacing w:after="100"/>
        <w:rPr>
          <w:color w:val="000000" w:themeColor="text1"/>
          <w:sz w:val="24"/>
          <w:szCs w:val="24"/>
        </w:rPr>
      </w:pPr>
      <w:r w:rsidRPr="00792B36">
        <w:rPr>
          <w:color w:val="000000" w:themeColor="text1"/>
          <w:sz w:val="24"/>
          <w:szCs w:val="24"/>
        </w:rPr>
        <w:t xml:space="preserve">Endangered (EN): </w:t>
      </w:r>
      <w:r w:rsidRPr="00792B36">
        <w:rPr>
          <w:i/>
          <w:iCs/>
          <w:color w:val="000000" w:themeColor="text1"/>
          <w:sz w:val="24"/>
          <w:szCs w:val="24"/>
        </w:rPr>
        <w:t>Pectinia lactuca</w:t>
      </w:r>
    </w:p>
    <w:p w14:paraId="40028D6F" w14:textId="77777777" w:rsidR="00BC399A" w:rsidRPr="00792B36" w:rsidRDefault="00BC399A" w:rsidP="00F61B37">
      <w:pPr>
        <w:widowControl/>
        <w:numPr>
          <w:ilvl w:val="1"/>
          <w:numId w:val="74"/>
        </w:numPr>
        <w:spacing w:after="100"/>
        <w:rPr>
          <w:color w:val="000000" w:themeColor="text1"/>
          <w:sz w:val="24"/>
          <w:szCs w:val="24"/>
        </w:rPr>
      </w:pPr>
      <w:r w:rsidRPr="00792B36">
        <w:rPr>
          <w:color w:val="000000" w:themeColor="text1"/>
          <w:sz w:val="24"/>
          <w:szCs w:val="24"/>
        </w:rPr>
        <w:lastRenderedPageBreak/>
        <w:t xml:space="preserve">Vulnerable (VU): </w:t>
      </w:r>
      <w:r w:rsidRPr="00792B36">
        <w:rPr>
          <w:i/>
          <w:iCs/>
          <w:color w:val="000000" w:themeColor="text1"/>
          <w:sz w:val="24"/>
          <w:szCs w:val="24"/>
        </w:rPr>
        <w:t>Acropora humilis, A. muricata, A. millepora, A. hyacinthus, A. nasuta, Montipora digitata, M. foliosa, Pocillopora acuta,</w:t>
      </w:r>
      <w:r w:rsidRPr="00792B36">
        <w:rPr>
          <w:color w:val="000000" w:themeColor="text1"/>
          <w:sz w:val="24"/>
          <w:szCs w:val="24"/>
        </w:rPr>
        <w:t xml:space="preserve"> and </w:t>
      </w:r>
      <w:r w:rsidRPr="00792B36">
        <w:rPr>
          <w:i/>
          <w:iCs/>
          <w:color w:val="000000" w:themeColor="text1"/>
          <w:sz w:val="24"/>
          <w:szCs w:val="24"/>
        </w:rPr>
        <w:t>Turbinaria patula</w:t>
      </w:r>
    </w:p>
    <w:p w14:paraId="3CF8AD99" w14:textId="77777777" w:rsidR="00BC399A" w:rsidRPr="00792B36" w:rsidRDefault="00BC399A" w:rsidP="00F61B37">
      <w:pPr>
        <w:widowControl/>
        <w:numPr>
          <w:ilvl w:val="1"/>
          <w:numId w:val="74"/>
        </w:numPr>
        <w:spacing w:after="100"/>
        <w:rPr>
          <w:color w:val="000000" w:themeColor="text1"/>
          <w:sz w:val="24"/>
          <w:szCs w:val="24"/>
        </w:rPr>
      </w:pPr>
      <w:r w:rsidRPr="00792B36">
        <w:rPr>
          <w:color w:val="000000" w:themeColor="text1"/>
          <w:sz w:val="24"/>
          <w:szCs w:val="24"/>
        </w:rPr>
        <w:t xml:space="preserve">Near Threatened (NT): </w:t>
      </w:r>
      <w:r w:rsidRPr="00792B36">
        <w:rPr>
          <w:i/>
          <w:iCs/>
          <w:color w:val="000000" w:themeColor="text1"/>
          <w:sz w:val="24"/>
          <w:szCs w:val="24"/>
        </w:rPr>
        <w:t>Favia favus, Galaxea fascicularis, Porites lutea, Pavona cactus, Goniopora stokesi,</w:t>
      </w:r>
      <w:r w:rsidRPr="00792B36">
        <w:rPr>
          <w:color w:val="000000" w:themeColor="text1"/>
          <w:sz w:val="24"/>
          <w:szCs w:val="24"/>
        </w:rPr>
        <w:t xml:space="preserve"> and </w:t>
      </w:r>
      <w:r w:rsidRPr="00792B36">
        <w:rPr>
          <w:i/>
          <w:iCs/>
          <w:color w:val="000000" w:themeColor="text1"/>
          <w:sz w:val="24"/>
          <w:szCs w:val="24"/>
        </w:rPr>
        <w:t>Heliopora coerulea</w:t>
      </w:r>
      <w:r w:rsidRPr="00792B36">
        <w:rPr>
          <w:color w:val="000000" w:themeColor="text1"/>
          <w:sz w:val="24"/>
          <w:szCs w:val="24"/>
        </w:rPr>
        <w:t xml:space="preserve"> (Blue coral)</w:t>
      </w:r>
    </w:p>
    <w:p w14:paraId="2B288AFE" w14:textId="77777777" w:rsidR="00BC399A" w:rsidRPr="00792B36" w:rsidRDefault="00BC399A" w:rsidP="00BC399A">
      <w:pPr>
        <w:spacing w:after="100"/>
        <w:ind w:firstLine="720"/>
        <w:rPr>
          <w:color w:val="000000" w:themeColor="text1"/>
          <w:sz w:val="24"/>
          <w:szCs w:val="24"/>
        </w:rPr>
      </w:pPr>
      <w:r w:rsidRPr="00792B36">
        <w:rPr>
          <w:color w:val="000000" w:themeColor="text1"/>
          <w:sz w:val="24"/>
          <w:szCs w:val="24"/>
        </w:rPr>
        <w:t xml:space="preserve">Offshore reefs such as Koh Kra and Koh Losin maintain high live coral cover (&gt;60%) and retain significant endemic diversity, whereas nearshore reefs (Koh Si Chang, Koh Lan) are degraded, with live coral cover below 40%. These areas exhibit declines in </w:t>
      </w:r>
      <w:r w:rsidRPr="00792B36">
        <w:rPr>
          <w:i/>
          <w:iCs/>
          <w:color w:val="000000" w:themeColor="text1"/>
          <w:sz w:val="24"/>
          <w:szCs w:val="24"/>
        </w:rPr>
        <w:t>Acropora</w:t>
      </w:r>
      <w:r w:rsidRPr="00792B36">
        <w:rPr>
          <w:color w:val="000000" w:themeColor="text1"/>
          <w:sz w:val="24"/>
          <w:szCs w:val="24"/>
        </w:rPr>
        <w:t xml:space="preserve"> and </w:t>
      </w:r>
      <w:r w:rsidRPr="00792B36">
        <w:rPr>
          <w:i/>
          <w:iCs/>
          <w:color w:val="000000" w:themeColor="text1"/>
          <w:sz w:val="24"/>
          <w:szCs w:val="24"/>
        </w:rPr>
        <w:t>Heliopora</w:t>
      </w:r>
      <w:r w:rsidRPr="00792B36">
        <w:rPr>
          <w:color w:val="000000" w:themeColor="text1"/>
          <w:sz w:val="24"/>
          <w:szCs w:val="24"/>
        </w:rPr>
        <w:t xml:space="preserve"> populations due to sedimentation, eutrophication, and heat stress.</w:t>
      </w:r>
    </w:p>
    <w:p w14:paraId="4D6905E5" w14:textId="77777777" w:rsidR="00BC399A" w:rsidRPr="00792B36" w:rsidRDefault="00BC399A" w:rsidP="00BC399A">
      <w:pPr>
        <w:spacing w:after="100"/>
        <w:ind w:firstLine="720"/>
        <w:rPr>
          <w:color w:val="000000" w:themeColor="text1"/>
          <w:sz w:val="24"/>
          <w:szCs w:val="24"/>
          <w:cs/>
        </w:rPr>
      </w:pPr>
      <w:r w:rsidRPr="00792B36">
        <w:rPr>
          <w:color w:val="000000" w:themeColor="text1"/>
          <w:sz w:val="24"/>
          <w:szCs w:val="24"/>
        </w:rPr>
        <w:t>Biological Condition Indicators:</w:t>
      </w:r>
      <w:r w:rsidRPr="00792B36">
        <w:rPr>
          <w:color w:val="000000" w:themeColor="text1"/>
          <w:sz w:val="24"/>
          <w:szCs w:val="24"/>
          <w:cs/>
        </w:rPr>
        <w:t xml:space="preserve"> </w:t>
      </w:r>
      <w:r w:rsidRPr="00792B36">
        <w:rPr>
          <w:color w:val="000000" w:themeColor="text1"/>
          <w:sz w:val="24"/>
          <w:szCs w:val="24"/>
        </w:rPr>
        <w:t>The persistence of multiple endemic coral taxa reflects high genetic diversity and recovery potential in offshore systems. Conversely, the loss of branching coral species in nearshore areas indicates reduced resilience and the need for strengthened monitoring and restoration.</w:t>
      </w:r>
    </w:p>
    <w:p w14:paraId="5113F0F1" w14:textId="77777777" w:rsidR="00BC399A" w:rsidRPr="00792B36" w:rsidRDefault="00BC399A" w:rsidP="00BC399A">
      <w:pPr>
        <w:spacing w:after="100"/>
        <w:ind w:firstLine="720"/>
        <w:rPr>
          <w:b/>
          <w:bCs/>
          <w:i/>
          <w:iCs/>
          <w:color w:val="000000" w:themeColor="text1"/>
          <w:sz w:val="24"/>
          <w:szCs w:val="24"/>
        </w:rPr>
      </w:pPr>
      <w:r w:rsidRPr="00792B36">
        <w:rPr>
          <w:b/>
          <w:bCs/>
          <w:i/>
          <w:iCs/>
          <w:color w:val="000000" w:themeColor="text1"/>
          <w:sz w:val="24"/>
          <w:szCs w:val="24"/>
        </w:rPr>
        <w:t>Seagrass, Mangrove, and Wetland Ecosystems</w:t>
      </w:r>
    </w:p>
    <w:p w14:paraId="050F23B9" w14:textId="77777777" w:rsidR="00BC399A" w:rsidRPr="00792B36" w:rsidRDefault="00BC399A" w:rsidP="00BC399A">
      <w:pPr>
        <w:spacing w:after="100"/>
        <w:ind w:firstLine="720"/>
        <w:rPr>
          <w:color w:val="000000" w:themeColor="text1"/>
          <w:sz w:val="24"/>
          <w:szCs w:val="24"/>
        </w:rPr>
      </w:pPr>
      <w:r w:rsidRPr="00792B36">
        <w:rPr>
          <w:color w:val="000000" w:themeColor="text1"/>
          <w:sz w:val="24"/>
          <w:szCs w:val="24"/>
        </w:rPr>
        <w:t>The seagrass meadows and mangrove–wetland complexes of the Gulf of Thailand provide critical habitats for several endemic and globally threatened species, functioning as nurseries, feeding grounds, and migratory stopovers. Key hotspots include Ban Don Bay, Pak Phanang Bay, Welu River Estuary, and Don Hoi Lot Ramsar Site.</w:t>
      </w:r>
    </w:p>
    <w:p w14:paraId="30DA1F57" w14:textId="77777777" w:rsidR="00BC399A" w:rsidRPr="00792B36" w:rsidRDefault="00BC399A" w:rsidP="00F61B37">
      <w:pPr>
        <w:widowControl/>
        <w:numPr>
          <w:ilvl w:val="0"/>
          <w:numId w:val="75"/>
        </w:numPr>
        <w:tabs>
          <w:tab w:val="clear" w:pos="1080"/>
          <w:tab w:val="num" w:pos="720"/>
        </w:tabs>
        <w:spacing w:after="100"/>
        <w:rPr>
          <w:color w:val="000000" w:themeColor="text1"/>
          <w:sz w:val="24"/>
          <w:szCs w:val="24"/>
        </w:rPr>
      </w:pPr>
      <w:r w:rsidRPr="00792B36">
        <w:rPr>
          <w:color w:val="000000" w:themeColor="text1"/>
          <w:sz w:val="24"/>
          <w:szCs w:val="24"/>
        </w:rPr>
        <w:t>Endemic and Rare Plant Species:</w:t>
      </w:r>
      <w:r w:rsidRPr="00792B36">
        <w:rPr>
          <w:color w:val="000000" w:themeColor="text1"/>
          <w:sz w:val="24"/>
          <w:szCs w:val="24"/>
        </w:rPr>
        <w:br/>
        <w:t xml:space="preserve">Endemic and rare mangrove species include </w:t>
      </w:r>
      <w:r w:rsidRPr="00792B36">
        <w:rPr>
          <w:i/>
          <w:iCs/>
          <w:color w:val="000000" w:themeColor="text1"/>
          <w:sz w:val="24"/>
          <w:szCs w:val="24"/>
        </w:rPr>
        <w:t>Bruguiera hainesii</w:t>
      </w:r>
      <w:r w:rsidRPr="00792B36">
        <w:rPr>
          <w:color w:val="000000" w:themeColor="text1"/>
          <w:sz w:val="24"/>
          <w:szCs w:val="24"/>
        </w:rPr>
        <w:t xml:space="preserve"> (CR) and </w:t>
      </w:r>
      <w:r w:rsidRPr="00792B36">
        <w:rPr>
          <w:i/>
          <w:iCs/>
          <w:color w:val="000000" w:themeColor="text1"/>
          <w:sz w:val="24"/>
          <w:szCs w:val="24"/>
        </w:rPr>
        <w:t>Sonneratia griffithii</w:t>
      </w:r>
      <w:r w:rsidRPr="00792B36">
        <w:rPr>
          <w:color w:val="000000" w:themeColor="text1"/>
          <w:sz w:val="24"/>
          <w:szCs w:val="24"/>
        </w:rPr>
        <w:t xml:space="preserve"> (CR), found at Welu Estuary and southern mangrove zones. </w:t>
      </w:r>
      <w:r w:rsidRPr="00792B36">
        <w:rPr>
          <w:i/>
          <w:iCs/>
          <w:color w:val="000000" w:themeColor="text1"/>
          <w:sz w:val="24"/>
          <w:szCs w:val="24"/>
        </w:rPr>
        <w:t>Heritiera fomes</w:t>
      </w:r>
      <w:r w:rsidRPr="00792B36">
        <w:rPr>
          <w:color w:val="000000" w:themeColor="text1"/>
          <w:sz w:val="24"/>
          <w:szCs w:val="24"/>
        </w:rPr>
        <w:t xml:space="preserve"> (EN) occurs in localized patches in Ban Don Bay.</w:t>
      </w:r>
    </w:p>
    <w:p w14:paraId="3AF109BF" w14:textId="77777777" w:rsidR="00BC399A" w:rsidRPr="00792B36" w:rsidRDefault="00BC399A" w:rsidP="00F61B37">
      <w:pPr>
        <w:widowControl/>
        <w:numPr>
          <w:ilvl w:val="0"/>
          <w:numId w:val="75"/>
        </w:numPr>
        <w:tabs>
          <w:tab w:val="clear" w:pos="1080"/>
          <w:tab w:val="num" w:pos="720"/>
        </w:tabs>
        <w:spacing w:after="100"/>
        <w:rPr>
          <w:color w:val="000000" w:themeColor="text1"/>
          <w:sz w:val="24"/>
          <w:szCs w:val="24"/>
        </w:rPr>
      </w:pPr>
      <w:r w:rsidRPr="00792B36">
        <w:rPr>
          <w:color w:val="000000" w:themeColor="text1"/>
          <w:sz w:val="24"/>
          <w:szCs w:val="24"/>
        </w:rPr>
        <w:t>Threatened Fauna:</w:t>
      </w:r>
    </w:p>
    <w:p w14:paraId="4C0FC69E" w14:textId="77777777" w:rsidR="00BC399A" w:rsidRPr="00792B36" w:rsidRDefault="00BC399A" w:rsidP="00F61B37">
      <w:pPr>
        <w:widowControl/>
        <w:numPr>
          <w:ilvl w:val="1"/>
          <w:numId w:val="75"/>
        </w:numPr>
        <w:tabs>
          <w:tab w:val="clear" w:pos="1800"/>
          <w:tab w:val="num" w:pos="1440"/>
        </w:tabs>
        <w:spacing w:after="100"/>
        <w:rPr>
          <w:color w:val="000000" w:themeColor="text1"/>
          <w:sz w:val="24"/>
          <w:szCs w:val="24"/>
        </w:rPr>
      </w:pPr>
      <w:r w:rsidRPr="00792B36">
        <w:rPr>
          <w:color w:val="000000" w:themeColor="text1"/>
          <w:sz w:val="24"/>
          <w:szCs w:val="24"/>
        </w:rPr>
        <w:t xml:space="preserve">Marine Mammals: </w:t>
      </w:r>
      <w:r w:rsidRPr="00792B36">
        <w:rPr>
          <w:i/>
          <w:iCs/>
          <w:color w:val="000000" w:themeColor="text1"/>
          <w:sz w:val="24"/>
          <w:szCs w:val="24"/>
        </w:rPr>
        <w:t>Dugong dugon</w:t>
      </w:r>
      <w:r w:rsidRPr="00792B36">
        <w:rPr>
          <w:color w:val="000000" w:themeColor="text1"/>
          <w:sz w:val="24"/>
          <w:szCs w:val="24"/>
        </w:rPr>
        <w:t xml:space="preserve"> (VU) and </w:t>
      </w:r>
      <w:r w:rsidRPr="00792B36">
        <w:rPr>
          <w:i/>
          <w:iCs/>
          <w:color w:val="000000" w:themeColor="text1"/>
          <w:sz w:val="24"/>
          <w:szCs w:val="24"/>
        </w:rPr>
        <w:t>Orcaella brevirostris</w:t>
      </w:r>
      <w:r w:rsidRPr="00792B36">
        <w:rPr>
          <w:color w:val="000000" w:themeColor="text1"/>
          <w:sz w:val="24"/>
          <w:szCs w:val="24"/>
        </w:rPr>
        <w:t xml:space="preserve"> (VU) are regularly sighted in Ban Don Bay and Chumphon, dependent on intact seagrass meadows.</w:t>
      </w:r>
    </w:p>
    <w:p w14:paraId="14437A43" w14:textId="77777777" w:rsidR="00BC399A" w:rsidRPr="00792B36" w:rsidRDefault="00BC399A" w:rsidP="00F61B37">
      <w:pPr>
        <w:widowControl/>
        <w:numPr>
          <w:ilvl w:val="1"/>
          <w:numId w:val="75"/>
        </w:numPr>
        <w:tabs>
          <w:tab w:val="clear" w:pos="1800"/>
          <w:tab w:val="num" w:pos="1440"/>
        </w:tabs>
        <w:spacing w:after="100"/>
        <w:rPr>
          <w:color w:val="000000" w:themeColor="text1"/>
          <w:sz w:val="24"/>
          <w:szCs w:val="24"/>
        </w:rPr>
      </w:pPr>
      <w:r w:rsidRPr="00792B36">
        <w:rPr>
          <w:color w:val="000000" w:themeColor="text1"/>
          <w:sz w:val="24"/>
          <w:szCs w:val="24"/>
        </w:rPr>
        <w:t xml:space="preserve">Migratory Birds: </w:t>
      </w:r>
      <w:r w:rsidRPr="00792B36">
        <w:rPr>
          <w:i/>
          <w:iCs/>
          <w:color w:val="000000" w:themeColor="text1"/>
          <w:sz w:val="24"/>
          <w:szCs w:val="24"/>
        </w:rPr>
        <w:t>Calidris tenuirostris</w:t>
      </w:r>
      <w:r w:rsidRPr="00792B36">
        <w:rPr>
          <w:color w:val="000000" w:themeColor="text1"/>
          <w:sz w:val="24"/>
          <w:szCs w:val="24"/>
        </w:rPr>
        <w:t xml:space="preserve"> (EN), </w:t>
      </w:r>
      <w:r w:rsidRPr="00792B36">
        <w:rPr>
          <w:i/>
          <w:iCs/>
          <w:color w:val="000000" w:themeColor="text1"/>
          <w:sz w:val="24"/>
          <w:szCs w:val="24"/>
        </w:rPr>
        <w:t>Egretta eulophotes</w:t>
      </w:r>
      <w:r w:rsidRPr="00792B36">
        <w:rPr>
          <w:color w:val="000000" w:themeColor="text1"/>
          <w:sz w:val="24"/>
          <w:szCs w:val="24"/>
        </w:rPr>
        <w:t xml:space="preserve"> (VU), and </w:t>
      </w:r>
      <w:r w:rsidRPr="00792B36">
        <w:rPr>
          <w:i/>
          <w:iCs/>
          <w:color w:val="000000" w:themeColor="text1"/>
          <w:sz w:val="24"/>
          <w:szCs w:val="24"/>
        </w:rPr>
        <w:t>Rhyticeros subruficollis</w:t>
      </w:r>
      <w:r w:rsidRPr="00792B36">
        <w:rPr>
          <w:color w:val="000000" w:themeColor="text1"/>
          <w:sz w:val="24"/>
          <w:szCs w:val="24"/>
        </w:rPr>
        <w:t xml:space="preserve"> (VU) occur in Don Hoi Lot and Pak Phanang wetlands, which form part of the East Asian–Australasian Flyway.</w:t>
      </w:r>
    </w:p>
    <w:p w14:paraId="7BB60E2A" w14:textId="77777777" w:rsidR="00BC399A" w:rsidRPr="00792B36" w:rsidRDefault="00BC399A" w:rsidP="00F61B37">
      <w:pPr>
        <w:widowControl/>
        <w:numPr>
          <w:ilvl w:val="1"/>
          <w:numId w:val="75"/>
        </w:numPr>
        <w:tabs>
          <w:tab w:val="clear" w:pos="1800"/>
          <w:tab w:val="num" w:pos="1440"/>
        </w:tabs>
        <w:spacing w:after="100"/>
        <w:rPr>
          <w:color w:val="000000" w:themeColor="text1"/>
          <w:sz w:val="24"/>
          <w:szCs w:val="24"/>
        </w:rPr>
      </w:pPr>
      <w:r w:rsidRPr="00792B36">
        <w:rPr>
          <w:color w:val="000000" w:themeColor="text1"/>
          <w:sz w:val="24"/>
          <w:szCs w:val="24"/>
        </w:rPr>
        <w:t xml:space="preserve">Fishes and Invertebrates: Threatened estuarine species such as </w:t>
      </w:r>
      <w:r w:rsidRPr="00792B36">
        <w:rPr>
          <w:i/>
          <w:iCs/>
          <w:color w:val="000000" w:themeColor="text1"/>
          <w:sz w:val="24"/>
          <w:szCs w:val="24"/>
        </w:rPr>
        <w:t>Pangasianodon hypophthalmus</w:t>
      </w:r>
      <w:r w:rsidRPr="00792B36">
        <w:rPr>
          <w:color w:val="000000" w:themeColor="text1"/>
          <w:sz w:val="24"/>
          <w:szCs w:val="24"/>
        </w:rPr>
        <w:t xml:space="preserve"> (EN) and the endemic </w:t>
      </w:r>
      <w:r w:rsidRPr="00792B36">
        <w:rPr>
          <w:i/>
          <w:iCs/>
          <w:color w:val="000000" w:themeColor="text1"/>
          <w:sz w:val="24"/>
          <w:szCs w:val="24"/>
        </w:rPr>
        <w:t>Solen regularis</w:t>
      </w:r>
      <w:r w:rsidRPr="00792B36">
        <w:rPr>
          <w:color w:val="000000" w:themeColor="text1"/>
          <w:sz w:val="24"/>
          <w:szCs w:val="24"/>
        </w:rPr>
        <w:t xml:space="preserve"> (bivalve) occur in tidal-flat and river-mouth zones.</w:t>
      </w:r>
    </w:p>
    <w:p w14:paraId="124A5972" w14:textId="77777777" w:rsidR="00BC399A" w:rsidRPr="00792B36" w:rsidRDefault="00BC399A" w:rsidP="00BC399A">
      <w:pPr>
        <w:spacing w:after="100"/>
        <w:ind w:firstLine="720"/>
        <w:rPr>
          <w:color w:val="000000" w:themeColor="text1"/>
          <w:sz w:val="24"/>
          <w:szCs w:val="24"/>
        </w:rPr>
      </w:pPr>
      <w:r w:rsidRPr="00792B36">
        <w:rPr>
          <w:color w:val="000000" w:themeColor="text1"/>
          <w:sz w:val="24"/>
          <w:szCs w:val="24"/>
        </w:rPr>
        <w:t>Ecosystem Function Indicators:</w:t>
      </w:r>
      <w:r w:rsidRPr="00792B36">
        <w:rPr>
          <w:color w:val="000000" w:themeColor="text1"/>
          <w:sz w:val="24"/>
          <w:szCs w:val="24"/>
          <w:cs/>
        </w:rPr>
        <w:t xml:space="preserve"> </w:t>
      </w:r>
      <w:r w:rsidRPr="00792B36">
        <w:rPr>
          <w:color w:val="000000" w:themeColor="text1"/>
          <w:sz w:val="24"/>
          <w:szCs w:val="24"/>
        </w:rPr>
        <w:t>These habitats act as source and sink systems for larval dispersal, sustaining adjacent coral and coastal ecosystems. Don Hoi Lot serves as a critical benthic nursery area, maintaining connectivity and productivity across estuarine food webs. The presence of multiple IUCN-listed species underscores the global importance of Thailand’s estuarine and seagrass ecosystems for biodiversity conservation.</w:t>
      </w:r>
    </w:p>
    <w:p w14:paraId="49562B60" w14:textId="77777777" w:rsidR="00BC399A" w:rsidRPr="00792B36" w:rsidRDefault="00BC399A" w:rsidP="00BC399A">
      <w:pPr>
        <w:spacing w:after="100"/>
        <w:ind w:firstLine="720"/>
        <w:rPr>
          <w:b/>
          <w:bCs/>
          <w:i/>
          <w:iCs/>
          <w:color w:val="000000" w:themeColor="text1"/>
          <w:sz w:val="24"/>
          <w:szCs w:val="24"/>
        </w:rPr>
      </w:pPr>
      <w:r w:rsidRPr="00792B36">
        <w:rPr>
          <w:b/>
          <w:bCs/>
          <w:i/>
          <w:iCs/>
          <w:color w:val="000000" w:themeColor="text1"/>
          <w:sz w:val="24"/>
          <w:szCs w:val="24"/>
        </w:rPr>
        <w:t>Indicator Group Assessment</w:t>
      </w:r>
    </w:p>
    <w:p w14:paraId="09CAEE3A" w14:textId="77777777" w:rsidR="00BC399A" w:rsidRPr="00792B36" w:rsidRDefault="00BC399A" w:rsidP="00BC399A">
      <w:pPr>
        <w:spacing w:after="100"/>
        <w:ind w:firstLine="720"/>
        <w:jc w:val="both"/>
        <w:rPr>
          <w:color w:val="000000" w:themeColor="text1"/>
          <w:sz w:val="24"/>
          <w:szCs w:val="24"/>
        </w:rPr>
      </w:pPr>
      <w:r w:rsidRPr="00792B36">
        <w:rPr>
          <w:color w:val="000000" w:themeColor="text1"/>
          <w:sz w:val="24"/>
          <w:szCs w:val="24"/>
        </w:rPr>
        <w:t xml:space="preserve">Offshore coral reefs in the Gulf of Thailand remain in good condition, supporting high endemic diversity, while vulnerable species show declines in nearshore zones. </w:t>
      </w:r>
      <w:r w:rsidRPr="00792B36">
        <w:rPr>
          <w:color w:val="000000" w:themeColor="text1"/>
          <w:sz w:val="24"/>
          <w:szCs w:val="24"/>
        </w:rPr>
        <w:lastRenderedPageBreak/>
        <w:t>Across all ecosystems, rising sea temperature, nutrient enrichment, and tourism-related physical disturbances pose major threats to coral and seagrass habitats.</w:t>
      </w:r>
      <w:r w:rsidRPr="00792B36">
        <w:rPr>
          <w:color w:val="000000" w:themeColor="text1"/>
          <w:sz w:val="24"/>
          <w:szCs w:val="24"/>
          <w:cs/>
        </w:rPr>
        <w:t xml:space="preserve"> </w:t>
      </w:r>
      <w:r w:rsidRPr="00792B36">
        <w:rPr>
          <w:color w:val="000000" w:themeColor="text1"/>
          <w:sz w:val="24"/>
          <w:szCs w:val="24"/>
        </w:rPr>
        <w:t>In response, Thailand has expanded its Ramsar sites, OECMs, and DMCR-led restoration programs that focus on rare and threatened species, including mangrove and seagrass rehabilitation efforts.</w:t>
      </w:r>
      <w:r w:rsidRPr="00792B36">
        <w:rPr>
          <w:color w:val="000000" w:themeColor="text1"/>
          <w:sz w:val="24"/>
          <w:szCs w:val="24"/>
          <w:cs/>
        </w:rPr>
        <w:t xml:space="preserve"> </w:t>
      </w:r>
      <w:r w:rsidRPr="00792B36">
        <w:rPr>
          <w:color w:val="000000" w:themeColor="text1"/>
          <w:sz w:val="24"/>
          <w:szCs w:val="24"/>
        </w:rPr>
        <w:t>Overall, the Gulf supports 7–10 endemic coral species and more than 25 IUCN-listed threatened species, with key populations of dugongs, Irrawaddy dolphins, and migratory birds sustained across interconnected coral, seagrass, and mangrove ecosystems.</w:t>
      </w:r>
    </w:p>
    <w:p w14:paraId="4921CD35" w14:textId="77777777" w:rsidR="00BC399A" w:rsidRPr="00792B36" w:rsidRDefault="00BC399A" w:rsidP="00BC399A">
      <w:pPr>
        <w:spacing w:after="100"/>
        <w:ind w:firstLine="720"/>
        <w:jc w:val="thaiDistribute"/>
        <w:rPr>
          <w:color w:val="000000" w:themeColor="text1"/>
          <w:sz w:val="24"/>
          <w:szCs w:val="24"/>
        </w:rPr>
      </w:pPr>
      <w:r w:rsidRPr="00792B36">
        <w:rPr>
          <w:color w:val="000000" w:themeColor="text1"/>
          <w:sz w:val="24"/>
          <w:szCs w:val="24"/>
        </w:rPr>
        <w:t>The Gulf of Thailand remains a biodiversity hotspot of both regional and global significance, supporting a wide range of endemic, endangered, and threatened species across coral reef, seagrass, mangrove, and wetland ecosystems. These ecosystems together sustain critical ecological processes</w:t>
      </w:r>
      <w:r w:rsidRPr="00792B36">
        <w:rPr>
          <w:color w:val="000000" w:themeColor="text1"/>
          <w:sz w:val="24"/>
          <w:szCs w:val="24"/>
          <w:cs/>
        </w:rPr>
        <w:t xml:space="preserve"> </w:t>
      </w:r>
      <w:r w:rsidRPr="00792B36">
        <w:rPr>
          <w:color w:val="000000" w:themeColor="text1"/>
          <w:sz w:val="24"/>
          <w:szCs w:val="24"/>
        </w:rPr>
        <w:t>spawning, nursery, and migratory pathways</w:t>
      </w:r>
      <w:r w:rsidRPr="00792B36">
        <w:rPr>
          <w:color w:val="000000" w:themeColor="text1"/>
          <w:sz w:val="24"/>
          <w:szCs w:val="24"/>
          <w:cs/>
        </w:rPr>
        <w:t xml:space="preserve"> </w:t>
      </w:r>
      <w:r w:rsidRPr="00792B36">
        <w:rPr>
          <w:color w:val="000000" w:themeColor="text1"/>
          <w:sz w:val="24"/>
          <w:szCs w:val="24"/>
        </w:rPr>
        <w:t>that underpin fisheries productivity, blue carbon sequestration, and coastal resilience.</w:t>
      </w:r>
      <w:r w:rsidRPr="00792B36">
        <w:rPr>
          <w:color w:val="000000" w:themeColor="text1"/>
          <w:sz w:val="24"/>
          <w:szCs w:val="24"/>
          <w:cs/>
        </w:rPr>
        <w:t xml:space="preserve"> </w:t>
      </w:r>
      <w:r w:rsidRPr="00792B36">
        <w:rPr>
          <w:color w:val="000000" w:themeColor="text1"/>
          <w:sz w:val="24"/>
          <w:szCs w:val="24"/>
        </w:rPr>
        <w:t xml:space="preserve">Offshore coral reefs such as Koh Kra, Koh Losin, and Koh Tao maintain high live coral cover (60–70%) and host numerous endemic and vulnerable taxa including </w:t>
      </w:r>
      <w:r w:rsidRPr="00792B36">
        <w:rPr>
          <w:i/>
          <w:iCs/>
          <w:color w:val="000000" w:themeColor="text1"/>
          <w:sz w:val="24"/>
          <w:szCs w:val="24"/>
        </w:rPr>
        <w:t>Pectinia lactuca, Acropora humilis, Turbinaria patula,</w:t>
      </w:r>
      <w:r w:rsidRPr="00792B36">
        <w:rPr>
          <w:color w:val="000000" w:themeColor="text1"/>
          <w:sz w:val="24"/>
          <w:szCs w:val="24"/>
        </w:rPr>
        <w:t xml:space="preserve"> and </w:t>
      </w:r>
      <w:r w:rsidRPr="00792B36">
        <w:rPr>
          <w:i/>
          <w:iCs/>
          <w:color w:val="000000" w:themeColor="text1"/>
          <w:sz w:val="24"/>
          <w:szCs w:val="24"/>
        </w:rPr>
        <w:t>Heliopora coerulea</w:t>
      </w:r>
      <w:r w:rsidRPr="00792B36">
        <w:rPr>
          <w:color w:val="000000" w:themeColor="text1"/>
          <w:sz w:val="24"/>
          <w:szCs w:val="24"/>
        </w:rPr>
        <w:t>. These reefs represent genetic reservoirs that support larval dispersal and species connectivity throughout the Gulf. In contrast, nearshore coral reefs (e.g., Koh Si Chang, Koh Lan) exhibit a marked decline in sensitive coral taxa due to sedimentation, nutrient loading, and recurrent bleaching events.</w:t>
      </w:r>
      <w:r w:rsidRPr="00792B36">
        <w:rPr>
          <w:color w:val="000000" w:themeColor="text1"/>
          <w:sz w:val="24"/>
          <w:szCs w:val="24"/>
          <w:cs/>
        </w:rPr>
        <w:t xml:space="preserve"> </w:t>
      </w:r>
      <w:r w:rsidRPr="00792B36">
        <w:rPr>
          <w:color w:val="000000" w:themeColor="text1"/>
          <w:sz w:val="24"/>
          <w:szCs w:val="24"/>
        </w:rPr>
        <w:t>In seagrass and mangrove ecosystems, populations of dugongs (</w:t>
      </w:r>
      <w:r w:rsidRPr="00792B36">
        <w:rPr>
          <w:i/>
          <w:iCs/>
          <w:color w:val="000000" w:themeColor="text1"/>
          <w:sz w:val="24"/>
          <w:szCs w:val="24"/>
        </w:rPr>
        <w:t>Dugong dugon</w:t>
      </w:r>
      <w:r w:rsidRPr="00792B36">
        <w:rPr>
          <w:color w:val="000000" w:themeColor="text1"/>
          <w:sz w:val="24"/>
          <w:szCs w:val="24"/>
        </w:rPr>
        <w:t>, VU), Irrawaddy dolphins (</w:t>
      </w:r>
      <w:r w:rsidRPr="00792B36">
        <w:rPr>
          <w:i/>
          <w:iCs/>
          <w:color w:val="000000" w:themeColor="text1"/>
          <w:sz w:val="24"/>
          <w:szCs w:val="24"/>
        </w:rPr>
        <w:t>Orcaella brevirostris</w:t>
      </w:r>
      <w:r w:rsidRPr="00792B36">
        <w:rPr>
          <w:color w:val="000000" w:themeColor="text1"/>
          <w:sz w:val="24"/>
          <w:szCs w:val="24"/>
        </w:rPr>
        <w:t xml:space="preserve">, VU), and migratory birds such as </w:t>
      </w:r>
      <w:r w:rsidRPr="00792B36">
        <w:rPr>
          <w:i/>
          <w:iCs/>
          <w:color w:val="000000" w:themeColor="text1"/>
          <w:sz w:val="24"/>
          <w:szCs w:val="24"/>
        </w:rPr>
        <w:t>Calidris tenuirostris</w:t>
      </w:r>
      <w:r w:rsidRPr="00792B36">
        <w:rPr>
          <w:color w:val="000000" w:themeColor="text1"/>
          <w:sz w:val="24"/>
          <w:szCs w:val="24"/>
        </w:rPr>
        <w:t xml:space="preserve"> (EN) and </w:t>
      </w:r>
      <w:r w:rsidRPr="00792B36">
        <w:rPr>
          <w:i/>
          <w:iCs/>
          <w:color w:val="000000" w:themeColor="text1"/>
          <w:sz w:val="24"/>
          <w:szCs w:val="24"/>
        </w:rPr>
        <w:t>Egretta eulophotes</w:t>
      </w:r>
      <w:r w:rsidRPr="00792B36">
        <w:rPr>
          <w:color w:val="000000" w:themeColor="text1"/>
          <w:sz w:val="24"/>
          <w:szCs w:val="24"/>
        </w:rPr>
        <w:t xml:space="preserve"> (VU) remain ecologically important indicators of habitat quality. These species depend heavily on intact Ban Don Bay, Chumphon, and Don Hoi Lot Ramsar Site, which provide feeding grounds, shelter, and breeding areas. Rare mangrove species such as </w:t>
      </w:r>
      <w:r w:rsidRPr="00792B36">
        <w:rPr>
          <w:i/>
          <w:iCs/>
          <w:color w:val="000000" w:themeColor="text1"/>
          <w:sz w:val="24"/>
          <w:szCs w:val="24"/>
        </w:rPr>
        <w:t>Bruguiera hainesii</w:t>
      </w:r>
      <w:r w:rsidRPr="00792B36">
        <w:rPr>
          <w:color w:val="000000" w:themeColor="text1"/>
          <w:sz w:val="24"/>
          <w:szCs w:val="24"/>
        </w:rPr>
        <w:t xml:space="preserve"> (CR), </w:t>
      </w:r>
      <w:r w:rsidRPr="00792B36">
        <w:rPr>
          <w:i/>
          <w:iCs/>
          <w:color w:val="000000" w:themeColor="text1"/>
          <w:sz w:val="24"/>
          <w:szCs w:val="24"/>
        </w:rPr>
        <w:t>Sonneratia griffithii</w:t>
      </w:r>
      <w:r w:rsidRPr="00792B36">
        <w:rPr>
          <w:color w:val="000000" w:themeColor="text1"/>
          <w:sz w:val="24"/>
          <w:szCs w:val="24"/>
        </w:rPr>
        <w:t xml:space="preserve"> (CR), and </w:t>
      </w:r>
      <w:r w:rsidRPr="00792B36">
        <w:rPr>
          <w:i/>
          <w:iCs/>
          <w:color w:val="000000" w:themeColor="text1"/>
          <w:sz w:val="24"/>
          <w:szCs w:val="24"/>
        </w:rPr>
        <w:t>Heritiera fomes</w:t>
      </w:r>
      <w:r w:rsidRPr="00792B36">
        <w:rPr>
          <w:color w:val="000000" w:themeColor="text1"/>
          <w:sz w:val="24"/>
          <w:szCs w:val="24"/>
        </w:rPr>
        <w:t xml:space="preserve"> (EN) persist in fragmented stands, highlighting the need for continued habitat protection and assisted regeneration.</w:t>
      </w:r>
    </w:p>
    <w:p w14:paraId="30CA558D" w14:textId="77777777" w:rsidR="00BC399A" w:rsidRPr="00792B36" w:rsidRDefault="00BC399A" w:rsidP="00BC399A">
      <w:pPr>
        <w:spacing w:after="100"/>
        <w:ind w:firstLine="720"/>
        <w:jc w:val="both"/>
        <w:rPr>
          <w:color w:val="000000" w:themeColor="text1"/>
          <w:sz w:val="24"/>
          <w:szCs w:val="24"/>
        </w:rPr>
      </w:pPr>
      <w:r w:rsidRPr="00792B36">
        <w:rPr>
          <w:color w:val="000000" w:themeColor="text1"/>
          <w:sz w:val="24"/>
          <w:szCs w:val="24"/>
        </w:rPr>
        <w:t>However, the cumulative pressures of coastal development, marine pollution, and climate-driven temperature anomalies continue to threaten the survival of these species. The degradation of coral-seagrass linkages and loss of mangrove buffer zones exacerbate ecological fragmentation, reducing the capacity of these habitats to sustain viable populations of threatened fauna.</w:t>
      </w:r>
      <w:r w:rsidRPr="00792B36">
        <w:rPr>
          <w:color w:val="000000" w:themeColor="text1"/>
          <w:sz w:val="24"/>
          <w:szCs w:val="24"/>
          <w:cs/>
        </w:rPr>
        <w:t xml:space="preserve"> </w:t>
      </w:r>
      <w:r w:rsidRPr="00792B36">
        <w:rPr>
          <w:color w:val="000000" w:themeColor="text1"/>
          <w:sz w:val="24"/>
          <w:szCs w:val="24"/>
        </w:rPr>
        <w:t>Maintaining and restoring these species requires an ecosystem-based management (EBM) approach, integrating conservation planning across marine and coastal landscapes. Priority actions include strengthening long-term monitoring of population trends, enhancing spatial protection through Marine Protected Areas (MPAs), Ramsar Sites, and Other Effective Area-Based Conservation Measures (OECMs), and improving coordination among agencies such as DMCR, DNP, and local governments.</w:t>
      </w:r>
    </w:p>
    <w:p w14:paraId="5D40E042" w14:textId="77777777" w:rsidR="00BC399A" w:rsidRPr="00792B36" w:rsidRDefault="00BC399A" w:rsidP="00BC399A">
      <w:pPr>
        <w:spacing w:after="100"/>
        <w:ind w:firstLine="720"/>
        <w:jc w:val="both"/>
        <w:rPr>
          <w:color w:val="000000" w:themeColor="text1"/>
          <w:sz w:val="24"/>
          <w:szCs w:val="24"/>
        </w:rPr>
      </w:pPr>
      <w:r w:rsidRPr="00792B36">
        <w:rPr>
          <w:color w:val="000000" w:themeColor="text1"/>
          <w:sz w:val="24"/>
          <w:szCs w:val="24"/>
        </w:rPr>
        <w:t>Advancing scientific research on population genetics, reproductive biology, and larval connectivity will be essential for understanding recovery potential and identifying source populations for restoration. Moreover, integrating biodiversity protection into Thailand’s Nationally Determined Contributions (NDCs) and Blue Economy Framework will elevate these species as indicators of ecosystem health and climate resilience.</w:t>
      </w:r>
      <w:r w:rsidRPr="00792B36">
        <w:rPr>
          <w:color w:val="000000" w:themeColor="text1"/>
          <w:sz w:val="24"/>
          <w:szCs w:val="24"/>
          <w:cs/>
        </w:rPr>
        <w:t xml:space="preserve"> </w:t>
      </w:r>
      <w:r w:rsidRPr="00792B36">
        <w:rPr>
          <w:color w:val="000000" w:themeColor="text1"/>
          <w:sz w:val="24"/>
          <w:szCs w:val="24"/>
        </w:rPr>
        <w:t xml:space="preserve">Ultimately, ensuring the persistence of Thailand’s endemic and threatened marine species requires collective stewardship, adaptive governance, and sustainable financing. By combining science-based management, community participation, and blue carbon innovation, Thailand can safeguard its unique marine heritage and achieve a resilient, carbon-neutral, and nature-positive Gulf of Thailand for </w:t>
      </w:r>
      <w:r w:rsidRPr="00792B36">
        <w:rPr>
          <w:color w:val="000000" w:themeColor="text1"/>
          <w:sz w:val="24"/>
          <w:szCs w:val="24"/>
        </w:rPr>
        <w:lastRenderedPageBreak/>
        <w:t>generations to come.</w:t>
      </w:r>
    </w:p>
    <w:p w14:paraId="3A86CF29" w14:textId="77777777" w:rsidR="00BC399A" w:rsidRPr="00792B36" w:rsidRDefault="00BC399A" w:rsidP="00BC399A">
      <w:pPr>
        <w:spacing w:after="100"/>
        <w:ind w:firstLine="720"/>
        <w:jc w:val="both"/>
        <w:rPr>
          <w:color w:val="000000" w:themeColor="text1"/>
          <w:sz w:val="24"/>
          <w:szCs w:val="24"/>
        </w:rPr>
      </w:pPr>
    </w:p>
    <w:p w14:paraId="1CE81C3F" w14:textId="77777777" w:rsidR="00BC399A" w:rsidRPr="00792B36" w:rsidRDefault="00BC399A" w:rsidP="00BC399A">
      <w:pPr>
        <w:spacing w:after="100"/>
        <w:rPr>
          <w:b/>
          <w:bCs/>
          <w:color w:val="000000" w:themeColor="text1"/>
          <w:sz w:val="24"/>
          <w:szCs w:val="24"/>
        </w:rPr>
      </w:pPr>
      <w:r w:rsidRPr="00792B36">
        <w:rPr>
          <w:b/>
          <w:bCs/>
          <w:color w:val="000000" w:themeColor="text1"/>
          <w:sz w:val="24"/>
          <w:szCs w:val="24"/>
        </w:rPr>
        <w:t>4.3 Discussion and conclusions</w:t>
      </w:r>
    </w:p>
    <w:p w14:paraId="0F904F51" w14:textId="77777777" w:rsidR="00BC399A" w:rsidRPr="00792B36" w:rsidRDefault="00BC399A" w:rsidP="00BC399A">
      <w:pPr>
        <w:spacing w:after="100"/>
        <w:ind w:firstLine="720"/>
        <w:jc w:val="thaiDistribute"/>
        <w:rPr>
          <w:b/>
          <w:bCs/>
          <w:color w:val="000000" w:themeColor="text1"/>
          <w:sz w:val="24"/>
          <w:szCs w:val="24"/>
        </w:rPr>
      </w:pPr>
      <w:r w:rsidRPr="00792B36">
        <w:rPr>
          <w:b/>
          <w:bCs/>
          <w:color w:val="000000" w:themeColor="text1"/>
          <w:sz w:val="24"/>
          <w:szCs w:val="24"/>
        </w:rPr>
        <w:t>4.3.1 Priority Transboundary Biodiversity Issues</w:t>
      </w:r>
    </w:p>
    <w:p w14:paraId="2E3F9345" w14:textId="77777777" w:rsidR="00BC399A" w:rsidRPr="00792B36" w:rsidRDefault="00BC399A" w:rsidP="00BC399A">
      <w:pPr>
        <w:spacing w:after="100"/>
        <w:ind w:firstLine="720"/>
        <w:jc w:val="thaiDistribute"/>
        <w:rPr>
          <w:color w:val="000000" w:themeColor="text1"/>
          <w:sz w:val="24"/>
          <w:szCs w:val="24"/>
        </w:rPr>
      </w:pPr>
      <w:r w:rsidRPr="00792B36">
        <w:rPr>
          <w:color w:val="000000" w:themeColor="text1"/>
          <w:sz w:val="24"/>
          <w:szCs w:val="24"/>
        </w:rPr>
        <w:t>The assessment of coastal and marine ecosystems across the Gulf of Thailand reveals that biodiversity loss, ecosystem degradation, and transboundary pressures are tightly interconnected. These challenges transcend administrative borders and require regional cooperation under frameworks such as the Strategic Action Programme (SAP) for the South China Sea and ASEAN’s Post-2020 Biodiversity Framework.</w:t>
      </w:r>
    </w:p>
    <w:p w14:paraId="5801846C" w14:textId="77777777" w:rsidR="00BC399A" w:rsidRPr="00792B36" w:rsidRDefault="00BC399A" w:rsidP="00BC399A">
      <w:pPr>
        <w:spacing w:after="100"/>
        <w:ind w:firstLine="720"/>
        <w:rPr>
          <w:color w:val="000000" w:themeColor="text1"/>
          <w:sz w:val="24"/>
          <w:szCs w:val="24"/>
        </w:rPr>
      </w:pPr>
      <w:r w:rsidRPr="00792B36">
        <w:rPr>
          <w:color w:val="000000" w:themeColor="text1"/>
          <w:sz w:val="24"/>
          <w:szCs w:val="24"/>
        </w:rPr>
        <w:t>Key transboundary biodiversity issues include:</w:t>
      </w:r>
    </w:p>
    <w:p w14:paraId="4D421294" w14:textId="77777777" w:rsidR="00BC399A" w:rsidRPr="00792B36" w:rsidRDefault="00BC399A" w:rsidP="00F61B37">
      <w:pPr>
        <w:widowControl/>
        <w:numPr>
          <w:ilvl w:val="0"/>
          <w:numId w:val="76"/>
        </w:numPr>
        <w:spacing w:after="100"/>
        <w:jc w:val="thaiDistribute"/>
        <w:rPr>
          <w:color w:val="000000" w:themeColor="text1"/>
          <w:sz w:val="24"/>
          <w:szCs w:val="24"/>
        </w:rPr>
      </w:pPr>
      <w:r w:rsidRPr="00792B36">
        <w:rPr>
          <w:color w:val="000000" w:themeColor="text1"/>
          <w:sz w:val="24"/>
          <w:szCs w:val="24"/>
        </w:rPr>
        <w:t>Habitat fragmentation and loss of ecological connectivity: Coral reefs, seagrass meadows, and mangrove wetlands that form continuous ecological corridors are increasingly disrupted by sedimentation, dredging, reclamation, and urban expansion. These pressures impede larval dispersal and migratory pathways, particularly across border-linked coastal provinces and shared fishing grounds.</w:t>
      </w:r>
    </w:p>
    <w:p w14:paraId="7ACF8E74" w14:textId="77777777" w:rsidR="00BC399A" w:rsidRPr="00792B36" w:rsidRDefault="00BC399A" w:rsidP="00F61B37">
      <w:pPr>
        <w:widowControl/>
        <w:numPr>
          <w:ilvl w:val="0"/>
          <w:numId w:val="76"/>
        </w:numPr>
        <w:spacing w:after="100"/>
        <w:jc w:val="thaiDistribute"/>
        <w:rPr>
          <w:color w:val="000000" w:themeColor="text1"/>
          <w:sz w:val="24"/>
          <w:szCs w:val="24"/>
        </w:rPr>
      </w:pPr>
      <w:r w:rsidRPr="00792B36">
        <w:rPr>
          <w:color w:val="000000" w:themeColor="text1"/>
          <w:sz w:val="24"/>
          <w:szCs w:val="24"/>
        </w:rPr>
        <w:t xml:space="preserve">Declining populations of shared and migratory species: Endangered taxa such as </w:t>
      </w:r>
      <w:r w:rsidRPr="00792B36">
        <w:rPr>
          <w:i/>
          <w:iCs/>
          <w:color w:val="000000" w:themeColor="text1"/>
          <w:sz w:val="24"/>
          <w:szCs w:val="24"/>
        </w:rPr>
        <w:t>Dugong dugon</w:t>
      </w:r>
      <w:r w:rsidRPr="00792B36">
        <w:rPr>
          <w:color w:val="000000" w:themeColor="text1"/>
          <w:sz w:val="24"/>
          <w:szCs w:val="24"/>
        </w:rPr>
        <w:t xml:space="preserve">, </w:t>
      </w:r>
      <w:r w:rsidRPr="00792B36">
        <w:rPr>
          <w:i/>
          <w:iCs/>
          <w:color w:val="000000" w:themeColor="text1"/>
          <w:sz w:val="24"/>
          <w:szCs w:val="24"/>
        </w:rPr>
        <w:t>Orcaella brevirostris</w:t>
      </w:r>
      <w:r w:rsidRPr="00792B36">
        <w:rPr>
          <w:color w:val="000000" w:themeColor="text1"/>
          <w:sz w:val="24"/>
          <w:szCs w:val="24"/>
        </w:rPr>
        <w:t xml:space="preserve">, </w:t>
      </w:r>
      <w:r w:rsidRPr="00792B36">
        <w:rPr>
          <w:i/>
          <w:iCs/>
          <w:color w:val="000000" w:themeColor="text1"/>
          <w:sz w:val="24"/>
          <w:szCs w:val="24"/>
        </w:rPr>
        <w:t>Calidris tenuirostris</w:t>
      </w:r>
      <w:r w:rsidRPr="00792B36">
        <w:rPr>
          <w:color w:val="000000" w:themeColor="text1"/>
          <w:sz w:val="24"/>
          <w:szCs w:val="24"/>
        </w:rPr>
        <w:t xml:space="preserve">, and </w:t>
      </w:r>
      <w:r w:rsidRPr="00792B36">
        <w:rPr>
          <w:i/>
          <w:iCs/>
          <w:color w:val="000000" w:themeColor="text1"/>
          <w:sz w:val="24"/>
          <w:szCs w:val="24"/>
        </w:rPr>
        <w:t>Egretta eulophotes</w:t>
      </w:r>
      <w:r w:rsidRPr="00792B36">
        <w:rPr>
          <w:color w:val="000000" w:themeColor="text1"/>
          <w:sz w:val="24"/>
          <w:szCs w:val="24"/>
        </w:rPr>
        <w:t xml:space="preserve"> migrate across Thailand, Cambodia, and Vietnam. Their survival depends on intact transboundary habitats and coordinated protection of seagrass and mangrove ecosystems.</w:t>
      </w:r>
    </w:p>
    <w:p w14:paraId="0798FE6A" w14:textId="77777777" w:rsidR="00BC399A" w:rsidRPr="00792B36" w:rsidRDefault="00BC399A" w:rsidP="00F61B37">
      <w:pPr>
        <w:widowControl/>
        <w:numPr>
          <w:ilvl w:val="0"/>
          <w:numId w:val="76"/>
        </w:numPr>
        <w:spacing w:after="100"/>
        <w:jc w:val="thaiDistribute"/>
        <w:rPr>
          <w:color w:val="000000" w:themeColor="text1"/>
          <w:sz w:val="24"/>
          <w:szCs w:val="24"/>
        </w:rPr>
      </w:pPr>
      <w:r w:rsidRPr="00792B36">
        <w:rPr>
          <w:color w:val="000000" w:themeColor="text1"/>
          <w:sz w:val="24"/>
          <w:szCs w:val="24"/>
        </w:rPr>
        <w:t>Cumulative impacts of climate change and pollution</w:t>
      </w:r>
      <w:r w:rsidRPr="00792B36">
        <w:rPr>
          <w:color w:val="000000" w:themeColor="text1"/>
          <w:sz w:val="24"/>
          <w:szCs w:val="24"/>
          <w:cs/>
        </w:rPr>
        <w:t xml:space="preserve"> </w:t>
      </w:r>
      <w:r w:rsidRPr="00792B36">
        <w:rPr>
          <w:color w:val="000000" w:themeColor="text1"/>
          <w:sz w:val="24"/>
          <w:szCs w:val="24"/>
        </w:rPr>
        <w:t>Rising sea-surface temperatures, acidification, and nutrient enrichment from upstream catchments exacerbate coral bleaching, eutrophication, and hypoxia. These pressures are compounded by microplastic contamination and heavy-metal inputs, which are transboundary by nature.</w:t>
      </w:r>
    </w:p>
    <w:p w14:paraId="1364EF2B" w14:textId="77777777" w:rsidR="00BC399A" w:rsidRPr="00792B36" w:rsidRDefault="00BC399A" w:rsidP="00F61B37">
      <w:pPr>
        <w:widowControl/>
        <w:numPr>
          <w:ilvl w:val="0"/>
          <w:numId w:val="76"/>
        </w:numPr>
        <w:spacing w:after="100"/>
        <w:jc w:val="thaiDistribute"/>
        <w:rPr>
          <w:color w:val="000000" w:themeColor="text1"/>
          <w:sz w:val="24"/>
          <w:szCs w:val="24"/>
        </w:rPr>
      </w:pPr>
      <w:r w:rsidRPr="00792B36">
        <w:rPr>
          <w:color w:val="000000" w:themeColor="text1"/>
          <w:sz w:val="24"/>
          <w:szCs w:val="24"/>
        </w:rPr>
        <w:t>Uneven management capacities: While Thailand has strengthened protection through MPAs, Ramsar Sites, and OECMs, cross-border governance and data-sharing remain fragmented. Limited regional integration constrains effective monitoring, enforcement, and restoration at the ecosystem scale.</w:t>
      </w:r>
    </w:p>
    <w:p w14:paraId="2238031D" w14:textId="77777777" w:rsidR="00BC399A" w:rsidRPr="00792B36" w:rsidRDefault="00BC399A" w:rsidP="00BC399A">
      <w:pPr>
        <w:spacing w:after="100"/>
        <w:ind w:firstLine="720"/>
        <w:jc w:val="thaiDistribute"/>
        <w:rPr>
          <w:color w:val="000000" w:themeColor="text1"/>
          <w:sz w:val="24"/>
          <w:szCs w:val="24"/>
        </w:rPr>
      </w:pPr>
      <w:r w:rsidRPr="00792B36">
        <w:rPr>
          <w:color w:val="000000" w:themeColor="text1"/>
          <w:sz w:val="24"/>
          <w:szCs w:val="24"/>
        </w:rPr>
        <w:t>The report emphasizes that priority transboundary biodiversity issues must be addressed through joint management and knowledge sharing among Gulf-rim countries. Thailand’s approach</w:t>
      </w:r>
      <w:r w:rsidRPr="00792B36">
        <w:rPr>
          <w:color w:val="000000" w:themeColor="text1"/>
          <w:sz w:val="24"/>
          <w:szCs w:val="24"/>
          <w:cs/>
        </w:rPr>
        <w:t xml:space="preserve"> </w:t>
      </w:r>
      <w:r w:rsidRPr="00792B36">
        <w:rPr>
          <w:color w:val="000000" w:themeColor="text1"/>
          <w:sz w:val="24"/>
          <w:szCs w:val="24"/>
        </w:rPr>
        <w:t>linking blue carbon conservation, community-based restoration, and ecosystem-based management (EBM)</w:t>
      </w:r>
      <w:r w:rsidRPr="00792B36">
        <w:rPr>
          <w:color w:val="000000" w:themeColor="text1"/>
          <w:sz w:val="24"/>
          <w:szCs w:val="24"/>
          <w:cs/>
        </w:rPr>
        <w:t xml:space="preserve"> </w:t>
      </w:r>
      <w:r w:rsidRPr="00792B36">
        <w:rPr>
          <w:color w:val="000000" w:themeColor="text1"/>
          <w:sz w:val="24"/>
          <w:szCs w:val="24"/>
        </w:rPr>
        <w:t>provides a replicable model for cooperative action under the South China Sea SAP.</w:t>
      </w:r>
    </w:p>
    <w:p w14:paraId="59DC35BE" w14:textId="77777777" w:rsidR="00BC399A" w:rsidRPr="00792B36" w:rsidRDefault="00BC399A" w:rsidP="00BC399A">
      <w:pPr>
        <w:spacing w:after="100"/>
        <w:ind w:firstLine="720"/>
        <w:rPr>
          <w:color w:val="000000" w:themeColor="text1"/>
          <w:sz w:val="24"/>
          <w:szCs w:val="24"/>
        </w:rPr>
      </w:pPr>
      <w:r w:rsidRPr="00792B36">
        <w:rPr>
          <w:color w:val="000000" w:themeColor="text1"/>
          <w:sz w:val="24"/>
          <w:szCs w:val="24"/>
        </w:rPr>
        <w:t>To sustain progress, four strategic directions are proposed:</w:t>
      </w:r>
    </w:p>
    <w:p w14:paraId="70069B6D" w14:textId="77777777" w:rsidR="00BC399A" w:rsidRPr="00792B36" w:rsidRDefault="00BC399A" w:rsidP="00F61B37">
      <w:pPr>
        <w:widowControl/>
        <w:numPr>
          <w:ilvl w:val="0"/>
          <w:numId w:val="77"/>
        </w:numPr>
        <w:tabs>
          <w:tab w:val="clear" w:pos="1080"/>
          <w:tab w:val="num" w:pos="720"/>
        </w:tabs>
        <w:spacing w:after="100"/>
        <w:rPr>
          <w:color w:val="000000" w:themeColor="text1"/>
          <w:sz w:val="24"/>
          <w:szCs w:val="24"/>
        </w:rPr>
      </w:pPr>
      <w:r w:rsidRPr="00792B36">
        <w:rPr>
          <w:color w:val="000000" w:themeColor="text1"/>
          <w:sz w:val="24"/>
          <w:szCs w:val="24"/>
        </w:rPr>
        <w:t>Strengthen regional ecological networks by linking coral, seagrass, and mangrove corridors through shared spatial data and habitat connectivity mapping.</w:t>
      </w:r>
    </w:p>
    <w:p w14:paraId="4885A9E5" w14:textId="77777777" w:rsidR="00BC399A" w:rsidRPr="00792B36" w:rsidRDefault="00BC399A" w:rsidP="00F61B37">
      <w:pPr>
        <w:widowControl/>
        <w:numPr>
          <w:ilvl w:val="0"/>
          <w:numId w:val="77"/>
        </w:numPr>
        <w:tabs>
          <w:tab w:val="clear" w:pos="1080"/>
          <w:tab w:val="num" w:pos="720"/>
        </w:tabs>
        <w:spacing w:after="100"/>
        <w:rPr>
          <w:color w:val="000000" w:themeColor="text1"/>
          <w:sz w:val="24"/>
          <w:szCs w:val="24"/>
        </w:rPr>
      </w:pPr>
      <w:r w:rsidRPr="00792B36">
        <w:rPr>
          <w:color w:val="000000" w:themeColor="text1"/>
          <w:sz w:val="24"/>
          <w:szCs w:val="24"/>
        </w:rPr>
        <w:t>Harmonize monitoring protocols and biodiversity indicators under ASEAN and COBSEA frameworks to enable joint reporting on ecosystem condition and species status.</w:t>
      </w:r>
    </w:p>
    <w:p w14:paraId="4AD3956D" w14:textId="77777777" w:rsidR="00BC399A" w:rsidRPr="00792B36" w:rsidRDefault="00BC399A" w:rsidP="00F61B37">
      <w:pPr>
        <w:widowControl/>
        <w:numPr>
          <w:ilvl w:val="0"/>
          <w:numId w:val="77"/>
        </w:numPr>
        <w:tabs>
          <w:tab w:val="clear" w:pos="1080"/>
          <w:tab w:val="num" w:pos="720"/>
        </w:tabs>
        <w:spacing w:after="100"/>
        <w:rPr>
          <w:color w:val="000000" w:themeColor="text1"/>
          <w:sz w:val="24"/>
          <w:szCs w:val="24"/>
        </w:rPr>
      </w:pPr>
      <w:r w:rsidRPr="00792B36">
        <w:rPr>
          <w:color w:val="000000" w:themeColor="text1"/>
          <w:sz w:val="24"/>
          <w:szCs w:val="24"/>
        </w:rPr>
        <w:lastRenderedPageBreak/>
        <w:t>Institutionalize transboundary governance through bilateral agreements on migratory species management, pollution control, and sustainable fisheries.</w:t>
      </w:r>
    </w:p>
    <w:p w14:paraId="32184B45" w14:textId="77777777" w:rsidR="00BC399A" w:rsidRPr="00792B36" w:rsidRDefault="00BC399A" w:rsidP="00F61B37">
      <w:pPr>
        <w:widowControl/>
        <w:numPr>
          <w:ilvl w:val="0"/>
          <w:numId w:val="77"/>
        </w:numPr>
        <w:tabs>
          <w:tab w:val="clear" w:pos="1080"/>
          <w:tab w:val="num" w:pos="720"/>
        </w:tabs>
        <w:spacing w:after="100"/>
        <w:rPr>
          <w:color w:val="000000" w:themeColor="text1"/>
          <w:sz w:val="24"/>
          <w:szCs w:val="24"/>
        </w:rPr>
      </w:pPr>
      <w:r w:rsidRPr="00792B36">
        <w:rPr>
          <w:color w:val="000000" w:themeColor="text1"/>
          <w:sz w:val="24"/>
          <w:szCs w:val="24"/>
        </w:rPr>
        <w:t>Mobilize blue-economy financing for habitat restoration, blue carbon projects, and community participation across borders.</w:t>
      </w:r>
    </w:p>
    <w:p w14:paraId="690C5348" w14:textId="77777777" w:rsidR="00BC399A" w:rsidRPr="00792B36" w:rsidRDefault="00BC399A" w:rsidP="00BC399A">
      <w:pPr>
        <w:spacing w:after="100"/>
        <w:ind w:firstLine="720"/>
        <w:jc w:val="thaiDistribute"/>
        <w:rPr>
          <w:color w:val="000000" w:themeColor="text1"/>
          <w:sz w:val="24"/>
          <w:szCs w:val="24"/>
        </w:rPr>
      </w:pPr>
      <w:r w:rsidRPr="00792B36">
        <w:rPr>
          <w:color w:val="000000" w:themeColor="text1"/>
          <w:sz w:val="24"/>
          <w:szCs w:val="24"/>
        </w:rPr>
        <w:t>In conclusion, conserving biodiversity in the Gulf of Thailand requires moving from isolated national actions to regionally coordinated, ecosystem-based management. Strengthened transboundary collaboration will ensure that critical habitats</w:t>
      </w:r>
      <w:r w:rsidRPr="00792B36">
        <w:rPr>
          <w:color w:val="000000" w:themeColor="text1"/>
          <w:sz w:val="24"/>
          <w:szCs w:val="24"/>
          <w:cs/>
        </w:rPr>
        <w:t xml:space="preserve"> </w:t>
      </w:r>
      <w:r w:rsidRPr="00792B36">
        <w:rPr>
          <w:color w:val="000000" w:themeColor="text1"/>
          <w:sz w:val="24"/>
          <w:szCs w:val="24"/>
        </w:rPr>
        <w:t>coral reefs, seagrass meadows, and mangrove wetlands</w:t>
      </w:r>
      <w:r w:rsidRPr="00792B36">
        <w:rPr>
          <w:color w:val="000000" w:themeColor="text1"/>
          <w:sz w:val="24"/>
          <w:szCs w:val="24"/>
          <w:cs/>
        </w:rPr>
        <w:t xml:space="preserve"> </w:t>
      </w:r>
      <w:r w:rsidRPr="00792B36">
        <w:rPr>
          <w:color w:val="000000" w:themeColor="text1"/>
          <w:sz w:val="24"/>
          <w:szCs w:val="24"/>
        </w:rPr>
        <w:t>continue to provide ecological, economic, and climate-resilience benefits for all countries sharing the South China Sea.</w:t>
      </w:r>
    </w:p>
    <w:p w14:paraId="2DBC92FD" w14:textId="77777777" w:rsidR="00BC399A" w:rsidRPr="00792B36" w:rsidRDefault="00BC399A" w:rsidP="00BC399A">
      <w:pPr>
        <w:spacing w:after="100"/>
        <w:ind w:firstLine="720"/>
        <w:jc w:val="thaiDistribute"/>
        <w:rPr>
          <w:color w:val="000000" w:themeColor="text1"/>
          <w:sz w:val="24"/>
          <w:szCs w:val="24"/>
        </w:rPr>
      </w:pPr>
    </w:p>
    <w:p w14:paraId="18E3DA5C" w14:textId="77777777" w:rsidR="00BC399A" w:rsidRPr="00792B36" w:rsidRDefault="00BC399A" w:rsidP="00BC399A">
      <w:pPr>
        <w:spacing w:after="100"/>
        <w:ind w:firstLine="720"/>
        <w:jc w:val="thaiDistribute"/>
        <w:rPr>
          <w:b/>
          <w:bCs/>
          <w:sz w:val="24"/>
          <w:szCs w:val="24"/>
        </w:rPr>
      </w:pPr>
      <w:r w:rsidRPr="00792B36">
        <w:rPr>
          <w:b/>
          <w:bCs/>
          <w:sz w:val="24"/>
          <w:szCs w:val="24"/>
        </w:rPr>
        <w:t>4.3.2 Risk Assessment and Valuation of economic losses</w:t>
      </w:r>
    </w:p>
    <w:p w14:paraId="783CAFCB" w14:textId="77777777" w:rsidR="00BC399A" w:rsidRPr="00792B36" w:rsidRDefault="00BC399A" w:rsidP="00BC399A">
      <w:pPr>
        <w:spacing w:after="100"/>
        <w:ind w:firstLine="720"/>
        <w:jc w:val="thaiDistribute"/>
        <w:rPr>
          <w:color w:val="000000" w:themeColor="text1"/>
          <w:sz w:val="24"/>
          <w:szCs w:val="24"/>
        </w:rPr>
      </w:pPr>
      <w:r w:rsidRPr="00792B36">
        <w:rPr>
          <w:color w:val="000000" w:themeColor="text1"/>
          <w:sz w:val="24"/>
          <w:szCs w:val="24"/>
        </w:rPr>
        <w:t>The valuation and risk assessment of Thailand’s coastal and estuarine ecosystems highlight both their immense economic importance and vulnerability to degradation. Across key study areas Welu River Estuary, Bandon Bay, Pak Phanang Bay, Samut Prakan Province, and Don Hoi Lot rapid socio-economic expansion has reshaped environmental conditions, increasing exposure to ecological and financial risks. The primary drivers of risk include population growth, aquaculture intensification, industrial and tourism development, and land-use conversion. These pressures have accelerated habitat loss, sedimentation, nutrient loading, and water-quality decline, undermining the resilience of mangrove and seagrass ecosystems that underpin local fisheries and coastal protection. The loss of these natural buffers exposes coastal communities to greater economic losses from erosion, flooding, and declining fishery productivity.</w:t>
      </w:r>
    </w:p>
    <w:p w14:paraId="4B30FDAD" w14:textId="77777777" w:rsidR="00BC399A" w:rsidRPr="00792B36" w:rsidRDefault="00BC399A" w:rsidP="00BC399A">
      <w:pPr>
        <w:spacing w:after="100"/>
        <w:ind w:firstLine="720"/>
        <w:jc w:val="thaiDistribute"/>
        <w:rPr>
          <w:color w:val="000000" w:themeColor="text1"/>
          <w:sz w:val="24"/>
          <w:szCs w:val="24"/>
        </w:rPr>
      </w:pPr>
      <w:r w:rsidRPr="00792B36">
        <w:rPr>
          <w:color w:val="000000" w:themeColor="text1"/>
          <w:sz w:val="24"/>
          <w:szCs w:val="24"/>
        </w:rPr>
        <w:t>Despite these threats, the ecosystems continue to generate substantial economic benefits. The estimated annual ecosystem service value ranges between US$17–32 million per site, combining both direct use values fisheries, aquaculture, timber, and mangrove products and indirect services such as coastal protection, carbon sequestration, and nutrient cycling. For example, Bandon Bay contributes up to US$32 million per year, while Welu River Estuary provides US$18–23 million annually, supported by blue-carbon stocks valued over US$130–185 million. These findings confirm that coastal ecosystems are key natural assets within Thailand’s blue-economy and climate-resilience strategies.</w:t>
      </w:r>
    </w:p>
    <w:p w14:paraId="3180A426" w14:textId="77777777" w:rsidR="00BC399A" w:rsidRPr="00792B36" w:rsidRDefault="00BC399A" w:rsidP="00BC399A">
      <w:pPr>
        <w:spacing w:after="100"/>
        <w:ind w:firstLine="720"/>
        <w:jc w:val="thaiDistribute"/>
        <w:rPr>
          <w:color w:val="000000" w:themeColor="text1"/>
          <w:sz w:val="24"/>
          <w:szCs w:val="24"/>
        </w:rPr>
      </w:pPr>
      <w:r w:rsidRPr="00792B36">
        <w:rPr>
          <w:color w:val="000000" w:themeColor="text1"/>
          <w:sz w:val="24"/>
          <w:szCs w:val="24"/>
        </w:rPr>
        <w:t>However, risk exposure remains high where governance and enforcement are weak. In Don Hoi Lot and Samut Prakan, unregulated harvesting, pollution, and industrial expansion have diminished ecosystem capacity, resulting in measurable declines in ecosystem service value. Economic risk thus extends beyond resource loss to include reduced livelihood security, higher restoration costs, and forgone carbon-credit potential.</w:t>
      </w:r>
    </w:p>
    <w:p w14:paraId="2F261887" w14:textId="77777777" w:rsidR="00BC399A" w:rsidRPr="00792B36" w:rsidRDefault="00BC399A" w:rsidP="00BC399A">
      <w:pPr>
        <w:spacing w:after="100"/>
        <w:ind w:firstLine="720"/>
        <w:rPr>
          <w:color w:val="000000" w:themeColor="text1"/>
          <w:sz w:val="24"/>
          <w:szCs w:val="24"/>
        </w:rPr>
      </w:pPr>
      <w:r w:rsidRPr="00792B36">
        <w:rPr>
          <w:color w:val="000000" w:themeColor="text1"/>
          <w:sz w:val="24"/>
          <w:szCs w:val="24"/>
        </w:rPr>
        <w:t>The report concludes that mitigating future economic losses requires:</w:t>
      </w:r>
    </w:p>
    <w:p w14:paraId="6387BAE6" w14:textId="77777777" w:rsidR="00BC399A" w:rsidRPr="00792B36" w:rsidRDefault="00BC399A" w:rsidP="00F61B37">
      <w:pPr>
        <w:widowControl/>
        <w:numPr>
          <w:ilvl w:val="0"/>
          <w:numId w:val="78"/>
        </w:numPr>
        <w:spacing w:after="100"/>
        <w:rPr>
          <w:color w:val="000000" w:themeColor="text1"/>
          <w:sz w:val="24"/>
          <w:szCs w:val="24"/>
        </w:rPr>
      </w:pPr>
      <w:r w:rsidRPr="00792B36">
        <w:rPr>
          <w:color w:val="000000" w:themeColor="text1"/>
          <w:sz w:val="24"/>
          <w:szCs w:val="24"/>
        </w:rPr>
        <w:t>Integration of ecosystem valuation into policy and planning—ensuring that natural capital is recognized in cost-benefit analyses and climate-finance mechanisms.</w:t>
      </w:r>
    </w:p>
    <w:p w14:paraId="6919EACF" w14:textId="77777777" w:rsidR="00BC399A" w:rsidRPr="00792B36" w:rsidRDefault="00BC399A" w:rsidP="00F61B37">
      <w:pPr>
        <w:widowControl/>
        <w:numPr>
          <w:ilvl w:val="0"/>
          <w:numId w:val="78"/>
        </w:numPr>
        <w:spacing w:after="100"/>
        <w:rPr>
          <w:color w:val="000000" w:themeColor="text1"/>
          <w:sz w:val="24"/>
          <w:szCs w:val="24"/>
        </w:rPr>
      </w:pPr>
      <w:r w:rsidRPr="00792B36">
        <w:rPr>
          <w:color w:val="000000" w:themeColor="text1"/>
          <w:sz w:val="24"/>
          <w:szCs w:val="24"/>
        </w:rPr>
        <w:t>Strengthened coastal zoning and enforcement to limit unsustainable land conversion and aquaculture expansion.</w:t>
      </w:r>
    </w:p>
    <w:p w14:paraId="2251FE90" w14:textId="77777777" w:rsidR="00BC399A" w:rsidRPr="00792B36" w:rsidRDefault="00BC399A" w:rsidP="00F61B37">
      <w:pPr>
        <w:widowControl/>
        <w:numPr>
          <w:ilvl w:val="0"/>
          <w:numId w:val="78"/>
        </w:numPr>
        <w:spacing w:after="100"/>
        <w:rPr>
          <w:color w:val="000000" w:themeColor="text1"/>
          <w:sz w:val="24"/>
          <w:szCs w:val="24"/>
        </w:rPr>
      </w:pPr>
      <w:r w:rsidRPr="00792B36">
        <w:rPr>
          <w:color w:val="000000" w:themeColor="text1"/>
          <w:sz w:val="24"/>
          <w:szCs w:val="24"/>
        </w:rPr>
        <w:lastRenderedPageBreak/>
        <w:t>Investment in ecosystem restoration (mangrove rehabilitation, blue-carbon projects) to offset cumulative losses and generate long-term returns.</w:t>
      </w:r>
    </w:p>
    <w:p w14:paraId="3E9F9B5A" w14:textId="77777777" w:rsidR="00BC399A" w:rsidRPr="00792B36" w:rsidRDefault="00BC399A" w:rsidP="00F61B37">
      <w:pPr>
        <w:widowControl/>
        <w:numPr>
          <w:ilvl w:val="0"/>
          <w:numId w:val="78"/>
        </w:numPr>
        <w:spacing w:after="100"/>
        <w:rPr>
          <w:color w:val="000000" w:themeColor="text1"/>
          <w:sz w:val="24"/>
          <w:szCs w:val="24"/>
        </w:rPr>
      </w:pPr>
      <w:r w:rsidRPr="00792B36">
        <w:rPr>
          <w:color w:val="000000" w:themeColor="text1"/>
          <w:sz w:val="24"/>
          <w:szCs w:val="24"/>
        </w:rPr>
        <w:t>Community-based risk management, linking local livelihood diversification with conservation incentives.</w:t>
      </w:r>
    </w:p>
    <w:p w14:paraId="0C1798A6" w14:textId="77777777" w:rsidR="00BC399A" w:rsidRPr="00792B36" w:rsidRDefault="00BC399A" w:rsidP="00BC399A">
      <w:pPr>
        <w:spacing w:after="100"/>
        <w:ind w:firstLine="720"/>
        <w:rPr>
          <w:color w:val="000000" w:themeColor="text1"/>
          <w:sz w:val="24"/>
          <w:szCs w:val="24"/>
        </w:rPr>
      </w:pPr>
      <w:r w:rsidRPr="00792B36">
        <w:rPr>
          <w:color w:val="000000" w:themeColor="text1"/>
          <w:sz w:val="24"/>
          <w:szCs w:val="24"/>
        </w:rPr>
        <w:t>In summary, Thailand’s coastal ecosystems represent high-value yet high-risk natural infrastructure. Embedding economic valuation and risk assessment into national coastal governance is essential to reduce vulnerability, maintain ecosystem services, and ensure sustainable, climate-resilient development across the Gulf of Thailand.</w:t>
      </w:r>
    </w:p>
    <w:p w14:paraId="125FA7B4" w14:textId="77777777" w:rsidR="00BC399A" w:rsidRPr="00792B36" w:rsidRDefault="00BC399A" w:rsidP="00BC399A">
      <w:pPr>
        <w:spacing w:after="100"/>
        <w:ind w:firstLine="720"/>
        <w:rPr>
          <w:color w:val="000000" w:themeColor="text1"/>
          <w:sz w:val="24"/>
          <w:szCs w:val="24"/>
        </w:rPr>
      </w:pPr>
    </w:p>
    <w:p w14:paraId="0047E0B1" w14:textId="77777777" w:rsidR="00BC399A" w:rsidRPr="00792B36" w:rsidRDefault="00BC399A" w:rsidP="00BC399A">
      <w:pPr>
        <w:spacing w:after="100"/>
        <w:ind w:firstLine="720"/>
        <w:jc w:val="thaiDistribute"/>
        <w:rPr>
          <w:b/>
          <w:bCs/>
          <w:sz w:val="24"/>
          <w:szCs w:val="24"/>
        </w:rPr>
      </w:pPr>
      <w:r w:rsidRPr="00792B36">
        <w:rPr>
          <w:b/>
          <w:bCs/>
          <w:sz w:val="24"/>
          <w:szCs w:val="24"/>
        </w:rPr>
        <w:t>4.3.3 Current Management and Institutions</w:t>
      </w:r>
    </w:p>
    <w:p w14:paraId="6083853F" w14:textId="77777777" w:rsidR="00BC399A" w:rsidRPr="00792B36" w:rsidRDefault="00BC399A" w:rsidP="00BC399A">
      <w:pPr>
        <w:spacing w:after="100"/>
        <w:ind w:firstLine="720"/>
        <w:jc w:val="thaiDistribute"/>
        <w:rPr>
          <w:color w:val="000000" w:themeColor="text1"/>
          <w:sz w:val="24"/>
          <w:szCs w:val="24"/>
        </w:rPr>
      </w:pPr>
      <w:r w:rsidRPr="00792B36">
        <w:rPr>
          <w:color w:val="000000" w:themeColor="text1"/>
          <w:sz w:val="24"/>
          <w:szCs w:val="24"/>
        </w:rPr>
        <w:t>The management and institutional framework of Thailand’s coastal and marine ecosystems demonstrates a long-standing commitment to sustainable resource use and biodiversity protection. However, institutional fragmentation and limited enforcement capacity remain significant challenges. Five major management zones</w:t>
      </w:r>
      <w:r w:rsidRPr="00792B36">
        <w:rPr>
          <w:color w:val="000000" w:themeColor="text1"/>
          <w:sz w:val="24"/>
          <w:szCs w:val="24"/>
          <w:cs/>
        </w:rPr>
        <w:t xml:space="preserve"> </w:t>
      </w:r>
      <w:r w:rsidRPr="00792B36">
        <w:rPr>
          <w:color w:val="000000" w:themeColor="text1"/>
          <w:sz w:val="24"/>
          <w:szCs w:val="24"/>
        </w:rPr>
        <w:t>Welu River Estuary Bandon Bay, Pak Phanang Bay, Samut Prakan Province, and Don Hoi Lot represent key areas under state ownership and collaborative management, integrating ecosystem restoration, blue carbon initiatives, and participatory coastal governance.</w:t>
      </w:r>
    </w:p>
    <w:p w14:paraId="309B9C67" w14:textId="77777777" w:rsidR="00BC399A" w:rsidRPr="00792B36" w:rsidRDefault="00BC399A" w:rsidP="00BC399A">
      <w:pPr>
        <w:spacing w:after="100"/>
        <w:ind w:firstLine="720"/>
        <w:jc w:val="thaiDistribute"/>
        <w:rPr>
          <w:color w:val="000000" w:themeColor="text1"/>
          <w:sz w:val="24"/>
          <w:szCs w:val="24"/>
        </w:rPr>
      </w:pPr>
      <w:r w:rsidRPr="00792B36">
        <w:rPr>
          <w:color w:val="000000" w:themeColor="text1"/>
          <w:sz w:val="24"/>
          <w:szCs w:val="24"/>
        </w:rPr>
        <w:t>The Department of Marine and Coastal Resources (DMCR) serves as the principal coordinating agency for mangrove, coral reef, and seagrass conservation, working in partnership with the Department of National Parks, Wildlife and Plant Conservation (DNP), Department of Fisheries (DOF), Royal Irrigation Department (RID), and provincial and local administrations. These agencies collectively manage coastal zoning, pollution control, aquaculture development, and habitat restoration, with growing engagement from universities and NGOs in biodiversity monitoring, citizen science, and blue carbon assessment.</w:t>
      </w:r>
      <w:r w:rsidRPr="00792B36">
        <w:rPr>
          <w:color w:val="000000" w:themeColor="text1"/>
          <w:sz w:val="24"/>
          <w:szCs w:val="24"/>
          <w:cs/>
        </w:rPr>
        <w:t xml:space="preserve"> </w:t>
      </w:r>
      <w:r w:rsidRPr="00792B36">
        <w:rPr>
          <w:color w:val="000000" w:themeColor="text1"/>
          <w:sz w:val="24"/>
          <w:szCs w:val="24"/>
        </w:rPr>
        <w:t>Co-management arrangements have emerged as key governance mechanisms in Welu Estuary, Bandon Bay, and Pak Phanang Bay, where local communities actively participate in mangrove rehabilitation, water-quality improvement, and sustainable aquaculture. Samut Prakan Province demonstrates an urban–industrial wetland restoration model, integrating CSR-led mangrove planting, wastewater treatment, and public awareness programs. Don Hoi Lot (Ramsar Site No.1099) serves as Thailand’s leading example of community-based ecotourism and participatory wetland management, combining biodiversity protection with sustainable livelihood development.</w:t>
      </w:r>
    </w:p>
    <w:p w14:paraId="5CCBED77" w14:textId="77777777" w:rsidR="00BC399A" w:rsidRPr="00792B36" w:rsidRDefault="00BC399A" w:rsidP="00BC399A">
      <w:pPr>
        <w:spacing w:after="100"/>
        <w:ind w:firstLine="720"/>
        <w:rPr>
          <w:color w:val="000000" w:themeColor="text1"/>
          <w:sz w:val="24"/>
          <w:szCs w:val="24"/>
        </w:rPr>
      </w:pPr>
      <w:r w:rsidRPr="00792B36">
        <w:rPr>
          <w:color w:val="000000" w:themeColor="text1"/>
          <w:sz w:val="24"/>
          <w:szCs w:val="24"/>
        </w:rPr>
        <w:t>Coral Reef and Seagrass Management</w:t>
      </w:r>
    </w:p>
    <w:p w14:paraId="1661C41A" w14:textId="77777777" w:rsidR="00BC399A" w:rsidRPr="00792B36" w:rsidRDefault="00BC399A" w:rsidP="00BC399A">
      <w:pPr>
        <w:spacing w:after="100"/>
        <w:ind w:firstLine="720"/>
        <w:rPr>
          <w:color w:val="000000" w:themeColor="text1"/>
          <w:sz w:val="24"/>
          <w:szCs w:val="24"/>
        </w:rPr>
      </w:pPr>
      <w:r w:rsidRPr="00792B36">
        <w:rPr>
          <w:color w:val="000000" w:themeColor="text1"/>
          <w:sz w:val="24"/>
          <w:szCs w:val="24"/>
        </w:rPr>
        <w:t>Beyond mangrove and wetland systems, Thailand’s coral reef and seagrass ecosystems are managed under joint DMCR–DNP frameworks.</w:t>
      </w:r>
    </w:p>
    <w:p w14:paraId="3FACD311" w14:textId="77777777" w:rsidR="00BC399A" w:rsidRPr="00792B36" w:rsidRDefault="00BC399A" w:rsidP="00F61B37">
      <w:pPr>
        <w:widowControl/>
        <w:numPr>
          <w:ilvl w:val="0"/>
          <w:numId w:val="80"/>
        </w:numPr>
        <w:spacing w:after="100"/>
        <w:rPr>
          <w:color w:val="000000" w:themeColor="text1"/>
          <w:sz w:val="24"/>
          <w:szCs w:val="24"/>
        </w:rPr>
      </w:pPr>
      <w:r w:rsidRPr="00792B36">
        <w:rPr>
          <w:color w:val="000000" w:themeColor="text1"/>
          <w:sz w:val="24"/>
          <w:szCs w:val="24"/>
        </w:rPr>
        <w:t>Coral reefs across sites such as Koh Si Chang, Koh Tao, Koh Mak, Koh Kood, Koh Kra, and Koh Losin are managed through a combination of Marine Protected Areas (MPAs), OECMs, and local conservation initiatives. Offshore reefs (e.g., Koh Kra and Koh Losin) are under direct DMCR management, maintaining high ecological integrity due to restricted access, while nearshore reefs (e.g., Koh Si Chang, Koh Lan) face challenges from tourism, sedimentation, and eutrophication, requiring stronger enforcement and local co-management.</w:t>
      </w:r>
    </w:p>
    <w:p w14:paraId="642A00CD" w14:textId="77777777" w:rsidR="00BC399A" w:rsidRPr="00792B36" w:rsidRDefault="00BC399A" w:rsidP="00F61B37">
      <w:pPr>
        <w:widowControl/>
        <w:numPr>
          <w:ilvl w:val="0"/>
          <w:numId w:val="80"/>
        </w:numPr>
        <w:spacing w:after="100"/>
        <w:rPr>
          <w:color w:val="000000" w:themeColor="text1"/>
          <w:sz w:val="24"/>
          <w:szCs w:val="24"/>
        </w:rPr>
      </w:pPr>
      <w:r w:rsidRPr="00792B36">
        <w:rPr>
          <w:color w:val="000000" w:themeColor="text1"/>
          <w:sz w:val="24"/>
          <w:szCs w:val="24"/>
        </w:rPr>
        <w:lastRenderedPageBreak/>
        <w:t>Underwater pinnacles in Chumphon Province are increasingly recognized for their connectivity and larval dispersal function, and are being considered for formal protection as an OECM site.</w:t>
      </w:r>
    </w:p>
    <w:p w14:paraId="3A6D9935" w14:textId="77777777" w:rsidR="00BC399A" w:rsidRPr="00792B36" w:rsidRDefault="00BC399A" w:rsidP="00F61B37">
      <w:pPr>
        <w:widowControl/>
        <w:numPr>
          <w:ilvl w:val="0"/>
          <w:numId w:val="80"/>
        </w:numPr>
        <w:spacing w:after="100"/>
        <w:rPr>
          <w:color w:val="000000" w:themeColor="text1"/>
          <w:sz w:val="24"/>
          <w:szCs w:val="24"/>
        </w:rPr>
      </w:pPr>
      <w:r w:rsidRPr="00792B36">
        <w:rPr>
          <w:color w:val="000000" w:themeColor="text1"/>
          <w:sz w:val="24"/>
          <w:szCs w:val="24"/>
        </w:rPr>
        <w:t>Seagrass, notably in Bandon Bay and Chumphon, are managed under DMCR’s blue carbon and biodiversity programs, linking habitat conservation with carbon sequestration and sustainable fisheries. Restoration and monitoring activities are conducted in collaboration with local fishery groups and academic institutions, contributing to Thailand’s Nationally Determined Contributions (NDC) and Blue Economy Strategy.</w:t>
      </w:r>
    </w:p>
    <w:p w14:paraId="199B4CD7" w14:textId="77777777" w:rsidR="00BC399A" w:rsidRPr="00792B36" w:rsidRDefault="00BC399A" w:rsidP="00BC399A">
      <w:pPr>
        <w:spacing w:after="100"/>
        <w:ind w:firstLine="720"/>
        <w:rPr>
          <w:color w:val="000000" w:themeColor="text1"/>
          <w:sz w:val="24"/>
          <w:szCs w:val="24"/>
        </w:rPr>
      </w:pPr>
      <w:r w:rsidRPr="00792B36">
        <w:rPr>
          <w:color w:val="000000" w:themeColor="text1"/>
          <w:sz w:val="24"/>
          <w:szCs w:val="24"/>
        </w:rPr>
        <w:t>Integration and Ongoing Challenges</w:t>
      </w:r>
    </w:p>
    <w:p w14:paraId="75DF8BA0" w14:textId="77777777" w:rsidR="00BC399A" w:rsidRPr="00792B36" w:rsidRDefault="00BC399A" w:rsidP="00BC399A">
      <w:pPr>
        <w:spacing w:after="100"/>
        <w:ind w:firstLine="720"/>
        <w:jc w:val="thaiDistribute"/>
        <w:rPr>
          <w:color w:val="000000" w:themeColor="text1"/>
          <w:sz w:val="24"/>
          <w:szCs w:val="24"/>
        </w:rPr>
      </w:pPr>
      <w:r w:rsidRPr="00792B36">
        <w:rPr>
          <w:color w:val="000000" w:themeColor="text1"/>
          <w:sz w:val="24"/>
          <w:szCs w:val="24"/>
        </w:rPr>
        <w:t>While institutional frameworks have expanded Thailand’s conservation network, overlapping mandates, inconsistent data-sharing, and limited coordination between national and provincial levels continue to undermine management efficiency. Enforcement of marine zoning and fishing regulations remains inconsistent, particularly in nearshore coral and seagrass areas where tourism and aquaculture activities are expanding rapidly. There is also a need to align restoration and monitoring programs under a unified spatial planning and reporting system.</w:t>
      </w:r>
    </w:p>
    <w:p w14:paraId="1BFC69D2" w14:textId="77777777" w:rsidR="00BC399A" w:rsidRPr="00792B36" w:rsidRDefault="00BC399A" w:rsidP="00BC399A">
      <w:pPr>
        <w:spacing w:after="100"/>
        <w:ind w:firstLine="720"/>
        <w:rPr>
          <w:color w:val="000000" w:themeColor="text1"/>
          <w:sz w:val="24"/>
          <w:szCs w:val="24"/>
        </w:rPr>
      </w:pPr>
      <w:r w:rsidRPr="00792B36">
        <w:rPr>
          <w:color w:val="000000" w:themeColor="text1"/>
          <w:sz w:val="24"/>
          <w:szCs w:val="24"/>
        </w:rPr>
        <w:t>Toward Integrated and Adaptive Governance</w:t>
      </w:r>
    </w:p>
    <w:p w14:paraId="3D7457F5" w14:textId="77777777" w:rsidR="00BC399A" w:rsidRPr="00792B36" w:rsidRDefault="00BC399A" w:rsidP="00BC399A">
      <w:pPr>
        <w:spacing w:after="100"/>
        <w:ind w:firstLine="720"/>
        <w:jc w:val="thaiDistribute"/>
        <w:rPr>
          <w:color w:val="000000" w:themeColor="text1"/>
          <w:sz w:val="24"/>
          <w:szCs w:val="24"/>
        </w:rPr>
      </w:pPr>
      <w:r w:rsidRPr="00792B36">
        <w:rPr>
          <w:color w:val="000000" w:themeColor="text1"/>
          <w:sz w:val="24"/>
          <w:szCs w:val="24"/>
        </w:rPr>
        <w:t>Progress is evident in the adoption of Integrated Coastal Management (ICM) and the incorporation of ecosystem-based approaches into the National Marine and Coastal Resources Management Plan (2023–2027). New initiatives—such as blue carbon accounting, sustainable tourism guidelines, and community-based restoration programs—are being implemented in Don Hoi Lot, Bandon Bay, and Chumphon, showcasing Thailand’s shift toward adaptive, science-based, and participatory governance.</w:t>
      </w:r>
    </w:p>
    <w:p w14:paraId="335F3476" w14:textId="77777777" w:rsidR="00BC399A" w:rsidRPr="00792B36" w:rsidRDefault="00BC399A" w:rsidP="00BC399A">
      <w:pPr>
        <w:spacing w:after="100"/>
        <w:ind w:firstLine="720"/>
        <w:jc w:val="thaiDistribute"/>
        <w:rPr>
          <w:color w:val="000000" w:themeColor="text1"/>
          <w:sz w:val="24"/>
          <w:szCs w:val="24"/>
        </w:rPr>
      </w:pPr>
      <w:r w:rsidRPr="00792B36">
        <w:rPr>
          <w:color w:val="000000" w:themeColor="text1"/>
          <w:sz w:val="24"/>
          <w:szCs w:val="24"/>
        </w:rPr>
        <w:t>In conclusion, Thailand’s institutional landscape for coastal and marine ecosystem management has evolved toward inclusivity, decentralization, and science-driven planning. To ensure long-term ecological and socio-economic resilience, it is essential to (1) clarify institutional mandates; (2) strengthen inter-agency coordination and local capacity; (3) institutionalize co-management across all ecosystem types; and (4) secure sustainable financing for restoration, blue carbon, and biodiversity conservation. These actions will reinforce Thailand’s leadership in marine governance and contribute directly to achieving national goals for nature-positive and climate-resilient development.</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104"/>
        <w:gridCol w:w="901"/>
        <w:gridCol w:w="901"/>
        <w:gridCol w:w="1202"/>
        <w:gridCol w:w="1049"/>
        <w:gridCol w:w="903"/>
        <w:gridCol w:w="901"/>
        <w:gridCol w:w="1049"/>
      </w:tblGrid>
      <w:tr w:rsidR="00BC399A" w:rsidRPr="00792B36" w14:paraId="2F3691E9" w14:textId="77777777" w:rsidTr="0096560E">
        <w:trPr>
          <w:trHeight w:val="259"/>
          <w:tblHeader/>
          <w:jc w:val="center"/>
        </w:trPr>
        <w:tc>
          <w:tcPr>
            <w:tcW w:w="766" w:type="pct"/>
            <w:noWrap/>
            <w:vAlign w:val="center"/>
            <w:hideMark/>
          </w:tcPr>
          <w:p w14:paraId="666C6044" w14:textId="77777777" w:rsidR="00BC399A" w:rsidRPr="00792B36" w:rsidRDefault="00BC399A" w:rsidP="0096560E">
            <w:pPr>
              <w:spacing w:after="100"/>
              <w:jc w:val="center"/>
              <w:rPr>
                <w:rFonts w:eastAsia="Times New Roman"/>
                <w:b/>
                <w:bCs/>
                <w:sz w:val="24"/>
                <w:szCs w:val="24"/>
              </w:rPr>
            </w:pPr>
            <w:r w:rsidRPr="00792B36">
              <w:rPr>
                <w:rFonts w:eastAsia="Times New Roman"/>
                <w:b/>
                <w:bCs/>
                <w:sz w:val="24"/>
                <w:szCs w:val="24"/>
              </w:rPr>
              <w:t>Name</w:t>
            </w:r>
          </w:p>
        </w:tc>
        <w:tc>
          <w:tcPr>
            <w:tcW w:w="328" w:type="pct"/>
            <w:noWrap/>
            <w:vAlign w:val="center"/>
            <w:hideMark/>
          </w:tcPr>
          <w:p w14:paraId="66B602E4" w14:textId="77777777" w:rsidR="00BC399A" w:rsidRPr="00792B36" w:rsidRDefault="00BC399A" w:rsidP="0096560E">
            <w:pPr>
              <w:spacing w:after="100"/>
              <w:jc w:val="center"/>
              <w:rPr>
                <w:rFonts w:eastAsia="Times New Roman"/>
                <w:b/>
                <w:bCs/>
                <w:sz w:val="24"/>
                <w:szCs w:val="24"/>
              </w:rPr>
            </w:pPr>
            <w:r w:rsidRPr="00792B36">
              <w:rPr>
                <w:rFonts w:eastAsia="Times New Roman"/>
                <w:b/>
                <w:bCs/>
                <w:sz w:val="24"/>
                <w:szCs w:val="24"/>
              </w:rPr>
              <w:t>Estbld year</w:t>
            </w:r>
          </w:p>
        </w:tc>
        <w:tc>
          <w:tcPr>
            <w:tcW w:w="328" w:type="pct"/>
            <w:noWrap/>
            <w:vAlign w:val="center"/>
            <w:hideMark/>
          </w:tcPr>
          <w:p w14:paraId="6F99DE22" w14:textId="77777777" w:rsidR="00BC399A" w:rsidRPr="00792B36" w:rsidRDefault="00BC399A" w:rsidP="0096560E">
            <w:pPr>
              <w:spacing w:after="100"/>
              <w:jc w:val="center"/>
              <w:rPr>
                <w:rFonts w:eastAsia="Times New Roman"/>
                <w:b/>
                <w:bCs/>
                <w:color w:val="000000"/>
                <w:sz w:val="24"/>
                <w:szCs w:val="24"/>
              </w:rPr>
            </w:pPr>
            <w:r w:rsidRPr="00792B36">
              <w:rPr>
                <w:rFonts w:eastAsia="Times New Roman"/>
                <w:b/>
                <w:bCs/>
                <w:color w:val="000000"/>
                <w:sz w:val="24"/>
                <w:szCs w:val="24"/>
              </w:rPr>
              <w:t>Updtd year</w:t>
            </w:r>
          </w:p>
        </w:tc>
        <w:tc>
          <w:tcPr>
            <w:tcW w:w="438" w:type="pct"/>
            <w:noWrap/>
            <w:vAlign w:val="center"/>
            <w:hideMark/>
          </w:tcPr>
          <w:p w14:paraId="7CEBC179" w14:textId="77777777" w:rsidR="00BC399A" w:rsidRPr="00792B36" w:rsidRDefault="00BC399A" w:rsidP="0096560E">
            <w:pPr>
              <w:spacing w:after="100"/>
              <w:jc w:val="center"/>
              <w:rPr>
                <w:rFonts w:eastAsia="Times New Roman"/>
                <w:b/>
                <w:bCs/>
                <w:color w:val="000000"/>
                <w:sz w:val="24"/>
                <w:szCs w:val="24"/>
              </w:rPr>
            </w:pPr>
            <w:r w:rsidRPr="00792B36">
              <w:rPr>
                <w:b/>
                <w:bCs/>
                <w:color w:val="000000"/>
                <w:sz w:val="24"/>
                <w:szCs w:val="24"/>
              </w:rPr>
              <w:t>Total area (ha)</w:t>
            </w:r>
          </w:p>
        </w:tc>
        <w:tc>
          <w:tcPr>
            <w:tcW w:w="382" w:type="pct"/>
            <w:noWrap/>
            <w:vAlign w:val="center"/>
            <w:hideMark/>
          </w:tcPr>
          <w:p w14:paraId="7B6A3A36" w14:textId="77777777" w:rsidR="00BC399A" w:rsidRPr="00792B36" w:rsidRDefault="00BC399A" w:rsidP="0096560E">
            <w:pPr>
              <w:spacing w:after="100"/>
              <w:jc w:val="center"/>
              <w:rPr>
                <w:rFonts w:eastAsia="Times New Roman"/>
                <w:b/>
                <w:bCs/>
                <w:sz w:val="24"/>
                <w:szCs w:val="24"/>
              </w:rPr>
            </w:pPr>
            <w:r w:rsidRPr="00792B36">
              <w:rPr>
                <w:b/>
                <w:bCs/>
                <w:color w:val="000000"/>
                <w:sz w:val="24"/>
                <w:szCs w:val="24"/>
              </w:rPr>
              <w:t>MG area (ha)</w:t>
            </w:r>
          </w:p>
        </w:tc>
        <w:tc>
          <w:tcPr>
            <w:tcW w:w="329" w:type="pct"/>
            <w:noWrap/>
            <w:vAlign w:val="center"/>
            <w:hideMark/>
          </w:tcPr>
          <w:p w14:paraId="3548222E" w14:textId="77777777" w:rsidR="00BC399A" w:rsidRPr="00792B36" w:rsidRDefault="00BC399A" w:rsidP="0096560E">
            <w:pPr>
              <w:spacing w:after="100"/>
              <w:jc w:val="center"/>
              <w:rPr>
                <w:rFonts w:eastAsia="Times New Roman"/>
                <w:b/>
                <w:bCs/>
                <w:sz w:val="24"/>
                <w:szCs w:val="24"/>
              </w:rPr>
            </w:pPr>
            <w:r w:rsidRPr="00792B36">
              <w:rPr>
                <w:b/>
                <w:bCs/>
                <w:color w:val="000000"/>
                <w:sz w:val="24"/>
                <w:szCs w:val="24"/>
              </w:rPr>
              <w:t>WL area (ha)</w:t>
            </w:r>
          </w:p>
        </w:tc>
        <w:tc>
          <w:tcPr>
            <w:tcW w:w="328" w:type="pct"/>
            <w:noWrap/>
            <w:vAlign w:val="center"/>
            <w:hideMark/>
          </w:tcPr>
          <w:p w14:paraId="2B53FC3B" w14:textId="77777777" w:rsidR="00BC399A" w:rsidRPr="00792B36" w:rsidRDefault="00BC399A" w:rsidP="0096560E">
            <w:pPr>
              <w:spacing w:after="100"/>
              <w:jc w:val="center"/>
              <w:rPr>
                <w:rFonts w:eastAsia="Times New Roman"/>
                <w:b/>
                <w:bCs/>
                <w:sz w:val="24"/>
                <w:szCs w:val="24"/>
              </w:rPr>
            </w:pPr>
            <w:r w:rsidRPr="00792B36">
              <w:rPr>
                <w:b/>
                <w:bCs/>
                <w:color w:val="000000"/>
                <w:sz w:val="24"/>
                <w:szCs w:val="24"/>
              </w:rPr>
              <w:t>CR area (ha)</w:t>
            </w:r>
          </w:p>
        </w:tc>
        <w:tc>
          <w:tcPr>
            <w:tcW w:w="382" w:type="pct"/>
            <w:noWrap/>
            <w:vAlign w:val="center"/>
            <w:hideMark/>
          </w:tcPr>
          <w:p w14:paraId="50001BC7" w14:textId="77777777" w:rsidR="00BC399A" w:rsidRPr="00792B36" w:rsidRDefault="00BC399A" w:rsidP="0096560E">
            <w:pPr>
              <w:spacing w:after="100"/>
              <w:jc w:val="center"/>
              <w:rPr>
                <w:rFonts w:eastAsia="Times New Roman"/>
                <w:b/>
                <w:bCs/>
                <w:sz w:val="24"/>
                <w:szCs w:val="24"/>
              </w:rPr>
            </w:pPr>
            <w:r w:rsidRPr="00792B36">
              <w:rPr>
                <w:b/>
                <w:bCs/>
                <w:color w:val="000000"/>
                <w:sz w:val="24"/>
                <w:szCs w:val="24"/>
              </w:rPr>
              <w:t>SG area (ha)</w:t>
            </w:r>
          </w:p>
        </w:tc>
      </w:tr>
      <w:tr w:rsidR="00BC399A" w:rsidRPr="00792B36" w14:paraId="5FCD74CD" w14:textId="77777777" w:rsidTr="0096560E">
        <w:trPr>
          <w:trHeight w:val="259"/>
          <w:jc w:val="center"/>
        </w:trPr>
        <w:tc>
          <w:tcPr>
            <w:tcW w:w="766" w:type="pct"/>
            <w:noWrap/>
            <w:vAlign w:val="center"/>
          </w:tcPr>
          <w:p w14:paraId="5B8871B5" w14:textId="77777777" w:rsidR="00BC399A" w:rsidRPr="00792B36" w:rsidRDefault="00BC399A" w:rsidP="0096560E">
            <w:pPr>
              <w:spacing w:after="100"/>
              <w:rPr>
                <w:rFonts w:eastAsia="Times New Roman"/>
                <w:color w:val="000000"/>
                <w:sz w:val="24"/>
                <w:szCs w:val="24"/>
              </w:rPr>
            </w:pPr>
            <w:r w:rsidRPr="00792B36">
              <w:rPr>
                <w:rStyle w:val="Strong"/>
                <w:rFonts w:eastAsiaTheme="minorEastAsia"/>
                <w:sz w:val="24"/>
                <w:szCs w:val="24"/>
              </w:rPr>
              <w:t>Welu River Estuary</w:t>
            </w:r>
          </w:p>
        </w:tc>
        <w:tc>
          <w:tcPr>
            <w:tcW w:w="328" w:type="pct"/>
            <w:noWrap/>
            <w:vAlign w:val="center"/>
          </w:tcPr>
          <w:p w14:paraId="1C7F1355" w14:textId="77777777" w:rsidR="00BC399A" w:rsidRPr="00792B36" w:rsidRDefault="00BC399A" w:rsidP="0096560E">
            <w:pPr>
              <w:spacing w:after="100"/>
              <w:jc w:val="center"/>
              <w:rPr>
                <w:rFonts w:eastAsia="Times New Roman"/>
                <w:color w:val="000000"/>
                <w:sz w:val="24"/>
                <w:szCs w:val="24"/>
              </w:rPr>
            </w:pPr>
            <w:r w:rsidRPr="00792B36">
              <w:rPr>
                <w:sz w:val="24"/>
                <w:szCs w:val="24"/>
              </w:rPr>
              <w:t>-</w:t>
            </w:r>
          </w:p>
        </w:tc>
        <w:tc>
          <w:tcPr>
            <w:tcW w:w="328" w:type="pct"/>
            <w:noWrap/>
          </w:tcPr>
          <w:p w14:paraId="521570E8" w14:textId="77777777" w:rsidR="00BC399A" w:rsidRPr="00792B36" w:rsidRDefault="00BC399A" w:rsidP="0096560E">
            <w:pPr>
              <w:spacing w:after="100"/>
              <w:jc w:val="center"/>
              <w:rPr>
                <w:rFonts w:eastAsia="Times New Roman"/>
                <w:color w:val="000000"/>
                <w:sz w:val="24"/>
                <w:szCs w:val="24"/>
              </w:rPr>
            </w:pPr>
            <w:r w:rsidRPr="00792B36">
              <w:rPr>
                <w:sz w:val="24"/>
                <w:szCs w:val="24"/>
              </w:rPr>
              <w:t>2024</w:t>
            </w:r>
          </w:p>
        </w:tc>
        <w:tc>
          <w:tcPr>
            <w:tcW w:w="438" w:type="pct"/>
            <w:noWrap/>
            <w:vAlign w:val="center"/>
          </w:tcPr>
          <w:p w14:paraId="1B9943A2" w14:textId="77777777" w:rsidR="00BC399A" w:rsidRPr="00792B36" w:rsidRDefault="00BC399A" w:rsidP="0096560E">
            <w:pPr>
              <w:spacing w:after="100"/>
              <w:jc w:val="center"/>
              <w:rPr>
                <w:rFonts w:eastAsia="Times New Roman"/>
                <w:color w:val="000000"/>
                <w:sz w:val="24"/>
                <w:szCs w:val="24"/>
              </w:rPr>
            </w:pPr>
            <w:r w:rsidRPr="00792B36">
              <w:rPr>
                <w:sz w:val="24"/>
                <w:szCs w:val="24"/>
              </w:rPr>
              <w:t>10,400</w:t>
            </w:r>
          </w:p>
        </w:tc>
        <w:tc>
          <w:tcPr>
            <w:tcW w:w="382" w:type="pct"/>
            <w:noWrap/>
            <w:vAlign w:val="center"/>
          </w:tcPr>
          <w:p w14:paraId="61C45F0A" w14:textId="77777777" w:rsidR="00BC399A" w:rsidRPr="00792B36" w:rsidRDefault="00BC399A" w:rsidP="0096560E">
            <w:pPr>
              <w:spacing w:after="100"/>
              <w:jc w:val="center"/>
              <w:rPr>
                <w:rFonts w:eastAsia="Times New Roman"/>
                <w:color w:val="000000"/>
                <w:sz w:val="24"/>
                <w:szCs w:val="24"/>
              </w:rPr>
            </w:pPr>
            <w:r w:rsidRPr="00792B36">
              <w:rPr>
                <w:sz w:val="24"/>
                <w:szCs w:val="24"/>
              </w:rPr>
              <w:t>7,206</w:t>
            </w:r>
          </w:p>
        </w:tc>
        <w:tc>
          <w:tcPr>
            <w:tcW w:w="329" w:type="pct"/>
            <w:noWrap/>
            <w:vAlign w:val="center"/>
          </w:tcPr>
          <w:p w14:paraId="457EDD85" w14:textId="77777777" w:rsidR="00BC399A" w:rsidRPr="00792B36" w:rsidRDefault="00BC399A" w:rsidP="0096560E">
            <w:pPr>
              <w:spacing w:after="100"/>
              <w:jc w:val="center"/>
              <w:rPr>
                <w:rFonts w:eastAsia="Times New Roman"/>
                <w:color w:val="000000"/>
                <w:sz w:val="24"/>
                <w:szCs w:val="24"/>
              </w:rPr>
            </w:pPr>
            <w:r w:rsidRPr="00792B36">
              <w:rPr>
                <w:sz w:val="24"/>
                <w:szCs w:val="24"/>
              </w:rPr>
              <w:t>–</w:t>
            </w:r>
          </w:p>
        </w:tc>
        <w:tc>
          <w:tcPr>
            <w:tcW w:w="328" w:type="pct"/>
            <w:noWrap/>
            <w:vAlign w:val="center"/>
          </w:tcPr>
          <w:p w14:paraId="2F051DD2" w14:textId="77777777" w:rsidR="00BC399A" w:rsidRPr="00792B36" w:rsidRDefault="00BC399A" w:rsidP="0096560E">
            <w:pPr>
              <w:spacing w:after="100"/>
              <w:jc w:val="center"/>
              <w:rPr>
                <w:rFonts w:eastAsia="Times New Roman"/>
                <w:color w:val="000000"/>
                <w:sz w:val="24"/>
                <w:szCs w:val="24"/>
              </w:rPr>
            </w:pPr>
            <w:r w:rsidRPr="00792B36">
              <w:rPr>
                <w:sz w:val="24"/>
                <w:szCs w:val="24"/>
              </w:rPr>
              <w:t>–</w:t>
            </w:r>
          </w:p>
        </w:tc>
        <w:tc>
          <w:tcPr>
            <w:tcW w:w="382" w:type="pct"/>
            <w:noWrap/>
            <w:vAlign w:val="center"/>
          </w:tcPr>
          <w:p w14:paraId="7255C758" w14:textId="77777777" w:rsidR="00BC399A" w:rsidRPr="00792B36" w:rsidRDefault="00BC399A" w:rsidP="0096560E">
            <w:pPr>
              <w:spacing w:after="100"/>
              <w:jc w:val="center"/>
              <w:rPr>
                <w:rFonts w:eastAsia="Times New Roman"/>
                <w:color w:val="000000"/>
                <w:sz w:val="24"/>
                <w:szCs w:val="24"/>
              </w:rPr>
            </w:pPr>
            <w:r w:rsidRPr="00792B36">
              <w:rPr>
                <w:sz w:val="24"/>
                <w:szCs w:val="24"/>
              </w:rPr>
              <w:t>–</w:t>
            </w:r>
          </w:p>
        </w:tc>
      </w:tr>
      <w:tr w:rsidR="00BC399A" w:rsidRPr="00792B36" w14:paraId="09CB04F5" w14:textId="77777777" w:rsidTr="0096560E">
        <w:trPr>
          <w:trHeight w:val="288"/>
          <w:jc w:val="center"/>
        </w:trPr>
        <w:tc>
          <w:tcPr>
            <w:tcW w:w="766" w:type="pct"/>
            <w:noWrap/>
            <w:vAlign w:val="center"/>
          </w:tcPr>
          <w:p w14:paraId="6806C3A6" w14:textId="77777777" w:rsidR="00BC399A" w:rsidRPr="00792B36" w:rsidRDefault="00BC399A" w:rsidP="0096560E">
            <w:pPr>
              <w:spacing w:after="100"/>
              <w:rPr>
                <w:rFonts w:eastAsia="Times New Roman"/>
                <w:color w:val="000000"/>
                <w:sz w:val="24"/>
                <w:szCs w:val="24"/>
              </w:rPr>
            </w:pPr>
            <w:r w:rsidRPr="00792B36">
              <w:rPr>
                <w:rStyle w:val="Strong"/>
                <w:rFonts w:eastAsiaTheme="minorEastAsia"/>
                <w:sz w:val="24"/>
                <w:szCs w:val="24"/>
              </w:rPr>
              <w:t>Bandon Bay</w:t>
            </w:r>
          </w:p>
        </w:tc>
        <w:tc>
          <w:tcPr>
            <w:tcW w:w="328" w:type="pct"/>
            <w:noWrap/>
            <w:vAlign w:val="center"/>
          </w:tcPr>
          <w:p w14:paraId="668C95B6" w14:textId="77777777" w:rsidR="00BC399A" w:rsidRPr="00792B36" w:rsidRDefault="00BC399A" w:rsidP="0096560E">
            <w:pPr>
              <w:spacing w:after="100"/>
              <w:jc w:val="center"/>
              <w:rPr>
                <w:rFonts w:eastAsia="Times New Roman"/>
                <w:color w:val="000000"/>
                <w:sz w:val="24"/>
                <w:szCs w:val="24"/>
              </w:rPr>
            </w:pPr>
            <w:r w:rsidRPr="00792B36">
              <w:rPr>
                <w:sz w:val="24"/>
                <w:szCs w:val="24"/>
              </w:rPr>
              <w:t>–</w:t>
            </w:r>
          </w:p>
        </w:tc>
        <w:tc>
          <w:tcPr>
            <w:tcW w:w="328" w:type="pct"/>
            <w:noWrap/>
          </w:tcPr>
          <w:p w14:paraId="3A58623A" w14:textId="77777777" w:rsidR="00BC399A" w:rsidRPr="00792B36" w:rsidRDefault="00BC399A" w:rsidP="0096560E">
            <w:pPr>
              <w:spacing w:after="100"/>
              <w:jc w:val="center"/>
              <w:rPr>
                <w:rFonts w:eastAsia="Times New Roman"/>
                <w:color w:val="000000"/>
                <w:sz w:val="24"/>
                <w:szCs w:val="24"/>
              </w:rPr>
            </w:pPr>
            <w:r w:rsidRPr="00792B36">
              <w:rPr>
                <w:sz w:val="24"/>
                <w:szCs w:val="24"/>
              </w:rPr>
              <w:t>2024</w:t>
            </w:r>
          </w:p>
        </w:tc>
        <w:tc>
          <w:tcPr>
            <w:tcW w:w="438" w:type="pct"/>
            <w:noWrap/>
            <w:vAlign w:val="center"/>
          </w:tcPr>
          <w:p w14:paraId="6BBD0F41" w14:textId="77777777" w:rsidR="00BC399A" w:rsidRPr="00792B36" w:rsidRDefault="00BC399A" w:rsidP="0096560E">
            <w:pPr>
              <w:spacing w:after="100"/>
              <w:jc w:val="center"/>
              <w:rPr>
                <w:rFonts w:eastAsia="Times New Roman"/>
                <w:color w:val="000000"/>
                <w:sz w:val="24"/>
                <w:szCs w:val="24"/>
              </w:rPr>
            </w:pPr>
            <w:r w:rsidRPr="00792B36">
              <w:rPr>
                <w:sz w:val="24"/>
                <w:szCs w:val="24"/>
              </w:rPr>
              <w:t>49,459</w:t>
            </w:r>
          </w:p>
        </w:tc>
        <w:tc>
          <w:tcPr>
            <w:tcW w:w="382" w:type="pct"/>
            <w:noWrap/>
            <w:vAlign w:val="center"/>
          </w:tcPr>
          <w:p w14:paraId="4EFF15B1" w14:textId="77777777" w:rsidR="00BC399A" w:rsidRPr="00792B36" w:rsidRDefault="00BC399A" w:rsidP="0096560E">
            <w:pPr>
              <w:spacing w:after="100"/>
              <w:jc w:val="center"/>
              <w:rPr>
                <w:rFonts w:eastAsia="Times New Roman"/>
                <w:color w:val="000000"/>
                <w:sz w:val="24"/>
                <w:szCs w:val="24"/>
              </w:rPr>
            </w:pPr>
            <w:r w:rsidRPr="00792B36">
              <w:rPr>
                <w:sz w:val="24"/>
                <w:szCs w:val="24"/>
              </w:rPr>
              <w:t>25,570</w:t>
            </w:r>
          </w:p>
        </w:tc>
        <w:tc>
          <w:tcPr>
            <w:tcW w:w="329" w:type="pct"/>
            <w:noWrap/>
            <w:vAlign w:val="center"/>
          </w:tcPr>
          <w:p w14:paraId="2AF0027D" w14:textId="77777777" w:rsidR="00BC399A" w:rsidRPr="00792B36" w:rsidRDefault="00BC399A" w:rsidP="0096560E">
            <w:pPr>
              <w:spacing w:after="100"/>
              <w:jc w:val="center"/>
              <w:rPr>
                <w:rFonts w:eastAsia="Times New Roman"/>
                <w:color w:val="000000"/>
                <w:sz w:val="24"/>
                <w:szCs w:val="24"/>
              </w:rPr>
            </w:pPr>
            <w:r w:rsidRPr="00792B36">
              <w:rPr>
                <w:sz w:val="24"/>
                <w:szCs w:val="24"/>
              </w:rPr>
              <w:t>–</w:t>
            </w:r>
          </w:p>
        </w:tc>
        <w:tc>
          <w:tcPr>
            <w:tcW w:w="328" w:type="pct"/>
            <w:noWrap/>
            <w:vAlign w:val="center"/>
          </w:tcPr>
          <w:p w14:paraId="549C516C" w14:textId="77777777" w:rsidR="00BC399A" w:rsidRPr="00792B36" w:rsidRDefault="00BC399A" w:rsidP="0096560E">
            <w:pPr>
              <w:spacing w:after="100"/>
              <w:jc w:val="center"/>
              <w:rPr>
                <w:rFonts w:eastAsia="Times New Roman"/>
                <w:color w:val="000000"/>
                <w:sz w:val="24"/>
                <w:szCs w:val="24"/>
              </w:rPr>
            </w:pPr>
            <w:r w:rsidRPr="00792B36">
              <w:rPr>
                <w:sz w:val="24"/>
                <w:szCs w:val="24"/>
              </w:rPr>
              <w:t>–</w:t>
            </w:r>
          </w:p>
        </w:tc>
        <w:tc>
          <w:tcPr>
            <w:tcW w:w="382" w:type="pct"/>
            <w:noWrap/>
            <w:vAlign w:val="center"/>
          </w:tcPr>
          <w:p w14:paraId="0BEC782D" w14:textId="77777777" w:rsidR="00BC399A" w:rsidRPr="00792B36" w:rsidRDefault="00BC399A" w:rsidP="0096560E">
            <w:pPr>
              <w:spacing w:after="100"/>
              <w:jc w:val="center"/>
              <w:rPr>
                <w:rFonts w:eastAsia="Times New Roman"/>
                <w:color w:val="000000"/>
                <w:sz w:val="24"/>
                <w:szCs w:val="24"/>
              </w:rPr>
            </w:pPr>
            <w:r w:rsidRPr="00792B36">
              <w:rPr>
                <w:sz w:val="24"/>
                <w:szCs w:val="24"/>
              </w:rPr>
              <w:t>–</w:t>
            </w:r>
          </w:p>
        </w:tc>
      </w:tr>
      <w:tr w:rsidR="00BC399A" w:rsidRPr="00792B36" w14:paraId="2E997DCE" w14:textId="77777777" w:rsidTr="0096560E">
        <w:trPr>
          <w:trHeight w:val="259"/>
          <w:jc w:val="center"/>
        </w:trPr>
        <w:tc>
          <w:tcPr>
            <w:tcW w:w="766" w:type="pct"/>
            <w:noWrap/>
            <w:vAlign w:val="center"/>
          </w:tcPr>
          <w:p w14:paraId="4C89DDBB" w14:textId="77777777" w:rsidR="00BC399A" w:rsidRPr="00792B36" w:rsidRDefault="00BC399A" w:rsidP="0096560E">
            <w:pPr>
              <w:spacing w:after="100"/>
              <w:rPr>
                <w:rFonts w:eastAsia="Times New Roman"/>
                <w:color w:val="000000"/>
                <w:sz w:val="24"/>
                <w:szCs w:val="24"/>
              </w:rPr>
            </w:pPr>
            <w:r w:rsidRPr="00792B36">
              <w:rPr>
                <w:rStyle w:val="Strong"/>
                <w:rFonts w:eastAsiaTheme="minorEastAsia"/>
                <w:sz w:val="24"/>
                <w:szCs w:val="24"/>
              </w:rPr>
              <w:t>Pak Panang Bay</w:t>
            </w:r>
          </w:p>
        </w:tc>
        <w:tc>
          <w:tcPr>
            <w:tcW w:w="328" w:type="pct"/>
            <w:noWrap/>
            <w:vAlign w:val="center"/>
          </w:tcPr>
          <w:p w14:paraId="600C27A6" w14:textId="77777777" w:rsidR="00BC399A" w:rsidRPr="00792B36" w:rsidRDefault="00BC399A" w:rsidP="0096560E">
            <w:pPr>
              <w:spacing w:after="100"/>
              <w:jc w:val="center"/>
              <w:rPr>
                <w:rFonts w:eastAsia="Times New Roman"/>
                <w:sz w:val="24"/>
                <w:szCs w:val="24"/>
              </w:rPr>
            </w:pPr>
            <w:r w:rsidRPr="00792B36">
              <w:rPr>
                <w:sz w:val="24"/>
                <w:szCs w:val="24"/>
              </w:rPr>
              <w:t>–</w:t>
            </w:r>
          </w:p>
        </w:tc>
        <w:tc>
          <w:tcPr>
            <w:tcW w:w="328" w:type="pct"/>
            <w:noWrap/>
          </w:tcPr>
          <w:p w14:paraId="4D59E78A" w14:textId="77777777" w:rsidR="00BC399A" w:rsidRPr="00792B36" w:rsidRDefault="00BC399A" w:rsidP="0096560E">
            <w:pPr>
              <w:spacing w:after="100"/>
              <w:jc w:val="center"/>
              <w:rPr>
                <w:rFonts w:eastAsia="Times New Roman"/>
                <w:color w:val="000000"/>
                <w:sz w:val="24"/>
                <w:szCs w:val="24"/>
              </w:rPr>
            </w:pPr>
            <w:r w:rsidRPr="00792B36">
              <w:rPr>
                <w:sz w:val="24"/>
                <w:szCs w:val="24"/>
              </w:rPr>
              <w:t>2024</w:t>
            </w:r>
          </w:p>
        </w:tc>
        <w:tc>
          <w:tcPr>
            <w:tcW w:w="438" w:type="pct"/>
            <w:noWrap/>
            <w:vAlign w:val="center"/>
          </w:tcPr>
          <w:p w14:paraId="0D1489FA" w14:textId="77777777" w:rsidR="00BC399A" w:rsidRPr="00792B36" w:rsidRDefault="00BC399A" w:rsidP="0096560E">
            <w:pPr>
              <w:spacing w:after="100"/>
              <w:jc w:val="center"/>
              <w:rPr>
                <w:rFonts w:eastAsia="Times New Roman"/>
                <w:color w:val="000000"/>
                <w:sz w:val="24"/>
                <w:szCs w:val="24"/>
              </w:rPr>
            </w:pPr>
            <w:r w:rsidRPr="00792B36">
              <w:rPr>
                <w:sz w:val="24"/>
                <w:szCs w:val="24"/>
              </w:rPr>
              <w:t>13,597</w:t>
            </w:r>
          </w:p>
        </w:tc>
        <w:tc>
          <w:tcPr>
            <w:tcW w:w="382" w:type="pct"/>
            <w:noWrap/>
            <w:vAlign w:val="center"/>
          </w:tcPr>
          <w:p w14:paraId="67FE046C" w14:textId="77777777" w:rsidR="00BC399A" w:rsidRPr="00792B36" w:rsidRDefault="00BC399A" w:rsidP="0096560E">
            <w:pPr>
              <w:spacing w:after="100"/>
              <w:jc w:val="center"/>
              <w:rPr>
                <w:rFonts w:eastAsia="Times New Roman"/>
                <w:color w:val="000000"/>
                <w:sz w:val="24"/>
                <w:szCs w:val="24"/>
              </w:rPr>
            </w:pPr>
            <w:r w:rsidRPr="00792B36">
              <w:rPr>
                <w:sz w:val="24"/>
                <w:szCs w:val="24"/>
              </w:rPr>
              <w:t>9,000</w:t>
            </w:r>
          </w:p>
        </w:tc>
        <w:tc>
          <w:tcPr>
            <w:tcW w:w="329" w:type="pct"/>
            <w:noWrap/>
            <w:vAlign w:val="center"/>
          </w:tcPr>
          <w:p w14:paraId="16FCA3D0" w14:textId="77777777" w:rsidR="00BC399A" w:rsidRPr="00792B36" w:rsidRDefault="00BC399A" w:rsidP="0096560E">
            <w:pPr>
              <w:spacing w:after="100"/>
              <w:jc w:val="center"/>
              <w:rPr>
                <w:rFonts w:eastAsia="Times New Roman"/>
                <w:color w:val="000000"/>
                <w:sz w:val="24"/>
                <w:szCs w:val="24"/>
              </w:rPr>
            </w:pPr>
            <w:r w:rsidRPr="00792B36">
              <w:rPr>
                <w:sz w:val="24"/>
                <w:szCs w:val="24"/>
              </w:rPr>
              <w:t>111</w:t>
            </w:r>
          </w:p>
        </w:tc>
        <w:tc>
          <w:tcPr>
            <w:tcW w:w="328" w:type="pct"/>
            <w:noWrap/>
            <w:vAlign w:val="center"/>
          </w:tcPr>
          <w:p w14:paraId="752530B6" w14:textId="77777777" w:rsidR="00BC399A" w:rsidRPr="00792B36" w:rsidRDefault="00BC399A" w:rsidP="0096560E">
            <w:pPr>
              <w:spacing w:after="100"/>
              <w:jc w:val="center"/>
              <w:rPr>
                <w:rFonts w:eastAsia="Times New Roman"/>
                <w:color w:val="000000"/>
                <w:sz w:val="24"/>
                <w:szCs w:val="24"/>
              </w:rPr>
            </w:pPr>
            <w:r w:rsidRPr="00792B36">
              <w:rPr>
                <w:sz w:val="24"/>
                <w:szCs w:val="24"/>
              </w:rPr>
              <w:t>–</w:t>
            </w:r>
          </w:p>
        </w:tc>
        <w:tc>
          <w:tcPr>
            <w:tcW w:w="382" w:type="pct"/>
            <w:noWrap/>
            <w:vAlign w:val="center"/>
          </w:tcPr>
          <w:p w14:paraId="2ECAA144" w14:textId="77777777" w:rsidR="00BC399A" w:rsidRPr="00792B36" w:rsidRDefault="00BC399A" w:rsidP="0096560E">
            <w:pPr>
              <w:spacing w:after="100"/>
              <w:jc w:val="center"/>
              <w:rPr>
                <w:rFonts w:eastAsia="Times New Roman"/>
                <w:color w:val="000000"/>
                <w:sz w:val="24"/>
                <w:szCs w:val="24"/>
              </w:rPr>
            </w:pPr>
            <w:r w:rsidRPr="00792B36">
              <w:rPr>
                <w:sz w:val="24"/>
                <w:szCs w:val="24"/>
              </w:rPr>
              <w:t>–</w:t>
            </w:r>
          </w:p>
        </w:tc>
      </w:tr>
      <w:tr w:rsidR="00BC399A" w:rsidRPr="00792B36" w14:paraId="502B35D1" w14:textId="77777777" w:rsidTr="0096560E">
        <w:trPr>
          <w:trHeight w:val="259"/>
          <w:jc w:val="center"/>
        </w:trPr>
        <w:tc>
          <w:tcPr>
            <w:tcW w:w="766" w:type="pct"/>
            <w:noWrap/>
            <w:vAlign w:val="center"/>
          </w:tcPr>
          <w:p w14:paraId="517C01FB" w14:textId="77777777" w:rsidR="00BC399A" w:rsidRPr="00792B36" w:rsidRDefault="00BC399A" w:rsidP="0096560E">
            <w:pPr>
              <w:spacing w:after="100"/>
              <w:rPr>
                <w:rFonts w:eastAsia="Times New Roman"/>
                <w:color w:val="000000"/>
                <w:sz w:val="24"/>
                <w:szCs w:val="24"/>
              </w:rPr>
            </w:pPr>
            <w:r w:rsidRPr="00792B36">
              <w:rPr>
                <w:rStyle w:val="Strong"/>
                <w:rFonts w:eastAsiaTheme="minorEastAsia"/>
                <w:sz w:val="24"/>
                <w:szCs w:val="24"/>
              </w:rPr>
              <w:t>Samut Prakan Province</w:t>
            </w:r>
          </w:p>
        </w:tc>
        <w:tc>
          <w:tcPr>
            <w:tcW w:w="328" w:type="pct"/>
            <w:noWrap/>
            <w:vAlign w:val="center"/>
          </w:tcPr>
          <w:p w14:paraId="1D64D23A" w14:textId="77777777" w:rsidR="00BC399A" w:rsidRPr="00792B36" w:rsidRDefault="00BC399A" w:rsidP="0096560E">
            <w:pPr>
              <w:spacing w:after="100"/>
              <w:jc w:val="center"/>
              <w:rPr>
                <w:rFonts w:eastAsia="Times New Roman"/>
                <w:sz w:val="24"/>
                <w:szCs w:val="24"/>
              </w:rPr>
            </w:pPr>
            <w:r w:rsidRPr="00792B36">
              <w:rPr>
                <w:sz w:val="24"/>
                <w:szCs w:val="24"/>
              </w:rPr>
              <w:t>–</w:t>
            </w:r>
          </w:p>
        </w:tc>
        <w:tc>
          <w:tcPr>
            <w:tcW w:w="328" w:type="pct"/>
            <w:noWrap/>
          </w:tcPr>
          <w:p w14:paraId="3FE1BEF5" w14:textId="77777777" w:rsidR="00BC399A" w:rsidRPr="00792B36" w:rsidRDefault="00BC399A" w:rsidP="0096560E">
            <w:pPr>
              <w:spacing w:after="100"/>
              <w:jc w:val="center"/>
              <w:rPr>
                <w:rFonts w:eastAsia="Times New Roman"/>
                <w:color w:val="000000"/>
                <w:sz w:val="24"/>
                <w:szCs w:val="24"/>
              </w:rPr>
            </w:pPr>
            <w:r w:rsidRPr="00792B36">
              <w:rPr>
                <w:sz w:val="24"/>
                <w:szCs w:val="24"/>
              </w:rPr>
              <w:t>2024</w:t>
            </w:r>
          </w:p>
        </w:tc>
        <w:tc>
          <w:tcPr>
            <w:tcW w:w="438" w:type="pct"/>
            <w:noWrap/>
            <w:vAlign w:val="center"/>
          </w:tcPr>
          <w:p w14:paraId="52678635" w14:textId="77777777" w:rsidR="00BC399A" w:rsidRPr="00792B36" w:rsidRDefault="00BC399A" w:rsidP="0096560E">
            <w:pPr>
              <w:spacing w:after="100"/>
              <w:jc w:val="center"/>
              <w:rPr>
                <w:rFonts w:eastAsia="Times New Roman"/>
                <w:color w:val="000000"/>
                <w:sz w:val="24"/>
                <w:szCs w:val="24"/>
              </w:rPr>
            </w:pPr>
            <w:r w:rsidRPr="00792B36">
              <w:rPr>
                <w:sz w:val="24"/>
                <w:szCs w:val="24"/>
              </w:rPr>
              <w:t>100,412</w:t>
            </w:r>
          </w:p>
        </w:tc>
        <w:tc>
          <w:tcPr>
            <w:tcW w:w="382" w:type="pct"/>
            <w:noWrap/>
            <w:vAlign w:val="center"/>
          </w:tcPr>
          <w:p w14:paraId="68948AD9" w14:textId="77777777" w:rsidR="00BC399A" w:rsidRPr="00792B36" w:rsidRDefault="00BC399A" w:rsidP="0096560E">
            <w:pPr>
              <w:spacing w:after="100"/>
              <w:jc w:val="center"/>
              <w:rPr>
                <w:rFonts w:eastAsia="Times New Roman"/>
                <w:color w:val="000000"/>
                <w:sz w:val="24"/>
                <w:szCs w:val="24"/>
              </w:rPr>
            </w:pPr>
            <w:r w:rsidRPr="00792B36">
              <w:rPr>
                <w:sz w:val="24"/>
                <w:szCs w:val="24"/>
              </w:rPr>
              <w:t>3,374</w:t>
            </w:r>
          </w:p>
        </w:tc>
        <w:tc>
          <w:tcPr>
            <w:tcW w:w="329" w:type="pct"/>
            <w:noWrap/>
            <w:vAlign w:val="center"/>
          </w:tcPr>
          <w:p w14:paraId="259FA0BE" w14:textId="77777777" w:rsidR="00BC399A" w:rsidRPr="00792B36" w:rsidRDefault="00BC399A" w:rsidP="0096560E">
            <w:pPr>
              <w:spacing w:after="100"/>
              <w:jc w:val="center"/>
              <w:rPr>
                <w:rFonts w:eastAsia="Times New Roman"/>
                <w:color w:val="000000"/>
                <w:sz w:val="24"/>
                <w:szCs w:val="24"/>
              </w:rPr>
            </w:pPr>
            <w:r w:rsidRPr="00792B36">
              <w:rPr>
                <w:sz w:val="24"/>
                <w:szCs w:val="24"/>
              </w:rPr>
              <w:t>–</w:t>
            </w:r>
          </w:p>
        </w:tc>
        <w:tc>
          <w:tcPr>
            <w:tcW w:w="328" w:type="pct"/>
            <w:noWrap/>
            <w:vAlign w:val="center"/>
          </w:tcPr>
          <w:p w14:paraId="77E660CD" w14:textId="77777777" w:rsidR="00BC399A" w:rsidRPr="00792B36" w:rsidRDefault="00BC399A" w:rsidP="0096560E">
            <w:pPr>
              <w:spacing w:after="100"/>
              <w:jc w:val="center"/>
              <w:rPr>
                <w:rFonts w:eastAsia="Times New Roman"/>
                <w:color w:val="000000"/>
                <w:sz w:val="24"/>
                <w:szCs w:val="24"/>
              </w:rPr>
            </w:pPr>
            <w:r w:rsidRPr="00792B36">
              <w:rPr>
                <w:sz w:val="24"/>
                <w:szCs w:val="24"/>
              </w:rPr>
              <w:t>–</w:t>
            </w:r>
          </w:p>
        </w:tc>
        <w:tc>
          <w:tcPr>
            <w:tcW w:w="382" w:type="pct"/>
            <w:noWrap/>
            <w:vAlign w:val="center"/>
          </w:tcPr>
          <w:p w14:paraId="5C1C9920" w14:textId="77777777" w:rsidR="00BC399A" w:rsidRPr="00792B36" w:rsidRDefault="00BC399A" w:rsidP="0096560E">
            <w:pPr>
              <w:spacing w:after="100"/>
              <w:jc w:val="center"/>
              <w:rPr>
                <w:rFonts w:eastAsia="Times New Roman"/>
                <w:color w:val="000000"/>
                <w:sz w:val="24"/>
                <w:szCs w:val="24"/>
              </w:rPr>
            </w:pPr>
            <w:r w:rsidRPr="00792B36">
              <w:rPr>
                <w:sz w:val="24"/>
                <w:szCs w:val="24"/>
              </w:rPr>
              <w:t>–</w:t>
            </w:r>
          </w:p>
        </w:tc>
      </w:tr>
      <w:tr w:rsidR="00BC399A" w:rsidRPr="00792B36" w14:paraId="2A12034F" w14:textId="77777777" w:rsidTr="0096560E">
        <w:trPr>
          <w:trHeight w:val="259"/>
          <w:jc w:val="center"/>
        </w:trPr>
        <w:tc>
          <w:tcPr>
            <w:tcW w:w="766" w:type="pct"/>
            <w:noWrap/>
            <w:vAlign w:val="center"/>
          </w:tcPr>
          <w:p w14:paraId="24BC80EC" w14:textId="77777777" w:rsidR="00BC399A" w:rsidRPr="00792B36" w:rsidRDefault="00BC399A" w:rsidP="0096560E">
            <w:pPr>
              <w:spacing w:after="100"/>
              <w:rPr>
                <w:rFonts w:eastAsia="Times New Roman"/>
                <w:color w:val="000000"/>
                <w:sz w:val="24"/>
                <w:szCs w:val="24"/>
              </w:rPr>
            </w:pPr>
            <w:r w:rsidRPr="00792B36">
              <w:rPr>
                <w:rStyle w:val="Strong"/>
                <w:rFonts w:eastAsiaTheme="minorEastAsia"/>
                <w:sz w:val="24"/>
                <w:szCs w:val="24"/>
              </w:rPr>
              <w:t>Don Hoi Lot</w:t>
            </w:r>
          </w:p>
        </w:tc>
        <w:tc>
          <w:tcPr>
            <w:tcW w:w="328" w:type="pct"/>
            <w:noWrap/>
            <w:vAlign w:val="center"/>
          </w:tcPr>
          <w:p w14:paraId="6EAAAA15" w14:textId="77777777" w:rsidR="00BC399A" w:rsidRPr="00792B36" w:rsidRDefault="00BC399A" w:rsidP="0096560E">
            <w:pPr>
              <w:spacing w:after="100"/>
              <w:jc w:val="center"/>
              <w:rPr>
                <w:rFonts w:eastAsia="Times New Roman"/>
                <w:sz w:val="24"/>
                <w:szCs w:val="24"/>
              </w:rPr>
            </w:pPr>
            <w:r w:rsidRPr="00792B36">
              <w:rPr>
                <w:sz w:val="24"/>
                <w:szCs w:val="24"/>
              </w:rPr>
              <w:t>-</w:t>
            </w:r>
          </w:p>
        </w:tc>
        <w:tc>
          <w:tcPr>
            <w:tcW w:w="328" w:type="pct"/>
            <w:noWrap/>
          </w:tcPr>
          <w:p w14:paraId="244BEB5B" w14:textId="77777777" w:rsidR="00BC399A" w:rsidRPr="00792B36" w:rsidRDefault="00BC399A" w:rsidP="0096560E">
            <w:pPr>
              <w:spacing w:after="100"/>
              <w:jc w:val="center"/>
              <w:rPr>
                <w:rFonts w:eastAsia="Times New Roman"/>
                <w:color w:val="000000"/>
                <w:sz w:val="24"/>
                <w:szCs w:val="24"/>
              </w:rPr>
            </w:pPr>
            <w:r w:rsidRPr="00792B36">
              <w:rPr>
                <w:sz w:val="24"/>
                <w:szCs w:val="24"/>
              </w:rPr>
              <w:t>2024</w:t>
            </w:r>
          </w:p>
        </w:tc>
        <w:tc>
          <w:tcPr>
            <w:tcW w:w="438" w:type="pct"/>
            <w:noWrap/>
            <w:vAlign w:val="center"/>
          </w:tcPr>
          <w:p w14:paraId="0F90C1FA" w14:textId="77777777" w:rsidR="00BC399A" w:rsidRPr="00792B36" w:rsidRDefault="00BC399A" w:rsidP="0096560E">
            <w:pPr>
              <w:spacing w:after="100"/>
              <w:jc w:val="center"/>
              <w:rPr>
                <w:rFonts w:eastAsia="Times New Roman"/>
                <w:color w:val="000000"/>
                <w:sz w:val="24"/>
                <w:szCs w:val="24"/>
              </w:rPr>
            </w:pPr>
            <w:r w:rsidRPr="00792B36">
              <w:rPr>
                <w:sz w:val="24"/>
                <w:szCs w:val="24"/>
              </w:rPr>
              <w:t>87,500</w:t>
            </w:r>
          </w:p>
        </w:tc>
        <w:tc>
          <w:tcPr>
            <w:tcW w:w="382" w:type="pct"/>
            <w:noWrap/>
            <w:vAlign w:val="center"/>
          </w:tcPr>
          <w:p w14:paraId="3F6E44F9" w14:textId="77777777" w:rsidR="00BC399A" w:rsidRPr="00792B36" w:rsidRDefault="00BC399A" w:rsidP="0096560E">
            <w:pPr>
              <w:spacing w:after="100"/>
              <w:jc w:val="center"/>
              <w:rPr>
                <w:rFonts w:eastAsia="Times New Roman"/>
                <w:color w:val="000000"/>
                <w:sz w:val="24"/>
                <w:szCs w:val="24"/>
              </w:rPr>
            </w:pPr>
            <w:r w:rsidRPr="00792B36">
              <w:rPr>
                <w:sz w:val="24"/>
                <w:szCs w:val="24"/>
              </w:rPr>
              <w:t>2,919</w:t>
            </w:r>
          </w:p>
        </w:tc>
        <w:tc>
          <w:tcPr>
            <w:tcW w:w="329" w:type="pct"/>
            <w:noWrap/>
            <w:vAlign w:val="center"/>
          </w:tcPr>
          <w:p w14:paraId="0458E44B" w14:textId="77777777" w:rsidR="00BC399A" w:rsidRPr="00792B36" w:rsidRDefault="00BC399A" w:rsidP="0096560E">
            <w:pPr>
              <w:spacing w:after="100"/>
              <w:jc w:val="center"/>
              <w:rPr>
                <w:rFonts w:eastAsia="Times New Roman"/>
                <w:color w:val="000000"/>
                <w:sz w:val="24"/>
                <w:szCs w:val="24"/>
              </w:rPr>
            </w:pPr>
            <w:r w:rsidRPr="00792B36">
              <w:rPr>
                <w:sz w:val="24"/>
                <w:szCs w:val="24"/>
              </w:rPr>
              <w:t>24,090</w:t>
            </w:r>
          </w:p>
        </w:tc>
        <w:tc>
          <w:tcPr>
            <w:tcW w:w="328" w:type="pct"/>
            <w:noWrap/>
            <w:vAlign w:val="center"/>
          </w:tcPr>
          <w:p w14:paraId="613AD0EF" w14:textId="77777777" w:rsidR="00BC399A" w:rsidRPr="00792B36" w:rsidRDefault="00BC399A" w:rsidP="0096560E">
            <w:pPr>
              <w:spacing w:after="100"/>
              <w:jc w:val="center"/>
              <w:rPr>
                <w:rFonts w:eastAsia="Times New Roman"/>
                <w:color w:val="000000"/>
                <w:sz w:val="24"/>
                <w:szCs w:val="24"/>
              </w:rPr>
            </w:pPr>
            <w:r w:rsidRPr="00792B36">
              <w:rPr>
                <w:sz w:val="24"/>
                <w:szCs w:val="24"/>
              </w:rPr>
              <w:t>–</w:t>
            </w:r>
          </w:p>
        </w:tc>
        <w:tc>
          <w:tcPr>
            <w:tcW w:w="382" w:type="pct"/>
            <w:noWrap/>
            <w:vAlign w:val="center"/>
          </w:tcPr>
          <w:p w14:paraId="286E49CD" w14:textId="77777777" w:rsidR="00BC399A" w:rsidRPr="00792B36" w:rsidRDefault="00BC399A" w:rsidP="0096560E">
            <w:pPr>
              <w:spacing w:after="100"/>
              <w:jc w:val="center"/>
              <w:rPr>
                <w:rFonts w:eastAsia="Times New Roman"/>
                <w:color w:val="000000"/>
                <w:sz w:val="24"/>
                <w:szCs w:val="24"/>
              </w:rPr>
            </w:pPr>
            <w:r w:rsidRPr="00792B36">
              <w:rPr>
                <w:sz w:val="24"/>
                <w:szCs w:val="24"/>
              </w:rPr>
              <w:t>–</w:t>
            </w:r>
          </w:p>
        </w:tc>
      </w:tr>
      <w:tr w:rsidR="00BC399A" w:rsidRPr="00792B36" w14:paraId="5CFFD3AC" w14:textId="77777777" w:rsidTr="0096560E">
        <w:trPr>
          <w:trHeight w:val="259"/>
          <w:jc w:val="center"/>
        </w:trPr>
        <w:tc>
          <w:tcPr>
            <w:tcW w:w="766" w:type="pct"/>
            <w:noWrap/>
            <w:vAlign w:val="center"/>
          </w:tcPr>
          <w:p w14:paraId="1015AC45" w14:textId="77777777" w:rsidR="00BC399A" w:rsidRPr="00792B36" w:rsidRDefault="00BC399A" w:rsidP="0096560E">
            <w:pPr>
              <w:spacing w:after="100"/>
              <w:rPr>
                <w:rFonts w:eastAsia="Times New Roman"/>
                <w:color w:val="000000"/>
                <w:sz w:val="24"/>
                <w:szCs w:val="24"/>
              </w:rPr>
            </w:pPr>
            <w:r w:rsidRPr="00792B36">
              <w:rPr>
                <w:rStyle w:val="Strong"/>
                <w:rFonts w:eastAsiaTheme="minorEastAsia"/>
                <w:sz w:val="24"/>
                <w:szCs w:val="24"/>
              </w:rPr>
              <w:lastRenderedPageBreak/>
              <w:t>Koh Si Chang</w:t>
            </w:r>
            <w:r w:rsidRPr="00792B36">
              <w:rPr>
                <w:b/>
                <w:bCs/>
                <w:sz w:val="24"/>
                <w:szCs w:val="24"/>
              </w:rPr>
              <w:t xml:space="preserve"> </w:t>
            </w:r>
          </w:p>
        </w:tc>
        <w:tc>
          <w:tcPr>
            <w:tcW w:w="328" w:type="pct"/>
            <w:noWrap/>
            <w:vAlign w:val="center"/>
          </w:tcPr>
          <w:p w14:paraId="2A7E79E2" w14:textId="77777777" w:rsidR="00BC399A" w:rsidRPr="00792B36" w:rsidRDefault="00BC399A" w:rsidP="0096560E">
            <w:pPr>
              <w:spacing w:after="100"/>
              <w:jc w:val="center"/>
              <w:rPr>
                <w:rFonts w:eastAsia="Times New Roman"/>
                <w:sz w:val="24"/>
                <w:szCs w:val="24"/>
              </w:rPr>
            </w:pPr>
            <w:r w:rsidRPr="00792B36">
              <w:rPr>
                <w:rFonts w:eastAsia="Times New Roman"/>
                <w:sz w:val="24"/>
                <w:szCs w:val="24"/>
              </w:rPr>
              <w:t>-</w:t>
            </w:r>
          </w:p>
        </w:tc>
        <w:tc>
          <w:tcPr>
            <w:tcW w:w="328" w:type="pct"/>
            <w:noWrap/>
          </w:tcPr>
          <w:p w14:paraId="51168A06" w14:textId="77777777" w:rsidR="00BC399A" w:rsidRPr="00792B36" w:rsidRDefault="00BC399A" w:rsidP="0096560E">
            <w:pPr>
              <w:spacing w:after="100"/>
              <w:jc w:val="center"/>
              <w:rPr>
                <w:rFonts w:eastAsia="Times New Roman"/>
                <w:color w:val="000000"/>
                <w:sz w:val="24"/>
                <w:szCs w:val="24"/>
              </w:rPr>
            </w:pPr>
            <w:r w:rsidRPr="00792B36">
              <w:rPr>
                <w:sz w:val="24"/>
                <w:szCs w:val="24"/>
              </w:rPr>
              <w:t>2024</w:t>
            </w:r>
          </w:p>
        </w:tc>
        <w:tc>
          <w:tcPr>
            <w:tcW w:w="438" w:type="pct"/>
            <w:noWrap/>
            <w:vAlign w:val="center"/>
          </w:tcPr>
          <w:p w14:paraId="68B9E77C" w14:textId="77777777" w:rsidR="00BC399A" w:rsidRPr="00792B36" w:rsidRDefault="00BC399A" w:rsidP="0096560E">
            <w:pPr>
              <w:spacing w:after="100"/>
              <w:jc w:val="center"/>
              <w:rPr>
                <w:rFonts w:eastAsia="Times New Roman"/>
                <w:color w:val="000000"/>
                <w:sz w:val="24"/>
                <w:szCs w:val="24"/>
              </w:rPr>
            </w:pPr>
            <w:r w:rsidRPr="00792B36">
              <w:rPr>
                <w:rFonts w:eastAsia="Times New Roman"/>
                <w:color w:val="000000"/>
                <w:sz w:val="24"/>
                <w:szCs w:val="24"/>
              </w:rPr>
              <w:t>--</w:t>
            </w:r>
          </w:p>
        </w:tc>
        <w:tc>
          <w:tcPr>
            <w:tcW w:w="382" w:type="pct"/>
            <w:noWrap/>
            <w:vAlign w:val="center"/>
          </w:tcPr>
          <w:p w14:paraId="3EF2820C" w14:textId="77777777" w:rsidR="00BC399A" w:rsidRPr="00792B36" w:rsidRDefault="00BC399A" w:rsidP="0096560E">
            <w:pPr>
              <w:spacing w:after="100"/>
              <w:jc w:val="center"/>
              <w:rPr>
                <w:rFonts w:eastAsia="Times New Roman"/>
                <w:color w:val="000000"/>
                <w:sz w:val="24"/>
                <w:szCs w:val="24"/>
              </w:rPr>
            </w:pPr>
            <w:r w:rsidRPr="00792B36">
              <w:rPr>
                <w:rFonts w:eastAsia="Times New Roman"/>
                <w:color w:val="000000"/>
                <w:sz w:val="24"/>
                <w:szCs w:val="24"/>
              </w:rPr>
              <w:t>-</w:t>
            </w:r>
          </w:p>
        </w:tc>
        <w:tc>
          <w:tcPr>
            <w:tcW w:w="329" w:type="pct"/>
            <w:noWrap/>
            <w:vAlign w:val="center"/>
          </w:tcPr>
          <w:p w14:paraId="7873E5D1" w14:textId="77777777" w:rsidR="00BC399A" w:rsidRPr="00792B36" w:rsidRDefault="00BC399A" w:rsidP="0096560E">
            <w:pPr>
              <w:spacing w:after="100"/>
              <w:jc w:val="center"/>
              <w:rPr>
                <w:rFonts w:eastAsia="Times New Roman"/>
                <w:color w:val="000000"/>
                <w:sz w:val="24"/>
                <w:szCs w:val="24"/>
              </w:rPr>
            </w:pPr>
            <w:r w:rsidRPr="00792B36">
              <w:rPr>
                <w:rFonts w:eastAsia="Times New Roman"/>
                <w:color w:val="000000"/>
                <w:sz w:val="24"/>
                <w:szCs w:val="24"/>
              </w:rPr>
              <w:t>-</w:t>
            </w:r>
          </w:p>
        </w:tc>
        <w:tc>
          <w:tcPr>
            <w:tcW w:w="328" w:type="pct"/>
            <w:noWrap/>
            <w:vAlign w:val="center"/>
          </w:tcPr>
          <w:p w14:paraId="11446C81" w14:textId="77777777" w:rsidR="00BC399A" w:rsidRPr="00792B36" w:rsidRDefault="00BC399A" w:rsidP="0096560E">
            <w:pPr>
              <w:spacing w:after="100"/>
              <w:jc w:val="center"/>
              <w:rPr>
                <w:rFonts w:eastAsia="Times New Roman"/>
                <w:color w:val="000000"/>
                <w:sz w:val="24"/>
                <w:szCs w:val="24"/>
              </w:rPr>
            </w:pPr>
            <w:r w:rsidRPr="00792B36">
              <w:rPr>
                <w:sz w:val="24"/>
                <w:szCs w:val="24"/>
              </w:rPr>
              <w:t>35</w:t>
            </w:r>
          </w:p>
        </w:tc>
        <w:tc>
          <w:tcPr>
            <w:tcW w:w="382" w:type="pct"/>
            <w:noWrap/>
            <w:vAlign w:val="center"/>
          </w:tcPr>
          <w:p w14:paraId="090341CC" w14:textId="77777777" w:rsidR="00BC399A" w:rsidRPr="00792B36" w:rsidRDefault="00BC399A" w:rsidP="0096560E">
            <w:pPr>
              <w:spacing w:after="100"/>
              <w:jc w:val="center"/>
              <w:rPr>
                <w:rFonts w:eastAsia="Times New Roman"/>
                <w:color w:val="000000"/>
                <w:sz w:val="24"/>
                <w:szCs w:val="24"/>
              </w:rPr>
            </w:pPr>
            <w:r w:rsidRPr="00792B36">
              <w:rPr>
                <w:rFonts w:eastAsia="Times New Roman"/>
                <w:color w:val="000000"/>
                <w:sz w:val="24"/>
                <w:szCs w:val="24"/>
              </w:rPr>
              <w:t>-</w:t>
            </w:r>
          </w:p>
        </w:tc>
      </w:tr>
      <w:tr w:rsidR="00BC399A" w:rsidRPr="00792B36" w14:paraId="38AF1550" w14:textId="77777777" w:rsidTr="0096560E">
        <w:trPr>
          <w:trHeight w:val="259"/>
          <w:jc w:val="center"/>
        </w:trPr>
        <w:tc>
          <w:tcPr>
            <w:tcW w:w="766" w:type="pct"/>
            <w:noWrap/>
            <w:vAlign w:val="center"/>
          </w:tcPr>
          <w:p w14:paraId="5D685FE6" w14:textId="77777777" w:rsidR="00BC399A" w:rsidRPr="00792B36" w:rsidRDefault="00BC399A" w:rsidP="0096560E">
            <w:pPr>
              <w:spacing w:after="100"/>
              <w:rPr>
                <w:rFonts w:eastAsia="Times New Roman"/>
                <w:color w:val="000000"/>
                <w:sz w:val="24"/>
                <w:szCs w:val="24"/>
              </w:rPr>
            </w:pPr>
            <w:r w:rsidRPr="00792B36">
              <w:rPr>
                <w:rStyle w:val="Strong"/>
                <w:rFonts w:eastAsiaTheme="minorEastAsia"/>
                <w:sz w:val="24"/>
                <w:szCs w:val="24"/>
              </w:rPr>
              <w:t>Koh Lan</w:t>
            </w:r>
            <w:r w:rsidRPr="00792B36">
              <w:rPr>
                <w:b/>
                <w:bCs/>
                <w:sz w:val="24"/>
                <w:szCs w:val="24"/>
              </w:rPr>
              <w:t xml:space="preserve"> </w:t>
            </w:r>
          </w:p>
        </w:tc>
        <w:tc>
          <w:tcPr>
            <w:tcW w:w="328" w:type="pct"/>
            <w:noWrap/>
            <w:vAlign w:val="center"/>
          </w:tcPr>
          <w:p w14:paraId="0833E269" w14:textId="77777777" w:rsidR="00BC399A" w:rsidRPr="00792B36" w:rsidRDefault="00BC399A" w:rsidP="0096560E">
            <w:pPr>
              <w:spacing w:after="100"/>
              <w:jc w:val="center"/>
              <w:rPr>
                <w:rFonts w:eastAsia="Times New Roman"/>
                <w:sz w:val="24"/>
                <w:szCs w:val="24"/>
              </w:rPr>
            </w:pPr>
            <w:r w:rsidRPr="00792B36">
              <w:rPr>
                <w:rFonts w:eastAsia="Times New Roman"/>
                <w:sz w:val="24"/>
                <w:szCs w:val="24"/>
              </w:rPr>
              <w:t>-</w:t>
            </w:r>
          </w:p>
        </w:tc>
        <w:tc>
          <w:tcPr>
            <w:tcW w:w="328" w:type="pct"/>
            <w:noWrap/>
          </w:tcPr>
          <w:p w14:paraId="4981802E" w14:textId="77777777" w:rsidR="00BC399A" w:rsidRPr="00792B36" w:rsidRDefault="00BC399A" w:rsidP="0096560E">
            <w:pPr>
              <w:spacing w:after="100"/>
              <w:jc w:val="center"/>
              <w:rPr>
                <w:rFonts w:eastAsia="Times New Roman"/>
                <w:color w:val="000000"/>
                <w:sz w:val="24"/>
                <w:szCs w:val="24"/>
              </w:rPr>
            </w:pPr>
            <w:r w:rsidRPr="00792B36">
              <w:rPr>
                <w:sz w:val="24"/>
                <w:szCs w:val="24"/>
              </w:rPr>
              <w:t>2024</w:t>
            </w:r>
          </w:p>
        </w:tc>
        <w:tc>
          <w:tcPr>
            <w:tcW w:w="438" w:type="pct"/>
            <w:noWrap/>
            <w:vAlign w:val="center"/>
          </w:tcPr>
          <w:p w14:paraId="081F3ABB" w14:textId="77777777" w:rsidR="00BC399A" w:rsidRPr="00792B36" w:rsidRDefault="00BC399A" w:rsidP="0096560E">
            <w:pPr>
              <w:spacing w:after="100"/>
              <w:jc w:val="center"/>
              <w:rPr>
                <w:rFonts w:eastAsia="Times New Roman"/>
                <w:color w:val="000000"/>
                <w:sz w:val="24"/>
                <w:szCs w:val="24"/>
              </w:rPr>
            </w:pPr>
          </w:p>
        </w:tc>
        <w:tc>
          <w:tcPr>
            <w:tcW w:w="382" w:type="pct"/>
            <w:noWrap/>
            <w:vAlign w:val="center"/>
          </w:tcPr>
          <w:p w14:paraId="311CDF7E" w14:textId="77777777" w:rsidR="00BC399A" w:rsidRPr="00792B36" w:rsidRDefault="00BC399A" w:rsidP="0096560E">
            <w:pPr>
              <w:spacing w:after="100"/>
              <w:jc w:val="center"/>
              <w:rPr>
                <w:rFonts w:eastAsia="Times New Roman"/>
                <w:color w:val="000000"/>
                <w:sz w:val="24"/>
                <w:szCs w:val="24"/>
              </w:rPr>
            </w:pPr>
            <w:r w:rsidRPr="00792B36">
              <w:rPr>
                <w:rFonts w:eastAsia="Times New Roman"/>
                <w:color w:val="000000"/>
                <w:sz w:val="24"/>
                <w:szCs w:val="24"/>
              </w:rPr>
              <w:t>-</w:t>
            </w:r>
          </w:p>
        </w:tc>
        <w:tc>
          <w:tcPr>
            <w:tcW w:w="329" w:type="pct"/>
            <w:noWrap/>
            <w:vAlign w:val="center"/>
          </w:tcPr>
          <w:p w14:paraId="3BB6AA28" w14:textId="77777777" w:rsidR="00BC399A" w:rsidRPr="00792B36" w:rsidRDefault="00BC399A" w:rsidP="0096560E">
            <w:pPr>
              <w:spacing w:after="100"/>
              <w:jc w:val="center"/>
              <w:rPr>
                <w:rFonts w:eastAsia="Times New Roman"/>
                <w:color w:val="000000"/>
                <w:sz w:val="24"/>
                <w:szCs w:val="24"/>
              </w:rPr>
            </w:pPr>
            <w:r w:rsidRPr="00792B36">
              <w:rPr>
                <w:rFonts w:eastAsia="Times New Roman"/>
                <w:color w:val="000000"/>
                <w:sz w:val="24"/>
                <w:szCs w:val="24"/>
              </w:rPr>
              <w:t>-</w:t>
            </w:r>
          </w:p>
        </w:tc>
        <w:tc>
          <w:tcPr>
            <w:tcW w:w="328" w:type="pct"/>
            <w:noWrap/>
            <w:vAlign w:val="center"/>
          </w:tcPr>
          <w:p w14:paraId="69AAA203" w14:textId="77777777" w:rsidR="00BC399A" w:rsidRPr="00792B36" w:rsidRDefault="00BC399A" w:rsidP="0096560E">
            <w:pPr>
              <w:spacing w:after="100"/>
              <w:jc w:val="center"/>
              <w:rPr>
                <w:rFonts w:eastAsia="Times New Roman"/>
                <w:color w:val="000000"/>
                <w:sz w:val="24"/>
                <w:szCs w:val="24"/>
              </w:rPr>
            </w:pPr>
            <w:r w:rsidRPr="00792B36">
              <w:rPr>
                <w:sz w:val="24"/>
                <w:szCs w:val="24"/>
              </w:rPr>
              <w:t>118</w:t>
            </w:r>
          </w:p>
        </w:tc>
        <w:tc>
          <w:tcPr>
            <w:tcW w:w="382" w:type="pct"/>
            <w:noWrap/>
            <w:vAlign w:val="center"/>
          </w:tcPr>
          <w:p w14:paraId="521632FE" w14:textId="77777777" w:rsidR="00BC399A" w:rsidRPr="00792B36" w:rsidRDefault="00BC399A" w:rsidP="0096560E">
            <w:pPr>
              <w:spacing w:after="100"/>
              <w:jc w:val="center"/>
              <w:rPr>
                <w:rFonts w:eastAsia="Times New Roman"/>
                <w:color w:val="000000"/>
                <w:sz w:val="24"/>
                <w:szCs w:val="24"/>
              </w:rPr>
            </w:pPr>
            <w:r w:rsidRPr="00792B36">
              <w:rPr>
                <w:rFonts w:eastAsia="Times New Roman"/>
                <w:color w:val="000000"/>
                <w:sz w:val="24"/>
                <w:szCs w:val="24"/>
              </w:rPr>
              <w:t>-</w:t>
            </w:r>
          </w:p>
        </w:tc>
      </w:tr>
      <w:tr w:rsidR="00BC399A" w:rsidRPr="00792B36" w14:paraId="638E9055" w14:textId="77777777" w:rsidTr="0096560E">
        <w:trPr>
          <w:trHeight w:val="259"/>
          <w:jc w:val="center"/>
        </w:trPr>
        <w:tc>
          <w:tcPr>
            <w:tcW w:w="766" w:type="pct"/>
            <w:noWrap/>
            <w:vAlign w:val="center"/>
          </w:tcPr>
          <w:p w14:paraId="2FD16C24" w14:textId="77777777" w:rsidR="00BC399A" w:rsidRPr="00792B36" w:rsidRDefault="00BC399A" w:rsidP="0096560E">
            <w:pPr>
              <w:spacing w:after="100"/>
              <w:rPr>
                <w:rFonts w:eastAsia="Times New Roman"/>
                <w:color w:val="000000"/>
                <w:sz w:val="24"/>
                <w:szCs w:val="24"/>
              </w:rPr>
            </w:pPr>
            <w:r w:rsidRPr="00792B36">
              <w:rPr>
                <w:rStyle w:val="Strong"/>
                <w:rFonts w:eastAsiaTheme="minorEastAsia"/>
                <w:sz w:val="24"/>
                <w:szCs w:val="24"/>
              </w:rPr>
              <w:t>Koh Tao</w:t>
            </w:r>
            <w:r w:rsidRPr="00792B36">
              <w:rPr>
                <w:b/>
                <w:bCs/>
                <w:sz w:val="24"/>
                <w:szCs w:val="24"/>
              </w:rPr>
              <w:t xml:space="preserve"> </w:t>
            </w:r>
          </w:p>
        </w:tc>
        <w:tc>
          <w:tcPr>
            <w:tcW w:w="328" w:type="pct"/>
            <w:noWrap/>
            <w:vAlign w:val="center"/>
          </w:tcPr>
          <w:p w14:paraId="102E5EE6" w14:textId="77777777" w:rsidR="00BC399A" w:rsidRPr="00792B36" w:rsidRDefault="00BC399A" w:rsidP="0096560E">
            <w:pPr>
              <w:spacing w:after="100"/>
              <w:jc w:val="center"/>
              <w:rPr>
                <w:rFonts w:eastAsia="Times New Roman"/>
                <w:sz w:val="24"/>
                <w:szCs w:val="24"/>
              </w:rPr>
            </w:pPr>
            <w:r w:rsidRPr="00792B36">
              <w:rPr>
                <w:rFonts w:eastAsia="Times New Roman"/>
                <w:sz w:val="24"/>
                <w:szCs w:val="24"/>
              </w:rPr>
              <w:t>-</w:t>
            </w:r>
          </w:p>
        </w:tc>
        <w:tc>
          <w:tcPr>
            <w:tcW w:w="328" w:type="pct"/>
            <w:noWrap/>
          </w:tcPr>
          <w:p w14:paraId="5DFB4B69" w14:textId="77777777" w:rsidR="00BC399A" w:rsidRPr="00792B36" w:rsidRDefault="00BC399A" w:rsidP="0096560E">
            <w:pPr>
              <w:spacing w:after="100"/>
              <w:jc w:val="center"/>
              <w:rPr>
                <w:rFonts w:eastAsia="Times New Roman"/>
                <w:color w:val="000000"/>
                <w:sz w:val="24"/>
                <w:szCs w:val="24"/>
              </w:rPr>
            </w:pPr>
            <w:r w:rsidRPr="00792B36">
              <w:rPr>
                <w:sz w:val="24"/>
                <w:szCs w:val="24"/>
              </w:rPr>
              <w:t>2024</w:t>
            </w:r>
          </w:p>
        </w:tc>
        <w:tc>
          <w:tcPr>
            <w:tcW w:w="438" w:type="pct"/>
            <w:noWrap/>
            <w:vAlign w:val="center"/>
          </w:tcPr>
          <w:p w14:paraId="0C88DB48" w14:textId="77777777" w:rsidR="00BC399A" w:rsidRPr="00792B36" w:rsidRDefault="00BC399A" w:rsidP="0096560E">
            <w:pPr>
              <w:spacing w:after="100"/>
              <w:jc w:val="center"/>
              <w:rPr>
                <w:rFonts w:eastAsia="Times New Roman"/>
                <w:color w:val="000000"/>
                <w:sz w:val="24"/>
                <w:szCs w:val="24"/>
              </w:rPr>
            </w:pPr>
            <w:r w:rsidRPr="00792B36">
              <w:rPr>
                <w:rFonts w:eastAsia="Times New Roman"/>
                <w:color w:val="000000"/>
                <w:sz w:val="24"/>
                <w:szCs w:val="24"/>
              </w:rPr>
              <w:t>-</w:t>
            </w:r>
          </w:p>
        </w:tc>
        <w:tc>
          <w:tcPr>
            <w:tcW w:w="382" w:type="pct"/>
            <w:noWrap/>
            <w:vAlign w:val="center"/>
          </w:tcPr>
          <w:p w14:paraId="79510E5A" w14:textId="77777777" w:rsidR="00BC399A" w:rsidRPr="00792B36" w:rsidRDefault="00BC399A" w:rsidP="0096560E">
            <w:pPr>
              <w:spacing w:after="100"/>
              <w:jc w:val="center"/>
              <w:rPr>
                <w:rFonts w:eastAsia="Times New Roman"/>
                <w:color w:val="000000"/>
                <w:sz w:val="24"/>
                <w:szCs w:val="24"/>
              </w:rPr>
            </w:pPr>
            <w:r w:rsidRPr="00792B36">
              <w:rPr>
                <w:rFonts w:eastAsia="Times New Roman"/>
                <w:color w:val="000000"/>
                <w:sz w:val="24"/>
                <w:szCs w:val="24"/>
              </w:rPr>
              <w:t>-</w:t>
            </w:r>
          </w:p>
        </w:tc>
        <w:tc>
          <w:tcPr>
            <w:tcW w:w="329" w:type="pct"/>
            <w:noWrap/>
            <w:vAlign w:val="center"/>
          </w:tcPr>
          <w:p w14:paraId="35A0918D" w14:textId="77777777" w:rsidR="00BC399A" w:rsidRPr="00792B36" w:rsidRDefault="00BC399A" w:rsidP="0096560E">
            <w:pPr>
              <w:spacing w:after="100"/>
              <w:jc w:val="center"/>
              <w:rPr>
                <w:rFonts w:eastAsia="Times New Roman"/>
                <w:color w:val="000000"/>
                <w:sz w:val="24"/>
                <w:szCs w:val="24"/>
              </w:rPr>
            </w:pPr>
            <w:r w:rsidRPr="00792B36">
              <w:rPr>
                <w:rFonts w:eastAsia="Times New Roman"/>
                <w:color w:val="000000"/>
                <w:sz w:val="24"/>
                <w:szCs w:val="24"/>
              </w:rPr>
              <w:t>-</w:t>
            </w:r>
          </w:p>
        </w:tc>
        <w:tc>
          <w:tcPr>
            <w:tcW w:w="328" w:type="pct"/>
            <w:noWrap/>
            <w:vAlign w:val="center"/>
          </w:tcPr>
          <w:p w14:paraId="6BFC95A1" w14:textId="77777777" w:rsidR="00BC399A" w:rsidRPr="00792B36" w:rsidRDefault="00BC399A" w:rsidP="0096560E">
            <w:pPr>
              <w:spacing w:after="100"/>
              <w:jc w:val="center"/>
              <w:rPr>
                <w:rFonts w:eastAsia="Times New Roman"/>
                <w:color w:val="000000"/>
                <w:sz w:val="24"/>
                <w:szCs w:val="24"/>
              </w:rPr>
            </w:pPr>
            <w:r w:rsidRPr="00792B36">
              <w:rPr>
                <w:sz w:val="24"/>
                <w:szCs w:val="24"/>
              </w:rPr>
              <w:t>1,318</w:t>
            </w:r>
          </w:p>
        </w:tc>
        <w:tc>
          <w:tcPr>
            <w:tcW w:w="382" w:type="pct"/>
            <w:noWrap/>
            <w:vAlign w:val="center"/>
          </w:tcPr>
          <w:p w14:paraId="54051F4C" w14:textId="77777777" w:rsidR="00BC399A" w:rsidRPr="00792B36" w:rsidRDefault="00BC399A" w:rsidP="0096560E">
            <w:pPr>
              <w:spacing w:after="100"/>
              <w:jc w:val="center"/>
              <w:rPr>
                <w:rFonts w:eastAsia="Times New Roman"/>
                <w:color w:val="000000"/>
                <w:sz w:val="24"/>
                <w:szCs w:val="24"/>
              </w:rPr>
            </w:pPr>
            <w:r w:rsidRPr="00792B36">
              <w:rPr>
                <w:rFonts w:eastAsia="Times New Roman"/>
                <w:color w:val="000000"/>
                <w:sz w:val="24"/>
                <w:szCs w:val="24"/>
              </w:rPr>
              <w:t>-</w:t>
            </w:r>
          </w:p>
        </w:tc>
      </w:tr>
      <w:tr w:rsidR="00BC399A" w:rsidRPr="00792B36" w14:paraId="0A4549A5" w14:textId="77777777" w:rsidTr="0096560E">
        <w:trPr>
          <w:trHeight w:val="259"/>
          <w:jc w:val="center"/>
        </w:trPr>
        <w:tc>
          <w:tcPr>
            <w:tcW w:w="766" w:type="pct"/>
            <w:noWrap/>
            <w:vAlign w:val="center"/>
          </w:tcPr>
          <w:p w14:paraId="6F43F208" w14:textId="77777777" w:rsidR="00BC399A" w:rsidRPr="00792B36" w:rsidRDefault="00BC399A" w:rsidP="0096560E">
            <w:pPr>
              <w:spacing w:after="100"/>
              <w:rPr>
                <w:rFonts w:eastAsia="Times New Roman"/>
                <w:color w:val="000000"/>
                <w:sz w:val="24"/>
                <w:szCs w:val="24"/>
              </w:rPr>
            </w:pPr>
            <w:r w:rsidRPr="00792B36">
              <w:rPr>
                <w:rStyle w:val="Strong"/>
                <w:rFonts w:eastAsiaTheme="minorEastAsia"/>
                <w:sz w:val="24"/>
                <w:szCs w:val="24"/>
              </w:rPr>
              <w:t>Koh Mak</w:t>
            </w:r>
            <w:r w:rsidRPr="00792B36">
              <w:rPr>
                <w:b/>
                <w:bCs/>
                <w:sz w:val="24"/>
                <w:szCs w:val="24"/>
              </w:rPr>
              <w:t xml:space="preserve"> </w:t>
            </w:r>
          </w:p>
        </w:tc>
        <w:tc>
          <w:tcPr>
            <w:tcW w:w="328" w:type="pct"/>
            <w:noWrap/>
            <w:vAlign w:val="center"/>
          </w:tcPr>
          <w:p w14:paraId="1CA8FEFD" w14:textId="77777777" w:rsidR="00BC399A" w:rsidRPr="00792B36" w:rsidRDefault="00BC399A" w:rsidP="0096560E">
            <w:pPr>
              <w:spacing w:after="100"/>
              <w:jc w:val="center"/>
              <w:rPr>
                <w:rFonts w:eastAsia="Times New Roman"/>
                <w:sz w:val="24"/>
                <w:szCs w:val="24"/>
              </w:rPr>
            </w:pPr>
            <w:r w:rsidRPr="00792B36">
              <w:rPr>
                <w:rFonts w:eastAsia="Times New Roman"/>
                <w:sz w:val="24"/>
                <w:szCs w:val="24"/>
              </w:rPr>
              <w:t>-</w:t>
            </w:r>
          </w:p>
        </w:tc>
        <w:tc>
          <w:tcPr>
            <w:tcW w:w="328" w:type="pct"/>
            <w:noWrap/>
          </w:tcPr>
          <w:p w14:paraId="1A4B00E9" w14:textId="77777777" w:rsidR="00BC399A" w:rsidRPr="00792B36" w:rsidRDefault="00BC399A" w:rsidP="0096560E">
            <w:pPr>
              <w:spacing w:after="100"/>
              <w:jc w:val="center"/>
              <w:rPr>
                <w:rFonts w:eastAsia="Times New Roman"/>
                <w:color w:val="000000"/>
                <w:sz w:val="24"/>
                <w:szCs w:val="24"/>
              </w:rPr>
            </w:pPr>
            <w:r w:rsidRPr="00792B36">
              <w:rPr>
                <w:sz w:val="24"/>
                <w:szCs w:val="24"/>
              </w:rPr>
              <w:t>2024</w:t>
            </w:r>
          </w:p>
        </w:tc>
        <w:tc>
          <w:tcPr>
            <w:tcW w:w="438" w:type="pct"/>
            <w:noWrap/>
            <w:vAlign w:val="center"/>
          </w:tcPr>
          <w:p w14:paraId="4A6EABAF" w14:textId="77777777" w:rsidR="00BC399A" w:rsidRPr="00792B36" w:rsidRDefault="00BC399A" w:rsidP="0096560E">
            <w:pPr>
              <w:spacing w:after="100"/>
              <w:jc w:val="center"/>
              <w:rPr>
                <w:rFonts w:eastAsia="Times New Roman"/>
                <w:color w:val="000000"/>
                <w:sz w:val="24"/>
                <w:szCs w:val="24"/>
              </w:rPr>
            </w:pPr>
            <w:r w:rsidRPr="00792B36">
              <w:rPr>
                <w:rFonts w:eastAsia="Times New Roman"/>
                <w:color w:val="000000"/>
                <w:sz w:val="24"/>
                <w:szCs w:val="24"/>
              </w:rPr>
              <w:t>-</w:t>
            </w:r>
          </w:p>
        </w:tc>
        <w:tc>
          <w:tcPr>
            <w:tcW w:w="382" w:type="pct"/>
            <w:noWrap/>
            <w:vAlign w:val="center"/>
          </w:tcPr>
          <w:p w14:paraId="12BD2587" w14:textId="77777777" w:rsidR="00BC399A" w:rsidRPr="00792B36" w:rsidRDefault="00BC399A" w:rsidP="0096560E">
            <w:pPr>
              <w:spacing w:after="100"/>
              <w:jc w:val="center"/>
              <w:rPr>
                <w:rFonts w:eastAsia="Times New Roman"/>
                <w:color w:val="000000"/>
                <w:sz w:val="24"/>
                <w:szCs w:val="24"/>
              </w:rPr>
            </w:pPr>
            <w:r w:rsidRPr="00792B36">
              <w:rPr>
                <w:rFonts w:eastAsia="Times New Roman"/>
                <w:color w:val="000000"/>
                <w:sz w:val="24"/>
                <w:szCs w:val="24"/>
              </w:rPr>
              <w:t>-</w:t>
            </w:r>
          </w:p>
        </w:tc>
        <w:tc>
          <w:tcPr>
            <w:tcW w:w="329" w:type="pct"/>
            <w:noWrap/>
            <w:vAlign w:val="center"/>
          </w:tcPr>
          <w:p w14:paraId="7D55746C" w14:textId="77777777" w:rsidR="00BC399A" w:rsidRPr="00792B36" w:rsidRDefault="00BC399A" w:rsidP="0096560E">
            <w:pPr>
              <w:spacing w:after="100"/>
              <w:jc w:val="center"/>
              <w:rPr>
                <w:rFonts w:eastAsia="Times New Roman"/>
                <w:color w:val="000000"/>
                <w:sz w:val="24"/>
                <w:szCs w:val="24"/>
              </w:rPr>
            </w:pPr>
            <w:r w:rsidRPr="00792B36">
              <w:rPr>
                <w:rFonts w:eastAsia="Times New Roman"/>
                <w:color w:val="000000"/>
                <w:sz w:val="24"/>
                <w:szCs w:val="24"/>
              </w:rPr>
              <w:t>-</w:t>
            </w:r>
          </w:p>
        </w:tc>
        <w:tc>
          <w:tcPr>
            <w:tcW w:w="328" w:type="pct"/>
            <w:noWrap/>
            <w:vAlign w:val="center"/>
          </w:tcPr>
          <w:p w14:paraId="52603EE8" w14:textId="77777777" w:rsidR="00BC399A" w:rsidRPr="00792B36" w:rsidRDefault="00BC399A" w:rsidP="0096560E">
            <w:pPr>
              <w:spacing w:after="100"/>
              <w:jc w:val="center"/>
              <w:rPr>
                <w:rFonts w:eastAsia="Times New Roman"/>
                <w:color w:val="000000"/>
                <w:sz w:val="24"/>
                <w:szCs w:val="24"/>
              </w:rPr>
            </w:pPr>
            <w:r w:rsidRPr="00792B36">
              <w:rPr>
                <w:sz w:val="24"/>
                <w:szCs w:val="24"/>
              </w:rPr>
              <w:t>504</w:t>
            </w:r>
          </w:p>
        </w:tc>
        <w:tc>
          <w:tcPr>
            <w:tcW w:w="382" w:type="pct"/>
            <w:noWrap/>
            <w:vAlign w:val="center"/>
          </w:tcPr>
          <w:p w14:paraId="515A24DE" w14:textId="77777777" w:rsidR="00BC399A" w:rsidRPr="00792B36" w:rsidRDefault="00BC399A" w:rsidP="0096560E">
            <w:pPr>
              <w:spacing w:after="100"/>
              <w:jc w:val="center"/>
              <w:rPr>
                <w:rFonts w:eastAsia="Times New Roman"/>
                <w:color w:val="000000"/>
                <w:sz w:val="24"/>
                <w:szCs w:val="24"/>
              </w:rPr>
            </w:pPr>
            <w:r w:rsidRPr="00792B36">
              <w:rPr>
                <w:rFonts w:eastAsia="Times New Roman"/>
                <w:color w:val="000000"/>
                <w:sz w:val="24"/>
                <w:szCs w:val="24"/>
              </w:rPr>
              <w:t>-</w:t>
            </w:r>
          </w:p>
        </w:tc>
      </w:tr>
      <w:tr w:rsidR="00BC399A" w:rsidRPr="00792B36" w14:paraId="6E4F029C" w14:textId="77777777" w:rsidTr="0096560E">
        <w:trPr>
          <w:trHeight w:val="259"/>
          <w:jc w:val="center"/>
        </w:trPr>
        <w:tc>
          <w:tcPr>
            <w:tcW w:w="766" w:type="pct"/>
            <w:noWrap/>
            <w:vAlign w:val="center"/>
          </w:tcPr>
          <w:p w14:paraId="1F26EF1F" w14:textId="77777777" w:rsidR="00BC399A" w:rsidRPr="00792B36" w:rsidRDefault="00BC399A" w:rsidP="0096560E">
            <w:pPr>
              <w:spacing w:after="100"/>
              <w:rPr>
                <w:rFonts w:eastAsia="Times New Roman"/>
                <w:color w:val="000000"/>
                <w:sz w:val="24"/>
                <w:szCs w:val="24"/>
              </w:rPr>
            </w:pPr>
            <w:r w:rsidRPr="00792B36">
              <w:rPr>
                <w:rStyle w:val="Strong"/>
                <w:rFonts w:eastAsiaTheme="minorEastAsia"/>
                <w:sz w:val="24"/>
                <w:szCs w:val="24"/>
              </w:rPr>
              <w:t>Koh Kood</w:t>
            </w:r>
          </w:p>
        </w:tc>
        <w:tc>
          <w:tcPr>
            <w:tcW w:w="328" w:type="pct"/>
            <w:noWrap/>
            <w:vAlign w:val="center"/>
          </w:tcPr>
          <w:p w14:paraId="33B04A3C" w14:textId="77777777" w:rsidR="00BC399A" w:rsidRPr="00792B36" w:rsidRDefault="00BC399A" w:rsidP="0096560E">
            <w:pPr>
              <w:spacing w:after="100"/>
              <w:jc w:val="center"/>
              <w:rPr>
                <w:rFonts w:eastAsia="Times New Roman"/>
                <w:sz w:val="24"/>
                <w:szCs w:val="24"/>
              </w:rPr>
            </w:pPr>
            <w:r w:rsidRPr="00792B36">
              <w:rPr>
                <w:rFonts w:eastAsia="Times New Roman"/>
                <w:sz w:val="24"/>
                <w:szCs w:val="24"/>
              </w:rPr>
              <w:t>-</w:t>
            </w:r>
          </w:p>
        </w:tc>
        <w:tc>
          <w:tcPr>
            <w:tcW w:w="328" w:type="pct"/>
            <w:noWrap/>
          </w:tcPr>
          <w:p w14:paraId="0D1CAEB3" w14:textId="77777777" w:rsidR="00BC399A" w:rsidRPr="00792B36" w:rsidRDefault="00BC399A" w:rsidP="0096560E">
            <w:pPr>
              <w:spacing w:after="100"/>
              <w:jc w:val="center"/>
              <w:rPr>
                <w:rFonts w:eastAsia="Times New Roman"/>
                <w:color w:val="000000"/>
                <w:sz w:val="24"/>
                <w:szCs w:val="24"/>
              </w:rPr>
            </w:pPr>
            <w:r w:rsidRPr="00792B36">
              <w:rPr>
                <w:sz w:val="24"/>
                <w:szCs w:val="24"/>
              </w:rPr>
              <w:t>2024</w:t>
            </w:r>
          </w:p>
        </w:tc>
        <w:tc>
          <w:tcPr>
            <w:tcW w:w="438" w:type="pct"/>
            <w:noWrap/>
            <w:vAlign w:val="center"/>
          </w:tcPr>
          <w:p w14:paraId="2066C6C5" w14:textId="77777777" w:rsidR="00BC399A" w:rsidRPr="00792B36" w:rsidRDefault="00BC399A" w:rsidP="0096560E">
            <w:pPr>
              <w:spacing w:after="100"/>
              <w:jc w:val="center"/>
              <w:rPr>
                <w:rFonts w:eastAsia="Times New Roman"/>
                <w:color w:val="000000"/>
                <w:sz w:val="24"/>
                <w:szCs w:val="24"/>
              </w:rPr>
            </w:pPr>
            <w:r w:rsidRPr="00792B36">
              <w:rPr>
                <w:rFonts w:eastAsia="Times New Roman"/>
                <w:color w:val="000000"/>
                <w:sz w:val="24"/>
                <w:szCs w:val="24"/>
              </w:rPr>
              <w:t>-</w:t>
            </w:r>
          </w:p>
        </w:tc>
        <w:tc>
          <w:tcPr>
            <w:tcW w:w="382" w:type="pct"/>
            <w:noWrap/>
            <w:vAlign w:val="center"/>
          </w:tcPr>
          <w:p w14:paraId="21E440D2" w14:textId="77777777" w:rsidR="00BC399A" w:rsidRPr="00792B36" w:rsidRDefault="00BC399A" w:rsidP="0096560E">
            <w:pPr>
              <w:spacing w:after="100"/>
              <w:jc w:val="center"/>
              <w:rPr>
                <w:rFonts w:eastAsia="Times New Roman"/>
                <w:color w:val="000000"/>
                <w:sz w:val="24"/>
                <w:szCs w:val="24"/>
              </w:rPr>
            </w:pPr>
            <w:r w:rsidRPr="00792B36">
              <w:rPr>
                <w:rFonts w:eastAsia="Times New Roman"/>
                <w:color w:val="000000"/>
                <w:sz w:val="24"/>
                <w:szCs w:val="24"/>
              </w:rPr>
              <w:t>-</w:t>
            </w:r>
          </w:p>
        </w:tc>
        <w:tc>
          <w:tcPr>
            <w:tcW w:w="329" w:type="pct"/>
            <w:noWrap/>
            <w:vAlign w:val="center"/>
          </w:tcPr>
          <w:p w14:paraId="4C97762E" w14:textId="77777777" w:rsidR="00BC399A" w:rsidRPr="00792B36" w:rsidRDefault="00BC399A" w:rsidP="0096560E">
            <w:pPr>
              <w:spacing w:after="100"/>
              <w:jc w:val="center"/>
              <w:rPr>
                <w:rFonts w:eastAsia="Times New Roman"/>
                <w:color w:val="000000"/>
                <w:sz w:val="24"/>
                <w:szCs w:val="24"/>
              </w:rPr>
            </w:pPr>
            <w:r w:rsidRPr="00792B36">
              <w:rPr>
                <w:rFonts w:eastAsia="Times New Roman"/>
                <w:color w:val="000000"/>
                <w:sz w:val="24"/>
                <w:szCs w:val="24"/>
              </w:rPr>
              <w:t>-</w:t>
            </w:r>
          </w:p>
        </w:tc>
        <w:tc>
          <w:tcPr>
            <w:tcW w:w="328" w:type="pct"/>
            <w:noWrap/>
            <w:vAlign w:val="center"/>
          </w:tcPr>
          <w:p w14:paraId="699D9DE5" w14:textId="77777777" w:rsidR="00BC399A" w:rsidRPr="00792B36" w:rsidRDefault="00BC399A" w:rsidP="0096560E">
            <w:pPr>
              <w:spacing w:after="100"/>
              <w:jc w:val="center"/>
              <w:rPr>
                <w:rFonts w:eastAsia="Times New Roman"/>
                <w:color w:val="000000"/>
                <w:sz w:val="24"/>
                <w:szCs w:val="24"/>
              </w:rPr>
            </w:pPr>
            <w:r w:rsidRPr="00792B36">
              <w:rPr>
                <w:sz w:val="24"/>
                <w:szCs w:val="24"/>
              </w:rPr>
              <w:t>66</w:t>
            </w:r>
          </w:p>
        </w:tc>
        <w:tc>
          <w:tcPr>
            <w:tcW w:w="382" w:type="pct"/>
            <w:noWrap/>
            <w:vAlign w:val="center"/>
          </w:tcPr>
          <w:p w14:paraId="5EBF5C91" w14:textId="77777777" w:rsidR="00BC399A" w:rsidRPr="00792B36" w:rsidRDefault="00BC399A" w:rsidP="0096560E">
            <w:pPr>
              <w:spacing w:after="100"/>
              <w:jc w:val="center"/>
              <w:rPr>
                <w:rFonts w:eastAsia="Times New Roman"/>
                <w:color w:val="000000"/>
                <w:sz w:val="24"/>
                <w:szCs w:val="24"/>
              </w:rPr>
            </w:pPr>
            <w:r w:rsidRPr="00792B36">
              <w:rPr>
                <w:rFonts w:eastAsia="Times New Roman"/>
                <w:color w:val="000000"/>
                <w:sz w:val="24"/>
                <w:szCs w:val="24"/>
              </w:rPr>
              <w:t>-</w:t>
            </w:r>
          </w:p>
        </w:tc>
      </w:tr>
      <w:tr w:rsidR="00BC399A" w:rsidRPr="00792B36" w14:paraId="2BB65271" w14:textId="77777777" w:rsidTr="0096560E">
        <w:trPr>
          <w:trHeight w:val="259"/>
          <w:jc w:val="center"/>
        </w:trPr>
        <w:tc>
          <w:tcPr>
            <w:tcW w:w="766" w:type="pct"/>
            <w:noWrap/>
            <w:vAlign w:val="center"/>
          </w:tcPr>
          <w:p w14:paraId="68241600" w14:textId="77777777" w:rsidR="00BC399A" w:rsidRPr="00792B36" w:rsidRDefault="00BC399A" w:rsidP="0096560E">
            <w:pPr>
              <w:spacing w:after="100"/>
              <w:rPr>
                <w:rFonts w:eastAsia="Times New Roman"/>
                <w:color w:val="000000"/>
                <w:sz w:val="24"/>
                <w:szCs w:val="24"/>
              </w:rPr>
            </w:pPr>
            <w:r w:rsidRPr="00792B36">
              <w:rPr>
                <w:rStyle w:val="Strong"/>
                <w:rFonts w:eastAsiaTheme="minorEastAsia"/>
                <w:sz w:val="24"/>
                <w:szCs w:val="24"/>
              </w:rPr>
              <w:t>Koh Kra</w:t>
            </w:r>
            <w:r w:rsidRPr="00792B36">
              <w:rPr>
                <w:b/>
                <w:bCs/>
                <w:sz w:val="24"/>
                <w:szCs w:val="24"/>
              </w:rPr>
              <w:t xml:space="preserve"> </w:t>
            </w:r>
          </w:p>
        </w:tc>
        <w:tc>
          <w:tcPr>
            <w:tcW w:w="328" w:type="pct"/>
            <w:noWrap/>
            <w:vAlign w:val="center"/>
          </w:tcPr>
          <w:p w14:paraId="4B6CFD74" w14:textId="77777777" w:rsidR="00BC399A" w:rsidRPr="00792B36" w:rsidRDefault="00BC399A" w:rsidP="0096560E">
            <w:pPr>
              <w:spacing w:after="100"/>
              <w:jc w:val="center"/>
              <w:rPr>
                <w:rFonts w:eastAsia="Times New Roman"/>
                <w:sz w:val="24"/>
                <w:szCs w:val="24"/>
              </w:rPr>
            </w:pPr>
            <w:r w:rsidRPr="00792B36">
              <w:rPr>
                <w:rFonts w:eastAsia="Times New Roman"/>
                <w:sz w:val="24"/>
                <w:szCs w:val="24"/>
              </w:rPr>
              <w:t>-</w:t>
            </w:r>
          </w:p>
        </w:tc>
        <w:tc>
          <w:tcPr>
            <w:tcW w:w="328" w:type="pct"/>
            <w:noWrap/>
          </w:tcPr>
          <w:p w14:paraId="2F4423DB" w14:textId="77777777" w:rsidR="00BC399A" w:rsidRPr="00792B36" w:rsidRDefault="00BC399A" w:rsidP="0096560E">
            <w:pPr>
              <w:spacing w:after="100"/>
              <w:jc w:val="center"/>
              <w:rPr>
                <w:rFonts w:eastAsia="Times New Roman"/>
                <w:color w:val="000000"/>
                <w:sz w:val="24"/>
                <w:szCs w:val="24"/>
              </w:rPr>
            </w:pPr>
            <w:r w:rsidRPr="00792B36">
              <w:rPr>
                <w:sz w:val="24"/>
                <w:szCs w:val="24"/>
              </w:rPr>
              <w:t>2024</w:t>
            </w:r>
          </w:p>
        </w:tc>
        <w:tc>
          <w:tcPr>
            <w:tcW w:w="438" w:type="pct"/>
            <w:noWrap/>
            <w:vAlign w:val="center"/>
          </w:tcPr>
          <w:p w14:paraId="642064CB" w14:textId="77777777" w:rsidR="00BC399A" w:rsidRPr="00792B36" w:rsidRDefault="00BC399A" w:rsidP="0096560E">
            <w:pPr>
              <w:spacing w:after="100"/>
              <w:jc w:val="center"/>
              <w:rPr>
                <w:rFonts w:eastAsia="Times New Roman"/>
                <w:color w:val="000000"/>
                <w:sz w:val="24"/>
                <w:szCs w:val="24"/>
              </w:rPr>
            </w:pPr>
            <w:r w:rsidRPr="00792B36">
              <w:rPr>
                <w:rFonts w:eastAsia="Times New Roman"/>
                <w:color w:val="000000"/>
                <w:sz w:val="24"/>
                <w:szCs w:val="24"/>
              </w:rPr>
              <w:t>-</w:t>
            </w:r>
          </w:p>
        </w:tc>
        <w:tc>
          <w:tcPr>
            <w:tcW w:w="382" w:type="pct"/>
            <w:noWrap/>
            <w:vAlign w:val="center"/>
          </w:tcPr>
          <w:p w14:paraId="49C7B096" w14:textId="77777777" w:rsidR="00BC399A" w:rsidRPr="00792B36" w:rsidRDefault="00BC399A" w:rsidP="0096560E">
            <w:pPr>
              <w:spacing w:after="100"/>
              <w:jc w:val="center"/>
              <w:rPr>
                <w:rFonts w:eastAsia="Times New Roman"/>
                <w:color w:val="000000"/>
                <w:sz w:val="24"/>
                <w:szCs w:val="24"/>
              </w:rPr>
            </w:pPr>
            <w:r w:rsidRPr="00792B36">
              <w:rPr>
                <w:rFonts w:eastAsia="Times New Roman"/>
                <w:color w:val="000000"/>
                <w:sz w:val="24"/>
                <w:szCs w:val="24"/>
              </w:rPr>
              <w:t>-</w:t>
            </w:r>
          </w:p>
        </w:tc>
        <w:tc>
          <w:tcPr>
            <w:tcW w:w="329" w:type="pct"/>
            <w:noWrap/>
            <w:vAlign w:val="center"/>
          </w:tcPr>
          <w:p w14:paraId="0CCE5977" w14:textId="77777777" w:rsidR="00BC399A" w:rsidRPr="00792B36" w:rsidRDefault="00BC399A" w:rsidP="0096560E">
            <w:pPr>
              <w:spacing w:after="100"/>
              <w:jc w:val="center"/>
              <w:rPr>
                <w:rFonts w:eastAsia="Times New Roman"/>
                <w:color w:val="000000"/>
                <w:sz w:val="24"/>
                <w:szCs w:val="24"/>
              </w:rPr>
            </w:pPr>
            <w:r w:rsidRPr="00792B36">
              <w:rPr>
                <w:rFonts w:eastAsia="Times New Roman"/>
                <w:color w:val="000000"/>
                <w:sz w:val="24"/>
                <w:szCs w:val="24"/>
              </w:rPr>
              <w:t>-</w:t>
            </w:r>
          </w:p>
        </w:tc>
        <w:tc>
          <w:tcPr>
            <w:tcW w:w="328" w:type="pct"/>
            <w:noWrap/>
            <w:vAlign w:val="center"/>
          </w:tcPr>
          <w:p w14:paraId="634ADE14" w14:textId="77777777" w:rsidR="00BC399A" w:rsidRPr="00792B36" w:rsidRDefault="00BC399A" w:rsidP="0096560E">
            <w:pPr>
              <w:spacing w:after="100"/>
              <w:jc w:val="center"/>
              <w:rPr>
                <w:rFonts w:eastAsia="Times New Roman"/>
                <w:color w:val="000000"/>
                <w:sz w:val="24"/>
                <w:szCs w:val="24"/>
              </w:rPr>
            </w:pPr>
            <w:r w:rsidRPr="00792B36">
              <w:rPr>
                <w:sz w:val="24"/>
                <w:szCs w:val="24"/>
              </w:rPr>
              <w:t>13</w:t>
            </w:r>
          </w:p>
        </w:tc>
        <w:tc>
          <w:tcPr>
            <w:tcW w:w="382" w:type="pct"/>
            <w:noWrap/>
            <w:vAlign w:val="center"/>
          </w:tcPr>
          <w:p w14:paraId="4A3699C7" w14:textId="77777777" w:rsidR="00BC399A" w:rsidRPr="00792B36" w:rsidRDefault="00BC399A" w:rsidP="0096560E">
            <w:pPr>
              <w:spacing w:after="100"/>
              <w:jc w:val="center"/>
              <w:rPr>
                <w:rFonts w:eastAsia="Times New Roman"/>
                <w:color w:val="000000"/>
                <w:sz w:val="24"/>
                <w:szCs w:val="24"/>
              </w:rPr>
            </w:pPr>
            <w:r w:rsidRPr="00792B36">
              <w:rPr>
                <w:rFonts w:eastAsia="Times New Roman"/>
                <w:color w:val="000000"/>
                <w:sz w:val="24"/>
                <w:szCs w:val="24"/>
              </w:rPr>
              <w:t>-</w:t>
            </w:r>
          </w:p>
        </w:tc>
      </w:tr>
      <w:tr w:rsidR="00BC399A" w:rsidRPr="00792B36" w14:paraId="187A1715" w14:textId="77777777" w:rsidTr="0096560E">
        <w:trPr>
          <w:trHeight w:val="259"/>
          <w:jc w:val="center"/>
        </w:trPr>
        <w:tc>
          <w:tcPr>
            <w:tcW w:w="766" w:type="pct"/>
            <w:noWrap/>
            <w:vAlign w:val="center"/>
          </w:tcPr>
          <w:p w14:paraId="0C858927" w14:textId="77777777" w:rsidR="00BC399A" w:rsidRPr="00792B36" w:rsidRDefault="00BC399A" w:rsidP="0096560E">
            <w:pPr>
              <w:spacing w:after="100"/>
              <w:rPr>
                <w:rFonts w:eastAsia="Times New Roman"/>
                <w:color w:val="000000"/>
                <w:sz w:val="24"/>
                <w:szCs w:val="24"/>
              </w:rPr>
            </w:pPr>
            <w:r w:rsidRPr="00792B36">
              <w:rPr>
                <w:rStyle w:val="Strong"/>
                <w:rFonts w:eastAsiaTheme="minorEastAsia"/>
                <w:sz w:val="24"/>
                <w:szCs w:val="24"/>
              </w:rPr>
              <w:t>Koh Losin</w:t>
            </w:r>
            <w:r w:rsidRPr="00792B36">
              <w:rPr>
                <w:b/>
                <w:bCs/>
                <w:sz w:val="24"/>
                <w:szCs w:val="24"/>
              </w:rPr>
              <w:t xml:space="preserve"> </w:t>
            </w:r>
          </w:p>
        </w:tc>
        <w:tc>
          <w:tcPr>
            <w:tcW w:w="328" w:type="pct"/>
            <w:noWrap/>
            <w:vAlign w:val="center"/>
          </w:tcPr>
          <w:p w14:paraId="79EB574F" w14:textId="77777777" w:rsidR="00BC399A" w:rsidRPr="00792B36" w:rsidRDefault="00BC399A" w:rsidP="0096560E">
            <w:pPr>
              <w:spacing w:after="100"/>
              <w:jc w:val="center"/>
              <w:rPr>
                <w:rFonts w:eastAsia="Times New Roman"/>
                <w:sz w:val="24"/>
                <w:szCs w:val="24"/>
              </w:rPr>
            </w:pPr>
            <w:r w:rsidRPr="00792B36">
              <w:rPr>
                <w:rFonts w:eastAsia="Times New Roman"/>
                <w:sz w:val="24"/>
                <w:szCs w:val="24"/>
              </w:rPr>
              <w:t>-</w:t>
            </w:r>
          </w:p>
        </w:tc>
        <w:tc>
          <w:tcPr>
            <w:tcW w:w="328" w:type="pct"/>
            <w:noWrap/>
          </w:tcPr>
          <w:p w14:paraId="5481701A" w14:textId="77777777" w:rsidR="00BC399A" w:rsidRPr="00792B36" w:rsidRDefault="00BC399A" w:rsidP="0096560E">
            <w:pPr>
              <w:spacing w:after="100"/>
              <w:jc w:val="center"/>
              <w:rPr>
                <w:rFonts w:eastAsia="Times New Roman"/>
                <w:color w:val="000000"/>
                <w:sz w:val="24"/>
                <w:szCs w:val="24"/>
              </w:rPr>
            </w:pPr>
            <w:r w:rsidRPr="00792B36">
              <w:rPr>
                <w:sz w:val="24"/>
                <w:szCs w:val="24"/>
              </w:rPr>
              <w:t>2024</w:t>
            </w:r>
          </w:p>
        </w:tc>
        <w:tc>
          <w:tcPr>
            <w:tcW w:w="438" w:type="pct"/>
            <w:noWrap/>
            <w:vAlign w:val="center"/>
          </w:tcPr>
          <w:p w14:paraId="04B67FC6" w14:textId="77777777" w:rsidR="00BC399A" w:rsidRPr="00792B36" w:rsidRDefault="00BC399A" w:rsidP="0096560E">
            <w:pPr>
              <w:spacing w:after="100"/>
              <w:jc w:val="center"/>
              <w:rPr>
                <w:rFonts w:eastAsia="Times New Roman"/>
                <w:color w:val="000000"/>
                <w:sz w:val="24"/>
                <w:szCs w:val="24"/>
              </w:rPr>
            </w:pPr>
            <w:r w:rsidRPr="00792B36">
              <w:rPr>
                <w:rFonts w:eastAsia="Times New Roman"/>
                <w:color w:val="000000"/>
                <w:sz w:val="24"/>
                <w:szCs w:val="24"/>
              </w:rPr>
              <w:t>-</w:t>
            </w:r>
          </w:p>
        </w:tc>
        <w:tc>
          <w:tcPr>
            <w:tcW w:w="382" w:type="pct"/>
            <w:noWrap/>
            <w:vAlign w:val="center"/>
          </w:tcPr>
          <w:p w14:paraId="685078BD" w14:textId="77777777" w:rsidR="00BC399A" w:rsidRPr="00792B36" w:rsidRDefault="00BC399A" w:rsidP="0096560E">
            <w:pPr>
              <w:spacing w:after="100"/>
              <w:jc w:val="center"/>
              <w:rPr>
                <w:rFonts w:eastAsia="Times New Roman"/>
                <w:color w:val="000000"/>
                <w:sz w:val="24"/>
                <w:szCs w:val="24"/>
              </w:rPr>
            </w:pPr>
            <w:r w:rsidRPr="00792B36">
              <w:rPr>
                <w:rFonts w:eastAsia="Times New Roman"/>
                <w:color w:val="000000"/>
                <w:sz w:val="24"/>
                <w:szCs w:val="24"/>
              </w:rPr>
              <w:t>-</w:t>
            </w:r>
          </w:p>
        </w:tc>
        <w:tc>
          <w:tcPr>
            <w:tcW w:w="329" w:type="pct"/>
            <w:noWrap/>
            <w:vAlign w:val="center"/>
          </w:tcPr>
          <w:p w14:paraId="7234D222" w14:textId="77777777" w:rsidR="00BC399A" w:rsidRPr="00792B36" w:rsidRDefault="00BC399A" w:rsidP="0096560E">
            <w:pPr>
              <w:spacing w:after="100"/>
              <w:jc w:val="center"/>
              <w:rPr>
                <w:rFonts w:eastAsia="Times New Roman"/>
                <w:color w:val="000000"/>
                <w:sz w:val="24"/>
                <w:szCs w:val="24"/>
              </w:rPr>
            </w:pPr>
            <w:r w:rsidRPr="00792B36">
              <w:rPr>
                <w:rFonts w:eastAsia="Times New Roman"/>
                <w:color w:val="000000"/>
                <w:sz w:val="24"/>
                <w:szCs w:val="24"/>
              </w:rPr>
              <w:t>-</w:t>
            </w:r>
          </w:p>
        </w:tc>
        <w:tc>
          <w:tcPr>
            <w:tcW w:w="328" w:type="pct"/>
            <w:noWrap/>
            <w:vAlign w:val="center"/>
          </w:tcPr>
          <w:p w14:paraId="6F6E5CA2" w14:textId="77777777" w:rsidR="00BC399A" w:rsidRPr="00792B36" w:rsidRDefault="00BC399A" w:rsidP="0096560E">
            <w:pPr>
              <w:spacing w:after="100"/>
              <w:jc w:val="center"/>
              <w:rPr>
                <w:rFonts w:eastAsia="Times New Roman"/>
                <w:color w:val="000000"/>
                <w:sz w:val="24"/>
                <w:szCs w:val="24"/>
              </w:rPr>
            </w:pPr>
            <w:r w:rsidRPr="00792B36">
              <w:rPr>
                <w:sz w:val="24"/>
                <w:szCs w:val="24"/>
              </w:rPr>
              <w:t>35</w:t>
            </w:r>
          </w:p>
        </w:tc>
        <w:tc>
          <w:tcPr>
            <w:tcW w:w="382" w:type="pct"/>
            <w:noWrap/>
            <w:vAlign w:val="center"/>
          </w:tcPr>
          <w:p w14:paraId="77E49D79" w14:textId="77777777" w:rsidR="00BC399A" w:rsidRPr="00792B36" w:rsidRDefault="00BC399A" w:rsidP="0096560E">
            <w:pPr>
              <w:spacing w:after="100"/>
              <w:jc w:val="center"/>
              <w:rPr>
                <w:rFonts w:eastAsia="Times New Roman"/>
                <w:color w:val="000000"/>
                <w:sz w:val="24"/>
                <w:szCs w:val="24"/>
              </w:rPr>
            </w:pPr>
            <w:r w:rsidRPr="00792B36">
              <w:rPr>
                <w:rFonts w:eastAsia="Times New Roman"/>
                <w:color w:val="000000"/>
                <w:sz w:val="24"/>
                <w:szCs w:val="24"/>
              </w:rPr>
              <w:t>-</w:t>
            </w:r>
          </w:p>
        </w:tc>
      </w:tr>
      <w:tr w:rsidR="00BC399A" w:rsidRPr="00792B36" w14:paraId="142B9616" w14:textId="77777777" w:rsidTr="0096560E">
        <w:trPr>
          <w:trHeight w:val="259"/>
          <w:jc w:val="center"/>
        </w:trPr>
        <w:tc>
          <w:tcPr>
            <w:tcW w:w="766" w:type="pct"/>
            <w:noWrap/>
            <w:vAlign w:val="center"/>
          </w:tcPr>
          <w:p w14:paraId="1ED4384E" w14:textId="77777777" w:rsidR="00BC399A" w:rsidRPr="00792B36" w:rsidRDefault="00BC399A" w:rsidP="0096560E">
            <w:pPr>
              <w:spacing w:after="100"/>
              <w:rPr>
                <w:rFonts w:eastAsia="Times New Roman"/>
                <w:color w:val="000000"/>
                <w:sz w:val="24"/>
                <w:szCs w:val="24"/>
              </w:rPr>
            </w:pPr>
            <w:r w:rsidRPr="00792B36">
              <w:rPr>
                <w:rStyle w:val="Strong"/>
                <w:rFonts w:eastAsiaTheme="minorEastAsia"/>
                <w:sz w:val="24"/>
                <w:szCs w:val="24"/>
              </w:rPr>
              <w:t>Underwater pinnacle Chumphon Province</w:t>
            </w:r>
          </w:p>
        </w:tc>
        <w:tc>
          <w:tcPr>
            <w:tcW w:w="328" w:type="pct"/>
            <w:noWrap/>
            <w:vAlign w:val="center"/>
          </w:tcPr>
          <w:p w14:paraId="4E80BA3D" w14:textId="77777777" w:rsidR="00BC399A" w:rsidRPr="00792B36" w:rsidRDefault="00BC399A" w:rsidP="0096560E">
            <w:pPr>
              <w:spacing w:after="100"/>
              <w:jc w:val="center"/>
              <w:rPr>
                <w:rFonts w:eastAsia="Times New Roman"/>
                <w:sz w:val="24"/>
                <w:szCs w:val="24"/>
              </w:rPr>
            </w:pPr>
            <w:r w:rsidRPr="00792B36">
              <w:rPr>
                <w:rFonts w:eastAsia="Times New Roman"/>
                <w:sz w:val="24"/>
                <w:szCs w:val="24"/>
              </w:rPr>
              <w:t>-</w:t>
            </w:r>
          </w:p>
        </w:tc>
        <w:tc>
          <w:tcPr>
            <w:tcW w:w="328" w:type="pct"/>
            <w:noWrap/>
          </w:tcPr>
          <w:p w14:paraId="3B758EF3" w14:textId="77777777" w:rsidR="00BC399A" w:rsidRPr="00792B36" w:rsidRDefault="00BC399A" w:rsidP="0096560E">
            <w:pPr>
              <w:spacing w:after="100"/>
              <w:jc w:val="center"/>
              <w:rPr>
                <w:rFonts w:eastAsia="Times New Roman"/>
                <w:color w:val="000000"/>
                <w:sz w:val="24"/>
                <w:szCs w:val="24"/>
              </w:rPr>
            </w:pPr>
            <w:r w:rsidRPr="00792B36">
              <w:rPr>
                <w:sz w:val="24"/>
                <w:szCs w:val="24"/>
              </w:rPr>
              <w:t>2024</w:t>
            </w:r>
          </w:p>
        </w:tc>
        <w:tc>
          <w:tcPr>
            <w:tcW w:w="438" w:type="pct"/>
            <w:noWrap/>
            <w:vAlign w:val="center"/>
          </w:tcPr>
          <w:p w14:paraId="27F9E37C" w14:textId="77777777" w:rsidR="00BC399A" w:rsidRPr="00792B36" w:rsidRDefault="00BC399A" w:rsidP="0096560E">
            <w:pPr>
              <w:spacing w:after="100"/>
              <w:jc w:val="center"/>
              <w:rPr>
                <w:rFonts w:eastAsia="Times New Roman"/>
                <w:color w:val="000000"/>
                <w:sz w:val="24"/>
                <w:szCs w:val="24"/>
              </w:rPr>
            </w:pPr>
            <w:r w:rsidRPr="00792B36">
              <w:rPr>
                <w:rFonts w:eastAsia="Times New Roman"/>
                <w:color w:val="000000"/>
                <w:sz w:val="24"/>
                <w:szCs w:val="24"/>
              </w:rPr>
              <w:t>-</w:t>
            </w:r>
          </w:p>
        </w:tc>
        <w:tc>
          <w:tcPr>
            <w:tcW w:w="382" w:type="pct"/>
            <w:noWrap/>
            <w:vAlign w:val="center"/>
          </w:tcPr>
          <w:p w14:paraId="3898D268" w14:textId="77777777" w:rsidR="00BC399A" w:rsidRPr="00792B36" w:rsidRDefault="00BC399A" w:rsidP="0096560E">
            <w:pPr>
              <w:spacing w:after="100"/>
              <w:jc w:val="center"/>
              <w:rPr>
                <w:rFonts w:eastAsia="Times New Roman"/>
                <w:color w:val="000000"/>
                <w:sz w:val="24"/>
                <w:szCs w:val="24"/>
              </w:rPr>
            </w:pPr>
            <w:r w:rsidRPr="00792B36">
              <w:rPr>
                <w:rFonts w:eastAsia="Times New Roman"/>
                <w:color w:val="000000"/>
                <w:sz w:val="24"/>
                <w:szCs w:val="24"/>
              </w:rPr>
              <w:t>-</w:t>
            </w:r>
          </w:p>
        </w:tc>
        <w:tc>
          <w:tcPr>
            <w:tcW w:w="329" w:type="pct"/>
            <w:noWrap/>
            <w:vAlign w:val="center"/>
          </w:tcPr>
          <w:p w14:paraId="59CCA8C3" w14:textId="77777777" w:rsidR="00BC399A" w:rsidRPr="00792B36" w:rsidRDefault="00BC399A" w:rsidP="0096560E">
            <w:pPr>
              <w:spacing w:after="100"/>
              <w:jc w:val="center"/>
              <w:rPr>
                <w:rFonts w:eastAsia="Times New Roman"/>
                <w:color w:val="000000"/>
                <w:sz w:val="24"/>
                <w:szCs w:val="24"/>
              </w:rPr>
            </w:pPr>
            <w:r w:rsidRPr="00792B36">
              <w:rPr>
                <w:rFonts w:eastAsia="Times New Roman"/>
                <w:color w:val="000000"/>
                <w:sz w:val="24"/>
                <w:szCs w:val="24"/>
              </w:rPr>
              <w:t>-</w:t>
            </w:r>
          </w:p>
        </w:tc>
        <w:tc>
          <w:tcPr>
            <w:tcW w:w="328" w:type="pct"/>
            <w:noWrap/>
            <w:vAlign w:val="center"/>
          </w:tcPr>
          <w:p w14:paraId="1B731789" w14:textId="77777777" w:rsidR="00BC399A" w:rsidRPr="00792B36" w:rsidRDefault="00BC399A" w:rsidP="0096560E">
            <w:pPr>
              <w:spacing w:after="100"/>
              <w:jc w:val="center"/>
              <w:rPr>
                <w:rFonts w:eastAsia="Times New Roman"/>
                <w:color w:val="000000"/>
                <w:sz w:val="24"/>
                <w:szCs w:val="24"/>
              </w:rPr>
            </w:pPr>
            <w:r w:rsidRPr="00792B36">
              <w:rPr>
                <w:rFonts w:eastAsia="Times New Roman"/>
                <w:color w:val="000000"/>
                <w:sz w:val="24"/>
                <w:szCs w:val="24"/>
              </w:rPr>
              <w:t>-</w:t>
            </w:r>
          </w:p>
        </w:tc>
        <w:tc>
          <w:tcPr>
            <w:tcW w:w="382" w:type="pct"/>
            <w:noWrap/>
            <w:vAlign w:val="center"/>
          </w:tcPr>
          <w:p w14:paraId="295A9C51" w14:textId="77777777" w:rsidR="00BC399A" w:rsidRPr="00792B36" w:rsidRDefault="00BC399A" w:rsidP="0096560E">
            <w:pPr>
              <w:spacing w:after="100"/>
              <w:jc w:val="center"/>
              <w:rPr>
                <w:rFonts w:eastAsia="Times New Roman"/>
                <w:color w:val="000000"/>
                <w:sz w:val="24"/>
                <w:szCs w:val="24"/>
              </w:rPr>
            </w:pPr>
            <w:r w:rsidRPr="00792B36">
              <w:rPr>
                <w:rFonts w:eastAsia="Times New Roman"/>
                <w:color w:val="000000"/>
                <w:sz w:val="24"/>
                <w:szCs w:val="24"/>
              </w:rPr>
              <w:t>-</w:t>
            </w:r>
          </w:p>
        </w:tc>
      </w:tr>
      <w:tr w:rsidR="00BC399A" w:rsidRPr="00792B36" w14:paraId="750FE13F" w14:textId="77777777" w:rsidTr="0096560E">
        <w:trPr>
          <w:trHeight w:val="259"/>
          <w:jc w:val="center"/>
        </w:trPr>
        <w:tc>
          <w:tcPr>
            <w:tcW w:w="766" w:type="pct"/>
            <w:noWrap/>
            <w:vAlign w:val="center"/>
          </w:tcPr>
          <w:p w14:paraId="6729887B" w14:textId="77777777" w:rsidR="00BC399A" w:rsidRPr="00792B36" w:rsidRDefault="00BC399A" w:rsidP="0096560E">
            <w:pPr>
              <w:spacing w:after="100"/>
              <w:rPr>
                <w:rFonts w:eastAsia="Times New Roman"/>
                <w:color w:val="000000"/>
                <w:sz w:val="24"/>
                <w:szCs w:val="24"/>
              </w:rPr>
            </w:pPr>
            <w:r w:rsidRPr="00792B36">
              <w:rPr>
                <w:rStyle w:val="Strong"/>
                <w:rFonts w:eastAsiaTheme="minorEastAsia"/>
                <w:sz w:val="24"/>
                <w:szCs w:val="24"/>
              </w:rPr>
              <w:t>Ban Don Bay</w:t>
            </w:r>
            <w:r w:rsidRPr="00792B36">
              <w:rPr>
                <w:b/>
                <w:bCs/>
                <w:sz w:val="24"/>
                <w:szCs w:val="24"/>
              </w:rPr>
              <w:t xml:space="preserve"> </w:t>
            </w:r>
          </w:p>
        </w:tc>
        <w:tc>
          <w:tcPr>
            <w:tcW w:w="328" w:type="pct"/>
            <w:noWrap/>
            <w:vAlign w:val="center"/>
          </w:tcPr>
          <w:p w14:paraId="3F65C341" w14:textId="77777777" w:rsidR="00BC399A" w:rsidRPr="00792B36" w:rsidRDefault="00BC399A" w:rsidP="0096560E">
            <w:pPr>
              <w:spacing w:after="100"/>
              <w:jc w:val="center"/>
              <w:rPr>
                <w:rFonts w:eastAsia="Times New Roman"/>
                <w:sz w:val="24"/>
                <w:szCs w:val="24"/>
              </w:rPr>
            </w:pPr>
            <w:r w:rsidRPr="00792B36">
              <w:rPr>
                <w:rFonts w:eastAsia="Times New Roman"/>
                <w:sz w:val="24"/>
                <w:szCs w:val="24"/>
              </w:rPr>
              <w:t>-</w:t>
            </w:r>
          </w:p>
        </w:tc>
        <w:tc>
          <w:tcPr>
            <w:tcW w:w="328" w:type="pct"/>
            <w:noWrap/>
          </w:tcPr>
          <w:p w14:paraId="3E007605" w14:textId="77777777" w:rsidR="00BC399A" w:rsidRPr="00792B36" w:rsidRDefault="00BC399A" w:rsidP="0096560E">
            <w:pPr>
              <w:spacing w:after="100"/>
              <w:jc w:val="center"/>
              <w:rPr>
                <w:rFonts w:eastAsia="Times New Roman"/>
                <w:color w:val="000000"/>
                <w:sz w:val="24"/>
                <w:szCs w:val="24"/>
              </w:rPr>
            </w:pPr>
            <w:r w:rsidRPr="00792B36">
              <w:rPr>
                <w:sz w:val="24"/>
                <w:szCs w:val="24"/>
              </w:rPr>
              <w:t>2024</w:t>
            </w:r>
          </w:p>
        </w:tc>
        <w:tc>
          <w:tcPr>
            <w:tcW w:w="438" w:type="pct"/>
            <w:noWrap/>
            <w:vAlign w:val="center"/>
          </w:tcPr>
          <w:p w14:paraId="32BC7CC0" w14:textId="77777777" w:rsidR="00BC399A" w:rsidRPr="00792B36" w:rsidRDefault="00BC399A" w:rsidP="0096560E">
            <w:pPr>
              <w:spacing w:after="100"/>
              <w:jc w:val="center"/>
              <w:rPr>
                <w:rFonts w:eastAsia="Times New Roman"/>
                <w:color w:val="000000"/>
                <w:sz w:val="24"/>
                <w:szCs w:val="24"/>
              </w:rPr>
            </w:pPr>
            <w:r w:rsidRPr="00792B36">
              <w:rPr>
                <w:rFonts w:eastAsia="Times New Roman"/>
                <w:color w:val="000000"/>
                <w:sz w:val="24"/>
                <w:szCs w:val="24"/>
              </w:rPr>
              <w:t>-</w:t>
            </w:r>
          </w:p>
        </w:tc>
        <w:tc>
          <w:tcPr>
            <w:tcW w:w="382" w:type="pct"/>
            <w:noWrap/>
            <w:vAlign w:val="center"/>
          </w:tcPr>
          <w:p w14:paraId="040AB0EA" w14:textId="77777777" w:rsidR="00BC399A" w:rsidRPr="00792B36" w:rsidRDefault="00BC399A" w:rsidP="0096560E">
            <w:pPr>
              <w:spacing w:after="100"/>
              <w:jc w:val="center"/>
              <w:rPr>
                <w:rFonts w:eastAsia="Times New Roman"/>
                <w:color w:val="000000"/>
                <w:sz w:val="24"/>
                <w:szCs w:val="24"/>
              </w:rPr>
            </w:pPr>
            <w:r w:rsidRPr="00792B36">
              <w:rPr>
                <w:rFonts w:eastAsia="Times New Roman"/>
                <w:color w:val="000000"/>
                <w:sz w:val="24"/>
                <w:szCs w:val="24"/>
              </w:rPr>
              <w:t>-</w:t>
            </w:r>
          </w:p>
        </w:tc>
        <w:tc>
          <w:tcPr>
            <w:tcW w:w="329" w:type="pct"/>
            <w:noWrap/>
            <w:vAlign w:val="center"/>
          </w:tcPr>
          <w:p w14:paraId="2931A859" w14:textId="77777777" w:rsidR="00BC399A" w:rsidRPr="00792B36" w:rsidRDefault="00BC399A" w:rsidP="0096560E">
            <w:pPr>
              <w:spacing w:after="100"/>
              <w:jc w:val="center"/>
              <w:rPr>
                <w:rFonts w:eastAsia="Times New Roman"/>
                <w:color w:val="000000"/>
                <w:sz w:val="24"/>
                <w:szCs w:val="24"/>
              </w:rPr>
            </w:pPr>
            <w:r w:rsidRPr="00792B36">
              <w:rPr>
                <w:rFonts w:eastAsia="Times New Roman"/>
                <w:color w:val="000000"/>
                <w:sz w:val="24"/>
                <w:szCs w:val="24"/>
              </w:rPr>
              <w:t>-</w:t>
            </w:r>
          </w:p>
        </w:tc>
        <w:tc>
          <w:tcPr>
            <w:tcW w:w="328" w:type="pct"/>
            <w:noWrap/>
            <w:vAlign w:val="center"/>
          </w:tcPr>
          <w:p w14:paraId="71141FAB" w14:textId="77777777" w:rsidR="00BC399A" w:rsidRPr="00792B36" w:rsidRDefault="00BC399A" w:rsidP="0096560E">
            <w:pPr>
              <w:spacing w:after="100"/>
              <w:jc w:val="center"/>
              <w:rPr>
                <w:rFonts w:eastAsia="Times New Roman"/>
                <w:color w:val="000000"/>
                <w:sz w:val="24"/>
                <w:szCs w:val="24"/>
              </w:rPr>
            </w:pPr>
            <w:r w:rsidRPr="00792B36">
              <w:rPr>
                <w:rFonts w:eastAsia="Times New Roman"/>
                <w:color w:val="000000"/>
                <w:sz w:val="24"/>
                <w:szCs w:val="24"/>
              </w:rPr>
              <w:t>-</w:t>
            </w:r>
          </w:p>
        </w:tc>
        <w:tc>
          <w:tcPr>
            <w:tcW w:w="382" w:type="pct"/>
            <w:noWrap/>
            <w:vAlign w:val="center"/>
          </w:tcPr>
          <w:p w14:paraId="2C0FCBF3" w14:textId="77777777" w:rsidR="00BC399A" w:rsidRPr="00792B36" w:rsidRDefault="00BC399A" w:rsidP="0096560E">
            <w:pPr>
              <w:spacing w:after="100"/>
              <w:jc w:val="center"/>
              <w:rPr>
                <w:rFonts w:eastAsia="Times New Roman"/>
                <w:color w:val="000000"/>
                <w:sz w:val="24"/>
                <w:szCs w:val="24"/>
              </w:rPr>
            </w:pPr>
            <w:r w:rsidRPr="00792B36">
              <w:rPr>
                <w:rFonts w:eastAsia="Times New Roman"/>
                <w:color w:val="000000"/>
                <w:sz w:val="24"/>
                <w:szCs w:val="24"/>
              </w:rPr>
              <w:t>1,274</w:t>
            </w:r>
          </w:p>
        </w:tc>
      </w:tr>
      <w:tr w:rsidR="00BC399A" w:rsidRPr="00792B36" w14:paraId="2A936398" w14:textId="77777777" w:rsidTr="0096560E">
        <w:trPr>
          <w:trHeight w:val="259"/>
          <w:jc w:val="center"/>
        </w:trPr>
        <w:tc>
          <w:tcPr>
            <w:tcW w:w="766" w:type="pct"/>
            <w:noWrap/>
            <w:vAlign w:val="center"/>
          </w:tcPr>
          <w:p w14:paraId="7D412206" w14:textId="77777777" w:rsidR="00BC399A" w:rsidRPr="00792B36" w:rsidRDefault="00BC399A" w:rsidP="0096560E">
            <w:pPr>
              <w:spacing w:after="100"/>
              <w:rPr>
                <w:rFonts w:eastAsia="Times New Roman"/>
                <w:color w:val="000000"/>
                <w:sz w:val="24"/>
                <w:szCs w:val="24"/>
              </w:rPr>
            </w:pPr>
            <w:r w:rsidRPr="00792B36">
              <w:rPr>
                <w:rStyle w:val="Strong"/>
                <w:rFonts w:eastAsiaTheme="minorEastAsia"/>
                <w:sz w:val="24"/>
                <w:szCs w:val="24"/>
              </w:rPr>
              <w:t>Chumphon</w:t>
            </w:r>
          </w:p>
        </w:tc>
        <w:tc>
          <w:tcPr>
            <w:tcW w:w="328" w:type="pct"/>
            <w:noWrap/>
            <w:vAlign w:val="center"/>
          </w:tcPr>
          <w:p w14:paraId="46C32ED9" w14:textId="77777777" w:rsidR="00BC399A" w:rsidRPr="00792B36" w:rsidRDefault="00BC399A" w:rsidP="0096560E">
            <w:pPr>
              <w:spacing w:after="100"/>
              <w:jc w:val="center"/>
              <w:rPr>
                <w:rFonts w:eastAsia="Times New Roman"/>
                <w:sz w:val="24"/>
                <w:szCs w:val="24"/>
              </w:rPr>
            </w:pPr>
            <w:r w:rsidRPr="00792B36">
              <w:rPr>
                <w:rFonts w:eastAsia="Times New Roman"/>
                <w:sz w:val="24"/>
                <w:szCs w:val="24"/>
              </w:rPr>
              <w:t>-</w:t>
            </w:r>
          </w:p>
        </w:tc>
        <w:tc>
          <w:tcPr>
            <w:tcW w:w="328" w:type="pct"/>
            <w:noWrap/>
          </w:tcPr>
          <w:p w14:paraId="48E91F9C" w14:textId="77777777" w:rsidR="00BC399A" w:rsidRPr="00792B36" w:rsidRDefault="00BC399A" w:rsidP="0096560E">
            <w:pPr>
              <w:spacing w:after="100"/>
              <w:jc w:val="center"/>
              <w:rPr>
                <w:rFonts w:eastAsia="Times New Roman"/>
                <w:color w:val="000000"/>
                <w:sz w:val="24"/>
                <w:szCs w:val="24"/>
              </w:rPr>
            </w:pPr>
            <w:r w:rsidRPr="00792B36">
              <w:rPr>
                <w:sz w:val="24"/>
                <w:szCs w:val="24"/>
              </w:rPr>
              <w:t>2024</w:t>
            </w:r>
          </w:p>
        </w:tc>
        <w:tc>
          <w:tcPr>
            <w:tcW w:w="438" w:type="pct"/>
            <w:noWrap/>
            <w:vAlign w:val="center"/>
          </w:tcPr>
          <w:p w14:paraId="326E8947" w14:textId="77777777" w:rsidR="00BC399A" w:rsidRPr="00792B36" w:rsidRDefault="00BC399A" w:rsidP="0096560E">
            <w:pPr>
              <w:spacing w:after="100"/>
              <w:jc w:val="center"/>
              <w:rPr>
                <w:rFonts w:eastAsia="Times New Roman"/>
                <w:color w:val="000000"/>
                <w:sz w:val="24"/>
                <w:szCs w:val="24"/>
              </w:rPr>
            </w:pPr>
            <w:r w:rsidRPr="00792B36">
              <w:rPr>
                <w:rFonts w:eastAsia="Times New Roman"/>
                <w:color w:val="000000"/>
                <w:sz w:val="24"/>
                <w:szCs w:val="24"/>
              </w:rPr>
              <w:t>-</w:t>
            </w:r>
          </w:p>
        </w:tc>
        <w:tc>
          <w:tcPr>
            <w:tcW w:w="382" w:type="pct"/>
            <w:noWrap/>
            <w:vAlign w:val="center"/>
          </w:tcPr>
          <w:p w14:paraId="559527F5" w14:textId="77777777" w:rsidR="00BC399A" w:rsidRPr="00792B36" w:rsidRDefault="00BC399A" w:rsidP="0096560E">
            <w:pPr>
              <w:spacing w:after="100"/>
              <w:jc w:val="center"/>
              <w:rPr>
                <w:rFonts w:eastAsia="Times New Roman"/>
                <w:color w:val="000000"/>
                <w:sz w:val="24"/>
                <w:szCs w:val="24"/>
              </w:rPr>
            </w:pPr>
            <w:r w:rsidRPr="00792B36">
              <w:rPr>
                <w:rFonts w:eastAsia="Times New Roman"/>
                <w:color w:val="000000"/>
                <w:sz w:val="24"/>
                <w:szCs w:val="24"/>
              </w:rPr>
              <w:t>-</w:t>
            </w:r>
          </w:p>
        </w:tc>
        <w:tc>
          <w:tcPr>
            <w:tcW w:w="329" w:type="pct"/>
            <w:noWrap/>
            <w:vAlign w:val="center"/>
          </w:tcPr>
          <w:p w14:paraId="562AC090" w14:textId="77777777" w:rsidR="00BC399A" w:rsidRPr="00792B36" w:rsidRDefault="00BC399A" w:rsidP="0096560E">
            <w:pPr>
              <w:spacing w:after="100"/>
              <w:jc w:val="center"/>
              <w:rPr>
                <w:rFonts w:eastAsia="Times New Roman"/>
                <w:color w:val="000000"/>
                <w:sz w:val="24"/>
                <w:szCs w:val="24"/>
              </w:rPr>
            </w:pPr>
            <w:r w:rsidRPr="00792B36">
              <w:rPr>
                <w:rFonts w:eastAsia="Times New Roman"/>
                <w:color w:val="000000"/>
                <w:sz w:val="24"/>
                <w:szCs w:val="24"/>
              </w:rPr>
              <w:t>-</w:t>
            </w:r>
          </w:p>
        </w:tc>
        <w:tc>
          <w:tcPr>
            <w:tcW w:w="328" w:type="pct"/>
            <w:noWrap/>
            <w:vAlign w:val="center"/>
          </w:tcPr>
          <w:p w14:paraId="412A36FE" w14:textId="77777777" w:rsidR="00BC399A" w:rsidRPr="00792B36" w:rsidRDefault="00BC399A" w:rsidP="0096560E">
            <w:pPr>
              <w:spacing w:after="100"/>
              <w:jc w:val="center"/>
              <w:rPr>
                <w:rFonts w:eastAsia="Times New Roman"/>
                <w:color w:val="000000"/>
                <w:sz w:val="24"/>
                <w:szCs w:val="24"/>
              </w:rPr>
            </w:pPr>
            <w:r w:rsidRPr="00792B36">
              <w:rPr>
                <w:rFonts w:eastAsia="Times New Roman"/>
                <w:color w:val="000000"/>
                <w:sz w:val="24"/>
                <w:szCs w:val="24"/>
              </w:rPr>
              <w:t>-</w:t>
            </w:r>
          </w:p>
        </w:tc>
        <w:tc>
          <w:tcPr>
            <w:tcW w:w="382" w:type="pct"/>
            <w:noWrap/>
            <w:vAlign w:val="center"/>
          </w:tcPr>
          <w:p w14:paraId="0B8C9095" w14:textId="77777777" w:rsidR="00BC399A" w:rsidRPr="00792B36" w:rsidRDefault="00BC399A" w:rsidP="0096560E">
            <w:pPr>
              <w:spacing w:after="100"/>
              <w:jc w:val="center"/>
              <w:rPr>
                <w:rFonts w:eastAsia="Times New Roman"/>
                <w:color w:val="000000"/>
                <w:sz w:val="24"/>
                <w:szCs w:val="24"/>
              </w:rPr>
            </w:pPr>
            <w:r w:rsidRPr="00792B36">
              <w:rPr>
                <w:rFonts w:eastAsia="Times New Roman"/>
                <w:color w:val="000000"/>
                <w:sz w:val="24"/>
                <w:szCs w:val="24"/>
              </w:rPr>
              <w:t>1,164</w:t>
            </w:r>
          </w:p>
        </w:tc>
      </w:tr>
    </w:tbl>
    <w:p w14:paraId="3FBF6499" w14:textId="77777777" w:rsidR="00BC399A" w:rsidRPr="00792B36" w:rsidRDefault="00BC399A" w:rsidP="00BC399A">
      <w:pPr>
        <w:spacing w:after="100"/>
        <w:jc w:val="thaiDistribute"/>
        <w:rPr>
          <w:b/>
          <w:bCs/>
          <w:color w:val="000000" w:themeColor="text1"/>
          <w:sz w:val="24"/>
          <w:szCs w:val="24"/>
        </w:rPr>
      </w:pPr>
    </w:p>
    <w:p w14:paraId="10A41E6D" w14:textId="77777777" w:rsidR="00BC399A" w:rsidRPr="00792B36" w:rsidRDefault="00BC399A" w:rsidP="00BC399A">
      <w:pPr>
        <w:spacing w:after="100"/>
        <w:ind w:firstLine="720"/>
        <w:jc w:val="thaiDistribute"/>
        <w:rPr>
          <w:b/>
          <w:bCs/>
          <w:color w:val="000000" w:themeColor="text1"/>
          <w:sz w:val="24"/>
          <w:szCs w:val="24"/>
        </w:rPr>
      </w:pPr>
      <w:r w:rsidRPr="00792B36">
        <w:rPr>
          <w:b/>
          <w:bCs/>
          <w:color w:val="000000" w:themeColor="text1"/>
          <w:sz w:val="24"/>
          <w:szCs w:val="24"/>
        </w:rPr>
        <w:t>4.3.4 Gaps and Priority Challenges</w:t>
      </w:r>
    </w:p>
    <w:p w14:paraId="032FEF4D" w14:textId="77777777" w:rsidR="00BC399A" w:rsidRPr="00792B36" w:rsidRDefault="00BC399A" w:rsidP="00BC399A">
      <w:pPr>
        <w:spacing w:after="100"/>
        <w:ind w:firstLine="720"/>
        <w:jc w:val="thaiDistribute"/>
        <w:rPr>
          <w:color w:val="000000" w:themeColor="text1"/>
          <w:sz w:val="24"/>
          <w:szCs w:val="24"/>
        </w:rPr>
      </w:pPr>
      <w:r w:rsidRPr="00792B36">
        <w:rPr>
          <w:color w:val="000000" w:themeColor="text1"/>
          <w:sz w:val="24"/>
          <w:szCs w:val="24"/>
        </w:rPr>
        <w:t>The assessment reveals that while Thailand has made significant progress in coastal ecosystem management and biodiversity conservation, persistent institutional, technical, and financial gaps continue to hinder effective implementation. These gaps undermine ecosystem resilience, equitable resource use, and the transition toward sustainable, climate-resilient coastal governance.</w:t>
      </w:r>
    </w:p>
    <w:p w14:paraId="60FC1D2F" w14:textId="77777777" w:rsidR="00BC399A" w:rsidRPr="00792B36" w:rsidRDefault="00BC399A" w:rsidP="00BC399A">
      <w:pPr>
        <w:spacing w:after="100"/>
        <w:ind w:firstLine="720"/>
        <w:jc w:val="thaiDistribute"/>
        <w:rPr>
          <w:color w:val="000000" w:themeColor="text1"/>
          <w:sz w:val="24"/>
          <w:szCs w:val="24"/>
        </w:rPr>
      </w:pPr>
      <w:r w:rsidRPr="00792B36">
        <w:rPr>
          <w:color w:val="000000" w:themeColor="text1"/>
          <w:sz w:val="24"/>
          <w:szCs w:val="24"/>
        </w:rPr>
        <w:t>1. Institutional and Policy Gaps</w:t>
      </w:r>
    </w:p>
    <w:p w14:paraId="42F88777" w14:textId="77777777" w:rsidR="00BC399A" w:rsidRPr="00792B36" w:rsidRDefault="00BC399A" w:rsidP="00BC399A">
      <w:pPr>
        <w:spacing w:after="100"/>
        <w:ind w:firstLine="720"/>
        <w:jc w:val="thaiDistribute"/>
        <w:rPr>
          <w:color w:val="000000" w:themeColor="text1"/>
          <w:sz w:val="24"/>
          <w:szCs w:val="24"/>
        </w:rPr>
      </w:pPr>
      <w:r w:rsidRPr="00792B36">
        <w:rPr>
          <w:color w:val="000000" w:themeColor="text1"/>
          <w:sz w:val="24"/>
          <w:szCs w:val="24"/>
        </w:rPr>
        <w:t xml:space="preserve">Fragmented institutional mandates and limited coordination among national and provincial agencies (e.g., DMCR, DNP, RID, and local authorities) have led to overlapping responsibilities and inconsistent enforcement. Despite the presence of national frameworks—such as the </w:t>
      </w:r>
      <w:r w:rsidRPr="00792B36">
        <w:rPr>
          <w:i/>
          <w:iCs/>
          <w:color w:val="000000" w:themeColor="text1"/>
          <w:sz w:val="24"/>
          <w:szCs w:val="24"/>
        </w:rPr>
        <w:t>National Marine and Coastal Resources Management Plan (2023–2027)</w:t>
      </w:r>
      <w:r w:rsidRPr="00792B36">
        <w:rPr>
          <w:color w:val="000000" w:themeColor="text1"/>
          <w:sz w:val="24"/>
          <w:szCs w:val="24"/>
        </w:rPr>
        <w:t xml:space="preserve"> and the </w:t>
      </w:r>
      <w:r w:rsidRPr="00792B36">
        <w:rPr>
          <w:i/>
          <w:iCs/>
          <w:color w:val="000000" w:themeColor="text1"/>
          <w:sz w:val="24"/>
          <w:szCs w:val="24"/>
        </w:rPr>
        <w:t>Thailand Blue Economy Strategy</w:t>
      </w:r>
      <w:r w:rsidRPr="00792B36">
        <w:rPr>
          <w:color w:val="000000" w:themeColor="text1"/>
          <w:sz w:val="24"/>
          <w:szCs w:val="24"/>
        </w:rPr>
        <w:t>—integration across ministries and between land- and sea-based sectors remains weak. Policy continuity and long-term financing mechanisms for ecosystem restoration are often dependent on short-term projects, constraining sustained management outcomes.</w:t>
      </w:r>
    </w:p>
    <w:p w14:paraId="5371C695" w14:textId="77777777" w:rsidR="00BC399A" w:rsidRPr="00792B36" w:rsidRDefault="00BC399A" w:rsidP="00BC399A">
      <w:pPr>
        <w:spacing w:after="100"/>
        <w:ind w:firstLine="720"/>
        <w:jc w:val="thaiDistribute"/>
        <w:rPr>
          <w:color w:val="000000" w:themeColor="text1"/>
          <w:sz w:val="24"/>
          <w:szCs w:val="24"/>
        </w:rPr>
      </w:pPr>
      <w:r w:rsidRPr="00792B36">
        <w:rPr>
          <w:color w:val="000000" w:themeColor="text1"/>
          <w:sz w:val="24"/>
          <w:szCs w:val="24"/>
        </w:rPr>
        <w:t>2. Scientific and Technical Gaps</w:t>
      </w:r>
    </w:p>
    <w:p w14:paraId="4EDC209D" w14:textId="77777777" w:rsidR="00BC399A" w:rsidRPr="00792B36" w:rsidRDefault="00BC399A" w:rsidP="00BC399A">
      <w:pPr>
        <w:spacing w:after="100"/>
        <w:ind w:firstLine="720"/>
        <w:jc w:val="thaiDistribute"/>
        <w:rPr>
          <w:color w:val="000000" w:themeColor="text1"/>
          <w:sz w:val="24"/>
          <w:szCs w:val="24"/>
        </w:rPr>
      </w:pPr>
      <w:r w:rsidRPr="00792B36">
        <w:rPr>
          <w:color w:val="000000" w:themeColor="text1"/>
          <w:sz w:val="24"/>
          <w:szCs w:val="24"/>
        </w:rPr>
        <w:t>Monitoring and data systems for coral reefs, seagrass, mangroves, and coastal wetlands are still uneven and site-specific, limiting the ability to assess cumulative impacts or track long-term ecological change. Critical information gaps include genetic diversity, larval connectivity, blue-carbon fluxes, and socio-economic valuation. The absence of standardized indicators and data-sharing protocols impedes cross-sectoral planning and regional collaboration, particularly for transboundary ecosystems within the Gulf of Thailand.</w:t>
      </w:r>
    </w:p>
    <w:p w14:paraId="6DDC02BF" w14:textId="77777777" w:rsidR="00BC399A" w:rsidRPr="00792B36" w:rsidRDefault="00BC399A" w:rsidP="00BC399A">
      <w:pPr>
        <w:spacing w:after="100"/>
        <w:ind w:firstLine="720"/>
        <w:jc w:val="thaiDistribute"/>
        <w:rPr>
          <w:color w:val="000000" w:themeColor="text1"/>
          <w:sz w:val="24"/>
          <w:szCs w:val="24"/>
        </w:rPr>
      </w:pPr>
      <w:r w:rsidRPr="00792B36">
        <w:rPr>
          <w:color w:val="000000" w:themeColor="text1"/>
          <w:sz w:val="24"/>
          <w:szCs w:val="24"/>
        </w:rPr>
        <w:t>3. Socio-Economic and Governance Challenges</w:t>
      </w:r>
    </w:p>
    <w:p w14:paraId="2C623FD1" w14:textId="77777777" w:rsidR="00BC399A" w:rsidRPr="00792B36" w:rsidRDefault="00BC399A" w:rsidP="00BC399A">
      <w:pPr>
        <w:spacing w:after="100"/>
        <w:ind w:firstLine="720"/>
        <w:jc w:val="thaiDistribute"/>
        <w:rPr>
          <w:color w:val="000000" w:themeColor="text1"/>
          <w:sz w:val="24"/>
          <w:szCs w:val="24"/>
        </w:rPr>
      </w:pPr>
      <w:r w:rsidRPr="00792B36">
        <w:rPr>
          <w:color w:val="000000" w:themeColor="text1"/>
          <w:sz w:val="24"/>
          <w:szCs w:val="24"/>
        </w:rPr>
        <w:t xml:space="preserve">Coastal resource use remains heavily influenced by market-driven pressures, </w:t>
      </w:r>
      <w:r w:rsidRPr="00792B36">
        <w:rPr>
          <w:color w:val="000000" w:themeColor="text1"/>
          <w:sz w:val="24"/>
          <w:szCs w:val="24"/>
        </w:rPr>
        <w:lastRenderedPageBreak/>
        <w:t>including aquaculture expansion, industrial development, and unregulated tourism. These drivers exacerbate habitat degradation and social inequality in resource access. Community-based management initiatives have proven effective in pilot sites but often lack formal institutional support, legal recognition, and access to financing. Limited incentives for sustainable practices reduce participation in conservation and blue-carbon initiatives.</w:t>
      </w:r>
    </w:p>
    <w:p w14:paraId="5036F417" w14:textId="77777777" w:rsidR="00BC399A" w:rsidRPr="00792B36" w:rsidRDefault="00BC399A" w:rsidP="00BC399A">
      <w:pPr>
        <w:spacing w:after="100"/>
        <w:ind w:firstLine="720"/>
        <w:jc w:val="thaiDistribute"/>
        <w:rPr>
          <w:color w:val="000000" w:themeColor="text1"/>
          <w:sz w:val="24"/>
          <w:szCs w:val="24"/>
        </w:rPr>
      </w:pPr>
      <w:r w:rsidRPr="00792B36">
        <w:rPr>
          <w:color w:val="000000" w:themeColor="text1"/>
          <w:sz w:val="24"/>
          <w:szCs w:val="24"/>
        </w:rPr>
        <w:t>4. Climate and Environmental Pressures</w:t>
      </w:r>
    </w:p>
    <w:p w14:paraId="673EF4EA" w14:textId="77777777" w:rsidR="00BC399A" w:rsidRPr="00792B36" w:rsidRDefault="00BC399A" w:rsidP="00BC399A">
      <w:pPr>
        <w:spacing w:after="100"/>
        <w:ind w:firstLine="720"/>
        <w:jc w:val="thaiDistribute"/>
        <w:rPr>
          <w:color w:val="000000" w:themeColor="text1"/>
          <w:sz w:val="24"/>
          <w:szCs w:val="24"/>
        </w:rPr>
      </w:pPr>
      <w:r w:rsidRPr="00792B36">
        <w:rPr>
          <w:color w:val="000000" w:themeColor="text1"/>
          <w:sz w:val="24"/>
          <w:szCs w:val="24"/>
        </w:rPr>
        <w:t>Rising sea-surface temperatures, erosion, saltwater intrusion, and changing rainfall patterns have amplified ecosystem vulnerability, particularly in deltaic and estuarine regions such as Bandon Bay and Pak Phanang Bay. The lack of integrated catchment-to-coast planning and weak adaptation frameworks leave coastal communities increasingly exposed to climate-induced risks and economic losses.</w:t>
      </w:r>
    </w:p>
    <w:p w14:paraId="754697AF" w14:textId="77777777" w:rsidR="00BC399A" w:rsidRPr="00792B36" w:rsidRDefault="00BC399A" w:rsidP="00BC399A">
      <w:pPr>
        <w:spacing w:after="100"/>
        <w:ind w:firstLine="720"/>
        <w:rPr>
          <w:color w:val="000000" w:themeColor="text1"/>
          <w:sz w:val="24"/>
          <w:szCs w:val="24"/>
        </w:rPr>
      </w:pPr>
      <w:r w:rsidRPr="00792B36">
        <w:rPr>
          <w:color w:val="000000" w:themeColor="text1"/>
          <w:sz w:val="24"/>
          <w:szCs w:val="24"/>
        </w:rPr>
        <w:t>5. Priority Actions</w:t>
      </w:r>
    </w:p>
    <w:p w14:paraId="30361D3F" w14:textId="77777777" w:rsidR="00BC399A" w:rsidRPr="00792B36" w:rsidRDefault="00BC399A" w:rsidP="00BC399A">
      <w:pPr>
        <w:spacing w:after="100"/>
        <w:ind w:firstLine="720"/>
        <w:rPr>
          <w:color w:val="000000" w:themeColor="text1"/>
          <w:sz w:val="24"/>
          <w:szCs w:val="24"/>
        </w:rPr>
      </w:pPr>
      <w:r w:rsidRPr="00792B36">
        <w:rPr>
          <w:color w:val="000000" w:themeColor="text1"/>
          <w:sz w:val="24"/>
          <w:szCs w:val="24"/>
        </w:rPr>
        <w:t>To close these gaps, the report recommends:</w:t>
      </w:r>
    </w:p>
    <w:p w14:paraId="270CB95A" w14:textId="77777777" w:rsidR="00BC399A" w:rsidRPr="00792B36" w:rsidRDefault="00BC399A" w:rsidP="00F61B37">
      <w:pPr>
        <w:widowControl/>
        <w:numPr>
          <w:ilvl w:val="0"/>
          <w:numId w:val="79"/>
        </w:numPr>
        <w:spacing w:after="100"/>
        <w:rPr>
          <w:color w:val="000000" w:themeColor="text1"/>
          <w:sz w:val="24"/>
          <w:szCs w:val="24"/>
        </w:rPr>
      </w:pPr>
      <w:r w:rsidRPr="00792B36">
        <w:rPr>
          <w:color w:val="000000" w:themeColor="text1"/>
          <w:sz w:val="24"/>
          <w:szCs w:val="24"/>
        </w:rPr>
        <w:t>Establishing a unified national database for coastal and marine biodiversity monitoring.</w:t>
      </w:r>
    </w:p>
    <w:p w14:paraId="2E2F85C4" w14:textId="77777777" w:rsidR="00BC399A" w:rsidRPr="00792B36" w:rsidRDefault="00BC399A" w:rsidP="00F61B37">
      <w:pPr>
        <w:widowControl/>
        <w:numPr>
          <w:ilvl w:val="0"/>
          <w:numId w:val="79"/>
        </w:numPr>
        <w:spacing w:after="100"/>
        <w:rPr>
          <w:color w:val="000000" w:themeColor="text1"/>
          <w:sz w:val="24"/>
          <w:szCs w:val="24"/>
        </w:rPr>
      </w:pPr>
      <w:r w:rsidRPr="00792B36">
        <w:rPr>
          <w:color w:val="000000" w:themeColor="text1"/>
          <w:sz w:val="24"/>
          <w:szCs w:val="24"/>
        </w:rPr>
        <w:t>Institutionalizing ecosystem-based and blue-carbon accounting into national planning and climate-finance systems.</w:t>
      </w:r>
    </w:p>
    <w:p w14:paraId="702B8266" w14:textId="77777777" w:rsidR="00BC399A" w:rsidRPr="00792B36" w:rsidRDefault="00BC399A" w:rsidP="00F61B37">
      <w:pPr>
        <w:widowControl/>
        <w:numPr>
          <w:ilvl w:val="0"/>
          <w:numId w:val="79"/>
        </w:numPr>
        <w:spacing w:after="100"/>
        <w:rPr>
          <w:color w:val="000000" w:themeColor="text1"/>
          <w:sz w:val="24"/>
          <w:szCs w:val="24"/>
        </w:rPr>
      </w:pPr>
      <w:r w:rsidRPr="00792B36">
        <w:rPr>
          <w:color w:val="000000" w:themeColor="text1"/>
          <w:sz w:val="24"/>
          <w:szCs w:val="24"/>
        </w:rPr>
        <w:t>Strengthening co-management and community empowerment with sustained technical and financial support.</w:t>
      </w:r>
    </w:p>
    <w:p w14:paraId="503666DC" w14:textId="77777777" w:rsidR="00BC399A" w:rsidRPr="00792B36" w:rsidRDefault="00BC399A" w:rsidP="00F61B37">
      <w:pPr>
        <w:widowControl/>
        <w:numPr>
          <w:ilvl w:val="0"/>
          <w:numId w:val="79"/>
        </w:numPr>
        <w:spacing w:after="100"/>
        <w:rPr>
          <w:color w:val="000000" w:themeColor="text1"/>
          <w:sz w:val="24"/>
          <w:szCs w:val="24"/>
        </w:rPr>
      </w:pPr>
      <w:r w:rsidRPr="00792B36">
        <w:rPr>
          <w:color w:val="000000" w:themeColor="text1"/>
          <w:sz w:val="24"/>
          <w:szCs w:val="24"/>
        </w:rPr>
        <w:t>Enhancing regional coordination under the South China Sea SAP and ASEAN Biodiversity Framework for transboundary habitat protection.</w:t>
      </w:r>
    </w:p>
    <w:p w14:paraId="5214DDAA" w14:textId="77777777" w:rsidR="00BC399A" w:rsidRPr="00792B36" w:rsidRDefault="00BC399A" w:rsidP="00BC399A">
      <w:pPr>
        <w:spacing w:after="100"/>
        <w:ind w:firstLine="720"/>
        <w:jc w:val="thaiDistribute"/>
        <w:rPr>
          <w:color w:val="000000" w:themeColor="text1"/>
          <w:sz w:val="24"/>
          <w:szCs w:val="24"/>
        </w:rPr>
      </w:pPr>
      <w:r w:rsidRPr="00792B36">
        <w:rPr>
          <w:color w:val="000000" w:themeColor="text1"/>
          <w:sz w:val="24"/>
          <w:szCs w:val="24"/>
        </w:rPr>
        <w:t>Bridging these gaps requires transforming Thailand’s coastal governance from project-based interventions to systemic, science-driven, and inclusive management. Prioritizing long-term investment in data, institutions, and community partnerships will ensure that the Gulf of Thailand’s ecosystems continue to provide vital ecological, economic, and climate-resilience benefits for the nation and the region.</w:t>
      </w:r>
    </w:p>
    <w:p w14:paraId="3CB4506D" w14:textId="77777777" w:rsidR="00BC399A" w:rsidRPr="00792B36" w:rsidRDefault="00BC399A" w:rsidP="00BC399A">
      <w:pPr>
        <w:spacing w:after="100"/>
        <w:ind w:firstLine="720"/>
        <w:jc w:val="thaiDistribute"/>
        <w:rPr>
          <w:color w:val="000000" w:themeColor="text1"/>
          <w:sz w:val="24"/>
          <w:szCs w:val="24"/>
        </w:rPr>
      </w:pPr>
    </w:p>
    <w:p w14:paraId="05889123" w14:textId="77777777" w:rsidR="00BC399A" w:rsidRPr="00792B36" w:rsidRDefault="00BC399A" w:rsidP="00BC399A">
      <w:pPr>
        <w:spacing w:after="100"/>
        <w:ind w:firstLine="720"/>
        <w:jc w:val="thaiDistribute"/>
        <w:rPr>
          <w:b/>
          <w:bCs/>
          <w:color w:val="000000" w:themeColor="text1"/>
          <w:sz w:val="24"/>
          <w:szCs w:val="24"/>
        </w:rPr>
      </w:pPr>
      <w:r w:rsidRPr="00792B36">
        <w:rPr>
          <w:b/>
          <w:bCs/>
          <w:color w:val="000000" w:themeColor="text1"/>
          <w:sz w:val="24"/>
          <w:szCs w:val="24"/>
        </w:rPr>
        <w:t>4.3.5 Recommended priority actions including regional cooperation</w:t>
      </w:r>
    </w:p>
    <w:p w14:paraId="63349F0A" w14:textId="77777777" w:rsidR="00BC399A" w:rsidRPr="00792B36" w:rsidRDefault="00BC399A" w:rsidP="00BC399A">
      <w:pPr>
        <w:spacing w:after="100"/>
        <w:ind w:firstLine="720"/>
        <w:jc w:val="thaiDistribute"/>
        <w:rPr>
          <w:color w:val="000000" w:themeColor="text1"/>
          <w:sz w:val="24"/>
          <w:szCs w:val="24"/>
        </w:rPr>
      </w:pPr>
      <w:r w:rsidRPr="00792B36">
        <w:rPr>
          <w:color w:val="000000" w:themeColor="text1"/>
          <w:sz w:val="24"/>
          <w:szCs w:val="24"/>
        </w:rPr>
        <w:t>The findings of the Transboundary Diagnostic Analysis (TDA) for Thailand highlight that the long-term sustainability of the Gulf of Thailand’s ecosystems depends on collective action addressing biodiversity loss, ecosystem degradation, and climate change impacts. To secure the ecological and socio-economic value of these ecosystems, the report identifies a series of priority actions and regional cooperation mechanisms that strengthen science-based management, policy integration, and stakeholder participation.</w:t>
      </w:r>
    </w:p>
    <w:p w14:paraId="74C62CBA" w14:textId="77777777" w:rsidR="00BC399A" w:rsidRPr="00792B36" w:rsidRDefault="00BC399A" w:rsidP="00BC399A">
      <w:pPr>
        <w:spacing w:after="100"/>
        <w:ind w:firstLine="720"/>
        <w:rPr>
          <w:color w:val="000000" w:themeColor="text1"/>
          <w:sz w:val="24"/>
          <w:szCs w:val="24"/>
        </w:rPr>
      </w:pPr>
      <w:r w:rsidRPr="00792B36">
        <w:rPr>
          <w:color w:val="000000" w:themeColor="text1"/>
          <w:sz w:val="24"/>
          <w:szCs w:val="24"/>
        </w:rPr>
        <w:t>1. Strengthening Ecosystem-Based Management and Restoration</w:t>
      </w:r>
    </w:p>
    <w:p w14:paraId="71AEE390" w14:textId="77777777" w:rsidR="00BC399A" w:rsidRPr="00792B36" w:rsidRDefault="00BC399A" w:rsidP="00BC399A">
      <w:pPr>
        <w:spacing w:after="100"/>
        <w:ind w:firstLine="720"/>
        <w:jc w:val="thaiDistribute"/>
        <w:rPr>
          <w:color w:val="000000" w:themeColor="text1"/>
          <w:sz w:val="24"/>
          <w:szCs w:val="24"/>
        </w:rPr>
      </w:pPr>
      <w:r w:rsidRPr="00792B36">
        <w:rPr>
          <w:color w:val="000000" w:themeColor="text1"/>
          <w:sz w:val="24"/>
          <w:szCs w:val="24"/>
        </w:rPr>
        <w:t>Thailand should accelerate the implementation of ecosystem-based management (EBM) across coral reef, seagrass, mangrove, and wetland ecosystems. This includes scaling up restoration projects, establishing ecological corridors that link critical habitats, and integrating blue carbon management into climate strategies. Ongoing initiatives under the Department of Marine and Coastal Resources (DMCR), such as mangrove rehabilitation, coral and seagrass restoration, and OECM site designation, provide models for replication across the region.</w:t>
      </w:r>
    </w:p>
    <w:p w14:paraId="5D5CFF3A" w14:textId="77777777" w:rsidR="00BC399A" w:rsidRPr="00792B36" w:rsidRDefault="00BC399A" w:rsidP="00BC399A">
      <w:pPr>
        <w:spacing w:after="100"/>
        <w:ind w:firstLine="720"/>
        <w:rPr>
          <w:color w:val="000000" w:themeColor="text1"/>
          <w:sz w:val="24"/>
          <w:szCs w:val="24"/>
        </w:rPr>
      </w:pPr>
      <w:r w:rsidRPr="00792B36">
        <w:rPr>
          <w:color w:val="000000" w:themeColor="text1"/>
          <w:sz w:val="24"/>
          <w:szCs w:val="24"/>
        </w:rPr>
        <w:t>2. Enhancing Policy Integration and Institutional Coordination</w:t>
      </w:r>
    </w:p>
    <w:p w14:paraId="53B82DE9" w14:textId="77777777" w:rsidR="00BC399A" w:rsidRPr="00792B36" w:rsidRDefault="00BC399A" w:rsidP="00BC399A">
      <w:pPr>
        <w:spacing w:after="100"/>
        <w:ind w:firstLine="720"/>
        <w:jc w:val="thaiDistribute"/>
        <w:rPr>
          <w:color w:val="000000" w:themeColor="text1"/>
          <w:sz w:val="24"/>
          <w:szCs w:val="24"/>
        </w:rPr>
      </w:pPr>
      <w:r w:rsidRPr="00792B36">
        <w:rPr>
          <w:color w:val="000000" w:themeColor="text1"/>
          <w:sz w:val="24"/>
          <w:szCs w:val="24"/>
        </w:rPr>
        <w:lastRenderedPageBreak/>
        <w:t>To address fragmented governance, the report calls for the harmonization of coastal management policies among key agencies (DMCR, DNP, RID, Department of Fisheries, and local governments). Developing a unified national marine spatial database and strengthening coordination mechanisms between the National Committee on Marine and Coastal Resources Management and provincial authorities are essential to ensure consistent planning, enforcement, and monitoring.</w:t>
      </w:r>
    </w:p>
    <w:p w14:paraId="5BC61551" w14:textId="77777777" w:rsidR="00BC399A" w:rsidRPr="00792B36" w:rsidRDefault="00BC399A" w:rsidP="00BC399A">
      <w:pPr>
        <w:spacing w:after="100"/>
        <w:ind w:firstLine="720"/>
        <w:rPr>
          <w:color w:val="000000" w:themeColor="text1"/>
          <w:sz w:val="24"/>
          <w:szCs w:val="24"/>
        </w:rPr>
      </w:pPr>
      <w:r w:rsidRPr="00792B36">
        <w:rPr>
          <w:color w:val="000000" w:themeColor="text1"/>
          <w:sz w:val="24"/>
          <w:szCs w:val="24"/>
        </w:rPr>
        <w:t>3. Expanding Regional Cooperation under the South China Sea and ASEAN Frameworks</w:t>
      </w:r>
    </w:p>
    <w:p w14:paraId="592C9DD0" w14:textId="77777777" w:rsidR="00BC399A" w:rsidRPr="00792B36" w:rsidRDefault="00BC399A" w:rsidP="00BC399A">
      <w:pPr>
        <w:spacing w:after="100"/>
        <w:ind w:firstLine="720"/>
        <w:jc w:val="thaiDistribute"/>
        <w:rPr>
          <w:color w:val="000000" w:themeColor="text1"/>
          <w:sz w:val="24"/>
          <w:szCs w:val="24"/>
        </w:rPr>
      </w:pPr>
      <w:r w:rsidRPr="00792B36">
        <w:rPr>
          <w:color w:val="000000" w:themeColor="text1"/>
          <w:sz w:val="24"/>
          <w:szCs w:val="24"/>
        </w:rPr>
        <w:t>Given the shared ecological and economic importance of the Gulf of Thailand, regional collaboration is critical. Thailand should continue active engagement with neighboring countries</w:t>
      </w:r>
      <w:r w:rsidRPr="00792B36">
        <w:rPr>
          <w:color w:val="000000" w:themeColor="text1"/>
          <w:sz w:val="24"/>
          <w:szCs w:val="24"/>
          <w:cs/>
        </w:rPr>
        <w:t xml:space="preserve"> </w:t>
      </w:r>
      <w:r w:rsidRPr="00792B36">
        <w:rPr>
          <w:color w:val="000000" w:themeColor="text1"/>
          <w:sz w:val="24"/>
          <w:szCs w:val="24"/>
        </w:rPr>
        <w:t>Cambodia, Vietnam, and Malaysia</w:t>
      </w:r>
      <w:r w:rsidRPr="00792B36">
        <w:rPr>
          <w:color w:val="000000" w:themeColor="text1"/>
          <w:sz w:val="24"/>
          <w:szCs w:val="24"/>
          <w:cs/>
        </w:rPr>
        <w:t xml:space="preserve"> </w:t>
      </w:r>
      <w:r w:rsidRPr="00792B36">
        <w:rPr>
          <w:color w:val="000000" w:themeColor="text1"/>
          <w:sz w:val="24"/>
          <w:szCs w:val="24"/>
        </w:rPr>
        <w:t>through the Strategic Action Programme (SAP) for the South China Sea, COBSEA, and the ASEAN Centre for Biodiversity (ACB). Joint research on transboundary species migration, marine pollution control, and blue carbon accounting should be prioritized to harmonize monitoring and support regional policy coherence.</w:t>
      </w:r>
    </w:p>
    <w:p w14:paraId="1FAF2927" w14:textId="77777777" w:rsidR="00BC399A" w:rsidRPr="00792B36" w:rsidRDefault="00BC399A" w:rsidP="00BC399A">
      <w:pPr>
        <w:spacing w:after="100"/>
        <w:ind w:firstLine="720"/>
        <w:rPr>
          <w:color w:val="000000" w:themeColor="text1"/>
          <w:sz w:val="24"/>
          <w:szCs w:val="24"/>
        </w:rPr>
      </w:pPr>
      <w:r w:rsidRPr="00792B36">
        <w:rPr>
          <w:color w:val="000000" w:themeColor="text1"/>
          <w:sz w:val="24"/>
          <w:szCs w:val="24"/>
        </w:rPr>
        <w:t>4. Promoting Sustainable Blue Economy and Financing Mechanisms</w:t>
      </w:r>
    </w:p>
    <w:p w14:paraId="1DCA88EC" w14:textId="77777777" w:rsidR="00BC399A" w:rsidRPr="00792B36" w:rsidRDefault="00BC399A" w:rsidP="00BC399A">
      <w:pPr>
        <w:spacing w:after="100"/>
        <w:ind w:firstLine="720"/>
        <w:jc w:val="thaiDistribute"/>
        <w:rPr>
          <w:color w:val="000000" w:themeColor="text1"/>
          <w:sz w:val="24"/>
          <w:szCs w:val="24"/>
        </w:rPr>
      </w:pPr>
      <w:r w:rsidRPr="00792B36">
        <w:rPr>
          <w:color w:val="000000" w:themeColor="text1"/>
          <w:sz w:val="24"/>
          <w:szCs w:val="24"/>
        </w:rPr>
        <w:t>Economic growth must align with ecosystem resilience. The report recommends developing coastal financing mechanisms, including blue bonds, payment for ecosystem services (PES), and carbon-credit markets for mangrove and seagrass restoration. Strengthening community-based enterprises in ecotourism and sustainable aquaculture can generate inclusive benefits while reducing resource pressure.</w:t>
      </w:r>
    </w:p>
    <w:p w14:paraId="7DF391B5" w14:textId="77777777" w:rsidR="00BC399A" w:rsidRPr="00792B36" w:rsidRDefault="00BC399A" w:rsidP="00BC399A">
      <w:pPr>
        <w:spacing w:after="100"/>
        <w:ind w:firstLine="720"/>
        <w:rPr>
          <w:color w:val="000000" w:themeColor="text1"/>
          <w:sz w:val="24"/>
          <w:szCs w:val="24"/>
        </w:rPr>
      </w:pPr>
      <w:r w:rsidRPr="00792B36">
        <w:rPr>
          <w:color w:val="000000" w:themeColor="text1"/>
          <w:sz w:val="24"/>
          <w:szCs w:val="24"/>
        </w:rPr>
        <w:t>5. Building Capacity and Knowledge Sharing</w:t>
      </w:r>
    </w:p>
    <w:p w14:paraId="0429D401" w14:textId="77777777" w:rsidR="00BC399A" w:rsidRPr="00792B36" w:rsidRDefault="00BC399A" w:rsidP="00BC399A">
      <w:pPr>
        <w:spacing w:after="100"/>
        <w:ind w:firstLine="720"/>
        <w:jc w:val="thaiDistribute"/>
        <w:rPr>
          <w:color w:val="000000" w:themeColor="text1"/>
          <w:sz w:val="24"/>
          <w:szCs w:val="24"/>
        </w:rPr>
      </w:pPr>
      <w:r w:rsidRPr="00792B36">
        <w:rPr>
          <w:color w:val="000000" w:themeColor="text1"/>
          <w:sz w:val="24"/>
          <w:szCs w:val="24"/>
        </w:rPr>
        <w:t>Regional and national institutions should enhance capacity-building through technical training, knowledge exchange, and data-sharing platforms. The establishment of a Regional Marine Biodiversity Data Hub under ASEAN and COBSEA would facilitate access to standardized datasets, improving joint decision-making and progress tracking toward Sustainable Development Goals (SDGs 13, 14, and 15).</w:t>
      </w:r>
    </w:p>
    <w:p w14:paraId="53B6D898" w14:textId="77777777" w:rsidR="00BC399A" w:rsidRPr="00792B36" w:rsidRDefault="00BC399A" w:rsidP="00BC399A">
      <w:pPr>
        <w:spacing w:after="100"/>
        <w:ind w:firstLine="720"/>
        <w:jc w:val="thaiDistribute"/>
        <w:rPr>
          <w:color w:val="000000" w:themeColor="text1"/>
          <w:sz w:val="24"/>
          <w:szCs w:val="24"/>
        </w:rPr>
      </w:pPr>
      <w:r w:rsidRPr="00792B36">
        <w:rPr>
          <w:color w:val="000000" w:themeColor="text1"/>
          <w:sz w:val="24"/>
          <w:szCs w:val="24"/>
        </w:rPr>
        <w:t>Effective conservation and management of the Gulf of Thailand’s ecosystems depend on Thailand’s ability to transition from localized projects to integrated, regionally coordinated action. By coupling national leadership with regional cooperation, Thailand can strengthen biodiversity protection, enhance blue-carbon potential, and secure sustainable livelihoods, positioning the Gulf as a model for transboundary marine governance and climate-resilient development within the South China Sea region.</w:t>
      </w:r>
    </w:p>
    <w:p w14:paraId="28A01BD5" w14:textId="77777777" w:rsidR="00BC399A" w:rsidRPr="00792B36" w:rsidRDefault="00BC399A" w:rsidP="00BC399A">
      <w:pPr>
        <w:spacing w:after="100"/>
        <w:ind w:firstLine="720"/>
        <w:rPr>
          <w:color w:val="000000" w:themeColor="text1"/>
          <w:sz w:val="24"/>
          <w:szCs w:val="24"/>
        </w:rPr>
      </w:pPr>
    </w:p>
    <w:p w14:paraId="21588157" w14:textId="77777777" w:rsidR="00BC399A" w:rsidRPr="00792B36" w:rsidRDefault="00BC399A" w:rsidP="00BC399A">
      <w:pPr>
        <w:jc w:val="thaiDistribute"/>
        <w:rPr>
          <w:b/>
          <w:bCs/>
          <w:sz w:val="24"/>
          <w:szCs w:val="24"/>
        </w:rPr>
      </w:pPr>
      <w:r w:rsidRPr="00792B36">
        <w:rPr>
          <w:b/>
          <w:bCs/>
          <w:sz w:val="24"/>
          <w:szCs w:val="24"/>
        </w:rPr>
        <w:t>References</w:t>
      </w:r>
    </w:p>
    <w:p w14:paraId="5B669A9B" w14:textId="77777777" w:rsidR="00BC399A" w:rsidRPr="00792B36" w:rsidRDefault="00BC399A" w:rsidP="00BC399A">
      <w:pPr>
        <w:ind w:left="851" w:hanging="851"/>
        <w:jc w:val="thaiDistribute"/>
        <w:rPr>
          <w:sz w:val="24"/>
          <w:szCs w:val="24"/>
        </w:rPr>
      </w:pPr>
      <w:r w:rsidRPr="00792B36">
        <w:rPr>
          <w:sz w:val="24"/>
          <w:szCs w:val="24"/>
        </w:rPr>
        <w:t xml:space="preserve">Department of Marine and Coastal Resources. (2024). </w:t>
      </w:r>
      <w:r w:rsidRPr="00792B36">
        <w:rPr>
          <w:i/>
          <w:iCs/>
          <w:sz w:val="24"/>
          <w:szCs w:val="24"/>
        </w:rPr>
        <w:t>Report on the situation of marine and coastal resources and coastal erosion in Chumphon Province.</w:t>
      </w:r>
      <w:r w:rsidRPr="00792B36">
        <w:rPr>
          <w:sz w:val="24"/>
          <w:szCs w:val="24"/>
        </w:rPr>
        <w:t xml:space="preserve"> Department of Marine and Coastal Resources, Ministry of Natural Resources and Environment.</w:t>
      </w:r>
    </w:p>
    <w:p w14:paraId="0A460866" w14:textId="77777777" w:rsidR="00BC399A" w:rsidRPr="00792B36" w:rsidRDefault="00BC399A" w:rsidP="00BC399A">
      <w:pPr>
        <w:ind w:left="851" w:hanging="851"/>
        <w:jc w:val="thaiDistribute"/>
        <w:rPr>
          <w:sz w:val="24"/>
          <w:szCs w:val="24"/>
        </w:rPr>
      </w:pPr>
      <w:r w:rsidRPr="00792B36">
        <w:rPr>
          <w:sz w:val="24"/>
          <w:szCs w:val="24"/>
        </w:rPr>
        <w:t xml:space="preserve">Department of Marine and Coastal Resources. (2024). </w:t>
      </w:r>
      <w:r w:rsidRPr="00792B36">
        <w:rPr>
          <w:i/>
          <w:iCs/>
          <w:sz w:val="24"/>
          <w:szCs w:val="24"/>
        </w:rPr>
        <w:t>Report on the situation of marine and coastal resources and coastal erosion in Chon Buri Province.</w:t>
      </w:r>
      <w:r w:rsidRPr="00792B36">
        <w:rPr>
          <w:sz w:val="24"/>
          <w:szCs w:val="24"/>
        </w:rPr>
        <w:t xml:space="preserve"> Department of Marine and Coastal Resources, Ministry of Natural Resources and Environment.</w:t>
      </w:r>
    </w:p>
    <w:p w14:paraId="3BBCED99" w14:textId="77777777" w:rsidR="00BC399A" w:rsidRPr="00792B36" w:rsidRDefault="00BC399A" w:rsidP="00BC399A">
      <w:pPr>
        <w:ind w:left="851" w:hanging="851"/>
        <w:jc w:val="thaiDistribute"/>
        <w:rPr>
          <w:sz w:val="24"/>
          <w:szCs w:val="24"/>
        </w:rPr>
      </w:pPr>
      <w:r w:rsidRPr="00792B36">
        <w:rPr>
          <w:sz w:val="24"/>
          <w:szCs w:val="24"/>
        </w:rPr>
        <w:t xml:space="preserve">Department of Marine and Coastal Resources. (2024). </w:t>
      </w:r>
      <w:r w:rsidRPr="00792B36">
        <w:rPr>
          <w:i/>
          <w:iCs/>
          <w:sz w:val="24"/>
          <w:szCs w:val="24"/>
        </w:rPr>
        <w:t xml:space="preserve">Report on the situation of </w:t>
      </w:r>
      <w:r w:rsidRPr="00792B36">
        <w:rPr>
          <w:i/>
          <w:iCs/>
          <w:sz w:val="24"/>
          <w:szCs w:val="24"/>
        </w:rPr>
        <w:lastRenderedPageBreak/>
        <w:t>marine and coastal resources and coastal erosion in Chanthaburi Province.</w:t>
      </w:r>
      <w:r w:rsidRPr="00792B36">
        <w:rPr>
          <w:sz w:val="24"/>
          <w:szCs w:val="24"/>
        </w:rPr>
        <w:t xml:space="preserve"> Department of Marine and Coastal Resources, Ministry of Natural Resources and Environment.</w:t>
      </w:r>
    </w:p>
    <w:p w14:paraId="59F3D76E" w14:textId="77777777" w:rsidR="00BC399A" w:rsidRPr="00792B36" w:rsidRDefault="00BC399A" w:rsidP="00BC399A">
      <w:pPr>
        <w:ind w:left="851" w:hanging="851"/>
        <w:jc w:val="thaiDistribute"/>
        <w:rPr>
          <w:sz w:val="24"/>
          <w:szCs w:val="24"/>
        </w:rPr>
      </w:pPr>
      <w:r w:rsidRPr="00792B36">
        <w:rPr>
          <w:sz w:val="24"/>
          <w:szCs w:val="24"/>
        </w:rPr>
        <w:t xml:space="preserve">Department of Marine and Coastal Resources. (2024). </w:t>
      </w:r>
      <w:r w:rsidRPr="00792B36">
        <w:rPr>
          <w:i/>
          <w:iCs/>
          <w:sz w:val="24"/>
          <w:szCs w:val="24"/>
        </w:rPr>
        <w:t>Report on the situation of marine and coastal resources and coastal erosion in Surat Thani Province.</w:t>
      </w:r>
      <w:r w:rsidRPr="00792B36">
        <w:rPr>
          <w:sz w:val="24"/>
          <w:szCs w:val="24"/>
        </w:rPr>
        <w:t xml:space="preserve"> Department of Marine and Coastal Resources, Ministry of Natural Resources and Environment.</w:t>
      </w:r>
    </w:p>
    <w:p w14:paraId="7A9C706C" w14:textId="77777777" w:rsidR="00BC399A" w:rsidRPr="00792B36" w:rsidRDefault="00BC399A" w:rsidP="00BC399A">
      <w:pPr>
        <w:ind w:left="851" w:hanging="851"/>
        <w:jc w:val="thaiDistribute"/>
        <w:rPr>
          <w:sz w:val="24"/>
          <w:szCs w:val="24"/>
        </w:rPr>
      </w:pPr>
      <w:r w:rsidRPr="00792B36">
        <w:rPr>
          <w:sz w:val="24"/>
          <w:szCs w:val="24"/>
        </w:rPr>
        <w:t xml:space="preserve">Department of Marine and Coastal Resources. (2024). </w:t>
      </w:r>
      <w:r w:rsidRPr="00792B36">
        <w:rPr>
          <w:i/>
          <w:iCs/>
          <w:sz w:val="24"/>
          <w:szCs w:val="24"/>
        </w:rPr>
        <w:t>Report on the situation of marine and coastal resources and coastal erosion in Nakhon Si Thammarat Province.</w:t>
      </w:r>
      <w:r w:rsidRPr="00792B36">
        <w:rPr>
          <w:sz w:val="24"/>
          <w:szCs w:val="24"/>
        </w:rPr>
        <w:t xml:space="preserve"> Department of Marine and Coastal Resources, Ministry of Natural Resources and Environment.</w:t>
      </w:r>
    </w:p>
    <w:p w14:paraId="5E91DACA" w14:textId="77777777" w:rsidR="00BC399A" w:rsidRPr="00792B36" w:rsidRDefault="00BC399A" w:rsidP="00BC399A">
      <w:pPr>
        <w:ind w:left="851" w:hanging="851"/>
        <w:jc w:val="thaiDistribute"/>
        <w:rPr>
          <w:sz w:val="24"/>
          <w:szCs w:val="24"/>
        </w:rPr>
      </w:pPr>
      <w:r w:rsidRPr="00792B36">
        <w:rPr>
          <w:sz w:val="24"/>
          <w:szCs w:val="24"/>
        </w:rPr>
        <w:t xml:space="preserve">Department of Marine and Coastal Resources. (2024). </w:t>
      </w:r>
      <w:r w:rsidRPr="00792B36">
        <w:rPr>
          <w:i/>
          <w:iCs/>
          <w:sz w:val="24"/>
          <w:szCs w:val="24"/>
        </w:rPr>
        <w:t>Report on the situation of marine and coastal resources and coastal erosion in Pattani Province.</w:t>
      </w:r>
      <w:r w:rsidRPr="00792B36">
        <w:rPr>
          <w:sz w:val="24"/>
          <w:szCs w:val="24"/>
        </w:rPr>
        <w:t xml:space="preserve"> Department of Marine and Coastal Resources, Ministry of Natural Resources and Environment.</w:t>
      </w:r>
    </w:p>
    <w:p w14:paraId="1C836574" w14:textId="77777777" w:rsidR="00BC399A" w:rsidRPr="00792B36" w:rsidRDefault="00BC399A" w:rsidP="00BC399A">
      <w:pPr>
        <w:ind w:left="851" w:hanging="851"/>
        <w:jc w:val="thaiDistribute"/>
        <w:rPr>
          <w:sz w:val="24"/>
          <w:szCs w:val="24"/>
        </w:rPr>
      </w:pPr>
      <w:r w:rsidRPr="00792B36">
        <w:rPr>
          <w:sz w:val="24"/>
          <w:szCs w:val="24"/>
        </w:rPr>
        <w:t xml:space="preserve">Department of Marine and Coastal Resources. (2024). </w:t>
      </w:r>
      <w:r w:rsidRPr="00792B36">
        <w:rPr>
          <w:i/>
          <w:iCs/>
          <w:sz w:val="24"/>
          <w:szCs w:val="24"/>
        </w:rPr>
        <w:t>Report on the situation of marine and coastal resources and coastal erosion in Samut Prakan Province.</w:t>
      </w:r>
      <w:r w:rsidRPr="00792B36">
        <w:rPr>
          <w:sz w:val="24"/>
          <w:szCs w:val="24"/>
        </w:rPr>
        <w:t xml:space="preserve"> Department of Marine and Coastal Resources, Ministry of Natural Resources and Environment.</w:t>
      </w:r>
    </w:p>
    <w:p w14:paraId="77D7E675" w14:textId="77777777" w:rsidR="00BC399A" w:rsidRPr="00792B36" w:rsidRDefault="00BC399A" w:rsidP="00BC399A">
      <w:pPr>
        <w:ind w:left="851" w:hanging="851"/>
        <w:jc w:val="thaiDistribute"/>
        <w:rPr>
          <w:sz w:val="24"/>
          <w:szCs w:val="24"/>
        </w:rPr>
      </w:pPr>
      <w:r w:rsidRPr="00792B36">
        <w:rPr>
          <w:sz w:val="24"/>
          <w:szCs w:val="24"/>
        </w:rPr>
        <w:t xml:space="preserve">Department of Marine and Coastal Resources. (2024). </w:t>
      </w:r>
      <w:r w:rsidRPr="00792B36">
        <w:rPr>
          <w:i/>
          <w:iCs/>
          <w:sz w:val="24"/>
          <w:szCs w:val="24"/>
        </w:rPr>
        <w:t>Report on the situation of marine and coastal resources and coastal erosion in Samut Songkhram Province.</w:t>
      </w:r>
      <w:r w:rsidRPr="00792B36">
        <w:rPr>
          <w:sz w:val="24"/>
          <w:szCs w:val="24"/>
        </w:rPr>
        <w:t xml:space="preserve"> Department of Marine and Coastal Resources, Ministry of Natural Resources and Environment.</w:t>
      </w:r>
    </w:p>
    <w:p w14:paraId="30B1161C" w14:textId="77777777" w:rsidR="00BC399A" w:rsidRPr="00792B36" w:rsidRDefault="00BC399A" w:rsidP="00BC399A">
      <w:pPr>
        <w:ind w:left="851" w:hanging="851"/>
        <w:jc w:val="thaiDistribute"/>
        <w:rPr>
          <w:sz w:val="24"/>
          <w:szCs w:val="24"/>
        </w:rPr>
      </w:pPr>
      <w:r w:rsidRPr="00792B36">
        <w:rPr>
          <w:sz w:val="24"/>
          <w:szCs w:val="24"/>
        </w:rPr>
        <w:t xml:space="preserve">Marine and Coastal Resources Conservation Center 2. (2015). </w:t>
      </w:r>
      <w:r w:rsidRPr="00792B36">
        <w:rPr>
          <w:i/>
          <w:iCs/>
          <w:sz w:val="24"/>
          <w:szCs w:val="24"/>
        </w:rPr>
        <w:t>Manual of marine and coastal resources of Don Hoi Lot.</w:t>
      </w:r>
    </w:p>
    <w:p w14:paraId="14A9F08A" w14:textId="77777777" w:rsidR="00BC399A" w:rsidRPr="00792B36" w:rsidRDefault="00BC399A" w:rsidP="00BC399A">
      <w:pPr>
        <w:ind w:left="851" w:hanging="851"/>
        <w:jc w:val="thaiDistribute"/>
        <w:rPr>
          <w:sz w:val="24"/>
          <w:szCs w:val="24"/>
        </w:rPr>
      </w:pPr>
      <w:r w:rsidRPr="00792B36">
        <w:rPr>
          <w:sz w:val="24"/>
          <w:szCs w:val="24"/>
        </w:rPr>
        <w:t xml:space="preserve">Natthasuk, U. (2014). </w:t>
      </w:r>
      <w:r w:rsidRPr="00792B36">
        <w:rPr>
          <w:i/>
          <w:iCs/>
          <w:sz w:val="24"/>
          <w:szCs w:val="24"/>
        </w:rPr>
        <w:t>Survey of mangrove flora and application of satellite remote sensing data for mangrove mapping at the mouth of the Welu River, Khlung District, Chanthaburi Province.</w:t>
      </w:r>
      <w:r w:rsidRPr="00792B36">
        <w:rPr>
          <w:sz w:val="24"/>
          <w:szCs w:val="24"/>
        </w:rPr>
        <w:t xml:space="preserve"> </w:t>
      </w:r>
      <w:r w:rsidRPr="00792B36">
        <w:rPr>
          <w:i/>
          <w:iCs/>
          <w:sz w:val="24"/>
          <w:szCs w:val="24"/>
        </w:rPr>
        <w:t>Burapha Science Journal, 19</w:t>
      </w:r>
      <w:r w:rsidRPr="00792B36">
        <w:rPr>
          <w:sz w:val="24"/>
          <w:szCs w:val="24"/>
        </w:rPr>
        <w:t>(1), 24–36.</w:t>
      </w:r>
    </w:p>
    <w:p w14:paraId="567D92BB" w14:textId="77777777" w:rsidR="00BC399A" w:rsidRPr="00792B36" w:rsidRDefault="00BC399A" w:rsidP="00BC399A">
      <w:pPr>
        <w:ind w:left="851" w:hanging="851"/>
        <w:jc w:val="thaiDistribute"/>
        <w:rPr>
          <w:sz w:val="24"/>
          <w:szCs w:val="24"/>
        </w:rPr>
      </w:pPr>
      <w:r w:rsidRPr="00792B36">
        <w:rPr>
          <w:sz w:val="24"/>
          <w:szCs w:val="24"/>
        </w:rPr>
        <w:t>Panapitukkul, N., Duarte, C. M., Thampanya, U., Kheowvongsri, P., Srichai, N., Geertz-Hansen, O., ... &amp; Boromthanarath, S. (</w:t>
      </w:r>
      <w:r w:rsidRPr="00792B36">
        <w:rPr>
          <w:sz w:val="24"/>
          <w:szCs w:val="24"/>
          <w:cs/>
        </w:rPr>
        <w:t xml:space="preserve">1998). </w:t>
      </w:r>
      <w:r w:rsidRPr="00792B36">
        <w:rPr>
          <w:sz w:val="24"/>
          <w:szCs w:val="24"/>
        </w:rPr>
        <w:t xml:space="preserve">Mangrove colonization: mangrove progression over the growing Pak Phanang (SE Thailand) mud flat. Estuarine, Coastal and Shelf Science, </w:t>
      </w:r>
      <w:r w:rsidRPr="00792B36">
        <w:rPr>
          <w:sz w:val="24"/>
          <w:szCs w:val="24"/>
          <w:cs/>
        </w:rPr>
        <w:t>47(1)</w:t>
      </w:r>
      <w:r w:rsidRPr="00792B36">
        <w:rPr>
          <w:sz w:val="24"/>
          <w:szCs w:val="24"/>
        </w:rPr>
        <w:t xml:space="preserve">, </w:t>
      </w:r>
      <w:r w:rsidRPr="00792B36">
        <w:rPr>
          <w:sz w:val="24"/>
          <w:szCs w:val="24"/>
          <w:cs/>
        </w:rPr>
        <w:t>51-61.</w:t>
      </w:r>
    </w:p>
    <w:p w14:paraId="2A72FD68" w14:textId="77777777" w:rsidR="00BC399A" w:rsidRPr="00792B36" w:rsidRDefault="00BC399A" w:rsidP="00BC399A">
      <w:pPr>
        <w:ind w:left="851" w:hanging="851"/>
        <w:jc w:val="thaiDistribute"/>
        <w:rPr>
          <w:sz w:val="24"/>
          <w:szCs w:val="24"/>
        </w:rPr>
      </w:pPr>
      <w:r w:rsidRPr="00792B36">
        <w:rPr>
          <w:sz w:val="24"/>
          <w:szCs w:val="24"/>
        </w:rPr>
        <w:t xml:space="preserve">Patcharin, Saipattana. (2014). </w:t>
      </w:r>
      <w:r w:rsidRPr="00792B36">
        <w:rPr>
          <w:i/>
          <w:iCs/>
          <w:sz w:val="24"/>
          <w:szCs w:val="24"/>
        </w:rPr>
        <w:t>Survey of mangrove plant species diversity at the Royal Thai Army Nature Study Center, Bang Pu, Samut Prakan Province.</w:t>
      </w:r>
      <w:r w:rsidRPr="00792B36">
        <w:rPr>
          <w:sz w:val="24"/>
          <w:szCs w:val="24"/>
        </w:rPr>
        <w:t xml:space="preserve"> </w:t>
      </w:r>
      <w:r w:rsidRPr="00792B36">
        <w:rPr>
          <w:i/>
          <w:iCs/>
          <w:sz w:val="24"/>
          <w:szCs w:val="24"/>
        </w:rPr>
        <w:t>Veridian E-Journal Science and Technology, Silpakorn University, 1</w:t>
      </w:r>
      <w:r w:rsidRPr="00792B36">
        <w:rPr>
          <w:sz w:val="24"/>
          <w:szCs w:val="24"/>
        </w:rPr>
        <w:t>(1), 13–18.</w:t>
      </w:r>
    </w:p>
    <w:p w14:paraId="187040B9" w14:textId="77777777" w:rsidR="00BC399A" w:rsidRPr="00792B36" w:rsidRDefault="00BC399A" w:rsidP="00BC399A">
      <w:pPr>
        <w:ind w:left="851" w:hanging="851"/>
        <w:jc w:val="thaiDistribute"/>
        <w:rPr>
          <w:sz w:val="24"/>
          <w:szCs w:val="24"/>
        </w:rPr>
      </w:pPr>
      <w:r w:rsidRPr="00792B36">
        <w:rPr>
          <w:sz w:val="24"/>
          <w:szCs w:val="24"/>
        </w:rPr>
        <w:t>Paw, J. N. (Ed.). (1988). The coastal environmental profile of Ban Don Bay and Phangnga Bay, Thailand (Vol. 424). WorldFish.</w:t>
      </w:r>
    </w:p>
    <w:p w14:paraId="256FA6B1" w14:textId="77777777" w:rsidR="00BC399A" w:rsidRPr="00792B36" w:rsidRDefault="00BC399A" w:rsidP="00BC399A">
      <w:pPr>
        <w:ind w:left="851" w:hanging="851"/>
        <w:jc w:val="thaiDistribute"/>
        <w:rPr>
          <w:sz w:val="24"/>
          <w:szCs w:val="24"/>
        </w:rPr>
      </w:pPr>
      <w:r w:rsidRPr="00792B36">
        <w:rPr>
          <w:sz w:val="24"/>
          <w:szCs w:val="24"/>
        </w:rPr>
        <w:t xml:space="preserve">Sripanomrat, O., &amp; Srilawa-Atchan, I. (2021). </w:t>
      </w:r>
      <w:r w:rsidRPr="00792B36">
        <w:rPr>
          <w:i/>
          <w:iCs/>
          <w:sz w:val="24"/>
          <w:szCs w:val="24"/>
        </w:rPr>
        <w:t>Assessment of economic loss from coral reef ecosystem damage through environmental justice processes: Final research report.</w:t>
      </w:r>
      <w:r w:rsidRPr="00792B36">
        <w:rPr>
          <w:sz w:val="24"/>
          <w:szCs w:val="24"/>
        </w:rPr>
        <w:t xml:space="preserve"> Submitted to the Thailand Science Research and Innovation (TSRI). Bangkok, Thailand</w:t>
      </w:r>
    </w:p>
    <w:p w14:paraId="475A9198" w14:textId="77777777" w:rsidR="00BC399A" w:rsidRPr="00792B36" w:rsidRDefault="00BC399A" w:rsidP="00BC399A">
      <w:pPr>
        <w:ind w:left="851" w:hanging="851"/>
        <w:jc w:val="thaiDistribute"/>
        <w:rPr>
          <w:sz w:val="24"/>
          <w:szCs w:val="24"/>
        </w:rPr>
      </w:pPr>
      <w:r w:rsidRPr="00792B36">
        <w:rPr>
          <w:sz w:val="24"/>
          <w:szCs w:val="24"/>
        </w:rPr>
        <w:t xml:space="preserve">Sripanomrat, O., &amp; Vincent, J. R. (2019). </w:t>
      </w:r>
      <w:r w:rsidRPr="00792B36">
        <w:rPr>
          <w:i/>
          <w:iCs/>
          <w:sz w:val="24"/>
          <w:szCs w:val="24"/>
        </w:rPr>
        <w:t>Economic valuation of mangrove ecosystem services: Final research report submitted to the Thailand Research Fund (TRF).</w:t>
      </w:r>
      <w:r w:rsidRPr="00792B36">
        <w:rPr>
          <w:sz w:val="24"/>
          <w:szCs w:val="24"/>
        </w:rPr>
        <w:t xml:space="preserve"> Bangkok: Thammasat University.</w:t>
      </w:r>
    </w:p>
    <w:p w14:paraId="78903E05" w14:textId="77777777" w:rsidR="00BC399A" w:rsidRPr="00792B36" w:rsidRDefault="00BC399A" w:rsidP="00BC399A">
      <w:pPr>
        <w:ind w:left="851" w:hanging="851"/>
        <w:jc w:val="thaiDistribute"/>
        <w:rPr>
          <w:sz w:val="24"/>
          <w:szCs w:val="24"/>
        </w:rPr>
      </w:pPr>
      <w:r w:rsidRPr="00792B36">
        <w:rPr>
          <w:sz w:val="24"/>
          <w:szCs w:val="24"/>
        </w:rPr>
        <w:t>Suk-Ueng, N., Buranapratheprat, A., Gunbua, V., &amp; Leadprathom, N. (2013). Mangrove composition and structure at the Welu estuary, Khlung district, Chanthaburi province, Thailand. IOSR Journal of Environmental Science, Toxicology and Food Technology, 7(5), 17-24.</w:t>
      </w:r>
    </w:p>
    <w:p w14:paraId="50A842CC" w14:textId="77777777" w:rsidR="00BC399A" w:rsidRPr="00792B36" w:rsidRDefault="00BC399A" w:rsidP="00BC399A">
      <w:pPr>
        <w:ind w:left="851" w:hanging="851"/>
        <w:jc w:val="thaiDistribute"/>
        <w:rPr>
          <w:sz w:val="24"/>
          <w:szCs w:val="24"/>
        </w:rPr>
      </w:pPr>
      <w:r w:rsidRPr="00792B36">
        <w:rPr>
          <w:sz w:val="24"/>
          <w:szCs w:val="24"/>
        </w:rPr>
        <w:t xml:space="preserve">Sutthasinee, Tan-on. (2007). </w:t>
      </w:r>
      <w:r w:rsidRPr="00792B36">
        <w:rPr>
          <w:i/>
          <w:iCs/>
          <w:sz w:val="24"/>
          <w:szCs w:val="24"/>
        </w:rPr>
        <w:t>Management of Don Hoi Lot wetland, Samut Songkhram Province, under the Ramsar Convention</w:t>
      </w:r>
      <w:r w:rsidRPr="00792B36">
        <w:rPr>
          <w:sz w:val="24"/>
          <w:szCs w:val="24"/>
        </w:rPr>
        <w:t xml:space="preserve"> (No. 111741). Thammasat </w:t>
      </w:r>
      <w:r w:rsidRPr="00792B36">
        <w:rPr>
          <w:sz w:val="24"/>
          <w:szCs w:val="24"/>
        </w:rPr>
        <w:lastRenderedPageBreak/>
        <w:t>University.</w:t>
      </w:r>
    </w:p>
    <w:p w14:paraId="6217650C" w14:textId="77777777" w:rsidR="00BC399A" w:rsidRPr="00792B36" w:rsidRDefault="00BC399A" w:rsidP="00BC399A">
      <w:pPr>
        <w:ind w:left="851" w:hanging="851"/>
        <w:jc w:val="thaiDistribute"/>
        <w:rPr>
          <w:sz w:val="24"/>
          <w:szCs w:val="24"/>
        </w:rPr>
      </w:pPr>
      <w:r w:rsidRPr="00792B36">
        <w:rPr>
          <w:sz w:val="24"/>
          <w:szCs w:val="24"/>
        </w:rPr>
        <w:t>Yeemin, T., Sutthacheep, M., Klinthong, W. (2021). Development of ecotourism on underwater pinnacles in the Eastern Gulf of Thailand. Submitted to the Program Management Unit for Competitiveness (PMUC). Bangkok, Thailand.</w:t>
      </w:r>
    </w:p>
    <w:p w14:paraId="368C6E81" w14:textId="77777777" w:rsidR="00BC399A" w:rsidRPr="00792B36" w:rsidRDefault="00BC399A" w:rsidP="00BC399A">
      <w:pPr>
        <w:ind w:left="851" w:hanging="851"/>
        <w:jc w:val="thaiDistribute"/>
        <w:rPr>
          <w:sz w:val="24"/>
          <w:szCs w:val="24"/>
        </w:rPr>
      </w:pPr>
      <w:r w:rsidRPr="00792B36">
        <w:rPr>
          <w:sz w:val="24"/>
          <w:szCs w:val="24"/>
        </w:rPr>
        <w:t>Yeemin, T., Sutthacheep, M., Yoodcharoen, M., Pannathevee, W. (2019). Promotion and development of ecotourism sites for snorkeling and SCUBA diving in Chumphon Province. Submitted to the Program Management Unit for Competitiveness (PMUC). Bangkok, Thailand.</w:t>
      </w:r>
    </w:p>
    <w:p w14:paraId="447808FB" w14:textId="77777777" w:rsidR="00BC399A" w:rsidRPr="00792B36" w:rsidRDefault="00BC399A" w:rsidP="00BC399A">
      <w:pPr>
        <w:ind w:left="851" w:hanging="851"/>
        <w:jc w:val="thaiDistribute"/>
        <w:rPr>
          <w:sz w:val="24"/>
          <w:szCs w:val="24"/>
        </w:rPr>
      </w:pPr>
      <w:r w:rsidRPr="00792B36">
        <w:rPr>
          <w:sz w:val="24"/>
          <w:szCs w:val="24"/>
        </w:rPr>
        <w:t xml:space="preserve">Yukkolthon, S., Wipaparn, C., Walwipha, S., Supitcha, W.-P., &amp; Rampradamee, B. (2020). </w:t>
      </w:r>
      <w:r w:rsidRPr="00792B36">
        <w:rPr>
          <w:i/>
          <w:iCs/>
          <w:sz w:val="24"/>
          <w:szCs w:val="24"/>
        </w:rPr>
        <w:t>Survey of mangrove plant species in Khlong Dan Subdistrict, Bang Bo District, Samut Prakan Province.</w:t>
      </w:r>
      <w:r w:rsidRPr="00792B36">
        <w:rPr>
          <w:sz w:val="24"/>
          <w:szCs w:val="24"/>
        </w:rPr>
        <w:t xml:space="preserve"> </w:t>
      </w:r>
      <w:r w:rsidRPr="00792B36">
        <w:rPr>
          <w:i/>
          <w:iCs/>
          <w:sz w:val="24"/>
          <w:szCs w:val="24"/>
        </w:rPr>
        <w:t>Hua Chiew Chalermprakiet Science and Technology Journal, 6</w:t>
      </w:r>
      <w:r w:rsidRPr="00792B36">
        <w:rPr>
          <w:sz w:val="24"/>
          <w:szCs w:val="24"/>
        </w:rPr>
        <w:t>(2), 32–45.</w:t>
      </w:r>
    </w:p>
    <w:p w14:paraId="4BFD4EEA" w14:textId="77777777" w:rsidR="00BC399A" w:rsidRPr="00792B36" w:rsidRDefault="00BC399A" w:rsidP="00BC399A">
      <w:pPr>
        <w:ind w:left="851" w:hanging="851"/>
        <w:jc w:val="thaiDistribute"/>
        <w:rPr>
          <w:sz w:val="24"/>
          <w:szCs w:val="24"/>
        </w:rPr>
      </w:pPr>
    </w:p>
    <w:p w14:paraId="3EFBE3E6" w14:textId="77777777" w:rsidR="00BC399A" w:rsidRPr="00792B36" w:rsidRDefault="00BC399A" w:rsidP="00BC399A">
      <w:pPr>
        <w:ind w:left="851" w:hanging="851"/>
        <w:jc w:val="thaiDistribute"/>
        <w:rPr>
          <w:sz w:val="24"/>
          <w:szCs w:val="24"/>
        </w:rPr>
      </w:pPr>
    </w:p>
    <w:p w14:paraId="48AE9C5D" w14:textId="77777777" w:rsidR="00BC399A" w:rsidRPr="00792B36" w:rsidRDefault="00BC399A" w:rsidP="00BC399A">
      <w:pPr>
        <w:ind w:left="851" w:hanging="851"/>
        <w:jc w:val="thaiDistribute"/>
        <w:rPr>
          <w:sz w:val="24"/>
          <w:szCs w:val="24"/>
        </w:rPr>
      </w:pPr>
    </w:p>
    <w:p w14:paraId="4BE90D93" w14:textId="77777777" w:rsidR="00BC399A" w:rsidRPr="00792B36" w:rsidRDefault="00BC399A" w:rsidP="00BC399A">
      <w:pPr>
        <w:ind w:left="851" w:hanging="851"/>
        <w:jc w:val="thaiDistribute"/>
        <w:rPr>
          <w:sz w:val="24"/>
          <w:szCs w:val="24"/>
        </w:rPr>
      </w:pPr>
    </w:p>
    <w:p w14:paraId="4FC936A8" w14:textId="77777777" w:rsidR="00BC399A" w:rsidRPr="00792B36" w:rsidRDefault="00BC399A" w:rsidP="005D0CE8">
      <w:pPr>
        <w:jc w:val="thaiDistribute"/>
        <w:rPr>
          <w:rFonts w:cs="Angsana New"/>
          <w:sz w:val="24"/>
          <w:szCs w:val="24"/>
          <w:cs/>
        </w:rPr>
        <w:sectPr w:rsidR="00BC399A" w:rsidRPr="00792B36" w:rsidSect="003332A9">
          <w:footerReference w:type="default" r:id="rId73"/>
          <w:pgSz w:w="11900" w:h="16840"/>
          <w:pgMar w:top="1440" w:right="1440" w:bottom="1440" w:left="1440" w:header="720" w:footer="720" w:gutter="0"/>
          <w:cols w:space="720"/>
          <w:docGrid w:linePitch="360"/>
        </w:sectPr>
      </w:pPr>
    </w:p>
    <w:p w14:paraId="5BB51EBA" w14:textId="12839DD5" w:rsidR="00037A8B" w:rsidRPr="00792B36" w:rsidRDefault="00037A8B" w:rsidP="00037A8B">
      <w:pPr>
        <w:rPr>
          <w:b/>
          <w:bCs/>
          <w:sz w:val="28"/>
          <w:szCs w:val="28"/>
        </w:rPr>
      </w:pPr>
      <w:r w:rsidRPr="00792B36">
        <w:rPr>
          <w:b/>
          <w:bCs/>
          <w:sz w:val="28"/>
          <w:szCs w:val="28"/>
        </w:rPr>
        <w:lastRenderedPageBreak/>
        <w:t>V. Fisheries</w:t>
      </w:r>
    </w:p>
    <w:p w14:paraId="4E68BBBB" w14:textId="77777777" w:rsidR="00037A8B" w:rsidRPr="00792B36" w:rsidRDefault="00037A8B" w:rsidP="00037A8B">
      <w:pPr>
        <w:rPr>
          <w:b/>
          <w:bCs/>
          <w:sz w:val="24"/>
          <w:szCs w:val="24"/>
        </w:rPr>
      </w:pPr>
    </w:p>
    <w:p w14:paraId="237A2E5B" w14:textId="77777777" w:rsidR="008C2A6B" w:rsidRPr="00792B36" w:rsidRDefault="008C2A6B" w:rsidP="00037A8B">
      <w:pPr>
        <w:rPr>
          <w:b/>
          <w:bCs/>
          <w:sz w:val="24"/>
          <w:szCs w:val="24"/>
        </w:rPr>
      </w:pPr>
    </w:p>
    <w:p w14:paraId="22F6DFEF" w14:textId="77777777" w:rsidR="00037A8B" w:rsidRPr="00792B36" w:rsidRDefault="00037A8B" w:rsidP="00037A8B">
      <w:pPr>
        <w:ind w:firstLine="720"/>
        <w:jc w:val="thaiDistribute"/>
        <w:rPr>
          <w:sz w:val="24"/>
          <w:szCs w:val="24"/>
        </w:rPr>
      </w:pPr>
      <w:r w:rsidRPr="00792B36">
        <w:rPr>
          <w:sz w:val="24"/>
          <w:szCs w:val="24"/>
        </w:rPr>
        <w:t>Thailand is located between two oceans: the Gulf of Thailand, which is part of the Pacific Ocean, and the Strait of Malacca and the Andaman Sea, which are parts of the Indian Ocean. Fishery in Thailand is divided into two sectors: capture fishery and culture fishery. In terms of production, capture fisheries contribute approximately 60% of the fisheries production, while the remaining 40% comes from culture fisheries. The capture fisheries occur both in inland and marine areas. Catch from marine capture fisheries contribute 93% of the total capture fisheries production, while catch from inland capture fisheries contribute only 7%. Marine fisheries in Thailand are divided into two</w:t>
      </w:r>
      <w:r w:rsidRPr="00792B36">
        <w:rPr>
          <w:sz w:val="24"/>
          <w:szCs w:val="24"/>
          <w:cs/>
        </w:rPr>
        <w:t xml:space="preserve"> </w:t>
      </w:r>
      <w:r w:rsidRPr="00792B36">
        <w:rPr>
          <w:sz w:val="24"/>
          <w:szCs w:val="24"/>
        </w:rPr>
        <w:t xml:space="preserve">sectors – artisanal and commercial fisheries. Artisanal fisheries are characterized by vessels that are less than 10 gross tons, while commercial fisheries include those from 10 gross tons and above. </w:t>
      </w:r>
    </w:p>
    <w:p w14:paraId="73F995FC" w14:textId="77777777" w:rsidR="00037A8B" w:rsidRPr="00792B36" w:rsidRDefault="00037A8B" w:rsidP="00037A8B">
      <w:pPr>
        <w:ind w:firstLine="720"/>
        <w:jc w:val="thaiDistribute"/>
        <w:rPr>
          <w:sz w:val="24"/>
          <w:szCs w:val="24"/>
        </w:rPr>
      </w:pPr>
      <w:r w:rsidRPr="00792B36">
        <w:rPr>
          <w:sz w:val="24"/>
          <w:szCs w:val="24"/>
        </w:rPr>
        <w:t>Marine fisheries play an important role in Thailand’s economy. In 2024, the total catch from marine fisheries was 1.43 million tonnes (0.96 million tonnes in the Gulf of Thailand and 0.47 million tons in the Andaman Sea), valued at 2,267 million USD (1,607 million USD in the Gulf of Thailand and 660 million USD in the Andaman Sea). The per capita consumption of aquatic animals in Thailand in 2024 was 34.76 kg/person/year.</w:t>
      </w:r>
      <w:r w:rsidRPr="00792B36">
        <w:rPr>
          <w:sz w:val="24"/>
          <w:szCs w:val="24"/>
          <w:cs/>
        </w:rPr>
        <w:t xml:space="preserve"> </w:t>
      </w:r>
      <w:r w:rsidRPr="00792B36">
        <w:rPr>
          <w:sz w:val="24"/>
          <w:szCs w:val="24"/>
        </w:rPr>
        <w:t>In addition, Thailand exported 1.76 million tonnes of fisheries products to several countries around the world, worth 7,387 million USD, with some of the raw materials imported for processing and export. The main importing countries of fisheries products from Thailand include the USA, Japan and China. The marine fishing industry also generates employment and income for related activities such as fishing ports, shipyards, ice factories, seafood processing plants, and fishing gear factories. Thailand's marine fisheries also generate a large number of jobs. There are approximately 190,000 workers on artisanal and commercial fishing vessels, 215,000 workers at 1,608 fishing ports, and 338 fish processing plants.</w:t>
      </w:r>
    </w:p>
    <w:p w14:paraId="48FBCD4C" w14:textId="77777777" w:rsidR="00037A8B" w:rsidRPr="00792B36" w:rsidRDefault="00037A8B" w:rsidP="00037A8B">
      <w:pPr>
        <w:ind w:firstLine="720"/>
        <w:jc w:val="thaiDistribute"/>
        <w:rPr>
          <w:sz w:val="24"/>
          <w:szCs w:val="24"/>
        </w:rPr>
      </w:pPr>
      <w:r w:rsidRPr="00792B36">
        <w:rPr>
          <w:sz w:val="24"/>
          <w:szCs w:val="24"/>
        </w:rPr>
        <w:t>The Gulf of Thailand is a highly productive area, nourished by several rivers that carry various nutrients into the gulf. These nutrients are used by phytoplankton for photosynthesis, making phytoplankton the primary producers and the starting point of the food chain. The Gulf of Thailand also features diverse ecosystems, such as mangrove forests, coral reefs, and seagrass beds, which serve as critical habitats for spawning and nursing areas for aquatic species. As a result, the Gulf of Thailand has a wide variety of fisheries resources and serves as an important fishing ground in Thai waters. Notably, marine fisheries production from the Gulf of Thailand accounts for 70% of the total catch.</w:t>
      </w:r>
    </w:p>
    <w:p w14:paraId="7EFFB3E6" w14:textId="77777777" w:rsidR="00037A8B" w:rsidRPr="00792B36" w:rsidRDefault="00037A8B" w:rsidP="00037A8B">
      <w:pPr>
        <w:ind w:firstLine="720"/>
        <w:jc w:val="thaiDistribute"/>
        <w:rPr>
          <w:sz w:val="24"/>
          <w:szCs w:val="24"/>
        </w:rPr>
      </w:pPr>
      <w:r w:rsidRPr="00792B36">
        <w:rPr>
          <w:sz w:val="24"/>
          <w:szCs w:val="24"/>
        </w:rPr>
        <w:t>Fisheries management system in Thailand is based on the Royal Ordinance on Fisheries B.E. 2558 (2015). The management system has been shifted from an open access fishery to a limited access fishery. A key principle of the current fisheries law is that fisheries resource management must be based on a reference point. Currently, Maximum Sustainable Yield (MSY) is used as the reference point. MSY is calculated annually, and the Total Allowable Catch (TAC) is determined based on the MSY. Several management measures have been issued under the Royal Ordinance. This chapter presents some background information on marine fisheries in the Gulf of Thailand,</w:t>
      </w:r>
      <w:r w:rsidRPr="00792B36">
        <w:rPr>
          <w:sz w:val="24"/>
          <w:szCs w:val="24"/>
          <w:cs/>
        </w:rPr>
        <w:t xml:space="preserve"> </w:t>
      </w:r>
      <w:r w:rsidRPr="00792B36">
        <w:rPr>
          <w:sz w:val="24"/>
          <w:szCs w:val="24"/>
        </w:rPr>
        <w:t xml:space="preserve">including fisheries production, fishing vessel, and fishing gear, fisheries indicators, fish stock assessment, and fisheries management measures.     </w:t>
      </w:r>
      <w:r w:rsidRPr="00792B36">
        <w:rPr>
          <w:sz w:val="24"/>
          <w:szCs w:val="24"/>
        </w:rPr>
        <w:tab/>
      </w:r>
    </w:p>
    <w:p w14:paraId="32A56FD9" w14:textId="77777777" w:rsidR="00037A8B" w:rsidRPr="00792B36" w:rsidRDefault="00037A8B" w:rsidP="00037A8B">
      <w:pPr>
        <w:jc w:val="thaiDistribute"/>
        <w:rPr>
          <w:sz w:val="24"/>
          <w:szCs w:val="24"/>
        </w:rPr>
      </w:pPr>
    </w:p>
    <w:p w14:paraId="61C0767C" w14:textId="77777777" w:rsidR="008C2A6B" w:rsidRPr="00792B36" w:rsidRDefault="008C2A6B" w:rsidP="00037A8B">
      <w:pPr>
        <w:rPr>
          <w:b/>
          <w:bCs/>
          <w:sz w:val="24"/>
          <w:szCs w:val="24"/>
        </w:rPr>
      </w:pPr>
    </w:p>
    <w:p w14:paraId="0607FA03" w14:textId="77777777" w:rsidR="008C2A6B" w:rsidRPr="00792B36" w:rsidRDefault="008C2A6B" w:rsidP="00037A8B">
      <w:pPr>
        <w:rPr>
          <w:b/>
          <w:bCs/>
          <w:sz w:val="24"/>
          <w:szCs w:val="24"/>
        </w:rPr>
      </w:pPr>
    </w:p>
    <w:p w14:paraId="0FC0A3E3" w14:textId="29714587" w:rsidR="00037A8B" w:rsidRPr="00792B36" w:rsidRDefault="008C2A6B" w:rsidP="00037A8B">
      <w:pPr>
        <w:rPr>
          <w:b/>
          <w:bCs/>
          <w:sz w:val="24"/>
          <w:szCs w:val="24"/>
        </w:rPr>
      </w:pPr>
      <w:r w:rsidRPr="00792B36">
        <w:rPr>
          <w:b/>
          <w:bCs/>
          <w:sz w:val="24"/>
          <w:szCs w:val="24"/>
        </w:rPr>
        <w:lastRenderedPageBreak/>
        <w:t>5.1</w:t>
      </w:r>
      <w:r w:rsidR="00037A8B" w:rsidRPr="00792B36">
        <w:rPr>
          <w:b/>
          <w:bCs/>
          <w:sz w:val="24"/>
          <w:szCs w:val="24"/>
        </w:rPr>
        <w:t>. Key finding</w:t>
      </w:r>
    </w:p>
    <w:p w14:paraId="6C5BFCF3" w14:textId="77777777" w:rsidR="00037A8B" w:rsidRPr="00792B36" w:rsidRDefault="00037A8B" w:rsidP="00037A8B">
      <w:pPr>
        <w:rPr>
          <w:b/>
          <w:bCs/>
          <w:sz w:val="24"/>
          <w:szCs w:val="24"/>
        </w:rPr>
      </w:pPr>
    </w:p>
    <w:p w14:paraId="2003ED0A" w14:textId="77777777" w:rsidR="00037A8B" w:rsidRPr="00792B36" w:rsidRDefault="00037A8B" w:rsidP="00037A8B">
      <w:pPr>
        <w:ind w:firstLine="720"/>
        <w:jc w:val="thaiDistribute"/>
        <w:rPr>
          <w:sz w:val="24"/>
          <w:szCs w:val="24"/>
        </w:rPr>
      </w:pPr>
      <w:r w:rsidRPr="00792B36">
        <w:rPr>
          <w:sz w:val="24"/>
          <w:szCs w:val="24"/>
        </w:rPr>
        <w:t>Fisheries development in Thai waters had resulted in overfishing and a decrease in the abundance of aquatic resources, which could be seen in the decrease in the catch per unit effort (CPUE) of research vessels, which is used as an indicator of resource abundance. In 1971, the total catch in the Gulf of Thailand was 481,270 metric tonnes and increased to a maximum of 1,590,104 metric tonnes in 1989. It then remained relatively stable, ranging from 903,935 to 1,040,058 metric tonnes between 2008 and 2023. Meanwhile, the CPUE in 1961, when the trawl fishery was first introduced to Thailand, was about 300 kg/hr. The CPUE then rapidly decreased during the first decade of trawl fishery development to 87.07 kg/hr in 1971 and continued decreasing to around 20 kg/hr during the 2010s.</w:t>
      </w:r>
    </w:p>
    <w:p w14:paraId="51A96EBA" w14:textId="77777777" w:rsidR="00037A8B" w:rsidRPr="00792B36" w:rsidRDefault="00037A8B" w:rsidP="00037A8B">
      <w:pPr>
        <w:ind w:firstLine="720"/>
        <w:jc w:val="thaiDistribute"/>
        <w:rPr>
          <w:sz w:val="24"/>
          <w:szCs w:val="24"/>
        </w:rPr>
      </w:pPr>
      <w:r w:rsidRPr="00792B36">
        <w:rPr>
          <w:sz w:val="24"/>
          <w:szCs w:val="24"/>
        </w:rPr>
        <w:t>Following the enactment of the Royal Ordinance on Fisheries B.E. 2558 (2015), overfishing has ended and resources have recovered to levels where biomass can produce MSY. The number of fishing vessels were frozen to reduce fishing capacity, resulting in a continuous decrease in the number of commercial fishing vessels in the Gulf of Thailand from 9,122 vessels in 2016 to 7,053 vessels in 2024.</w:t>
      </w:r>
      <w:r w:rsidRPr="00792B36">
        <w:rPr>
          <w:sz w:val="24"/>
          <w:szCs w:val="24"/>
          <w:cs/>
        </w:rPr>
        <w:t xml:space="preserve"> </w:t>
      </w:r>
      <w:r w:rsidRPr="00792B36">
        <w:rPr>
          <w:sz w:val="24"/>
          <w:szCs w:val="24"/>
        </w:rPr>
        <w:t>As the fisheries law supports artisanal fishing, the number of registered vessels has increased from 27,200 vessels in 2016 to 45,600 vessels in 2025.</w:t>
      </w:r>
      <w:r w:rsidRPr="00792B36">
        <w:rPr>
          <w:sz w:val="24"/>
          <w:szCs w:val="24"/>
          <w:cs/>
        </w:rPr>
        <w:t xml:space="preserve"> </w:t>
      </w:r>
      <w:r w:rsidRPr="00792B36">
        <w:rPr>
          <w:sz w:val="24"/>
          <w:szCs w:val="24"/>
        </w:rPr>
        <w:t>In addition, several management measures under the new fisheries law have been imposed such as fishing day limitation for commercial fishing vessels using high efficiency gears, seasonal area closures, and fishing gear control (e.g. mesh size limitation, destructive fishing gear banned, and fishing gear efficiency control). By implementing these measures, fishing effort has been controlled not exceeding the optimum level (F</w:t>
      </w:r>
      <w:r w:rsidRPr="00792B36">
        <w:rPr>
          <w:sz w:val="24"/>
          <w:szCs w:val="24"/>
          <w:vertAlign w:val="subscript"/>
        </w:rPr>
        <w:t>MSY</w:t>
      </w:r>
      <w:r w:rsidRPr="00792B36">
        <w:rPr>
          <w:sz w:val="24"/>
          <w:szCs w:val="24"/>
        </w:rPr>
        <w:t>) and biomass of all species groups, namely demersal species, pelagic fish, and anchovy is higher than B</w:t>
      </w:r>
      <w:r w:rsidRPr="00792B36">
        <w:rPr>
          <w:sz w:val="24"/>
          <w:szCs w:val="24"/>
          <w:vertAlign w:val="subscript"/>
        </w:rPr>
        <w:t>MSY</w:t>
      </w:r>
      <w:r w:rsidRPr="00792B36">
        <w:rPr>
          <w:sz w:val="24"/>
          <w:szCs w:val="24"/>
        </w:rPr>
        <w:t xml:space="preserve">. Marine Trophic Index also reached its maximum during the last 20 years, indicating that the ecosystem is recovering. </w:t>
      </w:r>
    </w:p>
    <w:p w14:paraId="6C09A418" w14:textId="77777777" w:rsidR="00037A8B" w:rsidRPr="00792B36" w:rsidRDefault="00037A8B" w:rsidP="00037A8B">
      <w:pPr>
        <w:ind w:firstLine="720"/>
        <w:jc w:val="thaiDistribute"/>
        <w:rPr>
          <w:sz w:val="24"/>
          <w:szCs w:val="24"/>
        </w:rPr>
      </w:pPr>
      <w:r w:rsidRPr="00792B36">
        <w:rPr>
          <w:sz w:val="24"/>
          <w:szCs w:val="24"/>
        </w:rPr>
        <w:t>However, marine fisheries in the Gulf of Thailand still face problems with small-sized fish caught from trawlers, which has slowed the recovery of demersal species. Furthermore, fisheries management in the Gulf of Thailand requires cooperation among countries in the Gulf of Thailand and the South China Sea region to research transboundary species and to cooperate in joint fisheries resource management.</w:t>
      </w:r>
    </w:p>
    <w:p w14:paraId="48E91458" w14:textId="77777777" w:rsidR="00037A8B" w:rsidRPr="00792B36" w:rsidRDefault="00037A8B" w:rsidP="00037A8B">
      <w:pPr>
        <w:ind w:firstLine="720"/>
        <w:jc w:val="thaiDistribute"/>
        <w:rPr>
          <w:sz w:val="24"/>
          <w:szCs w:val="24"/>
        </w:rPr>
      </w:pPr>
      <w:r w:rsidRPr="00792B36">
        <w:rPr>
          <w:sz w:val="24"/>
          <w:szCs w:val="24"/>
        </w:rPr>
        <w:t xml:space="preserve">  </w:t>
      </w:r>
    </w:p>
    <w:p w14:paraId="30BE55E7" w14:textId="039B5D0D" w:rsidR="00037A8B" w:rsidRPr="00792B36" w:rsidRDefault="008C2A6B" w:rsidP="00091372">
      <w:pPr>
        <w:jc w:val="thaiDistribute"/>
        <w:rPr>
          <w:b/>
          <w:bCs/>
          <w:sz w:val="24"/>
          <w:szCs w:val="24"/>
        </w:rPr>
      </w:pPr>
      <w:r w:rsidRPr="00792B36">
        <w:rPr>
          <w:b/>
          <w:bCs/>
          <w:sz w:val="24"/>
          <w:szCs w:val="24"/>
        </w:rPr>
        <w:t>5.2</w:t>
      </w:r>
      <w:r w:rsidR="00037A8B" w:rsidRPr="00792B36">
        <w:rPr>
          <w:b/>
          <w:bCs/>
          <w:sz w:val="24"/>
          <w:szCs w:val="24"/>
        </w:rPr>
        <w:t>. Fisheries and aquaculture production</w:t>
      </w:r>
    </w:p>
    <w:p w14:paraId="10F241E8" w14:textId="77777777" w:rsidR="00037A8B" w:rsidRPr="00792B36" w:rsidRDefault="00037A8B" w:rsidP="00037A8B">
      <w:pPr>
        <w:jc w:val="thaiDistribute"/>
        <w:rPr>
          <w:sz w:val="24"/>
          <w:szCs w:val="24"/>
        </w:rPr>
      </w:pPr>
    </w:p>
    <w:p w14:paraId="38D72398" w14:textId="77777777" w:rsidR="00037A8B" w:rsidRPr="00792B36" w:rsidRDefault="00037A8B" w:rsidP="00037A8B">
      <w:pPr>
        <w:jc w:val="thaiDistribute"/>
        <w:rPr>
          <w:sz w:val="24"/>
          <w:szCs w:val="24"/>
        </w:rPr>
      </w:pPr>
      <w:r w:rsidRPr="00792B36">
        <w:rPr>
          <w:sz w:val="24"/>
          <w:szCs w:val="24"/>
        </w:rPr>
        <w:tab/>
        <w:t>Thailand has systematically collected marine fisheries statistics since 1971.</w:t>
      </w:r>
      <w:r w:rsidRPr="00792B36">
        <w:rPr>
          <w:sz w:val="24"/>
          <w:szCs w:val="24"/>
          <w:cs/>
        </w:rPr>
        <w:t xml:space="preserve"> </w:t>
      </w:r>
      <w:r w:rsidRPr="00792B36">
        <w:rPr>
          <w:sz w:val="24"/>
          <w:szCs w:val="24"/>
        </w:rPr>
        <w:t>In that year, the total catch in the Gulf of Thailand was 481,270 metric tonnes. After that, the catch increased rapidly, reaching a maximum of 1,590,104 metric tonnes in 1989. It then showed a deceasing trend to the lowest of 906,781 metric tonnes in 2007. Between 2008 and 2023, the catch remained relatively stable, ranging from 903,935 to 1,040,058 metric tonnes. The recent catch in 2023 was 1,022,529 metric tonnes (Figure 1 and Annex Table 1).</w:t>
      </w:r>
    </w:p>
    <w:p w14:paraId="307D4E8B" w14:textId="77777777" w:rsidR="00037A8B" w:rsidRPr="00792B36" w:rsidRDefault="00037A8B" w:rsidP="00037A8B">
      <w:pPr>
        <w:jc w:val="thaiDistribute"/>
        <w:rPr>
          <w:sz w:val="24"/>
          <w:szCs w:val="24"/>
        </w:rPr>
      </w:pPr>
      <w:r w:rsidRPr="00792B36">
        <w:rPr>
          <w:sz w:val="24"/>
          <w:szCs w:val="24"/>
        </w:rPr>
        <w:tab/>
        <w:t xml:space="preserve">In terms of catch composition, the total catch was dominated by demersal and pelagic fishes. The development of trawl fisheries contributed to higher demersal fish catches, increasing from 353,684 metric tonnes in 1971 to a maximum of 893,374 metric tonnes in 1987. After that, the demersal catch continuously decreased due to overfishing for a couple of decades. Over the last 20 years, the demersal catch ranged from 367,707 to 508,872 metric tonnes, with an average of 424,462 metric tonnes. On the other hand, during the early 1970s, pelagic fish catches were still very low compared to demersal fish catches. However, in the mid-1970s, purse seine fisheries </w:t>
      </w:r>
      <w:r w:rsidRPr="00792B36">
        <w:rPr>
          <w:sz w:val="24"/>
          <w:szCs w:val="24"/>
        </w:rPr>
        <w:lastRenderedPageBreak/>
        <w:t xml:space="preserve">were developed using light luring and fish aggregating devices, which increased the catch of pelagic fish to near demersal fish catches. During the last 20 years, the pelagic catches have been quite stable, ranging from 334,330 to 426,643 metric tonnes, with an average of 367,567 metric tonnes (Figure 1 and Appendix Table 1). </w:t>
      </w:r>
    </w:p>
    <w:p w14:paraId="523AF98B" w14:textId="77777777" w:rsidR="00037A8B" w:rsidRPr="00792B36" w:rsidRDefault="00037A8B" w:rsidP="00037A8B">
      <w:pPr>
        <w:jc w:val="thaiDistribute"/>
        <w:rPr>
          <w:sz w:val="24"/>
          <w:szCs w:val="24"/>
        </w:rPr>
      </w:pPr>
    </w:p>
    <w:p w14:paraId="3B843B8A" w14:textId="77777777" w:rsidR="00037A8B" w:rsidRPr="00792B36" w:rsidRDefault="00037A8B" w:rsidP="00037A8B">
      <w:pPr>
        <w:jc w:val="thaiDistribute"/>
        <w:rPr>
          <w:sz w:val="24"/>
          <w:szCs w:val="24"/>
        </w:rPr>
      </w:pPr>
    </w:p>
    <w:p w14:paraId="5AECE224" w14:textId="77777777" w:rsidR="00037A8B" w:rsidRPr="00792B36" w:rsidRDefault="00037A8B" w:rsidP="00037A8B">
      <w:pPr>
        <w:jc w:val="thaiDistribute"/>
        <w:rPr>
          <w:sz w:val="24"/>
          <w:szCs w:val="24"/>
        </w:rPr>
      </w:pPr>
      <w:r w:rsidRPr="00792B36">
        <w:rPr>
          <w:noProof/>
          <w:sz w:val="24"/>
          <w:szCs w:val="24"/>
        </w:rPr>
        <w:drawing>
          <wp:inline distT="0" distB="0" distL="0" distR="0" wp14:anchorId="4E2DFD70" wp14:editId="5560915F">
            <wp:extent cx="5943600" cy="3676015"/>
            <wp:effectExtent l="0" t="0" r="0" b="635"/>
            <wp:docPr id="1916663715" name="Chart 1">
              <a:extLst xmlns:a="http://schemas.openxmlformats.org/drawingml/2006/main">
                <a:ext uri="{FF2B5EF4-FFF2-40B4-BE49-F238E27FC236}">
                  <a16:creationId xmlns:a16="http://schemas.microsoft.com/office/drawing/2014/main" id="{583B8ED6-AD04-66D0-5A66-C7BD85F53AF7}"/>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74"/>
              </a:graphicData>
            </a:graphic>
          </wp:inline>
        </w:drawing>
      </w:r>
    </w:p>
    <w:p w14:paraId="4CAC6415" w14:textId="77777777" w:rsidR="00037A8B" w:rsidRPr="00792B36" w:rsidRDefault="00037A8B" w:rsidP="00037A8B">
      <w:pPr>
        <w:ind w:left="882" w:hanging="882"/>
        <w:rPr>
          <w:b/>
          <w:bCs/>
          <w:sz w:val="24"/>
          <w:szCs w:val="24"/>
        </w:rPr>
      </w:pPr>
      <w:r w:rsidRPr="00792B36">
        <w:rPr>
          <w:b/>
          <w:bCs/>
          <w:sz w:val="24"/>
          <w:szCs w:val="24"/>
        </w:rPr>
        <w:t>Figure 1</w:t>
      </w:r>
      <w:r w:rsidRPr="00792B36">
        <w:rPr>
          <w:b/>
          <w:bCs/>
          <w:sz w:val="24"/>
          <w:szCs w:val="24"/>
          <w:cs/>
        </w:rPr>
        <w:t xml:space="preserve"> </w:t>
      </w:r>
      <w:r w:rsidRPr="00792B36">
        <w:rPr>
          <w:sz w:val="24"/>
          <w:szCs w:val="24"/>
        </w:rPr>
        <w:t>Annual catch and catch composition from marine fisheries in the Gulf of Thailand between 1971 and 2023</w:t>
      </w:r>
    </w:p>
    <w:p w14:paraId="0C884DC7" w14:textId="77777777" w:rsidR="00037A8B" w:rsidRPr="00792B36" w:rsidRDefault="00037A8B" w:rsidP="00037A8B">
      <w:pPr>
        <w:jc w:val="thaiDistribute"/>
        <w:rPr>
          <w:sz w:val="24"/>
          <w:szCs w:val="24"/>
        </w:rPr>
      </w:pPr>
    </w:p>
    <w:p w14:paraId="641C7E18" w14:textId="77777777" w:rsidR="00037A8B" w:rsidRPr="00792B36" w:rsidRDefault="00037A8B" w:rsidP="00037A8B">
      <w:pPr>
        <w:jc w:val="thaiDistribute"/>
        <w:rPr>
          <w:sz w:val="24"/>
          <w:szCs w:val="24"/>
        </w:rPr>
      </w:pPr>
      <w:r w:rsidRPr="00792B36">
        <w:rPr>
          <w:sz w:val="24"/>
          <w:szCs w:val="24"/>
        </w:rPr>
        <w:tab/>
        <w:t xml:space="preserve">Inland capture fisheries production in the coastal provinces along the Gulf of Thailand was 11,164.2 metric tonnes in 2009 and increased to </w:t>
      </w:r>
      <w:r w:rsidRPr="00792B36">
        <w:rPr>
          <w:sz w:val="24"/>
          <w:szCs w:val="24"/>
          <w:cs/>
        </w:rPr>
        <w:t>14,810.2</w:t>
      </w:r>
      <w:r w:rsidRPr="00792B36">
        <w:rPr>
          <w:sz w:val="24"/>
          <w:szCs w:val="24"/>
        </w:rPr>
        <w:t xml:space="preserve"> metric tonnes in 201</w:t>
      </w:r>
      <w:r w:rsidRPr="00792B36">
        <w:rPr>
          <w:sz w:val="24"/>
          <w:szCs w:val="24"/>
          <w:cs/>
        </w:rPr>
        <w:t>2</w:t>
      </w:r>
      <w:r w:rsidRPr="00792B36">
        <w:rPr>
          <w:sz w:val="24"/>
          <w:szCs w:val="24"/>
        </w:rPr>
        <w:t xml:space="preserve">. After that, the production continuously decreased to </w:t>
      </w:r>
      <w:r w:rsidRPr="00792B36">
        <w:rPr>
          <w:sz w:val="24"/>
          <w:szCs w:val="24"/>
          <w:cs/>
        </w:rPr>
        <w:t xml:space="preserve">8,362.69 </w:t>
      </w:r>
      <w:r w:rsidRPr="00792B36">
        <w:rPr>
          <w:sz w:val="24"/>
          <w:szCs w:val="24"/>
        </w:rPr>
        <w:t>metric tonnes in 2023. The inland fisheries catch mainly consisted of freshwater fishes, approximately 95% of the total catch, and a few percentages of freshwater crustaceans (Appendix Table 2).</w:t>
      </w:r>
    </w:p>
    <w:p w14:paraId="341E3E67" w14:textId="77777777" w:rsidR="00037A8B" w:rsidRPr="00792B36" w:rsidRDefault="00037A8B" w:rsidP="00037A8B">
      <w:pPr>
        <w:ind w:firstLine="720"/>
        <w:jc w:val="thaiDistribute"/>
        <w:rPr>
          <w:sz w:val="24"/>
          <w:szCs w:val="24"/>
        </w:rPr>
      </w:pPr>
      <w:r w:rsidRPr="00792B36">
        <w:rPr>
          <w:sz w:val="24"/>
          <w:szCs w:val="24"/>
        </w:rPr>
        <w:t>For aquaculture, the main cultured species are brackish water and marine species, such as marine shrimps (e.g. giant tiger prawn, whiteleg shrimp, and banana prawn), brackish water fishes (e.g. barramundi, groupers, and milkfish), shellfishes (e.g. blood cockle, green mussel, and oyster), and crabs. In addition, there is some freshwater aquaculture in the coastal provinces. The major cultured species include Nile tilapia, catfish, common silver barb and giant freshwater prawn. The annual production between 2016 and 2023 ranged from 440,829.50 to 513,074.18 metric tonnes, with an average of 481,088.66 metric tonnes. The production in 2023 was slightly higher than the average, at 496,446.64 metric tonnes. In recent years, Chachoengsao Province has produced the highest aquaculture production among the coastal provinces along the Gulf of Thailand, followed by Surat Thani Province (Appendix Table 3).</w:t>
      </w:r>
    </w:p>
    <w:p w14:paraId="074CCD8A" w14:textId="77777777" w:rsidR="00037A8B" w:rsidRPr="00792B36" w:rsidRDefault="00037A8B" w:rsidP="00037A8B">
      <w:pPr>
        <w:jc w:val="thaiDistribute"/>
        <w:rPr>
          <w:sz w:val="24"/>
          <w:szCs w:val="24"/>
        </w:rPr>
      </w:pPr>
    </w:p>
    <w:p w14:paraId="473B3087" w14:textId="77777777" w:rsidR="007D3A90" w:rsidRPr="00792B36" w:rsidRDefault="007D3A90" w:rsidP="00037A8B">
      <w:pPr>
        <w:jc w:val="thaiDistribute"/>
        <w:rPr>
          <w:sz w:val="24"/>
          <w:szCs w:val="24"/>
        </w:rPr>
      </w:pPr>
    </w:p>
    <w:p w14:paraId="2875CBA0" w14:textId="31E24DD8" w:rsidR="00037A8B" w:rsidRPr="00792B36" w:rsidRDefault="008C2A6B" w:rsidP="00037A8B">
      <w:pPr>
        <w:jc w:val="thaiDistribute"/>
        <w:rPr>
          <w:b/>
          <w:bCs/>
          <w:sz w:val="24"/>
          <w:szCs w:val="24"/>
          <w:cs/>
        </w:rPr>
      </w:pPr>
      <w:r w:rsidRPr="00792B36">
        <w:rPr>
          <w:b/>
          <w:bCs/>
          <w:sz w:val="24"/>
          <w:szCs w:val="24"/>
        </w:rPr>
        <w:lastRenderedPageBreak/>
        <w:t>5.3</w:t>
      </w:r>
      <w:r w:rsidR="00037A8B" w:rsidRPr="00792B36">
        <w:rPr>
          <w:b/>
          <w:bCs/>
          <w:sz w:val="24"/>
          <w:szCs w:val="24"/>
        </w:rPr>
        <w:t>. Number of fishing vessels and fishing gears</w:t>
      </w:r>
    </w:p>
    <w:p w14:paraId="4A117E35" w14:textId="77777777" w:rsidR="00037A8B" w:rsidRPr="00792B36" w:rsidRDefault="00037A8B" w:rsidP="00037A8B">
      <w:pPr>
        <w:rPr>
          <w:b/>
          <w:bCs/>
          <w:sz w:val="24"/>
          <w:szCs w:val="24"/>
        </w:rPr>
      </w:pPr>
      <w:r w:rsidRPr="00792B36">
        <w:rPr>
          <w:b/>
          <w:bCs/>
          <w:sz w:val="24"/>
          <w:szCs w:val="24"/>
        </w:rPr>
        <w:tab/>
      </w:r>
    </w:p>
    <w:p w14:paraId="1C23A33A" w14:textId="77777777" w:rsidR="00037A8B" w:rsidRPr="00792B36" w:rsidRDefault="00037A8B" w:rsidP="00037A8B">
      <w:pPr>
        <w:jc w:val="thaiDistribute"/>
        <w:rPr>
          <w:sz w:val="24"/>
          <w:szCs w:val="24"/>
        </w:rPr>
      </w:pPr>
      <w:r w:rsidRPr="00792B36">
        <w:rPr>
          <w:b/>
          <w:bCs/>
          <w:sz w:val="24"/>
          <w:szCs w:val="24"/>
        </w:rPr>
        <w:tab/>
      </w:r>
      <w:r w:rsidRPr="00792B36">
        <w:rPr>
          <w:sz w:val="24"/>
          <w:szCs w:val="24"/>
        </w:rPr>
        <w:t xml:space="preserve">Fishing vessels in Thailand are categorized into two groups, namely artisanal and commercial fishing vessels. Artisanal fishing vessels are characterized by the vessel size of less than 10 gross tonnage (GT), while commercial fishing vessels are those of 10 GT and above. Commercial vessels are required to have a fishing license. Fishing gears in Thailand are also categorized into two groups, namely high efficiency gear (HEG) and low efficiency gear (LEG). High efficiency gears refer to less selective gear, such as trawls, purse seines, and anchovy falling net, while low efficiency fishing gears refer to more selective gears, such as traps, gillnets, clam dredges. </w:t>
      </w:r>
    </w:p>
    <w:p w14:paraId="1E39B819" w14:textId="77777777" w:rsidR="00037A8B" w:rsidRPr="00792B36" w:rsidRDefault="00037A8B" w:rsidP="00037A8B">
      <w:pPr>
        <w:ind w:firstLine="720"/>
        <w:jc w:val="thaiDistribute"/>
        <w:rPr>
          <w:sz w:val="24"/>
          <w:szCs w:val="24"/>
        </w:rPr>
      </w:pPr>
      <w:r w:rsidRPr="00792B36">
        <w:rPr>
          <w:sz w:val="24"/>
          <w:szCs w:val="24"/>
        </w:rPr>
        <w:t xml:space="preserve">The number of vessels having a commercial fishing license in the coastal provinces along the Gulf of Thailand was 9,122 vessels in 2016. Since then, the number of fishing vessels has gradually decreased to 7,053 vessels in 2024 (Table 1). Several measures have been implemented to control the number of fishing vessels. The issuance of fishing license is based on biological reference point, as described in the Royal Ordinance on Fisheries B.E. 2558 (2015). As Thailand has been facing an overcapacity problem, i.e., an excessive number of fishing vessels, no new fishing vessel is allowed to be registered as a commercial fishing vessel. Fishing vessels may deteriorate over time, or fishers may withdraw from the fishing business on their own. </w:t>
      </w:r>
    </w:p>
    <w:p w14:paraId="27584A43" w14:textId="77777777" w:rsidR="00037A8B" w:rsidRPr="00792B36" w:rsidRDefault="00037A8B" w:rsidP="00037A8B">
      <w:pPr>
        <w:ind w:firstLine="720"/>
        <w:jc w:val="thaiDistribute"/>
        <w:rPr>
          <w:sz w:val="24"/>
          <w:szCs w:val="24"/>
        </w:rPr>
      </w:pPr>
    </w:p>
    <w:p w14:paraId="0125A224" w14:textId="77777777" w:rsidR="00037A8B" w:rsidRPr="00792B36" w:rsidRDefault="00037A8B" w:rsidP="00037A8B">
      <w:pPr>
        <w:ind w:left="784" w:hanging="784"/>
        <w:jc w:val="thaiDistribute"/>
        <w:rPr>
          <w:rFonts w:eastAsia="Times New Roman"/>
          <w:sz w:val="24"/>
          <w:szCs w:val="24"/>
        </w:rPr>
      </w:pPr>
      <w:r w:rsidRPr="00792B36">
        <w:rPr>
          <w:b/>
          <w:bCs/>
          <w:spacing w:val="-2"/>
          <w:sz w:val="24"/>
          <w:szCs w:val="24"/>
        </w:rPr>
        <w:t>Table 1</w:t>
      </w:r>
      <w:r w:rsidRPr="00792B36">
        <w:rPr>
          <w:spacing w:val="-2"/>
          <w:sz w:val="24"/>
          <w:szCs w:val="24"/>
        </w:rPr>
        <w:t xml:space="preserve"> </w:t>
      </w:r>
      <w:r w:rsidRPr="00792B36">
        <w:rPr>
          <w:rFonts w:eastAsia="Times New Roman"/>
          <w:spacing w:val="-2"/>
          <w:sz w:val="24"/>
          <w:szCs w:val="24"/>
        </w:rPr>
        <w:t>Number of fishing vessels having commercial fishing license in the coastal provinces along</w:t>
      </w:r>
      <w:r w:rsidRPr="00792B36">
        <w:rPr>
          <w:rFonts w:eastAsia="Times New Roman"/>
          <w:sz w:val="24"/>
          <w:szCs w:val="24"/>
        </w:rPr>
        <w:t xml:space="preserve"> the Gulf of Thailand between 2016 – 2024</w:t>
      </w:r>
    </w:p>
    <w:p w14:paraId="1BCA0297" w14:textId="77777777" w:rsidR="00037A8B" w:rsidRPr="00792B36" w:rsidRDefault="00037A8B" w:rsidP="00037A8B">
      <w:pPr>
        <w:jc w:val="thaiDistribute"/>
        <w:rPr>
          <w:b/>
          <w:bCs/>
          <w:sz w:val="24"/>
          <w:szCs w:val="24"/>
        </w:rPr>
      </w:pPr>
    </w:p>
    <w:tbl>
      <w:tblPr>
        <w:tblW w:w="4531" w:type="dxa"/>
        <w:jc w:val="center"/>
        <w:tblLook w:val="04A0" w:firstRow="1" w:lastRow="0" w:firstColumn="1" w:lastColumn="0" w:noHBand="0" w:noVBand="1"/>
      </w:tblPr>
      <w:tblGrid>
        <w:gridCol w:w="960"/>
        <w:gridCol w:w="3571"/>
      </w:tblGrid>
      <w:tr w:rsidR="00037A8B" w:rsidRPr="00792B36" w14:paraId="7D2C2FE9" w14:textId="77777777" w:rsidTr="0096560E">
        <w:trPr>
          <w:trHeight w:val="288"/>
          <w:jc w:val="center"/>
        </w:trPr>
        <w:tc>
          <w:tcPr>
            <w:tcW w:w="960" w:type="dxa"/>
            <w:tcBorders>
              <w:top w:val="single" w:sz="4" w:space="0" w:color="auto"/>
              <w:bottom w:val="single" w:sz="4" w:space="0" w:color="auto"/>
            </w:tcBorders>
            <w:noWrap/>
            <w:hideMark/>
          </w:tcPr>
          <w:p w14:paraId="2FD22796" w14:textId="77777777" w:rsidR="00037A8B" w:rsidRPr="00792B36" w:rsidRDefault="00037A8B" w:rsidP="0096560E">
            <w:pPr>
              <w:jc w:val="center"/>
              <w:rPr>
                <w:rFonts w:eastAsia="Times New Roman"/>
                <w:sz w:val="24"/>
                <w:szCs w:val="24"/>
              </w:rPr>
            </w:pPr>
            <w:r w:rsidRPr="00792B36">
              <w:rPr>
                <w:rFonts w:eastAsia="Times New Roman"/>
                <w:sz w:val="24"/>
                <w:szCs w:val="24"/>
              </w:rPr>
              <w:t>Year</w:t>
            </w:r>
          </w:p>
        </w:tc>
        <w:tc>
          <w:tcPr>
            <w:tcW w:w="3571" w:type="dxa"/>
            <w:tcBorders>
              <w:top w:val="single" w:sz="4" w:space="0" w:color="auto"/>
              <w:bottom w:val="single" w:sz="4" w:space="0" w:color="auto"/>
            </w:tcBorders>
            <w:noWrap/>
            <w:hideMark/>
          </w:tcPr>
          <w:p w14:paraId="2C456479" w14:textId="77777777" w:rsidR="00037A8B" w:rsidRPr="00792B36" w:rsidRDefault="00037A8B" w:rsidP="0096560E">
            <w:pPr>
              <w:jc w:val="center"/>
              <w:rPr>
                <w:rFonts w:eastAsia="Times New Roman"/>
                <w:sz w:val="24"/>
                <w:szCs w:val="24"/>
              </w:rPr>
            </w:pPr>
            <w:r w:rsidRPr="00792B36">
              <w:rPr>
                <w:rFonts w:eastAsia="Times New Roman"/>
                <w:sz w:val="24"/>
                <w:szCs w:val="24"/>
              </w:rPr>
              <w:t>Number of fishing vessels having commercial fishing license</w:t>
            </w:r>
          </w:p>
        </w:tc>
      </w:tr>
      <w:tr w:rsidR="00037A8B" w:rsidRPr="00792B36" w14:paraId="002D6C60" w14:textId="77777777" w:rsidTr="0096560E">
        <w:trPr>
          <w:trHeight w:val="288"/>
          <w:jc w:val="center"/>
        </w:trPr>
        <w:tc>
          <w:tcPr>
            <w:tcW w:w="960" w:type="dxa"/>
            <w:tcBorders>
              <w:top w:val="single" w:sz="4" w:space="0" w:color="auto"/>
            </w:tcBorders>
            <w:noWrap/>
            <w:vAlign w:val="bottom"/>
            <w:hideMark/>
          </w:tcPr>
          <w:p w14:paraId="2336FDD0" w14:textId="77777777" w:rsidR="00037A8B" w:rsidRPr="00792B36" w:rsidRDefault="00037A8B" w:rsidP="0096560E">
            <w:pPr>
              <w:jc w:val="right"/>
              <w:rPr>
                <w:rFonts w:eastAsia="Times New Roman"/>
                <w:sz w:val="24"/>
                <w:szCs w:val="24"/>
              </w:rPr>
            </w:pPr>
            <w:r w:rsidRPr="00792B36">
              <w:rPr>
                <w:rFonts w:eastAsia="Times New Roman"/>
                <w:sz w:val="24"/>
                <w:szCs w:val="24"/>
              </w:rPr>
              <w:t>2016</w:t>
            </w:r>
          </w:p>
        </w:tc>
        <w:tc>
          <w:tcPr>
            <w:tcW w:w="3571" w:type="dxa"/>
            <w:tcBorders>
              <w:top w:val="single" w:sz="4" w:space="0" w:color="auto"/>
            </w:tcBorders>
            <w:noWrap/>
            <w:vAlign w:val="bottom"/>
          </w:tcPr>
          <w:p w14:paraId="0FB3CF89" w14:textId="77777777" w:rsidR="00037A8B" w:rsidRPr="00792B36" w:rsidRDefault="00037A8B" w:rsidP="0096560E">
            <w:pPr>
              <w:jc w:val="center"/>
              <w:rPr>
                <w:rFonts w:eastAsia="Times New Roman"/>
                <w:sz w:val="24"/>
                <w:szCs w:val="24"/>
              </w:rPr>
            </w:pPr>
            <w:r w:rsidRPr="00792B36">
              <w:rPr>
                <w:rFonts w:eastAsia="Times New Roman"/>
                <w:sz w:val="24"/>
                <w:szCs w:val="24"/>
                <w:cs/>
              </w:rPr>
              <w:t>9,122</w:t>
            </w:r>
          </w:p>
        </w:tc>
      </w:tr>
      <w:tr w:rsidR="00037A8B" w:rsidRPr="00792B36" w14:paraId="54AAD426" w14:textId="77777777" w:rsidTr="0096560E">
        <w:trPr>
          <w:trHeight w:val="288"/>
          <w:jc w:val="center"/>
        </w:trPr>
        <w:tc>
          <w:tcPr>
            <w:tcW w:w="960" w:type="dxa"/>
            <w:noWrap/>
            <w:vAlign w:val="bottom"/>
            <w:hideMark/>
          </w:tcPr>
          <w:p w14:paraId="69A35BCA" w14:textId="77777777" w:rsidR="00037A8B" w:rsidRPr="00792B36" w:rsidRDefault="00037A8B" w:rsidP="0096560E">
            <w:pPr>
              <w:jc w:val="right"/>
              <w:rPr>
                <w:rFonts w:eastAsia="Times New Roman"/>
                <w:sz w:val="24"/>
                <w:szCs w:val="24"/>
              </w:rPr>
            </w:pPr>
            <w:r w:rsidRPr="00792B36">
              <w:rPr>
                <w:rFonts w:eastAsia="Times New Roman"/>
                <w:sz w:val="24"/>
                <w:szCs w:val="24"/>
              </w:rPr>
              <w:t>2017</w:t>
            </w:r>
          </w:p>
        </w:tc>
        <w:tc>
          <w:tcPr>
            <w:tcW w:w="3571" w:type="dxa"/>
            <w:noWrap/>
            <w:vAlign w:val="bottom"/>
          </w:tcPr>
          <w:p w14:paraId="3B054813" w14:textId="77777777" w:rsidR="00037A8B" w:rsidRPr="00792B36" w:rsidRDefault="00037A8B" w:rsidP="0096560E">
            <w:pPr>
              <w:jc w:val="center"/>
              <w:rPr>
                <w:rFonts w:eastAsia="Times New Roman"/>
                <w:sz w:val="24"/>
                <w:szCs w:val="24"/>
              </w:rPr>
            </w:pPr>
            <w:r w:rsidRPr="00792B36">
              <w:rPr>
                <w:rFonts w:eastAsia="Times New Roman"/>
                <w:sz w:val="24"/>
                <w:szCs w:val="24"/>
                <w:cs/>
              </w:rPr>
              <w:t>8,906</w:t>
            </w:r>
          </w:p>
        </w:tc>
      </w:tr>
      <w:tr w:rsidR="00037A8B" w:rsidRPr="00792B36" w14:paraId="08C65F79" w14:textId="77777777" w:rsidTr="0096560E">
        <w:trPr>
          <w:trHeight w:val="288"/>
          <w:jc w:val="center"/>
        </w:trPr>
        <w:tc>
          <w:tcPr>
            <w:tcW w:w="960" w:type="dxa"/>
            <w:noWrap/>
            <w:vAlign w:val="bottom"/>
            <w:hideMark/>
          </w:tcPr>
          <w:p w14:paraId="38998814" w14:textId="77777777" w:rsidR="00037A8B" w:rsidRPr="00792B36" w:rsidRDefault="00037A8B" w:rsidP="0096560E">
            <w:pPr>
              <w:jc w:val="right"/>
              <w:rPr>
                <w:rFonts w:eastAsia="Times New Roman"/>
                <w:sz w:val="24"/>
                <w:szCs w:val="24"/>
              </w:rPr>
            </w:pPr>
            <w:r w:rsidRPr="00792B36">
              <w:rPr>
                <w:rFonts w:eastAsia="Times New Roman"/>
                <w:sz w:val="24"/>
                <w:szCs w:val="24"/>
              </w:rPr>
              <w:t>2018</w:t>
            </w:r>
          </w:p>
        </w:tc>
        <w:tc>
          <w:tcPr>
            <w:tcW w:w="3571" w:type="dxa"/>
            <w:noWrap/>
            <w:vAlign w:val="bottom"/>
          </w:tcPr>
          <w:p w14:paraId="75062BAC" w14:textId="77777777" w:rsidR="00037A8B" w:rsidRPr="00792B36" w:rsidRDefault="00037A8B" w:rsidP="0096560E">
            <w:pPr>
              <w:jc w:val="center"/>
              <w:rPr>
                <w:rFonts w:eastAsia="Times New Roman"/>
                <w:sz w:val="24"/>
                <w:szCs w:val="24"/>
              </w:rPr>
            </w:pPr>
            <w:r w:rsidRPr="00792B36">
              <w:rPr>
                <w:rFonts w:eastAsia="Times New Roman"/>
                <w:sz w:val="24"/>
                <w:szCs w:val="24"/>
                <w:cs/>
              </w:rPr>
              <w:t>8,692</w:t>
            </w:r>
          </w:p>
        </w:tc>
      </w:tr>
      <w:tr w:rsidR="00037A8B" w:rsidRPr="00792B36" w14:paraId="7FD0B734" w14:textId="77777777" w:rsidTr="0096560E">
        <w:trPr>
          <w:trHeight w:val="288"/>
          <w:jc w:val="center"/>
        </w:trPr>
        <w:tc>
          <w:tcPr>
            <w:tcW w:w="960" w:type="dxa"/>
            <w:noWrap/>
            <w:vAlign w:val="bottom"/>
            <w:hideMark/>
          </w:tcPr>
          <w:p w14:paraId="3D494D58" w14:textId="77777777" w:rsidR="00037A8B" w:rsidRPr="00792B36" w:rsidRDefault="00037A8B" w:rsidP="0096560E">
            <w:pPr>
              <w:jc w:val="right"/>
              <w:rPr>
                <w:rFonts w:eastAsia="Times New Roman"/>
                <w:sz w:val="24"/>
                <w:szCs w:val="24"/>
              </w:rPr>
            </w:pPr>
            <w:r w:rsidRPr="00792B36">
              <w:rPr>
                <w:rFonts w:eastAsia="Times New Roman"/>
                <w:sz w:val="24"/>
                <w:szCs w:val="24"/>
              </w:rPr>
              <w:t>2019</w:t>
            </w:r>
          </w:p>
        </w:tc>
        <w:tc>
          <w:tcPr>
            <w:tcW w:w="3571" w:type="dxa"/>
            <w:noWrap/>
            <w:vAlign w:val="bottom"/>
          </w:tcPr>
          <w:p w14:paraId="4028FF23" w14:textId="77777777" w:rsidR="00037A8B" w:rsidRPr="00792B36" w:rsidRDefault="00037A8B" w:rsidP="0096560E">
            <w:pPr>
              <w:jc w:val="center"/>
              <w:rPr>
                <w:rFonts w:eastAsia="Times New Roman"/>
                <w:sz w:val="24"/>
                <w:szCs w:val="24"/>
              </w:rPr>
            </w:pPr>
            <w:r w:rsidRPr="00792B36">
              <w:rPr>
                <w:rFonts w:eastAsia="Times New Roman"/>
                <w:sz w:val="24"/>
                <w:szCs w:val="24"/>
                <w:cs/>
              </w:rPr>
              <w:t>8,598</w:t>
            </w:r>
          </w:p>
        </w:tc>
      </w:tr>
      <w:tr w:rsidR="00037A8B" w:rsidRPr="00792B36" w14:paraId="6687A99C" w14:textId="77777777" w:rsidTr="0096560E">
        <w:trPr>
          <w:trHeight w:val="288"/>
          <w:jc w:val="center"/>
        </w:trPr>
        <w:tc>
          <w:tcPr>
            <w:tcW w:w="960" w:type="dxa"/>
            <w:noWrap/>
            <w:vAlign w:val="bottom"/>
            <w:hideMark/>
          </w:tcPr>
          <w:p w14:paraId="05114FC3" w14:textId="77777777" w:rsidR="00037A8B" w:rsidRPr="00792B36" w:rsidRDefault="00037A8B" w:rsidP="0096560E">
            <w:pPr>
              <w:jc w:val="right"/>
              <w:rPr>
                <w:rFonts w:eastAsia="Times New Roman"/>
                <w:sz w:val="24"/>
                <w:szCs w:val="24"/>
              </w:rPr>
            </w:pPr>
            <w:r w:rsidRPr="00792B36">
              <w:rPr>
                <w:rFonts w:eastAsia="Times New Roman"/>
                <w:sz w:val="24"/>
                <w:szCs w:val="24"/>
              </w:rPr>
              <w:t>2020</w:t>
            </w:r>
          </w:p>
        </w:tc>
        <w:tc>
          <w:tcPr>
            <w:tcW w:w="3571" w:type="dxa"/>
            <w:noWrap/>
            <w:vAlign w:val="bottom"/>
          </w:tcPr>
          <w:p w14:paraId="042DA7B6" w14:textId="77777777" w:rsidR="00037A8B" w:rsidRPr="00792B36" w:rsidRDefault="00037A8B" w:rsidP="0096560E">
            <w:pPr>
              <w:jc w:val="center"/>
              <w:rPr>
                <w:rFonts w:eastAsia="Times New Roman"/>
                <w:sz w:val="24"/>
                <w:szCs w:val="24"/>
              </w:rPr>
            </w:pPr>
            <w:r w:rsidRPr="00792B36">
              <w:rPr>
                <w:rFonts w:eastAsia="Times New Roman"/>
                <w:sz w:val="24"/>
                <w:szCs w:val="24"/>
                <w:cs/>
              </w:rPr>
              <w:t>8,449</w:t>
            </w:r>
          </w:p>
        </w:tc>
      </w:tr>
      <w:tr w:rsidR="00037A8B" w:rsidRPr="00792B36" w14:paraId="75AB3027" w14:textId="77777777" w:rsidTr="0096560E">
        <w:trPr>
          <w:trHeight w:val="288"/>
          <w:jc w:val="center"/>
        </w:trPr>
        <w:tc>
          <w:tcPr>
            <w:tcW w:w="960" w:type="dxa"/>
            <w:noWrap/>
            <w:vAlign w:val="bottom"/>
            <w:hideMark/>
          </w:tcPr>
          <w:p w14:paraId="7D82C439" w14:textId="77777777" w:rsidR="00037A8B" w:rsidRPr="00792B36" w:rsidRDefault="00037A8B" w:rsidP="0096560E">
            <w:pPr>
              <w:jc w:val="right"/>
              <w:rPr>
                <w:rFonts w:eastAsia="Times New Roman"/>
                <w:sz w:val="24"/>
                <w:szCs w:val="24"/>
              </w:rPr>
            </w:pPr>
            <w:r w:rsidRPr="00792B36">
              <w:rPr>
                <w:rFonts w:eastAsia="Times New Roman"/>
                <w:sz w:val="24"/>
                <w:szCs w:val="24"/>
              </w:rPr>
              <w:t>2021</w:t>
            </w:r>
          </w:p>
        </w:tc>
        <w:tc>
          <w:tcPr>
            <w:tcW w:w="3571" w:type="dxa"/>
            <w:noWrap/>
            <w:vAlign w:val="bottom"/>
          </w:tcPr>
          <w:p w14:paraId="1CAEB6E5" w14:textId="77777777" w:rsidR="00037A8B" w:rsidRPr="00792B36" w:rsidRDefault="00037A8B" w:rsidP="0096560E">
            <w:pPr>
              <w:jc w:val="center"/>
              <w:rPr>
                <w:rFonts w:eastAsia="Times New Roman"/>
                <w:sz w:val="24"/>
                <w:szCs w:val="24"/>
              </w:rPr>
            </w:pPr>
            <w:r w:rsidRPr="00792B36">
              <w:rPr>
                <w:rFonts w:eastAsia="Times New Roman"/>
                <w:sz w:val="24"/>
                <w:szCs w:val="24"/>
                <w:cs/>
              </w:rPr>
              <w:t>8,190</w:t>
            </w:r>
          </w:p>
        </w:tc>
      </w:tr>
      <w:tr w:rsidR="00037A8B" w:rsidRPr="00792B36" w14:paraId="3E33E570" w14:textId="77777777" w:rsidTr="0096560E">
        <w:trPr>
          <w:trHeight w:val="288"/>
          <w:jc w:val="center"/>
        </w:trPr>
        <w:tc>
          <w:tcPr>
            <w:tcW w:w="960" w:type="dxa"/>
            <w:noWrap/>
            <w:vAlign w:val="bottom"/>
            <w:hideMark/>
          </w:tcPr>
          <w:p w14:paraId="43633484" w14:textId="77777777" w:rsidR="00037A8B" w:rsidRPr="00792B36" w:rsidRDefault="00037A8B" w:rsidP="0096560E">
            <w:pPr>
              <w:jc w:val="right"/>
              <w:rPr>
                <w:rFonts w:eastAsia="Times New Roman"/>
                <w:sz w:val="24"/>
                <w:szCs w:val="24"/>
              </w:rPr>
            </w:pPr>
            <w:r w:rsidRPr="00792B36">
              <w:rPr>
                <w:rFonts w:eastAsia="Times New Roman"/>
                <w:sz w:val="24"/>
                <w:szCs w:val="24"/>
              </w:rPr>
              <w:t>2022</w:t>
            </w:r>
          </w:p>
        </w:tc>
        <w:tc>
          <w:tcPr>
            <w:tcW w:w="3571" w:type="dxa"/>
            <w:noWrap/>
            <w:vAlign w:val="bottom"/>
          </w:tcPr>
          <w:p w14:paraId="4FE27874" w14:textId="77777777" w:rsidR="00037A8B" w:rsidRPr="00792B36" w:rsidRDefault="00037A8B" w:rsidP="0096560E">
            <w:pPr>
              <w:jc w:val="center"/>
              <w:rPr>
                <w:rFonts w:eastAsia="Times New Roman"/>
                <w:sz w:val="24"/>
                <w:szCs w:val="24"/>
              </w:rPr>
            </w:pPr>
            <w:r w:rsidRPr="00792B36">
              <w:rPr>
                <w:rFonts w:eastAsia="Times New Roman"/>
                <w:sz w:val="24"/>
                <w:szCs w:val="24"/>
                <w:cs/>
              </w:rPr>
              <w:t>7,703</w:t>
            </w:r>
          </w:p>
        </w:tc>
      </w:tr>
      <w:tr w:rsidR="00037A8B" w:rsidRPr="00792B36" w14:paraId="072276C0" w14:textId="77777777" w:rsidTr="0096560E">
        <w:trPr>
          <w:trHeight w:val="288"/>
          <w:jc w:val="center"/>
        </w:trPr>
        <w:tc>
          <w:tcPr>
            <w:tcW w:w="960" w:type="dxa"/>
            <w:noWrap/>
            <w:vAlign w:val="bottom"/>
            <w:hideMark/>
          </w:tcPr>
          <w:p w14:paraId="67F5D7B8" w14:textId="77777777" w:rsidR="00037A8B" w:rsidRPr="00792B36" w:rsidRDefault="00037A8B" w:rsidP="0096560E">
            <w:pPr>
              <w:jc w:val="right"/>
              <w:rPr>
                <w:rFonts w:eastAsia="Times New Roman"/>
                <w:sz w:val="24"/>
                <w:szCs w:val="24"/>
              </w:rPr>
            </w:pPr>
            <w:r w:rsidRPr="00792B36">
              <w:rPr>
                <w:rFonts w:eastAsia="Times New Roman"/>
                <w:sz w:val="24"/>
                <w:szCs w:val="24"/>
              </w:rPr>
              <w:t>2023</w:t>
            </w:r>
          </w:p>
        </w:tc>
        <w:tc>
          <w:tcPr>
            <w:tcW w:w="3571" w:type="dxa"/>
            <w:noWrap/>
            <w:vAlign w:val="bottom"/>
          </w:tcPr>
          <w:p w14:paraId="5D61AC79" w14:textId="77777777" w:rsidR="00037A8B" w:rsidRPr="00792B36" w:rsidRDefault="00037A8B" w:rsidP="0096560E">
            <w:pPr>
              <w:jc w:val="center"/>
              <w:rPr>
                <w:rFonts w:eastAsia="Times New Roman"/>
                <w:sz w:val="24"/>
                <w:szCs w:val="24"/>
              </w:rPr>
            </w:pPr>
            <w:r w:rsidRPr="00792B36">
              <w:rPr>
                <w:rFonts w:eastAsia="Times New Roman"/>
                <w:sz w:val="24"/>
                <w:szCs w:val="24"/>
                <w:cs/>
              </w:rPr>
              <w:t>7,603</w:t>
            </w:r>
          </w:p>
        </w:tc>
      </w:tr>
      <w:tr w:rsidR="00037A8B" w:rsidRPr="00792B36" w14:paraId="06688FC0" w14:textId="77777777" w:rsidTr="0096560E">
        <w:trPr>
          <w:trHeight w:val="288"/>
          <w:jc w:val="center"/>
        </w:trPr>
        <w:tc>
          <w:tcPr>
            <w:tcW w:w="960" w:type="dxa"/>
            <w:tcBorders>
              <w:bottom w:val="single" w:sz="4" w:space="0" w:color="auto"/>
            </w:tcBorders>
            <w:noWrap/>
            <w:vAlign w:val="bottom"/>
            <w:hideMark/>
          </w:tcPr>
          <w:p w14:paraId="50326097" w14:textId="77777777" w:rsidR="00037A8B" w:rsidRPr="00792B36" w:rsidRDefault="00037A8B" w:rsidP="0096560E">
            <w:pPr>
              <w:jc w:val="right"/>
              <w:rPr>
                <w:rFonts w:eastAsia="Times New Roman"/>
                <w:sz w:val="24"/>
                <w:szCs w:val="24"/>
              </w:rPr>
            </w:pPr>
            <w:r w:rsidRPr="00792B36">
              <w:rPr>
                <w:rFonts w:eastAsia="Times New Roman"/>
                <w:sz w:val="24"/>
                <w:szCs w:val="24"/>
              </w:rPr>
              <w:t>2024</w:t>
            </w:r>
          </w:p>
        </w:tc>
        <w:tc>
          <w:tcPr>
            <w:tcW w:w="3571" w:type="dxa"/>
            <w:tcBorders>
              <w:bottom w:val="single" w:sz="4" w:space="0" w:color="auto"/>
            </w:tcBorders>
            <w:noWrap/>
            <w:vAlign w:val="bottom"/>
          </w:tcPr>
          <w:p w14:paraId="37B06D94" w14:textId="77777777" w:rsidR="00037A8B" w:rsidRPr="00792B36" w:rsidRDefault="00037A8B" w:rsidP="0096560E">
            <w:pPr>
              <w:jc w:val="center"/>
              <w:rPr>
                <w:rFonts w:eastAsia="Times New Roman"/>
                <w:sz w:val="24"/>
                <w:szCs w:val="24"/>
              </w:rPr>
            </w:pPr>
            <w:r w:rsidRPr="00792B36">
              <w:rPr>
                <w:rFonts w:eastAsia="Times New Roman"/>
                <w:sz w:val="24"/>
                <w:szCs w:val="24"/>
                <w:cs/>
              </w:rPr>
              <w:t>7,053</w:t>
            </w:r>
          </w:p>
        </w:tc>
      </w:tr>
    </w:tbl>
    <w:p w14:paraId="745F6913" w14:textId="77777777" w:rsidR="00037A8B" w:rsidRPr="00792B36" w:rsidRDefault="00037A8B" w:rsidP="00037A8B">
      <w:pPr>
        <w:jc w:val="thaiDistribute"/>
        <w:rPr>
          <w:sz w:val="24"/>
          <w:szCs w:val="24"/>
        </w:rPr>
      </w:pPr>
    </w:p>
    <w:p w14:paraId="0B4F042D" w14:textId="77777777" w:rsidR="00037A8B" w:rsidRPr="00792B36" w:rsidRDefault="00037A8B" w:rsidP="00037A8B">
      <w:pPr>
        <w:jc w:val="thaiDistribute"/>
        <w:rPr>
          <w:b/>
          <w:bCs/>
          <w:sz w:val="24"/>
          <w:szCs w:val="24"/>
        </w:rPr>
      </w:pPr>
      <w:bookmarkStart w:id="22" w:name="_Hlk211158506"/>
    </w:p>
    <w:p w14:paraId="715FF901" w14:textId="77777777" w:rsidR="00037A8B" w:rsidRPr="00792B36" w:rsidRDefault="00037A8B" w:rsidP="00037A8B">
      <w:pPr>
        <w:ind w:firstLine="720"/>
        <w:jc w:val="thaiDistribute"/>
        <w:rPr>
          <w:sz w:val="24"/>
          <w:szCs w:val="24"/>
        </w:rPr>
      </w:pPr>
      <w:r w:rsidRPr="00792B36">
        <w:rPr>
          <w:sz w:val="24"/>
          <w:szCs w:val="24"/>
        </w:rPr>
        <w:t xml:space="preserve">In addition, the government has been implementing a vessel buyback program. Since 2016, more than 1,000 vessels have been bought back, and the vessels must be either destroyed or have their permit changed to other propose before receiving compensation from the government, to ensure that fishing vessels are permanently removed from the fisheries system. The government has also been implementing a fishing license combination program. A fishing day scheme has been introduced to address the overfishing problem and control the level of fishing effort by limiting the number of fishing days per year for each type of fishing gear. For instance, the number of fishing days for trawlers in the Gulf of Thailand was 220 days/year in 2016-2017, increased to 240 days/year in 2018-2023, and reached 245 days/year in 2024-2025 (Table 2). To allow the fishers to have more fishing days, vessel owners can transfer fishing days from one vessel to other vessels, on the condition that the original vessel is removed from the fisheries system. These are some of the management measures </w:t>
      </w:r>
      <w:r w:rsidRPr="00792B36">
        <w:rPr>
          <w:sz w:val="24"/>
          <w:szCs w:val="24"/>
        </w:rPr>
        <w:lastRenderedPageBreak/>
        <w:t xml:space="preserve">implemented to effectively reduce the number of fishing vessels. </w:t>
      </w:r>
    </w:p>
    <w:p w14:paraId="09E08038" w14:textId="77777777" w:rsidR="00037A8B" w:rsidRPr="00792B36" w:rsidRDefault="00037A8B" w:rsidP="00037A8B">
      <w:pPr>
        <w:ind w:firstLine="720"/>
        <w:jc w:val="thaiDistribute"/>
        <w:rPr>
          <w:sz w:val="24"/>
          <w:szCs w:val="24"/>
        </w:rPr>
      </w:pPr>
      <w:r w:rsidRPr="00792B36">
        <w:rPr>
          <w:sz w:val="24"/>
          <w:szCs w:val="24"/>
        </w:rPr>
        <w:t xml:space="preserve">In 2016-2017, commercial fishing vessels were allowed to apply for only one type of HEG or one type of LEG. The unit of fishing gear was only 9,096 and 8,878, respectively. The most commonly used fishing gear was trawl, i.e., otter board trawl, beam trawl, and pair trawl. with 3,087 and 3,043 licensed vessels, followed by falling net, i.e., anchovy falling net and squid falling net, with 1,767 and 1,747 licensed vessels, respectively (Appendix Table 4). </w:t>
      </w:r>
    </w:p>
    <w:p w14:paraId="04A3AA8E" w14:textId="77777777" w:rsidR="00037A8B" w:rsidRPr="00792B36" w:rsidRDefault="00037A8B" w:rsidP="00037A8B">
      <w:pPr>
        <w:ind w:firstLine="720"/>
        <w:jc w:val="thaiDistribute"/>
        <w:rPr>
          <w:sz w:val="24"/>
          <w:szCs w:val="24"/>
        </w:rPr>
      </w:pPr>
      <w:r w:rsidRPr="00792B36">
        <w:rPr>
          <w:sz w:val="24"/>
          <w:szCs w:val="24"/>
        </w:rPr>
        <w:t xml:space="preserve">However, in 2018, vessel owners were allowed to apply for one type of HEG and one type of LEG for the same vessel. Handline could also be applied in addition to either HEG or LEG. In case where they applied for only LEG, they could apply for up to three types of LEG, plus handline. Thus, the unit of fishing gear increased to 16,509 in 2018. Handline became the most commonly used fishing gear, with 7,332 units, because almost all vessels applied for handline to be equipped on board and used time to time by crews. However, when considering the main fishing gear, trawls were still the most commonly used, with a slightly lower number of 2,975 units. After that, the number of fishing gear units showed a decreasing trend following the reduction in the number of fishing vessels, reaching </w:t>
      </w:r>
      <w:r w:rsidRPr="00792B36">
        <w:rPr>
          <w:sz w:val="24"/>
          <w:szCs w:val="24"/>
          <w:cs/>
        </w:rPr>
        <w:t>14,</w:t>
      </w:r>
      <w:r w:rsidRPr="00792B36">
        <w:rPr>
          <w:sz w:val="24"/>
          <w:szCs w:val="24"/>
        </w:rPr>
        <w:t xml:space="preserve">196 units in 2024 (Appendix Table 4). Although, a fishing vessel may apply for multiple fishing gears, only one type of fishing gear must be operated at a time. </w:t>
      </w:r>
    </w:p>
    <w:p w14:paraId="15D2C4A2" w14:textId="77777777" w:rsidR="00037A8B" w:rsidRPr="00792B36" w:rsidRDefault="00037A8B" w:rsidP="00037A8B">
      <w:pPr>
        <w:jc w:val="thaiDistribute"/>
        <w:rPr>
          <w:b/>
          <w:bCs/>
          <w:sz w:val="24"/>
          <w:szCs w:val="24"/>
        </w:rPr>
      </w:pPr>
    </w:p>
    <w:p w14:paraId="51CE336C" w14:textId="77777777" w:rsidR="00037A8B" w:rsidRPr="00792B36" w:rsidRDefault="00037A8B" w:rsidP="00037A8B">
      <w:pPr>
        <w:ind w:left="854" w:hanging="854"/>
        <w:jc w:val="thaiDistribute"/>
        <w:rPr>
          <w:sz w:val="24"/>
          <w:szCs w:val="24"/>
        </w:rPr>
      </w:pPr>
      <w:r w:rsidRPr="00792B36">
        <w:rPr>
          <w:b/>
          <w:bCs/>
          <w:sz w:val="24"/>
          <w:szCs w:val="24"/>
        </w:rPr>
        <w:t xml:space="preserve">Table 2 </w:t>
      </w:r>
      <w:r w:rsidRPr="00792B36">
        <w:rPr>
          <w:sz w:val="24"/>
          <w:szCs w:val="24"/>
        </w:rPr>
        <w:t>Number of fishing days allocated to each type of fishing gear operated</w:t>
      </w:r>
      <w:r w:rsidRPr="00792B36">
        <w:rPr>
          <w:sz w:val="24"/>
          <w:szCs w:val="24"/>
          <w:cs/>
        </w:rPr>
        <w:t xml:space="preserve"> </w:t>
      </w:r>
      <w:r w:rsidRPr="00792B36">
        <w:rPr>
          <w:sz w:val="24"/>
          <w:szCs w:val="24"/>
        </w:rPr>
        <w:t>in the Gulf of Thailand between 2016 and 2025</w:t>
      </w:r>
    </w:p>
    <w:p w14:paraId="6E979564" w14:textId="77777777" w:rsidR="00037A8B" w:rsidRPr="00792B36" w:rsidRDefault="00037A8B" w:rsidP="00037A8B">
      <w:pPr>
        <w:jc w:val="thaiDistribute"/>
        <w:rPr>
          <w:sz w:val="24"/>
          <w:szCs w:val="24"/>
        </w:rPr>
      </w:pPr>
    </w:p>
    <w:tbl>
      <w:tblPr>
        <w:tblW w:w="87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1555"/>
        <w:gridCol w:w="2976"/>
        <w:gridCol w:w="1418"/>
        <w:gridCol w:w="1417"/>
        <w:gridCol w:w="1418"/>
      </w:tblGrid>
      <w:tr w:rsidR="00037A8B" w:rsidRPr="00792B36" w14:paraId="7DCAB84C" w14:textId="77777777" w:rsidTr="0096560E">
        <w:trPr>
          <w:trHeight w:val="314"/>
        </w:trPr>
        <w:tc>
          <w:tcPr>
            <w:tcW w:w="1555" w:type="dxa"/>
            <w:vMerge w:val="restart"/>
            <w:tcMar>
              <w:top w:w="15" w:type="dxa"/>
              <w:left w:w="108" w:type="dxa"/>
              <w:bottom w:w="0" w:type="dxa"/>
              <w:right w:w="108" w:type="dxa"/>
            </w:tcMar>
            <w:hideMark/>
          </w:tcPr>
          <w:p w14:paraId="484B1164" w14:textId="77777777" w:rsidR="00037A8B" w:rsidRPr="00792B36" w:rsidRDefault="00037A8B" w:rsidP="0096560E">
            <w:pPr>
              <w:jc w:val="center"/>
              <w:rPr>
                <w:b/>
                <w:bCs/>
                <w:sz w:val="24"/>
                <w:szCs w:val="24"/>
              </w:rPr>
            </w:pPr>
            <w:r w:rsidRPr="00792B36">
              <w:rPr>
                <w:b/>
                <w:bCs/>
                <w:sz w:val="24"/>
                <w:szCs w:val="24"/>
              </w:rPr>
              <w:t>Group of fishing gear</w:t>
            </w:r>
          </w:p>
        </w:tc>
        <w:tc>
          <w:tcPr>
            <w:tcW w:w="2976" w:type="dxa"/>
            <w:vMerge w:val="restart"/>
            <w:tcMar>
              <w:top w:w="15" w:type="dxa"/>
              <w:left w:w="108" w:type="dxa"/>
              <w:bottom w:w="0" w:type="dxa"/>
              <w:right w:w="108" w:type="dxa"/>
            </w:tcMar>
            <w:hideMark/>
          </w:tcPr>
          <w:p w14:paraId="02E7111C" w14:textId="77777777" w:rsidR="00037A8B" w:rsidRPr="00792B36" w:rsidRDefault="00037A8B" w:rsidP="0096560E">
            <w:pPr>
              <w:jc w:val="center"/>
              <w:rPr>
                <w:b/>
                <w:bCs/>
                <w:sz w:val="24"/>
                <w:szCs w:val="24"/>
              </w:rPr>
            </w:pPr>
            <w:r w:rsidRPr="00792B36">
              <w:rPr>
                <w:b/>
                <w:bCs/>
                <w:sz w:val="24"/>
                <w:szCs w:val="24"/>
              </w:rPr>
              <w:t>Type of fishing gear</w:t>
            </w:r>
          </w:p>
        </w:tc>
        <w:tc>
          <w:tcPr>
            <w:tcW w:w="4253" w:type="dxa"/>
            <w:gridSpan w:val="3"/>
            <w:tcMar>
              <w:top w:w="15" w:type="dxa"/>
              <w:left w:w="108" w:type="dxa"/>
              <w:bottom w:w="0" w:type="dxa"/>
              <w:right w:w="108" w:type="dxa"/>
            </w:tcMar>
            <w:hideMark/>
          </w:tcPr>
          <w:p w14:paraId="7588023C" w14:textId="77777777" w:rsidR="00037A8B" w:rsidRPr="00792B36" w:rsidRDefault="00037A8B" w:rsidP="0096560E">
            <w:pPr>
              <w:jc w:val="center"/>
              <w:rPr>
                <w:b/>
                <w:bCs/>
                <w:sz w:val="24"/>
                <w:szCs w:val="24"/>
              </w:rPr>
            </w:pPr>
            <w:r w:rsidRPr="00792B36">
              <w:rPr>
                <w:b/>
                <w:bCs/>
                <w:sz w:val="24"/>
                <w:szCs w:val="24"/>
              </w:rPr>
              <w:t xml:space="preserve">Number of fishing days </w:t>
            </w:r>
            <w:r w:rsidRPr="00792B36">
              <w:rPr>
                <w:b/>
                <w:bCs/>
                <w:sz w:val="24"/>
                <w:szCs w:val="24"/>
                <w:cs/>
              </w:rPr>
              <w:t>(</w:t>
            </w:r>
            <w:r w:rsidRPr="00792B36">
              <w:rPr>
                <w:b/>
                <w:bCs/>
                <w:sz w:val="24"/>
                <w:szCs w:val="24"/>
              </w:rPr>
              <w:t>day</w:t>
            </w:r>
            <w:r w:rsidRPr="00792B36">
              <w:rPr>
                <w:b/>
                <w:bCs/>
                <w:sz w:val="24"/>
                <w:szCs w:val="24"/>
                <w:cs/>
              </w:rPr>
              <w:t>/</w:t>
            </w:r>
            <w:r w:rsidRPr="00792B36">
              <w:rPr>
                <w:b/>
                <w:bCs/>
                <w:sz w:val="24"/>
                <w:szCs w:val="24"/>
              </w:rPr>
              <w:t>year</w:t>
            </w:r>
            <w:r w:rsidRPr="00792B36">
              <w:rPr>
                <w:b/>
                <w:bCs/>
                <w:sz w:val="24"/>
                <w:szCs w:val="24"/>
                <w:cs/>
              </w:rPr>
              <w:t>)</w:t>
            </w:r>
          </w:p>
        </w:tc>
      </w:tr>
      <w:tr w:rsidR="00037A8B" w:rsidRPr="00792B36" w14:paraId="07B51483" w14:textId="77777777" w:rsidTr="0096560E">
        <w:trPr>
          <w:trHeight w:val="283"/>
        </w:trPr>
        <w:tc>
          <w:tcPr>
            <w:tcW w:w="1555" w:type="dxa"/>
            <w:vMerge/>
            <w:vAlign w:val="center"/>
          </w:tcPr>
          <w:p w14:paraId="650D4028" w14:textId="77777777" w:rsidR="00037A8B" w:rsidRPr="00792B36" w:rsidRDefault="00037A8B" w:rsidP="0096560E">
            <w:pPr>
              <w:jc w:val="thaiDistribute"/>
              <w:rPr>
                <w:b/>
                <w:bCs/>
                <w:sz w:val="24"/>
                <w:szCs w:val="24"/>
              </w:rPr>
            </w:pPr>
          </w:p>
        </w:tc>
        <w:tc>
          <w:tcPr>
            <w:tcW w:w="2976" w:type="dxa"/>
            <w:vMerge/>
            <w:vAlign w:val="center"/>
          </w:tcPr>
          <w:p w14:paraId="486324CF" w14:textId="77777777" w:rsidR="00037A8B" w:rsidRPr="00792B36" w:rsidRDefault="00037A8B" w:rsidP="0096560E">
            <w:pPr>
              <w:jc w:val="thaiDistribute"/>
              <w:rPr>
                <w:b/>
                <w:bCs/>
                <w:sz w:val="24"/>
                <w:szCs w:val="24"/>
              </w:rPr>
            </w:pPr>
          </w:p>
        </w:tc>
        <w:tc>
          <w:tcPr>
            <w:tcW w:w="1418" w:type="dxa"/>
            <w:tcMar>
              <w:top w:w="15" w:type="dxa"/>
              <w:left w:w="108" w:type="dxa"/>
              <w:bottom w:w="0" w:type="dxa"/>
              <w:right w:w="108" w:type="dxa"/>
            </w:tcMar>
          </w:tcPr>
          <w:p w14:paraId="1E87F0B8" w14:textId="77777777" w:rsidR="00037A8B" w:rsidRPr="00792B36" w:rsidRDefault="00037A8B" w:rsidP="0096560E">
            <w:pPr>
              <w:jc w:val="center"/>
              <w:rPr>
                <w:b/>
                <w:bCs/>
                <w:sz w:val="24"/>
                <w:szCs w:val="24"/>
              </w:rPr>
            </w:pPr>
            <w:r w:rsidRPr="00792B36">
              <w:rPr>
                <w:b/>
                <w:bCs/>
                <w:sz w:val="24"/>
                <w:szCs w:val="24"/>
              </w:rPr>
              <w:t>2016 -2017</w:t>
            </w:r>
          </w:p>
        </w:tc>
        <w:tc>
          <w:tcPr>
            <w:tcW w:w="1417" w:type="dxa"/>
            <w:tcMar>
              <w:top w:w="15" w:type="dxa"/>
              <w:left w:w="108" w:type="dxa"/>
              <w:bottom w:w="0" w:type="dxa"/>
              <w:right w:w="108" w:type="dxa"/>
            </w:tcMar>
          </w:tcPr>
          <w:p w14:paraId="602A7C50" w14:textId="77777777" w:rsidR="00037A8B" w:rsidRPr="00792B36" w:rsidRDefault="00037A8B" w:rsidP="0096560E">
            <w:pPr>
              <w:jc w:val="center"/>
              <w:rPr>
                <w:b/>
                <w:bCs/>
                <w:sz w:val="24"/>
                <w:szCs w:val="24"/>
              </w:rPr>
            </w:pPr>
            <w:r w:rsidRPr="00792B36">
              <w:rPr>
                <w:b/>
                <w:bCs/>
                <w:sz w:val="24"/>
                <w:szCs w:val="24"/>
              </w:rPr>
              <w:t>2018 -2023</w:t>
            </w:r>
          </w:p>
        </w:tc>
        <w:tc>
          <w:tcPr>
            <w:tcW w:w="1418" w:type="dxa"/>
          </w:tcPr>
          <w:p w14:paraId="58EFEF1D" w14:textId="77777777" w:rsidR="00037A8B" w:rsidRPr="00792B36" w:rsidRDefault="00037A8B" w:rsidP="0096560E">
            <w:pPr>
              <w:jc w:val="center"/>
              <w:rPr>
                <w:b/>
                <w:bCs/>
                <w:sz w:val="24"/>
                <w:szCs w:val="24"/>
              </w:rPr>
            </w:pPr>
            <w:r w:rsidRPr="00792B36">
              <w:rPr>
                <w:b/>
                <w:bCs/>
                <w:sz w:val="24"/>
                <w:szCs w:val="24"/>
              </w:rPr>
              <w:t>2024 -2025</w:t>
            </w:r>
          </w:p>
        </w:tc>
      </w:tr>
      <w:tr w:rsidR="00037A8B" w:rsidRPr="00792B36" w14:paraId="11171AA4" w14:textId="77777777" w:rsidTr="0096560E">
        <w:trPr>
          <w:trHeight w:val="672"/>
        </w:trPr>
        <w:tc>
          <w:tcPr>
            <w:tcW w:w="1555" w:type="dxa"/>
            <w:vMerge w:val="restart"/>
            <w:tcMar>
              <w:top w:w="15" w:type="dxa"/>
              <w:left w:w="108" w:type="dxa"/>
              <w:bottom w:w="0" w:type="dxa"/>
              <w:right w:w="108" w:type="dxa"/>
            </w:tcMar>
            <w:hideMark/>
          </w:tcPr>
          <w:p w14:paraId="48E0AB6C" w14:textId="77777777" w:rsidR="00037A8B" w:rsidRPr="00792B36" w:rsidRDefault="00037A8B" w:rsidP="0096560E">
            <w:pPr>
              <w:rPr>
                <w:sz w:val="24"/>
                <w:szCs w:val="24"/>
              </w:rPr>
            </w:pPr>
            <w:r w:rsidRPr="00792B36">
              <w:rPr>
                <w:sz w:val="24"/>
                <w:szCs w:val="24"/>
              </w:rPr>
              <w:t>High efficiency fishing gear</w:t>
            </w:r>
          </w:p>
        </w:tc>
        <w:tc>
          <w:tcPr>
            <w:tcW w:w="2976" w:type="dxa"/>
            <w:tcMar>
              <w:top w:w="15" w:type="dxa"/>
              <w:left w:w="108" w:type="dxa"/>
              <w:bottom w:w="0" w:type="dxa"/>
              <w:right w:w="108" w:type="dxa"/>
            </w:tcMar>
          </w:tcPr>
          <w:p w14:paraId="6E1D3329" w14:textId="77777777" w:rsidR="00037A8B" w:rsidRPr="00792B36" w:rsidRDefault="00037A8B" w:rsidP="0096560E">
            <w:pPr>
              <w:rPr>
                <w:sz w:val="24"/>
                <w:szCs w:val="24"/>
              </w:rPr>
            </w:pPr>
            <w:r w:rsidRPr="00792B36">
              <w:rPr>
                <w:sz w:val="24"/>
                <w:szCs w:val="24"/>
              </w:rPr>
              <w:t xml:space="preserve">Otter board trawl, </w:t>
            </w:r>
          </w:p>
          <w:p w14:paraId="71409F6E" w14:textId="77777777" w:rsidR="00037A8B" w:rsidRPr="00792B36" w:rsidRDefault="00037A8B" w:rsidP="0096560E">
            <w:pPr>
              <w:rPr>
                <w:sz w:val="24"/>
                <w:szCs w:val="24"/>
              </w:rPr>
            </w:pPr>
            <w:r w:rsidRPr="00792B36">
              <w:rPr>
                <w:sz w:val="24"/>
                <w:szCs w:val="24"/>
              </w:rPr>
              <w:t>beam trawl, pair trawl</w:t>
            </w:r>
          </w:p>
        </w:tc>
        <w:tc>
          <w:tcPr>
            <w:tcW w:w="1418" w:type="dxa"/>
            <w:tcMar>
              <w:top w:w="15" w:type="dxa"/>
              <w:left w:w="108" w:type="dxa"/>
              <w:bottom w:w="0" w:type="dxa"/>
              <w:right w:w="108" w:type="dxa"/>
            </w:tcMar>
          </w:tcPr>
          <w:p w14:paraId="5731429C" w14:textId="77777777" w:rsidR="00037A8B" w:rsidRPr="00792B36" w:rsidRDefault="00037A8B" w:rsidP="0096560E">
            <w:pPr>
              <w:jc w:val="center"/>
              <w:rPr>
                <w:sz w:val="24"/>
                <w:szCs w:val="24"/>
              </w:rPr>
            </w:pPr>
            <w:r w:rsidRPr="00792B36">
              <w:rPr>
                <w:sz w:val="24"/>
                <w:szCs w:val="24"/>
              </w:rPr>
              <w:t>220</w:t>
            </w:r>
          </w:p>
        </w:tc>
        <w:tc>
          <w:tcPr>
            <w:tcW w:w="1417" w:type="dxa"/>
            <w:tcMar>
              <w:top w:w="15" w:type="dxa"/>
              <w:left w:w="108" w:type="dxa"/>
              <w:bottom w:w="0" w:type="dxa"/>
              <w:right w:w="108" w:type="dxa"/>
            </w:tcMar>
          </w:tcPr>
          <w:p w14:paraId="17D53A0F" w14:textId="77777777" w:rsidR="00037A8B" w:rsidRPr="00792B36" w:rsidRDefault="00037A8B" w:rsidP="0096560E">
            <w:pPr>
              <w:jc w:val="center"/>
              <w:rPr>
                <w:sz w:val="24"/>
                <w:szCs w:val="24"/>
              </w:rPr>
            </w:pPr>
            <w:r w:rsidRPr="00792B36">
              <w:rPr>
                <w:sz w:val="24"/>
                <w:szCs w:val="24"/>
              </w:rPr>
              <w:t>240</w:t>
            </w:r>
          </w:p>
        </w:tc>
        <w:tc>
          <w:tcPr>
            <w:tcW w:w="1418" w:type="dxa"/>
          </w:tcPr>
          <w:p w14:paraId="6A210DB0" w14:textId="77777777" w:rsidR="00037A8B" w:rsidRPr="00792B36" w:rsidRDefault="00037A8B" w:rsidP="0096560E">
            <w:pPr>
              <w:jc w:val="center"/>
              <w:rPr>
                <w:sz w:val="24"/>
                <w:szCs w:val="24"/>
                <w:cs/>
              </w:rPr>
            </w:pPr>
            <w:r w:rsidRPr="00792B36">
              <w:rPr>
                <w:sz w:val="24"/>
                <w:szCs w:val="24"/>
                <w:cs/>
              </w:rPr>
              <w:t>24</w:t>
            </w:r>
            <w:r w:rsidRPr="00792B36">
              <w:rPr>
                <w:sz w:val="24"/>
                <w:szCs w:val="24"/>
              </w:rPr>
              <w:t>5</w:t>
            </w:r>
          </w:p>
        </w:tc>
      </w:tr>
      <w:tr w:rsidR="00037A8B" w:rsidRPr="00792B36" w14:paraId="78D4BFD9" w14:textId="77777777" w:rsidTr="0096560E">
        <w:trPr>
          <w:trHeight w:val="340"/>
        </w:trPr>
        <w:tc>
          <w:tcPr>
            <w:tcW w:w="1555" w:type="dxa"/>
            <w:vMerge/>
            <w:hideMark/>
          </w:tcPr>
          <w:p w14:paraId="3E65C92A" w14:textId="77777777" w:rsidR="00037A8B" w:rsidRPr="00792B36" w:rsidRDefault="00037A8B" w:rsidP="0096560E">
            <w:pPr>
              <w:rPr>
                <w:sz w:val="24"/>
                <w:szCs w:val="24"/>
              </w:rPr>
            </w:pPr>
          </w:p>
        </w:tc>
        <w:tc>
          <w:tcPr>
            <w:tcW w:w="2976" w:type="dxa"/>
            <w:tcMar>
              <w:top w:w="15" w:type="dxa"/>
              <w:left w:w="108" w:type="dxa"/>
              <w:bottom w:w="0" w:type="dxa"/>
              <w:right w:w="108" w:type="dxa"/>
            </w:tcMar>
          </w:tcPr>
          <w:p w14:paraId="61E323F3" w14:textId="77777777" w:rsidR="00037A8B" w:rsidRPr="00792B36" w:rsidRDefault="00037A8B" w:rsidP="0096560E">
            <w:pPr>
              <w:rPr>
                <w:sz w:val="24"/>
                <w:szCs w:val="24"/>
              </w:rPr>
            </w:pPr>
            <w:r w:rsidRPr="00792B36">
              <w:rPr>
                <w:sz w:val="24"/>
                <w:szCs w:val="24"/>
              </w:rPr>
              <w:t>Purse seine</w:t>
            </w:r>
          </w:p>
        </w:tc>
        <w:tc>
          <w:tcPr>
            <w:tcW w:w="1418" w:type="dxa"/>
            <w:tcMar>
              <w:top w:w="15" w:type="dxa"/>
              <w:left w:w="108" w:type="dxa"/>
              <w:bottom w:w="0" w:type="dxa"/>
              <w:right w:w="108" w:type="dxa"/>
            </w:tcMar>
          </w:tcPr>
          <w:p w14:paraId="61E71D5B" w14:textId="77777777" w:rsidR="00037A8B" w:rsidRPr="00792B36" w:rsidRDefault="00037A8B" w:rsidP="0096560E">
            <w:pPr>
              <w:jc w:val="center"/>
              <w:rPr>
                <w:sz w:val="24"/>
                <w:szCs w:val="24"/>
              </w:rPr>
            </w:pPr>
            <w:r w:rsidRPr="00792B36">
              <w:rPr>
                <w:sz w:val="24"/>
                <w:szCs w:val="24"/>
              </w:rPr>
              <w:t>220</w:t>
            </w:r>
          </w:p>
        </w:tc>
        <w:tc>
          <w:tcPr>
            <w:tcW w:w="1417" w:type="dxa"/>
            <w:tcMar>
              <w:top w:w="15" w:type="dxa"/>
              <w:left w:w="108" w:type="dxa"/>
              <w:bottom w:w="0" w:type="dxa"/>
              <w:right w:w="108" w:type="dxa"/>
            </w:tcMar>
          </w:tcPr>
          <w:p w14:paraId="7A5E2477" w14:textId="77777777" w:rsidR="00037A8B" w:rsidRPr="00792B36" w:rsidRDefault="00037A8B" w:rsidP="0096560E">
            <w:pPr>
              <w:jc w:val="center"/>
              <w:rPr>
                <w:sz w:val="24"/>
                <w:szCs w:val="24"/>
              </w:rPr>
            </w:pPr>
            <w:r w:rsidRPr="00792B36">
              <w:rPr>
                <w:sz w:val="24"/>
                <w:szCs w:val="24"/>
              </w:rPr>
              <w:t>240</w:t>
            </w:r>
          </w:p>
        </w:tc>
        <w:tc>
          <w:tcPr>
            <w:tcW w:w="1418" w:type="dxa"/>
          </w:tcPr>
          <w:p w14:paraId="08A9E577" w14:textId="77777777" w:rsidR="00037A8B" w:rsidRPr="00792B36" w:rsidRDefault="00037A8B" w:rsidP="0096560E">
            <w:pPr>
              <w:jc w:val="center"/>
              <w:rPr>
                <w:sz w:val="24"/>
                <w:szCs w:val="24"/>
                <w:cs/>
              </w:rPr>
            </w:pPr>
            <w:r w:rsidRPr="00792B36">
              <w:rPr>
                <w:sz w:val="24"/>
                <w:szCs w:val="24"/>
                <w:cs/>
              </w:rPr>
              <w:t>2</w:t>
            </w:r>
            <w:r w:rsidRPr="00792B36">
              <w:rPr>
                <w:sz w:val="24"/>
                <w:szCs w:val="24"/>
              </w:rPr>
              <w:t>55</w:t>
            </w:r>
          </w:p>
        </w:tc>
      </w:tr>
      <w:tr w:rsidR="00037A8B" w:rsidRPr="00792B36" w14:paraId="397E11D7" w14:textId="77777777" w:rsidTr="0096560E">
        <w:trPr>
          <w:trHeight w:val="587"/>
        </w:trPr>
        <w:tc>
          <w:tcPr>
            <w:tcW w:w="1555" w:type="dxa"/>
            <w:vMerge/>
            <w:hideMark/>
          </w:tcPr>
          <w:p w14:paraId="14D0DBD3" w14:textId="77777777" w:rsidR="00037A8B" w:rsidRPr="00792B36" w:rsidRDefault="00037A8B" w:rsidP="0096560E">
            <w:pPr>
              <w:rPr>
                <w:sz w:val="24"/>
                <w:szCs w:val="24"/>
              </w:rPr>
            </w:pPr>
          </w:p>
        </w:tc>
        <w:tc>
          <w:tcPr>
            <w:tcW w:w="2976" w:type="dxa"/>
            <w:tcMar>
              <w:top w:w="15" w:type="dxa"/>
              <w:left w:w="108" w:type="dxa"/>
              <w:bottom w:w="0" w:type="dxa"/>
              <w:right w:w="108" w:type="dxa"/>
            </w:tcMar>
          </w:tcPr>
          <w:p w14:paraId="2B8DE806" w14:textId="77777777" w:rsidR="00037A8B" w:rsidRPr="00792B36" w:rsidRDefault="00037A8B" w:rsidP="0096560E">
            <w:pPr>
              <w:rPr>
                <w:sz w:val="24"/>
                <w:szCs w:val="24"/>
              </w:rPr>
            </w:pPr>
            <w:r w:rsidRPr="00792B36">
              <w:rPr>
                <w:sz w:val="24"/>
                <w:szCs w:val="24"/>
              </w:rPr>
              <w:t xml:space="preserve">Anchovy falling net, anchovy lift net, </w:t>
            </w:r>
          </w:p>
          <w:p w14:paraId="7E0AF4C2" w14:textId="77777777" w:rsidR="00037A8B" w:rsidRPr="00792B36" w:rsidRDefault="00037A8B" w:rsidP="0096560E">
            <w:pPr>
              <w:rPr>
                <w:sz w:val="24"/>
                <w:szCs w:val="24"/>
              </w:rPr>
            </w:pPr>
            <w:r w:rsidRPr="00792B36">
              <w:rPr>
                <w:sz w:val="24"/>
                <w:szCs w:val="24"/>
              </w:rPr>
              <w:t xml:space="preserve">anchovy purse seine </w:t>
            </w:r>
          </w:p>
        </w:tc>
        <w:tc>
          <w:tcPr>
            <w:tcW w:w="1418" w:type="dxa"/>
            <w:tcMar>
              <w:top w:w="15" w:type="dxa"/>
              <w:left w:w="108" w:type="dxa"/>
              <w:bottom w:w="0" w:type="dxa"/>
              <w:right w:w="108" w:type="dxa"/>
            </w:tcMar>
          </w:tcPr>
          <w:p w14:paraId="055CBABB" w14:textId="77777777" w:rsidR="00037A8B" w:rsidRPr="00792B36" w:rsidRDefault="00037A8B" w:rsidP="0096560E">
            <w:pPr>
              <w:jc w:val="center"/>
              <w:rPr>
                <w:sz w:val="24"/>
                <w:szCs w:val="24"/>
              </w:rPr>
            </w:pPr>
            <w:r w:rsidRPr="00792B36">
              <w:rPr>
                <w:sz w:val="24"/>
                <w:szCs w:val="24"/>
              </w:rPr>
              <w:t>235</w:t>
            </w:r>
          </w:p>
        </w:tc>
        <w:tc>
          <w:tcPr>
            <w:tcW w:w="1417" w:type="dxa"/>
            <w:tcMar>
              <w:top w:w="15" w:type="dxa"/>
              <w:left w:w="108" w:type="dxa"/>
              <w:bottom w:w="0" w:type="dxa"/>
              <w:right w:w="108" w:type="dxa"/>
            </w:tcMar>
          </w:tcPr>
          <w:p w14:paraId="51743BF9" w14:textId="77777777" w:rsidR="00037A8B" w:rsidRPr="00792B36" w:rsidRDefault="00037A8B" w:rsidP="0096560E">
            <w:pPr>
              <w:jc w:val="center"/>
              <w:rPr>
                <w:sz w:val="24"/>
                <w:szCs w:val="24"/>
              </w:rPr>
            </w:pPr>
            <w:r w:rsidRPr="00792B36">
              <w:rPr>
                <w:sz w:val="24"/>
                <w:szCs w:val="24"/>
              </w:rPr>
              <w:t>255</w:t>
            </w:r>
          </w:p>
        </w:tc>
        <w:tc>
          <w:tcPr>
            <w:tcW w:w="1418" w:type="dxa"/>
          </w:tcPr>
          <w:p w14:paraId="732DA774" w14:textId="77777777" w:rsidR="00037A8B" w:rsidRPr="00792B36" w:rsidRDefault="00037A8B" w:rsidP="0096560E">
            <w:pPr>
              <w:jc w:val="center"/>
              <w:rPr>
                <w:sz w:val="24"/>
                <w:szCs w:val="24"/>
                <w:cs/>
              </w:rPr>
            </w:pPr>
            <w:r w:rsidRPr="00792B36">
              <w:rPr>
                <w:sz w:val="24"/>
                <w:szCs w:val="24"/>
                <w:cs/>
              </w:rPr>
              <w:t>2</w:t>
            </w:r>
            <w:r w:rsidRPr="00792B36">
              <w:rPr>
                <w:sz w:val="24"/>
                <w:szCs w:val="24"/>
              </w:rPr>
              <w:t>70</w:t>
            </w:r>
          </w:p>
        </w:tc>
      </w:tr>
      <w:tr w:rsidR="00037A8B" w:rsidRPr="00792B36" w14:paraId="6F9A65E2" w14:textId="77777777" w:rsidTr="0096560E">
        <w:trPr>
          <w:trHeight w:val="340"/>
        </w:trPr>
        <w:tc>
          <w:tcPr>
            <w:tcW w:w="1555" w:type="dxa"/>
            <w:vMerge/>
            <w:hideMark/>
          </w:tcPr>
          <w:p w14:paraId="347F32F5" w14:textId="77777777" w:rsidR="00037A8B" w:rsidRPr="00792B36" w:rsidRDefault="00037A8B" w:rsidP="0096560E">
            <w:pPr>
              <w:rPr>
                <w:sz w:val="24"/>
                <w:szCs w:val="24"/>
              </w:rPr>
            </w:pPr>
          </w:p>
        </w:tc>
        <w:tc>
          <w:tcPr>
            <w:tcW w:w="2976" w:type="dxa"/>
            <w:tcMar>
              <w:top w:w="15" w:type="dxa"/>
              <w:left w:w="108" w:type="dxa"/>
              <w:bottom w:w="0" w:type="dxa"/>
              <w:right w:w="108" w:type="dxa"/>
            </w:tcMar>
            <w:hideMark/>
          </w:tcPr>
          <w:p w14:paraId="0ED2B048" w14:textId="77777777" w:rsidR="00037A8B" w:rsidRPr="00792B36" w:rsidRDefault="00037A8B" w:rsidP="0096560E">
            <w:pPr>
              <w:rPr>
                <w:sz w:val="24"/>
                <w:szCs w:val="24"/>
              </w:rPr>
            </w:pPr>
            <w:r w:rsidRPr="00792B36">
              <w:rPr>
                <w:sz w:val="24"/>
                <w:szCs w:val="24"/>
              </w:rPr>
              <w:t>Light luring vessel</w:t>
            </w:r>
          </w:p>
        </w:tc>
        <w:tc>
          <w:tcPr>
            <w:tcW w:w="4253" w:type="dxa"/>
            <w:gridSpan w:val="3"/>
            <w:tcMar>
              <w:top w:w="15" w:type="dxa"/>
              <w:left w:w="108" w:type="dxa"/>
              <w:bottom w:w="0" w:type="dxa"/>
              <w:right w:w="108" w:type="dxa"/>
            </w:tcMar>
            <w:hideMark/>
          </w:tcPr>
          <w:p w14:paraId="43C17460" w14:textId="77777777" w:rsidR="00037A8B" w:rsidRPr="00792B36" w:rsidRDefault="00037A8B" w:rsidP="0096560E">
            <w:pPr>
              <w:jc w:val="center"/>
              <w:rPr>
                <w:sz w:val="24"/>
                <w:szCs w:val="24"/>
              </w:rPr>
            </w:pPr>
            <w:r w:rsidRPr="00792B36">
              <w:rPr>
                <w:sz w:val="24"/>
                <w:szCs w:val="24"/>
              </w:rPr>
              <w:t>Not defined</w:t>
            </w:r>
          </w:p>
        </w:tc>
      </w:tr>
      <w:tr w:rsidR="00037A8B" w:rsidRPr="00792B36" w14:paraId="53927404" w14:textId="77777777" w:rsidTr="0096560E">
        <w:trPr>
          <w:trHeight w:val="1362"/>
        </w:trPr>
        <w:tc>
          <w:tcPr>
            <w:tcW w:w="1555" w:type="dxa"/>
            <w:tcMar>
              <w:top w:w="15" w:type="dxa"/>
              <w:left w:w="108" w:type="dxa"/>
              <w:bottom w:w="0" w:type="dxa"/>
              <w:right w:w="108" w:type="dxa"/>
            </w:tcMar>
            <w:hideMark/>
          </w:tcPr>
          <w:p w14:paraId="1143753B" w14:textId="77777777" w:rsidR="00037A8B" w:rsidRPr="00792B36" w:rsidRDefault="00037A8B" w:rsidP="0096560E">
            <w:pPr>
              <w:rPr>
                <w:sz w:val="24"/>
                <w:szCs w:val="24"/>
              </w:rPr>
            </w:pPr>
            <w:r w:rsidRPr="00792B36">
              <w:rPr>
                <w:sz w:val="24"/>
                <w:szCs w:val="24"/>
              </w:rPr>
              <w:t>Low efficiency fishing gear</w:t>
            </w:r>
          </w:p>
        </w:tc>
        <w:tc>
          <w:tcPr>
            <w:tcW w:w="2976" w:type="dxa"/>
          </w:tcPr>
          <w:p w14:paraId="63F52216" w14:textId="77777777" w:rsidR="00037A8B" w:rsidRPr="00792B36" w:rsidRDefault="00037A8B" w:rsidP="0096560E">
            <w:pPr>
              <w:ind w:left="99" w:right="38"/>
              <w:rPr>
                <w:sz w:val="24"/>
                <w:szCs w:val="24"/>
              </w:rPr>
            </w:pPr>
            <w:r w:rsidRPr="00792B36">
              <w:rPr>
                <w:sz w:val="24"/>
                <w:szCs w:val="24"/>
              </w:rPr>
              <w:t>Squid falling net, traps,</w:t>
            </w:r>
          </w:p>
          <w:p w14:paraId="4E299509" w14:textId="77777777" w:rsidR="00037A8B" w:rsidRPr="00792B36" w:rsidRDefault="00037A8B" w:rsidP="0096560E">
            <w:pPr>
              <w:ind w:left="99" w:right="38"/>
              <w:rPr>
                <w:sz w:val="24"/>
                <w:szCs w:val="24"/>
              </w:rPr>
            </w:pPr>
            <w:r w:rsidRPr="00792B36">
              <w:rPr>
                <w:sz w:val="24"/>
                <w:szCs w:val="24"/>
              </w:rPr>
              <w:t>krill push net,</w:t>
            </w:r>
            <w:r w:rsidRPr="00792B36">
              <w:rPr>
                <w:sz w:val="24"/>
                <w:szCs w:val="24"/>
                <w:cs/>
              </w:rPr>
              <w:t xml:space="preserve"> </w:t>
            </w:r>
            <w:r w:rsidRPr="00792B36">
              <w:rPr>
                <w:sz w:val="24"/>
                <w:szCs w:val="24"/>
              </w:rPr>
              <w:t xml:space="preserve">gillnets, </w:t>
            </w:r>
          </w:p>
          <w:p w14:paraId="2C475B74" w14:textId="77777777" w:rsidR="00037A8B" w:rsidRPr="00792B36" w:rsidRDefault="00037A8B" w:rsidP="0096560E">
            <w:pPr>
              <w:ind w:left="99" w:right="38"/>
              <w:rPr>
                <w:sz w:val="24"/>
                <w:szCs w:val="24"/>
              </w:rPr>
            </w:pPr>
            <w:r w:rsidRPr="00792B36">
              <w:rPr>
                <w:sz w:val="24"/>
                <w:szCs w:val="24"/>
              </w:rPr>
              <w:t>clam dredges, pomfret lift net,</w:t>
            </w:r>
            <w:r w:rsidRPr="00792B36">
              <w:rPr>
                <w:sz w:val="24"/>
                <w:szCs w:val="24"/>
                <w:cs/>
              </w:rPr>
              <w:t xml:space="preserve"> </w:t>
            </w:r>
            <w:r w:rsidRPr="00792B36">
              <w:rPr>
                <w:sz w:val="24"/>
                <w:szCs w:val="24"/>
              </w:rPr>
              <w:t xml:space="preserve">longline, handline, </w:t>
            </w:r>
          </w:p>
          <w:p w14:paraId="488C3B2B" w14:textId="77777777" w:rsidR="00037A8B" w:rsidRPr="00792B36" w:rsidRDefault="00037A8B" w:rsidP="0096560E">
            <w:pPr>
              <w:ind w:left="99" w:right="38"/>
              <w:rPr>
                <w:sz w:val="24"/>
                <w:szCs w:val="24"/>
              </w:rPr>
            </w:pPr>
            <w:r w:rsidRPr="00792B36">
              <w:rPr>
                <w:sz w:val="24"/>
                <w:szCs w:val="24"/>
              </w:rPr>
              <w:t>r</w:t>
            </w:r>
            <w:r w:rsidRPr="00792B36">
              <w:rPr>
                <w:sz w:val="24"/>
                <w:szCs w:val="24"/>
                <w:lang w:val="da-DK"/>
              </w:rPr>
              <w:t>ed frog crab lift net</w:t>
            </w:r>
          </w:p>
        </w:tc>
        <w:tc>
          <w:tcPr>
            <w:tcW w:w="4253" w:type="dxa"/>
            <w:gridSpan w:val="3"/>
            <w:tcMar>
              <w:top w:w="15" w:type="dxa"/>
              <w:left w:w="108" w:type="dxa"/>
              <w:bottom w:w="0" w:type="dxa"/>
              <w:right w:w="108" w:type="dxa"/>
            </w:tcMar>
            <w:hideMark/>
          </w:tcPr>
          <w:p w14:paraId="46C6CC25" w14:textId="77777777" w:rsidR="00037A8B" w:rsidRPr="00792B36" w:rsidRDefault="00037A8B" w:rsidP="0096560E">
            <w:pPr>
              <w:jc w:val="center"/>
              <w:rPr>
                <w:sz w:val="24"/>
                <w:szCs w:val="24"/>
              </w:rPr>
            </w:pPr>
            <w:r w:rsidRPr="00792B36">
              <w:rPr>
                <w:sz w:val="24"/>
                <w:szCs w:val="24"/>
              </w:rPr>
              <w:t>Not defined</w:t>
            </w:r>
          </w:p>
        </w:tc>
      </w:tr>
      <w:bookmarkEnd w:id="22"/>
    </w:tbl>
    <w:p w14:paraId="3479AFB8" w14:textId="77777777" w:rsidR="00037A8B" w:rsidRPr="00792B36" w:rsidRDefault="00037A8B" w:rsidP="00037A8B">
      <w:pPr>
        <w:jc w:val="thaiDistribute"/>
        <w:rPr>
          <w:sz w:val="24"/>
          <w:szCs w:val="24"/>
        </w:rPr>
      </w:pPr>
    </w:p>
    <w:p w14:paraId="139E8E1F" w14:textId="2EF2681A" w:rsidR="00037A8B" w:rsidRPr="00792B36" w:rsidRDefault="00037A8B" w:rsidP="00037A8B">
      <w:pPr>
        <w:jc w:val="thaiDistribute"/>
        <w:rPr>
          <w:sz w:val="24"/>
          <w:szCs w:val="24"/>
        </w:rPr>
      </w:pPr>
      <w:r w:rsidRPr="00792B36">
        <w:rPr>
          <w:b/>
          <w:bCs/>
          <w:sz w:val="24"/>
          <w:szCs w:val="24"/>
        </w:rPr>
        <w:tab/>
      </w:r>
      <w:r w:rsidRPr="00792B36">
        <w:rPr>
          <w:sz w:val="24"/>
          <w:szCs w:val="24"/>
        </w:rPr>
        <w:t>In 2024, Pattani province had the highest number of fishing gear units, totaling 1,822 because it had the largest number of purse seiners, with 146 licensed vessels. These purse seiners are often operated with light luring vessels, which are also required to obtain a fishing license. These fishing vessels commonly have handlines equipped on board. Chumphon Province ranked second, with 1,637 fishing gear units, for the same reason as Pattani - it has a large number of purse seiners. It was followed by Nakhon Si Thammarat province, where the situation differs, as the province has the highest number of trawlers in the Gulf of Thailand, totaling 572 vessels (Appendix Table 5).</w:t>
      </w:r>
    </w:p>
    <w:p w14:paraId="44BEEA2B" w14:textId="43172AF4" w:rsidR="00037A8B" w:rsidRPr="00792B36" w:rsidRDefault="008C2A6B" w:rsidP="00037A8B">
      <w:pPr>
        <w:jc w:val="thaiDistribute"/>
        <w:rPr>
          <w:b/>
          <w:bCs/>
          <w:sz w:val="24"/>
          <w:szCs w:val="24"/>
        </w:rPr>
      </w:pPr>
      <w:r w:rsidRPr="00792B36">
        <w:rPr>
          <w:b/>
          <w:bCs/>
          <w:sz w:val="24"/>
          <w:szCs w:val="24"/>
        </w:rPr>
        <w:lastRenderedPageBreak/>
        <w:t>5.4</w:t>
      </w:r>
      <w:r w:rsidR="00037A8B" w:rsidRPr="00792B36">
        <w:rPr>
          <w:b/>
          <w:bCs/>
          <w:sz w:val="24"/>
          <w:szCs w:val="24"/>
        </w:rPr>
        <w:t>. Fisheries and ecosystem indicators</w:t>
      </w:r>
    </w:p>
    <w:p w14:paraId="6B2A4238" w14:textId="77777777" w:rsidR="00037A8B" w:rsidRPr="00792B36" w:rsidRDefault="00037A8B" w:rsidP="00037A8B">
      <w:pPr>
        <w:jc w:val="thaiDistribute"/>
        <w:rPr>
          <w:b/>
          <w:bCs/>
          <w:sz w:val="24"/>
          <w:szCs w:val="24"/>
        </w:rPr>
      </w:pPr>
    </w:p>
    <w:p w14:paraId="4F3B4CF0" w14:textId="190F4DA8" w:rsidR="00037A8B" w:rsidRPr="00792B36" w:rsidRDefault="00037A8B" w:rsidP="00037A8B">
      <w:pPr>
        <w:ind w:firstLine="720"/>
        <w:jc w:val="thaiDistribute"/>
        <w:rPr>
          <w:b/>
          <w:bCs/>
          <w:sz w:val="24"/>
          <w:szCs w:val="24"/>
        </w:rPr>
      </w:pPr>
      <w:r w:rsidRPr="00792B36">
        <w:rPr>
          <w:b/>
          <w:bCs/>
          <w:sz w:val="24"/>
          <w:szCs w:val="24"/>
        </w:rPr>
        <w:t>5.</w:t>
      </w:r>
      <w:r w:rsidR="008C2A6B" w:rsidRPr="00792B36">
        <w:rPr>
          <w:b/>
          <w:bCs/>
          <w:sz w:val="24"/>
          <w:szCs w:val="24"/>
        </w:rPr>
        <w:t>4.1</w:t>
      </w:r>
      <w:r w:rsidRPr="00792B36">
        <w:rPr>
          <w:b/>
          <w:bCs/>
          <w:sz w:val="24"/>
          <w:szCs w:val="24"/>
        </w:rPr>
        <w:t xml:space="preserve"> Catch per unit effort</w:t>
      </w:r>
    </w:p>
    <w:p w14:paraId="310370ED" w14:textId="77777777" w:rsidR="00037A8B" w:rsidRPr="00792B36" w:rsidRDefault="00037A8B" w:rsidP="00037A8B">
      <w:pPr>
        <w:jc w:val="thaiDistribute"/>
        <w:rPr>
          <w:b/>
          <w:bCs/>
          <w:sz w:val="24"/>
          <w:szCs w:val="24"/>
        </w:rPr>
      </w:pPr>
    </w:p>
    <w:p w14:paraId="6C0FF07D" w14:textId="77777777" w:rsidR="00037A8B" w:rsidRPr="00792B36" w:rsidRDefault="00037A8B" w:rsidP="00037A8B">
      <w:pPr>
        <w:jc w:val="thaiDistribute"/>
        <w:rPr>
          <w:sz w:val="24"/>
          <w:szCs w:val="24"/>
        </w:rPr>
      </w:pPr>
      <w:r w:rsidRPr="00792B36">
        <w:rPr>
          <w:sz w:val="24"/>
          <w:szCs w:val="24"/>
          <w:cs/>
        </w:rPr>
        <w:tab/>
      </w:r>
      <w:r w:rsidRPr="00792B36">
        <w:rPr>
          <w:sz w:val="24"/>
          <w:szCs w:val="24"/>
        </w:rPr>
        <w:t xml:space="preserve">The Department of Fisheries (DOF) has been conducting annual fisheries resource surveys since 1961 using research vessels equipped with otter board trawl with cod-end mesh size of 2.5 cm. In 1961, when trawl was first introduced to Thailand, the catch per unit effort (CPUE) in the Gulf of Thailand was 297.80 kg/hr. Thereafter, the CPUE gradually decreased to 127.90, 63.31, and 25.82 kg/hr in 1970, 1980, and 1990, respectively. It further declined to its lowest of 14.69 kg/hr in 2013. </w:t>
      </w:r>
    </w:p>
    <w:p w14:paraId="3A89D4AF" w14:textId="77777777" w:rsidR="00037A8B" w:rsidRPr="00792B36" w:rsidRDefault="00037A8B" w:rsidP="00037A8B">
      <w:pPr>
        <w:ind w:firstLine="720"/>
        <w:jc w:val="thaiDistribute"/>
        <w:rPr>
          <w:sz w:val="24"/>
          <w:szCs w:val="24"/>
        </w:rPr>
      </w:pPr>
      <w:r w:rsidRPr="00792B36">
        <w:rPr>
          <w:sz w:val="24"/>
          <w:szCs w:val="24"/>
        </w:rPr>
        <w:t xml:space="preserve">In 2016, the DOF began using otter board trawl with cod-end mesh size of 4.0 cm for the surveys, in accordance with the cod-end mesh size requirement prescribed under the Royal Ordinance on Fisheries B.E. 2558 (2015). The survey in 2016 recorded a CPUE of 12.61 kg/hr. Then, the CPUE showed an increasing trend to 21.52 kg/hr in 2023. However, in 2024, the CPUE decreased again to 16.62 kg/hr (Figure 2 and Appendix Table 6).   </w:t>
      </w:r>
    </w:p>
    <w:p w14:paraId="54B11F5B" w14:textId="77777777" w:rsidR="00037A8B" w:rsidRPr="00792B36" w:rsidRDefault="00037A8B" w:rsidP="00037A8B">
      <w:pPr>
        <w:ind w:firstLine="720"/>
        <w:jc w:val="thaiDistribute"/>
        <w:rPr>
          <w:sz w:val="24"/>
          <w:szCs w:val="24"/>
        </w:rPr>
      </w:pPr>
    </w:p>
    <w:p w14:paraId="2A0CC179" w14:textId="77777777" w:rsidR="00037A8B" w:rsidRPr="00792B36" w:rsidRDefault="00037A8B" w:rsidP="00037A8B">
      <w:pPr>
        <w:jc w:val="center"/>
        <w:rPr>
          <w:sz w:val="24"/>
          <w:szCs w:val="24"/>
        </w:rPr>
      </w:pPr>
      <w:r w:rsidRPr="00792B36">
        <w:rPr>
          <w:noProof/>
          <w:sz w:val="24"/>
          <w:szCs w:val="24"/>
        </w:rPr>
        <w:drawing>
          <wp:inline distT="0" distB="0" distL="0" distR="0" wp14:anchorId="74B5C1A0" wp14:editId="7BD20857">
            <wp:extent cx="5594350" cy="2411667"/>
            <wp:effectExtent l="0" t="0" r="6350" b="8255"/>
            <wp:docPr id="1563061664" name="Picture 1" descr="A line graph with numbers and a line&#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63061664" name="Picture 1" descr="A line graph with numbers and a line&#10;&#10;AI-generated content may be incorrect."/>
                    <pic:cNvPicPr/>
                  </pic:nvPicPr>
                  <pic:blipFill>
                    <a:blip r:embed="rId75"/>
                    <a:stretch>
                      <a:fillRect/>
                    </a:stretch>
                  </pic:blipFill>
                  <pic:spPr>
                    <a:xfrm>
                      <a:off x="0" y="0"/>
                      <a:ext cx="5603984" cy="2415820"/>
                    </a:xfrm>
                    <a:prstGeom prst="rect">
                      <a:avLst/>
                    </a:prstGeom>
                  </pic:spPr>
                </pic:pic>
              </a:graphicData>
            </a:graphic>
          </wp:inline>
        </w:drawing>
      </w:r>
    </w:p>
    <w:p w14:paraId="46670983" w14:textId="77777777" w:rsidR="00037A8B" w:rsidRPr="00792B36" w:rsidRDefault="00037A8B" w:rsidP="00037A8B">
      <w:pPr>
        <w:jc w:val="thaiDistribute"/>
        <w:rPr>
          <w:sz w:val="24"/>
          <w:szCs w:val="24"/>
        </w:rPr>
      </w:pPr>
    </w:p>
    <w:p w14:paraId="79E4B629" w14:textId="77777777" w:rsidR="00037A8B" w:rsidRPr="00792B36" w:rsidRDefault="00037A8B" w:rsidP="00037A8B">
      <w:pPr>
        <w:ind w:left="966" w:hanging="966"/>
        <w:jc w:val="thaiDistribute"/>
        <w:rPr>
          <w:sz w:val="24"/>
          <w:szCs w:val="24"/>
        </w:rPr>
      </w:pPr>
      <w:r w:rsidRPr="00792B36">
        <w:rPr>
          <w:b/>
          <w:bCs/>
          <w:sz w:val="24"/>
          <w:szCs w:val="24"/>
        </w:rPr>
        <w:t xml:space="preserve">Figure 2 </w:t>
      </w:r>
      <w:r w:rsidRPr="00792B36">
        <w:rPr>
          <w:sz w:val="24"/>
          <w:szCs w:val="24"/>
        </w:rPr>
        <w:t>Catch per unit effort of DOF research vessels using otter board trawl in the Gulf of Thailand between 1961 and 2024</w:t>
      </w:r>
    </w:p>
    <w:p w14:paraId="562D3F59" w14:textId="77777777" w:rsidR="00037A8B" w:rsidRPr="00792B36" w:rsidRDefault="00037A8B" w:rsidP="00037A8B">
      <w:pPr>
        <w:ind w:left="966" w:hanging="966"/>
        <w:jc w:val="thaiDistribute"/>
        <w:rPr>
          <w:sz w:val="24"/>
          <w:szCs w:val="24"/>
        </w:rPr>
      </w:pPr>
      <w:r w:rsidRPr="00792B36">
        <w:rPr>
          <w:b/>
          <w:bCs/>
          <w:sz w:val="24"/>
          <w:szCs w:val="24"/>
        </w:rPr>
        <w:t>Remark</w:t>
      </w:r>
      <w:r w:rsidRPr="00792B36">
        <w:rPr>
          <w:sz w:val="24"/>
          <w:szCs w:val="24"/>
        </w:rPr>
        <w:t xml:space="preserve">: The cod-end mesh size used between 1961 and 2015 was 2.5 cm, while the cod-end mesh size of 4.0 cm has been used since 2016. </w:t>
      </w:r>
    </w:p>
    <w:p w14:paraId="20E42E4C" w14:textId="77777777" w:rsidR="00037A8B" w:rsidRPr="00792B36" w:rsidRDefault="00037A8B" w:rsidP="00037A8B">
      <w:pPr>
        <w:jc w:val="thaiDistribute"/>
        <w:rPr>
          <w:sz w:val="24"/>
          <w:szCs w:val="24"/>
        </w:rPr>
      </w:pPr>
    </w:p>
    <w:p w14:paraId="6CD0E1D6" w14:textId="211D0648" w:rsidR="00037A8B" w:rsidRPr="00792B36" w:rsidRDefault="00037A8B" w:rsidP="00037A8B">
      <w:pPr>
        <w:ind w:firstLine="720"/>
        <w:jc w:val="thaiDistribute"/>
        <w:rPr>
          <w:b/>
          <w:bCs/>
          <w:sz w:val="24"/>
          <w:szCs w:val="24"/>
        </w:rPr>
      </w:pPr>
      <w:r w:rsidRPr="00792B36">
        <w:rPr>
          <w:b/>
          <w:bCs/>
          <w:sz w:val="24"/>
          <w:szCs w:val="24"/>
        </w:rPr>
        <w:t>5.</w:t>
      </w:r>
      <w:r w:rsidR="008C2A6B" w:rsidRPr="00792B36">
        <w:rPr>
          <w:b/>
          <w:bCs/>
          <w:sz w:val="24"/>
          <w:szCs w:val="24"/>
        </w:rPr>
        <w:t>4.</w:t>
      </w:r>
      <w:r w:rsidRPr="00792B36">
        <w:rPr>
          <w:b/>
          <w:bCs/>
          <w:sz w:val="24"/>
          <w:szCs w:val="24"/>
        </w:rPr>
        <w:t>2 Fishing effort</w:t>
      </w:r>
    </w:p>
    <w:p w14:paraId="2474D2D8" w14:textId="77777777" w:rsidR="00037A8B" w:rsidRPr="00792B36" w:rsidRDefault="00037A8B" w:rsidP="00037A8B">
      <w:pPr>
        <w:jc w:val="thaiDistribute"/>
        <w:rPr>
          <w:b/>
          <w:bCs/>
          <w:sz w:val="24"/>
          <w:szCs w:val="24"/>
        </w:rPr>
      </w:pPr>
    </w:p>
    <w:p w14:paraId="30C964F0" w14:textId="77777777" w:rsidR="00037A8B" w:rsidRPr="00792B36" w:rsidRDefault="00037A8B" w:rsidP="00037A8B">
      <w:pPr>
        <w:ind w:firstLine="720"/>
        <w:jc w:val="thaiDistribute"/>
        <w:rPr>
          <w:sz w:val="24"/>
          <w:szCs w:val="24"/>
        </w:rPr>
      </w:pPr>
      <w:r w:rsidRPr="00792B36">
        <w:rPr>
          <w:sz w:val="24"/>
          <w:szCs w:val="24"/>
        </w:rPr>
        <w:t xml:space="preserve">For stock assessment purpose, fisheries resources in Thai waters are divided into three species groups, namely demersal species, pelagic fish, and anchovy. The demersal species include demersal fishes, squids and cuttlefishes, shrimps, crabs, clams, and krill, while the pelagic fish are all midwater and pelagic fishes, including mackerels, scads, sardines, barracudas, and neritic tunas. The anchovy group includes all species of </w:t>
      </w:r>
      <w:r w:rsidRPr="00792B36">
        <w:rPr>
          <w:i/>
          <w:iCs/>
          <w:sz w:val="24"/>
          <w:szCs w:val="24"/>
        </w:rPr>
        <w:t xml:space="preserve">Encrasicholina </w:t>
      </w:r>
      <w:r w:rsidRPr="00792B36">
        <w:rPr>
          <w:sz w:val="24"/>
          <w:szCs w:val="24"/>
        </w:rPr>
        <w:t xml:space="preserve">spp. and </w:t>
      </w:r>
      <w:r w:rsidRPr="00792B36">
        <w:rPr>
          <w:i/>
          <w:iCs/>
          <w:sz w:val="24"/>
          <w:szCs w:val="24"/>
        </w:rPr>
        <w:t>Stolepholus</w:t>
      </w:r>
      <w:r w:rsidRPr="00792B36">
        <w:rPr>
          <w:sz w:val="24"/>
          <w:szCs w:val="24"/>
        </w:rPr>
        <w:t xml:space="preserve"> spp. The Maximum Sustainable Yield (MSY) assessment for the three groups of species is conducted every year using the Fox surplus production model (Appendix A) (Fox, 1970). </w:t>
      </w:r>
    </w:p>
    <w:p w14:paraId="39321511" w14:textId="77777777" w:rsidR="00037A8B" w:rsidRPr="00792B36" w:rsidRDefault="00037A8B" w:rsidP="00037A8B">
      <w:pPr>
        <w:ind w:firstLine="720"/>
        <w:jc w:val="thaiDistribute"/>
        <w:rPr>
          <w:sz w:val="24"/>
          <w:szCs w:val="24"/>
        </w:rPr>
      </w:pPr>
      <w:r w:rsidRPr="00792B36">
        <w:rPr>
          <w:sz w:val="24"/>
          <w:szCs w:val="24"/>
        </w:rPr>
        <w:t xml:space="preserve">The fishing effort of demersal species, pelagic fish, and anchovy in 2015, just before the implementation of limited access fishery prescribed under the Royal Ordinance on Fisheries B.E. 2558 (2015), was above the fishing effort at MSY level </w:t>
      </w:r>
      <w:r w:rsidRPr="00792B36">
        <w:rPr>
          <w:sz w:val="24"/>
          <w:szCs w:val="24"/>
        </w:rPr>
        <w:lastRenderedPageBreak/>
        <w:t>(E</w:t>
      </w:r>
      <w:r w:rsidRPr="00792B36">
        <w:rPr>
          <w:sz w:val="24"/>
          <w:szCs w:val="24"/>
          <w:vertAlign w:val="subscript"/>
        </w:rPr>
        <w:t>MSY</w:t>
      </w:r>
      <w:r w:rsidRPr="00792B36">
        <w:rPr>
          <w:sz w:val="24"/>
          <w:szCs w:val="24"/>
        </w:rPr>
        <w:t>) at 148.76%, 136.95%, and 100.88% of the E</w:t>
      </w:r>
      <w:r w:rsidRPr="00792B36">
        <w:rPr>
          <w:sz w:val="24"/>
          <w:szCs w:val="24"/>
          <w:vertAlign w:val="subscript"/>
        </w:rPr>
        <w:t>MSY</w:t>
      </w:r>
      <w:r w:rsidRPr="00792B36">
        <w:rPr>
          <w:sz w:val="24"/>
          <w:szCs w:val="24"/>
        </w:rPr>
        <w:t>, respectively, indicating overfishing for all groups of species. The year 2016 was the first year that the fishing license issuance was based on the biological reference point. In 2016, the fishing effort significantly declined. For demersal group, the fishing effort in 2016 and 2017 was 79.93% and 97.77% of the E</w:t>
      </w:r>
      <w:r w:rsidRPr="00792B36">
        <w:rPr>
          <w:sz w:val="24"/>
          <w:szCs w:val="24"/>
          <w:vertAlign w:val="subscript"/>
        </w:rPr>
        <w:t>MSY</w:t>
      </w:r>
      <w:r w:rsidRPr="00792B36">
        <w:rPr>
          <w:sz w:val="24"/>
          <w:szCs w:val="24"/>
        </w:rPr>
        <w:t>, respectively. After that, until 2024, the fishing effort ranged from 62.30 to 82.57% of the E</w:t>
      </w:r>
      <w:r w:rsidRPr="00792B36">
        <w:rPr>
          <w:sz w:val="24"/>
          <w:szCs w:val="24"/>
          <w:vertAlign w:val="subscript"/>
        </w:rPr>
        <w:t>MSY</w:t>
      </w:r>
      <w:r w:rsidRPr="00792B36">
        <w:rPr>
          <w:sz w:val="24"/>
          <w:szCs w:val="24"/>
        </w:rPr>
        <w:t>. For the pelagic fish group, the fishing effort in 2016 was still high at 115.19% of the E</w:t>
      </w:r>
      <w:r w:rsidRPr="00792B36">
        <w:rPr>
          <w:sz w:val="24"/>
          <w:szCs w:val="24"/>
          <w:vertAlign w:val="subscript"/>
        </w:rPr>
        <w:t>MSY</w:t>
      </w:r>
      <w:r w:rsidRPr="00792B36">
        <w:rPr>
          <w:sz w:val="24"/>
          <w:szCs w:val="24"/>
        </w:rPr>
        <w:t>, but it was subsequently controlled to remain well below the E</w:t>
      </w:r>
      <w:r w:rsidRPr="00792B36">
        <w:rPr>
          <w:sz w:val="24"/>
          <w:szCs w:val="24"/>
          <w:vertAlign w:val="subscript"/>
        </w:rPr>
        <w:t>MSY</w:t>
      </w:r>
      <w:r w:rsidRPr="00792B36">
        <w:rPr>
          <w:sz w:val="24"/>
          <w:szCs w:val="24"/>
        </w:rPr>
        <w:t xml:space="preserve"> level, ranging from 41.42 – 68.86% of E</w:t>
      </w:r>
      <w:r w:rsidRPr="00792B36">
        <w:rPr>
          <w:sz w:val="24"/>
          <w:szCs w:val="24"/>
          <w:vertAlign w:val="subscript"/>
        </w:rPr>
        <w:t>MSY</w:t>
      </w:r>
      <w:r w:rsidRPr="00792B36">
        <w:rPr>
          <w:sz w:val="24"/>
          <w:szCs w:val="24"/>
        </w:rPr>
        <w:t xml:space="preserve"> between 2021 - 2024. For anchovy group, the fishing effort continuously declined and has remained around 20% of the E</w:t>
      </w:r>
      <w:r w:rsidRPr="00792B36">
        <w:rPr>
          <w:sz w:val="24"/>
          <w:szCs w:val="24"/>
          <w:vertAlign w:val="subscript"/>
        </w:rPr>
        <w:t>MSY</w:t>
      </w:r>
      <w:r w:rsidRPr="00792B36">
        <w:rPr>
          <w:sz w:val="24"/>
          <w:szCs w:val="24"/>
        </w:rPr>
        <w:t xml:space="preserve"> during the past five years (Table 3). </w:t>
      </w:r>
      <w:r w:rsidRPr="00792B36">
        <w:rPr>
          <w:sz w:val="24"/>
          <w:szCs w:val="24"/>
          <w:vertAlign w:val="subscript"/>
        </w:rPr>
        <w:t xml:space="preserve"> </w:t>
      </w:r>
    </w:p>
    <w:p w14:paraId="515F0AC3" w14:textId="77777777" w:rsidR="00037A8B" w:rsidRPr="00792B36" w:rsidRDefault="00037A8B" w:rsidP="00037A8B">
      <w:pPr>
        <w:ind w:left="993" w:hanging="993"/>
        <w:jc w:val="thaiDistribute"/>
        <w:rPr>
          <w:b/>
          <w:bCs/>
          <w:sz w:val="24"/>
          <w:szCs w:val="24"/>
        </w:rPr>
      </w:pPr>
    </w:p>
    <w:p w14:paraId="462CAFA9" w14:textId="77777777" w:rsidR="00037A8B" w:rsidRPr="00792B36" w:rsidRDefault="00037A8B" w:rsidP="00037A8B">
      <w:pPr>
        <w:ind w:left="854" w:hanging="854"/>
        <w:jc w:val="thaiDistribute"/>
        <w:rPr>
          <w:sz w:val="24"/>
          <w:szCs w:val="24"/>
        </w:rPr>
      </w:pPr>
      <w:r w:rsidRPr="00792B36">
        <w:rPr>
          <w:b/>
          <w:bCs/>
          <w:sz w:val="24"/>
          <w:szCs w:val="24"/>
        </w:rPr>
        <w:t xml:space="preserve">Table 3 </w:t>
      </w:r>
      <w:r w:rsidRPr="00792B36">
        <w:rPr>
          <w:sz w:val="24"/>
          <w:szCs w:val="24"/>
        </w:rPr>
        <w:t>Fishing effort at MSY (E</w:t>
      </w:r>
      <w:r w:rsidRPr="00792B36">
        <w:rPr>
          <w:sz w:val="24"/>
          <w:szCs w:val="24"/>
          <w:vertAlign w:val="subscript"/>
        </w:rPr>
        <w:t>MSY</w:t>
      </w:r>
      <w:r w:rsidRPr="00792B36">
        <w:rPr>
          <w:sz w:val="24"/>
          <w:szCs w:val="24"/>
        </w:rPr>
        <w:t>) and standard fishing effort of demersal species, pelagic fish, and anchovy group in the Gulf of Thailand between 2015 and 2024</w:t>
      </w:r>
    </w:p>
    <w:p w14:paraId="3B5BB18C" w14:textId="77777777" w:rsidR="00037A8B" w:rsidRPr="00792B36" w:rsidRDefault="00037A8B" w:rsidP="00037A8B">
      <w:pPr>
        <w:jc w:val="thaiDistribute"/>
        <w:rPr>
          <w:sz w:val="24"/>
          <w:szCs w:val="24"/>
        </w:rPr>
      </w:pPr>
    </w:p>
    <w:tbl>
      <w:tblPr>
        <w:tblStyle w:val="TableGrid"/>
        <w:tblW w:w="952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668"/>
        <w:gridCol w:w="1206"/>
        <w:gridCol w:w="1206"/>
        <w:gridCol w:w="828"/>
        <w:gridCol w:w="963"/>
        <w:gridCol w:w="1011"/>
        <w:gridCol w:w="828"/>
        <w:gridCol w:w="931"/>
        <w:gridCol w:w="1033"/>
        <w:gridCol w:w="854"/>
      </w:tblGrid>
      <w:tr w:rsidR="00037A8B" w:rsidRPr="00792B36" w14:paraId="28F5C2E4" w14:textId="77777777" w:rsidTr="0096560E">
        <w:trPr>
          <w:trHeight w:val="283"/>
        </w:trPr>
        <w:tc>
          <w:tcPr>
            <w:tcW w:w="668" w:type="dxa"/>
            <w:vMerge w:val="restart"/>
            <w:tcBorders>
              <w:top w:val="single" w:sz="4" w:space="0" w:color="auto"/>
              <w:bottom w:val="single" w:sz="4" w:space="0" w:color="auto"/>
            </w:tcBorders>
          </w:tcPr>
          <w:p w14:paraId="47B728D1" w14:textId="77777777" w:rsidR="00037A8B" w:rsidRPr="00792B36" w:rsidRDefault="00037A8B" w:rsidP="0096560E">
            <w:pPr>
              <w:jc w:val="center"/>
              <w:rPr>
                <w:b/>
                <w:bCs/>
                <w:sz w:val="24"/>
                <w:szCs w:val="24"/>
              </w:rPr>
            </w:pPr>
            <w:r w:rsidRPr="00792B36">
              <w:rPr>
                <w:b/>
                <w:bCs/>
                <w:sz w:val="24"/>
                <w:szCs w:val="24"/>
              </w:rPr>
              <w:t>Year</w:t>
            </w:r>
          </w:p>
        </w:tc>
        <w:tc>
          <w:tcPr>
            <w:tcW w:w="3240" w:type="dxa"/>
            <w:gridSpan w:val="3"/>
            <w:tcBorders>
              <w:top w:val="single" w:sz="4" w:space="0" w:color="auto"/>
              <w:bottom w:val="single" w:sz="4" w:space="0" w:color="auto"/>
            </w:tcBorders>
            <w:vAlign w:val="center"/>
          </w:tcPr>
          <w:p w14:paraId="58A5B569" w14:textId="77777777" w:rsidR="00037A8B" w:rsidRPr="00792B36" w:rsidRDefault="00037A8B" w:rsidP="0096560E">
            <w:pPr>
              <w:jc w:val="center"/>
              <w:rPr>
                <w:b/>
                <w:bCs/>
                <w:sz w:val="24"/>
                <w:szCs w:val="24"/>
              </w:rPr>
            </w:pPr>
            <w:r w:rsidRPr="00792B36">
              <w:rPr>
                <w:b/>
                <w:bCs/>
                <w:sz w:val="24"/>
                <w:szCs w:val="24"/>
              </w:rPr>
              <w:t>Demersal species</w:t>
            </w:r>
          </w:p>
        </w:tc>
        <w:tc>
          <w:tcPr>
            <w:tcW w:w="2802" w:type="dxa"/>
            <w:gridSpan w:val="3"/>
            <w:tcBorders>
              <w:top w:val="single" w:sz="4" w:space="0" w:color="auto"/>
              <w:bottom w:val="single" w:sz="4" w:space="0" w:color="auto"/>
            </w:tcBorders>
            <w:vAlign w:val="center"/>
          </w:tcPr>
          <w:p w14:paraId="682D7507" w14:textId="77777777" w:rsidR="00037A8B" w:rsidRPr="00792B36" w:rsidRDefault="00037A8B" w:rsidP="0096560E">
            <w:pPr>
              <w:jc w:val="center"/>
              <w:rPr>
                <w:b/>
                <w:bCs/>
                <w:sz w:val="24"/>
                <w:szCs w:val="24"/>
              </w:rPr>
            </w:pPr>
            <w:r w:rsidRPr="00792B36">
              <w:rPr>
                <w:b/>
                <w:bCs/>
                <w:sz w:val="24"/>
                <w:szCs w:val="24"/>
              </w:rPr>
              <w:t xml:space="preserve">Pelagic fish </w:t>
            </w:r>
          </w:p>
        </w:tc>
        <w:tc>
          <w:tcPr>
            <w:tcW w:w="2818" w:type="dxa"/>
            <w:gridSpan w:val="3"/>
            <w:tcBorders>
              <w:top w:val="single" w:sz="4" w:space="0" w:color="auto"/>
              <w:bottom w:val="single" w:sz="4" w:space="0" w:color="auto"/>
            </w:tcBorders>
            <w:vAlign w:val="center"/>
          </w:tcPr>
          <w:p w14:paraId="32EF7F5C" w14:textId="77777777" w:rsidR="00037A8B" w:rsidRPr="00792B36" w:rsidRDefault="00037A8B" w:rsidP="0096560E">
            <w:pPr>
              <w:jc w:val="center"/>
              <w:rPr>
                <w:b/>
                <w:bCs/>
                <w:sz w:val="24"/>
                <w:szCs w:val="24"/>
              </w:rPr>
            </w:pPr>
            <w:r w:rsidRPr="00792B36">
              <w:rPr>
                <w:b/>
                <w:bCs/>
                <w:sz w:val="24"/>
                <w:szCs w:val="24"/>
              </w:rPr>
              <w:t>Anchovy</w:t>
            </w:r>
          </w:p>
        </w:tc>
      </w:tr>
      <w:tr w:rsidR="00037A8B" w:rsidRPr="00792B36" w14:paraId="3F993254" w14:textId="77777777" w:rsidTr="0096560E">
        <w:trPr>
          <w:trHeight w:val="283"/>
        </w:trPr>
        <w:tc>
          <w:tcPr>
            <w:tcW w:w="668" w:type="dxa"/>
            <w:vMerge/>
            <w:tcBorders>
              <w:top w:val="single" w:sz="4" w:space="0" w:color="auto"/>
              <w:bottom w:val="single" w:sz="4" w:space="0" w:color="auto"/>
            </w:tcBorders>
            <w:vAlign w:val="center"/>
          </w:tcPr>
          <w:p w14:paraId="77426FD4" w14:textId="77777777" w:rsidR="00037A8B" w:rsidRPr="00792B36" w:rsidRDefault="00037A8B" w:rsidP="0096560E">
            <w:pPr>
              <w:jc w:val="center"/>
              <w:rPr>
                <w:b/>
                <w:bCs/>
                <w:sz w:val="24"/>
                <w:szCs w:val="24"/>
              </w:rPr>
            </w:pPr>
          </w:p>
        </w:tc>
        <w:tc>
          <w:tcPr>
            <w:tcW w:w="1206" w:type="dxa"/>
            <w:tcBorders>
              <w:top w:val="single" w:sz="4" w:space="0" w:color="auto"/>
              <w:bottom w:val="single" w:sz="4" w:space="0" w:color="auto"/>
            </w:tcBorders>
          </w:tcPr>
          <w:p w14:paraId="4AC91166" w14:textId="77777777" w:rsidR="00037A8B" w:rsidRPr="00792B36" w:rsidRDefault="00037A8B" w:rsidP="0096560E">
            <w:pPr>
              <w:jc w:val="center"/>
              <w:rPr>
                <w:b/>
                <w:bCs/>
                <w:sz w:val="24"/>
                <w:szCs w:val="24"/>
              </w:rPr>
            </w:pPr>
            <w:r w:rsidRPr="00792B36">
              <w:rPr>
                <w:sz w:val="24"/>
                <w:szCs w:val="24"/>
              </w:rPr>
              <w:t>Fishing effort at MSY (hour)</w:t>
            </w:r>
          </w:p>
        </w:tc>
        <w:tc>
          <w:tcPr>
            <w:tcW w:w="1206" w:type="dxa"/>
            <w:tcBorders>
              <w:top w:val="single" w:sz="4" w:space="0" w:color="auto"/>
              <w:bottom w:val="single" w:sz="4" w:space="0" w:color="auto"/>
            </w:tcBorders>
          </w:tcPr>
          <w:p w14:paraId="1EAD59C9" w14:textId="77777777" w:rsidR="00037A8B" w:rsidRPr="00792B36" w:rsidRDefault="00037A8B" w:rsidP="0096560E">
            <w:pPr>
              <w:jc w:val="center"/>
              <w:rPr>
                <w:sz w:val="24"/>
                <w:szCs w:val="24"/>
              </w:rPr>
            </w:pPr>
            <w:r w:rsidRPr="00792B36">
              <w:rPr>
                <w:sz w:val="24"/>
                <w:szCs w:val="24"/>
              </w:rPr>
              <w:t>Standard fishing effort</w:t>
            </w:r>
          </w:p>
          <w:p w14:paraId="7B5A44CA" w14:textId="77777777" w:rsidR="00037A8B" w:rsidRPr="00792B36" w:rsidRDefault="00037A8B" w:rsidP="0096560E">
            <w:pPr>
              <w:jc w:val="center"/>
              <w:rPr>
                <w:b/>
                <w:bCs/>
                <w:sz w:val="24"/>
                <w:szCs w:val="24"/>
              </w:rPr>
            </w:pPr>
            <w:r w:rsidRPr="00792B36">
              <w:rPr>
                <w:sz w:val="24"/>
                <w:szCs w:val="24"/>
              </w:rPr>
              <w:t>(hour)</w:t>
            </w:r>
          </w:p>
        </w:tc>
        <w:tc>
          <w:tcPr>
            <w:tcW w:w="828" w:type="dxa"/>
            <w:tcBorders>
              <w:top w:val="single" w:sz="4" w:space="0" w:color="auto"/>
              <w:bottom w:val="single" w:sz="4" w:space="0" w:color="auto"/>
            </w:tcBorders>
          </w:tcPr>
          <w:p w14:paraId="510DF23E" w14:textId="77777777" w:rsidR="00037A8B" w:rsidRPr="00792B36" w:rsidRDefault="00037A8B" w:rsidP="0096560E">
            <w:pPr>
              <w:jc w:val="center"/>
              <w:rPr>
                <w:sz w:val="24"/>
                <w:szCs w:val="24"/>
              </w:rPr>
            </w:pPr>
            <w:r w:rsidRPr="00792B36">
              <w:rPr>
                <w:sz w:val="24"/>
                <w:szCs w:val="24"/>
              </w:rPr>
              <w:t>% fishing effort</w:t>
            </w:r>
          </w:p>
        </w:tc>
        <w:tc>
          <w:tcPr>
            <w:tcW w:w="963" w:type="dxa"/>
            <w:tcBorders>
              <w:top w:val="single" w:sz="4" w:space="0" w:color="auto"/>
              <w:bottom w:val="single" w:sz="4" w:space="0" w:color="auto"/>
            </w:tcBorders>
          </w:tcPr>
          <w:p w14:paraId="1F130DEA" w14:textId="77777777" w:rsidR="00037A8B" w:rsidRPr="00792B36" w:rsidRDefault="00037A8B" w:rsidP="0096560E">
            <w:pPr>
              <w:jc w:val="center"/>
              <w:rPr>
                <w:b/>
                <w:bCs/>
                <w:sz w:val="24"/>
                <w:szCs w:val="24"/>
              </w:rPr>
            </w:pPr>
            <w:r w:rsidRPr="00792B36">
              <w:rPr>
                <w:sz w:val="24"/>
                <w:szCs w:val="24"/>
              </w:rPr>
              <w:t>Fishing effort at MSY (day)</w:t>
            </w:r>
          </w:p>
        </w:tc>
        <w:tc>
          <w:tcPr>
            <w:tcW w:w="1011" w:type="dxa"/>
            <w:tcBorders>
              <w:top w:val="single" w:sz="4" w:space="0" w:color="auto"/>
              <w:bottom w:val="single" w:sz="4" w:space="0" w:color="auto"/>
            </w:tcBorders>
          </w:tcPr>
          <w:p w14:paraId="3909983C" w14:textId="77777777" w:rsidR="00037A8B" w:rsidRPr="00792B36" w:rsidRDefault="00037A8B" w:rsidP="0096560E">
            <w:pPr>
              <w:jc w:val="center"/>
              <w:rPr>
                <w:sz w:val="24"/>
                <w:szCs w:val="24"/>
              </w:rPr>
            </w:pPr>
            <w:r w:rsidRPr="00792B36">
              <w:rPr>
                <w:sz w:val="24"/>
                <w:szCs w:val="24"/>
              </w:rPr>
              <w:t>Standard fishing effort</w:t>
            </w:r>
          </w:p>
          <w:p w14:paraId="4022018D" w14:textId="77777777" w:rsidR="00037A8B" w:rsidRPr="00792B36" w:rsidRDefault="00037A8B" w:rsidP="0096560E">
            <w:pPr>
              <w:jc w:val="center"/>
              <w:rPr>
                <w:b/>
                <w:bCs/>
                <w:sz w:val="24"/>
                <w:szCs w:val="24"/>
              </w:rPr>
            </w:pPr>
            <w:r w:rsidRPr="00792B36">
              <w:rPr>
                <w:sz w:val="24"/>
                <w:szCs w:val="24"/>
              </w:rPr>
              <w:t>(day)</w:t>
            </w:r>
          </w:p>
        </w:tc>
        <w:tc>
          <w:tcPr>
            <w:tcW w:w="828" w:type="dxa"/>
            <w:tcBorders>
              <w:top w:val="single" w:sz="4" w:space="0" w:color="auto"/>
              <w:bottom w:val="single" w:sz="4" w:space="0" w:color="auto"/>
            </w:tcBorders>
          </w:tcPr>
          <w:p w14:paraId="73A24A32" w14:textId="77777777" w:rsidR="00037A8B" w:rsidRPr="00792B36" w:rsidRDefault="00037A8B" w:rsidP="0096560E">
            <w:pPr>
              <w:jc w:val="center"/>
              <w:rPr>
                <w:b/>
                <w:bCs/>
                <w:sz w:val="24"/>
                <w:szCs w:val="24"/>
              </w:rPr>
            </w:pPr>
            <w:r w:rsidRPr="00792B36">
              <w:rPr>
                <w:sz w:val="24"/>
                <w:szCs w:val="24"/>
              </w:rPr>
              <w:t>% fishing effort</w:t>
            </w:r>
          </w:p>
        </w:tc>
        <w:tc>
          <w:tcPr>
            <w:tcW w:w="931" w:type="dxa"/>
            <w:tcBorders>
              <w:top w:val="single" w:sz="4" w:space="0" w:color="auto"/>
              <w:bottom w:val="single" w:sz="4" w:space="0" w:color="auto"/>
            </w:tcBorders>
          </w:tcPr>
          <w:p w14:paraId="34056769" w14:textId="77777777" w:rsidR="00037A8B" w:rsidRPr="00792B36" w:rsidRDefault="00037A8B" w:rsidP="0096560E">
            <w:pPr>
              <w:jc w:val="center"/>
              <w:rPr>
                <w:b/>
                <w:bCs/>
                <w:sz w:val="24"/>
                <w:szCs w:val="24"/>
              </w:rPr>
            </w:pPr>
            <w:r w:rsidRPr="00792B36">
              <w:rPr>
                <w:sz w:val="24"/>
                <w:szCs w:val="24"/>
              </w:rPr>
              <w:t>Fishing effort at MSY (day)</w:t>
            </w:r>
          </w:p>
        </w:tc>
        <w:tc>
          <w:tcPr>
            <w:tcW w:w="1033" w:type="dxa"/>
            <w:tcBorders>
              <w:top w:val="single" w:sz="4" w:space="0" w:color="auto"/>
              <w:bottom w:val="single" w:sz="4" w:space="0" w:color="auto"/>
            </w:tcBorders>
          </w:tcPr>
          <w:p w14:paraId="4E5CFBBD" w14:textId="77777777" w:rsidR="00037A8B" w:rsidRPr="00792B36" w:rsidRDefault="00037A8B" w:rsidP="0096560E">
            <w:pPr>
              <w:jc w:val="center"/>
              <w:rPr>
                <w:sz w:val="24"/>
                <w:szCs w:val="24"/>
              </w:rPr>
            </w:pPr>
            <w:r w:rsidRPr="00792B36">
              <w:rPr>
                <w:sz w:val="24"/>
                <w:szCs w:val="24"/>
              </w:rPr>
              <w:t>Standard fishing effort</w:t>
            </w:r>
          </w:p>
          <w:p w14:paraId="60325E45" w14:textId="77777777" w:rsidR="00037A8B" w:rsidRPr="00792B36" w:rsidRDefault="00037A8B" w:rsidP="0096560E">
            <w:pPr>
              <w:jc w:val="center"/>
              <w:rPr>
                <w:b/>
                <w:bCs/>
                <w:sz w:val="24"/>
                <w:szCs w:val="24"/>
              </w:rPr>
            </w:pPr>
            <w:r w:rsidRPr="00792B36">
              <w:rPr>
                <w:sz w:val="24"/>
                <w:szCs w:val="24"/>
              </w:rPr>
              <w:t>(day)</w:t>
            </w:r>
          </w:p>
        </w:tc>
        <w:tc>
          <w:tcPr>
            <w:tcW w:w="854" w:type="dxa"/>
            <w:tcBorders>
              <w:top w:val="single" w:sz="4" w:space="0" w:color="auto"/>
              <w:bottom w:val="single" w:sz="4" w:space="0" w:color="auto"/>
            </w:tcBorders>
          </w:tcPr>
          <w:p w14:paraId="07576A64" w14:textId="77777777" w:rsidR="00037A8B" w:rsidRPr="00792B36" w:rsidRDefault="00037A8B" w:rsidP="0096560E">
            <w:pPr>
              <w:jc w:val="center"/>
              <w:rPr>
                <w:b/>
                <w:bCs/>
                <w:sz w:val="24"/>
                <w:szCs w:val="24"/>
              </w:rPr>
            </w:pPr>
            <w:r w:rsidRPr="00792B36">
              <w:rPr>
                <w:sz w:val="24"/>
                <w:szCs w:val="24"/>
              </w:rPr>
              <w:t>% fishing effort</w:t>
            </w:r>
          </w:p>
        </w:tc>
      </w:tr>
      <w:tr w:rsidR="00037A8B" w:rsidRPr="00792B36" w14:paraId="3B7F6958" w14:textId="77777777" w:rsidTr="0096560E">
        <w:trPr>
          <w:trHeight w:val="283"/>
        </w:trPr>
        <w:tc>
          <w:tcPr>
            <w:tcW w:w="668" w:type="dxa"/>
            <w:tcBorders>
              <w:top w:val="single" w:sz="4" w:space="0" w:color="auto"/>
            </w:tcBorders>
            <w:vAlign w:val="center"/>
          </w:tcPr>
          <w:p w14:paraId="732C9C9A" w14:textId="77777777" w:rsidR="00037A8B" w:rsidRPr="00792B36" w:rsidRDefault="00037A8B" w:rsidP="0096560E">
            <w:pPr>
              <w:jc w:val="center"/>
              <w:rPr>
                <w:sz w:val="24"/>
                <w:szCs w:val="24"/>
              </w:rPr>
            </w:pPr>
            <w:r w:rsidRPr="00792B36">
              <w:rPr>
                <w:sz w:val="24"/>
                <w:szCs w:val="24"/>
              </w:rPr>
              <w:t>2015</w:t>
            </w:r>
          </w:p>
        </w:tc>
        <w:tc>
          <w:tcPr>
            <w:tcW w:w="1206" w:type="dxa"/>
            <w:tcBorders>
              <w:top w:val="single" w:sz="4" w:space="0" w:color="auto"/>
            </w:tcBorders>
            <w:vAlign w:val="center"/>
          </w:tcPr>
          <w:p w14:paraId="1180A2DB" w14:textId="77777777" w:rsidR="00037A8B" w:rsidRPr="00792B36" w:rsidRDefault="00037A8B" w:rsidP="0096560E">
            <w:pPr>
              <w:jc w:val="center"/>
              <w:rPr>
                <w:sz w:val="24"/>
                <w:szCs w:val="24"/>
              </w:rPr>
            </w:pPr>
            <w:r w:rsidRPr="00792B36">
              <w:rPr>
                <w:sz w:val="24"/>
                <w:szCs w:val="24"/>
              </w:rPr>
              <w:t>24,331,498</w:t>
            </w:r>
          </w:p>
        </w:tc>
        <w:tc>
          <w:tcPr>
            <w:tcW w:w="1206" w:type="dxa"/>
            <w:tcBorders>
              <w:top w:val="single" w:sz="4" w:space="0" w:color="auto"/>
            </w:tcBorders>
            <w:vAlign w:val="center"/>
          </w:tcPr>
          <w:p w14:paraId="0EF4560C" w14:textId="77777777" w:rsidR="00037A8B" w:rsidRPr="00792B36" w:rsidRDefault="00037A8B" w:rsidP="0096560E">
            <w:pPr>
              <w:jc w:val="center"/>
              <w:rPr>
                <w:sz w:val="24"/>
                <w:szCs w:val="24"/>
                <w:cs/>
              </w:rPr>
            </w:pPr>
            <w:r w:rsidRPr="00792B36">
              <w:rPr>
                <w:sz w:val="24"/>
                <w:szCs w:val="24"/>
              </w:rPr>
              <w:t>36,196,522</w:t>
            </w:r>
          </w:p>
        </w:tc>
        <w:tc>
          <w:tcPr>
            <w:tcW w:w="828" w:type="dxa"/>
            <w:tcBorders>
              <w:top w:val="single" w:sz="4" w:space="0" w:color="auto"/>
            </w:tcBorders>
          </w:tcPr>
          <w:p w14:paraId="4E95BD76" w14:textId="77777777" w:rsidR="00037A8B" w:rsidRPr="00792B36" w:rsidRDefault="00037A8B" w:rsidP="0096560E">
            <w:pPr>
              <w:jc w:val="center"/>
              <w:rPr>
                <w:sz w:val="24"/>
                <w:szCs w:val="24"/>
                <w:cs/>
              </w:rPr>
            </w:pPr>
            <w:r w:rsidRPr="00792B36">
              <w:rPr>
                <w:sz w:val="24"/>
                <w:szCs w:val="24"/>
              </w:rPr>
              <w:t>148.76</w:t>
            </w:r>
          </w:p>
        </w:tc>
        <w:tc>
          <w:tcPr>
            <w:tcW w:w="963" w:type="dxa"/>
            <w:tcBorders>
              <w:top w:val="single" w:sz="4" w:space="0" w:color="auto"/>
            </w:tcBorders>
            <w:vAlign w:val="center"/>
          </w:tcPr>
          <w:p w14:paraId="61922D0F" w14:textId="77777777" w:rsidR="00037A8B" w:rsidRPr="00792B36" w:rsidRDefault="00037A8B" w:rsidP="0096560E">
            <w:pPr>
              <w:jc w:val="center"/>
              <w:rPr>
                <w:sz w:val="24"/>
                <w:szCs w:val="24"/>
                <w:cs/>
              </w:rPr>
            </w:pPr>
            <w:r w:rsidRPr="00792B36">
              <w:rPr>
                <w:sz w:val="24"/>
                <w:szCs w:val="24"/>
              </w:rPr>
              <w:t>130,493</w:t>
            </w:r>
          </w:p>
        </w:tc>
        <w:tc>
          <w:tcPr>
            <w:tcW w:w="1011" w:type="dxa"/>
            <w:tcBorders>
              <w:top w:val="single" w:sz="4" w:space="0" w:color="auto"/>
            </w:tcBorders>
            <w:vAlign w:val="center"/>
          </w:tcPr>
          <w:p w14:paraId="3FD78672" w14:textId="77777777" w:rsidR="00037A8B" w:rsidRPr="00792B36" w:rsidRDefault="00037A8B" w:rsidP="0096560E">
            <w:pPr>
              <w:jc w:val="center"/>
              <w:rPr>
                <w:sz w:val="24"/>
                <w:szCs w:val="24"/>
                <w:cs/>
              </w:rPr>
            </w:pPr>
            <w:r w:rsidRPr="00792B36">
              <w:rPr>
                <w:sz w:val="24"/>
                <w:szCs w:val="24"/>
                <w:cs/>
              </w:rPr>
              <w:t>178,709</w:t>
            </w:r>
          </w:p>
        </w:tc>
        <w:tc>
          <w:tcPr>
            <w:tcW w:w="828" w:type="dxa"/>
            <w:tcBorders>
              <w:top w:val="single" w:sz="4" w:space="0" w:color="auto"/>
            </w:tcBorders>
          </w:tcPr>
          <w:p w14:paraId="4A4D8FC4" w14:textId="77777777" w:rsidR="00037A8B" w:rsidRPr="00792B36" w:rsidRDefault="00037A8B" w:rsidP="0096560E">
            <w:pPr>
              <w:jc w:val="center"/>
              <w:rPr>
                <w:sz w:val="24"/>
                <w:szCs w:val="24"/>
              </w:rPr>
            </w:pPr>
            <w:r w:rsidRPr="00792B36">
              <w:rPr>
                <w:sz w:val="24"/>
                <w:szCs w:val="24"/>
              </w:rPr>
              <w:t>136.95</w:t>
            </w:r>
          </w:p>
        </w:tc>
        <w:tc>
          <w:tcPr>
            <w:tcW w:w="931" w:type="dxa"/>
            <w:tcBorders>
              <w:top w:val="single" w:sz="4" w:space="0" w:color="auto"/>
            </w:tcBorders>
            <w:vAlign w:val="center"/>
          </w:tcPr>
          <w:p w14:paraId="1C912F91" w14:textId="77777777" w:rsidR="00037A8B" w:rsidRPr="00792B36" w:rsidRDefault="00037A8B" w:rsidP="0096560E">
            <w:pPr>
              <w:jc w:val="center"/>
              <w:rPr>
                <w:sz w:val="24"/>
                <w:szCs w:val="24"/>
              </w:rPr>
            </w:pPr>
            <w:r w:rsidRPr="00792B36">
              <w:rPr>
                <w:sz w:val="24"/>
                <w:szCs w:val="24"/>
              </w:rPr>
              <w:t>114,588</w:t>
            </w:r>
          </w:p>
        </w:tc>
        <w:tc>
          <w:tcPr>
            <w:tcW w:w="1033" w:type="dxa"/>
            <w:tcBorders>
              <w:top w:val="single" w:sz="4" w:space="0" w:color="auto"/>
            </w:tcBorders>
            <w:vAlign w:val="center"/>
          </w:tcPr>
          <w:p w14:paraId="08DA8D98" w14:textId="77777777" w:rsidR="00037A8B" w:rsidRPr="00792B36" w:rsidRDefault="00037A8B" w:rsidP="0096560E">
            <w:pPr>
              <w:jc w:val="center"/>
              <w:rPr>
                <w:sz w:val="24"/>
                <w:szCs w:val="24"/>
                <w:cs/>
              </w:rPr>
            </w:pPr>
            <w:r w:rsidRPr="00792B36">
              <w:rPr>
                <w:sz w:val="24"/>
                <w:szCs w:val="24"/>
                <w:cs/>
              </w:rPr>
              <w:t>115,600</w:t>
            </w:r>
          </w:p>
        </w:tc>
        <w:tc>
          <w:tcPr>
            <w:tcW w:w="854" w:type="dxa"/>
            <w:tcBorders>
              <w:top w:val="single" w:sz="4" w:space="0" w:color="auto"/>
            </w:tcBorders>
          </w:tcPr>
          <w:p w14:paraId="4376B15F" w14:textId="77777777" w:rsidR="00037A8B" w:rsidRPr="00792B36" w:rsidRDefault="00037A8B" w:rsidP="0096560E">
            <w:pPr>
              <w:jc w:val="center"/>
              <w:rPr>
                <w:sz w:val="24"/>
                <w:szCs w:val="24"/>
                <w:cs/>
              </w:rPr>
            </w:pPr>
            <w:r w:rsidRPr="00792B36">
              <w:rPr>
                <w:sz w:val="24"/>
                <w:szCs w:val="24"/>
              </w:rPr>
              <w:t>100.88</w:t>
            </w:r>
          </w:p>
        </w:tc>
      </w:tr>
      <w:tr w:rsidR="00037A8B" w:rsidRPr="00792B36" w14:paraId="061BCDAD" w14:textId="77777777" w:rsidTr="0096560E">
        <w:trPr>
          <w:trHeight w:val="283"/>
        </w:trPr>
        <w:tc>
          <w:tcPr>
            <w:tcW w:w="668" w:type="dxa"/>
            <w:vAlign w:val="center"/>
          </w:tcPr>
          <w:p w14:paraId="21F93B06" w14:textId="77777777" w:rsidR="00037A8B" w:rsidRPr="00792B36" w:rsidRDefault="00037A8B" w:rsidP="0096560E">
            <w:pPr>
              <w:jc w:val="center"/>
              <w:rPr>
                <w:sz w:val="24"/>
                <w:szCs w:val="24"/>
              </w:rPr>
            </w:pPr>
            <w:r w:rsidRPr="00792B36">
              <w:rPr>
                <w:sz w:val="24"/>
                <w:szCs w:val="24"/>
              </w:rPr>
              <w:t>2016</w:t>
            </w:r>
          </w:p>
        </w:tc>
        <w:tc>
          <w:tcPr>
            <w:tcW w:w="1206" w:type="dxa"/>
            <w:vAlign w:val="center"/>
          </w:tcPr>
          <w:p w14:paraId="715A17CA" w14:textId="77777777" w:rsidR="00037A8B" w:rsidRPr="00792B36" w:rsidRDefault="00037A8B" w:rsidP="0096560E">
            <w:pPr>
              <w:jc w:val="center"/>
              <w:rPr>
                <w:sz w:val="24"/>
                <w:szCs w:val="24"/>
              </w:rPr>
            </w:pPr>
            <w:r w:rsidRPr="00792B36">
              <w:rPr>
                <w:sz w:val="24"/>
                <w:szCs w:val="24"/>
              </w:rPr>
              <w:t>26,326,863</w:t>
            </w:r>
          </w:p>
        </w:tc>
        <w:tc>
          <w:tcPr>
            <w:tcW w:w="1206" w:type="dxa"/>
            <w:vAlign w:val="center"/>
          </w:tcPr>
          <w:p w14:paraId="284F8C95" w14:textId="77777777" w:rsidR="00037A8B" w:rsidRPr="00792B36" w:rsidRDefault="00037A8B" w:rsidP="0096560E">
            <w:pPr>
              <w:jc w:val="center"/>
              <w:rPr>
                <w:sz w:val="24"/>
                <w:szCs w:val="24"/>
                <w:cs/>
              </w:rPr>
            </w:pPr>
            <w:r w:rsidRPr="00792B36">
              <w:rPr>
                <w:sz w:val="24"/>
                <w:szCs w:val="24"/>
              </w:rPr>
              <w:t>21,042,318</w:t>
            </w:r>
          </w:p>
        </w:tc>
        <w:tc>
          <w:tcPr>
            <w:tcW w:w="828" w:type="dxa"/>
          </w:tcPr>
          <w:p w14:paraId="0ED0EEB3" w14:textId="77777777" w:rsidR="00037A8B" w:rsidRPr="00792B36" w:rsidRDefault="00037A8B" w:rsidP="0096560E">
            <w:pPr>
              <w:jc w:val="center"/>
              <w:rPr>
                <w:sz w:val="24"/>
                <w:szCs w:val="24"/>
              </w:rPr>
            </w:pPr>
            <w:r w:rsidRPr="00792B36">
              <w:rPr>
                <w:sz w:val="24"/>
                <w:szCs w:val="24"/>
              </w:rPr>
              <w:t>79.93</w:t>
            </w:r>
          </w:p>
        </w:tc>
        <w:tc>
          <w:tcPr>
            <w:tcW w:w="963" w:type="dxa"/>
            <w:vAlign w:val="center"/>
          </w:tcPr>
          <w:p w14:paraId="0061EFD8" w14:textId="77777777" w:rsidR="00037A8B" w:rsidRPr="00792B36" w:rsidRDefault="00037A8B" w:rsidP="0096560E">
            <w:pPr>
              <w:jc w:val="center"/>
              <w:rPr>
                <w:sz w:val="24"/>
                <w:szCs w:val="24"/>
              </w:rPr>
            </w:pPr>
            <w:r w:rsidRPr="00792B36">
              <w:rPr>
                <w:sz w:val="24"/>
                <w:szCs w:val="24"/>
              </w:rPr>
              <w:t>152,512</w:t>
            </w:r>
          </w:p>
        </w:tc>
        <w:tc>
          <w:tcPr>
            <w:tcW w:w="1011" w:type="dxa"/>
            <w:vAlign w:val="center"/>
          </w:tcPr>
          <w:p w14:paraId="483AE864" w14:textId="77777777" w:rsidR="00037A8B" w:rsidRPr="00792B36" w:rsidRDefault="00037A8B" w:rsidP="0096560E">
            <w:pPr>
              <w:jc w:val="center"/>
              <w:rPr>
                <w:sz w:val="24"/>
                <w:szCs w:val="24"/>
                <w:cs/>
              </w:rPr>
            </w:pPr>
            <w:r w:rsidRPr="00792B36">
              <w:rPr>
                <w:sz w:val="24"/>
                <w:szCs w:val="24"/>
                <w:cs/>
              </w:rPr>
              <w:t>175,677</w:t>
            </w:r>
          </w:p>
        </w:tc>
        <w:tc>
          <w:tcPr>
            <w:tcW w:w="828" w:type="dxa"/>
          </w:tcPr>
          <w:p w14:paraId="16F223A4" w14:textId="77777777" w:rsidR="00037A8B" w:rsidRPr="00792B36" w:rsidRDefault="00037A8B" w:rsidP="0096560E">
            <w:pPr>
              <w:jc w:val="center"/>
              <w:rPr>
                <w:sz w:val="24"/>
                <w:szCs w:val="24"/>
              </w:rPr>
            </w:pPr>
            <w:r w:rsidRPr="00792B36">
              <w:rPr>
                <w:sz w:val="24"/>
                <w:szCs w:val="24"/>
              </w:rPr>
              <w:t>115.19</w:t>
            </w:r>
          </w:p>
        </w:tc>
        <w:tc>
          <w:tcPr>
            <w:tcW w:w="931" w:type="dxa"/>
            <w:vAlign w:val="center"/>
          </w:tcPr>
          <w:p w14:paraId="624E0E3D" w14:textId="77777777" w:rsidR="00037A8B" w:rsidRPr="00792B36" w:rsidRDefault="00037A8B" w:rsidP="0096560E">
            <w:pPr>
              <w:jc w:val="center"/>
              <w:rPr>
                <w:sz w:val="24"/>
                <w:szCs w:val="24"/>
              </w:rPr>
            </w:pPr>
            <w:r w:rsidRPr="00792B36">
              <w:rPr>
                <w:sz w:val="24"/>
                <w:szCs w:val="24"/>
              </w:rPr>
              <w:t>155,923</w:t>
            </w:r>
          </w:p>
        </w:tc>
        <w:tc>
          <w:tcPr>
            <w:tcW w:w="1033" w:type="dxa"/>
            <w:vAlign w:val="center"/>
          </w:tcPr>
          <w:p w14:paraId="678514D2" w14:textId="77777777" w:rsidR="00037A8B" w:rsidRPr="00792B36" w:rsidRDefault="00037A8B" w:rsidP="0096560E">
            <w:pPr>
              <w:jc w:val="center"/>
              <w:rPr>
                <w:sz w:val="24"/>
                <w:szCs w:val="24"/>
                <w:cs/>
              </w:rPr>
            </w:pPr>
            <w:r w:rsidRPr="00792B36">
              <w:rPr>
                <w:sz w:val="24"/>
                <w:szCs w:val="24"/>
                <w:cs/>
              </w:rPr>
              <w:t>75,992</w:t>
            </w:r>
          </w:p>
        </w:tc>
        <w:tc>
          <w:tcPr>
            <w:tcW w:w="854" w:type="dxa"/>
          </w:tcPr>
          <w:p w14:paraId="777CB43F" w14:textId="77777777" w:rsidR="00037A8B" w:rsidRPr="00792B36" w:rsidRDefault="00037A8B" w:rsidP="0096560E">
            <w:pPr>
              <w:jc w:val="center"/>
              <w:rPr>
                <w:sz w:val="24"/>
                <w:szCs w:val="24"/>
                <w:cs/>
              </w:rPr>
            </w:pPr>
            <w:r w:rsidRPr="00792B36">
              <w:rPr>
                <w:sz w:val="24"/>
                <w:szCs w:val="24"/>
              </w:rPr>
              <w:t>48.74</w:t>
            </w:r>
          </w:p>
        </w:tc>
      </w:tr>
      <w:tr w:rsidR="00037A8B" w:rsidRPr="00792B36" w14:paraId="6A5E5F30" w14:textId="77777777" w:rsidTr="0096560E">
        <w:trPr>
          <w:trHeight w:val="283"/>
        </w:trPr>
        <w:tc>
          <w:tcPr>
            <w:tcW w:w="668" w:type="dxa"/>
            <w:vAlign w:val="center"/>
          </w:tcPr>
          <w:p w14:paraId="73AE11D4" w14:textId="77777777" w:rsidR="00037A8B" w:rsidRPr="00792B36" w:rsidRDefault="00037A8B" w:rsidP="0096560E">
            <w:pPr>
              <w:jc w:val="center"/>
              <w:rPr>
                <w:sz w:val="24"/>
                <w:szCs w:val="24"/>
              </w:rPr>
            </w:pPr>
            <w:r w:rsidRPr="00792B36">
              <w:rPr>
                <w:sz w:val="24"/>
                <w:szCs w:val="24"/>
              </w:rPr>
              <w:t>2017</w:t>
            </w:r>
          </w:p>
        </w:tc>
        <w:tc>
          <w:tcPr>
            <w:tcW w:w="1206" w:type="dxa"/>
            <w:vAlign w:val="center"/>
          </w:tcPr>
          <w:p w14:paraId="77EEE3C1" w14:textId="77777777" w:rsidR="00037A8B" w:rsidRPr="00792B36" w:rsidRDefault="00037A8B" w:rsidP="0096560E">
            <w:pPr>
              <w:jc w:val="center"/>
              <w:rPr>
                <w:sz w:val="24"/>
                <w:szCs w:val="24"/>
              </w:rPr>
            </w:pPr>
            <w:r w:rsidRPr="00792B36">
              <w:rPr>
                <w:sz w:val="24"/>
                <w:szCs w:val="24"/>
              </w:rPr>
              <w:t>22,796,139</w:t>
            </w:r>
          </w:p>
        </w:tc>
        <w:tc>
          <w:tcPr>
            <w:tcW w:w="1206" w:type="dxa"/>
            <w:vAlign w:val="center"/>
          </w:tcPr>
          <w:p w14:paraId="22A458FA" w14:textId="77777777" w:rsidR="00037A8B" w:rsidRPr="00792B36" w:rsidRDefault="00037A8B" w:rsidP="0096560E">
            <w:pPr>
              <w:jc w:val="center"/>
              <w:rPr>
                <w:sz w:val="24"/>
                <w:szCs w:val="24"/>
                <w:cs/>
              </w:rPr>
            </w:pPr>
            <w:r w:rsidRPr="00792B36">
              <w:rPr>
                <w:sz w:val="24"/>
                <w:szCs w:val="24"/>
              </w:rPr>
              <w:t>22,287,587</w:t>
            </w:r>
          </w:p>
        </w:tc>
        <w:tc>
          <w:tcPr>
            <w:tcW w:w="828" w:type="dxa"/>
          </w:tcPr>
          <w:p w14:paraId="15F63E06" w14:textId="77777777" w:rsidR="00037A8B" w:rsidRPr="00792B36" w:rsidRDefault="00037A8B" w:rsidP="0096560E">
            <w:pPr>
              <w:jc w:val="center"/>
              <w:rPr>
                <w:sz w:val="24"/>
                <w:szCs w:val="24"/>
              </w:rPr>
            </w:pPr>
            <w:r w:rsidRPr="00792B36">
              <w:rPr>
                <w:sz w:val="24"/>
                <w:szCs w:val="24"/>
              </w:rPr>
              <w:t>97.77</w:t>
            </w:r>
          </w:p>
        </w:tc>
        <w:tc>
          <w:tcPr>
            <w:tcW w:w="963" w:type="dxa"/>
            <w:vAlign w:val="center"/>
          </w:tcPr>
          <w:p w14:paraId="22B61F6F" w14:textId="77777777" w:rsidR="00037A8B" w:rsidRPr="00792B36" w:rsidRDefault="00037A8B" w:rsidP="0096560E">
            <w:pPr>
              <w:jc w:val="center"/>
              <w:rPr>
                <w:sz w:val="24"/>
                <w:szCs w:val="24"/>
              </w:rPr>
            </w:pPr>
            <w:r w:rsidRPr="00792B36">
              <w:rPr>
                <w:sz w:val="24"/>
                <w:szCs w:val="24"/>
              </w:rPr>
              <w:t>135,882</w:t>
            </w:r>
          </w:p>
        </w:tc>
        <w:tc>
          <w:tcPr>
            <w:tcW w:w="1011" w:type="dxa"/>
            <w:vAlign w:val="center"/>
          </w:tcPr>
          <w:p w14:paraId="3FE0A217" w14:textId="77777777" w:rsidR="00037A8B" w:rsidRPr="00792B36" w:rsidRDefault="00037A8B" w:rsidP="0096560E">
            <w:pPr>
              <w:jc w:val="center"/>
              <w:rPr>
                <w:sz w:val="24"/>
                <w:szCs w:val="24"/>
                <w:cs/>
              </w:rPr>
            </w:pPr>
            <w:r w:rsidRPr="00792B36">
              <w:rPr>
                <w:sz w:val="24"/>
                <w:szCs w:val="24"/>
                <w:cs/>
              </w:rPr>
              <w:t>111,999</w:t>
            </w:r>
          </w:p>
        </w:tc>
        <w:tc>
          <w:tcPr>
            <w:tcW w:w="828" w:type="dxa"/>
          </w:tcPr>
          <w:p w14:paraId="27B7321C" w14:textId="77777777" w:rsidR="00037A8B" w:rsidRPr="00792B36" w:rsidRDefault="00037A8B" w:rsidP="0096560E">
            <w:pPr>
              <w:jc w:val="center"/>
              <w:rPr>
                <w:sz w:val="24"/>
                <w:szCs w:val="24"/>
              </w:rPr>
            </w:pPr>
            <w:r w:rsidRPr="00792B36">
              <w:rPr>
                <w:sz w:val="24"/>
                <w:szCs w:val="24"/>
              </w:rPr>
              <w:t>82.42</w:t>
            </w:r>
          </w:p>
        </w:tc>
        <w:tc>
          <w:tcPr>
            <w:tcW w:w="931" w:type="dxa"/>
            <w:vAlign w:val="center"/>
          </w:tcPr>
          <w:p w14:paraId="3A0A2946" w14:textId="77777777" w:rsidR="00037A8B" w:rsidRPr="00792B36" w:rsidRDefault="00037A8B" w:rsidP="0096560E">
            <w:pPr>
              <w:jc w:val="center"/>
              <w:rPr>
                <w:sz w:val="24"/>
                <w:szCs w:val="24"/>
              </w:rPr>
            </w:pPr>
            <w:r w:rsidRPr="00792B36">
              <w:rPr>
                <w:sz w:val="24"/>
                <w:szCs w:val="24"/>
              </w:rPr>
              <w:t>171,378</w:t>
            </w:r>
          </w:p>
        </w:tc>
        <w:tc>
          <w:tcPr>
            <w:tcW w:w="1033" w:type="dxa"/>
            <w:vAlign w:val="center"/>
          </w:tcPr>
          <w:p w14:paraId="32DE38C0" w14:textId="77777777" w:rsidR="00037A8B" w:rsidRPr="00792B36" w:rsidRDefault="00037A8B" w:rsidP="0096560E">
            <w:pPr>
              <w:jc w:val="center"/>
              <w:rPr>
                <w:sz w:val="24"/>
                <w:szCs w:val="24"/>
                <w:cs/>
              </w:rPr>
            </w:pPr>
            <w:r w:rsidRPr="00792B36">
              <w:rPr>
                <w:sz w:val="24"/>
                <w:szCs w:val="24"/>
                <w:cs/>
              </w:rPr>
              <w:t>55,518</w:t>
            </w:r>
          </w:p>
        </w:tc>
        <w:tc>
          <w:tcPr>
            <w:tcW w:w="854" w:type="dxa"/>
          </w:tcPr>
          <w:p w14:paraId="1233DAD2" w14:textId="77777777" w:rsidR="00037A8B" w:rsidRPr="00792B36" w:rsidRDefault="00037A8B" w:rsidP="0096560E">
            <w:pPr>
              <w:jc w:val="center"/>
              <w:rPr>
                <w:sz w:val="24"/>
                <w:szCs w:val="24"/>
                <w:cs/>
              </w:rPr>
            </w:pPr>
            <w:r w:rsidRPr="00792B36">
              <w:rPr>
                <w:sz w:val="24"/>
                <w:szCs w:val="24"/>
              </w:rPr>
              <w:t>32.40</w:t>
            </w:r>
          </w:p>
        </w:tc>
      </w:tr>
      <w:tr w:rsidR="00037A8B" w:rsidRPr="00792B36" w14:paraId="688550E1" w14:textId="77777777" w:rsidTr="0096560E">
        <w:trPr>
          <w:trHeight w:val="283"/>
        </w:trPr>
        <w:tc>
          <w:tcPr>
            <w:tcW w:w="668" w:type="dxa"/>
            <w:vAlign w:val="center"/>
          </w:tcPr>
          <w:p w14:paraId="4176976B" w14:textId="77777777" w:rsidR="00037A8B" w:rsidRPr="00792B36" w:rsidRDefault="00037A8B" w:rsidP="0096560E">
            <w:pPr>
              <w:jc w:val="center"/>
              <w:rPr>
                <w:sz w:val="24"/>
                <w:szCs w:val="24"/>
              </w:rPr>
            </w:pPr>
            <w:r w:rsidRPr="00792B36">
              <w:rPr>
                <w:sz w:val="24"/>
                <w:szCs w:val="24"/>
              </w:rPr>
              <w:t>2018</w:t>
            </w:r>
          </w:p>
        </w:tc>
        <w:tc>
          <w:tcPr>
            <w:tcW w:w="1206" w:type="dxa"/>
            <w:vAlign w:val="center"/>
          </w:tcPr>
          <w:p w14:paraId="7D9BBBAF" w14:textId="77777777" w:rsidR="00037A8B" w:rsidRPr="00792B36" w:rsidRDefault="00037A8B" w:rsidP="0096560E">
            <w:pPr>
              <w:jc w:val="center"/>
              <w:rPr>
                <w:sz w:val="24"/>
                <w:szCs w:val="24"/>
              </w:rPr>
            </w:pPr>
            <w:r w:rsidRPr="00792B36">
              <w:rPr>
                <w:sz w:val="24"/>
                <w:szCs w:val="24"/>
              </w:rPr>
              <w:t>23,268,351</w:t>
            </w:r>
          </w:p>
        </w:tc>
        <w:tc>
          <w:tcPr>
            <w:tcW w:w="1206" w:type="dxa"/>
            <w:vAlign w:val="center"/>
          </w:tcPr>
          <w:p w14:paraId="5A7C2448" w14:textId="77777777" w:rsidR="00037A8B" w:rsidRPr="00792B36" w:rsidRDefault="00037A8B" w:rsidP="0096560E">
            <w:pPr>
              <w:jc w:val="center"/>
              <w:rPr>
                <w:sz w:val="24"/>
                <w:szCs w:val="24"/>
                <w:cs/>
              </w:rPr>
            </w:pPr>
            <w:r w:rsidRPr="00792B36">
              <w:rPr>
                <w:sz w:val="24"/>
                <w:szCs w:val="24"/>
              </w:rPr>
              <w:t>19,213,636</w:t>
            </w:r>
          </w:p>
        </w:tc>
        <w:tc>
          <w:tcPr>
            <w:tcW w:w="828" w:type="dxa"/>
          </w:tcPr>
          <w:p w14:paraId="6788B3CC" w14:textId="77777777" w:rsidR="00037A8B" w:rsidRPr="00792B36" w:rsidRDefault="00037A8B" w:rsidP="0096560E">
            <w:pPr>
              <w:jc w:val="center"/>
              <w:rPr>
                <w:sz w:val="24"/>
                <w:szCs w:val="24"/>
              </w:rPr>
            </w:pPr>
            <w:r w:rsidRPr="00792B36">
              <w:rPr>
                <w:sz w:val="24"/>
                <w:szCs w:val="24"/>
              </w:rPr>
              <w:t>82.57</w:t>
            </w:r>
          </w:p>
        </w:tc>
        <w:tc>
          <w:tcPr>
            <w:tcW w:w="963" w:type="dxa"/>
            <w:vAlign w:val="center"/>
          </w:tcPr>
          <w:p w14:paraId="02668A8E" w14:textId="77777777" w:rsidR="00037A8B" w:rsidRPr="00792B36" w:rsidRDefault="00037A8B" w:rsidP="0096560E">
            <w:pPr>
              <w:jc w:val="center"/>
              <w:rPr>
                <w:sz w:val="24"/>
                <w:szCs w:val="24"/>
              </w:rPr>
            </w:pPr>
            <w:r w:rsidRPr="00792B36">
              <w:rPr>
                <w:sz w:val="24"/>
                <w:szCs w:val="24"/>
              </w:rPr>
              <w:t>136,386</w:t>
            </w:r>
          </w:p>
        </w:tc>
        <w:tc>
          <w:tcPr>
            <w:tcW w:w="1011" w:type="dxa"/>
            <w:vAlign w:val="center"/>
          </w:tcPr>
          <w:p w14:paraId="32DE1D36" w14:textId="77777777" w:rsidR="00037A8B" w:rsidRPr="00792B36" w:rsidRDefault="00037A8B" w:rsidP="0096560E">
            <w:pPr>
              <w:jc w:val="center"/>
              <w:rPr>
                <w:sz w:val="24"/>
                <w:szCs w:val="24"/>
                <w:cs/>
              </w:rPr>
            </w:pPr>
            <w:r w:rsidRPr="00792B36">
              <w:rPr>
                <w:sz w:val="24"/>
                <w:szCs w:val="24"/>
                <w:cs/>
              </w:rPr>
              <w:t>114,204</w:t>
            </w:r>
          </w:p>
        </w:tc>
        <w:tc>
          <w:tcPr>
            <w:tcW w:w="828" w:type="dxa"/>
          </w:tcPr>
          <w:p w14:paraId="0E13803B" w14:textId="77777777" w:rsidR="00037A8B" w:rsidRPr="00792B36" w:rsidRDefault="00037A8B" w:rsidP="0096560E">
            <w:pPr>
              <w:jc w:val="center"/>
              <w:rPr>
                <w:sz w:val="24"/>
                <w:szCs w:val="24"/>
              </w:rPr>
            </w:pPr>
            <w:r w:rsidRPr="00792B36">
              <w:rPr>
                <w:sz w:val="24"/>
                <w:szCs w:val="24"/>
              </w:rPr>
              <w:t>83.74</w:t>
            </w:r>
          </w:p>
        </w:tc>
        <w:tc>
          <w:tcPr>
            <w:tcW w:w="931" w:type="dxa"/>
            <w:vAlign w:val="center"/>
          </w:tcPr>
          <w:p w14:paraId="1D2B1939" w14:textId="77777777" w:rsidR="00037A8B" w:rsidRPr="00792B36" w:rsidRDefault="00037A8B" w:rsidP="0096560E">
            <w:pPr>
              <w:jc w:val="center"/>
              <w:rPr>
                <w:sz w:val="24"/>
                <w:szCs w:val="24"/>
              </w:rPr>
            </w:pPr>
            <w:r w:rsidRPr="00792B36">
              <w:rPr>
                <w:sz w:val="24"/>
                <w:szCs w:val="24"/>
              </w:rPr>
              <w:t>172,880</w:t>
            </w:r>
          </w:p>
        </w:tc>
        <w:tc>
          <w:tcPr>
            <w:tcW w:w="1033" w:type="dxa"/>
            <w:vAlign w:val="center"/>
          </w:tcPr>
          <w:p w14:paraId="1973659E" w14:textId="77777777" w:rsidR="00037A8B" w:rsidRPr="00792B36" w:rsidRDefault="00037A8B" w:rsidP="0096560E">
            <w:pPr>
              <w:jc w:val="center"/>
              <w:rPr>
                <w:sz w:val="24"/>
                <w:szCs w:val="24"/>
                <w:cs/>
              </w:rPr>
            </w:pPr>
            <w:r w:rsidRPr="00792B36">
              <w:rPr>
                <w:sz w:val="24"/>
                <w:szCs w:val="24"/>
                <w:cs/>
              </w:rPr>
              <w:t>60,722</w:t>
            </w:r>
          </w:p>
        </w:tc>
        <w:tc>
          <w:tcPr>
            <w:tcW w:w="854" w:type="dxa"/>
          </w:tcPr>
          <w:p w14:paraId="7B0E23EE" w14:textId="77777777" w:rsidR="00037A8B" w:rsidRPr="00792B36" w:rsidRDefault="00037A8B" w:rsidP="0096560E">
            <w:pPr>
              <w:jc w:val="center"/>
              <w:rPr>
                <w:sz w:val="24"/>
                <w:szCs w:val="24"/>
                <w:cs/>
              </w:rPr>
            </w:pPr>
            <w:r w:rsidRPr="00792B36">
              <w:rPr>
                <w:sz w:val="24"/>
                <w:szCs w:val="24"/>
              </w:rPr>
              <w:t>35.12</w:t>
            </w:r>
          </w:p>
        </w:tc>
      </w:tr>
      <w:tr w:rsidR="00037A8B" w:rsidRPr="00792B36" w14:paraId="346F20DC" w14:textId="77777777" w:rsidTr="0096560E">
        <w:trPr>
          <w:trHeight w:val="283"/>
        </w:trPr>
        <w:tc>
          <w:tcPr>
            <w:tcW w:w="668" w:type="dxa"/>
            <w:vAlign w:val="center"/>
          </w:tcPr>
          <w:p w14:paraId="5D7CA579" w14:textId="77777777" w:rsidR="00037A8B" w:rsidRPr="00792B36" w:rsidRDefault="00037A8B" w:rsidP="0096560E">
            <w:pPr>
              <w:jc w:val="center"/>
              <w:rPr>
                <w:sz w:val="24"/>
                <w:szCs w:val="24"/>
              </w:rPr>
            </w:pPr>
            <w:r w:rsidRPr="00792B36">
              <w:rPr>
                <w:sz w:val="24"/>
                <w:szCs w:val="24"/>
              </w:rPr>
              <w:t>2019</w:t>
            </w:r>
          </w:p>
        </w:tc>
        <w:tc>
          <w:tcPr>
            <w:tcW w:w="1206" w:type="dxa"/>
            <w:vAlign w:val="center"/>
          </w:tcPr>
          <w:p w14:paraId="11E4F5B7" w14:textId="77777777" w:rsidR="00037A8B" w:rsidRPr="00792B36" w:rsidRDefault="00037A8B" w:rsidP="0096560E">
            <w:pPr>
              <w:jc w:val="center"/>
              <w:rPr>
                <w:sz w:val="24"/>
                <w:szCs w:val="24"/>
              </w:rPr>
            </w:pPr>
            <w:r w:rsidRPr="00792B36">
              <w:rPr>
                <w:sz w:val="24"/>
                <w:szCs w:val="24"/>
              </w:rPr>
              <w:t>22,606,170</w:t>
            </w:r>
          </w:p>
        </w:tc>
        <w:tc>
          <w:tcPr>
            <w:tcW w:w="1206" w:type="dxa"/>
            <w:vAlign w:val="center"/>
          </w:tcPr>
          <w:p w14:paraId="17B33065" w14:textId="77777777" w:rsidR="00037A8B" w:rsidRPr="00792B36" w:rsidRDefault="00037A8B" w:rsidP="0096560E">
            <w:pPr>
              <w:jc w:val="center"/>
              <w:rPr>
                <w:sz w:val="24"/>
                <w:szCs w:val="24"/>
                <w:cs/>
              </w:rPr>
            </w:pPr>
            <w:r w:rsidRPr="00792B36">
              <w:rPr>
                <w:sz w:val="24"/>
                <w:szCs w:val="24"/>
              </w:rPr>
              <w:t>17,342,281</w:t>
            </w:r>
          </w:p>
        </w:tc>
        <w:tc>
          <w:tcPr>
            <w:tcW w:w="828" w:type="dxa"/>
          </w:tcPr>
          <w:p w14:paraId="50544E09" w14:textId="77777777" w:rsidR="00037A8B" w:rsidRPr="00792B36" w:rsidRDefault="00037A8B" w:rsidP="0096560E">
            <w:pPr>
              <w:jc w:val="center"/>
              <w:rPr>
                <w:sz w:val="24"/>
                <w:szCs w:val="24"/>
              </w:rPr>
            </w:pPr>
            <w:r w:rsidRPr="00792B36">
              <w:rPr>
                <w:sz w:val="24"/>
                <w:szCs w:val="24"/>
              </w:rPr>
              <w:t>76.71</w:t>
            </w:r>
          </w:p>
        </w:tc>
        <w:tc>
          <w:tcPr>
            <w:tcW w:w="963" w:type="dxa"/>
            <w:vAlign w:val="center"/>
          </w:tcPr>
          <w:p w14:paraId="4D4283B7" w14:textId="77777777" w:rsidR="00037A8B" w:rsidRPr="00792B36" w:rsidRDefault="00037A8B" w:rsidP="0096560E">
            <w:pPr>
              <w:jc w:val="center"/>
              <w:rPr>
                <w:sz w:val="24"/>
                <w:szCs w:val="24"/>
              </w:rPr>
            </w:pPr>
            <w:r w:rsidRPr="00792B36">
              <w:rPr>
                <w:sz w:val="24"/>
                <w:szCs w:val="24"/>
              </w:rPr>
              <w:t>133,991</w:t>
            </w:r>
          </w:p>
        </w:tc>
        <w:tc>
          <w:tcPr>
            <w:tcW w:w="1011" w:type="dxa"/>
            <w:vAlign w:val="center"/>
          </w:tcPr>
          <w:p w14:paraId="0BC3D229" w14:textId="77777777" w:rsidR="00037A8B" w:rsidRPr="00792B36" w:rsidRDefault="00037A8B" w:rsidP="0096560E">
            <w:pPr>
              <w:jc w:val="center"/>
              <w:rPr>
                <w:sz w:val="24"/>
                <w:szCs w:val="24"/>
                <w:cs/>
              </w:rPr>
            </w:pPr>
            <w:r w:rsidRPr="00792B36">
              <w:rPr>
                <w:sz w:val="24"/>
                <w:szCs w:val="24"/>
                <w:cs/>
              </w:rPr>
              <w:t>113,705</w:t>
            </w:r>
          </w:p>
        </w:tc>
        <w:tc>
          <w:tcPr>
            <w:tcW w:w="828" w:type="dxa"/>
          </w:tcPr>
          <w:p w14:paraId="726217BA" w14:textId="77777777" w:rsidR="00037A8B" w:rsidRPr="00792B36" w:rsidRDefault="00037A8B" w:rsidP="0096560E">
            <w:pPr>
              <w:jc w:val="center"/>
              <w:rPr>
                <w:sz w:val="24"/>
                <w:szCs w:val="24"/>
              </w:rPr>
            </w:pPr>
            <w:r w:rsidRPr="00792B36">
              <w:rPr>
                <w:sz w:val="24"/>
                <w:szCs w:val="24"/>
              </w:rPr>
              <w:t>84.86</w:t>
            </w:r>
          </w:p>
        </w:tc>
        <w:tc>
          <w:tcPr>
            <w:tcW w:w="931" w:type="dxa"/>
            <w:vAlign w:val="center"/>
          </w:tcPr>
          <w:p w14:paraId="38353A8C" w14:textId="77777777" w:rsidR="00037A8B" w:rsidRPr="00792B36" w:rsidRDefault="00037A8B" w:rsidP="0096560E">
            <w:pPr>
              <w:jc w:val="center"/>
              <w:rPr>
                <w:sz w:val="24"/>
                <w:szCs w:val="24"/>
              </w:rPr>
            </w:pPr>
            <w:r w:rsidRPr="00792B36">
              <w:rPr>
                <w:sz w:val="24"/>
                <w:szCs w:val="24"/>
              </w:rPr>
              <w:t>172,480</w:t>
            </w:r>
          </w:p>
        </w:tc>
        <w:tc>
          <w:tcPr>
            <w:tcW w:w="1033" w:type="dxa"/>
            <w:vAlign w:val="center"/>
          </w:tcPr>
          <w:p w14:paraId="6D13EFFD" w14:textId="77777777" w:rsidR="00037A8B" w:rsidRPr="00792B36" w:rsidRDefault="00037A8B" w:rsidP="0096560E">
            <w:pPr>
              <w:jc w:val="center"/>
              <w:rPr>
                <w:sz w:val="24"/>
                <w:szCs w:val="24"/>
                <w:cs/>
              </w:rPr>
            </w:pPr>
            <w:r w:rsidRPr="00792B36">
              <w:rPr>
                <w:sz w:val="24"/>
                <w:szCs w:val="24"/>
                <w:cs/>
              </w:rPr>
              <w:t>52,476</w:t>
            </w:r>
          </w:p>
        </w:tc>
        <w:tc>
          <w:tcPr>
            <w:tcW w:w="854" w:type="dxa"/>
          </w:tcPr>
          <w:p w14:paraId="30EAA2AA" w14:textId="77777777" w:rsidR="00037A8B" w:rsidRPr="00792B36" w:rsidRDefault="00037A8B" w:rsidP="0096560E">
            <w:pPr>
              <w:jc w:val="center"/>
              <w:rPr>
                <w:sz w:val="24"/>
                <w:szCs w:val="24"/>
                <w:cs/>
              </w:rPr>
            </w:pPr>
            <w:r w:rsidRPr="00792B36">
              <w:rPr>
                <w:sz w:val="24"/>
                <w:szCs w:val="24"/>
              </w:rPr>
              <w:t>30.42</w:t>
            </w:r>
          </w:p>
        </w:tc>
      </w:tr>
      <w:tr w:rsidR="00037A8B" w:rsidRPr="00792B36" w14:paraId="4869FECD" w14:textId="77777777" w:rsidTr="0096560E">
        <w:trPr>
          <w:trHeight w:val="283"/>
        </w:trPr>
        <w:tc>
          <w:tcPr>
            <w:tcW w:w="668" w:type="dxa"/>
            <w:vAlign w:val="center"/>
          </w:tcPr>
          <w:p w14:paraId="264C6E3E" w14:textId="77777777" w:rsidR="00037A8B" w:rsidRPr="00792B36" w:rsidRDefault="00037A8B" w:rsidP="0096560E">
            <w:pPr>
              <w:jc w:val="center"/>
              <w:rPr>
                <w:sz w:val="24"/>
                <w:szCs w:val="24"/>
              </w:rPr>
            </w:pPr>
            <w:r w:rsidRPr="00792B36">
              <w:rPr>
                <w:sz w:val="24"/>
                <w:szCs w:val="24"/>
              </w:rPr>
              <w:t>2020</w:t>
            </w:r>
          </w:p>
        </w:tc>
        <w:tc>
          <w:tcPr>
            <w:tcW w:w="1206" w:type="dxa"/>
            <w:vAlign w:val="center"/>
          </w:tcPr>
          <w:p w14:paraId="5D2DFD97" w14:textId="77777777" w:rsidR="00037A8B" w:rsidRPr="00792B36" w:rsidRDefault="00037A8B" w:rsidP="0096560E">
            <w:pPr>
              <w:jc w:val="center"/>
              <w:rPr>
                <w:sz w:val="24"/>
                <w:szCs w:val="24"/>
              </w:rPr>
            </w:pPr>
            <w:r w:rsidRPr="00792B36">
              <w:rPr>
                <w:sz w:val="24"/>
                <w:szCs w:val="24"/>
              </w:rPr>
              <w:t>23,104,173</w:t>
            </w:r>
          </w:p>
        </w:tc>
        <w:tc>
          <w:tcPr>
            <w:tcW w:w="1206" w:type="dxa"/>
            <w:vAlign w:val="center"/>
          </w:tcPr>
          <w:p w14:paraId="4866651E" w14:textId="77777777" w:rsidR="00037A8B" w:rsidRPr="00792B36" w:rsidRDefault="00037A8B" w:rsidP="0096560E">
            <w:pPr>
              <w:jc w:val="center"/>
              <w:rPr>
                <w:sz w:val="24"/>
                <w:szCs w:val="24"/>
                <w:cs/>
              </w:rPr>
            </w:pPr>
            <w:r w:rsidRPr="00792B36">
              <w:rPr>
                <w:sz w:val="24"/>
                <w:szCs w:val="24"/>
              </w:rPr>
              <w:t>15,507,765</w:t>
            </w:r>
          </w:p>
        </w:tc>
        <w:tc>
          <w:tcPr>
            <w:tcW w:w="828" w:type="dxa"/>
          </w:tcPr>
          <w:p w14:paraId="1B4212E2" w14:textId="77777777" w:rsidR="00037A8B" w:rsidRPr="00792B36" w:rsidRDefault="00037A8B" w:rsidP="0096560E">
            <w:pPr>
              <w:jc w:val="center"/>
              <w:rPr>
                <w:sz w:val="24"/>
                <w:szCs w:val="24"/>
              </w:rPr>
            </w:pPr>
            <w:r w:rsidRPr="00792B36">
              <w:rPr>
                <w:sz w:val="24"/>
                <w:szCs w:val="24"/>
              </w:rPr>
              <w:t>67.12</w:t>
            </w:r>
          </w:p>
        </w:tc>
        <w:tc>
          <w:tcPr>
            <w:tcW w:w="963" w:type="dxa"/>
            <w:vAlign w:val="center"/>
          </w:tcPr>
          <w:p w14:paraId="50DB198E" w14:textId="77777777" w:rsidR="00037A8B" w:rsidRPr="00792B36" w:rsidRDefault="00037A8B" w:rsidP="0096560E">
            <w:pPr>
              <w:jc w:val="center"/>
              <w:rPr>
                <w:sz w:val="24"/>
                <w:szCs w:val="24"/>
              </w:rPr>
            </w:pPr>
            <w:r w:rsidRPr="00792B36">
              <w:rPr>
                <w:sz w:val="24"/>
                <w:szCs w:val="24"/>
              </w:rPr>
              <w:t>142,723</w:t>
            </w:r>
          </w:p>
        </w:tc>
        <w:tc>
          <w:tcPr>
            <w:tcW w:w="1011" w:type="dxa"/>
            <w:vAlign w:val="center"/>
          </w:tcPr>
          <w:p w14:paraId="007031EF" w14:textId="77777777" w:rsidR="00037A8B" w:rsidRPr="00792B36" w:rsidRDefault="00037A8B" w:rsidP="0096560E">
            <w:pPr>
              <w:jc w:val="center"/>
              <w:rPr>
                <w:sz w:val="24"/>
                <w:szCs w:val="24"/>
                <w:cs/>
              </w:rPr>
            </w:pPr>
            <w:r w:rsidRPr="00792B36">
              <w:rPr>
                <w:sz w:val="24"/>
                <w:szCs w:val="24"/>
                <w:cs/>
              </w:rPr>
              <w:t>100,837</w:t>
            </w:r>
          </w:p>
        </w:tc>
        <w:tc>
          <w:tcPr>
            <w:tcW w:w="828" w:type="dxa"/>
          </w:tcPr>
          <w:p w14:paraId="6B384D07" w14:textId="77777777" w:rsidR="00037A8B" w:rsidRPr="00792B36" w:rsidRDefault="00037A8B" w:rsidP="0096560E">
            <w:pPr>
              <w:jc w:val="center"/>
              <w:rPr>
                <w:sz w:val="24"/>
                <w:szCs w:val="24"/>
              </w:rPr>
            </w:pPr>
            <w:r w:rsidRPr="00792B36">
              <w:rPr>
                <w:sz w:val="24"/>
                <w:szCs w:val="24"/>
              </w:rPr>
              <w:t>70.65</w:t>
            </w:r>
          </w:p>
        </w:tc>
        <w:tc>
          <w:tcPr>
            <w:tcW w:w="931" w:type="dxa"/>
            <w:vAlign w:val="center"/>
          </w:tcPr>
          <w:p w14:paraId="69EFF004" w14:textId="77777777" w:rsidR="00037A8B" w:rsidRPr="00792B36" w:rsidRDefault="00037A8B" w:rsidP="0096560E">
            <w:pPr>
              <w:jc w:val="center"/>
              <w:rPr>
                <w:sz w:val="24"/>
                <w:szCs w:val="24"/>
              </w:rPr>
            </w:pPr>
            <w:r w:rsidRPr="00792B36">
              <w:rPr>
                <w:sz w:val="24"/>
                <w:szCs w:val="24"/>
              </w:rPr>
              <w:t>158,813</w:t>
            </w:r>
          </w:p>
        </w:tc>
        <w:tc>
          <w:tcPr>
            <w:tcW w:w="1033" w:type="dxa"/>
            <w:vAlign w:val="center"/>
          </w:tcPr>
          <w:p w14:paraId="34D7B307" w14:textId="77777777" w:rsidR="00037A8B" w:rsidRPr="00792B36" w:rsidRDefault="00037A8B" w:rsidP="0096560E">
            <w:pPr>
              <w:jc w:val="center"/>
              <w:rPr>
                <w:sz w:val="24"/>
                <w:szCs w:val="24"/>
                <w:cs/>
              </w:rPr>
            </w:pPr>
            <w:r w:rsidRPr="00792B36">
              <w:rPr>
                <w:sz w:val="24"/>
                <w:szCs w:val="24"/>
                <w:cs/>
              </w:rPr>
              <w:t>32,522</w:t>
            </w:r>
          </w:p>
        </w:tc>
        <w:tc>
          <w:tcPr>
            <w:tcW w:w="854" w:type="dxa"/>
          </w:tcPr>
          <w:p w14:paraId="51FBEAC2" w14:textId="77777777" w:rsidR="00037A8B" w:rsidRPr="00792B36" w:rsidRDefault="00037A8B" w:rsidP="0096560E">
            <w:pPr>
              <w:jc w:val="center"/>
              <w:rPr>
                <w:sz w:val="24"/>
                <w:szCs w:val="24"/>
                <w:cs/>
              </w:rPr>
            </w:pPr>
            <w:r w:rsidRPr="00792B36">
              <w:rPr>
                <w:sz w:val="24"/>
                <w:szCs w:val="24"/>
              </w:rPr>
              <w:t>20.48</w:t>
            </w:r>
          </w:p>
        </w:tc>
      </w:tr>
      <w:tr w:rsidR="00037A8B" w:rsidRPr="00792B36" w14:paraId="073D416F" w14:textId="77777777" w:rsidTr="0096560E">
        <w:trPr>
          <w:trHeight w:val="283"/>
        </w:trPr>
        <w:tc>
          <w:tcPr>
            <w:tcW w:w="668" w:type="dxa"/>
            <w:vAlign w:val="center"/>
          </w:tcPr>
          <w:p w14:paraId="2560CEA6" w14:textId="77777777" w:rsidR="00037A8B" w:rsidRPr="00792B36" w:rsidRDefault="00037A8B" w:rsidP="0096560E">
            <w:pPr>
              <w:jc w:val="center"/>
              <w:rPr>
                <w:sz w:val="24"/>
                <w:szCs w:val="24"/>
              </w:rPr>
            </w:pPr>
            <w:r w:rsidRPr="00792B36">
              <w:rPr>
                <w:sz w:val="24"/>
                <w:szCs w:val="24"/>
              </w:rPr>
              <w:t>2021</w:t>
            </w:r>
          </w:p>
        </w:tc>
        <w:tc>
          <w:tcPr>
            <w:tcW w:w="1206" w:type="dxa"/>
            <w:vAlign w:val="center"/>
          </w:tcPr>
          <w:p w14:paraId="0DE4776C" w14:textId="77777777" w:rsidR="00037A8B" w:rsidRPr="00792B36" w:rsidRDefault="00037A8B" w:rsidP="0096560E">
            <w:pPr>
              <w:jc w:val="center"/>
              <w:rPr>
                <w:sz w:val="24"/>
                <w:szCs w:val="24"/>
              </w:rPr>
            </w:pPr>
            <w:r w:rsidRPr="00792B36">
              <w:rPr>
                <w:sz w:val="24"/>
                <w:szCs w:val="24"/>
              </w:rPr>
              <w:t>23,438,995</w:t>
            </w:r>
          </w:p>
        </w:tc>
        <w:tc>
          <w:tcPr>
            <w:tcW w:w="1206" w:type="dxa"/>
            <w:vAlign w:val="center"/>
          </w:tcPr>
          <w:p w14:paraId="10C617CB" w14:textId="77777777" w:rsidR="00037A8B" w:rsidRPr="00792B36" w:rsidRDefault="00037A8B" w:rsidP="0096560E">
            <w:pPr>
              <w:jc w:val="center"/>
              <w:rPr>
                <w:sz w:val="24"/>
                <w:szCs w:val="24"/>
                <w:cs/>
              </w:rPr>
            </w:pPr>
            <w:r w:rsidRPr="00792B36">
              <w:rPr>
                <w:sz w:val="24"/>
                <w:szCs w:val="24"/>
              </w:rPr>
              <w:t>19,305,368</w:t>
            </w:r>
          </w:p>
        </w:tc>
        <w:tc>
          <w:tcPr>
            <w:tcW w:w="828" w:type="dxa"/>
          </w:tcPr>
          <w:p w14:paraId="1A8B8B02" w14:textId="77777777" w:rsidR="00037A8B" w:rsidRPr="00792B36" w:rsidRDefault="00037A8B" w:rsidP="0096560E">
            <w:pPr>
              <w:jc w:val="center"/>
              <w:rPr>
                <w:sz w:val="24"/>
                <w:szCs w:val="24"/>
              </w:rPr>
            </w:pPr>
            <w:r w:rsidRPr="00792B36">
              <w:rPr>
                <w:sz w:val="24"/>
                <w:szCs w:val="24"/>
              </w:rPr>
              <w:t>82.36</w:t>
            </w:r>
          </w:p>
        </w:tc>
        <w:tc>
          <w:tcPr>
            <w:tcW w:w="963" w:type="dxa"/>
            <w:vAlign w:val="center"/>
          </w:tcPr>
          <w:p w14:paraId="76609168" w14:textId="77777777" w:rsidR="00037A8B" w:rsidRPr="00792B36" w:rsidRDefault="00037A8B" w:rsidP="0096560E">
            <w:pPr>
              <w:jc w:val="center"/>
              <w:rPr>
                <w:sz w:val="24"/>
                <w:szCs w:val="24"/>
              </w:rPr>
            </w:pPr>
            <w:r w:rsidRPr="00792B36">
              <w:rPr>
                <w:sz w:val="24"/>
                <w:szCs w:val="24"/>
              </w:rPr>
              <w:t>145,134</w:t>
            </w:r>
          </w:p>
        </w:tc>
        <w:tc>
          <w:tcPr>
            <w:tcW w:w="1011" w:type="dxa"/>
            <w:vAlign w:val="center"/>
          </w:tcPr>
          <w:p w14:paraId="71B74022" w14:textId="77777777" w:rsidR="00037A8B" w:rsidRPr="00792B36" w:rsidRDefault="00037A8B" w:rsidP="0096560E">
            <w:pPr>
              <w:jc w:val="center"/>
              <w:rPr>
                <w:sz w:val="24"/>
                <w:szCs w:val="24"/>
                <w:cs/>
              </w:rPr>
            </w:pPr>
            <w:r w:rsidRPr="00792B36">
              <w:rPr>
                <w:sz w:val="24"/>
                <w:szCs w:val="24"/>
                <w:cs/>
              </w:rPr>
              <w:t>78,934</w:t>
            </w:r>
          </w:p>
        </w:tc>
        <w:tc>
          <w:tcPr>
            <w:tcW w:w="828" w:type="dxa"/>
          </w:tcPr>
          <w:p w14:paraId="1E245436" w14:textId="77777777" w:rsidR="00037A8B" w:rsidRPr="00792B36" w:rsidRDefault="00037A8B" w:rsidP="0096560E">
            <w:pPr>
              <w:jc w:val="center"/>
              <w:rPr>
                <w:sz w:val="24"/>
                <w:szCs w:val="24"/>
              </w:rPr>
            </w:pPr>
            <w:r w:rsidRPr="00792B36">
              <w:rPr>
                <w:sz w:val="24"/>
                <w:szCs w:val="24"/>
              </w:rPr>
              <w:t>54.39</w:t>
            </w:r>
          </w:p>
        </w:tc>
        <w:tc>
          <w:tcPr>
            <w:tcW w:w="931" w:type="dxa"/>
            <w:vAlign w:val="center"/>
          </w:tcPr>
          <w:p w14:paraId="72BF58D5" w14:textId="77777777" w:rsidR="00037A8B" w:rsidRPr="00792B36" w:rsidRDefault="00037A8B" w:rsidP="0096560E">
            <w:pPr>
              <w:jc w:val="center"/>
              <w:rPr>
                <w:sz w:val="24"/>
                <w:szCs w:val="24"/>
              </w:rPr>
            </w:pPr>
            <w:r w:rsidRPr="00792B36">
              <w:rPr>
                <w:sz w:val="24"/>
                <w:szCs w:val="24"/>
              </w:rPr>
              <w:t>126,358</w:t>
            </w:r>
          </w:p>
        </w:tc>
        <w:tc>
          <w:tcPr>
            <w:tcW w:w="1033" w:type="dxa"/>
            <w:vAlign w:val="center"/>
          </w:tcPr>
          <w:p w14:paraId="31BFCC94" w14:textId="77777777" w:rsidR="00037A8B" w:rsidRPr="00792B36" w:rsidRDefault="00037A8B" w:rsidP="0096560E">
            <w:pPr>
              <w:jc w:val="center"/>
              <w:rPr>
                <w:sz w:val="24"/>
                <w:szCs w:val="24"/>
                <w:cs/>
              </w:rPr>
            </w:pPr>
            <w:r w:rsidRPr="00792B36">
              <w:rPr>
                <w:sz w:val="24"/>
                <w:szCs w:val="24"/>
                <w:cs/>
              </w:rPr>
              <w:t>23,381</w:t>
            </w:r>
          </w:p>
        </w:tc>
        <w:tc>
          <w:tcPr>
            <w:tcW w:w="854" w:type="dxa"/>
          </w:tcPr>
          <w:p w14:paraId="26182481" w14:textId="77777777" w:rsidR="00037A8B" w:rsidRPr="00792B36" w:rsidRDefault="00037A8B" w:rsidP="0096560E">
            <w:pPr>
              <w:jc w:val="center"/>
              <w:rPr>
                <w:sz w:val="24"/>
                <w:szCs w:val="24"/>
                <w:cs/>
              </w:rPr>
            </w:pPr>
            <w:r w:rsidRPr="00792B36">
              <w:rPr>
                <w:sz w:val="24"/>
                <w:szCs w:val="24"/>
              </w:rPr>
              <w:t>18.50</w:t>
            </w:r>
          </w:p>
        </w:tc>
      </w:tr>
      <w:tr w:rsidR="00037A8B" w:rsidRPr="00792B36" w14:paraId="318EECF9" w14:textId="77777777" w:rsidTr="0096560E">
        <w:trPr>
          <w:trHeight w:val="283"/>
        </w:trPr>
        <w:tc>
          <w:tcPr>
            <w:tcW w:w="668" w:type="dxa"/>
            <w:vAlign w:val="center"/>
          </w:tcPr>
          <w:p w14:paraId="5403E743" w14:textId="77777777" w:rsidR="00037A8B" w:rsidRPr="00792B36" w:rsidRDefault="00037A8B" w:rsidP="0096560E">
            <w:pPr>
              <w:jc w:val="center"/>
              <w:rPr>
                <w:sz w:val="24"/>
                <w:szCs w:val="24"/>
              </w:rPr>
            </w:pPr>
            <w:r w:rsidRPr="00792B36">
              <w:rPr>
                <w:sz w:val="24"/>
                <w:szCs w:val="24"/>
              </w:rPr>
              <w:t>202</w:t>
            </w:r>
            <w:r w:rsidRPr="00792B36">
              <w:rPr>
                <w:sz w:val="24"/>
                <w:szCs w:val="24"/>
                <w:cs/>
              </w:rPr>
              <w:t>2</w:t>
            </w:r>
          </w:p>
        </w:tc>
        <w:tc>
          <w:tcPr>
            <w:tcW w:w="1206" w:type="dxa"/>
            <w:vAlign w:val="center"/>
          </w:tcPr>
          <w:p w14:paraId="34CBC810" w14:textId="77777777" w:rsidR="00037A8B" w:rsidRPr="00792B36" w:rsidRDefault="00037A8B" w:rsidP="0096560E">
            <w:pPr>
              <w:jc w:val="center"/>
              <w:rPr>
                <w:sz w:val="24"/>
                <w:szCs w:val="24"/>
              </w:rPr>
            </w:pPr>
            <w:r w:rsidRPr="00792B36">
              <w:rPr>
                <w:sz w:val="24"/>
                <w:szCs w:val="24"/>
              </w:rPr>
              <w:t>23,954,077</w:t>
            </w:r>
          </w:p>
        </w:tc>
        <w:tc>
          <w:tcPr>
            <w:tcW w:w="1206" w:type="dxa"/>
            <w:vAlign w:val="center"/>
          </w:tcPr>
          <w:p w14:paraId="08C6D5AC" w14:textId="77777777" w:rsidR="00037A8B" w:rsidRPr="00792B36" w:rsidRDefault="00037A8B" w:rsidP="0096560E">
            <w:pPr>
              <w:jc w:val="center"/>
              <w:rPr>
                <w:sz w:val="24"/>
                <w:szCs w:val="24"/>
                <w:cs/>
              </w:rPr>
            </w:pPr>
            <w:r w:rsidRPr="00792B36">
              <w:rPr>
                <w:sz w:val="24"/>
                <w:szCs w:val="24"/>
              </w:rPr>
              <w:t>14,923,835</w:t>
            </w:r>
          </w:p>
        </w:tc>
        <w:tc>
          <w:tcPr>
            <w:tcW w:w="828" w:type="dxa"/>
          </w:tcPr>
          <w:p w14:paraId="4EFFE261" w14:textId="77777777" w:rsidR="00037A8B" w:rsidRPr="00792B36" w:rsidRDefault="00037A8B" w:rsidP="0096560E">
            <w:pPr>
              <w:jc w:val="center"/>
              <w:rPr>
                <w:sz w:val="24"/>
                <w:szCs w:val="24"/>
              </w:rPr>
            </w:pPr>
            <w:r w:rsidRPr="00792B36">
              <w:rPr>
                <w:sz w:val="24"/>
                <w:szCs w:val="24"/>
              </w:rPr>
              <w:t>62.30</w:t>
            </w:r>
          </w:p>
        </w:tc>
        <w:tc>
          <w:tcPr>
            <w:tcW w:w="963" w:type="dxa"/>
            <w:vAlign w:val="center"/>
          </w:tcPr>
          <w:p w14:paraId="499C743C" w14:textId="77777777" w:rsidR="00037A8B" w:rsidRPr="00792B36" w:rsidRDefault="00037A8B" w:rsidP="0096560E">
            <w:pPr>
              <w:jc w:val="center"/>
              <w:rPr>
                <w:sz w:val="24"/>
                <w:szCs w:val="24"/>
              </w:rPr>
            </w:pPr>
            <w:r w:rsidRPr="00792B36">
              <w:rPr>
                <w:sz w:val="24"/>
                <w:szCs w:val="24"/>
              </w:rPr>
              <w:t>207,303</w:t>
            </w:r>
          </w:p>
        </w:tc>
        <w:tc>
          <w:tcPr>
            <w:tcW w:w="1011" w:type="dxa"/>
            <w:vAlign w:val="center"/>
          </w:tcPr>
          <w:p w14:paraId="12240933" w14:textId="77777777" w:rsidR="00037A8B" w:rsidRPr="00792B36" w:rsidRDefault="00037A8B" w:rsidP="0096560E">
            <w:pPr>
              <w:jc w:val="center"/>
              <w:rPr>
                <w:sz w:val="24"/>
                <w:szCs w:val="24"/>
                <w:cs/>
              </w:rPr>
            </w:pPr>
            <w:r w:rsidRPr="00792B36">
              <w:rPr>
                <w:sz w:val="24"/>
                <w:szCs w:val="24"/>
                <w:cs/>
              </w:rPr>
              <w:t>85</w:t>
            </w:r>
            <w:r w:rsidRPr="00792B36">
              <w:rPr>
                <w:sz w:val="24"/>
                <w:szCs w:val="24"/>
              </w:rPr>
              <w:t>,</w:t>
            </w:r>
            <w:r w:rsidRPr="00792B36">
              <w:rPr>
                <w:sz w:val="24"/>
                <w:szCs w:val="24"/>
                <w:cs/>
              </w:rPr>
              <w:t>873</w:t>
            </w:r>
          </w:p>
        </w:tc>
        <w:tc>
          <w:tcPr>
            <w:tcW w:w="828" w:type="dxa"/>
          </w:tcPr>
          <w:p w14:paraId="0B81B67B" w14:textId="77777777" w:rsidR="00037A8B" w:rsidRPr="00792B36" w:rsidRDefault="00037A8B" w:rsidP="0096560E">
            <w:pPr>
              <w:jc w:val="center"/>
              <w:rPr>
                <w:sz w:val="24"/>
                <w:szCs w:val="24"/>
              </w:rPr>
            </w:pPr>
            <w:r w:rsidRPr="00792B36">
              <w:rPr>
                <w:sz w:val="24"/>
                <w:szCs w:val="24"/>
              </w:rPr>
              <w:t>41.42</w:t>
            </w:r>
          </w:p>
        </w:tc>
        <w:tc>
          <w:tcPr>
            <w:tcW w:w="931" w:type="dxa"/>
            <w:vAlign w:val="center"/>
          </w:tcPr>
          <w:p w14:paraId="0A425511" w14:textId="77777777" w:rsidR="00037A8B" w:rsidRPr="00792B36" w:rsidRDefault="00037A8B" w:rsidP="0096560E">
            <w:pPr>
              <w:jc w:val="center"/>
              <w:rPr>
                <w:sz w:val="24"/>
                <w:szCs w:val="24"/>
              </w:rPr>
            </w:pPr>
            <w:r w:rsidRPr="00792B36">
              <w:rPr>
                <w:sz w:val="24"/>
                <w:szCs w:val="24"/>
              </w:rPr>
              <w:t>133,934</w:t>
            </w:r>
          </w:p>
        </w:tc>
        <w:tc>
          <w:tcPr>
            <w:tcW w:w="1033" w:type="dxa"/>
            <w:vAlign w:val="center"/>
          </w:tcPr>
          <w:p w14:paraId="2DC6327C" w14:textId="77777777" w:rsidR="00037A8B" w:rsidRPr="00792B36" w:rsidRDefault="00037A8B" w:rsidP="0096560E">
            <w:pPr>
              <w:jc w:val="center"/>
              <w:rPr>
                <w:sz w:val="24"/>
                <w:szCs w:val="24"/>
                <w:cs/>
              </w:rPr>
            </w:pPr>
            <w:r w:rsidRPr="00792B36">
              <w:rPr>
                <w:sz w:val="24"/>
                <w:szCs w:val="24"/>
                <w:cs/>
              </w:rPr>
              <w:t>24</w:t>
            </w:r>
            <w:r w:rsidRPr="00792B36">
              <w:rPr>
                <w:sz w:val="24"/>
                <w:szCs w:val="24"/>
              </w:rPr>
              <w:t>,</w:t>
            </w:r>
            <w:r w:rsidRPr="00792B36">
              <w:rPr>
                <w:sz w:val="24"/>
                <w:szCs w:val="24"/>
                <w:cs/>
              </w:rPr>
              <w:t>998</w:t>
            </w:r>
          </w:p>
        </w:tc>
        <w:tc>
          <w:tcPr>
            <w:tcW w:w="854" w:type="dxa"/>
          </w:tcPr>
          <w:p w14:paraId="278B9990" w14:textId="77777777" w:rsidR="00037A8B" w:rsidRPr="00792B36" w:rsidRDefault="00037A8B" w:rsidP="0096560E">
            <w:pPr>
              <w:jc w:val="center"/>
              <w:rPr>
                <w:sz w:val="24"/>
                <w:szCs w:val="24"/>
                <w:cs/>
              </w:rPr>
            </w:pPr>
            <w:r w:rsidRPr="00792B36">
              <w:rPr>
                <w:sz w:val="24"/>
                <w:szCs w:val="24"/>
              </w:rPr>
              <w:t>18.66</w:t>
            </w:r>
          </w:p>
        </w:tc>
      </w:tr>
      <w:tr w:rsidR="00037A8B" w:rsidRPr="00792B36" w14:paraId="311DB714" w14:textId="77777777" w:rsidTr="0096560E">
        <w:trPr>
          <w:trHeight w:val="283"/>
        </w:trPr>
        <w:tc>
          <w:tcPr>
            <w:tcW w:w="668" w:type="dxa"/>
            <w:vAlign w:val="center"/>
          </w:tcPr>
          <w:p w14:paraId="5325E71F" w14:textId="77777777" w:rsidR="00037A8B" w:rsidRPr="00792B36" w:rsidRDefault="00037A8B" w:rsidP="0096560E">
            <w:pPr>
              <w:jc w:val="center"/>
              <w:rPr>
                <w:sz w:val="24"/>
                <w:szCs w:val="24"/>
              </w:rPr>
            </w:pPr>
            <w:r w:rsidRPr="00792B36">
              <w:rPr>
                <w:sz w:val="24"/>
                <w:szCs w:val="24"/>
              </w:rPr>
              <w:t>2023</w:t>
            </w:r>
          </w:p>
        </w:tc>
        <w:tc>
          <w:tcPr>
            <w:tcW w:w="1206" w:type="dxa"/>
            <w:vAlign w:val="center"/>
          </w:tcPr>
          <w:p w14:paraId="702061DB" w14:textId="77777777" w:rsidR="00037A8B" w:rsidRPr="00792B36" w:rsidRDefault="00037A8B" w:rsidP="0096560E">
            <w:pPr>
              <w:jc w:val="center"/>
              <w:rPr>
                <w:sz w:val="24"/>
                <w:szCs w:val="24"/>
                <w:cs/>
              </w:rPr>
            </w:pPr>
            <w:r w:rsidRPr="00792B36">
              <w:rPr>
                <w:sz w:val="24"/>
                <w:szCs w:val="24"/>
              </w:rPr>
              <w:t>24,180,496</w:t>
            </w:r>
          </w:p>
        </w:tc>
        <w:tc>
          <w:tcPr>
            <w:tcW w:w="1206" w:type="dxa"/>
            <w:vAlign w:val="center"/>
          </w:tcPr>
          <w:p w14:paraId="25570758" w14:textId="77777777" w:rsidR="00037A8B" w:rsidRPr="00792B36" w:rsidRDefault="00037A8B" w:rsidP="0096560E">
            <w:pPr>
              <w:jc w:val="center"/>
              <w:rPr>
                <w:sz w:val="24"/>
                <w:szCs w:val="24"/>
                <w:cs/>
              </w:rPr>
            </w:pPr>
            <w:r w:rsidRPr="00792B36">
              <w:rPr>
                <w:sz w:val="24"/>
                <w:szCs w:val="24"/>
              </w:rPr>
              <w:t>16</w:t>
            </w:r>
            <w:r w:rsidRPr="00792B36">
              <w:rPr>
                <w:sz w:val="24"/>
                <w:szCs w:val="24"/>
                <w:cs/>
              </w:rPr>
              <w:t>,293,292</w:t>
            </w:r>
          </w:p>
        </w:tc>
        <w:tc>
          <w:tcPr>
            <w:tcW w:w="828" w:type="dxa"/>
          </w:tcPr>
          <w:p w14:paraId="16C18D51" w14:textId="77777777" w:rsidR="00037A8B" w:rsidRPr="00792B36" w:rsidRDefault="00037A8B" w:rsidP="0096560E">
            <w:pPr>
              <w:jc w:val="center"/>
              <w:rPr>
                <w:sz w:val="24"/>
                <w:szCs w:val="24"/>
              </w:rPr>
            </w:pPr>
            <w:r w:rsidRPr="00792B36">
              <w:rPr>
                <w:sz w:val="24"/>
                <w:szCs w:val="24"/>
              </w:rPr>
              <w:t>67.38</w:t>
            </w:r>
          </w:p>
        </w:tc>
        <w:tc>
          <w:tcPr>
            <w:tcW w:w="963" w:type="dxa"/>
            <w:vAlign w:val="center"/>
          </w:tcPr>
          <w:p w14:paraId="1A5727CE" w14:textId="77777777" w:rsidR="00037A8B" w:rsidRPr="00792B36" w:rsidRDefault="00037A8B" w:rsidP="0096560E">
            <w:pPr>
              <w:jc w:val="center"/>
              <w:rPr>
                <w:sz w:val="24"/>
                <w:szCs w:val="24"/>
              </w:rPr>
            </w:pPr>
            <w:r w:rsidRPr="00792B36">
              <w:rPr>
                <w:sz w:val="24"/>
                <w:szCs w:val="24"/>
              </w:rPr>
              <w:t>210,272</w:t>
            </w:r>
          </w:p>
        </w:tc>
        <w:tc>
          <w:tcPr>
            <w:tcW w:w="1011" w:type="dxa"/>
            <w:vAlign w:val="center"/>
          </w:tcPr>
          <w:p w14:paraId="1C9ED956" w14:textId="77777777" w:rsidR="00037A8B" w:rsidRPr="00792B36" w:rsidRDefault="00037A8B" w:rsidP="0096560E">
            <w:pPr>
              <w:jc w:val="center"/>
              <w:rPr>
                <w:sz w:val="24"/>
                <w:szCs w:val="24"/>
                <w:cs/>
              </w:rPr>
            </w:pPr>
            <w:r w:rsidRPr="00792B36">
              <w:rPr>
                <w:sz w:val="24"/>
                <w:szCs w:val="24"/>
                <w:cs/>
              </w:rPr>
              <w:t>122,184</w:t>
            </w:r>
          </w:p>
        </w:tc>
        <w:tc>
          <w:tcPr>
            <w:tcW w:w="828" w:type="dxa"/>
          </w:tcPr>
          <w:p w14:paraId="1504875F" w14:textId="77777777" w:rsidR="00037A8B" w:rsidRPr="00792B36" w:rsidRDefault="00037A8B" w:rsidP="0096560E">
            <w:pPr>
              <w:jc w:val="center"/>
              <w:rPr>
                <w:sz w:val="24"/>
                <w:szCs w:val="24"/>
              </w:rPr>
            </w:pPr>
            <w:r w:rsidRPr="00792B36">
              <w:rPr>
                <w:sz w:val="24"/>
                <w:szCs w:val="24"/>
              </w:rPr>
              <w:t>58.11</w:t>
            </w:r>
          </w:p>
        </w:tc>
        <w:tc>
          <w:tcPr>
            <w:tcW w:w="931" w:type="dxa"/>
            <w:vAlign w:val="center"/>
          </w:tcPr>
          <w:p w14:paraId="69C9F3CB" w14:textId="77777777" w:rsidR="00037A8B" w:rsidRPr="00792B36" w:rsidRDefault="00037A8B" w:rsidP="0096560E">
            <w:pPr>
              <w:jc w:val="center"/>
              <w:rPr>
                <w:sz w:val="24"/>
                <w:szCs w:val="24"/>
              </w:rPr>
            </w:pPr>
            <w:r w:rsidRPr="00792B36">
              <w:rPr>
                <w:sz w:val="24"/>
                <w:szCs w:val="24"/>
              </w:rPr>
              <w:t>127,569</w:t>
            </w:r>
          </w:p>
        </w:tc>
        <w:tc>
          <w:tcPr>
            <w:tcW w:w="1033" w:type="dxa"/>
            <w:vAlign w:val="center"/>
          </w:tcPr>
          <w:p w14:paraId="039A9A00" w14:textId="77777777" w:rsidR="00037A8B" w:rsidRPr="00792B36" w:rsidRDefault="00037A8B" w:rsidP="0096560E">
            <w:pPr>
              <w:jc w:val="center"/>
              <w:rPr>
                <w:sz w:val="24"/>
                <w:szCs w:val="24"/>
                <w:cs/>
              </w:rPr>
            </w:pPr>
            <w:r w:rsidRPr="00792B36">
              <w:rPr>
                <w:sz w:val="24"/>
                <w:szCs w:val="24"/>
                <w:cs/>
              </w:rPr>
              <w:t>30,134</w:t>
            </w:r>
          </w:p>
        </w:tc>
        <w:tc>
          <w:tcPr>
            <w:tcW w:w="854" w:type="dxa"/>
          </w:tcPr>
          <w:p w14:paraId="5D12B103" w14:textId="77777777" w:rsidR="00037A8B" w:rsidRPr="00792B36" w:rsidRDefault="00037A8B" w:rsidP="0096560E">
            <w:pPr>
              <w:jc w:val="center"/>
              <w:rPr>
                <w:sz w:val="24"/>
                <w:szCs w:val="24"/>
                <w:cs/>
              </w:rPr>
            </w:pPr>
            <w:r w:rsidRPr="00792B36">
              <w:rPr>
                <w:sz w:val="24"/>
                <w:szCs w:val="24"/>
              </w:rPr>
              <w:t>23.62</w:t>
            </w:r>
          </w:p>
        </w:tc>
      </w:tr>
      <w:tr w:rsidR="00037A8B" w:rsidRPr="00792B36" w14:paraId="69B9AD2A" w14:textId="77777777" w:rsidTr="0096560E">
        <w:trPr>
          <w:trHeight w:val="283"/>
        </w:trPr>
        <w:tc>
          <w:tcPr>
            <w:tcW w:w="668" w:type="dxa"/>
            <w:tcBorders>
              <w:bottom w:val="single" w:sz="4" w:space="0" w:color="auto"/>
            </w:tcBorders>
            <w:vAlign w:val="center"/>
          </w:tcPr>
          <w:p w14:paraId="5C053ED3" w14:textId="77777777" w:rsidR="00037A8B" w:rsidRPr="00792B36" w:rsidRDefault="00037A8B" w:rsidP="0096560E">
            <w:pPr>
              <w:jc w:val="center"/>
              <w:rPr>
                <w:sz w:val="24"/>
                <w:szCs w:val="24"/>
              </w:rPr>
            </w:pPr>
            <w:r w:rsidRPr="00792B36">
              <w:rPr>
                <w:sz w:val="24"/>
                <w:szCs w:val="24"/>
              </w:rPr>
              <w:t>2024</w:t>
            </w:r>
          </w:p>
        </w:tc>
        <w:tc>
          <w:tcPr>
            <w:tcW w:w="1206" w:type="dxa"/>
            <w:tcBorders>
              <w:bottom w:val="single" w:sz="4" w:space="0" w:color="auto"/>
            </w:tcBorders>
            <w:vAlign w:val="center"/>
          </w:tcPr>
          <w:p w14:paraId="50480635" w14:textId="77777777" w:rsidR="00037A8B" w:rsidRPr="00792B36" w:rsidRDefault="00037A8B" w:rsidP="0096560E">
            <w:pPr>
              <w:jc w:val="center"/>
              <w:rPr>
                <w:sz w:val="24"/>
                <w:szCs w:val="24"/>
              </w:rPr>
            </w:pPr>
            <w:r w:rsidRPr="00792B36">
              <w:rPr>
                <w:sz w:val="24"/>
                <w:szCs w:val="24"/>
              </w:rPr>
              <w:t>24,905,641</w:t>
            </w:r>
          </w:p>
        </w:tc>
        <w:tc>
          <w:tcPr>
            <w:tcW w:w="1206" w:type="dxa"/>
            <w:tcBorders>
              <w:bottom w:val="single" w:sz="4" w:space="0" w:color="auto"/>
            </w:tcBorders>
            <w:vAlign w:val="center"/>
          </w:tcPr>
          <w:p w14:paraId="76230C1F" w14:textId="77777777" w:rsidR="00037A8B" w:rsidRPr="00792B36" w:rsidRDefault="00037A8B" w:rsidP="0096560E">
            <w:pPr>
              <w:jc w:val="center"/>
              <w:rPr>
                <w:sz w:val="24"/>
                <w:szCs w:val="24"/>
              </w:rPr>
            </w:pPr>
            <w:r w:rsidRPr="00792B36">
              <w:rPr>
                <w:sz w:val="24"/>
                <w:szCs w:val="24"/>
              </w:rPr>
              <w:t>16,057,399</w:t>
            </w:r>
          </w:p>
        </w:tc>
        <w:tc>
          <w:tcPr>
            <w:tcW w:w="828" w:type="dxa"/>
            <w:tcBorders>
              <w:bottom w:val="single" w:sz="4" w:space="0" w:color="auto"/>
            </w:tcBorders>
          </w:tcPr>
          <w:p w14:paraId="3994FE8B" w14:textId="77777777" w:rsidR="00037A8B" w:rsidRPr="00792B36" w:rsidRDefault="00037A8B" w:rsidP="0096560E">
            <w:pPr>
              <w:jc w:val="center"/>
              <w:rPr>
                <w:sz w:val="24"/>
                <w:szCs w:val="24"/>
              </w:rPr>
            </w:pPr>
            <w:r w:rsidRPr="00792B36">
              <w:rPr>
                <w:sz w:val="24"/>
                <w:szCs w:val="24"/>
              </w:rPr>
              <w:t>64.47</w:t>
            </w:r>
          </w:p>
        </w:tc>
        <w:tc>
          <w:tcPr>
            <w:tcW w:w="963" w:type="dxa"/>
            <w:tcBorders>
              <w:bottom w:val="single" w:sz="4" w:space="0" w:color="auto"/>
            </w:tcBorders>
            <w:vAlign w:val="center"/>
          </w:tcPr>
          <w:p w14:paraId="23F5E8F3" w14:textId="77777777" w:rsidR="00037A8B" w:rsidRPr="00792B36" w:rsidRDefault="00037A8B" w:rsidP="0096560E">
            <w:pPr>
              <w:jc w:val="center"/>
              <w:rPr>
                <w:sz w:val="24"/>
                <w:szCs w:val="24"/>
              </w:rPr>
            </w:pPr>
            <w:r w:rsidRPr="00792B36">
              <w:rPr>
                <w:sz w:val="24"/>
                <w:szCs w:val="24"/>
              </w:rPr>
              <w:t>180,849</w:t>
            </w:r>
          </w:p>
        </w:tc>
        <w:tc>
          <w:tcPr>
            <w:tcW w:w="1011" w:type="dxa"/>
            <w:tcBorders>
              <w:bottom w:val="single" w:sz="4" w:space="0" w:color="auto"/>
            </w:tcBorders>
            <w:vAlign w:val="center"/>
          </w:tcPr>
          <w:p w14:paraId="2BF66C93" w14:textId="77777777" w:rsidR="00037A8B" w:rsidRPr="00792B36" w:rsidRDefault="00037A8B" w:rsidP="0096560E">
            <w:pPr>
              <w:jc w:val="center"/>
              <w:rPr>
                <w:sz w:val="24"/>
                <w:szCs w:val="24"/>
              </w:rPr>
            </w:pPr>
            <w:r w:rsidRPr="00792B36">
              <w:rPr>
                <w:sz w:val="24"/>
                <w:szCs w:val="24"/>
              </w:rPr>
              <w:t>124,535</w:t>
            </w:r>
          </w:p>
        </w:tc>
        <w:tc>
          <w:tcPr>
            <w:tcW w:w="828" w:type="dxa"/>
            <w:tcBorders>
              <w:bottom w:val="single" w:sz="4" w:space="0" w:color="auto"/>
            </w:tcBorders>
          </w:tcPr>
          <w:p w14:paraId="27B00305" w14:textId="77777777" w:rsidR="00037A8B" w:rsidRPr="00792B36" w:rsidRDefault="00037A8B" w:rsidP="0096560E">
            <w:pPr>
              <w:jc w:val="center"/>
              <w:rPr>
                <w:sz w:val="24"/>
                <w:szCs w:val="24"/>
              </w:rPr>
            </w:pPr>
            <w:r w:rsidRPr="00792B36">
              <w:rPr>
                <w:sz w:val="24"/>
                <w:szCs w:val="24"/>
              </w:rPr>
              <w:t>68.86</w:t>
            </w:r>
          </w:p>
        </w:tc>
        <w:tc>
          <w:tcPr>
            <w:tcW w:w="931" w:type="dxa"/>
            <w:tcBorders>
              <w:bottom w:val="single" w:sz="4" w:space="0" w:color="auto"/>
            </w:tcBorders>
            <w:vAlign w:val="center"/>
          </w:tcPr>
          <w:p w14:paraId="26709276" w14:textId="77777777" w:rsidR="00037A8B" w:rsidRPr="00792B36" w:rsidRDefault="00037A8B" w:rsidP="0096560E">
            <w:pPr>
              <w:jc w:val="center"/>
              <w:rPr>
                <w:sz w:val="24"/>
                <w:szCs w:val="24"/>
              </w:rPr>
            </w:pPr>
            <w:r w:rsidRPr="00792B36">
              <w:rPr>
                <w:sz w:val="24"/>
                <w:szCs w:val="24"/>
              </w:rPr>
              <w:t>127,917</w:t>
            </w:r>
          </w:p>
        </w:tc>
        <w:tc>
          <w:tcPr>
            <w:tcW w:w="1033" w:type="dxa"/>
            <w:tcBorders>
              <w:bottom w:val="single" w:sz="4" w:space="0" w:color="auto"/>
            </w:tcBorders>
            <w:vAlign w:val="center"/>
          </w:tcPr>
          <w:p w14:paraId="47AF82D2" w14:textId="77777777" w:rsidR="00037A8B" w:rsidRPr="00792B36" w:rsidRDefault="00037A8B" w:rsidP="0096560E">
            <w:pPr>
              <w:jc w:val="center"/>
              <w:rPr>
                <w:sz w:val="24"/>
                <w:szCs w:val="24"/>
              </w:rPr>
            </w:pPr>
            <w:r w:rsidRPr="00792B36">
              <w:rPr>
                <w:sz w:val="24"/>
                <w:szCs w:val="24"/>
              </w:rPr>
              <w:t>28,857</w:t>
            </w:r>
          </w:p>
        </w:tc>
        <w:tc>
          <w:tcPr>
            <w:tcW w:w="854" w:type="dxa"/>
            <w:tcBorders>
              <w:bottom w:val="single" w:sz="4" w:space="0" w:color="auto"/>
            </w:tcBorders>
          </w:tcPr>
          <w:p w14:paraId="333A96D8" w14:textId="77777777" w:rsidR="00037A8B" w:rsidRPr="00792B36" w:rsidRDefault="00037A8B" w:rsidP="0096560E">
            <w:pPr>
              <w:jc w:val="center"/>
              <w:rPr>
                <w:sz w:val="24"/>
                <w:szCs w:val="24"/>
              </w:rPr>
            </w:pPr>
            <w:r w:rsidRPr="00792B36">
              <w:rPr>
                <w:sz w:val="24"/>
                <w:szCs w:val="24"/>
              </w:rPr>
              <w:t>22.56</w:t>
            </w:r>
          </w:p>
        </w:tc>
      </w:tr>
    </w:tbl>
    <w:p w14:paraId="13351627" w14:textId="77777777" w:rsidR="00037A8B" w:rsidRPr="00792B36" w:rsidRDefault="00037A8B" w:rsidP="00037A8B">
      <w:pPr>
        <w:jc w:val="thaiDistribute"/>
        <w:rPr>
          <w:b/>
          <w:bCs/>
          <w:sz w:val="24"/>
          <w:szCs w:val="24"/>
        </w:rPr>
      </w:pPr>
    </w:p>
    <w:p w14:paraId="769F8D3D" w14:textId="570B90AB" w:rsidR="00037A8B" w:rsidRPr="00792B36" w:rsidRDefault="00037A8B" w:rsidP="00037A8B">
      <w:pPr>
        <w:ind w:firstLine="720"/>
        <w:rPr>
          <w:b/>
          <w:bCs/>
          <w:sz w:val="24"/>
          <w:szCs w:val="24"/>
        </w:rPr>
      </w:pPr>
      <w:r w:rsidRPr="00792B36">
        <w:rPr>
          <w:b/>
          <w:bCs/>
          <w:sz w:val="24"/>
          <w:szCs w:val="24"/>
        </w:rPr>
        <w:t>5.</w:t>
      </w:r>
      <w:r w:rsidR="008C2A6B" w:rsidRPr="00792B36">
        <w:rPr>
          <w:b/>
          <w:bCs/>
          <w:sz w:val="24"/>
          <w:szCs w:val="24"/>
        </w:rPr>
        <w:t>4.</w:t>
      </w:r>
      <w:r w:rsidRPr="00792B36">
        <w:rPr>
          <w:b/>
          <w:bCs/>
          <w:sz w:val="24"/>
          <w:szCs w:val="24"/>
        </w:rPr>
        <w:t>3 Stock biomass</w:t>
      </w:r>
    </w:p>
    <w:p w14:paraId="61FA4A67" w14:textId="77777777" w:rsidR="00037A8B" w:rsidRPr="00792B36" w:rsidRDefault="00037A8B" w:rsidP="00037A8B">
      <w:pPr>
        <w:rPr>
          <w:b/>
          <w:bCs/>
          <w:sz w:val="24"/>
          <w:szCs w:val="24"/>
        </w:rPr>
      </w:pPr>
    </w:p>
    <w:p w14:paraId="5A054B2D" w14:textId="77777777" w:rsidR="00037A8B" w:rsidRPr="00792B36" w:rsidRDefault="00037A8B" w:rsidP="00037A8B">
      <w:pPr>
        <w:jc w:val="thaiDistribute"/>
        <w:rPr>
          <w:sz w:val="24"/>
          <w:szCs w:val="24"/>
        </w:rPr>
      </w:pPr>
      <w:r w:rsidRPr="00792B36">
        <w:rPr>
          <w:sz w:val="24"/>
          <w:szCs w:val="24"/>
        </w:rPr>
        <w:tab/>
        <w:t xml:space="preserve">As fisheries resources in Thai waters are divided into three species groups - demersal species, pelagic fish, and anchovy - biomass was calculated for each group using JABBA (Just Another Bayesian Biomass Assessment) (Winker </w:t>
      </w:r>
      <w:r w:rsidRPr="00792B36">
        <w:rPr>
          <w:i/>
          <w:iCs/>
          <w:sz w:val="24"/>
          <w:szCs w:val="24"/>
        </w:rPr>
        <w:t>et al.</w:t>
      </w:r>
      <w:r w:rsidRPr="00792B36">
        <w:rPr>
          <w:sz w:val="24"/>
          <w:szCs w:val="24"/>
        </w:rPr>
        <w:t xml:space="preserve">, 2018). The input data includes time-series catch and catch per unit effort. The model also requires several parameters, namely, K (carrying capacity), r (intrinsic rate of population </w:t>
      </w:r>
      <w:r w:rsidRPr="00792B36">
        <w:rPr>
          <w:sz w:val="24"/>
          <w:szCs w:val="24"/>
        </w:rPr>
        <w:lastRenderedPageBreak/>
        <w:t xml:space="preserve">increase), and B (initial biomass). </w:t>
      </w:r>
    </w:p>
    <w:p w14:paraId="1821DD8F" w14:textId="77777777" w:rsidR="00037A8B" w:rsidRPr="00792B36" w:rsidRDefault="00037A8B" w:rsidP="00037A8B">
      <w:pPr>
        <w:jc w:val="thaiDistribute"/>
        <w:rPr>
          <w:sz w:val="24"/>
          <w:szCs w:val="24"/>
        </w:rPr>
      </w:pPr>
      <w:r w:rsidRPr="00792B36">
        <w:rPr>
          <w:sz w:val="24"/>
          <w:szCs w:val="24"/>
        </w:rPr>
        <w:tab/>
        <w:t>The assessment results from JABBA present two dimensions of fisheries resource status –biomass (B) and fishing mortality (F). The biomass of all species groups in the Gulf of Thailand in 2023 was higher than the biomass that can produce the Maximum Sustainable Yield (B</w:t>
      </w:r>
      <w:r w:rsidRPr="00792B36">
        <w:rPr>
          <w:sz w:val="24"/>
          <w:szCs w:val="24"/>
          <w:vertAlign w:val="subscript"/>
        </w:rPr>
        <w:t>MSY</w:t>
      </w:r>
      <w:r w:rsidRPr="00792B36">
        <w:rPr>
          <w:sz w:val="24"/>
          <w:szCs w:val="24"/>
        </w:rPr>
        <w:t>). The B/B</w:t>
      </w:r>
      <w:r w:rsidRPr="00792B36">
        <w:rPr>
          <w:sz w:val="24"/>
          <w:szCs w:val="24"/>
          <w:vertAlign w:val="subscript"/>
        </w:rPr>
        <w:t>MSY</w:t>
      </w:r>
      <w:r w:rsidRPr="00792B36">
        <w:rPr>
          <w:sz w:val="24"/>
          <w:szCs w:val="24"/>
        </w:rPr>
        <w:t xml:space="preserve"> of demersal species, pelagic fish, and anchovy was 1.007, 1.294, and 2.191, respectively (Table 4 and Figure 3).</w:t>
      </w:r>
      <w:r w:rsidRPr="00792B36">
        <w:rPr>
          <w:sz w:val="24"/>
          <w:szCs w:val="24"/>
          <w:cs/>
        </w:rPr>
        <w:t xml:space="preserve"> </w:t>
      </w:r>
      <w:r w:rsidRPr="00792B36">
        <w:rPr>
          <w:sz w:val="24"/>
          <w:szCs w:val="24"/>
        </w:rPr>
        <w:t>The biomass assessment results indicated a recovery of fisheries resources in the Gulf of Thailand. In</w:t>
      </w:r>
      <w:r w:rsidRPr="00792B36">
        <w:rPr>
          <w:sz w:val="24"/>
          <w:szCs w:val="24"/>
          <w:cs/>
        </w:rPr>
        <w:t xml:space="preserve"> </w:t>
      </w:r>
      <w:r w:rsidRPr="00792B36">
        <w:rPr>
          <w:sz w:val="24"/>
          <w:szCs w:val="24"/>
        </w:rPr>
        <w:t>2023, fisheries resources across all species groups were abundant and exceeded the level required to achieve MSY. However, demersal species have a low natural recovery rate and may take longer to recover than other groups. In addition, fishing mortality of all groups in 2023 was well below the fishing mortality that can produce MSY (F</w:t>
      </w:r>
      <w:r w:rsidRPr="00792B36">
        <w:rPr>
          <w:sz w:val="24"/>
          <w:szCs w:val="24"/>
          <w:vertAlign w:val="subscript"/>
        </w:rPr>
        <w:t>MSY</w:t>
      </w:r>
      <w:r w:rsidRPr="00792B36">
        <w:rPr>
          <w:sz w:val="24"/>
          <w:szCs w:val="24"/>
        </w:rPr>
        <w:t>), particularly anchovy group which the F/F</w:t>
      </w:r>
      <w:r w:rsidRPr="00792B36">
        <w:rPr>
          <w:sz w:val="24"/>
          <w:szCs w:val="24"/>
          <w:vertAlign w:val="subscript"/>
        </w:rPr>
        <w:t>MSY</w:t>
      </w:r>
      <w:r w:rsidRPr="00792B36">
        <w:rPr>
          <w:sz w:val="24"/>
          <w:szCs w:val="24"/>
        </w:rPr>
        <w:t xml:space="preserve"> was about 0.2 indicating that fishing effort can be increased (Figure 3).  </w:t>
      </w:r>
    </w:p>
    <w:p w14:paraId="663D731D" w14:textId="77777777" w:rsidR="00037A8B" w:rsidRPr="00792B36" w:rsidRDefault="00037A8B" w:rsidP="00037A8B">
      <w:pPr>
        <w:ind w:firstLine="720"/>
        <w:jc w:val="thaiDistribute"/>
        <w:rPr>
          <w:sz w:val="24"/>
          <w:szCs w:val="24"/>
        </w:rPr>
      </w:pPr>
      <w:r w:rsidRPr="00792B36">
        <w:rPr>
          <w:sz w:val="24"/>
          <w:szCs w:val="24"/>
        </w:rPr>
        <w:t>In addition to the species group assessment, the DOF has also conducted single species assessments. In 2023, 17 economically important species were selected to represent species groups, including 12 demersal species, four pelagic species, and one anchovy species. A length-based model was used to estimate the biomass. The results showed that the biomass of 11 species in 2023 was higher than B</w:t>
      </w:r>
      <w:r w:rsidRPr="00792B36">
        <w:rPr>
          <w:sz w:val="24"/>
          <w:szCs w:val="24"/>
          <w:vertAlign w:val="subscript"/>
        </w:rPr>
        <w:t>MSY</w:t>
      </w:r>
      <w:r w:rsidRPr="00792B36">
        <w:rPr>
          <w:sz w:val="24"/>
          <w:szCs w:val="24"/>
        </w:rPr>
        <w:t>, one species was at B</w:t>
      </w:r>
      <w:r w:rsidRPr="00792B36">
        <w:rPr>
          <w:sz w:val="24"/>
          <w:szCs w:val="24"/>
          <w:vertAlign w:val="subscript"/>
        </w:rPr>
        <w:t>MSY</w:t>
      </w:r>
      <w:r w:rsidRPr="00792B36">
        <w:rPr>
          <w:sz w:val="24"/>
          <w:szCs w:val="24"/>
        </w:rPr>
        <w:t>, and five species were lower than B</w:t>
      </w:r>
      <w:r w:rsidRPr="00792B36">
        <w:rPr>
          <w:sz w:val="24"/>
          <w:szCs w:val="24"/>
          <w:vertAlign w:val="subscript"/>
        </w:rPr>
        <w:t>MSY</w:t>
      </w:r>
      <w:r w:rsidRPr="00792B36">
        <w:rPr>
          <w:sz w:val="24"/>
          <w:szCs w:val="24"/>
        </w:rPr>
        <w:t>. The latter group consisted of three species of demersal fauna and two species of pelagic fish (Appendix Table 7).</w:t>
      </w:r>
    </w:p>
    <w:p w14:paraId="5E761A44" w14:textId="77777777" w:rsidR="00037A8B" w:rsidRPr="00792B36" w:rsidRDefault="00037A8B" w:rsidP="00037A8B">
      <w:pPr>
        <w:jc w:val="thaiDistribute"/>
        <w:rPr>
          <w:sz w:val="24"/>
          <w:szCs w:val="24"/>
        </w:rPr>
      </w:pPr>
    </w:p>
    <w:p w14:paraId="73DA90C5" w14:textId="77777777" w:rsidR="00037A8B" w:rsidRPr="00792B36" w:rsidRDefault="00037A8B" w:rsidP="00037A8B">
      <w:pPr>
        <w:jc w:val="thaiDistribute"/>
        <w:rPr>
          <w:sz w:val="24"/>
          <w:szCs w:val="24"/>
        </w:rPr>
      </w:pPr>
      <w:r w:rsidRPr="00792B36">
        <w:rPr>
          <w:b/>
          <w:bCs/>
          <w:sz w:val="24"/>
          <w:szCs w:val="24"/>
        </w:rPr>
        <w:t>Table 4</w:t>
      </w:r>
      <w:r w:rsidRPr="00792B36">
        <w:rPr>
          <w:sz w:val="24"/>
          <w:szCs w:val="24"/>
        </w:rPr>
        <w:t xml:space="preserve"> Biomass assessment of three species groups in the Gulf of Thailand in 2023</w:t>
      </w:r>
    </w:p>
    <w:p w14:paraId="22F0CF41" w14:textId="77777777" w:rsidR="00037A8B" w:rsidRPr="00792B36" w:rsidRDefault="00037A8B" w:rsidP="00037A8B">
      <w:pPr>
        <w:jc w:val="thaiDistribute"/>
        <w:rPr>
          <w:sz w:val="24"/>
          <w:szCs w:val="24"/>
        </w:rPr>
      </w:pPr>
    </w:p>
    <w:tbl>
      <w:tblPr>
        <w:tblStyle w:val="TableGrid"/>
        <w:tblW w:w="7933" w:type="dxa"/>
        <w:jc w:val="center"/>
        <w:tblLook w:val="04A0" w:firstRow="1" w:lastRow="0" w:firstColumn="1" w:lastColumn="0" w:noHBand="0" w:noVBand="1"/>
      </w:tblPr>
      <w:tblGrid>
        <w:gridCol w:w="2122"/>
        <w:gridCol w:w="1984"/>
        <w:gridCol w:w="2126"/>
        <w:gridCol w:w="1701"/>
      </w:tblGrid>
      <w:tr w:rsidR="00037A8B" w:rsidRPr="00792B36" w14:paraId="689CF4CE" w14:textId="77777777" w:rsidTr="0096560E">
        <w:trPr>
          <w:trHeight w:val="283"/>
          <w:jc w:val="center"/>
        </w:trPr>
        <w:tc>
          <w:tcPr>
            <w:tcW w:w="2122" w:type="dxa"/>
          </w:tcPr>
          <w:p w14:paraId="0B4BA37E" w14:textId="77777777" w:rsidR="00037A8B" w:rsidRPr="00792B36" w:rsidRDefault="00037A8B" w:rsidP="0096560E">
            <w:pPr>
              <w:jc w:val="center"/>
              <w:rPr>
                <w:b/>
                <w:bCs/>
                <w:sz w:val="24"/>
                <w:szCs w:val="24"/>
              </w:rPr>
            </w:pPr>
            <w:r w:rsidRPr="00792B36">
              <w:rPr>
                <w:rFonts w:eastAsia="Calibri"/>
                <w:b/>
                <w:bCs/>
                <w:kern w:val="24"/>
                <w:sz w:val="24"/>
                <w:szCs w:val="24"/>
              </w:rPr>
              <w:t>Species group</w:t>
            </w:r>
          </w:p>
        </w:tc>
        <w:tc>
          <w:tcPr>
            <w:tcW w:w="1984" w:type="dxa"/>
          </w:tcPr>
          <w:p w14:paraId="6FCBD90F" w14:textId="77777777" w:rsidR="00037A8B" w:rsidRPr="00792B36" w:rsidRDefault="00037A8B" w:rsidP="0096560E">
            <w:pPr>
              <w:jc w:val="center"/>
              <w:rPr>
                <w:b/>
                <w:bCs/>
                <w:sz w:val="24"/>
                <w:szCs w:val="24"/>
              </w:rPr>
            </w:pPr>
            <w:r w:rsidRPr="00792B36">
              <w:rPr>
                <w:b/>
                <w:bCs/>
                <w:sz w:val="24"/>
                <w:szCs w:val="24"/>
              </w:rPr>
              <w:t>Biomass in 2023 (tonne)</w:t>
            </w:r>
          </w:p>
        </w:tc>
        <w:tc>
          <w:tcPr>
            <w:tcW w:w="2126" w:type="dxa"/>
          </w:tcPr>
          <w:p w14:paraId="7A530ECE" w14:textId="77777777" w:rsidR="00037A8B" w:rsidRPr="00792B36" w:rsidRDefault="00037A8B" w:rsidP="0096560E">
            <w:pPr>
              <w:jc w:val="center"/>
              <w:rPr>
                <w:b/>
                <w:bCs/>
                <w:sz w:val="24"/>
                <w:szCs w:val="24"/>
              </w:rPr>
            </w:pPr>
            <w:r w:rsidRPr="00792B36">
              <w:rPr>
                <w:b/>
                <w:bCs/>
                <w:sz w:val="24"/>
                <w:szCs w:val="24"/>
              </w:rPr>
              <w:t>Biomass at MSY</w:t>
            </w:r>
          </w:p>
          <w:p w14:paraId="5F6BE680" w14:textId="77777777" w:rsidR="00037A8B" w:rsidRPr="00792B36" w:rsidRDefault="00037A8B" w:rsidP="0096560E">
            <w:pPr>
              <w:jc w:val="center"/>
              <w:rPr>
                <w:b/>
                <w:bCs/>
                <w:sz w:val="24"/>
                <w:szCs w:val="24"/>
              </w:rPr>
            </w:pPr>
            <w:r w:rsidRPr="00792B36">
              <w:rPr>
                <w:b/>
                <w:bCs/>
                <w:sz w:val="24"/>
                <w:szCs w:val="24"/>
              </w:rPr>
              <w:t>(tonne)</w:t>
            </w:r>
          </w:p>
        </w:tc>
        <w:tc>
          <w:tcPr>
            <w:tcW w:w="1701" w:type="dxa"/>
          </w:tcPr>
          <w:p w14:paraId="4976AB78" w14:textId="77777777" w:rsidR="00037A8B" w:rsidRPr="00792B36" w:rsidRDefault="00037A8B" w:rsidP="0096560E">
            <w:pPr>
              <w:jc w:val="center"/>
              <w:rPr>
                <w:b/>
                <w:bCs/>
                <w:sz w:val="24"/>
                <w:szCs w:val="24"/>
              </w:rPr>
            </w:pPr>
            <w:r w:rsidRPr="00792B36">
              <w:rPr>
                <w:b/>
                <w:bCs/>
                <w:sz w:val="24"/>
                <w:szCs w:val="24"/>
              </w:rPr>
              <w:t>B/B</w:t>
            </w:r>
            <w:r w:rsidRPr="00792B36">
              <w:rPr>
                <w:b/>
                <w:bCs/>
                <w:sz w:val="24"/>
                <w:szCs w:val="24"/>
                <w:vertAlign w:val="subscript"/>
              </w:rPr>
              <w:t>MSY</w:t>
            </w:r>
          </w:p>
        </w:tc>
      </w:tr>
      <w:tr w:rsidR="00037A8B" w:rsidRPr="00792B36" w14:paraId="369D124D" w14:textId="77777777" w:rsidTr="0096560E">
        <w:trPr>
          <w:trHeight w:val="283"/>
          <w:jc w:val="center"/>
        </w:trPr>
        <w:tc>
          <w:tcPr>
            <w:tcW w:w="2122" w:type="dxa"/>
            <w:vAlign w:val="center"/>
          </w:tcPr>
          <w:p w14:paraId="68687759" w14:textId="77777777" w:rsidR="00037A8B" w:rsidRPr="00792B36" w:rsidRDefault="00037A8B" w:rsidP="0096560E">
            <w:pPr>
              <w:rPr>
                <w:sz w:val="24"/>
                <w:szCs w:val="24"/>
              </w:rPr>
            </w:pPr>
            <w:r w:rsidRPr="00792B36">
              <w:rPr>
                <w:rFonts w:eastAsia="Calibri"/>
                <w:kern w:val="24"/>
                <w:sz w:val="24"/>
                <w:szCs w:val="24"/>
              </w:rPr>
              <w:t>Demersal species</w:t>
            </w:r>
          </w:p>
        </w:tc>
        <w:tc>
          <w:tcPr>
            <w:tcW w:w="1984" w:type="dxa"/>
            <w:vAlign w:val="center"/>
          </w:tcPr>
          <w:p w14:paraId="0AB77C7C" w14:textId="77777777" w:rsidR="00037A8B" w:rsidRPr="00792B36" w:rsidRDefault="00037A8B" w:rsidP="0096560E">
            <w:pPr>
              <w:jc w:val="center"/>
              <w:rPr>
                <w:sz w:val="24"/>
                <w:szCs w:val="24"/>
              </w:rPr>
            </w:pPr>
            <w:r w:rsidRPr="00792B36">
              <w:rPr>
                <w:sz w:val="24"/>
                <w:szCs w:val="24"/>
                <w:cs/>
              </w:rPr>
              <w:t>2,655,915</w:t>
            </w:r>
          </w:p>
        </w:tc>
        <w:tc>
          <w:tcPr>
            <w:tcW w:w="2126" w:type="dxa"/>
            <w:vAlign w:val="center"/>
          </w:tcPr>
          <w:p w14:paraId="3C2F4AC8" w14:textId="77777777" w:rsidR="00037A8B" w:rsidRPr="00792B36" w:rsidRDefault="00037A8B" w:rsidP="0096560E">
            <w:pPr>
              <w:jc w:val="center"/>
              <w:rPr>
                <w:sz w:val="24"/>
                <w:szCs w:val="24"/>
              </w:rPr>
            </w:pPr>
            <w:r w:rsidRPr="00792B36">
              <w:rPr>
                <w:sz w:val="24"/>
                <w:szCs w:val="24"/>
                <w:cs/>
              </w:rPr>
              <w:t>2,637,453</w:t>
            </w:r>
          </w:p>
        </w:tc>
        <w:tc>
          <w:tcPr>
            <w:tcW w:w="1701" w:type="dxa"/>
            <w:vAlign w:val="center"/>
          </w:tcPr>
          <w:p w14:paraId="7D54BB29" w14:textId="77777777" w:rsidR="00037A8B" w:rsidRPr="00792B36" w:rsidRDefault="00037A8B" w:rsidP="0096560E">
            <w:pPr>
              <w:jc w:val="center"/>
              <w:rPr>
                <w:sz w:val="24"/>
                <w:szCs w:val="24"/>
              </w:rPr>
            </w:pPr>
            <w:r w:rsidRPr="00792B36">
              <w:rPr>
                <w:sz w:val="24"/>
                <w:szCs w:val="24"/>
                <w:cs/>
              </w:rPr>
              <w:t>1.007</w:t>
            </w:r>
          </w:p>
        </w:tc>
      </w:tr>
      <w:tr w:rsidR="00037A8B" w:rsidRPr="00792B36" w14:paraId="06927DC4" w14:textId="77777777" w:rsidTr="0096560E">
        <w:trPr>
          <w:trHeight w:val="283"/>
          <w:jc w:val="center"/>
        </w:trPr>
        <w:tc>
          <w:tcPr>
            <w:tcW w:w="2122" w:type="dxa"/>
            <w:vAlign w:val="center"/>
          </w:tcPr>
          <w:p w14:paraId="42D3D7EF" w14:textId="77777777" w:rsidR="00037A8B" w:rsidRPr="00792B36" w:rsidRDefault="00037A8B" w:rsidP="0096560E">
            <w:pPr>
              <w:rPr>
                <w:sz w:val="24"/>
                <w:szCs w:val="24"/>
              </w:rPr>
            </w:pPr>
            <w:r w:rsidRPr="00792B36">
              <w:rPr>
                <w:rFonts w:eastAsia="Calibri"/>
                <w:kern w:val="24"/>
                <w:sz w:val="24"/>
                <w:szCs w:val="24"/>
              </w:rPr>
              <w:t>Pelagic fish</w:t>
            </w:r>
          </w:p>
        </w:tc>
        <w:tc>
          <w:tcPr>
            <w:tcW w:w="1984" w:type="dxa"/>
            <w:vAlign w:val="center"/>
          </w:tcPr>
          <w:p w14:paraId="540FBBFF" w14:textId="77777777" w:rsidR="00037A8B" w:rsidRPr="00792B36" w:rsidRDefault="00037A8B" w:rsidP="0096560E">
            <w:pPr>
              <w:jc w:val="center"/>
              <w:rPr>
                <w:sz w:val="24"/>
                <w:szCs w:val="24"/>
              </w:rPr>
            </w:pPr>
            <w:r w:rsidRPr="00792B36">
              <w:rPr>
                <w:sz w:val="24"/>
                <w:szCs w:val="24"/>
                <w:cs/>
              </w:rPr>
              <w:t>1,095,572</w:t>
            </w:r>
          </w:p>
        </w:tc>
        <w:tc>
          <w:tcPr>
            <w:tcW w:w="2126" w:type="dxa"/>
            <w:vAlign w:val="center"/>
          </w:tcPr>
          <w:p w14:paraId="7AAC0D1C" w14:textId="77777777" w:rsidR="00037A8B" w:rsidRPr="00792B36" w:rsidRDefault="00037A8B" w:rsidP="0096560E">
            <w:pPr>
              <w:jc w:val="center"/>
              <w:rPr>
                <w:sz w:val="24"/>
                <w:szCs w:val="24"/>
              </w:rPr>
            </w:pPr>
            <w:r w:rsidRPr="00792B36">
              <w:rPr>
                <w:sz w:val="24"/>
                <w:szCs w:val="24"/>
                <w:cs/>
              </w:rPr>
              <w:t>846,656</w:t>
            </w:r>
          </w:p>
        </w:tc>
        <w:tc>
          <w:tcPr>
            <w:tcW w:w="1701" w:type="dxa"/>
            <w:vAlign w:val="center"/>
          </w:tcPr>
          <w:p w14:paraId="357FE575" w14:textId="77777777" w:rsidR="00037A8B" w:rsidRPr="00792B36" w:rsidRDefault="00037A8B" w:rsidP="0096560E">
            <w:pPr>
              <w:jc w:val="center"/>
              <w:rPr>
                <w:sz w:val="24"/>
                <w:szCs w:val="24"/>
              </w:rPr>
            </w:pPr>
            <w:r w:rsidRPr="00792B36">
              <w:rPr>
                <w:sz w:val="24"/>
                <w:szCs w:val="24"/>
                <w:cs/>
              </w:rPr>
              <w:t>1.294</w:t>
            </w:r>
          </w:p>
        </w:tc>
      </w:tr>
      <w:tr w:rsidR="00037A8B" w:rsidRPr="00792B36" w14:paraId="2207B86C" w14:textId="77777777" w:rsidTr="0096560E">
        <w:trPr>
          <w:trHeight w:val="283"/>
          <w:jc w:val="center"/>
        </w:trPr>
        <w:tc>
          <w:tcPr>
            <w:tcW w:w="2122" w:type="dxa"/>
            <w:vAlign w:val="center"/>
          </w:tcPr>
          <w:p w14:paraId="3CEF8DE3" w14:textId="77777777" w:rsidR="00037A8B" w:rsidRPr="00792B36" w:rsidRDefault="00037A8B" w:rsidP="0096560E">
            <w:pPr>
              <w:rPr>
                <w:sz w:val="24"/>
                <w:szCs w:val="24"/>
              </w:rPr>
            </w:pPr>
            <w:r w:rsidRPr="00792B36">
              <w:rPr>
                <w:rFonts w:eastAsia="Calibri"/>
                <w:kern w:val="24"/>
                <w:sz w:val="24"/>
                <w:szCs w:val="24"/>
              </w:rPr>
              <w:t>Anchovy</w:t>
            </w:r>
          </w:p>
        </w:tc>
        <w:tc>
          <w:tcPr>
            <w:tcW w:w="1984" w:type="dxa"/>
            <w:vAlign w:val="center"/>
          </w:tcPr>
          <w:p w14:paraId="4D231475" w14:textId="77777777" w:rsidR="00037A8B" w:rsidRPr="00792B36" w:rsidRDefault="00037A8B" w:rsidP="0096560E">
            <w:pPr>
              <w:jc w:val="center"/>
              <w:rPr>
                <w:sz w:val="24"/>
                <w:szCs w:val="24"/>
              </w:rPr>
            </w:pPr>
            <w:r w:rsidRPr="00792B36">
              <w:rPr>
                <w:sz w:val="24"/>
                <w:szCs w:val="24"/>
                <w:cs/>
              </w:rPr>
              <w:t>1,308,942</w:t>
            </w:r>
          </w:p>
        </w:tc>
        <w:tc>
          <w:tcPr>
            <w:tcW w:w="2126" w:type="dxa"/>
            <w:vAlign w:val="center"/>
          </w:tcPr>
          <w:p w14:paraId="55D4A1EC" w14:textId="77777777" w:rsidR="00037A8B" w:rsidRPr="00792B36" w:rsidRDefault="00037A8B" w:rsidP="0096560E">
            <w:pPr>
              <w:jc w:val="center"/>
              <w:rPr>
                <w:sz w:val="24"/>
                <w:szCs w:val="24"/>
              </w:rPr>
            </w:pPr>
            <w:r w:rsidRPr="00792B36">
              <w:rPr>
                <w:sz w:val="24"/>
                <w:szCs w:val="24"/>
                <w:cs/>
              </w:rPr>
              <w:t>597,418</w:t>
            </w:r>
          </w:p>
        </w:tc>
        <w:tc>
          <w:tcPr>
            <w:tcW w:w="1701" w:type="dxa"/>
            <w:vAlign w:val="center"/>
          </w:tcPr>
          <w:p w14:paraId="5954B745" w14:textId="77777777" w:rsidR="00037A8B" w:rsidRPr="00792B36" w:rsidRDefault="00037A8B" w:rsidP="0096560E">
            <w:pPr>
              <w:jc w:val="center"/>
              <w:rPr>
                <w:sz w:val="24"/>
                <w:szCs w:val="24"/>
              </w:rPr>
            </w:pPr>
            <w:r w:rsidRPr="00792B36">
              <w:rPr>
                <w:sz w:val="24"/>
                <w:szCs w:val="24"/>
                <w:cs/>
              </w:rPr>
              <w:t>2.191</w:t>
            </w:r>
          </w:p>
        </w:tc>
      </w:tr>
    </w:tbl>
    <w:p w14:paraId="1D3ABF5C" w14:textId="77777777" w:rsidR="00037A8B" w:rsidRPr="00792B36" w:rsidRDefault="00037A8B" w:rsidP="00037A8B">
      <w:pPr>
        <w:jc w:val="thaiDistribute"/>
        <w:rPr>
          <w:b/>
          <w:bCs/>
          <w:sz w:val="24"/>
          <w:szCs w:val="24"/>
        </w:rPr>
      </w:pPr>
    </w:p>
    <w:p w14:paraId="71CBE1C5" w14:textId="77777777" w:rsidR="00037A8B" w:rsidRPr="00792B36" w:rsidRDefault="00037A8B" w:rsidP="00037A8B">
      <w:pPr>
        <w:jc w:val="thaiDistribute"/>
        <w:rPr>
          <w:sz w:val="24"/>
          <w:szCs w:val="24"/>
        </w:rPr>
      </w:pPr>
      <w:r w:rsidRPr="00792B36">
        <w:rPr>
          <w:b/>
          <w:bCs/>
          <w:sz w:val="24"/>
          <w:szCs w:val="24"/>
          <w:cs/>
        </w:rPr>
        <w:tab/>
      </w:r>
      <w:r w:rsidRPr="00792B36">
        <w:rPr>
          <w:sz w:val="24"/>
          <w:szCs w:val="24"/>
        </w:rPr>
        <w:t>The results of single species assessment were consistent with species group assessment, showing that biomass of most species was higher than B</w:t>
      </w:r>
      <w:r w:rsidRPr="00792B36">
        <w:rPr>
          <w:sz w:val="24"/>
          <w:szCs w:val="24"/>
          <w:vertAlign w:val="subscript"/>
        </w:rPr>
        <w:t>MSY</w:t>
      </w:r>
      <w:r w:rsidRPr="00792B36">
        <w:rPr>
          <w:sz w:val="24"/>
          <w:szCs w:val="24"/>
        </w:rPr>
        <w:t xml:space="preserve"> (Table 4 and Appendix Table 7). Eight of the twelve demersal species had biomass levels higher than B</w:t>
      </w:r>
      <w:r w:rsidRPr="00792B36">
        <w:rPr>
          <w:sz w:val="24"/>
          <w:szCs w:val="24"/>
          <w:vertAlign w:val="subscript"/>
        </w:rPr>
        <w:t>MSY</w:t>
      </w:r>
      <w:r w:rsidRPr="00792B36">
        <w:rPr>
          <w:sz w:val="24"/>
          <w:szCs w:val="24"/>
        </w:rPr>
        <w:t xml:space="preserve">. Shorthead anchovy, </w:t>
      </w:r>
      <w:r w:rsidRPr="00792B36">
        <w:rPr>
          <w:i/>
          <w:iCs/>
          <w:color w:val="000000"/>
          <w:sz w:val="24"/>
          <w:szCs w:val="24"/>
        </w:rPr>
        <w:t>Encrasicholina heteroloba</w:t>
      </w:r>
      <w:r w:rsidRPr="00792B36">
        <w:rPr>
          <w:color w:val="000000"/>
          <w:sz w:val="24"/>
          <w:szCs w:val="24"/>
        </w:rPr>
        <w:t xml:space="preserve">, which is the most dominant species in anchovy group, was selected for the biomass assessment. </w:t>
      </w:r>
      <w:r w:rsidRPr="00792B36">
        <w:rPr>
          <w:sz w:val="24"/>
          <w:szCs w:val="24"/>
        </w:rPr>
        <w:t>The biomass of the shorthead anchovy was the highest among the 17 selected species, reflecting the results of the species group assessment. However, the assessment of four pelagic fish species showed that the biomass of two species was lower than B</w:t>
      </w:r>
      <w:r w:rsidRPr="00792B36">
        <w:rPr>
          <w:sz w:val="24"/>
          <w:szCs w:val="24"/>
          <w:vertAlign w:val="subscript"/>
        </w:rPr>
        <w:t>MSY</w:t>
      </w:r>
      <w:r w:rsidRPr="00792B36">
        <w:rPr>
          <w:sz w:val="24"/>
          <w:szCs w:val="24"/>
        </w:rPr>
        <w:t>, while two species were higher than B</w:t>
      </w:r>
      <w:r w:rsidRPr="00792B36">
        <w:rPr>
          <w:sz w:val="24"/>
          <w:szCs w:val="24"/>
          <w:vertAlign w:val="subscript"/>
        </w:rPr>
        <w:t>MSY</w:t>
      </w:r>
      <w:r w:rsidRPr="00792B36">
        <w:rPr>
          <w:sz w:val="24"/>
          <w:szCs w:val="24"/>
        </w:rPr>
        <w:t xml:space="preserve">. Close monitoring of pelagic species is required, and additional pelagic species could be included in future assessments.     </w:t>
      </w:r>
    </w:p>
    <w:p w14:paraId="35A128FF" w14:textId="77777777" w:rsidR="00037A8B" w:rsidRPr="00792B36" w:rsidRDefault="00037A8B" w:rsidP="00037A8B">
      <w:pPr>
        <w:jc w:val="thaiDistribute"/>
        <w:rPr>
          <w:sz w:val="24"/>
          <w:szCs w:val="24"/>
        </w:rPr>
      </w:pPr>
    </w:p>
    <w:p w14:paraId="02AE7DCE" w14:textId="013AA063" w:rsidR="00037A8B" w:rsidRPr="00792B36" w:rsidRDefault="00037A8B" w:rsidP="00037A8B">
      <w:pPr>
        <w:ind w:firstLine="720"/>
        <w:rPr>
          <w:b/>
          <w:bCs/>
          <w:sz w:val="24"/>
          <w:szCs w:val="24"/>
        </w:rPr>
      </w:pPr>
      <w:r w:rsidRPr="00792B36">
        <w:rPr>
          <w:b/>
          <w:bCs/>
          <w:sz w:val="24"/>
          <w:szCs w:val="24"/>
        </w:rPr>
        <w:t>5.</w:t>
      </w:r>
      <w:r w:rsidR="008C2A6B" w:rsidRPr="00792B36">
        <w:rPr>
          <w:b/>
          <w:bCs/>
          <w:sz w:val="24"/>
          <w:szCs w:val="24"/>
        </w:rPr>
        <w:t>4.</w:t>
      </w:r>
      <w:r w:rsidRPr="00792B36">
        <w:rPr>
          <w:b/>
          <w:bCs/>
          <w:sz w:val="24"/>
          <w:szCs w:val="24"/>
        </w:rPr>
        <w:t>4 Catch from bottom-impacting gear types</w:t>
      </w:r>
    </w:p>
    <w:p w14:paraId="7B1D0007" w14:textId="77777777" w:rsidR="00037A8B" w:rsidRPr="00792B36" w:rsidRDefault="00037A8B" w:rsidP="00037A8B">
      <w:pPr>
        <w:rPr>
          <w:b/>
          <w:bCs/>
          <w:sz w:val="24"/>
          <w:szCs w:val="24"/>
        </w:rPr>
      </w:pPr>
    </w:p>
    <w:p w14:paraId="22971597" w14:textId="77777777" w:rsidR="00037A8B" w:rsidRPr="00792B36" w:rsidRDefault="00037A8B" w:rsidP="00037A8B">
      <w:pPr>
        <w:jc w:val="thaiDistribute"/>
        <w:rPr>
          <w:sz w:val="24"/>
          <w:szCs w:val="24"/>
        </w:rPr>
      </w:pPr>
      <w:r w:rsidRPr="00792B36">
        <w:rPr>
          <w:b/>
          <w:bCs/>
          <w:sz w:val="24"/>
          <w:szCs w:val="24"/>
        </w:rPr>
        <w:tab/>
      </w:r>
      <w:r w:rsidRPr="00792B36">
        <w:rPr>
          <w:sz w:val="24"/>
          <w:szCs w:val="24"/>
        </w:rPr>
        <w:t xml:space="preserve">Bottom-impacting fishing gear consists of pair trawl, otter board trawl, beam trawl, and clam dredges. The proportion of catch from the bottom-impacting fishing gears in the Gulf of Thailand between 2016 and 2021 ranged from 45.33% – 49.64% of the total catch. During 2022 – 2024, the catch from these gears showed a decreasing trend, accounting for 38.84% – 39.99% of the total catch. Pair trawl catch remained stable since 2016, while otter board trawl catch showed a decreasing trend </w:t>
      </w:r>
      <w:r w:rsidRPr="00792B36">
        <w:rPr>
          <w:sz w:val="24"/>
          <w:szCs w:val="24"/>
        </w:rPr>
        <w:lastRenderedPageBreak/>
        <w:t>from 162,728 tonnes in 2016 to 115,856 tonnes in 2024. Beam trawl and clam dredge catch contributed only few percentages of the total catch in the Gulf of Thailand and catch from both gears showed decreasing trends (Figure 4 and Appendix Table 8).</w:t>
      </w:r>
    </w:p>
    <w:p w14:paraId="192414CE" w14:textId="77777777" w:rsidR="00037A8B" w:rsidRPr="00792B36" w:rsidRDefault="00037A8B" w:rsidP="00037A8B">
      <w:pPr>
        <w:jc w:val="thaiDistribute"/>
        <w:rPr>
          <w:sz w:val="24"/>
          <w:szCs w:val="24"/>
        </w:rPr>
      </w:pPr>
    </w:p>
    <w:p w14:paraId="183ED93D" w14:textId="77777777" w:rsidR="00037A8B" w:rsidRPr="00792B36" w:rsidRDefault="00037A8B" w:rsidP="00037A8B">
      <w:pPr>
        <w:jc w:val="thaiDistribute"/>
        <w:rPr>
          <w:sz w:val="24"/>
          <w:szCs w:val="24"/>
        </w:rPr>
      </w:pPr>
    </w:p>
    <w:p w14:paraId="3E20A7B1" w14:textId="77777777" w:rsidR="00037A8B" w:rsidRPr="00792B36" w:rsidRDefault="00037A8B" w:rsidP="00037A8B">
      <w:pPr>
        <w:jc w:val="thaiDistribute"/>
        <w:rPr>
          <w:sz w:val="24"/>
          <w:szCs w:val="24"/>
        </w:rPr>
      </w:pPr>
    </w:p>
    <w:p w14:paraId="05CE036D" w14:textId="77777777" w:rsidR="00037A8B" w:rsidRPr="00792B36" w:rsidRDefault="00037A8B" w:rsidP="00037A8B">
      <w:pPr>
        <w:jc w:val="thaiDistribute"/>
        <w:rPr>
          <w:sz w:val="24"/>
          <w:szCs w:val="24"/>
        </w:rPr>
      </w:pPr>
    </w:p>
    <w:p w14:paraId="4B662312" w14:textId="77777777" w:rsidR="00037A8B" w:rsidRPr="00792B36" w:rsidRDefault="00037A8B" w:rsidP="00037A8B">
      <w:pPr>
        <w:tabs>
          <w:tab w:val="left" w:pos="1276"/>
        </w:tabs>
        <w:ind w:left="1134" w:hanging="1134"/>
        <w:jc w:val="thaiDistribute"/>
        <w:rPr>
          <w:b/>
          <w:bCs/>
          <w:spacing w:val="-4"/>
          <w:sz w:val="24"/>
          <w:szCs w:val="24"/>
        </w:rPr>
      </w:pPr>
    </w:p>
    <w:p w14:paraId="285C4567" w14:textId="77777777" w:rsidR="00037A8B" w:rsidRPr="00792B36" w:rsidRDefault="00037A8B" w:rsidP="00037A8B">
      <w:pPr>
        <w:tabs>
          <w:tab w:val="left" w:pos="1276"/>
        </w:tabs>
        <w:ind w:left="1134" w:hanging="1134"/>
        <w:jc w:val="thaiDistribute"/>
        <w:rPr>
          <w:b/>
          <w:bCs/>
          <w:spacing w:val="-4"/>
          <w:sz w:val="24"/>
          <w:szCs w:val="24"/>
        </w:rPr>
      </w:pPr>
    </w:p>
    <w:p w14:paraId="76DF4E6A" w14:textId="77777777" w:rsidR="00037A8B" w:rsidRPr="00792B36" w:rsidRDefault="00037A8B" w:rsidP="00037A8B">
      <w:pPr>
        <w:tabs>
          <w:tab w:val="left" w:pos="1276"/>
        </w:tabs>
        <w:jc w:val="center"/>
        <w:rPr>
          <w:b/>
          <w:bCs/>
          <w:spacing w:val="-4"/>
          <w:sz w:val="24"/>
          <w:szCs w:val="24"/>
        </w:rPr>
      </w:pPr>
      <w:r w:rsidRPr="00792B36">
        <w:rPr>
          <w:b/>
          <w:bCs/>
          <w:noProof/>
          <w:spacing w:val="-4"/>
          <w:sz w:val="24"/>
          <w:szCs w:val="24"/>
        </w:rPr>
        <mc:AlternateContent>
          <mc:Choice Requires="wps">
            <w:drawing>
              <wp:anchor distT="0" distB="0" distL="114300" distR="114300" simplePos="0" relativeHeight="251668480" behindDoc="0" locked="0" layoutInCell="1" allowOverlap="1" wp14:anchorId="4396DD21" wp14:editId="0DAE07A5">
                <wp:simplePos x="0" y="0"/>
                <wp:positionH relativeFrom="column">
                  <wp:posOffset>4907915</wp:posOffset>
                </wp:positionH>
                <wp:positionV relativeFrom="paragraph">
                  <wp:posOffset>1785620</wp:posOffset>
                </wp:positionV>
                <wp:extent cx="374650" cy="6007100"/>
                <wp:effectExtent l="0" t="0" r="6350" b="0"/>
                <wp:wrapNone/>
                <wp:docPr id="259756013" name="Text Box 4"/>
                <wp:cNvGraphicFramePr/>
                <a:graphic xmlns:a="http://schemas.openxmlformats.org/drawingml/2006/main">
                  <a:graphicData uri="http://schemas.microsoft.com/office/word/2010/wordprocessingShape">
                    <wps:wsp>
                      <wps:cNvSpPr txBox="1"/>
                      <wps:spPr>
                        <a:xfrm>
                          <a:off x="0" y="0"/>
                          <a:ext cx="374650" cy="6007100"/>
                        </a:xfrm>
                        <a:prstGeom prst="rect">
                          <a:avLst/>
                        </a:prstGeom>
                        <a:solidFill>
                          <a:schemeClr val="lt1"/>
                        </a:solidFill>
                        <a:ln w="6350">
                          <a:noFill/>
                        </a:ln>
                      </wps:spPr>
                      <wps:txbx>
                        <w:txbxContent>
                          <w:p w14:paraId="76ECCBF8" w14:textId="77777777" w:rsidR="00037A8B" w:rsidRPr="00120B09" w:rsidRDefault="00037A8B" w:rsidP="00037A8B">
                            <w:pPr>
                              <w:rPr>
                                <w:rFonts w:ascii="Times New Roman" w:hAnsi="Times New Roman" w:cs="Times New Roman"/>
                                <w:szCs w:val="24"/>
                              </w:rPr>
                            </w:pPr>
                            <w:r w:rsidRPr="00120B09">
                              <w:rPr>
                                <w:rFonts w:ascii="Times New Roman" w:hAnsi="Times New Roman" w:cs="Times New Roman"/>
                                <w:szCs w:val="24"/>
                              </w:rPr>
                              <w:t>A</w:t>
                            </w:r>
                            <w:r w:rsidRPr="00120B09">
                              <w:rPr>
                                <w:rFonts w:ascii="Times New Roman" w:hAnsi="Times New Roman" w:cs="Times New Roman"/>
                                <w:szCs w:val="24"/>
                                <w:cs/>
                              </w:rPr>
                              <w:t>)</w:t>
                            </w:r>
                          </w:p>
                          <w:p w14:paraId="7559D5F6" w14:textId="77777777" w:rsidR="00037A8B" w:rsidRPr="00120B09" w:rsidRDefault="00037A8B" w:rsidP="00037A8B">
                            <w:pPr>
                              <w:rPr>
                                <w:rFonts w:ascii="Times New Roman" w:hAnsi="Times New Roman" w:cs="Times New Roman"/>
                                <w:szCs w:val="24"/>
                              </w:rPr>
                            </w:pPr>
                          </w:p>
                          <w:p w14:paraId="12723BBA" w14:textId="77777777" w:rsidR="00037A8B" w:rsidRPr="00120B09" w:rsidRDefault="00037A8B" w:rsidP="00037A8B">
                            <w:pPr>
                              <w:rPr>
                                <w:rFonts w:ascii="Times New Roman" w:hAnsi="Times New Roman" w:cs="Times New Roman"/>
                                <w:szCs w:val="24"/>
                              </w:rPr>
                            </w:pPr>
                          </w:p>
                          <w:p w14:paraId="4369FDB3" w14:textId="77777777" w:rsidR="00037A8B" w:rsidRPr="00120B09" w:rsidRDefault="00037A8B" w:rsidP="00037A8B">
                            <w:pPr>
                              <w:rPr>
                                <w:rFonts w:ascii="Times New Roman" w:hAnsi="Times New Roman" w:cs="Times New Roman"/>
                                <w:szCs w:val="24"/>
                              </w:rPr>
                            </w:pPr>
                          </w:p>
                          <w:p w14:paraId="54369F88" w14:textId="77777777" w:rsidR="00037A8B" w:rsidRPr="00120B09" w:rsidRDefault="00037A8B" w:rsidP="00037A8B">
                            <w:pPr>
                              <w:rPr>
                                <w:rFonts w:ascii="Times New Roman" w:hAnsi="Times New Roman" w:cs="Times New Roman"/>
                                <w:szCs w:val="24"/>
                              </w:rPr>
                            </w:pPr>
                          </w:p>
                          <w:p w14:paraId="4E9306A3" w14:textId="77777777" w:rsidR="00037A8B" w:rsidRPr="00120B09" w:rsidRDefault="00037A8B" w:rsidP="00037A8B">
                            <w:pPr>
                              <w:rPr>
                                <w:rFonts w:ascii="Times New Roman" w:hAnsi="Times New Roman" w:cs="Times New Roman"/>
                                <w:szCs w:val="24"/>
                              </w:rPr>
                            </w:pPr>
                          </w:p>
                          <w:p w14:paraId="79727A12" w14:textId="77777777" w:rsidR="00037A8B" w:rsidRPr="00120B09" w:rsidRDefault="00037A8B" w:rsidP="00037A8B">
                            <w:pPr>
                              <w:rPr>
                                <w:rFonts w:ascii="Times New Roman" w:hAnsi="Times New Roman" w:cs="Times New Roman"/>
                                <w:szCs w:val="24"/>
                              </w:rPr>
                            </w:pPr>
                          </w:p>
                          <w:p w14:paraId="37C20318" w14:textId="77777777" w:rsidR="00037A8B" w:rsidRPr="00120B09" w:rsidRDefault="00037A8B" w:rsidP="00037A8B">
                            <w:pPr>
                              <w:rPr>
                                <w:rFonts w:ascii="Times New Roman" w:hAnsi="Times New Roman" w:cs="Times New Roman"/>
                                <w:szCs w:val="24"/>
                              </w:rPr>
                            </w:pPr>
                          </w:p>
                          <w:p w14:paraId="28FD819E" w14:textId="77777777" w:rsidR="00037A8B" w:rsidRPr="00120B09" w:rsidRDefault="00037A8B" w:rsidP="00037A8B">
                            <w:pPr>
                              <w:rPr>
                                <w:rFonts w:ascii="Times New Roman" w:hAnsi="Times New Roman" w:cs="Times New Roman"/>
                                <w:szCs w:val="24"/>
                              </w:rPr>
                            </w:pPr>
                            <w:r w:rsidRPr="00120B09">
                              <w:rPr>
                                <w:rFonts w:ascii="Times New Roman" w:hAnsi="Times New Roman" w:cs="Times New Roman"/>
                                <w:szCs w:val="24"/>
                              </w:rPr>
                              <w:t>B</w:t>
                            </w:r>
                            <w:r w:rsidRPr="00120B09">
                              <w:rPr>
                                <w:rFonts w:ascii="Times New Roman" w:hAnsi="Times New Roman" w:cs="Times New Roman"/>
                                <w:szCs w:val="24"/>
                                <w:cs/>
                              </w:rPr>
                              <w:t>)</w:t>
                            </w:r>
                          </w:p>
                          <w:p w14:paraId="20625255" w14:textId="77777777" w:rsidR="00037A8B" w:rsidRPr="00120B09" w:rsidRDefault="00037A8B" w:rsidP="00037A8B">
                            <w:pPr>
                              <w:rPr>
                                <w:rFonts w:ascii="Times New Roman" w:hAnsi="Times New Roman" w:cs="Times New Roman"/>
                                <w:szCs w:val="24"/>
                              </w:rPr>
                            </w:pPr>
                          </w:p>
                          <w:p w14:paraId="76FD48BD" w14:textId="77777777" w:rsidR="00037A8B" w:rsidRPr="00120B09" w:rsidRDefault="00037A8B" w:rsidP="00037A8B">
                            <w:pPr>
                              <w:rPr>
                                <w:rFonts w:ascii="Times New Roman" w:hAnsi="Times New Roman" w:cs="Times New Roman"/>
                                <w:szCs w:val="24"/>
                              </w:rPr>
                            </w:pPr>
                          </w:p>
                          <w:p w14:paraId="6DDC6DE6" w14:textId="77777777" w:rsidR="00037A8B" w:rsidRPr="00120B09" w:rsidRDefault="00037A8B" w:rsidP="00037A8B">
                            <w:pPr>
                              <w:rPr>
                                <w:rFonts w:ascii="Times New Roman" w:hAnsi="Times New Roman" w:cs="Times New Roman"/>
                                <w:szCs w:val="24"/>
                              </w:rPr>
                            </w:pPr>
                          </w:p>
                          <w:p w14:paraId="3C70F855" w14:textId="77777777" w:rsidR="00037A8B" w:rsidRPr="00120B09" w:rsidRDefault="00037A8B" w:rsidP="00037A8B">
                            <w:pPr>
                              <w:rPr>
                                <w:rFonts w:ascii="Times New Roman" w:hAnsi="Times New Roman" w:cs="Times New Roman"/>
                                <w:szCs w:val="24"/>
                              </w:rPr>
                            </w:pPr>
                          </w:p>
                          <w:p w14:paraId="54F39E62" w14:textId="77777777" w:rsidR="00037A8B" w:rsidRPr="00120B09" w:rsidRDefault="00037A8B" w:rsidP="00037A8B">
                            <w:pPr>
                              <w:rPr>
                                <w:rFonts w:ascii="Times New Roman" w:hAnsi="Times New Roman" w:cs="Times New Roman"/>
                                <w:szCs w:val="24"/>
                              </w:rPr>
                            </w:pPr>
                          </w:p>
                          <w:p w14:paraId="210FF6B6" w14:textId="77777777" w:rsidR="00037A8B" w:rsidRDefault="00037A8B" w:rsidP="00037A8B">
                            <w:pPr>
                              <w:rPr>
                                <w:rFonts w:ascii="Times New Roman" w:hAnsi="Times New Roman" w:cs="Times New Roman"/>
                                <w:szCs w:val="24"/>
                              </w:rPr>
                            </w:pPr>
                          </w:p>
                          <w:p w14:paraId="7C78672D" w14:textId="77777777" w:rsidR="00037A8B" w:rsidRPr="00120B09" w:rsidRDefault="00037A8B" w:rsidP="00037A8B">
                            <w:pPr>
                              <w:rPr>
                                <w:rFonts w:ascii="Times New Roman" w:hAnsi="Times New Roman" w:cs="Times New Roman"/>
                                <w:szCs w:val="24"/>
                              </w:rPr>
                            </w:pPr>
                          </w:p>
                          <w:p w14:paraId="321B18FE" w14:textId="77777777" w:rsidR="00037A8B" w:rsidRPr="00120B09" w:rsidRDefault="00037A8B" w:rsidP="00037A8B">
                            <w:pPr>
                              <w:rPr>
                                <w:rFonts w:ascii="Times New Roman" w:hAnsi="Times New Roman" w:cs="Times New Roman"/>
                                <w:szCs w:val="24"/>
                              </w:rPr>
                            </w:pPr>
                            <w:r w:rsidRPr="00120B09">
                              <w:rPr>
                                <w:rFonts w:ascii="Times New Roman" w:hAnsi="Times New Roman" w:cs="Times New Roman"/>
                                <w:szCs w:val="24"/>
                              </w:rPr>
                              <w:t>C</w:t>
                            </w:r>
                            <w:r w:rsidRPr="00120B09">
                              <w:rPr>
                                <w:rFonts w:ascii="Times New Roman" w:hAnsi="Times New Roman" w:cs="Times New Roman"/>
                                <w:szCs w:val="24"/>
                                <w:cs/>
                              </w:rPr>
                              <w:t>)</w:t>
                            </w:r>
                          </w:p>
                          <w:p w14:paraId="549A9479" w14:textId="77777777" w:rsidR="00037A8B" w:rsidRPr="00120B09" w:rsidRDefault="00037A8B" w:rsidP="00037A8B">
                            <w:pPr>
                              <w:rPr>
                                <w:rFonts w:ascii="Times New Roman" w:hAnsi="Times New Roman" w:cs="Times New Roman"/>
                                <w:szCs w:val="24"/>
                              </w:rPr>
                            </w:pPr>
                          </w:p>
                          <w:p w14:paraId="493EDBBE" w14:textId="77777777" w:rsidR="00037A8B" w:rsidRPr="00120B09" w:rsidRDefault="00037A8B" w:rsidP="00037A8B">
                            <w:pPr>
                              <w:rPr>
                                <w:rFonts w:ascii="Times New Roman" w:hAnsi="Times New Roman" w:cs="Times New Roman"/>
                                <w:szCs w:val="24"/>
                              </w:rPr>
                            </w:pPr>
                          </w:p>
                          <w:p w14:paraId="0B80F68C" w14:textId="77777777" w:rsidR="00037A8B" w:rsidRPr="00120B09" w:rsidRDefault="00037A8B" w:rsidP="00037A8B">
                            <w:pPr>
                              <w:rPr>
                                <w:rFonts w:ascii="Times New Roman" w:hAnsi="Times New Roman" w:cs="Times New Roman"/>
                                <w:szCs w:val="24"/>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type w14:anchorId="4396DD21" id="_x0000_t202" coordsize="21600,21600" o:spt="202" path="m,l,21600r21600,l21600,xe">
                <v:stroke joinstyle="miter"/>
                <v:path gradientshapeok="t" o:connecttype="rect"/>
              </v:shapetype>
              <v:shape id="Text Box 4" o:spid="_x0000_s1026" type="#_x0000_t202" style="position:absolute;left:0;text-align:left;margin-left:386.45pt;margin-top:140.6pt;width:29.5pt;height:473pt;z-index:25166848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" fillcolor="white [3201]" stroked="f" strokeweight=".5pt">
                <v:textbox>
                  <w:txbxContent>
                    <w:p w14:paraId="76ECCBF8" w14:textId="77777777" w:rsidR="00037A8B" w:rsidRPr="00120B09" w:rsidRDefault="00037A8B" w:rsidP="00037A8B">
                      <w:pPr>
                        <w:rPr>
                          <w:rFonts w:ascii="Times New Roman" w:hAnsi="Times New Roman" w:cs="Times New Roman"/>
                          <w:szCs w:val="24"/>
                        </w:rPr>
                      </w:pPr>
                      <w:r w:rsidRPr="00120B09">
                        <w:rPr>
                          <w:rFonts w:ascii="Times New Roman" w:hAnsi="Times New Roman" w:cs="Times New Roman"/>
                          <w:szCs w:val="24"/>
                        </w:rPr>
                        <w:t>A</w:t>
                      </w:r>
                      <w:r w:rsidRPr="00120B09">
                        <w:rPr>
                          <w:rFonts w:ascii="Times New Roman" w:hAnsi="Times New Roman" w:cs="Times New Roman"/>
                          <w:szCs w:val="24"/>
                          <w:cs/>
                        </w:rPr>
                        <w:t>)</w:t>
                      </w:r>
                    </w:p>
                    <w:p w14:paraId="7559D5F6" w14:textId="77777777" w:rsidR="00037A8B" w:rsidRPr="00120B09" w:rsidRDefault="00037A8B" w:rsidP="00037A8B">
                      <w:pPr>
                        <w:rPr>
                          <w:rFonts w:ascii="Times New Roman" w:hAnsi="Times New Roman" w:cs="Times New Roman"/>
                          <w:szCs w:val="24"/>
                        </w:rPr>
                      </w:pPr>
                    </w:p>
                    <w:p w14:paraId="12723BBA" w14:textId="77777777" w:rsidR="00037A8B" w:rsidRPr="00120B09" w:rsidRDefault="00037A8B" w:rsidP="00037A8B">
                      <w:pPr>
                        <w:rPr>
                          <w:rFonts w:ascii="Times New Roman" w:hAnsi="Times New Roman" w:cs="Times New Roman"/>
                          <w:szCs w:val="24"/>
                        </w:rPr>
                      </w:pPr>
                    </w:p>
                    <w:p w14:paraId="4369FDB3" w14:textId="77777777" w:rsidR="00037A8B" w:rsidRPr="00120B09" w:rsidRDefault="00037A8B" w:rsidP="00037A8B">
                      <w:pPr>
                        <w:rPr>
                          <w:rFonts w:ascii="Times New Roman" w:hAnsi="Times New Roman" w:cs="Times New Roman"/>
                          <w:szCs w:val="24"/>
                        </w:rPr>
                      </w:pPr>
                    </w:p>
                    <w:p w14:paraId="54369F88" w14:textId="77777777" w:rsidR="00037A8B" w:rsidRPr="00120B09" w:rsidRDefault="00037A8B" w:rsidP="00037A8B">
                      <w:pPr>
                        <w:rPr>
                          <w:rFonts w:ascii="Times New Roman" w:hAnsi="Times New Roman" w:cs="Times New Roman"/>
                          <w:szCs w:val="24"/>
                        </w:rPr>
                      </w:pPr>
                    </w:p>
                    <w:p w14:paraId="4E9306A3" w14:textId="77777777" w:rsidR="00037A8B" w:rsidRPr="00120B09" w:rsidRDefault="00037A8B" w:rsidP="00037A8B">
                      <w:pPr>
                        <w:rPr>
                          <w:rFonts w:ascii="Times New Roman" w:hAnsi="Times New Roman" w:cs="Times New Roman"/>
                          <w:szCs w:val="24"/>
                        </w:rPr>
                      </w:pPr>
                    </w:p>
                    <w:p w14:paraId="79727A12" w14:textId="77777777" w:rsidR="00037A8B" w:rsidRPr="00120B09" w:rsidRDefault="00037A8B" w:rsidP="00037A8B">
                      <w:pPr>
                        <w:rPr>
                          <w:rFonts w:ascii="Times New Roman" w:hAnsi="Times New Roman" w:cs="Times New Roman"/>
                          <w:szCs w:val="24"/>
                        </w:rPr>
                      </w:pPr>
                    </w:p>
                    <w:p w14:paraId="37C20318" w14:textId="77777777" w:rsidR="00037A8B" w:rsidRPr="00120B09" w:rsidRDefault="00037A8B" w:rsidP="00037A8B">
                      <w:pPr>
                        <w:rPr>
                          <w:rFonts w:ascii="Times New Roman" w:hAnsi="Times New Roman" w:cs="Times New Roman"/>
                          <w:szCs w:val="24"/>
                        </w:rPr>
                      </w:pPr>
                    </w:p>
                    <w:p w14:paraId="28FD819E" w14:textId="77777777" w:rsidR="00037A8B" w:rsidRPr="00120B09" w:rsidRDefault="00037A8B" w:rsidP="00037A8B">
                      <w:pPr>
                        <w:rPr>
                          <w:rFonts w:ascii="Times New Roman" w:hAnsi="Times New Roman" w:cs="Times New Roman"/>
                          <w:szCs w:val="24"/>
                        </w:rPr>
                      </w:pPr>
                      <w:r w:rsidRPr="00120B09">
                        <w:rPr>
                          <w:rFonts w:ascii="Times New Roman" w:hAnsi="Times New Roman" w:cs="Times New Roman"/>
                          <w:szCs w:val="24"/>
                        </w:rPr>
                        <w:t>B</w:t>
                      </w:r>
                      <w:r w:rsidRPr="00120B09">
                        <w:rPr>
                          <w:rFonts w:ascii="Times New Roman" w:hAnsi="Times New Roman" w:cs="Times New Roman"/>
                          <w:szCs w:val="24"/>
                          <w:cs/>
                        </w:rPr>
                        <w:t>)</w:t>
                      </w:r>
                    </w:p>
                    <w:p w14:paraId="20625255" w14:textId="77777777" w:rsidR="00037A8B" w:rsidRPr="00120B09" w:rsidRDefault="00037A8B" w:rsidP="00037A8B">
                      <w:pPr>
                        <w:rPr>
                          <w:rFonts w:ascii="Times New Roman" w:hAnsi="Times New Roman" w:cs="Times New Roman"/>
                          <w:szCs w:val="24"/>
                        </w:rPr>
                      </w:pPr>
                    </w:p>
                    <w:p w14:paraId="76FD48BD" w14:textId="77777777" w:rsidR="00037A8B" w:rsidRPr="00120B09" w:rsidRDefault="00037A8B" w:rsidP="00037A8B">
                      <w:pPr>
                        <w:rPr>
                          <w:rFonts w:ascii="Times New Roman" w:hAnsi="Times New Roman" w:cs="Times New Roman"/>
                          <w:szCs w:val="24"/>
                        </w:rPr>
                      </w:pPr>
                    </w:p>
                    <w:p w14:paraId="6DDC6DE6" w14:textId="77777777" w:rsidR="00037A8B" w:rsidRPr="00120B09" w:rsidRDefault="00037A8B" w:rsidP="00037A8B">
                      <w:pPr>
                        <w:rPr>
                          <w:rFonts w:ascii="Times New Roman" w:hAnsi="Times New Roman" w:cs="Times New Roman"/>
                          <w:szCs w:val="24"/>
                        </w:rPr>
                      </w:pPr>
                    </w:p>
                    <w:p w14:paraId="3C70F855" w14:textId="77777777" w:rsidR="00037A8B" w:rsidRPr="00120B09" w:rsidRDefault="00037A8B" w:rsidP="00037A8B">
                      <w:pPr>
                        <w:rPr>
                          <w:rFonts w:ascii="Times New Roman" w:hAnsi="Times New Roman" w:cs="Times New Roman"/>
                          <w:szCs w:val="24"/>
                        </w:rPr>
                      </w:pPr>
                    </w:p>
                    <w:p w14:paraId="54F39E62" w14:textId="77777777" w:rsidR="00037A8B" w:rsidRPr="00120B09" w:rsidRDefault="00037A8B" w:rsidP="00037A8B">
                      <w:pPr>
                        <w:rPr>
                          <w:rFonts w:ascii="Times New Roman" w:hAnsi="Times New Roman" w:cs="Times New Roman"/>
                          <w:szCs w:val="24"/>
                        </w:rPr>
                      </w:pPr>
                    </w:p>
                    <w:p w14:paraId="210FF6B6" w14:textId="77777777" w:rsidR="00037A8B" w:rsidRDefault="00037A8B" w:rsidP="00037A8B">
                      <w:pPr>
                        <w:rPr>
                          <w:rFonts w:ascii="Times New Roman" w:hAnsi="Times New Roman" w:cs="Times New Roman"/>
                          <w:szCs w:val="24"/>
                        </w:rPr>
                      </w:pPr>
                    </w:p>
                    <w:p w14:paraId="7C78672D" w14:textId="77777777" w:rsidR="00037A8B" w:rsidRPr="00120B09" w:rsidRDefault="00037A8B" w:rsidP="00037A8B">
                      <w:pPr>
                        <w:rPr>
                          <w:rFonts w:ascii="Times New Roman" w:hAnsi="Times New Roman" w:cs="Times New Roman"/>
                          <w:szCs w:val="24"/>
                        </w:rPr>
                      </w:pPr>
                    </w:p>
                    <w:p w14:paraId="321B18FE" w14:textId="77777777" w:rsidR="00037A8B" w:rsidRPr="00120B09" w:rsidRDefault="00037A8B" w:rsidP="00037A8B">
                      <w:pPr>
                        <w:rPr>
                          <w:rFonts w:ascii="Times New Roman" w:hAnsi="Times New Roman" w:cs="Times New Roman"/>
                          <w:szCs w:val="24"/>
                        </w:rPr>
                      </w:pPr>
                      <w:r w:rsidRPr="00120B09">
                        <w:rPr>
                          <w:rFonts w:ascii="Times New Roman" w:hAnsi="Times New Roman" w:cs="Times New Roman"/>
                          <w:szCs w:val="24"/>
                        </w:rPr>
                        <w:t>C</w:t>
                      </w:r>
                      <w:r w:rsidRPr="00120B09">
                        <w:rPr>
                          <w:rFonts w:ascii="Times New Roman" w:hAnsi="Times New Roman" w:cs="Times New Roman"/>
                          <w:szCs w:val="24"/>
                          <w:cs/>
                        </w:rPr>
                        <w:t>)</w:t>
                      </w:r>
                    </w:p>
                    <w:p w14:paraId="549A9479" w14:textId="77777777" w:rsidR="00037A8B" w:rsidRPr="00120B09" w:rsidRDefault="00037A8B" w:rsidP="00037A8B">
                      <w:pPr>
                        <w:rPr>
                          <w:rFonts w:ascii="Times New Roman" w:hAnsi="Times New Roman" w:cs="Times New Roman"/>
                          <w:szCs w:val="24"/>
                        </w:rPr>
                      </w:pPr>
                    </w:p>
                    <w:p w14:paraId="493EDBBE" w14:textId="77777777" w:rsidR="00037A8B" w:rsidRPr="00120B09" w:rsidRDefault="00037A8B" w:rsidP="00037A8B">
                      <w:pPr>
                        <w:rPr>
                          <w:rFonts w:ascii="Times New Roman" w:hAnsi="Times New Roman" w:cs="Times New Roman"/>
                          <w:szCs w:val="24"/>
                        </w:rPr>
                      </w:pPr>
                    </w:p>
                    <w:p w14:paraId="0B80F68C" w14:textId="77777777" w:rsidR="00037A8B" w:rsidRPr="00120B09" w:rsidRDefault="00037A8B" w:rsidP="00037A8B">
                      <w:pPr>
                        <w:rPr>
                          <w:rFonts w:ascii="Times New Roman" w:hAnsi="Times New Roman" w:cs="Times New Roman"/>
                          <w:szCs w:val="24"/>
                        </w:rPr>
                      </w:pPr>
                    </w:p>
                  </w:txbxContent>
                </v:textbox>
              </v:shape>
            </w:pict>
          </mc:Fallback>
        </mc:AlternateContent>
      </w:r>
      <w:r w:rsidRPr="00792B36">
        <w:rPr>
          <w:b/>
          <w:bCs/>
          <w:noProof/>
          <w:spacing w:val="-4"/>
          <w:sz w:val="24"/>
          <w:szCs w:val="24"/>
        </w:rPr>
        <w:drawing>
          <wp:inline distT="0" distB="0" distL="0" distR="0" wp14:anchorId="6867F172" wp14:editId="4D16448B">
            <wp:extent cx="3672000" cy="2402104"/>
            <wp:effectExtent l="0" t="0" r="0" b="0"/>
            <wp:docPr id="1438915843" name="Picture 3" descr="A screenshot of a graph&#10;&#10;AI-generated content may be incorrect.">
              <a:extLst xmlns:a="http://schemas.openxmlformats.org/drawingml/2006/main">
                <a:ext uri="{FF2B5EF4-FFF2-40B4-BE49-F238E27FC236}">
                  <a16:creationId xmlns:a16="http://schemas.microsoft.com/office/drawing/2014/main" id="{00000000-0008-0000-0000-000002000000}"/>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38915843" name="Picture 3" descr="A screenshot of a graph&#10;&#10;AI-generated content may be incorrect.">
                      <a:extLst>
                        <a:ext uri="{FF2B5EF4-FFF2-40B4-BE49-F238E27FC236}">
                          <a16:creationId xmlns:a16="http://schemas.microsoft.com/office/drawing/2014/main" id="{00000000-0008-0000-0000-000002000000}"/>
                        </a:ext>
                      </a:extLst>
                    </pic:cNvPr>
                    <pic:cNvPicPr>
                      <a:picLocks noChangeAspect="1"/>
                    </pic:cNvPicPr>
                  </pic:nvPicPr>
                  <pic:blipFill rotWithShape="1">
                    <a:blip r:embed="rId76"/>
                    <a:srcRect l="50000" t="50000" b="3276"/>
                    <a:stretch>
                      <a:fillRect/>
                    </a:stretch>
                  </pic:blipFill>
                  <pic:spPr bwMode="auto">
                    <a:xfrm>
                      <a:off x="0" y="0"/>
                      <a:ext cx="3672000" cy="2402104"/>
                    </a:xfrm>
                    <a:prstGeom prst="rect">
                      <a:avLst/>
                    </a:prstGeom>
                    <a:ln>
                      <a:noFill/>
                    </a:ln>
                    <a:extLst>
                      <a:ext uri="{53640926-AAD7-44D8-BBD7-CCE9431645EC}">
                        <a14:shadowObscured xmlns:a14="http://schemas.microsoft.com/office/drawing/2010/main"/>
                      </a:ext>
                    </a:extLst>
                  </pic:spPr>
                </pic:pic>
              </a:graphicData>
            </a:graphic>
          </wp:inline>
        </w:drawing>
      </w:r>
    </w:p>
    <w:p w14:paraId="6FD03C14" w14:textId="77777777" w:rsidR="00037A8B" w:rsidRPr="00792B36" w:rsidRDefault="00037A8B" w:rsidP="00037A8B">
      <w:pPr>
        <w:tabs>
          <w:tab w:val="left" w:pos="1276"/>
        </w:tabs>
        <w:jc w:val="center"/>
        <w:rPr>
          <w:b/>
          <w:bCs/>
          <w:spacing w:val="-4"/>
          <w:sz w:val="24"/>
          <w:szCs w:val="24"/>
        </w:rPr>
      </w:pPr>
      <w:r w:rsidRPr="00792B36">
        <w:rPr>
          <w:b/>
          <w:bCs/>
          <w:noProof/>
          <w:spacing w:val="-4"/>
          <w:sz w:val="24"/>
          <w:szCs w:val="24"/>
        </w:rPr>
        <w:drawing>
          <wp:inline distT="0" distB="0" distL="0" distR="0" wp14:anchorId="711E200D" wp14:editId="05323D05">
            <wp:extent cx="3672000" cy="2486393"/>
            <wp:effectExtent l="0" t="0" r="0" b="0"/>
            <wp:docPr id="2" name="Picture 1" descr="A screenshot of a graph&#10;&#10;AI-generated content may be incorrect.">
              <a:extLst xmlns:a="http://schemas.openxmlformats.org/drawingml/2006/main">
                <a:ext uri="{FF2B5EF4-FFF2-40B4-BE49-F238E27FC236}">
                  <a16:creationId xmlns:a16="http://schemas.microsoft.com/office/drawing/2014/main" id="{00000000-0008-0000-0000-000002000000}"/>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1" descr="A screenshot of a graph&#10;&#10;AI-generated content may be incorrect.">
                      <a:extLst>
                        <a:ext uri="{FF2B5EF4-FFF2-40B4-BE49-F238E27FC236}">
                          <a16:creationId xmlns:a16="http://schemas.microsoft.com/office/drawing/2014/main" id="{00000000-0008-0000-0000-000002000000}"/>
                        </a:ext>
                      </a:extLst>
                    </pic:cNvPr>
                    <pic:cNvPicPr>
                      <a:picLocks noChangeAspect="1"/>
                    </pic:cNvPicPr>
                  </pic:nvPicPr>
                  <pic:blipFill rotWithShape="1">
                    <a:blip r:embed="rId77"/>
                    <a:srcRect l="50580" t="50000" r="599" b="2771"/>
                    <a:stretch>
                      <a:fillRect/>
                    </a:stretch>
                  </pic:blipFill>
                  <pic:spPr bwMode="auto">
                    <a:xfrm>
                      <a:off x="0" y="0"/>
                      <a:ext cx="3672000" cy="2486393"/>
                    </a:xfrm>
                    <a:prstGeom prst="rect">
                      <a:avLst/>
                    </a:prstGeom>
                    <a:ln>
                      <a:noFill/>
                    </a:ln>
                    <a:extLst>
                      <a:ext uri="{53640926-AAD7-44D8-BBD7-CCE9431645EC}">
                        <a14:shadowObscured xmlns:a14="http://schemas.microsoft.com/office/drawing/2010/main"/>
                      </a:ext>
                    </a:extLst>
                  </pic:spPr>
                </pic:pic>
              </a:graphicData>
            </a:graphic>
          </wp:inline>
        </w:drawing>
      </w:r>
    </w:p>
    <w:p w14:paraId="229DC9F9" w14:textId="77777777" w:rsidR="00037A8B" w:rsidRPr="00792B36" w:rsidRDefault="00037A8B" w:rsidP="00037A8B">
      <w:pPr>
        <w:tabs>
          <w:tab w:val="left" w:pos="1276"/>
        </w:tabs>
        <w:jc w:val="center"/>
        <w:rPr>
          <w:b/>
          <w:bCs/>
          <w:spacing w:val="-4"/>
          <w:sz w:val="24"/>
          <w:szCs w:val="24"/>
        </w:rPr>
      </w:pPr>
      <w:r w:rsidRPr="00792B36">
        <w:rPr>
          <w:b/>
          <w:bCs/>
          <w:noProof/>
          <w:spacing w:val="-4"/>
          <w:sz w:val="24"/>
          <w:szCs w:val="24"/>
        </w:rPr>
        <w:drawing>
          <wp:inline distT="0" distB="0" distL="0" distR="0" wp14:anchorId="149AEDD1" wp14:editId="6A506F25">
            <wp:extent cx="3672000" cy="2383055"/>
            <wp:effectExtent l="0" t="0" r="0" b="0"/>
            <wp:docPr id="3" name="Picture 2" descr="A screenshot of a graph&#10;&#10;AI-generated content may be incorrect.">
              <a:extLst xmlns:a="http://schemas.openxmlformats.org/drawingml/2006/main">
                <a:ext uri="{FF2B5EF4-FFF2-40B4-BE49-F238E27FC236}">
                  <a16:creationId xmlns:a16="http://schemas.microsoft.com/office/drawing/2014/main" id="{00000000-0008-0000-0000-000002000000}"/>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2" descr="A screenshot of a graph&#10;&#10;AI-generated content may be incorrect.">
                      <a:extLst>
                        <a:ext uri="{FF2B5EF4-FFF2-40B4-BE49-F238E27FC236}">
                          <a16:creationId xmlns:a16="http://schemas.microsoft.com/office/drawing/2014/main" id="{00000000-0008-0000-0000-000002000000}"/>
                        </a:ext>
                      </a:extLst>
                    </pic:cNvPr>
                    <pic:cNvPicPr>
                      <a:picLocks noChangeAspect="1"/>
                    </pic:cNvPicPr>
                  </pic:nvPicPr>
                  <pic:blipFill rotWithShape="1">
                    <a:blip r:embed="rId78"/>
                    <a:srcRect l="50273" t="50000" b="3897"/>
                    <a:stretch>
                      <a:fillRect/>
                    </a:stretch>
                  </pic:blipFill>
                  <pic:spPr bwMode="auto">
                    <a:xfrm>
                      <a:off x="0" y="0"/>
                      <a:ext cx="3672000" cy="2383055"/>
                    </a:xfrm>
                    <a:prstGeom prst="rect">
                      <a:avLst/>
                    </a:prstGeom>
                    <a:ln>
                      <a:noFill/>
                    </a:ln>
                    <a:extLst>
                      <a:ext uri="{53640926-AAD7-44D8-BBD7-CCE9431645EC}">
                        <a14:shadowObscured xmlns:a14="http://schemas.microsoft.com/office/drawing/2010/main"/>
                      </a:ext>
                    </a:extLst>
                  </pic:spPr>
                </pic:pic>
              </a:graphicData>
            </a:graphic>
          </wp:inline>
        </w:drawing>
      </w:r>
    </w:p>
    <w:p w14:paraId="1A5A0EEE" w14:textId="77777777" w:rsidR="00037A8B" w:rsidRPr="00792B36" w:rsidRDefault="00037A8B" w:rsidP="00037A8B">
      <w:pPr>
        <w:tabs>
          <w:tab w:val="left" w:pos="1276"/>
        </w:tabs>
        <w:rPr>
          <w:b/>
          <w:bCs/>
          <w:spacing w:val="-4"/>
          <w:sz w:val="24"/>
          <w:szCs w:val="24"/>
        </w:rPr>
      </w:pPr>
    </w:p>
    <w:p w14:paraId="0BFB8027" w14:textId="77777777" w:rsidR="00037A8B" w:rsidRPr="00792B36" w:rsidRDefault="00037A8B" w:rsidP="00037A8B">
      <w:pPr>
        <w:pStyle w:val="Caption"/>
        <w:rPr>
          <w:rFonts w:ascii="Arial" w:hAnsi="Arial" w:cs="Arial"/>
          <w:spacing w:val="-4"/>
          <w:sz w:val="24"/>
        </w:rPr>
      </w:pPr>
      <w:r w:rsidRPr="00792B36">
        <w:rPr>
          <w:rFonts w:ascii="Arial" w:hAnsi="Arial" w:cs="Arial"/>
          <w:b/>
          <w:bCs/>
          <w:spacing w:val="-4"/>
          <w:sz w:val="24"/>
        </w:rPr>
        <w:t xml:space="preserve">Figure 3 </w:t>
      </w:r>
      <w:r w:rsidRPr="00792B36">
        <w:rPr>
          <w:rFonts w:ascii="Arial" w:hAnsi="Arial" w:cs="Arial"/>
          <w:spacing w:val="-4"/>
          <w:sz w:val="24"/>
        </w:rPr>
        <w:t xml:space="preserve">Stock assessment results in the Gulf of Thailand in 2024 using JABBA </w:t>
      </w:r>
    </w:p>
    <w:p w14:paraId="4A701AC7" w14:textId="77777777" w:rsidR="00037A8B" w:rsidRPr="00792B36" w:rsidRDefault="00037A8B" w:rsidP="00037A8B">
      <w:pPr>
        <w:ind w:firstLine="851"/>
        <w:rPr>
          <w:rFonts w:eastAsia="Cordia New"/>
          <w:sz w:val="24"/>
          <w:szCs w:val="24"/>
        </w:rPr>
      </w:pPr>
      <w:r w:rsidRPr="00792B36">
        <w:rPr>
          <w:rFonts w:eastAsia="Cordia New"/>
          <w:sz w:val="24"/>
          <w:szCs w:val="24"/>
        </w:rPr>
        <w:t>A</w:t>
      </w:r>
      <w:r w:rsidRPr="00792B36">
        <w:rPr>
          <w:rFonts w:eastAsia="Cordia New"/>
          <w:sz w:val="24"/>
          <w:szCs w:val="24"/>
          <w:cs/>
        </w:rPr>
        <w:t xml:space="preserve">) </w:t>
      </w:r>
      <w:r w:rsidRPr="00792B36">
        <w:rPr>
          <w:rFonts w:eastAsia="Cordia New"/>
          <w:sz w:val="24"/>
          <w:szCs w:val="24"/>
        </w:rPr>
        <w:t>Demersal species</w:t>
      </w:r>
      <w:r w:rsidRPr="00792B36">
        <w:rPr>
          <w:rFonts w:eastAsia="Cordia New"/>
          <w:sz w:val="24"/>
          <w:szCs w:val="24"/>
          <w:cs/>
        </w:rPr>
        <w:tab/>
      </w:r>
      <w:r w:rsidRPr="00792B36">
        <w:rPr>
          <w:rFonts w:eastAsia="Cordia New"/>
          <w:sz w:val="24"/>
          <w:szCs w:val="24"/>
        </w:rPr>
        <w:tab/>
        <w:t>B</w:t>
      </w:r>
      <w:r w:rsidRPr="00792B36">
        <w:rPr>
          <w:rFonts w:eastAsia="Cordia New"/>
          <w:sz w:val="24"/>
          <w:szCs w:val="24"/>
          <w:cs/>
        </w:rPr>
        <w:t xml:space="preserve">) </w:t>
      </w:r>
      <w:r w:rsidRPr="00792B36">
        <w:rPr>
          <w:rFonts w:eastAsia="Cordia New"/>
          <w:sz w:val="24"/>
          <w:szCs w:val="24"/>
        </w:rPr>
        <w:t>Pelagic fish</w:t>
      </w:r>
      <w:r w:rsidRPr="00792B36">
        <w:rPr>
          <w:rFonts w:eastAsia="Cordia New"/>
          <w:sz w:val="24"/>
          <w:szCs w:val="24"/>
          <w:cs/>
        </w:rPr>
        <w:tab/>
      </w:r>
      <w:r w:rsidRPr="00792B36">
        <w:rPr>
          <w:rFonts w:eastAsia="Cordia New"/>
          <w:sz w:val="24"/>
          <w:szCs w:val="24"/>
          <w:cs/>
        </w:rPr>
        <w:tab/>
      </w:r>
      <w:r w:rsidRPr="00792B36">
        <w:rPr>
          <w:rFonts w:eastAsia="Cordia New"/>
          <w:sz w:val="24"/>
          <w:szCs w:val="24"/>
        </w:rPr>
        <w:t>C</w:t>
      </w:r>
      <w:r w:rsidRPr="00792B36">
        <w:rPr>
          <w:rFonts w:eastAsia="Cordia New"/>
          <w:sz w:val="24"/>
          <w:szCs w:val="24"/>
          <w:cs/>
        </w:rPr>
        <w:t xml:space="preserve">) </w:t>
      </w:r>
      <w:r w:rsidRPr="00792B36">
        <w:rPr>
          <w:rFonts w:eastAsia="Cordia New"/>
          <w:sz w:val="24"/>
          <w:szCs w:val="24"/>
        </w:rPr>
        <w:t>Anchovy</w:t>
      </w:r>
    </w:p>
    <w:p w14:paraId="49C0307D" w14:textId="77777777" w:rsidR="00037A8B" w:rsidRPr="00792B36" w:rsidRDefault="00037A8B" w:rsidP="00037A8B">
      <w:pPr>
        <w:ind w:firstLine="851"/>
        <w:rPr>
          <w:sz w:val="24"/>
          <w:szCs w:val="24"/>
          <w:cs/>
        </w:rPr>
      </w:pPr>
    </w:p>
    <w:p w14:paraId="6D111056" w14:textId="77777777" w:rsidR="00037A8B" w:rsidRPr="00792B36" w:rsidRDefault="00037A8B" w:rsidP="00037A8B">
      <w:pPr>
        <w:jc w:val="thaiDistribute"/>
        <w:rPr>
          <w:sz w:val="24"/>
          <w:szCs w:val="24"/>
        </w:rPr>
      </w:pPr>
    </w:p>
    <w:p w14:paraId="42ACA6C8" w14:textId="77777777" w:rsidR="00037A8B" w:rsidRPr="00792B36" w:rsidRDefault="00037A8B" w:rsidP="00037A8B">
      <w:pPr>
        <w:jc w:val="center"/>
        <w:rPr>
          <w:sz w:val="24"/>
          <w:szCs w:val="24"/>
        </w:rPr>
      </w:pPr>
      <w:r w:rsidRPr="00792B36">
        <w:rPr>
          <w:noProof/>
          <w:sz w:val="24"/>
          <w:szCs w:val="24"/>
        </w:rPr>
        <w:drawing>
          <wp:inline distT="0" distB="0" distL="0" distR="0" wp14:anchorId="6324D638" wp14:editId="173B118A">
            <wp:extent cx="4907280" cy="2960370"/>
            <wp:effectExtent l="0" t="0" r="7620" b="0"/>
            <wp:docPr id="602994463" name="Chart 1">
              <a:extLst xmlns:a="http://schemas.openxmlformats.org/drawingml/2006/main">
                <a:ext uri="{FF2B5EF4-FFF2-40B4-BE49-F238E27FC236}">
                  <a16:creationId xmlns:a16="http://schemas.microsoft.com/office/drawing/2014/main" id="{E750629D-57DC-A6B2-4746-139CB8299B59}"/>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79"/>
              </a:graphicData>
            </a:graphic>
          </wp:inline>
        </w:drawing>
      </w:r>
    </w:p>
    <w:p w14:paraId="748723F0" w14:textId="77777777" w:rsidR="00037A8B" w:rsidRPr="00792B36" w:rsidRDefault="00037A8B" w:rsidP="00037A8B">
      <w:pPr>
        <w:jc w:val="thaiDistribute"/>
        <w:rPr>
          <w:sz w:val="24"/>
          <w:szCs w:val="24"/>
        </w:rPr>
      </w:pPr>
    </w:p>
    <w:p w14:paraId="7F7AB3DB" w14:textId="77777777" w:rsidR="00037A8B" w:rsidRPr="00792B36" w:rsidRDefault="00037A8B" w:rsidP="00037A8B">
      <w:pPr>
        <w:jc w:val="thaiDistribute"/>
        <w:rPr>
          <w:b/>
          <w:bCs/>
          <w:sz w:val="24"/>
          <w:szCs w:val="24"/>
        </w:rPr>
      </w:pPr>
      <w:r w:rsidRPr="00792B36">
        <w:rPr>
          <w:b/>
          <w:bCs/>
          <w:sz w:val="24"/>
          <w:szCs w:val="24"/>
        </w:rPr>
        <w:t xml:space="preserve">Figure 4 </w:t>
      </w:r>
      <w:r w:rsidRPr="00792B36">
        <w:rPr>
          <w:sz w:val="24"/>
          <w:szCs w:val="24"/>
        </w:rPr>
        <w:t>Catch by types of fishing gear (tonne) in the Gulf of Thailand between 2016 and 2024</w:t>
      </w:r>
    </w:p>
    <w:p w14:paraId="2152DA90" w14:textId="77777777" w:rsidR="00037A8B" w:rsidRPr="00792B36" w:rsidRDefault="00037A8B" w:rsidP="00037A8B">
      <w:pPr>
        <w:jc w:val="thaiDistribute"/>
        <w:rPr>
          <w:sz w:val="24"/>
          <w:szCs w:val="24"/>
        </w:rPr>
      </w:pPr>
    </w:p>
    <w:p w14:paraId="02977F7D" w14:textId="6E6E23CA" w:rsidR="00037A8B" w:rsidRPr="00792B36" w:rsidRDefault="00037A8B" w:rsidP="00037A8B">
      <w:pPr>
        <w:ind w:firstLine="720"/>
        <w:rPr>
          <w:b/>
          <w:bCs/>
          <w:sz w:val="24"/>
          <w:szCs w:val="24"/>
        </w:rPr>
      </w:pPr>
      <w:r w:rsidRPr="00792B36">
        <w:rPr>
          <w:b/>
          <w:bCs/>
          <w:sz w:val="24"/>
          <w:szCs w:val="24"/>
        </w:rPr>
        <w:t>5.</w:t>
      </w:r>
      <w:r w:rsidR="008C2A6B" w:rsidRPr="00792B36">
        <w:rPr>
          <w:b/>
          <w:bCs/>
          <w:sz w:val="24"/>
          <w:szCs w:val="24"/>
        </w:rPr>
        <w:t>4.</w:t>
      </w:r>
      <w:r w:rsidRPr="00792B36">
        <w:rPr>
          <w:b/>
          <w:bCs/>
          <w:sz w:val="24"/>
          <w:szCs w:val="24"/>
        </w:rPr>
        <w:t>5 Stock Status Plots</w:t>
      </w:r>
    </w:p>
    <w:p w14:paraId="0902823B" w14:textId="77777777" w:rsidR="00037A8B" w:rsidRPr="00792B36" w:rsidRDefault="00037A8B" w:rsidP="00037A8B">
      <w:pPr>
        <w:rPr>
          <w:b/>
          <w:bCs/>
          <w:sz w:val="24"/>
          <w:szCs w:val="24"/>
        </w:rPr>
      </w:pPr>
    </w:p>
    <w:p w14:paraId="404ABE2B" w14:textId="77777777" w:rsidR="00037A8B" w:rsidRPr="00792B36" w:rsidRDefault="00037A8B" w:rsidP="00037A8B">
      <w:pPr>
        <w:ind w:firstLine="720"/>
        <w:jc w:val="thaiDistribute"/>
        <w:rPr>
          <w:rFonts w:eastAsia="Cordia New"/>
          <w:spacing w:val="-2"/>
          <w:sz w:val="24"/>
          <w:szCs w:val="24"/>
        </w:rPr>
      </w:pPr>
      <w:r w:rsidRPr="00792B36">
        <w:rPr>
          <w:sz w:val="24"/>
          <w:szCs w:val="24"/>
        </w:rPr>
        <w:t xml:space="preserve">The assessment of fisheries resources using the Stock Status Plot method categorizes the status of resources into five levels: rebuilding, developing, exploited, over-exploited, and collapsed </w:t>
      </w:r>
      <w:r w:rsidRPr="00792B36">
        <w:rPr>
          <w:rFonts w:eastAsia="Cordia New"/>
          <w:spacing w:val="-2"/>
          <w:sz w:val="24"/>
          <w:szCs w:val="24"/>
        </w:rPr>
        <w:t>(Kleisner and Pauly, 201</w:t>
      </w:r>
      <w:r w:rsidRPr="00792B36">
        <w:rPr>
          <w:rFonts w:eastAsia="Cordia New"/>
          <w:spacing w:val="-2"/>
          <w:sz w:val="24"/>
          <w:szCs w:val="24"/>
          <w:cs/>
        </w:rPr>
        <w:t>1)</w:t>
      </w:r>
      <w:r w:rsidRPr="00792B36">
        <w:rPr>
          <w:rFonts w:eastAsia="Cordia New"/>
          <w:spacing w:val="-2"/>
          <w:sz w:val="24"/>
          <w:szCs w:val="24"/>
        </w:rPr>
        <w:t xml:space="preserve">. In terms of catch volume, the percentage of catch in the Gulf of Thailand from over-exploited stocks increased over time beginning in the late 1960s and reached a maximum of 58.4% of the total catch in 2008. After that, the catch from over-exploited stocks decreased continuously. The recent results in 2019 showed that majority of the catches, approximately 60% of the total catch in the Gulf of Thailand, came from healthy stocks either exploited, developing or rebuilding stocks. About 38% of the total catch came from over-exploited stocks, while 1% of the total catch came from collapsed stocks (Figure 5a) </w:t>
      </w:r>
      <w:r w:rsidRPr="00792B36">
        <w:rPr>
          <w:sz w:val="24"/>
          <w:szCs w:val="24"/>
        </w:rPr>
        <w:t>(Sea Around Us, 2025a)</w:t>
      </w:r>
      <w:r w:rsidRPr="00792B36">
        <w:rPr>
          <w:rFonts w:eastAsia="Cordia New"/>
          <w:spacing w:val="-2"/>
          <w:sz w:val="24"/>
          <w:szCs w:val="24"/>
        </w:rPr>
        <w:t xml:space="preserve">. </w:t>
      </w:r>
    </w:p>
    <w:p w14:paraId="0E6E52F4" w14:textId="77777777" w:rsidR="00037A8B" w:rsidRPr="00792B36" w:rsidRDefault="00037A8B" w:rsidP="00037A8B">
      <w:pPr>
        <w:ind w:firstLine="720"/>
        <w:jc w:val="thaiDistribute"/>
        <w:rPr>
          <w:rFonts w:eastAsia="Cordia New"/>
          <w:spacing w:val="-2"/>
          <w:sz w:val="24"/>
          <w:szCs w:val="24"/>
        </w:rPr>
      </w:pPr>
      <w:r w:rsidRPr="00792B36">
        <w:rPr>
          <w:rFonts w:eastAsia="Cordia New"/>
          <w:spacing w:val="-2"/>
          <w:sz w:val="24"/>
          <w:szCs w:val="24"/>
        </w:rPr>
        <w:t>In terms of number of stocks, the proportion of developing stocks decreased over time from about 70% in the early 1960s to 7% of the total number of stocks in 2019, whereas the number of over-exploited and collapsed stocks increased from 6.3% in 1970 to a maximum of 66.1% of the total number of stocks in 2011. After that, in 2019, the number of both stocks decreased to about 40%, and 60% of the total number of stocks was in either exploited, developing or rebuilding stocks (Figure 5b).</w:t>
      </w:r>
    </w:p>
    <w:p w14:paraId="39710EF1" w14:textId="77777777" w:rsidR="00037A8B" w:rsidRPr="00792B36" w:rsidRDefault="00037A8B" w:rsidP="00037A8B">
      <w:pPr>
        <w:ind w:firstLine="720"/>
        <w:jc w:val="thaiDistribute"/>
        <w:rPr>
          <w:rFonts w:eastAsia="Cordia New"/>
          <w:spacing w:val="-2"/>
          <w:sz w:val="24"/>
          <w:szCs w:val="24"/>
        </w:rPr>
      </w:pPr>
    </w:p>
    <w:p w14:paraId="41570526" w14:textId="77777777" w:rsidR="00037A8B" w:rsidRPr="00792B36" w:rsidRDefault="00037A8B" w:rsidP="00037A8B">
      <w:pPr>
        <w:ind w:firstLine="720"/>
        <w:jc w:val="thaiDistribute"/>
        <w:rPr>
          <w:b/>
          <w:bCs/>
          <w:sz w:val="24"/>
          <w:szCs w:val="24"/>
        </w:rPr>
      </w:pPr>
    </w:p>
    <w:p w14:paraId="426D553A" w14:textId="77777777" w:rsidR="00037A8B" w:rsidRPr="00792B36" w:rsidRDefault="00037A8B" w:rsidP="00037A8B">
      <w:pPr>
        <w:rPr>
          <w:b/>
          <w:bCs/>
          <w:sz w:val="24"/>
          <w:szCs w:val="24"/>
        </w:rPr>
      </w:pPr>
      <w:r w:rsidRPr="00792B36">
        <w:rPr>
          <w:noProof/>
          <w:sz w:val="24"/>
          <w:szCs w:val="24"/>
        </w:rPr>
        <w:lastRenderedPageBreak/>
        <mc:AlternateContent>
          <mc:Choice Requires="wps">
            <w:drawing>
              <wp:anchor distT="0" distB="0" distL="114300" distR="114300" simplePos="0" relativeHeight="251671552" behindDoc="0" locked="0" layoutInCell="1" allowOverlap="1" wp14:anchorId="501CA3E3" wp14:editId="75C8239D">
                <wp:simplePos x="0" y="0"/>
                <wp:positionH relativeFrom="margin">
                  <wp:posOffset>5626158</wp:posOffset>
                </wp:positionH>
                <wp:positionV relativeFrom="paragraph">
                  <wp:posOffset>4108450</wp:posOffset>
                </wp:positionV>
                <wp:extent cx="310515" cy="238125"/>
                <wp:effectExtent l="0" t="0" r="0" b="0"/>
                <wp:wrapNone/>
                <wp:docPr id="1082187660" name="Text Box 6"/>
                <wp:cNvGraphicFramePr/>
                <a:graphic xmlns:a="http://schemas.openxmlformats.org/drawingml/2006/main">
                  <a:graphicData uri="http://schemas.microsoft.com/office/word/2010/wordprocessingShape">
                    <wps:wsp>
                      <wps:cNvSpPr txBox="1"/>
                      <wps:spPr>
                        <a:xfrm>
                          <a:off x="0" y="0"/>
                          <a:ext cx="310515" cy="238125"/>
                        </a:xfrm>
                        <a:prstGeom prst="rect">
                          <a:avLst/>
                        </a:prstGeom>
                        <a:noFill/>
                        <a:ln w="6350">
                          <a:noFill/>
                        </a:ln>
                      </wps:spPr>
                      <wps:txbx>
                        <w:txbxContent>
                          <w:p w14:paraId="3D933638" w14:textId="77777777" w:rsidR="00037A8B" w:rsidRPr="0014638E" w:rsidRDefault="00037A8B" w:rsidP="00037A8B">
                            <w:pPr>
                              <w:ind w:hanging="142"/>
                              <w:rPr>
                                <w:rFonts w:cs="Times New Roman"/>
                                <w:sz w:val="14"/>
                                <w:szCs w:val="14"/>
                              </w:rPr>
                            </w:pPr>
                            <w:r w:rsidRPr="0014638E">
                              <w:rPr>
                                <w:rFonts w:cs="Times New Roman"/>
                                <w:sz w:val="14"/>
                                <w:szCs w:val="14"/>
                              </w:rPr>
                              <w:t>2020</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01CA3E3" id="Text Box 6" o:spid="_x0000_s1027" type="#_x0000_t202" style="position:absolute;margin-left:443pt;margin-top:323.5pt;width:24.45pt;height:18.75pt;z-index:25167155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" filled="f" stroked="f" strokeweight=".5pt">
                <v:textbox>
                  <w:txbxContent>
                    <w:p w14:paraId="3D933638" w14:textId="77777777" w:rsidR="00037A8B" w:rsidRPr="0014638E" w:rsidRDefault="00037A8B" w:rsidP="00037A8B">
                      <w:pPr>
                        <w:ind w:hanging="142"/>
                        <w:rPr>
                          <w:rFonts w:cs="Times New Roman"/>
                          <w:sz w:val="14"/>
                          <w:szCs w:val="14"/>
                        </w:rPr>
                      </w:pPr>
                      <w:r w:rsidRPr="0014638E">
                        <w:rPr>
                          <w:rFonts w:cs="Times New Roman"/>
                          <w:sz w:val="14"/>
                          <w:szCs w:val="14"/>
                        </w:rPr>
                        <w:t>2020</w:t>
                      </w:r>
                    </w:p>
                  </w:txbxContent>
                </v:textbox>
                <w10:wrap anchorx="margin"/>
              </v:shape>
            </w:pict>
          </mc:Fallback>
        </mc:AlternateContent>
      </w:r>
      <w:r w:rsidRPr="00792B36">
        <w:rPr>
          <w:noProof/>
          <w:sz w:val="24"/>
          <w:szCs w:val="24"/>
        </w:rPr>
        <mc:AlternateContent>
          <mc:Choice Requires="wps">
            <w:drawing>
              <wp:anchor distT="0" distB="0" distL="114300" distR="114300" simplePos="0" relativeHeight="251670528" behindDoc="0" locked="0" layoutInCell="1" allowOverlap="1" wp14:anchorId="1A0B2A4F" wp14:editId="3962DE4F">
                <wp:simplePos x="0" y="0"/>
                <wp:positionH relativeFrom="margin">
                  <wp:posOffset>5626158</wp:posOffset>
                </wp:positionH>
                <wp:positionV relativeFrom="paragraph">
                  <wp:posOffset>1854835</wp:posOffset>
                </wp:positionV>
                <wp:extent cx="310515" cy="238125"/>
                <wp:effectExtent l="0" t="0" r="0" b="0"/>
                <wp:wrapNone/>
                <wp:docPr id="1089089961" name="Text Box 6"/>
                <wp:cNvGraphicFramePr/>
                <a:graphic xmlns:a="http://schemas.openxmlformats.org/drawingml/2006/main">
                  <a:graphicData uri="http://schemas.microsoft.com/office/word/2010/wordprocessingShape">
                    <wps:wsp>
                      <wps:cNvSpPr txBox="1"/>
                      <wps:spPr>
                        <a:xfrm>
                          <a:off x="0" y="0"/>
                          <a:ext cx="310515" cy="238125"/>
                        </a:xfrm>
                        <a:prstGeom prst="rect">
                          <a:avLst/>
                        </a:prstGeom>
                        <a:noFill/>
                        <a:ln w="6350">
                          <a:noFill/>
                        </a:ln>
                      </wps:spPr>
                      <wps:txbx>
                        <w:txbxContent>
                          <w:p w14:paraId="66F7B0D6" w14:textId="77777777" w:rsidR="00037A8B" w:rsidRPr="0014638E" w:rsidRDefault="00037A8B" w:rsidP="00037A8B">
                            <w:pPr>
                              <w:ind w:hanging="142"/>
                              <w:rPr>
                                <w:rFonts w:cs="Times New Roman"/>
                                <w:sz w:val="14"/>
                                <w:szCs w:val="14"/>
                              </w:rPr>
                            </w:pPr>
                            <w:r w:rsidRPr="0014638E">
                              <w:rPr>
                                <w:rFonts w:cs="Times New Roman"/>
                                <w:sz w:val="14"/>
                                <w:szCs w:val="14"/>
                              </w:rPr>
                              <w:t>2020</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A0B2A4F" id="_x0000_s1028" type="#_x0000_t202" style="position:absolute;margin-left:443pt;margin-top:146.05pt;width:24.45pt;height:18.75pt;z-index:25167052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" filled="f" stroked="f" strokeweight=".5pt">
                <v:textbox>
                  <w:txbxContent>
                    <w:p w14:paraId="66F7B0D6" w14:textId="77777777" w:rsidR="00037A8B" w:rsidRPr="0014638E" w:rsidRDefault="00037A8B" w:rsidP="00037A8B">
                      <w:pPr>
                        <w:ind w:hanging="142"/>
                        <w:rPr>
                          <w:rFonts w:cs="Times New Roman"/>
                          <w:sz w:val="14"/>
                          <w:szCs w:val="14"/>
                        </w:rPr>
                      </w:pPr>
                      <w:r w:rsidRPr="0014638E">
                        <w:rPr>
                          <w:rFonts w:cs="Times New Roman"/>
                          <w:sz w:val="14"/>
                          <w:szCs w:val="14"/>
                        </w:rPr>
                        <w:t>2020</w:t>
                      </w:r>
                    </w:p>
                  </w:txbxContent>
                </v:textbox>
                <w10:wrap anchorx="margin"/>
              </v:shape>
            </w:pict>
          </mc:Fallback>
        </mc:AlternateContent>
      </w:r>
      <w:r w:rsidRPr="00792B36">
        <w:rPr>
          <w:noProof/>
          <w:sz w:val="24"/>
          <w:szCs w:val="24"/>
        </w:rPr>
        <mc:AlternateContent>
          <mc:Choice Requires="wpg">
            <w:drawing>
              <wp:anchor distT="0" distB="0" distL="114300" distR="114300" simplePos="0" relativeHeight="251669504" behindDoc="0" locked="0" layoutInCell="1" allowOverlap="1" wp14:anchorId="20F74CBA" wp14:editId="4A472EBF">
                <wp:simplePos x="0" y="0"/>
                <wp:positionH relativeFrom="column">
                  <wp:posOffset>5659582</wp:posOffset>
                </wp:positionH>
                <wp:positionV relativeFrom="paragraph">
                  <wp:posOffset>1911927</wp:posOffset>
                </wp:positionV>
                <wp:extent cx="152342" cy="2382636"/>
                <wp:effectExtent l="0" t="0" r="19685" b="17780"/>
                <wp:wrapNone/>
                <wp:docPr id="1655204289" name="Group 10"/>
                <wp:cNvGraphicFramePr/>
                <a:graphic xmlns:a="http://schemas.openxmlformats.org/drawingml/2006/main">
                  <a:graphicData uri="http://schemas.microsoft.com/office/word/2010/wordprocessingGroup">
                    <wpg:wgp>
                      <wpg:cNvGrpSpPr/>
                      <wpg:grpSpPr>
                        <a:xfrm>
                          <a:off x="0" y="0"/>
                          <a:ext cx="152342" cy="2382636"/>
                          <a:chOff x="0" y="0"/>
                          <a:chExt cx="152342" cy="2382636"/>
                        </a:xfrm>
                      </wpg:grpSpPr>
                      <wps:wsp>
                        <wps:cNvPr id="1613044019" name="Rectangle 8"/>
                        <wps:cNvSpPr/>
                        <wps:spPr>
                          <a:xfrm>
                            <a:off x="6927" y="0"/>
                            <a:ext cx="145415" cy="110490"/>
                          </a:xfrm>
                          <a:prstGeom prst="rect">
                            <a:avLst/>
                          </a:prstGeom>
                          <a:solidFill>
                            <a:schemeClr val="bg1"/>
                          </a:solidFill>
                          <a:ln>
                            <a:solidFill>
                              <a:schemeClr val="bg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84067041" name="Rectangle 8"/>
                        <wps:cNvSpPr/>
                        <wps:spPr>
                          <a:xfrm>
                            <a:off x="0" y="2272146"/>
                            <a:ext cx="145415" cy="110490"/>
                          </a:xfrm>
                          <a:prstGeom prst="rect">
                            <a:avLst/>
                          </a:prstGeom>
                          <a:solidFill>
                            <a:schemeClr val="bg1"/>
                          </a:solidFill>
                          <a:ln>
                            <a:solidFill>
                              <a:schemeClr val="bg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w:pict>
              <v:group w14:anchorId="6062EFAE" id="Group 10" o:spid="_x0000_s1026" style="position:absolute;margin-left:445.65pt;margin-top:150.55pt;width:12pt;height:187.6pt;z-index:251669504" coordsize="1523,23826"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">
                <v:rect id="Rectangle 8" o:spid="_x0000_s1027" style="position:absolute;left:69;width:1454;height:1104;visibility:visible;mso-wrap-style:square;v-text-anchor:middl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" fillcolor="white [3212]" strokecolor="white [3212]" strokeweight="2pt"/>
                <v:rect id="Rectangle 8" o:spid="_x0000_s1028" style="position:absolute;top:22721;width:1454;height:1105;visibility:visible;mso-wrap-style:square;v-text-anchor:middl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" fillcolor="white [3212]" strokecolor="white [3212]" strokeweight="2pt"/>
              </v:group>
            </w:pict>
          </mc:Fallback>
        </mc:AlternateContent>
      </w:r>
      <w:r w:rsidRPr="00792B36">
        <w:rPr>
          <w:noProof/>
          <w:sz w:val="24"/>
          <w:szCs w:val="24"/>
        </w:rPr>
        <mc:AlternateContent>
          <mc:Choice Requires="wps">
            <w:drawing>
              <wp:anchor distT="0" distB="0" distL="114300" distR="114300" simplePos="0" relativeHeight="251672576" behindDoc="0" locked="0" layoutInCell="1" allowOverlap="1" wp14:anchorId="27D9318D" wp14:editId="524EB1BB">
                <wp:simplePos x="0" y="0"/>
                <wp:positionH relativeFrom="column">
                  <wp:posOffset>5818794</wp:posOffset>
                </wp:positionH>
                <wp:positionV relativeFrom="paragraph">
                  <wp:posOffset>1704052</wp:posOffset>
                </wp:positionV>
                <wp:extent cx="914400" cy="2479964"/>
                <wp:effectExtent l="0" t="0" r="4445" b="0"/>
                <wp:wrapNone/>
                <wp:docPr id="473073232" name="Text Box 9"/>
                <wp:cNvGraphicFramePr/>
                <a:graphic xmlns:a="http://schemas.openxmlformats.org/drawingml/2006/main">
                  <a:graphicData uri="http://schemas.microsoft.com/office/word/2010/wordprocessingShape">
                    <wps:wsp>
                      <wps:cNvSpPr txBox="1"/>
                      <wps:spPr>
                        <a:xfrm>
                          <a:off x="0" y="0"/>
                          <a:ext cx="914400" cy="2479964"/>
                        </a:xfrm>
                        <a:prstGeom prst="rect">
                          <a:avLst/>
                        </a:prstGeom>
                        <a:solidFill>
                          <a:schemeClr val="lt1"/>
                        </a:solidFill>
                        <a:ln w="6350">
                          <a:noFill/>
                        </a:ln>
                      </wps:spPr>
                      <wps:txbx>
                        <w:txbxContent>
                          <w:p w14:paraId="2C6921A9" w14:textId="77777777" w:rsidR="00037A8B" w:rsidRPr="002E70A2" w:rsidRDefault="00037A8B" w:rsidP="00037A8B">
                            <w:pPr>
                              <w:rPr>
                                <w:rFonts w:ascii="Times New Roman" w:hAnsi="Times New Roman" w:cs="Times New Roman"/>
                              </w:rPr>
                            </w:pPr>
                            <w:r w:rsidRPr="002E70A2">
                              <w:rPr>
                                <w:rFonts w:ascii="Times New Roman" w:hAnsi="Times New Roman" w:cs="Times New Roman"/>
                              </w:rPr>
                              <w:t>a)</w:t>
                            </w:r>
                          </w:p>
                          <w:p w14:paraId="583D2DAE" w14:textId="77777777" w:rsidR="00037A8B" w:rsidRPr="002E70A2" w:rsidRDefault="00037A8B" w:rsidP="00037A8B">
                            <w:pPr>
                              <w:rPr>
                                <w:rFonts w:ascii="Times New Roman" w:hAnsi="Times New Roman" w:cs="Times New Roman"/>
                              </w:rPr>
                            </w:pPr>
                          </w:p>
                          <w:p w14:paraId="3E0E4B85" w14:textId="77777777" w:rsidR="00037A8B" w:rsidRPr="002E70A2" w:rsidRDefault="00037A8B" w:rsidP="00037A8B">
                            <w:pPr>
                              <w:rPr>
                                <w:rFonts w:ascii="Times New Roman" w:hAnsi="Times New Roman" w:cs="Times New Roman"/>
                              </w:rPr>
                            </w:pPr>
                          </w:p>
                          <w:p w14:paraId="457408F4" w14:textId="77777777" w:rsidR="00037A8B" w:rsidRPr="002E70A2" w:rsidRDefault="00037A8B" w:rsidP="00037A8B">
                            <w:pPr>
                              <w:rPr>
                                <w:rFonts w:ascii="Times New Roman" w:hAnsi="Times New Roman" w:cs="Times New Roman"/>
                              </w:rPr>
                            </w:pPr>
                          </w:p>
                          <w:p w14:paraId="0F88581A" w14:textId="77777777" w:rsidR="00037A8B" w:rsidRDefault="00037A8B" w:rsidP="00037A8B">
                            <w:pPr>
                              <w:rPr>
                                <w:rFonts w:ascii="Times New Roman" w:hAnsi="Times New Roman" w:cs="Times New Roman"/>
                              </w:rPr>
                            </w:pPr>
                          </w:p>
                          <w:p w14:paraId="7CA8A0A7" w14:textId="77777777" w:rsidR="00037A8B" w:rsidRDefault="00037A8B" w:rsidP="00037A8B">
                            <w:pPr>
                              <w:rPr>
                                <w:rFonts w:ascii="Times New Roman" w:hAnsi="Times New Roman" w:cs="Times New Roman"/>
                              </w:rPr>
                            </w:pPr>
                          </w:p>
                          <w:p w14:paraId="6C28243F" w14:textId="77777777" w:rsidR="00037A8B" w:rsidRPr="002E70A2" w:rsidRDefault="00037A8B" w:rsidP="00037A8B">
                            <w:pPr>
                              <w:rPr>
                                <w:rFonts w:ascii="Times New Roman" w:hAnsi="Times New Roman" w:cs="Times New Roman"/>
                              </w:rPr>
                            </w:pPr>
                          </w:p>
                          <w:p w14:paraId="5B036F35" w14:textId="77777777" w:rsidR="00037A8B" w:rsidRPr="002E70A2" w:rsidRDefault="00037A8B" w:rsidP="00037A8B">
                            <w:pPr>
                              <w:rPr>
                                <w:rFonts w:ascii="Times New Roman" w:hAnsi="Times New Roman" w:cs="Times New Roman"/>
                              </w:rPr>
                            </w:pPr>
                            <w:r w:rsidRPr="002E70A2">
                              <w:rPr>
                                <w:rFonts w:ascii="Times New Roman" w:hAnsi="Times New Roman" w:cs="Times New Roman"/>
                              </w:rPr>
                              <w:t>b)</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27D9318D" id="Text Box 9" o:spid="_x0000_s1029" type="#_x0000_t202" style="position:absolute;margin-left:458.15pt;margin-top:134.2pt;width:1in;height:195.25pt;z-index:251672576;visibility:visible;mso-wrap-style:non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" fillcolor="white [3201]" stroked="f" strokeweight=".5pt">
                <v:textbox>
                  <w:txbxContent>
                    <w:p w14:paraId="2C6921A9" w14:textId="77777777" w:rsidR="00037A8B" w:rsidRPr="002E70A2" w:rsidRDefault="00037A8B" w:rsidP="00037A8B">
                      <w:pPr>
                        <w:rPr>
                          <w:rFonts w:ascii="Times New Roman" w:hAnsi="Times New Roman" w:cs="Times New Roman"/>
                        </w:rPr>
                      </w:pPr>
                      <w:r w:rsidRPr="002E70A2">
                        <w:rPr>
                          <w:rFonts w:ascii="Times New Roman" w:hAnsi="Times New Roman" w:cs="Times New Roman"/>
                        </w:rPr>
                        <w:t>a)</w:t>
                      </w:r>
                    </w:p>
                    <w:p w14:paraId="583D2DAE" w14:textId="77777777" w:rsidR="00037A8B" w:rsidRPr="002E70A2" w:rsidRDefault="00037A8B" w:rsidP="00037A8B">
                      <w:pPr>
                        <w:rPr>
                          <w:rFonts w:ascii="Times New Roman" w:hAnsi="Times New Roman" w:cs="Times New Roman"/>
                        </w:rPr>
                      </w:pPr>
                    </w:p>
                    <w:p w14:paraId="3E0E4B85" w14:textId="77777777" w:rsidR="00037A8B" w:rsidRPr="002E70A2" w:rsidRDefault="00037A8B" w:rsidP="00037A8B">
                      <w:pPr>
                        <w:rPr>
                          <w:rFonts w:ascii="Times New Roman" w:hAnsi="Times New Roman" w:cs="Times New Roman"/>
                        </w:rPr>
                      </w:pPr>
                    </w:p>
                    <w:p w14:paraId="457408F4" w14:textId="77777777" w:rsidR="00037A8B" w:rsidRPr="002E70A2" w:rsidRDefault="00037A8B" w:rsidP="00037A8B">
                      <w:pPr>
                        <w:rPr>
                          <w:rFonts w:ascii="Times New Roman" w:hAnsi="Times New Roman" w:cs="Times New Roman"/>
                        </w:rPr>
                      </w:pPr>
                    </w:p>
                    <w:p w14:paraId="0F88581A" w14:textId="77777777" w:rsidR="00037A8B" w:rsidRDefault="00037A8B" w:rsidP="00037A8B">
                      <w:pPr>
                        <w:rPr>
                          <w:rFonts w:ascii="Times New Roman" w:hAnsi="Times New Roman" w:cs="Times New Roman"/>
                        </w:rPr>
                      </w:pPr>
                    </w:p>
                    <w:p w14:paraId="7CA8A0A7" w14:textId="77777777" w:rsidR="00037A8B" w:rsidRDefault="00037A8B" w:rsidP="00037A8B">
                      <w:pPr>
                        <w:rPr>
                          <w:rFonts w:ascii="Times New Roman" w:hAnsi="Times New Roman" w:cs="Times New Roman"/>
                        </w:rPr>
                      </w:pPr>
                    </w:p>
                    <w:p w14:paraId="6C28243F" w14:textId="77777777" w:rsidR="00037A8B" w:rsidRPr="002E70A2" w:rsidRDefault="00037A8B" w:rsidP="00037A8B">
                      <w:pPr>
                        <w:rPr>
                          <w:rFonts w:ascii="Times New Roman" w:hAnsi="Times New Roman" w:cs="Times New Roman"/>
                        </w:rPr>
                      </w:pPr>
                    </w:p>
                    <w:p w14:paraId="5B036F35" w14:textId="77777777" w:rsidR="00037A8B" w:rsidRPr="002E70A2" w:rsidRDefault="00037A8B" w:rsidP="00037A8B">
                      <w:pPr>
                        <w:rPr>
                          <w:rFonts w:ascii="Times New Roman" w:hAnsi="Times New Roman" w:cs="Times New Roman"/>
                        </w:rPr>
                      </w:pPr>
                      <w:r w:rsidRPr="002E70A2">
                        <w:rPr>
                          <w:rFonts w:ascii="Times New Roman" w:hAnsi="Times New Roman" w:cs="Times New Roman"/>
                        </w:rPr>
                        <w:t>b)</w:t>
                      </w:r>
                    </w:p>
                  </w:txbxContent>
                </v:textbox>
              </v:shape>
            </w:pict>
          </mc:Fallback>
        </mc:AlternateContent>
      </w:r>
      <w:r w:rsidRPr="00792B36">
        <w:rPr>
          <w:b/>
          <w:bCs/>
          <w:noProof/>
          <w:sz w:val="24"/>
          <w:szCs w:val="24"/>
        </w:rPr>
        <w:drawing>
          <wp:inline distT="0" distB="0" distL="0" distR="0" wp14:anchorId="30054606" wp14:editId="735BA774">
            <wp:extent cx="5805055" cy="4438015"/>
            <wp:effectExtent l="0" t="0" r="5715" b="635"/>
            <wp:docPr id="1233334447" name="Picture 1" descr="A graph of different colored line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33334447" name="Picture 1" descr="A graph of different colored lines&#10;&#10;AI-generated content may be incorrect."/>
                    <pic:cNvPicPr/>
                  </pic:nvPicPr>
                  <pic:blipFill>
                    <a:blip r:embed="rId80"/>
                    <a:stretch>
                      <a:fillRect/>
                    </a:stretch>
                  </pic:blipFill>
                  <pic:spPr>
                    <a:xfrm>
                      <a:off x="0" y="0"/>
                      <a:ext cx="5807463" cy="4439856"/>
                    </a:xfrm>
                    <a:prstGeom prst="rect">
                      <a:avLst/>
                    </a:prstGeom>
                  </pic:spPr>
                </pic:pic>
              </a:graphicData>
            </a:graphic>
          </wp:inline>
        </w:drawing>
      </w:r>
    </w:p>
    <w:p w14:paraId="776B646A" w14:textId="77777777" w:rsidR="00037A8B" w:rsidRPr="00792B36" w:rsidRDefault="00037A8B" w:rsidP="00037A8B">
      <w:pPr>
        <w:rPr>
          <w:sz w:val="24"/>
          <w:szCs w:val="24"/>
        </w:rPr>
      </w:pPr>
      <w:r w:rsidRPr="00792B36">
        <w:rPr>
          <w:b/>
          <w:bCs/>
          <w:sz w:val="24"/>
          <w:szCs w:val="24"/>
        </w:rPr>
        <w:t xml:space="preserve">Figure 5 </w:t>
      </w:r>
      <w:r w:rsidRPr="00792B36">
        <w:rPr>
          <w:sz w:val="24"/>
          <w:szCs w:val="24"/>
        </w:rPr>
        <w:t>Results of Stock Status Plot in the Gulf of Thailand (Sea Around Us, 2025a)</w:t>
      </w:r>
    </w:p>
    <w:p w14:paraId="6DF8283F" w14:textId="77777777" w:rsidR="00037A8B" w:rsidRPr="00792B36" w:rsidRDefault="00037A8B" w:rsidP="00037A8B">
      <w:pPr>
        <w:ind w:firstLine="720"/>
        <w:rPr>
          <w:sz w:val="24"/>
          <w:szCs w:val="24"/>
        </w:rPr>
      </w:pPr>
      <w:r w:rsidRPr="00792B36">
        <w:rPr>
          <w:sz w:val="24"/>
          <w:szCs w:val="24"/>
        </w:rPr>
        <w:t xml:space="preserve">   a) percentage of catches from stocks of a given status</w:t>
      </w:r>
    </w:p>
    <w:p w14:paraId="642CEEBF" w14:textId="77777777" w:rsidR="00037A8B" w:rsidRPr="00792B36" w:rsidRDefault="00037A8B" w:rsidP="00037A8B">
      <w:pPr>
        <w:ind w:firstLine="720"/>
        <w:rPr>
          <w:sz w:val="24"/>
          <w:szCs w:val="24"/>
        </w:rPr>
      </w:pPr>
      <w:r w:rsidRPr="00792B36">
        <w:rPr>
          <w:sz w:val="24"/>
          <w:szCs w:val="24"/>
        </w:rPr>
        <w:t xml:space="preserve">   b) percentage of stocks of a given status</w:t>
      </w:r>
    </w:p>
    <w:p w14:paraId="2AD00AF3" w14:textId="77777777" w:rsidR="00037A8B" w:rsidRPr="00792B36" w:rsidRDefault="00037A8B" w:rsidP="00037A8B">
      <w:pPr>
        <w:pStyle w:val="ListParagraph"/>
        <w:spacing w:before="120"/>
        <w:ind w:left="2204"/>
        <w:outlineLvl w:val="2"/>
        <w:rPr>
          <w:rFonts w:eastAsia="Times New Roman" w:cs="Arial"/>
          <w:caps/>
          <w:sz w:val="24"/>
          <w:szCs w:val="24"/>
        </w:rPr>
      </w:pPr>
    </w:p>
    <w:p w14:paraId="0A40E5E5" w14:textId="04BDB706" w:rsidR="00037A8B" w:rsidRPr="00792B36" w:rsidRDefault="00037A8B" w:rsidP="00037A8B">
      <w:pPr>
        <w:ind w:firstLine="720"/>
        <w:rPr>
          <w:b/>
          <w:bCs/>
          <w:sz w:val="24"/>
          <w:szCs w:val="24"/>
        </w:rPr>
      </w:pPr>
      <w:r w:rsidRPr="00792B36">
        <w:rPr>
          <w:b/>
          <w:bCs/>
          <w:sz w:val="24"/>
          <w:szCs w:val="24"/>
        </w:rPr>
        <w:t>5.</w:t>
      </w:r>
      <w:r w:rsidR="008C2A6B" w:rsidRPr="00792B36">
        <w:rPr>
          <w:b/>
          <w:bCs/>
          <w:sz w:val="24"/>
          <w:szCs w:val="24"/>
        </w:rPr>
        <w:t>4.</w:t>
      </w:r>
      <w:r w:rsidRPr="00792B36">
        <w:rPr>
          <w:b/>
          <w:bCs/>
          <w:sz w:val="24"/>
          <w:szCs w:val="24"/>
        </w:rPr>
        <w:t xml:space="preserve">6 </w:t>
      </w:r>
      <w:r w:rsidRPr="00792B36">
        <w:rPr>
          <w:rFonts w:eastAsia="Times New Roman"/>
          <w:b/>
          <w:bCs/>
          <w:color w:val="000000" w:themeColor="text1"/>
          <w:sz w:val="24"/>
          <w:szCs w:val="24"/>
        </w:rPr>
        <w:t>Primary Production Required for catches (</w:t>
      </w:r>
      <w:r w:rsidRPr="00792B36">
        <w:rPr>
          <w:b/>
          <w:bCs/>
          <w:sz w:val="24"/>
          <w:szCs w:val="24"/>
        </w:rPr>
        <w:t>PPR)</w:t>
      </w:r>
    </w:p>
    <w:p w14:paraId="76C03EF5" w14:textId="77777777" w:rsidR="00037A8B" w:rsidRPr="00792B36" w:rsidRDefault="00037A8B" w:rsidP="00037A8B">
      <w:pPr>
        <w:rPr>
          <w:b/>
          <w:bCs/>
          <w:sz w:val="24"/>
          <w:szCs w:val="24"/>
        </w:rPr>
      </w:pPr>
    </w:p>
    <w:p w14:paraId="483C22C2" w14:textId="77777777" w:rsidR="00037A8B" w:rsidRPr="00792B36" w:rsidRDefault="00037A8B" w:rsidP="00037A8B">
      <w:pPr>
        <w:ind w:firstLine="720"/>
        <w:jc w:val="thaiDistribute"/>
        <w:rPr>
          <w:sz w:val="24"/>
          <w:szCs w:val="24"/>
        </w:rPr>
      </w:pPr>
      <w:r w:rsidRPr="00792B36">
        <w:rPr>
          <w:sz w:val="24"/>
          <w:szCs w:val="24"/>
        </w:rPr>
        <w:t>Key periods of change in the Primary Production Required (PPR) for catches in the Gulf of Thailand can be identified across several decades. During the 1950s and 1960s, PPR values were low and relatively stable, suggesting limited fishing pressure and a healthier equilibrium with the region’s primary production. In contrast, the 1970s through the 1990s showed a steady and rapid increase in PPR, reaching the maximum PPR fraction of 2.67582 and reflecting the intensification of fishing activities. This increase was likely driven by the development of fisheries, an expansion in fleet capacity, and higher catch volumes. Between the 2000s and 2010s, PPR remained high and fluctuated, indicating ongoing and potentially unsustainable fishing pressure (Figure 6) (Sea Around Us, 2025b).</w:t>
      </w:r>
    </w:p>
    <w:p w14:paraId="460E3994" w14:textId="77777777" w:rsidR="00037A8B" w:rsidRPr="00792B36" w:rsidRDefault="00037A8B" w:rsidP="00037A8B">
      <w:pPr>
        <w:ind w:firstLine="720"/>
        <w:jc w:val="thaiDistribute"/>
        <w:rPr>
          <w:sz w:val="24"/>
          <w:szCs w:val="24"/>
        </w:rPr>
      </w:pPr>
      <w:r w:rsidRPr="00792B36">
        <w:rPr>
          <w:sz w:val="24"/>
          <w:szCs w:val="24"/>
        </w:rPr>
        <w:t>Ecologically, a PPR value exceeding 1% is typically viewed as a warning sign of possible ecosystem overfishing, as it suggests that fisheries are consuming a significant share of the ocean’s primary production. In the Gulf of Thailand, PPR has far exceeded this threshold, which implies that the fishery may be ecologically unsustainable. This situation could result in a decline in fish stocks, trigger trophic cascades, and reduce the overall resilience of the marine ecosystem.</w:t>
      </w:r>
    </w:p>
    <w:p w14:paraId="2AC3B916" w14:textId="77777777" w:rsidR="00037A8B" w:rsidRPr="00792B36" w:rsidRDefault="00037A8B" w:rsidP="00037A8B">
      <w:pPr>
        <w:ind w:firstLine="720"/>
        <w:jc w:val="thaiDistribute"/>
        <w:rPr>
          <w:sz w:val="24"/>
          <w:szCs w:val="24"/>
        </w:rPr>
      </w:pPr>
    </w:p>
    <w:p w14:paraId="31A03E0F" w14:textId="77777777" w:rsidR="00037A8B" w:rsidRPr="00792B36" w:rsidRDefault="00037A8B" w:rsidP="00037A8B">
      <w:pPr>
        <w:rPr>
          <w:sz w:val="24"/>
          <w:szCs w:val="24"/>
        </w:rPr>
      </w:pPr>
      <w:r w:rsidRPr="00792B36">
        <w:rPr>
          <w:noProof/>
          <w:sz w:val="24"/>
          <w:szCs w:val="24"/>
        </w:rPr>
        <w:lastRenderedPageBreak/>
        <w:drawing>
          <wp:inline distT="0" distB="0" distL="0" distR="0" wp14:anchorId="4C5E477D" wp14:editId="1E3407A7">
            <wp:extent cx="5943600" cy="2584450"/>
            <wp:effectExtent l="0" t="0" r="0" b="6350"/>
            <wp:docPr id="650554532" name="Picture 1" descr="A graph showing the growth of a stock market&#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50554532" name="Picture 1" descr="A graph showing the growth of a stock market&#10;&#10;AI-generated content may be incorrect."/>
                    <pic:cNvPicPr/>
                  </pic:nvPicPr>
                  <pic:blipFill rotWithShape="1">
                    <a:blip r:embed="rId81"/>
                    <a:srcRect t="2399"/>
                    <a:stretch>
                      <a:fillRect/>
                    </a:stretch>
                  </pic:blipFill>
                  <pic:spPr bwMode="auto">
                    <a:xfrm>
                      <a:off x="0" y="0"/>
                      <a:ext cx="5943600" cy="2584450"/>
                    </a:xfrm>
                    <a:prstGeom prst="rect">
                      <a:avLst/>
                    </a:prstGeom>
                    <a:ln>
                      <a:noFill/>
                    </a:ln>
                    <a:extLst>
                      <a:ext uri="{53640926-AAD7-44D8-BBD7-CCE9431645EC}">
                        <a14:shadowObscured xmlns:a14="http://schemas.microsoft.com/office/drawing/2010/main"/>
                      </a:ext>
                    </a:extLst>
                  </pic:spPr>
                </pic:pic>
              </a:graphicData>
            </a:graphic>
          </wp:inline>
        </w:drawing>
      </w:r>
    </w:p>
    <w:p w14:paraId="6B79A0B6" w14:textId="77777777" w:rsidR="00037A8B" w:rsidRPr="00792B36" w:rsidRDefault="00037A8B" w:rsidP="00037A8B">
      <w:pPr>
        <w:rPr>
          <w:sz w:val="24"/>
          <w:szCs w:val="24"/>
        </w:rPr>
      </w:pPr>
    </w:p>
    <w:p w14:paraId="34174919" w14:textId="77777777" w:rsidR="00037A8B" w:rsidRPr="00792B36" w:rsidRDefault="00037A8B" w:rsidP="00037A8B">
      <w:pPr>
        <w:ind w:left="910" w:hanging="910"/>
        <w:rPr>
          <w:b/>
          <w:bCs/>
          <w:sz w:val="24"/>
          <w:szCs w:val="24"/>
        </w:rPr>
      </w:pPr>
      <w:r w:rsidRPr="00792B36">
        <w:rPr>
          <w:b/>
          <w:bCs/>
          <w:sz w:val="24"/>
          <w:szCs w:val="24"/>
        </w:rPr>
        <w:t xml:space="preserve">Figure 6 </w:t>
      </w:r>
      <w:r w:rsidRPr="00792B36">
        <w:rPr>
          <w:rFonts w:eastAsia="Times New Roman"/>
          <w:color w:val="000000" w:themeColor="text1"/>
          <w:sz w:val="24"/>
          <w:szCs w:val="24"/>
        </w:rPr>
        <w:t xml:space="preserve">Primary Production Required for catches in the Thai waters of the Gulf of Thailand    between 1950 and 2019 </w:t>
      </w:r>
      <w:r w:rsidRPr="00792B36">
        <w:rPr>
          <w:sz w:val="24"/>
          <w:szCs w:val="24"/>
        </w:rPr>
        <w:t>(Sea Around Us, 2025b)</w:t>
      </w:r>
    </w:p>
    <w:p w14:paraId="7C5C1BF8" w14:textId="77777777" w:rsidR="00037A8B" w:rsidRPr="00792B36" w:rsidRDefault="00037A8B" w:rsidP="00037A8B">
      <w:pPr>
        <w:rPr>
          <w:sz w:val="24"/>
          <w:szCs w:val="24"/>
        </w:rPr>
      </w:pPr>
    </w:p>
    <w:p w14:paraId="74A9FBC4" w14:textId="4458342A" w:rsidR="00037A8B" w:rsidRPr="00792B36" w:rsidRDefault="00037A8B" w:rsidP="00037A8B">
      <w:pPr>
        <w:ind w:firstLine="720"/>
        <w:rPr>
          <w:b/>
          <w:bCs/>
          <w:sz w:val="24"/>
          <w:szCs w:val="24"/>
        </w:rPr>
      </w:pPr>
      <w:r w:rsidRPr="00792B36">
        <w:rPr>
          <w:b/>
          <w:bCs/>
          <w:sz w:val="24"/>
          <w:szCs w:val="24"/>
        </w:rPr>
        <w:t>5.</w:t>
      </w:r>
      <w:r w:rsidR="008C2A6B" w:rsidRPr="00792B36">
        <w:rPr>
          <w:b/>
          <w:bCs/>
          <w:sz w:val="24"/>
          <w:szCs w:val="24"/>
        </w:rPr>
        <w:t>4.</w:t>
      </w:r>
      <w:r w:rsidRPr="00792B36">
        <w:rPr>
          <w:b/>
          <w:bCs/>
          <w:sz w:val="24"/>
          <w:szCs w:val="24"/>
        </w:rPr>
        <w:t xml:space="preserve">7 </w:t>
      </w:r>
      <w:bookmarkStart w:id="23" w:name="_Hlk215780519"/>
      <w:r w:rsidRPr="00792B36">
        <w:rPr>
          <w:b/>
          <w:bCs/>
          <w:sz w:val="24"/>
          <w:szCs w:val="24"/>
        </w:rPr>
        <w:t>Marine Trophic Index</w:t>
      </w:r>
      <w:bookmarkEnd w:id="23"/>
      <w:r w:rsidRPr="00792B36">
        <w:rPr>
          <w:b/>
          <w:bCs/>
          <w:sz w:val="24"/>
          <w:szCs w:val="24"/>
        </w:rPr>
        <w:t xml:space="preserve"> (MTI)</w:t>
      </w:r>
    </w:p>
    <w:p w14:paraId="382C8604" w14:textId="77777777" w:rsidR="00037A8B" w:rsidRPr="00792B36" w:rsidRDefault="00037A8B" w:rsidP="00037A8B">
      <w:pPr>
        <w:rPr>
          <w:b/>
          <w:bCs/>
          <w:sz w:val="24"/>
          <w:szCs w:val="24"/>
        </w:rPr>
      </w:pPr>
    </w:p>
    <w:p w14:paraId="1F1E0C04" w14:textId="77777777" w:rsidR="00037A8B" w:rsidRPr="00792B36" w:rsidRDefault="00037A8B" w:rsidP="00037A8B">
      <w:pPr>
        <w:jc w:val="thaiDistribute"/>
        <w:rPr>
          <w:sz w:val="24"/>
          <w:szCs w:val="24"/>
        </w:rPr>
      </w:pPr>
      <w:r w:rsidRPr="00792B36">
        <w:rPr>
          <w:sz w:val="24"/>
          <w:szCs w:val="24"/>
        </w:rPr>
        <w:tab/>
        <w:t xml:space="preserve">To calculate the Marine Trophic Index (MTI), fisheries resources in the Gulf of Thailand were classified into 39 groups with similar trophic levels based on their dietary habits and ecological roles. The trophic level for each species or group was calculated using diet composition data. The trophic levels were found to be as low as 2.1994 for shellfish, 2.3454 – 2.3458 for shrimp and prawn, and 2.5574 for trash fish. Coastal tunas, </w:t>
      </w:r>
      <w:r w:rsidRPr="00792B36">
        <w:rPr>
          <w:color w:val="000000"/>
          <w:sz w:val="24"/>
          <w:szCs w:val="24"/>
        </w:rPr>
        <w:t>large piscivores (e.g. grouper), and s</w:t>
      </w:r>
      <w:r w:rsidRPr="00792B36">
        <w:rPr>
          <w:sz w:val="24"/>
          <w:szCs w:val="24"/>
        </w:rPr>
        <w:t>harks are among the top predators in the marine ecosystems, with trophic level exceeding 4.0000 (Appendix Table 9).</w:t>
      </w:r>
    </w:p>
    <w:p w14:paraId="5EBFB0A5" w14:textId="77777777" w:rsidR="00037A8B" w:rsidRPr="00792B36" w:rsidRDefault="00037A8B" w:rsidP="00037A8B">
      <w:pPr>
        <w:jc w:val="thaiDistribute"/>
        <w:rPr>
          <w:sz w:val="24"/>
          <w:szCs w:val="24"/>
        </w:rPr>
      </w:pPr>
      <w:r w:rsidRPr="00792B36">
        <w:rPr>
          <w:sz w:val="24"/>
          <w:szCs w:val="24"/>
        </w:rPr>
        <w:tab/>
        <w:t xml:space="preserve">MTI was calculated for the period between 1990 and 2023. During the 1990s, the MTI was relatively high, exceeding 3.7600, and reached the maximum of 3.8462 in 1997. After that, MTI declined and dropped to its lowest value of 3.6959 in 2009. However, as a result of the implementation of the Royal Ordinance on Fisheries B.E. 2558 (2015), the MTI increased steadily and reached its highest level in 2023 at 3.7651, the highest value since 2000 (Figure 7). </w:t>
      </w:r>
    </w:p>
    <w:p w14:paraId="7AE896CF" w14:textId="77777777" w:rsidR="00037A8B" w:rsidRPr="00792B36" w:rsidRDefault="00037A8B" w:rsidP="00037A8B">
      <w:pPr>
        <w:jc w:val="thaiDistribute"/>
        <w:rPr>
          <w:sz w:val="24"/>
          <w:szCs w:val="24"/>
        </w:rPr>
      </w:pPr>
    </w:p>
    <w:p w14:paraId="47EE807B" w14:textId="77777777" w:rsidR="00037A8B" w:rsidRPr="00792B36" w:rsidRDefault="00037A8B" w:rsidP="00037A8B">
      <w:pPr>
        <w:ind w:left="966" w:hanging="966"/>
        <w:jc w:val="thaiDistribute"/>
        <w:rPr>
          <w:sz w:val="24"/>
          <w:szCs w:val="24"/>
        </w:rPr>
      </w:pPr>
    </w:p>
    <w:p w14:paraId="23C3BD23" w14:textId="77777777" w:rsidR="00037A8B" w:rsidRPr="00792B36" w:rsidRDefault="00037A8B" w:rsidP="00037A8B">
      <w:pPr>
        <w:ind w:left="966" w:hanging="966"/>
        <w:jc w:val="thaiDistribute"/>
        <w:rPr>
          <w:sz w:val="24"/>
          <w:szCs w:val="24"/>
        </w:rPr>
      </w:pPr>
    </w:p>
    <w:p w14:paraId="273BA203" w14:textId="77777777" w:rsidR="00037A8B" w:rsidRPr="00792B36" w:rsidRDefault="00037A8B" w:rsidP="00037A8B">
      <w:pPr>
        <w:ind w:left="966" w:hanging="966"/>
        <w:jc w:val="thaiDistribute"/>
        <w:rPr>
          <w:sz w:val="24"/>
          <w:szCs w:val="24"/>
        </w:rPr>
      </w:pPr>
      <w:r w:rsidRPr="00792B36">
        <w:rPr>
          <w:noProof/>
          <w:sz w:val="24"/>
          <w:szCs w:val="24"/>
        </w:rPr>
        <w:lastRenderedPageBreak/>
        <w:drawing>
          <wp:inline distT="0" distB="0" distL="0" distR="0" wp14:anchorId="2F0D09B3" wp14:editId="2239E3C8">
            <wp:extent cx="5623560" cy="2743200"/>
            <wp:effectExtent l="0" t="0" r="0" b="0"/>
            <wp:docPr id="1346461735" name="Chart 1">
              <a:extLst xmlns:a="http://schemas.openxmlformats.org/drawingml/2006/main">
                <a:ext uri="{FF2B5EF4-FFF2-40B4-BE49-F238E27FC236}">
                  <a16:creationId xmlns:a16="http://schemas.microsoft.com/office/drawing/2014/main" id="{ED8B4023-C932-AF78-D109-3BB84E5088B8}"/>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82"/>
              </a:graphicData>
            </a:graphic>
          </wp:inline>
        </w:drawing>
      </w:r>
    </w:p>
    <w:p w14:paraId="35C30CB4" w14:textId="77777777" w:rsidR="00037A8B" w:rsidRPr="00792B36" w:rsidRDefault="00037A8B" w:rsidP="00037A8B">
      <w:pPr>
        <w:ind w:left="966" w:hanging="966"/>
        <w:jc w:val="thaiDistribute"/>
        <w:rPr>
          <w:b/>
          <w:bCs/>
          <w:sz w:val="24"/>
          <w:szCs w:val="24"/>
        </w:rPr>
      </w:pPr>
    </w:p>
    <w:p w14:paraId="16CB3766" w14:textId="77777777" w:rsidR="00037A8B" w:rsidRPr="00792B36" w:rsidRDefault="00037A8B" w:rsidP="00037A8B">
      <w:pPr>
        <w:ind w:left="966" w:hanging="966"/>
        <w:jc w:val="thaiDistribute"/>
        <w:rPr>
          <w:b/>
          <w:bCs/>
          <w:sz w:val="24"/>
          <w:szCs w:val="24"/>
        </w:rPr>
      </w:pPr>
      <w:r w:rsidRPr="00792B36">
        <w:rPr>
          <w:b/>
          <w:bCs/>
          <w:sz w:val="24"/>
          <w:szCs w:val="24"/>
        </w:rPr>
        <w:t>Figure 7</w:t>
      </w:r>
      <w:r w:rsidRPr="00792B36">
        <w:rPr>
          <w:sz w:val="24"/>
          <w:szCs w:val="24"/>
        </w:rPr>
        <w:t xml:space="preserve"> Marine Trophic Index (MTI) in the Gulf of Thailand between 1990 and 2023</w:t>
      </w:r>
    </w:p>
    <w:p w14:paraId="0D190E03" w14:textId="77777777" w:rsidR="00037A8B" w:rsidRPr="00792B36" w:rsidRDefault="00037A8B" w:rsidP="00037A8B">
      <w:pPr>
        <w:rPr>
          <w:b/>
          <w:bCs/>
          <w:sz w:val="24"/>
          <w:szCs w:val="24"/>
        </w:rPr>
      </w:pPr>
    </w:p>
    <w:p w14:paraId="153B4749" w14:textId="63081F07" w:rsidR="00037A8B" w:rsidRPr="00792B36" w:rsidRDefault="008C2A6B" w:rsidP="00037A8B">
      <w:pPr>
        <w:rPr>
          <w:b/>
          <w:bCs/>
          <w:sz w:val="24"/>
          <w:szCs w:val="24"/>
        </w:rPr>
      </w:pPr>
      <w:r w:rsidRPr="00792B36">
        <w:rPr>
          <w:b/>
          <w:bCs/>
          <w:sz w:val="24"/>
          <w:szCs w:val="24"/>
        </w:rPr>
        <w:t xml:space="preserve">5.5 </w:t>
      </w:r>
      <w:r w:rsidR="00037A8B" w:rsidRPr="00792B36">
        <w:rPr>
          <w:b/>
          <w:bCs/>
          <w:sz w:val="24"/>
          <w:szCs w:val="24"/>
        </w:rPr>
        <w:t>Transboundary problems and issues</w:t>
      </w:r>
    </w:p>
    <w:p w14:paraId="1E2A65DB" w14:textId="77777777" w:rsidR="00037A8B" w:rsidRPr="00792B36" w:rsidRDefault="00037A8B" w:rsidP="00037A8B">
      <w:pPr>
        <w:rPr>
          <w:b/>
          <w:bCs/>
          <w:sz w:val="24"/>
          <w:szCs w:val="24"/>
        </w:rPr>
      </w:pPr>
    </w:p>
    <w:p w14:paraId="5B924E16" w14:textId="77777777" w:rsidR="00037A8B" w:rsidRPr="00792B36" w:rsidRDefault="00037A8B" w:rsidP="00037A8B">
      <w:pPr>
        <w:ind w:firstLine="720"/>
        <w:jc w:val="thaiDistribute"/>
        <w:rPr>
          <w:sz w:val="24"/>
          <w:szCs w:val="24"/>
        </w:rPr>
      </w:pPr>
      <w:r w:rsidRPr="00792B36">
        <w:rPr>
          <w:sz w:val="24"/>
          <w:szCs w:val="24"/>
        </w:rPr>
        <w:t xml:space="preserve">Fish stock assessment should be conducted covering the entire population of each species that share common biological characteristics, such as sharing common growth and mortality parameters. In addition, fisheries management requires comprehensive protection throughout the life cycle, requiring knowledge of spawning, nursery, and feeding grounds, etc. Management measures to conserve critical life stages, such as seasonal area closure in Thailand, still only consider migration routes and life history studies only in Thai waters. Several species in the Gulf of Thailand and the South China Sea are known to migrate across boundaries based on empirical knowledge; however, there is still a lack of clear research on the migration routes of aquatic animals in these regions. Therefore, studying the migration routes of aquatic animals in the Gulf of Thailand and the South China Sea is important for fisheries management, especially for highly migratory species such as neritic tunas. </w:t>
      </w:r>
    </w:p>
    <w:p w14:paraId="16CA7F6E" w14:textId="77777777" w:rsidR="00037A8B" w:rsidRPr="00792B36" w:rsidRDefault="00037A8B" w:rsidP="00037A8B">
      <w:pPr>
        <w:ind w:firstLine="720"/>
        <w:jc w:val="thaiDistribute"/>
        <w:rPr>
          <w:sz w:val="24"/>
          <w:szCs w:val="24"/>
        </w:rPr>
      </w:pPr>
      <w:r w:rsidRPr="00792B36">
        <w:rPr>
          <w:sz w:val="24"/>
          <w:szCs w:val="24"/>
        </w:rPr>
        <w:t xml:space="preserve">Furthermore, after studying the stock status of transboundary species, these shared stocks require cooperative management. Management of transboundary species by any single country may not achieve sustainability targets or may only address part of the life cycle. Regional fisheries resource management may be implemented through the development of regional fisheries management plans. </w:t>
      </w:r>
    </w:p>
    <w:p w14:paraId="718765D7" w14:textId="77777777" w:rsidR="00037A8B" w:rsidRPr="00792B36" w:rsidRDefault="00037A8B" w:rsidP="00037A8B">
      <w:pPr>
        <w:ind w:firstLine="720"/>
        <w:jc w:val="thaiDistribute"/>
        <w:rPr>
          <w:sz w:val="24"/>
          <w:szCs w:val="24"/>
        </w:rPr>
      </w:pPr>
    </w:p>
    <w:p w14:paraId="725AE2DC" w14:textId="5096A0B0" w:rsidR="00037A8B" w:rsidRPr="00792B36" w:rsidRDefault="008C2A6B" w:rsidP="00037A8B">
      <w:pPr>
        <w:rPr>
          <w:b/>
          <w:bCs/>
          <w:sz w:val="24"/>
          <w:szCs w:val="24"/>
        </w:rPr>
      </w:pPr>
      <w:r w:rsidRPr="00792B36">
        <w:rPr>
          <w:b/>
          <w:bCs/>
          <w:sz w:val="24"/>
          <w:szCs w:val="24"/>
        </w:rPr>
        <w:t>5.6</w:t>
      </w:r>
      <w:r w:rsidR="00037A8B" w:rsidRPr="00792B36">
        <w:rPr>
          <w:b/>
          <w:bCs/>
          <w:sz w:val="24"/>
          <w:szCs w:val="24"/>
        </w:rPr>
        <w:t xml:space="preserve"> Management and conservation efforts</w:t>
      </w:r>
    </w:p>
    <w:p w14:paraId="23BE1892" w14:textId="77777777" w:rsidR="00037A8B" w:rsidRPr="00792B36" w:rsidRDefault="00037A8B" w:rsidP="00037A8B">
      <w:pPr>
        <w:rPr>
          <w:b/>
          <w:bCs/>
          <w:sz w:val="24"/>
          <w:szCs w:val="24"/>
        </w:rPr>
      </w:pPr>
    </w:p>
    <w:p w14:paraId="4EC15C40" w14:textId="77777777" w:rsidR="00037A8B" w:rsidRPr="00792B36" w:rsidRDefault="00037A8B" w:rsidP="00037A8B">
      <w:pPr>
        <w:ind w:firstLine="720"/>
        <w:jc w:val="thaiDistribute"/>
        <w:rPr>
          <w:sz w:val="24"/>
          <w:szCs w:val="24"/>
        </w:rPr>
      </w:pPr>
      <w:r w:rsidRPr="00792B36">
        <w:rPr>
          <w:sz w:val="24"/>
          <w:szCs w:val="24"/>
        </w:rPr>
        <w:t xml:space="preserve">The current management of Thai fisheries is governed by the Royal Ordinance on Fisheries B.E. </w:t>
      </w:r>
      <w:r w:rsidRPr="00792B36">
        <w:rPr>
          <w:sz w:val="24"/>
          <w:szCs w:val="24"/>
          <w:cs/>
        </w:rPr>
        <w:t>2558 (2015)</w:t>
      </w:r>
      <w:r w:rsidRPr="00792B36">
        <w:rPr>
          <w:sz w:val="24"/>
          <w:szCs w:val="24"/>
        </w:rPr>
        <w:t xml:space="preserve">, which has been amended twice: the first is the Royal Ordinance on Fisheries (No. </w:t>
      </w:r>
      <w:r w:rsidRPr="00792B36">
        <w:rPr>
          <w:sz w:val="24"/>
          <w:szCs w:val="24"/>
          <w:cs/>
        </w:rPr>
        <w:t xml:space="preserve">2) </w:t>
      </w:r>
      <w:r w:rsidRPr="00792B36">
        <w:rPr>
          <w:sz w:val="24"/>
          <w:szCs w:val="24"/>
        </w:rPr>
        <w:t xml:space="preserve">B.E. </w:t>
      </w:r>
      <w:r w:rsidRPr="00792B36">
        <w:rPr>
          <w:sz w:val="24"/>
          <w:szCs w:val="24"/>
          <w:cs/>
        </w:rPr>
        <w:t>25</w:t>
      </w:r>
      <w:r w:rsidRPr="00792B36">
        <w:rPr>
          <w:sz w:val="24"/>
          <w:szCs w:val="24"/>
        </w:rPr>
        <w:t xml:space="preserve">60 </w:t>
      </w:r>
      <w:r w:rsidRPr="00792B36">
        <w:rPr>
          <w:sz w:val="24"/>
          <w:szCs w:val="24"/>
          <w:cs/>
        </w:rPr>
        <w:t>(2017)</w:t>
      </w:r>
      <w:r w:rsidRPr="00792B36">
        <w:rPr>
          <w:sz w:val="24"/>
          <w:szCs w:val="24"/>
        </w:rPr>
        <w:t xml:space="preserve"> and the second is the Act Amending the Royal Ordinance on Fisheries B.E 2558 (2015) B.E. 2568 (2025). The provisions of this Royal Ordinance aim to reorganize fisheries in Thailand to prevent IUU fishing in order to preserve aquatic animal resources as a sustainable source of food for humanity and preserve the environment in an appropriate state along the criteria and standards recognized internationally. The key principles and management measures under this law for the management of marine fisheries are shown in Appendix B.</w:t>
      </w:r>
    </w:p>
    <w:p w14:paraId="6AFCDA77" w14:textId="77777777" w:rsidR="00037A8B" w:rsidRPr="00792B36" w:rsidRDefault="00037A8B" w:rsidP="00037A8B">
      <w:pPr>
        <w:ind w:firstLine="720"/>
        <w:jc w:val="thaiDistribute"/>
        <w:rPr>
          <w:sz w:val="24"/>
          <w:szCs w:val="24"/>
        </w:rPr>
      </w:pPr>
    </w:p>
    <w:p w14:paraId="0155F18F" w14:textId="70518CDA" w:rsidR="00037A8B" w:rsidRPr="00792B36" w:rsidRDefault="008C2A6B" w:rsidP="00037A8B">
      <w:pPr>
        <w:jc w:val="thaiDistribute"/>
        <w:rPr>
          <w:b/>
          <w:bCs/>
          <w:sz w:val="24"/>
          <w:szCs w:val="24"/>
        </w:rPr>
      </w:pPr>
      <w:r w:rsidRPr="00792B36">
        <w:rPr>
          <w:b/>
          <w:bCs/>
          <w:sz w:val="24"/>
          <w:szCs w:val="24"/>
        </w:rPr>
        <w:t>5.7</w:t>
      </w:r>
      <w:r w:rsidR="00037A8B" w:rsidRPr="00792B36">
        <w:rPr>
          <w:b/>
          <w:bCs/>
          <w:sz w:val="24"/>
          <w:szCs w:val="24"/>
        </w:rPr>
        <w:t>. Regional cooperation</w:t>
      </w:r>
    </w:p>
    <w:p w14:paraId="5920A4D5" w14:textId="77777777" w:rsidR="00037A8B" w:rsidRPr="00792B36" w:rsidRDefault="00037A8B" w:rsidP="00037A8B">
      <w:pPr>
        <w:jc w:val="thaiDistribute"/>
        <w:rPr>
          <w:sz w:val="24"/>
          <w:szCs w:val="24"/>
        </w:rPr>
      </w:pPr>
    </w:p>
    <w:p w14:paraId="54606DD3" w14:textId="59593660" w:rsidR="00037A8B" w:rsidRPr="00792B36" w:rsidRDefault="008C2A6B" w:rsidP="00037A8B">
      <w:pPr>
        <w:ind w:firstLine="720"/>
        <w:jc w:val="thaiDistribute"/>
        <w:rPr>
          <w:b/>
          <w:bCs/>
          <w:sz w:val="24"/>
          <w:szCs w:val="24"/>
        </w:rPr>
      </w:pPr>
      <w:r w:rsidRPr="00792B36">
        <w:rPr>
          <w:b/>
          <w:bCs/>
          <w:sz w:val="24"/>
          <w:szCs w:val="24"/>
        </w:rPr>
        <w:t>5.7.</w:t>
      </w:r>
      <w:r w:rsidR="00037A8B" w:rsidRPr="00792B36">
        <w:rPr>
          <w:b/>
          <w:bCs/>
          <w:sz w:val="24"/>
          <w:szCs w:val="24"/>
        </w:rPr>
        <w:t>1 ASEAN Network for Combating IUU Fishing (AN-IUU)</w:t>
      </w:r>
    </w:p>
    <w:p w14:paraId="126212EB" w14:textId="77777777" w:rsidR="00037A8B" w:rsidRPr="00792B36" w:rsidRDefault="00037A8B" w:rsidP="00037A8B">
      <w:pPr>
        <w:tabs>
          <w:tab w:val="left" w:pos="2552"/>
        </w:tabs>
        <w:ind w:firstLine="1701"/>
        <w:jc w:val="thaiDistribute"/>
        <w:rPr>
          <w:rStyle w:val="y2iqfc"/>
          <w:sz w:val="24"/>
          <w:szCs w:val="24"/>
          <w:lang w:val="en"/>
        </w:rPr>
      </w:pPr>
    </w:p>
    <w:p w14:paraId="577C7DFD" w14:textId="77777777" w:rsidR="00037A8B" w:rsidRPr="00792B36" w:rsidRDefault="00037A8B" w:rsidP="00037A8B">
      <w:pPr>
        <w:ind w:firstLine="720"/>
        <w:jc w:val="thaiDistribute"/>
        <w:rPr>
          <w:sz w:val="24"/>
          <w:szCs w:val="24"/>
        </w:rPr>
      </w:pPr>
      <w:r w:rsidRPr="00792B36">
        <w:rPr>
          <w:sz w:val="24"/>
          <w:szCs w:val="24"/>
        </w:rPr>
        <w:t>The ASEAN Network for Combating IUU Fishing (AN-IUU) was initiated by Thailand during its chairmanship of the ASEAN Summit in 2019, aiming to ensure the sustainability of aquatic resources across the region. The project gained momentum both nationally and regionally, with Thailand actively advocating for its establishment. Approval was granted at the Special Senior Officials Meeting of the 40th ASEAN Ministers on Agriculture and Forestry (SSOM-40th AMAF) in Vietnam on August 5, 2019, and it was subsequently endorsed at the 41st ASEAN Ministers' Meeting on Agriculture and Forestry in Brunei Darussalam on October 15, 2019. Thailand serves as the host for the Network Centre and manages the AN-IUU Interactive Platform, an online system for fisheries information exchange among member states.</w:t>
      </w:r>
    </w:p>
    <w:p w14:paraId="5DFA2ABA" w14:textId="77777777" w:rsidR="00037A8B" w:rsidRPr="00792B36" w:rsidRDefault="00037A8B" w:rsidP="00037A8B">
      <w:pPr>
        <w:ind w:firstLine="720"/>
        <w:jc w:val="thaiDistribute"/>
        <w:rPr>
          <w:sz w:val="24"/>
          <w:szCs w:val="24"/>
        </w:rPr>
      </w:pPr>
      <w:r w:rsidRPr="00792B36">
        <w:rPr>
          <w:sz w:val="24"/>
          <w:szCs w:val="24"/>
        </w:rPr>
        <w:t>The main objectives of AN-IUU are to facilitate the sharing of information related to illegal, unreported, and unregulated (IUU) fishing, to establish clear rules and procedures for information exchange, and to strengthen regional cooperation in combating IUU fishing. The ASEAN Secretariat and the Department of Fisheries, with support from the Enhanced Regional EU-ASEAN Dialogue Instrument (E-READI) and the Directorate-General for Maritime Affairs and Fisheries (DG-MARE), developed guidelines for sharing and accessing IUU fishing-related information. These guidelines were agreed upon at the 30th ASEAN Sectoral Working Group on Fisheries meeting in June 2022. To promote effective use of the AN-IUU Interactive Platform, training sessions have been organized for network coordinators from ASEAN Member States, allowing them to practice data exchange and system operations. Thailand has also expressed willingness to provide further training to member states to maximize the platform's effectiveness in joint surveillance and combating IUU fishing activities.</w:t>
      </w:r>
    </w:p>
    <w:p w14:paraId="6145F6E9" w14:textId="77777777" w:rsidR="00037A8B" w:rsidRPr="00792B36" w:rsidRDefault="00037A8B" w:rsidP="00037A8B">
      <w:pPr>
        <w:ind w:firstLine="709"/>
        <w:jc w:val="thaiDistribute"/>
        <w:rPr>
          <w:b/>
          <w:bCs/>
          <w:sz w:val="24"/>
          <w:szCs w:val="24"/>
        </w:rPr>
      </w:pPr>
    </w:p>
    <w:p w14:paraId="541E4493" w14:textId="02913ADB" w:rsidR="00037A8B" w:rsidRPr="00792B36" w:rsidRDefault="008C2A6B" w:rsidP="00037A8B">
      <w:pPr>
        <w:ind w:firstLine="720"/>
        <w:jc w:val="thaiDistribute"/>
        <w:rPr>
          <w:b/>
          <w:bCs/>
          <w:sz w:val="24"/>
          <w:szCs w:val="24"/>
        </w:rPr>
      </w:pPr>
      <w:r w:rsidRPr="00792B36">
        <w:rPr>
          <w:b/>
          <w:bCs/>
          <w:sz w:val="24"/>
          <w:szCs w:val="24"/>
        </w:rPr>
        <w:t>5.7</w:t>
      </w:r>
      <w:r w:rsidR="00037A8B" w:rsidRPr="00792B36">
        <w:rPr>
          <w:b/>
          <w:bCs/>
          <w:sz w:val="24"/>
          <w:szCs w:val="24"/>
        </w:rPr>
        <w:t>.2 Regional Plan of Action to Promote Responsible Fishing Practices Including Combating IUU Fishing in the Region (RPOA-IUU)</w:t>
      </w:r>
    </w:p>
    <w:p w14:paraId="2839A5E1" w14:textId="77777777" w:rsidR="00037A8B" w:rsidRPr="00792B36" w:rsidRDefault="00037A8B" w:rsidP="00037A8B">
      <w:pPr>
        <w:rPr>
          <w:sz w:val="24"/>
          <w:szCs w:val="24"/>
        </w:rPr>
      </w:pPr>
    </w:p>
    <w:p w14:paraId="469D607C" w14:textId="77777777" w:rsidR="00037A8B" w:rsidRPr="00792B36" w:rsidRDefault="00037A8B" w:rsidP="00037A8B">
      <w:pPr>
        <w:ind w:firstLine="720"/>
        <w:jc w:val="thaiDistribute"/>
        <w:rPr>
          <w:sz w:val="24"/>
          <w:szCs w:val="24"/>
        </w:rPr>
      </w:pPr>
      <w:r w:rsidRPr="00792B36">
        <w:rPr>
          <w:sz w:val="24"/>
          <w:szCs w:val="24"/>
        </w:rPr>
        <w:t>The Regional Plan of Action to Promote Responsible Fishing Practices, Including Combating Illegal, Unreported, and Unregulated (IUU) Fishing in the Region (RPOA-IUU), was jointly initiated by the governments of Indonesia and Australia. The action plan was officially endorsed in Bali on May 4, 2007. Thailand, together with ten other participating countries—Australia, Brunei Darussalam, Cambodia, Indonesia, Malaysia, Papua New Guinea, the Philippines, Singapore, Timor-Leste, and Vietnam—engages in the RPOA-IUU on a voluntary basis. The primary objective of this initiative is to foster responsible fishing practices and to eliminate IUU fishing, with a particular emphasis on the South China Sea, the Sulu-Sulawesi Seas, and the Arafura-Timor Sea.</w:t>
      </w:r>
    </w:p>
    <w:p w14:paraId="1E8B5448" w14:textId="77777777" w:rsidR="00037A8B" w:rsidRPr="00792B36" w:rsidRDefault="00037A8B" w:rsidP="00037A8B">
      <w:pPr>
        <w:ind w:firstLine="720"/>
        <w:jc w:val="thaiDistribute"/>
        <w:rPr>
          <w:sz w:val="24"/>
          <w:szCs w:val="24"/>
        </w:rPr>
      </w:pPr>
      <w:r w:rsidRPr="00792B36">
        <w:rPr>
          <w:sz w:val="24"/>
          <w:szCs w:val="24"/>
        </w:rPr>
        <w:t xml:space="preserve">The RPOA-IUU is guided by a comprehensive work plan adapted from the International Plan of Action to Prevent, Deter and Eliminate Illegal, Unreported and Unregulated Fishing (IPOA-IUU) framework. This work plan encompasses twelve core elements, including the implementation of legal instruments, promotion of international cooperation, and delineation of responsibilities among coastal, flag, port, and market states. Key activities under the RPOA-IUU include human resource development, capacity building, enhancement of monitoring, control, and surveillance (MCS) systems, and regulation of fish transshipment. Meetings under this framework </w:t>
      </w:r>
      <w:r w:rsidRPr="00792B36">
        <w:rPr>
          <w:sz w:val="24"/>
          <w:szCs w:val="24"/>
        </w:rPr>
        <w:lastRenderedPageBreak/>
        <w:t>routinely involve advisory contributions from regional fisheries organizations such as SEAFDEC, FAO, and INFOFISH. While participation remains voluntary, member states have consistently demonstrated a strong commitment to collaboration. A Coordination Committee has been established to oversee the implementation and progress of the action plan. These collective efforts have resulted in more robust and effective regional measures to combat IUU fishing and have promoted increased accountability in fisheries management.</w:t>
      </w:r>
    </w:p>
    <w:p w14:paraId="622D22D3" w14:textId="77777777" w:rsidR="00037A8B" w:rsidRPr="00792B36" w:rsidRDefault="00037A8B" w:rsidP="00037A8B">
      <w:pPr>
        <w:rPr>
          <w:sz w:val="24"/>
          <w:szCs w:val="24"/>
        </w:rPr>
      </w:pPr>
    </w:p>
    <w:p w14:paraId="789DDC3B" w14:textId="244CA6C2" w:rsidR="00037A8B" w:rsidRPr="00792B36" w:rsidRDefault="008C2A6B" w:rsidP="00037A8B">
      <w:pPr>
        <w:ind w:firstLine="720"/>
        <w:jc w:val="thaiDistribute"/>
        <w:rPr>
          <w:b/>
          <w:bCs/>
          <w:sz w:val="24"/>
          <w:szCs w:val="24"/>
        </w:rPr>
      </w:pPr>
      <w:r w:rsidRPr="00792B36">
        <w:rPr>
          <w:b/>
          <w:bCs/>
          <w:sz w:val="24"/>
          <w:szCs w:val="24"/>
        </w:rPr>
        <w:t>5.7.</w:t>
      </w:r>
      <w:r w:rsidR="00037A8B" w:rsidRPr="00792B36">
        <w:rPr>
          <w:b/>
          <w:bCs/>
          <w:sz w:val="24"/>
          <w:szCs w:val="24"/>
        </w:rPr>
        <w:t>3 Scientific Working Group on Neritic Tunas Stock Assessment in the Southeast Asian Waters (SWG-Neritic tunas)</w:t>
      </w:r>
    </w:p>
    <w:p w14:paraId="5B16ACA2" w14:textId="77777777" w:rsidR="00037A8B" w:rsidRPr="00792B36" w:rsidRDefault="00037A8B" w:rsidP="00037A8B">
      <w:pPr>
        <w:rPr>
          <w:sz w:val="24"/>
          <w:szCs w:val="24"/>
        </w:rPr>
      </w:pPr>
    </w:p>
    <w:p w14:paraId="0FE99D98" w14:textId="77777777" w:rsidR="00037A8B" w:rsidRPr="00792B36" w:rsidRDefault="00037A8B" w:rsidP="00037A8B">
      <w:pPr>
        <w:ind w:firstLine="720"/>
        <w:jc w:val="thaiDistribute"/>
        <w:rPr>
          <w:sz w:val="24"/>
          <w:szCs w:val="24"/>
        </w:rPr>
      </w:pPr>
      <w:r w:rsidRPr="00792B36">
        <w:rPr>
          <w:sz w:val="24"/>
          <w:szCs w:val="24"/>
        </w:rPr>
        <w:t xml:space="preserve">The Scientific Working Group on Neritic Tunas Stock Assessment in Southeast Asian Waters (SWG-Neritic tunas) was established following the Expert Group Meeting on the Regional Plan of Action for Sustainable Utilization of Neritic Tuna Resources held in June </w:t>
      </w:r>
      <w:r w:rsidRPr="00792B36">
        <w:rPr>
          <w:sz w:val="24"/>
          <w:szCs w:val="24"/>
          <w:cs/>
        </w:rPr>
        <w:t xml:space="preserve">2014. </w:t>
      </w:r>
      <w:r w:rsidRPr="00792B36">
        <w:rPr>
          <w:sz w:val="24"/>
          <w:szCs w:val="24"/>
        </w:rPr>
        <w:t xml:space="preserve">SEAFDEC Member Countries nominated experts to join this group, and a formal Terms of Reference (ToR) was finalized in November </w:t>
      </w:r>
      <w:r w:rsidRPr="00792B36">
        <w:rPr>
          <w:sz w:val="24"/>
          <w:szCs w:val="24"/>
          <w:cs/>
        </w:rPr>
        <w:t xml:space="preserve">2014 </w:t>
      </w:r>
      <w:r w:rsidRPr="00792B36">
        <w:rPr>
          <w:sz w:val="24"/>
          <w:szCs w:val="24"/>
        </w:rPr>
        <w:t xml:space="preserve">and adopted in April </w:t>
      </w:r>
      <w:r w:rsidRPr="00792B36">
        <w:rPr>
          <w:sz w:val="24"/>
          <w:szCs w:val="24"/>
          <w:cs/>
        </w:rPr>
        <w:t>2015</w:t>
      </w:r>
      <w:r w:rsidRPr="00792B36">
        <w:rPr>
          <w:sz w:val="24"/>
          <w:szCs w:val="24"/>
        </w:rPr>
        <w:t xml:space="preserve">, with subsequent revisions in </w:t>
      </w:r>
      <w:r w:rsidRPr="00792B36">
        <w:rPr>
          <w:sz w:val="24"/>
          <w:szCs w:val="24"/>
          <w:cs/>
        </w:rPr>
        <w:t xml:space="preserve">2018 </w:t>
      </w:r>
      <w:r w:rsidRPr="00792B36">
        <w:rPr>
          <w:sz w:val="24"/>
          <w:szCs w:val="24"/>
        </w:rPr>
        <w:t>to expand its scope to additional species such as anchovy, sardines, and Indo-Pacific mackerel. The main objective of the working group is to foster regional cooperation among ASEAN Member States for effective stock assessment and management of neritic tunas and other important pelagic fishes, ensuring sustainable utilization of these resources in Southeast Asian waters.</w:t>
      </w:r>
    </w:p>
    <w:p w14:paraId="104F826D" w14:textId="77777777" w:rsidR="00037A8B" w:rsidRPr="00792B36" w:rsidRDefault="00037A8B" w:rsidP="00037A8B">
      <w:pPr>
        <w:ind w:firstLine="720"/>
        <w:jc w:val="thaiDistribute"/>
        <w:rPr>
          <w:sz w:val="24"/>
          <w:szCs w:val="24"/>
        </w:rPr>
      </w:pPr>
      <w:r w:rsidRPr="00792B36">
        <w:rPr>
          <w:sz w:val="24"/>
          <w:szCs w:val="24"/>
        </w:rPr>
        <w:t xml:space="preserve">The activities of the SWG-Neritic tunas include providing technical and scientific advice on the status of neritic tuna fisheries, recommending fisheries management policies, collecting and sharing catch and biological data for regional stock assessments, identifying human capacity needs within member countries, and coordinating with international and regional organizations for sustainable fisheries management. The group supports data collection, genetic studies, and related research to inform policy and management decisions, contributing to improved fisheries management and conservation throughout the region. The Eighth Meeting of SWG-Neritic tunas was the most recent meeting, which was held on 22 August 2024 via an online platform. </w:t>
      </w:r>
    </w:p>
    <w:p w14:paraId="554B3789" w14:textId="77777777" w:rsidR="00037A8B" w:rsidRPr="00792B36" w:rsidRDefault="00037A8B" w:rsidP="00037A8B">
      <w:pPr>
        <w:jc w:val="thaiDistribute"/>
        <w:rPr>
          <w:sz w:val="24"/>
          <w:szCs w:val="24"/>
        </w:rPr>
      </w:pPr>
    </w:p>
    <w:p w14:paraId="419E557E" w14:textId="0E911A2C" w:rsidR="00037A8B" w:rsidRPr="00792B36" w:rsidRDefault="008C2A6B" w:rsidP="00037A8B">
      <w:pPr>
        <w:jc w:val="thaiDistribute"/>
        <w:outlineLvl w:val="2"/>
        <w:rPr>
          <w:rFonts w:eastAsia="Times New Roman"/>
          <w:b/>
          <w:bCs/>
          <w:color w:val="1F1F1F"/>
          <w:sz w:val="24"/>
          <w:szCs w:val="24"/>
        </w:rPr>
      </w:pPr>
      <w:r w:rsidRPr="00792B36">
        <w:rPr>
          <w:b/>
          <w:bCs/>
          <w:sz w:val="24"/>
          <w:szCs w:val="24"/>
        </w:rPr>
        <w:t>5.8</w:t>
      </w:r>
      <w:r w:rsidR="00037A8B" w:rsidRPr="00792B36">
        <w:rPr>
          <w:b/>
          <w:bCs/>
          <w:sz w:val="24"/>
          <w:szCs w:val="24"/>
        </w:rPr>
        <w:t>.</w:t>
      </w:r>
      <w:r w:rsidR="00037A8B" w:rsidRPr="00792B36">
        <w:rPr>
          <w:rFonts w:eastAsia="Times New Roman"/>
          <w:b/>
          <w:bCs/>
          <w:color w:val="1F1F1F"/>
          <w:sz w:val="24"/>
          <w:szCs w:val="24"/>
          <w:bdr w:val="none" w:sz="0" w:space="0" w:color="auto" w:frame="1"/>
        </w:rPr>
        <w:t xml:space="preserve"> Recommendations and Priority Actions for Fisheries Management</w:t>
      </w:r>
    </w:p>
    <w:p w14:paraId="72428AA0" w14:textId="77777777" w:rsidR="00037A8B" w:rsidRPr="00792B36" w:rsidRDefault="00037A8B" w:rsidP="00037A8B">
      <w:pPr>
        <w:ind w:firstLine="720"/>
        <w:jc w:val="thaiDistribute"/>
        <w:rPr>
          <w:rFonts w:eastAsia="Times New Roman"/>
          <w:color w:val="1F1F1F"/>
          <w:sz w:val="24"/>
          <w:szCs w:val="24"/>
        </w:rPr>
      </w:pPr>
      <w:r w:rsidRPr="00792B36">
        <w:rPr>
          <w:rFonts w:eastAsia="Times New Roman"/>
          <w:color w:val="1F1F1F"/>
          <w:sz w:val="24"/>
          <w:szCs w:val="24"/>
        </w:rPr>
        <w:t>Based on the current assessment of fisheries resource status, stock biomass, and governance gaps, the following priority actions are recommended to ensure the transition from stock stabilization to long-term sustainability and ecosystem resilience.</w:t>
      </w:r>
    </w:p>
    <w:p w14:paraId="6BA7009B" w14:textId="77777777" w:rsidR="008C2A6B" w:rsidRPr="00792B36" w:rsidRDefault="008C2A6B" w:rsidP="00037A8B">
      <w:pPr>
        <w:ind w:firstLine="720"/>
        <w:jc w:val="thaiDistribute"/>
        <w:rPr>
          <w:rFonts w:eastAsia="Times New Roman"/>
          <w:color w:val="1F1F1F"/>
          <w:sz w:val="24"/>
          <w:szCs w:val="24"/>
        </w:rPr>
      </w:pPr>
    </w:p>
    <w:p w14:paraId="7DCD23BE" w14:textId="3DB91846" w:rsidR="00037A8B" w:rsidRPr="00792B36" w:rsidRDefault="008C2A6B" w:rsidP="00037A8B">
      <w:pPr>
        <w:ind w:firstLine="720"/>
        <w:jc w:val="thaiDistribute"/>
        <w:outlineLvl w:val="3"/>
        <w:rPr>
          <w:rFonts w:eastAsia="Times New Roman"/>
          <w:b/>
          <w:bCs/>
          <w:color w:val="1F1F1F"/>
          <w:sz w:val="24"/>
          <w:szCs w:val="24"/>
        </w:rPr>
      </w:pPr>
      <w:r w:rsidRPr="00792B36">
        <w:rPr>
          <w:b/>
          <w:bCs/>
          <w:sz w:val="24"/>
          <w:szCs w:val="24"/>
        </w:rPr>
        <w:t>5.8.</w:t>
      </w:r>
      <w:r w:rsidR="00037A8B" w:rsidRPr="00792B36">
        <w:rPr>
          <w:rFonts w:eastAsia="Times New Roman"/>
          <w:b/>
          <w:bCs/>
          <w:color w:val="1F1F1F"/>
          <w:sz w:val="24"/>
          <w:szCs w:val="24"/>
          <w:bdr w:val="none" w:sz="0" w:space="0" w:color="auto" w:frame="1"/>
        </w:rPr>
        <w:t>1 Enhancing the Efficiency of Fisheries Resource Assessments</w:t>
      </w:r>
    </w:p>
    <w:p w14:paraId="41E12762" w14:textId="77777777" w:rsidR="00037A8B" w:rsidRPr="00792B36" w:rsidRDefault="00037A8B" w:rsidP="00037A8B">
      <w:pPr>
        <w:ind w:firstLine="709"/>
        <w:jc w:val="thaiDistribute"/>
        <w:rPr>
          <w:rFonts w:eastAsia="Times New Roman"/>
          <w:color w:val="1F1F1F"/>
          <w:sz w:val="24"/>
          <w:szCs w:val="24"/>
        </w:rPr>
      </w:pPr>
      <w:r w:rsidRPr="00792B36">
        <w:rPr>
          <w:rFonts w:eastAsia="Times New Roman"/>
          <w:color w:val="1F1F1F"/>
          <w:sz w:val="24"/>
          <w:szCs w:val="24"/>
        </w:rPr>
        <w:t>To address current data gaps and improve the precision of Maximum Sustainable Yield (MSY) estimates, the following technical enhancements are required:</w:t>
      </w:r>
    </w:p>
    <w:p w14:paraId="75B0C213" w14:textId="77777777" w:rsidR="00037A8B" w:rsidRPr="00792B36" w:rsidRDefault="00037A8B" w:rsidP="00F61B37">
      <w:pPr>
        <w:widowControl/>
        <w:numPr>
          <w:ilvl w:val="0"/>
          <w:numId w:val="120"/>
        </w:numPr>
        <w:tabs>
          <w:tab w:val="clear" w:pos="720"/>
          <w:tab w:val="left" w:pos="993"/>
        </w:tabs>
        <w:ind w:left="0" w:firstLine="709"/>
        <w:jc w:val="thaiDistribute"/>
        <w:rPr>
          <w:rFonts w:eastAsia="Times New Roman"/>
          <w:color w:val="1F1F1F"/>
          <w:sz w:val="24"/>
          <w:szCs w:val="24"/>
        </w:rPr>
      </w:pPr>
      <w:r w:rsidRPr="00792B36">
        <w:rPr>
          <w:rFonts w:eastAsia="Times New Roman"/>
          <w:b/>
          <w:bCs/>
          <w:color w:val="1F1F1F"/>
          <w:sz w:val="24"/>
          <w:szCs w:val="24"/>
          <w:bdr w:val="none" w:sz="0" w:space="0" w:color="auto" w:frame="1"/>
        </w:rPr>
        <w:t>Integrate Primary Production Data:</w:t>
      </w:r>
      <w:r w:rsidRPr="00792B36">
        <w:rPr>
          <w:rFonts w:eastAsia="Times New Roman"/>
          <w:color w:val="1F1F1F"/>
          <w:sz w:val="24"/>
          <w:szCs w:val="24"/>
        </w:rPr>
        <w:t xml:space="preserve"> Future stock assessments must incorporate </w:t>
      </w:r>
      <w:r w:rsidRPr="00792B36">
        <w:rPr>
          <w:rFonts w:eastAsia="Times New Roman"/>
          <w:b/>
          <w:bCs/>
          <w:color w:val="1F1F1F"/>
          <w:sz w:val="24"/>
          <w:szCs w:val="24"/>
          <w:bdr w:val="none" w:sz="0" w:space="0" w:color="auto" w:frame="1"/>
        </w:rPr>
        <w:t>primary production</w:t>
      </w:r>
      <w:r w:rsidRPr="00792B36">
        <w:rPr>
          <w:rFonts w:eastAsia="Times New Roman"/>
          <w:color w:val="1F1F1F"/>
          <w:sz w:val="24"/>
          <w:szCs w:val="24"/>
        </w:rPr>
        <w:t xml:space="preserve"> data for the Gulf of Thailand to refine MSY estimates. It is recommended to retrieve and digitize historical analog data from the Department of Fisheries (DOF) archives to construct a long-term productivity baseline that complements current catch data.</w:t>
      </w:r>
    </w:p>
    <w:p w14:paraId="19124D30" w14:textId="77777777" w:rsidR="00037A8B" w:rsidRPr="00792B36" w:rsidRDefault="00037A8B" w:rsidP="00F61B37">
      <w:pPr>
        <w:widowControl/>
        <w:numPr>
          <w:ilvl w:val="0"/>
          <w:numId w:val="120"/>
        </w:numPr>
        <w:tabs>
          <w:tab w:val="clear" w:pos="720"/>
          <w:tab w:val="left" w:pos="993"/>
        </w:tabs>
        <w:ind w:left="0" w:firstLine="709"/>
        <w:jc w:val="thaiDistribute"/>
        <w:rPr>
          <w:rFonts w:eastAsia="Times New Roman"/>
          <w:color w:val="1F1F1F"/>
          <w:sz w:val="24"/>
          <w:szCs w:val="24"/>
        </w:rPr>
      </w:pPr>
      <w:r w:rsidRPr="00792B36">
        <w:rPr>
          <w:rFonts w:eastAsia="Times New Roman"/>
          <w:b/>
          <w:bCs/>
          <w:color w:val="1F1F1F"/>
          <w:sz w:val="24"/>
          <w:szCs w:val="24"/>
          <w:bdr w:val="none" w:sz="0" w:space="0" w:color="auto" w:frame="1"/>
        </w:rPr>
        <w:t xml:space="preserve">Single species assessment: </w:t>
      </w:r>
      <w:r w:rsidRPr="00792B36">
        <w:rPr>
          <w:rFonts w:eastAsia="Times New Roman"/>
          <w:color w:val="1F1F1F"/>
          <w:sz w:val="24"/>
          <w:szCs w:val="24"/>
          <w:bdr w:val="none" w:sz="0" w:space="0" w:color="auto" w:frame="1"/>
        </w:rPr>
        <w:t xml:space="preserve">Currently, multispecies MSY, i.e., demersal species, pelagic fish, and anchovy, are used as reference points for fisheries management. Species that reflect the fishery based on inherent vulnerability, current </w:t>
      </w:r>
      <w:r w:rsidRPr="00792B36">
        <w:rPr>
          <w:rFonts w:eastAsia="Times New Roman"/>
          <w:color w:val="1F1F1F"/>
          <w:sz w:val="24"/>
          <w:szCs w:val="24"/>
          <w:bdr w:val="none" w:sz="0" w:space="0" w:color="auto" w:frame="1"/>
        </w:rPr>
        <w:lastRenderedPageBreak/>
        <w:t>risk, ecological importance and management importance should be identified and assessed in addition to species group assessment, as part of monitoring program.</w:t>
      </w:r>
      <w:r w:rsidRPr="00792B36">
        <w:rPr>
          <w:rFonts w:eastAsia="Times New Roman"/>
          <w:color w:val="1F1F1F"/>
          <w:sz w:val="24"/>
          <w:szCs w:val="24"/>
        </w:rPr>
        <w:t xml:space="preserve"> Several indicators, e.g. biomass, length-based spawning potential ratio (LB-SPR), and yield-per-recruit (YPR), can be applied to single species assessment.</w:t>
      </w:r>
    </w:p>
    <w:p w14:paraId="6E27EEB2" w14:textId="77777777" w:rsidR="00037A8B" w:rsidRPr="00792B36" w:rsidRDefault="00037A8B" w:rsidP="00F61B37">
      <w:pPr>
        <w:widowControl/>
        <w:numPr>
          <w:ilvl w:val="0"/>
          <w:numId w:val="120"/>
        </w:numPr>
        <w:tabs>
          <w:tab w:val="clear" w:pos="720"/>
          <w:tab w:val="left" w:pos="993"/>
          <w:tab w:val="num" w:pos="1276"/>
        </w:tabs>
        <w:ind w:left="0" w:firstLine="709"/>
        <w:jc w:val="thaiDistribute"/>
        <w:rPr>
          <w:rFonts w:eastAsia="Times New Roman"/>
          <w:color w:val="1F1F1F"/>
          <w:sz w:val="24"/>
          <w:szCs w:val="24"/>
        </w:rPr>
      </w:pPr>
      <w:r w:rsidRPr="00792B36">
        <w:rPr>
          <w:rFonts w:eastAsia="Times New Roman"/>
          <w:b/>
          <w:bCs/>
          <w:color w:val="1F1F1F"/>
          <w:sz w:val="24"/>
          <w:szCs w:val="24"/>
          <w:bdr w:val="none" w:sz="0" w:space="0" w:color="auto" w:frame="1"/>
        </w:rPr>
        <w:t>Reference Point for trash fish from trawls:</w:t>
      </w:r>
      <w:r w:rsidRPr="00792B36">
        <w:rPr>
          <w:rFonts w:eastAsia="Times New Roman"/>
          <w:color w:val="1F1F1F"/>
          <w:sz w:val="24"/>
          <w:szCs w:val="24"/>
        </w:rPr>
        <w:t xml:space="preserve"> Half of the trawl catch consists of trash fish (reduction component), which includes juvenile economic species and true trash fish. These species are inevitably caught by trawl, so it is necessary to establish an appropriate reference point for the quantity of trash fish caught that does not disrupt the ecological balance or hinder the recovery of fisheries resource.</w:t>
      </w:r>
    </w:p>
    <w:p w14:paraId="19163CD4" w14:textId="77777777" w:rsidR="008C2A6B" w:rsidRPr="00792B36" w:rsidRDefault="008C2A6B" w:rsidP="008C2A6B">
      <w:pPr>
        <w:widowControl/>
        <w:tabs>
          <w:tab w:val="left" w:pos="993"/>
        </w:tabs>
        <w:ind w:left="709"/>
        <w:jc w:val="thaiDistribute"/>
        <w:rPr>
          <w:rFonts w:eastAsia="Times New Roman"/>
          <w:color w:val="1F1F1F"/>
          <w:sz w:val="24"/>
          <w:szCs w:val="24"/>
        </w:rPr>
      </w:pPr>
    </w:p>
    <w:p w14:paraId="0CFD0EB7" w14:textId="41EDA4FD" w:rsidR="00037A8B" w:rsidRPr="00792B36" w:rsidRDefault="008C2A6B" w:rsidP="00037A8B">
      <w:pPr>
        <w:ind w:firstLine="709"/>
        <w:jc w:val="thaiDistribute"/>
        <w:outlineLvl w:val="3"/>
        <w:rPr>
          <w:rFonts w:eastAsia="Times New Roman"/>
          <w:b/>
          <w:bCs/>
          <w:color w:val="1F1F1F"/>
          <w:sz w:val="24"/>
          <w:szCs w:val="24"/>
        </w:rPr>
      </w:pPr>
      <w:r w:rsidRPr="00792B36">
        <w:rPr>
          <w:rFonts w:eastAsia="Times New Roman"/>
          <w:b/>
          <w:bCs/>
          <w:color w:val="1F1F1F"/>
          <w:sz w:val="24"/>
          <w:szCs w:val="24"/>
          <w:bdr w:val="none" w:sz="0" w:space="0" w:color="auto" w:frame="1"/>
        </w:rPr>
        <w:t>5.8.</w:t>
      </w:r>
      <w:r w:rsidR="00037A8B" w:rsidRPr="00792B36">
        <w:rPr>
          <w:rFonts w:eastAsia="Times New Roman"/>
          <w:b/>
          <w:bCs/>
          <w:color w:val="1F1F1F"/>
          <w:sz w:val="24"/>
          <w:szCs w:val="24"/>
          <w:bdr w:val="none" w:sz="0" w:space="0" w:color="auto" w:frame="1"/>
        </w:rPr>
        <w:t>2 Policy Reforms and Governance Alignment</w:t>
      </w:r>
    </w:p>
    <w:p w14:paraId="632A331B" w14:textId="77777777" w:rsidR="00037A8B" w:rsidRPr="00792B36" w:rsidRDefault="00037A8B" w:rsidP="00037A8B">
      <w:pPr>
        <w:ind w:firstLine="709"/>
        <w:jc w:val="thaiDistribute"/>
        <w:rPr>
          <w:rFonts w:eastAsia="Times New Roman"/>
          <w:color w:val="1F1F1F"/>
          <w:sz w:val="24"/>
          <w:szCs w:val="24"/>
        </w:rPr>
      </w:pPr>
      <w:r w:rsidRPr="00792B36">
        <w:rPr>
          <w:rFonts w:eastAsia="Times New Roman"/>
          <w:color w:val="1F1F1F"/>
          <w:sz w:val="24"/>
          <w:szCs w:val="24"/>
        </w:rPr>
        <w:t>Management measures must evolve to address the complexities of multi-gear fisheries and the socio-economic reality of fishing communities.</w:t>
      </w:r>
    </w:p>
    <w:p w14:paraId="64F78E97" w14:textId="77777777" w:rsidR="00037A8B" w:rsidRPr="00792B36" w:rsidRDefault="00037A8B" w:rsidP="00F61B37">
      <w:pPr>
        <w:widowControl/>
        <w:numPr>
          <w:ilvl w:val="0"/>
          <w:numId w:val="121"/>
        </w:numPr>
        <w:tabs>
          <w:tab w:val="clear" w:pos="720"/>
          <w:tab w:val="num" w:pos="851"/>
          <w:tab w:val="left" w:pos="993"/>
        </w:tabs>
        <w:ind w:left="0" w:firstLine="709"/>
        <w:jc w:val="thaiDistribute"/>
        <w:rPr>
          <w:rFonts w:eastAsia="Times New Roman"/>
          <w:color w:val="1F1F1F"/>
          <w:sz w:val="24"/>
          <w:szCs w:val="24"/>
        </w:rPr>
      </w:pPr>
      <w:r w:rsidRPr="00792B36">
        <w:rPr>
          <w:rFonts w:eastAsia="Times New Roman"/>
          <w:b/>
          <w:bCs/>
          <w:color w:val="1F1F1F"/>
          <w:sz w:val="24"/>
          <w:szCs w:val="24"/>
          <w:bdr w:val="none" w:sz="0" w:space="0" w:color="auto" w:frame="1"/>
        </w:rPr>
        <w:t>Differentiated Management for Small-Scale Fisheries (SSF):</w:t>
      </w:r>
      <w:r w:rsidRPr="00792B36">
        <w:rPr>
          <w:rFonts w:eastAsia="Times New Roman"/>
          <w:color w:val="1F1F1F"/>
          <w:sz w:val="24"/>
          <w:szCs w:val="24"/>
        </w:rPr>
        <w:t xml:space="preserve"> The Fisheries Action Plan must be realigned to reflect the local realities of the </w:t>
      </w:r>
      <w:r w:rsidRPr="00792B36">
        <w:rPr>
          <w:rFonts w:eastAsia="Times New Roman"/>
          <w:b/>
          <w:bCs/>
          <w:color w:val="1F1F1F"/>
          <w:sz w:val="24"/>
          <w:szCs w:val="24"/>
          <w:bdr w:val="none" w:sz="0" w:space="0" w:color="auto" w:frame="1"/>
        </w:rPr>
        <w:t>artisanal sector</w:t>
      </w:r>
      <w:r w:rsidRPr="00792B36">
        <w:rPr>
          <w:rFonts w:eastAsia="Times New Roman"/>
          <w:color w:val="1F1F1F"/>
          <w:sz w:val="24"/>
          <w:szCs w:val="24"/>
        </w:rPr>
        <w:t>.</w:t>
      </w:r>
    </w:p>
    <w:p w14:paraId="08261365" w14:textId="77777777" w:rsidR="00037A8B" w:rsidRPr="00792B36" w:rsidRDefault="00037A8B" w:rsidP="00037A8B">
      <w:pPr>
        <w:tabs>
          <w:tab w:val="left" w:pos="993"/>
        </w:tabs>
        <w:ind w:left="1440"/>
        <w:jc w:val="thaiDistribute"/>
        <w:rPr>
          <w:rFonts w:eastAsia="Times New Roman"/>
          <w:color w:val="1F1F1F"/>
          <w:sz w:val="24"/>
          <w:szCs w:val="24"/>
        </w:rPr>
      </w:pPr>
      <w:r w:rsidRPr="00792B36">
        <w:rPr>
          <w:rFonts w:eastAsia="Times New Roman"/>
          <w:i/>
          <w:iCs/>
          <w:color w:val="1F1F1F"/>
          <w:sz w:val="24"/>
          <w:szCs w:val="24"/>
          <w:bdr w:val="none" w:sz="0" w:space="0" w:color="auto" w:frame="1"/>
        </w:rPr>
        <w:t>Action:</w:t>
      </w:r>
      <w:r w:rsidRPr="00792B36">
        <w:rPr>
          <w:rFonts w:eastAsia="Times New Roman"/>
          <w:color w:val="1F1F1F"/>
          <w:sz w:val="24"/>
          <w:szCs w:val="24"/>
        </w:rPr>
        <w:t xml:space="preserve"> </w:t>
      </w:r>
      <w:r w:rsidRPr="00792B36">
        <w:rPr>
          <w:sz w:val="24"/>
          <w:szCs w:val="24"/>
        </w:rPr>
        <w:t>Develop a management plan for artisanal fisheries by applying the FAO Voluntary Guidelines for Securing Sustainable Small-Scale Fisheries to fit Thailand’s economic, social, and resource conditions.</w:t>
      </w:r>
    </w:p>
    <w:p w14:paraId="37C2C9AE" w14:textId="77777777" w:rsidR="00037A8B" w:rsidRPr="00792B36" w:rsidRDefault="00037A8B" w:rsidP="00F61B37">
      <w:pPr>
        <w:widowControl/>
        <w:numPr>
          <w:ilvl w:val="0"/>
          <w:numId w:val="121"/>
        </w:numPr>
        <w:tabs>
          <w:tab w:val="clear" w:pos="720"/>
          <w:tab w:val="num" w:pos="851"/>
          <w:tab w:val="left" w:pos="993"/>
        </w:tabs>
        <w:ind w:left="0" w:firstLine="709"/>
        <w:jc w:val="thaiDistribute"/>
        <w:rPr>
          <w:rFonts w:eastAsia="Times New Roman"/>
          <w:color w:val="1F1F1F"/>
          <w:sz w:val="24"/>
          <w:szCs w:val="24"/>
        </w:rPr>
      </w:pPr>
      <w:r w:rsidRPr="00792B36">
        <w:rPr>
          <w:rFonts w:eastAsia="Times New Roman"/>
          <w:b/>
          <w:bCs/>
          <w:color w:val="1F1F1F"/>
          <w:sz w:val="24"/>
          <w:szCs w:val="24"/>
          <w:bdr w:val="none" w:sz="0" w:space="0" w:color="auto" w:frame="1"/>
        </w:rPr>
        <w:t>Managing Fishing Effort and Efficiency:</w:t>
      </w:r>
      <w:r w:rsidRPr="00792B36">
        <w:rPr>
          <w:rFonts w:eastAsia="Times New Roman"/>
          <w:color w:val="1F1F1F"/>
          <w:sz w:val="24"/>
          <w:szCs w:val="24"/>
        </w:rPr>
        <w:t xml:space="preserve"> While the "Fishing Days" scheme has successfully addressed overfishing and stabilized CPUE of research vessels (stabilizing at ~16–21 kg/hr), the risk of </w:t>
      </w:r>
      <w:r w:rsidRPr="00792B36">
        <w:rPr>
          <w:rFonts w:eastAsia="Times New Roman"/>
          <w:b/>
          <w:bCs/>
          <w:color w:val="1F1F1F"/>
          <w:sz w:val="24"/>
          <w:szCs w:val="24"/>
          <w:bdr w:val="none" w:sz="0" w:space="0" w:color="auto" w:frame="1"/>
        </w:rPr>
        <w:t>"effort creep"</w:t>
      </w:r>
      <w:r w:rsidRPr="00792B36">
        <w:rPr>
          <w:rFonts w:eastAsia="Times New Roman"/>
          <w:color w:val="1F1F1F"/>
          <w:sz w:val="24"/>
          <w:szCs w:val="24"/>
        </w:rPr>
        <w:t xml:space="preserve"> (increased efficiency per day) remains.</w:t>
      </w:r>
    </w:p>
    <w:p w14:paraId="46BFF6B2" w14:textId="77777777" w:rsidR="00037A8B" w:rsidRPr="00792B36" w:rsidRDefault="00037A8B" w:rsidP="00037A8B">
      <w:pPr>
        <w:ind w:left="1440"/>
        <w:jc w:val="thaiDistribute"/>
        <w:rPr>
          <w:rFonts w:eastAsia="Times New Roman"/>
          <w:color w:val="1F1F1F"/>
          <w:sz w:val="24"/>
          <w:szCs w:val="24"/>
        </w:rPr>
      </w:pPr>
      <w:r w:rsidRPr="00792B36">
        <w:rPr>
          <w:rFonts w:eastAsia="Times New Roman"/>
          <w:i/>
          <w:iCs/>
          <w:color w:val="1F1F1F"/>
          <w:sz w:val="24"/>
          <w:szCs w:val="24"/>
          <w:bdr w:val="none" w:sz="0" w:space="0" w:color="auto" w:frame="1"/>
        </w:rPr>
        <w:t>Action:</w:t>
      </w:r>
      <w:r w:rsidRPr="00792B36">
        <w:rPr>
          <w:rFonts w:eastAsia="Times New Roman"/>
          <w:color w:val="1F1F1F"/>
          <w:sz w:val="24"/>
          <w:szCs w:val="24"/>
        </w:rPr>
        <w:t xml:space="preserve"> Monitoring must expand beyond "days at sea" to track efficiency of fishing operations (e.g. net and fishing method modifications) that increase catch even when fishing time remains constant.</w:t>
      </w:r>
    </w:p>
    <w:p w14:paraId="279166CC" w14:textId="77777777" w:rsidR="008C2A6B" w:rsidRPr="00792B36" w:rsidRDefault="008C2A6B" w:rsidP="00037A8B">
      <w:pPr>
        <w:ind w:firstLine="709"/>
        <w:jc w:val="thaiDistribute"/>
        <w:outlineLvl w:val="3"/>
        <w:rPr>
          <w:rFonts w:eastAsia="Times New Roman"/>
          <w:b/>
          <w:bCs/>
          <w:color w:val="1F1F1F"/>
          <w:sz w:val="24"/>
          <w:szCs w:val="24"/>
          <w:bdr w:val="none" w:sz="0" w:space="0" w:color="auto" w:frame="1"/>
        </w:rPr>
      </w:pPr>
    </w:p>
    <w:p w14:paraId="4D67E660" w14:textId="3CA48C05" w:rsidR="00037A8B" w:rsidRPr="00792B36" w:rsidRDefault="008C2A6B" w:rsidP="00037A8B">
      <w:pPr>
        <w:ind w:firstLine="709"/>
        <w:jc w:val="thaiDistribute"/>
        <w:outlineLvl w:val="3"/>
        <w:rPr>
          <w:rFonts w:eastAsia="Times New Roman"/>
          <w:b/>
          <w:bCs/>
          <w:color w:val="1F1F1F"/>
          <w:sz w:val="24"/>
          <w:szCs w:val="24"/>
        </w:rPr>
      </w:pPr>
      <w:r w:rsidRPr="00792B36">
        <w:rPr>
          <w:rFonts w:eastAsia="Times New Roman"/>
          <w:b/>
          <w:bCs/>
          <w:color w:val="1F1F1F"/>
          <w:sz w:val="24"/>
          <w:szCs w:val="24"/>
          <w:bdr w:val="none" w:sz="0" w:space="0" w:color="auto" w:frame="1"/>
        </w:rPr>
        <w:t>5.8.3</w:t>
      </w:r>
      <w:r w:rsidR="00037A8B" w:rsidRPr="00792B36">
        <w:rPr>
          <w:rFonts w:eastAsia="Times New Roman"/>
          <w:b/>
          <w:bCs/>
          <w:color w:val="1F1F1F"/>
          <w:sz w:val="24"/>
          <w:szCs w:val="24"/>
          <w:bdr w:val="none" w:sz="0" w:space="0" w:color="auto" w:frame="1"/>
        </w:rPr>
        <w:t xml:space="preserve"> Adoption of Ecosystem Approach to Fisheries Management (EAFM)</w:t>
      </w:r>
    </w:p>
    <w:p w14:paraId="25FDD74E" w14:textId="77777777" w:rsidR="00037A8B" w:rsidRPr="00792B36" w:rsidRDefault="00037A8B" w:rsidP="00F61B37">
      <w:pPr>
        <w:widowControl/>
        <w:numPr>
          <w:ilvl w:val="0"/>
          <w:numId w:val="122"/>
        </w:numPr>
        <w:tabs>
          <w:tab w:val="clear" w:pos="720"/>
          <w:tab w:val="num" w:pos="851"/>
          <w:tab w:val="left" w:pos="993"/>
        </w:tabs>
        <w:ind w:left="0" w:firstLine="709"/>
        <w:jc w:val="thaiDistribute"/>
        <w:rPr>
          <w:rFonts w:eastAsia="Times New Roman"/>
          <w:color w:val="1F1F1F"/>
          <w:sz w:val="24"/>
          <w:szCs w:val="24"/>
        </w:rPr>
      </w:pPr>
      <w:r w:rsidRPr="00792B36">
        <w:rPr>
          <w:rFonts w:eastAsia="Times New Roman"/>
          <w:b/>
          <w:bCs/>
          <w:color w:val="1F1F1F"/>
          <w:sz w:val="24"/>
          <w:szCs w:val="24"/>
          <w:bdr w:val="none" w:sz="0" w:space="0" w:color="auto" w:frame="1"/>
        </w:rPr>
        <w:t>Area-based Conservation in Vulnerable Zones:</w:t>
      </w:r>
      <w:r w:rsidRPr="00792B36">
        <w:rPr>
          <w:rFonts w:eastAsia="Times New Roman"/>
          <w:color w:val="1F1F1F"/>
          <w:sz w:val="24"/>
          <w:szCs w:val="24"/>
        </w:rPr>
        <w:t xml:space="preserve"> EAFM principles must be operationalized in ecologically sensitive areas. Specific zones identified as critical nursing or spawning grounds (e.g., seagrass beds, coral reefs) require strict gear restrictions (e.g., banning bottom-impacting gears) to protect benthic habitats.</w:t>
      </w:r>
    </w:p>
    <w:p w14:paraId="16398A6E" w14:textId="77777777" w:rsidR="00037A8B" w:rsidRPr="00792B36" w:rsidRDefault="00037A8B" w:rsidP="00F61B37">
      <w:pPr>
        <w:widowControl/>
        <w:numPr>
          <w:ilvl w:val="0"/>
          <w:numId w:val="122"/>
        </w:numPr>
        <w:tabs>
          <w:tab w:val="clear" w:pos="720"/>
          <w:tab w:val="num" w:pos="851"/>
          <w:tab w:val="left" w:pos="993"/>
        </w:tabs>
        <w:ind w:left="0" w:firstLine="709"/>
        <w:jc w:val="thaiDistribute"/>
        <w:rPr>
          <w:rFonts w:eastAsia="Times New Roman"/>
          <w:color w:val="1F1F1F"/>
          <w:sz w:val="24"/>
          <w:szCs w:val="24"/>
        </w:rPr>
      </w:pPr>
      <w:r w:rsidRPr="00792B36">
        <w:rPr>
          <w:rFonts w:eastAsia="Times New Roman"/>
          <w:b/>
          <w:bCs/>
          <w:color w:val="1F1F1F"/>
          <w:sz w:val="24"/>
          <w:szCs w:val="24"/>
          <w:bdr w:val="none" w:sz="0" w:space="0" w:color="auto" w:frame="1"/>
        </w:rPr>
        <w:t>Ecosystem-</w:t>
      </w:r>
      <w:r w:rsidRPr="00792B36">
        <w:rPr>
          <w:rFonts w:eastAsia="Times New Roman"/>
          <w:b/>
          <w:bCs/>
          <w:color w:val="1F1F1F"/>
          <w:sz w:val="24"/>
          <w:szCs w:val="24"/>
        </w:rPr>
        <w:t xml:space="preserve">based fisheries management: </w:t>
      </w:r>
      <w:r w:rsidRPr="00792B36">
        <w:rPr>
          <w:rFonts w:eastAsia="Times New Roman"/>
          <w:color w:val="1F1F1F"/>
          <w:sz w:val="24"/>
          <w:szCs w:val="24"/>
        </w:rPr>
        <w:t>Management measures under the current national fisheries management plan are based on multispecies MSY. To achieve ecosystem balance and increase ecosystem resilience to various pressures, such as fishing activities and climate change, it is important for the ecosystem to maintain a moderate level of resilience to adapt to these pressures. Ecosystem indicators and reference points should be incorporated in the next fisheries management plan.</w:t>
      </w:r>
    </w:p>
    <w:p w14:paraId="38804F31" w14:textId="77777777" w:rsidR="00037A8B" w:rsidRPr="00792B36" w:rsidRDefault="00037A8B" w:rsidP="00F61B37">
      <w:pPr>
        <w:widowControl/>
        <w:numPr>
          <w:ilvl w:val="0"/>
          <w:numId w:val="122"/>
        </w:numPr>
        <w:tabs>
          <w:tab w:val="clear" w:pos="720"/>
          <w:tab w:val="num" w:pos="851"/>
          <w:tab w:val="left" w:pos="993"/>
        </w:tabs>
        <w:ind w:left="0" w:firstLine="709"/>
        <w:jc w:val="thaiDistribute"/>
        <w:rPr>
          <w:rFonts w:eastAsia="Times New Roman"/>
          <w:color w:val="1F1F1F"/>
          <w:sz w:val="24"/>
          <w:szCs w:val="24"/>
        </w:rPr>
      </w:pPr>
      <w:r w:rsidRPr="00792B36">
        <w:rPr>
          <w:rFonts w:eastAsia="Times New Roman"/>
          <w:b/>
          <w:bCs/>
          <w:color w:val="1F1F1F"/>
          <w:sz w:val="24"/>
          <w:szCs w:val="24"/>
          <w:bdr w:val="none" w:sz="0" w:space="0" w:color="auto" w:frame="1"/>
        </w:rPr>
        <w:t>Gear Selectivity:</w:t>
      </w:r>
      <w:r w:rsidRPr="00792B36">
        <w:rPr>
          <w:rFonts w:eastAsia="Times New Roman"/>
          <w:color w:val="1F1F1F"/>
          <w:sz w:val="24"/>
          <w:szCs w:val="24"/>
        </w:rPr>
        <w:t xml:space="preserve"> accelerate the transition towards </w:t>
      </w:r>
      <w:r w:rsidRPr="00792B36">
        <w:rPr>
          <w:rFonts w:eastAsia="Times New Roman"/>
          <w:b/>
          <w:bCs/>
          <w:color w:val="1F1F1F"/>
          <w:sz w:val="24"/>
          <w:szCs w:val="24"/>
          <w:bdr w:val="none" w:sz="0" w:space="0" w:color="auto" w:frame="1"/>
        </w:rPr>
        <w:t>selective fishing gears</w:t>
      </w:r>
      <w:r w:rsidRPr="00792B36">
        <w:rPr>
          <w:rFonts w:eastAsia="Times New Roman"/>
          <w:color w:val="1F1F1F"/>
          <w:sz w:val="24"/>
          <w:szCs w:val="24"/>
        </w:rPr>
        <w:t xml:space="preserve">. The dominance of "trash fish" (low trophic level species, trophic level ~2.55) in catches indicates continued ecosystem alteration. Incentives should be introduced to install bycatch reduction devices on trawls and to replace non-selective trawls with more selective gears (e.g., traps, specific mesh-size gillnets) to reduce bycatch of juveniles. </w:t>
      </w:r>
    </w:p>
    <w:p w14:paraId="7FB6A712" w14:textId="77777777" w:rsidR="008C2A6B" w:rsidRPr="00792B36" w:rsidRDefault="008C2A6B" w:rsidP="00037A8B">
      <w:pPr>
        <w:ind w:firstLine="709"/>
        <w:jc w:val="thaiDistribute"/>
        <w:outlineLvl w:val="3"/>
        <w:rPr>
          <w:rFonts w:eastAsia="Times New Roman"/>
          <w:b/>
          <w:bCs/>
          <w:color w:val="1F1F1F"/>
          <w:sz w:val="24"/>
          <w:szCs w:val="24"/>
          <w:bdr w:val="none" w:sz="0" w:space="0" w:color="auto" w:frame="1"/>
        </w:rPr>
      </w:pPr>
    </w:p>
    <w:p w14:paraId="2D6ACB3E" w14:textId="6F972B91" w:rsidR="00037A8B" w:rsidRPr="00792B36" w:rsidRDefault="008C2A6B" w:rsidP="00037A8B">
      <w:pPr>
        <w:ind w:firstLine="709"/>
        <w:jc w:val="thaiDistribute"/>
        <w:outlineLvl w:val="3"/>
        <w:rPr>
          <w:rFonts w:eastAsia="Times New Roman"/>
          <w:b/>
          <w:bCs/>
          <w:color w:val="1F1F1F"/>
          <w:sz w:val="24"/>
          <w:szCs w:val="24"/>
        </w:rPr>
      </w:pPr>
      <w:r w:rsidRPr="00792B36">
        <w:rPr>
          <w:rFonts w:eastAsia="Times New Roman"/>
          <w:b/>
          <w:bCs/>
          <w:color w:val="1F1F1F"/>
          <w:sz w:val="24"/>
          <w:szCs w:val="24"/>
          <w:bdr w:val="none" w:sz="0" w:space="0" w:color="auto" w:frame="1"/>
        </w:rPr>
        <w:t>5.8.</w:t>
      </w:r>
      <w:r w:rsidR="00037A8B" w:rsidRPr="00792B36">
        <w:rPr>
          <w:rFonts w:eastAsia="Times New Roman"/>
          <w:b/>
          <w:bCs/>
          <w:color w:val="1F1F1F"/>
          <w:sz w:val="24"/>
          <w:szCs w:val="24"/>
          <w:bdr w:val="none" w:sz="0" w:space="0" w:color="auto" w:frame="1"/>
        </w:rPr>
        <w:t>4 Enhancing Regional Cooperation (Transboundary Management)</w:t>
      </w:r>
    </w:p>
    <w:p w14:paraId="7503C517" w14:textId="77777777" w:rsidR="00037A8B" w:rsidRPr="00792B36" w:rsidRDefault="00037A8B" w:rsidP="00037A8B">
      <w:pPr>
        <w:ind w:firstLine="709"/>
        <w:jc w:val="thaiDistribute"/>
        <w:rPr>
          <w:rFonts w:eastAsia="Times New Roman"/>
          <w:color w:val="1F1F1F"/>
          <w:sz w:val="24"/>
          <w:szCs w:val="24"/>
          <w:cs/>
        </w:rPr>
      </w:pPr>
      <w:r w:rsidRPr="00792B36">
        <w:rPr>
          <w:rFonts w:eastAsia="Times New Roman"/>
          <w:color w:val="1F1F1F"/>
          <w:sz w:val="24"/>
          <w:szCs w:val="24"/>
        </w:rPr>
        <w:t xml:space="preserve">One of the key principles for fish stock assessment is that it should cover the whole populations of the same species with similar biological characteristics.  Given the semi-enclosed nature of the Gulf of Thailand, national efforts alone are insufficient </w:t>
      </w:r>
      <w:r w:rsidRPr="00792B36">
        <w:rPr>
          <w:rFonts w:eastAsia="Times New Roman"/>
          <w:color w:val="1F1F1F"/>
          <w:sz w:val="24"/>
          <w:szCs w:val="24"/>
        </w:rPr>
        <w:lastRenderedPageBreak/>
        <w:t xml:space="preserve">for managing migratory stocks. </w:t>
      </w:r>
    </w:p>
    <w:p w14:paraId="2CACECB5" w14:textId="77777777" w:rsidR="00037A8B" w:rsidRPr="00792B36" w:rsidRDefault="00037A8B" w:rsidP="00F61B37">
      <w:pPr>
        <w:widowControl/>
        <w:numPr>
          <w:ilvl w:val="0"/>
          <w:numId w:val="123"/>
        </w:numPr>
        <w:tabs>
          <w:tab w:val="clear" w:pos="720"/>
          <w:tab w:val="num" w:pos="993"/>
        </w:tabs>
        <w:ind w:left="0" w:firstLine="709"/>
        <w:jc w:val="thaiDistribute"/>
        <w:rPr>
          <w:rFonts w:eastAsia="Times New Roman"/>
          <w:color w:val="1F1F1F"/>
          <w:sz w:val="24"/>
          <w:szCs w:val="24"/>
        </w:rPr>
      </w:pPr>
      <w:r w:rsidRPr="00792B36">
        <w:rPr>
          <w:rFonts w:eastAsia="Times New Roman"/>
          <w:b/>
          <w:bCs/>
          <w:color w:val="1F1F1F"/>
          <w:sz w:val="24"/>
          <w:szCs w:val="24"/>
          <w:bdr w:val="none" w:sz="0" w:space="0" w:color="auto" w:frame="1"/>
        </w:rPr>
        <w:t>Joint Management of Transboundary Species:</w:t>
      </w:r>
      <w:r w:rsidRPr="00792B36">
        <w:rPr>
          <w:rFonts w:eastAsia="Times New Roman"/>
          <w:color w:val="1F1F1F"/>
          <w:sz w:val="24"/>
          <w:szCs w:val="24"/>
        </w:rPr>
        <w:t xml:space="preserve"> Immediate steps should be taken to establish joint management plans for economically critical transboundary species, specifically </w:t>
      </w:r>
      <w:r w:rsidRPr="00792B36">
        <w:rPr>
          <w:rFonts w:eastAsia="Times New Roman"/>
          <w:b/>
          <w:bCs/>
          <w:color w:val="1F1F1F"/>
          <w:sz w:val="24"/>
          <w:szCs w:val="24"/>
        </w:rPr>
        <w:t>neritic tunas</w:t>
      </w:r>
      <w:r w:rsidRPr="00792B36">
        <w:rPr>
          <w:rFonts w:eastAsia="Times New Roman"/>
          <w:color w:val="1F1F1F"/>
          <w:sz w:val="24"/>
          <w:szCs w:val="24"/>
        </w:rPr>
        <w:t xml:space="preserve"> </w:t>
      </w:r>
      <w:r w:rsidRPr="00792B36">
        <w:rPr>
          <w:rFonts w:eastAsia="Times New Roman"/>
          <w:b/>
          <w:bCs/>
          <w:color w:val="1F1F1F"/>
          <w:sz w:val="24"/>
          <w:szCs w:val="24"/>
          <w:bdr w:val="none" w:sz="0" w:space="0" w:color="auto" w:frame="1"/>
        </w:rPr>
        <w:t>(</w:t>
      </w:r>
      <w:r w:rsidRPr="00792B36">
        <w:rPr>
          <w:rFonts w:eastAsia="Times New Roman"/>
          <w:b/>
          <w:bCs/>
          <w:i/>
          <w:iCs/>
          <w:color w:val="1F1F1F"/>
          <w:sz w:val="24"/>
          <w:szCs w:val="24"/>
          <w:bdr w:val="none" w:sz="0" w:space="0" w:color="auto" w:frame="1"/>
        </w:rPr>
        <w:t>Thunnus</w:t>
      </w:r>
      <w:r w:rsidRPr="00792B36">
        <w:rPr>
          <w:rFonts w:eastAsia="Times New Roman"/>
          <w:b/>
          <w:bCs/>
          <w:color w:val="1F1F1F"/>
          <w:sz w:val="24"/>
          <w:szCs w:val="24"/>
          <w:bdr w:val="none" w:sz="0" w:space="0" w:color="auto" w:frame="1"/>
        </w:rPr>
        <w:t xml:space="preserve"> spp., </w:t>
      </w:r>
      <w:r w:rsidRPr="00792B36">
        <w:rPr>
          <w:rFonts w:eastAsia="Times New Roman"/>
          <w:b/>
          <w:bCs/>
          <w:i/>
          <w:iCs/>
          <w:color w:val="1F1F1F"/>
          <w:sz w:val="24"/>
          <w:szCs w:val="24"/>
          <w:bdr w:val="none" w:sz="0" w:space="0" w:color="auto" w:frame="1"/>
        </w:rPr>
        <w:t>Euthynnus</w:t>
      </w:r>
      <w:r w:rsidRPr="00792B36">
        <w:rPr>
          <w:rFonts w:eastAsia="Times New Roman"/>
          <w:b/>
          <w:bCs/>
          <w:color w:val="1F1F1F"/>
          <w:sz w:val="24"/>
          <w:szCs w:val="24"/>
          <w:bdr w:val="none" w:sz="0" w:space="0" w:color="auto" w:frame="1"/>
        </w:rPr>
        <w:t xml:space="preserve"> spp., </w:t>
      </w:r>
      <w:r w:rsidRPr="00792B36">
        <w:rPr>
          <w:rFonts w:eastAsia="Times New Roman"/>
          <w:b/>
          <w:bCs/>
          <w:i/>
          <w:iCs/>
          <w:color w:val="1F1F1F"/>
          <w:sz w:val="24"/>
          <w:szCs w:val="24"/>
          <w:bdr w:val="none" w:sz="0" w:space="0" w:color="auto" w:frame="1"/>
        </w:rPr>
        <w:t>Auxis</w:t>
      </w:r>
      <w:r w:rsidRPr="00792B36">
        <w:rPr>
          <w:rFonts w:eastAsia="Times New Roman"/>
          <w:b/>
          <w:bCs/>
          <w:color w:val="1F1F1F"/>
          <w:sz w:val="24"/>
          <w:szCs w:val="24"/>
          <w:bdr w:val="none" w:sz="0" w:space="0" w:color="auto" w:frame="1"/>
        </w:rPr>
        <w:t xml:space="preserve"> spp.), and Spanish mackerel and king mackerel (</w:t>
      </w:r>
      <w:r w:rsidRPr="00792B36">
        <w:rPr>
          <w:rFonts w:eastAsia="Times New Roman"/>
          <w:b/>
          <w:bCs/>
          <w:i/>
          <w:iCs/>
          <w:color w:val="1F1F1F"/>
          <w:sz w:val="24"/>
          <w:szCs w:val="24"/>
          <w:bdr w:val="none" w:sz="0" w:space="0" w:color="auto" w:frame="1"/>
        </w:rPr>
        <w:t>Scomberomorus</w:t>
      </w:r>
      <w:r w:rsidRPr="00792B36">
        <w:rPr>
          <w:rFonts w:eastAsia="Times New Roman"/>
          <w:b/>
          <w:bCs/>
          <w:color w:val="1F1F1F"/>
          <w:sz w:val="24"/>
          <w:szCs w:val="24"/>
          <w:bdr w:val="none" w:sz="0" w:space="0" w:color="auto" w:frame="1"/>
        </w:rPr>
        <w:t xml:space="preserve"> spp.)</w:t>
      </w:r>
      <w:r w:rsidRPr="00792B36">
        <w:rPr>
          <w:rFonts w:eastAsia="Times New Roman"/>
          <w:color w:val="1F1F1F"/>
          <w:sz w:val="24"/>
          <w:szCs w:val="24"/>
        </w:rPr>
        <w:t>.</w:t>
      </w:r>
    </w:p>
    <w:p w14:paraId="01019E12" w14:textId="77777777" w:rsidR="00037A8B" w:rsidRPr="00792B36" w:rsidRDefault="00037A8B" w:rsidP="00F61B37">
      <w:pPr>
        <w:widowControl/>
        <w:numPr>
          <w:ilvl w:val="0"/>
          <w:numId w:val="123"/>
        </w:numPr>
        <w:tabs>
          <w:tab w:val="clear" w:pos="720"/>
          <w:tab w:val="num" w:pos="993"/>
        </w:tabs>
        <w:ind w:left="0" w:firstLine="709"/>
        <w:jc w:val="thaiDistribute"/>
        <w:rPr>
          <w:rFonts w:eastAsia="Times New Roman"/>
          <w:color w:val="1F1F1F"/>
          <w:sz w:val="24"/>
          <w:szCs w:val="24"/>
        </w:rPr>
      </w:pPr>
      <w:r w:rsidRPr="00792B36">
        <w:rPr>
          <w:rFonts w:eastAsia="Times New Roman"/>
          <w:b/>
          <w:bCs/>
          <w:color w:val="1F1F1F"/>
          <w:sz w:val="24"/>
          <w:szCs w:val="24"/>
          <w:bdr w:val="none" w:sz="0" w:space="0" w:color="auto" w:frame="1"/>
        </w:rPr>
        <w:t>Regional Mechanisms:</w:t>
      </w:r>
      <w:r w:rsidRPr="00792B36">
        <w:rPr>
          <w:rFonts w:eastAsia="Times New Roman"/>
          <w:color w:val="1F1F1F"/>
          <w:sz w:val="24"/>
          <w:szCs w:val="24"/>
        </w:rPr>
        <w:t xml:space="preserve"> Thailand should leverage the Promoting the Blue Economy and Strengthening Fisheries Governance of the Gulf of Thailand through the Ecosystem Approach to Fisheries (GoTFish) Project as a platform to harmonize stock assessment methodologies and data sharing protocols with neighboring countries (Cambodia, Vietnam, and Malaysia).</w:t>
      </w:r>
    </w:p>
    <w:p w14:paraId="3619C280" w14:textId="77777777" w:rsidR="00037A8B" w:rsidRPr="00792B36" w:rsidRDefault="00037A8B" w:rsidP="00037A8B">
      <w:pPr>
        <w:ind w:left="720" w:firstLine="363"/>
        <w:jc w:val="thaiDistribute"/>
        <w:rPr>
          <w:rFonts w:eastAsia="Times New Roman"/>
          <w:color w:val="1F1F1F"/>
          <w:sz w:val="24"/>
          <w:szCs w:val="24"/>
        </w:rPr>
      </w:pPr>
      <w:r w:rsidRPr="00792B36">
        <w:rPr>
          <w:rFonts w:eastAsia="Times New Roman"/>
          <w:b/>
          <w:bCs/>
          <w:color w:val="1F1F1F"/>
          <w:sz w:val="24"/>
          <w:szCs w:val="24"/>
          <w:bdr w:val="none" w:sz="0" w:space="0" w:color="auto" w:frame="1"/>
        </w:rPr>
        <w:t>Action Plan:</w:t>
      </w:r>
    </w:p>
    <w:p w14:paraId="1547778E" w14:textId="77777777" w:rsidR="00037A8B" w:rsidRPr="00792B36" w:rsidRDefault="00037A8B" w:rsidP="00F61B37">
      <w:pPr>
        <w:widowControl/>
        <w:numPr>
          <w:ilvl w:val="1"/>
          <w:numId w:val="123"/>
        </w:numPr>
        <w:ind w:hanging="357"/>
        <w:jc w:val="thaiDistribute"/>
        <w:rPr>
          <w:rFonts w:eastAsia="Times New Roman"/>
          <w:color w:val="1F1F1F"/>
          <w:sz w:val="24"/>
          <w:szCs w:val="24"/>
        </w:rPr>
      </w:pPr>
      <w:r w:rsidRPr="00792B36">
        <w:rPr>
          <w:rFonts w:eastAsia="Times New Roman"/>
          <w:color w:val="1F1F1F"/>
          <w:sz w:val="24"/>
          <w:szCs w:val="24"/>
        </w:rPr>
        <w:t>Conduct joint stock assessments for shared stocks to determine a regional Total Allowable Catch (TAC).</w:t>
      </w:r>
    </w:p>
    <w:p w14:paraId="71C2335D" w14:textId="77777777" w:rsidR="00037A8B" w:rsidRPr="00792B36" w:rsidRDefault="00037A8B" w:rsidP="00F61B37">
      <w:pPr>
        <w:widowControl/>
        <w:numPr>
          <w:ilvl w:val="1"/>
          <w:numId w:val="123"/>
        </w:numPr>
        <w:ind w:hanging="357"/>
        <w:jc w:val="thaiDistribute"/>
        <w:rPr>
          <w:rFonts w:eastAsia="Times New Roman"/>
          <w:color w:val="1F1F1F"/>
          <w:sz w:val="24"/>
          <w:szCs w:val="24"/>
        </w:rPr>
      </w:pPr>
      <w:r w:rsidRPr="00792B36">
        <w:rPr>
          <w:rFonts w:eastAsia="Times New Roman"/>
          <w:color w:val="1F1F1F"/>
          <w:sz w:val="24"/>
          <w:szCs w:val="24"/>
        </w:rPr>
        <w:t>Harmonize adaptive closed seasons based on migratory and biological studies to protect critical life stages</w:t>
      </w:r>
    </w:p>
    <w:p w14:paraId="42395A24" w14:textId="77777777" w:rsidR="00037A8B" w:rsidRPr="00792B36" w:rsidRDefault="00037A8B" w:rsidP="00F61B37">
      <w:pPr>
        <w:widowControl/>
        <w:numPr>
          <w:ilvl w:val="1"/>
          <w:numId w:val="123"/>
        </w:numPr>
        <w:ind w:hanging="357"/>
        <w:jc w:val="thaiDistribute"/>
        <w:rPr>
          <w:rFonts w:eastAsia="Times New Roman"/>
          <w:color w:val="1F1F1F"/>
          <w:sz w:val="24"/>
          <w:szCs w:val="24"/>
        </w:rPr>
      </w:pPr>
      <w:r w:rsidRPr="00792B36">
        <w:rPr>
          <w:rFonts w:eastAsia="Times New Roman"/>
          <w:color w:val="1F1F1F"/>
          <w:sz w:val="24"/>
          <w:szCs w:val="24"/>
        </w:rPr>
        <w:t>Develop a regional fisheries management plan, particularly for transboundary species</w:t>
      </w:r>
    </w:p>
    <w:p w14:paraId="2D43EB60" w14:textId="77777777" w:rsidR="00037A8B" w:rsidRPr="00792B36" w:rsidRDefault="00037A8B" w:rsidP="00037A8B">
      <w:pPr>
        <w:jc w:val="thaiDistribute"/>
        <w:rPr>
          <w:rFonts w:eastAsia="Times New Roman"/>
          <w:color w:val="1F1F1F"/>
          <w:sz w:val="24"/>
          <w:szCs w:val="24"/>
        </w:rPr>
      </w:pPr>
    </w:p>
    <w:p w14:paraId="21A9829D" w14:textId="518367B5" w:rsidR="00037A8B" w:rsidRPr="00792B36" w:rsidRDefault="00037A8B" w:rsidP="00037A8B">
      <w:pPr>
        <w:rPr>
          <w:b/>
          <w:bCs/>
          <w:sz w:val="24"/>
          <w:szCs w:val="24"/>
        </w:rPr>
      </w:pPr>
      <w:r w:rsidRPr="00792B36">
        <w:rPr>
          <w:b/>
          <w:bCs/>
          <w:sz w:val="24"/>
          <w:szCs w:val="24"/>
        </w:rPr>
        <w:t>Reference</w:t>
      </w:r>
      <w:r w:rsidR="007D3A90" w:rsidRPr="00792B36">
        <w:rPr>
          <w:b/>
          <w:bCs/>
          <w:sz w:val="24"/>
          <w:szCs w:val="24"/>
        </w:rPr>
        <w:t>s</w:t>
      </w:r>
    </w:p>
    <w:p w14:paraId="7F049879" w14:textId="77777777" w:rsidR="00037A8B" w:rsidRPr="00792B36" w:rsidRDefault="00037A8B" w:rsidP="00037A8B">
      <w:pPr>
        <w:rPr>
          <w:sz w:val="24"/>
          <w:szCs w:val="24"/>
        </w:rPr>
      </w:pPr>
    </w:p>
    <w:p w14:paraId="6E5A592F" w14:textId="77777777" w:rsidR="00037A8B" w:rsidRPr="00792B36" w:rsidRDefault="00037A8B" w:rsidP="00037A8B">
      <w:pPr>
        <w:adjustRightInd w:val="0"/>
        <w:ind w:left="530" w:hangingChars="221" w:hanging="530"/>
        <w:jc w:val="thaiDistribute"/>
        <w:rPr>
          <w:sz w:val="24"/>
          <w:szCs w:val="24"/>
        </w:rPr>
      </w:pPr>
      <w:r w:rsidRPr="00792B36">
        <w:rPr>
          <w:sz w:val="24"/>
          <w:szCs w:val="24"/>
        </w:rPr>
        <w:t>Fox Jr, W. W. (1970). An exponential surplus</w:t>
      </w:r>
      <w:r w:rsidRPr="00792B36">
        <w:rPr>
          <w:sz w:val="24"/>
          <w:szCs w:val="24"/>
          <w:cs/>
        </w:rPr>
        <w:t>-</w:t>
      </w:r>
      <w:r w:rsidRPr="00792B36">
        <w:rPr>
          <w:sz w:val="24"/>
          <w:szCs w:val="24"/>
        </w:rPr>
        <w:t xml:space="preserve">yield model for optimizing exploited fish populations. </w:t>
      </w:r>
      <w:r w:rsidRPr="00792B36">
        <w:rPr>
          <w:i/>
          <w:iCs/>
          <w:sz w:val="24"/>
          <w:szCs w:val="24"/>
        </w:rPr>
        <w:t>Transactions of the American Fisheries Society</w:t>
      </w:r>
      <w:r w:rsidRPr="00792B36">
        <w:rPr>
          <w:sz w:val="24"/>
          <w:szCs w:val="24"/>
        </w:rPr>
        <w:t>, 99, 80-88.</w:t>
      </w:r>
    </w:p>
    <w:p w14:paraId="1B1C4A40" w14:textId="77777777" w:rsidR="00037A8B" w:rsidRPr="00792B36" w:rsidRDefault="00037A8B" w:rsidP="00037A8B">
      <w:pPr>
        <w:autoSpaceDE w:val="0"/>
        <w:autoSpaceDN w:val="0"/>
        <w:adjustRightInd w:val="0"/>
        <w:ind w:left="567" w:hanging="567"/>
        <w:jc w:val="thaiDistribute"/>
        <w:rPr>
          <w:color w:val="000000" w:themeColor="text1"/>
          <w:sz w:val="24"/>
          <w:szCs w:val="24"/>
        </w:rPr>
      </w:pPr>
      <w:r w:rsidRPr="00792B36">
        <w:rPr>
          <w:color w:val="000000" w:themeColor="text1"/>
          <w:sz w:val="24"/>
          <w:szCs w:val="24"/>
        </w:rPr>
        <w:t>Kleisner, K. and D. Pauly. 2011. Stock-Status Plots of Fisheries for Regional Seas.  In:</w:t>
      </w:r>
      <w:r w:rsidRPr="00792B36">
        <w:rPr>
          <w:i/>
          <w:iCs/>
          <w:color w:val="000000" w:themeColor="text1"/>
          <w:sz w:val="24"/>
          <w:szCs w:val="24"/>
        </w:rPr>
        <w:t xml:space="preserve"> </w:t>
      </w:r>
      <w:r w:rsidRPr="00792B36">
        <w:rPr>
          <w:color w:val="000000" w:themeColor="text1"/>
          <w:sz w:val="24"/>
          <w:szCs w:val="24"/>
        </w:rPr>
        <w:t>Christensen, V., S. Lai, M. L. D. Palomares, D. Zeller and D. Pauly (eds.). The State of Biodiversity and Fisheries in Regional Seas. Fisheries Centre Research Reports 19 (3), University of British Columbia, Vancouver.  pp. 37-40.</w:t>
      </w:r>
    </w:p>
    <w:p w14:paraId="27593B90" w14:textId="77777777" w:rsidR="00037A8B" w:rsidRPr="00792B36" w:rsidRDefault="00037A8B" w:rsidP="00037A8B">
      <w:pPr>
        <w:autoSpaceDE w:val="0"/>
        <w:autoSpaceDN w:val="0"/>
        <w:adjustRightInd w:val="0"/>
        <w:ind w:left="567" w:hanging="567"/>
        <w:jc w:val="thaiDistribute"/>
        <w:rPr>
          <w:color w:val="000000" w:themeColor="text1"/>
          <w:sz w:val="24"/>
          <w:szCs w:val="24"/>
        </w:rPr>
      </w:pPr>
      <w:r w:rsidRPr="00792B36">
        <w:rPr>
          <w:color w:val="000000" w:themeColor="text1"/>
          <w:sz w:val="24"/>
          <w:szCs w:val="24"/>
        </w:rPr>
        <w:t>Sea Around Us. 2025a.</w:t>
      </w:r>
      <w:r w:rsidRPr="00792B36">
        <w:rPr>
          <w:sz w:val="24"/>
          <w:szCs w:val="24"/>
        </w:rPr>
        <w:t xml:space="preserve"> </w:t>
      </w:r>
      <w:r w:rsidRPr="00792B36">
        <w:rPr>
          <w:color w:val="000000" w:themeColor="text1"/>
          <w:sz w:val="24"/>
          <w:szCs w:val="24"/>
        </w:rPr>
        <w:t>Stock status in the waters of Thailand (Gulf of Thailand). Available at https://www.seaaroundus.org/data/#/eez/957/stock-status</w:t>
      </w:r>
    </w:p>
    <w:p w14:paraId="254ED3A3" w14:textId="77777777" w:rsidR="00037A8B" w:rsidRPr="00792B36" w:rsidRDefault="00037A8B" w:rsidP="00037A8B">
      <w:pPr>
        <w:autoSpaceDE w:val="0"/>
        <w:autoSpaceDN w:val="0"/>
        <w:adjustRightInd w:val="0"/>
        <w:ind w:left="567" w:hanging="567"/>
        <w:jc w:val="thaiDistribute"/>
        <w:rPr>
          <w:color w:val="000000" w:themeColor="text1"/>
          <w:sz w:val="24"/>
          <w:szCs w:val="24"/>
        </w:rPr>
      </w:pPr>
      <w:r w:rsidRPr="00792B36">
        <w:rPr>
          <w:color w:val="000000" w:themeColor="text1"/>
          <w:sz w:val="24"/>
          <w:szCs w:val="24"/>
        </w:rPr>
        <w:t>Sea Around Us. 2025b. Primary Production Required for catches in the waters of Thailand (Gulf of Thailand) https://www.seaaroundus.org/data/#/eez/957?chart=multinational-footprint</w:t>
      </w:r>
    </w:p>
    <w:p w14:paraId="5C19E343" w14:textId="77777777" w:rsidR="00037A8B" w:rsidRPr="00792B36" w:rsidRDefault="00037A8B" w:rsidP="00037A8B">
      <w:pPr>
        <w:ind w:left="567" w:hanging="567"/>
        <w:rPr>
          <w:sz w:val="24"/>
          <w:szCs w:val="24"/>
        </w:rPr>
      </w:pPr>
      <w:r w:rsidRPr="00792B36">
        <w:rPr>
          <w:sz w:val="24"/>
          <w:szCs w:val="24"/>
        </w:rPr>
        <w:t xml:space="preserve">Winker, H., Carvalho, F., &amp; Kapur, M. (2018). JABBA: Just Another Bayesian Biomass Assessment. </w:t>
      </w:r>
      <w:r w:rsidRPr="00792B36">
        <w:rPr>
          <w:i/>
          <w:iCs/>
          <w:sz w:val="24"/>
          <w:szCs w:val="24"/>
        </w:rPr>
        <w:t>Fisheries Research</w:t>
      </w:r>
      <w:r w:rsidRPr="00792B36">
        <w:rPr>
          <w:sz w:val="24"/>
          <w:szCs w:val="24"/>
        </w:rPr>
        <w:t>, 204, 275–288.</w:t>
      </w:r>
    </w:p>
    <w:p w14:paraId="68307361" w14:textId="77777777" w:rsidR="00037A8B" w:rsidRPr="00792B36" w:rsidRDefault="00037A8B" w:rsidP="00037A8B">
      <w:pPr>
        <w:autoSpaceDE w:val="0"/>
        <w:autoSpaceDN w:val="0"/>
        <w:adjustRightInd w:val="0"/>
        <w:ind w:left="709" w:hanging="709"/>
        <w:rPr>
          <w:color w:val="000000" w:themeColor="text1"/>
          <w:sz w:val="24"/>
          <w:szCs w:val="24"/>
        </w:rPr>
      </w:pPr>
    </w:p>
    <w:p w14:paraId="1E0F3DBF" w14:textId="77777777" w:rsidR="00053829" w:rsidRPr="00792B36" w:rsidRDefault="00053829" w:rsidP="00037A8B">
      <w:pPr>
        <w:autoSpaceDE w:val="0"/>
        <w:autoSpaceDN w:val="0"/>
        <w:adjustRightInd w:val="0"/>
        <w:ind w:left="709" w:hanging="709"/>
        <w:rPr>
          <w:color w:val="000000" w:themeColor="text1"/>
          <w:sz w:val="24"/>
          <w:szCs w:val="24"/>
        </w:rPr>
      </w:pPr>
    </w:p>
    <w:p w14:paraId="7B08C02D" w14:textId="77777777" w:rsidR="00053829" w:rsidRPr="00792B36" w:rsidRDefault="00053829" w:rsidP="00037A8B">
      <w:pPr>
        <w:autoSpaceDE w:val="0"/>
        <w:autoSpaceDN w:val="0"/>
        <w:adjustRightInd w:val="0"/>
        <w:ind w:left="709" w:hanging="709"/>
        <w:rPr>
          <w:color w:val="000000" w:themeColor="text1"/>
          <w:sz w:val="24"/>
          <w:szCs w:val="24"/>
        </w:rPr>
      </w:pPr>
    </w:p>
    <w:p w14:paraId="2BCDDF40" w14:textId="77777777" w:rsidR="00053829" w:rsidRPr="00792B36" w:rsidRDefault="00053829" w:rsidP="00037A8B">
      <w:pPr>
        <w:autoSpaceDE w:val="0"/>
        <w:autoSpaceDN w:val="0"/>
        <w:adjustRightInd w:val="0"/>
        <w:ind w:left="709" w:hanging="709"/>
        <w:rPr>
          <w:color w:val="000000" w:themeColor="text1"/>
          <w:sz w:val="24"/>
          <w:szCs w:val="24"/>
        </w:rPr>
      </w:pPr>
    </w:p>
    <w:p w14:paraId="0A138A3B" w14:textId="77777777" w:rsidR="00053829" w:rsidRPr="00792B36" w:rsidRDefault="00053829" w:rsidP="00037A8B">
      <w:pPr>
        <w:autoSpaceDE w:val="0"/>
        <w:autoSpaceDN w:val="0"/>
        <w:adjustRightInd w:val="0"/>
        <w:ind w:left="709" w:hanging="709"/>
        <w:rPr>
          <w:color w:val="000000" w:themeColor="text1"/>
          <w:sz w:val="24"/>
          <w:szCs w:val="24"/>
        </w:rPr>
      </w:pPr>
    </w:p>
    <w:p w14:paraId="6FA7249A" w14:textId="77777777" w:rsidR="00053829" w:rsidRPr="00792B36" w:rsidRDefault="00053829" w:rsidP="00037A8B">
      <w:pPr>
        <w:autoSpaceDE w:val="0"/>
        <w:autoSpaceDN w:val="0"/>
        <w:adjustRightInd w:val="0"/>
        <w:ind w:left="709" w:hanging="709"/>
        <w:rPr>
          <w:color w:val="000000" w:themeColor="text1"/>
          <w:sz w:val="24"/>
          <w:szCs w:val="24"/>
        </w:rPr>
      </w:pPr>
    </w:p>
    <w:p w14:paraId="3951E0E4" w14:textId="77777777" w:rsidR="00053829" w:rsidRPr="00792B36" w:rsidRDefault="00053829" w:rsidP="00037A8B">
      <w:pPr>
        <w:autoSpaceDE w:val="0"/>
        <w:autoSpaceDN w:val="0"/>
        <w:adjustRightInd w:val="0"/>
        <w:ind w:left="709" w:hanging="709"/>
        <w:rPr>
          <w:color w:val="000000" w:themeColor="text1"/>
          <w:sz w:val="24"/>
          <w:szCs w:val="24"/>
        </w:rPr>
      </w:pPr>
    </w:p>
    <w:p w14:paraId="05C73079" w14:textId="77777777" w:rsidR="00053829" w:rsidRPr="00792B36" w:rsidRDefault="00053829" w:rsidP="00037A8B">
      <w:pPr>
        <w:autoSpaceDE w:val="0"/>
        <w:autoSpaceDN w:val="0"/>
        <w:adjustRightInd w:val="0"/>
        <w:ind w:left="709" w:hanging="709"/>
        <w:rPr>
          <w:color w:val="000000" w:themeColor="text1"/>
          <w:sz w:val="24"/>
          <w:szCs w:val="24"/>
        </w:rPr>
      </w:pPr>
    </w:p>
    <w:p w14:paraId="73476806" w14:textId="77777777" w:rsidR="00053829" w:rsidRPr="00792B36" w:rsidRDefault="00053829" w:rsidP="00037A8B">
      <w:pPr>
        <w:autoSpaceDE w:val="0"/>
        <w:autoSpaceDN w:val="0"/>
        <w:adjustRightInd w:val="0"/>
        <w:ind w:left="709" w:hanging="709"/>
        <w:rPr>
          <w:color w:val="000000" w:themeColor="text1"/>
          <w:sz w:val="24"/>
          <w:szCs w:val="24"/>
        </w:rPr>
      </w:pPr>
    </w:p>
    <w:p w14:paraId="51B77C43" w14:textId="77777777" w:rsidR="00053829" w:rsidRPr="00792B36" w:rsidRDefault="00053829" w:rsidP="00037A8B">
      <w:pPr>
        <w:autoSpaceDE w:val="0"/>
        <w:autoSpaceDN w:val="0"/>
        <w:adjustRightInd w:val="0"/>
        <w:ind w:left="709" w:hanging="709"/>
        <w:rPr>
          <w:color w:val="000000" w:themeColor="text1"/>
          <w:sz w:val="24"/>
          <w:szCs w:val="24"/>
        </w:rPr>
      </w:pPr>
    </w:p>
    <w:p w14:paraId="7D4BB5B2" w14:textId="77777777" w:rsidR="00053829" w:rsidRPr="00792B36" w:rsidRDefault="00053829" w:rsidP="00037A8B">
      <w:pPr>
        <w:autoSpaceDE w:val="0"/>
        <w:autoSpaceDN w:val="0"/>
        <w:adjustRightInd w:val="0"/>
        <w:ind w:left="709" w:hanging="709"/>
        <w:rPr>
          <w:color w:val="000000" w:themeColor="text1"/>
          <w:sz w:val="24"/>
          <w:szCs w:val="24"/>
        </w:rPr>
      </w:pPr>
    </w:p>
    <w:p w14:paraId="7B2E0617" w14:textId="77777777" w:rsidR="00D769F1" w:rsidRPr="00792B36" w:rsidRDefault="00D769F1" w:rsidP="009F20F7">
      <w:pPr>
        <w:autoSpaceDE w:val="0"/>
        <w:autoSpaceDN w:val="0"/>
        <w:adjustRightInd w:val="0"/>
        <w:rPr>
          <w:color w:val="000000" w:themeColor="text1"/>
          <w:sz w:val="24"/>
          <w:szCs w:val="24"/>
        </w:rPr>
        <w:sectPr w:rsidR="00D769F1" w:rsidRPr="00792B36" w:rsidSect="003332A9">
          <w:pgSz w:w="11900" w:h="16840"/>
          <w:pgMar w:top="1440" w:right="1440" w:bottom="1440" w:left="1440" w:header="0" w:footer="720" w:gutter="0"/>
          <w:cols w:space="720"/>
          <w:docGrid w:linePitch="299"/>
        </w:sectPr>
      </w:pPr>
    </w:p>
    <w:p w14:paraId="683C942E" w14:textId="5BEE0CD5" w:rsidR="00B471BA" w:rsidRPr="00792B36" w:rsidRDefault="00B471BA" w:rsidP="00B471BA">
      <w:pPr>
        <w:rPr>
          <w:b/>
          <w:bCs/>
          <w:iCs/>
          <w:sz w:val="28"/>
          <w:szCs w:val="28"/>
        </w:rPr>
      </w:pPr>
      <w:r w:rsidRPr="00792B36">
        <w:rPr>
          <w:b/>
          <w:bCs/>
          <w:color w:val="000000" w:themeColor="text1"/>
          <w:sz w:val="28"/>
          <w:szCs w:val="28"/>
        </w:rPr>
        <w:lastRenderedPageBreak/>
        <w:t xml:space="preserve">VI. </w:t>
      </w:r>
      <w:bookmarkStart w:id="24" w:name="_Hlk203299208"/>
      <w:r w:rsidRPr="00792B36">
        <w:rPr>
          <w:b/>
          <w:bCs/>
          <w:iCs/>
          <w:sz w:val="28"/>
          <w:szCs w:val="28"/>
        </w:rPr>
        <w:t xml:space="preserve">Governance </w:t>
      </w:r>
    </w:p>
    <w:p w14:paraId="2C10EEA1" w14:textId="77777777" w:rsidR="00B471BA" w:rsidRPr="00792B36" w:rsidRDefault="00B471BA" w:rsidP="00B471BA">
      <w:pPr>
        <w:rPr>
          <w:b/>
          <w:bCs/>
          <w:iCs/>
          <w:sz w:val="28"/>
          <w:szCs w:val="28"/>
        </w:rPr>
      </w:pPr>
    </w:p>
    <w:bookmarkEnd w:id="24"/>
    <w:p w14:paraId="27787637" w14:textId="77777777" w:rsidR="00F77A8C" w:rsidRPr="00A444A6" w:rsidRDefault="00F77A8C" w:rsidP="00F77A8C">
      <w:pPr>
        <w:rPr>
          <w:b/>
          <w:bCs/>
          <w:iCs/>
          <w:sz w:val="24"/>
          <w:szCs w:val="24"/>
        </w:rPr>
      </w:pPr>
    </w:p>
    <w:p w14:paraId="535BEC01" w14:textId="77777777" w:rsidR="00F77A8C" w:rsidRPr="00A444A6" w:rsidRDefault="00F77A8C" w:rsidP="00F77A8C">
      <w:pPr>
        <w:jc w:val="center"/>
        <w:rPr>
          <w:b/>
          <w:bCs/>
          <w:iCs/>
          <w:sz w:val="24"/>
          <w:szCs w:val="24"/>
        </w:rPr>
      </w:pPr>
      <w:r w:rsidRPr="00A444A6">
        <w:rPr>
          <w:b/>
          <w:bCs/>
          <w:iCs/>
          <w:sz w:val="24"/>
          <w:szCs w:val="24"/>
        </w:rPr>
        <w:t>Abstract</w:t>
      </w:r>
    </w:p>
    <w:p w14:paraId="0879BBE8" w14:textId="77777777" w:rsidR="00F77A8C" w:rsidRPr="00A444A6" w:rsidRDefault="00F77A8C" w:rsidP="00F77A8C">
      <w:pPr>
        <w:ind w:left="360" w:hanging="360"/>
        <w:rPr>
          <w:b/>
          <w:bCs/>
          <w:iCs/>
          <w:sz w:val="24"/>
          <w:szCs w:val="24"/>
        </w:rPr>
      </w:pPr>
    </w:p>
    <w:p w14:paraId="412A6914" w14:textId="77777777" w:rsidR="00F77A8C" w:rsidRPr="00A444A6" w:rsidRDefault="00F77A8C" w:rsidP="00B9430E">
      <w:pPr>
        <w:jc w:val="thaiDistribute"/>
        <w:rPr>
          <w:iCs/>
          <w:sz w:val="24"/>
          <w:szCs w:val="24"/>
        </w:rPr>
      </w:pPr>
      <w:r w:rsidRPr="00A444A6">
        <w:rPr>
          <w:iCs/>
          <w:sz w:val="24"/>
          <w:szCs w:val="24"/>
        </w:rPr>
        <w:t>Thailand’s coastal and marine governance plays a central role in safeguarding ecosystems, supporting national development, and managing transboundary risks within the South China Sea (SCS) region. This report assesses the current status of Thailand’s governance arrangements by examining economic drivers, institutional structures, legal and policy frameworks, and mechanisms for civil society participation. Using the Transboundary Water Assessment Programme (TWAP) Governance Architecture Assessment Framework—covering completeness, integration, and engagement—the assessment identifies areas of progress and persistent governance constraints.</w:t>
      </w:r>
    </w:p>
    <w:p w14:paraId="130E0E24" w14:textId="77777777" w:rsidR="00F77A8C" w:rsidRPr="00A444A6" w:rsidRDefault="00F77A8C" w:rsidP="00F77A8C">
      <w:pPr>
        <w:ind w:left="360"/>
        <w:jc w:val="thaiDistribute"/>
        <w:rPr>
          <w:iCs/>
          <w:sz w:val="24"/>
          <w:szCs w:val="24"/>
        </w:rPr>
      </w:pPr>
    </w:p>
    <w:p w14:paraId="1D4147CF" w14:textId="77777777" w:rsidR="00F77A8C" w:rsidRPr="00A444A6" w:rsidRDefault="00F77A8C" w:rsidP="00B9430E">
      <w:pPr>
        <w:jc w:val="thaiDistribute"/>
        <w:rPr>
          <w:iCs/>
          <w:sz w:val="24"/>
          <w:szCs w:val="24"/>
        </w:rPr>
      </w:pPr>
      <w:r w:rsidRPr="00A444A6">
        <w:rPr>
          <w:iCs/>
          <w:sz w:val="24"/>
          <w:szCs w:val="24"/>
        </w:rPr>
        <w:t>Findings show that Thailand has established a comprehensive legal and institutional foundation for coastal and marine resource management, including national committees, sectoral legislation, and long-term policy planning. Stakeholder engagement mechanisms, including provincial committees and community-based groups, provide additional support for participatory governance. However, weak cross-sectoral integration, uneven provincial implementation capacity, and limited alignment between climate policy, coastal development, and marine resource management continue to hinder effective decision-making and adaptive responses. Economic concentration in the Eastern Economic Corridor (EEC) further heightens governance asymmetries and ecological pressures.</w:t>
      </w:r>
    </w:p>
    <w:p w14:paraId="6C6C83AC" w14:textId="77777777" w:rsidR="00F77A8C" w:rsidRPr="00A444A6" w:rsidRDefault="00F77A8C" w:rsidP="00F77A8C">
      <w:pPr>
        <w:ind w:left="360"/>
        <w:jc w:val="thaiDistribute"/>
        <w:rPr>
          <w:iCs/>
          <w:sz w:val="24"/>
          <w:szCs w:val="24"/>
        </w:rPr>
      </w:pPr>
    </w:p>
    <w:p w14:paraId="1A045586" w14:textId="77777777" w:rsidR="00F77A8C" w:rsidRPr="00A444A6" w:rsidRDefault="00F77A8C" w:rsidP="00B9430E">
      <w:pPr>
        <w:jc w:val="thaiDistribute"/>
        <w:rPr>
          <w:iCs/>
          <w:sz w:val="24"/>
          <w:szCs w:val="24"/>
        </w:rPr>
      </w:pPr>
      <w:r w:rsidRPr="00A444A6">
        <w:rPr>
          <w:iCs/>
          <w:sz w:val="24"/>
          <w:szCs w:val="24"/>
        </w:rPr>
        <w:t>The report concludes that strengthening policy coherence, climate governance, provincial capacity, and regional cooperation is essential for improving Thailand’s readiness to address emerging environmental challenges and transboundary risks across the SCS Large Marine Ecosystem.</w:t>
      </w:r>
    </w:p>
    <w:p w14:paraId="3351A8B5" w14:textId="77777777" w:rsidR="00F77A8C" w:rsidRPr="00A444A6" w:rsidRDefault="00F77A8C" w:rsidP="00F77A8C">
      <w:pPr>
        <w:spacing w:before="120" w:after="120"/>
        <w:ind w:firstLine="1134"/>
        <w:jc w:val="thaiDistribute"/>
        <w:rPr>
          <w:iCs/>
          <w:sz w:val="24"/>
          <w:szCs w:val="24"/>
        </w:rPr>
      </w:pPr>
      <w:r w:rsidRPr="00A444A6">
        <w:rPr>
          <w:iCs/>
          <w:sz w:val="24"/>
          <w:szCs w:val="24"/>
        </w:rPr>
        <w:br w:type="page"/>
      </w:r>
    </w:p>
    <w:p w14:paraId="5EC1F5FA" w14:textId="77777777" w:rsidR="00F77A8C" w:rsidRPr="00A444A6" w:rsidRDefault="00F77A8C" w:rsidP="00F77A8C">
      <w:pPr>
        <w:ind w:left="360"/>
        <w:jc w:val="center"/>
        <w:rPr>
          <w:iCs/>
          <w:sz w:val="24"/>
          <w:szCs w:val="24"/>
          <w:cs/>
        </w:rPr>
      </w:pPr>
      <w:r w:rsidRPr="00A444A6">
        <w:rPr>
          <w:noProof/>
          <w:sz w:val="24"/>
          <w:szCs w:val="24"/>
        </w:rPr>
        <w:lastRenderedPageBreak/>
        <w:drawing>
          <wp:inline distT="0" distB="0" distL="0" distR="0" wp14:anchorId="063EABAA" wp14:editId="0EFBE240">
            <wp:extent cx="2276264" cy="3414395"/>
            <wp:effectExtent l="0" t="0" r="0" b="0"/>
            <wp:docPr id="1271766501" name="Picture 1" descr="A diagram of a government&#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71766501" name="Picture 1" descr="A diagram of a government&#10;&#10;AI-generated content may be incorrect."/>
                    <pic:cNvPicPr>
                      <a:picLocks noChangeAspect="1" noChangeArrowheads="1"/>
                    </pic:cNvPicPr>
                  </pic:nvPicPr>
                  <pic:blipFill>
                    <a:blip r:embed="rId83" cstate="print">
                      <a:extLst>
                        <a:ext uri="{28A0092B-C50C-407E-A947-70E740481C1C}">
                          <a14:useLocalDpi xmlns:a14="http://schemas.microsoft.com/office/drawing/2010/main" val="0"/>
                        </a:ext>
                      </a:extLst>
                    </a:blip>
                    <a:srcRect/>
                    <a:stretch>
                      <a:fillRect/>
                    </a:stretch>
                  </pic:blipFill>
                  <pic:spPr bwMode="auto">
                    <a:xfrm>
                      <a:off x="0" y="0"/>
                      <a:ext cx="2281777" cy="3422665"/>
                    </a:xfrm>
                    <a:prstGeom prst="rect">
                      <a:avLst/>
                    </a:prstGeom>
                    <a:noFill/>
                    <a:ln>
                      <a:noFill/>
                    </a:ln>
                  </pic:spPr>
                </pic:pic>
              </a:graphicData>
            </a:graphic>
          </wp:inline>
        </w:drawing>
      </w:r>
    </w:p>
    <w:p w14:paraId="520669EF" w14:textId="77777777" w:rsidR="00F77A8C" w:rsidRPr="00A444A6" w:rsidRDefault="00F77A8C" w:rsidP="00F77A8C">
      <w:pPr>
        <w:spacing w:before="120" w:after="120"/>
        <w:jc w:val="thaiDistribute"/>
        <w:rPr>
          <w:b/>
          <w:bCs/>
          <w:iCs/>
          <w:sz w:val="24"/>
          <w:szCs w:val="24"/>
        </w:rPr>
      </w:pPr>
      <w:r w:rsidRPr="00A444A6">
        <w:rPr>
          <w:b/>
          <w:bCs/>
          <w:iCs/>
          <w:sz w:val="24"/>
          <w:szCs w:val="24"/>
        </w:rPr>
        <w:t xml:space="preserve"> Marine Governance in Thailand: Key Components and Assessment Overview</w:t>
      </w:r>
    </w:p>
    <w:p w14:paraId="5B1AE82A" w14:textId="77777777" w:rsidR="00F77A8C" w:rsidRDefault="00F77A8C" w:rsidP="00F77A8C">
      <w:pPr>
        <w:spacing w:before="120" w:after="120"/>
        <w:jc w:val="thaiDistribute"/>
        <w:rPr>
          <w:iCs/>
        </w:rPr>
      </w:pPr>
    </w:p>
    <w:p w14:paraId="32497424" w14:textId="77777777" w:rsidR="00F77A8C" w:rsidRPr="00A444A6" w:rsidRDefault="00F77A8C" w:rsidP="00F77A8C">
      <w:pPr>
        <w:spacing w:before="120" w:after="120"/>
        <w:jc w:val="thaiDistribute"/>
        <w:rPr>
          <w:iCs/>
          <w:sz w:val="24"/>
          <w:szCs w:val="24"/>
        </w:rPr>
      </w:pPr>
      <w:r w:rsidRPr="00A444A6">
        <w:rPr>
          <w:iCs/>
          <w:sz w:val="24"/>
          <w:szCs w:val="24"/>
        </w:rPr>
        <w:t>This infographic summarises the core components of Thailand’s marine governance system and the results of the national self-assessment using the TWAP Governance Architecture Assessment Framework. The upper panel highlights the geographic scope of marine governance within Thailand. The middle panel presents four foundational governance elements—economic drivers, institutional arrangements, civil society engagement, and the legal and policy setting—together with the TWAP assessment wheel illustrating scores for completeness, integration, and engagement. The lower panel synthesises the key findings: Thailand has a comprehensive legal and institutional foundation and well-established participatory mechanisms, but governance effectiveness is constrained by weak cross-sectoral integration and economic concentration in the Eastern Economic Corridor (EEC). Together, these components illustrate the strengths and persistent gaps shaping Thailand’s capacity for effective coastal and marine governance.</w:t>
      </w:r>
    </w:p>
    <w:p w14:paraId="46F95D99" w14:textId="77777777" w:rsidR="00F77A8C" w:rsidRPr="00A444A6" w:rsidRDefault="00F77A8C" w:rsidP="00F77A8C">
      <w:pPr>
        <w:spacing w:before="120" w:after="120"/>
        <w:ind w:firstLine="1134"/>
        <w:jc w:val="thaiDistribute"/>
        <w:rPr>
          <w:iCs/>
          <w:sz w:val="24"/>
          <w:szCs w:val="24"/>
        </w:rPr>
      </w:pPr>
    </w:p>
    <w:p w14:paraId="67888C39" w14:textId="77777777" w:rsidR="00F77A8C" w:rsidRPr="00A444A6" w:rsidRDefault="00F77A8C" w:rsidP="00F77A8C">
      <w:pPr>
        <w:ind w:left="360"/>
        <w:rPr>
          <w:iCs/>
          <w:sz w:val="24"/>
          <w:szCs w:val="24"/>
        </w:rPr>
      </w:pPr>
    </w:p>
    <w:p w14:paraId="7C785825" w14:textId="77777777" w:rsidR="00F77A8C" w:rsidRPr="00A444A6" w:rsidRDefault="00F77A8C" w:rsidP="00F77A8C">
      <w:pPr>
        <w:ind w:left="360" w:hanging="360"/>
        <w:rPr>
          <w:iCs/>
          <w:sz w:val="24"/>
          <w:szCs w:val="24"/>
        </w:rPr>
      </w:pPr>
    </w:p>
    <w:p w14:paraId="2FDA83CB" w14:textId="77777777" w:rsidR="00F77A8C" w:rsidRPr="00A444A6" w:rsidRDefault="00F77A8C" w:rsidP="00F77A8C">
      <w:pPr>
        <w:spacing w:before="120" w:after="120"/>
        <w:ind w:firstLine="1134"/>
        <w:jc w:val="thaiDistribute"/>
        <w:rPr>
          <w:b/>
          <w:bCs/>
          <w:color w:val="000000"/>
          <w:sz w:val="24"/>
          <w:szCs w:val="24"/>
        </w:rPr>
      </w:pPr>
      <w:r w:rsidRPr="00A444A6">
        <w:rPr>
          <w:b/>
          <w:bCs/>
          <w:color w:val="000000"/>
          <w:sz w:val="24"/>
          <w:szCs w:val="24"/>
        </w:rPr>
        <w:br w:type="page"/>
      </w:r>
    </w:p>
    <w:p w14:paraId="6CFEE26D" w14:textId="77777777" w:rsidR="00F77A8C" w:rsidRPr="00A444A6" w:rsidRDefault="00F77A8C" w:rsidP="00F77A8C">
      <w:pPr>
        <w:pBdr>
          <w:top w:val="nil"/>
          <w:left w:val="nil"/>
          <w:bottom w:val="nil"/>
          <w:right w:val="nil"/>
          <w:between w:val="nil"/>
        </w:pBdr>
        <w:rPr>
          <w:b/>
          <w:bCs/>
          <w:color w:val="000000"/>
          <w:sz w:val="24"/>
          <w:szCs w:val="24"/>
        </w:rPr>
      </w:pPr>
      <w:r w:rsidRPr="00A444A6">
        <w:rPr>
          <w:b/>
          <w:bCs/>
          <w:color w:val="000000"/>
          <w:sz w:val="24"/>
          <w:szCs w:val="24"/>
        </w:rPr>
        <w:lastRenderedPageBreak/>
        <w:t>6.1 Key findings</w:t>
      </w:r>
    </w:p>
    <w:p w14:paraId="09416E15" w14:textId="77777777" w:rsidR="00F77A8C" w:rsidRPr="00A444A6" w:rsidRDefault="00F77A8C" w:rsidP="00F77A8C">
      <w:pPr>
        <w:pBdr>
          <w:top w:val="nil"/>
          <w:left w:val="nil"/>
          <w:bottom w:val="nil"/>
          <w:right w:val="nil"/>
          <w:between w:val="nil"/>
        </w:pBdr>
        <w:jc w:val="both"/>
        <w:rPr>
          <w:b/>
          <w:bCs/>
          <w:color w:val="000000"/>
          <w:sz w:val="24"/>
          <w:szCs w:val="24"/>
        </w:rPr>
      </w:pPr>
    </w:p>
    <w:p w14:paraId="2E28C01F" w14:textId="77777777" w:rsidR="00F77A8C" w:rsidRPr="00A444A6" w:rsidRDefault="00F77A8C" w:rsidP="00F77A8C">
      <w:pPr>
        <w:pBdr>
          <w:top w:val="nil"/>
          <w:left w:val="nil"/>
          <w:bottom w:val="nil"/>
          <w:right w:val="nil"/>
          <w:between w:val="nil"/>
        </w:pBdr>
        <w:jc w:val="both"/>
        <w:rPr>
          <w:color w:val="000000"/>
          <w:sz w:val="24"/>
          <w:szCs w:val="24"/>
        </w:rPr>
      </w:pPr>
      <w:r w:rsidRPr="00A444A6">
        <w:rPr>
          <w:color w:val="000000"/>
          <w:sz w:val="24"/>
          <w:szCs w:val="24"/>
        </w:rPr>
        <w:t>6.1.1 Economic arrangements</w:t>
      </w:r>
    </w:p>
    <w:p w14:paraId="6C5F2A58" w14:textId="77777777" w:rsidR="00F77A8C" w:rsidRPr="00A444A6" w:rsidRDefault="00F77A8C" w:rsidP="00F77A8C">
      <w:pPr>
        <w:pBdr>
          <w:top w:val="nil"/>
          <w:left w:val="nil"/>
          <w:bottom w:val="nil"/>
          <w:right w:val="nil"/>
          <w:between w:val="nil"/>
        </w:pBdr>
        <w:jc w:val="both"/>
        <w:rPr>
          <w:color w:val="000000"/>
          <w:sz w:val="24"/>
          <w:szCs w:val="24"/>
        </w:rPr>
      </w:pPr>
      <w:r w:rsidRPr="00A444A6">
        <w:rPr>
          <w:color w:val="000000"/>
          <w:sz w:val="24"/>
          <w:szCs w:val="24"/>
        </w:rPr>
        <w:t>The Gulf of Thailand is a core economic engine, contributing roughly 60–65% of national GPP through industry, tourism, fisheries, and logistics. Rapid expansion under the Eastern Economic Corridor (EEC) has intensified pressures on coastal ecosystems via land conversion, pollution, habitat loss, and overexploitation. Strong economic disparities among provinces result in uneven capacity for marine resource management, with EEC provinces far better resourced than lower-income coastal areas.</w:t>
      </w:r>
    </w:p>
    <w:p w14:paraId="19E85DF1" w14:textId="77777777" w:rsidR="00F77A8C" w:rsidRPr="00A444A6" w:rsidRDefault="00F77A8C" w:rsidP="00F77A8C">
      <w:pPr>
        <w:pBdr>
          <w:top w:val="nil"/>
          <w:left w:val="nil"/>
          <w:bottom w:val="nil"/>
          <w:right w:val="nil"/>
          <w:between w:val="nil"/>
        </w:pBdr>
        <w:jc w:val="both"/>
        <w:rPr>
          <w:color w:val="000000"/>
          <w:sz w:val="24"/>
          <w:szCs w:val="24"/>
        </w:rPr>
      </w:pPr>
    </w:p>
    <w:p w14:paraId="0268B6A7" w14:textId="77777777" w:rsidR="00F77A8C" w:rsidRPr="00A444A6" w:rsidRDefault="00F77A8C" w:rsidP="00F77A8C">
      <w:pPr>
        <w:pBdr>
          <w:top w:val="nil"/>
          <w:left w:val="nil"/>
          <w:bottom w:val="nil"/>
          <w:right w:val="nil"/>
          <w:between w:val="nil"/>
        </w:pBdr>
        <w:jc w:val="both"/>
        <w:rPr>
          <w:color w:val="000000"/>
          <w:sz w:val="24"/>
          <w:szCs w:val="24"/>
        </w:rPr>
      </w:pPr>
      <w:r w:rsidRPr="00A444A6">
        <w:rPr>
          <w:color w:val="000000"/>
          <w:sz w:val="24"/>
          <w:szCs w:val="24"/>
        </w:rPr>
        <w:t>6.1.2 Institutional setting</w:t>
      </w:r>
    </w:p>
    <w:p w14:paraId="0633DED1" w14:textId="77777777" w:rsidR="00F77A8C" w:rsidRPr="00A444A6" w:rsidRDefault="00F77A8C" w:rsidP="00F77A8C">
      <w:pPr>
        <w:pBdr>
          <w:top w:val="nil"/>
          <w:left w:val="nil"/>
          <w:bottom w:val="nil"/>
          <w:right w:val="nil"/>
          <w:between w:val="nil"/>
        </w:pBdr>
        <w:jc w:val="both"/>
        <w:rPr>
          <w:color w:val="000000"/>
          <w:sz w:val="24"/>
          <w:szCs w:val="24"/>
        </w:rPr>
      </w:pPr>
      <w:r w:rsidRPr="00A444A6">
        <w:rPr>
          <w:color w:val="000000"/>
          <w:sz w:val="24"/>
          <w:szCs w:val="24"/>
        </w:rPr>
        <w:t>Thailand has a complex institutional structure involving multiple ministries, agencies, and cross-sectoral committees. While DMCR holds the primary mandate, effective governance depends on coordination with DOF, DNP, ONEP, PCD, DCCE, MD, and RTN. Despite strong national arrangements, coordination remains fragmented and provincial implementation capacity varies. Provincial committees continue to face weak integration, irregular operations, and limited participation of small-scale fishers and women.</w:t>
      </w:r>
    </w:p>
    <w:p w14:paraId="0EF7A99C" w14:textId="77777777" w:rsidR="00F77A8C" w:rsidRPr="00A444A6" w:rsidRDefault="00F77A8C" w:rsidP="00F77A8C">
      <w:pPr>
        <w:pBdr>
          <w:top w:val="nil"/>
          <w:left w:val="nil"/>
          <w:bottom w:val="nil"/>
          <w:right w:val="nil"/>
          <w:between w:val="nil"/>
        </w:pBdr>
        <w:jc w:val="both"/>
        <w:rPr>
          <w:color w:val="000000"/>
          <w:sz w:val="24"/>
          <w:szCs w:val="24"/>
        </w:rPr>
      </w:pPr>
    </w:p>
    <w:p w14:paraId="4E327A31" w14:textId="77777777" w:rsidR="00F77A8C" w:rsidRPr="00A444A6" w:rsidRDefault="00F77A8C" w:rsidP="00F77A8C">
      <w:pPr>
        <w:pBdr>
          <w:top w:val="nil"/>
          <w:left w:val="nil"/>
          <w:bottom w:val="nil"/>
          <w:right w:val="nil"/>
          <w:between w:val="nil"/>
        </w:pBdr>
        <w:jc w:val="both"/>
        <w:rPr>
          <w:color w:val="000000"/>
          <w:sz w:val="24"/>
          <w:szCs w:val="24"/>
        </w:rPr>
      </w:pPr>
      <w:r w:rsidRPr="00A444A6">
        <w:rPr>
          <w:color w:val="000000"/>
          <w:sz w:val="24"/>
          <w:szCs w:val="24"/>
        </w:rPr>
        <w:t>6.1.3 Legal and policy framework</w:t>
      </w:r>
    </w:p>
    <w:p w14:paraId="018688AF" w14:textId="77777777" w:rsidR="00F77A8C" w:rsidRPr="00A444A6" w:rsidRDefault="00F77A8C" w:rsidP="00F77A8C">
      <w:pPr>
        <w:pBdr>
          <w:top w:val="nil"/>
          <w:left w:val="nil"/>
          <w:bottom w:val="nil"/>
          <w:right w:val="nil"/>
          <w:between w:val="nil"/>
        </w:pBdr>
        <w:jc w:val="both"/>
        <w:rPr>
          <w:color w:val="000000"/>
          <w:sz w:val="24"/>
          <w:szCs w:val="24"/>
        </w:rPr>
      </w:pPr>
      <w:r w:rsidRPr="00A444A6">
        <w:rPr>
          <w:color w:val="000000"/>
          <w:sz w:val="24"/>
          <w:szCs w:val="24"/>
        </w:rPr>
        <w:t>Thailand possesses a comprehensive legal and policy framework aligned with key international commitments (UNCLOS, CBD, GBF, SDG 14). Core instruments include the Marine and Coastal Resources Management Act (2015), Fisheries Ordinance (2015), Environmental Quality Act, Climate Change Master Plan, NBSAPs, and the National Marine and Coastal Resources Management Plan (2023–2027). However, enforcement gaps persist, and pending legislation (Climate Change Act and National Biodiversity Act) constrains long-term legal certainty.</w:t>
      </w:r>
    </w:p>
    <w:p w14:paraId="21364B89" w14:textId="77777777" w:rsidR="00F77A8C" w:rsidRPr="00A444A6" w:rsidRDefault="00F77A8C" w:rsidP="00F77A8C">
      <w:pPr>
        <w:pBdr>
          <w:top w:val="nil"/>
          <w:left w:val="nil"/>
          <w:bottom w:val="nil"/>
          <w:right w:val="nil"/>
          <w:between w:val="nil"/>
        </w:pBdr>
        <w:jc w:val="both"/>
        <w:rPr>
          <w:color w:val="000000"/>
          <w:sz w:val="24"/>
          <w:szCs w:val="24"/>
        </w:rPr>
      </w:pPr>
    </w:p>
    <w:p w14:paraId="3AFC95D2" w14:textId="77777777" w:rsidR="00F77A8C" w:rsidRPr="00A444A6" w:rsidRDefault="00F77A8C" w:rsidP="00F77A8C">
      <w:pPr>
        <w:pBdr>
          <w:top w:val="nil"/>
          <w:left w:val="nil"/>
          <w:bottom w:val="nil"/>
          <w:right w:val="nil"/>
          <w:between w:val="nil"/>
        </w:pBdr>
        <w:jc w:val="both"/>
        <w:rPr>
          <w:color w:val="000000"/>
          <w:sz w:val="24"/>
          <w:szCs w:val="24"/>
        </w:rPr>
      </w:pPr>
      <w:r w:rsidRPr="00A444A6">
        <w:rPr>
          <w:color w:val="000000"/>
          <w:sz w:val="24"/>
          <w:szCs w:val="24"/>
        </w:rPr>
        <w:t>6.1.4 Civil society, stakeholders, and partnerships</w:t>
      </w:r>
    </w:p>
    <w:p w14:paraId="070C7079" w14:textId="77777777" w:rsidR="00F77A8C" w:rsidRPr="00A444A6" w:rsidRDefault="00F77A8C" w:rsidP="00F77A8C">
      <w:pPr>
        <w:pBdr>
          <w:top w:val="nil"/>
          <w:left w:val="nil"/>
          <w:bottom w:val="nil"/>
          <w:right w:val="nil"/>
          <w:between w:val="nil"/>
        </w:pBdr>
        <w:jc w:val="both"/>
        <w:rPr>
          <w:color w:val="000000"/>
          <w:sz w:val="24"/>
          <w:szCs w:val="24"/>
        </w:rPr>
      </w:pPr>
      <w:r w:rsidRPr="00A444A6">
        <w:rPr>
          <w:color w:val="000000"/>
          <w:sz w:val="24"/>
          <w:szCs w:val="24"/>
        </w:rPr>
        <w:t>Thailand is highly active in regional and global marine governance platforms (e.g., UNEP/COBSEA, ASEAN, APEC, IOC/WESTPAC, IORA), with DMCR playing a central leadership role. At the local level, however, participation remains uneven. Women and marginalized groups have limited influence, and community engagement is strongest when supported by long-term donor or academic partnerships.</w:t>
      </w:r>
    </w:p>
    <w:p w14:paraId="03437F4B" w14:textId="77777777" w:rsidR="00F77A8C" w:rsidRPr="00A444A6" w:rsidRDefault="00F77A8C" w:rsidP="00F77A8C">
      <w:pPr>
        <w:pBdr>
          <w:top w:val="nil"/>
          <w:left w:val="nil"/>
          <w:bottom w:val="nil"/>
          <w:right w:val="nil"/>
          <w:between w:val="nil"/>
        </w:pBdr>
        <w:jc w:val="both"/>
        <w:rPr>
          <w:color w:val="000000"/>
          <w:sz w:val="24"/>
          <w:szCs w:val="24"/>
        </w:rPr>
      </w:pPr>
    </w:p>
    <w:p w14:paraId="4F770F9A" w14:textId="77777777" w:rsidR="00F77A8C" w:rsidRPr="00A444A6" w:rsidRDefault="00F77A8C" w:rsidP="00F77A8C">
      <w:pPr>
        <w:pBdr>
          <w:top w:val="nil"/>
          <w:left w:val="nil"/>
          <w:bottom w:val="nil"/>
          <w:right w:val="nil"/>
          <w:between w:val="nil"/>
        </w:pBdr>
        <w:jc w:val="both"/>
        <w:rPr>
          <w:color w:val="000000"/>
          <w:sz w:val="24"/>
          <w:szCs w:val="24"/>
        </w:rPr>
      </w:pPr>
      <w:r w:rsidRPr="00A444A6">
        <w:rPr>
          <w:color w:val="000000"/>
          <w:sz w:val="24"/>
          <w:szCs w:val="24"/>
        </w:rPr>
        <w:t>Overall finding</w:t>
      </w:r>
    </w:p>
    <w:p w14:paraId="259E58FF" w14:textId="77777777" w:rsidR="00F77A8C" w:rsidRPr="00A444A6" w:rsidRDefault="00F77A8C" w:rsidP="00F77A8C">
      <w:pPr>
        <w:pBdr>
          <w:top w:val="nil"/>
          <w:left w:val="nil"/>
          <w:bottom w:val="nil"/>
          <w:right w:val="nil"/>
          <w:between w:val="nil"/>
        </w:pBdr>
        <w:jc w:val="both"/>
        <w:rPr>
          <w:color w:val="000000"/>
          <w:sz w:val="24"/>
          <w:szCs w:val="24"/>
        </w:rPr>
      </w:pPr>
      <w:r w:rsidRPr="00A444A6">
        <w:rPr>
          <w:color w:val="000000"/>
          <w:sz w:val="24"/>
          <w:szCs w:val="24"/>
        </w:rPr>
        <w:t>Thailand demonstrates strong national policy frameworks and active regional engagement, but persistent implementation gaps—driven by institutional fragmentation, economic disparities, and uneven provincial capacity—pose ongoing governance risks. Strengthening cross-sectoral coordination, inclusive participation, legal coherence, and sustainable financing is essential for effective governance of marine and coastal resources in the Gulf of Thailand.</w:t>
      </w:r>
    </w:p>
    <w:p w14:paraId="46C8F525" w14:textId="77777777" w:rsidR="00F77A8C" w:rsidRPr="00A444A6" w:rsidRDefault="00F77A8C" w:rsidP="00F77A8C">
      <w:pPr>
        <w:pBdr>
          <w:top w:val="nil"/>
          <w:left w:val="nil"/>
          <w:bottom w:val="nil"/>
          <w:right w:val="nil"/>
          <w:between w:val="nil"/>
        </w:pBdr>
        <w:jc w:val="both"/>
        <w:rPr>
          <w:b/>
          <w:bCs/>
          <w:color w:val="000000"/>
          <w:sz w:val="24"/>
          <w:szCs w:val="24"/>
        </w:rPr>
      </w:pPr>
    </w:p>
    <w:p w14:paraId="2671635C" w14:textId="77777777" w:rsidR="00F77A8C" w:rsidRPr="00A444A6" w:rsidRDefault="00F77A8C" w:rsidP="00F77A8C">
      <w:pPr>
        <w:pBdr>
          <w:top w:val="nil"/>
          <w:left w:val="nil"/>
          <w:bottom w:val="nil"/>
          <w:right w:val="nil"/>
          <w:between w:val="nil"/>
        </w:pBdr>
        <w:jc w:val="both"/>
        <w:rPr>
          <w:color w:val="000000"/>
          <w:sz w:val="24"/>
          <w:szCs w:val="24"/>
        </w:rPr>
      </w:pPr>
    </w:p>
    <w:p w14:paraId="66FD8EDF" w14:textId="77777777" w:rsidR="00F77A8C" w:rsidRPr="00A444A6" w:rsidRDefault="00F77A8C" w:rsidP="00F77A8C">
      <w:pPr>
        <w:pBdr>
          <w:top w:val="nil"/>
          <w:left w:val="nil"/>
          <w:bottom w:val="nil"/>
          <w:right w:val="nil"/>
          <w:between w:val="nil"/>
        </w:pBdr>
        <w:jc w:val="both"/>
        <w:rPr>
          <w:color w:val="000000"/>
          <w:sz w:val="24"/>
          <w:szCs w:val="24"/>
          <w:cs/>
        </w:rPr>
      </w:pPr>
    </w:p>
    <w:p w14:paraId="285EE1AC" w14:textId="77777777" w:rsidR="00F77A8C" w:rsidRPr="00A444A6" w:rsidRDefault="00F77A8C" w:rsidP="00F77A8C">
      <w:pPr>
        <w:spacing w:before="120" w:after="120"/>
        <w:ind w:firstLine="1134"/>
        <w:jc w:val="thaiDistribute"/>
        <w:rPr>
          <w:b/>
          <w:bCs/>
          <w:color w:val="000000"/>
          <w:sz w:val="24"/>
          <w:szCs w:val="24"/>
        </w:rPr>
      </w:pPr>
      <w:r w:rsidRPr="00A444A6">
        <w:rPr>
          <w:b/>
          <w:bCs/>
          <w:color w:val="000000"/>
          <w:sz w:val="24"/>
          <w:szCs w:val="24"/>
        </w:rPr>
        <w:br w:type="page"/>
      </w:r>
    </w:p>
    <w:p w14:paraId="5B044319" w14:textId="77777777" w:rsidR="00F77A8C" w:rsidRPr="00A444A6" w:rsidRDefault="00F77A8C" w:rsidP="00F77A8C">
      <w:pPr>
        <w:pBdr>
          <w:top w:val="nil"/>
          <w:left w:val="nil"/>
          <w:bottom w:val="nil"/>
          <w:right w:val="nil"/>
          <w:between w:val="nil"/>
        </w:pBdr>
        <w:jc w:val="both"/>
        <w:rPr>
          <w:b/>
          <w:bCs/>
          <w:color w:val="000000"/>
          <w:sz w:val="24"/>
          <w:szCs w:val="24"/>
        </w:rPr>
      </w:pPr>
      <w:r w:rsidRPr="00A444A6">
        <w:rPr>
          <w:b/>
          <w:bCs/>
          <w:color w:val="000000"/>
          <w:sz w:val="24"/>
          <w:szCs w:val="24"/>
        </w:rPr>
        <w:lastRenderedPageBreak/>
        <w:t>6.2 Current Status</w:t>
      </w:r>
    </w:p>
    <w:p w14:paraId="4D8EF816" w14:textId="77777777" w:rsidR="00F77A8C" w:rsidRPr="00A444A6" w:rsidRDefault="00F77A8C" w:rsidP="00F77A8C">
      <w:pPr>
        <w:pBdr>
          <w:top w:val="nil"/>
          <w:left w:val="nil"/>
          <w:bottom w:val="nil"/>
          <w:right w:val="nil"/>
          <w:between w:val="nil"/>
        </w:pBdr>
        <w:jc w:val="both"/>
        <w:rPr>
          <w:b/>
          <w:bCs/>
          <w:color w:val="000000"/>
          <w:sz w:val="24"/>
          <w:szCs w:val="24"/>
        </w:rPr>
      </w:pPr>
    </w:p>
    <w:p w14:paraId="00D05450" w14:textId="77777777" w:rsidR="00F77A8C" w:rsidRPr="00A444A6" w:rsidRDefault="00F77A8C" w:rsidP="00F77A8C">
      <w:pPr>
        <w:ind w:left="360" w:hanging="360"/>
        <w:rPr>
          <w:b/>
          <w:bCs/>
          <w:i/>
          <w:sz w:val="24"/>
          <w:szCs w:val="24"/>
          <w:cs/>
        </w:rPr>
      </w:pPr>
      <w:r w:rsidRPr="00A444A6">
        <w:rPr>
          <w:b/>
          <w:bCs/>
          <w:iCs/>
          <w:sz w:val="24"/>
          <w:szCs w:val="24"/>
        </w:rPr>
        <w:t>6.2.1Economic arrangements</w:t>
      </w:r>
      <w:r w:rsidRPr="00A444A6">
        <w:rPr>
          <w:i/>
          <w:sz w:val="24"/>
          <w:szCs w:val="24"/>
        </w:rPr>
        <w:t xml:space="preserve"> </w:t>
      </w:r>
    </w:p>
    <w:p w14:paraId="533F3F41" w14:textId="77777777" w:rsidR="00F77A8C" w:rsidRPr="00A444A6" w:rsidRDefault="00F77A8C" w:rsidP="00F77A8C">
      <w:pPr>
        <w:spacing w:before="100" w:beforeAutospacing="1" w:after="100" w:afterAutospacing="1"/>
        <w:jc w:val="both"/>
        <w:rPr>
          <w:rFonts w:eastAsia="Times New Roman"/>
          <w:sz w:val="24"/>
          <w:szCs w:val="24"/>
        </w:rPr>
      </w:pPr>
      <w:r w:rsidRPr="00A444A6">
        <w:rPr>
          <w:rFonts w:eastAsia="Times New Roman"/>
          <w:sz w:val="24"/>
          <w:szCs w:val="24"/>
        </w:rPr>
        <w:t>The Gulf of Thailand covers approximately 200,000 km² with a coastline of about 2,000 km across 17 coastal provinces from Trat to Narathiwat. It contains highly productive ecosystems, including coral reefs, mangroves, and seagrass beds, that underpin food security, biodiversity conservation, and coastal livelihoods (DMCR, 2013). These ecosystems also support Thailand’s major marine-based industries, including fisheries, tourism, maritime transport, seafood processing, energy, and emerging blue economy activities. The total annual value of Thailand’s marine and coastal ecosystems (Gulf of Thailand and Andaman Sea combined) is estimated at approximately THB 24 trillion (USD 742 billion), including both direct economic services and indirect ecosystem services such as coastal protection and carbon sequestration (Sub-Committee on Knowledge Management for Marine National Interests, 2019).</w:t>
      </w:r>
    </w:p>
    <w:p w14:paraId="3C6A7150" w14:textId="77777777" w:rsidR="00F77A8C" w:rsidRPr="00A444A6" w:rsidRDefault="00F77A8C" w:rsidP="00F77A8C">
      <w:pPr>
        <w:spacing w:before="100" w:beforeAutospacing="1" w:after="100" w:afterAutospacing="1"/>
        <w:jc w:val="both"/>
        <w:rPr>
          <w:rFonts w:eastAsia="Times New Roman"/>
          <w:sz w:val="24"/>
          <w:szCs w:val="24"/>
        </w:rPr>
      </w:pPr>
      <w:r w:rsidRPr="00A444A6">
        <w:rPr>
          <w:rFonts w:eastAsia="Times New Roman"/>
          <w:sz w:val="24"/>
          <w:szCs w:val="24"/>
        </w:rPr>
        <w:t>Over the past two decades, marine resource use in the Gulf of Thailand has intensified alongside rapid economic development. Key drivers include the Eastern Economic Corridor (EEC), coastal urbanization, and expansion of marine tourism. Since its launch in 2017, the EEC has transformed Chonburi, Chachoengsao, and Rayong into major industrial and logistics hubs, driving large-scale port development, industrial estates, and coastal land conversion. While these investments have strengthened national economic growth, they have also contributed to significant environmental degradation, including mangrove loss, coral and seagrass decline, overfishing, and increasing marine pollution (Sub-Committee on Knowledge Management for Marine National Interests, 2019).</w:t>
      </w:r>
    </w:p>
    <w:p w14:paraId="5A89E10E" w14:textId="77777777" w:rsidR="00F77A8C" w:rsidRPr="00A444A6" w:rsidRDefault="00F77A8C" w:rsidP="00F77A8C">
      <w:pPr>
        <w:spacing w:before="100" w:beforeAutospacing="1" w:after="100" w:afterAutospacing="1"/>
        <w:jc w:val="both"/>
        <w:rPr>
          <w:rFonts w:eastAsia="Times New Roman"/>
          <w:sz w:val="24"/>
          <w:szCs w:val="24"/>
        </w:rPr>
      </w:pPr>
      <w:r w:rsidRPr="00A444A6">
        <w:rPr>
          <w:rFonts w:eastAsia="Times New Roman"/>
          <w:sz w:val="24"/>
          <w:szCs w:val="24"/>
        </w:rPr>
        <w:t>National budget allocations and rising domestic and foreign investments continue to shape infrastructure and industrial development across the Gulf, with marked variation among provinces. Given the scale of economic pressure on marine ecosystems, strengthening sustainable financing mechanisms and improving integration between economic and environmental policies are essential to support long-term conservation, ecosystem restoration, and the sustainable use of marine and coastal resources in the Gulf of Thailand.</w:t>
      </w:r>
    </w:p>
    <w:p w14:paraId="768BAB80" w14:textId="77777777" w:rsidR="00F77A8C" w:rsidRPr="00A444A6" w:rsidRDefault="00F77A8C" w:rsidP="00F77A8C">
      <w:pPr>
        <w:pStyle w:val="ListParagraph"/>
        <w:widowControl/>
        <w:numPr>
          <w:ilvl w:val="3"/>
          <w:numId w:val="142"/>
        </w:numPr>
        <w:rPr>
          <w:rFonts w:cs="Arial"/>
          <w:sz w:val="24"/>
          <w:szCs w:val="24"/>
        </w:rPr>
      </w:pPr>
      <w:r w:rsidRPr="00A444A6">
        <w:rPr>
          <w:rFonts w:cs="Arial"/>
          <w:b/>
          <w:bCs/>
          <w:iCs/>
          <w:sz w:val="24"/>
          <w:szCs w:val="24"/>
        </w:rPr>
        <w:t xml:space="preserve">Policy and Economic Drivers </w:t>
      </w:r>
    </w:p>
    <w:p w14:paraId="673F5066" w14:textId="77777777" w:rsidR="00F77A8C" w:rsidRPr="00A444A6" w:rsidRDefault="00F77A8C" w:rsidP="00F77A8C">
      <w:pPr>
        <w:ind w:left="720"/>
        <w:rPr>
          <w:b/>
          <w:bCs/>
          <w:iCs/>
          <w:sz w:val="24"/>
          <w:szCs w:val="24"/>
        </w:rPr>
      </w:pPr>
    </w:p>
    <w:p w14:paraId="02FC3F7C" w14:textId="77777777" w:rsidR="00F77A8C" w:rsidRPr="00A444A6" w:rsidRDefault="00F77A8C" w:rsidP="00F77A8C">
      <w:pPr>
        <w:rPr>
          <w:b/>
          <w:bCs/>
          <w:sz w:val="24"/>
          <w:szCs w:val="24"/>
        </w:rPr>
      </w:pPr>
      <w:r w:rsidRPr="00A444A6">
        <w:rPr>
          <w:b/>
          <w:bCs/>
          <w:sz w:val="24"/>
          <w:szCs w:val="24"/>
        </w:rPr>
        <w:t>Policy drivers</w:t>
      </w:r>
    </w:p>
    <w:p w14:paraId="221C3723" w14:textId="77777777" w:rsidR="00F77A8C" w:rsidRPr="00A444A6" w:rsidRDefault="00F77A8C" w:rsidP="00F77A8C">
      <w:pPr>
        <w:rPr>
          <w:b/>
          <w:bCs/>
          <w:sz w:val="24"/>
          <w:szCs w:val="24"/>
        </w:rPr>
      </w:pPr>
    </w:p>
    <w:p w14:paraId="2F7C114F" w14:textId="77777777" w:rsidR="00F77A8C" w:rsidRPr="00A444A6" w:rsidRDefault="00F77A8C" w:rsidP="00F77A8C">
      <w:pPr>
        <w:jc w:val="both"/>
        <w:rPr>
          <w:sz w:val="24"/>
          <w:szCs w:val="24"/>
        </w:rPr>
      </w:pPr>
      <w:r w:rsidRPr="00A444A6">
        <w:rPr>
          <w:sz w:val="24"/>
          <w:szCs w:val="24"/>
        </w:rPr>
        <w:t>Economic development policies and political priorities strongly shape marine and coastal resource use in the Gulf of Thailand, a national hub for industry, tourism, and fisheries. Over the past two decades, development has been guided by the National Economic and Social Development Plans and the 20-Year National Strategy, which promote economic competitiveness alongside environmental sustainability. Key policy drivers include the bio-economy and marine tourism, industrial and port expansion under the Eastern Economic Corridor, and environmental strategies such as the Blue Economy, Bio-Circular-Green (BCG) Economy, and Marine Spatial Planning.</w:t>
      </w:r>
    </w:p>
    <w:p w14:paraId="45B0DB24" w14:textId="77777777" w:rsidR="00F77A8C" w:rsidRPr="00A444A6" w:rsidRDefault="00F77A8C" w:rsidP="00F77A8C">
      <w:pPr>
        <w:jc w:val="both"/>
        <w:rPr>
          <w:sz w:val="24"/>
          <w:szCs w:val="24"/>
        </w:rPr>
      </w:pPr>
    </w:p>
    <w:p w14:paraId="2CD3CCF2" w14:textId="77777777" w:rsidR="00F77A8C" w:rsidRPr="00A444A6" w:rsidRDefault="00F77A8C" w:rsidP="00F77A8C">
      <w:pPr>
        <w:jc w:val="both"/>
        <w:rPr>
          <w:sz w:val="24"/>
          <w:szCs w:val="24"/>
        </w:rPr>
      </w:pPr>
      <w:r w:rsidRPr="00A444A6">
        <w:rPr>
          <w:sz w:val="24"/>
          <w:szCs w:val="24"/>
        </w:rPr>
        <w:t xml:space="preserve">While these policies have supported economic growth, rising incomes, and poverty reduction, they have also intensified pressures on marine ecosystems. Significant impacts include mangrove loss, coral and seagrass degradation, declining fish stocks, </w:t>
      </w:r>
      <w:r w:rsidRPr="00A444A6">
        <w:rPr>
          <w:sz w:val="24"/>
          <w:szCs w:val="24"/>
        </w:rPr>
        <w:lastRenderedPageBreak/>
        <w:t>and increasing marine pollution from industrial and shipping activities (PEMSEA &amp; DMCR, 2019; DMCR, 2024). These trends underscore the need for stronger institutional accountability and sustained financing for ecosystem protection and restoration.</w:t>
      </w:r>
    </w:p>
    <w:p w14:paraId="546A23B9" w14:textId="77777777" w:rsidR="00F77A8C" w:rsidRPr="00A444A6" w:rsidRDefault="00F77A8C" w:rsidP="00F77A8C">
      <w:pPr>
        <w:jc w:val="both"/>
        <w:rPr>
          <w:sz w:val="24"/>
          <w:szCs w:val="24"/>
        </w:rPr>
      </w:pPr>
    </w:p>
    <w:p w14:paraId="06E958D0" w14:textId="77777777" w:rsidR="00F77A8C" w:rsidRPr="00A444A6" w:rsidRDefault="00F77A8C" w:rsidP="00F77A8C">
      <w:pPr>
        <w:jc w:val="both"/>
        <w:rPr>
          <w:b/>
          <w:bCs/>
          <w:iCs/>
          <w:sz w:val="24"/>
          <w:szCs w:val="24"/>
        </w:rPr>
      </w:pPr>
      <w:r w:rsidRPr="00A444A6">
        <w:rPr>
          <w:b/>
          <w:bCs/>
          <w:iCs/>
          <w:sz w:val="24"/>
          <w:szCs w:val="24"/>
        </w:rPr>
        <w:t>Economic drivers</w:t>
      </w:r>
    </w:p>
    <w:p w14:paraId="4100C68E" w14:textId="77777777" w:rsidR="00F77A8C" w:rsidRPr="00A444A6" w:rsidRDefault="00F77A8C" w:rsidP="00F77A8C">
      <w:pPr>
        <w:pStyle w:val="ListParagraph"/>
        <w:ind w:left="1080"/>
        <w:rPr>
          <w:rFonts w:cs="Arial"/>
          <w:i/>
          <w:sz w:val="24"/>
          <w:szCs w:val="24"/>
        </w:rPr>
      </w:pPr>
    </w:p>
    <w:p w14:paraId="55CE08C1" w14:textId="77777777" w:rsidR="00F77A8C" w:rsidRPr="00A444A6" w:rsidRDefault="00F77A8C" w:rsidP="00F77A8C">
      <w:pPr>
        <w:rPr>
          <w:sz w:val="24"/>
          <w:szCs w:val="24"/>
          <w:cs/>
        </w:rPr>
      </w:pPr>
      <w:r w:rsidRPr="00A444A6">
        <w:rPr>
          <w:sz w:val="24"/>
          <w:szCs w:val="24"/>
        </w:rPr>
        <w:t>Over the past two decades (2000–2024), Thailand’s economy has been shaped by a wide range of dynamics. These include domestic factors such as political uncertainty, constitutional reforms, and multiple changes in government, as well as external influences such as global economic fluctuations, trade tensions among major powers, and the COVID-19 pandemic. All of these have had significant impacts on the country’s overall economic growth.</w:t>
      </w:r>
      <w:r w:rsidRPr="00A444A6">
        <w:rPr>
          <w:sz w:val="24"/>
          <w:szCs w:val="24"/>
          <w:cs/>
        </w:rPr>
        <w:t xml:space="preserve"> </w:t>
      </w:r>
    </w:p>
    <w:p w14:paraId="5C32C5C7" w14:textId="77777777" w:rsidR="00F77A8C" w:rsidRPr="00A444A6" w:rsidRDefault="00F77A8C" w:rsidP="00F77A8C">
      <w:pPr>
        <w:rPr>
          <w:b/>
          <w:bCs/>
          <w:sz w:val="24"/>
          <w:szCs w:val="24"/>
        </w:rPr>
      </w:pPr>
    </w:p>
    <w:p w14:paraId="22DA5230" w14:textId="77777777" w:rsidR="00F77A8C" w:rsidRPr="00A444A6" w:rsidRDefault="00F77A8C" w:rsidP="00F77A8C">
      <w:pPr>
        <w:rPr>
          <w:sz w:val="24"/>
          <w:szCs w:val="24"/>
        </w:rPr>
      </w:pPr>
      <w:r w:rsidRPr="00A444A6">
        <w:rPr>
          <w:b/>
          <w:bCs/>
          <w:sz w:val="24"/>
          <w:szCs w:val="24"/>
        </w:rPr>
        <w:t>a) Thailand’s Overall Economic Situation (2000–2024)</w:t>
      </w:r>
    </w:p>
    <w:p w14:paraId="2C8FCEAF" w14:textId="77777777" w:rsidR="00F77A8C" w:rsidRPr="00A444A6" w:rsidRDefault="00F77A8C" w:rsidP="00F77A8C">
      <w:pPr>
        <w:rPr>
          <w:sz w:val="24"/>
          <w:szCs w:val="24"/>
        </w:rPr>
      </w:pPr>
    </w:p>
    <w:p w14:paraId="23F8E1D9" w14:textId="77777777" w:rsidR="00F77A8C" w:rsidRPr="00A444A6" w:rsidRDefault="00F77A8C" w:rsidP="00F77A8C">
      <w:pPr>
        <w:rPr>
          <w:sz w:val="24"/>
          <w:szCs w:val="24"/>
        </w:rPr>
      </w:pPr>
      <w:r w:rsidRPr="00A444A6">
        <w:rPr>
          <w:sz w:val="24"/>
          <w:szCs w:val="24"/>
        </w:rPr>
        <w:t>Over the past two decades, Thailand’s economy has expanded substantially, with GDP increasing from USD 126.4 billion in 2000 to USD 526.4 billion in 2024, while GDP per capita rose from USD 1,967 to USD 7,345 (</w:t>
      </w:r>
      <w:r w:rsidRPr="00A444A6">
        <w:rPr>
          <w:color w:val="EE0000"/>
          <w:sz w:val="24"/>
          <w:szCs w:val="24"/>
        </w:rPr>
        <w:t>Figures 1–2</w:t>
      </w:r>
      <w:r w:rsidRPr="00A444A6">
        <w:rPr>
          <w:sz w:val="24"/>
          <w:szCs w:val="24"/>
        </w:rPr>
        <w:t xml:space="preserve">; </w:t>
      </w:r>
      <w:r w:rsidRPr="00A444A6">
        <w:rPr>
          <w:color w:val="EE0000"/>
          <w:sz w:val="24"/>
          <w:szCs w:val="24"/>
        </w:rPr>
        <w:t>Annex 1</w:t>
      </w:r>
      <w:r w:rsidRPr="00A444A6">
        <w:rPr>
          <w:sz w:val="24"/>
          <w:szCs w:val="24"/>
        </w:rPr>
        <w:t>). Over the same period, the national poverty rate declined sharply from 61% to about 10%, reflecting significant improvements in living standards and economic resilience. Thailand is currently classified as an upper-middle-income country based on GNI per capita, and poverty reduction has been largely consistent with this income transition (World Bank, 2025).</w:t>
      </w:r>
    </w:p>
    <w:p w14:paraId="1DFD063E" w14:textId="77777777" w:rsidR="00F77A8C" w:rsidRPr="00A444A6" w:rsidRDefault="00F77A8C" w:rsidP="00F77A8C">
      <w:pPr>
        <w:rPr>
          <w:b/>
          <w:bCs/>
          <w:sz w:val="24"/>
          <w:szCs w:val="24"/>
        </w:rPr>
      </w:pPr>
      <w:r w:rsidRPr="00A444A6">
        <w:rPr>
          <w:b/>
          <w:bCs/>
          <w:sz w:val="24"/>
          <w:szCs w:val="24"/>
        </w:rPr>
        <w:t>b) Economic Profile of the Gulf of Thailand Region</w:t>
      </w:r>
    </w:p>
    <w:p w14:paraId="0EE54C26" w14:textId="77777777" w:rsidR="00F77A8C" w:rsidRPr="00A444A6" w:rsidRDefault="00F77A8C" w:rsidP="00F77A8C">
      <w:pPr>
        <w:pStyle w:val="NormalWeb"/>
        <w:spacing w:before="0" w:beforeAutospacing="0" w:after="0" w:afterAutospacing="0"/>
        <w:rPr>
          <w:rFonts w:ascii="Arial" w:hAnsi="Arial" w:cs="Arial"/>
        </w:rPr>
      </w:pPr>
    </w:p>
    <w:p w14:paraId="0DA6F632" w14:textId="77777777" w:rsidR="00F77A8C" w:rsidRPr="00A444A6" w:rsidRDefault="00F77A8C" w:rsidP="00F77A8C">
      <w:pPr>
        <w:pStyle w:val="NormalWeb"/>
        <w:spacing w:before="0" w:beforeAutospacing="0" w:after="0" w:afterAutospacing="0"/>
        <w:rPr>
          <w:rFonts w:ascii="Arial" w:hAnsi="Arial" w:cs="Arial"/>
        </w:rPr>
      </w:pPr>
      <w:r w:rsidRPr="00A444A6">
        <w:rPr>
          <w:rFonts w:ascii="Arial" w:hAnsi="Arial" w:cs="Arial"/>
        </w:rPr>
        <w:t>The Gulf of Thailand spans 17 coastal provinces across the eastern, upper, western, and lower Gulf zones. Together, these provinces form a major economic corridor supporting industry, marine and coastal tourism, fisheries, seafood processing, and maritime logistics. The region is therefore a strategic hub for national and international trade and a major contributor to Thailand’s GDP and employment (</w:t>
      </w:r>
      <w:r w:rsidRPr="00A444A6">
        <w:rPr>
          <w:rFonts w:ascii="Arial" w:hAnsi="Arial" w:cs="Arial"/>
          <w:color w:val="EE0000"/>
        </w:rPr>
        <w:t>Annex 2).</w:t>
      </w:r>
    </w:p>
    <w:p w14:paraId="593F8BF8" w14:textId="77777777" w:rsidR="00F77A8C" w:rsidRPr="00A444A6" w:rsidRDefault="00F77A8C" w:rsidP="00F77A8C">
      <w:pPr>
        <w:pStyle w:val="NormalWeb"/>
        <w:spacing w:before="0" w:beforeAutospacing="0" w:after="0" w:afterAutospacing="0"/>
        <w:rPr>
          <w:rFonts w:ascii="Arial" w:hAnsi="Arial" w:cs="Arial"/>
        </w:rPr>
      </w:pPr>
    </w:p>
    <w:p w14:paraId="75E97E95" w14:textId="77777777" w:rsidR="00F77A8C" w:rsidRPr="00A444A6" w:rsidRDefault="00F77A8C" w:rsidP="00F77A8C">
      <w:pPr>
        <w:rPr>
          <w:rFonts w:eastAsia="Times New Roman"/>
          <w:b/>
          <w:bCs/>
          <w:sz w:val="24"/>
          <w:szCs w:val="24"/>
        </w:rPr>
      </w:pPr>
      <w:r w:rsidRPr="00A444A6">
        <w:rPr>
          <w:rFonts w:eastAsia="Times New Roman"/>
          <w:b/>
          <w:bCs/>
          <w:sz w:val="24"/>
          <w:szCs w:val="24"/>
        </w:rPr>
        <w:t xml:space="preserve">c) GPP and Regional Economic Contribution </w:t>
      </w:r>
    </w:p>
    <w:p w14:paraId="19AA2400" w14:textId="77777777" w:rsidR="00F77A8C" w:rsidRPr="00A444A6" w:rsidRDefault="00F77A8C" w:rsidP="00F77A8C">
      <w:pPr>
        <w:rPr>
          <w:rFonts w:eastAsia="Times New Roman"/>
          <w:sz w:val="24"/>
          <w:szCs w:val="24"/>
        </w:rPr>
      </w:pPr>
    </w:p>
    <w:p w14:paraId="2F33CFDE" w14:textId="77777777" w:rsidR="00F77A8C" w:rsidRPr="00A444A6" w:rsidRDefault="00F77A8C" w:rsidP="00F77A8C">
      <w:pPr>
        <w:rPr>
          <w:rFonts w:eastAsia="Times New Roman"/>
          <w:sz w:val="24"/>
          <w:szCs w:val="24"/>
        </w:rPr>
      </w:pPr>
      <w:r w:rsidRPr="00A444A6">
        <w:rPr>
          <w:rFonts w:eastAsia="Times New Roman"/>
          <w:sz w:val="24"/>
          <w:szCs w:val="24"/>
        </w:rPr>
        <w:t>From 2000–2023, the Gulf of Thailand consistently contributed about 60–65% of Thailand’s national GPP, increasing from USD 80.25 billion to USD 324.49 billion. Bangkok alone accounted for roughly 32% of national GPP, while the remaining Gulf provinces contributed about 30%. The Eastern Economic Corridor (EEC) provinces—Chonburi, Rayong, and Chachoengsao—emerged as key growth centers driven by strong public and private investment, confirming the Gulf’s central role in Thailand’s industrial, logistics, fisheries, and tourism economy (</w:t>
      </w:r>
      <w:r w:rsidRPr="00A444A6">
        <w:rPr>
          <w:rFonts w:eastAsia="Times New Roman"/>
          <w:color w:val="EE0000"/>
          <w:sz w:val="24"/>
          <w:szCs w:val="24"/>
        </w:rPr>
        <w:t>Figure 3).</w:t>
      </w:r>
    </w:p>
    <w:p w14:paraId="71BA5681" w14:textId="77777777" w:rsidR="00F77A8C" w:rsidRPr="00A444A6" w:rsidRDefault="00F77A8C" w:rsidP="00F77A8C">
      <w:pPr>
        <w:rPr>
          <w:rFonts w:eastAsia="Times New Roman"/>
          <w:sz w:val="24"/>
          <w:szCs w:val="24"/>
        </w:rPr>
      </w:pPr>
    </w:p>
    <w:p w14:paraId="1495916C" w14:textId="77777777" w:rsidR="00F77A8C" w:rsidRPr="00A444A6" w:rsidRDefault="00F77A8C" w:rsidP="00F77A8C">
      <w:pPr>
        <w:spacing w:before="120" w:after="120"/>
        <w:jc w:val="thaiDistribute"/>
        <w:rPr>
          <w:rStyle w:val="citation-820"/>
          <w:sz w:val="24"/>
          <w:szCs w:val="24"/>
        </w:rPr>
      </w:pPr>
      <w:r w:rsidRPr="00A444A6">
        <w:rPr>
          <w:noProof/>
          <w:sz w:val="24"/>
          <w:szCs w:val="24"/>
        </w:rPr>
        <w:lastRenderedPageBreak/>
        <w:drawing>
          <wp:inline distT="0" distB="0" distL="0" distR="0" wp14:anchorId="63436966" wp14:editId="2C2F523C">
            <wp:extent cx="6385560" cy="3600450"/>
            <wp:effectExtent l="0" t="0" r="0" b="0"/>
            <wp:docPr id="5" name="Chart 5">
              <a:extLst xmlns:a="http://schemas.openxmlformats.org/drawingml/2006/main">
                <a:ext uri="{FF2B5EF4-FFF2-40B4-BE49-F238E27FC236}">
                  <a16:creationId xmlns:a16="http://schemas.microsoft.com/office/drawing/2014/main" id="{FFAB72C3-612F-45AD-B0EF-EC0DD5FCD2EF}"/>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84"/>
              </a:graphicData>
            </a:graphic>
          </wp:inline>
        </w:drawing>
      </w:r>
    </w:p>
    <w:p w14:paraId="48F887C4" w14:textId="77777777" w:rsidR="00F77A8C" w:rsidRPr="00A444A6" w:rsidRDefault="00F77A8C" w:rsidP="00F77A8C">
      <w:pPr>
        <w:spacing w:before="120" w:after="120"/>
        <w:rPr>
          <w:sz w:val="24"/>
          <w:szCs w:val="24"/>
        </w:rPr>
      </w:pPr>
      <w:r w:rsidRPr="00A444A6">
        <w:rPr>
          <w:sz w:val="24"/>
          <w:szCs w:val="24"/>
        </w:rPr>
        <w:t>Figure 1: GDP, GDP growth rate, and inflation rate 2000-2023.</w:t>
      </w:r>
    </w:p>
    <w:p w14:paraId="017D5880" w14:textId="77777777" w:rsidR="00F77A8C" w:rsidRPr="00A444A6" w:rsidRDefault="00F77A8C" w:rsidP="00F77A8C">
      <w:pPr>
        <w:spacing w:before="120" w:after="120"/>
        <w:rPr>
          <w:sz w:val="24"/>
          <w:szCs w:val="24"/>
        </w:rPr>
      </w:pPr>
    </w:p>
    <w:p w14:paraId="40B8E85D" w14:textId="77777777" w:rsidR="00F77A8C" w:rsidRPr="00A444A6" w:rsidRDefault="00F77A8C" w:rsidP="00F77A8C">
      <w:pPr>
        <w:jc w:val="both"/>
        <w:rPr>
          <w:rStyle w:val="citation-820"/>
          <w:sz w:val="24"/>
          <w:szCs w:val="24"/>
        </w:rPr>
      </w:pPr>
      <w:r w:rsidRPr="00A444A6">
        <w:rPr>
          <w:noProof/>
          <w:sz w:val="24"/>
          <w:szCs w:val="24"/>
        </w:rPr>
        <w:drawing>
          <wp:inline distT="0" distB="0" distL="0" distR="0" wp14:anchorId="2E729C05" wp14:editId="7DD82595">
            <wp:extent cx="6106795" cy="3524283"/>
            <wp:effectExtent l="0" t="0" r="8255" b="0"/>
            <wp:docPr id="9" name="Chart 9">
              <a:extLst xmlns:a="http://schemas.openxmlformats.org/drawingml/2006/main">
                <a:ext uri="{FF2B5EF4-FFF2-40B4-BE49-F238E27FC236}">
                  <a16:creationId xmlns:a16="http://schemas.microsoft.com/office/drawing/2014/main" id="{9482ADB8-3F86-460D-8E5E-F6E10D0A285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85"/>
              </a:graphicData>
            </a:graphic>
          </wp:inline>
        </w:drawing>
      </w:r>
    </w:p>
    <w:p w14:paraId="10B704AA" w14:textId="77777777" w:rsidR="00F77A8C" w:rsidRPr="00A444A6" w:rsidRDefault="00F77A8C" w:rsidP="00F77A8C">
      <w:pPr>
        <w:spacing w:before="120" w:after="120"/>
        <w:rPr>
          <w:sz w:val="24"/>
          <w:szCs w:val="24"/>
        </w:rPr>
      </w:pPr>
      <w:r w:rsidRPr="00A444A6">
        <w:rPr>
          <w:sz w:val="24"/>
          <w:szCs w:val="24"/>
        </w:rPr>
        <w:t>Figure 2: GDP per capita, unemployment rate, and poverty headcount ratio 2000-2023.</w:t>
      </w:r>
    </w:p>
    <w:p w14:paraId="583ABAA2" w14:textId="77777777" w:rsidR="00F77A8C" w:rsidRPr="00A444A6" w:rsidRDefault="00F77A8C" w:rsidP="00F77A8C">
      <w:pPr>
        <w:jc w:val="both"/>
        <w:rPr>
          <w:sz w:val="24"/>
          <w:szCs w:val="24"/>
        </w:rPr>
      </w:pPr>
    </w:p>
    <w:p w14:paraId="6016C0A0" w14:textId="77777777" w:rsidR="00F77A8C" w:rsidRPr="00A444A6" w:rsidRDefault="00F77A8C" w:rsidP="00F77A8C">
      <w:pPr>
        <w:rPr>
          <w:rFonts w:eastAsia="Times New Roman"/>
          <w:sz w:val="24"/>
          <w:szCs w:val="24"/>
        </w:rPr>
        <w:sectPr w:rsidR="00F77A8C" w:rsidRPr="00A444A6" w:rsidSect="00F77A8C">
          <w:footerReference w:type="default" r:id="rId86"/>
          <w:pgSz w:w="11900" w:h="16840"/>
          <w:pgMar w:top="1440" w:right="1183" w:bottom="1440" w:left="1440" w:header="708" w:footer="708" w:gutter="0"/>
          <w:cols w:space="708"/>
          <w:docGrid w:linePitch="360"/>
        </w:sectPr>
      </w:pPr>
    </w:p>
    <w:p w14:paraId="63E8A9EB" w14:textId="77777777" w:rsidR="00F77A8C" w:rsidRPr="00A444A6" w:rsidRDefault="00F77A8C" w:rsidP="00F77A8C">
      <w:pPr>
        <w:rPr>
          <w:rFonts w:eastAsia="Times New Roman"/>
          <w:sz w:val="24"/>
          <w:szCs w:val="24"/>
        </w:rPr>
      </w:pPr>
      <w:r w:rsidRPr="00A444A6">
        <w:rPr>
          <w:noProof/>
          <w:sz w:val="24"/>
          <w:szCs w:val="24"/>
        </w:rPr>
        <w:lastRenderedPageBreak/>
        <w:drawing>
          <wp:inline distT="0" distB="0" distL="0" distR="0" wp14:anchorId="6826C70D" wp14:editId="32AF3C94">
            <wp:extent cx="8724900" cy="4692015"/>
            <wp:effectExtent l="0" t="0" r="0" b="0"/>
            <wp:docPr id="336752041" name="Chart 336752041">
              <a:extLst xmlns:a="http://schemas.openxmlformats.org/drawingml/2006/main">
                <a:ext uri="{FF2B5EF4-FFF2-40B4-BE49-F238E27FC236}">
                  <a16:creationId xmlns:a16="http://schemas.microsoft.com/office/drawing/2014/main" id="{763D22D6-4D68-4F04-A534-87C8E605BCEE}"/>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87"/>
              </a:graphicData>
            </a:graphic>
          </wp:inline>
        </w:drawing>
      </w:r>
    </w:p>
    <w:p w14:paraId="6FCB7682" w14:textId="77777777" w:rsidR="00F77A8C" w:rsidRPr="00A444A6" w:rsidRDefault="00F77A8C" w:rsidP="00F77A8C">
      <w:pPr>
        <w:spacing w:before="120" w:after="120"/>
        <w:rPr>
          <w:rFonts w:eastAsia="Times New Roman"/>
          <w:color w:val="000000"/>
          <w:sz w:val="24"/>
          <w:szCs w:val="24"/>
        </w:rPr>
        <w:sectPr w:rsidR="00F77A8C" w:rsidRPr="00A444A6" w:rsidSect="00F77A8C">
          <w:pgSz w:w="15840" w:h="12240" w:orient="landscape"/>
          <w:pgMar w:top="1440" w:right="1440" w:bottom="1440" w:left="1440" w:header="708" w:footer="708" w:gutter="0"/>
          <w:cols w:space="708"/>
          <w:docGrid w:linePitch="360"/>
        </w:sectPr>
      </w:pPr>
      <w:r w:rsidRPr="00A444A6">
        <w:rPr>
          <w:rFonts w:eastAsia="Times New Roman"/>
          <w:color w:val="000000"/>
          <w:sz w:val="24"/>
          <w:szCs w:val="24"/>
        </w:rPr>
        <w:t xml:space="preserve">Figure 3 Gross Provincial Product of Gulf of Thailand (Billion USD), 2000-2023 (Data retrieved from </w:t>
      </w:r>
      <w:r w:rsidRPr="00A444A6">
        <w:rPr>
          <w:sz w:val="24"/>
          <w:szCs w:val="24"/>
        </w:rPr>
        <w:t xml:space="preserve">Office of the National Economic Social and Development Council (NESDC): </w:t>
      </w:r>
      <w:r w:rsidRPr="00A444A6">
        <w:rPr>
          <w:sz w:val="24"/>
          <w:szCs w:val="24"/>
        </w:rPr>
        <w:fldChar w:fldCharType="begin"/>
      </w:r>
      <w:r w:rsidRPr="00A444A6">
        <w:rPr>
          <w:sz w:val="24"/>
          <w:szCs w:val="24"/>
        </w:rPr>
        <w:instrText>HYPERLINK "https://www.nesdc.go.th/main.php?filename=gross_regional"</w:instrText>
      </w:r>
      <w:r w:rsidRPr="00A444A6">
        <w:rPr>
          <w:sz w:val="24"/>
          <w:szCs w:val="24"/>
        </w:rPr>
      </w:r>
      <w:r w:rsidRPr="00A444A6">
        <w:rPr>
          <w:sz w:val="24"/>
          <w:szCs w:val="24"/>
        </w:rPr>
        <w:fldChar w:fldCharType="separate"/>
      </w:r>
      <w:r w:rsidRPr="00A444A6">
        <w:rPr>
          <w:rStyle w:val="Hyperlink"/>
          <w:sz w:val="24"/>
          <w:szCs w:val="24"/>
        </w:rPr>
        <w:t>https://www.nesdc.go.th/main.php?filename=gross_regional</w:t>
      </w:r>
      <w:r w:rsidRPr="00A444A6">
        <w:rPr>
          <w:sz w:val="24"/>
          <w:szCs w:val="24"/>
        </w:rPr>
        <w:fldChar w:fldCharType="end"/>
      </w:r>
    </w:p>
    <w:p w14:paraId="6B8E46C5" w14:textId="77777777" w:rsidR="00F77A8C" w:rsidRPr="00A444A6" w:rsidRDefault="00F77A8C" w:rsidP="00F77A8C">
      <w:pPr>
        <w:jc w:val="both"/>
        <w:rPr>
          <w:rFonts w:eastAsia="Times New Roman"/>
          <w:color w:val="000000"/>
          <w:sz w:val="24"/>
          <w:szCs w:val="24"/>
        </w:rPr>
      </w:pPr>
      <w:r w:rsidRPr="00A444A6">
        <w:rPr>
          <w:rFonts w:eastAsia="Times New Roman"/>
          <w:b/>
          <w:bCs/>
          <w:color w:val="000000"/>
          <w:sz w:val="24"/>
          <w:szCs w:val="24"/>
        </w:rPr>
        <w:lastRenderedPageBreak/>
        <w:t>Provincial Economic Stratification and Implications for Marine Governance</w:t>
      </w:r>
    </w:p>
    <w:p w14:paraId="4C3DE2D6" w14:textId="77777777" w:rsidR="00F77A8C" w:rsidRPr="00A444A6" w:rsidRDefault="00F77A8C" w:rsidP="00F77A8C">
      <w:pPr>
        <w:jc w:val="both"/>
        <w:rPr>
          <w:rFonts w:eastAsia="Times New Roman"/>
          <w:color w:val="000000"/>
          <w:sz w:val="24"/>
          <w:szCs w:val="24"/>
        </w:rPr>
      </w:pPr>
    </w:p>
    <w:p w14:paraId="7D33FB8A" w14:textId="77777777" w:rsidR="00F77A8C" w:rsidRPr="00A444A6" w:rsidRDefault="00F77A8C" w:rsidP="00F77A8C">
      <w:pPr>
        <w:jc w:val="both"/>
        <w:rPr>
          <w:rFonts w:eastAsia="Times New Roman"/>
          <w:color w:val="000000"/>
          <w:sz w:val="24"/>
          <w:szCs w:val="24"/>
        </w:rPr>
      </w:pPr>
      <w:r w:rsidRPr="00A444A6">
        <w:rPr>
          <w:rFonts w:eastAsia="Times New Roman"/>
          <w:color w:val="000000"/>
          <w:sz w:val="24"/>
          <w:szCs w:val="24"/>
        </w:rPr>
        <w:t>Based on 2023 GPP, GPP per capita, and poverty data (</w:t>
      </w:r>
      <w:r w:rsidRPr="00A444A6">
        <w:rPr>
          <w:rFonts w:eastAsia="Times New Roman"/>
          <w:color w:val="EE0000"/>
          <w:sz w:val="24"/>
          <w:szCs w:val="24"/>
        </w:rPr>
        <w:t>Annex 3</w:t>
      </w:r>
      <w:r w:rsidRPr="00A444A6">
        <w:rPr>
          <w:rFonts w:eastAsia="Times New Roman"/>
          <w:color w:val="000000"/>
          <w:sz w:val="24"/>
          <w:szCs w:val="24"/>
        </w:rPr>
        <w:t>), coastal provinces along the Gulf of Thailand can be grouped into three economic tiers with distinct governance implications.</w:t>
      </w:r>
    </w:p>
    <w:p w14:paraId="4E45C821" w14:textId="77777777" w:rsidR="00F77A8C" w:rsidRPr="00A444A6" w:rsidRDefault="00F77A8C" w:rsidP="00F77A8C">
      <w:pPr>
        <w:jc w:val="both"/>
        <w:rPr>
          <w:rFonts w:eastAsia="Times New Roman"/>
          <w:color w:val="000000"/>
          <w:sz w:val="24"/>
          <w:szCs w:val="24"/>
        </w:rPr>
      </w:pPr>
    </w:p>
    <w:p w14:paraId="661B8283" w14:textId="77777777" w:rsidR="00F77A8C" w:rsidRPr="00A444A6" w:rsidRDefault="00F77A8C" w:rsidP="00F77A8C">
      <w:pPr>
        <w:jc w:val="both"/>
        <w:rPr>
          <w:rFonts w:eastAsia="Times New Roman"/>
          <w:color w:val="000000"/>
          <w:sz w:val="24"/>
          <w:szCs w:val="24"/>
        </w:rPr>
      </w:pPr>
      <w:r w:rsidRPr="00A444A6">
        <w:rPr>
          <w:rFonts w:eastAsia="Times New Roman"/>
          <w:color w:val="000000"/>
          <w:sz w:val="24"/>
          <w:szCs w:val="24"/>
        </w:rPr>
        <w:t>High-GPP provinces (Chonburi, Rayong, Samut Prakan, Chachoengsao, Samut Sakhon), largely within the Eastern Economic Corridor (EEC), function as Thailand’s primary industrial and logistics hubs, with high per capita income and very low poverty rates. These provinces generally possess stronger fiscal and institutional capacity for marine management.</w:t>
      </w:r>
    </w:p>
    <w:p w14:paraId="486AC457" w14:textId="77777777" w:rsidR="00F77A8C" w:rsidRPr="00A444A6" w:rsidRDefault="00F77A8C" w:rsidP="00F77A8C">
      <w:pPr>
        <w:jc w:val="both"/>
        <w:rPr>
          <w:rFonts w:eastAsia="Times New Roman"/>
          <w:color w:val="000000"/>
          <w:sz w:val="24"/>
          <w:szCs w:val="24"/>
        </w:rPr>
      </w:pPr>
    </w:p>
    <w:p w14:paraId="42FB14E6" w14:textId="77777777" w:rsidR="00F77A8C" w:rsidRPr="00A444A6" w:rsidRDefault="00F77A8C" w:rsidP="00F77A8C">
      <w:pPr>
        <w:jc w:val="both"/>
        <w:rPr>
          <w:rFonts w:eastAsia="Times New Roman"/>
          <w:color w:val="000000"/>
          <w:sz w:val="24"/>
          <w:szCs w:val="24"/>
        </w:rPr>
      </w:pPr>
      <w:r w:rsidRPr="00A444A6">
        <w:rPr>
          <w:rFonts w:eastAsia="Times New Roman"/>
          <w:color w:val="000000"/>
          <w:sz w:val="24"/>
          <w:szCs w:val="24"/>
        </w:rPr>
        <w:t>Medium-GPP provinces (Songkhla, Surat Thani, Nakhon Si Thammarat) exhibit diversified economies combining tourism, agriculture, and light industry, with moderate income levels and transitional development patterns.</w:t>
      </w:r>
    </w:p>
    <w:p w14:paraId="355D867C" w14:textId="77777777" w:rsidR="00F77A8C" w:rsidRPr="00A444A6" w:rsidRDefault="00F77A8C" w:rsidP="00F77A8C">
      <w:pPr>
        <w:jc w:val="both"/>
        <w:rPr>
          <w:rFonts w:eastAsia="Times New Roman"/>
          <w:color w:val="000000"/>
          <w:sz w:val="24"/>
          <w:szCs w:val="24"/>
        </w:rPr>
      </w:pPr>
    </w:p>
    <w:p w14:paraId="5FFD0F19" w14:textId="77777777" w:rsidR="00F77A8C" w:rsidRPr="00A444A6" w:rsidRDefault="00F77A8C" w:rsidP="00F77A8C">
      <w:pPr>
        <w:jc w:val="both"/>
        <w:rPr>
          <w:rFonts w:eastAsia="Times New Roman"/>
          <w:color w:val="000000"/>
          <w:sz w:val="24"/>
          <w:szCs w:val="24"/>
        </w:rPr>
      </w:pPr>
      <w:r w:rsidRPr="00A444A6">
        <w:rPr>
          <w:rFonts w:eastAsia="Times New Roman"/>
          <w:color w:val="000000"/>
          <w:sz w:val="24"/>
          <w:szCs w:val="24"/>
        </w:rPr>
        <w:t>Low-GPP provinces (Chanthaburi, Phetchaburi, Prachuap Khiri Khan, Trat, Chumphon, Samut Songkhram, Pattani, Narathiwat) remain highly dependent on fisheries, agriculture, and nature-based tourism, with limited industrial investment and weaker fiscal capacity. Pattani and Narathiwat face persistently high poverty linked to security constraints.</w:t>
      </w:r>
    </w:p>
    <w:p w14:paraId="0A3919F0" w14:textId="77777777" w:rsidR="00F77A8C" w:rsidRPr="00A444A6" w:rsidRDefault="00F77A8C" w:rsidP="00F77A8C">
      <w:pPr>
        <w:jc w:val="both"/>
        <w:rPr>
          <w:rFonts w:eastAsia="Times New Roman"/>
          <w:color w:val="000000"/>
          <w:sz w:val="24"/>
          <w:szCs w:val="24"/>
        </w:rPr>
      </w:pPr>
    </w:p>
    <w:p w14:paraId="4BA4B639" w14:textId="77777777" w:rsidR="00F77A8C" w:rsidRPr="00A444A6" w:rsidRDefault="00F77A8C" w:rsidP="00F77A8C">
      <w:pPr>
        <w:jc w:val="both"/>
        <w:rPr>
          <w:rFonts w:eastAsia="Times New Roman"/>
          <w:color w:val="000000"/>
          <w:sz w:val="24"/>
          <w:szCs w:val="24"/>
        </w:rPr>
      </w:pPr>
      <w:r w:rsidRPr="00A444A6">
        <w:rPr>
          <w:rFonts w:eastAsia="Times New Roman"/>
          <w:color w:val="000000"/>
          <w:sz w:val="24"/>
          <w:szCs w:val="24"/>
        </w:rPr>
        <w:t>These economic disparities translate into unequal institutional readiness for sustainable marine governance. Wealthier provinces are better positioned to finance conservation and enforcement, while lower-income provinces face constraints in planning, monitoring, and ecosystem restoration. Targeted fiscal support and context-specific financing mechanisms are therefore essential to ensure equitable and effective marine governance across the Gulf of Thailand (PEMSEA &amp; DMCR, 2019).</w:t>
      </w:r>
    </w:p>
    <w:p w14:paraId="08EF7EBA" w14:textId="77777777" w:rsidR="00F77A8C" w:rsidRPr="00A444A6" w:rsidRDefault="00F77A8C" w:rsidP="00F77A8C">
      <w:pPr>
        <w:jc w:val="both"/>
        <w:rPr>
          <w:rFonts w:eastAsia="Times New Roman"/>
          <w:color w:val="000000"/>
          <w:sz w:val="24"/>
          <w:szCs w:val="24"/>
        </w:rPr>
      </w:pPr>
    </w:p>
    <w:p w14:paraId="66DD6D20" w14:textId="77777777" w:rsidR="00F77A8C" w:rsidRPr="00A444A6" w:rsidRDefault="00F77A8C" w:rsidP="00F77A8C">
      <w:pPr>
        <w:rPr>
          <w:b/>
          <w:bCs/>
          <w:iCs/>
          <w:sz w:val="24"/>
          <w:szCs w:val="24"/>
        </w:rPr>
      </w:pPr>
      <w:r w:rsidRPr="00A444A6">
        <w:rPr>
          <w:b/>
          <w:bCs/>
          <w:iCs/>
          <w:sz w:val="24"/>
          <w:szCs w:val="24"/>
        </w:rPr>
        <w:t>6.2.1.2</w:t>
      </w:r>
      <w:r w:rsidRPr="00A444A6">
        <w:rPr>
          <w:b/>
          <w:bCs/>
          <w:iCs/>
          <w:sz w:val="24"/>
          <w:szCs w:val="24"/>
        </w:rPr>
        <w:tab/>
        <w:t xml:space="preserve">National Budgetary Allocations </w:t>
      </w:r>
    </w:p>
    <w:p w14:paraId="57B0505F" w14:textId="77777777" w:rsidR="00F77A8C" w:rsidRPr="00A444A6" w:rsidRDefault="00F77A8C" w:rsidP="00F77A8C">
      <w:pPr>
        <w:jc w:val="both"/>
        <w:rPr>
          <w:sz w:val="24"/>
          <w:szCs w:val="24"/>
        </w:rPr>
      </w:pPr>
    </w:p>
    <w:p w14:paraId="22082DFF" w14:textId="77777777" w:rsidR="00F77A8C" w:rsidRPr="00A444A6" w:rsidRDefault="00F77A8C" w:rsidP="00F77A8C">
      <w:pPr>
        <w:jc w:val="both"/>
        <w:rPr>
          <w:sz w:val="24"/>
          <w:szCs w:val="24"/>
        </w:rPr>
      </w:pPr>
      <w:r w:rsidRPr="00A444A6">
        <w:rPr>
          <w:sz w:val="24"/>
          <w:szCs w:val="24"/>
        </w:rPr>
        <w:t>Marine and coastal resource management in the Gulf of Thailand is essential for Thailand’s economic and environmental security. However, the government’s capacity to sustain long-term investment in marine conservation is closely linked to national fiscal conditions and current account performance.</w:t>
      </w:r>
    </w:p>
    <w:p w14:paraId="2ED94F2D" w14:textId="77777777" w:rsidR="00F77A8C" w:rsidRPr="00A444A6" w:rsidRDefault="00F77A8C" w:rsidP="00F77A8C">
      <w:pPr>
        <w:jc w:val="both"/>
        <w:rPr>
          <w:sz w:val="24"/>
          <w:szCs w:val="24"/>
        </w:rPr>
      </w:pPr>
    </w:p>
    <w:p w14:paraId="61BF4C62" w14:textId="77777777" w:rsidR="00F77A8C" w:rsidRPr="00A444A6" w:rsidRDefault="00F77A8C" w:rsidP="00F77A8C">
      <w:pPr>
        <w:jc w:val="both"/>
        <w:rPr>
          <w:sz w:val="24"/>
          <w:szCs w:val="24"/>
        </w:rPr>
      </w:pPr>
      <w:r w:rsidRPr="00A444A6">
        <w:rPr>
          <w:sz w:val="24"/>
          <w:szCs w:val="24"/>
        </w:rPr>
        <w:t>Thailand’s fiscal position has undergone major shifts over the past two decades (</w:t>
      </w:r>
      <w:r w:rsidRPr="00A444A6">
        <w:rPr>
          <w:color w:val="EE0000"/>
          <w:sz w:val="24"/>
          <w:szCs w:val="24"/>
        </w:rPr>
        <w:t>Figure 4</w:t>
      </w:r>
      <w:r w:rsidRPr="00A444A6">
        <w:rPr>
          <w:sz w:val="24"/>
          <w:szCs w:val="24"/>
        </w:rPr>
        <w:t>). Following the recovery from the 1997–1998 financial crisis, fiscal balances stabilized during 2003–2019, with deficits generally remaining below 3% of GDP, except during the 2009 global financial crisis. The COVID-19 pandemic caused a sharp deterioration, with deficits widening to –4.5% to –7.1% of GDP between 2020 and 2022. Public debt rose rapidly from below 40% of GDP before 2020 to over 60% in 2023. Although debt remains below the national ceiling, fiscal pressures have increased.</w:t>
      </w:r>
    </w:p>
    <w:p w14:paraId="02E2400B" w14:textId="77777777" w:rsidR="00F77A8C" w:rsidRPr="00A444A6" w:rsidRDefault="00F77A8C" w:rsidP="00F77A8C">
      <w:pPr>
        <w:jc w:val="both"/>
        <w:rPr>
          <w:sz w:val="24"/>
          <w:szCs w:val="24"/>
        </w:rPr>
      </w:pPr>
    </w:p>
    <w:p w14:paraId="3CBFA3D0" w14:textId="77777777" w:rsidR="00F77A8C" w:rsidRPr="00A444A6" w:rsidRDefault="00F77A8C" w:rsidP="00F77A8C">
      <w:pPr>
        <w:rPr>
          <w:sz w:val="24"/>
          <w:szCs w:val="24"/>
        </w:rPr>
      </w:pPr>
      <w:r w:rsidRPr="00A444A6">
        <w:rPr>
          <w:sz w:val="24"/>
          <w:szCs w:val="24"/>
        </w:rPr>
        <w:t>Thailand maintained strong current account surpluses until 2019, but shifted into deficit during 2020–2022 due to the collapse of tourism revenues. Surpluses returned in 2023–2024 with tourism and export recovery, but overall fiscal space remains constrained.</w:t>
      </w:r>
    </w:p>
    <w:p w14:paraId="1EFC36C9" w14:textId="77777777" w:rsidR="00F77A8C" w:rsidRPr="00A444A6" w:rsidRDefault="00F77A8C" w:rsidP="00F77A8C">
      <w:pPr>
        <w:spacing w:before="120" w:after="120"/>
        <w:ind w:firstLine="1134"/>
        <w:jc w:val="thaiDistribute"/>
        <w:rPr>
          <w:b/>
          <w:bCs/>
          <w:sz w:val="24"/>
          <w:szCs w:val="24"/>
        </w:rPr>
        <w:sectPr w:rsidR="00F77A8C" w:rsidRPr="00A444A6" w:rsidSect="00F77A8C">
          <w:pgSz w:w="12240" w:h="15840"/>
          <w:pgMar w:top="1440" w:right="1440" w:bottom="1440" w:left="1183" w:header="708" w:footer="708" w:gutter="0"/>
          <w:cols w:space="708"/>
          <w:docGrid w:linePitch="360"/>
        </w:sectPr>
      </w:pPr>
    </w:p>
    <w:p w14:paraId="4CCE8DCB" w14:textId="77777777" w:rsidR="00F77A8C" w:rsidRPr="00A444A6" w:rsidRDefault="00F77A8C" w:rsidP="00F77A8C">
      <w:pPr>
        <w:spacing w:before="120" w:after="120"/>
        <w:jc w:val="thaiDistribute"/>
        <w:rPr>
          <w:b/>
          <w:bCs/>
          <w:sz w:val="24"/>
          <w:szCs w:val="24"/>
        </w:rPr>
      </w:pPr>
      <w:r w:rsidRPr="00A444A6">
        <w:rPr>
          <w:noProof/>
          <w:sz w:val="24"/>
          <w:szCs w:val="24"/>
        </w:rPr>
        <w:lastRenderedPageBreak/>
        <w:drawing>
          <wp:inline distT="0" distB="0" distL="0" distR="0" wp14:anchorId="07B3C11A" wp14:editId="1603B2ED">
            <wp:extent cx="8656320" cy="5317490"/>
            <wp:effectExtent l="0" t="0" r="0" b="0"/>
            <wp:docPr id="11" name="Chart 11">
              <a:extLst xmlns:a="http://schemas.openxmlformats.org/drawingml/2006/main">
                <a:ext uri="{FF2B5EF4-FFF2-40B4-BE49-F238E27FC236}">
                  <a16:creationId xmlns:a16="http://schemas.microsoft.com/office/drawing/2014/main" id="{17A5135B-439A-417D-B3D5-6C2B6BCE276C}"/>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88"/>
              </a:graphicData>
            </a:graphic>
          </wp:inline>
        </w:drawing>
      </w:r>
    </w:p>
    <w:p w14:paraId="2B22773E" w14:textId="77777777" w:rsidR="00F77A8C" w:rsidRPr="00A444A6" w:rsidRDefault="00F77A8C" w:rsidP="00F77A8C">
      <w:pPr>
        <w:spacing w:before="120" w:after="120"/>
        <w:jc w:val="both"/>
        <w:rPr>
          <w:rFonts w:cs="Angsana New"/>
          <w:iCs/>
          <w:sz w:val="24"/>
          <w:szCs w:val="24"/>
          <w:cs/>
        </w:rPr>
        <w:sectPr w:rsidR="00F77A8C" w:rsidRPr="00A444A6" w:rsidSect="00F77A8C">
          <w:pgSz w:w="15840" w:h="12240" w:orient="landscape"/>
          <w:pgMar w:top="993" w:right="1440" w:bottom="1134" w:left="1440" w:header="708" w:footer="708" w:gutter="0"/>
          <w:cols w:space="708"/>
          <w:docGrid w:linePitch="360"/>
        </w:sectPr>
      </w:pPr>
      <w:r w:rsidRPr="00A444A6">
        <w:rPr>
          <w:iCs/>
          <w:sz w:val="24"/>
          <w:szCs w:val="24"/>
        </w:rPr>
        <w:t>Figure 4 General government balance, general government debt, and current account of Thailand, 2000-2024.</w:t>
      </w:r>
    </w:p>
    <w:p w14:paraId="64455ED6" w14:textId="77777777" w:rsidR="00F77A8C" w:rsidRPr="00A444A6" w:rsidRDefault="00F77A8C" w:rsidP="00F77A8C">
      <w:pPr>
        <w:jc w:val="thaiDistribute"/>
        <w:rPr>
          <w:b/>
          <w:bCs/>
          <w:sz w:val="24"/>
          <w:szCs w:val="24"/>
        </w:rPr>
      </w:pPr>
      <w:r w:rsidRPr="00A444A6">
        <w:rPr>
          <w:sz w:val="24"/>
          <w:szCs w:val="24"/>
        </w:rPr>
        <w:lastRenderedPageBreak/>
        <w:t>These fiscal trends directly affect the government’s ability to finance marine conservation, ecosystem restoration, and sustainable fisheries management in the Gulf of Thailand. During the COVID-19 period, budget priorities shifted toward economic recovery, delaying investments in long-term environmental protection. Although economic recovery is underway, limited fiscal space continues to pose challenges for sustained and proactive marine resource management.</w:t>
      </w:r>
    </w:p>
    <w:p w14:paraId="5454255D" w14:textId="77777777" w:rsidR="00F77A8C" w:rsidRPr="00A444A6" w:rsidRDefault="00F77A8C" w:rsidP="00F77A8C">
      <w:pPr>
        <w:rPr>
          <w:b/>
          <w:bCs/>
          <w:sz w:val="24"/>
          <w:szCs w:val="24"/>
        </w:rPr>
      </w:pPr>
    </w:p>
    <w:p w14:paraId="3B2A30A9" w14:textId="77777777" w:rsidR="00F77A8C" w:rsidRPr="00A444A6" w:rsidRDefault="00F77A8C" w:rsidP="00F77A8C">
      <w:pPr>
        <w:rPr>
          <w:sz w:val="24"/>
          <w:szCs w:val="24"/>
        </w:rPr>
      </w:pPr>
      <w:r w:rsidRPr="00A444A6">
        <w:rPr>
          <w:b/>
          <w:bCs/>
          <w:sz w:val="24"/>
          <w:szCs w:val="24"/>
        </w:rPr>
        <w:t>Budget Allocation of Government Agencies Related to Marine Resources</w:t>
      </w:r>
      <w:r w:rsidRPr="00A444A6">
        <w:rPr>
          <w:b/>
          <w:bCs/>
          <w:color w:val="EE0000"/>
          <w:sz w:val="24"/>
          <w:szCs w:val="24"/>
        </w:rPr>
        <w:t xml:space="preserve"> </w:t>
      </w:r>
    </w:p>
    <w:p w14:paraId="5C998EFF" w14:textId="77777777" w:rsidR="00F77A8C" w:rsidRPr="00A444A6" w:rsidRDefault="00F77A8C" w:rsidP="00F77A8C">
      <w:pPr>
        <w:jc w:val="both"/>
        <w:rPr>
          <w:sz w:val="24"/>
          <w:szCs w:val="24"/>
        </w:rPr>
      </w:pPr>
    </w:p>
    <w:p w14:paraId="0A0FB10B" w14:textId="77777777" w:rsidR="00F77A8C" w:rsidRPr="00A444A6" w:rsidRDefault="00F77A8C" w:rsidP="00F77A8C">
      <w:pPr>
        <w:jc w:val="both"/>
        <w:rPr>
          <w:sz w:val="24"/>
          <w:szCs w:val="24"/>
        </w:rPr>
      </w:pPr>
      <w:r w:rsidRPr="00A444A6">
        <w:rPr>
          <w:sz w:val="24"/>
          <w:szCs w:val="24"/>
        </w:rPr>
        <w:t>Thailand’s marine resource management depends heavily on continued public budget support to sustain conservation, restoration, and regulatory functions amid growing pressures from climate change, coastal development, fisheries, and tourism. The Department of Marine and Coastal Resources (DMCR) is the lead agency for marine and coastal management, working alongside the Department of National Parks, Wildlife and Plant Conservation (DNP) and the Department of Fisheries (DOF), whose mandates cover protected areas and fisheries nationwide. Effective governance, therefore, requires strong financial and strategic coordination across these agencies.</w:t>
      </w:r>
    </w:p>
    <w:p w14:paraId="1707B5C3" w14:textId="77777777" w:rsidR="00F77A8C" w:rsidRPr="00A444A6" w:rsidRDefault="00F77A8C" w:rsidP="00F77A8C">
      <w:pPr>
        <w:jc w:val="both"/>
        <w:rPr>
          <w:sz w:val="24"/>
          <w:szCs w:val="24"/>
        </w:rPr>
      </w:pPr>
    </w:p>
    <w:p w14:paraId="1DD4A740" w14:textId="77777777" w:rsidR="00F77A8C" w:rsidRPr="00A444A6" w:rsidRDefault="00F77A8C" w:rsidP="00F77A8C">
      <w:pPr>
        <w:jc w:val="both"/>
        <w:rPr>
          <w:sz w:val="24"/>
          <w:szCs w:val="24"/>
        </w:rPr>
      </w:pPr>
      <w:r w:rsidRPr="00A444A6">
        <w:rPr>
          <w:sz w:val="24"/>
          <w:szCs w:val="24"/>
        </w:rPr>
        <w:t>Budget data for 2013–2024 show that DMCR consistently receives a smaller allocation than DNP and DOF, despite its central marine mandate. DMCR’s budget rose from USD 36.3 million in 2013 to USD 51.16 million in 2024, while DNP and DOF received substantially higher funding, reaching USD 315.37 million and USD 104.49 million in 2024, respectively (</w:t>
      </w:r>
      <w:r w:rsidRPr="00A444A6">
        <w:rPr>
          <w:color w:val="EE0000"/>
          <w:sz w:val="24"/>
          <w:szCs w:val="24"/>
        </w:rPr>
        <w:t>Figure 5</w:t>
      </w:r>
      <w:r w:rsidRPr="00A444A6">
        <w:rPr>
          <w:sz w:val="24"/>
          <w:szCs w:val="24"/>
        </w:rPr>
        <w:t>).</w:t>
      </w:r>
    </w:p>
    <w:p w14:paraId="0220F894" w14:textId="77777777" w:rsidR="00F77A8C" w:rsidRPr="00A444A6" w:rsidRDefault="00F77A8C" w:rsidP="00F77A8C">
      <w:pPr>
        <w:jc w:val="both"/>
        <w:rPr>
          <w:sz w:val="24"/>
          <w:szCs w:val="24"/>
        </w:rPr>
      </w:pPr>
    </w:p>
    <w:p w14:paraId="45ECED54" w14:textId="77777777" w:rsidR="00F77A8C" w:rsidRPr="00A444A6" w:rsidRDefault="00F77A8C" w:rsidP="00F77A8C">
      <w:pPr>
        <w:jc w:val="both"/>
        <w:rPr>
          <w:sz w:val="24"/>
          <w:szCs w:val="24"/>
        </w:rPr>
      </w:pPr>
    </w:p>
    <w:p w14:paraId="2D5985C3" w14:textId="77777777" w:rsidR="00F77A8C" w:rsidRPr="00A444A6" w:rsidRDefault="00F77A8C" w:rsidP="00F77A8C">
      <w:pPr>
        <w:jc w:val="both"/>
        <w:rPr>
          <w:sz w:val="24"/>
          <w:szCs w:val="24"/>
        </w:rPr>
      </w:pPr>
      <w:r w:rsidRPr="00A444A6">
        <w:rPr>
          <w:noProof/>
          <w:sz w:val="24"/>
          <w:szCs w:val="24"/>
        </w:rPr>
        <w:drawing>
          <wp:inline distT="0" distB="0" distL="0" distR="0" wp14:anchorId="26F3F595" wp14:editId="7821138B">
            <wp:extent cx="6217920" cy="3133725"/>
            <wp:effectExtent l="0" t="0" r="11430" b="9525"/>
            <wp:docPr id="1" name="Chart 1">
              <a:extLst xmlns:a="http://schemas.openxmlformats.org/drawingml/2006/main">
                <a:ext uri="{FF2B5EF4-FFF2-40B4-BE49-F238E27FC236}">
                  <a16:creationId xmlns:a16="http://schemas.microsoft.com/office/drawing/2014/main" id="{61A6970F-D4A3-45DE-8A4C-DCF834826F79}"/>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89"/>
              </a:graphicData>
            </a:graphic>
          </wp:inline>
        </w:drawing>
      </w:r>
    </w:p>
    <w:p w14:paraId="5E6D56F1" w14:textId="77777777" w:rsidR="00F77A8C" w:rsidRPr="00A444A6" w:rsidRDefault="00F77A8C" w:rsidP="00F77A8C">
      <w:pPr>
        <w:jc w:val="both"/>
        <w:rPr>
          <w:sz w:val="24"/>
          <w:szCs w:val="24"/>
        </w:rPr>
      </w:pPr>
      <w:r w:rsidRPr="00A444A6">
        <w:rPr>
          <w:b/>
          <w:bCs/>
          <w:sz w:val="24"/>
          <w:szCs w:val="24"/>
        </w:rPr>
        <w:t>Figure 5</w:t>
      </w:r>
      <w:r w:rsidRPr="00A444A6">
        <w:rPr>
          <w:sz w:val="24"/>
          <w:szCs w:val="24"/>
        </w:rPr>
        <w:t xml:space="preserve">: Budget Allocations for Agencies Involved in Marine Resource Management in Thailand, 2013–2024 (Source: </w:t>
      </w:r>
      <w:r w:rsidRPr="00A444A6">
        <w:rPr>
          <w:i/>
          <w:iCs/>
          <w:sz w:val="24"/>
          <w:szCs w:val="24"/>
        </w:rPr>
        <w:t>Annual Budget Expenditure Documents under the Budget Appropriation Acts for Fiscal Years 2013–2023,</w:t>
      </w:r>
      <w:r w:rsidRPr="00A444A6">
        <w:rPr>
          <w:sz w:val="24"/>
          <w:szCs w:val="24"/>
        </w:rPr>
        <w:t xml:space="preserve"> Bureau of the Budget, Office of the Prime Minister. </w:t>
      </w:r>
      <w:r w:rsidRPr="00A444A6">
        <w:rPr>
          <w:sz w:val="24"/>
          <w:szCs w:val="24"/>
        </w:rPr>
        <w:fldChar w:fldCharType="begin"/>
      </w:r>
      <w:r w:rsidRPr="00A444A6">
        <w:rPr>
          <w:sz w:val="24"/>
          <w:szCs w:val="24"/>
        </w:rPr>
        <w:instrText>HYPERLINK "https://www.bb.go.th/index.php" \t "_new"</w:instrText>
      </w:r>
      <w:r w:rsidRPr="00A444A6">
        <w:rPr>
          <w:sz w:val="24"/>
          <w:szCs w:val="24"/>
        </w:rPr>
      </w:r>
      <w:r w:rsidRPr="00A444A6">
        <w:rPr>
          <w:sz w:val="24"/>
          <w:szCs w:val="24"/>
        </w:rPr>
        <w:fldChar w:fldCharType="separate"/>
      </w:r>
      <w:r w:rsidRPr="00A444A6">
        <w:rPr>
          <w:rStyle w:val="Hyperlink"/>
          <w:sz w:val="24"/>
          <w:szCs w:val="24"/>
        </w:rPr>
        <w:t>https://www.bb.go.th/index.php</w:t>
      </w:r>
      <w:r w:rsidRPr="00A444A6">
        <w:rPr>
          <w:sz w:val="24"/>
          <w:szCs w:val="24"/>
        </w:rPr>
        <w:fldChar w:fldCharType="end"/>
      </w:r>
      <w:r w:rsidRPr="00A444A6">
        <w:rPr>
          <w:sz w:val="24"/>
          <w:szCs w:val="24"/>
        </w:rPr>
        <w:t>)</w:t>
      </w:r>
    </w:p>
    <w:p w14:paraId="23AD31DF" w14:textId="77777777" w:rsidR="00F77A8C" w:rsidRPr="00A444A6" w:rsidRDefault="00F77A8C" w:rsidP="00F77A8C">
      <w:pPr>
        <w:jc w:val="both"/>
        <w:rPr>
          <w:sz w:val="24"/>
          <w:szCs w:val="24"/>
        </w:rPr>
      </w:pPr>
      <w:r w:rsidRPr="00A444A6">
        <w:rPr>
          <w:sz w:val="24"/>
          <w:szCs w:val="24"/>
        </w:rPr>
        <w:t xml:space="preserve">Given ongoing fiscal constraints, ensuring reliable financing for marine governance remains a critical challenge. Beyond public funding, greater use of Public–Private Partnerships (PPPs) and innovative instruments such as blue funds, blue bonds, and </w:t>
      </w:r>
      <w:r w:rsidRPr="00A444A6">
        <w:rPr>
          <w:sz w:val="24"/>
          <w:szCs w:val="24"/>
        </w:rPr>
        <w:lastRenderedPageBreak/>
        <w:t>blue carbon credits will be essential to strengthen the long-term financial sustainability of marine conservation in Thailand.</w:t>
      </w:r>
    </w:p>
    <w:p w14:paraId="465EF514" w14:textId="77777777" w:rsidR="00F77A8C" w:rsidRPr="00A444A6" w:rsidRDefault="00F77A8C" w:rsidP="00F77A8C">
      <w:pPr>
        <w:jc w:val="both"/>
        <w:rPr>
          <w:sz w:val="24"/>
          <w:szCs w:val="24"/>
        </w:rPr>
      </w:pPr>
    </w:p>
    <w:p w14:paraId="43ECDB87" w14:textId="77777777" w:rsidR="00F77A8C" w:rsidRPr="00A444A6" w:rsidRDefault="00F77A8C" w:rsidP="00F77A8C">
      <w:pPr>
        <w:rPr>
          <w:b/>
          <w:bCs/>
          <w:sz w:val="24"/>
          <w:szCs w:val="24"/>
        </w:rPr>
      </w:pPr>
      <w:r w:rsidRPr="00A444A6">
        <w:rPr>
          <w:b/>
          <w:bCs/>
          <w:sz w:val="24"/>
          <w:szCs w:val="24"/>
        </w:rPr>
        <w:t>6.2.1.3</w:t>
      </w:r>
      <w:r w:rsidRPr="00A444A6">
        <w:rPr>
          <w:b/>
          <w:bCs/>
          <w:sz w:val="24"/>
          <w:szCs w:val="24"/>
        </w:rPr>
        <w:tab/>
        <w:t xml:space="preserve">National and International Investments (Domestic direct investment and Foreign direct investment)  </w:t>
      </w:r>
    </w:p>
    <w:p w14:paraId="70AEAD05" w14:textId="77777777" w:rsidR="00F77A8C" w:rsidRPr="00A444A6" w:rsidRDefault="00F77A8C" w:rsidP="00F77A8C">
      <w:pPr>
        <w:rPr>
          <w:i/>
          <w:sz w:val="24"/>
          <w:szCs w:val="24"/>
        </w:rPr>
      </w:pPr>
    </w:p>
    <w:p w14:paraId="783096FE" w14:textId="77777777" w:rsidR="00F77A8C" w:rsidRPr="00A444A6" w:rsidRDefault="00F77A8C" w:rsidP="00F77A8C">
      <w:pPr>
        <w:jc w:val="both"/>
        <w:rPr>
          <w:sz w:val="24"/>
          <w:szCs w:val="24"/>
        </w:rPr>
      </w:pPr>
      <w:r w:rsidRPr="00A444A6">
        <w:rPr>
          <w:sz w:val="24"/>
          <w:szCs w:val="24"/>
        </w:rPr>
        <w:t>The Gulf of Thailand continues to attract strong domestic and foreign direct investment (DDI/FDI) due to its strategic location and economic potential. Between 2015 and 2024 (</w:t>
      </w:r>
      <w:r w:rsidRPr="00A444A6">
        <w:rPr>
          <w:color w:val="EE0000"/>
          <w:sz w:val="24"/>
          <w:szCs w:val="24"/>
        </w:rPr>
        <w:t>Annex 4</w:t>
      </w:r>
      <w:r w:rsidRPr="00A444A6">
        <w:rPr>
          <w:sz w:val="24"/>
          <w:szCs w:val="24"/>
        </w:rPr>
        <w:t>), Thailand became increasingly reliant on FDI, which rose from 61% to 74.7% of total investment (BOI).</w:t>
      </w:r>
    </w:p>
    <w:p w14:paraId="7B1D89FA" w14:textId="77777777" w:rsidR="00F77A8C" w:rsidRPr="00A444A6" w:rsidRDefault="00F77A8C" w:rsidP="00F77A8C">
      <w:pPr>
        <w:jc w:val="both"/>
        <w:rPr>
          <w:sz w:val="24"/>
          <w:szCs w:val="24"/>
        </w:rPr>
      </w:pPr>
    </w:p>
    <w:p w14:paraId="374337D4" w14:textId="77777777" w:rsidR="00F77A8C" w:rsidRPr="00A444A6" w:rsidRDefault="00F77A8C" w:rsidP="00F77A8C">
      <w:pPr>
        <w:jc w:val="both"/>
        <w:rPr>
          <w:sz w:val="24"/>
          <w:szCs w:val="24"/>
        </w:rPr>
      </w:pPr>
      <w:r w:rsidRPr="00A444A6">
        <w:rPr>
          <w:sz w:val="24"/>
          <w:szCs w:val="24"/>
        </w:rPr>
        <w:t>The Eastern Economic Corridor (EEC) is the dominant investment zone, attracting USD 10.45 billion in 2023, mainly in electronics, machinery, automotive, petrochemicals, EVs, and logistics. Major infrastructure projects further strengthen regional connectivity.</w:t>
      </w:r>
    </w:p>
    <w:p w14:paraId="28C18B2C" w14:textId="77777777" w:rsidR="00F77A8C" w:rsidRPr="00A444A6" w:rsidRDefault="00F77A8C" w:rsidP="00F77A8C">
      <w:pPr>
        <w:jc w:val="both"/>
        <w:rPr>
          <w:sz w:val="24"/>
          <w:szCs w:val="24"/>
        </w:rPr>
      </w:pPr>
    </w:p>
    <w:p w14:paraId="2404D195" w14:textId="77777777" w:rsidR="00F77A8C" w:rsidRPr="00A444A6" w:rsidRDefault="00F77A8C" w:rsidP="00F77A8C">
      <w:pPr>
        <w:jc w:val="both"/>
        <w:rPr>
          <w:sz w:val="24"/>
          <w:szCs w:val="24"/>
        </w:rPr>
      </w:pPr>
      <w:r w:rsidRPr="00A444A6">
        <w:rPr>
          <w:sz w:val="24"/>
          <w:szCs w:val="24"/>
        </w:rPr>
        <w:t>However, both FDI and DDI generate significant environmental pressures, including port expansion, land reclamation, industrial wastewater discharge, and coastal erosion. Strengthened environmental safeguards, community participation, and sustainable finance mechanisms are essential to balance economic growth with long-term ecosystem protection.</w:t>
      </w:r>
    </w:p>
    <w:p w14:paraId="67E8F640" w14:textId="77777777" w:rsidR="00F77A8C" w:rsidRPr="00A444A6" w:rsidRDefault="00F77A8C" w:rsidP="00F77A8C">
      <w:pPr>
        <w:jc w:val="both"/>
        <w:rPr>
          <w:sz w:val="24"/>
          <w:szCs w:val="24"/>
        </w:rPr>
      </w:pPr>
    </w:p>
    <w:p w14:paraId="6F3BED22" w14:textId="77777777" w:rsidR="00F77A8C" w:rsidRPr="00A444A6" w:rsidRDefault="00F77A8C" w:rsidP="00F77A8C">
      <w:pPr>
        <w:rPr>
          <w:b/>
          <w:bCs/>
          <w:sz w:val="24"/>
          <w:szCs w:val="24"/>
        </w:rPr>
      </w:pPr>
      <w:r w:rsidRPr="00A444A6">
        <w:rPr>
          <w:b/>
          <w:bCs/>
          <w:sz w:val="24"/>
          <w:szCs w:val="24"/>
        </w:rPr>
        <w:t>6.2.1.4</w:t>
      </w:r>
      <w:r w:rsidRPr="00A444A6">
        <w:rPr>
          <w:b/>
          <w:bCs/>
          <w:sz w:val="24"/>
          <w:szCs w:val="24"/>
        </w:rPr>
        <w:tab/>
        <w:t>Provincial Investments</w:t>
      </w:r>
    </w:p>
    <w:p w14:paraId="6905232A" w14:textId="77777777" w:rsidR="00F77A8C" w:rsidRPr="00A444A6" w:rsidRDefault="00F77A8C" w:rsidP="00F77A8C">
      <w:pPr>
        <w:pStyle w:val="NormalWeb"/>
        <w:jc w:val="thaiDistribute"/>
        <w:rPr>
          <w:rFonts w:ascii="Arial" w:hAnsi="Arial" w:cs="Arial"/>
        </w:rPr>
      </w:pPr>
      <w:r w:rsidRPr="00A444A6">
        <w:rPr>
          <w:rFonts w:ascii="Arial" w:hAnsi="Arial" w:cs="Arial"/>
        </w:rPr>
        <w:t>Provincial investment along the Gulf of Thailand shows strong spatial inequality, reflecting uneven development across coastal provinces. Based on 2024 data from the Board of Investment (BOI) and the Department of Business Development (DBD) (</w:t>
      </w:r>
      <w:r w:rsidRPr="00A444A6">
        <w:rPr>
          <w:rFonts w:ascii="Arial" w:hAnsi="Arial" w:cs="Arial"/>
          <w:color w:val="EE0000"/>
        </w:rPr>
        <w:t xml:space="preserve">Annex 5), </w:t>
      </w:r>
      <w:r w:rsidRPr="00A444A6">
        <w:rPr>
          <w:rFonts w:ascii="Arial" w:hAnsi="Arial" w:cs="Arial"/>
        </w:rPr>
        <w:t>investments can be grouped into high-, medium-, and low-investment provinces, revealing distinct regional development patterns.</w:t>
      </w:r>
    </w:p>
    <w:p w14:paraId="0522FF2B" w14:textId="77777777" w:rsidR="00F77A8C" w:rsidRPr="00A444A6" w:rsidRDefault="00F77A8C" w:rsidP="00F77A8C">
      <w:pPr>
        <w:pStyle w:val="NormalWeb"/>
        <w:jc w:val="thaiDistribute"/>
        <w:rPr>
          <w:rFonts w:ascii="Arial" w:hAnsi="Arial" w:cs="Arial"/>
        </w:rPr>
      </w:pPr>
      <w:r w:rsidRPr="00A444A6">
        <w:rPr>
          <w:rFonts w:ascii="Arial" w:hAnsi="Arial" w:cs="Arial"/>
        </w:rPr>
        <w:t>High-investment provinces—Rayong, Chonburi, Samut Prakan, and Chachoengsao—account for approximately 94% of total investment in the Gulf of Thailand. These provinces form the economic core of the Eastern Economic Corridor (EEC) and function as national industrial and logistics hubs. Rayong and Chonburi dominate large-scale foreign direct investment in petrochemicals, energy, and manufacturing, while Samut Prakan and Chachoengsao show strong growth in both industrial and local business registration. Together, these provinces serve as the primary growth poles of the Gulf region and are deeply integrated into global supply chains.</w:t>
      </w:r>
    </w:p>
    <w:p w14:paraId="2AA3C03B" w14:textId="77777777" w:rsidR="00F77A8C" w:rsidRPr="00A444A6" w:rsidRDefault="00F77A8C" w:rsidP="00F77A8C">
      <w:pPr>
        <w:pStyle w:val="NormalWeb"/>
        <w:jc w:val="thaiDistribute"/>
        <w:rPr>
          <w:rFonts w:ascii="Arial" w:hAnsi="Arial" w:cs="Arial"/>
        </w:rPr>
      </w:pPr>
      <w:r w:rsidRPr="00A444A6">
        <w:rPr>
          <w:rFonts w:ascii="Arial" w:hAnsi="Arial" w:cs="Arial"/>
        </w:rPr>
        <w:t>Medium-investment provinces, including Samut Sakhon, Phetchaburi, Songkhla, Nakhon Si Thammarat, Chumphon, Surat Thani, and Prachuap Khiri Khan, show a mixed economic structure combining agriculture, seafood processing, and coastal tourism. These provinces function as emerging economic hubs, with moderate investment potential that depends on improved infrastructure, logistics connectivity, and market access.</w:t>
      </w:r>
    </w:p>
    <w:p w14:paraId="67126655" w14:textId="77777777" w:rsidR="00F77A8C" w:rsidRPr="00A444A6" w:rsidRDefault="00F77A8C" w:rsidP="00F77A8C">
      <w:pPr>
        <w:pStyle w:val="NormalWeb"/>
        <w:jc w:val="thaiDistribute"/>
        <w:rPr>
          <w:rFonts w:ascii="Arial" w:hAnsi="Arial" w:cs="Arial"/>
        </w:rPr>
      </w:pPr>
      <w:r w:rsidRPr="00A444A6">
        <w:rPr>
          <w:rFonts w:ascii="Arial" w:hAnsi="Arial" w:cs="Arial"/>
        </w:rPr>
        <w:t xml:space="preserve">Low-investment provinces—Trat, Chanthaburi, Samut Songkhram, Pattani, and Narathiwat—remain resource-dependent economies, dominated by agriculture, small-scale fisheries, and eco-tourism. These areas face persistent constraints, including </w:t>
      </w:r>
      <w:r w:rsidRPr="00A444A6">
        <w:rPr>
          <w:rFonts w:ascii="Arial" w:hAnsi="Arial" w:cs="Arial"/>
        </w:rPr>
        <w:lastRenderedPageBreak/>
        <w:t>weak infrastructure, small markets, and security challenges in the southern border provinces, limiting their ability to attract both domestic and foreign investment.</w:t>
      </w:r>
    </w:p>
    <w:p w14:paraId="47ECAEFC" w14:textId="77777777" w:rsidR="00F77A8C" w:rsidRPr="00A444A6" w:rsidRDefault="00F77A8C" w:rsidP="00F77A8C">
      <w:pPr>
        <w:pStyle w:val="NormalWeb"/>
        <w:jc w:val="thaiDistribute"/>
        <w:rPr>
          <w:rFonts w:ascii="Arial" w:hAnsi="Arial" w:cs="Arial"/>
        </w:rPr>
      </w:pPr>
      <w:r w:rsidRPr="00A444A6">
        <w:rPr>
          <w:rFonts w:ascii="Arial" w:hAnsi="Arial" w:cs="Arial"/>
        </w:rPr>
        <w:t>Overall, provincial investment patterns reveal high economic concentration in the EEC provinces and structural vulnerability in peripheral coastal areas. These disparities directly affect provincial capacity for environmental management and sustainable marine governance. High-investment provinces exert intense development pressure on coastal ecosystems, while low-investment provinces face financial and institutional constraints in conservation and restoration. This underscores the need for spatially targeted investment policy, equitable budget allocation, and differentiated governance strategies to support sustainable blue economy development across the entire Gulf of Thailand.</w:t>
      </w:r>
    </w:p>
    <w:p w14:paraId="5E01C6CC" w14:textId="77777777" w:rsidR="00F77A8C" w:rsidRPr="00A444A6" w:rsidRDefault="00F77A8C" w:rsidP="00F77A8C">
      <w:pPr>
        <w:spacing w:before="120" w:after="120"/>
        <w:rPr>
          <w:b/>
          <w:bCs/>
          <w:sz w:val="24"/>
          <w:szCs w:val="24"/>
        </w:rPr>
      </w:pPr>
      <w:bookmarkStart w:id="25" w:name="_Hlk211410921"/>
      <w:r w:rsidRPr="00A444A6">
        <w:rPr>
          <w:b/>
          <w:bCs/>
          <w:sz w:val="24"/>
          <w:szCs w:val="24"/>
        </w:rPr>
        <w:t>6.2.2</w:t>
      </w:r>
      <w:r w:rsidRPr="00A444A6">
        <w:rPr>
          <w:b/>
          <w:bCs/>
          <w:i/>
          <w:iCs/>
          <w:sz w:val="24"/>
          <w:szCs w:val="24"/>
        </w:rPr>
        <w:t xml:space="preserve"> </w:t>
      </w:r>
      <w:r w:rsidRPr="00A444A6">
        <w:rPr>
          <w:b/>
          <w:bCs/>
          <w:sz w:val="24"/>
          <w:szCs w:val="24"/>
        </w:rPr>
        <w:t xml:space="preserve">  Institutional Setting </w:t>
      </w:r>
    </w:p>
    <w:p w14:paraId="0534645E" w14:textId="77777777" w:rsidR="00F77A8C" w:rsidRPr="00A444A6" w:rsidRDefault="00F77A8C" w:rsidP="00F77A8C">
      <w:pPr>
        <w:spacing w:before="120" w:after="120"/>
        <w:rPr>
          <w:b/>
          <w:bCs/>
          <w:sz w:val="24"/>
          <w:szCs w:val="24"/>
        </w:rPr>
      </w:pPr>
      <w:r w:rsidRPr="00A444A6">
        <w:rPr>
          <w:b/>
          <w:bCs/>
          <w:sz w:val="24"/>
          <w:szCs w:val="24"/>
        </w:rPr>
        <w:t xml:space="preserve">6.2.2.1 Institutions, Regulatory Agencies, Administrative Arrangements </w:t>
      </w:r>
    </w:p>
    <w:p w14:paraId="45FB1EF9" w14:textId="77777777" w:rsidR="00F77A8C" w:rsidRPr="00A444A6" w:rsidRDefault="00F77A8C" w:rsidP="00F77A8C">
      <w:pPr>
        <w:jc w:val="both"/>
        <w:rPr>
          <w:sz w:val="24"/>
          <w:szCs w:val="24"/>
          <w:u w:val="single"/>
        </w:rPr>
      </w:pPr>
    </w:p>
    <w:p w14:paraId="4DE01278" w14:textId="77777777" w:rsidR="00F77A8C" w:rsidRPr="00A444A6" w:rsidRDefault="00F77A8C" w:rsidP="00F77A8C">
      <w:pPr>
        <w:jc w:val="both"/>
        <w:rPr>
          <w:sz w:val="24"/>
          <w:szCs w:val="24"/>
        </w:rPr>
      </w:pPr>
      <w:r w:rsidRPr="00A444A6">
        <w:rPr>
          <w:sz w:val="24"/>
          <w:szCs w:val="24"/>
        </w:rPr>
        <w:t>Thailand’s marine and coastal governance operates through a multi-level institutional system involving sectoral agencies, inter-ministerial coordination mechanisms, and national policy committees. The Department of Marine and Coastal Resources (DMCR), under the Ministry of Natural Resources and Environment (MONRE), holds the primary mandate for coastal and marine resource management. It works closely with key MONRE agencies (</w:t>
      </w:r>
      <w:r w:rsidRPr="00A444A6">
        <w:rPr>
          <w:color w:val="EE0000"/>
          <w:sz w:val="24"/>
          <w:szCs w:val="24"/>
        </w:rPr>
        <w:t xml:space="preserve">Fig 6), </w:t>
      </w:r>
      <w:r w:rsidRPr="00A444A6">
        <w:rPr>
          <w:sz w:val="24"/>
          <w:szCs w:val="24"/>
        </w:rPr>
        <w:t>including the Department of National Parks, Wildlife and Plant Conservation (DNP), Pollution Control Department (PCD), Office of Natural Resources and Environmental Policy and Planning (ONEP), Department of Climate Change and Environment (DCCE), and Department of Mineral Resources (DMR), which together support ecosystem protection, environmental regulation, and climate policy implementation.</w:t>
      </w:r>
    </w:p>
    <w:p w14:paraId="28316188" w14:textId="77777777" w:rsidR="00F77A8C" w:rsidRPr="00A444A6" w:rsidRDefault="00F77A8C" w:rsidP="00F77A8C">
      <w:pPr>
        <w:jc w:val="both"/>
        <w:rPr>
          <w:sz w:val="24"/>
          <w:szCs w:val="24"/>
        </w:rPr>
      </w:pPr>
    </w:p>
    <w:p w14:paraId="09777361" w14:textId="77777777" w:rsidR="00F77A8C" w:rsidRPr="00A444A6" w:rsidRDefault="00F77A8C" w:rsidP="00F77A8C">
      <w:pPr>
        <w:jc w:val="both"/>
        <w:rPr>
          <w:sz w:val="24"/>
          <w:szCs w:val="24"/>
        </w:rPr>
      </w:pPr>
      <w:r w:rsidRPr="00A444A6">
        <w:rPr>
          <w:sz w:val="24"/>
          <w:szCs w:val="24"/>
        </w:rPr>
        <w:t>Beyond MONRE, several sectoral agencies play critical roles. The Department of Fisheries (DOF) under the Ministry of Agriculture and Cooperatives leads fisheries and aquaculture management; the Royal Thai Navy (RTN) is responsible for maritime security and IUU fishing enforcement; the Marine Department (MD) regulates navigation and ports; the Department of Industrial Works (DIW) oversees industrial pollution control; and the Ministry of Foreign Affairs (MFA) coordinates Thailand’s international marine governance engagement (</w:t>
      </w:r>
      <w:r w:rsidRPr="00A444A6">
        <w:rPr>
          <w:color w:val="EE0000"/>
          <w:sz w:val="24"/>
          <w:szCs w:val="24"/>
        </w:rPr>
        <w:t>Annex 6</w:t>
      </w:r>
      <w:r w:rsidRPr="00A444A6">
        <w:rPr>
          <w:sz w:val="24"/>
          <w:szCs w:val="24"/>
        </w:rPr>
        <w:t>).</w:t>
      </w:r>
    </w:p>
    <w:p w14:paraId="469202F7" w14:textId="77777777" w:rsidR="00F77A8C" w:rsidRPr="00A444A6" w:rsidRDefault="00F77A8C" w:rsidP="00F77A8C">
      <w:pPr>
        <w:spacing w:after="160" w:line="259" w:lineRule="auto"/>
        <w:rPr>
          <w:b/>
          <w:bCs/>
          <w:sz w:val="24"/>
          <w:szCs w:val="24"/>
        </w:rPr>
      </w:pPr>
    </w:p>
    <w:p w14:paraId="6A889671" w14:textId="77777777" w:rsidR="00F77A8C" w:rsidRPr="00A444A6" w:rsidRDefault="00F77A8C" w:rsidP="00F77A8C">
      <w:pPr>
        <w:spacing w:after="160" w:line="259" w:lineRule="auto"/>
        <w:jc w:val="thaiDistribute"/>
        <w:rPr>
          <w:sz w:val="24"/>
          <w:szCs w:val="24"/>
        </w:rPr>
      </w:pPr>
      <w:r w:rsidRPr="00A444A6">
        <w:rPr>
          <w:sz w:val="24"/>
          <w:szCs w:val="24"/>
        </w:rPr>
        <w:t>Policy integration is guided by several national committees, including the Maritime Interests Protection Policy Committee (MIP), Marine and Coastal Resources Committee (NMCRC), National Environment Board (NEB), National Biodiversity Committee (NBC), National Climate Change Policy Committee (NCCP), National Pollution Control Committee (NPC), and National Fisheries Committee (NFC), supported by technical subcommittees (</w:t>
      </w:r>
      <w:r w:rsidRPr="00A444A6">
        <w:rPr>
          <w:color w:val="EE0000"/>
          <w:sz w:val="24"/>
          <w:szCs w:val="24"/>
        </w:rPr>
        <w:t>Annex 7</w:t>
      </w:r>
      <w:r w:rsidRPr="00A444A6">
        <w:rPr>
          <w:sz w:val="24"/>
          <w:szCs w:val="24"/>
        </w:rPr>
        <w:t>). These bodies formulate policy recommendations that are consolidated and submitted to the Cabinet for approval, ensuring alignment across sectors.</w:t>
      </w:r>
    </w:p>
    <w:p w14:paraId="15006FA7" w14:textId="77777777" w:rsidR="00F77A8C" w:rsidRPr="00A444A6" w:rsidRDefault="00F77A8C" w:rsidP="00F77A8C">
      <w:pPr>
        <w:spacing w:before="120" w:after="120"/>
        <w:jc w:val="thaiDistribute"/>
        <w:rPr>
          <w:sz w:val="24"/>
          <w:szCs w:val="24"/>
        </w:rPr>
      </w:pPr>
      <w:r w:rsidRPr="00A444A6">
        <w:rPr>
          <w:sz w:val="24"/>
          <w:szCs w:val="24"/>
        </w:rPr>
        <w:t xml:space="preserve">As Marine Spatial Planning (MSP) advances, the MIP and NMCRC play leading strategic roles in integrating the National MSP Framework into legal and policy instruments, supported by specialized subcommittees (World Bank, 2025). Overall, </w:t>
      </w:r>
      <w:r w:rsidRPr="00A444A6">
        <w:rPr>
          <w:sz w:val="24"/>
          <w:szCs w:val="24"/>
        </w:rPr>
        <w:lastRenderedPageBreak/>
        <w:t>Thailand’s institutional framework provides a strong national governance backbone; however, coordination gaps and uneven provincial implementation continue to constrain fully integrated and effective marine and coastal governance.</w:t>
      </w:r>
    </w:p>
    <w:p w14:paraId="4CC82425" w14:textId="77777777" w:rsidR="00F77A8C" w:rsidRPr="00A444A6" w:rsidRDefault="00F77A8C" w:rsidP="00F77A8C">
      <w:pPr>
        <w:rPr>
          <w:sz w:val="24"/>
          <w:szCs w:val="24"/>
        </w:rPr>
      </w:pPr>
    </w:p>
    <w:p w14:paraId="351F8E69" w14:textId="77777777" w:rsidR="00F77A8C" w:rsidRPr="00A444A6" w:rsidRDefault="00F77A8C" w:rsidP="00F77A8C">
      <w:pPr>
        <w:jc w:val="both"/>
        <w:rPr>
          <w:sz w:val="24"/>
          <w:szCs w:val="24"/>
        </w:rPr>
      </w:pPr>
    </w:p>
    <w:p w14:paraId="16A72C5C" w14:textId="77777777" w:rsidR="00F77A8C" w:rsidRPr="00A444A6" w:rsidRDefault="00F77A8C" w:rsidP="00F77A8C">
      <w:pPr>
        <w:jc w:val="both"/>
        <w:rPr>
          <w:sz w:val="24"/>
          <w:szCs w:val="24"/>
        </w:rPr>
      </w:pPr>
      <w:r w:rsidRPr="00A444A6">
        <w:rPr>
          <w:sz w:val="24"/>
          <w:szCs w:val="24"/>
        </w:rPr>
        <w:t xml:space="preserve"> </w:t>
      </w:r>
    </w:p>
    <w:p w14:paraId="265D9393" w14:textId="77777777" w:rsidR="00F77A8C" w:rsidRPr="00A444A6" w:rsidRDefault="00F77A8C" w:rsidP="00F77A8C">
      <w:pPr>
        <w:jc w:val="both"/>
        <w:rPr>
          <w:sz w:val="24"/>
          <w:szCs w:val="24"/>
        </w:rPr>
      </w:pPr>
      <w:r w:rsidRPr="00A444A6">
        <w:rPr>
          <w:b/>
          <w:bCs/>
          <w:noProof/>
          <w:sz w:val="24"/>
          <w:szCs w:val="24"/>
        </w:rPr>
        <w:drawing>
          <wp:inline distT="0" distB="0" distL="0" distR="0" wp14:anchorId="27F7A11A" wp14:editId="2994BB7E">
            <wp:extent cx="6106795" cy="2902616"/>
            <wp:effectExtent l="0" t="0" r="8255" b="0"/>
            <wp:docPr id="1131536855"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90" cstate="print">
                      <a:extLst>
                        <a:ext uri="{28A0092B-C50C-407E-A947-70E740481C1C}">
                          <a14:useLocalDpi xmlns:a14="http://schemas.microsoft.com/office/drawing/2010/main" val="0"/>
                        </a:ext>
                      </a:extLst>
                    </a:blip>
                    <a:srcRect/>
                    <a:stretch>
                      <a:fillRect/>
                    </a:stretch>
                  </pic:blipFill>
                  <pic:spPr bwMode="auto">
                    <a:xfrm>
                      <a:off x="0" y="0"/>
                      <a:ext cx="6106795" cy="2902616"/>
                    </a:xfrm>
                    <a:prstGeom prst="rect">
                      <a:avLst/>
                    </a:prstGeom>
                    <a:noFill/>
                  </pic:spPr>
                </pic:pic>
              </a:graphicData>
            </a:graphic>
          </wp:inline>
        </w:drawing>
      </w:r>
    </w:p>
    <w:p w14:paraId="6EF3332F" w14:textId="77777777" w:rsidR="00F77A8C" w:rsidRPr="00A444A6" w:rsidRDefault="00F77A8C" w:rsidP="00F77A8C">
      <w:pPr>
        <w:spacing w:before="120" w:after="120"/>
        <w:ind w:firstLine="1134"/>
        <w:jc w:val="thaiDistribute"/>
        <w:rPr>
          <w:sz w:val="24"/>
          <w:szCs w:val="24"/>
        </w:rPr>
      </w:pPr>
      <w:bookmarkStart w:id="26" w:name="_Ref163118200"/>
      <w:bookmarkStart w:id="27" w:name="_Toc167870934"/>
    </w:p>
    <w:p w14:paraId="02FF888A" w14:textId="77777777" w:rsidR="00F77A8C" w:rsidRPr="00A444A6" w:rsidRDefault="00F77A8C" w:rsidP="00F77A8C">
      <w:pPr>
        <w:spacing w:before="120" w:after="120"/>
        <w:jc w:val="thaiDistribute"/>
        <w:rPr>
          <w:sz w:val="24"/>
          <w:szCs w:val="24"/>
        </w:rPr>
      </w:pPr>
    </w:p>
    <w:p w14:paraId="2025D05B" w14:textId="77777777" w:rsidR="00F77A8C" w:rsidRPr="00A444A6" w:rsidRDefault="00F77A8C" w:rsidP="00F77A8C">
      <w:pPr>
        <w:spacing w:before="120" w:after="120"/>
        <w:jc w:val="thaiDistribute"/>
        <w:rPr>
          <w:sz w:val="24"/>
          <w:szCs w:val="24"/>
        </w:rPr>
      </w:pPr>
      <w:r w:rsidRPr="00A444A6">
        <w:rPr>
          <w:sz w:val="24"/>
          <w:szCs w:val="24"/>
        </w:rPr>
        <w:t xml:space="preserve">Figure </w:t>
      </w:r>
      <w:bookmarkEnd w:id="26"/>
      <w:r w:rsidRPr="00A444A6">
        <w:rPr>
          <w:sz w:val="24"/>
          <w:szCs w:val="24"/>
        </w:rPr>
        <w:t>6. Government agencies and policy committees relevant to governing marine and coastal resources in Thailand</w:t>
      </w:r>
      <w:bookmarkEnd w:id="27"/>
      <w:r w:rsidRPr="00A444A6">
        <w:rPr>
          <w:sz w:val="24"/>
          <w:szCs w:val="24"/>
        </w:rPr>
        <w:t xml:space="preserve">  </w:t>
      </w:r>
    </w:p>
    <w:p w14:paraId="65B6EBB4" w14:textId="77777777" w:rsidR="00F77A8C" w:rsidRPr="00A444A6" w:rsidRDefault="00F77A8C" w:rsidP="00F77A8C">
      <w:pPr>
        <w:spacing w:before="120" w:after="120"/>
        <w:jc w:val="thaiDistribute"/>
        <w:rPr>
          <w:b/>
          <w:bCs/>
          <w:color w:val="000000" w:themeColor="text1"/>
          <w:sz w:val="24"/>
          <w:szCs w:val="24"/>
        </w:rPr>
      </w:pPr>
    </w:p>
    <w:p w14:paraId="357D5586" w14:textId="77777777" w:rsidR="00F77A8C" w:rsidRPr="00A444A6" w:rsidRDefault="00F77A8C" w:rsidP="00F77A8C">
      <w:pPr>
        <w:spacing w:before="120" w:after="120"/>
        <w:jc w:val="thaiDistribute"/>
        <w:rPr>
          <w:b/>
          <w:bCs/>
          <w:color w:val="000000" w:themeColor="text1"/>
          <w:sz w:val="24"/>
          <w:szCs w:val="24"/>
        </w:rPr>
      </w:pPr>
      <w:r w:rsidRPr="00A444A6">
        <w:rPr>
          <w:b/>
          <w:bCs/>
          <w:color w:val="000000" w:themeColor="text1"/>
          <w:sz w:val="24"/>
          <w:szCs w:val="24"/>
        </w:rPr>
        <w:t>6.2.2.2 Regional Governance, Bilateral and Multilateral Engagement</w:t>
      </w:r>
    </w:p>
    <w:p w14:paraId="2446B632" w14:textId="77777777" w:rsidR="00F77A8C" w:rsidRPr="00A444A6" w:rsidRDefault="00F77A8C" w:rsidP="00F77A8C">
      <w:pPr>
        <w:rPr>
          <w:color w:val="000000" w:themeColor="text1"/>
          <w:sz w:val="24"/>
          <w:szCs w:val="24"/>
        </w:rPr>
      </w:pPr>
    </w:p>
    <w:p w14:paraId="47C85EB3" w14:textId="77777777" w:rsidR="00F77A8C" w:rsidRPr="00A444A6" w:rsidRDefault="00F77A8C" w:rsidP="00F77A8C">
      <w:pPr>
        <w:jc w:val="thaiDistribute"/>
        <w:rPr>
          <w:color w:val="000000" w:themeColor="text1"/>
          <w:sz w:val="24"/>
          <w:szCs w:val="24"/>
        </w:rPr>
      </w:pPr>
      <w:r w:rsidRPr="00A444A6">
        <w:rPr>
          <w:color w:val="000000" w:themeColor="text1"/>
          <w:sz w:val="24"/>
          <w:szCs w:val="24"/>
        </w:rPr>
        <w:t>The Department of Marine and Coastal Resources (DMCR) plays a central role in advancing Thailand’s regional and international engagement for sustainable marine and coastal governance. Through active participation in global, regional, and bilateral cooperation frameworks, Thailand aligns national marine management with international commitments, including the 2030 Agenda for Sustainable Development, the Kunming–Montreal Global Biodiversity Framework (GBF), and the UN Decade of Ocean Science (2021–2030).</w:t>
      </w:r>
    </w:p>
    <w:p w14:paraId="6CE5DE41" w14:textId="77777777" w:rsidR="00F77A8C" w:rsidRPr="00A444A6" w:rsidRDefault="00F77A8C" w:rsidP="00F77A8C">
      <w:pPr>
        <w:rPr>
          <w:color w:val="000000" w:themeColor="text1"/>
          <w:sz w:val="24"/>
          <w:szCs w:val="24"/>
        </w:rPr>
      </w:pPr>
    </w:p>
    <w:p w14:paraId="498C4CAA" w14:textId="77777777" w:rsidR="00F77A8C" w:rsidRPr="00A444A6" w:rsidRDefault="00F77A8C" w:rsidP="00F77A8C">
      <w:pPr>
        <w:jc w:val="thaiDistribute"/>
        <w:rPr>
          <w:color w:val="000000" w:themeColor="text1"/>
          <w:sz w:val="24"/>
          <w:szCs w:val="24"/>
        </w:rPr>
      </w:pPr>
      <w:r w:rsidRPr="00A444A6">
        <w:rPr>
          <w:color w:val="000000" w:themeColor="text1"/>
          <w:sz w:val="24"/>
          <w:szCs w:val="24"/>
        </w:rPr>
        <w:t xml:space="preserve">At the </w:t>
      </w:r>
      <w:r w:rsidRPr="00A444A6">
        <w:rPr>
          <w:color w:val="000000" w:themeColor="text1"/>
          <w:sz w:val="24"/>
          <w:szCs w:val="24"/>
          <w:u w:val="single"/>
        </w:rPr>
        <w:t>global level</w:t>
      </w:r>
      <w:r w:rsidRPr="00A444A6">
        <w:rPr>
          <w:color w:val="000000" w:themeColor="text1"/>
          <w:sz w:val="24"/>
          <w:szCs w:val="24"/>
        </w:rPr>
        <w:t>, DMCR cooperates closely with key international organizations such as UNESCO, IOC, UNEP, IOI, and CMS, supporting marine science, biodiversity conservation, marine litter management, protection of migratory species, and capacity development. Thailand also participates in major international legal and policy processes, including the BBNJ Agreement under UNCLOS, enhancing its role in global ocean governance.</w:t>
      </w:r>
    </w:p>
    <w:p w14:paraId="2665E290" w14:textId="77777777" w:rsidR="00F77A8C" w:rsidRPr="00A444A6" w:rsidRDefault="00F77A8C" w:rsidP="00F77A8C">
      <w:pPr>
        <w:rPr>
          <w:color w:val="000000" w:themeColor="text1"/>
          <w:sz w:val="24"/>
          <w:szCs w:val="24"/>
        </w:rPr>
      </w:pPr>
    </w:p>
    <w:p w14:paraId="2DB168C2" w14:textId="77777777" w:rsidR="00F77A8C" w:rsidRPr="00A444A6" w:rsidRDefault="00F77A8C" w:rsidP="00F77A8C">
      <w:pPr>
        <w:jc w:val="thaiDistribute"/>
        <w:rPr>
          <w:color w:val="000000" w:themeColor="text1"/>
          <w:sz w:val="24"/>
          <w:szCs w:val="24"/>
        </w:rPr>
      </w:pPr>
      <w:r w:rsidRPr="00A444A6">
        <w:rPr>
          <w:color w:val="000000" w:themeColor="text1"/>
          <w:sz w:val="24"/>
          <w:szCs w:val="24"/>
        </w:rPr>
        <w:t xml:space="preserve">At the </w:t>
      </w:r>
      <w:r w:rsidRPr="00A444A6">
        <w:rPr>
          <w:color w:val="000000" w:themeColor="text1"/>
          <w:sz w:val="24"/>
          <w:szCs w:val="24"/>
          <w:u w:val="single"/>
        </w:rPr>
        <w:t>regional level</w:t>
      </w:r>
      <w:r w:rsidRPr="00A444A6">
        <w:rPr>
          <w:color w:val="000000" w:themeColor="text1"/>
          <w:sz w:val="24"/>
          <w:szCs w:val="24"/>
        </w:rPr>
        <w:t xml:space="preserve">, Thailand is actively engaged through ASEAN, COBSEA, APEC, and the Indian Ocean Rim Association (IORA), contributing to regional initiatives on </w:t>
      </w:r>
      <w:r w:rsidRPr="00A444A6">
        <w:rPr>
          <w:color w:val="000000" w:themeColor="text1"/>
          <w:sz w:val="24"/>
          <w:szCs w:val="24"/>
        </w:rPr>
        <w:lastRenderedPageBreak/>
        <w:t>marine pollution control, climate change adaptation, sustainable fisheries, blue economy development, and marine scientific cooperation. DMCR further strengthens regional integration through leadership roles in ASEAN working groups and technical subcommittees related to coastal and marine environments.</w:t>
      </w:r>
    </w:p>
    <w:p w14:paraId="0A0CA808" w14:textId="77777777" w:rsidR="00F77A8C" w:rsidRPr="00A444A6" w:rsidRDefault="00F77A8C" w:rsidP="00F77A8C">
      <w:pPr>
        <w:rPr>
          <w:color w:val="000000" w:themeColor="text1"/>
          <w:sz w:val="24"/>
          <w:szCs w:val="24"/>
        </w:rPr>
      </w:pPr>
    </w:p>
    <w:p w14:paraId="2296EE4F" w14:textId="77777777" w:rsidR="00F77A8C" w:rsidRPr="00A444A6" w:rsidRDefault="00F77A8C" w:rsidP="00F77A8C">
      <w:pPr>
        <w:jc w:val="thaiDistribute"/>
        <w:rPr>
          <w:color w:val="000000" w:themeColor="text1"/>
          <w:sz w:val="24"/>
          <w:szCs w:val="24"/>
        </w:rPr>
      </w:pPr>
      <w:r w:rsidRPr="00A444A6">
        <w:rPr>
          <w:color w:val="000000" w:themeColor="text1"/>
          <w:sz w:val="24"/>
          <w:szCs w:val="24"/>
          <w:u w:val="single"/>
        </w:rPr>
        <w:t>Bilateral</w:t>
      </w:r>
      <w:r w:rsidRPr="00A444A6">
        <w:rPr>
          <w:color w:val="000000" w:themeColor="text1"/>
          <w:sz w:val="24"/>
          <w:szCs w:val="24"/>
        </w:rPr>
        <w:t xml:space="preserve"> and innovation-based partnerships also support Thailand’s marine governance, particularly through public–private collaboration on marine debris management and technological solutions for pollution reduction.</w:t>
      </w:r>
    </w:p>
    <w:p w14:paraId="13411768" w14:textId="77777777" w:rsidR="00F77A8C" w:rsidRPr="00A444A6" w:rsidRDefault="00F77A8C" w:rsidP="00F77A8C">
      <w:pPr>
        <w:jc w:val="thaiDistribute"/>
        <w:rPr>
          <w:color w:val="000000" w:themeColor="text1"/>
          <w:sz w:val="24"/>
          <w:szCs w:val="24"/>
        </w:rPr>
      </w:pPr>
    </w:p>
    <w:p w14:paraId="432BA7EE" w14:textId="77777777" w:rsidR="00F77A8C" w:rsidRPr="00A444A6" w:rsidRDefault="00F77A8C" w:rsidP="00F77A8C">
      <w:pPr>
        <w:jc w:val="thaiDistribute"/>
        <w:rPr>
          <w:color w:val="000000" w:themeColor="text1"/>
          <w:sz w:val="24"/>
          <w:szCs w:val="24"/>
        </w:rPr>
      </w:pPr>
      <w:r w:rsidRPr="00A444A6">
        <w:rPr>
          <w:color w:val="000000" w:themeColor="text1"/>
          <w:sz w:val="24"/>
          <w:szCs w:val="24"/>
        </w:rPr>
        <w:t>Overall, Thailand’s extensive engagement across multilateral, regional, and bilateral platforms reflects a strong commitment to cooperative, science-based, and integrated ocean governance. These partnerships enhance Thailand’s technical capacity, regional leadership, and contribution to sustainable marine and coastal management in the South China Sea and the wider Indo-Pacific region (</w:t>
      </w:r>
      <w:r w:rsidRPr="00A444A6">
        <w:rPr>
          <w:color w:val="EE0000"/>
          <w:sz w:val="24"/>
          <w:szCs w:val="24"/>
        </w:rPr>
        <w:t>see Annex 8).</w:t>
      </w:r>
    </w:p>
    <w:p w14:paraId="7CD6234F" w14:textId="77777777" w:rsidR="00F77A8C" w:rsidRPr="00A444A6" w:rsidRDefault="00F77A8C" w:rsidP="00F77A8C">
      <w:pPr>
        <w:jc w:val="thaiDistribute"/>
        <w:rPr>
          <w:b/>
          <w:bCs/>
          <w:color w:val="000000" w:themeColor="text1"/>
          <w:sz w:val="24"/>
          <w:szCs w:val="24"/>
        </w:rPr>
      </w:pPr>
    </w:p>
    <w:p w14:paraId="3E158356" w14:textId="77777777" w:rsidR="00F77A8C" w:rsidRPr="00A444A6" w:rsidRDefault="00F77A8C" w:rsidP="00F77A8C">
      <w:pPr>
        <w:jc w:val="thaiDistribute"/>
        <w:rPr>
          <w:b/>
          <w:bCs/>
          <w:sz w:val="24"/>
          <w:szCs w:val="24"/>
        </w:rPr>
      </w:pPr>
      <w:bookmarkStart w:id="28" w:name="_Hlk213680748"/>
      <w:bookmarkEnd w:id="25"/>
      <w:r w:rsidRPr="00A444A6">
        <w:rPr>
          <w:b/>
          <w:bCs/>
          <w:sz w:val="24"/>
          <w:szCs w:val="24"/>
        </w:rPr>
        <w:t xml:space="preserve">6.2.3 Legal and Policy Setting </w:t>
      </w:r>
    </w:p>
    <w:p w14:paraId="5A5C5AD3" w14:textId="77777777" w:rsidR="00F77A8C" w:rsidRPr="00A444A6" w:rsidRDefault="00F77A8C" w:rsidP="00F77A8C">
      <w:pPr>
        <w:jc w:val="thaiDistribute"/>
        <w:rPr>
          <w:b/>
          <w:bCs/>
          <w:color w:val="0070C0"/>
          <w:sz w:val="24"/>
          <w:szCs w:val="24"/>
        </w:rPr>
      </w:pPr>
    </w:p>
    <w:p w14:paraId="24152FAA" w14:textId="77777777" w:rsidR="00F77A8C" w:rsidRPr="00A444A6" w:rsidRDefault="00F77A8C" w:rsidP="00F77A8C">
      <w:pPr>
        <w:jc w:val="thaiDistribute"/>
        <w:rPr>
          <w:sz w:val="24"/>
          <w:szCs w:val="24"/>
        </w:rPr>
      </w:pPr>
      <w:r w:rsidRPr="00A444A6">
        <w:rPr>
          <w:sz w:val="24"/>
          <w:szCs w:val="24"/>
        </w:rPr>
        <w:t>Thailand’s marine and coastal governance is underpinned by a comprehensive legal and policy framework that integrates international obligations, regional cooperation, and national implementation. These instruments define mandates, principles, and mechanisms for addressing key challenges such as biodiversity conservation, marine pollution, climate change, and sustainable resource use. Thailand’s frameworks are closely aligned with global commitments, including the 2030 Agenda for Sustainable Development, the Kunming–Montreal Global Biodiversity Framework (GBF), and the UN Decade of Ocean Science for Sustainable Development (2021–2030).</w:t>
      </w:r>
    </w:p>
    <w:p w14:paraId="5BD24C85" w14:textId="77777777" w:rsidR="00F77A8C" w:rsidRPr="00A444A6" w:rsidRDefault="00F77A8C" w:rsidP="00F77A8C">
      <w:pPr>
        <w:jc w:val="thaiDistribute"/>
        <w:rPr>
          <w:b/>
          <w:bCs/>
          <w:strike/>
          <w:sz w:val="24"/>
          <w:szCs w:val="24"/>
        </w:rPr>
      </w:pPr>
    </w:p>
    <w:p w14:paraId="2DCE7A43" w14:textId="77777777" w:rsidR="00F77A8C" w:rsidRPr="00A444A6" w:rsidRDefault="00F77A8C" w:rsidP="00F77A8C">
      <w:pPr>
        <w:jc w:val="thaiDistribute"/>
        <w:rPr>
          <w:b/>
          <w:bCs/>
          <w:sz w:val="24"/>
          <w:szCs w:val="24"/>
        </w:rPr>
      </w:pPr>
      <w:r w:rsidRPr="00A444A6">
        <w:rPr>
          <w:b/>
          <w:bCs/>
          <w:sz w:val="24"/>
          <w:szCs w:val="24"/>
        </w:rPr>
        <w:t>6.2.3.1 International Legal and Policy Frameworks</w:t>
      </w:r>
    </w:p>
    <w:p w14:paraId="65351E0D" w14:textId="77777777" w:rsidR="00F77A8C" w:rsidRPr="00A444A6" w:rsidRDefault="00F77A8C" w:rsidP="00F77A8C">
      <w:pPr>
        <w:jc w:val="thaiDistribute"/>
        <w:rPr>
          <w:b/>
          <w:bCs/>
          <w:i/>
          <w:iCs/>
          <w:sz w:val="24"/>
          <w:szCs w:val="24"/>
        </w:rPr>
      </w:pPr>
    </w:p>
    <w:p w14:paraId="41CEBE07" w14:textId="77777777" w:rsidR="00F77A8C" w:rsidRPr="00A444A6" w:rsidRDefault="00F77A8C" w:rsidP="00F77A8C">
      <w:pPr>
        <w:jc w:val="thaiDistribute"/>
        <w:rPr>
          <w:sz w:val="24"/>
          <w:szCs w:val="24"/>
        </w:rPr>
      </w:pPr>
      <w:r w:rsidRPr="00A444A6">
        <w:rPr>
          <w:sz w:val="24"/>
          <w:szCs w:val="24"/>
        </w:rPr>
        <w:t>Thailand is Party to major international conventions governing biodiversity, pollution, and climate change (</w:t>
      </w:r>
      <w:r w:rsidRPr="00A444A6">
        <w:rPr>
          <w:color w:val="EE0000"/>
          <w:sz w:val="24"/>
          <w:szCs w:val="24"/>
        </w:rPr>
        <w:t>Annex 9</w:t>
      </w:r>
      <w:r w:rsidRPr="00A444A6">
        <w:rPr>
          <w:sz w:val="24"/>
          <w:szCs w:val="24"/>
        </w:rPr>
        <w:t>). Biodiversity governance is guided by the Convention on Biological Diversity (CBD) and the GBF, including the 30x30 marine protection target. Additional instruments include the Ramsar Convention, CITES, the World Heritage Convention, and the Convention on Migratory Species (CMS), supporting protection of wetlands, endangered species, and migratory marine fauna.</w:t>
      </w:r>
    </w:p>
    <w:p w14:paraId="335CDC33" w14:textId="77777777" w:rsidR="00F77A8C" w:rsidRPr="00A444A6" w:rsidRDefault="00F77A8C" w:rsidP="00F77A8C">
      <w:pPr>
        <w:jc w:val="thaiDistribute"/>
        <w:rPr>
          <w:sz w:val="24"/>
          <w:szCs w:val="24"/>
        </w:rPr>
      </w:pPr>
    </w:p>
    <w:p w14:paraId="0C785936" w14:textId="77777777" w:rsidR="00F77A8C" w:rsidRPr="00A444A6" w:rsidRDefault="00F77A8C" w:rsidP="00F77A8C">
      <w:pPr>
        <w:jc w:val="thaiDistribute"/>
        <w:rPr>
          <w:sz w:val="24"/>
          <w:szCs w:val="24"/>
        </w:rPr>
      </w:pPr>
      <w:r w:rsidRPr="00A444A6">
        <w:rPr>
          <w:sz w:val="24"/>
          <w:szCs w:val="24"/>
        </w:rPr>
        <w:t>Marine pollution and maritime governance are shaped by UNCLOS, MARPOL, the London Convention, Basel Convention, OPRC, Rotterdam Convention, and Stockholm Convention. Climate governance is guided by the UNFCCC, Kyoto Protocol, Paris Agreement, Montreal Protocol, and UNCCD, forming the basis for mitigation, adaptation, and ecosystem-based resilience in coastal systems. Thailand integrates these obligations into national laws and action plans.</w:t>
      </w:r>
    </w:p>
    <w:p w14:paraId="00032771" w14:textId="77777777" w:rsidR="00F77A8C" w:rsidRPr="00A444A6" w:rsidRDefault="00F77A8C" w:rsidP="00F77A8C">
      <w:pPr>
        <w:spacing w:before="120" w:after="120"/>
        <w:jc w:val="thaiDistribute"/>
        <w:rPr>
          <w:b/>
          <w:bCs/>
          <w:sz w:val="24"/>
          <w:szCs w:val="24"/>
        </w:rPr>
      </w:pPr>
      <w:r w:rsidRPr="00A444A6">
        <w:rPr>
          <w:b/>
          <w:bCs/>
          <w:sz w:val="24"/>
          <w:szCs w:val="24"/>
        </w:rPr>
        <w:t>6.2.3.2 Regional Legal Policy Frameworks and Forums</w:t>
      </w:r>
    </w:p>
    <w:p w14:paraId="140CBDB8" w14:textId="77777777" w:rsidR="00F77A8C" w:rsidRPr="00A444A6" w:rsidRDefault="00F77A8C" w:rsidP="00F77A8C">
      <w:pPr>
        <w:jc w:val="thaiDistribute"/>
        <w:rPr>
          <w:sz w:val="24"/>
          <w:szCs w:val="24"/>
        </w:rPr>
      </w:pPr>
    </w:p>
    <w:p w14:paraId="47D70101" w14:textId="77777777" w:rsidR="00F77A8C" w:rsidRPr="00A444A6" w:rsidRDefault="00F77A8C" w:rsidP="00F77A8C">
      <w:pPr>
        <w:jc w:val="thaiDistribute"/>
        <w:rPr>
          <w:sz w:val="24"/>
          <w:szCs w:val="24"/>
        </w:rPr>
      </w:pPr>
      <w:r w:rsidRPr="00A444A6">
        <w:rPr>
          <w:sz w:val="24"/>
          <w:szCs w:val="24"/>
        </w:rPr>
        <w:t>Thailand actively participates in regional cooperation mechanisms in the East Asian Seas and Indian Ocean regions (</w:t>
      </w:r>
      <w:r w:rsidRPr="00A444A6">
        <w:rPr>
          <w:color w:val="EE0000"/>
          <w:sz w:val="24"/>
          <w:szCs w:val="24"/>
        </w:rPr>
        <w:t>Annex 10</w:t>
      </w:r>
      <w:r w:rsidRPr="00A444A6">
        <w:rPr>
          <w:sz w:val="24"/>
          <w:szCs w:val="24"/>
        </w:rPr>
        <w:t>), strengthening transboundary governance and ecosystem-based management. Key platforms include PEMSEA for Integrated Coastal Management (ICM) and Marine Spatial Planning (MSP); ASEAN environmental agreements and working groups; and the Indian Ocean Tuna Commission (IOTC) for tuna fisheries management and IUU fishing control.</w:t>
      </w:r>
    </w:p>
    <w:p w14:paraId="1E4E5DC9" w14:textId="77777777" w:rsidR="00F77A8C" w:rsidRPr="00A444A6" w:rsidRDefault="00F77A8C" w:rsidP="00F77A8C">
      <w:pPr>
        <w:jc w:val="thaiDistribute"/>
        <w:rPr>
          <w:sz w:val="24"/>
          <w:szCs w:val="24"/>
        </w:rPr>
      </w:pPr>
    </w:p>
    <w:p w14:paraId="3F70AC94" w14:textId="77777777" w:rsidR="00F77A8C" w:rsidRPr="00A444A6" w:rsidRDefault="00F77A8C" w:rsidP="00F77A8C">
      <w:pPr>
        <w:jc w:val="thaiDistribute"/>
        <w:rPr>
          <w:sz w:val="24"/>
          <w:szCs w:val="24"/>
        </w:rPr>
      </w:pPr>
      <w:r w:rsidRPr="00A444A6">
        <w:rPr>
          <w:sz w:val="24"/>
          <w:szCs w:val="24"/>
        </w:rPr>
        <w:t>Thailand also engages in the ASEAN Agreement on the Conservation of Nature and Natural Resources and the Regional Plan of Action to Combat IUU Fishing (RPOA–IUU), enhancing regional coordination on monitoring, enforcement, and information exchange. Collectively, these regional frameworks reinforce Thailand’s commitment to cooperative and transboundary marine governance aligned with global sustainability goals.</w:t>
      </w:r>
    </w:p>
    <w:p w14:paraId="60998B52" w14:textId="77777777" w:rsidR="00F77A8C" w:rsidRPr="00A444A6" w:rsidRDefault="00F77A8C" w:rsidP="00F77A8C">
      <w:pPr>
        <w:jc w:val="thaiDistribute"/>
        <w:rPr>
          <w:b/>
          <w:bCs/>
          <w:sz w:val="24"/>
          <w:szCs w:val="24"/>
        </w:rPr>
      </w:pPr>
    </w:p>
    <w:p w14:paraId="7D82B5A8" w14:textId="77777777" w:rsidR="00F77A8C" w:rsidRPr="00A444A6" w:rsidRDefault="00F77A8C" w:rsidP="00F77A8C">
      <w:pPr>
        <w:jc w:val="thaiDistribute"/>
        <w:rPr>
          <w:b/>
          <w:bCs/>
          <w:sz w:val="24"/>
          <w:szCs w:val="24"/>
        </w:rPr>
      </w:pPr>
      <w:bookmarkStart w:id="29" w:name="_Hlk211521521"/>
      <w:r w:rsidRPr="00A444A6">
        <w:rPr>
          <w:b/>
          <w:bCs/>
          <w:sz w:val="24"/>
          <w:szCs w:val="24"/>
        </w:rPr>
        <w:t>6.2.3.3 National Policies and Strategies Relevant to Marine and Coastal Resources</w:t>
      </w:r>
    </w:p>
    <w:p w14:paraId="1A7FEB50" w14:textId="77777777" w:rsidR="00F77A8C" w:rsidRPr="00A444A6" w:rsidRDefault="00F77A8C" w:rsidP="00F77A8C">
      <w:pPr>
        <w:jc w:val="thaiDistribute"/>
        <w:rPr>
          <w:sz w:val="24"/>
          <w:szCs w:val="24"/>
        </w:rPr>
      </w:pPr>
      <w:r w:rsidRPr="00A444A6">
        <w:rPr>
          <w:sz w:val="24"/>
          <w:szCs w:val="24"/>
        </w:rPr>
        <w:t>Thailand has established a comprehensive legal and policy framework for the management, conservation, and sustainable use of its marine and coastal resources. These frameworks translate the country’s international and regional commitments into national implementation through laws, strategic plans, and coordinated action among multiple government agencies. Together, they provide the legal and institutional foundation for promoting ecosystem-based management, blue economy development, and climate-resilient coastal governance in the South China Sea (SCS) and the Gulf of Thailand.</w:t>
      </w:r>
    </w:p>
    <w:bookmarkEnd w:id="29"/>
    <w:p w14:paraId="38732A83" w14:textId="77777777" w:rsidR="00F77A8C" w:rsidRPr="00A444A6" w:rsidRDefault="00F77A8C" w:rsidP="00F77A8C">
      <w:pPr>
        <w:jc w:val="thaiDistribute"/>
        <w:rPr>
          <w:b/>
          <w:bCs/>
          <w:sz w:val="24"/>
          <w:szCs w:val="24"/>
        </w:rPr>
      </w:pPr>
    </w:p>
    <w:p w14:paraId="3532C440" w14:textId="77777777" w:rsidR="00F77A8C" w:rsidRPr="00A444A6" w:rsidRDefault="00F77A8C" w:rsidP="00F77A8C">
      <w:pPr>
        <w:jc w:val="thaiDistribute"/>
        <w:rPr>
          <w:b/>
          <w:bCs/>
          <w:sz w:val="24"/>
          <w:szCs w:val="24"/>
        </w:rPr>
      </w:pPr>
      <w:r w:rsidRPr="00A444A6">
        <w:rPr>
          <w:b/>
          <w:bCs/>
          <w:sz w:val="24"/>
          <w:szCs w:val="24"/>
        </w:rPr>
        <w:t xml:space="preserve"> a)  Key Legal Frameworks</w:t>
      </w:r>
    </w:p>
    <w:p w14:paraId="779F8ADC" w14:textId="77777777" w:rsidR="00F77A8C" w:rsidRPr="00A444A6" w:rsidRDefault="00F77A8C" w:rsidP="00F77A8C">
      <w:pPr>
        <w:jc w:val="thaiDistribute"/>
        <w:rPr>
          <w:sz w:val="24"/>
          <w:szCs w:val="24"/>
        </w:rPr>
      </w:pPr>
    </w:p>
    <w:p w14:paraId="3E9F224B" w14:textId="77777777" w:rsidR="00F77A8C" w:rsidRPr="00A444A6" w:rsidRDefault="00F77A8C" w:rsidP="00F77A8C">
      <w:pPr>
        <w:jc w:val="thaiDistribute"/>
        <w:rPr>
          <w:sz w:val="24"/>
          <w:szCs w:val="24"/>
        </w:rPr>
      </w:pPr>
      <w:r w:rsidRPr="00A444A6">
        <w:rPr>
          <w:sz w:val="24"/>
          <w:szCs w:val="24"/>
        </w:rPr>
        <w:t>Thailand’s marine and coastal governance is underpinned by a comprehensive legal framework emphasizing participatory management, biodiversity conservation, and sustainable resource use. Core legislation includes the Promotion of Marine and Coastal Resources Management Act (2015), which establishes national and provincial committees and provides the legal basis for marine and coastal protected areas; the Royal Ordinance on Fisheries (2015), which strengthens sustainable fisheries management and IUU fishing control; and the National Environmental Quality Promotion and Conservation Act (1992, amended 2018), which governs pollution control and Environmental Impact Assessment (EIA).</w:t>
      </w:r>
    </w:p>
    <w:p w14:paraId="79F36132" w14:textId="77777777" w:rsidR="00F77A8C" w:rsidRPr="00A444A6" w:rsidRDefault="00F77A8C" w:rsidP="00F77A8C">
      <w:pPr>
        <w:jc w:val="thaiDistribute"/>
        <w:rPr>
          <w:sz w:val="24"/>
          <w:szCs w:val="24"/>
        </w:rPr>
      </w:pPr>
    </w:p>
    <w:p w14:paraId="08E4C616" w14:textId="77777777" w:rsidR="00F77A8C" w:rsidRPr="00A444A6" w:rsidRDefault="00F77A8C" w:rsidP="00F77A8C">
      <w:pPr>
        <w:jc w:val="thaiDistribute"/>
        <w:rPr>
          <w:sz w:val="24"/>
          <w:szCs w:val="24"/>
        </w:rPr>
      </w:pPr>
      <w:r w:rsidRPr="00A444A6">
        <w:rPr>
          <w:sz w:val="24"/>
          <w:szCs w:val="24"/>
        </w:rPr>
        <w:t>Additional key laws include the Wildlife Preservation and Protection Act (2019), the National Park Act (2019), the Marine Interest Protection Act (2019), and the Protection and Promotion of Ethnic Groups’ Way of Life Act (2025). Two major draft laws—the Climate Change Act and the National Biodiversity Act—are currently under parliamentary consideration and are expected to significantly strengthen Thailand’s climate and biodiversity governance once enacted.</w:t>
      </w:r>
    </w:p>
    <w:p w14:paraId="4B8FE454" w14:textId="77777777" w:rsidR="00F77A8C" w:rsidRPr="00A444A6" w:rsidRDefault="00F77A8C" w:rsidP="00F77A8C">
      <w:pPr>
        <w:jc w:val="thaiDistribute"/>
        <w:rPr>
          <w:sz w:val="24"/>
          <w:szCs w:val="24"/>
        </w:rPr>
      </w:pPr>
    </w:p>
    <w:p w14:paraId="6A37360B" w14:textId="77777777" w:rsidR="00F77A8C" w:rsidRPr="00A444A6" w:rsidRDefault="00F77A8C" w:rsidP="00F77A8C">
      <w:pPr>
        <w:jc w:val="thaiDistribute"/>
        <w:rPr>
          <w:sz w:val="24"/>
          <w:szCs w:val="24"/>
        </w:rPr>
      </w:pPr>
      <w:r w:rsidRPr="00A444A6">
        <w:rPr>
          <w:sz w:val="24"/>
          <w:szCs w:val="24"/>
        </w:rPr>
        <w:t xml:space="preserve">These primary laws are supported by ministerial regulations, technical guidelines, and sector-specific legislation that operationalize standards for conservation, pollution control, and participatory management (see </w:t>
      </w:r>
      <w:r w:rsidRPr="00A444A6">
        <w:rPr>
          <w:color w:val="EE0000"/>
          <w:sz w:val="24"/>
          <w:szCs w:val="24"/>
        </w:rPr>
        <w:t>Annex 11</w:t>
      </w:r>
      <w:r w:rsidRPr="00A444A6">
        <w:rPr>
          <w:sz w:val="24"/>
          <w:szCs w:val="24"/>
        </w:rPr>
        <w:t>).</w:t>
      </w:r>
    </w:p>
    <w:p w14:paraId="6321216E" w14:textId="77777777" w:rsidR="00F77A8C" w:rsidRPr="00A444A6" w:rsidRDefault="00F77A8C" w:rsidP="00F77A8C">
      <w:pPr>
        <w:rPr>
          <w:sz w:val="24"/>
          <w:szCs w:val="24"/>
        </w:rPr>
      </w:pPr>
    </w:p>
    <w:p w14:paraId="090C6636" w14:textId="77777777" w:rsidR="00F77A8C" w:rsidRPr="00A444A6" w:rsidRDefault="00F77A8C" w:rsidP="00F77A8C">
      <w:pPr>
        <w:rPr>
          <w:b/>
          <w:bCs/>
          <w:sz w:val="24"/>
          <w:szCs w:val="24"/>
        </w:rPr>
      </w:pPr>
      <w:r w:rsidRPr="00A444A6">
        <w:rPr>
          <w:b/>
          <w:bCs/>
          <w:sz w:val="24"/>
          <w:szCs w:val="24"/>
        </w:rPr>
        <w:t>b)  National Policy Frameworks and Strategic Plans</w:t>
      </w:r>
    </w:p>
    <w:p w14:paraId="3BB9D2A6" w14:textId="77777777" w:rsidR="00F77A8C" w:rsidRPr="00A444A6" w:rsidRDefault="00F77A8C" w:rsidP="00F77A8C">
      <w:pPr>
        <w:rPr>
          <w:sz w:val="24"/>
          <w:szCs w:val="24"/>
        </w:rPr>
      </w:pPr>
    </w:p>
    <w:p w14:paraId="62D30A83" w14:textId="77777777" w:rsidR="00F77A8C" w:rsidRPr="00A444A6" w:rsidRDefault="00F77A8C" w:rsidP="00F77A8C">
      <w:pPr>
        <w:jc w:val="thaiDistribute"/>
        <w:rPr>
          <w:sz w:val="24"/>
          <w:szCs w:val="24"/>
        </w:rPr>
      </w:pPr>
      <w:r w:rsidRPr="00A444A6">
        <w:rPr>
          <w:sz w:val="24"/>
          <w:szCs w:val="24"/>
        </w:rPr>
        <w:t>Thailand’s marine and coastal governance is guided by integrated national strategies aligned with the Sufficiency Economy Philosophy (SEP) and international sustainability commitments (</w:t>
      </w:r>
      <w:r w:rsidRPr="00A444A6">
        <w:rPr>
          <w:color w:val="EE0000"/>
          <w:sz w:val="24"/>
          <w:szCs w:val="24"/>
        </w:rPr>
        <w:t>Annex 1</w:t>
      </w:r>
      <w:r w:rsidRPr="00A444A6">
        <w:rPr>
          <w:sz w:val="24"/>
          <w:szCs w:val="24"/>
        </w:rPr>
        <w:t xml:space="preserve">2). Key frameworks include the 20-Year National Strategy, the 13th National Economic and Social Development Plan, the National Environmental Quality Management Plan, the Climate Change Master Plan and National Adaptation Plan, the National Biodiversity Strategies (NBSAP and Long-term </w:t>
      </w:r>
      <w:r w:rsidRPr="00A444A6">
        <w:rPr>
          <w:sz w:val="24"/>
          <w:szCs w:val="24"/>
        </w:rPr>
        <w:lastRenderedPageBreak/>
        <w:t>Biodiversity Strategy), and the National Marine and Coastal Resources Management Policy and Plan. Together, these policies establish the foundation for biodiversity conservation, blue economy development, and climate-resilient coastal governance.</w:t>
      </w:r>
    </w:p>
    <w:p w14:paraId="5547261F" w14:textId="77777777" w:rsidR="00F77A8C" w:rsidRPr="00A444A6" w:rsidRDefault="00F77A8C" w:rsidP="00F77A8C">
      <w:pPr>
        <w:rPr>
          <w:sz w:val="24"/>
          <w:szCs w:val="24"/>
        </w:rPr>
      </w:pPr>
    </w:p>
    <w:p w14:paraId="258E47A2" w14:textId="77777777" w:rsidR="00F77A8C" w:rsidRPr="00A444A6" w:rsidRDefault="00F77A8C" w:rsidP="00F77A8C">
      <w:pPr>
        <w:rPr>
          <w:b/>
          <w:bCs/>
          <w:sz w:val="24"/>
          <w:szCs w:val="24"/>
        </w:rPr>
      </w:pPr>
      <w:r w:rsidRPr="00A444A6">
        <w:rPr>
          <w:b/>
          <w:bCs/>
          <w:sz w:val="24"/>
          <w:szCs w:val="24"/>
        </w:rPr>
        <w:t>c)  Sectoral Policies and Implementation Mechanisms</w:t>
      </w:r>
    </w:p>
    <w:p w14:paraId="5E5ED98E" w14:textId="77777777" w:rsidR="00F77A8C" w:rsidRPr="00A444A6" w:rsidRDefault="00F77A8C" w:rsidP="00F77A8C">
      <w:pPr>
        <w:rPr>
          <w:sz w:val="24"/>
          <w:szCs w:val="24"/>
        </w:rPr>
      </w:pPr>
    </w:p>
    <w:p w14:paraId="77CD1644" w14:textId="77777777" w:rsidR="00F77A8C" w:rsidRPr="00A444A6" w:rsidRDefault="00F77A8C" w:rsidP="00F77A8C">
      <w:pPr>
        <w:jc w:val="thaiDistribute"/>
        <w:rPr>
          <w:sz w:val="24"/>
          <w:szCs w:val="24"/>
        </w:rPr>
      </w:pPr>
      <w:r w:rsidRPr="00A444A6">
        <w:rPr>
          <w:sz w:val="24"/>
          <w:szCs w:val="24"/>
        </w:rPr>
        <w:t>Sectoral plans translate national strategies into operational action (</w:t>
      </w:r>
      <w:r w:rsidRPr="00A444A6">
        <w:rPr>
          <w:color w:val="EE0000"/>
          <w:sz w:val="24"/>
          <w:szCs w:val="24"/>
        </w:rPr>
        <w:t xml:space="preserve">Annex </w:t>
      </w:r>
      <w:r w:rsidRPr="00A444A6">
        <w:rPr>
          <w:sz w:val="24"/>
          <w:szCs w:val="24"/>
        </w:rPr>
        <w:t>13). Key instruments include the Marine Spatial Planning (MSP) Framework (2023), the National and Marine Debris Management Plans (updated 2023), the Biodiversity Master Plan (2023–2027), and the Coastal Erosion Prevention and Management Master Plan (2023–2037). These frameworks support ecosystem-based management, pollution control, habitat restoration, climate adaptation, and cross-sectoral coordination in marine and coastal areas.</w:t>
      </w:r>
    </w:p>
    <w:p w14:paraId="11DC2E4F" w14:textId="77777777" w:rsidR="00F77A8C" w:rsidRPr="00A444A6" w:rsidRDefault="00F77A8C" w:rsidP="00F77A8C">
      <w:pPr>
        <w:rPr>
          <w:b/>
          <w:bCs/>
          <w:sz w:val="24"/>
          <w:szCs w:val="24"/>
        </w:rPr>
      </w:pPr>
    </w:p>
    <w:p w14:paraId="46E94D10" w14:textId="77777777" w:rsidR="00F77A8C" w:rsidRPr="00A444A6" w:rsidRDefault="00F77A8C" w:rsidP="00F77A8C">
      <w:pPr>
        <w:jc w:val="thaiDistribute"/>
        <w:rPr>
          <w:b/>
          <w:bCs/>
          <w:sz w:val="24"/>
          <w:szCs w:val="24"/>
        </w:rPr>
      </w:pPr>
      <w:bookmarkStart w:id="30" w:name="_Hlk213687526"/>
      <w:bookmarkEnd w:id="28"/>
      <w:r w:rsidRPr="00A444A6">
        <w:rPr>
          <w:b/>
          <w:bCs/>
          <w:sz w:val="24"/>
          <w:szCs w:val="24"/>
        </w:rPr>
        <w:t xml:space="preserve">6.2.4. Civil Society and Participation </w:t>
      </w:r>
    </w:p>
    <w:p w14:paraId="7F3E39C6" w14:textId="77777777" w:rsidR="00F77A8C" w:rsidRPr="00A444A6" w:rsidRDefault="00F77A8C" w:rsidP="00F77A8C">
      <w:pPr>
        <w:jc w:val="thaiDistribute"/>
        <w:rPr>
          <w:sz w:val="24"/>
          <w:szCs w:val="24"/>
        </w:rPr>
      </w:pPr>
    </w:p>
    <w:p w14:paraId="113B4E67" w14:textId="77777777" w:rsidR="00F77A8C" w:rsidRPr="00A444A6" w:rsidRDefault="00F77A8C" w:rsidP="00F77A8C">
      <w:pPr>
        <w:jc w:val="thaiDistribute"/>
        <w:rPr>
          <w:sz w:val="24"/>
          <w:szCs w:val="24"/>
        </w:rPr>
      </w:pPr>
      <w:r w:rsidRPr="00A444A6">
        <w:rPr>
          <w:sz w:val="24"/>
          <w:szCs w:val="24"/>
        </w:rPr>
        <w:t>Civil society organizations (CSOs), local communities, the private sector, and academic institutions play an important supporting role in Thailand’s marine and coastal governance by contributing to policy implementation, community-based conservation, scientific research, and public awareness. Their engagement strengthens local stewardship, promotes co-management, and enhances governance integration and resilience across coastal areas of the Gulf of Thailand. Participatory and collaborative mechanisms—including community networks, research partnerships, and public–private initiatives—are key channels through which shared responsibility and inclusive governance are advanced at the local level. International engagement mechanisms are addressed separately in Section 6.2.2.2.</w:t>
      </w:r>
    </w:p>
    <w:p w14:paraId="2B3B876E" w14:textId="77777777" w:rsidR="00F77A8C" w:rsidRPr="00A444A6" w:rsidRDefault="00F77A8C" w:rsidP="00F77A8C">
      <w:pPr>
        <w:jc w:val="thaiDistribute"/>
        <w:rPr>
          <w:sz w:val="24"/>
          <w:szCs w:val="24"/>
        </w:rPr>
      </w:pPr>
    </w:p>
    <w:p w14:paraId="25C761C7" w14:textId="77777777" w:rsidR="00F77A8C" w:rsidRPr="00A444A6" w:rsidRDefault="00F77A8C" w:rsidP="00F77A8C">
      <w:pPr>
        <w:jc w:val="thaiDistribute"/>
        <w:rPr>
          <w:b/>
          <w:bCs/>
          <w:sz w:val="24"/>
          <w:szCs w:val="24"/>
        </w:rPr>
      </w:pPr>
      <w:r w:rsidRPr="00A444A6">
        <w:rPr>
          <w:b/>
          <w:bCs/>
          <w:sz w:val="24"/>
          <w:szCs w:val="24"/>
        </w:rPr>
        <w:t>6.2.4.1 Key Civil Society and Non-Governmental Organizations (NGOs) in Thailand</w:t>
      </w:r>
    </w:p>
    <w:p w14:paraId="6CFEC876" w14:textId="77777777" w:rsidR="00F77A8C" w:rsidRPr="00A444A6" w:rsidRDefault="00F77A8C" w:rsidP="00F77A8C">
      <w:pPr>
        <w:spacing w:before="120" w:after="120"/>
        <w:jc w:val="thaiDistribute"/>
        <w:rPr>
          <w:sz w:val="24"/>
          <w:szCs w:val="24"/>
        </w:rPr>
      </w:pPr>
      <w:r w:rsidRPr="00A444A6">
        <w:rPr>
          <w:sz w:val="24"/>
          <w:szCs w:val="24"/>
        </w:rPr>
        <w:t>Thailand hosts a diverse network of national NGOs, community organizations, and academic institutions active in marine conservation, sustainable livelihoods, and environmental governance, including the Marine Science Association of Thailand, the Seub Nakhasathien Foundation, the Environmental Litigation and Advocacy for the Wants (EnLAW) Foundation, the Sustainable Development Foundation (SDF), and the Raks Thai Foundation. Major universities such as Prince of Songkla University, Mahidol University, Kasetsart University, Ramkhamhaeng University, and Burapha University contribute scientific research, monitoring, and policy-relevant knowledge. Together, these actors form an essential bridge between national policy frameworks and local-level implementation.</w:t>
      </w:r>
    </w:p>
    <w:p w14:paraId="055D476A" w14:textId="77777777" w:rsidR="00F77A8C" w:rsidRPr="00A444A6" w:rsidRDefault="00F77A8C" w:rsidP="00F77A8C">
      <w:pPr>
        <w:jc w:val="thaiDistribute"/>
        <w:rPr>
          <w:b/>
          <w:bCs/>
          <w:sz w:val="24"/>
          <w:szCs w:val="24"/>
        </w:rPr>
      </w:pPr>
      <w:r w:rsidRPr="00A444A6">
        <w:rPr>
          <w:b/>
          <w:bCs/>
          <w:sz w:val="24"/>
          <w:szCs w:val="24"/>
        </w:rPr>
        <w:t>6.2.4.2 Legal Basis for Public Participation</w:t>
      </w:r>
    </w:p>
    <w:p w14:paraId="66895A3D" w14:textId="77777777" w:rsidR="00F77A8C" w:rsidRPr="00A444A6" w:rsidRDefault="00F77A8C" w:rsidP="00F77A8C">
      <w:pPr>
        <w:jc w:val="thaiDistribute"/>
        <w:rPr>
          <w:sz w:val="24"/>
          <w:szCs w:val="24"/>
        </w:rPr>
      </w:pPr>
    </w:p>
    <w:p w14:paraId="3E57C0DC" w14:textId="77777777" w:rsidR="00F77A8C" w:rsidRPr="00A444A6" w:rsidRDefault="00F77A8C" w:rsidP="00F77A8C">
      <w:pPr>
        <w:jc w:val="thaiDistribute"/>
        <w:rPr>
          <w:sz w:val="24"/>
          <w:szCs w:val="24"/>
        </w:rPr>
      </w:pPr>
      <w:r w:rsidRPr="00A444A6">
        <w:rPr>
          <w:sz w:val="24"/>
          <w:szCs w:val="24"/>
        </w:rPr>
        <w:t>Thailand has a strong legal foundation for public participation in marine and coastal resource management. The Promotion of Marine and Coastal Resources Management Act (2015) and the Royal Ordinance on Fisheries (2015) mandate participatory committees, co-management arrangements, and community-based fisheries management. Complementary laws—including the Official Information Act, the National Environmental Quality Act, and decentralization legislation—further guarantee access to information, participation in EIAs, and local government authority in environmental management.</w:t>
      </w:r>
    </w:p>
    <w:p w14:paraId="478E8493" w14:textId="77777777" w:rsidR="00F77A8C" w:rsidRPr="00A444A6" w:rsidRDefault="00F77A8C" w:rsidP="00F77A8C">
      <w:pPr>
        <w:jc w:val="thaiDistribute"/>
        <w:rPr>
          <w:sz w:val="24"/>
          <w:szCs w:val="24"/>
        </w:rPr>
      </w:pPr>
    </w:p>
    <w:p w14:paraId="4180CE46" w14:textId="77777777" w:rsidR="00F77A8C" w:rsidRPr="00A444A6" w:rsidRDefault="00F77A8C" w:rsidP="00F77A8C">
      <w:pPr>
        <w:jc w:val="thaiDistribute"/>
        <w:rPr>
          <w:sz w:val="24"/>
          <w:szCs w:val="24"/>
        </w:rPr>
      </w:pPr>
      <w:r w:rsidRPr="00A444A6">
        <w:rPr>
          <w:sz w:val="24"/>
          <w:szCs w:val="24"/>
        </w:rPr>
        <w:t>However, empirical studies indicate that the effectiveness of these participatory mechanisms remains uneven. Provincial coordination is often weak, participation can be reactive, and representation of women and small-scale fishers remains limited in some areas (Satumanatpan et al., 2018; 2024).</w:t>
      </w:r>
    </w:p>
    <w:p w14:paraId="0576293A" w14:textId="77777777" w:rsidR="00F77A8C" w:rsidRPr="00A444A6" w:rsidRDefault="00F77A8C" w:rsidP="00F77A8C">
      <w:pPr>
        <w:jc w:val="thaiDistribute"/>
        <w:rPr>
          <w:sz w:val="24"/>
          <w:szCs w:val="24"/>
        </w:rPr>
      </w:pPr>
    </w:p>
    <w:p w14:paraId="211848B9" w14:textId="77777777" w:rsidR="00F77A8C" w:rsidRPr="00A444A6" w:rsidRDefault="00F77A8C" w:rsidP="00F77A8C">
      <w:pPr>
        <w:spacing w:before="120" w:after="120"/>
        <w:jc w:val="thaiDistribute"/>
        <w:rPr>
          <w:b/>
          <w:bCs/>
          <w:sz w:val="24"/>
          <w:szCs w:val="24"/>
        </w:rPr>
      </w:pPr>
      <w:r w:rsidRPr="00A444A6">
        <w:rPr>
          <w:b/>
          <w:bCs/>
          <w:sz w:val="24"/>
          <w:szCs w:val="24"/>
        </w:rPr>
        <w:t>6.2.4.3 Co-management and Participatory Mechanisms</w:t>
      </w:r>
    </w:p>
    <w:p w14:paraId="3BAAB2F4" w14:textId="77777777" w:rsidR="00F77A8C" w:rsidRPr="00A444A6" w:rsidRDefault="00F77A8C" w:rsidP="00F77A8C">
      <w:pPr>
        <w:jc w:val="thaiDistribute"/>
        <w:rPr>
          <w:sz w:val="24"/>
          <w:szCs w:val="24"/>
        </w:rPr>
      </w:pPr>
      <w:r w:rsidRPr="00A444A6">
        <w:rPr>
          <w:sz w:val="24"/>
          <w:szCs w:val="24"/>
        </w:rPr>
        <w:t xml:space="preserve">Thailand has progressively expanded co-management through provincial marine and coastal committees, community-based conservation networks, and participatory monitoring programs. These mechanisms support mangrove conservation, fisheries management, MPAs, and marine biodiversity monitoring. Public–private partnerships and CSR initiatives increasingly supplement government efforts and financing for conservation. </w:t>
      </w:r>
    </w:p>
    <w:p w14:paraId="1EA01B00" w14:textId="77777777" w:rsidR="00F77A8C" w:rsidRPr="00A444A6" w:rsidRDefault="00F77A8C" w:rsidP="00F77A8C">
      <w:pPr>
        <w:jc w:val="thaiDistribute"/>
        <w:rPr>
          <w:sz w:val="24"/>
          <w:szCs w:val="24"/>
        </w:rPr>
      </w:pPr>
    </w:p>
    <w:p w14:paraId="7F38991A" w14:textId="77777777" w:rsidR="00F77A8C" w:rsidRPr="00A444A6" w:rsidRDefault="00F77A8C" w:rsidP="00F77A8C">
      <w:pPr>
        <w:jc w:val="thaiDistribute"/>
        <w:rPr>
          <w:sz w:val="24"/>
          <w:szCs w:val="24"/>
        </w:rPr>
      </w:pPr>
      <w:r w:rsidRPr="00A444A6">
        <w:rPr>
          <w:sz w:val="24"/>
          <w:szCs w:val="24"/>
        </w:rPr>
        <w:t>Overall, Thailand has established formal structures and practical mechanisms for participation and co-management. While these frameworks represent a major strength of the governance system, their effectiveness is constrained by coordination gaps, uneven capacity, and inclusiveness challenges. Continued institutional strengthening, capacity building, and long-term financial support are required to ensure that participation translates into sustained conservation and livelihood outcomes.</w:t>
      </w:r>
    </w:p>
    <w:p w14:paraId="39566CF0" w14:textId="77777777" w:rsidR="00F77A8C" w:rsidRPr="00A444A6" w:rsidRDefault="00F77A8C" w:rsidP="00F77A8C">
      <w:pPr>
        <w:jc w:val="thaiDistribute"/>
        <w:rPr>
          <w:sz w:val="24"/>
          <w:szCs w:val="24"/>
        </w:rPr>
      </w:pPr>
    </w:p>
    <w:p w14:paraId="439DFBA5" w14:textId="77777777" w:rsidR="00F77A8C" w:rsidRPr="00A444A6" w:rsidRDefault="00F77A8C" w:rsidP="00F77A8C">
      <w:pPr>
        <w:jc w:val="thaiDistribute"/>
        <w:rPr>
          <w:b/>
          <w:bCs/>
          <w:sz w:val="24"/>
          <w:szCs w:val="24"/>
        </w:rPr>
      </w:pPr>
      <w:bookmarkStart w:id="31" w:name="_Hlk214193275"/>
      <w:bookmarkEnd w:id="30"/>
      <w:r w:rsidRPr="00A444A6">
        <w:rPr>
          <w:b/>
          <w:bCs/>
          <w:sz w:val="24"/>
          <w:szCs w:val="24"/>
        </w:rPr>
        <w:t>6.2.5 Governance performance and effectiveness</w:t>
      </w:r>
    </w:p>
    <w:p w14:paraId="1ECBB539" w14:textId="77777777" w:rsidR="00F77A8C" w:rsidRPr="00A444A6" w:rsidRDefault="00F77A8C" w:rsidP="00F77A8C">
      <w:pPr>
        <w:jc w:val="thaiDistribute"/>
        <w:rPr>
          <w:b/>
          <w:bCs/>
          <w:sz w:val="24"/>
          <w:szCs w:val="24"/>
          <w:lang w:val="en-PH"/>
        </w:rPr>
      </w:pPr>
    </w:p>
    <w:bookmarkEnd w:id="31"/>
    <w:p w14:paraId="07F3FBBD" w14:textId="77777777" w:rsidR="00F77A8C" w:rsidRPr="00A444A6" w:rsidRDefault="00F77A8C" w:rsidP="00F77A8C">
      <w:pPr>
        <w:spacing w:after="160" w:line="259" w:lineRule="auto"/>
        <w:jc w:val="thaiDistribute"/>
        <w:rPr>
          <w:color w:val="000000" w:themeColor="text1"/>
          <w:sz w:val="24"/>
          <w:szCs w:val="24"/>
        </w:rPr>
      </w:pPr>
      <w:r w:rsidRPr="00A444A6">
        <w:rPr>
          <w:color w:val="000000" w:themeColor="text1"/>
          <w:sz w:val="24"/>
          <w:szCs w:val="24"/>
        </w:rPr>
        <w:t>Over the past 15 years, Thailand has established a relatively strong legal, policy, and institutional foundation for marine and coastal governance, with a clear shift from fragmented, sector-based management toward more integrated approaches (Satumanatpan et al., 2018). The Promotion of Marine and Coastal Resources Management Act (2015) marked a major institutional advance by creating formal national and provincial committees for coordination, planning, and annual reporting by the Department of Marine and Coastal Resources (DMCR).</w:t>
      </w:r>
    </w:p>
    <w:p w14:paraId="360D45B2" w14:textId="77777777" w:rsidR="00F77A8C" w:rsidRPr="00A444A6" w:rsidRDefault="00F77A8C" w:rsidP="00F77A8C">
      <w:pPr>
        <w:spacing w:after="160" w:line="259" w:lineRule="auto"/>
        <w:jc w:val="thaiDistribute"/>
        <w:rPr>
          <w:color w:val="000000" w:themeColor="text1"/>
          <w:sz w:val="24"/>
          <w:szCs w:val="24"/>
        </w:rPr>
      </w:pPr>
      <w:r w:rsidRPr="00A444A6">
        <w:rPr>
          <w:color w:val="000000" w:themeColor="text1"/>
          <w:sz w:val="24"/>
          <w:szCs w:val="24"/>
        </w:rPr>
        <w:t>Despite this progress, several structural weaknesses persist. Inter-ministerial coordination at the national level remains largely procedural, with overlapping mandates and regulatory inefficiencies continuing to constrain implementation (Satumanatpan, NEA 2025). While ecosystem-based management (EBM), climate adaptation, and disaster risk reduction are increasingly reflected in policy frameworks, their effectiveness depends on data quality, institutional capacity, and the extent to which monitoring results inform adaptive management.</w:t>
      </w:r>
    </w:p>
    <w:p w14:paraId="363794CE" w14:textId="77777777" w:rsidR="00F77A8C" w:rsidRPr="00A444A6" w:rsidRDefault="00F77A8C" w:rsidP="00F77A8C">
      <w:pPr>
        <w:spacing w:after="160" w:line="259" w:lineRule="auto"/>
        <w:jc w:val="thaiDistribute"/>
        <w:rPr>
          <w:b/>
          <w:bCs/>
          <w:color w:val="000000" w:themeColor="text1"/>
          <w:sz w:val="24"/>
          <w:szCs w:val="24"/>
        </w:rPr>
      </w:pPr>
      <w:r w:rsidRPr="00A444A6">
        <w:rPr>
          <w:b/>
          <w:bCs/>
          <w:color w:val="000000" w:themeColor="text1"/>
          <w:sz w:val="24"/>
          <w:szCs w:val="24"/>
        </w:rPr>
        <w:t>Monitoring, Evaluation, and Policy Cycle</w:t>
      </w:r>
    </w:p>
    <w:p w14:paraId="0D548632" w14:textId="77777777" w:rsidR="00F77A8C" w:rsidRPr="00A444A6" w:rsidRDefault="00F77A8C" w:rsidP="00F77A8C">
      <w:pPr>
        <w:spacing w:after="160" w:line="259" w:lineRule="auto"/>
        <w:jc w:val="thaiDistribute"/>
        <w:rPr>
          <w:color w:val="000000" w:themeColor="text1"/>
          <w:sz w:val="24"/>
          <w:szCs w:val="24"/>
        </w:rPr>
      </w:pPr>
      <w:r w:rsidRPr="00A444A6">
        <w:rPr>
          <w:color w:val="000000" w:themeColor="text1"/>
          <w:sz w:val="24"/>
          <w:szCs w:val="24"/>
        </w:rPr>
        <w:t>DMCR conducts long-term monitoring of coral reefs, mangroves, and seagrass, generating valuable biophysical time-series data. However, current indicators focus mainly on habitat condition (e.g., live coral cover) and remain weak in assessing ecosystem services and socio-economic outcomes such as fisheries productivity, shoreline protection, tourism, and community well-being (National Trialogue Workshop, 2025). Stronger integration of ecological, economic, and social indicators is needed to support adaptive governance.</w:t>
      </w:r>
    </w:p>
    <w:p w14:paraId="7EACDA17" w14:textId="77777777" w:rsidR="00F77A8C" w:rsidRPr="00A444A6" w:rsidRDefault="00F77A8C" w:rsidP="00F77A8C">
      <w:pPr>
        <w:spacing w:after="160" w:line="259" w:lineRule="auto"/>
        <w:jc w:val="thaiDistribute"/>
        <w:rPr>
          <w:b/>
          <w:bCs/>
          <w:color w:val="000000" w:themeColor="text1"/>
          <w:sz w:val="24"/>
          <w:szCs w:val="24"/>
        </w:rPr>
      </w:pPr>
      <w:r w:rsidRPr="00A444A6">
        <w:rPr>
          <w:b/>
          <w:bCs/>
          <w:color w:val="000000" w:themeColor="text1"/>
          <w:sz w:val="24"/>
          <w:szCs w:val="24"/>
        </w:rPr>
        <w:lastRenderedPageBreak/>
        <w:t>Participation, Coordination, and Stakeholder Engagement</w:t>
      </w:r>
    </w:p>
    <w:p w14:paraId="4837B1D2" w14:textId="77777777" w:rsidR="00F77A8C" w:rsidRPr="00A444A6" w:rsidRDefault="00F77A8C" w:rsidP="00F77A8C">
      <w:pPr>
        <w:spacing w:after="160" w:line="259" w:lineRule="auto"/>
        <w:jc w:val="thaiDistribute"/>
        <w:rPr>
          <w:color w:val="000000" w:themeColor="text1"/>
          <w:sz w:val="24"/>
          <w:szCs w:val="24"/>
        </w:rPr>
      </w:pPr>
      <w:r w:rsidRPr="00A444A6">
        <w:rPr>
          <w:color w:val="000000" w:themeColor="text1"/>
          <w:sz w:val="24"/>
          <w:szCs w:val="24"/>
        </w:rPr>
        <w:t>Thailand’s legal framework formally enables stakeholder participation through the Marine and Coastal Resources Management Act (2015) and the Royal Ordinance on Fisheries (2015). In practice, however, participatory mechanisms remain uneven. Provincial coastal committees face weak sectoral integration, infrequent meetings, and limited data availability (Satumanatpan et al., 2018). Further constraints include reactive committee agendas, limited women’s representation, and perceived imbalances in decision-making authority (Satumanatpan et al., 2024).</w:t>
      </w:r>
    </w:p>
    <w:p w14:paraId="1BAD9CBC" w14:textId="77777777" w:rsidR="00F77A8C" w:rsidRPr="00A444A6" w:rsidRDefault="00F77A8C" w:rsidP="00F77A8C">
      <w:pPr>
        <w:spacing w:after="160" w:line="259" w:lineRule="auto"/>
        <w:jc w:val="thaiDistribute"/>
        <w:rPr>
          <w:b/>
          <w:bCs/>
          <w:color w:val="000000" w:themeColor="text1"/>
          <w:sz w:val="24"/>
          <w:szCs w:val="24"/>
        </w:rPr>
      </w:pPr>
      <w:r w:rsidRPr="00A444A6">
        <w:rPr>
          <w:b/>
          <w:bCs/>
          <w:color w:val="000000" w:themeColor="text1"/>
          <w:sz w:val="24"/>
          <w:szCs w:val="24"/>
        </w:rPr>
        <w:t>Governance Principles</w:t>
      </w:r>
    </w:p>
    <w:p w14:paraId="6E628ACC" w14:textId="77777777" w:rsidR="00F77A8C" w:rsidRPr="00A444A6" w:rsidRDefault="00F77A8C" w:rsidP="00F77A8C">
      <w:pPr>
        <w:spacing w:after="160" w:line="259" w:lineRule="auto"/>
        <w:jc w:val="thaiDistribute"/>
        <w:rPr>
          <w:color w:val="000000" w:themeColor="text1"/>
          <w:sz w:val="24"/>
          <w:szCs w:val="24"/>
        </w:rPr>
      </w:pPr>
      <w:r w:rsidRPr="00A444A6">
        <w:rPr>
          <w:color w:val="000000" w:themeColor="text1"/>
          <w:sz w:val="24"/>
          <w:szCs w:val="24"/>
        </w:rPr>
        <w:t>Although this assessment does not directly evaluate transparency, accountability, and equity, these principles are supported by Thailand’s broader legal framework, including the Official Information Act (1997), the Civil Service Act (2008), the 2017 Constitution, and the Gender Equality Act (2015). Together, these laws establish an enabling environment for participatory and accountable governance, although enforcement and practical application remain uneven.</w:t>
      </w:r>
    </w:p>
    <w:p w14:paraId="55739E48" w14:textId="77777777" w:rsidR="00F77A8C" w:rsidRPr="00A444A6" w:rsidRDefault="00F77A8C" w:rsidP="00F77A8C">
      <w:pPr>
        <w:spacing w:after="160" w:line="259" w:lineRule="auto"/>
        <w:jc w:val="thaiDistribute"/>
        <w:rPr>
          <w:color w:val="000000" w:themeColor="text1"/>
          <w:sz w:val="24"/>
          <w:szCs w:val="24"/>
        </w:rPr>
      </w:pPr>
      <w:r w:rsidRPr="00A444A6">
        <w:rPr>
          <w:color w:val="000000" w:themeColor="text1"/>
          <w:sz w:val="24"/>
          <w:szCs w:val="24"/>
        </w:rPr>
        <w:t>Overall, Thailand’s marine and coastal governance shows significant institutional progress, but its effectiveness is constrained by coordination gaps, limited socio-economic monitoring, and uneven stakeholder inclusion. Strengthening adaptive monitoring systems, inclusive participation, and inter-agency coordination remains essential for improving long-term governance performance.</w:t>
      </w:r>
    </w:p>
    <w:p w14:paraId="4F8C18D5" w14:textId="77777777" w:rsidR="00F77A8C" w:rsidRPr="00A444A6" w:rsidRDefault="00F77A8C" w:rsidP="00F77A8C">
      <w:pPr>
        <w:jc w:val="thaiDistribute"/>
        <w:rPr>
          <w:sz w:val="24"/>
          <w:szCs w:val="24"/>
        </w:rPr>
      </w:pPr>
    </w:p>
    <w:p w14:paraId="4CA173B4" w14:textId="77777777" w:rsidR="00F77A8C" w:rsidRPr="00A444A6" w:rsidRDefault="00F77A8C" w:rsidP="00F77A8C">
      <w:pPr>
        <w:spacing w:before="120" w:after="120"/>
        <w:ind w:firstLine="1134"/>
        <w:jc w:val="thaiDistribute"/>
        <w:rPr>
          <w:sz w:val="24"/>
          <w:szCs w:val="24"/>
        </w:rPr>
      </w:pPr>
      <w:r w:rsidRPr="00A444A6">
        <w:rPr>
          <w:sz w:val="24"/>
          <w:szCs w:val="24"/>
        </w:rPr>
        <w:br w:type="page"/>
      </w:r>
    </w:p>
    <w:p w14:paraId="68E08F70" w14:textId="77777777" w:rsidR="00F77A8C" w:rsidRPr="00A444A6" w:rsidRDefault="00F77A8C" w:rsidP="00F77A8C">
      <w:pPr>
        <w:pStyle w:val="ListParagraph"/>
        <w:widowControl/>
        <w:numPr>
          <w:ilvl w:val="1"/>
          <w:numId w:val="142"/>
        </w:numPr>
        <w:jc w:val="thaiDistribute"/>
        <w:rPr>
          <w:rFonts w:cs="Arial"/>
          <w:b/>
          <w:bCs/>
          <w:sz w:val="24"/>
          <w:szCs w:val="24"/>
        </w:rPr>
      </w:pPr>
      <w:r w:rsidRPr="00A444A6">
        <w:rPr>
          <w:rFonts w:cs="Arial"/>
          <w:b/>
          <w:bCs/>
          <w:sz w:val="24"/>
          <w:szCs w:val="24"/>
        </w:rPr>
        <w:lastRenderedPageBreak/>
        <w:t xml:space="preserve">Discussion and Conclusions </w:t>
      </w:r>
    </w:p>
    <w:p w14:paraId="09EBADBB" w14:textId="77777777" w:rsidR="00F77A8C" w:rsidRPr="00A444A6" w:rsidRDefault="00F77A8C" w:rsidP="00F77A8C">
      <w:pPr>
        <w:pStyle w:val="ListParagraph"/>
        <w:ind w:left="660"/>
        <w:jc w:val="thaiDistribute"/>
        <w:rPr>
          <w:rFonts w:cs="Arial"/>
          <w:b/>
          <w:bCs/>
          <w:sz w:val="24"/>
          <w:szCs w:val="24"/>
        </w:rPr>
      </w:pPr>
    </w:p>
    <w:p w14:paraId="3174A3F2" w14:textId="77777777" w:rsidR="00F77A8C" w:rsidRPr="00A444A6" w:rsidRDefault="00F77A8C" w:rsidP="00F77A8C">
      <w:pPr>
        <w:jc w:val="thaiDistribute"/>
        <w:rPr>
          <w:sz w:val="24"/>
          <w:szCs w:val="24"/>
        </w:rPr>
      </w:pPr>
      <w:r w:rsidRPr="00A444A6">
        <w:rPr>
          <w:sz w:val="24"/>
          <w:szCs w:val="24"/>
        </w:rPr>
        <w:t>6.3.1 Risk Assessment: Current Governance Capacity</w:t>
      </w:r>
    </w:p>
    <w:p w14:paraId="62C2398D" w14:textId="77777777" w:rsidR="00F77A8C" w:rsidRPr="00A444A6" w:rsidRDefault="00F77A8C" w:rsidP="002314E7">
      <w:pPr>
        <w:jc w:val="center"/>
        <w:rPr>
          <w:sz w:val="24"/>
          <w:szCs w:val="24"/>
        </w:rPr>
      </w:pPr>
      <w:r w:rsidRPr="00A444A6">
        <w:rPr>
          <w:noProof/>
          <w:sz w:val="24"/>
          <w:szCs w:val="24"/>
        </w:rPr>
        <w:drawing>
          <wp:inline distT="0" distB="0" distL="0" distR="0" wp14:anchorId="3AD23C3B" wp14:editId="2E5D861E">
            <wp:extent cx="3573780" cy="3472199"/>
            <wp:effectExtent l="0" t="0" r="7620" b="0"/>
            <wp:docPr id="1026" name="Picture 2" descr="A diagram of a diagram&#10;&#10;Description automatically generated">
              <a:extLst xmlns:a="http://schemas.openxmlformats.org/drawingml/2006/main">
                <a:ext uri="{FF2B5EF4-FFF2-40B4-BE49-F238E27FC236}">
                  <a16:creationId xmlns:a16="http://schemas.microsoft.com/office/drawing/2014/main" id="{80EA6912-F49B-8C25-82A6-BB26A90895AE}"/>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6" name="Picture 2" descr="A diagram of a diagram&#10;&#10;Description automatically generated">
                      <a:extLst>
                        <a:ext uri="{FF2B5EF4-FFF2-40B4-BE49-F238E27FC236}">
                          <a16:creationId xmlns:a16="http://schemas.microsoft.com/office/drawing/2014/main" id="{80EA6912-F49B-8C25-82A6-BB26A90895AE}"/>
                        </a:ext>
                      </a:extLst>
                    </pic:cNvPr>
                    <pic:cNvPicPr>
                      <a:picLocks noChangeAspect="1" noChangeArrowheads="1"/>
                    </pic:cNvPicPr>
                  </pic:nvPicPr>
                  <pic:blipFill>
                    <a:blip r:embed="rId91" cstate="print">
                      <a:extLst>
                        <a:ext uri="{28A0092B-C50C-407E-A947-70E740481C1C}">
                          <a14:useLocalDpi xmlns:a14="http://schemas.microsoft.com/office/drawing/2010/main" val="0"/>
                        </a:ext>
                      </a:extLst>
                    </a:blip>
                    <a:srcRect/>
                    <a:stretch>
                      <a:fillRect/>
                    </a:stretch>
                  </pic:blipFill>
                  <pic:spPr bwMode="auto">
                    <a:xfrm>
                      <a:off x="0" y="0"/>
                      <a:ext cx="3603141" cy="3500725"/>
                    </a:xfrm>
                    <a:prstGeom prst="rect">
                      <a:avLst/>
                    </a:prstGeom>
                    <a:noFill/>
                  </pic:spPr>
                </pic:pic>
              </a:graphicData>
            </a:graphic>
          </wp:inline>
        </w:drawing>
      </w:r>
    </w:p>
    <w:p w14:paraId="5026D0BB" w14:textId="77777777" w:rsidR="00F77A8C" w:rsidRPr="00A444A6" w:rsidRDefault="00F77A8C" w:rsidP="00F77A8C">
      <w:pPr>
        <w:jc w:val="thaiDistribute"/>
        <w:rPr>
          <w:sz w:val="24"/>
          <w:szCs w:val="24"/>
        </w:rPr>
      </w:pPr>
    </w:p>
    <w:p w14:paraId="7C226F18" w14:textId="77777777" w:rsidR="00F77A8C" w:rsidRPr="00A444A6" w:rsidRDefault="00F77A8C" w:rsidP="00F77A8C">
      <w:pPr>
        <w:jc w:val="thaiDistribute"/>
        <w:rPr>
          <w:sz w:val="24"/>
          <w:szCs w:val="24"/>
        </w:rPr>
      </w:pPr>
      <w:r w:rsidRPr="00A444A6">
        <w:rPr>
          <w:sz w:val="24"/>
          <w:szCs w:val="24"/>
        </w:rPr>
        <w:t>National indicators suggest that Thailand’s overall governance capacity for coastal and marine management is moderate but uneven. Under the Environmental Performance Index (EPI 2024), Thailand ranks 90th globally, with improvements in climate change performance (+12.5) and ecosystem vitality (+1.9), but declining trends in biodiversity and habitat (–0.7) and fisheries (–1.9), alongside persistently weak water resource management. These patterns reflect continuing stress on coastal ecosystems.</w:t>
      </w:r>
    </w:p>
    <w:p w14:paraId="500CF1C4" w14:textId="77777777" w:rsidR="00F77A8C" w:rsidRPr="00A444A6" w:rsidRDefault="00F77A8C" w:rsidP="00F77A8C">
      <w:pPr>
        <w:jc w:val="thaiDistribute"/>
        <w:rPr>
          <w:sz w:val="24"/>
          <w:szCs w:val="24"/>
        </w:rPr>
      </w:pPr>
    </w:p>
    <w:p w14:paraId="1BA3C465" w14:textId="77777777" w:rsidR="00F77A8C" w:rsidRPr="00A444A6" w:rsidRDefault="00F77A8C" w:rsidP="00F77A8C">
      <w:pPr>
        <w:jc w:val="thaiDistribute"/>
        <w:rPr>
          <w:sz w:val="24"/>
          <w:szCs w:val="24"/>
        </w:rPr>
      </w:pPr>
      <w:r w:rsidRPr="00A444A6">
        <w:rPr>
          <w:sz w:val="24"/>
          <w:szCs w:val="24"/>
        </w:rPr>
        <w:t>World Bank Worldwide Governance Indicators place Thailand in the medium tier for government effectiveness and regulatory quality, with a declining trend in regulatory performance and low control of corruption (World Bank, 2025).  These national-level governance constraints influence provincial capacity, particularly consistency in policy implementation, enforcement, and multi-agency coordination.</w:t>
      </w:r>
    </w:p>
    <w:p w14:paraId="74B22883" w14:textId="77777777" w:rsidR="00F77A8C" w:rsidRPr="00A444A6" w:rsidRDefault="00F77A8C" w:rsidP="00F77A8C">
      <w:pPr>
        <w:jc w:val="thaiDistribute"/>
        <w:rPr>
          <w:sz w:val="24"/>
          <w:szCs w:val="24"/>
        </w:rPr>
      </w:pPr>
    </w:p>
    <w:p w14:paraId="71C910EA" w14:textId="77777777" w:rsidR="00F77A8C" w:rsidRPr="00A444A6" w:rsidRDefault="00F77A8C" w:rsidP="00F77A8C">
      <w:pPr>
        <w:jc w:val="thaiDistribute"/>
        <w:rPr>
          <w:sz w:val="24"/>
          <w:szCs w:val="24"/>
        </w:rPr>
      </w:pPr>
      <w:r w:rsidRPr="00A444A6">
        <w:rPr>
          <w:sz w:val="24"/>
          <w:szCs w:val="24"/>
        </w:rPr>
        <w:t>At the provincial level, governance performance varies widely. Coastal committee studies reveal weak sectoral integration, infrequent meetings, and limited stakeholder engagement (Satumanatpan et al., 2018). Further constraints include reactive committee agendas, low women’s representation, and imbalances in committee composition affecting small-scale fishers (Satumanatpan et al., 2024). These shortcomings undermine social equity, inclusion, and adaptive capacity.</w:t>
      </w:r>
    </w:p>
    <w:p w14:paraId="499ACD6E" w14:textId="77777777" w:rsidR="00F77A8C" w:rsidRPr="00A444A6" w:rsidRDefault="00F77A8C" w:rsidP="00F77A8C">
      <w:pPr>
        <w:jc w:val="thaiDistribute"/>
        <w:rPr>
          <w:sz w:val="24"/>
          <w:szCs w:val="24"/>
        </w:rPr>
      </w:pPr>
    </w:p>
    <w:p w14:paraId="52C7C881" w14:textId="77777777" w:rsidR="00F77A8C" w:rsidRPr="00A444A6" w:rsidRDefault="00F77A8C" w:rsidP="00F77A8C">
      <w:pPr>
        <w:jc w:val="thaiDistribute"/>
        <w:rPr>
          <w:sz w:val="24"/>
          <w:szCs w:val="24"/>
        </w:rPr>
      </w:pPr>
      <w:r w:rsidRPr="00A444A6">
        <w:rPr>
          <w:sz w:val="24"/>
          <w:szCs w:val="24"/>
        </w:rPr>
        <w:t>Overall, Thailand exhibits moderate national governance capacity, but uneven provincial implementation remains a key risk to effective ecosystem protection and human well-being.</w:t>
      </w:r>
    </w:p>
    <w:p w14:paraId="5563EB02" w14:textId="77777777" w:rsidR="00F77A8C" w:rsidRPr="00A444A6" w:rsidRDefault="00F77A8C" w:rsidP="00F77A8C">
      <w:pPr>
        <w:jc w:val="thaiDistribute"/>
        <w:rPr>
          <w:sz w:val="24"/>
          <w:szCs w:val="24"/>
        </w:rPr>
      </w:pPr>
    </w:p>
    <w:p w14:paraId="753B8603" w14:textId="77777777" w:rsidR="00F77A8C" w:rsidRPr="00A444A6" w:rsidRDefault="00F77A8C" w:rsidP="00F77A8C">
      <w:pPr>
        <w:jc w:val="thaiDistribute"/>
        <w:rPr>
          <w:sz w:val="24"/>
          <w:szCs w:val="24"/>
        </w:rPr>
      </w:pPr>
      <w:r w:rsidRPr="00A444A6">
        <w:rPr>
          <w:sz w:val="24"/>
          <w:szCs w:val="24"/>
        </w:rPr>
        <w:t>TWAP Governance Architecture Self-Assessment (Fanning et al., 2017) shows:</w:t>
      </w:r>
    </w:p>
    <w:p w14:paraId="07911C93" w14:textId="77777777" w:rsidR="00F77A8C" w:rsidRPr="00A444A6" w:rsidRDefault="00F77A8C" w:rsidP="00F77A8C">
      <w:pPr>
        <w:widowControl/>
        <w:numPr>
          <w:ilvl w:val="0"/>
          <w:numId w:val="125"/>
        </w:numPr>
        <w:jc w:val="thaiDistribute"/>
        <w:rPr>
          <w:sz w:val="24"/>
          <w:szCs w:val="24"/>
        </w:rPr>
      </w:pPr>
      <w:r w:rsidRPr="00A444A6">
        <w:rPr>
          <w:sz w:val="24"/>
          <w:szCs w:val="24"/>
        </w:rPr>
        <w:lastRenderedPageBreak/>
        <w:t>Completeness = 50 (basic institutional and legal structures exist),</w:t>
      </w:r>
    </w:p>
    <w:p w14:paraId="6501F410" w14:textId="77777777" w:rsidR="00F77A8C" w:rsidRPr="00A444A6" w:rsidRDefault="00F77A8C" w:rsidP="00F77A8C">
      <w:pPr>
        <w:widowControl/>
        <w:numPr>
          <w:ilvl w:val="0"/>
          <w:numId w:val="125"/>
        </w:numPr>
        <w:jc w:val="thaiDistribute"/>
        <w:rPr>
          <w:sz w:val="24"/>
          <w:szCs w:val="24"/>
        </w:rPr>
      </w:pPr>
      <w:r w:rsidRPr="00A444A6">
        <w:rPr>
          <w:sz w:val="24"/>
          <w:szCs w:val="24"/>
        </w:rPr>
        <w:t>Integration = 0.1 (very weak cross-sectoral and multi-level coordination),</w:t>
      </w:r>
    </w:p>
    <w:p w14:paraId="16FD00A7" w14:textId="77777777" w:rsidR="00F77A8C" w:rsidRPr="00A444A6" w:rsidRDefault="00F77A8C" w:rsidP="00F77A8C">
      <w:pPr>
        <w:widowControl/>
        <w:numPr>
          <w:ilvl w:val="0"/>
          <w:numId w:val="125"/>
        </w:numPr>
        <w:jc w:val="thaiDistribute"/>
        <w:rPr>
          <w:sz w:val="24"/>
          <w:szCs w:val="24"/>
        </w:rPr>
      </w:pPr>
      <w:r w:rsidRPr="00A444A6">
        <w:rPr>
          <w:sz w:val="24"/>
          <w:szCs w:val="24"/>
        </w:rPr>
        <w:t>Engagement = 70 (relatively strong stakeholder participation).</w:t>
      </w:r>
    </w:p>
    <w:p w14:paraId="030EBD4B" w14:textId="77777777" w:rsidR="00F77A8C" w:rsidRPr="00A444A6" w:rsidRDefault="00F77A8C" w:rsidP="00F77A8C">
      <w:pPr>
        <w:jc w:val="thaiDistribute"/>
        <w:rPr>
          <w:sz w:val="24"/>
          <w:szCs w:val="24"/>
        </w:rPr>
      </w:pPr>
      <w:r w:rsidRPr="00A444A6">
        <w:rPr>
          <w:sz w:val="24"/>
          <w:szCs w:val="24"/>
        </w:rPr>
        <w:t>This indicates that while institutions and participation mechanisms are in place, fragmented integration remains the principal structural weakness constraining adaptive, ecosystem-based, and transboundary governance in the South China Sea and Gulf of Thailand.</w:t>
      </w:r>
    </w:p>
    <w:p w14:paraId="6780A9AE" w14:textId="77777777" w:rsidR="00F77A8C" w:rsidRPr="00A444A6" w:rsidRDefault="00F77A8C" w:rsidP="00F77A8C">
      <w:pPr>
        <w:jc w:val="thaiDistribute"/>
        <w:rPr>
          <w:sz w:val="24"/>
          <w:szCs w:val="24"/>
        </w:rPr>
      </w:pPr>
    </w:p>
    <w:p w14:paraId="4DFA6456" w14:textId="77777777" w:rsidR="00F77A8C" w:rsidRPr="00A444A6" w:rsidRDefault="00F77A8C" w:rsidP="00F77A8C">
      <w:pPr>
        <w:spacing w:before="120" w:after="120"/>
        <w:jc w:val="thaiDistribute"/>
        <w:rPr>
          <w:b/>
          <w:bCs/>
          <w:sz w:val="24"/>
          <w:szCs w:val="24"/>
        </w:rPr>
      </w:pPr>
      <w:r w:rsidRPr="00A444A6">
        <w:rPr>
          <w:b/>
          <w:bCs/>
          <w:sz w:val="24"/>
          <w:szCs w:val="24"/>
        </w:rPr>
        <w:t xml:space="preserve">6.3.2 Current governance capacity to respond to climate and major environmental changes, as well as population growth and demand </w:t>
      </w:r>
    </w:p>
    <w:p w14:paraId="19E805D8" w14:textId="77777777" w:rsidR="00F77A8C" w:rsidRPr="00A444A6" w:rsidRDefault="00F77A8C" w:rsidP="00F77A8C">
      <w:pPr>
        <w:jc w:val="thaiDistribute"/>
        <w:rPr>
          <w:sz w:val="24"/>
          <w:szCs w:val="24"/>
        </w:rPr>
      </w:pPr>
      <w:r w:rsidRPr="00A444A6">
        <w:rPr>
          <w:sz w:val="24"/>
          <w:szCs w:val="24"/>
        </w:rPr>
        <w:t>Thailand shows moderate capacity to respond to climate and environmental change, supported by national frameworks but constrained by fragmented coordination and uneven enforcement. Core agencies (DMCR, DCCE, DOF) possess growing technical capacity, yet the absence of an enacted Climate Change Act weakens legal coherence.</w:t>
      </w:r>
    </w:p>
    <w:p w14:paraId="7534F7B2" w14:textId="77777777" w:rsidR="00F77A8C" w:rsidRPr="00A444A6" w:rsidRDefault="00F77A8C" w:rsidP="00F77A8C">
      <w:pPr>
        <w:jc w:val="thaiDistribute"/>
        <w:rPr>
          <w:sz w:val="24"/>
          <w:szCs w:val="24"/>
        </w:rPr>
      </w:pPr>
    </w:p>
    <w:p w14:paraId="0C0F6BC4" w14:textId="77777777" w:rsidR="00F77A8C" w:rsidRPr="00A444A6" w:rsidRDefault="00F77A8C" w:rsidP="00F77A8C">
      <w:pPr>
        <w:jc w:val="thaiDistribute"/>
        <w:rPr>
          <w:sz w:val="24"/>
          <w:szCs w:val="24"/>
        </w:rPr>
      </w:pPr>
      <w:r w:rsidRPr="00A444A6">
        <w:rPr>
          <w:sz w:val="24"/>
          <w:szCs w:val="24"/>
        </w:rPr>
        <w:t>Climate and coastal monitoring systems exist but remain poorly integrated, limiting their effectiveness for planning. Provincial governments face persistent staffing and budget constraints, while rapid urbanization, coastal development, and resource demand outpace institutional capacity. These conditions underscore the need for stronger coordination, clearer legal mandates, and adaptive governance mechanisms.</w:t>
      </w:r>
    </w:p>
    <w:p w14:paraId="46A5FAAC" w14:textId="77777777" w:rsidR="00F77A8C" w:rsidRPr="00A444A6" w:rsidRDefault="00F77A8C" w:rsidP="00F77A8C">
      <w:pPr>
        <w:jc w:val="thaiDistribute"/>
        <w:rPr>
          <w:sz w:val="24"/>
          <w:szCs w:val="24"/>
        </w:rPr>
      </w:pPr>
    </w:p>
    <w:p w14:paraId="688E625D" w14:textId="77777777" w:rsidR="00F77A8C" w:rsidRPr="00A444A6" w:rsidRDefault="00F77A8C" w:rsidP="00F77A8C">
      <w:pPr>
        <w:jc w:val="thaiDistribute"/>
        <w:rPr>
          <w:b/>
          <w:bCs/>
          <w:sz w:val="24"/>
          <w:szCs w:val="24"/>
        </w:rPr>
      </w:pPr>
      <w:r w:rsidRPr="00A444A6">
        <w:rPr>
          <w:b/>
          <w:bCs/>
          <w:sz w:val="24"/>
          <w:szCs w:val="24"/>
        </w:rPr>
        <w:t>6.3.3 Strategies to enhance government responses to climate change and achieve sustainability of the coastal and marine environments</w:t>
      </w:r>
    </w:p>
    <w:p w14:paraId="3960675F" w14:textId="77777777" w:rsidR="00F77A8C" w:rsidRPr="00A444A6" w:rsidRDefault="00F77A8C" w:rsidP="00F77A8C">
      <w:pPr>
        <w:jc w:val="thaiDistribute"/>
        <w:rPr>
          <w:sz w:val="24"/>
          <w:szCs w:val="24"/>
        </w:rPr>
      </w:pPr>
    </w:p>
    <w:p w14:paraId="426A7C55" w14:textId="77777777" w:rsidR="00F77A8C" w:rsidRPr="00A444A6" w:rsidRDefault="00F77A8C" w:rsidP="00F77A8C">
      <w:pPr>
        <w:jc w:val="thaiDistribute"/>
        <w:rPr>
          <w:sz w:val="24"/>
          <w:szCs w:val="24"/>
        </w:rPr>
      </w:pPr>
      <w:r w:rsidRPr="00A444A6">
        <w:rPr>
          <w:sz w:val="24"/>
          <w:szCs w:val="24"/>
        </w:rPr>
        <w:t>Thailand’s climate response is guided by the Climate Change Master Plan (2015–2050) and the National Adaptation Plan, which emphasize resilience and ecosystem-based adaptation in coastal and marine areas. The draft Climate Change Act, currently under parliamentary consideration, is expected to strengthen the legal foundation for coordinated, cross-sectoral climate governance and long-term sustainability.</w:t>
      </w:r>
    </w:p>
    <w:p w14:paraId="0A309409" w14:textId="77777777" w:rsidR="00F77A8C" w:rsidRPr="00A444A6" w:rsidRDefault="00F77A8C" w:rsidP="00F77A8C">
      <w:pPr>
        <w:jc w:val="thaiDistribute"/>
        <w:rPr>
          <w:sz w:val="24"/>
          <w:szCs w:val="24"/>
        </w:rPr>
      </w:pPr>
    </w:p>
    <w:p w14:paraId="04ABD7DE" w14:textId="77777777" w:rsidR="00F77A8C" w:rsidRPr="00A444A6" w:rsidRDefault="00F77A8C" w:rsidP="00F77A8C">
      <w:pPr>
        <w:jc w:val="thaiDistribute"/>
        <w:rPr>
          <w:b/>
          <w:bCs/>
          <w:sz w:val="24"/>
          <w:szCs w:val="24"/>
        </w:rPr>
      </w:pPr>
      <w:r w:rsidRPr="00A444A6">
        <w:rPr>
          <w:b/>
          <w:bCs/>
          <w:sz w:val="24"/>
          <w:szCs w:val="24"/>
        </w:rPr>
        <w:t>6.3.4 Recommended priority actions including regional cooperation</w:t>
      </w:r>
    </w:p>
    <w:p w14:paraId="4F8514C6" w14:textId="77777777" w:rsidR="00F77A8C" w:rsidRPr="00A444A6" w:rsidRDefault="00F77A8C" w:rsidP="00F77A8C">
      <w:pPr>
        <w:jc w:val="thaiDistribute"/>
        <w:rPr>
          <w:sz w:val="24"/>
          <w:szCs w:val="24"/>
        </w:rPr>
      </w:pPr>
    </w:p>
    <w:p w14:paraId="3F7AC174" w14:textId="77777777" w:rsidR="00F77A8C" w:rsidRPr="00A444A6" w:rsidRDefault="00F77A8C" w:rsidP="00F77A8C">
      <w:pPr>
        <w:spacing w:after="160" w:line="259" w:lineRule="auto"/>
        <w:jc w:val="thaiDistribute"/>
        <w:rPr>
          <w:sz w:val="24"/>
          <w:szCs w:val="24"/>
        </w:rPr>
      </w:pPr>
      <w:r w:rsidRPr="00A444A6">
        <w:rPr>
          <w:sz w:val="24"/>
          <w:szCs w:val="24"/>
        </w:rPr>
        <w:t>Based on identified risks and governance gaps, the following priority actions are recommended:</w:t>
      </w:r>
    </w:p>
    <w:p w14:paraId="635C4A97" w14:textId="77777777" w:rsidR="00F77A8C" w:rsidRPr="00A444A6" w:rsidRDefault="00F77A8C" w:rsidP="00F77A8C">
      <w:pPr>
        <w:spacing w:after="160" w:line="259" w:lineRule="auto"/>
        <w:jc w:val="thaiDistribute"/>
        <w:rPr>
          <w:sz w:val="24"/>
          <w:szCs w:val="24"/>
        </w:rPr>
      </w:pPr>
      <w:r w:rsidRPr="00A444A6">
        <w:rPr>
          <w:b/>
          <w:bCs/>
          <w:sz w:val="24"/>
          <w:szCs w:val="24"/>
        </w:rPr>
        <w:t>1. Improve cross-sectoral and multi-level coordination.</w:t>
      </w:r>
    </w:p>
    <w:p w14:paraId="66A67FAF" w14:textId="77777777" w:rsidR="00F77A8C" w:rsidRPr="00A444A6" w:rsidRDefault="00F77A8C" w:rsidP="00F77A8C">
      <w:pPr>
        <w:spacing w:after="160" w:line="259" w:lineRule="auto"/>
        <w:jc w:val="thaiDistribute"/>
        <w:rPr>
          <w:sz w:val="24"/>
          <w:szCs w:val="24"/>
        </w:rPr>
      </w:pPr>
      <w:r w:rsidRPr="00A444A6">
        <w:rPr>
          <w:sz w:val="24"/>
          <w:szCs w:val="24"/>
        </w:rPr>
        <w:t>Enhance institutional linkages among DMCR, DCCE, DOF, ONEP, DNP, the Marine Department, and provincial authorities to ensure coherent implementation of national policies. Strengthening the operational effectiveness of coastal provincial committees—including regular meetings, clear agendas, and technical support—will be essential for more consistent provincial-level implementation.</w:t>
      </w:r>
    </w:p>
    <w:p w14:paraId="1C7D4DF1" w14:textId="77777777" w:rsidR="00F77A8C" w:rsidRPr="00A444A6" w:rsidRDefault="00F77A8C" w:rsidP="00F77A8C">
      <w:pPr>
        <w:spacing w:after="160" w:line="259" w:lineRule="auto"/>
        <w:jc w:val="thaiDistribute"/>
        <w:rPr>
          <w:sz w:val="24"/>
          <w:szCs w:val="24"/>
        </w:rPr>
      </w:pPr>
    </w:p>
    <w:p w14:paraId="0E23E993" w14:textId="77777777" w:rsidR="00F77A8C" w:rsidRPr="00A444A6" w:rsidRDefault="00F77A8C" w:rsidP="00F77A8C">
      <w:pPr>
        <w:spacing w:after="160" w:line="259" w:lineRule="auto"/>
        <w:jc w:val="thaiDistribute"/>
        <w:rPr>
          <w:sz w:val="24"/>
          <w:szCs w:val="24"/>
        </w:rPr>
      </w:pPr>
    </w:p>
    <w:p w14:paraId="12C469C6" w14:textId="77777777" w:rsidR="00F77A8C" w:rsidRPr="00A444A6" w:rsidRDefault="00F77A8C" w:rsidP="00F77A8C">
      <w:pPr>
        <w:spacing w:after="160" w:line="259" w:lineRule="auto"/>
        <w:jc w:val="thaiDistribute"/>
        <w:rPr>
          <w:sz w:val="24"/>
          <w:szCs w:val="24"/>
        </w:rPr>
      </w:pPr>
      <w:r w:rsidRPr="00A444A6">
        <w:rPr>
          <w:b/>
          <w:bCs/>
          <w:sz w:val="24"/>
          <w:szCs w:val="24"/>
        </w:rPr>
        <w:t>2. Enhance legal coherence for climate and environmental governance.</w:t>
      </w:r>
    </w:p>
    <w:p w14:paraId="141A7B58" w14:textId="77777777" w:rsidR="00F77A8C" w:rsidRPr="00A444A6" w:rsidRDefault="00F77A8C" w:rsidP="00F77A8C">
      <w:pPr>
        <w:spacing w:after="160" w:line="259" w:lineRule="auto"/>
        <w:jc w:val="thaiDistribute"/>
        <w:rPr>
          <w:sz w:val="24"/>
          <w:szCs w:val="24"/>
        </w:rPr>
      </w:pPr>
      <w:r w:rsidRPr="00A444A6">
        <w:rPr>
          <w:sz w:val="24"/>
          <w:szCs w:val="24"/>
        </w:rPr>
        <w:t xml:space="preserve">Finalizing and enacting the draft </w:t>
      </w:r>
      <w:r w:rsidRPr="00A444A6">
        <w:rPr>
          <w:i/>
          <w:iCs/>
          <w:sz w:val="24"/>
          <w:szCs w:val="24"/>
        </w:rPr>
        <w:t>Climate Change Act</w:t>
      </w:r>
      <w:r w:rsidRPr="00A444A6">
        <w:rPr>
          <w:sz w:val="24"/>
          <w:szCs w:val="24"/>
        </w:rPr>
        <w:t xml:space="preserve"> should be prioritized to provide </w:t>
      </w:r>
      <w:r w:rsidRPr="00A444A6">
        <w:rPr>
          <w:sz w:val="24"/>
          <w:szCs w:val="24"/>
        </w:rPr>
        <w:lastRenderedPageBreak/>
        <w:t>a binding legal framework for climate action. Aligning climate-related frameworks with the Marine and Coastal Resources Management Act (2015), National Adaptation Plan, and marine spatial planning processes will support integrated land–sea management and long-term resilience planning.</w:t>
      </w:r>
    </w:p>
    <w:p w14:paraId="56FA8B1A" w14:textId="77777777" w:rsidR="00F77A8C" w:rsidRPr="00A444A6" w:rsidRDefault="00F77A8C" w:rsidP="00F77A8C">
      <w:pPr>
        <w:spacing w:after="160" w:line="259" w:lineRule="auto"/>
        <w:jc w:val="thaiDistribute"/>
        <w:rPr>
          <w:sz w:val="24"/>
          <w:szCs w:val="24"/>
        </w:rPr>
      </w:pPr>
      <w:r w:rsidRPr="00A444A6">
        <w:rPr>
          <w:b/>
          <w:bCs/>
          <w:sz w:val="24"/>
          <w:szCs w:val="24"/>
        </w:rPr>
        <w:t>3. Strengthen provincial implementation capacity.</w:t>
      </w:r>
    </w:p>
    <w:p w14:paraId="64B73DC2" w14:textId="77777777" w:rsidR="00F77A8C" w:rsidRPr="00A444A6" w:rsidRDefault="00F77A8C" w:rsidP="00F77A8C">
      <w:pPr>
        <w:spacing w:after="160" w:line="259" w:lineRule="auto"/>
        <w:jc w:val="thaiDistribute"/>
        <w:rPr>
          <w:sz w:val="24"/>
          <w:szCs w:val="24"/>
        </w:rPr>
      </w:pPr>
      <w:r w:rsidRPr="00A444A6">
        <w:rPr>
          <w:sz w:val="24"/>
          <w:szCs w:val="24"/>
        </w:rPr>
        <w:t>Increase technical staffing, financial resources, and targeted training for provincial and local authorities, particularly in areas facing high exposure to coastal erosion, flooding, pollution, and fisheries pressures. Integrating climate risk assessments into local planning and enhancing monitoring capacity will improve adaptive responses.</w:t>
      </w:r>
    </w:p>
    <w:p w14:paraId="64C92918" w14:textId="77777777" w:rsidR="00F77A8C" w:rsidRPr="00A444A6" w:rsidRDefault="00F77A8C" w:rsidP="00F77A8C">
      <w:pPr>
        <w:spacing w:after="160" w:line="259" w:lineRule="auto"/>
        <w:jc w:val="thaiDistribute"/>
        <w:rPr>
          <w:sz w:val="24"/>
          <w:szCs w:val="24"/>
        </w:rPr>
      </w:pPr>
      <w:r w:rsidRPr="00A444A6">
        <w:rPr>
          <w:b/>
          <w:bCs/>
          <w:sz w:val="24"/>
          <w:szCs w:val="24"/>
        </w:rPr>
        <w:t>4. Promote inclusive and equitable stakeholder participation.</w:t>
      </w:r>
    </w:p>
    <w:p w14:paraId="143A73F5" w14:textId="77777777" w:rsidR="00F77A8C" w:rsidRPr="00A444A6" w:rsidRDefault="00F77A8C" w:rsidP="00F77A8C">
      <w:pPr>
        <w:spacing w:after="160" w:line="259" w:lineRule="auto"/>
        <w:jc w:val="thaiDistribute"/>
        <w:rPr>
          <w:sz w:val="24"/>
          <w:szCs w:val="24"/>
        </w:rPr>
      </w:pPr>
      <w:r w:rsidRPr="00A444A6">
        <w:rPr>
          <w:sz w:val="24"/>
          <w:szCs w:val="24"/>
        </w:rPr>
        <w:t>Enhance mechanisms for the meaningful involvement of small-scale fishers, women, and community-based organizations in provincial decision-making processes. Expanding representation and improving transparency can strengthen governance legitimacy and support socially just outcomes.</w:t>
      </w:r>
    </w:p>
    <w:p w14:paraId="217F499C" w14:textId="77777777" w:rsidR="00F77A8C" w:rsidRPr="00A444A6" w:rsidRDefault="00F77A8C" w:rsidP="00F77A8C">
      <w:pPr>
        <w:spacing w:after="160" w:line="259" w:lineRule="auto"/>
        <w:jc w:val="thaiDistribute"/>
        <w:rPr>
          <w:sz w:val="24"/>
          <w:szCs w:val="24"/>
        </w:rPr>
      </w:pPr>
      <w:r w:rsidRPr="00A444A6">
        <w:rPr>
          <w:b/>
          <w:bCs/>
          <w:sz w:val="24"/>
          <w:szCs w:val="24"/>
        </w:rPr>
        <w:t>5. Accelerate ecosystem protection and climate-resilient management.</w:t>
      </w:r>
    </w:p>
    <w:p w14:paraId="2B37A3B7" w14:textId="77777777" w:rsidR="00F77A8C" w:rsidRPr="00A444A6" w:rsidRDefault="00F77A8C" w:rsidP="00F77A8C">
      <w:pPr>
        <w:spacing w:after="160" w:line="259" w:lineRule="auto"/>
        <w:jc w:val="thaiDistribute"/>
        <w:rPr>
          <w:sz w:val="24"/>
          <w:szCs w:val="24"/>
        </w:rPr>
      </w:pPr>
      <w:r w:rsidRPr="00A444A6">
        <w:rPr>
          <w:sz w:val="24"/>
          <w:szCs w:val="24"/>
        </w:rPr>
        <w:t>Scale up mangrove, seagrass, and coral reef restoration; strengthen pollution control; and expand protected area management using nature-based and ecosystem-based approaches. Improving enforcement and compliance mechanisms will be critical for reducing ecosystem stresses.</w:t>
      </w:r>
    </w:p>
    <w:p w14:paraId="1090663F" w14:textId="77777777" w:rsidR="00F77A8C" w:rsidRPr="00A444A6" w:rsidRDefault="00F77A8C" w:rsidP="00F77A8C">
      <w:pPr>
        <w:spacing w:after="160" w:line="259" w:lineRule="auto"/>
        <w:jc w:val="thaiDistribute"/>
        <w:rPr>
          <w:sz w:val="24"/>
          <w:szCs w:val="24"/>
        </w:rPr>
      </w:pPr>
      <w:r w:rsidRPr="00A444A6">
        <w:rPr>
          <w:b/>
          <w:bCs/>
          <w:sz w:val="24"/>
          <w:szCs w:val="24"/>
        </w:rPr>
        <w:t>6. Strengthen data integration and science–policy linkages.</w:t>
      </w:r>
    </w:p>
    <w:p w14:paraId="0EAF2C4C" w14:textId="77777777" w:rsidR="00F77A8C" w:rsidRPr="00A444A6" w:rsidRDefault="00F77A8C" w:rsidP="00F77A8C">
      <w:pPr>
        <w:spacing w:after="160" w:line="259" w:lineRule="auto"/>
        <w:jc w:val="thaiDistribute"/>
        <w:rPr>
          <w:sz w:val="24"/>
          <w:szCs w:val="24"/>
        </w:rPr>
      </w:pPr>
      <w:r w:rsidRPr="00A444A6">
        <w:rPr>
          <w:sz w:val="24"/>
          <w:szCs w:val="24"/>
        </w:rPr>
        <w:t>Develop interoperable data systems among national agencies and increase the use of shared datasets for planning and decision-making. Enhancing collaboration with research institutions will support monitoring of environmental change, fisheries productivity, and climate impacts.</w:t>
      </w:r>
    </w:p>
    <w:p w14:paraId="714315EE" w14:textId="77777777" w:rsidR="00F77A8C" w:rsidRPr="00A444A6" w:rsidRDefault="00F77A8C" w:rsidP="00F77A8C">
      <w:pPr>
        <w:spacing w:after="160" w:line="259" w:lineRule="auto"/>
        <w:jc w:val="thaiDistribute"/>
        <w:rPr>
          <w:sz w:val="24"/>
          <w:szCs w:val="24"/>
        </w:rPr>
      </w:pPr>
      <w:r w:rsidRPr="00A444A6">
        <w:rPr>
          <w:b/>
          <w:bCs/>
          <w:sz w:val="24"/>
          <w:szCs w:val="24"/>
        </w:rPr>
        <w:t>7. Enhance regional cooperation in the South China Sea.</w:t>
      </w:r>
    </w:p>
    <w:p w14:paraId="35AD3FC0" w14:textId="77777777" w:rsidR="00F77A8C" w:rsidRPr="00A444A6" w:rsidRDefault="00F77A8C" w:rsidP="00F77A8C">
      <w:pPr>
        <w:spacing w:after="160" w:line="259" w:lineRule="auto"/>
        <w:jc w:val="thaiDistribute"/>
        <w:rPr>
          <w:sz w:val="24"/>
          <w:szCs w:val="24"/>
        </w:rPr>
      </w:pPr>
      <w:r w:rsidRPr="00A444A6">
        <w:rPr>
          <w:sz w:val="24"/>
          <w:szCs w:val="24"/>
        </w:rPr>
        <w:t>Deepen engagement through ASEAN, COBSEA, PEMSEA, SEAFDEC, and UNEP/GEF platforms to improve coordinated monitoring of marine pollution, management of shared fish stocks, exchange of adaptation practices, and development of regional early warning systems. Establishing regional protocols for data-sharing and transboundary ecosystem management should be prioritized.</w:t>
      </w:r>
    </w:p>
    <w:p w14:paraId="52737EFE" w14:textId="77777777" w:rsidR="00F77A8C" w:rsidRPr="00A444A6" w:rsidRDefault="00F77A8C" w:rsidP="00F77A8C">
      <w:pPr>
        <w:spacing w:before="120" w:after="120"/>
        <w:jc w:val="thaiDistribute"/>
        <w:rPr>
          <w:sz w:val="24"/>
          <w:szCs w:val="24"/>
        </w:rPr>
      </w:pPr>
      <w:r w:rsidRPr="00A444A6">
        <w:rPr>
          <w:b/>
          <w:bCs/>
          <w:sz w:val="24"/>
          <w:szCs w:val="24"/>
        </w:rPr>
        <w:t>8. Mobilize sustainable and long-term financing.</w:t>
      </w:r>
    </w:p>
    <w:p w14:paraId="33DBB2BC" w14:textId="77777777" w:rsidR="00F77A8C" w:rsidRPr="00A444A6" w:rsidRDefault="00F77A8C" w:rsidP="00F77A8C">
      <w:pPr>
        <w:spacing w:before="120" w:after="120"/>
        <w:jc w:val="thaiDistribute"/>
        <w:rPr>
          <w:b/>
          <w:bCs/>
          <w:sz w:val="24"/>
          <w:szCs w:val="24"/>
        </w:rPr>
      </w:pPr>
      <w:r w:rsidRPr="00A444A6">
        <w:rPr>
          <w:sz w:val="24"/>
          <w:szCs w:val="24"/>
        </w:rPr>
        <w:t>Strengthen domestic budgeting for climate and coastal management and explore regional and international financing mechanisms, including climate funds, blue carbon financing, and blended finance instruments to support implementation and monitoring at national and provincial levels.</w:t>
      </w:r>
    </w:p>
    <w:p w14:paraId="0E64B5AF" w14:textId="77777777" w:rsidR="00F77A8C" w:rsidRPr="00A444A6" w:rsidRDefault="00F77A8C" w:rsidP="00F77A8C">
      <w:pPr>
        <w:pStyle w:val="ListParagraph"/>
        <w:widowControl/>
        <w:numPr>
          <w:ilvl w:val="1"/>
          <w:numId w:val="142"/>
        </w:numPr>
        <w:jc w:val="thaiDistribute"/>
        <w:rPr>
          <w:rFonts w:cs="Arial"/>
          <w:b/>
          <w:bCs/>
          <w:sz w:val="24"/>
          <w:szCs w:val="24"/>
        </w:rPr>
      </w:pPr>
      <w:r w:rsidRPr="00A444A6">
        <w:rPr>
          <w:rFonts w:cs="Arial"/>
          <w:b/>
          <w:bCs/>
          <w:sz w:val="24"/>
          <w:szCs w:val="24"/>
        </w:rPr>
        <w:t xml:space="preserve">Methodology and analysis </w:t>
      </w:r>
    </w:p>
    <w:p w14:paraId="489AB6D1" w14:textId="77777777" w:rsidR="00F77A8C" w:rsidRPr="00A444A6" w:rsidRDefault="00F77A8C" w:rsidP="00F77A8C">
      <w:pPr>
        <w:pStyle w:val="ListParagraph"/>
        <w:ind w:left="900"/>
        <w:jc w:val="thaiDistribute"/>
        <w:rPr>
          <w:rFonts w:cs="Arial"/>
          <w:b/>
          <w:bCs/>
          <w:sz w:val="24"/>
          <w:szCs w:val="24"/>
        </w:rPr>
      </w:pPr>
    </w:p>
    <w:p w14:paraId="72644B43" w14:textId="77777777" w:rsidR="00F77A8C" w:rsidRPr="00A444A6" w:rsidRDefault="00F77A8C" w:rsidP="00F77A8C">
      <w:pPr>
        <w:spacing w:before="120" w:after="120"/>
        <w:jc w:val="thaiDistribute"/>
        <w:rPr>
          <w:sz w:val="24"/>
          <w:szCs w:val="24"/>
        </w:rPr>
      </w:pPr>
      <w:r w:rsidRPr="00A444A6">
        <w:rPr>
          <w:sz w:val="24"/>
          <w:szCs w:val="24"/>
        </w:rPr>
        <w:t xml:space="preserve">This governance assessment was conducted using a desk-based analytical approach combined with comparative indicator-based evaluation, aligned with the Transboundary Water Assessment Programme (TWAP) Governance Architecture </w:t>
      </w:r>
      <w:r w:rsidRPr="00A444A6">
        <w:rPr>
          <w:sz w:val="24"/>
          <w:szCs w:val="24"/>
        </w:rPr>
        <w:lastRenderedPageBreak/>
        <w:t>Assessment Framework (Fanning et al., 2017). The analysis focuses on four core governance components: economic arrangements, institutional setting, legal and policy frameworks, and civil society and stakeholder engagement.</w:t>
      </w:r>
    </w:p>
    <w:p w14:paraId="0CA8334B" w14:textId="77777777" w:rsidR="00F77A8C" w:rsidRPr="00A444A6" w:rsidRDefault="00F77A8C" w:rsidP="00F77A8C">
      <w:pPr>
        <w:spacing w:before="120" w:after="120"/>
        <w:jc w:val="thaiDistribute"/>
        <w:rPr>
          <w:sz w:val="24"/>
          <w:szCs w:val="24"/>
        </w:rPr>
      </w:pPr>
      <w:bookmarkStart w:id="32" w:name="_Hlk214619300"/>
      <w:r w:rsidRPr="00A444A6">
        <w:rPr>
          <w:sz w:val="24"/>
          <w:szCs w:val="24"/>
        </w:rPr>
        <w:t>Data were compiled through a desk-based review of official government documents, national strategies and legislation, budget and investment statistics, international reporting instruments, and peer-reviewed literature. Key national data sources included the Department of Marine and Coastal Resources (DMCR), Office of the National Economic and Social Development Council (NESDC), Bureau of the Budget, Board of Investment (BOI), and relevant ministry reports. International governance indicators, including the World Bank Worldwide Governance Indicators and the Environmental Performance Index (EPI), were used to contextualize national governance performance.</w:t>
      </w:r>
    </w:p>
    <w:p w14:paraId="2BC47194" w14:textId="77777777" w:rsidR="00F77A8C" w:rsidRPr="00A444A6" w:rsidRDefault="00F77A8C" w:rsidP="00F77A8C">
      <w:pPr>
        <w:spacing w:before="120" w:after="120"/>
        <w:jc w:val="thaiDistribute"/>
        <w:rPr>
          <w:sz w:val="24"/>
          <w:szCs w:val="24"/>
        </w:rPr>
      </w:pPr>
      <w:r w:rsidRPr="00A444A6">
        <w:rPr>
          <w:sz w:val="24"/>
          <w:szCs w:val="24"/>
        </w:rPr>
        <w:t>To assess transboundary governance architecture, Thailand’s national governance system was evaluated using the TWAP Governance Architecture Assessment Framework, based on three dimensions: completeness, integration, and engagement. A structured self-assessment was conducted using expert judgment informed by institutional mandates, legal coverage, participation mechanisms, and inter-agency coordination arrangements. Supporting quantitative and qualitative evidence from previous regional studies and project reports was used to validate the assessment results.</w:t>
      </w:r>
    </w:p>
    <w:p w14:paraId="2A46107C" w14:textId="77777777" w:rsidR="00F77A8C" w:rsidRPr="00A444A6" w:rsidRDefault="00F77A8C" w:rsidP="00F77A8C">
      <w:pPr>
        <w:spacing w:before="120" w:after="120"/>
        <w:jc w:val="thaiDistribute"/>
        <w:rPr>
          <w:sz w:val="24"/>
          <w:szCs w:val="24"/>
        </w:rPr>
      </w:pPr>
      <w:r w:rsidRPr="00A444A6">
        <w:rPr>
          <w:sz w:val="24"/>
          <w:szCs w:val="24"/>
        </w:rPr>
        <w:t>The analysis integrates findings across governance components to identify systemic strengths, gaps, risks, and enabling conditions relevant to transboundary ecosystem management. Particular attention is given to stakeholder participation, inter-sectoral coordination, financing capacity, and implementation effectiveness at both national and provincial levels. All detailed datasets, methodological tools, and supplementary materials used in this assessment are provided in the Annexes to support transparency and replicability.</w:t>
      </w:r>
    </w:p>
    <w:p w14:paraId="5CF33718" w14:textId="77777777" w:rsidR="00F77A8C" w:rsidRPr="00A444A6" w:rsidRDefault="00F77A8C" w:rsidP="00F77A8C">
      <w:pPr>
        <w:spacing w:before="120" w:after="120"/>
        <w:jc w:val="thaiDistribute"/>
        <w:rPr>
          <w:b/>
          <w:bCs/>
          <w:sz w:val="24"/>
          <w:szCs w:val="24"/>
        </w:rPr>
      </w:pPr>
    </w:p>
    <w:p w14:paraId="79956995" w14:textId="77777777" w:rsidR="00F77A8C" w:rsidRPr="00A444A6" w:rsidRDefault="00F77A8C" w:rsidP="00F77A8C">
      <w:pPr>
        <w:spacing w:before="120" w:after="120"/>
        <w:jc w:val="thaiDistribute"/>
        <w:rPr>
          <w:color w:val="EE0000"/>
          <w:sz w:val="24"/>
          <w:szCs w:val="24"/>
        </w:rPr>
      </w:pPr>
      <w:r w:rsidRPr="00A444A6">
        <w:rPr>
          <w:b/>
          <w:bCs/>
          <w:color w:val="EE0000"/>
          <w:sz w:val="24"/>
          <w:szCs w:val="24"/>
        </w:rPr>
        <w:t>Glossary</w:t>
      </w:r>
    </w:p>
    <w:p w14:paraId="74007F79" w14:textId="77777777" w:rsidR="00F77A8C" w:rsidRPr="00A444A6" w:rsidRDefault="00F77A8C" w:rsidP="00F77A8C">
      <w:pPr>
        <w:jc w:val="thaiDistribute"/>
        <w:rPr>
          <w:color w:val="EE0000"/>
          <w:sz w:val="24"/>
          <w:szCs w:val="24"/>
        </w:rPr>
      </w:pPr>
      <w:r w:rsidRPr="00A444A6">
        <w:rPr>
          <w:color w:val="EE0000"/>
          <w:sz w:val="24"/>
          <w:szCs w:val="24"/>
        </w:rPr>
        <w:t>DMCR</w:t>
      </w:r>
      <w:r w:rsidRPr="00A444A6">
        <w:rPr>
          <w:color w:val="EE0000"/>
          <w:sz w:val="24"/>
          <w:szCs w:val="24"/>
        </w:rPr>
        <w:tab/>
      </w:r>
      <w:r w:rsidRPr="00A444A6">
        <w:rPr>
          <w:color w:val="EE0000"/>
          <w:sz w:val="24"/>
          <w:szCs w:val="24"/>
        </w:rPr>
        <w:tab/>
        <w:t xml:space="preserve">Department of Marine and Coastal Resources </w:t>
      </w:r>
    </w:p>
    <w:p w14:paraId="52273905" w14:textId="77777777" w:rsidR="00F77A8C" w:rsidRPr="00A444A6" w:rsidRDefault="00F77A8C" w:rsidP="00F77A8C">
      <w:pPr>
        <w:jc w:val="thaiDistribute"/>
        <w:rPr>
          <w:color w:val="EE0000"/>
          <w:sz w:val="24"/>
          <w:szCs w:val="24"/>
        </w:rPr>
      </w:pPr>
      <w:r w:rsidRPr="00A444A6">
        <w:rPr>
          <w:color w:val="EE0000"/>
          <w:sz w:val="24"/>
          <w:szCs w:val="24"/>
        </w:rPr>
        <w:t>DCCE</w:t>
      </w:r>
      <w:r w:rsidRPr="00A444A6">
        <w:rPr>
          <w:color w:val="EE0000"/>
          <w:sz w:val="24"/>
          <w:szCs w:val="24"/>
        </w:rPr>
        <w:tab/>
      </w:r>
      <w:r w:rsidRPr="00A444A6">
        <w:rPr>
          <w:color w:val="EE0000"/>
          <w:sz w:val="24"/>
          <w:szCs w:val="24"/>
        </w:rPr>
        <w:tab/>
        <w:t>Department of Climate Change and Environment, the primary</w:t>
      </w:r>
    </w:p>
    <w:p w14:paraId="45C35C98" w14:textId="77777777" w:rsidR="00F77A8C" w:rsidRPr="00A444A6" w:rsidRDefault="00F77A8C" w:rsidP="00F77A8C">
      <w:pPr>
        <w:ind w:left="720" w:firstLine="720"/>
        <w:jc w:val="thaiDistribute"/>
        <w:rPr>
          <w:color w:val="EE0000"/>
          <w:sz w:val="24"/>
          <w:szCs w:val="24"/>
        </w:rPr>
      </w:pPr>
      <w:r w:rsidRPr="00A444A6">
        <w:rPr>
          <w:color w:val="EE0000"/>
          <w:sz w:val="24"/>
          <w:szCs w:val="24"/>
        </w:rPr>
        <w:t>A government agency in Thailand responsible for climate policy and</w:t>
      </w:r>
    </w:p>
    <w:p w14:paraId="72C3FCA5" w14:textId="77777777" w:rsidR="00F77A8C" w:rsidRPr="00A444A6" w:rsidRDefault="00F77A8C" w:rsidP="00F77A8C">
      <w:pPr>
        <w:ind w:left="720" w:firstLine="720"/>
        <w:jc w:val="thaiDistribute"/>
        <w:rPr>
          <w:color w:val="EE0000"/>
          <w:sz w:val="24"/>
          <w:szCs w:val="24"/>
        </w:rPr>
      </w:pPr>
      <w:r w:rsidRPr="00A444A6">
        <w:rPr>
          <w:color w:val="EE0000"/>
          <w:sz w:val="24"/>
          <w:szCs w:val="24"/>
        </w:rPr>
        <w:t>environmental management</w:t>
      </w:r>
      <w:r w:rsidRPr="00A444A6">
        <w:rPr>
          <w:color w:val="EE0000"/>
          <w:sz w:val="24"/>
          <w:szCs w:val="24"/>
          <w:cs/>
        </w:rPr>
        <w:t>.</w:t>
      </w:r>
    </w:p>
    <w:p w14:paraId="63C04671" w14:textId="77777777" w:rsidR="00F77A8C" w:rsidRPr="00A444A6" w:rsidRDefault="00F77A8C" w:rsidP="00F77A8C">
      <w:pPr>
        <w:jc w:val="thaiDistribute"/>
        <w:rPr>
          <w:color w:val="EE0000"/>
          <w:sz w:val="24"/>
          <w:szCs w:val="24"/>
        </w:rPr>
      </w:pPr>
      <w:r w:rsidRPr="00A444A6">
        <w:rPr>
          <w:color w:val="EE0000"/>
          <w:sz w:val="24"/>
          <w:szCs w:val="24"/>
        </w:rPr>
        <w:t xml:space="preserve">DOF </w:t>
      </w:r>
      <w:r w:rsidRPr="00A444A6">
        <w:rPr>
          <w:color w:val="EE0000"/>
          <w:sz w:val="24"/>
          <w:szCs w:val="24"/>
        </w:rPr>
        <w:tab/>
      </w:r>
      <w:r w:rsidRPr="00A444A6">
        <w:rPr>
          <w:color w:val="EE0000"/>
          <w:sz w:val="24"/>
          <w:szCs w:val="24"/>
        </w:rPr>
        <w:tab/>
        <w:t xml:space="preserve">Department of Fisheries </w:t>
      </w:r>
    </w:p>
    <w:p w14:paraId="625B4AAB" w14:textId="77777777" w:rsidR="00F77A8C" w:rsidRPr="00A444A6" w:rsidRDefault="00F77A8C" w:rsidP="00F77A8C">
      <w:pPr>
        <w:jc w:val="thaiDistribute"/>
        <w:rPr>
          <w:color w:val="EE0000"/>
          <w:sz w:val="24"/>
          <w:szCs w:val="24"/>
        </w:rPr>
      </w:pPr>
      <w:r w:rsidRPr="00A444A6">
        <w:rPr>
          <w:color w:val="EE0000"/>
          <w:sz w:val="24"/>
          <w:szCs w:val="24"/>
        </w:rPr>
        <w:t xml:space="preserve">GDP </w:t>
      </w:r>
      <w:r w:rsidRPr="00A444A6">
        <w:rPr>
          <w:color w:val="EE0000"/>
          <w:sz w:val="24"/>
          <w:szCs w:val="24"/>
        </w:rPr>
        <w:tab/>
      </w:r>
      <w:r w:rsidRPr="00A444A6">
        <w:rPr>
          <w:color w:val="EE0000"/>
          <w:sz w:val="24"/>
          <w:szCs w:val="24"/>
        </w:rPr>
        <w:tab/>
        <w:t>Gross Domestic Product: the total monetary or market value of all</w:t>
      </w:r>
    </w:p>
    <w:p w14:paraId="634C785B" w14:textId="77777777" w:rsidR="00F77A8C" w:rsidRPr="00A444A6" w:rsidRDefault="00F77A8C" w:rsidP="00F77A8C">
      <w:pPr>
        <w:ind w:left="720" w:firstLine="720"/>
        <w:jc w:val="thaiDistribute"/>
        <w:rPr>
          <w:color w:val="EE0000"/>
          <w:sz w:val="24"/>
          <w:szCs w:val="24"/>
        </w:rPr>
      </w:pPr>
      <w:r w:rsidRPr="00A444A6">
        <w:rPr>
          <w:color w:val="EE0000"/>
          <w:sz w:val="24"/>
          <w:szCs w:val="24"/>
        </w:rPr>
        <w:t>the finished goods and services produced within a country's</w:t>
      </w:r>
    </w:p>
    <w:p w14:paraId="07B22D07" w14:textId="77777777" w:rsidR="00F77A8C" w:rsidRPr="00A444A6" w:rsidRDefault="00F77A8C" w:rsidP="00F77A8C">
      <w:pPr>
        <w:ind w:left="720" w:firstLine="720"/>
        <w:jc w:val="thaiDistribute"/>
        <w:rPr>
          <w:color w:val="EE0000"/>
          <w:sz w:val="24"/>
          <w:szCs w:val="24"/>
        </w:rPr>
      </w:pPr>
      <w:r w:rsidRPr="00A444A6">
        <w:rPr>
          <w:color w:val="EE0000"/>
          <w:sz w:val="24"/>
          <w:szCs w:val="24"/>
        </w:rPr>
        <w:t>borders in a specific time period</w:t>
      </w:r>
      <w:r w:rsidRPr="00A444A6">
        <w:rPr>
          <w:color w:val="EE0000"/>
          <w:sz w:val="24"/>
          <w:szCs w:val="24"/>
          <w:cs/>
        </w:rPr>
        <w:t>.</w:t>
      </w:r>
    </w:p>
    <w:p w14:paraId="59762395" w14:textId="77777777" w:rsidR="00F77A8C" w:rsidRPr="00A444A6" w:rsidRDefault="00F77A8C" w:rsidP="00F77A8C">
      <w:pPr>
        <w:jc w:val="thaiDistribute"/>
        <w:rPr>
          <w:color w:val="EE0000"/>
          <w:sz w:val="24"/>
          <w:szCs w:val="24"/>
        </w:rPr>
      </w:pPr>
      <w:r w:rsidRPr="00A444A6">
        <w:rPr>
          <w:color w:val="EE0000"/>
          <w:sz w:val="24"/>
          <w:szCs w:val="24"/>
        </w:rPr>
        <w:t>GPP</w:t>
      </w:r>
      <w:r w:rsidRPr="00A444A6">
        <w:rPr>
          <w:color w:val="EE0000"/>
          <w:sz w:val="24"/>
          <w:szCs w:val="24"/>
        </w:rPr>
        <w:tab/>
      </w:r>
      <w:r w:rsidRPr="00A444A6">
        <w:rPr>
          <w:color w:val="EE0000"/>
          <w:sz w:val="24"/>
          <w:szCs w:val="24"/>
        </w:rPr>
        <w:tab/>
        <w:t>Gross Provincial Product; the total economic value of all final</w:t>
      </w:r>
    </w:p>
    <w:p w14:paraId="243FF441" w14:textId="77777777" w:rsidR="00F77A8C" w:rsidRPr="00A444A6" w:rsidRDefault="00F77A8C" w:rsidP="00F77A8C">
      <w:pPr>
        <w:ind w:left="720" w:firstLine="720"/>
        <w:jc w:val="thaiDistribute"/>
        <w:rPr>
          <w:color w:val="EE0000"/>
          <w:sz w:val="24"/>
          <w:szCs w:val="24"/>
        </w:rPr>
      </w:pPr>
      <w:r w:rsidRPr="00A444A6">
        <w:rPr>
          <w:color w:val="EE0000"/>
          <w:sz w:val="24"/>
          <w:szCs w:val="24"/>
        </w:rPr>
        <w:t>goods and services produced within a specific province during a</w:t>
      </w:r>
    </w:p>
    <w:p w14:paraId="448A3562" w14:textId="77777777" w:rsidR="00F77A8C" w:rsidRPr="00A444A6" w:rsidRDefault="00F77A8C" w:rsidP="00F77A8C">
      <w:pPr>
        <w:ind w:left="720" w:firstLine="720"/>
        <w:jc w:val="thaiDistribute"/>
        <w:rPr>
          <w:color w:val="EE0000"/>
          <w:sz w:val="24"/>
          <w:szCs w:val="24"/>
        </w:rPr>
      </w:pPr>
      <w:r w:rsidRPr="00A444A6">
        <w:rPr>
          <w:color w:val="EE0000"/>
          <w:sz w:val="24"/>
          <w:szCs w:val="24"/>
        </w:rPr>
        <w:t>given period</w:t>
      </w:r>
      <w:r w:rsidRPr="00A444A6">
        <w:rPr>
          <w:color w:val="EE0000"/>
          <w:sz w:val="24"/>
          <w:szCs w:val="24"/>
          <w:cs/>
        </w:rPr>
        <w:t>.</w:t>
      </w:r>
      <w:r w:rsidRPr="00A444A6">
        <w:rPr>
          <w:color w:val="EE0000"/>
          <w:sz w:val="24"/>
          <w:szCs w:val="24"/>
        </w:rPr>
        <w:t xml:space="preserve"> </w:t>
      </w:r>
    </w:p>
    <w:p w14:paraId="052ECD4B" w14:textId="77777777" w:rsidR="00F77A8C" w:rsidRPr="00A444A6" w:rsidRDefault="00F77A8C" w:rsidP="00F77A8C">
      <w:pPr>
        <w:jc w:val="thaiDistribute"/>
        <w:rPr>
          <w:color w:val="EE0000"/>
          <w:sz w:val="24"/>
          <w:szCs w:val="24"/>
        </w:rPr>
      </w:pPr>
      <w:r w:rsidRPr="00A444A6">
        <w:rPr>
          <w:color w:val="EE0000"/>
          <w:sz w:val="24"/>
          <w:szCs w:val="24"/>
        </w:rPr>
        <w:t>TDA</w:t>
      </w:r>
      <w:r w:rsidRPr="00A444A6">
        <w:rPr>
          <w:color w:val="EE0000"/>
          <w:sz w:val="24"/>
          <w:szCs w:val="24"/>
        </w:rPr>
        <w:tab/>
      </w:r>
      <w:r w:rsidRPr="00A444A6">
        <w:rPr>
          <w:color w:val="EE0000"/>
          <w:sz w:val="24"/>
          <w:szCs w:val="24"/>
        </w:rPr>
        <w:tab/>
        <w:t>Transboundary Diagnostic Analysis</w:t>
      </w:r>
    </w:p>
    <w:p w14:paraId="6F865DCE" w14:textId="77777777" w:rsidR="00F77A8C" w:rsidRPr="00A444A6" w:rsidRDefault="00F77A8C" w:rsidP="00F77A8C">
      <w:pPr>
        <w:ind w:left="720" w:hanging="720"/>
        <w:jc w:val="thaiDistribute"/>
        <w:rPr>
          <w:color w:val="EE0000"/>
          <w:sz w:val="24"/>
          <w:szCs w:val="24"/>
        </w:rPr>
      </w:pPr>
      <w:r w:rsidRPr="00A444A6">
        <w:rPr>
          <w:color w:val="EE0000"/>
          <w:sz w:val="24"/>
          <w:szCs w:val="24"/>
        </w:rPr>
        <w:t xml:space="preserve">TWAP </w:t>
      </w:r>
      <w:r w:rsidRPr="00A444A6">
        <w:rPr>
          <w:color w:val="EE0000"/>
          <w:sz w:val="24"/>
          <w:szCs w:val="24"/>
        </w:rPr>
        <w:tab/>
        <w:t>Transboundary Water Assessment Programme</w:t>
      </w:r>
    </w:p>
    <w:p w14:paraId="10C9A472" w14:textId="77777777" w:rsidR="00F77A8C" w:rsidRPr="00A444A6" w:rsidRDefault="00F77A8C" w:rsidP="00F77A8C">
      <w:pPr>
        <w:ind w:left="720" w:hanging="720"/>
        <w:jc w:val="thaiDistribute"/>
        <w:rPr>
          <w:color w:val="EE0000"/>
          <w:sz w:val="24"/>
          <w:szCs w:val="24"/>
        </w:rPr>
      </w:pPr>
      <w:r w:rsidRPr="00A444A6">
        <w:rPr>
          <w:color w:val="EE0000"/>
          <w:sz w:val="24"/>
          <w:szCs w:val="24"/>
        </w:rPr>
        <w:t xml:space="preserve">More xxxx </w:t>
      </w:r>
    </w:p>
    <w:p w14:paraId="22B65F97" w14:textId="77777777" w:rsidR="00F77A8C" w:rsidRPr="00A444A6" w:rsidRDefault="00F77A8C" w:rsidP="00F77A8C">
      <w:pPr>
        <w:spacing w:before="120" w:after="120"/>
        <w:ind w:left="720" w:firstLine="720"/>
        <w:jc w:val="thaiDistribute"/>
        <w:rPr>
          <w:color w:val="EE0000"/>
          <w:sz w:val="24"/>
          <w:szCs w:val="24"/>
        </w:rPr>
      </w:pPr>
    </w:p>
    <w:p w14:paraId="497DE3D8" w14:textId="77777777" w:rsidR="00F77A8C" w:rsidRPr="00A444A6" w:rsidRDefault="00F77A8C" w:rsidP="00F77A8C">
      <w:pPr>
        <w:spacing w:before="120" w:after="120"/>
        <w:ind w:left="720" w:hanging="720"/>
        <w:jc w:val="thaiDistribute"/>
        <w:rPr>
          <w:color w:val="EE0000"/>
          <w:sz w:val="24"/>
          <w:szCs w:val="24"/>
        </w:rPr>
      </w:pPr>
      <w:r w:rsidRPr="00A444A6">
        <w:rPr>
          <w:b/>
          <w:bCs/>
          <w:color w:val="EE0000"/>
          <w:sz w:val="24"/>
          <w:szCs w:val="24"/>
        </w:rPr>
        <w:t>Acknowledgement</w:t>
      </w:r>
      <w:r w:rsidRPr="00A444A6">
        <w:rPr>
          <w:color w:val="EE0000"/>
          <w:sz w:val="24"/>
          <w:szCs w:val="24"/>
        </w:rPr>
        <w:t xml:space="preserve"> </w:t>
      </w:r>
    </w:p>
    <w:p w14:paraId="7D9AB3F3" w14:textId="77777777" w:rsidR="00F77A8C" w:rsidRPr="00A444A6" w:rsidRDefault="00F77A8C" w:rsidP="00F77A8C">
      <w:pPr>
        <w:ind w:left="720" w:hanging="720"/>
        <w:jc w:val="thaiDistribute"/>
        <w:rPr>
          <w:color w:val="EE0000"/>
          <w:sz w:val="24"/>
          <w:szCs w:val="24"/>
        </w:rPr>
      </w:pPr>
      <w:r w:rsidRPr="00A444A6">
        <w:rPr>
          <w:color w:val="EE0000"/>
          <w:sz w:val="24"/>
          <w:szCs w:val="24"/>
        </w:rPr>
        <w:t>The author gratefully acknowledges the Department of Marine and Coastal Resources</w:t>
      </w:r>
    </w:p>
    <w:p w14:paraId="32F6735B" w14:textId="77777777" w:rsidR="00F77A8C" w:rsidRPr="00A444A6" w:rsidRDefault="00F77A8C" w:rsidP="00F77A8C">
      <w:pPr>
        <w:ind w:left="720" w:hanging="720"/>
        <w:jc w:val="thaiDistribute"/>
        <w:rPr>
          <w:color w:val="EE0000"/>
          <w:sz w:val="24"/>
          <w:szCs w:val="24"/>
        </w:rPr>
      </w:pPr>
      <w:r w:rsidRPr="00A444A6">
        <w:rPr>
          <w:color w:val="EE0000"/>
          <w:sz w:val="24"/>
          <w:szCs w:val="24"/>
          <w:cs/>
        </w:rPr>
        <w:lastRenderedPageBreak/>
        <w:t>(</w:t>
      </w:r>
      <w:r w:rsidRPr="00A444A6">
        <w:rPr>
          <w:color w:val="EE0000"/>
          <w:sz w:val="24"/>
          <w:szCs w:val="24"/>
        </w:rPr>
        <w:t>DMCR</w:t>
      </w:r>
      <w:r w:rsidRPr="00A444A6">
        <w:rPr>
          <w:color w:val="EE0000"/>
          <w:sz w:val="24"/>
          <w:szCs w:val="24"/>
          <w:cs/>
        </w:rPr>
        <w:t xml:space="preserve">) </w:t>
      </w:r>
      <w:r w:rsidRPr="00A444A6">
        <w:rPr>
          <w:color w:val="EE0000"/>
          <w:sz w:val="24"/>
          <w:szCs w:val="24"/>
        </w:rPr>
        <w:t>for serving as the National Coordinator for Thailand</w:t>
      </w:r>
      <w:r w:rsidRPr="00A444A6">
        <w:rPr>
          <w:color w:val="EE0000"/>
          <w:sz w:val="24"/>
          <w:szCs w:val="24"/>
          <w:cs/>
        </w:rPr>
        <w:t xml:space="preserve">. </w:t>
      </w:r>
      <w:r w:rsidRPr="00A444A6">
        <w:rPr>
          <w:color w:val="EE0000"/>
          <w:sz w:val="24"/>
          <w:szCs w:val="24"/>
        </w:rPr>
        <w:t>Sincere appreciation is</w:t>
      </w:r>
    </w:p>
    <w:p w14:paraId="33B42A20" w14:textId="77777777" w:rsidR="00F77A8C" w:rsidRPr="00A444A6" w:rsidRDefault="00F77A8C" w:rsidP="00F77A8C">
      <w:pPr>
        <w:ind w:left="720" w:hanging="720"/>
        <w:jc w:val="thaiDistribute"/>
        <w:rPr>
          <w:color w:val="EE0000"/>
          <w:sz w:val="24"/>
          <w:szCs w:val="24"/>
        </w:rPr>
      </w:pPr>
      <w:r w:rsidRPr="00A444A6">
        <w:rPr>
          <w:color w:val="EE0000"/>
          <w:sz w:val="24"/>
          <w:szCs w:val="24"/>
        </w:rPr>
        <w:t>extended to the regional team for their technical guidance, and to all experts and</w:t>
      </w:r>
    </w:p>
    <w:p w14:paraId="21C0CCB7" w14:textId="77777777" w:rsidR="00F77A8C" w:rsidRPr="00A444A6" w:rsidRDefault="00F77A8C" w:rsidP="00F77A8C">
      <w:pPr>
        <w:ind w:left="720" w:hanging="720"/>
        <w:jc w:val="thaiDistribute"/>
        <w:rPr>
          <w:color w:val="EE0000"/>
          <w:sz w:val="24"/>
          <w:szCs w:val="24"/>
        </w:rPr>
      </w:pPr>
      <w:r w:rsidRPr="00A444A6">
        <w:rPr>
          <w:color w:val="EE0000"/>
          <w:sz w:val="24"/>
          <w:szCs w:val="24"/>
        </w:rPr>
        <w:t>stakeholders for their contributions to the completion of this National Transboundary</w:t>
      </w:r>
    </w:p>
    <w:p w14:paraId="7C7A6011" w14:textId="77777777" w:rsidR="00F77A8C" w:rsidRPr="00A444A6" w:rsidRDefault="00F77A8C" w:rsidP="00F77A8C">
      <w:pPr>
        <w:ind w:left="720" w:hanging="720"/>
        <w:jc w:val="thaiDistribute"/>
        <w:rPr>
          <w:color w:val="EE0000"/>
          <w:sz w:val="24"/>
          <w:szCs w:val="24"/>
        </w:rPr>
      </w:pPr>
      <w:r w:rsidRPr="00A444A6">
        <w:rPr>
          <w:color w:val="EE0000"/>
          <w:sz w:val="24"/>
          <w:szCs w:val="24"/>
        </w:rPr>
        <w:t>Diagnostic Analysis</w:t>
      </w:r>
      <w:r w:rsidRPr="00A444A6">
        <w:rPr>
          <w:color w:val="EE0000"/>
          <w:sz w:val="24"/>
          <w:szCs w:val="24"/>
          <w:cs/>
        </w:rPr>
        <w:t>.</w:t>
      </w:r>
    </w:p>
    <w:p w14:paraId="7DC47956" w14:textId="77777777" w:rsidR="00F77A8C" w:rsidRPr="00A444A6" w:rsidRDefault="00F77A8C" w:rsidP="00F77A8C">
      <w:pPr>
        <w:spacing w:before="120" w:after="120"/>
        <w:ind w:left="720" w:hanging="720"/>
        <w:jc w:val="thaiDistribute"/>
        <w:rPr>
          <w:color w:val="EE0000"/>
          <w:sz w:val="24"/>
          <w:szCs w:val="24"/>
        </w:rPr>
      </w:pPr>
    </w:p>
    <w:p w14:paraId="756FE089" w14:textId="77777777" w:rsidR="00F77A8C" w:rsidRPr="00A444A6" w:rsidRDefault="00F77A8C" w:rsidP="00F77A8C">
      <w:pPr>
        <w:spacing w:before="120" w:after="120"/>
        <w:ind w:left="720" w:hanging="720"/>
        <w:jc w:val="thaiDistribute"/>
        <w:rPr>
          <w:b/>
          <w:bCs/>
          <w:color w:val="EE0000"/>
          <w:sz w:val="24"/>
          <w:szCs w:val="24"/>
        </w:rPr>
      </w:pPr>
      <w:r w:rsidRPr="00A444A6">
        <w:rPr>
          <w:b/>
          <w:bCs/>
          <w:color w:val="EE0000"/>
          <w:sz w:val="24"/>
          <w:szCs w:val="24"/>
        </w:rPr>
        <w:t>Author contributions</w:t>
      </w:r>
    </w:p>
    <w:p w14:paraId="6005D131" w14:textId="77777777" w:rsidR="00F77A8C" w:rsidRPr="00A444A6" w:rsidRDefault="00F77A8C" w:rsidP="00F77A8C">
      <w:pPr>
        <w:ind w:left="720" w:hanging="720"/>
        <w:jc w:val="thaiDistribute"/>
        <w:rPr>
          <w:color w:val="EE0000"/>
          <w:sz w:val="24"/>
          <w:szCs w:val="24"/>
        </w:rPr>
      </w:pPr>
      <w:r w:rsidRPr="00A444A6">
        <w:rPr>
          <w:color w:val="EE0000"/>
          <w:sz w:val="24"/>
          <w:szCs w:val="24"/>
        </w:rPr>
        <w:t>Suvaluck Satumanatpan</w:t>
      </w:r>
      <w:r w:rsidRPr="00A444A6">
        <w:rPr>
          <w:color w:val="EE0000"/>
          <w:sz w:val="24"/>
          <w:szCs w:val="24"/>
          <w:cs/>
        </w:rPr>
        <w:t>:</w:t>
      </w:r>
      <w:r w:rsidRPr="00A444A6">
        <w:rPr>
          <w:color w:val="EE0000"/>
          <w:sz w:val="24"/>
          <w:szCs w:val="24"/>
        </w:rPr>
        <w:t xml:space="preserve"> Methodology, Validation, Investigation, Visualization,</w:t>
      </w:r>
    </w:p>
    <w:p w14:paraId="4A135D30" w14:textId="77777777" w:rsidR="002314E7" w:rsidRDefault="00F77A8C" w:rsidP="00F77A8C">
      <w:pPr>
        <w:ind w:left="720" w:hanging="720"/>
        <w:jc w:val="thaiDistribute"/>
        <w:rPr>
          <w:color w:val="EE0000"/>
          <w:sz w:val="24"/>
          <w:szCs w:val="24"/>
        </w:rPr>
      </w:pPr>
      <w:r w:rsidRPr="00A444A6">
        <w:rPr>
          <w:color w:val="EE0000"/>
          <w:sz w:val="24"/>
          <w:szCs w:val="24"/>
        </w:rPr>
        <w:t>Writing</w:t>
      </w:r>
      <w:r w:rsidRPr="00A444A6">
        <w:rPr>
          <w:color w:val="EE0000"/>
          <w:sz w:val="24"/>
          <w:szCs w:val="24"/>
          <w:cs/>
        </w:rPr>
        <w:t>-</w:t>
      </w:r>
      <w:r w:rsidRPr="00A444A6">
        <w:rPr>
          <w:color w:val="EE0000"/>
          <w:sz w:val="24"/>
          <w:szCs w:val="24"/>
        </w:rPr>
        <w:t>Original draft, Writing</w:t>
      </w:r>
      <w:r w:rsidRPr="00A444A6">
        <w:rPr>
          <w:color w:val="EE0000"/>
          <w:sz w:val="24"/>
          <w:szCs w:val="24"/>
          <w:cs/>
        </w:rPr>
        <w:t>-</w:t>
      </w:r>
      <w:r w:rsidRPr="00A444A6">
        <w:rPr>
          <w:color w:val="EE0000"/>
          <w:sz w:val="24"/>
          <w:szCs w:val="24"/>
        </w:rPr>
        <w:t>Review &amp; Editing,  Megan Kinght: Methodology, Writing</w:t>
      </w:r>
      <w:r w:rsidRPr="00A444A6">
        <w:rPr>
          <w:color w:val="EE0000"/>
          <w:sz w:val="24"/>
          <w:szCs w:val="24"/>
          <w:cs/>
        </w:rPr>
        <w:t>-</w:t>
      </w:r>
      <w:r w:rsidRPr="00A444A6">
        <w:rPr>
          <w:color w:val="EE0000"/>
          <w:sz w:val="24"/>
          <w:szCs w:val="24"/>
        </w:rPr>
        <w:t>Review &amp; Editing</w:t>
      </w:r>
    </w:p>
    <w:p w14:paraId="743D0F65" w14:textId="77777777" w:rsidR="002314E7" w:rsidRDefault="002314E7" w:rsidP="002314E7">
      <w:pPr>
        <w:jc w:val="thaiDistribute"/>
        <w:rPr>
          <w:color w:val="EE0000"/>
          <w:sz w:val="24"/>
          <w:szCs w:val="24"/>
        </w:rPr>
      </w:pPr>
    </w:p>
    <w:p w14:paraId="26F94C16" w14:textId="77777777" w:rsidR="002314E7" w:rsidRDefault="002314E7" w:rsidP="002314E7">
      <w:pPr>
        <w:jc w:val="thaiDistribute"/>
        <w:rPr>
          <w:color w:val="EE0000"/>
          <w:sz w:val="24"/>
          <w:szCs w:val="24"/>
        </w:rPr>
      </w:pPr>
    </w:p>
    <w:p w14:paraId="12E6A57D" w14:textId="65847E97" w:rsidR="00F77A8C" w:rsidRPr="002314E7" w:rsidRDefault="00F77A8C" w:rsidP="002314E7">
      <w:pPr>
        <w:jc w:val="thaiDistribute"/>
        <w:rPr>
          <w:sz w:val="24"/>
          <w:szCs w:val="24"/>
        </w:rPr>
      </w:pPr>
      <w:r w:rsidRPr="00A444A6">
        <w:rPr>
          <w:b/>
          <w:bCs/>
          <w:sz w:val="24"/>
          <w:szCs w:val="24"/>
        </w:rPr>
        <w:t xml:space="preserve">References (Dec 4,  2025) </w:t>
      </w:r>
    </w:p>
    <w:bookmarkEnd w:id="32"/>
    <w:p w14:paraId="356777B7" w14:textId="77777777" w:rsidR="00F77A8C" w:rsidRPr="00A444A6" w:rsidRDefault="00F77A8C" w:rsidP="00F77A8C">
      <w:pPr>
        <w:rPr>
          <w:sz w:val="24"/>
          <w:szCs w:val="24"/>
        </w:rPr>
      </w:pPr>
      <w:r w:rsidRPr="00A444A6">
        <w:rPr>
          <w:sz w:val="24"/>
          <w:szCs w:val="24"/>
        </w:rPr>
        <w:t xml:space="preserve">Block, S., Emerson, J. W., Esty, D. C., de Sherbinin, A., Wendling, Z. A., et al. (2024). </w:t>
      </w:r>
      <w:r w:rsidRPr="00A444A6">
        <w:rPr>
          <w:i/>
          <w:iCs/>
          <w:sz w:val="24"/>
          <w:szCs w:val="24"/>
        </w:rPr>
        <w:t>2024 Environmental Performance Index</w:t>
      </w:r>
      <w:r w:rsidRPr="00A444A6">
        <w:rPr>
          <w:sz w:val="24"/>
          <w:szCs w:val="24"/>
        </w:rPr>
        <w:t xml:space="preserve">. Yale Center for Environmental Law &amp; Policy. </w:t>
      </w:r>
      <w:r w:rsidRPr="00A444A6">
        <w:rPr>
          <w:sz w:val="24"/>
          <w:szCs w:val="24"/>
        </w:rPr>
        <w:fldChar w:fldCharType="begin"/>
      </w:r>
      <w:r w:rsidRPr="00A444A6">
        <w:rPr>
          <w:sz w:val="24"/>
          <w:szCs w:val="24"/>
        </w:rPr>
        <w:instrText>HYPERLINK "https://epi.yale.edu/" \t "_new"</w:instrText>
      </w:r>
      <w:r w:rsidRPr="00A444A6">
        <w:rPr>
          <w:sz w:val="24"/>
          <w:szCs w:val="24"/>
        </w:rPr>
      </w:r>
      <w:r w:rsidRPr="00A444A6">
        <w:rPr>
          <w:sz w:val="24"/>
          <w:szCs w:val="24"/>
        </w:rPr>
        <w:fldChar w:fldCharType="separate"/>
      </w:r>
      <w:r w:rsidRPr="00A444A6">
        <w:rPr>
          <w:rStyle w:val="Hyperlink"/>
          <w:sz w:val="24"/>
          <w:szCs w:val="24"/>
        </w:rPr>
        <w:t>https://epi.yale.edu/</w:t>
      </w:r>
      <w:r w:rsidRPr="00A444A6">
        <w:rPr>
          <w:sz w:val="24"/>
          <w:szCs w:val="24"/>
        </w:rPr>
        <w:fldChar w:fldCharType="end"/>
      </w:r>
    </w:p>
    <w:p w14:paraId="5D687002" w14:textId="77777777" w:rsidR="00F77A8C" w:rsidRPr="00A444A6" w:rsidRDefault="00F77A8C" w:rsidP="00F77A8C">
      <w:pPr>
        <w:rPr>
          <w:sz w:val="24"/>
          <w:szCs w:val="24"/>
        </w:rPr>
      </w:pPr>
    </w:p>
    <w:p w14:paraId="0A9DF657" w14:textId="77777777" w:rsidR="00F77A8C" w:rsidRPr="00A444A6" w:rsidRDefault="00F77A8C" w:rsidP="00F77A8C">
      <w:pPr>
        <w:rPr>
          <w:sz w:val="24"/>
          <w:szCs w:val="24"/>
        </w:rPr>
      </w:pPr>
      <w:r w:rsidRPr="00A444A6">
        <w:rPr>
          <w:sz w:val="24"/>
          <w:szCs w:val="24"/>
        </w:rPr>
        <w:t xml:space="preserve"> </w:t>
      </w:r>
    </w:p>
    <w:p w14:paraId="69001383" w14:textId="77777777" w:rsidR="00F77A8C" w:rsidRPr="00A444A6" w:rsidRDefault="00F77A8C" w:rsidP="00F77A8C">
      <w:pPr>
        <w:rPr>
          <w:sz w:val="24"/>
          <w:szCs w:val="24"/>
        </w:rPr>
      </w:pPr>
      <w:r w:rsidRPr="00A444A6">
        <w:rPr>
          <w:sz w:val="24"/>
          <w:szCs w:val="24"/>
        </w:rPr>
        <w:t xml:space="preserve">Bureau of the Budget. (2025). </w:t>
      </w:r>
      <w:r w:rsidRPr="00A444A6">
        <w:rPr>
          <w:i/>
          <w:iCs/>
          <w:sz w:val="24"/>
          <w:szCs w:val="24"/>
        </w:rPr>
        <w:t>Annual budget expenditure documents under the budget appropriation acts for fiscal years 2013–2023</w:t>
      </w:r>
      <w:r w:rsidRPr="00A444A6">
        <w:rPr>
          <w:sz w:val="24"/>
          <w:szCs w:val="24"/>
        </w:rPr>
        <w:t xml:space="preserve">. Bureau of the Budget, Office of the Prime Minister. </w:t>
      </w:r>
      <w:r w:rsidRPr="00A444A6">
        <w:rPr>
          <w:sz w:val="24"/>
          <w:szCs w:val="24"/>
        </w:rPr>
        <w:fldChar w:fldCharType="begin"/>
      </w:r>
      <w:r w:rsidRPr="00A444A6">
        <w:rPr>
          <w:sz w:val="24"/>
          <w:szCs w:val="24"/>
        </w:rPr>
        <w:instrText>HYPERLINK "https://www.bb.go.th/index.php" \t "_new"</w:instrText>
      </w:r>
      <w:r w:rsidRPr="00A444A6">
        <w:rPr>
          <w:sz w:val="24"/>
          <w:szCs w:val="24"/>
        </w:rPr>
      </w:r>
      <w:r w:rsidRPr="00A444A6">
        <w:rPr>
          <w:sz w:val="24"/>
          <w:szCs w:val="24"/>
        </w:rPr>
        <w:fldChar w:fldCharType="separate"/>
      </w:r>
      <w:r w:rsidRPr="00A444A6">
        <w:rPr>
          <w:rStyle w:val="Hyperlink"/>
          <w:sz w:val="24"/>
          <w:szCs w:val="24"/>
        </w:rPr>
        <w:t>https://www.bb.go.th/index.php</w:t>
      </w:r>
      <w:r w:rsidRPr="00A444A6">
        <w:rPr>
          <w:sz w:val="24"/>
          <w:szCs w:val="24"/>
        </w:rPr>
        <w:fldChar w:fldCharType="end"/>
      </w:r>
    </w:p>
    <w:p w14:paraId="42F9735D" w14:textId="77777777" w:rsidR="00F77A8C" w:rsidRPr="00A444A6" w:rsidRDefault="00F77A8C" w:rsidP="00F77A8C">
      <w:pPr>
        <w:pStyle w:val="NormalWeb"/>
        <w:contextualSpacing/>
        <w:rPr>
          <w:rFonts w:ascii="Arial" w:hAnsi="Arial" w:cs="Arial"/>
          <w:iCs/>
        </w:rPr>
      </w:pPr>
      <w:r w:rsidRPr="00A444A6">
        <w:rPr>
          <w:rFonts w:ascii="Arial" w:hAnsi="Arial" w:cs="Arial"/>
          <w:iCs/>
        </w:rPr>
        <w:t xml:space="preserve">Department of Business Development (DBD). (2025). </w:t>
      </w:r>
      <w:r w:rsidRPr="00A444A6">
        <w:rPr>
          <w:rFonts w:ascii="Arial" w:hAnsi="Arial" w:cs="Arial"/>
          <w:i/>
          <w:iCs/>
        </w:rPr>
        <w:t>Statistics data 2024</w:t>
      </w:r>
      <w:r w:rsidRPr="00A444A6">
        <w:rPr>
          <w:rFonts w:ascii="Arial" w:hAnsi="Arial" w:cs="Arial"/>
          <w:iCs/>
        </w:rPr>
        <w:t xml:space="preserve"> [Data set]. </w:t>
      </w:r>
      <w:r w:rsidRPr="00A444A6">
        <w:rPr>
          <w:rFonts w:ascii="Arial" w:hAnsi="Arial" w:cs="Arial"/>
        </w:rPr>
        <w:fldChar w:fldCharType="begin"/>
      </w:r>
      <w:r w:rsidRPr="00A444A6">
        <w:rPr>
          <w:rFonts w:ascii="Arial" w:hAnsi="Arial" w:cs="Arial"/>
        </w:rPr>
        <w:instrText>HYPERLINK "https://www.dbd.go.th/common-article/24" \t "_new"</w:instrText>
      </w:r>
      <w:r w:rsidRPr="00A444A6">
        <w:rPr>
          <w:rFonts w:ascii="Arial" w:hAnsi="Arial" w:cs="Arial"/>
        </w:rPr>
      </w:r>
      <w:r w:rsidRPr="00A444A6">
        <w:rPr>
          <w:rFonts w:ascii="Arial" w:hAnsi="Arial" w:cs="Arial"/>
        </w:rPr>
        <w:fldChar w:fldCharType="separate"/>
      </w:r>
      <w:r w:rsidRPr="00A444A6">
        <w:rPr>
          <w:rStyle w:val="Hyperlink"/>
          <w:rFonts w:ascii="Arial" w:hAnsi="Arial" w:cs="Arial"/>
          <w:iCs/>
        </w:rPr>
        <w:t>https://www.dbd.go.th/common-article/24</w:t>
      </w:r>
      <w:r w:rsidRPr="00A444A6">
        <w:rPr>
          <w:rFonts w:ascii="Arial" w:hAnsi="Arial" w:cs="Arial"/>
        </w:rPr>
        <w:fldChar w:fldCharType="end"/>
      </w:r>
    </w:p>
    <w:p w14:paraId="76CB8A67" w14:textId="77777777" w:rsidR="00F77A8C" w:rsidRPr="00A444A6" w:rsidRDefault="00F77A8C" w:rsidP="00F77A8C">
      <w:pPr>
        <w:pStyle w:val="NormalWeb"/>
        <w:rPr>
          <w:rFonts w:ascii="Arial" w:hAnsi="Arial" w:cs="Arial"/>
        </w:rPr>
      </w:pPr>
    </w:p>
    <w:p w14:paraId="79898687" w14:textId="77777777" w:rsidR="00F77A8C" w:rsidRPr="00A444A6" w:rsidRDefault="00F77A8C" w:rsidP="00F77A8C">
      <w:pPr>
        <w:pStyle w:val="NormalWeb"/>
        <w:rPr>
          <w:rFonts w:ascii="Arial" w:hAnsi="Arial" w:cs="Arial"/>
        </w:rPr>
      </w:pPr>
      <w:r w:rsidRPr="00A444A6">
        <w:rPr>
          <w:rFonts w:ascii="Arial" w:hAnsi="Arial" w:cs="Arial"/>
        </w:rPr>
        <w:t>Department of Marine and Coastal Resources. (2013). Thailand’s maritime territory. https://km.dmcr.go.th/c_54</w:t>
      </w:r>
    </w:p>
    <w:p w14:paraId="2BFAE5A6" w14:textId="77777777" w:rsidR="00F77A8C" w:rsidRPr="00A444A6" w:rsidRDefault="00F77A8C" w:rsidP="00F77A8C">
      <w:pPr>
        <w:pStyle w:val="NormalWeb"/>
        <w:rPr>
          <w:rFonts w:ascii="Arial" w:hAnsi="Arial" w:cs="Arial"/>
          <w:color w:val="EE0000"/>
        </w:rPr>
      </w:pPr>
      <w:r w:rsidRPr="00A444A6">
        <w:rPr>
          <w:rFonts w:ascii="Arial" w:hAnsi="Arial" w:cs="Arial"/>
          <w:color w:val="EE0000"/>
        </w:rPr>
        <w:t xml:space="preserve">Draft National Environmental Assessment (NE). 2025 (On-going).  </w:t>
      </w:r>
    </w:p>
    <w:p w14:paraId="5348EDD7" w14:textId="77777777" w:rsidR="00F77A8C" w:rsidRPr="00A444A6" w:rsidRDefault="00F77A8C" w:rsidP="00F77A8C">
      <w:pPr>
        <w:jc w:val="both"/>
        <w:rPr>
          <w:sz w:val="24"/>
          <w:szCs w:val="24"/>
        </w:rPr>
      </w:pPr>
      <w:r w:rsidRPr="00A444A6">
        <w:rPr>
          <w:sz w:val="24"/>
          <w:szCs w:val="24"/>
        </w:rPr>
        <w:t xml:space="preserve">Fanning, L., Mahon, R., Baldwin, K., &amp; Douglas, S. (2017). </w:t>
      </w:r>
      <w:r w:rsidRPr="00A444A6">
        <w:rPr>
          <w:i/>
          <w:iCs/>
          <w:sz w:val="24"/>
          <w:szCs w:val="24"/>
        </w:rPr>
        <w:t>Transboundary Waters Assessment Programme (TWAP) assessment of governance arrangements for the ocean, Volume 1: Transboundary large marine ecosystems—Supplement: Individual governance architecture assessment for fifty transboundary large marine ecosystems</w:t>
      </w:r>
      <w:r w:rsidRPr="00A444A6">
        <w:rPr>
          <w:sz w:val="24"/>
          <w:szCs w:val="24"/>
        </w:rPr>
        <w:t xml:space="preserve"> (IOC Technical Series No. 119, Vol. 1, Suppl., 834 pp.). IOC-UNESCO.</w:t>
      </w:r>
    </w:p>
    <w:p w14:paraId="2FD93775" w14:textId="77777777" w:rsidR="00F77A8C" w:rsidRPr="00A444A6" w:rsidRDefault="00F77A8C" w:rsidP="00F77A8C">
      <w:pPr>
        <w:jc w:val="both"/>
        <w:rPr>
          <w:sz w:val="24"/>
          <w:szCs w:val="24"/>
        </w:rPr>
      </w:pPr>
    </w:p>
    <w:p w14:paraId="3B3161FD" w14:textId="77777777" w:rsidR="00F77A8C" w:rsidRPr="00A444A6" w:rsidRDefault="00F77A8C" w:rsidP="00F77A8C">
      <w:pPr>
        <w:rPr>
          <w:sz w:val="24"/>
          <w:szCs w:val="24"/>
        </w:rPr>
      </w:pPr>
    </w:p>
    <w:p w14:paraId="7089029F" w14:textId="77777777" w:rsidR="00F77A8C" w:rsidRPr="00A444A6" w:rsidRDefault="00F77A8C" w:rsidP="00F77A8C">
      <w:pPr>
        <w:rPr>
          <w:sz w:val="24"/>
          <w:szCs w:val="24"/>
        </w:rPr>
      </w:pPr>
      <w:r w:rsidRPr="00A444A6">
        <w:rPr>
          <w:sz w:val="24"/>
          <w:szCs w:val="24"/>
        </w:rPr>
        <w:t xml:space="preserve">Office of the National Economic and Social Development Council (NESDC). (2025). </w:t>
      </w:r>
      <w:r w:rsidRPr="00A444A6">
        <w:rPr>
          <w:i/>
          <w:iCs/>
          <w:sz w:val="24"/>
          <w:szCs w:val="24"/>
        </w:rPr>
        <w:t>National accounts: Gross provincial product—Table of gross regional and provincial product 2023</w:t>
      </w:r>
      <w:r w:rsidRPr="00A444A6">
        <w:rPr>
          <w:sz w:val="24"/>
          <w:szCs w:val="24"/>
        </w:rPr>
        <w:t xml:space="preserve"> [Data set]. </w:t>
      </w:r>
      <w:r w:rsidRPr="00A444A6">
        <w:rPr>
          <w:sz w:val="24"/>
          <w:szCs w:val="24"/>
        </w:rPr>
        <w:fldChar w:fldCharType="begin"/>
      </w:r>
      <w:r w:rsidRPr="00A444A6">
        <w:rPr>
          <w:sz w:val="24"/>
          <w:szCs w:val="24"/>
        </w:rPr>
        <w:instrText>HYPERLINK "https://www.nesdc.go.th/en/info/gross-regional-and-provincial-product-gpp/" \t "_new"</w:instrText>
      </w:r>
      <w:r w:rsidRPr="00A444A6">
        <w:rPr>
          <w:sz w:val="24"/>
          <w:szCs w:val="24"/>
        </w:rPr>
      </w:r>
      <w:r w:rsidRPr="00A444A6">
        <w:rPr>
          <w:sz w:val="24"/>
          <w:szCs w:val="24"/>
        </w:rPr>
        <w:fldChar w:fldCharType="separate"/>
      </w:r>
      <w:r w:rsidRPr="00A444A6">
        <w:rPr>
          <w:rStyle w:val="Hyperlink"/>
          <w:sz w:val="24"/>
          <w:szCs w:val="24"/>
        </w:rPr>
        <w:t>https://www.nesdc.go.th/en/info/gross-regional-and-provincial-product-gpp/</w:t>
      </w:r>
      <w:r w:rsidRPr="00A444A6">
        <w:rPr>
          <w:sz w:val="24"/>
          <w:szCs w:val="24"/>
        </w:rPr>
        <w:fldChar w:fldCharType="end"/>
      </w:r>
      <w:r w:rsidRPr="00A444A6">
        <w:rPr>
          <w:sz w:val="24"/>
          <w:szCs w:val="24"/>
        </w:rPr>
        <w:t xml:space="preserve"> (access May 19, 2025) </w:t>
      </w:r>
    </w:p>
    <w:p w14:paraId="53367430" w14:textId="77777777" w:rsidR="00F77A8C" w:rsidRPr="00A444A6" w:rsidRDefault="00F77A8C" w:rsidP="00F77A8C">
      <w:pPr>
        <w:rPr>
          <w:sz w:val="24"/>
          <w:szCs w:val="24"/>
        </w:rPr>
      </w:pPr>
    </w:p>
    <w:p w14:paraId="6B143AF7" w14:textId="77777777" w:rsidR="00F77A8C" w:rsidRPr="00A444A6" w:rsidRDefault="00F77A8C" w:rsidP="00F77A8C">
      <w:pPr>
        <w:rPr>
          <w:sz w:val="24"/>
          <w:szCs w:val="24"/>
        </w:rPr>
      </w:pPr>
    </w:p>
    <w:p w14:paraId="0226F44B" w14:textId="77777777" w:rsidR="00F77A8C" w:rsidRPr="00A444A6" w:rsidRDefault="00F77A8C" w:rsidP="00F77A8C">
      <w:pPr>
        <w:rPr>
          <w:sz w:val="24"/>
          <w:szCs w:val="24"/>
        </w:rPr>
      </w:pPr>
      <w:r w:rsidRPr="00A444A6">
        <w:rPr>
          <w:sz w:val="24"/>
          <w:szCs w:val="24"/>
        </w:rPr>
        <w:t xml:space="preserve">Partnerships in Environmental Management for the Seas of East Asia (PEMSEA), &amp; Department of Marine and Coastal Resources (DMCR). (2019). </w:t>
      </w:r>
      <w:r w:rsidRPr="00A444A6">
        <w:rPr>
          <w:i/>
          <w:iCs/>
          <w:sz w:val="24"/>
          <w:szCs w:val="24"/>
        </w:rPr>
        <w:t>National state of oceans and coasts 2018: Blue economy growth of Thailand</w:t>
      </w:r>
      <w:r w:rsidRPr="00A444A6">
        <w:rPr>
          <w:sz w:val="24"/>
          <w:szCs w:val="24"/>
        </w:rPr>
        <w:t>. PEMSEA.</w:t>
      </w:r>
    </w:p>
    <w:p w14:paraId="2B769D91" w14:textId="77777777" w:rsidR="00F77A8C" w:rsidRPr="00A444A6" w:rsidRDefault="00F77A8C" w:rsidP="00F77A8C">
      <w:pPr>
        <w:rPr>
          <w:sz w:val="24"/>
          <w:szCs w:val="24"/>
        </w:rPr>
      </w:pPr>
    </w:p>
    <w:p w14:paraId="00877FA0" w14:textId="77777777" w:rsidR="00F77A8C" w:rsidRPr="00A444A6" w:rsidRDefault="00F77A8C" w:rsidP="00F77A8C">
      <w:pPr>
        <w:rPr>
          <w:sz w:val="24"/>
          <w:szCs w:val="24"/>
        </w:rPr>
      </w:pPr>
    </w:p>
    <w:p w14:paraId="6937CD3A" w14:textId="77777777" w:rsidR="00F77A8C" w:rsidRPr="00A444A6" w:rsidRDefault="00F77A8C" w:rsidP="00F77A8C">
      <w:pPr>
        <w:rPr>
          <w:sz w:val="24"/>
          <w:szCs w:val="24"/>
        </w:rPr>
      </w:pPr>
      <w:r w:rsidRPr="00A444A6">
        <w:rPr>
          <w:sz w:val="24"/>
          <w:szCs w:val="24"/>
        </w:rPr>
        <w:t xml:space="preserve">Satumanatpan, S., Chuenpagdee, R., Traesupap, S., Yeemin, T., &amp; Jumtarashote, </w:t>
      </w:r>
      <w:r w:rsidRPr="00A444A6">
        <w:rPr>
          <w:sz w:val="24"/>
          <w:szCs w:val="24"/>
        </w:rPr>
        <w:lastRenderedPageBreak/>
        <w:t xml:space="preserve">K. (2024). Policy re-alignment for the implementation of the Small-Scale Fisheries Guidelines in Thailand. In J. Nakamura et al. (Eds.), </w:t>
      </w:r>
      <w:r w:rsidRPr="00A444A6">
        <w:rPr>
          <w:i/>
          <w:iCs/>
          <w:sz w:val="24"/>
          <w:szCs w:val="24"/>
        </w:rPr>
        <w:t>Implementation of the Small-Scale Fisheries Guidelines</w:t>
      </w:r>
      <w:r w:rsidRPr="00A444A6">
        <w:rPr>
          <w:sz w:val="24"/>
          <w:szCs w:val="24"/>
        </w:rPr>
        <w:t xml:space="preserve"> (MARE Publication Series, Vol. 28, pp. 167–187). Springer.</w:t>
      </w:r>
    </w:p>
    <w:p w14:paraId="1CC91B71" w14:textId="77777777" w:rsidR="00F77A8C" w:rsidRPr="00A444A6" w:rsidRDefault="00F77A8C" w:rsidP="00F77A8C">
      <w:pPr>
        <w:rPr>
          <w:sz w:val="24"/>
          <w:szCs w:val="24"/>
        </w:rPr>
      </w:pPr>
    </w:p>
    <w:p w14:paraId="6A2E762B" w14:textId="77777777" w:rsidR="00F77A8C" w:rsidRPr="00A444A6" w:rsidRDefault="00F77A8C" w:rsidP="00F77A8C">
      <w:pPr>
        <w:rPr>
          <w:sz w:val="24"/>
          <w:szCs w:val="24"/>
        </w:rPr>
      </w:pPr>
      <w:r w:rsidRPr="00A444A6">
        <w:rPr>
          <w:sz w:val="24"/>
          <w:szCs w:val="24"/>
        </w:rPr>
        <w:t xml:space="preserve">Satumanatpan, S., Moore, P., &amp; Plathong, S. (2018). Governance challenges for the sustainability of marine and coastal resources. In </w:t>
      </w:r>
      <w:r w:rsidRPr="00A444A6">
        <w:rPr>
          <w:i/>
          <w:iCs/>
          <w:sz w:val="24"/>
          <w:szCs w:val="24"/>
        </w:rPr>
        <w:t>Thailand: Environmental resources and related political and social issues</w:t>
      </w:r>
      <w:r w:rsidRPr="00A444A6">
        <w:rPr>
          <w:sz w:val="24"/>
          <w:szCs w:val="24"/>
        </w:rPr>
        <w:t xml:space="preserve"> (pp. 219–239). Nova Science Publishers.</w:t>
      </w:r>
    </w:p>
    <w:p w14:paraId="137851B3" w14:textId="77777777" w:rsidR="00F77A8C" w:rsidRPr="00A444A6" w:rsidRDefault="00F77A8C" w:rsidP="00F77A8C">
      <w:pPr>
        <w:rPr>
          <w:sz w:val="24"/>
          <w:szCs w:val="24"/>
        </w:rPr>
      </w:pPr>
    </w:p>
    <w:p w14:paraId="09E30018" w14:textId="77777777" w:rsidR="00F77A8C" w:rsidRPr="00A444A6" w:rsidRDefault="00F77A8C" w:rsidP="00F77A8C">
      <w:pPr>
        <w:rPr>
          <w:sz w:val="24"/>
          <w:szCs w:val="24"/>
        </w:rPr>
      </w:pPr>
      <w:r w:rsidRPr="00A444A6">
        <w:rPr>
          <w:sz w:val="24"/>
          <w:szCs w:val="24"/>
        </w:rPr>
        <w:t>.</w:t>
      </w:r>
    </w:p>
    <w:p w14:paraId="648757CE" w14:textId="77777777" w:rsidR="00F77A8C" w:rsidRPr="00A444A6" w:rsidRDefault="00F77A8C" w:rsidP="00F77A8C">
      <w:pPr>
        <w:rPr>
          <w:sz w:val="24"/>
          <w:szCs w:val="24"/>
        </w:rPr>
      </w:pPr>
      <w:r w:rsidRPr="00A444A6">
        <w:rPr>
          <w:sz w:val="24"/>
          <w:szCs w:val="24"/>
        </w:rPr>
        <w:t xml:space="preserve">Sub-Committee on Knowledge Management for National Marine Interests. (2019). </w:t>
      </w:r>
      <w:r w:rsidRPr="00A444A6">
        <w:rPr>
          <w:i/>
          <w:iCs/>
          <w:sz w:val="24"/>
          <w:szCs w:val="24"/>
        </w:rPr>
        <w:t>The sea, the ocean, and national marine interests</w:t>
      </w:r>
      <w:r w:rsidRPr="00A444A6">
        <w:rPr>
          <w:sz w:val="24"/>
          <w:szCs w:val="24"/>
        </w:rPr>
        <w:t xml:space="preserve">. National Security Council, Office of the Prime Minister. </w:t>
      </w:r>
    </w:p>
    <w:p w14:paraId="374077CB" w14:textId="77777777" w:rsidR="00F77A8C" w:rsidRPr="00A444A6" w:rsidRDefault="00F77A8C" w:rsidP="00F77A8C">
      <w:pPr>
        <w:rPr>
          <w:sz w:val="24"/>
          <w:szCs w:val="24"/>
        </w:rPr>
      </w:pPr>
    </w:p>
    <w:p w14:paraId="3F40672F" w14:textId="77777777" w:rsidR="00F77A8C" w:rsidRPr="00A444A6" w:rsidRDefault="00F77A8C" w:rsidP="00F77A8C">
      <w:pPr>
        <w:rPr>
          <w:sz w:val="24"/>
          <w:szCs w:val="24"/>
        </w:rPr>
      </w:pPr>
      <w:r w:rsidRPr="00A444A6">
        <w:rPr>
          <w:sz w:val="24"/>
          <w:szCs w:val="24"/>
        </w:rPr>
        <w:t xml:space="preserve">Thailand Board of Investment. (2025). </w:t>
      </w:r>
      <w:r w:rsidRPr="00A444A6">
        <w:rPr>
          <w:i/>
          <w:iCs/>
          <w:sz w:val="24"/>
          <w:szCs w:val="24"/>
        </w:rPr>
        <w:t>Statistical report and investment promotion trends under the investment promotion policy (from 2015 onwards): Statistics on foreign direct investment</w:t>
      </w:r>
      <w:r w:rsidRPr="00A444A6">
        <w:rPr>
          <w:sz w:val="24"/>
          <w:szCs w:val="24"/>
        </w:rPr>
        <w:t xml:space="preserve"> [Data set]. </w:t>
      </w:r>
      <w:r w:rsidRPr="00A444A6">
        <w:rPr>
          <w:sz w:val="24"/>
          <w:szCs w:val="24"/>
        </w:rPr>
        <w:fldChar w:fldCharType="begin"/>
      </w:r>
      <w:r w:rsidRPr="00A444A6">
        <w:rPr>
          <w:sz w:val="24"/>
          <w:szCs w:val="24"/>
        </w:rPr>
        <w:instrText>HYPERLINK "https://ipstat.boi.go.th/pubrpt/index.php" \t "_new"</w:instrText>
      </w:r>
      <w:r w:rsidRPr="00A444A6">
        <w:rPr>
          <w:sz w:val="24"/>
          <w:szCs w:val="24"/>
        </w:rPr>
      </w:r>
      <w:r w:rsidRPr="00A444A6">
        <w:rPr>
          <w:sz w:val="24"/>
          <w:szCs w:val="24"/>
        </w:rPr>
        <w:fldChar w:fldCharType="separate"/>
      </w:r>
      <w:r w:rsidRPr="00A444A6">
        <w:rPr>
          <w:rStyle w:val="Hyperlink"/>
          <w:sz w:val="24"/>
          <w:szCs w:val="24"/>
        </w:rPr>
        <w:t>https://ipstat.boi.go.th/pubrpt/index.php</w:t>
      </w:r>
      <w:r w:rsidRPr="00A444A6">
        <w:rPr>
          <w:sz w:val="24"/>
          <w:szCs w:val="24"/>
        </w:rPr>
        <w:fldChar w:fldCharType="end"/>
      </w:r>
    </w:p>
    <w:p w14:paraId="24C35802" w14:textId="77777777" w:rsidR="00F77A8C" w:rsidRPr="00A444A6" w:rsidRDefault="00F77A8C" w:rsidP="00F77A8C">
      <w:pPr>
        <w:rPr>
          <w:sz w:val="24"/>
          <w:szCs w:val="24"/>
        </w:rPr>
      </w:pPr>
    </w:p>
    <w:p w14:paraId="751407B6" w14:textId="77777777" w:rsidR="00F77A8C" w:rsidRPr="00A444A6" w:rsidRDefault="00F77A8C" w:rsidP="00F77A8C">
      <w:pPr>
        <w:rPr>
          <w:sz w:val="24"/>
          <w:szCs w:val="24"/>
        </w:rPr>
      </w:pPr>
      <w:r w:rsidRPr="00A444A6">
        <w:rPr>
          <w:sz w:val="24"/>
          <w:szCs w:val="24"/>
        </w:rPr>
        <w:t xml:space="preserve">Thailand Board of Investment (BOI). (2024). </w:t>
      </w:r>
      <w:r w:rsidRPr="00A444A6">
        <w:rPr>
          <w:i/>
          <w:iCs/>
          <w:sz w:val="24"/>
          <w:szCs w:val="24"/>
        </w:rPr>
        <w:t>Foreign direct investment situation report 2023 (January–December)</w:t>
      </w:r>
      <w:r w:rsidRPr="00A444A6">
        <w:rPr>
          <w:sz w:val="24"/>
          <w:szCs w:val="24"/>
        </w:rPr>
        <w:t>. International Affairs Division.</w:t>
      </w:r>
    </w:p>
    <w:p w14:paraId="1C78B9CB" w14:textId="77777777" w:rsidR="00F77A8C" w:rsidRPr="00A444A6" w:rsidRDefault="00F77A8C" w:rsidP="00F77A8C">
      <w:pPr>
        <w:rPr>
          <w:sz w:val="24"/>
          <w:szCs w:val="24"/>
        </w:rPr>
      </w:pPr>
    </w:p>
    <w:p w14:paraId="5E7C7125" w14:textId="77777777" w:rsidR="00F77A8C" w:rsidRPr="00A444A6" w:rsidRDefault="00F77A8C" w:rsidP="00F77A8C">
      <w:pPr>
        <w:contextualSpacing/>
        <w:rPr>
          <w:sz w:val="24"/>
          <w:szCs w:val="24"/>
          <w:cs/>
        </w:rPr>
      </w:pPr>
      <w:r w:rsidRPr="00A444A6">
        <w:rPr>
          <w:sz w:val="24"/>
          <w:szCs w:val="24"/>
        </w:rPr>
        <w:t xml:space="preserve">World Bank Group. (2025). </w:t>
      </w:r>
      <w:r w:rsidRPr="00A444A6">
        <w:rPr>
          <w:i/>
          <w:iCs/>
          <w:sz w:val="24"/>
          <w:szCs w:val="24"/>
        </w:rPr>
        <w:t>World development indicators</w:t>
      </w:r>
      <w:r w:rsidRPr="00A444A6">
        <w:rPr>
          <w:sz w:val="24"/>
          <w:szCs w:val="24"/>
        </w:rPr>
        <w:t xml:space="preserve"> [Data set]. </w:t>
      </w:r>
      <w:r w:rsidRPr="00A444A6">
        <w:rPr>
          <w:sz w:val="24"/>
          <w:szCs w:val="24"/>
        </w:rPr>
        <w:fldChar w:fldCharType="begin"/>
      </w:r>
      <w:r w:rsidRPr="00A444A6">
        <w:rPr>
          <w:sz w:val="24"/>
          <w:szCs w:val="24"/>
        </w:rPr>
        <w:instrText>HYPERLINK "https://databank.worldbank.org/source/world-development-indicators" \t "_new"</w:instrText>
      </w:r>
      <w:r w:rsidRPr="00A444A6">
        <w:rPr>
          <w:sz w:val="24"/>
          <w:szCs w:val="24"/>
        </w:rPr>
      </w:r>
      <w:r w:rsidRPr="00A444A6">
        <w:rPr>
          <w:sz w:val="24"/>
          <w:szCs w:val="24"/>
        </w:rPr>
        <w:fldChar w:fldCharType="separate"/>
      </w:r>
      <w:r w:rsidRPr="00A444A6">
        <w:rPr>
          <w:rStyle w:val="Hyperlink"/>
          <w:sz w:val="24"/>
          <w:szCs w:val="24"/>
        </w:rPr>
        <w:t>https://databank.worldbank.org/source/world-development-indicators</w:t>
      </w:r>
      <w:r w:rsidRPr="00A444A6">
        <w:rPr>
          <w:sz w:val="24"/>
          <w:szCs w:val="24"/>
        </w:rPr>
        <w:fldChar w:fldCharType="end"/>
      </w:r>
    </w:p>
    <w:p w14:paraId="670D6E75" w14:textId="77777777" w:rsidR="00F77A8C" w:rsidRPr="00A444A6" w:rsidRDefault="00F77A8C" w:rsidP="00F77A8C">
      <w:pPr>
        <w:rPr>
          <w:iCs/>
          <w:sz w:val="24"/>
          <w:szCs w:val="24"/>
        </w:rPr>
      </w:pPr>
    </w:p>
    <w:p w14:paraId="09536C6D" w14:textId="77777777" w:rsidR="00F77A8C" w:rsidRPr="00A444A6" w:rsidRDefault="00F77A8C" w:rsidP="00F77A8C">
      <w:pPr>
        <w:rPr>
          <w:iCs/>
          <w:sz w:val="24"/>
          <w:szCs w:val="24"/>
        </w:rPr>
      </w:pPr>
      <w:r w:rsidRPr="00A444A6">
        <w:rPr>
          <w:iCs/>
          <w:sz w:val="24"/>
          <w:szCs w:val="24"/>
        </w:rPr>
        <w:t xml:space="preserve">World Bank. (2025). </w:t>
      </w:r>
      <w:r w:rsidRPr="00A444A6">
        <w:rPr>
          <w:i/>
          <w:iCs/>
          <w:sz w:val="24"/>
          <w:szCs w:val="24"/>
        </w:rPr>
        <w:t>World Bank country and lending groups</w:t>
      </w:r>
      <w:r w:rsidRPr="00A444A6">
        <w:rPr>
          <w:iCs/>
          <w:sz w:val="24"/>
          <w:szCs w:val="24"/>
        </w:rPr>
        <w:t xml:space="preserve">. </w:t>
      </w:r>
      <w:r w:rsidRPr="00A444A6">
        <w:rPr>
          <w:sz w:val="24"/>
          <w:szCs w:val="24"/>
        </w:rPr>
        <w:fldChar w:fldCharType="begin"/>
      </w:r>
      <w:r w:rsidRPr="00A444A6">
        <w:rPr>
          <w:sz w:val="24"/>
          <w:szCs w:val="24"/>
        </w:rPr>
        <w:instrText>HYPERLINK "https://datahelpdesk.worldbank.org/knowledgebase/articles/906519-world-bank-country-and-lending-groups" \t "_new"</w:instrText>
      </w:r>
      <w:r w:rsidRPr="00A444A6">
        <w:rPr>
          <w:sz w:val="24"/>
          <w:szCs w:val="24"/>
        </w:rPr>
      </w:r>
      <w:r w:rsidRPr="00A444A6">
        <w:rPr>
          <w:sz w:val="24"/>
          <w:szCs w:val="24"/>
        </w:rPr>
        <w:fldChar w:fldCharType="separate"/>
      </w:r>
      <w:r w:rsidRPr="00A444A6">
        <w:rPr>
          <w:rStyle w:val="Hyperlink"/>
          <w:iCs/>
          <w:sz w:val="24"/>
          <w:szCs w:val="24"/>
        </w:rPr>
        <w:t>https://datahelpdesk.worldbank.org/knowledgebase/articles/906519-world-bank-country-and-lending-groups</w:t>
      </w:r>
      <w:r w:rsidRPr="00A444A6">
        <w:rPr>
          <w:sz w:val="24"/>
          <w:szCs w:val="24"/>
        </w:rPr>
        <w:fldChar w:fldCharType="end"/>
      </w:r>
    </w:p>
    <w:p w14:paraId="607356FB" w14:textId="77777777" w:rsidR="00F77A8C" w:rsidRPr="00A444A6" w:rsidRDefault="00F77A8C" w:rsidP="00F77A8C">
      <w:pPr>
        <w:rPr>
          <w:iCs/>
          <w:sz w:val="24"/>
          <w:szCs w:val="24"/>
        </w:rPr>
      </w:pPr>
    </w:p>
    <w:p w14:paraId="43DCBCAA" w14:textId="77777777" w:rsidR="00F77A8C" w:rsidRPr="00A444A6" w:rsidRDefault="00F77A8C" w:rsidP="00F77A8C">
      <w:pPr>
        <w:rPr>
          <w:sz w:val="24"/>
          <w:szCs w:val="24"/>
        </w:rPr>
      </w:pPr>
      <w:r w:rsidRPr="00A444A6">
        <w:rPr>
          <w:sz w:val="24"/>
          <w:szCs w:val="24"/>
        </w:rPr>
        <w:t xml:space="preserve">World Bank. (2024). </w:t>
      </w:r>
      <w:r w:rsidRPr="00A444A6">
        <w:rPr>
          <w:i/>
          <w:iCs/>
          <w:sz w:val="24"/>
          <w:szCs w:val="24"/>
        </w:rPr>
        <w:t>Advancing marine spatial planning and blue economy in Thailand: Baseline assessment report (May 2024).</w:t>
      </w:r>
      <w:r w:rsidRPr="00A444A6">
        <w:rPr>
          <w:sz w:val="24"/>
          <w:szCs w:val="24"/>
        </w:rPr>
        <w:t xml:space="preserve"> World Bank.</w:t>
      </w:r>
    </w:p>
    <w:p w14:paraId="770DA4CA" w14:textId="77777777" w:rsidR="00B471BA" w:rsidRPr="00792B36" w:rsidRDefault="00B471BA" w:rsidP="00B471BA">
      <w:pPr>
        <w:ind w:left="360" w:hanging="360"/>
        <w:jc w:val="center"/>
        <w:rPr>
          <w:b/>
          <w:bCs/>
          <w:iCs/>
        </w:rPr>
      </w:pPr>
    </w:p>
    <w:p w14:paraId="1F4CD5ED" w14:textId="77777777" w:rsidR="00EB267E" w:rsidRPr="00792B36" w:rsidRDefault="00EB267E" w:rsidP="001B2839">
      <w:pPr>
        <w:autoSpaceDE w:val="0"/>
        <w:autoSpaceDN w:val="0"/>
        <w:adjustRightInd w:val="0"/>
        <w:rPr>
          <w:color w:val="000000" w:themeColor="text1"/>
          <w:sz w:val="28"/>
          <w:szCs w:val="28"/>
        </w:rPr>
        <w:sectPr w:rsidR="00EB267E" w:rsidRPr="00792B36" w:rsidSect="003332A9">
          <w:footerReference w:type="default" r:id="rId92"/>
          <w:pgSz w:w="11900" w:h="16840"/>
          <w:pgMar w:top="1440" w:right="1440" w:bottom="1440" w:left="1440" w:header="0" w:footer="720" w:gutter="0"/>
          <w:cols w:space="720"/>
          <w:docGrid w:linePitch="299"/>
        </w:sectPr>
      </w:pPr>
    </w:p>
    <w:p w14:paraId="61B7A90E" w14:textId="77777777" w:rsidR="00EB267E" w:rsidRPr="00792B36" w:rsidRDefault="00EB267E" w:rsidP="00EB267E">
      <w:pPr>
        <w:spacing w:before="120" w:after="120"/>
        <w:rPr>
          <w:b/>
          <w:bCs/>
          <w:sz w:val="28"/>
          <w:szCs w:val="28"/>
        </w:rPr>
      </w:pPr>
      <w:r w:rsidRPr="00792B36">
        <w:rPr>
          <w:b/>
          <w:bCs/>
          <w:sz w:val="28"/>
          <w:szCs w:val="28"/>
        </w:rPr>
        <w:lastRenderedPageBreak/>
        <w:t>VII. Conclusion</w:t>
      </w:r>
    </w:p>
    <w:p w14:paraId="5DDD749F" w14:textId="77777777" w:rsidR="00EB267E" w:rsidRPr="00792B36" w:rsidRDefault="00EB267E" w:rsidP="00EB267E">
      <w:pPr>
        <w:spacing w:before="120" w:after="120"/>
        <w:rPr>
          <w:b/>
          <w:bCs/>
          <w:sz w:val="24"/>
          <w:szCs w:val="24"/>
        </w:rPr>
      </w:pPr>
    </w:p>
    <w:p w14:paraId="13CFDF3E" w14:textId="77777777" w:rsidR="00EB267E" w:rsidRPr="00792B36" w:rsidRDefault="00EB267E" w:rsidP="00EB267E">
      <w:pPr>
        <w:pStyle w:val="Heading3"/>
        <w:spacing w:before="0" w:after="0"/>
        <w:jc w:val="thaiDistribute"/>
        <w:rPr>
          <w:rFonts w:eastAsia="Google Sans"/>
          <w:b w:val="0"/>
          <w:bCs w:val="0"/>
          <w:color w:val="1F1F1F"/>
          <w:sz w:val="24"/>
          <w:szCs w:val="24"/>
        </w:rPr>
      </w:pPr>
      <w:r w:rsidRPr="00792B36">
        <w:rPr>
          <w:rFonts w:eastAsia="Google Sans"/>
          <w:color w:val="1F1F1F"/>
          <w:sz w:val="24"/>
          <w:szCs w:val="24"/>
        </w:rPr>
        <w:t>7.1 Meeting the TDA objectives</w:t>
      </w:r>
    </w:p>
    <w:p w14:paraId="28B3FB15" w14:textId="77777777" w:rsidR="00EB267E" w:rsidRPr="00792B36" w:rsidRDefault="00EB267E" w:rsidP="00EB267E">
      <w:pPr>
        <w:jc w:val="thaiDistribute"/>
        <w:rPr>
          <w:sz w:val="24"/>
          <w:szCs w:val="24"/>
        </w:rPr>
      </w:pPr>
    </w:p>
    <w:p w14:paraId="1BB418E4" w14:textId="77777777" w:rsidR="00EB267E" w:rsidRPr="00792B36" w:rsidRDefault="00EB267E" w:rsidP="00EB267E">
      <w:pPr>
        <w:pBdr>
          <w:top w:val="nil"/>
          <w:left w:val="nil"/>
          <w:bottom w:val="nil"/>
          <w:right w:val="nil"/>
          <w:between w:val="nil"/>
        </w:pBdr>
        <w:jc w:val="thaiDistribute"/>
        <w:rPr>
          <w:rFonts w:eastAsia="Google Sans Text"/>
          <w:color w:val="1F1F1F"/>
          <w:sz w:val="24"/>
          <w:szCs w:val="24"/>
        </w:rPr>
      </w:pPr>
      <w:r w:rsidRPr="00792B36">
        <w:rPr>
          <w:rFonts w:eastAsia="Google Sans Text"/>
          <w:color w:val="1F1F1F"/>
          <w:sz w:val="24"/>
          <w:szCs w:val="24"/>
        </w:rPr>
        <w:t>The 2025 National Transboundary Diagnostic Analysis has successfully met its primary objectives as set out in the inception phase. It has established a scientifically grounded 2024–2025 baseline for fisheries stock health, pollution loads, and ecosystem coverage, effectively updating the data from the previous 2000 assessment. The analysis has verified the causal chains linking land-based activities—specifically industrialization in the Eastern Economic Corridor (EEC) and intensive agriculture—to the degradation of marine resources in the Gulf of Thailand. Furthermore, it has identified the "implementation gap" between legislation and enforcement as the critical governance weakness.</w:t>
      </w:r>
    </w:p>
    <w:p w14:paraId="672BA882" w14:textId="77777777" w:rsidR="00EB267E" w:rsidRPr="00792B36" w:rsidRDefault="00EB267E" w:rsidP="00EB267E">
      <w:pPr>
        <w:pBdr>
          <w:top w:val="nil"/>
          <w:left w:val="nil"/>
          <w:bottom w:val="nil"/>
          <w:right w:val="nil"/>
          <w:between w:val="nil"/>
        </w:pBdr>
        <w:jc w:val="thaiDistribute"/>
        <w:rPr>
          <w:rFonts w:eastAsia="Google Sans Text"/>
          <w:color w:val="1F1F1F"/>
          <w:sz w:val="24"/>
          <w:szCs w:val="24"/>
        </w:rPr>
      </w:pPr>
    </w:p>
    <w:p w14:paraId="10EC8096" w14:textId="77777777" w:rsidR="00EB267E" w:rsidRPr="00792B36" w:rsidRDefault="00EB267E" w:rsidP="00EB267E">
      <w:pPr>
        <w:pBdr>
          <w:top w:val="nil"/>
          <w:left w:val="nil"/>
          <w:bottom w:val="nil"/>
          <w:right w:val="nil"/>
          <w:between w:val="nil"/>
        </w:pBdr>
        <w:jc w:val="thaiDistribute"/>
        <w:rPr>
          <w:rFonts w:eastAsia="Google Sans Text"/>
          <w:color w:val="1F1F1F"/>
          <w:sz w:val="24"/>
          <w:szCs w:val="24"/>
        </w:rPr>
      </w:pPr>
      <w:r w:rsidRPr="00792B36">
        <w:rPr>
          <w:rFonts w:eastAsia="Google Sans Text"/>
          <w:color w:val="1F1F1F"/>
          <w:sz w:val="24"/>
          <w:szCs w:val="24"/>
        </w:rPr>
        <w:t xml:space="preserve">Crucially, the validation of these findings was solidified during the TDA Review Meeting convened by the Department of Marine and Coastal Resources (DMCR) on </w:t>
      </w:r>
      <w:r w:rsidRPr="00792B36">
        <w:rPr>
          <w:rFonts w:eastAsia="Google Sans Text"/>
          <w:b/>
          <w:bCs/>
          <w:color w:val="1F1F1F"/>
          <w:sz w:val="24"/>
          <w:szCs w:val="24"/>
        </w:rPr>
        <w:t>November 17, 2025</w:t>
      </w:r>
      <w:r w:rsidRPr="00792B36">
        <w:rPr>
          <w:rFonts w:eastAsia="Google Sans Text"/>
          <w:color w:val="1F1F1F"/>
          <w:sz w:val="24"/>
          <w:szCs w:val="24"/>
        </w:rPr>
        <w:t>. The objective of this meeting was to collaboratively review and discuss the results of the 2025 Transboundary Diagnostic Analysis and the draft preliminary report. This updated report underscores that it will play a critical role in supporting the formulation of the next phase of the SAP, ensuring that future projects are actionable and continuous. Additionally, the analysis results are intended to be applied to improve national environmental databases and development processes, ensuring that Thailand's marine management is data-driven and aligned with regional goals .</w:t>
      </w:r>
    </w:p>
    <w:p w14:paraId="5C0DA98C" w14:textId="77777777" w:rsidR="00EB267E" w:rsidRPr="00792B36" w:rsidRDefault="00EB267E" w:rsidP="00EB267E">
      <w:pPr>
        <w:pBdr>
          <w:top w:val="nil"/>
          <w:left w:val="nil"/>
          <w:bottom w:val="nil"/>
          <w:right w:val="nil"/>
          <w:between w:val="nil"/>
        </w:pBdr>
        <w:jc w:val="thaiDistribute"/>
        <w:rPr>
          <w:rFonts w:eastAsia="Google Sans Text"/>
          <w:color w:val="1F1F1F"/>
          <w:sz w:val="24"/>
          <w:szCs w:val="24"/>
        </w:rPr>
      </w:pPr>
    </w:p>
    <w:p w14:paraId="132E3C66" w14:textId="77777777" w:rsidR="00EB267E" w:rsidRPr="00792B36" w:rsidRDefault="00EB267E" w:rsidP="00EB267E">
      <w:pPr>
        <w:pBdr>
          <w:top w:val="nil"/>
          <w:left w:val="nil"/>
          <w:bottom w:val="nil"/>
          <w:right w:val="nil"/>
          <w:between w:val="nil"/>
        </w:pBdr>
        <w:jc w:val="thaiDistribute"/>
        <w:rPr>
          <w:rFonts w:eastAsia="Google Sans Text"/>
          <w:color w:val="1F1F1F"/>
          <w:sz w:val="24"/>
          <w:szCs w:val="24"/>
        </w:rPr>
      </w:pPr>
    </w:p>
    <w:p w14:paraId="6FCFD50A" w14:textId="77777777" w:rsidR="00EB267E" w:rsidRPr="00792B36" w:rsidRDefault="00EB267E" w:rsidP="00EB267E">
      <w:pPr>
        <w:pStyle w:val="Heading3"/>
        <w:spacing w:before="0" w:after="0"/>
        <w:jc w:val="thaiDistribute"/>
        <w:rPr>
          <w:rFonts w:eastAsia="Google Sans"/>
          <w:b w:val="0"/>
          <w:bCs w:val="0"/>
          <w:color w:val="1F1F1F"/>
          <w:sz w:val="24"/>
          <w:szCs w:val="24"/>
        </w:rPr>
      </w:pPr>
      <w:r w:rsidRPr="00792B36">
        <w:rPr>
          <w:rFonts w:eastAsia="Google Sans"/>
          <w:color w:val="1F1F1F"/>
          <w:sz w:val="24"/>
          <w:szCs w:val="24"/>
        </w:rPr>
        <w:t>7.2 Key conclusions and crosscutting interactions</w:t>
      </w:r>
    </w:p>
    <w:p w14:paraId="132CE57C" w14:textId="77777777" w:rsidR="00EB267E" w:rsidRPr="00792B36" w:rsidRDefault="00EB267E" w:rsidP="00EB267E">
      <w:pPr>
        <w:pBdr>
          <w:top w:val="nil"/>
          <w:left w:val="nil"/>
          <w:bottom w:val="nil"/>
          <w:right w:val="nil"/>
          <w:between w:val="nil"/>
        </w:pBdr>
        <w:jc w:val="thaiDistribute"/>
        <w:rPr>
          <w:rFonts w:eastAsia="Google Sans"/>
          <w:color w:val="1F1F1F"/>
          <w:sz w:val="24"/>
          <w:szCs w:val="24"/>
        </w:rPr>
      </w:pPr>
    </w:p>
    <w:p w14:paraId="3C6C7B79" w14:textId="77777777" w:rsidR="00EB267E" w:rsidRPr="00792B36" w:rsidRDefault="00EB267E" w:rsidP="00EB267E">
      <w:pPr>
        <w:pBdr>
          <w:top w:val="nil"/>
          <w:left w:val="nil"/>
          <w:bottom w:val="nil"/>
          <w:right w:val="nil"/>
          <w:between w:val="nil"/>
        </w:pBdr>
        <w:jc w:val="thaiDistribute"/>
        <w:rPr>
          <w:rFonts w:eastAsia="Google Sans Text"/>
          <w:color w:val="1F1F1F"/>
          <w:sz w:val="24"/>
          <w:szCs w:val="24"/>
        </w:rPr>
      </w:pPr>
      <w:r w:rsidRPr="00792B36">
        <w:rPr>
          <w:rFonts w:eastAsia="Google Sans Text"/>
          <w:color w:val="1F1F1F"/>
          <w:sz w:val="24"/>
          <w:szCs w:val="24"/>
        </w:rPr>
        <w:t xml:space="preserve">The assessment reveals a complex web of interactions where </w:t>
      </w:r>
      <w:r w:rsidRPr="00792B36">
        <w:rPr>
          <w:rFonts w:eastAsia="Google Sans Text"/>
          <w:b/>
          <w:bCs/>
          <w:color w:val="1F1F1F"/>
          <w:sz w:val="24"/>
          <w:szCs w:val="24"/>
        </w:rPr>
        <w:t>climate change acts as a threat multiplier</w:t>
      </w:r>
      <w:r w:rsidRPr="00792B36">
        <w:rPr>
          <w:rFonts w:eastAsia="Google Sans Text"/>
          <w:color w:val="1F1F1F"/>
          <w:sz w:val="24"/>
          <w:szCs w:val="24"/>
        </w:rPr>
        <w:t xml:space="preserve"> for existing local stressors:</w:t>
      </w:r>
    </w:p>
    <w:p w14:paraId="28C997FE" w14:textId="77777777" w:rsidR="00EB267E" w:rsidRPr="00792B36" w:rsidRDefault="00EB267E" w:rsidP="00EB267E">
      <w:pPr>
        <w:pBdr>
          <w:top w:val="nil"/>
          <w:left w:val="nil"/>
          <w:bottom w:val="nil"/>
          <w:right w:val="nil"/>
          <w:between w:val="nil"/>
        </w:pBdr>
        <w:jc w:val="thaiDistribute"/>
        <w:rPr>
          <w:rFonts w:eastAsia="Google Sans Text"/>
          <w:color w:val="1F1F1F"/>
          <w:sz w:val="24"/>
          <w:szCs w:val="24"/>
        </w:rPr>
      </w:pPr>
    </w:p>
    <w:p w14:paraId="58D8A63E" w14:textId="77777777" w:rsidR="00EB267E" w:rsidRPr="00792B36" w:rsidRDefault="00EB267E" w:rsidP="00F61B37">
      <w:pPr>
        <w:numPr>
          <w:ilvl w:val="0"/>
          <w:numId w:val="137"/>
        </w:numPr>
        <w:pBdr>
          <w:top w:val="nil"/>
          <w:left w:val="nil"/>
          <w:bottom w:val="nil"/>
          <w:right w:val="nil"/>
          <w:between w:val="nil"/>
        </w:pBdr>
        <w:jc w:val="thaiDistribute"/>
        <w:rPr>
          <w:sz w:val="24"/>
          <w:szCs w:val="24"/>
        </w:rPr>
      </w:pPr>
      <w:r w:rsidRPr="00792B36">
        <w:rPr>
          <w:rFonts w:eastAsia="Google Sans Text"/>
          <w:b/>
          <w:bCs/>
          <w:color w:val="1F1F1F"/>
          <w:sz w:val="24"/>
          <w:szCs w:val="24"/>
        </w:rPr>
        <w:t>Climate-Pollution Nexus:</w:t>
      </w:r>
      <w:r w:rsidRPr="00792B36">
        <w:rPr>
          <w:rFonts w:eastAsia="Google Sans Text"/>
          <w:color w:val="1F1F1F"/>
          <w:sz w:val="24"/>
          <w:szCs w:val="24"/>
        </w:rPr>
        <w:t xml:space="preserve"> Eutrophic waters in the Upper Gulf reduce the thermal tolerance of coral reefs, making them more susceptible to mass bleaching during marine heatwaves. Pollution control is therefore a key climate adaptation strategy.</w:t>
      </w:r>
    </w:p>
    <w:p w14:paraId="0A6E707E" w14:textId="77777777" w:rsidR="00EB267E" w:rsidRPr="00792B36" w:rsidRDefault="00EB267E" w:rsidP="00F61B37">
      <w:pPr>
        <w:numPr>
          <w:ilvl w:val="0"/>
          <w:numId w:val="137"/>
        </w:numPr>
        <w:pBdr>
          <w:top w:val="nil"/>
          <w:left w:val="nil"/>
          <w:bottom w:val="nil"/>
          <w:right w:val="nil"/>
          <w:between w:val="nil"/>
        </w:pBdr>
        <w:jc w:val="thaiDistribute"/>
        <w:rPr>
          <w:sz w:val="24"/>
          <w:szCs w:val="24"/>
        </w:rPr>
      </w:pPr>
      <w:r w:rsidRPr="00792B36">
        <w:rPr>
          <w:rFonts w:eastAsia="Google Sans Text"/>
          <w:b/>
          <w:bCs/>
          <w:color w:val="1F1F1F"/>
          <w:sz w:val="24"/>
          <w:szCs w:val="24"/>
        </w:rPr>
        <w:t>Socio-Economic Vulnerability:</w:t>
      </w:r>
      <w:r w:rsidRPr="00792B36">
        <w:rPr>
          <w:rFonts w:eastAsia="Google Sans Text"/>
          <w:color w:val="1F1F1F"/>
          <w:sz w:val="24"/>
          <w:szCs w:val="24"/>
        </w:rPr>
        <w:t xml:space="preserve"> There is a stark divergence in resilience. The wealthy industrial East faces financial risks to infrastructure, while the agrarian South faces livelihood risks due to resource depletion and poverty.</w:t>
      </w:r>
    </w:p>
    <w:p w14:paraId="49DE4EB1" w14:textId="77777777" w:rsidR="00EB267E" w:rsidRPr="00792B36" w:rsidRDefault="00EB267E" w:rsidP="00F61B37">
      <w:pPr>
        <w:numPr>
          <w:ilvl w:val="0"/>
          <w:numId w:val="137"/>
        </w:numPr>
        <w:pBdr>
          <w:top w:val="nil"/>
          <w:left w:val="nil"/>
          <w:bottom w:val="nil"/>
          <w:right w:val="nil"/>
          <w:between w:val="nil"/>
        </w:pBdr>
        <w:jc w:val="thaiDistribute"/>
        <w:rPr>
          <w:sz w:val="24"/>
          <w:szCs w:val="24"/>
        </w:rPr>
      </w:pPr>
      <w:r w:rsidRPr="00792B36">
        <w:rPr>
          <w:b/>
          <w:bCs/>
          <w:sz w:val="24"/>
          <w:szCs w:val="24"/>
        </w:rPr>
        <w:t>Land-Sea Integration</w:t>
      </w:r>
      <w:r w:rsidRPr="00792B36">
        <w:rPr>
          <w:sz w:val="24"/>
          <w:szCs w:val="24"/>
        </w:rPr>
        <w:t>: The analysis underscores the critical need for Land-Sea Integration. The "Land-Sea Disconnect" remains a primary driver of degradation, where terrestrial activities (nutrient runoff, sediment loading) undermine marine ecosystem health. Future management must bridge this gap by treating watersheds and coastal zones as a single continuum.</w:t>
      </w:r>
    </w:p>
    <w:p w14:paraId="707DA9A0" w14:textId="77777777" w:rsidR="00EB267E" w:rsidRPr="00792B36" w:rsidRDefault="00EB267E" w:rsidP="00F61B37">
      <w:pPr>
        <w:numPr>
          <w:ilvl w:val="0"/>
          <w:numId w:val="137"/>
        </w:numPr>
        <w:pBdr>
          <w:top w:val="nil"/>
          <w:left w:val="nil"/>
          <w:bottom w:val="nil"/>
          <w:right w:val="nil"/>
          <w:between w:val="nil"/>
        </w:pBdr>
        <w:jc w:val="thaiDistribute"/>
        <w:rPr>
          <w:b/>
          <w:bCs/>
          <w:sz w:val="24"/>
          <w:szCs w:val="24"/>
        </w:rPr>
      </w:pPr>
      <w:r w:rsidRPr="00792B36">
        <w:rPr>
          <w:b/>
          <w:bCs/>
          <w:sz w:val="24"/>
          <w:szCs w:val="24"/>
        </w:rPr>
        <w:t>Fisheries Threats and Management:</w:t>
      </w:r>
    </w:p>
    <w:p w14:paraId="1FE14A5A" w14:textId="77777777" w:rsidR="00EB267E" w:rsidRPr="00792B36" w:rsidRDefault="00EB267E" w:rsidP="00F61B37">
      <w:pPr>
        <w:numPr>
          <w:ilvl w:val="1"/>
          <w:numId w:val="137"/>
        </w:numPr>
        <w:pBdr>
          <w:top w:val="nil"/>
          <w:left w:val="nil"/>
          <w:bottom w:val="nil"/>
          <w:right w:val="nil"/>
          <w:between w:val="nil"/>
        </w:pBdr>
        <w:ind w:hanging="357"/>
        <w:jc w:val="thaiDistribute"/>
        <w:rPr>
          <w:b/>
          <w:bCs/>
          <w:sz w:val="24"/>
          <w:szCs w:val="24"/>
        </w:rPr>
      </w:pPr>
      <w:r w:rsidRPr="00792B36">
        <w:rPr>
          <w:b/>
          <w:bCs/>
          <w:sz w:val="24"/>
          <w:szCs w:val="24"/>
        </w:rPr>
        <w:t>Ecosystem Approach</w:t>
      </w:r>
      <w:r w:rsidRPr="00792B36">
        <w:rPr>
          <w:sz w:val="24"/>
          <w:szCs w:val="24"/>
        </w:rPr>
        <w:t>: There is an urgent need to shift towards an Ecosystem Approach to Fisheries Management (EAFM), particularly in vulnerable areas where single-species management has failed to prevent degradation.</w:t>
      </w:r>
    </w:p>
    <w:p w14:paraId="20EE0F7A" w14:textId="77777777" w:rsidR="00EB267E" w:rsidRPr="00792B36" w:rsidRDefault="00EB267E" w:rsidP="00F61B37">
      <w:pPr>
        <w:pStyle w:val="NormalWeb"/>
        <w:numPr>
          <w:ilvl w:val="1"/>
          <w:numId w:val="137"/>
        </w:numPr>
        <w:spacing w:before="0" w:beforeAutospacing="0" w:after="0" w:afterAutospacing="0"/>
        <w:ind w:hanging="357"/>
        <w:rPr>
          <w:rFonts w:ascii="Arial" w:hAnsi="Arial" w:cs="Arial"/>
          <w:color w:val="000000" w:themeColor="text1"/>
        </w:rPr>
      </w:pPr>
      <w:r w:rsidRPr="00792B36">
        <w:rPr>
          <w:rFonts w:ascii="Arial" w:hAnsi="Arial" w:cs="Arial"/>
          <w:b/>
          <w:bCs/>
          <w:color w:val="000000" w:themeColor="text1"/>
        </w:rPr>
        <w:t>Gear Selectivity and Catch Efficiency:</w:t>
      </w:r>
      <w:r w:rsidRPr="00792B36">
        <w:rPr>
          <w:rFonts w:ascii="Arial" w:hAnsi="Arial" w:cs="Arial"/>
          <w:color w:val="000000" w:themeColor="text1"/>
        </w:rPr>
        <w:t xml:space="preserve"> The prevalence of non-selective fishing gears (e.g., trawlers with high catch efficiency but poor </w:t>
      </w:r>
      <w:r w:rsidRPr="00792B36">
        <w:rPr>
          <w:rFonts w:ascii="Arial" w:hAnsi="Arial" w:cs="Arial"/>
          <w:color w:val="000000" w:themeColor="text1"/>
        </w:rPr>
        <w:lastRenderedPageBreak/>
        <w:t>selectivity) continues to capture high volumes of juvenile fish and "trash fish" compared to selective gears. This unsustainable Fishing Effort directly impacts stock recruitment and ecosystem balance.</w:t>
      </w:r>
    </w:p>
    <w:p w14:paraId="67D4784F" w14:textId="77777777" w:rsidR="00EB267E" w:rsidRPr="00792B36" w:rsidRDefault="00EB267E" w:rsidP="00F61B37">
      <w:pPr>
        <w:pStyle w:val="NormalWeb"/>
        <w:numPr>
          <w:ilvl w:val="1"/>
          <w:numId w:val="137"/>
        </w:numPr>
        <w:spacing w:before="0" w:beforeAutospacing="0" w:after="0" w:afterAutospacing="0"/>
        <w:ind w:hanging="357"/>
        <w:rPr>
          <w:rFonts w:ascii="Arial" w:hAnsi="Arial" w:cs="Arial"/>
          <w:color w:val="000000" w:themeColor="text1"/>
        </w:rPr>
      </w:pPr>
      <w:r w:rsidRPr="00792B36">
        <w:rPr>
          <w:rFonts w:ascii="Arial" w:hAnsi="Arial" w:cs="Arial"/>
          <w:b/>
          <w:bCs/>
          <w:color w:val="000000" w:themeColor="text1"/>
        </w:rPr>
        <w:t>Governance and Legal Contradictions:</w:t>
      </w:r>
      <w:r w:rsidRPr="00792B36">
        <w:rPr>
          <w:rFonts w:ascii="Arial" w:hAnsi="Arial" w:cs="Arial"/>
          <w:color w:val="000000" w:themeColor="text1"/>
        </w:rPr>
        <w:t> A critical governance finding is the practical contradiction between legal sections regarding by-catch reduction. Specifically, tensions exist between Section 57 (which prohibits the catch of juvenile aquatic animals below a prescribed size) and Section 69 (which regulates fishing gear specifications, such as mesh sizes). In practice, fishers operating "legal" gear under Section 69 often still catch undersized fish prohibited by Section 57, creating an enforcement loophole. The TDA recommends resolving this legal ambiguity to effectively reduce by-catch.</w:t>
      </w:r>
    </w:p>
    <w:p w14:paraId="5D18695B" w14:textId="77777777" w:rsidR="00EB267E" w:rsidRPr="00792B36" w:rsidRDefault="00EB267E" w:rsidP="00F61B37">
      <w:pPr>
        <w:pStyle w:val="ListParagraph"/>
        <w:numPr>
          <w:ilvl w:val="0"/>
          <w:numId w:val="137"/>
        </w:numPr>
        <w:pBdr>
          <w:top w:val="nil"/>
          <w:left w:val="nil"/>
          <w:bottom w:val="nil"/>
          <w:right w:val="nil"/>
          <w:between w:val="nil"/>
        </w:pBdr>
        <w:ind w:hanging="357"/>
        <w:jc w:val="thaiDistribute"/>
        <w:rPr>
          <w:rFonts w:cs="Arial"/>
          <w:b/>
          <w:bCs/>
          <w:sz w:val="24"/>
          <w:szCs w:val="24"/>
        </w:rPr>
      </w:pPr>
      <w:r w:rsidRPr="00792B36">
        <w:rPr>
          <w:rFonts w:cs="Arial"/>
          <w:b/>
          <w:bCs/>
          <w:sz w:val="24"/>
          <w:szCs w:val="24"/>
        </w:rPr>
        <w:t>Transboundary Species Management</w:t>
      </w:r>
      <w:r w:rsidRPr="00792B36">
        <w:rPr>
          <w:rFonts w:cs="Arial"/>
          <w:sz w:val="24"/>
          <w:szCs w:val="24"/>
        </w:rPr>
        <w:t>: The report highlights the necessity of regional cooperation for Transboundary Species. Joint management initiatives must be strengthened, building on frameworks like the GOT Fish Project led by SEAFDEC, to ensure harmonized regulations across the Gulf of Thailand.</w:t>
      </w:r>
    </w:p>
    <w:p w14:paraId="0C8EAF2A" w14:textId="77777777" w:rsidR="00EB267E" w:rsidRPr="00792B36" w:rsidRDefault="00EB267E" w:rsidP="00EB267E">
      <w:pPr>
        <w:pBdr>
          <w:top w:val="nil"/>
          <w:left w:val="nil"/>
          <w:bottom w:val="nil"/>
          <w:right w:val="nil"/>
          <w:between w:val="nil"/>
        </w:pBdr>
        <w:jc w:val="thaiDistribute"/>
        <w:rPr>
          <w:rFonts w:eastAsia="Google Sans Text"/>
          <w:color w:val="1F1F1F"/>
          <w:sz w:val="24"/>
          <w:szCs w:val="24"/>
        </w:rPr>
      </w:pPr>
    </w:p>
    <w:p w14:paraId="58E28F56" w14:textId="77777777" w:rsidR="00EB267E" w:rsidRPr="00792B36" w:rsidRDefault="00EB267E" w:rsidP="00EB267E">
      <w:pPr>
        <w:pBdr>
          <w:top w:val="nil"/>
          <w:left w:val="nil"/>
          <w:bottom w:val="nil"/>
          <w:right w:val="nil"/>
          <w:between w:val="nil"/>
        </w:pBdr>
        <w:jc w:val="thaiDistribute"/>
        <w:rPr>
          <w:rFonts w:eastAsia="Google Sans Text"/>
          <w:color w:val="000000" w:themeColor="text1"/>
          <w:sz w:val="24"/>
          <w:szCs w:val="24"/>
        </w:rPr>
      </w:pPr>
      <w:r w:rsidRPr="00792B36">
        <w:rPr>
          <w:rFonts w:eastAsiaTheme="minorHAnsi"/>
          <w:b/>
          <w:bCs/>
          <w:color w:val="000000" w:themeColor="text1"/>
          <w:sz w:val="24"/>
          <w:szCs w:val="24"/>
          <w:lang w:val="en-US"/>
          <w14:ligatures w14:val="standardContextual"/>
        </w:rPr>
        <w:t>Note on Methodological Constraints:</w:t>
      </w:r>
      <w:r w:rsidRPr="00792B36">
        <w:rPr>
          <w:rFonts w:eastAsiaTheme="minorHAnsi"/>
          <w:color w:val="000000" w:themeColor="text1"/>
          <w:sz w:val="24"/>
          <w:szCs w:val="24"/>
          <w:lang w:val="en-US"/>
          <w14:ligatures w14:val="standardContextual"/>
        </w:rPr>
        <w:t> It is important to note that </w:t>
      </w:r>
      <w:r w:rsidRPr="00792B36">
        <w:rPr>
          <w:rFonts w:eastAsiaTheme="minorHAnsi"/>
          <w:b/>
          <w:bCs/>
          <w:color w:val="000000" w:themeColor="text1"/>
          <w:sz w:val="24"/>
          <w:szCs w:val="24"/>
          <w:lang w:val="en-US"/>
          <w14:ligatures w14:val="standardContextual"/>
        </w:rPr>
        <w:t>Ocean Accounts</w:t>
      </w:r>
      <w:r w:rsidRPr="00792B36">
        <w:rPr>
          <w:rFonts w:eastAsiaTheme="minorHAnsi"/>
          <w:color w:val="000000" w:themeColor="text1"/>
          <w:sz w:val="24"/>
          <w:szCs w:val="24"/>
          <w:lang w:val="en-US"/>
          <w14:ligatures w14:val="standardContextual"/>
        </w:rPr>
        <w:t> were not utilized in this assessment. This decision was due to current limitations in isolating marine-specific data within national statistics and the necessity to maintain consistency with the project's original indicator framework to ensure comparability with historical data.</w:t>
      </w:r>
    </w:p>
    <w:p w14:paraId="06A1AF1C" w14:textId="77777777" w:rsidR="00EB267E" w:rsidRPr="00792B36" w:rsidRDefault="00EB267E" w:rsidP="00EB267E">
      <w:pPr>
        <w:pBdr>
          <w:top w:val="nil"/>
          <w:left w:val="nil"/>
          <w:bottom w:val="nil"/>
          <w:right w:val="nil"/>
          <w:between w:val="nil"/>
        </w:pBdr>
        <w:jc w:val="thaiDistribute"/>
        <w:rPr>
          <w:rFonts w:eastAsia="Google Sans Text"/>
          <w:color w:val="1F1F1F"/>
          <w:sz w:val="24"/>
          <w:szCs w:val="24"/>
        </w:rPr>
      </w:pPr>
    </w:p>
    <w:p w14:paraId="03C788FC" w14:textId="77777777" w:rsidR="00EB267E" w:rsidRPr="00792B36" w:rsidRDefault="00EB267E" w:rsidP="00EB267E">
      <w:pPr>
        <w:pBdr>
          <w:top w:val="nil"/>
          <w:left w:val="nil"/>
          <w:bottom w:val="nil"/>
          <w:right w:val="nil"/>
          <w:between w:val="nil"/>
        </w:pBdr>
        <w:jc w:val="thaiDistribute"/>
        <w:rPr>
          <w:rFonts w:eastAsia="Google Sans Text"/>
          <w:color w:val="1F1F1F"/>
          <w:sz w:val="24"/>
          <w:szCs w:val="24"/>
        </w:rPr>
      </w:pPr>
    </w:p>
    <w:p w14:paraId="18DEEDC9" w14:textId="77777777" w:rsidR="00EB267E" w:rsidRPr="00792B36" w:rsidRDefault="00EB267E" w:rsidP="00EB267E">
      <w:pPr>
        <w:pStyle w:val="Heading3"/>
        <w:spacing w:before="0" w:after="0"/>
        <w:jc w:val="thaiDistribute"/>
        <w:rPr>
          <w:rFonts w:eastAsia="Google Sans"/>
          <w:b w:val="0"/>
          <w:bCs w:val="0"/>
          <w:color w:val="1F1F1F"/>
          <w:sz w:val="24"/>
          <w:szCs w:val="24"/>
        </w:rPr>
      </w:pPr>
      <w:r w:rsidRPr="00792B36">
        <w:rPr>
          <w:rFonts w:eastAsia="Google Sans"/>
          <w:color w:val="1F1F1F"/>
          <w:sz w:val="24"/>
          <w:szCs w:val="24"/>
        </w:rPr>
        <w:t>7.3 Patterns of risk among spatial units of analyses and at country scale</w:t>
      </w:r>
    </w:p>
    <w:p w14:paraId="3B550160" w14:textId="77777777" w:rsidR="00EB267E" w:rsidRPr="00792B36" w:rsidRDefault="00EB267E" w:rsidP="00EB267E">
      <w:pPr>
        <w:pBdr>
          <w:top w:val="nil"/>
          <w:left w:val="nil"/>
          <w:bottom w:val="nil"/>
          <w:right w:val="nil"/>
          <w:between w:val="nil"/>
        </w:pBdr>
        <w:jc w:val="thaiDistribute"/>
        <w:rPr>
          <w:rFonts w:eastAsia="Google Sans"/>
          <w:color w:val="1F1F1F"/>
          <w:sz w:val="24"/>
          <w:szCs w:val="24"/>
        </w:rPr>
      </w:pPr>
    </w:p>
    <w:p w14:paraId="4722930C" w14:textId="77777777" w:rsidR="00EB267E" w:rsidRPr="00792B36" w:rsidRDefault="00EB267E" w:rsidP="00EB267E">
      <w:pPr>
        <w:pBdr>
          <w:top w:val="nil"/>
          <w:left w:val="nil"/>
          <w:bottom w:val="nil"/>
          <w:right w:val="nil"/>
          <w:between w:val="nil"/>
        </w:pBdr>
        <w:jc w:val="thaiDistribute"/>
        <w:rPr>
          <w:rFonts w:eastAsia="Google Sans Text"/>
          <w:color w:val="1F1F1F"/>
          <w:sz w:val="24"/>
          <w:szCs w:val="24"/>
        </w:rPr>
      </w:pPr>
      <w:r w:rsidRPr="00792B36">
        <w:rPr>
          <w:rFonts w:eastAsia="Google Sans Text"/>
          <w:color w:val="1F1F1F"/>
          <w:sz w:val="24"/>
          <w:szCs w:val="24"/>
        </w:rPr>
        <w:t>Risk is not evenly distributed across Thailand’s maritime domain. The TDA identifies three distinct risk typologies:</w:t>
      </w:r>
    </w:p>
    <w:p w14:paraId="146FFEAA" w14:textId="77777777" w:rsidR="00EB267E" w:rsidRPr="00792B36" w:rsidRDefault="00EB267E" w:rsidP="00EB267E">
      <w:pPr>
        <w:pBdr>
          <w:top w:val="nil"/>
          <w:left w:val="nil"/>
          <w:bottom w:val="nil"/>
          <w:right w:val="nil"/>
          <w:between w:val="nil"/>
        </w:pBdr>
        <w:jc w:val="thaiDistribute"/>
        <w:rPr>
          <w:rFonts w:eastAsia="Google Sans Text"/>
          <w:color w:val="1F1F1F"/>
          <w:sz w:val="24"/>
          <w:szCs w:val="24"/>
        </w:rPr>
      </w:pPr>
    </w:p>
    <w:p w14:paraId="2789884A" w14:textId="77777777" w:rsidR="00EB267E" w:rsidRPr="00792B36" w:rsidRDefault="00EB267E" w:rsidP="00F61B37">
      <w:pPr>
        <w:numPr>
          <w:ilvl w:val="0"/>
          <w:numId w:val="138"/>
        </w:numPr>
        <w:pBdr>
          <w:top w:val="nil"/>
          <w:left w:val="nil"/>
          <w:bottom w:val="nil"/>
          <w:right w:val="nil"/>
          <w:between w:val="nil"/>
        </w:pBdr>
        <w:jc w:val="thaiDistribute"/>
        <w:rPr>
          <w:sz w:val="24"/>
          <w:szCs w:val="24"/>
        </w:rPr>
      </w:pPr>
      <w:r w:rsidRPr="00792B36">
        <w:rPr>
          <w:rFonts w:eastAsia="Google Sans Text"/>
          <w:b/>
          <w:bCs/>
          <w:color w:val="1F1F1F"/>
          <w:sz w:val="24"/>
          <w:szCs w:val="24"/>
        </w:rPr>
        <w:t>The Industrial Hotspot (Upper Gulf &amp; EEC):</w:t>
      </w:r>
      <w:r w:rsidRPr="00792B36">
        <w:rPr>
          <w:rFonts w:eastAsia="Google Sans Text"/>
          <w:color w:val="1F1F1F"/>
          <w:sz w:val="24"/>
          <w:szCs w:val="24"/>
        </w:rPr>
        <w:t xml:space="preserve"> Characterized by </w:t>
      </w:r>
      <w:r w:rsidRPr="00792B36">
        <w:rPr>
          <w:rFonts w:eastAsia="Google Sans Text"/>
          <w:b/>
          <w:bCs/>
          <w:color w:val="1F1F1F"/>
          <w:sz w:val="24"/>
          <w:szCs w:val="24"/>
        </w:rPr>
        <w:t>High Environmental Risk</w:t>
      </w:r>
      <w:r w:rsidRPr="00792B36">
        <w:rPr>
          <w:rFonts w:eastAsia="Google Sans Text"/>
          <w:color w:val="1F1F1F"/>
          <w:sz w:val="24"/>
          <w:szCs w:val="24"/>
        </w:rPr>
        <w:t xml:space="preserve"> (hypoxia, hazardous waste, microplastics) but </w:t>
      </w:r>
      <w:r w:rsidRPr="00792B36">
        <w:rPr>
          <w:rFonts w:eastAsia="Google Sans Text"/>
          <w:b/>
          <w:bCs/>
          <w:color w:val="1F1F1F"/>
          <w:sz w:val="24"/>
          <w:szCs w:val="24"/>
        </w:rPr>
        <w:t>High Adaptive Capacity</w:t>
      </w:r>
      <w:r w:rsidRPr="00792B36">
        <w:rPr>
          <w:rFonts w:eastAsia="Google Sans Text"/>
          <w:color w:val="1F1F1F"/>
          <w:sz w:val="24"/>
          <w:szCs w:val="24"/>
        </w:rPr>
        <w:t xml:space="preserve"> (wealthy provinces). The priority here is regulation and technological mitigation.</w:t>
      </w:r>
    </w:p>
    <w:p w14:paraId="623E5220" w14:textId="77777777" w:rsidR="00EB267E" w:rsidRPr="00792B36" w:rsidRDefault="00EB267E" w:rsidP="00F61B37">
      <w:pPr>
        <w:numPr>
          <w:ilvl w:val="0"/>
          <w:numId w:val="138"/>
        </w:numPr>
        <w:pBdr>
          <w:top w:val="nil"/>
          <w:left w:val="nil"/>
          <w:bottom w:val="nil"/>
          <w:right w:val="nil"/>
          <w:between w:val="nil"/>
        </w:pBdr>
        <w:jc w:val="thaiDistribute"/>
        <w:rPr>
          <w:sz w:val="24"/>
          <w:szCs w:val="24"/>
        </w:rPr>
      </w:pPr>
      <w:r w:rsidRPr="00792B36">
        <w:rPr>
          <w:rFonts w:eastAsia="Google Sans Text"/>
          <w:b/>
          <w:bCs/>
          <w:color w:val="1F1F1F"/>
          <w:sz w:val="24"/>
          <w:szCs w:val="24"/>
        </w:rPr>
        <w:t>The Livelihood Trap (Lower Gulf/Deep South):</w:t>
      </w:r>
      <w:r w:rsidRPr="00792B36">
        <w:rPr>
          <w:rFonts w:eastAsia="Google Sans Text"/>
          <w:color w:val="1F1F1F"/>
          <w:sz w:val="24"/>
          <w:szCs w:val="24"/>
        </w:rPr>
        <w:t xml:space="preserve"> Characterized by </w:t>
      </w:r>
      <w:r w:rsidRPr="00792B36">
        <w:rPr>
          <w:rFonts w:eastAsia="Google Sans Text"/>
          <w:b/>
          <w:bCs/>
          <w:color w:val="1F1F1F"/>
          <w:sz w:val="24"/>
          <w:szCs w:val="24"/>
        </w:rPr>
        <w:t>Moderate Environmental Risk</w:t>
      </w:r>
      <w:r w:rsidRPr="00792B36">
        <w:rPr>
          <w:rFonts w:eastAsia="Google Sans Text"/>
          <w:color w:val="1F1F1F"/>
          <w:sz w:val="24"/>
          <w:szCs w:val="24"/>
        </w:rPr>
        <w:t xml:space="preserve"> but </w:t>
      </w:r>
      <w:r w:rsidRPr="00792B36">
        <w:rPr>
          <w:rFonts w:eastAsia="Google Sans Text"/>
          <w:b/>
          <w:bCs/>
          <w:color w:val="1F1F1F"/>
          <w:sz w:val="24"/>
          <w:szCs w:val="24"/>
        </w:rPr>
        <w:t>High Social Vulnerability</w:t>
      </w:r>
      <w:r w:rsidRPr="00792B36">
        <w:rPr>
          <w:rFonts w:eastAsia="Google Sans Text"/>
          <w:color w:val="1F1F1F"/>
          <w:sz w:val="24"/>
          <w:szCs w:val="24"/>
        </w:rPr>
        <w:t xml:space="preserve"> (poverty &gt;20%). Climate shocks here directly translate to human suffering due to high dependence on nature.</w:t>
      </w:r>
    </w:p>
    <w:p w14:paraId="0BE18E43" w14:textId="77777777" w:rsidR="00EB267E" w:rsidRPr="00792B36" w:rsidRDefault="00EB267E" w:rsidP="00F61B37">
      <w:pPr>
        <w:numPr>
          <w:ilvl w:val="0"/>
          <w:numId w:val="138"/>
        </w:numPr>
        <w:pBdr>
          <w:top w:val="nil"/>
          <w:left w:val="nil"/>
          <w:bottom w:val="nil"/>
          <w:right w:val="nil"/>
          <w:between w:val="nil"/>
        </w:pBdr>
        <w:jc w:val="thaiDistribute"/>
        <w:rPr>
          <w:sz w:val="24"/>
          <w:szCs w:val="24"/>
        </w:rPr>
      </w:pPr>
      <w:r w:rsidRPr="00792B36">
        <w:rPr>
          <w:rFonts w:eastAsia="Google Sans Text"/>
          <w:b/>
          <w:bCs/>
          <w:color w:val="1F1F1F"/>
          <w:sz w:val="24"/>
          <w:szCs w:val="24"/>
        </w:rPr>
        <w:t>The Ecological Refugia (Offshore Islands):</w:t>
      </w:r>
      <w:r w:rsidRPr="00792B36">
        <w:rPr>
          <w:rFonts w:eastAsia="Google Sans Text"/>
          <w:color w:val="1F1F1F"/>
          <w:sz w:val="24"/>
          <w:szCs w:val="24"/>
        </w:rPr>
        <w:t xml:space="preserve"> Sites like Koh Losin and the Chumphon Pinnacles represent </w:t>
      </w:r>
      <w:r w:rsidRPr="00792B36">
        <w:rPr>
          <w:rFonts w:eastAsia="Google Sans Text"/>
          <w:b/>
          <w:bCs/>
          <w:color w:val="1F1F1F"/>
          <w:sz w:val="24"/>
          <w:szCs w:val="24"/>
        </w:rPr>
        <w:t>Low Risk/High Value</w:t>
      </w:r>
      <w:r w:rsidRPr="00792B36">
        <w:rPr>
          <w:rFonts w:eastAsia="Google Sans Text"/>
          <w:color w:val="1F1F1F"/>
          <w:sz w:val="24"/>
          <w:szCs w:val="24"/>
        </w:rPr>
        <w:t xml:space="preserve"> assets. They act as the "biological insurance" for the Gulf and require strict protection from physical damage to maintain larval connectivity.</w:t>
      </w:r>
    </w:p>
    <w:p w14:paraId="671B64BF" w14:textId="77777777" w:rsidR="00EB267E" w:rsidRPr="00792B36" w:rsidRDefault="00EB267E" w:rsidP="00EB267E">
      <w:pPr>
        <w:pBdr>
          <w:top w:val="nil"/>
          <w:left w:val="nil"/>
          <w:bottom w:val="nil"/>
          <w:right w:val="nil"/>
          <w:between w:val="nil"/>
        </w:pBdr>
        <w:jc w:val="thaiDistribute"/>
        <w:rPr>
          <w:rFonts w:eastAsia="Google Sans Text"/>
          <w:color w:val="1F1F1F"/>
          <w:sz w:val="24"/>
          <w:szCs w:val="24"/>
        </w:rPr>
      </w:pPr>
    </w:p>
    <w:p w14:paraId="20F4ED5F" w14:textId="77777777" w:rsidR="00EB267E" w:rsidRPr="00792B36" w:rsidRDefault="00EB267E" w:rsidP="00EB267E">
      <w:pPr>
        <w:pStyle w:val="Heading3"/>
        <w:spacing w:before="0" w:after="0"/>
        <w:jc w:val="thaiDistribute"/>
        <w:rPr>
          <w:rFonts w:eastAsia="Google Sans"/>
          <w:b w:val="0"/>
          <w:bCs w:val="0"/>
          <w:color w:val="1F1F1F"/>
          <w:sz w:val="24"/>
          <w:szCs w:val="24"/>
        </w:rPr>
      </w:pPr>
    </w:p>
    <w:p w14:paraId="6F432442" w14:textId="77777777" w:rsidR="00EB267E" w:rsidRPr="00792B36" w:rsidRDefault="00EB267E" w:rsidP="00EB267E">
      <w:pPr>
        <w:pStyle w:val="Heading3"/>
        <w:spacing w:before="0" w:after="0"/>
        <w:jc w:val="thaiDistribute"/>
        <w:rPr>
          <w:rFonts w:eastAsia="Google Sans"/>
          <w:b w:val="0"/>
          <w:bCs w:val="0"/>
          <w:color w:val="1F1F1F"/>
          <w:sz w:val="24"/>
          <w:szCs w:val="24"/>
        </w:rPr>
      </w:pPr>
      <w:r w:rsidRPr="00792B36">
        <w:rPr>
          <w:rFonts w:eastAsia="Google Sans"/>
          <w:color w:val="1F1F1F"/>
          <w:sz w:val="24"/>
          <w:szCs w:val="24"/>
        </w:rPr>
        <w:t>7.4 Target audience</w:t>
      </w:r>
    </w:p>
    <w:p w14:paraId="7DD2F481" w14:textId="77777777" w:rsidR="00EB267E" w:rsidRPr="00792B36" w:rsidRDefault="00EB267E" w:rsidP="00EB267E">
      <w:pPr>
        <w:pBdr>
          <w:top w:val="nil"/>
          <w:left w:val="nil"/>
          <w:bottom w:val="nil"/>
          <w:right w:val="nil"/>
          <w:between w:val="nil"/>
        </w:pBdr>
        <w:jc w:val="thaiDistribute"/>
        <w:rPr>
          <w:rFonts w:eastAsia="Google Sans"/>
          <w:color w:val="1F1F1F"/>
          <w:sz w:val="24"/>
          <w:szCs w:val="24"/>
        </w:rPr>
      </w:pPr>
    </w:p>
    <w:p w14:paraId="20FAF4B9" w14:textId="77777777" w:rsidR="00EB267E" w:rsidRPr="00792B36" w:rsidRDefault="00EB267E" w:rsidP="00EB267E">
      <w:pPr>
        <w:pBdr>
          <w:top w:val="nil"/>
          <w:left w:val="nil"/>
          <w:bottom w:val="nil"/>
          <w:right w:val="nil"/>
          <w:between w:val="nil"/>
        </w:pBdr>
        <w:jc w:val="thaiDistribute"/>
        <w:rPr>
          <w:rFonts w:eastAsia="Google Sans Text"/>
          <w:color w:val="1F1F1F"/>
          <w:sz w:val="24"/>
          <w:szCs w:val="24"/>
        </w:rPr>
      </w:pPr>
      <w:r w:rsidRPr="00792B36">
        <w:rPr>
          <w:rFonts w:eastAsia="Google Sans Text"/>
          <w:color w:val="1F1F1F"/>
          <w:sz w:val="24"/>
          <w:szCs w:val="24"/>
        </w:rPr>
        <w:t>This report targets five distinct groups to drive change:</w:t>
      </w:r>
    </w:p>
    <w:p w14:paraId="568B1A6C" w14:textId="77777777" w:rsidR="00EB267E" w:rsidRPr="00792B36" w:rsidRDefault="00EB267E" w:rsidP="00EB267E">
      <w:pPr>
        <w:pBdr>
          <w:top w:val="nil"/>
          <w:left w:val="nil"/>
          <w:bottom w:val="nil"/>
          <w:right w:val="nil"/>
          <w:between w:val="nil"/>
        </w:pBdr>
        <w:jc w:val="thaiDistribute"/>
        <w:rPr>
          <w:rFonts w:eastAsia="Google Sans Text"/>
          <w:color w:val="1F1F1F"/>
          <w:sz w:val="24"/>
          <w:szCs w:val="24"/>
        </w:rPr>
      </w:pPr>
    </w:p>
    <w:p w14:paraId="31818A6F" w14:textId="77777777" w:rsidR="00EB267E" w:rsidRPr="00792B36" w:rsidRDefault="00EB267E" w:rsidP="00F61B37">
      <w:pPr>
        <w:numPr>
          <w:ilvl w:val="0"/>
          <w:numId w:val="139"/>
        </w:numPr>
        <w:pBdr>
          <w:top w:val="nil"/>
          <w:left w:val="nil"/>
          <w:bottom w:val="nil"/>
          <w:right w:val="nil"/>
          <w:between w:val="nil"/>
        </w:pBdr>
        <w:jc w:val="thaiDistribute"/>
        <w:rPr>
          <w:sz w:val="24"/>
          <w:szCs w:val="24"/>
        </w:rPr>
      </w:pPr>
      <w:r w:rsidRPr="00792B36">
        <w:rPr>
          <w:rFonts w:eastAsia="Google Sans Text"/>
          <w:b/>
          <w:bCs/>
          <w:color w:val="1F1F1F"/>
          <w:sz w:val="24"/>
          <w:szCs w:val="24"/>
        </w:rPr>
        <w:t>National Policymakers (NESDC, MONRE):</w:t>
      </w:r>
      <w:r w:rsidRPr="00792B36">
        <w:rPr>
          <w:rFonts w:eastAsia="Google Sans Text"/>
          <w:color w:val="1F1F1F"/>
          <w:sz w:val="24"/>
          <w:szCs w:val="24"/>
        </w:rPr>
        <w:t xml:space="preserve"> To integrate "Blue Carbon" and marine spatial planning into the National Economic and Social Development Plan.</w:t>
      </w:r>
    </w:p>
    <w:p w14:paraId="51A89F10" w14:textId="77777777" w:rsidR="00EB267E" w:rsidRPr="00792B36" w:rsidRDefault="00EB267E" w:rsidP="00F61B37">
      <w:pPr>
        <w:numPr>
          <w:ilvl w:val="0"/>
          <w:numId w:val="139"/>
        </w:numPr>
        <w:pBdr>
          <w:top w:val="nil"/>
          <w:left w:val="nil"/>
          <w:bottom w:val="nil"/>
          <w:right w:val="nil"/>
          <w:between w:val="nil"/>
        </w:pBdr>
        <w:jc w:val="thaiDistribute"/>
        <w:rPr>
          <w:sz w:val="24"/>
          <w:szCs w:val="24"/>
        </w:rPr>
      </w:pPr>
      <w:r w:rsidRPr="00792B36">
        <w:rPr>
          <w:rFonts w:eastAsia="Google Sans Text"/>
          <w:b/>
          <w:bCs/>
          <w:color w:val="1F1F1F"/>
          <w:sz w:val="24"/>
          <w:szCs w:val="24"/>
        </w:rPr>
        <w:t>Provincial Administrations (PAOs):</w:t>
      </w:r>
      <w:r w:rsidRPr="00792B36">
        <w:rPr>
          <w:rFonts w:eastAsia="Google Sans Text"/>
          <w:color w:val="1F1F1F"/>
          <w:sz w:val="24"/>
          <w:szCs w:val="24"/>
        </w:rPr>
        <w:t xml:space="preserve"> Specifically in the EEC and Southern </w:t>
      </w:r>
      <w:r w:rsidRPr="00792B36">
        <w:rPr>
          <w:rFonts w:eastAsia="Google Sans Text"/>
          <w:color w:val="1F1F1F"/>
          <w:sz w:val="24"/>
          <w:szCs w:val="24"/>
        </w:rPr>
        <w:lastRenderedPageBreak/>
        <w:t>provinces, to guide zoning and waste management investments.</w:t>
      </w:r>
    </w:p>
    <w:p w14:paraId="4CEB0161" w14:textId="77777777" w:rsidR="00EB267E" w:rsidRPr="00792B36" w:rsidRDefault="00EB267E" w:rsidP="00F61B37">
      <w:pPr>
        <w:numPr>
          <w:ilvl w:val="0"/>
          <w:numId w:val="139"/>
        </w:numPr>
        <w:pBdr>
          <w:top w:val="nil"/>
          <w:left w:val="nil"/>
          <w:bottom w:val="nil"/>
          <w:right w:val="nil"/>
          <w:between w:val="nil"/>
        </w:pBdr>
        <w:jc w:val="thaiDistribute"/>
        <w:rPr>
          <w:sz w:val="24"/>
          <w:szCs w:val="24"/>
        </w:rPr>
      </w:pPr>
      <w:r w:rsidRPr="00792B36">
        <w:rPr>
          <w:rFonts w:eastAsia="Google Sans Text"/>
          <w:b/>
          <w:bCs/>
          <w:color w:val="1F1F1F"/>
          <w:sz w:val="24"/>
          <w:szCs w:val="24"/>
        </w:rPr>
        <w:t>Private Sector Investors:</w:t>
      </w:r>
      <w:r w:rsidRPr="00792B36">
        <w:rPr>
          <w:rFonts w:eastAsia="Google Sans Text"/>
          <w:color w:val="1F1F1F"/>
          <w:sz w:val="24"/>
          <w:szCs w:val="24"/>
        </w:rPr>
        <w:t xml:space="preserve"> To highlight the financial risks of operating in degraded ecosystems and the opportunities in "Nature-based Solutions" (e.g., mangrove carbon credits).</w:t>
      </w:r>
    </w:p>
    <w:p w14:paraId="6EA0B489" w14:textId="77777777" w:rsidR="00EB267E" w:rsidRPr="00792B36" w:rsidRDefault="00EB267E" w:rsidP="00F61B37">
      <w:pPr>
        <w:numPr>
          <w:ilvl w:val="0"/>
          <w:numId w:val="139"/>
        </w:numPr>
        <w:pBdr>
          <w:top w:val="nil"/>
          <w:left w:val="nil"/>
          <w:bottom w:val="nil"/>
          <w:right w:val="nil"/>
          <w:between w:val="nil"/>
        </w:pBdr>
        <w:jc w:val="thaiDistribute"/>
        <w:rPr>
          <w:sz w:val="24"/>
          <w:szCs w:val="24"/>
        </w:rPr>
      </w:pPr>
      <w:r w:rsidRPr="00792B36">
        <w:rPr>
          <w:b/>
          <w:bCs/>
          <w:sz w:val="24"/>
          <w:szCs w:val="24"/>
        </w:rPr>
        <w:t>Local Actors and Communities:</w:t>
      </w:r>
      <w:r w:rsidRPr="00792B36">
        <w:rPr>
          <w:sz w:val="24"/>
          <w:szCs w:val="24"/>
        </w:rPr>
        <w:t xml:space="preserve"> To align policy with local realities, frameworks such as the Fisheries Action Plan must be adapted to the specific context of small-scale (artisanal) fisheries. Recognizing that regulations designed for large commercial fleets are often inapplicable at the community level, this approach prioritizes differentiated management measures that secure local livelihoods while ensuring long-term resource sustainability.</w:t>
      </w:r>
    </w:p>
    <w:p w14:paraId="263AE4DB" w14:textId="77777777" w:rsidR="00EB267E" w:rsidRPr="00792B36" w:rsidRDefault="00EB267E" w:rsidP="00F61B37">
      <w:pPr>
        <w:numPr>
          <w:ilvl w:val="0"/>
          <w:numId w:val="139"/>
        </w:numPr>
        <w:pBdr>
          <w:top w:val="nil"/>
          <w:left w:val="nil"/>
          <w:bottom w:val="nil"/>
          <w:right w:val="nil"/>
          <w:between w:val="nil"/>
        </w:pBdr>
        <w:jc w:val="thaiDistribute"/>
        <w:rPr>
          <w:sz w:val="24"/>
          <w:szCs w:val="24"/>
        </w:rPr>
      </w:pPr>
      <w:r w:rsidRPr="00792B36">
        <w:rPr>
          <w:rFonts w:eastAsia="Google Sans Text"/>
          <w:b/>
          <w:bCs/>
          <w:color w:val="1F1F1F"/>
          <w:sz w:val="24"/>
          <w:szCs w:val="24"/>
        </w:rPr>
        <w:t>International Partners (GEF, UNEP):</w:t>
      </w:r>
      <w:r w:rsidRPr="00792B36">
        <w:rPr>
          <w:rFonts w:eastAsia="Google Sans Text"/>
          <w:color w:val="1F1F1F"/>
          <w:sz w:val="24"/>
          <w:szCs w:val="24"/>
        </w:rPr>
        <w:t xml:space="preserve"> To demonstrate Thailand’s readiness for regional cooperation on transboundary issues like marine plastics and migratory fish stocks.</w:t>
      </w:r>
    </w:p>
    <w:p w14:paraId="3C6A6D6A" w14:textId="77777777" w:rsidR="00EB267E" w:rsidRPr="00792B36" w:rsidRDefault="00EB267E" w:rsidP="00EB267E">
      <w:pPr>
        <w:pBdr>
          <w:top w:val="nil"/>
          <w:left w:val="nil"/>
          <w:bottom w:val="nil"/>
          <w:right w:val="nil"/>
          <w:between w:val="nil"/>
        </w:pBdr>
        <w:jc w:val="thaiDistribute"/>
        <w:rPr>
          <w:rFonts w:eastAsia="Google Sans Text"/>
          <w:color w:val="1F1F1F"/>
          <w:sz w:val="24"/>
          <w:szCs w:val="24"/>
        </w:rPr>
      </w:pPr>
    </w:p>
    <w:p w14:paraId="59F45CC3" w14:textId="77777777" w:rsidR="00EB267E" w:rsidRPr="00792B36" w:rsidRDefault="00EB267E" w:rsidP="00EB267E">
      <w:pPr>
        <w:pStyle w:val="Heading3"/>
        <w:spacing w:before="0" w:after="0"/>
        <w:jc w:val="thaiDistribute"/>
        <w:rPr>
          <w:rFonts w:eastAsia="Google Sans"/>
          <w:b w:val="0"/>
          <w:bCs w:val="0"/>
          <w:color w:val="1F1F1F"/>
          <w:sz w:val="24"/>
          <w:szCs w:val="24"/>
        </w:rPr>
      </w:pPr>
    </w:p>
    <w:p w14:paraId="0E979C34" w14:textId="77777777" w:rsidR="00EB267E" w:rsidRPr="00792B36" w:rsidRDefault="00EB267E" w:rsidP="00EB267E">
      <w:pPr>
        <w:pStyle w:val="Heading3"/>
        <w:spacing w:before="0" w:after="0"/>
        <w:jc w:val="thaiDistribute"/>
        <w:rPr>
          <w:rFonts w:eastAsia="Google Sans"/>
          <w:b w:val="0"/>
          <w:bCs w:val="0"/>
          <w:color w:val="1F1F1F"/>
          <w:sz w:val="24"/>
          <w:szCs w:val="24"/>
        </w:rPr>
      </w:pPr>
      <w:r w:rsidRPr="00792B36">
        <w:rPr>
          <w:rFonts w:eastAsia="Google Sans"/>
          <w:color w:val="1F1F1F"/>
          <w:sz w:val="24"/>
          <w:szCs w:val="24"/>
        </w:rPr>
        <w:t>7.5 Future indicator-based environmental assessments</w:t>
      </w:r>
    </w:p>
    <w:p w14:paraId="695037ED" w14:textId="77777777" w:rsidR="00EB267E" w:rsidRPr="00792B36" w:rsidRDefault="00EB267E" w:rsidP="00EB267E">
      <w:pPr>
        <w:pBdr>
          <w:top w:val="nil"/>
          <w:left w:val="nil"/>
          <w:bottom w:val="nil"/>
          <w:right w:val="nil"/>
          <w:between w:val="nil"/>
        </w:pBdr>
        <w:jc w:val="thaiDistribute"/>
        <w:rPr>
          <w:rFonts w:eastAsia="Google Sans"/>
          <w:color w:val="1F1F1F"/>
          <w:sz w:val="24"/>
          <w:szCs w:val="24"/>
        </w:rPr>
      </w:pPr>
    </w:p>
    <w:p w14:paraId="457E726A" w14:textId="77777777" w:rsidR="00EB267E" w:rsidRPr="00792B36" w:rsidRDefault="00EB267E" w:rsidP="00EB267E">
      <w:pPr>
        <w:pBdr>
          <w:top w:val="nil"/>
          <w:left w:val="nil"/>
          <w:bottom w:val="nil"/>
          <w:right w:val="nil"/>
          <w:between w:val="nil"/>
        </w:pBdr>
        <w:jc w:val="thaiDistribute"/>
        <w:rPr>
          <w:rFonts w:eastAsia="Google Sans Text"/>
          <w:color w:val="1F1F1F"/>
          <w:sz w:val="24"/>
          <w:szCs w:val="24"/>
        </w:rPr>
      </w:pPr>
      <w:r w:rsidRPr="00792B36">
        <w:rPr>
          <w:rFonts w:eastAsia="Google Sans Text"/>
          <w:color w:val="1F1F1F"/>
          <w:sz w:val="24"/>
          <w:szCs w:val="24"/>
        </w:rPr>
        <w:t>Moving forward, Thailand must evolve its assessment framework from "Status Monitoring" to "Resilience Monitoring":</w:t>
      </w:r>
    </w:p>
    <w:p w14:paraId="1EF814E4" w14:textId="77777777" w:rsidR="00EB267E" w:rsidRPr="00792B36" w:rsidRDefault="00EB267E" w:rsidP="00EB267E">
      <w:pPr>
        <w:pBdr>
          <w:top w:val="nil"/>
          <w:left w:val="nil"/>
          <w:bottom w:val="nil"/>
          <w:right w:val="nil"/>
          <w:between w:val="nil"/>
        </w:pBdr>
        <w:jc w:val="thaiDistribute"/>
        <w:rPr>
          <w:rFonts w:eastAsia="Google Sans Text"/>
          <w:color w:val="1F1F1F"/>
          <w:sz w:val="24"/>
          <w:szCs w:val="24"/>
        </w:rPr>
      </w:pPr>
    </w:p>
    <w:p w14:paraId="2E463423" w14:textId="77777777" w:rsidR="00EB267E" w:rsidRPr="00792B36" w:rsidRDefault="00EB267E" w:rsidP="00F61B37">
      <w:pPr>
        <w:numPr>
          <w:ilvl w:val="0"/>
          <w:numId w:val="140"/>
        </w:numPr>
        <w:pBdr>
          <w:top w:val="nil"/>
          <w:left w:val="nil"/>
          <w:bottom w:val="nil"/>
          <w:right w:val="nil"/>
          <w:between w:val="nil"/>
        </w:pBdr>
        <w:jc w:val="thaiDistribute"/>
        <w:rPr>
          <w:sz w:val="24"/>
          <w:szCs w:val="24"/>
        </w:rPr>
      </w:pPr>
      <w:r w:rsidRPr="00792B36">
        <w:rPr>
          <w:rFonts w:eastAsia="Google Sans Text"/>
          <w:b/>
          <w:bCs/>
          <w:color w:val="1F1F1F"/>
          <w:sz w:val="24"/>
          <w:szCs w:val="24"/>
        </w:rPr>
        <w:t>Process Indicators:</w:t>
      </w:r>
      <w:r w:rsidRPr="00792B36">
        <w:rPr>
          <w:rFonts w:eastAsia="Google Sans Text"/>
          <w:color w:val="1F1F1F"/>
          <w:sz w:val="24"/>
          <w:szCs w:val="24"/>
        </w:rPr>
        <w:t xml:space="preserve"> Shift from measuring just "forest area" to measuring "carbon sequestration rates" and "seedling survival".</w:t>
      </w:r>
    </w:p>
    <w:p w14:paraId="564AFD3A" w14:textId="77777777" w:rsidR="00EB267E" w:rsidRPr="00792B36" w:rsidRDefault="00EB267E" w:rsidP="00F61B37">
      <w:pPr>
        <w:numPr>
          <w:ilvl w:val="0"/>
          <w:numId w:val="140"/>
        </w:numPr>
        <w:pBdr>
          <w:top w:val="nil"/>
          <w:left w:val="nil"/>
          <w:bottom w:val="nil"/>
          <w:right w:val="nil"/>
          <w:between w:val="nil"/>
        </w:pBdr>
        <w:jc w:val="thaiDistribute"/>
        <w:rPr>
          <w:sz w:val="24"/>
          <w:szCs w:val="24"/>
        </w:rPr>
      </w:pPr>
      <w:r w:rsidRPr="00792B36">
        <w:rPr>
          <w:rFonts w:eastAsia="Google Sans Text"/>
          <w:b/>
          <w:bCs/>
          <w:color w:val="1F1F1F"/>
          <w:sz w:val="24"/>
          <w:szCs w:val="24"/>
        </w:rPr>
        <w:t>Integrated Monitoring:</w:t>
      </w:r>
      <w:r w:rsidRPr="00792B36">
        <w:rPr>
          <w:rFonts w:eastAsia="Google Sans Text"/>
          <w:color w:val="1F1F1F"/>
          <w:sz w:val="24"/>
          <w:szCs w:val="24"/>
        </w:rPr>
        <w:t xml:space="preserve"> Collate water quality data (PCD) with coral health data (DMCR) in real-time to predict and mitigate bleaching events.</w:t>
      </w:r>
    </w:p>
    <w:p w14:paraId="15E18419" w14:textId="77777777" w:rsidR="00EB267E" w:rsidRPr="00792B36" w:rsidRDefault="00EB267E" w:rsidP="00F61B37">
      <w:pPr>
        <w:numPr>
          <w:ilvl w:val="0"/>
          <w:numId w:val="140"/>
        </w:numPr>
        <w:pBdr>
          <w:top w:val="nil"/>
          <w:left w:val="nil"/>
          <w:bottom w:val="nil"/>
          <w:right w:val="nil"/>
          <w:between w:val="nil"/>
        </w:pBdr>
        <w:jc w:val="thaiDistribute"/>
        <w:rPr>
          <w:sz w:val="24"/>
          <w:szCs w:val="24"/>
        </w:rPr>
      </w:pPr>
      <w:r w:rsidRPr="00792B36">
        <w:rPr>
          <w:rFonts w:eastAsia="Google Sans Text"/>
          <w:b/>
          <w:bCs/>
          <w:color w:val="1F1F1F"/>
          <w:sz w:val="24"/>
          <w:szCs w:val="24"/>
        </w:rPr>
        <w:t>Socio-Economic Metrics:</w:t>
      </w:r>
      <w:r w:rsidRPr="00792B36">
        <w:rPr>
          <w:rFonts w:eastAsia="Google Sans Text"/>
          <w:color w:val="1F1F1F"/>
          <w:sz w:val="24"/>
          <w:szCs w:val="24"/>
        </w:rPr>
        <w:t xml:space="preserve"> Regularly track the "Ocean Health Index" and "Coastal Livelihood Vulnerability" to ensure that governance interventions are socially equitable.</w:t>
      </w:r>
    </w:p>
    <w:p w14:paraId="07956763" w14:textId="77777777" w:rsidR="00EB267E" w:rsidRPr="00792B36" w:rsidRDefault="00EB267E" w:rsidP="00F61B37">
      <w:pPr>
        <w:pStyle w:val="NormalWeb"/>
        <w:numPr>
          <w:ilvl w:val="0"/>
          <w:numId w:val="140"/>
        </w:numPr>
        <w:spacing w:before="0" w:beforeAutospacing="0" w:after="0" w:afterAutospacing="0"/>
        <w:jc w:val="thaiDistribute"/>
        <w:rPr>
          <w:rFonts w:ascii="Arial" w:hAnsi="Arial" w:cs="Arial"/>
          <w:color w:val="000000" w:themeColor="text1"/>
        </w:rPr>
      </w:pPr>
      <w:r w:rsidRPr="00792B36">
        <w:rPr>
          <w:rFonts w:ascii="Arial" w:hAnsi="Arial" w:cs="Arial"/>
          <w:b/>
          <w:bCs/>
          <w:color w:val="000000" w:themeColor="text1"/>
        </w:rPr>
        <w:t>Ocean Literacy and Blue Curriculum:</w:t>
      </w:r>
      <w:r w:rsidRPr="00792B36">
        <w:rPr>
          <w:rFonts w:ascii="Arial" w:hAnsi="Arial" w:cs="Arial"/>
          <w:color w:val="000000" w:themeColor="text1"/>
        </w:rPr>
        <w:t> Future assessments and development strategies should consider </w:t>
      </w:r>
      <w:r w:rsidRPr="00792B36">
        <w:rPr>
          <w:rFonts w:ascii="Arial" w:hAnsi="Arial" w:cs="Arial"/>
          <w:b/>
          <w:bCs/>
          <w:color w:val="000000" w:themeColor="text1"/>
        </w:rPr>
        <w:t>Ocean Literacy</w:t>
      </w:r>
      <w:r w:rsidRPr="00792B36">
        <w:rPr>
          <w:rFonts w:ascii="Arial" w:hAnsi="Arial" w:cs="Arial"/>
          <w:color w:val="000000" w:themeColor="text1"/>
        </w:rPr>
        <w:t> and the </w:t>
      </w:r>
      <w:r w:rsidRPr="00792B36">
        <w:rPr>
          <w:rFonts w:ascii="Arial" w:hAnsi="Arial" w:cs="Arial"/>
          <w:b/>
          <w:bCs/>
          <w:color w:val="000000" w:themeColor="text1"/>
        </w:rPr>
        <w:t>Blue Curriculum</w:t>
      </w:r>
      <w:r w:rsidRPr="00792B36">
        <w:rPr>
          <w:rFonts w:ascii="Arial" w:hAnsi="Arial" w:cs="Arial"/>
          <w:color w:val="000000" w:themeColor="text1"/>
        </w:rPr>
        <w:t> as fundamental drivers for socio-economic development. Aligning national education with the </w:t>
      </w:r>
      <w:r w:rsidRPr="00792B36">
        <w:rPr>
          <w:rFonts w:ascii="Arial" w:hAnsi="Arial" w:cs="Arial"/>
          <w:b/>
          <w:bCs/>
          <w:color w:val="000000" w:themeColor="text1"/>
        </w:rPr>
        <w:t>UNESCO/WESTPAC</w:t>
      </w:r>
      <w:r w:rsidRPr="00792B36">
        <w:rPr>
          <w:rFonts w:ascii="Arial" w:hAnsi="Arial" w:cs="Arial"/>
          <w:color w:val="000000" w:themeColor="text1"/>
        </w:rPr>
        <w:t> framework will build a citizenry capable of understanding and protecting marine resources, ensuring the long-term success of technical interventions.</w:t>
      </w:r>
    </w:p>
    <w:p w14:paraId="1E79DB3D" w14:textId="77777777" w:rsidR="00EB267E" w:rsidRPr="00792B36" w:rsidRDefault="00EB267E" w:rsidP="00EB267E">
      <w:pPr>
        <w:pStyle w:val="NormalWeb"/>
        <w:spacing w:before="0" w:beforeAutospacing="0" w:after="0" w:afterAutospacing="0"/>
        <w:jc w:val="thaiDistribute"/>
        <w:rPr>
          <w:rFonts w:ascii="Arial" w:hAnsi="Arial" w:cs="Arial"/>
          <w:color w:val="000000" w:themeColor="text1"/>
        </w:rPr>
      </w:pPr>
    </w:p>
    <w:p w14:paraId="2770FA15" w14:textId="77777777" w:rsidR="00EB267E" w:rsidRPr="00792B36" w:rsidRDefault="00EB267E" w:rsidP="00EB267E">
      <w:pPr>
        <w:pStyle w:val="NormalWeb"/>
        <w:spacing w:before="0" w:beforeAutospacing="0" w:after="0" w:afterAutospacing="0"/>
        <w:jc w:val="thaiDistribute"/>
        <w:rPr>
          <w:rFonts w:ascii="Arial" w:hAnsi="Arial" w:cs="Arial"/>
          <w:color w:val="000000" w:themeColor="text1"/>
        </w:rPr>
        <w:sectPr w:rsidR="00EB267E" w:rsidRPr="00792B36" w:rsidSect="003332A9">
          <w:pgSz w:w="11900" w:h="16840"/>
          <w:pgMar w:top="1440" w:right="1440" w:bottom="1440" w:left="1440" w:header="0" w:footer="720" w:gutter="0"/>
          <w:cols w:space="720"/>
          <w:docGrid w:linePitch="299"/>
        </w:sectPr>
      </w:pPr>
    </w:p>
    <w:p w14:paraId="35E07F40" w14:textId="77777777" w:rsidR="00EB267E" w:rsidRPr="00792B36" w:rsidRDefault="00EB267E" w:rsidP="00EB267E">
      <w:pPr>
        <w:jc w:val="center"/>
        <w:rPr>
          <w:b/>
          <w:bCs/>
          <w:color w:val="000000"/>
          <w:sz w:val="28"/>
          <w:szCs w:val="28"/>
        </w:rPr>
      </w:pPr>
      <w:r w:rsidRPr="00792B36">
        <w:rPr>
          <w:b/>
          <w:bCs/>
          <w:color w:val="000000"/>
          <w:sz w:val="28"/>
          <w:szCs w:val="28"/>
        </w:rPr>
        <w:lastRenderedPageBreak/>
        <w:t>Compiled Bibliography</w:t>
      </w:r>
    </w:p>
    <w:p w14:paraId="007E8D93" w14:textId="77777777" w:rsidR="00EB267E" w:rsidRPr="00792B36" w:rsidRDefault="00EB267E" w:rsidP="00EB267E">
      <w:pPr>
        <w:pBdr>
          <w:top w:val="nil"/>
          <w:left w:val="nil"/>
          <w:bottom w:val="nil"/>
          <w:right w:val="nil"/>
          <w:between w:val="nil"/>
        </w:pBdr>
        <w:spacing w:line="275" w:lineRule="auto"/>
        <w:jc w:val="thaiDistribute"/>
        <w:rPr>
          <w:rFonts w:eastAsia="Google Sans Text"/>
          <w:color w:val="1F1F1F"/>
          <w:sz w:val="24"/>
          <w:szCs w:val="24"/>
        </w:rPr>
      </w:pPr>
    </w:p>
    <w:p w14:paraId="2DDBEA26" w14:textId="77777777" w:rsidR="00F07420" w:rsidRPr="00792B36" w:rsidRDefault="00F07420" w:rsidP="00EB267E">
      <w:pPr>
        <w:pBdr>
          <w:top w:val="nil"/>
          <w:left w:val="nil"/>
          <w:bottom w:val="nil"/>
          <w:right w:val="nil"/>
          <w:between w:val="nil"/>
        </w:pBdr>
        <w:spacing w:line="275" w:lineRule="auto"/>
        <w:jc w:val="thaiDistribute"/>
        <w:rPr>
          <w:rFonts w:eastAsia="Google Sans Text"/>
          <w:color w:val="1F1F1F"/>
          <w:sz w:val="24"/>
          <w:szCs w:val="24"/>
        </w:rPr>
      </w:pPr>
    </w:p>
    <w:p w14:paraId="1209F348" w14:textId="77777777" w:rsidR="00EB267E" w:rsidRPr="00792B36" w:rsidRDefault="00EB267E" w:rsidP="00EB267E">
      <w:pPr>
        <w:pBdr>
          <w:top w:val="nil"/>
          <w:left w:val="nil"/>
          <w:bottom w:val="nil"/>
          <w:right w:val="nil"/>
          <w:between w:val="nil"/>
        </w:pBdr>
        <w:spacing w:line="360" w:lineRule="auto"/>
        <w:ind w:left="105"/>
        <w:rPr>
          <w:sz w:val="24"/>
          <w:szCs w:val="24"/>
        </w:rPr>
      </w:pPr>
      <w:r w:rsidRPr="00792B36">
        <w:rPr>
          <w:rFonts w:eastAsia="Google Sans Text"/>
          <w:b/>
          <w:bCs/>
          <w:color w:val="1F1F1F"/>
          <w:sz w:val="24"/>
          <w:szCs w:val="24"/>
        </w:rPr>
        <w:t>AMATA Corporation.</w:t>
      </w:r>
      <w:r w:rsidRPr="00792B36">
        <w:rPr>
          <w:rFonts w:eastAsia="Google Sans Text"/>
          <w:color w:val="1F1F1F"/>
          <w:sz w:val="24"/>
          <w:szCs w:val="24"/>
        </w:rPr>
        <w:t xml:space="preserve"> (2025, March 6). </w:t>
      </w:r>
      <w:r w:rsidRPr="00792B36">
        <w:rPr>
          <w:rFonts w:eastAsia="Google Sans Text"/>
          <w:i/>
          <w:iCs/>
          <w:color w:val="1F1F1F"/>
          <w:sz w:val="24"/>
          <w:szCs w:val="24"/>
        </w:rPr>
        <w:t>Solid &amp; Industrial Waste Management</w:t>
      </w:r>
      <w:r w:rsidRPr="00792B36">
        <w:rPr>
          <w:rFonts w:eastAsia="Google Sans Text"/>
          <w:color w:val="1F1F1F"/>
          <w:sz w:val="24"/>
          <w:szCs w:val="24"/>
        </w:rPr>
        <w:t xml:space="preserve">. Retrieved from </w:t>
      </w:r>
      <w:r w:rsidRPr="00792B36">
        <w:rPr>
          <w:sz w:val="24"/>
          <w:szCs w:val="24"/>
        </w:rPr>
        <w:fldChar w:fldCharType="begin"/>
      </w:r>
      <w:r w:rsidRPr="00792B36">
        <w:rPr>
          <w:sz w:val="24"/>
          <w:szCs w:val="24"/>
        </w:rPr>
        <w:instrText>HYPERLINK "https://amata.com/sustainability/environmental-stewardship/solid-industrial-waste-management" \h</w:instrText>
      </w:r>
      <w:r w:rsidRPr="00792B36">
        <w:rPr>
          <w:sz w:val="24"/>
          <w:szCs w:val="24"/>
        </w:rPr>
      </w:r>
      <w:r w:rsidRPr="00792B36">
        <w:rPr>
          <w:sz w:val="24"/>
          <w:szCs w:val="24"/>
        </w:rPr>
        <w:fldChar w:fldCharType="separate"/>
      </w:r>
      <w:r w:rsidRPr="00792B36">
        <w:rPr>
          <w:rFonts w:eastAsia="Google Sans Text"/>
          <w:color w:val="0B57D0"/>
          <w:sz w:val="24"/>
          <w:szCs w:val="24"/>
          <w:u w:val="single"/>
        </w:rPr>
        <w:t>https://amata.com/sustainability/environmental-stewardship/solid-industrial-waste-management</w:t>
      </w:r>
      <w:r w:rsidRPr="00792B36">
        <w:rPr>
          <w:sz w:val="24"/>
          <w:szCs w:val="24"/>
        </w:rPr>
        <w:fldChar w:fldCharType="end"/>
      </w:r>
    </w:p>
    <w:p w14:paraId="22C6D173" w14:textId="77777777" w:rsidR="00EB267E" w:rsidRPr="00792B36" w:rsidRDefault="00EB267E" w:rsidP="00EB267E">
      <w:pPr>
        <w:pBdr>
          <w:top w:val="nil"/>
          <w:left w:val="nil"/>
          <w:bottom w:val="nil"/>
          <w:right w:val="nil"/>
          <w:between w:val="nil"/>
        </w:pBdr>
        <w:spacing w:line="360" w:lineRule="auto"/>
        <w:ind w:left="105"/>
        <w:rPr>
          <w:sz w:val="24"/>
          <w:szCs w:val="24"/>
        </w:rPr>
      </w:pPr>
      <w:r w:rsidRPr="00792B36">
        <w:rPr>
          <w:rFonts w:eastAsia="Google Sans Text"/>
          <w:b/>
          <w:bCs/>
          <w:color w:val="1F1F1F"/>
          <w:sz w:val="24"/>
          <w:szCs w:val="24"/>
        </w:rPr>
        <w:t>ASEAN Secretariat.</w:t>
      </w:r>
      <w:r w:rsidRPr="00792B36">
        <w:rPr>
          <w:rFonts w:eastAsia="Google Sans Text"/>
          <w:color w:val="1F1F1F"/>
          <w:sz w:val="24"/>
          <w:szCs w:val="24"/>
        </w:rPr>
        <w:t xml:space="preserve"> (2024). </w:t>
      </w:r>
      <w:r w:rsidRPr="00792B36">
        <w:rPr>
          <w:rFonts w:eastAsia="Google Sans Text"/>
          <w:i/>
          <w:iCs/>
          <w:color w:val="1F1F1F"/>
          <w:sz w:val="24"/>
          <w:szCs w:val="24"/>
        </w:rPr>
        <w:t>ASEAN Marine Environment Protection Report</w:t>
      </w:r>
      <w:r w:rsidRPr="00792B36">
        <w:rPr>
          <w:rFonts w:eastAsia="Google Sans Text"/>
          <w:color w:val="1F1F1F"/>
          <w:sz w:val="24"/>
          <w:szCs w:val="24"/>
        </w:rPr>
        <w:t>.</w:t>
      </w:r>
    </w:p>
    <w:p w14:paraId="405DE1E9" w14:textId="77777777" w:rsidR="00EB267E" w:rsidRPr="00792B36" w:rsidRDefault="00EB267E" w:rsidP="00EB267E">
      <w:pPr>
        <w:pBdr>
          <w:top w:val="nil"/>
          <w:left w:val="nil"/>
          <w:bottom w:val="nil"/>
          <w:right w:val="nil"/>
          <w:between w:val="nil"/>
        </w:pBdr>
        <w:spacing w:line="360" w:lineRule="auto"/>
        <w:ind w:left="105"/>
        <w:rPr>
          <w:sz w:val="24"/>
          <w:szCs w:val="24"/>
        </w:rPr>
      </w:pPr>
      <w:r w:rsidRPr="00792B36">
        <w:rPr>
          <w:rFonts w:eastAsia="Google Sans Text"/>
          <w:b/>
          <w:bCs/>
          <w:color w:val="1F1F1F"/>
          <w:sz w:val="24"/>
          <w:szCs w:val="24"/>
        </w:rPr>
        <w:t>ASEAN Secretariat.</w:t>
      </w:r>
      <w:r w:rsidRPr="00792B36">
        <w:rPr>
          <w:rFonts w:eastAsia="Google Sans Text"/>
          <w:color w:val="1F1F1F"/>
          <w:sz w:val="24"/>
          <w:szCs w:val="24"/>
        </w:rPr>
        <w:t xml:space="preserve"> (2024). </w:t>
      </w:r>
      <w:r w:rsidRPr="00792B36">
        <w:rPr>
          <w:rFonts w:eastAsia="Google Sans Text"/>
          <w:i/>
          <w:iCs/>
          <w:color w:val="1F1F1F"/>
          <w:sz w:val="24"/>
          <w:szCs w:val="24"/>
        </w:rPr>
        <w:t>ASEAN Regional Action Plan for Combating Marine Debris 2021-2025</w:t>
      </w:r>
      <w:r w:rsidRPr="00792B36">
        <w:rPr>
          <w:rFonts w:eastAsia="Google Sans Text"/>
          <w:color w:val="1F1F1F"/>
          <w:sz w:val="24"/>
          <w:szCs w:val="24"/>
        </w:rPr>
        <w:t>.</w:t>
      </w:r>
    </w:p>
    <w:p w14:paraId="6CB08185" w14:textId="77777777" w:rsidR="00EB267E" w:rsidRPr="00792B36" w:rsidRDefault="00EB267E" w:rsidP="00EB267E">
      <w:pPr>
        <w:pBdr>
          <w:top w:val="nil"/>
          <w:left w:val="nil"/>
          <w:bottom w:val="nil"/>
          <w:right w:val="nil"/>
          <w:between w:val="nil"/>
        </w:pBdr>
        <w:spacing w:line="360" w:lineRule="auto"/>
        <w:ind w:left="105"/>
        <w:rPr>
          <w:sz w:val="24"/>
          <w:szCs w:val="24"/>
        </w:rPr>
      </w:pPr>
      <w:r w:rsidRPr="00792B36">
        <w:rPr>
          <w:rFonts w:eastAsia="Google Sans Text"/>
          <w:b/>
          <w:bCs/>
          <w:color w:val="1F1F1F"/>
          <w:sz w:val="24"/>
          <w:szCs w:val="24"/>
        </w:rPr>
        <w:t>Asian Development Bank (ADB).</w:t>
      </w:r>
      <w:r w:rsidRPr="00792B36">
        <w:rPr>
          <w:rFonts w:eastAsia="Google Sans Text"/>
          <w:color w:val="1F1F1F"/>
          <w:sz w:val="24"/>
          <w:szCs w:val="24"/>
        </w:rPr>
        <w:t xml:space="preserve"> (2024, December 9). </w:t>
      </w:r>
      <w:r w:rsidRPr="00792B36">
        <w:rPr>
          <w:rFonts w:eastAsia="Google Sans Text"/>
          <w:i/>
          <w:iCs/>
          <w:color w:val="1F1F1F"/>
          <w:sz w:val="24"/>
          <w:szCs w:val="24"/>
        </w:rPr>
        <w:t>ADB Supports Asia’s First Sovereign Sustainability-Linked Bond in Thailand</w:t>
      </w:r>
      <w:r w:rsidRPr="00792B36">
        <w:rPr>
          <w:rFonts w:eastAsia="Google Sans Text"/>
          <w:color w:val="1F1F1F"/>
          <w:sz w:val="24"/>
          <w:szCs w:val="24"/>
        </w:rPr>
        <w:t xml:space="preserve">. </w:t>
      </w:r>
      <w:r w:rsidRPr="00792B36">
        <w:rPr>
          <w:sz w:val="24"/>
          <w:szCs w:val="24"/>
        </w:rPr>
        <w:fldChar w:fldCharType="begin"/>
      </w:r>
      <w:r w:rsidRPr="00792B36">
        <w:rPr>
          <w:sz w:val="24"/>
          <w:szCs w:val="24"/>
        </w:rPr>
        <w:instrText>HYPERLINK "https://www.adb.org/news/adb-supports-asia-first-sovereign-sustainability-linked-bond-thailand" \h</w:instrText>
      </w:r>
      <w:r w:rsidRPr="00792B36">
        <w:rPr>
          <w:sz w:val="24"/>
          <w:szCs w:val="24"/>
        </w:rPr>
      </w:r>
      <w:r w:rsidRPr="00792B36">
        <w:rPr>
          <w:sz w:val="24"/>
          <w:szCs w:val="24"/>
        </w:rPr>
        <w:fldChar w:fldCharType="separate"/>
      </w:r>
      <w:r w:rsidRPr="00792B36">
        <w:rPr>
          <w:rFonts w:eastAsia="Google Sans Text"/>
          <w:color w:val="0B57D0"/>
          <w:sz w:val="24"/>
          <w:szCs w:val="24"/>
          <w:u w:val="single"/>
        </w:rPr>
        <w:t>https://www.adb.org/news/adb-supports-asia-first-sovereign-sustainability-linked-bond-thailand</w:t>
      </w:r>
      <w:r w:rsidRPr="00792B36">
        <w:rPr>
          <w:sz w:val="24"/>
          <w:szCs w:val="24"/>
        </w:rPr>
        <w:fldChar w:fldCharType="end"/>
      </w:r>
    </w:p>
    <w:p w14:paraId="4A65B3B1" w14:textId="77777777" w:rsidR="00EB267E" w:rsidRPr="00792B36" w:rsidRDefault="00EB267E" w:rsidP="00EB267E">
      <w:pPr>
        <w:pBdr>
          <w:top w:val="nil"/>
          <w:left w:val="nil"/>
          <w:bottom w:val="nil"/>
          <w:right w:val="nil"/>
          <w:between w:val="nil"/>
        </w:pBdr>
        <w:spacing w:line="360" w:lineRule="auto"/>
        <w:ind w:left="105"/>
        <w:rPr>
          <w:sz w:val="24"/>
          <w:szCs w:val="24"/>
        </w:rPr>
      </w:pPr>
      <w:r w:rsidRPr="00792B36">
        <w:rPr>
          <w:rFonts w:eastAsia="Google Sans Text"/>
          <w:b/>
          <w:bCs/>
          <w:color w:val="1F1F1F"/>
          <w:sz w:val="24"/>
          <w:szCs w:val="24"/>
        </w:rPr>
        <w:t>Block, S., Emerson, J. W., Esty, D. C., de Sherbinin, A., Wendling, Z. A., et al.</w:t>
      </w:r>
      <w:r w:rsidRPr="00792B36">
        <w:rPr>
          <w:rFonts w:eastAsia="Google Sans Text"/>
          <w:color w:val="1F1F1F"/>
          <w:sz w:val="24"/>
          <w:szCs w:val="24"/>
        </w:rPr>
        <w:t xml:space="preserve"> (2024). </w:t>
      </w:r>
      <w:r w:rsidRPr="00792B36">
        <w:rPr>
          <w:rFonts w:eastAsia="Google Sans Text"/>
          <w:i/>
          <w:iCs/>
          <w:color w:val="1F1F1F"/>
          <w:sz w:val="24"/>
          <w:szCs w:val="24"/>
        </w:rPr>
        <w:t>2024 Environmental Performance Index</w:t>
      </w:r>
      <w:r w:rsidRPr="00792B36">
        <w:rPr>
          <w:rFonts w:eastAsia="Google Sans Text"/>
          <w:color w:val="1F1F1F"/>
          <w:sz w:val="24"/>
          <w:szCs w:val="24"/>
        </w:rPr>
        <w:t xml:space="preserve">. Yale Center for Environmental Law &amp; Policy. </w:t>
      </w:r>
      <w:r w:rsidRPr="00792B36">
        <w:rPr>
          <w:sz w:val="24"/>
          <w:szCs w:val="24"/>
        </w:rPr>
        <w:fldChar w:fldCharType="begin"/>
      </w:r>
      <w:r w:rsidRPr="00792B36">
        <w:rPr>
          <w:sz w:val="24"/>
          <w:szCs w:val="24"/>
        </w:rPr>
        <w:instrText>HYPERLINK "https://epi.yale.edu/" \h</w:instrText>
      </w:r>
      <w:r w:rsidRPr="00792B36">
        <w:rPr>
          <w:sz w:val="24"/>
          <w:szCs w:val="24"/>
        </w:rPr>
      </w:r>
      <w:r w:rsidRPr="00792B36">
        <w:rPr>
          <w:sz w:val="24"/>
          <w:szCs w:val="24"/>
        </w:rPr>
        <w:fldChar w:fldCharType="separate"/>
      </w:r>
      <w:r w:rsidRPr="00792B36">
        <w:rPr>
          <w:rFonts w:eastAsia="Google Sans Text"/>
          <w:color w:val="0B57D0"/>
          <w:sz w:val="24"/>
          <w:szCs w:val="24"/>
          <w:u w:val="single"/>
        </w:rPr>
        <w:t>https://epi.yale.edu/</w:t>
      </w:r>
      <w:r w:rsidRPr="00792B36">
        <w:rPr>
          <w:sz w:val="24"/>
          <w:szCs w:val="24"/>
        </w:rPr>
        <w:fldChar w:fldCharType="end"/>
      </w:r>
    </w:p>
    <w:p w14:paraId="3AAB6830" w14:textId="77777777" w:rsidR="00EB267E" w:rsidRPr="00792B36" w:rsidRDefault="00EB267E" w:rsidP="00EB267E">
      <w:pPr>
        <w:pBdr>
          <w:top w:val="nil"/>
          <w:left w:val="nil"/>
          <w:bottom w:val="nil"/>
          <w:right w:val="nil"/>
          <w:between w:val="nil"/>
        </w:pBdr>
        <w:spacing w:line="360" w:lineRule="auto"/>
        <w:ind w:left="105"/>
        <w:rPr>
          <w:sz w:val="24"/>
          <w:szCs w:val="24"/>
        </w:rPr>
      </w:pPr>
      <w:r w:rsidRPr="00792B36">
        <w:rPr>
          <w:rFonts w:eastAsia="Google Sans Text"/>
          <w:b/>
          <w:bCs/>
          <w:color w:val="1F1F1F"/>
          <w:sz w:val="24"/>
          <w:szCs w:val="24"/>
        </w:rPr>
        <w:t>Briggs, M. R. P., &amp; Funge-Smith, S. J.</w:t>
      </w:r>
      <w:r w:rsidRPr="00792B36">
        <w:rPr>
          <w:rFonts w:eastAsia="Google Sans Text"/>
          <w:color w:val="1F1F1F"/>
          <w:sz w:val="24"/>
          <w:szCs w:val="24"/>
        </w:rPr>
        <w:t xml:space="preserve"> (1994). A nutrient budget of some intensive marine shrimp ponds in Thailand. </w:t>
      </w:r>
      <w:r w:rsidRPr="00792B36">
        <w:rPr>
          <w:rFonts w:eastAsia="Google Sans Text"/>
          <w:i/>
          <w:iCs/>
          <w:color w:val="1F1F1F"/>
          <w:sz w:val="24"/>
          <w:szCs w:val="24"/>
        </w:rPr>
        <w:t>Aquaculture Research</w:t>
      </w:r>
      <w:r w:rsidRPr="00792B36">
        <w:rPr>
          <w:rFonts w:eastAsia="Google Sans Text"/>
          <w:color w:val="1F1F1F"/>
          <w:sz w:val="24"/>
          <w:szCs w:val="24"/>
        </w:rPr>
        <w:t xml:space="preserve">, 25(8), 789-811. </w:t>
      </w:r>
      <w:r w:rsidRPr="00792B36">
        <w:rPr>
          <w:sz w:val="24"/>
          <w:szCs w:val="24"/>
        </w:rPr>
        <w:fldChar w:fldCharType="begin"/>
      </w:r>
      <w:r w:rsidRPr="00792B36">
        <w:rPr>
          <w:sz w:val="24"/>
          <w:szCs w:val="24"/>
        </w:rPr>
        <w:instrText>HYPERLINK "https://doi.org/10.1111/j.1365-2109.1994.tb00744.x" \h</w:instrText>
      </w:r>
      <w:r w:rsidRPr="00792B36">
        <w:rPr>
          <w:sz w:val="24"/>
          <w:szCs w:val="24"/>
        </w:rPr>
      </w:r>
      <w:r w:rsidRPr="00792B36">
        <w:rPr>
          <w:sz w:val="24"/>
          <w:szCs w:val="24"/>
        </w:rPr>
        <w:fldChar w:fldCharType="separate"/>
      </w:r>
      <w:r w:rsidRPr="00792B36">
        <w:rPr>
          <w:rFonts w:eastAsia="Google Sans Text"/>
          <w:color w:val="0B57D0"/>
          <w:sz w:val="24"/>
          <w:szCs w:val="24"/>
          <w:u w:val="single"/>
        </w:rPr>
        <w:t>https://doi.org/10.1111/j.1365-2109.1994.tb00744.x</w:t>
      </w:r>
      <w:r w:rsidRPr="00792B36">
        <w:rPr>
          <w:sz w:val="24"/>
          <w:szCs w:val="24"/>
        </w:rPr>
        <w:fldChar w:fldCharType="end"/>
      </w:r>
    </w:p>
    <w:p w14:paraId="5CC8DFF0" w14:textId="77777777" w:rsidR="00EB267E" w:rsidRPr="00792B36" w:rsidRDefault="00EB267E" w:rsidP="00EB267E">
      <w:pPr>
        <w:pBdr>
          <w:top w:val="nil"/>
          <w:left w:val="nil"/>
          <w:bottom w:val="nil"/>
          <w:right w:val="nil"/>
          <w:between w:val="nil"/>
        </w:pBdr>
        <w:spacing w:line="360" w:lineRule="auto"/>
        <w:ind w:left="105"/>
        <w:rPr>
          <w:sz w:val="24"/>
          <w:szCs w:val="24"/>
        </w:rPr>
      </w:pPr>
      <w:r w:rsidRPr="00792B36">
        <w:rPr>
          <w:rFonts w:eastAsia="Google Sans Text"/>
          <w:b/>
          <w:bCs/>
          <w:color w:val="1F1F1F"/>
          <w:sz w:val="24"/>
          <w:szCs w:val="24"/>
        </w:rPr>
        <w:t>Bureau of the Budget.</w:t>
      </w:r>
      <w:r w:rsidRPr="00792B36">
        <w:rPr>
          <w:rFonts w:eastAsia="Google Sans Text"/>
          <w:color w:val="1F1F1F"/>
          <w:sz w:val="24"/>
          <w:szCs w:val="24"/>
        </w:rPr>
        <w:t xml:space="preserve"> (2025). </w:t>
      </w:r>
      <w:r w:rsidRPr="00792B36">
        <w:rPr>
          <w:rFonts w:eastAsia="Google Sans Text"/>
          <w:i/>
          <w:iCs/>
          <w:color w:val="1F1F1F"/>
          <w:sz w:val="24"/>
          <w:szCs w:val="24"/>
        </w:rPr>
        <w:t>Annual budget expenditure documents under the budget appropriation acts for fiscal years 2013–2023</w:t>
      </w:r>
      <w:r w:rsidRPr="00792B36">
        <w:rPr>
          <w:rFonts w:eastAsia="Google Sans Text"/>
          <w:color w:val="1F1F1F"/>
          <w:sz w:val="24"/>
          <w:szCs w:val="24"/>
        </w:rPr>
        <w:t xml:space="preserve">. Bureau of the Budget, Office of the Prime Minister. </w:t>
      </w:r>
      <w:r w:rsidRPr="00792B36">
        <w:rPr>
          <w:sz w:val="24"/>
          <w:szCs w:val="24"/>
        </w:rPr>
        <w:fldChar w:fldCharType="begin"/>
      </w:r>
      <w:r w:rsidRPr="00792B36">
        <w:rPr>
          <w:sz w:val="24"/>
          <w:szCs w:val="24"/>
        </w:rPr>
        <w:instrText>HYPERLINK "https://www.bb.go.th/index.php" \h</w:instrText>
      </w:r>
      <w:r w:rsidRPr="00792B36">
        <w:rPr>
          <w:sz w:val="24"/>
          <w:szCs w:val="24"/>
        </w:rPr>
      </w:r>
      <w:r w:rsidRPr="00792B36">
        <w:rPr>
          <w:sz w:val="24"/>
          <w:szCs w:val="24"/>
        </w:rPr>
        <w:fldChar w:fldCharType="separate"/>
      </w:r>
      <w:r w:rsidRPr="00792B36">
        <w:rPr>
          <w:rFonts w:eastAsia="Google Sans Text"/>
          <w:color w:val="0B57D0"/>
          <w:sz w:val="24"/>
          <w:szCs w:val="24"/>
          <w:u w:val="single"/>
        </w:rPr>
        <w:t>https://www.bb.go.th/index.php</w:t>
      </w:r>
      <w:r w:rsidRPr="00792B36">
        <w:rPr>
          <w:sz w:val="24"/>
          <w:szCs w:val="24"/>
        </w:rPr>
        <w:fldChar w:fldCharType="end"/>
      </w:r>
    </w:p>
    <w:p w14:paraId="2143E69C" w14:textId="77777777" w:rsidR="00EB267E" w:rsidRPr="00792B36" w:rsidRDefault="00EB267E" w:rsidP="00EB267E">
      <w:pPr>
        <w:pBdr>
          <w:top w:val="nil"/>
          <w:left w:val="nil"/>
          <w:bottom w:val="nil"/>
          <w:right w:val="nil"/>
          <w:between w:val="nil"/>
        </w:pBdr>
        <w:spacing w:line="360" w:lineRule="auto"/>
        <w:ind w:left="105"/>
        <w:rPr>
          <w:sz w:val="24"/>
          <w:szCs w:val="24"/>
        </w:rPr>
      </w:pPr>
      <w:r w:rsidRPr="00792B36">
        <w:rPr>
          <w:rFonts w:eastAsia="Google Sans Text"/>
          <w:b/>
          <w:bCs/>
          <w:color w:val="1F1F1F"/>
          <w:sz w:val="24"/>
          <w:szCs w:val="24"/>
        </w:rPr>
        <w:t>Business Waste.</w:t>
      </w:r>
      <w:r w:rsidRPr="00792B36">
        <w:rPr>
          <w:rFonts w:eastAsia="Google Sans Text"/>
          <w:color w:val="1F1F1F"/>
          <w:sz w:val="24"/>
          <w:szCs w:val="24"/>
        </w:rPr>
        <w:t xml:space="preserve"> (2025, June 26). </w:t>
      </w:r>
      <w:r w:rsidRPr="00792B36">
        <w:rPr>
          <w:rFonts w:eastAsia="Google Sans Text"/>
          <w:i/>
          <w:iCs/>
          <w:color w:val="1F1F1F"/>
          <w:sz w:val="24"/>
          <w:szCs w:val="24"/>
        </w:rPr>
        <w:t>Industrial Waste Facts and Statistics</w:t>
      </w:r>
      <w:r w:rsidRPr="00792B36">
        <w:rPr>
          <w:rFonts w:eastAsia="Google Sans Text"/>
          <w:color w:val="1F1F1F"/>
          <w:sz w:val="24"/>
          <w:szCs w:val="24"/>
        </w:rPr>
        <w:t xml:space="preserve">. Retrieved from </w:t>
      </w:r>
      <w:r w:rsidRPr="00792B36">
        <w:rPr>
          <w:sz w:val="24"/>
          <w:szCs w:val="24"/>
        </w:rPr>
        <w:fldChar w:fldCharType="begin"/>
      </w:r>
      <w:r w:rsidRPr="00792B36">
        <w:rPr>
          <w:sz w:val="24"/>
          <w:szCs w:val="24"/>
        </w:rPr>
        <w:instrText>HYPERLINK "https://www.businesswaste.co.uk/your-waste/industrial-waste-disposal/industrial-waste-facts/" \h</w:instrText>
      </w:r>
      <w:r w:rsidRPr="00792B36">
        <w:rPr>
          <w:sz w:val="24"/>
          <w:szCs w:val="24"/>
        </w:rPr>
      </w:r>
      <w:r w:rsidRPr="00792B36">
        <w:rPr>
          <w:sz w:val="24"/>
          <w:szCs w:val="24"/>
        </w:rPr>
        <w:fldChar w:fldCharType="separate"/>
      </w:r>
      <w:r w:rsidRPr="00792B36">
        <w:rPr>
          <w:rFonts w:eastAsia="Google Sans Text"/>
          <w:color w:val="0B57D0"/>
          <w:sz w:val="24"/>
          <w:szCs w:val="24"/>
          <w:u w:val="single"/>
        </w:rPr>
        <w:t>https://www.businesswaste.co.uk/your-waste/industrial-waste-disposal/industrial-waste-facts/</w:t>
      </w:r>
      <w:r w:rsidRPr="00792B36">
        <w:rPr>
          <w:sz w:val="24"/>
          <w:szCs w:val="24"/>
        </w:rPr>
        <w:fldChar w:fldCharType="end"/>
      </w:r>
    </w:p>
    <w:p w14:paraId="44F2C224" w14:textId="77777777" w:rsidR="00EB267E" w:rsidRPr="00792B36" w:rsidRDefault="00EB267E" w:rsidP="00EB267E">
      <w:pPr>
        <w:pBdr>
          <w:top w:val="nil"/>
          <w:left w:val="nil"/>
          <w:bottom w:val="nil"/>
          <w:right w:val="nil"/>
          <w:between w:val="nil"/>
        </w:pBdr>
        <w:spacing w:line="360" w:lineRule="auto"/>
        <w:ind w:left="105"/>
        <w:rPr>
          <w:sz w:val="24"/>
          <w:szCs w:val="24"/>
        </w:rPr>
      </w:pPr>
      <w:r w:rsidRPr="00792B36">
        <w:rPr>
          <w:rFonts w:eastAsia="Google Sans Text"/>
          <w:b/>
          <w:bCs/>
          <w:color w:val="1F1F1F"/>
          <w:sz w:val="24"/>
          <w:szCs w:val="24"/>
        </w:rPr>
        <w:t>Chulalongkorn University.</w:t>
      </w:r>
      <w:r w:rsidRPr="00792B36">
        <w:rPr>
          <w:rFonts w:eastAsia="Google Sans Text"/>
          <w:color w:val="1F1F1F"/>
          <w:sz w:val="24"/>
          <w:szCs w:val="24"/>
        </w:rPr>
        <w:t xml:space="preserve"> (2023, November 8). </w:t>
      </w:r>
      <w:r w:rsidRPr="00792B36">
        <w:rPr>
          <w:rFonts w:eastAsia="Google Sans Text"/>
          <w:i/>
          <w:iCs/>
          <w:color w:val="1F1F1F"/>
          <w:sz w:val="24"/>
          <w:szCs w:val="24"/>
        </w:rPr>
        <w:t>Chulalongkorn University Combats Oil Spill Crisis to Protect Thailand’s Seas</w:t>
      </w:r>
      <w:r w:rsidRPr="00792B36">
        <w:rPr>
          <w:rFonts w:eastAsia="Google Sans Text"/>
          <w:color w:val="1F1F1F"/>
          <w:sz w:val="24"/>
          <w:szCs w:val="24"/>
        </w:rPr>
        <w:t xml:space="preserve">. Retrieved from </w:t>
      </w:r>
      <w:r w:rsidRPr="00792B36">
        <w:rPr>
          <w:sz w:val="24"/>
          <w:szCs w:val="24"/>
        </w:rPr>
        <w:fldChar w:fldCharType="begin"/>
      </w:r>
      <w:r w:rsidRPr="00792B36">
        <w:rPr>
          <w:sz w:val="24"/>
          <w:szCs w:val="24"/>
        </w:rPr>
        <w:instrText>HYPERLINK "http://www.sustainability.chula.ac.th/report/3322/" \h</w:instrText>
      </w:r>
      <w:r w:rsidRPr="00792B36">
        <w:rPr>
          <w:sz w:val="24"/>
          <w:szCs w:val="24"/>
        </w:rPr>
      </w:r>
      <w:r w:rsidRPr="00792B36">
        <w:rPr>
          <w:sz w:val="24"/>
          <w:szCs w:val="24"/>
        </w:rPr>
        <w:fldChar w:fldCharType="separate"/>
      </w:r>
      <w:r w:rsidRPr="00792B36">
        <w:rPr>
          <w:rFonts w:eastAsia="Google Sans Text"/>
          <w:color w:val="0B57D0"/>
          <w:sz w:val="24"/>
          <w:szCs w:val="24"/>
          <w:u w:val="single"/>
        </w:rPr>
        <w:t>http://www.sustainability.chula.ac.th/report/3322/</w:t>
      </w:r>
      <w:r w:rsidRPr="00792B36">
        <w:rPr>
          <w:sz w:val="24"/>
          <w:szCs w:val="24"/>
        </w:rPr>
        <w:fldChar w:fldCharType="end"/>
      </w:r>
    </w:p>
    <w:p w14:paraId="300EC641" w14:textId="77777777" w:rsidR="00EB267E" w:rsidRPr="00792B36" w:rsidRDefault="00EB267E" w:rsidP="00EB267E">
      <w:pPr>
        <w:pBdr>
          <w:top w:val="nil"/>
          <w:left w:val="nil"/>
          <w:bottom w:val="nil"/>
          <w:right w:val="nil"/>
          <w:between w:val="nil"/>
        </w:pBdr>
        <w:spacing w:line="360" w:lineRule="auto"/>
        <w:ind w:left="105"/>
        <w:rPr>
          <w:sz w:val="24"/>
          <w:szCs w:val="24"/>
        </w:rPr>
      </w:pPr>
      <w:r w:rsidRPr="00792B36">
        <w:rPr>
          <w:rFonts w:eastAsia="Google Sans Text"/>
          <w:b/>
          <w:bCs/>
          <w:color w:val="1F1F1F"/>
          <w:sz w:val="24"/>
          <w:szCs w:val="24"/>
        </w:rPr>
        <w:t>Department of Business Development (DBD).</w:t>
      </w:r>
      <w:r w:rsidRPr="00792B36">
        <w:rPr>
          <w:rFonts w:eastAsia="Google Sans Text"/>
          <w:color w:val="1F1F1F"/>
          <w:sz w:val="24"/>
          <w:szCs w:val="24"/>
        </w:rPr>
        <w:t xml:space="preserve"> (2025). </w:t>
      </w:r>
      <w:r w:rsidRPr="00792B36">
        <w:rPr>
          <w:rFonts w:eastAsia="Google Sans Text"/>
          <w:i/>
          <w:iCs/>
          <w:color w:val="1F1F1F"/>
          <w:sz w:val="24"/>
          <w:szCs w:val="24"/>
        </w:rPr>
        <w:t>Statistics data 2024</w:t>
      </w:r>
      <w:r w:rsidRPr="00792B36">
        <w:rPr>
          <w:rFonts w:eastAsia="Google Sans Text"/>
          <w:color w:val="1F1F1F"/>
          <w:sz w:val="24"/>
          <w:szCs w:val="24"/>
        </w:rPr>
        <w:t xml:space="preserve"> [Data set]. </w:t>
      </w:r>
      <w:r w:rsidRPr="00792B36">
        <w:rPr>
          <w:sz w:val="24"/>
          <w:szCs w:val="24"/>
        </w:rPr>
        <w:fldChar w:fldCharType="begin"/>
      </w:r>
      <w:r w:rsidRPr="00792B36">
        <w:rPr>
          <w:sz w:val="24"/>
          <w:szCs w:val="24"/>
        </w:rPr>
        <w:instrText>HYPERLINK "https://www.dbd.go.th/common-article/24" \h</w:instrText>
      </w:r>
      <w:r w:rsidRPr="00792B36">
        <w:rPr>
          <w:sz w:val="24"/>
          <w:szCs w:val="24"/>
        </w:rPr>
      </w:r>
      <w:r w:rsidRPr="00792B36">
        <w:rPr>
          <w:sz w:val="24"/>
          <w:szCs w:val="24"/>
        </w:rPr>
        <w:fldChar w:fldCharType="separate"/>
      </w:r>
      <w:r w:rsidRPr="00792B36">
        <w:rPr>
          <w:rFonts w:eastAsia="Google Sans Text"/>
          <w:color w:val="0B57D0"/>
          <w:sz w:val="24"/>
          <w:szCs w:val="24"/>
          <w:u w:val="single"/>
        </w:rPr>
        <w:t>https://www.dbd.go.th/common-article/24</w:t>
      </w:r>
      <w:r w:rsidRPr="00792B36">
        <w:rPr>
          <w:sz w:val="24"/>
          <w:szCs w:val="24"/>
        </w:rPr>
        <w:fldChar w:fldCharType="end"/>
      </w:r>
    </w:p>
    <w:p w14:paraId="41D88A06" w14:textId="77777777" w:rsidR="00EB267E" w:rsidRPr="00792B36" w:rsidRDefault="00EB267E" w:rsidP="00EB267E">
      <w:pPr>
        <w:pBdr>
          <w:top w:val="nil"/>
          <w:left w:val="nil"/>
          <w:bottom w:val="nil"/>
          <w:right w:val="nil"/>
          <w:between w:val="nil"/>
        </w:pBdr>
        <w:spacing w:line="360" w:lineRule="auto"/>
        <w:ind w:left="105"/>
        <w:rPr>
          <w:sz w:val="24"/>
          <w:szCs w:val="24"/>
        </w:rPr>
      </w:pPr>
      <w:r w:rsidRPr="00792B36">
        <w:rPr>
          <w:rFonts w:eastAsia="Google Sans Text"/>
          <w:b/>
          <w:bCs/>
          <w:color w:val="1F1F1F"/>
          <w:sz w:val="24"/>
          <w:szCs w:val="24"/>
        </w:rPr>
        <w:t>Department of Climate Change and Environment (DCCE).</w:t>
      </w:r>
      <w:r w:rsidRPr="00792B36">
        <w:rPr>
          <w:rFonts w:eastAsia="Google Sans Text"/>
          <w:color w:val="1F1F1F"/>
          <w:sz w:val="24"/>
          <w:szCs w:val="24"/>
        </w:rPr>
        <w:t xml:space="preserve"> (2023). </w:t>
      </w:r>
      <w:r w:rsidRPr="00792B36">
        <w:rPr>
          <w:rFonts w:eastAsia="Google Sans Text"/>
          <w:i/>
          <w:iCs/>
          <w:color w:val="1F1F1F"/>
          <w:sz w:val="24"/>
          <w:szCs w:val="24"/>
        </w:rPr>
        <w:t>5-Year Action Plan (2023-2027)</w:t>
      </w:r>
      <w:r w:rsidRPr="00792B36">
        <w:rPr>
          <w:rFonts w:eastAsia="Google Sans Text"/>
          <w:color w:val="1F1F1F"/>
          <w:sz w:val="24"/>
          <w:szCs w:val="24"/>
        </w:rPr>
        <w:t xml:space="preserve">. Ministry of Natural Resources and Environment, Thailand. </w:t>
      </w:r>
      <w:r w:rsidRPr="00792B36">
        <w:rPr>
          <w:sz w:val="24"/>
          <w:szCs w:val="24"/>
        </w:rPr>
        <w:fldChar w:fldCharType="begin"/>
      </w:r>
      <w:r w:rsidRPr="00792B36">
        <w:rPr>
          <w:sz w:val="24"/>
          <w:szCs w:val="24"/>
        </w:rPr>
        <w:instrText>HYPERLINK "https://www.dcce.go.th/" \h</w:instrText>
      </w:r>
      <w:r w:rsidRPr="00792B36">
        <w:rPr>
          <w:sz w:val="24"/>
          <w:szCs w:val="24"/>
        </w:rPr>
      </w:r>
      <w:r w:rsidRPr="00792B36">
        <w:rPr>
          <w:sz w:val="24"/>
          <w:szCs w:val="24"/>
        </w:rPr>
        <w:fldChar w:fldCharType="separate"/>
      </w:r>
      <w:r w:rsidRPr="00792B36">
        <w:rPr>
          <w:rFonts w:eastAsia="Google Sans Text"/>
          <w:color w:val="0B57D0"/>
          <w:sz w:val="24"/>
          <w:szCs w:val="24"/>
          <w:u w:val="single"/>
        </w:rPr>
        <w:t>https://www.dcce.go.th/</w:t>
      </w:r>
      <w:r w:rsidRPr="00792B36">
        <w:rPr>
          <w:sz w:val="24"/>
          <w:szCs w:val="24"/>
        </w:rPr>
        <w:fldChar w:fldCharType="end"/>
      </w:r>
      <w:r w:rsidRPr="00792B36">
        <w:rPr>
          <w:rFonts w:eastAsia="Google Sans Text"/>
          <w:color w:val="1F1F1F"/>
          <w:sz w:val="24"/>
          <w:szCs w:val="24"/>
        </w:rPr>
        <w:t xml:space="preserve"> (accessed 5 November 2025).</w:t>
      </w:r>
    </w:p>
    <w:p w14:paraId="2B33DCED" w14:textId="77777777" w:rsidR="00EB267E" w:rsidRPr="00792B36" w:rsidRDefault="00EB267E" w:rsidP="00EB267E">
      <w:pPr>
        <w:pBdr>
          <w:top w:val="nil"/>
          <w:left w:val="nil"/>
          <w:bottom w:val="nil"/>
          <w:right w:val="nil"/>
          <w:between w:val="nil"/>
        </w:pBdr>
        <w:spacing w:line="360" w:lineRule="auto"/>
        <w:ind w:left="105"/>
        <w:rPr>
          <w:sz w:val="24"/>
          <w:szCs w:val="24"/>
        </w:rPr>
      </w:pPr>
      <w:r w:rsidRPr="00792B36">
        <w:rPr>
          <w:rFonts w:eastAsia="Google Sans Text"/>
          <w:b/>
          <w:bCs/>
          <w:color w:val="1F1F1F"/>
          <w:sz w:val="24"/>
          <w:szCs w:val="24"/>
        </w:rPr>
        <w:t>Department of Fisheries (DOF).</w:t>
      </w:r>
      <w:r w:rsidRPr="00792B36">
        <w:rPr>
          <w:rFonts w:eastAsia="Google Sans Text"/>
          <w:color w:val="1F1F1F"/>
          <w:sz w:val="24"/>
          <w:szCs w:val="24"/>
        </w:rPr>
        <w:t xml:space="preserve"> (2025). </w:t>
      </w:r>
      <w:r w:rsidRPr="00792B36">
        <w:rPr>
          <w:rFonts w:eastAsia="Google Sans Text"/>
          <w:i/>
          <w:iCs/>
          <w:color w:val="1F1F1F"/>
          <w:sz w:val="24"/>
          <w:szCs w:val="24"/>
        </w:rPr>
        <w:t>Current Status of Fisheries and Ecosystem Health in the Gulf of Thailand (Draft Report)</w:t>
      </w:r>
      <w:r w:rsidRPr="00792B36">
        <w:rPr>
          <w:rFonts w:eastAsia="Google Sans Text"/>
          <w:color w:val="1F1F1F"/>
          <w:sz w:val="24"/>
          <w:szCs w:val="24"/>
        </w:rPr>
        <w:t xml:space="preserve">. Ministry of Agriculture and </w:t>
      </w:r>
      <w:r w:rsidRPr="00792B36">
        <w:rPr>
          <w:rFonts w:eastAsia="Google Sans Text"/>
          <w:color w:val="1F1F1F"/>
          <w:sz w:val="24"/>
          <w:szCs w:val="24"/>
        </w:rPr>
        <w:lastRenderedPageBreak/>
        <w:t>Cooperatives.</w:t>
      </w:r>
    </w:p>
    <w:p w14:paraId="7FAF3447" w14:textId="77777777" w:rsidR="00EB267E" w:rsidRPr="00792B36" w:rsidRDefault="00EB267E" w:rsidP="00EB267E">
      <w:pPr>
        <w:pBdr>
          <w:top w:val="nil"/>
          <w:left w:val="nil"/>
          <w:bottom w:val="nil"/>
          <w:right w:val="nil"/>
          <w:between w:val="nil"/>
        </w:pBdr>
        <w:spacing w:line="360" w:lineRule="auto"/>
        <w:ind w:left="105"/>
        <w:rPr>
          <w:sz w:val="24"/>
          <w:szCs w:val="24"/>
        </w:rPr>
      </w:pPr>
      <w:r w:rsidRPr="00792B36">
        <w:rPr>
          <w:rFonts w:eastAsia="Google Sans Text"/>
          <w:b/>
          <w:bCs/>
          <w:color w:val="1F1F1F"/>
          <w:sz w:val="24"/>
          <w:szCs w:val="24"/>
        </w:rPr>
        <w:t>Department of Fisheries, Thailand.</w:t>
      </w:r>
      <w:r w:rsidRPr="00792B36">
        <w:rPr>
          <w:rFonts w:eastAsia="Google Sans Text"/>
          <w:color w:val="1F1F1F"/>
          <w:sz w:val="24"/>
          <w:szCs w:val="24"/>
        </w:rPr>
        <w:t xml:space="preserve"> (2025). </w:t>
      </w:r>
      <w:r w:rsidRPr="00792B36">
        <w:rPr>
          <w:rFonts w:eastAsia="Google Sans Text"/>
          <w:i/>
          <w:iCs/>
          <w:color w:val="1F1F1F"/>
          <w:sz w:val="24"/>
          <w:szCs w:val="24"/>
        </w:rPr>
        <w:t>Statistical Yearbook Thailand 2024</w:t>
      </w:r>
      <w:r w:rsidRPr="00792B36">
        <w:rPr>
          <w:rFonts w:eastAsia="Google Sans Text"/>
          <w:color w:val="1F1F1F"/>
          <w:sz w:val="24"/>
          <w:szCs w:val="24"/>
        </w:rPr>
        <w:t xml:space="preserve">. National Statistical Office. </w:t>
      </w:r>
      <w:r w:rsidRPr="00792B36">
        <w:rPr>
          <w:sz w:val="24"/>
          <w:szCs w:val="24"/>
        </w:rPr>
        <w:fldChar w:fldCharType="begin"/>
      </w:r>
      <w:r w:rsidRPr="00792B36">
        <w:rPr>
          <w:sz w:val="24"/>
          <w:szCs w:val="24"/>
        </w:rPr>
        <w:instrText>HYPERLINK "https://www.nso.go.th/public/e-book/Statistical-Yearbook/SYB-2024/353/" \h</w:instrText>
      </w:r>
      <w:r w:rsidRPr="00792B36">
        <w:rPr>
          <w:sz w:val="24"/>
          <w:szCs w:val="24"/>
        </w:rPr>
      </w:r>
      <w:r w:rsidRPr="00792B36">
        <w:rPr>
          <w:sz w:val="24"/>
          <w:szCs w:val="24"/>
        </w:rPr>
        <w:fldChar w:fldCharType="separate"/>
      </w:r>
      <w:r w:rsidRPr="00792B36">
        <w:rPr>
          <w:rFonts w:eastAsia="Google Sans Text"/>
          <w:color w:val="0B57D0"/>
          <w:sz w:val="24"/>
          <w:szCs w:val="24"/>
          <w:u w:val="single"/>
        </w:rPr>
        <w:t>https://www.nso.go.th/public/e-book/Statistical-Yearbook/SYB-2024/353/</w:t>
      </w:r>
      <w:r w:rsidRPr="00792B36">
        <w:rPr>
          <w:sz w:val="24"/>
          <w:szCs w:val="24"/>
        </w:rPr>
        <w:fldChar w:fldCharType="end"/>
      </w:r>
    </w:p>
    <w:p w14:paraId="7F75933B" w14:textId="77777777" w:rsidR="00EB267E" w:rsidRPr="00792B36" w:rsidRDefault="00EB267E" w:rsidP="00EB267E">
      <w:pPr>
        <w:pBdr>
          <w:top w:val="nil"/>
          <w:left w:val="nil"/>
          <w:bottom w:val="nil"/>
          <w:right w:val="nil"/>
          <w:between w:val="nil"/>
        </w:pBdr>
        <w:spacing w:line="360" w:lineRule="auto"/>
        <w:ind w:left="105"/>
        <w:rPr>
          <w:sz w:val="24"/>
          <w:szCs w:val="24"/>
        </w:rPr>
      </w:pPr>
      <w:r w:rsidRPr="00792B36">
        <w:rPr>
          <w:rFonts w:eastAsia="Google Sans Text"/>
          <w:b/>
          <w:bCs/>
          <w:color w:val="1F1F1F"/>
          <w:sz w:val="24"/>
          <w:szCs w:val="24"/>
        </w:rPr>
        <w:t>Department of Marine and Coastal Resources (DMCR).</w:t>
      </w:r>
      <w:r w:rsidRPr="00792B36">
        <w:rPr>
          <w:rFonts w:eastAsia="Google Sans Text"/>
          <w:color w:val="1F1F1F"/>
          <w:sz w:val="24"/>
          <w:szCs w:val="24"/>
        </w:rPr>
        <w:t xml:space="preserve"> (2013). </w:t>
      </w:r>
      <w:r w:rsidRPr="00792B36">
        <w:rPr>
          <w:rFonts w:eastAsia="Google Sans Text"/>
          <w:i/>
          <w:iCs/>
          <w:color w:val="1F1F1F"/>
          <w:sz w:val="24"/>
          <w:szCs w:val="24"/>
        </w:rPr>
        <w:t>Thailand’s maritime territory</w:t>
      </w:r>
      <w:r w:rsidRPr="00792B36">
        <w:rPr>
          <w:rFonts w:eastAsia="Google Sans Text"/>
          <w:color w:val="1F1F1F"/>
          <w:sz w:val="24"/>
          <w:szCs w:val="24"/>
        </w:rPr>
        <w:t xml:space="preserve">. </w:t>
      </w:r>
      <w:r w:rsidRPr="00792B36">
        <w:rPr>
          <w:sz w:val="24"/>
          <w:szCs w:val="24"/>
        </w:rPr>
        <w:fldChar w:fldCharType="begin"/>
      </w:r>
      <w:r w:rsidRPr="00792B36">
        <w:rPr>
          <w:sz w:val="24"/>
          <w:szCs w:val="24"/>
        </w:rPr>
        <w:instrText>HYPERLINK "https://km.dmcr.go.th/c_54" \h</w:instrText>
      </w:r>
      <w:r w:rsidRPr="00792B36">
        <w:rPr>
          <w:sz w:val="24"/>
          <w:szCs w:val="24"/>
        </w:rPr>
      </w:r>
      <w:r w:rsidRPr="00792B36">
        <w:rPr>
          <w:sz w:val="24"/>
          <w:szCs w:val="24"/>
        </w:rPr>
        <w:fldChar w:fldCharType="separate"/>
      </w:r>
      <w:r w:rsidRPr="00792B36">
        <w:rPr>
          <w:rFonts w:eastAsia="Google Sans Text"/>
          <w:color w:val="0B57D0"/>
          <w:sz w:val="24"/>
          <w:szCs w:val="24"/>
          <w:u w:val="single"/>
        </w:rPr>
        <w:t>https://km.dmcr.go.th/c_54</w:t>
      </w:r>
      <w:r w:rsidRPr="00792B36">
        <w:rPr>
          <w:sz w:val="24"/>
          <w:szCs w:val="24"/>
        </w:rPr>
        <w:fldChar w:fldCharType="end"/>
      </w:r>
    </w:p>
    <w:p w14:paraId="5C9E3FFC" w14:textId="77777777" w:rsidR="00EB267E" w:rsidRPr="00792B36" w:rsidRDefault="00EB267E" w:rsidP="00EB267E">
      <w:pPr>
        <w:pBdr>
          <w:top w:val="nil"/>
          <w:left w:val="nil"/>
          <w:bottom w:val="nil"/>
          <w:right w:val="nil"/>
          <w:between w:val="nil"/>
        </w:pBdr>
        <w:spacing w:line="360" w:lineRule="auto"/>
        <w:ind w:left="105"/>
        <w:rPr>
          <w:sz w:val="24"/>
          <w:szCs w:val="24"/>
        </w:rPr>
      </w:pPr>
      <w:r w:rsidRPr="00792B36">
        <w:rPr>
          <w:rFonts w:eastAsia="Google Sans Text"/>
          <w:b/>
          <w:bCs/>
          <w:color w:val="1F1F1F"/>
          <w:sz w:val="24"/>
          <w:szCs w:val="24"/>
        </w:rPr>
        <w:t>Department of Marine and Coastal Resources (DMCR).</w:t>
      </w:r>
      <w:r w:rsidRPr="00792B36">
        <w:rPr>
          <w:rFonts w:eastAsia="Google Sans Text"/>
          <w:color w:val="1F1F1F"/>
          <w:sz w:val="24"/>
          <w:szCs w:val="24"/>
        </w:rPr>
        <w:t xml:space="preserve"> (2024). </w:t>
      </w:r>
      <w:r w:rsidRPr="00792B36">
        <w:rPr>
          <w:rFonts w:eastAsia="Google Sans Text"/>
          <w:i/>
          <w:iCs/>
          <w:color w:val="1F1F1F"/>
          <w:sz w:val="24"/>
          <w:szCs w:val="24"/>
        </w:rPr>
        <w:t>Annual Marine Ecosystem Health Assessment</w:t>
      </w:r>
      <w:r w:rsidRPr="00792B36">
        <w:rPr>
          <w:rFonts w:eastAsia="Google Sans Text"/>
          <w:color w:val="1F1F1F"/>
          <w:sz w:val="24"/>
          <w:szCs w:val="24"/>
        </w:rPr>
        <w:t>.</w:t>
      </w:r>
    </w:p>
    <w:p w14:paraId="3E0982A2" w14:textId="77777777" w:rsidR="00EB267E" w:rsidRPr="00792B36" w:rsidRDefault="00EB267E" w:rsidP="00EB267E">
      <w:pPr>
        <w:pBdr>
          <w:top w:val="nil"/>
          <w:left w:val="nil"/>
          <w:bottom w:val="nil"/>
          <w:right w:val="nil"/>
          <w:between w:val="nil"/>
        </w:pBdr>
        <w:spacing w:line="360" w:lineRule="auto"/>
        <w:ind w:left="105"/>
        <w:rPr>
          <w:sz w:val="24"/>
          <w:szCs w:val="24"/>
        </w:rPr>
      </w:pPr>
      <w:r w:rsidRPr="00792B36">
        <w:rPr>
          <w:rFonts w:eastAsia="Google Sans Text"/>
          <w:b/>
          <w:bCs/>
          <w:color w:val="1F1F1F"/>
          <w:sz w:val="24"/>
          <w:szCs w:val="24"/>
        </w:rPr>
        <w:t>Department of Marine and Coastal Resources (DMCR).</w:t>
      </w:r>
      <w:r w:rsidRPr="00792B36">
        <w:rPr>
          <w:rFonts w:eastAsia="Google Sans Text"/>
          <w:color w:val="1F1F1F"/>
          <w:sz w:val="24"/>
          <w:szCs w:val="24"/>
        </w:rPr>
        <w:t xml:space="preserve"> (2024). </w:t>
      </w:r>
      <w:r w:rsidRPr="00792B36">
        <w:rPr>
          <w:rFonts w:eastAsia="Google Sans Text"/>
          <w:i/>
          <w:iCs/>
          <w:color w:val="1F1F1F"/>
          <w:sz w:val="24"/>
          <w:szCs w:val="24"/>
        </w:rPr>
        <w:t>Report on the situation of marine and coastal resources and coastal erosion in Chanthaburi Province</w:t>
      </w:r>
      <w:r w:rsidRPr="00792B36">
        <w:rPr>
          <w:rFonts w:eastAsia="Google Sans Text"/>
          <w:color w:val="1F1F1F"/>
          <w:sz w:val="24"/>
          <w:szCs w:val="24"/>
        </w:rPr>
        <w:t>. Ministry of Natural Resources and Environment.</w:t>
      </w:r>
    </w:p>
    <w:p w14:paraId="0DE563C3" w14:textId="77777777" w:rsidR="00EB267E" w:rsidRPr="00792B36" w:rsidRDefault="00EB267E" w:rsidP="00EB267E">
      <w:pPr>
        <w:pBdr>
          <w:top w:val="nil"/>
          <w:left w:val="nil"/>
          <w:bottom w:val="nil"/>
          <w:right w:val="nil"/>
          <w:between w:val="nil"/>
        </w:pBdr>
        <w:spacing w:line="360" w:lineRule="auto"/>
        <w:ind w:left="105"/>
        <w:rPr>
          <w:sz w:val="24"/>
          <w:szCs w:val="24"/>
        </w:rPr>
      </w:pPr>
      <w:r w:rsidRPr="00792B36">
        <w:rPr>
          <w:rFonts w:eastAsia="Google Sans Text"/>
          <w:b/>
          <w:bCs/>
          <w:color w:val="1F1F1F"/>
          <w:sz w:val="24"/>
          <w:szCs w:val="24"/>
        </w:rPr>
        <w:t>Department of Marine and Coastal Resources (DMCR).</w:t>
      </w:r>
      <w:r w:rsidRPr="00792B36">
        <w:rPr>
          <w:rFonts w:eastAsia="Google Sans Text"/>
          <w:color w:val="1F1F1F"/>
          <w:sz w:val="24"/>
          <w:szCs w:val="24"/>
        </w:rPr>
        <w:t xml:space="preserve"> (2024). </w:t>
      </w:r>
      <w:r w:rsidRPr="00792B36">
        <w:rPr>
          <w:rFonts w:eastAsia="Google Sans Text"/>
          <w:i/>
          <w:iCs/>
          <w:color w:val="1F1F1F"/>
          <w:sz w:val="24"/>
          <w:szCs w:val="24"/>
        </w:rPr>
        <w:t>Report on the situation of marine and coastal resources and coastal erosion in Chon Buri Province</w:t>
      </w:r>
      <w:r w:rsidRPr="00792B36">
        <w:rPr>
          <w:rFonts w:eastAsia="Google Sans Text"/>
          <w:color w:val="1F1F1F"/>
          <w:sz w:val="24"/>
          <w:szCs w:val="24"/>
        </w:rPr>
        <w:t>. Ministry of Natural Resources and Environment.</w:t>
      </w:r>
    </w:p>
    <w:p w14:paraId="3430DA53" w14:textId="77777777" w:rsidR="00EB267E" w:rsidRPr="00792B36" w:rsidRDefault="00EB267E" w:rsidP="00EB267E">
      <w:pPr>
        <w:pBdr>
          <w:top w:val="nil"/>
          <w:left w:val="nil"/>
          <w:bottom w:val="nil"/>
          <w:right w:val="nil"/>
          <w:between w:val="nil"/>
        </w:pBdr>
        <w:spacing w:line="360" w:lineRule="auto"/>
        <w:ind w:left="105"/>
        <w:rPr>
          <w:sz w:val="24"/>
          <w:szCs w:val="24"/>
        </w:rPr>
      </w:pPr>
      <w:r w:rsidRPr="00792B36">
        <w:rPr>
          <w:rFonts w:eastAsia="Google Sans Text"/>
          <w:b/>
          <w:bCs/>
          <w:color w:val="1F1F1F"/>
          <w:sz w:val="24"/>
          <w:szCs w:val="24"/>
        </w:rPr>
        <w:t>Department of Marine and Coastal Resources (DMCR).</w:t>
      </w:r>
      <w:r w:rsidRPr="00792B36">
        <w:rPr>
          <w:rFonts w:eastAsia="Google Sans Text"/>
          <w:color w:val="1F1F1F"/>
          <w:sz w:val="24"/>
          <w:szCs w:val="24"/>
        </w:rPr>
        <w:t xml:space="preserve"> (2024). </w:t>
      </w:r>
      <w:r w:rsidRPr="00792B36">
        <w:rPr>
          <w:rFonts w:eastAsia="Google Sans Text"/>
          <w:i/>
          <w:iCs/>
          <w:color w:val="1F1F1F"/>
          <w:sz w:val="24"/>
          <w:szCs w:val="24"/>
        </w:rPr>
        <w:t>Report on the situation of marine and coastal resources and coastal erosion in Chumphon Province</w:t>
      </w:r>
      <w:r w:rsidRPr="00792B36">
        <w:rPr>
          <w:rFonts w:eastAsia="Google Sans Text"/>
          <w:color w:val="1F1F1F"/>
          <w:sz w:val="24"/>
          <w:szCs w:val="24"/>
        </w:rPr>
        <w:t>. Ministry of Natural Resources and Environment.</w:t>
      </w:r>
    </w:p>
    <w:p w14:paraId="51347B9E" w14:textId="77777777" w:rsidR="00EB267E" w:rsidRPr="00792B36" w:rsidRDefault="00EB267E" w:rsidP="00EB267E">
      <w:pPr>
        <w:pBdr>
          <w:top w:val="nil"/>
          <w:left w:val="nil"/>
          <w:bottom w:val="nil"/>
          <w:right w:val="nil"/>
          <w:between w:val="nil"/>
        </w:pBdr>
        <w:spacing w:line="360" w:lineRule="auto"/>
        <w:ind w:left="105"/>
        <w:rPr>
          <w:sz w:val="24"/>
          <w:szCs w:val="24"/>
        </w:rPr>
      </w:pPr>
      <w:r w:rsidRPr="00792B36">
        <w:rPr>
          <w:rFonts w:eastAsia="Google Sans Text"/>
          <w:b/>
          <w:bCs/>
          <w:color w:val="1F1F1F"/>
          <w:sz w:val="24"/>
          <w:szCs w:val="24"/>
        </w:rPr>
        <w:t>Department of Marine and Coastal Resources (DMCR).</w:t>
      </w:r>
      <w:r w:rsidRPr="00792B36">
        <w:rPr>
          <w:rFonts w:eastAsia="Google Sans Text"/>
          <w:color w:val="1F1F1F"/>
          <w:sz w:val="24"/>
          <w:szCs w:val="24"/>
        </w:rPr>
        <w:t xml:space="preserve"> (2024). </w:t>
      </w:r>
      <w:r w:rsidRPr="00792B36">
        <w:rPr>
          <w:rFonts w:eastAsia="Google Sans Text"/>
          <w:i/>
          <w:iCs/>
          <w:color w:val="1F1F1F"/>
          <w:sz w:val="24"/>
          <w:szCs w:val="24"/>
        </w:rPr>
        <w:t>Report on the situation of marine and coastal resources and coastal erosion in Nakhon Si Thammarat Province</w:t>
      </w:r>
      <w:r w:rsidRPr="00792B36">
        <w:rPr>
          <w:rFonts w:eastAsia="Google Sans Text"/>
          <w:color w:val="1F1F1F"/>
          <w:sz w:val="24"/>
          <w:szCs w:val="24"/>
        </w:rPr>
        <w:t>. Ministry of Natural Resources and Environment.</w:t>
      </w:r>
    </w:p>
    <w:p w14:paraId="65773197" w14:textId="77777777" w:rsidR="00EB267E" w:rsidRPr="00792B36" w:rsidRDefault="00EB267E" w:rsidP="00EB267E">
      <w:pPr>
        <w:pBdr>
          <w:top w:val="nil"/>
          <w:left w:val="nil"/>
          <w:bottom w:val="nil"/>
          <w:right w:val="nil"/>
          <w:between w:val="nil"/>
        </w:pBdr>
        <w:spacing w:line="360" w:lineRule="auto"/>
        <w:ind w:left="105"/>
        <w:rPr>
          <w:sz w:val="24"/>
          <w:szCs w:val="24"/>
        </w:rPr>
      </w:pPr>
      <w:r w:rsidRPr="00792B36">
        <w:rPr>
          <w:rFonts w:eastAsia="Google Sans Text"/>
          <w:b/>
          <w:bCs/>
          <w:color w:val="1F1F1F"/>
          <w:sz w:val="24"/>
          <w:szCs w:val="24"/>
        </w:rPr>
        <w:t>Department of Marine and Coastal Resources (DMCR).</w:t>
      </w:r>
      <w:r w:rsidRPr="00792B36">
        <w:rPr>
          <w:rFonts w:eastAsia="Google Sans Text"/>
          <w:color w:val="1F1F1F"/>
          <w:sz w:val="24"/>
          <w:szCs w:val="24"/>
        </w:rPr>
        <w:t xml:space="preserve"> (2024). </w:t>
      </w:r>
      <w:r w:rsidRPr="00792B36">
        <w:rPr>
          <w:rFonts w:eastAsia="Google Sans Text"/>
          <w:i/>
          <w:iCs/>
          <w:color w:val="1F1F1F"/>
          <w:sz w:val="24"/>
          <w:szCs w:val="24"/>
        </w:rPr>
        <w:t>Report on the situation of marine and coastal resources and coastal erosion in Pattani Province</w:t>
      </w:r>
      <w:r w:rsidRPr="00792B36">
        <w:rPr>
          <w:rFonts w:eastAsia="Google Sans Text"/>
          <w:color w:val="1F1F1F"/>
          <w:sz w:val="24"/>
          <w:szCs w:val="24"/>
        </w:rPr>
        <w:t>. Ministry of Natural Resources and Environment.</w:t>
      </w:r>
    </w:p>
    <w:p w14:paraId="28B65BDA" w14:textId="77777777" w:rsidR="00EB267E" w:rsidRPr="00792B36" w:rsidRDefault="00EB267E" w:rsidP="00EB267E">
      <w:pPr>
        <w:pBdr>
          <w:top w:val="nil"/>
          <w:left w:val="nil"/>
          <w:bottom w:val="nil"/>
          <w:right w:val="nil"/>
          <w:between w:val="nil"/>
        </w:pBdr>
        <w:spacing w:line="360" w:lineRule="auto"/>
        <w:ind w:left="105"/>
        <w:rPr>
          <w:sz w:val="24"/>
          <w:szCs w:val="24"/>
        </w:rPr>
      </w:pPr>
      <w:r w:rsidRPr="00792B36">
        <w:rPr>
          <w:rFonts w:eastAsia="Google Sans Text"/>
          <w:b/>
          <w:bCs/>
          <w:color w:val="1F1F1F"/>
          <w:sz w:val="24"/>
          <w:szCs w:val="24"/>
        </w:rPr>
        <w:t>Department of Marine and Coastal Resources (DMCR).</w:t>
      </w:r>
      <w:r w:rsidRPr="00792B36">
        <w:rPr>
          <w:rFonts w:eastAsia="Google Sans Text"/>
          <w:color w:val="1F1F1F"/>
          <w:sz w:val="24"/>
          <w:szCs w:val="24"/>
        </w:rPr>
        <w:t xml:space="preserve"> (2024). </w:t>
      </w:r>
      <w:r w:rsidRPr="00792B36">
        <w:rPr>
          <w:rFonts w:eastAsia="Google Sans Text"/>
          <w:i/>
          <w:iCs/>
          <w:color w:val="1F1F1F"/>
          <w:sz w:val="24"/>
          <w:szCs w:val="24"/>
        </w:rPr>
        <w:t>Report on the situation of marine and coastal resources and coastal erosion in Samut Prakan Province</w:t>
      </w:r>
      <w:r w:rsidRPr="00792B36">
        <w:rPr>
          <w:rFonts w:eastAsia="Google Sans Text"/>
          <w:color w:val="1F1F1F"/>
          <w:sz w:val="24"/>
          <w:szCs w:val="24"/>
        </w:rPr>
        <w:t>. Ministry of Natural Resources and Environment.</w:t>
      </w:r>
    </w:p>
    <w:p w14:paraId="76EE868B" w14:textId="77777777" w:rsidR="00EB267E" w:rsidRPr="00792B36" w:rsidRDefault="00EB267E" w:rsidP="00EB267E">
      <w:pPr>
        <w:pBdr>
          <w:top w:val="nil"/>
          <w:left w:val="nil"/>
          <w:bottom w:val="nil"/>
          <w:right w:val="nil"/>
          <w:between w:val="nil"/>
        </w:pBdr>
        <w:spacing w:line="360" w:lineRule="auto"/>
        <w:ind w:left="105"/>
        <w:rPr>
          <w:sz w:val="24"/>
          <w:szCs w:val="24"/>
        </w:rPr>
      </w:pPr>
      <w:r w:rsidRPr="00792B36">
        <w:rPr>
          <w:rFonts w:eastAsia="Google Sans Text"/>
          <w:b/>
          <w:bCs/>
          <w:color w:val="1F1F1F"/>
          <w:sz w:val="24"/>
          <w:szCs w:val="24"/>
        </w:rPr>
        <w:t>Department of Marine and Coastal Resources (DMCR).</w:t>
      </w:r>
      <w:r w:rsidRPr="00792B36">
        <w:rPr>
          <w:rFonts w:eastAsia="Google Sans Text"/>
          <w:color w:val="1F1F1F"/>
          <w:sz w:val="24"/>
          <w:szCs w:val="24"/>
        </w:rPr>
        <w:t xml:space="preserve"> (2024). </w:t>
      </w:r>
      <w:r w:rsidRPr="00792B36">
        <w:rPr>
          <w:rFonts w:eastAsia="Google Sans Text"/>
          <w:i/>
          <w:iCs/>
          <w:color w:val="1F1F1F"/>
          <w:sz w:val="24"/>
          <w:szCs w:val="24"/>
        </w:rPr>
        <w:t>Report on the situation of marine and coastal resources and coastal erosion in Samut Songkhram Province</w:t>
      </w:r>
      <w:r w:rsidRPr="00792B36">
        <w:rPr>
          <w:rFonts w:eastAsia="Google Sans Text"/>
          <w:color w:val="1F1F1F"/>
          <w:sz w:val="24"/>
          <w:szCs w:val="24"/>
        </w:rPr>
        <w:t>. Ministry of Natural Resources and Environment.</w:t>
      </w:r>
    </w:p>
    <w:p w14:paraId="37AC8639" w14:textId="77777777" w:rsidR="00EB267E" w:rsidRPr="00792B36" w:rsidRDefault="00EB267E" w:rsidP="00EB267E">
      <w:pPr>
        <w:pBdr>
          <w:top w:val="nil"/>
          <w:left w:val="nil"/>
          <w:bottom w:val="nil"/>
          <w:right w:val="nil"/>
          <w:between w:val="nil"/>
        </w:pBdr>
        <w:spacing w:line="360" w:lineRule="auto"/>
        <w:ind w:left="105"/>
        <w:rPr>
          <w:sz w:val="24"/>
          <w:szCs w:val="24"/>
        </w:rPr>
      </w:pPr>
      <w:r w:rsidRPr="00792B36">
        <w:rPr>
          <w:rFonts w:eastAsia="Google Sans Text"/>
          <w:b/>
          <w:bCs/>
          <w:color w:val="1F1F1F"/>
          <w:sz w:val="24"/>
          <w:szCs w:val="24"/>
        </w:rPr>
        <w:t>Department of Marine and Coastal Resources (DMCR).</w:t>
      </w:r>
      <w:r w:rsidRPr="00792B36">
        <w:rPr>
          <w:rFonts w:eastAsia="Google Sans Text"/>
          <w:color w:val="1F1F1F"/>
          <w:sz w:val="24"/>
          <w:szCs w:val="24"/>
        </w:rPr>
        <w:t xml:space="preserve"> (2024). </w:t>
      </w:r>
      <w:r w:rsidRPr="00792B36">
        <w:rPr>
          <w:rFonts w:eastAsia="Google Sans Text"/>
          <w:i/>
          <w:iCs/>
          <w:color w:val="1F1F1F"/>
          <w:sz w:val="24"/>
          <w:szCs w:val="24"/>
        </w:rPr>
        <w:t>Report on the situation of marine and coastal resources and coastal erosion in Surat Thani Province</w:t>
      </w:r>
      <w:r w:rsidRPr="00792B36">
        <w:rPr>
          <w:rFonts w:eastAsia="Google Sans Text"/>
          <w:color w:val="1F1F1F"/>
          <w:sz w:val="24"/>
          <w:szCs w:val="24"/>
        </w:rPr>
        <w:t>. Ministry of Natural Resources and Environment.</w:t>
      </w:r>
    </w:p>
    <w:p w14:paraId="70A5F89E" w14:textId="77777777" w:rsidR="00EB267E" w:rsidRPr="00792B36" w:rsidRDefault="00EB267E" w:rsidP="00EB267E">
      <w:pPr>
        <w:pBdr>
          <w:top w:val="nil"/>
          <w:left w:val="nil"/>
          <w:bottom w:val="nil"/>
          <w:right w:val="nil"/>
          <w:between w:val="nil"/>
        </w:pBdr>
        <w:spacing w:line="360" w:lineRule="auto"/>
        <w:ind w:left="105"/>
        <w:rPr>
          <w:sz w:val="24"/>
          <w:szCs w:val="24"/>
        </w:rPr>
      </w:pPr>
      <w:r w:rsidRPr="00792B36">
        <w:rPr>
          <w:rFonts w:eastAsia="Google Sans Text"/>
          <w:b/>
          <w:bCs/>
          <w:color w:val="1F1F1F"/>
          <w:sz w:val="24"/>
          <w:szCs w:val="24"/>
        </w:rPr>
        <w:t>Department of Marine and Coastal Resources (DMCR).</w:t>
      </w:r>
      <w:r w:rsidRPr="00792B36">
        <w:rPr>
          <w:rFonts w:eastAsia="Google Sans Text"/>
          <w:color w:val="1F1F1F"/>
          <w:sz w:val="24"/>
          <w:szCs w:val="24"/>
        </w:rPr>
        <w:t xml:space="preserve"> (2025). </w:t>
      </w:r>
      <w:r w:rsidRPr="00792B36">
        <w:rPr>
          <w:rFonts w:eastAsia="Google Sans Text"/>
          <w:i/>
          <w:iCs/>
          <w:color w:val="1F1F1F"/>
          <w:sz w:val="24"/>
          <w:szCs w:val="24"/>
        </w:rPr>
        <w:t>Draft of National TDA Report (Ecosystems)</w:t>
      </w:r>
      <w:r w:rsidRPr="00792B36">
        <w:rPr>
          <w:rFonts w:eastAsia="Google Sans Text"/>
          <w:color w:val="1F1F1F"/>
          <w:sz w:val="24"/>
          <w:szCs w:val="24"/>
        </w:rPr>
        <w:t>.</w:t>
      </w:r>
    </w:p>
    <w:p w14:paraId="2A3FC348" w14:textId="77777777" w:rsidR="00EB267E" w:rsidRPr="00792B36" w:rsidRDefault="00EB267E" w:rsidP="00EB267E">
      <w:pPr>
        <w:pBdr>
          <w:top w:val="nil"/>
          <w:left w:val="nil"/>
          <w:bottom w:val="nil"/>
          <w:right w:val="nil"/>
          <w:between w:val="nil"/>
        </w:pBdr>
        <w:spacing w:line="360" w:lineRule="auto"/>
        <w:ind w:left="105"/>
        <w:rPr>
          <w:sz w:val="24"/>
          <w:szCs w:val="24"/>
        </w:rPr>
      </w:pPr>
      <w:r w:rsidRPr="00792B36">
        <w:rPr>
          <w:rFonts w:eastAsia="Google Sans Text"/>
          <w:b/>
          <w:bCs/>
          <w:color w:val="1F1F1F"/>
          <w:sz w:val="24"/>
          <w:szCs w:val="24"/>
        </w:rPr>
        <w:lastRenderedPageBreak/>
        <w:t>Department of Marine and Coastal Resources (DMCR).</w:t>
      </w:r>
      <w:r w:rsidRPr="00792B36">
        <w:rPr>
          <w:rFonts w:eastAsia="Google Sans Text"/>
          <w:color w:val="1F1F1F"/>
          <w:sz w:val="24"/>
          <w:szCs w:val="24"/>
        </w:rPr>
        <w:t xml:space="preserve"> (2025). </w:t>
      </w:r>
      <w:r w:rsidRPr="00792B36">
        <w:rPr>
          <w:rFonts w:eastAsia="Google Sans Text"/>
          <w:i/>
          <w:iCs/>
          <w:color w:val="1F1F1F"/>
          <w:sz w:val="24"/>
          <w:szCs w:val="24"/>
        </w:rPr>
        <w:t>National TDA Governance Profile and Analysis (Draft Report)</w:t>
      </w:r>
      <w:r w:rsidRPr="00792B36">
        <w:rPr>
          <w:rFonts w:eastAsia="Google Sans Text"/>
          <w:color w:val="1F1F1F"/>
          <w:sz w:val="24"/>
          <w:szCs w:val="24"/>
        </w:rPr>
        <w:t>. Ministry of Natural Resources and Environment.</w:t>
      </w:r>
    </w:p>
    <w:p w14:paraId="6B335AA0" w14:textId="77777777" w:rsidR="00EB267E" w:rsidRPr="00792B36" w:rsidRDefault="00EB267E" w:rsidP="00EB267E">
      <w:pPr>
        <w:pBdr>
          <w:top w:val="nil"/>
          <w:left w:val="nil"/>
          <w:bottom w:val="nil"/>
          <w:right w:val="nil"/>
          <w:between w:val="nil"/>
        </w:pBdr>
        <w:spacing w:line="360" w:lineRule="auto"/>
        <w:ind w:left="105"/>
        <w:rPr>
          <w:sz w:val="24"/>
          <w:szCs w:val="24"/>
        </w:rPr>
      </w:pPr>
      <w:r w:rsidRPr="00792B36">
        <w:rPr>
          <w:rFonts w:eastAsia="Google Sans Text"/>
          <w:b/>
          <w:bCs/>
          <w:color w:val="1F1F1F"/>
          <w:sz w:val="24"/>
          <w:szCs w:val="24"/>
        </w:rPr>
        <w:t>Department of Marine and Coastal Resources (DMCR).</w:t>
      </w:r>
      <w:r w:rsidRPr="00792B36">
        <w:rPr>
          <w:rFonts w:eastAsia="Google Sans Text"/>
          <w:color w:val="1F1F1F"/>
          <w:sz w:val="24"/>
          <w:szCs w:val="24"/>
        </w:rPr>
        <w:t xml:space="preserve"> (2025). </w:t>
      </w:r>
      <w:r w:rsidRPr="00792B36">
        <w:rPr>
          <w:rFonts w:eastAsia="Google Sans Text"/>
          <w:i/>
          <w:iCs/>
          <w:color w:val="1F1F1F"/>
          <w:sz w:val="24"/>
          <w:szCs w:val="24"/>
        </w:rPr>
        <w:t>The National TDA report - Socioeconomics and Climate-related threats (Draft Report)</w:t>
      </w:r>
      <w:r w:rsidRPr="00792B36">
        <w:rPr>
          <w:rFonts w:eastAsia="Google Sans Text"/>
          <w:color w:val="1F1F1F"/>
          <w:sz w:val="24"/>
          <w:szCs w:val="24"/>
        </w:rPr>
        <w:t>.</w:t>
      </w:r>
    </w:p>
    <w:p w14:paraId="2C28922E" w14:textId="77777777" w:rsidR="00EB267E" w:rsidRPr="00792B36" w:rsidRDefault="00EB267E" w:rsidP="00EB267E">
      <w:pPr>
        <w:pBdr>
          <w:top w:val="nil"/>
          <w:left w:val="nil"/>
          <w:bottom w:val="nil"/>
          <w:right w:val="nil"/>
          <w:between w:val="nil"/>
        </w:pBdr>
        <w:spacing w:line="360" w:lineRule="auto"/>
        <w:ind w:left="105"/>
        <w:rPr>
          <w:sz w:val="24"/>
          <w:szCs w:val="24"/>
        </w:rPr>
      </w:pPr>
      <w:r w:rsidRPr="00792B36">
        <w:rPr>
          <w:rFonts w:eastAsia="Google Sans Text"/>
          <w:b/>
          <w:bCs/>
          <w:color w:val="1F1F1F"/>
          <w:sz w:val="24"/>
          <w:szCs w:val="24"/>
        </w:rPr>
        <w:t>Department of Provincial Administration.</w:t>
      </w:r>
      <w:r w:rsidRPr="00792B36">
        <w:rPr>
          <w:rFonts w:eastAsia="Google Sans Text"/>
          <w:color w:val="1F1F1F"/>
          <w:sz w:val="24"/>
          <w:szCs w:val="24"/>
        </w:rPr>
        <w:t xml:space="preserve"> (2025). </w:t>
      </w:r>
      <w:r w:rsidRPr="00792B36">
        <w:rPr>
          <w:rFonts w:eastAsia="Google Sans Text"/>
          <w:i/>
          <w:iCs/>
          <w:color w:val="1F1F1F"/>
          <w:sz w:val="24"/>
          <w:szCs w:val="24"/>
        </w:rPr>
        <w:t>Official statistics registration systems</w:t>
      </w:r>
      <w:r w:rsidRPr="00792B36">
        <w:rPr>
          <w:rFonts w:eastAsia="Google Sans Text"/>
          <w:color w:val="1F1F1F"/>
          <w:sz w:val="24"/>
          <w:szCs w:val="24"/>
        </w:rPr>
        <w:t xml:space="preserve">. </w:t>
      </w:r>
      <w:r w:rsidRPr="00792B36">
        <w:rPr>
          <w:sz w:val="24"/>
          <w:szCs w:val="24"/>
        </w:rPr>
        <w:fldChar w:fldCharType="begin"/>
      </w:r>
      <w:r w:rsidRPr="00792B36">
        <w:rPr>
          <w:sz w:val="24"/>
          <w:szCs w:val="24"/>
        </w:rPr>
        <w:instrText>HYPERLINK "https://stat.bora.dopa.go.th/stat/statnew/statMenu/newStat/home.php" \h</w:instrText>
      </w:r>
      <w:r w:rsidRPr="00792B36">
        <w:rPr>
          <w:sz w:val="24"/>
          <w:szCs w:val="24"/>
        </w:rPr>
      </w:r>
      <w:r w:rsidRPr="00792B36">
        <w:rPr>
          <w:sz w:val="24"/>
          <w:szCs w:val="24"/>
        </w:rPr>
        <w:fldChar w:fldCharType="separate"/>
      </w:r>
      <w:r w:rsidRPr="00792B36">
        <w:rPr>
          <w:rFonts w:eastAsia="Google Sans Text"/>
          <w:color w:val="0B57D0"/>
          <w:sz w:val="24"/>
          <w:szCs w:val="24"/>
          <w:u w:val="single"/>
        </w:rPr>
        <w:t>https://stat.bora.dopa.go.th/stat/statnew/statMenu/newStat/home.php</w:t>
      </w:r>
      <w:r w:rsidRPr="00792B36">
        <w:rPr>
          <w:sz w:val="24"/>
          <w:szCs w:val="24"/>
        </w:rPr>
        <w:fldChar w:fldCharType="end"/>
      </w:r>
      <w:r w:rsidRPr="00792B36">
        <w:rPr>
          <w:rFonts w:eastAsia="Google Sans Text"/>
          <w:color w:val="1F1F1F"/>
          <w:sz w:val="24"/>
          <w:szCs w:val="24"/>
        </w:rPr>
        <w:t xml:space="preserve"> (accessed 19 April 2025).</w:t>
      </w:r>
    </w:p>
    <w:p w14:paraId="2B7CB153" w14:textId="77777777" w:rsidR="00EB267E" w:rsidRPr="00792B36" w:rsidRDefault="00EB267E" w:rsidP="00EB267E">
      <w:pPr>
        <w:pBdr>
          <w:top w:val="nil"/>
          <w:left w:val="nil"/>
          <w:bottom w:val="nil"/>
          <w:right w:val="nil"/>
          <w:between w:val="nil"/>
        </w:pBdr>
        <w:spacing w:line="360" w:lineRule="auto"/>
        <w:ind w:left="105"/>
        <w:rPr>
          <w:sz w:val="24"/>
          <w:szCs w:val="24"/>
        </w:rPr>
      </w:pPr>
      <w:r w:rsidRPr="00792B36">
        <w:rPr>
          <w:rFonts w:eastAsia="Google Sans Text"/>
          <w:b/>
          <w:bCs/>
          <w:color w:val="1F1F1F"/>
          <w:sz w:val="24"/>
          <w:szCs w:val="24"/>
        </w:rPr>
        <w:t>Dierberg, F.E.</w:t>
      </w:r>
      <w:r w:rsidRPr="00792B36">
        <w:rPr>
          <w:rFonts w:eastAsia="Google Sans Text"/>
          <w:color w:val="1F1F1F"/>
          <w:sz w:val="24"/>
          <w:szCs w:val="24"/>
        </w:rPr>
        <w:t xml:space="preserve"> (1996). </w:t>
      </w:r>
      <w:r w:rsidRPr="00792B36">
        <w:rPr>
          <w:rFonts w:eastAsia="Google Sans Text"/>
          <w:i/>
          <w:iCs/>
          <w:color w:val="1F1F1F"/>
          <w:sz w:val="24"/>
          <w:szCs w:val="24"/>
        </w:rPr>
        <w:t>Issues, Impacts, and Implications of Shrimp Aquaculture in Thailand</w:t>
      </w:r>
      <w:r w:rsidRPr="00792B36">
        <w:rPr>
          <w:rFonts w:eastAsia="Google Sans Text"/>
          <w:color w:val="1F1F1F"/>
          <w:sz w:val="24"/>
          <w:szCs w:val="24"/>
        </w:rPr>
        <w:t xml:space="preserve">. National Center for Biotechnology Information. </w:t>
      </w:r>
      <w:r w:rsidRPr="00792B36">
        <w:rPr>
          <w:sz w:val="24"/>
          <w:szCs w:val="24"/>
        </w:rPr>
        <w:fldChar w:fldCharType="begin"/>
      </w:r>
      <w:r w:rsidRPr="00792B36">
        <w:rPr>
          <w:sz w:val="24"/>
          <w:szCs w:val="24"/>
        </w:rPr>
        <w:instrText>HYPERLINK "https://pubmed.ncbi.nlm.nih.gov/8703103/" \h</w:instrText>
      </w:r>
      <w:r w:rsidRPr="00792B36">
        <w:rPr>
          <w:sz w:val="24"/>
          <w:szCs w:val="24"/>
        </w:rPr>
      </w:r>
      <w:r w:rsidRPr="00792B36">
        <w:rPr>
          <w:sz w:val="24"/>
          <w:szCs w:val="24"/>
        </w:rPr>
        <w:fldChar w:fldCharType="separate"/>
      </w:r>
      <w:r w:rsidRPr="00792B36">
        <w:rPr>
          <w:rFonts w:eastAsia="Google Sans Text"/>
          <w:color w:val="0B57D0"/>
          <w:sz w:val="24"/>
          <w:szCs w:val="24"/>
          <w:u w:val="single"/>
        </w:rPr>
        <w:t>https://pubmed.ncbi.nlm.nih.gov/8703103/</w:t>
      </w:r>
      <w:r w:rsidRPr="00792B36">
        <w:rPr>
          <w:sz w:val="24"/>
          <w:szCs w:val="24"/>
        </w:rPr>
        <w:fldChar w:fldCharType="end"/>
      </w:r>
    </w:p>
    <w:p w14:paraId="69AB82FC" w14:textId="77777777" w:rsidR="00EB267E" w:rsidRPr="00792B36" w:rsidRDefault="00EB267E" w:rsidP="00EB267E">
      <w:pPr>
        <w:pBdr>
          <w:top w:val="nil"/>
          <w:left w:val="nil"/>
          <w:bottom w:val="nil"/>
          <w:right w:val="nil"/>
          <w:between w:val="nil"/>
        </w:pBdr>
        <w:spacing w:line="360" w:lineRule="auto"/>
        <w:ind w:left="105"/>
        <w:rPr>
          <w:sz w:val="24"/>
          <w:szCs w:val="24"/>
        </w:rPr>
      </w:pPr>
      <w:r w:rsidRPr="00792B36">
        <w:rPr>
          <w:rFonts w:eastAsia="Google Sans Text"/>
          <w:b/>
          <w:bCs/>
          <w:color w:val="1F1F1F"/>
          <w:sz w:val="24"/>
          <w:szCs w:val="24"/>
        </w:rPr>
        <w:t>Draft National Environmental Assessment (NE).</w:t>
      </w:r>
      <w:r w:rsidRPr="00792B36">
        <w:rPr>
          <w:rFonts w:eastAsia="Google Sans Text"/>
          <w:color w:val="1F1F1F"/>
          <w:sz w:val="24"/>
          <w:szCs w:val="24"/>
        </w:rPr>
        <w:t xml:space="preserve"> (2025). (On-going).</w:t>
      </w:r>
    </w:p>
    <w:p w14:paraId="73CCE279" w14:textId="77777777" w:rsidR="00EB267E" w:rsidRPr="00792B36" w:rsidRDefault="00EB267E" w:rsidP="00EB267E">
      <w:pPr>
        <w:pBdr>
          <w:top w:val="nil"/>
          <w:left w:val="nil"/>
          <w:bottom w:val="nil"/>
          <w:right w:val="nil"/>
          <w:between w:val="nil"/>
        </w:pBdr>
        <w:spacing w:line="360" w:lineRule="auto"/>
        <w:ind w:left="105"/>
        <w:rPr>
          <w:sz w:val="24"/>
          <w:szCs w:val="24"/>
        </w:rPr>
      </w:pPr>
      <w:r w:rsidRPr="00792B36">
        <w:rPr>
          <w:rFonts w:eastAsia="Google Sans Text"/>
          <w:b/>
          <w:bCs/>
          <w:color w:val="1F1F1F"/>
          <w:sz w:val="24"/>
          <w:szCs w:val="24"/>
        </w:rPr>
        <w:t>Earth Action.</w:t>
      </w:r>
      <w:r w:rsidRPr="00792B36">
        <w:rPr>
          <w:rFonts w:eastAsia="Google Sans Text"/>
          <w:color w:val="1F1F1F"/>
          <w:sz w:val="24"/>
          <w:szCs w:val="24"/>
        </w:rPr>
        <w:t xml:space="preserve"> (2024). </w:t>
      </w:r>
      <w:r w:rsidRPr="00792B36">
        <w:rPr>
          <w:rFonts w:eastAsia="Google Sans Text"/>
          <w:i/>
          <w:iCs/>
          <w:color w:val="1F1F1F"/>
          <w:sz w:val="24"/>
          <w:szCs w:val="24"/>
        </w:rPr>
        <w:t>Plastic policies in Thailand: Waste management challenges and economic overview</w:t>
      </w:r>
      <w:r w:rsidRPr="00792B36">
        <w:rPr>
          <w:rFonts w:eastAsia="Google Sans Text"/>
          <w:color w:val="1F1F1F"/>
          <w:sz w:val="24"/>
          <w:szCs w:val="24"/>
        </w:rPr>
        <w:t>.</w:t>
      </w:r>
    </w:p>
    <w:p w14:paraId="16192F80" w14:textId="77777777" w:rsidR="00EB267E" w:rsidRPr="00792B36" w:rsidRDefault="00EB267E" w:rsidP="00EB267E">
      <w:pPr>
        <w:pBdr>
          <w:top w:val="nil"/>
          <w:left w:val="nil"/>
          <w:bottom w:val="nil"/>
          <w:right w:val="nil"/>
          <w:between w:val="nil"/>
        </w:pBdr>
        <w:spacing w:line="360" w:lineRule="auto"/>
        <w:ind w:left="105"/>
        <w:rPr>
          <w:sz w:val="24"/>
          <w:szCs w:val="24"/>
        </w:rPr>
      </w:pPr>
      <w:r w:rsidRPr="00792B36">
        <w:rPr>
          <w:rFonts w:eastAsia="Google Sans Text"/>
          <w:b/>
          <w:bCs/>
          <w:color w:val="1F1F1F"/>
          <w:sz w:val="24"/>
          <w:szCs w:val="24"/>
        </w:rPr>
        <w:t>EEA.</w:t>
      </w:r>
      <w:r w:rsidRPr="00792B36">
        <w:rPr>
          <w:rFonts w:eastAsia="Google Sans Text"/>
          <w:color w:val="1F1F1F"/>
          <w:sz w:val="24"/>
          <w:szCs w:val="24"/>
        </w:rPr>
        <w:t xml:space="preserve"> (1999). </w:t>
      </w:r>
      <w:r w:rsidRPr="00792B36">
        <w:rPr>
          <w:rFonts w:eastAsia="Google Sans Text"/>
          <w:i/>
          <w:iCs/>
          <w:color w:val="1F1F1F"/>
          <w:sz w:val="24"/>
          <w:szCs w:val="24"/>
        </w:rPr>
        <w:t>Environmental indicators: Typology and terminology</w:t>
      </w:r>
      <w:r w:rsidRPr="00792B36">
        <w:rPr>
          <w:rFonts w:eastAsia="Google Sans Text"/>
          <w:color w:val="1F1F1F"/>
          <w:sz w:val="24"/>
          <w:szCs w:val="24"/>
        </w:rPr>
        <w:t xml:space="preserve">. EEA Technical report No 25. </w:t>
      </w:r>
      <w:r w:rsidRPr="00792B36">
        <w:rPr>
          <w:sz w:val="24"/>
          <w:szCs w:val="24"/>
        </w:rPr>
        <w:fldChar w:fldCharType="begin"/>
      </w:r>
      <w:r w:rsidRPr="00792B36">
        <w:rPr>
          <w:sz w:val="24"/>
          <w:szCs w:val="24"/>
        </w:rPr>
        <w:instrText>HYPERLINK "https://www.eea.europa.eu/publications/TEC25" \h</w:instrText>
      </w:r>
      <w:r w:rsidRPr="00792B36">
        <w:rPr>
          <w:sz w:val="24"/>
          <w:szCs w:val="24"/>
        </w:rPr>
      </w:r>
      <w:r w:rsidRPr="00792B36">
        <w:rPr>
          <w:sz w:val="24"/>
          <w:szCs w:val="24"/>
        </w:rPr>
        <w:fldChar w:fldCharType="separate"/>
      </w:r>
      <w:r w:rsidRPr="00792B36">
        <w:rPr>
          <w:rFonts w:eastAsia="Google Sans Text"/>
          <w:color w:val="0B57D0"/>
          <w:sz w:val="24"/>
          <w:szCs w:val="24"/>
          <w:u w:val="single"/>
        </w:rPr>
        <w:t>https://www.eea.europa.eu/publications/TEC25</w:t>
      </w:r>
      <w:r w:rsidRPr="00792B36">
        <w:rPr>
          <w:sz w:val="24"/>
          <w:szCs w:val="24"/>
        </w:rPr>
        <w:fldChar w:fldCharType="end"/>
      </w:r>
      <w:r w:rsidRPr="00792B36">
        <w:rPr>
          <w:rFonts w:eastAsia="Google Sans Text"/>
          <w:color w:val="1F1F1F"/>
          <w:sz w:val="24"/>
          <w:szCs w:val="24"/>
        </w:rPr>
        <w:t xml:space="preserve"> (accessed 27 November 2025).</w:t>
      </w:r>
    </w:p>
    <w:p w14:paraId="5F3FF86C" w14:textId="77777777" w:rsidR="00EB267E" w:rsidRPr="00792B36" w:rsidRDefault="00EB267E" w:rsidP="00EB267E">
      <w:pPr>
        <w:pBdr>
          <w:top w:val="nil"/>
          <w:left w:val="nil"/>
          <w:bottom w:val="nil"/>
          <w:right w:val="nil"/>
          <w:between w:val="nil"/>
        </w:pBdr>
        <w:spacing w:line="360" w:lineRule="auto"/>
        <w:ind w:left="105"/>
        <w:rPr>
          <w:sz w:val="24"/>
          <w:szCs w:val="24"/>
        </w:rPr>
      </w:pPr>
      <w:r w:rsidRPr="00792B36">
        <w:rPr>
          <w:rFonts w:eastAsia="Google Sans Text"/>
          <w:b/>
          <w:bCs/>
          <w:color w:val="1F1F1F"/>
          <w:sz w:val="24"/>
          <w:szCs w:val="24"/>
        </w:rPr>
        <w:t>EM-DAT, CRED / UCLouvain.</w:t>
      </w:r>
      <w:r w:rsidRPr="00792B36">
        <w:rPr>
          <w:rFonts w:eastAsia="Google Sans Text"/>
          <w:color w:val="1F1F1F"/>
          <w:sz w:val="24"/>
          <w:szCs w:val="24"/>
        </w:rPr>
        <w:t xml:space="preserve"> (2025). </w:t>
      </w:r>
      <w:r w:rsidRPr="00792B36">
        <w:rPr>
          <w:rFonts w:eastAsia="Google Sans Text"/>
          <w:i/>
          <w:iCs/>
          <w:color w:val="1F1F1F"/>
          <w:sz w:val="24"/>
          <w:szCs w:val="24"/>
        </w:rPr>
        <w:t>The International Disaster Database</w:t>
      </w:r>
      <w:r w:rsidRPr="00792B36">
        <w:rPr>
          <w:rFonts w:eastAsia="Google Sans Text"/>
          <w:color w:val="1F1F1F"/>
          <w:sz w:val="24"/>
          <w:szCs w:val="24"/>
        </w:rPr>
        <w:t xml:space="preserve">. </w:t>
      </w:r>
      <w:r w:rsidRPr="00792B36">
        <w:rPr>
          <w:sz w:val="24"/>
          <w:szCs w:val="24"/>
        </w:rPr>
        <w:fldChar w:fldCharType="begin"/>
      </w:r>
      <w:r w:rsidRPr="00792B36">
        <w:rPr>
          <w:sz w:val="24"/>
          <w:szCs w:val="24"/>
        </w:rPr>
        <w:instrText>HYPERLINK "http://www.emdat.be" \h</w:instrText>
      </w:r>
      <w:r w:rsidRPr="00792B36">
        <w:rPr>
          <w:sz w:val="24"/>
          <w:szCs w:val="24"/>
        </w:rPr>
      </w:r>
      <w:r w:rsidRPr="00792B36">
        <w:rPr>
          <w:sz w:val="24"/>
          <w:szCs w:val="24"/>
        </w:rPr>
        <w:fldChar w:fldCharType="separate"/>
      </w:r>
      <w:r w:rsidRPr="00792B36">
        <w:rPr>
          <w:rFonts w:eastAsia="Google Sans Text"/>
          <w:color w:val="0B57D0"/>
          <w:sz w:val="24"/>
          <w:szCs w:val="24"/>
          <w:u w:val="single"/>
        </w:rPr>
        <w:t>www.emdat.be</w:t>
      </w:r>
      <w:r w:rsidRPr="00792B36">
        <w:rPr>
          <w:sz w:val="24"/>
          <w:szCs w:val="24"/>
        </w:rPr>
        <w:fldChar w:fldCharType="end"/>
      </w:r>
      <w:r w:rsidRPr="00792B36">
        <w:rPr>
          <w:rFonts w:eastAsia="Google Sans Text"/>
          <w:color w:val="1F1F1F"/>
          <w:sz w:val="24"/>
          <w:szCs w:val="24"/>
        </w:rPr>
        <w:t xml:space="preserve"> (accessed 25 Jun 2025).</w:t>
      </w:r>
    </w:p>
    <w:p w14:paraId="342A268B" w14:textId="77777777" w:rsidR="00EB267E" w:rsidRPr="00792B36" w:rsidRDefault="00EB267E" w:rsidP="00EB267E">
      <w:pPr>
        <w:pBdr>
          <w:top w:val="nil"/>
          <w:left w:val="nil"/>
          <w:bottom w:val="nil"/>
          <w:right w:val="nil"/>
          <w:between w:val="nil"/>
        </w:pBdr>
        <w:spacing w:line="360" w:lineRule="auto"/>
        <w:ind w:left="105"/>
        <w:rPr>
          <w:sz w:val="24"/>
          <w:szCs w:val="24"/>
        </w:rPr>
      </w:pPr>
      <w:r w:rsidRPr="00792B36">
        <w:rPr>
          <w:rFonts w:eastAsia="Google Sans Text"/>
          <w:b/>
          <w:bCs/>
          <w:color w:val="1F1F1F"/>
          <w:sz w:val="24"/>
          <w:szCs w:val="24"/>
        </w:rPr>
        <w:t>ERIA.</w:t>
      </w:r>
      <w:r w:rsidRPr="00792B36">
        <w:rPr>
          <w:rFonts w:eastAsia="Google Sans Text"/>
          <w:color w:val="1F1F1F"/>
          <w:sz w:val="24"/>
          <w:szCs w:val="24"/>
        </w:rPr>
        <w:t xml:space="preserve"> (2025). </w:t>
      </w:r>
      <w:r w:rsidRPr="00792B36">
        <w:rPr>
          <w:rFonts w:eastAsia="Google Sans Text"/>
          <w:i/>
          <w:iCs/>
          <w:color w:val="1F1F1F"/>
          <w:sz w:val="24"/>
          <w:szCs w:val="24"/>
        </w:rPr>
        <w:t>ASEAN Conference on Combatting Plastic Pollution 2025 Report</w:t>
      </w:r>
      <w:r w:rsidRPr="00792B36">
        <w:rPr>
          <w:rFonts w:eastAsia="Google Sans Text"/>
          <w:color w:val="1F1F1F"/>
          <w:sz w:val="24"/>
          <w:szCs w:val="24"/>
        </w:rPr>
        <w:t>.</w:t>
      </w:r>
    </w:p>
    <w:p w14:paraId="50157E22" w14:textId="77777777" w:rsidR="00EB267E" w:rsidRPr="00792B36" w:rsidRDefault="00EB267E" w:rsidP="00EB267E">
      <w:pPr>
        <w:pBdr>
          <w:top w:val="nil"/>
          <w:left w:val="nil"/>
          <w:bottom w:val="nil"/>
          <w:right w:val="nil"/>
          <w:between w:val="nil"/>
        </w:pBdr>
        <w:spacing w:line="360" w:lineRule="auto"/>
        <w:ind w:left="105"/>
        <w:rPr>
          <w:sz w:val="24"/>
          <w:szCs w:val="24"/>
        </w:rPr>
      </w:pPr>
      <w:r w:rsidRPr="00792B36">
        <w:rPr>
          <w:rFonts w:eastAsia="Google Sans Text"/>
          <w:b/>
          <w:bCs/>
          <w:color w:val="1F1F1F"/>
          <w:sz w:val="24"/>
          <w:szCs w:val="24"/>
        </w:rPr>
        <w:t>Fanning, L., Mahon, R., Baldwin, K., &amp; Douglas, S.</w:t>
      </w:r>
      <w:r w:rsidRPr="00792B36">
        <w:rPr>
          <w:rFonts w:eastAsia="Google Sans Text"/>
          <w:color w:val="1F1F1F"/>
          <w:sz w:val="24"/>
          <w:szCs w:val="24"/>
        </w:rPr>
        <w:t xml:space="preserve"> (2017). </w:t>
      </w:r>
      <w:r w:rsidRPr="00792B36">
        <w:rPr>
          <w:rFonts w:eastAsia="Google Sans Text"/>
          <w:i/>
          <w:iCs/>
          <w:color w:val="1F1F1F"/>
          <w:sz w:val="24"/>
          <w:szCs w:val="24"/>
        </w:rPr>
        <w:t>Transboundary Waters Assessment Programme (TWAP) assessment of governance arrangements for the ocean, Volume 1: Transboundary large marine ecosystems—Supplement: Individual governance architecture assessment for fifty transboundary large marine ecosystems</w:t>
      </w:r>
      <w:r w:rsidRPr="00792B36">
        <w:rPr>
          <w:rFonts w:eastAsia="Google Sans Text"/>
          <w:color w:val="1F1F1F"/>
          <w:sz w:val="24"/>
          <w:szCs w:val="24"/>
        </w:rPr>
        <w:t xml:space="preserve"> (IOC Technical Series No. 119, Vol. 1, Suppl., 834 pp.). IOC-UNESCO.</w:t>
      </w:r>
    </w:p>
    <w:p w14:paraId="6394BDCF" w14:textId="77777777" w:rsidR="00EB267E" w:rsidRPr="00792B36" w:rsidRDefault="00EB267E" w:rsidP="00EB267E">
      <w:pPr>
        <w:pBdr>
          <w:top w:val="nil"/>
          <w:left w:val="nil"/>
          <w:bottom w:val="nil"/>
          <w:right w:val="nil"/>
          <w:between w:val="nil"/>
        </w:pBdr>
        <w:spacing w:line="360" w:lineRule="auto"/>
        <w:ind w:left="105"/>
        <w:rPr>
          <w:sz w:val="24"/>
          <w:szCs w:val="24"/>
        </w:rPr>
      </w:pPr>
      <w:r w:rsidRPr="00792B36">
        <w:rPr>
          <w:rFonts w:eastAsia="Google Sans Text"/>
          <w:b/>
          <w:bCs/>
          <w:color w:val="1F1F1F"/>
          <w:sz w:val="24"/>
          <w:szCs w:val="24"/>
        </w:rPr>
        <w:t>FAO.</w:t>
      </w:r>
      <w:r w:rsidRPr="00792B36">
        <w:rPr>
          <w:rFonts w:eastAsia="Google Sans Text"/>
          <w:color w:val="1F1F1F"/>
          <w:sz w:val="24"/>
          <w:szCs w:val="24"/>
        </w:rPr>
        <w:t xml:space="preserve"> (2018). </w:t>
      </w:r>
      <w:r w:rsidRPr="00792B36">
        <w:rPr>
          <w:rFonts w:eastAsia="Google Sans Text"/>
          <w:i/>
          <w:iCs/>
          <w:color w:val="1F1F1F"/>
          <w:sz w:val="24"/>
          <w:szCs w:val="24"/>
        </w:rPr>
        <w:t>The State of World Fisheries and Aquaculture 2018 - Meeting the sustainable development goals</w:t>
      </w:r>
      <w:r w:rsidRPr="00792B36">
        <w:rPr>
          <w:rFonts w:eastAsia="Google Sans Text"/>
          <w:color w:val="1F1F1F"/>
          <w:sz w:val="24"/>
          <w:szCs w:val="24"/>
        </w:rPr>
        <w:t xml:space="preserve">. Rome. </w:t>
      </w:r>
      <w:r w:rsidRPr="00792B36">
        <w:rPr>
          <w:sz w:val="24"/>
          <w:szCs w:val="24"/>
        </w:rPr>
        <w:fldChar w:fldCharType="begin"/>
      </w:r>
      <w:r w:rsidRPr="00792B36">
        <w:rPr>
          <w:sz w:val="24"/>
          <w:szCs w:val="24"/>
        </w:rPr>
        <w:instrText>HYPERLINK "https://www.fao.org/3/i9540en/i9540en.pdf" \h</w:instrText>
      </w:r>
      <w:r w:rsidRPr="00792B36">
        <w:rPr>
          <w:sz w:val="24"/>
          <w:szCs w:val="24"/>
        </w:rPr>
      </w:r>
      <w:r w:rsidRPr="00792B36">
        <w:rPr>
          <w:sz w:val="24"/>
          <w:szCs w:val="24"/>
        </w:rPr>
        <w:fldChar w:fldCharType="separate"/>
      </w:r>
      <w:r w:rsidRPr="00792B36">
        <w:rPr>
          <w:rFonts w:eastAsia="Google Sans Text"/>
          <w:color w:val="0B57D0"/>
          <w:sz w:val="24"/>
          <w:szCs w:val="24"/>
          <w:u w:val="single"/>
        </w:rPr>
        <w:t>https://www.fao.org/3/i9540en/i9540en.pdf</w:t>
      </w:r>
      <w:r w:rsidRPr="00792B36">
        <w:rPr>
          <w:sz w:val="24"/>
          <w:szCs w:val="24"/>
        </w:rPr>
        <w:fldChar w:fldCharType="end"/>
      </w:r>
    </w:p>
    <w:p w14:paraId="5C4297C6" w14:textId="77777777" w:rsidR="00EB267E" w:rsidRPr="00792B36" w:rsidRDefault="00EB267E" w:rsidP="00EB267E">
      <w:pPr>
        <w:pBdr>
          <w:top w:val="nil"/>
          <w:left w:val="nil"/>
          <w:bottom w:val="nil"/>
          <w:right w:val="nil"/>
          <w:between w:val="nil"/>
        </w:pBdr>
        <w:spacing w:line="360" w:lineRule="auto"/>
        <w:ind w:left="105"/>
        <w:rPr>
          <w:sz w:val="24"/>
          <w:szCs w:val="24"/>
        </w:rPr>
      </w:pPr>
      <w:r w:rsidRPr="00792B36">
        <w:rPr>
          <w:rFonts w:eastAsia="Google Sans Text"/>
          <w:b/>
          <w:bCs/>
          <w:color w:val="1F1F1F"/>
          <w:sz w:val="24"/>
          <w:szCs w:val="24"/>
        </w:rPr>
        <w:t>FAO.</w:t>
      </w:r>
      <w:r w:rsidRPr="00792B36">
        <w:rPr>
          <w:rFonts w:eastAsia="Google Sans Text"/>
          <w:color w:val="1F1F1F"/>
          <w:sz w:val="24"/>
          <w:szCs w:val="24"/>
        </w:rPr>
        <w:t xml:space="preserve"> (2025). </w:t>
      </w:r>
      <w:r w:rsidRPr="00792B36">
        <w:rPr>
          <w:rFonts w:eastAsia="Google Sans Text"/>
          <w:i/>
          <w:iCs/>
          <w:color w:val="1F1F1F"/>
          <w:sz w:val="24"/>
          <w:szCs w:val="24"/>
        </w:rPr>
        <w:t>Sustainable fisheries as a proportion of GDP</w:t>
      </w:r>
      <w:r w:rsidRPr="00792B36">
        <w:rPr>
          <w:rFonts w:eastAsia="Google Sans Text"/>
          <w:color w:val="1F1F1F"/>
          <w:sz w:val="24"/>
          <w:szCs w:val="24"/>
        </w:rPr>
        <w:t xml:space="preserve">. </w:t>
      </w:r>
      <w:r w:rsidRPr="00792B36">
        <w:rPr>
          <w:sz w:val="24"/>
          <w:szCs w:val="24"/>
        </w:rPr>
        <w:fldChar w:fldCharType="begin"/>
      </w:r>
      <w:r w:rsidRPr="00792B36">
        <w:rPr>
          <w:sz w:val="24"/>
          <w:szCs w:val="24"/>
        </w:rPr>
        <w:instrText>HYPERLINK "https://de-public-statsuite.fao.org/" \h</w:instrText>
      </w:r>
      <w:r w:rsidRPr="00792B36">
        <w:rPr>
          <w:sz w:val="24"/>
          <w:szCs w:val="24"/>
        </w:rPr>
      </w:r>
      <w:r w:rsidRPr="00792B36">
        <w:rPr>
          <w:sz w:val="24"/>
          <w:szCs w:val="24"/>
        </w:rPr>
        <w:fldChar w:fldCharType="separate"/>
      </w:r>
      <w:r w:rsidRPr="00792B36">
        <w:rPr>
          <w:rFonts w:eastAsia="Google Sans Text"/>
          <w:color w:val="0B57D0"/>
          <w:sz w:val="24"/>
          <w:szCs w:val="24"/>
          <w:u w:val="single"/>
        </w:rPr>
        <w:t>https://de-public-statsuite.fao.org/</w:t>
      </w:r>
      <w:r w:rsidRPr="00792B36">
        <w:rPr>
          <w:sz w:val="24"/>
          <w:szCs w:val="24"/>
        </w:rPr>
        <w:fldChar w:fldCharType="end"/>
      </w:r>
      <w:r w:rsidRPr="00792B36">
        <w:rPr>
          <w:rFonts w:eastAsia="Google Sans Text"/>
          <w:color w:val="1F1F1F"/>
          <w:sz w:val="24"/>
          <w:szCs w:val="24"/>
        </w:rPr>
        <w:t xml:space="preserve"> (accessed 25 June 2025).</w:t>
      </w:r>
    </w:p>
    <w:p w14:paraId="01C55E26" w14:textId="77777777" w:rsidR="00EB267E" w:rsidRPr="00792B36" w:rsidRDefault="00EB267E" w:rsidP="00EB267E">
      <w:pPr>
        <w:pBdr>
          <w:top w:val="nil"/>
          <w:left w:val="nil"/>
          <w:bottom w:val="nil"/>
          <w:right w:val="nil"/>
          <w:between w:val="nil"/>
        </w:pBdr>
        <w:spacing w:line="360" w:lineRule="auto"/>
        <w:ind w:left="105"/>
        <w:rPr>
          <w:sz w:val="24"/>
          <w:szCs w:val="24"/>
        </w:rPr>
      </w:pPr>
      <w:r w:rsidRPr="00792B36">
        <w:rPr>
          <w:rFonts w:eastAsia="Google Sans Text"/>
          <w:b/>
          <w:bCs/>
          <w:color w:val="1F1F1F"/>
          <w:sz w:val="24"/>
          <w:szCs w:val="24"/>
        </w:rPr>
        <w:t>Fox Jr, W. W.</w:t>
      </w:r>
      <w:r w:rsidRPr="00792B36">
        <w:rPr>
          <w:rFonts w:eastAsia="Google Sans Text"/>
          <w:color w:val="1F1F1F"/>
          <w:sz w:val="24"/>
          <w:szCs w:val="24"/>
        </w:rPr>
        <w:t xml:space="preserve"> (1970). An exponential surplus-yield model for optimizing exploited fish populations. </w:t>
      </w:r>
      <w:r w:rsidRPr="00792B36">
        <w:rPr>
          <w:rFonts w:eastAsia="Google Sans Text"/>
          <w:i/>
          <w:iCs/>
          <w:color w:val="1F1F1F"/>
          <w:sz w:val="24"/>
          <w:szCs w:val="24"/>
        </w:rPr>
        <w:t>Transactions of the American Fisheries Society</w:t>
      </w:r>
      <w:r w:rsidRPr="00792B36">
        <w:rPr>
          <w:rFonts w:eastAsia="Google Sans Text"/>
          <w:color w:val="1F1F1F"/>
          <w:sz w:val="24"/>
          <w:szCs w:val="24"/>
        </w:rPr>
        <w:t>, 99, 80-88.</w:t>
      </w:r>
    </w:p>
    <w:p w14:paraId="0BB99BC5" w14:textId="77777777" w:rsidR="00EB267E" w:rsidRPr="00792B36" w:rsidRDefault="00EB267E" w:rsidP="00EB267E">
      <w:pPr>
        <w:pBdr>
          <w:top w:val="nil"/>
          <w:left w:val="nil"/>
          <w:bottom w:val="nil"/>
          <w:right w:val="nil"/>
          <w:between w:val="nil"/>
        </w:pBdr>
        <w:spacing w:line="360" w:lineRule="auto"/>
        <w:ind w:left="105"/>
        <w:rPr>
          <w:sz w:val="24"/>
          <w:szCs w:val="24"/>
        </w:rPr>
      </w:pPr>
      <w:r w:rsidRPr="00792B36">
        <w:rPr>
          <w:rFonts w:eastAsia="Google Sans Text"/>
          <w:b/>
          <w:bCs/>
          <w:color w:val="1F1F1F"/>
          <w:sz w:val="24"/>
          <w:szCs w:val="24"/>
        </w:rPr>
        <w:t>Global E-Waste Monitor.</w:t>
      </w:r>
      <w:r w:rsidRPr="00792B36">
        <w:rPr>
          <w:rFonts w:eastAsia="Google Sans Text"/>
          <w:color w:val="1F1F1F"/>
          <w:sz w:val="24"/>
          <w:szCs w:val="24"/>
        </w:rPr>
        <w:t xml:space="preserve"> (2025). </w:t>
      </w:r>
      <w:r w:rsidRPr="00792B36">
        <w:rPr>
          <w:rFonts w:eastAsia="Google Sans Text"/>
          <w:i/>
          <w:iCs/>
          <w:color w:val="1F1F1F"/>
          <w:sz w:val="24"/>
          <w:szCs w:val="24"/>
        </w:rPr>
        <w:t>Electronic waste statistics and global rankings</w:t>
      </w:r>
      <w:r w:rsidRPr="00792B36">
        <w:rPr>
          <w:rFonts w:eastAsia="Google Sans Text"/>
          <w:color w:val="1F1F1F"/>
          <w:sz w:val="24"/>
          <w:szCs w:val="24"/>
        </w:rPr>
        <w:t xml:space="preserve">. United Nations University. </w:t>
      </w:r>
      <w:r w:rsidRPr="00792B36">
        <w:rPr>
          <w:sz w:val="24"/>
          <w:szCs w:val="24"/>
        </w:rPr>
        <w:fldChar w:fldCharType="begin"/>
      </w:r>
      <w:r w:rsidRPr="00792B36">
        <w:rPr>
          <w:sz w:val="24"/>
          <w:szCs w:val="24"/>
        </w:rPr>
        <w:instrText>HYPERLINK "https://www.itu.int/en/ITU-D/Environment/Pages/Priority-Areas/E-waste/Country%20Pages/Thailand.aspx" \h</w:instrText>
      </w:r>
      <w:r w:rsidRPr="00792B36">
        <w:rPr>
          <w:sz w:val="24"/>
          <w:szCs w:val="24"/>
        </w:rPr>
      </w:r>
      <w:r w:rsidRPr="00792B36">
        <w:rPr>
          <w:sz w:val="24"/>
          <w:szCs w:val="24"/>
        </w:rPr>
        <w:fldChar w:fldCharType="separate"/>
      </w:r>
      <w:r w:rsidRPr="00792B36">
        <w:rPr>
          <w:rFonts w:eastAsia="Google Sans Text"/>
          <w:color w:val="0B57D0"/>
          <w:sz w:val="24"/>
          <w:szCs w:val="24"/>
          <w:u w:val="single"/>
        </w:rPr>
        <w:t>https://www.itu.int/en/ITU-D/Environment/Pages/Priority-Areas/E-waste/Country%20Pages/Thailand.aspx</w:t>
      </w:r>
      <w:r w:rsidRPr="00792B36">
        <w:rPr>
          <w:sz w:val="24"/>
          <w:szCs w:val="24"/>
        </w:rPr>
        <w:fldChar w:fldCharType="end"/>
      </w:r>
    </w:p>
    <w:p w14:paraId="6A997E60" w14:textId="77777777" w:rsidR="00EB267E" w:rsidRPr="00792B36" w:rsidRDefault="00EB267E" w:rsidP="00EB267E">
      <w:pPr>
        <w:pBdr>
          <w:top w:val="nil"/>
          <w:left w:val="nil"/>
          <w:bottom w:val="nil"/>
          <w:right w:val="nil"/>
          <w:between w:val="nil"/>
        </w:pBdr>
        <w:spacing w:line="360" w:lineRule="auto"/>
        <w:ind w:left="105"/>
        <w:rPr>
          <w:sz w:val="24"/>
          <w:szCs w:val="24"/>
        </w:rPr>
      </w:pPr>
      <w:r w:rsidRPr="00792B36">
        <w:rPr>
          <w:rFonts w:eastAsia="Google Sans Text"/>
          <w:b/>
          <w:bCs/>
          <w:color w:val="1F1F1F"/>
          <w:sz w:val="24"/>
          <w:szCs w:val="24"/>
        </w:rPr>
        <w:lastRenderedPageBreak/>
        <w:t>Jawjit, S., Narom, N., &amp; Thongkaow, P.</w:t>
      </w:r>
      <w:r w:rsidRPr="00792B36">
        <w:rPr>
          <w:rFonts w:eastAsia="Google Sans Text"/>
          <w:color w:val="1F1F1F"/>
          <w:sz w:val="24"/>
          <w:szCs w:val="24"/>
        </w:rPr>
        <w:t xml:space="preserve"> (2024). Evaluating Household Hazardous Waste Generation, Composition, and Health Risks in an Urban Municipality. </w:t>
      </w:r>
      <w:r w:rsidRPr="00792B36">
        <w:rPr>
          <w:rFonts w:eastAsia="Google Sans Text"/>
          <w:i/>
          <w:iCs/>
          <w:color w:val="1F1F1F"/>
          <w:sz w:val="24"/>
          <w:szCs w:val="24"/>
        </w:rPr>
        <w:t>Journal of Human, Earth, and Future</w:t>
      </w:r>
      <w:r w:rsidRPr="00792B36">
        <w:rPr>
          <w:rFonts w:eastAsia="Google Sans Text"/>
          <w:color w:val="1F1F1F"/>
          <w:sz w:val="24"/>
          <w:szCs w:val="24"/>
        </w:rPr>
        <w:t xml:space="preserve">, 5(3), 471–482. </w:t>
      </w:r>
      <w:r w:rsidRPr="00792B36">
        <w:rPr>
          <w:sz w:val="24"/>
          <w:szCs w:val="24"/>
        </w:rPr>
        <w:fldChar w:fldCharType="begin"/>
      </w:r>
      <w:r w:rsidRPr="00792B36">
        <w:rPr>
          <w:sz w:val="24"/>
          <w:szCs w:val="24"/>
        </w:rPr>
        <w:instrText>HYPERLINK "https://doi.org/10.28991/HEF-2024-05-03-011" \h</w:instrText>
      </w:r>
      <w:r w:rsidRPr="00792B36">
        <w:rPr>
          <w:sz w:val="24"/>
          <w:szCs w:val="24"/>
        </w:rPr>
      </w:r>
      <w:r w:rsidRPr="00792B36">
        <w:rPr>
          <w:sz w:val="24"/>
          <w:szCs w:val="24"/>
        </w:rPr>
        <w:fldChar w:fldCharType="separate"/>
      </w:r>
      <w:r w:rsidRPr="00792B36">
        <w:rPr>
          <w:rFonts w:eastAsia="Google Sans Text"/>
          <w:color w:val="0B57D0"/>
          <w:sz w:val="24"/>
          <w:szCs w:val="24"/>
          <w:u w:val="single"/>
        </w:rPr>
        <w:t>https://doi.org/10.28991/HEF-2024-05-03-011</w:t>
      </w:r>
      <w:r w:rsidRPr="00792B36">
        <w:rPr>
          <w:sz w:val="24"/>
          <w:szCs w:val="24"/>
        </w:rPr>
        <w:fldChar w:fldCharType="end"/>
      </w:r>
    </w:p>
    <w:p w14:paraId="1D922759" w14:textId="77777777" w:rsidR="00EB267E" w:rsidRPr="00792B36" w:rsidRDefault="00EB267E" w:rsidP="00EB267E">
      <w:pPr>
        <w:pBdr>
          <w:top w:val="nil"/>
          <w:left w:val="nil"/>
          <w:bottom w:val="nil"/>
          <w:right w:val="nil"/>
          <w:between w:val="nil"/>
        </w:pBdr>
        <w:spacing w:line="360" w:lineRule="auto"/>
        <w:ind w:left="105"/>
        <w:rPr>
          <w:sz w:val="24"/>
          <w:szCs w:val="24"/>
        </w:rPr>
      </w:pPr>
      <w:r w:rsidRPr="00792B36">
        <w:rPr>
          <w:rFonts w:eastAsia="Google Sans Text"/>
          <w:b/>
          <w:bCs/>
          <w:color w:val="1F1F1F"/>
          <w:sz w:val="24"/>
          <w:szCs w:val="24"/>
        </w:rPr>
        <w:t>Kleisner, K. and D. Pauly.</w:t>
      </w:r>
      <w:r w:rsidRPr="00792B36">
        <w:rPr>
          <w:rFonts w:eastAsia="Google Sans Text"/>
          <w:color w:val="1F1F1F"/>
          <w:sz w:val="24"/>
          <w:szCs w:val="24"/>
        </w:rPr>
        <w:t xml:space="preserve"> (2011). Stock-Status Plots of Fisheries for Regional Seas. In: Christensen, V., S. Lai, M. L. D. Palomares, D. Zeller and D. Pauly (eds.). </w:t>
      </w:r>
      <w:r w:rsidRPr="00792B36">
        <w:rPr>
          <w:rFonts w:eastAsia="Google Sans Text"/>
          <w:i/>
          <w:iCs/>
          <w:color w:val="1F1F1F"/>
          <w:sz w:val="24"/>
          <w:szCs w:val="24"/>
        </w:rPr>
        <w:t>The State of Biodiversity and Fisheries in Regional Seas</w:t>
      </w:r>
      <w:r w:rsidRPr="00792B36">
        <w:rPr>
          <w:rFonts w:eastAsia="Google Sans Text"/>
          <w:color w:val="1F1F1F"/>
          <w:sz w:val="24"/>
          <w:szCs w:val="24"/>
        </w:rPr>
        <w:t>. Fisheries Centre Research Reports 19(3), pp. 37-40. University of British Columbia, Vancouver.</w:t>
      </w:r>
    </w:p>
    <w:p w14:paraId="0AFC3CE7" w14:textId="77777777" w:rsidR="00EB267E" w:rsidRPr="00792B36" w:rsidRDefault="00EB267E" w:rsidP="00EB267E">
      <w:pPr>
        <w:pBdr>
          <w:top w:val="nil"/>
          <w:left w:val="nil"/>
          <w:bottom w:val="nil"/>
          <w:right w:val="nil"/>
          <w:between w:val="nil"/>
        </w:pBdr>
        <w:spacing w:line="360" w:lineRule="auto"/>
        <w:ind w:left="105"/>
        <w:rPr>
          <w:sz w:val="24"/>
          <w:szCs w:val="24"/>
        </w:rPr>
      </w:pPr>
      <w:r w:rsidRPr="00792B36">
        <w:rPr>
          <w:rFonts w:eastAsia="Google Sans Text"/>
          <w:b/>
          <w:bCs/>
          <w:color w:val="1F1F1F"/>
          <w:sz w:val="24"/>
          <w:szCs w:val="24"/>
        </w:rPr>
        <w:t>Kristensen, P.</w:t>
      </w:r>
      <w:r w:rsidRPr="00792B36">
        <w:rPr>
          <w:rFonts w:eastAsia="Google Sans Text"/>
          <w:color w:val="1F1F1F"/>
          <w:sz w:val="24"/>
          <w:szCs w:val="24"/>
        </w:rPr>
        <w:t xml:space="preserve"> (2004). </w:t>
      </w:r>
      <w:r w:rsidRPr="00792B36">
        <w:rPr>
          <w:rFonts w:eastAsia="Google Sans Text"/>
          <w:i/>
          <w:iCs/>
          <w:color w:val="1F1F1F"/>
          <w:sz w:val="24"/>
          <w:szCs w:val="24"/>
        </w:rPr>
        <w:t>The DPSIR Framework</w:t>
      </w:r>
      <w:r w:rsidRPr="00792B36">
        <w:rPr>
          <w:rFonts w:eastAsia="Google Sans Text"/>
          <w:color w:val="1F1F1F"/>
          <w:sz w:val="24"/>
          <w:szCs w:val="24"/>
        </w:rPr>
        <w:t xml:space="preserve">. Paper presented at the 27-29 September 2004 workshop on a comprehensive/detailed assessment of the vulnerability of water resources to environmental change in Africa using indicator based methods, UNEP. </w:t>
      </w:r>
      <w:r w:rsidRPr="00792B36">
        <w:rPr>
          <w:sz w:val="24"/>
          <w:szCs w:val="24"/>
        </w:rPr>
        <w:fldChar w:fldCharType="begin"/>
      </w:r>
      <w:r w:rsidRPr="00792B36">
        <w:rPr>
          <w:sz w:val="24"/>
          <w:szCs w:val="24"/>
        </w:rPr>
        <w:instrText>HYPERLINK "https://dce-fs-live-dce.it.au.dk/filarkiv/89/AR_89.pdf" \h</w:instrText>
      </w:r>
      <w:r w:rsidRPr="00792B36">
        <w:rPr>
          <w:sz w:val="24"/>
          <w:szCs w:val="24"/>
        </w:rPr>
      </w:r>
      <w:r w:rsidRPr="00792B36">
        <w:rPr>
          <w:sz w:val="24"/>
          <w:szCs w:val="24"/>
        </w:rPr>
        <w:fldChar w:fldCharType="separate"/>
      </w:r>
      <w:r w:rsidRPr="00792B36">
        <w:rPr>
          <w:rFonts w:eastAsia="Google Sans Text"/>
          <w:color w:val="0B57D0"/>
          <w:sz w:val="24"/>
          <w:szCs w:val="24"/>
          <w:u w:val="single"/>
        </w:rPr>
        <w:t>https://dce-fs-live-dce.it.au.dk/filarkiv/89/AR_89.pdf</w:t>
      </w:r>
      <w:r w:rsidRPr="00792B36">
        <w:rPr>
          <w:sz w:val="24"/>
          <w:szCs w:val="24"/>
        </w:rPr>
        <w:fldChar w:fldCharType="end"/>
      </w:r>
      <w:r w:rsidRPr="00792B36">
        <w:rPr>
          <w:rFonts w:eastAsia="Google Sans Text"/>
          <w:color w:val="1F1F1F"/>
          <w:sz w:val="24"/>
          <w:szCs w:val="24"/>
        </w:rPr>
        <w:t xml:space="preserve"> (accessed 27 November 2025).</w:t>
      </w:r>
    </w:p>
    <w:p w14:paraId="09B92CE8" w14:textId="77777777" w:rsidR="00EB267E" w:rsidRPr="00792B36" w:rsidRDefault="00EB267E" w:rsidP="00EB267E">
      <w:pPr>
        <w:pBdr>
          <w:top w:val="nil"/>
          <w:left w:val="nil"/>
          <w:bottom w:val="nil"/>
          <w:right w:val="nil"/>
          <w:between w:val="nil"/>
        </w:pBdr>
        <w:spacing w:line="360" w:lineRule="auto"/>
        <w:ind w:left="105"/>
        <w:rPr>
          <w:sz w:val="24"/>
          <w:szCs w:val="24"/>
        </w:rPr>
      </w:pPr>
      <w:r w:rsidRPr="00792B36">
        <w:rPr>
          <w:rFonts w:eastAsia="Google Sans Text"/>
          <w:b/>
          <w:bCs/>
          <w:color w:val="1F1F1F"/>
          <w:sz w:val="24"/>
          <w:szCs w:val="24"/>
        </w:rPr>
        <w:t>Liu, J., Daily, G.C., Ehrlich, P.R., Luck, G.W.</w:t>
      </w:r>
      <w:r w:rsidRPr="00792B36">
        <w:rPr>
          <w:rFonts w:eastAsia="Google Sans Text"/>
          <w:color w:val="1F1F1F"/>
          <w:sz w:val="24"/>
          <w:szCs w:val="24"/>
        </w:rPr>
        <w:t xml:space="preserve"> (2003). Effects of household dynamics on resource consumption and biodiversity. </w:t>
      </w:r>
      <w:r w:rsidRPr="00792B36">
        <w:rPr>
          <w:rFonts w:eastAsia="Google Sans Text"/>
          <w:i/>
          <w:iCs/>
          <w:color w:val="1F1F1F"/>
          <w:sz w:val="24"/>
          <w:szCs w:val="24"/>
        </w:rPr>
        <w:t>Nature</w:t>
      </w:r>
      <w:r w:rsidRPr="00792B36">
        <w:rPr>
          <w:rFonts w:eastAsia="Google Sans Text"/>
          <w:color w:val="1F1F1F"/>
          <w:sz w:val="24"/>
          <w:szCs w:val="24"/>
        </w:rPr>
        <w:t xml:space="preserve">, 421(6922), 530-533. </w:t>
      </w:r>
      <w:r w:rsidRPr="00792B36">
        <w:rPr>
          <w:sz w:val="24"/>
          <w:szCs w:val="24"/>
        </w:rPr>
        <w:fldChar w:fldCharType="begin"/>
      </w:r>
      <w:r w:rsidRPr="00792B36">
        <w:rPr>
          <w:sz w:val="24"/>
          <w:szCs w:val="24"/>
        </w:rPr>
        <w:instrText>HYPERLINK "https://www.nature.com/articles/nature01359" \h</w:instrText>
      </w:r>
      <w:r w:rsidRPr="00792B36">
        <w:rPr>
          <w:sz w:val="24"/>
          <w:szCs w:val="24"/>
        </w:rPr>
      </w:r>
      <w:r w:rsidRPr="00792B36">
        <w:rPr>
          <w:sz w:val="24"/>
          <w:szCs w:val="24"/>
        </w:rPr>
        <w:fldChar w:fldCharType="separate"/>
      </w:r>
      <w:r w:rsidRPr="00792B36">
        <w:rPr>
          <w:rFonts w:eastAsia="Google Sans Text"/>
          <w:color w:val="0B57D0"/>
          <w:sz w:val="24"/>
          <w:szCs w:val="24"/>
          <w:u w:val="single"/>
        </w:rPr>
        <w:t>https://www.nature.com/articles/nature01359</w:t>
      </w:r>
      <w:r w:rsidRPr="00792B36">
        <w:rPr>
          <w:sz w:val="24"/>
          <w:szCs w:val="24"/>
        </w:rPr>
        <w:fldChar w:fldCharType="end"/>
      </w:r>
      <w:r w:rsidRPr="00792B36">
        <w:rPr>
          <w:rFonts w:eastAsia="Google Sans Text"/>
          <w:color w:val="1F1F1F"/>
          <w:sz w:val="24"/>
          <w:szCs w:val="24"/>
        </w:rPr>
        <w:t xml:space="preserve"> (accessed 19 April 2025).</w:t>
      </w:r>
    </w:p>
    <w:p w14:paraId="1FFC8298" w14:textId="77777777" w:rsidR="00EB267E" w:rsidRPr="00792B36" w:rsidRDefault="00EB267E" w:rsidP="00EB267E">
      <w:pPr>
        <w:pBdr>
          <w:top w:val="nil"/>
          <w:left w:val="nil"/>
          <w:bottom w:val="nil"/>
          <w:right w:val="nil"/>
          <w:between w:val="nil"/>
        </w:pBdr>
        <w:spacing w:line="360" w:lineRule="auto"/>
        <w:ind w:left="105"/>
        <w:rPr>
          <w:sz w:val="24"/>
          <w:szCs w:val="24"/>
        </w:rPr>
      </w:pPr>
      <w:r w:rsidRPr="00792B36">
        <w:rPr>
          <w:rFonts w:eastAsia="Google Sans Text"/>
          <w:b/>
          <w:bCs/>
          <w:color w:val="1F1F1F"/>
          <w:sz w:val="24"/>
          <w:szCs w:val="24"/>
        </w:rPr>
        <w:t>Marine and Coastal Resources Conservation Center 2.</w:t>
      </w:r>
      <w:r w:rsidRPr="00792B36">
        <w:rPr>
          <w:rFonts w:eastAsia="Google Sans Text"/>
          <w:color w:val="1F1F1F"/>
          <w:sz w:val="24"/>
          <w:szCs w:val="24"/>
        </w:rPr>
        <w:t xml:space="preserve"> (2015). </w:t>
      </w:r>
      <w:r w:rsidRPr="00792B36">
        <w:rPr>
          <w:rFonts w:eastAsia="Google Sans Text"/>
          <w:i/>
          <w:iCs/>
          <w:color w:val="1F1F1F"/>
          <w:sz w:val="24"/>
          <w:szCs w:val="24"/>
        </w:rPr>
        <w:t>Manual of marine and coastal resources of Don Hoi Lot</w:t>
      </w:r>
      <w:r w:rsidRPr="00792B36">
        <w:rPr>
          <w:rFonts w:eastAsia="Google Sans Text"/>
          <w:color w:val="1F1F1F"/>
          <w:sz w:val="24"/>
          <w:szCs w:val="24"/>
        </w:rPr>
        <w:t>.</w:t>
      </w:r>
    </w:p>
    <w:p w14:paraId="352AD18B" w14:textId="77777777" w:rsidR="00EB267E" w:rsidRPr="00792B36" w:rsidRDefault="00EB267E" w:rsidP="00EB267E">
      <w:pPr>
        <w:pBdr>
          <w:top w:val="nil"/>
          <w:left w:val="nil"/>
          <w:bottom w:val="nil"/>
          <w:right w:val="nil"/>
          <w:between w:val="nil"/>
        </w:pBdr>
        <w:spacing w:line="360" w:lineRule="auto"/>
        <w:ind w:left="105"/>
        <w:rPr>
          <w:sz w:val="24"/>
          <w:szCs w:val="24"/>
        </w:rPr>
      </w:pPr>
      <w:r w:rsidRPr="00792B36">
        <w:rPr>
          <w:rFonts w:eastAsia="Google Sans Text"/>
          <w:b/>
          <w:bCs/>
          <w:color w:val="1F1F1F"/>
          <w:sz w:val="24"/>
          <w:szCs w:val="24"/>
        </w:rPr>
        <w:t>Ministry of Industry, Thailand.</w:t>
      </w:r>
      <w:r w:rsidRPr="00792B36">
        <w:rPr>
          <w:rFonts w:eastAsia="Google Sans Text"/>
          <w:color w:val="1F1F1F"/>
          <w:sz w:val="24"/>
          <w:szCs w:val="24"/>
        </w:rPr>
        <w:t xml:space="preserve"> (2025). </w:t>
      </w:r>
      <w:r w:rsidRPr="00792B36">
        <w:rPr>
          <w:rFonts w:eastAsia="Google Sans Text"/>
          <w:i/>
          <w:iCs/>
          <w:color w:val="1F1F1F"/>
          <w:sz w:val="24"/>
          <w:szCs w:val="24"/>
        </w:rPr>
        <w:t>Sustainable Packaging Materials Management Bill</w:t>
      </w:r>
      <w:r w:rsidRPr="00792B36">
        <w:rPr>
          <w:rFonts w:eastAsia="Google Sans Text"/>
          <w:color w:val="1F1F1F"/>
          <w:sz w:val="24"/>
          <w:szCs w:val="24"/>
        </w:rPr>
        <w:t>.</w:t>
      </w:r>
    </w:p>
    <w:p w14:paraId="46B5908C" w14:textId="77777777" w:rsidR="00EB267E" w:rsidRPr="00792B36" w:rsidRDefault="00EB267E" w:rsidP="00EB267E">
      <w:pPr>
        <w:pBdr>
          <w:top w:val="nil"/>
          <w:left w:val="nil"/>
          <w:bottom w:val="nil"/>
          <w:right w:val="nil"/>
          <w:between w:val="nil"/>
        </w:pBdr>
        <w:spacing w:line="360" w:lineRule="auto"/>
        <w:ind w:left="105"/>
        <w:rPr>
          <w:sz w:val="24"/>
          <w:szCs w:val="24"/>
        </w:rPr>
      </w:pPr>
      <w:r w:rsidRPr="00792B36">
        <w:rPr>
          <w:rFonts w:eastAsia="Google Sans Text"/>
          <w:b/>
          <w:bCs/>
          <w:color w:val="1F1F1F"/>
          <w:sz w:val="24"/>
          <w:szCs w:val="24"/>
        </w:rPr>
        <w:t>Ministry of Public Health.</w:t>
      </w:r>
      <w:r w:rsidRPr="00792B36">
        <w:rPr>
          <w:rFonts w:eastAsia="Google Sans Text"/>
          <w:color w:val="1F1F1F"/>
          <w:sz w:val="24"/>
          <w:szCs w:val="24"/>
        </w:rPr>
        <w:t xml:space="preserve"> (2022). </w:t>
      </w:r>
      <w:r w:rsidRPr="00792B36">
        <w:rPr>
          <w:rFonts w:eastAsia="Google Sans Text"/>
          <w:i/>
          <w:iCs/>
          <w:color w:val="1F1F1F"/>
          <w:sz w:val="24"/>
          <w:szCs w:val="24"/>
        </w:rPr>
        <w:t>Managing medical waste in Thailand: Capacity and disposal methods</w:t>
      </w:r>
      <w:r w:rsidRPr="00792B36">
        <w:rPr>
          <w:rFonts w:eastAsia="Google Sans Text"/>
          <w:color w:val="1F1F1F"/>
          <w:sz w:val="24"/>
          <w:szCs w:val="24"/>
        </w:rPr>
        <w:t xml:space="preserve">. </w:t>
      </w:r>
      <w:r w:rsidRPr="00792B36">
        <w:rPr>
          <w:sz w:val="24"/>
          <w:szCs w:val="24"/>
        </w:rPr>
        <w:fldChar w:fldCharType="begin"/>
      </w:r>
      <w:r w:rsidRPr="00792B36">
        <w:rPr>
          <w:sz w:val="24"/>
          <w:szCs w:val="24"/>
        </w:rPr>
        <w:instrText>HYPERLINK "https://thailand.un.org/en/174022-managing-medical-waste-measures-mitigate-impact-climate-change-napapan-shows-way" \h</w:instrText>
      </w:r>
      <w:r w:rsidRPr="00792B36">
        <w:rPr>
          <w:sz w:val="24"/>
          <w:szCs w:val="24"/>
        </w:rPr>
      </w:r>
      <w:r w:rsidRPr="00792B36">
        <w:rPr>
          <w:sz w:val="24"/>
          <w:szCs w:val="24"/>
        </w:rPr>
        <w:fldChar w:fldCharType="separate"/>
      </w:r>
      <w:r w:rsidRPr="00792B36">
        <w:rPr>
          <w:rFonts w:eastAsia="Google Sans Text"/>
          <w:color w:val="0B57D0"/>
          <w:sz w:val="24"/>
          <w:szCs w:val="24"/>
          <w:u w:val="single"/>
        </w:rPr>
        <w:t>https://thailand.un.org/en/174022-managing-medical-waste-measures-mitigate-impact-climate-change-napapan-shows-way</w:t>
      </w:r>
      <w:r w:rsidRPr="00792B36">
        <w:rPr>
          <w:sz w:val="24"/>
          <w:szCs w:val="24"/>
        </w:rPr>
        <w:fldChar w:fldCharType="end"/>
      </w:r>
    </w:p>
    <w:p w14:paraId="3E77168A" w14:textId="77777777" w:rsidR="00EB267E" w:rsidRPr="00792B36" w:rsidRDefault="00EB267E" w:rsidP="00EB267E">
      <w:pPr>
        <w:pBdr>
          <w:top w:val="nil"/>
          <w:left w:val="nil"/>
          <w:bottom w:val="nil"/>
          <w:right w:val="nil"/>
          <w:between w:val="nil"/>
        </w:pBdr>
        <w:spacing w:line="360" w:lineRule="auto"/>
        <w:ind w:left="105"/>
        <w:rPr>
          <w:sz w:val="24"/>
          <w:szCs w:val="24"/>
        </w:rPr>
      </w:pPr>
      <w:r w:rsidRPr="00792B36">
        <w:rPr>
          <w:rFonts w:eastAsia="Google Sans Text"/>
          <w:b/>
          <w:bCs/>
          <w:color w:val="1F1F1F"/>
          <w:sz w:val="24"/>
          <w:szCs w:val="24"/>
        </w:rPr>
        <w:t>Ministry of Transport.</w:t>
      </w:r>
      <w:r w:rsidRPr="00792B36">
        <w:rPr>
          <w:rFonts w:eastAsia="Google Sans Text"/>
          <w:color w:val="1F1F1F"/>
          <w:sz w:val="24"/>
          <w:szCs w:val="24"/>
        </w:rPr>
        <w:t xml:space="preserve"> (2002). </w:t>
      </w:r>
      <w:r w:rsidRPr="00792B36">
        <w:rPr>
          <w:rFonts w:eastAsia="Google Sans Text"/>
          <w:i/>
          <w:iCs/>
          <w:color w:val="1F1F1F"/>
          <w:sz w:val="24"/>
          <w:szCs w:val="24"/>
        </w:rPr>
        <w:t>National Oil Spill Contingency Plan, B.E. 2545 (2002)</w:t>
      </w:r>
      <w:r w:rsidRPr="00792B36">
        <w:rPr>
          <w:rFonts w:eastAsia="Google Sans Text"/>
          <w:color w:val="1F1F1F"/>
          <w:sz w:val="24"/>
          <w:szCs w:val="24"/>
        </w:rPr>
        <w:t xml:space="preserve">. Retrieved from </w:t>
      </w:r>
      <w:r w:rsidRPr="00792B36">
        <w:rPr>
          <w:sz w:val="24"/>
          <w:szCs w:val="24"/>
        </w:rPr>
        <w:fldChar w:fldCharType="begin"/>
      </w:r>
      <w:r w:rsidRPr="00792B36">
        <w:rPr>
          <w:sz w:val="24"/>
          <w:szCs w:val="24"/>
        </w:rPr>
        <w:instrText>HYPERLINK "https://thai-mecc.go.th/thaimeccsite/datacenter/file/get/224050" \h</w:instrText>
      </w:r>
      <w:r w:rsidRPr="00792B36">
        <w:rPr>
          <w:sz w:val="24"/>
          <w:szCs w:val="24"/>
        </w:rPr>
      </w:r>
      <w:r w:rsidRPr="00792B36">
        <w:rPr>
          <w:sz w:val="24"/>
          <w:szCs w:val="24"/>
        </w:rPr>
        <w:fldChar w:fldCharType="separate"/>
      </w:r>
      <w:r w:rsidRPr="00792B36">
        <w:rPr>
          <w:rFonts w:eastAsia="Google Sans Text"/>
          <w:color w:val="0B57D0"/>
          <w:sz w:val="24"/>
          <w:szCs w:val="24"/>
          <w:u w:val="single"/>
        </w:rPr>
        <w:t>https://thai-mecc.go.th/thaimeccsite/datacenter/file/get/224050</w:t>
      </w:r>
      <w:r w:rsidRPr="00792B36">
        <w:rPr>
          <w:sz w:val="24"/>
          <w:szCs w:val="24"/>
        </w:rPr>
        <w:fldChar w:fldCharType="end"/>
      </w:r>
    </w:p>
    <w:p w14:paraId="79A87123" w14:textId="77777777" w:rsidR="00EB267E" w:rsidRPr="00792B36" w:rsidRDefault="00EB267E" w:rsidP="00EB267E">
      <w:pPr>
        <w:pBdr>
          <w:top w:val="nil"/>
          <w:left w:val="nil"/>
          <w:bottom w:val="nil"/>
          <w:right w:val="nil"/>
          <w:between w:val="nil"/>
        </w:pBdr>
        <w:spacing w:line="360" w:lineRule="auto"/>
        <w:ind w:left="105"/>
        <w:rPr>
          <w:sz w:val="24"/>
          <w:szCs w:val="24"/>
        </w:rPr>
      </w:pPr>
      <w:r w:rsidRPr="00792B36">
        <w:rPr>
          <w:rFonts w:eastAsia="Google Sans Text"/>
          <w:b/>
          <w:bCs/>
          <w:color w:val="1F1F1F"/>
          <w:sz w:val="24"/>
          <w:szCs w:val="24"/>
        </w:rPr>
        <w:t>National Economic and Social Development Council (NESDC).</w:t>
      </w:r>
      <w:r w:rsidRPr="00792B36">
        <w:rPr>
          <w:rFonts w:eastAsia="Google Sans Text"/>
          <w:color w:val="1F1F1F"/>
          <w:sz w:val="24"/>
          <w:szCs w:val="24"/>
        </w:rPr>
        <w:t xml:space="preserve"> (2019). </w:t>
      </w:r>
      <w:r w:rsidRPr="00792B36">
        <w:rPr>
          <w:rFonts w:eastAsia="Google Sans Text"/>
          <w:i/>
          <w:iCs/>
          <w:color w:val="1F1F1F"/>
          <w:sz w:val="24"/>
          <w:szCs w:val="24"/>
        </w:rPr>
        <w:t>Study report on assumptions for population projections of Thailand, 2010–2040 (Revised edition)</w:t>
      </w:r>
      <w:r w:rsidRPr="00792B36">
        <w:rPr>
          <w:rFonts w:eastAsia="Google Sans Text"/>
          <w:color w:val="1F1F1F"/>
          <w:sz w:val="24"/>
          <w:szCs w:val="24"/>
        </w:rPr>
        <w:t>. Bangkok: Office of the National Economic and Social Development Council. (in Thai).</w:t>
      </w:r>
    </w:p>
    <w:p w14:paraId="4E095715" w14:textId="77777777" w:rsidR="00EB267E" w:rsidRPr="00792B36" w:rsidRDefault="00EB267E" w:rsidP="00EB267E">
      <w:pPr>
        <w:pBdr>
          <w:top w:val="nil"/>
          <w:left w:val="nil"/>
          <w:bottom w:val="nil"/>
          <w:right w:val="nil"/>
          <w:between w:val="nil"/>
        </w:pBdr>
        <w:spacing w:line="360" w:lineRule="auto"/>
        <w:ind w:left="105"/>
        <w:rPr>
          <w:sz w:val="24"/>
          <w:szCs w:val="24"/>
        </w:rPr>
      </w:pPr>
      <w:r w:rsidRPr="00792B36">
        <w:rPr>
          <w:rFonts w:eastAsia="Google Sans Text"/>
          <w:b/>
          <w:bCs/>
          <w:color w:val="1F1F1F"/>
          <w:sz w:val="24"/>
          <w:szCs w:val="24"/>
        </w:rPr>
        <w:t>National News Bureau.</w:t>
      </w:r>
      <w:r w:rsidRPr="00792B36">
        <w:rPr>
          <w:rFonts w:eastAsia="Google Sans Text"/>
          <w:color w:val="1F1F1F"/>
          <w:sz w:val="24"/>
          <w:szCs w:val="24"/>
        </w:rPr>
        <w:t xml:space="preserve"> (2023). </w:t>
      </w:r>
      <w:r w:rsidRPr="00792B36">
        <w:rPr>
          <w:rFonts w:eastAsia="Google Sans Text"/>
          <w:i/>
          <w:iCs/>
          <w:color w:val="1F1F1F"/>
          <w:sz w:val="24"/>
          <w:szCs w:val="24"/>
        </w:rPr>
        <w:t>Thailand announces ban on plastic waste imports by 2025</w:t>
      </w:r>
      <w:r w:rsidRPr="00792B36">
        <w:rPr>
          <w:rFonts w:eastAsia="Google Sans Text"/>
          <w:color w:val="1F1F1F"/>
          <w:sz w:val="24"/>
          <w:szCs w:val="24"/>
        </w:rPr>
        <w:t>.</w:t>
      </w:r>
    </w:p>
    <w:p w14:paraId="575E94C6" w14:textId="77777777" w:rsidR="00EB267E" w:rsidRPr="00792B36" w:rsidRDefault="00EB267E" w:rsidP="00EB267E">
      <w:pPr>
        <w:pBdr>
          <w:top w:val="nil"/>
          <w:left w:val="nil"/>
          <w:bottom w:val="nil"/>
          <w:right w:val="nil"/>
          <w:between w:val="nil"/>
        </w:pBdr>
        <w:spacing w:line="360" w:lineRule="auto"/>
        <w:ind w:left="105"/>
        <w:rPr>
          <w:sz w:val="24"/>
          <w:szCs w:val="24"/>
        </w:rPr>
      </w:pPr>
      <w:r w:rsidRPr="00792B36">
        <w:rPr>
          <w:rFonts w:eastAsia="Google Sans Text"/>
          <w:b/>
          <w:bCs/>
          <w:color w:val="1F1F1F"/>
          <w:sz w:val="24"/>
          <w:szCs w:val="24"/>
        </w:rPr>
        <w:t>Natthasuk, U.</w:t>
      </w:r>
      <w:r w:rsidRPr="00792B36">
        <w:rPr>
          <w:rFonts w:eastAsia="Google Sans Text"/>
          <w:color w:val="1F1F1F"/>
          <w:sz w:val="24"/>
          <w:szCs w:val="24"/>
        </w:rPr>
        <w:t xml:space="preserve"> (2014). Survey of mangrove flora and application of satellite remote sensing data for mangrove mapping at the mouth of the Welu River, Khlung District, </w:t>
      </w:r>
      <w:r w:rsidRPr="00792B36">
        <w:rPr>
          <w:rFonts w:eastAsia="Google Sans Text"/>
          <w:color w:val="1F1F1F"/>
          <w:sz w:val="24"/>
          <w:szCs w:val="24"/>
        </w:rPr>
        <w:lastRenderedPageBreak/>
        <w:t xml:space="preserve">Chanthaburi Province. </w:t>
      </w:r>
      <w:r w:rsidRPr="00792B36">
        <w:rPr>
          <w:rFonts w:eastAsia="Google Sans Text"/>
          <w:i/>
          <w:iCs/>
          <w:color w:val="1F1F1F"/>
          <w:sz w:val="24"/>
          <w:szCs w:val="24"/>
        </w:rPr>
        <w:t>Burapha Science Journal</w:t>
      </w:r>
      <w:r w:rsidRPr="00792B36">
        <w:rPr>
          <w:rFonts w:eastAsia="Google Sans Text"/>
          <w:color w:val="1F1F1F"/>
          <w:sz w:val="24"/>
          <w:szCs w:val="24"/>
        </w:rPr>
        <w:t>, 19(1), 24–36.</w:t>
      </w:r>
    </w:p>
    <w:p w14:paraId="627E4918" w14:textId="77777777" w:rsidR="00EB267E" w:rsidRPr="00792B36" w:rsidRDefault="00EB267E" w:rsidP="00EB267E">
      <w:pPr>
        <w:pBdr>
          <w:top w:val="nil"/>
          <w:left w:val="nil"/>
          <w:bottom w:val="nil"/>
          <w:right w:val="nil"/>
          <w:between w:val="nil"/>
        </w:pBdr>
        <w:spacing w:line="360" w:lineRule="auto"/>
        <w:ind w:left="105"/>
        <w:rPr>
          <w:sz w:val="24"/>
          <w:szCs w:val="24"/>
        </w:rPr>
      </w:pPr>
      <w:r w:rsidRPr="00792B36">
        <w:rPr>
          <w:rFonts w:eastAsia="Google Sans Text"/>
          <w:b/>
          <w:bCs/>
          <w:color w:val="1F1F1F"/>
          <w:sz w:val="24"/>
          <w:szCs w:val="24"/>
        </w:rPr>
        <w:t>Niampradit, S., Kiangkoo, N., Mingkhwan, R., &amp; others.</w:t>
      </w:r>
      <w:r w:rsidRPr="00792B36">
        <w:rPr>
          <w:rFonts w:eastAsia="Google Sans Text"/>
          <w:color w:val="1F1F1F"/>
          <w:sz w:val="24"/>
          <w:szCs w:val="24"/>
        </w:rPr>
        <w:t xml:space="preserve"> (2024). Occurrence, distribution, and ecological risk assessment of heavy metals in Chao Phraya River, Thailand. </w:t>
      </w:r>
      <w:r w:rsidRPr="00792B36">
        <w:rPr>
          <w:rFonts w:eastAsia="Google Sans Text"/>
          <w:i/>
          <w:iCs/>
          <w:color w:val="1F1F1F"/>
          <w:sz w:val="24"/>
          <w:szCs w:val="24"/>
        </w:rPr>
        <w:t>Scientific Reports</w:t>
      </w:r>
      <w:r w:rsidRPr="00792B36">
        <w:rPr>
          <w:rFonts w:eastAsia="Google Sans Text"/>
          <w:color w:val="1F1F1F"/>
          <w:sz w:val="24"/>
          <w:szCs w:val="24"/>
        </w:rPr>
        <w:t xml:space="preserve">, 14, 8366. </w:t>
      </w:r>
      <w:r w:rsidRPr="00792B36">
        <w:rPr>
          <w:sz w:val="24"/>
          <w:szCs w:val="24"/>
        </w:rPr>
        <w:fldChar w:fldCharType="begin"/>
      </w:r>
      <w:r w:rsidRPr="00792B36">
        <w:rPr>
          <w:sz w:val="24"/>
          <w:szCs w:val="24"/>
        </w:rPr>
        <w:instrText>HYPERLINK "https://doi.org/10.1038/s41598-024-59133-0" \h</w:instrText>
      </w:r>
      <w:r w:rsidRPr="00792B36">
        <w:rPr>
          <w:sz w:val="24"/>
          <w:szCs w:val="24"/>
        </w:rPr>
      </w:r>
      <w:r w:rsidRPr="00792B36">
        <w:rPr>
          <w:sz w:val="24"/>
          <w:szCs w:val="24"/>
        </w:rPr>
        <w:fldChar w:fldCharType="separate"/>
      </w:r>
      <w:r w:rsidRPr="00792B36">
        <w:rPr>
          <w:rFonts w:eastAsia="Google Sans Text"/>
          <w:color w:val="0B57D0"/>
          <w:sz w:val="24"/>
          <w:szCs w:val="24"/>
          <w:u w:val="single"/>
        </w:rPr>
        <w:t>https://doi.org/10.1038/s41598-024-59133-0</w:t>
      </w:r>
      <w:r w:rsidRPr="00792B36">
        <w:rPr>
          <w:sz w:val="24"/>
          <w:szCs w:val="24"/>
        </w:rPr>
        <w:fldChar w:fldCharType="end"/>
      </w:r>
    </w:p>
    <w:p w14:paraId="21C6FD68" w14:textId="77777777" w:rsidR="00EB267E" w:rsidRPr="00792B36" w:rsidRDefault="00EB267E" w:rsidP="00EB267E">
      <w:pPr>
        <w:pBdr>
          <w:top w:val="nil"/>
          <w:left w:val="nil"/>
          <w:bottom w:val="nil"/>
          <w:right w:val="nil"/>
          <w:between w:val="nil"/>
        </w:pBdr>
        <w:spacing w:line="360" w:lineRule="auto"/>
        <w:ind w:left="105"/>
        <w:rPr>
          <w:sz w:val="24"/>
          <w:szCs w:val="24"/>
        </w:rPr>
      </w:pPr>
      <w:r w:rsidRPr="00792B36">
        <w:rPr>
          <w:rFonts w:eastAsia="Google Sans Text"/>
          <w:b/>
          <w:bCs/>
          <w:color w:val="1F1F1F"/>
          <w:sz w:val="24"/>
          <w:szCs w:val="24"/>
        </w:rPr>
        <w:t>OECD Data Explorer.</w:t>
      </w:r>
      <w:r w:rsidRPr="00792B36">
        <w:rPr>
          <w:rFonts w:eastAsia="Google Sans Text"/>
          <w:color w:val="1F1F1F"/>
          <w:sz w:val="24"/>
          <w:szCs w:val="24"/>
        </w:rPr>
        <w:t xml:space="preserve"> (2025). </w:t>
      </w:r>
      <w:r w:rsidRPr="00792B36">
        <w:rPr>
          <w:rFonts w:eastAsia="Google Sans Text"/>
          <w:i/>
          <w:iCs/>
          <w:color w:val="1F1F1F"/>
          <w:sz w:val="24"/>
          <w:szCs w:val="24"/>
        </w:rPr>
        <w:t>Land cover and land change</w:t>
      </w:r>
      <w:r w:rsidRPr="00792B36">
        <w:rPr>
          <w:rFonts w:eastAsia="Google Sans Text"/>
          <w:color w:val="1F1F1F"/>
          <w:sz w:val="24"/>
          <w:szCs w:val="24"/>
        </w:rPr>
        <w:t xml:space="preserve">. </w:t>
      </w:r>
      <w:r w:rsidRPr="00792B36">
        <w:rPr>
          <w:sz w:val="24"/>
          <w:szCs w:val="24"/>
        </w:rPr>
        <w:fldChar w:fldCharType="begin"/>
      </w:r>
      <w:r w:rsidRPr="00792B36">
        <w:rPr>
          <w:sz w:val="24"/>
          <w:szCs w:val="24"/>
        </w:rPr>
        <w:instrText>HYPERLINK "https://data-explorer.oecd.org/" \h</w:instrText>
      </w:r>
      <w:r w:rsidRPr="00792B36">
        <w:rPr>
          <w:sz w:val="24"/>
          <w:szCs w:val="24"/>
        </w:rPr>
      </w:r>
      <w:r w:rsidRPr="00792B36">
        <w:rPr>
          <w:sz w:val="24"/>
          <w:szCs w:val="24"/>
        </w:rPr>
        <w:fldChar w:fldCharType="separate"/>
      </w:r>
      <w:r w:rsidRPr="00792B36">
        <w:rPr>
          <w:rFonts w:eastAsia="Google Sans Text"/>
          <w:color w:val="0B57D0"/>
          <w:sz w:val="24"/>
          <w:szCs w:val="24"/>
          <w:u w:val="single"/>
        </w:rPr>
        <w:t>https://data-explorer.oecd.org/</w:t>
      </w:r>
      <w:r w:rsidRPr="00792B36">
        <w:rPr>
          <w:sz w:val="24"/>
          <w:szCs w:val="24"/>
        </w:rPr>
        <w:fldChar w:fldCharType="end"/>
      </w:r>
      <w:r w:rsidRPr="00792B36">
        <w:rPr>
          <w:rFonts w:eastAsia="Google Sans Text"/>
          <w:color w:val="1F1F1F"/>
          <w:sz w:val="24"/>
          <w:szCs w:val="24"/>
        </w:rPr>
        <w:t xml:space="preserve"> (accessed 25 May 2025).</w:t>
      </w:r>
    </w:p>
    <w:p w14:paraId="69F43088" w14:textId="77777777" w:rsidR="00EB267E" w:rsidRPr="00792B36" w:rsidRDefault="00EB267E" w:rsidP="00EB267E">
      <w:pPr>
        <w:pBdr>
          <w:top w:val="nil"/>
          <w:left w:val="nil"/>
          <w:bottom w:val="nil"/>
          <w:right w:val="nil"/>
          <w:between w:val="nil"/>
        </w:pBdr>
        <w:spacing w:line="360" w:lineRule="auto"/>
        <w:ind w:left="105"/>
        <w:rPr>
          <w:sz w:val="24"/>
          <w:szCs w:val="24"/>
        </w:rPr>
      </w:pPr>
      <w:r w:rsidRPr="00792B36">
        <w:rPr>
          <w:rFonts w:eastAsia="Google Sans Text"/>
          <w:b/>
          <w:bCs/>
          <w:color w:val="1F1F1F"/>
          <w:sz w:val="24"/>
          <w:szCs w:val="24"/>
        </w:rPr>
        <w:t>Office of Natural Resources and Environmental Policy and Planning (ONEP).</w:t>
      </w:r>
      <w:r w:rsidRPr="00792B36">
        <w:rPr>
          <w:rFonts w:eastAsia="Google Sans Text"/>
          <w:color w:val="1F1F1F"/>
          <w:sz w:val="24"/>
          <w:szCs w:val="24"/>
        </w:rPr>
        <w:t xml:space="preserve"> (2023). </w:t>
      </w:r>
      <w:r w:rsidRPr="00792B36">
        <w:rPr>
          <w:rFonts w:eastAsia="Google Sans Text"/>
          <w:i/>
          <w:iCs/>
          <w:color w:val="1F1F1F"/>
          <w:sz w:val="24"/>
          <w:szCs w:val="24"/>
        </w:rPr>
        <w:t>Thailand Environmental Quality Management Plan 2023 - 2027</w:t>
      </w:r>
      <w:r w:rsidRPr="00792B36">
        <w:rPr>
          <w:rFonts w:eastAsia="Google Sans Text"/>
          <w:color w:val="1F1F1F"/>
          <w:sz w:val="24"/>
          <w:szCs w:val="24"/>
        </w:rPr>
        <w:t>. Ministry of Natural Resources and Environment.</w:t>
      </w:r>
    </w:p>
    <w:p w14:paraId="57F6C29F" w14:textId="77777777" w:rsidR="00EB267E" w:rsidRPr="00792B36" w:rsidRDefault="00EB267E" w:rsidP="00EB267E">
      <w:pPr>
        <w:pBdr>
          <w:top w:val="nil"/>
          <w:left w:val="nil"/>
          <w:bottom w:val="nil"/>
          <w:right w:val="nil"/>
          <w:between w:val="nil"/>
        </w:pBdr>
        <w:spacing w:line="360" w:lineRule="auto"/>
        <w:ind w:left="105"/>
        <w:rPr>
          <w:sz w:val="24"/>
          <w:szCs w:val="24"/>
        </w:rPr>
      </w:pPr>
      <w:r w:rsidRPr="00792B36">
        <w:rPr>
          <w:rFonts w:eastAsia="Google Sans Text"/>
          <w:b/>
          <w:bCs/>
          <w:color w:val="1F1F1F"/>
          <w:sz w:val="24"/>
          <w:szCs w:val="24"/>
        </w:rPr>
        <w:t>Office of the National Economic and Social Development Council (NESDC).</w:t>
      </w:r>
      <w:r w:rsidRPr="00792B36">
        <w:rPr>
          <w:rFonts w:eastAsia="Google Sans Text"/>
          <w:color w:val="1F1F1F"/>
          <w:sz w:val="24"/>
          <w:szCs w:val="24"/>
        </w:rPr>
        <w:t xml:space="preserve"> (2018). </w:t>
      </w:r>
      <w:r w:rsidRPr="00792B36">
        <w:rPr>
          <w:rFonts w:eastAsia="Google Sans Text"/>
          <w:i/>
          <w:iCs/>
          <w:color w:val="1F1F1F"/>
          <w:sz w:val="24"/>
          <w:szCs w:val="24"/>
        </w:rPr>
        <w:t>National Strategy (2018 - 2037)</w:t>
      </w:r>
      <w:r w:rsidRPr="00792B36">
        <w:rPr>
          <w:rFonts w:eastAsia="Google Sans Text"/>
          <w:color w:val="1F1F1F"/>
          <w:sz w:val="24"/>
          <w:szCs w:val="24"/>
        </w:rPr>
        <w:t xml:space="preserve">. </w:t>
      </w:r>
      <w:r w:rsidRPr="00792B36">
        <w:rPr>
          <w:sz w:val="24"/>
          <w:szCs w:val="24"/>
        </w:rPr>
        <w:fldChar w:fldCharType="begin"/>
      </w:r>
      <w:r w:rsidRPr="00792B36">
        <w:rPr>
          <w:sz w:val="24"/>
          <w:szCs w:val="24"/>
        </w:rPr>
        <w:instrText>HYPERLINK "https://faolex.fao.org/docs/pdf/tha200834.pdf" \h</w:instrText>
      </w:r>
      <w:r w:rsidRPr="00792B36">
        <w:rPr>
          <w:sz w:val="24"/>
          <w:szCs w:val="24"/>
        </w:rPr>
      </w:r>
      <w:r w:rsidRPr="00792B36">
        <w:rPr>
          <w:sz w:val="24"/>
          <w:szCs w:val="24"/>
        </w:rPr>
        <w:fldChar w:fldCharType="separate"/>
      </w:r>
      <w:r w:rsidRPr="00792B36">
        <w:rPr>
          <w:rFonts w:eastAsia="Google Sans Text"/>
          <w:color w:val="0B57D0"/>
          <w:sz w:val="24"/>
          <w:szCs w:val="24"/>
          <w:u w:val="single"/>
        </w:rPr>
        <w:t>https://faolex.fao.org/docs/pdf/tha200834.pdf</w:t>
      </w:r>
      <w:r w:rsidRPr="00792B36">
        <w:rPr>
          <w:sz w:val="24"/>
          <w:szCs w:val="24"/>
        </w:rPr>
        <w:fldChar w:fldCharType="end"/>
      </w:r>
      <w:r w:rsidRPr="00792B36">
        <w:rPr>
          <w:rFonts w:eastAsia="Google Sans Text"/>
          <w:color w:val="1F1F1F"/>
          <w:sz w:val="24"/>
          <w:szCs w:val="24"/>
        </w:rPr>
        <w:t xml:space="preserve"> (accessed 5 November 2025).</w:t>
      </w:r>
    </w:p>
    <w:p w14:paraId="30953936" w14:textId="77777777" w:rsidR="00EB267E" w:rsidRPr="00792B36" w:rsidRDefault="00EB267E" w:rsidP="00EB267E">
      <w:pPr>
        <w:pBdr>
          <w:top w:val="nil"/>
          <w:left w:val="nil"/>
          <w:bottom w:val="nil"/>
          <w:right w:val="nil"/>
          <w:between w:val="nil"/>
        </w:pBdr>
        <w:spacing w:line="360" w:lineRule="auto"/>
        <w:ind w:left="105"/>
        <w:rPr>
          <w:sz w:val="24"/>
          <w:szCs w:val="24"/>
        </w:rPr>
      </w:pPr>
      <w:r w:rsidRPr="00792B36">
        <w:rPr>
          <w:rFonts w:eastAsia="Google Sans Text"/>
          <w:b/>
          <w:bCs/>
          <w:color w:val="1F1F1F"/>
          <w:sz w:val="24"/>
          <w:szCs w:val="24"/>
        </w:rPr>
        <w:t>Office of the National Economic and Social Development Council (NESDC).</w:t>
      </w:r>
      <w:r w:rsidRPr="00792B36">
        <w:rPr>
          <w:rFonts w:eastAsia="Google Sans Text"/>
          <w:color w:val="1F1F1F"/>
          <w:sz w:val="24"/>
          <w:szCs w:val="24"/>
        </w:rPr>
        <w:t xml:space="preserve"> (2022). </w:t>
      </w:r>
      <w:r w:rsidRPr="00792B36">
        <w:rPr>
          <w:rFonts w:eastAsia="Google Sans Text"/>
          <w:i/>
          <w:iCs/>
          <w:color w:val="1F1F1F"/>
          <w:sz w:val="24"/>
          <w:szCs w:val="24"/>
        </w:rPr>
        <w:t>The Thirteenth National Economic and Social Development Plan (2023-2027)</w:t>
      </w:r>
      <w:r w:rsidRPr="00792B36">
        <w:rPr>
          <w:rFonts w:eastAsia="Google Sans Text"/>
          <w:color w:val="1F1F1F"/>
          <w:sz w:val="24"/>
          <w:szCs w:val="24"/>
        </w:rPr>
        <w:t xml:space="preserve">. </w:t>
      </w:r>
      <w:r w:rsidRPr="00792B36">
        <w:rPr>
          <w:sz w:val="24"/>
          <w:szCs w:val="24"/>
        </w:rPr>
        <w:fldChar w:fldCharType="begin"/>
      </w:r>
      <w:r w:rsidRPr="00792B36">
        <w:rPr>
          <w:sz w:val="24"/>
          <w:szCs w:val="24"/>
        </w:rPr>
        <w:instrText>HYPERLINK "https://www.nesdc.go.th/download/document/Socio-Economic/13th_Plan_Eng.pdf" \h</w:instrText>
      </w:r>
      <w:r w:rsidRPr="00792B36">
        <w:rPr>
          <w:sz w:val="24"/>
          <w:szCs w:val="24"/>
        </w:rPr>
      </w:r>
      <w:r w:rsidRPr="00792B36">
        <w:rPr>
          <w:sz w:val="24"/>
          <w:szCs w:val="24"/>
        </w:rPr>
        <w:fldChar w:fldCharType="separate"/>
      </w:r>
      <w:r w:rsidRPr="00792B36">
        <w:rPr>
          <w:rFonts w:eastAsia="Google Sans Text"/>
          <w:color w:val="0B57D0"/>
          <w:sz w:val="24"/>
          <w:szCs w:val="24"/>
          <w:u w:val="single"/>
        </w:rPr>
        <w:t>https://www.nesdc.go.th/download/document/Socio-Economic/13th_Plan_Eng.pdf</w:t>
      </w:r>
      <w:r w:rsidRPr="00792B36">
        <w:rPr>
          <w:sz w:val="24"/>
          <w:szCs w:val="24"/>
        </w:rPr>
        <w:fldChar w:fldCharType="end"/>
      </w:r>
      <w:r w:rsidRPr="00792B36">
        <w:rPr>
          <w:rFonts w:eastAsia="Google Sans Text"/>
          <w:color w:val="1F1F1F"/>
          <w:sz w:val="24"/>
          <w:szCs w:val="24"/>
        </w:rPr>
        <w:t xml:space="preserve"> (accessed 5 November 2025).</w:t>
      </w:r>
    </w:p>
    <w:p w14:paraId="67C09239" w14:textId="77777777" w:rsidR="00EB267E" w:rsidRPr="00792B36" w:rsidRDefault="00EB267E" w:rsidP="00EB267E">
      <w:pPr>
        <w:pBdr>
          <w:top w:val="nil"/>
          <w:left w:val="nil"/>
          <w:bottom w:val="nil"/>
          <w:right w:val="nil"/>
          <w:between w:val="nil"/>
        </w:pBdr>
        <w:spacing w:line="360" w:lineRule="auto"/>
        <w:ind w:left="105"/>
        <w:rPr>
          <w:sz w:val="24"/>
          <w:szCs w:val="24"/>
        </w:rPr>
      </w:pPr>
      <w:r w:rsidRPr="00792B36">
        <w:rPr>
          <w:rFonts w:eastAsia="Google Sans Text"/>
          <w:b/>
          <w:bCs/>
          <w:color w:val="1F1F1F"/>
          <w:sz w:val="24"/>
          <w:szCs w:val="24"/>
        </w:rPr>
        <w:t>Office of the National Economic and Social Development Council (NESDC).</w:t>
      </w:r>
      <w:r w:rsidRPr="00792B36">
        <w:rPr>
          <w:rFonts w:eastAsia="Google Sans Text"/>
          <w:color w:val="1F1F1F"/>
          <w:sz w:val="24"/>
          <w:szCs w:val="24"/>
        </w:rPr>
        <w:t xml:space="preserve"> (2025). </w:t>
      </w:r>
      <w:r w:rsidRPr="00792B36">
        <w:rPr>
          <w:rFonts w:eastAsia="Google Sans Text"/>
          <w:i/>
          <w:iCs/>
          <w:color w:val="1F1F1F"/>
          <w:sz w:val="24"/>
          <w:szCs w:val="24"/>
        </w:rPr>
        <w:t>GDP</w:t>
      </w:r>
      <w:r w:rsidRPr="00792B36">
        <w:rPr>
          <w:rFonts w:eastAsia="Google Sans Text"/>
          <w:color w:val="1F1F1F"/>
          <w:sz w:val="24"/>
          <w:szCs w:val="24"/>
        </w:rPr>
        <w:t>. [suspicious link removed] (accessed 21 Apr 2025).</w:t>
      </w:r>
    </w:p>
    <w:p w14:paraId="61B68B18" w14:textId="77777777" w:rsidR="00EB267E" w:rsidRPr="00792B36" w:rsidRDefault="00EB267E" w:rsidP="00EB267E">
      <w:pPr>
        <w:pBdr>
          <w:top w:val="nil"/>
          <w:left w:val="nil"/>
          <w:bottom w:val="nil"/>
          <w:right w:val="nil"/>
          <w:between w:val="nil"/>
        </w:pBdr>
        <w:spacing w:line="360" w:lineRule="auto"/>
        <w:ind w:left="105"/>
        <w:rPr>
          <w:sz w:val="24"/>
          <w:szCs w:val="24"/>
        </w:rPr>
      </w:pPr>
      <w:r w:rsidRPr="00792B36">
        <w:rPr>
          <w:rFonts w:eastAsia="Google Sans Text"/>
          <w:b/>
          <w:bCs/>
          <w:color w:val="1F1F1F"/>
          <w:sz w:val="24"/>
          <w:szCs w:val="24"/>
        </w:rPr>
        <w:t>Office of the National Economic and Social Development Council (NESDC).</w:t>
      </w:r>
      <w:r w:rsidRPr="00792B36">
        <w:rPr>
          <w:rFonts w:eastAsia="Google Sans Text"/>
          <w:color w:val="1F1F1F"/>
          <w:sz w:val="24"/>
          <w:szCs w:val="24"/>
        </w:rPr>
        <w:t xml:space="preserve"> (2025). </w:t>
      </w:r>
      <w:r w:rsidRPr="00792B36">
        <w:rPr>
          <w:rFonts w:eastAsia="Google Sans Text"/>
          <w:i/>
          <w:iCs/>
          <w:color w:val="1F1F1F"/>
          <w:sz w:val="24"/>
          <w:szCs w:val="24"/>
        </w:rPr>
        <w:t>Household Socio-Economic Survey by the National Statistical Office</w:t>
      </w:r>
      <w:r w:rsidRPr="00792B36">
        <w:rPr>
          <w:rFonts w:eastAsia="Google Sans Text"/>
          <w:color w:val="1F1F1F"/>
          <w:sz w:val="24"/>
          <w:szCs w:val="24"/>
        </w:rPr>
        <w:t>; compiled by the Division of Social Data and Indicators Development, NESDC. [suspicious link removed] (accessed 22 April 2025).</w:t>
      </w:r>
    </w:p>
    <w:p w14:paraId="3302F142" w14:textId="77777777" w:rsidR="00EB267E" w:rsidRPr="00792B36" w:rsidRDefault="00EB267E" w:rsidP="00EB267E">
      <w:pPr>
        <w:pBdr>
          <w:top w:val="nil"/>
          <w:left w:val="nil"/>
          <w:bottom w:val="nil"/>
          <w:right w:val="nil"/>
          <w:between w:val="nil"/>
        </w:pBdr>
        <w:spacing w:line="360" w:lineRule="auto"/>
        <w:ind w:left="105"/>
        <w:rPr>
          <w:sz w:val="24"/>
          <w:szCs w:val="24"/>
        </w:rPr>
      </w:pPr>
      <w:r w:rsidRPr="00792B36">
        <w:rPr>
          <w:rFonts w:eastAsia="Google Sans Text"/>
          <w:b/>
          <w:bCs/>
          <w:color w:val="1F1F1F"/>
          <w:sz w:val="24"/>
          <w:szCs w:val="24"/>
        </w:rPr>
        <w:t>Office of the National Economic and Social Development Council (NESDC).</w:t>
      </w:r>
      <w:r w:rsidRPr="00792B36">
        <w:rPr>
          <w:rFonts w:eastAsia="Google Sans Text"/>
          <w:color w:val="1F1F1F"/>
          <w:sz w:val="24"/>
          <w:szCs w:val="24"/>
        </w:rPr>
        <w:t xml:space="preserve"> (2025). </w:t>
      </w:r>
      <w:r w:rsidRPr="00792B36">
        <w:rPr>
          <w:rFonts w:eastAsia="Google Sans Text"/>
          <w:i/>
          <w:iCs/>
          <w:color w:val="1F1F1F"/>
          <w:sz w:val="24"/>
          <w:szCs w:val="24"/>
        </w:rPr>
        <w:t>National accounts: Gross provincial product—Table of gross regional and provincial product 2023</w:t>
      </w:r>
      <w:r w:rsidRPr="00792B36">
        <w:rPr>
          <w:rFonts w:eastAsia="Google Sans Text"/>
          <w:color w:val="1F1F1F"/>
          <w:sz w:val="24"/>
          <w:szCs w:val="24"/>
        </w:rPr>
        <w:t xml:space="preserve"> [Data set]. </w:t>
      </w:r>
      <w:r w:rsidRPr="00792B36">
        <w:rPr>
          <w:sz w:val="24"/>
          <w:szCs w:val="24"/>
        </w:rPr>
        <w:fldChar w:fldCharType="begin"/>
      </w:r>
      <w:r w:rsidRPr="00792B36">
        <w:rPr>
          <w:sz w:val="24"/>
          <w:szCs w:val="24"/>
        </w:rPr>
        <w:instrText>HYPERLINK "https://www.nesdc.go.th/en/info/gross-regional-and-provincial-product-gpp/" \h</w:instrText>
      </w:r>
      <w:r w:rsidRPr="00792B36">
        <w:rPr>
          <w:sz w:val="24"/>
          <w:szCs w:val="24"/>
        </w:rPr>
      </w:r>
      <w:r w:rsidRPr="00792B36">
        <w:rPr>
          <w:sz w:val="24"/>
          <w:szCs w:val="24"/>
        </w:rPr>
        <w:fldChar w:fldCharType="separate"/>
      </w:r>
      <w:r w:rsidRPr="00792B36">
        <w:rPr>
          <w:rFonts w:eastAsia="Google Sans Text"/>
          <w:color w:val="0B57D0"/>
          <w:sz w:val="24"/>
          <w:szCs w:val="24"/>
          <w:u w:val="single"/>
        </w:rPr>
        <w:t>https://www.nesdc.go.th/en/info/gross-regional-and-provincial-product-gpp/</w:t>
      </w:r>
      <w:r w:rsidRPr="00792B36">
        <w:rPr>
          <w:sz w:val="24"/>
          <w:szCs w:val="24"/>
        </w:rPr>
        <w:fldChar w:fldCharType="end"/>
      </w:r>
      <w:r w:rsidRPr="00792B36">
        <w:rPr>
          <w:rFonts w:eastAsia="Google Sans Text"/>
          <w:color w:val="1F1F1F"/>
          <w:sz w:val="24"/>
          <w:szCs w:val="24"/>
        </w:rPr>
        <w:t xml:space="preserve"> (access May 19, 2025).</w:t>
      </w:r>
    </w:p>
    <w:p w14:paraId="12EE4D24" w14:textId="77777777" w:rsidR="00EB267E" w:rsidRPr="00792B36" w:rsidRDefault="00EB267E" w:rsidP="00EB267E">
      <w:pPr>
        <w:pBdr>
          <w:top w:val="nil"/>
          <w:left w:val="nil"/>
          <w:bottom w:val="nil"/>
          <w:right w:val="nil"/>
          <w:between w:val="nil"/>
        </w:pBdr>
        <w:spacing w:line="360" w:lineRule="auto"/>
        <w:ind w:left="105"/>
        <w:rPr>
          <w:sz w:val="24"/>
          <w:szCs w:val="24"/>
        </w:rPr>
      </w:pPr>
      <w:r w:rsidRPr="00792B36">
        <w:rPr>
          <w:rFonts w:eastAsia="Google Sans Text"/>
          <w:b/>
          <w:bCs/>
          <w:color w:val="1F1F1F"/>
          <w:sz w:val="24"/>
          <w:szCs w:val="24"/>
        </w:rPr>
        <w:t>Our World in Data.</w:t>
      </w:r>
      <w:r w:rsidRPr="00792B36">
        <w:rPr>
          <w:rFonts w:eastAsia="Google Sans Text"/>
          <w:color w:val="1F1F1F"/>
          <w:sz w:val="24"/>
          <w:szCs w:val="24"/>
        </w:rPr>
        <w:t xml:space="preserve"> (2024). </w:t>
      </w:r>
      <w:r w:rsidRPr="00792B36">
        <w:rPr>
          <w:rFonts w:eastAsia="Google Sans Text"/>
          <w:i/>
          <w:iCs/>
          <w:color w:val="1F1F1F"/>
          <w:sz w:val="24"/>
          <w:szCs w:val="24"/>
        </w:rPr>
        <w:t>Tourism’s contribution to GDP</w:t>
      </w:r>
      <w:r w:rsidRPr="00792B36">
        <w:rPr>
          <w:rFonts w:eastAsia="Google Sans Text"/>
          <w:color w:val="1F1F1F"/>
          <w:sz w:val="24"/>
          <w:szCs w:val="24"/>
        </w:rPr>
        <w:t xml:space="preserve">. </w:t>
      </w:r>
      <w:r w:rsidRPr="00792B36">
        <w:rPr>
          <w:sz w:val="24"/>
          <w:szCs w:val="24"/>
        </w:rPr>
        <w:fldChar w:fldCharType="begin"/>
      </w:r>
      <w:r w:rsidRPr="00792B36">
        <w:rPr>
          <w:sz w:val="24"/>
          <w:szCs w:val="24"/>
        </w:rPr>
        <w:instrText>HYPERLINK "https://www.unwto.org/tourism-statistics/economic-contribution-SDG" \h</w:instrText>
      </w:r>
      <w:r w:rsidRPr="00792B36">
        <w:rPr>
          <w:sz w:val="24"/>
          <w:szCs w:val="24"/>
        </w:rPr>
      </w:r>
      <w:r w:rsidRPr="00792B36">
        <w:rPr>
          <w:sz w:val="24"/>
          <w:szCs w:val="24"/>
        </w:rPr>
        <w:fldChar w:fldCharType="separate"/>
      </w:r>
      <w:r w:rsidRPr="00792B36">
        <w:rPr>
          <w:rFonts w:eastAsia="Google Sans Text"/>
          <w:color w:val="0B57D0"/>
          <w:sz w:val="24"/>
          <w:szCs w:val="24"/>
          <w:u w:val="single"/>
        </w:rPr>
        <w:t>https://www.unwto.org/tourism-statistics/economic-contribution-SDG</w:t>
      </w:r>
      <w:r w:rsidRPr="00792B36">
        <w:rPr>
          <w:sz w:val="24"/>
          <w:szCs w:val="24"/>
        </w:rPr>
        <w:fldChar w:fldCharType="end"/>
      </w:r>
      <w:r w:rsidRPr="00792B36">
        <w:rPr>
          <w:rFonts w:eastAsia="Google Sans Text"/>
          <w:color w:val="1F1F1F"/>
          <w:sz w:val="24"/>
          <w:szCs w:val="24"/>
        </w:rPr>
        <w:t xml:space="preserve"> (accessed 25 June 2025).</w:t>
      </w:r>
    </w:p>
    <w:p w14:paraId="5B122196" w14:textId="77777777" w:rsidR="00EB267E" w:rsidRPr="00792B36" w:rsidRDefault="00EB267E" w:rsidP="00EB267E">
      <w:pPr>
        <w:pBdr>
          <w:top w:val="nil"/>
          <w:left w:val="nil"/>
          <w:bottom w:val="nil"/>
          <w:right w:val="nil"/>
          <w:between w:val="nil"/>
        </w:pBdr>
        <w:spacing w:line="360" w:lineRule="auto"/>
        <w:ind w:left="105"/>
        <w:rPr>
          <w:sz w:val="24"/>
          <w:szCs w:val="24"/>
        </w:rPr>
      </w:pPr>
      <w:r w:rsidRPr="00792B36">
        <w:rPr>
          <w:rFonts w:eastAsia="Google Sans Text"/>
          <w:b/>
          <w:bCs/>
          <w:color w:val="1F1F1F"/>
          <w:sz w:val="24"/>
          <w:szCs w:val="24"/>
        </w:rPr>
        <w:t>Panapitukkul, N., Duarte, C. M., Thampanya, U., Kheowvongsri, P., Srichai, N., Geertz-Hansen, O., ... &amp; Boromthanarath, S.</w:t>
      </w:r>
      <w:r w:rsidRPr="00792B36">
        <w:rPr>
          <w:rFonts w:eastAsia="Google Sans Text"/>
          <w:color w:val="1F1F1F"/>
          <w:sz w:val="24"/>
          <w:szCs w:val="24"/>
        </w:rPr>
        <w:t xml:space="preserve"> (1998). Mangrove colonization: mangrove progression over the growing Pak Phanang (SE Thailand) mud flat. </w:t>
      </w:r>
      <w:r w:rsidRPr="00792B36">
        <w:rPr>
          <w:rFonts w:eastAsia="Google Sans Text"/>
          <w:i/>
          <w:iCs/>
          <w:color w:val="1F1F1F"/>
          <w:sz w:val="24"/>
          <w:szCs w:val="24"/>
        </w:rPr>
        <w:t>Estuarine, Coastal and Shelf Science</w:t>
      </w:r>
      <w:r w:rsidRPr="00792B36">
        <w:rPr>
          <w:rFonts w:eastAsia="Google Sans Text"/>
          <w:color w:val="1F1F1F"/>
          <w:sz w:val="24"/>
          <w:szCs w:val="24"/>
        </w:rPr>
        <w:t>, 47(1), 51-61.</w:t>
      </w:r>
    </w:p>
    <w:p w14:paraId="619F6A95" w14:textId="77777777" w:rsidR="00EB267E" w:rsidRPr="00792B36" w:rsidRDefault="00EB267E" w:rsidP="00EB267E">
      <w:pPr>
        <w:pBdr>
          <w:top w:val="nil"/>
          <w:left w:val="nil"/>
          <w:bottom w:val="nil"/>
          <w:right w:val="nil"/>
          <w:between w:val="nil"/>
        </w:pBdr>
        <w:spacing w:line="360" w:lineRule="auto"/>
        <w:ind w:left="105"/>
        <w:rPr>
          <w:sz w:val="24"/>
          <w:szCs w:val="24"/>
        </w:rPr>
      </w:pPr>
      <w:r w:rsidRPr="00792B36">
        <w:rPr>
          <w:rFonts w:eastAsia="Google Sans Text"/>
          <w:b/>
          <w:bCs/>
          <w:color w:val="1F1F1F"/>
          <w:sz w:val="24"/>
          <w:szCs w:val="24"/>
        </w:rPr>
        <w:t xml:space="preserve">Partnerships in Environmental Management for the Seas of East Asia </w:t>
      </w:r>
      <w:r w:rsidRPr="00792B36">
        <w:rPr>
          <w:rFonts w:eastAsia="Google Sans Text"/>
          <w:b/>
          <w:bCs/>
          <w:color w:val="1F1F1F"/>
          <w:sz w:val="24"/>
          <w:szCs w:val="24"/>
        </w:rPr>
        <w:lastRenderedPageBreak/>
        <w:t>(PEMSEA), &amp; Department of Marine and Coastal Resources (DMCR).</w:t>
      </w:r>
      <w:r w:rsidRPr="00792B36">
        <w:rPr>
          <w:rFonts w:eastAsia="Google Sans Text"/>
          <w:color w:val="1F1F1F"/>
          <w:sz w:val="24"/>
          <w:szCs w:val="24"/>
        </w:rPr>
        <w:t xml:space="preserve"> (2019). </w:t>
      </w:r>
      <w:r w:rsidRPr="00792B36">
        <w:rPr>
          <w:rFonts w:eastAsia="Google Sans Text"/>
          <w:i/>
          <w:iCs/>
          <w:color w:val="1F1F1F"/>
          <w:sz w:val="24"/>
          <w:szCs w:val="24"/>
        </w:rPr>
        <w:t>National state of oceans and coasts 2018: Blue economy growth of Thailand</w:t>
      </w:r>
      <w:r w:rsidRPr="00792B36">
        <w:rPr>
          <w:rFonts w:eastAsia="Google Sans Text"/>
          <w:color w:val="1F1F1F"/>
          <w:sz w:val="24"/>
          <w:szCs w:val="24"/>
        </w:rPr>
        <w:t>. PEMSEA.</w:t>
      </w:r>
    </w:p>
    <w:p w14:paraId="3BC8AFF8" w14:textId="77777777" w:rsidR="00EB267E" w:rsidRPr="00792B36" w:rsidRDefault="00EB267E" w:rsidP="00EB267E">
      <w:pPr>
        <w:pBdr>
          <w:top w:val="nil"/>
          <w:left w:val="nil"/>
          <w:bottom w:val="nil"/>
          <w:right w:val="nil"/>
          <w:between w:val="nil"/>
        </w:pBdr>
        <w:spacing w:line="360" w:lineRule="auto"/>
        <w:ind w:left="105"/>
        <w:rPr>
          <w:sz w:val="24"/>
          <w:szCs w:val="24"/>
        </w:rPr>
      </w:pPr>
      <w:r w:rsidRPr="00792B36">
        <w:rPr>
          <w:rFonts w:eastAsia="Google Sans Text"/>
          <w:b/>
          <w:bCs/>
          <w:color w:val="1F1F1F"/>
          <w:sz w:val="24"/>
          <w:szCs w:val="24"/>
        </w:rPr>
        <w:t>Patcharin, Saipattana.</w:t>
      </w:r>
      <w:r w:rsidRPr="00792B36">
        <w:rPr>
          <w:rFonts w:eastAsia="Google Sans Text"/>
          <w:color w:val="1F1F1F"/>
          <w:sz w:val="24"/>
          <w:szCs w:val="24"/>
        </w:rPr>
        <w:t xml:space="preserve"> (2014). Survey of mangrove plant species diversity at the Royal Thai Army Nature Study Center, Bang Pu, Samut Prakan Province. </w:t>
      </w:r>
      <w:r w:rsidRPr="00792B36">
        <w:rPr>
          <w:rFonts w:eastAsia="Google Sans Text"/>
          <w:i/>
          <w:iCs/>
          <w:color w:val="1F1F1F"/>
          <w:sz w:val="24"/>
          <w:szCs w:val="24"/>
        </w:rPr>
        <w:t>Veridian E-Journal Science and Technology, Silpakorn University</w:t>
      </w:r>
      <w:r w:rsidRPr="00792B36">
        <w:rPr>
          <w:rFonts w:eastAsia="Google Sans Text"/>
          <w:color w:val="1F1F1F"/>
          <w:sz w:val="24"/>
          <w:szCs w:val="24"/>
        </w:rPr>
        <w:t>, 1(1), 13–18.</w:t>
      </w:r>
    </w:p>
    <w:p w14:paraId="1D138EC5" w14:textId="77777777" w:rsidR="00EB267E" w:rsidRPr="00792B36" w:rsidRDefault="00EB267E" w:rsidP="00EB267E">
      <w:pPr>
        <w:pBdr>
          <w:top w:val="nil"/>
          <w:left w:val="nil"/>
          <w:bottom w:val="nil"/>
          <w:right w:val="nil"/>
          <w:between w:val="nil"/>
        </w:pBdr>
        <w:spacing w:line="360" w:lineRule="auto"/>
        <w:ind w:left="105"/>
        <w:rPr>
          <w:sz w:val="24"/>
          <w:szCs w:val="24"/>
        </w:rPr>
      </w:pPr>
      <w:r w:rsidRPr="00792B36">
        <w:rPr>
          <w:rFonts w:eastAsia="Google Sans Text"/>
          <w:b/>
          <w:bCs/>
          <w:color w:val="1F1F1F"/>
          <w:sz w:val="24"/>
          <w:szCs w:val="24"/>
        </w:rPr>
        <w:t>Paw, J. N. (Ed.).</w:t>
      </w:r>
      <w:r w:rsidRPr="00792B36">
        <w:rPr>
          <w:rFonts w:eastAsia="Google Sans Text"/>
          <w:color w:val="1F1F1F"/>
          <w:sz w:val="24"/>
          <w:szCs w:val="24"/>
        </w:rPr>
        <w:t xml:space="preserve"> (1988). </w:t>
      </w:r>
      <w:r w:rsidRPr="00792B36">
        <w:rPr>
          <w:rFonts w:eastAsia="Google Sans Text"/>
          <w:i/>
          <w:iCs/>
          <w:color w:val="1F1F1F"/>
          <w:sz w:val="24"/>
          <w:szCs w:val="24"/>
        </w:rPr>
        <w:t>The coastal environmental profile of Ban Don Bay and Phangnga Bay, Thailand</w:t>
      </w:r>
      <w:r w:rsidRPr="00792B36">
        <w:rPr>
          <w:rFonts w:eastAsia="Google Sans Text"/>
          <w:color w:val="1F1F1F"/>
          <w:sz w:val="24"/>
          <w:szCs w:val="24"/>
        </w:rPr>
        <w:t xml:space="preserve"> (Vol. 424). WorldFish.</w:t>
      </w:r>
    </w:p>
    <w:p w14:paraId="1258CE98" w14:textId="77777777" w:rsidR="00EB267E" w:rsidRPr="00792B36" w:rsidRDefault="00EB267E" w:rsidP="00EB267E">
      <w:pPr>
        <w:pBdr>
          <w:top w:val="nil"/>
          <w:left w:val="nil"/>
          <w:bottom w:val="nil"/>
          <w:right w:val="nil"/>
          <w:between w:val="nil"/>
        </w:pBdr>
        <w:spacing w:line="360" w:lineRule="auto"/>
        <w:ind w:left="105"/>
        <w:rPr>
          <w:sz w:val="24"/>
          <w:szCs w:val="24"/>
        </w:rPr>
      </w:pPr>
      <w:r w:rsidRPr="00792B36">
        <w:rPr>
          <w:rFonts w:eastAsia="Google Sans Text"/>
          <w:b/>
          <w:bCs/>
          <w:color w:val="1F1F1F"/>
          <w:sz w:val="24"/>
          <w:szCs w:val="24"/>
        </w:rPr>
        <w:t>PEMSEA.</w:t>
      </w:r>
      <w:r w:rsidRPr="00792B36">
        <w:rPr>
          <w:rFonts w:eastAsia="Google Sans Text"/>
          <w:color w:val="1F1F1F"/>
          <w:sz w:val="24"/>
          <w:szCs w:val="24"/>
        </w:rPr>
        <w:t xml:space="preserve"> (2024). </w:t>
      </w:r>
      <w:r w:rsidRPr="00792B36">
        <w:rPr>
          <w:rFonts w:eastAsia="Google Sans Text"/>
          <w:i/>
          <w:iCs/>
          <w:color w:val="1F1F1F"/>
          <w:sz w:val="24"/>
          <w:szCs w:val="24"/>
        </w:rPr>
        <w:t>Marine Plastic Pollution and Food Security in Southeast Asia</w:t>
      </w:r>
      <w:r w:rsidRPr="00792B36">
        <w:rPr>
          <w:rFonts w:eastAsia="Google Sans Text"/>
          <w:color w:val="1F1F1F"/>
          <w:sz w:val="24"/>
          <w:szCs w:val="24"/>
        </w:rPr>
        <w:t>.</w:t>
      </w:r>
    </w:p>
    <w:p w14:paraId="73FA6B71" w14:textId="77777777" w:rsidR="00EB267E" w:rsidRPr="00792B36" w:rsidRDefault="00EB267E" w:rsidP="00EB267E">
      <w:pPr>
        <w:pBdr>
          <w:top w:val="nil"/>
          <w:left w:val="nil"/>
          <w:bottom w:val="nil"/>
          <w:right w:val="nil"/>
          <w:between w:val="nil"/>
        </w:pBdr>
        <w:spacing w:line="360" w:lineRule="auto"/>
        <w:ind w:left="105"/>
        <w:rPr>
          <w:sz w:val="24"/>
          <w:szCs w:val="24"/>
        </w:rPr>
      </w:pPr>
      <w:r w:rsidRPr="00792B36">
        <w:rPr>
          <w:rFonts w:eastAsia="Google Sans Text"/>
          <w:b/>
          <w:bCs/>
          <w:color w:val="1F1F1F"/>
          <w:sz w:val="24"/>
          <w:szCs w:val="24"/>
        </w:rPr>
        <w:t>Pollution Control Department (PCD).</w:t>
      </w:r>
      <w:r w:rsidRPr="00792B36">
        <w:rPr>
          <w:rFonts w:eastAsia="Google Sans Text"/>
          <w:color w:val="1F1F1F"/>
          <w:sz w:val="24"/>
          <w:szCs w:val="24"/>
        </w:rPr>
        <w:t xml:space="preserve"> (2003). </w:t>
      </w:r>
      <w:r w:rsidRPr="00792B36">
        <w:rPr>
          <w:rFonts w:eastAsia="Google Sans Text"/>
          <w:i/>
          <w:iCs/>
          <w:color w:val="1F1F1F"/>
          <w:sz w:val="24"/>
          <w:szCs w:val="24"/>
        </w:rPr>
        <w:t>A decade of water quality monitoring in Thailand's four major rivers</w:t>
      </w:r>
      <w:r w:rsidRPr="00792B36">
        <w:rPr>
          <w:rFonts w:eastAsia="Google Sans Text"/>
          <w:color w:val="1F1F1F"/>
          <w:sz w:val="24"/>
          <w:szCs w:val="24"/>
        </w:rPr>
        <w:t xml:space="preserve">. </w:t>
      </w:r>
      <w:r w:rsidRPr="00792B36">
        <w:rPr>
          <w:sz w:val="24"/>
          <w:szCs w:val="24"/>
        </w:rPr>
        <w:fldChar w:fldCharType="begin"/>
      </w:r>
      <w:r w:rsidRPr="00792B36">
        <w:rPr>
          <w:sz w:val="24"/>
          <w:szCs w:val="24"/>
        </w:rPr>
        <w:instrText>HYPERLINK "https://www.pcd.go.th/wp-content/uploads/2020/04/pcdnew-2020-04-21_10-08-08_046956.pdf" \h</w:instrText>
      </w:r>
      <w:r w:rsidRPr="00792B36">
        <w:rPr>
          <w:sz w:val="24"/>
          <w:szCs w:val="24"/>
        </w:rPr>
      </w:r>
      <w:r w:rsidRPr="00792B36">
        <w:rPr>
          <w:sz w:val="24"/>
          <w:szCs w:val="24"/>
        </w:rPr>
        <w:fldChar w:fldCharType="separate"/>
      </w:r>
      <w:r w:rsidRPr="00792B36">
        <w:rPr>
          <w:rFonts w:eastAsia="Google Sans Text"/>
          <w:color w:val="0B57D0"/>
          <w:sz w:val="24"/>
          <w:szCs w:val="24"/>
          <w:u w:val="single"/>
        </w:rPr>
        <w:t>https://www.pcd.go.th/wp-content/uploads/2020/04/pcdnew-2020-04-21_10-08-08_046956.pdf</w:t>
      </w:r>
      <w:r w:rsidRPr="00792B36">
        <w:rPr>
          <w:sz w:val="24"/>
          <w:szCs w:val="24"/>
        </w:rPr>
        <w:fldChar w:fldCharType="end"/>
      </w:r>
    </w:p>
    <w:p w14:paraId="68F8C02A" w14:textId="77777777" w:rsidR="00EB267E" w:rsidRPr="00792B36" w:rsidRDefault="00EB267E" w:rsidP="00EB267E">
      <w:pPr>
        <w:pBdr>
          <w:top w:val="nil"/>
          <w:left w:val="nil"/>
          <w:bottom w:val="nil"/>
          <w:right w:val="nil"/>
          <w:between w:val="nil"/>
        </w:pBdr>
        <w:spacing w:line="360" w:lineRule="auto"/>
        <w:ind w:left="105"/>
        <w:rPr>
          <w:sz w:val="24"/>
          <w:szCs w:val="24"/>
        </w:rPr>
      </w:pPr>
      <w:r w:rsidRPr="00792B36">
        <w:rPr>
          <w:rFonts w:eastAsia="Google Sans Text"/>
          <w:b/>
          <w:bCs/>
          <w:color w:val="1F1F1F"/>
          <w:sz w:val="24"/>
          <w:szCs w:val="24"/>
        </w:rPr>
        <w:t>Pollution Control Department (PCD).</w:t>
      </w:r>
      <w:r w:rsidRPr="00792B36">
        <w:rPr>
          <w:rFonts w:eastAsia="Google Sans Text"/>
          <w:color w:val="1F1F1F"/>
          <w:sz w:val="24"/>
          <w:szCs w:val="24"/>
        </w:rPr>
        <w:t xml:space="preserve"> (2024). </w:t>
      </w:r>
      <w:r w:rsidRPr="00792B36">
        <w:rPr>
          <w:rFonts w:eastAsia="Google Sans Text"/>
          <w:i/>
          <w:iCs/>
          <w:color w:val="1F1F1F"/>
          <w:sz w:val="24"/>
          <w:szCs w:val="24"/>
        </w:rPr>
        <w:t>ASEAN Marine Water Quality Management Guidelines</w:t>
      </w:r>
      <w:r w:rsidRPr="00792B36">
        <w:rPr>
          <w:rFonts w:eastAsia="Google Sans Text"/>
          <w:color w:val="1F1F1F"/>
          <w:sz w:val="24"/>
          <w:szCs w:val="24"/>
        </w:rPr>
        <w:t>. Ministry of Natural Resources and Environment.</w:t>
      </w:r>
    </w:p>
    <w:p w14:paraId="29F0FDAD" w14:textId="77777777" w:rsidR="00EB267E" w:rsidRPr="00792B36" w:rsidRDefault="00EB267E" w:rsidP="00EB267E">
      <w:pPr>
        <w:pBdr>
          <w:top w:val="nil"/>
          <w:left w:val="nil"/>
          <w:bottom w:val="nil"/>
          <w:right w:val="nil"/>
          <w:between w:val="nil"/>
        </w:pBdr>
        <w:spacing w:line="360" w:lineRule="auto"/>
        <w:ind w:left="105"/>
        <w:rPr>
          <w:sz w:val="24"/>
          <w:szCs w:val="24"/>
        </w:rPr>
      </w:pPr>
      <w:r w:rsidRPr="00792B36">
        <w:rPr>
          <w:rFonts w:eastAsia="Google Sans Text"/>
          <w:b/>
          <w:bCs/>
          <w:color w:val="1F1F1F"/>
          <w:sz w:val="24"/>
          <w:szCs w:val="24"/>
        </w:rPr>
        <w:t>Pollution Control Department (PCD).</w:t>
      </w:r>
      <w:r w:rsidRPr="00792B36">
        <w:rPr>
          <w:rFonts w:eastAsia="Google Sans Text"/>
          <w:color w:val="1F1F1F"/>
          <w:sz w:val="24"/>
          <w:szCs w:val="24"/>
        </w:rPr>
        <w:t xml:space="preserve"> (2024). </w:t>
      </w:r>
      <w:r w:rsidRPr="00792B36">
        <w:rPr>
          <w:rFonts w:eastAsia="Google Sans Text"/>
          <w:i/>
          <w:iCs/>
          <w:color w:val="1F1F1F"/>
          <w:sz w:val="24"/>
          <w:szCs w:val="24"/>
        </w:rPr>
        <w:t>Thailand State of Pollution Report 2024</w:t>
      </w:r>
      <w:r w:rsidRPr="00792B36">
        <w:rPr>
          <w:rFonts w:eastAsia="Google Sans Text"/>
          <w:color w:val="1F1F1F"/>
          <w:sz w:val="24"/>
          <w:szCs w:val="24"/>
        </w:rPr>
        <w:t>. Ministry of Natural Resources and Environment.</w:t>
      </w:r>
    </w:p>
    <w:p w14:paraId="1D409756" w14:textId="77777777" w:rsidR="00EB267E" w:rsidRPr="00792B36" w:rsidRDefault="00EB267E" w:rsidP="00EB267E">
      <w:pPr>
        <w:pBdr>
          <w:top w:val="nil"/>
          <w:left w:val="nil"/>
          <w:bottom w:val="nil"/>
          <w:right w:val="nil"/>
          <w:between w:val="nil"/>
        </w:pBdr>
        <w:spacing w:line="360" w:lineRule="auto"/>
        <w:ind w:left="105"/>
        <w:rPr>
          <w:sz w:val="24"/>
          <w:szCs w:val="24"/>
        </w:rPr>
      </w:pPr>
      <w:r w:rsidRPr="00792B36">
        <w:rPr>
          <w:rFonts w:eastAsia="Google Sans Text"/>
          <w:b/>
          <w:bCs/>
          <w:color w:val="1F1F1F"/>
          <w:sz w:val="24"/>
          <w:szCs w:val="24"/>
        </w:rPr>
        <w:t>Pollution Control Department (PCD).</w:t>
      </w:r>
      <w:r w:rsidRPr="00792B36">
        <w:rPr>
          <w:rFonts w:eastAsia="Google Sans Text"/>
          <w:color w:val="1F1F1F"/>
          <w:sz w:val="24"/>
          <w:szCs w:val="24"/>
        </w:rPr>
        <w:t xml:space="preserve"> (2025). </w:t>
      </w:r>
      <w:r w:rsidRPr="00792B36">
        <w:rPr>
          <w:rFonts w:eastAsia="Google Sans Text"/>
          <w:i/>
          <w:iCs/>
          <w:color w:val="1F1F1F"/>
          <w:sz w:val="24"/>
          <w:szCs w:val="24"/>
        </w:rPr>
        <w:t>National TDA of Land-based Pollution and Marine Pollution Assessment — Thailand (Draft Report)</w:t>
      </w:r>
      <w:r w:rsidRPr="00792B36">
        <w:rPr>
          <w:rFonts w:eastAsia="Google Sans Text"/>
          <w:color w:val="1F1F1F"/>
          <w:sz w:val="24"/>
          <w:szCs w:val="24"/>
        </w:rPr>
        <w:t>. Ministry of Natural Resources and Environment.</w:t>
      </w:r>
    </w:p>
    <w:p w14:paraId="51FA8EA4" w14:textId="77777777" w:rsidR="00EB267E" w:rsidRPr="00792B36" w:rsidRDefault="00EB267E" w:rsidP="00EB267E">
      <w:pPr>
        <w:pBdr>
          <w:top w:val="nil"/>
          <w:left w:val="nil"/>
          <w:bottom w:val="nil"/>
          <w:right w:val="nil"/>
          <w:between w:val="nil"/>
        </w:pBdr>
        <w:spacing w:line="360" w:lineRule="auto"/>
        <w:ind w:left="105"/>
        <w:rPr>
          <w:sz w:val="24"/>
          <w:szCs w:val="24"/>
        </w:rPr>
      </w:pPr>
      <w:r w:rsidRPr="00792B36">
        <w:rPr>
          <w:rFonts w:eastAsia="Google Sans Text"/>
          <w:b/>
          <w:bCs/>
          <w:color w:val="1F1F1F"/>
          <w:sz w:val="24"/>
          <w:szCs w:val="24"/>
        </w:rPr>
        <w:t>Prathumchai, N., et al.</w:t>
      </w:r>
      <w:r w:rsidRPr="00792B36">
        <w:rPr>
          <w:rFonts w:eastAsia="Google Sans Text"/>
          <w:color w:val="1F1F1F"/>
          <w:sz w:val="24"/>
          <w:szCs w:val="24"/>
        </w:rPr>
        <w:t xml:space="preserve"> (2016). Phosphorus leakage from fisheries sector – A case study in Thailand. </w:t>
      </w:r>
      <w:r w:rsidRPr="00792B36">
        <w:rPr>
          <w:rFonts w:eastAsia="Google Sans Text"/>
          <w:i/>
          <w:iCs/>
          <w:color w:val="1F1F1F"/>
          <w:sz w:val="24"/>
          <w:szCs w:val="24"/>
        </w:rPr>
        <w:t>ScienceDirect</w:t>
      </w:r>
      <w:r w:rsidRPr="00792B36">
        <w:rPr>
          <w:rFonts w:eastAsia="Google Sans Text"/>
          <w:color w:val="1F1F1F"/>
          <w:sz w:val="24"/>
          <w:szCs w:val="24"/>
        </w:rPr>
        <w:t xml:space="preserve">. </w:t>
      </w:r>
      <w:r w:rsidRPr="00792B36">
        <w:rPr>
          <w:sz w:val="24"/>
          <w:szCs w:val="24"/>
        </w:rPr>
        <w:fldChar w:fldCharType="begin"/>
      </w:r>
      <w:r w:rsidRPr="00792B36">
        <w:rPr>
          <w:sz w:val="24"/>
          <w:szCs w:val="24"/>
        </w:rPr>
        <w:instrText>HYPERLINK "https://www.sciencedirect.com/science/article/abs/pii/S0269749116314890" \h</w:instrText>
      </w:r>
      <w:r w:rsidRPr="00792B36">
        <w:rPr>
          <w:sz w:val="24"/>
          <w:szCs w:val="24"/>
        </w:rPr>
      </w:r>
      <w:r w:rsidRPr="00792B36">
        <w:rPr>
          <w:sz w:val="24"/>
          <w:szCs w:val="24"/>
        </w:rPr>
        <w:fldChar w:fldCharType="separate"/>
      </w:r>
      <w:r w:rsidRPr="00792B36">
        <w:rPr>
          <w:rFonts w:eastAsia="Google Sans Text"/>
          <w:color w:val="0B57D0"/>
          <w:sz w:val="24"/>
          <w:szCs w:val="24"/>
          <w:u w:val="single"/>
        </w:rPr>
        <w:t>https://www.sciencedirect.com/science/article/abs/pii/S0269749116314890</w:t>
      </w:r>
      <w:r w:rsidRPr="00792B36">
        <w:rPr>
          <w:sz w:val="24"/>
          <w:szCs w:val="24"/>
        </w:rPr>
        <w:fldChar w:fldCharType="end"/>
      </w:r>
    </w:p>
    <w:p w14:paraId="143EFF99" w14:textId="77777777" w:rsidR="00EB267E" w:rsidRPr="00792B36" w:rsidRDefault="00EB267E" w:rsidP="00EB267E">
      <w:pPr>
        <w:pBdr>
          <w:top w:val="nil"/>
          <w:left w:val="nil"/>
          <w:bottom w:val="nil"/>
          <w:right w:val="nil"/>
          <w:between w:val="nil"/>
        </w:pBdr>
        <w:spacing w:line="360" w:lineRule="auto"/>
        <w:ind w:left="105"/>
        <w:rPr>
          <w:sz w:val="24"/>
          <w:szCs w:val="24"/>
        </w:rPr>
      </w:pPr>
      <w:r w:rsidRPr="00792B36">
        <w:rPr>
          <w:rFonts w:eastAsia="Google Sans Text"/>
          <w:b/>
          <w:bCs/>
          <w:color w:val="1F1F1F"/>
          <w:sz w:val="24"/>
          <w:szCs w:val="24"/>
        </w:rPr>
        <w:t>PTT Public Company Limited.</w:t>
      </w:r>
      <w:r w:rsidRPr="00792B36">
        <w:rPr>
          <w:rFonts w:eastAsia="Google Sans Text"/>
          <w:color w:val="1F1F1F"/>
          <w:sz w:val="24"/>
          <w:szCs w:val="24"/>
        </w:rPr>
        <w:t xml:space="preserve"> (2021, December 31). </w:t>
      </w:r>
      <w:r w:rsidRPr="00792B36">
        <w:rPr>
          <w:rFonts w:eastAsia="Google Sans Text"/>
          <w:i/>
          <w:iCs/>
          <w:color w:val="1F1F1F"/>
          <w:sz w:val="24"/>
          <w:szCs w:val="24"/>
        </w:rPr>
        <w:t>Spill Management</w:t>
      </w:r>
      <w:r w:rsidRPr="00792B36">
        <w:rPr>
          <w:rFonts w:eastAsia="Google Sans Text"/>
          <w:color w:val="1F1F1F"/>
          <w:sz w:val="24"/>
          <w:szCs w:val="24"/>
        </w:rPr>
        <w:t xml:space="preserve">. Retrieved from </w:t>
      </w:r>
      <w:r w:rsidRPr="00792B36">
        <w:rPr>
          <w:sz w:val="24"/>
          <w:szCs w:val="24"/>
        </w:rPr>
        <w:fldChar w:fldCharType="begin"/>
      </w:r>
      <w:r w:rsidRPr="00792B36">
        <w:rPr>
          <w:sz w:val="24"/>
          <w:szCs w:val="24"/>
        </w:rPr>
        <w:instrText>HYPERLINK "https://www.pttplc.com/en/Sustainability/Environment/Spill.aspx" \h</w:instrText>
      </w:r>
      <w:r w:rsidRPr="00792B36">
        <w:rPr>
          <w:sz w:val="24"/>
          <w:szCs w:val="24"/>
        </w:rPr>
      </w:r>
      <w:r w:rsidRPr="00792B36">
        <w:rPr>
          <w:sz w:val="24"/>
          <w:szCs w:val="24"/>
        </w:rPr>
        <w:fldChar w:fldCharType="separate"/>
      </w:r>
      <w:r w:rsidRPr="00792B36">
        <w:rPr>
          <w:rFonts w:eastAsia="Google Sans Text"/>
          <w:color w:val="0B57D0"/>
          <w:sz w:val="24"/>
          <w:szCs w:val="24"/>
          <w:u w:val="single"/>
        </w:rPr>
        <w:t>https://www.pttplc.com/en/Sustainability/Environment/Spill.aspx</w:t>
      </w:r>
      <w:r w:rsidRPr="00792B36">
        <w:rPr>
          <w:sz w:val="24"/>
          <w:szCs w:val="24"/>
        </w:rPr>
        <w:fldChar w:fldCharType="end"/>
      </w:r>
    </w:p>
    <w:p w14:paraId="4FE05823" w14:textId="77777777" w:rsidR="00EB267E" w:rsidRPr="00792B36" w:rsidRDefault="00EB267E" w:rsidP="00EB267E">
      <w:pPr>
        <w:pBdr>
          <w:top w:val="nil"/>
          <w:left w:val="nil"/>
          <w:bottom w:val="nil"/>
          <w:right w:val="nil"/>
          <w:between w:val="nil"/>
        </w:pBdr>
        <w:spacing w:line="360" w:lineRule="auto"/>
        <w:ind w:left="105"/>
        <w:rPr>
          <w:sz w:val="24"/>
          <w:szCs w:val="24"/>
        </w:rPr>
      </w:pPr>
      <w:r w:rsidRPr="00792B36">
        <w:rPr>
          <w:rFonts w:eastAsia="Google Sans Text"/>
          <w:b/>
          <w:bCs/>
          <w:color w:val="1F1F1F"/>
          <w:sz w:val="24"/>
          <w:szCs w:val="24"/>
        </w:rPr>
        <w:t>Rattanakunuprakarn, C.</w:t>
      </w:r>
      <w:r w:rsidRPr="00792B36">
        <w:rPr>
          <w:rFonts w:eastAsia="Google Sans Text"/>
          <w:color w:val="1F1F1F"/>
          <w:sz w:val="24"/>
          <w:szCs w:val="24"/>
        </w:rPr>
        <w:t xml:space="preserve"> (2025). Oil spill response tiers and management in Thailand. </w:t>
      </w:r>
      <w:r w:rsidRPr="00792B36">
        <w:rPr>
          <w:rFonts w:eastAsia="Google Sans Text"/>
          <w:i/>
          <w:iCs/>
          <w:color w:val="1F1F1F"/>
          <w:sz w:val="24"/>
          <w:szCs w:val="24"/>
        </w:rPr>
        <w:t>Frontiers in Marine Science</w:t>
      </w:r>
      <w:r w:rsidRPr="00792B36">
        <w:rPr>
          <w:rFonts w:eastAsia="Google Sans Text"/>
          <w:color w:val="1F1F1F"/>
          <w:sz w:val="24"/>
          <w:szCs w:val="24"/>
        </w:rPr>
        <w:t xml:space="preserve">, 1632601. </w:t>
      </w:r>
      <w:r w:rsidRPr="00792B36">
        <w:rPr>
          <w:sz w:val="24"/>
          <w:szCs w:val="24"/>
        </w:rPr>
        <w:fldChar w:fldCharType="begin"/>
      </w:r>
      <w:r w:rsidRPr="00792B36">
        <w:rPr>
          <w:sz w:val="24"/>
          <w:szCs w:val="24"/>
        </w:rPr>
        <w:instrText>HYPERLINK "https://www.frontiersin.org/journals/marine-science/articles/10.3389/fmars.2025.1632601/full" \h</w:instrText>
      </w:r>
      <w:r w:rsidRPr="00792B36">
        <w:rPr>
          <w:sz w:val="24"/>
          <w:szCs w:val="24"/>
        </w:rPr>
      </w:r>
      <w:r w:rsidRPr="00792B36">
        <w:rPr>
          <w:sz w:val="24"/>
          <w:szCs w:val="24"/>
        </w:rPr>
        <w:fldChar w:fldCharType="separate"/>
      </w:r>
      <w:r w:rsidRPr="00792B36">
        <w:rPr>
          <w:rFonts w:eastAsia="Google Sans Text"/>
          <w:color w:val="0B57D0"/>
          <w:sz w:val="24"/>
          <w:szCs w:val="24"/>
          <w:u w:val="single"/>
        </w:rPr>
        <w:t>https://www.frontiersin.org/journals/marine-science/articles/10.3389/fmars.2025.1632601/full</w:t>
      </w:r>
      <w:r w:rsidRPr="00792B36">
        <w:rPr>
          <w:sz w:val="24"/>
          <w:szCs w:val="24"/>
        </w:rPr>
        <w:fldChar w:fldCharType="end"/>
      </w:r>
    </w:p>
    <w:p w14:paraId="6CA22276" w14:textId="77777777" w:rsidR="00EB267E" w:rsidRPr="00792B36" w:rsidRDefault="00EB267E" w:rsidP="00EB267E">
      <w:pPr>
        <w:pBdr>
          <w:top w:val="nil"/>
          <w:left w:val="nil"/>
          <w:bottom w:val="nil"/>
          <w:right w:val="nil"/>
          <w:between w:val="nil"/>
        </w:pBdr>
        <w:spacing w:line="360" w:lineRule="auto"/>
        <w:ind w:left="105"/>
        <w:rPr>
          <w:sz w:val="24"/>
          <w:szCs w:val="24"/>
        </w:rPr>
      </w:pPr>
      <w:r w:rsidRPr="00792B36">
        <w:rPr>
          <w:rFonts w:eastAsia="Google Sans Text"/>
          <w:b/>
          <w:bCs/>
          <w:color w:val="1F1F1F"/>
          <w:sz w:val="24"/>
          <w:szCs w:val="24"/>
        </w:rPr>
        <w:t>Rattikansukha, C.</w:t>
      </w:r>
      <w:r w:rsidRPr="00792B36">
        <w:rPr>
          <w:rFonts w:eastAsia="Google Sans Text"/>
          <w:color w:val="1F1F1F"/>
          <w:sz w:val="24"/>
          <w:szCs w:val="24"/>
        </w:rPr>
        <w:t xml:space="preserve"> (2016). </w:t>
      </w:r>
      <w:r w:rsidRPr="00792B36">
        <w:rPr>
          <w:rFonts w:eastAsia="Google Sans Text"/>
          <w:i/>
          <w:iCs/>
          <w:color w:val="1F1F1F"/>
          <w:sz w:val="24"/>
          <w:szCs w:val="24"/>
        </w:rPr>
        <w:t>Oil Spill Risk Management in Thailand</w:t>
      </w:r>
      <w:r w:rsidRPr="00792B36">
        <w:rPr>
          <w:rFonts w:eastAsia="Google Sans Text"/>
          <w:color w:val="1F1F1F"/>
          <w:sz w:val="24"/>
          <w:szCs w:val="24"/>
        </w:rPr>
        <w:t xml:space="preserve">. Academic Study. Retrieved from </w:t>
      </w:r>
      <w:r w:rsidRPr="00792B36">
        <w:rPr>
          <w:sz w:val="24"/>
          <w:szCs w:val="24"/>
        </w:rPr>
        <w:fldChar w:fldCharType="begin"/>
      </w:r>
      <w:r w:rsidRPr="00792B36">
        <w:rPr>
          <w:sz w:val="24"/>
          <w:szCs w:val="24"/>
        </w:rPr>
        <w:instrText>HYPERLINK "https://www.academia.edu/24930832/Oil_Spill_Risk_Management_in_Thailand" \h</w:instrText>
      </w:r>
      <w:r w:rsidRPr="00792B36">
        <w:rPr>
          <w:sz w:val="24"/>
          <w:szCs w:val="24"/>
        </w:rPr>
      </w:r>
      <w:r w:rsidRPr="00792B36">
        <w:rPr>
          <w:sz w:val="24"/>
          <w:szCs w:val="24"/>
        </w:rPr>
        <w:fldChar w:fldCharType="separate"/>
      </w:r>
      <w:r w:rsidRPr="00792B36">
        <w:rPr>
          <w:rFonts w:eastAsia="Google Sans Text"/>
          <w:color w:val="0B57D0"/>
          <w:sz w:val="24"/>
          <w:szCs w:val="24"/>
          <w:u w:val="single"/>
        </w:rPr>
        <w:t>https://www.academia.edu/24930832/Oil_Spill_Risk_Management_in_Thailand</w:t>
      </w:r>
      <w:r w:rsidRPr="00792B36">
        <w:rPr>
          <w:sz w:val="24"/>
          <w:szCs w:val="24"/>
        </w:rPr>
        <w:fldChar w:fldCharType="end"/>
      </w:r>
    </w:p>
    <w:p w14:paraId="2310EA5A" w14:textId="77777777" w:rsidR="00EB267E" w:rsidRPr="00792B36" w:rsidRDefault="00EB267E" w:rsidP="00EB267E">
      <w:pPr>
        <w:pBdr>
          <w:top w:val="nil"/>
          <w:left w:val="nil"/>
          <w:bottom w:val="nil"/>
          <w:right w:val="nil"/>
          <w:between w:val="nil"/>
        </w:pBdr>
        <w:spacing w:line="360" w:lineRule="auto"/>
        <w:ind w:left="105"/>
        <w:rPr>
          <w:sz w:val="24"/>
          <w:szCs w:val="24"/>
        </w:rPr>
      </w:pPr>
      <w:r w:rsidRPr="00792B36">
        <w:rPr>
          <w:rFonts w:eastAsia="Google Sans Text"/>
          <w:b/>
          <w:bCs/>
          <w:color w:val="1F1F1F"/>
          <w:sz w:val="24"/>
          <w:szCs w:val="24"/>
        </w:rPr>
        <w:t>Satumanatpan, S., Chuenpagdee, R., Traesupap, S., Yeemin, T., &amp; Jumtarashote, K.</w:t>
      </w:r>
      <w:r w:rsidRPr="00792B36">
        <w:rPr>
          <w:rFonts w:eastAsia="Google Sans Text"/>
          <w:color w:val="1F1F1F"/>
          <w:sz w:val="24"/>
          <w:szCs w:val="24"/>
        </w:rPr>
        <w:t xml:space="preserve"> (2024). Policy re-alignment for the implementation of the Small-Scale Fisheries Guidelines in Thailand. In J. Nakamura et al. (Eds.), </w:t>
      </w:r>
      <w:r w:rsidRPr="00792B36">
        <w:rPr>
          <w:rFonts w:eastAsia="Google Sans Text"/>
          <w:i/>
          <w:iCs/>
          <w:color w:val="1F1F1F"/>
          <w:sz w:val="24"/>
          <w:szCs w:val="24"/>
        </w:rPr>
        <w:t xml:space="preserve">Implementation </w:t>
      </w:r>
      <w:r w:rsidRPr="00792B36">
        <w:rPr>
          <w:rFonts w:eastAsia="Google Sans Text"/>
          <w:i/>
          <w:iCs/>
          <w:color w:val="1F1F1F"/>
          <w:sz w:val="24"/>
          <w:szCs w:val="24"/>
        </w:rPr>
        <w:lastRenderedPageBreak/>
        <w:t>of the Small-Scale Fisheries Guidelines</w:t>
      </w:r>
      <w:r w:rsidRPr="00792B36">
        <w:rPr>
          <w:rFonts w:eastAsia="Google Sans Text"/>
          <w:color w:val="1F1F1F"/>
          <w:sz w:val="24"/>
          <w:szCs w:val="24"/>
        </w:rPr>
        <w:t xml:space="preserve"> (MARE Publication Series, Vol. 28, pp. 167–187). Springer.</w:t>
      </w:r>
    </w:p>
    <w:p w14:paraId="5AFB3E4F" w14:textId="77777777" w:rsidR="00EB267E" w:rsidRPr="00792B36" w:rsidRDefault="00EB267E" w:rsidP="00EB267E">
      <w:pPr>
        <w:pBdr>
          <w:top w:val="nil"/>
          <w:left w:val="nil"/>
          <w:bottom w:val="nil"/>
          <w:right w:val="nil"/>
          <w:between w:val="nil"/>
        </w:pBdr>
        <w:spacing w:line="360" w:lineRule="auto"/>
        <w:ind w:left="105"/>
        <w:rPr>
          <w:sz w:val="24"/>
          <w:szCs w:val="24"/>
        </w:rPr>
      </w:pPr>
      <w:r w:rsidRPr="00792B36">
        <w:rPr>
          <w:rFonts w:eastAsia="Google Sans Text"/>
          <w:b/>
          <w:bCs/>
          <w:color w:val="1F1F1F"/>
          <w:sz w:val="24"/>
          <w:szCs w:val="24"/>
        </w:rPr>
        <w:t>Satumanatpan, S., Moore, P., &amp; Plathong, S.</w:t>
      </w:r>
      <w:r w:rsidRPr="00792B36">
        <w:rPr>
          <w:rFonts w:eastAsia="Google Sans Text"/>
          <w:color w:val="1F1F1F"/>
          <w:sz w:val="24"/>
          <w:szCs w:val="24"/>
        </w:rPr>
        <w:t xml:space="preserve"> (2018). Governance challenges for the sustainability of marine and coastal resources. In </w:t>
      </w:r>
      <w:r w:rsidRPr="00792B36">
        <w:rPr>
          <w:rFonts w:eastAsia="Google Sans Text"/>
          <w:i/>
          <w:iCs/>
          <w:color w:val="1F1F1F"/>
          <w:sz w:val="24"/>
          <w:szCs w:val="24"/>
        </w:rPr>
        <w:t>Thailand: Environmental resources and related political and social issues</w:t>
      </w:r>
      <w:r w:rsidRPr="00792B36">
        <w:rPr>
          <w:rFonts w:eastAsia="Google Sans Text"/>
          <w:color w:val="1F1F1F"/>
          <w:sz w:val="24"/>
          <w:szCs w:val="24"/>
        </w:rPr>
        <w:t xml:space="preserve"> (pp. 219–239). Nova Science Publishers.</w:t>
      </w:r>
    </w:p>
    <w:p w14:paraId="73923EB4" w14:textId="77777777" w:rsidR="00EB267E" w:rsidRPr="00792B36" w:rsidRDefault="00EB267E" w:rsidP="00EB267E">
      <w:pPr>
        <w:pBdr>
          <w:top w:val="nil"/>
          <w:left w:val="nil"/>
          <w:bottom w:val="nil"/>
          <w:right w:val="nil"/>
          <w:between w:val="nil"/>
        </w:pBdr>
        <w:spacing w:line="360" w:lineRule="auto"/>
        <w:ind w:left="105"/>
        <w:rPr>
          <w:sz w:val="24"/>
          <w:szCs w:val="24"/>
        </w:rPr>
      </w:pPr>
      <w:r w:rsidRPr="00792B36">
        <w:rPr>
          <w:rFonts w:eastAsia="Google Sans Text"/>
          <w:b/>
          <w:bCs/>
          <w:color w:val="1F1F1F"/>
          <w:sz w:val="24"/>
          <w:szCs w:val="24"/>
        </w:rPr>
        <w:t>SBN Software.</w:t>
      </w:r>
      <w:r w:rsidRPr="00792B36">
        <w:rPr>
          <w:rFonts w:eastAsia="Google Sans Text"/>
          <w:color w:val="1F1F1F"/>
          <w:sz w:val="24"/>
          <w:szCs w:val="24"/>
        </w:rPr>
        <w:t xml:space="preserve"> (2025). </w:t>
      </w:r>
      <w:r w:rsidRPr="00792B36">
        <w:rPr>
          <w:rFonts w:eastAsia="Google Sans Text"/>
          <w:i/>
          <w:iCs/>
          <w:color w:val="1F1F1F"/>
          <w:sz w:val="24"/>
          <w:szCs w:val="24"/>
        </w:rPr>
        <w:t>What technologies are available to monitor industrial waste production in real-time?</w:t>
      </w:r>
      <w:r w:rsidRPr="00792B36">
        <w:rPr>
          <w:rFonts w:eastAsia="Google Sans Text"/>
          <w:color w:val="1F1F1F"/>
          <w:sz w:val="24"/>
          <w:szCs w:val="24"/>
        </w:rPr>
        <w:t xml:space="preserve"> Retrieved from </w:t>
      </w:r>
      <w:r w:rsidRPr="00792B36">
        <w:rPr>
          <w:sz w:val="24"/>
          <w:szCs w:val="24"/>
        </w:rPr>
        <w:fldChar w:fldCharType="begin"/>
      </w:r>
      <w:r w:rsidRPr="00792B36">
        <w:rPr>
          <w:sz w:val="24"/>
          <w:szCs w:val="24"/>
        </w:rPr>
        <w:instrText>HYPERLINK "https://sbnsoftware.com/blog/what-technologies-are-available-to-monitor-industrial-waste-production-in-real-time/" \h</w:instrText>
      </w:r>
      <w:r w:rsidRPr="00792B36">
        <w:rPr>
          <w:sz w:val="24"/>
          <w:szCs w:val="24"/>
        </w:rPr>
      </w:r>
      <w:r w:rsidRPr="00792B36">
        <w:rPr>
          <w:sz w:val="24"/>
          <w:szCs w:val="24"/>
        </w:rPr>
        <w:fldChar w:fldCharType="separate"/>
      </w:r>
      <w:r w:rsidRPr="00792B36">
        <w:rPr>
          <w:rFonts w:eastAsia="Google Sans Text"/>
          <w:color w:val="0B57D0"/>
          <w:sz w:val="24"/>
          <w:szCs w:val="24"/>
          <w:u w:val="single"/>
        </w:rPr>
        <w:t>https://sbnsoftware.com/blog/what-technologies-are-available-to-monitor-industrial-waste-production-in-real-time/</w:t>
      </w:r>
      <w:r w:rsidRPr="00792B36">
        <w:rPr>
          <w:sz w:val="24"/>
          <w:szCs w:val="24"/>
        </w:rPr>
        <w:fldChar w:fldCharType="end"/>
      </w:r>
    </w:p>
    <w:p w14:paraId="4C7C6FB5" w14:textId="77777777" w:rsidR="00EB267E" w:rsidRPr="00792B36" w:rsidRDefault="00EB267E" w:rsidP="00EB267E">
      <w:pPr>
        <w:pBdr>
          <w:top w:val="nil"/>
          <w:left w:val="nil"/>
          <w:bottom w:val="nil"/>
          <w:right w:val="nil"/>
          <w:between w:val="nil"/>
        </w:pBdr>
        <w:spacing w:line="360" w:lineRule="auto"/>
        <w:ind w:left="105"/>
        <w:rPr>
          <w:sz w:val="24"/>
          <w:szCs w:val="24"/>
        </w:rPr>
      </w:pPr>
      <w:r w:rsidRPr="00792B36">
        <w:rPr>
          <w:rFonts w:eastAsia="Google Sans Text"/>
          <w:b/>
          <w:bCs/>
          <w:color w:val="1F1F1F"/>
          <w:sz w:val="24"/>
          <w:szCs w:val="24"/>
        </w:rPr>
        <w:t>Sea Around Us.</w:t>
      </w:r>
      <w:r w:rsidRPr="00792B36">
        <w:rPr>
          <w:rFonts w:eastAsia="Google Sans Text"/>
          <w:color w:val="1F1F1F"/>
          <w:sz w:val="24"/>
          <w:szCs w:val="24"/>
        </w:rPr>
        <w:t xml:space="preserve"> (2025a). </w:t>
      </w:r>
      <w:r w:rsidRPr="00792B36">
        <w:rPr>
          <w:rFonts w:eastAsia="Google Sans Text"/>
          <w:i/>
          <w:iCs/>
          <w:color w:val="1F1F1F"/>
          <w:sz w:val="24"/>
          <w:szCs w:val="24"/>
        </w:rPr>
        <w:t>Stock status in the waters of Thailand (Gulf of Thailand)</w:t>
      </w:r>
      <w:r w:rsidRPr="00792B36">
        <w:rPr>
          <w:rFonts w:eastAsia="Google Sans Text"/>
          <w:color w:val="1F1F1F"/>
          <w:sz w:val="24"/>
          <w:szCs w:val="24"/>
        </w:rPr>
        <w:t xml:space="preserve">. Available at </w:t>
      </w:r>
      <w:r w:rsidRPr="00792B36">
        <w:rPr>
          <w:sz w:val="24"/>
          <w:szCs w:val="24"/>
        </w:rPr>
        <w:fldChar w:fldCharType="begin"/>
      </w:r>
      <w:r w:rsidRPr="00792B36">
        <w:rPr>
          <w:sz w:val="24"/>
          <w:szCs w:val="24"/>
        </w:rPr>
        <w:instrText>HYPERLINK "https://www.seaaroundus.org/data/" \l "/eez/957/stock-status" \h</w:instrText>
      </w:r>
      <w:r w:rsidRPr="00792B36">
        <w:rPr>
          <w:sz w:val="24"/>
          <w:szCs w:val="24"/>
        </w:rPr>
      </w:r>
      <w:r w:rsidRPr="00792B36">
        <w:rPr>
          <w:sz w:val="24"/>
          <w:szCs w:val="24"/>
        </w:rPr>
        <w:fldChar w:fldCharType="separate"/>
      </w:r>
      <w:r w:rsidRPr="00792B36">
        <w:rPr>
          <w:rFonts w:eastAsia="Google Sans Text"/>
          <w:color w:val="0B57D0"/>
          <w:sz w:val="24"/>
          <w:szCs w:val="24"/>
          <w:u w:val="single"/>
        </w:rPr>
        <w:t>https://www.seaaroundus.org/data/#/eez/957/stock-status</w:t>
      </w:r>
      <w:r w:rsidRPr="00792B36">
        <w:rPr>
          <w:sz w:val="24"/>
          <w:szCs w:val="24"/>
        </w:rPr>
        <w:fldChar w:fldCharType="end"/>
      </w:r>
    </w:p>
    <w:p w14:paraId="5CD65762" w14:textId="77777777" w:rsidR="00EB267E" w:rsidRPr="00792B36" w:rsidRDefault="00EB267E" w:rsidP="00EB267E">
      <w:pPr>
        <w:pBdr>
          <w:top w:val="nil"/>
          <w:left w:val="nil"/>
          <w:bottom w:val="nil"/>
          <w:right w:val="nil"/>
          <w:between w:val="nil"/>
        </w:pBdr>
        <w:spacing w:line="360" w:lineRule="auto"/>
        <w:ind w:left="105"/>
        <w:rPr>
          <w:sz w:val="24"/>
          <w:szCs w:val="24"/>
        </w:rPr>
      </w:pPr>
      <w:r w:rsidRPr="00792B36">
        <w:rPr>
          <w:rFonts w:eastAsia="Google Sans Text"/>
          <w:b/>
          <w:bCs/>
          <w:color w:val="1F1F1F"/>
          <w:sz w:val="24"/>
          <w:szCs w:val="24"/>
        </w:rPr>
        <w:t>Sea Around Us.</w:t>
      </w:r>
      <w:r w:rsidRPr="00792B36">
        <w:rPr>
          <w:rFonts w:eastAsia="Google Sans Text"/>
          <w:color w:val="1F1F1F"/>
          <w:sz w:val="24"/>
          <w:szCs w:val="24"/>
        </w:rPr>
        <w:t xml:space="preserve"> (2025b). </w:t>
      </w:r>
      <w:r w:rsidRPr="00792B36">
        <w:rPr>
          <w:rFonts w:eastAsia="Google Sans Text"/>
          <w:i/>
          <w:iCs/>
          <w:color w:val="1F1F1F"/>
          <w:sz w:val="24"/>
          <w:szCs w:val="24"/>
        </w:rPr>
        <w:t>Primary Production Required for catches in the waters of Thailand (Gulf of Thailand)</w:t>
      </w:r>
      <w:r w:rsidRPr="00792B36">
        <w:rPr>
          <w:rFonts w:eastAsia="Google Sans Text"/>
          <w:color w:val="1F1F1F"/>
          <w:sz w:val="24"/>
          <w:szCs w:val="24"/>
        </w:rPr>
        <w:t xml:space="preserve">. </w:t>
      </w:r>
      <w:r w:rsidRPr="00792B36">
        <w:rPr>
          <w:sz w:val="24"/>
          <w:szCs w:val="24"/>
        </w:rPr>
        <w:fldChar w:fldCharType="begin"/>
      </w:r>
      <w:r w:rsidRPr="00792B36">
        <w:rPr>
          <w:sz w:val="24"/>
          <w:szCs w:val="24"/>
        </w:rPr>
        <w:instrText>HYPERLINK "https://www.seaaroundus.org/data/" \l "/eez/957?chart=multinational-footprint" \h</w:instrText>
      </w:r>
      <w:r w:rsidRPr="00792B36">
        <w:rPr>
          <w:sz w:val="24"/>
          <w:szCs w:val="24"/>
        </w:rPr>
      </w:r>
      <w:r w:rsidRPr="00792B36">
        <w:rPr>
          <w:sz w:val="24"/>
          <w:szCs w:val="24"/>
        </w:rPr>
        <w:fldChar w:fldCharType="separate"/>
      </w:r>
      <w:r w:rsidRPr="00792B36">
        <w:rPr>
          <w:rFonts w:eastAsia="Google Sans Text"/>
          <w:color w:val="0B57D0"/>
          <w:sz w:val="24"/>
          <w:szCs w:val="24"/>
          <w:u w:val="single"/>
        </w:rPr>
        <w:t>https://www.seaaroundus.org/data/#/eez/957?chart=multinational-footprint</w:t>
      </w:r>
      <w:r w:rsidRPr="00792B36">
        <w:rPr>
          <w:sz w:val="24"/>
          <w:szCs w:val="24"/>
        </w:rPr>
        <w:fldChar w:fldCharType="end"/>
      </w:r>
    </w:p>
    <w:p w14:paraId="25E32245" w14:textId="77777777" w:rsidR="00EB267E" w:rsidRPr="00792B36" w:rsidRDefault="00EB267E" w:rsidP="00EB267E">
      <w:pPr>
        <w:pBdr>
          <w:top w:val="nil"/>
          <w:left w:val="nil"/>
          <w:bottom w:val="nil"/>
          <w:right w:val="nil"/>
          <w:between w:val="nil"/>
        </w:pBdr>
        <w:spacing w:line="360" w:lineRule="auto"/>
        <w:ind w:left="105"/>
        <w:rPr>
          <w:sz w:val="24"/>
          <w:szCs w:val="24"/>
        </w:rPr>
      </w:pPr>
      <w:r w:rsidRPr="00792B36">
        <w:rPr>
          <w:rFonts w:eastAsia="Google Sans Text"/>
          <w:b/>
          <w:bCs/>
          <w:color w:val="1F1F1F"/>
          <w:sz w:val="24"/>
          <w:szCs w:val="24"/>
        </w:rPr>
        <w:t>Sharma, L., et al.</w:t>
      </w:r>
      <w:r w:rsidRPr="00792B36">
        <w:rPr>
          <w:rFonts w:eastAsia="Google Sans Text"/>
          <w:color w:val="1F1F1F"/>
          <w:sz w:val="24"/>
          <w:szCs w:val="24"/>
        </w:rPr>
        <w:t xml:space="preserve"> (2021). Antibiotic-resistant bacteria and gut microbiome in farmed shrimp. </w:t>
      </w:r>
      <w:r w:rsidRPr="00792B36">
        <w:rPr>
          <w:rFonts w:eastAsia="Google Sans Text"/>
          <w:i/>
          <w:iCs/>
          <w:color w:val="1F1F1F"/>
          <w:sz w:val="24"/>
          <w:szCs w:val="24"/>
        </w:rPr>
        <w:t>Nature</w:t>
      </w:r>
      <w:r w:rsidRPr="00792B36">
        <w:rPr>
          <w:rFonts w:eastAsia="Google Sans Text"/>
          <w:color w:val="1F1F1F"/>
          <w:sz w:val="24"/>
          <w:szCs w:val="24"/>
        </w:rPr>
        <w:t xml:space="preserve">. </w:t>
      </w:r>
      <w:r w:rsidRPr="00792B36">
        <w:rPr>
          <w:sz w:val="24"/>
          <w:szCs w:val="24"/>
        </w:rPr>
        <w:fldChar w:fldCharType="begin"/>
      </w:r>
      <w:r w:rsidRPr="00792B36">
        <w:rPr>
          <w:sz w:val="24"/>
          <w:szCs w:val="24"/>
        </w:rPr>
        <w:instrText>HYPERLINK "https://www.nature.com/articles/s41598-021-82823-y" \h</w:instrText>
      </w:r>
      <w:r w:rsidRPr="00792B36">
        <w:rPr>
          <w:sz w:val="24"/>
          <w:szCs w:val="24"/>
        </w:rPr>
      </w:r>
      <w:r w:rsidRPr="00792B36">
        <w:rPr>
          <w:sz w:val="24"/>
          <w:szCs w:val="24"/>
        </w:rPr>
        <w:fldChar w:fldCharType="separate"/>
      </w:r>
      <w:r w:rsidRPr="00792B36">
        <w:rPr>
          <w:rFonts w:eastAsia="Google Sans Text"/>
          <w:color w:val="0B57D0"/>
          <w:sz w:val="24"/>
          <w:szCs w:val="24"/>
          <w:u w:val="single"/>
        </w:rPr>
        <w:t>https://www.nature.com/articles/s41598-021-82823-y</w:t>
      </w:r>
      <w:r w:rsidRPr="00792B36">
        <w:rPr>
          <w:sz w:val="24"/>
          <w:szCs w:val="24"/>
        </w:rPr>
        <w:fldChar w:fldCharType="end"/>
      </w:r>
    </w:p>
    <w:p w14:paraId="15A6787A" w14:textId="77777777" w:rsidR="00EB267E" w:rsidRPr="00792B36" w:rsidRDefault="00EB267E" w:rsidP="00EB267E">
      <w:pPr>
        <w:pBdr>
          <w:top w:val="nil"/>
          <w:left w:val="nil"/>
          <w:bottom w:val="nil"/>
          <w:right w:val="nil"/>
          <w:between w:val="nil"/>
        </w:pBdr>
        <w:spacing w:line="360" w:lineRule="auto"/>
        <w:ind w:left="105"/>
        <w:rPr>
          <w:sz w:val="24"/>
          <w:szCs w:val="24"/>
        </w:rPr>
      </w:pPr>
      <w:r w:rsidRPr="00792B36">
        <w:rPr>
          <w:rFonts w:eastAsia="Google Sans Text"/>
          <w:b/>
          <w:bCs/>
          <w:color w:val="1F1F1F"/>
          <w:sz w:val="24"/>
          <w:szCs w:val="24"/>
        </w:rPr>
        <w:t>Siam City Cement.</w:t>
      </w:r>
      <w:r w:rsidRPr="00792B36">
        <w:rPr>
          <w:rFonts w:eastAsia="Google Sans Text"/>
          <w:color w:val="1F1F1F"/>
          <w:sz w:val="24"/>
          <w:szCs w:val="24"/>
        </w:rPr>
        <w:t xml:space="preserve"> (2021). </w:t>
      </w:r>
      <w:r w:rsidRPr="00792B36">
        <w:rPr>
          <w:rFonts w:eastAsia="Google Sans Text"/>
          <w:i/>
          <w:iCs/>
          <w:color w:val="1F1F1F"/>
          <w:sz w:val="24"/>
          <w:szCs w:val="24"/>
        </w:rPr>
        <w:t>Looking at industrial waste management trends in Thailand</w:t>
      </w:r>
      <w:r w:rsidRPr="00792B36">
        <w:rPr>
          <w:rFonts w:eastAsia="Google Sans Text"/>
          <w:color w:val="1F1F1F"/>
          <w:sz w:val="24"/>
          <w:szCs w:val="24"/>
        </w:rPr>
        <w:t xml:space="preserve">. Retrieved from </w:t>
      </w:r>
      <w:r w:rsidRPr="00792B36">
        <w:rPr>
          <w:sz w:val="24"/>
          <w:szCs w:val="24"/>
        </w:rPr>
        <w:fldChar w:fldCharType="begin"/>
      </w:r>
      <w:r w:rsidRPr="00792B36">
        <w:rPr>
          <w:sz w:val="24"/>
          <w:szCs w:val="24"/>
        </w:rPr>
        <w:instrText>HYPERLINK "https://www.siamcitycement.com/thailand/inseeecocycle/en/media/detail/looking-at-industrial-waste-management-trends-in-thailand" \h</w:instrText>
      </w:r>
      <w:r w:rsidRPr="00792B36">
        <w:rPr>
          <w:sz w:val="24"/>
          <w:szCs w:val="24"/>
        </w:rPr>
      </w:r>
      <w:r w:rsidRPr="00792B36">
        <w:rPr>
          <w:sz w:val="24"/>
          <w:szCs w:val="24"/>
        </w:rPr>
        <w:fldChar w:fldCharType="separate"/>
      </w:r>
      <w:r w:rsidRPr="00792B36">
        <w:rPr>
          <w:rFonts w:eastAsia="Google Sans Text"/>
          <w:color w:val="0B57D0"/>
          <w:sz w:val="24"/>
          <w:szCs w:val="24"/>
          <w:u w:val="single"/>
        </w:rPr>
        <w:t>https://www.siamcitycement.com/thailand/inseeecocycle/en/media/detail/looking-at-industrial-waste-management-trends-in-thailand</w:t>
      </w:r>
      <w:r w:rsidRPr="00792B36">
        <w:rPr>
          <w:sz w:val="24"/>
          <w:szCs w:val="24"/>
        </w:rPr>
        <w:fldChar w:fldCharType="end"/>
      </w:r>
    </w:p>
    <w:p w14:paraId="2E6897C5" w14:textId="77777777" w:rsidR="00EB267E" w:rsidRPr="00792B36" w:rsidRDefault="00EB267E" w:rsidP="00EB267E">
      <w:pPr>
        <w:pBdr>
          <w:top w:val="nil"/>
          <w:left w:val="nil"/>
          <w:bottom w:val="nil"/>
          <w:right w:val="nil"/>
          <w:between w:val="nil"/>
        </w:pBdr>
        <w:spacing w:line="360" w:lineRule="auto"/>
        <w:ind w:left="105"/>
        <w:rPr>
          <w:sz w:val="24"/>
          <w:szCs w:val="24"/>
        </w:rPr>
      </w:pPr>
      <w:r w:rsidRPr="00792B36">
        <w:rPr>
          <w:rFonts w:eastAsia="Google Sans Text"/>
          <w:b/>
          <w:bCs/>
          <w:color w:val="1F1F1F"/>
          <w:sz w:val="24"/>
          <w:szCs w:val="24"/>
        </w:rPr>
        <w:t>Sonthi, C., Harnphattananusorn, S., &amp; Santipolvut, S.</w:t>
      </w:r>
      <w:r w:rsidRPr="00792B36">
        <w:rPr>
          <w:rFonts w:eastAsia="Google Sans Text"/>
          <w:color w:val="1F1F1F"/>
          <w:sz w:val="24"/>
          <w:szCs w:val="24"/>
        </w:rPr>
        <w:t xml:space="preserve"> (2020). Pollution cost as a variable for calculating Green GDP. </w:t>
      </w:r>
      <w:r w:rsidRPr="00792B36">
        <w:rPr>
          <w:rFonts w:eastAsia="Google Sans Text"/>
          <w:i/>
          <w:iCs/>
          <w:color w:val="1F1F1F"/>
          <w:sz w:val="24"/>
          <w:szCs w:val="24"/>
        </w:rPr>
        <w:t>UTCC International Journal of Business and Economics</w:t>
      </w:r>
      <w:r w:rsidRPr="00792B36">
        <w:rPr>
          <w:rFonts w:eastAsia="Google Sans Text"/>
          <w:color w:val="1F1F1F"/>
          <w:sz w:val="24"/>
          <w:szCs w:val="24"/>
        </w:rPr>
        <w:t xml:space="preserve">, 12(1). Retrieved from </w:t>
      </w:r>
      <w:r w:rsidRPr="00792B36">
        <w:rPr>
          <w:sz w:val="24"/>
          <w:szCs w:val="24"/>
        </w:rPr>
        <w:fldChar w:fldCharType="begin"/>
      </w:r>
      <w:r w:rsidRPr="00792B36">
        <w:rPr>
          <w:sz w:val="24"/>
          <w:szCs w:val="24"/>
        </w:rPr>
        <w:instrText>HYPERLINK "https://doi.nrct.go.th/admin/doc/doc_630136.pdf" \h</w:instrText>
      </w:r>
      <w:r w:rsidRPr="00792B36">
        <w:rPr>
          <w:sz w:val="24"/>
          <w:szCs w:val="24"/>
        </w:rPr>
      </w:r>
      <w:r w:rsidRPr="00792B36">
        <w:rPr>
          <w:sz w:val="24"/>
          <w:szCs w:val="24"/>
        </w:rPr>
        <w:fldChar w:fldCharType="separate"/>
      </w:r>
      <w:r w:rsidRPr="00792B36">
        <w:rPr>
          <w:rFonts w:eastAsia="Google Sans Text"/>
          <w:color w:val="0B57D0"/>
          <w:sz w:val="24"/>
          <w:szCs w:val="24"/>
          <w:u w:val="single"/>
        </w:rPr>
        <w:t>https://doi.nrct.go.th/admin/doc/doc_630136.pdf</w:t>
      </w:r>
      <w:r w:rsidRPr="00792B36">
        <w:rPr>
          <w:sz w:val="24"/>
          <w:szCs w:val="24"/>
        </w:rPr>
        <w:fldChar w:fldCharType="end"/>
      </w:r>
    </w:p>
    <w:p w14:paraId="7D9323EC" w14:textId="77777777" w:rsidR="00EB267E" w:rsidRPr="00792B36" w:rsidRDefault="00EB267E" w:rsidP="00EB267E">
      <w:pPr>
        <w:pBdr>
          <w:top w:val="nil"/>
          <w:left w:val="nil"/>
          <w:bottom w:val="nil"/>
          <w:right w:val="nil"/>
          <w:between w:val="nil"/>
        </w:pBdr>
        <w:spacing w:line="360" w:lineRule="auto"/>
        <w:ind w:left="105"/>
        <w:rPr>
          <w:sz w:val="24"/>
          <w:szCs w:val="24"/>
        </w:rPr>
      </w:pPr>
      <w:r w:rsidRPr="00792B36">
        <w:rPr>
          <w:rFonts w:eastAsia="Google Sans Text"/>
          <w:b/>
          <w:bCs/>
          <w:color w:val="1F1F1F"/>
          <w:sz w:val="24"/>
          <w:szCs w:val="24"/>
        </w:rPr>
        <w:t>Sripanomrat, O., &amp; Srilawa-Atchan, I.</w:t>
      </w:r>
      <w:r w:rsidRPr="00792B36">
        <w:rPr>
          <w:rFonts w:eastAsia="Google Sans Text"/>
          <w:color w:val="1F1F1F"/>
          <w:sz w:val="24"/>
          <w:szCs w:val="24"/>
        </w:rPr>
        <w:t xml:space="preserve"> (2021). </w:t>
      </w:r>
      <w:r w:rsidRPr="00792B36">
        <w:rPr>
          <w:rFonts w:eastAsia="Google Sans Text"/>
          <w:i/>
          <w:iCs/>
          <w:color w:val="1F1F1F"/>
          <w:sz w:val="24"/>
          <w:szCs w:val="24"/>
        </w:rPr>
        <w:t>Assessment of economic loss from coral reef ecosystem damage through environmental justice processes: Final research report</w:t>
      </w:r>
      <w:r w:rsidRPr="00792B36">
        <w:rPr>
          <w:rFonts w:eastAsia="Google Sans Text"/>
          <w:color w:val="1F1F1F"/>
          <w:sz w:val="24"/>
          <w:szCs w:val="24"/>
        </w:rPr>
        <w:t>. Submitted to the Thailand Science Research and Innovation (TSRI). Bangkok, Thailand.</w:t>
      </w:r>
    </w:p>
    <w:p w14:paraId="10D62041" w14:textId="77777777" w:rsidR="00EB267E" w:rsidRPr="00792B36" w:rsidRDefault="00EB267E" w:rsidP="00EB267E">
      <w:pPr>
        <w:pBdr>
          <w:top w:val="nil"/>
          <w:left w:val="nil"/>
          <w:bottom w:val="nil"/>
          <w:right w:val="nil"/>
          <w:between w:val="nil"/>
        </w:pBdr>
        <w:spacing w:line="360" w:lineRule="auto"/>
        <w:ind w:left="105"/>
        <w:rPr>
          <w:sz w:val="24"/>
          <w:szCs w:val="24"/>
        </w:rPr>
      </w:pPr>
      <w:r w:rsidRPr="00792B36">
        <w:rPr>
          <w:rFonts w:eastAsia="Google Sans Text"/>
          <w:b/>
          <w:bCs/>
          <w:color w:val="1F1F1F"/>
          <w:sz w:val="24"/>
          <w:szCs w:val="24"/>
        </w:rPr>
        <w:t>Sripanomrat, O., &amp; Vincent, J. R.</w:t>
      </w:r>
      <w:r w:rsidRPr="00792B36">
        <w:rPr>
          <w:rFonts w:eastAsia="Google Sans Text"/>
          <w:color w:val="1F1F1F"/>
          <w:sz w:val="24"/>
          <w:szCs w:val="24"/>
        </w:rPr>
        <w:t xml:space="preserve"> (2019). </w:t>
      </w:r>
      <w:r w:rsidRPr="00792B36">
        <w:rPr>
          <w:rFonts w:eastAsia="Google Sans Text"/>
          <w:i/>
          <w:iCs/>
          <w:color w:val="1F1F1F"/>
          <w:sz w:val="24"/>
          <w:szCs w:val="24"/>
        </w:rPr>
        <w:t>Economic valuation of mangrove ecosystem services: Final research report submitted to the Thailand Research Fund (TRF)</w:t>
      </w:r>
      <w:r w:rsidRPr="00792B36">
        <w:rPr>
          <w:rFonts w:eastAsia="Google Sans Text"/>
          <w:color w:val="1F1F1F"/>
          <w:sz w:val="24"/>
          <w:szCs w:val="24"/>
        </w:rPr>
        <w:t>. Bangkok: Thammasat University.</w:t>
      </w:r>
    </w:p>
    <w:p w14:paraId="01A01956" w14:textId="77777777" w:rsidR="00EB267E" w:rsidRPr="00792B36" w:rsidRDefault="00EB267E" w:rsidP="00EB267E">
      <w:pPr>
        <w:pBdr>
          <w:top w:val="nil"/>
          <w:left w:val="nil"/>
          <w:bottom w:val="nil"/>
          <w:right w:val="nil"/>
          <w:between w:val="nil"/>
        </w:pBdr>
        <w:spacing w:line="360" w:lineRule="auto"/>
        <w:ind w:left="105"/>
        <w:rPr>
          <w:sz w:val="24"/>
          <w:szCs w:val="24"/>
        </w:rPr>
      </w:pPr>
      <w:r w:rsidRPr="00792B36">
        <w:rPr>
          <w:rFonts w:eastAsia="Google Sans Text"/>
          <w:b/>
          <w:bCs/>
          <w:color w:val="1F1F1F"/>
          <w:sz w:val="24"/>
          <w:szCs w:val="24"/>
        </w:rPr>
        <w:t>Sub-Committee on Knowledge Management for National Marine Interests.</w:t>
      </w:r>
      <w:r w:rsidRPr="00792B36">
        <w:rPr>
          <w:rFonts w:eastAsia="Google Sans Text"/>
          <w:color w:val="1F1F1F"/>
          <w:sz w:val="24"/>
          <w:szCs w:val="24"/>
        </w:rPr>
        <w:t xml:space="preserve"> (2019). </w:t>
      </w:r>
      <w:r w:rsidRPr="00792B36">
        <w:rPr>
          <w:rFonts w:eastAsia="Google Sans Text"/>
          <w:i/>
          <w:iCs/>
          <w:color w:val="1F1F1F"/>
          <w:sz w:val="24"/>
          <w:szCs w:val="24"/>
        </w:rPr>
        <w:t>The sea, the ocean, and national marine interests</w:t>
      </w:r>
      <w:r w:rsidRPr="00792B36">
        <w:rPr>
          <w:rFonts w:eastAsia="Google Sans Text"/>
          <w:color w:val="1F1F1F"/>
          <w:sz w:val="24"/>
          <w:szCs w:val="24"/>
        </w:rPr>
        <w:t>. National Security Council, Office of the Prime Minister.</w:t>
      </w:r>
    </w:p>
    <w:p w14:paraId="75F8A2CC" w14:textId="77777777" w:rsidR="00EB267E" w:rsidRPr="00792B36" w:rsidRDefault="00EB267E" w:rsidP="00EB267E">
      <w:pPr>
        <w:pBdr>
          <w:top w:val="nil"/>
          <w:left w:val="nil"/>
          <w:bottom w:val="nil"/>
          <w:right w:val="nil"/>
          <w:between w:val="nil"/>
        </w:pBdr>
        <w:spacing w:line="360" w:lineRule="auto"/>
        <w:ind w:left="105"/>
        <w:rPr>
          <w:sz w:val="24"/>
          <w:szCs w:val="24"/>
        </w:rPr>
      </w:pPr>
      <w:r w:rsidRPr="00792B36">
        <w:rPr>
          <w:rFonts w:eastAsia="Google Sans Text"/>
          <w:b/>
          <w:bCs/>
          <w:color w:val="1F1F1F"/>
          <w:sz w:val="24"/>
          <w:szCs w:val="24"/>
        </w:rPr>
        <w:t>Suk-Ueng, N., Buranapratheprat, A., Gunbua, V., &amp; Leadprathom, N.</w:t>
      </w:r>
      <w:r w:rsidRPr="00792B36">
        <w:rPr>
          <w:rFonts w:eastAsia="Google Sans Text"/>
          <w:color w:val="1F1F1F"/>
          <w:sz w:val="24"/>
          <w:szCs w:val="24"/>
        </w:rPr>
        <w:t xml:space="preserve"> (2013). </w:t>
      </w:r>
      <w:r w:rsidRPr="00792B36">
        <w:rPr>
          <w:rFonts w:eastAsia="Google Sans Text"/>
          <w:color w:val="1F1F1F"/>
          <w:sz w:val="24"/>
          <w:szCs w:val="24"/>
        </w:rPr>
        <w:lastRenderedPageBreak/>
        <w:t xml:space="preserve">Mangrove composition and structure at the Welu estuary, Khlung district, Chanthaburi province, Thailand. </w:t>
      </w:r>
      <w:r w:rsidRPr="00792B36">
        <w:rPr>
          <w:rFonts w:eastAsia="Google Sans Text"/>
          <w:i/>
          <w:iCs/>
          <w:color w:val="1F1F1F"/>
          <w:sz w:val="24"/>
          <w:szCs w:val="24"/>
        </w:rPr>
        <w:t>IOSR Journal of Environmental Science, Toxicology and Food Technology</w:t>
      </w:r>
      <w:r w:rsidRPr="00792B36">
        <w:rPr>
          <w:rFonts w:eastAsia="Google Sans Text"/>
          <w:color w:val="1F1F1F"/>
          <w:sz w:val="24"/>
          <w:szCs w:val="24"/>
        </w:rPr>
        <w:t>, 7(5), 17-24.</w:t>
      </w:r>
    </w:p>
    <w:p w14:paraId="5E8A72E8" w14:textId="77777777" w:rsidR="00EB267E" w:rsidRPr="00792B36" w:rsidRDefault="00EB267E" w:rsidP="00EB267E">
      <w:pPr>
        <w:pBdr>
          <w:top w:val="nil"/>
          <w:left w:val="nil"/>
          <w:bottom w:val="nil"/>
          <w:right w:val="nil"/>
          <w:between w:val="nil"/>
        </w:pBdr>
        <w:spacing w:line="360" w:lineRule="auto"/>
        <w:ind w:left="105"/>
        <w:rPr>
          <w:sz w:val="24"/>
          <w:szCs w:val="24"/>
        </w:rPr>
      </w:pPr>
      <w:r w:rsidRPr="00792B36">
        <w:rPr>
          <w:rFonts w:eastAsia="Google Sans Text"/>
          <w:b/>
          <w:bCs/>
          <w:color w:val="1F1F1F"/>
          <w:sz w:val="24"/>
          <w:szCs w:val="24"/>
        </w:rPr>
        <w:t>Sutthasinee, Tan-on.</w:t>
      </w:r>
      <w:r w:rsidRPr="00792B36">
        <w:rPr>
          <w:rFonts w:eastAsia="Google Sans Text"/>
          <w:color w:val="1F1F1F"/>
          <w:sz w:val="24"/>
          <w:szCs w:val="24"/>
        </w:rPr>
        <w:t xml:space="preserve"> (2007). </w:t>
      </w:r>
      <w:r w:rsidRPr="00792B36">
        <w:rPr>
          <w:rFonts w:eastAsia="Google Sans Text"/>
          <w:i/>
          <w:iCs/>
          <w:color w:val="1F1F1F"/>
          <w:sz w:val="24"/>
          <w:szCs w:val="24"/>
        </w:rPr>
        <w:t>Management of Don Hoi Lot wetland, Samut Songkhram Province, under the Ramsar Convention</w:t>
      </w:r>
      <w:r w:rsidRPr="00792B36">
        <w:rPr>
          <w:rFonts w:eastAsia="Google Sans Text"/>
          <w:color w:val="1F1F1F"/>
          <w:sz w:val="24"/>
          <w:szCs w:val="24"/>
        </w:rPr>
        <w:t xml:space="preserve"> (No. 111741). Thammasat University.</w:t>
      </w:r>
    </w:p>
    <w:p w14:paraId="00670AD2" w14:textId="77777777" w:rsidR="00EB267E" w:rsidRPr="00792B36" w:rsidRDefault="00EB267E" w:rsidP="00EB267E">
      <w:pPr>
        <w:pBdr>
          <w:top w:val="nil"/>
          <w:left w:val="nil"/>
          <w:bottom w:val="nil"/>
          <w:right w:val="nil"/>
          <w:between w:val="nil"/>
        </w:pBdr>
        <w:spacing w:line="360" w:lineRule="auto"/>
        <w:ind w:left="105"/>
        <w:rPr>
          <w:sz w:val="24"/>
          <w:szCs w:val="24"/>
        </w:rPr>
      </w:pPr>
      <w:r w:rsidRPr="00792B36">
        <w:rPr>
          <w:rFonts w:eastAsia="Google Sans Text"/>
          <w:b/>
          <w:bCs/>
          <w:color w:val="1F1F1F"/>
          <w:sz w:val="24"/>
          <w:szCs w:val="24"/>
        </w:rPr>
        <w:t>Thailand Agricultural Sector Report.</w:t>
      </w:r>
      <w:r w:rsidRPr="00792B36">
        <w:rPr>
          <w:rFonts w:eastAsia="Google Sans Text"/>
          <w:color w:val="1F1F1F"/>
          <w:sz w:val="24"/>
          <w:szCs w:val="24"/>
        </w:rPr>
        <w:t xml:space="preserve"> (2025). </w:t>
      </w:r>
      <w:r w:rsidRPr="00792B36">
        <w:rPr>
          <w:rFonts w:eastAsia="Google Sans Text"/>
          <w:i/>
          <w:iCs/>
          <w:color w:val="1F1F1F"/>
          <w:sz w:val="24"/>
          <w:szCs w:val="24"/>
        </w:rPr>
        <w:t>Thailand taxonomy agriculture sector</w:t>
      </w:r>
      <w:r w:rsidRPr="00792B36">
        <w:rPr>
          <w:rFonts w:eastAsia="Google Sans Text"/>
          <w:color w:val="1F1F1F"/>
          <w:sz w:val="24"/>
          <w:szCs w:val="24"/>
        </w:rPr>
        <w:t xml:space="preserve">. Bank of Thailand. </w:t>
      </w:r>
      <w:r w:rsidRPr="00792B36">
        <w:rPr>
          <w:sz w:val="24"/>
          <w:szCs w:val="24"/>
        </w:rPr>
        <w:fldChar w:fldCharType="begin"/>
      </w:r>
      <w:r w:rsidRPr="00792B36">
        <w:rPr>
          <w:sz w:val="24"/>
          <w:szCs w:val="24"/>
        </w:rPr>
        <w:instrText>HYPERLINK "https://www.bot.or.th/content/dam/bot/financial-innovation/sustainable-finance/green/taxonomy/03_EN_Thailand_Taxonomy-Agriculture_Sector.pdf" \h</w:instrText>
      </w:r>
      <w:r w:rsidRPr="00792B36">
        <w:rPr>
          <w:sz w:val="24"/>
          <w:szCs w:val="24"/>
        </w:rPr>
      </w:r>
      <w:r w:rsidRPr="00792B36">
        <w:rPr>
          <w:sz w:val="24"/>
          <w:szCs w:val="24"/>
        </w:rPr>
        <w:fldChar w:fldCharType="separate"/>
      </w:r>
      <w:r w:rsidRPr="00792B36">
        <w:rPr>
          <w:rFonts w:eastAsia="Google Sans Text"/>
          <w:color w:val="0B57D0"/>
          <w:sz w:val="24"/>
          <w:szCs w:val="24"/>
          <w:u w:val="single"/>
        </w:rPr>
        <w:t>https://www.bot.or.th/content/dam/bot/financial-innovation/sustainable-finance/green/taxonomy/03_EN_Thailand_Taxonomy-Agriculture_Sector.pdf</w:t>
      </w:r>
      <w:r w:rsidRPr="00792B36">
        <w:rPr>
          <w:sz w:val="24"/>
          <w:szCs w:val="24"/>
        </w:rPr>
        <w:fldChar w:fldCharType="end"/>
      </w:r>
    </w:p>
    <w:p w14:paraId="0C16DA48" w14:textId="77777777" w:rsidR="00EB267E" w:rsidRPr="00792B36" w:rsidRDefault="00EB267E" w:rsidP="00EB267E">
      <w:pPr>
        <w:pBdr>
          <w:top w:val="nil"/>
          <w:left w:val="nil"/>
          <w:bottom w:val="nil"/>
          <w:right w:val="nil"/>
          <w:between w:val="nil"/>
        </w:pBdr>
        <w:spacing w:line="360" w:lineRule="auto"/>
        <w:ind w:left="105"/>
        <w:rPr>
          <w:sz w:val="24"/>
          <w:szCs w:val="24"/>
        </w:rPr>
      </w:pPr>
      <w:r w:rsidRPr="00792B36">
        <w:rPr>
          <w:rFonts w:eastAsia="Google Sans Text"/>
          <w:b/>
          <w:bCs/>
          <w:color w:val="1F1F1F"/>
          <w:sz w:val="24"/>
          <w:szCs w:val="24"/>
        </w:rPr>
        <w:t>Thailand Board of Investment (BOI).</w:t>
      </w:r>
      <w:r w:rsidRPr="00792B36">
        <w:rPr>
          <w:rFonts w:eastAsia="Google Sans Text"/>
          <w:color w:val="1F1F1F"/>
          <w:sz w:val="24"/>
          <w:szCs w:val="24"/>
        </w:rPr>
        <w:t xml:space="preserve"> (2024). </w:t>
      </w:r>
      <w:r w:rsidRPr="00792B36">
        <w:rPr>
          <w:rFonts w:eastAsia="Google Sans Text"/>
          <w:i/>
          <w:iCs/>
          <w:color w:val="1F1F1F"/>
          <w:sz w:val="24"/>
          <w:szCs w:val="24"/>
        </w:rPr>
        <w:t>Foreign direct investment situation report 2023 (January–December)</w:t>
      </w:r>
      <w:r w:rsidRPr="00792B36">
        <w:rPr>
          <w:rFonts w:eastAsia="Google Sans Text"/>
          <w:color w:val="1F1F1F"/>
          <w:sz w:val="24"/>
          <w:szCs w:val="24"/>
        </w:rPr>
        <w:t>. International Affairs Division.</w:t>
      </w:r>
    </w:p>
    <w:p w14:paraId="63C0B447" w14:textId="77777777" w:rsidR="00EB267E" w:rsidRPr="00792B36" w:rsidRDefault="00EB267E" w:rsidP="00EB267E">
      <w:pPr>
        <w:pBdr>
          <w:top w:val="nil"/>
          <w:left w:val="nil"/>
          <w:bottom w:val="nil"/>
          <w:right w:val="nil"/>
          <w:between w:val="nil"/>
        </w:pBdr>
        <w:spacing w:line="360" w:lineRule="auto"/>
        <w:ind w:left="105"/>
        <w:rPr>
          <w:sz w:val="24"/>
          <w:szCs w:val="24"/>
        </w:rPr>
      </w:pPr>
      <w:r w:rsidRPr="00792B36">
        <w:rPr>
          <w:rFonts w:eastAsia="Google Sans Text"/>
          <w:b/>
          <w:bCs/>
          <w:color w:val="1F1F1F"/>
          <w:sz w:val="24"/>
          <w:szCs w:val="24"/>
        </w:rPr>
        <w:t>Thailand Board of Investment.</w:t>
      </w:r>
      <w:r w:rsidRPr="00792B36">
        <w:rPr>
          <w:rFonts w:eastAsia="Google Sans Text"/>
          <w:color w:val="1F1F1F"/>
          <w:sz w:val="24"/>
          <w:szCs w:val="24"/>
        </w:rPr>
        <w:t xml:space="preserve"> (2025). </w:t>
      </w:r>
      <w:r w:rsidRPr="00792B36">
        <w:rPr>
          <w:rFonts w:eastAsia="Google Sans Text"/>
          <w:i/>
          <w:iCs/>
          <w:color w:val="1F1F1F"/>
          <w:sz w:val="24"/>
          <w:szCs w:val="24"/>
        </w:rPr>
        <w:t>Statistical report and investment promotion trends under the investment promotion policy (from 2015 onwards): Statistics on foreign direct investment</w:t>
      </w:r>
      <w:r w:rsidRPr="00792B36">
        <w:rPr>
          <w:rFonts w:eastAsia="Google Sans Text"/>
          <w:color w:val="1F1F1F"/>
          <w:sz w:val="24"/>
          <w:szCs w:val="24"/>
        </w:rPr>
        <w:t xml:space="preserve"> [Data set]. </w:t>
      </w:r>
      <w:r w:rsidRPr="00792B36">
        <w:rPr>
          <w:sz w:val="24"/>
          <w:szCs w:val="24"/>
        </w:rPr>
        <w:fldChar w:fldCharType="begin"/>
      </w:r>
      <w:r w:rsidRPr="00792B36">
        <w:rPr>
          <w:sz w:val="24"/>
          <w:szCs w:val="24"/>
        </w:rPr>
        <w:instrText>HYPERLINK "https://ipstat.boi.go.th/pubrpt/index.php" \h</w:instrText>
      </w:r>
      <w:r w:rsidRPr="00792B36">
        <w:rPr>
          <w:sz w:val="24"/>
          <w:szCs w:val="24"/>
        </w:rPr>
      </w:r>
      <w:r w:rsidRPr="00792B36">
        <w:rPr>
          <w:sz w:val="24"/>
          <w:szCs w:val="24"/>
        </w:rPr>
        <w:fldChar w:fldCharType="separate"/>
      </w:r>
      <w:r w:rsidRPr="00792B36">
        <w:rPr>
          <w:rFonts w:eastAsia="Google Sans Text"/>
          <w:color w:val="0B57D0"/>
          <w:sz w:val="24"/>
          <w:szCs w:val="24"/>
          <w:u w:val="single"/>
        </w:rPr>
        <w:t>https://ipstat.boi.go.th/pubrpt/index.php</w:t>
      </w:r>
      <w:r w:rsidRPr="00792B36">
        <w:rPr>
          <w:sz w:val="24"/>
          <w:szCs w:val="24"/>
        </w:rPr>
        <w:fldChar w:fldCharType="end"/>
      </w:r>
    </w:p>
    <w:p w14:paraId="72D0F1E1" w14:textId="77777777" w:rsidR="00EB267E" w:rsidRPr="00792B36" w:rsidRDefault="00EB267E" w:rsidP="00EB267E">
      <w:pPr>
        <w:pBdr>
          <w:top w:val="nil"/>
          <w:left w:val="nil"/>
          <w:bottom w:val="nil"/>
          <w:right w:val="nil"/>
          <w:between w:val="nil"/>
        </w:pBdr>
        <w:spacing w:line="360" w:lineRule="auto"/>
        <w:ind w:left="105"/>
        <w:rPr>
          <w:sz w:val="24"/>
          <w:szCs w:val="24"/>
        </w:rPr>
      </w:pPr>
      <w:r w:rsidRPr="00792B36">
        <w:rPr>
          <w:rFonts w:eastAsia="Google Sans Text"/>
          <w:b/>
          <w:bCs/>
          <w:color w:val="1F1F1F"/>
          <w:sz w:val="24"/>
          <w:szCs w:val="24"/>
        </w:rPr>
        <w:t>Thailand Development Research Institute.</w:t>
      </w:r>
      <w:r w:rsidRPr="00792B36">
        <w:rPr>
          <w:rFonts w:eastAsia="Google Sans Text"/>
          <w:color w:val="1F1F1F"/>
          <w:sz w:val="24"/>
          <w:szCs w:val="24"/>
        </w:rPr>
        <w:t xml:space="preserve"> (2024). </w:t>
      </w:r>
      <w:r w:rsidRPr="00792B36">
        <w:rPr>
          <w:rFonts w:eastAsia="Google Sans Text"/>
          <w:i/>
          <w:iCs/>
          <w:color w:val="1F1F1F"/>
          <w:sz w:val="24"/>
          <w:szCs w:val="24"/>
        </w:rPr>
        <w:t>Disparity worsens ocean pollution</w:t>
      </w:r>
      <w:r w:rsidRPr="00792B36">
        <w:rPr>
          <w:rFonts w:eastAsia="Google Sans Text"/>
          <w:color w:val="1F1F1F"/>
          <w:sz w:val="24"/>
          <w:szCs w:val="24"/>
        </w:rPr>
        <w:t>.</w:t>
      </w:r>
    </w:p>
    <w:p w14:paraId="54DC3D72" w14:textId="77777777" w:rsidR="00EB267E" w:rsidRPr="00792B36" w:rsidRDefault="00EB267E" w:rsidP="00EB267E">
      <w:pPr>
        <w:pBdr>
          <w:top w:val="nil"/>
          <w:left w:val="nil"/>
          <w:bottom w:val="nil"/>
          <w:right w:val="nil"/>
          <w:between w:val="nil"/>
        </w:pBdr>
        <w:spacing w:line="360" w:lineRule="auto"/>
        <w:ind w:left="105"/>
        <w:rPr>
          <w:sz w:val="24"/>
          <w:szCs w:val="24"/>
        </w:rPr>
      </w:pPr>
      <w:r w:rsidRPr="00792B36">
        <w:rPr>
          <w:rFonts w:eastAsia="Google Sans Text"/>
          <w:b/>
          <w:bCs/>
          <w:color w:val="1F1F1F"/>
          <w:sz w:val="24"/>
          <w:szCs w:val="24"/>
        </w:rPr>
        <w:t>Thammasat University.</w:t>
      </w:r>
      <w:r w:rsidRPr="00792B36">
        <w:rPr>
          <w:rFonts w:eastAsia="Google Sans Text"/>
          <w:color w:val="1F1F1F"/>
          <w:sz w:val="24"/>
          <w:szCs w:val="24"/>
        </w:rPr>
        <w:t xml:space="preserve"> (2025). </w:t>
      </w:r>
      <w:r w:rsidRPr="00792B36">
        <w:rPr>
          <w:rFonts w:eastAsia="Google Sans Text"/>
          <w:i/>
          <w:iCs/>
          <w:color w:val="1F1F1F"/>
          <w:sz w:val="24"/>
          <w:szCs w:val="24"/>
        </w:rPr>
        <w:t>Thailand Environmental Survey 2025: Citizens Prioritize Environment</w:t>
      </w:r>
      <w:r w:rsidRPr="00792B36">
        <w:rPr>
          <w:rFonts w:eastAsia="Google Sans Text"/>
          <w:color w:val="1F1F1F"/>
          <w:sz w:val="24"/>
          <w:szCs w:val="24"/>
        </w:rPr>
        <w:t>.</w:t>
      </w:r>
    </w:p>
    <w:p w14:paraId="202E303B" w14:textId="77777777" w:rsidR="00EB267E" w:rsidRPr="00792B36" w:rsidRDefault="00EB267E" w:rsidP="00EB267E">
      <w:pPr>
        <w:pBdr>
          <w:top w:val="nil"/>
          <w:left w:val="nil"/>
          <w:bottom w:val="nil"/>
          <w:right w:val="nil"/>
          <w:between w:val="nil"/>
        </w:pBdr>
        <w:spacing w:line="360" w:lineRule="auto"/>
        <w:ind w:left="105"/>
        <w:rPr>
          <w:sz w:val="24"/>
          <w:szCs w:val="24"/>
        </w:rPr>
      </w:pPr>
      <w:r w:rsidRPr="00792B36">
        <w:rPr>
          <w:rFonts w:eastAsia="Google Sans Text"/>
          <w:b/>
          <w:bCs/>
          <w:color w:val="1F1F1F"/>
          <w:sz w:val="24"/>
          <w:szCs w:val="24"/>
        </w:rPr>
        <w:t>TMD.</w:t>
      </w:r>
      <w:r w:rsidRPr="00792B36">
        <w:rPr>
          <w:rFonts w:eastAsia="Google Sans Text"/>
          <w:color w:val="1F1F1F"/>
          <w:sz w:val="24"/>
          <w:szCs w:val="24"/>
        </w:rPr>
        <w:t xml:space="preserve"> (2025). </w:t>
      </w:r>
      <w:r w:rsidRPr="00792B36">
        <w:rPr>
          <w:rFonts w:eastAsia="Google Sans Text"/>
          <w:i/>
          <w:iCs/>
          <w:color w:val="1F1F1F"/>
          <w:sz w:val="24"/>
          <w:szCs w:val="24"/>
        </w:rPr>
        <w:t>Tropical Cyclones in Thailand (1951-2024)</w:t>
      </w:r>
      <w:r w:rsidRPr="00792B36">
        <w:rPr>
          <w:rFonts w:eastAsia="Google Sans Text"/>
          <w:color w:val="1F1F1F"/>
          <w:sz w:val="24"/>
          <w:szCs w:val="24"/>
        </w:rPr>
        <w:t>. Climate Center, Meteorological Development Division, Thai Meteorological Department.</w:t>
      </w:r>
    </w:p>
    <w:p w14:paraId="26FD1DE7" w14:textId="77777777" w:rsidR="00EB267E" w:rsidRPr="00792B36" w:rsidRDefault="00EB267E" w:rsidP="00EB267E">
      <w:pPr>
        <w:pBdr>
          <w:top w:val="nil"/>
          <w:left w:val="nil"/>
          <w:bottom w:val="nil"/>
          <w:right w:val="nil"/>
          <w:between w:val="nil"/>
        </w:pBdr>
        <w:spacing w:line="360" w:lineRule="auto"/>
        <w:ind w:left="105"/>
        <w:rPr>
          <w:sz w:val="24"/>
          <w:szCs w:val="24"/>
        </w:rPr>
      </w:pPr>
      <w:r w:rsidRPr="00792B36">
        <w:rPr>
          <w:rFonts w:eastAsia="Google Sans Text"/>
          <w:b/>
          <w:bCs/>
          <w:color w:val="1F1F1F"/>
          <w:sz w:val="24"/>
          <w:szCs w:val="24"/>
        </w:rPr>
        <w:t>UNDP.</w:t>
      </w:r>
      <w:r w:rsidRPr="00792B36">
        <w:rPr>
          <w:rFonts w:eastAsia="Google Sans Text"/>
          <w:color w:val="1F1F1F"/>
          <w:sz w:val="24"/>
          <w:szCs w:val="24"/>
        </w:rPr>
        <w:t xml:space="preserve"> (2025). </w:t>
      </w:r>
      <w:r w:rsidRPr="00792B36">
        <w:rPr>
          <w:rFonts w:eastAsia="Google Sans Text"/>
          <w:i/>
          <w:iCs/>
          <w:color w:val="1F1F1F"/>
          <w:sz w:val="24"/>
          <w:szCs w:val="24"/>
        </w:rPr>
        <w:t>Human Development Reports</w:t>
      </w:r>
      <w:r w:rsidRPr="00792B36">
        <w:rPr>
          <w:rFonts w:eastAsia="Google Sans Text"/>
          <w:color w:val="1F1F1F"/>
          <w:sz w:val="24"/>
          <w:szCs w:val="24"/>
        </w:rPr>
        <w:t xml:space="preserve">. </w:t>
      </w:r>
      <w:r w:rsidRPr="00792B36">
        <w:rPr>
          <w:sz w:val="24"/>
          <w:szCs w:val="24"/>
        </w:rPr>
        <w:fldChar w:fldCharType="begin"/>
      </w:r>
      <w:r w:rsidRPr="00792B36">
        <w:rPr>
          <w:sz w:val="24"/>
          <w:szCs w:val="24"/>
        </w:rPr>
        <w:instrText>HYPERLINK "https://hdr.undp.org/data-center/documentation-and-downloads" \h</w:instrText>
      </w:r>
      <w:r w:rsidRPr="00792B36">
        <w:rPr>
          <w:sz w:val="24"/>
          <w:szCs w:val="24"/>
        </w:rPr>
      </w:r>
      <w:r w:rsidRPr="00792B36">
        <w:rPr>
          <w:sz w:val="24"/>
          <w:szCs w:val="24"/>
        </w:rPr>
        <w:fldChar w:fldCharType="separate"/>
      </w:r>
      <w:r w:rsidRPr="00792B36">
        <w:rPr>
          <w:rFonts w:eastAsia="Google Sans Text"/>
          <w:color w:val="0B57D0"/>
          <w:sz w:val="24"/>
          <w:szCs w:val="24"/>
          <w:u w:val="single"/>
        </w:rPr>
        <w:t>https://hdr.undp.org/data-center/documentation-and-downloads</w:t>
      </w:r>
      <w:r w:rsidRPr="00792B36">
        <w:rPr>
          <w:sz w:val="24"/>
          <w:szCs w:val="24"/>
        </w:rPr>
        <w:fldChar w:fldCharType="end"/>
      </w:r>
      <w:r w:rsidRPr="00792B36">
        <w:rPr>
          <w:rFonts w:eastAsia="Google Sans Text"/>
          <w:color w:val="1F1F1F"/>
          <w:sz w:val="24"/>
          <w:szCs w:val="24"/>
        </w:rPr>
        <w:t xml:space="preserve"> (accessed 22 April 2025).</w:t>
      </w:r>
    </w:p>
    <w:p w14:paraId="5770F1EC" w14:textId="77777777" w:rsidR="00EB267E" w:rsidRPr="00792B36" w:rsidRDefault="00EB267E" w:rsidP="00EB267E">
      <w:pPr>
        <w:pBdr>
          <w:top w:val="nil"/>
          <w:left w:val="nil"/>
          <w:bottom w:val="nil"/>
          <w:right w:val="nil"/>
          <w:between w:val="nil"/>
        </w:pBdr>
        <w:spacing w:line="360" w:lineRule="auto"/>
        <w:ind w:left="105"/>
        <w:rPr>
          <w:sz w:val="24"/>
          <w:szCs w:val="24"/>
        </w:rPr>
      </w:pPr>
      <w:r w:rsidRPr="00792B36">
        <w:rPr>
          <w:rFonts w:eastAsia="Google Sans Text"/>
          <w:b/>
          <w:bCs/>
          <w:color w:val="1F1F1F"/>
          <w:sz w:val="24"/>
          <w:szCs w:val="24"/>
        </w:rPr>
        <w:t>UNEP/GEF.</w:t>
      </w:r>
      <w:r w:rsidRPr="00792B36">
        <w:rPr>
          <w:rFonts w:eastAsia="Google Sans Text"/>
          <w:color w:val="1F1F1F"/>
          <w:sz w:val="24"/>
          <w:szCs w:val="24"/>
        </w:rPr>
        <w:t xml:space="preserve"> (2000). </w:t>
      </w:r>
      <w:r w:rsidRPr="00792B36">
        <w:rPr>
          <w:rFonts w:eastAsia="Google Sans Text"/>
          <w:i/>
          <w:iCs/>
          <w:color w:val="1F1F1F"/>
          <w:sz w:val="24"/>
          <w:szCs w:val="24"/>
        </w:rPr>
        <w:t>National Report of Thailand on the Formulation of a Transboundary Diagnostic Analysis</w:t>
      </w:r>
      <w:r w:rsidRPr="00792B36">
        <w:rPr>
          <w:rFonts w:eastAsia="Google Sans Text"/>
          <w:color w:val="1F1F1F"/>
          <w:sz w:val="24"/>
          <w:szCs w:val="24"/>
        </w:rPr>
        <w:t>.</w:t>
      </w:r>
    </w:p>
    <w:p w14:paraId="22FDBDC2" w14:textId="77777777" w:rsidR="00EB267E" w:rsidRPr="00792B36" w:rsidRDefault="00EB267E" w:rsidP="00EB267E">
      <w:pPr>
        <w:pBdr>
          <w:top w:val="nil"/>
          <w:left w:val="nil"/>
          <w:bottom w:val="nil"/>
          <w:right w:val="nil"/>
          <w:between w:val="nil"/>
        </w:pBdr>
        <w:spacing w:line="360" w:lineRule="auto"/>
        <w:ind w:left="105"/>
        <w:rPr>
          <w:sz w:val="24"/>
          <w:szCs w:val="24"/>
        </w:rPr>
      </w:pPr>
      <w:r w:rsidRPr="00792B36">
        <w:rPr>
          <w:rFonts w:eastAsia="Google Sans Text"/>
          <w:b/>
          <w:bCs/>
          <w:color w:val="1F1F1F"/>
          <w:sz w:val="24"/>
          <w:szCs w:val="24"/>
        </w:rPr>
        <w:t>UN-Habitat (United Nations Human Settlements Programme).</w:t>
      </w:r>
      <w:r w:rsidRPr="00792B36">
        <w:rPr>
          <w:rFonts w:eastAsia="Google Sans Text"/>
          <w:color w:val="1F1F1F"/>
          <w:sz w:val="24"/>
          <w:szCs w:val="24"/>
        </w:rPr>
        <w:t xml:space="preserve"> (2016). </w:t>
      </w:r>
      <w:r w:rsidRPr="00792B36">
        <w:rPr>
          <w:rFonts w:eastAsia="Google Sans Text"/>
          <w:i/>
          <w:iCs/>
          <w:color w:val="1F1F1F"/>
          <w:sz w:val="24"/>
          <w:szCs w:val="24"/>
        </w:rPr>
        <w:t>World Cities Report 2016, Urbanization and Development: Emerging Futures</w:t>
      </w:r>
      <w:r w:rsidRPr="00792B36">
        <w:rPr>
          <w:rFonts w:eastAsia="Google Sans Text"/>
          <w:color w:val="1F1F1F"/>
          <w:sz w:val="24"/>
          <w:szCs w:val="24"/>
        </w:rPr>
        <w:t xml:space="preserve">. Nairobi. </w:t>
      </w:r>
      <w:r w:rsidRPr="00792B36">
        <w:rPr>
          <w:sz w:val="24"/>
          <w:szCs w:val="24"/>
        </w:rPr>
        <w:fldChar w:fldCharType="begin"/>
      </w:r>
      <w:r w:rsidRPr="00792B36">
        <w:rPr>
          <w:sz w:val="24"/>
          <w:szCs w:val="24"/>
        </w:rPr>
        <w:instrText>HYPERLINK "https://unhabitat.org/world-cities-report-2016" \h</w:instrText>
      </w:r>
      <w:r w:rsidRPr="00792B36">
        <w:rPr>
          <w:sz w:val="24"/>
          <w:szCs w:val="24"/>
        </w:rPr>
      </w:r>
      <w:r w:rsidRPr="00792B36">
        <w:rPr>
          <w:sz w:val="24"/>
          <w:szCs w:val="24"/>
        </w:rPr>
        <w:fldChar w:fldCharType="separate"/>
      </w:r>
      <w:r w:rsidRPr="00792B36">
        <w:rPr>
          <w:rFonts w:eastAsia="Google Sans Text"/>
          <w:color w:val="0B57D0"/>
          <w:sz w:val="24"/>
          <w:szCs w:val="24"/>
          <w:u w:val="single"/>
        </w:rPr>
        <w:t>https://unhabitat.org/world-cities-report-2016</w:t>
      </w:r>
      <w:r w:rsidRPr="00792B36">
        <w:rPr>
          <w:sz w:val="24"/>
          <w:szCs w:val="24"/>
        </w:rPr>
        <w:fldChar w:fldCharType="end"/>
      </w:r>
      <w:r w:rsidRPr="00792B36">
        <w:rPr>
          <w:rFonts w:eastAsia="Google Sans Text"/>
          <w:color w:val="1F1F1F"/>
          <w:sz w:val="24"/>
          <w:szCs w:val="24"/>
        </w:rPr>
        <w:t xml:space="preserve"> (accessed 19 April 2025).</w:t>
      </w:r>
    </w:p>
    <w:p w14:paraId="7B6578D7" w14:textId="77777777" w:rsidR="00EB267E" w:rsidRPr="00792B36" w:rsidRDefault="00EB267E" w:rsidP="00EB267E">
      <w:pPr>
        <w:pBdr>
          <w:top w:val="nil"/>
          <w:left w:val="nil"/>
          <w:bottom w:val="nil"/>
          <w:right w:val="nil"/>
          <w:between w:val="nil"/>
        </w:pBdr>
        <w:spacing w:line="360" w:lineRule="auto"/>
        <w:ind w:left="105"/>
        <w:rPr>
          <w:sz w:val="24"/>
          <w:szCs w:val="24"/>
        </w:rPr>
      </w:pPr>
      <w:r w:rsidRPr="00792B36">
        <w:rPr>
          <w:rFonts w:eastAsia="Google Sans Text"/>
          <w:b/>
          <w:bCs/>
          <w:color w:val="1F1F1F"/>
          <w:sz w:val="24"/>
          <w:szCs w:val="24"/>
        </w:rPr>
        <w:t>United Nations, Department of Economic and Social Affairs, Population Division.</w:t>
      </w:r>
      <w:r w:rsidRPr="00792B36">
        <w:rPr>
          <w:rFonts w:eastAsia="Google Sans Text"/>
          <w:color w:val="1F1F1F"/>
          <w:sz w:val="24"/>
          <w:szCs w:val="24"/>
        </w:rPr>
        <w:t xml:space="preserve"> (2018). </w:t>
      </w:r>
      <w:r w:rsidRPr="00792B36">
        <w:rPr>
          <w:rFonts w:eastAsia="Google Sans Text"/>
          <w:i/>
          <w:iCs/>
          <w:color w:val="1F1F1F"/>
          <w:sz w:val="24"/>
          <w:szCs w:val="24"/>
        </w:rPr>
        <w:t>World Urbanization Prospects: The 2018 Revision, Online Edition</w:t>
      </w:r>
      <w:r w:rsidRPr="00792B36">
        <w:rPr>
          <w:rFonts w:eastAsia="Google Sans Text"/>
          <w:color w:val="1F1F1F"/>
          <w:sz w:val="24"/>
          <w:szCs w:val="24"/>
        </w:rPr>
        <w:t>.</w:t>
      </w:r>
    </w:p>
    <w:p w14:paraId="7ED9C73D" w14:textId="77777777" w:rsidR="00EB267E" w:rsidRPr="00792B36" w:rsidRDefault="00EB267E" w:rsidP="00EB267E">
      <w:pPr>
        <w:pBdr>
          <w:top w:val="nil"/>
          <w:left w:val="nil"/>
          <w:bottom w:val="nil"/>
          <w:right w:val="nil"/>
          <w:between w:val="nil"/>
        </w:pBdr>
        <w:spacing w:line="360" w:lineRule="auto"/>
        <w:ind w:left="105"/>
        <w:rPr>
          <w:sz w:val="24"/>
          <w:szCs w:val="24"/>
        </w:rPr>
      </w:pPr>
      <w:r w:rsidRPr="00792B36">
        <w:rPr>
          <w:rFonts w:eastAsia="Google Sans Text"/>
          <w:b/>
          <w:bCs/>
          <w:color w:val="1F1F1F"/>
          <w:sz w:val="24"/>
          <w:szCs w:val="24"/>
        </w:rPr>
        <w:t>Waste Management Thailand.</w:t>
      </w:r>
      <w:r w:rsidRPr="00792B36">
        <w:rPr>
          <w:rFonts w:eastAsia="Google Sans Text"/>
          <w:color w:val="1F1F1F"/>
          <w:sz w:val="24"/>
          <w:szCs w:val="24"/>
        </w:rPr>
        <w:t xml:space="preserve"> (2025). </w:t>
      </w:r>
      <w:r w:rsidRPr="00792B36">
        <w:rPr>
          <w:rFonts w:eastAsia="Google Sans Text"/>
          <w:i/>
          <w:iCs/>
          <w:color w:val="1F1F1F"/>
          <w:sz w:val="24"/>
          <w:szCs w:val="24"/>
        </w:rPr>
        <w:t>Waste Management in Thailand</w:t>
      </w:r>
      <w:r w:rsidRPr="00792B36">
        <w:rPr>
          <w:rFonts w:eastAsia="Google Sans Text"/>
          <w:color w:val="1F1F1F"/>
          <w:sz w:val="24"/>
          <w:szCs w:val="24"/>
        </w:rPr>
        <w:t xml:space="preserve">. Retrieved from </w:t>
      </w:r>
      <w:r w:rsidRPr="00792B36">
        <w:rPr>
          <w:sz w:val="24"/>
          <w:szCs w:val="24"/>
        </w:rPr>
        <w:fldChar w:fldCharType="begin"/>
      </w:r>
      <w:r w:rsidRPr="00792B36">
        <w:rPr>
          <w:sz w:val="24"/>
          <w:szCs w:val="24"/>
        </w:rPr>
        <w:instrText>HYPERLINK "https://www.yamada-spire-th.com/wp-content/uploads/2022/08/checked.pdf" \h</w:instrText>
      </w:r>
      <w:r w:rsidRPr="00792B36">
        <w:rPr>
          <w:sz w:val="24"/>
          <w:szCs w:val="24"/>
        </w:rPr>
      </w:r>
      <w:r w:rsidRPr="00792B36">
        <w:rPr>
          <w:sz w:val="24"/>
          <w:szCs w:val="24"/>
        </w:rPr>
        <w:fldChar w:fldCharType="separate"/>
      </w:r>
      <w:r w:rsidRPr="00792B36">
        <w:rPr>
          <w:rFonts w:eastAsia="Google Sans Text"/>
          <w:color w:val="0B57D0"/>
          <w:sz w:val="24"/>
          <w:szCs w:val="24"/>
          <w:u w:val="single"/>
        </w:rPr>
        <w:t>https://www.yamada-spire-th.com/wp-content/uploads/2022/08/checked.pdf</w:t>
      </w:r>
      <w:r w:rsidRPr="00792B36">
        <w:rPr>
          <w:sz w:val="24"/>
          <w:szCs w:val="24"/>
        </w:rPr>
        <w:fldChar w:fldCharType="end"/>
      </w:r>
    </w:p>
    <w:p w14:paraId="03BD6806" w14:textId="77777777" w:rsidR="00EB267E" w:rsidRPr="00792B36" w:rsidRDefault="00EB267E" w:rsidP="00EB267E">
      <w:pPr>
        <w:pBdr>
          <w:top w:val="nil"/>
          <w:left w:val="nil"/>
          <w:bottom w:val="nil"/>
          <w:right w:val="nil"/>
          <w:between w:val="nil"/>
        </w:pBdr>
        <w:spacing w:line="360" w:lineRule="auto"/>
        <w:ind w:left="105"/>
        <w:rPr>
          <w:sz w:val="24"/>
          <w:szCs w:val="24"/>
        </w:rPr>
      </w:pPr>
      <w:r w:rsidRPr="00792B36">
        <w:rPr>
          <w:rFonts w:eastAsia="Google Sans Text"/>
          <w:b/>
          <w:bCs/>
          <w:color w:val="1F1F1F"/>
          <w:sz w:val="24"/>
          <w:szCs w:val="24"/>
        </w:rPr>
        <w:t>Winker, H., Carvalho, F., &amp; Kapur, M.</w:t>
      </w:r>
      <w:r w:rsidRPr="00792B36">
        <w:rPr>
          <w:rFonts w:eastAsia="Google Sans Text"/>
          <w:color w:val="1F1F1F"/>
          <w:sz w:val="24"/>
          <w:szCs w:val="24"/>
        </w:rPr>
        <w:t xml:space="preserve"> (2018). JABBA: Just Another Bayesian Biomass Assessment. </w:t>
      </w:r>
      <w:r w:rsidRPr="00792B36">
        <w:rPr>
          <w:rFonts w:eastAsia="Google Sans Text"/>
          <w:i/>
          <w:iCs/>
          <w:color w:val="1F1F1F"/>
          <w:sz w:val="24"/>
          <w:szCs w:val="24"/>
        </w:rPr>
        <w:t>Fisheries Research</w:t>
      </w:r>
      <w:r w:rsidRPr="00792B36">
        <w:rPr>
          <w:rFonts w:eastAsia="Google Sans Text"/>
          <w:color w:val="1F1F1F"/>
          <w:sz w:val="24"/>
          <w:szCs w:val="24"/>
        </w:rPr>
        <w:t>, 204, 275–288.</w:t>
      </w:r>
    </w:p>
    <w:p w14:paraId="144C6135" w14:textId="77777777" w:rsidR="00EB267E" w:rsidRPr="00792B36" w:rsidRDefault="00EB267E" w:rsidP="00EB267E">
      <w:pPr>
        <w:pBdr>
          <w:top w:val="nil"/>
          <w:left w:val="nil"/>
          <w:bottom w:val="nil"/>
          <w:right w:val="nil"/>
          <w:between w:val="nil"/>
        </w:pBdr>
        <w:spacing w:line="360" w:lineRule="auto"/>
        <w:ind w:left="105"/>
        <w:rPr>
          <w:sz w:val="24"/>
          <w:szCs w:val="24"/>
        </w:rPr>
      </w:pPr>
      <w:r w:rsidRPr="00792B36">
        <w:rPr>
          <w:rFonts w:eastAsia="Google Sans Text"/>
          <w:b/>
          <w:bCs/>
          <w:color w:val="1F1F1F"/>
          <w:sz w:val="24"/>
          <w:szCs w:val="24"/>
        </w:rPr>
        <w:lastRenderedPageBreak/>
        <w:t>World Bank Group.</w:t>
      </w:r>
      <w:r w:rsidRPr="00792B36">
        <w:rPr>
          <w:rFonts w:eastAsia="Google Sans Text"/>
          <w:color w:val="1F1F1F"/>
          <w:sz w:val="24"/>
          <w:szCs w:val="24"/>
        </w:rPr>
        <w:t xml:space="preserve"> (2025). </w:t>
      </w:r>
      <w:r w:rsidRPr="00792B36">
        <w:rPr>
          <w:rFonts w:eastAsia="Google Sans Text"/>
          <w:i/>
          <w:iCs/>
          <w:color w:val="1F1F1F"/>
          <w:sz w:val="24"/>
          <w:szCs w:val="24"/>
        </w:rPr>
        <w:t>World development indicators</w:t>
      </w:r>
      <w:r w:rsidRPr="00792B36">
        <w:rPr>
          <w:rFonts w:eastAsia="Google Sans Text"/>
          <w:color w:val="1F1F1F"/>
          <w:sz w:val="24"/>
          <w:szCs w:val="24"/>
        </w:rPr>
        <w:t xml:space="preserve"> [Data set]. </w:t>
      </w:r>
      <w:r w:rsidRPr="00792B36">
        <w:rPr>
          <w:sz w:val="24"/>
          <w:szCs w:val="24"/>
        </w:rPr>
        <w:fldChar w:fldCharType="begin"/>
      </w:r>
      <w:r w:rsidRPr="00792B36">
        <w:rPr>
          <w:sz w:val="24"/>
          <w:szCs w:val="24"/>
        </w:rPr>
        <w:instrText>HYPERLINK "https://databank.worldbank.org/source/world-development-indicators" \h</w:instrText>
      </w:r>
      <w:r w:rsidRPr="00792B36">
        <w:rPr>
          <w:sz w:val="24"/>
          <w:szCs w:val="24"/>
        </w:rPr>
      </w:r>
      <w:r w:rsidRPr="00792B36">
        <w:rPr>
          <w:sz w:val="24"/>
          <w:szCs w:val="24"/>
        </w:rPr>
        <w:fldChar w:fldCharType="separate"/>
      </w:r>
      <w:r w:rsidRPr="00792B36">
        <w:rPr>
          <w:rFonts w:eastAsia="Google Sans Text"/>
          <w:color w:val="0B57D0"/>
          <w:sz w:val="24"/>
          <w:szCs w:val="24"/>
          <w:u w:val="single"/>
        </w:rPr>
        <w:t>https://databank.worldbank.org/source/world-development-indicators</w:t>
      </w:r>
      <w:r w:rsidRPr="00792B36">
        <w:rPr>
          <w:sz w:val="24"/>
          <w:szCs w:val="24"/>
        </w:rPr>
        <w:fldChar w:fldCharType="end"/>
      </w:r>
    </w:p>
    <w:p w14:paraId="5139FC7A" w14:textId="77777777" w:rsidR="00EB267E" w:rsidRPr="00792B36" w:rsidRDefault="00EB267E" w:rsidP="00EB267E">
      <w:pPr>
        <w:pBdr>
          <w:top w:val="nil"/>
          <w:left w:val="nil"/>
          <w:bottom w:val="nil"/>
          <w:right w:val="nil"/>
          <w:between w:val="nil"/>
        </w:pBdr>
        <w:spacing w:line="360" w:lineRule="auto"/>
        <w:ind w:left="105"/>
        <w:rPr>
          <w:sz w:val="24"/>
          <w:szCs w:val="24"/>
        </w:rPr>
      </w:pPr>
      <w:r w:rsidRPr="00792B36">
        <w:rPr>
          <w:rFonts w:eastAsia="Google Sans Text"/>
          <w:b/>
          <w:bCs/>
          <w:color w:val="1F1F1F"/>
          <w:sz w:val="24"/>
          <w:szCs w:val="24"/>
        </w:rPr>
        <w:t>World Bank.</w:t>
      </w:r>
      <w:r w:rsidRPr="00792B36">
        <w:rPr>
          <w:rFonts w:eastAsia="Google Sans Text"/>
          <w:color w:val="1F1F1F"/>
          <w:sz w:val="24"/>
          <w:szCs w:val="24"/>
        </w:rPr>
        <w:t xml:space="preserve"> (2023). </w:t>
      </w:r>
      <w:r w:rsidRPr="00792B36">
        <w:rPr>
          <w:rFonts w:eastAsia="Google Sans Text"/>
          <w:i/>
          <w:iCs/>
          <w:color w:val="1F1F1F"/>
          <w:sz w:val="24"/>
          <w:szCs w:val="24"/>
        </w:rPr>
        <w:t>Charting a Smarter Ocean Future for Thailand</w:t>
      </w:r>
      <w:r w:rsidRPr="00792B36">
        <w:rPr>
          <w:rFonts w:eastAsia="Google Sans Text"/>
          <w:color w:val="1F1F1F"/>
          <w:sz w:val="24"/>
          <w:szCs w:val="24"/>
        </w:rPr>
        <w:t>.</w:t>
      </w:r>
    </w:p>
    <w:p w14:paraId="3897C670" w14:textId="77777777" w:rsidR="00EB267E" w:rsidRPr="00792B36" w:rsidRDefault="00EB267E" w:rsidP="00EB267E">
      <w:pPr>
        <w:pBdr>
          <w:top w:val="nil"/>
          <w:left w:val="nil"/>
          <w:bottom w:val="nil"/>
          <w:right w:val="nil"/>
          <w:between w:val="nil"/>
        </w:pBdr>
        <w:spacing w:line="360" w:lineRule="auto"/>
        <w:ind w:left="105"/>
        <w:rPr>
          <w:sz w:val="24"/>
          <w:szCs w:val="24"/>
        </w:rPr>
      </w:pPr>
      <w:r w:rsidRPr="00792B36">
        <w:rPr>
          <w:rFonts w:eastAsia="Google Sans Text"/>
          <w:b/>
          <w:bCs/>
          <w:color w:val="1F1F1F"/>
          <w:sz w:val="24"/>
          <w:szCs w:val="24"/>
        </w:rPr>
        <w:t>World Bank.</w:t>
      </w:r>
      <w:r w:rsidRPr="00792B36">
        <w:rPr>
          <w:rFonts w:eastAsia="Google Sans Text"/>
          <w:color w:val="1F1F1F"/>
          <w:sz w:val="24"/>
          <w:szCs w:val="24"/>
        </w:rPr>
        <w:t xml:space="preserve"> (2023). </w:t>
      </w:r>
      <w:r w:rsidRPr="00792B36">
        <w:rPr>
          <w:rFonts w:eastAsia="Google Sans Text"/>
          <w:i/>
          <w:iCs/>
          <w:color w:val="1F1F1F"/>
          <w:sz w:val="24"/>
          <w:szCs w:val="24"/>
        </w:rPr>
        <w:t>Plastic Waste Material Flow Analysis for Thailand</w:t>
      </w:r>
      <w:r w:rsidRPr="00792B36">
        <w:rPr>
          <w:rFonts w:eastAsia="Google Sans Text"/>
          <w:color w:val="1F1F1F"/>
          <w:sz w:val="24"/>
          <w:szCs w:val="24"/>
        </w:rPr>
        <w:t>.</w:t>
      </w:r>
    </w:p>
    <w:p w14:paraId="31A482AA" w14:textId="77777777" w:rsidR="00EB267E" w:rsidRPr="00792B36" w:rsidRDefault="00EB267E" w:rsidP="00EB267E">
      <w:pPr>
        <w:pBdr>
          <w:top w:val="nil"/>
          <w:left w:val="nil"/>
          <w:bottom w:val="nil"/>
          <w:right w:val="nil"/>
          <w:between w:val="nil"/>
        </w:pBdr>
        <w:spacing w:line="360" w:lineRule="auto"/>
        <w:ind w:left="105"/>
        <w:rPr>
          <w:sz w:val="24"/>
          <w:szCs w:val="24"/>
        </w:rPr>
      </w:pPr>
      <w:r w:rsidRPr="00792B36">
        <w:rPr>
          <w:rFonts w:eastAsia="Google Sans Text"/>
          <w:b/>
          <w:bCs/>
          <w:color w:val="1F1F1F"/>
          <w:sz w:val="24"/>
          <w:szCs w:val="24"/>
        </w:rPr>
        <w:t>World Bank.</w:t>
      </w:r>
      <w:r w:rsidRPr="00792B36">
        <w:rPr>
          <w:rFonts w:eastAsia="Google Sans Text"/>
          <w:color w:val="1F1F1F"/>
          <w:sz w:val="24"/>
          <w:szCs w:val="24"/>
        </w:rPr>
        <w:t xml:space="preserve"> (2024). </w:t>
      </w:r>
      <w:r w:rsidRPr="00792B36">
        <w:rPr>
          <w:rFonts w:eastAsia="Google Sans Text"/>
          <w:i/>
          <w:iCs/>
          <w:color w:val="1F1F1F"/>
          <w:sz w:val="24"/>
          <w:szCs w:val="24"/>
        </w:rPr>
        <w:t>Advancing marine spatial planning and blue economy in Thailand: Baseline assessment report (May 2024)</w:t>
      </w:r>
      <w:r w:rsidRPr="00792B36">
        <w:rPr>
          <w:rFonts w:eastAsia="Google Sans Text"/>
          <w:color w:val="1F1F1F"/>
          <w:sz w:val="24"/>
          <w:szCs w:val="24"/>
        </w:rPr>
        <w:t>. World Bank.</w:t>
      </w:r>
    </w:p>
    <w:p w14:paraId="0F3594A5" w14:textId="77777777" w:rsidR="00EB267E" w:rsidRPr="00792B36" w:rsidRDefault="00EB267E" w:rsidP="00EB267E">
      <w:pPr>
        <w:pBdr>
          <w:top w:val="nil"/>
          <w:left w:val="nil"/>
          <w:bottom w:val="nil"/>
          <w:right w:val="nil"/>
          <w:between w:val="nil"/>
        </w:pBdr>
        <w:spacing w:line="360" w:lineRule="auto"/>
        <w:ind w:left="105"/>
        <w:rPr>
          <w:sz w:val="24"/>
          <w:szCs w:val="24"/>
        </w:rPr>
      </w:pPr>
      <w:r w:rsidRPr="00792B36">
        <w:rPr>
          <w:rFonts w:eastAsia="Google Sans Text"/>
          <w:b/>
          <w:bCs/>
          <w:color w:val="1F1F1F"/>
          <w:sz w:val="24"/>
          <w:szCs w:val="24"/>
        </w:rPr>
        <w:t>World Bank.</w:t>
      </w:r>
      <w:r w:rsidRPr="00792B36">
        <w:rPr>
          <w:rFonts w:eastAsia="Google Sans Text"/>
          <w:color w:val="1F1F1F"/>
          <w:sz w:val="24"/>
          <w:szCs w:val="24"/>
        </w:rPr>
        <w:t xml:space="preserve"> (2025). </w:t>
      </w:r>
      <w:r w:rsidRPr="00792B36">
        <w:rPr>
          <w:rFonts w:eastAsia="Google Sans Text"/>
          <w:i/>
          <w:iCs/>
          <w:color w:val="1F1F1F"/>
          <w:sz w:val="24"/>
          <w:szCs w:val="24"/>
        </w:rPr>
        <w:t>World Bank country and lending groups</w:t>
      </w:r>
      <w:r w:rsidRPr="00792B36">
        <w:rPr>
          <w:rFonts w:eastAsia="Google Sans Text"/>
          <w:color w:val="1F1F1F"/>
          <w:sz w:val="24"/>
          <w:szCs w:val="24"/>
        </w:rPr>
        <w:t xml:space="preserve">. </w:t>
      </w:r>
      <w:r w:rsidRPr="00792B36">
        <w:rPr>
          <w:sz w:val="24"/>
          <w:szCs w:val="24"/>
        </w:rPr>
        <w:fldChar w:fldCharType="begin"/>
      </w:r>
      <w:r w:rsidRPr="00792B36">
        <w:rPr>
          <w:sz w:val="24"/>
          <w:szCs w:val="24"/>
        </w:rPr>
        <w:instrText>HYPERLINK "https://datahelpdesk.worldbank.org/knowledgebase/articles/906519-world-bank-country-and-lending-groups" \h</w:instrText>
      </w:r>
      <w:r w:rsidRPr="00792B36">
        <w:rPr>
          <w:sz w:val="24"/>
          <w:szCs w:val="24"/>
        </w:rPr>
      </w:r>
      <w:r w:rsidRPr="00792B36">
        <w:rPr>
          <w:sz w:val="24"/>
          <w:szCs w:val="24"/>
        </w:rPr>
        <w:fldChar w:fldCharType="separate"/>
      </w:r>
      <w:r w:rsidRPr="00792B36">
        <w:rPr>
          <w:rFonts w:eastAsia="Google Sans Text"/>
          <w:color w:val="0B57D0"/>
          <w:sz w:val="24"/>
          <w:szCs w:val="24"/>
          <w:u w:val="single"/>
        </w:rPr>
        <w:t>https://datahelpdesk.worldbank.org/knowledgebase/articles/906519-world-bank-country-and-lending-groups</w:t>
      </w:r>
      <w:r w:rsidRPr="00792B36">
        <w:rPr>
          <w:sz w:val="24"/>
          <w:szCs w:val="24"/>
        </w:rPr>
        <w:fldChar w:fldCharType="end"/>
      </w:r>
    </w:p>
    <w:p w14:paraId="15942C1A" w14:textId="77777777" w:rsidR="00EB267E" w:rsidRPr="00792B36" w:rsidRDefault="00EB267E" w:rsidP="00EB267E">
      <w:pPr>
        <w:pBdr>
          <w:top w:val="nil"/>
          <w:left w:val="nil"/>
          <w:bottom w:val="nil"/>
          <w:right w:val="nil"/>
          <w:between w:val="nil"/>
        </w:pBdr>
        <w:spacing w:line="360" w:lineRule="auto"/>
        <w:ind w:left="105"/>
        <w:rPr>
          <w:sz w:val="24"/>
          <w:szCs w:val="24"/>
        </w:rPr>
      </w:pPr>
      <w:r w:rsidRPr="00792B36">
        <w:rPr>
          <w:rFonts w:eastAsia="Google Sans Text"/>
          <w:b/>
          <w:bCs/>
          <w:color w:val="1F1F1F"/>
          <w:sz w:val="24"/>
          <w:szCs w:val="24"/>
        </w:rPr>
        <w:t>World Economic Forum.</w:t>
      </w:r>
      <w:r w:rsidRPr="00792B36">
        <w:rPr>
          <w:rFonts w:eastAsia="Google Sans Text"/>
          <w:color w:val="1F1F1F"/>
          <w:sz w:val="24"/>
          <w:szCs w:val="24"/>
        </w:rPr>
        <w:t xml:space="preserve"> (2025). </w:t>
      </w:r>
      <w:r w:rsidRPr="00792B36">
        <w:rPr>
          <w:rFonts w:eastAsia="Google Sans Text"/>
          <w:i/>
          <w:iCs/>
          <w:color w:val="1F1F1F"/>
          <w:sz w:val="24"/>
          <w:szCs w:val="24"/>
        </w:rPr>
        <w:t>How the ASEAN region's plastic pollution is being defeated</w:t>
      </w:r>
      <w:r w:rsidRPr="00792B36">
        <w:rPr>
          <w:rFonts w:eastAsia="Google Sans Text"/>
          <w:color w:val="1F1F1F"/>
          <w:sz w:val="24"/>
          <w:szCs w:val="24"/>
        </w:rPr>
        <w:t>.</w:t>
      </w:r>
    </w:p>
    <w:p w14:paraId="706C90B9" w14:textId="77777777" w:rsidR="00EB267E" w:rsidRPr="00792B36" w:rsidRDefault="00EB267E" w:rsidP="00EB267E">
      <w:pPr>
        <w:pBdr>
          <w:top w:val="nil"/>
          <w:left w:val="nil"/>
          <w:bottom w:val="nil"/>
          <w:right w:val="nil"/>
          <w:between w:val="nil"/>
        </w:pBdr>
        <w:spacing w:line="360" w:lineRule="auto"/>
        <w:ind w:left="105"/>
        <w:rPr>
          <w:sz w:val="24"/>
          <w:szCs w:val="24"/>
        </w:rPr>
      </w:pPr>
      <w:r w:rsidRPr="00792B36">
        <w:rPr>
          <w:rFonts w:eastAsia="Google Sans Text"/>
          <w:b/>
          <w:bCs/>
          <w:color w:val="1F1F1F"/>
          <w:sz w:val="24"/>
          <w:szCs w:val="24"/>
        </w:rPr>
        <w:t>World Economic Forum.</w:t>
      </w:r>
      <w:r w:rsidRPr="00792B36">
        <w:rPr>
          <w:rFonts w:eastAsia="Google Sans Text"/>
          <w:color w:val="1F1F1F"/>
          <w:sz w:val="24"/>
          <w:szCs w:val="24"/>
        </w:rPr>
        <w:t xml:space="preserve"> (2025). </w:t>
      </w:r>
      <w:r w:rsidRPr="00792B36">
        <w:rPr>
          <w:rFonts w:eastAsia="Google Sans Text"/>
          <w:i/>
          <w:iCs/>
          <w:color w:val="1F1F1F"/>
          <w:sz w:val="24"/>
          <w:szCs w:val="24"/>
        </w:rPr>
        <w:t>How ASEAN can lead the world on plastic pollution. SEA-MaP Regional Project Details</w:t>
      </w:r>
      <w:r w:rsidRPr="00792B36">
        <w:rPr>
          <w:rFonts w:eastAsia="Google Sans Text"/>
          <w:color w:val="1F1F1F"/>
          <w:sz w:val="24"/>
          <w:szCs w:val="24"/>
        </w:rPr>
        <w:t>. (2024). PEMSEA.</w:t>
      </w:r>
    </w:p>
    <w:p w14:paraId="0FF8FAA7" w14:textId="77777777" w:rsidR="00EB267E" w:rsidRPr="00792B36" w:rsidRDefault="00EB267E" w:rsidP="00EB267E">
      <w:pPr>
        <w:pBdr>
          <w:top w:val="nil"/>
          <w:left w:val="nil"/>
          <w:bottom w:val="nil"/>
          <w:right w:val="nil"/>
          <w:between w:val="nil"/>
        </w:pBdr>
        <w:spacing w:line="360" w:lineRule="auto"/>
        <w:ind w:left="105"/>
        <w:rPr>
          <w:sz w:val="24"/>
          <w:szCs w:val="24"/>
        </w:rPr>
      </w:pPr>
      <w:r w:rsidRPr="00792B36">
        <w:rPr>
          <w:rFonts w:eastAsia="Google Sans Text"/>
          <w:b/>
          <w:bCs/>
          <w:color w:val="1F1F1F"/>
          <w:sz w:val="24"/>
          <w:szCs w:val="24"/>
        </w:rPr>
        <w:t>Yeemin, T., Sutthacheep, M., Klinthong, W.</w:t>
      </w:r>
      <w:r w:rsidRPr="00792B36">
        <w:rPr>
          <w:rFonts w:eastAsia="Google Sans Text"/>
          <w:color w:val="1F1F1F"/>
          <w:sz w:val="24"/>
          <w:szCs w:val="24"/>
        </w:rPr>
        <w:t xml:space="preserve"> (2021). </w:t>
      </w:r>
      <w:r w:rsidRPr="00792B36">
        <w:rPr>
          <w:rFonts w:eastAsia="Google Sans Text"/>
          <w:i/>
          <w:iCs/>
          <w:color w:val="1F1F1F"/>
          <w:sz w:val="24"/>
          <w:szCs w:val="24"/>
        </w:rPr>
        <w:t>Development of ecotourism on underwater pinnacles in the Eastern Gulf of Thailand</w:t>
      </w:r>
      <w:r w:rsidRPr="00792B36">
        <w:rPr>
          <w:rFonts w:eastAsia="Google Sans Text"/>
          <w:color w:val="1F1F1F"/>
          <w:sz w:val="24"/>
          <w:szCs w:val="24"/>
        </w:rPr>
        <w:t>. Submitted to the Program Management Unit for Competitiveness (PMUC). Bangkok, Thailand.</w:t>
      </w:r>
    </w:p>
    <w:p w14:paraId="5DB48C4B" w14:textId="77777777" w:rsidR="00EB267E" w:rsidRPr="00792B36" w:rsidRDefault="00EB267E" w:rsidP="00EB267E">
      <w:pPr>
        <w:pBdr>
          <w:top w:val="nil"/>
          <w:left w:val="nil"/>
          <w:bottom w:val="nil"/>
          <w:right w:val="nil"/>
          <w:between w:val="nil"/>
        </w:pBdr>
        <w:spacing w:line="360" w:lineRule="auto"/>
        <w:ind w:left="105"/>
        <w:rPr>
          <w:sz w:val="24"/>
          <w:szCs w:val="24"/>
        </w:rPr>
      </w:pPr>
      <w:r w:rsidRPr="00792B36">
        <w:rPr>
          <w:rFonts w:eastAsia="Google Sans Text"/>
          <w:b/>
          <w:bCs/>
          <w:color w:val="1F1F1F"/>
          <w:sz w:val="24"/>
          <w:szCs w:val="24"/>
        </w:rPr>
        <w:t>Yeemin, T., Sutthacheep, M., Yoodcharoen, M., Pannathevee, W.</w:t>
      </w:r>
      <w:r w:rsidRPr="00792B36">
        <w:rPr>
          <w:rFonts w:eastAsia="Google Sans Text"/>
          <w:color w:val="1F1F1F"/>
          <w:sz w:val="24"/>
          <w:szCs w:val="24"/>
        </w:rPr>
        <w:t xml:space="preserve"> (2019). </w:t>
      </w:r>
      <w:r w:rsidRPr="00792B36">
        <w:rPr>
          <w:rFonts w:eastAsia="Google Sans Text"/>
          <w:i/>
          <w:iCs/>
          <w:color w:val="1F1F1F"/>
          <w:sz w:val="24"/>
          <w:szCs w:val="24"/>
        </w:rPr>
        <w:t>Promotion and development of ecotourism sites for snorkeling and SCUBA diving in Chumphon Province</w:t>
      </w:r>
      <w:r w:rsidRPr="00792B36">
        <w:rPr>
          <w:rFonts w:eastAsia="Google Sans Text"/>
          <w:color w:val="1F1F1F"/>
          <w:sz w:val="24"/>
          <w:szCs w:val="24"/>
        </w:rPr>
        <w:t>. Submitted to the Program Management Unit for Competitiveness (PMUC). Bangkok, Thailand.</w:t>
      </w:r>
    </w:p>
    <w:p w14:paraId="7276F8DA" w14:textId="77777777" w:rsidR="00EB267E" w:rsidRPr="00792B36" w:rsidRDefault="00EB267E" w:rsidP="00EB267E">
      <w:pPr>
        <w:pBdr>
          <w:top w:val="nil"/>
          <w:left w:val="nil"/>
          <w:bottom w:val="nil"/>
          <w:right w:val="nil"/>
          <w:between w:val="nil"/>
        </w:pBdr>
        <w:spacing w:line="360" w:lineRule="auto"/>
        <w:ind w:left="105"/>
        <w:rPr>
          <w:sz w:val="24"/>
          <w:szCs w:val="24"/>
        </w:rPr>
      </w:pPr>
      <w:r w:rsidRPr="00792B36">
        <w:rPr>
          <w:rFonts w:eastAsia="Google Sans Text"/>
          <w:b/>
          <w:bCs/>
          <w:color w:val="1F1F1F"/>
          <w:sz w:val="24"/>
          <w:szCs w:val="24"/>
        </w:rPr>
        <w:t>Yukkolthon, S., Wipaparn, C., Walwipha, S., Supitcha, W.-P., &amp; Rampradamee, B.</w:t>
      </w:r>
      <w:r w:rsidRPr="00792B36">
        <w:rPr>
          <w:rFonts w:eastAsia="Google Sans Text"/>
          <w:color w:val="1F1F1F"/>
          <w:sz w:val="24"/>
          <w:szCs w:val="24"/>
        </w:rPr>
        <w:t xml:space="preserve"> (2020). Survey of mangrove plant species in Khlong Dan Subdistrict, Bang Bo District, Samut Prakan Province. </w:t>
      </w:r>
      <w:r w:rsidRPr="00792B36">
        <w:rPr>
          <w:rFonts w:eastAsia="Google Sans Text"/>
          <w:i/>
          <w:iCs/>
          <w:color w:val="1F1F1F"/>
          <w:sz w:val="24"/>
          <w:szCs w:val="24"/>
        </w:rPr>
        <w:t>Hua Chiew Chalermprakiet Science and Technology Journal</w:t>
      </w:r>
      <w:r w:rsidRPr="00792B36">
        <w:rPr>
          <w:rFonts w:eastAsia="Google Sans Text"/>
          <w:color w:val="1F1F1F"/>
          <w:sz w:val="24"/>
          <w:szCs w:val="24"/>
        </w:rPr>
        <w:t>, 6(2), 32–45.</w:t>
      </w:r>
    </w:p>
    <w:p w14:paraId="5935BAB4" w14:textId="77777777" w:rsidR="00EB267E" w:rsidRPr="00792B36" w:rsidRDefault="00EB267E" w:rsidP="00EB267E">
      <w:pPr>
        <w:ind w:left="851" w:hanging="851"/>
        <w:jc w:val="thaiDistribute"/>
        <w:rPr>
          <w:sz w:val="24"/>
          <w:szCs w:val="24"/>
        </w:rPr>
      </w:pPr>
    </w:p>
    <w:p w14:paraId="7D4880CD" w14:textId="77777777" w:rsidR="00EB267E" w:rsidRPr="00792B36" w:rsidRDefault="00EB267E" w:rsidP="00EB267E">
      <w:pPr>
        <w:rPr>
          <w:sz w:val="24"/>
          <w:szCs w:val="24"/>
        </w:rPr>
      </w:pPr>
    </w:p>
    <w:p w14:paraId="5C6B9CF3" w14:textId="77777777" w:rsidR="00EB267E" w:rsidRPr="00792B36" w:rsidRDefault="00EB267E" w:rsidP="00EB267E">
      <w:pPr>
        <w:pStyle w:val="NormalWeb"/>
        <w:spacing w:before="0" w:beforeAutospacing="0" w:after="0" w:afterAutospacing="0"/>
        <w:jc w:val="thaiDistribute"/>
        <w:rPr>
          <w:rFonts w:ascii="Arial" w:hAnsi="Arial" w:cs="Arial"/>
          <w:color w:val="000000" w:themeColor="text1"/>
        </w:rPr>
      </w:pPr>
    </w:p>
    <w:p w14:paraId="09ABEC34" w14:textId="77777777" w:rsidR="00EB267E" w:rsidRPr="00792B36" w:rsidRDefault="00EB267E" w:rsidP="00EB267E">
      <w:pPr>
        <w:pBdr>
          <w:top w:val="nil"/>
          <w:left w:val="nil"/>
          <w:bottom w:val="nil"/>
          <w:right w:val="nil"/>
          <w:between w:val="nil"/>
        </w:pBdr>
        <w:jc w:val="thaiDistribute"/>
        <w:rPr>
          <w:sz w:val="24"/>
          <w:szCs w:val="24"/>
        </w:rPr>
      </w:pPr>
    </w:p>
    <w:p w14:paraId="7C2AFCB4" w14:textId="77777777" w:rsidR="009B44B1" w:rsidRPr="00792B36" w:rsidRDefault="009B44B1" w:rsidP="00EB267E">
      <w:pPr>
        <w:spacing w:before="120" w:after="120"/>
        <w:rPr>
          <w:b/>
          <w:bCs/>
          <w:sz w:val="24"/>
          <w:szCs w:val="24"/>
        </w:rPr>
        <w:sectPr w:rsidR="009B44B1" w:rsidRPr="00792B36" w:rsidSect="003332A9">
          <w:pgSz w:w="11900" w:h="16840"/>
          <w:pgMar w:top="1440" w:right="1440" w:bottom="1440" w:left="1440" w:header="0" w:footer="720" w:gutter="0"/>
          <w:cols w:space="720"/>
          <w:docGrid w:linePitch="299"/>
        </w:sectPr>
      </w:pPr>
    </w:p>
    <w:p w14:paraId="0E4B160E" w14:textId="77777777" w:rsidR="009A0A63" w:rsidRPr="00792B36" w:rsidRDefault="009A0A63" w:rsidP="009A0A63">
      <w:pPr>
        <w:spacing w:line="360" w:lineRule="auto"/>
        <w:contextualSpacing/>
        <w:jc w:val="center"/>
        <w:rPr>
          <w:b/>
          <w:bCs/>
          <w:color w:val="000000" w:themeColor="text1"/>
          <w:sz w:val="28"/>
          <w:szCs w:val="28"/>
        </w:rPr>
      </w:pPr>
    </w:p>
    <w:p w14:paraId="7199DC9E" w14:textId="77777777" w:rsidR="009A0A63" w:rsidRPr="00792B36" w:rsidRDefault="009A0A63" w:rsidP="009A0A63">
      <w:pPr>
        <w:spacing w:line="360" w:lineRule="auto"/>
        <w:contextualSpacing/>
        <w:jc w:val="center"/>
        <w:rPr>
          <w:b/>
          <w:bCs/>
          <w:color w:val="000000" w:themeColor="text1"/>
          <w:sz w:val="28"/>
          <w:szCs w:val="28"/>
        </w:rPr>
      </w:pPr>
    </w:p>
    <w:p w14:paraId="36B188D1" w14:textId="77777777" w:rsidR="009A0A63" w:rsidRPr="00792B36" w:rsidRDefault="009A0A63" w:rsidP="009A0A63">
      <w:pPr>
        <w:spacing w:line="360" w:lineRule="auto"/>
        <w:contextualSpacing/>
        <w:jc w:val="center"/>
        <w:rPr>
          <w:b/>
          <w:bCs/>
          <w:color w:val="000000" w:themeColor="text1"/>
          <w:sz w:val="28"/>
          <w:szCs w:val="28"/>
        </w:rPr>
      </w:pPr>
    </w:p>
    <w:p w14:paraId="53DA97A9" w14:textId="77777777" w:rsidR="009A0A63" w:rsidRPr="00792B36" w:rsidRDefault="009A0A63" w:rsidP="009A0A63">
      <w:pPr>
        <w:spacing w:line="360" w:lineRule="auto"/>
        <w:contextualSpacing/>
        <w:jc w:val="center"/>
        <w:rPr>
          <w:b/>
          <w:bCs/>
          <w:color w:val="000000" w:themeColor="text1"/>
          <w:sz w:val="28"/>
          <w:szCs w:val="28"/>
        </w:rPr>
      </w:pPr>
    </w:p>
    <w:p w14:paraId="03F91127" w14:textId="77777777" w:rsidR="009A0A63" w:rsidRPr="00792B36" w:rsidRDefault="009A0A63" w:rsidP="009A0A63">
      <w:pPr>
        <w:spacing w:line="360" w:lineRule="auto"/>
        <w:contextualSpacing/>
        <w:jc w:val="center"/>
        <w:rPr>
          <w:b/>
          <w:bCs/>
          <w:color w:val="000000" w:themeColor="text1"/>
          <w:sz w:val="28"/>
          <w:szCs w:val="28"/>
        </w:rPr>
      </w:pPr>
    </w:p>
    <w:p w14:paraId="0513C815" w14:textId="77777777" w:rsidR="009A0A63" w:rsidRPr="00792B36" w:rsidRDefault="009A0A63" w:rsidP="009A0A63">
      <w:pPr>
        <w:spacing w:line="360" w:lineRule="auto"/>
        <w:contextualSpacing/>
        <w:jc w:val="center"/>
        <w:rPr>
          <w:b/>
          <w:bCs/>
          <w:color w:val="000000" w:themeColor="text1"/>
          <w:sz w:val="28"/>
          <w:szCs w:val="28"/>
        </w:rPr>
      </w:pPr>
    </w:p>
    <w:p w14:paraId="62EF88F8" w14:textId="77777777" w:rsidR="009A0A63" w:rsidRPr="00792B36" w:rsidRDefault="009A0A63" w:rsidP="009A0A63">
      <w:pPr>
        <w:spacing w:line="360" w:lineRule="auto"/>
        <w:contextualSpacing/>
        <w:jc w:val="center"/>
        <w:rPr>
          <w:b/>
          <w:bCs/>
          <w:color w:val="000000" w:themeColor="text1"/>
          <w:sz w:val="28"/>
          <w:szCs w:val="28"/>
        </w:rPr>
      </w:pPr>
    </w:p>
    <w:p w14:paraId="1A668CE7" w14:textId="77777777" w:rsidR="009A0A63" w:rsidRPr="00792B36" w:rsidRDefault="009A0A63" w:rsidP="009A0A63">
      <w:pPr>
        <w:spacing w:line="360" w:lineRule="auto"/>
        <w:contextualSpacing/>
        <w:jc w:val="center"/>
        <w:rPr>
          <w:b/>
          <w:bCs/>
          <w:color w:val="000000" w:themeColor="text1"/>
          <w:sz w:val="28"/>
          <w:szCs w:val="28"/>
        </w:rPr>
      </w:pPr>
    </w:p>
    <w:p w14:paraId="6B384897" w14:textId="77777777" w:rsidR="009A0A63" w:rsidRPr="00792B36" w:rsidRDefault="009A0A63" w:rsidP="009A0A63">
      <w:pPr>
        <w:spacing w:line="360" w:lineRule="auto"/>
        <w:contextualSpacing/>
        <w:jc w:val="center"/>
        <w:rPr>
          <w:b/>
          <w:bCs/>
          <w:color w:val="000000" w:themeColor="text1"/>
          <w:sz w:val="28"/>
          <w:szCs w:val="28"/>
        </w:rPr>
      </w:pPr>
    </w:p>
    <w:p w14:paraId="6945BE6A" w14:textId="77777777" w:rsidR="009A0A63" w:rsidRPr="00792B36" w:rsidRDefault="009A0A63" w:rsidP="009A0A63">
      <w:pPr>
        <w:spacing w:line="360" w:lineRule="auto"/>
        <w:contextualSpacing/>
        <w:jc w:val="center"/>
        <w:rPr>
          <w:b/>
          <w:bCs/>
          <w:color w:val="000000" w:themeColor="text1"/>
          <w:sz w:val="28"/>
          <w:szCs w:val="28"/>
        </w:rPr>
      </w:pPr>
    </w:p>
    <w:p w14:paraId="33A6E890" w14:textId="77777777" w:rsidR="009A0A63" w:rsidRPr="00792B36" w:rsidRDefault="009A0A63" w:rsidP="009A0A63">
      <w:pPr>
        <w:spacing w:line="360" w:lineRule="auto"/>
        <w:contextualSpacing/>
        <w:jc w:val="center"/>
        <w:rPr>
          <w:b/>
          <w:bCs/>
          <w:color w:val="000000" w:themeColor="text1"/>
          <w:sz w:val="28"/>
          <w:szCs w:val="28"/>
        </w:rPr>
      </w:pPr>
    </w:p>
    <w:p w14:paraId="2534A00D" w14:textId="77777777" w:rsidR="009A0A63" w:rsidRPr="00792B36" w:rsidRDefault="009A0A63" w:rsidP="009A0A63">
      <w:pPr>
        <w:spacing w:line="360" w:lineRule="auto"/>
        <w:contextualSpacing/>
        <w:jc w:val="center"/>
        <w:rPr>
          <w:b/>
          <w:bCs/>
          <w:color w:val="000000" w:themeColor="text1"/>
          <w:sz w:val="36"/>
          <w:szCs w:val="36"/>
        </w:rPr>
      </w:pPr>
    </w:p>
    <w:p w14:paraId="6EECCDFD" w14:textId="77777777" w:rsidR="009A0A63" w:rsidRPr="00792B36" w:rsidRDefault="009A0A63" w:rsidP="009A0A63">
      <w:pPr>
        <w:spacing w:line="360" w:lineRule="auto"/>
        <w:contextualSpacing/>
        <w:jc w:val="center"/>
        <w:rPr>
          <w:b/>
          <w:bCs/>
          <w:color w:val="000000" w:themeColor="text1"/>
          <w:sz w:val="36"/>
          <w:szCs w:val="36"/>
        </w:rPr>
      </w:pPr>
      <w:r w:rsidRPr="00792B36">
        <w:rPr>
          <w:b/>
          <w:bCs/>
          <w:color w:val="000000" w:themeColor="text1"/>
          <w:sz w:val="36"/>
          <w:szCs w:val="36"/>
        </w:rPr>
        <w:t>Annex Volume</w:t>
      </w:r>
    </w:p>
    <w:p w14:paraId="0DA756C1" w14:textId="77777777" w:rsidR="009A0A63" w:rsidRPr="00792B36" w:rsidRDefault="009A0A63" w:rsidP="009A0A63">
      <w:pPr>
        <w:spacing w:line="360" w:lineRule="auto"/>
        <w:contextualSpacing/>
        <w:jc w:val="center"/>
        <w:rPr>
          <w:b/>
          <w:bCs/>
          <w:color w:val="000000" w:themeColor="text1"/>
          <w:sz w:val="28"/>
          <w:szCs w:val="28"/>
        </w:rPr>
        <w:sectPr w:rsidR="009A0A63" w:rsidRPr="00792B36" w:rsidSect="003332A9">
          <w:footerReference w:type="default" r:id="rId93"/>
          <w:pgSz w:w="11907" w:h="16840"/>
          <w:pgMar w:top="1440" w:right="1440" w:bottom="1440" w:left="1440" w:header="709" w:footer="709" w:gutter="0"/>
          <w:cols w:space="708"/>
          <w:docGrid w:linePitch="360"/>
        </w:sectPr>
      </w:pPr>
    </w:p>
    <w:p w14:paraId="67B7D68B" w14:textId="77777777" w:rsidR="009A0A63" w:rsidRPr="00792B36" w:rsidRDefault="009A0A63" w:rsidP="009A0A63">
      <w:pPr>
        <w:spacing w:line="360" w:lineRule="auto"/>
        <w:contextualSpacing/>
        <w:jc w:val="center"/>
        <w:rPr>
          <w:b/>
          <w:bCs/>
          <w:color w:val="000000" w:themeColor="text1"/>
          <w:sz w:val="28"/>
          <w:szCs w:val="28"/>
        </w:rPr>
      </w:pPr>
      <w:r w:rsidRPr="00792B36">
        <w:rPr>
          <w:b/>
          <w:bCs/>
          <w:color w:val="000000" w:themeColor="text1"/>
          <w:sz w:val="28"/>
          <w:szCs w:val="28"/>
        </w:rPr>
        <w:lastRenderedPageBreak/>
        <w:t xml:space="preserve">Annex I: Socioeconomics and Climate-Related Threats </w:t>
      </w:r>
    </w:p>
    <w:p w14:paraId="12AE87B0" w14:textId="77777777" w:rsidR="009A0A63" w:rsidRPr="00792B36" w:rsidRDefault="009A0A63" w:rsidP="009A0A63">
      <w:pPr>
        <w:spacing w:line="360" w:lineRule="auto"/>
        <w:contextualSpacing/>
        <w:jc w:val="center"/>
        <w:rPr>
          <w:b/>
          <w:bCs/>
          <w:color w:val="000000" w:themeColor="text1"/>
          <w:sz w:val="24"/>
          <w:szCs w:val="24"/>
        </w:rPr>
      </w:pPr>
    </w:p>
    <w:p w14:paraId="4C9821B6" w14:textId="77777777" w:rsidR="009A0A63" w:rsidRPr="00792B36" w:rsidRDefault="009A0A63" w:rsidP="009A0A63">
      <w:pPr>
        <w:spacing w:line="360" w:lineRule="auto"/>
        <w:contextualSpacing/>
        <w:jc w:val="thaiDistribute"/>
        <w:rPr>
          <w:b/>
          <w:bCs/>
          <w:color w:val="000000" w:themeColor="text1"/>
          <w:sz w:val="24"/>
          <w:szCs w:val="24"/>
        </w:rPr>
      </w:pPr>
      <w:r w:rsidRPr="00792B36">
        <w:rPr>
          <w:b/>
          <w:bCs/>
          <w:color w:val="000000" w:themeColor="text1"/>
          <w:sz w:val="24"/>
          <w:szCs w:val="24"/>
        </w:rPr>
        <w:t xml:space="preserve">Annex 2.1 </w:t>
      </w:r>
      <w:r w:rsidRPr="00792B36">
        <w:rPr>
          <w:color w:val="000000" w:themeColor="text1"/>
          <w:sz w:val="24"/>
          <w:szCs w:val="24"/>
        </w:rPr>
        <w:t>Methodology and calculation process of the Composite Risk Index (CRI)</w:t>
      </w:r>
    </w:p>
    <w:p w14:paraId="0352147E" w14:textId="77777777" w:rsidR="009A0A63" w:rsidRPr="00792B36" w:rsidRDefault="009A0A63" w:rsidP="009A0A63">
      <w:pPr>
        <w:spacing w:line="360" w:lineRule="auto"/>
        <w:contextualSpacing/>
        <w:jc w:val="thaiDistribute"/>
        <w:rPr>
          <w:color w:val="000000" w:themeColor="text1"/>
          <w:sz w:val="24"/>
          <w:szCs w:val="24"/>
          <w:cs/>
        </w:rPr>
      </w:pPr>
    </w:p>
    <w:p w14:paraId="7EE8E349" w14:textId="77777777" w:rsidR="009A0A63" w:rsidRPr="00792B36" w:rsidRDefault="009A0A63" w:rsidP="009A0A63">
      <w:pPr>
        <w:spacing w:line="360" w:lineRule="auto"/>
        <w:contextualSpacing/>
        <w:jc w:val="thaiDistribute"/>
        <w:rPr>
          <w:color w:val="000000" w:themeColor="text1"/>
          <w:sz w:val="24"/>
          <w:szCs w:val="24"/>
        </w:rPr>
      </w:pPr>
      <w:r w:rsidRPr="00792B36">
        <w:rPr>
          <w:color w:val="000000" w:themeColor="text1"/>
          <w:sz w:val="24"/>
          <w:szCs w:val="24"/>
        </w:rPr>
        <w:t>The Composite Risk Index (CRI) was developed as a quantitative tool to assess and rank risk levels across 17 provinces along the Gulf of Thailand. By analyzing key socioeconomic trends, the index identifies areas most affected by development pressures. The conceptual design operates on the principle that Risk arises from the interaction between Pressure (threats from human activity) and Vulnerability (social sensitivity). This approach aligns with the internationally recognized DPSIR framework (Driving forces - Pressures - State - Impacts - Responses), which maps the complex interactions between society and the environment (EEA, 1999; Kristensen, 2004).</w:t>
      </w:r>
      <w:r w:rsidRPr="00792B36">
        <w:rPr>
          <w:color w:val="000000" w:themeColor="text1"/>
          <w:sz w:val="24"/>
          <w:szCs w:val="24"/>
          <w:cs/>
        </w:rPr>
        <w:t xml:space="preserve"> </w:t>
      </w:r>
      <w:r w:rsidRPr="00792B36">
        <w:rPr>
          <w:color w:val="000000" w:themeColor="text1"/>
          <w:sz w:val="24"/>
          <w:szCs w:val="24"/>
        </w:rPr>
        <w:t>The calculation process follows a five-step methodology, detailed below:</w:t>
      </w:r>
    </w:p>
    <w:p w14:paraId="47646C98" w14:textId="77777777" w:rsidR="009A0A63" w:rsidRPr="00792B36" w:rsidRDefault="009A0A63" w:rsidP="009A0A63">
      <w:pPr>
        <w:spacing w:line="360" w:lineRule="auto"/>
        <w:contextualSpacing/>
        <w:jc w:val="thaiDistribute"/>
        <w:rPr>
          <w:color w:val="000000" w:themeColor="text1"/>
          <w:sz w:val="24"/>
          <w:szCs w:val="24"/>
        </w:rPr>
      </w:pPr>
    </w:p>
    <w:p w14:paraId="72A6E466" w14:textId="77777777" w:rsidR="009A0A63" w:rsidRPr="00792B36" w:rsidRDefault="009A0A63" w:rsidP="009A0A63">
      <w:pPr>
        <w:spacing w:line="360" w:lineRule="auto"/>
        <w:contextualSpacing/>
        <w:jc w:val="thaiDistribute"/>
        <w:rPr>
          <w:color w:val="000000" w:themeColor="text1"/>
          <w:sz w:val="24"/>
          <w:szCs w:val="24"/>
        </w:rPr>
      </w:pPr>
      <w:r w:rsidRPr="00792B36">
        <w:rPr>
          <w:b/>
          <w:bCs/>
          <w:color w:val="000000" w:themeColor="text1"/>
          <w:sz w:val="24"/>
          <w:szCs w:val="24"/>
        </w:rPr>
        <w:t>Step 1</w:t>
      </w:r>
      <w:r w:rsidRPr="00792B36">
        <w:rPr>
          <w:color w:val="000000" w:themeColor="text1"/>
          <w:sz w:val="24"/>
          <w:szCs w:val="24"/>
        </w:rPr>
        <w:t>: Data acquisition and indicator selection</w:t>
      </w:r>
    </w:p>
    <w:p w14:paraId="07950D73" w14:textId="77777777" w:rsidR="009A0A63" w:rsidRPr="00792B36" w:rsidRDefault="009A0A63" w:rsidP="009A0A63">
      <w:pPr>
        <w:spacing w:line="360" w:lineRule="auto"/>
        <w:contextualSpacing/>
        <w:jc w:val="thaiDistribute"/>
        <w:rPr>
          <w:color w:val="000000" w:themeColor="text1"/>
          <w:sz w:val="24"/>
          <w:szCs w:val="24"/>
        </w:rPr>
      </w:pPr>
      <w:r w:rsidRPr="00792B36">
        <w:rPr>
          <w:color w:val="000000" w:themeColor="text1"/>
          <w:sz w:val="24"/>
          <w:szCs w:val="24"/>
        </w:rPr>
        <w:t>The analysis utilizes secondary data covering a two-decade period (2000–2020) to capture long-term structural changes. The CRI comprises two primary indices, Pressure Index (PI) and Vulnerability Index (VI), which are derived from the following raw indicators:</w:t>
      </w:r>
    </w:p>
    <w:p w14:paraId="7C31B9EF" w14:textId="77777777" w:rsidR="009A0A63" w:rsidRPr="00792B36" w:rsidRDefault="009A0A63" w:rsidP="009A0A63">
      <w:pPr>
        <w:spacing w:line="360" w:lineRule="auto"/>
        <w:contextualSpacing/>
        <w:jc w:val="thaiDistribute"/>
        <w:rPr>
          <w:color w:val="000000" w:themeColor="text1"/>
          <w:sz w:val="24"/>
          <w:szCs w:val="24"/>
        </w:rPr>
      </w:pPr>
    </w:p>
    <w:p w14:paraId="1AB6F8C4" w14:textId="77777777" w:rsidR="009A0A63" w:rsidRPr="00792B36" w:rsidRDefault="009A0A63" w:rsidP="009A0A63">
      <w:pPr>
        <w:spacing w:line="360" w:lineRule="auto"/>
        <w:contextualSpacing/>
        <w:jc w:val="thaiDistribute"/>
        <w:rPr>
          <w:color w:val="000000" w:themeColor="text1"/>
          <w:sz w:val="24"/>
          <w:szCs w:val="24"/>
        </w:rPr>
      </w:pPr>
      <w:r w:rsidRPr="00792B36">
        <w:rPr>
          <w:color w:val="000000" w:themeColor="text1"/>
          <w:sz w:val="24"/>
          <w:szCs w:val="24"/>
        </w:rPr>
        <w:t>1. Pressure Index (PI) indicators:</w:t>
      </w:r>
    </w:p>
    <w:p w14:paraId="7872431A" w14:textId="77777777" w:rsidR="009A0A63" w:rsidRPr="00792B36" w:rsidRDefault="009A0A63" w:rsidP="00F61B37">
      <w:pPr>
        <w:widowControl/>
        <w:numPr>
          <w:ilvl w:val="0"/>
          <w:numId w:val="114"/>
        </w:numPr>
        <w:spacing w:line="360" w:lineRule="auto"/>
        <w:contextualSpacing/>
        <w:jc w:val="thaiDistribute"/>
        <w:rPr>
          <w:color w:val="000000" w:themeColor="text1"/>
          <w:sz w:val="24"/>
          <w:szCs w:val="24"/>
        </w:rPr>
      </w:pPr>
      <w:r w:rsidRPr="00792B36">
        <w:rPr>
          <w:color w:val="000000" w:themeColor="text1"/>
          <w:sz w:val="24"/>
          <w:szCs w:val="24"/>
        </w:rPr>
        <w:t>Population count: Total registered population (Persons) in years 2000 and 2020.</w:t>
      </w:r>
    </w:p>
    <w:p w14:paraId="52853CB9" w14:textId="77777777" w:rsidR="009A0A63" w:rsidRPr="00792B36" w:rsidRDefault="009A0A63" w:rsidP="00F61B37">
      <w:pPr>
        <w:widowControl/>
        <w:numPr>
          <w:ilvl w:val="0"/>
          <w:numId w:val="114"/>
        </w:numPr>
        <w:spacing w:line="360" w:lineRule="auto"/>
        <w:contextualSpacing/>
        <w:jc w:val="thaiDistribute"/>
        <w:rPr>
          <w:color w:val="000000" w:themeColor="text1"/>
          <w:sz w:val="24"/>
          <w:szCs w:val="24"/>
        </w:rPr>
      </w:pPr>
      <w:r w:rsidRPr="00792B36">
        <w:rPr>
          <w:color w:val="000000" w:themeColor="text1"/>
          <w:sz w:val="24"/>
          <w:szCs w:val="24"/>
        </w:rPr>
        <w:t>Household count: Total number of registered households (Units) in years 2000 and 2020.</w:t>
      </w:r>
    </w:p>
    <w:p w14:paraId="5C775DD9" w14:textId="77777777" w:rsidR="009A0A63" w:rsidRPr="00792B36" w:rsidRDefault="009A0A63" w:rsidP="00F61B37">
      <w:pPr>
        <w:widowControl/>
        <w:numPr>
          <w:ilvl w:val="0"/>
          <w:numId w:val="114"/>
        </w:numPr>
        <w:spacing w:line="360" w:lineRule="auto"/>
        <w:contextualSpacing/>
        <w:jc w:val="thaiDistribute"/>
        <w:rPr>
          <w:color w:val="000000" w:themeColor="text1"/>
          <w:sz w:val="24"/>
          <w:szCs w:val="24"/>
        </w:rPr>
      </w:pPr>
      <w:r w:rsidRPr="00792B36">
        <w:rPr>
          <w:color w:val="000000" w:themeColor="text1"/>
          <w:sz w:val="24"/>
          <w:szCs w:val="24"/>
        </w:rPr>
        <w:t>Population density: Population per square kilometer (Persons/km²) in the year 2020.</w:t>
      </w:r>
    </w:p>
    <w:p w14:paraId="6A582319" w14:textId="77777777" w:rsidR="009A0A63" w:rsidRPr="00792B36" w:rsidRDefault="009A0A63" w:rsidP="00F61B37">
      <w:pPr>
        <w:widowControl/>
        <w:numPr>
          <w:ilvl w:val="0"/>
          <w:numId w:val="114"/>
        </w:numPr>
        <w:spacing w:line="360" w:lineRule="auto"/>
        <w:contextualSpacing/>
        <w:jc w:val="thaiDistribute"/>
        <w:rPr>
          <w:color w:val="000000" w:themeColor="text1"/>
          <w:sz w:val="24"/>
          <w:szCs w:val="24"/>
        </w:rPr>
      </w:pPr>
      <w:r w:rsidRPr="00792B36">
        <w:rPr>
          <w:color w:val="000000" w:themeColor="text1"/>
          <w:sz w:val="24"/>
          <w:szCs w:val="24"/>
        </w:rPr>
        <w:t>Gross Provincial Product (GPP): Economic output based on Chain Volume Measures (Reference year = 2002) in years 2000 and 2020.</w:t>
      </w:r>
    </w:p>
    <w:p w14:paraId="52476B0B" w14:textId="77777777" w:rsidR="009A0A63" w:rsidRPr="00792B36" w:rsidRDefault="009A0A63" w:rsidP="009A0A63">
      <w:pPr>
        <w:spacing w:line="360" w:lineRule="auto"/>
        <w:contextualSpacing/>
        <w:jc w:val="thaiDistribute"/>
        <w:rPr>
          <w:color w:val="000000" w:themeColor="text1"/>
          <w:sz w:val="24"/>
          <w:szCs w:val="24"/>
        </w:rPr>
      </w:pPr>
      <w:r w:rsidRPr="00792B36">
        <w:rPr>
          <w:color w:val="000000" w:themeColor="text1"/>
          <w:sz w:val="24"/>
          <w:szCs w:val="24"/>
        </w:rPr>
        <w:t>2. Vulnerability Index (VI) indicators:</w:t>
      </w:r>
    </w:p>
    <w:p w14:paraId="18E27398" w14:textId="77777777" w:rsidR="009A0A63" w:rsidRPr="00792B36" w:rsidRDefault="009A0A63" w:rsidP="00F61B37">
      <w:pPr>
        <w:widowControl/>
        <w:numPr>
          <w:ilvl w:val="0"/>
          <w:numId w:val="115"/>
        </w:numPr>
        <w:spacing w:line="360" w:lineRule="auto"/>
        <w:contextualSpacing/>
        <w:jc w:val="thaiDistribute"/>
        <w:rPr>
          <w:color w:val="000000" w:themeColor="text1"/>
          <w:sz w:val="24"/>
          <w:szCs w:val="24"/>
        </w:rPr>
      </w:pPr>
      <w:r w:rsidRPr="00792B36">
        <w:rPr>
          <w:color w:val="000000" w:themeColor="text1"/>
          <w:sz w:val="24"/>
          <w:szCs w:val="24"/>
        </w:rPr>
        <w:t>Poverty headcount: Number of people living below the poverty line (Persons) in years 2000 and 2020.</w:t>
      </w:r>
    </w:p>
    <w:p w14:paraId="42794597" w14:textId="77777777" w:rsidR="009A0A63" w:rsidRPr="00792B36" w:rsidRDefault="009A0A63" w:rsidP="00F61B37">
      <w:pPr>
        <w:widowControl/>
        <w:numPr>
          <w:ilvl w:val="0"/>
          <w:numId w:val="115"/>
        </w:numPr>
        <w:spacing w:line="360" w:lineRule="auto"/>
        <w:contextualSpacing/>
        <w:jc w:val="thaiDistribute"/>
        <w:rPr>
          <w:color w:val="000000" w:themeColor="text1"/>
          <w:sz w:val="24"/>
          <w:szCs w:val="24"/>
        </w:rPr>
      </w:pPr>
      <w:r w:rsidRPr="00792B36">
        <w:rPr>
          <w:color w:val="000000" w:themeColor="text1"/>
          <w:sz w:val="24"/>
          <w:szCs w:val="24"/>
        </w:rPr>
        <w:lastRenderedPageBreak/>
        <w:t>Gender ratio imbalance: The deviation of the male-to-female ratio from the standard 1:1 balance in the years 2020.</w:t>
      </w:r>
    </w:p>
    <w:p w14:paraId="416F949C" w14:textId="77777777" w:rsidR="009A0A63" w:rsidRPr="00792B36" w:rsidRDefault="009A0A63" w:rsidP="009A0A63">
      <w:pPr>
        <w:spacing w:line="360" w:lineRule="auto"/>
        <w:jc w:val="thaiDistribute"/>
        <w:rPr>
          <w:color w:val="000000" w:themeColor="text1"/>
          <w:sz w:val="24"/>
          <w:szCs w:val="24"/>
        </w:rPr>
      </w:pPr>
      <w:r w:rsidRPr="00792B36">
        <w:rPr>
          <w:color w:val="000000" w:themeColor="text1"/>
          <w:sz w:val="24"/>
          <w:szCs w:val="24"/>
        </w:rPr>
        <w:t>The Gender Ratio Imbalance index was calculated using 2020 population data. This indicator quantifies the extent to which a province’s population deviates from a balanced male-to-female ratio (1:1). A higher deviation indicates a skewed demographic structure, which can imply specific social vulnerabilities such as labor migration effects or gender-specific dependency burdens.</w:t>
      </w:r>
    </w:p>
    <w:p w14:paraId="70A50DF2" w14:textId="77777777" w:rsidR="009A0A63" w:rsidRPr="00792B36" w:rsidRDefault="009A0A63" w:rsidP="009A0A63">
      <w:pPr>
        <w:spacing w:line="360" w:lineRule="auto"/>
        <w:contextualSpacing/>
        <w:jc w:val="thaiDistribute"/>
        <w:rPr>
          <w:color w:val="000000" w:themeColor="text1"/>
          <w:sz w:val="24"/>
          <w:szCs w:val="24"/>
        </w:rPr>
      </w:pPr>
    </w:p>
    <w:p w14:paraId="0714DEA0" w14:textId="77777777" w:rsidR="009A0A63" w:rsidRPr="00792B36" w:rsidRDefault="009A0A63" w:rsidP="009A0A63">
      <w:pPr>
        <w:spacing w:line="360" w:lineRule="auto"/>
        <w:contextualSpacing/>
        <w:jc w:val="thaiDistribute"/>
        <w:rPr>
          <w:color w:val="000000" w:themeColor="text1"/>
          <w:sz w:val="24"/>
          <w:szCs w:val="24"/>
        </w:rPr>
      </w:pPr>
      <w:r w:rsidRPr="00792B36">
        <w:rPr>
          <w:b/>
          <w:bCs/>
          <w:color w:val="000000" w:themeColor="text1"/>
          <w:sz w:val="24"/>
          <w:szCs w:val="24"/>
        </w:rPr>
        <w:t>Step 2</w:t>
      </w:r>
      <w:r w:rsidRPr="00792B36">
        <w:rPr>
          <w:color w:val="000000" w:themeColor="text1"/>
          <w:sz w:val="24"/>
          <w:szCs w:val="24"/>
        </w:rPr>
        <w:t xml:space="preserve">: Calculation of temporal change (CAGR) </w:t>
      </w:r>
    </w:p>
    <w:p w14:paraId="46AD4E35" w14:textId="77777777" w:rsidR="009A0A63" w:rsidRPr="00792B36" w:rsidRDefault="009A0A63" w:rsidP="009A0A63">
      <w:pPr>
        <w:spacing w:line="360" w:lineRule="auto"/>
        <w:contextualSpacing/>
        <w:jc w:val="thaiDistribute"/>
        <w:rPr>
          <w:color w:val="000000" w:themeColor="text1"/>
          <w:sz w:val="24"/>
          <w:szCs w:val="24"/>
          <w:cs/>
        </w:rPr>
      </w:pPr>
      <w:r w:rsidRPr="00792B36">
        <w:rPr>
          <w:color w:val="000000" w:themeColor="text1"/>
          <w:sz w:val="24"/>
          <w:szCs w:val="24"/>
        </w:rPr>
        <w:t>To account for year-to-year fluctuations inherent in raw data, the analysis utilizes the Compound Annual Growth Rate (CAGR) instead of a simple percentage change. This approach is necessary to accurately measure structural trends in pressure and vulnerability over the 20-year assessment period. Accordingly, the CAGR is calculated for all indicators measuring temporal change, including population, households, GPP, poverty, and gender imbalance. This method provides a standardized and smoothed annual growth rate, effectively dampening the influence of short-term volatility. This step yields a raw growth rate (e.g., 2.5% or 0.025) for each indicator per province.</w:t>
      </w:r>
    </w:p>
    <w:p w14:paraId="019E15EF" w14:textId="77777777" w:rsidR="009A0A63" w:rsidRPr="00792B36" w:rsidRDefault="009A0A63" w:rsidP="009A0A63">
      <w:pPr>
        <w:spacing w:line="360" w:lineRule="auto"/>
        <w:ind w:firstLine="720"/>
        <w:contextualSpacing/>
        <w:jc w:val="thaiDistribute"/>
        <w:rPr>
          <w:color w:val="000000" w:themeColor="text1"/>
          <w:sz w:val="24"/>
          <w:szCs w:val="24"/>
        </w:rPr>
      </w:pPr>
      <w:r w:rsidRPr="00792B36">
        <w:rPr>
          <w:color w:val="000000" w:themeColor="text1"/>
          <w:sz w:val="24"/>
          <w:szCs w:val="24"/>
        </w:rPr>
        <w:t xml:space="preserve">Formula: </w:t>
      </w:r>
      <m:oMath>
        <m:r>
          <w:rPr>
            <w:rFonts w:ascii="Cambria Math" w:hAnsi="Cambria Math"/>
            <w:color w:val="000000" w:themeColor="text1"/>
            <w:sz w:val="24"/>
            <w:szCs w:val="24"/>
          </w:rPr>
          <m:t>CAGR=</m:t>
        </m:r>
        <m:sSup>
          <m:sSupPr>
            <m:ctrlPr>
              <w:rPr>
                <w:rFonts w:ascii="Cambria Math" w:hAnsi="Cambria Math"/>
                <w:i/>
                <w:color w:val="000000" w:themeColor="text1"/>
                <w:sz w:val="24"/>
                <w:szCs w:val="24"/>
              </w:rPr>
            </m:ctrlPr>
          </m:sSupPr>
          <m:e>
            <m:r>
              <w:rPr>
                <w:rFonts w:ascii="Cambria Math" w:hAnsi="Cambria Math"/>
                <w:color w:val="000000" w:themeColor="text1"/>
                <w:sz w:val="24"/>
                <w:szCs w:val="24"/>
              </w:rPr>
              <m:t xml:space="preserve"> </m:t>
            </m:r>
            <m:d>
              <m:dPr>
                <m:ctrlPr>
                  <w:rPr>
                    <w:rFonts w:ascii="Cambria Math" w:hAnsi="Cambria Math"/>
                    <w:i/>
                    <w:color w:val="000000" w:themeColor="text1"/>
                    <w:sz w:val="24"/>
                    <w:szCs w:val="24"/>
                  </w:rPr>
                </m:ctrlPr>
              </m:dPr>
              <m:e>
                <m:f>
                  <m:fPr>
                    <m:ctrlPr>
                      <w:rPr>
                        <w:rFonts w:ascii="Cambria Math" w:hAnsi="Cambria Math"/>
                        <w:i/>
                        <w:color w:val="000000" w:themeColor="text1"/>
                        <w:sz w:val="24"/>
                        <w:szCs w:val="24"/>
                      </w:rPr>
                    </m:ctrlPr>
                  </m:fPr>
                  <m:num>
                    <m:sSub>
                      <m:sSubPr>
                        <m:ctrlPr>
                          <w:rPr>
                            <w:rFonts w:ascii="Cambria Math" w:hAnsi="Cambria Math"/>
                            <w:i/>
                            <w:color w:val="000000" w:themeColor="text1"/>
                            <w:sz w:val="24"/>
                            <w:szCs w:val="24"/>
                          </w:rPr>
                        </m:ctrlPr>
                      </m:sSubPr>
                      <m:e>
                        <m:r>
                          <w:rPr>
                            <w:rFonts w:ascii="Cambria Math" w:hAnsi="Cambria Math"/>
                            <w:color w:val="000000" w:themeColor="text1"/>
                            <w:sz w:val="24"/>
                            <w:szCs w:val="24"/>
                          </w:rPr>
                          <m:t>Value</m:t>
                        </m:r>
                      </m:e>
                      <m:sub>
                        <m:r>
                          <w:rPr>
                            <w:rFonts w:ascii="Cambria Math" w:hAnsi="Cambria Math"/>
                            <w:color w:val="000000" w:themeColor="text1"/>
                            <w:sz w:val="24"/>
                            <w:szCs w:val="24"/>
                          </w:rPr>
                          <m:t>2020</m:t>
                        </m:r>
                      </m:sub>
                    </m:sSub>
                  </m:num>
                  <m:den>
                    <m:sSub>
                      <m:sSubPr>
                        <m:ctrlPr>
                          <w:rPr>
                            <w:rFonts w:ascii="Cambria Math" w:hAnsi="Cambria Math"/>
                            <w:i/>
                            <w:color w:val="000000" w:themeColor="text1"/>
                            <w:sz w:val="24"/>
                            <w:szCs w:val="24"/>
                          </w:rPr>
                        </m:ctrlPr>
                      </m:sSubPr>
                      <m:e>
                        <m:r>
                          <w:rPr>
                            <w:rFonts w:ascii="Cambria Math" w:hAnsi="Cambria Math"/>
                            <w:color w:val="000000" w:themeColor="text1"/>
                            <w:sz w:val="24"/>
                            <w:szCs w:val="24"/>
                          </w:rPr>
                          <m:t>Value</m:t>
                        </m:r>
                      </m:e>
                      <m:sub>
                        <m:r>
                          <w:rPr>
                            <w:rFonts w:ascii="Cambria Math" w:hAnsi="Cambria Math"/>
                            <w:color w:val="000000" w:themeColor="text1"/>
                            <w:sz w:val="24"/>
                            <w:szCs w:val="24"/>
                          </w:rPr>
                          <m:t>2000</m:t>
                        </m:r>
                      </m:sub>
                    </m:sSub>
                  </m:den>
                </m:f>
              </m:e>
            </m:d>
          </m:e>
          <m:sup>
            <m:f>
              <m:fPr>
                <m:ctrlPr>
                  <w:rPr>
                    <w:rFonts w:ascii="Cambria Math" w:hAnsi="Cambria Math"/>
                    <w:i/>
                    <w:color w:val="000000" w:themeColor="text1"/>
                    <w:sz w:val="24"/>
                    <w:szCs w:val="24"/>
                  </w:rPr>
                </m:ctrlPr>
              </m:fPr>
              <m:num>
                <m:r>
                  <w:rPr>
                    <w:rFonts w:ascii="Cambria Math" w:hAnsi="Cambria Math"/>
                    <w:color w:val="000000" w:themeColor="text1"/>
                    <w:sz w:val="24"/>
                    <w:szCs w:val="24"/>
                  </w:rPr>
                  <m:t>1</m:t>
                </m:r>
              </m:num>
              <m:den>
                <m:r>
                  <w:rPr>
                    <w:rFonts w:ascii="Cambria Math" w:hAnsi="Cambria Math"/>
                    <w:color w:val="000000" w:themeColor="text1"/>
                    <w:sz w:val="24"/>
                    <w:szCs w:val="24"/>
                  </w:rPr>
                  <m:t>n</m:t>
                </m:r>
              </m:den>
            </m:f>
          </m:sup>
        </m:sSup>
        <m:r>
          <w:rPr>
            <w:rFonts w:ascii="Cambria Math" w:hAnsi="Cambria Math"/>
            <w:color w:val="000000" w:themeColor="text1"/>
            <w:sz w:val="24"/>
            <w:szCs w:val="24"/>
          </w:rPr>
          <m:t>-1</m:t>
        </m:r>
      </m:oMath>
    </w:p>
    <w:p w14:paraId="28BC1AA9" w14:textId="77777777" w:rsidR="009A0A63" w:rsidRPr="00792B36" w:rsidRDefault="009A0A63" w:rsidP="009A0A63">
      <w:pPr>
        <w:spacing w:line="360" w:lineRule="auto"/>
        <w:ind w:firstLine="720"/>
        <w:contextualSpacing/>
        <w:jc w:val="thaiDistribute"/>
        <w:rPr>
          <w:color w:val="000000" w:themeColor="text1"/>
          <w:sz w:val="24"/>
          <w:szCs w:val="24"/>
        </w:rPr>
      </w:pPr>
      <w:r w:rsidRPr="00792B36">
        <w:rPr>
          <w:i/>
          <w:iCs/>
          <w:color w:val="000000" w:themeColor="text1"/>
          <w:sz w:val="24"/>
          <w:szCs w:val="24"/>
        </w:rPr>
        <w:t>Where:</w:t>
      </w:r>
    </w:p>
    <w:p w14:paraId="53579F02" w14:textId="77777777" w:rsidR="009A0A63" w:rsidRPr="00792B36" w:rsidRDefault="009A0A63" w:rsidP="009A0A63">
      <w:pPr>
        <w:spacing w:line="360" w:lineRule="auto"/>
        <w:ind w:left="1058"/>
        <w:contextualSpacing/>
        <w:jc w:val="thaiDistribute"/>
        <w:rPr>
          <w:color w:val="000000" w:themeColor="text1"/>
          <w:sz w:val="24"/>
          <w:szCs w:val="24"/>
        </w:rPr>
      </w:pPr>
      <w:r w:rsidRPr="00792B36">
        <w:rPr>
          <w:color w:val="000000" w:themeColor="text1"/>
          <w:sz w:val="24"/>
          <w:szCs w:val="24"/>
        </w:rPr>
        <w:t>Value</w:t>
      </w:r>
      <w:r w:rsidRPr="00792B36">
        <w:rPr>
          <w:color w:val="000000" w:themeColor="text1"/>
          <w:sz w:val="24"/>
          <w:szCs w:val="24"/>
          <w:vertAlign w:val="subscript"/>
        </w:rPr>
        <w:t>2020</w:t>
      </w:r>
      <w:r w:rsidRPr="00792B36">
        <w:rPr>
          <w:color w:val="000000" w:themeColor="text1"/>
          <w:sz w:val="24"/>
          <w:szCs w:val="24"/>
        </w:rPr>
        <w:t xml:space="preserve"> </w:t>
      </w:r>
      <w:r w:rsidRPr="00792B36">
        <w:rPr>
          <w:color w:val="000000" w:themeColor="text1"/>
          <w:sz w:val="24"/>
          <w:szCs w:val="24"/>
        </w:rPr>
        <w:tab/>
        <w:t>= Value of the indicator in the ending year.</w:t>
      </w:r>
    </w:p>
    <w:p w14:paraId="637BFE5B" w14:textId="77777777" w:rsidR="009A0A63" w:rsidRPr="00792B36" w:rsidRDefault="009A0A63" w:rsidP="009A0A63">
      <w:pPr>
        <w:spacing w:line="360" w:lineRule="auto"/>
        <w:ind w:left="1058"/>
        <w:contextualSpacing/>
        <w:jc w:val="thaiDistribute"/>
        <w:rPr>
          <w:color w:val="000000" w:themeColor="text1"/>
          <w:sz w:val="24"/>
          <w:szCs w:val="24"/>
        </w:rPr>
      </w:pPr>
      <w:r w:rsidRPr="00792B36">
        <w:rPr>
          <w:color w:val="000000" w:themeColor="text1"/>
          <w:sz w:val="24"/>
          <w:szCs w:val="24"/>
        </w:rPr>
        <w:t>Value</w:t>
      </w:r>
      <w:r w:rsidRPr="00792B36">
        <w:rPr>
          <w:color w:val="000000" w:themeColor="text1"/>
          <w:sz w:val="24"/>
          <w:szCs w:val="24"/>
          <w:vertAlign w:val="subscript"/>
        </w:rPr>
        <w:t>2000</w:t>
      </w:r>
      <w:r w:rsidRPr="00792B36">
        <w:rPr>
          <w:color w:val="000000" w:themeColor="text1"/>
          <w:sz w:val="24"/>
          <w:szCs w:val="24"/>
        </w:rPr>
        <w:t xml:space="preserve"> </w:t>
      </w:r>
      <w:r w:rsidRPr="00792B36">
        <w:rPr>
          <w:color w:val="000000" w:themeColor="text1"/>
          <w:sz w:val="24"/>
          <w:szCs w:val="24"/>
        </w:rPr>
        <w:tab/>
        <w:t>= Value of the indicator in the beginning year.</w:t>
      </w:r>
    </w:p>
    <w:p w14:paraId="26D9DD80" w14:textId="77777777" w:rsidR="009A0A63" w:rsidRPr="00792B36" w:rsidRDefault="009A0A63" w:rsidP="009A0A63">
      <w:pPr>
        <w:spacing w:line="360" w:lineRule="auto"/>
        <w:ind w:left="1058"/>
        <w:contextualSpacing/>
        <w:jc w:val="thaiDistribute"/>
        <w:rPr>
          <w:color w:val="000000" w:themeColor="text1"/>
          <w:sz w:val="24"/>
          <w:szCs w:val="24"/>
        </w:rPr>
      </w:pPr>
      <w:r w:rsidRPr="00792B36">
        <w:rPr>
          <w:color w:val="000000" w:themeColor="text1"/>
          <w:sz w:val="24"/>
          <w:szCs w:val="24"/>
        </w:rPr>
        <w:t xml:space="preserve">n </w:t>
      </w:r>
      <w:r w:rsidRPr="00792B36">
        <w:rPr>
          <w:color w:val="000000" w:themeColor="text1"/>
          <w:sz w:val="24"/>
          <w:szCs w:val="24"/>
        </w:rPr>
        <w:tab/>
      </w:r>
      <w:r w:rsidRPr="00792B36">
        <w:rPr>
          <w:color w:val="000000" w:themeColor="text1"/>
          <w:sz w:val="24"/>
          <w:szCs w:val="24"/>
        </w:rPr>
        <w:tab/>
        <w:t>= Number of years (20 years).</w:t>
      </w:r>
    </w:p>
    <w:p w14:paraId="0F133552" w14:textId="77777777" w:rsidR="009A0A63" w:rsidRPr="00792B36" w:rsidRDefault="009A0A63" w:rsidP="009A0A63">
      <w:pPr>
        <w:spacing w:line="360" w:lineRule="auto"/>
        <w:contextualSpacing/>
        <w:jc w:val="thaiDistribute"/>
        <w:rPr>
          <w:color w:val="000000" w:themeColor="text1"/>
          <w:sz w:val="24"/>
          <w:szCs w:val="24"/>
        </w:rPr>
      </w:pPr>
    </w:p>
    <w:p w14:paraId="6EF138A5" w14:textId="77777777" w:rsidR="009A0A63" w:rsidRPr="00792B36" w:rsidRDefault="009A0A63" w:rsidP="009A0A63">
      <w:pPr>
        <w:spacing w:line="360" w:lineRule="auto"/>
        <w:contextualSpacing/>
        <w:jc w:val="thaiDistribute"/>
        <w:rPr>
          <w:color w:val="000000" w:themeColor="text1"/>
          <w:sz w:val="24"/>
          <w:szCs w:val="24"/>
        </w:rPr>
      </w:pPr>
      <w:r w:rsidRPr="00792B36">
        <w:rPr>
          <w:b/>
          <w:bCs/>
          <w:color w:val="000000" w:themeColor="text1"/>
          <w:sz w:val="24"/>
          <w:szCs w:val="24"/>
        </w:rPr>
        <w:t>Step 3</w:t>
      </w:r>
      <w:r w:rsidRPr="00792B36">
        <w:rPr>
          <w:color w:val="000000" w:themeColor="text1"/>
          <w:sz w:val="24"/>
          <w:szCs w:val="24"/>
        </w:rPr>
        <w:t xml:space="preserve">: Data Normalization </w:t>
      </w:r>
    </w:p>
    <w:p w14:paraId="3716F213" w14:textId="77777777" w:rsidR="009A0A63" w:rsidRPr="00792B36" w:rsidRDefault="009A0A63" w:rsidP="009A0A63">
      <w:pPr>
        <w:spacing w:line="360" w:lineRule="auto"/>
        <w:contextualSpacing/>
        <w:jc w:val="thaiDistribute"/>
        <w:rPr>
          <w:color w:val="000000" w:themeColor="text1"/>
          <w:sz w:val="24"/>
          <w:szCs w:val="24"/>
        </w:rPr>
      </w:pPr>
      <w:r w:rsidRPr="00792B36">
        <w:rPr>
          <w:color w:val="000000" w:themeColor="text1"/>
          <w:sz w:val="24"/>
          <w:szCs w:val="24"/>
        </w:rPr>
        <w:t>Given that the raw data and derived CAGR values utilize heterogeneous units (e.g., population counts, monetary values, and percentages), direct mathematical aggregation is not feasible. To address this, normalization is required to transform all indicators onto a common, dimensionless scale ranging from 0 to 1. Consequently, Min-Max Normalization is applied to all metrics, including both the temporal change values from Step 2 and the static density data, to ensure comparability and facilitate accurate aggregation. For indicators where a higher value is positive (e.g., poverty reduction), the formula is inverted (1 - I</w:t>
      </w:r>
      <w:r w:rsidRPr="00792B36">
        <w:rPr>
          <w:color w:val="000000" w:themeColor="text1"/>
          <w:sz w:val="24"/>
          <w:szCs w:val="24"/>
          <w:vertAlign w:val="subscript"/>
        </w:rPr>
        <w:t>x</w:t>
      </w:r>
      <w:r w:rsidRPr="00792B36">
        <w:rPr>
          <w:color w:val="000000" w:themeColor="text1"/>
          <w:sz w:val="24"/>
          <w:szCs w:val="24"/>
        </w:rPr>
        <w:t xml:space="preserve">) so that in the final index, a higher score consistently indicates a negative outcome (Higher risk). This step produces the </w:t>
      </w:r>
      <w:r w:rsidRPr="00792B36">
        <w:rPr>
          <w:color w:val="000000" w:themeColor="text1"/>
          <w:sz w:val="24"/>
          <w:szCs w:val="24"/>
        </w:rPr>
        <w:lastRenderedPageBreak/>
        <w:t xml:space="preserve">specific </w:t>
      </w:r>
      <w:r w:rsidRPr="00792B36">
        <w:rPr>
          <w:b/>
          <w:bCs/>
          <w:color w:val="000000" w:themeColor="text1"/>
          <w:sz w:val="24"/>
          <w:szCs w:val="24"/>
        </w:rPr>
        <w:t>I</w:t>
      </w:r>
      <w:r w:rsidRPr="00792B36">
        <w:rPr>
          <w:color w:val="000000" w:themeColor="text1"/>
          <w:sz w:val="24"/>
          <w:szCs w:val="24"/>
        </w:rPr>
        <w:t xml:space="preserve"> values (e.g., I</w:t>
      </w:r>
      <w:r w:rsidRPr="00792B36">
        <w:rPr>
          <w:color w:val="000000" w:themeColor="text1"/>
          <w:sz w:val="24"/>
          <w:szCs w:val="24"/>
          <w:vertAlign w:val="subscript"/>
        </w:rPr>
        <w:t>Pop</w:t>
      </w:r>
      <w:r w:rsidRPr="00792B36">
        <w:rPr>
          <w:color w:val="000000" w:themeColor="text1"/>
          <w:sz w:val="24"/>
          <w:szCs w:val="24"/>
        </w:rPr>
        <w:t>, I</w:t>
      </w:r>
      <w:r w:rsidRPr="00792B36">
        <w:rPr>
          <w:color w:val="000000" w:themeColor="text1"/>
          <w:sz w:val="24"/>
          <w:szCs w:val="24"/>
          <w:vertAlign w:val="subscript"/>
        </w:rPr>
        <w:t>GPP</w:t>
      </w:r>
      <w:r w:rsidRPr="00792B36">
        <w:rPr>
          <w:color w:val="000000" w:themeColor="text1"/>
          <w:sz w:val="24"/>
          <w:szCs w:val="24"/>
        </w:rPr>
        <w:t>, I</w:t>
      </w:r>
      <w:r w:rsidRPr="00792B36">
        <w:rPr>
          <w:color w:val="000000" w:themeColor="text1"/>
          <w:sz w:val="24"/>
          <w:szCs w:val="24"/>
          <w:vertAlign w:val="subscript"/>
        </w:rPr>
        <w:t>Poor</w:t>
      </w:r>
      <w:r w:rsidRPr="00792B36">
        <w:rPr>
          <w:color w:val="000000" w:themeColor="text1"/>
          <w:sz w:val="24"/>
          <w:szCs w:val="24"/>
        </w:rPr>
        <w:t>) ready for aggregation.</w:t>
      </w:r>
    </w:p>
    <w:p w14:paraId="06519E8B" w14:textId="77777777" w:rsidR="009A0A63" w:rsidRPr="00792B36" w:rsidRDefault="009A0A63" w:rsidP="009A0A63">
      <w:pPr>
        <w:spacing w:line="360" w:lineRule="auto"/>
        <w:contextualSpacing/>
        <w:jc w:val="thaiDistribute"/>
        <w:rPr>
          <w:color w:val="000000" w:themeColor="text1"/>
          <w:sz w:val="24"/>
          <w:szCs w:val="24"/>
        </w:rPr>
      </w:pPr>
    </w:p>
    <w:p w14:paraId="043BF398" w14:textId="77777777" w:rsidR="009A0A63" w:rsidRPr="00792B36" w:rsidRDefault="009A0A63" w:rsidP="009A0A63">
      <w:pPr>
        <w:spacing w:line="360" w:lineRule="auto"/>
        <w:contextualSpacing/>
        <w:jc w:val="thaiDistribute"/>
        <w:rPr>
          <w:color w:val="000000" w:themeColor="text1"/>
          <w:sz w:val="24"/>
          <w:szCs w:val="24"/>
        </w:rPr>
      </w:pPr>
    </w:p>
    <w:p w14:paraId="0AFCD16F" w14:textId="77777777" w:rsidR="009A0A63" w:rsidRPr="00792B36" w:rsidRDefault="009A0A63" w:rsidP="009A0A63">
      <w:pPr>
        <w:spacing w:line="360" w:lineRule="auto"/>
        <w:ind w:firstLine="720"/>
        <w:contextualSpacing/>
        <w:jc w:val="thaiDistribute"/>
        <w:rPr>
          <w:color w:val="000000" w:themeColor="text1"/>
          <w:sz w:val="24"/>
          <w:szCs w:val="24"/>
        </w:rPr>
      </w:pPr>
      <w:r w:rsidRPr="00792B36">
        <w:rPr>
          <w:color w:val="000000" w:themeColor="text1"/>
          <w:sz w:val="24"/>
          <w:szCs w:val="24"/>
        </w:rPr>
        <w:t xml:space="preserve">Formula:  </w:t>
      </w:r>
      <m:oMath>
        <m:sSub>
          <m:sSubPr>
            <m:ctrlPr>
              <w:rPr>
                <w:rFonts w:ascii="Cambria Math" w:hAnsi="Cambria Math"/>
                <w:i/>
                <w:color w:val="000000" w:themeColor="text1"/>
                <w:sz w:val="24"/>
                <w:szCs w:val="24"/>
              </w:rPr>
            </m:ctrlPr>
          </m:sSubPr>
          <m:e>
            <m:r>
              <w:rPr>
                <w:rFonts w:ascii="Cambria Math" w:hAnsi="Cambria Math"/>
                <w:color w:val="000000" w:themeColor="text1"/>
                <w:sz w:val="24"/>
                <w:szCs w:val="24"/>
              </w:rPr>
              <m:t>I</m:t>
            </m:r>
          </m:e>
          <m:sub>
            <m:r>
              <w:rPr>
                <w:rFonts w:ascii="Cambria Math" w:hAnsi="Cambria Math"/>
                <w:color w:val="000000" w:themeColor="text1"/>
                <w:sz w:val="24"/>
                <w:szCs w:val="24"/>
              </w:rPr>
              <m:t>x</m:t>
            </m:r>
          </m:sub>
        </m:sSub>
        <m:r>
          <w:rPr>
            <w:rFonts w:ascii="Cambria Math" w:hAnsi="Cambria Math"/>
            <w:color w:val="000000" w:themeColor="text1"/>
            <w:sz w:val="24"/>
            <w:szCs w:val="24"/>
          </w:rPr>
          <m:t>=</m:t>
        </m:r>
        <m:f>
          <m:fPr>
            <m:ctrlPr>
              <w:rPr>
                <w:rFonts w:ascii="Cambria Math" w:hAnsi="Cambria Math"/>
                <w:i/>
                <w:color w:val="000000" w:themeColor="text1"/>
                <w:sz w:val="24"/>
                <w:szCs w:val="24"/>
              </w:rPr>
            </m:ctrlPr>
          </m:fPr>
          <m:num>
            <m:sSub>
              <m:sSubPr>
                <m:ctrlPr>
                  <w:rPr>
                    <w:rFonts w:ascii="Cambria Math" w:hAnsi="Cambria Math"/>
                    <w:i/>
                    <w:color w:val="000000" w:themeColor="text1"/>
                    <w:sz w:val="24"/>
                    <w:szCs w:val="24"/>
                  </w:rPr>
                </m:ctrlPr>
              </m:sSubPr>
              <m:e>
                <m:r>
                  <w:rPr>
                    <w:rFonts w:ascii="Cambria Math" w:hAnsi="Cambria Math"/>
                    <w:color w:val="000000" w:themeColor="text1"/>
                    <w:sz w:val="24"/>
                    <w:szCs w:val="24"/>
                  </w:rPr>
                  <m:t>X</m:t>
                </m:r>
              </m:e>
              <m:sub>
                <m:r>
                  <w:rPr>
                    <w:rFonts w:ascii="Cambria Math" w:hAnsi="Cambria Math"/>
                    <w:color w:val="000000" w:themeColor="text1"/>
                    <w:sz w:val="24"/>
                    <w:szCs w:val="24"/>
                  </w:rPr>
                  <m:t>i</m:t>
                </m:r>
              </m:sub>
            </m:sSub>
            <m:r>
              <w:rPr>
                <w:rFonts w:ascii="Cambria Math" w:hAnsi="Cambria Math"/>
                <w:color w:val="000000" w:themeColor="text1"/>
                <w:sz w:val="24"/>
                <w:szCs w:val="24"/>
              </w:rPr>
              <m:t>-</m:t>
            </m:r>
            <m:sSub>
              <m:sSubPr>
                <m:ctrlPr>
                  <w:rPr>
                    <w:rFonts w:ascii="Cambria Math" w:hAnsi="Cambria Math"/>
                    <w:i/>
                    <w:color w:val="000000" w:themeColor="text1"/>
                    <w:sz w:val="24"/>
                    <w:szCs w:val="24"/>
                  </w:rPr>
                </m:ctrlPr>
              </m:sSubPr>
              <m:e>
                <m:r>
                  <w:rPr>
                    <w:rFonts w:ascii="Cambria Math" w:hAnsi="Cambria Math"/>
                    <w:color w:val="000000" w:themeColor="text1"/>
                    <w:sz w:val="24"/>
                    <w:szCs w:val="24"/>
                  </w:rPr>
                  <m:t>X</m:t>
                </m:r>
              </m:e>
              <m:sub>
                <m:r>
                  <w:rPr>
                    <w:rFonts w:ascii="Cambria Math" w:hAnsi="Cambria Math"/>
                    <w:color w:val="000000" w:themeColor="text1"/>
                    <w:sz w:val="24"/>
                    <w:szCs w:val="24"/>
                  </w:rPr>
                  <m:t>Min</m:t>
                </m:r>
              </m:sub>
            </m:sSub>
          </m:num>
          <m:den>
            <m:sSub>
              <m:sSubPr>
                <m:ctrlPr>
                  <w:rPr>
                    <w:rFonts w:ascii="Cambria Math" w:hAnsi="Cambria Math"/>
                    <w:i/>
                    <w:color w:val="000000" w:themeColor="text1"/>
                    <w:sz w:val="24"/>
                    <w:szCs w:val="24"/>
                  </w:rPr>
                </m:ctrlPr>
              </m:sSubPr>
              <m:e>
                <m:r>
                  <w:rPr>
                    <w:rFonts w:ascii="Cambria Math" w:hAnsi="Cambria Math"/>
                    <w:color w:val="000000" w:themeColor="text1"/>
                    <w:sz w:val="24"/>
                    <w:szCs w:val="24"/>
                  </w:rPr>
                  <m:t>X</m:t>
                </m:r>
              </m:e>
              <m:sub>
                <m:r>
                  <w:rPr>
                    <w:rFonts w:ascii="Cambria Math" w:hAnsi="Cambria Math"/>
                    <w:color w:val="000000" w:themeColor="text1"/>
                    <w:sz w:val="24"/>
                    <w:szCs w:val="24"/>
                  </w:rPr>
                  <m:t>max</m:t>
                </m:r>
              </m:sub>
            </m:sSub>
            <m:r>
              <w:rPr>
                <w:rFonts w:ascii="Cambria Math" w:hAnsi="Cambria Math"/>
                <w:color w:val="000000" w:themeColor="text1"/>
                <w:sz w:val="24"/>
                <w:szCs w:val="24"/>
              </w:rPr>
              <m:t>-</m:t>
            </m:r>
            <m:sSub>
              <m:sSubPr>
                <m:ctrlPr>
                  <w:rPr>
                    <w:rFonts w:ascii="Cambria Math" w:hAnsi="Cambria Math"/>
                    <w:i/>
                    <w:color w:val="000000" w:themeColor="text1"/>
                    <w:sz w:val="24"/>
                    <w:szCs w:val="24"/>
                  </w:rPr>
                </m:ctrlPr>
              </m:sSubPr>
              <m:e>
                <m:r>
                  <w:rPr>
                    <w:rFonts w:ascii="Cambria Math" w:hAnsi="Cambria Math"/>
                    <w:color w:val="000000" w:themeColor="text1"/>
                    <w:sz w:val="24"/>
                    <w:szCs w:val="24"/>
                  </w:rPr>
                  <m:t>X</m:t>
                </m:r>
              </m:e>
              <m:sub>
                <m:r>
                  <w:rPr>
                    <w:rFonts w:ascii="Cambria Math" w:hAnsi="Cambria Math"/>
                    <w:color w:val="000000" w:themeColor="text1"/>
                    <w:sz w:val="24"/>
                    <w:szCs w:val="24"/>
                  </w:rPr>
                  <m:t>min</m:t>
                </m:r>
              </m:sub>
            </m:sSub>
          </m:den>
        </m:f>
      </m:oMath>
    </w:p>
    <w:p w14:paraId="1FFB402E" w14:textId="77777777" w:rsidR="009A0A63" w:rsidRPr="00792B36" w:rsidRDefault="009A0A63" w:rsidP="009A0A63">
      <w:pPr>
        <w:spacing w:line="360" w:lineRule="auto"/>
        <w:ind w:firstLine="720"/>
        <w:contextualSpacing/>
        <w:jc w:val="thaiDistribute"/>
        <w:rPr>
          <w:color w:val="000000" w:themeColor="text1"/>
          <w:sz w:val="24"/>
          <w:szCs w:val="24"/>
        </w:rPr>
      </w:pPr>
      <w:r w:rsidRPr="00792B36">
        <w:rPr>
          <w:i/>
          <w:iCs/>
          <w:color w:val="000000" w:themeColor="text1"/>
          <w:sz w:val="24"/>
          <w:szCs w:val="24"/>
        </w:rPr>
        <w:t>Where:</w:t>
      </w:r>
    </w:p>
    <w:p w14:paraId="04D9E8AD" w14:textId="77777777" w:rsidR="009A0A63" w:rsidRPr="00792B36" w:rsidRDefault="009A0A63" w:rsidP="009A0A63">
      <w:pPr>
        <w:spacing w:line="360" w:lineRule="auto"/>
        <w:ind w:left="1058"/>
        <w:contextualSpacing/>
        <w:jc w:val="thaiDistribute"/>
        <w:rPr>
          <w:color w:val="000000" w:themeColor="text1"/>
          <w:sz w:val="24"/>
          <w:szCs w:val="24"/>
        </w:rPr>
      </w:pPr>
      <w:r w:rsidRPr="00792B36">
        <w:rPr>
          <w:color w:val="000000" w:themeColor="text1"/>
          <w:sz w:val="24"/>
          <w:szCs w:val="24"/>
        </w:rPr>
        <w:t>I</w:t>
      </w:r>
      <w:r w:rsidRPr="00792B36">
        <w:rPr>
          <w:color w:val="000000" w:themeColor="text1"/>
          <w:sz w:val="24"/>
          <w:szCs w:val="24"/>
          <w:vertAlign w:val="subscript"/>
        </w:rPr>
        <w:t>x</w:t>
      </w:r>
      <w:r w:rsidRPr="00792B36">
        <w:rPr>
          <w:color w:val="000000" w:themeColor="text1"/>
          <w:sz w:val="24"/>
          <w:szCs w:val="24"/>
        </w:rPr>
        <w:t xml:space="preserve"> </w:t>
      </w:r>
      <w:r w:rsidRPr="00792B36">
        <w:rPr>
          <w:color w:val="000000" w:themeColor="text1"/>
          <w:sz w:val="24"/>
          <w:szCs w:val="24"/>
        </w:rPr>
        <w:tab/>
        <w:t xml:space="preserve"> = The normalized score (0–1) for province i.</w:t>
      </w:r>
    </w:p>
    <w:p w14:paraId="36BFDEA9" w14:textId="77777777" w:rsidR="009A0A63" w:rsidRPr="00792B36" w:rsidRDefault="009A0A63" w:rsidP="009A0A63">
      <w:pPr>
        <w:spacing w:line="360" w:lineRule="auto"/>
        <w:ind w:left="1058"/>
        <w:contextualSpacing/>
        <w:jc w:val="thaiDistribute"/>
        <w:rPr>
          <w:color w:val="000000" w:themeColor="text1"/>
          <w:sz w:val="24"/>
          <w:szCs w:val="24"/>
        </w:rPr>
      </w:pPr>
      <w:r w:rsidRPr="00792B36">
        <w:rPr>
          <w:color w:val="000000" w:themeColor="text1"/>
          <w:sz w:val="24"/>
          <w:szCs w:val="24"/>
        </w:rPr>
        <w:t>X</w:t>
      </w:r>
      <w:r w:rsidRPr="00792B36">
        <w:rPr>
          <w:color w:val="000000" w:themeColor="text1"/>
          <w:sz w:val="24"/>
          <w:szCs w:val="24"/>
          <w:vertAlign w:val="subscript"/>
        </w:rPr>
        <w:t>i</w:t>
      </w:r>
      <w:r w:rsidRPr="00792B36">
        <w:rPr>
          <w:color w:val="000000" w:themeColor="text1"/>
          <w:sz w:val="24"/>
          <w:szCs w:val="24"/>
        </w:rPr>
        <w:t xml:space="preserve"> </w:t>
      </w:r>
      <w:r w:rsidRPr="00792B36">
        <w:rPr>
          <w:color w:val="000000" w:themeColor="text1"/>
          <w:sz w:val="24"/>
          <w:szCs w:val="24"/>
        </w:rPr>
        <w:tab/>
        <w:t xml:space="preserve"> = The CAGR value for province i.</w:t>
      </w:r>
    </w:p>
    <w:p w14:paraId="79CDBA81" w14:textId="77777777" w:rsidR="009A0A63" w:rsidRPr="00792B36" w:rsidRDefault="009A0A63" w:rsidP="009A0A63">
      <w:pPr>
        <w:spacing w:line="360" w:lineRule="auto"/>
        <w:ind w:left="1058"/>
        <w:contextualSpacing/>
        <w:jc w:val="thaiDistribute"/>
        <w:rPr>
          <w:color w:val="000000" w:themeColor="text1"/>
          <w:sz w:val="24"/>
          <w:szCs w:val="24"/>
        </w:rPr>
      </w:pPr>
      <w:r w:rsidRPr="00792B36">
        <w:rPr>
          <w:color w:val="000000" w:themeColor="text1"/>
          <w:sz w:val="24"/>
          <w:szCs w:val="24"/>
        </w:rPr>
        <w:t>X</w:t>
      </w:r>
      <w:r w:rsidRPr="00792B36">
        <w:rPr>
          <w:color w:val="000000" w:themeColor="text1"/>
          <w:sz w:val="24"/>
          <w:szCs w:val="24"/>
          <w:vertAlign w:val="subscript"/>
        </w:rPr>
        <w:t>min</w:t>
      </w:r>
      <w:r w:rsidRPr="00792B36">
        <w:rPr>
          <w:color w:val="000000" w:themeColor="text1"/>
          <w:sz w:val="24"/>
          <w:szCs w:val="24"/>
        </w:rPr>
        <w:t xml:space="preserve"> = The minimum of CAGR value among all 17 provinces.</w:t>
      </w:r>
    </w:p>
    <w:p w14:paraId="6478E125" w14:textId="77777777" w:rsidR="009A0A63" w:rsidRPr="00792B36" w:rsidRDefault="009A0A63" w:rsidP="009A0A63">
      <w:pPr>
        <w:spacing w:line="360" w:lineRule="auto"/>
        <w:ind w:left="1058"/>
        <w:contextualSpacing/>
        <w:jc w:val="thaiDistribute"/>
        <w:rPr>
          <w:color w:val="000000" w:themeColor="text1"/>
          <w:sz w:val="24"/>
          <w:szCs w:val="24"/>
        </w:rPr>
      </w:pPr>
      <w:r w:rsidRPr="00792B36">
        <w:rPr>
          <w:color w:val="000000" w:themeColor="text1"/>
          <w:sz w:val="24"/>
          <w:szCs w:val="24"/>
        </w:rPr>
        <w:t>X</w:t>
      </w:r>
      <w:r w:rsidRPr="00792B36">
        <w:rPr>
          <w:color w:val="000000" w:themeColor="text1"/>
          <w:sz w:val="24"/>
          <w:szCs w:val="24"/>
          <w:vertAlign w:val="subscript"/>
        </w:rPr>
        <w:t>max</w:t>
      </w:r>
      <w:r w:rsidRPr="00792B36">
        <w:rPr>
          <w:color w:val="000000" w:themeColor="text1"/>
          <w:sz w:val="24"/>
          <w:szCs w:val="24"/>
        </w:rPr>
        <w:t xml:space="preserve"> = The maximum of CAGR value among all 17 provinces.</w:t>
      </w:r>
    </w:p>
    <w:p w14:paraId="0C623311" w14:textId="77777777" w:rsidR="009A0A63" w:rsidRPr="00792B36" w:rsidRDefault="009A0A63" w:rsidP="009A0A63">
      <w:pPr>
        <w:spacing w:line="360" w:lineRule="auto"/>
        <w:contextualSpacing/>
        <w:jc w:val="thaiDistribute"/>
        <w:rPr>
          <w:color w:val="000000" w:themeColor="text1"/>
          <w:sz w:val="24"/>
          <w:szCs w:val="24"/>
        </w:rPr>
      </w:pPr>
    </w:p>
    <w:p w14:paraId="2E4DD8DC" w14:textId="77777777" w:rsidR="009A0A63" w:rsidRPr="00792B36" w:rsidRDefault="009A0A63" w:rsidP="009A0A63">
      <w:pPr>
        <w:spacing w:line="360" w:lineRule="auto"/>
        <w:contextualSpacing/>
        <w:jc w:val="thaiDistribute"/>
        <w:rPr>
          <w:color w:val="000000" w:themeColor="text1"/>
          <w:sz w:val="24"/>
          <w:szCs w:val="24"/>
        </w:rPr>
      </w:pPr>
      <w:r w:rsidRPr="00792B36">
        <w:rPr>
          <w:b/>
          <w:bCs/>
          <w:color w:val="000000" w:themeColor="text1"/>
          <w:sz w:val="24"/>
          <w:szCs w:val="24"/>
        </w:rPr>
        <w:t>Step 4</w:t>
      </w:r>
      <w:r w:rsidRPr="00792B36">
        <w:rPr>
          <w:color w:val="000000" w:themeColor="text1"/>
          <w:sz w:val="24"/>
          <w:szCs w:val="24"/>
        </w:rPr>
        <w:t>: Aggregation of Sub-Indices</w:t>
      </w:r>
    </w:p>
    <w:p w14:paraId="7B8546E9" w14:textId="77777777" w:rsidR="009A0A63" w:rsidRPr="00792B36" w:rsidRDefault="009A0A63" w:rsidP="009A0A63">
      <w:pPr>
        <w:spacing w:line="360" w:lineRule="auto"/>
        <w:contextualSpacing/>
        <w:jc w:val="thaiDistribute"/>
        <w:rPr>
          <w:color w:val="000000" w:themeColor="text1"/>
          <w:sz w:val="24"/>
          <w:szCs w:val="24"/>
        </w:rPr>
      </w:pPr>
      <w:r w:rsidRPr="00792B36">
        <w:rPr>
          <w:color w:val="000000" w:themeColor="text1"/>
          <w:sz w:val="24"/>
          <w:szCs w:val="24"/>
        </w:rPr>
        <w:t>Once normalized, the indicators are grouped into Pillars and aggregated into the two main indices using simple averaging (Equal weighting).</w:t>
      </w:r>
    </w:p>
    <w:p w14:paraId="42FE546D" w14:textId="77777777" w:rsidR="009A0A63" w:rsidRPr="00792B36" w:rsidRDefault="009A0A63" w:rsidP="009A0A63">
      <w:pPr>
        <w:spacing w:line="360" w:lineRule="auto"/>
        <w:contextualSpacing/>
        <w:jc w:val="thaiDistribute"/>
        <w:rPr>
          <w:color w:val="000000" w:themeColor="text1"/>
          <w:sz w:val="24"/>
          <w:szCs w:val="24"/>
        </w:rPr>
      </w:pPr>
    </w:p>
    <w:p w14:paraId="31F9B623" w14:textId="77777777" w:rsidR="009A0A63" w:rsidRPr="00792B36" w:rsidRDefault="009A0A63" w:rsidP="009A0A63">
      <w:pPr>
        <w:spacing w:line="360" w:lineRule="auto"/>
        <w:contextualSpacing/>
        <w:jc w:val="thaiDistribute"/>
        <w:rPr>
          <w:color w:val="000000" w:themeColor="text1"/>
          <w:sz w:val="24"/>
          <w:szCs w:val="24"/>
        </w:rPr>
      </w:pPr>
      <w:r w:rsidRPr="00792B36">
        <w:rPr>
          <w:color w:val="000000" w:themeColor="text1"/>
          <w:sz w:val="24"/>
          <w:szCs w:val="24"/>
        </w:rPr>
        <w:t>4.1 The Pressure Index (PI)</w:t>
      </w:r>
    </w:p>
    <w:p w14:paraId="53CD1CB4" w14:textId="77777777" w:rsidR="009A0A63" w:rsidRPr="00792B36" w:rsidRDefault="009A0A63" w:rsidP="009A0A63">
      <w:pPr>
        <w:spacing w:line="360" w:lineRule="auto"/>
        <w:contextualSpacing/>
        <w:jc w:val="thaiDistribute"/>
        <w:rPr>
          <w:color w:val="000000" w:themeColor="text1"/>
          <w:sz w:val="24"/>
          <w:szCs w:val="24"/>
        </w:rPr>
      </w:pPr>
      <w:r w:rsidRPr="00792B36">
        <w:rPr>
          <w:color w:val="000000" w:themeColor="text1"/>
          <w:sz w:val="24"/>
          <w:szCs w:val="24"/>
        </w:rPr>
        <w:t>The PI is the average of three pillars:</w:t>
      </w:r>
    </w:p>
    <w:p w14:paraId="7ED303DF" w14:textId="77777777" w:rsidR="009A0A63" w:rsidRPr="00792B36" w:rsidRDefault="009A0A63" w:rsidP="00F61B37">
      <w:pPr>
        <w:widowControl/>
        <w:numPr>
          <w:ilvl w:val="0"/>
          <w:numId w:val="116"/>
        </w:numPr>
        <w:spacing w:line="360" w:lineRule="auto"/>
        <w:contextualSpacing/>
        <w:jc w:val="thaiDistribute"/>
        <w:rPr>
          <w:color w:val="000000" w:themeColor="text1"/>
          <w:sz w:val="24"/>
          <w:szCs w:val="24"/>
        </w:rPr>
      </w:pPr>
      <w:r w:rsidRPr="00792B36">
        <w:rPr>
          <w:color w:val="000000" w:themeColor="text1"/>
          <w:sz w:val="24"/>
          <w:szCs w:val="24"/>
        </w:rPr>
        <w:t>Pillar 1: Population dynamics: Measures the rate of population expansion.</w:t>
      </w:r>
    </w:p>
    <w:p w14:paraId="00488417" w14:textId="77777777" w:rsidR="009A0A63" w:rsidRPr="00792B36" w:rsidRDefault="00000000" w:rsidP="009A0A63">
      <w:pPr>
        <w:spacing w:line="360" w:lineRule="auto"/>
        <w:contextualSpacing/>
        <w:jc w:val="center"/>
        <w:rPr>
          <w:color w:val="000000" w:themeColor="text1"/>
          <w:sz w:val="24"/>
          <w:szCs w:val="24"/>
        </w:rPr>
      </w:pPr>
      <m:oMathPara>
        <m:oMath>
          <m:sSub>
            <m:sSubPr>
              <m:ctrlPr>
                <w:rPr>
                  <w:rFonts w:ascii="Cambria Math" w:hAnsi="Cambria Math"/>
                  <w:i/>
                  <w:color w:val="000000" w:themeColor="text1"/>
                  <w:sz w:val="24"/>
                  <w:szCs w:val="24"/>
                </w:rPr>
              </m:ctrlPr>
            </m:sSubPr>
            <m:e>
              <m:r>
                <w:rPr>
                  <w:rFonts w:ascii="Cambria Math" w:hAnsi="Cambria Math"/>
                  <w:color w:val="000000" w:themeColor="text1"/>
                  <w:sz w:val="24"/>
                  <w:szCs w:val="24"/>
                </w:rPr>
                <m:t>Score</m:t>
              </m:r>
            </m:e>
            <m:sub>
              <m:r>
                <w:rPr>
                  <w:rFonts w:ascii="Cambria Math" w:hAnsi="Cambria Math"/>
                  <w:color w:val="000000" w:themeColor="text1"/>
                  <w:sz w:val="24"/>
                  <w:szCs w:val="24"/>
                </w:rPr>
                <m:t>P1</m:t>
              </m:r>
            </m:sub>
          </m:sSub>
          <m:r>
            <w:rPr>
              <w:rFonts w:ascii="Cambria Math" w:hAnsi="Cambria Math"/>
              <w:color w:val="000000" w:themeColor="text1"/>
              <w:sz w:val="24"/>
              <w:szCs w:val="24"/>
            </w:rPr>
            <m:t>=</m:t>
          </m:r>
          <m:f>
            <m:fPr>
              <m:ctrlPr>
                <w:rPr>
                  <w:rFonts w:ascii="Cambria Math" w:hAnsi="Cambria Math"/>
                  <w:i/>
                  <w:color w:val="000000" w:themeColor="text1"/>
                  <w:sz w:val="24"/>
                  <w:szCs w:val="24"/>
                </w:rPr>
              </m:ctrlPr>
            </m:fPr>
            <m:num>
              <m:sSub>
                <m:sSubPr>
                  <m:ctrlPr>
                    <w:rPr>
                      <w:rFonts w:ascii="Cambria Math" w:hAnsi="Cambria Math"/>
                      <w:i/>
                      <w:color w:val="000000" w:themeColor="text1"/>
                      <w:sz w:val="24"/>
                      <w:szCs w:val="24"/>
                    </w:rPr>
                  </m:ctrlPr>
                </m:sSubPr>
                <m:e>
                  <m:r>
                    <w:rPr>
                      <w:rFonts w:ascii="Cambria Math" w:hAnsi="Cambria Math"/>
                      <w:color w:val="000000" w:themeColor="text1"/>
                      <w:sz w:val="24"/>
                      <w:szCs w:val="24"/>
                    </w:rPr>
                    <m:t>I</m:t>
                  </m:r>
                </m:e>
                <m:sub>
                  <m:r>
                    <w:rPr>
                      <w:rFonts w:ascii="Cambria Math" w:hAnsi="Cambria Math"/>
                      <w:color w:val="000000" w:themeColor="text1"/>
                      <w:sz w:val="24"/>
                      <w:szCs w:val="24"/>
                    </w:rPr>
                    <m:t>Pop</m:t>
                  </m:r>
                </m:sub>
              </m:sSub>
              <m:r>
                <w:rPr>
                  <w:rFonts w:ascii="Cambria Math" w:hAnsi="Cambria Math"/>
                  <w:color w:val="000000" w:themeColor="text1"/>
                  <w:sz w:val="24"/>
                  <w:szCs w:val="24"/>
                </w:rPr>
                <m:t>+</m:t>
              </m:r>
              <m:sSub>
                <m:sSubPr>
                  <m:ctrlPr>
                    <w:rPr>
                      <w:rFonts w:ascii="Cambria Math" w:hAnsi="Cambria Math"/>
                      <w:i/>
                      <w:color w:val="000000" w:themeColor="text1"/>
                      <w:sz w:val="24"/>
                      <w:szCs w:val="24"/>
                    </w:rPr>
                  </m:ctrlPr>
                </m:sSubPr>
                <m:e>
                  <m:r>
                    <w:rPr>
                      <w:rFonts w:ascii="Cambria Math" w:hAnsi="Cambria Math"/>
                      <w:color w:val="000000" w:themeColor="text1"/>
                      <w:sz w:val="24"/>
                      <w:szCs w:val="24"/>
                    </w:rPr>
                    <m:t>I</m:t>
                  </m:r>
                </m:e>
                <m:sub>
                  <m:r>
                    <w:rPr>
                      <w:rFonts w:ascii="Cambria Math" w:hAnsi="Cambria Math"/>
                      <w:color w:val="000000" w:themeColor="text1"/>
                      <w:sz w:val="24"/>
                      <w:szCs w:val="24"/>
                    </w:rPr>
                    <m:t>HH</m:t>
                  </m:r>
                </m:sub>
              </m:sSub>
            </m:num>
            <m:den>
              <m:r>
                <w:rPr>
                  <w:rFonts w:ascii="Cambria Math" w:hAnsi="Cambria Math"/>
                  <w:color w:val="000000" w:themeColor="text1"/>
                  <w:sz w:val="24"/>
                  <w:szCs w:val="24"/>
                </w:rPr>
                <m:t>2</m:t>
              </m:r>
            </m:den>
          </m:f>
        </m:oMath>
      </m:oMathPara>
    </w:p>
    <w:p w14:paraId="7900266A" w14:textId="77777777" w:rsidR="009A0A63" w:rsidRPr="00792B36" w:rsidRDefault="009A0A63" w:rsidP="009A0A63">
      <w:pPr>
        <w:spacing w:line="360" w:lineRule="auto"/>
        <w:ind w:firstLine="720"/>
        <w:contextualSpacing/>
        <w:jc w:val="thaiDistribute"/>
        <w:rPr>
          <w:color w:val="000000" w:themeColor="text1"/>
          <w:sz w:val="24"/>
          <w:szCs w:val="24"/>
        </w:rPr>
      </w:pPr>
      <w:r w:rsidRPr="00792B36">
        <w:rPr>
          <w:color w:val="000000" w:themeColor="text1"/>
          <w:sz w:val="24"/>
          <w:szCs w:val="24"/>
        </w:rPr>
        <w:t>Where I</w:t>
      </w:r>
      <w:r w:rsidRPr="00792B36">
        <w:rPr>
          <w:color w:val="000000" w:themeColor="text1"/>
          <w:sz w:val="24"/>
          <w:szCs w:val="24"/>
          <w:vertAlign w:val="subscript"/>
        </w:rPr>
        <w:t>Pop</w:t>
      </w:r>
      <w:r w:rsidRPr="00792B36">
        <w:rPr>
          <w:color w:val="000000" w:themeColor="text1"/>
          <w:sz w:val="24"/>
          <w:szCs w:val="24"/>
        </w:rPr>
        <w:t xml:space="preserve"> is normalized population growth and I</w:t>
      </w:r>
      <w:r w:rsidRPr="00792B36">
        <w:rPr>
          <w:color w:val="000000" w:themeColor="text1"/>
          <w:sz w:val="24"/>
          <w:szCs w:val="24"/>
          <w:vertAlign w:val="subscript"/>
        </w:rPr>
        <w:t>HH</w:t>
      </w:r>
      <w:r w:rsidRPr="00792B36">
        <w:rPr>
          <w:color w:val="000000" w:themeColor="text1"/>
          <w:sz w:val="24"/>
          <w:szCs w:val="24"/>
        </w:rPr>
        <w:t xml:space="preserve"> is normalized household growth</w:t>
      </w:r>
    </w:p>
    <w:p w14:paraId="15CEBC54" w14:textId="77777777" w:rsidR="009A0A63" w:rsidRPr="00792B36" w:rsidRDefault="009A0A63" w:rsidP="009A0A63">
      <w:pPr>
        <w:spacing w:line="360" w:lineRule="auto"/>
        <w:ind w:firstLine="720"/>
        <w:contextualSpacing/>
        <w:jc w:val="thaiDistribute"/>
        <w:rPr>
          <w:color w:val="000000" w:themeColor="text1"/>
          <w:sz w:val="24"/>
          <w:szCs w:val="24"/>
          <w:cs/>
        </w:rPr>
      </w:pPr>
    </w:p>
    <w:p w14:paraId="371BA221" w14:textId="77777777" w:rsidR="009A0A63" w:rsidRPr="00792B36" w:rsidRDefault="009A0A63" w:rsidP="00F61B37">
      <w:pPr>
        <w:widowControl/>
        <w:numPr>
          <w:ilvl w:val="0"/>
          <w:numId w:val="116"/>
        </w:numPr>
        <w:spacing w:line="360" w:lineRule="auto"/>
        <w:contextualSpacing/>
        <w:jc w:val="thaiDistribute"/>
        <w:rPr>
          <w:color w:val="000000" w:themeColor="text1"/>
          <w:sz w:val="24"/>
          <w:szCs w:val="24"/>
        </w:rPr>
      </w:pPr>
      <w:r w:rsidRPr="00792B36">
        <w:rPr>
          <w:color w:val="000000" w:themeColor="text1"/>
          <w:sz w:val="24"/>
          <w:szCs w:val="24"/>
        </w:rPr>
        <w:t>Pillar 2: Population Density: Measures current crowding pressure.</w:t>
      </w:r>
    </w:p>
    <w:p w14:paraId="3A27ADFF" w14:textId="77777777" w:rsidR="009A0A63" w:rsidRPr="00792B36" w:rsidRDefault="00000000" w:rsidP="009A0A63">
      <w:pPr>
        <w:spacing w:line="360" w:lineRule="auto"/>
        <w:ind w:left="360"/>
        <w:jc w:val="center"/>
        <w:rPr>
          <w:color w:val="000000" w:themeColor="text1"/>
          <w:sz w:val="24"/>
          <w:szCs w:val="24"/>
        </w:rPr>
      </w:pPr>
      <m:oMathPara>
        <m:oMath>
          <m:sSub>
            <m:sSubPr>
              <m:ctrlPr>
                <w:rPr>
                  <w:rFonts w:ascii="Cambria Math" w:hAnsi="Cambria Math"/>
                  <w:i/>
                  <w:color w:val="000000" w:themeColor="text1"/>
                  <w:sz w:val="24"/>
                  <w:szCs w:val="24"/>
                </w:rPr>
              </m:ctrlPr>
            </m:sSubPr>
            <m:e>
              <m:r>
                <w:rPr>
                  <w:rFonts w:ascii="Cambria Math" w:hAnsi="Cambria Math"/>
                  <w:color w:val="000000" w:themeColor="text1"/>
                  <w:sz w:val="24"/>
                  <w:szCs w:val="24"/>
                </w:rPr>
                <m:t>Score</m:t>
              </m:r>
            </m:e>
            <m:sub>
              <m:r>
                <w:rPr>
                  <w:rFonts w:ascii="Cambria Math" w:hAnsi="Cambria Math"/>
                  <w:color w:val="000000" w:themeColor="text1"/>
                  <w:sz w:val="24"/>
                  <w:szCs w:val="24"/>
                </w:rPr>
                <m:t>P2</m:t>
              </m:r>
            </m:sub>
          </m:sSub>
          <m:r>
            <w:rPr>
              <w:rFonts w:ascii="Cambria Math" w:hAnsi="Cambria Math"/>
              <w:color w:val="000000" w:themeColor="text1"/>
              <w:sz w:val="24"/>
              <w:szCs w:val="24"/>
            </w:rPr>
            <m:t>=</m:t>
          </m:r>
          <m:sSub>
            <m:sSubPr>
              <m:ctrlPr>
                <w:rPr>
                  <w:rFonts w:ascii="Cambria Math" w:hAnsi="Cambria Math"/>
                  <w:i/>
                  <w:color w:val="000000" w:themeColor="text1"/>
                  <w:sz w:val="24"/>
                  <w:szCs w:val="24"/>
                </w:rPr>
              </m:ctrlPr>
            </m:sSubPr>
            <m:e>
              <m:r>
                <w:rPr>
                  <w:rFonts w:ascii="Cambria Math" w:hAnsi="Cambria Math"/>
                  <w:color w:val="000000" w:themeColor="text1"/>
                  <w:sz w:val="24"/>
                  <w:szCs w:val="24"/>
                </w:rPr>
                <m:t>I</m:t>
              </m:r>
            </m:e>
            <m:sub>
              <m:r>
                <w:rPr>
                  <w:rFonts w:ascii="Cambria Math" w:hAnsi="Cambria Math"/>
                  <w:color w:val="000000" w:themeColor="text1"/>
                  <w:sz w:val="24"/>
                  <w:szCs w:val="24"/>
                </w:rPr>
                <m:t>PopDense2020</m:t>
              </m:r>
            </m:sub>
          </m:sSub>
        </m:oMath>
      </m:oMathPara>
    </w:p>
    <w:p w14:paraId="1F4AD998" w14:textId="77777777" w:rsidR="009A0A63" w:rsidRPr="00792B36" w:rsidRDefault="009A0A63" w:rsidP="009A0A63">
      <w:pPr>
        <w:spacing w:line="360" w:lineRule="auto"/>
        <w:ind w:firstLine="720"/>
        <w:contextualSpacing/>
        <w:jc w:val="thaiDistribute"/>
        <w:rPr>
          <w:color w:val="000000" w:themeColor="text1"/>
          <w:sz w:val="24"/>
          <w:szCs w:val="24"/>
        </w:rPr>
      </w:pPr>
      <w:r w:rsidRPr="00792B36">
        <w:rPr>
          <w:color w:val="000000" w:themeColor="text1"/>
          <w:sz w:val="24"/>
          <w:szCs w:val="24"/>
        </w:rPr>
        <w:t>Note: Only 2020 data is used to avoid statistical redundancy with Pillar 1</w:t>
      </w:r>
    </w:p>
    <w:p w14:paraId="158A5A6A" w14:textId="77777777" w:rsidR="009A0A63" w:rsidRPr="00792B36" w:rsidRDefault="009A0A63" w:rsidP="009A0A63">
      <w:pPr>
        <w:spacing w:line="360" w:lineRule="auto"/>
        <w:ind w:firstLine="720"/>
        <w:contextualSpacing/>
        <w:jc w:val="thaiDistribute"/>
        <w:rPr>
          <w:color w:val="000000" w:themeColor="text1"/>
          <w:sz w:val="24"/>
          <w:szCs w:val="24"/>
        </w:rPr>
      </w:pPr>
    </w:p>
    <w:p w14:paraId="77BB3ED7" w14:textId="77777777" w:rsidR="009A0A63" w:rsidRPr="00792B36" w:rsidRDefault="009A0A63" w:rsidP="00F61B37">
      <w:pPr>
        <w:widowControl/>
        <w:numPr>
          <w:ilvl w:val="0"/>
          <w:numId w:val="116"/>
        </w:numPr>
        <w:spacing w:line="360" w:lineRule="auto"/>
        <w:contextualSpacing/>
        <w:jc w:val="thaiDistribute"/>
        <w:rPr>
          <w:color w:val="000000" w:themeColor="text1"/>
          <w:sz w:val="24"/>
          <w:szCs w:val="24"/>
        </w:rPr>
      </w:pPr>
      <w:r w:rsidRPr="00792B36">
        <w:rPr>
          <w:color w:val="000000" w:themeColor="text1"/>
          <w:sz w:val="24"/>
          <w:szCs w:val="24"/>
        </w:rPr>
        <w:t>Pillar 3: Economic Pressure: Measures the scale of economic activity.</w:t>
      </w:r>
    </w:p>
    <w:p w14:paraId="6566AFFF" w14:textId="77777777" w:rsidR="009A0A63" w:rsidRPr="00792B36" w:rsidRDefault="00000000" w:rsidP="009A0A63">
      <w:pPr>
        <w:spacing w:line="360" w:lineRule="auto"/>
        <w:ind w:left="360"/>
        <w:jc w:val="center"/>
        <w:rPr>
          <w:color w:val="000000" w:themeColor="text1"/>
          <w:sz w:val="24"/>
          <w:szCs w:val="24"/>
        </w:rPr>
      </w:pPr>
      <m:oMathPara>
        <m:oMath>
          <m:sSub>
            <m:sSubPr>
              <m:ctrlPr>
                <w:rPr>
                  <w:rFonts w:ascii="Cambria Math" w:hAnsi="Cambria Math"/>
                  <w:i/>
                  <w:color w:val="000000" w:themeColor="text1"/>
                  <w:sz w:val="24"/>
                  <w:szCs w:val="24"/>
                </w:rPr>
              </m:ctrlPr>
            </m:sSubPr>
            <m:e>
              <m:r>
                <w:rPr>
                  <w:rFonts w:ascii="Cambria Math" w:hAnsi="Cambria Math"/>
                  <w:color w:val="000000" w:themeColor="text1"/>
                  <w:sz w:val="24"/>
                  <w:szCs w:val="24"/>
                </w:rPr>
                <m:t>Score</m:t>
              </m:r>
            </m:e>
            <m:sub>
              <m:r>
                <w:rPr>
                  <w:rFonts w:ascii="Cambria Math" w:hAnsi="Cambria Math"/>
                  <w:color w:val="000000" w:themeColor="text1"/>
                  <w:sz w:val="24"/>
                  <w:szCs w:val="24"/>
                </w:rPr>
                <m:t>P3</m:t>
              </m:r>
            </m:sub>
          </m:sSub>
          <m:r>
            <w:rPr>
              <w:rFonts w:ascii="Cambria Math" w:hAnsi="Cambria Math"/>
              <w:color w:val="000000" w:themeColor="text1"/>
              <w:sz w:val="24"/>
              <w:szCs w:val="24"/>
            </w:rPr>
            <m:t>=</m:t>
          </m:r>
          <m:sSub>
            <m:sSubPr>
              <m:ctrlPr>
                <w:rPr>
                  <w:rFonts w:ascii="Cambria Math" w:hAnsi="Cambria Math"/>
                  <w:i/>
                  <w:color w:val="000000" w:themeColor="text1"/>
                  <w:sz w:val="24"/>
                  <w:szCs w:val="24"/>
                </w:rPr>
              </m:ctrlPr>
            </m:sSubPr>
            <m:e>
              <m:r>
                <w:rPr>
                  <w:rFonts w:ascii="Cambria Math" w:hAnsi="Cambria Math"/>
                  <w:color w:val="000000" w:themeColor="text1"/>
                  <w:sz w:val="24"/>
                  <w:szCs w:val="24"/>
                </w:rPr>
                <m:t>I</m:t>
              </m:r>
            </m:e>
            <m:sub>
              <m:r>
                <w:rPr>
                  <w:rFonts w:ascii="Cambria Math" w:hAnsi="Cambria Math"/>
                  <w:color w:val="000000" w:themeColor="text1"/>
                  <w:sz w:val="24"/>
                  <w:szCs w:val="24"/>
                </w:rPr>
                <m:t>GPP</m:t>
              </m:r>
            </m:sub>
          </m:sSub>
        </m:oMath>
      </m:oMathPara>
    </w:p>
    <w:p w14:paraId="2F7AA713" w14:textId="77777777" w:rsidR="009A0A63" w:rsidRPr="00792B36" w:rsidRDefault="009A0A63" w:rsidP="009A0A63">
      <w:pPr>
        <w:spacing w:line="360" w:lineRule="auto"/>
        <w:contextualSpacing/>
        <w:jc w:val="thaiDistribute"/>
        <w:rPr>
          <w:color w:val="000000" w:themeColor="text1"/>
          <w:sz w:val="24"/>
          <w:szCs w:val="24"/>
        </w:rPr>
      </w:pPr>
      <w:r w:rsidRPr="00792B36">
        <w:rPr>
          <w:color w:val="000000" w:themeColor="text1"/>
          <w:sz w:val="24"/>
          <w:szCs w:val="24"/>
        </w:rPr>
        <w:t>Final PI Calculation:</w:t>
      </w:r>
    </w:p>
    <w:p w14:paraId="0F684ACA" w14:textId="77777777" w:rsidR="009A0A63" w:rsidRPr="00792B36" w:rsidRDefault="009A0A63" w:rsidP="009A0A63">
      <w:pPr>
        <w:spacing w:line="360" w:lineRule="auto"/>
        <w:contextualSpacing/>
        <w:jc w:val="center"/>
        <w:rPr>
          <w:color w:val="000000" w:themeColor="text1"/>
          <w:sz w:val="24"/>
          <w:szCs w:val="24"/>
        </w:rPr>
      </w:pPr>
      <m:oMathPara>
        <m:oMath>
          <m:r>
            <w:rPr>
              <w:rFonts w:ascii="Cambria Math" w:hAnsi="Cambria Math"/>
              <w:color w:val="000000" w:themeColor="text1"/>
              <w:sz w:val="24"/>
              <w:szCs w:val="24"/>
            </w:rPr>
            <m:t>PI=</m:t>
          </m:r>
          <m:d>
            <m:dPr>
              <m:ctrlPr>
                <w:rPr>
                  <w:rFonts w:ascii="Cambria Math" w:hAnsi="Cambria Math"/>
                  <w:i/>
                  <w:color w:val="000000" w:themeColor="text1"/>
                  <w:sz w:val="24"/>
                  <w:szCs w:val="24"/>
                </w:rPr>
              </m:ctrlPr>
            </m:dPr>
            <m:e>
              <m:r>
                <w:rPr>
                  <w:rFonts w:ascii="Cambria Math" w:hAnsi="Cambria Math"/>
                  <w:color w:val="000000" w:themeColor="text1"/>
                  <w:sz w:val="24"/>
                  <w:szCs w:val="24"/>
                </w:rPr>
                <m:t>0.333x</m:t>
              </m:r>
              <m:sSub>
                <m:sSubPr>
                  <m:ctrlPr>
                    <w:rPr>
                      <w:rFonts w:ascii="Cambria Math" w:hAnsi="Cambria Math"/>
                      <w:i/>
                      <w:color w:val="000000" w:themeColor="text1"/>
                      <w:sz w:val="24"/>
                      <w:szCs w:val="24"/>
                    </w:rPr>
                  </m:ctrlPr>
                </m:sSubPr>
                <m:e>
                  <m:r>
                    <w:rPr>
                      <w:rFonts w:ascii="Cambria Math" w:hAnsi="Cambria Math"/>
                      <w:color w:val="000000" w:themeColor="text1"/>
                      <w:sz w:val="24"/>
                      <w:szCs w:val="24"/>
                    </w:rPr>
                    <m:t>Score</m:t>
                  </m:r>
                </m:e>
                <m:sub>
                  <m:r>
                    <w:rPr>
                      <w:rFonts w:ascii="Cambria Math" w:hAnsi="Cambria Math"/>
                      <w:color w:val="000000" w:themeColor="text1"/>
                      <w:sz w:val="24"/>
                      <w:szCs w:val="24"/>
                    </w:rPr>
                    <m:t>P1</m:t>
                  </m:r>
                </m:sub>
              </m:sSub>
            </m:e>
          </m:d>
          <m:r>
            <w:rPr>
              <w:rFonts w:ascii="Cambria Math" w:hAnsi="Cambria Math"/>
              <w:color w:val="000000" w:themeColor="text1"/>
              <w:sz w:val="24"/>
              <w:szCs w:val="24"/>
            </w:rPr>
            <m:t>+</m:t>
          </m:r>
          <m:d>
            <m:dPr>
              <m:ctrlPr>
                <w:rPr>
                  <w:rFonts w:ascii="Cambria Math" w:hAnsi="Cambria Math"/>
                  <w:i/>
                  <w:color w:val="000000" w:themeColor="text1"/>
                  <w:sz w:val="24"/>
                  <w:szCs w:val="24"/>
                </w:rPr>
              </m:ctrlPr>
            </m:dPr>
            <m:e>
              <m:r>
                <w:rPr>
                  <w:rFonts w:ascii="Cambria Math" w:hAnsi="Cambria Math"/>
                  <w:color w:val="000000" w:themeColor="text1"/>
                  <w:sz w:val="24"/>
                  <w:szCs w:val="24"/>
                </w:rPr>
                <m:t>0.333x</m:t>
              </m:r>
              <m:sSub>
                <m:sSubPr>
                  <m:ctrlPr>
                    <w:rPr>
                      <w:rFonts w:ascii="Cambria Math" w:hAnsi="Cambria Math"/>
                      <w:i/>
                      <w:color w:val="000000" w:themeColor="text1"/>
                      <w:sz w:val="24"/>
                      <w:szCs w:val="24"/>
                    </w:rPr>
                  </m:ctrlPr>
                </m:sSubPr>
                <m:e>
                  <m:r>
                    <w:rPr>
                      <w:rFonts w:ascii="Cambria Math" w:hAnsi="Cambria Math"/>
                      <w:color w:val="000000" w:themeColor="text1"/>
                      <w:sz w:val="24"/>
                      <w:szCs w:val="24"/>
                    </w:rPr>
                    <m:t>Score</m:t>
                  </m:r>
                </m:e>
                <m:sub>
                  <m:r>
                    <w:rPr>
                      <w:rFonts w:ascii="Cambria Math" w:hAnsi="Cambria Math"/>
                      <w:color w:val="000000" w:themeColor="text1"/>
                      <w:sz w:val="24"/>
                      <w:szCs w:val="24"/>
                    </w:rPr>
                    <m:t>P2</m:t>
                  </m:r>
                </m:sub>
              </m:sSub>
            </m:e>
          </m:d>
          <m:r>
            <w:rPr>
              <w:rFonts w:ascii="Cambria Math" w:hAnsi="Cambria Math"/>
              <w:color w:val="000000" w:themeColor="text1"/>
              <w:sz w:val="24"/>
              <w:szCs w:val="24"/>
            </w:rPr>
            <m:t>+(0.333x</m:t>
          </m:r>
          <m:sSub>
            <m:sSubPr>
              <m:ctrlPr>
                <w:rPr>
                  <w:rFonts w:ascii="Cambria Math" w:hAnsi="Cambria Math"/>
                  <w:i/>
                  <w:color w:val="000000" w:themeColor="text1"/>
                  <w:sz w:val="24"/>
                  <w:szCs w:val="24"/>
                </w:rPr>
              </m:ctrlPr>
            </m:sSubPr>
            <m:e>
              <m:r>
                <w:rPr>
                  <w:rFonts w:ascii="Cambria Math" w:hAnsi="Cambria Math"/>
                  <w:color w:val="000000" w:themeColor="text1"/>
                  <w:sz w:val="24"/>
                  <w:szCs w:val="24"/>
                </w:rPr>
                <m:t>Score</m:t>
              </m:r>
            </m:e>
            <m:sub>
              <m:r>
                <w:rPr>
                  <w:rFonts w:ascii="Cambria Math" w:hAnsi="Cambria Math"/>
                  <w:color w:val="000000" w:themeColor="text1"/>
                  <w:sz w:val="24"/>
                  <w:szCs w:val="24"/>
                </w:rPr>
                <m:t>P3</m:t>
              </m:r>
            </m:sub>
          </m:sSub>
          <m:r>
            <w:rPr>
              <w:rFonts w:ascii="Cambria Math" w:hAnsi="Cambria Math"/>
              <w:color w:val="000000" w:themeColor="text1"/>
              <w:sz w:val="24"/>
              <w:szCs w:val="24"/>
            </w:rPr>
            <m:t>)</m:t>
          </m:r>
        </m:oMath>
      </m:oMathPara>
    </w:p>
    <w:p w14:paraId="2F09D46B" w14:textId="77777777" w:rsidR="009A0A63" w:rsidRPr="00792B36" w:rsidRDefault="009A0A63" w:rsidP="009A0A63">
      <w:pPr>
        <w:spacing w:line="360" w:lineRule="auto"/>
        <w:contextualSpacing/>
        <w:jc w:val="thaiDistribute"/>
        <w:rPr>
          <w:color w:val="000000" w:themeColor="text1"/>
          <w:sz w:val="24"/>
          <w:szCs w:val="24"/>
        </w:rPr>
      </w:pPr>
    </w:p>
    <w:p w14:paraId="2726C6B8" w14:textId="77777777" w:rsidR="009A0A63" w:rsidRPr="00792B36" w:rsidRDefault="009A0A63" w:rsidP="009A0A63">
      <w:pPr>
        <w:spacing w:line="360" w:lineRule="auto"/>
        <w:contextualSpacing/>
        <w:jc w:val="thaiDistribute"/>
        <w:rPr>
          <w:color w:val="000000" w:themeColor="text1"/>
          <w:sz w:val="24"/>
          <w:szCs w:val="24"/>
        </w:rPr>
      </w:pPr>
      <w:r w:rsidRPr="00792B36">
        <w:rPr>
          <w:color w:val="000000" w:themeColor="text1"/>
          <w:sz w:val="24"/>
          <w:szCs w:val="24"/>
        </w:rPr>
        <w:t>4.2 The Vulnerability Index (VI)</w:t>
      </w:r>
    </w:p>
    <w:p w14:paraId="15A23D04" w14:textId="77777777" w:rsidR="009A0A63" w:rsidRPr="00792B36" w:rsidRDefault="009A0A63" w:rsidP="009A0A63">
      <w:pPr>
        <w:spacing w:line="360" w:lineRule="auto"/>
        <w:contextualSpacing/>
        <w:jc w:val="thaiDistribute"/>
        <w:rPr>
          <w:color w:val="000000" w:themeColor="text1"/>
          <w:sz w:val="24"/>
          <w:szCs w:val="24"/>
        </w:rPr>
      </w:pPr>
      <w:r w:rsidRPr="00792B36">
        <w:rPr>
          <w:color w:val="000000" w:themeColor="text1"/>
          <w:sz w:val="24"/>
          <w:szCs w:val="24"/>
        </w:rPr>
        <w:t>The VI is the average of two indicators representing social sensitivity:</w:t>
      </w:r>
    </w:p>
    <w:p w14:paraId="0C0B7076" w14:textId="77777777" w:rsidR="009A0A63" w:rsidRPr="00792B36" w:rsidRDefault="009A0A63" w:rsidP="00F61B37">
      <w:pPr>
        <w:widowControl/>
        <w:numPr>
          <w:ilvl w:val="0"/>
          <w:numId w:val="117"/>
        </w:numPr>
        <w:spacing w:line="360" w:lineRule="auto"/>
        <w:contextualSpacing/>
        <w:jc w:val="thaiDistribute"/>
        <w:rPr>
          <w:color w:val="000000" w:themeColor="text1"/>
          <w:sz w:val="24"/>
          <w:szCs w:val="24"/>
        </w:rPr>
      </w:pPr>
      <w:r w:rsidRPr="00792B36">
        <w:rPr>
          <w:color w:val="000000" w:themeColor="text1"/>
          <w:sz w:val="24"/>
          <w:szCs w:val="24"/>
        </w:rPr>
        <w:lastRenderedPageBreak/>
        <w:t>Indicator 1 (I</w:t>
      </w:r>
      <w:r w:rsidRPr="00792B36">
        <w:rPr>
          <w:color w:val="000000" w:themeColor="text1"/>
          <w:sz w:val="24"/>
          <w:szCs w:val="24"/>
          <w:vertAlign w:val="subscript"/>
        </w:rPr>
        <w:t>Poor</w:t>
      </w:r>
      <w:r w:rsidRPr="00792B36">
        <w:rPr>
          <w:color w:val="000000" w:themeColor="text1"/>
          <w:sz w:val="24"/>
          <w:szCs w:val="24"/>
        </w:rPr>
        <w:t>): Normalized change in poverty headcount.</w:t>
      </w:r>
    </w:p>
    <w:p w14:paraId="2DE62693" w14:textId="77777777" w:rsidR="009A0A63" w:rsidRPr="00792B36" w:rsidRDefault="009A0A63" w:rsidP="00F61B37">
      <w:pPr>
        <w:widowControl/>
        <w:numPr>
          <w:ilvl w:val="0"/>
          <w:numId w:val="117"/>
        </w:numPr>
        <w:spacing w:line="360" w:lineRule="auto"/>
        <w:contextualSpacing/>
        <w:jc w:val="thaiDistribute"/>
        <w:rPr>
          <w:color w:val="000000" w:themeColor="text1"/>
          <w:sz w:val="24"/>
          <w:szCs w:val="24"/>
        </w:rPr>
      </w:pPr>
      <w:r w:rsidRPr="00792B36">
        <w:rPr>
          <w:color w:val="000000" w:themeColor="text1"/>
          <w:sz w:val="24"/>
          <w:szCs w:val="24"/>
        </w:rPr>
        <w:t>Indicator 2 (I</w:t>
      </w:r>
      <w:r w:rsidRPr="00792B36">
        <w:rPr>
          <w:color w:val="000000" w:themeColor="text1"/>
          <w:sz w:val="24"/>
          <w:szCs w:val="24"/>
          <w:vertAlign w:val="subscript"/>
        </w:rPr>
        <w:t>Imbalance</w:t>
      </w:r>
      <w:r w:rsidRPr="00792B36">
        <w:rPr>
          <w:color w:val="000000" w:themeColor="text1"/>
          <w:sz w:val="24"/>
          <w:szCs w:val="24"/>
        </w:rPr>
        <w:t>): Normalized change in gender ratio imbalance.</w:t>
      </w:r>
    </w:p>
    <w:p w14:paraId="7162A8B8" w14:textId="77777777" w:rsidR="009A0A63" w:rsidRPr="00792B36" w:rsidRDefault="009A0A63" w:rsidP="009A0A63">
      <w:pPr>
        <w:spacing w:line="360" w:lineRule="auto"/>
        <w:contextualSpacing/>
        <w:rPr>
          <w:i/>
          <w:color w:val="000000" w:themeColor="text1"/>
          <w:sz w:val="24"/>
          <w:szCs w:val="24"/>
        </w:rPr>
      </w:pPr>
      <w:r w:rsidRPr="00792B36">
        <w:rPr>
          <w:color w:val="000000" w:themeColor="text1"/>
          <w:sz w:val="24"/>
          <w:szCs w:val="24"/>
        </w:rPr>
        <w:t xml:space="preserve">Final VI Calculation: </w:t>
      </w:r>
      <m:oMath>
        <m:r>
          <w:rPr>
            <w:rFonts w:ascii="Cambria Math" w:hAnsi="Cambria Math"/>
            <w:color w:val="000000" w:themeColor="text1"/>
            <w:sz w:val="24"/>
            <w:szCs w:val="24"/>
          </w:rPr>
          <m:t>VI=</m:t>
        </m:r>
        <m:d>
          <m:dPr>
            <m:ctrlPr>
              <w:rPr>
                <w:rFonts w:ascii="Cambria Math" w:hAnsi="Cambria Math"/>
                <w:i/>
                <w:color w:val="000000" w:themeColor="text1"/>
                <w:sz w:val="24"/>
                <w:szCs w:val="24"/>
              </w:rPr>
            </m:ctrlPr>
          </m:dPr>
          <m:e>
            <m:r>
              <w:rPr>
                <w:rFonts w:ascii="Cambria Math" w:hAnsi="Cambria Math"/>
                <w:color w:val="000000" w:themeColor="text1"/>
                <w:sz w:val="24"/>
                <w:szCs w:val="24"/>
              </w:rPr>
              <m:t xml:space="preserve">0.5 x </m:t>
            </m:r>
            <m:sSub>
              <m:sSubPr>
                <m:ctrlPr>
                  <w:rPr>
                    <w:rFonts w:ascii="Cambria Math" w:hAnsi="Cambria Math"/>
                    <w:i/>
                    <w:color w:val="000000" w:themeColor="text1"/>
                    <w:sz w:val="24"/>
                    <w:szCs w:val="24"/>
                  </w:rPr>
                </m:ctrlPr>
              </m:sSubPr>
              <m:e>
                <m:r>
                  <w:rPr>
                    <w:rFonts w:ascii="Cambria Math" w:hAnsi="Cambria Math"/>
                    <w:color w:val="000000" w:themeColor="text1"/>
                    <w:sz w:val="24"/>
                    <w:szCs w:val="24"/>
                  </w:rPr>
                  <m:t>I</m:t>
                </m:r>
              </m:e>
              <m:sub>
                <m:r>
                  <w:rPr>
                    <w:rFonts w:ascii="Cambria Math" w:hAnsi="Cambria Math"/>
                    <w:color w:val="000000" w:themeColor="text1"/>
                    <w:sz w:val="24"/>
                    <w:szCs w:val="24"/>
                  </w:rPr>
                  <m:t>Poor</m:t>
                </m:r>
              </m:sub>
            </m:sSub>
          </m:e>
        </m:d>
        <m:r>
          <w:rPr>
            <w:rFonts w:ascii="Cambria Math" w:hAnsi="Cambria Math"/>
            <w:color w:val="000000" w:themeColor="text1"/>
            <w:sz w:val="24"/>
            <w:szCs w:val="24"/>
          </w:rPr>
          <m:t xml:space="preserve">+(0.5 x </m:t>
        </m:r>
        <m:sSub>
          <m:sSubPr>
            <m:ctrlPr>
              <w:rPr>
                <w:rFonts w:ascii="Cambria Math" w:hAnsi="Cambria Math"/>
                <w:i/>
                <w:color w:val="000000" w:themeColor="text1"/>
                <w:sz w:val="24"/>
                <w:szCs w:val="24"/>
              </w:rPr>
            </m:ctrlPr>
          </m:sSubPr>
          <m:e>
            <m:r>
              <w:rPr>
                <w:rFonts w:ascii="Cambria Math" w:hAnsi="Cambria Math"/>
                <w:color w:val="000000" w:themeColor="text1"/>
                <w:sz w:val="24"/>
                <w:szCs w:val="24"/>
              </w:rPr>
              <m:t>I</m:t>
            </m:r>
          </m:e>
          <m:sub>
            <m:r>
              <w:rPr>
                <w:rFonts w:ascii="Cambria Math" w:hAnsi="Cambria Math"/>
                <w:color w:val="000000" w:themeColor="text1"/>
                <w:sz w:val="24"/>
                <w:szCs w:val="24"/>
              </w:rPr>
              <m:t>Imbalance</m:t>
            </m:r>
          </m:sub>
        </m:sSub>
        <m:r>
          <w:rPr>
            <w:rFonts w:ascii="Cambria Math" w:eastAsiaTheme="minorEastAsia" w:hAnsi="Cambria Math"/>
            <w:color w:val="000000" w:themeColor="text1"/>
            <w:sz w:val="24"/>
            <w:szCs w:val="24"/>
          </w:rPr>
          <m:t>)</m:t>
        </m:r>
      </m:oMath>
    </w:p>
    <w:p w14:paraId="70EF9A72" w14:textId="77777777" w:rsidR="009A0A63" w:rsidRPr="00792B36" w:rsidRDefault="009A0A63" w:rsidP="009A0A63">
      <w:pPr>
        <w:spacing w:line="360" w:lineRule="auto"/>
        <w:contextualSpacing/>
        <w:jc w:val="thaiDistribute"/>
        <w:rPr>
          <w:b/>
          <w:bCs/>
          <w:color w:val="000000" w:themeColor="text1"/>
          <w:sz w:val="24"/>
          <w:szCs w:val="24"/>
        </w:rPr>
      </w:pPr>
    </w:p>
    <w:p w14:paraId="3304EE24" w14:textId="77777777" w:rsidR="009A0A63" w:rsidRPr="00792B36" w:rsidRDefault="009A0A63" w:rsidP="009A0A63">
      <w:pPr>
        <w:spacing w:line="360" w:lineRule="auto"/>
        <w:contextualSpacing/>
        <w:jc w:val="thaiDistribute"/>
        <w:rPr>
          <w:color w:val="000000" w:themeColor="text1"/>
          <w:sz w:val="24"/>
          <w:szCs w:val="24"/>
        </w:rPr>
      </w:pPr>
      <w:r w:rsidRPr="00792B36">
        <w:rPr>
          <w:b/>
          <w:bCs/>
          <w:color w:val="000000" w:themeColor="text1"/>
          <w:sz w:val="24"/>
          <w:szCs w:val="24"/>
        </w:rPr>
        <w:t>Step 5</w:t>
      </w:r>
      <w:r w:rsidRPr="00792B36">
        <w:rPr>
          <w:color w:val="000000" w:themeColor="text1"/>
          <w:sz w:val="24"/>
          <w:szCs w:val="24"/>
        </w:rPr>
        <w:t>: Computation of the Composite Risk Index (CRI)</w:t>
      </w:r>
    </w:p>
    <w:p w14:paraId="5F30B61D" w14:textId="77777777" w:rsidR="009A0A63" w:rsidRPr="00792B36" w:rsidRDefault="009A0A63" w:rsidP="009A0A63">
      <w:pPr>
        <w:spacing w:line="360" w:lineRule="auto"/>
        <w:contextualSpacing/>
        <w:jc w:val="thaiDistribute"/>
        <w:rPr>
          <w:color w:val="000000" w:themeColor="text1"/>
          <w:sz w:val="24"/>
          <w:szCs w:val="24"/>
        </w:rPr>
      </w:pPr>
      <w:r w:rsidRPr="00792B36">
        <w:rPr>
          <w:color w:val="000000" w:themeColor="text1"/>
          <w:sz w:val="24"/>
          <w:szCs w:val="24"/>
        </w:rPr>
        <w:t>The final assessment is presented in two formats to support differentiated policy decision-making.</w:t>
      </w:r>
    </w:p>
    <w:p w14:paraId="6AC76AF9" w14:textId="77777777" w:rsidR="009A0A63" w:rsidRPr="00792B36" w:rsidRDefault="009A0A63" w:rsidP="009A0A63">
      <w:pPr>
        <w:spacing w:line="360" w:lineRule="auto"/>
        <w:contextualSpacing/>
        <w:jc w:val="thaiDistribute"/>
        <w:rPr>
          <w:color w:val="000000" w:themeColor="text1"/>
          <w:sz w:val="24"/>
          <w:szCs w:val="24"/>
        </w:rPr>
      </w:pPr>
    </w:p>
    <w:p w14:paraId="7F5FB6A2" w14:textId="77777777" w:rsidR="009A0A63" w:rsidRPr="00792B36" w:rsidRDefault="009A0A63" w:rsidP="009A0A63">
      <w:pPr>
        <w:spacing w:line="360" w:lineRule="auto"/>
        <w:contextualSpacing/>
        <w:jc w:val="thaiDistribute"/>
        <w:rPr>
          <w:color w:val="000000" w:themeColor="text1"/>
          <w:sz w:val="24"/>
          <w:szCs w:val="24"/>
        </w:rPr>
      </w:pPr>
      <w:r w:rsidRPr="00792B36">
        <w:rPr>
          <w:color w:val="000000" w:themeColor="text1"/>
          <w:sz w:val="24"/>
          <w:szCs w:val="24"/>
        </w:rPr>
        <w:t>Format 1: Risk intensity (CRI_Unweighted)</w:t>
      </w:r>
    </w:p>
    <w:p w14:paraId="15EE5F83" w14:textId="77777777" w:rsidR="009A0A63" w:rsidRPr="00792B36" w:rsidRDefault="009A0A63" w:rsidP="009A0A63">
      <w:pPr>
        <w:spacing w:line="360" w:lineRule="auto"/>
        <w:contextualSpacing/>
        <w:jc w:val="thaiDistribute"/>
        <w:rPr>
          <w:color w:val="000000" w:themeColor="text1"/>
          <w:sz w:val="24"/>
          <w:szCs w:val="24"/>
        </w:rPr>
      </w:pPr>
      <w:r w:rsidRPr="00792B36">
        <w:rPr>
          <w:color w:val="000000" w:themeColor="text1"/>
          <w:sz w:val="24"/>
          <w:szCs w:val="24"/>
        </w:rPr>
        <w:t>This score measures the concentration of risk. It highlights areas where socioeconomic pressures are most intense relative to the local context, regardless of the province's physical size.</w:t>
      </w:r>
    </w:p>
    <w:p w14:paraId="74D2E566" w14:textId="77777777" w:rsidR="009A0A63" w:rsidRPr="00792B36" w:rsidRDefault="009A0A63" w:rsidP="009A0A63">
      <w:pPr>
        <w:spacing w:line="360" w:lineRule="auto"/>
        <w:contextualSpacing/>
        <w:jc w:val="thaiDistribute"/>
        <w:rPr>
          <w:color w:val="000000" w:themeColor="text1"/>
          <w:sz w:val="24"/>
          <w:szCs w:val="24"/>
        </w:rPr>
      </w:pPr>
      <w:r w:rsidRPr="00792B36">
        <w:rPr>
          <w:color w:val="000000" w:themeColor="text1"/>
          <w:sz w:val="24"/>
          <w:szCs w:val="24"/>
        </w:rPr>
        <w:t>Formula:</w:t>
      </w:r>
    </w:p>
    <w:p w14:paraId="59B77ED4" w14:textId="77777777" w:rsidR="009A0A63" w:rsidRPr="00792B36" w:rsidRDefault="00000000" w:rsidP="009A0A63">
      <w:pPr>
        <w:spacing w:line="360" w:lineRule="auto"/>
        <w:ind w:left="360"/>
        <w:jc w:val="center"/>
        <w:rPr>
          <w:color w:val="000000" w:themeColor="text1"/>
          <w:sz w:val="24"/>
          <w:szCs w:val="24"/>
        </w:rPr>
      </w:pPr>
      <m:oMathPara>
        <m:oMath>
          <m:sSub>
            <m:sSubPr>
              <m:ctrlPr>
                <w:rPr>
                  <w:rFonts w:ascii="Cambria Math" w:hAnsi="Cambria Math"/>
                  <w:i/>
                  <w:color w:val="000000" w:themeColor="text1"/>
                  <w:sz w:val="24"/>
                  <w:szCs w:val="24"/>
                </w:rPr>
              </m:ctrlPr>
            </m:sSubPr>
            <m:e>
              <m:r>
                <w:rPr>
                  <w:rFonts w:ascii="Cambria Math" w:hAnsi="Cambria Math"/>
                  <w:color w:val="000000" w:themeColor="text1"/>
                  <w:sz w:val="24"/>
                  <w:szCs w:val="24"/>
                </w:rPr>
                <m:t>CRI</m:t>
              </m:r>
            </m:e>
            <m:sub>
              <m:r>
                <w:rPr>
                  <w:rFonts w:ascii="Cambria Math" w:hAnsi="Cambria Math"/>
                  <w:color w:val="000000" w:themeColor="text1"/>
                  <w:sz w:val="24"/>
                  <w:szCs w:val="24"/>
                </w:rPr>
                <m:t>Unweighted</m:t>
              </m:r>
            </m:sub>
          </m:sSub>
          <m:r>
            <w:rPr>
              <w:rFonts w:ascii="Cambria Math" w:hAnsi="Cambria Math"/>
              <w:color w:val="000000" w:themeColor="text1"/>
              <w:sz w:val="24"/>
              <w:szCs w:val="24"/>
            </w:rPr>
            <m:t xml:space="preserve">= </m:t>
          </m:r>
          <m:d>
            <m:dPr>
              <m:ctrlPr>
                <w:rPr>
                  <w:rFonts w:ascii="Cambria Math" w:hAnsi="Cambria Math"/>
                  <w:i/>
                  <w:color w:val="000000" w:themeColor="text1"/>
                  <w:sz w:val="24"/>
                  <w:szCs w:val="24"/>
                </w:rPr>
              </m:ctrlPr>
            </m:dPr>
            <m:e>
              <m:r>
                <w:rPr>
                  <w:rFonts w:ascii="Cambria Math" w:hAnsi="Cambria Math"/>
                  <w:color w:val="000000" w:themeColor="text1"/>
                  <w:sz w:val="24"/>
                  <w:szCs w:val="24"/>
                </w:rPr>
                <m:t>0.5xPI</m:t>
              </m:r>
            </m:e>
          </m:d>
          <m:r>
            <w:rPr>
              <w:rFonts w:ascii="Cambria Math" w:hAnsi="Cambria Math"/>
              <w:color w:val="000000" w:themeColor="text1"/>
              <w:sz w:val="24"/>
              <w:szCs w:val="24"/>
            </w:rPr>
            <m:t>+(0.5xVI)</m:t>
          </m:r>
        </m:oMath>
      </m:oMathPara>
    </w:p>
    <w:p w14:paraId="6F895FC2" w14:textId="77777777" w:rsidR="009A0A63" w:rsidRPr="00792B36" w:rsidRDefault="009A0A63" w:rsidP="009A0A63">
      <w:pPr>
        <w:spacing w:line="360" w:lineRule="auto"/>
        <w:contextualSpacing/>
        <w:jc w:val="thaiDistribute"/>
        <w:rPr>
          <w:color w:val="000000" w:themeColor="text1"/>
          <w:sz w:val="24"/>
          <w:szCs w:val="24"/>
        </w:rPr>
      </w:pPr>
    </w:p>
    <w:p w14:paraId="042B8007" w14:textId="77777777" w:rsidR="009A0A63" w:rsidRPr="00792B36" w:rsidRDefault="009A0A63" w:rsidP="009A0A63">
      <w:pPr>
        <w:spacing w:line="360" w:lineRule="auto"/>
        <w:contextualSpacing/>
        <w:jc w:val="thaiDistribute"/>
        <w:rPr>
          <w:color w:val="000000" w:themeColor="text1"/>
          <w:sz w:val="24"/>
          <w:szCs w:val="24"/>
        </w:rPr>
      </w:pPr>
      <w:r w:rsidRPr="00792B36">
        <w:rPr>
          <w:color w:val="000000" w:themeColor="text1"/>
          <w:sz w:val="24"/>
          <w:szCs w:val="24"/>
        </w:rPr>
        <w:t>Format 2: Risk magnitude (CRI_Final)</w:t>
      </w:r>
    </w:p>
    <w:p w14:paraId="13DB4B43" w14:textId="77777777" w:rsidR="009A0A63" w:rsidRPr="00792B36" w:rsidRDefault="009A0A63" w:rsidP="009A0A63">
      <w:pPr>
        <w:spacing w:line="360" w:lineRule="auto"/>
        <w:contextualSpacing/>
        <w:jc w:val="thaiDistribute"/>
        <w:rPr>
          <w:color w:val="000000" w:themeColor="text1"/>
          <w:sz w:val="24"/>
          <w:szCs w:val="24"/>
        </w:rPr>
      </w:pPr>
      <w:r w:rsidRPr="00792B36">
        <w:rPr>
          <w:color w:val="000000" w:themeColor="text1"/>
          <w:sz w:val="24"/>
          <w:szCs w:val="24"/>
        </w:rPr>
        <w:t>This score incorporates the physical scale of the province. It serves as a proxy for the "management workload" (e.g., land area).</w:t>
      </w:r>
    </w:p>
    <w:p w14:paraId="5EE2FE16" w14:textId="77777777" w:rsidR="009A0A63" w:rsidRPr="00792B36" w:rsidRDefault="009A0A63" w:rsidP="009A0A63">
      <w:pPr>
        <w:spacing w:line="360" w:lineRule="auto"/>
        <w:contextualSpacing/>
        <w:jc w:val="thaiDistribute"/>
        <w:rPr>
          <w:color w:val="000000" w:themeColor="text1"/>
          <w:sz w:val="24"/>
          <w:szCs w:val="24"/>
        </w:rPr>
      </w:pPr>
      <w:r w:rsidRPr="00792B36">
        <w:rPr>
          <w:color w:val="000000" w:themeColor="text1"/>
          <w:sz w:val="24"/>
          <w:szCs w:val="24"/>
        </w:rPr>
        <w:t>Formula:</w:t>
      </w:r>
    </w:p>
    <w:p w14:paraId="453A8D66" w14:textId="77777777" w:rsidR="009A0A63" w:rsidRPr="00792B36" w:rsidRDefault="00000000" w:rsidP="009A0A63">
      <w:pPr>
        <w:spacing w:line="360" w:lineRule="auto"/>
        <w:ind w:left="360"/>
        <w:jc w:val="center"/>
        <w:rPr>
          <w:color w:val="000000" w:themeColor="text1"/>
          <w:sz w:val="24"/>
          <w:szCs w:val="24"/>
        </w:rPr>
      </w:pPr>
      <m:oMathPara>
        <m:oMath>
          <m:sSub>
            <m:sSubPr>
              <m:ctrlPr>
                <w:rPr>
                  <w:rFonts w:ascii="Cambria Math" w:hAnsi="Cambria Math"/>
                  <w:i/>
                  <w:color w:val="000000" w:themeColor="text1"/>
                  <w:sz w:val="24"/>
                  <w:szCs w:val="24"/>
                </w:rPr>
              </m:ctrlPr>
            </m:sSubPr>
            <m:e>
              <m:r>
                <w:rPr>
                  <w:rFonts w:ascii="Cambria Math" w:hAnsi="Cambria Math"/>
                  <w:color w:val="000000" w:themeColor="text1"/>
                  <w:sz w:val="24"/>
                  <w:szCs w:val="24"/>
                </w:rPr>
                <m:t>CRI</m:t>
              </m:r>
            </m:e>
            <m:sub>
              <m:r>
                <w:rPr>
                  <w:rFonts w:ascii="Cambria Math" w:hAnsi="Cambria Math"/>
                  <w:color w:val="000000" w:themeColor="text1"/>
                  <w:sz w:val="24"/>
                  <w:szCs w:val="24"/>
                </w:rPr>
                <m:t>Final</m:t>
              </m:r>
            </m:sub>
          </m:sSub>
          <m:r>
            <w:rPr>
              <w:rFonts w:ascii="Cambria Math" w:hAnsi="Cambria Math"/>
              <w:color w:val="000000" w:themeColor="text1"/>
              <w:sz w:val="24"/>
              <w:szCs w:val="24"/>
            </w:rPr>
            <m:t xml:space="preserve">= </m:t>
          </m:r>
          <m:sSub>
            <m:sSubPr>
              <m:ctrlPr>
                <w:rPr>
                  <w:rFonts w:ascii="Cambria Math" w:hAnsi="Cambria Math"/>
                  <w:i/>
                  <w:color w:val="000000" w:themeColor="text1"/>
                  <w:sz w:val="24"/>
                  <w:szCs w:val="24"/>
                </w:rPr>
              </m:ctrlPr>
            </m:sSubPr>
            <m:e>
              <m:r>
                <w:rPr>
                  <w:rFonts w:ascii="Cambria Math" w:hAnsi="Cambria Math"/>
                  <w:color w:val="000000" w:themeColor="text1"/>
                  <w:sz w:val="24"/>
                  <w:szCs w:val="24"/>
                </w:rPr>
                <m:t>CRI</m:t>
              </m:r>
            </m:e>
            <m:sub>
              <m:r>
                <w:rPr>
                  <w:rFonts w:ascii="Cambria Math" w:hAnsi="Cambria Math"/>
                  <w:color w:val="000000" w:themeColor="text1"/>
                  <w:sz w:val="24"/>
                  <w:szCs w:val="24"/>
                </w:rPr>
                <m:t xml:space="preserve">Unweighted </m:t>
              </m:r>
            </m:sub>
          </m:sSub>
          <m:r>
            <w:rPr>
              <w:rFonts w:ascii="Cambria Math" w:hAnsi="Cambria Math"/>
              <w:color w:val="000000" w:themeColor="text1"/>
              <w:sz w:val="24"/>
              <w:szCs w:val="24"/>
            </w:rPr>
            <m:t>x Area weight</m:t>
          </m:r>
        </m:oMath>
      </m:oMathPara>
    </w:p>
    <w:p w14:paraId="724F621C" w14:textId="77777777" w:rsidR="009A0A63" w:rsidRPr="00792B36" w:rsidRDefault="009A0A63" w:rsidP="009A0A63">
      <w:pPr>
        <w:spacing w:line="360" w:lineRule="auto"/>
        <w:contextualSpacing/>
        <w:jc w:val="thaiDistribute"/>
        <w:rPr>
          <w:color w:val="000000" w:themeColor="text1"/>
          <w:sz w:val="24"/>
          <w:szCs w:val="24"/>
        </w:rPr>
      </w:pPr>
      <w:r w:rsidRPr="00792B36">
        <w:rPr>
          <w:color w:val="000000" w:themeColor="text1"/>
          <w:sz w:val="24"/>
          <w:szCs w:val="24"/>
        </w:rPr>
        <w:t>Where:</w:t>
      </w:r>
    </w:p>
    <w:p w14:paraId="6A73C720" w14:textId="77777777" w:rsidR="009A0A63" w:rsidRPr="00792B36" w:rsidRDefault="009A0A63" w:rsidP="009A0A63">
      <w:pPr>
        <w:spacing w:line="360" w:lineRule="auto"/>
        <w:contextualSpacing/>
        <w:rPr>
          <w:color w:val="000000" w:themeColor="text1"/>
          <w:sz w:val="24"/>
          <w:szCs w:val="24"/>
        </w:rPr>
      </w:pPr>
      <m:oMathPara>
        <m:oMath>
          <m:r>
            <w:rPr>
              <w:rFonts w:ascii="Cambria Math" w:hAnsi="Cambria Math"/>
              <w:color w:val="000000" w:themeColor="text1"/>
              <w:sz w:val="24"/>
              <w:szCs w:val="24"/>
            </w:rPr>
            <m:t>Area weight=</m:t>
          </m:r>
          <m:f>
            <m:fPr>
              <m:ctrlPr>
                <w:rPr>
                  <w:rFonts w:ascii="Cambria Math" w:hAnsi="Cambria Math"/>
                  <w:i/>
                  <w:color w:val="000000" w:themeColor="text1"/>
                  <w:sz w:val="24"/>
                  <w:szCs w:val="24"/>
                </w:rPr>
              </m:ctrlPr>
            </m:fPr>
            <m:num>
              <m:sSub>
                <m:sSubPr>
                  <m:ctrlPr>
                    <w:rPr>
                      <w:rFonts w:ascii="Cambria Math" w:hAnsi="Cambria Math"/>
                      <w:i/>
                      <w:color w:val="000000" w:themeColor="text1"/>
                      <w:sz w:val="24"/>
                      <w:szCs w:val="24"/>
                    </w:rPr>
                  </m:ctrlPr>
                </m:sSubPr>
                <m:e>
                  <m:r>
                    <w:rPr>
                      <w:rFonts w:ascii="Cambria Math" w:hAnsi="Cambria Math"/>
                      <w:color w:val="000000" w:themeColor="text1"/>
                      <w:sz w:val="24"/>
                      <w:szCs w:val="24"/>
                    </w:rPr>
                    <m:t>Area</m:t>
                  </m:r>
                </m:e>
                <m:sub>
                  <m:r>
                    <w:rPr>
                      <w:rFonts w:ascii="Cambria Math" w:hAnsi="Cambria Math"/>
                      <w:color w:val="000000" w:themeColor="text1"/>
                      <w:sz w:val="24"/>
                      <w:szCs w:val="24"/>
                    </w:rPr>
                    <m:t>Province</m:t>
                  </m:r>
                </m:sub>
              </m:sSub>
            </m:num>
            <m:den>
              <m:nary>
                <m:naryPr>
                  <m:chr m:val="∑"/>
                  <m:limLoc m:val="undOvr"/>
                  <m:subHide m:val="1"/>
                  <m:supHide m:val="1"/>
                  <m:ctrlPr>
                    <w:rPr>
                      <w:rFonts w:ascii="Cambria Math" w:hAnsi="Cambria Math"/>
                      <w:i/>
                      <w:color w:val="000000" w:themeColor="text1"/>
                      <w:sz w:val="24"/>
                      <w:szCs w:val="24"/>
                    </w:rPr>
                  </m:ctrlPr>
                </m:naryPr>
                <m:sub/>
                <m:sup/>
                <m:e>
                  <m:sSub>
                    <m:sSubPr>
                      <m:ctrlPr>
                        <w:rPr>
                          <w:rFonts w:ascii="Cambria Math" w:hAnsi="Cambria Math"/>
                          <w:i/>
                          <w:color w:val="000000" w:themeColor="text1"/>
                          <w:sz w:val="24"/>
                          <w:szCs w:val="24"/>
                        </w:rPr>
                      </m:ctrlPr>
                    </m:sSubPr>
                    <m:e>
                      <m:r>
                        <w:rPr>
                          <w:rFonts w:ascii="Cambria Math" w:hAnsi="Cambria Math"/>
                          <w:color w:val="000000" w:themeColor="text1"/>
                          <w:sz w:val="24"/>
                          <w:szCs w:val="24"/>
                        </w:rPr>
                        <m:t>Area</m:t>
                      </m:r>
                    </m:e>
                    <m:sub>
                      <m:r>
                        <w:rPr>
                          <w:rFonts w:ascii="Cambria Math" w:hAnsi="Cambria Math"/>
                          <w:color w:val="000000" w:themeColor="text1"/>
                          <w:sz w:val="24"/>
                          <w:szCs w:val="24"/>
                        </w:rPr>
                        <m:t>All17Provinces</m:t>
                      </m:r>
                    </m:sub>
                  </m:sSub>
                </m:e>
              </m:nary>
            </m:den>
          </m:f>
        </m:oMath>
      </m:oMathPara>
    </w:p>
    <w:p w14:paraId="76AB19AC" w14:textId="77777777" w:rsidR="009A0A63" w:rsidRPr="00792B36" w:rsidRDefault="009A0A63" w:rsidP="009A0A63">
      <w:pPr>
        <w:spacing w:line="360" w:lineRule="auto"/>
        <w:contextualSpacing/>
        <w:jc w:val="thaiDistribute"/>
        <w:rPr>
          <w:color w:val="000000" w:themeColor="text1"/>
          <w:sz w:val="24"/>
          <w:szCs w:val="24"/>
        </w:rPr>
      </w:pPr>
    </w:p>
    <w:p w14:paraId="1D04CFC7" w14:textId="77777777" w:rsidR="009A0A63" w:rsidRPr="00792B36" w:rsidRDefault="009A0A63" w:rsidP="009A0A63">
      <w:pPr>
        <w:spacing w:line="360" w:lineRule="auto"/>
        <w:contextualSpacing/>
        <w:jc w:val="thaiDistribute"/>
        <w:rPr>
          <w:b/>
          <w:bCs/>
          <w:color w:val="000000" w:themeColor="text1"/>
          <w:sz w:val="24"/>
          <w:szCs w:val="24"/>
        </w:rPr>
      </w:pPr>
      <w:r w:rsidRPr="00792B36">
        <w:rPr>
          <w:b/>
          <w:bCs/>
          <w:color w:val="000000" w:themeColor="text1"/>
          <w:sz w:val="24"/>
          <w:szCs w:val="24"/>
        </w:rPr>
        <w:t>Risk Categorization</w:t>
      </w:r>
    </w:p>
    <w:p w14:paraId="5CA3B52C" w14:textId="77777777" w:rsidR="009A0A63" w:rsidRPr="00792B36" w:rsidRDefault="009A0A63" w:rsidP="009A0A63">
      <w:pPr>
        <w:spacing w:line="360" w:lineRule="auto"/>
        <w:contextualSpacing/>
        <w:jc w:val="thaiDistribute"/>
        <w:rPr>
          <w:color w:val="000000" w:themeColor="text1"/>
          <w:sz w:val="24"/>
          <w:szCs w:val="24"/>
        </w:rPr>
      </w:pPr>
      <w:r w:rsidRPr="00792B36">
        <w:rPr>
          <w:color w:val="000000" w:themeColor="text1"/>
          <w:sz w:val="24"/>
          <w:szCs w:val="24"/>
        </w:rPr>
        <w:t>By analyzing both Format 1 (Intensity) and Format 2 (Magnitude), provinces are classified into three actionable groups:</w:t>
      </w:r>
    </w:p>
    <w:p w14:paraId="0F6A3573" w14:textId="77777777" w:rsidR="009A0A63" w:rsidRPr="00792B36" w:rsidRDefault="009A0A63" w:rsidP="00F61B37">
      <w:pPr>
        <w:widowControl/>
        <w:numPr>
          <w:ilvl w:val="0"/>
          <w:numId w:val="118"/>
        </w:numPr>
        <w:spacing w:line="360" w:lineRule="auto"/>
        <w:contextualSpacing/>
        <w:jc w:val="thaiDistribute"/>
        <w:rPr>
          <w:color w:val="000000" w:themeColor="text1"/>
          <w:sz w:val="24"/>
          <w:szCs w:val="24"/>
        </w:rPr>
      </w:pPr>
      <w:r w:rsidRPr="00792B36">
        <w:rPr>
          <w:color w:val="000000" w:themeColor="text1"/>
          <w:sz w:val="24"/>
          <w:szCs w:val="24"/>
        </w:rPr>
        <w:t xml:space="preserve">Pure Intensity Risk: High concentration of pressure. </w:t>
      </w:r>
    </w:p>
    <w:p w14:paraId="789135CB" w14:textId="77777777" w:rsidR="009A0A63" w:rsidRPr="00792B36" w:rsidRDefault="009A0A63" w:rsidP="00F61B37">
      <w:pPr>
        <w:widowControl/>
        <w:numPr>
          <w:ilvl w:val="0"/>
          <w:numId w:val="118"/>
        </w:numPr>
        <w:spacing w:line="360" w:lineRule="auto"/>
        <w:contextualSpacing/>
        <w:jc w:val="thaiDistribute"/>
        <w:rPr>
          <w:color w:val="000000" w:themeColor="text1"/>
          <w:sz w:val="24"/>
          <w:szCs w:val="24"/>
        </w:rPr>
      </w:pPr>
      <w:r w:rsidRPr="00792B36">
        <w:rPr>
          <w:color w:val="000000" w:themeColor="text1"/>
          <w:sz w:val="24"/>
          <w:szCs w:val="24"/>
        </w:rPr>
        <w:t xml:space="preserve">Pure Magnitude Risk: Large scale of vulnerable resources. </w:t>
      </w:r>
    </w:p>
    <w:p w14:paraId="75C9B5B6" w14:textId="77777777" w:rsidR="009A0A63" w:rsidRPr="00792B36" w:rsidRDefault="009A0A63" w:rsidP="00F61B37">
      <w:pPr>
        <w:widowControl/>
        <w:numPr>
          <w:ilvl w:val="0"/>
          <w:numId w:val="118"/>
        </w:numPr>
        <w:spacing w:line="360" w:lineRule="auto"/>
        <w:contextualSpacing/>
        <w:jc w:val="thaiDistribute"/>
        <w:rPr>
          <w:color w:val="000000" w:themeColor="text1"/>
          <w:sz w:val="24"/>
          <w:szCs w:val="24"/>
        </w:rPr>
      </w:pPr>
      <w:r w:rsidRPr="00792B36">
        <w:rPr>
          <w:color w:val="000000" w:themeColor="text1"/>
          <w:sz w:val="24"/>
          <w:szCs w:val="24"/>
        </w:rPr>
        <w:t xml:space="preserve">Hybrid Risk: High scores in both intensity and magnitude. </w:t>
      </w:r>
    </w:p>
    <w:p w14:paraId="564D08D1" w14:textId="77777777" w:rsidR="009A0A63" w:rsidRPr="00792B36" w:rsidRDefault="009A0A63" w:rsidP="009A0A63">
      <w:pPr>
        <w:spacing w:line="360" w:lineRule="auto"/>
        <w:rPr>
          <w:sz w:val="24"/>
          <w:szCs w:val="24"/>
        </w:rPr>
      </w:pPr>
    </w:p>
    <w:p w14:paraId="645823F3" w14:textId="77777777" w:rsidR="009A0A63" w:rsidRPr="00792B36" w:rsidRDefault="009A0A63" w:rsidP="009A0A63">
      <w:pPr>
        <w:spacing w:line="360" w:lineRule="auto"/>
        <w:rPr>
          <w:sz w:val="24"/>
          <w:szCs w:val="24"/>
        </w:rPr>
      </w:pPr>
    </w:p>
    <w:p w14:paraId="2467FBF1" w14:textId="77777777" w:rsidR="009A0A63" w:rsidRPr="00792B36" w:rsidRDefault="009A0A63" w:rsidP="009A0A63">
      <w:pPr>
        <w:spacing w:line="360" w:lineRule="auto"/>
        <w:rPr>
          <w:sz w:val="24"/>
          <w:szCs w:val="24"/>
        </w:rPr>
      </w:pPr>
    </w:p>
    <w:p w14:paraId="44391E26" w14:textId="77777777" w:rsidR="009A0A63" w:rsidRPr="00792B36" w:rsidRDefault="009A0A63" w:rsidP="009A0A63">
      <w:pPr>
        <w:spacing w:line="360" w:lineRule="auto"/>
        <w:rPr>
          <w:sz w:val="24"/>
          <w:szCs w:val="24"/>
        </w:rPr>
      </w:pPr>
    </w:p>
    <w:p w14:paraId="5E466A39" w14:textId="77777777" w:rsidR="009A0A63" w:rsidRPr="00792B36" w:rsidRDefault="009A0A63" w:rsidP="009A0A63">
      <w:pPr>
        <w:spacing w:line="360" w:lineRule="auto"/>
        <w:rPr>
          <w:sz w:val="24"/>
          <w:szCs w:val="24"/>
        </w:rPr>
      </w:pPr>
      <w:r w:rsidRPr="00792B36">
        <w:rPr>
          <w:b/>
          <w:bCs/>
          <w:sz w:val="24"/>
          <w:szCs w:val="24"/>
        </w:rPr>
        <w:lastRenderedPageBreak/>
        <w:t xml:space="preserve">Annex 2.2 </w:t>
      </w:r>
      <w:r w:rsidRPr="00792B36">
        <w:rPr>
          <w:sz w:val="24"/>
          <w:szCs w:val="24"/>
        </w:rPr>
        <w:t>Land area and national share of coastal provinces along the Gulf of Thailand (2020)</w:t>
      </w:r>
    </w:p>
    <w:tbl>
      <w:tblPr>
        <w:tblStyle w:val="TableGrid"/>
        <w:tblW w:w="0" w:type="auto"/>
        <w:tblLook w:val="04A0" w:firstRow="1" w:lastRow="0" w:firstColumn="1" w:lastColumn="0" w:noHBand="0" w:noVBand="1"/>
      </w:tblPr>
      <w:tblGrid>
        <w:gridCol w:w="3034"/>
        <w:gridCol w:w="2991"/>
        <w:gridCol w:w="2992"/>
      </w:tblGrid>
      <w:tr w:rsidR="009A0A63" w:rsidRPr="00792B36" w14:paraId="5E7D2FDF" w14:textId="77777777" w:rsidTr="00A24459">
        <w:trPr>
          <w:trHeight w:val="340"/>
        </w:trPr>
        <w:tc>
          <w:tcPr>
            <w:tcW w:w="3116" w:type="dxa"/>
            <w:vAlign w:val="center"/>
          </w:tcPr>
          <w:p w14:paraId="4E66056A" w14:textId="77777777" w:rsidR="009A0A63" w:rsidRPr="00792B36" w:rsidRDefault="009A0A63" w:rsidP="00A24459">
            <w:pPr>
              <w:jc w:val="center"/>
              <w:rPr>
                <w:sz w:val="24"/>
                <w:szCs w:val="24"/>
              </w:rPr>
            </w:pPr>
            <w:r w:rsidRPr="00792B36">
              <w:rPr>
                <w:b/>
                <w:bCs/>
                <w:color w:val="000000"/>
                <w:sz w:val="24"/>
                <w:szCs w:val="24"/>
              </w:rPr>
              <w:t>Provinces</w:t>
            </w:r>
          </w:p>
        </w:tc>
        <w:tc>
          <w:tcPr>
            <w:tcW w:w="3117" w:type="dxa"/>
            <w:vAlign w:val="center"/>
          </w:tcPr>
          <w:p w14:paraId="3AEAA540" w14:textId="77777777" w:rsidR="009A0A63" w:rsidRPr="00792B36" w:rsidRDefault="009A0A63" w:rsidP="00A24459">
            <w:pPr>
              <w:jc w:val="center"/>
              <w:rPr>
                <w:sz w:val="24"/>
                <w:szCs w:val="24"/>
              </w:rPr>
            </w:pPr>
            <w:r w:rsidRPr="00792B36">
              <w:rPr>
                <w:b/>
                <w:bCs/>
                <w:color w:val="000000"/>
                <w:sz w:val="24"/>
                <w:szCs w:val="24"/>
              </w:rPr>
              <w:t>Area (km</w:t>
            </w:r>
            <w:r w:rsidRPr="00792B36">
              <w:rPr>
                <w:b/>
                <w:bCs/>
                <w:color w:val="000000"/>
                <w:sz w:val="24"/>
                <w:szCs w:val="24"/>
                <w:vertAlign w:val="superscript"/>
              </w:rPr>
              <w:t>2</w:t>
            </w:r>
            <w:r w:rsidRPr="00792B36">
              <w:rPr>
                <w:b/>
                <w:bCs/>
                <w:color w:val="000000"/>
                <w:sz w:val="24"/>
                <w:szCs w:val="24"/>
              </w:rPr>
              <w:t>)</w:t>
            </w:r>
          </w:p>
        </w:tc>
        <w:tc>
          <w:tcPr>
            <w:tcW w:w="3117" w:type="dxa"/>
            <w:vAlign w:val="center"/>
          </w:tcPr>
          <w:p w14:paraId="56D257BF" w14:textId="77777777" w:rsidR="009A0A63" w:rsidRPr="00792B36" w:rsidRDefault="009A0A63" w:rsidP="00A24459">
            <w:pPr>
              <w:jc w:val="center"/>
              <w:rPr>
                <w:sz w:val="24"/>
                <w:szCs w:val="24"/>
              </w:rPr>
            </w:pPr>
            <w:r w:rsidRPr="00792B36">
              <w:rPr>
                <w:b/>
                <w:bCs/>
                <w:color w:val="000000"/>
                <w:sz w:val="24"/>
                <w:szCs w:val="24"/>
              </w:rPr>
              <w:t>National share (%)</w:t>
            </w:r>
          </w:p>
        </w:tc>
      </w:tr>
      <w:tr w:rsidR="009A0A63" w:rsidRPr="00792B36" w14:paraId="39AB9736" w14:textId="77777777" w:rsidTr="00A24459">
        <w:trPr>
          <w:trHeight w:val="340"/>
        </w:trPr>
        <w:tc>
          <w:tcPr>
            <w:tcW w:w="3116" w:type="dxa"/>
            <w:vAlign w:val="center"/>
          </w:tcPr>
          <w:p w14:paraId="03A27706" w14:textId="77777777" w:rsidR="009A0A63" w:rsidRPr="00792B36" w:rsidRDefault="009A0A63" w:rsidP="00A24459">
            <w:pPr>
              <w:rPr>
                <w:sz w:val="24"/>
                <w:szCs w:val="24"/>
              </w:rPr>
            </w:pPr>
            <w:r w:rsidRPr="00792B36">
              <w:rPr>
                <w:color w:val="000000"/>
                <w:sz w:val="24"/>
                <w:szCs w:val="24"/>
              </w:rPr>
              <w:t>Rayong</w:t>
            </w:r>
          </w:p>
        </w:tc>
        <w:tc>
          <w:tcPr>
            <w:tcW w:w="3117" w:type="dxa"/>
            <w:vAlign w:val="center"/>
          </w:tcPr>
          <w:p w14:paraId="0ABCE212" w14:textId="77777777" w:rsidR="009A0A63" w:rsidRPr="00792B36" w:rsidRDefault="009A0A63" w:rsidP="00A24459">
            <w:pPr>
              <w:jc w:val="center"/>
              <w:rPr>
                <w:sz w:val="24"/>
                <w:szCs w:val="24"/>
              </w:rPr>
            </w:pPr>
            <w:r w:rsidRPr="00792B36">
              <w:rPr>
                <w:color w:val="000000"/>
                <w:sz w:val="24"/>
                <w:szCs w:val="24"/>
              </w:rPr>
              <w:t>3,552.0</w:t>
            </w:r>
          </w:p>
        </w:tc>
        <w:tc>
          <w:tcPr>
            <w:tcW w:w="3117" w:type="dxa"/>
            <w:vAlign w:val="center"/>
          </w:tcPr>
          <w:p w14:paraId="0B398B8F" w14:textId="77777777" w:rsidR="009A0A63" w:rsidRPr="00792B36" w:rsidRDefault="009A0A63" w:rsidP="00A24459">
            <w:pPr>
              <w:jc w:val="center"/>
              <w:rPr>
                <w:sz w:val="24"/>
                <w:szCs w:val="24"/>
              </w:rPr>
            </w:pPr>
            <w:r w:rsidRPr="00792B36">
              <w:rPr>
                <w:color w:val="000000"/>
                <w:sz w:val="24"/>
                <w:szCs w:val="24"/>
              </w:rPr>
              <w:t>0.69</w:t>
            </w:r>
          </w:p>
        </w:tc>
      </w:tr>
      <w:tr w:rsidR="009A0A63" w:rsidRPr="00792B36" w14:paraId="0FD6A84E" w14:textId="77777777" w:rsidTr="00A24459">
        <w:trPr>
          <w:trHeight w:val="340"/>
        </w:trPr>
        <w:tc>
          <w:tcPr>
            <w:tcW w:w="3116" w:type="dxa"/>
            <w:vAlign w:val="center"/>
          </w:tcPr>
          <w:p w14:paraId="06D4B72E" w14:textId="77777777" w:rsidR="009A0A63" w:rsidRPr="00792B36" w:rsidRDefault="009A0A63" w:rsidP="00A24459">
            <w:pPr>
              <w:rPr>
                <w:sz w:val="24"/>
                <w:szCs w:val="24"/>
              </w:rPr>
            </w:pPr>
            <w:r w:rsidRPr="00792B36">
              <w:rPr>
                <w:color w:val="000000"/>
                <w:sz w:val="24"/>
                <w:szCs w:val="24"/>
              </w:rPr>
              <w:t>Chanthaburi</w:t>
            </w:r>
          </w:p>
        </w:tc>
        <w:tc>
          <w:tcPr>
            <w:tcW w:w="3117" w:type="dxa"/>
            <w:vAlign w:val="center"/>
          </w:tcPr>
          <w:p w14:paraId="29841AE8" w14:textId="77777777" w:rsidR="009A0A63" w:rsidRPr="00792B36" w:rsidRDefault="009A0A63" w:rsidP="00A24459">
            <w:pPr>
              <w:jc w:val="center"/>
              <w:rPr>
                <w:sz w:val="24"/>
                <w:szCs w:val="24"/>
              </w:rPr>
            </w:pPr>
            <w:r w:rsidRPr="00792B36">
              <w:rPr>
                <w:color w:val="000000"/>
                <w:sz w:val="24"/>
                <w:szCs w:val="24"/>
              </w:rPr>
              <w:t>6,338.0</w:t>
            </w:r>
          </w:p>
        </w:tc>
        <w:tc>
          <w:tcPr>
            <w:tcW w:w="3117" w:type="dxa"/>
            <w:vAlign w:val="center"/>
          </w:tcPr>
          <w:p w14:paraId="4C08FCCA" w14:textId="77777777" w:rsidR="009A0A63" w:rsidRPr="00792B36" w:rsidRDefault="009A0A63" w:rsidP="00A24459">
            <w:pPr>
              <w:jc w:val="center"/>
              <w:rPr>
                <w:sz w:val="24"/>
                <w:szCs w:val="24"/>
              </w:rPr>
            </w:pPr>
            <w:r w:rsidRPr="00792B36">
              <w:rPr>
                <w:color w:val="000000"/>
                <w:sz w:val="24"/>
                <w:szCs w:val="24"/>
              </w:rPr>
              <w:t>1.24</w:t>
            </w:r>
          </w:p>
        </w:tc>
      </w:tr>
      <w:tr w:rsidR="009A0A63" w:rsidRPr="00792B36" w14:paraId="469937D8" w14:textId="77777777" w:rsidTr="00A24459">
        <w:trPr>
          <w:trHeight w:val="340"/>
        </w:trPr>
        <w:tc>
          <w:tcPr>
            <w:tcW w:w="3116" w:type="dxa"/>
            <w:vAlign w:val="center"/>
          </w:tcPr>
          <w:p w14:paraId="3903606C" w14:textId="77777777" w:rsidR="009A0A63" w:rsidRPr="00792B36" w:rsidRDefault="009A0A63" w:rsidP="00A24459">
            <w:pPr>
              <w:rPr>
                <w:sz w:val="24"/>
                <w:szCs w:val="24"/>
              </w:rPr>
            </w:pPr>
            <w:r w:rsidRPr="00792B36">
              <w:rPr>
                <w:color w:val="000000"/>
                <w:sz w:val="24"/>
                <w:szCs w:val="24"/>
              </w:rPr>
              <w:t>Trat</w:t>
            </w:r>
          </w:p>
        </w:tc>
        <w:tc>
          <w:tcPr>
            <w:tcW w:w="3117" w:type="dxa"/>
            <w:vAlign w:val="center"/>
          </w:tcPr>
          <w:p w14:paraId="5196EFE4" w14:textId="77777777" w:rsidR="009A0A63" w:rsidRPr="00792B36" w:rsidRDefault="009A0A63" w:rsidP="00A24459">
            <w:pPr>
              <w:jc w:val="center"/>
              <w:rPr>
                <w:sz w:val="24"/>
                <w:szCs w:val="24"/>
              </w:rPr>
            </w:pPr>
            <w:r w:rsidRPr="00792B36">
              <w:rPr>
                <w:color w:val="000000"/>
                <w:sz w:val="24"/>
                <w:szCs w:val="24"/>
              </w:rPr>
              <w:t>2,819.0</w:t>
            </w:r>
          </w:p>
        </w:tc>
        <w:tc>
          <w:tcPr>
            <w:tcW w:w="3117" w:type="dxa"/>
            <w:vAlign w:val="center"/>
          </w:tcPr>
          <w:p w14:paraId="267DE3CF" w14:textId="77777777" w:rsidR="009A0A63" w:rsidRPr="00792B36" w:rsidRDefault="009A0A63" w:rsidP="00A24459">
            <w:pPr>
              <w:jc w:val="center"/>
              <w:rPr>
                <w:sz w:val="24"/>
                <w:szCs w:val="24"/>
              </w:rPr>
            </w:pPr>
            <w:r w:rsidRPr="00792B36">
              <w:rPr>
                <w:color w:val="000000"/>
                <w:sz w:val="24"/>
                <w:szCs w:val="24"/>
              </w:rPr>
              <w:t>0.55</w:t>
            </w:r>
          </w:p>
        </w:tc>
      </w:tr>
      <w:tr w:rsidR="009A0A63" w:rsidRPr="00792B36" w14:paraId="3C2E8928" w14:textId="77777777" w:rsidTr="00A24459">
        <w:trPr>
          <w:trHeight w:val="340"/>
        </w:trPr>
        <w:tc>
          <w:tcPr>
            <w:tcW w:w="3116" w:type="dxa"/>
            <w:vAlign w:val="center"/>
          </w:tcPr>
          <w:p w14:paraId="7F00236B" w14:textId="77777777" w:rsidR="009A0A63" w:rsidRPr="00792B36" w:rsidRDefault="009A0A63" w:rsidP="00A24459">
            <w:pPr>
              <w:rPr>
                <w:sz w:val="24"/>
                <w:szCs w:val="24"/>
              </w:rPr>
            </w:pPr>
            <w:r w:rsidRPr="00792B36">
              <w:rPr>
                <w:color w:val="000000"/>
                <w:sz w:val="24"/>
                <w:szCs w:val="24"/>
              </w:rPr>
              <w:t>Samut Prakan</w:t>
            </w:r>
          </w:p>
        </w:tc>
        <w:tc>
          <w:tcPr>
            <w:tcW w:w="3117" w:type="dxa"/>
            <w:vAlign w:val="center"/>
          </w:tcPr>
          <w:p w14:paraId="435BCACA" w14:textId="77777777" w:rsidR="009A0A63" w:rsidRPr="00792B36" w:rsidRDefault="009A0A63" w:rsidP="00A24459">
            <w:pPr>
              <w:jc w:val="center"/>
              <w:rPr>
                <w:sz w:val="24"/>
                <w:szCs w:val="24"/>
              </w:rPr>
            </w:pPr>
            <w:r w:rsidRPr="00792B36">
              <w:rPr>
                <w:color w:val="000000"/>
                <w:sz w:val="24"/>
                <w:szCs w:val="24"/>
              </w:rPr>
              <w:t>1,004.1</w:t>
            </w:r>
          </w:p>
        </w:tc>
        <w:tc>
          <w:tcPr>
            <w:tcW w:w="3117" w:type="dxa"/>
            <w:vAlign w:val="center"/>
          </w:tcPr>
          <w:p w14:paraId="337F7815" w14:textId="77777777" w:rsidR="009A0A63" w:rsidRPr="00792B36" w:rsidRDefault="009A0A63" w:rsidP="00A24459">
            <w:pPr>
              <w:jc w:val="center"/>
              <w:rPr>
                <w:sz w:val="24"/>
                <w:szCs w:val="24"/>
              </w:rPr>
            </w:pPr>
            <w:r w:rsidRPr="00792B36">
              <w:rPr>
                <w:color w:val="000000"/>
                <w:sz w:val="24"/>
                <w:szCs w:val="24"/>
              </w:rPr>
              <w:t>0.20</w:t>
            </w:r>
          </w:p>
        </w:tc>
      </w:tr>
      <w:tr w:rsidR="009A0A63" w:rsidRPr="00792B36" w14:paraId="7A4E902F" w14:textId="77777777" w:rsidTr="00A24459">
        <w:trPr>
          <w:trHeight w:val="340"/>
        </w:trPr>
        <w:tc>
          <w:tcPr>
            <w:tcW w:w="3116" w:type="dxa"/>
            <w:vAlign w:val="center"/>
          </w:tcPr>
          <w:p w14:paraId="6050A0F7" w14:textId="77777777" w:rsidR="009A0A63" w:rsidRPr="00792B36" w:rsidRDefault="009A0A63" w:rsidP="00A24459">
            <w:pPr>
              <w:rPr>
                <w:sz w:val="24"/>
                <w:szCs w:val="24"/>
              </w:rPr>
            </w:pPr>
            <w:r w:rsidRPr="00792B36">
              <w:rPr>
                <w:color w:val="000000"/>
                <w:sz w:val="24"/>
                <w:szCs w:val="24"/>
              </w:rPr>
              <w:t>Chon Buri</w:t>
            </w:r>
          </w:p>
        </w:tc>
        <w:tc>
          <w:tcPr>
            <w:tcW w:w="3117" w:type="dxa"/>
            <w:vAlign w:val="center"/>
          </w:tcPr>
          <w:p w14:paraId="103C10FB" w14:textId="77777777" w:rsidR="009A0A63" w:rsidRPr="00792B36" w:rsidRDefault="009A0A63" w:rsidP="00A24459">
            <w:pPr>
              <w:jc w:val="center"/>
              <w:rPr>
                <w:sz w:val="24"/>
                <w:szCs w:val="24"/>
              </w:rPr>
            </w:pPr>
            <w:r w:rsidRPr="00792B36">
              <w:rPr>
                <w:color w:val="000000"/>
                <w:sz w:val="24"/>
                <w:szCs w:val="24"/>
              </w:rPr>
              <w:t>4,363.0</w:t>
            </w:r>
          </w:p>
        </w:tc>
        <w:tc>
          <w:tcPr>
            <w:tcW w:w="3117" w:type="dxa"/>
            <w:vAlign w:val="center"/>
          </w:tcPr>
          <w:p w14:paraId="6B641A37" w14:textId="77777777" w:rsidR="009A0A63" w:rsidRPr="00792B36" w:rsidRDefault="009A0A63" w:rsidP="00A24459">
            <w:pPr>
              <w:jc w:val="center"/>
              <w:rPr>
                <w:sz w:val="24"/>
                <w:szCs w:val="24"/>
              </w:rPr>
            </w:pPr>
            <w:r w:rsidRPr="00792B36">
              <w:rPr>
                <w:color w:val="000000"/>
                <w:sz w:val="24"/>
                <w:szCs w:val="24"/>
              </w:rPr>
              <w:t>0.85</w:t>
            </w:r>
          </w:p>
        </w:tc>
      </w:tr>
      <w:tr w:rsidR="009A0A63" w:rsidRPr="00792B36" w14:paraId="08D43D67" w14:textId="77777777" w:rsidTr="00A24459">
        <w:trPr>
          <w:trHeight w:val="340"/>
        </w:trPr>
        <w:tc>
          <w:tcPr>
            <w:tcW w:w="3116" w:type="dxa"/>
            <w:vAlign w:val="center"/>
          </w:tcPr>
          <w:p w14:paraId="32FE63F8" w14:textId="77777777" w:rsidR="009A0A63" w:rsidRPr="00792B36" w:rsidRDefault="009A0A63" w:rsidP="00A24459">
            <w:pPr>
              <w:rPr>
                <w:sz w:val="24"/>
                <w:szCs w:val="24"/>
              </w:rPr>
            </w:pPr>
            <w:r w:rsidRPr="00792B36">
              <w:rPr>
                <w:color w:val="000000"/>
                <w:sz w:val="24"/>
                <w:szCs w:val="24"/>
              </w:rPr>
              <w:t>Chachoengsao</w:t>
            </w:r>
          </w:p>
        </w:tc>
        <w:tc>
          <w:tcPr>
            <w:tcW w:w="3117" w:type="dxa"/>
            <w:vAlign w:val="center"/>
          </w:tcPr>
          <w:p w14:paraId="644DF589" w14:textId="77777777" w:rsidR="009A0A63" w:rsidRPr="00792B36" w:rsidRDefault="009A0A63" w:rsidP="00A24459">
            <w:pPr>
              <w:jc w:val="center"/>
              <w:rPr>
                <w:sz w:val="24"/>
                <w:szCs w:val="24"/>
              </w:rPr>
            </w:pPr>
            <w:r w:rsidRPr="00792B36">
              <w:rPr>
                <w:color w:val="000000"/>
                <w:sz w:val="24"/>
                <w:szCs w:val="24"/>
              </w:rPr>
              <w:t>5,351.0</w:t>
            </w:r>
          </w:p>
        </w:tc>
        <w:tc>
          <w:tcPr>
            <w:tcW w:w="3117" w:type="dxa"/>
            <w:vAlign w:val="center"/>
          </w:tcPr>
          <w:p w14:paraId="1DD17DCF" w14:textId="77777777" w:rsidR="009A0A63" w:rsidRPr="00792B36" w:rsidRDefault="009A0A63" w:rsidP="00A24459">
            <w:pPr>
              <w:jc w:val="center"/>
              <w:rPr>
                <w:sz w:val="24"/>
                <w:szCs w:val="24"/>
              </w:rPr>
            </w:pPr>
            <w:r w:rsidRPr="00792B36">
              <w:rPr>
                <w:color w:val="000000"/>
                <w:sz w:val="24"/>
                <w:szCs w:val="24"/>
              </w:rPr>
              <w:t>1.04</w:t>
            </w:r>
          </w:p>
        </w:tc>
      </w:tr>
      <w:tr w:rsidR="009A0A63" w:rsidRPr="00792B36" w14:paraId="07A7AE78" w14:textId="77777777" w:rsidTr="00A24459">
        <w:trPr>
          <w:trHeight w:val="340"/>
        </w:trPr>
        <w:tc>
          <w:tcPr>
            <w:tcW w:w="3116" w:type="dxa"/>
            <w:vAlign w:val="center"/>
          </w:tcPr>
          <w:p w14:paraId="51444BAB" w14:textId="77777777" w:rsidR="009A0A63" w:rsidRPr="00792B36" w:rsidRDefault="009A0A63" w:rsidP="00A24459">
            <w:pPr>
              <w:rPr>
                <w:sz w:val="24"/>
                <w:szCs w:val="24"/>
              </w:rPr>
            </w:pPr>
            <w:r w:rsidRPr="00792B36">
              <w:rPr>
                <w:color w:val="000000"/>
                <w:sz w:val="24"/>
                <w:szCs w:val="24"/>
              </w:rPr>
              <w:t>Samut Sakhon</w:t>
            </w:r>
          </w:p>
        </w:tc>
        <w:tc>
          <w:tcPr>
            <w:tcW w:w="3117" w:type="dxa"/>
            <w:vAlign w:val="center"/>
          </w:tcPr>
          <w:p w14:paraId="4417C240" w14:textId="77777777" w:rsidR="009A0A63" w:rsidRPr="00792B36" w:rsidRDefault="009A0A63" w:rsidP="00A24459">
            <w:pPr>
              <w:jc w:val="center"/>
              <w:rPr>
                <w:sz w:val="24"/>
                <w:szCs w:val="24"/>
              </w:rPr>
            </w:pPr>
            <w:r w:rsidRPr="00792B36">
              <w:rPr>
                <w:color w:val="000000"/>
                <w:sz w:val="24"/>
                <w:szCs w:val="24"/>
              </w:rPr>
              <w:t>872.3</w:t>
            </w:r>
          </w:p>
        </w:tc>
        <w:tc>
          <w:tcPr>
            <w:tcW w:w="3117" w:type="dxa"/>
            <w:vAlign w:val="center"/>
          </w:tcPr>
          <w:p w14:paraId="5E83F700" w14:textId="77777777" w:rsidR="009A0A63" w:rsidRPr="00792B36" w:rsidRDefault="009A0A63" w:rsidP="00A24459">
            <w:pPr>
              <w:jc w:val="center"/>
              <w:rPr>
                <w:sz w:val="24"/>
                <w:szCs w:val="24"/>
              </w:rPr>
            </w:pPr>
            <w:r w:rsidRPr="00792B36">
              <w:rPr>
                <w:color w:val="000000"/>
                <w:sz w:val="24"/>
                <w:szCs w:val="24"/>
              </w:rPr>
              <w:t>0.17</w:t>
            </w:r>
          </w:p>
        </w:tc>
      </w:tr>
      <w:tr w:rsidR="009A0A63" w:rsidRPr="00792B36" w14:paraId="56470B6C" w14:textId="77777777" w:rsidTr="00A24459">
        <w:trPr>
          <w:trHeight w:val="340"/>
        </w:trPr>
        <w:tc>
          <w:tcPr>
            <w:tcW w:w="3116" w:type="dxa"/>
            <w:vAlign w:val="center"/>
          </w:tcPr>
          <w:p w14:paraId="46DCE18C" w14:textId="77777777" w:rsidR="009A0A63" w:rsidRPr="00792B36" w:rsidRDefault="009A0A63" w:rsidP="00A24459">
            <w:pPr>
              <w:rPr>
                <w:sz w:val="24"/>
                <w:szCs w:val="24"/>
              </w:rPr>
            </w:pPr>
            <w:r w:rsidRPr="00792B36">
              <w:rPr>
                <w:color w:val="000000"/>
                <w:sz w:val="24"/>
                <w:szCs w:val="24"/>
              </w:rPr>
              <w:t>Samut Songkhram</w:t>
            </w:r>
          </w:p>
        </w:tc>
        <w:tc>
          <w:tcPr>
            <w:tcW w:w="3117" w:type="dxa"/>
            <w:vAlign w:val="center"/>
          </w:tcPr>
          <w:p w14:paraId="22C59B4B" w14:textId="77777777" w:rsidR="009A0A63" w:rsidRPr="00792B36" w:rsidRDefault="009A0A63" w:rsidP="00A24459">
            <w:pPr>
              <w:jc w:val="center"/>
              <w:rPr>
                <w:sz w:val="24"/>
                <w:szCs w:val="24"/>
              </w:rPr>
            </w:pPr>
            <w:r w:rsidRPr="00792B36">
              <w:rPr>
                <w:color w:val="000000"/>
                <w:sz w:val="24"/>
                <w:szCs w:val="24"/>
              </w:rPr>
              <w:t>416.7</w:t>
            </w:r>
          </w:p>
        </w:tc>
        <w:tc>
          <w:tcPr>
            <w:tcW w:w="3117" w:type="dxa"/>
            <w:vAlign w:val="center"/>
          </w:tcPr>
          <w:p w14:paraId="11E34126" w14:textId="77777777" w:rsidR="009A0A63" w:rsidRPr="00792B36" w:rsidRDefault="009A0A63" w:rsidP="00A24459">
            <w:pPr>
              <w:jc w:val="center"/>
              <w:rPr>
                <w:sz w:val="24"/>
                <w:szCs w:val="24"/>
              </w:rPr>
            </w:pPr>
            <w:r w:rsidRPr="00792B36">
              <w:rPr>
                <w:color w:val="000000"/>
                <w:sz w:val="24"/>
                <w:szCs w:val="24"/>
              </w:rPr>
              <w:t>0.08</w:t>
            </w:r>
          </w:p>
        </w:tc>
      </w:tr>
      <w:tr w:rsidR="009A0A63" w:rsidRPr="00792B36" w14:paraId="77E1A65D" w14:textId="77777777" w:rsidTr="00A24459">
        <w:trPr>
          <w:trHeight w:val="340"/>
        </w:trPr>
        <w:tc>
          <w:tcPr>
            <w:tcW w:w="3116" w:type="dxa"/>
            <w:vAlign w:val="center"/>
          </w:tcPr>
          <w:p w14:paraId="7E8E060C" w14:textId="77777777" w:rsidR="009A0A63" w:rsidRPr="00792B36" w:rsidRDefault="009A0A63" w:rsidP="00A24459">
            <w:pPr>
              <w:rPr>
                <w:sz w:val="24"/>
                <w:szCs w:val="24"/>
              </w:rPr>
            </w:pPr>
            <w:r w:rsidRPr="00792B36">
              <w:rPr>
                <w:color w:val="000000"/>
                <w:sz w:val="24"/>
                <w:szCs w:val="24"/>
              </w:rPr>
              <w:t>Phetchaburi</w:t>
            </w:r>
          </w:p>
        </w:tc>
        <w:tc>
          <w:tcPr>
            <w:tcW w:w="3117" w:type="dxa"/>
            <w:vAlign w:val="center"/>
          </w:tcPr>
          <w:p w14:paraId="298AF611" w14:textId="77777777" w:rsidR="009A0A63" w:rsidRPr="00792B36" w:rsidRDefault="009A0A63" w:rsidP="00A24459">
            <w:pPr>
              <w:jc w:val="center"/>
              <w:rPr>
                <w:sz w:val="24"/>
                <w:szCs w:val="24"/>
              </w:rPr>
            </w:pPr>
            <w:r w:rsidRPr="00792B36">
              <w:rPr>
                <w:color w:val="000000"/>
                <w:sz w:val="24"/>
                <w:szCs w:val="24"/>
              </w:rPr>
              <w:t>6,225.1</w:t>
            </w:r>
          </w:p>
        </w:tc>
        <w:tc>
          <w:tcPr>
            <w:tcW w:w="3117" w:type="dxa"/>
            <w:vAlign w:val="center"/>
          </w:tcPr>
          <w:p w14:paraId="530EBFD1" w14:textId="77777777" w:rsidR="009A0A63" w:rsidRPr="00792B36" w:rsidRDefault="009A0A63" w:rsidP="00A24459">
            <w:pPr>
              <w:jc w:val="center"/>
              <w:rPr>
                <w:sz w:val="24"/>
                <w:szCs w:val="24"/>
              </w:rPr>
            </w:pPr>
            <w:r w:rsidRPr="00792B36">
              <w:rPr>
                <w:color w:val="000000"/>
                <w:sz w:val="24"/>
                <w:szCs w:val="24"/>
              </w:rPr>
              <w:t>1.21</w:t>
            </w:r>
          </w:p>
        </w:tc>
      </w:tr>
      <w:tr w:rsidR="009A0A63" w:rsidRPr="00792B36" w14:paraId="709A23D6" w14:textId="77777777" w:rsidTr="00A24459">
        <w:trPr>
          <w:trHeight w:val="340"/>
        </w:trPr>
        <w:tc>
          <w:tcPr>
            <w:tcW w:w="3116" w:type="dxa"/>
            <w:vAlign w:val="center"/>
          </w:tcPr>
          <w:p w14:paraId="26B83E24" w14:textId="77777777" w:rsidR="009A0A63" w:rsidRPr="00792B36" w:rsidRDefault="009A0A63" w:rsidP="00A24459">
            <w:pPr>
              <w:rPr>
                <w:sz w:val="24"/>
                <w:szCs w:val="24"/>
              </w:rPr>
            </w:pPr>
            <w:r w:rsidRPr="00792B36">
              <w:rPr>
                <w:color w:val="000000"/>
                <w:sz w:val="24"/>
                <w:szCs w:val="24"/>
              </w:rPr>
              <w:t>Prachuap Khiri Khan</w:t>
            </w:r>
          </w:p>
        </w:tc>
        <w:tc>
          <w:tcPr>
            <w:tcW w:w="3117" w:type="dxa"/>
            <w:vAlign w:val="center"/>
          </w:tcPr>
          <w:p w14:paraId="0534A467" w14:textId="77777777" w:rsidR="009A0A63" w:rsidRPr="00792B36" w:rsidRDefault="009A0A63" w:rsidP="00A24459">
            <w:pPr>
              <w:jc w:val="center"/>
              <w:rPr>
                <w:sz w:val="24"/>
                <w:szCs w:val="24"/>
              </w:rPr>
            </w:pPr>
            <w:r w:rsidRPr="00792B36">
              <w:rPr>
                <w:color w:val="000000"/>
                <w:sz w:val="24"/>
                <w:szCs w:val="24"/>
              </w:rPr>
              <w:t>6,367.6</w:t>
            </w:r>
          </w:p>
        </w:tc>
        <w:tc>
          <w:tcPr>
            <w:tcW w:w="3117" w:type="dxa"/>
            <w:vAlign w:val="center"/>
          </w:tcPr>
          <w:p w14:paraId="4F93B52B" w14:textId="77777777" w:rsidR="009A0A63" w:rsidRPr="00792B36" w:rsidRDefault="009A0A63" w:rsidP="00A24459">
            <w:pPr>
              <w:jc w:val="center"/>
              <w:rPr>
                <w:sz w:val="24"/>
                <w:szCs w:val="24"/>
              </w:rPr>
            </w:pPr>
            <w:r w:rsidRPr="00792B36">
              <w:rPr>
                <w:color w:val="000000"/>
                <w:sz w:val="24"/>
                <w:szCs w:val="24"/>
              </w:rPr>
              <w:t>1.24</w:t>
            </w:r>
          </w:p>
        </w:tc>
      </w:tr>
      <w:tr w:rsidR="009A0A63" w:rsidRPr="00792B36" w14:paraId="76E27028" w14:textId="77777777" w:rsidTr="00A24459">
        <w:trPr>
          <w:trHeight w:val="340"/>
        </w:trPr>
        <w:tc>
          <w:tcPr>
            <w:tcW w:w="3116" w:type="dxa"/>
            <w:vAlign w:val="center"/>
          </w:tcPr>
          <w:p w14:paraId="645DB430" w14:textId="77777777" w:rsidR="009A0A63" w:rsidRPr="00792B36" w:rsidRDefault="009A0A63" w:rsidP="00A24459">
            <w:pPr>
              <w:rPr>
                <w:sz w:val="24"/>
                <w:szCs w:val="24"/>
              </w:rPr>
            </w:pPr>
            <w:r w:rsidRPr="00792B36">
              <w:rPr>
                <w:color w:val="000000"/>
                <w:sz w:val="24"/>
                <w:szCs w:val="24"/>
              </w:rPr>
              <w:t>Nakhon Si Thammarat</w:t>
            </w:r>
          </w:p>
        </w:tc>
        <w:tc>
          <w:tcPr>
            <w:tcW w:w="3117" w:type="dxa"/>
            <w:vAlign w:val="center"/>
          </w:tcPr>
          <w:p w14:paraId="79D68168" w14:textId="77777777" w:rsidR="009A0A63" w:rsidRPr="00792B36" w:rsidRDefault="009A0A63" w:rsidP="00A24459">
            <w:pPr>
              <w:jc w:val="center"/>
              <w:rPr>
                <w:sz w:val="24"/>
                <w:szCs w:val="24"/>
              </w:rPr>
            </w:pPr>
            <w:r w:rsidRPr="00792B36">
              <w:rPr>
                <w:color w:val="000000"/>
                <w:sz w:val="24"/>
                <w:szCs w:val="24"/>
              </w:rPr>
              <w:t>9,942.5</w:t>
            </w:r>
          </w:p>
        </w:tc>
        <w:tc>
          <w:tcPr>
            <w:tcW w:w="3117" w:type="dxa"/>
            <w:vAlign w:val="center"/>
          </w:tcPr>
          <w:p w14:paraId="352F692B" w14:textId="77777777" w:rsidR="009A0A63" w:rsidRPr="00792B36" w:rsidRDefault="009A0A63" w:rsidP="00A24459">
            <w:pPr>
              <w:jc w:val="center"/>
              <w:rPr>
                <w:sz w:val="24"/>
                <w:szCs w:val="24"/>
              </w:rPr>
            </w:pPr>
            <w:r w:rsidRPr="00792B36">
              <w:rPr>
                <w:color w:val="000000"/>
                <w:sz w:val="24"/>
                <w:szCs w:val="24"/>
              </w:rPr>
              <w:t>1.94</w:t>
            </w:r>
          </w:p>
        </w:tc>
      </w:tr>
      <w:tr w:rsidR="009A0A63" w:rsidRPr="00792B36" w14:paraId="09AE3B90" w14:textId="77777777" w:rsidTr="00A24459">
        <w:trPr>
          <w:trHeight w:val="340"/>
        </w:trPr>
        <w:tc>
          <w:tcPr>
            <w:tcW w:w="3116" w:type="dxa"/>
            <w:vAlign w:val="center"/>
          </w:tcPr>
          <w:p w14:paraId="67F5B10E" w14:textId="77777777" w:rsidR="009A0A63" w:rsidRPr="00792B36" w:rsidRDefault="009A0A63" w:rsidP="00A24459">
            <w:pPr>
              <w:rPr>
                <w:sz w:val="24"/>
                <w:szCs w:val="24"/>
              </w:rPr>
            </w:pPr>
            <w:r w:rsidRPr="00792B36">
              <w:rPr>
                <w:color w:val="000000"/>
                <w:sz w:val="24"/>
                <w:szCs w:val="24"/>
              </w:rPr>
              <w:t>Surat-Thani</w:t>
            </w:r>
          </w:p>
        </w:tc>
        <w:tc>
          <w:tcPr>
            <w:tcW w:w="3117" w:type="dxa"/>
            <w:vAlign w:val="center"/>
          </w:tcPr>
          <w:p w14:paraId="57964FF5" w14:textId="77777777" w:rsidR="009A0A63" w:rsidRPr="00792B36" w:rsidRDefault="009A0A63" w:rsidP="00A24459">
            <w:pPr>
              <w:jc w:val="center"/>
              <w:rPr>
                <w:sz w:val="24"/>
                <w:szCs w:val="24"/>
              </w:rPr>
            </w:pPr>
            <w:r w:rsidRPr="00792B36">
              <w:rPr>
                <w:color w:val="000000"/>
                <w:sz w:val="24"/>
                <w:szCs w:val="24"/>
              </w:rPr>
              <w:t>12,891.5</w:t>
            </w:r>
          </w:p>
        </w:tc>
        <w:tc>
          <w:tcPr>
            <w:tcW w:w="3117" w:type="dxa"/>
            <w:vAlign w:val="center"/>
          </w:tcPr>
          <w:p w14:paraId="3C865D18" w14:textId="77777777" w:rsidR="009A0A63" w:rsidRPr="00792B36" w:rsidRDefault="009A0A63" w:rsidP="00A24459">
            <w:pPr>
              <w:jc w:val="center"/>
              <w:rPr>
                <w:sz w:val="24"/>
                <w:szCs w:val="24"/>
              </w:rPr>
            </w:pPr>
            <w:r w:rsidRPr="00792B36">
              <w:rPr>
                <w:color w:val="000000"/>
                <w:sz w:val="24"/>
                <w:szCs w:val="24"/>
              </w:rPr>
              <w:t>2.51</w:t>
            </w:r>
          </w:p>
        </w:tc>
      </w:tr>
      <w:tr w:rsidR="009A0A63" w:rsidRPr="00792B36" w14:paraId="42EC5751" w14:textId="77777777" w:rsidTr="00A24459">
        <w:trPr>
          <w:trHeight w:val="340"/>
        </w:trPr>
        <w:tc>
          <w:tcPr>
            <w:tcW w:w="3116" w:type="dxa"/>
            <w:vAlign w:val="center"/>
          </w:tcPr>
          <w:p w14:paraId="7C2FAE9E" w14:textId="77777777" w:rsidR="009A0A63" w:rsidRPr="00792B36" w:rsidRDefault="009A0A63" w:rsidP="00A24459">
            <w:pPr>
              <w:rPr>
                <w:sz w:val="24"/>
                <w:szCs w:val="24"/>
              </w:rPr>
            </w:pPr>
            <w:r w:rsidRPr="00792B36">
              <w:rPr>
                <w:color w:val="000000"/>
                <w:sz w:val="24"/>
                <w:szCs w:val="24"/>
              </w:rPr>
              <w:t>Chumphon</w:t>
            </w:r>
          </w:p>
        </w:tc>
        <w:tc>
          <w:tcPr>
            <w:tcW w:w="3117" w:type="dxa"/>
            <w:vAlign w:val="center"/>
          </w:tcPr>
          <w:p w14:paraId="4C4AE327" w14:textId="77777777" w:rsidR="009A0A63" w:rsidRPr="00792B36" w:rsidRDefault="009A0A63" w:rsidP="00A24459">
            <w:pPr>
              <w:jc w:val="center"/>
              <w:rPr>
                <w:sz w:val="24"/>
                <w:szCs w:val="24"/>
              </w:rPr>
            </w:pPr>
            <w:r w:rsidRPr="00792B36">
              <w:rPr>
                <w:color w:val="000000"/>
                <w:sz w:val="24"/>
                <w:szCs w:val="24"/>
              </w:rPr>
              <w:t>6,009.0</w:t>
            </w:r>
          </w:p>
        </w:tc>
        <w:tc>
          <w:tcPr>
            <w:tcW w:w="3117" w:type="dxa"/>
            <w:vAlign w:val="center"/>
          </w:tcPr>
          <w:p w14:paraId="6FF91D77" w14:textId="77777777" w:rsidR="009A0A63" w:rsidRPr="00792B36" w:rsidRDefault="009A0A63" w:rsidP="00A24459">
            <w:pPr>
              <w:jc w:val="center"/>
              <w:rPr>
                <w:sz w:val="24"/>
                <w:szCs w:val="24"/>
              </w:rPr>
            </w:pPr>
            <w:r w:rsidRPr="00792B36">
              <w:rPr>
                <w:color w:val="000000"/>
                <w:sz w:val="24"/>
                <w:szCs w:val="24"/>
              </w:rPr>
              <w:t>1.17</w:t>
            </w:r>
          </w:p>
        </w:tc>
      </w:tr>
      <w:tr w:rsidR="009A0A63" w:rsidRPr="00792B36" w14:paraId="54FC2443" w14:textId="77777777" w:rsidTr="00A24459">
        <w:trPr>
          <w:trHeight w:val="340"/>
        </w:trPr>
        <w:tc>
          <w:tcPr>
            <w:tcW w:w="3116" w:type="dxa"/>
            <w:vAlign w:val="center"/>
          </w:tcPr>
          <w:p w14:paraId="7FDE8647" w14:textId="77777777" w:rsidR="009A0A63" w:rsidRPr="00792B36" w:rsidRDefault="009A0A63" w:rsidP="00A24459">
            <w:pPr>
              <w:rPr>
                <w:sz w:val="24"/>
                <w:szCs w:val="24"/>
              </w:rPr>
            </w:pPr>
            <w:r w:rsidRPr="00792B36">
              <w:rPr>
                <w:color w:val="000000"/>
                <w:sz w:val="24"/>
                <w:szCs w:val="24"/>
              </w:rPr>
              <w:t>Songkhla</w:t>
            </w:r>
          </w:p>
        </w:tc>
        <w:tc>
          <w:tcPr>
            <w:tcW w:w="3117" w:type="dxa"/>
            <w:vAlign w:val="center"/>
          </w:tcPr>
          <w:p w14:paraId="16D2596A" w14:textId="77777777" w:rsidR="009A0A63" w:rsidRPr="00792B36" w:rsidRDefault="009A0A63" w:rsidP="00A24459">
            <w:pPr>
              <w:jc w:val="center"/>
              <w:rPr>
                <w:sz w:val="24"/>
                <w:szCs w:val="24"/>
              </w:rPr>
            </w:pPr>
            <w:r w:rsidRPr="00792B36">
              <w:rPr>
                <w:color w:val="000000"/>
                <w:sz w:val="24"/>
                <w:szCs w:val="24"/>
              </w:rPr>
              <w:t>7,393.9</w:t>
            </w:r>
          </w:p>
        </w:tc>
        <w:tc>
          <w:tcPr>
            <w:tcW w:w="3117" w:type="dxa"/>
            <w:vAlign w:val="center"/>
          </w:tcPr>
          <w:p w14:paraId="1EBD0882" w14:textId="77777777" w:rsidR="009A0A63" w:rsidRPr="00792B36" w:rsidRDefault="009A0A63" w:rsidP="00A24459">
            <w:pPr>
              <w:jc w:val="center"/>
              <w:rPr>
                <w:sz w:val="24"/>
                <w:szCs w:val="24"/>
              </w:rPr>
            </w:pPr>
            <w:r w:rsidRPr="00792B36">
              <w:rPr>
                <w:color w:val="000000"/>
                <w:sz w:val="24"/>
                <w:szCs w:val="24"/>
              </w:rPr>
              <w:t>1.44</w:t>
            </w:r>
          </w:p>
        </w:tc>
      </w:tr>
      <w:tr w:rsidR="009A0A63" w:rsidRPr="00792B36" w14:paraId="2F7D8971" w14:textId="77777777" w:rsidTr="00A24459">
        <w:trPr>
          <w:trHeight w:val="340"/>
        </w:trPr>
        <w:tc>
          <w:tcPr>
            <w:tcW w:w="3116" w:type="dxa"/>
            <w:vAlign w:val="center"/>
          </w:tcPr>
          <w:p w14:paraId="680811A7" w14:textId="77777777" w:rsidR="009A0A63" w:rsidRPr="00792B36" w:rsidRDefault="009A0A63" w:rsidP="00A24459">
            <w:pPr>
              <w:rPr>
                <w:sz w:val="24"/>
                <w:szCs w:val="24"/>
              </w:rPr>
            </w:pPr>
            <w:r w:rsidRPr="00792B36">
              <w:rPr>
                <w:color w:val="000000"/>
                <w:sz w:val="24"/>
                <w:szCs w:val="24"/>
              </w:rPr>
              <w:t>Pattani</w:t>
            </w:r>
          </w:p>
        </w:tc>
        <w:tc>
          <w:tcPr>
            <w:tcW w:w="3117" w:type="dxa"/>
            <w:vAlign w:val="center"/>
          </w:tcPr>
          <w:p w14:paraId="189A226A" w14:textId="77777777" w:rsidR="009A0A63" w:rsidRPr="00792B36" w:rsidRDefault="009A0A63" w:rsidP="00A24459">
            <w:pPr>
              <w:jc w:val="center"/>
              <w:rPr>
                <w:sz w:val="24"/>
                <w:szCs w:val="24"/>
              </w:rPr>
            </w:pPr>
            <w:r w:rsidRPr="00792B36">
              <w:rPr>
                <w:color w:val="000000"/>
                <w:sz w:val="24"/>
                <w:szCs w:val="24"/>
              </w:rPr>
              <w:t>1,940.4</w:t>
            </w:r>
          </w:p>
        </w:tc>
        <w:tc>
          <w:tcPr>
            <w:tcW w:w="3117" w:type="dxa"/>
            <w:vAlign w:val="center"/>
          </w:tcPr>
          <w:p w14:paraId="6C2701D0" w14:textId="77777777" w:rsidR="009A0A63" w:rsidRPr="00792B36" w:rsidRDefault="009A0A63" w:rsidP="00A24459">
            <w:pPr>
              <w:jc w:val="center"/>
              <w:rPr>
                <w:sz w:val="24"/>
                <w:szCs w:val="24"/>
              </w:rPr>
            </w:pPr>
            <w:r w:rsidRPr="00792B36">
              <w:rPr>
                <w:color w:val="000000"/>
                <w:sz w:val="24"/>
                <w:szCs w:val="24"/>
              </w:rPr>
              <w:t>0.38</w:t>
            </w:r>
          </w:p>
        </w:tc>
      </w:tr>
      <w:tr w:rsidR="009A0A63" w:rsidRPr="00792B36" w14:paraId="7DFF6508" w14:textId="77777777" w:rsidTr="00A24459">
        <w:trPr>
          <w:trHeight w:val="340"/>
        </w:trPr>
        <w:tc>
          <w:tcPr>
            <w:tcW w:w="3116" w:type="dxa"/>
            <w:vAlign w:val="center"/>
          </w:tcPr>
          <w:p w14:paraId="7E0E77B5" w14:textId="77777777" w:rsidR="009A0A63" w:rsidRPr="00792B36" w:rsidRDefault="009A0A63" w:rsidP="00A24459">
            <w:pPr>
              <w:rPr>
                <w:sz w:val="24"/>
                <w:szCs w:val="24"/>
              </w:rPr>
            </w:pPr>
            <w:r w:rsidRPr="00792B36">
              <w:rPr>
                <w:color w:val="000000"/>
                <w:sz w:val="24"/>
                <w:szCs w:val="24"/>
              </w:rPr>
              <w:t>Narathiwat</w:t>
            </w:r>
          </w:p>
        </w:tc>
        <w:tc>
          <w:tcPr>
            <w:tcW w:w="3117" w:type="dxa"/>
            <w:vAlign w:val="center"/>
          </w:tcPr>
          <w:p w14:paraId="0C135BC9" w14:textId="77777777" w:rsidR="009A0A63" w:rsidRPr="00792B36" w:rsidRDefault="009A0A63" w:rsidP="00A24459">
            <w:pPr>
              <w:jc w:val="center"/>
              <w:rPr>
                <w:sz w:val="24"/>
                <w:szCs w:val="24"/>
              </w:rPr>
            </w:pPr>
            <w:r w:rsidRPr="00792B36">
              <w:rPr>
                <w:color w:val="000000"/>
                <w:sz w:val="24"/>
                <w:szCs w:val="24"/>
              </w:rPr>
              <w:t>4,475.4</w:t>
            </w:r>
          </w:p>
        </w:tc>
        <w:tc>
          <w:tcPr>
            <w:tcW w:w="3117" w:type="dxa"/>
            <w:vAlign w:val="center"/>
          </w:tcPr>
          <w:p w14:paraId="5DB4D940" w14:textId="77777777" w:rsidR="009A0A63" w:rsidRPr="00792B36" w:rsidRDefault="009A0A63" w:rsidP="00A24459">
            <w:pPr>
              <w:jc w:val="center"/>
              <w:rPr>
                <w:sz w:val="24"/>
                <w:szCs w:val="24"/>
              </w:rPr>
            </w:pPr>
            <w:r w:rsidRPr="00792B36">
              <w:rPr>
                <w:color w:val="000000"/>
                <w:sz w:val="24"/>
                <w:szCs w:val="24"/>
              </w:rPr>
              <w:t>0.87</w:t>
            </w:r>
          </w:p>
        </w:tc>
      </w:tr>
      <w:tr w:rsidR="009A0A63" w:rsidRPr="00792B36" w14:paraId="4911A5C3" w14:textId="77777777" w:rsidTr="00A24459">
        <w:trPr>
          <w:trHeight w:val="340"/>
        </w:trPr>
        <w:tc>
          <w:tcPr>
            <w:tcW w:w="3116" w:type="dxa"/>
            <w:vAlign w:val="center"/>
          </w:tcPr>
          <w:p w14:paraId="49D3DC9E" w14:textId="77777777" w:rsidR="009A0A63" w:rsidRPr="00792B36" w:rsidRDefault="009A0A63" w:rsidP="00A24459">
            <w:pPr>
              <w:rPr>
                <w:sz w:val="24"/>
                <w:szCs w:val="24"/>
              </w:rPr>
            </w:pPr>
            <w:r w:rsidRPr="00792B36">
              <w:rPr>
                <w:color w:val="000000"/>
                <w:sz w:val="24"/>
                <w:szCs w:val="24"/>
              </w:rPr>
              <w:t>Bangkok</w:t>
            </w:r>
          </w:p>
        </w:tc>
        <w:tc>
          <w:tcPr>
            <w:tcW w:w="3117" w:type="dxa"/>
            <w:vAlign w:val="center"/>
          </w:tcPr>
          <w:p w14:paraId="5FC364DA" w14:textId="77777777" w:rsidR="009A0A63" w:rsidRPr="00792B36" w:rsidRDefault="009A0A63" w:rsidP="00A24459">
            <w:pPr>
              <w:jc w:val="center"/>
              <w:rPr>
                <w:sz w:val="24"/>
                <w:szCs w:val="24"/>
              </w:rPr>
            </w:pPr>
            <w:r w:rsidRPr="00792B36">
              <w:rPr>
                <w:color w:val="000000"/>
                <w:sz w:val="24"/>
                <w:szCs w:val="24"/>
              </w:rPr>
              <w:t>1,569</w:t>
            </w:r>
          </w:p>
        </w:tc>
        <w:tc>
          <w:tcPr>
            <w:tcW w:w="3117" w:type="dxa"/>
            <w:vAlign w:val="center"/>
          </w:tcPr>
          <w:p w14:paraId="6600D5A9" w14:textId="77777777" w:rsidR="009A0A63" w:rsidRPr="00792B36" w:rsidRDefault="009A0A63" w:rsidP="00A24459">
            <w:pPr>
              <w:jc w:val="center"/>
              <w:rPr>
                <w:sz w:val="24"/>
                <w:szCs w:val="24"/>
              </w:rPr>
            </w:pPr>
            <w:r w:rsidRPr="00792B36">
              <w:rPr>
                <w:color w:val="000000"/>
                <w:sz w:val="24"/>
                <w:szCs w:val="24"/>
              </w:rPr>
              <w:t>0.31</w:t>
            </w:r>
          </w:p>
        </w:tc>
      </w:tr>
    </w:tbl>
    <w:p w14:paraId="4510FCDC" w14:textId="77777777" w:rsidR="009A0A63" w:rsidRPr="00792B36" w:rsidRDefault="009A0A63" w:rsidP="009A0A63">
      <w:pPr>
        <w:spacing w:line="360" w:lineRule="auto"/>
        <w:rPr>
          <w:sz w:val="24"/>
          <w:szCs w:val="24"/>
        </w:rPr>
      </w:pPr>
      <w:r w:rsidRPr="00792B36">
        <w:rPr>
          <w:sz w:val="24"/>
          <w:szCs w:val="24"/>
        </w:rPr>
        <w:t>Source: Department of Provincial Administration. 2025. Official statistics registration systems. https://stat.bora.dopa.go.th/stat/statnew/statMenu/newStat/home.php (accessed 19 April 2025)</w:t>
      </w:r>
    </w:p>
    <w:p w14:paraId="37C167A7" w14:textId="77777777" w:rsidR="009A0A63" w:rsidRPr="00792B36" w:rsidRDefault="009A0A63" w:rsidP="009A0A63">
      <w:pPr>
        <w:spacing w:line="360" w:lineRule="auto"/>
        <w:rPr>
          <w:sz w:val="24"/>
          <w:szCs w:val="24"/>
        </w:rPr>
      </w:pPr>
    </w:p>
    <w:p w14:paraId="11B24272" w14:textId="77777777" w:rsidR="009A0A63" w:rsidRPr="00792B36" w:rsidRDefault="009A0A63" w:rsidP="009A0A63">
      <w:pPr>
        <w:spacing w:line="360" w:lineRule="auto"/>
        <w:rPr>
          <w:sz w:val="24"/>
          <w:szCs w:val="24"/>
        </w:rPr>
      </w:pPr>
    </w:p>
    <w:p w14:paraId="7EABBB8B" w14:textId="77777777" w:rsidR="009A0A63" w:rsidRPr="00792B36" w:rsidRDefault="009A0A63" w:rsidP="009A0A63">
      <w:pPr>
        <w:spacing w:line="360" w:lineRule="auto"/>
        <w:rPr>
          <w:sz w:val="24"/>
          <w:szCs w:val="24"/>
        </w:rPr>
      </w:pPr>
    </w:p>
    <w:p w14:paraId="1D46C32D" w14:textId="77777777" w:rsidR="009A0A63" w:rsidRPr="00792B36" w:rsidRDefault="009A0A63" w:rsidP="009A0A63">
      <w:pPr>
        <w:spacing w:line="360" w:lineRule="auto"/>
        <w:rPr>
          <w:sz w:val="24"/>
          <w:szCs w:val="24"/>
        </w:rPr>
      </w:pPr>
    </w:p>
    <w:p w14:paraId="3EBA5C9B" w14:textId="77777777" w:rsidR="009A0A63" w:rsidRPr="00792B36" w:rsidRDefault="009A0A63" w:rsidP="009A0A63">
      <w:pPr>
        <w:spacing w:line="360" w:lineRule="auto"/>
        <w:rPr>
          <w:sz w:val="24"/>
          <w:szCs w:val="24"/>
        </w:rPr>
      </w:pPr>
    </w:p>
    <w:p w14:paraId="0E7F762F" w14:textId="77777777" w:rsidR="009A0A63" w:rsidRPr="00792B36" w:rsidRDefault="009A0A63" w:rsidP="009A0A63">
      <w:pPr>
        <w:spacing w:line="360" w:lineRule="auto"/>
        <w:rPr>
          <w:sz w:val="24"/>
          <w:szCs w:val="24"/>
        </w:rPr>
      </w:pPr>
    </w:p>
    <w:p w14:paraId="4AE5B4AD" w14:textId="77777777" w:rsidR="009A0A63" w:rsidRPr="00792B36" w:rsidRDefault="009A0A63" w:rsidP="009A0A63">
      <w:pPr>
        <w:spacing w:line="360" w:lineRule="auto"/>
        <w:rPr>
          <w:sz w:val="24"/>
          <w:szCs w:val="24"/>
        </w:rPr>
      </w:pPr>
    </w:p>
    <w:p w14:paraId="69513540" w14:textId="77777777" w:rsidR="009A0A63" w:rsidRPr="00792B36" w:rsidRDefault="009A0A63" w:rsidP="009A0A63">
      <w:pPr>
        <w:spacing w:line="360" w:lineRule="auto"/>
        <w:rPr>
          <w:sz w:val="24"/>
          <w:szCs w:val="24"/>
        </w:rPr>
      </w:pPr>
    </w:p>
    <w:p w14:paraId="6B74C15F" w14:textId="77777777" w:rsidR="009A0A63" w:rsidRPr="00792B36" w:rsidRDefault="009A0A63" w:rsidP="009A0A63">
      <w:pPr>
        <w:spacing w:line="360" w:lineRule="auto"/>
        <w:rPr>
          <w:sz w:val="24"/>
          <w:szCs w:val="24"/>
        </w:rPr>
      </w:pPr>
    </w:p>
    <w:p w14:paraId="792B53A4" w14:textId="77777777" w:rsidR="009A0A63" w:rsidRPr="00792B36" w:rsidRDefault="009A0A63" w:rsidP="009A0A63">
      <w:pPr>
        <w:spacing w:line="360" w:lineRule="auto"/>
        <w:rPr>
          <w:sz w:val="24"/>
          <w:szCs w:val="24"/>
        </w:rPr>
      </w:pPr>
    </w:p>
    <w:p w14:paraId="0E34BDA2" w14:textId="77777777" w:rsidR="009A0A63" w:rsidRPr="00792B36" w:rsidRDefault="009A0A63" w:rsidP="009A0A63">
      <w:pPr>
        <w:spacing w:line="360" w:lineRule="auto"/>
        <w:rPr>
          <w:sz w:val="24"/>
          <w:szCs w:val="24"/>
        </w:rPr>
      </w:pPr>
    </w:p>
    <w:p w14:paraId="185B977E" w14:textId="77777777" w:rsidR="009A0A63" w:rsidRPr="00792B36" w:rsidRDefault="009A0A63" w:rsidP="009A0A63">
      <w:pPr>
        <w:spacing w:line="360" w:lineRule="auto"/>
        <w:rPr>
          <w:sz w:val="24"/>
          <w:szCs w:val="24"/>
        </w:rPr>
      </w:pPr>
    </w:p>
    <w:p w14:paraId="0CCF73A0" w14:textId="77777777" w:rsidR="009A0A63" w:rsidRPr="00792B36" w:rsidRDefault="009A0A63" w:rsidP="009A0A63">
      <w:pPr>
        <w:spacing w:line="360" w:lineRule="auto"/>
        <w:rPr>
          <w:sz w:val="24"/>
          <w:szCs w:val="24"/>
        </w:rPr>
      </w:pPr>
    </w:p>
    <w:p w14:paraId="0D93731B" w14:textId="77777777" w:rsidR="009A0A63" w:rsidRPr="00792B36" w:rsidRDefault="009A0A63" w:rsidP="009A0A63">
      <w:pPr>
        <w:spacing w:line="360" w:lineRule="auto"/>
        <w:rPr>
          <w:sz w:val="24"/>
          <w:szCs w:val="24"/>
        </w:rPr>
      </w:pPr>
    </w:p>
    <w:p w14:paraId="6CB38C34" w14:textId="77777777" w:rsidR="009A0A63" w:rsidRPr="00792B36" w:rsidRDefault="009A0A63" w:rsidP="009A0A63">
      <w:pPr>
        <w:spacing w:line="360" w:lineRule="auto"/>
        <w:rPr>
          <w:b/>
          <w:bCs/>
          <w:sz w:val="24"/>
          <w:szCs w:val="24"/>
          <w:cs/>
        </w:rPr>
      </w:pPr>
      <w:r w:rsidRPr="00792B36">
        <w:rPr>
          <w:b/>
          <w:bCs/>
          <w:sz w:val="24"/>
          <w:szCs w:val="24"/>
        </w:rPr>
        <w:t xml:space="preserve">Annex 2.3 </w:t>
      </w:r>
      <w:r w:rsidRPr="00792B36">
        <w:rPr>
          <w:sz w:val="24"/>
          <w:szCs w:val="24"/>
        </w:rPr>
        <w:t>Population and household number in Thailand’s coastal provinces along the Gulf of Thailand (2000, 2005, 2010, 2020)</w:t>
      </w:r>
    </w:p>
    <w:tbl>
      <w:tblPr>
        <w:tblStyle w:val="TableGrid"/>
        <w:tblW w:w="0" w:type="auto"/>
        <w:tblLook w:val="04A0" w:firstRow="1" w:lastRow="0" w:firstColumn="1" w:lastColumn="0" w:noHBand="0" w:noVBand="1"/>
      </w:tblPr>
      <w:tblGrid>
        <w:gridCol w:w="2546"/>
        <w:gridCol w:w="29"/>
        <w:gridCol w:w="18"/>
        <w:gridCol w:w="969"/>
        <w:gridCol w:w="33"/>
        <w:gridCol w:w="16"/>
        <w:gridCol w:w="1766"/>
        <w:gridCol w:w="13"/>
        <w:gridCol w:w="10"/>
        <w:gridCol w:w="1792"/>
        <w:gridCol w:w="1825"/>
      </w:tblGrid>
      <w:tr w:rsidR="009A0A63" w:rsidRPr="00792B36" w14:paraId="186B98F3" w14:textId="77777777" w:rsidTr="00A24459">
        <w:trPr>
          <w:trHeight w:val="340"/>
        </w:trPr>
        <w:tc>
          <w:tcPr>
            <w:tcW w:w="2596" w:type="dxa"/>
            <w:gridSpan w:val="3"/>
            <w:vAlign w:val="center"/>
          </w:tcPr>
          <w:p w14:paraId="3F1685FA" w14:textId="77777777" w:rsidR="009A0A63" w:rsidRPr="00792B36" w:rsidRDefault="009A0A63" w:rsidP="00A24459">
            <w:pPr>
              <w:jc w:val="center"/>
              <w:rPr>
                <w:sz w:val="24"/>
                <w:szCs w:val="24"/>
              </w:rPr>
            </w:pPr>
            <w:r w:rsidRPr="00792B36">
              <w:rPr>
                <w:b/>
                <w:bCs/>
                <w:color w:val="000000"/>
                <w:sz w:val="24"/>
                <w:szCs w:val="24"/>
              </w:rPr>
              <w:t>Provinces</w:t>
            </w:r>
          </w:p>
        </w:tc>
        <w:tc>
          <w:tcPr>
            <w:tcW w:w="1019" w:type="dxa"/>
            <w:gridSpan w:val="3"/>
            <w:vAlign w:val="center"/>
          </w:tcPr>
          <w:p w14:paraId="5E1E8EA0" w14:textId="77777777" w:rsidR="009A0A63" w:rsidRPr="00792B36" w:rsidRDefault="009A0A63" w:rsidP="00A24459">
            <w:pPr>
              <w:jc w:val="center"/>
              <w:rPr>
                <w:sz w:val="24"/>
                <w:szCs w:val="24"/>
              </w:rPr>
            </w:pPr>
            <w:r w:rsidRPr="00792B36">
              <w:rPr>
                <w:b/>
                <w:bCs/>
                <w:color w:val="000000"/>
                <w:sz w:val="24"/>
                <w:szCs w:val="24"/>
              </w:rPr>
              <w:t>Year</w:t>
            </w:r>
          </w:p>
        </w:tc>
        <w:tc>
          <w:tcPr>
            <w:tcW w:w="1790" w:type="dxa"/>
            <w:gridSpan w:val="3"/>
            <w:vAlign w:val="center"/>
          </w:tcPr>
          <w:p w14:paraId="555282EA" w14:textId="77777777" w:rsidR="009A0A63" w:rsidRPr="00792B36" w:rsidRDefault="009A0A63" w:rsidP="00A24459">
            <w:pPr>
              <w:jc w:val="center"/>
              <w:rPr>
                <w:sz w:val="24"/>
                <w:szCs w:val="24"/>
              </w:rPr>
            </w:pPr>
            <w:r w:rsidRPr="00792B36">
              <w:rPr>
                <w:b/>
                <w:bCs/>
                <w:color w:val="000000"/>
                <w:sz w:val="24"/>
                <w:szCs w:val="24"/>
              </w:rPr>
              <w:t>Male</w:t>
            </w:r>
          </w:p>
        </w:tc>
        <w:tc>
          <w:tcPr>
            <w:tcW w:w="1790" w:type="dxa"/>
            <w:vAlign w:val="center"/>
          </w:tcPr>
          <w:p w14:paraId="59752F56" w14:textId="77777777" w:rsidR="009A0A63" w:rsidRPr="00792B36" w:rsidRDefault="009A0A63" w:rsidP="00A24459">
            <w:pPr>
              <w:jc w:val="center"/>
              <w:rPr>
                <w:sz w:val="24"/>
                <w:szCs w:val="24"/>
              </w:rPr>
            </w:pPr>
            <w:r w:rsidRPr="00792B36">
              <w:rPr>
                <w:b/>
                <w:bCs/>
                <w:color w:val="000000"/>
                <w:sz w:val="24"/>
                <w:szCs w:val="24"/>
              </w:rPr>
              <w:t>Female</w:t>
            </w:r>
          </w:p>
        </w:tc>
        <w:tc>
          <w:tcPr>
            <w:tcW w:w="1822" w:type="dxa"/>
            <w:vAlign w:val="center"/>
          </w:tcPr>
          <w:p w14:paraId="7FA5D865" w14:textId="77777777" w:rsidR="009A0A63" w:rsidRPr="00792B36" w:rsidRDefault="009A0A63" w:rsidP="00A24459">
            <w:pPr>
              <w:jc w:val="center"/>
              <w:rPr>
                <w:sz w:val="24"/>
                <w:szCs w:val="24"/>
              </w:rPr>
            </w:pPr>
            <w:r w:rsidRPr="00792B36">
              <w:rPr>
                <w:b/>
                <w:bCs/>
                <w:color w:val="000000"/>
                <w:sz w:val="24"/>
                <w:szCs w:val="24"/>
              </w:rPr>
              <w:t>Household</w:t>
            </w:r>
          </w:p>
        </w:tc>
      </w:tr>
      <w:tr w:rsidR="009A0A63" w:rsidRPr="00792B36" w14:paraId="3972F793" w14:textId="77777777" w:rsidTr="00A24459">
        <w:trPr>
          <w:trHeight w:val="340"/>
        </w:trPr>
        <w:tc>
          <w:tcPr>
            <w:tcW w:w="2596" w:type="dxa"/>
            <w:gridSpan w:val="3"/>
            <w:vMerge w:val="restart"/>
            <w:vAlign w:val="center"/>
          </w:tcPr>
          <w:p w14:paraId="72D7584C" w14:textId="77777777" w:rsidR="009A0A63" w:rsidRPr="00792B36" w:rsidRDefault="009A0A63" w:rsidP="00A24459">
            <w:pPr>
              <w:rPr>
                <w:sz w:val="24"/>
                <w:szCs w:val="24"/>
              </w:rPr>
            </w:pPr>
            <w:r w:rsidRPr="00792B36">
              <w:rPr>
                <w:color w:val="000000"/>
                <w:sz w:val="24"/>
                <w:szCs w:val="24"/>
              </w:rPr>
              <w:t>Rayong</w:t>
            </w:r>
          </w:p>
        </w:tc>
        <w:tc>
          <w:tcPr>
            <w:tcW w:w="1019" w:type="dxa"/>
            <w:gridSpan w:val="3"/>
            <w:vAlign w:val="center"/>
          </w:tcPr>
          <w:p w14:paraId="4A635A63" w14:textId="77777777" w:rsidR="009A0A63" w:rsidRPr="00792B36" w:rsidRDefault="009A0A63" w:rsidP="00A24459">
            <w:pPr>
              <w:jc w:val="center"/>
              <w:rPr>
                <w:sz w:val="24"/>
                <w:szCs w:val="24"/>
              </w:rPr>
            </w:pPr>
            <w:r w:rsidRPr="00792B36">
              <w:rPr>
                <w:color w:val="000000"/>
                <w:sz w:val="24"/>
                <w:szCs w:val="24"/>
              </w:rPr>
              <w:t>2000</w:t>
            </w:r>
          </w:p>
        </w:tc>
        <w:tc>
          <w:tcPr>
            <w:tcW w:w="1790" w:type="dxa"/>
            <w:gridSpan w:val="3"/>
            <w:vAlign w:val="center"/>
          </w:tcPr>
          <w:p w14:paraId="608F6EB1" w14:textId="77777777" w:rsidR="009A0A63" w:rsidRPr="00792B36" w:rsidRDefault="009A0A63" w:rsidP="00A24459">
            <w:pPr>
              <w:jc w:val="center"/>
              <w:rPr>
                <w:sz w:val="24"/>
                <w:szCs w:val="24"/>
              </w:rPr>
            </w:pPr>
            <w:r w:rsidRPr="00792B36">
              <w:rPr>
                <w:color w:val="000000"/>
                <w:sz w:val="24"/>
                <w:szCs w:val="24"/>
              </w:rPr>
              <w:t>262,213</w:t>
            </w:r>
          </w:p>
        </w:tc>
        <w:tc>
          <w:tcPr>
            <w:tcW w:w="1790" w:type="dxa"/>
            <w:vAlign w:val="center"/>
          </w:tcPr>
          <w:p w14:paraId="79965743" w14:textId="77777777" w:rsidR="009A0A63" w:rsidRPr="00792B36" w:rsidRDefault="009A0A63" w:rsidP="00A24459">
            <w:pPr>
              <w:jc w:val="center"/>
              <w:rPr>
                <w:sz w:val="24"/>
                <w:szCs w:val="24"/>
              </w:rPr>
            </w:pPr>
            <w:r w:rsidRPr="00792B36">
              <w:rPr>
                <w:color w:val="000000"/>
                <w:sz w:val="24"/>
                <w:szCs w:val="24"/>
              </w:rPr>
              <w:t>261,305</w:t>
            </w:r>
          </w:p>
        </w:tc>
        <w:tc>
          <w:tcPr>
            <w:tcW w:w="1822" w:type="dxa"/>
            <w:vAlign w:val="center"/>
          </w:tcPr>
          <w:p w14:paraId="179E92D0" w14:textId="77777777" w:rsidR="009A0A63" w:rsidRPr="00792B36" w:rsidRDefault="009A0A63" w:rsidP="00A24459">
            <w:pPr>
              <w:jc w:val="center"/>
              <w:rPr>
                <w:sz w:val="24"/>
                <w:szCs w:val="24"/>
              </w:rPr>
            </w:pPr>
            <w:r w:rsidRPr="00792B36">
              <w:rPr>
                <w:color w:val="000000"/>
                <w:sz w:val="24"/>
                <w:szCs w:val="24"/>
              </w:rPr>
              <w:t>190,527</w:t>
            </w:r>
          </w:p>
        </w:tc>
      </w:tr>
      <w:tr w:rsidR="009A0A63" w:rsidRPr="00792B36" w14:paraId="754F882F" w14:textId="77777777" w:rsidTr="00A24459">
        <w:trPr>
          <w:trHeight w:val="340"/>
        </w:trPr>
        <w:tc>
          <w:tcPr>
            <w:tcW w:w="2596" w:type="dxa"/>
            <w:gridSpan w:val="3"/>
            <w:vMerge/>
            <w:vAlign w:val="center"/>
          </w:tcPr>
          <w:p w14:paraId="0A909D38" w14:textId="77777777" w:rsidR="009A0A63" w:rsidRPr="00792B36" w:rsidRDefault="009A0A63" w:rsidP="00A24459">
            <w:pPr>
              <w:rPr>
                <w:sz w:val="24"/>
                <w:szCs w:val="24"/>
              </w:rPr>
            </w:pPr>
          </w:p>
        </w:tc>
        <w:tc>
          <w:tcPr>
            <w:tcW w:w="1019" w:type="dxa"/>
            <w:gridSpan w:val="3"/>
            <w:vAlign w:val="center"/>
          </w:tcPr>
          <w:p w14:paraId="68EC2683" w14:textId="77777777" w:rsidR="009A0A63" w:rsidRPr="00792B36" w:rsidRDefault="009A0A63" w:rsidP="00A24459">
            <w:pPr>
              <w:jc w:val="center"/>
              <w:rPr>
                <w:sz w:val="24"/>
                <w:szCs w:val="24"/>
              </w:rPr>
            </w:pPr>
            <w:r w:rsidRPr="00792B36">
              <w:rPr>
                <w:color w:val="000000"/>
                <w:sz w:val="24"/>
                <w:szCs w:val="24"/>
              </w:rPr>
              <w:t>2005</w:t>
            </w:r>
          </w:p>
        </w:tc>
        <w:tc>
          <w:tcPr>
            <w:tcW w:w="1790" w:type="dxa"/>
            <w:gridSpan w:val="3"/>
            <w:vAlign w:val="center"/>
          </w:tcPr>
          <w:p w14:paraId="468E6022" w14:textId="77777777" w:rsidR="009A0A63" w:rsidRPr="00792B36" w:rsidRDefault="009A0A63" w:rsidP="00A24459">
            <w:pPr>
              <w:jc w:val="center"/>
              <w:rPr>
                <w:sz w:val="24"/>
                <w:szCs w:val="24"/>
              </w:rPr>
            </w:pPr>
            <w:r w:rsidRPr="00792B36">
              <w:rPr>
                <w:color w:val="000000"/>
                <w:sz w:val="24"/>
                <w:szCs w:val="24"/>
              </w:rPr>
              <w:t>276,917</w:t>
            </w:r>
          </w:p>
        </w:tc>
        <w:tc>
          <w:tcPr>
            <w:tcW w:w="1790" w:type="dxa"/>
            <w:vAlign w:val="center"/>
          </w:tcPr>
          <w:p w14:paraId="5F0ACB72" w14:textId="77777777" w:rsidR="009A0A63" w:rsidRPr="00792B36" w:rsidRDefault="009A0A63" w:rsidP="00A24459">
            <w:pPr>
              <w:jc w:val="center"/>
              <w:rPr>
                <w:sz w:val="24"/>
                <w:szCs w:val="24"/>
              </w:rPr>
            </w:pPr>
            <w:r w:rsidRPr="00792B36">
              <w:rPr>
                <w:color w:val="000000"/>
                <w:sz w:val="24"/>
                <w:szCs w:val="24"/>
              </w:rPr>
              <w:t>282,217</w:t>
            </w:r>
          </w:p>
        </w:tc>
        <w:tc>
          <w:tcPr>
            <w:tcW w:w="1822" w:type="dxa"/>
            <w:vAlign w:val="center"/>
          </w:tcPr>
          <w:p w14:paraId="3C2BBF1D" w14:textId="77777777" w:rsidR="009A0A63" w:rsidRPr="00792B36" w:rsidRDefault="009A0A63" w:rsidP="00A24459">
            <w:pPr>
              <w:jc w:val="center"/>
              <w:rPr>
                <w:sz w:val="24"/>
                <w:szCs w:val="24"/>
              </w:rPr>
            </w:pPr>
            <w:r w:rsidRPr="00792B36">
              <w:rPr>
                <w:color w:val="000000"/>
                <w:sz w:val="24"/>
                <w:szCs w:val="24"/>
              </w:rPr>
              <w:t>250,725</w:t>
            </w:r>
          </w:p>
        </w:tc>
      </w:tr>
      <w:tr w:rsidR="009A0A63" w:rsidRPr="00792B36" w14:paraId="46928370" w14:textId="77777777" w:rsidTr="00A24459">
        <w:trPr>
          <w:trHeight w:val="340"/>
        </w:trPr>
        <w:tc>
          <w:tcPr>
            <w:tcW w:w="2596" w:type="dxa"/>
            <w:gridSpan w:val="3"/>
            <w:vMerge/>
            <w:vAlign w:val="center"/>
          </w:tcPr>
          <w:p w14:paraId="07286C50" w14:textId="77777777" w:rsidR="009A0A63" w:rsidRPr="00792B36" w:rsidRDefault="009A0A63" w:rsidP="00A24459">
            <w:pPr>
              <w:rPr>
                <w:sz w:val="24"/>
                <w:szCs w:val="24"/>
              </w:rPr>
            </w:pPr>
          </w:p>
        </w:tc>
        <w:tc>
          <w:tcPr>
            <w:tcW w:w="1019" w:type="dxa"/>
            <w:gridSpan w:val="3"/>
            <w:vAlign w:val="center"/>
          </w:tcPr>
          <w:p w14:paraId="34CFE87E" w14:textId="77777777" w:rsidR="009A0A63" w:rsidRPr="00792B36" w:rsidRDefault="009A0A63" w:rsidP="00A24459">
            <w:pPr>
              <w:jc w:val="center"/>
              <w:rPr>
                <w:sz w:val="24"/>
                <w:szCs w:val="24"/>
              </w:rPr>
            </w:pPr>
            <w:r w:rsidRPr="00792B36">
              <w:rPr>
                <w:color w:val="000000"/>
                <w:sz w:val="24"/>
                <w:szCs w:val="24"/>
              </w:rPr>
              <w:t>2010</w:t>
            </w:r>
          </w:p>
        </w:tc>
        <w:tc>
          <w:tcPr>
            <w:tcW w:w="1790" w:type="dxa"/>
            <w:gridSpan w:val="3"/>
            <w:vAlign w:val="center"/>
          </w:tcPr>
          <w:p w14:paraId="271702CA" w14:textId="77777777" w:rsidR="009A0A63" w:rsidRPr="00792B36" w:rsidRDefault="009A0A63" w:rsidP="00A24459">
            <w:pPr>
              <w:jc w:val="center"/>
              <w:rPr>
                <w:sz w:val="24"/>
                <w:szCs w:val="24"/>
              </w:rPr>
            </w:pPr>
            <w:r w:rsidRPr="00792B36">
              <w:rPr>
                <w:color w:val="000000"/>
                <w:sz w:val="24"/>
                <w:szCs w:val="24"/>
              </w:rPr>
              <w:t>309,014</w:t>
            </w:r>
          </w:p>
        </w:tc>
        <w:tc>
          <w:tcPr>
            <w:tcW w:w="1790" w:type="dxa"/>
            <w:vAlign w:val="center"/>
          </w:tcPr>
          <w:p w14:paraId="38D2D121" w14:textId="77777777" w:rsidR="009A0A63" w:rsidRPr="00792B36" w:rsidRDefault="009A0A63" w:rsidP="00A24459">
            <w:pPr>
              <w:jc w:val="center"/>
              <w:rPr>
                <w:sz w:val="24"/>
                <w:szCs w:val="24"/>
              </w:rPr>
            </w:pPr>
            <w:r w:rsidRPr="00792B36">
              <w:rPr>
                <w:color w:val="000000"/>
                <w:sz w:val="24"/>
                <w:szCs w:val="24"/>
              </w:rPr>
              <w:t>317,388</w:t>
            </w:r>
          </w:p>
        </w:tc>
        <w:tc>
          <w:tcPr>
            <w:tcW w:w="1822" w:type="dxa"/>
            <w:vAlign w:val="center"/>
          </w:tcPr>
          <w:p w14:paraId="0AADBF5A" w14:textId="77777777" w:rsidR="009A0A63" w:rsidRPr="00792B36" w:rsidRDefault="009A0A63" w:rsidP="00A24459">
            <w:pPr>
              <w:jc w:val="center"/>
              <w:rPr>
                <w:sz w:val="24"/>
                <w:szCs w:val="24"/>
              </w:rPr>
            </w:pPr>
            <w:r w:rsidRPr="00792B36">
              <w:rPr>
                <w:color w:val="000000"/>
                <w:sz w:val="24"/>
                <w:szCs w:val="24"/>
              </w:rPr>
              <w:t>323,056</w:t>
            </w:r>
          </w:p>
        </w:tc>
      </w:tr>
      <w:tr w:rsidR="009A0A63" w:rsidRPr="00792B36" w14:paraId="39D9D74F" w14:textId="77777777" w:rsidTr="00A24459">
        <w:trPr>
          <w:trHeight w:val="340"/>
        </w:trPr>
        <w:tc>
          <w:tcPr>
            <w:tcW w:w="2596" w:type="dxa"/>
            <w:gridSpan w:val="3"/>
            <w:vMerge/>
            <w:vAlign w:val="center"/>
          </w:tcPr>
          <w:p w14:paraId="7DC92BD0" w14:textId="77777777" w:rsidR="009A0A63" w:rsidRPr="00792B36" w:rsidRDefault="009A0A63" w:rsidP="00A24459">
            <w:pPr>
              <w:rPr>
                <w:sz w:val="24"/>
                <w:szCs w:val="24"/>
              </w:rPr>
            </w:pPr>
          </w:p>
        </w:tc>
        <w:tc>
          <w:tcPr>
            <w:tcW w:w="1019" w:type="dxa"/>
            <w:gridSpan w:val="3"/>
            <w:vAlign w:val="center"/>
          </w:tcPr>
          <w:p w14:paraId="29A2B962" w14:textId="77777777" w:rsidR="009A0A63" w:rsidRPr="00792B36" w:rsidRDefault="009A0A63" w:rsidP="00A24459">
            <w:pPr>
              <w:jc w:val="center"/>
              <w:rPr>
                <w:sz w:val="24"/>
                <w:szCs w:val="24"/>
              </w:rPr>
            </w:pPr>
            <w:r w:rsidRPr="00792B36">
              <w:rPr>
                <w:color w:val="000000"/>
                <w:sz w:val="24"/>
                <w:szCs w:val="24"/>
              </w:rPr>
              <w:t>2020</w:t>
            </w:r>
          </w:p>
        </w:tc>
        <w:tc>
          <w:tcPr>
            <w:tcW w:w="1790" w:type="dxa"/>
            <w:gridSpan w:val="3"/>
            <w:vAlign w:val="center"/>
          </w:tcPr>
          <w:p w14:paraId="62AEB0F4" w14:textId="77777777" w:rsidR="009A0A63" w:rsidRPr="00792B36" w:rsidRDefault="009A0A63" w:rsidP="00A24459">
            <w:pPr>
              <w:jc w:val="center"/>
              <w:rPr>
                <w:sz w:val="24"/>
                <w:szCs w:val="24"/>
              </w:rPr>
            </w:pPr>
            <w:r w:rsidRPr="00792B36">
              <w:rPr>
                <w:color w:val="000000"/>
                <w:sz w:val="24"/>
                <w:szCs w:val="24"/>
              </w:rPr>
              <w:t>364,200</w:t>
            </w:r>
          </w:p>
        </w:tc>
        <w:tc>
          <w:tcPr>
            <w:tcW w:w="1790" w:type="dxa"/>
            <w:vAlign w:val="center"/>
          </w:tcPr>
          <w:p w14:paraId="62C75E00" w14:textId="77777777" w:rsidR="009A0A63" w:rsidRPr="00792B36" w:rsidRDefault="009A0A63" w:rsidP="00A24459">
            <w:pPr>
              <w:jc w:val="center"/>
              <w:rPr>
                <w:sz w:val="24"/>
                <w:szCs w:val="24"/>
              </w:rPr>
            </w:pPr>
            <w:r w:rsidRPr="00792B36">
              <w:rPr>
                <w:color w:val="000000"/>
                <w:sz w:val="24"/>
                <w:szCs w:val="24"/>
              </w:rPr>
              <w:t>377,324</w:t>
            </w:r>
          </w:p>
        </w:tc>
        <w:tc>
          <w:tcPr>
            <w:tcW w:w="1822" w:type="dxa"/>
            <w:vAlign w:val="center"/>
          </w:tcPr>
          <w:p w14:paraId="156E0C48" w14:textId="77777777" w:rsidR="009A0A63" w:rsidRPr="00792B36" w:rsidRDefault="009A0A63" w:rsidP="00A24459">
            <w:pPr>
              <w:jc w:val="center"/>
              <w:rPr>
                <w:sz w:val="24"/>
                <w:szCs w:val="24"/>
              </w:rPr>
            </w:pPr>
            <w:r w:rsidRPr="00792B36">
              <w:rPr>
                <w:color w:val="000000"/>
                <w:sz w:val="24"/>
                <w:szCs w:val="24"/>
              </w:rPr>
              <w:t>506,761</w:t>
            </w:r>
          </w:p>
        </w:tc>
      </w:tr>
      <w:tr w:rsidR="009A0A63" w:rsidRPr="00792B36" w14:paraId="1493A448" w14:textId="77777777" w:rsidTr="00A24459">
        <w:trPr>
          <w:trHeight w:val="340"/>
        </w:trPr>
        <w:tc>
          <w:tcPr>
            <w:tcW w:w="2596" w:type="dxa"/>
            <w:gridSpan w:val="3"/>
            <w:vMerge w:val="restart"/>
            <w:vAlign w:val="center"/>
          </w:tcPr>
          <w:p w14:paraId="7525D188" w14:textId="77777777" w:rsidR="009A0A63" w:rsidRPr="00792B36" w:rsidRDefault="009A0A63" w:rsidP="00A24459">
            <w:pPr>
              <w:rPr>
                <w:sz w:val="24"/>
                <w:szCs w:val="24"/>
              </w:rPr>
            </w:pPr>
            <w:r w:rsidRPr="00792B36">
              <w:rPr>
                <w:color w:val="000000"/>
                <w:sz w:val="24"/>
                <w:szCs w:val="24"/>
              </w:rPr>
              <w:t>Chanthaburi</w:t>
            </w:r>
          </w:p>
        </w:tc>
        <w:tc>
          <w:tcPr>
            <w:tcW w:w="1019" w:type="dxa"/>
            <w:gridSpan w:val="3"/>
            <w:vAlign w:val="center"/>
          </w:tcPr>
          <w:p w14:paraId="46E43475" w14:textId="77777777" w:rsidR="009A0A63" w:rsidRPr="00792B36" w:rsidRDefault="009A0A63" w:rsidP="00A24459">
            <w:pPr>
              <w:jc w:val="center"/>
              <w:rPr>
                <w:sz w:val="24"/>
                <w:szCs w:val="24"/>
              </w:rPr>
            </w:pPr>
            <w:r w:rsidRPr="00792B36">
              <w:rPr>
                <w:color w:val="000000"/>
                <w:sz w:val="24"/>
                <w:szCs w:val="24"/>
              </w:rPr>
              <w:t>2000</w:t>
            </w:r>
          </w:p>
        </w:tc>
        <w:tc>
          <w:tcPr>
            <w:tcW w:w="1790" w:type="dxa"/>
            <w:gridSpan w:val="3"/>
            <w:vAlign w:val="center"/>
          </w:tcPr>
          <w:p w14:paraId="3BBD557B" w14:textId="77777777" w:rsidR="009A0A63" w:rsidRPr="00792B36" w:rsidRDefault="009A0A63" w:rsidP="00A24459">
            <w:pPr>
              <w:jc w:val="center"/>
              <w:rPr>
                <w:sz w:val="24"/>
                <w:szCs w:val="24"/>
              </w:rPr>
            </w:pPr>
            <w:r w:rsidRPr="00792B36">
              <w:rPr>
                <w:color w:val="000000"/>
                <w:sz w:val="24"/>
                <w:szCs w:val="24"/>
              </w:rPr>
              <w:t>246,182</w:t>
            </w:r>
          </w:p>
        </w:tc>
        <w:tc>
          <w:tcPr>
            <w:tcW w:w="1790" w:type="dxa"/>
            <w:vAlign w:val="center"/>
          </w:tcPr>
          <w:p w14:paraId="69851584" w14:textId="77777777" w:rsidR="009A0A63" w:rsidRPr="00792B36" w:rsidRDefault="009A0A63" w:rsidP="00A24459">
            <w:pPr>
              <w:jc w:val="center"/>
              <w:rPr>
                <w:sz w:val="24"/>
                <w:szCs w:val="24"/>
              </w:rPr>
            </w:pPr>
            <w:r w:rsidRPr="00792B36">
              <w:rPr>
                <w:color w:val="000000"/>
                <w:sz w:val="24"/>
                <w:szCs w:val="24"/>
              </w:rPr>
              <w:t>247,252</w:t>
            </w:r>
          </w:p>
        </w:tc>
        <w:tc>
          <w:tcPr>
            <w:tcW w:w="1822" w:type="dxa"/>
            <w:vAlign w:val="center"/>
          </w:tcPr>
          <w:p w14:paraId="31974DE2" w14:textId="77777777" w:rsidR="009A0A63" w:rsidRPr="00792B36" w:rsidRDefault="009A0A63" w:rsidP="00A24459">
            <w:pPr>
              <w:jc w:val="center"/>
              <w:rPr>
                <w:sz w:val="24"/>
                <w:szCs w:val="24"/>
              </w:rPr>
            </w:pPr>
            <w:r w:rsidRPr="00792B36">
              <w:rPr>
                <w:color w:val="000000"/>
                <w:sz w:val="24"/>
                <w:szCs w:val="24"/>
              </w:rPr>
              <w:t>149,732</w:t>
            </w:r>
          </w:p>
        </w:tc>
      </w:tr>
      <w:tr w:rsidR="009A0A63" w:rsidRPr="00792B36" w14:paraId="54CBAF91" w14:textId="77777777" w:rsidTr="00A24459">
        <w:trPr>
          <w:trHeight w:val="340"/>
        </w:trPr>
        <w:tc>
          <w:tcPr>
            <w:tcW w:w="2596" w:type="dxa"/>
            <w:gridSpan w:val="3"/>
            <w:vMerge/>
            <w:vAlign w:val="center"/>
          </w:tcPr>
          <w:p w14:paraId="7F121513" w14:textId="77777777" w:rsidR="009A0A63" w:rsidRPr="00792B36" w:rsidRDefault="009A0A63" w:rsidP="00A24459">
            <w:pPr>
              <w:rPr>
                <w:sz w:val="24"/>
                <w:szCs w:val="24"/>
              </w:rPr>
            </w:pPr>
          </w:p>
        </w:tc>
        <w:tc>
          <w:tcPr>
            <w:tcW w:w="1019" w:type="dxa"/>
            <w:gridSpan w:val="3"/>
            <w:vAlign w:val="center"/>
          </w:tcPr>
          <w:p w14:paraId="73BF7F92" w14:textId="77777777" w:rsidR="009A0A63" w:rsidRPr="00792B36" w:rsidRDefault="009A0A63" w:rsidP="00A24459">
            <w:pPr>
              <w:jc w:val="center"/>
              <w:rPr>
                <w:sz w:val="24"/>
                <w:szCs w:val="24"/>
              </w:rPr>
            </w:pPr>
            <w:r w:rsidRPr="00792B36">
              <w:rPr>
                <w:color w:val="000000"/>
                <w:sz w:val="24"/>
                <w:szCs w:val="24"/>
              </w:rPr>
              <w:t>2005</w:t>
            </w:r>
          </w:p>
        </w:tc>
        <w:tc>
          <w:tcPr>
            <w:tcW w:w="1790" w:type="dxa"/>
            <w:gridSpan w:val="3"/>
            <w:vAlign w:val="center"/>
          </w:tcPr>
          <w:p w14:paraId="148E060B" w14:textId="77777777" w:rsidR="009A0A63" w:rsidRPr="00792B36" w:rsidRDefault="009A0A63" w:rsidP="00A24459">
            <w:pPr>
              <w:jc w:val="center"/>
              <w:rPr>
                <w:sz w:val="24"/>
                <w:szCs w:val="24"/>
              </w:rPr>
            </w:pPr>
            <w:r w:rsidRPr="00792B36">
              <w:rPr>
                <w:color w:val="000000"/>
                <w:sz w:val="24"/>
                <w:szCs w:val="24"/>
              </w:rPr>
              <w:t>246,468</w:t>
            </w:r>
          </w:p>
        </w:tc>
        <w:tc>
          <w:tcPr>
            <w:tcW w:w="1790" w:type="dxa"/>
            <w:vAlign w:val="center"/>
          </w:tcPr>
          <w:p w14:paraId="278A8D2B" w14:textId="77777777" w:rsidR="009A0A63" w:rsidRPr="00792B36" w:rsidRDefault="009A0A63" w:rsidP="00A24459">
            <w:pPr>
              <w:jc w:val="center"/>
              <w:rPr>
                <w:sz w:val="24"/>
                <w:szCs w:val="24"/>
              </w:rPr>
            </w:pPr>
            <w:r w:rsidRPr="00792B36">
              <w:rPr>
                <w:color w:val="000000"/>
                <w:sz w:val="24"/>
                <w:szCs w:val="24"/>
              </w:rPr>
              <w:t>251,691</w:t>
            </w:r>
          </w:p>
        </w:tc>
        <w:tc>
          <w:tcPr>
            <w:tcW w:w="1822" w:type="dxa"/>
            <w:vAlign w:val="center"/>
          </w:tcPr>
          <w:p w14:paraId="095674CE" w14:textId="77777777" w:rsidR="009A0A63" w:rsidRPr="00792B36" w:rsidRDefault="009A0A63" w:rsidP="00A24459">
            <w:pPr>
              <w:jc w:val="center"/>
              <w:rPr>
                <w:sz w:val="24"/>
                <w:szCs w:val="24"/>
              </w:rPr>
            </w:pPr>
            <w:r w:rsidRPr="00792B36">
              <w:rPr>
                <w:color w:val="000000"/>
                <w:sz w:val="24"/>
                <w:szCs w:val="24"/>
              </w:rPr>
              <w:t>174,933</w:t>
            </w:r>
          </w:p>
        </w:tc>
      </w:tr>
      <w:tr w:rsidR="009A0A63" w:rsidRPr="00792B36" w14:paraId="2A20281B" w14:textId="77777777" w:rsidTr="00A24459">
        <w:trPr>
          <w:trHeight w:val="340"/>
        </w:trPr>
        <w:tc>
          <w:tcPr>
            <w:tcW w:w="2596" w:type="dxa"/>
            <w:gridSpan w:val="3"/>
            <w:vMerge/>
            <w:vAlign w:val="center"/>
          </w:tcPr>
          <w:p w14:paraId="251B3860" w14:textId="77777777" w:rsidR="009A0A63" w:rsidRPr="00792B36" w:rsidRDefault="009A0A63" w:rsidP="00A24459">
            <w:pPr>
              <w:rPr>
                <w:sz w:val="24"/>
                <w:szCs w:val="24"/>
              </w:rPr>
            </w:pPr>
          </w:p>
        </w:tc>
        <w:tc>
          <w:tcPr>
            <w:tcW w:w="1019" w:type="dxa"/>
            <w:gridSpan w:val="3"/>
            <w:vAlign w:val="center"/>
          </w:tcPr>
          <w:p w14:paraId="204E8787" w14:textId="77777777" w:rsidR="009A0A63" w:rsidRPr="00792B36" w:rsidRDefault="009A0A63" w:rsidP="00A24459">
            <w:pPr>
              <w:jc w:val="center"/>
              <w:rPr>
                <w:sz w:val="24"/>
                <w:szCs w:val="24"/>
              </w:rPr>
            </w:pPr>
            <w:r w:rsidRPr="00792B36">
              <w:rPr>
                <w:color w:val="000000"/>
                <w:sz w:val="24"/>
                <w:szCs w:val="24"/>
              </w:rPr>
              <w:t>2010</w:t>
            </w:r>
          </w:p>
        </w:tc>
        <w:tc>
          <w:tcPr>
            <w:tcW w:w="1790" w:type="dxa"/>
            <w:gridSpan w:val="3"/>
            <w:vAlign w:val="center"/>
          </w:tcPr>
          <w:p w14:paraId="7FB218E9" w14:textId="77777777" w:rsidR="009A0A63" w:rsidRPr="00792B36" w:rsidRDefault="009A0A63" w:rsidP="00A24459">
            <w:pPr>
              <w:jc w:val="center"/>
              <w:rPr>
                <w:sz w:val="24"/>
                <w:szCs w:val="24"/>
              </w:rPr>
            </w:pPr>
            <w:r w:rsidRPr="00792B36">
              <w:rPr>
                <w:color w:val="000000"/>
                <w:sz w:val="24"/>
                <w:szCs w:val="24"/>
              </w:rPr>
              <w:t>253,618</w:t>
            </w:r>
          </w:p>
        </w:tc>
        <w:tc>
          <w:tcPr>
            <w:tcW w:w="1790" w:type="dxa"/>
            <w:vAlign w:val="center"/>
          </w:tcPr>
          <w:p w14:paraId="6E729ECC" w14:textId="77777777" w:rsidR="009A0A63" w:rsidRPr="00792B36" w:rsidRDefault="009A0A63" w:rsidP="00A24459">
            <w:pPr>
              <w:jc w:val="center"/>
              <w:rPr>
                <w:sz w:val="24"/>
                <w:szCs w:val="24"/>
              </w:rPr>
            </w:pPr>
            <w:r w:rsidRPr="00792B36">
              <w:rPr>
                <w:color w:val="000000"/>
                <w:sz w:val="24"/>
                <w:szCs w:val="24"/>
              </w:rPr>
              <w:t>260,998</w:t>
            </w:r>
          </w:p>
        </w:tc>
        <w:tc>
          <w:tcPr>
            <w:tcW w:w="1822" w:type="dxa"/>
            <w:vAlign w:val="center"/>
          </w:tcPr>
          <w:p w14:paraId="3E42F790" w14:textId="77777777" w:rsidR="009A0A63" w:rsidRPr="00792B36" w:rsidRDefault="009A0A63" w:rsidP="00A24459">
            <w:pPr>
              <w:jc w:val="center"/>
              <w:rPr>
                <w:sz w:val="24"/>
                <w:szCs w:val="24"/>
              </w:rPr>
            </w:pPr>
            <w:r w:rsidRPr="00792B36">
              <w:rPr>
                <w:color w:val="000000"/>
                <w:sz w:val="24"/>
                <w:szCs w:val="24"/>
              </w:rPr>
              <w:t>197,815</w:t>
            </w:r>
          </w:p>
        </w:tc>
      </w:tr>
      <w:tr w:rsidR="009A0A63" w:rsidRPr="00792B36" w14:paraId="24873AE5" w14:textId="77777777" w:rsidTr="00A24459">
        <w:trPr>
          <w:trHeight w:val="340"/>
        </w:trPr>
        <w:tc>
          <w:tcPr>
            <w:tcW w:w="2596" w:type="dxa"/>
            <w:gridSpan w:val="3"/>
            <w:vMerge/>
            <w:vAlign w:val="center"/>
          </w:tcPr>
          <w:p w14:paraId="2EAF50A7" w14:textId="77777777" w:rsidR="009A0A63" w:rsidRPr="00792B36" w:rsidRDefault="009A0A63" w:rsidP="00A24459">
            <w:pPr>
              <w:rPr>
                <w:sz w:val="24"/>
                <w:szCs w:val="24"/>
              </w:rPr>
            </w:pPr>
          </w:p>
        </w:tc>
        <w:tc>
          <w:tcPr>
            <w:tcW w:w="1019" w:type="dxa"/>
            <w:gridSpan w:val="3"/>
            <w:vAlign w:val="center"/>
          </w:tcPr>
          <w:p w14:paraId="16B5DD07" w14:textId="77777777" w:rsidR="009A0A63" w:rsidRPr="00792B36" w:rsidRDefault="009A0A63" w:rsidP="00A24459">
            <w:pPr>
              <w:jc w:val="center"/>
              <w:rPr>
                <w:sz w:val="24"/>
                <w:szCs w:val="24"/>
              </w:rPr>
            </w:pPr>
            <w:r w:rsidRPr="00792B36">
              <w:rPr>
                <w:color w:val="000000"/>
                <w:sz w:val="24"/>
                <w:szCs w:val="24"/>
              </w:rPr>
              <w:t>2020</w:t>
            </w:r>
          </w:p>
        </w:tc>
        <w:tc>
          <w:tcPr>
            <w:tcW w:w="1790" w:type="dxa"/>
            <w:gridSpan w:val="3"/>
            <w:vAlign w:val="center"/>
          </w:tcPr>
          <w:p w14:paraId="59ED1E86" w14:textId="77777777" w:rsidR="009A0A63" w:rsidRPr="00792B36" w:rsidRDefault="009A0A63" w:rsidP="00A24459">
            <w:pPr>
              <w:jc w:val="center"/>
              <w:rPr>
                <w:sz w:val="24"/>
                <w:szCs w:val="24"/>
              </w:rPr>
            </w:pPr>
            <w:r w:rsidRPr="00792B36">
              <w:rPr>
                <w:color w:val="000000"/>
                <w:sz w:val="24"/>
                <w:szCs w:val="24"/>
              </w:rPr>
              <w:t>262,027</w:t>
            </w:r>
          </w:p>
        </w:tc>
        <w:tc>
          <w:tcPr>
            <w:tcW w:w="1790" w:type="dxa"/>
            <w:vAlign w:val="center"/>
          </w:tcPr>
          <w:p w14:paraId="78B8D15E" w14:textId="77777777" w:rsidR="009A0A63" w:rsidRPr="00792B36" w:rsidRDefault="009A0A63" w:rsidP="00A24459">
            <w:pPr>
              <w:jc w:val="center"/>
              <w:rPr>
                <w:sz w:val="24"/>
                <w:szCs w:val="24"/>
              </w:rPr>
            </w:pPr>
            <w:r w:rsidRPr="00792B36">
              <w:rPr>
                <w:color w:val="000000"/>
                <w:sz w:val="24"/>
                <w:szCs w:val="24"/>
              </w:rPr>
              <w:t>273,532</w:t>
            </w:r>
          </w:p>
        </w:tc>
        <w:tc>
          <w:tcPr>
            <w:tcW w:w="1822" w:type="dxa"/>
            <w:vAlign w:val="center"/>
          </w:tcPr>
          <w:p w14:paraId="6545096B" w14:textId="77777777" w:rsidR="009A0A63" w:rsidRPr="00792B36" w:rsidRDefault="009A0A63" w:rsidP="00A24459">
            <w:pPr>
              <w:jc w:val="center"/>
              <w:rPr>
                <w:sz w:val="24"/>
                <w:szCs w:val="24"/>
              </w:rPr>
            </w:pPr>
            <w:r w:rsidRPr="00792B36">
              <w:rPr>
                <w:color w:val="000000"/>
                <w:sz w:val="24"/>
                <w:szCs w:val="24"/>
              </w:rPr>
              <w:t>243,727</w:t>
            </w:r>
          </w:p>
        </w:tc>
      </w:tr>
      <w:tr w:rsidR="009A0A63" w:rsidRPr="00792B36" w14:paraId="4EE440C3" w14:textId="77777777" w:rsidTr="00A24459">
        <w:trPr>
          <w:trHeight w:val="340"/>
        </w:trPr>
        <w:tc>
          <w:tcPr>
            <w:tcW w:w="2596" w:type="dxa"/>
            <w:gridSpan w:val="3"/>
            <w:vMerge w:val="restart"/>
            <w:vAlign w:val="center"/>
          </w:tcPr>
          <w:p w14:paraId="72EB21AE" w14:textId="77777777" w:rsidR="009A0A63" w:rsidRPr="00792B36" w:rsidRDefault="009A0A63" w:rsidP="00A24459">
            <w:pPr>
              <w:rPr>
                <w:sz w:val="24"/>
                <w:szCs w:val="24"/>
              </w:rPr>
            </w:pPr>
            <w:r w:rsidRPr="00792B36">
              <w:rPr>
                <w:color w:val="000000"/>
                <w:sz w:val="24"/>
                <w:szCs w:val="24"/>
              </w:rPr>
              <w:t>Trat</w:t>
            </w:r>
          </w:p>
        </w:tc>
        <w:tc>
          <w:tcPr>
            <w:tcW w:w="1019" w:type="dxa"/>
            <w:gridSpan w:val="3"/>
            <w:vAlign w:val="center"/>
          </w:tcPr>
          <w:p w14:paraId="4177FCC8" w14:textId="77777777" w:rsidR="009A0A63" w:rsidRPr="00792B36" w:rsidRDefault="009A0A63" w:rsidP="00A24459">
            <w:pPr>
              <w:jc w:val="center"/>
              <w:rPr>
                <w:sz w:val="24"/>
                <w:szCs w:val="24"/>
              </w:rPr>
            </w:pPr>
            <w:r w:rsidRPr="00792B36">
              <w:rPr>
                <w:color w:val="000000"/>
                <w:sz w:val="24"/>
                <w:szCs w:val="24"/>
              </w:rPr>
              <w:t>2000</w:t>
            </w:r>
          </w:p>
        </w:tc>
        <w:tc>
          <w:tcPr>
            <w:tcW w:w="1790" w:type="dxa"/>
            <w:gridSpan w:val="3"/>
            <w:vAlign w:val="center"/>
          </w:tcPr>
          <w:p w14:paraId="33296624" w14:textId="77777777" w:rsidR="009A0A63" w:rsidRPr="00792B36" w:rsidRDefault="009A0A63" w:rsidP="00A24459">
            <w:pPr>
              <w:jc w:val="center"/>
              <w:rPr>
                <w:sz w:val="24"/>
                <w:szCs w:val="24"/>
              </w:rPr>
            </w:pPr>
            <w:r w:rsidRPr="00792B36">
              <w:rPr>
                <w:color w:val="000000"/>
                <w:sz w:val="24"/>
                <w:szCs w:val="24"/>
              </w:rPr>
              <w:t>113,184</w:t>
            </w:r>
          </w:p>
        </w:tc>
        <w:tc>
          <w:tcPr>
            <w:tcW w:w="1790" w:type="dxa"/>
            <w:vAlign w:val="center"/>
          </w:tcPr>
          <w:p w14:paraId="5640329E" w14:textId="77777777" w:rsidR="009A0A63" w:rsidRPr="00792B36" w:rsidRDefault="009A0A63" w:rsidP="00A24459">
            <w:pPr>
              <w:jc w:val="center"/>
              <w:rPr>
                <w:sz w:val="24"/>
                <w:szCs w:val="24"/>
              </w:rPr>
            </w:pPr>
            <w:r w:rsidRPr="00792B36">
              <w:rPr>
                <w:color w:val="000000"/>
                <w:sz w:val="24"/>
                <w:szCs w:val="24"/>
              </w:rPr>
              <w:t>110,740</w:t>
            </w:r>
          </w:p>
        </w:tc>
        <w:tc>
          <w:tcPr>
            <w:tcW w:w="1822" w:type="dxa"/>
            <w:vAlign w:val="center"/>
          </w:tcPr>
          <w:p w14:paraId="77E2B26F" w14:textId="77777777" w:rsidR="009A0A63" w:rsidRPr="00792B36" w:rsidRDefault="009A0A63" w:rsidP="00A24459">
            <w:pPr>
              <w:jc w:val="center"/>
              <w:rPr>
                <w:sz w:val="24"/>
                <w:szCs w:val="24"/>
              </w:rPr>
            </w:pPr>
            <w:r w:rsidRPr="00792B36">
              <w:rPr>
                <w:color w:val="000000"/>
                <w:sz w:val="24"/>
                <w:szCs w:val="24"/>
              </w:rPr>
              <w:t>70,386</w:t>
            </w:r>
          </w:p>
        </w:tc>
      </w:tr>
      <w:tr w:rsidR="009A0A63" w:rsidRPr="00792B36" w14:paraId="26FBC312" w14:textId="77777777" w:rsidTr="00A24459">
        <w:trPr>
          <w:trHeight w:val="340"/>
        </w:trPr>
        <w:tc>
          <w:tcPr>
            <w:tcW w:w="2596" w:type="dxa"/>
            <w:gridSpan w:val="3"/>
            <w:vMerge/>
            <w:vAlign w:val="center"/>
          </w:tcPr>
          <w:p w14:paraId="25955D05" w14:textId="77777777" w:rsidR="009A0A63" w:rsidRPr="00792B36" w:rsidRDefault="009A0A63" w:rsidP="00A24459">
            <w:pPr>
              <w:rPr>
                <w:sz w:val="24"/>
                <w:szCs w:val="24"/>
              </w:rPr>
            </w:pPr>
          </w:p>
        </w:tc>
        <w:tc>
          <w:tcPr>
            <w:tcW w:w="1019" w:type="dxa"/>
            <w:gridSpan w:val="3"/>
            <w:vAlign w:val="center"/>
          </w:tcPr>
          <w:p w14:paraId="6E1E5D09" w14:textId="77777777" w:rsidR="009A0A63" w:rsidRPr="00792B36" w:rsidRDefault="009A0A63" w:rsidP="00A24459">
            <w:pPr>
              <w:jc w:val="center"/>
              <w:rPr>
                <w:sz w:val="24"/>
                <w:szCs w:val="24"/>
              </w:rPr>
            </w:pPr>
            <w:r w:rsidRPr="00792B36">
              <w:rPr>
                <w:color w:val="000000"/>
                <w:sz w:val="24"/>
                <w:szCs w:val="24"/>
              </w:rPr>
              <w:t>2005</w:t>
            </w:r>
          </w:p>
        </w:tc>
        <w:tc>
          <w:tcPr>
            <w:tcW w:w="1790" w:type="dxa"/>
            <w:gridSpan w:val="3"/>
            <w:vAlign w:val="center"/>
          </w:tcPr>
          <w:p w14:paraId="1DE40268" w14:textId="77777777" w:rsidR="009A0A63" w:rsidRPr="00792B36" w:rsidRDefault="009A0A63" w:rsidP="00A24459">
            <w:pPr>
              <w:jc w:val="center"/>
              <w:rPr>
                <w:sz w:val="24"/>
                <w:szCs w:val="24"/>
              </w:rPr>
            </w:pPr>
            <w:r w:rsidRPr="00792B36">
              <w:rPr>
                <w:color w:val="000000"/>
                <w:sz w:val="24"/>
                <w:szCs w:val="24"/>
              </w:rPr>
              <w:t>110,281</w:t>
            </w:r>
          </w:p>
        </w:tc>
        <w:tc>
          <w:tcPr>
            <w:tcW w:w="1790" w:type="dxa"/>
            <w:vAlign w:val="center"/>
          </w:tcPr>
          <w:p w14:paraId="4F3D050E" w14:textId="77777777" w:rsidR="009A0A63" w:rsidRPr="00792B36" w:rsidRDefault="009A0A63" w:rsidP="00A24459">
            <w:pPr>
              <w:jc w:val="center"/>
              <w:rPr>
                <w:sz w:val="24"/>
                <w:szCs w:val="24"/>
              </w:rPr>
            </w:pPr>
            <w:r w:rsidRPr="00792B36">
              <w:rPr>
                <w:color w:val="000000"/>
                <w:sz w:val="24"/>
                <w:szCs w:val="24"/>
              </w:rPr>
              <w:t>108,854</w:t>
            </w:r>
          </w:p>
        </w:tc>
        <w:tc>
          <w:tcPr>
            <w:tcW w:w="1822" w:type="dxa"/>
            <w:vAlign w:val="center"/>
          </w:tcPr>
          <w:p w14:paraId="72F7C98B" w14:textId="77777777" w:rsidR="009A0A63" w:rsidRPr="00792B36" w:rsidRDefault="009A0A63" w:rsidP="00A24459">
            <w:pPr>
              <w:jc w:val="center"/>
              <w:rPr>
                <w:sz w:val="24"/>
                <w:szCs w:val="24"/>
              </w:rPr>
            </w:pPr>
            <w:r w:rsidRPr="00792B36">
              <w:rPr>
                <w:color w:val="000000"/>
                <w:sz w:val="24"/>
                <w:szCs w:val="24"/>
              </w:rPr>
              <w:t>81,066</w:t>
            </w:r>
          </w:p>
        </w:tc>
      </w:tr>
      <w:tr w:rsidR="009A0A63" w:rsidRPr="00792B36" w14:paraId="6F374EFC" w14:textId="77777777" w:rsidTr="00A24459">
        <w:trPr>
          <w:trHeight w:val="340"/>
        </w:trPr>
        <w:tc>
          <w:tcPr>
            <w:tcW w:w="2596" w:type="dxa"/>
            <w:gridSpan w:val="3"/>
            <w:vMerge/>
            <w:vAlign w:val="center"/>
          </w:tcPr>
          <w:p w14:paraId="237760D5" w14:textId="77777777" w:rsidR="009A0A63" w:rsidRPr="00792B36" w:rsidRDefault="009A0A63" w:rsidP="00A24459">
            <w:pPr>
              <w:rPr>
                <w:sz w:val="24"/>
                <w:szCs w:val="24"/>
              </w:rPr>
            </w:pPr>
          </w:p>
        </w:tc>
        <w:tc>
          <w:tcPr>
            <w:tcW w:w="1019" w:type="dxa"/>
            <w:gridSpan w:val="3"/>
            <w:vAlign w:val="center"/>
          </w:tcPr>
          <w:p w14:paraId="35CA964F" w14:textId="77777777" w:rsidR="009A0A63" w:rsidRPr="00792B36" w:rsidRDefault="009A0A63" w:rsidP="00A24459">
            <w:pPr>
              <w:jc w:val="center"/>
              <w:rPr>
                <w:sz w:val="24"/>
                <w:szCs w:val="24"/>
              </w:rPr>
            </w:pPr>
            <w:r w:rsidRPr="00792B36">
              <w:rPr>
                <w:color w:val="000000"/>
                <w:sz w:val="24"/>
                <w:szCs w:val="24"/>
              </w:rPr>
              <w:t>2010</w:t>
            </w:r>
          </w:p>
        </w:tc>
        <w:tc>
          <w:tcPr>
            <w:tcW w:w="1790" w:type="dxa"/>
            <w:gridSpan w:val="3"/>
            <w:vAlign w:val="center"/>
          </w:tcPr>
          <w:p w14:paraId="37F520C1" w14:textId="77777777" w:rsidR="009A0A63" w:rsidRPr="00792B36" w:rsidRDefault="009A0A63" w:rsidP="00A24459">
            <w:pPr>
              <w:jc w:val="center"/>
              <w:rPr>
                <w:sz w:val="24"/>
                <w:szCs w:val="24"/>
              </w:rPr>
            </w:pPr>
            <w:r w:rsidRPr="00792B36">
              <w:rPr>
                <w:color w:val="000000"/>
                <w:sz w:val="24"/>
                <w:szCs w:val="24"/>
              </w:rPr>
              <w:t>110,429</w:t>
            </w:r>
          </w:p>
        </w:tc>
        <w:tc>
          <w:tcPr>
            <w:tcW w:w="1790" w:type="dxa"/>
            <w:vAlign w:val="center"/>
          </w:tcPr>
          <w:p w14:paraId="51F64D9A" w14:textId="77777777" w:rsidR="009A0A63" w:rsidRPr="00792B36" w:rsidRDefault="009A0A63" w:rsidP="00A24459">
            <w:pPr>
              <w:jc w:val="center"/>
              <w:rPr>
                <w:sz w:val="24"/>
                <w:szCs w:val="24"/>
              </w:rPr>
            </w:pPr>
            <w:r w:rsidRPr="00792B36">
              <w:rPr>
                <w:color w:val="000000"/>
                <w:sz w:val="24"/>
                <w:szCs w:val="24"/>
              </w:rPr>
              <w:t>110,492</w:t>
            </w:r>
          </w:p>
        </w:tc>
        <w:tc>
          <w:tcPr>
            <w:tcW w:w="1822" w:type="dxa"/>
            <w:vAlign w:val="center"/>
          </w:tcPr>
          <w:p w14:paraId="710BDD57" w14:textId="77777777" w:rsidR="009A0A63" w:rsidRPr="00792B36" w:rsidRDefault="009A0A63" w:rsidP="00A24459">
            <w:pPr>
              <w:jc w:val="center"/>
              <w:rPr>
                <w:sz w:val="24"/>
                <w:szCs w:val="24"/>
              </w:rPr>
            </w:pPr>
            <w:r w:rsidRPr="00792B36">
              <w:rPr>
                <w:color w:val="000000"/>
                <w:sz w:val="24"/>
                <w:szCs w:val="24"/>
              </w:rPr>
              <w:t>90,876</w:t>
            </w:r>
          </w:p>
        </w:tc>
      </w:tr>
      <w:tr w:rsidR="009A0A63" w:rsidRPr="00792B36" w14:paraId="768BDDF3" w14:textId="77777777" w:rsidTr="00A24459">
        <w:trPr>
          <w:trHeight w:val="340"/>
        </w:trPr>
        <w:tc>
          <w:tcPr>
            <w:tcW w:w="2596" w:type="dxa"/>
            <w:gridSpan w:val="3"/>
            <w:vMerge/>
            <w:vAlign w:val="center"/>
          </w:tcPr>
          <w:p w14:paraId="37DE0778" w14:textId="77777777" w:rsidR="009A0A63" w:rsidRPr="00792B36" w:rsidRDefault="009A0A63" w:rsidP="00A24459">
            <w:pPr>
              <w:rPr>
                <w:sz w:val="24"/>
                <w:szCs w:val="24"/>
              </w:rPr>
            </w:pPr>
          </w:p>
        </w:tc>
        <w:tc>
          <w:tcPr>
            <w:tcW w:w="1019" w:type="dxa"/>
            <w:gridSpan w:val="3"/>
            <w:vAlign w:val="center"/>
          </w:tcPr>
          <w:p w14:paraId="5BD14C0D" w14:textId="77777777" w:rsidR="009A0A63" w:rsidRPr="00792B36" w:rsidRDefault="009A0A63" w:rsidP="00A24459">
            <w:pPr>
              <w:jc w:val="center"/>
              <w:rPr>
                <w:sz w:val="24"/>
                <w:szCs w:val="24"/>
              </w:rPr>
            </w:pPr>
            <w:r w:rsidRPr="00792B36">
              <w:rPr>
                <w:color w:val="000000"/>
                <w:sz w:val="24"/>
                <w:szCs w:val="24"/>
              </w:rPr>
              <w:t>2020</w:t>
            </w:r>
          </w:p>
        </w:tc>
        <w:tc>
          <w:tcPr>
            <w:tcW w:w="1790" w:type="dxa"/>
            <w:gridSpan w:val="3"/>
            <w:vAlign w:val="center"/>
          </w:tcPr>
          <w:p w14:paraId="075F772D" w14:textId="77777777" w:rsidR="009A0A63" w:rsidRPr="00792B36" w:rsidRDefault="009A0A63" w:rsidP="00A24459">
            <w:pPr>
              <w:jc w:val="center"/>
              <w:rPr>
                <w:sz w:val="24"/>
                <w:szCs w:val="24"/>
              </w:rPr>
            </w:pPr>
            <w:r w:rsidRPr="00792B36">
              <w:rPr>
                <w:color w:val="000000"/>
                <w:sz w:val="24"/>
                <w:szCs w:val="24"/>
              </w:rPr>
              <w:t>113,131</w:t>
            </w:r>
          </w:p>
        </w:tc>
        <w:tc>
          <w:tcPr>
            <w:tcW w:w="1790" w:type="dxa"/>
            <w:vAlign w:val="center"/>
          </w:tcPr>
          <w:p w14:paraId="746BB4C3" w14:textId="77777777" w:rsidR="009A0A63" w:rsidRPr="00792B36" w:rsidRDefault="009A0A63" w:rsidP="00A24459">
            <w:pPr>
              <w:jc w:val="center"/>
              <w:rPr>
                <w:sz w:val="24"/>
                <w:szCs w:val="24"/>
              </w:rPr>
            </w:pPr>
            <w:r w:rsidRPr="00792B36">
              <w:rPr>
                <w:color w:val="000000"/>
                <w:sz w:val="24"/>
                <w:szCs w:val="24"/>
              </w:rPr>
              <w:t>115,405</w:t>
            </w:r>
          </w:p>
        </w:tc>
        <w:tc>
          <w:tcPr>
            <w:tcW w:w="1822" w:type="dxa"/>
            <w:vAlign w:val="center"/>
          </w:tcPr>
          <w:p w14:paraId="63029E9D" w14:textId="77777777" w:rsidR="009A0A63" w:rsidRPr="00792B36" w:rsidRDefault="009A0A63" w:rsidP="00A24459">
            <w:pPr>
              <w:jc w:val="center"/>
              <w:rPr>
                <w:sz w:val="24"/>
                <w:szCs w:val="24"/>
              </w:rPr>
            </w:pPr>
            <w:r w:rsidRPr="00792B36">
              <w:rPr>
                <w:color w:val="000000"/>
                <w:sz w:val="24"/>
                <w:szCs w:val="24"/>
              </w:rPr>
              <w:t>108,270</w:t>
            </w:r>
          </w:p>
        </w:tc>
      </w:tr>
      <w:tr w:rsidR="009A0A63" w:rsidRPr="00792B36" w14:paraId="3BB2F3F9" w14:textId="77777777" w:rsidTr="00A24459">
        <w:trPr>
          <w:trHeight w:val="340"/>
        </w:trPr>
        <w:tc>
          <w:tcPr>
            <w:tcW w:w="2596" w:type="dxa"/>
            <w:gridSpan w:val="3"/>
            <w:vMerge w:val="restart"/>
            <w:vAlign w:val="center"/>
          </w:tcPr>
          <w:p w14:paraId="6ECEA936" w14:textId="77777777" w:rsidR="009A0A63" w:rsidRPr="00792B36" w:rsidRDefault="009A0A63" w:rsidP="00A24459">
            <w:pPr>
              <w:rPr>
                <w:sz w:val="24"/>
                <w:szCs w:val="24"/>
              </w:rPr>
            </w:pPr>
            <w:r w:rsidRPr="00792B36">
              <w:rPr>
                <w:color w:val="000000"/>
                <w:sz w:val="24"/>
                <w:szCs w:val="24"/>
              </w:rPr>
              <w:t>Samut Prakan</w:t>
            </w:r>
          </w:p>
        </w:tc>
        <w:tc>
          <w:tcPr>
            <w:tcW w:w="1019" w:type="dxa"/>
            <w:gridSpan w:val="3"/>
            <w:vAlign w:val="center"/>
          </w:tcPr>
          <w:p w14:paraId="093E7914" w14:textId="77777777" w:rsidR="009A0A63" w:rsidRPr="00792B36" w:rsidRDefault="009A0A63" w:rsidP="00A24459">
            <w:pPr>
              <w:jc w:val="center"/>
              <w:rPr>
                <w:sz w:val="24"/>
                <w:szCs w:val="24"/>
              </w:rPr>
            </w:pPr>
            <w:r w:rsidRPr="00792B36">
              <w:rPr>
                <w:color w:val="000000"/>
                <w:sz w:val="24"/>
                <w:szCs w:val="24"/>
              </w:rPr>
              <w:t>2000</w:t>
            </w:r>
          </w:p>
        </w:tc>
        <w:tc>
          <w:tcPr>
            <w:tcW w:w="1790" w:type="dxa"/>
            <w:gridSpan w:val="3"/>
            <w:vAlign w:val="center"/>
          </w:tcPr>
          <w:p w14:paraId="3CB79C81" w14:textId="77777777" w:rsidR="009A0A63" w:rsidRPr="00792B36" w:rsidRDefault="009A0A63" w:rsidP="00A24459">
            <w:pPr>
              <w:jc w:val="center"/>
              <w:rPr>
                <w:sz w:val="24"/>
                <w:szCs w:val="24"/>
              </w:rPr>
            </w:pPr>
            <w:r w:rsidRPr="00792B36">
              <w:rPr>
                <w:color w:val="000000"/>
                <w:sz w:val="24"/>
                <w:szCs w:val="24"/>
              </w:rPr>
              <w:t>485,562</w:t>
            </w:r>
          </w:p>
        </w:tc>
        <w:tc>
          <w:tcPr>
            <w:tcW w:w="1790" w:type="dxa"/>
            <w:vAlign w:val="center"/>
          </w:tcPr>
          <w:p w14:paraId="6AFBC918" w14:textId="77777777" w:rsidR="009A0A63" w:rsidRPr="00792B36" w:rsidRDefault="009A0A63" w:rsidP="00A24459">
            <w:pPr>
              <w:jc w:val="center"/>
              <w:rPr>
                <w:sz w:val="24"/>
                <w:szCs w:val="24"/>
              </w:rPr>
            </w:pPr>
            <w:r w:rsidRPr="00792B36">
              <w:rPr>
                <w:color w:val="000000"/>
                <w:sz w:val="24"/>
                <w:szCs w:val="24"/>
              </w:rPr>
              <w:t>510,276</w:t>
            </w:r>
          </w:p>
        </w:tc>
        <w:tc>
          <w:tcPr>
            <w:tcW w:w="1822" w:type="dxa"/>
            <w:vAlign w:val="center"/>
          </w:tcPr>
          <w:p w14:paraId="585E7B74" w14:textId="77777777" w:rsidR="009A0A63" w:rsidRPr="00792B36" w:rsidRDefault="009A0A63" w:rsidP="00A24459">
            <w:pPr>
              <w:jc w:val="center"/>
              <w:rPr>
                <w:sz w:val="24"/>
                <w:szCs w:val="24"/>
              </w:rPr>
            </w:pPr>
            <w:r w:rsidRPr="00792B36">
              <w:rPr>
                <w:color w:val="000000"/>
                <w:sz w:val="24"/>
                <w:szCs w:val="24"/>
              </w:rPr>
              <w:t>363,684</w:t>
            </w:r>
          </w:p>
        </w:tc>
      </w:tr>
      <w:tr w:rsidR="009A0A63" w:rsidRPr="00792B36" w14:paraId="2958FD4B" w14:textId="77777777" w:rsidTr="00A24459">
        <w:trPr>
          <w:trHeight w:val="340"/>
        </w:trPr>
        <w:tc>
          <w:tcPr>
            <w:tcW w:w="2596" w:type="dxa"/>
            <w:gridSpan w:val="3"/>
            <w:vMerge/>
            <w:vAlign w:val="center"/>
          </w:tcPr>
          <w:p w14:paraId="5B466156" w14:textId="77777777" w:rsidR="009A0A63" w:rsidRPr="00792B36" w:rsidRDefault="009A0A63" w:rsidP="00A24459">
            <w:pPr>
              <w:rPr>
                <w:sz w:val="24"/>
                <w:szCs w:val="24"/>
              </w:rPr>
            </w:pPr>
          </w:p>
        </w:tc>
        <w:tc>
          <w:tcPr>
            <w:tcW w:w="1019" w:type="dxa"/>
            <w:gridSpan w:val="3"/>
            <w:vAlign w:val="center"/>
          </w:tcPr>
          <w:p w14:paraId="3610FDD4" w14:textId="77777777" w:rsidR="009A0A63" w:rsidRPr="00792B36" w:rsidRDefault="009A0A63" w:rsidP="00A24459">
            <w:pPr>
              <w:jc w:val="center"/>
              <w:rPr>
                <w:sz w:val="24"/>
                <w:szCs w:val="24"/>
              </w:rPr>
            </w:pPr>
            <w:r w:rsidRPr="00792B36">
              <w:rPr>
                <w:color w:val="000000"/>
                <w:sz w:val="24"/>
                <w:szCs w:val="24"/>
              </w:rPr>
              <w:t>2005</w:t>
            </w:r>
          </w:p>
        </w:tc>
        <w:tc>
          <w:tcPr>
            <w:tcW w:w="1790" w:type="dxa"/>
            <w:gridSpan w:val="3"/>
            <w:vAlign w:val="center"/>
          </w:tcPr>
          <w:p w14:paraId="44E682D6" w14:textId="77777777" w:rsidR="009A0A63" w:rsidRPr="00792B36" w:rsidRDefault="009A0A63" w:rsidP="00A24459">
            <w:pPr>
              <w:jc w:val="center"/>
              <w:rPr>
                <w:sz w:val="24"/>
                <w:szCs w:val="24"/>
              </w:rPr>
            </w:pPr>
            <w:r w:rsidRPr="00792B36">
              <w:rPr>
                <w:color w:val="000000"/>
                <w:sz w:val="24"/>
                <w:szCs w:val="24"/>
              </w:rPr>
              <w:t>523,247</w:t>
            </w:r>
          </w:p>
        </w:tc>
        <w:tc>
          <w:tcPr>
            <w:tcW w:w="1790" w:type="dxa"/>
            <w:vAlign w:val="center"/>
          </w:tcPr>
          <w:p w14:paraId="5A3616E5" w14:textId="77777777" w:rsidR="009A0A63" w:rsidRPr="00792B36" w:rsidRDefault="009A0A63" w:rsidP="00A24459">
            <w:pPr>
              <w:jc w:val="center"/>
              <w:rPr>
                <w:sz w:val="24"/>
                <w:szCs w:val="24"/>
              </w:rPr>
            </w:pPr>
            <w:r w:rsidRPr="00792B36">
              <w:rPr>
                <w:color w:val="000000"/>
                <w:sz w:val="24"/>
                <w:szCs w:val="24"/>
              </w:rPr>
              <w:t>554,276</w:t>
            </w:r>
          </w:p>
        </w:tc>
        <w:tc>
          <w:tcPr>
            <w:tcW w:w="1822" w:type="dxa"/>
            <w:vAlign w:val="center"/>
          </w:tcPr>
          <w:p w14:paraId="68193026" w14:textId="77777777" w:rsidR="009A0A63" w:rsidRPr="00792B36" w:rsidRDefault="009A0A63" w:rsidP="00A24459">
            <w:pPr>
              <w:jc w:val="center"/>
              <w:rPr>
                <w:sz w:val="24"/>
                <w:szCs w:val="24"/>
              </w:rPr>
            </w:pPr>
            <w:r w:rsidRPr="00792B36">
              <w:rPr>
                <w:color w:val="000000"/>
                <w:sz w:val="24"/>
                <w:szCs w:val="24"/>
              </w:rPr>
              <w:t>425,081</w:t>
            </w:r>
          </w:p>
        </w:tc>
      </w:tr>
      <w:tr w:rsidR="009A0A63" w:rsidRPr="00792B36" w14:paraId="4E7B2EC2" w14:textId="77777777" w:rsidTr="00A24459">
        <w:trPr>
          <w:trHeight w:val="340"/>
        </w:trPr>
        <w:tc>
          <w:tcPr>
            <w:tcW w:w="2596" w:type="dxa"/>
            <w:gridSpan w:val="3"/>
            <w:vMerge/>
            <w:vAlign w:val="center"/>
          </w:tcPr>
          <w:p w14:paraId="55F9F7C4" w14:textId="77777777" w:rsidR="009A0A63" w:rsidRPr="00792B36" w:rsidRDefault="009A0A63" w:rsidP="00A24459">
            <w:pPr>
              <w:rPr>
                <w:sz w:val="24"/>
                <w:szCs w:val="24"/>
              </w:rPr>
            </w:pPr>
          </w:p>
        </w:tc>
        <w:tc>
          <w:tcPr>
            <w:tcW w:w="1019" w:type="dxa"/>
            <w:gridSpan w:val="3"/>
            <w:vAlign w:val="center"/>
          </w:tcPr>
          <w:p w14:paraId="71A30C04" w14:textId="77777777" w:rsidR="009A0A63" w:rsidRPr="00792B36" w:rsidRDefault="009A0A63" w:rsidP="00A24459">
            <w:pPr>
              <w:jc w:val="center"/>
              <w:rPr>
                <w:sz w:val="24"/>
                <w:szCs w:val="24"/>
              </w:rPr>
            </w:pPr>
            <w:r w:rsidRPr="00792B36">
              <w:rPr>
                <w:color w:val="000000"/>
                <w:sz w:val="24"/>
                <w:szCs w:val="24"/>
              </w:rPr>
              <w:t>2010</w:t>
            </w:r>
          </w:p>
        </w:tc>
        <w:tc>
          <w:tcPr>
            <w:tcW w:w="1790" w:type="dxa"/>
            <w:gridSpan w:val="3"/>
            <w:vAlign w:val="center"/>
          </w:tcPr>
          <w:p w14:paraId="1710F249" w14:textId="77777777" w:rsidR="009A0A63" w:rsidRPr="00792B36" w:rsidRDefault="009A0A63" w:rsidP="00A24459">
            <w:pPr>
              <w:jc w:val="center"/>
              <w:rPr>
                <w:sz w:val="24"/>
                <w:szCs w:val="24"/>
              </w:rPr>
            </w:pPr>
            <w:r w:rsidRPr="00792B36">
              <w:rPr>
                <w:color w:val="000000"/>
                <w:sz w:val="24"/>
                <w:szCs w:val="24"/>
              </w:rPr>
              <w:t>572,079</w:t>
            </w:r>
          </w:p>
        </w:tc>
        <w:tc>
          <w:tcPr>
            <w:tcW w:w="1790" w:type="dxa"/>
            <w:vAlign w:val="center"/>
          </w:tcPr>
          <w:p w14:paraId="002BA587" w14:textId="77777777" w:rsidR="009A0A63" w:rsidRPr="00792B36" w:rsidRDefault="009A0A63" w:rsidP="00A24459">
            <w:pPr>
              <w:jc w:val="center"/>
              <w:rPr>
                <w:sz w:val="24"/>
                <w:szCs w:val="24"/>
              </w:rPr>
            </w:pPr>
            <w:r w:rsidRPr="00792B36">
              <w:rPr>
                <w:color w:val="000000"/>
                <w:sz w:val="24"/>
                <w:szCs w:val="24"/>
              </w:rPr>
              <w:t>613,101</w:t>
            </w:r>
          </w:p>
        </w:tc>
        <w:tc>
          <w:tcPr>
            <w:tcW w:w="1822" w:type="dxa"/>
            <w:vAlign w:val="center"/>
          </w:tcPr>
          <w:p w14:paraId="2579D8B4" w14:textId="77777777" w:rsidR="009A0A63" w:rsidRPr="00792B36" w:rsidRDefault="009A0A63" w:rsidP="00A24459">
            <w:pPr>
              <w:jc w:val="center"/>
              <w:rPr>
                <w:sz w:val="24"/>
                <w:szCs w:val="24"/>
              </w:rPr>
            </w:pPr>
            <w:r w:rsidRPr="00792B36">
              <w:rPr>
                <w:color w:val="000000"/>
                <w:sz w:val="24"/>
                <w:szCs w:val="24"/>
              </w:rPr>
              <w:t>514,174</w:t>
            </w:r>
          </w:p>
        </w:tc>
      </w:tr>
      <w:tr w:rsidR="009A0A63" w:rsidRPr="00792B36" w14:paraId="3689445A" w14:textId="77777777" w:rsidTr="00A24459">
        <w:trPr>
          <w:trHeight w:val="340"/>
        </w:trPr>
        <w:tc>
          <w:tcPr>
            <w:tcW w:w="2596" w:type="dxa"/>
            <w:gridSpan w:val="3"/>
            <w:vMerge/>
            <w:vAlign w:val="center"/>
          </w:tcPr>
          <w:p w14:paraId="66BDA7A2" w14:textId="77777777" w:rsidR="009A0A63" w:rsidRPr="00792B36" w:rsidRDefault="009A0A63" w:rsidP="00A24459">
            <w:pPr>
              <w:rPr>
                <w:sz w:val="24"/>
                <w:szCs w:val="24"/>
              </w:rPr>
            </w:pPr>
          </w:p>
        </w:tc>
        <w:tc>
          <w:tcPr>
            <w:tcW w:w="1019" w:type="dxa"/>
            <w:gridSpan w:val="3"/>
            <w:vAlign w:val="center"/>
          </w:tcPr>
          <w:p w14:paraId="14D4E5EB" w14:textId="77777777" w:rsidR="009A0A63" w:rsidRPr="00792B36" w:rsidRDefault="009A0A63" w:rsidP="00A24459">
            <w:pPr>
              <w:jc w:val="center"/>
              <w:rPr>
                <w:sz w:val="24"/>
                <w:szCs w:val="24"/>
              </w:rPr>
            </w:pPr>
            <w:r w:rsidRPr="00792B36">
              <w:rPr>
                <w:color w:val="000000"/>
                <w:sz w:val="24"/>
                <w:szCs w:val="24"/>
              </w:rPr>
              <w:t>2020</w:t>
            </w:r>
          </w:p>
        </w:tc>
        <w:tc>
          <w:tcPr>
            <w:tcW w:w="1790" w:type="dxa"/>
            <w:gridSpan w:val="3"/>
            <w:vAlign w:val="center"/>
          </w:tcPr>
          <w:p w14:paraId="468529B5" w14:textId="77777777" w:rsidR="009A0A63" w:rsidRPr="00792B36" w:rsidRDefault="009A0A63" w:rsidP="00A24459">
            <w:pPr>
              <w:jc w:val="center"/>
              <w:rPr>
                <w:sz w:val="24"/>
                <w:szCs w:val="24"/>
              </w:rPr>
            </w:pPr>
            <w:r w:rsidRPr="00792B36">
              <w:rPr>
                <w:color w:val="000000"/>
                <w:sz w:val="24"/>
                <w:szCs w:val="24"/>
              </w:rPr>
              <w:t>644,516</w:t>
            </w:r>
          </w:p>
        </w:tc>
        <w:tc>
          <w:tcPr>
            <w:tcW w:w="1790" w:type="dxa"/>
            <w:vAlign w:val="center"/>
          </w:tcPr>
          <w:p w14:paraId="7D9DED93" w14:textId="77777777" w:rsidR="009A0A63" w:rsidRPr="00792B36" w:rsidRDefault="009A0A63" w:rsidP="00A24459">
            <w:pPr>
              <w:jc w:val="center"/>
              <w:rPr>
                <w:sz w:val="24"/>
                <w:szCs w:val="24"/>
              </w:rPr>
            </w:pPr>
            <w:r w:rsidRPr="00792B36">
              <w:rPr>
                <w:color w:val="000000"/>
                <w:sz w:val="24"/>
                <w:szCs w:val="24"/>
              </w:rPr>
              <w:t>706,963</w:t>
            </w:r>
          </w:p>
        </w:tc>
        <w:tc>
          <w:tcPr>
            <w:tcW w:w="1822" w:type="dxa"/>
            <w:vAlign w:val="center"/>
          </w:tcPr>
          <w:p w14:paraId="2EB02507" w14:textId="77777777" w:rsidR="009A0A63" w:rsidRPr="00792B36" w:rsidRDefault="009A0A63" w:rsidP="00A24459">
            <w:pPr>
              <w:jc w:val="center"/>
              <w:rPr>
                <w:sz w:val="24"/>
                <w:szCs w:val="24"/>
              </w:rPr>
            </w:pPr>
            <w:r w:rsidRPr="00792B36">
              <w:rPr>
                <w:color w:val="000000"/>
                <w:sz w:val="24"/>
                <w:szCs w:val="24"/>
              </w:rPr>
              <w:t>711,804</w:t>
            </w:r>
          </w:p>
        </w:tc>
      </w:tr>
      <w:tr w:rsidR="009A0A63" w:rsidRPr="00792B36" w14:paraId="758F8995" w14:textId="77777777" w:rsidTr="00A24459">
        <w:trPr>
          <w:trHeight w:val="340"/>
        </w:trPr>
        <w:tc>
          <w:tcPr>
            <w:tcW w:w="2596" w:type="dxa"/>
            <w:gridSpan w:val="3"/>
            <w:vMerge w:val="restart"/>
            <w:vAlign w:val="center"/>
          </w:tcPr>
          <w:p w14:paraId="4B0FFD1F" w14:textId="77777777" w:rsidR="009A0A63" w:rsidRPr="00792B36" w:rsidRDefault="009A0A63" w:rsidP="00A24459">
            <w:pPr>
              <w:rPr>
                <w:sz w:val="24"/>
                <w:szCs w:val="24"/>
              </w:rPr>
            </w:pPr>
            <w:r w:rsidRPr="00792B36">
              <w:rPr>
                <w:color w:val="000000"/>
                <w:sz w:val="24"/>
                <w:szCs w:val="24"/>
              </w:rPr>
              <w:t>Chon Buri</w:t>
            </w:r>
          </w:p>
        </w:tc>
        <w:tc>
          <w:tcPr>
            <w:tcW w:w="1019" w:type="dxa"/>
            <w:gridSpan w:val="3"/>
            <w:vAlign w:val="center"/>
          </w:tcPr>
          <w:p w14:paraId="3F6E7297" w14:textId="77777777" w:rsidR="009A0A63" w:rsidRPr="00792B36" w:rsidRDefault="009A0A63" w:rsidP="00A24459">
            <w:pPr>
              <w:jc w:val="center"/>
              <w:rPr>
                <w:sz w:val="24"/>
                <w:szCs w:val="24"/>
              </w:rPr>
            </w:pPr>
            <w:r w:rsidRPr="00792B36">
              <w:rPr>
                <w:color w:val="000000"/>
                <w:sz w:val="24"/>
                <w:szCs w:val="24"/>
              </w:rPr>
              <w:t>2000</w:t>
            </w:r>
          </w:p>
        </w:tc>
        <w:tc>
          <w:tcPr>
            <w:tcW w:w="1790" w:type="dxa"/>
            <w:gridSpan w:val="3"/>
            <w:vAlign w:val="center"/>
          </w:tcPr>
          <w:p w14:paraId="0B2EED04" w14:textId="77777777" w:rsidR="009A0A63" w:rsidRPr="00792B36" w:rsidRDefault="009A0A63" w:rsidP="00A24459">
            <w:pPr>
              <w:jc w:val="center"/>
              <w:rPr>
                <w:sz w:val="24"/>
                <w:szCs w:val="24"/>
              </w:rPr>
            </w:pPr>
            <w:r w:rsidRPr="00792B36">
              <w:rPr>
                <w:color w:val="000000"/>
                <w:sz w:val="24"/>
                <w:szCs w:val="24"/>
              </w:rPr>
              <w:t>542,913</w:t>
            </w:r>
          </w:p>
        </w:tc>
        <w:tc>
          <w:tcPr>
            <w:tcW w:w="1790" w:type="dxa"/>
            <w:vAlign w:val="center"/>
          </w:tcPr>
          <w:p w14:paraId="224763FC" w14:textId="77777777" w:rsidR="009A0A63" w:rsidRPr="00792B36" w:rsidRDefault="009A0A63" w:rsidP="00A24459">
            <w:pPr>
              <w:jc w:val="center"/>
              <w:rPr>
                <w:sz w:val="24"/>
                <w:szCs w:val="24"/>
              </w:rPr>
            </w:pPr>
            <w:r w:rsidRPr="00792B36">
              <w:rPr>
                <w:color w:val="000000"/>
                <w:sz w:val="24"/>
                <w:szCs w:val="24"/>
              </w:rPr>
              <w:t>535,605</w:t>
            </w:r>
          </w:p>
        </w:tc>
        <w:tc>
          <w:tcPr>
            <w:tcW w:w="1822" w:type="dxa"/>
            <w:vAlign w:val="center"/>
          </w:tcPr>
          <w:p w14:paraId="27D3707F" w14:textId="77777777" w:rsidR="009A0A63" w:rsidRPr="00792B36" w:rsidRDefault="009A0A63" w:rsidP="00A24459">
            <w:pPr>
              <w:jc w:val="center"/>
              <w:rPr>
                <w:sz w:val="24"/>
                <w:szCs w:val="24"/>
              </w:rPr>
            </w:pPr>
            <w:r w:rsidRPr="00792B36">
              <w:rPr>
                <w:color w:val="000000"/>
                <w:sz w:val="24"/>
                <w:szCs w:val="24"/>
              </w:rPr>
              <w:t>426,953</w:t>
            </w:r>
          </w:p>
        </w:tc>
      </w:tr>
      <w:tr w:rsidR="009A0A63" w:rsidRPr="00792B36" w14:paraId="0341585D" w14:textId="77777777" w:rsidTr="00A24459">
        <w:trPr>
          <w:trHeight w:val="340"/>
        </w:trPr>
        <w:tc>
          <w:tcPr>
            <w:tcW w:w="2596" w:type="dxa"/>
            <w:gridSpan w:val="3"/>
            <w:vMerge/>
            <w:vAlign w:val="center"/>
          </w:tcPr>
          <w:p w14:paraId="1E9E03FB" w14:textId="77777777" w:rsidR="009A0A63" w:rsidRPr="00792B36" w:rsidRDefault="009A0A63" w:rsidP="00A24459">
            <w:pPr>
              <w:rPr>
                <w:sz w:val="24"/>
                <w:szCs w:val="24"/>
              </w:rPr>
            </w:pPr>
          </w:p>
        </w:tc>
        <w:tc>
          <w:tcPr>
            <w:tcW w:w="1019" w:type="dxa"/>
            <w:gridSpan w:val="3"/>
            <w:vAlign w:val="center"/>
          </w:tcPr>
          <w:p w14:paraId="2F0B6869" w14:textId="77777777" w:rsidR="009A0A63" w:rsidRPr="00792B36" w:rsidRDefault="009A0A63" w:rsidP="00A24459">
            <w:pPr>
              <w:jc w:val="center"/>
              <w:rPr>
                <w:sz w:val="24"/>
                <w:szCs w:val="24"/>
              </w:rPr>
            </w:pPr>
            <w:r w:rsidRPr="00792B36">
              <w:rPr>
                <w:color w:val="000000"/>
                <w:sz w:val="24"/>
                <w:szCs w:val="24"/>
              </w:rPr>
              <w:t>2005</w:t>
            </w:r>
          </w:p>
        </w:tc>
        <w:tc>
          <w:tcPr>
            <w:tcW w:w="1790" w:type="dxa"/>
            <w:gridSpan w:val="3"/>
            <w:vAlign w:val="center"/>
          </w:tcPr>
          <w:p w14:paraId="63B14EC5" w14:textId="77777777" w:rsidR="009A0A63" w:rsidRPr="00792B36" w:rsidRDefault="009A0A63" w:rsidP="00A24459">
            <w:pPr>
              <w:jc w:val="center"/>
              <w:rPr>
                <w:sz w:val="24"/>
                <w:szCs w:val="24"/>
              </w:rPr>
            </w:pPr>
            <w:r w:rsidRPr="00792B36">
              <w:rPr>
                <w:color w:val="000000"/>
                <w:sz w:val="24"/>
                <w:szCs w:val="24"/>
              </w:rPr>
              <w:t>577,878</w:t>
            </w:r>
          </w:p>
        </w:tc>
        <w:tc>
          <w:tcPr>
            <w:tcW w:w="1790" w:type="dxa"/>
            <w:vAlign w:val="center"/>
          </w:tcPr>
          <w:p w14:paraId="2427D879" w14:textId="77777777" w:rsidR="009A0A63" w:rsidRPr="00792B36" w:rsidRDefault="009A0A63" w:rsidP="00A24459">
            <w:pPr>
              <w:jc w:val="center"/>
              <w:rPr>
                <w:sz w:val="24"/>
                <w:szCs w:val="24"/>
              </w:rPr>
            </w:pPr>
            <w:r w:rsidRPr="00792B36">
              <w:rPr>
                <w:color w:val="000000"/>
                <w:sz w:val="24"/>
                <w:szCs w:val="24"/>
              </w:rPr>
              <w:t>594,553</w:t>
            </w:r>
          </w:p>
        </w:tc>
        <w:tc>
          <w:tcPr>
            <w:tcW w:w="1822" w:type="dxa"/>
            <w:vAlign w:val="center"/>
          </w:tcPr>
          <w:p w14:paraId="27A86BEE" w14:textId="77777777" w:rsidR="009A0A63" w:rsidRPr="00792B36" w:rsidRDefault="009A0A63" w:rsidP="00A24459">
            <w:pPr>
              <w:jc w:val="center"/>
              <w:rPr>
                <w:sz w:val="24"/>
                <w:szCs w:val="24"/>
              </w:rPr>
            </w:pPr>
            <w:r w:rsidRPr="00792B36">
              <w:rPr>
                <w:color w:val="000000"/>
                <w:sz w:val="24"/>
                <w:szCs w:val="24"/>
              </w:rPr>
              <w:t>551,722</w:t>
            </w:r>
          </w:p>
        </w:tc>
      </w:tr>
      <w:tr w:rsidR="009A0A63" w:rsidRPr="00792B36" w14:paraId="5393E276" w14:textId="77777777" w:rsidTr="00A24459">
        <w:trPr>
          <w:trHeight w:val="340"/>
        </w:trPr>
        <w:tc>
          <w:tcPr>
            <w:tcW w:w="2596" w:type="dxa"/>
            <w:gridSpan w:val="3"/>
            <w:vMerge/>
            <w:vAlign w:val="center"/>
          </w:tcPr>
          <w:p w14:paraId="7CE7A586" w14:textId="77777777" w:rsidR="009A0A63" w:rsidRPr="00792B36" w:rsidRDefault="009A0A63" w:rsidP="00A24459">
            <w:pPr>
              <w:rPr>
                <w:sz w:val="24"/>
                <w:szCs w:val="24"/>
              </w:rPr>
            </w:pPr>
          </w:p>
        </w:tc>
        <w:tc>
          <w:tcPr>
            <w:tcW w:w="1019" w:type="dxa"/>
            <w:gridSpan w:val="3"/>
            <w:vAlign w:val="center"/>
          </w:tcPr>
          <w:p w14:paraId="5DC5F94B" w14:textId="77777777" w:rsidR="009A0A63" w:rsidRPr="00792B36" w:rsidRDefault="009A0A63" w:rsidP="00A24459">
            <w:pPr>
              <w:jc w:val="center"/>
              <w:rPr>
                <w:sz w:val="24"/>
                <w:szCs w:val="24"/>
              </w:rPr>
            </w:pPr>
            <w:r w:rsidRPr="00792B36">
              <w:rPr>
                <w:color w:val="000000"/>
                <w:sz w:val="24"/>
                <w:szCs w:val="24"/>
              </w:rPr>
              <w:t>2010</w:t>
            </w:r>
          </w:p>
        </w:tc>
        <w:tc>
          <w:tcPr>
            <w:tcW w:w="1790" w:type="dxa"/>
            <w:gridSpan w:val="3"/>
            <w:vAlign w:val="center"/>
          </w:tcPr>
          <w:p w14:paraId="0EF9AD82" w14:textId="77777777" w:rsidR="009A0A63" w:rsidRPr="00792B36" w:rsidRDefault="009A0A63" w:rsidP="00A24459">
            <w:pPr>
              <w:jc w:val="center"/>
              <w:rPr>
                <w:sz w:val="24"/>
                <w:szCs w:val="24"/>
              </w:rPr>
            </w:pPr>
            <w:r w:rsidRPr="00792B36">
              <w:rPr>
                <w:color w:val="000000"/>
                <w:sz w:val="24"/>
                <w:szCs w:val="24"/>
              </w:rPr>
              <w:t>646,266</w:t>
            </w:r>
          </w:p>
        </w:tc>
        <w:tc>
          <w:tcPr>
            <w:tcW w:w="1790" w:type="dxa"/>
            <w:vAlign w:val="center"/>
          </w:tcPr>
          <w:p w14:paraId="1B81FFFD" w14:textId="77777777" w:rsidR="009A0A63" w:rsidRPr="00792B36" w:rsidRDefault="009A0A63" w:rsidP="00A24459">
            <w:pPr>
              <w:jc w:val="center"/>
              <w:rPr>
                <w:sz w:val="24"/>
                <w:szCs w:val="24"/>
              </w:rPr>
            </w:pPr>
            <w:r w:rsidRPr="00792B36">
              <w:rPr>
                <w:color w:val="000000"/>
                <w:sz w:val="24"/>
                <w:szCs w:val="24"/>
              </w:rPr>
              <w:t>670,027</w:t>
            </w:r>
          </w:p>
        </w:tc>
        <w:tc>
          <w:tcPr>
            <w:tcW w:w="1822" w:type="dxa"/>
            <w:vAlign w:val="center"/>
          </w:tcPr>
          <w:p w14:paraId="65464362" w14:textId="77777777" w:rsidR="009A0A63" w:rsidRPr="00792B36" w:rsidRDefault="009A0A63" w:rsidP="00A24459">
            <w:pPr>
              <w:jc w:val="center"/>
              <w:rPr>
                <w:sz w:val="24"/>
                <w:szCs w:val="24"/>
              </w:rPr>
            </w:pPr>
            <w:r w:rsidRPr="00792B36">
              <w:rPr>
                <w:color w:val="000000"/>
                <w:sz w:val="24"/>
                <w:szCs w:val="24"/>
              </w:rPr>
              <w:t>706,277</w:t>
            </w:r>
          </w:p>
        </w:tc>
      </w:tr>
      <w:tr w:rsidR="009A0A63" w:rsidRPr="00792B36" w14:paraId="0BCB7158" w14:textId="77777777" w:rsidTr="00A24459">
        <w:trPr>
          <w:trHeight w:val="340"/>
        </w:trPr>
        <w:tc>
          <w:tcPr>
            <w:tcW w:w="2596" w:type="dxa"/>
            <w:gridSpan w:val="3"/>
            <w:vMerge/>
            <w:vAlign w:val="center"/>
          </w:tcPr>
          <w:p w14:paraId="6B63BD3A" w14:textId="77777777" w:rsidR="009A0A63" w:rsidRPr="00792B36" w:rsidRDefault="009A0A63" w:rsidP="00A24459">
            <w:pPr>
              <w:rPr>
                <w:sz w:val="24"/>
                <w:szCs w:val="24"/>
              </w:rPr>
            </w:pPr>
          </w:p>
        </w:tc>
        <w:tc>
          <w:tcPr>
            <w:tcW w:w="1019" w:type="dxa"/>
            <w:gridSpan w:val="3"/>
            <w:vAlign w:val="center"/>
          </w:tcPr>
          <w:p w14:paraId="6C5F5DA4" w14:textId="77777777" w:rsidR="009A0A63" w:rsidRPr="00792B36" w:rsidRDefault="009A0A63" w:rsidP="00A24459">
            <w:pPr>
              <w:jc w:val="center"/>
              <w:rPr>
                <w:sz w:val="24"/>
                <w:szCs w:val="24"/>
              </w:rPr>
            </w:pPr>
            <w:r w:rsidRPr="00792B36">
              <w:rPr>
                <w:color w:val="000000"/>
                <w:sz w:val="24"/>
                <w:szCs w:val="24"/>
              </w:rPr>
              <w:t>2020</w:t>
            </w:r>
          </w:p>
        </w:tc>
        <w:tc>
          <w:tcPr>
            <w:tcW w:w="1790" w:type="dxa"/>
            <w:gridSpan w:val="3"/>
            <w:vAlign w:val="center"/>
          </w:tcPr>
          <w:p w14:paraId="21985B49" w14:textId="77777777" w:rsidR="009A0A63" w:rsidRPr="00792B36" w:rsidRDefault="009A0A63" w:rsidP="00A24459">
            <w:pPr>
              <w:jc w:val="center"/>
              <w:rPr>
                <w:sz w:val="24"/>
                <w:szCs w:val="24"/>
              </w:rPr>
            </w:pPr>
            <w:r w:rsidRPr="00792B36">
              <w:rPr>
                <w:color w:val="000000"/>
                <w:sz w:val="24"/>
                <w:szCs w:val="24"/>
              </w:rPr>
              <w:t>763,983</w:t>
            </w:r>
          </w:p>
        </w:tc>
        <w:tc>
          <w:tcPr>
            <w:tcW w:w="1790" w:type="dxa"/>
            <w:vAlign w:val="center"/>
          </w:tcPr>
          <w:p w14:paraId="6CF2B8FD" w14:textId="77777777" w:rsidR="009A0A63" w:rsidRPr="00792B36" w:rsidRDefault="009A0A63" w:rsidP="00A24459">
            <w:pPr>
              <w:jc w:val="center"/>
              <w:rPr>
                <w:sz w:val="24"/>
                <w:szCs w:val="24"/>
              </w:rPr>
            </w:pPr>
            <w:r w:rsidRPr="00792B36">
              <w:rPr>
                <w:color w:val="000000"/>
                <w:sz w:val="24"/>
                <w:szCs w:val="24"/>
              </w:rPr>
              <w:t>802,902</w:t>
            </w:r>
          </w:p>
        </w:tc>
        <w:tc>
          <w:tcPr>
            <w:tcW w:w="1822" w:type="dxa"/>
            <w:vAlign w:val="center"/>
          </w:tcPr>
          <w:p w14:paraId="36AFA7F7" w14:textId="77777777" w:rsidR="009A0A63" w:rsidRPr="00792B36" w:rsidRDefault="009A0A63" w:rsidP="00A24459">
            <w:pPr>
              <w:jc w:val="center"/>
              <w:rPr>
                <w:sz w:val="24"/>
                <w:szCs w:val="24"/>
              </w:rPr>
            </w:pPr>
            <w:r w:rsidRPr="00792B36">
              <w:rPr>
                <w:color w:val="000000"/>
                <w:sz w:val="24"/>
                <w:szCs w:val="24"/>
              </w:rPr>
              <w:t>1,070,209</w:t>
            </w:r>
          </w:p>
        </w:tc>
      </w:tr>
      <w:tr w:rsidR="009A0A63" w:rsidRPr="00792B36" w14:paraId="72662E7D" w14:textId="77777777" w:rsidTr="00A24459">
        <w:trPr>
          <w:trHeight w:val="340"/>
        </w:trPr>
        <w:tc>
          <w:tcPr>
            <w:tcW w:w="2596" w:type="dxa"/>
            <w:gridSpan w:val="3"/>
            <w:vMerge w:val="restart"/>
            <w:vAlign w:val="center"/>
          </w:tcPr>
          <w:p w14:paraId="16C802CE" w14:textId="77777777" w:rsidR="009A0A63" w:rsidRPr="00792B36" w:rsidRDefault="009A0A63" w:rsidP="00A24459">
            <w:pPr>
              <w:rPr>
                <w:sz w:val="24"/>
                <w:szCs w:val="24"/>
              </w:rPr>
            </w:pPr>
            <w:r w:rsidRPr="00792B36">
              <w:rPr>
                <w:color w:val="000000"/>
                <w:sz w:val="24"/>
                <w:szCs w:val="24"/>
              </w:rPr>
              <w:t>Chachoengsao</w:t>
            </w:r>
          </w:p>
        </w:tc>
        <w:tc>
          <w:tcPr>
            <w:tcW w:w="1019" w:type="dxa"/>
            <w:gridSpan w:val="3"/>
            <w:vAlign w:val="center"/>
          </w:tcPr>
          <w:p w14:paraId="12205767" w14:textId="77777777" w:rsidR="009A0A63" w:rsidRPr="00792B36" w:rsidRDefault="009A0A63" w:rsidP="00A24459">
            <w:pPr>
              <w:jc w:val="center"/>
              <w:rPr>
                <w:sz w:val="24"/>
                <w:szCs w:val="24"/>
              </w:rPr>
            </w:pPr>
            <w:r w:rsidRPr="00792B36">
              <w:rPr>
                <w:color w:val="000000"/>
                <w:sz w:val="24"/>
                <w:szCs w:val="24"/>
              </w:rPr>
              <w:t>2000</w:t>
            </w:r>
          </w:p>
        </w:tc>
        <w:tc>
          <w:tcPr>
            <w:tcW w:w="1790" w:type="dxa"/>
            <w:gridSpan w:val="3"/>
            <w:vAlign w:val="center"/>
          </w:tcPr>
          <w:p w14:paraId="7DC5D797" w14:textId="77777777" w:rsidR="009A0A63" w:rsidRPr="00792B36" w:rsidRDefault="009A0A63" w:rsidP="00A24459">
            <w:pPr>
              <w:jc w:val="center"/>
              <w:rPr>
                <w:sz w:val="24"/>
                <w:szCs w:val="24"/>
              </w:rPr>
            </w:pPr>
            <w:r w:rsidRPr="00792B36">
              <w:rPr>
                <w:color w:val="000000"/>
                <w:sz w:val="24"/>
                <w:szCs w:val="24"/>
              </w:rPr>
              <w:t>315,920</w:t>
            </w:r>
          </w:p>
        </w:tc>
        <w:tc>
          <w:tcPr>
            <w:tcW w:w="1790" w:type="dxa"/>
            <w:vAlign w:val="center"/>
          </w:tcPr>
          <w:p w14:paraId="29ECBF82" w14:textId="77777777" w:rsidR="009A0A63" w:rsidRPr="00792B36" w:rsidRDefault="009A0A63" w:rsidP="00A24459">
            <w:pPr>
              <w:jc w:val="center"/>
              <w:rPr>
                <w:sz w:val="24"/>
                <w:szCs w:val="24"/>
              </w:rPr>
            </w:pPr>
            <w:r w:rsidRPr="00792B36">
              <w:rPr>
                <w:color w:val="000000"/>
                <w:sz w:val="24"/>
                <w:szCs w:val="24"/>
              </w:rPr>
              <w:t>323,831</w:t>
            </w:r>
          </w:p>
        </w:tc>
        <w:tc>
          <w:tcPr>
            <w:tcW w:w="1822" w:type="dxa"/>
            <w:vAlign w:val="center"/>
          </w:tcPr>
          <w:p w14:paraId="7A7B973E" w14:textId="77777777" w:rsidR="009A0A63" w:rsidRPr="00792B36" w:rsidRDefault="009A0A63" w:rsidP="00A24459">
            <w:pPr>
              <w:jc w:val="center"/>
              <w:rPr>
                <w:sz w:val="24"/>
                <w:szCs w:val="24"/>
              </w:rPr>
            </w:pPr>
            <w:r w:rsidRPr="00792B36">
              <w:rPr>
                <w:color w:val="000000"/>
                <w:sz w:val="24"/>
                <w:szCs w:val="24"/>
              </w:rPr>
              <w:t>175,139</w:t>
            </w:r>
          </w:p>
        </w:tc>
      </w:tr>
      <w:tr w:rsidR="009A0A63" w:rsidRPr="00792B36" w14:paraId="6F3280D9" w14:textId="77777777" w:rsidTr="00A24459">
        <w:trPr>
          <w:trHeight w:val="340"/>
        </w:trPr>
        <w:tc>
          <w:tcPr>
            <w:tcW w:w="2596" w:type="dxa"/>
            <w:gridSpan w:val="3"/>
            <w:vMerge/>
            <w:vAlign w:val="center"/>
          </w:tcPr>
          <w:p w14:paraId="5512731C" w14:textId="77777777" w:rsidR="009A0A63" w:rsidRPr="00792B36" w:rsidRDefault="009A0A63" w:rsidP="00A24459">
            <w:pPr>
              <w:rPr>
                <w:sz w:val="24"/>
                <w:szCs w:val="24"/>
              </w:rPr>
            </w:pPr>
          </w:p>
        </w:tc>
        <w:tc>
          <w:tcPr>
            <w:tcW w:w="1019" w:type="dxa"/>
            <w:gridSpan w:val="3"/>
            <w:vAlign w:val="center"/>
          </w:tcPr>
          <w:p w14:paraId="3FD6E332" w14:textId="77777777" w:rsidR="009A0A63" w:rsidRPr="00792B36" w:rsidRDefault="009A0A63" w:rsidP="00A24459">
            <w:pPr>
              <w:jc w:val="center"/>
              <w:rPr>
                <w:sz w:val="24"/>
                <w:szCs w:val="24"/>
              </w:rPr>
            </w:pPr>
            <w:r w:rsidRPr="00792B36">
              <w:rPr>
                <w:color w:val="000000"/>
                <w:sz w:val="24"/>
                <w:szCs w:val="24"/>
              </w:rPr>
              <w:t>2005</w:t>
            </w:r>
          </w:p>
        </w:tc>
        <w:tc>
          <w:tcPr>
            <w:tcW w:w="1790" w:type="dxa"/>
            <w:gridSpan w:val="3"/>
            <w:vAlign w:val="center"/>
          </w:tcPr>
          <w:p w14:paraId="31D6CFD4" w14:textId="77777777" w:rsidR="009A0A63" w:rsidRPr="00792B36" w:rsidRDefault="009A0A63" w:rsidP="00A24459">
            <w:pPr>
              <w:jc w:val="center"/>
              <w:rPr>
                <w:sz w:val="24"/>
                <w:szCs w:val="24"/>
              </w:rPr>
            </w:pPr>
            <w:r w:rsidRPr="00792B36">
              <w:rPr>
                <w:color w:val="000000"/>
                <w:sz w:val="24"/>
                <w:szCs w:val="24"/>
              </w:rPr>
              <w:t>318,037</w:t>
            </w:r>
          </w:p>
        </w:tc>
        <w:tc>
          <w:tcPr>
            <w:tcW w:w="1790" w:type="dxa"/>
            <w:vAlign w:val="center"/>
          </w:tcPr>
          <w:p w14:paraId="18EFC99E" w14:textId="77777777" w:rsidR="009A0A63" w:rsidRPr="00792B36" w:rsidRDefault="009A0A63" w:rsidP="00A24459">
            <w:pPr>
              <w:jc w:val="center"/>
              <w:rPr>
                <w:sz w:val="24"/>
                <w:szCs w:val="24"/>
              </w:rPr>
            </w:pPr>
            <w:r w:rsidRPr="00792B36">
              <w:rPr>
                <w:color w:val="000000"/>
                <w:sz w:val="24"/>
                <w:szCs w:val="24"/>
              </w:rPr>
              <w:t>329,573</w:t>
            </w:r>
          </w:p>
        </w:tc>
        <w:tc>
          <w:tcPr>
            <w:tcW w:w="1822" w:type="dxa"/>
            <w:vAlign w:val="center"/>
          </w:tcPr>
          <w:p w14:paraId="42165E75" w14:textId="77777777" w:rsidR="009A0A63" w:rsidRPr="00792B36" w:rsidRDefault="009A0A63" w:rsidP="00A24459">
            <w:pPr>
              <w:jc w:val="center"/>
              <w:rPr>
                <w:sz w:val="24"/>
                <w:szCs w:val="24"/>
              </w:rPr>
            </w:pPr>
            <w:r w:rsidRPr="00792B36">
              <w:rPr>
                <w:color w:val="000000"/>
                <w:sz w:val="24"/>
                <w:szCs w:val="24"/>
              </w:rPr>
              <w:t>203,314</w:t>
            </w:r>
          </w:p>
        </w:tc>
      </w:tr>
      <w:tr w:rsidR="009A0A63" w:rsidRPr="00792B36" w14:paraId="7B731998" w14:textId="77777777" w:rsidTr="00A24459">
        <w:trPr>
          <w:trHeight w:val="340"/>
        </w:trPr>
        <w:tc>
          <w:tcPr>
            <w:tcW w:w="2596" w:type="dxa"/>
            <w:gridSpan w:val="3"/>
            <w:vMerge/>
            <w:vAlign w:val="center"/>
          </w:tcPr>
          <w:p w14:paraId="7F85F692" w14:textId="77777777" w:rsidR="009A0A63" w:rsidRPr="00792B36" w:rsidRDefault="009A0A63" w:rsidP="00A24459">
            <w:pPr>
              <w:rPr>
                <w:sz w:val="24"/>
                <w:szCs w:val="24"/>
              </w:rPr>
            </w:pPr>
          </w:p>
        </w:tc>
        <w:tc>
          <w:tcPr>
            <w:tcW w:w="1019" w:type="dxa"/>
            <w:gridSpan w:val="3"/>
            <w:vAlign w:val="center"/>
          </w:tcPr>
          <w:p w14:paraId="515134E7" w14:textId="77777777" w:rsidR="009A0A63" w:rsidRPr="00792B36" w:rsidRDefault="009A0A63" w:rsidP="00A24459">
            <w:pPr>
              <w:jc w:val="center"/>
              <w:rPr>
                <w:sz w:val="24"/>
                <w:szCs w:val="24"/>
              </w:rPr>
            </w:pPr>
            <w:r w:rsidRPr="00792B36">
              <w:rPr>
                <w:color w:val="000000"/>
                <w:sz w:val="24"/>
                <w:szCs w:val="24"/>
              </w:rPr>
              <w:t>2010</w:t>
            </w:r>
          </w:p>
        </w:tc>
        <w:tc>
          <w:tcPr>
            <w:tcW w:w="1790" w:type="dxa"/>
            <w:gridSpan w:val="3"/>
            <w:vAlign w:val="center"/>
          </w:tcPr>
          <w:p w14:paraId="3367511E" w14:textId="77777777" w:rsidR="009A0A63" w:rsidRPr="00792B36" w:rsidRDefault="009A0A63" w:rsidP="00A24459">
            <w:pPr>
              <w:jc w:val="center"/>
              <w:rPr>
                <w:sz w:val="24"/>
                <w:szCs w:val="24"/>
              </w:rPr>
            </w:pPr>
            <w:r w:rsidRPr="00792B36">
              <w:rPr>
                <w:color w:val="000000"/>
                <w:sz w:val="24"/>
                <w:szCs w:val="24"/>
              </w:rPr>
              <w:t>330,716</w:t>
            </w:r>
          </w:p>
        </w:tc>
        <w:tc>
          <w:tcPr>
            <w:tcW w:w="1790" w:type="dxa"/>
            <w:vAlign w:val="center"/>
          </w:tcPr>
          <w:p w14:paraId="1D9FC584" w14:textId="77777777" w:rsidR="009A0A63" w:rsidRPr="00792B36" w:rsidRDefault="009A0A63" w:rsidP="00A24459">
            <w:pPr>
              <w:jc w:val="center"/>
              <w:rPr>
                <w:sz w:val="24"/>
                <w:szCs w:val="24"/>
              </w:rPr>
            </w:pPr>
            <w:r w:rsidRPr="00792B36">
              <w:rPr>
                <w:color w:val="000000"/>
                <w:sz w:val="24"/>
                <w:szCs w:val="24"/>
              </w:rPr>
              <w:t>343,217</w:t>
            </w:r>
          </w:p>
        </w:tc>
        <w:tc>
          <w:tcPr>
            <w:tcW w:w="1822" w:type="dxa"/>
            <w:vAlign w:val="center"/>
          </w:tcPr>
          <w:p w14:paraId="156915B9" w14:textId="77777777" w:rsidR="009A0A63" w:rsidRPr="00792B36" w:rsidRDefault="009A0A63" w:rsidP="00A24459">
            <w:pPr>
              <w:jc w:val="center"/>
              <w:rPr>
                <w:sz w:val="24"/>
                <w:szCs w:val="24"/>
              </w:rPr>
            </w:pPr>
            <w:r w:rsidRPr="00792B36">
              <w:rPr>
                <w:color w:val="000000"/>
                <w:sz w:val="24"/>
                <w:szCs w:val="24"/>
              </w:rPr>
              <w:t>235,328</w:t>
            </w:r>
          </w:p>
        </w:tc>
      </w:tr>
      <w:tr w:rsidR="009A0A63" w:rsidRPr="00792B36" w14:paraId="3D9CBE43" w14:textId="77777777" w:rsidTr="00A24459">
        <w:trPr>
          <w:trHeight w:val="340"/>
        </w:trPr>
        <w:tc>
          <w:tcPr>
            <w:tcW w:w="2596" w:type="dxa"/>
            <w:gridSpan w:val="3"/>
            <w:vMerge/>
            <w:vAlign w:val="center"/>
          </w:tcPr>
          <w:p w14:paraId="09A9CFB0" w14:textId="77777777" w:rsidR="009A0A63" w:rsidRPr="00792B36" w:rsidRDefault="009A0A63" w:rsidP="00A24459">
            <w:pPr>
              <w:rPr>
                <w:sz w:val="24"/>
                <w:szCs w:val="24"/>
              </w:rPr>
            </w:pPr>
          </w:p>
        </w:tc>
        <w:tc>
          <w:tcPr>
            <w:tcW w:w="1019" w:type="dxa"/>
            <w:gridSpan w:val="3"/>
            <w:vAlign w:val="center"/>
          </w:tcPr>
          <w:p w14:paraId="529142F7" w14:textId="77777777" w:rsidR="009A0A63" w:rsidRPr="00792B36" w:rsidRDefault="009A0A63" w:rsidP="00A24459">
            <w:pPr>
              <w:jc w:val="center"/>
              <w:rPr>
                <w:sz w:val="24"/>
                <w:szCs w:val="24"/>
              </w:rPr>
            </w:pPr>
            <w:r w:rsidRPr="00792B36">
              <w:rPr>
                <w:color w:val="000000"/>
                <w:sz w:val="24"/>
                <w:szCs w:val="24"/>
              </w:rPr>
              <w:t>2020</w:t>
            </w:r>
          </w:p>
        </w:tc>
        <w:tc>
          <w:tcPr>
            <w:tcW w:w="1790" w:type="dxa"/>
            <w:gridSpan w:val="3"/>
            <w:vAlign w:val="center"/>
          </w:tcPr>
          <w:p w14:paraId="29C2E821" w14:textId="77777777" w:rsidR="009A0A63" w:rsidRPr="00792B36" w:rsidRDefault="009A0A63" w:rsidP="00A24459">
            <w:pPr>
              <w:jc w:val="center"/>
              <w:rPr>
                <w:sz w:val="24"/>
                <w:szCs w:val="24"/>
              </w:rPr>
            </w:pPr>
            <w:r w:rsidRPr="00792B36">
              <w:rPr>
                <w:color w:val="000000"/>
                <w:sz w:val="24"/>
                <w:szCs w:val="24"/>
              </w:rPr>
              <w:t>353,442</w:t>
            </w:r>
          </w:p>
        </w:tc>
        <w:tc>
          <w:tcPr>
            <w:tcW w:w="1790" w:type="dxa"/>
            <w:vAlign w:val="center"/>
          </w:tcPr>
          <w:p w14:paraId="35501122" w14:textId="77777777" w:rsidR="009A0A63" w:rsidRPr="00792B36" w:rsidRDefault="009A0A63" w:rsidP="00A24459">
            <w:pPr>
              <w:jc w:val="center"/>
              <w:rPr>
                <w:sz w:val="24"/>
                <w:szCs w:val="24"/>
              </w:rPr>
            </w:pPr>
            <w:r w:rsidRPr="00792B36">
              <w:rPr>
                <w:color w:val="000000"/>
                <w:sz w:val="24"/>
                <w:szCs w:val="24"/>
              </w:rPr>
              <w:t>367,276</w:t>
            </w:r>
          </w:p>
        </w:tc>
        <w:tc>
          <w:tcPr>
            <w:tcW w:w="1822" w:type="dxa"/>
            <w:vAlign w:val="center"/>
          </w:tcPr>
          <w:p w14:paraId="5BAE0258" w14:textId="77777777" w:rsidR="009A0A63" w:rsidRPr="00792B36" w:rsidRDefault="009A0A63" w:rsidP="00A24459">
            <w:pPr>
              <w:jc w:val="center"/>
              <w:rPr>
                <w:sz w:val="24"/>
                <w:szCs w:val="24"/>
              </w:rPr>
            </w:pPr>
            <w:r w:rsidRPr="00792B36">
              <w:rPr>
                <w:color w:val="000000"/>
                <w:sz w:val="24"/>
                <w:szCs w:val="24"/>
              </w:rPr>
              <w:t>313,586</w:t>
            </w:r>
          </w:p>
        </w:tc>
      </w:tr>
      <w:tr w:rsidR="009A0A63" w:rsidRPr="00792B36" w14:paraId="29C5CC08" w14:textId="77777777" w:rsidTr="00A24459">
        <w:trPr>
          <w:trHeight w:val="340"/>
        </w:trPr>
        <w:tc>
          <w:tcPr>
            <w:tcW w:w="2596" w:type="dxa"/>
            <w:gridSpan w:val="3"/>
            <w:vMerge w:val="restart"/>
            <w:vAlign w:val="center"/>
          </w:tcPr>
          <w:p w14:paraId="413BF771" w14:textId="77777777" w:rsidR="009A0A63" w:rsidRPr="00792B36" w:rsidRDefault="009A0A63" w:rsidP="00A24459">
            <w:pPr>
              <w:rPr>
                <w:sz w:val="24"/>
                <w:szCs w:val="24"/>
              </w:rPr>
            </w:pPr>
            <w:r w:rsidRPr="00792B36">
              <w:rPr>
                <w:color w:val="000000"/>
                <w:sz w:val="24"/>
                <w:szCs w:val="24"/>
              </w:rPr>
              <w:t>Samut Sakhon</w:t>
            </w:r>
          </w:p>
        </w:tc>
        <w:tc>
          <w:tcPr>
            <w:tcW w:w="1019" w:type="dxa"/>
            <w:gridSpan w:val="3"/>
            <w:vAlign w:val="center"/>
          </w:tcPr>
          <w:p w14:paraId="3490817E" w14:textId="77777777" w:rsidR="009A0A63" w:rsidRPr="00792B36" w:rsidRDefault="009A0A63" w:rsidP="00A24459">
            <w:pPr>
              <w:jc w:val="center"/>
              <w:rPr>
                <w:sz w:val="24"/>
                <w:szCs w:val="24"/>
              </w:rPr>
            </w:pPr>
            <w:r w:rsidRPr="00792B36">
              <w:rPr>
                <w:color w:val="000000"/>
                <w:sz w:val="24"/>
                <w:szCs w:val="24"/>
              </w:rPr>
              <w:t>2000</w:t>
            </w:r>
          </w:p>
        </w:tc>
        <w:tc>
          <w:tcPr>
            <w:tcW w:w="1790" w:type="dxa"/>
            <w:gridSpan w:val="3"/>
            <w:vAlign w:val="center"/>
          </w:tcPr>
          <w:p w14:paraId="26C497A4" w14:textId="77777777" w:rsidR="009A0A63" w:rsidRPr="00792B36" w:rsidRDefault="009A0A63" w:rsidP="00A24459">
            <w:pPr>
              <w:jc w:val="center"/>
              <w:rPr>
                <w:sz w:val="24"/>
                <w:szCs w:val="24"/>
              </w:rPr>
            </w:pPr>
            <w:r w:rsidRPr="00792B36">
              <w:rPr>
                <w:color w:val="000000"/>
                <w:sz w:val="24"/>
                <w:szCs w:val="24"/>
              </w:rPr>
              <w:t>210,494</w:t>
            </w:r>
          </w:p>
        </w:tc>
        <w:tc>
          <w:tcPr>
            <w:tcW w:w="1790" w:type="dxa"/>
            <w:vAlign w:val="center"/>
          </w:tcPr>
          <w:p w14:paraId="5EFA3263" w14:textId="77777777" w:rsidR="009A0A63" w:rsidRPr="00792B36" w:rsidRDefault="009A0A63" w:rsidP="00A24459">
            <w:pPr>
              <w:jc w:val="center"/>
              <w:rPr>
                <w:sz w:val="24"/>
                <w:szCs w:val="24"/>
              </w:rPr>
            </w:pPr>
            <w:r w:rsidRPr="00792B36">
              <w:rPr>
                <w:color w:val="000000"/>
                <w:sz w:val="24"/>
                <w:szCs w:val="24"/>
              </w:rPr>
              <w:t>218,320</w:t>
            </w:r>
          </w:p>
        </w:tc>
        <w:tc>
          <w:tcPr>
            <w:tcW w:w="1822" w:type="dxa"/>
            <w:vAlign w:val="center"/>
          </w:tcPr>
          <w:p w14:paraId="3F6BE891" w14:textId="77777777" w:rsidR="009A0A63" w:rsidRPr="00792B36" w:rsidRDefault="009A0A63" w:rsidP="00A24459">
            <w:pPr>
              <w:jc w:val="center"/>
              <w:rPr>
                <w:sz w:val="24"/>
                <w:szCs w:val="24"/>
              </w:rPr>
            </w:pPr>
            <w:r w:rsidRPr="00792B36">
              <w:rPr>
                <w:color w:val="000000"/>
                <w:sz w:val="24"/>
                <w:szCs w:val="24"/>
              </w:rPr>
              <w:t>161,658</w:t>
            </w:r>
          </w:p>
        </w:tc>
      </w:tr>
      <w:tr w:rsidR="009A0A63" w:rsidRPr="00792B36" w14:paraId="7E0FAF27" w14:textId="77777777" w:rsidTr="00A24459">
        <w:trPr>
          <w:trHeight w:val="340"/>
        </w:trPr>
        <w:tc>
          <w:tcPr>
            <w:tcW w:w="2596" w:type="dxa"/>
            <w:gridSpan w:val="3"/>
            <w:vMerge/>
            <w:vAlign w:val="center"/>
          </w:tcPr>
          <w:p w14:paraId="24312214" w14:textId="77777777" w:rsidR="009A0A63" w:rsidRPr="00792B36" w:rsidRDefault="009A0A63" w:rsidP="00A24459">
            <w:pPr>
              <w:rPr>
                <w:sz w:val="24"/>
                <w:szCs w:val="24"/>
              </w:rPr>
            </w:pPr>
          </w:p>
        </w:tc>
        <w:tc>
          <w:tcPr>
            <w:tcW w:w="1019" w:type="dxa"/>
            <w:gridSpan w:val="3"/>
            <w:vAlign w:val="center"/>
          </w:tcPr>
          <w:p w14:paraId="0BF52492" w14:textId="77777777" w:rsidR="009A0A63" w:rsidRPr="00792B36" w:rsidRDefault="009A0A63" w:rsidP="00A24459">
            <w:pPr>
              <w:jc w:val="center"/>
              <w:rPr>
                <w:sz w:val="24"/>
                <w:szCs w:val="24"/>
              </w:rPr>
            </w:pPr>
            <w:r w:rsidRPr="00792B36">
              <w:rPr>
                <w:color w:val="000000"/>
                <w:sz w:val="24"/>
                <w:szCs w:val="24"/>
              </w:rPr>
              <w:t>2005</w:t>
            </w:r>
          </w:p>
        </w:tc>
        <w:tc>
          <w:tcPr>
            <w:tcW w:w="1790" w:type="dxa"/>
            <w:gridSpan w:val="3"/>
            <w:vAlign w:val="center"/>
          </w:tcPr>
          <w:p w14:paraId="5688BD92" w14:textId="77777777" w:rsidR="009A0A63" w:rsidRPr="00792B36" w:rsidRDefault="009A0A63" w:rsidP="00A24459">
            <w:pPr>
              <w:jc w:val="center"/>
              <w:rPr>
                <w:sz w:val="24"/>
                <w:szCs w:val="24"/>
              </w:rPr>
            </w:pPr>
            <w:r w:rsidRPr="00792B36">
              <w:rPr>
                <w:color w:val="000000"/>
                <w:sz w:val="24"/>
                <w:szCs w:val="24"/>
              </w:rPr>
              <w:t>219,731</w:t>
            </w:r>
          </w:p>
        </w:tc>
        <w:tc>
          <w:tcPr>
            <w:tcW w:w="1790" w:type="dxa"/>
            <w:vAlign w:val="center"/>
          </w:tcPr>
          <w:p w14:paraId="56DD5D49" w14:textId="77777777" w:rsidR="009A0A63" w:rsidRPr="00792B36" w:rsidRDefault="009A0A63" w:rsidP="00A24459">
            <w:pPr>
              <w:jc w:val="center"/>
              <w:rPr>
                <w:sz w:val="24"/>
                <w:szCs w:val="24"/>
              </w:rPr>
            </w:pPr>
            <w:r w:rsidRPr="00792B36">
              <w:rPr>
                <w:color w:val="000000"/>
                <w:sz w:val="24"/>
                <w:szCs w:val="24"/>
              </w:rPr>
              <w:t>232,286</w:t>
            </w:r>
          </w:p>
        </w:tc>
        <w:tc>
          <w:tcPr>
            <w:tcW w:w="1822" w:type="dxa"/>
            <w:vAlign w:val="center"/>
          </w:tcPr>
          <w:p w14:paraId="05508BCB" w14:textId="77777777" w:rsidR="009A0A63" w:rsidRPr="00792B36" w:rsidRDefault="009A0A63" w:rsidP="00A24459">
            <w:pPr>
              <w:jc w:val="center"/>
              <w:rPr>
                <w:sz w:val="24"/>
                <w:szCs w:val="24"/>
              </w:rPr>
            </w:pPr>
            <w:r w:rsidRPr="00792B36">
              <w:rPr>
                <w:color w:val="000000"/>
                <w:sz w:val="24"/>
                <w:szCs w:val="24"/>
              </w:rPr>
              <w:t>193,350</w:t>
            </w:r>
          </w:p>
        </w:tc>
      </w:tr>
      <w:tr w:rsidR="009A0A63" w:rsidRPr="00792B36" w14:paraId="73D94E96" w14:textId="77777777" w:rsidTr="00A24459">
        <w:trPr>
          <w:trHeight w:val="340"/>
        </w:trPr>
        <w:tc>
          <w:tcPr>
            <w:tcW w:w="2596" w:type="dxa"/>
            <w:gridSpan w:val="3"/>
            <w:vMerge/>
            <w:vAlign w:val="center"/>
          </w:tcPr>
          <w:p w14:paraId="3ABF6527" w14:textId="77777777" w:rsidR="009A0A63" w:rsidRPr="00792B36" w:rsidRDefault="009A0A63" w:rsidP="00A24459">
            <w:pPr>
              <w:rPr>
                <w:sz w:val="24"/>
                <w:szCs w:val="24"/>
              </w:rPr>
            </w:pPr>
          </w:p>
        </w:tc>
        <w:tc>
          <w:tcPr>
            <w:tcW w:w="1019" w:type="dxa"/>
            <w:gridSpan w:val="3"/>
            <w:vAlign w:val="center"/>
          </w:tcPr>
          <w:p w14:paraId="5B9857EB" w14:textId="77777777" w:rsidR="009A0A63" w:rsidRPr="00792B36" w:rsidRDefault="009A0A63" w:rsidP="00A24459">
            <w:pPr>
              <w:jc w:val="center"/>
              <w:rPr>
                <w:sz w:val="24"/>
                <w:szCs w:val="24"/>
              </w:rPr>
            </w:pPr>
            <w:r w:rsidRPr="00792B36">
              <w:rPr>
                <w:color w:val="000000"/>
                <w:sz w:val="24"/>
                <w:szCs w:val="24"/>
              </w:rPr>
              <w:t>2010</w:t>
            </w:r>
          </w:p>
        </w:tc>
        <w:tc>
          <w:tcPr>
            <w:tcW w:w="1790" w:type="dxa"/>
            <w:gridSpan w:val="3"/>
            <w:vAlign w:val="center"/>
          </w:tcPr>
          <w:p w14:paraId="7E71A889" w14:textId="77777777" w:rsidR="009A0A63" w:rsidRPr="00792B36" w:rsidRDefault="009A0A63" w:rsidP="00A24459">
            <w:pPr>
              <w:jc w:val="center"/>
              <w:rPr>
                <w:sz w:val="24"/>
                <w:szCs w:val="24"/>
              </w:rPr>
            </w:pPr>
            <w:r w:rsidRPr="00792B36">
              <w:rPr>
                <w:color w:val="000000"/>
                <w:sz w:val="24"/>
                <w:szCs w:val="24"/>
              </w:rPr>
              <w:t>237,906</w:t>
            </w:r>
          </w:p>
        </w:tc>
        <w:tc>
          <w:tcPr>
            <w:tcW w:w="1790" w:type="dxa"/>
            <w:vAlign w:val="center"/>
          </w:tcPr>
          <w:p w14:paraId="695B8BA0" w14:textId="77777777" w:rsidR="009A0A63" w:rsidRPr="00792B36" w:rsidRDefault="009A0A63" w:rsidP="00A24459">
            <w:pPr>
              <w:jc w:val="center"/>
              <w:rPr>
                <w:sz w:val="24"/>
                <w:szCs w:val="24"/>
              </w:rPr>
            </w:pPr>
            <w:r w:rsidRPr="00792B36">
              <w:rPr>
                <w:color w:val="000000"/>
                <w:sz w:val="24"/>
                <w:szCs w:val="24"/>
              </w:rPr>
              <w:t>253,981</w:t>
            </w:r>
          </w:p>
        </w:tc>
        <w:tc>
          <w:tcPr>
            <w:tcW w:w="1822" w:type="dxa"/>
            <w:vAlign w:val="center"/>
          </w:tcPr>
          <w:p w14:paraId="78085CB4" w14:textId="77777777" w:rsidR="009A0A63" w:rsidRPr="00792B36" w:rsidRDefault="009A0A63" w:rsidP="00A24459">
            <w:pPr>
              <w:jc w:val="center"/>
              <w:rPr>
                <w:sz w:val="24"/>
                <w:szCs w:val="24"/>
              </w:rPr>
            </w:pPr>
            <w:r w:rsidRPr="00792B36">
              <w:rPr>
                <w:color w:val="000000"/>
                <w:sz w:val="24"/>
                <w:szCs w:val="24"/>
              </w:rPr>
              <w:t>233,668</w:t>
            </w:r>
          </w:p>
        </w:tc>
      </w:tr>
      <w:tr w:rsidR="009A0A63" w:rsidRPr="00792B36" w14:paraId="769C2C3D" w14:textId="77777777" w:rsidTr="00A24459">
        <w:trPr>
          <w:trHeight w:val="340"/>
        </w:trPr>
        <w:tc>
          <w:tcPr>
            <w:tcW w:w="2596" w:type="dxa"/>
            <w:gridSpan w:val="3"/>
            <w:vMerge/>
            <w:vAlign w:val="center"/>
          </w:tcPr>
          <w:p w14:paraId="72A8D197" w14:textId="77777777" w:rsidR="009A0A63" w:rsidRPr="00792B36" w:rsidRDefault="009A0A63" w:rsidP="00A24459">
            <w:pPr>
              <w:rPr>
                <w:sz w:val="24"/>
                <w:szCs w:val="24"/>
              </w:rPr>
            </w:pPr>
          </w:p>
        </w:tc>
        <w:tc>
          <w:tcPr>
            <w:tcW w:w="1019" w:type="dxa"/>
            <w:gridSpan w:val="3"/>
            <w:vAlign w:val="center"/>
          </w:tcPr>
          <w:p w14:paraId="517D8CDC" w14:textId="77777777" w:rsidR="009A0A63" w:rsidRPr="00792B36" w:rsidRDefault="009A0A63" w:rsidP="00A24459">
            <w:pPr>
              <w:jc w:val="center"/>
              <w:rPr>
                <w:sz w:val="24"/>
                <w:szCs w:val="24"/>
              </w:rPr>
            </w:pPr>
            <w:r w:rsidRPr="00792B36">
              <w:rPr>
                <w:color w:val="000000"/>
                <w:sz w:val="24"/>
                <w:szCs w:val="24"/>
              </w:rPr>
              <w:t>2020</w:t>
            </w:r>
          </w:p>
        </w:tc>
        <w:tc>
          <w:tcPr>
            <w:tcW w:w="1790" w:type="dxa"/>
            <w:gridSpan w:val="3"/>
            <w:vAlign w:val="center"/>
          </w:tcPr>
          <w:p w14:paraId="5891A944" w14:textId="77777777" w:rsidR="009A0A63" w:rsidRPr="00792B36" w:rsidRDefault="009A0A63" w:rsidP="00A24459">
            <w:pPr>
              <w:jc w:val="center"/>
              <w:rPr>
                <w:sz w:val="24"/>
                <w:szCs w:val="24"/>
              </w:rPr>
            </w:pPr>
            <w:r w:rsidRPr="00792B36">
              <w:rPr>
                <w:color w:val="000000"/>
                <w:sz w:val="24"/>
                <w:szCs w:val="24"/>
              </w:rPr>
              <w:t>282,723</w:t>
            </w:r>
          </w:p>
        </w:tc>
        <w:tc>
          <w:tcPr>
            <w:tcW w:w="1790" w:type="dxa"/>
            <w:vAlign w:val="center"/>
          </w:tcPr>
          <w:p w14:paraId="67176B45" w14:textId="77777777" w:rsidR="009A0A63" w:rsidRPr="00792B36" w:rsidRDefault="009A0A63" w:rsidP="00A24459">
            <w:pPr>
              <w:jc w:val="center"/>
              <w:rPr>
                <w:sz w:val="24"/>
                <w:szCs w:val="24"/>
              </w:rPr>
            </w:pPr>
            <w:r w:rsidRPr="00792B36">
              <w:rPr>
                <w:color w:val="000000"/>
                <w:sz w:val="24"/>
                <w:szCs w:val="24"/>
              </w:rPr>
              <w:t>303,476</w:t>
            </w:r>
          </w:p>
        </w:tc>
        <w:tc>
          <w:tcPr>
            <w:tcW w:w="1822" w:type="dxa"/>
            <w:vAlign w:val="center"/>
          </w:tcPr>
          <w:p w14:paraId="087B208B" w14:textId="77777777" w:rsidR="009A0A63" w:rsidRPr="00792B36" w:rsidRDefault="009A0A63" w:rsidP="00A24459">
            <w:pPr>
              <w:jc w:val="center"/>
              <w:rPr>
                <w:sz w:val="24"/>
                <w:szCs w:val="24"/>
              </w:rPr>
            </w:pPr>
            <w:r w:rsidRPr="00792B36">
              <w:rPr>
                <w:color w:val="000000"/>
                <w:sz w:val="24"/>
                <w:szCs w:val="24"/>
              </w:rPr>
              <w:t>296,825</w:t>
            </w:r>
          </w:p>
        </w:tc>
      </w:tr>
      <w:tr w:rsidR="009A0A63" w:rsidRPr="00792B36" w14:paraId="4029EB3D" w14:textId="77777777" w:rsidTr="00A24459">
        <w:trPr>
          <w:trHeight w:val="340"/>
        </w:trPr>
        <w:tc>
          <w:tcPr>
            <w:tcW w:w="2596" w:type="dxa"/>
            <w:gridSpan w:val="3"/>
            <w:vMerge w:val="restart"/>
            <w:vAlign w:val="center"/>
          </w:tcPr>
          <w:p w14:paraId="605A25C1" w14:textId="77777777" w:rsidR="009A0A63" w:rsidRPr="00792B36" w:rsidRDefault="009A0A63" w:rsidP="00A24459">
            <w:pPr>
              <w:rPr>
                <w:sz w:val="24"/>
                <w:szCs w:val="24"/>
              </w:rPr>
            </w:pPr>
            <w:r w:rsidRPr="00792B36">
              <w:rPr>
                <w:color w:val="000000"/>
                <w:sz w:val="24"/>
                <w:szCs w:val="24"/>
              </w:rPr>
              <w:t>Samut Songkhram</w:t>
            </w:r>
          </w:p>
        </w:tc>
        <w:tc>
          <w:tcPr>
            <w:tcW w:w="1019" w:type="dxa"/>
            <w:gridSpan w:val="3"/>
            <w:vAlign w:val="center"/>
          </w:tcPr>
          <w:p w14:paraId="7D675838" w14:textId="77777777" w:rsidR="009A0A63" w:rsidRPr="00792B36" w:rsidRDefault="009A0A63" w:rsidP="00A24459">
            <w:pPr>
              <w:jc w:val="center"/>
              <w:rPr>
                <w:sz w:val="24"/>
                <w:szCs w:val="24"/>
              </w:rPr>
            </w:pPr>
            <w:r w:rsidRPr="00792B36">
              <w:rPr>
                <w:color w:val="000000"/>
                <w:sz w:val="24"/>
                <w:szCs w:val="24"/>
              </w:rPr>
              <w:t>2000</w:t>
            </w:r>
          </w:p>
        </w:tc>
        <w:tc>
          <w:tcPr>
            <w:tcW w:w="1790" w:type="dxa"/>
            <w:gridSpan w:val="3"/>
            <w:vAlign w:val="center"/>
          </w:tcPr>
          <w:p w14:paraId="00B046E5" w14:textId="77777777" w:rsidR="009A0A63" w:rsidRPr="00792B36" w:rsidRDefault="009A0A63" w:rsidP="00A24459">
            <w:pPr>
              <w:jc w:val="center"/>
              <w:rPr>
                <w:sz w:val="24"/>
                <w:szCs w:val="24"/>
              </w:rPr>
            </w:pPr>
            <w:r w:rsidRPr="00792B36">
              <w:rPr>
                <w:color w:val="000000"/>
                <w:sz w:val="24"/>
                <w:szCs w:val="24"/>
              </w:rPr>
              <w:t>99,493</w:t>
            </w:r>
          </w:p>
        </w:tc>
        <w:tc>
          <w:tcPr>
            <w:tcW w:w="1790" w:type="dxa"/>
            <w:vAlign w:val="center"/>
          </w:tcPr>
          <w:p w14:paraId="059C7DE9" w14:textId="77777777" w:rsidR="009A0A63" w:rsidRPr="00792B36" w:rsidRDefault="009A0A63" w:rsidP="00A24459">
            <w:pPr>
              <w:jc w:val="center"/>
              <w:rPr>
                <w:sz w:val="24"/>
                <w:szCs w:val="24"/>
              </w:rPr>
            </w:pPr>
            <w:r w:rsidRPr="00792B36">
              <w:rPr>
                <w:color w:val="000000"/>
                <w:sz w:val="24"/>
                <w:szCs w:val="24"/>
              </w:rPr>
              <w:t>105,502</w:t>
            </w:r>
          </w:p>
        </w:tc>
        <w:tc>
          <w:tcPr>
            <w:tcW w:w="1822" w:type="dxa"/>
            <w:vAlign w:val="center"/>
          </w:tcPr>
          <w:p w14:paraId="5F970865" w14:textId="77777777" w:rsidR="009A0A63" w:rsidRPr="00792B36" w:rsidRDefault="009A0A63" w:rsidP="00A24459">
            <w:pPr>
              <w:jc w:val="center"/>
              <w:rPr>
                <w:sz w:val="24"/>
                <w:szCs w:val="24"/>
              </w:rPr>
            </w:pPr>
            <w:r w:rsidRPr="00792B36">
              <w:rPr>
                <w:color w:val="000000"/>
                <w:sz w:val="24"/>
                <w:szCs w:val="24"/>
              </w:rPr>
              <w:t>45,642</w:t>
            </w:r>
          </w:p>
        </w:tc>
      </w:tr>
      <w:tr w:rsidR="009A0A63" w:rsidRPr="00792B36" w14:paraId="403528CE" w14:textId="77777777" w:rsidTr="00A24459">
        <w:trPr>
          <w:trHeight w:val="340"/>
        </w:trPr>
        <w:tc>
          <w:tcPr>
            <w:tcW w:w="2596" w:type="dxa"/>
            <w:gridSpan w:val="3"/>
            <w:vMerge/>
            <w:vAlign w:val="center"/>
          </w:tcPr>
          <w:p w14:paraId="23324B8B" w14:textId="77777777" w:rsidR="009A0A63" w:rsidRPr="00792B36" w:rsidRDefault="009A0A63" w:rsidP="00A24459">
            <w:pPr>
              <w:jc w:val="center"/>
              <w:rPr>
                <w:sz w:val="24"/>
                <w:szCs w:val="24"/>
              </w:rPr>
            </w:pPr>
          </w:p>
        </w:tc>
        <w:tc>
          <w:tcPr>
            <w:tcW w:w="1019" w:type="dxa"/>
            <w:gridSpan w:val="3"/>
            <w:vAlign w:val="center"/>
          </w:tcPr>
          <w:p w14:paraId="5B88D8CE" w14:textId="77777777" w:rsidR="009A0A63" w:rsidRPr="00792B36" w:rsidRDefault="009A0A63" w:rsidP="00A24459">
            <w:pPr>
              <w:jc w:val="center"/>
              <w:rPr>
                <w:sz w:val="24"/>
                <w:szCs w:val="24"/>
              </w:rPr>
            </w:pPr>
            <w:r w:rsidRPr="00792B36">
              <w:rPr>
                <w:color w:val="000000"/>
                <w:sz w:val="24"/>
                <w:szCs w:val="24"/>
              </w:rPr>
              <w:t>2005</w:t>
            </w:r>
          </w:p>
        </w:tc>
        <w:tc>
          <w:tcPr>
            <w:tcW w:w="1790" w:type="dxa"/>
            <w:gridSpan w:val="3"/>
            <w:vAlign w:val="center"/>
          </w:tcPr>
          <w:p w14:paraId="2BF2315A" w14:textId="77777777" w:rsidR="009A0A63" w:rsidRPr="00792B36" w:rsidRDefault="009A0A63" w:rsidP="00A24459">
            <w:pPr>
              <w:jc w:val="center"/>
              <w:rPr>
                <w:sz w:val="24"/>
                <w:szCs w:val="24"/>
              </w:rPr>
            </w:pPr>
            <w:r w:rsidRPr="00792B36">
              <w:rPr>
                <w:color w:val="000000"/>
                <w:sz w:val="24"/>
                <w:szCs w:val="24"/>
              </w:rPr>
              <w:t>93,893</w:t>
            </w:r>
          </w:p>
        </w:tc>
        <w:tc>
          <w:tcPr>
            <w:tcW w:w="1790" w:type="dxa"/>
            <w:vAlign w:val="center"/>
          </w:tcPr>
          <w:p w14:paraId="055C0D5C" w14:textId="77777777" w:rsidR="009A0A63" w:rsidRPr="00792B36" w:rsidRDefault="009A0A63" w:rsidP="00A24459">
            <w:pPr>
              <w:jc w:val="center"/>
              <w:rPr>
                <w:sz w:val="24"/>
                <w:szCs w:val="24"/>
              </w:rPr>
            </w:pPr>
            <w:r w:rsidRPr="00792B36">
              <w:rPr>
                <w:color w:val="000000"/>
                <w:sz w:val="24"/>
                <w:szCs w:val="24"/>
              </w:rPr>
              <w:t>101,175</w:t>
            </w:r>
          </w:p>
        </w:tc>
        <w:tc>
          <w:tcPr>
            <w:tcW w:w="1822" w:type="dxa"/>
            <w:vAlign w:val="center"/>
          </w:tcPr>
          <w:p w14:paraId="377936B9" w14:textId="77777777" w:rsidR="009A0A63" w:rsidRPr="00792B36" w:rsidRDefault="009A0A63" w:rsidP="00A24459">
            <w:pPr>
              <w:jc w:val="center"/>
              <w:rPr>
                <w:sz w:val="24"/>
                <w:szCs w:val="24"/>
              </w:rPr>
            </w:pPr>
            <w:r w:rsidRPr="00792B36">
              <w:rPr>
                <w:color w:val="000000"/>
                <w:sz w:val="24"/>
                <w:szCs w:val="24"/>
              </w:rPr>
              <w:t>51,964</w:t>
            </w:r>
          </w:p>
        </w:tc>
      </w:tr>
      <w:tr w:rsidR="009A0A63" w:rsidRPr="00792B36" w14:paraId="5130016D" w14:textId="77777777" w:rsidTr="00A24459">
        <w:trPr>
          <w:trHeight w:val="340"/>
        </w:trPr>
        <w:tc>
          <w:tcPr>
            <w:tcW w:w="2596" w:type="dxa"/>
            <w:gridSpan w:val="3"/>
            <w:vMerge/>
            <w:vAlign w:val="center"/>
          </w:tcPr>
          <w:p w14:paraId="526B3942" w14:textId="77777777" w:rsidR="009A0A63" w:rsidRPr="00792B36" w:rsidRDefault="009A0A63" w:rsidP="00A24459">
            <w:pPr>
              <w:jc w:val="center"/>
              <w:rPr>
                <w:sz w:val="24"/>
                <w:szCs w:val="24"/>
              </w:rPr>
            </w:pPr>
          </w:p>
        </w:tc>
        <w:tc>
          <w:tcPr>
            <w:tcW w:w="1019" w:type="dxa"/>
            <w:gridSpan w:val="3"/>
            <w:vAlign w:val="center"/>
          </w:tcPr>
          <w:p w14:paraId="76806B52" w14:textId="77777777" w:rsidR="009A0A63" w:rsidRPr="00792B36" w:rsidRDefault="009A0A63" w:rsidP="00A24459">
            <w:pPr>
              <w:jc w:val="center"/>
              <w:rPr>
                <w:sz w:val="24"/>
                <w:szCs w:val="24"/>
              </w:rPr>
            </w:pPr>
            <w:r w:rsidRPr="00792B36">
              <w:rPr>
                <w:color w:val="000000"/>
                <w:sz w:val="24"/>
                <w:szCs w:val="24"/>
              </w:rPr>
              <w:t>2010</w:t>
            </w:r>
          </w:p>
        </w:tc>
        <w:tc>
          <w:tcPr>
            <w:tcW w:w="1790" w:type="dxa"/>
            <w:gridSpan w:val="3"/>
            <w:vAlign w:val="center"/>
          </w:tcPr>
          <w:p w14:paraId="37A21A88" w14:textId="77777777" w:rsidR="009A0A63" w:rsidRPr="00792B36" w:rsidRDefault="009A0A63" w:rsidP="00A24459">
            <w:pPr>
              <w:jc w:val="center"/>
              <w:rPr>
                <w:sz w:val="24"/>
                <w:szCs w:val="24"/>
              </w:rPr>
            </w:pPr>
            <w:r w:rsidRPr="00792B36">
              <w:rPr>
                <w:color w:val="000000"/>
                <w:sz w:val="24"/>
                <w:szCs w:val="24"/>
              </w:rPr>
              <w:t>93,405</w:t>
            </w:r>
          </w:p>
        </w:tc>
        <w:tc>
          <w:tcPr>
            <w:tcW w:w="1790" w:type="dxa"/>
            <w:vAlign w:val="center"/>
          </w:tcPr>
          <w:p w14:paraId="60E0A2E7" w14:textId="77777777" w:rsidR="009A0A63" w:rsidRPr="00792B36" w:rsidRDefault="009A0A63" w:rsidP="00A24459">
            <w:pPr>
              <w:jc w:val="center"/>
              <w:rPr>
                <w:sz w:val="24"/>
                <w:szCs w:val="24"/>
              </w:rPr>
            </w:pPr>
            <w:r w:rsidRPr="00792B36">
              <w:rPr>
                <w:color w:val="000000"/>
                <w:sz w:val="24"/>
                <w:szCs w:val="24"/>
              </w:rPr>
              <w:t>100,652</w:t>
            </w:r>
          </w:p>
        </w:tc>
        <w:tc>
          <w:tcPr>
            <w:tcW w:w="1822" w:type="dxa"/>
            <w:vAlign w:val="center"/>
          </w:tcPr>
          <w:p w14:paraId="24D66D68" w14:textId="77777777" w:rsidR="009A0A63" w:rsidRPr="00792B36" w:rsidRDefault="009A0A63" w:rsidP="00A24459">
            <w:pPr>
              <w:jc w:val="center"/>
              <w:rPr>
                <w:sz w:val="24"/>
                <w:szCs w:val="24"/>
              </w:rPr>
            </w:pPr>
            <w:r w:rsidRPr="00792B36">
              <w:rPr>
                <w:color w:val="000000"/>
                <w:sz w:val="24"/>
                <w:szCs w:val="24"/>
              </w:rPr>
              <w:t>59,695</w:t>
            </w:r>
          </w:p>
        </w:tc>
      </w:tr>
      <w:tr w:rsidR="009A0A63" w:rsidRPr="00792B36" w14:paraId="275800F2" w14:textId="77777777" w:rsidTr="00A24459">
        <w:trPr>
          <w:trHeight w:val="340"/>
        </w:trPr>
        <w:tc>
          <w:tcPr>
            <w:tcW w:w="2596" w:type="dxa"/>
            <w:gridSpan w:val="3"/>
            <w:vMerge/>
            <w:vAlign w:val="center"/>
          </w:tcPr>
          <w:p w14:paraId="39B399D9" w14:textId="77777777" w:rsidR="009A0A63" w:rsidRPr="00792B36" w:rsidRDefault="009A0A63" w:rsidP="00A24459">
            <w:pPr>
              <w:jc w:val="center"/>
              <w:rPr>
                <w:sz w:val="24"/>
                <w:szCs w:val="24"/>
              </w:rPr>
            </w:pPr>
          </w:p>
        </w:tc>
        <w:tc>
          <w:tcPr>
            <w:tcW w:w="1019" w:type="dxa"/>
            <w:gridSpan w:val="3"/>
            <w:vAlign w:val="center"/>
          </w:tcPr>
          <w:p w14:paraId="3A21FF36" w14:textId="77777777" w:rsidR="009A0A63" w:rsidRPr="00792B36" w:rsidRDefault="009A0A63" w:rsidP="00A24459">
            <w:pPr>
              <w:jc w:val="center"/>
              <w:rPr>
                <w:sz w:val="24"/>
                <w:szCs w:val="24"/>
              </w:rPr>
            </w:pPr>
            <w:r w:rsidRPr="00792B36">
              <w:rPr>
                <w:color w:val="000000"/>
                <w:sz w:val="24"/>
                <w:szCs w:val="24"/>
              </w:rPr>
              <w:t>2020</w:t>
            </w:r>
          </w:p>
        </w:tc>
        <w:tc>
          <w:tcPr>
            <w:tcW w:w="1790" w:type="dxa"/>
            <w:gridSpan w:val="3"/>
            <w:vAlign w:val="center"/>
          </w:tcPr>
          <w:p w14:paraId="45488B3D" w14:textId="77777777" w:rsidR="009A0A63" w:rsidRPr="00792B36" w:rsidRDefault="009A0A63" w:rsidP="00A24459">
            <w:pPr>
              <w:jc w:val="center"/>
              <w:rPr>
                <w:sz w:val="24"/>
                <w:szCs w:val="24"/>
              </w:rPr>
            </w:pPr>
            <w:r w:rsidRPr="00792B36">
              <w:rPr>
                <w:color w:val="000000"/>
                <w:sz w:val="24"/>
                <w:szCs w:val="24"/>
              </w:rPr>
              <w:t>91,825</w:t>
            </w:r>
          </w:p>
        </w:tc>
        <w:tc>
          <w:tcPr>
            <w:tcW w:w="1790" w:type="dxa"/>
            <w:vAlign w:val="center"/>
          </w:tcPr>
          <w:p w14:paraId="0B128E16" w14:textId="77777777" w:rsidR="009A0A63" w:rsidRPr="00792B36" w:rsidRDefault="009A0A63" w:rsidP="00A24459">
            <w:pPr>
              <w:jc w:val="center"/>
              <w:rPr>
                <w:sz w:val="24"/>
                <w:szCs w:val="24"/>
              </w:rPr>
            </w:pPr>
            <w:r w:rsidRPr="00792B36">
              <w:rPr>
                <w:color w:val="000000"/>
                <w:sz w:val="24"/>
                <w:szCs w:val="24"/>
              </w:rPr>
              <w:t>100,227</w:t>
            </w:r>
          </w:p>
        </w:tc>
        <w:tc>
          <w:tcPr>
            <w:tcW w:w="1822" w:type="dxa"/>
            <w:vAlign w:val="center"/>
          </w:tcPr>
          <w:p w14:paraId="61E19D2F" w14:textId="77777777" w:rsidR="009A0A63" w:rsidRPr="00792B36" w:rsidRDefault="009A0A63" w:rsidP="00A24459">
            <w:pPr>
              <w:jc w:val="center"/>
              <w:rPr>
                <w:sz w:val="24"/>
                <w:szCs w:val="24"/>
              </w:rPr>
            </w:pPr>
            <w:r w:rsidRPr="00792B36">
              <w:rPr>
                <w:color w:val="000000"/>
                <w:sz w:val="24"/>
                <w:szCs w:val="24"/>
              </w:rPr>
              <w:t>72,732</w:t>
            </w:r>
          </w:p>
        </w:tc>
      </w:tr>
      <w:tr w:rsidR="009A0A63" w:rsidRPr="00792B36" w14:paraId="292C5B89" w14:textId="77777777" w:rsidTr="00A24459">
        <w:trPr>
          <w:trHeight w:val="340"/>
        </w:trPr>
        <w:tc>
          <w:tcPr>
            <w:tcW w:w="2596" w:type="dxa"/>
            <w:gridSpan w:val="3"/>
            <w:vMerge w:val="restart"/>
            <w:vAlign w:val="center"/>
          </w:tcPr>
          <w:p w14:paraId="76291AD4" w14:textId="77777777" w:rsidR="009A0A63" w:rsidRPr="00792B36" w:rsidRDefault="009A0A63" w:rsidP="00A24459">
            <w:pPr>
              <w:rPr>
                <w:sz w:val="24"/>
                <w:szCs w:val="24"/>
              </w:rPr>
            </w:pPr>
            <w:r w:rsidRPr="00792B36">
              <w:rPr>
                <w:color w:val="000000"/>
                <w:sz w:val="24"/>
                <w:szCs w:val="24"/>
              </w:rPr>
              <w:t>Phetchaburi</w:t>
            </w:r>
          </w:p>
        </w:tc>
        <w:tc>
          <w:tcPr>
            <w:tcW w:w="1019" w:type="dxa"/>
            <w:gridSpan w:val="3"/>
          </w:tcPr>
          <w:p w14:paraId="21F72BD5" w14:textId="77777777" w:rsidR="009A0A63" w:rsidRPr="00792B36" w:rsidRDefault="009A0A63" w:rsidP="00A24459">
            <w:pPr>
              <w:jc w:val="center"/>
              <w:rPr>
                <w:sz w:val="24"/>
                <w:szCs w:val="24"/>
              </w:rPr>
            </w:pPr>
            <w:r w:rsidRPr="00792B36">
              <w:rPr>
                <w:color w:val="000000"/>
                <w:sz w:val="24"/>
                <w:szCs w:val="24"/>
              </w:rPr>
              <w:t>2000</w:t>
            </w:r>
          </w:p>
        </w:tc>
        <w:tc>
          <w:tcPr>
            <w:tcW w:w="1790" w:type="dxa"/>
            <w:gridSpan w:val="3"/>
          </w:tcPr>
          <w:p w14:paraId="225944C0" w14:textId="77777777" w:rsidR="009A0A63" w:rsidRPr="00792B36" w:rsidRDefault="009A0A63" w:rsidP="00A24459">
            <w:pPr>
              <w:jc w:val="center"/>
              <w:rPr>
                <w:sz w:val="24"/>
                <w:szCs w:val="24"/>
              </w:rPr>
            </w:pPr>
            <w:r w:rsidRPr="00792B36">
              <w:rPr>
                <w:color w:val="000000"/>
                <w:sz w:val="24"/>
                <w:szCs w:val="24"/>
              </w:rPr>
              <w:t>222,772</w:t>
            </w:r>
          </w:p>
        </w:tc>
        <w:tc>
          <w:tcPr>
            <w:tcW w:w="1790" w:type="dxa"/>
          </w:tcPr>
          <w:p w14:paraId="55AF4055" w14:textId="77777777" w:rsidR="009A0A63" w:rsidRPr="00792B36" w:rsidRDefault="009A0A63" w:rsidP="00A24459">
            <w:pPr>
              <w:jc w:val="center"/>
              <w:rPr>
                <w:sz w:val="24"/>
                <w:szCs w:val="24"/>
              </w:rPr>
            </w:pPr>
            <w:r w:rsidRPr="00792B36">
              <w:rPr>
                <w:color w:val="000000"/>
                <w:sz w:val="24"/>
                <w:szCs w:val="24"/>
              </w:rPr>
              <w:t>234,121</w:t>
            </w:r>
          </w:p>
        </w:tc>
        <w:tc>
          <w:tcPr>
            <w:tcW w:w="1822" w:type="dxa"/>
          </w:tcPr>
          <w:p w14:paraId="3F43DAC4" w14:textId="77777777" w:rsidR="009A0A63" w:rsidRPr="00792B36" w:rsidRDefault="009A0A63" w:rsidP="00A24459">
            <w:pPr>
              <w:jc w:val="center"/>
              <w:rPr>
                <w:sz w:val="24"/>
                <w:szCs w:val="24"/>
              </w:rPr>
            </w:pPr>
            <w:r w:rsidRPr="00792B36">
              <w:rPr>
                <w:color w:val="000000"/>
                <w:sz w:val="24"/>
                <w:szCs w:val="24"/>
              </w:rPr>
              <w:t>130,928</w:t>
            </w:r>
          </w:p>
        </w:tc>
      </w:tr>
      <w:tr w:rsidR="009A0A63" w:rsidRPr="00792B36" w14:paraId="23120C59" w14:textId="77777777" w:rsidTr="00A24459">
        <w:trPr>
          <w:trHeight w:val="340"/>
        </w:trPr>
        <w:tc>
          <w:tcPr>
            <w:tcW w:w="2596" w:type="dxa"/>
            <w:gridSpan w:val="3"/>
            <w:vMerge/>
          </w:tcPr>
          <w:p w14:paraId="25C05171" w14:textId="77777777" w:rsidR="009A0A63" w:rsidRPr="00792B36" w:rsidRDefault="009A0A63" w:rsidP="00A24459">
            <w:pPr>
              <w:jc w:val="center"/>
              <w:rPr>
                <w:sz w:val="24"/>
                <w:szCs w:val="24"/>
              </w:rPr>
            </w:pPr>
          </w:p>
        </w:tc>
        <w:tc>
          <w:tcPr>
            <w:tcW w:w="1019" w:type="dxa"/>
            <w:gridSpan w:val="3"/>
          </w:tcPr>
          <w:p w14:paraId="5E011824" w14:textId="77777777" w:rsidR="009A0A63" w:rsidRPr="00792B36" w:rsidRDefault="009A0A63" w:rsidP="00A24459">
            <w:pPr>
              <w:jc w:val="center"/>
              <w:rPr>
                <w:sz w:val="24"/>
                <w:szCs w:val="24"/>
              </w:rPr>
            </w:pPr>
            <w:r w:rsidRPr="00792B36">
              <w:rPr>
                <w:color w:val="000000"/>
                <w:sz w:val="24"/>
                <w:szCs w:val="24"/>
              </w:rPr>
              <w:t>2005</w:t>
            </w:r>
          </w:p>
        </w:tc>
        <w:tc>
          <w:tcPr>
            <w:tcW w:w="1790" w:type="dxa"/>
            <w:gridSpan w:val="3"/>
          </w:tcPr>
          <w:p w14:paraId="6B0810D7" w14:textId="77777777" w:rsidR="009A0A63" w:rsidRPr="00792B36" w:rsidRDefault="009A0A63" w:rsidP="00A24459">
            <w:pPr>
              <w:jc w:val="center"/>
              <w:rPr>
                <w:sz w:val="24"/>
                <w:szCs w:val="24"/>
              </w:rPr>
            </w:pPr>
            <w:r w:rsidRPr="00792B36">
              <w:rPr>
                <w:color w:val="000000"/>
                <w:sz w:val="24"/>
                <w:szCs w:val="24"/>
              </w:rPr>
              <w:t>219,885</w:t>
            </w:r>
          </w:p>
        </w:tc>
        <w:tc>
          <w:tcPr>
            <w:tcW w:w="1790" w:type="dxa"/>
          </w:tcPr>
          <w:p w14:paraId="2F7AFA4C" w14:textId="77777777" w:rsidR="009A0A63" w:rsidRPr="00792B36" w:rsidRDefault="009A0A63" w:rsidP="00A24459">
            <w:pPr>
              <w:jc w:val="center"/>
              <w:rPr>
                <w:sz w:val="24"/>
                <w:szCs w:val="24"/>
              </w:rPr>
            </w:pPr>
            <w:r w:rsidRPr="00792B36">
              <w:rPr>
                <w:color w:val="000000"/>
                <w:sz w:val="24"/>
                <w:szCs w:val="24"/>
              </w:rPr>
              <w:t>234,097</w:t>
            </w:r>
          </w:p>
        </w:tc>
        <w:tc>
          <w:tcPr>
            <w:tcW w:w="1822" w:type="dxa"/>
          </w:tcPr>
          <w:p w14:paraId="1BE1088F" w14:textId="77777777" w:rsidR="009A0A63" w:rsidRPr="00792B36" w:rsidRDefault="009A0A63" w:rsidP="00A24459">
            <w:pPr>
              <w:jc w:val="center"/>
              <w:rPr>
                <w:sz w:val="24"/>
                <w:szCs w:val="24"/>
              </w:rPr>
            </w:pPr>
            <w:r w:rsidRPr="00792B36">
              <w:rPr>
                <w:color w:val="000000"/>
                <w:sz w:val="24"/>
                <w:szCs w:val="24"/>
              </w:rPr>
              <w:t>149,442</w:t>
            </w:r>
          </w:p>
        </w:tc>
      </w:tr>
      <w:tr w:rsidR="009A0A63" w:rsidRPr="00792B36" w14:paraId="4208C9EA" w14:textId="77777777" w:rsidTr="00A24459">
        <w:trPr>
          <w:trHeight w:val="340"/>
        </w:trPr>
        <w:tc>
          <w:tcPr>
            <w:tcW w:w="2596" w:type="dxa"/>
            <w:gridSpan w:val="3"/>
            <w:vMerge/>
          </w:tcPr>
          <w:p w14:paraId="0670873B" w14:textId="77777777" w:rsidR="009A0A63" w:rsidRPr="00792B36" w:rsidRDefault="009A0A63" w:rsidP="00A24459">
            <w:pPr>
              <w:jc w:val="center"/>
              <w:rPr>
                <w:sz w:val="24"/>
                <w:szCs w:val="24"/>
              </w:rPr>
            </w:pPr>
          </w:p>
        </w:tc>
        <w:tc>
          <w:tcPr>
            <w:tcW w:w="1019" w:type="dxa"/>
            <w:gridSpan w:val="3"/>
          </w:tcPr>
          <w:p w14:paraId="26008E32" w14:textId="77777777" w:rsidR="009A0A63" w:rsidRPr="00792B36" w:rsidRDefault="009A0A63" w:rsidP="00A24459">
            <w:pPr>
              <w:jc w:val="center"/>
              <w:rPr>
                <w:sz w:val="24"/>
                <w:szCs w:val="24"/>
              </w:rPr>
            </w:pPr>
            <w:r w:rsidRPr="00792B36">
              <w:rPr>
                <w:color w:val="000000"/>
                <w:sz w:val="24"/>
                <w:szCs w:val="24"/>
              </w:rPr>
              <w:t>2010</w:t>
            </w:r>
          </w:p>
        </w:tc>
        <w:tc>
          <w:tcPr>
            <w:tcW w:w="1790" w:type="dxa"/>
            <w:gridSpan w:val="3"/>
          </w:tcPr>
          <w:p w14:paraId="7E5BCAA2" w14:textId="77777777" w:rsidR="009A0A63" w:rsidRPr="00792B36" w:rsidRDefault="009A0A63" w:rsidP="00A24459">
            <w:pPr>
              <w:jc w:val="center"/>
              <w:rPr>
                <w:sz w:val="24"/>
                <w:szCs w:val="24"/>
              </w:rPr>
            </w:pPr>
            <w:r w:rsidRPr="00792B36">
              <w:rPr>
                <w:color w:val="000000"/>
                <w:sz w:val="24"/>
                <w:szCs w:val="24"/>
              </w:rPr>
              <w:t>224,860</w:t>
            </w:r>
          </w:p>
        </w:tc>
        <w:tc>
          <w:tcPr>
            <w:tcW w:w="1790" w:type="dxa"/>
          </w:tcPr>
          <w:p w14:paraId="2279AB14" w14:textId="77777777" w:rsidR="009A0A63" w:rsidRPr="00792B36" w:rsidRDefault="009A0A63" w:rsidP="00A24459">
            <w:pPr>
              <w:jc w:val="center"/>
              <w:rPr>
                <w:sz w:val="24"/>
                <w:szCs w:val="24"/>
              </w:rPr>
            </w:pPr>
            <w:r w:rsidRPr="00792B36">
              <w:rPr>
                <w:color w:val="000000"/>
                <w:sz w:val="24"/>
                <w:szCs w:val="24"/>
              </w:rPr>
              <w:t>239,173</w:t>
            </w:r>
          </w:p>
        </w:tc>
        <w:tc>
          <w:tcPr>
            <w:tcW w:w="1822" w:type="dxa"/>
          </w:tcPr>
          <w:p w14:paraId="30A4EC44" w14:textId="77777777" w:rsidR="009A0A63" w:rsidRPr="00792B36" w:rsidRDefault="009A0A63" w:rsidP="00A24459">
            <w:pPr>
              <w:jc w:val="center"/>
              <w:rPr>
                <w:sz w:val="24"/>
                <w:szCs w:val="24"/>
              </w:rPr>
            </w:pPr>
            <w:r w:rsidRPr="00792B36">
              <w:rPr>
                <w:color w:val="000000"/>
                <w:sz w:val="24"/>
                <w:szCs w:val="24"/>
              </w:rPr>
              <w:t>167,643</w:t>
            </w:r>
          </w:p>
        </w:tc>
      </w:tr>
      <w:tr w:rsidR="009A0A63" w:rsidRPr="00792B36" w14:paraId="4CDC22C5" w14:textId="77777777" w:rsidTr="00A24459">
        <w:trPr>
          <w:trHeight w:val="340"/>
        </w:trPr>
        <w:tc>
          <w:tcPr>
            <w:tcW w:w="2596" w:type="dxa"/>
            <w:gridSpan w:val="3"/>
            <w:vMerge/>
          </w:tcPr>
          <w:p w14:paraId="6636EE59" w14:textId="77777777" w:rsidR="009A0A63" w:rsidRPr="00792B36" w:rsidRDefault="009A0A63" w:rsidP="00A24459">
            <w:pPr>
              <w:jc w:val="center"/>
              <w:rPr>
                <w:sz w:val="24"/>
                <w:szCs w:val="24"/>
              </w:rPr>
            </w:pPr>
          </w:p>
        </w:tc>
        <w:tc>
          <w:tcPr>
            <w:tcW w:w="1019" w:type="dxa"/>
            <w:gridSpan w:val="3"/>
          </w:tcPr>
          <w:p w14:paraId="6462AC17" w14:textId="77777777" w:rsidR="009A0A63" w:rsidRPr="00792B36" w:rsidRDefault="009A0A63" w:rsidP="00A24459">
            <w:pPr>
              <w:jc w:val="center"/>
              <w:rPr>
                <w:sz w:val="24"/>
                <w:szCs w:val="24"/>
              </w:rPr>
            </w:pPr>
            <w:r w:rsidRPr="00792B36">
              <w:rPr>
                <w:color w:val="000000"/>
                <w:sz w:val="24"/>
                <w:szCs w:val="24"/>
              </w:rPr>
              <w:t>2020</w:t>
            </w:r>
          </w:p>
        </w:tc>
        <w:tc>
          <w:tcPr>
            <w:tcW w:w="1790" w:type="dxa"/>
            <w:gridSpan w:val="3"/>
          </w:tcPr>
          <w:p w14:paraId="3870CD71" w14:textId="77777777" w:rsidR="009A0A63" w:rsidRPr="00792B36" w:rsidRDefault="009A0A63" w:rsidP="00A24459">
            <w:pPr>
              <w:jc w:val="center"/>
              <w:rPr>
                <w:sz w:val="24"/>
                <w:szCs w:val="24"/>
              </w:rPr>
            </w:pPr>
            <w:r w:rsidRPr="00792B36">
              <w:rPr>
                <w:color w:val="000000"/>
                <w:sz w:val="24"/>
                <w:szCs w:val="24"/>
              </w:rPr>
              <w:t>232,915</w:t>
            </w:r>
          </w:p>
        </w:tc>
        <w:tc>
          <w:tcPr>
            <w:tcW w:w="1790" w:type="dxa"/>
          </w:tcPr>
          <w:p w14:paraId="5A862EC8" w14:textId="77777777" w:rsidR="009A0A63" w:rsidRPr="00792B36" w:rsidRDefault="009A0A63" w:rsidP="00A24459">
            <w:pPr>
              <w:jc w:val="center"/>
              <w:rPr>
                <w:sz w:val="24"/>
                <w:szCs w:val="24"/>
              </w:rPr>
            </w:pPr>
            <w:r w:rsidRPr="00792B36">
              <w:rPr>
                <w:color w:val="000000"/>
                <w:sz w:val="24"/>
                <w:szCs w:val="24"/>
              </w:rPr>
              <w:t>249,278</w:t>
            </w:r>
          </w:p>
        </w:tc>
        <w:tc>
          <w:tcPr>
            <w:tcW w:w="1822" w:type="dxa"/>
          </w:tcPr>
          <w:p w14:paraId="68BD9A7A" w14:textId="77777777" w:rsidR="009A0A63" w:rsidRPr="00792B36" w:rsidRDefault="009A0A63" w:rsidP="00A24459">
            <w:pPr>
              <w:jc w:val="center"/>
              <w:rPr>
                <w:sz w:val="24"/>
                <w:szCs w:val="24"/>
              </w:rPr>
            </w:pPr>
            <w:r w:rsidRPr="00792B36">
              <w:rPr>
                <w:color w:val="000000"/>
                <w:sz w:val="24"/>
                <w:szCs w:val="24"/>
              </w:rPr>
              <w:t>220,362</w:t>
            </w:r>
          </w:p>
        </w:tc>
      </w:tr>
      <w:tr w:rsidR="009A0A63" w:rsidRPr="00792B36" w14:paraId="65857A94" w14:textId="77777777" w:rsidTr="00A24459">
        <w:trPr>
          <w:trHeight w:val="340"/>
        </w:trPr>
        <w:tc>
          <w:tcPr>
            <w:tcW w:w="2578" w:type="dxa"/>
            <w:gridSpan w:val="2"/>
            <w:vMerge w:val="restart"/>
            <w:vAlign w:val="center"/>
          </w:tcPr>
          <w:p w14:paraId="342EC159" w14:textId="77777777" w:rsidR="009A0A63" w:rsidRPr="00792B36" w:rsidRDefault="009A0A63" w:rsidP="00A24459">
            <w:pPr>
              <w:rPr>
                <w:sz w:val="24"/>
                <w:szCs w:val="24"/>
              </w:rPr>
            </w:pPr>
            <w:r w:rsidRPr="00792B36">
              <w:rPr>
                <w:color w:val="000000"/>
                <w:sz w:val="24"/>
                <w:szCs w:val="24"/>
              </w:rPr>
              <w:t>Prachuap Khiri Khan</w:t>
            </w:r>
          </w:p>
        </w:tc>
        <w:tc>
          <w:tcPr>
            <w:tcW w:w="1021" w:type="dxa"/>
            <w:gridSpan w:val="3"/>
            <w:vAlign w:val="center"/>
          </w:tcPr>
          <w:p w14:paraId="00BC4EC0" w14:textId="77777777" w:rsidR="009A0A63" w:rsidRPr="00792B36" w:rsidRDefault="009A0A63" w:rsidP="00A24459">
            <w:pPr>
              <w:jc w:val="center"/>
              <w:rPr>
                <w:sz w:val="24"/>
                <w:szCs w:val="24"/>
              </w:rPr>
            </w:pPr>
            <w:r w:rsidRPr="00792B36">
              <w:rPr>
                <w:color w:val="000000"/>
                <w:sz w:val="24"/>
                <w:szCs w:val="24"/>
              </w:rPr>
              <w:t>2000</w:t>
            </w:r>
          </w:p>
        </w:tc>
        <w:tc>
          <w:tcPr>
            <w:tcW w:w="1796" w:type="dxa"/>
            <w:gridSpan w:val="3"/>
            <w:vAlign w:val="center"/>
          </w:tcPr>
          <w:p w14:paraId="5325BFF1" w14:textId="77777777" w:rsidR="009A0A63" w:rsidRPr="00792B36" w:rsidRDefault="009A0A63" w:rsidP="00A24459">
            <w:pPr>
              <w:jc w:val="center"/>
              <w:rPr>
                <w:sz w:val="24"/>
                <w:szCs w:val="24"/>
              </w:rPr>
            </w:pPr>
            <w:r w:rsidRPr="00792B36">
              <w:rPr>
                <w:color w:val="000000"/>
                <w:sz w:val="24"/>
                <w:szCs w:val="24"/>
              </w:rPr>
              <w:t>243,378</w:t>
            </w:r>
          </w:p>
        </w:tc>
        <w:tc>
          <w:tcPr>
            <w:tcW w:w="1796" w:type="dxa"/>
            <w:gridSpan w:val="2"/>
            <w:vAlign w:val="center"/>
          </w:tcPr>
          <w:p w14:paraId="6A415020" w14:textId="77777777" w:rsidR="009A0A63" w:rsidRPr="00792B36" w:rsidRDefault="009A0A63" w:rsidP="00A24459">
            <w:pPr>
              <w:jc w:val="center"/>
              <w:rPr>
                <w:sz w:val="24"/>
                <w:szCs w:val="24"/>
              </w:rPr>
            </w:pPr>
            <w:r w:rsidRPr="00792B36">
              <w:rPr>
                <w:color w:val="000000"/>
                <w:sz w:val="24"/>
                <w:szCs w:val="24"/>
              </w:rPr>
              <w:t>235,566</w:t>
            </w:r>
          </w:p>
        </w:tc>
        <w:tc>
          <w:tcPr>
            <w:tcW w:w="1826" w:type="dxa"/>
            <w:vAlign w:val="center"/>
          </w:tcPr>
          <w:p w14:paraId="66ABBD2E" w14:textId="77777777" w:rsidR="009A0A63" w:rsidRPr="00792B36" w:rsidRDefault="009A0A63" w:rsidP="00A24459">
            <w:pPr>
              <w:jc w:val="center"/>
              <w:rPr>
                <w:sz w:val="24"/>
                <w:szCs w:val="24"/>
              </w:rPr>
            </w:pPr>
            <w:r w:rsidRPr="00792B36">
              <w:rPr>
                <w:color w:val="000000"/>
                <w:sz w:val="24"/>
                <w:szCs w:val="24"/>
              </w:rPr>
              <w:t>138,021</w:t>
            </w:r>
          </w:p>
        </w:tc>
      </w:tr>
      <w:tr w:rsidR="009A0A63" w:rsidRPr="00792B36" w14:paraId="40D45C3F" w14:textId="77777777" w:rsidTr="00A24459">
        <w:trPr>
          <w:trHeight w:val="340"/>
        </w:trPr>
        <w:tc>
          <w:tcPr>
            <w:tcW w:w="2578" w:type="dxa"/>
            <w:gridSpan w:val="2"/>
            <w:vMerge/>
            <w:vAlign w:val="center"/>
          </w:tcPr>
          <w:p w14:paraId="4CBC7D0C" w14:textId="77777777" w:rsidR="009A0A63" w:rsidRPr="00792B36" w:rsidRDefault="009A0A63" w:rsidP="00A24459">
            <w:pPr>
              <w:rPr>
                <w:sz w:val="24"/>
                <w:szCs w:val="24"/>
              </w:rPr>
            </w:pPr>
          </w:p>
        </w:tc>
        <w:tc>
          <w:tcPr>
            <w:tcW w:w="1021" w:type="dxa"/>
            <w:gridSpan w:val="3"/>
            <w:vAlign w:val="center"/>
          </w:tcPr>
          <w:p w14:paraId="761603CE" w14:textId="77777777" w:rsidR="009A0A63" w:rsidRPr="00792B36" w:rsidRDefault="009A0A63" w:rsidP="00A24459">
            <w:pPr>
              <w:jc w:val="center"/>
              <w:rPr>
                <w:sz w:val="24"/>
                <w:szCs w:val="24"/>
              </w:rPr>
            </w:pPr>
            <w:r w:rsidRPr="00792B36">
              <w:rPr>
                <w:color w:val="000000"/>
                <w:sz w:val="24"/>
                <w:szCs w:val="24"/>
              </w:rPr>
              <w:t>2005</w:t>
            </w:r>
          </w:p>
        </w:tc>
        <w:tc>
          <w:tcPr>
            <w:tcW w:w="1796" w:type="dxa"/>
            <w:gridSpan w:val="3"/>
            <w:vAlign w:val="center"/>
          </w:tcPr>
          <w:p w14:paraId="459CFCDB" w14:textId="77777777" w:rsidR="009A0A63" w:rsidRPr="00792B36" w:rsidRDefault="009A0A63" w:rsidP="00A24459">
            <w:pPr>
              <w:jc w:val="center"/>
              <w:rPr>
                <w:sz w:val="24"/>
                <w:szCs w:val="24"/>
              </w:rPr>
            </w:pPr>
            <w:r w:rsidRPr="00792B36">
              <w:rPr>
                <w:color w:val="000000"/>
                <w:sz w:val="24"/>
                <w:szCs w:val="24"/>
              </w:rPr>
              <w:t>245,569</w:t>
            </w:r>
          </w:p>
        </w:tc>
        <w:tc>
          <w:tcPr>
            <w:tcW w:w="1796" w:type="dxa"/>
            <w:gridSpan w:val="2"/>
            <w:vAlign w:val="center"/>
          </w:tcPr>
          <w:p w14:paraId="329D438A" w14:textId="77777777" w:rsidR="009A0A63" w:rsidRPr="00792B36" w:rsidRDefault="009A0A63" w:rsidP="00A24459">
            <w:pPr>
              <w:jc w:val="center"/>
              <w:rPr>
                <w:sz w:val="24"/>
                <w:szCs w:val="24"/>
              </w:rPr>
            </w:pPr>
            <w:r w:rsidRPr="00792B36">
              <w:rPr>
                <w:color w:val="000000"/>
                <w:sz w:val="24"/>
                <w:szCs w:val="24"/>
              </w:rPr>
              <w:t>241,227</w:t>
            </w:r>
          </w:p>
        </w:tc>
        <w:tc>
          <w:tcPr>
            <w:tcW w:w="1826" w:type="dxa"/>
            <w:vAlign w:val="center"/>
          </w:tcPr>
          <w:p w14:paraId="5634C0C6" w14:textId="77777777" w:rsidR="009A0A63" w:rsidRPr="00792B36" w:rsidRDefault="009A0A63" w:rsidP="00A24459">
            <w:pPr>
              <w:jc w:val="center"/>
              <w:rPr>
                <w:sz w:val="24"/>
                <w:szCs w:val="24"/>
              </w:rPr>
            </w:pPr>
            <w:r w:rsidRPr="00792B36">
              <w:rPr>
                <w:color w:val="000000"/>
                <w:sz w:val="24"/>
                <w:szCs w:val="24"/>
              </w:rPr>
              <w:t>165,927</w:t>
            </w:r>
          </w:p>
        </w:tc>
      </w:tr>
      <w:tr w:rsidR="009A0A63" w:rsidRPr="00792B36" w14:paraId="70E816D1" w14:textId="77777777" w:rsidTr="00A24459">
        <w:trPr>
          <w:trHeight w:val="340"/>
        </w:trPr>
        <w:tc>
          <w:tcPr>
            <w:tcW w:w="2578" w:type="dxa"/>
            <w:gridSpan w:val="2"/>
            <w:vMerge/>
            <w:vAlign w:val="center"/>
          </w:tcPr>
          <w:p w14:paraId="2DE3C171" w14:textId="77777777" w:rsidR="009A0A63" w:rsidRPr="00792B36" w:rsidRDefault="009A0A63" w:rsidP="00A24459">
            <w:pPr>
              <w:rPr>
                <w:sz w:val="24"/>
                <w:szCs w:val="24"/>
              </w:rPr>
            </w:pPr>
          </w:p>
        </w:tc>
        <w:tc>
          <w:tcPr>
            <w:tcW w:w="1021" w:type="dxa"/>
            <w:gridSpan w:val="3"/>
            <w:vAlign w:val="center"/>
          </w:tcPr>
          <w:p w14:paraId="1580DCC0" w14:textId="77777777" w:rsidR="009A0A63" w:rsidRPr="00792B36" w:rsidRDefault="009A0A63" w:rsidP="00A24459">
            <w:pPr>
              <w:jc w:val="center"/>
              <w:rPr>
                <w:sz w:val="24"/>
                <w:szCs w:val="24"/>
              </w:rPr>
            </w:pPr>
            <w:r w:rsidRPr="00792B36">
              <w:rPr>
                <w:color w:val="000000"/>
                <w:sz w:val="24"/>
                <w:szCs w:val="24"/>
              </w:rPr>
              <w:t>2010</w:t>
            </w:r>
          </w:p>
        </w:tc>
        <w:tc>
          <w:tcPr>
            <w:tcW w:w="1796" w:type="dxa"/>
            <w:gridSpan w:val="3"/>
            <w:vAlign w:val="center"/>
          </w:tcPr>
          <w:p w14:paraId="0BA17D48" w14:textId="77777777" w:rsidR="009A0A63" w:rsidRPr="00792B36" w:rsidRDefault="009A0A63" w:rsidP="00A24459">
            <w:pPr>
              <w:jc w:val="center"/>
              <w:rPr>
                <w:sz w:val="24"/>
                <w:szCs w:val="24"/>
              </w:rPr>
            </w:pPr>
            <w:r w:rsidRPr="00792B36">
              <w:rPr>
                <w:color w:val="000000"/>
                <w:sz w:val="24"/>
                <w:szCs w:val="24"/>
              </w:rPr>
              <w:t>255,584</w:t>
            </w:r>
          </w:p>
        </w:tc>
        <w:tc>
          <w:tcPr>
            <w:tcW w:w="1796" w:type="dxa"/>
            <w:gridSpan w:val="2"/>
            <w:vAlign w:val="center"/>
          </w:tcPr>
          <w:p w14:paraId="4D4FEA3A" w14:textId="77777777" w:rsidR="009A0A63" w:rsidRPr="00792B36" w:rsidRDefault="009A0A63" w:rsidP="00A24459">
            <w:pPr>
              <w:jc w:val="center"/>
              <w:rPr>
                <w:sz w:val="24"/>
                <w:szCs w:val="24"/>
              </w:rPr>
            </w:pPr>
            <w:r w:rsidRPr="00792B36">
              <w:rPr>
                <w:color w:val="000000"/>
                <w:sz w:val="24"/>
                <w:szCs w:val="24"/>
              </w:rPr>
              <w:t>253,550</w:t>
            </w:r>
          </w:p>
        </w:tc>
        <w:tc>
          <w:tcPr>
            <w:tcW w:w="1826" w:type="dxa"/>
            <w:vAlign w:val="center"/>
          </w:tcPr>
          <w:p w14:paraId="0DD9A052" w14:textId="77777777" w:rsidR="009A0A63" w:rsidRPr="00792B36" w:rsidRDefault="009A0A63" w:rsidP="00A24459">
            <w:pPr>
              <w:jc w:val="center"/>
              <w:rPr>
                <w:sz w:val="24"/>
                <w:szCs w:val="24"/>
              </w:rPr>
            </w:pPr>
            <w:r w:rsidRPr="00792B36">
              <w:rPr>
                <w:color w:val="000000"/>
                <w:sz w:val="24"/>
                <w:szCs w:val="24"/>
              </w:rPr>
              <w:t>202,731</w:t>
            </w:r>
          </w:p>
        </w:tc>
      </w:tr>
      <w:tr w:rsidR="009A0A63" w:rsidRPr="00792B36" w14:paraId="55A0969A" w14:textId="77777777" w:rsidTr="00A24459">
        <w:trPr>
          <w:trHeight w:val="340"/>
        </w:trPr>
        <w:tc>
          <w:tcPr>
            <w:tcW w:w="2578" w:type="dxa"/>
            <w:gridSpan w:val="2"/>
            <w:vMerge/>
            <w:vAlign w:val="center"/>
          </w:tcPr>
          <w:p w14:paraId="12C05680" w14:textId="77777777" w:rsidR="009A0A63" w:rsidRPr="00792B36" w:rsidRDefault="009A0A63" w:rsidP="00A24459">
            <w:pPr>
              <w:rPr>
                <w:sz w:val="24"/>
                <w:szCs w:val="24"/>
              </w:rPr>
            </w:pPr>
          </w:p>
        </w:tc>
        <w:tc>
          <w:tcPr>
            <w:tcW w:w="1021" w:type="dxa"/>
            <w:gridSpan w:val="3"/>
            <w:vAlign w:val="center"/>
          </w:tcPr>
          <w:p w14:paraId="77C328AA" w14:textId="77777777" w:rsidR="009A0A63" w:rsidRPr="00792B36" w:rsidRDefault="009A0A63" w:rsidP="00A24459">
            <w:pPr>
              <w:jc w:val="center"/>
              <w:rPr>
                <w:sz w:val="24"/>
                <w:szCs w:val="24"/>
              </w:rPr>
            </w:pPr>
            <w:r w:rsidRPr="00792B36">
              <w:rPr>
                <w:color w:val="000000"/>
                <w:sz w:val="24"/>
                <w:szCs w:val="24"/>
              </w:rPr>
              <w:t>2020</w:t>
            </w:r>
          </w:p>
        </w:tc>
        <w:tc>
          <w:tcPr>
            <w:tcW w:w="1796" w:type="dxa"/>
            <w:gridSpan w:val="3"/>
            <w:vAlign w:val="center"/>
          </w:tcPr>
          <w:p w14:paraId="14FBFC7E" w14:textId="77777777" w:rsidR="009A0A63" w:rsidRPr="00792B36" w:rsidRDefault="009A0A63" w:rsidP="00A24459">
            <w:pPr>
              <w:jc w:val="center"/>
              <w:rPr>
                <w:sz w:val="24"/>
                <w:szCs w:val="24"/>
              </w:rPr>
            </w:pPr>
            <w:r w:rsidRPr="00792B36">
              <w:rPr>
                <w:color w:val="000000"/>
                <w:sz w:val="24"/>
                <w:szCs w:val="24"/>
              </w:rPr>
              <w:t>272,849</w:t>
            </w:r>
          </w:p>
        </w:tc>
        <w:tc>
          <w:tcPr>
            <w:tcW w:w="1796" w:type="dxa"/>
            <w:gridSpan w:val="2"/>
            <w:vAlign w:val="center"/>
          </w:tcPr>
          <w:p w14:paraId="2212357B" w14:textId="77777777" w:rsidR="009A0A63" w:rsidRPr="00792B36" w:rsidRDefault="009A0A63" w:rsidP="00A24459">
            <w:pPr>
              <w:jc w:val="center"/>
              <w:rPr>
                <w:sz w:val="24"/>
                <w:szCs w:val="24"/>
              </w:rPr>
            </w:pPr>
            <w:r w:rsidRPr="00792B36">
              <w:rPr>
                <w:color w:val="000000"/>
                <w:sz w:val="24"/>
                <w:szCs w:val="24"/>
              </w:rPr>
              <w:t>277,829</w:t>
            </w:r>
          </w:p>
        </w:tc>
        <w:tc>
          <w:tcPr>
            <w:tcW w:w="1826" w:type="dxa"/>
            <w:vAlign w:val="center"/>
          </w:tcPr>
          <w:p w14:paraId="2F9A8301" w14:textId="77777777" w:rsidR="009A0A63" w:rsidRPr="00792B36" w:rsidRDefault="009A0A63" w:rsidP="00A24459">
            <w:pPr>
              <w:jc w:val="center"/>
              <w:rPr>
                <w:sz w:val="24"/>
                <w:szCs w:val="24"/>
              </w:rPr>
            </w:pPr>
            <w:r w:rsidRPr="00792B36">
              <w:rPr>
                <w:color w:val="000000"/>
                <w:sz w:val="24"/>
                <w:szCs w:val="24"/>
              </w:rPr>
              <w:t>271,890</w:t>
            </w:r>
          </w:p>
        </w:tc>
      </w:tr>
      <w:tr w:rsidR="009A0A63" w:rsidRPr="00792B36" w14:paraId="2C2C8363" w14:textId="77777777" w:rsidTr="00A24459">
        <w:trPr>
          <w:trHeight w:val="340"/>
        </w:trPr>
        <w:tc>
          <w:tcPr>
            <w:tcW w:w="2578" w:type="dxa"/>
            <w:gridSpan w:val="2"/>
            <w:vMerge w:val="restart"/>
            <w:vAlign w:val="center"/>
          </w:tcPr>
          <w:p w14:paraId="0CBE789A" w14:textId="77777777" w:rsidR="009A0A63" w:rsidRPr="00792B36" w:rsidRDefault="009A0A63" w:rsidP="00A24459">
            <w:pPr>
              <w:rPr>
                <w:sz w:val="24"/>
                <w:szCs w:val="24"/>
              </w:rPr>
            </w:pPr>
            <w:r w:rsidRPr="00792B36">
              <w:rPr>
                <w:color w:val="000000"/>
                <w:sz w:val="24"/>
                <w:szCs w:val="24"/>
              </w:rPr>
              <w:t>Nakhon Si Thammarat</w:t>
            </w:r>
          </w:p>
        </w:tc>
        <w:tc>
          <w:tcPr>
            <w:tcW w:w="1021" w:type="dxa"/>
            <w:gridSpan w:val="3"/>
            <w:vAlign w:val="center"/>
          </w:tcPr>
          <w:p w14:paraId="02255995" w14:textId="77777777" w:rsidR="009A0A63" w:rsidRPr="00792B36" w:rsidRDefault="009A0A63" w:rsidP="00A24459">
            <w:pPr>
              <w:jc w:val="center"/>
              <w:rPr>
                <w:sz w:val="24"/>
                <w:szCs w:val="24"/>
              </w:rPr>
            </w:pPr>
            <w:r w:rsidRPr="00792B36">
              <w:rPr>
                <w:color w:val="000000"/>
                <w:sz w:val="24"/>
                <w:szCs w:val="24"/>
              </w:rPr>
              <w:t>2000</w:t>
            </w:r>
          </w:p>
        </w:tc>
        <w:tc>
          <w:tcPr>
            <w:tcW w:w="1796" w:type="dxa"/>
            <w:gridSpan w:val="3"/>
            <w:vAlign w:val="center"/>
          </w:tcPr>
          <w:p w14:paraId="6DEA4DFE" w14:textId="77777777" w:rsidR="009A0A63" w:rsidRPr="00792B36" w:rsidRDefault="009A0A63" w:rsidP="00A24459">
            <w:pPr>
              <w:jc w:val="center"/>
              <w:rPr>
                <w:sz w:val="24"/>
                <w:szCs w:val="24"/>
              </w:rPr>
            </w:pPr>
            <w:r w:rsidRPr="00792B36">
              <w:rPr>
                <w:color w:val="000000"/>
                <w:sz w:val="24"/>
                <w:szCs w:val="24"/>
              </w:rPr>
              <w:t>759,738</w:t>
            </w:r>
          </w:p>
        </w:tc>
        <w:tc>
          <w:tcPr>
            <w:tcW w:w="1796" w:type="dxa"/>
            <w:gridSpan w:val="2"/>
            <w:vAlign w:val="center"/>
          </w:tcPr>
          <w:p w14:paraId="50BEF133" w14:textId="77777777" w:rsidR="009A0A63" w:rsidRPr="00792B36" w:rsidRDefault="009A0A63" w:rsidP="00A24459">
            <w:pPr>
              <w:jc w:val="center"/>
              <w:rPr>
                <w:sz w:val="24"/>
                <w:szCs w:val="24"/>
              </w:rPr>
            </w:pPr>
            <w:r w:rsidRPr="00792B36">
              <w:rPr>
                <w:color w:val="000000"/>
                <w:sz w:val="24"/>
                <w:szCs w:val="24"/>
              </w:rPr>
              <w:t>764,820</w:t>
            </w:r>
          </w:p>
        </w:tc>
        <w:tc>
          <w:tcPr>
            <w:tcW w:w="1826" w:type="dxa"/>
            <w:vAlign w:val="center"/>
          </w:tcPr>
          <w:p w14:paraId="48381FE6" w14:textId="77777777" w:rsidR="009A0A63" w:rsidRPr="00792B36" w:rsidRDefault="009A0A63" w:rsidP="00A24459">
            <w:pPr>
              <w:jc w:val="center"/>
              <w:rPr>
                <w:sz w:val="24"/>
                <w:szCs w:val="24"/>
              </w:rPr>
            </w:pPr>
            <w:r w:rsidRPr="00792B36">
              <w:rPr>
                <w:color w:val="000000"/>
                <w:sz w:val="24"/>
                <w:szCs w:val="24"/>
              </w:rPr>
              <w:t>368,401</w:t>
            </w:r>
          </w:p>
        </w:tc>
      </w:tr>
      <w:tr w:rsidR="009A0A63" w:rsidRPr="00792B36" w14:paraId="25D23320" w14:textId="77777777" w:rsidTr="00A24459">
        <w:trPr>
          <w:trHeight w:val="340"/>
        </w:trPr>
        <w:tc>
          <w:tcPr>
            <w:tcW w:w="2578" w:type="dxa"/>
            <w:gridSpan w:val="2"/>
            <w:vMerge/>
            <w:vAlign w:val="center"/>
          </w:tcPr>
          <w:p w14:paraId="42B935B8" w14:textId="77777777" w:rsidR="009A0A63" w:rsidRPr="00792B36" w:rsidRDefault="009A0A63" w:rsidP="00A24459">
            <w:pPr>
              <w:rPr>
                <w:sz w:val="24"/>
                <w:szCs w:val="24"/>
              </w:rPr>
            </w:pPr>
          </w:p>
        </w:tc>
        <w:tc>
          <w:tcPr>
            <w:tcW w:w="1021" w:type="dxa"/>
            <w:gridSpan w:val="3"/>
            <w:vAlign w:val="center"/>
          </w:tcPr>
          <w:p w14:paraId="564EBBFE" w14:textId="77777777" w:rsidR="009A0A63" w:rsidRPr="00792B36" w:rsidRDefault="009A0A63" w:rsidP="00A24459">
            <w:pPr>
              <w:jc w:val="center"/>
              <w:rPr>
                <w:sz w:val="24"/>
                <w:szCs w:val="24"/>
              </w:rPr>
            </w:pPr>
            <w:r w:rsidRPr="00792B36">
              <w:rPr>
                <w:color w:val="000000"/>
                <w:sz w:val="24"/>
                <w:szCs w:val="24"/>
              </w:rPr>
              <w:t>2005</w:t>
            </w:r>
          </w:p>
        </w:tc>
        <w:tc>
          <w:tcPr>
            <w:tcW w:w="1796" w:type="dxa"/>
            <w:gridSpan w:val="3"/>
            <w:vAlign w:val="center"/>
          </w:tcPr>
          <w:p w14:paraId="258EEB8C" w14:textId="77777777" w:rsidR="009A0A63" w:rsidRPr="00792B36" w:rsidRDefault="009A0A63" w:rsidP="00A24459">
            <w:pPr>
              <w:jc w:val="center"/>
              <w:rPr>
                <w:sz w:val="24"/>
                <w:szCs w:val="24"/>
              </w:rPr>
            </w:pPr>
            <w:r w:rsidRPr="00792B36">
              <w:rPr>
                <w:color w:val="000000"/>
                <w:sz w:val="24"/>
                <w:szCs w:val="24"/>
              </w:rPr>
              <w:t>747,639</w:t>
            </w:r>
          </w:p>
        </w:tc>
        <w:tc>
          <w:tcPr>
            <w:tcW w:w="1796" w:type="dxa"/>
            <w:gridSpan w:val="2"/>
            <w:vAlign w:val="center"/>
          </w:tcPr>
          <w:p w14:paraId="76EF1F64" w14:textId="77777777" w:rsidR="009A0A63" w:rsidRPr="00792B36" w:rsidRDefault="009A0A63" w:rsidP="00A24459">
            <w:pPr>
              <w:jc w:val="center"/>
              <w:rPr>
                <w:sz w:val="24"/>
                <w:szCs w:val="24"/>
              </w:rPr>
            </w:pPr>
            <w:r w:rsidRPr="00792B36">
              <w:rPr>
                <w:color w:val="000000"/>
                <w:sz w:val="24"/>
                <w:szCs w:val="24"/>
              </w:rPr>
              <w:t>756,781</w:t>
            </w:r>
          </w:p>
        </w:tc>
        <w:tc>
          <w:tcPr>
            <w:tcW w:w="1826" w:type="dxa"/>
            <w:vAlign w:val="center"/>
          </w:tcPr>
          <w:p w14:paraId="4E942EBF" w14:textId="77777777" w:rsidR="009A0A63" w:rsidRPr="00792B36" w:rsidRDefault="009A0A63" w:rsidP="00A24459">
            <w:pPr>
              <w:jc w:val="center"/>
              <w:rPr>
                <w:sz w:val="24"/>
                <w:szCs w:val="24"/>
              </w:rPr>
            </w:pPr>
            <w:r w:rsidRPr="00792B36">
              <w:rPr>
                <w:color w:val="000000"/>
                <w:sz w:val="24"/>
                <w:szCs w:val="24"/>
              </w:rPr>
              <w:t>422,166</w:t>
            </w:r>
          </w:p>
        </w:tc>
      </w:tr>
      <w:tr w:rsidR="009A0A63" w:rsidRPr="00792B36" w14:paraId="6511CCF1" w14:textId="77777777" w:rsidTr="00A24459">
        <w:trPr>
          <w:trHeight w:val="340"/>
        </w:trPr>
        <w:tc>
          <w:tcPr>
            <w:tcW w:w="2578" w:type="dxa"/>
            <w:gridSpan w:val="2"/>
            <w:vMerge/>
            <w:vAlign w:val="center"/>
          </w:tcPr>
          <w:p w14:paraId="0C000F05" w14:textId="77777777" w:rsidR="009A0A63" w:rsidRPr="00792B36" w:rsidRDefault="009A0A63" w:rsidP="00A24459">
            <w:pPr>
              <w:rPr>
                <w:sz w:val="24"/>
                <w:szCs w:val="24"/>
              </w:rPr>
            </w:pPr>
          </w:p>
        </w:tc>
        <w:tc>
          <w:tcPr>
            <w:tcW w:w="1021" w:type="dxa"/>
            <w:gridSpan w:val="3"/>
            <w:vAlign w:val="center"/>
          </w:tcPr>
          <w:p w14:paraId="794CF5B9" w14:textId="77777777" w:rsidR="009A0A63" w:rsidRPr="00792B36" w:rsidRDefault="009A0A63" w:rsidP="00A24459">
            <w:pPr>
              <w:jc w:val="center"/>
              <w:rPr>
                <w:sz w:val="24"/>
                <w:szCs w:val="24"/>
              </w:rPr>
            </w:pPr>
            <w:r w:rsidRPr="00792B36">
              <w:rPr>
                <w:color w:val="000000"/>
                <w:sz w:val="24"/>
                <w:szCs w:val="24"/>
              </w:rPr>
              <w:t>2010</w:t>
            </w:r>
          </w:p>
        </w:tc>
        <w:tc>
          <w:tcPr>
            <w:tcW w:w="1796" w:type="dxa"/>
            <w:gridSpan w:val="3"/>
            <w:vAlign w:val="center"/>
          </w:tcPr>
          <w:p w14:paraId="187BC248" w14:textId="77777777" w:rsidR="009A0A63" w:rsidRPr="00792B36" w:rsidRDefault="009A0A63" w:rsidP="00A24459">
            <w:pPr>
              <w:jc w:val="center"/>
              <w:rPr>
                <w:sz w:val="24"/>
                <w:szCs w:val="24"/>
              </w:rPr>
            </w:pPr>
            <w:r w:rsidRPr="00792B36">
              <w:rPr>
                <w:color w:val="000000"/>
                <w:sz w:val="24"/>
                <w:szCs w:val="24"/>
              </w:rPr>
              <w:t>755,601</w:t>
            </w:r>
          </w:p>
        </w:tc>
        <w:tc>
          <w:tcPr>
            <w:tcW w:w="1796" w:type="dxa"/>
            <w:gridSpan w:val="2"/>
            <w:vAlign w:val="center"/>
          </w:tcPr>
          <w:p w14:paraId="5ED8F23C" w14:textId="77777777" w:rsidR="009A0A63" w:rsidRPr="00792B36" w:rsidRDefault="009A0A63" w:rsidP="00A24459">
            <w:pPr>
              <w:jc w:val="center"/>
              <w:rPr>
                <w:sz w:val="24"/>
                <w:szCs w:val="24"/>
              </w:rPr>
            </w:pPr>
            <w:r w:rsidRPr="00792B36">
              <w:rPr>
                <w:color w:val="000000"/>
                <w:sz w:val="24"/>
                <w:szCs w:val="24"/>
              </w:rPr>
              <w:t>766,960</w:t>
            </w:r>
          </w:p>
        </w:tc>
        <w:tc>
          <w:tcPr>
            <w:tcW w:w="1826" w:type="dxa"/>
            <w:vAlign w:val="center"/>
          </w:tcPr>
          <w:p w14:paraId="43D1DCD6" w14:textId="77777777" w:rsidR="009A0A63" w:rsidRPr="00792B36" w:rsidRDefault="009A0A63" w:rsidP="00A24459">
            <w:pPr>
              <w:jc w:val="center"/>
              <w:rPr>
                <w:sz w:val="24"/>
                <w:szCs w:val="24"/>
              </w:rPr>
            </w:pPr>
            <w:r w:rsidRPr="00792B36">
              <w:rPr>
                <w:color w:val="000000"/>
                <w:sz w:val="24"/>
                <w:szCs w:val="24"/>
              </w:rPr>
              <w:t>476,439</w:t>
            </w:r>
          </w:p>
        </w:tc>
      </w:tr>
      <w:tr w:rsidR="009A0A63" w:rsidRPr="00792B36" w14:paraId="723349F4" w14:textId="77777777" w:rsidTr="00A24459">
        <w:trPr>
          <w:trHeight w:val="340"/>
        </w:trPr>
        <w:tc>
          <w:tcPr>
            <w:tcW w:w="2578" w:type="dxa"/>
            <w:gridSpan w:val="2"/>
            <w:vMerge/>
            <w:vAlign w:val="center"/>
          </w:tcPr>
          <w:p w14:paraId="76F01329" w14:textId="77777777" w:rsidR="009A0A63" w:rsidRPr="00792B36" w:rsidRDefault="009A0A63" w:rsidP="00A24459">
            <w:pPr>
              <w:rPr>
                <w:sz w:val="24"/>
                <w:szCs w:val="24"/>
              </w:rPr>
            </w:pPr>
          </w:p>
        </w:tc>
        <w:tc>
          <w:tcPr>
            <w:tcW w:w="1021" w:type="dxa"/>
            <w:gridSpan w:val="3"/>
            <w:vAlign w:val="center"/>
          </w:tcPr>
          <w:p w14:paraId="731C1563" w14:textId="77777777" w:rsidR="009A0A63" w:rsidRPr="00792B36" w:rsidRDefault="009A0A63" w:rsidP="00A24459">
            <w:pPr>
              <w:jc w:val="center"/>
              <w:rPr>
                <w:sz w:val="24"/>
                <w:szCs w:val="24"/>
              </w:rPr>
            </w:pPr>
            <w:r w:rsidRPr="00792B36">
              <w:rPr>
                <w:color w:val="000000"/>
                <w:sz w:val="24"/>
                <w:szCs w:val="24"/>
              </w:rPr>
              <w:t>2020</w:t>
            </w:r>
          </w:p>
        </w:tc>
        <w:tc>
          <w:tcPr>
            <w:tcW w:w="1796" w:type="dxa"/>
            <w:gridSpan w:val="3"/>
            <w:vAlign w:val="center"/>
          </w:tcPr>
          <w:p w14:paraId="176D5CCC" w14:textId="77777777" w:rsidR="009A0A63" w:rsidRPr="00792B36" w:rsidRDefault="009A0A63" w:rsidP="00A24459">
            <w:pPr>
              <w:jc w:val="center"/>
              <w:rPr>
                <w:sz w:val="24"/>
                <w:szCs w:val="24"/>
              </w:rPr>
            </w:pPr>
            <w:r w:rsidRPr="00792B36">
              <w:rPr>
                <w:color w:val="000000"/>
                <w:sz w:val="24"/>
                <w:szCs w:val="24"/>
              </w:rPr>
              <w:t>765,370</w:t>
            </w:r>
          </w:p>
        </w:tc>
        <w:tc>
          <w:tcPr>
            <w:tcW w:w="1796" w:type="dxa"/>
            <w:gridSpan w:val="2"/>
            <w:vAlign w:val="center"/>
          </w:tcPr>
          <w:p w14:paraId="598DABE4" w14:textId="77777777" w:rsidR="009A0A63" w:rsidRPr="00792B36" w:rsidRDefault="009A0A63" w:rsidP="00A24459">
            <w:pPr>
              <w:jc w:val="center"/>
              <w:rPr>
                <w:sz w:val="24"/>
                <w:szCs w:val="24"/>
              </w:rPr>
            </w:pPr>
            <w:r w:rsidRPr="00792B36">
              <w:rPr>
                <w:color w:val="000000"/>
                <w:sz w:val="24"/>
                <w:szCs w:val="24"/>
              </w:rPr>
              <w:t>785,351</w:t>
            </w:r>
          </w:p>
        </w:tc>
        <w:tc>
          <w:tcPr>
            <w:tcW w:w="1826" w:type="dxa"/>
            <w:vAlign w:val="center"/>
          </w:tcPr>
          <w:p w14:paraId="2B0822FF" w14:textId="77777777" w:rsidR="009A0A63" w:rsidRPr="00792B36" w:rsidRDefault="009A0A63" w:rsidP="00A24459">
            <w:pPr>
              <w:jc w:val="center"/>
              <w:rPr>
                <w:sz w:val="24"/>
                <w:szCs w:val="24"/>
              </w:rPr>
            </w:pPr>
            <w:r w:rsidRPr="00792B36">
              <w:rPr>
                <w:color w:val="000000"/>
                <w:sz w:val="24"/>
                <w:szCs w:val="24"/>
              </w:rPr>
              <w:t>581,948</w:t>
            </w:r>
          </w:p>
        </w:tc>
      </w:tr>
      <w:tr w:rsidR="009A0A63" w:rsidRPr="00792B36" w14:paraId="798FCB1F" w14:textId="77777777" w:rsidTr="00A24459">
        <w:trPr>
          <w:trHeight w:val="340"/>
        </w:trPr>
        <w:tc>
          <w:tcPr>
            <w:tcW w:w="2578" w:type="dxa"/>
            <w:gridSpan w:val="2"/>
            <w:vMerge w:val="restart"/>
            <w:vAlign w:val="center"/>
          </w:tcPr>
          <w:p w14:paraId="34A9141F" w14:textId="77777777" w:rsidR="009A0A63" w:rsidRPr="00792B36" w:rsidRDefault="009A0A63" w:rsidP="00A24459">
            <w:pPr>
              <w:rPr>
                <w:sz w:val="24"/>
                <w:szCs w:val="24"/>
              </w:rPr>
            </w:pPr>
            <w:r w:rsidRPr="00792B36">
              <w:rPr>
                <w:color w:val="000000"/>
                <w:sz w:val="24"/>
                <w:szCs w:val="24"/>
              </w:rPr>
              <w:t>Surat-Thani</w:t>
            </w:r>
          </w:p>
        </w:tc>
        <w:tc>
          <w:tcPr>
            <w:tcW w:w="1021" w:type="dxa"/>
            <w:gridSpan w:val="3"/>
            <w:vAlign w:val="center"/>
          </w:tcPr>
          <w:p w14:paraId="5575B41D" w14:textId="77777777" w:rsidR="009A0A63" w:rsidRPr="00792B36" w:rsidRDefault="009A0A63" w:rsidP="00A24459">
            <w:pPr>
              <w:jc w:val="center"/>
              <w:rPr>
                <w:sz w:val="24"/>
                <w:szCs w:val="24"/>
              </w:rPr>
            </w:pPr>
            <w:r w:rsidRPr="00792B36">
              <w:rPr>
                <w:color w:val="000000"/>
                <w:sz w:val="24"/>
                <w:szCs w:val="24"/>
              </w:rPr>
              <w:t>2000</w:t>
            </w:r>
          </w:p>
        </w:tc>
        <w:tc>
          <w:tcPr>
            <w:tcW w:w="1796" w:type="dxa"/>
            <w:gridSpan w:val="3"/>
            <w:vAlign w:val="center"/>
          </w:tcPr>
          <w:p w14:paraId="1F8BA7FC" w14:textId="77777777" w:rsidR="009A0A63" w:rsidRPr="00792B36" w:rsidRDefault="009A0A63" w:rsidP="00A24459">
            <w:pPr>
              <w:jc w:val="center"/>
              <w:rPr>
                <w:sz w:val="24"/>
                <w:szCs w:val="24"/>
              </w:rPr>
            </w:pPr>
            <w:r w:rsidRPr="00792B36">
              <w:rPr>
                <w:color w:val="000000"/>
                <w:sz w:val="24"/>
                <w:szCs w:val="24"/>
              </w:rPr>
              <w:t>446,265</w:t>
            </w:r>
          </w:p>
        </w:tc>
        <w:tc>
          <w:tcPr>
            <w:tcW w:w="1796" w:type="dxa"/>
            <w:gridSpan w:val="2"/>
            <w:vAlign w:val="center"/>
          </w:tcPr>
          <w:p w14:paraId="4BB83428" w14:textId="77777777" w:rsidR="009A0A63" w:rsidRPr="00792B36" w:rsidRDefault="009A0A63" w:rsidP="00A24459">
            <w:pPr>
              <w:jc w:val="center"/>
              <w:rPr>
                <w:sz w:val="24"/>
                <w:szCs w:val="24"/>
              </w:rPr>
            </w:pPr>
            <w:r w:rsidRPr="00792B36">
              <w:rPr>
                <w:color w:val="000000"/>
                <w:sz w:val="24"/>
                <w:szCs w:val="24"/>
              </w:rPr>
              <w:t>447,269</w:t>
            </w:r>
          </w:p>
        </w:tc>
        <w:tc>
          <w:tcPr>
            <w:tcW w:w="1826" w:type="dxa"/>
            <w:vAlign w:val="center"/>
          </w:tcPr>
          <w:p w14:paraId="74B5B28D" w14:textId="77777777" w:rsidR="009A0A63" w:rsidRPr="00792B36" w:rsidRDefault="009A0A63" w:rsidP="00A24459">
            <w:pPr>
              <w:jc w:val="center"/>
              <w:rPr>
                <w:sz w:val="24"/>
                <w:szCs w:val="24"/>
              </w:rPr>
            </w:pPr>
            <w:r w:rsidRPr="00792B36">
              <w:rPr>
                <w:color w:val="000000"/>
                <w:sz w:val="24"/>
                <w:szCs w:val="24"/>
              </w:rPr>
              <w:t>255,988</w:t>
            </w:r>
          </w:p>
        </w:tc>
      </w:tr>
      <w:tr w:rsidR="009A0A63" w:rsidRPr="00792B36" w14:paraId="4E7B8F8C" w14:textId="77777777" w:rsidTr="00A24459">
        <w:trPr>
          <w:trHeight w:val="340"/>
        </w:trPr>
        <w:tc>
          <w:tcPr>
            <w:tcW w:w="2578" w:type="dxa"/>
            <w:gridSpan w:val="2"/>
            <w:vMerge/>
            <w:vAlign w:val="center"/>
          </w:tcPr>
          <w:p w14:paraId="1C7066DD" w14:textId="77777777" w:rsidR="009A0A63" w:rsidRPr="00792B36" w:rsidRDefault="009A0A63" w:rsidP="00A24459">
            <w:pPr>
              <w:rPr>
                <w:sz w:val="24"/>
                <w:szCs w:val="24"/>
              </w:rPr>
            </w:pPr>
          </w:p>
        </w:tc>
        <w:tc>
          <w:tcPr>
            <w:tcW w:w="1021" w:type="dxa"/>
            <w:gridSpan w:val="3"/>
            <w:vAlign w:val="center"/>
          </w:tcPr>
          <w:p w14:paraId="1F26F6D7" w14:textId="77777777" w:rsidR="009A0A63" w:rsidRPr="00792B36" w:rsidRDefault="009A0A63" w:rsidP="00A24459">
            <w:pPr>
              <w:jc w:val="center"/>
              <w:rPr>
                <w:sz w:val="24"/>
                <w:szCs w:val="24"/>
              </w:rPr>
            </w:pPr>
            <w:r w:rsidRPr="00792B36">
              <w:rPr>
                <w:color w:val="000000"/>
                <w:sz w:val="24"/>
                <w:szCs w:val="24"/>
              </w:rPr>
              <w:t>2005</w:t>
            </w:r>
          </w:p>
        </w:tc>
        <w:tc>
          <w:tcPr>
            <w:tcW w:w="1796" w:type="dxa"/>
            <w:gridSpan w:val="3"/>
            <w:vAlign w:val="center"/>
          </w:tcPr>
          <w:p w14:paraId="34D865AE" w14:textId="77777777" w:rsidR="009A0A63" w:rsidRPr="00792B36" w:rsidRDefault="009A0A63" w:rsidP="00A24459">
            <w:pPr>
              <w:jc w:val="center"/>
              <w:rPr>
                <w:sz w:val="24"/>
                <w:szCs w:val="24"/>
              </w:rPr>
            </w:pPr>
            <w:r w:rsidRPr="00792B36">
              <w:rPr>
                <w:color w:val="000000"/>
                <w:sz w:val="24"/>
                <w:szCs w:val="24"/>
              </w:rPr>
              <w:t>470,126</w:t>
            </w:r>
          </w:p>
        </w:tc>
        <w:tc>
          <w:tcPr>
            <w:tcW w:w="1796" w:type="dxa"/>
            <w:gridSpan w:val="2"/>
            <w:vAlign w:val="center"/>
          </w:tcPr>
          <w:p w14:paraId="6CC19A4D" w14:textId="77777777" w:rsidR="009A0A63" w:rsidRPr="00792B36" w:rsidRDefault="009A0A63" w:rsidP="00A24459">
            <w:pPr>
              <w:jc w:val="center"/>
              <w:rPr>
                <w:sz w:val="24"/>
                <w:szCs w:val="24"/>
              </w:rPr>
            </w:pPr>
            <w:r w:rsidRPr="00792B36">
              <w:rPr>
                <w:color w:val="000000"/>
                <w:sz w:val="24"/>
                <w:szCs w:val="24"/>
              </w:rPr>
              <w:t>477,223</w:t>
            </w:r>
          </w:p>
        </w:tc>
        <w:tc>
          <w:tcPr>
            <w:tcW w:w="1826" w:type="dxa"/>
            <w:vAlign w:val="center"/>
          </w:tcPr>
          <w:p w14:paraId="5A4970DC" w14:textId="77777777" w:rsidR="009A0A63" w:rsidRPr="00792B36" w:rsidRDefault="009A0A63" w:rsidP="00A24459">
            <w:pPr>
              <w:jc w:val="center"/>
              <w:rPr>
                <w:sz w:val="24"/>
                <w:szCs w:val="24"/>
              </w:rPr>
            </w:pPr>
            <w:r w:rsidRPr="00792B36">
              <w:rPr>
                <w:color w:val="000000"/>
                <w:sz w:val="24"/>
                <w:szCs w:val="24"/>
              </w:rPr>
              <w:t>324,617</w:t>
            </w:r>
          </w:p>
        </w:tc>
      </w:tr>
      <w:tr w:rsidR="009A0A63" w:rsidRPr="00792B36" w14:paraId="77D690E9" w14:textId="77777777" w:rsidTr="00A24459">
        <w:trPr>
          <w:trHeight w:val="340"/>
        </w:trPr>
        <w:tc>
          <w:tcPr>
            <w:tcW w:w="2578" w:type="dxa"/>
            <w:gridSpan w:val="2"/>
            <w:vMerge/>
            <w:vAlign w:val="center"/>
          </w:tcPr>
          <w:p w14:paraId="753ECFB6" w14:textId="77777777" w:rsidR="009A0A63" w:rsidRPr="00792B36" w:rsidRDefault="009A0A63" w:rsidP="00A24459">
            <w:pPr>
              <w:rPr>
                <w:sz w:val="24"/>
                <w:szCs w:val="24"/>
              </w:rPr>
            </w:pPr>
          </w:p>
        </w:tc>
        <w:tc>
          <w:tcPr>
            <w:tcW w:w="1021" w:type="dxa"/>
            <w:gridSpan w:val="3"/>
            <w:vAlign w:val="center"/>
          </w:tcPr>
          <w:p w14:paraId="05B381DD" w14:textId="77777777" w:rsidR="009A0A63" w:rsidRPr="00792B36" w:rsidRDefault="009A0A63" w:rsidP="00A24459">
            <w:pPr>
              <w:jc w:val="center"/>
              <w:rPr>
                <w:sz w:val="24"/>
                <w:szCs w:val="24"/>
              </w:rPr>
            </w:pPr>
            <w:r w:rsidRPr="00792B36">
              <w:rPr>
                <w:color w:val="000000"/>
                <w:sz w:val="24"/>
                <w:szCs w:val="24"/>
              </w:rPr>
              <w:t>2010</w:t>
            </w:r>
          </w:p>
        </w:tc>
        <w:tc>
          <w:tcPr>
            <w:tcW w:w="1796" w:type="dxa"/>
            <w:gridSpan w:val="3"/>
            <w:vAlign w:val="center"/>
          </w:tcPr>
          <w:p w14:paraId="5289C1CB" w14:textId="77777777" w:rsidR="009A0A63" w:rsidRPr="00792B36" w:rsidRDefault="009A0A63" w:rsidP="00A24459">
            <w:pPr>
              <w:jc w:val="center"/>
              <w:rPr>
                <w:sz w:val="24"/>
                <w:szCs w:val="24"/>
              </w:rPr>
            </w:pPr>
            <w:r w:rsidRPr="00792B36">
              <w:rPr>
                <w:color w:val="000000"/>
                <w:sz w:val="24"/>
                <w:szCs w:val="24"/>
              </w:rPr>
              <w:t>494,825</w:t>
            </w:r>
          </w:p>
        </w:tc>
        <w:tc>
          <w:tcPr>
            <w:tcW w:w="1796" w:type="dxa"/>
            <w:gridSpan w:val="2"/>
            <w:vAlign w:val="center"/>
          </w:tcPr>
          <w:p w14:paraId="09DC5FAB" w14:textId="77777777" w:rsidR="009A0A63" w:rsidRPr="00792B36" w:rsidRDefault="009A0A63" w:rsidP="00A24459">
            <w:pPr>
              <w:jc w:val="center"/>
              <w:rPr>
                <w:sz w:val="24"/>
                <w:szCs w:val="24"/>
              </w:rPr>
            </w:pPr>
            <w:r w:rsidRPr="00792B36">
              <w:rPr>
                <w:color w:val="000000"/>
                <w:sz w:val="24"/>
                <w:szCs w:val="24"/>
              </w:rPr>
              <w:t>505,558</w:t>
            </w:r>
          </w:p>
        </w:tc>
        <w:tc>
          <w:tcPr>
            <w:tcW w:w="1826" w:type="dxa"/>
            <w:vAlign w:val="center"/>
          </w:tcPr>
          <w:p w14:paraId="664ECB35" w14:textId="77777777" w:rsidR="009A0A63" w:rsidRPr="00792B36" w:rsidRDefault="009A0A63" w:rsidP="00A24459">
            <w:pPr>
              <w:jc w:val="center"/>
              <w:rPr>
                <w:sz w:val="24"/>
                <w:szCs w:val="24"/>
              </w:rPr>
            </w:pPr>
            <w:r w:rsidRPr="00792B36">
              <w:rPr>
                <w:color w:val="000000"/>
                <w:sz w:val="24"/>
                <w:szCs w:val="24"/>
              </w:rPr>
              <w:t>394,041</w:t>
            </w:r>
          </w:p>
        </w:tc>
      </w:tr>
      <w:tr w:rsidR="009A0A63" w:rsidRPr="00792B36" w14:paraId="58BF7A37" w14:textId="77777777" w:rsidTr="00A24459">
        <w:trPr>
          <w:trHeight w:val="340"/>
        </w:trPr>
        <w:tc>
          <w:tcPr>
            <w:tcW w:w="2578" w:type="dxa"/>
            <w:gridSpan w:val="2"/>
            <w:vMerge/>
            <w:vAlign w:val="center"/>
          </w:tcPr>
          <w:p w14:paraId="7D82209E" w14:textId="77777777" w:rsidR="009A0A63" w:rsidRPr="00792B36" w:rsidRDefault="009A0A63" w:rsidP="00A24459">
            <w:pPr>
              <w:rPr>
                <w:sz w:val="24"/>
                <w:szCs w:val="24"/>
              </w:rPr>
            </w:pPr>
          </w:p>
        </w:tc>
        <w:tc>
          <w:tcPr>
            <w:tcW w:w="1021" w:type="dxa"/>
            <w:gridSpan w:val="3"/>
            <w:vAlign w:val="center"/>
          </w:tcPr>
          <w:p w14:paraId="042A55D9" w14:textId="77777777" w:rsidR="009A0A63" w:rsidRPr="00792B36" w:rsidRDefault="009A0A63" w:rsidP="00A24459">
            <w:pPr>
              <w:jc w:val="center"/>
              <w:rPr>
                <w:sz w:val="24"/>
                <w:szCs w:val="24"/>
              </w:rPr>
            </w:pPr>
            <w:r w:rsidRPr="00792B36">
              <w:rPr>
                <w:color w:val="000000"/>
                <w:sz w:val="24"/>
                <w:szCs w:val="24"/>
              </w:rPr>
              <w:t>2020</w:t>
            </w:r>
          </w:p>
        </w:tc>
        <w:tc>
          <w:tcPr>
            <w:tcW w:w="1796" w:type="dxa"/>
            <w:gridSpan w:val="3"/>
            <w:vAlign w:val="center"/>
          </w:tcPr>
          <w:p w14:paraId="672C1077" w14:textId="77777777" w:rsidR="009A0A63" w:rsidRPr="00792B36" w:rsidRDefault="009A0A63" w:rsidP="00A24459">
            <w:pPr>
              <w:jc w:val="center"/>
              <w:rPr>
                <w:sz w:val="24"/>
                <w:szCs w:val="24"/>
              </w:rPr>
            </w:pPr>
            <w:r w:rsidRPr="00792B36">
              <w:rPr>
                <w:color w:val="000000"/>
                <w:sz w:val="24"/>
                <w:szCs w:val="24"/>
              </w:rPr>
              <w:t>525,716</w:t>
            </w:r>
          </w:p>
        </w:tc>
        <w:tc>
          <w:tcPr>
            <w:tcW w:w="1796" w:type="dxa"/>
            <w:gridSpan w:val="2"/>
            <w:vAlign w:val="center"/>
          </w:tcPr>
          <w:p w14:paraId="20808CA2" w14:textId="77777777" w:rsidR="009A0A63" w:rsidRPr="00792B36" w:rsidRDefault="009A0A63" w:rsidP="00A24459">
            <w:pPr>
              <w:jc w:val="center"/>
              <w:rPr>
                <w:sz w:val="24"/>
                <w:szCs w:val="24"/>
              </w:rPr>
            </w:pPr>
            <w:r w:rsidRPr="00792B36">
              <w:rPr>
                <w:color w:val="000000"/>
                <w:sz w:val="24"/>
                <w:szCs w:val="24"/>
              </w:rPr>
              <w:t>542,010</w:t>
            </w:r>
          </w:p>
        </w:tc>
        <w:tc>
          <w:tcPr>
            <w:tcW w:w="1826" w:type="dxa"/>
            <w:vAlign w:val="center"/>
          </w:tcPr>
          <w:p w14:paraId="7E9FEFCD" w14:textId="77777777" w:rsidR="009A0A63" w:rsidRPr="00792B36" w:rsidRDefault="009A0A63" w:rsidP="00A24459">
            <w:pPr>
              <w:jc w:val="center"/>
              <w:rPr>
                <w:sz w:val="24"/>
                <w:szCs w:val="24"/>
              </w:rPr>
            </w:pPr>
            <w:r w:rsidRPr="00792B36">
              <w:rPr>
                <w:color w:val="000000"/>
                <w:sz w:val="24"/>
                <w:szCs w:val="24"/>
              </w:rPr>
              <w:t>512,366</w:t>
            </w:r>
          </w:p>
        </w:tc>
      </w:tr>
      <w:tr w:rsidR="009A0A63" w:rsidRPr="00792B36" w14:paraId="5F025826" w14:textId="77777777" w:rsidTr="00A24459">
        <w:trPr>
          <w:trHeight w:val="340"/>
        </w:trPr>
        <w:tc>
          <w:tcPr>
            <w:tcW w:w="2578" w:type="dxa"/>
            <w:gridSpan w:val="2"/>
            <w:vMerge w:val="restart"/>
            <w:vAlign w:val="center"/>
          </w:tcPr>
          <w:p w14:paraId="44C07BA7" w14:textId="77777777" w:rsidR="009A0A63" w:rsidRPr="00792B36" w:rsidRDefault="009A0A63" w:rsidP="00A24459">
            <w:pPr>
              <w:rPr>
                <w:sz w:val="24"/>
                <w:szCs w:val="24"/>
              </w:rPr>
            </w:pPr>
            <w:r w:rsidRPr="00792B36">
              <w:rPr>
                <w:color w:val="000000"/>
                <w:sz w:val="24"/>
                <w:szCs w:val="24"/>
              </w:rPr>
              <w:t>Chumphon</w:t>
            </w:r>
          </w:p>
        </w:tc>
        <w:tc>
          <w:tcPr>
            <w:tcW w:w="1021" w:type="dxa"/>
            <w:gridSpan w:val="3"/>
            <w:vAlign w:val="center"/>
          </w:tcPr>
          <w:p w14:paraId="2754902F" w14:textId="77777777" w:rsidR="009A0A63" w:rsidRPr="00792B36" w:rsidRDefault="009A0A63" w:rsidP="00A24459">
            <w:pPr>
              <w:jc w:val="center"/>
              <w:rPr>
                <w:sz w:val="24"/>
                <w:szCs w:val="24"/>
              </w:rPr>
            </w:pPr>
            <w:r w:rsidRPr="00792B36">
              <w:rPr>
                <w:color w:val="000000"/>
                <w:sz w:val="24"/>
                <w:szCs w:val="24"/>
              </w:rPr>
              <w:t>2000</w:t>
            </w:r>
          </w:p>
        </w:tc>
        <w:tc>
          <w:tcPr>
            <w:tcW w:w="1796" w:type="dxa"/>
            <w:gridSpan w:val="3"/>
            <w:vAlign w:val="center"/>
          </w:tcPr>
          <w:p w14:paraId="722C1EBB" w14:textId="77777777" w:rsidR="009A0A63" w:rsidRPr="00792B36" w:rsidRDefault="009A0A63" w:rsidP="00A24459">
            <w:pPr>
              <w:jc w:val="center"/>
              <w:rPr>
                <w:sz w:val="24"/>
                <w:szCs w:val="24"/>
              </w:rPr>
            </w:pPr>
            <w:r w:rsidRPr="00792B36">
              <w:rPr>
                <w:color w:val="000000"/>
                <w:sz w:val="24"/>
                <w:szCs w:val="24"/>
              </w:rPr>
              <w:t>232,866</w:t>
            </w:r>
          </w:p>
        </w:tc>
        <w:tc>
          <w:tcPr>
            <w:tcW w:w="1796" w:type="dxa"/>
            <w:gridSpan w:val="2"/>
            <w:vAlign w:val="center"/>
          </w:tcPr>
          <w:p w14:paraId="21A3ECF6" w14:textId="77777777" w:rsidR="009A0A63" w:rsidRPr="00792B36" w:rsidRDefault="009A0A63" w:rsidP="00A24459">
            <w:pPr>
              <w:jc w:val="center"/>
              <w:rPr>
                <w:sz w:val="24"/>
                <w:szCs w:val="24"/>
              </w:rPr>
            </w:pPr>
            <w:r w:rsidRPr="00792B36">
              <w:rPr>
                <w:color w:val="000000"/>
                <w:sz w:val="24"/>
                <w:szCs w:val="24"/>
              </w:rPr>
              <w:t>230,528</w:t>
            </w:r>
          </w:p>
        </w:tc>
        <w:tc>
          <w:tcPr>
            <w:tcW w:w="1826" w:type="dxa"/>
            <w:vAlign w:val="center"/>
          </w:tcPr>
          <w:p w14:paraId="28C66AF7" w14:textId="77777777" w:rsidR="009A0A63" w:rsidRPr="00792B36" w:rsidRDefault="009A0A63" w:rsidP="00A24459">
            <w:pPr>
              <w:jc w:val="center"/>
              <w:rPr>
                <w:sz w:val="24"/>
                <w:szCs w:val="24"/>
              </w:rPr>
            </w:pPr>
            <w:r w:rsidRPr="00792B36">
              <w:rPr>
                <w:color w:val="000000"/>
                <w:sz w:val="24"/>
                <w:szCs w:val="24"/>
              </w:rPr>
              <w:t>139,964</w:t>
            </w:r>
          </w:p>
        </w:tc>
      </w:tr>
      <w:tr w:rsidR="009A0A63" w:rsidRPr="00792B36" w14:paraId="4688AE37" w14:textId="77777777" w:rsidTr="00A24459">
        <w:trPr>
          <w:trHeight w:val="340"/>
        </w:trPr>
        <w:tc>
          <w:tcPr>
            <w:tcW w:w="2578" w:type="dxa"/>
            <w:gridSpan w:val="2"/>
            <w:vMerge/>
            <w:vAlign w:val="center"/>
          </w:tcPr>
          <w:p w14:paraId="77FCA283" w14:textId="77777777" w:rsidR="009A0A63" w:rsidRPr="00792B36" w:rsidRDefault="009A0A63" w:rsidP="00A24459">
            <w:pPr>
              <w:rPr>
                <w:sz w:val="24"/>
                <w:szCs w:val="24"/>
              </w:rPr>
            </w:pPr>
          </w:p>
        </w:tc>
        <w:tc>
          <w:tcPr>
            <w:tcW w:w="1021" w:type="dxa"/>
            <w:gridSpan w:val="3"/>
            <w:vAlign w:val="center"/>
          </w:tcPr>
          <w:p w14:paraId="31F36D55" w14:textId="77777777" w:rsidR="009A0A63" w:rsidRPr="00792B36" w:rsidRDefault="009A0A63" w:rsidP="00A24459">
            <w:pPr>
              <w:jc w:val="center"/>
              <w:rPr>
                <w:sz w:val="24"/>
                <w:szCs w:val="24"/>
              </w:rPr>
            </w:pPr>
            <w:r w:rsidRPr="00792B36">
              <w:rPr>
                <w:color w:val="000000"/>
                <w:sz w:val="24"/>
                <w:szCs w:val="24"/>
              </w:rPr>
              <w:t>2005</w:t>
            </w:r>
          </w:p>
        </w:tc>
        <w:tc>
          <w:tcPr>
            <w:tcW w:w="1796" w:type="dxa"/>
            <w:gridSpan w:val="3"/>
            <w:vAlign w:val="center"/>
          </w:tcPr>
          <w:p w14:paraId="62B62560" w14:textId="77777777" w:rsidR="009A0A63" w:rsidRPr="00792B36" w:rsidRDefault="009A0A63" w:rsidP="00A24459">
            <w:pPr>
              <w:jc w:val="center"/>
              <w:rPr>
                <w:sz w:val="24"/>
                <w:szCs w:val="24"/>
              </w:rPr>
            </w:pPr>
            <w:r w:rsidRPr="00792B36">
              <w:rPr>
                <w:color w:val="000000"/>
                <w:sz w:val="24"/>
                <w:szCs w:val="24"/>
              </w:rPr>
              <w:t>237,689</w:t>
            </w:r>
          </w:p>
        </w:tc>
        <w:tc>
          <w:tcPr>
            <w:tcW w:w="1796" w:type="dxa"/>
            <w:gridSpan w:val="2"/>
            <w:vAlign w:val="center"/>
          </w:tcPr>
          <w:p w14:paraId="00C4C95E" w14:textId="77777777" w:rsidR="009A0A63" w:rsidRPr="00792B36" w:rsidRDefault="009A0A63" w:rsidP="00A24459">
            <w:pPr>
              <w:jc w:val="center"/>
              <w:rPr>
                <w:sz w:val="24"/>
                <w:szCs w:val="24"/>
              </w:rPr>
            </w:pPr>
            <w:r w:rsidRPr="00792B36">
              <w:rPr>
                <w:color w:val="000000"/>
                <w:sz w:val="24"/>
                <w:szCs w:val="24"/>
              </w:rPr>
              <w:t>238,074</w:t>
            </w:r>
          </w:p>
        </w:tc>
        <w:tc>
          <w:tcPr>
            <w:tcW w:w="1826" w:type="dxa"/>
            <w:vAlign w:val="center"/>
          </w:tcPr>
          <w:p w14:paraId="186DC76F" w14:textId="77777777" w:rsidR="009A0A63" w:rsidRPr="00792B36" w:rsidRDefault="009A0A63" w:rsidP="00A24459">
            <w:pPr>
              <w:jc w:val="center"/>
              <w:rPr>
                <w:sz w:val="24"/>
                <w:szCs w:val="24"/>
              </w:rPr>
            </w:pPr>
            <w:r w:rsidRPr="00792B36">
              <w:rPr>
                <w:color w:val="000000"/>
                <w:sz w:val="24"/>
                <w:szCs w:val="24"/>
              </w:rPr>
              <w:t>169,200</w:t>
            </w:r>
          </w:p>
        </w:tc>
      </w:tr>
      <w:tr w:rsidR="009A0A63" w:rsidRPr="00792B36" w14:paraId="747631CF" w14:textId="77777777" w:rsidTr="00A24459">
        <w:trPr>
          <w:trHeight w:val="340"/>
        </w:trPr>
        <w:tc>
          <w:tcPr>
            <w:tcW w:w="2578" w:type="dxa"/>
            <w:gridSpan w:val="2"/>
            <w:vMerge/>
            <w:vAlign w:val="center"/>
          </w:tcPr>
          <w:p w14:paraId="04903E80" w14:textId="77777777" w:rsidR="009A0A63" w:rsidRPr="00792B36" w:rsidRDefault="009A0A63" w:rsidP="00A24459">
            <w:pPr>
              <w:rPr>
                <w:sz w:val="24"/>
                <w:szCs w:val="24"/>
              </w:rPr>
            </w:pPr>
          </w:p>
        </w:tc>
        <w:tc>
          <w:tcPr>
            <w:tcW w:w="1021" w:type="dxa"/>
            <w:gridSpan w:val="3"/>
            <w:vAlign w:val="center"/>
          </w:tcPr>
          <w:p w14:paraId="2CBA6D72" w14:textId="77777777" w:rsidR="009A0A63" w:rsidRPr="00792B36" w:rsidRDefault="009A0A63" w:rsidP="00A24459">
            <w:pPr>
              <w:jc w:val="center"/>
              <w:rPr>
                <w:sz w:val="24"/>
                <w:szCs w:val="24"/>
              </w:rPr>
            </w:pPr>
            <w:r w:rsidRPr="00792B36">
              <w:rPr>
                <w:color w:val="000000"/>
                <w:sz w:val="24"/>
                <w:szCs w:val="24"/>
              </w:rPr>
              <w:t>2010</w:t>
            </w:r>
          </w:p>
        </w:tc>
        <w:tc>
          <w:tcPr>
            <w:tcW w:w="1796" w:type="dxa"/>
            <w:gridSpan w:val="3"/>
            <w:vAlign w:val="center"/>
          </w:tcPr>
          <w:p w14:paraId="07058A0E" w14:textId="77777777" w:rsidR="009A0A63" w:rsidRPr="00792B36" w:rsidRDefault="009A0A63" w:rsidP="00A24459">
            <w:pPr>
              <w:jc w:val="center"/>
              <w:rPr>
                <w:sz w:val="24"/>
                <w:szCs w:val="24"/>
              </w:rPr>
            </w:pPr>
            <w:r w:rsidRPr="00792B36">
              <w:rPr>
                <w:color w:val="000000"/>
                <w:sz w:val="24"/>
                <w:szCs w:val="24"/>
              </w:rPr>
              <w:t>243,594</w:t>
            </w:r>
          </w:p>
        </w:tc>
        <w:tc>
          <w:tcPr>
            <w:tcW w:w="1796" w:type="dxa"/>
            <w:gridSpan w:val="2"/>
            <w:vAlign w:val="center"/>
          </w:tcPr>
          <w:p w14:paraId="7A8DF42E" w14:textId="77777777" w:rsidR="009A0A63" w:rsidRPr="00792B36" w:rsidRDefault="009A0A63" w:rsidP="00A24459">
            <w:pPr>
              <w:jc w:val="center"/>
              <w:rPr>
                <w:sz w:val="24"/>
                <w:szCs w:val="24"/>
              </w:rPr>
            </w:pPr>
            <w:r w:rsidRPr="00792B36">
              <w:rPr>
                <w:color w:val="000000"/>
                <w:sz w:val="24"/>
                <w:szCs w:val="24"/>
              </w:rPr>
              <w:t>246,370</w:t>
            </w:r>
          </w:p>
        </w:tc>
        <w:tc>
          <w:tcPr>
            <w:tcW w:w="1826" w:type="dxa"/>
            <w:vAlign w:val="center"/>
          </w:tcPr>
          <w:p w14:paraId="32DD7249" w14:textId="77777777" w:rsidR="009A0A63" w:rsidRPr="00792B36" w:rsidRDefault="009A0A63" w:rsidP="00A24459">
            <w:pPr>
              <w:jc w:val="center"/>
              <w:rPr>
                <w:sz w:val="24"/>
                <w:szCs w:val="24"/>
              </w:rPr>
            </w:pPr>
            <w:r w:rsidRPr="00792B36">
              <w:rPr>
                <w:color w:val="000000"/>
                <w:sz w:val="24"/>
                <w:szCs w:val="24"/>
              </w:rPr>
              <w:t>193,848</w:t>
            </w:r>
          </w:p>
        </w:tc>
      </w:tr>
      <w:tr w:rsidR="009A0A63" w:rsidRPr="00792B36" w14:paraId="443FB02E" w14:textId="77777777" w:rsidTr="00A24459">
        <w:trPr>
          <w:trHeight w:val="340"/>
        </w:trPr>
        <w:tc>
          <w:tcPr>
            <w:tcW w:w="2578" w:type="dxa"/>
            <w:gridSpan w:val="2"/>
            <w:vMerge/>
            <w:vAlign w:val="center"/>
          </w:tcPr>
          <w:p w14:paraId="7561C37D" w14:textId="77777777" w:rsidR="009A0A63" w:rsidRPr="00792B36" w:rsidRDefault="009A0A63" w:rsidP="00A24459">
            <w:pPr>
              <w:rPr>
                <w:sz w:val="24"/>
                <w:szCs w:val="24"/>
              </w:rPr>
            </w:pPr>
          </w:p>
        </w:tc>
        <w:tc>
          <w:tcPr>
            <w:tcW w:w="1021" w:type="dxa"/>
            <w:gridSpan w:val="3"/>
            <w:vAlign w:val="center"/>
          </w:tcPr>
          <w:p w14:paraId="429584D3" w14:textId="77777777" w:rsidR="009A0A63" w:rsidRPr="00792B36" w:rsidRDefault="009A0A63" w:rsidP="00A24459">
            <w:pPr>
              <w:jc w:val="center"/>
              <w:rPr>
                <w:sz w:val="24"/>
                <w:szCs w:val="24"/>
              </w:rPr>
            </w:pPr>
            <w:r w:rsidRPr="00792B36">
              <w:rPr>
                <w:color w:val="000000"/>
                <w:sz w:val="24"/>
                <w:szCs w:val="24"/>
              </w:rPr>
              <w:t>2020</w:t>
            </w:r>
          </w:p>
        </w:tc>
        <w:tc>
          <w:tcPr>
            <w:tcW w:w="1796" w:type="dxa"/>
            <w:gridSpan w:val="3"/>
            <w:vAlign w:val="center"/>
          </w:tcPr>
          <w:p w14:paraId="7D157A93" w14:textId="77777777" w:rsidR="009A0A63" w:rsidRPr="00792B36" w:rsidRDefault="009A0A63" w:rsidP="00A24459">
            <w:pPr>
              <w:jc w:val="center"/>
              <w:rPr>
                <w:sz w:val="24"/>
                <w:szCs w:val="24"/>
              </w:rPr>
            </w:pPr>
            <w:r w:rsidRPr="00792B36">
              <w:rPr>
                <w:color w:val="000000"/>
                <w:sz w:val="24"/>
                <w:szCs w:val="24"/>
              </w:rPr>
              <w:t>251,370</w:t>
            </w:r>
          </w:p>
        </w:tc>
        <w:tc>
          <w:tcPr>
            <w:tcW w:w="1796" w:type="dxa"/>
            <w:gridSpan w:val="2"/>
            <w:vAlign w:val="center"/>
          </w:tcPr>
          <w:p w14:paraId="3C0C5722" w14:textId="77777777" w:rsidR="009A0A63" w:rsidRPr="00792B36" w:rsidRDefault="009A0A63" w:rsidP="00A24459">
            <w:pPr>
              <w:jc w:val="center"/>
              <w:rPr>
                <w:sz w:val="24"/>
                <w:szCs w:val="24"/>
              </w:rPr>
            </w:pPr>
            <w:r w:rsidRPr="00792B36">
              <w:rPr>
                <w:color w:val="000000"/>
                <w:sz w:val="24"/>
                <w:szCs w:val="24"/>
              </w:rPr>
              <w:t>257,838</w:t>
            </w:r>
          </w:p>
        </w:tc>
        <w:tc>
          <w:tcPr>
            <w:tcW w:w="1826" w:type="dxa"/>
            <w:vAlign w:val="center"/>
          </w:tcPr>
          <w:p w14:paraId="40778540" w14:textId="77777777" w:rsidR="009A0A63" w:rsidRPr="00792B36" w:rsidRDefault="009A0A63" w:rsidP="00A24459">
            <w:pPr>
              <w:jc w:val="center"/>
              <w:rPr>
                <w:sz w:val="24"/>
                <w:szCs w:val="24"/>
              </w:rPr>
            </w:pPr>
            <w:r w:rsidRPr="00792B36">
              <w:rPr>
                <w:color w:val="000000"/>
                <w:sz w:val="24"/>
                <w:szCs w:val="24"/>
              </w:rPr>
              <w:t>240,248</w:t>
            </w:r>
          </w:p>
        </w:tc>
      </w:tr>
      <w:tr w:rsidR="009A0A63" w:rsidRPr="00792B36" w14:paraId="65534793" w14:textId="77777777" w:rsidTr="00A24459">
        <w:trPr>
          <w:trHeight w:val="340"/>
        </w:trPr>
        <w:tc>
          <w:tcPr>
            <w:tcW w:w="2578" w:type="dxa"/>
            <w:gridSpan w:val="2"/>
            <w:vMerge w:val="restart"/>
            <w:vAlign w:val="center"/>
          </w:tcPr>
          <w:p w14:paraId="5A56BCEF" w14:textId="77777777" w:rsidR="009A0A63" w:rsidRPr="00792B36" w:rsidRDefault="009A0A63" w:rsidP="00A24459">
            <w:pPr>
              <w:rPr>
                <w:sz w:val="24"/>
                <w:szCs w:val="24"/>
              </w:rPr>
            </w:pPr>
            <w:r w:rsidRPr="00792B36">
              <w:rPr>
                <w:color w:val="000000"/>
                <w:sz w:val="24"/>
                <w:szCs w:val="24"/>
              </w:rPr>
              <w:t>Songkhla</w:t>
            </w:r>
          </w:p>
        </w:tc>
        <w:tc>
          <w:tcPr>
            <w:tcW w:w="1021" w:type="dxa"/>
            <w:gridSpan w:val="3"/>
            <w:vAlign w:val="center"/>
          </w:tcPr>
          <w:p w14:paraId="4C9B1010" w14:textId="77777777" w:rsidR="009A0A63" w:rsidRPr="00792B36" w:rsidRDefault="009A0A63" w:rsidP="00A24459">
            <w:pPr>
              <w:jc w:val="center"/>
              <w:rPr>
                <w:sz w:val="24"/>
                <w:szCs w:val="24"/>
              </w:rPr>
            </w:pPr>
            <w:r w:rsidRPr="00792B36">
              <w:rPr>
                <w:color w:val="000000"/>
                <w:sz w:val="24"/>
                <w:szCs w:val="24"/>
              </w:rPr>
              <w:t>2000</w:t>
            </w:r>
          </w:p>
        </w:tc>
        <w:tc>
          <w:tcPr>
            <w:tcW w:w="1796" w:type="dxa"/>
            <w:gridSpan w:val="3"/>
            <w:vAlign w:val="center"/>
          </w:tcPr>
          <w:p w14:paraId="73C41D96" w14:textId="77777777" w:rsidR="009A0A63" w:rsidRPr="00792B36" w:rsidRDefault="009A0A63" w:rsidP="00A24459">
            <w:pPr>
              <w:jc w:val="center"/>
              <w:rPr>
                <w:sz w:val="24"/>
                <w:szCs w:val="24"/>
              </w:rPr>
            </w:pPr>
            <w:r w:rsidRPr="00792B36">
              <w:rPr>
                <w:color w:val="000000"/>
                <w:sz w:val="24"/>
                <w:szCs w:val="24"/>
              </w:rPr>
              <w:t>607,720</w:t>
            </w:r>
          </w:p>
        </w:tc>
        <w:tc>
          <w:tcPr>
            <w:tcW w:w="1796" w:type="dxa"/>
            <w:gridSpan w:val="2"/>
            <w:vAlign w:val="center"/>
          </w:tcPr>
          <w:p w14:paraId="45AFF349" w14:textId="77777777" w:rsidR="009A0A63" w:rsidRPr="00792B36" w:rsidRDefault="009A0A63" w:rsidP="00A24459">
            <w:pPr>
              <w:jc w:val="center"/>
              <w:rPr>
                <w:sz w:val="24"/>
                <w:szCs w:val="24"/>
              </w:rPr>
            </w:pPr>
            <w:r w:rsidRPr="00792B36">
              <w:rPr>
                <w:color w:val="000000"/>
                <w:sz w:val="24"/>
                <w:szCs w:val="24"/>
              </w:rPr>
              <w:t>624,880</w:t>
            </w:r>
          </w:p>
        </w:tc>
        <w:tc>
          <w:tcPr>
            <w:tcW w:w="1826" w:type="dxa"/>
            <w:vAlign w:val="center"/>
          </w:tcPr>
          <w:p w14:paraId="0A1511A9" w14:textId="77777777" w:rsidR="009A0A63" w:rsidRPr="00792B36" w:rsidRDefault="009A0A63" w:rsidP="00A24459">
            <w:pPr>
              <w:jc w:val="center"/>
              <w:rPr>
                <w:sz w:val="24"/>
                <w:szCs w:val="24"/>
              </w:rPr>
            </w:pPr>
            <w:r w:rsidRPr="00792B36">
              <w:rPr>
                <w:color w:val="000000"/>
                <w:sz w:val="24"/>
                <w:szCs w:val="24"/>
              </w:rPr>
              <w:t>311,407</w:t>
            </w:r>
          </w:p>
        </w:tc>
      </w:tr>
      <w:tr w:rsidR="009A0A63" w:rsidRPr="00792B36" w14:paraId="4444B1B8" w14:textId="77777777" w:rsidTr="00A24459">
        <w:trPr>
          <w:trHeight w:val="340"/>
        </w:trPr>
        <w:tc>
          <w:tcPr>
            <w:tcW w:w="2578" w:type="dxa"/>
            <w:gridSpan w:val="2"/>
            <w:vMerge/>
            <w:vAlign w:val="center"/>
          </w:tcPr>
          <w:p w14:paraId="46EDC1AC" w14:textId="77777777" w:rsidR="009A0A63" w:rsidRPr="00792B36" w:rsidRDefault="009A0A63" w:rsidP="00A24459">
            <w:pPr>
              <w:rPr>
                <w:sz w:val="24"/>
                <w:szCs w:val="24"/>
              </w:rPr>
            </w:pPr>
          </w:p>
        </w:tc>
        <w:tc>
          <w:tcPr>
            <w:tcW w:w="1021" w:type="dxa"/>
            <w:gridSpan w:val="3"/>
            <w:vAlign w:val="center"/>
          </w:tcPr>
          <w:p w14:paraId="2A2BB336" w14:textId="77777777" w:rsidR="009A0A63" w:rsidRPr="00792B36" w:rsidRDefault="009A0A63" w:rsidP="00A24459">
            <w:pPr>
              <w:jc w:val="center"/>
              <w:rPr>
                <w:sz w:val="24"/>
                <w:szCs w:val="24"/>
              </w:rPr>
            </w:pPr>
            <w:r w:rsidRPr="00792B36">
              <w:rPr>
                <w:color w:val="000000"/>
                <w:sz w:val="24"/>
                <w:szCs w:val="24"/>
              </w:rPr>
              <w:t>2005</w:t>
            </w:r>
          </w:p>
        </w:tc>
        <w:tc>
          <w:tcPr>
            <w:tcW w:w="1796" w:type="dxa"/>
            <w:gridSpan w:val="3"/>
            <w:vAlign w:val="center"/>
          </w:tcPr>
          <w:p w14:paraId="6986DC48" w14:textId="77777777" w:rsidR="009A0A63" w:rsidRPr="00792B36" w:rsidRDefault="009A0A63" w:rsidP="00A24459">
            <w:pPr>
              <w:jc w:val="center"/>
              <w:rPr>
                <w:sz w:val="24"/>
                <w:szCs w:val="24"/>
              </w:rPr>
            </w:pPr>
            <w:r w:rsidRPr="00792B36">
              <w:rPr>
                <w:color w:val="000000"/>
                <w:sz w:val="24"/>
                <w:szCs w:val="24"/>
              </w:rPr>
              <w:t>637,355</w:t>
            </w:r>
          </w:p>
        </w:tc>
        <w:tc>
          <w:tcPr>
            <w:tcW w:w="1796" w:type="dxa"/>
            <w:gridSpan w:val="2"/>
            <w:vAlign w:val="center"/>
          </w:tcPr>
          <w:p w14:paraId="75BDA2CD" w14:textId="77777777" w:rsidR="009A0A63" w:rsidRPr="00792B36" w:rsidRDefault="009A0A63" w:rsidP="00A24459">
            <w:pPr>
              <w:jc w:val="center"/>
              <w:rPr>
                <w:sz w:val="24"/>
                <w:szCs w:val="24"/>
              </w:rPr>
            </w:pPr>
            <w:r w:rsidRPr="00792B36">
              <w:rPr>
                <w:color w:val="000000"/>
                <w:sz w:val="24"/>
                <w:szCs w:val="24"/>
              </w:rPr>
              <w:t>665,067</w:t>
            </w:r>
          </w:p>
        </w:tc>
        <w:tc>
          <w:tcPr>
            <w:tcW w:w="1826" w:type="dxa"/>
            <w:vAlign w:val="center"/>
          </w:tcPr>
          <w:p w14:paraId="071B7ADA" w14:textId="77777777" w:rsidR="009A0A63" w:rsidRPr="00792B36" w:rsidRDefault="009A0A63" w:rsidP="00A24459">
            <w:pPr>
              <w:jc w:val="center"/>
              <w:rPr>
                <w:sz w:val="24"/>
                <w:szCs w:val="24"/>
              </w:rPr>
            </w:pPr>
            <w:r w:rsidRPr="00792B36">
              <w:rPr>
                <w:color w:val="000000"/>
                <w:sz w:val="24"/>
                <w:szCs w:val="24"/>
              </w:rPr>
              <w:t>373,725</w:t>
            </w:r>
          </w:p>
        </w:tc>
      </w:tr>
      <w:tr w:rsidR="009A0A63" w:rsidRPr="00792B36" w14:paraId="3A928B35" w14:textId="77777777" w:rsidTr="00A24459">
        <w:trPr>
          <w:trHeight w:val="340"/>
        </w:trPr>
        <w:tc>
          <w:tcPr>
            <w:tcW w:w="2578" w:type="dxa"/>
            <w:gridSpan w:val="2"/>
            <w:vMerge/>
            <w:vAlign w:val="center"/>
          </w:tcPr>
          <w:p w14:paraId="1A62C659" w14:textId="77777777" w:rsidR="009A0A63" w:rsidRPr="00792B36" w:rsidRDefault="009A0A63" w:rsidP="00A24459">
            <w:pPr>
              <w:rPr>
                <w:sz w:val="24"/>
                <w:szCs w:val="24"/>
              </w:rPr>
            </w:pPr>
          </w:p>
        </w:tc>
        <w:tc>
          <w:tcPr>
            <w:tcW w:w="1021" w:type="dxa"/>
            <w:gridSpan w:val="3"/>
            <w:vAlign w:val="center"/>
          </w:tcPr>
          <w:p w14:paraId="5A600A64" w14:textId="77777777" w:rsidR="009A0A63" w:rsidRPr="00792B36" w:rsidRDefault="009A0A63" w:rsidP="00A24459">
            <w:pPr>
              <w:jc w:val="center"/>
              <w:rPr>
                <w:sz w:val="24"/>
                <w:szCs w:val="24"/>
              </w:rPr>
            </w:pPr>
            <w:r w:rsidRPr="00792B36">
              <w:rPr>
                <w:color w:val="000000"/>
                <w:sz w:val="24"/>
                <w:szCs w:val="24"/>
              </w:rPr>
              <w:t>2010</w:t>
            </w:r>
          </w:p>
        </w:tc>
        <w:tc>
          <w:tcPr>
            <w:tcW w:w="1796" w:type="dxa"/>
            <w:gridSpan w:val="3"/>
            <w:vAlign w:val="center"/>
          </w:tcPr>
          <w:p w14:paraId="317B71CD" w14:textId="77777777" w:rsidR="009A0A63" w:rsidRPr="00792B36" w:rsidRDefault="009A0A63" w:rsidP="00A24459">
            <w:pPr>
              <w:jc w:val="center"/>
              <w:rPr>
                <w:sz w:val="24"/>
                <w:szCs w:val="24"/>
              </w:rPr>
            </w:pPr>
            <w:r w:rsidRPr="00792B36">
              <w:rPr>
                <w:color w:val="000000"/>
                <w:sz w:val="24"/>
                <w:szCs w:val="24"/>
              </w:rPr>
              <w:t>662,475</w:t>
            </w:r>
          </w:p>
        </w:tc>
        <w:tc>
          <w:tcPr>
            <w:tcW w:w="1796" w:type="dxa"/>
            <w:gridSpan w:val="2"/>
            <w:vAlign w:val="center"/>
          </w:tcPr>
          <w:p w14:paraId="67C98649" w14:textId="77777777" w:rsidR="009A0A63" w:rsidRPr="00792B36" w:rsidRDefault="009A0A63" w:rsidP="00A24459">
            <w:pPr>
              <w:jc w:val="center"/>
              <w:rPr>
                <w:sz w:val="24"/>
                <w:szCs w:val="24"/>
              </w:rPr>
            </w:pPr>
            <w:r w:rsidRPr="00792B36">
              <w:rPr>
                <w:color w:val="000000"/>
                <w:sz w:val="24"/>
                <w:szCs w:val="24"/>
              </w:rPr>
              <w:t>694,548</w:t>
            </w:r>
          </w:p>
        </w:tc>
        <w:tc>
          <w:tcPr>
            <w:tcW w:w="1826" w:type="dxa"/>
            <w:vAlign w:val="center"/>
          </w:tcPr>
          <w:p w14:paraId="39317CEE" w14:textId="77777777" w:rsidR="009A0A63" w:rsidRPr="00792B36" w:rsidRDefault="009A0A63" w:rsidP="00A24459">
            <w:pPr>
              <w:jc w:val="center"/>
              <w:rPr>
                <w:sz w:val="24"/>
                <w:szCs w:val="24"/>
              </w:rPr>
            </w:pPr>
            <w:r w:rsidRPr="00792B36">
              <w:rPr>
                <w:color w:val="000000"/>
                <w:sz w:val="24"/>
                <w:szCs w:val="24"/>
              </w:rPr>
              <w:t>434,137</w:t>
            </w:r>
          </w:p>
        </w:tc>
      </w:tr>
      <w:tr w:rsidR="009A0A63" w:rsidRPr="00792B36" w14:paraId="1BDFA544" w14:textId="77777777" w:rsidTr="00A24459">
        <w:trPr>
          <w:trHeight w:val="340"/>
        </w:trPr>
        <w:tc>
          <w:tcPr>
            <w:tcW w:w="2578" w:type="dxa"/>
            <w:gridSpan w:val="2"/>
            <w:vMerge/>
            <w:vAlign w:val="center"/>
          </w:tcPr>
          <w:p w14:paraId="22F33471" w14:textId="77777777" w:rsidR="009A0A63" w:rsidRPr="00792B36" w:rsidRDefault="009A0A63" w:rsidP="00A24459">
            <w:pPr>
              <w:rPr>
                <w:sz w:val="24"/>
                <w:szCs w:val="24"/>
              </w:rPr>
            </w:pPr>
          </w:p>
        </w:tc>
        <w:tc>
          <w:tcPr>
            <w:tcW w:w="1021" w:type="dxa"/>
            <w:gridSpan w:val="3"/>
            <w:vAlign w:val="center"/>
          </w:tcPr>
          <w:p w14:paraId="672F91C4" w14:textId="77777777" w:rsidR="009A0A63" w:rsidRPr="00792B36" w:rsidRDefault="009A0A63" w:rsidP="00A24459">
            <w:pPr>
              <w:jc w:val="center"/>
              <w:rPr>
                <w:sz w:val="24"/>
                <w:szCs w:val="24"/>
              </w:rPr>
            </w:pPr>
            <w:r w:rsidRPr="00792B36">
              <w:rPr>
                <w:color w:val="000000"/>
                <w:sz w:val="24"/>
                <w:szCs w:val="24"/>
              </w:rPr>
              <w:t>2020</w:t>
            </w:r>
          </w:p>
        </w:tc>
        <w:tc>
          <w:tcPr>
            <w:tcW w:w="1796" w:type="dxa"/>
            <w:gridSpan w:val="3"/>
            <w:vAlign w:val="center"/>
          </w:tcPr>
          <w:p w14:paraId="26F7E751" w14:textId="77777777" w:rsidR="009A0A63" w:rsidRPr="00792B36" w:rsidRDefault="009A0A63" w:rsidP="00A24459">
            <w:pPr>
              <w:jc w:val="center"/>
              <w:rPr>
                <w:sz w:val="24"/>
                <w:szCs w:val="24"/>
              </w:rPr>
            </w:pPr>
            <w:r w:rsidRPr="00792B36">
              <w:rPr>
                <w:color w:val="000000"/>
                <w:sz w:val="24"/>
                <w:szCs w:val="24"/>
              </w:rPr>
              <w:t>696,349</w:t>
            </w:r>
          </w:p>
        </w:tc>
        <w:tc>
          <w:tcPr>
            <w:tcW w:w="1796" w:type="dxa"/>
            <w:gridSpan w:val="2"/>
            <w:vAlign w:val="center"/>
          </w:tcPr>
          <w:p w14:paraId="0F71E379" w14:textId="77777777" w:rsidR="009A0A63" w:rsidRPr="00792B36" w:rsidRDefault="009A0A63" w:rsidP="00A24459">
            <w:pPr>
              <w:jc w:val="center"/>
              <w:rPr>
                <w:sz w:val="24"/>
                <w:szCs w:val="24"/>
              </w:rPr>
            </w:pPr>
            <w:r w:rsidRPr="00792B36">
              <w:rPr>
                <w:color w:val="000000"/>
                <w:sz w:val="24"/>
                <w:szCs w:val="24"/>
              </w:rPr>
              <w:t>732,260</w:t>
            </w:r>
          </w:p>
        </w:tc>
        <w:tc>
          <w:tcPr>
            <w:tcW w:w="1826" w:type="dxa"/>
            <w:vAlign w:val="center"/>
          </w:tcPr>
          <w:p w14:paraId="1F3052A7" w14:textId="77777777" w:rsidR="009A0A63" w:rsidRPr="00792B36" w:rsidRDefault="009A0A63" w:rsidP="00A24459">
            <w:pPr>
              <w:jc w:val="center"/>
              <w:rPr>
                <w:sz w:val="24"/>
                <w:szCs w:val="24"/>
              </w:rPr>
            </w:pPr>
            <w:r w:rsidRPr="00792B36">
              <w:rPr>
                <w:color w:val="000000"/>
                <w:sz w:val="24"/>
                <w:szCs w:val="24"/>
              </w:rPr>
              <w:t>553,597</w:t>
            </w:r>
          </w:p>
        </w:tc>
      </w:tr>
      <w:tr w:rsidR="009A0A63" w:rsidRPr="00792B36" w14:paraId="16A47E3A" w14:textId="77777777" w:rsidTr="00A24459">
        <w:trPr>
          <w:trHeight w:val="340"/>
        </w:trPr>
        <w:tc>
          <w:tcPr>
            <w:tcW w:w="2578" w:type="dxa"/>
            <w:gridSpan w:val="2"/>
            <w:vMerge w:val="restart"/>
            <w:vAlign w:val="center"/>
          </w:tcPr>
          <w:p w14:paraId="6DD3D7F3" w14:textId="77777777" w:rsidR="009A0A63" w:rsidRPr="00792B36" w:rsidRDefault="009A0A63" w:rsidP="00A24459">
            <w:pPr>
              <w:rPr>
                <w:sz w:val="24"/>
                <w:szCs w:val="24"/>
              </w:rPr>
            </w:pPr>
            <w:r w:rsidRPr="00792B36">
              <w:rPr>
                <w:color w:val="000000"/>
                <w:sz w:val="24"/>
                <w:szCs w:val="24"/>
              </w:rPr>
              <w:t>Pattani</w:t>
            </w:r>
          </w:p>
        </w:tc>
        <w:tc>
          <w:tcPr>
            <w:tcW w:w="1021" w:type="dxa"/>
            <w:gridSpan w:val="3"/>
            <w:vAlign w:val="center"/>
          </w:tcPr>
          <w:p w14:paraId="73107298" w14:textId="77777777" w:rsidR="009A0A63" w:rsidRPr="00792B36" w:rsidRDefault="009A0A63" w:rsidP="00A24459">
            <w:pPr>
              <w:jc w:val="center"/>
              <w:rPr>
                <w:sz w:val="24"/>
                <w:szCs w:val="24"/>
              </w:rPr>
            </w:pPr>
            <w:r w:rsidRPr="00792B36">
              <w:rPr>
                <w:color w:val="000000"/>
                <w:sz w:val="24"/>
                <w:szCs w:val="24"/>
              </w:rPr>
              <w:t>2000</w:t>
            </w:r>
          </w:p>
        </w:tc>
        <w:tc>
          <w:tcPr>
            <w:tcW w:w="1796" w:type="dxa"/>
            <w:gridSpan w:val="3"/>
            <w:vAlign w:val="center"/>
          </w:tcPr>
          <w:p w14:paraId="59093205" w14:textId="77777777" w:rsidR="009A0A63" w:rsidRPr="00792B36" w:rsidRDefault="009A0A63" w:rsidP="00A24459">
            <w:pPr>
              <w:jc w:val="center"/>
              <w:rPr>
                <w:sz w:val="24"/>
                <w:szCs w:val="24"/>
              </w:rPr>
            </w:pPr>
            <w:r w:rsidRPr="00792B36">
              <w:rPr>
                <w:color w:val="000000"/>
                <w:sz w:val="24"/>
                <w:szCs w:val="24"/>
              </w:rPr>
              <w:t>301,929</w:t>
            </w:r>
          </w:p>
        </w:tc>
        <w:tc>
          <w:tcPr>
            <w:tcW w:w="1796" w:type="dxa"/>
            <w:gridSpan w:val="2"/>
            <w:vAlign w:val="center"/>
          </w:tcPr>
          <w:p w14:paraId="50D0CCF2" w14:textId="77777777" w:rsidR="009A0A63" w:rsidRPr="00792B36" w:rsidRDefault="009A0A63" w:rsidP="00A24459">
            <w:pPr>
              <w:jc w:val="center"/>
              <w:rPr>
                <w:sz w:val="24"/>
                <w:szCs w:val="24"/>
              </w:rPr>
            </w:pPr>
            <w:r w:rsidRPr="00792B36">
              <w:rPr>
                <w:color w:val="000000"/>
                <w:sz w:val="24"/>
                <w:szCs w:val="24"/>
              </w:rPr>
              <w:t>310,198</w:t>
            </w:r>
          </w:p>
        </w:tc>
        <w:tc>
          <w:tcPr>
            <w:tcW w:w="1826" w:type="dxa"/>
            <w:vAlign w:val="center"/>
          </w:tcPr>
          <w:p w14:paraId="755345AA" w14:textId="77777777" w:rsidR="009A0A63" w:rsidRPr="00792B36" w:rsidRDefault="009A0A63" w:rsidP="00A24459">
            <w:pPr>
              <w:jc w:val="center"/>
              <w:rPr>
                <w:sz w:val="24"/>
                <w:szCs w:val="24"/>
              </w:rPr>
            </w:pPr>
            <w:r w:rsidRPr="00792B36">
              <w:rPr>
                <w:color w:val="000000"/>
                <w:sz w:val="24"/>
                <w:szCs w:val="24"/>
              </w:rPr>
              <w:t>123,863</w:t>
            </w:r>
          </w:p>
        </w:tc>
      </w:tr>
      <w:tr w:rsidR="009A0A63" w:rsidRPr="00792B36" w14:paraId="593922EB" w14:textId="77777777" w:rsidTr="00A24459">
        <w:trPr>
          <w:trHeight w:val="340"/>
        </w:trPr>
        <w:tc>
          <w:tcPr>
            <w:tcW w:w="2578" w:type="dxa"/>
            <w:gridSpan w:val="2"/>
            <w:vMerge/>
            <w:vAlign w:val="center"/>
          </w:tcPr>
          <w:p w14:paraId="3F8B271A" w14:textId="77777777" w:rsidR="009A0A63" w:rsidRPr="00792B36" w:rsidRDefault="009A0A63" w:rsidP="00A24459">
            <w:pPr>
              <w:rPr>
                <w:sz w:val="24"/>
                <w:szCs w:val="24"/>
              </w:rPr>
            </w:pPr>
          </w:p>
        </w:tc>
        <w:tc>
          <w:tcPr>
            <w:tcW w:w="1021" w:type="dxa"/>
            <w:gridSpan w:val="3"/>
            <w:vAlign w:val="center"/>
          </w:tcPr>
          <w:p w14:paraId="5867D47B" w14:textId="77777777" w:rsidR="009A0A63" w:rsidRPr="00792B36" w:rsidRDefault="009A0A63" w:rsidP="00A24459">
            <w:pPr>
              <w:jc w:val="center"/>
              <w:rPr>
                <w:sz w:val="24"/>
                <w:szCs w:val="24"/>
              </w:rPr>
            </w:pPr>
            <w:r w:rsidRPr="00792B36">
              <w:rPr>
                <w:color w:val="000000"/>
                <w:sz w:val="24"/>
                <w:szCs w:val="24"/>
              </w:rPr>
              <w:t>2005</w:t>
            </w:r>
          </w:p>
        </w:tc>
        <w:tc>
          <w:tcPr>
            <w:tcW w:w="1796" w:type="dxa"/>
            <w:gridSpan w:val="3"/>
            <w:vAlign w:val="center"/>
          </w:tcPr>
          <w:p w14:paraId="224F49D4" w14:textId="77777777" w:rsidR="009A0A63" w:rsidRPr="00792B36" w:rsidRDefault="009A0A63" w:rsidP="00A24459">
            <w:pPr>
              <w:jc w:val="center"/>
              <w:rPr>
                <w:sz w:val="24"/>
                <w:szCs w:val="24"/>
              </w:rPr>
            </w:pPr>
            <w:r w:rsidRPr="00792B36">
              <w:rPr>
                <w:color w:val="000000"/>
                <w:sz w:val="24"/>
                <w:szCs w:val="24"/>
              </w:rPr>
              <w:t>313,132</w:t>
            </w:r>
          </w:p>
        </w:tc>
        <w:tc>
          <w:tcPr>
            <w:tcW w:w="1796" w:type="dxa"/>
            <w:gridSpan w:val="2"/>
            <w:vAlign w:val="center"/>
          </w:tcPr>
          <w:p w14:paraId="56D00702" w14:textId="77777777" w:rsidR="009A0A63" w:rsidRPr="00792B36" w:rsidRDefault="009A0A63" w:rsidP="00A24459">
            <w:pPr>
              <w:jc w:val="center"/>
              <w:rPr>
                <w:sz w:val="24"/>
                <w:szCs w:val="24"/>
              </w:rPr>
            </w:pPr>
            <w:r w:rsidRPr="00792B36">
              <w:rPr>
                <w:color w:val="000000"/>
                <w:sz w:val="24"/>
                <w:szCs w:val="24"/>
              </w:rPr>
              <w:t>321,242</w:t>
            </w:r>
          </w:p>
        </w:tc>
        <w:tc>
          <w:tcPr>
            <w:tcW w:w="1826" w:type="dxa"/>
            <w:vAlign w:val="center"/>
          </w:tcPr>
          <w:p w14:paraId="05A9AC06" w14:textId="77777777" w:rsidR="009A0A63" w:rsidRPr="00792B36" w:rsidRDefault="009A0A63" w:rsidP="00A24459">
            <w:pPr>
              <w:jc w:val="center"/>
              <w:rPr>
                <w:sz w:val="24"/>
                <w:szCs w:val="24"/>
              </w:rPr>
            </w:pPr>
            <w:r w:rsidRPr="00792B36">
              <w:rPr>
                <w:color w:val="000000"/>
                <w:sz w:val="24"/>
                <w:szCs w:val="24"/>
              </w:rPr>
              <w:t>141,511</w:t>
            </w:r>
          </w:p>
        </w:tc>
      </w:tr>
      <w:tr w:rsidR="009A0A63" w:rsidRPr="00792B36" w14:paraId="7D9F80FD" w14:textId="77777777" w:rsidTr="00A24459">
        <w:trPr>
          <w:trHeight w:val="340"/>
        </w:trPr>
        <w:tc>
          <w:tcPr>
            <w:tcW w:w="2578" w:type="dxa"/>
            <w:gridSpan w:val="2"/>
            <w:vMerge/>
            <w:vAlign w:val="center"/>
          </w:tcPr>
          <w:p w14:paraId="7FFD68CF" w14:textId="77777777" w:rsidR="009A0A63" w:rsidRPr="00792B36" w:rsidRDefault="009A0A63" w:rsidP="00A24459">
            <w:pPr>
              <w:rPr>
                <w:sz w:val="24"/>
                <w:szCs w:val="24"/>
              </w:rPr>
            </w:pPr>
          </w:p>
        </w:tc>
        <w:tc>
          <w:tcPr>
            <w:tcW w:w="1021" w:type="dxa"/>
            <w:gridSpan w:val="3"/>
            <w:vAlign w:val="center"/>
          </w:tcPr>
          <w:p w14:paraId="37AACC6E" w14:textId="77777777" w:rsidR="009A0A63" w:rsidRPr="00792B36" w:rsidRDefault="009A0A63" w:rsidP="00A24459">
            <w:pPr>
              <w:jc w:val="center"/>
              <w:rPr>
                <w:sz w:val="24"/>
                <w:szCs w:val="24"/>
              </w:rPr>
            </w:pPr>
            <w:r w:rsidRPr="00792B36">
              <w:rPr>
                <w:color w:val="000000"/>
                <w:sz w:val="24"/>
                <w:szCs w:val="24"/>
              </w:rPr>
              <w:t>2010</w:t>
            </w:r>
          </w:p>
        </w:tc>
        <w:tc>
          <w:tcPr>
            <w:tcW w:w="1796" w:type="dxa"/>
            <w:gridSpan w:val="3"/>
            <w:vAlign w:val="center"/>
          </w:tcPr>
          <w:p w14:paraId="2E715BC6" w14:textId="77777777" w:rsidR="009A0A63" w:rsidRPr="00792B36" w:rsidRDefault="009A0A63" w:rsidP="00A24459">
            <w:pPr>
              <w:jc w:val="center"/>
              <w:rPr>
                <w:sz w:val="24"/>
                <w:szCs w:val="24"/>
              </w:rPr>
            </w:pPr>
            <w:r w:rsidRPr="00792B36">
              <w:rPr>
                <w:color w:val="000000"/>
                <w:sz w:val="24"/>
                <w:szCs w:val="24"/>
              </w:rPr>
              <w:t>323,573</w:t>
            </w:r>
          </w:p>
        </w:tc>
        <w:tc>
          <w:tcPr>
            <w:tcW w:w="1796" w:type="dxa"/>
            <w:gridSpan w:val="2"/>
            <w:vAlign w:val="center"/>
          </w:tcPr>
          <w:p w14:paraId="4DDA7D2A" w14:textId="77777777" w:rsidR="009A0A63" w:rsidRPr="00792B36" w:rsidRDefault="009A0A63" w:rsidP="00A24459">
            <w:pPr>
              <w:jc w:val="center"/>
              <w:rPr>
                <w:sz w:val="24"/>
                <w:szCs w:val="24"/>
              </w:rPr>
            </w:pPr>
            <w:r w:rsidRPr="00792B36">
              <w:rPr>
                <w:color w:val="000000"/>
                <w:sz w:val="24"/>
                <w:szCs w:val="24"/>
              </w:rPr>
              <w:t>331,686</w:t>
            </w:r>
          </w:p>
        </w:tc>
        <w:tc>
          <w:tcPr>
            <w:tcW w:w="1826" w:type="dxa"/>
            <w:vAlign w:val="center"/>
          </w:tcPr>
          <w:p w14:paraId="5200A3FA" w14:textId="77777777" w:rsidR="009A0A63" w:rsidRPr="00792B36" w:rsidRDefault="009A0A63" w:rsidP="00A24459">
            <w:pPr>
              <w:jc w:val="center"/>
              <w:rPr>
                <w:sz w:val="24"/>
                <w:szCs w:val="24"/>
              </w:rPr>
            </w:pPr>
            <w:r w:rsidRPr="00792B36">
              <w:rPr>
                <w:color w:val="000000"/>
                <w:sz w:val="24"/>
                <w:szCs w:val="24"/>
              </w:rPr>
              <w:t>157,145</w:t>
            </w:r>
          </w:p>
        </w:tc>
      </w:tr>
      <w:tr w:rsidR="009A0A63" w:rsidRPr="00792B36" w14:paraId="636A7277" w14:textId="77777777" w:rsidTr="00A24459">
        <w:trPr>
          <w:trHeight w:val="340"/>
        </w:trPr>
        <w:tc>
          <w:tcPr>
            <w:tcW w:w="2578" w:type="dxa"/>
            <w:gridSpan w:val="2"/>
            <w:vMerge/>
            <w:vAlign w:val="center"/>
          </w:tcPr>
          <w:p w14:paraId="6B245B93" w14:textId="77777777" w:rsidR="009A0A63" w:rsidRPr="00792B36" w:rsidRDefault="009A0A63" w:rsidP="00A24459">
            <w:pPr>
              <w:rPr>
                <w:sz w:val="24"/>
                <w:szCs w:val="24"/>
              </w:rPr>
            </w:pPr>
          </w:p>
        </w:tc>
        <w:tc>
          <w:tcPr>
            <w:tcW w:w="1021" w:type="dxa"/>
            <w:gridSpan w:val="3"/>
            <w:vAlign w:val="center"/>
          </w:tcPr>
          <w:p w14:paraId="6CDA055E" w14:textId="77777777" w:rsidR="009A0A63" w:rsidRPr="00792B36" w:rsidRDefault="009A0A63" w:rsidP="00A24459">
            <w:pPr>
              <w:jc w:val="center"/>
              <w:rPr>
                <w:sz w:val="24"/>
                <w:szCs w:val="24"/>
              </w:rPr>
            </w:pPr>
            <w:r w:rsidRPr="00792B36">
              <w:rPr>
                <w:color w:val="000000"/>
                <w:sz w:val="24"/>
                <w:szCs w:val="24"/>
              </w:rPr>
              <w:t>2020</w:t>
            </w:r>
          </w:p>
        </w:tc>
        <w:tc>
          <w:tcPr>
            <w:tcW w:w="1796" w:type="dxa"/>
            <w:gridSpan w:val="3"/>
            <w:vAlign w:val="center"/>
          </w:tcPr>
          <w:p w14:paraId="030CE7CE" w14:textId="77777777" w:rsidR="009A0A63" w:rsidRPr="00792B36" w:rsidRDefault="009A0A63" w:rsidP="00A24459">
            <w:pPr>
              <w:jc w:val="center"/>
              <w:rPr>
                <w:sz w:val="24"/>
                <w:szCs w:val="24"/>
              </w:rPr>
            </w:pPr>
            <w:r w:rsidRPr="00792B36">
              <w:rPr>
                <w:color w:val="000000"/>
                <w:sz w:val="24"/>
                <w:szCs w:val="24"/>
              </w:rPr>
              <w:t>358,611</w:t>
            </w:r>
          </w:p>
        </w:tc>
        <w:tc>
          <w:tcPr>
            <w:tcW w:w="1796" w:type="dxa"/>
            <w:gridSpan w:val="2"/>
            <w:vAlign w:val="center"/>
          </w:tcPr>
          <w:p w14:paraId="212578AB" w14:textId="77777777" w:rsidR="009A0A63" w:rsidRPr="00792B36" w:rsidRDefault="009A0A63" w:rsidP="00A24459">
            <w:pPr>
              <w:jc w:val="center"/>
              <w:rPr>
                <w:sz w:val="24"/>
                <w:szCs w:val="24"/>
              </w:rPr>
            </w:pPr>
            <w:r w:rsidRPr="00792B36">
              <w:rPr>
                <w:color w:val="000000"/>
                <w:sz w:val="24"/>
                <w:szCs w:val="24"/>
              </w:rPr>
              <w:t>367,404</w:t>
            </w:r>
          </w:p>
        </w:tc>
        <w:tc>
          <w:tcPr>
            <w:tcW w:w="1826" w:type="dxa"/>
            <w:vAlign w:val="center"/>
          </w:tcPr>
          <w:p w14:paraId="3592FFC1" w14:textId="77777777" w:rsidR="009A0A63" w:rsidRPr="00792B36" w:rsidRDefault="009A0A63" w:rsidP="00A24459">
            <w:pPr>
              <w:jc w:val="center"/>
              <w:rPr>
                <w:sz w:val="24"/>
                <w:szCs w:val="24"/>
              </w:rPr>
            </w:pPr>
            <w:r w:rsidRPr="00792B36">
              <w:rPr>
                <w:color w:val="000000"/>
                <w:sz w:val="24"/>
                <w:szCs w:val="24"/>
              </w:rPr>
              <w:t>195,224</w:t>
            </w:r>
          </w:p>
        </w:tc>
      </w:tr>
      <w:tr w:rsidR="009A0A63" w:rsidRPr="00792B36" w14:paraId="5C8CDBB0" w14:textId="77777777" w:rsidTr="00A24459">
        <w:trPr>
          <w:trHeight w:val="340"/>
        </w:trPr>
        <w:tc>
          <w:tcPr>
            <w:tcW w:w="2578" w:type="dxa"/>
            <w:gridSpan w:val="2"/>
            <w:vMerge w:val="restart"/>
            <w:vAlign w:val="center"/>
          </w:tcPr>
          <w:p w14:paraId="05B639E4" w14:textId="77777777" w:rsidR="009A0A63" w:rsidRPr="00792B36" w:rsidRDefault="009A0A63" w:rsidP="00A24459">
            <w:pPr>
              <w:rPr>
                <w:sz w:val="24"/>
                <w:szCs w:val="24"/>
              </w:rPr>
            </w:pPr>
            <w:r w:rsidRPr="00792B36">
              <w:rPr>
                <w:color w:val="000000"/>
                <w:sz w:val="24"/>
                <w:szCs w:val="24"/>
              </w:rPr>
              <w:t>Narathiwat</w:t>
            </w:r>
          </w:p>
        </w:tc>
        <w:tc>
          <w:tcPr>
            <w:tcW w:w="1021" w:type="dxa"/>
            <w:gridSpan w:val="3"/>
            <w:vAlign w:val="center"/>
          </w:tcPr>
          <w:p w14:paraId="3AD7A091" w14:textId="77777777" w:rsidR="009A0A63" w:rsidRPr="00792B36" w:rsidRDefault="009A0A63" w:rsidP="00A24459">
            <w:pPr>
              <w:jc w:val="center"/>
              <w:rPr>
                <w:sz w:val="24"/>
                <w:szCs w:val="24"/>
              </w:rPr>
            </w:pPr>
            <w:r w:rsidRPr="00792B36">
              <w:rPr>
                <w:color w:val="000000"/>
                <w:sz w:val="24"/>
                <w:szCs w:val="24"/>
              </w:rPr>
              <w:t>2000</w:t>
            </w:r>
          </w:p>
        </w:tc>
        <w:tc>
          <w:tcPr>
            <w:tcW w:w="1796" w:type="dxa"/>
            <w:gridSpan w:val="3"/>
            <w:vAlign w:val="center"/>
          </w:tcPr>
          <w:p w14:paraId="7D37B21D" w14:textId="77777777" w:rsidR="009A0A63" w:rsidRPr="00792B36" w:rsidRDefault="009A0A63" w:rsidP="00A24459">
            <w:pPr>
              <w:jc w:val="center"/>
              <w:rPr>
                <w:sz w:val="24"/>
                <w:szCs w:val="24"/>
              </w:rPr>
            </w:pPr>
            <w:r w:rsidRPr="00792B36">
              <w:rPr>
                <w:color w:val="000000"/>
                <w:sz w:val="24"/>
                <w:szCs w:val="24"/>
              </w:rPr>
              <w:t>338,247</w:t>
            </w:r>
          </w:p>
        </w:tc>
        <w:tc>
          <w:tcPr>
            <w:tcW w:w="1796" w:type="dxa"/>
            <w:gridSpan w:val="2"/>
            <w:vAlign w:val="center"/>
          </w:tcPr>
          <w:p w14:paraId="5CB901C3" w14:textId="77777777" w:rsidR="009A0A63" w:rsidRPr="00792B36" w:rsidRDefault="009A0A63" w:rsidP="00A24459">
            <w:pPr>
              <w:jc w:val="center"/>
              <w:rPr>
                <w:sz w:val="24"/>
                <w:szCs w:val="24"/>
              </w:rPr>
            </w:pPr>
            <w:r w:rsidRPr="00792B36">
              <w:rPr>
                <w:color w:val="000000"/>
                <w:sz w:val="24"/>
                <w:szCs w:val="24"/>
              </w:rPr>
              <w:t>340,888</w:t>
            </w:r>
          </w:p>
        </w:tc>
        <w:tc>
          <w:tcPr>
            <w:tcW w:w="1826" w:type="dxa"/>
            <w:vAlign w:val="center"/>
          </w:tcPr>
          <w:p w14:paraId="40858003" w14:textId="77777777" w:rsidR="009A0A63" w:rsidRPr="00792B36" w:rsidRDefault="009A0A63" w:rsidP="00A24459">
            <w:pPr>
              <w:jc w:val="center"/>
              <w:rPr>
                <w:sz w:val="24"/>
                <w:szCs w:val="24"/>
              </w:rPr>
            </w:pPr>
            <w:r w:rsidRPr="00792B36">
              <w:rPr>
                <w:color w:val="000000"/>
                <w:sz w:val="24"/>
                <w:szCs w:val="24"/>
              </w:rPr>
              <w:t>139,040</w:t>
            </w:r>
          </w:p>
        </w:tc>
      </w:tr>
      <w:tr w:rsidR="009A0A63" w:rsidRPr="00792B36" w14:paraId="72B249EA" w14:textId="77777777" w:rsidTr="00A24459">
        <w:trPr>
          <w:trHeight w:val="340"/>
        </w:trPr>
        <w:tc>
          <w:tcPr>
            <w:tcW w:w="2578" w:type="dxa"/>
            <w:gridSpan w:val="2"/>
            <w:vMerge/>
            <w:vAlign w:val="center"/>
          </w:tcPr>
          <w:p w14:paraId="22D4DEA8" w14:textId="77777777" w:rsidR="009A0A63" w:rsidRPr="00792B36" w:rsidRDefault="009A0A63" w:rsidP="00A24459">
            <w:pPr>
              <w:jc w:val="center"/>
              <w:rPr>
                <w:sz w:val="24"/>
                <w:szCs w:val="24"/>
              </w:rPr>
            </w:pPr>
          </w:p>
        </w:tc>
        <w:tc>
          <w:tcPr>
            <w:tcW w:w="1021" w:type="dxa"/>
            <w:gridSpan w:val="3"/>
            <w:vAlign w:val="center"/>
          </w:tcPr>
          <w:p w14:paraId="5B6EA633" w14:textId="77777777" w:rsidR="009A0A63" w:rsidRPr="00792B36" w:rsidRDefault="009A0A63" w:rsidP="00A24459">
            <w:pPr>
              <w:jc w:val="center"/>
              <w:rPr>
                <w:sz w:val="24"/>
                <w:szCs w:val="24"/>
              </w:rPr>
            </w:pPr>
            <w:r w:rsidRPr="00792B36">
              <w:rPr>
                <w:color w:val="000000"/>
                <w:sz w:val="24"/>
                <w:szCs w:val="24"/>
              </w:rPr>
              <w:t>2005</w:t>
            </w:r>
          </w:p>
        </w:tc>
        <w:tc>
          <w:tcPr>
            <w:tcW w:w="1796" w:type="dxa"/>
            <w:gridSpan w:val="3"/>
            <w:vAlign w:val="center"/>
          </w:tcPr>
          <w:p w14:paraId="3EEAE432" w14:textId="77777777" w:rsidR="009A0A63" w:rsidRPr="00792B36" w:rsidRDefault="009A0A63" w:rsidP="00A24459">
            <w:pPr>
              <w:jc w:val="center"/>
              <w:rPr>
                <w:sz w:val="24"/>
                <w:szCs w:val="24"/>
              </w:rPr>
            </w:pPr>
            <w:r w:rsidRPr="00792B36">
              <w:rPr>
                <w:color w:val="000000"/>
                <w:sz w:val="24"/>
                <w:szCs w:val="24"/>
              </w:rPr>
              <w:t>347,087</w:t>
            </w:r>
          </w:p>
        </w:tc>
        <w:tc>
          <w:tcPr>
            <w:tcW w:w="1796" w:type="dxa"/>
            <w:gridSpan w:val="2"/>
            <w:vAlign w:val="center"/>
          </w:tcPr>
          <w:p w14:paraId="54411AB2" w14:textId="77777777" w:rsidR="009A0A63" w:rsidRPr="00792B36" w:rsidRDefault="009A0A63" w:rsidP="00A24459">
            <w:pPr>
              <w:jc w:val="center"/>
              <w:rPr>
                <w:sz w:val="24"/>
                <w:szCs w:val="24"/>
              </w:rPr>
            </w:pPr>
            <w:r w:rsidRPr="00792B36">
              <w:rPr>
                <w:color w:val="000000"/>
                <w:sz w:val="24"/>
                <w:szCs w:val="24"/>
              </w:rPr>
              <w:t>353,438</w:t>
            </w:r>
          </w:p>
        </w:tc>
        <w:tc>
          <w:tcPr>
            <w:tcW w:w="1826" w:type="dxa"/>
            <w:vAlign w:val="center"/>
          </w:tcPr>
          <w:p w14:paraId="60A9F1E8" w14:textId="77777777" w:rsidR="009A0A63" w:rsidRPr="00792B36" w:rsidRDefault="009A0A63" w:rsidP="00A24459">
            <w:pPr>
              <w:jc w:val="center"/>
              <w:rPr>
                <w:sz w:val="24"/>
                <w:szCs w:val="24"/>
              </w:rPr>
            </w:pPr>
            <w:r w:rsidRPr="00792B36">
              <w:rPr>
                <w:color w:val="000000"/>
                <w:sz w:val="24"/>
                <w:szCs w:val="24"/>
              </w:rPr>
              <w:t>160,062</w:t>
            </w:r>
          </w:p>
        </w:tc>
      </w:tr>
      <w:tr w:rsidR="009A0A63" w:rsidRPr="00792B36" w14:paraId="5E4EC51F" w14:textId="77777777" w:rsidTr="00A24459">
        <w:trPr>
          <w:trHeight w:val="340"/>
        </w:trPr>
        <w:tc>
          <w:tcPr>
            <w:tcW w:w="2578" w:type="dxa"/>
            <w:gridSpan w:val="2"/>
            <w:vMerge/>
            <w:vAlign w:val="center"/>
          </w:tcPr>
          <w:p w14:paraId="3CCA80C8" w14:textId="77777777" w:rsidR="009A0A63" w:rsidRPr="00792B36" w:rsidRDefault="009A0A63" w:rsidP="00A24459">
            <w:pPr>
              <w:jc w:val="center"/>
              <w:rPr>
                <w:sz w:val="24"/>
                <w:szCs w:val="24"/>
              </w:rPr>
            </w:pPr>
          </w:p>
        </w:tc>
        <w:tc>
          <w:tcPr>
            <w:tcW w:w="1021" w:type="dxa"/>
            <w:gridSpan w:val="3"/>
            <w:vAlign w:val="center"/>
          </w:tcPr>
          <w:p w14:paraId="3FBB4C5A" w14:textId="77777777" w:rsidR="009A0A63" w:rsidRPr="00792B36" w:rsidRDefault="009A0A63" w:rsidP="00A24459">
            <w:pPr>
              <w:jc w:val="center"/>
              <w:rPr>
                <w:sz w:val="24"/>
                <w:szCs w:val="24"/>
              </w:rPr>
            </w:pPr>
            <w:r w:rsidRPr="00792B36">
              <w:rPr>
                <w:color w:val="000000"/>
                <w:sz w:val="24"/>
                <w:szCs w:val="24"/>
              </w:rPr>
              <w:t>2010</w:t>
            </w:r>
          </w:p>
        </w:tc>
        <w:tc>
          <w:tcPr>
            <w:tcW w:w="1796" w:type="dxa"/>
            <w:gridSpan w:val="3"/>
            <w:vAlign w:val="center"/>
          </w:tcPr>
          <w:p w14:paraId="0F6CEE6B" w14:textId="77777777" w:rsidR="009A0A63" w:rsidRPr="00792B36" w:rsidRDefault="009A0A63" w:rsidP="00A24459">
            <w:pPr>
              <w:jc w:val="center"/>
              <w:rPr>
                <w:sz w:val="24"/>
                <w:szCs w:val="24"/>
              </w:rPr>
            </w:pPr>
            <w:r w:rsidRPr="00792B36">
              <w:rPr>
                <w:color w:val="000000"/>
                <w:sz w:val="24"/>
                <w:szCs w:val="24"/>
              </w:rPr>
              <w:t>364,898</w:t>
            </w:r>
          </w:p>
        </w:tc>
        <w:tc>
          <w:tcPr>
            <w:tcW w:w="1796" w:type="dxa"/>
            <w:gridSpan w:val="2"/>
            <w:vAlign w:val="center"/>
          </w:tcPr>
          <w:p w14:paraId="61032A8D" w14:textId="77777777" w:rsidR="009A0A63" w:rsidRPr="00792B36" w:rsidRDefault="009A0A63" w:rsidP="00A24459">
            <w:pPr>
              <w:jc w:val="center"/>
              <w:rPr>
                <w:sz w:val="24"/>
                <w:szCs w:val="24"/>
              </w:rPr>
            </w:pPr>
            <w:r w:rsidRPr="00792B36">
              <w:rPr>
                <w:color w:val="000000"/>
                <w:sz w:val="24"/>
                <w:szCs w:val="24"/>
              </w:rPr>
              <w:t>372,264</w:t>
            </w:r>
          </w:p>
        </w:tc>
        <w:tc>
          <w:tcPr>
            <w:tcW w:w="1826" w:type="dxa"/>
            <w:vAlign w:val="center"/>
          </w:tcPr>
          <w:p w14:paraId="51845F74" w14:textId="77777777" w:rsidR="009A0A63" w:rsidRPr="00792B36" w:rsidRDefault="009A0A63" w:rsidP="00A24459">
            <w:pPr>
              <w:jc w:val="center"/>
              <w:rPr>
                <w:sz w:val="24"/>
                <w:szCs w:val="24"/>
              </w:rPr>
            </w:pPr>
            <w:r w:rsidRPr="00792B36">
              <w:rPr>
                <w:color w:val="000000"/>
                <w:sz w:val="24"/>
                <w:szCs w:val="24"/>
              </w:rPr>
              <w:t>177,735</w:t>
            </w:r>
          </w:p>
        </w:tc>
      </w:tr>
      <w:tr w:rsidR="009A0A63" w:rsidRPr="00792B36" w14:paraId="05BF0B4C" w14:textId="77777777" w:rsidTr="00A24459">
        <w:trPr>
          <w:trHeight w:val="340"/>
        </w:trPr>
        <w:tc>
          <w:tcPr>
            <w:tcW w:w="2578" w:type="dxa"/>
            <w:gridSpan w:val="2"/>
            <w:vMerge/>
            <w:vAlign w:val="center"/>
          </w:tcPr>
          <w:p w14:paraId="0EED2A41" w14:textId="77777777" w:rsidR="009A0A63" w:rsidRPr="00792B36" w:rsidRDefault="009A0A63" w:rsidP="00A24459">
            <w:pPr>
              <w:jc w:val="center"/>
              <w:rPr>
                <w:sz w:val="24"/>
                <w:szCs w:val="24"/>
              </w:rPr>
            </w:pPr>
          </w:p>
        </w:tc>
        <w:tc>
          <w:tcPr>
            <w:tcW w:w="1021" w:type="dxa"/>
            <w:gridSpan w:val="3"/>
            <w:vAlign w:val="center"/>
          </w:tcPr>
          <w:p w14:paraId="3B7AB9FC" w14:textId="77777777" w:rsidR="009A0A63" w:rsidRPr="00792B36" w:rsidRDefault="009A0A63" w:rsidP="00A24459">
            <w:pPr>
              <w:jc w:val="center"/>
              <w:rPr>
                <w:sz w:val="24"/>
                <w:szCs w:val="24"/>
              </w:rPr>
            </w:pPr>
            <w:r w:rsidRPr="00792B36">
              <w:rPr>
                <w:color w:val="000000"/>
                <w:sz w:val="24"/>
                <w:szCs w:val="24"/>
              </w:rPr>
              <w:t>2020</w:t>
            </w:r>
          </w:p>
        </w:tc>
        <w:tc>
          <w:tcPr>
            <w:tcW w:w="1796" w:type="dxa"/>
            <w:gridSpan w:val="3"/>
            <w:vAlign w:val="center"/>
          </w:tcPr>
          <w:p w14:paraId="6E3DBF20" w14:textId="77777777" w:rsidR="009A0A63" w:rsidRPr="00792B36" w:rsidRDefault="009A0A63" w:rsidP="00A24459">
            <w:pPr>
              <w:jc w:val="center"/>
              <w:rPr>
                <w:sz w:val="24"/>
                <w:szCs w:val="24"/>
              </w:rPr>
            </w:pPr>
            <w:r w:rsidRPr="00792B36">
              <w:rPr>
                <w:color w:val="000000"/>
                <w:sz w:val="24"/>
                <w:szCs w:val="24"/>
              </w:rPr>
              <w:t>397,700</w:t>
            </w:r>
          </w:p>
        </w:tc>
        <w:tc>
          <w:tcPr>
            <w:tcW w:w="1796" w:type="dxa"/>
            <w:gridSpan w:val="2"/>
            <w:vAlign w:val="center"/>
          </w:tcPr>
          <w:p w14:paraId="51DA32DF" w14:textId="77777777" w:rsidR="009A0A63" w:rsidRPr="00792B36" w:rsidRDefault="009A0A63" w:rsidP="00A24459">
            <w:pPr>
              <w:jc w:val="center"/>
              <w:rPr>
                <w:sz w:val="24"/>
                <w:szCs w:val="24"/>
              </w:rPr>
            </w:pPr>
            <w:r w:rsidRPr="00792B36">
              <w:rPr>
                <w:color w:val="000000"/>
                <w:sz w:val="24"/>
                <w:szCs w:val="24"/>
              </w:rPr>
              <w:t>406,729</w:t>
            </w:r>
          </w:p>
        </w:tc>
        <w:tc>
          <w:tcPr>
            <w:tcW w:w="1826" w:type="dxa"/>
            <w:vAlign w:val="center"/>
          </w:tcPr>
          <w:p w14:paraId="3ADE85C8" w14:textId="77777777" w:rsidR="009A0A63" w:rsidRPr="00792B36" w:rsidRDefault="009A0A63" w:rsidP="00A24459">
            <w:pPr>
              <w:jc w:val="center"/>
              <w:rPr>
                <w:sz w:val="24"/>
                <w:szCs w:val="24"/>
              </w:rPr>
            </w:pPr>
            <w:r w:rsidRPr="00792B36">
              <w:rPr>
                <w:color w:val="000000"/>
                <w:sz w:val="24"/>
                <w:szCs w:val="24"/>
              </w:rPr>
              <w:t>219,403</w:t>
            </w:r>
          </w:p>
        </w:tc>
      </w:tr>
      <w:tr w:rsidR="009A0A63" w:rsidRPr="00792B36" w14:paraId="62213DD5" w14:textId="77777777" w:rsidTr="00A24459">
        <w:trPr>
          <w:trHeight w:val="340"/>
        </w:trPr>
        <w:tc>
          <w:tcPr>
            <w:tcW w:w="2549" w:type="dxa"/>
            <w:vMerge w:val="restart"/>
            <w:vAlign w:val="center"/>
          </w:tcPr>
          <w:p w14:paraId="0D211A96" w14:textId="77777777" w:rsidR="009A0A63" w:rsidRPr="00792B36" w:rsidRDefault="009A0A63" w:rsidP="00A24459">
            <w:pPr>
              <w:rPr>
                <w:sz w:val="24"/>
                <w:szCs w:val="24"/>
              </w:rPr>
            </w:pPr>
            <w:r w:rsidRPr="00792B36">
              <w:rPr>
                <w:color w:val="000000"/>
                <w:sz w:val="24"/>
                <w:szCs w:val="24"/>
              </w:rPr>
              <w:t>Bangkok</w:t>
            </w:r>
          </w:p>
        </w:tc>
        <w:tc>
          <w:tcPr>
            <w:tcW w:w="1017" w:type="dxa"/>
            <w:gridSpan w:val="3"/>
            <w:vAlign w:val="center"/>
          </w:tcPr>
          <w:p w14:paraId="4A0593E7" w14:textId="77777777" w:rsidR="009A0A63" w:rsidRPr="00792B36" w:rsidRDefault="009A0A63" w:rsidP="00A24459">
            <w:pPr>
              <w:jc w:val="center"/>
              <w:rPr>
                <w:sz w:val="24"/>
                <w:szCs w:val="24"/>
              </w:rPr>
            </w:pPr>
            <w:r w:rsidRPr="00792B36">
              <w:rPr>
                <w:color w:val="000000"/>
                <w:sz w:val="24"/>
                <w:szCs w:val="24"/>
              </w:rPr>
              <w:t>2000</w:t>
            </w:r>
          </w:p>
        </w:tc>
        <w:tc>
          <w:tcPr>
            <w:tcW w:w="1816" w:type="dxa"/>
            <w:gridSpan w:val="3"/>
            <w:vAlign w:val="center"/>
          </w:tcPr>
          <w:p w14:paraId="5307F396" w14:textId="77777777" w:rsidR="009A0A63" w:rsidRPr="00792B36" w:rsidRDefault="009A0A63" w:rsidP="00A24459">
            <w:pPr>
              <w:jc w:val="center"/>
              <w:rPr>
                <w:sz w:val="24"/>
                <w:szCs w:val="24"/>
              </w:rPr>
            </w:pPr>
            <w:r w:rsidRPr="00792B36">
              <w:rPr>
                <w:color w:val="000000"/>
                <w:sz w:val="24"/>
                <w:szCs w:val="24"/>
              </w:rPr>
              <w:t>2,761,012</w:t>
            </w:r>
          </w:p>
        </w:tc>
        <w:tc>
          <w:tcPr>
            <w:tcW w:w="1816" w:type="dxa"/>
            <w:gridSpan w:val="3"/>
            <w:vAlign w:val="center"/>
          </w:tcPr>
          <w:p w14:paraId="7318A631" w14:textId="77777777" w:rsidR="009A0A63" w:rsidRPr="00792B36" w:rsidRDefault="009A0A63" w:rsidP="00A24459">
            <w:pPr>
              <w:jc w:val="center"/>
              <w:rPr>
                <w:sz w:val="24"/>
                <w:szCs w:val="24"/>
              </w:rPr>
            </w:pPr>
            <w:r w:rsidRPr="00792B36">
              <w:rPr>
                <w:color w:val="000000"/>
                <w:sz w:val="24"/>
                <w:szCs w:val="24"/>
              </w:rPr>
              <w:t>2,919,368</w:t>
            </w:r>
          </w:p>
        </w:tc>
        <w:tc>
          <w:tcPr>
            <w:tcW w:w="1819" w:type="dxa"/>
            <w:vAlign w:val="center"/>
          </w:tcPr>
          <w:p w14:paraId="13ACAACD" w14:textId="77777777" w:rsidR="009A0A63" w:rsidRPr="00792B36" w:rsidRDefault="009A0A63" w:rsidP="00A24459">
            <w:pPr>
              <w:jc w:val="center"/>
              <w:rPr>
                <w:sz w:val="24"/>
                <w:szCs w:val="24"/>
              </w:rPr>
            </w:pPr>
            <w:r w:rsidRPr="00792B36">
              <w:rPr>
                <w:color w:val="000000"/>
                <w:sz w:val="24"/>
                <w:szCs w:val="24"/>
              </w:rPr>
              <w:t>1,900,235</w:t>
            </w:r>
          </w:p>
        </w:tc>
      </w:tr>
      <w:tr w:rsidR="009A0A63" w:rsidRPr="00792B36" w14:paraId="26D415B9" w14:textId="77777777" w:rsidTr="00A24459">
        <w:trPr>
          <w:trHeight w:val="340"/>
        </w:trPr>
        <w:tc>
          <w:tcPr>
            <w:tcW w:w="2549" w:type="dxa"/>
            <w:vMerge/>
            <w:vAlign w:val="center"/>
          </w:tcPr>
          <w:p w14:paraId="304DF989" w14:textId="77777777" w:rsidR="009A0A63" w:rsidRPr="00792B36" w:rsidRDefault="009A0A63" w:rsidP="00A24459">
            <w:pPr>
              <w:rPr>
                <w:sz w:val="24"/>
                <w:szCs w:val="24"/>
              </w:rPr>
            </w:pPr>
          </w:p>
        </w:tc>
        <w:tc>
          <w:tcPr>
            <w:tcW w:w="1017" w:type="dxa"/>
            <w:gridSpan w:val="3"/>
            <w:vAlign w:val="center"/>
          </w:tcPr>
          <w:p w14:paraId="3A6AB87D" w14:textId="77777777" w:rsidR="009A0A63" w:rsidRPr="00792B36" w:rsidRDefault="009A0A63" w:rsidP="00A24459">
            <w:pPr>
              <w:jc w:val="center"/>
              <w:rPr>
                <w:sz w:val="24"/>
                <w:szCs w:val="24"/>
              </w:rPr>
            </w:pPr>
            <w:r w:rsidRPr="00792B36">
              <w:rPr>
                <w:color w:val="000000"/>
                <w:sz w:val="24"/>
                <w:szCs w:val="24"/>
              </w:rPr>
              <w:t>2005</w:t>
            </w:r>
          </w:p>
        </w:tc>
        <w:tc>
          <w:tcPr>
            <w:tcW w:w="1816" w:type="dxa"/>
            <w:gridSpan w:val="3"/>
            <w:vAlign w:val="center"/>
          </w:tcPr>
          <w:p w14:paraId="2B346456" w14:textId="77777777" w:rsidR="009A0A63" w:rsidRPr="00792B36" w:rsidRDefault="009A0A63" w:rsidP="00A24459">
            <w:pPr>
              <w:jc w:val="center"/>
              <w:rPr>
                <w:sz w:val="24"/>
                <w:szCs w:val="24"/>
              </w:rPr>
            </w:pPr>
            <w:r w:rsidRPr="00792B36">
              <w:rPr>
                <w:color w:val="000000"/>
                <w:sz w:val="24"/>
                <w:szCs w:val="24"/>
              </w:rPr>
              <w:t>2,705,954</w:t>
            </w:r>
          </w:p>
        </w:tc>
        <w:tc>
          <w:tcPr>
            <w:tcW w:w="1816" w:type="dxa"/>
            <w:gridSpan w:val="3"/>
            <w:vAlign w:val="center"/>
          </w:tcPr>
          <w:p w14:paraId="13F9F151" w14:textId="77777777" w:rsidR="009A0A63" w:rsidRPr="00792B36" w:rsidRDefault="009A0A63" w:rsidP="00A24459">
            <w:pPr>
              <w:jc w:val="center"/>
              <w:rPr>
                <w:sz w:val="24"/>
                <w:szCs w:val="24"/>
              </w:rPr>
            </w:pPr>
            <w:r w:rsidRPr="00792B36">
              <w:rPr>
                <w:color w:val="000000"/>
                <w:sz w:val="24"/>
                <w:szCs w:val="24"/>
              </w:rPr>
              <w:t>2,953,000</w:t>
            </w:r>
          </w:p>
        </w:tc>
        <w:tc>
          <w:tcPr>
            <w:tcW w:w="1819" w:type="dxa"/>
            <w:vAlign w:val="center"/>
          </w:tcPr>
          <w:p w14:paraId="76AB5B22" w14:textId="77777777" w:rsidR="009A0A63" w:rsidRPr="00792B36" w:rsidRDefault="009A0A63" w:rsidP="00A24459">
            <w:pPr>
              <w:jc w:val="center"/>
              <w:rPr>
                <w:sz w:val="24"/>
                <w:szCs w:val="24"/>
              </w:rPr>
            </w:pPr>
            <w:r w:rsidRPr="00792B36">
              <w:rPr>
                <w:color w:val="000000"/>
                <w:sz w:val="24"/>
                <w:szCs w:val="24"/>
              </w:rPr>
              <w:t>2,091,558</w:t>
            </w:r>
          </w:p>
        </w:tc>
      </w:tr>
      <w:tr w:rsidR="009A0A63" w:rsidRPr="00792B36" w14:paraId="668FE342" w14:textId="77777777" w:rsidTr="00A24459">
        <w:trPr>
          <w:trHeight w:val="340"/>
        </w:trPr>
        <w:tc>
          <w:tcPr>
            <w:tcW w:w="2549" w:type="dxa"/>
            <w:vMerge/>
            <w:vAlign w:val="center"/>
          </w:tcPr>
          <w:p w14:paraId="3152231D" w14:textId="77777777" w:rsidR="009A0A63" w:rsidRPr="00792B36" w:rsidRDefault="009A0A63" w:rsidP="00A24459">
            <w:pPr>
              <w:rPr>
                <w:sz w:val="24"/>
                <w:szCs w:val="24"/>
              </w:rPr>
            </w:pPr>
          </w:p>
        </w:tc>
        <w:tc>
          <w:tcPr>
            <w:tcW w:w="1017" w:type="dxa"/>
            <w:gridSpan w:val="3"/>
            <w:vAlign w:val="center"/>
          </w:tcPr>
          <w:p w14:paraId="3719DF42" w14:textId="77777777" w:rsidR="009A0A63" w:rsidRPr="00792B36" w:rsidRDefault="009A0A63" w:rsidP="00A24459">
            <w:pPr>
              <w:jc w:val="center"/>
              <w:rPr>
                <w:sz w:val="24"/>
                <w:szCs w:val="24"/>
              </w:rPr>
            </w:pPr>
            <w:r w:rsidRPr="00792B36">
              <w:rPr>
                <w:color w:val="000000"/>
                <w:sz w:val="24"/>
                <w:szCs w:val="24"/>
              </w:rPr>
              <w:t>2010</w:t>
            </w:r>
          </w:p>
        </w:tc>
        <w:tc>
          <w:tcPr>
            <w:tcW w:w="1816" w:type="dxa"/>
            <w:gridSpan w:val="3"/>
            <w:vAlign w:val="center"/>
          </w:tcPr>
          <w:p w14:paraId="7696CB01" w14:textId="77777777" w:rsidR="009A0A63" w:rsidRPr="00792B36" w:rsidRDefault="009A0A63" w:rsidP="00A24459">
            <w:pPr>
              <w:jc w:val="center"/>
              <w:rPr>
                <w:sz w:val="24"/>
                <w:szCs w:val="24"/>
              </w:rPr>
            </w:pPr>
            <w:r w:rsidRPr="00792B36">
              <w:rPr>
                <w:color w:val="000000"/>
                <w:sz w:val="24"/>
                <w:szCs w:val="24"/>
              </w:rPr>
              <w:t>2,709,568</w:t>
            </w:r>
          </w:p>
        </w:tc>
        <w:tc>
          <w:tcPr>
            <w:tcW w:w="1816" w:type="dxa"/>
            <w:gridSpan w:val="3"/>
            <w:vAlign w:val="center"/>
          </w:tcPr>
          <w:p w14:paraId="11F6D203" w14:textId="77777777" w:rsidR="009A0A63" w:rsidRPr="00792B36" w:rsidRDefault="009A0A63" w:rsidP="00A24459">
            <w:pPr>
              <w:jc w:val="center"/>
              <w:rPr>
                <w:sz w:val="24"/>
                <w:szCs w:val="24"/>
              </w:rPr>
            </w:pPr>
            <w:r w:rsidRPr="00792B36">
              <w:rPr>
                <w:color w:val="000000"/>
                <w:sz w:val="24"/>
                <w:szCs w:val="24"/>
              </w:rPr>
              <w:t>2,991,826</w:t>
            </w:r>
          </w:p>
        </w:tc>
        <w:tc>
          <w:tcPr>
            <w:tcW w:w="1819" w:type="dxa"/>
            <w:vAlign w:val="center"/>
          </w:tcPr>
          <w:p w14:paraId="44E37F1A" w14:textId="77777777" w:rsidR="009A0A63" w:rsidRPr="00792B36" w:rsidRDefault="009A0A63" w:rsidP="00A24459">
            <w:pPr>
              <w:jc w:val="center"/>
              <w:rPr>
                <w:sz w:val="24"/>
                <w:szCs w:val="24"/>
              </w:rPr>
            </w:pPr>
            <w:r w:rsidRPr="00792B36">
              <w:rPr>
                <w:color w:val="000000"/>
                <w:sz w:val="24"/>
                <w:szCs w:val="24"/>
              </w:rPr>
              <w:t>2,400,540</w:t>
            </w:r>
          </w:p>
        </w:tc>
      </w:tr>
      <w:tr w:rsidR="009A0A63" w:rsidRPr="00792B36" w14:paraId="01FC9D47" w14:textId="77777777" w:rsidTr="00A24459">
        <w:trPr>
          <w:trHeight w:val="340"/>
        </w:trPr>
        <w:tc>
          <w:tcPr>
            <w:tcW w:w="2549" w:type="dxa"/>
            <w:vMerge/>
            <w:vAlign w:val="center"/>
          </w:tcPr>
          <w:p w14:paraId="390E3A83" w14:textId="77777777" w:rsidR="009A0A63" w:rsidRPr="00792B36" w:rsidRDefault="009A0A63" w:rsidP="00A24459">
            <w:pPr>
              <w:rPr>
                <w:sz w:val="24"/>
                <w:szCs w:val="24"/>
              </w:rPr>
            </w:pPr>
          </w:p>
        </w:tc>
        <w:tc>
          <w:tcPr>
            <w:tcW w:w="1017" w:type="dxa"/>
            <w:gridSpan w:val="3"/>
            <w:vAlign w:val="center"/>
          </w:tcPr>
          <w:p w14:paraId="71E77DC4" w14:textId="77777777" w:rsidR="009A0A63" w:rsidRPr="00792B36" w:rsidRDefault="009A0A63" w:rsidP="00A24459">
            <w:pPr>
              <w:jc w:val="center"/>
              <w:rPr>
                <w:sz w:val="24"/>
                <w:szCs w:val="24"/>
              </w:rPr>
            </w:pPr>
            <w:r w:rsidRPr="00792B36">
              <w:rPr>
                <w:color w:val="000000"/>
                <w:sz w:val="24"/>
                <w:szCs w:val="24"/>
              </w:rPr>
              <w:t>2020</w:t>
            </w:r>
          </w:p>
        </w:tc>
        <w:tc>
          <w:tcPr>
            <w:tcW w:w="1816" w:type="dxa"/>
            <w:gridSpan w:val="3"/>
            <w:vAlign w:val="center"/>
          </w:tcPr>
          <w:p w14:paraId="58D0C1A9" w14:textId="77777777" w:rsidR="009A0A63" w:rsidRPr="00792B36" w:rsidRDefault="009A0A63" w:rsidP="00A24459">
            <w:pPr>
              <w:jc w:val="center"/>
              <w:rPr>
                <w:sz w:val="24"/>
                <w:szCs w:val="24"/>
              </w:rPr>
            </w:pPr>
            <w:r w:rsidRPr="00792B36">
              <w:rPr>
                <w:color w:val="000000"/>
                <w:sz w:val="24"/>
                <w:szCs w:val="24"/>
              </w:rPr>
              <w:t>2,625,938</w:t>
            </w:r>
          </w:p>
        </w:tc>
        <w:tc>
          <w:tcPr>
            <w:tcW w:w="1816" w:type="dxa"/>
            <w:gridSpan w:val="3"/>
            <w:vAlign w:val="center"/>
          </w:tcPr>
          <w:p w14:paraId="5BA25B2A" w14:textId="77777777" w:rsidR="009A0A63" w:rsidRPr="00792B36" w:rsidRDefault="009A0A63" w:rsidP="00A24459">
            <w:pPr>
              <w:jc w:val="center"/>
              <w:rPr>
                <w:sz w:val="24"/>
                <w:szCs w:val="24"/>
              </w:rPr>
            </w:pPr>
            <w:r w:rsidRPr="00792B36">
              <w:rPr>
                <w:color w:val="000000"/>
                <w:sz w:val="24"/>
                <w:szCs w:val="24"/>
              </w:rPr>
              <w:t>2,962,284</w:t>
            </w:r>
          </w:p>
        </w:tc>
        <w:tc>
          <w:tcPr>
            <w:tcW w:w="1819" w:type="dxa"/>
            <w:vAlign w:val="center"/>
          </w:tcPr>
          <w:p w14:paraId="7E90543D" w14:textId="77777777" w:rsidR="009A0A63" w:rsidRPr="00792B36" w:rsidRDefault="009A0A63" w:rsidP="00A24459">
            <w:pPr>
              <w:jc w:val="center"/>
              <w:rPr>
                <w:sz w:val="24"/>
                <w:szCs w:val="24"/>
              </w:rPr>
            </w:pPr>
            <w:r w:rsidRPr="00792B36">
              <w:rPr>
                <w:color w:val="000000"/>
                <w:sz w:val="24"/>
                <w:szCs w:val="24"/>
              </w:rPr>
              <w:t>3,103,483</w:t>
            </w:r>
          </w:p>
        </w:tc>
      </w:tr>
      <w:tr w:rsidR="009A0A63" w:rsidRPr="00792B36" w14:paraId="4F8763A0" w14:textId="77777777" w:rsidTr="00A24459">
        <w:trPr>
          <w:trHeight w:val="340"/>
        </w:trPr>
        <w:tc>
          <w:tcPr>
            <w:tcW w:w="2549" w:type="dxa"/>
            <w:vMerge w:val="restart"/>
            <w:vAlign w:val="center"/>
          </w:tcPr>
          <w:p w14:paraId="532A5CAC" w14:textId="77777777" w:rsidR="009A0A63" w:rsidRPr="00792B36" w:rsidRDefault="009A0A63" w:rsidP="00A24459">
            <w:pPr>
              <w:rPr>
                <w:sz w:val="24"/>
                <w:szCs w:val="24"/>
              </w:rPr>
            </w:pPr>
            <w:r w:rsidRPr="00792B36">
              <w:rPr>
                <w:color w:val="000000"/>
                <w:sz w:val="24"/>
                <w:szCs w:val="24"/>
              </w:rPr>
              <w:t>Nation</w:t>
            </w:r>
          </w:p>
        </w:tc>
        <w:tc>
          <w:tcPr>
            <w:tcW w:w="1017" w:type="dxa"/>
            <w:gridSpan w:val="3"/>
            <w:vAlign w:val="center"/>
          </w:tcPr>
          <w:p w14:paraId="1B320EF3" w14:textId="77777777" w:rsidR="009A0A63" w:rsidRPr="00792B36" w:rsidRDefault="009A0A63" w:rsidP="00A24459">
            <w:pPr>
              <w:jc w:val="center"/>
              <w:rPr>
                <w:sz w:val="24"/>
                <w:szCs w:val="24"/>
              </w:rPr>
            </w:pPr>
            <w:r w:rsidRPr="00792B36">
              <w:rPr>
                <w:color w:val="000000"/>
                <w:sz w:val="24"/>
                <w:szCs w:val="24"/>
              </w:rPr>
              <w:t>2000</w:t>
            </w:r>
          </w:p>
        </w:tc>
        <w:tc>
          <w:tcPr>
            <w:tcW w:w="1816" w:type="dxa"/>
            <w:gridSpan w:val="3"/>
            <w:vAlign w:val="center"/>
          </w:tcPr>
          <w:p w14:paraId="6A74504C" w14:textId="77777777" w:rsidR="009A0A63" w:rsidRPr="00792B36" w:rsidRDefault="009A0A63" w:rsidP="00A24459">
            <w:pPr>
              <w:jc w:val="center"/>
              <w:rPr>
                <w:sz w:val="24"/>
                <w:szCs w:val="24"/>
              </w:rPr>
            </w:pPr>
            <w:r w:rsidRPr="00792B36">
              <w:rPr>
                <w:color w:val="000000"/>
                <w:sz w:val="24"/>
                <w:szCs w:val="24"/>
              </w:rPr>
              <w:t>30,725,016</w:t>
            </w:r>
          </w:p>
        </w:tc>
        <w:tc>
          <w:tcPr>
            <w:tcW w:w="1816" w:type="dxa"/>
            <w:gridSpan w:val="3"/>
            <w:vAlign w:val="center"/>
          </w:tcPr>
          <w:p w14:paraId="0B397384" w14:textId="77777777" w:rsidR="009A0A63" w:rsidRPr="00792B36" w:rsidRDefault="009A0A63" w:rsidP="00A24459">
            <w:pPr>
              <w:jc w:val="center"/>
              <w:rPr>
                <w:sz w:val="24"/>
                <w:szCs w:val="24"/>
              </w:rPr>
            </w:pPr>
            <w:r w:rsidRPr="00792B36">
              <w:rPr>
                <w:color w:val="000000"/>
                <w:sz w:val="24"/>
                <w:szCs w:val="24"/>
              </w:rPr>
              <w:t>31,153,730</w:t>
            </w:r>
          </w:p>
        </w:tc>
        <w:tc>
          <w:tcPr>
            <w:tcW w:w="1819" w:type="dxa"/>
            <w:vAlign w:val="center"/>
          </w:tcPr>
          <w:p w14:paraId="361144C1" w14:textId="77777777" w:rsidR="009A0A63" w:rsidRPr="00792B36" w:rsidRDefault="009A0A63" w:rsidP="00A24459">
            <w:pPr>
              <w:jc w:val="center"/>
              <w:rPr>
                <w:sz w:val="24"/>
                <w:szCs w:val="24"/>
              </w:rPr>
            </w:pPr>
            <w:r w:rsidRPr="00792B36">
              <w:rPr>
                <w:color w:val="000000"/>
                <w:sz w:val="24"/>
                <w:szCs w:val="24"/>
              </w:rPr>
              <w:t>16,516,322</w:t>
            </w:r>
          </w:p>
        </w:tc>
      </w:tr>
      <w:tr w:rsidR="009A0A63" w:rsidRPr="00792B36" w14:paraId="08C0830D" w14:textId="77777777" w:rsidTr="00A24459">
        <w:trPr>
          <w:trHeight w:val="340"/>
        </w:trPr>
        <w:tc>
          <w:tcPr>
            <w:tcW w:w="2549" w:type="dxa"/>
            <w:vMerge/>
            <w:vAlign w:val="center"/>
          </w:tcPr>
          <w:p w14:paraId="1805BDDB" w14:textId="77777777" w:rsidR="009A0A63" w:rsidRPr="00792B36" w:rsidRDefault="009A0A63" w:rsidP="00A24459">
            <w:pPr>
              <w:jc w:val="center"/>
              <w:rPr>
                <w:sz w:val="24"/>
                <w:szCs w:val="24"/>
              </w:rPr>
            </w:pPr>
          </w:p>
        </w:tc>
        <w:tc>
          <w:tcPr>
            <w:tcW w:w="1017" w:type="dxa"/>
            <w:gridSpan w:val="3"/>
            <w:vAlign w:val="center"/>
          </w:tcPr>
          <w:p w14:paraId="2F512E09" w14:textId="77777777" w:rsidR="009A0A63" w:rsidRPr="00792B36" w:rsidRDefault="009A0A63" w:rsidP="00A24459">
            <w:pPr>
              <w:jc w:val="center"/>
              <w:rPr>
                <w:sz w:val="24"/>
                <w:szCs w:val="24"/>
              </w:rPr>
            </w:pPr>
            <w:r w:rsidRPr="00792B36">
              <w:rPr>
                <w:color w:val="000000"/>
                <w:sz w:val="24"/>
                <w:szCs w:val="24"/>
              </w:rPr>
              <w:t>2005</w:t>
            </w:r>
          </w:p>
        </w:tc>
        <w:tc>
          <w:tcPr>
            <w:tcW w:w="1816" w:type="dxa"/>
            <w:gridSpan w:val="3"/>
            <w:vAlign w:val="center"/>
          </w:tcPr>
          <w:p w14:paraId="585FE0F1" w14:textId="77777777" w:rsidR="009A0A63" w:rsidRPr="00792B36" w:rsidRDefault="009A0A63" w:rsidP="00A24459">
            <w:pPr>
              <w:jc w:val="center"/>
              <w:rPr>
                <w:sz w:val="24"/>
                <w:szCs w:val="24"/>
              </w:rPr>
            </w:pPr>
            <w:r w:rsidRPr="00792B36">
              <w:rPr>
                <w:color w:val="000000"/>
                <w:sz w:val="24"/>
                <w:szCs w:val="24"/>
              </w:rPr>
              <w:t>30,818,621</w:t>
            </w:r>
          </w:p>
        </w:tc>
        <w:tc>
          <w:tcPr>
            <w:tcW w:w="1816" w:type="dxa"/>
            <w:gridSpan w:val="3"/>
            <w:vAlign w:val="center"/>
          </w:tcPr>
          <w:p w14:paraId="714556F0" w14:textId="77777777" w:rsidR="009A0A63" w:rsidRPr="00792B36" w:rsidRDefault="009A0A63" w:rsidP="00A24459">
            <w:pPr>
              <w:jc w:val="center"/>
              <w:rPr>
                <w:sz w:val="24"/>
                <w:szCs w:val="24"/>
              </w:rPr>
            </w:pPr>
            <w:r w:rsidRPr="00792B36">
              <w:rPr>
                <w:color w:val="000000"/>
                <w:sz w:val="24"/>
                <w:szCs w:val="24"/>
              </w:rPr>
              <w:t>31,599,421</w:t>
            </w:r>
          </w:p>
        </w:tc>
        <w:tc>
          <w:tcPr>
            <w:tcW w:w="1819" w:type="dxa"/>
            <w:vAlign w:val="center"/>
          </w:tcPr>
          <w:p w14:paraId="0C2529C8" w14:textId="77777777" w:rsidR="009A0A63" w:rsidRPr="00792B36" w:rsidRDefault="009A0A63" w:rsidP="00A24459">
            <w:pPr>
              <w:jc w:val="center"/>
              <w:rPr>
                <w:sz w:val="24"/>
                <w:szCs w:val="24"/>
              </w:rPr>
            </w:pPr>
            <w:r w:rsidRPr="00792B36">
              <w:rPr>
                <w:color w:val="000000"/>
                <w:sz w:val="24"/>
                <w:szCs w:val="24"/>
              </w:rPr>
              <w:t>19,016,784</w:t>
            </w:r>
          </w:p>
        </w:tc>
      </w:tr>
      <w:tr w:rsidR="009A0A63" w:rsidRPr="00792B36" w14:paraId="17F9B788" w14:textId="77777777" w:rsidTr="00A24459">
        <w:trPr>
          <w:trHeight w:val="340"/>
        </w:trPr>
        <w:tc>
          <w:tcPr>
            <w:tcW w:w="2549" w:type="dxa"/>
            <w:vMerge/>
            <w:vAlign w:val="center"/>
          </w:tcPr>
          <w:p w14:paraId="5C702F56" w14:textId="77777777" w:rsidR="009A0A63" w:rsidRPr="00792B36" w:rsidRDefault="009A0A63" w:rsidP="00A24459">
            <w:pPr>
              <w:jc w:val="center"/>
              <w:rPr>
                <w:sz w:val="24"/>
                <w:szCs w:val="24"/>
              </w:rPr>
            </w:pPr>
          </w:p>
        </w:tc>
        <w:tc>
          <w:tcPr>
            <w:tcW w:w="1017" w:type="dxa"/>
            <w:gridSpan w:val="3"/>
            <w:vAlign w:val="center"/>
          </w:tcPr>
          <w:p w14:paraId="56D4D720" w14:textId="77777777" w:rsidR="009A0A63" w:rsidRPr="00792B36" w:rsidRDefault="009A0A63" w:rsidP="00A24459">
            <w:pPr>
              <w:jc w:val="center"/>
              <w:rPr>
                <w:sz w:val="24"/>
                <w:szCs w:val="24"/>
              </w:rPr>
            </w:pPr>
            <w:r w:rsidRPr="00792B36">
              <w:rPr>
                <w:color w:val="000000"/>
                <w:sz w:val="24"/>
                <w:szCs w:val="24"/>
              </w:rPr>
              <w:t>2010</w:t>
            </w:r>
          </w:p>
        </w:tc>
        <w:tc>
          <w:tcPr>
            <w:tcW w:w="1816" w:type="dxa"/>
            <w:gridSpan w:val="3"/>
            <w:vAlign w:val="center"/>
          </w:tcPr>
          <w:p w14:paraId="3E4DBB25" w14:textId="77777777" w:rsidR="009A0A63" w:rsidRPr="00792B36" w:rsidRDefault="009A0A63" w:rsidP="00A24459">
            <w:pPr>
              <w:jc w:val="center"/>
              <w:rPr>
                <w:sz w:val="24"/>
                <w:szCs w:val="24"/>
              </w:rPr>
            </w:pPr>
            <w:r w:rsidRPr="00792B36">
              <w:rPr>
                <w:color w:val="000000"/>
                <w:sz w:val="24"/>
                <w:szCs w:val="24"/>
              </w:rPr>
              <w:t>31,451,801</w:t>
            </w:r>
          </w:p>
        </w:tc>
        <w:tc>
          <w:tcPr>
            <w:tcW w:w="1816" w:type="dxa"/>
            <w:gridSpan w:val="3"/>
            <w:vAlign w:val="center"/>
          </w:tcPr>
          <w:p w14:paraId="47115016" w14:textId="77777777" w:rsidR="009A0A63" w:rsidRPr="00792B36" w:rsidRDefault="009A0A63" w:rsidP="00A24459">
            <w:pPr>
              <w:jc w:val="center"/>
              <w:rPr>
                <w:sz w:val="24"/>
                <w:szCs w:val="24"/>
              </w:rPr>
            </w:pPr>
            <w:r w:rsidRPr="00792B36">
              <w:rPr>
                <w:color w:val="000000"/>
                <w:sz w:val="24"/>
                <w:szCs w:val="24"/>
              </w:rPr>
              <w:t>32,426,466</w:t>
            </w:r>
          </w:p>
        </w:tc>
        <w:tc>
          <w:tcPr>
            <w:tcW w:w="1819" w:type="dxa"/>
            <w:vAlign w:val="center"/>
          </w:tcPr>
          <w:p w14:paraId="7E3A2711" w14:textId="77777777" w:rsidR="009A0A63" w:rsidRPr="00792B36" w:rsidRDefault="009A0A63" w:rsidP="00A24459">
            <w:pPr>
              <w:jc w:val="center"/>
              <w:rPr>
                <w:sz w:val="24"/>
                <w:szCs w:val="24"/>
              </w:rPr>
            </w:pPr>
            <w:r w:rsidRPr="00792B36">
              <w:rPr>
                <w:color w:val="000000"/>
                <w:sz w:val="24"/>
                <w:szCs w:val="24"/>
              </w:rPr>
              <w:t>21,681,635</w:t>
            </w:r>
          </w:p>
        </w:tc>
      </w:tr>
      <w:tr w:rsidR="009A0A63" w:rsidRPr="00792B36" w14:paraId="38298402" w14:textId="77777777" w:rsidTr="00A24459">
        <w:trPr>
          <w:trHeight w:val="340"/>
        </w:trPr>
        <w:tc>
          <w:tcPr>
            <w:tcW w:w="2549" w:type="dxa"/>
            <w:vMerge/>
            <w:vAlign w:val="center"/>
          </w:tcPr>
          <w:p w14:paraId="620295BA" w14:textId="77777777" w:rsidR="009A0A63" w:rsidRPr="00792B36" w:rsidRDefault="009A0A63" w:rsidP="00A24459">
            <w:pPr>
              <w:jc w:val="center"/>
              <w:rPr>
                <w:sz w:val="24"/>
                <w:szCs w:val="24"/>
              </w:rPr>
            </w:pPr>
          </w:p>
        </w:tc>
        <w:tc>
          <w:tcPr>
            <w:tcW w:w="1017" w:type="dxa"/>
            <w:gridSpan w:val="3"/>
            <w:vAlign w:val="center"/>
          </w:tcPr>
          <w:p w14:paraId="1836D8B0" w14:textId="77777777" w:rsidR="009A0A63" w:rsidRPr="00792B36" w:rsidRDefault="009A0A63" w:rsidP="00A24459">
            <w:pPr>
              <w:jc w:val="center"/>
              <w:rPr>
                <w:sz w:val="24"/>
                <w:szCs w:val="24"/>
              </w:rPr>
            </w:pPr>
            <w:r w:rsidRPr="00792B36">
              <w:rPr>
                <w:color w:val="000000"/>
                <w:sz w:val="24"/>
                <w:szCs w:val="24"/>
              </w:rPr>
              <w:t>2020</w:t>
            </w:r>
          </w:p>
        </w:tc>
        <w:tc>
          <w:tcPr>
            <w:tcW w:w="1816" w:type="dxa"/>
            <w:gridSpan w:val="3"/>
            <w:vAlign w:val="center"/>
          </w:tcPr>
          <w:p w14:paraId="0B23A2CB" w14:textId="77777777" w:rsidR="009A0A63" w:rsidRPr="00792B36" w:rsidRDefault="009A0A63" w:rsidP="00A24459">
            <w:pPr>
              <w:jc w:val="center"/>
              <w:rPr>
                <w:sz w:val="24"/>
                <w:szCs w:val="24"/>
              </w:rPr>
            </w:pPr>
            <w:r w:rsidRPr="00792B36">
              <w:rPr>
                <w:color w:val="000000"/>
                <w:sz w:val="24"/>
                <w:szCs w:val="24"/>
              </w:rPr>
              <w:t>32,375,532</w:t>
            </w:r>
          </w:p>
        </w:tc>
        <w:tc>
          <w:tcPr>
            <w:tcW w:w="1816" w:type="dxa"/>
            <w:gridSpan w:val="3"/>
            <w:vAlign w:val="center"/>
          </w:tcPr>
          <w:p w14:paraId="71290AD4" w14:textId="77777777" w:rsidR="009A0A63" w:rsidRPr="00792B36" w:rsidRDefault="009A0A63" w:rsidP="00A24459">
            <w:pPr>
              <w:jc w:val="center"/>
              <w:rPr>
                <w:sz w:val="24"/>
                <w:szCs w:val="24"/>
              </w:rPr>
            </w:pPr>
            <w:r w:rsidRPr="00792B36">
              <w:rPr>
                <w:color w:val="000000"/>
                <w:sz w:val="24"/>
                <w:szCs w:val="24"/>
              </w:rPr>
              <w:t>33,811,195</w:t>
            </w:r>
          </w:p>
        </w:tc>
        <w:tc>
          <w:tcPr>
            <w:tcW w:w="1819" w:type="dxa"/>
            <w:vAlign w:val="center"/>
          </w:tcPr>
          <w:p w14:paraId="4E9152FD" w14:textId="77777777" w:rsidR="009A0A63" w:rsidRPr="00792B36" w:rsidRDefault="009A0A63" w:rsidP="00A24459">
            <w:pPr>
              <w:jc w:val="center"/>
              <w:rPr>
                <w:sz w:val="24"/>
                <w:szCs w:val="24"/>
              </w:rPr>
            </w:pPr>
            <w:r w:rsidRPr="00792B36">
              <w:rPr>
                <w:color w:val="000000"/>
                <w:sz w:val="24"/>
                <w:szCs w:val="24"/>
              </w:rPr>
              <w:t>27,224,743</w:t>
            </w:r>
          </w:p>
        </w:tc>
      </w:tr>
    </w:tbl>
    <w:p w14:paraId="2BBA213C" w14:textId="77777777" w:rsidR="009A0A63" w:rsidRPr="00792B36" w:rsidRDefault="009A0A63" w:rsidP="009A0A63">
      <w:pPr>
        <w:spacing w:line="360" w:lineRule="auto"/>
        <w:rPr>
          <w:sz w:val="24"/>
          <w:szCs w:val="24"/>
        </w:rPr>
      </w:pPr>
      <w:r w:rsidRPr="00792B36">
        <w:rPr>
          <w:sz w:val="24"/>
          <w:szCs w:val="24"/>
        </w:rPr>
        <w:t xml:space="preserve">Source: Department of Provincial Administration. 2025. Official statistics registration systems. </w:t>
      </w:r>
      <w:r w:rsidRPr="00792B36">
        <w:rPr>
          <w:sz w:val="24"/>
          <w:szCs w:val="24"/>
        </w:rPr>
        <w:fldChar w:fldCharType="begin"/>
      </w:r>
      <w:r w:rsidRPr="00792B36">
        <w:rPr>
          <w:sz w:val="24"/>
          <w:szCs w:val="24"/>
        </w:rPr>
        <w:instrText>HYPERLINK "https://stat.bora.dopa.go.th/stat/statnew/statMenu/newStat/home.php"</w:instrText>
      </w:r>
      <w:r w:rsidRPr="00792B36">
        <w:rPr>
          <w:sz w:val="24"/>
          <w:szCs w:val="24"/>
        </w:rPr>
      </w:r>
      <w:r w:rsidRPr="00792B36">
        <w:rPr>
          <w:sz w:val="24"/>
          <w:szCs w:val="24"/>
        </w:rPr>
        <w:fldChar w:fldCharType="separate"/>
      </w:r>
      <w:r w:rsidRPr="00792B36">
        <w:rPr>
          <w:rStyle w:val="Hyperlink"/>
          <w:sz w:val="24"/>
          <w:szCs w:val="24"/>
        </w:rPr>
        <w:t>https://stat.bora.dopa.go.th/stat/statnew/statMenu/newStat/home.php</w:t>
      </w:r>
      <w:r w:rsidRPr="00792B36">
        <w:rPr>
          <w:sz w:val="24"/>
          <w:szCs w:val="24"/>
        </w:rPr>
        <w:fldChar w:fldCharType="end"/>
      </w:r>
      <w:r w:rsidRPr="00792B36">
        <w:rPr>
          <w:sz w:val="24"/>
          <w:szCs w:val="24"/>
        </w:rPr>
        <w:t xml:space="preserve">  </w:t>
      </w:r>
      <w:r w:rsidRPr="00792B36">
        <w:rPr>
          <w:sz w:val="24"/>
          <w:szCs w:val="24"/>
        </w:rPr>
        <w:lastRenderedPageBreak/>
        <w:t>(accessed 19 April 2025)</w:t>
      </w:r>
    </w:p>
    <w:p w14:paraId="1E99D2D7" w14:textId="77777777" w:rsidR="009A0A63" w:rsidRPr="00792B36" w:rsidRDefault="009A0A63" w:rsidP="009A0A63">
      <w:pPr>
        <w:spacing w:line="360" w:lineRule="auto"/>
        <w:rPr>
          <w:sz w:val="24"/>
          <w:szCs w:val="24"/>
        </w:rPr>
      </w:pPr>
    </w:p>
    <w:p w14:paraId="0E3A45FE" w14:textId="77777777" w:rsidR="009A0A63" w:rsidRPr="00792B36" w:rsidRDefault="009A0A63" w:rsidP="009A0A63">
      <w:pPr>
        <w:spacing w:line="360" w:lineRule="auto"/>
        <w:rPr>
          <w:sz w:val="24"/>
          <w:szCs w:val="24"/>
        </w:rPr>
      </w:pPr>
      <w:r w:rsidRPr="00792B36">
        <w:rPr>
          <w:b/>
          <w:bCs/>
          <w:sz w:val="24"/>
          <w:szCs w:val="24"/>
        </w:rPr>
        <w:t xml:space="preserve">Annex 2.4 </w:t>
      </w:r>
      <w:r w:rsidRPr="00792B36">
        <w:rPr>
          <w:sz w:val="24"/>
          <w:szCs w:val="24"/>
        </w:rPr>
        <w:t>Annual population changes (%) by coastal provinces along the Gulf of Thailand (2000-2020)</w:t>
      </w:r>
    </w:p>
    <w:tbl>
      <w:tblPr>
        <w:tblStyle w:val="TableGrid"/>
        <w:tblW w:w="0" w:type="auto"/>
        <w:tblLook w:val="04A0" w:firstRow="1" w:lastRow="0" w:firstColumn="1" w:lastColumn="0" w:noHBand="0" w:noVBand="1"/>
      </w:tblPr>
      <w:tblGrid>
        <w:gridCol w:w="2830"/>
        <w:gridCol w:w="1546"/>
        <w:gridCol w:w="1547"/>
        <w:gridCol w:w="1547"/>
        <w:gridCol w:w="1547"/>
      </w:tblGrid>
      <w:tr w:rsidR="009A0A63" w:rsidRPr="00792B36" w14:paraId="3834B5A0" w14:textId="77777777" w:rsidTr="00A24459">
        <w:trPr>
          <w:trHeight w:hRule="exact" w:val="340"/>
        </w:trPr>
        <w:tc>
          <w:tcPr>
            <w:tcW w:w="2830" w:type="dxa"/>
            <w:vAlign w:val="center"/>
          </w:tcPr>
          <w:p w14:paraId="6C9BEA7A" w14:textId="77777777" w:rsidR="009A0A63" w:rsidRPr="00792B36" w:rsidRDefault="009A0A63" w:rsidP="00A24459">
            <w:pPr>
              <w:jc w:val="center"/>
              <w:rPr>
                <w:b/>
                <w:bCs/>
                <w:sz w:val="24"/>
                <w:szCs w:val="24"/>
              </w:rPr>
            </w:pPr>
            <w:r w:rsidRPr="00792B36">
              <w:rPr>
                <w:b/>
                <w:bCs/>
                <w:color w:val="000000"/>
                <w:sz w:val="24"/>
                <w:szCs w:val="24"/>
              </w:rPr>
              <w:t>Provinces</w:t>
            </w:r>
          </w:p>
        </w:tc>
        <w:tc>
          <w:tcPr>
            <w:tcW w:w="1546" w:type="dxa"/>
            <w:vAlign w:val="center"/>
          </w:tcPr>
          <w:p w14:paraId="347F35EB" w14:textId="77777777" w:rsidR="009A0A63" w:rsidRPr="00792B36" w:rsidRDefault="009A0A63" w:rsidP="00A24459">
            <w:pPr>
              <w:jc w:val="center"/>
              <w:rPr>
                <w:b/>
                <w:bCs/>
                <w:sz w:val="24"/>
                <w:szCs w:val="24"/>
              </w:rPr>
            </w:pPr>
            <w:r w:rsidRPr="00792B36">
              <w:rPr>
                <w:b/>
                <w:bCs/>
                <w:color w:val="000000"/>
                <w:sz w:val="24"/>
                <w:szCs w:val="24"/>
              </w:rPr>
              <w:t>2000-2005</w:t>
            </w:r>
          </w:p>
        </w:tc>
        <w:tc>
          <w:tcPr>
            <w:tcW w:w="1547" w:type="dxa"/>
            <w:vAlign w:val="center"/>
          </w:tcPr>
          <w:p w14:paraId="0F444BEB" w14:textId="77777777" w:rsidR="009A0A63" w:rsidRPr="00792B36" w:rsidRDefault="009A0A63" w:rsidP="00A24459">
            <w:pPr>
              <w:jc w:val="center"/>
              <w:rPr>
                <w:b/>
                <w:bCs/>
                <w:sz w:val="24"/>
                <w:szCs w:val="24"/>
              </w:rPr>
            </w:pPr>
            <w:r w:rsidRPr="00792B36">
              <w:rPr>
                <w:b/>
                <w:bCs/>
                <w:color w:val="000000"/>
                <w:sz w:val="24"/>
                <w:szCs w:val="24"/>
              </w:rPr>
              <w:t>2005-2010</w:t>
            </w:r>
          </w:p>
        </w:tc>
        <w:tc>
          <w:tcPr>
            <w:tcW w:w="1547" w:type="dxa"/>
            <w:vAlign w:val="center"/>
          </w:tcPr>
          <w:p w14:paraId="4A213E27" w14:textId="77777777" w:rsidR="009A0A63" w:rsidRPr="00792B36" w:rsidRDefault="009A0A63" w:rsidP="00A24459">
            <w:pPr>
              <w:jc w:val="center"/>
              <w:rPr>
                <w:b/>
                <w:bCs/>
                <w:sz w:val="24"/>
                <w:szCs w:val="24"/>
              </w:rPr>
            </w:pPr>
            <w:r w:rsidRPr="00792B36">
              <w:rPr>
                <w:b/>
                <w:bCs/>
                <w:color w:val="000000"/>
                <w:sz w:val="24"/>
                <w:szCs w:val="24"/>
              </w:rPr>
              <w:t>2010-2015</w:t>
            </w:r>
          </w:p>
        </w:tc>
        <w:tc>
          <w:tcPr>
            <w:tcW w:w="1547" w:type="dxa"/>
            <w:vAlign w:val="center"/>
          </w:tcPr>
          <w:p w14:paraId="785A3874" w14:textId="77777777" w:rsidR="009A0A63" w:rsidRPr="00792B36" w:rsidRDefault="009A0A63" w:rsidP="00A24459">
            <w:pPr>
              <w:jc w:val="center"/>
              <w:rPr>
                <w:b/>
                <w:bCs/>
                <w:sz w:val="24"/>
                <w:szCs w:val="24"/>
              </w:rPr>
            </w:pPr>
            <w:r w:rsidRPr="00792B36">
              <w:rPr>
                <w:b/>
                <w:bCs/>
                <w:color w:val="000000"/>
                <w:sz w:val="24"/>
                <w:szCs w:val="24"/>
              </w:rPr>
              <w:t>2015-2020</w:t>
            </w:r>
          </w:p>
        </w:tc>
      </w:tr>
      <w:tr w:rsidR="009A0A63" w:rsidRPr="00792B36" w14:paraId="27B6AD4C" w14:textId="77777777" w:rsidTr="00A24459">
        <w:trPr>
          <w:trHeight w:hRule="exact" w:val="340"/>
        </w:trPr>
        <w:tc>
          <w:tcPr>
            <w:tcW w:w="2830" w:type="dxa"/>
            <w:vAlign w:val="center"/>
          </w:tcPr>
          <w:p w14:paraId="59287BC9" w14:textId="77777777" w:rsidR="009A0A63" w:rsidRPr="00792B36" w:rsidRDefault="009A0A63" w:rsidP="00A24459">
            <w:pPr>
              <w:rPr>
                <w:sz w:val="24"/>
                <w:szCs w:val="24"/>
              </w:rPr>
            </w:pPr>
            <w:r w:rsidRPr="00792B36">
              <w:rPr>
                <w:color w:val="000000"/>
                <w:sz w:val="24"/>
                <w:szCs w:val="24"/>
              </w:rPr>
              <w:t>Rayong</w:t>
            </w:r>
          </w:p>
        </w:tc>
        <w:tc>
          <w:tcPr>
            <w:tcW w:w="1546" w:type="dxa"/>
            <w:vAlign w:val="center"/>
          </w:tcPr>
          <w:p w14:paraId="0121C4DC" w14:textId="77777777" w:rsidR="009A0A63" w:rsidRPr="00792B36" w:rsidRDefault="009A0A63" w:rsidP="00A24459">
            <w:pPr>
              <w:jc w:val="center"/>
              <w:rPr>
                <w:sz w:val="24"/>
                <w:szCs w:val="24"/>
              </w:rPr>
            </w:pPr>
            <w:r w:rsidRPr="00792B36">
              <w:rPr>
                <w:color w:val="000000"/>
                <w:sz w:val="24"/>
                <w:szCs w:val="24"/>
              </w:rPr>
              <w:t>1.13</w:t>
            </w:r>
          </w:p>
        </w:tc>
        <w:tc>
          <w:tcPr>
            <w:tcW w:w="1547" w:type="dxa"/>
            <w:vAlign w:val="center"/>
          </w:tcPr>
          <w:p w14:paraId="0789E28C" w14:textId="77777777" w:rsidR="009A0A63" w:rsidRPr="00792B36" w:rsidRDefault="009A0A63" w:rsidP="00A24459">
            <w:pPr>
              <w:jc w:val="center"/>
              <w:rPr>
                <w:sz w:val="24"/>
                <w:szCs w:val="24"/>
              </w:rPr>
            </w:pPr>
            <w:r w:rsidRPr="00792B36">
              <w:rPr>
                <w:color w:val="000000"/>
                <w:sz w:val="24"/>
                <w:szCs w:val="24"/>
              </w:rPr>
              <w:t>2.01</w:t>
            </w:r>
          </w:p>
        </w:tc>
        <w:tc>
          <w:tcPr>
            <w:tcW w:w="1547" w:type="dxa"/>
            <w:vAlign w:val="center"/>
          </w:tcPr>
          <w:p w14:paraId="4FC4D84C" w14:textId="77777777" w:rsidR="009A0A63" w:rsidRPr="00792B36" w:rsidRDefault="009A0A63" w:rsidP="00A24459">
            <w:pPr>
              <w:jc w:val="center"/>
              <w:rPr>
                <w:sz w:val="24"/>
                <w:szCs w:val="24"/>
              </w:rPr>
            </w:pPr>
            <w:r w:rsidRPr="00792B36">
              <w:rPr>
                <w:color w:val="000000"/>
                <w:sz w:val="24"/>
                <w:szCs w:val="24"/>
              </w:rPr>
              <w:t>1.67</w:t>
            </w:r>
          </w:p>
        </w:tc>
        <w:tc>
          <w:tcPr>
            <w:tcW w:w="1547" w:type="dxa"/>
            <w:vAlign w:val="center"/>
          </w:tcPr>
          <w:p w14:paraId="4DAAACDE" w14:textId="77777777" w:rsidR="009A0A63" w:rsidRPr="00792B36" w:rsidRDefault="009A0A63" w:rsidP="00A24459">
            <w:pPr>
              <w:jc w:val="center"/>
              <w:rPr>
                <w:sz w:val="24"/>
                <w:szCs w:val="24"/>
              </w:rPr>
            </w:pPr>
            <w:r w:rsidRPr="00792B36">
              <w:rPr>
                <w:color w:val="000000"/>
                <w:sz w:val="24"/>
                <w:szCs w:val="24"/>
              </w:rPr>
              <w:t>1.27</w:t>
            </w:r>
          </w:p>
        </w:tc>
      </w:tr>
      <w:tr w:rsidR="009A0A63" w:rsidRPr="00792B36" w14:paraId="76771538" w14:textId="77777777" w:rsidTr="00A24459">
        <w:trPr>
          <w:trHeight w:hRule="exact" w:val="340"/>
        </w:trPr>
        <w:tc>
          <w:tcPr>
            <w:tcW w:w="2830" w:type="dxa"/>
            <w:vAlign w:val="center"/>
          </w:tcPr>
          <w:p w14:paraId="2622FEA0" w14:textId="77777777" w:rsidR="009A0A63" w:rsidRPr="00792B36" w:rsidRDefault="009A0A63" w:rsidP="00A24459">
            <w:pPr>
              <w:rPr>
                <w:sz w:val="24"/>
                <w:szCs w:val="24"/>
              </w:rPr>
            </w:pPr>
            <w:r w:rsidRPr="00792B36">
              <w:rPr>
                <w:color w:val="000000"/>
                <w:sz w:val="24"/>
                <w:szCs w:val="24"/>
              </w:rPr>
              <w:t>Chanthaburi</w:t>
            </w:r>
          </w:p>
        </w:tc>
        <w:tc>
          <w:tcPr>
            <w:tcW w:w="1546" w:type="dxa"/>
            <w:vAlign w:val="center"/>
          </w:tcPr>
          <w:p w14:paraId="278EF494" w14:textId="77777777" w:rsidR="009A0A63" w:rsidRPr="00792B36" w:rsidRDefault="009A0A63" w:rsidP="00A24459">
            <w:pPr>
              <w:jc w:val="center"/>
              <w:rPr>
                <w:sz w:val="24"/>
                <w:szCs w:val="24"/>
              </w:rPr>
            </w:pPr>
            <w:r w:rsidRPr="00792B36">
              <w:rPr>
                <w:color w:val="000000"/>
                <w:sz w:val="24"/>
                <w:szCs w:val="24"/>
              </w:rPr>
              <w:t>0.16</w:t>
            </w:r>
          </w:p>
        </w:tc>
        <w:tc>
          <w:tcPr>
            <w:tcW w:w="1547" w:type="dxa"/>
            <w:vAlign w:val="center"/>
          </w:tcPr>
          <w:p w14:paraId="32498AF0" w14:textId="77777777" w:rsidR="009A0A63" w:rsidRPr="00792B36" w:rsidRDefault="009A0A63" w:rsidP="00A24459">
            <w:pPr>
              <w:jc w:val="center"/>
              <w:rPr>
                <w:sz w:val="24"/>
                <w:szCs w:val="24"/>
              </w:rPr>
            </w:pPr>
            <w:r w:rsidRPr="00792B36">
              <w:rPr>
                <w:color w:val="000000"/>
                <w:sz w:val="24"/>
                <w:szCs w:val="24"/>
              </w:rPr>
              <w:t>0.55</w:t>
            </w:r>
          </w:p>
        </w:tc>
        <w:tc>
          <w:tcPr>
            <w:tcW w:w="1547" w:type="dxa"/>
            <w:vAlign w:val="center"/>
          </w:tcPr>
          <w:p w14:paraId="4A63E35E" w14:textId="77777777" w:rsidR="009A0A63" w:rsidRPr="00792B36" w:rsidRDefault="009A0A63" w:rsidP="00A24459">
            <w:pPr>
              <w:jc w:val="center"/>
              <w:rPr>
                <w:sz w:val="24"/>
                <w:szCs w:val="24"/>
              </w:rPr>
            </w:pPr>
            <w:r w:rsidRPr="00792B36">
              <w:rPr>
                <w:color w:val="000000"/>
                <w:sz w:val="24"/>
                <w:szCs w:val="24"/>
              </w:rPr>
              <w:t>0.53</w:t>
            </w:r>
          </w:p>
        </w:tc>
        <w:tc>
          <w:tcPr>
            <w:tcW w:w="1547" w:type="dxa"/>
            <w:vAlign w:val="center"/>
          </w:tcPr>
          <w:p w14:paraId="7516603E" w14:textId="77777777" w:rsidR="009A0A63" w:rsidRPr="00792B36" w:rsidRDefault="009A0A63" w:rsidP="00A24459">
            <w:pPr>
              <w:jc w:val="center"/>
              <w:rPr>
                <w:sz w:val="24"/>
                <w:szCs w:val="24"/>
              </w:rPr>
            </w:pPr>
            <w:r w:rsidRPr="00792B36">
              <w:rPr>
                <w:color w:val="000000"/>
                <w:sz w:val="24"/>
                <w:szCs w:val="24"/>
              </w:rPr>
              <w:t>0.14</w:t>
            </w:r>
          </w:p>
        </w:tc>
      </w:tr>
      <w:tr w:rsidR="009A0A63" w:rsidRPr="00792B36" w14:paraId="052F9F66" w14:textId="77777777" w:rsidTr="00A24459">
        <w:trPr>
          <w:trHeight w:hRule="exact" w:val="340"/>
        </w:trPr>
        <w:tc>
          <w:tcPr>
            <w:tcW w:w="2830" w:type="dxa"/>
            <w:vAlign w:val="center"/>
          </w:tcPr>
          <w:p w14:paraId="5175F85C" w14:textId="77777777" w:rsidR="009A0A63" w:rsidRPr="00792B36" w:rsidRDefault="009A0A63" w:rsidP="00A24459">
            <w:pPr>
              <w:rPr>
                <w:sz w:val="24"/>
                <w:szCs w:val="24"/>
              </w:rPr>
            </w:pPr>
            <w:r w:rsidRPr="00792B36">
              <w:rPr>
                <w:color w:val="000000"/>
                <w:sz w:val="24"/>
                <w:szCs w:val="24"/>
              </w:rPr>
              <w:t>Trat</w:t>
            </w:r>
          </w:p>
        </w:tc>
        <w:tc>
          <w:tcPr>
            <w:tcW w:w="1546" w:type="dxa"/>
            <w:vAlign w:val="center"/>
          </w:tcPr>
          <w:p w14:paraId="35C5B45E" w14:textId="77777777" w:rsidR="009A0A63" w:rsidRPr="00792B36" w:rsidRDefault="009A0A63" w:rsidP="00A24459">
            <w:pPr>
              <w:jc w:val="center"/>
              <w:rPr>
                <w:sz w:val="24"/>
                <w:szCs w:val="24"/>
              </w:rPr>
            </w:pPr>
            <w:r w:rsidRPr="00792B36">
              <w:rPr>
                <w:color w:val="000000"/>
                <w:sz w:val="24"/>
                <w:szCs w:val="24"/>
              </w:rPr>
              <w:t>-0.36</w:t>
            </w:r>
          </w:p>
        </w:tc>
        <w:tc>
          <w:tcPr>
            <w:tcW w:w="1547" w:type="dxa"/>
            <w:vAlign w:val="center"/>
          </w:tcPr>
          <w:p w14:paraId="7CA556E8" w14:textId="77777777" w:rsidR="009A0A63" w:rsidRPr="00792B36" w:rsidRDefault="009A0A63" w:rsidP="00A24459">
            <w:pPr>
              <w:jc w:val="center"/>
              <w:rPr>
                <w:sz w:val="24"/>
                <w:szCs w:val="24"/>
              </w:rPr>
            </w:pPr>
            <w:r w:rsidRPr="00792B36">
              <w:rPr>
                <w:color w:val="000000"/>
                <w:sz w:val="24"/>
                <w:szCs w:val="24"/>
              </w:rPr>
              <w:t>0.14</w:t>
            </w:r>
          </w:p>
        </w:tc>
        <w:tc>
          <w:tcPr>
            <w:tcW w:w="1547" w:type="dxa"/>
            <w:vAlign w:val="center"/>
          </w:tcPr>
          <w:p w14:paraId="6E03FD89" w14:textId="77777777" w:rsidR="009A0A63" w:rsidRPr="00792B36" w:rsidRDefault="009A0A63" w:rsidP="00A24459">
            <w:pPr>
              <w:jc w:val="center"/>
              <w:rPr>
                <w:sz w:val="24"/>
                <w:szCs w:val="24"/>
              </w:rPr>
            </w:pPr>
            <w:r w:rsidRPr="00792B36">
              <w:rPr>
                <w:color w:val="000000"/>
                <w:sz w:val="24"/>
                <w:szCs w:val="24"/>
              </w:rPr>
              <w:t>0.64</w:t>
            </w:r>
          </w:p>
        </w:tc>
        <w:tc>
          <w:tcPr>
            <w:tcW w:w="1547" w:type="dxa"/>
            <w:vAlign w:val="center"/>
          </w:tcPr>
          <w:p w14:paraId="2A226955" w14:textId="77777777" w:rsidR="009A0A63" w:rsidRPr="00792B36" w:rsidRDefault="009A0A63" w:rsidP="00A24459">
            <w:pPr>
              <w:jc w:val="center"/>
              <w:rPr>
                <w:sz w:val="24"/>
                <w:szCs w:val="24"/>
              </w:rPr>
            </w:pPr>
            <w:r w:rsidRPr="00792B36">
              <w:rPr>
                <w:color w:val="000000"/>
                <w:sz w:val="24"/>
                <w:szCs w:val="24"/>
              </w:rPr>
              <w:t>-0.07</w:t>
            </w:r>
          </w:p>
        </w:tc>
      </w:tr>
      <w:tr w:rsidR="009A0A63" w:rsidRPr="00792B36" w14:paraId="5FF622D4" w14:textId="77777777" w:rsidTr="00A24459">
        <w:trPr>
          <w:trHeight w:hRule="exact" w:val="340"/>
        </w:trPr>
        <w:tc>
          <w:tcPr>
            <w:tcW w:w="2830" w:type="dxa"/>
            <w:vAlign w:val="center"/>
          </w:tcPr>
          <w:p w14:paraId="0F02C467" w14:textId="77777777" w:rsidR="009A0A63" w:rsidRPr="00792B36" w:rsidRDefault="009A0A63" w:rsidP="00A24459">
            <w:pPr>
              <w:rPr>
                <w:sz w:val="24"/>
                <w:szCs w:val="24"/>
              </w:rPr>
            </w:pPr>
            <w:r w:rsidRPr="00792B36">
              <w:rPr>
                <w:color w:val="000000"/>
                <w:sz w:val="24"/>
                <w:szCs w:val="24"/>
              </w:rPr>
              <w:t>Samut Prakan</w:t>
            </w:r>
          </w:p>
        </w:tc>
        <w:tc>
          <w:tcPr>
            <w:tcW w:w="1546" w:type="dxa"/>
            <w:vAlign w:val="center"/>
          </w:tcPr>
          <w:p w14:paraId="78356DAB" w14:textId="77777777" w:rsidR="009A0A63" w:rsidRPr="00792B36" w:rsidRDefault="009A0A63" w:rsidP="00A24459">
            <w:pPr>
              <w:jc w:val="center"/>
              <w:rPr>
                <w:sz w:val="24"/>
                <w:szCs w:val="24"/>
              </w:rPr>
            </w:pPr>
            <w:r w:rsidRPr="00792B36">
              <w:rPr>
                <w:color w:val="000000"/>
                <w:sz w:val="24"/>
                <w:szCs w:val="24"/>
              </w:rPr>
              <w:t>1.37</w:t>
            </w:r>
          </w:p>
        </w:tc>
        <w:tc>
          <w:tcPr>
            <w:tcW w:w="1547" w:type="dxa"/>
            <w:vAlign w:val="center"/>
          </w:tcPr>
          <w:p w14:paraId="34BD398D" w14:textId="77777777" w:rsidR="009A0A63" w:rsidRPr="00792B36" w:rsidRDefault="009A0A63" w:rsidP="00A24459">
            <w:pPr>
              <w:jc w:val="center"/>
              <w:rPr>
                <w:sz w:val="24"/>
                <w:szCs w:val="24"/>
              </w:rPr>
            </w:pPr>
            <w:r w:rsidRPr="00792B36">
              <w:rPr>
                <w:color w:val="000000"/>
                <w:sz w:val="24"/>
                <w:szCs w:val="24"/>
              </w:rPr>
              <w:t>1.67</w:t>
            </w:r>
          </w:p>
        </w:tc>
        <w:tc>
          <w:tcPr>
            <w:tcW w:w="1547" w:type="dxa"/>
            <w:vAlign w:val="center"/>
          </w:tcPr>
          <w:p w14:paraId="5A55966F" w14:textId="77777777" w:rsidR="009A0A63" w:rsidRPr="00792B36" w:rsidRDefault="009A0A63" w:rsidP="00A24459">
            <w:pPr>
              <w:jc w:val="center"/>
              <w:rPr>
                <w:sz w:val="24"/>
                <w:szCs w:val="24"/>
              </w:rPr>
            </w:pPr>
            <w:r w:rsidRPr="00792B36">
              <w:rPr>
                <w:color w:val="000000"/>
                <w:sz w:val="24"/>
                <w:szCs w:val="24"/>
              </w:rPr>
              <w:t>1.32</w:t>
            </w:r>
          </w:p>
        </w:tc>
        <w:tc>
          <w:tcPr>
            <w:tcW w:w="1547" w:type="dxa"/>
            <w:vAlign w:val="center"/>
          </w:tcPr>
          <w:p w14:paraId="207913B7" w14:textId="77777777" w:rsidR="009A0A63" w:rsidRPr="00792B36" w:rsidRDefault="009A0A63" w:rsidP="00A24459">
            <w:pPr>
              <w:jc w:val="center"/>
              <w:rPr>
                <w:sz w:val="24"/>
                <w:szCs w:val="24"/>
              </w:rPr>
            </w:pPr>
            <w:r w:rsidRPr="00792B36">
              <w:rPr>
                <w:color w:val="000000"/>
                <w:sz w:val="24"/>
                <w:szCs w:val="24"/>
              </w:rPr>
              <w:t>0.94</w:t>
            </w:r>
          </w:p>
        </w:tc>
      </w:tr>
      <w:tr w:rsidR="009A0A63" w:rsidRPr="00792B36" w14:paraId="43280DE9" w14:textId="77777777" w:rsidTr="00A24459">
        <w:trPr>
          <w:trHeight w:hRule="exact" w:val="340"/>
        </w:trPr>
        <w:tc>
          <w:tcPr>
            <w:tcW w:w="2830" w:type="dxa"/>
            <w:vAlign w:val="center"/>
          </w:tcPr>
          <w:p w14:paraId="00A30692" w14:textId="77777777" w:rsidR="009A0A63" w:rsidRPr="00792B36" w:rsidRDefault="009A0A63" w:rsidP="00A24459">
            <w:pPr>
              <w:rPr>
                <w:sz w:val="24"/>
                <w:szCs w:val="24"/>
              </w:rPr>
            </w:pPr>
            <w:r w:rsidRPr="00792B36">
              <w:rPr>
                <w:color w:val="000000"/>
                <w:sz w:val="24"/>
                <w:szCs w:val="24"/>
              </w:rPr>
              <w:t>Chon Buri</w:t>
            </w:r>
          </w:p>
        </w:tc>
        <w:tc>
          <w:tcPr>
            <w:tcW w:w="1546" w:type="dxa"/>
            <w:vAlign w:val="center"/>
          </w:tcPr>
          <w:p w14:paraId="093FC391" w14:textId="77777777" w:rsidR="009A0A63" w:rsidRPr="00792B36" w:rsidRDefault="009A0A63" w:rsidP="00A24459">
            <w:pPr>
              <w:jc w:val="center"/>
              <w:rPr>
                <w:sz w:val="24"/>
                <w:szCs w:val="24"/>
              </w:rPr>
            </w:pPr>
            <w:r w:rsidRPr="00792B36">
              <w:rPr>
                <w:color w:val="000000"/>
                <w:sz w:val="24"/>
                <w:szCs w:val="24"/>
              </w:rPr>
              <w:t>1.45</w:t>
            </w:r>
          </w:p>
        </w:tc>
        <w:tc>
          <w:tcPr>
            <w:tcW w:w="1547" w:type="dxa"/>
            <w:vAlign w:val="center"/>
          </w:tcPr>
          <w:p w14:paraId="6E3E51D0" w14:textId="77777777" w:rsidR="009A0A63" w:rsidRPr="00792B36" w:rsidRDefault="009A0A63" w:rsidP="00A24459">
            <w:pPr>
              <w:jc w:val="center"/>
              <w:rPr>
                <w:sz w:val="24"/>
                <w:szCs w:val="24"/>
              </w:rPr>
            </w:pPr>
            <w:r w:rsidRPr="00792B36">
              <w:rPr>
                <w:color w:val="000000"/>
                <w:sz w:val="24"/>
                <w:szCs w:val="24"/>
              </w:rPr>
              <w:t>2.05</w:t>
            </w:r>
          </w:p>
        </w:tc>
        <w:tc>
          <w:tcPr>
            <w:tcW w:w="1547" w:type="dxa"/>
            <w:vAlign w:val="center"/>
          </w:tcPr>
          <w:p w14:paraId="67D5907C" w14:textId="77777777" w:rsidR="009A0A63" w:rsidRPr="00792B36" w:rsidRDefault="009A0A63" w:rsidP="00A24459">
            <w:pPr>
              <w:jc w:val="center"/>
              <w:rPr>
                <w:sz w:val="24"/>
                <w:szCs w:val="24"/>
              </w:rPr>
            </w:pPr>
            <w:r w:rsidRPr="00792B36">
              <w:rPr>
                <w:color w:val="000000"/>
                <w:sz w:val="24"/>
                <w:szCs w:val="24"/>
              </w:rPr>
              <w:t>1.76</w:t>
            </w:r>
          </w:p>
        </w:tc>
        <w:tc>
          <w:tcPr>
            <w:tcW w:w="1547" w:type="dxa"/>
            <w:vAlign w:val="center"/>
          </w:tcPr>
          <w:p w14:paraId="0714C722" w14:textId="77777777" w:rsidR="009A0A63" w:rsidRPr="00792B36" w:rsidRDefault="009A0A63" w:rsidP="00A24459">
            <w:pPr>
              <w:jc w:val="center"/>
              <w:rPr>
                <w:sz w:val="24"/>
                <w:szCs w:val="24"/>
              </w:rPr>
            </w:pPr>
            <w:r w:rsidRPr="00792B36">
              <w:rPr>
                <w:color w:val="000000"/>
                <w:sz w:val="24"/>
                <w:szCs w:val="24"/>
              </w:rPr>
              <w:t>1.28</w:t>
            </w:r>
          </w:p>
        </w:tc>
      </w:tr>
      <w:tr w:rsidR="009A0A63" w:rsidRPr="00792B36" w14:paraId="62C83091" w14:textId="77777777" w:rsidTr="00A24459">
        <w:trPr>
          <w:trHeight w:hRule="exact" w:val="340"/>
        </w:trPr>
        <w:tc>
          <w:tcPr>
            <w:tcW w:w="2830" w:type="dxa"/>
            <w:vAlign w:val="center"/>
          </w:tcPr>
          <w:p w14:paraId="72AA8413" w14:textId="77777777" w:rsidR="009A0A63" w:rsidRPr="00792B36" w:rsidRDefault="009A0A63" w:rsidP="00A24459">
            <w:pPr>
              <w:rPr>
                <w:sz w:val="24"/>
                <w:szCs w:val="24"/>
              </w:rPr>
            </w:pPr>
            <w:r w:rsidRPr="00792B36">
              <w:rPr>
                <w:color w:val="000000"/>
                <w:sz w:val="24"/>
                <w:szCs w:val="24"/>
              </w:rPr>
              <w:t>Chachoengsao</w:t>
            </w:r>
          </w:p>
        </w:tc>
        <w:tc>
          <w:tcPr>
            <w:tcW w:w="1546" w:type="dxa"/>
            <w:vAlign w:val="center"/>
          </w:tcPr>
          <w:p w14:paraId="1299C457" w14:textId="77777777" w:rsidR="009A0A63" w:rsidRPr="00792B36" w:rsidRDefault="009A0A63" w:rsidP="00A24459">
            <w:pPr>
              <w:jc w:val="center"/>
              <w:rPr>
                <w:sz w:val="24"/>
                <w:szCs w:val="24"/>
              </w:rPr>
            </w:pPr>
            <w:r w:rsidRPr="00792B36">
              <w:rPr>
                <w:color w:val="000000"/>
                <w:sz w:val="24"/>
                <w:szCs w:val="24"/>
              </w:rPr>
              <w:t>0.20</w:t>
            </w:r>
          </w:p>
        </w:tc>
        <w:tc>
          <w:tcPr>
            <w:tcW w:w="1547" w:type="dxa"/>
            <w:vAlign w:val="center"/>
          </w:tcPr>
          <w:p w14:paraId="300E059D" w14:textId="77777777" w:rsidR="009A0A63" w:rsidRPr="00792B36" w:rsidRDefault="009A0A63" w:rsidP="00A24459">
            <w:pPr>
              <w:jc w:val="center"/>
              <w:rPr>
                <w:sz w:val="24"/>
                <w:szCs w:val="24"/>
              </w:rPr>
            </w:pPr>
            <w:r w:rsidRPr="00792B36">
              <w:rPr>
                <w:color w:val="000000"/>
                <w:sz w:val="24"/>
                <w:szCs w:val="24"/>
              </w:rPr>
              <w:t>0.68</w:t>
            </w:r>
          </w:p>
        </w:tc>
        <w:tc>
          <w:tcPr>
            <w:tcW w:w="1547" w:type="dxa"/>
            <w:vAlign w:val="center"/>
          </w:tcPr>
          <w:p w14:paraId="24FA20DE" w14:textId="77777777" w:rsidR="009A0A63" w:rsidRPr="00792B36" w:rsidRDefault="009A0A63" w:rsidP="00A24459">
            <w:pPr>
              <w:jc w:val="center"/>
              <w:rPr>
                <w:sz w:val="24"/>
                <w:szCs w:val="24"/>
              </w:rPr>
            </w:pPr>
            <w:r w:rsidRPr="00792B36">
              <w:rPr>
                <w:color w:val="000000"/>
                <w:sz w:val="24"/>
                <w:szCs w:val="24"/>
              </w:rPr>
              <w:t>0.67</w:t>
            </w:r>
          </w:p>
        </w:tc>
        <w:tc>
          <w:tcPr>
            <w:tcW w:w="1547" w:type="dxa"/>
            <w:vAlign w:val="center"/>
          </w:tcPr>
          <w:p w14:paraId="2ACBAD68" w14:textId="77777777" w:rsidR="009A0A63" w:rsidRPr="00792B36" w:rsidRDefault="009A0A63" w:rsidP="00A24459">
            <w:pPr>
              <w:jc w:val="center"/>
              <w:rPr>
                <w:sz w:val="24"/>
                <w:szCs w:val="24"/>
              </w:rPr>
            </w:pPr>
            <w:r w:rsidRPr="00792B36">
              <w:rPr>
                <w:color w:val="000000"/>
                <w:sz w:val="24"/>
                <w:szCs w:val="24"/>
              </w:rPr>
              <w:t>0.47</w:t>
            </w:r>
          </w:p>
        </w:tc>
      </w:tr>
      <w:tr w:rsidR="009A0A63" w:rsidRPr="00792B36" w14:paraId="25F95E32" w14:textId="77777777" w:rsidTr="00A24459">
        <w:trPr>
          <w:trHeight w:hRule="exact" w:val="340"/>
        </w:trPr>
        <w:tc>
          <w:tcPr>
            <w:tcW w:w="2830" w:type="dxa"/>
            <w:vAlign w:val="center"/>
          </w:tcPr>
          <w:p w14:paraId="34FC16F3" w14:textId="77777777" w:rsidR="009A0A63" w:rsidRPr="00792B36" w:rsidRDefault="009A0A63" w:rsidP="00A24459">
            <w:pPr>
              <w:rPr>
                <w:sz w:val="24"/>
                <w:szCs w:val="24"/>
              </w:rPr>
            </w:pPr>
            <w:r w:rsidRPr="00792B36">
              <w:rPr>
                <w:color w:val="000000"/>
                <w:sz w:val="24"/>
                <w:szCs w:val="24"/>
              </w:rPr>
              <w:t>Samut Sakhon</w:t>
            </w:r>
          </w:p>
        </w:tc>
        <w:tc>
          <w:tcPr>
            <w:tcW w:w="1546" w:type="dxa"/>
            <w:vAlign w:val="center"/>
          </w:tcPr>
          <w:p w14:paraId="46092DD0" w14:textId="77777777" w:rsidR="009A0A63" w:rsidRPr="00792B36" w:rsidRDefault="009A0A63" w:rsidP="00A24459">
            <w:pPr>
              <w:jc w:val="center"/>
              <w:rPr>
                <w:sz w:val="24"/>
                <w:szCs w:val="24"/>
              </w:rPr>
            </w:pPr>
            <w:r w:rsidRPr="00792B36">
              <w:rPr>
                <w:color w:val="000000"/>
                <w:sz w:val="24"/>
                <w:szCs w:val="24"/>
              </w:rPr>
              <w:t>0.90</w:t>
            </w:r>
          </w:p>
        </w:tc>
        <w:tc>
          <w:tcPr>
            <w:tcW w:w="1547" w:type="dxa"/>
            <w:vAlign w:val="center"/>
          </w:tcPr>
          <w:p w14:paraId="692F4D9E" w14:textId="77777777" w:rsidR="009A0A63" w:rsidRPr="00792B36" w:rsidRDefault="009A0A63" w:rsidP="00A24459">
            <w:pPr>
              <w:jc w:val="center"/>
              <w:rPr>
                <w:sz w:val="24"/>
                <w:szCs w:val="24"/>
              </w:rPr>
            </w:pPr>
            <w:r w:rsidRPr="00792B36">
              <w:rPr>
                <w:color w:val="000000"/>
                <w:sz w:val="24"/>
                <w:szCs w:val="24"/>
              </w:rPr>
              <w:t>1.47</w:t>
            </w:r>
          </w:p>
        </w:tc>
        <w:tc>
          <w:tcPr>
            <w:tcW w:w="1547" w:type="dxa"/>
            <w:vAlign w:val="center"/>
          </w:tcPr>
          <w:p w14:paraId="56C1840F" w14:textId="77777777" w:rsidR="009A0A63" w:rsidRPr="00792B36" w:rsidRDefault="009A0A63" w:rsidP="00A24459">
            <w:pPr>
              <w:jc w:val="center"/>
              <w:rPr>
                <w:sz w:val="24"/>
                <w:szCs w:val="24"/>
              </w:rPr>
            </w:pPr>
            <w:r w:rsidRPr="00792B36">
              <w:rPr>
                <w:color w:val="000000"/>
                <w:sz w:val="24"/>
                <w:szCs w:val="24"/>
              </w:rPr>
              <w:t>1.82</w:t>
            </w:r>
          </w:p>
        </w:tc>
        <w:tc>
          <w:tcPr>
            <w:tcW w:w="1547" w:type="dxa"/>
            <w:vAlign w:val="center"/>
          </w:tcPr>
          <w:p w14:paraId="58F40F3C" w14:textId="77777777" w:rsidR="009A0A63" w:rsidRPr="00792B36" w:rsidRDefault="009A0A63" w:rsidP="00A24459">
            <w:pPr>
              <w:jc w:val="center"/>
              <w:rPr>
                <w:sz w:val="24"/>
                <w:szCs w:val="24"/>
              </w:rPr>
            </w:pPr>
            <w:r w:rsidRPr="00792B36">
              <w:rPr>
                <w:color w:val="000000"/>
                <w:sz w:val="24"/>
                <w:szCs w:val="24"/>
              </w:rPr>
              <w:t>1.24</w:t>
            </w:r>
          </w:p>
        </w:tc>
      </w:tr>
      <w:tr w:rsidR="009A0A63" w:rsidRPr="00792B36" w14:paraId="02ED145F" w14:textId="77777777" w:rsidTr="00A24459">
        <w:trPr>
          <w:trHeight w:hRule="exact" w:val="340"/>
        </w:trPr>
        <w:tc>
          <w:tcPr>
            <w:tcW w:w="2830" w:type="dxa"/>
            <w:vAlign w:val="center"/>
          </w:tcPr>
          <w:p w14:paraId="6A9F5F21" w14:textId="77777777" w:rsidR="009A0A63" w:rsidRPr="00792B36" w:rsidRDefault="009A0A63" w:rsidP="00A24459">
            <w:pPr>
              <w:rPr>
                <w:sz w:val="24"/>
                <w:szCs w:val="24"/>
              </w:rPr>
            </w:pPr>
            <w:r w:rsidRPr="00792B36">
              <w:rPr>
                <w:color w:val="000000"/>
                <w:sz w:val="24"/>
                <w:szCs w:val="24"/>
              </w:rPr>
              <w:t>Samut Songkhram</w:t>
            </w:r>
          </w:p>
        </w:tc>
        <w:tc>
          <w:tcPr>
            <w:tcW w:w="1546" w:type="dxa"/>
            <w:vAlign w:val="center"/>
          </w:tcPr>
          <w:p w14:paraId="7F117350" w14:textId="77777777" w:rsidR="009A0A63" w:rsidRPr="00792B36" w:rsidRDefault="009A0A63" w:rsidP="00A24459">
            <w:pPr>
              <w:jc w:val="center"/>
              <w:rPr>
                <w:sz w:val="24"/>
                <w:szCs w:val="24"/>
              </w:rPr>
            </w:pPr>
            <w:r w:rsidRPr="00792B36">
              <w:rPr>
                <w:color w:val="000000"/>
                <w:sz w:val="24"/>
                <w:szCs w:val="24"/>
              </w:rPr>
              <w:t>-0.81</w:t>
            </w:r>
          </w:p>
        </w:tc>
        <w:tc>
          <w:tcPr>
            <w:tcW w:w="1547" w:type="dxa"/>
            <w:vAlign w:val="center"/>
          </w:tcPr>
          <w:p w14:paraId="5B81CDB4" w14:textId="77777777" w:rsidR="009A0A63" w:rsidRPr="00792B36" w:rsidRDefault="009A0A63" w:rsidP="00A24459">
            <w:pPr>
              <w:jc w:val="center"/>
              <w:rPr>
                <w:sz w:val="24"/>
                <w:szCs w:val="24"/>
              </w:rPr>
            </w:pPr>
            <w:r w:rsidRPr="00792B36">
              <w:rPr>
                <w:color w:val="000000"/>
                <w:sz w:val="24"/>
                <w:szCs w:val="24"/>
              </w:rPr>
              <w:t>-0.09</w:t>
            </w:r>
          </w:p>
        </w:tc>
        <w:tc>
          <w:tcPr>
            <w:tcW w:w="1547" w:type="dxa"/>
            <w:vAlign w:val="center"/>
          </w:tcPr>
          <w:p w14:paraId="1DBD6628" w14:textId="77777777" w:rsidR="009A0A63" w:rsidRPr="00792B36" w:rsidRDefault="009A0A63" w:rsidP="00A24459">
            <w:pPr>
              <w:jc w:val="center"/>
              <w:rPr>
                <w:sz w:val="24"/>
                <w:szCs w:val="24"/>
              </w:rPr>
            </w:pPr>
            <w:r w:rsidRPr="00792B36">
              <w:rPr>
                <w:color w:val="000000"/>
                <w:sz w:val="24"/>
                <w:szCs w:val="24"/>
              </w:rPr>
              <w:t>0.03</w:t>
            </w:r>
          </w:p>
        </w:tc>
        <w:tc>
          <w:tcPr>
            <w:tcW w:w="1547" w:type="dxa"/>
            <w:vAlign w:val="center"/>
          </w:tcPr>
          <w:p w14:paraId="0604D85D" w14:textId="77777777" w:rsidR="009A0A63" w:rsidRPr="00792B36" w:rsidRDefault="009A0A63" w:rsidP="00A24459">
            <w:pPr>
              <w:jc w:val="center"/>
              <w:rPr>
                <w:sz w:val="24"/>
                <w:szCs w:val="24"/>
              </w:rPr>
            </w:pPr>
            <w:r w:rsidRPr="00792B36">
              <w:rPr>
                <w:color w:val="000000"/>
                <w:sz w:val="24"/>
                <w:szCs w:val="24"/>
              </w:rPr>
              <w:t>-0.20</w:t>
            </w:r>
          </w:p>
        </w:tc>
      </w:tr>
      <w:tr w:rsidR="009A0A63" w:rsidRPr="00792B36" w14:paraId="61FF41D3" w14:textId="77777777" w:rsidTr="00A24459">
        <w:trPr>
          <w:trHeight w:hRule="exact" w:val="340"/>
        </w:trPr>
        <w:tc>
          <w:tcPr>
            <w:tcW w:w="2830" w:type="dxa"/>
            <w:vAlign w:val="center"/>
          </w:tcPr>
          <w:p w14:paraId="5C3336E9" w14:textId="77777777" w:rsidR="009A0A63" w:rsidRPr="00792B36" w:rsidRDefault="009A0A63" w:rsidP="00A24459">
            <w:pPr>
              <w:rPr>
                <w:sz w:val="24"/>
                <w:szCs w:val="24"/>
              </w:rPr>
            </w:pPr>
            <w:r w:rsidRPr="00792B36">
              <w:rPr>
                <w:color w:val="000000"/>
                <w:sz w:val="24"/>
                <w:szCs w:val="24"/>
              </w:rPr>
              <w:t>Phetchaburi</w:t>
            </w:r>
          </w:p>
        </w:tc>
        <w:tc>
          <w:tcPr>
            <w:tcW w:w="1546" w:type="dxa"/>
            <w:vAlign w:val="center"/>
          </w:tcPr>
          <w:p w14:paraId="33CE5D8B" w14:textId="77777777" w:rsidR="009A0A63" w:rsidRPr="00792B36" w:rsidRDefault="009A0A63" w:rsidP="00A24459">
            <w:pPr>
              <w:jc w:val="center"/>
              <w:rPr>
                <w:sz w:val="24"/>
                <w:szCs w:val="24"/>
              </w:rPr>
            </w:pPr>
            <w:r w:rsidRPr="00792B36">
              <w:rPr>
                <w:color w:val="000000"/>
                <w:sz w:val="24"/>
                <w:szCs w:val="24"/>
              </w:rPr>
              <w:t>-0.11</w:t>
            </w:r>
          </w:p>
        </w:tc>
        <w:tc>
          <w:tcPr>
            <w:tcW w:w="1547" w:type="dxa"/>
            <w:vAlign w:val="center"/>
          </w:tcPr>
          <w:p w14:paraId="0EE76043" w14:textId="77777777" w:rsidR="009A0A63" w:rsidRPr="00792B36" w:rsidRDefault="009A0A63" w:rsidP="00A24459">
            <w:pPr>
              <w:jc w:val="center"/>
              <w:rPr>
                <w:sz w:val="24"/>
                <w:szCs w:val="24"/>
              </w:rPr>
            </w:pPr>
            <w:r w:rsidRPr="00792B36">
              <w:rPr>
                <w:color w:val="000000"/>
                <w:sz w:val="24"/>
                <w:szCs w:val="24"/>
              </w:rPr>
              <w:t>0.37</w:t>
            </w:r>
          </w:p>
        </w:tc>
        <w:tc>
          <w:tcPr>
            <w:tcW w:w="1547" w:type="dxa"/>
            <w:vAlign w:val="center"/>
          </w:tcPr>
          <w:p w14:paraId="5D6497BF" w14:textId="77777777" w:rsidR="009A0A63" w:rsidRPr="00792B36" w:rsidRDefault="009A0A63" w:rsidP="00A24459">
            <w:pPr>
              <w:jc w:val="center"/>
              <w:rPr>
                <w:sz w:val="24"/>
                <w:szCs w:val="24"/>
              </w:rPr>
            </w:pPr>
            <w:r w:rsidRPr="00792B36">
              <w:rPr>
                <w:color w:val="000000"/>
                <w:sz w:val="24"/>
                <w:szCs w:val="24"/>
              </w:rPr>
              <w:t>0.52</w:t>
            </w:r>
          </w:p>
        </w:tc>
        <w:tc>
          <w:tcPr>
            <w:tcW w:w="1547" w:type="dxa"/>
            <w:vAlign w:val="center"/>
          </w:tcPr>
          <w:p w14:paraId="771E5712" w14:textId="77777777" w:rsidR="009A0A63" w:rsidRPr="00792B36" w:rsidRDefault="009A0A63" w:rsidP="00A24459">
            <w:pPr>
              <w:jc w:val="center"/>
              <w:rPr>
                <w:sz w:val="24"/>
                <w:szCs w:val="24"/>
              </w:rPr>
            </w:pPr>
            <w:r w:rsidRPr="00792B36">
              <w:rPr>
                <w:color w:val="000000"/>
                <w:sz w:val="24"/>
                <w:szCs w:val="24"/>
              </w:rPr>
              <w:t>0.13</w:t>
            </w:r>
          </w:p>
        </w:tc>
      </w:tr>
      <w:tr w:rsidR="009A0A63" w:rsidRPr="00792B36" w14:paraId="75051121" w14:textId="77777777" w:rsidTr="00A24459">
        <w:trPr>
          <w:trHeight w:hRule="exact" w:val="340"/>
        </w:trPr>
        <w:tc>
          <w:tcPr>
            <w:tcW w:w="2830" w:type="dxa"/>
            <w:vAlign w:val="center"/>
          </w:tcPr>
          <w:p w14:paraId="188D3843" w14:textId="77777777" w:rsidR="009A0A63" w:rsidRPr="00792B36" w:rsidRDefault="009A0A63" w:rsidP="00A24459">
            <w:pPr>
              <w:rPr>
                <w:sz w:val="24"/>
                <w:szCs w:val="24"/>
              </w:rPr>
            </w:pPr>
            <w:r w:rsidRPr="00792B36">
              <w:rPr>
                <w:color w:val="000000"/>
                <w:sz w:val="24"/>
                <w:szCs w:val="24"/>
              </w:rPr>
              <w:t>Prachuap Khiri Khan</w:t>
            </w:r>
          </w:p>
        </w:tc>
        <w:tc>
          <w:tcPr>
            <w:tcW w:w="1546" w:type="dxa"/>
            <w:vAlign w:val="center"/>
          </w:tcPr>
          <w:p w14:paraId="7CB4186F" w14:textId="77777777" w:rsidR="009A0A63" w:rsidRPr="00792B36" w:rsidRDefault="009A0A63" w:rsidP="00A24459">
            <w:pPr>
              <w:jc w:val="center"/>
              <w:rPr>
                <w:sz w:val="24"/>
                <w:szCs w:val="24"/>
              </w:rPr>
            </w:pPr>
            <w:r w:rsidRPr="00792B36">
              <w:rPr>
                <w:color w:val="000000"/>
                <w:sz w:val="24"/>
                <w:szCs w:val="24"/>
              </w:rPr>
              <w:t>0.27</w:t>
            </w:r>
          </w:p>
        </w:tc>
        <w:tc>
          <w:tcPr>
            <w:tcW w:w="1547" w:type="dxa"/>
            <w:vAlign w:val="center"/>
          </w:tcPr>
          <w:p w14:paraId="241A6013" w14:textId="77777777" w:rsidR="009A0A63" w:rsidRPr="00792B36" w:rsidRDefault="009A0A63" w:rsidP="00A24459">
            <w:pPr>
              <w:jc w:val="center"/>
              <w:rPr>
                <w:sz w:val="24"/>
                <w:szCs w:val="24"/>
              </w:rPr>
            </w:pPr>
            <w:r w:rsidRPr="00792B36">
              <w:rPr>
                <w:color w:val="000000"/>
                <w:sz w:val="24"/>
                <w:szCs w:val="24"/>
              </w:rPr>
              <w:t>0.76</w:t>
            </w:r>
          </w:p>
        </w:tc>
        <w:tc>
          <w:tcPr>
            <w:tcW w:w="1547" w:type="dxa"/>
            <w:vAlign w:val="center"/>
          </w:tcPr>
          <w:p w14:paraId="22E47539" w14:textId="77777777" w:rsidR="009A0A63" w:rsidRPr="00792B36" w:rsidRDefault="009A0A63" w:rsidP="00A24459">
            <w:pPr>
              <w:jc w:val="center"/>
              <w:rPr>
                <w:sz w:val="24"/>
                <w:szCs w:val="24"/>
              </w:rPr>
            </w:pPr>
            <w:r w:rsidRPr="00792B36">
              <w:rPr>
                <w:color w:val="000000"/>
                <w:sz w:val="24"/>
                <w:szCs w:val="24"/>
              </w:rPr>
              <w:t>0.84</w:t>
            </w:r>
          </w:p>
        </w:tc>
        <w:tc>
          <w:tcPr>
            <w:tcW w:w="1547" w:type="dxa"/>
            <w:vAlign w:val="center"/>
          </w:tcPr>
          <w:p w14:paraId="3171C7A7" w14:textId="77777777" w:rsidR="009A0A63" w:rsidRPr="00792B36" w:rsidRDefault="009A0A63" w:rsidP="00A24459">
            <w:pPr>
              <w:jc w:val="center"/>
              <w:rPr>
                <w:sz w:val="24"/>
                <w:szCs w:val="24"/>
              </w:rPr>
            </w:pPr>
            <w:r w:rsidRPr="00792B36">
              <w:rPr>
                <w:color w:val="000000"/>
                <w:sz w:val="24"/>
                <w:szCs w:val="24"/>
              </w:rPr>
              <w:t>0.50</w:t>
            </w:r>
          </w:p>
        </w:tc>
      </w:tr>
      <w:tr w:rsidR="009A0A63" w:rsidRPr="00792B36" w14:paraId="42AFB193" w14:textId="77777777" w:rsidTr="00A24459">
        <w:trPr>
          <w:trHeight w:hRule="exact" w:val="340"/>
        </w:trPr>
        <w:tc>
          <w:tcPr>
            <w:tcW w:w="2830" w:type="dxa"/>
            <w:vAlign w:val="center"/>
          </w:tcPr>
          <w:p w14:paraId="5E6F196B" w14:textId="77777777" w:rsidR="009A0A63" w:rsidRPr="00792B36" w:rsidRDefault="009A0A63" w:rsidP="00A24459">
            <w:pPr>
              <w:rPr>
                <w:sz w:val="24"/>
                <w:szCs w:val="24"/>
              </w:rPr>
            </w:pPr>
            <w:r w:rsidRPr="00792B36">
              <w:rPr>
                <w:color w:val="000000"/>
                <w:sz w:val="24"/>
                <w:szCs w:val="24"/>
              </w:rPr>
              <w:t>Nakhon Si Thammarat</w:t>
            </w:r>
          </w:p>
        </w:tc>
        <w:tc>
          <w:tcPr>
            <w:tcW w:w="1546" w:type="dxa"/>
            <w:vAlign w:val="center"/>
          </w:tcPr>
          <w:p w14:paraId="672F166E" w14:textId="77777777" w:rsidR="009A0A63" w:rsidRPr="00792B36" w:rsidRDefault="009A0A63" w:rsidP="00A24459">
            <w:pPr>
              <w:jc w:val="center"/>
              <w:rPr>
                <w:sz w:val="24"/>
                <w:szCs w:val="24"/>
              </w:rPr>
            </w:pPr>
            <w:r w:rsidRPr="00792B36">
              <w:rPr>
                <w:color w:val="000000"/>
                <w:sz w:val="24"/>
                <w:szCs w:val="24"/>
              </w:rPr>
              <w:t>-0.22</w:t>
            </w:r>
          </w:p>
        </w:tc>
        <w:tc>
          <w:tcPr>
            <w:tcW w:w="1547" w:type="dxa"/>
            <w:vAlign w:val="center"/>
          </w:tcPr>
          <w:p w14:paraId="147C5DC5" w14:textId="77777777" w:rsidR="009A0A63" w:rsidRPr="00792B36" w:rsidRDefault="009A0A63" w:rsidP="00A24459">
            <w:pPr>
              <w:jc w:val="center"/>
              <w:rPr>
                <w:sz w:val="24"/>
                <w:szCs w:val="24"/>
              </w:rPr>
            </w:pPr>
            <w:r w:rsidRPr="00792B36">
              <w:rPr>
                <w:color w:val="000000"/>
                <w:sz w:val="24"/>
                <w:szCs w:val="24"/>
              </w:rPr>
              <w:t>0.20</w:t>
            </w:r>
          </w:p>
        </w:tc>
        <w:tc>
          <w:tcPr>
            <w:tcW w:w="1547" w:type="dxa"/>
            <w:vAlign w:val="center"/>
          </w:tcPr>
          <w:p w14:paraId="0225FFF3" w14:textId="77777777" w:rsidR="009A0A63" w:rsidRPr="00792B36" w:rsidRDefault="009A0A63" w:rsidP="00A24459">
            <w:pPr>
              <w:jc w:val="center"/>
              <w:rPr>
                <w:sz w:val="24"/>
                <w:szCs w:val="24"/>
              </w:rPr>
            </w:pPr>
            <w:r w:rsidRPr="00792B36">
              <w:rPr>
                <w:color w:val="000000"/>
                <w:sz w:val="24"/>
                <w:szCs w:val="24"/>
              </w:rPr>
              <w:t>0.33</w:t>
            </w:r>
          </w:p>
        </w:tc>
        <w:tc>
          <w:tcPr>
            <w:tcW w:w="1547" w:type="dxa"/>
            <w:vAlign w:val="center"/>
          </w:tcPr>
          <w:p w14:paraId="06D8B54B" w14:textId="77777777" w:rsidR="009A0A63" w:rsidRPr="00792B36" w:rsidRDefault="009A0A63" w:rsidP="00A24459">
            <w:pPr>
              <w:jc w:val="center"/>
              <w:rPr>
                <w:sz w:val="24"/>
                <w:szCs w:val="24"/>
              </w:rPr>
            </w:pPr>
            <w:r w:rsidRPr="00792B36">
              <w:rPr>
                <w:color w:val="000000"/>
                <w:sz w:val="24"/>
                <w:szCs w:val="24"/>
              </w:rPr>
              <w:t>-0.02</w:t>
            </w:r>
          </w:p>
        </w:tc>
      </w:tr>
      <w:tr w:rsidR="009A0A63" w:rsidRPr="00792B36" w14:paraId="416E5627" w14:textId="77777777" w:rsidTr="00A24459">
        <w:trPr>
          <w:trHeight w:hRule="exact" w:val="340"/>
        </w:trPr>
        <w:tc>
          <w:tcPr>
            <w:tcW w:w="2830" w:type="dxa"/>
            <w:vAlign w:val="center"/>
          </w:tcPr>
          <w:p w14:paraId="693C2F21" w14:textId="77777777" w:rsidR="009A0A63" w:rsidRPr="00792B36" w:rsidRDefault="009A0A63" w:rsidP="00A24459">
            <w:pPr>
              <w:rPr>
                <w:sz w:val="24"/>
                <w:szCs w:val="24"/>
              </w:rPr>
            </w:pPr>
            <w:r w:rsidRPr="00792B36">
              <w:rPr>
                <w:color w:val="000000"/>
                <w:sz w:val="24"/>
                <w:szCs w:val="24"/>
              </w:rPr>
              <w:t>Surat-Thani</w:t>
            </w:r>
          </w:p>
        </w:tc>
        <w:tc>
          <w:tcPr>
            <w:tcW w:w="1546" w:type="dxa"/>
            <w:vAlign w:val="center"/>
          </w:tcPr>
          <w:p w14:paraId="44E8F4A2" w14:textId="77777777" w:rsidR="009A0A63" w:rsidRPr="00792B36" w:rsidRDefault="009A0A63" w:rsidP="00A24459">
            <w:pPr>
              <w:jc w:val="center"/>
              <w:rPr>
                <w:sz w:val="24"/>
                <w:szCs w:val="24"/>
              </w:rPr>
            </w:pPr>
            <w:r w:rsidRPr="00792B36">
              <w:rPr>
                <w:color w:val="000000"/>
                <w:sz w:val="24"/>
                <w:szCs w:val="24"/>
              </w:rPr>
              <w:t>1.00</w:t>
            </w:r>
          </w:p>
        </w:tc>
        <w:tc>
          <w:tcPr>
            <w:tcW w:w="1547" w:type="dxa"/>
            <w:vAlign w:val="center"/>
          </w:tcPr>
          <w:p w14:paraId="37FDB70E" w14:textId="77777777" w:rsidR="009A0A63" w:rsidRPr="00792B36" w:rsidRDefault="009A0A63" w:rsidP="00A24459">
            <w:pPr>
              <w:jc w:val="center"/>
              <w:rPr>
                <w:sz w:val="24"/>
                <w:szCs w:val="24"/>
              </w:rPr>
            </w:pPr>
            <w:r w:rsidRPr="00792B36">
              <w:rPr>
                <w:color w:val="000000"/>
                <w:sz w:val="24"/>
                <w:szCs w:val="24"/>
              </w:rPr>
              <w:t>0.93</w:t>
            </w:r>
          </w:p>
        </w:tc>
        <w:tc>
          <w:tcPr>
            <w:tcW w:w="1547" w:type="dxa"/>
            <w:vAlign w:val="center"/>
          </w:tcPr>
          <w:p w14:paraId="1B646383" w14:textId="77777777" w:rsidR="009A0A63" w:rsidRPr="00792B36" w:rsidRDefault="009A0A63" w:rsidP="00A24459">
            <w:pPr>
              <w:jc w:val="center"/>
              <w:rPr>
                <w:sz w:val="24"/>
                <w:szCs w:val="24"/>
              </w:rPr>
            </w:pPr>
            <w:r w:rsidRPr="00792B36">
              <w:rPr>
                <w:color w:val="000000"/>
                <w:sz w:val="24"/>
                <w:szCs w:val="24"/>
              </w:rPr>
              <w:t>0.77</w:t>
            </w:r>
          </w:p>
        </w:tc>
        <w:tc>
          <w:tcPr>
            <w:tcW w:w="1547" w:type="dxa"/>
            <w:vAlign w:val="center"/>
          </w:tcPr>
          <w:p w14:paraId="754A60BE" w14:textId="77777777" w:rsidR="009A0A63" w:rsidRPr="00792B36" w:rsidRDefault="009A0A63" w:rsidP="00A24459">
            <w:pPr>
              <w:jc w:val="center"/>
              <w:rPr>
                <w:sz w:val="24"/>
                <w:szCs w:val="24"/>
              </w:rPr>
            </w:pPr>
            <w:r w:rsidRPr="00792B36">
              <w:rPr>
                <w:color w:val="000000"/>
                <w:sz w:val="24"/>
                <w:szCs w:val="24"/>
              </w:rPr>
              <w:t>0.33</w:t>
            </w:r>
          </w:p>
        </w:tc>
      </w:tr>
      <w:tr w:rsidR="009A0A63" w:rsidRPr="00792B36" w14:paraId="14E81894" w14:textId="77777777" w:rsidTr="00A24459">
        <w:trPr>
          <w:trHeight w:hRule="exact" w:val="340"/>
        </w:trPr>
        <w:tc>
          <w:tcPr>
            <w:tcW w:w="2830" w:type="dxa"/>
            <w:vAlign w:val="center"/>
          </w:tcPr>
          <w:p w14:paraId="40EBFD0B" w14:textId="77777777" w:rsidR="009A0A63" w:rsidRPr="00792B36" w:rsidRDefault="009A0A63" w:rsidP="00A24459">
            <w:pPr>
              <w:rPr>
                <w:sz w:val="24"/>
                <w:szCs w:val="24"/>
              </w:rPr>
            </w:pPr>
            <w:r w:rsidRPr="00792B36">
              <w:rPr>
                <w:color w:val="000000"/>
                <w:sz w:val="24"/>
                <w:szCs w:val="24"/>
              </w:rPr>
              <w:t>Chumphon</w:t>
            </w:r>
          </w:p>
        </w:tc>
        <w:tc>
          <w:tcPr>
            <w:tcW w:w="1546" w:type="dxa"/>
            <w:vAlign w:val="center"/>
          </w:tcPr>
          <w:p w14:paraId="385777E6" w14:textId="77777777" w:rsidR="009A0A63" w:rsidRPr="00792B36" w:rsidRDefault="009A0A63" w:rsidP="00A24459">
            <w:pPr>
              <w:jc w:val="center"/>
              <w:rPr>
                <w:sz w:val="24"/>
                <w:szCs w:val="24"/>
              </w:rPr>
            </w:pPr>
            <w:r w:rsidRPr="00792B36">
              <w:rPr>
                <w:color w:val="000000"/>
                <w:sz w:val="24"/>
                <w:szCs w:val="24"/>
              </w:rPr>
              <w:t>0.44</w:t>
            </w:r>
          </w:p>
        </w:tc>
        <w:tc>
          <w:tcPr>
            <w:tcW w:w="1547" w:type="dxa"/>
            <w:vAlign w:val="center"/>
          </w:tcPr>
          <w:p w14:paraId="0E9F716C" w14:textId="77777777" w:rsidR="009A0A63" w:rsidRPr="00792B36" w:rsidRDefault="009A0A63" w:rsidP="00A24459">
            <w:pPr>
              <w:jc w:val="center"/>
              <w:rPr>
                <w:sz w:val="24"/>
                <w:szCs w:val="24"/>
              </w:rPr>
            </w:pPr>
            <w:r w:rsidRPr="00792B36">
              <w:rPr>
                <w:color w:val="000000"/>
                <w:sz w:val="24"/>
                <w:szCs w:val="24"/>
              </w:rPr>
              <w:t>0.50</w:t>
            </w:r>
          </w:p>
        </w:tc>
        <w:tc>
          <w:tcPr>
            <w:tcW w:w="1547" w:type="dxa"/>
            <w:vAlign w:val="center"/>
          </w:tcPr>
          <w:p w14:paraId="15CEFEEC" w14:textId="77777777" w:rsidR="009A0A63" w:rsidRPr="00792B36" w:rsidRDefault="009A0A63" w:rsidP="00A24459">
            <w:pPr>
              <w:jc w:val="center"/>
              <w:rPr>
                <w:sz w:val="24"/>
                <w:szCs w:val="24"/>
              </w:rPr>
            </w:pPr>
            <w:r w:rsidRPr="00792B36">
              <w:rPr>
                <w:color w:val="000000"/>
                <w:sz w:val="24"/>
                <w:szCs w:val="24"/>
              </w:rPr>
              <w:t>0.54</w:t>
            </w:r>
          </w:p>
        </w:tc>
        <w:tc>
          <w:tcPr>
            <w:tcW w:w="1547" w:type="dxa"/>
            <w:vAlign w:val="center"/>
          </w:tcPr>
          <w:p w14:paraId="41167089" w14:textId="77777777" w:rsidR="009A0A63" w:rsidRPr="00792B36" w:rsidRDefault="009A0A63" w:rsidP="00A24459">
            <w:pPr>
              <w:jc w:val="center"/>
              <w:rPr>
                <w:sz w:val="24"/>
                <w:szCs w:val="24"/>
              </w:rPr>
            </w:pPr>
            <w:r w:rsidRPr="00792B36">
              <w:rPr>
                <w:color w:val="000000"/>
                <w:sz w:val="24"/>
                <w:szCs w:val="24"/>
              </w:rPr>
              <w:t>0.11</w:t>
            </w:r>
          </w:p>
        </w:tc>
      </w:tr>
      <w:tr w:rsidR="009A0A63" w:rsidRPr="00792B36" w14:paraId="71614ED7" w14:textId="77777777" w:rsidTr="00A24459">
        <w:trPr>
          <w:trHeight w:hRule="exact" w:val="340"/>
        </w:trPr>
        <w:tc>
          <w:tcPr>
            <w:tcW w:w="2830" w:type="dxa"/>
            <w:vAlign w:val="center"/>
          </w:tcPr>
          <w:p w14:paraId="2703B351" w14:textId="77777777" w:rsidR="009A0A63" w:rsidRPr="00792B36" w:rsidRDefault="009A0A63" w:rsidP="00A24459">
            <w:pPr>
              <w:rPr>
                <w:sz w:val="24"/>
                <w:szCs w:val="24"/>
              </w:rPr>
            </w:pPr>
            <w:r w:rsidRPr="00792B36">
              <w:rPr>
                <w:color w:val="000000"/>
                <w:sz w:val="24"/>
                <w:szCs w:val="24"/>
              </w:rPr>
              <w:t>Songkhla</w:t>
            </w:r>
          </w:p>
        </w:tc>
        <w:tc>
          <w:tcPr>
            <w:tcW w:w="1546" w:type="dxa"/>
            <w:vAlign w:val="center"/>
          </w:tcPr>
          <w:p w14:paraId="54030430" w14:textId="77777777" w:rsidR="009A0A63" w:rsidRPr="00792B36" w:rsidRDefault="009A0A63" w:rsidP="00A24459">
            <w:pPr>
              <w:jc w:val="center"/>
              <w:rPr>
                <w:sz w:val="24"/>
                <w:szCs w:val="24"/>
              </w:rPr>
            </w:pPr>
            <w:r w:rsidRPr="00792B36">
              <w:rPr>
                <w:color w:val="000000"/>
                <w:sz w:val="24"/>
                <w:szCs w:val="24"/>
              </w:rPr>
              <w:t>0.94</w:t>
            </w:r>
          </w:p>
        </w:tc>
        <w:tc>
          <w:tcPr>
            <w:tcW w:w="1547" w:type="dxa"/>
            <w:vAlign w:val="center"/>
          </w:tcPr>
          <w:p w14:paraId="12C49682" w14:textId="77777777" w:rsidR="009A0A63" w:rsidRPr="00792B36" w:rsidRDefault="009A0A63" w:rsidP="00A24459">
            <w:pPr>
              <w:jc w:val="center"/>
              <w:rPr>
                <w:sz w:val="24"/>
                <w:szCs w:val="24"/>
              </w:rPr>
            </w:pPr>
            <w:r w:rsidRPr="00792B36">
              <w:rPr>
                <w:color w:val="000000"/>
                <w:sz w:val="24"/>
                <w:szCs w:val="24"/>
              </w:rPr>
              <w:t>0.70</w:t>
            </w:r>
          </w:p>
        </w:tc>
        <w:tc>
          <w:tcPr>
            <w:tcW w:w="1547" w:type="dxa"/>
            <w:vAlign w:val="center"/>
          </w:tcPr>
          <w:p w14:paraId="1ACEB060" w14:textId="77777777" w:rsidR="009A0A63" w:rsidRPr="00792B36" w:rsidRDefault="009A0A63" w:rsidP="00A24459">
            <w:pPr>
              <w:jc w:val="center"/>
              <w:rPr>
                <w:sz w:val="24"/>
                <w:szCs w:val="24"/>
              </w:rPr>
            </w:pPr>
            <w:r w:rsidRPr="00792B36">
              <w:rPr>
                <w:color w:val="000000"/>
                <w:sz w:val="24"/>
                <w:szCs w:val="24"/>
              </w:rPr>
              <w:t>0.66</w:t>
            </w:r>
          </w:p>
        </w:tc>
        <w:tc>
          <w:tcPr>
            <w:tcW w:w="1547" w:type="dxa"/>
            <w:vAlign w:val="center"/>
          </w:tcPr>
          <w:p w14:paraId="065120BB" w14:textId="77777777" w:rsidR="009A0A63" w:rsidRPr="00792B36" w:rsidRDefault="009A0A63" w:rsidP="00A24459">
            <w:pPr>
              <w:jc w:val="center"/>
              <w:rPr>
                <w:sz w:val="24"/>
                <w:szCs w:val="24"/>
              </w:rPr>
            </w:pPr>
            <w:r w:rsidRPr="00792B36">
              <w:rPr>
                <w:color w:val="000000"/>
                <w:sz w:val="24"/>
                <w:szCs w:val="24"/>
              </w:rPr>
              <w:t>0.21</w:t>
            </w:r>
          </w:p>
        </w:tc>
      </w:tr>
      <w:tr w:rsidR="009A0A63" w:rsidRPr="00792B36" w14:paraId="32BA1517" w14:textId="77777777" w:rsidTr="00A24459">
        <w:trPr>
          <w:trHeight w:hRule="exact" w:val="340"/>
        </w:trPr>
        <w:tc>
          <w:tcPr>
            <w:tcW w:w="2830" w:type="dxa"/>
            <w:vAlign w:val="center"/>
          </w:tcPr>
          <w:p w14:paraId="3D1A950D" w14:textId="77777777" w:rsidR="009A0A63" w:rsidRPr="00792B36" w:rsidRDefault="009A0A63" w:rsidP="00A24459">
            <w:pPr>
              <w:rPr>
                <w:sz w:val="24"/>
                <w:szCs w:val="24"/>
              </w:rPr>
            </w:pPr>
            <w:r w:rsidRPr="00792B36">
              <w:rPr>
                <w:color w:val="000000"/>
                <w:sz w:val="24"/>
                <w:szCs w:val="24"/>
              </w:rPr>
              <w:t>Pattani</w:t>
            </w:r>
          </w:p>
        </w:tc>
        <w:tc>
          <w:tcPr>
            <w:tcW w:w="1546" w:type="dxa"/>
            <w:vAlign w:val="center"/>
          </w:tcPr>
          <w:p w14:paraId="3FD4F2CF" w14:textId="77777777" w:rsidR="009A0A63" w:rsidRPr="00792B36" w:rsidRDefault="009A0A63" w:rsidP="00A24459">
            <w:pPr>
              <w:jc w:val="center"/>
              <w:rPr>
                <w:sz w:val="24"/>
                <w:szCs w:val="24"/>
              </w:rPr>
            </w:pPr>
            <w:r w:rsidRPr="00792B36">
              <w:rPr>
                <w:color w:val="000000"/>
                <w:sz w:val="24"/>
                <w:szCs w:val="24"/>
              </w:rPr>
              <w:t>0.61</w:t>
            </w:r>
          </w:p>
        </w:tc>
        <w:tc>
          <w:tcPr>
            <w:tcW w:w="1547" w:type="dxa"/>
            <w:vAlign w:val="center"/>
          </w:tcPr>
          <w:p w14:paraId="6773B5EE" w14:textId="77777777" w:rsidR="009A0A63" w:rsidRPr="00792B36" w:rsidRDefault="009A0A63" w:rsidP="00A24459">
            <w:pPr>
              <w:jc w:val="center"/>
              <w:rPr>
                <w:sz w:val="24"/>
                <w:szCs w:val="24"/>
              </w:rPr>
            </w:pPr>
            <w:r w:rsidRPr="00792B36">
              <w:rPr>
                <w:color w:val="000000"/>
                <w:sz w:val="24"/>
                <w:szCs w:val="24"/>
              </w:rPr>
              <w:t>0.55</w:t>
            </w:r>
          </w:p>
        </w:tc>
        <w:tc>
          <w:tcPr>
            <w:tcW w:w="1547" w:type="dxa"/>
            <w:vAlign w:val="center"/>
          </w:tcPr>
          <w:p w14:paraId="5D175748" w14:textId="77777777" w:rsidR="009A0A63" w:rsidRPr="00792B36" w:rsidRDefault="009A0A63" w:rsidP="00A24459">
            <w:pPr>
              <w:jc w:val="center"/>
              <w:rPr>
                <w:sz w:val="24"/>
                <w:szCs w:val="24"/>
              </w:rPr>
            </w:pPr>
            <w:r w:rsidRPr="00792B36">
              <w:rPr>
                <w:color w:val="000000"/>
                <w:sz w:val="24"/>
                <w:szCs w:val="24"/>
              </w:rPr>
              <w:t>0.99</w:t>
            </w:r>
          </w:p>
        </w:tc>
        <w:tc>
          <w:tcPr>
            <w:tcW w:w="1547" w:type="dxa"/>
            <w:vAlign w:val="center"/>
          </w:tcPr>
          <w:p w14:paraId="637C4D9B" w14:textId="77777777" w:rsidR="009A0A63" w:rsidRPr="00792B36" w:rsidRDefault="009A0A63" w:rsidP="00A24459">
            <w:pPr>
              <w:jc w:val="center"/>
              <w:rPr>
                <w:sz w:val="24"/>
                <w:szCs w:val="24"/>
              </w:rPr>
            </w:pPr>
            <w:r w:rsidRPr="00792B36">
              <w:rPr>
                <w:color w:val="000000"/>
                <w:sz w:val="24"/>
                <w:szCs w:val="24"/>
              </w:rPr>
              <w:t>0.77</w:t>
            </w:r>
          </w:p>
        </w:tc>
      </w:tr>
      <w:tr w:rsidR="009A0A63" w:rsidRPr="00792B36" w14:paraId="5E02C154" w14:textId="77777777" w:rsidTr="00A24459">
        <w:trPr>
          <w:trHeight w:hRule="exact" w:val="340"/>
        </w:trPr>
        <w:tc>
          <w:tcPr>
            <w:tcW w:w="2830" w:type="dxa"/>
            <w:vAlign w:val="center"/>
          </w:tcPr>
          <w:p w14:paraId="27C7EEC5" w14:textId="77777777" w:rsidR="009A0A63" w:rsidRPr="00792B36" w:rsidRDefault="009A0A63" w:rsidP="00A24459">
            <w:pPr>
              <w:rPr>
                <w:sz w:val="24"/>
                <w:szCs w:val="24"/>
              </w:rPr>
            </w:pPr>
            <w:r w:rsidRPr="00792B36">
              <w:rPr>
                <w:color w:val="000000"/>
                <w:sz w:val="24"/>
                <w:szCs w:val="24"/>
              </w:rPr>
              <w:t>Narathiwat</w:t>
            </w:r>
          </w:p>
        </w:tc>
        <w:tc>
          <w:tcPr>
            <w:tcW w:w="1546" w:type="dxa"/>
            <w:vAlign w:val="center"/>
          </w:tcPr>
          <w:p w14:paraId="3C1FC61F" w14:textId="77777777" w:rsidR="009A0A63" w:rsidRPr="00792B36" w:rsidRDefault="009A0A63" w:rsidP="00A24459">
            <w:pPr>
              <w:jc w:val="center"/>
              <w:rPr>
                <w:sz w:val="24"/>
                <w:szCs w:val="24"/>
              </w:rPr>
            </w:pPr>
            <w:r w:rsidRPr="00792B36">
              <w:rPr>
                <w:color w:val="000000"/>
                <w:sz w:val="24"/>
                <w:szCs w:val="24"/>
              </w:rPr>
              <w:t>0.52</w:t>
            </w:r>
          </w:p>
        </w:tc>
        <w:tc>
          <w:tcPr>
            <w:tcW w:w="1547" w:type="dxa"/>
            <w:vAlign w:val="center"/>
          </w:tcPr>
          <w:p w14:paraId="2A0062D6" w14:textId="77777777" w:rsidR="009A0A63" w:rsidRPr="00792B36" w:rsidRDefault="009A0A63" w:rsidP="00A24459">
            <w:pPr>
              <w:jc w:val="center"/>
              <w:rPr>
                <w:sz w:val="24"/>
                <w:szCs w:val="24"/>
              </w:rPr>
            </w:pPr>
            <w:r w:rsidRPr="00792B36">
              <w:rPr>
                <w:color w:val="000000"/>
                <w:sz w:val="24"/>
                <w:szCs w:val="24"/>
              </w:rPr>
              <w:t>0.87</w:t>
            </w:r>
          </w:p>
        </w:tc>
        <w:tc>
          <w:tcPr>
            <w:tcW w:w="1547" w:type="dxa"/>
            <w:vAlign w:val="center"/>
          </w:tcPr>
          <w:p w14:paraId="6BDC81D5" w14:textId="77777777" w:rsidR="009A0A63" w:rsidRPr="00792B36" w:rsidRDefault="009A0A63" w:rsidP="00A24459">
            <w:pPr>
              <w:jc w:val="center"/>
              <w:rPr>
                <w:sz w:val="24"/>
                <w:szCs w:val="24"/>
              </w:rPr>
            </w:pPr>
            <w:r w:rsidRPr="00792B36">
              <w:rPr>
                <w:color w:val="000000"/>
                <w:sz w:val="24"/>
                <w:szCs w:val="24"/>
              </w:rPr>
              <w:t>1.04</w:t>
            </w:r>
          </w:p>
        </w:tc>
        <w:tc>
          <w:tcPr>
            <w:tcW w:w="1547" w:type="dxa"/>
            <w:vAlign w:val="center"/>
          </w:tcPr>
          <w:p w14:paraId="056DBD45" w14:textId="77777777" w:rsidR="009A0A63" w:rsidRPr="00792B36" w:rsidRDefault="009A0A63" w:rsidP="00A24459">
            <w:pPr>
              <w:jc w:val="center"/>
              <w:rPr>
                <w:sz w:val="24"/>
                <w:szCs w:val="24"/>
              </w:rPr>
            </w:pPr>
            <w:r w:rsidRPr="00792B36">
              <w:rPr>
                <w:color w:val="000000"/>
                <w:sz w:val="24"/>
                <w:szCs w:val="24"/>
              </w:rPr>
              <w:t>0.45</w:t>
            </w:r>
          </w:p>
        </w:tc>
      </w:tr>
      <w:tr w:rsidR="009A0A63" w:rsidRPr="00792B36" w14:paraId="0E189D3E" w14:textId="77777777" w:rsidTr="00A24459">
        <w:trPr>
          <w:trHeight w:hRule="exact" w:val="340"/>
        </w:trPr>
        <w:tc>
          <w:tcPr>
            <w:tcW w:w="2830" w:type="dxa"/>
            <w:vAlign w:val="center"/>
          </w:tcPr>
          <w:p w14:paraId="2ABF9560" w14:textId="77777777" w:rsidR="009A0A63" w:rsidRPr="00792B36" w:rsidRDefault="009A0A63" w:rsidP="00A24459">
            <w:pPr>
              <w:rPr>
                <w:sz w:val="24"/>
                <w:szCs w:val="24"/>
              </w:rPr>
            </w:pPr>
            <w:r w:rsidRPr="00792B36">
              <w:rPr>
                <w:color w:val="000000"/>
                <w:sz w:val="24"/>
                <w:szCs w:val="24"/>
              </w:rPr>
              <w:t>Bangkok</w:t>
            </w:r>
          </w:p>
        </w:tc>
        <w:tc>
          <w:tcPr>
            <w:tcW w:w="1546" w:type="dxa"/>
            <w:vAlign w:val="center"/>
          </w:tcPr>
          <w:p w14:paraId="12D23FE5" w14:textId="77777777" w:rsidR="009A0A63" w:rsidRPr="00792B36" w:rsidRDefault="009A0A63" w:rsidP="00A24459">
            <w:pPr>
              <w:jc w:val="center"/>
              <w:rPr>
                <w:sz w:val="24"/>
                <w:szCs w:val="24"/>
              </w:rPr>
            </w:pPr>
            <w:r w:rsidRPr="00792B36">
              <w:rPr>
                <w:color w:val="000000"/>
                <w:sz w:val="24"/>
                <w:szCs w:val="24"/>
              </w:rPr>
              <w:t>-0.06</w:t>
            </w:r>
          </w:p>
        </w:tc>
        <w:tc>
          <w:tcPr>
            <w:tcW w:w="1547" w:type="dxa"/>
            <w:vAlign w:val="center"/>
          </w:tcPr>
          <w:p w14:paraId="26E9FAA0" w14:textId="77777777" w:rsidR="009A0A63" w:rsidRPr="00792B36" w:rsidRDefault="009A0A63" w:rsidP="00A24459">
            <w:pPr>
              <w:jc w:val="center"/>
              <w:rPr>
                <w:sz w:val="24"/>
                <w:szCs w:val="24"/>
              </w:rPr>
            </w:pPr>
            <w:r w:rsidRPr="00792B36">
              <w:rPr>
                <w:color w:val="000000"/>
                <w:sz w:val="24"/>
                <w:szCs w:val="24"/>
              </w:rPr>
              <w:t>0.12</w:t>
            </w:r>
          </w:p>
        </w:tc>
        <w:tc>
          <w:tcPr>
            <w:tcW w:w="1547" w:type="dxa"/>
            <w:vAlign w:val="center"/>
          </w:tcPr>
          <w:p w14:paraId="79409C12" w14:textId="77777777" w:rsidR="009A0A63" w:rsidRPr="00792B36" w:rsidRDefault="009A0A63" w:rsidP="00A24459">
            <w:pPr>
              <w:jc w:val="center"/>
              <w:rPr>
                <w:sz w:val="24"/>
                <w:szCs w:val="24"/>
              </w:rPr>
            </w:pPr>
            <w:r w:rsidRPr="00792B36">
              <w:rPr>
                <w:color w:val="000000"/>
                <w:sz w:val="24"/>
                <w:szCs w:val="24"/>
              </w:rPr>
              <w:t>-0.01</w:t>
            </w:r>
          </w:p>
        </w:tc>
        <w:tc>
          <w:tcPr>
            <w:tcW w:w="1547" w:type="dxa"/>
            <w:vAlign w:val="center"/>
          </w:tcPr>
          <w:p w14:paraId="3EB05779" w14:textId="77777777" w:rsidR="009A0A63" w:rsidRPr="00792B36" w:rsidRDefault="009A0A63" w:rsidP="00A24459">
            <w:pPr>
              <w:jc w:val="center"/>
              <w:rPr>
                <w:sz w:val="24"/>
                <w:szCs w:val="24"/>
              </w:rPr>
            </w:pPr>
            <w:r w:rsidRPr="00792B36">
              <w:rPr>
                <w:color w:val="000000"/>
                <w:sz w:val="24"/>
                <w:szCs w:val="24"/>
              </w:rPr>
              <w:t>-0.32</w:t>
            </w:r>
          </w:p>
        </w:tc>
      </w:tr>
    </w:tbl>
    <w:p w14:paraId="615516A8" w14:textId="77777777" w:rsidR="009A0A63" w:rsidRPr="00792B36" w:rsidRDefault="009A0A63" w:rsidP="009A0A63">
      <w:pPr>
        <w:spacing w:line="360" w:lineRule="auto"/>
        <w:rPr>
          <w:sz w:val="24"/>
          <w:szCs w:val="24"/>
        </w:rPr>
      </w:pPr>
      <w:r w:rsidRPr="00792B36">
        <w:rPr>
          <w:sz w:val="24"/>
          <w:szCs w:val="24"/>
        </w:rPr>
        <w:t xml:space="preserve">Source: Author’s calculation based on data from Department of Provincial Administration. 2025. Official statistics registration systems. </w:t>
      </w:r>
      <w:r w:rsidRPr="00792B36">
        <w:rPr>
          <w:sz w:val="24"/>
          <w:szCs w:val="24"/>
        </w:rPr>
        <w:fldChar w:fldCharType="begin"/>
      </w:r>
      <w:r w:rsidRPr="00792B36">
        <w:rPr>
          <w:sz w:val="24"/>
          <w:szCs w:val="24"/>
        </w:rPr>
        <w:instrText>HYPERLINK "https://stat.bora.dopa.go.th/stat/statnew/statMenu/newStat/home.php"</w:instrText>
      </w:r>
      <w:r w:rsidRPr="00792B36">
        <w:rPr>
          <w:sz w:val="24"/>
          <w:szCs w:val="24"/>
        </w:rPr>
      </w:r>
      <w:r w:rsidRPr="00792B36">
        <w:rPr>
          <w:sz w:val="24"/>
          <w:szCs w:val="24"/>
        </w:rPr>
        <w:fldChar w:fldCharType="separate"/>
      </w:r>
      <w:r w:rsidRPr="00792B36">
        <w:rPr>
          <w:rStyle w:val="Hyperlink"/>
          <w:sz w:val="24"/>
          <w:szCs w:val="24"/>
        </w:rPr>
        <w:t>https://stat.bora.dopa.go.th/stat/statnew/statMenu/newStat/home.php</w:t>
      </w:r>
      <w:r w:rsidRPr="00792B36">
        <w:rPr>
          <w:sz w:val="24"/>
          <w:szCs w:val="24"/>
        </w:rPr>
        <w:fldChar w:fldCharType="end"/>
      </w:r>
      <w:r w:rsidRPr="00792B36">
        <w:rPr>
          <w:sz w:val="24"/>
          <w:szCs w:val="24"/>
        </w:rPr>
        <w:t xml:space="preserve">  (accessed 19 April 2025)</w:t>
      </w:r>
    </w:p>
    <w:p w14:paraId="185321A5" w14:textId="77777777" w:rsidR="009A0A63" w:rsidRPr="00792B36" w:rsidRDefault="009A0A63" w:rsidP="009A0A63">
      <w:pPr>
        <w:spacing w:line="360" w:lineRule="auto"/>
        <w:rPr>
          <w:sz w:val="24"/>
          <w:szCs w:val="24"/>
        </w:rPr>
      </w:pPr>
    </w:p>
    <w:p w14:paraId="483E7F06" w14:textId="77777777" w:rsidR="009A0A63" w:rsidRPr="00792B36" w:rsidRDefault="009A0A63" w:rsidP="009A0A63">
      <w:pPr>
        <w:spacing w:line="360" w:lineRule="auto"/>
        <w:rPr>
          <w:sz w:val="24"/>
          <w:szCs w:val="24"/>
        </w:rPr>
      </w:pPr>
    </w:p>
    <w:p w14:paraId="209BD8FB" w14:textId="77777777" w:rsidR="009A0A63" w:rsidRPr="00792B36" w:rsidRDefault="009A0A63" w:rsidP="009A0A63">
      <w:pPr>
        <w:spacing w:line="360" w:lineRule="auto"/>
        <w:rPr>
          <w:sz w:val="24"/>
          <w:szCs w:val="24"/>
        </w:rPr>
      </w:pPr>
    </w:p>
    <w:p w14:paraId="15DFD9D2" w14:textId="77777777" w:rsidR="009A0A63" w:rsidRPr="00792B36" w:rsidRDefault="009A0A63" w:rsidP="009A0A63">
      <w:pPr>
        <w:spacing w:line="360" w:lineRule="auto"/>
        <w:rPr>
          <w:sz w:val="24"/>
          <w:szCs w:val="24"/>
        </w:rPr>
      </w:pPr>
    </w:p>
    <w:p w14:paraId="47B40F73" w14:textId="77777777" w:rsidR="009A0A63" w:rsidRPr="00792B36" w:rsidRDefault="009A0A63" w:rsidP="009A0A63">
      <w:pPr>
        <w:spacing w:line="360" w:lineRule="auto"/>
        <w:rPr>
          <w:sz w:val="24"/>
          <w:szCs w:val="24"/>
        </w:rPr>
      </w:pPr>
    </w:p>
    <w:p w14:paraId="61C19786" w14:textId="77777777" w:rsidR="009A0A63" w:rsidRPr="00792B36" w:rsidRDefault="009A0A63" w:rsidP="009A0A63">
      <w:pPr>
        <w:spacing w:line="360" w:lineRule="auto"/>
        <w:rPr>
          <w:sz w:val="24"/>
          <w:szCs w:val="24"/>
        </w:rPr>
      </w:pPr>
    </w:p>
    <w:p w14:paraId="5ADEED55" w14:textId="77777777" w:rsidR="009A0A63" w:rsidRPr="00792B36" w:rsidRDefault="009A0A63" w:rsidP="009A0A63">
      <w:pPr>
        <w:spacing w:line="360" w:lineRule="auto"/>
        <w:rPr>
          <w:sz w:val="24"/>
          <w:szCs w:val="24"/>
        </w:rPr>
      </w:pPr>
    </w:p>
    <w:p w14:paraId="3543C72C" w14:textId="77777777" w:rsidR="009A0A63" w:rsidRPr="00792B36" w:rsidRDefault="009A0A63" w:rsidP="009A0A63">
      <w:pPr>
        <w:spacing w:line="360" w:lineRule="auto"/>
        <w:rPr>
          <w:sz w:val="24"/>
          <w:szCs w:val="24"/>
        </w:rPr>
      </w:pPr>
    </w:p>
    <w:p w14:paraId="043CAF0A" w14:textId="77777777" w:rsidR="009A0A63" w:rsidRPr="00792B36" w:rsidRDefault="009A0A63" w:rsidP="009A0A63">
      <w:pPr>
        <w:spacing w:line="360" w:lineRule="auto"/>
        <w:rPr>
          <w:sz w:val="24"/>
          <w:szCs w:val="24"/>
        </w:rPr>
      </w:pPr>
    </w:p>
    <w:p w14:paraId="2713D41F" w14:textId="77777777" w:rsidR="009A0A63" w:rsidRPr="00792B36" w:rsidRDefault="009A0A63" w:rsidP="009A0A63">
      <w:pPr>
        <w:spacing w:line="360" w:lineRule="auto"/>
        <w:rPr>
          <w:sz w:val="24"/>
          <w:szCs w:val="24"/>
        </w:rPr>
      </w:pPr>
    </w:p>
    <w:p w14:paraId="3EBD79A9" w14:textId="77777777" w:rsidR="009A0A63" w:rsidRPr="00792B36" w:rsidRDefault="009A0A63" w:rsidP="009A0A63">
      <w:pPr>
        <w:spacing w:line="360" w:lineRule="auto"/>
        <w:rPr>
          <w:sz w:val="24"/>
          <w:szCs w:val="24"/>
        </w:rPr>
      </w:pPr>
    </w:p>
    <w:p w14:paraId="05F11E6B" w14:textId="77777777" w:rsidR="009A0A63" w:rsidRPr="00792B36" w:rsidRDefault="009A0A63" w:rsidP="009A0A63">
      <w:pPr>
        <w:spacing w:line="360" w:lineRule="auto"/>
        <w:rPr>
          <w:sz w:val="24"/>
          <w:szCs w:val="24"/>
        </w:rPr>
      </w:pPr>
      <w:r w:rsidRPr="00792B36">
        <w:rPr>
          <w:b/>
          <w:bCs/>
          <w:sz w:val="24"/>
          <w:szCs w:val="24"/>
        </w:rPr>
        <w:lastRenderedPageBreak/>
        <w:t xml:space="preserve">Annex 2.5 </w:t>
      </w:r>
      <w:r w:rsidRPr="00792B36">
        <w:rPr>
          <w:color w:val="000000" w:themeColor="text1"/>
          <w:sz w:val="24"/>
          <w:szCs w:val="24"/>
        </w:rPr>
        <w:t>Provincial share of coastal population (%) along the Gulf of Thailand (2000, 2005, 2010, 2020)</w:t>
      </w:r>
    </w:p>
    <w:tbl>
      <w:tblPr>
        <w:tblStyle w:val="TableGrid"/>
        <w:tblW w:w="0" w:type="auto"/>
        <w:tblLook w:val="04A0" w:firstRow="1" w:lastRow="0" w:firstColumn="1" w:lastColumn="0" w:noHBand="0" w:noVBand="1"/>
      </w:tblPr>
      <w:tblGrid>
        <w:gridCol w:w="2830"/>
        <w:gridCol w:w="1546"/>
        <w:gridCol w:w="1547"/>
        <w:gridCol w:w="1547"/>
        <w:gridCol w:w="1547"/>
      </w:tblGrid>
      <w:tr w:rsidR="009A0A63" w:rsidRPr="00792B36" w14:paraId="4039D83A" w14:textId="77777777" w:rsidTr="00A24459">
        <w:trPr>
          <w:trHeight w:hRule="exact" w:val="340"/>
        </w:trPr>
        <w:tc>
          <w:tcPr>
            <w:tcW w:w="2830" w:type="dxa"/>
            <w:vAlign w:val="center"/>
          </w:tcPr>
          <w:p w14:paraId="0E289011" w14:textId="77777777" w:rsidR="009A0A63" w:rsidRPr="00792B36" w:rsidRDefault="009A0A63" w:rsidP="00A24459">
            <w:pPr>
              <w:jc w:val="center"/>
              <w:rPr>
                <w:b/>
                <w:bCs/>
                <w:sz w:val="24"/>
                <w:szCs w:val="24"/>
              </w:rPr>
            </w:pPr>
            <w:r w:rsidRPr="00792B36">
              <w:rPr>
                <w:b/>
                <w:bCs/>
                <w:color w:val="000000"/>
                <w:sz w:val="24"/>
                <w:szCs w:val="24"/>
              </w:rPr>
              <w:t>Provinces</w:t>
            </w:r>
          </w:p>
        </w:tc>
        <w:tc>
          <w:tcPr>
            <w:tcW w:w="1546" w:type="dxa"/>
            <w:vAlign w:val="center"/>
          </w:tcPr>
          <w:p w14:paraId="452BA18F" w14:textId="77777777" w:rsidR="009A0A63" w:rsidRPr="00792B36" w:rsidRDefault="009A0A63" w:rsidP="00A24459">
            <w:pPr>
              <w:jc w:val="center"/>
              <w:rPr>
                <w:b/>
                <w:bCs/>
                <w:sz w:val="24"/>
                <w:szCs w:val="24"/>
              </w:rPr>
            </w:pPr>
            <w:r w:rsidRPr="00792B36">
              <w:rPr>
                <w:b/>
                <w:bCs/>
                <w:color w:val="000000"/>
                <w:sz w:val="24"/>
                <w:szCs w:val="24"/>
              </w:rPr>
              <w:t>2000</w:t>
            </w:r>
          </w:p>
        </w:tc>
        <w:tc>
          <w:tcPr>
            <w:tcW w:w="1547" w:type="dxa"/>
            <w:vAlign w:val="center"/>
          </w:tcPr>
          <w:p w14:paraId="35E1CC6F" w14:textId="77777777" w:rsidR="009A0A63" w:rsidRPr="00792B36" w:rsidRDefault="009A0A63" w:rsidP="00A24459">
            <w:pPr>
              <w:jc w:val="center"/>
              <w:rPr>
                <w:b/>
                <w:bCs/>
                <w:sz w:val="24"/>
                <w:szCs w:val="24"/>
              </w:rPr>
            </w:pPr>
            <w:r w:rsidRPr="00792B36">
              <w:rPr>
                <w:b/>
                <w:bCs/>
                <w:color w:val="000000"/>
                <w:sz w:val="24"/>
                <w:szCs w:val="24"/>
              </w:rPr>
              <w:t>2005</w:t>
            </w:r>
          </w:p>
        </w:tc>
        <w:tc>
          <w:tcPr>
            <w:tcW w:w="1547" w:type="dxa"/>
            <w:vAlign w:val="center"/>
          </w:tcPr>
          <w:p w14:paraId="326C7DDD" w14:textId="77777777" w:rsidR="009A0A63" w:rsidRPr="00792B36" w:rsidRDefault="009A0A63" w:rsidP="00A24459">
            <w:pPr>
              <w:jc w:val="center"/>
              <w:rPr>
                <w:b/>
                <w:bCs/>
                <w:sz w:val="24"/>
                <w:szCs w:val="24"/>
              </w:rPr>
            </w:pPr>
            <w:r w:rsidRPr="00792B36">
              <w:rPr>
                <w:b/>
                <w:bCs/>
                <w:color w:val="000000"/>
                <w:sz w:val="24"/>
                <w:szCs w:val="24"/>
              </w:rPr>
              <w:t>2010</w:t>
            </w:r>
          </w:p>
        </w:tc>
        <w:tc>
          <w:tcPr>
            <w:tcW w:w="1547" w:type="dxa"/>
            <w:vAlign w:val="center"/>
          </w:tcPr>
          <w:p w14:paraId="07256254" w14:textId="77777777" w:rsidR="009A0A63" w:rsidRPr="00792B36" w:rsidRDefault="009A0A63" w:rsidP="00A24459">
            <w:pPr>
              <w:jc w:val="center"/>
              <w:rPr>
                <w:b/>
                <w:bCs/>
                <w:sz w:val="24"/>
                <w:szCs w:val="24"/>
              </w:rPr>
            </w:pPr>
            <w:r w:rsidRPr="00792B36">
              <w:rPr>
                <w:b/>
                <w:bCs/>
                <w:color w:val="000000"/>
                <w:sz w:val="24"/>
                <w:szCs w:val="24"/>
              </w:rPr>
              <w:t>2020</w:t>
            </w:r>
          </w:p>
        </w:tc>
      </w:tr>
      <w:tr w:rsidR="009A0A63" w:rsidRPr="00792B36" w14:paraId="483B3DB1" w14:textId="77777777" w:rsidTr="00A24459">
        <w:trPr>
          <w:trHeight w:hRule="exact" w:val="340"/>
        </w:trPr>
        <w:tc>
          <w:tcPr>
            <w:tcW w:w="2830" w:type="dxa"/>
            <w:vAlign w:val="center"/>
          </w:tcPr>
          <w:p w14:paraId="06290D41" w14:textId="77777777" w:rsidR="009A0A63" w:rsidRPr="00792B36" w:rsidRDefault="009A0A63" w:rsidP="00A24459">
            <w:pPr>
              <w:rPr>
                <w:sz w:val="24"/>
                <w:szCs w:val="24"/>
              </w:rPr>
            </w:pPr>
            <w:r w:rsidRPr="00792B36">
              <w:rPr>
                <w:color w:val="000000"/>
                <w:sz w:val="24"/>
                <w:szCs w:val="24"/>
              </w:rPr>
              <w:t>Rayong</w:t>
            </w:r>
          </w:p>
        </w:tc>
        <w:tc>
          <w:tcPr>
            <w:tcW w:w="1546" w:type="dxa"/>
            <w:vAlign w:val="center"/>
          </w:tcPr>
          <w:p w14:paraId="6FEE2478" w14:textId="77777777" w:rsidR="009A0A63" w:rsidRPr="00792B36" w:rsidRDefault="009A0A63" w:rsidP="00A24459">
            <w:pPr>
              <w:jc w:val="center"/>
              <w:rPr>
                <w:sz w:val="24"/>
                <w:szCs w:val="24"/>
              </w:rPr>
            </w:pPr>
            <w:r w:rsidRPr="00792B36">
              <w:rPr>
                <w:color w:val="000000"/>
                <w:sz w:val="24"/>
                <w:szCs w:val="24"/>
              </w:rPr>
              <w:t>0.8</w:t>
            </w:r>
          </w:p>
        </w:tc>
        <w:tc>
          <w:tcPr>
            <w:tcW w:w="1547" w:type="dxa"/>
            <w:vAlign w:val="center"/>
          </w:tcPr>
          <w:p w14:paraId="1DF9EFBB" w14:textId="77777777" w:rsidR="009A0A63" w:rsidRPr="00792B36" w:rsidRDefault="009A0A63" w:rsidP="00A24459">
            <w:pPr>
              <w:jc w:val="center"/>
              <w:rPr>
                <w:sz w:val="24"/>
                <w:szCs w:val="24"/>
              </w:rPr>
            </w:pPr>
            <w:r w:rsidRPr="00792B36">
              <w:rPr>
                <w:color w:val="000000"/>
                <w:sz w:val="24"/>
                <w:szCs w:val="24"/>
              </w:rPr>
              <w:t>0.9</w:t>
            </w:r>
          </w:p>
        </w:tc>
        <w:tc>
          <w:tcPr>
            <w:tcW w:w="1547" w:type="dxa"/>
            <w:vAlign w:val="center"/>
          </w:tcPr>
          <w:p w14:paraId="186E8E36" w14:textId="77777777" w:rsidR="009A0A63" w:rsidRPr="00792B36" w:rsidRDefault="009A0A63" w:rsidP="00A24459">
            <w:pPr>
              <w:jc w:val="center"/>
              <w:rPr>
                <w:sz w:val="24"/>
                <w:szCs w:val="24"/>
              </w:rPr>
            </w:pPr>
            <w:r w:rsidRPr="00792B36">
              <w:rPr>
                <w:color w:val="000000"/>
                <w:sz w:val="24"/>
                <w:szCs w:val="24"/>
              </w:rPr>
              <w:t>1.0</w:t>
            </w:r>
          </w:p>
        </w:tc>
        <w:tc>
          <w:tcPr>
            <w:tcW w:w="1547" w:type="dxa"/>
            <w:vAlign w:val="center"/>
          </w:tcPr>
          <w:p w14:paraId="645266B6" w14:textId="77777777" w:rsidR="009A0A63" w:rsidRPr="00792B36" w:rsidRDefault="009A0A63" w:rsidP="00A24459">
            <w:pPr>
              <w:jc w:val="center"/>
              <w:rPr>
                <w:sz w:val="24"/>
                <w:szCs w:val="24"/>
              </w:rPr>
            </w:pPr>
            <w:r w:rsidRPr="00792B36">
              <w:rPr>
                <w:color w:val="000000"/>
                <w:sz w:val="24"/>
                <w:szCs w:val="24"/>
              </w:rPr>
              <w:t>1.1</w:t>
            </w:r>
          </w:p>
        </w:tc>
      </w:tr>
      <w:tr w:rsidR="009A0A63" w:rsidRPr="00792B36" w14:paraId="6240359B" w14:textId="77777777" w:rsidTr="00A24459">
        <w:trPr>
          <w:trHeight w:hRule="exact" w:val="340"/>
        </w:trPr>
        <w:tc>
          <w:tcPr>
            <w:tcW w:w="2830" w:type="dxa"/>
            <w:vAlign w:val="center"/>
          </w:tcPr>
          <w:p w14:paraId="23BA8685" w14:textId="77777777" w:rsidR="009A0A63" w:rsidRPr="00792B36" w:rsidRDefault="009A0A63" w:rsidP="00A24459">
            <w:pPr>
              <w:rPr>
                <w:sz w:val="24"/>
                <w:szCs w:val="24"/>
              </w:rPr>
            </w:pPr>
            <w:r w:rsidRPr="00792B36">
              <w:rPr>
                <w:color w:val="000000"/>
                <w:sz w:val="24"/>
                <w:szCs w:val="24"/>
              </w:rPr>
              <w:t>Chanthaburi</w:t>
            </w:r>
          </w:p>
        </w:tc>
        <w:tc>
          <w:tcPr>
            <w:tcW w:w="1546" w:type="dxa"/>
            <w:vAlign w:val="center"/>
          </w:tcPr>
          <w:p w14:paraId="45C76047" w14:textId="77777777" w:rsidR="009A0A63" w:rsidRPr="00792B36" w:rsidRDefault="009A0A63" w:rsidP="00A24459">
            <w:pPr>
              <w:jc w:val="center"/>
              <w:rPr>
                <w:sz w:val="24"/>
                <w:szCs w:val="24"/>
              </w:rPr>
            </w:pPr>
            <w:r w:rsidRPr="00792B36">
              <w:rPr>
                <w:color w:val="000000"/>
                <w:sz w:val="24"/>
                <w:szCs w:val="24"/>
              </w:rPr>
              <w:t>0.8</w:t>
            </w:r>
          </w:p>
        </w:tc>
        <w:tc>
          <w:tcPr>
            <w:tcW w:w="1547" w:type="dxa"/>
            <w:vAlign w:val="center"/>
          </w:tcPr>
          <w:p w14:paraId="0CC553F8" w14:textId="77777777" w:rsidR="009A0A63" w:rsidRPr="00792B36" w:rsidRDefault="009A0A63" w:rsidP="00A24459">
            <w:pPr>
              <w:jc w:val="center"/>
              <w:rPr>
                <w:sz w:val="24"/>
                <w:szCs w:val="24"/>
              </w:rPr>
            </w:pPr>
            <w:r w:rsidRPr="00792B36">
              <w:rPr>
                <w:color w:val="000000"/>
                <w:sz w:val="24"/>
                <w:szCs w:val="24"/>
              </w:rPr>
              <w:t>0.8</w:t>
            </w:r>
          </w:p>
        </w:tc>
        <w:tc>
          <w:tcPr>
            <w:tcW w:w="1547" w:type="dxa"/>
            <w:vAlign w:val="center"/>
          </w:tcPr>
          <w:p w14:paraId="09331236" w14:textId="77777777" w:rsidR="009A0A63" w:rsidRPr="00792B36" w:rsidRDefault="009A0A63" w:rsidP="00A24459">
            <w:pPr>
              <w:jc w:val="center"/>
              <w:rPr>
                <w:sz w:val="24"/>
                <w:szCs w:val="24"/>
              </w:rPr>
            </w:pPr>
            <w:r w:rsidRPr="00792B36">
              <w:rPr>
                <w:color w:val="000000"/>
                <w:sz w:val="24"/>
                <w:szCs w:val="24"/>
              </w:rPr>
              <w:t>0.8</w:t>
            </w:r>
          </w:p>
        </w:tc>
        <w:tc>
          <w:tcPr>
            <w:tcW w:w="1547" w:type="dxa"/>
            <w:vAlign w:val="center"/>
          </w:tcPr>
          <w:p w14:paraId="074E4F2D" w14:textId="77777777" w:rsidR="009A0A63" w:rsidRPr="00792B36" w:rsidRDefault="009A0A63" w:rsidP="00A24459">
            <w:pPr>
              <w:jc w:val="center"/>
              <w:rPr>
                <w:sz w:val="24"/>
                <w:szCs w:val="24"/>
              </w:rPr>
            </w:pPr>
            <w:r w:rsidRPr="00792B36">
              <w:rPr>
                <w:color w:val="000000"/>
                <w:sz w:val="24"/>
                <w:szCs w:val="24"/>
              </w:rPr>
              <w:t>0.8</w:t>
            </w:r>
          </w:p>
        </w:tc>
      </w:tr>
      <w:tr w:rsidR="009A0A63" w:rsidRPr="00792B36" w14:paraId="59CC1352" w14:textId="77777777" w:rsidTr="00A24459">
        <w:trPr>
          <w:trHeight w:hRule="exact" w:val="340"/>
        </w:trPr>
        <w:tc>
          <w:tcPr>
            <w:tcW w:w="2830" w:type="dxa"/>
            <w:vAlign w:val="center"/>
          </w:tcPr>
          <w:p w14:paraId="5455675B" w14:textId="77777777" w:rsidR="009A0A63" w:rsidRPr="00792B36" w:rsidRDefault="009A0A63" w:rsidP="00A24459">
            <w:pPr>
              <w:rPr>
                <w:sz w:val="24"/>
                <w:szCs w:val="24"/>
              </w:rPr>
            </w:pPr>
            <w:r w:rsidRPr="00792B36">
              <w:rPr>
                <w:color w:val="000000"/>
                <w:sz w:val="24"/>
                <w:szCs w:val="24"/>
              </w:rPr>
              <w:t>Trat</w:t>
            </w:r>
          </w:p>
        </w:tc>
        <w:tc>
          <w:tcPr>
            <w:tcW w:w="1546" w:type="dxa"/>
            <w:vAlign w:val="center"/>
          </w:tcPr>
          <w:p w14:paraId="6B6AE50C" w14:textId="77777777" w:rsidR="009A0A63" w:rsidRPr="00792B36" w:rsidRDefault="009A0A63" w:rsidP="00A24459">
            <w:pPr>
              <w:jc w:val="center"/>
              <w:rPr>
                <w:sz w:val="24"/>
                <w:szCs w:val="24"/>
              </w:rPr>
            </w:pPr>
            <w:r w:rsidRPr="00792B36">
              <w:rPr>
                <w:color w:val="000000"/>
                <w:sz w:val="24"/>
                <w:szCs w:val="24"/>
              </w:rPr>
              <w:t>0.4</w:t>
            </w:r>
          </w:p>
        </w:tc>
        <w:tc>
          <w:tcPr>
            <w:tcW w:w="1547" w:type="dxa"/>
            <w:vAlign w:val="center"/>
          </w:tcPr>
          <w:p w14:paraId="7EE1F923" w14:textId="77777777" w:rsidR="009A0A63" w:rsidRPr="00792B36" w:rsidRDefault="009A0A63" w:rsidP="00A24459">
            <w:pPr>
              <w:jc w:val="center"/>
              <w:rPr>
                <w:sz w:val="24"/>
                <w:szCs w:val="24"/>
              </w:rPr>
            </w:pPr>
            <w:r w:rsidRPr="00792B36">
              <w:rPr>
                <w:color w:val="000000"/>
                <w:sz w:val="24"/>
                <w:szCs w:val="24"/>
              </w:rPr>
              <w:t>0.4</w:t>
            </w:r>
          </w:p>
        </w:tc>
        <w:tc>
          <w:tcPr>
            <w:tcW w:w="1547" w:type="dxa"/>
            <w:vAlign w:val="center"/>
          </w:tcPr>
          <w:p w14:paraId="3E1FB69D" w14:textId="77777777" w:rsidR="009A0A63" w:rsidRPr="00792B36" w:rsidRDefault="009A0A63" w:rsidP="00A24459">
            <w:pPr>
              <w:jc w:val="center"/>
              <w:rPr>
                <w:sz w:val="24"/>
                <w:szCs w:val="24"/>
              </w:rPr>
            </w:pPr>
            <w:r w:rsidRPr="00792B36">
              <w:rPr>
                <w:color w:val="000000"/>
                <w:sz w:val="24"/>
                <w:szCs w:val="24"/>
              </w:rPr>
              <w:t>0.3</w:t>
            </w:r>
          </w:p>
        </w:tc>
        <w:tc>
          <w:tcPr>
            <w:tcW w:w="1547" w:type="dxa"/>
            <w:vAlign w:val="center"/>
          </w:tcPr>
          <w:p w14:paraId="61AD8B76" w14:textId="77777777" w:rsidR="009A0A63" w:rsidRPr="00792B36" w:rsidRDefault="009A0A63" w:rsidP="00A24459">
            <w:pPr>
              <w:jc w:val="center"/>
              <w:rPr>
                <w:sz w:val="24"/>
                <w:szCs w:val="24"/>
              </w:rPr>
            </w:pPr>
            <w:r w:rsidRPr="00792B36">
              <w:rPr>
                <w:color w:val="000000"/>
                <w:sz w:val="24"/>
                <w:szCs w:val="24"/>
              </w:rPr>
              <w:t>0.3</w:t>
            </w:r>
          </w:p>
        </w:tc>
      </w:tr>
      <w:tr w:rsidR="009A0A63" w:rsidRPr="00792B36" w14:paraId="799C30DC" w14:textId="77777777" w:rsidTr="00A24459">
        <w:trPr>
          <w:trHeight w:hRule="exact" w:val="340"/>
        </w:trPr>
        <w:tc>
          <w:tcPr>
            <w:tcW w:w="2830" w:type="dxa"/>
            <w:vAlign w:val="center"/>
          </w:tcPr>
          <w:p w14:paraId="050E0862" w14:textId="77777777" w:rsidR="009A0A63" w:rsidRPr="00792B36" w:rsidRDefault="009A0A63" w:rsidP="00A24459">
            <w:pPr>
              <w:rPr>
                <w:sz w:val="24"/>
                <w:szCs w:val="24"/>
              </w:rPr>
            </w:pPr>
            <w:r w:rsidRPr="00792B36">
              <w:rPr>
                <w:color w:val="000000"/>
                <w:sz w:val="24"/>
                <w:szCs w:val="24"/>
              </w:rPr>
              <w:t>Samut Prakan</w:t>
            </w:r>
          </w:p>
        </w:tc>
        <w:tc>
          <w:tcPr>
            <w:tcW w:w="1546" w:type="dxa"/>
            <w:vAlign w:val="center"/>
          </w:tcPr>
          <w:p w14:paraId="0664580B" w14:textId="77777777" w:rsidR="009A0A63" w:rsidRPr="00792B36" w:rsidRDefault="009A0A63" w:rsidP="00A24459">
            <w:pPr>
              <w:jc w:val="center"/>
              <w:rPr>
                <w:sz w:val="24"/>
                <w:szCs w:val="24"/>
              </w:rPr>
            </w:pPr>
            <w:r w:rsidRPr="00792B36">
              <w:rPr>
                <w:color w:val="000000"/>
                <w:sz w:val="24"/>
                <w:szCs w:val="24"/>
              </w:rPr>
              <w:t>1.6</w:t>
            </w:r>
          </w:p>
        </w:tc>
        <w:tc>
          <w:tcPr>
            <w:tcW w:w="1547" w:type="dxa"/>
            <w:vAlign w:val="center"/>
          </w:tcPr>
          <w:p w14:paraId="52925990" w14:textId="77777777" w:rsidR="009A0A63" w:rsidRPr="00792B36" w:rsidRDefault="009A0A63" w:rsidP="00A24459">
            <w:pPr>
              <w:jc w:val="center"/>
              <w:rPr>
                <w:sz w:val="24"/>
                <w:szCs w:val="24"/>
              </w:rPr>
            </w:pPr>
            <w:r w:rsidRPr="00792B36">
              <w:rPr>
                <w:color w:val="000000"/>
                <w:sz w:val="24"/>
                <w:szCs w:val="24"/>
              </w:rPr>
              <w:t>1.7</w:t>
            </w:r>
          </w:p>
        </w:tc>
        <w:tc>
          <w:tcPr>
            <w:tcW w:w="1547" w:type="dxa"/>
            <w:vAlign w:val="center"/>
          </w:tcPr>
          <w:p w14:paraId="5382D2A9" w14:textId="77777777" w:rsidR="009A0A63" w:rsidRPr="00792B36" w:rsidRDefault="009A0A63" w:rsidP="00A24459">
            <w:pPr>
              <w:jc w:val="center"/>
              <w:rPr>
                <w:sz w:val="24"/>
                <w:szCs w:val="24"/>
              </w:rPr>
            </w:pPr>
            <w:r w:rsidRPr="00792B36">
              <w:rPr>
                <w:color w:val="000000"/>
                <w:sz w:val="24"/>
                <w:szCs w:val="24"/>
              </w:rPr>
              <w:t>1.9</w:t>
            </w:r>
          </w:p>
        </w:tc>
        <w:tc>
          <w:tcPr>
            <w:tcW w:w="1547" w:type="dxa"/>
            <w:vAlign w:val="center"/>
          </w:tcPr>
          <w:p w14:paraId="5CD88611" w14:textId="77777777" w:rsidR="009A0A63" w:rsidRPr="00792B36" w:rsidRDefault="009A0A63" w:rsidP="00A24459">
            <w:pPr>
              <w:jc w:val="center"/>
              <w:rPr>
                <w:sz w:val="24"/>
                <w:szCs w:val="24"/>
              </w:rPr>
            </w:pPr>
            <w:r w:rsidRPr="00792B36">
              <w:rPr>
                <w:color w:val="000000"/>
                <w:sz w:val="24"/>
                <w:szCs w:val="24"/>
              </w:rPr>
              <w:t>2.0</w:t>
            </w:r>
          </w:p>
        </w:tc>
      </w:tr>
      <w:tr w:rsidR="009A0A63" w:rsidRPr="00792B36" w14:paraId="168A5FC0" w14:textId="77777777" w:rsidTr="00A24459">
        <w:trPr>
          <w:trHeight w:hRule="exact" w:val="340"/>
        </w:trPr>
        <w:tc>
          <w:tcPr>
            <w:tcW w:w="2830" w:type="dxa"/>
            <w:vAlign w:val="center"/>
          </w:tcPr>
          <w:p w14:paraId="780B5D55" w14:textId="77777777" w:rsidR="009A0A63" w:rsidRPr="00792B36" w:rsidRDefault="009A0A63" w:rsidP="00A24459">
            <w:pPr>
              <w:rPr>
                <w:sz w:val="24"/>
                <w:szCs w:val="24"/>
              </w:rPr>
            </w:pPr>
            <w:r w:rsidRPr="00792B36">
              <w:rPr>
                <w:color w:val="000000"/>
                <w:sz w:val="24"/>
                <w:szCs w:val="24"/>
              </w:rPr>
              <w:t>Chon Buri</w:t>
            </w:r>
          </w:p>
        </w:tc>
        <w:tc>
          <w:tcPr>
            <w:tcW w:w="1546" w:type="dxa"/>
            <w:vAlign w:val="center"/>
          </w:tcPr>
          <w:p w14:paraId="670877FE" w14:textId="77777777" w:rsidR="009A0A63" w:rsidRPr="00792B36" w:rsidRDefault="009A0A63" w:rsidP="00A24459">
            <w:pPr>
              <w:jc w:val="center"/>
              <w:rPr>
                <w:sz w:val="24"/>
                <w:szCs w:val="24"/>
              </w:rPr>
            </w:pPr>
            <w:r w:rsidRPr="00792B36">
              <w:rPr>
                <w:color w:val="000000"/>
                <w:sz w:val="24"/>
                <w:szCs w:val="24"/>
              </w:rPr>
              <w:t>1.7</w:t>
            </w:r>
          </w:p>
        </w:tc>
        <w:tc>
          <w:tcPr>
            <w:tcW w:w="1547" w:type="dxa"/>
            <w:vAlign w:val="center"/>
          </w:tcPr>
          <w:p w14:paraId="4AF03DB0" w14:textId="77777777" w:rsidR="009A0A63" w:rsidRPr="00792B36" w:rsidRDefault="009A0A63" w:rsidP="00A24459">
            <w:pPr>
              <w:jc w:val="center"/>
              <w:rPr>
                <w:sz w:val="24"/>
                <w:szCs w:val="24"/>
              </w:rPr>
            </w:pPr>
            <w:r w:rsidRPr="00792B36">
              <w:rPr>
                <w:color w:val="000000"/>
                <w:sz w:val="24"/>
                <w:szCs w:val="24"/>
              </w:rPr>
              <w:t>1.9</w:t>
            </w:r>
          </w:p>
        </w:tc>
        <w:tc>
          <w:tcPr>
            <w:tcW w:w="1547" w:type="dxa"/>
            <w:vAlign w:val="center"/>
          </w:tcPr>
          <w:p w14:paraId="7D7B70C9" w14:textId="77777777" w:rsidR="009A0A63" w:rsidRPr="00792B36" w:rsidRDefault="009A0A63" w:rsidP="00A24459">
            <w:pPr>
              <w:jc w:val="center"/>
              <w:rPr>
                <w:sz w:val="24"/>
                <w:szCs w:val="24"/>
              </w:rPr>
            </w:pPr>
            <w:r w:rsidRPr="00792B36">
              <w:rPr>
                <w:color w:val="000000"/>
                <w:sz w:val="24"/>
                <w:szCs w:val="24"/>
              </w:rPr>
              <w:t>2.1</w:t>
            </w:r>
          </w:p>
        </w:tc>
        <w:tc>
          <w:tcPr>
            <w:tcW w:w="1547" w:type="dxa"/>
            <w:vAlign w:val="center"/>
          </w:tcPr>
          <w:p w14:paraId="03A2C5C9" w14:textId="77777777" w:rsidR="009A0A63" w:rsidRPr="00792B36" w:rsidRDefault="009A0A63" w:rsidP="00A24459">
            <w:pPr>
              <w:jc w:val="center"/>
              <w:rPr>
                <w:sz w:val="24"/>
                <w:szCs w:val="24"/>
              </w:rPr>
            </w:pPr>
            <w:r w:rsidRPr="00792B36">
              <w:rPr>
                <w:color w:val="000000"/>
                <w:sz w:val="24"/>
                <w:szCs w:val="24"/>
              </w:rPr>
              <w:t>2.4</w:t>
            </w:r>
          </w:p>
        </w:tc>
      </w:tr>
      <w:tr w:rsidR="009A0A63" w:rsidRPr="00792B36" w14:paraId="2B1B67EE" w14:textId="77777777" w:rsidTr="00A24459">
        <w:trPr>
          <w:trHeight w:hRule="exact" w:val="340"/>
        </w:trPr>
        <w:tc>
          <w:tcPr>
            <w:tcW w:w="2830" w:type="dxa"/>
            <w:vAlign w:val="center"/>
          </w:tcPr>
          <w:p w14:paraId="55881746" w14:textId="77777777" w:rsidR="009A0A63" w:rsidRPr="00792B36" w:rsidRDefault="009A0A63" w:rsidP="00A24459">
            <w:pPr>
              <w:rPr>
                <w:sz w:val="24"/>
                <w:szCs w:val="24"/>
              </w:rPr>
            </w:pPr>
            <w:r w:rsidRPr="00792B36">
              <w:rPr>
                <w:color w:val="000000"/>
                <w:sz w:val="24"/>
                <w:szCs w:val="24"/>
              </w:rPr>
              <w:t>Chachoengsao</w:t>
            </w:r>
          </w:p>
        </w:tc>
        <w:tc>
          <w:tcPr>
            <w:tcW w:w="1546" w:type="dxa"/>
            <w:vAlign w:val="center"/>
          </w:tcPr>
          <w:p w14:paraId="60F1C00E" w14:textId="77777777" w:rsidR="009A0A63" w:rsidRPr="00792B36" w:rsidRDefault="009A0A63" w:rsidP="00A24459">
            <w:pPr>
              <w:jc w:val="center"/>
              <w:rPr>
                <w:sz w:val="24"/>
                <w:szCs w:val="24"/>
              </w:rPr>
            </w:pPr>
            <w:r w:rsidRPr="00792B36">
              <w:rPr>
                <w:color w:val="000000"/>
                <w:sz w:val="24"/>
                <w:szCs w:val="24"/>
              </w:rPr>
              <w:t>1.0</w:t>
            </w:r>
          </w:p>
        </w:tc>
        <w:tc>
          <w:tcPr>
            <w:tcW w:w="1547" w:type="dxa"/>
            <w:vAlign w:val="center"/>
          </w:tcPr>
          <w:p w14:paraId="3561BAF1" w14:textId="77777777" w:rsidR="009A0A63" w:rsidRPr="00792B36" w:rsidRDefault="009A0A63" w:rsidP="00A24459">
            <w:pPr>
              <w:jc w:val="center"/>
              <w:rPr>
                <w:sz w:val="24"/>
                <w:szCs w:val="24"/>
              </w:rPr>
            </w:pPr>
            <w:r w:rsidRPr="00792B36">
              <w:rPr>
                <w:color w:val="000000"/>
                <w:sz w:val="24"/>
                <w:szCs w:val="24"/>
              </w:rPr>
              <w:t>1.0</w:t>
            </w:r>
          </w:p>
        </w:tc>
        <w:tc>
          <w:tcPr>
            <w:tcW w:w="1547" w:type="dxa"/>
            <w:vAlign w:val="center"/>
          </w:tcPr>
          <w:p w14:paraId="014D91F0" w14:textId="77777777" w:rsidR="009A0A63" w:rsidRPr="00792B36" w:rsidRDefault="009A0A63" w:rsidP="00A24459">
            <w:pPr>
              <w:jc w:val="center"/>
              <w:rPr>
                <w:sz w:val="24"/>
                <w:szCs w:val="24"/>
              </w:rPr>
            </w:pPr>
            <w:r w:rsidRPr="00792B36">
              <w:rPr>
                <w:color w:val="000000"/>
                <w:sz w:val="24"/>
                <w:szCs w:val="24"/>
              </w:rPr>
              <w:t>1.1</w:t>
            </w:r>
          </w:p>
        </w:tc>
        <w:tc>
          <w:tcPr>
            <w:tcW w:w="1547" w:type="dxa"/>
            <w:vAlign w:val="center"/>
          </w:tcPr>
          <w:p w14:paraId="17E44442" w14:textId="77777777" w:rsidR="009A0A63" w:rsidRPr="00792B36" w:rsidRDefault="009A0A63" w:rsidP="00A24459">
            <w:pPr>
              <w:jc w:val="center"/>
              <w:rPr>
                <w:sz w:val="24"/>
                <w:szCs w:val="24"/>
              </w:rPr>
            </w:pPr>
            <w:r w:rsidRPr="00792B36">
              <w:rPr>
                <w:color w:val="000000"/>
                <w:sz w:val="24"/>
                <w:szCs w:val="24"/>
              </w:rPr>
              <w:t>1.1</w:t>
            </w:r>
          </w:p>
        </w:tc>
      </w:tr>
      <w:tr w:rsidR="009A0A63" w:rsidRPr="00792B36" w14:paraId="0FD42783" w14:textId="77777777" w:rsidTr="00A24459">
        <w:trPr>
          <w:trHeight w:hRule="exact" w:val="340"/>
        </w:trPr>
        <w:tc>
          <w:tcPr>
            <w:tcW w:w="2830" w:type="dxa"/>
            <w:vAlign w:val="center"/>
          </w:tcPr>
          <w:p w14:paraId="556ECD2B" w14:textId="77777777" w:rsidR="009A0A63" w:rsidRPr="00792B36" w:rsidRDefault="009A0A63" w:rsidP="00A24459">
            <w:pPr>
              <w:rPr>
                <w:sz w:val="24"/>
                <w:szCs w:val="24"/>
              </w:rPr>
            </w:pPr>
            <w:r w:rsidRPr="00792B36">
              <w:rPr>
                <w:color w:val="000000"/>
                <w:sz w:val="24"/>
                <w:szCs w:val="24"/>
              </w:rPr>
              <w:t>Samut Sakhon</w:t>
            </w:r>
          </w:p>
        </w:tc>
        <w:tc>
          <w:tcPr>
            <w:tcW w:w="1546" w:type="dxa"/>
            <w:vAlign w:val="center"/>
          </w:tcPr>
          <w:p w14:paraId="16C1D98E" w14:textId="77777777" w:rsidR="009A0A63" w:rsidRPr="00792B36" w:rsidRDefault="009A0A63" w:rsidP="00A24459">
            <w:pPr>
              <w:jc w:val="center"/>
              <w:rPr>
                <w:sz w:val="24"/>
                <w:szCs w:val="24"/>
              </w:rPr>
            </w:pPr>
            <w:r w:rsidRPr="00792B36">
              <w:rPr>
                <w:color w:val="000000"/>
                <w:sz w:val="24"/>
                <w:szCs w:val="24"/>
              </w:rPr>
              <w:t>0.7</w:t>
            </w:r>
          </w:p>
        </w:tc>
        <w:tc>
          <w:tcPr>
            <w:tcW w:w="1547" w:type="dxa"/>
            <w:vAlign w:val="center"/>
          </w:tcPr>
          <w:p w14:paraId="25C3E02C" w14:textId="77777777" w:rsidR="009A0A63" w:rsidRPr="00792B36" w:rsidRDefault="009A0A63" w:rsidP="00A24459">
            <w:pPr>
              <w:jc w:val="center"/>
              <w:rPr>
                <w:sz w:val="24"/>
                <w:szCs w:val="24"/>
              </w:rPr>
            </w:pPr>
            <w:r w:rsidRPr="00792B36">
              <w:rPr>
                <w:color w:val="000000"/>
                <w:sz w:val="24"/>
                <w:szCs w:val="24"/>
              </w:rPr>
              <w:t>0.7</w:t>
            </w:r>
          </w:p>
        </w:tc>
        <w:tc>
          <w:tcPr>
            <w:tcW w:w="1547" w:type="dxa"/>
            <w:vAlign w:val="center"/>
          </w:tcPr>
          <w:p w14:paraId="667BCBAD" w14:textId="77777777" w:rsidR="009A0A63" w:rsidRPr="00792B36" w:rsidRDefault="009A0A63" w:rsidP="00A24459">
            <w:pPr>
              <w:jc w:val="center"/>
              <w:rPr>
                <w:sz w:val="24"/>
                <w:szCs w:val="24"/>
              </w:rPr>
            </w:pPr>
            <w:r w:rsidRPr="00792B36">
              <w:rPr>
                <w:color w:val="000000"/>
                <w:sz w:val="24"/>
                <w:szCs w:val="24"/>
              </w:rPr>
              <w:t>0.8</w:t>
            </w:r>
          </w:p>
        </w:tc>
        <w:tc>
          <w:tcPr>
            <w:tcW w:w="1547" w:type="dxa"/>
            <w:vAlign w:val="center"/>
          </w:tcPr>
          <w:p w14:paraId="3641A7EE" w14:textId="77777777" w:rsidR="009A0A63" w:rsidRPr="00792B36" w:rsidRDefault="009A0A63" w:rsidP="00A24459">
            <w:pPr>
              <w:jc w:val="center"/>
              <w:rPr>
                <w:sz w:val="24"/>
                <w:szCs w:val="24"/>
              </w:rPr>
            </w:pPr>
            <w:r w:rsidRPr="00792B36">
              <w:rPr>
                <w:color w:val="000000"/>
                <w:sz w:val="24"/>
                <w:szCs w:val="24"/>
              </w:rPr>
              <w:t>0.9</w:t>
            </w:r>
          </w:p>
        </w:tc>
      </w:tr>
      <w:tr w:rsidR="009A0A63" w:rsidRPr="00792B36" w14:paraId="0C8D26B5" w14:textId="77777777" w:rsidTr="00A24459">
        <w:trPr>
          <w:trHeight w:hRule="exact" w:val="340"/>
        </w:trPr>
        <w:tc>
          <w:tcPr>
            <w:tcW w:w="2830" w:type="dxa"/>
            <w:vAlign w:val="center"/>
          </w:tcPr>
          <w:p w14:paraId="58FC7C18" w14:textId="77777777" w:rsidR="009A0A63" w:rsidRPr="00792B36" w:rsidRDefault="009A0A63" w:rsidP="00A24459">
            <w:pPr>
              <w:rPr>
                <w:sz w:val="24"/>
                <w:szCs w:val="24"/>
              </w:rPr>
            </w:pPr>
            <w:r w:rsidRPr="00792B36">
              <w:rPr>
                <w:color w:val="000000"/>
                <w:sz w:val="24"/>
                <w:szCs w:val="24"/>
              </w:rPr>
              <w:t>Samut Songkhram</w:t>
            </w:r>
          </w:p>
        </w:tc>
        <w:tc>
          <w:tcPr>
            <w:tcW w:w="1546" w:type="dxa"/>
            <w:vAlign w:val="center"/>
          </w:tcPr>
          <w:p w14:paraId="693184B3" w14:textId="77777777" w:rsidR="009A0A63" w:rsidRPr="00792B36" w:rsidRDefault="009A0A63" w:rsidP="00A24459">
            <w:pPr>
              <w:jc w:val="center"/>
              <w:rPr>
                <w:sz w:val="24"/>
                <w:szCs w:val="24"/>
              </w:rPr>
            </w:pPr>
            <w:r w:rsidRPr="00792B36">
              <w:rPr>
                <w:color w:val="000000"/>
                <w:sz w:val="24"/>
                <w:szCs w:val="24"/>
              </w:rPr>
              <w:t>0.3</w:t>
            </w:r>
          </w:p>
        </w:tc>
        <w:tc>
          <w:tcPr>
            <w:tcW w:w="1547" w:type="dxa"/>
            <w:vAlign w:val="center"/>
          </w:tcPr>
          <w:p w14:paraId="2BBCBB05" w14:textId="77777777" w:rsidR="009A0A63" w:rsidRPr="00792B36" w:rsidRDefault="009A0A63" w:rsidP="00A24459">
            <w:pPr>
              <w:jc w:val="center"/>
              <w:rPr>
                <w:sz w:val="24"/>
                <w:szCs w:val="24"/>
              </w:rPr>
            </w:pPr>
            <w:r w:rsidRPr="00792B36">
              <w:rPr>
                <w:color w:val="000000"/>
                <w:sz w:val="24"/>
                <w:szCs w:val="24"/>
              </w:rPr>
              <w:t>0.3</w:t>
            </w:r>
          </w:p>
        </w:tc>
        <w:tc>
          <w:tcPr>
            <w:tcW w:w="1547" w:type="dxa"/>
            <w:vAlign w:val="center"/>
          </w:tcPr>
          <w:p w14:paraId="025F6931" w14:textId="77777777" w:rsidR="009A0A63" w:rsidRPr="00792B36" w:rsidRDefault="009A0A63" w:rsidP="00A24459">
            <w:pPr>
              <w:jc w:val="center"/>
              <w:rPr>
                <w:sz w:val="24"/>
                <w:szCs w:val="24"/>
              </w:rPr>
            </w:pPr>
            <w:r w:rsidRPr="00792B36">
              <w:rPr>
                <w:color w:val="000000"/>
                <w:sz w:val="24"/>
                <w:szCs w:val="24"/>
              </w:rPr>
              <w:t>0.3</w:t>
            </w:r>
          </w:p>
        </w:tc>
        <w:tc>
          <w:tcPr>
            <w:tcW w:w="1547" w:type="dxa"/>
            <w:vAlign w:val="center"/>
          </w:tcPr>
          <w:p w14:paraId="21531D06" w14:textId="77777777" w:rsidR="009A0A63" w:rsidRPr="00792B36" w:rsidRDefault="009A0A63" w:rsidP="00A24459">
            <w:pPr>
              <w:jc w:val="center"/>
              <w:rPr>
                <w:sz w:val="24"/>
                <w:szCs w:val="24"/>
              </w:rPr>
            </w:pPr>
            <w:r w:rsidRPr="00792B36">
              <w:rPr>
                <w:color w:val="000000"/>
                <w:sz w:val="24"/>
                <w:szCs w:val="24"/>
              </w:rPr>
              <w:t>0.3</w:t>
            </w:r>
          </w:p>
        </w:tc>
      </w:tr>
      <w:tr w:rsidR="009A0A63" w:rsidRPr="00792B36" w14:paraId="3C0EAF58" w14:textId="77777777" w:rsidTr="00A24459">
        <w:trPr>
          <w:trHeight w:hRule="exact" w:val="340"/>
        </w:trPr>
        <w:tc>
          <w:tcPr>
            <w:tcW w:w="2830" w:type="dxa"/>
            <w:vAlign w:val="center"/>
          </w:tcPr>
          <w:p w14:paraId="1E12A8BA" w14:textId="77777777" w:rsidR="009A0A63" w:rsidRPr="00792B36" w:rsidRDefault="009A0A63" w:rsidP="00A24459">
            <w:pPr>
              <w:rPr>
                <w:sz w:val="24"/>
                <w:szCs w:val="24"/>
              </w:rPr>
            </w:pPr>
            <w:r w:rsidRPr="00792B36">
              <w:rPr>
                <w:color w:val="000000"/>
                <w:sz w:val="24"/>
                <w:szCs w:val="24"/>
              </w:rPr>
              <w:t>Phetchaburi</w:t>
            </w:r>
          </w:p>
        </w:tc>
        <w:tc>
          <w:tcPr>
            <w:tcW w:w="1546" w:type="dxa"/>
            <w:vAlign w:val="center"/>
          </w:tcPr>
          <w:p w14:paraId="4CDF992C" w14:textId="77777777" w:rsidR="009A0A63" w:rsidRPr="00792B36" w:rsidRDefault="009A0A63" w:rsidP="00A24459">
            <w:pPr>
              <w:jc w:val="center"/>
              <w:rPr>
                <w:sz w:val="24"/>
                <w:szCs w:val="24"/>
              </w:rPr>
            </w:pPr>
            <w:r w:rsidRPr="00792B36">
              <w:rPr>
                <w:color w:val="000000"/>
                <w:sz w:val="24"/>
                <w:szCs w:val="24"/>
              </w:rPr>
              <w:t>0.7</w:t>
            </w:r>
          </w:p>
        </w:tc>
        <w:tc>
          <w:tcPr>
            <w:tcW w:w="1547" w:type="dxa"/>
            <w:vAlign w:val="center"/>
          </w:tcPr>
          <w:p w14:paraId="39041044" w14:textId="77777777" w:rsidR="009A0A63" w:rsidRPr="00792B36" w:rsidRDefault="009A0A63" w:rsidP="00A24459">
            <w:pPr>
              <w:jc w:val="center"/>
              <w:rPr>
                <w:sz w:val="24"/>
                <w:szCs w:val="24"/>
              </w:rPr>
            </w:pPr>
            <w:r w:rsidRPr="00792B36">
              <w:rPr>
                <w:color w:val="000000"/>
                <w:sz w:val="24"/>
                <w:szCs w:val="24"/>
              </w:rPr>
              <w:t>0.7</w:t>
            </w:r>
          </w:p>
        </w:tc>
        <w:tc>
          <w:tcPr>
            <w:tcW w:w="1547" w:type="dxa"/>
            <w:vAlign w:val="center"/>
          </w:tcPr>
          <w:p w14:paraId="6BF0CE07" w14:textId="77777777" w:rsidR="009A0A63" w:rsidRPr="00792B36" w:rsidRDefault="009A0A63" w:rsidP="00A24459">
            <w:pPr>
              <w:jc w:val="center"/>
              <w:rPr>
                <w:sz w:val="24"/>
                <w:szCs w:val="24"/>
              </w:rPr>
            </w:pPr>
            <w:r w:rsidRPr="00792B36">
              <w:rPr>
                <w:color w:val="000000"/>
                <w:sz w:val="24"/>
                <w:szCs w:val="24"/>
              </w:rPr>
              <w:t>0.7</w:t>
            </w:r>
          </w:p>
        </w:tc>
        <w:tc>
          <w:tcPr>
            <w:tcW w:w="1547" w:type="dxa"/>
            <w:vAlign w:val="center"/>
          </w:tcPr>
          <w:p w14:paraId="101CCDC5" w14:textId="77777777" w:rsidR="009A0A63" w:rsidRPr="00792B36" w:rsidRDefault="009A0A63" w:rsidP="00A24459">
            <w:pPr>
              <w:jc w:val="center"/>
              <w:rPr>
                <w:sz w:val="24"/>
                <w:szCs w:val="24"/>
              </w:rPr>
            </w:pPr>
            <w:r w:rsidRPr="00792B36">
              <w:rPr>
                <w:color w:val="000000"/>
                <w:sz w:val="24"/>
                <w:szCs w:val="24"/>
              </w:rPr>
              <w:t>0.7</w:t>
            </w:r>
          </w:p>
        </w:tc>
      </w:tr>
      <w:tr w:rsidR="009A0A63" w:rsidRPr="00792B36" w14:paraId="6EB755C2" w14:textId="77777777" w:rsidTr="00A24459">
        <w:trPr>
          <w:trHeight w:hRule="exact" w:val="340"/>
        </w:trPr>
        <w:tc>
          <w:tcPr>
            <w:tcW w:w="2830" w:type="dxa"/>
            <w:vAlign w:val="center"/>
          </w:tcPr>
          <w:p w14:paraId="1A69A654" w14:textId="77777777" w:rsidR="009A0A63" w:rsidRPr="00792B36" w:rsidRDefault="009A0A63" w:rsidP="00A24459">
            <w:pPr>
              <w:rPr>
                <w:sz w:val="24"/>
                <w:szCs w:val="24"/>
              </w:rPr>
            </w:pPr>
            <w:r w:rsidRPr="00792B36">
              <w:rPr>
                <w:color w:val="000000"/>
                <w:sz w:val="24"/>
                <w:szCs w:val="24"/>
              </w:rPr>
              <w:t>Prachuap Khiri Khan</w:t>
            </w:r>
          </w:p>
        </w:tc>
        <w:tc>
          <w:tcPr>
            <w:tcW w:w="1546" w:type="dxa"/>
            <w:vAlign w:val="center"/>
          </w:tcPr>
          <w:p w14:paraId="621E9272" w14:textId="77777777" w:rsidR="009A0A63" w:rsidRPr="00792B36" w:rsidRDefault="009A0A63" w:rsidP="00A24459">
            <w:pPr>
              <w:jc w:val="center"/>
              <w:rPr>
                <w:sz w:val="24"/>
                <w:szCs w:val="24"/>
              </w:rPr>
            </w:pPr>
            <w:r w:rsidRPr="00792B36">
              <w:rPr>
                <w:color w:val="000000"/>
                <w:sz w:val="24"/>
                <w:szCs w:val="24"/>
              </w:rPr>
              <w:t>0.8</w:t>
            </w:r>
          </w:p>
        </w:tc>
        <w:tc>
          <w:tcPr>
            <w:tcW w:w="1547" w:type="dxa"/>
            <w:vAlign w:val="center"/>
          </w:tcPr>
          <w:p w14:paraId="49E50684" w14:textId="77777777" w:rsidR="009A0A63" w:rsidRPr="00792B36" w:rsidRDefault="009A0A63" w:rsidP="00A24459">
            <w:pPr>
              <w:jc w:val="center"/>
              <w:rPr>
                <w:sz w:val="24"/>
                <w:szCs w:val="24"/>
              </w:rPr>
            </w:pPr>
            <w:r w:rsidRPr="00792B36">
              <w:rPr>
                <w:color w:val="000000"/>
                <w:sz w:val="24"/>
                <w:szCs w:val="24"/>
              </w:rPr>
              <w:t>0.8</w:t>
            </w:r>
          </w:p>
        </w:tc>
        <w:tc>
          <w:tcPr>
            <w:tcW w:w="1547" w:type="dxa"/>
            <w:vAlign w:val="center"/>
          </w:tcPr>
          <w:p w14:paraId="7237CD64" w14:textId="77777777" w:rsidR="009A0A63" w:rsidRPr="00792B36" w:rsidRDefault="009A0A63" w:rsidP="00A24459">
            <w:pPr>
              <w:jc w:val="center"/>
              <w:rPr>
                <w:sz w:val="24"/>
                <w:szCs w:val="24"/>
              </w:rPr>
            </w:pPr>
            <w:r w:rsidRPr="00792B36">
              <w:rPr>
                <w:color w:val="000000"/>
                <w:sz w:val="24"/>
                <w:szCs w:val="24"/>
              </w:rPr>
              <w:t>0.8</w:t>
            </w:r>
          </w:p>
        </w:tc>
        <w:tc>
          <w:tcPr>
            <w:tcW w:w="1547" w:type="dxa"/>
            <w:vAlign w:val="center"/>
          </w:tcPr>
          <w:p w14:paraId="61CF748E" w14:textId="77777777" w:rsidR="009A0A63" w:rsidRPr="00792B36" w:rsidRDefault="009A0A63" w:rsidP="00A24459">
            <w:pPr>
              <w:jc w:val="center"/>
              <w:rPr>
                <w:sz w:val="24"/>
                <w:szCs w:val="24"/>
              </w:rPr>
            </w:pPr>
            <w:r w:rsidRPr="00792B36">
              <w:rPr>
                <w:color w:val="000000"/>
                <w:sz w:val="24"/>
                <w:szCs w:val="24"/>
              </w:rPr>
              <w:t>0.8</w:t>
            </w:r>
          </w:p>
        </w:tc>
      </w:tr>
      <w:tr w:rsidR="009A0A63" w:rsidRPr="00792B36" w14:paraId="216E0191" w14:textId="77777777" w:rsidTr="00A24459">
        <w:trPr>
          <w:trHeight w:hRule="exact" w:val="340"/>
        </w:trPr>
        <w:tc>
          <w:tcPr>
            <w:tcW w:w="2830" w:type="dxa"/>
            <w:vAlign w:val="center"/>
          </w:tcPr>
          <w:p w14:paraId="0A61DC14" w14:textId="77777777" w:rsidR="009A0A63" w:rsidRPr="00792B36" w:rsidRDefault="009A0A63" w:rsidP="00A24459">
            <w:pPr>
              <w:rPr>
                <w:sz w:val="24"/>
                <w:szCs w:val="24"/>
              </w:rPr>
            </w:pPr>
            <w:r w:rsidRPr="00792B36">
              <w:rPr>
                <w:color w:val="000000"/>
                <w:sz w:val="24"/>
                <w:szCs w:val="24"/>
              </w:rPr>
              <w:t>Nakhon Si Thammarat</w:t>
            </w:r>
          </w:p>
        </w:tc>
        <w:tc>
          <w:tcPr>
            <w:tcW w:w="1546" w:type="dxa"/>
            <w:vAlign w:val="center"/>
          </w:tcPr>
          <w:p w14:paraId="6744B49E" w14:textId="77777777" w:rsidR="009A0A63" w:rsidRPr="00792B36" w:rsidRDefault="009A0A63" w:rsidP="00A24459">
            <w:pPr>
              <w:jc w:val="center"/>
              <w:rPr>
                <w:sz w:val="24"/>
                <w:szCs w:val="24"/>
              </w:rPr>
            </w:pPr>
            <w:r w:rsidRPr="00792B36">
              <w:rPr>
                <w:color w:val="000000"/>
                <w:sz w:val="24"/>
                <w:szCs w:val="24"/>
              </w:rPr>
              <w:t>2.5</w:t>
            </w:r>
          </w:p>
        </w:tc>
        <w:tc>
          <w:tcPr>
            <w:tcW w:w="1547" w:type="dxa"/>
            <w:vAlign w:val="center"/>
          </w:tcPr>
          <w:p w14:paraId="51D20AEE" w14:textId="77777777" w:rsidR="009A0A63" w:rsidRPr="00792B36" w:rsidRDefault="009A0A63" w:rsidP="00A24459">
            <w:pPr>
              <w:jc w:val="center"/>
              <w:rPr>
                <w:sz w:val="24"/>
                <w:szCs w:val="24"/>
              </w:rPr>
            </w:pPr>
            <w:r w:rsidRPr="00792B36">
              <w:rPr>
                <w:color w:val="000000"/>
                <w:sz w:val="24"/>
                <w:szCs w:val="24"/>
              </w:rPr>
              <w:t>2.4</w:t>
            </w:r>
          </w:p>
        </w:tc>
        <w:tc>
          <w:tcPr>
            <w:tcW w:w="1547" w:type="dxa"/>
            <w:vAlign w:val="center"/>
          </w:tcPr>
          <w:p w14:paraId="01FA3E22" w14:textId="77777777" w:rsidR="009A0A63" w:rsidRPr="00792B36" w:rsidRDefault="009A0A63" w:rsidP="00A24459">
            <w:pPr>
              <w:jc w:val="center"/>
              <w:rPr>
                <w:sz w:val="24"/>
                <w:szCs w:val="24"/>
              </w:rPr>
            </w:pPr>
            <w:r w:rsidRPr="00792B36">
              <w:rPr>
                <w:color w:val="000000"/>
                <w:sz w:val="24"/>
                <w:szCs w:val="24"/>
              </w:rPr>
              <w:t>2.4</w:t>
            </w:r>
          </w:p>
        </w:tc>
        <w:tc>
          <w:tcPr>
            <w:tcW w:w="1547" w:type="dxa"/>
            <w:vAlign w:val="center"/>
          </w:tcPr>
          <w:p w14:paraId="782E4084" w14:textId="77777777" w:rsidR="009A0A63" w:rsidRPr="00792B36" w:rsidRDefault="009A0A63" w:rsidP="00A24459">
            <w:pPr>
              <w:jc w:val="center"/>
              <w:rPr>
                <w:sz w:val="24"/>
                <w:szCs w:val="24"/>
              </w:rPr>
            </w:pPr>
            <w:r w:rsidRPr="00792B36">
              <w:rPr>
                <w:color w:val="000000"/>
                <w:sz w:val="24"/>
                <w:szCs w:val="24"/>
              </w:rPr>
              <w:t>2.3</w:t>
            </w:r>
          </w:p>
        </w:tc>
      </w:tr>
      <w:tr w:rsidR="009A0A63" w:rsidRPr="00792B36" w14:paraId="767A82D5" w14:textId="77777777" w:rsidTr="00A24459">
        <w:trPr>
          <w:trHeight w:hRule="exact" w:val="340"/>
        </w:trPr>
        <w:tc>
          <w:tcPr>
            <w:tcW w:w="2830" w:type="dxa"/>
            <w:vAlign w:val="center"/>
          </w:tcPr>
          <w:p w14:paraId="143EDA97" w14:textId="77777777" w:rsidR="009A0A63" w:rsidRPr="00792B36" w:rsidRDefault="009A0A63" w:rsidP="00A24459">
            <w:pPr>
              <w:rPr>
                <w:sz w:val="24"/>
                <w:szCs w:val="24"/>
              </w:rPr>
            </w:pPr>
            <w:r w:rsidRPr="00792B36">
              <w:rPr>
                <w:color w:val="000000"/>
                <w:sz w:val="24"/>
                <w:szCs w:val="24"/>
              </w:rPr>
              <w:t>Surat-Thani</w:t>
            </w:r>
          </w:p>
        </w:tc>
        <w:tc>
          <w:tcPr>
            <w:tcW w:w="1546" w:type="dxa"/>
            <w:vAlign w:val="center"/>
          </w:tcPr>
          <w:p w14:paraId="4A548E33" w14:textId="77777777" w:rsidR="009A0A63" w:rsidRPr="00792B36" w:rsidRDefault="009A0A63" w:rsidP="00A24459">
            <w:pPr>
              <w:jc w:val="center"/>
              <w:rPr>
                <w:sz w:val="24"/>
                <w:szCs w:val="24"/>
              </w:rPr>
            </w:pPr>
            <w:r w:rsidRPr="00792B36">
              <w:rPr>
                <w:color w:val="000000"/>
                <w:sz w:val="24"/>
                <w:szCs w:val="24"/>
              </w:rPr>
              <w:t>1.4</w:t>
            </w:r>
          </w:p>
        </w:tc>
        <w:tc>
          <w:tcPr>
            <w:tcW w:w="1547" w:type="dxa"/>
            <w:vAlign w:val="center"/>
          </w:tcPr>
          <w:p w14:paraId="28E00EF9" w14:textId="77777777" w:rsidR="009A0A63" w:rsidRPr="00792B36" w:rsidRDefault="009A0A63" w:rsidP="00A24459">
            <w:pPr>
              <w:jc w:val="center"/>
              <w:rPr>
                <w:sz w:val="24"/>
                <w:szCs w:val="24"/>
              </w:rPr>
            </w:pPr>
            <w:r w:rsidRPr="00792B36">
              <w:rPr>
                <w:color w:val="000000"/>
                <w:sz w:val="24"/>
                <w:szCs w:val="24"/>
              </w:rPr>
              <w:t>1.5</w:t>
            </w:r>
          </w:p>
        </w:tc>
        <w:tc>
          <w:tcPr>
            <w:tcW w:w="1547" w:type="dxa"/>
            <w:vAlign w:val="center"/>
          </w:tcPr>
          <w:p w14:paraId="36AB3522" w14:textId="77777777" w:rsidR="009A0A63" w:rsidRPr="00792B36" w:rsidRDefault="009A0A63" w:rsidP="00A24459">
            <w:pPr>
              <w:jc w:val="center"/>
              <w:rPr>
                <w:sz w:val="24"/>
                <w:szCs w:val="24"/>
              </w:rPr>
            </w:pPr>
            <w:r w:rsidRPr="00792B36">
              <w:rPr>
                <w:color w:val="000000"/>
                <w:sz w:val="24"/>
                <w:szCs w:val="24"/>
              </w:rPr>
              <w:t>1.6</w:t>
            </w:r>
          </w:p>
        </w:tc>
        <w:tc>
          <w:tcPr>
            <w:tcW w:w="1547" w:type="dxa"/>
            <w:vAlign w:val="center"/>
          </w:tcPr>
          <w:p w14:paraId="6122288D" w14:textId="77777777" w:rsidR="009A0A63" w:rsidRPr="00792B36" w:rsidRDefault="009A0A63" w:rsidP="00A24459">
            <w:pPr>
              <w:jc w:val="center"/>
              <w:rPr>
                <w:sz w:val="24"/>
                <w:szCs w:val="24"/>
              </w:rPr>
            </w:pPr>
            <w:r w:rsidRPr="00792B36">
              <w:rPr>
                <w:color w:val="000000"/>
                <w:sz w:val="24"/>
                <w:szCs w:val="24"/>
              </w:rPr>
              <w:t>1.6</w:t>
            </w:r>
          </w:p>
        </w:tc>
      </w:tr>
      <w:tr w:rsidR="009A0A63" w:rsidRPr="00792B36" w14:paraId="34F96BB7" w14:textId="77777777" w:rsidTr="00A24459">
        <w:trPr>
          <w:trHeight w:hRule="exact" w:val="340"/>
        </w:trPr>
        <w:tc>
          <w:tcPr>
            <w:tcW w:w="2830" w:type="dxa"/>
            <w:vAlign w:val="center"/>
          </w:tcPr>
          <w:p w14:paraId="54FA2EDF" w14:textId="77777777" w:rsidR="009A0A63" w:rsidRPr="00792B36" w:rsidRDefault="009A0A63" w:rsidP="00A24459">
            <w:pPr>
              <w:rPr>
                <w:sz w:val="24"/>
                <w:szCs w:val="24"/>
              </w:rPr>
            </w:pPr>
            <w:r w:rsidRPr="00792B36">
              <w:rPr>
                <w:color w:val="000000"/>
                <w:sz w:val="24"/>
                <w:szCs w:val="24"/>
              </w:rPr>
              <w:t>Chumphon</w:t>
            </w:r>
          </w:p>
        </w:tc>
        <w:tc>
          <w:tcPr>
            <w:tcW w:w="1546" w:type="dxa"/>
            <w:vAlign w:val="center"/>
          </w:tcPr>
          <w:p w14:paraId="1CE506D7" w14:textId="77777777" w:rsidR="009A0A63" w:rsidRPr="00792B36" w:rsidRDefault="009A0A63" w:rsidP="00A24459">
            <w:pPr>
              <w:jc w:val="center"/>
              <w:rPr>
                <w:sz w:val="24"/>
                <w:szCs w:val="24"/>
              </w:rPr>
            </w:pPr>
            <w:r w:rsidRPr="00792B36">
              <w:rPr>
                <w:color w:val="000000"/>
                <w:sz w:val="24"/>
                <w:szCs w:val="24"/>
              </w:rPr>
              <w:t>0.7</w:t>
            </w:r>
          </w:p>
        </w:tc>
        <w:tc>
          <w:tcPr>
            <w:tcW w:w="1547" w:type="dxa"/>
            <w:vAlign w:val="center"/>
          </w:tcPr>
          <w:p w14:paraId="19443A2D" w14:textId="77777777" w:rsidR="009A0A63" w:rsidRPr="00792B36" w:rsidRDefault="009A0A63" w:rsidP="00A24459">
            <w:pPr>
              <w:jc w:val="center"/>
              <w:rPr>
                <w:sz w:val="24"/>
                <w:szCs w:val="24"/>
              </w:rPr>
            </w:pPr>
            <w:r w:rsidRPr="00792B36">
              <w:rPr>
                <w:color w:val="000000"/>
                <w:sz w:val="24"/>
                <w:szCs w:val="24"/>
              </w:rPr>
              <w:t>0.8</w:t>
            </w:r>
          </w:p>
        </w:tc>
        <w:tc>
          <w:tcPr>
            <w:tcW w:w="1547" w:type="dxa"/>
            <w:vAlign w:val="center"/>
          </w:tcPr>
          <w:p w14:paraId="6978A28B" w14:textId="77777777" w:rsidR="009A0A63" w:rsidRPr="00792B36" w:rsidRDefault="009A0A63" w:rsidP="00A24459">
            <w:pPr>
              <w:jc w:val="center"/>
              <w:rPr>
                <w:sz w:val="24"/>
                <w:szCs w:val="24"/>
              </w:rPr>
            </w:pPr>
            <w:r w:rsidRPr="00792B36">
              <w:rPr>
                <w:color w:val="000000"/>
                <w:sz w:val="24"/>
                <w:szCs w:val="24"/>
              </w:rPr>
              <w:t>0.8</w:t>
            </w:r>
          </w:p>
        </w:tc>
        <w:tc>
          <w:tcPr>
            <w:tcW w:w="1547" w:type="dxa"/>
            <w:vAlign w:val="center"/>
          </w:tcPr>
          <w:p w14:paraId="5400924D" w14:textId="77777777" w:rsidR="009A0A63" w:rsidRPr="00792B36" w:rsidRDefault="009A0A63" w:rsidP="00A24459">
            <w:pPr>
              <w:jc w:val="center"/>
              <w:rPr>
                <w:sz w:val="24"/>
                <w:szCs w:val="24"/>
              </w:rPr>
            </w:pPr>
            <w:r w:rsidRPr="00792B36">
              <w:rPr>
                <w:color w:val="000000"/>
                <w:sz w:val="24"/>
                <w:szCs w:val="24"/>
              </w:rPr>
              <w:t>0.8</w:t>
            </w:r>
          </w:p>
        </w:tc>
      </w:tr>
      <w:tr w:rsidR="009A0A63" w:rsidRPr="00792B36" w14:paraId="5BA53587" w14:textId="77777777" w:rsidTr="00A24459">
        <w:trPr>
          <w:trHeight w:hRule="exact" w:val="340"/>
        </w:trPr>
        <w:tc>
          <w:tcPr>
            <w:tcW w:w="2830" w:type="dxa"/>
            <w:vAlign w:val="center"/>
          </w:tcPr>
          <w:p w14:paraId="5FA619DB" w14:textId="77777777" w:rsidR="009A0A63" w:rsidRPr="00792B36" w:rsidRDefault="009A0A63" w:rsidP="00A24459">
            <w:pPr>
              <w:rPr>
                <w:sz w:val="24"/>
                <w:szCs w:val="24"/>
              </w:rPr>
            </w:pPr>
            <w:r w:rsidRPr="00792B36">
              <w:rPr>
                <w:color w:val="000000"/>
                <w:sz w:val="24"/>
                <w:szCs w:val="24"/>
              </w:rPr>
              <w:t>Songkhla</w:t>
            </w:r>
          </w:p>
        </w:tc>
        <w:tc>
          <w:tcPr>
            <w:tcW w:w="1546" w:type="dxa"/>
            <w:vAlign w:val="center"/>
          </w:tcPr>
          <w:p w14:paraId="023AC040" w14:textId="77777777" w:rsidR="009A0A63" w:rsidRPr="00792B36" w:rsidRDefault="009A0A63" w:rsidP="00A24459">
            <w:pPr>
              <w:jc w:val="center"/>
              <w:rPr>
                <w:sz w:val="24"/>
                <w:szCs w:val="24"/>
              </w:rPr>
            </w:pPr>
            <w:r w:rsidRPr="00792B36">
              <w:rPr>
                <w:color w:val="000000"/>
                <w:sz w:val="24"/>
                <w:szCs w:val="24"/>
              </w:rPr>
              <w:t>2.0</w:t>
            </w:r>
          </w:p>
        </w:tc>
        <w:tc>
          <w:tcPr>
            <w:tcW w:w="1547" w:type="dxa"/>
            <w:vAlign w:val="center"/>
          </w:tcPr>
          <w:p w14:paraId="22EE1AFD" w14:textId="77777777" w:rsidR="009A0A63" w:rsidRPr="00792B36" w:rsidRDefault="009A0A63" w:rsidP="00A24459">
            <w:pPr>
              <w:jc w:val="center"/>
              <w:rPr>
                <w:sz w:val="24"/>
                <w:szCs w:val="24"/>
              </w:rPr>
            </w:pPr>
            <w:r w:rsidRPr="00792B36">
              <w:rPr>
                <w:color w:val="000000"/>
                <w:sz w:val="24"/>
                <w:szCs w:val="24"/>
              </w:rPr>
              <w:t>2.1</w:t>
            </w:r>
          </w:p>
        </w:tc>
        <w:tc>
          <w:tcPr>
            <w:tcW w:w="1547" w:type="dxa"/>
            <w:vAlign w:val="center"/>
          </w:tcPr>
          <w:p w14:paraId="238E172F" w14:textId="77777777" w:rsidR="009A0A63" w:rsidRPr="00792B36" w:rsidRDefault="009A0A63" w:rsidP="00A24459">
            <w:pPr>
              <w:jc w:val="center"/>
              <w:rPr>
                <w:sz w:val="24"/>
                <w:szCs w:val="24"/>
              </w:rPr>
            </w:pPr>
            <w:r w:rsidRPr="00792B36">
              <w:rPr>
                <w:color w:val="000000"/>
                <w:sz w:val="24"/>
                <w:szCs w:val="24"/>
              </w:rPr>
              <w:t>2.1</w:t>
            </w:r>
          </w:p>
        </w:tc>
        <w:tc>
          <w:tcPr>
            <w:tcW w:w="1547" w:type="dxa"/>
            <w:vAlign w:val="center"/>
          </w:tcPr>
          <w:p w14:paraId="1D1C2431" w14:textId="77777777" w:rsidR="009A0A63" w:rsidRPr="00792B36" w:rsidRDefault="009A0A63" w:rsidP="00A24459">
            <w:pPr>
              <w:jc w:val="center"/>
              <w:rPr>
                <w:sz w:val="24"/>
                <w:szCs w:val="24"/>
              </w:rPr>
            </w:pPr>
            <w:r w:rsidRPr="00792B36">
              <w:rPr>
                <w:color w:val="000000"/>
                <w:sz w:val="24"/>
                <w:szCs w:val="24"/>
              </w:rPr>
              <w:t>2.2</w:t>
            </w:r>
          </w:p>
        </w:tc>
      </w:tr>
      <w:tr w:rsidR="009A0A63" w:rsidRPr="00792B36" w14:paraId="6752B40D" w14:textId="77777777" w:rsidTr="00A24459">
        <w:trPr>
          <w:trHeight w:hRule="exact" w:val="340"/>
        </w:trPr>
        <w:tc>
          <w:tcPr>
            <w:tcW w:w="2830" w:type="dxa"/>
            <w:vAlign w:val="center"/>
          </w:tcPr>
          <w:p w14:paraId="6C03720D" w14:textId="77777777" w:rsidR="009A0A63" w:rsidRPr="00792B36" w:rsidRDefault="009A0A63" w:rsidP="00A24459">
            <w:pPr>
              <w:rPr>
                <w:sz w:val="24"/>
                <w:szCs w:val="24"/>
              </w:rPr>
            </w:pPr>
            <w:r w:rsidRPr="00792B36">
              <w:rPr>
                <w:color w:val="000000"/>
                <w:sz w:val="24"/>
                <w:szCs w:val="24"/>
              </w:rPr>
              <w:t>Pattani</w:t>
            </w:r>
          </w:p>
        </w:tc>
        <w:tc>
          <w:tcPr>
            <w:tcW w:w="1546" w:type="dxa"/>
            <w:vAlign w:val="center"/>
          </w:tcPr>
          <w:p w14:paraId="5B3B6025" w14:textId="77777777" w:rsidR="009A0A63" w:rsidRPr="00792B36" w:rsidRDefault="009A0A63" w:rsidP="00A24459">
            <w:pPr>
              <w:jc w:val="center"/>
              <w:rPr>
                <w:sz w:val="24"/>
                <w:szCs w:val="24"/>
              </w:rPr>
            </w:pPr>
            <w:r w:rsidRPr="00792B36">
              <w:rPr>
                <w:color w:val="000000"/>
                <w:sz w:val="24"/>
                <w:szCs w:val="24"/>
              </w:rPr>
              <w:t>1.0</w:t>
            </w:r>
          </w:p>
        </w:tc>
        <w:tc>
          <w:tcPr>
            <w:tcW w:w="1547" w:type="dxa"/>
            <w:vAlign w:val="center"/>
          </w:tcPr>
          <w:p w14:paraId="0FE45C36" w14:textId="77777777" w:rsidR="009A0A63" w:rsidRPr="00792B36" w:rsidRDefault="009A0A63" w:rsidP="00A24459">
            <w:pPr>
              <w:jc w:val="center"/>
              <w:rPr>
                <w:sz w:val="24"/>
                <w:szCs w:val="24"/>
              </w:rPr>
            </w:pPr>
            <w:r w:rsidRPr="00792B36">
              <w:rPr>
                <w:color w:val="000000"/>
                <w:sz w:val="24"/>
                <w:szCs w:val="24"/>
              </w:rPr>
              <w:t>1.0</w:t>
            </w:r>
          </w:p>
        </w:tc>
        <w:tc>
          <w:tcPr>
            <w:tcW w:w="1547" w:type="dxa"/>
            <w:vAlign w:val="center"/>
          </w:tcPr>
          <w:p w14:paraId="46B24541" w14:textId="77777777" w:rsidR="009A0A63" w:rsidRPr="00792B36" w:rsidRDefault="009A0A63" w:rsidP="00A24459">
            <w:pPr>
              <w:jc w:val="center"/>
              <w:rPr>
                <w:sz w:val="24"/>
                <w:szCs w:val="24"/>
              </w:rPr>
            </w:pPr>
            <w:r w:rsidRPr="00792B36">
              <w:rPr>
                <w:color w:val="000000"/>
                <w:sz w:val="24"/>
                <w:szCs w:val="24"/>
              </w:rPr>
              <w:t>1.0</w:t>
            </w:r>
          </w:p>
        </w:tc>
        <w:tc>
          <w:tcPr>
            <w:tcW w:w="1547" w:type="dxa"/>
            <w:vAlign w:val="center"/>
          </w:tcPr>
          <w:p w14:paraId="4017ACF3" w14:textId="77777777" w:rsidR="009A0A63" w:rsidRPr="00792B36" w:rsidRDefault="009A0A63" w:rsidP="00A24459">
            <w:pPr>
              <w:jc w:val="center"/>
              <w:rPr>
                <w:sz w:val="24"/>
                <w:szCs w:val="24"/>
              </w:rPr>
            </w:pPr>
            <w:r w:rsidRPr="00792B36">
              <w:rPr>
                <w:color w:val="000000"/>
                <w:sz w:val="24"/>
                <w:szCs w:val="24"/>
              </w:rPr>
              <w:t>1.1</w:t>
            </w:r>
          </w:p>
        </w:tc>
      </w:tr>
      <w:tr w:rsidR="009A0A63" w:rsidRPr="00792B36" w14:paraId="4E895262" w14:textId="77777777" w:rsidTr="00A24459">
        <w:trPr>
          <w:trHeight w:hRule="exact" w:val="340"/>
        </w:trPr>
        <w:tc>
          <w:tcPr>
            <w:tcW w:w="2830" w:type="dxa"/>
            <w:vAlign w:val="center"/>
          </w:tcPr>
          <w:p w14:paraId="6AD24564" w14:textId="77777777" w:rsidR="009A0A63" w:rsidRPr="00792B36" w:rsidRDefault="009A0A63" w:rsidP="00A24459">
            <w:pPr>
              <w:rPr>
                <w:sz w:val="24"/>
                <w:szCs w:val="24"/>
              </w:rPr>
            </w:pPr>
            <w:r w:rsidRPr="00792B36">
              <w:rPr>
                <w:color w:val="000000"/>
                <w:sz w:val="24"/>
                <w:szCs w:val="24"/>
              </w:rPr>
              <w:t>Narathiwat</w:t>
            </w:r>
          </w:p>
        </w:tc>
        <w:tc>
          <w:tcPr>
            <w:tcW w:w="1546" w:type="dxa"/>
            <w:vAlign w:val="center"/>
          </w:tcPr>
          <w:p w14:paraId="1FBCF209" w14:textId="77777777" w:rsidR="009A0A63" w:rsidRPr="00792B36" w:rsidRDefault="009A0A63" w:rsidP="00A24459">
            <w:pPr>
              <w:jc w:val="center"/>
              <w:rPr>
                <w:sz w:val="24"/>
                <w:szCs w:val="24"/>
              </w:rPr>
            </w:pPr>
            <w:r w:rsidRPr="00792B36">
              <w:rPr>
                <w:color w:val="000000"/>
                <w:sz w:val="24"/>
                <w:szCs w:val="24"/>
              </w:rPr>
              <w:t>1.1</w:t>
            </w:r>
          </w:p>
        </w:tc>
        <w:tc>
          <w:tcPr>
            <w:tcW w:w="1547" w:type="dxa"/>
            <w:vAlign w:val="center"/>
          </w:tcPr>
          <w:p w14:paraId="2E9DFB8B" w14:textId="77777777" w:rsidR="009A0A63" w:rsidRPr="00792B36" w:rsidRDefault="009A0A63" w:rsidP="00A24459">
            <w:pPr>
              <w:jc w:val="center"/>
              <w:rPr>
                <w:sz w:val="24"/>
                <w:szCs w:val="24"/>
              </w:rPr>
            </w:pPr>
            <w:r w:rsidRPr="00792B36">
              <w:rPr>
                <w:color w:val="000000"/>
                <w:sz w:val="24"/>
                <w:szCs w:val="24"/>
              </w:rPr>
              <w:t>1.1</w:t>
            </w:r>
          </w:p>
        </w:tc>
        <w:tc>
          <w:tcPr>
            <w:tcW w:w="1547" w:type="dxa"/>
            <w:vAlign w:val="center"/>
          </w:tcPr>
          <w:p w14:paraId="7DC7C6C7" w14:textId="77777777" w:rsidR="009A0A63" w:rsidRPr="00792B36" w:rsidRDefault="009A0A63" w:rsidP="00A24459">
            <w:pPr>
              <w:jc w:val="center"/>
              <w:rPr>
                <w:sz w:val="24"/>
                <w:szCs w:val="24"/>
              </w:rPr>
            </w:pPr>
            <w:r w:rsidRPr="00792B36">
              <w:rPr>
                <w:color w:val="000000"/>
                <w:sz w:val="24"/>
                <w:szCs w:val="24"/>
              </w:rPr>
              <w:t>1.2</w:t>
            </w:r>
          </w:p>
        </w:tc>
        <w:tc>
          <w:tcPr>
            <w:tcW w:w="1547" w:type="dxa"/>
            <w:vAlign w:val="center"/>
          </w:tcPr>
          <w:p w14:paraId="7421C4D7" w14:textId="77777777" w:rsidR="009A0A63" w:rsidRPr="00792B36" w:rsidRDefault="009A0A63" w:rsidP="00A24459">
            <w:pPr>
              <w:jc w:val="center"/>
              <w:rPr>
                <w:sz w:val="24"/>
                <w:szCs w:val="24"/>
              </w:rPr>
            </w:pPr>
            <w:r w:rsidRPr="00792B36">
              <w:rPr>
                <w:color w:val="000000"/>
                <w:sz w:val="24"/>
                <w:szCs w:val="24"/>
              </w:rPr>
              <w:t>1.2</w:t>
            </w:r>
          </w:p>
        </w:tc>
      </w:tr>
      <w:tr w:rsidR="009A0A63" w:rsidRPr="00792B36" w14:paraId="26A4596D" w14:textId="77777777" w:rsidTr="00A24459">
        <w:trPr>
          <w:trHeight w:hRule="exact" w:val="340"/>
        </w:trPr>
        <w:tc>
          <w:tcPr>
            <w:tcW w:w="2830" w:type="dxa"/>
            <w:vAlign w:val="center"/>
          </w:tcPr>
          <w:p w14:paraId="052A5132" w14:textId="77777777" w:rsidR="009A0A63" w:rsidRPr="00792B36" w:rsidRDefault="009A0A63" w:rsidP="00A24459">
            <w:pPr>
              <w:rPr>
                <w:sz w:val="24"/>
                <w:szCs w:val="24"/>
              </w:rPr>
            </w:pPr>
            <w:r w:rsidRPr="00792B36">
              <w:rPr>
                <w:color w:val="000000"/>
                <w:sz w:val="24"/>
                <w:szCs w:val="24"/>
              </w:rPr>
              <w:t>Bangkok</w:t>
            </w:r>
          </w:p>
        </w:tc>
        <w:tc>
          <w:tcPr>
            <w:tcW w:w="1546" w:type="dxa"/>
            <w:vAlign w:val="center"/>
          </w:tcPr>
          <w:p w14:paraId="4379AB9A" w14:textId="77777777" w:rsidR="009A0A63" w:rsidRPr="00792B36" w:rsidRDefault="009A0A63" w:rsidP="00A24459">
            <w:pPr>
              <w:jc w:val="center"/>
              <w:rPr>
                <w:sz w:val="24"/>
                <w:szCs w:val="24"/>
              </w:rPr>
            </w:pPr>
            <w:r w:rsidRPr="00792B36">
              <w:rPr>
                <w:color w:val="000000"/>
                <w:sz w:val="24"/>
                <w:szCs w:val="24"/>
              </w:rPr>
              <w:t>9.2</w:t>
            </w:r>
          </w:p>
        </w:tc>
        <w:tc>
          <w:tcPr>
            <w:tcW w:w="1547" w:type="dxa"/>
            <w:vAlign w:val="center"/>
          </w:tcPr>
          <w:p w14:paraId="2DB914E1" w14:textId="77777777" w:rsidR="009A0A63" w:rsidRPr="00792B36" w:rsidRDefault="009A0A63" w:rsidP="00A24459">
            <w:pPr>
              <w:jc w:val="center"/>
              <w:rPr>
                <w:sz w:val="24"/>
                <w:szCs w:val="24"/>
              </w:rPr>
            </w:pPr>
            <w:r w:rsidRPr="00792B36">
              <w:rPr>
                <w:color w:val="000000"/>
                <w:sz w:val="24"/>
                <w:szCs w:val="24"/>
              </w:rPr>
              <w:t>9.1</w:t>
            </w:r>
          </w:p>
        </w:tc>
        <w:tc>
          <w:tcPr>
            <w:tcW w:w="1547" w:type="dxa"/>
            <w:vAlign w:val="center"/>
          </w:tcPr>
          <w:p w14:paraId="3062BEBA" w14:textId="77777777" w:rsidR="009A0A63" w:rsidRPr="00792B36" w:rsidRDefault="009A0A63" w:rsidP="00A24459">
            <w:pPr>
              <w:jc w:val="center"/>
              <w:rPr>
                <w:sz w:val="24"/>
                <w:szCs w:val="24"/>
              </w:rPr>
            </w:pPr>
            <w:r w:rsidRPr="00792B36">
              <w:rPr>
                <w:color w:val="000000"/>
                <w:sz w:val="24"/>
                <w:szCs w:val="24"/>
              </w:rPr>
              <w:t>8.9</w:t>
            </w:r>
          </w:p>
        </w:tc>
        <w:tc>
          <w:tcPr>
            <w:tcW w:w="1547" w:type="dxa"/>
            <w:vAlign w:val="center"/>
          </w:tcPr>
          <w:p w14:paraId="573BA7E1" w14:textId="77777777" w:rsidR="009A0A63" w:rsidRPr="00792B36" w:rsidRDefault="009A0A63" w:rsidP="00A24459">
            <w:pPr>
              <w:jc w:val="center"/>
              <w:rPr>
                <w:sz w:val="24"/>
                <w:szCs w:val="24"/>
              </w:rPr>
            </w:pPr>
            <w:r w:rsidRPr="00792B36">
              <w:rPr>
                <w:color w:val="000000"/>
                <w:sz w:val="24"/>
                <w:szCs w:val="24"/>
              </w:rPr>
              <w:t>8.4</w:t>
            </w:r>
          </w:p>
        </w:tc>
      </w:tr>
    </w:tbl>
    <w:p w14:paraId="0A0779A7" w14:textId="77777777" w:rsidR="009A0A63" w:rsidRPr="00792B36" w:rsidRDefault="009A0A63" w:rsidP="009A0A63">
      <w:pPr>
        <w:pBdr>
          <w:top w:val="nil"/>
          <w:left w:val="nil"/>
          <w:bottom w:val="nil"/>
          <w:right w:val="nil"/>
          <w:between w:val="nil"/>
        </w:pBdr>
        <w:spacing w:line="360" w:lineRule="auto"/>
        <w:contextualSpacing/>
        <w:rPr>
          <w:color w:val="000000" w:themeColor="text1"/>
          <w:sz w:val="24"/>
          <w:szCs w:val="24"/>
        </w:rPr>
      </w:pPr>
      <w:r w:rsidRPr="00792B36">
        <w:rPr>
          <w:color w:val="000000" w:themeColor="text1"/>
          <w:sz w:val="24"/>
          <w:szCs w:val="24"/>
        </w:rPr>
        <w:t xml:space="preserve">Source: Author’s calculation based on data from Department of Provincial Administration. 2025. Official statistics registration systems. </w:t>
      </w:r>
      <w:r w:rsidRPr="00792B36">
        <w:rPr>
          <w:sz w:val="24"/>
          <w:szCs w:val="24"/>
        </w:rPr>
        <w:fldChar w:fldCharType="begin"/>
      </w:r>
      <w:r w:rsidRPr="00792B36">
        <w:rPr>
          <w:sz w:val="24"/>
          <w:szCs w:val="24"/>
        </w:rPr>
        <w:instrText>HYPERLINK "https://stat.bora.dopa.go.th/stat/statnew/statMenu/newStat/home.php"</w:instrText>
      </w:r>
      <w:r w:rsidRPr="00792B36">
        <w:rPr>
          <w:sz w:val="24"/>
          <w:szCs w:val="24"/>
        </w:rPr>
      </w:r>
      <w:r w:rsidRPr="00792B36">
        <w:rPr>
          <w:sz w:val="24"/>
          <w:szCs w:val="24"/>
        </w:rPr>
        <w:fldChar w:fldCharType="separate"/>
      </w:r>
      <w:r w:rsidRPr="00792B36">
        <w:rPr>
          <w:rStyle w:val="Hyperlink"/>
          <w:color w:val="000000" w:themeColor="text1"/>
          <w:sz w:val="24"/>
          <w:szCs w:val="24"/>
        </w:rPr>
        <w:t>https://stat.bora.dopa.go.th/stat/statnew/statMenu/newStat/home.php</w:t>
      </w:r>
      <w:r w:rsidRPr="00792B36">
        <w:rPr>
          <w:sz w:val="24"/>
          <w:szCs w:val="24"/>
        </w:rPr>
        <w:fldChar w:fldCharType="end"/>
      </w:r>
      <w:r w:rsidRPr="00792B36">
        <w:rPr>
          <w:color w:val="000000" w:themeColor="text1"/>
          <w:sz w:val="24"/>
          <w:szCs w:val="24"/>
        </w:rPr>
        <w:t xml:space="preserve"> (accessed 19 April 2025)</w:t>
      </w:r>
    </w:p>
    <w:p w14:paraId="5BD2A0FB" w14:textId="77777777" w:rsidR="009A0A63" w:rsidRPr="00792B36" w:rsidRDefault="009A0A63" w:rsidP="009A0A63">
      <w:pPr>
        <w:spacing w:line="360" w:lineRule="auto"/>
        <w:rPr>
          <w:sz w:val="24"/>
          <w:szCs w:val="24"/>
        </w:rPr>
      </w:pPr>
    </w:p>
    <w:p w14:paraId="3A76A88E" w14:textId="77777777" w:rsidR="009A0A63" w:rsidRPr="00792B36" w:rsidRDefault="009A0A63" w:rsidP="009A0A63">
      <w:pPr>
        <w:spacing w:line="360" w:lineRule="auto"/>
        <w:rPr>
          <w:sz w:val="24"/>
          <w:szCs w:val="24"/>
        </w:rPr>
      </w:pPr>
    </w:p>
    <w:p w14:paraId="752D3496" w14:textId="77777777" w:rsidR="009A0A63" w:rsidRPr="00792B36" w:rsidRDefault="009A0A63" w:rsidP="009A0A63">
      <w:pPr>
        <w:spacing w:line="360" w:lineRule="auto"/>
        <w:rPr>
          <w:sz w:val="24"/>
          <w:szCs w:val="24"/>
        </w:rPr>
      </w:pPr>
    </w:p>
    <w:p w14:paraId="62475900" w14:textId="77777777" w:rsidR="009A0A63" w:rsidRPr="00792B36" w:rsidRDefault="009A0A63" w:rsidP="009A0A63">
      <w:pPr>
        <w:spacing w:line="360" w:lineRule="auto"/>
        <w:rPr>
          <w:sz w:val="24"/>
          <w:szCs w:val="24"/>
        </w:rPr>
      </w:pPr>
    </w:p>
    <w:p w14:paraId="662E2E3D" w14:textId="77777777" w:rsidR="009A0A63" w:rsidRPr="00792B36" w:rsidRDefault="009A0A63" w:rsidP="009A0A63">
      <w:pPr>
        <w:spacing w:line="360" w:lineRule="auto"/>
        <w:rPr>
          <w:sz w:val="24"/>
          <w:szCs w:val="24"/>
        </w:rPr>
      </w:pPr>
    </w:p>
    <w:p w14:paraId="14B0C0D1" w14:textId="77777777" w:rsidR="009A0A63" w:rsidRPr="00792B36" w:rsidRDefault="009A0A63" w:rsidP="009A0A63">
      <w:pPr>
        <w:spacing w:line="360" w:lineRule="auto"/>
        <w:rPr>
          <w:sz w:val="24"/>
          <w:szCs w:val="24"/>
        </w:rPr>
      </w:pPr>
    </w:p>
    <w:p w14:paraId="5BE1BF8E" w14:textId="77777777" w:rsidR="009A0A63" w:rsidRPr="00792B36" w:rsidRDefault="009A0A63" w:rsidP="009A0A63">
      <w:pPr>
        <w:spacing w:line="360" w:lineRule="auto"/>
        <w:rPr>
          <w:sz w:val="24"/>
          <w:szCs w:val="24"/>
        </w:rPr>
      </w:pPr>
    </w:p>
    <w:p w14:paraId="7E7E9C2C" w14:textId="77777777" w:rsidR="009A0A63" w:rsidRPr="00792B36" w:rsidRDefault="009A0A63" w:rsidP="009A0A63">
      <w:pPr>
        <w:spacing w:line="360" w:lineRule="auto"/>
        <w:rPr>
          <w:sz w:val="24"/>
          <w:szCs w:val="24"/>
        </w:rPr>
      </w:pPr>
    </w:p>
    <w:p w14:paraId="5A3A5246" w14:textId="77777777" w:rsidR="009A0A63" w:rsidRPr="00792B36" w:rsidRDefault="009A0A63" w:rsidP="009A0A63">
      <w:pPr>
        <w:spacing w:line="360" w:lineRule="auto"/>
        <w:rPr>
          <w:sz w:val="24"/>
          <w:szCs w:val="24"/>
        </w:rPr>
      </w:pPr>
    </w:p>
    <w:p w14:paraId="0A731EE0" w14:textId="77777777" w:rsidR="009A0A63" w:rsidRPr="00792B36" w:rsidRDefault="009A0A63" w:rsidP="009A0A63">
      <w:pPr>
        <w:spacing w:line="360" w:lineRule="auto"/>
        <w:rPr>
          <w:sz w:val="24"/>
          <w:szCs w:val="24"/>
        </w:rPr>
      </w:pPr>
    </w:p>
    <w:p w14:paraId="7D7429E0" w14:textId="77777777" w:rsidR="009A0A63" w:rsidRPr="00792B36" w:rsidRDefault="009A0A63" w:rsidP="009A0A63">
      <w:pPr>
        <w:spacing w:line="360" w:lineRule="auto"/>
        <w:rPr>
          <w:sz w:val="24"/>
          <w:szCs w:val="24"/>
        </w:rPr>
      </w:pPr>
    </w:p>
    <w:p w14:paraId="6C77608C" w14:textId="77777777" w:rsidR="009A0A63" w:rsidRPr="00792B36" w:rsidRDefault="009A0A63" w:rsidP="009A0A63">
      <w:pPr>
        <w:spacing w:line="360" w:lineRule="auto"/>
        <w:rPr>
          <w:sz w:val="24"/>
          <w:szCs w:val="24"/>
        </w:rPr>
      </w:pPr>
    </w:p>
    <w:p w14:paraId="3ABFC389" w14:textId="77777777" w:rsidR="009A0A63" w:rsidRPr="00792B36" w:rsidRDefault="009A0A63" w:rsidP="009A0A63">
      <w:pPr>
        <w:spacing w:line="360" w:lineRule="auto"/>
        <w:rPr>
          <w:sz w:val="24"/>
          <w:szCs w:val="24"/>
        </w:rPr>
      </w:pPr>
    </w:p>
    <w:p w14:paraId="69BD2F2A" w14:textId="77777777" w:rsidR="009A0A63" w:rsidRPr="00792B36" w:rsidRDefault="009A0A63" w:rsidP="009A0A63">
      <w:pPr>
        <w:spacing w:line="360" w:lineRule="auto"/>
        <w:rPr>
          <w:sz w:val="24"/>
          <w:szCs w:val="24"/>
        </w:rPr>
      </w:pPr>
      <w:r w:rsidRPr="00792B36">
        <w:rPr>
          <w:b/>
          <w:bCs/>
          <w:sz w:val="24"/>
          <w:szCs w:val="24"/>
        </w:rPr>
        <w:lastRenderedPageBreak/>
        <w:t xml:space="preserve">Annex 2.6 </w:t>
      </w:r>
      <w:r w:rsidRPr="00792B36">
        <w:rPr>
          <w:color w:val="000000" w:themeColor="text1"/>
          <w:sz w:val="24"/>
          <w:szCs w:val="24"/>
        </w:rPr>
        <w:t>Population density of Thailand and coastal provinces (person/km</w:t>
      </w:r>
      <w:r w:rsidRPr="00792B36">
        <w:rPr>
          <w:color w:val="000000" w:themeColor="text1"/>
          <w:sz w:val="24"/>
          <w:szCs w:val="24"/>
          <w:vertAlign w:val="superscript"/>
        </w:rPr>
        <w:t>2</w:t>
      </w:r>
      <w:r w:rsidRPr="00792B36">
        <w:rPr>
          <w:color w:val="000000" w:themeColor="text1"/>
          <w:sz w:val="24"/>
          <w:szCs w:val="24"/>
        </w:rPr>
        <w:t>) along the Gulf of Thailand (2000, 2005, 2010, 2020)</w:t>
      </w:r>
    </w:p>
    <w:tbl>
      <w:tblPr>
        <w:tblStyle w:val="TableGrid"/>
        <w:tblW w:w="0" w:type="auto"/>
        <w:tblLook w:val="04A0" w:firstRow="1" w:lastRow="0" w:firstColumn="1" w:lastColumn="0" w:noHBand="0" w:noVBand="1"/>
      </w:tblPr>
      <w:tblGrid>
        <w:gridCol w:w="2936"/>
        <w:gridCol w:w="1520"/>
        <w:gridCol w:w="1520"/>
        <w:gridCol w:w="1520"/>
        <w:gridCol w:w="1521"/>
      </w:tblGrid>
      <w:tr w:rsidR="009A0A63" w:rsidRPr="00792B36" w14:paraId="6221BC04" w14:textId="77777777" w:rsidTr="00A24459">
        <w:trPr>
          <w:trHeight w:val="340"/>
        </w:trPr>
        <w:tc>
          <w:tcPr>
            <w:tcW w:w="2936" w:type="dxa"/>
            <w:vAlign w:val="center"/>
          </w:tcPr>
          <w:p w14:paraId="19C75AA4" w14:textId="77777777" w:rsidR="009A0A63" w:rsidRPr="00792B36" w:rsidRDefault="009A0A63" w:rsidP="00A24459">
            <w:pPr>
              <w:jc w:val="center"/>
              <w:rPr>
                <w:b/>
                <w:bCs/>
                <w:sz w:val="24"/>
                <w:szCs w:val="24"/>
              </w:rPr>
            </w:pPr>
            <w:r w:rsidRPr="00792B36">
              <w:rPr>
                <w:b/>
                <w:bCs/>
                <w:color w:val="000000"/>
                <w:sz w:val="24"/>
                <w:szCs w:val="24"/>
              </w:rPr>
              <w:t>Provinces</w:t>
            </w:r>
          </w:p>
        </w:tc>
        <w:tc>
          <w:tcPr>
            <w:tcW w:w="1520" w:type="dxa"/>
            <w:vAlign w:val="center"/>
          </w:tcPr>
          <w:p w14:paraId="0FED0D23" w14:textId="77777777" w:rsidR="009A0A63" w:rsidRPr="00792B36" w:rsidRDefault="009A0A63" w:rsidP="00A24459">
            <w:pPr>
              <w:jc w:val="center"/>
              <w:rPr>
                <w:b/>
                <w:bCs/>
                <w:sz w:val="24"/>
                <w:szCs w:val="24"/>
              </w:rPr>
            </w:pPr>
            <w:r w:rsidRPr="00792B36">
              <w:rPr>
                <w:b/>
                <w:bCs/>
                <w:color w:val="000000"/>
                <w:sz w:val="24"/>
                <w:szCs w:val="24"/>
              </w:rPr>
              <w:t>2000</w:t>
            </w:r>
          </w:p>
        </w:tc>
        <w:tc>
          <w:tcPr>
            <w:tcW w:w="1520" w:type="dxa"/>
            <w:vAlign w:val="center"/>
          </w:tcPr>
          <w:p w14:paraId="141DBD1A" w14:textId="77777777" w:rsidR="009A0A63" w:rsidRPr="00792B36" w:rsidRDefault="009A0A63" w:rsidP="00A24459">
            <w:pPr>
              <w:jc w:val="center"/>
              <w:rPr>
                <w:b/>
                <w:bCs/>
                <w:sz w:val="24"/>
                <w:szCs w:val="24"/>
              </w:rPr>
            </w:pPr>
            <w:r w:rsidRPr="00792B36">
              <w:rPr>
                <w:b/>
                <w:bCs/>
                <w:color w:val="000000"/>
                <w:sz w:val="24"/>
                <w:szCs w:val="24"/>
              </w:rPr>
              <w:t>2005</w:t>
            </w:r>
          </w:p>
        </w:tc>
        <w:tc>
          <w:tcPr>
            <w:tcW w:w="1520" w:type="dxa"/>
            <w:vAlign w:val="center"/>
          </w:tcPr>
          <w:p w14:paraId="53EC4990" w14:textId="77777777" w:rsidR="009A0A63" w:rsidRPr="00792B36" w:rsidRDefault="009A0A63" w:rsidP="00A24459">
            <w:pPr>
              <w:jc w:val="center"/>
              <w:rPr>
                <w:b/>
                <w:bCs/>
                <w:sz w:val="24"/>
                <w:szCs w:val="24"/>
              </w:rPr>
            </w:pPr>
            <w:r w:rsidRPr="00792B36">
              <w:rPr>
                <w:b/>
                <w:bCs/>
                <w:color w:val="000000"/>
                <w:sz w:val="24"/>
                <w:szCs w:val="24"/>
              </w:rPr>
              <w:t>2010</w:t>
            </w:r>
          </w:p>
        </w:tc>
        <w:tc>
          <w:tcPr>
            <w:tcW w:w="1521" w:type="dxa"/>
            <w:vAlign w:val="center"/>
          </w:tcPr>
          <w:p w14:paraId="2ACEFF37" w14:textId="77777777" w:rsidR="009A0A63" w:rsidRPr="00792B36" w:rsidRDefault="009A0A63" w:rsidP="00A24459">
            <w:pPr>
              <w:jc w:val="center"/>
              <w:rPr>
                <w:b/>
                <w:bCs/>
                <w:sz w:val="24"/>
                <w:szCs w:val="24"/>
              </w:rPr>
            </w:pPr>
            <w:r w:rsidRPr="00792B36">
              <w:rPr>
                <w:b/>
                <w:bCs/>
                <w:color w:val="000000"/>
                <w:sz w:val="24"/>
                <w:szCs w:val="24"/>
              </w:rPr>
              <w:t>2020</w:t>
            </w:r>
          </w:p>
        </w:tc>
      </w:tr>
      <w:tr w:rsidR="009A0A63" w:rsidRPr="00792B36" w14:paraId="414EE93A" w14:textId="77777777" w:rsidTr="00A24459">
        <w:trPr>
          <w:trHeight w:val="340"/>
        </w:trPr>
        <w:tc>
          <w:tcPr>
            <w:tcW w:w="2936" w:type="dxa"/>
            <w:vAlign w:val="center"/>
          </w:tcPr>
          <w:p w14:paraId="4336D9E4" w14:textId="77777777" w:rsidR="009A0A63" w:rsidRPr="00792B36" w:rsidRDefault="009A0A63" w:rsidP="00A24459">
            <w:pPr>
              <w:rPr>
                <w:sz w:val="24"/>
                <w:szCs w:val="24"/>
              </w:rPr>
            </w:pPr>
            <w:r w:rsidRPr="00792B36">
              <w:rPr>
                <w:color w:val="000000"/>
                <w:sz w:val="24"/>
                <w:szCs w:val="24"/>
              </w:rPr>
              <w:t>Rayong</w:t>
            </w:r>
          </w:p>
        </w:tc>
        <w:tc>
          <w:tcPr>
            <w:tcW w:w="1520" w:type="dxa"/>
            <w:vAlign w:val="center"/>
          </w:tcPr>
          <w:p w14:paraId="2A51E402" w14:textId="77777777" w:rsidR="009A0A63" w:rsidRPr="00792B36" w:rsidRDefault="009A0A63" w:rsidP="00A24459">
            <w:pPr>
              <w:jc w:val="center"/>
              <w:rPr>
                <w:sz w:val="24"/>
                <w:szCs w:val="24"/>
              </w:rPr>
            </w:pPr>
            <w:r w:rsidRPr="00792B36">
              <w:rPr>
                <w:color w:val="000000"/>
                <w:sz w:val="24"/>
                <w:szCs w:val="24"/>
              </w:rPr>
              <w:t>147</w:t>
            </w:r>
          </w:p>
        </w:tc>
        <w:tc>
          <w:tcPr>
            <w:tcW w:w="1520" w:type="dxa"/>
            <w:vAlign w:val="center"/>
          </w:tcPr>
          <w:p w14:paraId="22A4F4F3" w14:textId="77777777" w:rsidR="009A0A63" w:rsidRPr="00792B36" w:rsidRDefault="009A0A63" w:rsidP="00A24459">
            <w:pPr>
              <w:jc w:val="center"/>
              <w:rPr>
                <w:sz w:val="24"/>
                <w:szCs w:val="24"/>
              </w:rPr>
            </w:pPr>
            <w:r w:rsidRPr="00792B36">
              <w:rPr>
                <w:color w:val="000000"/>
                <w:sz w:val="24"/>
                <w:szCs w:val="24"/>
              </w:rPr>
              <w:t>157</w:t>
            </w:r>
          </w:p>
        </w:tc>
        <w:tc>
          <w:tcPr>
            <w:tcW w:w="1520" w:type="dxa"/>
            <w:vAlign w:val="center"/>
          </w:tcPr>
          <w:p w14:paraId="2D55C80C" w14:textId="77777777" w:rsidR="009A0A63" w:rsidRPr="00792B36" w:rsidRDefault="009A0A63" w:rsidP="00A24459">
            <w:pPr>
              <w:jc w:val="center"/>
              <w:rPr>
                <w:sz w:val="24"/>
                <w:szCs w:val="24"/>
              </w:rPr>
            </w:pPr>
            <w:r w:rsidRPr="00792B36">
              <w:rPr>
                <w:color w:val="000000"/>
                <w:sz w:val="24"/>
                <w:szCs w:val="24"/>
              </w:rPr>
              <w:t>176</w:t>
            </w:r>
          </w:p>
        </w:tc>
        <w:tc>
          <w:tcPr>
            <w:tcW w:w="1521" w:type="dxa"/>
            <w:vAlign w:val="center"/>
          </w:tcPr>
          <w:p w14:paraId="4EE84FEC" w14:textId="77777777" w:rsidR="009A0A63" w:rsidRPr="00792B36" w:rsidRDefault="009A0A63" w:rsidP="00A24459">
            <w:pPr>
              <w:jc w:val="center"/>
              <w:rPr>
                <w:sz w:val="24"/>
                <w:szCs w:val="24"/>
              </w:rPr>
            </w:pPr>
            <w:r w:rsidRPr="00792B36">
              <w:rPr>
                <w:color w:val="000000"/>
                <w:sz w:val="24"/>
                <w:szCs w:val="24"/>
              </w:rPr>
              <w:t>209</w:t>
            </w:r>
          </w:p>
        </w:tc>
      </w:tr>
      <w:tr w:rsidR="009A0A63" w:rsidRPr="00792B36" w14:paraId="097B561F" w14:textId="77777777" w:rsidTr="00A24459">
        <w:trPr>
          <w:trHeight w:val="340"/>
        </w:trPr>
        <w:tc>
          <w:tcPr>
            <w:tcW w:w="2936" w:type="dxa"/>
            <w:vAlign w:val="center"/>
          </w:tcPr>
          <w:p w14:paraId="0B561D68" w14:textId="77777777" w:rsidR="009A0A63" w:rsidRPr="00792B36" w:rsidRDefault="009A0A63" w:rsidP="00A24459">
            <w:pPr>
              <w:rPr>
                <w:sz w:val="24"/>
                <w:szCs w:val="24"/>
              </w:rPr>
            </w:pPr>
            <w:r w:rsidRPr="00792B36">
              <w:rPr>
                <w:color w:val="000000"/>
                <w:sz w:val="24"/>
                <w:szCs w:val="24"/>
              </w:rPr>
              <w:t>Chanthaburi</w:t>
            </w:r>
          </w:p>
        </w:tc>
        <w:tc>
          <w:tcPr>
            <w:tcW w:w="1520" w:type="dxa"/>
            <w:vAlign w:val="center"/>
          </w:tcPr>
          <w:p w14:paraId="01B2CF44" w14:textId="77777777" w:rsidR="009A0A63" w:rsidRPr="00792B36" w:rsidRDefault="009A0A63" w:rsidP="00A24459">
            <w:pPr>
              <w:jc w:val="center"/>
              <w:rPr>
                <w:sz w:val="24"/>
                <w:szCs w:val="24"/>
              </w:rPr>
            </w:pPr>
            <w:r w:rsidRPr="00792B36">
              <w:rPr>
                <w:color w:val="000000"/>
                <w:sz w:val="24"/>
                <w:szCs w:val="24"/>
              </w:rPr>
              <w:t>78</w:t>
            </w:r>
          </w:p>
        </w:tc>
        <w:tc>
          <w:tcPr>
            <w:tcW w:w="1520" w:type="dxa"/>
            <w:vAlign w:val="center"/>
          </w:tcPr>
          <w:p w14:paraId="43C604D2" w14:textId="77777777" w:rsidR="009A0A63" w:rsidRPr="00792B36" w:rsidRDefault="009A0A63" w:rsidP="00A24459">
            <w:pPr>
              <w:jc w:val="center"/>
              <w:rPr>
                <w:sz w:val="24"/>
                <w:szCs w:val="24"/>
              </w:rPr>
            </w:pPr>
            <w:r w:rsidRPr="00792B36">
              <w:rPr>
                <w:color w:val="000000"/>
                <w:sz w:val="24"/>
                <w:szCs w:val="24"/>
              </w:rPr>
              <w:t>79</w:t>
            </w:r>
          </w:p>
        </w:tc>
        <w:tc>
          <w:tcPr>
            <w:tcW w:w="1520" w:type="dxa"/>
            <w:vAlign w:val="center"/>
          </w:tcPr>
          <w:p w14:paraId="1EB3D113" w14:textId="77777777" w:rsidR="009A0A63" w:rsidRPr="00792B36" w:rsidRDefault="009A0A63" w:rsidP="00A24459">
            <w:pPr>
              <w:jc w:val="center"/>
              <w:rPr>
                <w:sz w:val="24"/>
                <w:szCs w:val="24"/>
              </w:rPr>
            </w:pPr>
            <w:r w:rsidRPr="00792B36">
              <w:rPr>
                <w:color w:val="000000"/>
                <w:sz w:val="24"/>
                <w:szCs w:val="24"/>
              </w:rPr>
              <w:t>81</w:t>
            </w:r>
          </w:p>
        </w:tc>
        <w:tc>
          <w:tcPr>
            <w:tcW w:w="1521" w:type="dxa"/>
            <w:vAlign w:val="center"/>
          </w:tcPr>
          <w:p w14:paraId="736875C7" w14:textId="77777777" w:rsidR="009A0A63" w:rsidRPr="00792B36" w:rsidRDefault="009A0A63" w:rsidP="00A24459">
            <w:pPr>
              <w:jc w:val="center"/>
              <w:rPr>
                <w:sz w:val="24"/>
                <w:szCs w:val="24"/>
              </w:rPr>
            </w:pPr>
            <w:r w:rsidRPr="00792B36">
              <w:rPr>
                <w:color w:val="000000"/>
                <w:sz w:val="24"/>
                <w:szCs w:val="24"/>
              </w:rPr>
              <w:t>84</w:t>
            </w:r>
          </w:p>
        </w:tc>
      </w:tr>
      <w:tr w:rsidR="009A0A63" w:rsidRPr="00792B36" w14:paraId="3586A521" w14:textId="77777777" w:rsidTr="00A24459">
        <w:trPr>
          <w:trHeight w:val="340"/>
        </w:trPr>
        <w:tc>
          <w:tcPr>
            <w:tcW w:w="2936" w:type="dxa"/>
            <w:vAlign w:val="center"/>
          </w:tcPr>
          <w:p w14:paraId="5BA39C48" w14:textId="77777777" w:rsidR="009A0A63" w:rsidRPr="00792B36" w:rsidRDefault="009A0A63" w:rsidP="00A24459">
            <w:pPr>
              <w:rPr>
                <w:sz w:val="24"/>
                <w:szCs w:val="24"/>
              </w:rPr>
            </w:pPr>
            <w:r w:rsidRPr="00792B36">
              <w:rPr>
                <w:color w:val="000000"/>
                <w:sz w:val="24"/>
                <w:szCs w:val="24"/>
              </w:rPr>
              <w:t>Trat</w:t>
            </w:r>
          </w:p>
        </w:tc>
        <w:tc>
          <w:tcPr>
            <w:tcW w:w="1520" w:type="dxa"/>
            <w:vAlign w:val="center"/>
          </w:tcPr>
          <w:p w14:paraId="2EAF58C3" w14:textId="77777777" w:rsidR="009A0A63" w:rsidRPr="00792B36" w:rsidRDefault="009A0A63" w:rsidP="00A24459">
            <w:pPr>
              <w:jc w:val="center"/>
              <w:rPr>
                <w:sz w:val="24"/>
                <w:szCs w:val="24"/>
              </w:rPr>
            </w:pPr>
            <w:r w:rsidRPr="00792B36">
              <w:rPr>
                <w:color w:val="000000"/>
                <w:sz w:val="24"/>
                <w:szCs w:val="24"/>
              </w:rPr>
              <w:t>79</w:t>
            </w:r>
          </w:p>
        </w:tc>
        <w:tc>
          <w:tcPr>
            <w:tcW w:w="1520" w:type="dxa"/>
            <w:vAlign w:val="center"/>
          </w:tcPr>
          <w:p w14:paraId="17ED0C2E" w14:textId="77777777" w:rsidR="009A0A63" w:rsidRPr="00792B36" w:rsidRDefault="009A0A63" w:rsidP="00A24459">
            <w:pPr>
              <w:jc w:val="center"/>
              <w:rPr>
                <w:sz w:val="24"/>
                <w:szCs w:val="24"/>
              </w:rPr>
            </w:pPr>
            <w:r w:rsidRPr="00792B36">
              <w:rPr>
                <w:color w:val="000000"/>
                <w:sz w:val="24"/>
                <w:szCs w:val="24"/>
              </w:rPr>
              <w:t>78</w:t>
            </w:r>
          </w:p>
        </w:tc>
        <w:tc>
          <w:tcPr>
            <w:tcW w:w="1520" w:type="dxa"/>
            <w:vAlign w:val="center"/>
          </w:tcPr>
          <w:p w14:paraId="7BF9044B" w14:textId="77777777" w:rsidR="009A0A63" w:rsidRPr="00792B36" w:rsidRDefault="009A0A63" w:rsidP="00A24459">
            <w:pPr>
              <w:jc w:val="center"/>
              <w:rPr>
                <w:sz w:val="24"/>
                <w:szCs w:val="24"/>
              </w:rPr>
            </w:pPr>
            <w:r w:rsidRPr="00792B36">
              <w:rPr>
                <w:color w:val="000000"/>
                <w:sz w:val="24"/>
                <w:szCs w:val="24"/>
              </w:rPr>
              <w:t>78</w:t>
            </w:r>
          </w:p>
        </w:tc>
        <w:tc>
          <w:tcPr>
            <w:tcW w:w="1521" w:type="dxa"/>
            <w:vAlign w:val="center"/>
          </w:tcPr>
          <w:p w14:paraId="1B26AB4F" w14:textId="77777777" w:rsidR="009A0A63" w:rsidRPr="00792B36" w:rsidRDefault="009A0A63" w:rsidP="00A24459">
            <w:pPr>
              <w:jc w:val="center"/>
              <w:rPr>
                <w:sz w:val="24"/>
                <w:szCs w:val="24"/>
              </w:rPr>
            </w:pPr>
            <w:r w:rsidRPr="00792B36">
              <w:rPr>
                <w:color w:val="000000"/>
                <w:sz w:val="24"/>
                <w:szCs w:val="24"/>
              </w:rPr>
              <w:t>81</w:t>
            </w:r>
          </w:p>
        </w:tc>
      </w:tr>
      <w:tr w:rsidR="009A0A63" w:rsidRPr="00792B36" w14:paraId="1971752C" w14:textId="77777777" w:rsidTr="00A24459">
        <w:trPr>
          <w:trHeight w:val="340"/>
        </w:trPr>
        <w:tc>
          <w:tcPr>
            <w:tcW w:w="2936" w:type="dxa"/>
            <w:vAlign w:val="center"/>
          </w:tcPr>
          <w:p w14:paraId="0979BC02" w14:textId="77777777" w:rsidR="009A0A63" w:rsidRPr="00792B36" w:rsidRDefault="009A0A63" w:rsidP="00A24459">
            <w:pPr>
              <w:rPr>
                <w:sz w:val="24"/>
                <w:szCs w:val="24"/>
              </w:rPr>
            </w:pPr>
            <w:r w:rsidRPr="00792B36">
              <w:rPr>
                <w:color w:val="000000"/>
                <w:sz w:val="24"/>
                <w:szCs w:val="24"/>
              </w:rPr>
              <w:t>Samut Prakan</w:t>
            </w:r>
          </w:p>
        </w:tc>
        <w:tc>
          <w:tcPr>
            <w:tcW w:w="1520" w:type="dxa"/>
            <w:vAlign w:val="center"/>
          </w:tcPr>
          <w:p w14:paraId="1E2E441D" w14:textId="77777777" w:rsidR="009A0A63" w:rsidRPr="00792B36" w:rsidRDefault="009A0A63" w:rsidP="00A24459">
            <w:pPr>
              <w:jc w:val="center"/>
              <w:rPr>
                <w:sz w:val="24"/>
                <w:szCs w:val="24"/>
              </w:rPr>
            </w:pPr>
            <w:r w:rsidRPr="00792B36">
              <w:rPr>
                <w:color w:val="000000"/>
                <w:sz w:val="24"/>
                <w:szCs w:val="24"/>
              </w:rPr>
              <w:t>992</w:t>
            </w:r>
          </w:p>
        </w:tc>
        <w:tc>
          <w:tcPr>
            <w:tcW w:w="1520" w:type="dxa"/>
            <w:vAlign w:val="center"/>
          </w:tcPr>
          <w:p w14:paraId="6FF7C687" w14:textId="77777777" w:rsidR="009A0A63" w:rsidRPr="00792B36" w:rsidRDefault="009A0A63" w:rsidP="00A24459">
            <w:pPr>
              <w:jc w:val="center"/>
              <w:rPr>
                <w:sz w:val="24"/>
                <w:szCs w:val="24"/>
              </w:rPr>
            </w:pPr>
            <w:r w:rsidRPr="00792B36">
              <w:rPr>
                <w:color w:val="000000"/>
                <w:sz w:val="24"/>
                <w:szCs w:val="24"/>
              </w:rPr>
              <w:t>1,073</w:t>
            </w:r>
          </w:p>
        </w:tc>
        <w:tc>
          <w:tcPr>
            <w:tcW w:w="1520" w:type="dxa"/>
            <w:vAlign w:val="center"/>
          </w:tcPr>
          <w:p w14:paraId="0F881983" w14:textId="77777777" w:rsidR="009A0A63" w:rsidRPr="00792B36" w:rsidRDefault="009A0A63" w:rsidP="00A24459">
            <w:pPr>
              <w:jc w:val="center"/>
              <w:rPr>
                <w:sz w:val="24"/>
                <w:szCs w:val="24"/>
              </w:rPr>
            </w:pPr>
            <w:r w:rsidRPr="00792B36">
              <w:rPr>
                <w:color w:val="000000"/>
                <w:sz w:val="24"/>
                <w:szCs w:val="24"/>
              </w:rPr>
              <w:t>1,180</w:t>
            </w:r>
          </w:p>
        </w:tc>
        <w:tc>
          <w:tcPr>
            <w:tcW w:w="1521" w:type="dxa"/>
            <w:vAlign w:val="center"/>
          </w:tcPr>
          <w:p w14:paraId="734782CA" w14:textId="77777777" w:rsidR="009A0A63" w:rsidRPr="00792B36" w:rsidRDefault="009A0A63" w:rsidP="00A24459">
            <w:pPr>
              <w:jc w:val="center"/>
              <w:rPr>
                <w:sz w:val="24"/>
                <w:szCs w:val="24"/>
              </w:rPr>
            </w:pPr>
            <w:r w:rsidRPr="00792B36">
              <w:rPr>
                <w:color w:val="000000"/>
                <w:sz w:val="24"/>
                <w:szCs w:val="24"/>
              </w:rPr>
              <w:t>1,346</w:t>
            </w:r>
          </w:p>
        </w:tc>
      </w:tr>
      <w:tr w:rsidR="009A0A63" w:rsidRPr="00792B36" w14:paraId="5C3C086C" w14:textId="77777777" w:rsidTr="00A24459">
        <w:trPr>
          <w:trHeight w:val="340"/>
        </w:trPr>
        <w:tc>
          <w:tcPr>
            <w:tcW w:w="2936" w:type="dxa"/>
            <w:vAlign w:val="center"/>
          </w:tcPr>
          <w:p w14:paraId="30A8E124" w14:textId="77777777" w:rsidR="009A0A63" w:rsidRPr="00792B36" w:rsidRDefault="009A0A63" w:rsidP="00A24459">
            <w:pPr>
              <w:rPr>
                <w:sz w:val="24"/>
                <w:szCs w:val="24"/>
              </w:rPr>
            </w:pPr>
            <w:r w:rsidRPr="00792B36">
              <w:rPr>
                <w:color w:val="000000"/>
                <w:sz w:val="24"/>
                <w:szCs w:val="24"/>
              </w:rPr>
              <w:t>Chon Buri</w:t>
            </w:r>
          </w:p>
        </w:tc>
        <w:tc>
          <w:tcPr>
            <w:tcW w:w="1520" w:type="dxa"/>
            <w:vAlign w:val="center"/>
          </w:tcPr>
          <w:p w14:paraId="59D1F8D8" w14:textId="77777777" w:rsidR="009A0A63" w:rsidRPr="00792B36" w:rsidRDefault="009A0A63" w:rsidP="00A24459">
            <w:pPr>
              <w:jc w:val="center"/>
              <w:rPr>
                <w:sz w:val="24"/>
                <w:szCs w:val="24"/>
              </w:rPr>
            </w:pPr>
            <w:r w:rsidRPr="00792B36">
              <w:rPr>
                <w:color w:val="000000"/>
                <w:sz w:val="24"/>
                <w:szCs w:val="24"/>
              </w:rPr>
              <w:t>247</w:t>
            </w:r>
          </w:p>
        </w:tc>
        <w:tc>
          <w:tcPr>
            <w:tcW w:w="1520" w:type="dxa"/>
            <w:vAlign w:val="center"/>
          </w:tcPr>
          <w:p w14:paraId="67445D58" w14:textId="77777777" w:rsidR="009A0A63" w:rsidRPr="00792B36" w:rsidRDefault="009A0A63" w:rsidP="00A24459">
            <w:pPr>
              <w:jc w:val="center"/>
              <w:rPr>
                <w:sz w:val="24"/>
                <w:szCs w:val="24"/>
              </w:rPr>
            </w:pPr>
            <w:r w:rsidRPr="00792B36">
              <w:rPr>
                <w:color w:val="000000"/>
                <w:sz w:val="24"/>
                <w:szCs w:val="24"/>
              </w:rPr>
              <w:t>269</w:t>
            </w:r>
          </w:p>
        </w:tc>
        <w:tc>
          <w:tcPr>
            <w:tcW w:w="1520" w:type="dxa"/>
            <w:vAlign w:val="center"/>
          </w:tcPr>
          <w:p w14:paraId="44BDE1DE" w14:textId="77777777" w:rsidR="009A0A63" w:rsidRPr="00792B36" w:rsidRDefault="009A0A63" w:rsidP="00A24459">
            <w:pPr>
              <w:jc w:val="center"/>
              <w:rPr>
                <w:sz w:val="24"/>
                <w:szCs w:val="24"/>
              </w:rPr>
            </w:pPr>
            <w:r w:rsidRPr="00792B36">
              <w:rPr>
                <w:color w:val="000000"/>
                <w:sz w:val="24"/>
                <w:szCs w:val="24"/>
              </w:rPr>
              <w:t>302</w:t>
            </w:r>
          </w:p>
        </w:tc>
        <w:tc>
          <w:tcPr>
            <w:tcW w:w="1521" w:type="dxa"/>
            <w:vAlign w:val="center"/>
          </w:tcPr>
          <w:p w14:paraId="438EE6E0" w14:textId="77777777" w:rsidR="009A0A63" w:rsidRPr="00792B36" w:rsidRDefault="009A0A63" w:rsidP="00A24459">
            <w:pPr>
              <w:jc w:val="center"/>
              <w:rPr>
                <w:sz w:val="24"/>
                <w:szCs w:val="24"/>
              </w:rPr>
            </w:pPr>
            <w:r w:rsidRPr="00792B36">
              <w:rPr>
                <w:color w:val="000000"/>
                <w:sz w:val="24"/>
                <w:szCs w:val="24"/>
              </w:rPr>
              <w:t>359</w:t>
            </w:r>
          </w:p>
        </w:tc>
      </w:tr>
      <w:tr w:rsidR="009A0A63" w:rsidRPr="00792B36" w14:paraId="3D78D7DD" w14:textId="77777777" w:rsidTr="00A24459">
        <w:trPr>
          <w:trHeight w:val="340"/>
        </w:trPr>
        <w:tc>
          <w:tcPr>
            <w:tcW w:w="2936" w:type="dxa"/>
            <w:vAlign w:val="center"/>
          </w:tcPr>
          <w:p w14:paraId="061C0A67" w14:textId="77777777" w:rsidR="009A0A63" w:rsidRPr="00792B36" w:rsidRDefault="009A0A63" w:rsidP="00A24459">
            <w:pPr>
              <w:rPr>
                <w:sz w:val="24"/>
                <w:szCs w:val="24"/>
              </w:rPr>
            </w:pPr>
            <w:r w:rsidRPr="00792B36">
              <w:rPr>
                <w:color w:val="000000"/>
                <w:sz w:val="24"/>
                <w:szCs w:val="24"/>
              </w:rPr>
              <w:t>Chachoengsao</w:t>
            </w:r>
          </w:p>
        </w:tc>
        <w:tc>
          <w:tcPr>
            <w:tcW w:w="1520" w:type="dxa"/>
            <w:vAlign w:val="center"/>
          </w:tcPr>
          <w:p w14:paraId="7CC7CBDC" w14:textId="77777777" w:rsidR="009A0A63" w:rsidRPr="00792B36" w:rsidRDefault="009A0A63" w:rsidP="00A24459">
            <w:pPr>
              <w:jc w:val="center"/>
              <w:rPr>
                <w:sz w:val="24"/>
                <w:szCs w:val="24"/>
              </w:rPr>
            </w:pPr>
            <w:r w:rsidRPr="00792B36">
              <w:rPr>
                <w:color w:val="000000"/>
                <w:sz w:val="24"/>
                <w:szCs w:val="24"/>
              </w:rPr>
              <w:t>120</w:t>
            </w:r>
          </w:p>
        </w:tc>
        <w:tc>
          <w:tcPr>
            <w:tcW w:w="1520" w:type="dxa"/>
            <w:vAlign w:val="center"/>
          </w:tcPr>
          <w:p w14:paraId="17E4AAD7" w14:textId="77777777" w:rsidR="009A0A63" w:rsidRPr="00792B36" w:rsidRDefault="009A0A63" w:rsidP="00A24459">
            <w:pPr>
              <w:jc w:val="center"/>
              <w:rPr>
                <w:sz w:val="24"/>
                <w:szCs w:val="24"/>
              </w:rPr>
            </w:pPr>
            <w:r w:rsidRPr="00792B36">
              <w:rPr>
                <w:color w:val="000000"/>
                <w:sz w:val="24"/>
                <w:szCs w:val="24"/>
              </w:rPr>
              <w:t>121</w:t>
            </w:r>
          </w:p>
        </w:tc>
        <w:tc>
          <w:tcPr>
            <w:tcW w:w="1520" w:type="dxa"/>
            <w:vAlign w:val="center"/>
          </w:tcPr>
          <w:p w14:paraId="3A7AAD95" w14:textId="77777777" w:rsidR="009A0A63" w:rsidRPr="00792B36" w:rsidRDefault="009A0A63" w:rsidP="00A24459">
            <w:pPr>
              <w:jc w:val="center"/>
              <w:rPr>
                <w:sz w:val="24"/>
                <w:szCs w:val="24"/>
              </w:rPr>
            </w:pPr>
            <w:r w:rsidRPr="00792B36">
              <w:rPr>
                <w:color w:val="000000"/>
                <w:sz w:val="24"/>
                <w:szCs w:val="24"/>
              </w:rPr>
              <w:t>126</w:t>
            </w:r>
          </w:p>
        </w:tc>
        <w:tc>
          <w:tcPr>
            <w:tcW w:w="1521" w:type="dxa"/>
            <w:vAlign w:val="center"/>
          </w:tcPr>
          <w:p w14:paraId="0F61FECE" w14:textId="77777777" w:rsidR="009A0A63" w:rsidRPr="00792B36" w:rsidRDefault="009A0A63" w:rsidP="00A24459">
            <w:pPr>
              <w:jc w:val="center"/>
              <w:rPr>
                <w:sz w:val="24"/>
                <w:szCs w:val="24"/>
              </w:rPr>
            </w:pPr>
            <w:r w:rsidRPr="00792B36">
              <w:rPr>
                <w:color w:val="000000"/>
                <w:sz w:val="24"/>
                <w:szCs w:val="24"/>
              </w:rPr>
              <w:t>135</w:t>
            </w:r>
          </w:p>
        </w:tc>
      </w:tr>
      <w:tr w:rsidR="009A0A63" w:rsidRPr="00792B36" w14:paraId="1B74A722" w14:textId="77777777" w:rsidTr="00A24459">
        <w:trPr>
          <w:trHeight w:val="340"/>
        </w:trPr>
        <w:tc>
          <w:tcPr>
            <w:tcW w:w="2936" w:type="dxa"/>
            <w:vAlign w:val="center"/>
          </w:tcPr>
          <w:p w14:paraId="5FFE0782" w14:textId="77777777" w:rsidR="009A0A63" w:rsidRPr="00792B36" w:rsidRDefault="009A0A63" w:rsidP="00A24459">
            <w:pPr>
              <w:rPr>
                <w:sz w:val="24"/>
                <w:szCs w:val="24"/>
              </w:rPr>
            </w:pPr>
            <w:r w:rsidRPr="00792B36">
              <w:rPr>
                <w:color w:val="000000"/>
                <w:sz w:val="24"/>
                <w:szCs w:val="24"/>
              </w:rPr>
              <w:t>Samut Sakhon</w:t>
            </w:r>
          </w:p>
        </w:tc>
        <w:tc>
          <w:tcPr>
            <w:tcW w:w="1520" w:type="dxa"/>
            <w:vAlign w:val="center"/>
          </w:tcPr>
          <w:p w14:paraId="2F72F858" w14:textId="77777777" w:rsidR="009A0A63" w:rsidRPr="00792B36" w:rsidRDefault="009A0A63" w:rsidP="00A24459">
            <w:pPr>
              <w:jc w:val="center"/>
              <w:rPr>
                <w:sz w:val="24"/>
                <w:szCs w:val="24"/>
              </w:rPr>
            </w:pPr>
            <w:r w:rsidRPr="00792B36">
              <w:rPr>
                <w:color w:val="000000"/>
                <w:sz w:val="24"/>
                <w:szCs w:val="24"/>
              </w:rPr>
              <w:t>492</w:t>
            </w:r>
          </w:p>
        </w:tc>
        <w:tc>
          <w:tcPr>
            <w:tcW w:w="1520" w:type="dxa"/>
            <w:vAlign w:val="center"/>
          </w:tcPr>
          <w:p w14:paraId="68AE13F2" w14:textId="77777777" w:rsidR="009A0A63" w:rsidRPr="00792B36" w:rsidRDefault="009A0A63" w:rsidP="00A24459">
            <w:pPr>
              <w:jc w:val="center"/>
              <w:rPr>
                <w:sz w:val="24"/>
                <w:szCs w:val="24"/>
              </w:rPr>
            </w:pPr>
            <w:r w:rsidRPr="00792B36">
              <w:rPr>
                <w:color w:val="000000"/>
                <w:sz w:val="24"/>
                <w:szCs w:val="24"/>
              </w:rPr>
              <w:t>518</w:t>
            </w:r>
          </w:p>
        </w:tc>
        <w:tc>
          <w:tcPr>
            <w:tcW w:w="1520" w:type="dxa"/>
            <w:vAlign w:val="center"/>
          </w:tcPr>
          <w:p w14:paraId="79400BCB" w14:textId="77777777" w:rsidR="009A0A63" w:rsidRPr="00792B36" w:rsidRDefault="009A0A63" w:rsidP="00A24459">
            <w:pPr>
              <w:jc w:val="center"/>
              <w:rPr>
                <w:sz w:val="24"/>
                <w:szCs w:val="24"/>
              </w:rPr>
            </w:pPr>
            <w:r w:rsidRPr="00792B36">
              <w:rPr>
                <w:color w:val="000000"/>
                <w:sz w:val="24"/>
                <w:szCs w:val="24"/>
              </w:rPr>
              <w:t>564</w:t>
            </w:r>
          </w:p>
        </w:tc>
        <w:tc>
          <w:tcPr>
            <w:tcW w:w="1521" w:type="dxa"/>
            <w:vAlign w:val="center"/>
          </w:tcPr>
          <w:p w14:paraId="291165A1" w14:textId="77777777" w:rsidR="009A0A63" w:rsidRPr="00792B36" w:rsidRDefault="009A0A63" w:rsidP="00A24459">
            <w:pPr>
              <w:jc w:val="center"/>
              <w:rPr>
                <w:sz w:val="24"/>
                <w:szCs w:val="24"/>
              </w:rPr>
            </w:pPr>
            <w:r w:rsidRPr="00792B36">
              <w:rPr>
                <w:color w:val="000000"/>
                <w:sz w:val="24"/>
                <w:szCs w:val="24"/>
              </w:rPr>
              <w:t>672</w:t>
            </w:r>
          </w:p>
        </w:tc>
      </w:tr>
      <w:tr w:rsidR="009A0A63" w:rsidRPr="00792B36" w14:paraId="2B88DABF" w14:textId="77777777" w:rsidTr="00A24459">
        <w:trPr>
          <w:trHeight w:val="340"/>
        </w:trPr>
        <w:tc>
          <w:tcPr>
            <w:tcW w:w="2936" w:type="dxa"/>
            <w:vAlign w:val="center"/>
          </w:tcPr>
          <w:p w14:paraId="653C8E6E" w14:textId="77777777" w:rsidR="009A0A63" w:rsidRPr="00792B36" w:rsidRDefault="009A0A63" w:rsidP="00A24459">
            <w:pPr>
              <w:rPr>
                <w:sz w:val="24"/>
                <w:szCs w:val="24"/>
              </w:rPr>
            </w:pPr>
            <w:r w:rsidRPr="00792B36">
              <w:rPr>
                <w:color w:val="000000"/>
                <w:sz w:val="24"/>
                <w:szCs w:val="24"/>
              </w:rPr>
              <w:t>Samut Songkhram</w:t>
            </w:r>
          </w:p>
        </w:tc>
        <w:tc>
          <w:tcPr>
            <w:tcW w:w="1520" w:type="dxa"/>
            <w:vAlign w:val="center"/>
          </w:tcPr>
          <w:p w14:paraId="5F30EBF3" w14:textId="77777777" w:rsidR="009A0A63" w:rsidRPr="00792B36" w:rsidRDefault="009A0A63" w:rsidP="00A24459">
            <w:pPr>
              <w:jc w:val="center"/>
              <w:rPr>
                <w:sz w:val="24"/>
                <w:szCs w:val="24"/>
              </w:rPr>
            </w:pPr>
            <w:r w:rsidRPr="00792B36">
              <w:rPr>
                <w:color w:val="000000"/>
                <w:sz w:val="24"/>
                <w:szCs w:val="24"/>
              </w:rPr>
              <w:t>492</w:t>
            </w:r>
          </w:p>
        </w:tc>
        <w:tc>
          <w:tcPr>
            <w:tcW w:w="1520" w:type="dxa"/>
            <w:vAlign w:val="center"/>
          </w:tcPr>
          <w:p w14:paraId="72D8A8E2" w14:textId="77777777" w:rsidR="009A0A63" w:rsidRPr="00792B36" w:rsidRDefault="009A0A63" w:rsidP="00A24459">
            <w:pPr>
              <w:jc w:val="center"/>
              <w:rPr>
                <w:sz w:val="24"/>
                <w:szCs w:val="24"/>
              </w:rPr>
            </w:pPr>
            <w:r w:rsidRPr="00792B36">
              <w:rPr>
                <w:color w:val="000000"/>
                <w:sz w:val="24"/>
                <w:szCs w:val="24"/>
              </w:rPr>
              <w:t>468</w:t>
            </w:r>
          </w:p>
        </w:tc>
        <w:tc>
          <w:tcPr>
            <w:tcW w:w="1520" w:type="dxa"/>
            <w:vAlign w:val="center"/>
          </w:tcPr>
          <w:p w14:paraId="7CD3DD9C" w14:textId="77777777" w:rsidR="009A0A63" w:rsidRPr="00792B36" w:rsidRDefault="009A0A63" w:rsidP="00A24459">
            <w:pPr>
              <w:jc w:val="center"/>
              <w:rPr>
                <w:sz w:val="24"/>
                <w:szCs w:val="24"/>
              </w:rPr>
            </w:pPr>
            <w:r w:rsidRPr="00792B36">
              <w:rPr>
                <w:color w:val="000000"/>
                <w:sz w:val="24"/>
                <w:szCs w:val="24"/>
              </w:rPr>
              <w:t>466</w:t>
            </w:r>
          </w:p>
        </w:tc>
        <w:tc>
          <w:tcPr>
            <w:tcW w:w="1521" w:type="dxa"/>
            <w:vAlign w:val="center"/>
          </w:tcPr>
          <w:p w14:paraId="66E99F15" w14:textId="77777777" w:rsidR="009A0A63" w:rsidRPr="00792B36" w:rsidRDefault="009A0A63" w:rsidP="00A24459">
            <w:pPr>
              <w:jc w:val="center"/>
              <w:rPr>
                <w:sz w:val="24"/>
                <w:szCs w:val="24"/>
              </w:rPr>
            </w:pPr>
            <w:r w:rsidRPr="00792B36">
              <w:rPr>
                <w:color w:val="000000"/>
                <w:sz w:val="24"/>
                <w:szCs w:val="24"/>
              </w:rPr>
              <w:t>461</w:t>
            </w:r>
          </w:p>
        </w:tc>
      </w:tr>
      <w:tr w:rsidR="009A0A63" w:rsidRPr="00792B36" w14:paraId="78CAB801" w14:textId="77777777" w:rsidTr="00A24459">
        <w:trPr>
          <w:trHeight w:val="340"/>
        </w:trPr>
        <w:tc>
          <w:tcPr>
            <w:tcW w:w="2936" w:type="dxa"/>
            <w:vAlign w:val="center"/>
          </w:tcPr>
          <w:p w14:paraId="3C3C9D5D" w14:textId="77777777" w:rsidR="009A0A63" w:rsidRPr="00792B36" w:rsidRDefault="009A0A63" w:rsidP="00A24459">
            <w:pPr>
              <w:rPr>
                <w:sz w:val="24"/>
                <w:szCs w:val="24"/>
              </w:rPr>
            </w:pPr>
            <w:r w:rsidRPr="00792B36">
              <w:rPr>
                <w:color w:val="000000"/>
                <w:sz w:val="24"/>
                <w:szCs w:val="24"/>
              </w:rPr>
              <w:t>Phetchaburi</w:t>
            </w:r>
          </w:p>
        </w:tc>
        <w:tc>
          <w:tcPr>
            <w:tcW w:w="1520" w:type="dxa"/>
            <w:vAlign w:val="center"/>
          </w:tcPr>
          <w:p w14:paraId="7C6DD9AA" w14:textId="77777777" w:rsidR="009A0A63" w:rsidRPr="00792B36" w:rsidRDefault="009A0A63" w:rsidP="00A24459">
            <w:pPr>
              <w:jc w:val="center"/>
              <w:rPr>
                <w:sz w:val="24"/>
                <w:szCs w:val="24"/>
              </w:rPr>
            </w:pPr>
            <w:r w:rsidRPr="00792B36">
              <w:rPr>
                <w:color w:val="000000"/>
                <w:sz w:val="24"/>
                <w:szCs w:val="24"/>
              </w:rPr>
              <w:t>73</w:t>
            </w:r>
          </w:p>
        </w:tc>
        <w:tc>
          <w:tcPr>
            <w:tcW w:w="1520" w:type="dxa"/>
            <w:vAlign w:val="center"/>
          </w:tcPr>
          <w:p w14:paraId="1D4449A5" w14:textId="77777777" w:rsidR="009A0A63" w:rsidRPr="00792B36" w:rsidRDefault="009A0A63" w:rsidP="00A24459">
            <w:pPr>
              <w:jc w:val="center"/>
              <w:rPr>
                <w:sz w:val="24"/>
                <w:szCs w:val="24"/>
              </w:rPr>
            </w:pPr>
            <w:r w:rsidRPr="00792B36">
              <w:rPr>
                <w:color w:val="000000"/>
                <w:sz w:val="24"/>
                <w:szCs w:val="24"/>
              </w:rPr>
              <w:t>73</w:t>
            </w:r>
          </w:p>
        </w:tc>
        <w:tc>
          <w:tcPr>
            <w:tcW w:w="1520" w:type="dxa"/>
            <w:vAlign w:val="center"/>
          </w:tcPr>
          <w:p w14:paraId="5FC9EE38" w14:textId="77777777" w:rsidR="009A0A63" w:rsidRPr="00792B36" w:rsidRDefault="009A0A63" w:rsidP="00A24459">
            <w:pPr>
              <w:jc w:val="center"/>
              <w:rPr>
                <w:sz w:val="24"/>
                <w:szCs w:val="24"/>
              </w:rPr>
            </w:pPr>
            <w:r w:rsidRPr="00792B36">
              <w:rPr>
                <w:color w:val="000000"/>
                <w:sz w:val="24"/>
                <w:szCs w:val="24"/>
              </w:rPr>
              <w:t>75</w:t>
            </w:r>
          </w:p>
        </w:tc>
        <w:tc>
          <w:tcPr>
            <w:tcW w:w="1521" w:type="dxa"/>
            <w:vAlign w:val="center"/>
          </w:tcPr>
          <w:p w14:paraId="60C4CBC9" w14:textId="77777777" w:rsidR="009A0A63" w:rsidRPr="00792B36" w:rsidRDefault="009A0A63" w:rsidP="00A24459">
            <w:pPr>
              <w:jc w:val="center"/>
              <w:rPr>
                <w:sz w:val="24"/>
                <w:szCs w:val="24"/>
              </w:rPr>
            </w:pPr>
            <w:r w:rsidRPr="00792B36">
              <w:rPr>
                <w:color w:val="000000"/>
                <w:sz w:val="24"/>
                <w:szCs w:val="24"/>
              </w:rPr>
              <w:t>77</w:t>
            </w:r>
          </w:p>
        </w:tc>
      </w:tr>
      <w:tr w:rsidR="009A0A63" w:rsidRPr="00792B36" w14:paraId="787A1CE8" w14:textId="77777777" w:rsidTr="00A24459">
        <w:trPr>
          <w:trHeight w:val="340"/>
        </w:trPr>
        <w:tc>
          <w:tcPr>
            <w:tcW w:w="2936" w:type="dxa"/>
            <w:vAlign w:val="center"/>
          </w:tcPr>
          <w:p w14:paraId="14020457" w14:textId="77777777" w:rsidR="009A0A63" w:rsidRPr="00792B36" w:rsidRDefault="009A0A63" w:rsidP="00A24459">
            <w:pPr>
              <w:rPr>
                <w:sz w:val="24"/>
                <w:szCs w:val="24"/>
              </w:rPr>
            </w:pPr>
            <w:r w:rsidRPr="00792B36">
              <w:rPr>
                <w:color w:val="000000"/>
                <w:sz w:val="24"/>
                <w:szCs w:val="24"/>
              </w:rPr>
              <w:t>Prachuap Khiri Khan</w:t>
            </w:r>
          </w:p>
        </w:tc>
        <w:tc>
          <w:tcPr>
            <w:tcW w:w="1520" w:type="dxa"/>
            <w:vAlign w:val="center"/>
          </w:tcPr>
          <w:p w14:paraId="2C6D2864" w14:textId="77777777" w:rsidR="009A0A63" w:rsidRPr="00792B36" w:rsidRDefault="009A0A63" w:rsidP="00A24459">
            <w:pPr>
              <w:jc w:val="center"/>
              <w:rPr>
                <w:sz w:val="24"/>
                <w:szCs w:val="24"/>
              </w:rPr>
            </w:pPr>
            <w:r w:rsidRPr="00792B36">
              <w:rPr>
                <w:color w:val="000000"/>
                <w:sz w:val="24"/>
                <w:szCs w:val="24"/>
              </w:rPr>
              <w:t>75</w:t>
            </w:r>
          </w:p>
        </w:tc>
        <w:tc>
          <w:tcPr>
            <w:tcW w:w="1520" w:type="dxa"/>
            <w:vAlign w:val="center"/>
          </w:tcPr>
          <w:p w14:paraId="72B3534D" w14:textId="77777777" w:rsidR="009A0A63" w:rsidRPr="00792B36" w:rsidRDefault="009A0A63" w:rsidP="00A24459">
            <w:pPr>
              <w:jc w:val="center"/>
              <w:rPr>
                <w:sz w:val="24"/>
                <w:szCs w:val="24"/>
              </w:rPr>
            </w:pPr>
            <w:r w:rsidRPr="00792B36">
              <w:rPr>
                <w:color w:val="000000"/>
                <w:sz w:val="24"/>
                <w:szCs w:val="24"/>
              </w:rPr>
              <w:t>76</w:t>
            </w:r>
          </w:p>
        </w:tc>
        <w:tc>
          <w:tcPr>
            <w:tcW w:w="1520" w:type="dxa"/>
            <w:vAlign w:val="center"/>
          </w:tcPr>
          <w:p w14:paraId="648F9C0B" w14:textId="77777777" w:rsidR="009A0A63" w:rsidRPr="00792B36" w:rsidRDefault="009A0A63" w:rsidP="00A24459">
            <w:pPr>
              <w:jc w:val="center"/>
              <w:rPr>
                <w:sz w:val="24"/>
                <w:szCs w:val="24"/>
              </w:rPr>
            </w:pPr>
            <w:r w:rsidRPr="00792B36">
              <w:rPr>
                <w:color w:val="000000"/>
                <w:sz w:val="24"/>
                <w:szCs w:val="24"/>
              </w:rPr>
              <w:t>80</w:t>
            </w:r>
          </w:p>
        </w:tc>
        <w:tc>
          <w:tcPr>
            <w:tcW w:w="1521" w:type="dxa"/>
            <w:vAlign w:val="center"/>
          </w:tcPr>
          <w:p w14:paraId="74624190" w14:textId="77777777" w:rsidR="009A0A63" w:rsidRPr="00792B36" w:rsidRDefault="009A0A63" w:rsidP="00A24459">
            <w:pPr>
              <w:jc w:val="center"/>
              <w:rPr>
                <w:sz w:val="24"/>
                <w:szCs w:val="24"/>
              </w:rPr>
            </w:pPr>
            <w:r w:rsidRPr="00792B36">
              <w:rPr>
                <w:color w:val="000000"/>
                <w:sz w:val="24"/>
                <w:szCs w:val="24"/>
              </w:rPr>
              <w:t>86</w:t>
            </w:r>
          </w:p>
        </w:tc>
      </w:tr>
      <w:tr w:rsidR="009A0A63" w:rsidRPr="00792B36" w14:paraId="7433DB3B" w14:textId="77777777" w:rsidTr="00A24459">
        <w:trPr>
          <w:trHeight w:val="340"/>
        </w:trPr>
        <w:tc>
          <w:tcPr>
            <w:tcW w:w="2936" w:type="dxa"/>
            <w:vAlign w:val="center"/>
          </w:tcPr>
          <w:p w14:paraId="7FB3EA30" w14:textId="77777777" w:rsidR="009A0A63" w:rsidRPr="00792B36" w:rsidRDefault="009A0A63" w:rsidP="00A24459">
            <w:pPr>
              <w:rPr>
                <w:sz w:val="24"/>
                <w:szCs w:val="24"/>
              </w:rPr>
            </w:pPr>
            <w:r w:rsidRPr="00792B36">
              <w:rPr>
                <w:color w:val="000000"/>
                <w:sz w:val="24"/>
                <w:szCs w:val="24"/>
              </w:rPr>
              <w:t>Nakhon Si Thammarat</w:t>
            </w:r>
          </w:p>
        </w:tc>
        <w:tc>
          <w:tcPr>
            <w:tcW w:w="1520" w:type="dxa"/>
            <w:vAlign w:val="center"/>
          </w:tcPr>
          <w:p w14:paraId="342C21A8" w14:textId="77777777" w:rsidR="009A0A63" w:rsidRPr="00792B36" w:rsidRDefault="009A0A63" w:rsidP="00A24459">
            <w:pPr>
              <w:jc w:val="center"/>
              <w:rPr>
                <w:sz w:val="24"/>
                <w:szCs w:val="24"/>
              </w:rPr>
            </w:pPr>
            <w:r w:rsidRPr="00792B36">
              <w:rPr>
                <w:color w:val="000000"/>
                <w:sz w:val="24"/>
                <w:szCs w:val="24"/>
              </w:rPr>
              <w:t>153</w:t>
            </w:r>
          </w:p>
        </w:tc>
        <w:tc>
          <w:tcPr>
            <w:tcW w:w="1520" w:type="dxa"/>
            <w:vAlign w:val="center"/>
          </w:tcPr>
          <w:p w14:paraId="1C140B5E" w14:textId="77777777" w:rsidR="009A0A63" w:rsidRPr="00792B36" w:rsidRDefault="009A0A63" w:rsidP="00A24459">
            <w:pPr>
              <w:jc w:val="center"/>
              <w:rPr>
                <w:sz w:val="24"/>
                <w:szCs w:val="24"/>
              </w:rPr>
            </w:pPr>
            <w:r w:rsidRPr="00792B36">
              <w:rPr>
                <w:color w:val="000000"/>
                <w:sz w:val="24"/>
                <w:szCs w:val="24"/>
              </w:rPr>
              <w:t>151</w:t>
            </w:r>
          </w:p>
        </w:tc>
        <w:tc>
          <w:tcPr>
            <w:tcW w:w="1520" w:type="dxa"/>
            <w:vAlign w:val="center"/>
          </w:tcPr>
          <w:p w14:paraId="4804C6C0" w14:textId="77777777" w:rsidR="009A0A63" w:rsidRPr="00792B36" w:rsidRDefault="009A0A63" w:rsidP="00A24459">
            <w:pPr>
              <w:jc w:val="center"/>
              <w:rPr>
                <w:sz w:val="24"/>
                <w:szCs w:val="24"/>
              </w:rPr>
            </w:pPr>
            <w:r w:rsidRPr="00792B36">
              <w:rPr>
                <w:color w:val="000000"/>
                <w:sz w:val="24"/>
                <w:szCs w:val="24"/>
              </w:rPr>
              <w:t>153</w:t>
            </w:r>
          </w:p>
        </w:tc>
        <w:tc>
          <w:tcPr>
            <w:tcW w:w="1521" w:type="dxa"/>
            <w:vAlign w:val="center"/>
          </w:tcPr>
          <w:p w14:paraId="7A499707" w14:textId="77777777" w:rsidR="009A0A63" w:rsidRPr="00792B36" w:rsidRDefault="009A0A63" w:rsidP="00A24459">
            <w:pPr>
              <w:jc w:val="center"/>
              <w:rPr>
                <w:sz w:val="24"/>
                <w:szCs w:val="24"/>
              </w:rPr>
            </w:pPr>
            <w:r w:rsidRPr="00792B36">
              <w:rPr>
                <w:color w:val="000000"/>
                <w:sz w:val="24"/>
                <w:szCs w:val="24"/>
              </w:rPr>
              <w:t>156</w:t>
            </w:r>
          </w:p>
        </w:tc>
      </w:tr>
      <w:tr w:rsidR="009A0A63" w:rsidRPr="00792B36" w14:paraId="07853759" w14:textId="77777777" w:rsidTr="00A24459">
        <w:trPr>
          <w:trHeight w:val="340"/>
        </w:trPr>
        <w:tc>
          <w:tcPr>
            <w:tcW w:w="2936" w:type="dxa"/>
            <w:vAlign w:val="center"/>
          </w:tcPr>
          <w:p w14:paraId="046E51A9" w14:textId="77777777" w:rsidR="009A0A63" w:rsidRPr="00792B36" w:rsidRDefault="009A0A63" w:rsidP="00A24459">
            <w:pPr>
              <w:rPr>
                <w:sz w:val="24"/>
                <w:szCs w:val="24"/>
              </w:rPr>
            </w:pPr>
            <w:r w:rsidRPr="00792B36">
              <w:rPr>
                <w:color w:val="000000"/>
                <w:sz w:val="24"/>
                <w:szCs w:val="24"/>
              </w:rPr>
              <w:t>Surat-Thani</w:t>
            </w:r>
          </w:p>
        </w:tc>
        <w:tc>
          <w:tcPr>
            <w:tcW w:w="1520" w:type="dxa"/>
            <w:vAlign w:val="center"/>
          </w:tcPr>
          <w:p w14:paraId="173F712D" w14:textId="77777777" w:rsidR="009A0A63" w:rsidRPr="00792B36" w:rsidRDefault="009A0A63" w:rsidP="00A24459">
            <w:pPr>
              <w:jc w:val="center"/>
              <w:rPr>
                <w:sz w:val="24"/>
                <w:szCs w:val="24"/>
              </w:rPr>
            </w:pPr>
            <w:r w:rsidRPr="00792B36">
              <w:rPr>
                <w:color w:val="000000"/>
                <w:sz w:val="24"/>
                <w:szCs w:val="24"/>
              </w:rPr>
              <w:t>69</w:t>
            </w:r>
          </w:p>
        </w:tc>
        <w:tc>
          <w:tcPr>
            <w:tcW w:w="1520" w:type="dxa"/>
            <w:vAlign w:val="center"/>
          </w:tcPr>
          <w:p w14:paraId="77E58856" w14:textId="77777777" w:rsidR="009A0A63" w:rsidRPr="00792B36" w:rsidRDefault="009A0A63" w:rsidP="00A24459">
            <w:pPr>
              <w:jc w:val="center"/>
              <w:rPr>
                <w:sz w:val="24"/>
                <w:szCs w:val="24"/>
              </w:rPr>
            </w:pPr>
            <w:r w:rsidRPr="00792B36">
              <w:rPr>
                <w:color w:val="000000"/>
                <w:sz w:val="24"/>
                <w:szCs w:val="24"/>
              </w:rPr>
              <w:t>73</w:t>
            </w:r>
          </w:p>
        </w:tc>
        <w:tc>
          <w:tcPr>
            <w:tcW w:w="1520" w:type="dxa"/>
            <w:vAlign w:val="center"/>
          </w:tcPr>
          <w:p w14:paraId="3BAC45E7" w14:textId="77777777" w:rsidR="009A0A63" w:rsidRPr="00792B36" w:rsidRDefault="009A0A63" w:rsidP="00A24459">
            <w:pPr>
              <w:jc w:val="center"/>
              <w:rPr>
                <w:sz w:val="24"/>
                <w:szCs w:val="24"/>
              </w:rPr>
            </w:pPr>
            <w:r w:rsidRPr="00792B36">
              <w:rPr>
                <w:color w:val="000000"/>
                <w:sz w:val="24"/>
                <w:szCs w:val="24"/>
              </w:rPr>
              <w:t>78</w:t>
            </w:r>
          </w:p>
        </w:tc>
        <w:tc>
          <w:tcPr>
            <w:tcW w:w="1521" w:type="dxa"/>
            <w:vAlign w:val="center"/>
          </w:tcPr>
          <w:p w14:paraId="5B026FBB" w14:textId="77777777" w:rsidR="009A0A63" w:rsidRPr="00792B36" w:rsidRDefault="009A0A63" w:rsidP="00A24459">
            <w:pPr>
              <w:jc w:val="center"/>
              <w:rPr>
                <w:sz w:val="24"/>
                <w:szCs w:val="24"/>
              </w:rPr>
            </w:pPr>
            <w:r w:rsidRPr="00792B36">
              <w:rPr>
                <w:color w:val="000000"/>
                <w:sz w:val="24"/>
                <w:szCs w:val="24"/>
              </w:rPr>
              <w:t>83</w:t>
            </w:r>
          </w:p>
        </w:tc>
      </w:tr>
      <w:tr w:rsidR="009A0A63" w:rsidRPr="00792B36" w14:paraId="1DE5A701" w14:textId="77777777" w:rsidTr="00A24459">
        <w:trPr>
          <w:trHeight w:val="340"/>
        </w:trPr>
        <w:tc>
          <w:tcPr>
            <w:tcW w:w="2936" w:type="dxa"/>
            <w:vAlign w:val="center"/>
          </w:tcPr>
          <w:p w14:paraId="1CA8FFB7" w14:textId="77777777" w:rsidR="009A0A63" w:rsidRPr="00792B36" w:rsidRDefault="009A0A63" w:rsidP="00A24459">
            <w:pPr>
              <w:rPr>
                <w:sz w:val="24"/>
                <w:szCs w:val="24"/>
              </w:rPr>
            </w:pPr>
            <w:r w:rsidRPr="00792B36">
              <w:rPr>
                <w:color w:val="000000"/>
                <w:sz w:val="24"/>
                <w:szCs w:val="24"/>
              </w:rPr>
              <w:t>Chumphon</w:t>
            </w:r>
          </w:p>
        </w:tc>
        <w:tc>
          <w:tcPr>
            <w:tcW w:w="1520" w:type="dxa"/>
            <w:vAlign w:val="center"/>
          </w:tcPr>
          <w:p w14:paraId="1A66D3AB" w14:textId="77777777" w:rsidR="009A0A63" w:rsidRPr="00792B36" w:rsidRDefault="009A0A63" w:rsidP="00A24459">
            <w:pPr>
              <w:jc w:val="center"/>
              <w:rPr>
                <w:sz w:val="24"/>
                <w:szCs w:val="24"/>
              </w:rPr>
            </w:pPr>
            <w:r w:rsidRPr="00792B36">
              <w:rPr>
                <w:color w:val="000000"/>
                <w:sz w:val="24"/>
                <w:szCs w:val="24"/>
              </w:rPr>
              <w:t>77</w:t>
            </w:r>
          </w:p>
        </w:tc>
        <w:tc>
          <w:tcPr>
            <w:tcW w:w="1520" w:type="dxa"/>
            <w:vAlign w:val="center"/>
          </w:tcPr>
          <w:p w14:paraId="75D305D5" w14:textId="77777777" w:rsidR="009A0A63" w:rsidRPr="00792B36" w:rsidRDefault="009A0A63" w:rsidP="00A24459">
            <w:pPr>
              <w:jc w:val="center"/>
              <w:rPr>
                <w:sz w:val="24"/>
                <w:szCs w:val="24"/>
              </w:rPr>
            </w:pPr>
            <w:r w:rsidRPr="00792B36">
              <w:rPr>
                <w:color w:val="000000"/>
                <w:sz w:val="24"/>
                <w:szCs w:val="24"/>
              </w:rPr>
              <w:t>79</w:t>
            </w:r>
          </w:p>
        </w:tc>
        <w:tc>
          <w:tcPr>
            <w:tcW w:w="1520" w:type="dxa"/>
            <w:vAlign w:val="center"/>
          </w:tcPr>
          <w:p w14:paraId="3B93BDDB" w14:textId="77777777" w:rsidR="009A0A63" w:rsidRPr="00792B36" w:rsidRDefault="009A0A63" w:rsidP="00A24459">
            <w:pPr>
              <w:jc w:val="center"/>
              <w:rPr>
                <w:sz w:val="24"/>
                <w:szCs w:val="24"/>
              </w:rPr>
            </w:pPr>
            <w:r w:rsidRPr="00792B36">
              <w:rPr>
                <w:color w:val="000000"/>
                <w:sz w:val="24"/>
                <w:szCs w:val="24"/>
              </w:rPr>
              <w:t>82</w:t>
            </w:r>
          </w:p>
        </w:tc>
        <w:tc>
          <w:tcPr>
            <w:tcW w:w="1521" w:type="dxa"/>
            <w:vAlign w:val="center"/>
          </w:tcPr>
          <w:p w14:paraId="2DE74F9B" w14:textId="77777777" w:rsidR="009A0A63" w:rsidRPr="00792B36" w:rsidRDefault="009A0A63" w:rsidP="00A24459">
            <w:pPr>
              <w:jc w:val="center"/>
              <w:rPr>
                <w:sz w:val="24"/>
                <w:szCs w:val="24"/>
              </w:rPr>
            </w:pPr>
            <w:r w:rsidRPr="00792B36">
              <w:rPr>
                <w:color w:val="000000"/>
                <w:sz w:val="24"/>
                <w:szCs w:val="24"/>
              </w:rPr>
              <w:t>85</w:t>
            </w:r>
          </w:p>
        </w:tc>
      </w:tr>
      <w:tr w:rsidR="009A0A63" w:rsidRPr="00792B36" w14:paraId="3450C296" w14:textId="77777777" w:rsidTr="00A24459">
        <w:trPr>
          <w:trHeight w:val="340"/>
        </w:trPr>
        <w:tc>
          <w:tcPr>
            <w:tcW w:w="2936" w:type="dxa"/>
            <w:vAlign w:val="center"/>
          </w:tcPr>
          <w:p w14:paraId="0E44A5F6" w14:textId="77777777" w:rsidR="009A0A63" w:rsidRPr="00792B36" w:rsidRDefault="009A0A63" w:rsidP="00A24459">
            <w:pPr>
              <w:rPr>
                <w:sz w:val="24"/>
                <w:szCs w:val="24"/>
              </w:rPr>
            </w:pPr>
            <w:r w:rsidRPr="00792B36">
              <w:rPr>
                <w:color w:val="000000"/>
                <w:sz w:val="24"/>
                <w:szCs w:val="24"/>
              </w:rPr>
              <w:t>Songkhla</w:t>
            </w:r>
          </w:p>
        </w:tc>
        <w:tc>
          <w:tcPr>
            <w:tcW w:w="1520" w:type="dxa"/>
            <w:vAlign w:val="center"/>
          </w:tcPr>
          <w:p w14:paraId="7A9F849D" w14:textId="77777777" w:rsidR="009A0A63" w:rsidRPr="00792B36" w:rsidRDefault="009A0A63" w:rsidP="00A24459">
            <w:pPr>
              <w:jc w:val="center"/>
              <w:rPr>
                <w:sz w:val="24"/>
                <w:szCs w:val="24"/>
              </w:rPr>
            </w:pPr>
            <w:r w:rsidRPr="00792B36">
              <w:rPr>
                <w:color w:val="000000"/>
                <w:sz w:val="24"/>
                <w:szCs w:val="24"/>
              </w:rPr>
              <w:t>167</w:t>
            </w:r>
          </w:p>
        </w:tc>
        <w:tc>
          <w:tcPr>
            <w:tcW w:w="1520" w:type="dxa"/>
            <w:vAlign w:val="center"/>
          </w:tcPr>
          <w:p w14:paraId="54AF685B" w14:textId="77777777" w:rsidR="009A0A63" w:rsidRPr="00792B36" w:rsidRDefault="009A0A63" w:rsidP="00A24459">
            <w:pPr>
              <w:jc w:val="center"/>
              <w:rPr>
                <w:sz w:val="24"/>
                <w:szCs w:val="24"/>
              </w:rPr>
            </w:pPr>
            <w:r w:rsidRPr="00792B36">
              <w:rPr>
                <w:color w:val="000000"/>
                <w:sz w:val="24"/>
                <w:szCs w:val="24"/>
              </w:rPr>
              <w:t>176</w:t>
            </w:r>
          </w:p>
        </w:tc>
        <w:tc>
          <w:tcPr>
            <w:tcW w:w="1520" w:type="dxa"/>
            <w:vAlign w:val="center"/>
          </w:tcPr>
          <w:p w14:paraId="6843457F" w14:textId="77777777" w:rsidR="009A0A63" w:rsidRPr="00792B36" w:rsidRDefault="009A0A63" w:rsidP="00A24459">
            <w:pPr>
              <w:jc w:val="center"/>
              <w:rPr>
                <w:sz w:val="24"/>
                <w:szCs w:val="24"/>
              </w:rPr>
            </w:pPr>
            <w:r w:rsidRPr="00792B36">
              <w:rPr>
                <w:color w:val="000000"/>
                <w:sz w:val="24"/>
                <w:szCs w:val="24"/>
              </w:rPr>
              <w:t>184</w:t>
            </w:r>
          </w:p>
        </w:tc>
        <w:tc>
          <w:tcPr>
            <w:tcW w:w="1521" w:type="dxa"/>
            <w:vAlign w:val="center"/>
          </w:tcPr>
          <w:p w14:paraId="77CDFC30" w14:textId="77777777" w:rsidR="009A0A63" w:rsidRPr="00792B36" w:rsidRDefault="009A0A63" w:rsidP="00A24459">
            <w:pPr>
              <w:jc w:val="center"/>
              <w:rPr>
                <w:sz w:val="24"/>
                <w:szCs w:val="24"/>
              </w:rPr>
            </w:pPr>
            <w:r w:rsidRPr="00792B36">
              <w:rPr>
                <w:color w:val="000000"/>
                <w:sz w:val="24"/>
                <w:szCs w:val="24"/>
              </w:rPr>
              <w:t>193</w:t>
            </w:r>
          </w:p>
        </w:tc>
      </w:tr>
      <w:tr w:rsidR="009A0A63" w:rsidRPr="00792B36" w14:paraId="1BBE9A70" w14:textId="77777777" w:rsidTr="00A24459">
        <w:trPr>
          <w:trHeight w:val="340"/>
        </w:trPr>
        <w:tc>
          <w:tcPr>
            <w:tcW w:w="2936" w:type="dxa"/>
            <w:vAlign w:val="center"/>
          </w:tcPr>
          <w:p w14:paraId="1945C5CB" w14:textId="77777777" w:rsidR="009A0A63" w:rsidRPr="00792B36" w:rsidRDefault="009A0A63" w:rsidP="00A24459">
            <w:pPr>
              <w:rPr>
                <w:sz w:val="24"/>
                <w:szCs w:val="24"/>
              </w:rPr>
            </w:pPr>
            <w:r w:rsidRPr="00792B36">
              <w:rPr>
                <w:color w:val="000000"/>
                <w:sz w:val="24"/>
                <w:szCs w:val="24"/>
              </w:rPr>
              <w:t>Pattani</w:t>
            </w:r>
          </w:p>
        </w:tc>
        <w:tc>
          <w:tcPr>
            <w:tcW w:w="1520" w:type="dxa"/>
            <w:vAlign w:val="center"/>
          </w:tcPr>
          <w:p w14:paraId="24C1B34C" w14:textId="77777777" w:rsidR="009A0A63" w:rsidRPr="00792B36" w:rsidRDefault="009A0A63" w:rsidP="00A24459">
            <w:pPr>
              <w:jc w:val="center"/>
              <w:rPr>
                <w:sz w:val="24"/>
                <w:szCs w:val="24"/>
              </w:rPr>
            </w:pPr>
            <w:r w:rsidRPr="00792B36">
              <w:rPr>
                <w:color w:val="000000"/>
                <w:sz w:val="24"/>
                <w:szCs w:val="24"/>
              </w:rPr>
              <w:t>315</w:t>
            </w:r>
          </w:p>
        </w:tc>
        <w:tc>
          <w:tcPr>
            <w:tcW w:w="1520" w:type="dxa"/>
            <w:vAlign w:val="center"/>
          </w:tcPr>
          <w:p w14:paraId="36082714" w14:textId="77777777" w:rsidR="009A0A63" w:rsidRPr="00792B36" w:rsidRDefault="009A0A63" w:rsidP="00A24459">
            <w:pPr>
              <w:jc w:val="center"/>
              <w:rPr>
                <w:sz w:val="24"/>
                <w:szCs w:val="24"/>
              </w:rPr>
            </w:pPr>
            <w:r w:rsidRPr="00792B36">
              <w:rPr>
                <w:color w:val="000000"/>
                <w:sz w:val="24"/>
                <w:szCs w:val="24"/>
              </w:rPr>
              <w:t>327</w:t>
            </w:r>
          </w:p>
        </w:tc>
        <w:tc>
          <w:tcPr>
            <w:tcW w:w="1520" w:type="dxa"/>
            <w:vAlign w:val="center"/>
          </w:tcPr>
          <w:p w14:paraId="71CFF424" w14:textId="77777777" w:rsidR="009A0A63" w:rsidRPr="00792B36" w:rsidRDefault="009A0A63" w:rsidP="00A24459">
            <w:pPr>
              <w:jc w:val="center"/>
              <w:rPr>
                <w:sz w:val="24"/>
                <w:szCs w:val="24"/>
              </w:rPr>
            </w:pPr>
            <w:r w:rsidRPr="00792B36">
              <w:rPr>
                <w:color w:val="000000"/>
                <w:sz w:val="24"/>
                <w:szCs w:val="24"/>
              </w:rPr>
              <w:t>338</w:t>
            </w:r>
          </w:p>
        </w:tc>
        <w:tc>
          <w:tcPr>
            <w:tcW w:w="1521" w:type="dxa"/>
            <w:vAlign w:val="center"/>
          </w:tcPr>
          <w:p w14:paraId="51D60D07" w14:textId="77777777" w:rsidR="009A0A63" w:rsidRPr="00792B36" w:rsidRDefault="009A0A63" w:rsidP="00A24459">
            <w:pPr>
              <w:jc w:val="center"/>
              <w:rPr>
                <w:sz w:val="24"/>
                <w:szCs w:val="24"/>
              </w:rPr>
            </w:pPr>
            <w:r w:rsidRPr="00792B36">
              <w:rPr>
                <w:color w:val="000000"/>
                <w:sz w:val="24"/>
                <w:szCs w:val="24"/>
              </w:rPr>
              <w:t>374</w:t>
            </w:r>
          </w:p>
        </w:tc>
      </w:tr>
      <w:tr w:rsidR="009A0A63" w:rsidRPr="00792B36" w14:paraId="70CCFED2" w14:textId="77777777" w:rsidTr="00A24459">
        <w:trPr>
          <w:trHeight w:val="340"/>
        </w:trPr>
        <w:tc>
          <w:tcPr>
            <w:tcW w:w="2936" w:type="dxa"/>
            <w:vAlign w:val="center"/>
          </w:tcPr>
          <w:p w14:paraId="7A378CCE" w14:textId="77777777" w:rsidR="009A0A63" w:rsidRPr="00792B36" w:rsidRDefault="009A0A63" w:rsidP="00A24459">
            <w:pPr>
              <w:rPr>
                <w:sz w:val="24"/>
                <w:szCs w:val="24"/>
              </w:rPr>
            </w:pPr>
            <w:r w:rsidRPr="00792B36">
              <w:rPr>
                <w:color w:val="000000"/>
                <w:sz w:val="24"/>
                <w:szCs w:val="24"/>
              </w:rPr>
              <w:t>Narathiwat</w:t>
            </w:r>
          </w:p>
        </w:tc>
        <w:tc>
          <w:tcPr>
            <w:tcW w:w="1520" w:type="dxa"/>
            <w:vAlign w:val="center"/>
          </w:tcPr>
          <w:p w14:paraId="4021BE09" w14:textId="77777777" w:rsidR="009A0A63" w:rsidRPr="00792B36" w:rsidRDefault="009A0A63" w:rsidP="00A24459">
            <w:pPr>
              <w:jc w:val="center"/>
              <w:rPr>
                <w:sz w:val="24"/>
                <w:szCs w:val="24"/>
              </w:rPr>
            </w:pPr>
            <w:r w:rsidRPr="00792B36">
              <w:rPr>
                <w:color w:val="000000"/>
                <w:sz w:val="24"/>
                <w:szCs w:val="24"/>
              </w:rPr>
              <w:t>152</w:t>
            </w:r>
          </w:p>
        </w:tc>
        <w:tc>
          <w:tcPr>
            <w:tcW w:w="1520" w:type="dxa"/>
            <w:vAlign w:val="center"/>
          </w:tcPr>
          <w:p w14:paraId="69843B34" w14:textId="77777777" w:rsidR="009A0A63" w:rsidRPr="00792B36" w:rsidRDefault="009A0A63" w:rsidP="00A24459">
            <w:pPr>
              <w:jc w:val="center"/>
              <w:rPr>
                <w:sz w:val="24"/>
                <w:szCs w:val="24"/>
              </w:rPr>
            </w:pPr>
            <w:r w:rsidRPr="00792B36">
              <w:rPr>
                <w:color w:val="000000"/>
                <w:sz w:val="24"/>
                <w:szCs w:val="24"/>
              </w:rPr>
              <w:t>157</w:t>
            </w:r>
          </w:p>
        </w:tc>
        <w:tc>
          <w:tcPr>
            <w:tcW w:w="1520" w:type="dxa"/>
            <w:vAlign w:val="center"/>
          </w:tcPr>
          <w:p w14:paraId="10E0353A" w14:textId="77777777" w:rsidR="009A0A63" w:rsidRPr="00792B36" w:rsidRDefault="009A0A63" w:rsidP="00A24459">
            <w:pPr>
              <w:jc w:val="center"/>
              <w:rPr>
                <w:sz w:val="24"/>
                <w:szCs w:val="24"/>
              </w:rPr>
            </w:pPr>
            <w:r w:rsidRPr="00792B36">
              <w:rPr>
                <w:color w:val="000000"/>
                <w:sz w:val="24"/>
                <w:szCs w:val="24"/>
              </w:rPr>
              <w:t>165</w:t>
            </w:r>
          </w:p>
        </w:tc>
        <w:tc>
          <w:tcPr>
            <w:tcW w:w="1521" w:type="dxa"/>
            <w:vAlign w:val="center"/>
          </w:tcPr>
          <w:p w14:paraId="0466A4CD" w14:textId="77777777" w:rsidR="009A0A63" w:rsidRPr="00792B36" w:rsidRDefault="009A0A63" w:rsidP="00A24459">
            <w:pPr>
              <w:jc w:val="center"/>
              <w:rPr>
                <w:sz w:val="24"/>
                <w:szCs w:val="24"/>
              </w:rPr>
            </w:pPr>
            <w:r w:rsidRPr="00792B36">
              <w:rPr>
                <w:color w:val="000000"/>
                <w:sz w:val="24"/>
                <w:szCs w:val="24"/>
              </w:rPr>
              <w:t>180</w:t>
            </w:r>
          </w:p>
        </w:tc>
      </w:tr>
      <w:tr w:rsidR="009A0A63" w:rsidRPr="00792B36" w14:paraId="2D760C08" w14:textId="77777777" w:rsidTr="00A24459">
        <w:trPr>
          <w:trHeight w:val="340"/>
        </w:trPr>
        <w:tc>
          <w:tcPr>
            <w:tcW w:w="2936" w:type="dxa"/>
            <w:vAlign w:val="center"/>
          </w:tcPr>
          <w:p w14:paraId="0358C0E5" w14:textId="77777777" w:rsidR="009A0A63" w:rsidRPr="00792B36" w:rsidRDefault="009A0A63" w:rsidP="00A24459">
            <w:pPr>
              <w:rPr>
                <w:sz w:val="24"/>
                <w:szCs w:val="24"/>
              </w:rPr>
            </w:pPr>
            <w:r w:rsidRPr="00792B36">
              <w:rPr>
                <w:color w:val="000000"/>
                <w:sz w:val="24"/>
                <w:szCs w:val="24"/>
              </w:rPr>
              <w:t>Bangkok</w:t>
            </w:r>
          </w:p>
        </w:tc>
        <w:tc>
          <w:tcPr>
            <w:tcW w:w="1520" w:type="dxa"/>
            <w:vAlign w:val="center"/>
          </w:tcPr>
          <w:p w14:paraId="7EECB561" w14:textId="77777777" w:rsidR="009A0A63" w:rsidRPr="00792B36" w:rsidRDefault="009A0A63" w:rsidP="00A24459">
            <w:pPr>
              <w:jc w:val="center"/>
              <w:rPr>
                <w:sz w:val="24"/>
                <w:szCs w:val="24"/>
              </w:rPr>
            </w:pPr>
            <w:r w:rsidRPr="00792B36">
              <w:rPr>
                <w:color w:val="000000"/>
                <w:sz w:val="24"/>
                <w:szCs w:val="24"/>
              </w:rPr>
              <w:t>3,620</w:t>
            </w:r>
          </w:p>
        </w:tc>
        <w:tc>
          <w:tcPr>
            <w:tcW w:w="1520" w:type="dxa"/>
            <w:vAlign w:val="center"/>
          </w:tcPr>
          <w:p w14:paraId="59F7402D" w14:textId="77777777" w:rsidR="009A0A63" w:rsidRPr="00792B36" w:rsidRDefault="009A0A63" w:rsidP="00A24459">
            <w:pPr>
              <w:jc w:val="center"/>
              <w:rPr>
                <w:sz w:val="24"/>
                <w:szCs w:val="24"/>
              </w:rPr>
            </w:pPr>
            <w:r w:rsidRPr="00792B36">
              <w:rPr>
                <w:color w:val="000000"/>
                <w:sz w:val="24"/>
                <w:szCs w:val="24"/>
              </w:rPr>
              <w:t>3,607</w:t>
            </w:r>
          </w:p>
        </w:tc>
        <w:tc>
          <w:tcPr>
            <w:tcW w:w="1520" w:type="dxa"/>
            <w:vAlign w:val="center"/>
          </w:tcPr>
          <w:p w14:paraId="7D65D470" w14:textId="77777777" w:rsidR="009A0A63" w:rsidRPr="00792B36" w:rsidRDefault="009A0A63" w:rsidP="00A24459">
            <w:pPr>
              <w:jc w:val="center"/>
              <w:rPr>
                <w:sz w:val="24"/>
                <w:szCs w:val="24"/>
              </w:rPr>
            </w:pPr>
            <w:r w:rsidRPr="00792B36">
              <w:rPr>
                <w:color w:val="000000"/>
                <w:sz w:val="24"/>
                <w:szCs w:val="24"/>
              </w:rPr>
              <w:t>3,634</w:t>
            </w:r>
          </w:p>
        </w:tc>
        <w:tc>
          <w:tcPr>
            <w:tcW w:w="1521" w:type="dxa"/>
            <w:vAlign w:val="center"/>
          </w:tcPr>
          <w:p w14:paraId="4693C193" w14:textId="77777777" w:rsidR="009A0A63" w:rsidRPr="00792B36" w:rsidRDefault="009A0A63" w:rsidP="00A24459">
            <w:pPr>
              <w:jc w:val="center"/>
              <w:rPr>
                <w:sz w:val="24"/>
                <w:szCs w:val="24"/>
              </w:rPr>
            </w:pPr>
            <w:r w:rsidRPr="00792B36">
              <w:rPr>
                <w:color w:val="000000"/>
                <w:sz w:val="24"/>
                <w:szCs w:val="24"/>
              </w:rPr>
              <w:t>3,562</w:t>
            </w:r>
          </w:p>
        </w:tc>
      </w:tr>
      <w:tr w:rsidR="009A0A63" w:rsidRPr="00792B36" w14:paraId="700B58B8" w14:textId="77777777" w:rsidTr="00A24459">
        <w:trPr>
          <w:trHeight w:val="340"/>
        </w:trPr>
        <w:tc>
          <w:tcPr>
            <w:tcW w:w="2936" w:type="dxa"/>
            <w:vAlign w:val="center"/>
          </w:tcPr>
          <w:p w14:paraId="24B84A67" w14:textId="77777777" w:rsidR="009A0A63" w:rsidRPr="00792B36" w:rsidRDefault="009A0A63" w:rsidP="00A24459">
            <w:pPr>
              <w:rPr>
                <w:sz w:val="24"/>
                <w:szCs w:val="24"/>
              </w:rPr>
            </w:pPr>
            <w:r w:rsidRPr="00792B36">
              <w:rPr>
                <w:color w:val="000000"/>
                <w:sz w:val="24"/>
                <w:szCs w:val="24"/>
              </w:rPr>
              <w:t>Thailand</w:t>
            </w:r>
          </w:p>
        </w:tc>
        <w:tc>
          <w:tcPr>
            <w:tcW w:w="1520" w:type="dxa"/>
            <w:vAlign w:val="center"/>
          </w:tcPr>
          <w:p w14:paraId="4D0B0D6F" w14:textId="77777777" w:rsidR="009A0A63" w:rsidRPr="00792B36" w:rsidRDefault="009A0A63" w:rsidP="00A24459">
            <w:pPr>
              <w:jc w:val="center"/>
              <w:rPr>
                <w:sz w:val="24"/>
                <w:szCs w:val="24"/>
              </w:rPr>
            </w:pPr>
            <w:r w:rsidRPr="00792B36">
              <w:rPr>
                <w:color w:val="000000"/>
                <w:sz w:val="24"/>
                <w:szCs w:val="24"/>
              </w:rPr>
              <w:t>121</w:t>
            </w:r>
          </w:p>
        </w:tc>
        <w:tc>
          <w:tcPr>
            <w:tcW w:w="1520" w:type="dxa"/>
            <w:vAlign w:val="center"/>
          </w:tcPr>
          <w:p w14:paraId="3C0F481F" w14:textId="77777777" w:rsidR="009A0A63" w:rsidRPr="00792B36" w:rsidRDefault="009A0A63" w:rsidP="00A24459">
            <w:pPr>
              <w:jc w:val="center"/>
              <w:rPr>
                <w:sz w:val="24"/>
                <w:szCs w:val="24"/>
              </w:rPr>
            </w:pPr>
            <w:r w:rsidRPr="00792B36">
              <w:rPr>
                <w:color w:val="000000"/>
                <w:sz w:val="24"/>
                <w:szCs w:val="24"/>
              </w:rPr>
              <w:t>122</w:t>
            </w:r>
          </w:p>
        </w:tc>
        <w:tc>
          <w:tcPr>
            <w:tcW w:w="1520" w:type="dxa"/>
            <w:vAlign w:val="center"/>
          </w:tcPr>
          <w:p w14:paraId="314E9D36" w14:textId="77777777" w:rsidR="009A0A63" w:rsidRPr="00792B36" w:rsidRDefault="009A0A63" w:rsidP="00A24459">
            <w:pPr>
              <w:jc w:val="center"/>
              <w:rPr>
                <w:sz w:val="24"/>
                <w:szCs w:val="24"/>
              </w:rPr>
            </w:pPr>
            <w:r w:rsidRPr="00792B36">
              <w:rPr>
                <w:color w:val="000000"/>
                <w:sz w:val="24"/>
                <w:szCs w:val="24"/>
              </w:rPr>
              <w:t>124</w:t>
            </w:r>
          </w:p>
        </w:tc>
        <w:tc>
          <w:tcPr>
            <w:tcW w:w="1521" w:type="dxa"/>
            <w:vAlign w:val="center"/>
          </w:tcPr>
          <w:p w14:paraId="2FF1F331" w14:textId="77777777" w:rsidR="009A0A63" w:rsidRPr="00792B36" w:rsidRDefault="009A0A63" w:rsidP="00A24459">
            <w:pPr>
              <w:jc w:val="center"/>
              <w:rPr>
                <w:sz w:val="24"/>
                <w:szCs w:val="24"/>
              </w:rPr>
            </w:pPr>
            <w:r w:rsidRPr="00792B36">
              <w:rPr>
                <w:color w:val="000000"/>
                <w:sz w:val="24"/>
                <w:szCs w:val="24"/>
              </w:rPr>
              <w:t>129</w:t>
            </w:r>
          </w:p>
        </w:tc>
      </w:tr>
    </w:tbl>
    <w:p w14:paraId="7E577457" w14:textId="77777777" w:rsidR="009A0A63" w:rsidRPr="00792B36" w:rsidRDefault="009A0A63" w:rsidP="009A0A63">
      <w:pPr>
        <w:pBdr>
          <w:top w:val="nil"/>
          <w:left w:val="nil"/>
          <w:bottom w:val="nil"/>
          <w:right w:val="nil"/>
          <w:between w:val="nil"/>
        </w:pBdr>
        <w:spacing w:line="360" w:lineRule="auto"/>
        <w:contextualSpacing/>
        <w:jc w:val="both"/>
        <w:rPr>
          <w:color w:val="000000" w:themeColor="text1"/>
          <w:sz w:val="24"/>
          <w:szCs w:val="24"/>
        </w:rPr>
      </w:pPr>
      <w:r w:rsidRPr="00792B36">
        <w:rPr>
          <w:color w:val="000000" w:themeColor="text1"/>
          <w:sz w:val="24"/>
          <w:szCs w:val="24"/>
        </w:rPr>
        <w:t xml:space="preserve">Source: Author’s calculation based on data from Department of Provincial Administration. 2025. Official statistics registration systems. </w:t>
      </w:r>
    </w:p>
    <w:p w14:paraId="7C172437" w14:textId="77777777" w:rsidR="009A0A63" w:rsidRPr="00792B36" w:rsidRDefault="009A0A63" w:rsidP="009A0A63">
      <w:pPr>
        <w:pBdr>
          <w:top w:val="nil"/>
          <w:left w:val="nil"/>
          <w:bottom w:val="nil"/>
          <w:right w:val="nil"/>
          <w:between w:val="nil"/>
        </w:pBdr>
        <w:spacing w:line="360" w:lineRule="auto"/>
        <w:contextualSpacing/>
        <w:jc w:val="both"/>
        <w:rPr>
          <w:color w:val="000000" w:themeColor="text1"/>
          <w:sz w:val="24"/>
          <w:szCs w:val="24"/>
        </w:rPr>
      </w:pPr>
      <w:hyperlink r:id="rId94" w:history="1">
        <w:r w:rsidRPr="00792B36">
          <w:rPr>
            <w:rStyle w:val="Hyperlink"/>
            <w:sz w:val="24"/>
            <w:szCs w:val="24"/>
          </w:rPr>
          <w:t>https://stat.bora.dopa.go.th/stat/statnew/statMenu/newStat/home.php</w:t>
        </w:r>
      </w:hyperlink>
      <w:r w:rsidRPr="00792B36">
        <w:rPr>
          <w:color w:val="000000" w:themeColor="text1"/>
          <w:sz w:val="24"/>
          <w:szCs w:val="24"/>
        </w:rPr>
        <w:t xml:space="preserve"> (accessed 19 April 2025)</w:t>
      </w:r>
    </w:p>
    <w:p w14:paraId="1ED54081" w14:textId="77777777" w:rsidR="009A0A63" w:rsidRPr="00792B36" w:rsidRDefault="009A0A63" w:rsidP="009A0A63">
      <w:pPr>
        <w:spacing w:line="360" w:lineRule="auto"/>
        <w:rPr>
          <w:sz w:val="24"/>
          <w:szCs w:val="24"/>
        </w:rPr>
      </w:pPr>
    </w:p>
    <w:p w14:paraId="76184557" w14:textId="77777777" w:rsidR="009A0A63" w:rsidRPr="00792B36" w:rsidRDefault="009A0A63" w:rsidP="009A0A63">
      <w:pPr>
        <w:spacing w:line="360" w:lineRule="auto"/>
        <w:rPr>
          <w:sz w:val="24"/>
          <w:szCs w:val="24"/>
        </w:rPr>
      </w:pPr>
    </w:p>
    <w:p w14:paraId="1C290874" w14:textId="77777777" w:rsidR="009A0A63" w:rsidRPr="00792B36" w:rsidRDefault="009A0A63" w:rsidP="009A0A63">
      <w:pPr>
        <w:spacing w:line="360" w:lineRule="auto"/>
        <w:rPr>
          <w:sz w:val="24"/>
          <w:szCs w:val="24"/>
        </w:rPr>
      </w:pPr>
    </w:p>
    <w:p w14:paraId="6D36088E" w14:textId="77777777" w:rsidR="009A0A63" w:rsidRPr="00792B36" w:rsidRDefault="009A0A63" w:rsidP="009A0A63">
      <w:pPr>
        <w:spacing w:line="360" w:lineRule="auto"/>
        <w:rPr>
          <w:sz w:val="24"/>
          <w:szCs w:val="24"/>
        </w:rPr>
      </w:pPr>
    </w:p>
    <w:p w14:paraId="4CF31530" w14:textId="77777777" w:rsidR="009A0A63" w:rsidRPr="00792B36" w:rsidRDefault="009A0A63" w:rsidP="009A0A63">
      <w:pPr>
        <w:spacing w:line="360" w:lineRule="auto"/>
        <w:rPr>
          <w:sz w:val="24"/>
          <w:szCs w:val="24"/>
        </w:rPr>
      </w:pPr>
    </w:p>
    <w:p w14:paraId="2480B7F8" w14:textId="77777777" w:rsidR="009A0A63" w:rsidRPr="00792B36" w:rsidRDefault="009A0A63" w:rsidP="009A0A63">
      <w:pPr>
        <w:spacing w:line="360" w:lineRule="auto"/>
        <w:rPr>
          <w:sz w:val="24"/>
          <w:szCs w:val="24"/>
        </w:rPr>
      </w:pPr>
    </w:p>
    <w:p w14:paraId="791E5D49" w14:textId="77777777" w:rsidR="009A0A63" w:rsidRPr="00792B36" w:rsidRDefault="009A0A63" w:rsidP="009A0A63">
      <w:pPr>
        <w:spacing w:line="360" w:lineRule="auto"/>
        <w:rPr>
          <w:sz w:val="24"/>
          <w:szCs w:val="24"/>
        </w:rPr>
      </w:pPr>
    </w:p>
    <w:p w14:paraId="1CEDC291" w14:textId="77777777" w:rsidR="009A0A63" w:rsidRPr="00792B36" w:rsidRDefault="009A0A63" w:rsidP="009A0A63">
      <w:pPr>
        <w:spacing w:line="360" w:lineRule="auto"/>
        <w:rPr>
          <w:sz w:val="24"/>
          <w:szCs w:val="24"/>
        </w:rPr>
      </w:pPr>
    </w:p>
    <w:p w14:paraId="684DF0B1" w14:textId="77777777" w:rsidR="009A0A63" w:rsidRPr="00792B36" w:rsidRDefault="009A0A63" w:rsidP="009A0A63">
      <w:pPr>
        <w:spacing w:line="360" w:lineRule="auto"/>
        <w:rPr>
          <w:sz w:val="24"/>
          <w:szCs w:val="24"/>
        </w:rPr>
      </w:pPr>
    </w:p>
    <w:p w14:paraId="1117A31A" w14:textId="77777777" w:rsidR="009A0A63" w:rsidRPr="00792B36" w:rsidRDefault="009A0A63" w:rsidP="009A0A63">
      <w:pPr>
        <w:spacing w:line="360" w:lineRule="auto"/>
        <w:rPr>
          <w:sz w:val="24"/>
          <w:szCs w:val="24"/>
        </w:rPr>
      </w:pPr>
    </w:p>
    <w:p w14:paraId="52D8C608" w14:textId="77777777" w:rsidR="009A0A63" w:rsidRPr="00792B36" w:rsidRDefault="009A0A63" w:rsidP="009A0A63">
      <w:pPr>
        <w:spacing w:line="360" w:lineRule="auto"/>
        <w:rPr>
          <w:sz w:val="24"/>
          <w:szCs w:val="24"/>
        </w:rPr>
      </w:pPr>
    </w:p>
    <w:p w14:paraId="6131F37A" w14:textId="77777777" w:rsidR="009A0A63" w:rsidRPr="00792B36" w:rsidRDefault="009A0A63" w:rsidP="009A0A63">
      <w:pPr>
        <w:spacing w:line="360" w:lineRule="auto"/>
        <w:rPr>
          <w:sz w:val="24"/>
          <w:szCs w:val="24"/>
        </w:rPr>
      </w:pPr>
      <w:r w:rsidRPr="00792B36">
        <w:rPr>
          <w:b/>
          <w:bCs/>
          <w:sz w:val="24"/>
          <w:szCs w:val="24"/>
        </w:rPr>
        <w:lastRenderedPageBreak/>
        <w:t xml:space="preserve">Annex 2.7 </w:t>
      </w:r>
      <w:r w:rsidRPr="00792B36">
        <w:rPr>
          <w:color w:val="000000" w:themeColor="text1"/>
          <w:sz w:val="24"/>
          <w:szCs w:val="24"/>
        </w:rPr>
        <w:t>Percentage of population at mid-year residing in urban areas of Thailand (1950-2050)</w:t>
      </w:r>
    </w:p>
    <w:tbl>
      <w:tblPr>
        <w:tblStyle w:val="TableGrid"/>
        <w:tblW w:w="0" w:type="auto"/>
        <w:tblLook w:val="04A0" w:firstRow="1" w:lastRow="0" w:firstColumn="1" w:lastColumn="0" w:noHBand="0" w:noVBand="1"/>
      </w:tblPr>
      <w:tblGrid>
        <w:gridCol w:w="3539"/>
        <w:gridCol w:w="5478"/>
      </w:tblGrid>
      <w:tr w:rsidR="009A0A63" w:rsidRPr="00792B36" w14:paraId="278EF5AA" w14:textId="77777777" w:rsidTr="00A24459">
        <w:trPr>
          <w:trHeight w:val="340"/>
        </w:trPr>
        <w:tc>
          <w:tcPr>
            <w:tcW w:w="3539" w:type="dxa"/>
          </w:tcPr>
          <w:p w14:paraId="54566F9A" w14:textId="77777777" w:rsidR="009A0A63" w:rsidRPr="00792B36" w:rsidRDefault="009A0A63" w:rsidP="00A24459">
            <w:pPr>
              <w:jc w:val="center"/>
              <w:rPr>
                <w:b/>
                <w:bCs/>
                <w:sz w:val="24"/>
                <w:szCs w:val="24"/>
              </w:rPr>
            </w:pPr>
            <w:r w:rsidRPr="00792B36">
              <w:rPr>
                <w:b/>
                <w:bCs/>
                <w:sz w:val="24"/>
                <w:szCs w:val="24"/>
              </w:rPr>
              <w:t>Year</w:t>
            </w:r>
          </w:p>
        </w:tc>
        <w:tc>
          <w:tcPr>
            <w:tcW w:w="5478" w:type="dxa"/>
          </w:tcPr>
          <w:p w14:paraId="13045073" w14:textId="77777777" w:rsidR="009A0A63" w:rsidRPr="00792B36" w:rsidRDefault="009A0A63" w:rsidP="00A24459">
            <w:pPr>
              <w:jc w:val="center"/>
              <w:rPr>
                <w:b/>
                <w:bCs/>
                <w:sz w:val="24"/>
                <w:szCs w:val="24"/>
              </w:rPr>
            </w:pPr>
            <w:r w:rsidRPr="00792B36">
              <w:rPr>
                <w:b/>
                <w:bCs/>
                <w:sz w:val="24"/>
                <w:szCs w:val="24"/>
              </w:rPr>
              <w:t>% population</w:t>
            </w:r>
            <w:r w:rsidRPr="00792B36">
              <w:rPr>
                <w:b/>
                <w:bCs/>
                <w:color w:val="000000" w:themeColor="text1"/>
                <w:sz w:val="24"/>
                <w:szCs w:val="24"/>
              </w:rPr>
              <w:t xml:space="preserve"> residing in urban areas</w:t>
            </w:r>
          </w:p>
        </w:tc>
      </w:tr>
      <w:tr w:rsidR="009A0A63" w:rsidRPr="00792B36" w14:paraId="1BCDE5EB" w14:textId="77777777" w:rsidTr="00A24459">
        <w:trPr>
          <w:trHeight w:val="340"/>
        </w:trPr>
        <w:tc>
          <w:tcPr>
            <w:tcW w:w="3539" w:type="dxa"/>
            <w:vAlign w:val="center"/>
          </w:tcPr>
          <w:p w14:paraId="327342D7" w14:textId="77777777" w:rsidR="009A0A63" w:rsidRPr="00792B36" w:rsidRDefault="009A0A63" w:rsidP="00A24459">
            <w:pPr>
              <w:jc w:val="center"/>
              <w:rPr>
                <w:sz w:val="24"/>
                <w:szCs w:val="24"/>
              </w:rPr>
            </w:pPr>
            <w:r w:rsidRPr="00792B36">
              <w:rPr>
                <w:color w:val="000000"/>
                <w:sz w:val="24"/>
                <w:szCs w:val="24"/>
              </w:rPr>
              <w:t>1950</w:t>
            </w:r>
          </w:p>
        </w:tc>
        <w:tc>
          <w:tcPr>
            <w:tcW w:w="5478" w:type="dxa"/>
            <w:vAlign w:val="bottom"/>
          </w:tcPr>
          <w:p w14:paraId="0AD801E8" w14:textId="77777777" w:rsidR="009A0A63" w:rsidRPr="00792B36" w:rsidRDefault="009A0A63" w:rsidP="00A24459">
            <w:pPr>
              <w:jc w:val="center"/>
              <w:rPr>
                <w:sz w:val="24"/>
                <w:szCs w:val="24"/>
              </w:rPr>
            </w:pPr>
            <w:r w:rsidRPr="00792B36">
              <w:rPr>
                <w:color w:val="000000"/>
                <w:sz w:val="24"/>
                <w:szCs w:val="24"/>
              </w:rPr>
              <w:t>16.5</w:t>
            </w:r>
          </w:p>
        </w:tc>
      </w:tr>
      <w:tr w:rsidR="009A0A63" w:rsidRPr="00792B36" w14:paraId="1693B1D3" w14:textId="77777777" w:rsidTr="00A24459">
        <w:trPr>
          <w:trHeight w:val="340"/>
        </w:trPr>
        <w:tc>
          <w:tcPr>
            <w:tcW w:w="3539" w:type="dxa"/>
            <w:vAlign w:val="center"/>
          </w:tcPr>
          <w:p w14:paraId="44FA2A88" w14:textId="77777777" w:rsidR="009A0A63" w:rsidRPr="00792B36" w:rsidRDefault="009A0A63" w:rsidP="00A24459">
            <w:pPr>
              <w:jc w:val="center"/>
              <w:rPr>
                <w:sz w:val="24"/>
                <w:szCs w:val="24"/>
              </w:rPr>
            </w:pPr>
            <w:r w:rsidRPr="00792B36">
              <w:rPr>
                <w:color w:val="000000"/>
                <w:sz w:val="24"/>
                <w:szCs w:val="24"/>
              </w:rPr>
              <w:t>1951</w:t>
            </w:r>
          </w:p>
        </w:tc>
        <w:tc>
          <w:tcPr>
            <w:tcW w:w="5478" w:type="dxa"/>
            <w:vAlign w:val="bottom"/>
          </w:tcPr>
          <w:p w14:paraId="4C3E8C28" w14:textId="77777777" w:rsidR="009A0A63" w:rsidRPr="00792B36" w:rsidRDefault="009A0A63" w:rsidP="00A24459">
            <w:pPr>
              <w:jc w:val="center"/>
              <w:rPr>
                <w:sz w:val="24"/>
                <w:szCs w:val="24"/>
              </w:rPr>
            </w:pPr>
            <w:r w:rsidRPr="00792B36">
              <w:rPr>
                <w:color w:val="000000"/>
                <w:sz w:val="24"/>
                <w:szCs w:val="24"/>
              </w:rPr>
              <w:t>16.8</w:t>
            </w:r>
          </w:p>
        </w:tc>
      </w:tr>
      <w:tr w:rsidR="009A0A63" w:rsidRPr="00792B36" w14:paraId="5A24528F" w14:textId="77777777" w:rsidTr="00A24459">
        <w:trPr>
          <w:trHeight w:val="340"/>
        </w:trPr>
        <w:tc>
          <w:tcPr>
            <w:tcW w:w="3539" w:type="dxa"/>
            <w:vAlign w:val="center"/>
          </w:tcPr>
          <w:p w14:paraId="3B19B695" w14:textId="77777777" w:rsidR="009A0A63" w:rsidRPr="00792B36" w:rsidRDefault="009A0A63" w:rsidP="00A24459">
            <w:pPr>
              <w:jc w:val="center"/>
              <w:rPr>
                <w:sz w:val="24"/>
                <w:szCs w:val="24"/>
              </w:rPr>
            </w:pPr>
            <w:r w:rsidRPr="00792B36">
              <w:rPr>
                <w:color w:val="000000"/>
                <w:sz w:val="24"/>
                <w:szCs w:val="24"/>
              </w:rPr>
              <w:t>1952</w:t>
            </w:r>
          </w:p>
        </w:tc>
        <w:tc>
          <w:tcPr>
            <w:tcW w:w="5478" w:type="dxa"/>
            <w:vAlign w:val="bottom"/>
          </w:tcPr>
          <w:p w14:paraId="647E3E2E" w14:textId="77777777" w:rsidR="009A0A63" w:rsidRPr="00792B36" w:rsidRDefault="009A0A63" w:rsidP="00A24459">
            <w:pPr>
              <w:jc w:val="center"/>
              <w:rPr>
                <w:sz w:val="24"/>
                <w:szCs w:val="24"/>
              </w:rPr>
            </w:pPr>
            <w:r w:rsidRPr="00792B36">
              <w:rPr>
                <w:color w:val="000000"/>
                <w:sz w:val="24"/>
                <w:szCs w:val="24"/>
              </w:rPr>
              <w:t>17.1</w:t>
            </w:r>
          </w:p>
        </w:tc>
      </w:tr>
      <w:tr w:rsidR="009A0A63" w:rsidRPr="00792B36" w14:paraId="73665045" w14:textId="77777777" w:rsidTr="00A24459">
        <w:trPr>
          <w:trHeight w:val="340"/>
        </w:trPr>
        <w:tc>
          <w:tcPr>
            <w:tcW w:w="3539" w:type="dxa"/>
            <w:vAlign w:val="center"/>
          </w:tcPr>
          <w:p w14:paraId="3E802EB6" w14:textId="77777777" w:rsidR="009A0A63" w:rsidRPr="00792B36" w:rsidRDefault="009A0A63" w:rsidP="00A24459">
            <w:pPr>
              <w:jc w:val="center"/>
              <w:rPr>
                <w:sz w:val="24"/>
                <w:szCs w:val="24"/>
              </w:rPr>
            </w:pPr>
            <w:r w:rsidRPr="00792B36">
              <w:rPr>
                <w:color w:val="000000"/>
                <w:sz w:val="24"/>
                <w:szCs w:val="24"/>
              </w:rPr>
              <w:t>1953</w:t>
            </w:r>
          </w:p>
        </w:tc>
        <w:tc>
          <w:tcPr>
            <w:tcW w:w="5478" w:type="dxa"/>
            <w:vAlign w:val="bottom"/>
          </w:tcPr>
          <w:p w14:paraId="568CD222" w14:textId="77777777" w:rsidR="009A0A63" w:rsidRPr="00792B36" w:rsidRDefault="009A0A63" w:rsidP="00A24459">
            <w:pPr>
              <w:jc w:val="center"/>
              <w:rPr>
                <w:sz w:val="24"/>
                <w:szCs w:val="24"/>
              </w:rPr>
            </w:pPr>
            <w:r w:rsidRPr="00792B36">
              <w:rPr>
                <w:color w:val="000000"/>
                <w:sz w:val="24"/>
                <w:szCs w:val="24"/>
              </w:rPr>
              <w:t>17.4</w:t>
            </w:r>
          </w:p>
        </w:tc>
      </w:tr>
      <w:tr w:rsidR="009A0A63" w:rsidRPr="00792B36" w14:paraId="5279A6E6" w14:textId="77777777" w:rsidTr="00A24459">
        <w:trPr>
          <w:trHeight w:val="340"/>
        </w:trPr>
        <w:tc>
          <w:tcPr>
            <w:tcW w:w="3539" w:type="dxa"/>
            <w:vAlign w:val="center"/>
          </w:tcPr>
          <w:p w14:paraId="372252D0" w14:textId="77777777" w:rsidR="009A0A63" w:rsidRPr="00792B36" w:rsidRDefault="009A0A63" w:rsidP="00A24459">
            <w:pPr>
              <w:jc w:val="center"/>
              <w:rPr>
                <w:sz w:val="24"/>
                <w:szCs w:val="24"/>
              </w:rPr>
            </w:pPr>
            <w:r w:rsidRPr="00792B36">
              <w:rPr>
                <w:color w:val="000000"/>
                <w:sz w:val="24"/>
                <w:szCs w:val="24"/>
              </w:rPr>
              <w:t>1954</w:t>
            </w:r>
          </w:p>
        </w:tc>
        <w:tc>
          <w:tcPr>
            <w:tcW w:w="5478" w:type="dxa"/>
            <w:vAlign w:val="bottom"/>
          </w:tcPr>
          <w:p w14:paraId="3ACFD70B" w14:textId="77777777" w:rsidR="009A0A63" w:rsidRPr="00792B36" w:rsidRDefault="009A0A63" w:rsidP="00A24459">
            <w:pPr>
              <w:jc w:val="center"/>
              <w:rPr>
                <w:sz w:val="24"/>
                <w:szCs w:val="24"/>
              </w:rPr>
            </w:pPr>
            <w:r w:rsidRPr="00792B36">
              <w:rPr>
                <w:color w:val="000000"/>
                <w:sz w:val="24"/>
                <w:szCs w:val="24"/>
              </w:rPr>
              <w:t>17.7</w:t>
            </w:r>
          </w:p>
        </w:tc>
      </w:tr>
      <w:tr w:rsidR="009A0A63" w:rsidRPr="00792B36" w14:paraId="2CE4E26D" w14:textId="77777777" w:rsidTr="00A24459">
        <w:trPr>
          <w:trHeight w:val="340"/>
        </w:trPr>
        <w:tc>
          <w:tcPr>
            <w:tcW w:w="3539" w:type="dxa"/>
            <w:vAlign w:val="center"/>
          </w:tcPr>
          <w:p w14:paraId="2004A098" w14:textId="77777777" w:rsidR="009A0A63" w:rsidRPr="00792B36" w:rsidRDefault="009A0A63" w:rsidP="00A24459">
            <w:pPr>
              <w:jc w:val="center"/>
              <w:rPr>
                <w:sz w:val="24"/>
                <w:szCs w:val="24"/>
              </w:rPr>
            </w:pPr>
            <w:r w:rsidRPr="00792B36">
              <w:rPr>
                <w:color w:val="000000"/>
                <w:sz w:val="24"/>
                <w:szCs w:val="24"/>
              </w:rPr>
              <w:t>1955</w:t>
            </w:r>
          </w:p>
        </w:tc>
        <w:tc>
          <w:tcPr>
            <w:tcW w:w="5478" w:type="dxa"/>
            <w:vAlign w:val="bottom"/>
          </w:tcPr>
          <w:p w14:paraId="6C91B54B" w14:textId="77777777" w:rsidR="009A0A63" w:rsidRPr="00792B36" w:rsidRDefault="009A0A63" w:rsidP="00A24459">
            <w:pPr>
              <w:jc w:val="center"/>
              <w:rPr>
                <w:sz w:val="24"/>
                <w:szCs w:val="24"/>
              </w:rPr>
            </w:pPr>
            <w:r w:rsidRPr="00792B36">
              <w:rPr>
                <w:color w:val="000000"/>
                <w:sz w:val="24"/>
                <w:szCs w:val="24"/>
              </w:rPr>
              <w:t>18.0</w:t>
            </w:r>
          </w:p>
        </w:tc>
      </w:tr>
      <w:tr w:rsidR="009A0A63" w:rsidRPr="00792B36" w14:paraId="570249E7" w14:textId="77777777" w:rsidTr="00A24459">
        <w:trPr>
          <w:trHeight w:val="340"/>
        </w:trPr>
        <w:tc>
          <w:tcPr>
            <w:tcW w:w="3539" w:type="dxa"/>
            <w:vAlign w:val="center"/>
          </w:tcPr>
          <w:p w14:paraId="63CF43E4" w14:textId="77777777" w:rsidR="009A0A63" w:rsidRPr="00792B36" w:rsidRDefault="009A0A63" w:rsidP="00A24459">
            <w:pPr>
              <w:jc w:val="center"/>
              <w:rPr>
                <w:sz w:val="24"/>
                <w:szCs w:val="24"/>
              </w:rPr>
            </w:pPr>
            <w:r w:rsidRPr="00792B36">
              <w:rPr>
                <w:color w:val="000000"/>
                <w:sz w:val="24"/>
                <w:szCs w:val="24"/>
              </w:rPr>
              <w:t>1956</w:t>
            </w:r>
          </w:p>
        </w:tc>
        <w:tc>
          <w:tcPr>
            <w:tcW w:w="5478" w:type="dxa"/>
            <w:vAlign w:val="bottom"/>
          </w:tcPr>
          <w:p w14:paraId="216C68EF" w14:textId="77777777" w:rsidR="009A0A63" w:rsidRPr="00792B36" w:rsidRDefault="009A0A63" w:rsidP="00A24459">
            <w:pPr>
              <w:jc w:val="center"/>
              <w:rPr>
                <w:sz w:val="24"/>
                <w:szCs w:val="24"/>
              </w:rPr>
            </w:pPr>
            <w:r w:rsidRPr="00792B36">
              <w:rPr>
                <w:color w:val="000000"/>
                <w:sz w:val="24"/>
                <w:szCs w:val="24"/>
              </w:rPr>
              <w:t>18.4</w:t>
            </w:r>
          </w:p>
        </w:tc>
      </w:tr>
      <w:tr w:rsidR="009A0A63" w:rsidRPr="00792B36" w14:paraId="6AC1DA9D" w14:textId="77777777" w:rsidTr="00A24459">
        <w:trPr>
          <w:trHeight w:val="340"/>
        </w:trPr>
        <w:tc>
          <w:tcPr>
            <w:tcW w:w="3539" w:type="dxa"/>
            <w:vAlign w:val="center"/>
          </w:tcPr>
          <w:p w14:paraId="0DD9FBC9" w14:textId="77777777" w:rsidR="009A0A63" w:rsidRPr="00792B36" w:rsidRDefault="009A0A63" w:rsidP="00A24459">
            <w:pPr>
              <w:jc w:val="center"/>
              <w:rPr>
                <w:sz w:val="24"/>
                <w:szCs w:val="24"/>
              </w:rPr>
            </w:pPr>
            <w:r w:rsidRPr="00792B36">
              <w:rPr>
                <w:color w:val="000000"/>
                <w:sz w:val="24"/>
                <w:szCs w:val="24"/>
              </w:rPr>
              <w:t>1957</w:t>
            </w:r>
          </w:p>
        </w:tc>
        <w:tc>
          <w:tcPr>
            <w:tcW w:w="5478" w:type="dxa"/>
            <w:vAlign w:val="bottom"/>
          </w:tcPr>
          <w:p w14:paraId="7E9D11D3" w14:textId="77777777" w:rsidR="009A0A63" w:rsidRPr="00792B36" w:rsidRDefault="009A0A63" w:rsidP="00A24459">
            <w:pPr>
              <w:jc w:val="center"/>
              <w:rPr>
                <w:sz w:val="24"/>
                <w:szCs w:val="24"/>
              </w:rPr>
            </w:pPr>
            <w:r w:rsidRPr="00792B36">
              <w:rPr>
                <w:color w:val="000000"/>
                <w:sz w:val="24"/>
                <w:szCs w:val="24"/>
              </w:rPr>
              <w:t>18.7</w:t>
            </w:r>
          </w:p>
        </w:tc>
      </w:tr>
      <w:tr w:rsidR="009A0A63" w:rsidRPr="00792B36" w14:paraId="267406D3" w14:textId="77777777" w:rsidTr="00A24459">
        <w:trPr>
          <w:trHeight w:val="340"/>
        </w:trPr>
        <w:tc>
          <w:tcPr>
            <w:tcW w:w="3539" w:type="dxa"/>
            <w:vAlign w:val="center"/>
          </w:tcPr>
          <w:p w14:paraId="29ECA8C1" w14:textId="77777777" w:rsidR="009A0A63" w:rsidRPr="00792B36" w:rsidRDefault="009A0A63" w:rsidP="00A24459">
            <w:pPr>
              <w:jc w:val="center"/>
              <w:rPr>
                <w:sz w:val="24"/>
                <w:szCs w:val="24"/>
              </w:rPr>
            </w:pPr>
            <w:r w:rsidRPr="00792B36">
              <w:rPr>
                <w:color w:val="000000"/>
                <w:sz w:val="24"/>
                <w:szCs w:val="24"/>
              </w:rPr>
              <w:t>1958</w:t>
            </w:r>
          </w:p>
        </w:tc>
        <w:tc>
          <w:tcPr>
            <w:tcW w:w="5478" w:type="dxa"/>
            <w:vAlign w:val="bottom"/>
          </w:tcPr>
          <w:p w14:paraId="7712C748" w14:textId="77777777" w:rsidR="009A0A63" w:rsidRPr="00792B36" w:rsidRDefault="009A0A63" w:rsidP="00A24459">
            <w:pPr>
              <w:jc w:val="center"/>
              <w:rPr>
                <w:sz w:val="24"/>
                <w:szCs w:val="24"/>
              </w:rPr>
            </w:pPr>
            <w:r w:rsidRPr="00792B36">
              <w:rPr>
                <w:color w:val="000000"/>
                <w:sz w:val="24"/>
                <w:szCs w:val="24"/>
              </w:rPr>
              <w:t>19.0</w:t>
            </w:r>
          </w:p>
        </w:tc>
      </w:tr>
      <w:tr w:rsidR="009A0A63" w:rsidRPr="00792B36" w14:paraId="206728F4" w14:textId="77777777" w:rsidTr="00A24459">
        <w:trPr>
          <w:trHeight w:val="340"/>
        </w:trPr>
        <w:tc>
          <w:tcPr>
            <w:tcW w:w="3539" w:type="dxa"/>
            <w:vAlign w:val="center"/>
          </w:tcPr>
          <w:p w14:paraId="4C369542" w14:textId="77777777" w:rsidR="009A0A63" w:rsidRPr="00792B36" w:rsidRDefault="009A0A63" w:rsidP="00A24459">
            <w:pPr>
              <w:jc w:val="center"/>
              <w:rPr>
                <w:sz w:val="24"/>
                <w:szCs w:val="24"/>
              </w:rPr>
            </w:pPr>
            <w:r w:rsidRPr="00792B36">
              <w:rPr>
                <w:color w:val="000000"/>
                <w:sz w:val="24"/>
                <w:szCs w:val="24"/>
              </w:rPr>
              <w:t>1959</w:t>
            </w:r>
          </w:p>
        </w:tc>
        <w:tc>
          <w:tcPr>
            <w:tcW w:w="5478" w:type="dxa"/>
            <w:vAlign w:val="bottom"/>
          </w:tcPr>
          <w:p w14:paraId="6508DF30" w14:textId="77777777" w:rsidR="009A0A63" w:rsidRPr="00792B36" w:rsidRDefault="009A0A63" w:rsidP="00A24459">
            <w:pPr>
              <w:jc w:val="center"/>
              <w:rPr>
                <w:sz w:val="24"/>
                <w:szCs w:val="24"/>
              </w:rPr>
            </w:pPr>
            <w:r w:rsidRPr="00792B36">
              <w:rPr>
                <w:color w:val="000000"/>
                <w:sz w:val="24"/>
                <w:szCs w:val="24"/>
              </w:rPr>
              <w:t>19.4</w:t>
            </w:r>
          </w:p>
        </w:tc>
      </w:tr>
      <w:tr w:rsidR="009A0A63" w:rsidRPr="00792B36" w14:paraId="29FC832C" w14:textId="77777777" w:rsidTr="00A24459">
        <w:trPr>
          <w:trHeight w:val="340"/>
        </w:trPr>
        <w:tc>
          <w:tcPr>
            <w:tcW w:w="3539" w:type="dxa"/>
            <w:vAlign w:val="center"/>
          </w:tcPr>
          <w:p w14:paraId="309ADD6D" w14:textId="77777777" w:rsidR="009A0A63" w:rsidRPr="00792B36" w:rsidRDefault="009A0A63" w:rsidP="00A24459">
            <w:pPr>
              <w:jc w:val="center"/>
              <w:rPr>
                <w:sz w:val="24"/>
                <w:szCs w:val="24"/>
              </w:rPr>
            </w:pPr>
            <w:r w:rsidRPr="00792B36">
              <w:rPr>
                <w:color w:val="000000"/>
                <w:sz w:val="24"/>
                <w:szCs w:val="24"/>
              </w:rPr>
              <w:t>1960</w:t>
            </w:r>
          </w:p>
        </w:tc>
        <w:tc>
          <w:tcPr>
            <w:tcW w:w="5478" w:type="dxa"/>
            <w:vAlign w:val="bottom"/>
          </w:tcPr>
          <w:p w14:paraId="402D6EB2" w14:textId="77777777" w:rsidR="009A0A63" w:rsidRPr="00792B36" w:rsidRDefault="009A0A63" w:rsidP="00A24459">
            <w:pPr>
              <w:jc w:val="center"/>
              <w:rPr>
                <w:sz w:val="24"/>
                <w:szCs w:val="24"/>
              </w:rPr>
            </w:pPr>
            <w:r w:rsidRPr="00792B36">
              <w:rPr>
                <w:color w:val="000000"/>
                <w:sz w:val="24"/>
                <w:szCs w:val="24"/>
              </w:rPr>
              <w:t>19.7</w:t>
            </w:r>
          </w:p>
        </w:tc>
      </w:tr>
      <w:tr w:rsidR="009A0A63" w:rsidRPr="00792B36" w14:paraId="393B542B" w14:textId="77777777" w:rsidTr="00A24459">
        <w:trPr>
          <w:trHeight w:val="340"/>
        </w:trPr>
        <w:tc>
          <w:tcPr>
            <w:tcW w:w="3539" w:type="dxa"/>
            <w:vAlign w:val="center"/>
          </w:tcPr>
          <w:p w14:paraId="57410706" w14:textId="77777777" w:rsidR="009A0A63" w:rsidRPr="00792B36" w:rsidRDefault="009A0A63" w:rsidP="00A24459">
            <w:pPr>
              <w:jc w:val="center"/>
              <w:rPr>
                <w:sz w:val="24"/>
                <w:szCs w:val="24"/>
              </w:rPr>
            </w:pPr>
            <w:r w:rsidRPr="00792B36">
              <w:rPr>
                <w:color w:val="000000"/>
                <w:sz w:val="24"/>
                <w:szCs w:val="24"/>
              </w:rPr>
              <w:t>1961</w:t>
            </w:r>
          </w:p>
        </w:tc>
        <w:tc>
          <w:tcPr>
            <w:tcW w:w="5478" w:type="dxa"/>
            <w:vAlign w:val="bottom"/>
          </w:tcPr>
          <w:p w14:paraId="74B75B6D" w14:textId="77777777" w:rsidR="009A0A63" w:rsidRPr="00792B36" w:rsidRDefault="009A0A63" w:rsidP="00A24459">
            <w:pPr>
              <w:jc w:val="center"/>
              <w:rPr>
                <w:sz w:val="24"/>
                <w:szCs w:val="24"/>
              </w:rPr>
            </w:pPr>
            <w:r w:rsidRPr="00792B36">
              <w:rPr>
                <w:color w:val="000000"/>
                <w:sz w:val="24"/>
                <w:szCs w:val="24"/>
              </w:rPr>
              <w:t>19.8</w:t>
            </w:r>
          </w:p>
        </w:tc>
      </w:tr>
      <w:tr w:rsidR="009A0A63" w:rsidRPr="00792B36" w14:paraId="1E26387C" w14:textId="77777777" w:rsidTr="00A24459">
        <w:trPr>
          <w:trHeight w:val="340"/>
        </w:trPr>
        <w:tc>
          <w:tcPr>
            <w:tcW w:w="3539" w:type="dxa"/>
            <w:vAlign w:val="center"/>
          </w:tcPr>
          <w:p w14:paraId="3418BAEE" w14:textId="77777777" w:rsidR="009A0A63" w:rsidRPr="00792B36" w:rsidRDefault="009A0A63" w:rsidP="00A24459">
            <w:pPr>
              <w:jc w:val="center"/>
              <w:rPr>
                <w:sz w:val="24"/>
                <w:szCs w:val="24"/>
              </w:rPr>
            </w:pPr>
            <w:r w:rsidRPr="00792B36">
              <w:rPr>
                <w:color w:val="000000"/>
                <w:sz w:val="24"/>
                <w:szCs w:val="24"/>
              </w:rPr>
              <w:t>1962</w:t>
            </w:r>
          </w:p>
        </w:tc>
        <w:tc>
          <w:tcPr>
            <w:tcW w:w="5478" w:type="dxa"/>
            <w:vAlign w:val="bottom"/>
          </w:tcPr>
          <w:p w14:paraId="33C816FA" w14:textId="77777777" w:rsidR="009A0A63" w:rsidRPr="00792B36" w:rsidRDefault="009A0A63" w:rsidP="00A24459">
            <w:pPr>
              <w:jc w:val="center"/>
              <w:rPr>
                <w:sz w:val="24"/>
                <w:szCs w:val="24"/>
              </w:rPr>
            </w:pPr>
            <w:r w:rsidRPr="00792B36">
              <w:rPr>
                <w:color w:val="000000"/>
                <w:sz w:val="24"/>
                <w:szCs w:val="24"/>
              </w:rPr>
              <w:t>19.9</w:t>
            </w:r>
          </w:p>
        </w:tc>
      </w:tr>
      <w:tr w:rsidR="009A0A63" w:rsidRPr="00792B36" w14:paraId="4B6F10E2" w14:textId="77777777" w:rsidTr="00A24459">
        <w:trPr>
          <w:trHeight w:val="340"/>
        </w:trPr>
        <w:tc>
          <w:tcPr>
            <w:tcW w:w="3539" w:type="dxa"/>
            <w:vAlign w:val="center"/>
          </w:tcPr>
          <w:p w14:paraId="3B51A159" w14:textId="77777777" w:rsidR="009A0A63" w:rsidRPr="00792B36" w:rsidRDefault="009A0A63" w:rsidP="00A24459">
            <w:pPr>
              <w:jc w:val="center"/>
              <w:rPr>
                <w:sz w:val="24"/>
                <w:szCs w:val="24"/>
              </w:rPr>
            </w:pPr>
            <w:r w:rsidRPr="00792B36">
              <w:rPr>
                <w:color w:val="000000"/>
                <w:sz w:val="24"/>
                <w:szCs w:val="24"/>
              </w:rPr>
              <w:t>1963</w:t>
            </w:r>
          </w:p>
        </w:tc>
        <w:tc>
          <w:tcPr>
            <w:tcW w:w="5478" w:type="dxa"/>
            <w:vAlign w:val="bottom"/>
          </w:tcPr>
          <w:p w14:paraId="45A7A4EE" w14:textId="77777777" w:rsidR="009A0A63" w:rsidRPr="00792B36" w:rsidRDefault="009A0A63" w:rsidP="00A24459">
            <w:pPr>
              <w:jc w:val="center"/>
              <w:rPr>
                <w:sz w:val="24"/>
                <w:szCs w:val="24"/>
              </w:rPr>
            </w:pPr>
            <w:r w:rsidRPr="00792B36">
              <w:rPr>
                <w:color w:val="000000"/>
                <w:sz w:val="24"/>
                <w:szCs w:val="24"/>
              </w:rPr>
              <w:t>20.0</w:t>
            </w:r>
          </w:p>
        </w:tc>
      </w:tr>
      <w:tr w:rsidR="009A0A63" w:rsidRPr="00792B36" w14:paraId="7748D907" w14:textId="77777777" w:rsidTr="00A24459">
        <w:trPr>
          <w:trHeight w:val="340"/>
        </w:trPr>
        <w:tc>
          <w:tcPr>
            <w:tcW w:w="3539" w:type="dxa"/>
            <w:vAlign w:val="center"/>
          </w:tcPr>
          <w:p w14:paraId="7EE78072" w14:textId="77777777" w:rsidR="009A0A63" w:rsidRPr="00792B36" w:rsidRDefault="009A0A63" w:rsidP="00A24459">
            <w:pPr>
              <w:jc w:val="center"/>
              <w:rPr>
                <w:sz w:val="24"/>
                <w:szCs w:val="24"/>
              </w:rPr>
            </w:pPr>
            <w:r w:rsidRPr="00792B36">
              <w:rPr>
                <w:color w:val="000000"/>
                <w:sz w:val="24"/>
                <w:szCs w:val="24"/>
              </w:rPr>
              <w:t>1964</w:t>
            </w:r>
          </w:p>
        </w:tc>
        <w:tc>
          <w:tcPr>
            <w:tcW w:w="5478" w:type="dxa"/>
            <w:vAlign w:val="bottom"/>
          </w:tcPr>
          <w:p w14:paraId="12378729" w14:textId="77777777" w:rsidR="009A0A63" w:rsidRPr="00792B36" w:rsidRDefault="009A0A63" w:rsidP="00A24459">
            <w:pPr>
              <w:jc w:val="center"/>
              <w:rPr>
                <w:sz w:val="24"/>
                <w:szCs w:val="24"/>
              </w:rPr>
            </w:pPr>
            <w:r w:rsidRPr="00792B36">
              <w:rPr>
                <w:color w:val="000000"/>
                <w:sz w:val="24"/>
                <w:szCs w:val="24"/>
              </w:rPr>
              <w:t>20.1</w:t>
            </w:r>
          </w:p>
        </w:tc>
      </w:tr>
      <w:tr w:rsidR="009A0A63" w:rsidRPr="00792B36" w14:paraId="3065A87A" w14:textId="77777777" w:rsidTr="00A24459">
        <w:trPr>
          <w:trHeight w:val="340"/>
        </w:trPr>
        <w:tc>
          <w:tcPr>
            <w:tcW w:w="3539" w:type="dxa"/>
            <w:vAlign w:val="center"/>
          </w:tcPr>
          <w:p w14:paraId="40BAD708" w14:textId="77777777" w:rsidR="009A0A63" w:rsidRPr="00792B36" w:rsidRDefault="009A0A63" w:rsidP="00A24459">
            <w:pPr>
              <w:jc w:val="center"/>
              <w:rPr>
                <w:sz w:val="24"/>
                <w:szCs w:val="24"/>
              </w:rPr>
            </w:pPr>
            <w:r w:rsidRPr="00792B36">
              <w:rPr>
                <w:color w:val="000000"/>
                <w:sz w:val="24"/>
                <w:szCs w:val="24"/>
              </w:rPr>
              <w:t>1965</w:t>
            </w:r>
          </w:p>
        </w:tc>
        <w:tc>
          <w:tcPr>
            <w:tcW w:w="5478" w:type="dxa"/>
            <w:vAlign w:val="bottom"/>
          </w:tcPr>
          <w:p w14:paraId="5AD8208D" w14:textId="77777777" w:rsidR="009A0A63" w:rsidRPr="00792B36" w:rsidRDefault="009A0A63" w:rsidP="00A24459">
            <w:pPr>
              <w:jc w:val="center"/>
              <w:rPr>
                <w:sz w:val="24"/>
                <w:szCs w:val="24"/>
              </w:rPr>
            </w:pPr>
            <w:r w:rsidRPr="00792B36">
              <w:rPr>
                <w:color w:val="000000"/>
                <w:sz w:val="24"/>
                <w:szCs w:val="24"/>
              </w:rPr>
              <w:t>20.2</w:t>
            </w:r>
          </w:p>
        </w:tc>
      </w:tr>
      <w:tr w:rsidR="009A0A63" w:rsidRPr="00792B36" w14:paraId="05D9D736" w14:textId="77777777" w:rsidTr="00A24459">
        <w:trPr>
          <w:trHeight w:val="340"/>
        </w:trPr>
        <w:tc>
          <w:tcPr>
            <w:tcW w:w="3539" w:type="dxa"/>
            <w:vAlign w:val="center"/>
          </w:tcPr>
          <w:p w14:paraId="46FD0F56" w14:textId="77777777" w:rsidR="009A0A63" w:rsidRPr="00792B36" w:rsidRDefault="009A0A63" w:rsidP="00A24459">
            <w:pPr>
              <w:jc w:val="center"/>
              <w:rPr>
                <w:sz w:val="24"/>
                <w:szCs w:val="24"/>
              </w:rPr>
            </w:pPr>
            <w:r w:rsidRPr="00792B36">
              <w:rPr>
                <w:color w:val="000000"/>
                <w:sz w:val="24"/>
                <w:szCs w:val="24"/>
              </w:rPr>
              <w:t>1966</w:t>
            </w:r>
          </w:p>
        </w:tc>
        <w:tc>
          <w:tcPr>
            <w:tcW w:w="5478" w:type="dxa"/>
            <w:vAlign w:val="bottom"/>
          </w:tcPr>
          <w:p w14:paraId="754226DD" w14:textId="77777777" w:rsidR="009A0A63" w:rsidRPr="00792B36" w:rsidRDefault="009A0A63" w:rsidP="00A24459">
            <w:pPr>
              <w:jc w:val="center"/>
              <w:rPr>
                <w:sz w:val="24"/>
                <w:szCs w:val="24"/>
              </w:rPr>
            </w:pPr>
            <w:r w:rsidRPr="00792B36">
              <w:rPr>
                <w:color w:val="000000"/>
                <w:sz w:val="24"/>
                <w:szCs w:val="24"/>
              </w:rPr>
              <w:t>20.3</w:t>
            </w:r>
          </w:p>
        </w:tc>
      </w:tr>
      <w:tr w:rsidR="009A0A63" w:rsidRPr="00792B36" w14:paraId="40D4F259" w14:textId="77777777" w:rsidTr="00A24459">
        <w:trPr>
          <w:trHeight w:val="340"/>
        </w:trPr>
        <w:tc>
          <w:tcPr>
            <w:tcW w:w="3539" w:type="dxa"/>
            <w:vAlign w:val="center"/>
          </w:tcPr>
          <w:p w14:paraId="1121EDE3" w14:textId="77777777" w:rsidR="009A0A63" w:rsidRPr="00792B36" w:rsidRDefault="009A0A63" w:rsidP="00A24459">
            <w:pPr>
              <w:jc w:val="center"/>
              <w:rPr>
                <w:sz w:val="24"/>
                <w:szCs w:val="24"/>
              </w:rPr>
            </w:pPr>
            <w:r w:rsidRPr="00792B36">
              <w:rPr>
                <w:color w:val="000000"/>
                <w:sz w:val="24"/>
                <w:szCs w:val="24"/>
              </w:rPr>
              <w:t>1967</w:t>
            </w:r>
          </w:p>
        </w:tc>
        <w:tc>
          <w:tcPr>
            <w:tcW w:w="5478" w:type="dxa"/>
            <w:vAlign w:val="bottom"/>
          </w:tcPr>
          <w:p w14:paraId="5DAFEAF0" w14:textId="77777777" w:rsidR="009A0A63" w:rsidRPr="00792B36" w:rsidRDefault="009A0A63" w:rsidP="00A24459">
            <w:pPr>
              <w:jc w:val="center"/>
              <w:rPr>
                <w:sz w:val="24"/>
                <w:szCs w:val="24"/>
              </w:rPr>
            </w:pPr>
            <w:r w:rsidRPr="00792B36">
              <w:rPr>
                <w:color w:val="000000"/>
                <w:sz w:val="24"/>
                <w:szCs w:val="24"/>
              </w:rPr>
              <w:t>20.4</w:t>
            </w:r>
          </w:p>
        </w:tc>
      </w:tr>
      <w:tr w:rsidR="009A0A63" w:rsidRPr="00792B36" w14:paraId="0492C77F" w14:textId="77777777" w:rsidTr="00A24459">
        <w:trPr>
          <w:trHeight w:val="340"/>
        </w:trPr>
        <w:tc>
          <w:tcPr>
            <w:tcW w:w="3539" w:type="dxa"/>
            <w:vAlign w:val="center"/>
          </w:tcPr>
          <w:p w14:paraId="44620F28" w14:textId="77777777" w:rsidR="009A0A63" w:rsidRPr="00792B36" w:rsidRDefault="009A0A63" w:rsidP="00A24459">
            <w:pPr>
              <w:jc w:val="center"/>
              <w:rPr>
                <w:sz w:val="24"/>
                <w:szCs w:val="24"/>
              </w:rPr>
            </w:pPr>
            <w:r w:rsidRPr="00792B36">
              <w:rPr>
                <w:color w:val="000000"/>
                <w:sz w:val="24"/>
                <w:szCs w:val="24"/>
              </w:rPr>
              <w:t>1968</w:t>
            </w:r>
          </w:p>
        </w:tc>
        <w:tc>
          <w:tcPr>
            <w:tcW w:w="5478" w:type="dxa"/>
            <w:vAlign w:val="bottom"/>
          </w:tcPr>
          <w:p w14:paraId="00EC4EAC" w14:textId="77777777" w:rsidR="009A0A63" w:rsidRPr="00792B36" w:rsidRDefault="009A0A63" w:rsidP="00A24459">
            <w:pPr>
              <w:jc w:val="center"/>
              <w:rPr>
                <w:sz w:val="24"/>
                <w:szCs w:val="24"/>
              </w:rPr>
            </w:pPr>
            <w:r w:rsidRPr="00792B36">
              <w:rPr>
                <w:color w:val="000000"/>
                <w:sz w:val="24"/>
                <w:szCs w:val="24"/>
              </w:rPr>
              <w:t>20.6</w:t>
            </w:r>
          </w:p>
        </w:tc>
      </w:tr>
      <w:tr w:rsidR="009A0A63" w:rsidRPr="00792B36" w14:paraId="1C4F50A5" w14:textId="77777777" w:rsidTr="00A24459">
        <w:trPr>
          <w:trHeight w:val="340"/>
        </w:trPr>
        <w:tc>
          <w:tcPr>
            <w:tcW w:w="3539" w:type="dxa"/>
            <w:vAlign w:val="center"/>
          </w:tcPr>
          <w:p w14:paraId="0DFC10A8" w14:textId="77777777" w:rsidR="009A0A63" w:rsidRPr="00792B36" w:rsidRDefault="009A0A63" w:rsidP="00A24459">
            <w:pPr>
              <w:jc w:val="center"/>
              <w:rPr>
                <w:sz w:val="24"/>
                <w:szCs w:val="24"/>
              </w:rPr>
            </w:pPr>
            <w:r w:rsidRPr="00792B36">
              <w:rPr>
                <w:color w:val="000000"/>
                <w:sz w:val="24"/>
                <w:szCs w:val="24"/>
              </w:rPr>
              <w:t>1969</w:t>
            </w:r>
          </w:p>
        </w:tc>
        <w:tc>
          <w:tcPr>
            <w:tcW w:w="5478" w:type="dxa"/>
            <w:vAlign w:val="bottom"/>
          </w:tcPr>
          <w:p w14:paraId="1A17C0E2" w14:textId="77777777" w:rsidR="009A0A63" w:rsidRPr="00792B36" w:rsidRDefault="009A0A63" w:rsidP="00A24459">
            <w:pPr>
              <w:jc w:val="center"/>
              <w:rPr>
                <w:sz w:val="24"/>
                <w:szCs w:val="24"/>
              </w:rPr>
            </w:pPr>
            <w:r w:rsidRPr="00792B36">
              <w:rPr>
                <w:color w:val="000000"/>
                <w:sz w:val="24"/>
                <w:szCs w:val="24"/>
              </w:rPr>
              <w:t>20.7</w:t>
            </w:r>
          </w:p>
        </w:tc>
      </w:tr>
      <w:tr w:rsidR="009A0A63" w:rsidRPr="00792B36" w14:paraId="1F3788F5" w14:textId="77777777" w:rsidTr="00A24459">
        <w:trPr>
          <w:trHeight w:val="340"/>
        </w:trPr>
        <w:tc>
          <w:tcPr>
            <w:tcW w:w="3539" w:type="dxa"/>
            <w:vAlign w:val="center"/>
          </w:tcPr>
          <w:p w14:paraId="29D57E0E" w14:textId="77777777" w:rsidR="009A0A63" w:rsidRPr="00792B36" w:rsidRDefault="009A0A63" w:rsidP="00A24459">
            <w:pPr>
              <w:jc w:val="center"/>
              <w:rPr>
                <w:sz w:val="24"/>
                <w:szCs w:val="24"/>
              </w:rPr>
            </w:pPr>
            <w:r w:rsidRPr="00792B36">
              <w:rPr>
                <w:color w:val="000000"/>
                <w:sz w:val="24"/>
                <w:szCs w:val="24"/>
              </w:rPr>
              <w:t>1970</w:t>
            </w:r>
          </w:p>
        </w:tc>
        <w:tc>
          <w:tcPr>
            <w:tcW w:w="5478" w:type="dxa"/>
            <w:vAlign w:val="bottom"/>
          </w:tcPr>
          <w:p w14:paraId="7E51B271" w14:textId="77777777" w:rsidR="009A0A63" w:rsidRPr="00792B36" w:rsidRDefault="009A0A63" w:rsidP="00A24459">
            <w:pPr>
              <w:jc w:val="center"/>
              <w:rPr>
                <w:sz w:val="24"/>
                <w:szCs w:val="24"/>
              </w:rPr>
            </w:pPr>
            <w:r w:rsidRPr="00792B36">
              <w:rPr>
                <w:color w:val="000000"/>
                <w:sz w:val="24"/>
                <w:szCs w:val="24"/>
              </w:rPr>
              <w:t>20.9</w:t>
            </w:r>
          </w:p>
        </w:tc>
      </w:tr>
      <w:tr w:rsidR="009A0A63" w:rsidRPr="00792B36" w14:paraId="685E12B6" w14:textId="77777777" w:rsidTr="00A24459">
        <w:trPr>
          <w:trHeight w:val="340"/>
        </w:trPr>
        <w:tc>
          <w:tcPr>
            <w:tcW w:w="3539" w:type="dxa"/>
            <w:vAlign w:val="center"/>
          </w:tcPr>
          <w:p w14:paraId="308DF074" w14:textId="77777777" w:rsidR="009A0A63" w:rsidRPr="00792B36" w:rsidRDefault="009A0A63" w:rsidP="00A24459">
            <w:pPr>
              <w:jc w:val="center"/>
              <w:rPr>
                <w:sz w:val="24"/>
                <w:szCs w:val="24"/>
              </w:rPr>
            </w:pPr>
            <w:r w:rsidRPr="00792B36">
              <w:rPr>
                <w:color w:val="000000"/>
                <w:sz w:val="24"/>
                <w:szCs w:val="24"/>
              </w:rPr>
              <w:t>1971</w:t>
            </w:r>
          </w:p>
        </w:tc>
        <w:tc>
          <w:tcPr>
            <w:tcW w:w="5478" w:type="dxa"/>
            <w:vAlign w:val="bottom"/>
          </w:tcPr>
          <w:p w14:paraId="504E56A0" w14:textId="77777777" w:rsidR="009A0A63" w:rsidRPr="00792B36" w:rsidRDefault="009A0A63" w:rsidP="00A24459">
            <w:pPr>
              <w:jc w:val="center"/>
              <w:rPr>
                <w:sz w:val="24"/>
                <w:szCs w:val="24"/>
              </w:rPr>
            </w:pPr>
            <w:r w:rsidRPr="00792B36">
              <w:rPr>
                <w:color w:val="000000"/>
                <w:sz w:val="24"/>
                <w:szCs w:val="24"/>
              </w:rPr>
              <w:t>21.4</w:t>
            </w:r>
          </w:p>
        </w:tc>
      </w:tr>
      <w:tr w:rsidR="009A0A63" w:rsidRPr="00792B36" w14:paraId="619CAF86" w14:textId="77777777" w:rsidTr="00A24459">
        <w:trPr>
          <w:trHeight w:val="340"/>
        </w:trPr>
        <w:tc>
          <w:tcPr>
            <w:tcW w:w="3539" w:type="dxa"/>
            <w:vAlign w:val="center"/>
          </w:tcPr>
          <w:p w14:paraId="7C00C11B" w14:textId="77777777" w:rsidR="009A0A63" w:rsidRPr="00792B36" w:rsidRDefault="009A0A63" w:rsidP="00A24459">
            <w:pPr>
              <w:jc w:val="center"/>
              <w:rPr>
                <w:sz w:val="24"/>
                <w:szCs w:val="24"/>
              </w:rPr>
            </w:pPr>
            <w:r w:rsidRPr="00792B36">
              <w:rPr>
                <w:color w:val="000000"/>
                <w:sz w:val="24"/>
                <w:szCs w:val="24"/>
              </w:rPr>
              <w:t>1972</w:t>
            </w:r>
          </w:p>
        </w:tc>
        <w:tc>
          <w:tcPr>
            <w:tcW w:w="5478" w:type="dxa"/>
            <w:vAlign w:val="bottom"/>
          </w:tcPr>
          <w:p w14:paraId="43FD25B7" w14:textId="77777777" w:rsidR="009A0A63" w:rsidRPr="00792B36" w:rsidRDefault="009A0A63" w:rsidP="00A24459">
            <w:pPr>
              <w:jc w:val="center"/>
              <w:rPr>
                <w:sz w:val="24"/>
                <w:szCs w:val="24"/>
              </w:rPr>
            </w:pPr>
            <w:r w:rsidRPr="00792B36">
              <w:rPr>
                <w:color w:val="000000"/>
                <w:sz w:val="24"/>
                <w:szCs w:val="24"/>
              </w:rPr>
              <w:t>22.0</w:t>
            </w:r>
          </w:p>
        </w:tc>
      </w:tr>
      <w:tr w:rsidR="009A0A63" w:rsidRPr="00792B36" w14:paraId="470A4B1D" w14:textId="77777777" w:rsidTr="00A24459">
        <w:trPr>
          <w:trHeight w:val="340"/>
        </w:trPr>
        <w:tc>
          <w:tcPr>
            <w:tcW w:w="3539" w:type="dxa"/>
            <w:vAlign w:val="center"/>
          </w:tcPr>
          <w:p w14:paraId="5306A3E9" w14:textId="77777777" w:rsidR="009A0A63" w:rsidRPr="00792B36" w:rsidRDefault="009A0A63" w:rsidP="00A24459">
            <w:pPr>
              <w:jc w:val="center"/>
              <w:rPr>
                <w:sz w:val="24"/>
                <w:szCs w:val="24"/>
              </w:rPr>
            </w:pPr>
            <w:r w:rsidRPr="00792B36">
              <w:rPr>
                <w:color w:val="000000"/>
                <w:sz w:val="24"/>
                <w:szCs w:val="24"/>
              </w:rPr>
              <w:t>1973</w:t>
            </w:r>
          </w:p>
        </w:tc>
        <w:tc>
          <w:tcPr>
            <w:tcW w:w="5478" w:type="dxa"/>
            <w:vAlign w:val="bottom"/>
          </w:tcPr>
          <w:p w14:paraId="40CB01A1" w14:textId="77777777" w:rsidR="009A0A63" w:rsidRPr="00792B36" w:rsidRDefault="009A0A63" w:rsidP="00A24459">
            <w:pPr>
              <w:jc w:val="center"/>
              <w:rPr>
                <w:sz w:val="24"/>
                <w:szCs w:val="24"/>
              </w:rPr>
            </w:pPr>
            <w:r w:rsidRPr="00792B36">
              <w:rPr>
                <w:color w:val="000000"/>
                <w:sz w:val="24"/>
                <w:szCs w:val="24"/>
              </w:rPr>
              <w:t>22.6</w:t>
            </w:r>
          </w:p>
        </w:tc>
      </w:tr>
      <w:tr w:rsidR="009A0A63" w:rsidRPr="00792B36" w14:paraId="1E3F7F31" w14:textId="77777777" w:rsidTr="00A24459">
        <w:trPr>
          <w:trHeight w:val="340"/>
        </w:trPr>
        <w:tc>
          <w:tcPr>
            <w:tcW w:w="3539" w:type="dxa"/>
            <w:vAlign w:val="center"/>
          </w:tcPr>
          <w:p w14:paraId="70F07844" w14:textId="77777777" w:rsidR="009A0A63" w:rsidRPr="00792B36" w:rsidRDefault="009A0A63" w:rsidP="00A24459">
            <w:pPr>
              <w:jc w:val="center"/>
              <w:rPr>
                <w:sz w:val="24"/>
                <w:szCs w:val="24"/>
              </w:rPr>
            </w:pPr>
            <w:r w:rsidRPr="00792B36">
              <w:rPr>
                <w:color w:val="000000"/>
                <w:sz w:val="24"/>
                <w:szCs w:val="24"/>
              </w:rPr>
              <w:t>1974</w:t>
            </w:r>
          </w:p>
        </w:tc>
        <w:tc>
          <w:tcPr>
            <w:tcW w:w="5478" w:type="dxa"/>
            <w:vAlign w:val="bottom"/>
          </w:tcPr>
          <w:p w14:paraId="5442B5A6" w14:textId="77777777" w:rsidR="009A0A63" w:rsidRPr="00792B36" w:rsidRDefault="009A0A63" w:rsidP="00A24459">
            <w:pPr>
              <w:jc w:val="center"/>
              <w:rPr>
                <w:sz w:val="24"/>
                <w:szCs w:val="24"/>
              </w:rPr>
            </w:pPr>
            <w:r w:rsidRPr="00792B36">
              <w:rPr>
                <w:color w:val="000000"/>
                <w:sz w:val="24"/>
                <w:szCs w:val="24"/>
              </w:rPr>
              <w:t>23.2</w:t>
            </w:r>
          </w:p>
        </w:tc>
      </w:tr>
      <w:tr w:rsidR="009A0A63" w:rsidRPr="00792B36" w14:paraId="73377645" w14:textId="77777777" w:rsidTr="00A24459">
        <w:trPr>
          <w:trHeight w:val="340"/>
        </w:trPr>
        <w:tc>
          <w:tcPr>
            <w:tcW w:w="3539" w:type="dxa"/>
            <w:vAlign w:val="center"/>
          </w:tcPr>
          <w:p w14:paraId="04FF4522" w14:textId="77777777" w:rsidR="009A0A63" w:rsidRPr="00792B36" w:rsidRDefault="009A0A63" w:rsidP="00A24459">
            <w:pPr>
              <w:jc w:val="center"/>
              <w:rPr>
                <w:sz w:val="24"/>
                <w:szCs w:val="24"/>
              </w:rPr>
            </w:pPr>
            <w:r w:rsidRPr="00792B36">
              <w:rPr>
                <w:color w:val="000000"/>
                <w:sz w:val="24"/>
                <w:szCs w:val="24"/>
              </w:rPr>
              <w:t>1975</w:t>
            </w:r>
          </w:p>
        </w:tc>
        <w:tc>
          <w:tcPr>
            <w:tcW w:w="5478" w:type="dxa"/>
            <w:vAlign w:val="bottom"/>
          </w:tcPr>
          <w:p w14:paraId="500BE405" w14:textId="77777777" w:rsidR="009A0A63" w:rsidRPr="00792B36" w:rsidRDefault="009A0A63" w:rsidP="00A24459">
            <w:pPr>
              <w:jc w:val="center"/>
              <w:rPr>
                <w:sz w:val="24"/>
                <w:szCs w:val="24"/>
              </w:rPr>
            </w:pPr>
            <w:r w:rsidRPr="00792B36">
              <w:rPr>
                <w:color w:val="000000"/>
                <w:sz w:val="24"/>
                <w:szCs w:val="24"/>
              </w:rPr>
              <w:t>23.8</w:t>
            </w:r>
          </w:p>
        </w:tc>
      </w:tr>
      <w:tr w:rsidR="009A0A63" w:rsidRPr="00792B36" w14:paraId="20B08713" w14:textId="77777777" w:rsidTr="00A24459">
        <w:trPr>
          <w:trHeight w:val="340"/>
        </w:trPr>
        <w:tc>
          <w:tcPr>
            <w:tcW w:w="3539" w:type="dxa"/>
            <w:vAlign w:val="center"/>
          </w:tcPr>
          <w:p w14:paraId="31C128D5" w14:textId="77777777" w:rsidR="009A0A63" w:rsidRPr="00792B36" w:rsidRDefault="009A0A63" w:rsidP="00A24459">
            <w:pPr>
              <w:jc w:val="center"/>
              <w:rPr>
                <w:sz w:val="24"/>
                <w:szCs w:val="24"/>
              </w:rPr>
            </w:pPr>
            <w:r w:rsidRPr="00792B36">
              <w:rPr>
                <w:color w:val="000000"/>
                <w:sz w:val="24"/>
                <w:szCs w:val="24"/>
              </w:rPr>
              <w:t>1976</w:t>
            </w:r>
          </w:p>
        </w:tc>
        <w:tc>
          <w:tcPr>
            <w:tcW w:w="5478" w:type="dxa"/>
            <w:vAlign w:val="bottom"/>
          </w:tcPr>
          <w:p w14:paraId="5A483F48" w14:textId="77777777" w:rsidR="009A0A63" w:rsidRPr="00792B36" w:rsidRDefault="009A0A63" w:rsidP="00A24459">
            <w:pPr>
              <w:jc w:val="center"/>
              <w:rPr>
                <w:sz w:val="24"/>
                <w:szCs w:val="24"/>
              </w:rPr>
            </w:pPr>
            <w:r w:rsidRPr="00792B36">
              <w:rPr>
                <w:color w:val="000000"/>
                <w:sz w:val="24"/>
                <w:szCs w:val="24"/>
              </w:rPr>
              <w:t>24.4</w:t>
            </w:r>
          </w:p>
        </w:tc>
      </w:tr>
      <w:tr w:rsidR="009A0A63" w:rsidRPr="00792B36" w14:paraId="1E9066C9" w14:textId="77777777" w:rsidTr="00A24459">
        <w:trPr>
          <w:trHeight w:val="340"/>
        </w:trPr>
        <w:tc>
          <w:tcPr>
            <w:tcW w:w="3539" w:type="dxa"/>
            <w:vAlign w:val="center"/>
          </w:tcPr>
          <w:p w14:paraId="2F3A962E" w14:textId="77777777" w:rsidR="009A0A63" w:rsidRPr="00792B36" w:rsidRDefault="009A0A63" w:rsidP="00A24459">
            <w:pPr>
              <w:jc w:val="center"/>
              <w:rPr>
                <w:sz w:val="24"/>
                <w:szCs w:val="24"/>
              </w:rPr>
            </w:pPr>
            <w:r w:rsidRPr="00792B36">
              <w:rPr>
                <w:color w:val="000000"/>
                <w:sz w:val="24"/>
                <w:szCs w:val="24"/>
              </w:rPr>
              <w:t>1977</w:t>
            </w:r>
          </w:p>
        </w:tc>
        <w:tc>
          <w:tcPr>
            <w:tcW w:w="5478" w:type="dxa"/>
            <w:vAlign w:val="bottom"/>
          </w:tcPr>
          <w:p w14:paraId="75A037FA" w14:textId="77777777" w:rsidR="009A0A63" w:rsidRPr="00792B36" w:rsidRDefault="009A0A63" w:rsidP="00A24459">
            <w:pPr>
              <w:jc w:val="center"/>
              <w:rPr>
                <w:sz w:val="24"/>
                <w:szCs w:val="24"/>
              </w:rPr>
            </w:pPr>
            <w:r w:rsidRPr="00792B36">
              <w:rPr>
                <w:color w:val="000000"/>
                <w:sz w:val="24"/>
                <w:szCs w:val="24"/>
              </w:rPr>
              <w:t>25.0</w:t>
            </w:r>
          </w:p>
        </w:tc>
      </w:tr>
      <w:tr w:rsidR="009A0A63" w:rsidRPr="00792B36" w14:paraId="0A959132" w14:textId="77777777" w:rsidTr="00A24459">
        <w:trPr>
          <w:trHeight w:val="340"/>
        </w:trPr>
        <w:tc>
          <w:tcPr>
            <w:tcW w:w="3539" w:type="dxa"/>
            <w:vAlign w:val="center"/>
          </w:tcPr>
          <w:p w14:paraId="24C3F554" w14:textId="77777777" w:rsidR="009A0A63" w:rsidRPr="00792B36" w:rsidRDefault="009A0A63" w:rsidP="00A24459">
            <w:pPr>
              <w:jc w:val="center"/>
              <w:rPr>
                <w:sz w:val="24"/>
                <w:szCs w:val="24"/>
              </w:rPr>
            </w:pPr>
            <w:r w:rsidRPr="00792B36">
              <w:rPr>
                <w:color w:val="000000"/>
                <w:sz w:val="24"/>
                <w:szCs w:val="24"/>
              </w:rPr>
              <w:t>1978</w:t>
            </w:r>
          </w:p>
        </w:tc>
        <w:tc>
          <w:tcPr>
            <w:tcW w:w="5478" w:type="dxa"/>
            <w:vAlign w:val="bottom"/>
          </w:tcPr>
          <w:p w14:paraId="0CA755DC" w14:textId="77777777" w:rsidR="009A0A63" w:rsidRPr="00792B36" w:rsidRDefault="009A0A63" w:rsidP="00A24459">
            <w:pPr>
              <w:jc w:val="center"/>
              <w:rPr>
                <w:sz w:val="24"/>
                <w:szCs w:val="24"/>
              </w:rPr>
            </w:pPr>
            <w:r w:rsidRPr="00792B36">
              <w:rPr>
                <w:color w:val="000000"/>
                <w:sz w:val="24"/>
                <w:szCs w:val="24"/>
              </w:rPr>
              <w:t>25.6</w:t>
            </w:r>
          </w:p>
        </w:tc>
      </w:tr>
      <w:tr w:rsidR="009A0A63" w:rsidRPr="00792B36" w14:paraId="33EEB692" w14:textId="77777777" w:rsidTr="00A24459">
        <w:trPr>
          <w:trHeight w:val="340"/>
        </w:trPr>
        <w:tc>
          <w:tcPr>
            <w:tcW w:w="3539" w:type="dxa"/>
            <w:vAlign w:val="center"/>
          </w:tcPr>
          <w:p w14:paraId="26EFEE74" w14:textId="77777777" w:rsidR="009A0A63" w:rsidRPr="00792B36" w:rsidRDefault="009A0A63" w:rsidP="00A24459">
            <w:pPr>
              <w:jc w:val="center"/>
              <w:rPr>
                <w:sz w:val="24"/>
                <w:szCs w:val="24"/>
              </w:rPr>
            </w:pPr>
            <w:r w:rsidRPr="00792B36">
              <w:rPr>
                <w:color w:val="000000"/>
                <w:sz w:val="24"/>
                <w:szCs w:val="24"/>
              </w:rPr>
              <w:t>1979</w:t>
            </w:r>
          </w:p>
        </w:tc>
        <w:tc>
          <w:tcPr>
            <w:tcW w:w="5478" w:type="dxa"/>
            <w:vAlign w:val="bottom"/>
          </w:tcPr>
          <w:p w14:paraId="5D9B8FF6" w14:textId="77777777" w:rsidR="009A0A63" w:rsidRPr="00792B36" w:rsidRDefault="009A0A63" w:rsidP="00A24459">
            <w:pPr>
              <w:jc w:val="center"/>
              <w:rPr>
                <w:sz w:val="24"/>
                <w:szCs w:val="24"/>
              </w:rPr>
            </w:pPr>
            <w:r w:rsidRPr="00792B36">
              <w:rPr>
                <w:color w:val="000000"/>
                <w:sz w:val="24"/>
                <w:szCs w:val="24"/>
              </w:rPr>
              <w:t xml:space="preserve">   26.2</w:t>
            </w:r>
          </w:p>
        </w:tc>
      </w:tr>
      <w:tr w:rsidR="009A0A63" w:rsidRPr="00792B36" w14:paraId="34AEA818" w14:textId="77777777" w:rsidTr="00A24459">
        <w:trPr>
          <w:trHeight w:val="340"/>
        </w:trPr>
        <w:tc>
          <w:tcPr>
            <w:tcW w:w="3539" w:type="dxa"/>
            <w:vAlign w:val="center"/>
          </w:tcPr>
          <w:p w14:paraId="67DECF96" w14:textId="77777777" w:rsidR="009A0A63" w:rsidRPr="00792B36" w:rsidRDefault="009A0A63" w:rsidP="00A24459">
            <w:pPr>
              <w:jc w:val="center"/>
              <w:rPr>
                <w:sz w:val="24"/>
                <w:szCs w:val="24"/>
              </w:rPr>
            </w:pPr>
            <w:r w:rsidRPr="00792B36">
              <w:rPr>
                <w:color w:val="000000"/>
                <w:sz w:val="24"/>
                <w:szCs w:val="24"/>
              </w:rPr>
              <w:t>1980</w:t>
            </w:r>
          </w:p>
        </w:tc>
        <w:tc>
          <w:tcPr>
            <w:tcW w:w="5478" w:type="dxa"/>
            <w:vAlign w:val="bottom"/>
          </w:tcPr>
          <w:p w14:paraId="69CE9172" w14:textId="77777777" w:rsidR="009A0A63" w:rsidRPr="00792B36" w:rsidRDefault="009A0A63" w:rsidP="00A24459">
            <w:pPr>
              <w:jc w:val="center"/>
              <w:rPr>
                <w:sz w:val="24"/>
                <w:szCs w:val="24"/>
              </w:rPr>
            </w:pPr>
            <w:r w:rsidRPr="00792B36">
              <w:rPr>
                <w:color w:val="000000"/>
                <w:sz w:val="24"/>
                <w:szCs w:val="24"/>
              </w:rPr>
              <w:t xml:space="preserve">   26.8</w:t>
            </w:r>
          </w:p>
        </w:tc>
      </w:tr>
      <w:tr w:rsidR="009A0A63" w:rsidRPr="00792B36" w14:paraId="265590E9" w14:textId="77777777" w:rsidTr="00A24459">
        <w:trPr>
          <w:trHeight w:val="340"/>
        </w:trPr>
        <w:tc>
          <w:tcPr>
            <w:tcW w:w="3539" w:type="dxa"/>
            <w:vAlign w:val="center"/>
          </w:tcPr>
          <w:p w14:paraId="2B7366DA" w14:textId="77777777" w:rsidR="009A0A63" w:rsidRPr="00792B36" w:rsidRDefault="009A0A63" w:rsidP="00A24459">
            <w:pPr>
              <w:jc w:val="center"/>
              <w:rPr>
                <w:sz w:val="24"/>
                <w:szCs w:val="24"/>
              </w:rPr>
            </w:pPr>
            <w:r w:rsidRPr="00792B36">
              <w:rPr>
                <w:color w:val="000000"/>
                <w:sz w:val="24"/>
                <w:szCs w:val="24"/>
              </w:rPr>
              <w:t>1981</w:t>
            </w:r>
          </w:p>
        </w:tc>
        <w:tc>
          <w:tcPr>
            <w:tcW w:w="5478" w:type="dxa"/>
            <w:vAlign w:val="bottom"/>
          </w:tcPr>
          <w:p w14:paraId="053D93A3" w14:textId="77777777" w:rsidR="009A0A63" w:rsidRPr="00792B36" w:rsidRDefault="009A0A63" w:rsidP="00A24459">
            <w:pPr>
              <w:jc w:val="center"/>
              <w:rPr>
                <w:sz w:val="24"/>
                <w:szCs w:val="24"/>
              </w:rPr>
            </w:pPr>
            <w:r w:rsidRPr="00792B36">
              <w:rPr>
                <w:color w:val="000000"/>
                <w:sz w:val="24"/>
                <w:szCs w:val="24"/>
              </w:rPr>
              <w:t xml:space="preserve">   27.0</w:t>
            </w:r>
          </w:p>
        </w:tc>
      </w:tr>
      <w:tr w:rsidR="009A0A63" w:rsidRPr="00792B36" w14:paraId="2068B300" w14:textId="77777777" w:rsidTr="00A24459">
        <w:trPr>
          <w:trHeight w:val="340"/>
        </w:trPr>
        <w:tc>
          <w:tcPr>
            <w:tcW w:w="3539" w:type="dxa"/>
            <w:vAlign w:val="center"/>
          </w:tcPr>
          <w:p w14:paraId="3BA4F311" w14:textId="77777777" w:rsidR="009A0A63" w:rsidRPr="00792B36" w:rsidRDefault="009A0A63" w:rsidP="00A24459">
            <w:pPr>
              <w:jc w:val="center"/>
              <w:rPr>
                <w:sz w:val="24"/>
                <w:szCs w:val="24"/>
              </w:rPr>
            </w:pPr>
            <w:r w:rsidRPr="00792B36">
              <w:rPr>
                <w:color w:val="000000"/>
                <w:sz w:val="24"/>
                <w:szCs w:val="24"/>
              </w:rPr>
              <w:t>1982</w:t>
            </w:r>
          </w:p>
        </w:tc>
        <w:tc>
          <w:tcPr>
            <w:tcW w:w="5478" w:type="dxa"/>
            <w:vAlign w:val="bottom"/>
          </w:tcPr>
          <w:p w14:paraId="420DA466" w14:textId="77777777" w:rsidR="009A0A63" w:rsidRPr="00792B36" w:rsidRDefault="009A0A63" w:rsidP="00A24459">
            <w:pPr>
              <w:jc w:val="center"/>
              <w:rPr>
                <w:sz w:val="24"/>
                <w:szCs w:val="24"/>
              </w:rPr>
            </w:pPr>
            <w:r w:rsidRPr="00792B36">
              <w:rPr>
                <w:color w:val="000000"/>
                <w:sz w:val="24"/>
                <w:szCs w:val="24"/>
              </w:rPr>
              <w:t xml:space="preserve">   27.3</w:t>
            </w:r>
          </w:p>
        </w:tc>
      </w:tr>
      <w:tr w:rsidR="009A0A63" w:rsidRPr="00792B36" w14:paraId="165A6B9B" w14:textId="77777777" w:rsidTr="00A24459">
        <w:trPr>
          <w:trHeight w:val="340"/>
        </w:trPr>
        <w:tc>
          <w:tcPr>
            <w:tcW w:w="3539" w:type="dxa"/>
            <w:vAlign w:val="center"/>
          </w:tcPr>
          <w:p w14:paraId="6BA7C796" w14:textId="77777777" w:rsidR="009A0A63" w:rsidRPr="00792B36" w:rsidRDefault="009A0A63" w:rsidP="00A24459">
            <w:pPr>
              <w:jc w:val="center"/>
              <w:rPr>
                <w:sz w:val="24"/>
                <w:szCs w:val="24"/>
              </w:rPr>
            </w:pPr>
            <w:r w:rsidRPr="00792B36">
              <w:rPr>
                <w:color w:val="000000"/>
                <w:sz w:val="24"/>
                <w:szCs w:val="24"/>
              </w:rPr>
              <w:t>1983</w:t>
            </w:r>
          </w:p>
        </w:tc>
        <w:tc>
          <w:tcPr>
            <w:tcW w:w="5478" w:type="dxa"/>
            <w:vAlign w:val="bottom"/>
          </w:tcPr>
          <w:p w14:paraId="1EA0B55D" w14:textId="77777777" w:rsidR="009A0A63" w:rsidRPr="00792B36" w:rsidRDefault="009A0A63" w:rsidP="00A24459">
            <w:pPr>
              <w:jc w:val="center"/>
              <w:rPr>
                <w:sz w:val="24"/>
                <w:szCs w:val="24"/>
              </w:rPr>
            </w:pPr>
            <w:r w:rsidRPr="00792B36">
              <w:rPr>
                <w:color w:val="000000"/>
                <w:sz w:val="24"/>
                <w:szCs w:val="24"/>
              </w:rPr>
              <w:t xml:space="preserve">   27.6</w:t>
            </w:r>
          </w:p>
        </w:tc>
      </w:tr>
      <w:tr w:rsidR="009A0A63" w:rsidRPr="00792B36" w14:paraId="6EB53CC7" w14:textId="77777777" w:rsidTr="00A24459">
        <w:trPr>
          <w:trHeight w:val="340"/>
        </w:trPr>
        <w:tc>
          <w:tcPr>
            <w:tcW w:w="3539" w:type="dxa"/>
            <w:vAlign w:val="center"/>
          </w:tcPr>
          <w:p w14:paraId="25DEE357" w14:textId="77777777" w:rsidR="009A0A63" w:rsidRPr="00792B36" w:rsidRDefault="009A0A63" w:rsidP="00A24459">
            <w:pPr>
              <w:jc w:val="center"/>
              <w:rPr>
                <w:sz w:val="24"/>
                <w:szCs w:val="24"/>
              </w:rPr>
            </w:pPr>
            <w:r w:rsidRPr="00792B36">
              <w:rPr>
                <w:color w:val="000000"/>
                <w:sz w:val="24"/>
                <w:szCs w:val="24"/>
              </w:rPr>
              <w:t>1984</w:t>
            </w:r>
          </w:p>
        </w:tc>
        <w:tc>
          <w:tcPr>
            <w:tcW w:w="5478" w:type="dxa"/>
            <w:vAlign w:val="bottom"/>
          </w:tcPr>
          <w:p w14:paraId="72C445C3" w14:textId="77777777" w:rsidR="009A0A63" w:rsidRPr="00792B36" w:rsidRDefault="009A0A63" w:rsidP="00A24459">
            <w:pPr>
              <w:jc w:val="center"/>
              <w:rPr>
                <w:sz w:val="24"/>
                <w:szCs w:val="24"/>
              </w:rPr>
            </w:pPr>
            <w:r w:rsidRPr="00792B36">
              <w:rPr>
                <w:color w:val="000000"/>
                <w:sz w:val="24"/>
                <w:szCs w:val="24"/>
              </w:rPr>
              <w:t xml:space="preserve">   27.8</w:t>
            </w:r>
          </w:p>
        </w:tc>
      </w:tr>
      <w:tr w:rsidR="009A0A63" w:rsidRPr="00792B36" w14:paraId="64E0B1CB" w14:textId="77777777" w:rsidTr="00A24459">
        <w:trPr>
          <w:trHeight w:val="340"/>
        </w:trPr>
        <w:tc>
          <w:tcPr>
            <w:tcW w:w="3539" w:type="dxa"/>
            <w:vAlign w:val="center"/>
          </w:tcPr>
          <w:p w14:paraId="39E9908F" w14:textId="77777777" w:rsidR="009A0A63" w:rsidRPr="00792B36" w:rsidRDefault="009A0A63" w:rsidP="00A24459">
            <w:pPr>
              <w:jc w:val="center"/>
              <w:rPr>
                <w:sz w:val="24"/>
                <w:szCs w:val="24"/>
              </w:rPr>
            </w:pPr>
            <w:r w:rsidRPr="00792B36">
              <w:rPr>
                <w:color w:val="000000"/>
                <w:sz w:val="24"/>
                <w:szCs w:val="24"/>
              </w:rPr>
              <w:t>1985</w:t>
            </w:r>
          </w:p>
        </w:tc>
        <w:tc>
          <w:tcPr>
            <w:tcW w:w="5478" w:type="dxa"/>
            <w:vAlign w:val="bottom"/>
          </w:tcPr>
          <w:p w14:paraId="505B97F0" w14:textId="77777777" w:rsidR="009A0A63" w:rsidRPr="00792B36" w:rsidRDefault="009A0A63" w:rsidP="00A24459">
            <w:pPr>
              <w:jc w:val="center"/>
              <w:rPr>
                <w:sz w:val="24"/>
                <w:szCs w:val="24"/>
              </w:rPr>
            </w:pPr>
            <w:r w:rsidRPr="00792B36">
              <w:rPr>
                <w:color w:val="000000"/>
                <w:sz w:val="24"/>
                <w:szCs w:val="24"/>
              </w:rPr>
              <w:t xml:space="preserve">   28.1</w:t>
            </w:r>
          </w:p>
        </w:tc>
      </w:tr>
    </w:tbl>
    <w:p w14:paraId="1B11B042" w14:textId="77777777" w:rsidR="009A0A63" w:rsidRPr="00792B36" w:rsidRDefault="009A0A63" w:rsidP="009A0A63">
      <w:pPr>
        <w:spacing w:line="360" w:lineRule="auto"/>
        <w:rPr>
          <w:sz w:val="24"/>
          <w:szCs w:val="24"/>
        </w:rPr>
      </w:pPr>
      <w:r w:rsidRPr="00792B36">
        <w:rPr>
          <w:b/>
          <w:bCs/>
          <w:sz w:val="24"/>
          <w:szCs w:val="24"/>
        </w:rPr>
        <w:lastRenderedPageBreak/>
        <w:t xml:space="preserve">Annex 2.7 </w:t>
      </w:r>
      <w:r w:rsidRPr="00792B36">
        <w:rPr>
          <w:color w:val="000000" w:themeColor="text1"/>
          <w:sz w:val="24"/>
          <w:szCs w:val="24"/>
        </w:rPr>
        <w:t>Cont.</w:t>
      </w:r>
    </w:p>
    <w:tbl>
      <w:tblPr>
        <w:tblStyle w:val="TableGrid"/>
        <w:tblW w:w="0" w:type="auto"/>
        <w:tblLook w:val="04A0" w:firstRow="1" w:lastRow="0" w:firstColumn="1" w:lastColumn="0" w:noHBand="0" w:noVBand="1"/>
      </w:tblPr>
      <w:tblGrid>
        <w:gridCol w:w="3539"/>
        <w:gridCol w:w="5478"/>
      </w:tblGrid>
      <w:tr w:rsidR="009A0A63" w:rsidRPr="00792B36" w14:paraId="0BB858D4" w14:textId="77777777" w:rsidTr="00A24459">
        <w:trPr>
          <w:trHeight w:val="340"/>
        </w:trPr>
        <w:tc>
          <w:tcPr>
            <w:tcW w:w="3539" w:type="dxa"/>
          </w:tcPr>
          <w:p w14:paraId="10A3A2F4" w14:textId="77777777" w:rsidR="009A0A63" w:rsidRPr="00792B36" w:rsidRDefault="009A0A63" w:rsidP="00A24459">
            <w:pPr>
              <w:jc w:val="center"/>
              <w:rPr>
                <w:b/>
                <w:bCs/>
                <w:sz w:val="24"/>
                <w:szCs w:val="24"/>
              </w:rPr>
            </w:pPr>
            <w:r w:rsidRPr="00792B36">
              <w:rPr>
                <w:b/>
                <w:bCs/>
                <w:sz w:val="24"/>
                <w:szCs w:val="24"/>
              </w:rPr>
              <w:t>Year</w:t>
            </w:r>
          </w:p>
        </w:tc>
        <w:tc>
          <w:tcPr>
            <w:tcW w:w="5478" w:type="dxa"/>
          </w:tcPr>
          <w:p w14:paraId="70AF2F59" w14:textId="77777777" w:rsidR="009A0A63" w:rsidRPr="00792B36" w:rsidRDefault="009A0A63" w:rsidP="00A24459">
            <w:pPr>
              <w:jc w:val="center"/>
              <w:rPr>
                <w:b/>
                <w:bCs/>
                <w:sz w:val="24"/>
                <w:szCs w:val="24"/>
              </w:rPr>
            </w:pPr>
            <w:r w:rsidRPr="00792B36">
              <w:rPr>
                <w:b/>
                <w:bCs/>
                <w:sz w:val="24"/>
                <w:szCs w:val="24"/>
              </w:rPr>
              <w:t>% population</w:t>
            </w:r>
            <w:r w:rsidRPr="00792B36">
              <w:rPr>
                <w:b/>
                <w:bCs/>
                <w:color w:val="000000" w:themeColor="text1"/>
                <w:sz w:val="24"/>
                <w:szCs w:val="24"/>
              </w:rPr>
              <w:t xml:space="preserve"> residing in urban areas</w:t>
            </w:r>
          </w:p>
        </w:tc>
      </w:tr>
      <w:tr w:rsidR="009A0A63" w:rsidRPr="00792B36" w14:paraId="2BAB7610" w14:textId="77777777" w:rsidTr="00A24459">
        <w:trPr>
          <w:trHeight w:val="340"/>
        </w:trPr>
        <w:tc>
          <w:tcPr>
            <w:tcW w:w="3539" w:type="dxa"/>
            <w:vAlign w:val="center"/>
          </w:tcPr>
          <w:p w14:paraId="3A347B48" w14:textId="77777777" w:rsidR="009A0A63" w:rsidRPr="00792B36" w:rsidRDefault="009A0A63" w:rsidP="00A24459">
            <w:pPr>
              <w:jc w:val="center"/>
              <w:rPr>
                <w:sz w:val="24"/>
                <w:szCs w:val="24"/>
              </w:rPr>
            </w:pPr>
            <w:r w:rsidRPr="00792B36">
              <w:rPr>
                <w:color w:val="000000"/>
                <w:sz w:val="24"/>
                <w:szCs w:val="24"/>
              </w:rPr>
              <w:t>1986</w:t>
            </w:r>
          </w:p>
        </w:tc>
        <w:tc>
          <w:tcPr>
            <w:tcW w:w="5478" w:type="dxa"/>
            <w:vAlign w:val="bottom"/>
          </w:tcPr>
          <w:p w14:paraId="0A6A50D3" w14:textId="77777777" w:rsidR="009A0A63" w:rsidRPr="00792B36" w:rsidRDefault="009A0A63" w:rsidP="00A24459">
            <w:pPr>
              <w:jc w:val="center"/>
              <w:rPr>
                <w:sz w:val="24"/>
                <w:szCs w:val="24"/>
              </w:rPr>
            </w:pPr>
            <w:r w:rsidRPr="00792B36">
              <w:rPr>
                <w:color w:val="000000"/>
                <w:sz w:val="24"/>
                <w:szCs w:val="24"/>
              </w:rPr>
              <w:t xml:space="preserve">   28.4</w:t>
            </w:r>
          </w:p>
        </w:tc>
      </w:tr>
      <w:tr w:rsidR="009A0A63" w:rsidRPr="00792B36" w14:paraId="6FAE4441" w14:textId="77777777" w:rsidTr="00A24459">
        <w:trPr>
          <w:trHeight w:val="340"/>
        </w:trPr>
        <w:tc>
          <w:tcPr>
            <w:tcW w:w="3539" w:type="dxa"/>
            <w:vAlign w:val="center"/>
          </w:tcPr>
          <w:p w14:paraId="6BDCFB42" w14:textId="77777777" w:rsidR="009A0A63" w:rsidRPr="00792B36" w:rsidRDefault="009A0A63" w:rsidP="00A24459">
            <w:pPr>
              <w:jc w:val="center"/>
              <w:rPr>
                <w:sz w:val="24"/>
                <w:szCs w:val="24"/>
              </w:rPr>
            </w:pPr>
            <w:r w:rsidRPr="00792B36">
              <w:rPr>
                <w:color w:val="000000"/>
                <w:sz w:val="24"/>
                <w:szCs w:val="24"/>
              </w:rPr>
              <w:t>1987</w:t>
            </w:r>
          </w:p>
        </w:tc>
        <w:tc>
          <w:tcPr>
            <w:tcW w:w="5478" w:type="dxa"/>
            <w:vAlign w:val="bottom"/>
          </w:tcPr>
          <w:p w14:paraId="179FFCB4" w14:textId="77777777" w:rsidR="009A0A63" w:rsidRPr="00792B36" w:rsidRDefault="009A0A63" w:rsidP="00A24459">
            <w:pPr>
              <w:jc w:val="center"/>
              <w:rPr>
                <w:sz w:val="24"/>
                <w:szCs w:val="24"/>
              </w:rPr>
            </w:pPr>
            <w:r w:rsidRPr="00792B36">
              <w:rPr>
                <w:color w:val="000000"/>
                <w:sz w:val="24"/>
                <w:szCs w:val="24"/>
              </w:rPr>
              <w:t xml:space="preserve">   28.6</w:t>
            </w:r>
          </w:p>
        </w:tc>
      </w:tr>
      <w:tr w:rsidR="009A0A63" w:rsidRPr="00792B36" w14:paraId="5D4B66C1" w14:textId="77777777" w:rsidTr="00A24459">
        <w:trPr>
          <w:trHeight w:val="340"/>
        </w:trPr>
        <w:tc>
          <w:tcPr>
            <w:tcW w:w="3539" w:type="dxa"/>
            <w:vAlign w:val="center"/>
          </w:tcPr>
          <w:p w14:paraId="0B7D5AAB" w14:textId="77777777" w:rsidR="009A0A63" w:rsidRPr="00792B36" w:rsidRDefault="009A0A63" w:rsidP="00A24459">
            <w:pPr>
              <w:jc w:val="center"/>
              <w:rPr>
                <w:sz w:val="24"/>
                <w:szCs w:val="24"/>
              </w:rPr>
            </w:pPr>
            <w:r w:rsidRPr="00792B36">
              <w:rPr>
                <w:color w:val="000000"/>
                <w:sz w:val="24"/>
                <w:szCs w:val="24"/>
              </w:rPr>
              <w:t>1988</w:t>
            </w:r>
          </w:p>
        </w:tc>
        <w:tc>
          <w:tcPr>
            <w:tcW w:w="5478" w:type="dxa"/>
            <w:vAlign w:val="bottom"/>
          </w:tcPr>
          <w:p w14:paraId="630BF88F" w14:textId="77777777" w:rsidR="009A0A63" w:rsidRPr="00792B36" w:rsidRDefault="009A0A63" w:rsidP="00A24459">
            <w:pPr>
              <w:jc w:val="center"/>
              <w:rPr>
                <w:sz w:val="24"/>
                <w:szCs w:val="24"/>
              </w:rPr>
            </w:pPr>
            <w:r w:rsidRPr="00792B36">
              <w:rPr>
                <w:color w:val="000000"/>
                <w:sz w:val="24"/>
                <w:szCs w:val="24"/>
              </w:rPr>
              <w:t xml:space="preserve">   28.9</w:t>
            </w:r>
          </w:p>
        </w:tc>
      </w:tr>
      <w:tr w:rsidR="009A0A63" w:rsidRPr="00792B36" w14:paraId="29B30D68" w14:textId="77777777" w:rsidTr="00A24459">
        <w:trPr>
          <w:trHeight w:val="340"/>
        </w:trPr>
        <w:tc>
          <w:tcPr>
            <w:tcW w:w="3539" w:type="dxa"/>
            <w:vAlign w:val="center"/>
          </w:tcPr>
          <w:p w14:paraId="30B1EE07" w14:textId="77777777" w:rsidR="009A0A63" w:rsidRPr="00792B36" w:rsidRDefault="009A0A63" w:rsidP="00A24459">
            <w:pPr>
              <w:jc w:val="center"/>
              <w:rPr>
                <w:sz w:val="24"/>
                <w:szCs w:val="24"/>
              </w:rPr>
            </w:pPr>
            <w:r w:rsidRPr="00792B36">
              <w:rPr>
                <w:color w:val="000000"/>
                <w:sz w:val="24"/>
                <w:szCs w:val="24"/>
              </w:rPr>
              <w:t>1989</w:t>
            </w:r>
          </w:p>
        </w:tc>
        <w:tc>
          <w:tcPr>
            <w:tcW w:w="5478" w:type="dxa"/>
            <w:vAlign w:val="bottom"/>
          </w:tcPr>
          <w:p w14:paraId="35055C4F" w14:textId="77777777" w:rsidR="009A0A63" w:rsidRPr="00792B36" w:rsidRDefault="009A0A63" w:rsidP="00A24459">
            <w:pPr>
              <w:jc w:val="center"/>
              <w:rPr>
                <w:sz w:val="24"/>
                <w:szCs w:val="24"/>
              </w:rPr>
            </w:pPr>
            <w:r w:rsidRPr="00792B36">
              <w:rPr>
                <w:color w:val="000000"/>
                <w:sz w:val="24"/>
                <w:szCs w:val="24"/>
              </w:rPr>
              <w:t xml:space="preserve">   29.2</w:t>
            </w:r>
          </w:p>
        </w:tc>
      </w:tr>
      <w:tr w:rsidR="009A0A63" w:rsidRPr="00792B36" w14:paraId="787F5155" w14:textId="77777777" w:rsidTr="00A24459">
        <w:trPr>
          <w:trHeight w:val="340"/>
        </w:trPr>
        <w:tc>
          <w:tcPr>
            <w:tcW w:w="3539" w:type="dxa"/>
            <w:vAlign w:val="center"/>
          </w:tcPr>
          <w:p w14:paraId="551605ED" w14:textId="77777777" w:rsidR="009A0A63" w:rsidRPr="00792B36" w:rsidRDefault="009A0A63" w:rsidP="00A24459">
            <w:pPr>
              <w:jc w:val="center"/>
              <w:rPr>
                <w:sz w:val="24"/>
                <w:szCs w:val="24"/>
              </w:rPr>
            </w:pPr>
            <w:r w:rsidRPr="00792B36">
              <w:rPr>
                <w:color w:val="000000"/>
                <w:sz w:val="24"/>
                <w:szCs w:val="24"/>
              </w:rPr>
              <w:t>1990</w:t>
            </w:r>
          </w:p>
        </w:tc>
        <w:tc>
          <w:tcPr>
            <w:tcW w:w="5478" w:type="dxa"/>
            <w:vAlign w:val="bottom"/>
          </w:tcPr>
          <w:p w14:paraId="48EE4950" w14:textId="77777777" w:rsidR="009A0A63" w:rsidRPr="00792B36" w:rsidRDefault="009A0A63" w:rsidP="00A24459">
            <w:pPr>
              <w:jc w:val="center"/>
              <w:rPr>
                <w:sz w:val="24"/>
                <w:szCs w:val="24"/>
              </w:rPr>
            </w:pPr>
            <w:r w:rsidRPr="00792B36">
              <w:rPr>
                <w:color w:val="000000"/>
                <w:sz w:val="24"/>
                <w:szCs w:val="24"/>
              </w:rPr>
              <w:t xml:space="preserve">   29.4</w:t>
            </w:r>
          </w:p>
        </w:tc>
      </w:tr>
      <w:tr w:rsidR="009A0A63" w:rsidRPr="00792B36" w14:paraId="72D63264" w14:textId="77777777" w:rsidTr="00A24459">
        <w:trPr>
          <w:trHeight w:val="340"/>
        </w:trPr>
        <w:tc>
          <w:tcPr>
            <w:tcW w:w="3539" w:type="dxa"/>
            <w:vAlign w:val="center"/>
          </w:tcPr>
          <w:p w14:paraId="476030D3" w14:textId="77777777" w:rsidR="009A0A63" w:rsidRPr="00792B36" w:rsidRDefault="009A0A63" w:rsidP="00A24459">
            <w:pPr>
              <w:jc w:val="center"/>
              <w:rPr>
                <w:sz w:val="24"/>
                <w:szCs w:val="24"/>
              </w:rPr>
            </w:pPr>
            <w:r w:rsidRPr="00792B36">
              <w:rPr>
                <w:color w:val="000000"/>
                <w:sz w:val="24"/>
                <w:szCs w:val="24"/>
              </w:rPr>
              <w:t>1991</w:t>
            </w:r>
          </w:p>
        </w:tc>
        <w:tc>
          <w:tcPr>
            <w:tcW w:w="5478" w:type="dxa"/>
            <w:vAlign w:val="bottom"/>
          </w:tcPr>
          <w:p w14:paraId="503DEDBC" w14:textId="77777777" w:rsidR="009A0A63" w:rsidRPr="00792B36" w:rsidRDefault="009A0A63" w:rsidP="00A24459">
            <w:pPr>
              <w:jc w:val="center"/>
              <w:rPr>
                <w:sz w:val="24"/>
                <w:szCs w:val="24"/>
              </w:rPr>
            </w:pPr>
            <w:r w:rsidRPr="00792B36">
              <w:rPr>
                <w:color w:val="000000"/>
                <w:sz w:val="24"/>
                <w:szCs w:val="24"/>
              </w:rPr>
              <w:t xml:space="preserve">   29.6</w:t>
            </w:r>
          </w:p>
        </w:tc>
      </w:tr>
      <w:tr w:rsidR="009A0A63" w:rsidRPr="00792B36" w14:paraId="7A279343" w14:textId="77777777" w:rsidTr="00A24459">
        <w:trPr>
          <w:trHeight w:val="340"/>
        </w:trPr>
        <w:tc>
          <w:tcPr>
            <w:tcW w:w="3539" w:type="dxa"/>
            <w:vAlign w:val="center"/>
          </w:tcPr>
          <w:p w14:paraId="1E581227" w14:textId="77777777" w:rsidR="009A0A63" w:rsidRPr="00792B36" w:rsidRDefault="009A0A63" w:rsidP="00A24459">
            <w:pPr>
              <w:jc w:val="center"/>
              <w:rPr>
                <w:sz w:val="24"/>
                <w:szCs w:val="24"/>
              </w:rPr>
            </w:pPr>
            <w:r w:rsidRPr="00792B36">
              <w:rPr>
                <w:color w:val="000000"/>
                <w:sz w:val="24"/>
                <w:szCs w:val="24"/>
              </w:rPr>
              <w:t>1992</w:t>
            </w:r>
          </w:p>
        </w:tc>
        <w:tc>
          <w:tcPr>
            <w:tcW w:w="5478" w:type="dxa"/>
            <w:vAlign w:val="bottom"/>
          </w:tcPr>
          <w:p w14:paraId="33BD2455" w14:textId="77777777" w:rsidR="009A0A63" w:rsidRPr="00792B36" w:rsidRDefault="009A0A63" w:rsidP="00A24459">
            <w:pPr>
              <w:jc w:val="center"/>
              <w:rPr>
                <w:sz w:val="24"/>
                <w:szCs w:val="24"/>
              </w:rPr>
            </w:pPr>
            <w:r w:rsidRPr="00792B36">
              <w:rPr>
                <w:color w:val="000000"/>
                <w:sz w:val="24"/>
                <w:szCs w:val="24"/>
              </w:rPr>
              <w:t xml:space="preserve">   29.8</w:t>
            </w:r>
          </w:p>
        </w:tc>
      </w:tr>
      <w:tr w:rsidR="009A0A63" w:rsidRPr="00792B36" w14:paraId="03B0219A" w14:textId="77777777" w:rsidTr="00A24459">
        <w:trPr>
          <w:trHeight w:val="340"/>
        </w:trPr>
        <w:tc>
          <w:tcPr>
            <w:tcW w:w="3539" w:type="dxa"/>
            <w:vAlign w:val="center"/>
          </w:tcPr>
          <w:p w14:paraId="5B496EFE" w14:textId="77777777" w:rsidR="009A0A63" w:rsidRPr="00792B36" w:rsidRDefault="009A0A63" w:rsidP="00A24459">
            <w:pPr>
              <w:jc w:val="center"/>
              <w:rPr>
                <w:sz w:val="24"/>
                <w:szCs w:val="24"/>
              </w:rPr>
            </w:pPr>
            <w:r w:rsidRPr="00792B36">
              <w:rPr>
                <w:color w:val="000000"/>
                <w:sz w:val="24"/>
                <w:szCs w:val="24"/>
              </w:rPr>
              <w:t>1993</w:t>
            </w:r>
          </w:p>
        </w:tc>
        <w:tc>
          <w:tcPr>
            <w:tcW w:w="5478" w:type="dxa"/>
            <w:vAlign w:val="bottom"/>
          </w:tcPr>
          <w:p w14:paraId="2B33F7A4" w14:textId="77777777" w:rsidR="009A0A63" w:rsidRPr="00792B36" w:rsidRDefault="009A0A63" w:rsidP="00A24459">
            <w:pPr>
              <w:jc w:val="center"/>
              <w:rPr>
                <w:sz w:val="24"/>
                <w:szCs w:val="24"/>
              </w:rPr>
            </w:pPr>
            <w:r w:rsidRPr="00792B36">
              <w:rPr>
                <w:color w:val="000000"/>
                <w:sz w:val="24"/>
                <w:szCs w:val="24"/>
              </w:rPr>
              <w:t xml:space="preserve">   29.9</w:t>
            </w:r>
          </w:p>
        </w:tc>
      </w:tr>
      <w:tr w:rsidR="009A0A63" w:rsidRPr="00792B36" w14:paraId="30421B3D" w14:textId="77777777" w:rsidTr="00A24459">
        <w:trPr>
          <w:trHeight w:val="340"/>
        </w:trPr>
        <w:tc>
          <w:tcPr>
            <w:tcW w:w="3539" w:type="dxa"/>
            <w:vAlign w:val="center"/>
          </w:tcPr>
          <w:p w14:paraId="1705CE50" w14:textId="77777777" w:rsidR="009A0A63" w:rsidRPr="00792B36" w:rsidRDefault="009A0A63" w:rsidP="00A24459">
            <w:pPr>
              <w:jc w:val="center"/>
              <w:rPr>
                <w:sz w:val="24"/>
                <w:szCs w:val="24"/>
              </w:rPr>
            </w:pPr>
            <w:r w:rsidRPr="00792B36">
              <w:rPr>
                <w:color w:val="000000"/>
                <w:sz w:val="24"/>
                <w:szCs w:val="24"/>
              </w:rPr>
              <w:t>1994</w:t>
            </w:r>
          </w:p>
        </w:tc>
        <w:tc>
          <w:tcPr>
            <w:tcW w:w="5478" w:type="dxa"/>
            <w:vAlign w:val="bottom"/>
          </w:tcPr>
          <w:p w14:paraId="54C8A3D6" w14:textId="77777777" w:rsidR="009A0A63" w:rsidRPr="00792B36" w:rsidRDefault="009A0A63" w:rsidP="00A24459">
            <w:pPr>
              <w:jc w:val="center"/>
              <w:rPr>
                <w:sz w:val="24"/>
                <w:szCs w:val="24"/>
              </w:rPr>
            </w:pPr>
            <w:r w:rsidRPr="00792B36">
              <w:rPr>
                <w:color w:val="000000"/>
                <w:sz w:val="24"/>
                <w:szCs w:val="24"/>
              </w:rPr>
              <w:t xml:space="preserve">   30.1</w:t>
            </w:r>
          </w:p>
        </w:tc>
      </w:tr>
      <w:tr w:rsidR="009A0A63" w:rsidRPr="00792B36" w14:paraId="2C149CB7" w14:textId="77777777" w:rsidTr="00A24459">
        <w:trPr>
          <w:trHeight w:val="340"/>
        </w:trPr>
        <w:tc>
          <w:tcPr>
            <w:tcW w:w="3539" w:type="dxa"/>
            <w:vAlign w:val="center"/>
          </w:tcPr>
          <w:p w14:paraId="731BCC79" w14:textId="77777777" w:rsidR="009A0A63" w:rsidRPr="00792B36" w:rsidRDefault="009A0A63" w:rsidP="00A24459">
            <w:pPr>
              <w:jc w:val="center"/>
              <w:rPr>
                <w:sz w:val="24"/>
                <w:szCs w:val="24"/>
              </w:rPr>
            </w:pPr>
            <w:r w:rsidRPr="00792B36">
              <w:rPr>
                <w:color w:val="000000"/>
                <w:sz w:val="24"/>
                <w:szCs w:val="24"/>
              </w:rPr>
              <w:t>1995</w:t>
            </w:r>
          </w:p>
        </w:tc>
        <w:tc>
          <w:tcPr>
            <w:tcW w:w="5478" w:type="dxa"/>
            <w:vAlign w:val="bottom"/>
          </w:tcPr>
          <w:p w14:paraId="0C802B95" w14:textId="77777777" w:rsidR="009A0A63" w:rsidRPr="00792B36" w:rsidRDefault="009A0A63" w:rsidP="00A24459">
            <w:pPr>
              <w:jc w:val="center"/>
              <w:rPr>
                <w:sz w:val="24"/>
                <w:szCs w:val="24"/>
              </w:rPr>
            </w:pPr>
            <w:r w:rsidRPr="00792B36">
              <w:rPr>
                <w:color w:val="000000"/>
                <w:sz w:val="24"/>
                <w:szCs w:val="24"/>
              </w:rPr>
              <w:t xml:space="preserve">   30.3</w:t>
            </w:r>
          </w:p>
        </w:tc>
      </w:tr>
      <w:tr w:rsidR="009A0A63" w:rsidRPr="00792B36" w14:paraId="372539DD" w14:textId="77777777" w:rsidTr="00A24459">
        <w:trPr>
          <w:trHeight w:val="340"/>
        </w:trPr>
        <w:tc>
          <w:tcPr>
            <w:tcW w:w="3539" w:type="dxa"/>
            <w:vAlign w:val="center"/>
          </w:tcPr>
          <w:p w14:paraId="2DCCEB0E" w14:textId="77777777" w:rsidR="009A0A63" w:rsidRPr="00792B36" w:rsidRDefault="009A0A63" w:rsidP="00A24459">
            <w:pPr>
              <w:jc w:val="center"/>
              <w:rPr>
                <w:sz w:val="24"/>
                <w:szCs w:val="24"/>
              </w:rPr>
            </w:pPr>
            <w:r w:rsidRPr="00792B36">
              <w:rPr>
                <w:color w:val="000000"/>
                <w:sz w:val="24"/>
                <w:szCs w:val="24"/>
              </w:rPr>
              <w:t>1996</w:t>
            </w:r>
          </w:p>
        </w:tc>
        <w:tc>
          <w:tcPr>
            <w:tcW w:w="5478" w:type="dxa"/>
            <w:vAlign w:val="bottom"/>
          </w:tcPr>
          <w:p w14:paraId="29623202" w14:textId="77777777" w:rsidR="009A0A63" w:rsidRPr="00792B36" w:rsidRDefault="009A0A63" w:rsidP="00A24459">
            <w:pPr>
              <w:jc w:val="center"/>
              <w:rPr>
                <w:sz w:val="24"/>
                <w:szCs w:val="24"/>
              </w:rPr>
            </w:pPr>
            <w:r w:rsidRPr="00792B36">
              <w:rPr>
                <w:color w:val="000000"/>
                <w:sz w:val="24"/>
                <w:szCs w:val="24"/>
              </w:rPr>
              <w:t xml:space="preserve">   30.4</w:t>
            </w:r>
          </w:p>
        </w:tc>
      </w:tr>
      <w:tr w:rsidR="009A0A63" w:rsidRPr="00792B36" w14:paraId="5D0928FE" w14:textId="77777777" w:rsidTr="00A24459">
        <w:trPr>
          <w:trHeight w:val="340"/>
        </w:trPr>
        <w:tc>
          <w:tcPr>
            <w:tcW w:w="3539" w:type="dxa"/>
            <w:vAlign w:val="center"/>
          </w:tcPr>
          <w:p w14:paraId="2A29A389" w14:textId="77777777" w:rsidR="009A0A63" w:rsidRPr="00792B36" w:rsidRDefault="009A0A63" w:rsidP="00A24459">
            <w:pPr>
              <w:jc w:val="center"/>
              <w:rPr>
                <w:sz w:val="24"/>
                <w:szCs w:val="24"/>
              </w:rPr>
            </w:pPr>
            <w:r w:rsidRPr="00792B36">
              <w:rPr>
                <w:color w:val="000000"/>
                <w:sz w:val="24"/>
                <w:szCs w:val="24"/>
              </w:rPr>
              <w:t>1997</w:t>
            </w:r>
          </w:p>
        </w:tc>
        <w:tc>
          <w:tcPr>
            <w:tcW w:w="5478" w:type="dxa"/>
            <w:vAlign w:val="bottom"/>
          </w:tcPr>
          <w:p w14:paraId="1A7386DA" w14:textId="77777777" w:rsidR="009A0A63" w:rsidRPr="00792B36" w:rsidRDefault="009A0A63" w:rsidP="00A24459">
            <w:pPr>
              <w:jc w:val="center"/>
              <w:rPr>
                <w:sz w:val="24"/>
                <w:szCs w:val="24"/>
              </w:rPr>
            </w:pPr>
            <w:r w:rsidRPr="00792B36">
              <w:rPr>
                <w:color w:val="000000"/>
                <w:sz w:val="24"/>
                <w:szCs w:val="24"/>
              </w:rPr>
              <w:t xml:space="preserve">   30.6</w:t>
            </w:r>
          </w:p>
        </w:tc>
      </w:tr>
      <w:tr w:rsidR="009A0A63" w:rsidRPr="00792B36" w14:paraId="19B3479C" w14:textId="77777777" w:rsidTr="00A24459">
        <w:trPr>
          <w:trHeight w:val="340"/>
        </w:trPr>
        <w:tc>
          <w:tcPr>
            <w:tcW w:w="3539" w:type="dxa"/>
            <w:vAlign w:val="center"/>
          </w:tcPr>
          <w:p w14:paraId="43768345" w14:textId="77777777" w:rsidR="009A0A63" w:rsidRPr="00792B36" w:rsidRDefault="009A0A63" w:rsidP="00A24459">
            <w:pPr>
              <w:jc w:val="center"/>
              <w:rPr>
                <w:sz w:val="24"/>
                <w:szCs w:val="24"/>
              </w:rPr>
            </w:pPr>
            <w:r w:rsidRPr="00792B36">
              <w:rPr>
                <w:color w:val="000000"/>
                <w:sz w:val="24"/>
                <w:szCs w:val="24"/>
              </w:rPr>
              <w:t>1998</w:t>
            </w:r>
          </w:p>
        </w:tc>
        <w:tc>
          <w:tcPr>
            <w:tcW w:w="5478" w:type="dxa"/>
            <w:vAlign w:val="bottom"/>
          </w:tcPr>
          <w:p w14:paraId="3496D698" w14:textId="77777777" w:rsidR="009A0A63" w:rsidRPr="00792B36" w:rsidRDefault="009A0A63" w:rsidP="00A24459">
            <w:pPr>
              <w:jc w:val="center"/>
              <w:rPr>
                <w:sz w:val="24"/>
                <w:szCs w:val="24"/>
              </w:rPr>
            </w:pPr>
            <w:r w:rsidRPr="00792B36">
              <w:rPr>
                <w:color w:val="000000"/>
                <w:sz w:val="24"/>
                <w:szCs w:val="24"/>
              </w:rPr>
              <w:t xml:space="preserve">   30.8</w:t>
            </w:r>
          </w:p>
        </w:tc>
      </w:tr>
      <w:tr w:rsidR="009A0A63" w:rsidRPr="00792B36" w14:paraId="7E00BF6C" w14:textId="77777777" w:rsidTr="00A24459">
        <w:trPr>
          <w:trHeight w:val="340"/>
        </w:trPr>
        <w:tc>
          <w:tcPr>
            <w:tcW w:w="3539" w:type="dxa"/>
            <w:vAlign w:val="center"/>
          </w:tcPr>
          <w:p w14:paraId="0DCEDC9A" w14:textId="77777777" w:rsidR="009A0A63" w:rsidRPr="00792B36" w:rsidRDefault="009A0A63" w:rsidP="00A24459">
            <w:pPr>
              <w:jc w:val="center"/>
              <w:rPr>
                <w:sz w:val="24"/>
                <w:szCs w:val="24"/>
              </w:rPr>
            </w:pPr>
            <w:r w:rsidRPr="00792B36">
              <w:rPr>
                <w:color w:val="000000"/>
                <w:sz w:val="24"/>
                <w:szCs w:val="24"/>
              </w:rPr>
              <w:t>1999</w:t>
            </w:r>
          </w:p>
        </w:tc>
        <w:tc>
          <w:tcPr>
            <w:tcW w:w="5478" w:type="dxa"/>
            <w:vAlign w:val="bottom"/>
          </w:tcPr>
          <w:p w14:paraId="53F1CADF" w14:textId="77777777" w:rsidR="009A0A63" w:rsidRPr="00792B36" w:rsidRDefault="009A0A63" w:rsidP="00A24459">
            <w:pPr>
              <w:jc w:val="center"/>
              <w:rPr>
                <w:sz w:val="24"/>
                <w:szCs w:val="24"/>
              </w:rPr>
            </w:pPr>
            <w:r w:rsidRPr="00792B36">
              <w:rPr>
                <w:color w:val="000000"/>
                <w:sz w:val="24"/>
                <w:szCs w:val="24"/>
              </w:rPr>
              <w:t xml:space="preserve">   31.0</w:t>
            </w:r>
          </w:p>
        </w:tc>
      </w:tr>
      <w:tr w:rsidR="009A0A63" w:rsidRPr="00792B36" w14:paraId="45FF9071" w14:textId="77777777" w:rsidTr="00A24459">
        <w:trPr>
          <w:trHeight w:val="340"/>
        </w:trPr>
        <w:tc>
          <w:tcPr>
            <w:tcW w:w="3539" w:type="dxa"/>
            <w:vAlign w:val="center"/>
          </w:tcPr>
          <w:p w14:paraId="7DBCA072" w14:textId="77777777" w:rsidR="009A0A63" w:rsidRPr="00792B36" w:rsidRDefault="009A0A63" w:rsidP="00A24459">
            <w:pPr>
              <w:jc w:val="center"/>
              <w:rPr>
                <w:sz w:val="24"/>
                <w:szCs w:val="24"/>
              </w:rPr>
            </w:pPr>
            <w:r w:rsidRPr="00792B36">
              <w:rPr>
                <w:color w:val="000000"/>
                <w:sz w:val="24"/>
                <w:szCs w:val="24"/>
              </w:rPr>
              <w:t>2000</w:t>
            </w:r>
          </w:p>
        </w:tc>
        <w:tc>
          <w:tcPr>
            <w:tcW w:w="5478" w:type="dxa"/>
            <w:vAlign w:val="bottom"/>
          </w:tcPr>
          <w:p w14:paraId="48642C2D" w14:textId="77777777" w:rsidR="009A0A63" w:rsidRPr="00792B36" w:rsidRDefault="009A0A63" w:rsidP="00A24459">
            <w:pPr>
              <w:jc w:val="center"/>
              <w:rPr>
                <w:sz w:val="24"/>
                <w:szCs w:val="24"/>
              </w:rPr>
            </w:pPr>
            <w:r w:rsidRPr="00792B36">
              <w:rPr>
                <w:color w:val="000000"/>
                <w:sz w:val="24"/>
                <w:szCs w:val="24"/>
              </w:rPr>
              <w:t xml:space="preserve">   31.4</w:t>
            </w:r>
          </w:p>
        </w:tc>
      </w:tr>
      <w:tr w:rsidR="009A0A63" w:rsidRPr="00792B36" w14:paraId="1E98F67A" w14:textId="77777777" w:rsidTr="00A24459">
        <w:trPr>
          <w:trHeight w:val="340"/>
        </w:trPr>
        <w:tc>
          <w:tcPr>
            <w:tcW w:w="3539" w:type="dxa"/>
            <w:vAlign w:val="center"/>
          </w:tcPr>
          <w:p w14:paraId="78550D93" w14:textId="77777777" w:rsidR="009A0A63" w:rsidRPr="00792B36" w:rsidRDefault="009A0A63" w:rsidP="00A24459">
            <w:pPr>
              <w:jc w:val="center"/>
              <w:rPr>
                <w:sz w:val="24"/>
                <w:szCs w:val="24"/>
              </w:rPr>
            </w:pPr>
            <w:r w:rsidRPr="00792B36">
              <w:rPr>
                <w:color w:val="000000"/>
                <w:sz w:val="24"/>
                <w:szCs w:val="24"/>
              </w:rPr>
              <w:t>2001</w:t>
            </w:r>
          </w:p>
        </w:tc>
        <w:tc>
          <w:tcPr>
            <w:tcW w:w="5478" w:type="dxa"/>
            <w:vAlign w:val="bottom"/>
          </w:tcPr>
          <w:p w14:paraId="71F6A807" w14:textId="77777777" w:rsidR="009A0A63" w:rsidRPr="00792B36" w:rsidRDefault="009A0A63" w:rsidP="00A24459">
            <w:pPr>
              <w:jc w:val="center"/>
              <w:rPr>
                <w:sz w:val="24"/>
                <w:szCs w:val="24"/>
              </w:rPr>
            </w:pPr>
            <w:r w:rsidRPr="00792B36">
              <w:rPr>
                <w:color w:val="000000"/>
                <w:sz w:val="24"/>
                <w:szCs w:val="24"/>
              </w:rPr>
              <w:t xml:space="preserve">   32.5</w:t>
            </w:r>
          </w:p>
        </w:tc>
      </w:tr>
      <w:tr w:rsidR="009A0A63" w:rsidRPr="00792B36" w14:paraId="4EA4B34E" w14:textId="77777777" w:rsidTr="00A24459">
        <w:trPr>
          <w:trHeight w:val="340"/>
        </w:trPr>
        <w:tc>
          <w:tcPr>
            <w:tcW w:w="3539" w:type="dxa"/>
            <w:vAlign w:val="center"/>
          </w:tcPr>
          <w:p w14:paraId="6D346961" w14:textId="77777777" w:rsidR="009A0A63" w:rsidRPr="00792B36" w:rsidRDefault="009A0A63" w:rsidP="00A24459">
            <w:pPr>
              <w:jc w:val="center"/>
              <w:rPr>
                <w:sz w:val="24"/>
                <w:szCs w:val="24"/>
              </w:rPr>
            </w:pPr>
            <w:r w:rsidRPr="00792B36">
              <w:rPr>
                <w:color w:val="000000"/>
                <w:sz w:val="24"/>
                <w:szCs w:val="24"/>
              </w:rPr>
              <w:t>2002</w:t>
            </w:r>
          </w:p>
        </w:tc>
        <w:tc>
          <w:tcPr>
            <w:tcW w:w="5478" w:type="dxa"/>
            <w:vAlign w:val="bottom"/>
          </w:tcPr>
          <w:p w14:paraId="0EBB9DE3" w14:textId="77777777" w:rsidR="009A0A63" w:rsidRPr="00792B36" w:rsidRDefault="009A0A63" w:rsidP="00A24459">
            <w:pPr>
              <w:jc w:val="center"/>
              <w:rPr>
                <w:sz w:val="24"/>
                <w:szCs w:val="24"/>
              </w:rPr>
            </w:pPr>
            <w:r w:rsidRPr="00792B36">
              <w:rPr>
                <w:color w:val="000000"/>
                <w:sz w:val="24"/>
                <w:szCs w:val="24"/>
              </w:rPr>
              <w:t xml:space="preserve">   33.7</w:t>
            </w:r>
          </w:p>
        </w:tc>
      </w:tr>
      <w:tr w:rsidR="009A0A63" w:rsidRPr="00792B36" w14:paraId="10834368" w14:textId="77777777" w:rsidTr="00A24459">
        <w:trPr>
          <w:trHeight w:val="340"/>
        </w:trPr>
        <w:tc>
          <w:tcPr>
            <w:tcW w:w="3539" w:type="dxa"/>
            <w:vAlign w:val="center"/>
          </w:tcPr>
          <w:p w14:paraId="1F7F86C3" w14:textId="77777777" w:rsidR="009A0A63" w:rsidRPr="00792B36" w:rsidRDefault="009A0A63" w:rsidP="00A24459">
            <w:pPr>
              <w:jc w:val="center"/>
              <w:rPr>
                <w:sz w:val="24"/>
                <w:szCs w:val="24"/>
              </w:rPr>
            </w:pPr>
            <w:r w:rsidRPr="00792B36">
              <w:rPr>
                <w:color w:val="000000"/>
                <w:sz w:val="24"/>
                <w:szCs w:val="24"/>
              </w:rPr>
              <w:t>2003</w:t>
            </w:r>
          </w:p>
        </w:tc>
        <w:tc>
          <w:tcPr>
            <w:tcW w:w="5478" w:type="dxa"/>
            <w:vAlign w:val="bottom"/>
          </w:tcPr>
          <w:p w14:paraId="7A61AEFE" w14:textId="77777777" w:rsidR="009A0A63" w:rsidRPr="00792B36" w:rsidRDefault="009A0A63" w:rsidP="00A24459">
            <w:pPr>
              <w:jc w:val="center"/>
              <w:rPr>
                <w:sz w:val="24"/>
                <w:szCs w:val="24"/>
              </w:rPr>
            </w:pPr>
            <w:r w:rsidRPr="00792B36">
              <w:rPr>
                <w:color w:val="000000"/>
                <w:sz w:val="24"/>
                <w:szCs w:val="24"/>
              </w:rPr>
              <w:t xml:space="preserve">   34.9</w:t>
            </w:r>
          </w:p>
        </w:tc>
      </w:tr>
      <w:tr w:rsidR="009A0A63" w:rsidRPr="00792B36" w14:paraId="7F2213AA" w14:textId="77777777" w:rsidTr="00A24459">
        <w:trPr>
          <w:trHeight w:val="340"/>
        </w:trPr>
        <w:tc>
          <w:tcPr>
            <w:tcW w:w="3539" w:type="dxa"/>
            <w:vAlign w:val="center"/>
          </w:tcPr>
          <w:p w14:paraId="16BDAD4C" w14:textId="77777777" w:rsidR="009A0A63" w:rsidRPr="00792B36" w:rsidRDefault="009A0A63" w:rsidP="00A24459">
            <w:pPr>
              <w:jc w:val="center"/>
              <w:rPr>
                <w:sz w:val="24"/>
                <w:szCs w:val="24"/>
              </w:rPr>
            </w:pPr>
            <w:r w:rsidRPr="00792B36">
              <w:rPr>
                <w:color w:val="000000"/>
                <w:sz w:val="24"/>
                <w:szCs w:val="24"/>
              </w:rPr>
              <w:t>2004</w:t>
            </w:r>
          </w:p>
        </w:tc>
        <w:tc>
          <w:tcPr>
            <w:tcW w:w="5478" w:type="dxa"/>
            <w:vAlign w:val="bottom"/>
          </w:tcPr>
          <w:p w14:paraId="05ADFF26" w14:textId="77777777" w:rsidR="009A0A63" w:rsidRPr="00792B36" w:rsidRDefault="009A0A63" w:rsidP="00A24459">
            <w:pPr>
              <w:jc w:val="center"/>
              <w:rPr>
                <w:sz w:val="24"/>
                <w:szCs w:val="24"/>
              </w:rPr>
            </w:pPr>
            <w:r w:rsidRPr="00792B36">
              <w:rPr>
                <w:color w:val="000000"/>
                <w:sz w:val="24"/>
                <w:szCs w:val="24"/>
              </w:rPr>
              <w:t xml:space="preserve">   36.2</w:t>
            </w:r>
          </w:p>
        </w:tc>
      </w:tr>
      <w:tr w:rsidR="009A0A63" w:rsidRPr="00792B36" w14:paraId="10F743D5" w14:textId="77777777" w:rsidTr="00A24459">
        <w:trPr>
          <w:trHeight w:val="340"/>
        </w:trPr>
        <w:tc>
          <w:tcPr>
            <w:tcW w:w="3539" w:type="dxa"/>
            <w:vAlign w:val="center"/>
          </w:tcPr>
          <w:p w14:paraId="5959702B" w14:textId="77777777" w:rsidR="009A0A63" w:rsidRPr="00792B36" w:rsidRDefault="009A0A63" w:rsidP="00A24459">
            <w:pPr>
              <w:jc w:val="center"/>
              <w:rPr>
                <w:sz w:val="24"/>
                <w:szCs w:val="24"/>
              </w:rPr>
            </w:pPr>
            <w:r w:rsidRPr="00792B36">
              <w:rPr>
                <w:color w:val="000000"/>
                <w:sz w:val="24"/>
                <w:szCs w:val="24"/>
              </w:rPr>
              <w:t>2005</w:t>
            </w:r>
          </w:p>
        </w:tc>
        <w:tc>
          <w:tcPr>
            <w:tcW w:w="5478" w:type="dxa"/>
            <w:vAlign w:val="bottom"/>
          </w:tcPr>
          <w:p w14:paraId="573114C9" w14:textId="77777777" w:rsidR="009A0A63" w:rsidRPr="00792B36" w:rsidRDefault="009A0A63" w:rsidP="00A24459">
            <w:pPr>
              <w:jc w:val="center"/>
              <w:rPr>
                <w:sz w:val="24"/>
                <w:szCs w:val="24"/>
              </w:rPr>
            </w:pPr>
            <w:r w:rsidRPr="00792B36">
              <w:rPr>
                <w:color w:val="000000"/>
                <w:sz w:val="24"/>
                <w:szCs w:val="24"/>
              </w:rPr>
              <w:t xml:space="preserve">   37.4</w:t>
            </w:r>
          </w:p>
        </w:tc>
      </w:tr>
      <w:tr w:rsidR="009A0A63" w:rsidRPr="00792B36" w14:paraId="7E9A6EC0" w14:textId="77777777" w:rsidTr="00A24459">
        <w:trPr>
          <w:trHeight w:val="340"/>
        </w:trPr>
        <w:tc>
          <w:tcPr>
            <w:tcW w:w="3539" w:type="dxa"/>
            <w:vAlign w:val="center"/>
          </w:tcPr>
          <w:p w14:paraId="78F1E990" w14:textId="77777777" w:rsidR="009A0A63" w:rsidRPr="00792B36" w:rsidRDefault="009A0A63" w:rsidP="00A24459">
            <w:pPr>
              <w:jc w:val="center"/>
              <w:rPr>
                <w:sz w:val="24"/>
                <w:szCs w:val="24"/>
              </w:rPr>
            </w:pPr>
            <w:r w:rsidRPr="00792B36">
              <w:rPr>
                <w:color w:val="000000"/>
                <w:sz w:val="24"/>
                <w:szCs w:val="24"/>
              </w:rPr>
              <w:t>2006</w:t>
            </w:r>
          </w:p>
        </w:tc>
        <w:tc>
          <w:tcPr>
            <w:tcW w:w="5478" w:type="dxa"/>
            <w:vAlign w:val="bottom"/>
          </w:tcPr>
          <w:p w14:paraId="739A3970" w14:textId="77777777" w:rsidR="009A0A63" w:rsidRPr="00792B36" w:rsidRDefault="009A0A63" w:rsidP="00A24459">
            <w:pPr>
              <w:jc w:val="center"/>
              <w:rPr>
                <w:sz w:val="24"/>
                <w:szCs w:val="24"/>
              </w:rPr>
            </w:pPr>
            <w:r w:rsidRPr="00792B36">
              <w:rPr>
                <w:color w:val="000000"/>
                <w:sz w:val="24"/>
                <w:szCs w:val="24"/>
              </w:rPr>
              <w:t xml:space="preserve">   38.7</w:t>
            </w:r>
          </w:p>
        </w:tc>
      </w:tr>
      <w:tr w:rsidR="009A0A63" w:rsidRPr="00792B36" w14:paraId="4889D1DB" w14:textId="77777777" w:rsidTr="00A24459">
        <w:trPr>
          <w:trHeight w:val="340"/>
        </w:trPr>
        <w:tc>
          <w:tcPr>
            <w:tcW w:w="3539" w:type="dxa"/>
            <w:vAlign w:val="center"/>
          </w:tcPr>
          <w:p w14:paraId="0597BFB4" w14:textId="77777777" w:rsidR="009A0A63" w:rsidRPr="00792B36" w:rsidRDefault="009A0A63" w:rsidP="00A24459">
            <w:pPr>
              <w:jc w:val="center"/>
              <w:rPr>
                <w:sz w:val="24"/>
                <w:szCs w:val="24"/>
              </w:rPr>
            </w:pPr>
            <w:r w:rsidRPr="00792B36">
              <w:rPr>
                <w:color w:val="000000"/>
                <w:sz w:val="24"/>
                <w:szCs w:val="24"/>
              </w:rPr>
              <w:t>2007</w:t>
            </w:r>
          </w:p>
        </w:tc>
        <w:tc>
          <w:tcPr>
            <w:tcW w:w="5478" w:type="dxa"/>
            <w:vAlign w:val="bottom"/>
          </w:tcPr>
          <w:p w14:paraId="29A20AEC" w14:textId="77777777" w:rsidR="009A0A63" w:rsidRPr="00792B36" w:rsidRDefault="009A0A63" w:rsidP="00A24459">
            <w:pPr>
              <w:jc w:val="center"/>
              <w:rPr>
                <w:sz w:val="24"/>
                <w:szCs w:val="24"/>
              </w:rPr>
            </w:pPr>
            <w:r w:rsidRPr="00792B36">
              <w:rPr>
                <w:color w:val="000000"/>
                <w:sz w:val="24"/>
                <w:szCs w:val="24"/>
              </w:rPr>
              <w:t xml:space="preserve">   40.0</w:t>
            </w:r>
          </w:p>
        </w:tc>
      </w:tr>
      <w:tr w:rsidR="009A0A63" w:rsidRPr="00792B36" w14:paraId="574E0E96" w14:textId="77777777" w:rsidTr="00A24459">
        <w:trPr>
          <w:trHeight w:val="340"/>
        </w:trPr>
        <w:tc>
          <w:tcPr>
            <w:tcW w:w="3539" w:type="dxa"/>
            <w:vAlign w:val="center"/>
          </w:tcPr>
          <w:p w14:paraId="6A449B64" w14:textId="77777777" w:rsidR="009A0A63" w:rsidRPr="00792B36" w:rsidRDefault="009A0A63" w:rsidP="00A24459">
            <w:pPr>
              <w:jc w:val="center"/>
              <w:rPr>
                <w:sz w:val="24"/>
                <w:szCs w:val="24"/>
              </w:rPr>
            </w:pPr>
            <w:r w:rsidRPr="00792B36">
              <w:rPr>
                <w:color w:val="000000"/>
                <w:sz w:val="24"/>
                <w:szCs w:val="24"/>
              </w:rPr>
              <w:t>2008</w:t>
            </w:r>
          </w:p>
        </w:tc>
        <w:tc>
          <w:tcPr>
            <w:tcW w:w="5478" w:type="dxa"/>
            <w:vAlign w:val="bottom"/>
          </w:tcPr>
          <w:p w14:paraId="650A4D8D" w14:textId="77777777" w:rsidR="009A0A63" w:rsidRPr="00792B36" w:rsidRDefault="009A0A63" w:rsidP="00A24459">
            <w:pPr>
              <w:jc w:val="center"/>
              <w:rPr>
                <w:sz w:val="24"/>
                <w:szCs w:val="24"/>
              </w:rPr>
            </w:pPr>
            <w:r w:rsidRPr="00792B36">
              <w:rPr>
                <w:color w:val="000000"/>
                <w:sz w:val="24"/>
                <w:szCs w:val="24"/>
              </w:rPr>
              <w:t xml:space="preserve">   41.2</w:t>
            </w:r>
          </w:p>
        </w:tc>
      </w:tr>
      <w:tr w:rsidR="009A0A63" w:rsidRPr="00792B36" w14:paraId="6A1667B1" w14:textId="77777777" w:rsidTr="00A24459">
        <w:trPr>
          <w:trHeight w:val="340"/>
        </w:trPr>
        <w:tc>
          <w:tcPr>
            <w:tcW w:w="3539" w:type="dxa"/>
            <w:vAlign w:val="center"/>
          </w:tcPr>
          <w:p w14:paraId="68926DB3" w14:textId="77777777" w:rsidR="009A0A63" w:rsidRPr="00792B36" w:rsidRDefault="009A0A63" w:rsidP="00A24459">
            <w:pPr>
              <w:jc w:val="center"/>
              <w:rPr>
                <w:sz w:val="24"/>
                <w:szCs w:val="24"/>
              </w:rPr>
            </w:pPr>
            <w:r w:rsidRPr="00792B36">
              <w:rPr>
                <w:color w:val="000000"/>
                <w:sz w:val="24"/>
                <w:szCs w:val="24"/>
              </w:rPr>
              <w:t>2009</w:t>
            </w:r>
          </w:p>
        </w:tc>
        <w:tc>
          <w:tcPr>
            <w:tcW w:w="5478" w:type="dxa"/>
            <w:vAlign w:val="bottom"/>
          </w:tcPr>
          <w:p w14:paraId="54876ABB" w14:textId="77777777" w:rsidR="009A0A63" w:rsidRPr="00792B36" w:rsidRDefault="009A0A63" w:rsidP="00A24459">
            <w:pPr>
              <w:jc w:val="center"/>
              <w:rPr>
                <w:sz w:val="24"/>
                <w:szCs w:val="24"/>
              </w:rPr>
            </w:pPr>
            <w:r w:rsidRPr="00792B36">
              <w:rPr>
                <w:color w:val="000000"/>
                <w:sz w:val="24"/>
                <w:szCs w:val="24"/>
              </w:rPr>
              <w:t xml:space="preserve">   42.5</w:t>
            </w:r>
          </w:p>
        </w:tc>
      </w:tr>
      <w:tr w:rsidR="009A0A63" w:rsidRPr="00792B36" w14:paraId="47BE947C" w14:textId="77777777" w:rsidTr="00A24459">
        <w:trPr>
          <w:trHeight w:val="340"/>
        </w:trPr>
        <w:tc>
          <w:tcPr>
            <w:tcW w:w="3539" w:type="dxa"/>
            <w:vAlign w:val="center"/>
          </w:tcPr>
          <w:p w14:paraId="7894D062" w14:textId="77777777" w:rsidR="009A0A63" w:rsidRPr="00792B36" w:rsidRDefault="009A0A63" w:rsidP="00A24459">
            <w:pPr>
              <w:jc w:val="center"/>
              <w:rPr>
                <w:sz w:val="24"/>
                <w:szCs w:val="24"/>
              </w:rPr>
            </w:pPr>
            <w:r w:rsidRPr="00792B36">
              <w:rPr>
                <w:color w:val="000000"/>
                <w:sz w:val="24"/>
                <w:szCs w:val="24"/>
              </w:rPr>
              <w:t>2010</w:t>
            </w:r>
          </w:p>
        </w:tc>
        <w:tc>
          <w:tcPr>
            <w:tcW w:w="5478" w:type="dxa"/>
            <w:vAlign w:val="bottom"/>
          </w:tcPr>
          <w:p w14:paraId="000B2CB4" w14:textId="77777777" w:rsidR="009A0A63" w:rsidRPr="00792B36" w:rsidRDefault="009A0A63" w:rsidP="00A24459">
            <w:pPr>
              <w:jc w:val="center"/>
              <w:rPr>
                <w:sz w:val="24"/>
                <w:szCs w:val="24"/>
              </w:rPr>
            </w:pPr>
            <w:r w:rsidRPr="00792B36">
              <w:rPr>
                <w:color w:val="000000"/>
                <w:sz w:val="24"/>
                <w:szCs w:val="24"/>
              </w:rPr>
              <w:t xml:space="preserve">   43.9</w:t>
            </w:r>
          </w:p>
        </w:tc>
      </w:tr>
      <w:tr w:rsidR="009A0A63" w:rsidRPr="00792B36" w14:paraId="48C3E952" w14:textId="77777777" w:rsidTr="00A24459">
        <w:trPr>
          <w:trHeight w:val="340"/>
        </w:trPr>
        <w:tc>
          <w:tcPr>
            <w:tcW w:w="3539" w:type="dxa"/>
            <w:vAlign w:val="center"/>
          </w:tcPr>
          <w:p w14:paraId="7553417F" w14:textId="77777777" w:rsidR="009A0A63" w:rsidRPr="00792B36" w:rsidRDefault="009A0A63" w:rsidP="00A24459">
            <w:pPr>
              <w:jc w:val="center"/>
              <w:rPr>
                <w:sz w:val="24"/>
                <w:szCs w:val="24"/>
              </w:rPr>
            </w:pPr>
            <w:r w:rsidRPr="00792B36">
              <w:rPr>
                <w:color w:val="000000"/>
                <w:sz w:val="24"/>
                <w:szCs w:val="24"/>
              </w:rPr>
              <w:t>2011</w:t>
            </w:r>
          </w:p>
        </w:tc>
        <w:tc>
          <w:tcPr>
            <w:tcW w:w="5478" w:type="dxa"/>
            <w:vAlign w:val="bottom"/>
          </w:tcPr>
          <w:p w14:paraId="1604948F" w14:textId="77777777" w:rsidR="009A0A63" w:rsidRPr="00792B36" w:rsidRDefault="009A0A63" w:rsidP="00A24459">
            <w:pPr>
              <w:jc w:val="center"/>
              <w:rPr>
                <w:sz w:val="24"/>
                <w:szCs w:val="24"/>
              </w:rPr>
            </w:pPr>
            <w:r w:rsidRPr="00792B36">
              <w:rPr>
                <w:color w:val="000000"/>
                <w:sz w:val="24"/>
                <w:szCs w:val="24"/>
              </w:rPr>
              <w:t xml:space="preserve">   44.7</w:t>
            </w:r>
          </w:p>
        </w:tc>
      </w:tr>
      <w:tr w:rsidR="009A0A63" w:rsidRPr="00792B36" w14:paraId="2D952946" w14:textId="77777777" w:rsidTr="00A24459">
        <w:trPr>
          <w:trHeight w:val="340"/>
        </w:trPr>
        <w:tc>
          <w:tcPr>
            <w:tcW w:w="3539" w:type="dxa"/>
            <w:vAlign w:val="center"/>
          </w:tcPr>
          <w:p w14:paraId="1EDAD18C" w14:textId="77777777" w:rsidR="009A0A63" w:rsidRPr="00792B36" w:rsidRDefault="009A0A63" w:rsidP="00A24459">
            <w:pPr>
              <w:jc w:val="center"/>
              <w:rPr>
                <w:sz w:val="24"/>
                <w:szCs w:val="24"/>
              </w:rPr>
            </w:pPr>
            <w:r w:rsidRPr="00792B36">
              <w:rPr>
                <w:color w:val="000000"/>
                <w:sz w:val="24"/>
                <w:szCs w:val="24"/>
              </w:rPr>
              <w:t>2012</w:t>
            </w:r>
          </w:p>
        </w:tc>
        <w:tc>
          <w:tcPr>
            <w:tcW w:w="5478" w:type="dxa"/>
            <w:vAlign w:val="bottom"/>
          </w:tcPr>
          <w:p w14:paraId="4BA5AAC5" w14:textId="77777777" w:rsidR="009A0A63" w:rsidRPr="00792B36" w:rsidRDefault="009A0A63" w:rsidP="00A24459">
            <w:pPr>
              <w:jc w:val="center"/>
              <w:rPr>
                <w:sz w:val="24"/>
                <w:szCs w:val="24"/>
              </w:rPr>
            </w:pPr>
            <w:r w:rsidRPr="00792B36">
              <w:rPr>
                <w:color w:val="000000"/>
                <w:sz w:val="24"/>
                <w:szCs w:val="24"/>
              </w:rPr>
              <w:t xml:space="preserve">   45.4</w:t>
            </w:r>
          </w:p>
        </w:tc>
      </w:tr>
      <w:tr w:rsidR="009A0A63" w:rsidRPr="00792B36" w14:paraId="7F3507EB" w14:textId="77777777" w:rsidTr="00A24459">
        <w:trPr>
          <w:trHeight w:val="340"/>
        </w:trPr>
        <w:tc>
          <w:tcPr>
            <w:tcW w:w="3539" w:type="dxa"/>
            <w:vAlign w:val="center"/>
          </w:tcPr>
          <w:p w14:paraId="4E5D36E0" w14:textId="77777777" w:rsidR="009A0A63" w:rsidRPr="00792B36" w:rsidRDefault="009A0A63" w:rsidP="00A24459">
            <w:pPr>
              <w:jc w:val="center"/>
              <w:rPr>
                <w:sz w:val="24"/>
                <w:szCs w:val="24"/>
              </w:rPr>
            </w:pPr>
            <w:r w:rsidRPr="00792B36">
              <w:rPr>
                <w:color w:val="000000"/>
                <w:sz w:val="24"/>
                <w:szCs w:val="24"/>
              </w:rPr>
              <w:t>2013</w:t>
            </w:r>
          </w:p>
        </w:tc>
        <w:tc>
          <w:tcPr>
            <w:tcW w:w="5478" w:type="dxa"/>
            <w:vAlign w:val="bottom"/>
          </w:tcPr>
          <w:p w14:paraId="690EFE0C" w14:textId="77777777" w:rsidR="009A0A63" w:rsidRPr="00792B36" w:rsidRDefault="009A0A63" w:rsidP="00A24459">
            <w:pPr>
              <w:jc w:val="center"/>
              <w:rPr>
                <w:sz w:val="24"/>
                <w:szCs w:val="24"/>
              </w:rPr>
            </w:pPr>
            <w:r w:rsidRPr="00792B36">
              <w:rPr>
                <w:color w:val="000000"/>
                <w:sz w:val="24"/>
                <w:szCs w:val="24"/>
              </w:rPr>
              <w:t xml:space="preserve">   46.2</w:t>
            </w:r>
          </w:p>
        </w:tc>
      </w:tr>
      <w:tr w:rsidR="009A0A63" w:rsidRPr="00792B36" w14:paraId="01129BA0" w14:textId="77777777" w:rsidTr="00A24459">
        <w:trPr>
          <w:trHeight w:val="340"/>
        </w:trPr>
        <w:tc>
          <w:tcPr>
            <w:tcW w:w="3539" w:type="dxa"/>
            <w:vAlign w:val="center"/>
          </w:tcPr>
          <w:p w14:paraId="307DC25A" w14:textId="77777777" w:rsidR="009A0A63" w:rsidRPr="00792B36" w:rsidRDefault="009A0A63" w:rsidP="00A24459">
            <w:pPr>
              <w:jc w:val="center"/>
              <w:rPr>
                <w:sz w:val="24"/>
                <w:szCs w:val="24"/>
              </w:rPr>
            </w:pPr>
            <w:r w:rsidRPr="00792B36">
              <w:rPr>
                <w:color w:val="000000"/>
                <w:sz w:val="24"/>
                <w:szCs w:val="24"/>
              </w:rPr>
              <w:t>2014</w:t>
            </w:r>
          </w:p>
        </w:tc>
        <w:tc>
          <w:tcPr>
            <w:tcW w:w="5478" w:type="dxa"/>
            <w:vAlign w:val="bottom"/>
          </w:tcPr>
          <w:p w14:paraId="6395B376" w14:textId="77777777" w:rsidR="009A0A63" w:rsidRPr="00792B36" w:rsidRDefault="009A0A63" w:rsidP="00A24459">
            <w:pPr>
              <w:jc w:val="center"/>
              <w:rPr>
                <w:sz w:val="24"/>
                <w:szCs w:val="24"/>
              </w:rPr>
            </w:pPr>
            <w:r w:rsidRPr="00792B36">
              <w:rPr>
                <w:color w:val="000000"/>
                <w:sz w:val="24"/>
                <w:szCs w:val="24"/>
              </w:rPr>
              <w:t xml:space="preserve">   46.9</w:t>
            </w:r>
          </w:p>
        </w:tc>
      </w:tr>
      <w:tr w:rsidR="009A0A63" w:rsidRPr="00792B36" w14:paraId="56644DD7" w14:textId="77777777" w:rsidTr="00A24459">
        <w:trPr>
          <w:trHeight w:val="340"/>
        </w:trPr>
        <w:tc>
          <w:tcPr>
            <w:tcW w:w="3539" w:type="dxa"/>
            <w:vAlign w:val="center"/>
          </w:tcPr>
          <w:p w14:paraId="41E8EFDD" w14:textId="77777777" w:rsidR="009A0A63" w:rsidRPr="00792B36" w:rsidRDefault="009A0A63" w:rsidP="00A24459">
            <w:pPr>
              <w:jc w:val="center"/>
              <w:rPr>
                <w:sz w:val="24"/>
                <w:szCs w:val="24"/>
              </w:rPr>
            </w:pPr>
            <w:r w:rsidRPr="00792B36">
              <w:rPr>
                <w:color w:val="000000"/>
                <w:sz w:val="24"/>
                <w:szCs w:val="24"/>
              </w:rPr>
              <w:t>2015</w:t>
            </w:r>
          </w:p>
        </w:tc>
        <w:tc>
          <w:tcPr>
            <w:tcW w:w="5478" w:type="dxa"/>
            <w:vAlign w:val="bottom"/>
          </w:tcPr>
          <w:p w14:paraId="2046C79B" w14:textId="77777777" w:rsidR="009A0A63" w:rsidRPr="00792B36" w:rsidRDefault="009A0A63" w:rsidP="00A24459">
            <w:pPr>
              <w:jc w:val="center"/>
              <w:rPr>
                <w:sz w:val="24"/>
                <w:szCs w:val="24"/>
              </w:rPr>
            </w:pPr>
            <w:r w:rsidRPr="00792B36">
              <w:rPr>
                <w:color w:val="000000"/>
                <w:sz w:val="24"/>
                <w:szCs w:val="24"/>
              </w:rPr>
              <w:t xml:space="preserve">   47.7</w:t>
            </w:r>
          </w:p>
        </w:tc>
      </w:tr>
      <w:tr w:rsidR="009A0A63" w:rsidRPr="00792B36" w14:paraId="2AEE6881" w14:textId="77777777" w:rsidTr="00A24459">
        <w:trPr>
          <w:trHeight w:val="340"/>
        </w:trPr>
        <w:tc>
          <w:tcPr>
            <w:tcW w:w="3539" w:type="dxa"/>
            <w:vAlign w:val="center"/>
          </w:tcPr>
          <w:p w14:paraId="610B0459" w14:textId="77777777" w:rsidR="009A0A63" w:rsidRPr="00792B36" w:rsidRDefault="009A0A63" w:rsidP="00A24459">
            <w:pPr>
              <w:jc w:val="center"/>
              <w:rPr>
                <w:sz w:val="24"/>
                <w:szCs w:val="24"/>
              </w:rPr>
            </w:pPr>
            <w:r w:rsidRPr="00792B36">
              <w:rPr>
                <w:color w:val="000000"/>
                <w:sz w:val="24"/>
                <w:szCs w:val="24"/>
              </w:rPr>
              <w:t>2016</w:t>
            </w:r>
          </w:p>
        </w:tc>
        <w:tc>
          <w:tcPr>
            <w:tcW w:w="5478" w:type="dxa"/>
            <w:vAlign w:val="bottom"/>
          </w:tcPr>
          <w:p w14:paraId="7EB2C2F7" w14:textId="77777777" w:rsidR="009A0A63" w:rsidRPr="00792B36" w:rsidRDefault="009A0A63" w:rsidP="00A24459">
            <w:pPr>
              <w:jc w:val="center"/>
              <w:rPr>
                <w:sz w:val="24"/>
                <w:szCs w:val="24"/>
              </w:rPr>
            </w:pPr>
            <w:r w:rsidRPr="00792B36">
              <w:rPr>
                <w:color w:val="000000"/>
                <w:sz w:val="24"/>
                <w:szCs w:val="24"/>
              </w:rPr>
              <w:t xml:space="preserve">   48.4</w:t>
            </w:r>
          </w:p>
        </w:tc>
      </w:tr>
      <w:tr w:rsidR="009A0A63" w:rsidRPr="00792B36" w14:paraId="3E3A392B" w14:textId="77777777" w:rsidTr="00A24459">
        <w:trPr>
          <w:trHeight w:val="340"/>
        </w:trPr>
        <w:tc>
          <w:tcPr>
            <w:tcW w:w="3539" w:type="dxa"/>
            <w:vAlign w:val="center"/>
          </w:tcPr>
          <w:p w14:paraId="172BF090" w14:textId="77777777" w:rsidR="009A0A63" w:rsidRPr="00792B36" w:rsidRDefault="009A0A63" w:rsidP="00A24459">
            <w:pPr>
              <w:jc w:val="center"/>
              <w:rPr>
                <w:sz w:val="24"/>
                <w:szCs w:val="24"/>
              </w:rPr>
            </w:pPr>
            <w:r w:rsidRPr="00792B36">
              <w:rPr>
                <w:color w:val="000000"/>
                <w:sz w:val="24"/>
                <w:szCs w:val="24"/>
              </w:rPr>
              <w:t>2017</w:t>
            </w:r>
          </w:p>
        </w:tc>
        <w:tc>
          <w:tcPr>
            <w:tcW w:w="5478" w:type="dxa"/>
            <w:vAlign w:val="bottom"/>
          </w:tcPr>
          <w:p w14:paraId="0BB873AC" w14:textId="77777777" w:rsidR="009A0A63" w:rsidRPr="00792B36" w:rsidRDefault="009A0A63" w:rsidP="00A24459">
            <w:pPr>
              <w:jc w:val="center"/>
              <w:rPr>
                <w:sz w:val="24"/>
                <w:szCs w:val="24"/>
              </w:rPr>
            </w:pPr>
            <w:r w:rsidRPr="00792B36">
              <w:rPr>
                <w:color w:val="000000"/>
                <w:sz w:val="24"/>
                <w:szCs w:val="24"/>
              </w:rPr>
              <w:t xml:space="preserve">   49.2</w:t>
            </w:r>
          </w:p>
        </w:tc>
      </w:tr>
      <w:tr w:rsidR="009A0A63" w:rsidRPr="00792B36" w14:paraId="4BD21B51" w14:textId="77777777" w:rsidTr="00A24459">
        <w:trPr>
          <w:trHeight w:val="340"/>
        </w:trPr>
        <w:tc>
          <w:tcPr>
            <w:tcW w:w="3539" w:type="dxa"/>
            <w:vAlign w:val="center"/>
          </w:tcPr>
          <w:p w14:paraId="5AAFFC7D" w14:textId="77777777" w:rsidR="009A0A63" w:rsidRPr="00792B36" w:rsidRDefault="009A0A63" w:rsidP="00A24459">
            <w:pPr>
              <w:jc w:val="center"/>
              <w:rPr>
                <w:sz w:val="24"/>
                <w:szCs w:val="24"/>
              </w:rPr>
            </w:pPr>
            <w:r w:rsidRPr="00792B36">
              <w:rPr>
                <w:color w:val="000000"/>
                <w:sz w:val="24"/>
                <w:szCs w:val="24"/>
              </w:rPr>
              <w:t>2018</w:t>
            </w:r>
          </w:p>
        </w:tc>
        <w:tc>
          <w:tcPr>
            <w:tcW w:w="5478" w:type="dxa"/>
            <w:vAlign w:val="bottom"/>
          </w:tcPr>
          <w:p w14:paraId="2C762765" w14:textId="77777777" w:rsidR="009A0A63" w:rsidRPr="00792B36" w:rsidRDefault="009A0A63" w:rsidP="00A24459">
            <w:pPr>
              <w:jc w:val="center"/>
              <w:rPr>
                <w:sz w:val="24"/>
                <w:szCs w:val="24"/>
              </w:rPr>
            </w:pPr>
            <w:r w:rsidRPr="00792B36">
              <w:rPr>
                <w:color w:val="000000"/>
                <w:sz w:val="24"/>
                <w:szCs w:val="24"/>
              </w:rPr>
              <w:t xml:space="preserve">   49.9</w:t>
            </w:r>
          </w:p>
        </w:tc>
      </w:tr>
      <w:tr w:rsidR="009A0A63" w:rsidRPr="00792B36" w14:paraId="5BAB3034" w14:textId="77777777" w:rsidTr="00A24459">
        <w:trPr>
          <w:trHeight w:val="340"/>
        </w:trPr>
        <w:tc>
          <w:tcPr>
            <w:tcW w:w="3539" w:type="dxa"/>
            <w:vAlign w:val="center"/>
          </w:tcPr>
          <w:p w14:paraId="566ED328" w14:textId="77777777" w:rsidR="009A0A63" w:rsidRPr="00792B36" w:rsidRDefault="009A0A63" w:rsidP="00A24459">
            <w:pPr>
              <w:jc w:val="center"/>
              <w:rPr>
                <w:sz w:val="24"/>
                <w:szCs w:val="24"/>
              </w:rPr>
            </w:pPr>
            <w:r w:rsidRPr="00792B36">
              <w:rPr>
                <w:color w:val="000000"/>
                <w:sz w:val="24"/>
                <w:szCs w:val="24"/>
              </w:rPr>
              <w:t>2019</w:t>
            </w:r>
          </w:p>
        </w:tc>
        <w:tc>
          <w:tcPr>
            <w:tcW w:w="5478" w:type="dxa"/>
            <w:vAlign w:val="bottom"/>
          </w:tcPr>
          <w:p w14:paraId="74A79279" w14:textId="77777777" w:rsidR="009A0A63" w:rsidRPr="00792B36" w:rsidRDefault="009A0A63" w:rsidP="00A24459">
            <w:pPr>
              <w:jc w:val="center"/>
              <w:rPr>
                <w:sz w:val="24"/>
                <w:szCs w:val="24"/>
              </w:rPr>
            </w:pPr>
            <w:r w:rsidRPr="00792B36">
              <w:rPr>
                <w:color w:val="000000"/>
                <w:sz w:val="24"/>
                <w:szCs w:val="24"/>
              </w:rPr>
              <w:t xml:space="preserve">   50.7</w:t>
            </w:r>
          </w:p>
        </w:tc>
      </w:tr>
      <w:tr w:rsidR="009A0A63" w:rsidRPr="00792B36" w14:paraId="4D2F753E" w14:textId="77777777" w:rsidTr="00A24459">
        <w:trPr>
          <w:trHeight w:val="340"/>
        </w:trPr>
        <w:tc>
          <w:tcPr>
            <w:tcW w:w="3539" w:type="dxa"/>
            <w:vAlign w:val="center"/>
          </w:tcPr>
          <w:p w14:paraId="51652BA8" w14:textId="77777777" w:rsidR="009A0A63" w:rsidRPr="00792B36" w:rsidRDefault="009A0A63" w:rsidP="00A24459">
            <w:pPr>
              <w:jc w:val="center"/>
              <w:rPr>
                <w:sz w:val="24"/>
                <w:szCs w:val="24"/>
              </w:rPr>
            </w:pPr>
            <w:r w:rsidRPr="00792B36">
              <w:rPr>
                <w:color w:val="000000"/>
                <w:sz w:val="24"/>
                <w:szCs w:val="24"/>
              </w:rPr>
              <w:t>2020</w:t>
            </w:r>
          </w:p>
        </w:tc>
        <w:tc>
          <w:tcPr>
            <w:tcW w:w="5478" w:type="dxa"/>
            <w:vAlign w:val="bottom"/>
          </w:tcPr>
          <w:p w14:paraId="3148B408" w14:textId="77777777" w:rsidR="009A0A63" w:rsidRPr="00792B36" w:rsidRDefault="009A0A63" w:rsidP="00A24459">
            <w:pPr>
              <w:jc w:val="center"/>
              <w:rPr>
                <w:sz w:val="24"/>
                <w:szCs w:val="24"/>
              </w:rPr>
            </w:pPr>
            <w:r w:rsidRPr="00792B36">
              <w:rPr>
                <w:color w:val="000000"/>
                <w:sz w:val="24"/>
                <w:szCs w:val="24"/>
              </w:rPr>
              <w:t xml:space="preserve">   51.4</w:t>
            </w:r>
          </w:p>
        </w:tc>
      </w:tr>
      <w:tr w:rsidR="009A0A63" w:rsidRPr="00792B36" w14:paraId="0F7F7380" w14:textId="77777777" w:rsidTr="00A24459">
        <w:trPr>
          <w:trHeight w:val="340"/>
        </w:trPr>
        <w:tc>
          <w:tcPr>
            <w:tcW w:w="3539" w:type="dxa"/>
            <w:vAlign w:val="center"/>
          </w:tcPr>
          <w:p w14:paraId="30B1994D" w14:textId="77777777" w:rsidR="009A0A63" w:rsidRPr="00792B36" w:rsidRDefault="009A0A63" w:rsidP="00A24459">
            <w:pPr>
              <w:jc w:val="center"/>
              <w:rPr>
                <w:sz w:val="24"/>
                <w:szCs w:val="24"/>
              </w:rPr>
            </w:pPr>
            <w:r w:rsidRPr="00792B36">
              <w:rPr>
                <w:color w:val="000000"/>
                <w:sz w:val="24"/>
                <w:szCs w:val="24"/>
              </w:rPr>
              <w:t>2021</w:t>
            </w:r>
          </w:p>
        </w:tc>
        <w:tc>
          <w:tcPr>
            <w:tcW w:w="5478" w:type="dxa"/>
            <w:vAlign w:val="bottom"/>
          </w:tcPr>
          <w:p w14:paraId="2852E748" w14:textId="77777777" w:rsidR="009A0A63" w:rsidRPr="00792B36" w:rsidRDefault="009A0A63" w:rsidP="00A24459">
            <w:pPr>
              <w:jc w:val="center"/>
              <w:rPr>
                <w:sz w:val="24"/>
                <w:szCs w:val="24"/>
              </w:rPr>
            </w:pPr>
            <w:r w:rsidRPr="00792B36">
              <w:rPr>
                <w:color w:val="000000"/>
                <w:sz w:val="24"/>
                <w:szCs w:val="24"/>
              </w:rPr>
              <w:t xml:space="preserve">   52.2</w:t>
            </w:r>
          </w:p>
        </w:tc>
      </w:tr>
    </w:tbl>
    <w:p w14:paraId="277EADC6" w14:textId="77777777" w:rsidR="009A0A63" w:rsidRPr="00792B36" w:rsidRDefault="009A0A63" w:rsidP="009A0A63">
      <w:pPr>
        <w:spacing w:line="360" w:lineRule="auto"/>
        <w:rPr>
          <w:sz w:val="24"/>
          <w:szCs w:val="24"/>
        </w:rPr>
      </w:pPr>
    </w:p>
    <w:p w14:paraId="41DD4837" w14:textId="77777777" w:rsidR="009A0A63" w:rsidRPr="00792B36" w:rsidRDefault="009A0A63" w:rsidP="009A0A63">
      <w:pPr>
        <w:spacing w:line="360" w:lineRule="auto"/>
        <w:rPr>
          <w:sz w:val="24"/>
          <w:szCs w:val="24"/>
        </w:rPr>
      </w:pPr>
      <w:r w:rsidRPr="00792B36">
        <w:rPr>
          <w:b/>
          <w:bCs/>
          <w:sz w:val="24"/>
          <w:szCs w:val="24"/>
        </w:rPr>
        <w:lastRenderedPageBreak/>
        <w:t xml:space="preserve">Annex 2.7 </w:t>
      </w:r>
      <w:r w:rsidRPr="00792B36">
        <w:rPr>
          <w:color w:val="000000" w:themeColor="text1"/>
          <w:sz w:val="24"/>
          <w:szCs w:val="24"/>
        </w:rPr>
        <w:t>Cont.</w:t>
      </w:r>
    </w:p>
    <w:tbl>
      <w:tblPr>
        <w:tblStyle w:val="TableGrid"/>
        <w:tblW w:w="0" w:type="auto"/>
        <w:tblLook w:val="04A0" w:firstRow="1" w:lastRow="0" w:firstColumn="1" w:lastColumn="0" w:noHBand="0" w:noVBand="1"/>
      </w:tblPr>
      <w:tblGrid>
        <w:gridCol w:w="3539"/>
        <w:gridCol w:w="5478"/>
      </w:tblGrid>
      <w:tr w:rsidR="009A0A63" w:rsidRPr="00792B36" w14:paraId="092EB06B" w14:textId="77777777" w:rsidTr="00A24459">
        <w:trPr>
          <w:trHeight w:val="340"/>
        </w:trPr>
        <w:tc>
          <w:tcPr>
            <w:tcW w:w="3539" w:type="dxa"/>
          </w:tcPr>
          <w:p w14:paraId="6128442A" w14:textId="77777777" w:rsidR="009A0A63" w:rsidRPr="00792B36" w:rsidRDefault="009A0A63" w:rsidP="00A24459">
            <w:pPr>
              <w:jc w:val="center"/>
              <w:rPr>
                <w:b/>
                <w:bCs/>
                <w:sz w:val="24"/>
                <w:szCs w:val="24"/>
              </w:rPr>
            </w:pPr>
            <w:r w:rsidRPr="00792B36">
              <w:rPr>
                <w:b/>
                <w:bCs/>
                <w:sz w:val="24"/>
                <w:szCs w:val="24"/>
              </w:rPr>
              <w:t>Year</w:t>
            </w:r>
          </w:p>
        </w:tc>
        <w:tc>
          <w:tcPr>
            <w:tcW w:w="5478" w:type="dxa"/>
          </w:tcPr>
          <w:p w14:paraId="60CBE575" w14:textId="77777777" w:rsidR="009A0A63" w:rsidRPr="00792B36" w:rsidRDefault="009A0A63" w:rsidP="00A24459">
            <w:pPr>
              <w:jc w:val="center"/>
              <w:rPr>
                <w:b/>
                <w:bCs/>
                <w:sz w:val="24"/>
                <w:szCs w:val="24"/>
              </w:rPr>
            </w:pPr>
            <w:r w:rsidRPr="00792B36">
              <w:rPr>
                <w:b/>
                <w:bCs/>
                <w:sz w:val="24"/>
                <w:szCs w:val="24"/>
              </w:rPr>
              <w:t>% population</w:t>
            </w:r>
            <w:r w:rsidRPr="00792B36">
              <w:rPr>
                <w:b/>
                <w:bCs/>
                <w:color w:val="000000" w:themeColor="text1"/>
                <w:sz w:val="24"/>
                <w:szCs w:val="24"/>
              </w:rPr>
              <w:t xml:space="preserve"> residing in urban areas</w:t>
            </w:r>
          </w:p>
        </w:tc>
      </w:tr>
      <w:tr w:rsidR="009A0A63" w:rsidRPr="00792B36" w14:paraId="78646AFD" w14:textId="77777777" w:rsidTr="00A24459">
        <w:trPr>
          <w:trHeight w:val="340"/>
        </w:trPr>
        <w:tc>
          <w:tcPr>
            <w:tcW w:w="3539" w:type="dxa"/>
            <w:vAlign w:val="center"/>
          </w:tcPr>
          <w:p w14:paraId="5F32B676" w14:textId="77777777" w:rsidR="009A0A63" w:rsidRPr="00792B36" w:rsidRDefault="009A0A63" w:rsidP="00A24459">
            <w:pPr>
              <w:jc w:val="center"/>
              <w:rPr>
                <w:sz w:val="24"/>
                <w:szCs w:val="24"/>
              </w:rPr>
            </w:pPr>
            <w:r w:rsidRPr="00792B36">
              <w:rPr>
                <w:color w:val="000000"/>
                <w:sz w:val="24"/>
                <w:szCs w:val="24"/>
              </w:rPr>
              <w:t>2022</w:t>
            </w:r>
          </w:p>
        </w:tc>
        <w:tc>
          <w:tcPr>
            <w:tcW w:w="5478" w:type="dxa"/>
            <w:vAlign w:val="bottom"/>
          </w:tcPr>
          <w:p w14:paraId="378EB28C" w14:textId="77777777" w:rsidR="009A0A63" w:rsidRPr="00792B36" w:rsidRDefault="009A0A63" w:rsidP="00A24459">
            <w:pPr>
              <w:jc w:val="center"/>
              <w:rPr>
                <w:sz w:val="24"/>
                <w:szCs w:val="24"/>
              </w:rPr>
            </w:pPr>
            <w:r w:rsidRPr="00792B36">
              <w:rPr>
                <w:color w:val="000000"/>
                <w:sz w:val="24"/>
                <w:szCs w:val="24"/>
              </w:rPr>
              <w:t xml:space="preserve">   52.9</w:t>
            </w:r>
          </w:p>
        </w:tc>
      </w:tr>
      <w:tr w:rsidR="009A0A63" w:rsidRPr="00792B36" w14:paraId="214507A4" w14:textId="77777777" w:rsidTr="00A24459">
        <w:trPr>
          <w:trHeight w:val="340"/>
        </w:trPr>
        <w:tc>
          <w:tcPr>
            <w:tcW w:w="3539" w:type="dxa"/>
            <w:vAlign w:val="center"/>
          </w:tcPr>
          <w:p w14:paraId="3F696CB6" w14:textId="77777777" w:rsidR="009A0A63" w:rsidRPr="00792B36" w:rsidRDefault="009A0A63" w:rsidP="00A24459">
            <w:pPr>
              <w:jc w:val="center"/>
              <w:rPr>
                <w:sz w:val="24"/>
                <w:szCs w:val="24"/>
              </w:rPr>
            </w:pPr>
            <w:r w:rsidRPr="00792B36">
              <w:rPr>
                <w:color w:val="000000"/>
                <w:sz w:val="24"/>
                <w:szCs w:val="24"/>
              </w:rPr>
              <w:t>2023</w:t>
            </w:r>
          </w:p>
        </w:tc>
        <w:tc>
          <w:tcPr>
            <w:tcW w:w="5478" w:type="dxa"/>
            <w:vAlign w:val="bottom"/>
          </w:tcPr>
          <w:p w14:paraId="4A7C653F" w14:textId="77777777" w:rsidR="009A0A63" w:rsidRPr="00792B36" w:rsidRDefault="009A0A63" w:rsidP="00A24459">
            <w:pPr>
              <w:jc w:val="center"/>
              <w:rPr>
                <w:sz w:val="24"/>
                <w:szCs w:val="24"/>
              </w:rPr>
            </w:pPr>
            <w:r w:rsidRPr="00792B36">
              <w:rPr>
                <w:color w:val="000000"/>
                <w:sz w:val="24"/>
                <w:szCs w:val="24"/>
              </w:rPr>
              <w:t xml:space="preserve">   53.6</w:t>
            </w:r>
          </w:p>
        </w:tc>
      </w:tr>
      <w:tr w:rsidR="009A0A63" w:rsidRPr="00792B36" w14:paraId="1FE3467A" w14:textId="77777777" w:rsidTr="00A24459">
        <w:trPr>
          <w:trHeight w:val="340"/>
        </w:trPr>
        <w:tc>
          <w:tcPr>
            <w:tcW w:w="3539" w:type="dxa"/>
            <w:vAlign w:val="center"/>
          </w:tcPr>
          <w:p w14:paraId="7042EBAD" w14:textId="77777777" w:rsidR="009A0A63" w:rsidRPr="00792B36" w:rsidRDefault="009A0A63" w:rsidP="00A24459">
            <w:pPr>
              <w:jc w:val="center"/>
              <w:rPr>
                <w:sz w:val="24"/>
                <w:szCs w:val="24"/>
              </w:rPr>
            </w:pPr>
            <w:r w:rsidRPr="00792B36">
              <w:rPr>
                <w:color w:val="000000"/>
                <w:sz w:val="24"/>
                <w:szCs w:val="24"/>
              </w:rPr>
              <w:t>2024</w:t>
            </w:r>
          </w:p>
        </w:tc>
        <w:tc>
          <w:tcPr>
            <w:tcW w:w="5478" w:type="dxa"/>
            <w:vAlign w:val="bottom"/>
          </w:tcPr>
          <w:p w14:paraId="52584887" w14:textId="77777777" w:rsidR="009A0A63" w:rsidRPr="00792B36" w:rsidRDefault="009A0A63" w:rsidP="00A24459">
            <w:pPr>
              <w:jc w:val="center"/>
              <w:rPr>
                <w:sz w:val="24"/>
                <w:szCs w:val="24"/>
              </w:rPr>
            </w:pPr>
            <w:r w:rsidRPr="00792B36">
              <w:rPr>
                <w:color w:val="000000"/>
                <w:sz w:val="24"/>
                <w:szCs w:val="24"/>
              </w:rPr>
              <w:t xml:space="preserve">   54.3</w:t>
            </w:r>
          </w:p>
        </w:tc>
      </w:tr>
      <w:tr w:rsidR="009A0A63" w:rsidRPr="00792B36" w14:paraId="699C160B" w14:textId="77777777" w:rsidTr="00A24459">
        <w:trPr>
          <w:trHeight w:val="340"/>
        </w:trPr>
        <w:tc>
          <w:tcPr>
            <w:tcW w:w="3539" w:type="dxa"/>
            <w:vAlign w:val="center"/>
          </w:tcPr>
          <w:p w14:paraId="6D136B38" w14:textId="77777777" w:rsidR="009A0A63" w:rsidRPr="00792B36" w:rsidRDefault="009A0A63" w:rsidP="00A24459">
            <w:pPr>
              <w:jc w:val="center"/>
              <w:rPr>
                <w:sz w:val="24"/>
                <w:szCs w:val="24"/>
              </w:rPr>
            </w:pPr>
            <w:r w:rsidRPr="00792B36">
              <w:rPr>
                <w:color w:val="000000"/>
                <w:sz w:val="24"/>
                <w:szCs w:val="24"/>
              </w:rPr>
              <w:t>2025</w:t>
            </w:r>
          </w:p>
        </w:tc>
        <w:tc>
          <w:tcPr>
            <w:tcW w:w="5478" w:type="dxa"/>
            <w:vAlign w:val="bottom"/>
          </w:tcPr>
          <w:p w14:paraId="1D052654" w14:textId="77777777" w:rsidR="009A0A63" w:rsidRPr="00792B36" w:rsidRDefault="009A0A63" w:rsidP="00A24459">
            <w:pPr>
              <w:jc w:val="center"/>
              <w:rPr>
                <w:sz w:val="24"/>
                <w:szCs w:val="24"/>
              </w:rPr>
            </w:pPr>
            <w:r w:rsidRPr="00792B36">
              <w:rPr>
                <w:color w:val="000000"/>
                <w:sz w:val="24"/>
                <w:szCs w:val="24"/>
              </w:rPr>
              <w:t xml:space="preserve">   55.0</w:t>
            </w:r>
          </w:p>
        </w:tc>
      </w:tr>
      <w:tr w:rsidR="009A0A63" w:rsidRPr="00792B36" w14:paraId="3191FE4A" w14:textId="77777777" w:rsidTr="00A24459">
        <w:trPr>
          <w:trHeight w:val="340"/>
        </w:trPr>
        <w:tc>
          <w:tcPr>
            <w:tcW w:w="3539" w:type="dxa"/>
            <w:vAlign w:val="center"/>
          </w:tcPr>
          <w:p w14:paraId="2406804F" w14:textId="77777777" w:rsidR="009A0A63" w:rsidRPr="00792B36" w:rsidRDefault="009A0A63" w:rsidP="00A24459">
            <w:pPr>
              <w:jc w:val="center"/>
              <w:rPr>
                <w:sz w:val="24"/>
                <w:szCs w:val="24"/>
              </w:rPr>
            </w:pPr>
            <w:r w:rsidRPr="00792B36">
              <w:rPr>
                <w:color w:val="000000"/>
                <w:sz w:val="24"/>
                <w:szCs w:val="24"/>
              </w:rPr>
              <w:t>2026</w:t>
            </w:r>
          </w:p>
        </w:tc>
        <w:tc>
          <w:tcPr>
            <w:tcW w:w="5478" w:type="dxa"/>
            <w:vAlign w:val="bottom"/>
          </w:tcPr>
          <w:p w14:paraId="28752826" w14:textId="77777777" w:rsidR="009A0A63" w:rsidRPr="00792B36" w:rsidRDefault="009A0A63" w:rsidP="00A24459">
            <w:pPr>
              <w:jc w:val="center"/>
              <w:rPr>
                <w:sz w:val="24"/>
                <w:szCs w:val="24"/>
              </w:rPr>
            </w:pPr>
            <w:r w:rsidRPr="00792B36">
              <w:rPr>
                <w:color w:val="000000"/>
                <w:sz w:val="24"/>
                <w:szCs w:val="24"/>
              </w:rPr>
              <w:t xml:space="preserve">   55.7</w:t>
            </w:r>
          </w:p>
        </w:tc>
      </w:tr>
      <w:tr w:rsidR="009A0A63" w:rsidRPr="00792B36" w14:paraId="2E6A3C09" w14:textId="77777777" w:rsidTr="00A24459">
        <w:trPr>
          <w:trHeight w:val="340"/>
        </w:trPr>
        <w:tc>
          <w:tcPr>
            <w:tcW w:w="3539" w:type="dxa"/>
            <w:vAlign w:val="center"/>
          </w:tcPr>
          <w:p w14:paraId="48D53779" w14:textId="77777777" w:rsidR="009A0A63" w:rsidRPr="00792B36" w:rsidRDefault="009A0A63" w:rsidP="00A24459">
            <w:pPr>
              <w:jc w:val="center"/>
              <w:rPr>
                <w:sz w:val="24"/>
                <w:szCs w:val="24"/>
              </w:rPr>
            </w:pPr>
            <w:r w:rsidRPr="00792B36">
              <w:rPr>
                <w:color w:val="000000"/>
                <w:sz w:val="24"/>
                <w:szCs w:val="24"/>
              </w:rPr>
              <w:t>2027</w:t>
            </w:r>
          </w:p>
        </w:tc>
        <w:tc>
          <w:tcPr>
            <w:tcW w:w="5478" w:type="dxa"/>
            <w:vAlign w:val="bottom"/>
          </w:tcPr>
          <w:p w14:paraId="36BDE796" w14:textId="77777777" w:rsidR="009A0A63" w:rsidRPr="00792B36" w:rsidRDefault="009A0A63" w:rsidP="00A24459">
            <w:pPr>
              <w:jc w:val="center"/>
              <w:rPr>
                <w:sz w:val="24"/>
                <w:szCs w:val="24"/>
              </w:rPr>
            </w:pPr>
            <w:r w:rsidRPr="00792B36">
              <w:rPr>
                <w:color w:val="000000"/>
                <w:sz w:val="24"/>
                <w:szCs w:val="24"/>
              </w:rPr>
              <w:t xml:space="preserve">   56.4</w:t>
            </w:r>
          </w:p>
        </w:tc>
      </w:tr>
      <w:tr w:rsidR="009A0A63" w:rsidRPr="00792B36" w14:paraId="5DAC1756" w14:textId="77777777" w:rsidTr="00A24459">
        <w:trPr>
          <w:trHeight w:val="340"/>
        </w:trPr>
        <w:tc>
          <w:tcPr>
            <w:tcW w:w="3539" w:type="dxa"/>
            <w:vAlign w:val="center"/>
          </w:tcPr>
          <w:p w14:paraId="3C8DF73E" w14:textId="77777777" w:rsidR="009A0A63" w:rsidRPr="00792B36" w:rsidRDefault="009A0A63" w:rsidP="00A24459">
            <w:pPr>
              <w:jc w:val="center"/>
              <w:rPr>
                <w:sz w:val="24"/>
                <w:szCs w:val="24"/>
              </w:rPr>
            </w:pPr>
            <w:r w:rsidRPr="00792B36">
              <w:rPr>
                <w:color w:val="000000"/>
                <w:sz w:val="24"/>
                <w:szCs w:val="24"/>
              </w:rPr>
              <w:t>2028</w:t>
            </w:r>
          </w:p>
        </w:tc>
        <w:tc>
          <w:tcPr>
            <w:tcW w:w="5478" w:type="dxa"/>
            <w:vAlign w:val="bottom"/>
          </w:tcPr>
          <w:p w14:paraId="2D52D46D" w14:textId="77777777" w:rsidR="009A0A63" w:rsidRPr="00792B36" w:rsidRDefault="009A0A63" w:rsidP="00A24459">
            <w:pPr>
              <w:jc w:val="center"/>
              <w:rPr>
                <w:sz w:val="24"/>
                <w:szCs w:val="24"/>
              </w:rPr>
            </w:pPr>
            <w:r w:rsidRPr="00792B36">
              <w:rPr>
                <w:color w:val="000000"/>
                <w:sz w:val="24"/>
                <w:szCs w:val="24"/>
              </w:rPr>
              <w:t xml:space="preserve">   57.1</w:t>
            </w:r>
          </w:p>
        </w:tc>
      </w:tr>
      <w:tr w:rsidR="009A0A63" w:rsidRPr="00792B36" w14:paraId="034040C1" w14:textId="77777777" w:rsidTr="00A24459">
        <w:trPr>
          <w:trHeight w:val="340"/>
        </w:trPr>
        <w:tc>
          <w:tcPr>
            <w:tcW w:w="3539" w:type="dxa"/>
            <w:vAlign w:val="center"/>
          </w:tcPr>
          <w:p w14:paraId="2E0831DC" w14:textId="77777777" w:rsidR="009A0A63" w:rsidRPr="00792B36" w:rsidRDefault="009A0A63" w:rsidP="00A24459">
            <w:pPr>
              <w:jc w:val="center"/>
              <w:rPr>
                <w:sz w:val="24"/>
                <w:szCs w:val="24"/>
              </w:rPr>
            </w:pPr>
            <w:r w:rsidRPr="00792B36">
              <w:rPr>
                <w:color w:val="000000"/>
                <w:sz w:val="24"/>
                <w:szCs w:val="24"/>
              </w:rPr>
              <w:t>2029</w:t>
            </w:r>
          </w:p>
        </w:tc>
        <w:tc>
          <w:tcPr>
            <w:tcW w:w="5478" w:type="dxa"/>
            <w:vAlign w:val="bottom"/>
          </w:tcPr>
          <w:p w14:paraId="0B6D82D1" w14:textId="77777777" w:rsidR="009A0A63" w:rsidRPr="00792B36" w:rsidRDefault="009A0A63" w:rsidP="00A24459">
            <w:pPr>
              <w:jc w:val="center"/>
              <w:rPr>
                <w:sz w:val="24"/>
                <w:szCs w:val="24"/>
              </w:rPr>
            </w:pPr>
            <w:r w:rsidRPr="00792B36">
              <w:rPr>
                <w:color w:val="000000"/>
                <w:sz w:val="24"/>
                <w:szCs w:val="24"/>
              </w:rPr>
              <w:t xml:space="preserve">   57.8</w:t>
            </w:r>
          </w:p>
        </w:tc>
      </w:tr>
      <w:tr w:rsidR="009A0A63" w:rsidRPr="00792B36" w14:paraId="6939AB43" w14:textId="77777777" w:rsidTr="00A24459">
        <w:trPr>
          <w:trHeight w:val="340"/>
        </w:trPr>
        <w:tc>
          <w:tcPr>
            <w:tcW w:w="3539" w:type="dxa"/>
            <w:vAlign w:val="center"/>
          </w:tcPr>
          <w:p w14:paraId="5300E1C3" w14:textId="77777777" w:rsidR="009A0A63" w:rsidRPr="00792B36" w:rsidRDefault="009A0A63" w:rsidP="00A24459">
            <w:pPr>
              <w:jc w:val="center"/>
              <w:rPr>
                <w:sz w:val="24"/>
                <w:szCs w:val="24"/>
              </w:rPr>
            </w:pPr>
            <w:r w:rsidRPr="00792B36">
              <w:rPr>
                <w:color w:val="000000"/>
                <w:sz w:val="24"/>
                <w:szCs w:val="24"/>
              </w:rPr>
              <w:t>2030</w:t>
            </w:r>
          </w:p>
        </w:tc>
        <w:tc>
          <w:tcPr>
            <w:tcW w:w="5478" w:type="dxa"/>
            <w:vAlign w:val="bottom"/>
          </w:tcPr>
          <w:p w14:paraId="63E1D1C7" w14:textId="77777777" w:rsidR="009A0A63" w:rsidRPr="00792B36" w:rsidRDefault="009A0A63" w:rsidP="00A24459">
            <w:pPr>
              <w:jc w:val="center"/>
              <w:rPr>
                <w:sz w:val="24"/>
                <w:szCs w:val="24"/>
              </w:rPr>
            </w:pPr>
            <w:r w:rsidRPr="00792B36">
              <w:rPr>
                <w:color w:val="000000"/>
                <w:sz w:val="24"/>
                <w:szCs w:val="24"/>
              </w:rPr>
              <w:t xml:space="preserve">   58.4</w:t>
            </w:r>
          </w:p>
        </w:tc>
      </w:tr>
      <w:tr w:rsidR="009A0A63" w:rsidRPr="00792B36" w14:paraId="51199A55" w14:textId="77777777" w:rsidTr="00A24459">
        <w:trPr>
          <w:trHeight w:val="340"/>
        </w:trPr>
        <w:tc>
          <w:tcPr>
            <w:tcW w:w="3539" w:type="dxa"/>
            <w:vAlign w:val="center"/>
          </w:tcPr>
          <w:p w14:paraId="646C1FBA" w14:textId="77777777" w:rsidR="009A0A63" w:rsidRPr="00792B36" w:rsidRDefault="009A0A63" w:rsidP="00A24459">
            <w:pPr>
              <w:jc w:val="center"/>
              <w:rPr>
                <w:sz w:val="24"/>
                <w:szCs w:val="24"/>
              </w:rPr>
            </w:pPr>
            <w:r w:rsidRPr="00792B36">
              <w:rPr>
                <w:color w:val="000000"/>
                <w:sz w:val="24"/>
                <w:szCs w:val="24"/>
              </w:rPr>
              <w:t>2031</w:t>
            </w:r>
          </w:p>
        </w:tc>
        <w:tc>
          <w:tcPr>
            <w:tcW w:w="5478" w:type="dxa"/>
            <w:vAlign w:val="bottom"/>
          </w:tcPr>
          <w:p w14:paraId="2309FC1D" w14:textId="77777777" w:rsidR="009A0A63" w:rsidRPr="00792B36" w:rsidRDefault="009A0A63" w:rsidP="00A24459">
            <w:pPr>
              <w:jc w:val="center"/>
              <w:rPr>
                <w:sz w:val="24"/>
                <w:szCs w:val="24"/>
              </w:rPr>
            </w:pPr>
            <w:r w:rsidRPr="00792B36">
              <w:rPr>
                <w:color w:val="000000"/>
                <w:sz w:val="24"/>
                <w:szCs w:val="24"/>
              </w:rPr>
              <w:t xml:space="preserve">   59.1</w:t>
            </w:r>
          </w:p>
        </w:tc>
      </w:tr>
      <w:tr w:rsidR="009A0A63" w:rsidRPr="00792B36" w14:paraId="3F2641F2" w14:textId="77777777" w:rsidTr="00A24459">
        <w:trPr>
          <w:trHeight w:val="340"/>
        </w:trPr>
        <w:tc>
          <w:tcPr>
            <w:tcW w:w="3539" w:type="dxa"/>
            <w:vAlign w:val="center"/>
          </w:tcPr>
          <w:p w14:paraId="5E4298C0" w14:textId="77777777" w:rsidR="009A0A63" w:rsidRPr="00792B36" w:rsidRDefault="009A0A63" w:rsidP="00A24459">
            <w:pPr>
              <w:jc w:val="center"/>
              <w:rPr>
                <w:sz w:val="24"/>
                <w:szCs w:val="24"/>
              </w:rPr>
            </w:pPr>
            <w:r w:rsidRPr="00792B36">
              <w:rPr>
                <w:color w:val="000000"/>
                <w:sz w:val="24"/>
                <w:szCs w:val="24"/>
              </w:rPr>
              <w:t>2032</w:t>
            </w:r>
          </w:p>
        </w:tc>
        <w:tc>
          <w:tcPr>
            <w:tcW w:w="5478" w:type="dxa"/>
            <w:vAlign w:val="bottom"/>
          </w:tcPr>
          <w:p w14:paraId="3BEAF0D7" w14:textId="77777777" w:rsidR="009A0A63" w:rsidRPr="00792B36" w:rsidRDefault="009A0A63" w:rsidP="00A24459">
            <w:pPr>
              <w:jc w:val="center"/>
              <w:rPr>
                <w:sz w:val="24"/>
                <w:szCs w:val="24"/>
              </w:rPr>
            </w:pPr>
            <w:r w:rsidRPr="00792B36">
              <w:rPr>
                <w:color w:val="000000"/>
                <w:sz w:val="24"/>
                <w:szCs w:val="24"/>
              </w:rPr>
              <w:t xml:space="preserve">   59.7</w:t>
            </w:r>
          </w:p>
        </w:tc>
      </w:tr>
      <w:tr w:rsidR="009A0A63" w:rsidRPr="00792B36" w14:paraId="27E79554" w14:textId="77777777" w:rsidTr="00A24459">
        <w:trPr>
          <w:trHeight w:val="340"/>
        </w:trPr>
        <w:tc>
          <w:tcPr>
            <w:tcW w:w="3539" w:type="dxa"/>
            <w:vAlign w:val="center"/>
          </w:tcPr>
          <w:p w14:paraId="39BCB296" w14:textId="77777777" w:rsidR="009A0A63" w:rsidRPr="00792B36" w:rsidRDefault="009A0A63" w:rsidP="00A24459">
            <w:pPr>
              <w:jc w:val="center"/>
              <w:rPr>
                <w:sz w:val="24"/>
                <w:szCs w:val="24"/>
              </w:rPr>
            </w:pPr>
            <w:r w:rsidRPr="00792B36">
              <w:rPr>
                <w:color w:val="000000"/>
                <w:sz w:val="24"/>
                <w:szCs w:val="24"/>
              </w:rPr>
              <w:t>2033</w:t>
            </w:r>
          </w:p>
        </w:tc>
        <w:tc>
          <w:tcPr>
            <w:tcW w:w="5478" w:type="dxa"/>
            <w:vAlign w:val="bottom"/>
          </w:tcPr>
          <w:p w14:paraId="171BFDE2" w14:textId="77777777" w:rsidR="009A0A63" w:rsidRPr="00792B36" w:rsidRDefault="009A0A63" w:rsidP="00A24459">
            <w:pPr>
              <w:jc w:val="center"/>
              <w:rPr>
                <w:sz w:val="24"/>
                <w:szCs w:val="24"/>
              </w:rPr>
            </w:pPr>
            <w:r w:rsidRPr="00792B36">
              <w:rPr>
                <w:color w:val="000000"/>
                <w:sz w:val="24"/>
                <w:szCs w:val="24"/>
              </w:rPr>
              <w:t xml:space="preserve">   60.3</w:t>
            </w:r>
          </w:p>
        </w:tc>
      </w:tr>
      <w:tr w:rsidR="009A0A63" w:rsidRPr="00792B36" w14:paraId="06DE18E2" w14:textId="77777777" w:rsidTr="00A24459">
        <w:trPr>
          <w:trHeight w:val="340"/>
        </w:trPr>
        <w:tc>
          <w:tcPr>
            <w:tcW w:w="3539" w:type="dxa"/>
            <w:vAlign w:val="center"/>
          </w:tcPr>
          <w:p w14:paraId="7A588344" w14:textId="77777777" w:rsidR="009A0A63" w:rsidRPr="00792B36" w:rsidRDefault="009A0A63" w:rsidP="00A24459">
            <w:pPr>
              <w:jc w:val="center"/>
              <w:rPr>
                <w:sz w:val="24"/>
                <w:szCs w:val="24"/>
              </w:rPr>
            </w:pPr>
            <w:r w:rsidRPr="00792B36">
              <w:rPr>
                <w:color w:val="000000"/>
                <w:sz w:val="24"/>
                <w:szCs w:val="24"/>
              </w:rPr>
              <w:t>2034</w:t>
            </w:r>
          </w:p>
        </w:tc>
        <w:tc>
          <w:tcPr>
            <w:tcW w:w="5478" w:type="dxa"/>
            <w:vAlign w:val="bottom"/>
          </w:tcPr>
          <w:p w14:paraId="30B0BA0C" w14:textId="77777777" w:rsidR="009A0A63" w:rsidRPr="00792B36" w:rsidRDefault="009A0A63" w:rsidP="00A24459">
            <w:pPr>
              <w:jc w:val="center"/>
              <w:rPr>
                <w:sz w:val="24"/>
                <w:szCs w:val="24"/>
              </w:rPr>
            </w:pPr>
            <w:r w:rsidRPr="00792B36">
              <w:rPr>
                <w:color w:val="000000"/>
                <w:sz w:val="24"/>
                <w:szCs w:val="24"/>
              </w:rPr>
              <w:t xml:space="preserve">   61.0</w:t>
            </w:r>
          </w:p>
        </w:tc>
      </w:tr>
      <w:tr w:rsidR="009A0A63" w:rsidRPr="00792B36" w14:paraId="67DA37D6" w14:textId="77777777" w:rsidTr="00A24459">
        <w:trPr>
          <w:trHeight w:val="340"/>
        </w:trPr>
        <w:tc>
          <w:tcPr>
            <w:tcW w:w="3539" w:type="dxa"/>
            <w:vAlign w:val="center"/>
          </w:tcPr>
          <w:p w14:paraId="116D4443" w14:textId="77777777" w:rsidR="009A0A63" w:rsidRPr="00792B36" w:rsidRDefault="009A0A63" w:rsidP="00A24459">
            <w:pPr>
              <w:jc w:val="center"/>
              <w:rPr>
                <w:sz w:val="24"/>
                <w:szCs w:val="24"/>
              </w:rPr>
            </w:pPr>
            <w:r w:rsidRPr="00792B36">
              <w:rPr>
                <w:color w:val="000000"/>
                <w:sz w:val="24"/>
                <w:szCs w:val="24"/>
              </w:rPr>
              <w:t>2035</w:t>
            </w:r>
          </w:p>
        </w:tc>
        <w:tc>
          <w:tcPr>
            <w:tcW w:w="5478" w:type="dxa"/>
            <w:vAlign w:val="bottom"/>
          </w:tcPr>
          <w:p w14:paraId="27E06D9F" w14:textId="77777777" w:rsidR="009A0A63" w:rsidRPr="00792B36" w:rsidRDefault="009A0A63" w:rsidP="00A24459">
            <w:pPr>
              <w:jc w:val="center"/>
              <w:rPr>
                <w:sz w:val="24"/>
                <w:szCs w:val="24"/>
              </w:rPr>
            </w:pPr>
            <w:r w:rsidRPr="00792B36">
              <w:rPr>
                <w:color w:val="000000"/>
                <w:sz w:val="24"/>
                <w:szCs w:val="24"/>
              </w:rPr>
              <w:t xml:space="preserve">   61.6</w:t>
            </w:r>
          </w:p>
        </w:tc>
      </w:tr>
      <w:tr w:rsidR="009A0A63" w:rsidRPr="00792B36" w14:paraId="43CD34AA" w14:textId="77777777" w:rsidTr="00A24459">
        <w:trPr>
          <w:trHeight w:val="340"/>
        </w:trPr>
        <w:tc>
          <w:tcPr>
            <w:tcW w:w="3539" w:type="dxa"/>
            <w:vAlign w:val="center"/>
          </w:tcPr>
          <w:p w14:paraId="399D0D18" w14:textId="77777777" w:rsidR="009A0A63" w:rsidRPr="00792B36" w:rsidRDefault="009A0A63" w:rsidP="00A24459">
            <w:pPr>
              <w:jc w:val="center"/>
              <w:rPr>
                <w:sz w:val="24"/>
                <w:szCs w:val="24"/>
              </w:rPr>
            </w:pPr>
            <w:r w:rsidRPr="00792B36">
              <w:rPr>
                <w:color w:val="000000"/>
                <w:sz w:val="24"/>
                <w:szCs w:val="24"/>
              </w:rPr>
              <w:t>2036</w:t>
            </w:r>
          </w:p>
        </w:tc>
        <w:tc>
          <w:tcPr>
            <w:tcW w:w="5478" w:type="dxa"/>
            <w:vAlign w:val="bottom"/>
          </w:tcPr>
          <w:p w14:paraId="590C3153" w14:textId="77777777" w:rsidR="009A0A63" w:rsidRPr="00792B36" w:rsidRDefault="009A0A63" w:rsidP="00A24459">
            <w:pPr>
              <w:jc w:val="center"/>
              <w:rPr>
                <w:sz w:val="24"/>
                <w:szCs w:val="24"/>
              </w:rPr>
            </w:pPr>
            <w:r w:rsidRPr="00792B36">
              <w:rPr>
                <w:color w:val="000000"/>
                <w:sz w:val="24"/>
                <w:szCs w:val="24"/>
              </w:rPr>
              <w:t xml:space="preserve">   62.2</w:t>
            </w:r>
          </w:p>
        </w:tc>
      </w:tr>
      <w:tr w:rsidR="009A0A63" w:rsidRPr="00792B36" w14:paraId="588B2EDB" w14:textId="77777777" w:rsidTr="00A24459">
        <w:trPr>
          <w:trHeight w:val="340"/>
        </w:trPr>
        <w:tc>
          <w:tcPr>
            <w:tcW w:w="3539" w:type="dxa"/>
            <w:vAlign w:val="center"/>
          </w:tcPr>
          <w:p w14:paraId="326A2CBC" w14:textId="77777777" w:rsidR="009A0A63" w:rsidRPr="00792B36" w:rsidRDefault="009A0A63" w:rsidP="00A24459">
            <w:pPr>
              <w:jc w:val="center"/>
              <w:rPr>
                <w:sz w:val="24"/>
                <w:szCs w:val="24"/>
              </w:rPr>
            </w:pPr>
            <w:r w:rsidRPr="00792B36">
              <w:rPr>
                <w:color w:val="000000"/>
                <w:sz w:val="24"/>
                <w:szCs w:val="24"/>
              </w:rPr>
              <w:t>2037</w:t>
            </w:r>
          </w:p>
        </w:tc>
        <w:tc>
          <w:tcPr>
            <w:tcW w:w="5478" w:type="dxa"/>
            <w:vAlign w:val="bottom"/>
          </w:tcPr>
          <w:p w14:paraId="2E42ED02" w14:textId="77777777" w:rsidR="009A0A63" w:rsidRPr="00792B36" w:rsidRDefault="009A0A63" w:rsidP="00A24459">
            <w:pPr>
              <w:jc w:val="center"/>
              <w:rPr>
                <w:sz w:val="24"/>
                <w:szCs w:val="24"/>
              </w:rPr>
            </w:pPr>
            <w:r w:rsidRPr="00792B36">
              <w:rPr>
                <w:color w:val="000000"/>
                <w:sz w:val="24"/>
                <w:szCs w:val="24"/>
              </w:rPr>
              <w:t xml:space="preserve">   62.8</w:t>
            </w:r>
          </w:p>
        </w:tc>
      </w:tr>
      <w:tr w:rsidR="009A0A63" w:rsidRPr="00792B36" w14:paraId="2B97E438" w14:textId="77777777" w:rsidTr="00A24459">
        <w:trPr>
          <w:trHeight w:val="340"/>
        </w:trPr>
        <w:tc>
          <w:tcPr>
            <w:tcW w:w="3539" w:type="dxa"/>
            <w:vAlign w:val="center"/>
          </w:tcPr>
          <w:p w14:paraId="6E916C2F" w14:textId="77777777" w:rsidR="009A0A63" w:rsidRPr="00792B36" w:rsidRDefault="009A0A63" w:rsidP="00A24459">
            <w:pPr>
              <w:jc w:val="center"/>
              <w:rPr>
                <w:sz w:val="24"/>
                <w:szCs w:val="24"/>
              </w:rPr>
            </w:pPr>
            <w:r w:rsidRPr="00792B36">
              <w:rPr>
                <w:color w:val="000000"/>
                <w:sz w:val="24"/>
                <w:szCs w:val="24"/>
              </w:rPr>
              <w:t>2038</w:t>
            </w:r>
          </w:p>
        </w:tc>
        <w:tc>
          <w:tcPr>
            <w:tcW w:w="5478" w:type="dxa"/>
            <w:vAlign w:val="bottom"/>
          </w:tcPr>
          <w:p w14:paraId="5BF0451A" w14:textId="77777777" w:rsidR="009A0A63" w:rsidRPr="00792B36" w:rsidRDefault="009A0A63" w:rsidP="00A24459">
            <w:pPr>
              <w:jc w:val="center"/>
              <w:rPr>
                <w:sz w:val="24"/>
                <w:szCs w:val="24"/>
              </w:rPr>
            </w:pPr>
            <w:r w:rsidRPr="00792B36">
              <w:rPr>
                <w:color w:val="000000"/>
                <w:sz w:val="24"/>
                <w:szCs w:val="24"/>
              </w:rPr>
              <w:t xml:space="preserve">   63.3</w:t>
            </w:r>
          </w:p>
        </w:tc>
      </w:tr>
      <w:tr w:rsidR="009A0A63" w:rsidRPr="00792B36" w14:paraId="5053AB09" w14:textId="77777777" w:rsidTr="00A24459">
        <w:trPr>
          <w:trHeight w:val="340"/>
        </w:trPr>
        <w:tc>
          <w:tcPr>
            <w:tcW w:w="3539" w:type="dxa"/>
            <w:vAlign w:val="center"/>
          </w:tcPr>
          <w:p w14:paraId="7D1AEFCA" w14:textId="77777777" w:rsidR="009A0A63" w:rsidRPr="00792B36" w:rsidRDefault="009A0A63" w:rsidP="00A24459">
            <w:pPr>
              <w:jc w:val="center"/>
              <w:rPr>
                <w:sz w:val="24"/>
                <w:szCs w:val="24"/>
              </w:rPr>
            </w:pPr>
            <w:r w:rsidRPr="00792B36">
              <w:rPr>
                <w:color w:val="000000"/>
                <w:sz w:val="24"/>
                <w:szCs w:val="24"/>
              </w:rPr>
              <w:t>2039</w:t>
            </w:r>
          </w:p>
        </w:tc>
        <w:tc>
          <w:tcPr>
            <w:tcW w:w="5478" w:type="dxa"/>
            <w:vAlign w:val="bottom"/>
          </w:tcPr>
          <w:p w14:paraId="0D6E021C" w14:textId="77777777" w:rsidR="009A0A63" w:rsidRPr="00792B36" w:rsidRDefault="009A0A63" w:rsidP="00A24459">
            <w:pPr>
              <w:jc w:val="center"/>
              <w:rPr>
                <w:sz w:val="24"/>
                <w:szCs w:val="24"/>
              </w:rPr>
            </w:pPr>
            <w:r w:rsidRPr="00792B36">
              <w:rPr>
                <w:color w:val="000000"/>
                <w:sz w:val="24"/>
                <w:szCs w:val="24"/>
              </w:rPr>
              <w:t xml:space="preserve">   63.9</w:t>
            </w:r>
          </w:p>
        </w:tc>
      </w:tr>
      <w:tr w:rsidR="009A0A63" w:rsidRPr="00792B36" w14:paraId="0FAAA8AB" w14:textId="77777777" w:rsidTr="00A24459">
        <w:trPr>
          <w:trHeight w:val="340"/>
        </w:trPr>
        <w:tc>
          <w:tcPr>
            <w:tcW w:w="3539" w:type="dxa"/>
            <w:vAlign w:val="center"/>
          </w:tcPr>
          <w:p w14:paraId="34D56152" w14:textId="77777777" w:rsidR="009A0A63" w:rsidRPr="00792B36" w:rsidRDefault="009A0A63" w:rsidP="00A24459">
            <w:pPr>
              <w:jc w:val="center"/>
              <w:rPr>
                <w:sz w:val="24"/>
                <w:szCs w:val="24"/>
              </w:rPr>
            </w:pPr>
            <w:r w:rsidRPr="00792B36">
              <w:rPr>
                <w:color w:val="000000"/>
                <w:sz w:val="24"/>
                <w:szCs w:val="24"/>
              </w:rPr>
              <w:t>2040</w:t>
            </w:r>
          </w:p>
        </w:tc>
        <w:tc>
          <w:tcPr>
            <w:tcW w:w="5478" w:type="dxa"/>
            <w:vAlign w:val="bottom"/>
          </w:tcPr>
          <w:p w14:paraId="79035396" w14:textId="77777777" w:rsidR="009A0A63" w:rsidRPr="00792B36" w:rsidRDefault="009A0A63" w:rsidP="00A24459">
            <w:pPr>
              <w:jc w:val="center"/>
              <w:rPr>
                <w:sz w:val="24"/>
                <w:szCs w:val="24"/>
              </w:rPr>
            </w:pPr>
            <w:r w:rsidRPr="00792B36">
              <w:rPr>
                <w:color w:val="000000"/>
                <w:sz w:val="24"/>
                <w:szCs w:val="24"/>
              </w:rPr>
              <w:t xml:space="preserve">   64.4</w:t>
            </w:r>
          </w:p>
        </w:tc>
      </w:tr>
      <w:tr w:rsidR="009A0A63" w:rsidRPr="00792B36" w14:paraId="434496EF" w14:textId="77777777" w:rsidTr="00A24459">
        <w:trPr>
          <w:trHeight w:val="340"/>
        </w:trPr>
        <w:tc>
          <w:tcPr>
            <w:tcW w:w="3539" w:type="dxa"/>
            <w:vAlign w:val="center"/>
          </w:tcPr>
          <w:p w14:paraId="21154F50" w14:textId="77777777" w:rsidR="009A0A63" w:rsidRPr="00792B36" w:rsidRDefault="009A0A63" w:rsidP="00A24459">
            <w:pPr>
              <w:jc w:val="center"/>
              <w:rPr>
                <w:sz w:val="24"/>
                <w:szCs w:val="24"/>
              </w:rPr>
            </w:pPr>
            <w:r w:rsidRPr="00792B36">
              <w:rPr>
                <w:color w:val="000000"/>
                <w:sz w:val="24"/>
                <w:szCs w:val="24"/>
              </w:rPr>
              <w:t>2041</w:t>
            </w:r>
          </w:p>
        </w:tc>
        <w:tc>
          <w:tcPr>
            <w:tcW w:w="5478" w:type="dxa"/>
            <w:vAlign w:val="bottom"/>
          </w:tcPr>
          <w:p w14:paraId="49906377" w14:textId="77777777" w:rsidR="009A0A63" w:rsidRPr="00792B36" w:rsidRDefault="009A0A63" w:rsidP="00A24459">
            <w:pPr>
              <w:jc w:val="center"/>
              <w:rPr>
                <w:sz w:val="24"/>
                <w:szCs w:val="24"/>
              </w:rPr>
            </w:pPr>
            <w:r w:rsidRPr="00792B36">
              <w:rPr>
                <w:color w:val="000000"/>
                <w:sz w:val="24"/>
                <w:szCs w:val="24"/>
              </w:rPr>
              <w:t xml:space="preserve">   65.0</w:t>
            </w:r>
          </w:p>
        </w:tc>
      </w:tr>
      <w:tr w:rsidR="009A0A63" w:rsidRPr="00792B36" w14:paraId="66E140FE" w14:textId="77777777" w:rsidTr="00A24459">
        <w:trPr>
          <w:trHeight w:val="340"/>
        </w:trPr>
        <w:tc>
          <w:tcPr>
            <w:tcW w:w="3539" w:type="dxa"/>
            <w:vAlign w:val="center"/>
          </w:tcPr>
          <w:p w14:paraId="395F2C56" w14:textId="77777777" w:rsidR="009A0A63" w:rsidRPr="00792B36" w:rsidRDefault="009A0A63" w:rsidP="00A24459">
            <w:pPr>
              <w:jc w:val="center"/>
              <w:rPr>
                <w:sz w:val="24"/>
                <w:szCs w:val="24"/>
              </w:rPr>
            </w:pPr>
            <w:r w:rsidRPr="00792B36">
              <w:rPr>
                <w:color w:val="000000"/>
                <w:sz w:val="24"/>
                <w:szCs w:val="24"/>
              </w:rPr>
              <w:t>2042</w:t>
            </w:r>
          </w:p>
        </w:tc>
        <w:tc>
          <w:tcPr>
            <w:tcW w:w="5478" w:type="dxa"/>
            <w:vAlign w:val="bottom"/>
          </w:tcPr>
          <w:p w14:paraId="1334AD19" w14:textId="77777777" w:rsidR="009A0A63" w:rsidRPr="00792B36" w:rsidRDefault="009A0A63" w:rsidP="00A24459">
            <w:pPr>
              <w:jc w:val="center"/>
              <w:rPr>
                <w:sz w:val="24"/>
                <w:szCs w:val="24"/>
              </w:rPr>
            </w:pPr>
            <w:r w:rsidRPr="00792B36">
              <w:rPr>
                <w:color w:val="000000"/>
                <w:sz w:val="24"/>
                <w:szCs w:val="24"/>
              </w:rPr>
              <w:t xml:space="preserve">   65.5</w:t>
            </w:r>
          </w:p>
        </w:tc>
      </w:tr>
      <w:tr w:rsidR="009A0A63" w:rsidRPr="00792B36" w14:paraId="057040CF" w14:textId="77777777" w:rsidTr="00A24459">
        <w:trPr>
          <w:trHeight w:val="340"/>
        </w:trPr>
        <w:tc>
          <w:tcPr>
            <w:tcW w:w="3539" w:type="dxa"/>
            <w:vAlign w:val="center"/>
          </w:tcPr>
          <w:p w14:paraId="6A8730DB" w14:textId="77777777" w:rsidR="009A0A63" w:rsidRPr="00792B36" w:rsidRDefault="009A0A63" w:rsidP="00A24459">
            <w:pPr>
              <w:jc w:val="center"/>
              <w:rPr>
                <w:sz w:val="24"/>
                <w:szCs w:val="24"/>
              </w:rPr>
            </w:pPr>
            <w:r w:rsidRPr="00792B36">
              <w:rPr>
                <w:color w:val="000000"/>
                <w:sz w:val="24"/>
                <w:szCs w:val="24"/>
              </w:rPr>
              <w:t>2043</w:t>
            </w:r>
          </w:p>
        </w:tc>
        <w:tc>
          <w:tcPr>
            <w:tcW w:w="5478" w:type="dxa"/>
            <w:vAlign w:val="bottom"/>
          </w:tcPr>
          <w:p w14:paraId="5F6A2091" w14:textId="77777777" w:rsidR="009A0A63" w:rsidRPr="00792B36" w:rsidRDefault="009A0A63" w:rsidP="00A24459">
            <w:pPr>
              <w:jc w:val="center"/>
              <w:rPr>
                <w:sz w:val="24"/>
                <w:szCs w:val="24"/>
              </w:rPr>
            </w:pPr>
            <w:r w:rsidRPr="00792B36">
              <w:rPr>
                <w:color w:val="000000"/>
                <w:sz w:val="24"/>
                <w:szCs w:val="24"/>
              </w:rPr>
              <w:t xml:space="preserve">   66.0</w:t>
            </w:r>
          </w:p>
        </w:tc>
      </w:tr>
      <w:tr w:rsidR="009A0A63" w:rsidRPr="00792B36" w14:paraId="3014C36F" w14:textId="77777777" w:rsidTr="00A24459">
        <w:trPr>
          <w:trHeight w:val="340"/>
        </w:trPr>
        <w:tc>
          <w:tcPr>
            <w:tcW w:w="3539" w:type="dxa"/>
            <w:vAlign w:val="center"/>
          </w:tcPr>
          <w:p w14:paraId="3E72E86A" w14:textId="77777777" w:rsidR="009A0A63" w:rsidRPr="00792B36" w:rsidRDefault="009A0A63" w:rsidP="00A24459">
            <w:pPr>
              <w:jc w:val="center"/>
              <w:rPr>
                <w:sz w:val="24"/>
                <w:szCs w:val="24"/>
              </w:rPr>
            </w:pPr>
            <w:r w:rsidRPr="00792B36">
              <w:rPr>
                <w:color w:val="000000"/>
                <w:sz w:val="24"/>
                <w:szCs w:val="24"/>
              </w:rPr>
              <w:t>2044</w:t>
            </w:r>
          </w:p>
        </w:tc>
        <w:tc>
          <w:tcPr>
            <w:tcW w:w="5478" w:type="dxa"/>
            <w:vAlign w:val="bottom"/>
          </w:tcPr>
          <w:p w14:paraId="594B1295" w14:textId="77777777" w:rsidR="009A0A63" w:rsidRPr="00792B36" w:rsidRDefault="009A0A63" w:rsidP="00A24459">
            <w:pPr>
              <w:jc w:val="center"/>
              <w:rPr>
                <w:sz w:val="24"/>
                <w:szCs w:val="24"/>
              </w:rPr>
            </w:pPr>
            <w:r w:rsidRPr="00792B36">
              <w:rPr>
                <w:color w:val="000000"/>
                <w:sz w:val="24"/>
                <w:szCs w:val="24"/>
              </w:rPr>
              <w:t xml:space="preserve">   66.5</w:t>
            </w:r>
          </w:p>
        </w:tc>
      </w:tr>
      <w:tr w:rsidR="009A0A63" w:rsidRPr="00792B36" w14:paraId="30528278" w14:textId="77777777" w:rsidTr="00A24459">
        <w:trPr>
          <w:trHeight w:val="340"/>
        </w:trPr>
        <w:tc>
          <w:tcPr>
            <w:tcW w:w="3539" w:type="dxa"/>
            <w:vAlign w:val="center"/>
          </w:tcPr>
          <w:p w14:paraId="279A42FB" w14:textId="77777777" w:rsidR="009A0A63" w:rsidRPr="00792B36" w:rsidRDefault="009A0A63" w:rsidP="00A24459">
            <w:pPr>
              <w:jc w:val="center"/>
              <w:rPr>
                <w:sz w:val="24"/>
                <w:szCs w:val="24"/>
              </w:rPr>
            </w:pPr>
            <w:r w:rsidRPr="00792B36">
              <w:rPr>
                <w:color w:val="000000"/>
                <w:sz w:val="24"/>
                <w:szCs w:val="24"/>
              </w:rPr>
              <w:t>2045</w:t>
            </w:r>
          </w:p>
        </w:tc>
        <w:tc>
          <w:tcPr>
            <w:tcW w:w="5478" w:type="dxa"/>
            <w:vAlign w:val="bottom"/>
          </w:tcPr>
          <w:p w14:paraId="64085FDD" w14:textId="77777777" w:rsidR="009A0A63" w:rsidRPr="00792B36" w:rsidRDefault="009A0A63" w:rsidP="00A24459">
            <w:pPr>
              <w:jc w:val="center"/>
              <w:rPr>
                <w:sz w:val="24"/>
                <w:szCs w:val="24"/>
              </w:rPr>
            </w:pPr>
            <w:r w:rsidRPr="00792B36">
              <w:rPr>
                <w:color w:val="000000"/>
                <w:sz w:val="24"/>
                <w:szCs w:val="24"/>
              </w:rPr>
              <w:t xml:space="preserve">   67.0</w:t>
            </w:r>
          </w:p>
        </w:tc>
      </w:tr>
      <w:tr w:rsidR="009A0A63" w:rsidRPr="00792B36" w14:paraId="76915718" w14:textId="77777777" w:rsidTr="00A24459">
        <w:trPr>
          <w:trHeight w:val="340"/>
        </w:trPr>
        <w:tc>
          <w:tcPr>
            <w:tcW w:w="3539" w:type="dxa"/>
            <w:vAlign w:val="center"/>
          </w:tcPr>
          <w:p w14:paraId="6863FF9F" w14:textId="77777777" w:rsidR="009A0A63" w:rsidRPr="00792B36" w:rsidRDefault="009A0A63" w:rsidP="00A24459">
            <w:pPr>
              <w:jc w:val="center"/>
              <w:rPr>
                <w:sz w:val="24"/>
                <w:szCs w:val="24"/>
              </w:rPr>
            </w:pPr>
            <w:r w:rsidRPr="00792B36">
              <w:rPr>
                <w:color w:val="000000"/>
                <w:sz w:val="24"/>
                <w:szCs w:val="24"/>
              </w:rPr>
              <w:t>2046</w:t>
            </w:r>
          </w:p>
        </w:tc>
        <w:tc>
          <w:tcPr>
            <w:tcW w:w="5478" w:type="dxa"/>
            <w:vAlign w:val="bottom"/>
          </w:tcPr>
          <w:p w14:paraId="5F526248" w14:textId="77777777" w:rsidR="009A0A63" w:rsidRPr="00792B36" w:rsidRDefault="009A0A63" w:rsidP="00A24459">
            <w:pPr>
              <w:jc w:val="center"/>
              <w:rPr>
                <w:sz w:val="24"/>
                <w:szCs w:val="24"/>
              </w:rPr>
            </w:pPr>
            <w:r w:rsidRPr="00792B36">
              <w:rPr>
                <w:color w:val="000000"/>
                <w:sz w:val="24"/>
                <w:szCs w:val="24"/>
              </w:rPr>
              <w:t xml:space="preserve">   67.5</w:t>
            </w:r>
          </w:p>
        </w:tc>
      </w:tr>
      <w:tr w:rsidR="009A0A63" w:rsidRPr="00792B36" w14:paraId="7D7F7D60" w14:textId="77777777" w:rsidTr="00A24459">
        <w:trPr>
          <w:trHeight w:val="340"/>
        </w:trPr>
        <w:tc>
          <w:tcPr>
            <w:tcW w:w="3539" w:type="dxa"/>
            <w:vAlign w:val="center"/>
          </w:tcPr>
          <w:p w14:paraId="40C725FC" w14:textId="77777777" w:rsidR="009A0A63" w:rsidRPr="00792B36" w:rsidRDefault="009A0A63" w:rsidP="00A24459">
            <w:pPr>
              <w:jc w:val="center"/>
              <w:rPr>
                <w:sz w:val="24"/>
                <w:szCs w:val="24"/>
              </w:rPr>
            </w:pPr>
            <w:r w:rsidRPr="00792B36">
              <w:rPr>
                <w:color w:val="000000"/>
                <w:sz w:val="24"/>
                <w:szCs w:val="24"/>
              </w:rPr>
              <w:t>2047</w:t>
            </w:r>
          </w:p>
        </w:tc>
        <w:tc>
          <w:tcPr>
            <w:tcW w:w="5478" w:type="dxa"/>
            <w:vAlign w:val="bottom"/>
          </w:tcPr>
          <w:p w14:paraId="33090E89" w14:textId="77777777" w:rsidR="009A0A63" w:rsidRPr="00792B36" w:rsidRDefault="009A0A63" w:rsidP="00A24459">
            <w:pPr>
              <w:jc w:val="center"/>
              <w:rPr>
                <w:sz w:val="24"/>
                <w:szCs w:val="24"/>
              </w:rPr>
            </w:pPr>
            <w:r w:rsidRPr="00792B36">
              <w:rPr>
                <w:color w:val="000000"/>
                <w:sz w:val="24"/>
                <w:szCs w:val="24"/>
              </w:rPr>
              <w:t xml:space="preserve">   68.0</w:t>
            </w:r>
          </w:p>
        </w:tc>
      </w:tr>
      <w:tr w:rsidR="009A0A63" w:rsidRPr="00792B36" w14:paraId="42A77122" w14:textId="77777777" w:rsidTr="00A24459">
        <w:trPr>
          <w:trHeight w:val="340"/>
        </w:trPr>
        <w:tc>
          <w:tcPr>
            <w:tcW w:w="3539" w:type="dxa"/>
            <w:vAlign w:val="center"/>
          </w:tcPr>
          <w:p w14:paraId="1EF9C363" w14:textId="77777777" w:rsidR="009A0A63" w:rsidRPr="00792B36" w:rsidRDefault="009A0A63" w:rsidP="00A24459">
            <w:pPr>
              <w:jc w:val="center"/>
              <w:rPr>
                <w:sz w:val="24"/>
                <w:szCs w:val="24"/>
              </w:rPr>
            </w:pPr>
            <w:r w:rsidRPr="00792B36">
              <w:rPr>
                <w:color w:val="000000"/>
                <w:sz w:val="24"/>
                <w:szCs w:val="24"/>
              </w:rPr>
              <w:t>2048</w:t>
            </w:r>
          </w:p>
        </w:tc>
        <w:tc>
          <w:tcPr>
            <w:tcW w:w="5478" w:type="dxa"/>
            <w:vAlign w:val="bottom"/>
          </w:tcPr>
          <w:p w14:paraId="6EC97C03" w14:textId="77777777" w:rsidR="009A0A63" w:rsidRPr="00792B36" w:rsidRDefault="009A0A63" w:rsidP="00A24459">
            <w:pPr>
              <w:jc w:val="center"/>
              <w:rPr>
                <w:sz w:val="24"/>
                <w:szCs w:val="24"/>
              </w:rPr>
            </w:pPr>
            <w:r w:rsidRPr="00792B36">
              <w:rPr>
                <w:color w:val="000000"/>
                <w:sz w:val="24"/>
                <w:szCs w:val="24"/>
              </w:rPr>
              <w:t xml:space="preserve">   68.5</w:t>
            </w:r>
          </w:p>
        </w:tc>
      </w:tr>
      <w:tr w:rsidR="009A0A63" w:rsidRPr="00792B36" w14:paraId="7E5F19BD" w14:textId="77777777" w:rsidTr="00A24459">
        <w:trPr>
          <w:trHeight w:val="340"/>
        </w:trPr>
        <w:tc>
          <w:tcPr>
            <w:tcW w:w="3539" w:type="dxa"/>
            <w:vAlign w:val="center"/>
          </w:tcPr>
          <w:p w14:paraId="2CABEA5D" w14:textId="77777777" w:rsidR="009A0A63" w:rsidRPr="00792B36" w:rsidRDefault="009A0A63" w:rsidP="00A24459">
            <w:pPr>
              <w:jc w:val="center"/>
              <w:rPr>
                <w:sz w:val="24"/>
                <w:szCs w:val="24"/>
              </w:rPr>
            </w:pPr>
            <w:r w:rsidRPr="00792B36">
              <w:rPr>
                <w:color w:val="000000"/>
                <w:sz w:val="24"/>
                <w:szCs w:val="24"/>
              </w:rPr>
              <w:t>2049</w:t>
            </w:r>
          </w:p>
        </w:tc>
        <w:tc>
          <w:tcPr>
            <w:tcW w:w="5478" w:type="dxa"/>
            <w:vAlign w:val="bottom"/>
          </w:tcPr>
          <w:p w14:paraId="5A4AB06D" w14:textId="77777777" w:rsidR="009A0A63" w:rsidRPr="00792B36" w:rsidRDefault="009A0A63" w:rsidP="00A24459">
            <w:pPr>
              <w:jc w:val="center"/>
              <w:rPr>
                <w:sz w:val="24"/>
                <w:szCs w:val="24"/>
              </w:rPr>
            </w:pPr>
            <w:r w:rsidRPr="00792B36">
              <w:rPr>
                <w:color w:val="000000"/>
                <w:sz w:val="24"/>
                <w:szCs w:val="24"/>
              </w:rPr>
              <w:t xml:space="preserve">   69.0</w:t>
            </w:r>
          </w:p>
        </w:tc>
      </w:tr>
      <w:tr w:rsidR="009A0A63" w:rsidRPr="00792B36" w14:paraId="4D408960" w14:textId="77777777" w:rsidTr="00A24459">
        <w:trPr>
          <w:trHeight w:val="340"/>
        </w:trPr>
        <w:tc>
          <w:tcPr>
            <w:tcW w:w="3539" w:type="dxa"/>
            <w:vAlign w:val="center"/>
          </w:tcPr>
          <w:p w14:paraId="216B6731" w14:textId="77777777" w:rsidR="009A0A63" w:rsidRPr="00792B36" w:rsidRDefault="009A0A63" w:rsidP="00A24459">
            <w:pPr>
              <w:jc w:val="center"/>
              <w:rPr>
                <w:sz w:val="24"/>
                <w:szCs w:val="24"/>
              </w:rPr>
            </w:pPr>
            <w:r w:rsidRPr="00792B36">
              <w:rPr>
                <w:color w:val="000000"/>
                <w:sz w:val="24"/>
                <w:szCs w:val="24"/>
              </w:rPr>
              <w:t>2050</w:t>
            </w:r>
          </w:p>
        </w:tc>
        <w:tc>
          <w:tcPr>
            <w:tcW w:w="5478" w:type="dxa"/>
            <w:vAlign w:val="bottom"/>
          </w:tcPr>
          <w:p w14:paraId="30627C1F" w14:textId="77777777" w:rsidR="009A0A63" w:rsidRPr="00792B36" w:rsidRDefault="009A0A63" w:rsidP="00A24459">
            <w:pPr>
              <w:jc w:val="center"/>
              <w:rPr>
                <w:sz w:val="24"/>
                <w:szCs w:val="24"/>
              </w:rPr>
            </w:pPr>
            <w:r w:rsidRPr="00792B36">
              <w:rPr>
                <w:color w:val="000000"/>
                <w:sz w:val="24"/>
                <w:szCs w:val="24"/>
              </w:rPr>
              <w:t xml:space="preserve">   69.5</w:t>
            </w:r>
          </w:p>
        </w:tc>
      </w:tr>
    </w:tbl>
    <w:p w14:paraId="3FE31918" w14:textId="77777777" w:rsidR="009A0A63" w:rsidRPr="00792B36" w:rsidRDefault="009A0A63" w:rsidP="009A0A63">
      <w:pPr>
        <w:pBdr>
          <w:top w:val="nil"/>
          <w:left w:val="nil"/>
          <w:bottom w:val="nil"/>
          <w:right w:val="nil"/>
          <w:between w:val="nil"/>
        </w:pBdr>
        <w:spacing w:line="360" w:lineRule="auto"/>
        <w:contextualSpacing/>
        <w:rPr>
          <w:color w:val="000000" w:themeColor="text1"/>
          <w:sz w:val="24"/>
          <w:szCs w:val="24"/>
        </w:rPr>
      </w:pPr>
      <w:r w:rsidRPr="00792B36">
        <w:rPr>
          <w:color w:val="000000" w:themeColor="text1"/>
          <w:sz w:val="24"/>
          <w:szCs w:val="24"/>
        </w:rPr>
        <w:t>Source: United Nations, Department of Economic and Social Affairs, Population Division (2018). World Urbanization Prospects: The 2018 Revision, Online Edition.</w:t>
      </w:r>
    </w:p>
    <w:p w14:paraId="064672CE" w14:textId="77777777" w:rsidR="009A0A63" w:rsidRPr="00792B36" w:rsidRDefault="009A0A63" w:rsidP="009A0A63">
      <w:pPr>
        <w:spacing w:line="360" w:lineRule="auto"/>
        <w:rPr>
          <w:sz w:val="24"/>
          <w:szCs w:val="24"/>
        </w:rPr>
      </w:pPr>
    </w:p>
    <w:p w14:paraId="57AF0E71" w14:textId="77777777" w:rsidR="009A0A63" w:rsidRPr="00792B36" w:rsidRDefault="009A0A63" w:rsidP="009A0A63">
      <w:pPr>
        <w:spacing w:line="360" w:lineRule="auto"/>
        <w:rPr>
          <w:sz w:val="24"/>
          <w:szCs w:val="24"/>
        </w:rPr>
      </w:pPr>
    </w:p>
    <w:p w14:paraId="71C9FB6F" w14:textId="77777777" w:rsidR="009A0A63" w:rsidRPr="00792B36" w:rsidRDefault="009A0A63" w:rsidP="009A0A63">
      <w:pPr>
        <w:spacing w:line="360" w:lineRule="auto"/>
        <w:rPr>
          <w:sz w:val="24"/>
          <w:szCs w:val="24"/>
        </w:rPr>
      </w:pPr>
    </w:p>
    <w:p w14:paraId="6CBFD139" w14:textId="77777777" w:rsidR="009A0A63" w:rsidRPr="00792B36" w:rsidRDefault="009A0A63" w:rsidP="009A0A63">
      <w:pPr>
        <w:spacing w:line="360" w:lineRule="auto"/>
        <w:rPr>
          <w:sz w:val="24"/>
          <w:szCs w:val="24"/>
        </w:rPr>
      </w:pPr>
    </w:p>
    <w:p w14:paraId="15CA7A4F" w14:textId="77777777" w:rsidR="009A0A63" w:rsidRPr="00792B36" w:rsidRDefault="009A0A63" w:rsidP="009A0A63">
      <w:pPr>
        <w:spacing w:line="360" w:lineRule="auto"/>
        <w:contextualSpacing/>
        <w:rPr>
          <w:b/>
          <w:bCs/>
          <w:sz w:val="24"/>
          <w:szCs w:val="24"/>
        </w:rPr>
      </w:pPr>
    </w:p>
    <w:p w14:paraId="13C2F342" w14:textId="77777777" w:rsidR="009A0A63" w:rsidRPr="00792B36" w:rsidRDefault="009A0A63" w:rsidP="009A0A63">
      <w:pPr>
        <w:spacing w:line="360" w:lineRule="auto"/>
        <w:contextualSpacing/>
        <w:rPr>
          <w:color w:val="000000" w:themeColor="text1"/>
          <w:sz w:val="24"/>
          <w:szCs w:val="24"/>
        </w:rPr>
      </w:pPr>
      <w:r w:rsidRPr="00792B36">
        <w:rPr>
          <w:b/>
          <w:bCs/>
          <w:sz w:val="24"/>
          <w:szCs w:val="24"/>
        </w:rPr>
        <w:lastRenderedPageBreak/>
        <w:t xml:space="preserve">Annex 2.8 </w:t>
      </w:r>
      <w:r w:rsidRPr="00792B36">
        <w:rPr>
          <w:color w:val="000000" w:themeColor="text1"/>
          <w:sz w:val="24"/>
          <w:szCs w:val="24"/>
        </w:rPr>
        <w:t xml:space="preserve">Loss of natural and semi-natural vegetated land in Thailand </w:t>
      </w:r>
    </w:p>
    <w:p w14:paraId="38FAD430" w14:textId="77777777" w:rsidR="009A0A63" w:rsidRPr="00792B36" w:rsidRDefault="009A0A63" w:rsidP="009A0A63">
      <w:pPr>
        <w:spacing w:line="360" w:lineRule="auto"/>
        <w:rPr>
          <w:color w:val="000000" w:themeColor="text1"/>
          <w:sz w:val="24"/>
          <w:szCs w:val="24"/>
        </w:rPr>
      </w:pPr>
      <w:r w:rsidRPr="00792B36">
        <w:rPr>
          <w:color w:val="000000" w:themeColor="text1"/>
          <w:sz w:val="24"/>
          <w:szCs w:val="24"/>
        </w:rPr>
        <w:t>(2005, 2010, 2015, 2020, 2022)</w:t>
      </w:r>
    </w:p>
    <w:tbl>
      <w:tblPr>
        <w:tblStyle w:val="TableGrid"/>
        <w:tblW w:w="0" w:type="auto"/>
        <w:tblLook w:val="04A0" w:firstRow="1" w:lastRow="0" w:firstColumn="1" w:lastColumn="0" w:noHBand="0" w:noVBand="1"/>
      </w:tblPr>
      <w:tblGrid>
        <w:gridCol w:w="4508"/>
        <w:gridCol w:w="4509"/>
      </w:tblGrid>
      <w:tr w:rsidR="009A0A63" w:rsidRPr="00792B36" w14:paraId="76A34815" w14:textId="77777777" w:rsidTr="00A24459">
        <w:trPr>
          <w:trHeight w:val="340"/>
        </w:trPr>
        <w:tc>
          <w:tcPr>
            <w:tcW w:w="4508" w:type="dxa"/>
          </w:tcPr>
          <w:p w14:paraId="09AB0B89" w14:textId="77777777" w:rsidR="009A0A63" w:rsidRPr="00792B36" w:rsidRDefault="009A0A63" w:rsidP="00A24459">
            <w:pPr>
              <w:jc w:val="center"/>
              <w:rPr>
                <w:b/>
                <w:bCs/>
                <w:sz w:val="24"/>
                <w:szCs w:val="24"/>
              </w:rPr>
            </w:pPr>
            <w:r w:rsidRPr="00792B36">
              <w:rPr>
                <w:b/>
                <w:bCs/>
                <w:sz w:val="24"/>
                <w:szCs w:val="24"/>
              </w:rPr>
              <w:t>Year</w:t>
            </w:r>
          </w:p>
        </w:tc>
        <w:tc>
          <w:tcPr>
            <w:tcW w:w="4509" w:type="dxa"/>
            <w:vAlign w:val="bottom"/>
          </w:tcPr>
          <w:p w14:paraId="01E62EEF" w14:textId="77777777" w:rsidR="009A0A63" w:rsidRPr="00792B36" w:rsidRDefault="009A0A63" w:rsidP="00A24459">
            <w:pPr>
              <w:jc w:val="center"/>
              <w:rPr>
                <w:b/>
                <w:bCs/>
                <w:sz w:val="24"/>
                <w:szCs w:val="24"/>
              </w:rPr>
            </w:pPr>
            <w:r w:rsidRPr="00792B36">
              <w:rPr>
                <w:b/>
                <w:bCs/>
                <w:sz w:val="24"/>
                <w:szCs w:val="24"/>
              </w:rPr>
              <w:t>%</w:t>
            </w:r>
          </w:p>
        </w:tc>
      </w:tr>
      <w:tr w:rsidR="009A0A63" w:rsidRPr="00792B36" w14:paraId="38A9C4EA" w14:textId="77777777" w:rsidTr="00A24459">
        <w:trPr>
          <w:trHeight w:val="340"/>
        </w:trPr>
        <w:tc>
          <w:tcPr>
            <w:tcW w:w="4508" w:type="dxa"/>
          </w:tcPr>
          <w:p w14:paraId="711155D9" w14:textId="77777777" w:rsidR="009A0A63" w:rsidRPr="00792B36" w:rsidRDefault="009A0A63" w:rsidP="00A24459">
            <w:pPr>
              <w:jc w:val="center"/>
              <w:rPr>
                <w:sz w:val="24"/>
                <w:szCs w:val="24"/>
              </w:rPr>
            </w:pPr>
            <w:r w:rsidRPr="00792B36">
              <w:rPr>
                <w:color w:val="000000"/>
                <w:sz w:val="24"/>
                <w:szCs w:val="24"/>
              </w:rPr>
              <w:t>2005</w:t>
            </w:r>
          </w:p>
        </w:tc>
        <w:tc>
          <w:tcPr>
            <w:tcW w:w="4509" w:type="dxa"/>
            <w:vAlign w:val="bottom"/>
          </w:tcPr>
          <w:p w14:paraId="41175F24" w14:textId="77777777" w:rsidR="009A0A63" w:rsidRPr="00792B36" w:rsidRDefault="009A0A63" w:rsidP="00A24459">
            <w:pPr>
              <w:jc w:val="center"/>
              <w:rPr>
                <w:sz w:val="24"/>
                <w:szCs w:val="24"/>
              </w:rPr>
            </w:pPr>
            <w:r w:rsidRPr="00792B36">
              <w:rPr>
                <w:sz w:val="24"/>
                <w:szCs w:val="24"/>
              </w:rPr>
              <w:t>1.26</w:t>
            </w:r>
          </w:p>
        </w:tc>
      </w:tr>
      <w:tr w:rsidR="009A0A63" w:rsidRPr="00792B36" w14:paraId="6D9B254C" w14:textId="77777777" w:rsidTr="00A24459">
        <w:trPr>
          <w:trHeight w:val="340"/>
        </w:trPr>
        <w:tc>
          <w:tcPr>
            <w:tcW w:w="4508" w:type="dxa"/>
          </w:tcPr>
          <w:p w14:paraId="63F420DE" w14:textId="77777777" w:rsidR="009A0A63" w:rsidRPr="00792B36" w:rsidRDefault="009A0A63" w:rsidP="00A24459">
            <w:pPr>
              <w:jc w:val="center"/>
              <w:rPr>
                <w:sz w:val="24"/>
                <w:szCs w:val="24"/>
              </w:rPr>
            </w:pPr>
            <w:r w:rsidRPr="00792B36">
              <w:rPr>
                <w:color w:val="000000"/>
                <w:sz w:val="24"/>
                <w:szCs w:val="24"/>
              </w:rPr>
              <w:t>2010</w:t>
            </w:r>
          </w:p>
        </w:tc>
        <w:tc>
          <w:tcPr>
            <w:tcW w:w="4509" w:type="dxa"/>
            <w:vAlign w:val="bottom"/>
          </w:tcPr>
          <w:p w14:paraId="279DD904" w14:textId="77777777" w:rsidR="009A0A63" w:rsidRPr="00792B36" w:rsidRDefault="009A0A63" w:rsidP="00A24459">
            <w:pPr>
              <w:jc w:val="center"/>
              <w:rPr>
                <w:sz w:val="24"/>
                <w:szCs w:val="24"/>
              </w:rPr>
            </w:pPr>
            <w:r w:rsidRPr="00792B36">
              <w:rPr>
                <w:sz w:val="24"/>
                <w:szCs w:val="24"/>
              </w:rPr>
              <w:t>1.62</w:t>
            </w:r>
          </w:p>
        </w:tc>
      </w:tr>
      <w:tr w:rsidR="009A0A63" w:rsidRPr="00792B36" w14:paraId="604DCE51" w14:textId="77777777" w:rsidTr="00A24459">
        <w:trPr>
          <w:trHeight w:val="340"/>
        </w:trPr>
        <w:tc>
          <w:tcPr>
            <w:tcW w:w="4508" w:type="dxa"/>
          </w:tcPr>
          <w:p w14:paraId="73F2D34F" w14:textId="77777777" w:rsidR="009A0A63" w:rsidRPr="00792B36" w:rsidRDefault="009A0A63" w:rsidP="00A24459">
            <w:pPr>
              <w:jc w:val="center"/>
              <w:rPr>
                <w:sz w:val="24"/>
                <w:szCs w:val="24"/>
              </w:rPr>
            </w:pPr>
            <w:r w:rsidRPr="00792B36">
              <w:rPr>
                <w:color w:val="000000"/>
                <w:sz w:val="24"/>
                <w:szCs w:val="24"/>
              </w:rPr>
              <w:t>2015</w:t>
            </w:r>
          </w:p>
        </w:tc>
        <w:tc>
          <w:tcPr>
            <w:tcW w:w="4509" w:type="dxa"/>
            <w:vAlign w:val="bottom"/>
          </w:tcPr>
          <w:p w14:paraId="45A183E5" w14:textId="77777777" w:rsidR="009A0A63" w:rsidRPr="00792B36" w:rsidRDefault="009A0A63" w:rsidP="00A24459">
            <w:pPr>
              <w:jc w:val="center"/>
              <w:rPr>
                <w:sz w:val="24"/>
                <w:szCs w:val="24"/>
              </w:rPr>
            </w:pPr>
            <w:r w:rsidRPr="00792B36">
              <w:rPr>
                <w:sz w:val="24"/>
                <w:szCs w:val="24"/>
              </w:rPr>
              <w:t>1.79</w:t>
            </w:r>
          </w:p>
        </w:tc>
      </w:tr>
      <w:tr w:rsidR="009A0A63" w:rsidRPr="00792B36" w14:paraId="60C3A702" w14:textId="77777777" w:rsidTr="00A24459">
        <w:trPr>
          <w:trHeight w:val="340"/>
        </w:trPr>
        <w:tc>
          <w:tcPr>
            <w:tcW w:w="4508" w:type="dxa"/>
          </w:tcPr>
          <w:p w14:paraId="23F0E95F" w14:textId="77777777" w:rsidR="009A0A63" w:rsidRPr="00792B36" w:rsidRDefault="009A0A63" w:rsidP="00A24459">
            <w:pPr>
              <w:jc w:val="center"/>
              <w:rPr>
                <w:sz w:val="24"/>
                <w:szCs w:val="24"/>
              </w:rPr>
            </w:pPr>
            <w:r w:rsidRPr="00792B36">
              <w:rPr>
                <w:color w:val="000000"/>
                <w:sz w:val="24"/>
                <w:szCs w:val="24"/>
              </w:rPr>
              <w:t>2020</w:t>
            </w:r>
          </w:p>
        </w:tc>
        <w:tc>
          <w:tcPr>
            <w:tcW w:w="4509" w:type="dxa"/>
            <w:vAlign w:val="bottom"/>
          </w:tcPr>
          <w:p w14:paraId="6C35A339" w14:textId="77777777" w:rsidR="009A0A63" w:rsidRPr="00792B36" w:rsidRDefault="009A0A63" w:rsidP="00A24459">
            <w:pPr>
              <w:jc w:val="center"/>
              <w:rPr>
                <w:sz w:val="24"/>
                <w:szCs w:val="24"/>
              </w:rPr>
            </w:pPr>
            <w:r w:rsidRPr="00792B36">
              <w:rPr>
                <w:sz w:val="24"/>
                <w:szCs w:val="24"/>
              </w:rPr>
              <w:t>2.05</w:t>
            </w:r>
          </w:p>
        </w:tc>
      </w:tr>
      <w:tr w:rsidR="009A0A63" w:rsidRPr="00792B36" w14:paraId="4884945C" w14:textId="77777777" w:rsidTr="00A24459">
        <w:trPr>
          <w:trHeight w:val="340"/>
        </w:trPr>
        <w:tc>
          <w:tcPr>
            <w:tcW w:w="4508" w:type="dxa"/>
          </w:tcPr>
          <w:p w14:paraId="4CEAE7BE" w14:textId="77777777" w:rsidR="009A0A63" w:rsidRPr="00792B36" w:rsidRDefault="009A0A63" w:rsidP="00A24459">
            <w:pPr>
              <w:jc w:val="center"/>
              <w:rPr>
                <w:sz w:val="24"/>
                <w:szCs w:val="24"/>
              </w:rPr>
            </w:pPr>
            <w:r w:rsidRPr="00792B36">
              <w:rPr>
                <w:color w:val="000000"/>
                <w:sz w:val="24"/>
                <w:szCs w:val="24"/>
              </w:rPr>
              <w:t>2022</w:t>
            </w:r>
          </w:p>
        </w:tc>
        <w:tc>
          <w:tcPr>
            <w:tcW w:w="4509" w:type="dxa"/>
            <w:vAlign w:val="bottom"/>
          </w:tcPr>
          <w:p w14:paraId="6AC95311" w14:textId="77777777" w:rsidR="009A0A63" w:rsidRPr="00792B36" w:rsidRDefault="009A0A63" w:rsidP="00A24459">
            <w:pPr>
              <w:jc w:val="center"/>
              <w:rPr>
                <w:sz w:val="24"/>
                <w:szCs w:val="24"/>
              </w:rPr>
            </w:pPr>
            <w:r w:rsidRPr="00792B36">
              <w:rPr>
                <w:sz w:val="24"/>
                <w:szCs w:val="24"/>
              </w:rPr>
              <w:t>2.13</w:t>
            </w:r>
          </w:p>
        </w:tc>
      </w:tr>
    </w:tbl>
    <w:p w14:paraId="213C5787" w14:textId="77777777" w:rsidR="009A0A63" w:rsidRPr="00792B36" w:rsidRDefault="009A0A63" w:rsidP="009A0A63">
      <w:pPr>
        <w:pBdr>
          <w:top w:val="nil"/>
          <w:left w:val="nil"/>
          <w:bottom w:val="nil"/>
          <w:right w:val="nil"/>
          <w:between w:val="nil"/>
        </w:pBdr>
        <w:spacing w:line="360" w:lineRule="auto"/>
        <w:contextualSpacing/>
        <w:jc w:val="both"/>
        <w:rPr>
          <w:color w:val="000000" w:themeColor="text1"/>
          <w:sz w:val="24"/>
          <w:szCs w:val="24"/>
        </w:rPr>
      </w:pPr>
      <w:r w:rsidRPr="00792B36">
        <w:rPr>
          <w:color w:val="000000" w:themeColor="text1"/>
          <w:sz w:val="24"/>
          <w:szCs w:val="24"/>
        </w:rPr>
        <w:t xml:space="preserve">Source: OECD Data Explorer. 2025. Land cover and land change. </w:t>
      </w:r>
      <w:r w:rsidRPr="00792B36">
        <w:rPr>
          <w:sz w:val="24"/>
          <w:szCs w:val="24"/>
        </w:rPr>
        <w:fldChar w:fldCharType="begin"/>
      </w:r>
      <w:r w:rsidRPr="00792B36">
        <w:rPr>
          <w:sz w:val="24"/>
          <w:szCs w:val="24"/>
        </w:rPr>
        <w:instrText>HYPERLINK "https://data-explorer.oecd.org/"</w:instrText>
      </w:r>
      <w:r w:rsidRPr="00792B36">
        <w:rPr>
          <w:sz w:val="24"/>
          <w:szCs w:val="24"/>
        </w:rPr>
      </w:r>
      <w:r w:rsidRPr="00792B36">
        <w:rPr>
          <w:sz w:val="24"/>
          <w:szCs w:val="24"/>
        </w:rPr>
        <w:fldChar w:fldCharType="separate"/>
      </w:r>
      <w:r w:rsidRPr="00792B36">
        <w:rPr>
          <w:rStyle w:val="Hyperlink"/>
          <w:color w:val="000000" w:themeColor="text1"/>
          <w:sz w:val="24"/>
          <w:szCs w:val="24"/>
        </w:rPr>
        <w:t>https://data-explorer.oecd.org/</w:t>
      </w:r>
      <w:r w:rsidRPr="00792B36">
        <w:rPr>
          <w:sz w:val="24"/>
          <w:szCs w:val="24"/>
        </w:rPr>
        <w:fldChar w:fldCharType="end"/>
      </w:r>
      <w:r w:rsidRPr="00792B36">
        <w:rPr>
          <w:color w:val="000000" w:themeColor="text1"/>
          <w:sz w:val="24"/>
          <w:szCs w:val="24"/>
        </w:rPr>
        <w:t xml:space="preserve"> (accessed 25 May 2025)</w:t>
      </w:r>
    </w:p>
    <w:p w14:paraId="22F6A22C" w14:textId="77777777" w:rsidR="009A0A63" w:rsidRPr="00792B36" w:rsidRDefault="009A0A63" w:rsidP="009A0A63">
      <w:pPr>
        <w:spacing w:line="360" w:lineRule="auto"/>
        <w:rPr>
          <w:sz w:val="24"/>
          <w:szCs w:val="24"/>
        </w:rPr>
      </w:pPr>
    </w:p>
    <w:p w14:paraId="6AB83A70" w14:textId="77777777" w:rsidR="009A0A63" w:rsidRPr="00792B36" w:rsidRDefault="009A0A63" w:rsidP="009A0A63">
      <w:pPr>
        <w:spacing w:line="360" w:lineRule="auto"/>
        <w:rPr>
          <w:sz w:val="24"/>
          <w:szCs w:val="24"/>
        </w:rPr>
      </w:pPr>
    </w:p>
    <w:p w14:paraId="38A6CD54" w14:textId="77777777" w:rsidR="009A0A63" w:rsidRPr="00792B36" w:rsidRDefault="009A0A63" w:rsidP="009A0A63">
      <w:pPr>
        <w:spacing w:line="360" w:lineRule="auto"/>
        <w:rPr>
          <w:sz w:val="24"/>
          <w:szCs w:val="24"/>
        </w:rPr>
      </w:pPr>
    </w:p>
    <w:p w14:paraId="721FE5E8" w14:textId="77777777" w:rsidR="009A0A63" w:rsidRPr="00792B36" w:rsidRDefault="009A0A63" w:rsidP="009A0A63">
      <w:pPr>
        <w:spacing w:line="360" w:lineRule="auto"/>
        <w:rPr>
          <w:sz w:val="24"/>
          <w:szCs w:val="24"/>
        </w:rPr>
      </w:pPr>
    </w:p>
    <w:p w14:paraId="4CC3DFAE" w14:textId="77777777" w:rsidR="009A0A63" w:rsidRPr="00792B36" w:rsidRDefault="009A0A63" w:rsidP="009A0A63">
      <w:pPr>
        <w:spacing w:line="360" w:lineRule="auto"/>
        <w:rPr>
          <w:sz w:val="24"/>
          <w:szCs w:val="24"/>
        </w:rPr>
      </w:pPr>
    </w:p>
    <w:p w14:paraId="1168ED5B" w14:textId="77777777" w:rsidR="009A0A63" w:rsidRPr="00792B36" w:rsidRDefault="009A0A63" w:rsidP="009A0A63">
      <w:pPr>
        <w:spacing w:line="360" w:lineRule="auto"/>
        <w:rPr>
          <w:sz w:val="24"/>
          <w:szCs w:val="24"/>
        </w:rPr>
      </w:pPr>
    </w:p>
    <w:p w14:paraId="0166790E" w14:textId="77777777" w:rsidR="009A0A63" w:rsidRPr="00792B36" w:rsidRDefault="009A0A63" w:rsidP="009A0A63">
      <w:pPr>
        <w:spacing w:line="360" w:lineRule="auto"/>
        <w:rPr>
          <w:sz w:val="24"/>
          <w:szCs w:val="24"/>
        </w:rPr>
      </w:pPr>
    </w:p>
    <w:p w14:paraId="533EBC04" w14:textId="77777777" w:rsidR="009A0A63" w:rsidRPr="00792B36" w:rsidRDefault="009A0A63" w:rsidP="009A0A63">
      <w:pPr>
        <w:spacing w:line="360" w:lineRule="auto"/>
        <w:rPr>
          <w:sz w:val="24"/>
          <w:szCs w:val="24"/>
        </w:rPr>
      </w:pPr>
    </w:p>
    <w:p w14:paraId="28BFCC8F" w14:textId="77777777" w:rsidR="009A0A63" w:rsidRPr="00792B36" w:rsidRDefault="009A0A63" w:rsidP="009A0A63">
      <w:pPr>
        <w:spacing w:line="360" w:lineRule="auto"/>
        <w:rPr>
          <w:sz w:val="24"/>
          <w:szCs w:val="24"/>
        </w:rPr>
      </w:pPr>
    </w:p>
    <w:p w14:paraId="6117467D" w14:textId="77777777" w:rsidR="009A0A63" w:rsidRPr="00792B36" w:rsidRDefault="009A0A63" w:rsidP="009A0A63">
      <w:pPr>
        <w:spacing w:line="360" w:lineRule="auto"/>
        <w:rPr>
          <w:sz w:val="24"/>
          <w:szCs w:val="24"/>
        </w:rPr>
      </w:pPr>
    </w:p>
    <w:p w14:paraId="54F8209F" w14:textId="77777777" w:rsidR="009A0A63" w:rsidRPr="00792B36" w:rsidRDefault="009A0A63" w:rsidP="009A0A63">
      <w:pPr>
        <w:spacing w:line="360" w:lineRule="auto"/>
        <w:rPr>
          <w:sz w:val="24"/>
          <w:szCs w:val="24"/>
        </w:rPr>
      </w:pPr>
    </w:p>
    <w:p w14:paraId="4E084D3A" w14:textId="77777777" w:rsidR="009A0A63" w:rsidRPr="00792B36" w:rsidRDefault="009A0A63" w:rsidP="009A0A63">
      <w:pPr>
        <w:spacing w:line="360" w:lineRule="auto"/>
        <w:rPr>
          <w:sz w:val="24"/>
          <w:szCs w:val="24"/>
        </w:rPr>
      </w:pPr>
    </w:p>
    <w:p w14:paraId="2F877F44" w14:textId="77777777" w:rsidR="009A0A63" w:rsidRPr="00792B36" w:rsidRDefault="009A0A63" w:rsidP="009A0A63">
      <w:pPr>
        <w:spacing w:line="360" w:lineRule="auto"/>
        <w:rPr>
          <w:sz w:val="24"/>
          <w:szCs w:val="24"/>
        </w:rPr>
      </w:pPr>
    </w:p>
    <w:p w14:paraId="7C2A1B55" w14:textId="77777777" w:rsidR="009A0A63" w:rsidRPr="00792B36" w:rsidRDefault="009A0A63" w:rsidP="009A0A63">
      <w:pPr>
        <w:spacing w:line="360" w:lineRule="auto"/>
        <w:rPr>
          <w:sz w:val="24"/>
          <w:szCs w:val="24"/>
        </w:rPr>
      </w:pPr>
    </w:p>
    <w:p w14:paraId="76677E97" w14:textId="77777777" w:rsidR="009A0A63" w:rsidRPr="00792B36" w:rsidRDefault="009A0A63" w:rsidP="009A0A63">
      <w:pPr>
        <w:spacing w:line="360" w:lineRule="auto"/>
        <w:rPr>
          <w:sz w:val="24"/>
          <w:szCs w:val="24"/>
        </w:rPr>
      </w:pPr>
    </w:p>
    <w:p w14:paraId="7B706AA7" w14:textId="77777777" w:rsidR="009A0A63" w:rsidRPr="00792B36" w:rsidRDefault="009A0A63" w:rsidP="009A0A63">
      <w:pPr>
        <w:spacing w:line="360" w:lineRule="auto"/>
        <w:rPr>
          <w:sz w:val="24"/>
          <w:szCs w:val="24"/>
        </w:rPr>
      </w:pPr>
    </w:p>
    <w:p w14:paraId="22B875FE" w14:textId="77777777" w:rsidR="009A0A63" w:rsidRPr="00792B36" w:rsidRDefault="009A0A63" w:rsidP="009A0A63">
      <w:pPr>
        <w:spacing w:line="360" w:lineRule="auto"/>
        <w:rPr>
          <w:sz w:val="24"/>
          <w:szCs w:val="24"/>
        </w:rPr>
      </w:pPr>
    </w:p>
    <w:p w14:paraId="1993455A" w14:textId="77777777" w:rsidR="009A0A63" w:rsidRPr="00792B36" w:rsidRDefault="009A0A63" w:rsidP="009A0A63">
      <w:pPr>
        <w:spacing w:line="360" w:lineRule="auto"/>
        <w:rPr>
          <w:sz w:val="24"/>
          <w:szCs w:val="24"/>
        </w:rPr>
      </w:pPr>
    </w:p>
    <w:p w14:paraId="41D84A63" w14:textId="77777777" w:rsidR="009A0A63" w:rsidRPr="00792B36" w:rsidRDefault="009A0A63" w:rsidP="009A0A63">
      <w:pPr>
        <w:spacing w:line="360" w:lineRule="auto"/>
        <w:rPr>
          <w:sz w:val="24"/>
          <w:szCs w:val="24"/>
        </w:rPr>
      </w:pPr>
    </w:p>
    <w:p w14:paraId="21AA96C0" w14:textId="77777777" w:rsidR="009A0A63" w:rsidRPr="00792B36" w:rsidRDefault="009A0A63" w:rsidP="009A0A63">
      <w:pPr>
        <w:spacing w:line="360" w:lineRule="auto"/>
        <w:rPr>
          <w:sz w:val="24"/>
          <w:szCs w:val="24"/>
        </w:rPr>
      </w:pPr>
    </w:p>
    <w:p w14:paraId="286614F9" w14:textId="77777777" w:rsidR="009A0A63" w:rsidRPr="00792B36" w:rsidRDefault="009A0A63" w:rsidP="009A0A63">
      <w:pPr>
        <w:spacing w:line="360" w:lineRule="auto"/>
        <w:rPr>
          <w:sz w:val="24"/>
          <w:szCs w:val="24"/>
        </w:rPr>
      </w:pPr>
    </w:p>
    <w:p w14:paraId="6F3F6A66" w14:textId="77777777" w:rsidR="009A0A63" w:rsidRPr="00792B36" w:rsidRDefault="009A0A63" w:rsidP="009A0A63">
      <w:pPr>
        <w:spacing w:line="360" w:lineRule="auto"/>
        <w:rPr>
          <w:sz w:val="24"/>
          <w:szCs w:val="24"/>
        </w:rPr>
      </w:pPr>
    </w:p>
    <w:p w14:paraId="6EE1B201" w14:textId="77777777" w:rsidR="009A0A63" w:rsidRPr="00792B36" w:rsidRDefault="009A0A63" w:rsidP="009A0A63">
      <w:pPr>
        <w:spacing w:line="360" w:lineRule="auto"/>
        <w:rPr>
          <w:sz w:val="24"/>
          <w:szCs w:val="24"/>
        </w:rPr>
      </w:pPr>
    </w:p>
    <w:p w14:paraId="6376C03B" w14:textId="77777777" w:rsidR="009A0A63" w:rsidRPr="00792B36" w:rsidRDefault="009A0A63" w:rsidP="009A0A63">
      <w:pPr>
        <w:spacing w:line="360" w:lineRule="auto"/>
        <w:rPr>
          <w:sz w:val="24"/>
          <w:szCs w:val="24"/>
        </w:rPr>
      </w:pPr>
    </w:p>
    <w:p w14:paraId="5DB9789D" w14:textId="77777777" w:rsidR="009A0A63" w:rsidRPr="00792B36" w:rsidRDefault="009A0A63" w:rsidP="009A0A63">
      <w:pPr>
        <w:spacing w:line="360" w:lineRule="auto"/>
        <w:contextualSpacing/>
        <w:rPr>
          <w:color w:val="000000" w:themeColor="text1"/>
          <w:spacing w:val="-6"/>
          <w:sz w:val="24"/>
          <w:szCs w:val="24"/>
        </w:rPr>
      </w:pPr>
      <w:r w:rsidRPr="00792B36">
        <w:rPr>
          <w:b/>
          <w:bCs/>
          <w:sz w:val="24"/>
          <w:szCs w:val="24"/>
        </w:rPr>
        <w:lastRenderedPageBreak/>
        <w:t xml:space="preserve">Annex 2.9 </w:t>
      </w:r>
      <w:r w:rsidRPr="00792B36">
        <w:rPr>
          <w:color w:val="000000" w:themeColor="text1"/>
          <w:spacing w:val="-6"/>
          <w:sz w:val="24"/>
          <w:szCs w:val="24"/>
        </w:rPr>
        <w:t>Poor people (x1,000 people) in coastal provinces along the Gulf of Thailand (2000, 2006, 2010, 2020)</w:t>
      </w:r>
    </w:p>
    <w:tbl>
      <w:tblPr>
        <w:tblStyle w:val="TableGrid"/>
        <w:tblW w:w="0" w:type="auto"/>
        <w:tblLook w:val="04A0" w:firstRow="1" w:lastRow="0" w:firstColumn="1" w:lastColumn="0" w:noHBand="0" w:noVBand="1"/>
      </w:tblPr>
      <w:tblGrid>
        <w:gridCol w:w="2936"/>
        <w:gridCol w:w="1520"/>
        <w:gridCol w:w="1520"/>
        <w:gridCol w:w="1520"/>
        <w:gridCol w:w="1521"/>
      </w:tblGrid>
      <w:tr w:rsidR="009A0A63" w:rsidRPr="00792B36" w14:paraId="3E4A6717" w14:textId="77777777" w:rsidTr="00A24459">
        <w:trPr>
          <w:trHeight w:val="340"/>
        </w:trPr>
        <w:tc>
          <w:tcPr>
            <w:tcW w:w="2936" w:type="dxa"/>
            <w:vAlign w:val="center"/>
          </w:tcPr>
          <w:p w14:paraId="2F550F6E" w14:textId="77777777" w:rsidR="009A0A63" w:rsidRPr="00792B36" w:rsidRDefault="009A0A63" w:rsidP="00A24459">
            <w:pPr>
              <w:jc w:val="center"/>
              <w:rPr>
                <w:b/>
                <w:bCs/>
                <w:sz w:val="24"/>
                <w:szCs w:val="24"/>
              </w:rPr>
            </w:pPr>
            <w:r w:rsidRPr="00792B36">
              <w:rPr>
                <w:b/>
                <w:bCs/>
                <w:color w:val="000000"/>
                <w:sz w:val="24"/>
                <w:szCs w:val="24"/>
              </w:rPr>
              <w:t>Provinces</w:t>
            </w:r>
          </w:p>
        </w:tc>
        <w:tc>
          <w:tcPr>
            <w:tcW w:w="1520" w:type="dxa"/>
            <w:vAlign w:val="center"/>
          </w:tcPr>
          <w:p w14:paraId="6D3DB41E" w14:textId="77777777" w:rsidR="009A0A63" w:rsidRPr="00792B36" w:rsidRDefault="009A0A63" w:rsidP="00A24459">
            <w:pPr>
              <w:jc w:val="center"/>
              <w:rPr>
                <w:b/>
                <w:bCs/>
                <w:sz w:val="24"/>
                <w:szCs w:val="24"/>
              </w:rPr>
            </w:pPr>
            <w:r w:rsidRPr="00792B36">
              <w:rPr>
                <w:b/>
                <w:bCs/>
                <w:color w:val="000000"/>
                <w:sz w:val="24"/>
                <w:szCs w:val="24"/>
              </w:rPr>
              <w:t>2000</w:t>
            </w:r>
          </w:p>
        </w:tc>
        <w:tc>
          <w:tcPr>
            <w:tcW w:w="1520" w:type="dxa"/>
            <w:vAlign w:val="center"/>
          </w:tcPr>
          <w:p w14:paraId="7333D5D6" w14:textId="77777777" w:rsidR="009A0A63" w:rsidRPr="00792B36" w:rsidRDefault="009A0A63" w:rsidP="00A24459">
            <w:pPr>
              <w:jc w:val="center"/>
              <w:rPr>
                <w:b/>
                <w:bCs/>
                <w:sz w:val="24"/>
                <w:szCs w:val="24"/>
              </w:rPr>
            </w:pPr>
            <w:r w:rsidRPr="00792B36">
              <w:rPr>
                <w:b/>
                <w:bCs/>
                <w:color w:val="000000"/>
                <w:sz w:val="24"/>
                <w:szCs w:val="24"/>
              </w:rPr>
              <w:t>2006</w:t>
            </w:r>
          </w:p>
        </w:tc>
        <w:tc>
          <w:tcPr>
            <w:tcW w:w="1520" w:type="dxa"/>
            <w:vAlign w:val="center"/>
          </w:tcPr>
          <w:p w14:paraId="269F6502" w14:textId="77777777" w:rsidR="009A0A63" w:rsidRPr="00792B36" w:rsidRDefault="009A0A63" w:rsidP="00A24459">
            <w:pPr>
              <w:jc w:val="center"/>
              <w:rPr>
                <w:b/>
                <w:bCs/>
                <w:sz w:val="24"/>
                <w:szCs w:val="24"/>
              </w:rPr>
            </w:pPr>
            <w:r w:rsidRPr="00792B36">
              <w:rPr>
                <w:b/>
                <w:bCs/>
                <w:color w:val="000000"/>
                <w:sz w:val="24"/>
                <w:szCs w:val="24"/>
              </w:rPr>
              <w:t>2010</w:t>
            </w:r>
          </w:p>
        </w:tc>
        <w:tc>
          <w:tcPr>
            <w:tcW w:w="1521" w:type="dxa"/>
            <w:vAlign w:val="center"/>
          </w:tcPr>
          <w:p w14:paraId="4BF2D7B7" w14:textId="77777777" w:rsidR="009A0A63" w:rsidRPr="00792B36" w:rsidRDefault="009A0A63" w:rsidP="00A24459">
            <w:pPr>
              <w:jc w:val="center"/>
              <w:rPr>
                <w:b/>
                <w:bCs/>
                <w:sz w:val="24"/>
                <w:szCs w:val="24"/>
              </w:rPr>
            </w:pPr>
            <w:r w:rsidRPr="00792B36">
              <w:rPr>
                <w:b/>
                <w:bCs/>
                <w:color w:val="000000"/>
                <w:sz w:val="24"/>
                <w:szCs w:val="24"/>
              </w:rPr>
              <w:t>2020</w:t>
            </w:r>
          </w:p>
        </w:tc>
      </w:tr>
      <w:tr w:rsidR="009A0A63" w:rsidRPr="00792B36" w14:paraId="1D00F526" w14:textId="77777777" w:rsidTr="00A24459">
        <w:trPr>
          <w:trHeight w:val="340"/>
        </w:trPr>
        <w:tc>
          <w:tcPr>
            <w:tcW w:w="2936" w:type="dxa"/>
            <w:vAlign w:val="center"/>
          </w:tcPr>
          <w:p w14:paraId="4761AE81" w14:textId="77777777" w:rsidR="009A0A63" w:rsidRPr="00792B36" w:rsidRDefault="009A0A63" w:rsidP="00A24459">
            <w:pPr>
              <w:rPr>
                <w:sz w:val="24"/>
                <w:szCs w:val="24"/>
              </w:rPr>
            </w:pPr>
            <w:r w:rsidRPr="00792B36">
              <w:rPr>
                <w:color w:val="000000"/>
                <w:sz w:val="24"/>
                <w:szCs w:val="24"/>
              </w:rPr>
              <w:t>Rayong</w:t>
            </w:r>
          </w:p>
        </w:tc>
        <w:tc>
          <w:tcPr>
            <w:tcW w:w="1520" w:type="dxa"/>
            <w:vAlign w:val="bottom"/>
          </w:tcPr>
          <w:p w14:paraId="097059D7" w14:textId="77777777" w:rsidR="009A0A63" w:rsidRPr="00792B36" w:rsidRDefault="009A0A63" w:rsidP="00A24459">
            <w:pPr>
              <w:jc w:val="center"/>
              <w:rPr>
                <w:sz w:val="24"/>
                <w:szCs w:val="24"/>
              </w:rPr>
            </w:pPr>
            <w:r w:rsidRPr="00792B36">
              <w:rPr>
                <w:sz w:val="24"/>
                <w:szCs w:val="24"/>
              </w:rPr>
              <w:t>127.9</w:t>
            </w:r>
          </w:p>
        </w:tc>
        <w:tc>
          <w:tcPr>
            <w:tcW w:w="1520" w:type="dxa"/>
            <w:vAlign w:val="bottom"/>
          </w:tcPr>
          <w:p w14:paraId="363351D1" w14:textId="77777777" w:rsidR="009A0A63" w:rsidRPr="00792B36" w:rsidRDefault="009A0A63" w:rsidP="00A24459">
            <w:pPr>
              <w:jc w:val="center"/>
              <w:rPr>
                <w:sz w:val="24"/>
                <w:szCs w:val="24"/>
              </w:rPr>
            </w:pPr>
            <w:r w:rsidRPr="00792B36">
              <w:rPr>
                <w:sz w:val="24"/>
                <w:szCs w:val="24"/>
              </w:rPr>
              <w:t>46.4</w:t>
            </w:r>
          </w:p>
        </w:tc>
        <w:tc>
          <w:tcPr>
            <w:tcW w:w="1520" w:type="dxa"/>
            <w:vAlign w:val="bottom"/>
          </w:tcPr>
          <w:p w14:paraId="69D6880E" w14:textId="77777777" w:rsidR="009A0A63" w:rsidRPr="00792B36" w:rsidRDefault="009A0A63" w:rsidP="00A24459">
            <w:pPr>
              <w:jc w:val="center"/>
              <w:rPr>
                <w:sz w:val="24"/>
                <w:szCs w:val="24"/>
              </w:rPr>
            </w:pPr>
            <w:r w:rsidRPr="00792B36">
              <w:rPr>
                <w:sz w:val="24"/>
                <w:szCs w:val="24"/>
              </w:rPr>
              <w:t>29.4</w:t>
            </w:r>
          </w:p>
        </w:tc>
        <w:tc>
          <w:tcPr>
            <w:tcW w:w="1521" w:type="dxa"/>
            <w:vAlign w:val="bottom"/>
          </w:tcPr>
          <w:p w14:paraId="662E65B6" w14:textId="77777777" w:rsidR="009A0A63" w:rsidRPr="00792B36" w:rsidRDefault="009A0A63" w:rsidP="00A24459">
            <w:pPr>
              <w:jc w:val="center"/>
              <w:rPr>
                <w:sz w:val="24"/>
                <w:szCs w:val="24"/>
              </w:rPr>
            </w:pPr>
            <w:r w:rsidRPr="00792B36">
              <w:rPr>
                <w:sz w:val="24"/>
                <w:szCs w:val="24"/>
              </w:rPr>
              <w:t>4.9</w:t>
            </w:r>
          </w:p>
        </w:tc>
      </w:tr>
      <w:tr w:rsidR="009A0A63" w:rsidRPr="00792B36" w14:paraId="1C67548A" w14:textId="77777777" w:rsidTr="00A24459">
        <w:trPr>
          <w:trHeight w:val="340"/>
        </w:trPr>
        <w:tc>
          <w:tcPr>
            <w:tcW w:w="2936" w:type="dxa"/>
            <w:vAlign w:val="center"/>
          </w:tcPr>
          <w:p w14:paraId="48C97A36" w14:textId="77777777" w:rsidR="009A0A63" w:rsidRPr="00792B36" w:rsidRDefault="009A0A63" w:rsidP="00A24459">
            <w:pPr>
              <w:rPr>
                <w:sz w:val="24"/>
                <w:szCs w:val="24"/>
              </w:rPr>
            </w:pPr>
            <w:r w:rsidRPr="00792B36">
              <w:rPr>
                <w:color w:val="000000"/>
                <w:sz w:val="24"/>
                <w:szCs w:val="24"/>
              </w:rPr>
              <w:t>Chanthaburi</w:t>
            </w:r>
          </w:p>
        </w:tc>
        <w:tc>
          <w:tcPr>
            <w:tcW w:w="1520" w:type="dxa"/>
            <w:vAlign w:val="bottom"/>
          </w:tcPr>
          <w:p w14:paraId="7462476D" w14:textId="77777777" w:rsidR="009A0A63" w:rsidRPr="00792B36" w:rsidRDefault="009A0A63" w:rsidP="00A24459">
            <w:pPr>
              <w:jc w:val="center"/>
              <w:rPr>
                <w:sz w:val="24"/>
                <w:szCs w:val="24"/>
              </w:rPr>
            </w:pPr>
            <w:r w:rsidRPr="00792B36">
              <w:rPr>
                <w:sz w:val="24"/>
                <w:szCs w:val="24"/>
              </w:rPr>
              <w:t>213.1</w:t>
            </w:r>
          </w:p>
        </w:tc>
        <w:tc>
          <w:tcPr>
            <w:tcW w:w="1520" w:type="dxa"/>
            <w:vAlign w:val="bottom"/>
          </w:tcPr>
          <w:p w14:paraId="795B0A51" w14:textId="77777777" w:rsidR="009A0A63" w:rsidRPr="00792B36" w:rsidRDefault="009A0A63" w:rsidP="00A24459">
            <w:pPr>
              <w:jc w:val="center"/>
              <w:rPr>
                <w:sz w:val="24"/>
                <w:szCs w:val="24"/>
              </w:rPr>
            </w:pPr>
            <w:r w:rsidRPr="00792B36">
              <w:rPr>
                <w:sz w:val="24"/>
                <w:szCs w:val="24"/>
              </w:rPr>
              <w:t>50.3</w:t>
            </w:r>
          </w:p>
        </w:tc>
        <w:tc>
          <w:tcPr>
            <w:tcW w:w="1520" w:type="dxa"/>
            <w:vAlign w:val="bottom"/>
          </w:tcPr>
          <w:p w14:paraId="34A7D105" w14:textId="77777777" w:rsidR="009A0A63" w:rsidRPr="00792B36" w:rsidRDefault="009A0A63" w:rsidP="00A24459">
            <w:pPr>
              <w:jc w:val="center"/>
              <w:rPr>
                <w:sz w:val="24"/>
                <w:szCs w:val="24"/>
              </w:rPr>
            </w:pPr>
            <w:r w:rsidRPr="00792B36">
              <w:rPr>
                <w:sz w:val="24"/>
                <w:szCs w:val="24"/>
              </w:rPr>
              <w:t>50.3</w:t>
            </w:r>
          </w:p>
        </w:tc>
        <w:tc>
          <w:tcPr>
            <w:tcW w:w="1521" w:type="dxa"/>
            <w:vAlign w:val="bottom"/>
          </w:tcPr>
          <w:p w14:paraId="250A6F94" w14:textId="77777777" w:rsidR="009A0A63" w:rsidRPr="00792B36" w:rsidRDefault="009A0A63" w:rsidP="00A24459">
            <w:pPr>
              <w:jc w:val="center"/>
              <w:rPr>
                <w:sz w:val="24"/>
                <w:szCs w:val="24"/>
              </w:rPr>
            </w:pPr>
            <w:r w:rsidRPr="00792B36">
              <w:rPr>
                <w:sz w:val="24"/>
                <w:szCs w:val="24"/>
              </w:rPr>
              <w:t>36.7</w:t>
            </w:r>
          </w:p>
        </w:tc>
      </w:tr>
      <w:tr w:rsidR="009A0A63" w:rsidRPr="00792B36" w14:paraId="107F04F3" w14:textId="77777777" w:rsidTr="00A24459">
        <w:trPr>
          <w:trHeight w:val="340"/>
        </w:trPr>
        <w:tc>
          <w:tcPr>
            <w:tcW w:w="2936" w:type="dxa"/>
            <w:vAlign w:val="center"/>
          </w:tcPr>
          <w:p w14:paraId="4322E875" w14:textId="77777777" w:rsidR="009A0A63" w:rsidRPr="00792B36" w:rsidRDefault="009A0A63" w:rsidP="00A24459">
            <w:pPr>
              <w:rPr>
                <w:sz w:val="24"/>
                <w:szCs w:val="24"/>
              </w:rPr>
            </w:pPr>
            <w:r w:rsidRPr="00792B36">
              <w:rPr>
                <w:color w:val="000000"/>
                <w:sz w:val="24"/>
                <w:szCs w:val="24"/>
              </w:rPr>
              <w:t>Trat</w:t>
            </w:r>
          </w:p>
        </w:tc>
        <w:tc>
          <w:tcPr>
            <w:tcW w:w="1520" w:type="dxa"/>
            <w:vAlign w:val="bottom"/>
          </w:tcPr>
          <w:p w14:paraId="2D3C9E6E" w14:textId="77777777" w:rsidR="009A0A63" w:rsidRPr="00792B36" w:rsidRDefault="009A0A63" w:rsidP="00A24459">
            <w:pPr>
              <w:jc w:val="center"/>
              <w:rPr>
                <w:sz w:val="24"/>
                <w:szCs w:val="24"/>
              </w:rPr>
            </w:pPr>
            <w:r w:rsidRPr="00792B36">
              <w:rPr>
                <w:sz w:val="24"/>
                <w:szCs w:val="24"/>
              </w:rPr>
              <w:t>106.9</w:t>
            </w:r>
          </w:p>
        </w:tc>
        <w:tc>
          <w:tcPr>
            <w:tcW w:w="1520" w:type="dxa"/>
            <w:vAlign w:val="bottom"/>
          </w:tcPr>
          <w:p w14:paraId="0996B835" w14:textId="77777777" w:rsidR="009A0A63" w:rsidRPr="00792B36" w:rsidRDefault="009A0A63" w:rsidP="00A24459">
            <w:pPr>
              <w:jc w:val="center"/>
              <w:rPr>
                <w:sz w:val="24"/>
                <w:szCs w:val="24"/>
              </w:rPr>
            </w:pPr>
            <w:r w:rsidRPr="00792B36">
              <w:rPr>
                <w:sz w:val="24"/>
                <w:szCs w:val="24"/>
              </w:rPr>
              <w:t>62.8</w:t>
            </w:r>
          </w:p>
        </w:tc>
        <w:tc>
          <w:tcPr>
            <w:tcW w:w="1520" w:type="dxa"/>
            <w:vAlign w:val="bottom"/>
          </w:tcPr>
          <w:p w14:paraId="76257F59" w14:textId="77777777" w:rsidR="009A0A63" w:rsidRPr="00792B36" w:rsidRDefault="009A0A63" w:rsidP="00A24459">
            <w:pPr>
              <w:jc w:val="center"/>
              <w:rPr>
                <w:sz w:val="24"/>
                <w:szCs w:val="24"/>
              </w:rPr>
            </w:pPr>
            <w:r w:rsidRPr="00792B36">
              <w:rPr>
                <w:sz w:val="24"/>
                <w:szCs w:val="24"/>
              </w:rPr>
              <w:t>65.9</w:t>
            </w:r>
          </w:p>
        </w:tc>
        <w:tc>
          <w:tcPr>
            <w:tcW w:w="1521" w:type="dxa"/>
            <w:vAlign w:val="bottom"/>
          </w:tcPr>
          <w:p w14:paraId="17937F15" w14:textId="77777777" w:rsidR="009A0A63" w:rsidRPr="00792B36" w:rsidRDefault="009A0A63" w:rsidP="00A24459">
            <w:pPr>
              <w:jc w:val="center"/>
              <w:rPr>
                <w:sz w:val="24"/>
                <w:szCs w:val="24"/>
              </w:rPr>
            </w:pPr>
            <w:r w:rsidRPr="00792B36">
              <w:rPr>
                <w:sz w:val="24"/>
                <w:szCs w:val="24"/>
              </w:rPr>
              <w:t>30.6</w:t>
            </w:r>
          </w:p>
        </w:tc>
      </w:tr>
      <w:tr w:rsidR="009A0A63" w:rsidRPr="00792B36" w14:paraId="203CC313" w14:textId="77777777" w:rsidTr="00A24459">
        <w:trPr>
          <w:trHeight w:val="340"/>
        </w:trPr>
        <w:tc>
          <w:tcPr>
            <w:tcW w:w="2936" w:type="dxa"/>
            <w:vAlign w:val="center"/>
          </w:tcPr>
          <w:p w14:paraId="73ED9A38" w14:textId="77777777" w:rsidR="009A0A63" w:rsidRPr="00792B36" w:rsidRDefault="009A0A63" w:rsidP="00A24459">
            <w:pPr>
              <w:rPr>
                <w:sz w:val="24"/>
                <w:szCs w:val="24"/>
              </w:rPr>
            </w:pPr>
            <w:r w:rsidRPr="00792B36">
              <w:rPr>
                <w:color w:val="000000"/>
                <w:sz w:val="24"/>
                <w:szCs w:val="24"/>
              </w:rPr>
              <w:t>Samut Prakan</w:t>
            </w:r>
          </w:p>
        </w:tc>
        <w:tc>
          <w:tcPr>
            <w:tcW w:w="1520" w:type="dxa"/>
            <w:vAlign w:val="bottom"/>
          </w:tcPr>
          <w:p w14:paraId="7D423C2B" w14:textId="77777777" w:rsidR="009A0A63" w:rsidRPr="00792B36" w:rsidRDefault="009A0A63" w:rsidP="00A24459">
            <w:pPr>
              <w:jc w:val="center"/>
              <w:rPr>
                <w:sz w:val="24"/>
                <w:szCs w:val="24"/>
              </w:rPr>
            </w:pPr>
            <w:r w:rsidRPr="00792B36">
              <w:rPr>
                <w:sz w:val="24"/>
                <w:szCs w:val="24"/>
              </w:rPr>
              <w:t>59.0</w:t>
            </w:r>
          </w:p>
        </w:tc>
        <w:tc>
          <w:tcPr>
            <w:tcW w:w="1520" w:type="dxa"/>
            <w:vAlign w:val="bottom"/>
          </w:tcPr>
          <w:p w14:paraId="710B3820" w14:textId="77777777" w:rsidR="009A0A63" w:rsidRPr="00792B36" w:rsidRDefault="009A0A63" w:rsidP="00A24459">
            <w:pPr>
              <w:jc w:val="center"/>
              <w:rPr>
                <w:sz w:val="24"/>
                <w:szCs w:val="24"/>
              </w:rPr>
            </w:pPr>
            <w:r w:rsidRPr="00792B36">
              <w:rPr>
                <w:sz w:val="24"/>
                <w:szCs w:val="24"/>
              </w:rPr>
              <w:t>52.9</w:t>
            </w:r>
          </w:p>
        </w:tc>
        <w:tc>
          <w:tcPr>
            <w:tcW w:w="1520" w:type="dxa"/>
            <w:vAlign w:val="bottom"/>
          </w:tcPr>
          <w:p w14:paraId="5675233A" w14:textId="77777777" w:rsidR="009A0A63" w:rsidRPr="00792B36" w:rsidRDefault="009A0A63" w:rsidP="00A24459">
            <w:pPr>
              <w:jc w:val="center"/>
              <w:rPr>
                <w:sz w:val="24"/>
                <w:szCs w:val="24"/>
              </w:rPr>
            </w:pPr>
            <w:r w:rsidRPr="00792B36">
              <w:rPr>
                <w:sz w:val="24"/>
                <w:szCs w:val="24"/>
              </w:rPr>
              <w:t>27.7</w:t>
            </w:r>
          </w:p>
        </w:tc>
        <w:tc>
          <w:tcPr>
            <w:tcW w:w="1521" w:type="dxa"/>
            <w:vAlign w:val="bottom"/>
          </w:tcPr>
          <w:p w14:paraId="66D54ECC" w14:textId="77777777" w:rsidR="009A0A63" w:rsidRPr="00792B36" w:rsidRDefault="009A0A63" w:rsidP="00A24459">
            <w:pPr>
              <w:jc w:val="center"/>
              <w:rPr>
                <w:sz w:val="24"/>
                <w:szCs w:val="24"/>
              </w:rPr>
            </w:pPr>
            <w:r w:rsidRPr="00792B36">
              <w:rPr>
                <w:sz w:val="24"/>
                <w:szCs w:val="24"/>
              </w:rPr>
              <w:t>4.4</w:t>
            </w:r>
          </w:p>
        </w:tc>
      </w:tr>
      <w:tr w:rsidR="009A0A63" w:rsidRPr="00792B36" w14:paraId="4CCDAB4B" w14:textId="77777777" w:rsidTr="00A24459">
        <w:trPr>
          <w:trHeight w:val="340"/>
        </w:trPr>
        <w:tc>
          <w:tcPr>
            <w:tcW w:w="2936" w:type="dxa"/>
            <w:vAlign w:val="center"/>
          </w:tcPr>
          <w:p w14:paraId="56147702" w14:textId="77777777" w:rsidR="009A0A63" w:rsidRPr="00792B36" w:rsidRDefault="009A0A63" w:rsidP="00A24459">
            <w:pPr>
              <w:rPr>
                <w:sz w:val="24"/>
                <w:szCs w:val="24"/>
              </w:rPr>
            </w:pPr>
            <w:r w:rsidRPr="00792B36">
              <w:rPr>
                <w:color w:val="000000"/>
                <w:sz w:val="24"/>
                <w:szCs w:val="24"/>
              </w:rPr>
              <w:t>Chon Buri</w:t>
            </w:r>
          </w:p>
        </w:tc>
        <w:tc>
          <w:tcPr>
            <w:tcW w:w="1520" w:type="dxa"/>
            <w:vAlign w:val="bottom"/>
          </w:tcPr>
          <w:p w14:paraId="6A267006" w14:textId="77777777" w:rsidR="009A0A63" w:rsidRPr="00792B36" w:rsidRDefault="009A0A63" w:rsidP="00A24459">
            <w:pPr>
              <w:jc w:val="center"/>
              <w:rPr>
                <w:sz w:val="24"/>
                <w:szCs w:val="24"/>
              </w:rPr>
            </w:pPr>
            <w:r w:rsidRPr="00792B36">
              <w:rPr>
                <w:sz w:val="24"/>
                <w:szCs w:val="24"/>
              </w:rPr>
              <w:t>174.1</w:t>
            </w:r>
          </w:p>
        </w:tc>
        <w:tc>
          <w:tcPr>
            <w:tcW w:w="1520" w:type="dxa"/>
            <w:vAlign w:val="bottom"/>
          </w:tcPr>
          <w:p w14:paraId="5FA49063" w14:textId="77777777" w:rsidR="009A0A63" w:rsidRPr="00792B36" w:rsidRDefault="009A0A63" w:rsidP="00A24459">
            <w:pPr>
              <w:jc w:val="center"/>
              <w:rPr>
                <w:sz w:val="24"/>
                <w:szCs w:val="24"/>
              </w:rPr>
            </w:pPr>
            <w:r w:rsidRPr="00792B36">
              <w:rPr>
                <w:sz w:val="24"/>
                <w:szCs w:val="24"/>
              </w:rPr>
              <w:t>35.9</w:t>
            </w:r>
          </w:p>
        </w:tc>
        <w:tc>
          <w:tcPr>
            <w:tcW w:w="1520" w:type="dxa"/>
            <w:vAlign w:val="bottom"/>
          </w:tcPr>
          <w:p w14:paraId="4744099F" w14:textId="77777777" w:rsidR="009A0A63" w:rsidRPr="00792B36" w:rsidRDefault="009A0A63" w:rsidP="00A24459">
            <w:pPr>
              <w:jc w:val="center"/>
              <w:rPr>
                <w:sz w:val="24"/>
                <w:szCs w:val="24"/>
              </w:rPr>
            </w:pPr>
            <w:r w:rsidRPr="00792B36">
              <w:rPr>
                <w:sz w:val="24"/>
                <w:szCs w:val="24"/>
              </w:rPr>
              <w:t>32.1</w:t>
            </w:r>
          </w:p>
        </w:tc>
        <w:tc>
          <w:tcPr>
            <w:tcW w:w="1521" w:type="dxa"/>
            <w:vAlign w:val="bottom"/>
          </w:tcPr>
          <w:p w14:paraId="1831E292" w14:textId="77777777" w:rsidR="009A0A63" w:rsidRPr="00792B36" w:rsidRDefault="009A0A63" w:rsidP="00A24459">
            <w:pPr>
              <w:jc w:val="center"/>
              <w:rPr>
                <w:sz w:val="24"/>
                <w:szCs w:val="24"/>
              </w:rPr>
            </w:pPr>
            <w:r w:rsidRPr="00792B36">
              <w:rPr>
                <w:sz w:val="24"/>
                <w:szCs w:val="24"/>
              </w:rPr>
              <w:t>0.7</w:t>
            </w:r>
          </w:p>
        </w:tc>
      </w:tr>
      <w:tr w:rsidR="009A0A63" w:rsidRPr="00792B36" w14:paraId="77CC0C91" w14:textId="77777777" w:rsidTr="00A24459">
        <w:trPr>
          <w:trHeight w:val="340"/>
        </w:trPr>
        <w:tc>
          <w:tcPr>
            <w:tcW w:w="2936" w:type="dxa"/>
            <w:vAlign w:val="center"/>
          </w:tcPr>
          <w:p w14:paraId="09313531" w14:textId="77777777" w:rsidR="009A0A63" w:rsidRPr="00792B36" w:rsidRDefault="009A0A63" w:rsidP="00A24459">
            <w:pPr>
              <w:rPr>
                <w:sz w:val="24"/>
                <w:szCs w:val="24"/>
              </w:rPr>
            </w:pPr>
            <w:r w:rsidRPr="00792B36">
              <w:rPr>
                <w:color w:val="000000"/>
                <w:sz w:val="24"/>
                <w:szCs w:val="24"/>
              </w:rPr>
              <w:t>Chachoengsao</w:t>
            </w:r>
          </w:p>
        </w:tc>
        <w:tc>
          <w:tcPr>
            <w:tcW w:w="1520" w:type="dxa"/>
            <w:vAlign w:val="bottom"/>
          </w:tcPr>
          <w:p w14:paraId="3FD23D37" w14:textId="77777777" w:rsidR="009A0A63" w:rsidRPr="00792B36" w:rsidRDefault="009A0A63" w:rsidP="00A24459">
            <w:pPr>
              <w:jc w:val="center"/>
              <w:rPr>
                <w:sz w:val="24"/>
                <w:szCs w:val="24"/>
              </w:rPr>
            </w:pPr>
            <w:r w:rsidRPr="00792B36">
              <w:rPr>
                <w:sz w:val="24"/>
                <w:szCs w:val="24"/>
              </w:rPr>
              <w:t>144.0</w:t>
            </w:r>
          </w:p>
        </w:tc>
        <w:tc>
          <w:tcPr>
            <w:tcW w:w="1520" w:type="dxa"/>
            <w:vAlign w:val="bottom"/>
          </w:tcPr>
          <w:p w14:paraId="7F834B75" w14:textId="77777777" w:rsidR="009A0A63" w:rsidRPr="00792B36" w:rsidRDefault="009A0A63" w:rsidP="00A24459">
            <w:pPr>
              <w:jc w:val="center"/>
              <w:rPr>
                <w:sz w:val="24"/>
                <w:szCs w:val="24"/>
              </w:rPr>
            </w:pPr>
            <w:r w:rsidRPr="00792B36">
              <w:rPr>
                <w:sz w:val="24"/>
                <w:szCs w:val="24"/>
              </w:rPr>
              <w:t>94.9</w:t>
            </w:r>
          </w:p>
        </w:tc>
        <w:tc>
          <w:tcPr>
            <w:tcW w:w="1520" w:type="dxa"/>
            <w:vAlign w:val="bottom"/>
          </w:tcPr>
          <w:p w14:paraId="6AF2B798" w14:textId="77777777" w:rsidR="009A0A63" w:rsidRPr="00792B36" w:rsidRDefault="009A0A63" w:rsidP="00A24459">
            <w:pPr>
              <w:jc w:val="center"/>
              <w:rPr>
                <w:sz w:val="24"/>
                <w:szCs w:val="24"/>
              </w:rPr>
            </w:pPr>
            <w:r w:rsidRPr="00792B36">
              <w:rPr>
                <w:sz w:val="24"/>
                <w:szCs w:val="24"/>
              </w:rPr>
              <w:t>90.0</w:t>
            </w:r>
          </w:p>
        </w:tc>
        <w:tc>
          <w:tcPr>
            <w:tcW w:w="1521" w:type="dxa"/>
            <w:vAlign w:val="bottom"/>
          </w:tcPr>
          <w:p w14:paraId="7C7A383A" w14:textId="77777777" w:rsidR="009A0A63" w:rsidRPr="00792B36" w:rsidRDefault="009A0A63" w:rsidP="00A24459">
            <w:pPr>
              <w:jc w:val="center"/>
              <w:rPr>
                <w:sz w:val="24"/>
                <w:szCs w:val="24"/>
              </w:rPr>
            </w:pPr>
            <w:r w:rsidRPr="00792B36">
              <w:rPr>
                <w:sz w:val="24"/>
                <w:szCs w:val="24"/>
              </w:rPr>
              <w:t>12.0</w:t>
            </w:r>
          </w:p>
        </w:tc>
      </w:tr>
      <w:tr w:rsidR="009A0A63" w:rsidRPr="00792B36" w14:paraId="363EFCB1" w14:textId="77777777" w:rsidTr="00A24459">
        <w:trPr>
          <w:trHeight w:val="340"/>
        </w:trPr>
        <w:tc>
          <w:tcPr>
            <w:tcW w:w="2936" w:type="dxa"/>
            <w:vAlign w:val="center"/>
          </w:tcPr>
          <w:p w14:paraId="6A0B0E7C" w14:textId="77777777" w:rsidR="009A0A63" w:rsidRPr="00792B36" w:rsidRDefault="009A0A63" w:rsidP="00A24459">
            <w:pPr>
              <w:rPr>
                <w:sz w:val="24"/>
                <w:szCs w:val="24"/>
              </w:rPr>
            </w:pPr>
            <w:r w:rsidRPr="00792B36">
              <w:rPr>
                <w:color w:val="000000"/>
                <w:sz w:val="24"/>
                <w:szCs w:val="24"/>
              </w:rPr>
              <w:t>Samut Sakhon</w:t>
            </w:r>
          </w:p>
        </w:tc>
        <w:tc>
          <w:tcPr>
            <w:tcW w:w="1520" w:type="dxa"/>
            <w:vAlign w:val="bottom"/>
          </w:tcPr>
          <w:p w14:paraId="453795F8" w14:textId="77777777" w:rsidR="009A0A63" w:rsidRPr="00792B36" w:rsidRDefault="009A0A63" w:rsidP="00A24459">
            <w:pPr>
              <w:jc w:val="center"/>
              <w:rPr>
                <w:sz w:val="24"/>
                <w:szCs w:val="24"/>
              </w:rPr>
            </w:pPr>
            <w:r w:rsidRPr="00792B36">
              <w:rPr>
                <w:sz w:val="24"/>
                <w:szCs w:val="24"/>
              </w:rPr>
              <w:t>129.9</w:t>
            </w:r>
          </w:p>
        </w:tc>
        <w:tc>
          <w:tcPr>
            <w:tcW w:w="1520" w:type="dxa"/>
            <w:vAlign w:val="bottom"/>
          </w:tcPr>
          <w:p w14:paraId="00812CA8" w14:textId="77777777" w:rsidR="009A0A63" w:rsidRPr="00792B36" w:rsidRDefault="009A0A63" w:rsidP="00A24459">
            <w:pPr>
              <w:jc w:val="center"/>
              <w:rPr>
                <w:sz w:val="24"/>
                <w:szCs w:val="24"/>
              </w:rPr>
            </w:pPr>
            <w:r w:rsidRPr="00792B36">
              <w:rPr>
                <w:sz w:val="24"/>
                <w:szCs w:val="24"/>
              </w:rPr>
              <w:t>112.0</w:t>
            </w:r>
          </w:p>
        </w:tc>
        <w:tc>
          <w:tcPr>
            <w:tcW w:w="1520" w:type="dxa"/>
            <w:vAlign w:val="bottom"/>
          </w:tcPr>
          <w:p w14:paraId="769AC92C" w14:textId="77777777" w:rsidR="009A0A63" w:rsidRPr="00792B36" w:rsidRDefault="009A0A63" w:rsidP="00A24459">
            <w:pPr>
              <w:jc w:val="center"/>
              <w:rPr>
                <w:sz w:val="24"/>
                <w:szCs w:val="24"/>
              </w:rPr>
            </w:pPr>
            <w:r w:rsidRPr="00792B36">
              <w:rPr>
                <w:sz w:val="24"/>
                <w:szCs w:val="24"/>
              </w:rPr>
              <w:t>79.6</w:t>
            </w:r>
          </w:p>
        </w:tc>
        <w:tc>
          <w:tcPr>
            <w:tcW w:w="1521" w:type="dxa"/>
            <w:vAlign w:val="bottom"/>
          </w:tcPr>
          <w:p w14:paraId="2B249A44" w14:textId="77777777" w:rsidR="009A0A63" w:rsidRPr="00792B36" w:rsidRDefault="009A0A63" w:rsidP="00A24459">
            <w:pPr>
              <w:jc w:val="center"/>
              <w:rPr>
                <w:sz w:val="24"/>
                <w:szCs w:val="24"/>
              </w:rPr>
            </w:pPr>
            <w:r w:rsidRPr="00792B36">
              <w:rPr>
                <w:sz w:val="24"/>
                <w:szCs w:val="24"/>
              </w:rPr>
              <w:t>13.1</w:t>
            </w:r>
          </w:p>
        </w:tc>
      </w:tr>
      <w:tr w:rsidR="009A0A63" w:rsidRPr="00792B36" w14:paraId="138B2222" w14:textId="77777777" w:rsidTr="00A24459">
        <w:trPr>
          <w:trHeight w:val="340"/>
        </w:trPr>
        <w:tc>
          <w:tcPr>
            <w:tcW w:w="2936" w:type="dxa"/>
            <w:vAlign w:val="center"/>
          </w:tcPr>
          <w:p w14:paraId="2970F1E9" w14:textId="77777777" w:rsidR="009A0A63" w:rsidRPr="00792B36" w:rsidRDefault="009A0A63" w:rsidP="00A24459">
            <w:pPr>
              <w:rPr>
                <w:sz w:val="24"/>
                <w:szCs w:val="24"/>
              </w:rPr>
            </w:pPr>
            <w:r w:rsidRPr="00792B36">
              <w:rPr>
                <w:color w:val="000000"/>
                <w:sz w:val="24"/>
                <w:szCs w:val="24"/>
              </w:rPr>
              <w:t>Samut Songkhram</w:t>
            </w:r>
          </w:p>
        </w:tc>
        <w:tc>
          <w:tcPr>
            <w:tcW w:w="1520" w:type="dxa"/>
            <w:vAlign w:val="bottom"/>
          </w:tcPr>
          <w:p w14:paraId="6CFD48CA" w14:textId="77777777" w:rsidR="009A0A63" w:rsidRPr="00792B36" w:rsidRDefault="009A0A63" w:rsidP="00A24459">
            <w:pPr>
              <w:jc w:val="center"/>
              <w:rPr>
                <w:sz w:val="24"/>
                <w:szCs w:val="24"/>
              </w:rPr>
            </w:pPr>
            <w:r w:rsidRPr="00792B36">
              <w:rPr>
                <w:sz w:val="24"/>
                <w:szCs w:val="24"/>
              </w:rPr>
              <w:t>28.1</w:t>
            </w:r>
          </w:p>
        </w:tc>
        <w:tc>
          <w:tcPr>
            <w:tcW w:w="1520" w:type="dxa"/>
            <w:vAlign w:val="bottom"/>
          </w:tcPr>
          <w:p w14:paraId="4BDE62B8" w14:textId="77777777" w:rsidR="009A0A63" w:rsidRPr="00792B36" w:rsidRDefault="009A0A63" w:rsidP="00A24459">
            <w:pPr>
              <w:jc w:val="center"/>
              <w:rPr>
                <w:sz w:val="24"/>
                <w:szCs w:val="24"/>
              </w:rPr>
            </w:pPr>
            <w:r w:rsidRPr="00792B36">
              <w:rPr>
                <w:sz w:val="24"/>
                <w:szCs w:val="24"/>
              </w:rPr>
              <w:t>49.7</w:t>
            </w:r>
          </w:p>
        </w:tc>
        <w:tc>
          <w:tcPr>
            <w:tcW w:w="1520" w:type="dxa"/>
            <w:vAlign w:val="bottom"/>
          </w:tcPr>
          <w:p w14:paraId="2D7E17EB" w14:textId="77777777" w:rsidR="009A0A63" w:rsidRPr="00792B36" w:rsidRDefault="009A0A63" w:rsidP="00A24459">
            <w:pPr>
              <w:jc w:val="center"/>
              <w:rPr>
                <w:sz w:val="24"/>
                <w:szCs w:val="24"/>
              </w:rPr>
            </w:pPr>
            <w:r w:rsidRPr="00792B36">
              <w:rPr>
                <w:sz w:val="24"/>
                <w:szCs w:val="24"/>
              </w:rPr>
              <w:t>21.4</w:t>
            </w:r>
          </w:p>
        </w:tc>
        <w:tc>
          <w:tcPr>
            <w:tcW w:w="1521" w:type="dxa"/>
            <w:vAlign w:val="bottom"/>
          </w:tcPr>
          <w:p w14:paraId="59685B80" w14:textId="77777777" w:rsidR="009A0A63" w:rsidRPr="00792B36" w:rsidRDefault="009A0A63" w:rsidP="00A24459">
            <w:pPr>
              <w:jc w:val="center"/>
              <w:rPr>
                <w:sz w:val="24"/>
                <w:szCs w:val="24"/>
              </w:rPr>
            </w:pPr>
            <w:r w:rsidRPr="00792B36">
              <w:rPr>
                <w:sz w:val="24"/>
                <w:szCs w:val="24"/>
              </w:rPr>
              <w:t>11.6</w:t>
            </w:r>
          </w:p>
        </w:tc>
      </w:tr>
      <w:tr w:rsidR="009A0A63" w:rsidRPr="00792B36" w14:paraId="4AB08E48" w14:textId="77777777" w:rsidTr="00A24459">
        <w:trPr>
          <w:trHeight w:val="340"/>
        </w:trPr>
        <w:tc>
          <w:tcPr>
            <w:tcW w:w="2936" w:type="dxa"/>
            <w:vAlign w:val="center"/>
          </w:tcPr>
          <w:p w14:paraId="5BA923A7" w14:textId="77777777" w:rsidR="009A0A63" w:rsidRPr="00792B36" w:rsidRDefault="009A0A63" w:rsidP="00A24459">
            <w:pPr>
              <w:rPr>
                <w:sz w:val="24"/>
                <w:szCs w:val="24"/>
              </w:rPr>
            </w:pPr>
            <w:r w:rsidRPr="00792B36">
              <w:rPr>
                <w:color w:val="000000"/>
                <w:sz w:val="24"/>
                <w:szCs w:val="24"/>
              </w:rPr>
              <w:t>Phetchaburi</w:t>
            </w:r>
          </w:p>
        </w:tc>
        <w:tc>
          <w:tcPr>
            <w:tcW w:w="1520" w:type="dxa"/>
            <w:vAlign w:val="bottom"/>
          </w:tcPr>
          <w:p w14:paraId="02C9AB71" w14:textId="77777777" w:rsidR="009A0A63" w:rsidRPr="00792B36" w:rsidRDefault="009A0A63" w:rsidP="00A24459">
            <w:pPr>
              <w:jc w:val="center"/>
              <w:rPr>
                <w:sz w:val="24"/>
                <w:szCs w:val="24"/>
              </w:rPr>
            </w:pPr>
            <w:r w:rsidRPr="00792B36">
              <w:rPr>
                <w:sz w:val="24"/>
                <w:szCs w:val="24"/>
              </w:rPr>
              <w:t>182.5</w:t>
            </w:r>
          </w:p>
        </w:tc>
        <w:tc>
          <w:tcPr>
            <w:tcW w:w="1520" w:type="dxa"/>
            <w:vAlign w:val="bottom"/>
          </w:tcPr>
          <w:p w14:paraId="0DC2C580" w14:textId="77777777" w:rsidR="009A0A63" w:rsidRPr="00792B36" w:rsidRDefault="009A0A63" w:rsidP="00A24459">
            <w:pPr>
              <w:jc w:val="center"/>
              <w:rPr>
                <w:sz w:val="24"/>
                <w:szCs w:val="24"/>
              </w:rPr>
            </w:pPr>
            <w:r w:rsidRPr="00792B36">
              <w:rPr>
                <w:sz w:val="24"/>
                <w:szCs w:val="24"/>
              </w:rPr>
              <w:t>65.6</w:t>
            </w:r>
          </w:p>
        </w:tc>
        <w:tc>
          <w:tcPr>
            <w:tcW w:w="1520" w:type="dxa"/>
            <w:vAlign w:val="bottom"/>
          </w:tcPr>
          <w:p w14:paraId="041F82DE" w14:textId="77777777" w:rsidR="009A0A63" w:rsidRPr="00792B36" w:rsidRDefault="009A0A63" w:rsidP="00A24459">
            <w:pPr>
              <w:jc w:val="center"/>
              <w:rPr>
                <w:sz w:val="24"/>
                <w:szCs w:val="24"/>
              </w:rPr>
            </w:pPr>
            <w:r w:rsidRPr="00792B36">
              <w:rPr>
                <w:sz w:val="24"/>
                <w:szCs w:val="24"/>
              </w:rPr>
              <w:t>57.6</w:t>
            </w:r>
          </w:p>
        </w:tc>
        <w:tc>
          <w:tcPr>
            <w:tcW w:w="1521" w:type="dxa"/>
            <w:vAlign w:val="bottom"/>
          </w:tcPr>
          <w:p w14:paraId="47EC2E14" w14:textId="77777777" w:rsidR="009A0A63" w:rsidRPr="00792B36" w:rsidRDefault="009A0A63" w:rsidP="00A24459">
            <w:pPr>
              <w:jc w:val="center"/>
              <w:rPr>
                <w:sz w:val="24"/>
                <w:szCs w:val="24"/>
              </w:rPr>
            </w:pPr>
            <w:r w:rsidRPr="00792B36">
              <w:rPr>
                <w:sz w:val="24"/>
                <w:szCs w:val="24"/>
              </w:rPr>
              <w:t>17.2</w:t>
            </w:r>
          </w:p>
        </w:tc>
      </w:tr>
      <w:tr w:rsidR="009A0A63" w:rsidRPr="00792B36" w14:paraId="7E79B02E" w14:textId="77777777" w:rsidTr="00A24459">
        <w:trPr>
          <w:trHeight w:val="340"/>
        </w:trPr>
        <w:tc>
          <w:tcPr>
            <w:tcW w:w="2936" w:type="dxa"/>
            <w:vAlign w:val="center"/>
          </w:tcPr>
          <w:p w14:paraId="724F31E6" w14:textId="77777777" w:rsidR="009A0A63" w:rsidRPr="00792B36" w:rsidRDefault="009A0A63" w:rsidP="00A24459">
            <w:pPr>
              <w:rPr>
                <w:sz w:val="24"/>
                <w:szCs w:val="24"/>
              </w:rPr>
            </w:pPr>
            <w:r w:rsidRPr="00792B36">
              <w:rPr>
                <w:color w:val="000000"/>
                <w:sz w:val="24"/>
                <w:szCs w:val="24"/>
              </w:rPr>
              <w:t>Prachuap Khiri Khan</w:t>
            </w:r>
          </w:p>
        </w:tc>
        <w:tc>
          <w:tcPr>
            <w:tcW w:w="1520" w:type="dxa"/>
            <w:vAlign w:val="bottom"/>
          </w:tcPr>
          <w:p w14:paraId="633A4B46" w14:textId="77777777" w:rsidR="009A0A63" w:rsidRPr="00792B36" w:rsidRDefault="009A0A63" w:rsidP="00A24459">
            <w:pPr>
              <w:jc w:val="center"/>
              <w:rPr>
                <w:sz w:val="24"/>
                <w:szCs w:val="24"/>
              </w:rPr>
            </w:pPr>
            <w:r w:rsidRPr="00792B36">
              <w:rPr>
                <w:sz w:val="24"/>
                <w:szCs w:val="24"/>
              </w:rPr>
              <w:t>212.5</w:t>
            </w:r>
          </w:p>
        </w:tc>
        <w:tc>
          <w:tcPr>
            <w:tcW w:w="1520" w:type="dxa"/>
            <w:vAlign w:val="bottom"/>
          </w:tcPr>
          <w:p w14:paraId="4E66ACE6" w14:textId="77777777" w:rsidR="009A0A63" w:rsidRPr="00792B36" w:rsidRDefault="009A0A63" w:rsidP="00A24459">
            <w:pPr>
              <w:jc w:val="center"/>
              <w:rPr>
                <w:sz w:val="24"/>
                <w:szCs w:val="24"/>
              </w:rPr>
            </w:pPr>
            <w:r w:rsidRPr="00792B36">
              <w:rPr>
                <w:sz w:val="24"/>
                <w:szCs w:val="24"/>
              </w:rPr>
              <w:t>78.7</w:t>
            </w:r>
          </w:p>
        </w:tc>
        <w:tc>
          <w:tcPr>
            <w:tcW w:w="1520" w:type="dxa"/>
            <w:vAlign w:val="bottom"/>
          </w:tcPr>
          <w:p w14:paraId="5403BFAE" w14:textId="77777777" w:rsidR="009A0A63" w:rsidRPr="00792B36" w:rsidRDefault="009A0A63" w:rsidP="00A24459">
            <w:pPr>
              <w:jc w:val="center"/>
              <w:rPr>
                <w:sz w:val="24"/>
                <w:szCs w:val="24"/>
              </w:rPr>
            </w:pPr>
            <w:r w:rsidRPr="00792B36">
              <w:rPr>
                <w:sz w:val="24"/>
                <w:szCs w:val="24"/>
              </w:rPr>
              <w:t>120.7</w:t>
            </w:r>
          </w:p>
        </w:tc>
        <w:tc>
          <w:tcPr>
            <w:tcW w:w="1521" w:type="dxa"/>
            <w:vAlign w:val="bottom"/>
          </w:tcPr>
          <w:p w14:paraId="2EDD6508" w14:textId="77777777" w:rsidR="009A0A63" w:rsidRPr="00792B36" w:rsidRDefault="009A0A63" w:rsidP="00A24459">
            <w:pPr>
              <w:jc w:val="center"/>
              <w:rPr>
                <w:sz w:val="24"/>
                <w:szCs w:val="24"/>
              </w:rPr>
            </w:pPr>
            <w:r w:rsidRPr="00792B36">
              <w:rPr>
                <w:sz w:val="24"/>
                <w:szCs w:val="24"/>
              </w:rPr>
              <w:t>18.2</w:t>
            </w:r>
          </w:p>
        </w:tc>
      </w:tr>
      <w:tr w:rsidR="009A0A63" w:rsidRPr="00792B36" w14:paraId="39149B2E" w14:textId="77777777" w:rsidTr="00A24459">
        <w:trPr>
          <w:trHeight w:val="340"/>
        </w:trPr>
        <w:tc>
          <w:tcPr>
            <w:tcW w:w="2936" w:type="dxa"/>
            <w:vAlign w:val="center"/>
          </w:tcPr>
          <w:p w14:paraId="1D68D178" w14:textId="77777777" w:rsidR="009A0A63" w:rsidRPr="00792B36" w:rsidRDefault="009A0A63" w:rsidP="00A24459">
            <w:pPr>
              <w:rPr>
                <w:sz w:val="24"/>
                <w:szCs w:val="24"/>
              </w:rPr>
            </w:pPr>
            <w:r w:rsidRPr="00792B36">
              <w:rPr>
                <w:color w:val="000000"/>
                <w:sz w:val="24"/>
                <w:szCs w:val="24"/>
              </w:rPr>
              <w:t>Nakhon Si Thammarat</w:t>
            </w:r>
          </w:p>
        </w:tc>
        <w:tc>
          <w:tcPr>
            <w:tcW w:w="1520" w:type="dxa"/>
            <w:vAlign w:val="bottom"/>
          </w:tcPr>
          <w:p w14:paraId="5938ACB4" w14:textId="77777777" w:rsidR="009A0A63" w:rsidRPr="00792B36" w:rsidRDefault="009A0A63" w:rsidP="00A24459">
            <w:pPr>
              <w:jc w:val="center"/>
              <w:rPr>
                <w:sz w:val="24"/>
                <w:szCs w:val="24"/>
              </w:rPr>
            </w:pPr>
            <w:r w:rsidRPr="00792B36">
              <w:rPr>
                <w:sz w:val="24"/>
                <w:szCs w:val="24"/>
              </w:rPr>
              <w:t>817.5</w:t>
            </w:r>
          </w:p>
        </w:tc>
        <w:tc>
          <w:tcPr>
            <w:tcW w:w="1520" w:type="dxa"/>
            <w:vAlign w:val="bottom"/>
          </w:tcPr>
          <w:p w14:paraId="6E465380" w14:textId="77777777" w:rsidR="009A0A63" w:rsidRPr="00792B36" w:rsidRDefault="009A0A63" w:rsidP="00A24459">
            <w:pPr>
              <w:jc w:val="center"/>
              <w:rPr>
                <w:sz w:val="24"/>
                <w:szCs w:val="24"/>
              </w:rPr>
            </w:pPr>
            <w:r w:rsidRPr="00792B36">
              <w:rPr>
                <w:sz w:val="24"/>
                <w:szCs w:val="24"/>
              </w:rPr>
              <w:t>261.6</w:t>
            </w:r>
          </w:p>
        </w:tc>
        <w:tc>
          <w:tcPr>
            <w:tcW w:w="1520" w:type="dxa"/>
            <w:vAlign w:val="bottom"/>
          </w:tcPr>
          <w:p w14:paraId="1AFE34BD" w14:textId="77777777" w:rsidR="009A0A63" w:rsidRPr="00792B36" w:rsidRDefault="009A0A63" w:rsidP="00A24459">
            <w:pPr>
              <w:jc w:val="center"/>
              <w:rPr>
                <w:sz w:val="24"/>
                <w:szCs w:val="24"/>
              </w:rPr>
            </w:pPr>
            <w:r w:rsidRPr="00792B36">
              <w:rPr>
                <w:sz w:val="24"/>
                <w:szCs w:val="24"/>
              </w:rPr>
              <w:t>154.7</w:t>
            </w:r>
          </w:p>
        </w:tc>
        <w:tc>
          <w:tcPr>
            <w:tcW w:w="1521" w:type="dxa"/>
            <w:vAlign w:val="bottom"/>
          </w:tcPr>
          <w:p w14:paraId="2539E50B" w14:textId="77777777" w:rsidR="009A0A63" w:rsidRPr="00792B36" w:rsidRDefault="009A0A63" w:rsidP="00A24459">
            <w:pPr>
              <w:jc w:val="center"/>
              <w:rPr>
                <w:sz w:val="24"/>
                <w:szCs w:val="24"/>
              </w:rPr>
            </w:pPr>
            <w:r w:rsidRPr="00792B36">
              <w:rPr>
                <w:sz w:val="24"/>
                <w:szCs w:val="24"/>
              </w:rPr>
              <w:t>146.9</w:t>
            </w:r>
          </w:p>
        </w:tc>
      </w:tr>
      <w:tr w:rsidR="009A0A63" w:rsidRPr="00792B36" w14:paraId="03474083" w14:textId="77777777" w:rsidTr="00A24459">
        <w:trPr>
          <w:trHeight w:val="340"/>
        </w:trPr>
        <w:tc>
          <w:tcPr>
            <w:tcW w:w="2936" w:type="dxa"/>
            <w:vAlign w:val="center"/>
          </w:tcPr>
          <w:p w14:paraId="669218CA" w14:textId="77777777" w:rsidR="009A0A63" w:rsidRPr="00792B36" w:rsidRDefault="009A0A63" w:rsidP="00A24459">
            <w:pPr>
              <w:rPr>
                <w:sz w:val="24"/>
                <w:szCs w:val="24"/>
              </w:rPr>
            </w:pPr>
            <w:r w:rsidRPr="00792B36">
              <w:rPr>
                <w:color w:val="000000"/>
                <w:sz w:val="24"/>
                <w:szCs w:val="24"/>
              </w:rPr>
              <w:t>Surat-Thani</w:t>
            </w:r>
          </w:p>
        </w:tc>
        <w:tc>
          <w:tcPr>
            <w:tcW w:w="1520" w:type="dxa"/>
            <w:vAlign w:val="bottom"/>
          </w:tcPr>
          <w:p w14:paraId="0DCDD880" w14:textId="77777777" w:rsidR="009A0A63" w:rsidRPr="00792B36" w:rsidRDefault="009A0A63" w:rsidP="00A24459">
            <w:pPr>
              <w:jc w:val="center"/>
              <w:rPr>
                <w:sz w:val="24"/>
                <w:szCs w:val="24"/>
              </w:rPr>
            </w:pPr>
            <w:r w:rsidRPr="00792B36">
              <w:rPr>
                <w:sz w:val="24"/>
                <w:szCs w:val="24"/>
              </w:rPr>
              <w:t>188.2</w:t>
            </w:r>
          </w:p>
        </w:tc>
        <w:tc>
          <w:tcPr>
            <w:tcW w:w="1520" w:type="dxa"/>
            <w:vAlign w:val="bottom"/>
          </w:tcPr>
          <w:p w14:paraId="2CF7552F" w14:textId="77777777" w:rsidR="009A0A63" w:rsidRPr="00792B36" w:rsidRDefault="009A0A63" w:rsidP="00A24459">
            <w:pPr>
              <w:jc w:val="center"/>
              <w:rPr>
                <w:sz w:val="24"/>
                <w:szCs w:val="24"/>
              </w:rPr>
            </w:pPr>
            <w:r w:rsidRPr="00792B36">
              <w:rPr>
                <w:sz w:val="24"/>
                <w:szCs w:val="24"/>
              </w:rPr>
              <w:t>89.2</w:t>
            </w:r>
          </w:p>
        </w:tc>
        <w:tc>
          <w:tcPr>
            <w:tcW w:w="1520" w:type="dxa"/>
            <w:vAlign w:val="bottom"/>
          </w:tcPr>
          <w:p w14:paraId="278BA5C5" w14:textId="77777777" w:rsidR="009A0A63" w:rsidRPr="00792B36" w:rsidRDefault="009A0A63" w:rsidP="00A24459">
            <w:pPr>
              <w:jc w:val="center"/>
              <w:rPr>
                <w:sz w:val="24"/>
                <w:szCs w:val="24"/>
              </w:rPr>
            </w:pPr>
            <w:r w:rsidRPr="00792B36">
              <w:rPr>
                <w:sz w:val="24"/>
                <w:szCs w:val="24"/>
              </w:rPr>
              <w:t>38.7</w:t>
            </w:r>
          </w:p>
        </w:tc>
        <w:tc>
          <w:tcPr>
            <w:tcW w:w="1521" w:type="dxa"/>
            <w:vAlign w:val="bottom"/>
          </w:tcPr>
          <w:p w14:paraId="33634B29" w14:textId="77777777" w:rsidR="009A0A63" w:rsidRPr="00792B36" w:rsidRDefault="009A0A63" w:rsidP="00A24459">
            <w:pPr>
              <w:jc w:val="center"/>
              <w:rPr>
                <w:sz w:val="24"/>
                <w:szCs w:val="24"/>
              </w:rPr>
            </w:pPr>
            <w:r w:rsidRPr="00792B36">
              <w:rPr>
                <w:sz w:val="24"/>
                <w:szCs w:val="24"/>
              </w:rPr>
              <w:t>34.5</w:t>
            </w:r>
          </w:p>
        </w:tc>
      </w:tr>
      <w:tr w:rsidR="009A0A63" w:rsidRPr="00792B36" w14:paraId="0120C393" w14:textId="77777777" w:rsidTr="00A24459">
        <w:trPr>
          <w:trHeight w:val="340"/>
        </w:trPr>
        <w:tc>
          <w:tcPr>
            <w:tcW w:w="2936" w:type="dxa"/>
            <w:vAlign w:val="center"/>
          </w:tcPr>
          <w:p w14:paraId="5F82822F" w14:textId="77777777" w:rsidR="009A0A63" w:rsidRPr="00792B36" w:rsidRDefault="009A0A63" w:rsidP="00A24459">
            <w:pPr>
              <w:rPr>
                <w:sz w:val="24"/>
                <w:szCs w:val="24"/>
              </w:rPr>
            </w:pPr>
            <w:r w:rsidRPr="00792B36">
              <w:rPr>
                <w:color w:val="000000"/>
                <w:sz w:val="24"/>
                <w:szCs w:val="24"/>
              </w:rPr>
              <w:t>Chumphon</w:t>
            </w:r>
          </w:p>
        </w:tc>
        <w:tc>
          <w:tcPr>
            <w:tcW w:w="1520" w:type="dxa"/>
            <w:vAlign w:val="bottom"/>
          </w:tcPr>
          <w:p w14:paraId="2CC91F71" w14:textId="77777777" w:rsidR="009A0A63" w:rsidRPr="00792B36" w:rsidRDefault="009A0A63" w:rsidP="00A24459">
            <w:pPr>
              <w:jc w:val="center"/>
              <w:rPr>
                <w:sz w:val="24"/>
                <w:szCs w:val="24"/>
              </w:rPr>
            </w:pPr>
            <w:r w:rsidRPr="00792B36">
              <w:rPr>
                <w:sz w:val="24"/>
                <w:szCs w:val="24"/>
              </w:rPr>
              <w:t>119.8</w:t>
            </w:r>
          </w:p>
        </w:tc>
        <w:tc>
          <w:tcPr>
            <w:tcW w:w="1520" w:type="dxa"/>
            <w:vAlign w:val="bottom"/>
          </w:tcPr>
          <w:p w14:paraId="3AC7FEC7" w14:textId="77777777" w:rsidR="009A0A63" w:rsidRPr="00792B36" w:rsidRDefault="009A0A63" w:rsidP="00A24459">
            <w:pPr>
              <w:jc w:val="center"/>
              <w:rPr>
                <w:sz w:val="24"/>
                <w:szCs w:val="24"/>
              </w:rPr>
            </w:pPr>
            <w:r w:rsidRPr="00792B36">
              <w:rPr>
                <w:sz w:val="24"/>
                <w:szCs w:val="24"/>
              </w:rPr>
              <w:t>67.3</w:t>
            </w:r>
          </w:p>
        </w:tc>
        <w:tc>
          <w:tcPr>
            <w:tcW w:w="1520" w:type="dxa"/>
            <w:vAlign w:val="bottom"/>
          </w:tcPr>
          <w:p w14:paraId="2585F222" w14:textId="77777777" w:rsidR="009A0A63" w:rsidRPr="00792B36" w:rsidRDefault="009A0A63" w:rsidP="00A24459">
            <w:pPr>
              <w:jc w:val="center"/>
              <w:rPr>
                <w:sz w:val="24"/>
                <w:szCs w:val="24"/>
              </w:rPr>
            </w:pPr>
            <w:r w:rsidRPr="00792B36">
              <w:rPr>
                <w:sz w:val="24"/>
                <w:szCs w:val="24"/>
              </w:rPr>
              <w:t>17.0</w:t>
            </w:r>
          </w:p>
        </w:tc>
        <w:tc>
          <w:tcPr>
            <w:tcW w:w="1521" w:type="dxa"/>
            <w:vAlign w:val="bottom"/>
          </w:tcPr>
          <w:p w14:paraId="1EA6D407" w14:textId="77777777" w:rsidR="009A0A63" w:rsidRPr="00792B36" w:rsidRDefault="009A0A63" w:rsidP="00A24459">
            <w:pPr>
              <w:jc w:val="center"/>
              <w:rPr>
                <w:sz w:val="24"/>
                <w:szCs w:val="24"/>
              </w:rPr>
            </w:pPr>
            <w:r w:rsidRPr="00792B36">
              <w:rPr>
                <w:sz w:val="24"/>
                <w:szCs w:val="24"/>
              </w:rPr>
              <w:t>31.9</w:t>
            </w:r>
          </w:p>
        </w:tc>
      </w:tr>
      <w:tr w:rsidR="009A0A63" w:rsidRPr="00792B36" w14:paraId="5002AAD4" w14:textId="77777777" w:rsidTr="00A24459">
        <w:trPr>
          <w:trHeight w:val="340"/>
        </w:trPr>
        <w:tc>
          <w:tcPr>
            <w:tcW w:w="2936" w:type="dxa"/>
            <w:vAlign w:val="center"/>
          </w:tcPr>
          <w:p w14:paraId="60FB8643" w14:textId="77777777" w:rsidR="009A0A63" w:rsidRPr="00792B36" w:rsidRDefault="009A0A63" w:rsidP="00A24459">
            <w:pPr>
              <w:rPr>
                <w:sz w:val="24"/>
                <w:szCs w:val="24"/>
              </w:rPr>
            </w:pPr>
            <w:r w:rsidRPr="00792B36">
              <w:rPr>
                <w:color w:val="000000"/>
                <w:sz w:val="24"/>
                <w:szCs w:val="24"/>
              </w:rPr>
              <w:t>Songkhla</w:t>
            </w:r>
          </w:p>
        </w:tc>
        <w:tc>
          <w:tcPr>
            <w:tcW w:w="1520" w:type="dxa"/>
            <w:vAlign w:val="bottom"/>
          </w:tcPr>
          <w:p w14:paraId="2C5AAA75" w14:textId="77777777" w:rsidR="009A0A63" w:rsidRPr="00792B36" w:rsidRDefault="009A0A63" w:rsidP="00A24459">
            <w:pPr>
              <w:jc w:val="center"/>
              <w:rPr>
                <w:sz w:val="24"/>
                <w:szCs w:val="24"/>
              </w:rPr>
            </w:pPr>
            <w:r w:rsidRPr="00792B36">
              <w:rPr>
                <w:sz w:val="24"/>
                <w:szCs w:val="24"/>
              </w:rPr>
              <w:t>416.4</w:t>
            </w:r>
          </w:p>
        </w:tc>
        <w:tc>
          <w:tcPr>
            <w:tcW w:w="1520" w:type="dxa"/>
            <w:vAlign w:val="bottom"/>
          </w:tcPr>
          <w:p w14:paraId="2D4A21F2" w14:textId="77777777" w:rsidR="009A0A63" w:rsidRPr="00792B36" w:rsidRDefault="009A0A63" w:rsidP="00A24459">
            <w:pPr>
              <w:jc w:val="center"/>
              <w:rPr>
                <w:sz w:val="24"/>
                <w:szCs w:val="24"/>
              </w:rPr>
            </w:pPr>
            <w:r w:rsidRPr="00792B36">
              <w:rPr>
                <w:sz w:val="24"/>
                <w:szCs w:val="24"/>
              </w:rPr>
              <w:t>145.6</w:t>
            </w:r>
          </w:p>
        </w:tc>
        <w:tc>
          <w:tcPr>
            <w:tcW w:w="1520" w:type="dxa"/>
            <w:vAlign w:val="bottom"/>
          </w:tcPr>
          <w:p w14:paraId="100519C8" w14:textId="77777777" w:rsidR="009A0A63" w:rsidRPr="00792B36" w:rsidRDefault="009A0A63" w:rsidP="00A24459">
            <w:pPr>
              <w:jc w:val="center"/>
              <w:rPr>
                <w:sz w:val="24"/>
                <w:szCs w:val="24"/>
              </w:rPr>
            </w:pPr>
            <w:r w:rsidRPr="00792B36">
              <w:rPr>
                <w:sz w:val="24"/>
                <w:szCs w:val="24"/>
              </w:rPr>
              <w:t>121.5</w:t>
            </w:r>
          </w:p>
        </w:tc>
        <w:tc>
          <w:tcPr>
            <w:tcW w:w="1521" w:type="dxa"/>
            <w:vAlign w:val="bottom"/>
          </w:tcPr>
          <w:p w14:paraId="2EBAD178" w14:textId="77777777" w:rsidR="009A0A63" w:rsidRPr="00792B36" w:rsidRDefault="009A0A63" w:rsidP="00A24459">
            <w:pPr>
              <w:jc w:val="center"/>
              <w:rPr>
                <w:sz w:val="24"/>
                <w:szCs w:val="24"/>
              </w:rPr>
            </w:pPr>
            <w:r w:rsidRPr="00792B36">
              <w:rPr>
                <w:sz w:val="24"/>
                <w:szCs w:val="24"/>
              </w:rPr>
              <w:t>100.4</w:t>
            </w:r>
          </w:p>
        </w:tc>
      </w:tr>
      <w:tr w:rsidR="009A0A63" w:rsidRPr="00792B36" w14:paraId="3F34C46F" w14:textId="77777777" w:rsidTr="00A24459">
        <w:trPr>
          <w:trHeight w:val="340"/>
        </w:trPr>
        <w:tc>
          <w:tcPr>
            <w:tcW w:w="2936" w:type="dxa"/>
            <w:vAlign w:val="center"/>
          </w:tcPr>
          <w:p w14:paraId="116076BD" w14:textId="77777777" w:rsidR="009A0A63" w:rsidRPr="00792B36" w:rsidRDefault="009A0A63" w:rsidP="00A24459">
            <w:pPr>
              <w:rPr>
                <w:sz w:val="24"/>
                <w:szCs w:val="24"/>
              </w:rPr>
            </w:pPr>
            <w:r w:rsidRPr="00792B36">
              <w:rPr>
                <w:color w:val="000000"/>
                <w:sz w:val="24"/>
                <w:szCs w:val="24"/>
              </w:rPr>
              <w:t>Pattani</w:t>
            </w:r>
          </w:p>
        </w:tc>
        <w:tc>
          <w:tcPr>
            <w:tcW w:w="1520" w:type="dxa"/>
            <w:vAlign w:val="bottom"/>
          </w:tcPr>
          <w:p w14:paraId="3CB7DD78" w14:textId="77777777" w:rsidR="009A0A63" w:rsidRPr="00792B36" w:rsidRDefault="009A0A63" w:rsidP="00A24459">
            <w:pPr>
              <w:jc w:val="center"/>
              <w:rPr>
                <w:sz w:val="24"/>
                <w:szCs w:val="24"/>
              </w:rPr>
            </w:pPr>
            <w:r w:rsidRPr="00792B36">
              <w:rPr>
                <w:sz w:val="24"/>
                <w:szCs w:val="24"/>
              </w:rPr>
              <w:t>367.8</w:t>
            </w:r>
          </w:p>
        </w:tc>
        <w:tc>
          <w:tcPr>
            <w:tcW w:w="1520" w:type="dxa"/>
            <w:vAlign w:val="bottom"/>
          </w:tcPr>
          <w:p w14:paraId="74B80FE5" w14:textId="77777777" w:rsidR="009A0A63" w:rsidRPr="00792B36" w:rsidRDefault="009A0A63" w:rsidP="00A24459">
            <w:pPr>
              <w:jc w:val="center"/>
              <w:rPr>
                <w:sz w:val="24"/>
                <w:szCs w:val="24"/>
              </w:rPr>
            </w:pPr>
            <w:r w:rsidRPr="00792B36">
              <w:rPr>
                <w:sz w:val="24"/>
                <w:szCs w:val="24"/>
              </w:rPr>
              <w:t>261.8</w:t>
            </w:r>
          </w:p>
        </w:tc>
        <w:tc>
          <w:tcPr>
            <w:tcW w:w="1520" w:type="dxa"/>
            <w:vAlign w:val="bottom"/>
          </w:tcPr>
          <w:p w14:paraId="5446B316" w14:textId="77777777" w:rsidR="009A0A63" w:rsidRPr="00792B36" w:rsidRDefault="009A0A63" w:rsidP="00A24459">
            <w:pPr>
              <w:jc w:val="center"/>
              <w:rPr>
                <w:sz w:val="24"/>
                <w:szCs w:val="24"/>
              </w:rPr>
            </w:pPr>
            <w:r w:rsidRPr="00792B36">
              <w:rPr>
                <w:sz w:val="24"/>
                <w:szCs w:val="24"/>
              </w:rPr>
              <w:t>330.5</w:t>
            </w:r>
          </w:p>
        </w:tc>
        <w:tc>
          <w:tcPr>
            <w:tcW w:w="1521" w:type="dxa"/>
            <w:vAlign w:val="bottom"/>
          </w:tcPr>
          <w:p w14:paraId="3751263D" w14:textId="77777777" w:rsidR="009A0A63" w:rsidRPr="00792B36" w:rsidRDefault="009A0A63" w:rsidP="00A24459">
            <w:pPr>
              <w:jc w:val="center"/>
              <w:rPr>
                <w:sz w:val="24"/>
                <w:szCs w:val="24"/>
              </w:rPr>
            </w:pPr>
            <w:r w:rsidRPr="00792B36">
              <w:rPr>
                <w:sz w:val="24"/>
                <w:szCs w:val="24"/>
              </w:rPr>
              <w:t>285.4</w:t>
            </w:r>
          </w:p>
        </w:tc>
      </w:tr>
      <w:tr w:rsidR="009A0A63" w:rsidRPr="00792B36" w14:paraId="2A8B24A6" w14:textId="77777777" w:rsidTr="00A24459">
        <w:trPr>
          <w:trHeight w:val="340"/>
        </w:trPr>
        <w:tc>
          <w:tcPr>
            <w:tcW w:w="2936" w:type="dxa"/>
            <w:vAlign w:val="center"/>
          </w:tcPr>
          <w:p w14:paraId="66609ABB" w14:textId="77777777" w:rsidR="009A0A63" w:rsidRPr="00792B36" w:rsidRDefault="009A0A63" w:rsidP="00A24459">
            <w:pPr>
              <w:rPr>
                <w:sz w:val="24"/>
                <w:szCs w:val="24"/>
              </w:rPr>
            </w:pPr>
            <w:r w:rsidRPr="00792B36">
              <w:rPr>
                <w:color w:val="000000"/>
                <w:sz w:val="24"/>
                <w:szCs w:val="24"/>
              </w:rPr>
              <w:t>Narathiwat</w:t>
            </w:r>
          </w:p>
        </w:tc>
        <w:tc>
          <w:tcPr>
            <w:tcW w:w="1520" w:type="dxa"/>
            <w:vAlign w:val="bottom"/>
          </w:tcPr>
          <w:p w14:paraId="231CF1EB" w14:textId="77777777" w:rsidR="009A0A63" w:rsidRPr="00792B36" w:rsidRDefault="009A0A63" w:rsidP="00A24459">
            <w:pPr>
              <w:jc w:val="center"/>
              <w:rPr>
                <w:sz w:val="24"/>
                <w:szCs w:val="24"/>
              </w:rPr>
            </w:pPr>
            <w:r w:rsidRPr="00792B36">
              <w:rPr>
                <w:sz w:val="24"/>
                <w:szCs w:val="24"/>
              </w:rPr>
              <w:t>485.5</w:t>
            </w:r>
          </w:p>
        </w:tc>
        <w:tc>
          <w:tcPr>
            <w:tcW w:w="1520" w:type="dxa"/>
            <w:vAlign w:val="bottom"/>
          </w:tcPr>
          <w:p w14:paraId="2879931F" w14:textId="77777777" w:rsidR="009A0A63" w:rsidRPr="00792B36" w:rsidRDefault="009A0A63" w:rsidP="00A24459">
            <w:pPr>
              <w:jc w:val="center"/>
              <w:rPr>
                <w:sz w:val="24"/>
                <w:szCs w:val="24"/>
              </w:rPr>
            </w:pPr>
            <w:r w:rsidRPr="00792B36">
              <w:rPr>
                <w:sz w:val="24"/>
                <w:szCs w:val="24"/>
              </w:rPr>
              <w:t>440.9</w:t>
            </w:r>
          </w:p>
        </w:tc>
        <w:tc>
          <w:tcPr>
            <w:tcW w:w="1520" w:type="dxa"/>
            <w:vAlign w:val="bottom"/>
          </w:tcPr>
          <w:p w14:paraId="5B0DE26E" w14:textId="77777777" w:rsidR="009A0A63" w:rsidRPr="00792B36" w:rsidRDefault="009A0A63" w:rsidP="00A24459">
            <w:pPr>
              <w:jc w:val="center"/>
              <w:rPr>
                <w:sz w:val="24"/>
                <w:szCs w:val="24"/>
              </w:rPr>
            </w:pPr>
            <w:r w:rsidRPr="00792B36">
              <w:rPr>
                <w:sz w:val="24"/>
                <w:szCs w:val="24"/>
              </w:rPr>
              <w:t>236.1</w:t>
            </w:r>
          </w:p>
        </w:tc>
        <w:tc>
          <w:tcPr>
            <w:tcW w:w="1521" w:type="dxa"/>
            <w:vAlign w:val="bottom"/>
          </w:tcPr>
          <w:p w14:paraId="3EB46B74" w14:textId="77777777" w:rsidR="009A0A63" w:rsidRPr="00792B36" w:rsidRDefault="009A0A63" w:rsidP="00A24459">
            <w:pPr>
              <w:jc w:val="center"/>
              <w:rPr>
                <w:sz w:val="24"/>
                <w:szCs w:val="24"/>
              </w:rPr>
            </w:pPr>
            <w:r w:rsidRPr="00792B36">
              <w:rPr>
                <w:sz w:val="24"/>
                <w:szCs w:val="24"/>
              </w:rPr>
              <w:t>182.2</w:t>
            </w:r>
          </w:p>
        </w:tc>
      </w:tr>
      <w:tr w:rsidR="009A0A63" w:rsidRPr="00792B36" w14:paraId="673085AF" w14:textId="77777777" w:rsidTr="00A24459">
        <w:trPr>
          <w:trHeight w:val="340"/>
        </w:trPr>
        <w:tc>
          <w:tcPr>
            <w:tcW w:w="2936" w:type="dxa"/>
            <w:vAlign w:val="center"/>
          </w:tcPr>
          <w:p w14:paraId="3709B02C" w14:textId="77777777" w:rsidR="009A0A63" w:rsidRPr="00792B36" w:rsidRDefault="009A0A63" w:rsidP="00A24459">
            <w:pPr>
              <w:rPr>
                <w:sz w:val="24"/>
                <w:szCs w:val="24"/>
              </w:rPr>
            </w:pPr>
            <w:r w:rsidRPr="00792B36">
              <w:rPr>
                <w:color w:val="000000"/>
                <w:sz w:val="24"/>
                <w:szCs w:val="24"/>
              </w:rPr>
              <w:t>Bangkok</w:t>
            </w:r>
          </w:p>
        </w:tc>
        <w:tc>
          <w:tcPr>
            <w:tcW w:w="1520" w:type="dxa"/>
            <w:vAlign w:val="bottom"/>
          </w:tcPr>
          <w:p w14:paraId="09B866D9" w14:textId="77777777" w:rsidR="009A0A63" w:rsidRPr="00792B36" w:rsidRDefault="009A0A63" w:rsidP="00A24459">
            <w:pPr>
              <w:jc w:val="center"/>
              <w:rPr>
                <w:sz w:val="24"/>
                <w:szCs w:val="24"/>
              </w:rPr>
            </w:pPr>
            <w:r w:rsidRPr="00792B36">
              <w:rPr>
                <w:sz w:val="24"/>
                <w:szCs w:val="24"/>
              </w:rPr>
              <w:t>372.6</w:t>
            </w:r>
          </w:p>
        </w:tc>
        <w:tc>
          <w:tcPr>
            <w:tcW w:w="1520" w:type="dxa"/>
            <w:vAlign w:val="bottom"/>
          </w:tcPr>
          <w:p w14:paraId="024E44AA" w14:textId="77777777" w:rsidR="009A0A63" w:rsidRPr="00792B36" w:rsidRDefault="009A0A63" w:rsidP="00A24459">
            <w:pPr>
              <w:jc w:val="center"/>
              <w:rPr>
                <w:sz w:val="24"/>
                <w:szCs w:val="24"/>
              </w:rPr>
            </w:pPr>
            <w:r w:rsidRPr="00792B36">
              <w:rPr>
                <w:sz w:val="24"/>
                <w:szCs w:val="24"/>
              </w:rPr>
              <w:t>214.7</w:t>
            </w:r>
          </w:p>
        </w:tc>
        <w:tc>
          <w:tcPr>
            <w:tcW w:w="1520" w:type="dxa"/>
            <w:vAlign w:val="bottom"/>
          </w:tcPr>
          <w:p w14:paraId="0FACD938" w14:textId="77777777" w:rsidR="009A0A63" w:rsidRPr="00792B36" w:rsidRDefault="009A0A63" w:rsidP="00A24459">
            <w:pPr>
              <w:jc w:val="center"/>
              <w:rPr>
                <w:sz w:val="24"/>
                <w:szCs w:val="24"/>
              </w:rPr>
            </w:pPr>
            <w:r w:rsidRPr="00792B36">
              <w:rPr>
                <w:sz w:val="24"/>
                <w:szCs w:val="24"/>
              </w:rPr>
              <w:t>186.7</w:t>
            </w:r>
          </w:p>
        </w:tc>
        <w:tc>
          <w:tcPr>
            <w:tcW w:w="1521" w:type="dxa"/>
            <w:vAlign w:val="bottom"/>
          </w:tcPr>
          <w:p w14:paraId="7515FA4E" w14:textId="77777777" w:rsidR="009A0A63" w:rsidRPr="00792B36" w:rsidRDefault="009A0A63" w:rsidP="00A24459">
            <w:pPr>
              <w:jc w:val="center"/>
              <w:rPr>
                <w:sz w:val="24"/>
                <w:szCs w:val="24"/>
              </w:rPr>
            </w:pPr>
            <w:r w:rsidRPr="00792B36">
              <w:rPr>
                <w:sz w:val="24"/>
                <w:szCs w:val="24"/>
              </w:rPr>
              <w:t>44.1</w:t>
            </w:r>
          </w:p>
        </w:tc>
      </w:tr>
      <w:tr w:rsidR="009A0A63" w:rsidRPr="00792B36" w14:paraId="6D1FB11D" w14:textId="77777777" w:rsidTr="00A24459">
        <w:trPr>
          <w:trHeight w:val="340"/>
        </w:trPr>
        <w:tc>
          <w:tcPr>
            <w:tcW w:w="2936" w:type="dxa"/>
            <w:vAlign w:val="center"/>
          </w:tcPr>
          <w:p w14:paraId="4B857473" w14:textId="77777777" w:rsidR="009A0A63" w:rsidRPr="00792B36" w:rsidRDefault="009A0A63" w:rsidP="00A24459">
            <w:pPr>
              <w:rPr>
                <w:sz w:val="24"/>
                <w:szCs w:val="24"/>
              </w:rPr>
            </w:pPr>
            <w:r w:rsidRPr="00792B36">
              <w:rPr>
                <w:color w:val="000000"/>
                <w:sz w:val="24"/>
                <w:szCs w:val="24"/>
              </w:rPr>
              <w:t>Thailand</w:t>
            </w:r>
          </w:p>
        </w:tc>
        <w:tc>
          <w:tcPr>
            <w:tcW w:w="1520" w:type="dxa"/>
            <w:vAlign w:val="bottom"/>
          </w:tcPr>
          <w:p w14:paraId="59D12C81" w14:textId="77777777" w:rsidR="009A0A63" w:rsidRPr="00792B36" w:rsidRDefault="009A0A63" w:rsidP="00A24459">
            <w:pPr>
              <w:jc w:val="center"/>
              <w:rPr>
                <w:sz w:val="24"/>
                <w:szCs w:val="24"/>
              </w:rPr>
            </w:pPr>
            <w:r w:rsidRPr="00792B36">
              <w:rPr>
                <w:sz w:val="24"/>
                <w:szCs w:val="24"/>
              </w:rPr>
              <w:t>25,778.0</w:t>
            </w:r>
          </w:p>
        </w:tc>
        <w:tc>
          <w:tcPr>
            <w:tcW w:w="1520" w:type="dxa"/>
            <w:vAlign w:val="bottom"/>
          </w:tcPr>
          <w:p w14:paraId="48A52AB4" w14:textId="77777777" w:rsidR="009A0A63" w:rsidRPr="00792B36" w:rsidRDefault="009A0A63" w:rsidP="00A24459">
            <w:pPr>
              <w:jc w:val="center"/>
              <w:rPr>
                <w:sz w:val="24"/>
                <w:szCs w:val="24"/>
              </w:rPr>
            </w:pPr>
            <w:r w:rsidRPr="00792B36">
              <w:rPr>
                <w:sz w:val="24"/>
                <w:szCs w:val="24"/>
              </w:rPr>
              <w:t>13,779.7</w:t>
            </w:r>
          </w:p>
        </w:tc>
        <w:tc>
          <w:tcPr>
            <w:tcW w:w="1520" w:type="dxa"/>
            <w:vAlign w:val="bottom"/>
          </w:tcPr>
          <w:p w14:paraId="03640D11" w14:textId="77777777" w:rsidR="009A0A63" w:rsidRPr="00792B36" w:rsidRDefault="009A0A63" w:rsidP="00A24459">
            <w:pPr>
              <w:rPr>
                <w:sz w:val="24"/>
                <w:szCs w:val="24"/>
              </w:rPr>
            </w:pPr>
            <w:r w:rsidRPr="00792B36">
              <w:rPr>
                <w:sz w:val="24"/>
                <w:szCs w:val="24"/>
              </w:rPr>
              <w:t>10,800.7</w:t>
            </w:r>
          </w:p>
        </w:tc>
        <w:tc>
          <w:tcPr>
            <w:tcW w:w="1521" w:type="dxa"/>
            <w:vAlign w:val="bottom"/>
          </w:tcPr>
          <w:p w14:paraId="3055F834" w14:textId="77777777" w:rsidR="009A0A63" w:rsidRPr="00792B36" w:rsidRDefault="009A0A63" w:rsidP="00A24459">
            <w:pPr>
              <w:jc w:val="center"/>
              <w:rPr>
                <w:sz w:val="24"/>
                <w:szCs w:val="24"/>
              </w:rPr>
            </w:pPr>
            <w:r w:rsidRPr="00792B36">
              <w:rPr>
                <w:sz w:val="24"/>
                <w:szCs w:val="24"/>
              </w:rPr>
              <w:t>4,748.2</w:t>
            </w:r>
          </w:p>
        </w:tc>
      </w:tr>
    </w:tbl>
    <w:p w14:paraId="73DA97A6" w14:textId="77777777" w:rsidR="009A0A63" w:rsidRPr="00792B36" w:rsidRDefault="009A0A63" w:rsidP="009A0A63">
      <w:pPr>
        <w:pBdr>
          <w:top w:val="nil"/>
          <w:left w:val="nil"/>
          <w:bottom w:val="nil"/>
          <w:right w:val="nil"/>
          <w:between w:val="nil"/>
        </w:pBdr>
        <w:spacing w:line="360" w:lineRule="auto"/>
        <w:contextualSpacing/>
        <w:jc w:val="both"/>
        <w:rPr>
          <w:color w:val="000000" w:themeColor="text1"/>
          <w:sz w:val="24"/>
          <w:szCs w:val="24"/>
        </w:rPr>
      </w:pPr>
      <w:r w:rsidRPr="00792B36">
        <w:rPr>
          <w:color w:val="000000" w:themeColor="text1"/>
          <w:sz w:val="24"/>
          <w:szCs w:val="24"/>
        </w:rPr>
        <w:t xml:space="preserve">Source: Office of the National Economic and Social Development Council. 2025. Household Socio-Economic Survey by the National Statistical Office; compiled by the Division of Social Data and Indicators Development, NESDC. </w:t>
      </w:r>
    </w:p>
    <w:p w14:paraId="23F8ADB9" w14:textId="77777777" w:rsidR="009A0A63" w:rsidRPr="00792B36" w:rsidRDefault="009A0A63" w:rsidP="009A0A63">
      <w:pPr>
        <w:pBdr>
          <w:top w:val="nil"/>
          <w:left w:val="nil"/>
          <w:bottom w:val="nil"/>
          <w:right w:val="nil"/>
          <w:between w:val="nil"/>
        </w:pBdr>
        <w:spacing w:line="360" w:lineRule="auto"/>
        <w:contextualSpacing/>
        <w:jc w:val="both"/>
        <w:rPr>
          <w:color w:val="000000" w:themeColor="text1"/>
          <w:sz w:val="24"/>
          <w:szCs w:val="24"/>
        </w:rPr>
      </w:pPr>
      <w:hyperlink r:id="rId95" w:history="1">
        <w:r w:rsidRPr="00792B36">
          <w:rPr>
            <w:rStyle w:val="Hyperlink"/>
            <w:sz w:val="24"/>
            <w:szCs w:val="24"/>
          </w:rPr>
          <w:t>https://www.nesdc.go.th/main.php?filename=social</w:t>
        </w:r>
      </w:hyperlink>
      <w:r w:rsidRPr="00792B36">
        <w:rPr>
          <w:color w:val="000000" w:themeColor="text1"/>
          <w:sz w:val="24"/>
          <w:szCs w:val="24"/>
          <w:cs/>
        </w:rPr>
        <w:t xml:space="preserve"> </w:t>
      </w:r>
      <w:r w:rsidRPr="00792B36">
        <w:rPr>
          <w:color w:val="000000" w:themeColor="text1"/>
          <w:sz w:val="24"/>
          <w:szCs w:val="24"/>
        </w:rPr>
        <w:t>(accessed 22 April 2025)</w:t>
      </w:r>
    </w:p>
    <w:p w14:paraId="162D53C6" w14:textId="77777777" w:rsidR="009A0A63" w:rsidRPr="00792B36" w:rsidRDefault="009A0A63" w:rsidP="009A0A63">
      <w:pPr>
        <w:spacing w:line="360" w:lineRule="auto"/>
        <w:contextualSpacing/>
        <w:rPr>
          <w:color w:val="000000" w:themeColor="text1"/>
          <w:sz w:val="24"/>
          <w:szCs w:val="24"/>
        </w:rPr>
      </w:pPr>
    </w:p>
    <w:p w14:paraId="63F383EE" w14:textId="77777777" w:rsidR="009A0A63" w:rsidRPr="00792B36" w:rsidRDefault="009A0A63" w:rsidP="009A0A63">
      <w:pPr>
        <w:spacing w:line="360" w:lineRule="auto"/>
        <w:rPr>
          <w:sz w:val="24"/>
          <w:szCs w:val="24"/>
        </w:rPr>
      </w:pPr>
    </w:p>
    <w:p w14:paraId="101939B9" w14:textId="77777777" w:rsidR="009A0A63" w:rsidRPr="00792B36" w:rsidRDefault="009A0A63" w:rsidP="009A0A63">
      <w:pPr>
        <w:spacing w:line="360" w:lineRule="auto"/>
        <w:rPr>
          <w:sz w:val="24"/>
          <w:szCs w:val="24"/>
        </w:rPr>
      </w:pPr>
    </w:p>
    <w:p w14:paraId="32C83624" w14:textId="77777777" w:rsidR="009A0A63" w:rsidRPr="00792B36" w:rsidRDefault="009A0A63" w:rsidP="009A0A63">
      <w:pPr>
        <w:spacing w:line="360" w:lineRule="auto"/>
        <w:rPr>
          <w:sz w:val="24"/>
          <w:szCs w:val="24"/>
        </w:rPr>
      </w:pPr>
    </w:p>
    <w:p w14:paraId="45D1C4F1" w14:textId="77777777" w:rsidR="009A0A63" w:rsidRPr="00792B36" w:rsidRDefault="009A0A63" w:rsidP="009A0A63">
      <w:pPr>
        <w:spacing w:line="360" w:lineRule="auto"/>
        <w:rPr>
          <w:sz w:val="24"/>
          <w:szCs w:val="24"/>
        </w:rPr>
      </w:pPr>
    </w:p>
    <w:p w14:paraId="1B7D1E6E" w14:textId="77777777" w:rsidR="009A0A63" w:rsidRPr="00792B36" w:rsidRDefault="009A0A63" w:rsidP="009A0A63">
      <w:pPr>
        <w:spacing w:line="360" w:lineRule="auto"/>
        <w:rPr>
          <w:sz w:val="24"/>
          <w:szCs w:val="24"/>
        </w:rPr>
      </w:pPr>
    </w:p>
    <w:p w14:paraId="2A052360" w14:textId="77777777" w:rsidR="009A0A63" w:rsidRPr="00792B36" w:rsidRDefault="009A0A63" w:rsidP="009A0A63">
      <w:pPr>
        <w:spacing w:line="360" w:lineRule="auto"/>
        <w:rPr>
          <w:sz w:val="24"/>
          <w:szCs w:val="24"/>
        </w:rPr>
      </w:pPr>
    </w:p>
    <w:p w14:paraId="222AE34F" w14:textId="77777777" w:rsidR="009A0A63" w:rsidRPr="00792B36" w:rsidRDefault="009A0A63" w:rsidP="009A0A63">
      <w:pPr>
        <w:spacing w:line="360" w:lineRule="auto"/>
        <w:rPr>
          <w:sz w:val="24"/>
          <w:szCs w:val="24"/>
        </w:rPr>
      </w:pPr>
    </w:p>
    <w:p w14:paraId="625F0179" w14:textId="77777777" w:rsidR="009A0A63" w:rsidRPr="00792B36" w:rsidRDefault="009A0A63" w:rsidP="009A0A63">
      <w:pPr>
        <w:spacing w:line="360" w:lineRule="auto"/>
        <w:rPr>
          <w:sz w:val="24"/>
          <w:szCs w:val="24"/>
        </w:rPr>
      </w:pPr>
    </w:p>
    <w:p w14:paraId="71C86C80" w14:textId="77777777" w:rsidR="009A0A63" w:rsidRPr="00792B36" w:rsidRDefault="009A0A63" w:rsidP="009A0A63">
      <w:pPr>
        <w:spacing w:line="360" w:lineRule="auto"/>
        <w:rPr>
          <w:sz w:val="24"/>
          <w:szCs w:val="24"/>
        </w:rPr>
      </w:pPr>
    </w:p>
    <w:p w14:paraId="30F759C5" w14:textId="77777777" w:rsidR="009A0A63" w:rsidRPr="00792B36" w:rsidRDefault="009A0A63" w:rsidP="009A0A63">
      <w:pPr>
        <w:spacing w:line="360" w:lineRule="auto"/>
        <w:rPr>
          <w:sz w:val="24"/>
          <w:szCs w:val="24"/>
        </w:rPr>
      </w:pPr>
    </w:p>
    <w:p w14:paraId="1C3BAA5E" w14:textId="77777777" w:rsidR="009A0A63" w:rsidRPr="00792B36" w:rsidRDefault="009A0A63" w:rsidP="009A0A63">
      <w:pPr>
        <w:spacing w:line="360" w:lineRule="auto"/>
        <w:contextualSpacing/>
        <w:rPr>
          <w:color w:val="000000" w:themeColor="text1"/>
          <w:sz w:val="24"/>
          <w:szCs w:val="24"/>
        </w:rPr>
      </w:pPr>
      <w:r w:rsidRPr="00792B36">
        <w:rPr>
          <w:b/>
          <w:bCs/>
          <w:sz w:val="24"/>
          <w:szCs w:val="24"/>
        </w:rPr>
        <w:lastRenderedPageBreak/>
        <w:t xml:space="preserve">Annex 2.10 </w:t>
      </w:r>
      <w:r w:rsidRPr="00792B36">
        <w:rPr>
          <w:color w:val="000000" w:themeColor="text1"/>
          <w:sz w:val="24"/>
          <w:szCs w:val="24"/>
        </w:rPr>
        <w:t>HDI of Thailand (1990-2023)</w:t>
      </w:r>
    </w:p>
    <w:tbl>
      <w:tblPr>
        <w:tblStyle w:val="TableGrid"/>
        <w:tblW w:w="0" w:type="auto"/>
        <w:tblLook w:val="04A0" w:firstRow="1" w:lastRow="0" w:firstColumn="1" w:lastColumn="0" w:noHBand="0" w:noVBand="1"/>
      </w:tblPr>
      <w:tblGrid>
        <w:gridCol w:w="4508"/>
        <w:gridCol w:w="4509"/>
      </w:tblGrid>
      <w:tr w:rsidR="009A0A63" w:rsidRPr="00792B36" w14:paraId="600F0676" w14:textId="77777777" w:rsidTr="00A24459">
        <w:trPr>
          <w:trHeight w:val="340"/>
        </w:trPr>
        <w:tc>
          <w:tcPr>
            <w:tcW w:w="4508" w:type="dxa"/>
            <w:vAlign w:val="bottom"/>
          </w:tcPr>
          <w:p w14:paraId="38039CC9" w14:textId="77777777" w:rsidR="009A0A63" w:rsidRPr="00792B36" w:rsidRDefault="009A0A63" w:rsidP="00A24459">
            <w:pPr>
              <w:contextualSpacing/>
              <w:jc w:val="center"/>
              <w:rPr>
                <w:b/>
                <w:bCs/>
                <w:color w:val="000000" w:themeColor="text1"/>
                <w:spacing w:val="-6"/>
                <w:sz w:val="24"/>
                <w:szCs w:val="24"/>
              </w:rPr>
            </w:pPr>
            <w:r w:rsidRPr="00792B36">
              <w:rPr>
                <w:b/>
                <w:bCs/>
                <w:color w:val="000000" w:themeColor="text1"/>
                <w:spacing w:val="-6"/>
                <w:sz w:val="24"/>
                <w:szCs w:val="24"/>
              </w:rPr>
              <w:t>Year</w:t>
            </w:r>
          </w:p>
        </w:tc>
        <w:tc>
          <w:tcPr>
            <w:tcW w:w="4509" w:type="dxa"/>
            <w:vAlign w:val="bottom"/>
          </w:tcPr>
          <w:p w14:paraId="7DA28D2E" w14:textId="77777777" w:rsidR="009A0A63" w:rsidRPr="00792B36" w:rsidRDefault="009A0A63" w:rsidP="00A24459">
            <w:pPr>
              <w:contextualSpacing/>
              <w:jc w:val="center"/>
              <w:rPr>
                <w:b/>
                <w:bCs/>
                <w:color w:val="000000" w:themeColor="text1"/>
                <w:spacing w:val="-6"/>
                <w:sz w:val="24"/>
                <w:szCs w:val="24"/>
              </w:rPr>
            </w:pPr>
            <w:r w:rsidRPr="00792B36">
              <w:rPr>
                <w:b/>
                <w:bCs/>
                <w:color w:val="000000" w:themeColor="text1"/>
                <w:spacing w:val="-6"/>
                <w:sz w:val="24"/>
                <w:szCs w:val="24"/>
              </w:rPr>
              <w:t>HDI</w:t>
            </w:r>
          </w:p>
        </w:tc>
      </w:tr>
      <w:tr w:rsidR="009A0A63" w:rsidRPr="00792B36" w14:paraId="1D6791B5" w14:textId="77777777" w:rsidTr="00A24459">
        <w:trPr>
          <w:trHeight w:val="340"/>
        </w:trPr>
        <w:tc>
          <w:tcPr>
            <w:tcW w:w="4508" w:type="dxa"/>
            <w:vAlign w:val="bottom"/>
          </w:tcPr>
          <w:p w14:paraId="3B77B429" w14:textId="77777777" w:rsidR="009A0A63" w:rsidRPr="00792B36" w:rsidRDefault="009A0A63" w:rsidP="00A24459">
            <w:pPr>
              <w:contextualSpacing/>
              <w:jc w:val="center"/>
              <w:rPr>
                <w:sz w:val="24"/>
                <w:szCs w:val="24"/>
              </w:rPr>
            </w:pPr>
            <w:r w:rsidRPr="00792B36">
              <w:rPr>
                <w:sz w:val="24"/>
                <w:szCs w:val="24"/>
              </w:rPr>
              <w:t>1990</w:t>
            </w:r>
          </w:p>
        </w:tc>
        <w:tc>
          <w:tcPr>
            <w:tcW w:w="4509" w:type="dxa"/>
            <w:vAlign w:val="bottom"/>
          </w:tcPr>
          <w:p w14:paraId="7A4753D2" w14:textId="77777777" w:rsidR="009A0A63" w:rsidRPr="00792B36" w:rsidRDefault="009A0A63" w:rsidP="00A24459">
            <w:pPr>
              <w:contextualSpacing/>
              <w:jc w:val="center"/>
              <w:rPr>
                <w:sz w:val="24"/>
                <w:szCs w:val="24"/>
              </w:rPr>
            </w:pPr>
            <w:r w:rsidRPr="00792B36">
              <w:rPr>
                <w:sz w:val="24"/>
                <w:szCs w:val="24"/>
              </w:rPr>
              <w:t>0.584</w:t>
            </w:r>
          </w:p>
        </w:tc>
      </w:tr>
      <w:tr w:rsidR="009A0A63" w:rsidRPr="00792B36" w14:paraId="4A148DA4" w14:textId="77777777" w:rsidTr="00A24459">
        <w:trPr>
          <w:trHeight w:val="340"/>
        </w:trPr>
        <w:tc>
          <w:tcPr>
            <w:tcW w:w="4508" w:type="dxa"/>
            <w:vAlign w:val="bottom"/>
          </w:tcPr>
          <w:p w14:paraId="294D8E51" w14:textId="77777777" w:rsidR="009A0A63" w:rsidRPr="00792B36" w:rsidRDefault="009A0A63" w:rsidP="00A24459">
            <w:pPr>
              <w:contextualSpacing/>
              <w:jc w:val="center"/>
              <w:rPr>
                <w:color w:val="000000" w:themeColor="text1"/>
                <w:spacing w:val="-6"/>
                <w:sz w:val="24"/>
                <w:szCs w:val="24"/>
              </w:rPr>
            </w:pPr>
            <w:r w:rsidRPr="00792B36">
              <w:rPr>
                <w:sz w:val="24"/>
                <w:szCs w:val="24"/>
              </w:rPr>
              <w:t>2000</w:t>
            </w:r>
          </w:p>
        </w:tc>
        <w:tc>
          <w:tcPr>
            <w:tcW w:w="4509" w:type="dxa"/>
            <w:vAlign w:val="bottom"/>
          </w:tcPr>
          <w:p w14:paraId="1F5990CB" w14:textId="77777777" w:rsidR="009A0A63" w:rsidRPr="00792B36" w:rsidRDefault="009A0A63" w:rsidP="00A24459">
            <w:pPr>
              <w:contextualSpacing/>
              <w:jc w:val="center"/>
              <w:rPr>
                <w:color w:val="000000" w:themeColor="text1"/>
                <w:spacing w:val="-6"/>
                <w:sz w:val="24"/>
                <w:szCs w:val="24"/>
              </w:rPr>
            </w:pPr>
            <w:r w:rsidRPr="00792B36">
              <w:rPr>
                <w:sz w:val="24"/>
                <w:szCs w:val="24"/>
              </w:rPr>
              <w:t>0.657</w:t>
            </w:r>
          </w:p>
        </w:tc>
      </w:tr>
      <w:tr w:rsidR="009A0A63" w:rsidRPr="00792B36" w14:paraId="527A2209" w14:textId="77777777" w:rsidTr="00A24459">
        <w:trPr>
          <w:trHeight w:val="340"/>
        </w:trPr>
        <w:tc>
          <w:tcPr>
            <w:tcW w:w="4508" w:type="dxa"/>
            <w:vAlign w:val="bottom"/>
          </w:tcPr>
          <w:p w14:paraId="118ABAE0" w14:textId="77777777" w:rsidR="009A0A63" w:rsidRPr="00792B36" w:rsidRDefault="009A0A63" w:rsidP="00A24459">
            <w:pPr>
              <w:contextualSpacing/>
              <w:jc w:val="center"/>
              <w:rPr>
                <w:color w:val="000000" w:themeColor="text1"/>
                <w:spacing w:val="-6"/>
                <w:sz w:val="24"/>
                <w:szCs w:val="24"/>
              </w:rPr>
            </w:pPr>
            <w:r w:rsidRPr="00792B36">
              <w:rPr>
                <w:sz w:val="24"/>
                <w:szCs w:val="24"/>
              </w:rPr>
              <w:t>2010</w:t>
            </w:r>
          </w:p>
        </w:tc>
        <w:tc>
          <w:tcPr>
            <w:tcW w:w="4509" w:type="dxa"/>
            <w:vAlign w:val="bottom"/>
          </w:tcPr>
          <w:p w14:paraId="122FE53D" w14:textId="77777777" w:rsidR="009A0A63" w:rsidRPr="00792B36" w:rsidRDefault="009A0A63" w:rsidP="00A24459">
            <w:pPr>
              <w:contextualSpacing/>
              <w:jc w:val="center"/>
              <w:rPr>
                <w:color w:val="000000" w:themeColor="text1"/>
                <w:spacing w:val="-6"/>
                <w:sz w:val="24"/>
                <w:szCs w:val="24"/>
              </w:rPr>
            </w:pPr>
            <w:r w:rsidRPr="00792B36">
              <w:rPr>
                <w:sz w:val="24"/>
                <w:szCs w:val="24"/>
              </w:rPr>
              <w:t>0.742</w:t>
            </w:r>
          </w:p>
        </w:tc>
      </w:tr>
      <w:tr w:rsidR="009A0A63" w:rsidRPr="00792B36" w14:paraId="69B5F385" w14:textId="77777777" w:rsidTr="00A24459">
        <w:trPr>
          <w:trHeight w:val="340"/>
        </w:trPr>
        <w:tc>
          <w:tcPr>
            <w:tcW w:w="4508" w:type="dxa"/>
            <w:vAlign w:val="bottom"/>
          </w:tcPr>
          <w:p w14:paraId="32789B0C" w14:textId="77777777" w:rsidR="009A0A63" w:rsidRPr="00792B36" w:rsidRDefault="009A0A63" w:rsidP="00A24459">
            <w:pPr>
              <w:contextualSpacing/>
              <w:jc w:val="center"/>
              <w:rPr>
                <w:color w:val="000000" w:themeColor="text1"/>
                <w:spacing w:val="-6"/>
                <w:sz w:val="24"/>
                <w:szCs w:val="24"/>
              </w:rPr>
            </w:pPr>
            <w:r w:rsidRPr="00792B36">
              <w:rPr>
                <w:sz w:val="24"/>
                <w:szCs w:val="24"/>
              </w:rPr>
              <w:t>2015</w:t>
            </w:r>
          </w:p>
        </w:tc>
        <w:tc>
          <w:tcPr>
            <w:tcW w:w="4509" w:type="dxa"/>
            <w:vAlign w:val="bottom"/>
          </w:tcPr>
          <w:p w14:paraId="57E0E4CA" w14:textId="77777777" w:rsidR="009A0A63" w:rsidRPr="00792B36" w:rsidRDefault="009A0A63" w:rsidP="00A24459">
            <w:pPr>
              <w:contextualSpacing/>
              <w:jc w:val="center"/>
              <w:rPr>
                <w:color w:val="000000" w:themeColor="text1"/>
                <w:spacing w:val="-6"/>
                <w:sz w:val="24"/>
                <w:szCs w:val="24"/>
              </w:rPr>
            </w:pPr>
            <w:r w:rsidRPr="00792B36">
              <w:rPr>
                <w:sz w:val="24"/>
                <w:szCs w:val="24"/>
              </w:rPr>
              <w:t>0.788</w:t>
            </w:r>
          </w:p>
        </w:tc>
      </w:tr>
      <w:tr w:rsidR="009A0A63" w:rsidRPr="00792B36" w14:paraId="3DEBC486" w14:textId="77777777" w:rsidTr="00A24459">
        <w:trPr>
          <w:trHeight w:val="340"/>
        </w:trPr>
        <w:tc>
          <w:tcPr>
            <w:tcW w:w="4508" w:type="dxa"/>
            <w:vAlign w:val="bottom"/>
          </w:tcPr>
          <w:p w14:paraId="044C22DE" w14:textId="77777777" w:rsidR="009A0A63" w:rsidRPr="00792B36" w:rsidRDefault="009A0A63" w:rsidP="00A24459">
            <w:pPr>
              <w:contextualSpacing/>
              <w:jc w:val="center"/>
              <w:rPr>
                <w:color w:val="000000" w:themeColor="text1"/>
                <w:spacing w:val="-6"/>
                <w:sz w:val="24"/>
                <w:szCs w:val="24"/>
              </w:rPr>
            </w:pPr>
            <w:r w:rsidRPr="00792B36">
              <w:rPr>
                <w:sz w:val="24"/>
                <w:szCs w:val="24"/>
              </w:rPr>
              <w:t>2020</w:t>
            </w:r>
          </w:p>
        </w:tc>
        <w:tc>
          <w:tcPr>
            <w:tcW w:w="4509" w:type="dxa"/>
            <w:vAlign w:val="bottom"/>
          </w:tcPr>
          <w:p w14:paraId="77E24130" w14:textId="77777777" w:rsidR="009A0A63" w:rsidRPr="00792B36" w:rsidRDefault="009A0A63" w:rsidP="00A24459">
            <w:pPr>
              <w:contextualSpacing/>
              <w:jc w:val="center"/>
              <w:rPr>
                <w:color w:val="000000" w:themeColor="text1"/>
                <w:spacing w:val="-6"/>
                <w:sz w:val="24"/>
                <w:szCs w:val="24"/>
              </w:rPr>
            </w:pPr>
            <w:r w:rsidRPr="00792B36">
              <w:rPr>
                <w:sz w:val="24"/>
                <w:szCs w:val="24"/>
              </w:rPr>
              <w:t>0.798</w:t>
            </w:r>
          </w:p>
        </w:tc>
      </w:tr>
      <w:tr w:rsidR="009A0A63" w:rsidRPr="00792B36" w14:paraId="0926196F" w14:textId="77777777" w:rsidTr="00A24459">
        <w:trPr>
          <w:trHeight w:val="340"/>
        </w:trPr>
        <w:tc>
          <w:tcPr>
            <w:tcW w:w="4508" w:type="dxa"/>
            <w:vAlign w:val="bottom"/>
          </w:tcPr>
          <w:p w14:paraId="18DF2CB6" w14:textId="77777777" w:rsidR="009A0A63" w:rsidRPr="00792B36" w:rsidRDefault="009A0A63" w:rsidP="00A24459">
            <w:pPr>
              <w:contextualSpacing/>
              <w:jc w:val="center"/>
              <w:rPr>
                <w:color w:val="000000" w:themeColor="text1"/>
                <w:spacing w:val="-6"/>
                <w:sz w:val="24"/>
                <w:szCs w:val="24"/>
              </w:rPr>
            </w:pPr>
            <w:r w:rsidRPr="00792B36">
              <w:rPr>
                <w:sz w:val="24"/>
                <w:szCs w:val="24"/>
              </w:rPr>
              <w:t>2021</w:t>
            </w:r>
          </w:p>
        </w:tc>
        <w:tc>
          <w:tcPr>
            <w:tcW w:w="4509" w:type="dxa"/>
            <w:vAlign w:val="bottom"/>
          </w:tcPr>
          <w:p w14:paraId="44C30866" w14:textId="77777777" w:rsidR="009A0A63" w:rsidRPr="00792B36" w:rsidRDefault="009A0A63" w:rsidP="00A24459">
            <w:pPr>
              <w:contextualSpacing/>
              <w:jc w:val="center"/>
              <w:rPr>
                <w:color w:val="000000" w:themeColor="text1"/>
                <w:spacing w:val="-6"/>
                <w:sz w:val="24"/>
                <w:szCs w:val="24"/>
              </w:rPr>
            </w:pPr>
            <w:r w:rsidRPr="00792B36">
              <w:rPr>
                <w:sz w:val="24"/>
                <w:szCs w:val="24"/>
              </w:rPr>
              <w:t>0.800</w:t>
            </w:r>
          </w:p>
        </w:tc>
      </w:tr>
      <w:tr w:rsidR="009A0A63" w:rsidRPr="00792B36" w14:paraId="73022168" w14:textId="77777777" w:rsidTr="00A24459">
        <w:trPr>
          <w:trHeight w:val="340"/>
        </w:trPr>
        <w:tc>
          <w:tcPr>
            <w:tcW w:w="4508" w:type="dxa"/>
            <w:vAlign w:val="bottom"/>
          </w:tcPr>
          <w:p w14:paraId="15AA6BC7" w14:textId="77777777" w:rsidR="009A0A63" w:rsidRPr="00792B36" w:rsidRDefault="009A0A63" w:rsidP="00A24459">
            <w:pPr>
              <w:contextualSpacing/>
              <w:jc w:val="center"/>
              <w:rPr>
                <w:sz w:val="24"/>
                <w:szCs w:val="24"/>
              </w:rPr>
            </w:pPr>
            <w:r w:rsidRPr="00792B36">
              <w:rPr>
                <w:sz w:val="24"/>
                <w:szCs w:val="24"/>
              </w:rPr>
              <w:t>2022</w:t>
            </w:r>
          </w:p>
        </w:tc>
        <w:tc>
          <w:tcPr>
            <w:tcW w:w="4509" w:type="dxa"/>
            <w:vAlign w:val="bottom"/>
          </w:tcPr>
          <w:p w14:paraId="45F56A77" w14:textId="77777777" w:rsidR="009A0A63" w:rsidRPr="00792B36" w:rsidRDefault="009A0A63" w:rsidP="00A24459">
            <w:pPr>
              <w:contextualSpacing/>
              <w:jc w:val="center"/>
              <w:rPr>
                <w:sz w:val="24"/>
                <w:szCs w:val="24"/>
              </w:rPr>
            </w:pPr>
            <w:r w:rsidRPr="00792B36">
              <w:rPr>
                <w:sz w:val="24"/>
                <w:szCs w:val="24"/>
              </w:rPr>
              <w:t>0.792</w:t>
            </w:r>
          </w:p>
        </w:tc>
      </w:tr>
      <w:tr w:rsidR="009A0A63" w:rsidRPr="00792B36" w14:paraId="6419A671" w14:textId="77777777" w:rsidTr="00A24459">
        <w:trPr>
          <w:trHeight w:val="340"/>
        </w:trPr>
        <w:tc>
          <w:tcPr>
            <w:tcW w:w="4508" w:type="dxa"/>
            <w:vAlign w:val="bottom"/>
          </w:tcPr>
          <w:p w14:paraId="33C88C3E" w14:textId="77777777" w:rsidR="009A0A63" w:rsidRPr="00792B36" w:rsidRDefault="009A0A63" w:rsidP="00A24459">
            <w:pPr>
              <w:contextualSpacing/>
              <w:jc w:val="center"/>
              <w:rPr>
                <w:sz w:val="24"/>
                <w:szCs w:val="24"/>
              </w:rPr>
            </w:pPr>
            <w:r w:rsidRPr="00792B36">
              <w:rPr>
                <w:sz w:val="24"/>
                <w:szCs w:val="24"/>
              </w:rPr>
              <w:t>2023</w:t>
            </w:r>
          </w:p>
        </w:tc>
        <w:tc>
          <w:tcPr>
            <w:tcW w:w="4509" w:type="dxa"/>
            <w:vAlign w:val="bottom"/>
          </w:tcPr>
          <w:p w14:paraId="2FB8EAEF" w14:textId="77777777" w:rsidR="009A0A63" w:rsidRPr="00792B36" w:rsidRDefault="009A0A63" w:rsidP="00A24459">
            <w:pPr>
              <w:contextualSpacing/>
              <w:jc w:val="center"/>
              <w:rPr>
                <w:sz w:val="24"/>
                <w:szCs w:val="24"/>
              </w:rPr>
            </w:pPr>
            <w:r w:rsidRPr="00792B36">
              <w:rPr>
                <w:sz w:val="24"/>
                <w:szCs w:val="24"/>
              </w:rPr>
              <w:t>0.798</w:t>
            </w:r>
          </w:p>
        </w:tc>
      </w:tr>
    </w:tbl>
    <w:p w14:paraId="4713322A" w14:textId="77777777" w:rsidR="009A0A63" w:rsidRPr="00792B36" w:rsidRDefault="009A0A63" w:rsidP="009A0A63">
      <w:pPr>
        <w:pBdr>
          <w:top w:val="nil"/>
          <w:left w:val="nil"/>
          <w:bottom w:val="nil"/>
          <w:right w:val="nil"/>
          <w:between w:val="nil"/>
        </w:pBdr>
        <w:spacing w:line="360" w:lineRule="auto"/>
        <w:contextualSpacing/>
        <w:jc w:val="both"/>
        <w:rPr>
          <w:color w:val="000000" w:themeColor="text1"/>
          <w:sz w:val="24"/>
          <w:szCs w:val="24"/>
        </w:rPr>
      </w:pPr>
      <w:r w:rsidRPr="00792B36">
        <w:rPr>
          <w:color w:val="000000" w:themeColor="text1"/>
          <w:sz w:val="24"/>
          <w:szCs w:val="24"/>
        </w:rPr>
        <w:t xml:space="preserve">Source: UNDP. 2025. Human Development Reports. </w:t>
      </w:r>
      <w:r w:rsidRPr="00792B36">
        <w:rPr>
          <w:sz w:val="24"/>
          <w:szCs w:val="24"/>
        </w:rPr>
        <w:fldChar w:fldCharType="begin"/>
      </w:r>
      <w:r w:rsidRPr="00792B36">
        <w:rPr>
          <w:sz w:val="24"/>
          <w:szCs w:val="24"/>
        </w:rPr>
        <w:instrText>HYPERLINK "https://hdr.undp.org/data-center/documentation-and-downloads"</w:instrText>
      </w:r>
      <w:r w:rsidRPr="00792B36">
        <w:rPr>
          <w:sz w:val="24"/>
          <w:szCs w:val="24"/>
        </w:rPr>
      </w:r>
      <w:r w:rsidRPr="00792B36">
        <w:rPr>
          <w:sz w:val="24"/>
          <w:szCs w:val="24"/>
        </w:rPr>
        <w:fldChar w:fldCharType="separate"/>
      </w:r>
      <w:r w:rsidRPr="00792B36">
        <w:rPr>
          <w:rStyle w:val="Hyperlink"/>
          <w:color w:val="000000" w:themeColor="text1"/>
          <w:sz w:val="24"/>
          <w:szCs w:val="24"/>
        </w:rPr>
        <w:t>https://hdr.undp.org/data-center/documentation-and-downloads</w:t>
      </w:r>
      <w:r w:rsidRPr="00792B36">
        <w:rPr>
          <w:sz w:val="24"/>
          <w:szCs w:val="24"/>
        </w:rPr>
        <w:fldChar w:fldCharType="end"/>
      </w:r>
      <w:r w:rsidRPr="00792B36">
        <w:rPr>
          <w:color w:val="000000" w:themeColor="text1"/>
          <w:sz w:val="24"/>
          <w:szCs w:val="24"/>
        </w:rPr>
        <w:t xml:space="preserve"> (accessed 22 April 2025)</w:t>
      </w:r>
    </w:p>
    <w:p w14:paraId="46784B6D" w14:textId="77777777" w:rsidR="009A0A63" w:rsidRPr="00792B36" w:rsidRDefault="009A0A63" w:rsidP="009A0A63">
      <w:pPr>
        <w:spacing w:line="360" w:lineRule="auto"/>
        <w:contextualSpacing/>
        <w:rPr>
          <w:color w:val="000000" w:themeColor="text1"/>
          <w:spacing w:val="-6"/>
          <w:sz w:val="24"/>
          <w:szCs w:val="24"/>
        </w:rPr>
      </w:pPr>
    </w:p>
    <w:p w14:paraId="0FF26A18" w14:textId="77777777" w:rsidR="009A0A63" w:rsidRPr="00792B36" w:rsidRDefault="009A0A63" w:rsidP="009A0A63">
      <w:pPr>
        <w:spacing w:line="360" w:lineRule="auto"/>
        <w:rPr>
          <w:sz w:val="24"/>
          <w:szCs w:val="24"/>
        </w:rPr>
      </w:pPr>
    </w:p>
    <w:p w14:paraId="61DCD7DC" w14:textId="77777777" w:rsidR="009A0A63" w:rsidRPr="00792B36" w:rsidRDefault="009A0A63" w:rsidP="009A0A63">
      <w:pPr>
        <w:spacing w:line="360" w:lineRule="auto"/>
        <w:rPr>
          <w:sz w:val="24"/>
          <w:szCs w:val="24"/>
        </w:rPr>
      </w:pPr>
    </w:p>
    <w:p w14:paraId="7051F526" w14:textId="77777777" w:rsidR="009A0A63" w:rsidRPr="00792B36" w:rsidRDefault="009A0A63" w:rsidP="009A0A63">
      <w:pPr>
        <w:spacing w:line="360" w:lineRule="auto"/>
        <w:rPr>
          <w:sz w:val="24"/>
          <w:szCs w:val="24"/>
        </w:rPr>
      </w:pPr>
    </w:p>
    <w:p w14:paraId="1336B808" w14:textId="77777777" w:rsidR="009A0A63" w:rsidRPr="00792B36" w:rsidRDefault="009A0A63" w:rsidP="009A0A63">
      <w:pPr>
        <w:spacing w:line="360" w:lineRule="auto"/>
        <w:rPr>
          <w:sz w:val="24"/>
          <w:szCs w:val="24"/>
        </w:rPr>
      </w:pPr>
    </w:p>
    <w:p w14:paraId="353EBCBC" w14:textId="77777777" w:rsidR="009A0A63" w:rsidRPr="00792B36" w:rsidRDefault="009A0A63" w:rsidP="009A0A63">
      <w:pPr>
        <w:spacing w:line="360" w:lineRule="auto"/>
        <w:rPr>
          <w:sz w:val="24"/>
          <w:szCs w:val="24"/>
        </w:rPr>
      </w:pPr>
    </w:p>
    <w:p w14:paraId="42DB4A1E" w14:textId="77777777" w:rsidR="009A0A63" w:rsidRPr="00792B36" w:rsidRDefault="009A0A63" w:rsidP="009A0A63">
      <w:pPr>
        <w:spacing w:line="360" w:lineRule="auto"/>
        <w:rPr>
          <w:sz w:val="24"/>
          <w:szCs w:val="24"/>
        </w:rPr>
      </w:pPr>
    </w:p>
    <w:p w14:paraId="71B74839" w14:textId="77777777" w:rsidR="009A0A63" w:rsidRPr="00792B36" w:rsidRDefault="009A0A63" w:rsidP="009A0A63">
      <w:pPr>
        <w:spacing w:line="360" w:lineRule="auto"/>
        <w:rPr>
          <w:sz w:val="24"/>
          <w:szCs w:val="24"/>
        </w:rPr>
      </w:pPr>
    </w:p>
    <w:p w14:paraId="1F5A9F0E" w14:textId="77777777" w:rsidR="009A0A63" w:rsidRPr="00792B36" w:rsidRDefault="009A0A63" w:rsidP="009A0A63">
      <w:pPr>
        <w:spacing w:line="360" w:lineRule="auto"/>
        <w:rPr>
          <w:sz w:val="24"/>
          <w:szCs w:val="24"/>
        </w:rPr>
      </w:pPr>
    </w:p>
    <w:p w14:paraId="7294A896" w14:textId="77777777" w:rsidR="009A0A63" w:rsidRPr="00792B36" w:rsidRDefault="009A0A63" w:rsidP="009A0A63">
      <w:pPr>
        <w:spacing w:line="360" w:lineRule="auto"/>
        <w:rPr>
          <w:sz w:val="24"/>
          <w:szCs w:val="24"/>
        </w:rPr>
      </w:pPr>
    </w:p>
    <w:p w14:paraId="4C146DCA" w14:textId="77777777" w:rsidR="009A0A63" w:rsidRPr="00792B36" w:rsidRDefault="009A0A63" w:rsidP="009A0A63">
      <w:pPr>
        <w:spacing w:line="360" w:lineRule="auto"/>
        <w:rPr>
          <w:sz w:val="24"/>
          <w:szCs w:val="24"/>
        </w:rPr>
      </w:pPr>
    </w:p>
    <w:p w14:paraId="46C4BC6B" w14:textId="77777777" w:rsidR="009A0A63" w:rsidRPr="00792B36" w:rsidRDefault="009A0A63" w:rsidP="009A0A63">
      <w:pPr>
        <w:spacing w:line="360" w:lineRule="auto"/>
        <w:rPr>
          <w:sz w:val="24"/>
          <w:szCs w:val="24"/>
        </w:rPr>
      </w:pPr>
    </w:p>
    <w:p w14:paraId="047D2D24" w14:textId="77777777" w:rsidR="009A0A63" w:rsidRPr="00792B36" w:rsidRDefault="009A0A63" w:rsidP="009A0A63">
      <w:pPr>
        <w:spacing w:line="360" w:lineRule="auto"/>
        <w:rPr>
          <w:sz w:val="24"/>
          <w:szCs w:val="24"/>
        </w:rPr>
      </w:pPr>
    </w:p>
    <w:p w14:paraId="51397081" w14:textId="77777777" w:rsidR="009A0A63" w:rsidRPr="00792B36" w:rsidRDefault="009A0A63" w:rsidP="009A0A63">
      <w:pPr>
        <w:spacing w:line="360" w:lineRule="auto"/>
        <w:rPr>
          <w:sz w:val="24"/>
          <w:szCs w:val="24"/>
        </w:rPr>
      </w:pPr>
    </w:p>
    <w:p w14:paraId="239DE812" w14:textId="77777777" w:rsidR="009A0A63" w:rsidRPr="00792B36" w:rsidRDefault="009A0A63" w:rsidP="009A0A63">
      <w:pPr>
        <w:spacing w:line="360" w:lineRule="auto"/>
        <w:rPr>
          <w:sz w:val="24"/>
          <w:szCs w:val="24"/>
        </w:rPr>
      </w:pPr>
    </w:p>
    <w:p w14:paraId="7BDCC0E5" w14:textId="77777777" w:rsidR="009A0A63" w:rsidRPr="00792B36" w:rsidRDefault="009A0A63" w:rsidP="009A0A63">
      <w:pPr>
        <w:spacing w:line="360" w:lineRule="auto"/>
        <w:rPr>
          <w:sz w:val="24"/>
          <w:szCs w:val="24"/>
        </w:rPr>
      </w:pPr>
    </w:p>
    <w:p w14:paraId="5EE10089" w14:textId="77777777" w:rsidR="009A0A63" w:rsidRPr="00792B36" w:rsidRDefault="009A0A63" w:rsidP="009A0A63">
      <w:pPr>
        <w:spacing w:line="360" w:lineRule="auto"/>
        <w:rPr>
          <w:sz w:val="24"/>
          <w:szCs w:val="24"/>
        </w:rPr>
      </w:pPr>
    </w:p>
    <w:p w14:paraId="78DE5E75" w14:textId="77777777" w:rsidR="009A0A63" w:rsidRPr="00792B36" w:rsidRDefault="009A0A63" w:rsidP="009A0A63">
      <w:pPr>
        <w:spacing w:line="360" w:lineRule="auto"/>
        <w:rPr>
          <w:sz w:val="24"/>
          <w:szCs w:val="24"/>
        </w:rPr>
      </w:pPr>
    </w:p>
    <w:p w14:paraId="05DAB4C7" w14:textId="77777777" w:rsidR="009A0A63" w:rsidRPr="00792B36" w:rsidRDefault="009A0A63" w:rsidP="009A0A63">
      <w:pPr>
        <w:spacing w:line="360" w:lineRule="auto"/>
        <w:rPr>
          <w:sz w:val="24"/>
          <w:szCs w:val="24"/>
        </w:rPr>
      </w:pPr>
    </w:p>
    <w:p w14:paraId="3255FCF4" w14:textId="77777777" w:rsidR="009A0A63" w:rsidRPr="00792B36" w:rsidRDefault="009A0A63" w:rsidP="009A0A63">
      <w:pPr>
        <w:spacing w:line="360" w:lineRule="auto"/>
        <w:rPr>
          <w:sz w:val="24"/>
          <w:szCs w:val="24"/>
        </w:rPr>
      </w:pPr>
    </w:p>
    <w:p w14:paraId="27D5DB22" w14:textId="77777777" w:rsidR="009A0A63" w:rsidRPr="00792B36" w:rsidRDefault="009A0A63" w:rsidP="009A0A63">
      <w:pPr>
        <w:spacing w:line="360" w:lineRule="auto"/>
        <w:rPr>
          <w:sz w:val="24"/>
          <w:szCs w:val="24"/>
        </w:rPr>
      </w:pPr>
    </w:p>
    <w:p w14:paraId="52446D8F" w14:textId="77777777" w:rsidR="009A0A63" w:rsidRPr="00792B36" w:rsidRDefault="009A0A63" w:rsidP="009A0A63">
      <w:pPr>
        <w:spacing w:line="360" w:lineRule="auto"/>
        <w:rPr>
          <w:sz w:val="24"/>
          <w:szCs w:val="24"/>
        </w:rPr>
      </w:pPr>
    </w:p>
    <w:p w14:paraId="262BE85C" w14:textId="77777777" w:rsidR="009A0A63" w:rsidRPr="00792B36" w:rsidRDefault="009A0A63" w:rsidP="009A0A63">
      <w:pPr>
        <w:spacing w:line="360" w:lineRule="auto"/>
        <w:rPr>
          <w:sz w:val="24"/>
          <w:szCs w:val="24"/>
        </w:rPr>
      </w:pPr>
    </w:p>
    <w:p w14:paraId="7D7DC9FD" w14:textId="77777777" w:rsidR="009A0A63" w:rsidRPr="00792B36" w:rsidRDefault="009A0A63" w:rsidP="009A0A63">
      <w:pPr>
        <w:spacing w:line="360" w:lineRule="auto"/>
        <w:contextualSpacing/>
        <w:rPr>
          <w:color w:val="000000" w:themeColor="text1"/>
          <w:sz w:val="24"/>
          <w:szCs w:val="24"/>
        </w:rPr>
      </w:pPr>
      <w:r w:rsidRPr="00792B36">
        <w:rPr>
          <w:b/>
          <w:bCs/>
          <w:sz w:val="24"/>
          <w:szCs w:val="24"/>
        </w:rPr>
        <w:lastRenderedPageBreak/>
        <w:t xml:space="preserve">Annex 2.11 </w:t>
      </w:r>
      <w:r w:rsidRPr="00792B36">
        <w:rPr>
          <w:sz w:val="24"/>
          <w:szCs w:val="24"/>
        </w:rPr>
        <w:t>I</w:t>
      </w:r>
      <w:r w:rsidRPr="00792B36">
        <w:rPr>
          <w:color w:val="000000" w:themeColor="text1"/>
          <w:sz w:val="24"/>
          <w:szCs w:val="24"/>
        </w:rPr>
        <w:t>HDI of Thailand (2012-2023)</w:t>
      </w:r>
    </w:p>
    <w:tbl>
      <w:tblPr>
        <w:tblStyle w:val="TableGrid"/>
        <w:tblW w:w="0" w:type="auto"/>
        <w:tblLook w:val="04A0" w:firstRow="1" w:lastRow="0" w:firstColumn="1" w:lastColumn="0" w:noHBand="0" w:noVBand="1"/>
      </w:tblPr>
      <w:tblGrid>
        <w:gridCol w:w="4508"/>
        <w:gridCol w:w="4509"/>
      </w:tblGrid>
      <w:tr w:rsidR="009A0A63" w:rsidRPr="00792B36" w14:paraId="7D4D11E1" w14:textId="77777777" w:rsidTr="00A24459">
        <w:trPr>
          <w:trHeight w:val="340"/>
        </w:trPr>
        <w:tc>
          <w:tcPr>
            <w:tcW w:w="4508" w:type="dxa"/>
            <w:vAlign w:val="bottom"/>
          </w:tcPr>
          <w:p w14:paraId="5DBAF46E" w14:textId="77777777" w:rsidR="009A0A63" w:rsidRPr="00792B36" w:rsidRDefault="009A0A63" w:rsidP="00A24459">
            <w:pPr>
              <w:contextualSpacing/>
              <w:jc w:val="center"/>
              <w:rPr>
                <w:b/>
                <w:bCs/>
                <w:color w:val="000000" w:themeColor="text1"/>
                <w:spacing w:val="-6"/>
                <w:sz w:val="24"/>
                <w:szCs w:val="24"/>
              </w:rPr>
            </w:pPr>
            <w:r w:rsidRPr="00792B36">
              <w:rPr>
                <w:b/>
                <w:bCs/>
                <w:color w:val="000000" w:themeColor="text1"/>
                <w:spacing w:val="-6"/>
                <w:sz w:val="24"/>
                <w:szCs w:val="24"/>
              </w:rPr>
              <w:t>Year</w:t>
            </w:r>
          </w:p>
        </w:tc>
        <w:tc>
          <w:tcPr>
            <w:tcW w:w="4509" w:type="dxa"/>
            <w:vAlign w:val="bottom"/>
          </w:tcPr>
          <w:p w14:paraId="68401406" w14:textId="77777777" w:rsidR="009A0A63" w:rsidRPr="00792B36" w:rsidRDefault="009A0A63" w:rsidP="00A24459">
            <w:pPr>
              <w:contextualSpacing/>
              <w:jc w:val="center"/>
              <w:rPr>
                <w:b/>
                <w:bCs/>
                <w:color w:val="000000" w:themeColor="text1"/>
                <w:spacing w:val="-6"/>
                <w:sz w:val="24"/>
                <w:szCs w:val="24"/>
              </w:rPr>
            </w:pPr>
            <w:r w:rsidRPr="00792B36">
              <w:rPr>
                <w:b/>
                <w:bCs/>
                <w:color w:val="000000" w:themeColor="text1"/>
                <w:spacing w:val="-6"/>
                <w:sz w:val="24"/>
                <w:szCs w:val="24"/>
              </w:rPr>
              <w:t>IHDI</w:t>
            </w:r>
          </w:p>
        </w:tc>
      </w:tr>
      <w:tr w:rsidR="009A0A63" w:rsidRPr="00792B36" w14:paraId="621A0D14" w14:textId="77777777" w:rsidTr="00A24459">
        <w:trPr>
          <w:trHeight w:val="340"/>
        </w:trPr>
        <w:tc>
          <w:tcPr>
            <w:tcW w:w="4508" w:type="dxa"/>
            <w:vAlign w:val="bottom"/>
          </w:tcPr>
          <w:p w14:paraId="10B3CD91" w14:textId="77777777" w:rsidR="009A0A63" w:rsidRPr="00792B36" w:rsidRDefault="009A0A63" w:rsidP="00A24459">
            <w:pPr>
              <w:jc w:val="center"/>
              <w:rPr>
                <w:color w:val="000000"/>
                <w:sz w:val="24"/>
                <w:szCs w:val="24"/>
              </w:rPr>
            </w:pPr>
            <w:r w:rsidRPr="00792B36">
              <w:rPr>
                <w:color w:val="000000"/>
                <w:sz w:val="24"/>
                <w:szCs w:val="24"/>
              </w:rPr>
              <w:t>2012</w:t>
            </w:r>
          </w:p>
        </w:tc>
        <w:tc>
          <w:tcPr>
            <w:tcW w:w="4509" w:type="dxa"/>
            <w:vAlign w:val="bottom"/>
          </w:tcPr>
          <w:p w14:paraId="5CE1EBA5" w14:textId="77777777" w:rsidR="009A0A63" w:rsidRPr="00792B36" w:rsidRDefault="009A0A63" w:rsidP="00A24459">
            <w:pPr>
              <w:jc w:val="center"/>
              <w:rPr>
                <w:color w:val="000000"/>
                <w:sz w:val="24"/>
                <w:szCs w:val="24"/>
              </w:rPr>
            </w:pPr>
            <w:r w:rsidRPr="00792B36">
              <w:rPr>
                <w:color w:val="000000"/>
                <w:sz w:val="24"/>
                <w:szCs w:val="24"/>
              </w:rPr>
              <w:t>0.622</w:t>
            </w:r>
          </w:p>
        </w:tc>
      </w:tr>
      <w:tr w:rsidR="009A0A63" w:rsidRPr="00792B36" w14:paraId="06D530AE" w14:textId="77777777" w:rsidTr="00A24459">
        <w:trPr>
          <w:trHeight w:val="340"/>
        </w:trPr>
        <w:tc>
          <w:tcPr>
            <w:tcW w:w="4508" w:type="dxa"/>
            <w:vAlign w:val="bottom"/>
          </w:tcPr>
          <w:p w14:paraId="1C74A6F0" w14:textId="77777777" w:rsidR="009A0A63" w:rsidRPr="00792B36" w:rsidRDefault="009A0A63" w:rsidP="00A24459">
            <w:pPr>
              <w:jc w:val="center"/>
              <w:rPr>
                <w:sz w:val="24"/>
                <w:szCs w:val="24"/>
              </w:rPr>
            </w:pPr>
            <w:r w:rsidRPr="00792B36">
              <w:rPr>
                <w:color w:val="000000"/>
                <w:sz w:val="24"/>
                <w:szCs w:val="24"/>
              </w:rPr>
              <w:t>2013</w:t>
            </w:r>
          </w:p>
        </w:tc>
        <w:tc>
          <w:tcPr>
            <w:tcW w:w="4509" w:type="dxa"/>
            <w:vAlign w:val="bottom"/>
          </w:tcPr>
          <w:p w14:paraId="42350387" w14:textId="77777777" w:rsidR="009A0A63" w:rsidRPr="00792B36" w:rsidRDefault="009A0A63" w:rsidP="00A24459">
            <w:pPr>
              <w:jc w:val="center"/>
              <w:rPr>
                <w:sz w:val="24"/>
                <w:szCs w:val="24"/>
              </w:rPr>
            </w:pPr>
            <w:r w:rsidRPr="00792B36">
              <w:rPr>
                <w:color w:val="000000"/>
                <w:sz w:val="24"/>
                <w:szCs w:val="24"/>
              </w:rPr>
              <w:t>0.627</w:t>
            </w:r>
          </w:p>
        </w:tc>
      </w:tr>
      <w:tr w:rsidR="009A0A63" w:rsidRPr="00792B36" w14:paraId="18F9B3FE" w14:textId="77777777" w:rsidTr="00A24459">
        <w:trPr>
          <w:trHeight w:val="340"/>
        </w:trPr>
        <w:tc>
          <w:tcPr>
            <w:tcW w:w="4508" w:type="dxa"/>
            <w:vAlign w:val="bottom"/>
          </w:tcPr>
          <w:p w14:paraId="3BB9467F" w14:textId="77777777" w:rsidR="009A0A63" w:rsidRPr="00792B36" w:rsidRDefault="009A0A63" w:rsidP="00A24459">
            <w:pPr>
              <w:jc w:val="center"/>
              <w:rPr>
                <w:sz w:val="24"/>
                <w:szCs w:val="24"/>
              </w:rPr>
            </w:pPr>
            <w:r w:rsidRPr="00792B36">
              <w:rPr>
                <w:color w:val="000000"/>
                <w:sz w:val="24"/>
                <w:szCs w:val="24"/>
              </w:rPr>
              <w:t>2014</w:t>
            </w:r>
          </w:p>
        </w:tc>
        <w:tc>
          <w:tcPr>
            <w:tcW w:w="4509" w:type="dxa"/>
            <w:vAlign w:val="bottom"/>
          </w:tcPr>
          <w:p w14:paraId="4DD25452" w14:textId="77777777" w:rsidR="009A0A63" w:rsidRPr="00792B36" w:rsidRDefault="009A0A63" w:rsidP="00A24459">
            <w:pPr>
              <w:jc w:val="center"/>
              <w:rPr>
                <w:sz w:val="24"/>
                <w:szCs w:val="24"/>
              </w:rPr>
            </w:pPr>
            <w:r w:rsidRPr="00792B36">
              <w:rPr>
                <w:color w:val="000000"/>
                <w:sz w:val="24"/>
                <w:szCs w:val="24"/>
              </w:rPr>
              <w:t>0.656</w:t>
            </w:r>
          </w:p>
        </w:tc>
      </w:tr>
      <w:tr w:rsidR="009A0A63" w:rsidRPr="00792B36" w14:paraId="33E5FB34" w14:textId="77777777" w:rsidTr="00A24459">
        <w:trPr>
          <w:trHeight w:val="340"/>
        </w:trPr>
        <w:tc>
          <w:tcPr>
            <w:tcW w:w="4508" w:type="dxa"/>
            <w:vAlign w:val="bottom"/>
          </w:tcPr>
          <w:p w14:paraId="3E7AE7D2" w14:textId="77777777" w:rsidR="009A0A63" w:rsidRPr="00792B36" w:rsidRDefault="009A0A63" w:rsidP="00A24459">
            <w:pPr>
              <w:jc w:val="center"/>
              <w:rPr>
                <w:sz w:val="24"/>
                <w:szCs w:val="24"/>
              </w:rPr>
            </w:pPr>
            <w:r w:rsidRPr="00792B36">
              <w:rPr>
                <w:color w:val="000000"/>
                <w:sz w:val="24"/>
                <w:szCs w:val="24"/>
              </w:rPr>
              <w:t>2015</w:t>
            </w:r>
          </w:p>
        </w:tc>
        <w:tc>
          <w:tcPr>
            <w:tcW w:w="4509" w:type="dxa"/>
            <w:vAlign w:val="bottom"/>
          </w:tcPr>
          <w:p w14:paraId="0C1C473F" w14:textId="77777777" w:rsidR="009A0A63" w:rsidRPr="00792B36" w:rsidRDefault="009A0A63" w:rsidP="00A24459">
            <w:pPr>
              <w:jc w:val="center"/>
              <w:rPr>
                <w:sz w:val="24"/>
                <w:szCs w:val="24"/>
              </w:rPr>
            </w:pPr>
            <w:r w:rsidRPr="00792B36">
              <w:rPr>
                <w:color w:val="000000"/>
                <w:sz w:val="24"/>
                <w:szCs w:val="24"/>
              </w:rPr>
              <w:t>0.661</w:t>
            </w:r>
          </w:p>
        </w:tc>
      </w:tr>
      <w:tr w:rsidR="009A0A63" w:rsidRPr="00792B36" w14:paraId="2B6C1075" w14:textId="77777777" w:rsidTr="00A24459">
        <w:trPr>
          <w:trHeight w:val="340"/>
        </w:trPr>
        <w:tc>
          <w:tcPr>
            <w:tcW w:w="4508" w:type="dxa"/>
            <w:vAlign w:val="bottom"/>
          </w:tcPr>
          <w:p w14:paraId="18E2C007" w14:textId="77777777" w:rsidR="009A0A63" w:rsidRPr="00792B36" w:rsidRDefault="009A0A63" w:rsidP="00A24459">
            <w:pPr>
              <w:jc w:val="center"/>
              <w:rPr>
                <w:sz w:val="24"/>
                <w:szCs w:val="24"/>
              </w:rPr>
            </w:pPr>
            <w:r w:rsidRPr="00792B36">
              <w:rPr>
                <w:color w:val="000000"/>
                <w:sz w:val="24"/>
                <w:szCs w:val="24"/>
              </w:rPr>
              <w:t>2016</w:t>
            </w:r>
          </w:p>
        </w:tc>
        <w:tc>
          <w:tcPr>
            <w:tcW w:w="4509" w:type="dxa"/>
            <w:vAlign w:val="bottom"/>
          </w:tcPr>
          <w:p w14:paraId="4DED809E" w14:textId="77777777" w:rsidR="009A0A63" w:rsidRPr="00792B36" w:rsidRDefault="009A0A63" w:rsidP="00A24459">
            <w:pPr>
              <w:jc w:val="center"/>
              <w:rPr>
                <w:sz w:val="24"/>
                <w:szCs w:val="24"/>
              </w:rPr>
            </w:pPr>
            <w:r w:rsidRPr="00792B36">
              <w:rPr>
                <w:color w:val="000000"/>
                <w:sz w:val="24"/>
                <w:szCs w:val="24"/>
              </w:rPr>
              <w:t>0.662</w:t>
            </w:r>
          </w:p>
        </w:tc>
      </w:tr>
      <w:tr w:rsidR="009A0A63" w:rsidRPr="00792B36" w14:paraId="7DE290BA" w14:textId="77777777" w:rsidTr="00A24459">
        <w:trPr>
          <w:trHeight w:val="340"/>
        </w:trPr>
        <w:tc>
          <w:tcPr>
            <w:tcW w:w="4508" w:type="dxa"/>
            <w:vAlign w:val="bottom"/>
          </w:tcPr>
          <w:p w14:paraId="6BC010EC" w14:textId="77777777" w:rsidR="009A0A63" w:rsidRPr="00792B36" w:rsidRDefault="009A0A63" w:rsidP="00A24459">
            <w:pPr>
              <w:jc w:val="center"/>
              <w:rPr>
                <w:sz w:val="24"/>
                <w:szCs w:val="24"/>
              </w:rPr>
            </w:pPr>
            <w:r w:rsidRPr="00792B36">
              <w:rPr>
                <w:color w:val="000000"/>
                <w:sz w:val="24"/>
                <w:szCs w:val="24"/>
              </w:rPr>
              <w:t>2017</w:t>
            </w:r>
          </w:p>
        </w:tc>
        <w:tc>
          <w:tcPr>
            <w:tcW w:w="4509" w:type="dxa"/>
            <w:vAlign w:val="bottom"/>
          </w:tcPr>
          <w:p w14:paraId="42562552" w14:textId="77777777" w:rsidR="009A0A63" w:rsidRPr="00792B36" w:rsidRDefault="009A0A63" w:rsidP="00A24459">
            <w:pPr>
              <w:jc w:val="center"/>
              <w:rPr>
                <w:sz w:val="24"/>
                <w:szCs w:val="24"/>
              </w:rPr>
            </w:pPr>
            <w:r w:rsidRPr="00792B36">
              <w:rPr>
                <w:color w:val="000000"/>
                <w:sz w:val="24"/>
                <w:szCs w:val="24"/>
              </w:rPr>
              <w:t>0.665</w:t>
            </w:r>
          </w:p>
        </w:tc>
      </w:tr>
      <w:tr w:rsidR="009A0A63" w:rsidRPr="00792B36" w14:paraId="30EAA047" w14:textId="77777777" w:rsidTr="00A24459">
        <w:trPr>
          <w:trHeight w:val="340"/>
        </w:trPr>
        <w:tc>
          <w:tcPr>
            <w:tcW w:w="4508" w:type="dxa"/>
            <w:vAlign w:val="bottom"/>
          </w:tcPr>
          <w:p w14:paraId="77D73CE2" w14:textId="77777777" w:rsidR="009A0A63" w:rsidRPr="00792B36" w:rsidRDefault="009A0A63" w:rsidP="00A24459">
            <w:pPr>
              <w:jc w:val="center"/>
              <w:rPr>
                <w:sz w:val="24"/>
                <w:szCs w:val="24"/>
              </w:rPr>
            </w:pPr>
            <w:r w:rsidRPr="00792B36">
              <w:rPr>
                <w:color w:val="000000"/>
                <w:sz w:val="24"/>
                <w:szCs w:val="24"/>
              </w:rPr>
              <w:t>2018</w:t>
            </w:r>
          </w:p>
        </w:tc>
        <w:tc>
          <w:tcPr>
            <w:tcW w:w="4509" w:type="dxa"/>
            <w:vAlign w:val="bottom"/>
          </w:tcPr>
          <w:p w14:paraId="174799F9" w14:textId="77777777" w:rsidR="009A0A63" w:rsidRPr="00792B36" w:rsidRDefault="009A0A63" w:rsidP="00A24459">
            <w:pPr>
              <w:jc w:val="center"/>
              <w:rPr>
                <w:sz w:val="24"/>
                <w:szCs w:val="24"/>
              </w:rPr>
            </w:pPr>
            <w:r w:rsidRPr="00792B36">
              <w:rPr>
                <w:color w:val="000000"/>
                <w:sz w:val="24"/>
                <w:szCs w:val="24"/>
              </w:rPr>
              <w:t>0.667</w:t>
            </w:r>
          </w:p>
        </w:tc>
      </w:tr>
      <w:tr w:rsidR="009A0A63" w:rsidRPr="00792B36" w14:paraId="1670A424" w14:textId="77777777" w:rsidTr="00A24459">
        <w:trPr>
          <w:trHeight w:val="340"/>
        </w:trPr>
        <w:tc>
          <w:tcPr>
            <w:tcW w:w="4508" w:type="dxa"/>
            <w:vAlign w:val="bottom"/>
          </w:tcPr>
          <w:p w14:paraId="34138DD3" w14:textId="77777777" w:rsidR="009A0A63" w:rsidRPr="00792B36" w:rsidRDefault="009A0A63" w:rsidP="00A24459">
            <w:pPr>
              <w:jc w:val="center"/>
              <w:rPr>
                <w:sz w:val="24"/>
                <w:szCs w:val="24"/>
              </w:rPr>
            </w:pPr>
            <w:r w:rsidRPr="00792B36">
              <w:rPr>
                <w:color w:val="000000"/>
                <w:sz w:val="24"/>
                <w:szCs w:val="24"/>
              </w:rPr>
              <w:t>2019</w:t>
            </w:r>
          </w:p>
        </w:tc>
        <w:tc>
          <w:tcPr>
            <w:tcW w:w="4509" w:type="dxa"/>
            <w:vAlign w:val="bottom"/>
          </w:tcPr>
          <w:p w14:paraId="6D349CCF" w14:textId="77777777" w:rsidR="009A0A63" w:rsidRPr="00792B36" w:rsidRDefault="009A0A63" w:rsidP="00A24459">
            <w:pPr>
              <w:jc w:val="center"/>
              <w:rPr>
                <w:sz w:val="24"/>
                <w:szCs w:val="24"/>
              </w:rPr>
            </w:pPr>
            <w:r w:rsidRPr="00792B36">
              <w:rPr>
                <w:color w:val="000000"/>
                <w:sz w:val="24"/>
                <w:szCs w:val="24"/>
              </w:rPr>
              <w:t>0.676</w:t>
            </w:r>
          </w:p>
        </w:tc>
      </w:tr>
      <w:tr w:rsidR="009A0A63" w:rsidRPr="00792B36" w14:paraId="151AB6BA" w14:textId="77777777" w:rsidTr="00A24459">
        <w:trPr>
          <w:trHeight w:val="340"/>
        </w:trPr>
        <w:tc>
          <w:tcPr>
            <w:tcW w:w="4508" w:type="dxa"/>
            <w:vAlign w:val="bottom"/>
          </w:tcPr>
          <w:p w14:paraId="7A55C4FA" w14:textId="77777777" w:rsidR="009A0A63" w:rsidRPr="00792B36" w:rsidRDefault="009A0A63" w:rsidP="00A24459">
            <w:pPr>
              <w:jc w:val="center"/>
              <w:rPr>
                <w:sz w:val="24"/>
                <w:szCs w:val="24"/>
              </w:rPr>
            </w:pPr>
            <w:r w:rsidRPr="00792B36">
              <w:rPr>
                <w:color w:val="000000"/>
                <w:sz w:val="24"/>
                <w:szCs w:val="24"/>
              </w:rPr>
              <w:t>2020</w:t>
            </w:r>
          </w:p>
        </w:tc>
        <w:tc>
          <w:tcPr>
            <w:tcW w:w="4509" w:type="dxa"/>
            <w:vAlign w:val="bottom"/>
          </w:tcPr>
          <w:p w14:paraId="4772AB19" w14:textId="77777777" w:rsidR="009A0A63" w:rsidRPr="00792B36" w:rsidRDefault="009A0A63" w:rsidP="00A24459">
            <w:pPr>
              <w:jc w:val="center"/>
              <w:rPr>
                <w:sz w:val="24"/>
                <w:szCs w:val="24"/>
              </w:rPr>
            </w:pPr>
            <w:r w:rsidRPr="00792B36">
              <w:rPr>
                <w:color w:val="000000"/>
                <w:sz w:val="24"/>
                <w:szCs w:val="24"/>
              </w:rPr>
              <w:t>0.675</w:t>
            </w:r>
          </w:p>
        </w:tc>
      </w:tr>
      <w:tr w:rsidR="009A0A63" w:rsidRPr="00792B36" w14:paraId="12222FF8" w14:textId="77777777" w:rsidTr="00A24459">
        <w:trPr>
          <w:trHeight w:val="340"/>
        </w:trPr>
        <w:tc>
          <w:tcPr>
            <w:tcW w:w="4508" w:type="dxa"/>
            <w:vAlign w:val="bottom"/>
          </w:tcPr>
          <w:p w14:paraId="3CE0AC7A" w14:textId="77777777" w:rsidR="009A0A63" w:rsidRPr="00792B36" w:rsidRDefault="009A0A63" w:rsidP="00A24459">
            <w:pPr>
              <w:jc w:val="center"/>
              <w:rPr>
                <w:sz w:val="24"/>
                <w:szCs w:val="24"/>
              </w:rPr>
            </w:pPr>
            <w:r w:rsidRPr="00792B36">
              <w:rPr>
                <w:color w:val="000000"/>
                <w:sz w:val="24"/>
                <w:szCs w:val="24"/>
              </w:rPr>
              <w:t>2021</w:t>
            </w:r>
          </w:p>
        </w:tc>
        <w:tc>
          <w:tcPr>
            <w:tcW w:w="4509" w:type="dxa"/>
            <w:vAlign w:val="bottom"/>
          </w:tcPr>
          <w:p w14:paraId="124592EC" w14:textId="77777777" w:rsidR="009A0A63" w:rsidRPr="00792B36" w:rsidRDefault="009A0A63" w:rsidP="00A24459">
            <w:pPr>
              <w:jc w:val="center"/>
              <w:rPr>
                <w:sz w:val="24"/>
                <w:szCs w:val="24"/>
              </w:rPr>
            </w:pPr>
            <w:r w:rsidRPr="00792B36">
              <w:rPr>
                <w:color w:val="000000"/>
                <w:sz w:val="24"/>
                <w:szCs w:val="24"/>
              </w:rPr>
              <w:t>0.676</w:t>
            </w:r>
          </w:p>
        </w:tc>
      </w:tr>
      <w:tr w:rsidR="009A0A63" w:rsidRPr="00792B36" w14:paraId="5D2EBBD2" w14:textId="77777777" w:rsidTr="00A24459">
        <w:trPr>
          <w:trHeight w:val="340"/>
        </w:trPr>
        <w:tc>
          <w:tcPr>
            <w:tcW w:w="4508" w:type="dxa"/>
            <w:vAlign w:val="bottom"/>
          </w:tcPr>
          <w:p w14:paraId="4496F477" w14:textId="77777777" w:rsidR="009A0A63" w:rsidRPr="00792B36" w:rsidRDefault="009A0A63" w:rsidP="00A24459">
            <w:pPr>
              <w:jc w:val="center"/>
              <w:rPr>
                <w:color w:val="000000"/>
                <w:sz w:val="24"/>
                <w:szCs w:val="24"/>
              </w:rPr>
            </w:pPr>
            <w:r w:rsidRPr="00792B36">
              <w:rPr>
                <w:color w:val="000000"/>
                <w:sz w:val="24"/>
                <w:szCs w:val="24"/>
              </w:rPr>
              <w:t>2022</w:t>
            </w:r>
          </w:p>
        </w:tc>
        <w:tc>
          <w:tcPr>
            <w:tcW w:w="4509" w:type="dxa"/>
            <w:vAlign w:val="bottom"/>
          </w:tcPr>
          <w:p w14:paraId="6E2D5BFC" w14:textId="77777777" w:rsidR="009A0A63" w:rsidRPr="00792B36" w:rsidRDefault="009A0A63" w:rsidP="00A24459">
            <w:pPr>
              <w:jc w:val="center"/>
              <w:rPr>
                <w:color w:val="000000"/>
                <w:sz w:val="24"/>
                <w:szCs w:val="24"/>
              </w:rPr>
            </w:pPr>
            <w:r w:rsidRPr="00792B36">
              <w:rPr>
                <w:color w:val="000000"/>
                <w:sz w:val="24"/>
                <w:szCs w:val="24"/>
              </w:rPr>
              <w:t>0.67</w:t>
            </w:r>
          </w:p>
        </w:tc>
      </w:tr>
      <w:tr w:rsidR="009A0A63" w:rsidRPr="00792B36" w14:paraId="6E0BE531" w14:textId="77777777" w:rsidTr="00A24459">
        <w:trPr>
          <w:trHeight w:val="340"/>
        </w:trPr>
        <w:tc>
          <w:tcPr>
            <w:tcW w:w="4508" w:type="dxa"/>
            <w:vAlign w:val="bottom"/>
          </w:tcPr>
          <w:p w14:paraId="64E84912" w14:textId="77777777" w:rsidR="009A0A63" w:rsidRPr="00792B36" w:rsidRDefault="009A0A63" w:rsidP="00A24459">
            <w:pPr>
              <w:jc w:val="center"/>
              <w:rPr>
                <w:color w:val="000000"/>
                <w:sz w:val="24"/>
                <w:szCs w:val="24"/>
              </w:rPr>
            </w:pPr>
            <w:r w:rsidRPr="00792B36">
              <w:rPr>
                <w:color w:val="000000"/>
                <w:sz w:val="24"/>
                <w:szCs w:val="24"/>
              </w:rPr>
              <w:t>2023</w:t>
            </w:r>
          </w:p>
        </w:tc>
        <w:tc>
          <w:tcPr>
            <w:tcW w:w="4509" w:type="dxa"/>
            <w:vAlign w:val="bottom"/>
          </w:tcPr>
          <w:p w14:paraId="3E4812F4" w14:textId="77777777" w:rsidR="009A0A63" w:rsidRPr="00792B36" w:rsidRDefault="009A0A63" w:rsidP="00A24459">
            <w:pPr>
              <w:jc w:val="center"/>
              <w:rPr>
                <w:color w:val="000000"/>
                <w:sz w:val="24"/>
                <w:szCs w:val="24"/>
              </w:rPr>
            </w:pPr>
            <w:r w:rsidRPr="00792B36">
              <w:rPr>
                <w:color w:val="000000"/>
                <w:sz w:val="24"/>
                <w:szCs w:val="24"/>
              </w:rPr>
              <w:t>0.677</w:t>
            </w:r>
          </w:p>
        </w:tc>
      </w:tr>
    </w:tbl>
    <w:p w14:paraId="59647EBD" w14:textId="77777777" w:rsidR="009A0A63" w:rsidRPr="00792B36" w:rsidRDefault="009A0A63" w:rsidP="009A0A63">
      <w:pPr>
        <w:pBdr>
          <w:top w:val="nil"/>
          <w:left w:val="nil"/>
          <w:bottom w:val="nil"/>
          <w:right w:val="nil"/>
          <w:between w:val="nil"/>
        </w:pBdr>
        <w:spacing w:line="360" w:lineRule="auto"/>
        <w:contextualSpacing/>
        <w:jc w:val="both"/>
        <w:rPr>
          <w:color w:val="000000" w:themeColor="text1"/>
          <w:sz w:val="24"/>
          <w:szCs w:val="24"/>
        </w:rPr>
      </w:pPr>
      <w:r w:rsidRPr="00792B36">
        <w:rPr>
          <w:color w:val="000000" w:themeColor="text1"/>
          <w:sz w:val="24"/>
          <w:szCs w:val="24"/>
        </w:rPr>
        <w:t xml:space="preserve">Source: UNDP. 2025. Human Development Reports. </w:t>
      </w:r>
      <w:r w:rsidRPr="00792B36">
        <w:rPr>
          <w:sz w:val="24"/>
          <w:szCs w:val="24"/>
        </w:rPr>
        <w:fldChar w:fldCharType="begin"/>
      </w:r>
      <w:r w:rsidRPr="00792B36">
        <w:rPr>
          <w:sz w:val="24"/>
          <w:szCs w:val="24"/>
        </w:rPr>
        <w:instrText>HYPERLINK "https://hdr.undp.org/data-center/documentation-and-downloads"</w:instrText>
      </w:r>
      <w:r w:rsidRPr="00792B36">
        <w:rPr>
          <w:sz w:val="24"/>
          <w:szCs w:val="24"/>
        </w:rPr>
      </w:r>
      <w:r w:rsidRPr="00792B36">
        <w:rPr>
          <w:sz w:val="24"/>
          <w:szCs w:val="24"/>
        </w:rPr>
        <w:fldChar w:fldCharType="separate"/>
      </w:r>
      <w:r w:rsidRPr="00792B36">
        <w:rPr>
          <w:rStyle w:val="Hyperlink"/>
          <w:color w:val="000000" w:themeColor="text1"/>
          <w:sz w:val="24"/>
          <w:szCs w:val="24"/>
        </w:rPr>
        <w:t>https://hdr.undp.org/data-center/documentation-and-downloads</w:t>
      </w:r>
      <w:r w:rsidRPr="00792B36">
        <w:rPr>
          <w:sz w:val="24"/>
          <w:szCs w:val="24"/>
        </w:rPr>
        <w:fldChar w:fldCharType="end"/>
      </w:r>
      <w:r w:rsidRPr="00792B36">
        <w:rPr>
          <w:color w:val="000000" w:themeColor="text1"/>
          <w:sz w:val="24"/>
          <w:szCs w:val="24"/>
        </w:rPr>
        <w:t xml:space="preserve"> (accessed 22 April 2025)</w:t>
      </w:r>
    </w:p>
    <w:p w14:paraId="7F5EEEC0" w14:textId="77777777" w:rsidR="009A0A63" w:rsidRPr="00792B36" w:rsidRDefault="009A0A63" w:rsidP="009A0A63">
      <w:pPr>
        <w:spacing w:line="360" w:lineRule="auto"/>
        <w:rPr>
          <w:sz w:val="24"/>
          <w:szCs w:val="24"/>
        </w:rPr>
      </w:pPr>
    </w:p>
    <w:p w14:paraId="77FA30A3" w14:textId="77777777" w:rsidR="009A0A63" w:rsidRPr="00792B36" w:rsidRDefault="009A0A63" w:rsidP="009A0A63">
      <w:pPr>
        <w:spacing w:line="360" w:lineRule="auto"/>
        <w:rPr>
          <w:sz w:val="24"/>
          <w:szCs w:val="24"/>
        </w:rPr>
      </w:pPr>
    </w:p>
    <w:p w14:paraId="5428C4D7" w14:textId="77777777" w:rsidR="009A0A63" w:rsidRPr="00792B36" w:rsidRDefault="009A0A63" w:rsidP="009A0A63">
      <w:pPr>
        <w:spacing w:line="360" w:lineRule="auto"/>
        <w:rPr>
          <w:sz w:val="24"/>
          <w:szCs w:val="24"/>
        </w:rPr>
      </w:pPr>
    </w:p>
    <w:p w14:paraId="3B144E0A" w14:textId="77777777" w:rsidR="009A0A63" w:rsidRPr="00792B36" w:rsidRDefault="009A0A63" w:rsidP="009A0A63">
      <w:pPr>
        <w:spacing w:line="360" w:lineRule="auto"/>
        <w:rPr>
          <w:sz w:val="24"/>
          <w:szCs w:val="24"/>
        </w:rPr>
      </w:pPr>
    </w:p>
    <w:p w14:paraId="1502989F" w14:textId="77777777" w:rsidR="009A0A63" w:rsidRPr="00792B36" w:rsidRDefault="009A0A63" w:rsidP="009A0A63">
      <w:pPr>
        <w:spacing w:line="360" w:lineRule="auto"/>
        <w:rPr>
          <w:sz w:val="24"/>
          <w:szCs w:val="24"/>
        </w:rPr>
      </w:pPr>
    </w:p>
    <w:p w14:paraId="1FA5CE13" w14:textId="77777777" w:rsidR="009A0A63" w:rsidRPr="00792B36" w:rsidRDefault="009A0A63" w:rsidP="009A0A63">
      <w:pPr>
        <w:spacing w:line="360" w:lineRule="auto"/>
        <w:rPr>
          <w:sz w:val="24"/>
          <w:szCs w:val="24"/>
        </w:rPr>
      </w:pPr>
    </w:p>
    <w:p w14:paraId="36DF7F3A" w14:textId="77777777" w:rsidR="009A0A63" w:rsidRPr="00792B36" w:rsidRDefault="009A0A63" w:rsidP="009A0A63">
      <w:pPr>
        <w:spacing w:line="360" w:lineRule="auto"/>
        <w:rPr>
          <w:sz w:val="24"/>
          <w:szCs w:val="24"/>
        </w:rPr>
      </w:pPr>
    </w:p>
    <w:p w14:paraId="3720A31F" w14:textId="77777777" w:rsidR="009A0A63" w:rsidRPr="00792B36" w:rsidRDefault="009A0A63" w:rsidP="009A0A63">
      <w:pPr>
        <w:spacing w:line="360" w:lineRule="auto"/>
        <w:rPr>
          <w:sz w:val="24"/>
          <w:szCs w:val="24"/>
        </w:rPr>
      </w:pPr>
    </w:p>
    <w:p w14:paraId="7A1EA7F0" w14:textId="77777777" w:rsidR="009A0A63" w:rsidRPr="00792B36" w:rsidRDefault="009A0A63" w:rsidP="009A0A63">
      <w:pPr>
        <w:spacing w:line="360" w:lineRule="auto"/>
        <w:rPr>
          <w:sz w:val="24"/>
          <w:szCs w:val="24"/>
        </w:rPr>
      </w:pPr>
    </w:p>
    <w:p w14:paraId="051D8D90" w14:textId="77777777" w:rsidR="009A0A63" w:rsidRPr="00792B36" w:rsidRDefault="009A0A63" w:rsidP="009A0A63">
      <w:pPr>
        <w:spacing w:line="360" w:lineRule="auto"/>
        <w:rPr>
          <w:sz w:val="24"/>
          <w:szCs w:val="24"/>
        </w:rPr>
      </w:pPr>
    </w:p>
    <w:p w14:paraId="59CC8C07" w14:textId="77777777" w:rsidR="009A0A63" w:rsidRPr="00792B36" w:rsidRDefault="009A0A63" w:rsidP="009A0A63">
      <w:pPr>
        <w:spacing w:line="360" w:lineRule="auto"/>
        <w:rPr>
          <w:sz w:val="24"/>
          <w:szCs w:val="24"/>
        </w:rPr>
      </w:pPr>
    </w:p>
    <w:p w14:paraId="1724C3A9" w14:textId="77777777" w:rsidR="009A0A63" w:rsidRPr="00792B36" w:rsidRDefault="009A0A63" w:rsidP="009A0A63">
      <w:pPr>
        <w:spacing w:line="360" w:lineRule="auto"/>
        <w:rPr>
          <w:sz w:val="24"/>
          <w:szCs w:val="24"/>
        </w:rPr>
      </w:pPr>
    </w:p>
    <w:p w14:paraId="7872D912" w14:textId="77777777" w:rsidR="009A0A63" w:rsidRPr="00792B36" w:rsidRDefault="009A0A63" w:rsidP="009A0A63">
      <w:pPr>
        <w:spacing w:line="360" w:lineRule="auto"/>
        <w:rPr>
          <w:sz w:val="24"/>
          <w:szCs w:val="24"/>
        </w:rPr>
      </w:pPr>
    </w:p>
    <w:p w14:paraId="68FE8DF5" w14:textId="77777777" w:rsidR="009A0A63" w:rsidRPr="00792B36" w:rsidRDefault="009A0A63" w:rsidP="009A0A63">
      <w:pPr>
        <w:spacing w:line="360" w:lineRule="auto"/>
        <w:rPr>
          <w:sz w:val="24"/>
          <w:szCs w:val="24"/>
        </w:rPr>
      </w:pPr>
    </w:p>
    <w:p w14:paraId="0898EAF7" w14:textId="77777777" w:rsidR="009A0A63" w:rsidRPr="00792B36" w:rsidRDefault="009A0A63" w:rsidP="009A0A63">
      <w:pPr>
        <w:spacing w:line="360" w:lineRule="auto"/>
        <w:rPr>
          <w:sz w:val="24"/>
          <w:szCs w:val="24"/>
        </w:rPr>
      </w:pPr>
    </w:p>
    <w:p w14:paraId="6D7ABBFA" w14:textId="77777777" w:rsidR="009A0A63" w:rsidRPr="00792B36" w:rsidRDefault="009A0A63" w:rsidP="009A0A63">
      <w:pPr>
        <w:spacing w:line="360" w:lineRule="auto"/>
        <w:rPr>
          <w:sz w:val="24"/>
          <w:szCs w:val="24"/>
        </w:rPr>
      </w:pPr>
    </w:p>
    <w:p w14:paraId="188A5325" w14:textId="77777777" w:rsidR="009A0A63" w:rsidRPr="00792B36" w:rsidRDefault="009A0A63" w:rsidP="009A0A63">
      <w:pPr>
        <w:spacing w:line="360" w:lineRule="auto"/>
        <w:rPr>
          <w:sz w:val="24"/>
          <w:szCs w:val="24"/>
        </w:rPr>
      </w:pPr>
    </w:p>
    <w:p w14:paraId="0DA46685" w14:textId="77777777" w:rsidR="009A0A63" w:rsidRPr="00792B36" w:rsidRDefault="009A0A63" w:rsidP="009A0A63">
      <w:pPr>
        <w:spacing w:line="360" w:lineRule="auto"/>
        <w:rPr>
          <w:sz w:val="24"/>
          <w:szCs w:val="24"/>
        </w:rPr>
      </w:pPr>
    </w:p>
    <w:p w14:paraId="76FDB901" w14:textId="77777777" w:rsidR="009A0A63" w:rsidRPr="00792B36" w:rsidRDefault="009A0A63" w:rsidP="009A0A63">
      <w:pPr>
        <w:spacing w:line="360" w:lineRule="auto"/>
        <w:rPr>
          <w:sz w:val="24"/>
          <w:szCs w:val="24"/>
        </w:rPr>
      </w:pPr>
    </w:p>
    <w:p w14:paraId="7EAF6082" w14:textId="77777777" w:rsidR="009A0A63" w:rsidRPr="00792B36" w:rsidRDefault="009A0A63" w:rsidP="009A0A63">
      <w:pPr>
        <w:spacing w:line="360" w:lineRule="auto"/>
        <w:rPr>
          <w:sz w:val="24"/>
          <w:szCs w:val="24"/>
        </w:rPr>
      </w:pPr>
    </w:p>
    <w:p w14:paraId="291652E4" w14:textId="77777777" w:rsidR="009A0A63" w:rsidRPr="00792B36" w:rsidRDefault="009A0A63" w:rsidP="009A0A63">
      <w:pPr>
        <w:spacing w:line="360" w:lineRule="auto"/>
        <w:contextualSpacing/>
        <w:rPr>
          <w:color w:val="000000" w:themeColor="text1"/>
          <w:sz w:val="24"/>
          <w:szCs w:val="24"/>
        </w:rPr>
      </w:pPr>
      <w:r w:rsidRPr="00792B36">
        <w:rPr>
          <w:b/>
          <w:bCs/>
          <w:sz w:val="24"/>
          <w:szCs w:val="24"/>
        </w:rPr>
        <w:lastRenderedPageBreak/>
        <w:t xml:space="preserve">Annex 2.12 </w:t>
      </w:r>
      <w:r w:rsidRPr="00792B36">
        <w:rPr>
          <w:color w:val="000000" w:themeColor="text1"/>
          <w:sz w:val="24"/>
          <w:szCs w:val="24"/>
        </w:rPr>
        <w:t>GPP per capita (USD) by sector of coastal provinces along the Gulf of Thailand (1995-2018)</w:t>
      </w:r>
    </w:p>
    <w:tbl>
      <w:tblPr>
        <w:tblStyle w:val="TableGrid"/>
        <w:tblW w:w="0" w:type="auto"/>
        <w:tblLook w:val="04A0" w:firstRow="1" w:lastRow="0" w:firstColumn="1" w:lastColumn="0" w:noHBand="0" w:noVBand="1"/>
      </w:tblPr>
      <w:tblGrid>
        <w:gridCol w:w="624"/>
        <w:gridCol w:w="1196"/>
        <w:gridCol w:w="1044"/>
        <w:gridCol w:w="973"/>
        <w:gridCol w:w="1034"/>
        <w:gridCol w:w="1197"/>
        <w:gridCol w:w="1044"/>
        <w:gridCol w:w="973"/>
        <w:gridCol w:w="932"/>
      </w:tblGrid>
      <w:tr w:rsidR="009A0A63" w:rsidRPr="00792B36" w14:paraId="2ECA9DA4" w14:textId="77777777" w:rsidTr="00A24459">
        <w:trPr>
          <w:trHeight w:val="340"/>
        </w:trPr>
        <w:tc>
          <w:tcPr>
            <w:tcW w:w="613" w:type="dxa"/>
            <w:vMerge w:val="restart"/>
            <w:vAlign w:val="center"/>
          </w:tcPr>
          <w:p w14:paraId="5876AB73" w14:textId="77777777" w:rsidR="009A0A63" w:rsidRPr="00792B36" w:rsidRDefault="009A0A63" w:rsidP="00A24459">
            <w:pPr>
              <w:contextualSpacing/>
              <w:jc w:val="center"/>
              <w:rPr>
                <w:b/>
                <w:bCs/>
                <w:sz w:val="24"/>
                <w:szCs w:val="24"/>
              </w:rPr>
            </w:pPr>
            <w:r w:rsidRPr="00792B36">
              <w:rPr>
                <w:b/>
                <w:bCs/>
                <w:color w:val="000000"/>
                <w:sz w:val="24"/>
                <w:szCs w:val="24"/>
              </w:rPr>
              <w:t>Year</w:t>
            </w:r>
          </w:p>
        </w:tc>
        <w:tc>
          <w:tcPr>
            <w:tcW w:w="4353" w:type="dxa"/>
            <w:gridSpan w:val="4"/>
            <w:vAlign w:val="center"/>
          </w:tcPr>
          <w:p w14:paraId="5B9C4493" w14:textId="77777777" w:rsidR="009A0A63" w:rsidRPr="00792B36" w:rsidRDefault="009A0A63" w:rsidP="00A24459">
            <w:pPr>
              <w:contextualSpacing/>
              <w:jc w:val="center"/>
              <w:rPr>
                <w:b/>
                <w:bCs/>
                <w:sz w:val="24"/>
                <w:szCs w:val="24"/>
              </w:rPr>
            </w:pPr>
            <w:r w:rsidRPr="00792B36">
              <w:rPr>
                <w:b/>
                <w:bCs/>
                <w:sz w:val="24"/>
                <w:szCs w:val="24"/>
              </w:rPr>
              <w:t>Rayong</w:t>
            </w:r>
          </w:p>
        </w:tc>
        <w:tc>
          <w:tcPr>
            <w:tcW w:w="4051" w:type="dxa"/>
            <w:gridSpan w:val="4"/>
            <w:vAlign w:val="center"/>
          </w:tcPr>
          <w:p w14:paraId="14FFA787" w14:textId="77777777" w:rsidR="009A0A63" w:rsidRPr="00792B36" w:rsidRDefault="009A0A63" w:rsidP="00A24459">
            <w:pPr>
              <w:contextualSpacing/>
              <w:jc w:val="center"/>
              <w:rPr>
                <w:b/>
                <w:bCs/>
                <w:sz w:val="24"/>
                <w:szCs w:val="24"/>
              </w:rPr>
            </w:pPr>
            <w:r w:rsidRPr="00792B36">
              <w:rPr>
                <w:b/>
                <w:bCs/>
                <w:sz w:val="24"/>
                <w:szCs w:val="24"/>
              </w:rPr>
              <w:t>Chanthaburi</w:t>
            </w:r>
          </w:p>
        </w:tc>
      </w:tr>
      <w:tr w:rsidR="009A0A63" w:rsidRPr="00792B36" w14:paraId="5FB5F0EC" w14:textId="77777777" w:rsidTr="00A24459">
        <w:trPr>
          <w:trHeight w:val="340"/>
        </w:trPr>
        <w:tc>
          <w:tcPr>
            <w:tcW w:w="613" w:type="dxa"/>
            <w:vMerge/>
            <w:vAlign w:val="center"/>
          </w:tcPr>
          <w:p w14:paraId="2E0E6DE0" w14:textId="77777777" w:rsidR="009A0A63" w:rsidRPr="00792B36" w:rsidRDefault="009A0A63" w:rsidP="00A24459">
            <w:pPr>
              <w:contextualSpacing/>
              <w:jc w:val="center"/>
              <w:rPr>
                <w:b/>
                <w:bCs/>
                <w:sz w:val="24"/>
                <w:szCs w:val="24"/>
              </w:rPr>
            </w:pPr>
          </w:p>
        </w:tc>
        <w:tc>
          <w:tcPr>
            <w:tcW w:w="1169" w:type="dxa"/>
            <w:vAlign w:val="center"/>
          </w:tcPr>
          <w:p w14:paraId="7A9A0748" w14:textId="77777777" w:rsidR="009A0A63" w:rsidRPr="00792B36" w:rsidRDefault="009A0A63" w:rsidP="00A24459">
            <w:pPr>
              <w:contextualSpacing/>
              <w:jc w:val="center"/>
              <w:rPr>
                <w:b/>
                <w:bCs/>
                <w:sz w:val="24"/>
                <w:szCs w:val="24"/>
              </w:rPr>
            </w:pPr>
            <w:r w:rsidRPr="00792B36">
              <w:rPr>
                <w:b/>
                <w:bCs/>
                <w:color w:val="000000"/>
                <w:sz w:val="24"/>
                <w:szCs w:val="24"/>
              </w:rPr>
              <w:t>Agriculture</w:t>
            </w:r>
          </w:p>
        </w:tc>
        <w:tc>
          <w:tcPr>
            <w:tcW w:w="1098" w:type="dxa"/>
            <w:vAlign w:val="center"/>
          </w:tcPr>
          <w:p w14:paraId="02165E5B" w14:textId="77777777" w:rsidR="009A0A63" w:rsidRPr="00792B36" w:rsidRDefault="009A0A63" w:rsidP="00A24459">
            <w:pPr>
              <w:contextualSpacing/>
              <w:jc w:val="center"/>
              <w:rPr>
                <w:b/>
                <w:bCs/>
                <w:sz w:val="24"/>
                <w:szCs w:val="24"/>
              </w:rPr>
            </w:pPr>
            <w:r w:rsidRPr="00792B36">
              <w:rPr>
                <w:b/>
                <w:bCs/>
                <w:color w:val="000000"/>
                <w:sz w:val="24"/>
                <w:szCs w:val="24"/>
              </w:rPr>
              <w:t>Industrial</w:t>
            </w:r>
          </w:p>
        </w:tc>
        <w:tc>
          <w:tcPr>
            <w:tcW w:w="988" w:type="dxa"/>
            <w:vAlign w:val="center"/>
          </w:tcPr>
          <w:p w14:paraId="2F2E6CA7" w14:textId="77777777" w:rsidR="009A0A63" w:rsidRPr="00792B36" w:rsidRDefault="009A0A63" w:rsidP="00A24459">
            <w:pPr>
              <w:contextualSpacing/>
              <w:jc w:val="center"/>
              <w:rPr>
                <w:b/>
                <w:bCs/>
                <w:sz w:val="24"/>
                <w:szCs w:val="24"/>
              </w:rPr>
            </w:pPr>
            <w:r w:rsidRPr="00792B36">
              <w:rPr>
                <w:b/>
                <w:bCs/>
                <w:color w:val="000000"/>
                <w:sz w:val="24"/>
                <w:szCs w:val="24"/>
              </w:rPr>
              <w:t>Services</w:t>
            </w:r>
          </w:p>
        </w:tc>
        <w:tc>
          <w:tcPr>
            <w:tcW w:w="1098" w:type="dxa"/>
            <w:vAlign w:val="center"/>
          </w:tcPr>
          <w:p w14:paraId="230B00DD" w14:textId="77777777" w:rsidR="009A0A63" w:rsidRPr="00792B36" w:rsidRDefault="009A0A63" w:rsidP="00A24459">
            <w:pPr>
              <w:contextualSpacing/>
              <w:jc w:val="center"/>
              <w:rPr>
                <w:b/>
                <w:bCs/>
                <w:sz w:val="24"/>
                <w:szCs w:val="24"/>
              </w:rPr>
            </w:pPr>
            <w:r w:rsidRPr="00792B36">
              <w:rPr>
                <w:b/>
                <w:bCs/>
                <w:color w:val="000000"/>
                <w:sz w:val="24"/>
                <w:szCs w:val="24"/>
              </w:rPr>
              <w:t>GPP</w:t>
            </w:r>
          </w:p>
        </w:tc>
        <w:tc>
          <w:tcPr>
            <w:tcW w:w="1169" w:type="dxa"/>
            <w:vAlign w:val="center"/>
          </w:tcPr>
          <w:p w14:paraId="782CDF9F" w14:textId="77777777" w:rsidR="009A0A63" w:rsidRPr="00792B36" w:rsidRDefault="009A0A63" w:rsidP="00A24459">
            <w:pPr>
              <w:contextualSpacing/>
              <w:jc w:val="center"/>
              <w:rPr>
                <w:b/>
                <w:bCs/>
                <w:sz w:val="24"/>
                <w:szCs w:val="24"/>
              </w:rPr>
            </w:pPr>
            <w:r w:rsidRPr="00792B36">
              <w:rPr>
                <w:b/>
                <w:bCs/>
                <w:color w:val="000000"/>
                <w:sz w:val="24"/>
                <w:szCs w:val="24"/>
              </w:rPr>
              <w:t>Agriculture</w:t>
            </w:r>
          </w:p>
        </w:tc>
        <w:tc>
          <w:tcPr>
            <w:tcW w:w="1020" w:type="dxa"/>
            <w:vAlign w:val="center"/>
          </w:tcPr>
          <w:p w14:paraId="6C8BBF96" w14:textId="77777777" w:rsidR="009A0A63" w:rsidRPr="00792B36" w:rsidRDefault="009A0A63" w:rsidP="00A24459">
            <w:pPr>
              <w:contextualSpacing/>
              <w:jc w:val="center"/>
              <w:rPr>
                <w:b/>
                <w:bCs/>
                <w:sz w:val="24"/>
                <w:szCs w:val="24"/>
              </w:rPr>
            </w:pPr>
            <w:r w:rsidRPr="00792B36">
              <w:rPr>
                <w:b/>
                <w:bCs/>
                <w:color w:val="000000"/>
                <w:sz w:val="24"/>
                <w:szCs w:val="24"/>
              </w:rPr>
              <w:t>Industrial</w:t>
            </w:r>
          </w:p>
        </w:tc>
        <w:tc>
          <w:tcPr>
            <w:tcW w:w="951" w:type="dxa"/>
            <w:vAlign w:val="center"/>
          </w:tcPr>
          <w:p w14:paraId="4841BBD4" w14:textId="77777777" w:rsidR="009A0A63" w:rsidRPr="00792B36" w:rsidRDefault="009A0A63" w:rsidP="00A24459">
            <w:pPr>
              <w:contextualSpacing/>
              <w:jc w:val="center"/>
              <w:rPr>
                <w:b/>
                <w:bCs/>
                <w:sz w:val="24"/>
                <w:szCs w:val="24"/>
              </w:rPr>
            </w:pPr>
            <w:r w:rsidRPr="00792B36">
              <w:rPr>
                <w:b/>
                <w:bCs/>
                <w:color w:val="000000"/>
                <w:sz w:val="24"/>
                <w:szCs w:val="24"/>
              </w:rPr>
              <w:t>Services</w:t>
            </w:r>
          </w:p>
        </w:tc>
        <w:tc>
          <w:tcPr>
            <w:tcW w:w="911" w:type="dxa"/>
            <w:vAlign w:val="center"/>
          </w:tcPr>
          <w:p w14:paraId="1CCF81DE" w14:textId="77777777" w:rsidR="009A0A63" w:rsidRPr="00792B36" w:rsidRDefault="009A0A63" w:rsidP="00A24459">
            <w:pPr>
              <w:contextualSpacing/>
              <w:jc w:val="center"/>
              <w:rPr>
                <w:b/>
                <w:bCs/>
                <w:sz w:val="24"/>
                <w:szCs w:val="24"/>
              </w:rPr>
            </w:pPr>
            <w:r w:rsidRPr="00792B36">
              <w:rPr>
                <w:b/>
                <w:bCs/>
                <w:sz w:val="24"/>
                <w:szCs w:val="24"/>
              </w:rPr>
              <w:t>GPP</w:t>
            </w:r>
          </w:p>
        </w:tc>
      </w:tr>
      <w:tr w:rsidR="009A0A63" w:rsidRPr="00792B36" w14:paraId="71EF123D" w14:textId="77777777" w:rsidTr="00A24459">
        <w:trPr>
          <w:trHeight w:val="340"/>
        </w:trPr>
        <w:tc>
          <w:tcPr>
            <w:tcW w:w="613" w:type="dxa"/>
            <w:vAlign w:val="center"/>
          </w:tcPr>
          <w:p w14:paraId="61E86E51" w14:textId="77777777" w:rsidR="009A0A63" w:rsidRPr="00792B36" w:rsidRDefault="009A0A63" w:rsidP="00A24459">
            <w:pPr>
              <w:contextualSpacing/>
              <w:jc w:val="center"/>
              <w:rPr>
                <w:sz w:val="24"/>
                <w:szCs w:val="24"/>
              </w:rPr>
            </w:pPr>
            <w:r w:rsidRPr="00792B36">
              <w:rPr>
                <w:b/>
                <w:bCs/>
                <w:color w:val="000000"/>
                <w:sz w:val="24"/>
                <w:szCs w:val="24"/>
              </w:rPr>
              <w:t>1995</w:t>
            </w:r>
          </w:p>
        </w:tc>
        <w:tc>
          <w:tcPr>
            <w:tcW w:w="1169" w:type="dxa"/>
            <w:vAlign w:val="center"/>
          </w:tcPr>
          <w:p w14:paraId="2CDCF870" w14:textId="77777777" w:rsidR="009A0A63" w:rsidRPr="00792B36" w:rsidRDefault="009A0A63" w:rsidP="00A24459">
            <w:pPr>
              <w:contextualSpacing/>
              <w:jc w:val="center"/>
              <w:rPr>
                <w:sz w:val="24"/>
                <w:szCs w:val="24"/>
              </w:rPr>
            </w:pPr>
            <w:r w:rsidRPr="00792B36">
              <w:rPr>
                <w:color w:val="000000"/>
                <w:sz w:val="24"/>
                <w:szCs w:val="24"/>
              </w:rPr>
              <w:t>571.76</w:t>
            </w:r>
          </w:p>
        </w:tc>
        <w:tc>
          <w:tcPr>
            <w:tcW w:w="1098" w:type="dxa"/>
            <w:vAlign w:val="center"/>
          </w:tcPr>
          <w:p w14:paraId="3433A074" w14:textId="77777777" w:rsidR="009A0A63" w:rsidRPr="00792B36" w:rsidRDefault="009A0A63" w:rsidP="00A24459">
            <w:pPr>
              <w:contextualSpacing/>
              <w:jc w:val="center"/>
              <w:rPr>
                <w:sz w:val="24"/>
                <w:szCs w:val="24"/>
              </w:rPr>
            </w:pPr>
            <w:r w:rsidRPr="00792B36">
              <w:rPr>
                <w:color w:val="000000"/>
                <w:sz w:val="24"/>
                <w:szCs w:val="24"/>
              </w:rPr>
              <w:t>6,237.37</w:t>
            </w:r>
          </w:p>
        </w:tc>
        <w:tc>
          <w:tcPr>
            <w:tcW w:w="988" w:type="dxa"/>
            <w:vAlign w:val="center"/>
          </w:tcPr>
          <w:p w14:paraId="3B9F4BB9" w14:textId="77777777" w:rsidR="009A0A63" w:rsidRPr="00792B36" w:rsidRDefault="009A0A63" w:rsidP="00A24459">
            <w:pPr>
              <w:contextualSpacing/>
              <w:jc w:val="center"/>
              <w:rPr>
                <w:sz w:val="24"/>
                <w:szCs w:val="24"/>
              </w:rPr>
            </w:pPr>
            <w:r w:rsidRPr="00792B36">
              <w:rPr>
                <w:color w:val="000000"/>
                <w:sz w:val="24"/>
                <w:szCs w:val="24"/>
              </w:rPr>
              <w:t>1,704.53</w:t>
            </w:r>
          </w:p>
        </w:tc>
        <w:tc>
          <w:tcPr>
            <w:tcW w:w="1098" w:type="dxa"/>
            <w:vAlign w:val="center"/>
          </w:tcPr>
          <w:p w14:paraId="6928B9EB" w14:textId="77777777" w:rsidR="009A0A63" w:rsidRPr="00792B36" w:rsidRDefault="009A0A63" w:rsidP="00A24459">
            <w:pPr>
              <w:contextualSpacing/>
              <w:jc w:val="center"/>
              <w:rPr>
                <w:sz w:val="24"/>
                <w:szCs w:val="24"/>
              </w:rPr>
            </w:pPr>
            <w:r w:rsidRPr="00792B36">
              <w:rPr>
                <w:color w:val="000000"/>
                <w:sz w:val="24"/>
                <w:szCs w:val="24"/>
              </w:rPr>
              <w:t>8,565.61</w:t>
            </w:r>
          </w:p>
        </w:tc>
        <w:tc>
          <w:tcPr>
            <w:tcW w:w="1169" w:type="dxa"/>
            <w:vAlign w:val="center"/>
          </w:tcPr>
          <w:p w14:paraId="5A7151AC" w14:textId="77777777" w:rsidR="009A0A63" w:rsidRPr="00792B36" w:rsidRDefault="009A0A63" w:rsidP="00A24459">
            <w:pPr>
              <w:contextualSpacing/>
              <w:jc w:val="center"/>
              <w:rPr>
                <w:sz w:val="24"/>
                <w:szCs w:val="24"/>
              </w:rPr>
            </w:pPr>
            <w:r w:rsidRPr="00792B36">
              <w:rPr>
                <w:color w:val="000000"/>
                <w:sz w:val="24"/>
                <w:szCs w:val="24"/>
              </w:rPr>
              <w:t>1,035.54</w:t>
            </w:r>
          </w:p>
        </w:tc>
        <w:tc>
          <w:tcPr>
            <w:tcW w:w="1020" w:type="dxa"/>
            <w:vAlign w:val="center"/>
          </w:tcPr>
          <w:p w14:paraId="48572381" w14:textId="77777777" w:rsidR="009A0A63" w:rsidRPr="00792B36" w:rsidRDefault="009A0A63" w:rsidP="00A24459">
            <w:pPr>
              <w:contextualSpacing/>
              <w:jc w:val="center"/>
              <w:rPr>
                <w:sz w:val="24"/>
                <w:szCs w:val="24"/>
              </w:rPr>
            </w:pPr>
            <w:r w:rsidRPr="00792B36">
              <w:rPr>
                <w:color w:val="000000"/>
                <w:sz w:val="24"/>
                <w:szCs w:val="24"/>
              </w:rPr>
              <w:t>113.15</w:t>
            </w:r>
          </w:p>
        </w:tc>
        <w:tc>
          <w:tcPr>
            <w:tcW w:w="951" w:type="dxa"/>
            <w:vAlign w:val="center"/>
          </w:tcPr>
          <w:p w14:paraId="51F9D48B" w14:textId="77777777" w:rsidR="009A0A63" w:rsidRPr="00792B36" w:rsidRDefault="009A0A63" w:rsidP="00A24459">
            <w:pPr>
              <w:contextualSpacing/>
              <w:jc w:val="center"/>
              <w:rPr>
                <w:sz w:val="24"/>
                <w:szCs w:val="24"/>
              </w:rPr>
            </w:pPr>
            <w:r w:rsidRPr="00792B36">
              <w:rPr>
                <w:color w:val="000000"/>
                <w:sz w:val="24"/>
                <w:szCs w:val="24"/>
              </w:rPr>
              <w:t>771.15</w:t>
            </w:r>
          </w:p>
        </w:tc>
        <w:tc>
          <w:tcPr>
            <w:tcW w:w="911" w:type="dxa"/>
            <w:vAlign w:val="center"/>
          </w:tcPr>
          <w:p w14:paraId="785BB9AD" w14:textId="77777777" w:rsidR="009A0A63" w:rsidRPr="00792B36" w:rsidRDefault="009A0A63" w:rsidP="00A24459">
            <w:pPr>
              <w:contextualSpacing/>
              <w:jc w:val="center"/>
              <w:rPr>
                <w:sz w:val="24"/>
                <w:szCs w:val="24"/>
              </w:rPr>
            </w:pPr>
            <w:r w:rsidRPr="00792B36">
              <w:rPr>
                <w:color w:val="000000"/>
                <w:sz w:val="24"/>
                <w:szCs w:val="24"/>
              </w:rPr>
              <w:t>1,919.26</w:t>
            </w:r>
          </w:p>
        </w:tc>
      </w:tr>
      <w:tr w:rsidR="009A0A63" w:rsidRPr="00792B36" w14:paraId="2BDCCFAC" w14:textId="77777777" w:rsidTr="00A24459">
        <w:trPr>
          <w:trHeight w:val="340"/>
        </w:trPr>
        <w:tc>
          <w:tcPr>
            <w:tcW w:w="613" w:type="dxa"/>
            <w:vAlign w:val="center"/>
          </w:tcPr>
          <w:p w14:paraId="7B9B99AE" w14:textId="77777777" w:rsidR="009A0A63" w:rsidRPr="00792B36" w:rsidRDefault="009A0A63" w:rsidP="00A24459">
            <w:pPr>
              <w:contextualSpacing/>
              <w:jc w:val="center"/>
              <w:rPr>
                <w:sz w:val="24"/>
                <w:szCs w:val="24"/>
              </w:rPr>
            </w:pPr>
            <w:r w:rsidRPr="00792B36">
              <w:rPr>
                <w:b/>
                <w:bCs/>
                <w:color w:val="000000"/>
                <w:sz w:val="24"/>
                <w:szCs w:val="24"/>
              </w:rPr>
              <w:t>1996</w:t>
            </w:r>
          </w:p>
        </w:tc>
        <w:tc>
          <w:tcPr>
            <w:tcW w:w="1169" w:type="dxa"/>
            <w:vAlign w:val="center"/>
          </w:tcPr>
          <w:p w14:paraId="1B639B3A" w14:textId="77777777" w:rsidR="009A0A63" w:rsidRPr="00792B36" w:rsidRDefault="009A0A63" w:rsidP="00A24459">
            <w:pPr>
              <w:contextualSpacing/>
              <w:jc w:val="center"/>
              <w:rPr>
                <w:sz w:val="24"/>
                <w:szCs w:val="24"/>
              </w:rPr>
            </w:pPr>
            <w:r w:rsidRPr="00792B36">
              <w:rPr>
                <w:color w:val="000000"/>
                <w:sz w:val="24"/>
                <w:szCs w:val="24"/>
              </w:rPr>
              <w:t>551.84</w:t>
            </w:r>
          </w:p>
        </w:tc>
        <w:tc>
          <w:tcPr>
            <w:tcW w:w="1098" w:type="dxa"/>
            <w:vAlign w:val="center"/>
          </w:tcPr>
          <w:p w14:paraId="5746D304" w14:textId="77777777" w:rsidR="009A0A63" w:rsidRPr="00792B36" w:rsidRDefault="009A0A63" w:rsidP="00A24459">
            <w:pPr>
              <w:contextualSpacing/>
              <w:jc w:val="center"/>
              <w:rPr>
                <w:sz w:val="24"/>
                <w:szCs w:val="24"/>
              </w:rPr>
            </w:pPr>
            <w:r w:rsidRPr="00792B36">
              <w:rPr>
                <w:color w:val="000000"/>
                <w:sz w:val="24"/>
                <w:szCs w:val="24"/>
              </w:rPr>
              <w:t>7,059.34</w:t>
            </w:r>
          </w:p>
        </w:tc>
        <w:tc>
          <w:tcPr>
            <w:tcW w:w="988" w:type="dxa"/>
            <w:vAlign w:val="center"/>
          </w:tcPr>
          <w:p w14:paraId="531A1D37" w14:textId="77777777" w:rsidR="009A0A63" w:rsidRPr="00792B36" w:rsidRDefault="009A0A63" w:rsidP="00A24459">
            <w:pPr>
              <w:contextualSpacing/>
              <w:jc w:val="center"/>
              <w:rPr>
                <w:sz w:val="24"/>
                <w:szCs w:val="24"/>
              </w:rPr>
            </w:pPr>
            <w:r w:rsidRPr="00792B36">
              <w:rPr>
                <w:color w:val="000000"/>
                <w:sz w:val="24"/>
                <w:szCs w:val="24"/>
              </w:rPr>
              <w:t>1,843.23</w:t>
            </w:r>
          </w:p>
        </w:tc>
        <w:tc>
          <w:tcPr>
            <w:tcW w:w="1098" w:type="dxa"/>
            <w:vAlign w:val="center"/>
          </w:tcPr>
          <w:p w14:paraId="2BDF9BE0" w14:textId="77777777" w:rsidR="009A0A63" w:rsidRPr="00792B36" w:rsidRDefault="009A0A63" w:rsidP="00A24459">
            <w:pPr>
              <w:contextualSpacing/>
              <w:jc w:val="center"/>
              <w:rPr>
                <w:sz w:val="24"/>
                <w:szCs w:val="24"/>
              </w:rPr>
            </w:pPr>
            <w:r w:rsidRPr="00792B36">
              <w:rPr>
                <w:color w:val="000000"/>
                <w:sz w:val="24"/>
                <w:szCs w:val="24"/>
              </w:rPr>
              <w:t>9,489.23</w:t>
            </w:r>
          </w:p>
        </w:tc>
        <w:tc>
          <w:tcPr>
            <w:tcW w:w="1169" w:type="dxa"/>
            <w:vAlign w:val="center"/>
          </w:tcPr>
          <w:p w14:paraId="3C6BB27F" w14:textId="77777777" w:rsidR="009A0A63" w:rsidRPr="00792B36" w:rsidRDefault="009A0A63" w:rsidP="00A24459">
            <w:pPr>
              <w:contextualSpacing/>
              <w:jc w:val="center"/>
              <w:rPr>
                <w:sz w:val="24"/>
                <w:szCs w:val="24"/>
              </w:rPr>
            </w:pPr>
            <w:r w:rsidRPr="00792B36">
              <w:rPr>
                <w:color w:val="000000"/>
                <w:sz w:val="24"/>
                <w:szCs w:val="24"/>
              </w:rPr>
              <w:t>1,068.05</w:t>
            </w:r>
          </w:p>
        </w:tc>
        <w:tc>
          <w:tcPr>
            <w:tcW w:w="1020" w:type="dxa"/>
            <w:vAlign w:val="center"/>
          </w:tcPr>
          <w:p w14:paraId="0AAB8EFA" w14:textId="77777777" w:rsidR="009A0A63" w:rsidRPr="00792B36" w:rsidRDefault="009A0A63" w:rsidP="00A24459">
            <w:pPr>
              <w:contextualSpacing/>
              <w:jc w:val="center"/>
              <w:rPr>
                <w:sz w:val="24"/>
                <w:szCs w:val="24"/>
              </w:rPr>
            </w:pPr>
            <w:r w:rsidRPr="00792B36">
              <w:rPr>
                <w:color w:val="000000"/>
                <w:sz w:val="24"/>
                <w:szCs w:val="24"/>
              </w:rPr>
              <w:t>126.47</w:t>
            </w:r>
          </w:p>
        </w:tc>
        <w:tc>
          <w:tcPr>
            <w:tcW w:w="951" w:type="dxa"/>
            <w:vAlign w:val="center"/>
          </w:tcPr>
          <w:p w14:paraId="7298C251" w14:textId="77777777" w:rsidR="009A0A63" w:rsidRPr="00792B36" w:rsidRDefault="009A0A63" w:rsidP="00A24459">
            <w:pPr>
              <w:contextualSpacing/>
              <w:jc w:val="center"/>
              <w:rPr>
                <w:sz w:val="24"/>
                <w:szCs w:val="24"/>
              </w:rPr>
            </w:pPr>
            <w:r w:rsidRPr="00792B36">
              <w:rPr>
                <w:color w:val="000000"/>
                <w:sz w:val="24"/>
                <w:szCs w:val="24"/>
              </w:rPr>
              <w:t>819.93</w:t>
            </w:r>
          </w:p>
        </w:tc>
        <w:tc>
          <w:tcPr>
            <w:tcW w:w="911" w:type="dxa"/>
            <w:vAlign w:val="center"/>
          </w:tcPr>
          <w:p w14:paraId="696391CA" w14:textId="77777777" w:rsidR="009A0A63" w:rsidRPr="00792B36" w:rsidRDefault="009A0A63" w:rsidP="00A24459">
            <w:pPr>
              <w:contextualSpacing/>
              <w:jc w:val="center"/>
              <w:rPr>
                <w:sz w:val="24"/>
                <w:szCs w:val="24"/>
              </w:rPr>
            </w:pPr>
            <w:r w:rsidRPr="00792B36">
              <w:rPr>
                <w:color w:val="000000"/>
                <w:sz w:val="24"/>
                <w:szCs w:val="24"/>
              </w:rPr>
              <w:t>2,017.14</w:t>
            </w:r>
          </w:p>
        </w:tc>
      </w:tr>
      <w:tr w:rsidR="009A0A63" w:rsidRPr="00792B36" w14:paraId="7C1F277F" w14:textId="77777777" w:rsidTr="00A24459">
        <w:trPr>
          <w:trHeight w:val="340"/>
        </w:trPr>
        <w:tc>
          <w:tcPr>
            <w:tcW w:w="613" w:type="dxa"/>
            <w:vAlign w:val="center"/>
          </w:tcPr>
          <w:p w14:paraId="5117B26E" w14:textId="77777777" w:rsidR="009A0A63" w:rsidRPr="00792B36" w:rsidRDefault="009A0A63" w:rsidP="00A24459">
            <w:pPr>
              <w:contextualSpacing/>
              <w:jc w:val="center"/>
              <w:rPr>
                <w:sz w:val="24"/>
                <w:szCs w:val="24"/>
              </w:rPr>
            </w:pPr>
            <w:r w:rsidRPr="00792B36">
              <w:rPr>
                <w:b/>
                <w:bCs/>
                <w:color w:val="000000"/>
                <w:sz w:val="24"/>
                <w:szCs w:val="24"/>
              </w:rPr>
              <w:t>1997</w:t>
            </w:r>
          </w:p>
        </w:tc>
        <w:tc>
          <w:tcPr>
            <w:tcW w:w="1169" w:type="dxa"/>
            <w:vAlign w:val="center"/>
          </w:tcPr>
          <w:p w14:paraId="1525019A" w14:textId="77777777" w:rsidR="009A0A63" w:rsidRPr="00792B36" w:rsidRDefault="009A0A63" w:rsidP="00A24459">
            <w:pPr>
              <w:contextualSpacing/>
              <w:jc w:val="center"/>
              <w:rPr>
                <w:sz w:val="24"/>
                <w:szCs w:val="24"/>
              </w:rPr>
            </w:pPr>
            <w:r w:rsidRPr="00792B36">
              <w:rPr>
                <w:color w:val="000000"/>
                <w:sz w:val="24"/>
                <w:szCs w:val="24"/>
              </w:rPr>
              <w:t>512.27</w:t>
            </w:r>
          </w:p>
        </w:tc>
        <w:tc>
          <w:tcPr>
            <w:tcW w:w="1098" w:type="dxa"/>
            <w:vAlign w:val="center"/>
          </w:tcPr>
          <w:p w14:paraId="47BB2A0A" w14:textId="77777777" w:rsidR="009A0A63" w:rsidRPr="00792B36" w:rsidRDefault="009A0A63" w:rsidP="00A24459">
            <w:pPr>
              <w:contextualSpacing/>
              <w:jc w:val="center"/>
              <w:rPr>
                <w:sz w:val="24"/>
                <w:szCs w:val="24"/>
              </w:rPr>
            </w:pPr>
            <w:r w:rsidRPr="00792B36">
              <w:rPr>
                <w:color w:val="000000"/>
                <w:sz w:val="24"/>
                <w:szCs w:val="24"/>
              </w:rPr>
              <w:t>8,119.16</w:t>
            </w:r>
          </w:p>
        </w:tc>
        <w:tc>
          <w:tcPr>
            <w:tcW w:w="988" w:type="dxa"/>
            <w:vAlign w:val="center"/>
          </w:tcPr>
          <w:p w14:paraId="7248AB34" w14:textId="77777777" w:rsidR="009A0A63" w:rsidRPr="00792B36" w:rsidRDefault="009A0A63" w:rsidP="00A24459">
            <w:pPr>
              <w:contextualSpacing/>
              <w:jc w:val="center"/>
              <w:rPr>
                <w:sz w:val="24"/>
                <w:szCs w:val="24"/>
              </w:rPr>
            </w:pPr>
            <w:r w:rsidRPr="00792B36">
              <w:rPr>
                <w:color w:val="000000"/>
                <w:sz w:val="24"/>
                <w:szCs w:val="24"/>
              </w:rPr>
              <w:t>1,962.69</w:t>
            </w:r>
          </w:p>
        </w:tc>
        <w:tc>
          <w:tcPr>
            <w:tcW w:w="1098" w:type="dxa"/>
            <w:vAlign w:val="center"/>
          </w:tcPr>
          <w:p w14:paraId="68DCE778" w14:textId="77777777" w:rsidR="009A0A63" w:rsidRPr="00792B36" w:rsidRDefault="009A0A63" w:rsidP="00A24459">
            <w:pPr>
              <w:contextualSpacing/>
              <w:jc w:val="center"/>
              <w:rPr>
                <w:sz w:val="24"/>
                <w:szCs w:val="24"/>
              </w:rPr>
            </w:pPr>
            <w:r w:rsidRPr="00792B36">
              <w:rPr>
                <w:color w:val="000000"/>
                <w:sz w:val="24"/>
                <w:szCs w:val="24"/>
              </w:rPr>
              <w:t>10,599.02</w:t>
            </w:r>
          </w:p>
        </w:tc>
        <w:tc>
          <w:tcPr>
            <w:tcW w:w="1169" w:type="dxa"/>
            <w:vAlign w:val="center"/>
          </w:tcPr>
          <w:p w14:paraId="7DA8D0EA" w14:textId="77777777" w:rsidR="009A0A63" w:rsidRPr="00792B36" w:rsidRDefault="009A0A63" w:rsidP="00A24459">
            <w:pPr>
              <w:contextualSpacing/>
              <w:jc w:val="center"/>
              <w:rPr>
                <w:sz w:val="24"/>
                <w:szCs w:val="24"/>
              </w:rPr>
            </w:pPr>
            <w:r w:rsidRPr="00792B36">
              <w:rPr>
                <w:color w:val="000000"/>
                <w:sz w:val="24"/>
                <w:szCs w:val="24"/>
              </w:rPr>
              <w:t>1,051.09</w:t>
            </w:r>
          </w:p>
        </w:tc>
        <w:tc>
          <w:tcPr>
            <w:tcW w:w="1020" w:type="dxa"/>
            <w:vAlign w:val="center"/>
          </w:tcPr>
          <w:p w14:paraId="5063978B" w14:textId="77777777" w:rsidR="009A0A63" w:rsidRPr="00792B36" w:rsidRDefault="009A0A63" w:rsidP="00A24459">
            <w:pPr>
              <w:contextualSpacing/>
              <w:jc w:val="center"/>
              <w:rPr>
                <w:sz w:val="24"/>
                <w:szCs w:val="24"/>
              </w:rPr>
            </w:pPr>
            <w:r w:rsidRPr="00792B36">
              <w:rPr>
                <w:color w:val="000000"/>
                <w:sz w:val="24"/>
                <w:szCs w:val="24"/>
              </w:rPr>
              <w:t>120.03</w:t>
            </w:r>
          </w:p>
        </w:tc>
        <w:tc>
          <w:tcPr>
            <w:tcW w:w="951" w:type="dxa"/>
            <w:vAlign w:val="center"/>
          </w:tcPr>
          <w:p w14:paraId="17B996FA" w14:textId="77777777" w:rsidR="009A0A63" w:rsidRPr="00792B36" w:rsidRDefault="009A0A63" w:rsidP="00A24459">
            <w:pPr>
              <w:contextualSpacing/>
              <w:jc w:val="center"/>
              <w:rPr>
                <w:sz w:val="24"/>
                <w:szCs w:val="24"/>
              </w:rPr>
            </w:pPr>
            <w:r w:rsidRPr="00792B36">
              <w:rPr>
                <w:color w:val="000000"/>
                <w:sz w:val="24"/>
                <w:szCs w:val="24"/>
              </w:rPr>
              <w:t>783.60</w:t>
            </w:r>
          </w:p>
        </w:tc>
        <w:tc>
          <w:tcPr>
            <w:tcW w:w="911" w:type="dxa"/>
            <w:vAlign w:val="center"/>
          </w:tcPr>
          <w:p w14:paraId="45E1A260" w14:textId="77777777" w:rsidR="009A0A63" w:rsidRPr="00792B36" w:rsidRDefault="009A0A63" w:rsidP="00A24459">
            <w:pPr>
              <w:contextualSpacing/>
              <w:jc w:val="center"/>
              <w:rPr>
                <w:sz w:val="24"/>
                <w:szCs w:val="24"/>
              </w:rPr>
            </w:pPr>
            <w:r w:rsidRPr="00792B36">
              <w:rPr>
                <w:color w:val="000000"/>
                <w:sz w:val="24"/>
                <w:szCs w:val="24"/>
              </w:rPr>
              <w:t>1,953.91</w:t>
            </w:r>
          </w:p>
        </w:tc>
      </w:tr>
      <w:tr w:rsidR="009A0A63" w:rsidRPr="00792B36" w14:paraId="628C1224" w14:textId="77777777" w:rsidTr="00A24459">
        <w:trPr>
          <w:trHeight w:val="340"/>
        </w:trPr>
        <w:tc>
          <w:tcPr>
            <w:tcW w:w="613" w:type="dxa"/>
            <w:vAlign w:val="center"/>
          </w:tcPr>
          <w:p w14:paraId="523B1F2F" w14:textId="77777777" w:rsidR="009A0A63" w:rsidRPr="00792B36" w:rsidRDefault="009A0A63" w:rsidP="00A24459">
            <w:pPr>
              <w:contextualSpacing/>
              <w:jc w:val="center"/>
              <w:rPr>
                <w:sz w:val="24"/>
                <w:szCs w:val="24"/>
              </w:rPr>
            </w:pPr>
            <w:r w:rsidRPr="00792B36">
              <w:rPr>
                <w:b/>
                <w:bCs/>
                <w:color w:val="000000"/>
                <w:sz w:val="24"/>
                <w:szCs w:val="24"/>
              </w:rPr>
              <w:t>1998</w:t>
            </w:r>
          </w:p>
        </w:tc>
        <w:tc>
          <w:tcPr>
            <w:tcW w:w="1169" w:type="dxa"/>
            <w:vAlign w:val="center"/>
          </w:tcPr>
          <w:p w14:paraId="41282511" w14:textId="77777777" w:rsidR="009A0A63" w:rsidRPr="00792B36" w:rsidRDefault="009A0A63" w:rsidP="00A24459">
            <w:pPr>
              <w:contextualSpacing/>
              <w:jc w:val="center"/>
              <w:rPr>
                <w:sz w:val="24"/>
                <w:szCs w:val="24"/>
              </w:rPr>
            </w:pPr>
            <w:r w:rsidRPr="00792B36">
              <w:rPr>
                <w:color w:val="000000"/>
                <w:sz w:val="24"/>
                <w:szCs w:val="24"/>
              </w:rPr>
              <w:t>473.51</w:t>
            </w:r>
          </w:p>
        </w:tc>
        <w:tc>
          <w:tcPr>
            <w:tcW w:w="1098" w:type="dxa"/>
            <w:vAlign w:val="center"/>
          </w:tcPr>
          <w:p w14:paraId="3C22D298" w14:textId="77777777" w:rsidR="009A0A63" w:rsidRPr="00792B36" w:rsidRDefault="009A0A63" w:rsidP="00A24459">
            <w:pPr>
              <w:contextualSpacing/>
              <w:jc w:val="center"/>
              <w:rPr>
                <w:sz w:val="24"/>
                <w:szCs w:val="24"/>
              </w:rPr>
            </w:pPr>
            <w:r w:rsidRPr="00792B36">
              <w:rPr>
                <w:color w:val="000000"/>
                <w:sz w:val="24"/>
                <w:szCs w:val="24"/>
              </w:rPr>
              <w:t>7,712.33</w:t>
            </w:r>
          </w:p>
        </w:tc>
        <w:tc>
          <w:tcPr>
            <w:tcW w:w="988" w:type="dxa"/>
            <w:vAlign w:val="center"/>
          </w:tcPr>
          <w:p w14:paraId="1EF5EDC2" w14:textId="77777777" w:rsidR="009A0A63" w:rsidRPr="00792B36" w:rsidRDefault="009A0A63" w:rsidP="00A24459">
            <w:pPr>
              <w:contextualSpacing/>
              <w:jc w:val="center"/>
              <w:rPr>
                <w:sz w:val="24"/>
                <w:szCs w:val="24"/>
              </w:rPr>
            </w:pPr>
            <w:r w:rsidRPr="00792B36">
              <w:rPr>
                <w:color w:val="000000"/>
                <w:sz w:val="24"/>
                <w:szCs w:val="24"/>
              </w:rPr>
              <w:t>1,742.08</w:t>
            </w:r>
          </w:p>
        </w:tc>
        <w:tc>
          <w:tcPr>
            <w:tcW w:w="1098" w:type="dxa"/>
            <w:vAlign w:val="center"/>
          </w:tcPr>
          <w:p w14:paraId="5BAEEB77" w14:textId="77777777" w:rsidR="009A0A63" w:rsidRPr="00792B36" w:rsidRDefault="009A0A63" w:rsidP="00A24459">
            <w:pPr>
              <w:contextualSpacing/>
              <w:jc w:val="center"/>
              <w:rPr>
                <w:sz w:val="24"/>
                <w:szCs w:val="24"/>
              </w:rPr>
            </w:pPr>
            <w:r w:rsidRPr="00792B36">
              <w:rPr>
                <w:color w:val="000000"/>
                <w:sz w:val="24"/>
                <w:szCs w:val="24"/>
              </w:rPr>
              <w:t>9,919.21</w:t>
            </w:r>
          </w:p>
        </w:tc>
        <w:tc>
          <w:tcPr>
            <w:tcW w:w="1169" w:type="dxa"/>
            <w:vAlign w:val="center"/>
          </w:tcPr>
          <w:p w14:paraId="608C12B7" w14:textId="77777777" w:rsidR="009A0A63" w:rsidRPr="00792B36" w:rsidRDefault="009A0A63" w:rsidP="00A24459">
            <w:pPr>
              <w:contextualSpacing/>
              <w:jc w:val="center"/>
              <w:rPr>
                <w:sz w:val="24"/>
                <w:szCs w:val="24"/>
              </w:rPr>
            </w:pPr>
            <w:r w:rsidRPr="00792B36">
              <w:rPr>
                <w:color w:val="000000"/>
                <w:sz w:val="24"/>
                <w:szCs w:val="24"/>
              </w:rPr>
              <w:t>845.83</w:t>
            </w:r>
          </w:p>
        </w:tc>
        <w:tc>
          <w:tcPr>
            <w:tcW w:w="1020" w:type="dxa"/>
            <w:vAlign w:val="center"/>
          </w:tcPr>
          <w:p w14:paraId="78B6D231" w14:textId="77777777" w:rsidR="009A0A63" w:rsidRPr="00792B36" w:rsidRDefault="009A0A63" w:rsidP="00A24459">
            <w:pPr>
              <w:contextualSpacing/>
              <w:jc w:val="center"/>
              <w:rPr>
                <w:sz w:val="24"/>
                <w:szCs w:val="24"/>
              </w:rPr>
            </w:pPr>
            <w:r w:rsidRPr="00792B36">
              <w:rPr>
                <w:color w:val="000000"/>
                <w:sz w:val="24"/>
                <w:szCs w:val="24"/>
              </w:rPr>
              <w:t>101.91</w:t>
            </w:r>
          </w:p>
        </w:tc>
        <w:tc>
          <w:tcPr>
            <w:tcW w:w="951" w:type="dxa"/>
            <w:vAlign w:val="center"/>
          </w:tcPr>
          <w:p w14:paraId="18AA883B" w14:textId="77777777" w:rsidR="009A0A63" w:rsidRPr="00792B36" w:rsidRDefault="009A0A63" w:rsidP="00A24459">
            <w:pPr>
              <w:contextualSpacing/>
              <w:jc w:val="center"/>
              <w:rPr>
                <w:sz w:val="24"/>
                <w:szCs w:val="24"/>
              </w:rPr>
            </w:pPr>
            <w:r w:rsidRPr="00792B36">
              <w:rPr>
                <w:color w:val="000000"/>
                <w:sz w:val="24"/>
                <w:szCs w:val="24"/>
              </w:rPr>
              <w:t>712.78</w:t>
            </w:r>
          </w:p>
        </w:tc>
        <w:tc>
          <w:tcPr>
            <w:tcW w:w="911" w:type="dxa"/>
            <w:vAlign w:val="center"/>
          </w:tcPr>
          <w:p w14:paraId="6138FE99" w14:textId="77777777" w:rsidR="009A0A63" w:rsidRPr="00792B36" w:rsidRDefault="009A0A63" w:rsidP="00A24459">
            <w:pPr>
              <w:contextualSpacing/>
              <w:jc w:val="center"/>
              <w:rPr>
                <w:sz w:val="24"/>
                <w:szCs w:val="24"/>
              </w:rPr>
            </w:pPr>
            <w:r w:rsidRPr="00792B36">
              <w:rPr>
                <w:color w:val="000000"/>
                <w:sz w:val="24"/>
                <w:szCs w:val="24"/>
              </w:rPr>
              <w:t>1,666.29</w:t>
            </w:r>
          </w:p>
        </w:tc>
      </w:tr>
      <w:tr w:rsidR="009A0A63" w:rsidRPr="00792B36" w14:paraId="0A953786" w14:textId="77777777" w:rsidTr="00A24459">
        <w:trPr>
          <w:trHeight w:val="340"/>
        </w:trPr>
        <w:tc>
          <w:tcPr>
            <w:tcW w:w="613" w:type="dxa"/>
            <w:vAlign w:val="center"/>
          </w:tcPr>
          <w:p w14:paraId="32A0D1C3" w14:textId="77777777" w:rsidR="009A0A63" w:rsidRPr="00792B36" w:rsidRDefault="009A0A63" w:rsidP="00A24459">
            <w:pPr>
              <w:contextualSpacing/>
              <w:jc w:val="center"/>
              <w:rPr>
                <w:sz w:val="24"/>
                <w:szCs w:val="24"/>
              </w:rPr>
            </w:pPr>
            <w:r w:rsidRPr="00792B36">
              <w:rPr>
                <w:b/>
                <w:bCs/>
                <w:color w:val="000000"/>
                <w:sz w:val="24"/>
                <w:szCs w:val="24"/>
              </w:rPr>
              <w:t>1999</w:t>
            </w:r>
          </w:p>
        </w:tc>
        <w:tc>
          <w:tcPr>
            <w:tcW w:w="1169" w:type="dxa"/>
            <w:vAlign w:val="center"/>
          </w:tcPr>
          <w:p w14:paraId="5E9BE1C8" w14:textId="77777777" w:rsidR="009A0A63" w:rsidRPr="00792B36" w:rsidRDefault="009A0A63" w:rsidP="00A24459">
            <w:pPr>
              <w:contextualSpacing/>
              <w:jc w:val="center"/>
              <w:rPr>
                <w:sz w:val="24"/>
                <w:szCs w:val="24"/>
              </w:rPr>
            </w:pPr>
            <w:r w:rsidRPr="00792B36">
              <w:rPr>
                <w:color w:val="000000"/>
                <w:sz w:val="24"/>
                <w:szCs w:val="24"/>
              </w:rPr>
              <w:t>504.81</w:t>
            </w:r>
          </w:p>
        </w:tc>
        <w:tc>
          <w:tcPr>
            <w:tcW w:w="1098" w:type="dxa"/>
            <w:vAlign w:val="center"/>
          </w:tcPr>
          <w:p w14:paraId="1D319B7C" w14:textId="77777777" w:rsidR="009A0A63" w:rsidRPr="00792B36" w:rsidRDefault="009A0A63" w:rsidP="00A24459">
            <w:pPr>
              <w:contextualSpacing/>
              <w:jc w:val="center"/>
              <w:rPr>
                <w:sz w:val="24"/>
                <w:szCs w:val="24"/>
              </w:rPr>
            </w:pPr>
            <w:r w:rsidRPr="00792B36">
              <w:rPr>
                <w:color w:val="000000"/>
                <w:sz w:val="24"/>
                <w:szCs w:val="24"/>
              </w:rPr>
              <w:t>7,540.67</w:t>
            </w:r>
          </w:p>
        </w:tc>
        <w:tc>
          <w:tcPr>
            <w:tcW w:w="988" w:type="dxa"/>
            <w:vAlign w:val="center"/>
          </w:tcPr>
          <w:p w14:paraId="1326B81F" w14:textId="77777777" w:rsidR="009A0A63" w:rsidRPr="00792B36" w:rsidRDefault="009A0A63" w:rsidP="00A24459">
            <w:pPr>
              <w:contextualSpacing/>
              <w:jc w:val="center"/>
              <w:rPr>
                <w:sz w:val="24"/>
                <w:szCs w:val="24"/>
              </w:rPr>
            </w:pPr>
            <w:r w:rsidRPr="00792B36">
              <w:rPr>
                <w:color w:val="000000"/>
                <w:sz w:val="24"/>
                <w:szCs w:val="24"/>
              </w:rPr>
              <w:t>1,539.68</w:t>
            </w:r>
          </w:p>
        </w:tc>
        <w:tc>
          <w:tcPr>
            <w:tcW w:w="1098" w:type="dxa"/>
            <w:vAlign w:val="center"/>
          </w:tcPr>
          <w:p w14:paraId="4F722918" w14:textId="77777777" w:rsidR="009A0A63" w:rsidRPr="00792B36" w:rsidRDefault="009A0A63" w:rsidP="00A24459">
            <w:pPr>
              <w:contextualSpacing/>
              <w:jc w:val="center"/>
              <w:rPr>
                <w:sz w:val="24"/>
                <w:szCs w:val="24"/>
              </w:rPr>
            </w:pPr>
            <w:r w:rsidRPr="00792B36">
              <w:rPr>
                <w:color w:val="000000"/>
                <w:sz w:val="24"/>
                <w:szCs w:val="24"/>
              </w:rPr>
              <w:t>9,581.59</w:t>
            </w:r>
          </w:p>
        </w:tc>
        <w:tc>
          <w:tcPr>
            <w:tcW w:w="1169" w:type="dxa"/>
            <w:vAlign w:val="center"/>
          </w:tcPr>
          <w:p w14:paraId="699F6185" w14:textId="77777777" w:rsidR="009A0A63" w:rsidRPr="00792B36" w:rsidRDefault="009A0A63" w:rsidP="00A24459">
            <w:pPr>
              <w:contextualSpacing/>
              <w:jc w:val="center"/>
              <w:rPr>
                <w:sz w:val="24"/>
                <w:szCs w:val="24"/>
              </w:rPr>
            </w:pPr>
            <w:r w:rsidRPr="00792B36">
              <w:rPr>
                <w:color w:val="000000"/>
                <w:sz w:val="24"/>
                <w:szCs w:val="24"/>
              </w:rPr>
              <w:t>881.88</w:t>
            </w:r>
          </w:p>
        </w:tc>
        <w:tc>
          <w:tcPr>
            <w:tcW w:w="1020" w:type="dxa"/>
            <w:vAlign w:val="center"/>
          </w:tcPr>
          <w:p w14:paraId="226D296C" w14:textId="77777777" w:rsidR="009A0A63" w:rsidRPr="00792B36" w:rsidRDefault="009A0A63" w:rsidP="00A24459">
            <w:pPr>
              <w:contextualSpacing/>
              <w:jc w:val="center"/>
              <w:rPr>
                <w:sz w:val="24"/>
                <w:szCs w:val="24"/>
              </w:rPr>
            </w:pPr>
            <w:r w:rsidRPr="00792B36">
              <w:rPr>
                <w:color w:val="000000"/>
                <w:sz w:val="24"/>
                <w:szCs w:val="24"/>
              </w:rPr>
              <w:t>96.28</w:t>
            </w:r>
          </w:p>
        </w:tc>
        <w:tc>
          <w:tcPr>
            <w:tcW w:w="951" w:type="dxa"/>
            <w:vAlign w:val="center"/>
          </w:tcPr>
          <w:p w14:paraId="50DAE29C" w14:textId="77777777" w:rsidR="009A0A63" w:rsidRPr="00792B36" w:rsidRDefault="009A0A63" w:rsidP="00A24459">
            <w:pPr>
              <w:contextualSpacing/>
              <w:jc w:val="center"/>
              <w:rPr>
                <w:sz w:val="24"/>
                <w:szCs w:val="24"/>
              </w:rPr>
            </w:pPr>
            <w:r w:rsidRPr="00792B36">
              <w:rPr>
                <w:color w:val="000000"/>
                <w:sz w:val="24"/>
                <w:szCs w:val="24"/>
              </w:rPr>
              <w:t>737.63</w:t>
            </w:r>
          </w:p>
        </w:tc>
        <w:tc>
          <w:tcPr>
            <w:tcW w:w="911" w:type="dxa"/>
            <w:vAlign w:val="center"/>
          </w:tcPr>
          <w:p w14:paraId="7834545C" w14:textId="77777777" w:rsidR="009A0A63" w:rsidRPr="00792B36" w:rsidRDefault="009A0A63" w:rsidP="00A24459">
            <w:pPr>
              <w:contextualSpacing/>
              <w:jc w:val="center"/>
              <w:rPr>
                <w:sz w:val="24"/>
                <w:szCs w:val="24"/>
              </w:rPr>
            </w:pPr>
            <w:r w:rsidRPr="00792B36">
              <w:rPr>
                <w:color w:val="000000"/>
                <w:sz w:val="24"/>
                <w:szCs w:val="24"/>
              </w:rPr>
              <w:t>1,720.20</w:t>
            </w:r>
          </w:p>
        </w:tc>
      </w:tr>
      <w:tr w:rsidR="009A0A63" w:rsidRPr="00792B36" w14:paraId="3AD5E8F3" w14:textId="77777777" w:rsidTr="00A24459">
        <w:trPr>
          <w:trHeight w:val="340"/>
        </w:trPr>
        <w:tc>
          <w:tcPr>
            <w:tcW w:w="613" w:type="dxa"/>
            <w:vAlign w:val="center"/>
          </w:tcPr>
          <w:p w14:paraId="197FCAF3" w14:textId="77777777" w:rsidR="009A0A63" w:rsidRPr="00792B36" w:rsidRDefault="009A0A63" w:rsidP="00A24459">
            <w:pPr>
              <w:contextualSpacing/>
              <w:jc w:val="center"/>
              <w:rPr>
                <w:sz w:val="24"/>
                <w:szCs w:val="24"/>
              </w:rPr>
            </w:pPr>
            <w:r w:rsidRPr="00792B36">
              <w:rPr>
                <w:b/>
                <w:bCs/>
                <w:color w:val="000000"/>
                <w:sz w:val="24"/>
                <w:szCs w:val="24"/>
              </w:rPr>
              <w:t>2000</w:t>
            </w:r>
          </w:p>
        </w:tc>
        <w:tc>
          <w:tcPr>
            <w:tcW w:w="1169" w:type="dxa"/>
            <w:vAlign w:val="center"/>
          </w:tcPr>
          <w:p w14:paraId="569999C1" w14:textId="77777777" w:rsidR="009A0A63" w:rsidRPr="00792B36" w:rsidRDefault="009A0A63" w:rsidP="00A24459">
            <w:pPr>
              <w:contextualSpacing/>
              <w:jc w:val="center"/>
              <w:rPr>
                <w:sz w:val="24"/>
                <w:szCs w:val="24"/>
              </w:rPr>
            </w:pPr>
            <w:r w:rsidRPr="00792B36">
              <w:rPr>
                <w:color w:val="000000"/>
                <w:sz w:val="24"/>
                <w:szCs w:val="24"/>
              </w:rPr>
              <w:t>537.26</w:t>
            </w:r>
          </w:p>
        </w:tc>
        <w:tc>
          <w:tcPr>
            <w:tcW w:w="1098" w:type="dxa"/>
            <w:vAlign w:val="center"/>
          </w:tcPr>
          <w:p w14:paraId="5DAC53E8" w14:textId="77777777" w:rsidR="009A0A63" w:rsidRPr="00792B36" w:rsidRDefault="009A0A63" w:rsidP="00A24459">
            <w:pPr>
              <w:contextualSpacing/>
              <w:jc w:val="center"/>
              <w:rPr>
                <w:sz w:val="24"/>
                <w:szCs w:val="24"/>
              </w:rPr>
            </w:pPr>
            <w:r w:rsidRPr="00792B36">
              <w:rPr>
                <w:color w:val="000000"/>
                <w:sz w:val="24"/>
                <w:szCs w:val="24"/>
              </w:rPr>
              <w:t>8,593.78</w:t>
            </w:r>
          </w:p>
        </w:tc>
        <w:tc>
          <w:tcPr>
            <w:tcW w:w="988" w:type="dxa"/>
            <w:vAlign w:val="center"/>
          </w:tcPr>
          <w:p w14:paraId="371BE078" w14:textId="77777777" w:rsidR="009A0A63" w:rsidRPr="00792B36" w:rsidRDefault="009A0A63" w:rsidP="00A24459">
            <w:pPr>
              <w:contextualSpacing/>
              <w:jc w:val="center"/>
              <w:rPr>
                <w:sz w:val="24"/>
                <w:szCs w:val="24"/>
              </w:rPr>
            </w:pPr>
            <w:r w:rsidRPr="00792B36">
              <w:rPr>
                <w:color w:val="000000"/>
                <w:sz w:val="24"/>
                <w:szCs w:val="24"/>
              </w:rPr>
              <w:t>1,695.34</w:t>
            </w:r>
          </w:p>
        </w:tc>
        <w:tc>
          <w:tcPr>
            <w:tcW w:w="1098" w:type="dxa"/>
            <w:vAlign w:val="center"/>
          </w:tcPr>
          <w:p w14:paraId="437F38BB" w14:textId="77777777" w:rsidR="009A0A63" w:rsidRPr="00792B36" w:rsidRDefault="009A0A63" w:rsidP="00A24459">
            <w:pPr>
              <w:contextualSpacing/>
              <w:jc w:val="center"/>
              <w:rPr>
                <w:sz w:val="24"/>
                <w:szCs w:val="24"/>
              </w:rPr>
            </w:pPr>
            <w:r w:rsidRPr="00792B36">
              <w:rPr>
                <w:color w:val="000000"/>
                <w:sz w:val="24"/>
                <w:szCs w:val="24"/>
              </w:rPr>
              <w:t>10,815.23</w:t>
            </w:r>
          </w:p>
        </w:tc>
        <w:tc>
          <w:tcPr>
            <w:tcW w:w="1169" w:type="dxa"/>
            <w:vAlign w:val="center"/>
          </w:tcPr>
          <w:p w14:paraId="02B02F4F" w14:textId="77777777" w:rsidR="009A0A63" w:rsidRPr="00792B36" w:rsidRDefault="009A0A63" w:rsidP="00A24459">
            <w:pPr>
              <w:contextualSpacing/>
              <w:jc w:val="center"/>
              <w:rPr>
                <w:sz w:val="24"/>
                <w:szCs w:val="24"/>
              </w:rPr>
            </w:pPr>
            <w:r w:rsidRPr="00792B36">
              <w:rPr>
                <w:color w:val="000000"/>
                <w:sz w:val="24"/>
                <w:szCs w:val="24"/>
              </w:rPr>
              <w:t>983.47</w:t>
            </w:r>
          </w:p>
        </w:tc>
        <w:tc>
          <w:tcPr>
            <w:tcW w:w="1020" w:type="dxa"/>
            <w:vAlign w:val="center"/>
          </w:tcPr>
          <w:p w14:paraId="3C13A737" w14:textId="77777777" w:rsidR="009A0A63" w:rsidRPr="00792B36" w:rsidRDefault="009A0A63" w:rsidP="00A24459">
            <w:pPr>
              <w:contextualSpacing/>
              <w:jc w:val="center"/>
              <w:rPr>
                <w:sz w:val="24"/>
                <w:szCs w:val="24"/>
              </w:rPr>
            </w:pPr>
            <w:r w:rsidRPr="00792B36">
              <w:rPr>
                <w:color w:val="000000"/>
                <w:sz w:val="24"/>
                <w:szCs w:val="24"/>
              </w:rPr>
              <w:t>137.91</w:t>
            </w:r>
          </w:p>
        </w:tc>
        <w:tc>
          <w:tcPr>
            <w:tcW w:w="951" w:type="dxa"/>
            <w:vAlign w:val="center"/>
          </w:tcPr>
          <w:p w14:paraId="5902C7B1" w14:textId="77777777" w:rsidR="009A0A63" w:rsidRPr="00792B36" w:rsidRDefault="009A0A63" w:rsidP="00A24459">
            <w:pPr>
              <w:contextualSpacing/>
              <w:jc w:val="center"/>
              <w:rPr>
                <w:sz w:val="24"/>
                <w:szCs w:val="24"/>
              </w:rPr>
            </w:pPr>
            <w:r w:rsidRPr="00792B36">
              <w:rPr>
                <w:color w:val="000000"/>
                <w:sz w:val="24"/>
                <w:szCs w:val="24"/>
              </w:rPr>
              <w:t>771.95</w:t>
            </w:r>
          </w:p>
        </w:tc>
        <w:tc>
          <w:tcPr>
            <w:tcW w:w="911" w:type="dxa"/>
            <w:vAlign w:val="center"/>
          </w:tcPr>
          <w:p w14:paraId="5AB3B28E" w14:textId="77777777" w:rsidR="009A0A63" w:rsidRPr="00792B36" w:rsidRDefault="009A0A63" w:rsidP="00A24459">
            <w:pPr>
              <w:contextualSpacing/>
              <w:jc w:val="center"/>
              <w:rPr>
                <w:sz w:val="24"/>
                <w:szCs w:val="24"/>
              </w:rPr>
            </w:pPr>
            <w:r w:rsidRPr="00792B36">
              <w:rPr>
                <w:color w:val="000000"/>
                <w:sz w:val="24"/>
                <w:szCs w:val="24"/>
              </w:rPr>
              <w:t>1,895.08</w:t>
            </w:r>
          </w:p>
        </w:tc>
      </w:tr>
      <w:tr w:rsidR="009A0A63" w:rsidRPr="00792B36" w14:paraId="772B2DF6" w14:textId="77777777" w:rsidTr="00A24459">
        <w:trPr>
          <w:trHeight w:val="340"/>
        </w:trPr>
        <w:tc>
          <w:tcPr>
            <w:tcW w:w="613" w:type="dxa"/>
            <w:vAlign w:val="center"/>
          </w:tcPr>
          <w:p w14:paraId="3B567351" w14:textId="77777777" w:rsidR="009A0A63" w:rsidRPr="00792B36" w:rsidRDefault="009A0A63" w:rsidP="00A24459">
            <w:pPr>
              <w:contextualSpacing/>
              <w:jc w:val="center"/>
              <w:rPr>
                <w:sz w:val="24"/>
                <w:szCs w:val="24"/>
              </w:rPr>
            </w:pPr>
            <w:r w:rsidRPr="00792B36">
              <w:rPr>
                <w:b/>
                <w:bCs/>
                <w:color w:val="000000"/>
                <w:sz w:val="24"/>
                <w:szCs w:val="24"/>
              </w:rPr>
              <w:t>2001</w:t>
            </w:r>
          </w:p>
        </w:tc>
        <w:tc>
          <w:tcPr>
            <w:tcW w:w="1169" w:type="dxa"/>
            <w:vAlign w:val="center"/>
          </w:tcPr>
          <w:p w14:paraId="7E92B760" w14:textId="77777777" w:rsidR="009A0A63" w:rsidRPr="00792B36" w:rsidRDefault="009A0A63" w:rsidP="00A24459">
            <w:pPr>
              <w:contextualSpacing/>
              <w:jc w:val="center"/>
              <w:rPr>
                <w:sz w:val="24"/>
                <w:szCs w:val="24"/>
              </w:rPr>
            </w:pPr>
            <w:r w:rsidRPr="00792B36">
              <w:rPr>
                <w:color w:val="000000"/>
                <w:sz w:val="24"/>
                <w:szCs w:val="24"/>
              </w:rPr>
              <w:t>501.66</w:t>
            </w:r>
          </w:p>
        </w:tc>
        <w:tc>
          <w:tcPr>
            <w:tcW w:w="1098" w:type="dxa"/>
            <w:vAlign w:val="center"/>
          </w:tcPr>
          <w:p w14:paraId="5D91CC9E" w14:textId="77777777" w:rsidR="009A0A63" w:rsidRPr="00792B36" w:rsidRDefault="009A0A63" w:rsidP="00A24459">
            <w:pPr>
              <w:contextualSpacing/>
              <w:jc w:val="center"/>
              <w:rPr>
                <w:sz w:val="24"/>
                <w:szCs w:val="24"/>
              </w:rPr>
            </w:pPr>
            <w:r w:rsidRPr="00792B36">
              <w:rPr>
                <w:color w:val="000000"/>
                <w:sz w:val="24"/>
                <w:szCs w:val="24"/>
              </w:rPr>
              <w:t>8,335.72</w:t>
            </w:r>
          </w:p>
        </w:tc>
        <w:tc>
          <w:tcPr>
            <w:tcW w:w="988" w:type="dxa"/>
            <w:vAlign w:val="center"/>
          </w:tcPr>
          <w:p w14:paraId="3D63B512" w14:textId="77777777" w:rsidR="009A0A63" w:rsidRPr="00792B36" w:rsidRDefault="009A0A63" w:rsidP="00A24459">
            <w:pPr>
              <w:contextualSpacing/>
              <w:jc w:val="center"/>
              <w:rPr>
                <w:sz w:val="24"/>
                <w:szCs w:val="24"/>
              </w:rPr>
            </w:pPr>
            <w:r w:rsidRPr="00792B36">
              <w:rPr>
                <w:color w:val="000000"/>
                <w:sz w:val="24"/>
                <w:szCs w:val="24"/>
              </w:rPr>
              <w:t>1,581.62</w:t>
            </w:r>
          </w:p>
        </w:tc>
        <w:tc>
          <w:tcPr>
            <w:tcW w:w="1098" w:type="dxa"/>
            <w:vAlign w:val="center"/>
          </w:tcPr>
          <w:p w14:paraId="35264E0E" w14:textId="77777777" w:rsidR="009A0A63" w:rsidRPr="00792B36" w:rsidRDefault="009A0A63" w:rsidP="00A24459">
            <w:pPr>
              <w:contextualSpacing/>
              <w:jc w:val="center"/>
              <w:rPr>
                <w:sz w:val="24"/>
                <w:szCs w:val="24"/>
              </w:rPr>
            </w:pPr>
            <w:r w:rsidRPr="00792B36">
              <w:rPr>
                <w:color w:val="000000"/>
                <w:sz w:val="24"/>
                <w:szCs w:val="24"/>
              </w:rPr>
              <w:t>10,408.68</w:t>
            </w:r>
          </w:p>
        </w:tc>
        <w:tc>
          <w:tcPr>
            <w:tcW w:w="1169" w:type="dxa"/>
            <w:vAlign w:val="center"/>
          </w:tcPr>
          <w:p w14:paraId="198D32C0" w14:textId="77777777" w:rsidR="009A0A63" w:rsidRPr="00792B36" w:rsidRDefault="009A0A63" w:rsidP="00A24459">
            <w:pPr>
              <w:contextualSpacing/>
              <w:jc w:val="center"/>
              <w:rPr>
                <w:sz w:val="24"/>
                <w:szCs w:val="24"/>
              </w:rPr>
            </w:pPr>
            <w:r w:rsidRPr="00792B36">
              <w:rPr>
                <w:color w:val="000000"/>
                <w:sz w:val="24"/>
                <w:szCs w:val="24"/>
              </w:rPr>
              <w:t>1,028.86</w:t>
            </w:r>
          </w:p>
        </w:tc>
        <w:tc>
          <w:tcPr>
            <w:tcW w:w="1020" w:type="dxa"/>
            <w:vAlign w:val="center"/>
          </w:tcPr>
          <w:p w14:paraId="58E0A40C" w14:textId="77777777" w:rsidR="009A0A63" w:rsidRPr="00792B36" w:rsidRDefault="009A0A63" w:rsidP="00A24459">
            <w:pPr>
              <w:contextualSpacing/>
              <w:jc w:val="center"/>
              <w:rPr>
                <w:sz w:val="24"/>
                <w:szCs w:val="24"/>
              </w:rPr>
            </w:pPr>
            <w:r w:rsidRPr="00792B36">
              <w:rPr>
                <w:color w:val="000000"/>
                <w:sz w:val="24"/>
                <w:szCs w:val="24"/>
              </w:rPr>
              <w:t>133.77</w:t>
            </w:r>
          </w:p>
        </w:tc>
        <w:tc>
          <w:tcPr>
            <w:tcW w:w="951" w:type="dxa"/>
            <w:vAlign w:val="center"/>
          </w:tcPr>
          <w:p w14:paraId="3D025852" w14:textId="77777777" w:rsidR="009A0A63" w:rsidRPr="00792B36" w:rsidRDefault="009A0A63" w:rsidP="00A24459">
            <w:pPr>
              <w:contextualSpacing/>
              <w:jc w:val="center"/>
              <w:rPr>
                <w:sz w:val="24"/>
                <w:szCs w:val="24"/>
              </w:rPr>
            </w:pPr>
            <w:r w:rsidRPr="00792B36">
              <w:rPr>
                <w:color w:val="000000"/>
                <w:sz w:val="24"/>
                <w:szCs w:val="24"/>
              </w:rPr>
              <w:t>750.64</w:t>
            </w:r>
          </w:p>
        </w:tc>
        <w:tc>
          <w:tcPr>
            <w:tcW w:w="911" w:type="dxa"/>
            <w:vAlign w:val="center"/>
          </w:tcPr>
          <w:p w14:paraId="1E031436" w14:textId="77777777" w:rsidR="009A0A63" w:rsidRPr="00792B36" w:rsidRDefault="009A0A63" w:rsidP="00A24459">
            <w:pPr>
              <w:contextualSpacing/>
              <w:jc w:val="center"/>
              <w:rPr>
                <w:sz w:val="24"/>
                <w:szCs w:val="24"/>
              </w:rPr>
            </w:pPr>
            <w:r w:rsidRPr="00792B36">
              <w:rPr>
                <w:color w:val="000000"/>
                <w:sz w:val="24"/>
                <w:szCs w:val="24"/>
              </w:rPr>
              <w:t>1,909.96</w:t>
            </w:r>
          </w:p>
        </w:tc>
      </w:tr>
      <w:tr w:rsidR="009A0A63" w:rsidRPr="00792B36" w14:paraId="51838236" w14:textId="77777777" w:rsidTr="00A24459">
        <w:trPr>
          <w:trHeight w:val="340"/>
        </w:trPr>
        <w:tc>
          <w:tcPr>
            <w:tcW w:w="613" w:type="dxa"/>
            <w:vAlign w:val="center"/>
          </w:tcPr>
          <w:p w14:paraId="4E8F281C" w14:textId="77777777" w:rsidR="009A0A63" w:rsidRPr="00792B36" w:rsidRDefault="009A0A63" w:rsidP="00A24459">
            <w:pPr>
              <w:contextualSpacing/>
              <w:jc w:val="center"/>
              <w:rPr>
                <w:sz w:val="24"/>
                <w:szCs w:val="24"/>
              </w:rPr>
            </w:pPr>
            <w:r w:rsidRPr="00792B36">
              <w:rPr>
                <w:b/>
                <w:bCs/>
                <w:color w:val="000000"/>
                <w:sz w:val="24"/>
                <w:szCs w:val="24"/>
              </w:rPr>
              <w:t>2002</w:t>
            </w:r>
          </w:p>
        </w:tc>
        <w:tc>
          <w:tcPr>
            <w:tcW w:w="1169" w:type="dxa"/>
            <w:vAlign w:val="center"/>
          </w:tcPr>
          <w:p w14:paraId="650289AB" w14:textId="77777777" w:rsidR="009A0A63" w:rsidRPr="00792B36" w:rsidRDefault="009A0A63" w:rsidP="00A24459">
            <w:pPr>
              <w:contextualSpacing/>
              <w:jc w:val="center"/>
              <w:rPr>
                <w:sz w:val="24"/>
                <w:szCs w:val="24"/>
              </w:rPr>
            </w:pPr>
            <w:r w:rsidRPr="00792B36">
              <w:rPr>
                <w:color w:val="000000"/>
                <w:sz w:val="24"/>
                <w:szCs w:val="24"/>
              </w:rPr>
              <w:t>503.02</w:t>
            </w:r>
          </w:p>
        </w:tc>
        <w:tc>
          <w:tcPr>
            <w:tcW w:w="1098" w:type="dxa"/>
            <w:vAlign w:val="center"/>
          </w:tcPr>
          <w:p w14:paraId="2D685A9C" w14:textId="77777777" w:rsidR="009A0A63" w:rsidRPr="00792B36" w:rsidRDefault="009A0A63" w:rsidP="00A24459">
            <w:pPr>
              <w:contextualSpacing/>
              <w:jc w:val="center"/>
              <w:rPr>
                <w:sz w:val="24"/>
                <w:szCs w:val="24"/>
              </w:rPr>
            </w:pPr>
            <w:r w:rsidRPr="00792B36">
              <w:rPr>
                <w:color w:val="000000"/>
                <w:sz w:val="24"/>
                <w:szCs w:val="24"/>
              </w:rPr>
              <w:t>9,415.65</w:t>
            </w:r>
          </w:p>
        </w:tc>
        <w:tc>
          <w:tcPr>
            <w:tcW w:w="988" w:type="dxa"/>
            <w:vAlign w:val="center"/>
          </w:tcPr>
          <w:p w14:paraId="1768E552" w14:textId="77777777" w:rsidR="009A0A63" w:rsidRPr="00792B36" w:rsidRDefault="009A0A63" w:rsidP="00A24459">
            <w:pPr>
              <w:contextualSpacing/>
              <w:jc w:val="center"/>
              <w:rPr>
                <w:sz w:val="24"/>
                <w:szCs w:val="24"/>
              </w:rPr>
            </w:pPr>
            <w:r w:rsidRPr="00792B36">
              <w:rPr>
                <w:color w:val="000000"/>
                <w:sz w:val="24"/>
                <w:szCs w:val="24"/>
              </w:rPr>
              <w:t>1,625.42</w:t>
            </w:r>
          </w:p>
        </w:tc>
        <w:tc>
          <w:tcPr>
            <w:tcW w:w="1098" w:type="dxa"/>
            <w:vAlign w:val="center"/>
          </w:tcPr>
          <w:p w14:paraId="2E323BAE" w14:textId="77777777" w:rsidR="009A0A63" w:rsidRPr="00792B36" w:rsidRDefault="009A0A63" w:rsidP="00A24459">
            <w:pPr>
              <w:contextualSpacing/>
              <w:jc w:val="center"/>
              <w:rPr>
                <w:sz w:val="24"/>
                <w:szCs w:val="24"/>
              </w:rPr>
            </w:pPr>
            <w:r w:rsidRPr="00792B36">
              <w:rPr>
                <w:color w:val="000000"/>
                <w:sz w:val="24"/>
                <w:szCs w:val="24"/>
              </w:rPr>
              <w:t>11,544.08</w:t>
            </w:r>
          </w:p>
        </w:tc>
        <w:tc>
          <w:tcPr>
            <w:tcW w:w="1169" w:type="dxa"/>
            <w:vAlign w:val="center"/>
          </w:tcPr>
          <w:p w14:paraId="58284139" w14:textId="77777777" w:rsidR="009A0A63" w:rsidRPr="00792B36" w:rsidRDefault="009A0A63" w:rsidP="00A24459">
            <w:pPr>
              <w:contextualSpacing/>
              <w:jc w:val="center"/>
              <w:rPr>
                <w:sz w:val="24"/>
                <w:szCs w:val="24"/>
              </w:rPr>
            </w:pPr>
            <w:r w:rsidRPr="00792B36">
              <w:rPr>
                <w:color w:val="000000"/>
                <w:sz w:val="24"/>
                <w:szCs w:val="24"/>
              </w:rPr>
              <w:t>1,043.39</w:t>
            </w:r>
          </w:p>
        </w:tc>
        <w:tc>
          <w:tcPr>
            <w:tcW w:w="1020" w:type="dxa"/>
            <w:vAlign w:val="center"/>
          </w:tcPr>
          <w:p w14:paraId="1B5B1EB2" w14:textId="77777777" w:rsidR="009A0A63" w:rsidRPr="00792B36" w:rsidRDefault="009A0A63" w:rsidP="00A24459">
            <w:pPr>
              <w:contextualSpacing/>
              <w:jc w:val="center"/>
              <w:rPr>
                <w:sz w:val="24"/>
                <w:szCs w:val="24"/>
              </w:rPr>
            </w:pPr>
            <w:r w:rsidRPr="00792B36">
              <w:rPr>
                <w:color w:val="000000"/>
                <w:sz w:val="24"/>
                <w:szCs w:val="24"/>
              </w:rPr>
              <w:t>127.41</w:t>
            </w:r>
          </w:p>
        </w:tc>
        <w:tc>
          <w:tcPr>
            <w:tcW w:w="951" w:type="dxa"/>
            <w:vAlign w:val="center"/>
          </w:tcPr>
          <w:p w14:paraId="11B5573A" w14:textId="77777777" w:rsidR="009A0A63" w:rsidRPr="00792B36" w:rsidRDefault="009A0A63" w:rsidP="00A24459">
            <w:pPr>
              <w:contextualSpacing/>
              <w:jc w:val="center"/>
              <w:rPr>
                <w:sz w:val="24"/>
                <w:szCs w:val="24"/>
              </w:rPr>
            </w:pPr>
            <w:r w:rsidRPr="00792B36">
              <w:rPr>
                <w:color w:val="000000"/>
                <w:sz w:val="24"/>
                <w:szCs w:val="24"/>
              </w:rPr>
              <w:t>795.58</w:t>
            </w:r>
          </w:p>
        </w:tc>
        <w:tc>
          <w:tcPr>
            <w:tcW w:w="911" w:type="dxa"/>
            <w:vAlign w:val="center"/>
          </w:tcPr>
          <w:p w14:paraId="74E00743" w14:textId="77777777" w:rsidR="009A0A63" w:rsidRPr="00792B36" w:rsidRDefault="009A0A63" w:rsidP="00A24459">
            <w:pPr>
              <w:contextualSpacing/>
              <w:jc w:val="center"/>
              <w:rPr>
                <w:sz w:val="24"/>
                <w:szCs w:val="24"/>
              </w:rPr>
            </w:pPr>
            <w:r w:rsidRPr="00792B36">
              <w:rPr>
                <w:color w:val="000000"/>
                <w:sz w:val="24"/>
                <w:szCs w:val="24"/>
              </w:rPr>
              <w:t>1,966.37</w:t>
            </w:r>
          </w:p>
        </w:tc>
      </w:tr>
      <w:tr w:rsidR="009A0A63" w:rsidRPr="00792B36" w14:paraId="061FE951" w14:textId="77777777" w:rsidTr="00A24459">
        <w:trPr>
          <w:trHeight w:val="340"/>
        </w:trPr>
        <w:tc>
          <w:tcPr>
            <w:tcW w:w="613" w:type="dxa"/>
            <w:vAlign w:val="center"/>
          </w:tcPr>
          <w:p w14:paraId="3D27289C" w14:textId="77777777" w:rsidR="009A0A63" w:rsidRPr="00792B36" w:rsidRDefault="009A0A63" w:rsidP="00A24459">
            <w:pPr>
              <w:contextualSpacing/>
              <w:jc w:val="center"/>
              <w:rPr>
                <w:sz w:val="24"/>
                <w:szCs w:val="24"/>
              </w:rPr>
            </w:pPr>
            <w:r w:rsidRPr="00792B36">
              <w:rPr>
                <w:b/>
                <w:bCs/>
                <w:color w:val="000000"/>
                <w:sz w:val="24"/>
                <w:szCs w:val="24"/>
              </w:rPr>
              <w:t>2003</w:t>
            </w:r>
          </w:p>
        </w:tc>
        <w:tc>
          <w:tcPr>
            <w:tcW w:w="1169" w:type="dxa"/>
            <w:vAlign w:val="center"/>
          </w:tcPr>
          <w:p w14:paraId="224DBE18" w14:textId="77777777" w:rsidR="009A0A63" w:rsidRPr="00792B36" w:rsidRDefault="009A0A63" w:rsidP="00A24459">
            <w:pPr>
              <w:contextualSpacing/>
              <w:jc w:val="center"/>
              <w:rPr>
                <w:sz w:val="24"/>
                <w:szCs w:val="24"/>
              </w:rPr>
            </w:pPr>
            <w:r w:rsidRPr="00792B36">
              <w:rPr>
                <w:color w:val="000000"/>
                <w:sz w:val="24"/>
                <w:szCs w:val="24"/>
              </w:rPr>
              <w:t>513.86</w:t>
            </w:r>
          </w:p>
        </w:tc>
        <w:tc>
          <w:tcPr>
            <w:tcW w:w="1098" w:type="dxa"/>
            <w:vAlign w:val="center"/>
          </w:tcPr>
          <w:p w14:paraId="1B8254E5" w14:textId="77777777" w:rsidR="009A0A63" w:rsidRPr="00792B36" w:rsidRDefault="009A0A63" w:rsidP="00A24459">
            <w:pPr>
              <w:contextualSpacing/>
              <w:jc w:val="center"/>
              <w:rPr>
                <w:sz w:val="24"/>
                <w:szCs w:val="24"/>
              </w:rPr>
            </w:pPr>
            <w:r w:rsidRPr="00792B36">
              <w:rPr>
                <w:color w:val="000000"/>
                <w:sz w:val="24"/>
                <w:szCs w:val="24"/>
              </w:rPr>
              <w:t>9,454.66</w:t>
            </w:r>
          </w:p>
        </w:tc>
        <w:tc>
          <w:tcPr>
            <w:tcW w:w="988" w:type="dxa"/>
            <w:vAlign w:val="center"/>
          </w:tcPr>
          <w:p w14:paraId="71FF952D" w14:textId="77777777" w:rsidR="009A0A63" w:rsidRPr="00792B36" w:rsidRDefault="009A0A63" w:rsidP="00A24459">
            <w:pPr>
              <w:contextualSpacing/>
              <w:jc w:val="center"/>
              <w:rPr>
                <w:sz w:val="24"/>
                <w:szCs w:val="24"/>
              </w:rPr>
            </w:pPr>
            <w:r w:rsidRPr="00792B36">
              <w:rPr>
                <w:color w:val="000000"/>
                <w:sz w:val="24"/>
                <w:szCs w:val="24"/>
              </w:rPr>
              <w:t>1,634.51</w:t>
            </w:r>
          </w:p>
        </w:tc>
        <w:tc>
          <w:tcPr>
            <w:tcW w:w="1098" w:type="dxa"/>
            <w:vAlign w:val="center"/>
          </w:tcPr>
          <w:p w14:paraId="750AE431" w14:textId="77777777" w:rsidR="009A0A63" w:rsidRPr="00792B36" w:rsidRDefault="009A0A63" w:rsidP="00A24459">
            <w:pPr>
              <w:contextualSpacing/>
              <w:jc w:val="center"/>
              <w:rPr>
                <w:sz w:val="24"/>
                <w:szCs w:val="24"/>
              </w:rPr>
            </w:pPr>
            <w:r w:rsidRPr="00792B36">
              <w:rPr>
                <w:color w:val="000000"/>
                <w:sz w:val="24"/>
                <w:szCs w:val="24"/>
              </w:rPr>
              <w:t>11,603.03</w:t>
            </w:r>
          </w:p>
        </w:tc>
        <w:tc>
          <w:tcPr>
            <w:tcW w:w="1169" w:type="dxa"/>
            <w:vAlign w:val="center"/>
          </w:tcPr>
          <w:p w14:paraId="3DE12DF4" w14:textId="77777777" w:rsidR="009A0A63" w:rsidRPr="00792B36" w:rsidRDefault="009A0A63" w:rsidP="00A24459">
            <w:pPr>
              <w:contextualSpacing/>
              <w:jc w:val="center"/>
              <w:rPr>
                <w:sz w:val="24"/>
                <w:szCs w:val="24"/>
              </w:rPr>
            </w:pPr>
            <w:r w:rsidRPr="00792B36">
              <w:rPr>
                <w:color w:val="000000"/>
                <w:sz w:val="24"/>
                <w:szCs w:val="24"/>
              </w:rPr>
              <w:t>1,037.72</w:t>
            </w:r>
          </w:p>
        </w:tc>
        <w:tc>
          <w:tcPr>
            <w:tcW w:w="1020" w:type="dxa"/>
            <w:vAlign w:val="center"/>
          </w:tcPr>
          <w:p w14:paraId="02ACB0C0" w14:textId="77777777" w:rsidR="009A0A63" w:rsidRPr="00792B36" w:rsidRDefault="009A0A63" w:rsidP="00A24459">
            <w:pPr>
              <w:contextualSpacing/>
              <w:jc w:val="center"/>
              <w:rPr>
                <w:sz w:val="24"/>
                <w:szCs w:val="24"/>
              </w:rPr>
            </w:pPr>
            <w:r w:rsidRPr="00792B36">
              <w:rPr>
                <w:color w:val="000000"/>
                <w:sz w:val="24"/>
                <w:szCs w:val="24"/>
              </w:rPr>
              <w:t>153.41</w:t>
            </w:r>
          </w:p>
        </w:tc>
        <w:tc>
          <w:tcPr>
            <w:tcW w:w="951" w:type="dxa"/>
            <w:vAlign w:val="center"/>
          </w:tcPr>
          <w:p w14:paraId="360577B0" w14:textId="77777777" w:rsidR="009A0A63" w:rsidRPr="00792B36" w:rsidRDefault="009A0A63" w:rsidP="00A24459">
            <w:pPr>
              <w:contextualSpacing/>
              <w:jc w:val="center"/>
              <w:rPr>
                <w:sz w:val="24"/>
                <w:szCs w:val="24"/>
              </w:rPr>
            </w:pPr>
            <w:r w:rsidRPr="00792B36">
              <w:rPr>
                <w:color w:val="000000"/>
                <w:sz w:val="24"/>
                <w:szCs w:val="24"/>
              </w:rPr>
              <w:t>813.36</w:t>
            </w:r>
          </w:p>
        </w:tc>
        <w:tc>
          <w:tcPr>
            <w:tcW w:w="911" w:type="dxa"/>
            <w:vAlign w:val="center"/>
          </w:tcPr>
          <w:p w14:paraId="0ACD6ECA" w14:textId="77777777" w:rsidR="009A0A63" w:rsidRPr="00792B36" w:rsidRDefault="009A0A63" w:rsidP="00A24459">
            <w:pPr>
              <w:contextualSpacing/>
              <w:jc w:val="center"/>
              <w:rPr>
                <w:sz w:val="24"/>
                <w:szCs w:val="24"/>
              </w:rPr>
            </w:pPr>
            <w:r w:rsidRPr="00792B36">
              <w:rPr>
                <w:color w:val="000000"/>
                <w:sz w:val="24"/>
                <w:szCs w:val="24"/>
              </w:rPr>
              <w:t>2,004.49</w:t>
            </w:r>
          </w:p>
        </w:tc>
      </w:tr>
      <w:tr w:rsidR="009A0A63" w:rsidRPr="00792B36" w14:paraId="713F5C9D" w14:textId="77777777" w:rsidTr="00A24459">
        <w:trPr>
          <w:trHeight w:val="340"/>
        </w:trPr>
        <w:tc>
          <w:tcPr>
            <w:tcW w:w="613" w:type="dxa"/>
            <w:vAlign w:val="center"/>
          </w:tcPr>
          <w:p w14:paraId="1146892B" w14:textId="77777777" w:rsidR="009A0A63" w:rsidRPr="00792B36" w:rsidRDefault="009A0A63" w:rsidP="00A24459">
            <w:pPr>
              <w:contextualSpacing/>
              <w:jc w:val="center"/>
              <w:rPr>
                <w:sz w:val="24"/>
                <w:szCs w:val="24"/>
              </w:rPr>
            </w:pPr>
            <w:r w:rsidRPr="00792B36">
              <w:rPr>
                <w:b/>
                <w:bCs/>
                <w:color w:val="000000"/>
                <w:sz w:val="24"/>
                <w:szCs w:val="24"/>
              </w:rPr>
              <w:t>2004</w:t>
            </w:r>
          </w:p>
        </w:tc>
        <w:tc>
          <w:tcPr>
            <w:tcW w:w="1169" w:type="dxa"/>
            <w:vAlign w:val="center"/>
          </w:tcPr>
          <w:p w14:paraId="5A08E7B3" w14:textId="77777777" w:rsidR="009A0A63" w:rsidRPr="00792B36" w:rsidRDefault="009A0A63" w:rsidP="00A24459">
            <w:pPr>
              <w:contextualSpacing/>
              <w:jc w:val="center"/>
              <w:rPr>
                <w:sz w:val="24"/>
                <w:szCs w:val="24"/>
              </w:rPr>
            </w:pPr>
            <w:r w:rsidRPr="00792B36">
              <w:rPr>
                <w:color w:val="000000"/>
                <w:sz w:val="24"/>
                <w:szCs w:val="24"/>
              </w:rPr>
              <w:t>466.78</w:t>
            </w:r>
          </w:p>
        </w:tc>
        <w:tc>
          <w:tcPr>
            <w:tcW w:w="1098" w:type="dxa"/>
            <w:vAlign w:val="center"/>
          </w:tcPr>
          <w:p w14:paraId="22AD96E5" w14:textId="77777777" w:rsidR="009A0A63" w:rsidRPr="00792B36" w:rsidRDefault="009A0A63" w:rsidP="00A24459">
            <w:pPr>
              <w:contextualSpacing/>
              <w:jc w:val="center"/>
              <w:rPr>
                <w:sz w:val="24"/>
                <w:szCs w:val="24"/>
              </w:rPr>
            </w:pPr>
            <w:r w:rsidRPr="00792B36">
              <w:rPr>
                <w:color w:val="000000"/>
                <w:sz w:val="24"/>
                <w:szCs w:val="24"/>
              </w:rPr>
              <w:t>9,730.23</w:t>
            </w:r>
          </w:p>
        </w:tc>
        <w:tc>
          <w:tcPr>
            <w:tcW w:w="988" w:type="dxa"/>
            <w:vAlign w:val="center"/>
          </w:tcPr>
          <w:p w14:paraId="78829300" w14:textId="77777777" w:rsidR="009A0A63" w:rsidRPr="00792B36" w:rsidRDefault="009A0A63" w:rsidP="00A24459">
            <w:pPr>
              <w:contextualSpacing/>
              <w:jc w:val="center"/>
              <w:rPr>
                <w:sz w:val="24"/>
                <w:szCs w:val="24"/>
              </w:rPr>
            </w:pPr>
            <w:r w:rsidRPr="00792B36">
              <w:rPr>
                <w:color w:val="000000"/>
                <w:sz w:val="24"/>
                <w:szCs w:val="24"/>
              </w:rPr>
              <w:t>1,777.42</w:t>
            </w:r>
          </w:p>
        </w:tc>
        <w:tc>
          <w:tcPr>
            <w:tcW w:w="1098" w:type="dxa"/>
            <w:vAlign w:val="center"/>
          </w:tcPr>
          <w:p w14:paraId="444E4F9A" w14:textId="77777777" w:rsidR="009A0A63" w:rsidRPr="00792B36" w:rsidRDefault="009A0A63" w:rsidP="00A24459">
            <w:pPr>
              <w:contextualSpacing/>
              <w:jc w:val="center"/>
              <w:rPr>
                <w:sz w:val="24"/>
                <w:szCs w:val="24"/>
              </w:rPr>
            </w:pPr>
            <w:r w:rsidRPr="00792B36">
              <w:rPr>
                <w:color w:val="000000"/>
                <w:sz w:val="24"/>
                <w:szCs w:val="24"/>
              </w:rPr>
              <w:t>11,970.17</w:t>
            </w:r>
          </w:p>
        </w:tc>
        <w:tc>
          <w:tcPr>
            <w:tcW w:w="1169" w:type="dxa"/>
            <w:vAlign w:val="center"/>
          </w:tcPr>
          <w:p w14:paraId="0B50904E" w14:textId="77777777" w:rsidR="009A0A63" w:rsidRPr="00792B36" w:rsidRDefault="009A0A63" w:rsidP="00A24459">
            <w:pPr>
              <w:contextualSpacing/>
              <w:jc w:val="center"/>
              <w:rPr>
                <w:sz w:val="24"/>
                <w:szCs w:val="24"/>
              </w:rPr>
            </w:pPr>
            <w:r w:rsidRPr="00792B36">
              <w:rPr>
                <w:color w:val="000000"/>
                <w:sz w:val="24"/>
                <w:szCs w:val="24"/>
              </w:rPr>
              <w:t>971.01</w:t>
            </w:r>
          </w:p>
        </w:tc>
        <w:tc>
          <w:tcPr>
            <w:tcW w:w="1020" w:type="dxa"/>
            <w:vAlign w:val="center"/>
          </w:tcPr>
          <w:p w14:paraId="2CBCAD25" w14:textId="77777777" w:rsidR="009A0A63" w:rsidRPr="00792B36" w:rsidRDefault="009A0A63" w:rsidP="00A24459">
            <w:pPr>
              <w:contextualSpacing/>
              <w:jc w:val="center"/>
              <w:rPr>
                <w:sz w:val="24"/>
                <w:szCs w:val="24"/>
              </w:rPr>
            </w:pPr>
            <w:r w:rsidRPr="00792B36">
              <w:rPr>
                <w:color w:val="000000"/>
                <w:sz w:val="24"/>
                <w:szCs w:val="24"/>
              </w:rPr>
              <w:t>160.17</w:t>
            </w:r>
          </w:p>
        </w:tc>
        <w:tc>
          <w:tcPr>
            <w:tcW w:w="951" w:type="dxa"/>
            <w:vAlign w:val="center"/>
          </w:tcPr>
          <w:p w14:paraId="5D4B2FBE" w14:textId="77777777" w:rsidR="009A0A63" w:rsidRPr="00792B36" w:rsidRDefault="009A0A63" w:rsidP="00A24459">
            <w:pPr>
              <w:contextualSpacing/>
              <w:jc w:val="center"/>
              <w:rPr>
                <w:sz w:val="24"/>
                <w:szCs w:val="24"/>
              </w:rPr>
            </w:pPr>
            <w:r w:rsidRPr="00792B36">
              <w:rPr>
                <w:color w:val="000000"/>
                <w:sz w:val="24"/>
                <w:szCs w:val="24"/>
              </w:rPr>
              <w:t>827.64</w:t>
            </w:r>
          </w:p>
        </w:tc>
        <w:tc>
          <w:tcPr>
            <w:tcW w:w="911" w:type="dxa"/>
            <w:vAlign w:val="center"/>
          </w:tcPr>
          <w:p w14:paraId="28737AEB" w14:textId="77777777" w:rsidR="009A0A63" w:rsidRPr="00792B36" w:rsidRDefault="009A0A63" w:rsidP="00A24459">
            <w:pPr>
              <w:contextualSpacing/>
              <w:jc w:val="center"/>
              <w:rPr>
                <w:sz w:val="24"/>
                <w:szCs w:val="24"/>
              </w:rPr>
            </w:pPr>
            <w:r w:rsidRPr="00792B36">
              <w:rPr>
                <w:color w:val="000000"/>
                <w:sz w:val="24"/>
                <w:szCs w:val="24"/>
              </w:rPr>
              <w:t>1,956.69</w:t>
            </w:r>
          </w:p>
        </w:tc>
      </w:tr>
      <w:tr w:rsidR="009A0A63" w:rsidRPr="00792B36" w14:paraId="0338A573" w14:textId="77777777" w:rsidTr="00A24459">
        <w:trPr>
          <w:trHeight w:val="340"/>
        </w:trPr>
        <w:tc>
          <w:tcPr>
            <w:tcW w:w="613" w:type="dxa"/>
            <w:vAlign w:val="center"/>
          </w:tcPr>
          <w:p w14:paraId="26D0EBAC" w14:textId="77777777" w:rsidR="009A0A63" w:rsidRPr="00792B36" w:rsidRDefault="009A0A63" w:rsidP="00A24459">
            <w:pPr>
              <w:contextualSpacing/>
              <w:jc w:val="center"/>
              <w:rPr>
                <w:sz w:val="24"/>
                <w:szCs w:val="24"/>
              </w:rPr>
            </w:pPr>
            <w:r w:rsidRPr="00792B36">
              <w:rPr>
                <w:b/>
                <w:bCs/>
                <w:color w:val="000000"/>
                <w:sz w:val="24"/>
                <w:szCs w:val="24"/>
              </w:rPr>
              <w:t>2005</w:t>
            </w:r>
          </w:p>
        </w:tc>
        <w:tc>
          <w:tcPr>
            <w:tcW w:w="1169" w:type="dxa"/>
            <w:vAlign w:val="center"/>
          </w:tcPr>
          <w:p w14:paraId="37EDE9E5" w14:textId="77777777" w:rsidR="009A0A63" w:rsidRPr="00792B36" w:rsidRDefault="009A0A63" w:rsidP="00A24459">
            <w:pPr>
              <w:contextualSpacing/>
              <w:jc w:val="center"/>
              <w:rPr>
                <w:sz w:val="24"/>
                <w:szCs w:val="24"/>
              </w:rPr>
            </w:pPr>
            <w:r w:rsidRPr="00792B36">
              <w:rPr>
                <w:color w:val="000000"/>
                <w:sz w:val="24"/>
                <w:szCs w:val="24"/>
              </w:rPr>
              <w:t>421.36</w:t>
            </w:r>
          </w:p>
        </w:tc>
        <w:tc>
          <w:tcPr>
            <w:tcW w:w="1098" w:type="dxa"/>
            <w:vAlign w:val="center"/>
          </w:tcPr>
          <w:p w14:paraId="3D32C9D0" w14:textId="77777777" w:rsidR="009A0A63" w:rsidRPr="00792B36" w:rsidRDefault="009A0A63" w:rsidP="00A24459">
            <w:pPr>
              <w:contextualSpacing/>
              <w:jc w:val="center"/>
              <w:rPr>
                <w:sz w:val="24"/>
                <w:szCs w:val="24"/>
              </w:rPr>
            </w:pPr>
            <w:r w:rsidRPr="00792B36">
              <w:rPr>
                <w:color w:val="000000"/>
                <w:sz w:val="24"/>
                <w:szCs w:val="24"/>
              </w:rPr>
              <w:t>10,017.73</w:t>
            </w:r>
          </w:p>
        </w:tc>
        <w:tc>
          <w:tcPr>
            <w:tcW w:w="988" w:type="dxa"/>
            <w:vAlign w:val="center"/>
          </w:tcPr>
          <w:p w14:paraId="6074FF4F" w14:textId="77777777" w:rsidR="009A0A63" w:rsidRPr="00792B36" w:rsidRDefault="009A0A63" w:rsidP="00A24459">
            <w:pPr>
              <w:contextualSpacing/>
              <w:jc w:val="center"/>
              <w:rPr>
                <w:sz w:val="24"/>
                <w:szCs w:val="24"/>
              </w:rPr>
            </w:pPr>
            <w:r w:rsidRPr="00792B36">
              <w:rPr>
                <w:color w:val="000000"/>
                <w:sz w:val="24"/>
                <w:szCs w:val="24"/>
              </w:rPr>
              <w:t>1,887.31</w:t>
            </w:r>
          </w:p>
        </w:tc>
        <w:tc>
          <w:tcPr>
            <w:tcW w:w="1098" w:type="dxa"/>
            <w:vAlign w:val="center"/>
          </w:tcPr>
          <w:p w14:paraId="0373763C" w14:textId="77777777" w:rsidR="009A0A63" w:rsidRPr="00792B36" w:rsidRDefault="009A0A63" w:rsidP="00A24459">
            <w:pPr>
              <w:contextualSpacing/>
              <w:jc w:val="center"/>
              <w:rPr>
                <w:sz w:val="24"/>
                <w:szCs w:val="24"/>
              </w:rPr>
            </w:pPr>
            <w:r w:rsidRPr="00792B36">
              <w:rPr>
                <w:color w:val="000000"/>
                <w:sz w:val="24"/>
                <w:szCs w:val="24"/>
              </w:rPr>
              <w:t>12,315.51</w:t>
            </w:r>
          </w:p>
        </w:tc>
        <w:tc>
          <w:tcPr>
            <w:tcW w:w="1169" w:type="dxa"/>
            <w:vAlign w:val="center"/>
          </w:tcPr>
          <w:p w14:paraId="7F8B8AEC" w14:textId="77777777" w:rsidR="009A0A63" w:rsidRPr="00792B36" w:rsidRDefault="009A0A63" w:rsidP="00A24459">
            <w:pPr>
              <w:contextualSpacing/>
              <w:jc w:val="center"/>
              <w:rPr>
                <w:sz w:val="24"/>
                <w:szCs w:val="24"/>
              </w:rPr>
            </w:pPr>
            <w:r w:rsidRPr="00792B36">
              <w:rPr>
                <w:color w:val="000000"/>
                <w:sz w:val="24"/>
                <w:szCs w:val="24"/>
              </w:rPr>
              <w:t>921.28</w:t>
            </w:r>
          </w:p>
        </w:tc>
        <w:tc>
          <w:tcPr>
            <w:tcW w:w="1020" w:type="dxa"/>
            <w:vAlign w:val="center"/>
          </w:tcPr>
          <w:p w14:paraId="275D899B" w14:textId="77777777" w:rsidR="009A0A63" w:rsidRPr="00792B36" w:rsidRDefault="009A0A63" w:rsidP="00A24459">
            <w:pPr>
              <w:contextualSpacing/>
              <w:jc w:val="center"/>
              <w:rPr>
                <w:sz w:val="24"/>
                <w:szCs w:val="24"/>
              </w:rPr>
            </w:pPr>
            <w:r w:rsidRPr="00792B36">
              <w:rPr>
                <w:color w:val="000000"/>
                <w:sz w:val="24"/>
                <w:szCs w:val="24"/>
              </w:rPr>
              <w:t>170.80</w:t>
            </w:r>
          </w:p>
        </w:tc>
        <w:tc>
          <w:tcPr>
            <w:tcW w:w="951" w:type="dxa"/>
            <w:vAlign w:val="center"/>
          </w:tcPr>
          <w:p w14:paraId="4A74BB2D" w14:textId="77777777" w:rsidR="009A0A63" w:rsidRPr="00792B36" w:rsidRDefault="009A0A63" w:rsidP="00A24459">
            <w:pPr>
              <w:contextualSpacing/>
              <w:jc w:val="center"/>
              <w:rPr>
                <w:sz w:val="24"/>
                <w:szCs w:val="24"/>
              </w:rPr>
            </w:pPr>
            <w:r w:rsidRPr="00792B36">
              <w:rPr>
                <w:color w:val="000000"/>
                <w:sz w:val="24"/>
                <w:szCs w:val="24"/>
              </w:rPr>
              <w:t>873.97</w:t>
            </w:r>
          </w:p>
        </w:tc>
        <w:tc>
          <w:tcPr>
            <w:tcW w:w="911" w:type="dxa"/>
            <w:vAlign w:val="center"/>
          </w:tcPr>
          <w:p w14:paraId="7B3D8C34" w14:textId="77777777" w:rsidR="009A0A63" w:rsidRPr="00792B36" w:rsidRDefault="009A0A63" w:rsidP="00A24459">
            <w:pPr>
              <w:contextualSpacing/>
              <w:jc w:val="center"/>
              <w:rPr>
                <w:sz w:val="24"/>
                <w:szCs w:val="24"/>
              </w:rPr>
            </w:pPr>
            <w:r w:rsidRPr="00792B36">
              <w:rPr>
                <w:color w:val="000000"/>
                <w:sz w:val="24"/>
                <w:szCs w:val="24"/>
              </w:rPr>
              <w:t>1,957.25</w:t>
            </w:r>
          </w:p>
        </w:tc>
      </w:tr>
      <w:tr w:rsidR="009A0A63" w:rsidRPr="00792B36" w14:paraId="1CFD0149" w14:textId="77777777" w:rsidTr="00A24459">
        <w:trPr>
          <w:trHeight w:val="340"/>
        </w:trPr>
        <w:tc>
          <w:tcPr>
            <w:tcW w:w="613" w:type="dxa"/>
            <w:vAlign w:val="center"/>
          </w:tcPr>
          <w:p w14:paraId="2F2FD850" w14:textId="77777777" w:rsidR="009A0A63" w:rsidRPr="00792B36" w:rsidRDefault="009A0A63" w:rsidP="00A24459">
            <w:pPr>
              <w:contextualSpacing/>
              <w:jc w:val="center"/>
              <w:rPr>
                <w:sz w:val="24"/>
                <w:szCs w:val="24"/>
              </w:rPr>
            </w:pPr>
            <w:r w:rsidRPr="00792B36">
              <w:rPr>
                <w:b/>
                <w:bCs/>
                <w:color w:val="000000"/>
                <w:sz w:val="24"/>
                <w:szCs w:val="24"/>
              </w:rPr>
              <w:t>2006</w:t>
            </w:r>
          </w:p>
        </w:tc>
        <w:tc>
          <w:tcPr>
            <w:tcW w:w="1169" w:type="dxa"/>
            <w:vAlign w:val="center"/>
          </w:tcPr>
          <w:p w14:paraId="598A3CFF" w14:textId="77777777" w:rsidR="009A0A63" w:rsidRPr="00792B36" w:rsidRDefault="009A0A63" w:rsidP="00A24459">
            <w:pPr>
              <w:contextualSpacing/>
              <w:jc w:val="center"/>
              <w:rPr>
                <w:sz w:val="24"/>
                <w:szCs w:val="24"/>
              </w:rPr>
            </w:pPr>
            <w:r w:rsidRPr="00792B36">
              <w:rPr>
                <w:color w:val="000000"/>
                <w:sz w:val="24"/>
                <w:szCs w:val="24"/>
              </w:rPr>
              <w:t>425.12</w:t>
            </w:r>
          </w:p>
        </w:tc>
        <w:tc>
          <w:tcPr>
            <w:tcW w:w="1098" w:type="dxa"/>
            <w:vAlign w:val="center"/>
          </w:tcPr>
          <w:p w14:paraId="2752DB81" w14:textId="77777777" w:rsidR="009A0A63" w:rsidRPr="00792B36" w:rsidRDefault="009A0A63" w:rsidP="00A24459">
            <w:pPr>
              <w:contextualSpacing/>
              <w:jc w:val="center"/>
              <w:rPr>
                <w:sz w:val="24"/>
                <w:szCs w:val="24"/>
              </w:rPr>
            </w:pPr>
            <w:r w:rsidRPr="00792B36">
              <w:rPr>
                <w:color w:val="000000"/>
                <w:sz w:val="24"/>
                <w:szCs w:val="24"/>
              </w:rPr>
              <w:t>10,143.08</w:t>
            </w:r>
          </w:p>
        </w:tc>
        <w:tc>
          <w:tcPr>
            <w:tcW w:w="988" w:type="dxa"/>
            <w:vAlign w:val="center"/>
          </w:tcPr>
          <w:p w14:paraId="30BBA7AD" w14:textId="77777777" w:rsidR="009A0A63" w:rsidRPr="00792B36" w:rsidRDefault="009A0A63" w:rsidP="00A24459">
            <w:pPr>
              <w:contextualSpacing/>
              <w:jc w:val="center"/>
              <w:rPr>
                <w:sz w:val="24"/>
                <w:szCs w:val="24"/>
              </w:rPr>
            </w:pPr>
            <w:r w:rsidRPr="00792B36">
              <w:rPr>
                <w:color w:val="000000"/>
                <w:sz w:val="24"/>
                <w:szCs w:val="24"/>
              </w:rPr>
              <w:t>1,872.86</w:t>
            </w:r>
          </w:p>
        </w:tc>
        <w:tc>
          <w:tcPr>
            <w:tcW w:w="1098" w:type="dxa"/>
            <w:vAlign w:val="center"/>
          </w:tcPr>
          <w:p w14:paraId="2A1C5A16" w14:textId="77777777" w:rsidR="009A0A63" w:rsidRPr="00792B36" w:rsidRDefault="009A0A63" w:rsidP="00A24459">
            <w:pPr>
              <w:contextualSpacing/>
              <w:jc w:val="center"/>
              <w:rPr>
                <w:sz w:val="24"/>
                <w:szCs w:val="24"/>
              </w:rPr>
            </w:pPr>
            <w:r w:rsidRPr="00792B36">
              <w:rPr>
                <w:color w:val="000000"/>
                <w:sz w:val="24"/>
                <w:szCs w:val="24"/>
              </w:rPr>
              <w:t>12,433.82</w:t>
            </w:r>
          </w:p>
        </w:tc>
        <w:tc>
          <w:tcPr>
            <w:tcW w:w="1169" w:type="dxa"/>
            <w:vAlign w:val="center"/>
          </w:tcPr>
          <w:p w14:paraId="1CB8C759" w14:textId="77777777" w:rsidR="009A0A63" w:rsidRPr="00792B36" w:rsidRDefault="009A0A63" w:rsidP="00A24459">
            <w:pPr>
              <w:contextualSpacing/>
              <w:jc w:val="center"/>
              <w:rPr>
                <w:sz w:val="24"/>
                <w:szCs w:val="24"/>
              </w:rPr>
            </w:pPr>
            <w:r w:rsidRPr="00792B36">
              <w:rPr>
                <w:color w:val="000000"/>
                <w:sz w:val="24"/>
                <w:szCs w:val="24"/>
              </w:rPr>
              <w:t>969.86</w:t>
            </w:r>
          </w:p>
        </w:tc>
        <w:tc>
          <w:tcPr>
            <w:tcW w:w="1020" w:type="dxa"/>
            <w:vAlign w:val="center"/>
          </w:tcPr>
          <w:p w14:paraId="77C47480" w14:textId="77777777" w:rsidR="009A0A63" w:rsidRPr="00792B36" w:rsidRDefault="009A0A63" w:rsidP="00A24459">
            <w:pPr>
              <w:contextualSpacing/>
              <w:jc w:val="center"/>
              <w:rPr>
                <w:sz w:val="24"/>
                <w:szCs w:val="24"/>
              </w:rPr>
            </w:pPr>
            <w:r w:rsidRPr="00792B36">
              <w:rPr>
                <w:color w:val="000000"/>
                <w:sz w:val="24"/>
                <w:szCs w:val="24"/>
              </w:rPr>
              <w:t>166.67</w:t>
            </w:r>
          </w:p>
        </w:tc>
        <w:tc>
          <w:tcPr>
            <w:tcW w:w="951" w:type="dxa"/>
            <w:vAlign w:val="center"/>
          </w:tcPr>
          <w:p w14:paraId="46B6442B" w14:textId="77777777" w:rsidR="009A0A63" w:rsidRPr="00792B36" w:rsidRDefault="009A0A63" w:rsidP="00A24459">
            <w:pPr>
              <w:contextualSpacing/>
              <w:jc w:val="center"/>
              <w:rPr>
                <w:sz w:val="24"/>
                <w:szCs w:val="24"/>
              </w:rPr>
            </w:pPr>
            <w:r w:rsidRPr="00792B36">
              <w:rPr>
                <w:color w:val="000000"/>
                <w:sz w:val="24"/>
                <w:szCs w:val="24"/>
              </w:rPr>
              <w:t>913.04</w:t>
            </w:r>
          </w:p>
        </w:tc>
        <w:tc>
          <w:tcPr>
            <w:tcW w:w="911" w:type="dxa"/>
            <w:vAlign w:val="center"/>
          </w:tcPr>
          <w:p w14:paraId="5961EE3A" w14:textId="77777777" w:rsidR="009A0A63" w:rsidRPr="00792B36" w:rsidRDefault="009A0A63" w:rsidP="00A24459">
            <w:pPr>
              <w:contextualSpacing/>
              <w:jc w:val="center"/>
              <w:rPr>
                <w:sz w:val="24"/>
                <w:szCs w:val="24"/>
              </w:rPr>
            </w:pPr>
            <w:r w:rsidRPr="00792B36">
              <w:rPr>
                <w:color w:val="000000"/>
                <w:sz w:val="24"/>
                <w:szCs w:val="24"/>
              </w:rPr>
              <w:t>2,042.14</w:t>
            </w:r>
          </w:p>
        </w:tc>
      </w:tr>
      <w:tr w:rsidR="009A0A63" w:rsidRPr="00792B36" w14:paraId="459E926F" w14:textId="77777777" w:rsidTr="00A24459">
        <w:trPr>
          <w:trHeight w:val="340"/>
        </w:trPr>
        <w:tc>
          <w:tcPr>
            <w:tcW w:w="613" w:type="dxa"/>
            <w:vAlign w:val="center"/>
          </w:tcPr>
          <w:p w14:paraId="31271BAC" w14:textId="77777777" w:rsidR="009A0A63" w:rsidRPr="00792B36" w:rsidRDefault="009A0A63" w:rsidP="00A24459">
            <w:pPr>
              <w:contextualSpacing/>
              <w:jc w:val="center"/>
              <w:rPr>
                <w:sz w:val="24"/>
                <w:szCs w:val="24"/>
              </w:rPr>
            </w:pPr>
            <w:r w:rsidRPr="00792B36">
              <w:rPr>
                <w:b/>
                <w:bCs/>
                <w:color w:val="000000"/>
                <w:sz w:val="24"/>
                <w:szCs w:val="24"/>
              </w:rPr>
              <w:t>2007</w:t>
            </w:r>
          </w:p>
        </w:tc>
        <w:tc>
          <w:tcPr>
            <w:tcW w:w="1169" w:type="dxa"/>
            <w:vAlign w:val="center"/>
          </w:tcPr>
          <w:p w14:paraId="445D5A45" w14:textId="77777777" w:rsidR="009A0A63" w:rsidRPr="00792B36" w:rsidRDefault="009A0A63" w:rsidP="00A24459">
            <w:pPr>
              <w:contextualSpacing/>
              <w:jc w:val="center"/>
              <w:rPr>
                <w:sz w:val="24"/>
                <w:szCs w:val="24"/>
              </w:rPr>
            </w:pPr>
            <w:r w:rsidRPr="00792B36">
              <w:rPr>
                <w:color w:val="000000"/>
                <w:sz w:val="24"/>
                <w:szCs w:val="24"/>
              </w:rPr>
              <w:t>444.16</w:t>
            </w:r>
          </w:p>
        </w:tc>
        <w:tc>
          <w:tcPr>
            <w:tcW w:w="1098" w:type="dxa"/>
            <w:vAlign w:val="center"/>
          </w:tcPr>
          <w:p w14:paraId="4C5CD92A" w14:textId="77777777" w:rsidR="009A0A63" w:rsidRPr="00792B36" w:rsidRDefault="009A0A63" w:rsidP="00A24459">
            <w:pPr>
              <w:contextualSpacing/>
              <w:jc w:val="center"/>
              <w:rPr>
                <w:sz w:val="24"/>
                <w:szCs w:val="24"/>
              </w:rPr>
            </w:pPr>
            <w:r w:rsidRPr="00792B36">
              <w:rPr>
                <w:color w:val="000000"/>
                <w:sz w:val="24"/>
                <w:szCs w:val="24"/>
              </w:rPr>
              <w:t>10,228.89</w:t>
            </w:r>
          </w:p>
        </w:tc>
        <w:tc>
          <w:tcPr>
            <w:tcW w:w="988" w:type="dxa"/>
            <w:vAlign w:val="center"/>
          </w:tcPr>
          <w:p w14:paraId="210400C5" w14:textId="77777777" w:rsidR="009A0A63" w:rsidRPr="00792B36" w:rsidRDefault="009A0A63" w:rsidP="00A24459">
            <w:pPr>
              <w:contextualSpacing/>
              <w:jc w:val="center"/>
              <w:rPr>
                <w:sz w:val="24"/>
                <w:szCs w:val="24"/>
              </w:rPr>
            </w:pPr>
            <w:r w:rsidRPr="00792B36">
              <w:rPr>
                <w:color w:val="000000"/>
                <w:sz w:val="24"/>
                <w:szCs w:val="24"/>
              </w:rPr>
              <w:t>1,987.87</w:t>
            </w:r>
          </w:p>
        </w:tc>
        <w:tc>
          <w:tcPr>
            <w:tcW w:w="1098" w:type="dxa"/>
            <w:vAlign w:val="center"/>
          </w:tcPr>
          <w:p w14:paraId="319E373F" w14:textId="77777777" w:rsidR="009A0A63" w:rsidRPr="00792B36" w:rsidRDefault="009A0A63" w:rsidP="00A24459">
            <w:pPr>
              <w:contextualSpacing/>
              <w:jc w:val="center"/>
              <w:rPr>
                <w:sz w:val="24"/>
                <w:szCs w:val="24"/>
              </w:rPr>
            </w:pPr>
            <w:r w:rsidRPr="00792B36">
              <w:rPr>
                <w:color w:val="000000"/>
                <w:sz w:val="24"/>
                <w:szCs w:val="24"/>
              </w:rPr>
              <w:t>12,636.24</w:t>
            </w:r>
          </w:p>
        </w:tc>
        <w:tc>
          <w:tcPr>
            <w:tcW w:w="1169" w:type="dxa"/>
            <w:vAlign w:val="center"/>
          </w:tcPr>
          <w:p w14:paraId="1DBA2FC6" w14:textId="77777777" w:rsidR="009A0A63" w:rsidRPr="00792B36" w:rsidRDefault="009A0A63" w:rsidP="00A24459">
            <w:pPr>
              <w:contextualSpacing/>
              <w:jc w:val="center"/>
              <w:rPr>
                <w:sz w:val="24"/>
                <w:szCs w:val="24"/>
              </w:rPr>
            </w:pPr>
            <w:r w:rsidRPr="00792B36">
              <w:rPr>
                <w:color w:val="000000"/>
                <w:sz w:val="24"/>
                <w:szCs w:val="24"/>
              </w:rPr>
              <w:t>944.53</w:t>
            </w:r>
          </w:p>
        </w:tc>
        <w:tc>
          <w:tcPr>
            <w:tcW w:w="1020" w:type="dxa"/>
            <w:vAlign w:val="center"/>
          </w:tcPr>
          <w:p w14:paraId="0AC78823" w14:textId="77777777" w:rsidR="009A0A63" w:rsidRPr="00792B36" w:rsidRDefault="009A0A63" w:rsidP="00A24459">
            <w:pPr>
              <w:contextualSpacing/>
              <w:jc w:val="center"/>
              <w:rPr>
                <w:sz w:val="24"/>
                <w:szCs w:val="24"/>
              </w:rPr>
            </w:pPr>
            <w:r w:rsidRPr="00792B36">
              <w:rPr>
                <w:color w:val="000000"/>
                <w:sz w:val="24"/>
                <w:szCs w:val="24"/>
              </w:rPr>
              <w:t>200.99</w:t>
            </w:r>
          </w:p>
        </w:tc>
        <w:tc>
          <w:tcPr>
            <w:tcW w:w="951" w:type="dxa"/>
            <w:vAlign w:val="center"/>
          </w:tcPr>
          <w:p w14:paraId="23BE6BF3" w14:textId="77777777" w:rsidR="009A0A63" w:rsidRPr="00792B36" w:rsidRDefault="009A0A63" w:rsidP="00A24459">
            <w:pPr>
              <w:contextualSpacing/>
              <w:jc w:val="center"/>
              <w:rPr>
                <w:sz w:val="24"/>
                <w:szCs w:val="24"/>
              </w:rPr>
            </w:pPr>
            <w:r w:rsidRPr="00792B36">
              <w:rPr>
                <w:color w:val="000000"/>
                <w:sz w:val="24"/>
                <w:szCs w:val="24"/>
              </w:rPr>
              <w:t>978.51</w:t>
            </w:r>
          </w:p>
        </w:tc>
        <w:tc>
          <w:tcPr>
            <w:tcW w:w="911" w:type="dxa"/>
            <w:vAlign w:val="center"/>
          </w:tcPr>
          <w:p w14:paraId="5B401CD2" w14:textId="77777777" w:rsidR="009A0A63" w:rsidRPr="00792B36" w:rsidRDefault="009A0A63" w:rsidP="00A24459">
            <w:pPr>
              <w:contextualSpacing/>
              <w:jc w:val="center"/>
              <w:rPr>
                <w:sz w:val="24"/>
                <w:szCs w:val="24"/>
              </w:rPr>
            </w:pPr>
            <w:r w:rsidRPr="00792B36">
              <w:rPr>
                <w:color w:val="000000"/>
                <w:sz w:val="24"/>
                <w:szCs w:val="24"/>
              </w:rPr>
              <w:t>2,100.34</w:t>
            </w:r>
          </w:p>
        </w:tc>
      </w:tr>
      <w:tr w:rsidR="009A0A63" w:rsidRPr="00792B36" w14:paraId="54B2A264" w14:textId="77777777" w:rsidTr="00A24459">
        <w:trPr>
          <w:trHeight w:val="340"/>
        </w:trPr>
        <w:tc>
          <w:tcPr>
            <w:tcW w:w="613" w:type="dxa"/>
            <w:vAlign w:val="center"/>
          </w:tcPr>
          <w:p w14:paraId="6F64869C" w14:textId="77777777" w:rsidR="009A0A63" w:rsidRPr="00792B36" w:rsidRDefault="009A0A63" w:rsidP="00A24459">
            <w:pPr>
              <w:contextualSpacing/>
              <w:jc w:val="center"/>
              <w:rPr>
                <w:sz w:val="24"/>
                <w:szCs w:val="24"/>
              </w:rPr>
            </w:pPr>
            <w:r w:rsidRPr="00792B36">
              <w:rPr>
                <w:b/>
                <w:bCs/>
                <w:color w:val="000000"/>
                <w:sz w:val="24"/>
                <w:szCs w:val="24"/>
              </w:rPr>
              <w:t>2008</w:t>
            </w:r>
          </w:p>
        </w:tc>
        <w:tc>
          <w:tcPr>
            <w:tcW w:w="1169" w:type="dxa"/>
            <w:vAlign w:val="center"/>
          </w:tcPr>
          <w:p w14:paraId="7E8D0A26" w14:textId="77777777" w:rsidR="009A0A63" w:rsidRPr="00792B36" w:rsidRDefault="009A0A63" w:rsidP="00A24459">
            <w:pPr>
              <w:contextualSpacing/>
              <w:jc w:val="center"/>
              <w:rPr>
                <w:sz w:val="24"/>
                <w:szCs w:val="24"/>
              </w:rPr>
            </w:pPr>
            <w:r w:rsidRPr="00792B36">
              <w:rPr>
                <w:color w:val="000000"/>
                <w:sz w:val="24"/>
                <w:szCs w:val="24"/>
              </w:rPr>
              <w:t>459.04</w:t>
            </w:r>
          </w:p>
        </w:tc>
        <w:tc>
          <w:tcPr>
            <w:tcW w:w="1098" w:type="dxa"/>
            <w:vAlign w:val="center"/>
          </w:tcPr>
          <w:p w14:paraId="03CB6133" w14:textId="77777777" w:rsidR="009A0A63" w:rsidRPr="00792B36" w:rsidRDefault="009A0A63" w:rsidP="00A24459">
            <w:pPr>
              <w:contextualSpacing/>
              <w:jc w:val="center"/>
              <w:rPr>
                <w:sz w:val="24"/>
                <w:szCs w:val="24"/>
              </w:rPr>
            </w:pPr>
            <w:r w:rsidRPr="00792B36">
              <w:rPr>
                <w:color w:val="000000"/>
                <w:sz w:val="24"/>
                <w:szCs w:val="24"/>
              </w:rPr>
              <w:t>9,596.48</w:t>
            </w:r>
          </w:p>
        </w:tc>
        <w:tc>
          <w:tcPr>
            <w:tcW w:w="988" w:type="dxa"/>
            <w:vAlign w:val="center"/>
          </w:tcPr>
          <w:p w14:paraId="2C5C8BB7" w14:textId="77777777" w:rsidR="009A0A63" w:rsidRPr="00792B36" w:rsidRDefault="009A0A63" w:rsidP="00A24459">
            <w:pPr>
              <w:contextualSpacing/>
              <w:jc w:val="center"/>
              <w:rPr>
                <w:sz w:val="24"/>
                <w:szCs w:val="24"/>
              </w:rPr>
            </w:pPr>
            <w:r w:rsidRPr="00792B36">
              <w:rPr>
                <w:color w:val="000000"/>
                <w:sz w:val="24"/>
                <w:szCs w:val="24"/>
              </w:rPr>
              <w:t>1,945.03</w:t>
            </w:r>
          </w:p>
        </w:tc>
        <w:tc>
          <w:tcPr>
            <w:tcW w:w="1098" w:type="dxa"/>
            <w:vAlign w:val="center"/>
          </w:tcPr>
          <w:p w14:paraId="7568A912" w14:textId="77777777" w:rsidR="009A0A63" w:rsidRPr="00792B36" w:rsidRDefault="009A0A63" w:rsidP="00A24459">
            <w:pPr>
              <w:contextualSpacing/>
              <w:jc w:val="center"/>
              <w:rPr>
                <w:sz w:val="24"/>
                <w:szCs w:val="24"/>
              </w:rPr>
            </w:pPr>
            <w:r w:rsidRPr="00792B36">
              <w:rPr>
                <w:color w:val="000000"/>
                <w:sz w:val="24"/>
                <w:szCs w:val="24"/>
              </w:rPr>
              <w:t>11,959.96</w:t>
            </w:r>
          </w:p>
        </w:tc>
        <w:tc>
          <w:tcPr>
            <w:tcW w:w="1169" w:type="dxa"/>
            <w:vAlign w:val="center"/>
          </w:tcPr>
          <w:p w14:paraId="4B2AFD37" w14:textId="77777777" w:rsidR="009A0A63" w:rsidRPr="00792B36" w:rsidRDefault="009A0A63" w:rsidP="00A24459">
            <w:pPr>
              <w:contextualSpacing/>
              <w:jc w:val="center"/>
              <w:rPr>
                <w:sz w:val="24"/>
                <w:szCs w:val="24"/>
              </w:rPr>
            </w:pPr>
            <w:r w:rsidRPr="00792B36">
              <w:rPr>
                <w:color w:val="000000"/>
                <w:sz w:val="24"/>
                <w:szCs w:val="24"/>
              </w:rPr>
              <w:t>1,082.77</w:t>
            </w:r>
          </w:p>
        </w:tc>
        <w:tc>
          <w:tcPr>
            <w:tcW w:w="1020" w:type="dxa"/>
            <w:vAlign w:val="center"/>
          </w:tcPr>
          <w:p w14:paraId="4B41138D" w14:textId="77777777" w:rsidR="009A0A63" w:rsidRPr="00792B36" w:rsidRDefault="009A0A63" w:rsidP="00A24459">
            <w:pPr>
              <w:contextualSpacing/>
              <w:jc w:val="center"/>
              <w:rPr>
                <w:sz w:val="24"/>
                <w:szCs w:val="24"/>
              </w:rPr>
            </w:pPr>
            <w:r w:rsidRPr="00792B36">
              <w:rPr>
                <w:color w:val="000000"/>
                <w:sz w:val="24"/>
                <w:szCs w:val="24"/>
              </w:rPr>
              <w:t>214.35</w:t>
            </w:r>
          </w:p>
        </w:tc>
        <w:tc>
          <w:tcPr>
            <w:tcW w:w="951" w:type="dxa"/>
            <w:vAlign w:val="center"/>
          </w:tcPr>
          <w:p w14:paraId="1A97E9A2" w14:textId="77777777" w:rsidR="009A0A63" w:rsidRPr="00792B36" w:rsidRDefault="009A0A63" w:rsidP="00A24459">
            <w:pPr>
              <w:contextualSpacing/>
              <w:jc w:val="center"/>
              <w:rPr>
                <w:sz w:val="24"/>
                <w:szCs w:val="24"/>
              </w:rPr>
            </w:pPr>
            <w:r w:rsidRPr="00792B36">
              <w:rPr>
                <w:color w:val="000000"/>
                <w:sz w:val="24"/>
                <w:szCs w:val="24"/>
              </w:rPr>
              <w:t>911.36</w:t>
            </w:r>
          </w:p>
        </w:tc>
        <w:tc>
          <w:tcPr>
            <w:tcW w:w="911" w:type="dxa"/>
            <w:vAlign w:val="center"/>
          </w:tcPr>
          <w:p w14:paraId="50EAA46C" w14:textId="77777777" w:rsidR="009A0A63" w:rsidRPr="00792B36" w:rsidRDefault="009A0A63" w:rsidP="00A24459">
            <w:pPr>
              <w:contextualSpacing/>
              <w:jc w:val="center"/>
              <w:rPr>
                <w:sz w:val="24"/>
                <w:szCs w:val="24"/>
              </w:rPr>
            </w:pPr>
            <w:r w:rsidRPr="00792B36">
              <w:rPr>
                <w:color w:val="000000"/>
                <w:sz w:val="24"/>
                <w:szCs w:val="24"/>
              </w:rPr>
              <w:t>2,230.33</w:t>
            </w:r>
          </w:p>
        </w:tc>
      </w:tr>
      <w:tr w:rsidR="009A0A63" w:rsidRPr="00792B36" w14:paraId="6325476F" w14:textId="77777777" w:rsidTr="00A24459">
        <w:trPr>
          <w:trHeight w:val="340"/>
        </w:trPr>
        <w:tc>
          <w:tcPr>
            <w:tcW w:w="613" w:type="dxa"/>
            <w:vAlign w:val="center"/>
          </w:tcPr>
          <w:p w14:paraId="640CCA64" w14:textId="77777777" w:rsidR="009A0A63" w:rsidRPr="00792B36" w:rsidRDefault="009A0A63" w:rsidP="00A24459">
            <w:pPr>
              <w:contextualSpacing/>
              <w:jc w:val="center"/>
              <w:rPr>
                <w:sz w:val="24"/>
                <w:szCs w:val="24"/>
              </w:rPr>
            </w:pPr>
            <w:r w:rsidRPr="00792B36">
              <w:rPr>
                <w:b/>
                <w:bCs/>
                <w:color w:val="000000"/>
                <w:sz w:val="24"/>
                <w:szCs w:val="24"/>
              </w:rPr>
              <w:t>2009</w:t>
            </w:r>
          </w:p>
        </w:tc>
        <w:tc>
          <w:tcPr>
            <w:tcW w:w="1169" w:type="dxa"/>
            <w:vAlign w:val="center"/>
          </w:tcPr>
          <w:p w14:paraId="59BD4607" w14:textId="77777777" w:rsidR="009A0A63" w:rsidRPr="00792B36" w:rsidRDefault="009A0A63" w:rsidP="00A24459">
            <w:pPr>
              <w:contextualSpacing/>
              <w:jc w:val="center"/>
              <w:rPr>
                <w:sz w:val="24"/>
                <w:szCs w:val="24"/>
              </w:rPr>
            </w:pPr>
            <w:r w:rsidRPr="00792B36">
              <w:rPr>
                <w:color w:val="000000"/>
                <w:sz w:val="24"/>
                <w:szCs w:val="24"/>
              </w:rPr>
              <w:t>414.50</w:t>
            </w:r>
          </w:p>
        </w:tc>
        <w:tc>
          <w:tcPr>
            <w:tcW w:w="1098" w:type="dxa"/>
            <w:vAlign w:val="center"/>
          </w:tcPr>
          <w:p w14:paraId="4D34635E" w14:textId="77777777" w:rsidR="009A0A63" w:rsidRPr="00792B36" w:rsidRDefault="009A0A63" w:rsidP="00A24459">
            <w:pPr>
              <w:contextualSpacing/>
              <w:jc w:val="center"/>
              <w:rPr>
                <w:sz w:val="24"/>
                <w:szCs w:val="24"/>
              </w:rPr>
            </w:pPr>
            <w:r w:rsidRPr="00792B36">
              <w:rPr>
                <w:color w:val="000000"/>
                <w:sz w:val="24"/>
                <w:szCs w:val="24"/>
              </w:rPr>
              <w:t>9,612.94</w:t>
            </w:r>
          </w:p>
        </w:tc>
        <w:tc>
          <w:tcPr>
            <w:tcW w:w="988" w:type="dxa"/>
            <w:vAlign w:val="center"/>
          </w:tcPr>
          <w:p w14:paraId="6DD4EB68" w14:textId="77777777" w:rsidR="009A0A63" w:rsidRPr="00792B36" w:rsidRDefault="009A0A63" w:rsidP="00A24459">
            <w:pPr>
              <w:contextualSpacing/>
              <w:jc w:val="center"/>
              <w:rPr>
                <w:sz w:val="24"/>
                <w:szCs w:val="24"/>
              </w:rPr>
            </w:pPr>
            <w:r w:rsidRPr="00792B36">
              <w:rPr>
                <w:color w:val="000000"/>
                <w:sz w:val="24"/>
                <w:szCs w:val="24"/>
              </w:rPr>
              <w:t>1,821.83</w:t>
            </w:r>
          </w:p>
        </w:tc>
        <w:tc>
          <w:tcPr>
            <w:tcW w:w="1098" w:type="dxa"/>
            <w:vAlign w:val="center"/>
          </w:tcPr>
          <w:p w14:paraId="1C57E1F4" w14:textId="77777777" w:rsidR="009A0A63" w:rsidRPr="00792B36" w:rsidRDefault="009A0A63" w:rsidP="00A24459">
            <w:pPr>
              <w:contextualSpacing/>
              <w:jc w:val="center"/>
              <w:rPr>
                <w:sz w:val="24"/>
                <w:szCs w:val="24"/>
              </w:rPr>
            </w:pPr>
            <w:r w:rsidRPr="00792B36">
              <w:rPr>
                <w:color w:val="000000"/>
                <w:sz w:val="24"/>
                <w:szCs w:val="24"/>
              </w:rPr>
              <w:t>11,838.03</w:t>
            </w:r>
          </w:p>
        </w:tc>
        <w:tc>
          <w:tcPr>
            <w:tcW w:w="1169" w:type="dxa"/>
            <w:vAlign w:val="center"/>
          </w:tcPr>
          <w:p w14:paraId="72841A24" w14:textId="77777777" w:rsidR="009A0A63" w:rsidRPr="00792B36" w:rsidRDefault="009A0A63" w:rsidP="00A24459">
            <w:pPr>
              <w:contextualSpacing/>
              <w:jc w:val="center"/>
              <w:rPr>
                <w:sz w:val="24"/>
                <w:szCs w:val="24"/>
              </w:rPr>
            </w:pPr>
            <w:r w:rsidRPr="00792B36">
              <w:rPr>
                <w:color w:val="000000"/>
                <w:sz w:val="24"/>
                <w:szCs w:val="24"/>
              </w:rPr>
              <w:t>963.28</w:t>
            </w:r>
          </w:p>
        </w:tc>
        <w:tc>
          <w:tcPr>
            <w:tcW w:w="1020" w:type="dxa"/>
            <w:vAlign w:val="center"/>
          </w:tcPr>
          <w:p w14:paraId="50EBC260" w14:textId="77777777" w:rsidR="009A0A63" w:rsidRPr="00792B36" w:rsidRDefault="009A0A63" w:rsidP="00A24459">
            <w:pPr>
              <w:contextualSpacing/>
              <w:jc w:val="center"/>
              <w:rPr>
                <w:sz w:val="24"/>
                <w:szCs w:val="24"/>
              </w:rPr>
            </w:pPr>
            <w:r w:rsidRPr="00792B36">
              <w:rPr>
                <w:color w:val="000000"/>
                <w:sz w:val="24"/>
                <w:szCs w:val="24"/>
              </w:rPr>
              <w:t>225.28</w:t>
            </w:r>
          </w:p>
        </w:tc>
        <w:tc>
          <w:tcPr>
            <w:tcW w:w="951" w:type="dxa"/>
            <w:vAlign w:val="center"/>
          </w:tcPr>
          <w:p w14:paraId="7F8CBAE8" w14:textId="77777777" w:rsidR="009A0A63" w:rsidRPr="00792B36" w:rsidRDefault="009A0A63" w:rsidP="00A24459">
            <w:pPr>
              <w:contextualSpacing/>
              <w:jc w:val="center"/>
              <w:rPr>
                <w:sz w:val="24"/>
                <w:szCs w:val="24"/>
              </w:rPr>
            </w:pPr>
            <w:r w:rsidRPr="00792B36">
              <w:rPr>
                <w:color w:val="000000"/>
                <w:sz w:val="24"/>
                <w:szCs w:val="24"/>
              </w:rPr>
              <w:t>974.62</w:t>
            </w:r>
          </w:p>
        </w:tc>
        <w:tc>
          <w:tcPr>
            <w:tcW w:w="911" w:type="dxa"/>
            <w:vAlign w:val="center"/>
          </w:tcPr>
          <w:p w14:paraId="54EB54E9" w14:textId="77777777" w:rsidR="009A0A63" w:rsidRPr="00792B36" w:rsidRDefault="009A0A63" w:rsidP="00A24459">
            <w:pPr>
              <w:contextualSpacing/>
              <w:jc w:val="center"/>
              <w:rPr>
                <w:sz w:val="24"/>
                <w:szCs w:val="24"/>
              </w:rPr>
            </w:pPr>
            <w:r w:rsidRPr="00792B36">
              <w:rPr>
                <w:color w:val="000000"/>
                <w:sz w:val="24"/>
                <w:szCs w:val="24"/>
              </w:rPr>
              <w:t>2,151.13</w:t>
            </w:r>
          </w:p>
        </w:tc>
      </w:tr>
      <w:tr w:rsidR="009A0A63" w:rsidRPr="00792B36" w14:paraId="738FBB7A" w14:textId="77777777" w:rsidTr="00A24459">
        <w:trPr>
          <w:trHeight w:val="340"/>
        </w:trPr>
        <w:tc>
          <w:tcPr>
            <w:tcW w:w="613" w:type="dxa"/>
            <w:vAlign w:val="center"/>
          </w:tcPr>
          <w:p w14:paraId="28325088" w14:textId="77777777" w:rsidR="009A0A63" w:rsidRPr="00792B36" w:rsidRDefault="009A0A63" w:rsidP="00A24459">
            <w:pPr>
              <w:contextualSpacing/>
              <w:jc w:val="center"/>
              <w:rPr>
                <w:sz w:val="24"/>
                <w:szCs w:val="24"/>
              </w:rPr>
            </w:pPr>
            <w:r w:rsidRPr="00792B36">
              <w:rPr>
                <w:b/>
                <w:bCs/>
                <w:color w:val="000000"/>
                <w:sz w:val="24"/>
                <w:szCs w:val="24"/>
              </w:rPr>
              <w:t>2010</w:t>
            </w:r>
          </w:p>
        </w:tc>
        <w:tc>
          <w:tcPr>
            <w:tcW w:w="1169" w:type="dxa"/>
            <w:vAlign w:val="center"/>
          </w:tcPr>
          <w:p w14:paraId="2D4837C4" w14:textId="77777777" w:rsidR="009A0A63" w:rsidRPr="00792B36" w:rsidRDefault="009A0A63" w:rsidP="00A24459">
            <w:pPr>
              <w:contextualSpacing/>
              <w:jc w:val="center"/>
              <w:rPr>
                <w:sz w:val="24"/>
                <w:szCs w:val="24"/>
              </w:rPr>
            </w:pPr>
            <w:r w:rsidRPr="00792B36">
              <w:rPr>
                <w:color w:val="000000"/>
                <w:sz w:val="24"/>
                <w:szCs w:val="24"/>
              </w:rPr>
              <w:t>415.27</w:t>
            </w:r>
          </w:p>
        </w:tc>
        <w:tc>
          <w:tcPr>
            <w:tcW w:w="1098" w:type="dxa"/>
            <w:vAlign w:val="center"/>
          </w:tcPr>
          <w:p w14:paraId="4690232F" w14:textId="77777777" w:rsidR="009A0A63" w:rsidRPr="00792B36" w:rsidRDefault="009A0A63" w:rsidP="00A24459">
            <w:pPr>
              <w:contextualSpacing/>
              <w:jc w:val="center"/>
              <w:rPr>
                <w:sz w:val="24"/>
                <w:szCs w:val="24"/>
              </w:rPr>
            </w:pPr>
            <w:r w:rsidRPr="00792B36">
              <w:rPr>
                <w:color w:val="000000"/>
                <w:sz w:val="24"/>
                <w:szCs w:val="24"/>
              </w:rPr>
              <w:t>10,332.44</w:t>
            </w:r>
          </w:p>
        </w:tc>
        <w:tc>
          <w:tcPr>
            <w:tcW w:w="988" w:type="dxa"/>
            <w:vAlign w:val="center"/>
          </w:tcPr>
          <w:p w14:paraId="22A298C5" w14:textId="77777777" w:rsidR="009A0A63" w:rsidRPr="00792B36" w:rsidRDefault="009A0A63" w:rsidP="00A24459">
            <w:pPr>
              <w:contextualSpacing/>
              <w:jc w:val="center"/>
              <w:rPr>
                <w:sz w:val="24"/>
                <w:szCs w:val="24"/>
              </w:rPr>
            </w:pPr>
            <w:r w:rsidRPr="00792B36">
              <w:rPr>
                <w:color w:val="000000"/>
                <w:sz w:val="24"/>
                <w:szCs w:val="24"/>
              </w:rPr>
              <w:t>2,004.95</w:t>
            </w:r>
          </w:p>
        </w:tc>
        <w:tc>
          <w:tcPr>
            <w:tcW w:w="1098" w:type="dxa"/>
            <w:vAlign w:val="center"/>
          </w:tcPr>
          <w:p w14:paraId="52CB771C" w14:textId="77777777" w:rsidR="009A0A63" w:rsidRPr="00792B36" w:rsidRDefault="009A0A63" w:rsidP="00A24459">
            <w:pPr>
              <w:contextualSpacing/>
              <w:jc w:val="center"/>
              <w:rPr>
                <w:sz w:val="24"/>
                <w:szCs w:val="24"/>
              </w:rPr>
            </w:pPr>
            <w:r w:rsidRPr="00792B36">
              <w:rPr>
                <w:color w:val="000000"/>
                <w:sz w:val="24"/>
                <w:szCs w:val="24"/>
              </w:rPr>
              <w:t>12,733.69</w:t>
            </w:r>
          </w:p>
        </w:tc>
        <w:tc>
          <w:tcPr>
            <w:tcW w:w="1169" w:type="dxa"/>
            <w:vAlign w:val="center"/>
          </w:tcPr>
          <w:p w14:paraId="62A55A31" w14:textId="77777777" w:rsidR="009A0A63" w:rsidRPr="00792B36" w:rsidRDefault="009A0A63" w:rsidP="00A24459">
            <w:pPr>
              <w:contextualSpacing/>
              <w:jc w:val="center"/>
              <w:rPr>
                <w:sz w:val="24"/>
                <w:szCs w:val="24"/>
              </w:rPr>
            </w:pPr>
            <w:r w:rsidRPr="00792B36">
              <w:rPr>
                <w:color w:val="000000"/>
                <w:sz w:val="24"/>
                <w:szCs w:val="24"/>
              </w:rPr>
              <w:t>1,134.42</w:t>
            </w:r>
          </w:p>
        </w:tc>
        <w:tc>
          <w:tcPr>
            <w:tcW w:w="1020" w:type="dxa"/>
            <w:vAlign w:val="center"/>
          </w:tcPr>
          <w:p w14:paraId="7C81EEA7" w14:textId="77777777" w:rsidR="009A0A63" w:rsidRPr="00792B36" w:rsidRDefault="009A0A63" w:rsidP="00A24459">
            <w:pPr>
              <w:contextualSpacing/>
              <w:jc w:val="center"/>
              <w:rPr>
                <w:sz w:val="24"/>
                <w:szCs w:val="24"/>
              </w:rPr>
            </w:pPr>
            <w:r w:rsidRPr="00792B36">
              <w:rPr>
                <w:color w:val="000000"/>
                <w:sz w:val="24"/>
                <w:szCs w:val="24"/>
              </w:rPr>
              <w:t>250.32</w:t>
            </w:r>
          </w:p>
        </w:tc>
        <w:tc>
          <w:tcPr>
            <w:tcW w:w="951" w:type="dxa"/>
            <w:vAlign w:val="center"/>
          </w:tcPr>
          <w:p w14:paraId="1FAD693E" w14:textId="77777777" w:rsidR="009A0A63" w:rsidRPr="00792B36" w:rsidRDefault="009A0A63" w:rsidP="00A24459">
            <w:pPr>
              <w:contextualSpacing/>
              <w:jc w:val="center"/>
              <w:rPr>
                <w:sz w:val="24"/>
                <w:szCs w:val="24"/>
              </w:rPr>
            </w:pPr>
            <w:r w:rsidRPr="00792B36">
              <w:rPr>
                <w:color w:val="000000"/>
                <w:sz w:val="24"/>
                <w:szCs w:val="24"/>
              </w:rPr>
              <w:t>1,003.79</w:t>
            </w:r>
          </w:p>
        </w:tc>
        <w:tc>
          <w:tcPr>
            <w:tcW w:w="911" w:type="dxa"/>
            <w:vAlign w:val="center"/>
          </w:tcPr>
          <w:p w14:paraId="5AAB2AA4" w14:textId="77777777" w:rsidR="009A0A63" w:rsidRPr="00792B36" w:rsidRDefault="009A0A63" w:rsidP="00A24459">
            <w:pPr>
              <w:contextualSpacing/>
              <w:jc w:val="center"/>
              <w:rPr>
                <w:sz w:val="24"/>
                <w:szCs w:val="24"/>
              </w:rPr>
            </w:pPr>
            <w:r w:rsidRPr="00792B36">
              <w:rPr>
                <w:color w:val="000000"/>
                <w:sz w:val="24"/>
                <w:szCs w:val="24"/>
              </w:rPr>
              <w:t>2,416.05</w:t>
            </w:r>
          </w:p>
        </w:tc>
      </w:tr>
      <w:tr w:rsidR="009A0A63" w:rsidRPr="00792B36" w14:paraId="50691B96" w14:textId="77777777" w:rsidTr="00A24459">
        <w:trPr>
          <w:trHeight w:val="340"/>
        </w:trPr>
        <w:tc>
          <w:tcPr>
            <w:tcW w:w="613" w:type="dxa"/>
            <w:vAlign w:val="center"/>
          </w:tcPr>
          <w:p w14:paraId="6C1838B8" w14:textId="77777777" w:rsidR="009A0A63" w:rsidRPr="00792B36" w:rsidRDefault="009A0A63" w:rsidP="00A24459">
            <w:pPr>
              <w:contextualSpacing/>
              <w:jc w:val="center"/>
              <w:rPr>
                <w:sz w:val="24"/>
                <w:szCs w:val="24"/>
              </w:rPr>
            </w:pPr>
            <w:r w:rsidRPr="00792B36">
              <w:rPr>
                <w:b/>
                <w:bCs/>
                <w:color w:val="000000"/>
                <w:sz w:val="24"/>
                <w:szCs w:val="24"/>
              </w:rPr>
              <w:t>2011</w:t>
            </w:r>
          </w:p>
        </w:tc>
        <w:tc>
          <w:tcPr>
            <w:tcW w:w="1169" w:type="dxa"/>
            <w:vAlign w:val="center"/>
          </w:tcPr>
          <w:p w14:paraId="7844DF5B" w14:textId="77777777" w:rsidR="009A0A63" w:rsidRPr="00792B36" w:rsidRDefault="009A0A63" w:rsidP="00A24459">
            <w:pPr>
              <w:contextualSpacing/>
              <w:jc w:val="center"/>
              <w:rPr>
                <w:sz w:val="24"/>
                <w:szCs w:val="24"/>
              </w:rPr>
            </w:pPr>
            <w:r w:rsidRPr="00792B36">
              <w:rPr>
                <w:color w:val="000000"/>
                <w:sz w:val="24"/>
                <w:szCs w:val="24"/>
              </w:rPr>
              <w:t>430.32</w:t>
            </w:r>
          </w:p>
        </w:tc>
        <w:tc>
          <w:tcPr>
            <w:tcW w:w="1098" w:type="dxa"/>
            <w:vAlign w:val="center"/>
          </w:tcPr>
          <w:p w14:paraId="05399149" w14:textId="77777777" w:rsidR="009A0A63" w:rsidRPr="00792B36" w:rsidRDefault="009A0A63" w:rsidP="00A24459">
            <w:pPr>
              <w:contextualSpacing/>
              <w:jc w:val="center"/>
              <w:rPr>
                <w:sz w:val="24"/>
                <w:szCs w:val="24"/>
              </w:rPr>
            </w:pPr>
            <w:r w:rsidRPr="00792B36">
              <w:rPr>
                <w:color w:val="000000"/>
                <w:sz w:val="24"/>
                <w:szCs w:val="24"/>
              </w:rPr>
              <w:t>9,673.49</w:t>
            </w:r>
          </w:p>
        </w:tc>
        <w:tc>
          <w:tcPr>
            <w:tcW w:w="988" w:type="dxa"/>
            <w:vAlign w:val="center"/>
          </w:tcPr>
          <w:p w14:paraId="0C874E4D" w14:textId="77777777" w:rsidR="009A0A63" w:rsidRPr="00792B36" w:rsidRDefault="009A0A63" w:rsidP="00A24459">
            <w:pPr>
              <w:contextualSpacing/>
              <w:jc w:val="center"/>
              <w:rPr>
                <w:sz w:val="24"/>
                <w:szCs w:val="24"/>
              </w:rPr>
            </w:pPr>
            <w:r w:rsidRPr="00792B36">
              <w:rPr>
                <w:color w:val="000000"/>
                <w:sz w:val="24"/>
                <w:szCs w:val="24"/>
              </w:rPr>
              <w:t>1,995.40</w:t>
            </w:r>
          </w:p>
        </w:tc>
        <w:tc>
          <w:tcPr>
            <w:tcW w:w="1098" w:type="dxa"/>
            <w:vAlign w:val="center"/>
          </w:tcPr>
          <w:p w14:paraId="3DD39CF7" w14:textId="77777777" w:rsidR="009A0A63" w:rsidRPr="00792B36" w:rsidRDefault="009A0A63" w:rsidP="00A24459">
            <w:pPr>
              <w:contextualSpacing/>
              <w:jc w:val="center"/>
              <w:rPr>
                <w:sz w:val="24"/>
                <w:szCs w:val="24"/>
              </w:rPr>
            </w:pPr>
            <w:r w:rsidRPr="00792B36">
              <w:rPr>
                <w:color w:val="000000"/>
                <w:sz w:val="24"/>
                <w:szCs w:val="24"/>
              </w:rPr>
              <w:t>12,070.05</w:t>
            </w:r>
          </w:p>
        </w:tc>
        <w:tc>
          <w:tcPr>
            <w:tcW w:w="1169" w:type="dxa"/>
            <w:vAlign w:val="center"/>
          </w:tcPr>
          <w:p w14:paraId="7A398406" w14:textId="77777777" w:rsidR="009A0A63" w:rsidRPr="00792B36" w:rsidRDefault="009A0A63" w:rsidP="00A24459">
            <w:pPr>
              <w:contextualSpacing/>
              <w:jc w:val="center"/>
              <w:rPr>
                <w:sz w:val="24"/>
                <w:szCs w:val="24"/>
              </w:rPr>
            </w:pPr>
            <w:r w:rsidRPr="00792B36">
              <w:rPr>
                <w:color w:val="000000"/>
                <w:sz w:val="24"/>
                <w:szCs w:val="24"/>
              </w:rPr>
              <w:t>1,223.45</w:t>
            </w:r>
          </w:p>
        </w:tc>
        <w:tc>
          <w:tcPr>
            <w:tcW w:w="1020" w:type="dxa"/>
            <w:vAlign w:val="center"/>
          </w:tcPr>
          <w:p w14:paraId="0B8AC149" w14:textId="77777777" w:rsidR="009A0A63" w:rsidRPr="00792B36" w:rsidRDefault="009A0A63" w:rsidP="00A24459">
            <w:pPr>
              <w:contextualSpacing/>
              <w:jc w:val="center"/>
              <w:rPr>
                <w:sz w:val="24"/>
                <w:szCs w:val="24"/>
              </w:rPr>
            </w:pPr>
            <w:r w:rsidRPr="00792B36">
              <w:rPr>
                <w:color w:val="000000"/>
                <w:sz w:val="24"/>
                <w:szCs w:val="24"/>
              </w:rPr>
              <w:t>223.43</w:t>
            </w:r>
          </w:p>
        </w:tc>
        <w:tc>
          <w:tcPr>
            <w:tcW w:w="951" w:type="dxa"/>
            <w:vAlign w:val="center"/>
          </w:tcPr>
          <w:p w14:paraId="6525BE98" w14:textId="77777777" w:rsidR="009A0A63" w:rsidRPr="00792B36" w:rsidRDefault="009A0A63" w:rsidP="00A24459">
            <w:pPr>
              <w:contextualSpacing/>
              <w:jc w:val="center"/>
              <w:rPr>
                <w:sz w:val="24"/>
                <w:szCs w:val="24"/>
              </w:rPr>
            </w:pPr>
            <w:r w:rsidRPr="00792B36">
              <w:rPr>
                <w:color w:val="000000"/>
                <w:sz w:val="24"/>
                <w:szCs w:val="24"/>
              </w:rPr>
              <w:t>1,074.80</w:t>
            </w:r>
          </w:p>
        </w:tc>
        <w:tc>
          <w:tcPr>
            <w:tcW w:w="911" w:type="dxa"/>
            <w:vAlign w:val="center"/>
          </w:tcPr>
          <w:p w14:paraId="740DCC72" w14:textId="77777777" w:rsidR="009A0A63" w:rsidRPr="00792B36" w:rsidRDefault="009A0A63" w:rsidP="00A24459">
            <w:pPr>
              <w:contextualSpacing/>
              <w:jc w:val="center"/>
              <w:rPr>
                <w:sz w:val="24"/>
                <w:szCs w:val="24"/>
              </w:rPr>
            </w:pPr>
            <w:r w:rsidRPr="00792B36">
              <w:rPr>
                <w:color w:val="000000"/>
                <w:sz w:val="24"/>
                <w:szCs w:val="24"/>
              </w:rPr>
              <w:t>2,561.12</w:t>
            </w:r>
          </w:p>
        </w:tc>
      </w:tr>
      <w:tr w:rsidR="009A0A63" w:rsidRPr="00792B36" w14:paraId="38953363" w14:textId="77777777" w:rsidTr="00A24459">
        <w:trPr>
          <w:trHeight w:val="340"/>
        </w:trPr>
        <w:tc>
          <w:tcPr>
            <w:tcW w:w="613" w:type="dxa"/>
            <w:vAlign w:val="center"/>
          </w:tcPr>
          <w:p w14:paraId="6B54322A" w14:textId="77777777" w:rsidR="009A0A63" w:rsidRPr="00792B36" w:rsidRDefault="009A0A63" w:rsidP="00A24459">
            <w:pPr>
              <w:contextualSpacing/>
              <w:jc w:val="center"/>
              <w:rPr>
                <w:sz w:val="24"/>
                <w:szCs w:val="24"/>
              </w:rPr>
            </w:pPr>
            <w:r w:rsidRPr="00792B36">
              <w:rPr>
                <w:b/>
                <w:bCs/>
                <w:color w:val="000000"/>
                <w:sz w:val="24"/>
                <w:szCs w:val="24"/>
              </w:rPr>
              <w:t>2012</w:t>
            </w:r>
          </w:p>
        </w:tc>
        <w:tc>
          <w:tcPr>
            <w:tcW w:w="1169" w:type="dxa"/>
            <w:vAlign w:val="center"/>
          </w:tcPr>
          <w:p w14:paraId="18156BF2" w14:textId="77777777" w:rsidR="009A0A63" w:rsidRPr="00792B36" w:rsidRDefault="009A0A63" w:rsidP="00A24459">
            <w:pPr>
              <w:contextualSpacing/>
              <w:jc w:val="center"/>
              <w:rPr>
                <w:sz w:val="24"/>
                <w:szCs w:val="24"/>
              </w:rPr>
            </w:pPr>
            <w:r w:rsidRPr="00792B36">
              <w:rPr>
                <w:color w:val="000000"/>
                <w:sz w:val="24"/>
                <w:szCs w:val="24"/>
              </w:rPr>
              <w:t>369.74</w:t>
            </w:r>
          </w:p>
        </w:tc>
        <w:tc>
          <w:tcPr>
            <w:tcW w:w="1098" w:type="dxa"/>
            <w:vAlign w:val="center"/>
          </w:tcPr>
          <w:p w14:paraId="08DAF1F8" w14:textId="77777777" w:rsidR="009A0A63" w:rsidRPr="00792B36" w:rsidRDefault="009A0A63" w:rsidP="00A24459">
            <w:pPr>
              <w:contextualSpacing/>
              <w:jc w:val="center"/>
              <w:rPr>
                <w:sz w:val="24"/>
                <w:szCs w:val="24"/>
              </w:rPr>
            </w:pPr>
            <w:r w:rsidRPr="00792B36">
              <w:rPr>
                <w:color w:val="000000"/>
                <w:sz w:val="24"/>
                <w:szCs w:val="24"/>
              </w:rPr>
              <w:t>10,109.48</w:t>
            </w:r>
          </w:p>
        </w:tc>
        <w:tc>
          <w:tcPr>
            <w:tcW w:w="988" w:type="dxa"/>
            <w:vAlign w:val="center"/>
          </w:tcPr>
          <w:p w14:paraId="52815C68" w14:textId="77777777" w:rsidR="009A0A63" w:rsidRPr="00792B36" w:rsidRDefault="009A0A63" w:rsidP="00A24459">
            <w:pPr>
              <w:contextualSpacing/>
              <w:jc w:val="center"/>
              <w:rPr>
                <w:sz w:val="24"/>
                <w:szCs w:val="24"/>
              </w:rPr>
            </w:pPr>
            <w:r w:rsidRPr="00792B36">
              <w:rPr>
                <w:color w:val="000000"/>
                <w:sz w:val="24"/>
                <w:szCs w:val="24"/>
              </w:rPr>
              <w:t>1,920.73</w:t>
            </w:r>
          </w:p>
        </w:tc>
        <w:tc>
          <w:tcPr>
            <w:tcW w:w="1098" w:type="dxa"/>
            <w:vAlign w:val="center"/>
          </w:tcPr>
          <w:p w14:paraId="47C2ED27" w14:textId="77777777" w:rsidR="009A0A63" w:rsidRPr="00792B36" w:rsidRDefault="009A0A63" w:rsidP="00A24459">
            <w:pPr>
              <w:contextualSpacing/>
              <w:jc w:val="center"/>
              <w:rPr>
                <w:sz w:val="24"/>
                <w:szCs w:val="24"/>
              </w:rPr>
            </w:pPr>
            <w:r w:rsidRPr="00792B36">
              <w:rPr>
                <w:color w:val="000000"/>
                <w:sz w:val="24"/>
                <w:szCs w:val="24"/>
              </w:rPr>
              <w:t>12,381.46</w:t>
            </w:r>
          </w:p>
        </w:tc>
        <w:tc>
          <w:tcPr>
            <w:tcW w:w="1169" w:type="dxa"/>
            <w:vAlign w:val="center"/>
          </w:tcPr>
          <w:p w14:paraId="1C10D62C" w14:textId="77777777" w:rsidR="009A0A63" w:rsidRPr="00792B36" w:rsidRDefault="009A0A63" w:rsidP="00A24459">
            <w:pPr>
              <w:contextualSpacing/>
              <w:jc w:val="center"/>
              <w:rPr>
                <w:sz w:val="24"/>
                <w:szCs w:val="24"/>
              </w:rPr>
            </w:pPr>
            <w:r w:rsidRPr="00792B36">
              <w:rPr>
                <w:color w:val="000000"/>
                <w:sz w:val="24"/>
                <w:szCs w:val="24"/>
              </w:rPr>
              <w:t>1,568.04</w:t>
            </w:r>
          </w:p>
        </w:tc>
        <w:tc>
          <w:tcPr>
            <w:tcW w:w="1020" w:type="dxa"/>
            <w:vAlign w:val="center"/>
          </w:tcPr>
          <w:p w14:paraId="4CF52A21" w14:textId="77777777" w:rsidR="009A0A63" w:rsidRPr="00792B36" w:rsidRDefault="009A0A63" w:rsidP="00A24459">
            <w:pPr>
              <w:contextualSpacing/>
              <w:jc w:val="center"/>
              <w:rPr>
                <w:sz w:val="24"/>
                <w:szCs w:val="24"/>
              </w:rPr>
            </w:pPr>
            <w:r w:rsidRPr="00792B36">
              <w:rPr>
                <w:color w:val="000000"/>
                <w:sz w:val="24"/>
                <w:szCs w:val="24"/>
              </w:rPr>
              <w:t>296.61</w:t>
            </w:r>
          </w:p>
        </w:tc>
        <w:tc>
          <w:tcPr>
            <w:tcW w:w="951" w:type="dxa"/>
            <w:vAlign w:val="center"/>
          </w:tcPr>
          <w:p w14:paraId="745E0D26" w14:textId="77777777" w:rsidR="009A0A63" w:rsidRPr="00792B36" w:rsidRDefault="009A0A63" w:rsidP="00A24459">
            <w:pPr>
              <w:contextualSpacing/>
              <w:jc w:val="center"/>
              <w:rPr>
                <w:sz w:val="24"/>
                <w:szCs w:val="24"/>
              </w:rPr>
            </w:pPr>
            <w:r w:rsidRPr="00792B36">
              <w:rPr>
                <w:color w:val="000000"/>
                <w:sz w:val="24"/>
                <w:szCs w:val="24"/>
              </w:rPr>
              <w:t>1,340.51</w:t>
            </w:r>
          </w:p>
        </w:tc>
        <w:tc>
          <w:tcPr>
            <w:tcW w:w="911" w:type="dxa"/>
            <w:vAlign w:val="center"/>
          </w:tcPr>
          <w:p w14:paraId="572B70DA" w14:textId="77777777" w:rsidR="009A0A63" w:rsidRPr="00792B36" w:rsidRDefault="009A0A63" w:rsidP="00A24459">
            <w:pPr>
              <w:contextualSpacing/>
              <w:jc w:val="center"/>
              <w:rPr>
                <w:sz w:val="24"/>
                <w:szCs w:val="24"/>
              </w:rPr>
            </w:pPr>
            <w:r w:rsidRPr="00792B36">
              <w:rPr>
                <w:color w:val="000000"/>
                <w:sz w:val="24"/>
                <w:szCs w:val="24"/>
              </w:rPr>
              <w:t>3,263.33</w:t>
            </w:r>
          </w:p>
        </w:tc>
      </w:tr>
      <w:tr w:rsidR="009A0A63" w:rsidRPr="00792B36" w14:paraId="44684098" w14:textId="77777777" w:rsidTr="00A24459">
        <w:trPr>
          <w:trHeight w:val="340"/>
        </w:trPr>
        <w:tc>
          <w:tcPr>
            <w:tcW w:w="613" w:type="dxa"/>
            <w:vAlign w:val="center"/>
          </w:tcPr>
          <w:p w14:paraId="4EE12EC9" w14:textId="77777777" w:rsidR="009A0A63" w:rsidRPr="00792B36" w:rsidRDefault="009A0A63" w:rsidP="00A24459">
            <w:pPr>
              <w:contextualSpacing/>
              <w:jc w:val="center"/>
              <w:rPr>
                <w:sz w:val="24"/>
                <w:szCs w:val="24"/>
              </w:rPr>
            </w:pPr>
            <w:r w:rsidRPr="00792B36">
              <w:rPr>
                <w:b/>
                <w:bCs/>
                <w:color w:val="000000"/>
                <w:sz w:val="24"/>
                <w:szCs w:val="24"/>
              </w:rPr>
              <w:t>2013</w:t>
            </w:r>
          </w:p>
        </w:tc>
        <w:tc>
          <w:tcPr>
            <w:tcW w:w="1169" w:type="dxa"/>
            <w:vAlign w:val="center"/>
          </w:tcPr>
          <w:p w14:paraId="2FCCBC59" w14:textId="77777777" w:rsidR="009A0A63" w:rsidRPr="00792B36" w:rsidRDefault="009A0A63" w:rsidP="00A24459">
            <w:pPr>
              <w:contextualSpacing/>
              <w:jc w:val="center"/>
              <w:rPr>
                <w:sz w:val="24"/>
                <w:szCs w:val="24"/>
              </w:rPr>
            </w:pPr>
            <w:r w:rsidRPr="00792B36">
              <w:rPr>
                <w:color w:val="000000"/>
                <w:sz w:val="24"/>
                <w:szCs w:val="24"/>
              </w:rPr>
              <w:t>332.40</w:t>
            </w:r>
          </w:p>
        </w:tc>
        <w:tc>
          <w:tcPr>
            <w:tcW w:w="1098" w:type="dxa"/>
            <w:vAlign w:val="center"/>
          </w:tcPr>
          <w:p w14:paraId="5C626850" w14:textId="77777777" w:rsidR="009A0A63" w:rsidRPr="00792B36" w:rsidRDefault="009A0A63" w:rsidP="00A24459">
            <w:pPr>
              <w:contextualSpacing/>
              <w:jc w:val="center"/>
              <w:rPr>
                <w:sz w:val="24"/>
                <w:szCs w:val="24"/>
              </w:rPr>
            </w:pPr>
            <w:r w:rsidRPr="00792B36">
              <w:rPr>
                <w:color w:val="000000"/>
                <w:sz w:val="24"/>
                <w:szCs w:val="24"/>
              </w:rPr>
              <w:t>10,275.92</w:t>
            </w:r>
          </w:p>
        </w:tc>
        <w:tc>
          <w:tcPr>
            <w:tcW w:w="988" w:type="dxa"/>
            <w:vAlign w:val="center"/>
          </w:tcPr>
          <w:p w14:paraId="4648B7ED" w14:textId="77777777" w:rsidR="009A0A63" w:rsidRPr="00792B36" w:rsidRDefault="009A0A63" w:rsidP="00A24459">
            <w:pPr>
              <w:contextualSpacing/>
              <w:jc w:val="center"/>
              <w:rPr>
                <w:sz w:val="24"/>
                <w:szCs w:val="24"/>
              </w:rPr>
            </w:pPr>
            <w:r w:rsidRPr="00792B36">
              <w:rPr>
                <w:color w:val="000000"/>
                <w:sz w:val="24"/>
                <w:szCs w:val="24"/>
              </w:rPr>
              <w:t>1,971.75</w:t>
            </w:r>
          </w:p>
        </w:tc>
        <w:tc>
          <w:tcPr>
            <w:tcW w:w="1098" w:type="dxa"/>
            <w:vAlign w:val="center"/>
          </w:tcPr>
          <w:p w14:paraId="6EC4EA64" w14:textId="77777777" w:rsidR="009A0A63" w:rsidRPr="00792B36" w:rsidRDefault="009A0A63" w:rsidP="00A24459">
            <w:pPr>
              <w:contextualSpacing/>
              <w:jc w:val="center"/>
              <w:rPr>
                <w:sz w:val="24"/>
                <w:szCs w:val="24"/>
              </w:rPr>
            </w:pPr>
            <w:r w:rsidRPr="00792B36">
              <w:rPr>
                <w:color w:val="000000"/>
                <w:sz w:val="24"/>
                <w:szCs w:val="24"/>
              </w:rPr>
              <w:t>12,555.64</w:t>
            </w:r>
          </w:p>
        </w:tc>
        <w:tc>
          <w:tcPr>
            <w:tcW w:w="1169" w:type="dxa"/>
            <w:vAlign w:val="center"/>
          </w:tcPr>
          <w:p w14:paraId="136102BB" w14:textId="77777777" w:rsidR="009A0A63" w:rsidRPr="00792B36" w:rsidRDefault="009A0A63" w:rsidP="00A24459">
            <w:pPr>
              <w:contextualSpacing/>
              <w:jc w:val="center"/>
              <w:rPr>
                <w:sz w:val="24"/>
                <w:szCs w:val="24"/>
              </w:rPr>
            </w:pPr>
            <w:r w:rsidRPr="00792B36">
              <w:rPr>
                <w:color w:val="000000"/>
                <w:sz w:val="24"/>
                <w:szCs w:val="24"/>
              </w:rPr>
              <w:t>1,530.20</w:t>
            </w:r>
          </w:p>
        </w:tc>
        <w:tc>
          <w:tcPr>
            <w:tcW w:w="1020" w:type="dxa"/>
            <w:vAlign w:val="center"/>
          </w:tcPr>
          <w:p w14:paraId="0BB271EA" w14:textId="77777777" w:rsidR="009A0A63" w:rsidRPr="00792B36" w:rsidRDefault="009A0A63" w:rsidP="00A24459">
            <w:pPr>
              <w:contextualSpacing/>
              <w:jc w:val="center"/>
              <w:rPr>
                <w:sz w:val="24"/>
                <w:szCs w:val="24"/>
              </w:rPr>
            </w:pPr>
            <w:r w:rsidRPr="00792B36">
              <w:rPr>
                <w:color w:val="000000"/>
                <w:sz w:val="24"/>
                <w:szCs w:val="24"/>
              </w:rPr>
              <w:t>262.21</w:t>
            </w:r>
          </w:p>
        </w:tc>
        <w:tc>
          <w:tcPr>
            <w:tcW w:w="951" w:type="dxa"/>
            <w:vAlign w:val="center"/>
          </w:tcPr>
          <w:p w14:paraId="57C8D767" w14:textId="77777777" w:rsidR="009A0A63" w:rsidRPr="00792B36" w:rsidRDefault="009A0A63" w:rsidP="00A24459">
            <w:pPr>
              <w:contextualSpacing/>
              <w:jc w:val="center"/>
              <w:rPr>
                <w:sz w:val="24"/>
                <w:szCs w:val="24"/>
              </w:rPr>
            </w:pPr>
            <w:r w:rsidRPr="00792B36">
              <w:rPr>
                <w:color w:val="000000"/>
                <w:sz w:val="24"/>
                <w:szCs w:val="24"/>
              </w:rPr>
              <w:t>1,242.34</w:t>
            </w:r>
          </w:p>
        </w:tc>
        <w:tc>
          <w:tcPr>
            <w:tcW w:w="911" w:type="dxa"/>
            <w:vAlign w:val="center"/>
          </w:tcPr>
          <w:p w14:paraId="4EFC6980" w14:textId="77777777" w:rsidR="009A0A63" w:rsidRPr="00792B36" w:rsidRDefault="009A0A63" w:rsidP="00A24459">
            <w:pPr>
              <w:contextualSpacing/>
              <w:jc w:val="center"/>
              <w:rPr>
                <w:sz w:val="24"/>
                <w:szCs w:val="24"/>
              </w:rPr>
            </w:pPr>
            <w:r w:rsidRPr="00792B36">
              <w:rPr>
                <w:color w:val="000000"/>
                <w:sz w:val="24"/>
                <w:szCs w:val="24"/>
              </w:rPr>
              <w:t>3,109.22</w:t>
            </w:r>
          </w:p>
        </w:tc>
      </w:tr>
      <w:tr w:rsidR="009A0A63" w:rsidRPr="00792B36" w14:paraId="33E23CFE" w14:textId="77777777" w:rsidTr="00A24459">
        <w:trPr>
          <w:trHeight w:val="340"/>
        </w:trPr>
        <w:tc>
          <w:tcPr>
            <w:tcW w:w="613" w:type="dxa"/>
            <w:vAlign w:val="center"/>
          </w:tcPr>
          <w:p w14:paraId="6E82F30A" w14:textId="77777777" w:rsidR="009A0A63" w:rsidRPr="00792B36" w:rsidRDefault="009A0A63" w:rsidP="00A24459">
            <w:pPr>
              <w:contextualSpacing/>
              <w:jc w:val="center"/>
              <w:rPr>
                <w:sz w:val="24"/>
                <w:szCs w:val="24"/>
              </w:rPr>
            </w:pPr>
            <w:r w:rsidRPr="00792B36">
              <w:rPr>
                <w:b/>
                <w:bCs/>
                <w:color w:val="000000"/>
                <w:sz w:val="24"/>
                <w:szCs w:val="24"/>
              </w:rPr>
              <w:t>2014</w:t>
            </w:r>
          </w:p>
        </w:tc>
        <w:tc>
          <w:tcPr>
            <w:tcW w:w="1169" w:type="dxa"/>
            <w:vAlign w:val="center"/>
          </w:tcPr>
          <w:p w14:paraId="30B2AF16" w14:textId="77777777" w:rsidR="009A0A63" w:rsidRPr="00792B36" w:rsidRDefault="009A0A63" w:rsidP="00A24459">
            <w:pPr>
              <w:contextualSpacing/>
              <w:jc w:val="center"/>
              <w:rPr>
                <w:sz w:val="24"/>
                <w:szCs w:val="24"/>
              </w:rPr>
            </w:pPr>
            <w:r w:rsidRPr="00792B36">
              <w:rPr>
                <w:color w:val="000000"/>
                <w:sz w:val="24"/>
                <w:szCs w:val="24"/>
              </w:rPr>
              <w:t>323.37</w:t>
            </w:r>
          </w:p>
        </w:tc>
        <w:tc>
          <w:tcPr>
            <w:tcW w:w="1098" w:type="dxa"/>
            <w:vAlign w:val="center"/>
          </w:tcPr>
          <w:p w14:paraId="51F39A69" w14:textId="77777777" w:rsidR="009A0A63" w:rsidRPr="00792B36" w:rsidRDefault="009A0A63" w:rsidP="00A24459">
            <w:pPr>
              <w:contextualSpacing/>
              <w:jc w:val="center"/>
              <w:rPr>
                <w:sz w:val="24"/>
                <w:szCs w:val="24"/>
              </w:rPr>
            </w:pPr>
            <w:r w:rsidRPr="00792B36">
              <w:rPr>
                <w:color w:val="000000"/>
                <w:sz w:val="24"/>
                <w:szCs w:val="24"/>
              </w:rPr>
              <w:t>9,829.64</w:t>
            </w:r>
          </w:p>
        </w:tc>
        <w:tc>
          <w:tcPr>
            <w:tcW w:w="988" w:type="dxa"/>
            <w:vAlign w:val="center"/>
          </w:tcPr>
          <w:p w14:paraId="09778990" w14:textId="77777777" w:rsidR="009A0A63" w:rsidRPr="00792B36" w:rsidRDefault="009A0A63" w:rsidP="00A24459">
            <w:pPr>
              <w:contextualSpacing/>
              <w:jc w:val="center"/>
              <w:rPr>
                <w:sz w:val="24"/>
                <w:szCs w:val="24"/>
              </w:rPr>
            </w:pPr>
            <w:r w:rsidRPr="00792B36">
              <w:rPr>
                <w:color w:val="000000"/>
                <w:sz w:val="24"/>
                <w:szCs w:val="24"/>
              </w:rPr>
              <w:t>2,007.33</w:t>
            </w:r>
          </w:p>
        </w:tc>
        <w:tc>
          <w:tcPr>
            <w:tcW w:w="1098" w:type="dxa"/>
            <w:vAlign w:val="center"/>
          </w:tcPr>
          <w:p w14:paraId="49E4FD81" w14:textId="77777777" w:rsidR="009A0A63" w:rsidRPr="00792B36" w:rsidRDefault="009A0A63" w:rsidP="00A24459">
            <w:pPr>
              <w:contextualSpacing/>
              <w:jc w:val="center"/>
              <w:rPr>
                <w:sz w:val="24"/>
                <w:szCs w:val="24"/>
              </w:rPr>
            </w:pPr>
            <w:r w:rsidRPr="00792B36">
              <w:rPr>
                <w:color w:val="000000"/>
                <w:sz w:val="24"/>
                <w:szCs w:val="24"/>
              </w:rPr>
              <w:t>12,110.75</w:t>
            </w:r>
          </w:p>
        </w:tc>
        <w:tc>
          <w:tcPr>
            <w:tcW w:w="1169" w:type="dxa"/>
            <w:vAlign w:val="center"/>
          </w:tcPr>
          <w:p w14:paraId="70DE0D6F" w14:textId="77777777" w:rsidR="009A0A63" w:rsidRPr="00792B36" w:rsidRDefault="009A0A63" w:rsidP="00A24459">
            <w:pPr>
              <w:contextualSpacing/>
              <w:jc w:val="center"/>
              <w:rPr>
                <w:sz w:val="24"/>
                <w:szCs w:val="24"/>
              </w:rPr>
            </w:pPr>
            <w:r w:rsidRPr="00792B36">
              <w:rPr>
                <w:color w:val="000000"/>
                <w:sz w:val="24"/>
                <w:szCs w:val="24"/>
              </w:rPr>
              <w:t>1,513.40</w:t>
            </w:r>
          </w:p>
        </w:tc>
        <w:tc>
          <w:tcPr>
            <w:tcW w:w="1020" w:type="dxa"/>
            <w:vAlign w:val="center"/>
          </w:tcPr>
          <w:p w14:paraId="11B657C9" w14:textId="77777777" w:rsidR="009A0A63" w:rsidRPr="00792B36" w:rsidRDefault="009A0A63" w:rsidP="00A24459">
            <w:pPr>
              <w:contextualSpacing/>
              <w:jc w:val="center"/>
              <w:rPr>
                <w:sz w:val="24"/>
                <w:szCs w:val="24"/>
              </w:rPr>
            </w:pPr>
            <w:r w:rsidRPr="00792B36">
              <w:rPr>
                <w:color w:val="000000"/>
                <w:sz w:val="24"/>
                <w:szCs w:val="24"/>
              </w:rPr>
              <w:t>251.92</w:t>
            </w:r>
          </w:p>
        </w:tc>
        <w:tc>
          <w:tcPr>
            <w:tcW w:w="951" w:type="dxa"/>
            <w:vAlign w:val="center"/>
          </w:tcPr>
          <w:p w14:paraId="1B526242" w14:textId="77777777" w:rsidR="009A0A63" w:rsidRPr="00792B36" w:rsidRDefault="009A0A63" w:rsidP="00A24459">
            <w:pPr>
              <w:contextualSpacing/>
              <w:jc w:val="center"/>
              <w:rPr>
                <w:sz w:val="24"/>
                <w:szCs w:val="24"/>
              </w:rPr>
            </w:pPr>
            <w:r w:rsidRPr="00792B36">
              <w:rPr>
                <w:color w:val="000000"/>
                <w:sz w:val="24"/>
                <w:szCs w:val="24"/>
              </w:rPr>
              <w:t>1,227.58</w:t>
            </w:r>
          </w:p>
        </w:tc>
        <w:tc>
          <w:tcPr>
            <w:tcW w:w="911" w:type="dxa"/>
            <w:vAlign w:val="center"/>
          </w:tcPr>
          <w:p w14:paraId="42904635" w14:textId="77777777" w:rsidR="009A0A63" w:rsidRPr="00792B36" w:rsidRDefault="009A0A63" w:rsidP="00A24459">
            <w:pPr>
              <w:contextualSpacing/>
              <w:jc w:val="center"/>
              <w:rPr>
                <w:sz w:val="24"/>
                <w:szCs w:val="24"/>
              </w:rPr>
            </w:pPr>
            <w:r w:rsidRPr="00792B36">
              <w:rPr>
                <w:color w:val="000000"/>
                <w:sz w:val="24"/>
                <w:szCs w:val="24"/>
              </w:rPr>
              <w:t>3,068.14</w:t>
            </w:r>
          </w:p>
        </w:tc>
      </w:tr>
      <w:tr w:rsidR="009A0A63" w:rsidRPr="00792B36" w14:paraId="2DB2D4E8" w14:textId="77777777" w:rsidTr="00A24459">
        <w:trPr>
          <w:trHeight w:val="340"/>
        </w:trPr>
        <w:tc>
          <w:tcPr>
            <w:tcW w:w="613" w:type="dxa"/>
            <w:vAlign w:val="center"/>
          </w:tcPr>
          <w:p w14:paraId="094A98AB" w14:textId="77777777" w:rsidR="009A0A63" w:rsidRPr="00792B36" w:rsidRDefault="009A0A63" w:rsidP="00A24459">
            <w:pPr>
              <w:contextualSpacing/>
              <w:jc w:val="center"/>
              <w:rPr>
                <w:sz w:val="24"/>
                <w:szCs w:val="24"/>
              </w:rPr>
            </w:pPr>
            <w:r w:rsidRPr="00792B36">
              <w:rPr>
                <w:b/>
                <w:bCs/>
                <w:color w:val="000000"/>
                <w:sz w:val="24"/>
                <w:szCs w:val="24"/>
              </w:rPr>
              <w:t>2015</w:t>
            </w:r>
          </w:p>
        </w:tc>
        <w:tc>
          <w:tcPr>
            <w:tcW w:w="1169" w:type="dxa"/>
            <w:vAlign w:val="center"/>
          </w:tcPr>
          <w:p w14:paraId="0DCF9B09" w14:textId="77777777" w:rsidR="009A0A63" w:rsidRPr="00792B36" w:rsidRDefault="009A0A63" w:rsidP="00A24459">
            <w:pPr>
              <w:contextualSpacing/>
              <w:jc w:val="center"/>
              <w:rPr>
                <w:sz w:val="24"/>
                <w:szCs w:val="24"/>
              </w:rPr>
            </w:pPr>
            <w:r w:rsidRPr="00792B36">
              <w:rPr>
                <w:color w:val="000000"/>
                <w:sz w:val="24"/>
                <w:szCs w:val="24"/>
              </w:rPr>
              <w:t>269.19</w:t>
            </w:r>
          </w:p>
        </w:tc>
        <w:tc>
          <w:tcPr>
            <w:tcW w:w="1098" w:type="dxa"/>
            <w:vAlign w:val="center"/>
          </w:tcPr>
          <w:p w14:paraId="707B639C" w14:textId="77777777" w:rsidR="009A0A63" w:rsidRPr="00792B36" w:rsidRDefault="009A0A63" w:rsidP="00A24459">
            <w:pPr>
              <w:contextualSpacing/>
              <w:jc w:val="center"/>
              <w:rPr>
                <w:sz w:val="24"/>
                <w:szCs w:val="24"/>
              </w:rPr>
            </w:pPr>
            <w:r w:rsidRPr="00792B36">
              <w:rPr>
                <w:color w:val="000000"/>
                <w:sz w:val="24"/>
                <w:szCs w:val="24"/>
              </w:rPr>
              <w:t>10,011.72</w:t>
            </w:r>
          </w:p>
        </w:tc>
        <w:tc>
          <w:tcPr>
            <w:tcW w:w="988" w:type="dxa"/>
            <w:vAlign w:val="center"/>
          </w:tcPr>
          <w:p w14:paraId="48A9527B" w14:textId="77777777" w:rsidR="009A0A63" w:rsidRPr="00792B36" w:rsidRDefault="009A0A63" w:rsidP="00A24459">
            <w:pPr>
              <w:contextualSpacing/>
              <w:jc w:val="center"/>
              <w:rPr>
                <w:sz w:val="24"/>
                <w:szCs w:val="24"/>
              </w:rPr>
            </w:pPr>
            <w:r w:rsidRPr="00792B36">
              <w:rPr>
                <w:color w:val="000000"/>
                <w:sz w:val="24"/>
                <w:szCs w:val="24"/>
              </w:rPr>
              <w:t>2,083.05</w:t>
            </w:r>
          </w:p>
        </w:tc>
        <w:tc>
          <w:tcPr>
            <w:tcW w:w="1098" w:type="dxa"/>
            <w:vAlign w:val="center"/>
          </w:tcPr>
          <w:p w14:paraId="22CE076F" w14:textId="77777777" w:rsidR="009A0A63" w:rsidRPr="00792B36" w:rsidRDefault="009A0A63" w:rsidP="00A24459">
            <w:pPr>
              <w:contextualSpacing/>
              <w:jc w:val="center"/>
              <w:rPr>
                <w:sz w:val="24"/>
                <w:szCs w:val="24"/>
              </w:rPr>
            </w:pPr>
            <w:r w:rsidRPr="00792B36">
              <w:rPr>
                <w:color w:val="000000"/>
                <w:sz w:val="24"/>
                <w:szCs w:val="24"/>
              </w:rPr>
              <w:t>12,310.96</w:t>
            </w:r>
          </w:p>
        </w:tc>
        <w:tc>
          <w:tcPr>
            <w:tcW w:w="1169" w:type="dxa"/>
            <w:vAlign w:val="center"/>
          </w:tcPr>
          <w:p w14:paraId="5500037E" w14:textId="77777777" w:rsidR="009A0A63" w:rsidRPr="00792B36" w:rsidRDefault="009A0A63" w:rsidP="00A24459">
            <w:pPr>
              <w:contextualSpacing/>
              <w:jc w:val="center"/>
              <w:rPr>
                <w:sz w:val="24"/>
                <w:szCs w:val="24"/>
              </w:rPr>
            </w:pPr>
            <w:r w:rsidRPr="00792B36">
              <w:rPr>
                <w:color w:val="000000"/>
                <w:sz w:val="24"/>
                <w:szCs w:val="24"/>
              </w:rPr>
              <w:t>1,380.58</w:t>
            </w:r>
          </w:p>
        </w:tc>
        <w:tc>
          <w:tcPr>
            <w:tcW w:w="1020" w:type="dxa"/>
            <w:vAlign w:val="center"/>
          </w:tcPr>
          <w:p w14:paraId="7C92CE43" w14:textId="77777777" w:rsidR="009A0A63" w:rsidRPr="00792B36" w:rsidRDefault="009A0A63" w:rsidP="00A24459">
            <w:pPr>
              <w:contextualSpacing/>
              <w:jc w:val="center"/>
              <w:rPr>
                <w:sz w:val="24"/>
                <w:szCs w:val="24"/>
              </w:rPr>
            </w:pPr>
            <w:r w:rsidRPr="00792B36">
              <w:rPr>
                <w:color w:val="000000"/>
                <w:sz w:val="24"/>
                <w:szCs w:val="24"/>
              </w:rPr>
              <w:t>249.92</w:t>
            </w:r>
          </w:p>
        </w:tc>
        <w:tc>
          <w:tcPr>
            <w:tcW w:w="951" w:type="dxa"/>
            <w:vAlign w:val="center"/>
          </w:tcPr>
          <w:p w14:paraId="26FFEA36" w14:textId="77777777" w:rsidR="009A0A63" w:rsidRPr="00792B36" w:rsidRDefault="009A0A63" w:rsidP="00A24459">
            <w:pPr>
              <w:contextualSpacing/>
              <w:jc w:val="center"/>
              <w:rPr>
                <w:sz w:val="24"/>
                <w:szCs w:val="24"/>
              </w:rPr>
            </w:pPr>
            <w:r w:rsidRPr="00792B36">
              <w:rPr>
                <w:color w:val="000000"/>
                <w:sz w:val="24"/>
                <w:szCs w:val="24"/>
              </w:rPr>
              <w:t>1,315.94</w:t>
            </w:r>
          </w:p>
        </w:tc>
        <w:tc>
          <w:tcPr>
            <w:tcW w:w="911" w:type="dxa"/>
            <w:vAlign w:val="center"/>
          </w:tcPr>
          <w:p w14:paraId="42C8D57C" w14:textId="77777777" w:rsidR="009A0A63" w:rsidRPr="00792B36" w:rsidRDefault="009A0A63" w:rsidP="00A24459">
            <w:pPr>
              <w:contextualSpacing/>
              <w:jc w:val="center"/>
              <w:rPr>
                <w:sz w:val="24"/>
                <w:szCs w:val="24"/>
              </w:rPr>
            </w:pPr>
            <w:r w:rsidRPr="00792B36">
              <w:rPr>
                <w:color w:val="000000"/>
                <w:sz w:val="24"/>
                <w:szCs w:val="24"/>
              </w:rPr>
              <w:t>2,980.80</w:t>
            </w:r>
          </w:p>
        </w:tc>
      </w:tr>
      <w:tr w:rsidR="009A0A63" w:rsidRPr="00792B36" w14:paraId="4C87535A" w14:textId="77777777" w:rsidTr="00A24459">
        <w:trPr>
          <w:trHeight w:val="340"/>
        </w:trPr>
        <w:tc>
          <w:tcPr>
            <w:tcW w:w="613" w:type="dxa"/>
            <w:vAlign w:val="center"/>
          </w:tcPr>
          <w:p w14:paraId="409EA079" w14:textId="77777777" w:rsidR="009A0A63" w:rsidRPr="00792B36" w:rsidRDefault="009A0A63" w:rsidP="00A24459">
            <w:pPr>
              <w:contextualSpacing/>
              <w:jc w:val="center"/>
              <w:rPr>
                <w:sz w:val="24"/>
                <w:szCs w:val="24"/>
              </w:rPr>
            </w:pPr>
            <w:r w:rsidRPr="00792B36">
              <w:rPr>
                <w:b/>
                <w:bCs/>
                <w:color w:val="000000"/>
                <w:sz w:val="24"/>
                <w:szCs w:val="24"/>
              </w:rPr>
              <w:t>201</w:t>
            </w:r>
            <w:r w:rsidRPr="00792B36">
              <w:rPr>
                <w:b/>
                <w:bCs/>
                <w:color w:val="000000"/>
                <w:sz w:val="24"/>
                <w:szCs w:val="24"/>
              </w:rPr>
              <w:lastRenderedPageBreak/>
              <w:t>6</w:t>
            </w:r>
          </w:p>
        </w:tc>
        <w:tc>
          <w:tcPr>
            <w:tcW w:w="1169" w:type="dxa"/>
            <w:vAlign w:val="center"/>
          </w:tcPr>
          <w:p w14:paraId="207F13C8" w14:textId="77777777" w:rsidR="009A0A63" w:rsidRPr="00792B36" w:rsidRDefault="009A0A63" w:rsidP="00A24459">
            <w:pPr>
              <w:contextualSpacing/>
              <w:jc w:val="center"/>
              <w:rPr>
                <w:sz w:val="24"/>
                <w:szCs w:val="24"/>
              </w:rPr>
            </w:pPr>
            <w:r w:rsidRPr="00792B36">
              <w:rPr>
                <w:color w:val="000000"/>
                <w:sz w:val="24"/>
                <w:szCs w:val="24"/>
              </w:rPr>
              <w:lastRenderedPageBreak/>
              <w:t>261.17</w:t>
            </w:r>
          </w:p>
        </w:tc>
        <w:tc>
          <w:tcPr>
            <w:tcW w:w="1098" w:type="dxa"/>
            <w:vAlign w:val="center"/>
          </w:tcPr>
          <w:p w14:paraId="4626A09E" w14:textId="77777777" w:rsidR="009A0A63" w:rsidRPr="00792B36" w:rsidRDefault="009A0A63" w:rsidP="00A24459">
            <w:pPr>
              <w:contextualSpacing/>
              <w:jc w:val="center"/>
              <w:rPr>
                <w:sz w:val="24"/>
                <w:szCs w:val="24"/>
              </w:rPr>
            </w:pPr>
            <w:r w:rsidRPr="00792B36">
              <w:rPr>
                <w:color w:val="000000"/>
                <w:sz w:val="24"/>
                <w:szCs w:val="24"/>
              </w:rPr>
              <w:t>10,117.</w:t>
            </w:r>
            <w:r w:rsidRPr="00792B36">
              <w:rPr>
                <w:color w:val="000000"/>
                <w:sz w:val="24"/>
                <w:szCs w:val="24"/>
              </w:rPr>
              <w:lastRenderedPageBreak/>
              <w:t>23</w:t>
            </w:r>
          </w:p>
        </w:tc>
        <w:tc>
          <w:tcPr>
            <w:tcW w:w="988" w:type="dxa"/>
            <w:vAlign w:val="center"/>
          </w:tcPr>
          <w:p w14:paraId="52ECB9BE" w14:textId="77777777" w:rsidR="009A0A63" w:rsidRPr="00792B36" w:rsidRDefault="009A0A63" w:rsidP="00A24459">
            <w:pPr>
              <w:contextualSpacing/>
              <w:jc w:val="center"/>
              <w:rPr>
                <w:sz w:val="24"/>
                <w:szCs w:val="24"/>
              </w:rPr>
            </w:pPr>
            <w:r w:rsidRPr="00792B36">
              <w:rPr>
                <w:color w:val="000000"/>
                <w:sz w:val="24"/>
                <w:szCs w:val="24"/>
              </w:rPr>
              <w:lastRenderedPageBreak/>
              <w:t>2,127.</w:t>
            </w:r>
            <w:r w:rsidRPr="00792B36">
              <w:rPr>
                <w:color w:val="000000"/>
                <w:sz w:val="24"/>
                <w:szCs w:val="24"/>
              </w:rPr>
              <w:lastRenderedPageBreak/>
              <w:t>34</w:t>
            </w:r>
          </w:p>
        </w:tc>
        <w:tc>
          <w:tcPr>
            <w:tcW w:w="1098" w:type="dxa"/>
            <w:vAlign w:val="center"/>
          </w:tcPr>
          <w:p w14:paraId="5E9EA0E3" w14:textId="77777777" w:rsidR="009A0A63" w:rsidRPr="00792B36" w:rsidRDefault="009A0A63" w:rsidP="00A24459">
            <w:pPr>
              <w:contextualSpacing/>
              <w:jc w:val="center"/>
              <w:rPr>
                <w:sz w:val="24"/>
                <w:szCs w:val="24"/>
              </w:rPr>
            </w:pPr>
            <w:r w:rsidRPr="00792B36">
              <w:rPr>
                <w:color w:val="000000"/>
                <w:sz w:val="24"/>
                <w:szCs w:val="24"/>
              </w:rPr>
              <w:lastRenderedPageBreak/>
              <w:t>12,449.</w:t>
            </w:r>
            <w:r w:rsidRPr="00792B36">
              <w:rPr>
                <w:color w:val="000000"/>
                <w:sz w:val="24"/>
                <w:szCs w:val="24"/>
              </w:rPr>
              <w:lastRenderedPageBreak/>
              <w:t>50</w:t>
            </w:r>
          </w:p>
        </w:tc>
        <w:tc>
          <w:tcPr>
            <w:tcW w:w="1169" w:type="dxa"/>
            <w:vAlign w:val="center"/>
          </w:tcPr>
          <w:p w14:paraId="068F0FC4" w14:textId="77777777" w:rsidR="009A0A63" w:rsidRPr="00792B36" w:rsidRDefault="009A0A63" w:rsidP="00A24459">
            <w:pPr>
              <w:contextualSpacing/>
              <w:jc w:val="center"/>
              <w:rPr>
                <w:sz w:val="24"/>
                <w:szCs w:val="24"/>
              </w:rPr>
            </w:pPr>
            <w:r w:rsidRPr="00792B36">
              <w:rPr>
                <w:color w:val="000000"/>
                <w:sz w:val="24"/>
                <w:szCs w:val="24"/>
              </w:rPr>
              <w:lastRenderedPageBreak/>
              <w:t>1,189.46</w:t>
            </w:r>
          </w:p>
        </w:tc>
        <w:tc>
          <w:tcPr>
            <w:tcW w:w="1020" w:type="dxa"/>
            <w:vAlign w:val="center"/>
          </w:tcPr>
          <w:p w14:paraId="395C89E0" w14:textId="77777777" w:rsidR="009A0A63" w:rsidRPr="00792B36" w:rsidRDefault="009A0A63" w:rsidP="00A24459">
            <w:pPr>
              <w:contextualSpacing/>
              <w:jc w:val="center"/>
              <w:rPr>
                <w:sz w:val="24"/>
                <w:szCs w:val="24"/>
              </w:rPr>
            </w:pPr>
            <w:r w:rsidRPr="00792B36">
              <w:rPr>
                <w:color w:val="000000"/>
                <w:sz w:val="24"/>
                <w:szCs w:val="24"/>
              </w:rPr>
              <w:t>259.83</w:t>
            </w:r>
          </w:p>
        </w:tc>
        <w:tc>
          <w:tcPr>
            <w:tcW w:w="951" w:type="dxa"/>
            <w:vAlign w:val="center"/>
          </w:tcPr>
          <w:p w14:paraId="2E222EA4" w14:textId="77777777" w:rsidR="009A0A63" w:rsidRPr="00792B36" w:rsidRDefault="009A0A63" w:rsidP="00A24459">
            <w:pPr>
              <w:contextualSpacing/>
              <w:jc w:val="center"/>
              <w:rPr>
                <w:sz w:val="24"/>
                <w:szCs w:val="24"/>
              </w:rPr>
            </w:pPr>
            <w:r w:rsidRPr="00792B36">
              <w:rPr>
                <w:color w:val="000000"/>
                <w:sz w:val="24"/>
                <w:szCs w:val="24"/>
              </w:rPr>
              <w:t>1,375.</w:t>
            </w:r>
            <w:r w:rsidRPr="00792B36">
              <w:rPr>
                <w:color w:val="000000"/>
                <w:sz w:val="24"/>
                <w:szCs w:val="24"/>
              </w:rPr>
              <w:lastRenderedPageBreak/>
              <w:t>39</w:t>
            </w:r>
          </w:p>
        </w:tc>
        <w:tc>
          <w:tcPr>
            <w:tcW w:w="911" w:type="dxa"/>
            <w:vAlign w:val="center"/>
          </w:tcPr>
          <w:p w14:paraId="7064225E" w14:textId="77777777" w:rsidR="009A0A63" w:rsidRPr="00792B36" w:rsidRDefault="009A0A63" w:rsidP="00A24459">
            <w:pPr>
              <w:contextualSpacing/>
              <w:jc w:val="center"/>
              <w:rPr>
                <w:sz w:val="24"/>
                <w:szCs w:val="24"/>
              </w:rPr>
            </w:pPr>
            <w:r w:rsidRPr="00792B36">
              <w:rPr>
                <w:color w:val="000000"/>
                <w:sz w:val="24"/>
                <w:szCs w:val="24"/>
              </w:rPr>
              <w:lastRenderedPageBreak/>
              <w:t>2,803.</w:t>
            </w:r>
            <w:r w:rsidRPr="00792B36">
              <w:rPr>
                <w:color w:val="000000"/>
                <w:sz w:val="24"/>
                <w:szCs w:val="24"/>
              </w:rPr>
              <w:lastRenderedPageBreak/>
              <w:t>07</w:t>
            </w:r>
          </w:p>
        </w:tc>
      </w:tr>
      <w:tr w:rsidR="009A0A63" w:rsidRPr="00792B36" w14:paraId="18A64074" w14:textId="77777777" w:rsidTr="00A24459">
        <w:trPr>
          <w:trHeight w:val="340"/>
        </w:trPr>
        <w:tc>
          <w:tcPr>
            <w:tcW w:w="613" w:type="dxa"/>
            <w:vAlign w:val="center"/>
          </w:tcPr>
          <w:p w14:paraId="7E95906A" w14:textId="77777777" w:rsidR="009A0A63" w:rsidRPr="00792B36" w:rsidRDefault="009A0A63" w:rsidP="00A24459">
            <w:pPr>
              <w:contextualSpacing/>
              <w:jc w:val="center"/>
              <w:rPr>
                <w:sz w:val="24"/>
                <w:szCs w:val="24"/>
              </w:rPr>
            </w:pPr>
            <w:r w:rsidRPr="00792B36">
              <w:rPr>
                <w:b/>
                <w:bCs/>
                <w:color w:val="000000"/>
                <w:sz w:val="24"/>
                <w:szCs w:val="24"/>
              </w:rPr>
              <w:lastRenderedPageBreak/>
              <w:t>2017</w:t>
            </w:r>
          </w:p>
        </w:tc>
        <w:tc>
          <w:tcPr>
            <w:tcW w:w="1169" w:type="dxa"/>
            <w:vAlign w:val="center"/>
          </w:tcPr>
          <w:p w14:paraId="4AD221DA" w14:textId="77777777" w:rsidR="009A0A63" w:rsidRPr="00792B36" w:rsidRDefault="009A0A63" w:rsidP="00A24459">
            <w:pPr>
              <w:contextualSpacing/>
              <w:jc w:val="center"/>
              <w:rPr>
                <w:sz w:val="24"/>
                <w:szCs w:val="24"/>
              </w:rPr>
            </w:pPr>
            <w:r w:rsidRPr="00792B36">
              <w:rPr>
                <w:color w:val="000000"/>
                <w:sz w:val="24"/>
                <w:szCs w:val="24"/>
              </w:rPr>
              <w:t>295.08</w:t>
            </w:r>
          </w:p>
        </w:tc>
        <w:tc>
          <w:tcPr>
            <w:tcW w:w="1098" w:type="dxa"/>
            <w:vAlign w:val="center"/>
          </w:tcPr>
          <w:p w14:paraId="7A697EE2" w14:textId="77777777" w:rsidR="009A0A63" w:rsidRPr="00792B36" w:rsidRDefault="009A0A63" w:rsidP="00A24459">
            <w:pPr>
              <w:contextualSpacing/>
              <w:jc w:val="center"/>
              <w:rPr>
                <w:sz w:val="24"/>
                <w:szCs w:val="24"/>
              </w:rPr>
            </w:pPr>
            <w:r w:rsidRPr="00792B36">
              <w:rPr>
                <w:color w:val="000000"/>
                <w:sz w:val="24"/>
                <w:szCs w:val="24"/>
              </w:rPr>
              <w:t>10,274.46</w:t>
            </w:r>
          </w:p>
        </w:tc>
        <w:tc>
          <w:tcPr>
            <w:tcW w:w="988" w:type="dxa"/>
            <w:vAlign w:val="center"/>
          </w:tcPr>
          <w:p w14:paraId="3C35AA60" w14:textId="77777777" w:rsidR="009A0A63" w:rsidRPr="00792B36" w:rsidRDefault="009A0A63" w:rsidP="00A24459">
            <w:pPr>
              <w:contextualSpacing/>
              <w:jc w:val="center"/>
              <w:rPr>
                <w:sz w:val="24"/>
                <w:szCs w:val="24"/>
              </w:rPr>
            </w:pPr>
            <w:r w:rsidRPr="00792B36">
              <w:rPr>
                <w:color w:val="000000"/>
                <w:sz w:val="24"/>
                <w:szCs w:val="24"/>
              </w:rPr>
              <w:t>2,215.68</w:t>
            </w:r>
          </w:p>
        </w:tc>
        <w:tc>
          <w:tcPr>
            <w:tcW w:w="1098" w:type="dxa"/>
            <w:vAlign w:val="center"/>
          </w:tcPr>
          <w:p w14:paraId="71D5EB88" w14:textId="77777777" w:rsidR="009A0A63" w:rsidRPr="00792B36" w:rsidRDefault="009A0A63" w:rsidP="00A24459">
            <w:pPr>
              <w:contextualSpacing/>
              <w:jc w:val="center"/>
              <w:rPr>
                <w:sz w:val="24"/>
                <w:szCs w:val="24"/>
              </w:rPr>
            </w:pPr>
            <w:r w:rsidRPr="00792B36">
              <w:rPr>
                <w:color w:val="000000"/>
                <w:sz w:val="24"/>
                <w:szCs w:val="24"/>
              </w:rPr>
              <w:t>12,724.79</w:t>
            </w:r>
          </w:p>
        </w:tc>
        <w:tc>
          <w:tcPr>
            <w:tcW w:w="1169" w:type="dxa"/>
            <w:vAlign w:val="center"/>
          </w:tcPr>
          <w:p w14:paraId="36B9A543" w14:textId="77777777" w:rsidR="009A0A63" w:rsidRPr="00792B36" w:rsidRDefault="009A0A63" w:rsidP="00A24459">
            <w:pPr>
              <w:contextualSpacing/>
              <w:jc w:val="center"/>
              <w:rPr>
                <w:sz w:val="24"/>
                <w:szCs w:val="24"/>
              </w:rPr>
            </w:pPr>
            <w:r w:rsidRPr="00792B36">
              <w:rPr>
                <w:color w:val="000000"/>
                <w:sz w:val="24"/>
                <w:szCs w:val="24"/>
              </w:rPr>
              <w:t>1,412.78</w:t>
            </w:r>
          </w:p>
        </w:tc>
        <w:tc>
          <w:tcPr>
            <w:tcW w:w="1020" w:type="dxa"/>
            <w:vAlign w:val="center"/>
          </w:tcPr>
          <w:p w14:paraId="0B05C18D" w14:textId="77777777" w:rsidR="009A0A63" w:rsidRPr="00792B36" w:rsidRDefault="009A0A63" w:rsidP="00A24459">
            <w:pPr>
              <w:contextualSpacing/>
              <w:jc w:val="center"/>
              <w:rPr>
                <w:sz w:val="24"/>
                <w:szCs w:val="24"/>
              </w:rPr>
            </w:pPr>
            <w:r w:rsidRPr="00792B36">
              <w:rPr>
                <w:color w:val="000000"/>
                <w:sz w:val="24"/>
                <w:szCs w:val="24"/>
              </w:rPr>
              <w:t>303.41</w:t>
            </w:r>
          </w:p>
        </w:tc>
        <w:tc>
          <w:tcPr>
            <w:tcW w:w="951" w:type="dxa"/>
            <w:vAlign w:val="center"/>
          </w:tcPr>
          <w:p w14:paraId="76DEF943" w14:textId="77777777" w:rsidR="009A0A63" w:rsidRPr="00792B36" w:rsidRDefault="009A0A63" w:rsidP="00A24459">
            <w:pPr>
              <w:contextualSpacing/>
              <w:jc w:val="center"/>
              <w:rPr>
                <w:sz w:val="24"/>
                <w:szCs w:val="24"/>
              </w:rPr>
            </w:pPr>
            <w:r w:rsidRPr="00792B36">
              <w:rPr>
                <w:color w:val="000000"/>
                <w:sz w:val="24"/>
                <w:szCs w:val="24"/>
              </w:rPr>
              <w:t>1,518.39</w:t>
            </w:r>
          </w:p>
        </w:tc>
        <w:tc>
          <w:tcPr>
            <w:tcW w:w="911" w:type="dxa"/>
            <w:vAlign w:val="center"/>
          </w:tcPr>
          <w:p w14:paraId="630D84A3" w14:textId="77777777" w:rsidR="009A0A63" w:rsidRPr="00792B36" w:rsidRDefault="009A0A63" w:rsidP="00A24459">
            <w:pPr>
              <w:contextualSpacing/>
              <w:jc w:val="center"/>
              <w:rPr>
                <w:sz w:val="24"/>
                <w:szCs w:val="24"/>
              </w:rPr>
            </w:pPr>
            <w:r w:rsidRPr="00792B36">
              <w:rPr>
                <w:color w:val="000000"/>
                <w:sz w:val="24"/>
                <w:szCs w:val="24"/>
              </w:rPr>
              <w:t>3,232.80</w:t>
            </w:r>
          </w:p>
        </w:tc>
      </w:tr>
      <w:tr w:rsidR="009A0A63" w:rsidRPr="00792B36" w14:paraId="240718EE" w14:textId="77777777" w:rsidTr="00A24459">
        <w:trPr>
          <w:trHeight w:val="340"/>
        </w:trPr>
        <w:tc>
          <w:tcPr>
            <w:tcW w:w="613" w:type="dxa"/>
            <w:vAlign w:val="center"/>
          </w:tcPr>
          <w:p w14:paraId="3D035072" w14:textId="77777777" w:rsidR="009A0A63" w:rsidRPr="00792B36" w:rsidRDefault="009A0A63" w:rsidP="00A24459">
            <w:pPr>
              <w:contextualSpacing/>
              <w:jc w:val="center"/>
              <w:rPr>
                <w:sz w:val="24"/>
                <w:szCs w:val="24"/>
              </w:rPr>
            </w:pPr>
            <w:r w:rsidRPr="00792B36">
              <w:rPr>
                <w:b/>
                <w:bCs/>
                <w:color w:val="000000"/>
                <w:sz w:val="24"/>
                <w:szCs w:val="24"/>
              </w:rPr>
              <w:t>2018</w:t>
            </w:r>
          </w:p>
        </w:tc>
        <w:tc>
          <w:tcPr>
            <w:tcW w:w="1169" w:type="dxa"/>
            <w:vAlign w:val="center"/>
          </w:tcPr>
          <w:p w14:paraId="433208FE" w14:textId="77777777" w:rsidR="009A0A63" w:rsidRPr="00792B36" w:rsidRDefault="009A0A63" w:rsidP="00A24459">
            <w:pPr>
              <w:contextualSpacing/>
              <w:jc w:val="center"/>
              <w:rPr>
                <w:sz w:val="24"/>
                <w:szCs w:val="24"/>
              </w:rPr>
            </w:pPr>
            <w:r w:rsidRPr="00792B36">
              <w:rPr>
                <w:color w:val="000000"/>
                <w:sz w:val="24"/>
                <w:szCs w:val="24"/>
              </w:rPr>
              <w:t>257.97</w:t>
            </w:r>
          </w:p>
        </w:tc>
        <w:tc>
          <w:tcPr>
            <w:tcW w:w="1098" w:type="dxa"/>
            <w:vAlign w:val="center"/>
          </w:tcPr>
          <w:p w14:paraId="718FE178" w14:textId="77777777" w:rsidR="009A0A63" w:rsidRPr="00792B36" w:rsidRDefault="009A0A63" w:rsidP="00A24459">
            <w:pPr>
              <w:contextualSpacing/>
              <w:jc w:val="center"/>
              <w:rPr>
                <w:sz w:val="24"/>
                <w:szCs w:val="24"/>
              </w:rPr>
            </w:pPr>
            <w:r w:rsidRPr="00792B36">
              <w:rPr>
                <w:color w:val="000000"/>
                <w:sz w:val="24"/>
                <w:szCs w:val="24"/>
              </w:rPr>
              <w:t>9,900.57</w:t>
            </w:r>
          </w:p>
        </w:tc>
        <w:tc>
          <w:tcPr>
            <w:tcW w:w="988" w:type="dxa"/>
            <w:vAlign w:val="center"/>
          </w:tcPr>
          <w:p w14:paraId="37C9B9B2" w14:textId="77777777" w:rsidR="009A0A63" w:rsidRPr="00792B36" w:rsidRDefault="009A0A63" w:rsidP="00A24459">
            <w:pPr>
              <w:contextualSpacing/>
              <w:jc w:val="center"/>
              <w:rPr>
                <w:sz w:val="24"/>
                <w:szCs w:val="24"/>
              </w:rPr>
            </w:pPr>
            <w:r w:rsidRPr="00792B36">
              <w:rPr>
                <w:color w:val="000000"/>
                <w:sz w:val="24"/>
                <w:szCs w:val="24"/>
              </w:rPr>
              <w:t>2,293.56</w:t>
            </w:r>
          </w:p>
        </w:tc>
        <w:tc>
          <w:tcPr>
            <w:tcW w:w="1098" w:type="dxa"/>
            <w:vAlign w:val="center"/>
          </w:tcPr>
          <w:p w14:paraId="50E5BA4E" w14:textId="77777777" w:rsidR="009A0A63" w:rsidRPr="00792B36" w:rsidRDefault="009A0A63" w:rsidP="00A24459">
            <w:pPr>
              <w:contextualSpacing/>
              <w:jc w:val="center"/>
              <w:rPr>
                <w:sz w:val="24"/>
                <w:szCs w:val="24"/>
              </w:rPr>
            </w:pPr>
            <w:r w:rsidRPr="00792B36">
              <w:rPr>
                <w:color w:val="000000"/>
                <w:sz w:val="24"/>
                <w:szCs w:val="24"/>
              </w:rPr>
              <w:t>12,370.11</w:t>
            </w:r>
          </w:p>
        </w:tc>
        <w:tc>
          <w:tcPr>
            <w:tcW w:w="1169" w:type="dxa"/>
            <w:vAlign w:val="center"/>
          </w:tcPr>
          <w:p w14:paraId="1829179B" w14:textId="77777777" w:rsidR="009A0A63" w:rsidRPr="00792B36" w:rsidRDefault="009A0A63" w:rsidP="00A24459">
            <w:pPr>
              <w:contextualSpacing/>
              <w:jc w:val="center"/>
              <w:rPr>
                <w:sz w:val="24"/>
                <w:szCs w:val="24"/>
              </w:rPr>
            </w:pPr>
            <w:r w:rsidRPr="00792B36">
              <w:rPr>
                <w:color w:val="000000"/>
                <w:sz w:val="24"/>
                <w:szCs w:val="24"/>
              </w:rPr>
              <w:t>1,143.64</w:t>
            </w:r>
          </w:p>
        </w:tc>
        <w:tc>
          <w:tcPr>
            <w:tcW w:w="1020" w:type="dxa"/>
            <w:vAlign w:val="center"/>
          </w:tcPr>
          <w:p w14:paraId="7B7B63E8" w14:textId="77777777" w:rsidR="009A0A63" w:rsidRPr="00792B36" w:rsidRDefault="009A0A63" w:rsidP="00A24459">
            <w:pPr>
              <w:contextualSpacing/>
              <w:jc w:val="center"/>
              <w:rPr>
                <w:sz w:val="24"/>
                <w:szCs w:val="24"/>
              </w:rPr>
            </w:pPr>
            <w:r w:rsidRPr="00792B36">
              <w:rPr>
                <w:color w:val="000000"/>
                <w:sz w:val="24"/>
                <w:szCs w:val="24"/>
              </w:rPr>
              <w:t>274.20</w:t>
            </w:r>
          </w:p>
        </w:tc>
        <w:tc>
          <w:tcPr>
            <w:tcW w:w="951" w:type="dxa"/>
            <w:vAlign w:val="center"/>
          </w:tcPr>
          <w:p w14:paraId="47B4A9E0" w14:textId="77777777" w:rsidR="009A0A63" w:rsidRPr="00792B36" w:rsidRDefault="009A0A63" w:rsidP="00A24459">
            <w:pPr>
              <w:contextualSpacing/>
              <w:jc w:val="center"/>
              <w:rPr>
                <w:sz w:val="24"/>
                <w:szCs w:val="24"/>
              </w:rPr>
            </w:pPr>
            <w:r w:rsidRPr="00792B36">
              <w:rPr>
                <w:color w:val="000000"/>
                <w:sz w:val="24"/>
                <w:szCs w:val="24"/>
              </w:rPr>
              <w:t>1,449.79</w:t>
            </w:r>
          </w:p>
        </w:tc>
        <w:tc>
          <w:tcPr>
            <w:tcW w:w="911" w:type="dxa"/>
            <w:vAlign w:val="center"/>
          </w:tcPr>
          <w:p w14:paraId="78E5D41B" w14:textId="77777777" w:rsidR="009A0A63" w:rsidRPr="00792B36" w:rsidRDefault="009A0A63" w:rsidP="00A24459">
            <w:pPr>
              <w:contextualSpacing/>
              <w:jc w:val="center"/>
              <w:rPr>
                <w:sz w:val="24"/>
                <w:szCs w:val="24"/>
              </w:rPr>
            </w:pPr>
            <w:r w:rsidRPr="00792B36">
              <w:rPr>
                <w:color w:val="000000"/>
                <w:sz w:val="24"/>
                <w:szCs w:val="24"/>
              </w:rPr>
              <w:t>2,807.59</w:t>
            </w:r>
          </w:p>
        </w:tc>
      </w:tr>
    </w:tbl>
    <w:p w14:paraId="3F54255F" w14:textId="77777777" w:rsidR="009A0A63" w:rsidRPr="00792B36" w:rsidRDefault="009A0A63" w:rsidP="009A0A63">
      <w:pPr>
        <w:pBdr>
          <w:top w:val="nil"/>
          <w:left w:val="nil"/>
          <w:bottom w:val="nil"/>
          <w:right w:val="nil"/>
          <w:between w:val="nil"/>
        </w:pBdr>
        <w:spacing w:line="360" w:lineRule="auto"/>
        <w:contextualSpacing/>
        <w:rPr>
          <w:color w:val="000000" w:themeColor="text1"/>
          <w:sz w:val="24"/>
          <w:szCs w:val="24"/>
        </w:rPr>
      </w:pPr>
      <w:r w:rsidRPr="00792B36">
        <w:rPr>
          <w:color w:val="000000" w:themeColor="text1"/>
          <w:sz w:val="24"/>
          <w:szCs w:val="24"/>
        </w:rPr>
        <w:t xml:space="preserve">Source: Office of the National Economic and Social Development Council. 2025. GDP. </w:t>
      </w:r>
      <w:r w:rsidRPr="00792B36">
        <w:rPr>
          <w:sz w:val="24"/>
          <w:szCs w:val="24"/>
        </w:rPr>
        <w:fldChar w:fldCharType="begin"/>
      </w:r>
      <w:r w:rsidRPr="00792B36">
        <w:rPr>
          <w:sz w:val="24"/>
          <w:szCs w:val="24"/>
        </w:rPr>
        <w:instrText>HYPERLINK "https://www.nesdc.go.th/nesdb_en/more_news.php?cid=156&amp;filename=index"</w:instrText>
      </w:r>
      <w:r w:rsidRPr="00792B36">
        <w:rPr>
          <w:sz w:val="24"/>
          <w:szCs w:val="24"/>
        </w:rPr>
      </w:r>
      <w:r w:rsidRPr="00792B36">
        <w:rPr>
          <w:sz w:val="24"/>
          <w:szCs w:val="24"/>
        </w:rPr>
        <w:fldChar w:fldCharType="separate"/>
      </w:r>
      <w:r w:rsidRPr="00792B36">
        <w:rPr>
          <w:rStyle w:val="Hyperlink"/>
          <w:color w:val="000000" w:themeColor="text1"/>
          <w:sz w:val="24"/>
          <w:szCs w:val="24"/>
        </w:rPr>
        <w:t>https://www.nesdc.go.th/nesdb_en/more_news.php?cid=156&amp;filename=index</w:t>
      </w:r>
      <w:r w:rsidRPr="00792B36">
        <w:rPr>
          <w:sz w:val="24"/>
          <w:szCs w:val="24"/>
        </w:rPr>
        <w:fldChar w:fldCharType="end"/>
      </w:r>
      <w:r w:rsidRPr="00792B36">
        <w:rPr>
          <w:color w:val="000000" w:themeColor="text1"/>
          <w:sz w:val="24"/>
          <w:szCs w:val="24"/>
        </w:rPr>
        <w:t xml:space="preserve"> (Accessed 21 Apr 2025)</w:t>
      </w:r>
    </w:p>
    <w:p w14:paraId="1A2A8F39" w14:textId="77777777" w:rsidR="009A0A63" w:rsidRPr="00792B36" w:rsidRDefault="009A0A63" w:rsidP="009A0A63">
      <w:pPr>
        <w:spacing w:line="360" w:lineRule="auto"/>
        <w:rPr>
          <w:sz w:val="24"/>
          <w:szCs w:val="24"/>
        </w:rPr>
      </w:pPr>
    </w:p>
    <w:p w14:paraId="6DC52BC9" w14:textId="77777777" w:rsidR="009A0A63" w:rsidRPr="00792B36" w:rsidRDefault="009A0A63" w:rsidP="009A0A63">
      <w:pPr>
        <w:spacing w:line="360" w:lineRule="auto"/>
        <w:contextualSpacing/>
        <w:rPr>
          <w:color w:val="000000" w:themeColor="text1"/>
          <w:sz w:val="24"/>
          <w:szCs w:val="24"/>
        </w:rPr>
      </w:pPr>
      <w:r w:rsidRPr="00792B36">
        <w:rPr>
          <w:b/>
          <w:bCs/>
          <w:sz w:val="24"/>
          <w:szCs w:val="24"/>
        </w:rPr>
        <w:t xml:space="preserve">Annex 2.12 </w:t>
      </w:r>
      <w:r w:rsidRPr="00792B36">
        <w:rPr>
          <w:color w:val="000000" w:themeColor="text1"/>
          <w:sz w:val="24"/>
          <w:szCs w:val="24"/>
        </w:rPr>
        <w:t>Cont.</w:t>
      </w:r>
    </w:p>
    <w:tbl>
      <w:tblPr>
        <w:tblStyle w:val="TableGrid"/>
        <w:tblW w:w="0" w:type="auto"/>
        <w:tblLook w:val="04A0" w:firstRow="1" w:lastRow="0" w:firstColumn="1" w:lastColumn="0" w:noHBand="0" w:noVBand="1"/>
      </w:tblPr>
      <w:tblGrid>
        <w:gridCol w:w="631"/>
        <w:gridCol w:w="1211"/>
        <w:gridCol w:w="1056"/>
        <w:gridCol w:w="984"/>
        <w:gridCol w:w="942"/>
        <w:gridCol w:w="1211"/>
        <w:gridCol w:w="1056"/>
        <w:gridCol w:w="984"/>
        <w:gridCol w:w="942"/>
      </w:tblGrid>
      <w:tr w:rsidR="009A0A63" w:rsidRPr="00792B36" w14:paraId="5D3ECC80" w14:textId="77777777" w:rsidTr="00A24459">
        <w:trPr>
          <w:trHeight w:val="340"/>
        </w:trPr>
        <w:tc>
          <w:tcPr>
            <w:tcW w:w="617" w:type="dxa"/>
            <w:vMerge w:val="restart"/>
            <w:vAlign w:val="center"/>
          </w:tcPr>
          <w:p w14:paraId="402DB30F" w14:textId="77777777" w:rsidR="009A0A63" w:rsidRPr="00792B36" w:rsidRDefault="009A0A63" w:rsidP="00A24459">
            <w:pPr>
              <w:contextualSpacing/>
              <w:jc w:val="center"/>
              <w:rPr>
                <w:b/>
                <w:bCs/>
                <w:sz w:val="24"/>
                <w:szCs w:val="24"/>
              </w:rPr>
            </w:pPr>
            <w:r w:rsidRPr="00792B36">
              <w:rPr>
                <w:b/>
                <w:bCs/>
                <w:color w:val="000000"/>
                <w:sz w:val="24"/>
                <w:szCs w:val="24"/>
              </w:rPr>
              <w:t>Year</w:t>
            </w:r>
          </w:p>
        </w:tc>
        <w:tc>
          <w:tcPr>
            <w:tcW w:w="4339" w:type="dxa"/>
            <w:gridSpan w:val="4"/>
            <w:vAlign w:val="center"/>
          </w:tcPr>
          <w:p w14:paraId="343B15A6" w14:textId="77777777" w:rsidR="009A0A63" w:rsidRPr="00792B36" w:rsidRDefault="009A0A63" w:rsidP="00A24459">
            <w:pPr>
              <w:contextualSpacing/>
              <w:jc w:val="center"/>
              <w:rPr>
                <w:b/>
                <w:bCs/>
                <w:sz w:val="24"/>
                <w:szCs w:val="24"/>
              </w:rPr>
            </w:pPr>
            <w:r w:rsidRPr="00792B36">
              <w:rPr>
                <w:b/>
                <w:bCs/>
                <w:sz w:val="24"/>
                <w:szCs w:val="24"/>
              </w:rPr>
              <w:t>Trat</w:t>
            </w:r>
          </w:p>
        </w:tc>
        <w:tc>
          <w:tcPr>
            <w:tcW w:w="4061" w:type="dxa"/>
            <w:gridSpan w:val="4"/>
            <w:vAlign w:val="center"/>
          </w:tcPr>
          <w:p w14:paraId="59BA5AEB" w14:textId="77777777" w:rsidR="009A0A63" w:rsidRPr="00792B36" w:rsidRDefault="009A0A63" w:rsidP="00A24459">
            <w:pPr>
              <w:contextualSpacing/>
              <w:jc w:val="center"/>
              <w:rPr>
                <w:b/>
                <w:bCs/>
                <w:sz w:val="24"/>
                <w:szCs w:val="24"/>
              </w:rPr>
            </w:pPr>
            <w:r w:rsidRPr="00792B36">
              <w:rPr>
                <w:b/>
                <w:bCs/>
                <w:sz w:val="24"/>
                <w:szCs w:val="24"/>
              </w:rPr>
              <w:t>Samut Prakan</w:t>
            </w:r>
          </w:p>
        </w:tc>
      </w:tr>
      <w:tr w:rsidR="009A0A63" w:rsidRPr="00792B36" w14:paraId="2D9F9A9E" w14:textId="77777777" w:rsidTr="00A24459">
        <w:trPr>
          <w:trHeight w:val="340"/>
        </w:trPr>
        <w:tc>
          <w:tcPr>
            <w:tcW w:w="617" w:type="dxa"/>
            <w:vMerge/>
            <w:vAlign w:val="center"/>
          </w:tcPr>
          <w:p w14:paraId="4D383041" w14:textId="77777777" w:rsidR="009A0A63" w:rsidRPr="00792B36" w:rsidRDefault="009A0A63" w:rsidP="00A24459">
            <w:pPr>
              <w:contextualSpacing/>
              <w:jc w:val="center"/>
              <w:rPr>
                <w:b/>
                <w:bCs/>
                <w:sz w:val="24"/>
                <w:szCs w:val="24"/>
              </w:rPr>
            </w:pPr>
          </w:p>
        </w:tc>
        <w:tc>
          <w:tcPr>
            <w:tcW w:w="1177" w:type="dxa"/>
            <w:vAlign w:val="center"/>
          </w:tcPr>
          <w:p w14:paraId="7F9FFAB6" w14:textId="77777777" w:rsidR="009A0A63" w:rsidRPr="00792B36" w:rsidRDefault="009A0A63" w:rsidP="00A24459">
            <w:pPr>
              <w:contextualSpacing/>
              <w:jc w:val="center"/>
              <w:rPr>
                <w:b/>
                <w:bCs/>
                <w:sz w:val="24"/>
                <w:szCs w:val="24"/>
              </w:rPr>
            </w:pPr>
            <w:r w:rsidRPr="00792B36">
              <w:rPr>
                <w:b/>
                <w:bCs/>
                <w:color w:val="000000"/>
                <w:sz w:val="24"/>
                <w:szCs w:val="24"/>
              </w:rPr>
              <w:t>Agriculture</w:t>
            </w:r>
          </w:p>
        </w:tc>
        <w:tc>
          <w:tcPr>
            <w:tcW w:w="1095" w:type="dxa"/>
            <w:vAlign w:val="center"/>
          </w:tcPr>
          <w:p w14:paraId="376214CC" w14:textId="77777777" w:rsidR="009A0A63" w:rsidRPr="00792B36" w:rsidRDefault="009A0A63" w:rsidP="00A24459">
            <w:pPr>
              <w:contextualSpacing/>
              <w:jc w:val="center"/>
              <w:rPr>
                <w:b/>
                <w:bCs/>
                <w:sz w:val="24"/>
                <w:szCs w:val="24"/>
              </w:rPr>
            </w:pPr>
            <w:r w:rsidRPr="00792B36">
              <w:rPr>
                <w:b/>
                <w:bCs/>
                <w:color w:val="000000"/>
                <w:sz w:val="24"/>
                <w:szCs w:val="24"/>
              </w:rPr>
              <w:t>Industrial</w:t>
            </w:r>
          </w:p>
        </w:tc>
        <w:tc>
          <w:tcPr>
            <w:tcW w:w="987" w:type="dxa"/>
            <w:vAlign w:val="center"/>
          </w:tcPr>
          <w:p w14:paraId="48C4B98A" w14:textId="77777777" w:rsidR="009A0A63" w:rsidRPr="00792B36" w:rsidRDefault="009A0A63" w:rsidP="00A24459">
            <w:pPr>
              <w:contextualSpacing/>
              <w:jc w:val="center"/>
              <w:rPr>
                <w:b/>
                <w:bCs/>
                <w:sz w:val="24"/>
                <w:szCs w:val="24"/>
              </w:rPr>
            </w:pPr>
            <w:r w:rsidRPr="00792B36">
              <w:rPr>
                <w:b/>
                <w:bCs/>
                <w:color w:val="000000"/>
                <w:sz w:val="24"/>
                <w:szCs w:val="24"/>
              </w:rPr>
              <w:t>Services</w:t>
            </w:r>
          </w:p>
        </w:tc>
        <w:tc>
          <w:tcPr>
            <w:tcW w:w="1080" w:type="dxa"/>
            <w:vAlign w:val="center"/>
          </w:tcPr>
          <w:p w14:paraId="3E0EBE65" w14:textId="77777777" w:rsidR="009A0A63" w:rsidRPr="00792B36" w:rsidRDefault="009A0A63" w:rsidP="00A24459">
            <w:pPr>
              <w:contextualSpacing/>
              <w:jc w:val="center"/>
              <w:rPr>
                <w:b/>
                <w:bCs/>
                <w:sz w:val="24"/>
                <w:szCs w:val="24"/>
              </w:rPr>
            </w:pPr>
            <w:r w:rsidRPr="00792B36">
              <w:rPr>
                <w:b/>
                <w:bCs/>
                <w:color w:val="000000"/>
                <w:sz w:val="24"/>
                <w:szCs w:val="24"/>
              </w:rPr>
              <w:t>GPP</w:t>
            </w:r>
          </w:p>
        </w:tc>
        <w:tc>
          <w:tcPr>
            <w:tcW w:w="1177" w:type="dxa"/>
            <w:vAlign w:val="center"/>
          </w:tcPr>
          <w:p w14:paraId="56AB0BAC" w14:textId="77777777" w:rsidR="009A0A63" w:rsidRPr="00792B36" w:rsidRDefault="009A0A63" w:rsidP="00A24459">
            <w:pPr>
              <w:contextualSpacing/>
              <w:jc w:val="center"/>
              <w:rPr>
                <w:b/>
                <w:bCs/>
                <w:sz w:val="24"/>
                <w:szCs w:val="24"/>
              </w:rPr>
            </w:pPr>
            <w:r w:rsidRPr="00792B36">
              <w:rPr>
                <w:b/>
                <w:bCs/>
                <w:color w:val="000000"/>
                <w:sz w:val="24"/>
                <w:szCs w:val="24"/>
              </w:rPr>
              <w:t>Agriculture</w:t>
            </w:r>
          </w:p>
        </w:tc>
        <w:tc>
          <w:tcPr>
            <w:tcW w:w="1027" w:type="dxa"/>
            <w:vAlign w:val="center"/>
          </w:tcPr>
          <w:p w14:paraId="7AEB9D4C" w14:textId="77777777" w:rsidR="009A0A63" w:rsidRPr="00792B36" w:rsidRDefault="009A0A63" w:rsidP="00A24459">
            <w:pPr>
              <w:contextualSpacing/>
              <w:jc w:val="center"/>
              <w:rPr>
                <w:b/>
                <w:bCs/>
                <w:sz w:val="24"/>
                <w:szCs w:val="24"/>
              </w:rPr>
            </w:pPr>
            <w:r w:rsidRPr="00792B36">
              <w:rPr>
                <w:b/>
                <w:bCs/>
                <w:color w:val="000000"/>
                <w:sz w:val="24"/>
                <w:szCs w:val="24"/>
              </w:rPr>
              <w:t>Industrial</w:t>
            </w:r>
          </w:p>
        </w:tc>
        <w:tc>
          <w:tcPr>
            <w:tcW w:w="957" w:type="dxa"/>
            <w:vAlign w:val="center"/>
          </w:tcPr>
          <w:p w14:paraId="3BFE6851" w14:textId="77777777" w:rsidR="009A0A63" w:rsidRPr="00792B36" w:rsidRDefault="009A0A63" w:rsidP="00A24459">
            <w:pPr>
              <w:contextualSpacing/>
              <w:jc w:val="center"/>
              <w:rPr>
                <w:b/>
                <w:bCs/>
                <w:sz w:val="24"/>
                <w:szCs w:val="24"/>
              </w:rPr>
            </w:pPr>
            <w:r w:rsidRPr="00792B36">
              <w:rPr>
                <w:b/>
                <w:bCs/>
                <w:color w:val="000000"/>
                <w:sz w:val="24"/>
                <w:szCs w:val="24"/>
              </w:rPr>
              <w:t>Services</w:t>
            </w:r>
          </w:p>
        </w:tc>
        <w:tc>
          <w:tcPr>
            <w:tcW w:w="900" w:type="dxa"/>
            <w:vAlign w:val="center"/>
          </w:tcPr>
          <w:p w14:paraId="29F4C112" w14:textId="77777777" w:rsidR="009A0A63" w:rsidRPr="00792B36" w:rsidRDefault="009A0A63" w:rsidP="00A24459">
            <w:pPr>
              <w:contextualSpacing/>
              <w:jc w:val="center"/>
              <w:rPr>
                <w:b/>
                <w:bCs/>
                <w:sz w:val="24"/>
                <w:szCs w:val="24"/>
              </w:rPr>
            </w:pPr>
            <w:r w:rsidRPr="00792B36">
              <w:rPr>
                <w:b/>
                <w:bCs/>
                <w:sz w:val="24"/>
                <w:szCs w:val="24"/>
              </w:rPr>
              <w:t>GPP</w:t>
            </w:r>
          </w:p>
        </w:tc>
      </w:tr>
      <w:tr w:rsidR="009A0A63" w:rsidRPr="00792B36" w14:paraId="5A101891" w14:textId="77777777" w:rsidTr="00A24459">
        <w:trPr>
          <w:trHeight w:val="340"/>
        </w:trPr>
        <w:tc>
          <w:tcPr>
            <w:tcW w:w="617" w:type="dxa"/>
            <w:vAlign w:val="center"/>
          </w:tcPr>
          <w:p w14:paraId="5EFB7963" w14:textId="77777777" w:rsidR="009A0A63" w:rsidRPr="00792B36" w:rsidRDefault="009A0A63" w:rsidP="00A24459">
            <w:pPr>
              <w:contextualSpacing/>
              <w:jc w:val="center"/>
              <w:rPr>
                <w:sz w:val="24"/>
                <w:szCs w:val="24"/>
              </w:rPr>
            </w:pPr>
            <w:r w:rsidRPr="00792B36">
              <w:rPr>
                <w:b/>
                <w:bCs/>
                <w:color w:val="000000"/>
                <w:sz w:val="24"/>
                <w:szCs w:val="24"/>
              </w:rPr>
              <w:t>1995</w:t>
            </w:r>
          </w:p>
        </w:tc>
        <w:tc>
          <w:tcPr>
            <w:tcW w:w="1177" w:type="dxa"/>
            <w:vAlign w:val="center"/>
          </w:tcPr>
          <w:p w14:paraId="706CAA92" w14:textId="77777777" w:rsidR="009A0A63" w:rsidRPr="00792B36" w:rsidRDefault="009A0A63" w:rsidP="00A24459">
            <w:pPr>
              <w:contextualSpacing/>
              <w:jc w:val="center"/>
              <w:rPr>
                <w:sz w:val="24"/>
                <w:szCs w:val="24"/>
              </w:rPr>
            </w:pPr>
            <w:r w:rsidRPr="00792B36">
              <w:rPr>
                <w:color w:val="000000"/>
                <w:sz w:val="24"/>
                <w:szCs w:val="24"/>
              </w:rPr>
              <w:t>1,130.38</w:t>
            </w:r>
          </w:p>
        </w:tc>
        <w:tc>
          <w:tcPr>
            <w:tcW w:w="1095" w:type="dxa"/>
            <w:vAlign w:val="center"/>
          </w:tcPr>
          <w:p w14:paraId="13D89A8D" w14:textId="77777777" w:rsidR="009A0A63" w:rsidRPr="00792B36" w:rsidRDefault="009A0A63" w:rsidP="00A24459">
            <w:pPr>
              <w:contextualSpacing/>
              <w:jc w:val="center"/>
              <w:rPr>
                <w:sz w:val="24"/>
                <w:szCs w:val="24"/>
              </w:rPr>
            </w:pPr>
            <w:r w:rsidRPr="00792B36">
              <w:rPr>
                <w:color w:val="000000"/>
                <w:sz w:val="24"/>
                <w:szCs w:val="24"/>
              </w:rPr>
              <w:t>100.06</w:t>
            </w:r>
          </w:p>
        </w:tc>
        <w:tc>
          <w:tcPr>
            <w:tcW w:w="987" w:type="dxa"/>
            <w:vAlign w:val="center"/>
          </w:tcPr>
          <w:p w14:paraId="77ADE245" w14:textId="77777777" w:rsidR="009A0A63" w:rsidRPr="00792B36" w:rsidRDefault="009A0A63" w:rsidP="00A24459">
            <w:pPr>
              <w:contextualSpacing/>
              <w:jc w:val="center"/>
              <w:rPr>
                <w:sz w:val="24"/>
                <w:szCs w:val="24"/>
              </w:rPr>
            </w:pPr>
            <w:r w:rsidRPr="00792B36">
              <w:rPr>
                <w:color w:val="000000"/>
                <w:sz w:val="24"/>
                <w:szCs w:val="24"/>
              </w:rPr>
              <w:t>831.18</w:t>
            </w:r>
          </w:p>
        </w:tc>
        <w:tc>
          <w:tcPr>
            <w:tcW w:w="1080" w:type="dxa"/>
            <w:vAlign w:val="center"/>
          </w:tcPr>
          <w:p w14:paraId="64CE631B" w14:textId="77777777" w:rsidR="009A0A63" w:rsidRPr="00792B36" w:rsidRDefault="009A0A63" w:rsidP="00A24459">
            <w:pPr>
              <w:contextualSpacing/>
              <w:jc w:val="center"/>
              <w:rPr>
                <w:sz w:val="24"/>
                <w:szCs w:val="24"/>
              </w:rPr>
            </w:pPr>
            <w:r w:rsidRPr="00792B36">
              <w:rPr>
                <w:color w:val="000000"/>
                <w:sz w:val="24"/>
                <w:szCs w:val="24"/>
              </w:rPr>
              <w:t>2,042.76</w:t>
            </w:r>
          </w:p>
        </w:tc>
        <w:tc>
          <w:tcPr>
            <w:tcW w:w="1177" w:type="dxa"/>
            <w:vAlign w:val="center"/>
          </w:tcPr>
          <w:p w14:paraId="5CBCEE2E" w14:textId="77777777" w:rsidR="009A0A63" w:rsidRPr="00792B36" w:rsidRDefault="009A0A63" w:rsidP="00A24459">
            <w:pPr>
              <w:contextualSpacing/>
              <w:jc w:val="center"/>
              <w:rPr>
                <w:sz w:val="24"/>
                <w:szCs w:val="24"/>
              </w:rPr>
            </w:pPr>
            <w:r w:rsidRPr="00792B36">
              <w:rPr>
                <w:color w:val="000000"/>
                <w:sz w:val="24"/>
                <w:szCs w:val="24"/>
              </w:rPr>
              <w:t>226.86</w:t>
            </w:r>
          </w:p>
        </w:tc>
        <w:tc>
          <w:tcPr>
            <w:tcW w:w="1027" w:type="dxa"/>
            <w:vAlign w:val="center"/>
          </w:tcPr>
          <w:p w14:paraId="570A3FB7" w14:textId="77777777" w:rsidR="009A0A63" w:rsidRPr="00792B36" w:rsidRDefault="009A0A63" w:rsidP="00A24459">
            <w:pPr>
              <w:contextualSpacing/>
              <w:jc w:val="center"/>
              <w:rPr>
                <w:sz w:val="24"/>
                <w:szCs w:val="24"/>
              </w:rPr>
            </w:pPr>
            <w:r w:rsidRPr="00792B36">
              <w:rPr>
                <w:color w:val="000000"/>
                <w:sz w:val="24"/>
                <w:szCs w:val="24"/>
              </w:rPr>
              <w:t>3,458.42</w:t>
            </w:r>
          </w:p>
        </w:tc>
        <w:tc>
          <w:tcPr>
            <w:tcW w:w="957" w:type="dxa"/>
            <w:vAlign w:val="center"/>
          </w:tcPr>
          <w:p w14:paraId="3F3B23A0" w14:textId="77777777" w:rsidR="009A0A63" w:rsidRPr="00792B36" w:rsidRDefault="009A0A63" w:rsidP="00A24459">
            <w:pPr>
              <w:contextualSpacing/>
              <w:jc w:val="center"/>
              <w:rPr>
                <w:sz w:val="24"/>
                <w:szCs w:val="24"/>
              </w:rPr>
            </w:pPr>
            <w:r w:rsidRPr="00792B36">
              <w:rPr>
                <w:color w:val="000000"/>
                <w:sz w:val="24"/>
                <w:szCs w:val="24"/>
              </w:rPr>
              <w:t>2,357.10</w:t>
            </w:r>
          </w:p>
        </w:tc>
        <w:tc>
          <w:tcPr>
            <w:tcW w:w="900" w:type="dxa"/>
            <w:vAlign w:val="center"/>
          </w:tcPr>
          <w:p w14:paraId="5AD28A4A" w14:textId="77777777" w:rsidR="009A0A63" w:rsidRPr="00792B36" w:rsidRDefault="009A0A63" w:rsidP="00A24459">
            <w:pPr>
              <w:contextualSpacing/>
              <w:jc w:val="center"/>
              <w:rPr>
                <w:sz w:val="24"/>
                <w:szCs w:val="24"/>
              </w:rPr>
            </w:pPr>
            <w:r w:rsidRPr="00792B36">
              <w:rPr>
                <w:color w:val="000000"/>
                <w:sz w:val="24"/>
                <w:szCs w:val="24"/>
              </w:rPr>
              <w:t>6,043.41</w:t>
            </w:r>
          </w:p>
        </w:tc>
      </w:tr>
      <w:tr w:rsidR="009A0A63" w:rsidRPr="00792B36" w14:paraId="5D7DB231" w14:textId="77777777" w:rsidTr="00A24459">
        <w:trPr>
          <w:trHeight w:val="340"/>
        </w:trPr>
        <w:tc>
          <w:tcPr>
            <w:tcW w:w="617" w:type="dxa"/>
            <w:vAlign w:val="center"/>
          </w:tcPr>
          <w:p w14:paraId="368B4ACB" w14:textId="77777777" w:rsidR="009A0A63" w:rsidRPr="00792B36" w:rsidRDefault="009A0A63" w:rsidP="00A24459">
            <w:pPr>
              <w:contextualSpacing/>
              <w:jc w:val="center"/>
              <w:rPr>
                <w:sz w:val="24"/>
                <w:szCs w:val="24"/>
              </w:rPr>
            </w:pPr>
            <w:r w:rsidRPr="00792B36">
              <w:rPr>
                <w:b/>
                <w:bCs/>
                <w:color w:val="000000"/>
                <w:sz w:val="24"/>
                <w:szCs w:val="24"/>
              </w:rPr>
              <w:t>1996</w:t>
            </w:r>
          </w:p>
        </w:tc>
        <w:tc>
          <w:tcPr>
            <w:tcW w:w="1177" w:type="dxa"/>
            <w:vAlign w:val="center"/>
          </w:tcPr>
          <w:p w14:paraId="18C1189A" w14:textId="77777777" w:rsidR="009A0A63" w:rsidRPr="00792B36" w:rsidRDefault="009A0A63" w:rsidP="00A24459">
            <w:pPr>
              <w:contextualSpacing/>
              <w:jc w:val="center"/>
              <w:rPr>
                <w:sz w:val="24"/>
                <w:szCs w:val="24"/>
              </w:rPr>
            </w:pPr>
            <w:r w:rsidRPr="00792B36">
              <w:rPr>
                <w:color w:val="000000"/>
                <w:sz w:val="24"/>
                <w:szCs w:val="24"/>
              </w:rPr>
              <w:t>1,114.20</w:t>
            </w:r>
          </w:p>
        </w:tc>
        <w:tc>
          <w:tcPr>
            <w:tcW w:w="1095" w:type="dxa"/>
            <w:vAlign w:val="center"/>
          </w:tcPr>
          <w:p w14:paraId="42D99108" w14:textId="77777777" w:rsidR="009A0A63" w:rsidRPr="00792B36" w:rsidRDefault="009A0A63" w:rsidP="00A24459">
            <w:pPr>
              <w:contextualSpacing/>
              <w:jc w:val="center"/>
              <w:rPr>
                <w:sz w:val="24"/>
                <w:szCs w:val="24"/>
              </w:rPr>
            </w:pPr>
            <w:r w:rsidRPr="00792B36">
              <w:rPr>
                <w:color w:val="000000"/>
                <w:sz w:val="24"/>
                <w:szCs w:val="24"/>
              </w:rPr>
              <w:t>107.95</w:t>
            </w:r>
          </w:p>
        </w:tc>
        <w:tc>
          <w:tcPr>
            <w:tcW w:w="987" w:type="dxa"/>
            <w:vAlign w:val="center"/>
          </w:tcPr>
          <w:p w14:paraId="2F9DA584" w14:textId="77777777" w:rsidR="009A0A63" w:rsidRPr="00792B36" w:rsidRDefault="009A0A63" w:rsidP="00A24459">
            <w:pPr>
              <w:contextualSpacing/>
              <w:jc w:val="center"/>
              <w:rPr>
                <w:sz w:val="24"/>
                <w:szCs w:val="24"/>
              </w:rPr>
            </w:pPr>
            <w:r w:rsidRPr="00792B36">
              <w:rPr>
                <w:color w:val="000000"/>
                <w:sz w:val="24"/>
                <w:szCs w:val="24"/>
              </w:rPr>
              <w:t>815.73</w:t>
            </w:r>
          </w:p>
        </w:tc>
        <w:tc>
          <w:tcPr>
            <w:tcW w:w="1080" w:type="dxa"/>
            <w:vAlign w:val="center"/>
          </w:tcPr>
          <w:p w14:paraId="4DE388FA" w14:textId="77777777" w:rsidR="009A0A63" w:rsidRPr="00792B36" w:rsidRDefault="009A0A63" w:rsidP="00A24459">
            <w:pPr>
              <w:contextualSpacing/>
              <w:jc w:val="center"/>
              <w:rPr>
                <w:sz w:val="24"/>
                <w:szCs w:val="24"/>
              </w:rPr>
            </w:pPr>
            <w:r w:rsidRPr="00792B36">
              <w:rPr>
                <w:color w:val="000000"/>
                <w:sz w:val="24"/>
                <w:szCs w:val="24"/>
              </w:rPr>
              <w:t>2,019.92</w:t>
            </w:r>
          </w:p>
        </w:tc>
        <w:tc>
          <w:tcPr>
            <w:tcW w:w="1177" w:type="dxa"/>
            <w:vAlign w:val="center"/>
          </w:tcPr>
          <w:p w14:paraId="2D0AB85C" w14:textId="77777777" w:rsidR="009A0A63" w:rsidRPr="00792B36" w:rsidRDefault="009A0A63" w:rsidP="00A24459">
            <w:pPr>
              <w:contextualSpacing/>
              <w:jc w:val="center"/>
              <w:rPr>
                <w:sz w:val="24"/>
                <w:szCs w:val="24"/>
              </w:rPr>
            </w:pPr>
            <w:r w:rsidRPr="00792B36">
              <w:rPr>
                <w:color w:val="000000"/>
                <w:sz w:val="24"/>
                <w:szCs w:val="24"/>
              </w:rPr>
              <w:t>225.90</w:t>
            </w:r>
          </w:p>
        </w:tc>
        <w:tc>
          <w:tcPr>
            <w:tcW w:w="1027" w:type="dxa"/>
            <w:vAlign w:val="center"/>
          </w:tcPr>
          <w:p w14:paraId="0F4F7D96" w14:textId="77777777" w:rsidR="009A0A63" w:rsidRPr="00792B36" w:rsidRDefault="009A0A63" w:rsidP="00A24459">
            <w:pPr>
              <w:contextualSpacing/>
              <w:jc w:val="center"/>
              <w:rPr>
                <w:sz w:val="24"/>
                <w:szCs w:val="24"/>
              </w:rPr>
            </w:pPr>
            <w:r w:rsidRPr="00792B36">
              <w:rPr>
                <w:color w:val="000000"/>
                <w:sz w:val="24"/>
                <w:szCs w:val="24"/>
              </w:rPr>
              <w:t>3,501.69</w:t>
            </w:r>
          </w:p>
        </w:tc>
        <w:tc>
          <w:tcPr>
            <w:tcW w:w="957" w:type="dxa"/>
            <w:vAlign w:val="center"/>
          </w:tcPr>
          <w:p w14:paraId="7791A700" w14:textId="77777777" w:rsidR="009A0A63" w:rsidRPr="00792B36" w:rsidRDefault="009A0A63" w:rsidP="00A24459">
            <w:pPr>
              <w:contextualSpacing/>
              <w:jc w:val="center"/>
              <w:rPr>
                <w:sz w:val="24"/>
                <w:szCs w:val="24"/>
              </w:rPr>
            </w:pPr>
            <w:r w:rsidRPr="00792B36">
              <w:rPr>
                <w:color w:val="000000"/>
                <w:sz w:val="24"/>
                <w:szCs w:val="24"/>
              </w:rPr>
              <w:t>2,363.08</w:t>
            </w:r>
          </w:p>
        </w:tc>
        <w:tc>
          <w:tcPr>
            <w:tcW w:w="900" w:type="dxa"/>
            <w:vAlign w:val="center"/>
          </w:tcPr>
          <w:p w14:paraId="29C09E17" w14:textId="77777777" w:rsidR="009A0A63" w:rsidRPr="00792B36" w:rsidRDefault="009A0A63" w:rsidP="00A24459">
            <w:pPr>
              <w:contextualSpacing/>
              <w:jc w:val="center"/>
              <w:rPr>
                <w:sz w:val="24"/>
                <w:szCs w:val="24"/>
              </w:rPr>
            </w:pPr>
            <w:r w:rsidRPr="00792B36">
              <w:rPr>
                <w:color w:val="000000"/>
                <w:sz w:val="24"/>
                <w:szCs w:val="24"/>
              </w:rPr>
              <w:t>6,092.64</w:t>
            </w:r>
          </w:p>
        </w:tc>
      </w:tr>
      <w:tr w:rsidR="009A0A63" w:rsidRPr="00792B36" w14:paraId="1106D759" w14:textId="77777777" w:rsidTr="00A24459">
        <w:trPr>
          <w:trHeight w:val="340"/>
        </w:trPr>
        <w:tc>
          <w:tcPr>
            <w:tcW w:w="617" w:type="dxa"/>
            <w:vAlign w:val="center"/>
          </w:tcPr>
          <w:p w14:paraId="3A29F9D6" w14:textId="77777777" w:rsidR="009A0A63" w:rsidRPr="00792B36" w:rsidRDefault="009A0A63" w:rsidP="00A24459">
            <w:pPr>
              <w:contextualSpacing/>
              <w:jc w:val="center"/>
              <w:rPr>
                <w:sz w:val="24"/>
                <w:szCs w:val="24"/>
              </w:rPr>
            </w:pPr>
            <w:r w:rsidRPr="00792B36">
              <w:rPr>
                <w:b/>
                <w:bCs/>
                <w:color w:val="000000"/>
                <w:sz w:val="24"/>
                <w:szCs w:val="24"/>
              </w:rPr>
              <w:t>1997</w:t>
            </w:r>
          </w:p>
        </w:tc>
        <w:tc>
          <w:tcPr>
            <w:tcW w:w="1177" w:type="dxa"/>
            <w:vAlign w:val="center"/>
          </w:tcPr>
          <w:p w14:paraId="77626021" w14:textId="77777777" w:rsidR="009A0A63" w:rsidRPr="00792B36" w:rsidRDefault="009A0A63" w:rsidP="00A24459">
            <w:pPr>
              <w:contextualSpacing/>
              <w:jc w:val="center"/>
              <w:rPr>
                <w:sz w:val="24"/>
                <w:szCs w:val="24"/>
              </w:rPr>
            </w:pPr>
            <w:r w:rsidRPr="00792B36">
              <w:rPr>
                <w:color w:val="000000"/>
                <w:sz w:val="24"/>
                <w:szCs w:val="24"/>
              </w:rPr>
              <w:t>1,087.69</w:t>
            </w:r>
          </w:p>
        </w:tc>
        <w:tc>
          <w:tcPr>
            <w:tcW w:w="1095" w:type="dxa"/>
            <w:vAlign w:val="center"/>
          </w:tcPr>
          <w:p w14:paraId="140EC694" w14:textId="77777777" w:rsidR="009A0A63" w:rsidRPr="00792B36" w:rsidRDefault="009A0A63" w:rsidP="00A24459">
            <w:pPr>
              <w:contextualSpacing/>
              <w:jc w:val="center"/>
              <w:rPr>
                <w:sz w:val="24"/>
                <w:szCs w:val="24"/>
              </w:rPr>
            </w:pPr>
            <w:r w:rsidRPr="00792B36">
              <w:rPr>
                <w:color w:val="000000"/>
                <w:sz w:val="24"/>
                <w:szCs w:val="24"/>
              </w:rPr>
              <w:t>108.61</w:t>
            </w:r>
          </w:p>
        </w:tc>
        <w:tc>
          <w:tcPr>
            <w:tcW w:w="987" w:type="dxa"/>
            <w:vAlign w:val="center"/>
          </w:tcPr>
          <w:p w14:paraId="15E4E785" w14:textId="77777777" w:rsidR="009A0A63" w:rsidRPr="00792B36" w:rsidRDefault="009A0A63" w:rsidP="00A24459">
            <w:pPr>
              <w:contextualSpacing/>
              <w:jc w:val="center"/>
              <w:rPr>
                <w:sz w:val="24"/>
                <w:szCs w:val="24"/>
              </w:rPr>
            </w:pPr>
            <w:r w:rsidRPr="00792B36">
              <w:rPr>
                <w:color w:val="000000"/>
                <w:sz w:val="24"/>
                <w:szCs w:val="24"/>
              </w:rPr>
              <w:t>855.92</w:t>
            </w:r>
          </w:p>
        </w:tc>
        <w:tc>
          <w:tcPr>
            <w:tcW w:w="1080" w:type="dxa"/>
            <w:vAlign w:val="center"/>
          </w:tcPr>
          <w:p w14:paraId="0992A54C" w14:textId="77777777" w:rsidR="009A0A63" w:rsidRPr="00792B36" w:rsidRDefault="009A0A63" w:rsidP="00A24459">
            <w:pPr>
              <w:contextualSpacing/>
              <w:jc w:val="center"/>
              <w:rPr>
                <w:sz w:val="24"/>
                <w:szCs w:val="24"/>
              </w:rPr>
            </w:pPr>
            <w:r w:rsidRPr="00792B36">
              <w:rPr>
                <w:color w:val="000000"/>
                <w:sz w:val="24"/>
                <w:szCs w:val="24"/>
              </w:rPr>
              <w:t>2,039.75</w:t>
            </w:r>
          </w:p>
        </w:tc>
        <w:tc>
          <w:tcPr>
            <w:tcW w:w="1177" w:type="dxa"/>
            <w:vAlign w:val="center"/>
          </w:tcPr>
          <w:p w14:paraId="59DC0F21" w14:textId="77777777" w:rsidR="009A0A63" w:rsidRPr="00792B36" w:rsidRDefault="009A0A63" w:rsidP="00A24459">
            <w:pPr>
              <w:contextualSpacing/>
              <w:jc w:val="center"/>
              <w:rPr>
                <w:sz w:val="24"/>
                <w:szCs w:val="24"/>
              </w:rPr>
            </w:pPr>
            <w:r w:rsidRPr="00792B36">
              <w:rPr>
                <w:color w:val="000000"/>
                <w:sz w:val="24"/>
                <w:szCs w:val="24"/>
              </w:rPr>
              <w:t>237.68</w:t>
            </w:r>
          </w:p>
        </w:tc>
        <w:tc>
          <w:tcPr>
            <w:tcW w:w="1027" w:type="dxa"/>
            <w:vAlign w:val="center"/>
          </w:tcPr>
          <w:p w14:paraId="6A3D3981" w14:textId="77777777" w:rsidR="009A0A63" w:rsidRPr="00792B36" w:rsidRDefault="009A0A63" w:rsidP="00A24459">
            <w:pPr>
              <w:contextualSpacing/>
              <w:jc w:val="center"/>
              <w:rPr>
                <w:sz w:val="24"/>
                <w:szCs w:val="24"/>
              </w:rPr>
            </w:pPr>
            <w:r w:rsidRPr="00792B36">
              <w:rPr>
                <w:color w:val="000000"/>
                <w:sz w:val="24"/>
                <w:szCs w:val="24"/>
              </w:rPr>
              <w:t>3,316.36</w:t>
            </w:r>
          </w:p>
        </w:tc>
        <w:tc>
          <w:tcPr>
            <w:tcW w:w="957" w:type="dxa"/>
            <w:vAlign w:val="center"/>
          </w:tcPr>
          <w:p w14:paraId="49D405DF" w14:textId="77777777" w:rsidR="009A0A63" w:rsidRPr="00792B36" w:rsidRDefault="009A0A63" w:rsidP="00A24459">
            <w:pPr>
              <w:contextualSpacing/>
              <w:jc w:val="center"/>
              <w:rPr>
                <w:sz w:val="24"/>
                <w:szCs w:val="24"/>
              </w:rPr>
            </w:pPr>
            <w:r w:rsidRPr="00792B36">
              <w:rPr>
                <w:color w:val="000000"/>
                <w:sz w:val="24"/>
                <w:szCs w:val="24"/>
              </w:rPr>
              <w:t>2,257.88</w:t>
            </w:r>
          </w:p>
        </w:tc>
        <w:tc>
          <w:tcPr>
            <w:tcW w:w="900" w:type="dxa"/>
            <w:vAlign w:val="center"/>
          </w:tcPr>
          <w:p w14:paraId="65F20716" w14:textId="77777777" w:rsidR="009A0A63" w:rsidRPr="00792B36" w:rsidRDefault="009A0A63" w:rsidP="00A24459">
            <w:pPr>
              <w:contextualSpacing/>
              <w:jc w:val="center"/>
              <w:rPr>
                <w:sz w:val="24"/>
                <w:szCs w:val="24"/>
              </w:rPr>
            </w:pPr>
            <w:r w:rsidRPr="00792B36">
              <w:rPr>
                <w:color w:val="000000"/>
                <w:sz w:val="24"/>
                <w:szCs w:val="24"/>
              </w:rPr>
              <w:t>5,813.17</w:t>
            </w:r>
          </w:p>
        </w:tc>
      </w:tr>
      <w:tr w:rsidR="009A0A63" w:rsidRPr="00792B36" w14:paraId="28CCB65C" w14:textId="77777777" w:rsidTr="00A24459">
        <w:trPr>
          <w:trHeight w:val="340"/>
        </w:trPr>
        <w:tc>
          <w:tcPr>
            <w:tcW w:w="617" w:type="dxa"/>
            <w:vAlign w:val="center"/>
          </w:tcPr>
          <w:p w14:paraId="4E802A94" w14:textId="77777777" w:rsidR="009A0A63" w:rsidRPr="00792B36" w:rsidRDefault="009A0A63" w:rsidP="00A24459">
            <w:pPr>
              <w:contextualSpacing/>
              <w:jc w:val="center"/>
              <w:rPr>
                <w:sz w:val="24"/>
                <w:szCs w:val="24"/>
              </w:rPr>
            </w:pPr>
            <w:r w:rsidRPr="00792B36">
              <w:rPr>
                <w:b/>
                <w:bCs/>
                <w:color w:val="000000"/>
                <w:sz w:val="24"/>
                <w:szCs w:val="24"/>
              </w:rPr>
              <w:t>1998</w:t>
            </w:r>
          </w:p>
        </w:tc>
        <w:tc>
          <w:tcPr>
            <w:tcW w:w="1177" w:type="dxa"/>
            <w:vAlign w:val="center"/>
          </w:tcPr>
          <w:p w14:paraId="25EE40EA" w14:textId="77777777" w:rsidR="009A0A63" w:rsidRPr="00792B36" w:rsidRDefault="009A0A63" w:rsidP="00A24459">
            <w:pPr>
              <w:contextualSpacing/>
              <w:jc w:val="center"/>
              <w:rPr>
                <w:sz w:val="24"/>
                <w:szCs w:val="24"/>
              </w:rPr>
            </w:pPr>
            <w:r w:rsidRPr="00792B36">
              <w:rPr>
                <w:color w:val="000000"/>
                <w:sz w:val="24"/>
                <w:szCs w:val="24"/>
              </w:rPr>
              <w:t>864.58</w:t>
            </w:r>
          </w:p>
        </w:tc>
        <w:tc>
          <w:tcPr>
            <w:tcW w:w="1095" w:type="dxa"/>
            <w:vAlign w:val="center"/>
          </w:tcPr>
          <w:p w14:paraId="403D1FFC" w14:textId="77777777" w:rsidR="009A0A63" w:rsidRPr="00792B36" w:rsidRDefault="009A0A63" w:rsidP="00A24459">
            <w:pPr>
              <w:contextualSpacing/>
              <w:jc w:val="center"/>
              <w:rPr>
                <w:sz w:val="24"/>
                <w:szCs w:val="24"/>
              </w:rPr>
            </w:pPr>
            <w:r w:rsidRPr="00792B36">
              <w:rPr>
                <w:color w:val="000000"/>
                <w:sz w:val="24"/>
                <w:szCs w:val="24"/>
              </w:rPr>
              <w:t>86.95</w:t>
            </w:r>
          </w:p>
        </w:tc>
        <w:tc>
          <w:tcPr>
            <w:tcW w:w="987" w:type="dxa"/>
            <w:vAlign w:val="center"/>
          </w:tcPr>
          <w:p w14:paraId="0400CB43" w14:textId="77777777" w:rsidR="009A0A63" w:rsidRPr="00792B36" w:rsidRDefault="009A0A63" w:rsidP="00A24459">
            <w:pPr>
              <w:contextualSpacing/>
              <w:jc w:val="center"/>
              <w:rPr>
                <w:sz w:val="24"/>
                <w:szCs w:val="24"/>
              </w:rPr>
            </w:pPr>
            <w:r w:rsidRPr="00792B36">
              <w:rPr>
                <w:color w:val="000000"/>
                <w:sz w:val="24"/>
                <w:szCs w:val="24"/>
              </w:rPr>
              <w:t>782.40</w:t>
            </w:r>
          </w:p>
        </w:tc>
        <w:tc>
          <w:tcPr>
            <w:tcW w:w="1080" w:type="dxa"/>
            <w:vAlign w:val="center"/>
          </w:tcPr>
          <w:p w14:paraId="2D826C1C" w14:textId="77777777" w:rsidR="009A0A63" w:rsidRPr="00792B36" w:rsidRDefault="009A0A63" w:rsidP="00A24459">
            <w:pPr>
              <w:contextualSpacing/>
              <w:jc w:val="center"/>
              <w:rPr>
                <w:sz w:val="24"/>
                <w:szCs w:val="24"/>
              </w:rPr>
            </w:pPr>
            <w:r w:rsidRPr="00792B36">
              <w:rPr>
                <w:color w:val="000000"/>
                <w:sz w:val="24"/>
                <w:szCs w:val="24"/>
              </w:rPr>
              <w:t>1,729.39</w:t>
            </w:r>
          </w:p>
        </w:tc>
        <w:tc>
          <w:tcPr>
            <w:tcW w:w="1177" w:type="dxa"/>
            <w:vAlign w:val="center"/>
          </w:tcPr>
          <w:p w14:paraId="7F7A2C6F" w14:textId="77777777" w:rsidR="009A0A63" w:rsidRPr="00792B36" w:rsidRDefault="009A0A63" w:rsidP="00A24459">
            <w:pPr>
              <w:contextualSpacing/>
              <w:jc w:val="center"/>
              <w:rPr>
                <w:sz w:val="24"/>
                <w:szCs w:val="24"/>
              </w:rPr>
            </w:pPr>
            <w:r w:rsidRPr="00792B36">
              <w:rPr>
                <w:color w:val="000000"/>
                <w:sz w:val="24"/>
                <w:szCs w:val="24"/>
              </w:rPr>
              <w:t>223.95</w:t>
            </w:r>
          </w:p>
        </w:tc>
        <w:tc>
          <w:tcPr>
            <w:tcW w:w="1027" w:type="dxa"/>
            <w:vAlign w:val="center"/>
          </w:tcPr>
          <w:p w14:paraId="0D079C5B" w14:textId="77777777" w:rsidR="009A0A63" w:rsidRPr="00792B36" w:rsidRDefault="009A0A63" w:rsidP="00A24459">
            <w:pPr>
              <w:contextualSpacing/>
              <w:jc w:val="center"/>
              <w:rPr>
                <w:sz w:val="24"/>
                <w:szCs w:val="24"/>
              </w:rPr>
            </w:pPr>
            <w:r w:rsidRPr="00792B36">
              <w:rPr>
                <w:color w:val="000000"/>
                <w:sz w:val="24"/>
                <w:szCs w:val="24"/>
              </w:rPr>
              <w:t>3,929.83</w:t>
            </w:r>
          </w:p>
        </w:tc>
        <w:tc>
          <w:tcPr>
            <w:tcW w:w="957" w:type="dxa"/>
            <w:vAlign w:val="center"/>
          </w:tcPr>
          <w:p w14:paraId="78061676" w14:textId="77777777" w:rsidR="009A0A63" w:rsidRPr="00792B36" w:rsidRDefault="009A0A63" w:rsidP="00A24459">
            <w:pPr>
              <w:contextualSpacing/>
              <w:jc w:val="center"/>
              <w:rPr>
                <w:sz w:val="24"/>
                <w:szCs w:val="24"/>
              </w:rPr>
            </w:pPr>
            <w:r w:rsidRPr="00792B36">
              <w:rPr>
                <w:color w:val="000000"/>
                <w:sz w:val="24"/>
                <w:szCs w:val="24"/>
              </w:rPr>
              <w:t>1,993.55</w:t>
            </w:r>
          </w:p>
        </w:tc>
        <w:tc>
          <w:tcPr>
            <w:tcW w:w="900" w:type="dxa"/>
            <w:vAlign w:val="center"/>
          </w:tcPr>
          <w:p w14:paraId="1C98B10B" w14:textId="77777777" w:rsidR="009A0A63" w:rsidRPr="00792B36" w:rsidRDefault="009A0A63" w:rsidP="00A24459">
            <w:pPr>
              <w:contextualSpacing/>
              <w:jc w:val="center"/>
              <w:rPr>
                <w:sz w:val="24"/>
                <w:szCs w:val="24"/>
              </w:rPr>
            </w:pPr>
            <w:r w:rsidRPr="00792B36">
              <w:rPr>
                <w:color w:val="000000"/>
                <w:sz w:val="24"/>
                <w:szCs w:val="24"/>
              </w:rPr>
              <w:t>6,138.77</w:t>
            </w:r>
          </w:p>
        </w:tc>
      </w:tr>
      <w:tr w:rsidR="009A0A63" w:rsidRPr="00792B36" w14:paraId="27F622C5" w14:textId="77777777" w:rsidTr="00A24459">
        <w:trPr>
          <w:trHeight w:val="340"/>
        </w:trPr>
        <w:tc>
          <w:tcPr>
            <w:tcW w:w="617" w:type="dxa"/>
            <w:vAlign w:val="center"/>
          </w:tcPr>
          <w:p w14:paraId="507CA636" w14:textId="77777777" w:rsidR="009A0A63" w:rsidRPr="00792B36" w:rsidRDefault="009A0A63" w:rsidP="00A24459">
            <w:pPr>
              <w:contextualSpacing/>
              <w:jc w:val="center"/>
              <w:rPr>
                <w:sz w:val="24"/>
                <w:szCs w:val="24"/>
              </w:rPr>
            </w:pPr>
            <w:r w:rsidRPr="00792B36">
              <w:rPr>
                <w:b/>
                <w:bCs/>
                <w:color w:val="000000"/>
                <w:sz w:val="24"/>
                <w:szCs w:val="24"/>
              </w:rPr>
              <w:t>1999</w:t>
            </w:r>
          </w:p>
        </w:tc>
        <w:tc>
          <w:tcPr>
            <w:tcW w:w="1177" w:type="dxa"/>
            <w:vAlign w:val="center"/>
          </w:tcPr>
          <w:p w14:paraId="590147B2" w14:textId="77777777" w:rsidR="009A0A63" w:rsidRPr="00792B36" w:rsidRDefault="009A0A63" w:rsidP="00A24459">
            <w:pPr>
              <w:contextualSpacing/>
              <w:jc w:val="center"/>
              <w:rPr>
                <w:sz w:val="24"/>
                <w:szCs w:val="24"/>
              </w:rPr>
            </w:pPr>
            <w:r w:rsidRPr="00792B36">
              <w:rPr>
                <w:color w:val="000000"/>
                <w:sz w:val="24"/>
                <w:szCs w:val="24"/>
              </w:rPr>
              <w:t>881.61</w:t>
            </w:r>
          </w:p>
        </w:tc>
        <w:tc>
          <w:tcPr>
            <w:tcW w:w="1095" w:type="dxa"/>
            <w:vAlign w:val="center"/>
          </w:tcPr>
          <w:p w14:paraId="21286EF4" w14:textId="77777777" w:rsidR="009A0A63" w:rsidRPr="00792B36" w:rsidRDefault="009A0A63" w:rsidP="00A24459">
            <w:pPr>
              <w:contextualSpacing/>
              <w:jc w:val="center"/>
              <w:rPr>
                <w:sz w:val="24"/>
                <w:szCs w:val="24"/>
              </w:rPr>
            </w:pPr>
            <w:r w:rsidRPr="00792B36">
              <w:rPr>
                <w:color w:val="000000"/>
                <w:sz w:val="24"/>
                <w:szCs w:val="24"/>
              </w:rPr>
              <w:t>85.44</w:t>
            </w:r>
          </w:p>
        </w:tc>
        <w:tc>
          <w:tcPr>
            <w:tcW w:w="987" w:type="dxa"/>
            <w:vAlign w:val="center"/>
          </w:tcPr>
          <w:p w14:paraId="273540B6" w14:textId="77777777" w:rsidR="009A0A63" w:rsidRPr="00792B36" w:rsidRDefault="009A0A63" w:rsidP="00A24459">
            <w:pPr>
              <w:contextualSpacing/>
              <w:jc w:val="center"/>
              <w:rPr>
                <w:sz w:val="24"/>
                <w:szCs w:val="24"/>
              </w:rPr>
            </w:pPr>
            <w:r w:rsidRPr="00792B36">
              <w:rPr>
                <w:color w:val="000000"/>
                <w:sz w:val="24"/>
                <w:szCs w:val="24"/>
              </w:rPr>
              <w:t>780.86</w:t>
            </w:r>
          </w:p>
        </w:tc>
        <w:tc>
          <w:tcPr>
            <w:tcW w:w="1080" w:type="dxa"/>
            <w:vAlign w:val="center"/>
          </w:tcPr>
          <w:p w14:paraId="41005731" w14:textId="77777777" w:rsidR="009A0A63" w:rsidRPr="00792B36" w:rsidRDefault="009A0A63" w:rsidP="00A24459">
            <w:pPr>
              <w:contextualSpacing/>
              <w:jc w:val="center"/>
              <w:rPr>
                <w:sz w:val="24"/>
                <w:szCs w:val="24"/>
              </w:rPr>
            </w:pPr>
            <w:r w:rsidRPr="00792B36">
              <w:rPr>
                <w:color w:val="000000"/>
                <w:sz w:val="24"/>
                <w:szCs w:val="24"/>
              </w:rPr>
              <w:t>1,742.44</w:t>
            </w:r>
          </w:p>
        </w:tc>
        <w:tc>
          <w:tcPr>
            <w:tcW w:w="1177" w:type="dxa"/>
            <w:vAlign w:val="center"/>
          </w:tcPr>
          <w:p w14:paraId="451DBACF" w14:textId="77777777" w:rsidR="009A0A63" w:rsidRPr="00792B36" w:rsidRDefault="009A0A63" w:rsidP="00A24459">
            <w:pPr>
              <w:contextualSpacing/>
              <w:jc w:val="center"/>
              <w:rPr>
                <w:sz w:val="24"/>
                <w:szCs w:val="24"/>
              </w:rPr>
            </w:pPr>
            <w:r w:rsidRPr="00792B36">
              <w:rPr>
                <w:color w:val="000000"/>
                <w:sz w:val="24"/>
                <w:szCs w:val="24"/>
              </w:rPr>
              <w:t>249.84</w:t>
            </w:r>
          </w:p>
        </w:tc>
        <w:tc>
          <w:tcPr>
            <w:tcW w:w="1027" w:type="dxa"/>
            <w:vAlign w:val="center"/>
          </w:tcPr>
          <w:p w14:paraId="20946008" w14:textId="77777777" w:rsidR="009A0A63" w:rsidRPr="00792B36" w:rsidRDefault="009A0A63" w:rsidP="00A24459">
            <w:pPr>
              <w:contextualSpacing/>
              <w:jc w:val="center"/>
              <w:rPr>
                <w:sz w:val="24"/>
                <w:szCs w:val="24"/>
              </w:rPr>
            </w:pPr>
            <w:r w:rsidRPr="00792B36">
              <w:rPr>
                <w:color w:val="000000"/>
                <w:sz w:val="24"/>
                <w:szCs w:val="24"/>
              </w:rPr>
              <w:t>4,412.25</w:t>
            </w:r>
          </w:p>
        </w:tc>
        <w:tc>
          <w:tcPr>
            <w:tcW w:w="957" w:type="dxa"/>
            <w:vAlign w:val="center"/>
          </w:tcPr>
          <w:p w14:paraId="7734DBA9" w14:textId="77777777" w:rsidR="009A0A63" w:rsidRPr="00792B36" w:rsidRDefault="009A0A63" w:rsidP="00A24459">
            <w:pPr>
              <w:contextualSpacing/>
              <w:jc w:val="center"/>
              <w:rPr>
                <w:sz w:val="24"/>
                <w:szCs w:val="24"/>
              </w:rPr>
            </w:pPr>
            <w:r w:rsidRPr="00792B36">
              <w:rPr>
                <w:color w:val="000000"/>
                <w:sz w:val="24"/>
                <w:szCs w:val="24"/>
              </w:rPr>
              <w:t>1,879.44</w:t>
            </w:r>
          </w:p>
        </w:tc>
        <w:tc>
          <w:tcPr>
            <w:tcW w:w="900" w:type="dxa"/>
            <w:vAlign w:val="center"/>
          </w:tcPr>
          <w:p w14:paraId="41DBCA8C" w14:textId="77777777" w:rsidR="009A0A63" w:rsidRPr="00792B36" w:rsidRDefault="009A0A63" w:rsidP="00A24459">
            <w:pPr>
              <w:contextualSpacing/>
              <w:jc w:val="center"/>
              <w:rPr>
                <w:sz w:val="24"/>
                <w:szCs w:val="24"/>
              </w:rPr>
            </w:pPr>
            <w:r w:rsidRPr="00792B36">
              <w:rPr>
                <w:color w:val="000000"/>
                <w:sz w:val="24"/>
                <w:szCs w:val="24"/>
              </w:rPr>
              <w:t>6,538.26</w:t>
            </w:r>
          </w:p>
        </w:tc>
      </w:tr>
      <w:tr w:rsidR="009A0A63" w:rsidRPr="00792B36" w14:paraId="2A79279F" w14:textId="77777777" w:rsidTr="00A24459">
        <w:trPr>
          <w:trHeight w:val="340"/>
        </w:trPr>
        <w:tc>
          <w:tcPr>
            <w:tcW w:w="617" w:type="dxa"/>
            <w:vAlign w:val="center"/>
          </w:tcPr>
          <w:p w14:paraId="28A0A51A" w14:textId="77777777" w:rsidR="009A0A63" w:rsidRPr="00792B36" w:rsidRDefault="009A0A63" w:rsidP="00A24459">
            <w:pPr>
              <w:contextualSpacing/>
              <w:jc w:val="center"/>
              <w:rPr>
                <w:sz w:val="24"/>
                <w:szCs w:val="24"/>
              </w:rPr>
            </w:pPr>
            <w:r w:rsidRPr="00792B36">
              <w:rPr>
                <w:b/>
                <w:bCs/>
                <w:color w:val="000000"/>
                <w:sz w:val="24"/>
                <w:szCs w:val="24"/>
              </w:rPr>
              <w:t>2000</w:t>
            </w:r>
          </w:p>
        </w:tc>
        <w:tc>
          <w:tcPr>
            <w:tcW w:w="1177" w:type="dxa"/>
            <w:vAlign w:val="center"/>
          </w:tcPr>
          <w:p w14:paraId="35EA9F80" w14:textId="77777777" w:rsidR="009A0A63" w:rsidRPr="00792B36" w:rsidRDefault="009A0A63" w:rsidP="00A24459">
            <w:pPr>
              <w:contextualSpacing/>
              <w:jc w:val="center"/>
              <w:rPr>
                <w:sz w:val="24"/>
                <w:szCs w:val="24"/>
              </w:rPr>
            </w:pPr>
            <w:r w:rsidRPr="00792B36">
              <w:rPr>
                <w:color w:val="000000"/>
                <w:sz w:val="24"/>
                <w:szCs w:val="24"/>
              </w:rPr>
              <w:t>929.39</w:t>
            </w:r>
          </w:p>
        </w:tc>
        <w:tc>
          <w:tcPr>
            <w:tcW w:w="1095" w:type="dxa"/>
            <w:vAlign w:val="center"/>
          </w:tcPr>
          <w:p w14:paraId="04F5CF2A" w14:textId="77777777" w:rsidR="009A0A63" w:rsidRPr="00792B36" w:rsidRDefault="009A0A63" w:rsidP="00A24459">
            <w:pPr>
              <w:contextualSpacing/>
              <w:jc w:val="center"/>
              <w:rPr>
                <w:sz w:val="24"/>
                <w:szCs w:val="24"/>
              </w:rPr>
            </w:pPr>
            <w:r w:rsidRPr="00792B36">
              <w:rPr>
                <w:color w:val="000000"/>
                <w:sz w:val="24"/>
                <w:szCs w:val="24"/>
              </w:rPr>
              <w:t>79.60</w:t>
            </w:r>
          </w:p>
        </w:tc>
        <w:tc>
          <w:tcPr>
            <w:tcW w:w="987" w:type="dxa"/>
            <w:vAlign w:val="center"/>
          </w:tcPr>
          <w:p w14:paraId="651933AE" w14:textId="77777777" w:rsidR="009A0A63" w:rsidRPr="00792B36" w:rsidRDefault="009A0A63" w:rsidP="00A24459">
            <w:pPr>
              <w:contextualSpacing/>
              <w:jc w:val="center"/>
              <w:rPr>
                <w:sz w:val="24"/>
                <w:szCs w:val="24"/>
              </w:rPr>
            </w:pPr>
            <w:r w:rsidRPr="00792B36">
              <w:rPr>
                <w:color w:val="000000"/>
                <w:sz w:val="24"/>
                <w:szCs w:val="24"/>
              </w:rPr>
              <w:t>831.54</w:t>
            </w:r>
          </w:p>
        </w:tc>
        <w:tc>
          <w:tcPr>
            <w:tcW w:w="1080" w:type="dxa"/>
            <w:vAlign w:val="center"/>
          </w:tcPr>
          <w:p w14:paraId="12E0879C" w14:textId="77777777" w:rsidR="009A0A63" w:rsidRPr="00792B36" w:rsidRDefault="009A0A63" w:rsidP="00A24459">
            <w:pPr>
              <w:contextualSpacing/>
              <w:jc w:val="center"/>
              <w:rPr>
                <w:sz w:val="24"/>
                <w:szCs w:val="24"/>
              </w:rPr>
            </w:pPr>
            <w:r w:rsidRPr="00792B36">
              <w:rPr>
                <w:color w:val="000000"/>
                <w:sz w:val="24"/>
                <w:szCs w:val="24"/>
              </w:rPr>
              <w:t>1,835.37</w:t>
            </w:r>
          </w:p>
        </w:tc>
        <w:tc>
          <w:tcPr>
            <w:tcW w:w="1177" w:type="dxa"/>
            <w:vAlign w:val="center"/>
          </w:tcPr>
          <w:p w14:paraId="4ABF26A4" w14:textId="77777777" w:rsidR="009A0A63" w:rsidRPr="00792B36" w:rsidRDefault="009A0A63" w:rsidP="00A24459">
            <w:pPr>
              <w:contextualSpacing/>
              <w:jc w:val="center"/>
              <w:rPr>
                <w:sz w:val="24"/>
                <w:szCs w:val="24"/>
              </w:rPr>
            </w:pPr>
            <w:r w:rsidRPr="00792B36">
              <w:rPr>
                <w:color w:val="000000"/>
                <w:sz w:val="24"/>
                <w:szCs w:val="24"/>
              </w:rPr>
              <w:t>256.23</w:t>
            </w:r>
          </w:p>
        </w:tc>
        <w:tc>
          <w:tcPr>
            <w:tcW w:w="1027" w:type="dxa"/>
            <w:vAlign w:val="center"/>
          </w:tcPr>
          <w:p w14:paraId="223A398C" w14:textId="77777777" w:rsidR="009A0A63" w:rsidRPr="00792B36" w:rsidRDefault="009A0A63" w:rsidP="00A24459">
            <w:pPr>
              <w:contextualSpacing/>
              <w:jc w:val="center"/>
              <w:rPr>
                <w:sz w:val="24"/>
                <w:szCs w:val="24"/>
              </w:rPr>
            </w:pPr>
            <w:r w:rsidRPr="00792B36">
              <w:rPr>
                <w:color w:val="000000"/>
                <w:sz w:val="24"/>
                <w:szCs w:val="24"/>
              </w:rPr>
              <w:t>4,417.03</w:t>
            </w:r>
          </w:p>
        </w:tc>
        <w:tc>
          <w:tcPr>
            <w:tcW w:w="957" w:type="dxa"/>
            <w:vAlign w:val="center"/>
          </w:tcPr>
          <w:p w14:paraId="2EBE6CC7" w14:textId="77777777" w:rsidR="009A0A63" w:rsidRPr="00792B36" w:rsidRDefault="009A0A63" w:rsidP="00A24459">
            <w:pPr>
              <w:contextualSpacing/>
              <w:jc w:val="center"/>
              <w:rPr>
                <w:sz w:val="24"/>
                <w:szCs w:val="24"/>
              </w:rPr>
            </w:pPr>
            <w:r w:rsidRPr="00792B36">
              <w:rPr>
                <w:color w:val="000000"/>
                <w:sz w:val="24"/>
                <w:szCs w:val="24"/>
              </w:rPr>
              <w:t>2,024.61</w:t>
            </w:r>
          </w:p>
        </w:tc>
        <w:tc>
          <w:tcPr>
            <w:tcW w:w="900" w:type="dxa"/>
            <w:vAlign w:val="center"/>
          </w:tcPr>
          <w:p w14:paraId="5A5FDB9E" w14:textId="77777777" w:rsidR="009A0A63" w:rsidRPr="00792B36" w:rsidRDefault="009A0A63" w:rsidP="00A24459">
            <w:pPr>
              <w:contextualSpacing/>
              <w:jc w:val="center"/>
              <w:rPr>
                <w:sz w:val="24"/>
                <w:szCs w:val="24"/>
              </w:rPr>
            </w:pPr>
            <w:r w:rsidRPr="00792B36">
              <w:rPr>
                <w:color w:val="000000"/>
                <w:sz w:val="24"/>
                <w:szCs w:val="24"/>
              </w:rPr>
              <w:t>6,699.35</w:t>
            </w:r>
          </w:p>
        </w:tc>
      </w:tr>
      <w:tr w:rsidR="009A0A63" w:rsidRPr="00792B36" w14:paraId="56903D30" w14:textId="77777777" w:rsidTr="00A24459">
        <w:trPr>
          <w:trHeight w:val="340"/>
        </w:trPr>
        <w:tc>
          <w:tcPr>
            <w:tcW w:w="617" w:type="dxa"/>
            <w:vAlign w:val="center"/>
          </w:tcPr>
          <w:p w14:paraId="04F1D5D5" w14:textId="77777777" w:rsidR="009A0A63" w:rsidRPr="00792B36" w:rsidRDefault="009A0A63" w:rsidP="00A24459">
            <w:pPr>
              <w:contextualSpacing/>
              <w:jc w:val="center"/>
              <w:rPr>
                <w:sz w:val="24"/>
                <w:szCs w:val="24"/>
              </w:rPr>
            </w:pPr>
            <w:r w:rsidRPr="00792B36">
              <w:rPr>
                <w:b/>
                <w:bCs/>
                <w:color w:val="000000"/>
                <w:sz w:val="24"/>
                <w:szCs w:val="24"/>
              </w:rPr>
              <w:t>2001</w:t>
            </w:r>
          </w:p>
        </w:tc>
        <w:tc>
          <w:tcPr>
            <w:tcW w:w="1177" w:type="dxa"/>
            <w:vAlign w:val="center"/>
          </w:tcPr>
          <w:p w14:paraId="4CA50267" w14:textId="77777777" w:rsidR="009A0A63" w:rsidRPr="00792B36" w:rsidRDefault="009A0A63" w:rsidP="00A24459">
            <w:pPr>
              <w:contextualSpacing/>
              <w:jc w:val="center"/>
              <w:rPr>
                <w:sz w:val="24"/>
                <w:szCs w:val="24"/>
              </w:rPr>
            </w:pPr>
            <w:r w:rsidRPr="00792B36">
              <w:rPr>
                <w:color w:val="000000"/>
                <w:sz w:val="24"/>
                <w:szCs w:val="24"/>
              </w:rPr>
              <w:t>901.40</w:t>
            </w:r>
          </w:p>
        </w:tc>
        <w:tc>
          <w:tcPr>
            <w:tcW w:w="1095" w:type="dxa"/>
            <w:vAlign w:val="center"/>
          </w:tcPr>
          <w:p w14:paraId="715A01D5" w14:textId="77777777" w:rsidR="009A0A63" w:rsidRPr="00792B36" w:rsidRDefault="009A0A63" w:rsidP="00A24459">
            <w:pPr>
              <w:contextualSpacing/>
              <w:jc w:val="center"/>
              <w:rPr>
                <w:sz w:val="24"/>
                <w:szCs w:val="24"/>
              </w:rPr>
            </w:pPr>
            <w:r w:rsidRPr="00792B36">
              <w:rPr>
                <w:color w:val="000000"/>
                <w:sz w:val="24"/>
                <w:szCs w:val="24"/>
              </w:rPr>
              <w:t>77.31</w:t>
            </w:r>
          </w:p>
        </w:tc>
        <w:tc>
          <w:tcPr>
            <w:tcW w:w="987" w:type="dxa"/>
            <w:vAlign w:val="center"/>
          </w:tcPr>
          <w:p w14:paraId="25052F1C" w14:textId="77777777" w:rsidR="009A0A63" w:rsidRPr="00792B36" w:rsidRDefault="009A0A63" w:rsidP="00A24459">
            <w:pPr>
              <w:contextualSpacing/>
              <w:jc w:val="center"/>
              <w:rPr>
                <w:sz w:val="24"/>
                <w:szCs w:val="24"/>
              </w:rPr>
            </w:pPr>
            <w:r w:rsidRPr="00792B36">
              <w:rPr>
                <w:color w:val="000000"/>
                <w:sz w:val="24"/>
                <w:szCs w:val="24"/>
              </w:rPr>
              <w:t>781.66</w:t>
            </w:r>
          </w:p>
        </w:tc>
        <w:tc>
          <w:tcPr>
            <w:tcW w:w="1080" w:type="dxa"/>
            <w:vAlign w:val="center"/>
          </w:tcPr>
          <w:p w14:paraId="52ECF9D8" w14:textId="77777777" w:rsidR="009A0A63" w:rsidRPr="00792B36" w:rsidRDefault="009A0A63" w:rsidP="00A24459">
            <w:pPr>
              <w:contextualSpacing/>
              <w:jc w:val="center"/>
              <w:rPr>
                <w:sz w:val="24"/>
                <w:szCs w:val="24"/>
              </w:rPr>
            </w:pPr>
            <w:r w:rsidRPr="00792B36">
              <w:rPr>
                <w:color w:val="000000"/>
                <w:sz w:val="24"/>
                <w:szCs w:val="24"/>
              </w:rPr>
              <w:t>1,754.75</w:t>
            </w:r>
          </w:p>
        </w:tc>
        <w:tc>
          <w:tcPr>
            <w:tcW w:w="1177" w:type="dxa"/>
            <w:vAlign w:val="center"/>
          </w:tcPr>
          <w:p w14:paraId="6839C7E8" w14:textId="77777777" w:rsidR="009A0A63" w:rsidRPr="00792B36" w:rsidRDefault="009A0A63" w:rsidP="00A24459">
            <w:pPr>
              <w:contextualSpacing/>
              <w:jc w:val="center"/>
              <w:rPr>
                <w:sz w:val="24"/>
                <w:szCs w:val="24"/>
              </w:rPr>
            </w:pPr>
            <w:r w:rsidRPr="00792B36">
              <w:rPr>
                <w:color w:val="000000"/>
                <w:sz w:val="24"/>
                <w:szCs w:val="24"/>
              </w:rPr>
              <w:t>249.37</w:t>
            </w:r>
          </w:p>
        </w:tc>
        <w:tc>
          <w:tcPr>
            <w:tcW w:w="1027" w:type="dxa"/>
            <w:vAlign w:val="center"/>
          </w:tcPr>
          <w:p w14:paraId="0BB6F377" w14:textId="77777777" w:rsidR="009A0A63" w:rsidRPr="00792B36" w:rsidRDefault="009A0A63" w:rsidP="00A24459">
            <w:pPr>
              <w:contextualSpacing/>
              <w:jc w:val="center"/>
              <w:rPr>
                <w:sz w:val="24"/>
                <w:szCs w:val="24"/>
              </w:rPr>
            </w:pPr>
            <w:r w:rsidRPr="00792B36">
              <w:rPr>
                <w:color w:val="000000"/>
                <w:sz w:val="24"/>
                <w:szCs w:val="24"/>
              </w:rPr>
              <w:t>4,502.31</w:t>
            </w:r>
          </w:p>
        </w:tc>
        <w:tc>
          <w:tcPr>
            <w:tcW w:w="957" w:type="dxa"/>
            <w:vAlign w:val="center"/>
          </w:tcPr>
          <w:p w14:paraId="04A6CA17" w14:textId="77777777" w:rsidR="009A0A63" w:rsidRPr="00792B36" w:rsidRDefault="009A0A63" w:rsidP="00A24459">
            <w:pPr>
              <w:contextualSpacing/>
              <w:jc w:val="center"/>
              <w:rPr>
                <w:sz w:val="24"/>
                <w:szCs w:val="24"/>
              </w:rPr>
            </w:pPr>
            <w:r w:rsidRPr="00792B36">
              <w:rPr>
                <w:color w:val="000000"/>
                <w:sz w:val="24"/>
                <w:szCs w:val="24"/>
              </w:rPr>
              <w:t>2,005.23</w:t>
            </w:r>
          </w:p>
        </w:tc>
        <w:tc>
          <w:tcPr>
            <w:tcW w:w="900" w:type="dxa"/>
            <w:vAlign w:val="center"/>
          </w:tcPr>
          <w:p w14:paraId="0DA38E21" w14:textId="77777777" w:rsidR="009A0A63" w:rsidRPr="00792B36" w:rsidRDefault="009A0A63" w:rsidP="00A24459">
            <w:pPr>
              <w:contextualSpacing/>
              <w:jc w:val="center"/>
              <w:rPr>
                <w:sz w:val="24"/>
                <w:szCs w:val="24"/>
              </w:rPr>
            </w:pPr>
            <w:r w:rsidRPr="00792B36">
              <w:rPr>
                <w:color w:val="000000"/>
                <w:sz w:val="24"/>
                <w:szCs w:val="24"/>
              </w:rPr>
              <w:t>6,756.89</w:t>
            </w:r>
          </w:p>
        </w:tc>
      </w:tr>
      <w:tr w:rsidR="009A0A63" w:rsidRPr="00792B36" w14:paraId="2B82A2CA" w14:textId="77777777" w:rsidTr="00A24459">
        <w:trPr>
          <w:trHeight w:val="340"/>
        </w:trPr>
        <w:tc>
          <w:tcPr>
            <w:tcW w:w="617" w:type="dxa"/>
            <w:vAlign w:val="center"/>
          </w:tcPr>
          <w:p w14:paraId="768832ED" w14:textId="77777777" w:rsidR="009A0A63" w:rsidRPr="00792B36" w:rsidRDefault="009A0A63" w:rsidP="00A24459">
            <w:pPr>
              <w:contextualSpacing/>
              <w:jc w:val="center"/>
              <w:rPr>
                <w:sz w:val="24"/>
                <w:szCs w:val="24"/>
              </w:rPr>
            </w:pPr>
            <w:r w:rsidRPr="00792B36">
              <w:rPr>
                <w:b/>
                <w:bCs/>
                <w:color w:val="000000"/>
                <w:sz w:val="24"/>
                <w:szCs w:val="24"/>
              </w:rPr>
              <w:t>2002</w:t>
            </w:r>
          </w:p>
        </w:tc>
        <w:tc>
          <w:tcPr>
            <w:tcW w:w="1177" w:type="dxa"/>
            <w:vAlign w:val="center"/>
          </w:tcPr>
          <w:p w14:paraId="62169BCA" w14:textId="77777777" w:rsidR="009A0A63" w:rsidRPr="00792B36" w:rsidRDefault="009A0A63" w:rsidP="00A24459">
            <w:pPr>
              <w:contextualSpacing/>
              <w:jc w:val="center"/>
              <w:rPr>
                <w:sz w:val="24"/>
                <w:szCs w:val="24"/>
              </w:rPr>
            </w:pPr>
            <w:r w:rsidRPr="00792B36">
              <w:rPr>
                <w:color w:val="000000"/>
                <w:sz w:val="24"/>
                <w:szCs w:val="24"/>
              </w:rPr>
              <w:t>916.57</w:t>
            </w:r>
          </w:p>
        </w:tc>
        <w:tc>
          <w:tcPr>
            <w:tcW w:w="1095" w:type="dxa"/>
            <w:vAlign w:val="center"/>
          </w:tcPr>
          <w:p w14:paraId="18639197" w14:textId="77777777" w:rsidR="009A0A63" w:rsidRPr="00792B36" w:rsidRDefault="009A0A63" w:rsidP="00A24459">
            <w:pPr>
              <w:contextualSpacing/>
              <w:jc w:val="center"/>
              <w:rPr>
                <w:sz w:val="24"/>
                <w:szCs w:val="24"/>
              </w:rPr>
            </w:pPr>
            <w:r w:rsidRPr="00792B36">
              <w:rPr>
                <w:color w:val="000000"/>
                <w:sz w:val="24"/>
                <w:szCs w:val="24"/>
              </w:rPr>
              <w:t>83.65</w:t>
            </w:r>
          </w:p>
        </w:tc>
        <w:tc>
          <w:tcPr>
            <w:tcW w:w="987" w:type="dxa"/>
            <w:vAlign w:val="center"/>
          </w:tcPr>
          <w:p w14:paraId="3ED51556" w14:textId="77777777" w:rsidR="009A0A63" w:rsidRPr="00792B36" w:rsidRDefault="009A0A63" w:rsidP="00A24459">
            <w:pPr>
              <w:contextualSpacing/>
              <w:jc w:val="center"/>
              <w:rPr>
                <w:sz w:val="24"/>
                <w:szCs w:val="24"/>
              </w:rPr>
            </w:pPr>
            <w:r w:rsidRPr="00792B36">
              <w:rPr>
                <w:color w:val="000000"/>
                <w:sz w:val="24"/>
                <w:szCs w:val="24"/>
              </w:rPr>
              <w:t>899.28</w:t>
            </w:r>
          </w:p>
        </w:tc>
        <w:tc>
          <w:tcPr>
            <w:tcW w:w="1080" w:type="dxa"/>
            <w:vAlign w:val="center"/>
          </w:tcPr>
          <w:p w14:paraId="0FA06906" w14:textId="77777777" w:rsidR="009A0A63" w:rsidRPr="00792B36" w:rsidRDefault="009A0A63" w:rsidP="00A24459">
            <w:pPr>
              <w:contextualSpacing/>
              <w:jc w:val="center"/>
              <w:rPr>
                <w:sz w:val="24"/>
                <w:szCs w:val="24"/>
              </w:rPr>
            </w:pPr>
            <w:r w:rsidRPr="00792B36">
              <w:rPr>
                <w:color w:val="000000"/>
                <w:sz w:val="24"/>
                <w:szCs w:val="24"/>
              </w:rPr>
              <w:t>1,899.50</w:t>
            </w:r>
          </w:p>
        </w:tc>
        <w:tc>
          <w:tcPr>
            <w:tcW w:w="1177" w:type="dxa"/>
            <w:vAlign w:val="center"/>
          </w:tcPr>
          <w:p w14:paraId="17E9CA6C" w14:textId="77777777" w:rsidR="009A0A63" w:rsidRPr="00792B36" w:rsidRDefault="009A0A63" w:rsidP="00A24459">
            <w:pPr>
              <w:contextualSpacing/>
              <w:jc w:val="center"/>
              <w:rPr>
                <w:sz w:val="24"/>
                <w:szCs w:val="24"/>
              </w:rPr>
            </w:pPr>
            <w:r w:rsidRPr="00792B36">
              <w:rPr>
                <w:color w:val="000000"/>
                <w:sz w:val="24"/>
                <w:szCs w:val="24"/>
              </w:rPr>
              <w:t>252.11</w:t>
            </w:r>
          </w:p>
        </w:tc>
        <w:tc>
          <w:tcPr>
            <w:tcW w:w="1027" w:type="dxa"/>
            <w:vAlign w:val="center"/>
          </w:tcPr>
          <w:p w14:paraId="7F075065" w14:textId="77777777" w:rsidR="009A0A63" w:rsidRPr="00792B36" w:rsidRDefault="009A0A63" w:rsidP="00A24459">
            <w:pPr>
              <w:contextualSpacing/>
              <w:jc w:val="center"/>
              <w:rPr>
                <w:sz w:val="24"/>
                <w:szCs w:val="24"/>
              </w:rPr>
            </w:pPr>
            <w:r w:rsidRPr="00792B36">
              <w:rPr>
                <w:color w:val="000000"/>
                <w:sz w:val="24"/>
                <w:szCs w:val="24"/>
              </w:rPr>
              <w:t>4,587.59</w:t>
            </w:r>
          </w:p>
        </w:tc>
        <w:tc>
          <w:tcPr>
            <w:tcW w:w="957" w:type="dxa"/>
            <w:vAlign w:val="center"/>
          </w:tcPr>
          <w:p w14:paraId="56A4379D" w14:textId="77777777" w:rsidR="009A0A63" w:rsidRPr="00792B36" w:rsidRDefault="009A0A63" w:rsidP="00A24459">
            <w:pPr>
              <w:contextualSpacing/>
              <w:jc w:val="center"/>
              <w:rPr>
                <w:sz w:val="24"/>
                <w:szCs w:val="24"/>
              </w:rPr>
            </w:pPr>
            <w:r w:rsidRPr="00792B36">
              <w:rPr>
                <w:color w:val="000000"/>
                <w:sz w:val="24"/>
                <w:szCs w:val="24"/>
              </w:rPr>
              <w:t>2,083.23</w:t>
            </w:r>
          </w:p>
        </w:tc>
        <w:tc>
          <w:tcPr>
            <w:tcW w:w="900" w:type="dxa"/>
            <w:vAlign w:val="center"/>
          </w:tcPr>
          <w:p w14:paraId="74F664B6" w14:textId="77777777" w:rsidR="009A0A63" w:rsidRPr="00792B36" w:rsidRDefault="009A0A63" w:rsidP="00A24459">
            <w:pPr>
              <w:contextualSpacing/>
              <w:jc w:val="center"/>
              <w:rPr>
                <w:sz w:val="24"/>
                <w:szCs w:val="24"/>
              </w:rPr>
            </w:pPr>
            <w:r w:rsidRPr="00792B36">
              <w:rPr>
                <w:color w:val="000000"/>
                <w:sz w:val="24"/>
                <w:szCs w:val="24"/>
              </w:rPr>
              <w:t>6,922.93</w:t>
            </w:r>
          </w:p>
        </w:tc>
      </w:tr>
      <w:tr w:rsidR="009A0A63" w:rsidRPr="00792B36" w14:paraId="3A0AB62A" w14:textId="77777777" w:rsidTr="00A24459">
        <w:trPr>
          <w:trHeight w:val="340"/>
        </w:trPr>
        <w:tc>
          <w:tcPr>
            <w:tcW w:w="617" w:type="dxa"/>
            <w:vAlign w:val="center"/>
          </w:tcPr>
          <w:p w14:paraId="4DABDED9" w14:textId="77777777" w:rsidR="009A0A63" w:rsidRPr="00792B36" w:rsidRDefault="009A0A63" w:rsidP="00A24459">
            <w:pPr>
              <w:contextualSpacing/>
              <w:jc w:val="center"/>
              <w:rPr>
                <w:sz w:val="24"/>
                <w:szCs w:val="24"/>
              </w:rPr>
            </w:pPr>
            <w:r w:rsidRPr="00792B36">
              <w:rPr>
                <w:b/>
                <w:bCs/>
                <w:color w:val="000000"/>
                <w:sz w:val="24"/>
                <w:szCs w:val="24"/>
              </w:rPr>
              <w:t>2003</w:t>
            </w:r>
          </w:p>
        </w:tc>
        <w:tc>
          <w:tcPr>
            <w:tcW w:w="1177" w:type="dxa"/>
            <w:vAlign w:val="center"/>
          </w:tcPr>
          <w:p w14:paraId="5590FEE7" w14:textId="77777777" w:rsidR="009A0A63" w:rsidRPr="00792B36" w:rsidRDefault="009A0A63" w:rsidP="00A24459">
            <w:pPr>
              <w:contextualSpacing/>
              <w:jc w:val="center"/>
              <w:rPr>
                <w:sz w:val="24"/>
                <w:szCs w:val="24"/>
              </w:rPr>
            </w:pPr>
            <w:r w:rsidRPr="00792B36">
              <w:rPr>
                <w:color w:val="000000"/>
                <w:sz w:val="24"/>
                <w:szCs w:val="24"/>
              </w:rPr>
              <w:t>997.61</w:t>
            </w:r>
          </w:p>
        </w:tc>
        <w:tc>
          <w:tcPr>
            <w:tcW w:w="1095" w:type="dxa"/>
            <w:vAlign w:val="center"/>
          </w:tcPr>
          <w:p w14:paraId="368FB61D" w14:textId="77777777" w:rsidR="009A0A63" w:rsidRPr="00792B36" w:rsidRDefault="009A0A63" w:rsidP="00A24459">
            <w:pPr>
              <w:contextualSpacing/>
              <w:jc w:val="center"/>
              <w:rPr>
                <w:sz w:val="24"/>
                <w:szCs w:val="24"/>
              </w:rPr>
            </w:pPr>
            <w:r w:rsidRPr="00792B36">
              <w:rPr>
                <w:color w:val="000000"/>
                <w:sz w:val="24"/>
                <w:szCs w:val="24"/>
              </w:rPr>
              <w:t>87.06</w:t>
            </w:r>
          </w:p>
        </w:tc>
        <w:tc>
          <w:tcPr>
            <w:tcW w:w="987" w:type="dxa"/>
            <w:vAlign w:val="center"/>
          </w:tcPr>
          <w:p w14:paraId="424A5A57" w14:textId="77777777" w:rsidR="009A0A63" w:rsidRPr="00792B36" w:rsidRDefault="009A0A63" w:rsidP="00A24459">
            <w:pPr>
              <w:contextualSpacing/>
              <w:jc w:val="center"/>
              <w:rPr>
                <w:sz w:val="24"/>
                <w:szCs w:val="24"/>
              </w:rPr>
            </w:pPr>
            <w:r w:rsidRPr="00792B36">
              <w:rPr>
                <w:color w:val="000000"/>
                <w:sz w:val="24"/>
                <w:szCs w:val="24"/>
              </w:rPr>
              <w:t>750.47</w:t>
            </w:r>
          </w:p>
        </w:tc>
        <w:tc>
          <w:tcPr>
            <w:tcW w:w="1080" w:type="dxa"/>
            <w:vAlign w:val="center"/>
          </w:tcPr>
          <w:p w14:paraId="39789359" w14:textId="77777777" w:rsidR="009A0A63" w:rsidRPr="00792B36" w:rsidRDefault="009A0A63" w:rsidP="00A24459">
            <w:pPr>
              <w:contextualSpacing/>
              <w:jc w:val="center"/>
              <w:rPr>
                <w:sz w:val="24"/>
                <w:szCs w:val="24"/>
              </w:rPr>
            </w:pPr>
            <w:r w:rsidRPr="00792B36">
              <w:rPr>
                <w:color w:val="000000"/>
                <w:sz w:val="24"/>
                <w:szCs w:val="24"/>
              </w:rPr>
              <w:t>1,835.14</w:t>
            </w:r>
          </w:p>
        </w:tc>
        <w:tc>
          <w:tcPr>
            <w:tcW w:w="1177" w:type="dxa"/>
            <w:vAlign w:val="center"/>
          </w:tcPr>
          <w:p w14:paraId="61B98BB5" w14:textId="77777777" w:rsidR="009A0A63" w:rsidRPr="00792B36" w:rsidRDefault="009A0A63" w:rsidP="00A24459">
            <w:pPr>
              <w:contextualSpacing/>
              <w:jc w:val="center"/>
              <w:rPr>
                <w:sz w:val="24"/>
                <w:szCs w:val="24"/>
              </w:rPr>
            </w:pPr>
            <w:r w:rsidRPr="00792B36">
              <w:rPr>
                <w:color w:val="000000"/>
                <w:sz w:val="24"/>
                <w:szCs w:val="24"/>
              </w:rPr>
              <w:t>221.09</w:t>
            </w:r>
          </w:p>
        </w:tc>
        <w:tc>
          <w:tcPr>
            <w:tcW w:w="1027" w:type="dxa"/>
            <w:vAlign w:val="center"/>
          </w:tcPr>
          <w:p w14:paraId="26317872" w14:textId="77777777" w:rsidR="009A0A63" w:rsidRPr="00792B36" w:rsidRDefault="009A0A63" w:rsidP="00A24459">
            <w:pPr>
              <w:contextualSpacing/>
              <w:jc w:val="center"/>
              <w:rPr>
                <w:sz w:val="24"/>
                <w:szCs w:val="24"/>
              </w:rPr>
            </w:pPr>
            <w:r w:rsidRPr="00792B36">
              <w:rPr>
                <w:color w:val="000000"/>
                <w:sz w:val="24"/>
                <w:szCs w:val="24"/>
              </w:rPr>
              <w:t>4,332.66</w:t>
            </w:r>
          </w:p>
        </w:tc>
        <w:tc>
          <w:tcPr>
            <w:tcW w:w="957" w:type="dxa"/>
            <w:vAlign w:val="center"/>
          </w:tcPr>
          <w:p w14:paraId="52E67126" w14:textId="77777777" w:rsidR="009A0A63" w:rsidRPr="00792B36" w:rsidRDefault="009A0A63" w:rsidP="00A24459">
            <w:pPr>
              <w:contextualSpacing/>
              <w:jc w:val="center"/>
              <w:rPr>
                <w:sz w:val="24"/>
                <w:szCs w:val="24"/>
              </w:rPr>
            </w:pPr>
            <w:r w:rsidRPr="00792B36">
              <w:rPr>
                <w:color w:val="000000"/>
                <w:sz w:val="24"/>
                <w:szCs w:val="24"/>
              </w:rPr>
              <w:t>2,058.21</w:t>
            </w:r>
          </w:p>
        </w:tc>
        <w:tc>
          <w:tcPr>
            <w:tcW w:w="900" w:type="dxa"/>
            <w:vAlign w:val="center"/>
          </w:tcPr>
          <w:p w14:paraId="6D8FA06F" w14:textId="77777777" w:rsidR="009A0A63" w:rsidRPr="00792B36" w:rsidRDefault="009A0A63" w:rsidP="00A24459">
            <w:pPr>
              <w:contextualSpacing/>
              <w:jc w:val="center"/>
              <w:rPr>
                <w:sz w:val="24"/>
                <w:szCs w:val="24"/>
              </w:rPr>
            </w:pPr>
            <w:r w:rsidRPr="00792B36">
              <w:rPr>
                <w:color w:val="000000"/>
                <w:sz w:val="24"/>
                <w:szCs w:val="24"/>
              </w:rPr>
              <w:t>6,611.96</w:t>
            </w:r>
          </w:p>
        </w:tc>
      </w:tr>
      <w:tr w:rsidR="009A0A63" w:rsidRPr="00792B36" w14:paraId="1EC2DB32" w14:textId="77777777" w:rsidTr="00A24459">
        <w:trPr>
          <w:trHeight w:val="340"/>
        </w:trPr>
        <w:tc>
          <w:tcPr>
            <w:tcW w:w="617" w:type="dxa"/>
            <w:vAlign w:val="center"/>
          </w:tcPr>
          <w:p w14:paraId="47FB3C0E" w14:textId="77777777" w:rsidR="009A0A63" w:rsidRPr="00792B36" w:rsidRDefault="009A0A63" w:rsidP="00A24459">
            <w:pPr>
              <w:contextualSpacing/>
              <w:jc w:val="center"/>
              <w:rPr>
                <w:sz w:val="24"/>
                <w:szCs w:val="24"/>
              </w:rPr>
            </w:pPr>
            <w:r w:rsidRPr="00792B36">
              <w:rPr>
                <w:b/>
                <w:bCs/>
                <w:color w:val="000000"/>
                <w:sz w:val="24"/>
                <w:szCs w:val="24"/>
              </w:rPr>
              <w:t>2004</w:t>
            </w:r>
          </w:p>
        </w:tc>
        <w:tc>
          <w:tcPr>
            <w:tcW w:w="1177" w:type="dxa"/>
            <w:vAlign w:val="center"/>
          </w:tcPr>
          <w:p w14:paraId="0C3BB3EA" w14:textId="77777777" w:rsidR="009A0A63" w:rsidRPr="00792B36" w:rsidRDefault="009A0A63" w:rsidP="00A24459">
            <w:pPr>
              <w:contextualSpacing/>
              <w:jc w:val="center"/>
              <w:rPr>
                <w:sz w:val="24"/>
                <w:szCs w:val="24"/>
              </w:rPr>
            </w:pPr>
            <w:r w:rsidRPr="00792B36">
              <w:rPr>
                <w:color w:val="000000"/>
                <w:sz w:val="24"/>
                <w:szCs w:val="24"/>
              </w:rPr>
              <w:t>971.24</w:t>
            </w:r>
          </w:p>
        </w:tc>
        <w:tc>
          <w:tcPr>
            <w:tcW w:w="1095" w:type="dxa"/>
            <w:vAlign w:val="center"/>
          </w:tcPr>
          <w:p w14:paraId="6971CEC7" w14:textId="77777777" w:rsidR="009A0A63" w:rsidRPr="00792B36" w:rsidRDefault="009A0A63" w:rsidP="00A24459">
            <w:pPr>
              <w:contextualSpacing/>
              <w:jc w:val="center"/>
              <w:rPr>
                <w:sz w:val="24"/>
                <w:szCs w:val="24"/>
              </w:rPr>
            </w:pPr>
            <w:r w:rsidRPr="00792B36">
              <w:rPr>
                <w:color w:val="000000"/>
                <w:sz w:val="24"/>
                <w:szCs w:val="24"/>
              </w:rPr>
              <w:t>83.58</w:t>
            </w:r>
          </w:p>
        </w:tc>
        <w:tc>
          <w:tcPr>
            <w:tcW w:w="987" w:type="dxa"/>
            <w:vAlign w:val="center"/>
          </w:tcPr>
          <w:p w14:paraId="4E16A007" w14:textId="77777777" w:rsidR="009A0A63" w:rsidRPr="00792B36" w:rsidRDefault="009A0A63" w:rsidP="00A24459">
            <w:pPr>
              <w:contextualSpacing/>
              <w:jc w:val="center"/>
              <w:rPr>
                <w:sz w:val="24"/>
                <w:szCs w:val="24"/>
              </w:rPr>
            </w:pPr>
            <w:r w:rsidRPr="00792B36">
              <w:rPr>
                <w:color w:val="000000"/>
                <w:sz w:val="24"/>
                <w:szCs w:val="24"/>
              </w:rPr>
              <w:t>1,007.18</w:t>
            </w:r>
          </w:p>
        </w:tc>
        <w:tc>
          <w:tcPr>
            <w:tcW w:w="1080" w:type="dxa"/>
            <w:vAlign w:val="center"/>
          </w:tcPr>
          <w:p w14:paraId="5506106C" w14:textId="77777777" w:rsidR="009A0A63" w:rsidRPr="00792B36" w:rsidRDefault="009A0A63" w:rsidP="00A24459">
            <w:pPr>
              <w:contextualSpacing/>
              <w:jc w:val="center"/>
              <w:rPr>
                <w:sz w:val="24"/>
                <w:szCs w:val="24"/>
              </w:rPr>
            </w:pPr>
            <w:r w:rsidRPr="00792B36">
              <w:rPr>
                <w:color w:val="000000"/>
                <w:sz w:val="24"/>
                <w:szCs w:val="24"/>
              </w:rPr>
              <w:t>2,060.04</w:t>
            </w:r>
          </w:p>
        </w:tc>
        <w:tc>
          <w:tcPr>
            <w:tcW w:w="1177" w:type="dxa"/>
            <w:vAlign w:val="center"/>
          </w:tcPr>
          <w:p w14:paraId="64B0DDF1" w14:textId="77777777" w:rsidR="009A0A63" w:rsidRPr="00792B36" w:rsidRDefault="009A0A63" w:rsidP="00A24459">
            <w:pPr>
              <w:contextualSpacing/>
              <w:jc w:val="center"/>
              <w:rPr>
                <w:sz w:val="24"/>
                <w:szCs w:val="24"/>
              </w:rPr>
            </w:pPr>
            <w:r w:rsidRPr="00792B36">
              <w:rPr>
                <w:color w:val="000000"/>
                <w:sz w:val="24"/>
                <w:szCs w:val="24"/>
              </w:rPr>
              <w:t>142.41</w:t>
            </w:r>
          </w:p>
        </w:tc>
        <w:tc>
          <w:tcPr>
            <w:tcW w:w="1027" w:type="dxa"/>
            <w:vAlign w:val="center"/>
          </w:tcPr>
          <w:p w14:paraId="703F572A" w14:textId="77777777" w:rsidR="009A0A63" w:rsidRPr="00792B36" w:rsidRDefault="009A0A63" w:rsidP="00A24459">
            <w:pPr>
              <w:contextualSpacing/>
              <w:jc w:val="center"/>
              <w:rPr>
                <w:sz w:val="24"/>
                <w:szCs w:val="24"/>
              </w:rPr>
            </w:pPr>
            <w:r w:rsidRPr="00792B36">
              <w:rPr>
                <w:color w:val="000000"/>
                <w:sz w:val="24"/>
                <w:szCs w:val="24"/>
              </w:rPr>
              <w:t>4,333.79</w:t>
            </w:r>
          </w:p>
        </w:tc>
        <w:tc>
          <w:tcPr>
            <w:tcW w:w="957" w:type="dxa"/>
            <w:vAlign w:val="center"/>
          </w:tcPr>
          <w:p w14:paraId="48FFE6AF" w14:textId="77777777" w:rsidR="009A0A63" w:rsidRPr="00792B36" w:rsidRDefault="009A0A63" w:rsidP="00A24459">
            <w:pPr>
              <w:contextualSpacing/>
              <w:jc w:val="center"/>
              <w:rPr>
                <w:sz w:val="24"/>
                <w:szCs w:val="24"/>
              </w:rPr>
            </w:pPr>
            <w:r w:rsidRPr="00792B36">
              <w:rPr>
                <w:color w:val="000000"/>
                <w:sz w:val="24"/>
                <w:szCs w:val="24"/>
              </w:rPr>
              <w:t>2,039.51</w:t>
            </w:r>
          </w:p>
        </w:tc>
        <w:tc>
          <w:tcPr>
            <w:tcW w:w="900" w:type="dxa"/>
            <w:vAlign w:val="center"/>
          </w:tcPr>
          <w:p w14:paraId="1C41AE27" w14:textId="77777777" w:rsidR="009A0A63" w:rsidRPr="00792B36" w:rsidRDefault="009A0A63" w:rsidP="00A24459">
            <w:pPr>
              <w:contextualSpacing/>
              <w:jc w:val="center"/>
              <w:rPr>
                <w:sz w:val="24"/>
                <w:szCs w:val="24"/>
              </w:rPr>
            </w:pPr>
            <w:r w:rsidRPr="00792B36">
              <w:rPr>
                <w:color w:val="000000"/>
                <w:sz w:val="24"/>
                <w:szCs w:val="24"/>
              </w:rPr>
              <w:t>6,522.74</w:t>
            </w:r>
          </w:p>
        </w:tc>
      </w:tr>
      <w:tr w:rsidR="009A0A63" w:rsidRPr="00792B36" w14:paraId="0352BCFB" w14:textId="77777777" w:rsidTr="00A24459">
        <w:trPr>
          <w:trHeight w:val="340"/>
        </w:trPr>
        <w:tc>
          <w:tcPr>
            <w:tcW w:w="617" w:type="dxa"/>
            <w:vAlign w:val="center"/>
          </w:tcPr>
          <w:p w14:paraId="345FDC84" w14:textId="77777777" w:rsidR="009A0A63" w:rsidRPr="00792B36" w:rsidRDefault="009A0A63" w:rsidP="00A24459">
            <w:pPr>
              <w:contextualSpacing/>
              <w:jc w:val="center"/>
              <w:rPr>
                <w:sz w:val="24"/>
                <w:szCs w:val="24"/>
              </w:rPr>
            </w:pPr>
            <w:r w:rsidRPr="00792B36">
              <w:rPr>
                <w:b/>
                <w:bCs/>
                <w:color w:val="000000"/>
                <w:sz w:val="24"/>
                <w:szCs w:val="24"/>
              </w:rPr>
              <w:t>2005</w:t>
            </w:r>
          </w:p>
        </w:tc>
        <w:tc>
          <w:tcPr>
            <w:tcW w:w="1177" w:type="dxa"/>
            <w:vAlign w:val="center"/>
          </w:tcPr>
          <w:p w14:paraId="5C9B7524" w14:textId="77777777" w:rsidR="009A0A63" w:rsidRPr="00792B36" w:rsidRDefault="009A0A63" w:rsidP="00A24459">
            <w:pPr>
              <w:contextualSpacing/>
              <w:jc w:val="center"/>
              <w:rPr>
                <w:sz w:val="24"/>
                <w:szCs w:val="24"/>
              </w:rPr>
            </w:pPr>
            <w:r w:rsidRPr="00792B36">
              <w:rPr>
                <w:color w:val="000000"/>
                <w:sz w:val="24"/>
                <w:szCs w:val="24"/>
              </w:rPr>
              <w:t>990.64</w:t>
            </w:r>
          </w:p>
        </w:tc>
        <w:tc>
          <w:tcPr>
            <w:tcW w:w="1095" w:type="dxa"/>
            <w:vAlign w:val="center"/>
          </w:tcPr>
          <w:p w14:paraId="52E9C0F7" w14:textId="77777777" w:rsidR="009A0A63" w:rsidRPr="00792B36" w:rsidRDefault="009A0A63" w:rsidP="00A24459">
            <w:pPr>
              <w:contextualSpacing/>
              <w:jc w:val="center"/>
              <w:rPr>
                <w:sz w:val="24"/>
                <w:szCs w:val="24"/>
              </w:rPr>
            </w:pPr>
            <w:r w:rsidRPr="00792B36">
              <w:rPr>
                <w:color w:val="000000"/>
                <w:sz w:val="24"/>
                <w:szCs w:val="24"/>
              </w:rPr>
              <w:t>91.52</w:t>
            </w:r>
          </w:p>
        </w:tc>
        <w:tc>
          <w:tcPr>
            <w:tcW w:w="987" w:type="dxa"/>
            <w:vAlign w:val="center"/>
          </w:tcPr>
          <w:p w14:paraId="6C9CAA3B" w14:textId="77777777" w:rsidR="009A0A63" w:rsidRPr="00792B36" w:rsidRDefault="009A0A63" w:rsidP="00A24459">
            <w:pPr>
              <w:contextualSpacing/>
              <w:jc w:val="center"/>
              <w:rPr>
                <w:sz w:val="24"/>
                <w:szCs w:val="24"/>
              </w:rPr>
            </w:pPr>
            <w:r w:rsidRPr="00792B36">
              <w:rPr>
                <w:color w:val="000000"/>
                <w:sz w:val="24"/>
                <w:szCs w:val="24"/>
              </w:rPr>
              <w:t>860.19</w:t>
            </w:r>
          </w:p>
        </w:tc>
        <w:tc>
          <w:tcPr>
            <w:tcW w:w="1080" w:type="dxa"/>
            <w:vAlign w:val="center"/>
          </w:tcPr>
          <w:p w14:paraId="513B85DB" w14:textId="77777777" w:rsidR="009A0A63" w:rsidRPr="00792B36" w:rsidRDefault="009A0A63" w:rsidP="00A24459">
            <w:pPr>
              <w:contextualSpacing/>
              <w:jc w:val="center"/>
              <w:rPr>
                <w:sz w:val="24"/>
                <w:szCs w:val="24"/>
              </w:rPr>
            </w:pPr>
            <w:r w:rsidRPr="00792B36">
              <w:rPr>
                <w:color w:val="000000"/>
                <w:sz w:val="24"/>
                <w:szCs w:val="24"/>
              </w:rPr>
              <w:t>1,943.35</w:t>
            </w:r>
          </w:p>
        </w:tc>
        <w:tc>
          <w:tcPr>
            <w:tcW w:w="1177" w:type="dxa"/>
            <w:vAlign w:val="center"/>
          </w:tcPr>
          <w:p w14:paraId="738AF61A" w14:textId="77777777" w:rsidR="009A0A63" w:rsidRPr="00792B36" w:rsidRDefault="009A0A63" w:rsidP="00A24459">
            <w:pPr>
              <w:contextualSpacing/>
              <w:jc w:val="center"/>
              <w:rPr>
                <w:sz w:val="24"/>
                <w:szCs w:val="24"/>
              </w:rPr>
            </w:pPr>
            <w:r w:rsidRPr="00792B36">
              <w:rPr>
                <w:color w:val="000000"/>
                <w:sz w:val="24"/>
                <w:szCs w:val="24"/>
              </w:rPr>
              <w:t>111.43</w:t>
            </w:r>
          </w:p>
        </w:tc>
        <w:tc>
          <w:tcPr>
            <w:tcW w:w="1027" w:type="dxa"/>
            <w:vAlign w:val="center"/>
          </w:tcPr>
          <w:p w14:paraId="35103197" w14:textId="77777777" w:rsidR="009A0A63" w:rsidRPr="00792B36" w:rsidRDefault="009A0A63" w:rsidP="00A24459">
            <w:pPr>
              <w:contextualSpacing/>
              <w:jc w:val="center"/>
              <w:rPr>
                <w:sz w:val="24"/>
                <w:szCs w:val="24"/>
              </w:rPr>
            </w:pPr>
            <w:r w:rsidRPr="00792B36">
              <w:rPr>
                <w:color w:val="000000"/>
                <w:sz w:val="24"/>
                <w:szCs w:val="24"/>
              </w:rPr>
              <w:t>4,322.64</w:t>
            </w:r>
          </w:p>
        </w:tc>
        <w:tc>
          <w:tcPr>
            <w:tcW w:w="957" w:type="dxa"/>
            <w:vAlign w:val="center"/>
          </w:tcPr>
          <w:p w14:paraId="494B4825" w14:textId="77777777" w:rsidR="009A0A63" w:rsidRPr="00792B36" w:rsidRDefault="009A0A63" w:rsidP="00A24459">
            <w:pPr>
              <w:contextualSpacing/>
              <w:jc w:val="center"/>
              <w:rPr>
                <w:sz w:val="24"/>
                <w:szCs w:val="24"/>
              </w:rPr>
            </w:pPr>
            <w:r w:rsidRPr="00792B36">
              <w:rPr>
                <w:color w:val="000000"/>
                <w:sz w:val="24"/>
                <w:szCs w:val="24"/>
              </w:rPr>
              <w:t>1,882.41</w:t>
            </w:r>
          </w:p>
        </w:tc>
        <w:tc>
          <w:tcPr>
            <w:tcW w:w="900" w:type="dxa"/>
            <w:vAlign w:val="center"/>
          </w:tcPr>
          <w:p w14:paraId="681B888F" w14:textId="77777777" w:rsidR="009A0A63" w:rsidRPr="00792B36" w:rsidRDefault="009A0A63" w:rsidP="00A24459">
            <w:pPr>
              <w:contextualSpacing/>
              <w:jc w:val="center"/>
              <w:rPr>
                <w:sz w:val="24"/>
                <w:szCs w:val="24"/>
              </w:rPr>
            </w:pPr>
            <w:r w:rsidRPr="00792B36">
              <w:rPr>
                <w:color w:val="000000"/>
                <w:sz w:val="24"/>
                <w:szCs w:val="24"/>
              </w:rPr>
              <w:t>6,328.90</w:t>
            </w:r>
          </w:p>
        </w:tc>
      </w:tr>
      <w:tr w:rsidR="009A0A63" w:rsidRPr="00792B36" w14:paraId="7D60DABB" w14:textId="77777777" w:rsidTr="00A24459">
        <w:trPr>
          <w:trHeight w:val="340"/>
        </w:trPr>
        <w:tc>
          <w:tcPr>
            <w:tcW w:w="617" w:type="dxa"/>
            <w:vAlign w:val="center"/>
          </w:tcPr>
          <w:p w14:paraId="1828934C" w14:textId="77777777" w:rsidR="009A0A63" w:rsidRPr="00792B36" w:rsidRDefault="009A0A63" w:rsidP="00A24459">
            <w:pPr>
              <w:contextualSpacing/>
              <w:jc w:val="center"/>
              <w:rPr>
                <w:sz w:val="24"/>
                <w:szCs w:val="24"/>
              </w:rPr>
            </w:pPr>
            <w:r w:rsidRPr="00792B36">
              <w:rPr>
                <w:b/>
                <w:bCs/>
                <w:color w:val="000000"/>
                <w:sz w:val="24"/>
                <w:szCs w:val="24"/>
              </w:rPr>
              <w:t>2006</w:t>
            </w:r>
          </w:p>
        </w:tc>
        <w:tc>
          <w:tcPr>
            <w:tcW w:w="1177" w:type="dxa"/>
            <w:vAlign w:val="center"/>
          </w:tcPr>
          <w:p w14:paraId="67A7813B" w14:textId="77777777" w:rsidR="009A0A63" w:rsidRPr="00792B36" w:rsidRDefault="009A0A63" w:rsidP="00A24459">
            <w:pPr>
              <w:contextualSpacing/>
              <w:jc w:val="center"/>
              <w:rPr>
                <w:sz w:val="24"/>
                <w:szCs w:val="24"/>
              </w:rPr>
            </w:pPr>
            <w:r w:rsidRPr="00792B36">
              <w:rPr>
                <w:color w:val="000000"/>
                <w:sz w:val="24"/>
                <w:szCs w:val="24"/>
              </w:rPr>
              <w:t>1,107.94</w:t>
            </w:r>
          </w:p>
        </w:tc>
        <w:tc>
          <w:tcPr>
            <w:tcW w:w="1095" w:type="dxa"/>
            <w:vAlign w:val="center"/>
          </w:tcPr>
          <w:p w14:paraId="2015B53D" w14:textId="77777777" w:rsidR="009A0A63" w:rsidRPr="00792B36" w:rsidRDefault="009A0A63" w:rsidP="00A24459">
            <w:pPr>
              <w:contextualSpacing/>
              <w:jc w:val="center"/>
              <w:rPr>
                <w:sz w:val="24"/>
                <w:szCs w:val="24"/>
              </w:rPr>
            </w:pPr>
            <w:r w:rsidRPr="00792B36">
              <w:rPr>
                <w:color w:val="000000"/>
                <w:sz w:val="24"/>
                <w:szCs w:val="24"/>
              </w:rPr>
              <w:t>87.87</w:t>
            </w:r>
          </w:p>
        </w:tc>
        <w:tc>
          <w:tcPr>
            <w:tcW w:w="987" w:type="dxa"/>
            <w:vAlign w:val="center"/>
          </w:tcPr>
          <w:p w14:paraId="7BD6A1D9" w14:textId="77777777" w:rsidR="009A0A63" w:rsidRPr="00792B36" w:rsidRDefault="009A0A63" w:rsidP="00A24459">
            <w:pPr>
              <w:contextualSpacing/>
              <w:jc w:val="center"/>
              <w:rPr>
                <w:sz w:val="24"/>
                <w:szCs w:val="24"/>
              </w:rPr>
            </w:pPr>
            <w:r w:rsidRPr="00792B36">
              <w:rPr>
                <w:color w:val="000000"/>
                <w:sz w:val="24"/>
                <w:szCs w:val="24"/>
              </w:rPr>
              <w:t>1,005.95</w:t>
            </w:r>
          </w:p>
        </w:tc>
        <w:tc>
          <w:tcPr>
            <w:tcW w:w="1080" w:type="dxa"/>
            <w:vAlign w:val="center"/>
          </w:tcPr>
          <w:p w14:paraId="740C06FA" w14:textId="77777777" w:rsidR="009A0A63" w:rsidRPr="00792B36" w:rsidRDefault="009A0A63" w:rsidP="00A24459">
            <w:pPr>
              <w:contextualSpacing/>
              <w:jc w:val="center"/>
              <w:rPr>
                <w:sz w:val="24"/>
                <w:szCs w:val="24"/>
              </w:rPr>
            </w:pPr>
            <w:r w:rsidRPr="00792B36">
              <w:rPr>
                <w:color w:val="000000"/>
                <w:sz w:val="24"/>
                <w:szCs w:val="24"/>
              </w:rPr>
              <w:t>2,201.55</w:t>
            </w:r>
          </w:p>
        </w:tc>
        <w:tc>
          <w:tcPr>
            <w:tcW w:w="1177" w:type="dxa"/>
            <w:vAlign w:val="center"/>
          </w:tcPr>
          <w:p w14:paraId="0C749C7C" w14:textId="77777777" w:rsidR="009A0A63" w:rsidRPr="00792B36" w:rsidRDefault="009A0A63" w:rsidP="00A24459">
            <w:pPr>
              <w:contextualSpacing/>
              <w:jc w:val="center"/>
              <w:rPr>
                <w:sz w:val="24"/>
                <w:szCs w:val="24"/>
              </w:rPr>
            </w:pPr>
            <w:r w:rsidRPr="00792B36">
              <w:rPr>
                <w:color w:val="000000"/>
                <w:sz w:val="24"/>
                <w:szCs w:val="24"/>
              </w:rPr>
              <w:t>89.35</w:t>
            </w:r>
          </w:p>
        </w:tc>
        <w:tc>
          <w:tcPr>
            <w:tcW w:w="1027" w:type="dxa"/>
            <w:vAlign w:val="center"/>
          </w:tcPr>
          <w:p w14:paraId="70A3F7AB" w14:textId="77777777" w:rsidR="009A0A63" w:rsidRPr="00792B36" w:rsidRDefault="009A0A63" w:rsidP="00A24459">
            <w:pPr>
              <w:contextualSpacing/>
              <w:jc w:val="center"/>
              <w:rPr>
                <w:sz w:val="24"/>
                <w:szCs w:val="24"/>
              </w:rPr>
            </w:pPr>
            <w:r w:rsidRPr="00792B36">
              <w:rPr>
                <w:color w:val="000000"/>
                <w:sz w:val="24"/>
                <w:szCs w:val="24"/>
              </w:rPr>
              <w:t>4,068.23</w:t>
            </w:r>
          </w:p>
        </w:tc>
        <w:tc>
          <w:tcPr>
            <w:tcW w:w="957" w:type="dxa"/>
            <w:vAlign w:val="center"/>
          </w:tcPr>
          <w:p w14:paraId="5D6144EB" w14:textId="77777777" w:rsidR="009A0A63" w:rsidRPr="00792B36" w:rsidRDefault="009A0A63" w:rsidP="00A24459">
            <w:pPr>
              <w:contextualSpacing/>
              <w:jc w:val="center"/>
              <w:rPr>
                <w:sz w:val="24"/>
                <w:szCs w:val="24"/>
              </w:rPr>
            </w:pPr>
            <w:r w:rsidRPr="00792B36">
              <w:rPr>
                <w:color w:val="000000"/>
                <w:sz w:val="24"/>
                <w:szCs w:val="24"/>
              </w:rPr>
              <w:t>2,228.93</w:t>
            </w:r>
          </w:p>
        </w:tc>
        <w:tc>
          <w:tcPr>
            <w:tcW w:w="900" w:type="dxa"/>
            <w:vAlign w:val="center"/>
          </w:tcPr>
          <w:p w14:paraId="779DD77D" w14:textId="77777777" w:rsidR="009A0A63" w:rsidRPr="00792B36" w:rsidRDefault="009A0A63" w:rsidP="00A24459">
            <w:pPr>
              <w:contextualSpacing/>
              <w:jc w:val="center"/>
              <w:rPr>
                <w:sz w:val="24"/>
                <w:szCs w:val="24"/>
              </w:rPr>
            </w:pPr>
            <w:r w:rsidRPr="00792B36">
              <w:rPr>
                <w:color w:val="000000"/>
                <w:sz w:val="24"/>
                <w:szCs w:val="24"/>
              </w:rPr>
              <w:t>6,411.51</w:t>
            </w:r>
          </w:p>
        </w:tc>
      </w:tr>
      <w:tr w:rsidR="009A0A63" w:rsidRPr="00792B36" w14:paraId="61AF5D5D" w14:textId="77777777" w:rsidTr="00A24459">
        <w:trPr>
          <w:trHeight w:val="340"/>
        </w:trPr>
        <w:tc>
          <w:tcPr>
            <w:tcW w:w="617" w:type="dxa"/>
            <w:vAlign w:val="center"/>
          </w:tcPr>
          <w:p w14:paraId="07B42F99" w14:textId="77777777" w:rsidR="009A0A63" w:rsidRPr="00792B36" w:rsidRDefault="009A0A63" w:rsidP="00A24459">
            <w:pPr>
              <w:contextualSpacing/>
              <w:jc w:val="center"/>
              <w:rPr>
                <w:sz w:val="24"/>
                <w:szCs w:val="24"/>
              </w:rPr>
            </w:pPr>
            <w:r w:rsidRPr="00792B36">
              <w:rPr>
                <w:b/>
                <w:bCs/>
                <w:color w:val="000000"/>
                <w:sz w:val="24"/>
                <w:szCs w:val="24"/>
              </w:rPr>
              <w:t>2007</w:t>
            </w:r>
          </w:p>
        </w:tc>
        <w:tc>
          <w:tcPr>
            <w:tcW w:w="1177" w:type="dxa"/>
            <w:vAlign w:val="center"/>
          </w:tcPr>
          <w:p w14:paraId="2692B735" w14:textId="77777777" w:rsidR="009A0A63" w:rsidRPr="00792B36" w:rsidRDefault="009A0A63" w:rsidP="00A24459">
            <w:pPr>
              <w:contextualSpacing/>
              <w:jc w:val="center"/>
              <w:rPr>
                <w:sz w:val="24"/>
                <w:szCs w:val="24"/>
              </w:rPr>
            </w:pPr>
            <w:r w:rsidRPr="00792B36">
              <w:rPr>
                <w:color w:val="000000"/>
                <w:sz w:val="24"/>
                <w:szCs w:val="24"/>
              </w:rPr>
              <w:t>1,114.67</w:t>
            </w:r>
          </w:p>
        </w:tc>
        <w:tc>
          <w:tcPr>
            <w:tcW w:w="1095" w:type="dxa"/>
            <w:vAlign w:val="center"/>
          </w:tcPr>
          <w:p w14:paraId="658B2FB0" w14:textId="77777777" w:rsidR="009A0A63" w:rsidRPr="00792B36" w:rsidRDefault="009A0A63" w:rsidP="00A24459">
            <w:pPr>
              <w:contextualSpacing/>
              <w:jc w:val="center"/>
              <w:rPr>
                <w:sz w:val="24"/>
                <w:szCs w:val="24"/>
              </w:rPr>
            </w:pPr>
            <w:r w:rsidRPr="00792B36">
              <w:rPr>
                <w:color w:val="000000"/>
                <w:sz w:val="24"/>
                <w:szCs w:val="24"/>
              </w:rPr>
              <w:t>98.39</w:t>
            </w:r>
          </w:p>
        </w:tc>
        <w:tc>
          <w:tcPr>
            <w:tcW w:w="987" w:type="dxa"/>
            <w:vAlign w:val="center"/>
          </w:tcPr>
          <w:p w14:paraId="27B15F10" w14:textId="77777777" w:rsidR="009A0A63" w:rsidRPr="00792B36" w:rsidRDefault="009A0A63" w:rsidP="00A24459">
            <w:pPr>
              <w:contextualSpacing/>
              <w:jc w:val="center"/>
              <w:rPr>
                <w:sz w:val="24"/>
                <w:szCs w:val="24"/>
              </w:rPr>
            </w:pPr>
            <w:r w:rsidRPr="00792B36">
              <w:rPr>
                <w:color w:val="000000"/>
                <w:sz w:val="24"/>
                <w:szCs w:val="24"/>
              </w:rPr>
              <w:t>1,001.67</w:t>
            </w:r>
          </w:p>
        </w:tc>
        <w:tc>
          <w:tcPr>
            <w:tcW w:w="1080" w:type="dxa"/>
            <w:vAlign w:val="center"/>
          </w:tcPr>
          <w:p w14:paraId="5A98A068" w14:textId="77777777" w:rsidR="009A0A63" w:rsidRPr="00792B36" w:rsidRDefault="009A0A63" w:rsidP="00A24459">
            <w:pPr>
              <w:contextualSpacing/>
              <w:jc w:val="center"/>
              <w:rPr>
                <w:sz w:val="24"/>
                <w:szCs w:val="24"/>
              </w:rPr>
            </w:pPr>
            <w:r w:rsidRPr="00792B36">
              <w:rPr>
                <w:color w:val="000000"/>
                <w:sz w:val="24"/>
                <w:szCs w:val="24"/>
              </w:rPr>
              <w:t>2,215.84</w:t>
            </w:r>
          </w:p>
        </w:tc>
        <w:tc>
          <w:tcPr>
            <w:tcW w:w="1177" w:type="dxa"/>
            <w:vAlign w:val="center"/>
          </w:tcPr>
          <w:p w14:paraId="2C4EAD71" w14:textId="77777777" w:rsidR="009A0A63" w:rsidRPr="00792B36" w:rsidRDefault="009A0A63" w:rsidP="00A24459">
            <w:pPr>
              <w:contextualSpacing/>
              <w:jc w:val="center"/>
              <w:rPr>
                <w:sz w:val="24"/>
                <w:szCs w:val="24"/>
              </w:rPr>
            </w:pPr>
            <w:r w:rsidRPr="00792B36">
              <w:rPr>
                <w:color w:val="000000"/>
                <w:sz w:val="24"/>
                <w:szCs w:val="24"/>
              </w:rPr>
              <w:t>55.54</w:t>
            </w:r>
          </w:p>
        </w:tc>
        <w:tc>
          <w:tcPr>
            <w:tcW w:w="1027" w:type="dxa"/>
            <w:vAlign w:val="center"/>
          </w:tcPr>
          <w:p w14:paraId="6160A4F6" w14:textId="77777777" w:rsidR="009A0A63" w:rsidRPr="00792B36" w:rsidRDefault="009A0A63" w:rsidP="00A24459">
            <w:pPr>
              <w:contextualSpacing/>
              <w:jc w:val="center"/>
              <w:rPr>
                <w:sz w:val="24"/>
                <w:szCs w:val="24"/>
              </w:rPr>
            </w:pPr>
            <w:r w:rsidRPr="00792B36">
              <w:rPr>
                <w:color w:val="000000"/>
                <w:sz w:val="24"/>
                <w:szCs w:val="24"/>
              </w:rPr>
              <w:t>3,758.28</w:t>
            </w:r>
          </w:p>
        </w:tc>
        <w:tc>
          <w:tcPr>
            <w:tcW w:w="957" w:type="dxa"/>
            <w:vAlign w:val="center"/>
          </w:tcPr>
          <w:p w14:paraId="53A55432" w14:textId="77777777" w:rsidR="009A0A63" w:rsidRPr="00792B36" w:rsidRDefault="009A0A63" w:rsidP="00A24459">
            <w:pPr>
              <w:contextualSpacing/>
              <w:jc w:val="center"/>
              <w:rPr>
                <w:sz w:val="24"/>
                <w:szCs w:val="24"/>
              </w:rPr>
            </w:pPr>
            <w:r w:rsidRPr="00792B36">
              <w:rPr>
                <w:color w:val="000000"/>
                <w:sz w:val="24"/>
                <w:szCs w:val="24"/>
              </w:rPr>
              <w:t>3,763.18</w:t>
            </w:r>
          </w:p>
        </w:tc>
        <w:tc>
          <w:tcPr>
            <w:tcW w:w="900" w:type="dxa"/>
            <w:vAlign w:val="center"/>
          </w:tcPr>
          <w:p w14:paraId="089BF269" w14:textId="77777777" w:rsidR="009A0A63" w:rsidRPr="00792B36" w:rsidRDefault="009A0A63" w:rsidP="00A24459">
            <w:pPr>
              <w:contextualSpacing/>
              <w:jc w:val="center"/>
              <w:rPr>
                <w:sz w:val="24"/>
                <w:szCs w:val="24"/>
              </w:rPr>
            </w:pPr>
            <w:r w:rsidRPr="00792B36">
              <w:rPr>
                <w:color w:val="000000"/>
                <w:sz w:val="24"/>
                <w:szCs w:val="24"/>
              </w:rPr>
              <w:t>7,619.40</w:t>
            </w:r>
          </w:p>
        </w:tc>
      </w:tr>
      <w:tr w:rsidR="009A0A63" w:rsidRPr="00792B36" w14:paraId="5156A76C" w14:textId="77777777" w:rsidTr="00A24459">
        <w:trPr>
          <w:trHeight w:val="340"/>
        </w:trPr>
        <w:tc>
          <w:tcPr>
            <w:tcW w:w="617" w:type="dxa"/>
            <w:vAlign w:val="center"/>
          </w:tcPr>
          <w:p w14:paraId="1F9DB3F8" w14:textId="77777777" w:rsidR="009A0A63" w:rsidRPr="00792B36" w:rsidRDefault="009A0A63" w:rsidP="00A24459">
            <w:pPr>
              <w:contextualSpacing/>
              <w:jc w:val="center"/>
              <w:rPr>
                <w:sz w:val="24"/>
                <w:szCs w:val="24"/>
              </w:rPr>
            </w:pPr>
            <w:r w:rsidRPr="00792B36">
              <w:rPr>
                <w:b/>
                <w:bCs/>
                <w:color w:val="000000"/>
                <w:sz w:val="24"/>
                <w:szCs w:val="24"/>
              </w:rPr>
              <w:t>2008</w:t>
            </w:r>
          </w:p>
        </w:tc>
        <w:tc>
          <w:tcPr>
            <w:tcW w:w="1177" w:type="dxa"/>
            <w:vAlign w:val="center"/>
          </w:tcPr>
          <w:p w14:paraId="000DFC40" w14:textId="77777777" w:rsidR="009A0A63" w:rsidRPr="00792B36" w:rsidRDefault="009A0A63" w:rsidP="00A24459">
            <w:pPr>
              <w:contextualSpacing/>
              <w:jc w:val="center"/>
              <w:rPr>
                <w:sz w:val="24"/>
                <w:szCs w:val="24"/>
              </w:rPr>
            </w:pPr>
            <w:r w:rsidRPr="00792B36">
              <w:rPr>
                <w:color w:val="000000"/>
                <w:sz w:val="24"/>
                <w:szCs w:val="24"/>
              </w:rPr>
              <w:t>1,246.05</w:t>
            </w:r>
          </w:p>
        </w:tc>
        <w:tc>
          <w:tcPr>
            <w:tcW w:w="1095" w:type="dxa"/>
            <w:vAlign w:val="center"/>
          </w:tcPr>
          <w:p w14:paraId="3392DDD8" w14:textId="77777777" w:rsidR="009A0A63" w:rsidRPr="00792B36" w:rsidRDefault="009A0A63" w:rsidP="00A24459">
            <w:pPr>
              <w:contextualSpacing/>
              <w:jc w:val="center"/>
              <w:rPr>
                <w:sz w:val="24"/>
                <w:szCs w:val="24"/>
              </w:rPr>
            </w:pPr>
            <w:r w:rsidRPr="00792B36">
              <w:rPr>
                <w:color w:val="000000"/>
                <w:sz w:val="24"/>
                <w:szCs w:val="24"/>
              </w:rPr>
              <w:t>116.42</w:t>
            </w:r>
          </w:p>
        </w:tc>
        <w:tc>
          <w:tcPr>
            <w:tcW w:w="987" w:type="dxa"/>
            <w:vAlign w:val="center"/>
          </w:tcPr>
          <w:p w14:paraId="245582F6" w14:textId="77777777" w:rsidR="009A0A63" w:rsidRPr="00792B36" w:rsidRDefault="009A0A63" w:rsidP="00A24459">
            <w:pPr>
              <w:contextualSpacing/>
              <w:jc w:val="center"/>
              <w:rPr>
                <w:sz w:val="24"/>
                <w:szCs w:val="24"/>
              </w:rPr>
            </w:pPr>
            <w:r w:rsidRPr="00792B36">
              <w:rPr>
                <w:color w:val="000000"/>
                <w:sz w:val="24"/>
                <w:szCs w:val="24"/>
              </w:rPr>
              <w:t>944.97</w:t>
            </w:r>
          </w:p>
        </w:tc>
        <w:tc>
          <w:tcPr>
            <w:tcW w:w="1080" w:type="dxa"/>
            <w:vAlign w:val="center"/>
          </w:tcPr>
          <w:p w14:paraId="7F8DD029" w14:textId="77777777" w:rsidR="009A0A63" w:rsidRPr="00792B36" w:rsidRDefault="009A0A63" w:rsidP="00A24459">
            <w:pPr>
              <w:contextualSpacing/>
              <w:jc w:val="center"/>
              <w:rPr>
                <w:sz w:val="24"/>
                <w:szCs w:val="24"/>
              </w:rPr>
            </w:pPr>
            <w:r w:rsidRPr="00792B36">
              <w:rPr>
                <w:color w:val="000000"/>
                <w:sz w:val="24"/>
                <w:szCs w:val="24"/>
              </w:rPr>
              <w:t>2,316.59</w:t>
            </w:r>
          </w:p>
        </w:tc>
        <w:tc>
          <w:tcPr>
            <w:tcW w:w="1177" w:type="dxa"/>
            <w:vAlign w:val="center"/>
          </w:tcPr>
          <w:p w14:paraId="7E77A8F4" w14:textId="77777777" w:rsidR="009A0A63" w:rsidRPr="00792B36" w:rsidRDefault="009A0A63" w:rsidP="00A24459">
            <w:pPr>
              <w:contextualSpacing/>
              <w:jc w:val="center"/>
              <w:rPr>
                <w:sz w:val="24"/>
                <w:szCs w:val="24"/>
              </w:rPr>
            </w:pPr>
            <w:r w:rsidRPr="00792B36">
              <w:rPr>
                <w:color w:val="000000"/>
                <w:sz w:val="24"/>
                <w:szCs w:val="24"/>
              </w:rPr>
              <w:t>48.31</w:t>
            </w:r>
          </w:p>
        </w:tc>
        <w:tc>
          <w:tcPr>
            <w:tcW w:w="1027" w:type="dxa"/>
            <w:vAlign w:val="center"/>
          </w:tcPr>
          <w:p w14:paraId="4F99A6C7" w14:textId="77777777" w:rsidR="009A0A63" w:rsidRPr="00792B36" w:rsidRDefault="009A0A63" w:rsidP="00A24459">
            <w:pPr>
              <w:contextualSpacing/>
              <w:jc w:val="center"/>
              <w:rPr>
                <w:sz w:val="24"/>
                <w:szCs w:val="24"/>
              </w:rPr>
            </w:pPr>
            <w:r w:rsidRPr="00792B36">
              <w:rPr>
                <w:color w:val="000000"/>
                <w:sz w:val="24"/>
                <w:szCs w:val="24"/>
              </w:rPr>
              <w:t>3,569.30</w:t>
            </w:r>
          </w:p>
        </w:tc>
        <w:tc>
          <w:tcPr>
            <w:tcW w:w="957" w:type="dxa"/>
            <w:vAlign w:val="center"/>
          </w:tcPr>
          <w:p w14:paraId="54A01029" w14:textId="77777777" w:rsidR="009A0A63" w:rsidRPr="00792B36" w:rsidRDefault="009A0A63" w:rsidP="00A24459">
            <w:pPr>
              <w:contextualSpacing/>
              <w:jc w:val="center"/>
              <w:rPr>
                <w:sz w:val="24"/>
                <w:szCs w:val="24"/>
              </w:rPr>
            </w:pPr>
            <w:r w:rsidRPr="00792B36">
              <w:rPr>
                <w:color w:val="000000"/>
                <w:sz w:val="24"/>
                <w:szCs w:val="24"/>
              </w:rPr>
              <w:t>3,448.15</w:t>
            </w:r>
          </w:p>
        </w:tc>
        <w:tc>
          <w:tcPr>
            <w:tcW w:w="900" w:type="dxa"/>
            <w:vAlign w:val="center"/>
          </w:tcPr>
          <w:p w14:paraId="1B98D601" w14:textId="77777777" w:rsidR="009A0A63" w:rsidRPr="00792B36" w:rsidRDefault="009A0A63" w:rsidP="00A24459">
            <w:pPr>
              <w:contextualSpacing/>
              <w:jc w:val="center"/>
              <w:rPr>
                <w:sz w:val="24"/>
                <w:szCs w:val="24"/>
              </w:rPr>
            </w:pPr>
            <w:r w:rsidRPr="00792B36">
              <w:rPr>
                <w:color w:val="000000"/>
                <w:sz w:val="24"/>
                <w:szCs w:val="24"/>
              </w:rPr>
              <w:t>7,106.10</w:t>
            </w:r>
          </w:p>
        </w:tc>
      </w:tr>
      <w:tr w:rsidR="009A0A63" w:rsidRPr="00792B36" w14:paraId="660F3B34" w14:textId="77777777" w:rsidTr="00A24459">
        <w:trPr>
          <w:trHeight w:val="340"/>
        </w:trPr>
        <w:tc>
          <w:tcPr>
            <w:tcW w:w="617" w:type="dxa"/>
            <w:vAlign w:val="center"/>
          </w:tcPr>
          <w:p w14:paraId="0461C9E2" w14:textId="77777777" w:rsidR="009A0A63" w:rsidRPr="00792B36" w:rsidRDefault="009A0A63" w:rsidP="00A24459">
            <w:pPr>
              <w:contextualSpacing/>
              <w:jc w:val="center"/>
              <w:rPr>
                <w:sz w:val="24"/>
                <w:szCs w:val="24"/>
              </w:rPr>
            </w:pPr>
            <w:r w:rsidRPr="00792B36">
              <w:rPr>
                <w:b/>
                <w:bCs/>
                <w:color w:val="000000"/>
                <w:sz w:val="24"/>
                <w:szCs w:val="24"/>
              </w:rPr>
              <w:t>2009</w:t>
            </w:r>
          </w:p>
        </w:tc>
        <w:tc>
          <w:tcPr>
            <w:tcW w:w="1177" w:type="dxa"/>
            <w:vAlign w:val="center"/>
          </w:tcPr>
          <w:p w14:paraId="368A88F1" w14:textId="77777777" w:rsidR="009A0A63" w:rsidRPr="00792B36" w:rsidRDefault="009A0A63" w:rsidP="00A24459">
            <w:pPr>
              <w:contextualSpacing/>
              <w:jc w:val="center"/>
              <w:rPr>
                <w:sz w:val="24"/>
                <w:szCs w:val="24"/>
              </w:rPr>
            </w:pPr>
            <w:r w:rsidRPr="00792B36">
              <w:rPr>
                <w:color w:val="000000"/>
                <w:sz w:val="24"/>
                <w:szCs w:val="24"/>
              </w:rPr>
              <w:t>1,108.71</w:t>
            </w:r>
          </w:p>
        </w:tc>
        <w:tc>
          <w:tcPr>
            <w:tcW w:w="1095" w:type="dxa"/>
            <w:vAlign w:val="center"/>
          </w:tcPr>
          <w:p w14:paraId="7BB454F9" w14:textId="77777777" w:rsidR="009A0A63" w:rsidRPr="00792B36" w:rsidRDefault="009A0A63" w:rsidP="00A24459">
            <w:pPr>
              <w:contextualSpacing/>
              <w:jc w:val="center"/>
              <w:rPr>
                <w:sz w:val="24"/>
                <w:szCs w:val="24"/>
              </w:rPr>
            </w:pPr>
            <w:r w:rsidRPr="00792B36">
              <w:rPr>
                <w:color w:val="000000"/>
                <w:sz w:val="24"/>
                <w:szCs w:val="24"/>
              </w:rPr>
              <w:t>104.05</w:t>
            </w:r>
          </w:p>
        </w:tc>
        <w:tc>
          <w:tcPr>
            <w:tcW w:w="987" w:type="dxa"/>
            <w:vAlign w:val="center"/>
          </w:tcPr>
          <w:p w14:paraId="502CC2FA" w14:textId="77777777" w:rsidR="009A0A63" w:rsidRPr="00792B36" w:rsidRDefault="009A0A63" w:rsidP="00A24459">
            <w:pPr>
              <w:contextualSpacing/>
              <w:jc w:val="center"/>
              <w:rPr>
                <w:sz w:val="24"/>
                <w:szCs w:val="24"/>
              </w:rPr>
            </w:pPr>
            <w:r w:rsidRPr="00792B36">
              <w:rPr>
                <w:color w:val="000000"/>
                <w:sz w:val="24"/>
                <w:szCs w:val="24"/>
              </w:rPr>
              <w:t>908.46</w:t>
            </w:r>
          </w:p>
        </w:tc>
        <w:tc>
          <w:tcPr>
            <w:tcW w:w="1080" w:type="dxa"/>
            <w:vAlign w:val="center"/>
          </w:tcPr>
          <w:p w14:paraId="6040C7A9" w14:textId="77777777" w:rsidR="009A0A63" w:rsidRPr="00792B36" w:rsidRDefault="009A0A63" w:rsidP="00A24459">
            <w:pPr>
              <w:contextualSpacing/>
              <w:jc w:val="center"/>
              <w:rPr>
                <w:sz w:val="24"/>
                <w:szCs w:val="24"/>
              </w:rPr>
            </w:pPr>
            <w:r w:rsidRPr="00792B36">
              <w:rPr>
                <w:color w:val="000000"/>
                <w:sz w:val="24"/>
                <w:szCs w:val="24"/>
              </w:rPr>
              <w:t>2,129.60</w:t>
            </w:r>
          </w:p>
        </w:tc>
        <w:tc>
          <w:tcPr>
            <w:tcW w:w="1177" w:type="dxa"/>
            <w:vAlign w:val="center"/>
          </w:tcPr>
          <w:p w14:paraId="30388C3E" w14:textId="77777777" w:rsidR="009A0A63" w:rsidRPr="00792B36" w:rsidRDefault="009A0A63" w:rsidP="00A24459">
            <w:pPr>
              <w:contextualSpacing/>
              <w:jc w:val="center"/>
              <w:rPr>
                <w:sz w:val="24"/>
                <w:szCs w:val="24"/>
              </w:rPr>
            </w:pPr>
            <w:r w:rsidRPr="00792B36">
              <w:rPr>
                <w:color w:val="000000"/>
                <w:sz w:val="24"/>
                <w:szCs w:val="24"/>
              </w:rPr>
              <w:t>48.78</w:t>
            </w:r>
          </w:p>
        </w:tc>
        <w:tc>
          <w:tcPr>
            <w:tcW w:w="1027" w:type="dxa"/>
            <w:vAlign w:val="center"/>
          </w:tcPr>
          <w:p w14:paraId="0468E4F1" w14:textId="77777777" w:rsidR="009A0A63" w:rsidRPr="00792B36" w:rsidRDefault="009A0A63" w:rsidP="00A24459">
            <w:pPr>
              <w:contextualSpacing/>
              <w:jc w:val="center"/>
              <w:rPr>
                <w:sz w:val="24"/>
                <w:szCs w:val="24"/>
              </w:rPr>
            </w:pPr>
            <w:r w:rsidRPr="00792B36">
              <w:rPr>
                <w:color w:val="000000"/>
                <w:sz w:val="24"/>
                <w:szCs w:val="24"/>
              </w:rPr>
              <w:t>2,951.43</w:t>
            </w:r>
          </w:p>
        </w:tc>
        <w:tc>
          <w:tcPr>
            <w:tcW w:w="957" w:type="dxa"/>
            <w:vAlign w:val="center"/>
          </w:tcPr>
          <w:p w14:paraId="4723B0CA" w14:textId="77777777" w:rsidR="009A0A63" w:rsidRPr="00792B36" w:rsidRDefault="009A0A63" w:rsidP="00A24459">
            <w:pPr>
              <w:contextualSpacing/>
              <w:jc w:val="center"/>
              <w:rPr>
                <w:sz w:val="24"/>
                <w:szCs w:val="24"/>
              </w:rPr>
            </w:pPr>
            <w:r w:rsidRPr="00792B36">
              <w:rPr>
                <w:color w:val="000000"/>
                <w:sz w:val="24"/>
                <w:szCs w:val="24"/>
              </w:rPr>
              <w:t>3,061.06</w:t>
            </w:r>
          </w:p>
        </w:tc>
        <w:tc>
          <w:tcPr>
            <w:tcW w:w="900" w:type="dxa"/>
            <w:vAlign w:val="center"/>
          </w:tcPr>
          <w:p w14:paraId="3F421AE9" w14:textId="77777777" w:rsidR="009A0A63" w:rsidRPr="00792B36" w:rsidRDefault="009A0A63" w:rsidP="00A24459">
            <w:pPr>
              <w:contextualSpacing/>
              <w:jc w:val="center"/>
              <w:rPr>
                <w:sz w:val="24"/>
                <w:szCs w:val="24"/>
              </w:rPr>
            </w:pPr>
            <w:r w:rsidRPr="00792B36">
              <w:rPr>
                <w:color w:val="000000"/>
                <w:sz w:val="24"/>
                <w:szCs w:val="24"/>
              </w:rPr>
              <w:t>6,092.11</w:t>
            </w:r>
          </w:p>
        </w:tc>
      </w:tr>
      <w:tr w:rsidR="009A0A63" w:rsidRPr="00792B36" w14:paraId="4CDB3F15" w14:textId="77777777" w:rsidTr="00A24459">
        <w:trPr>
          <w:trHeight w:val="340"/>
        </w:trPr>
        <w:tc>
          <w:tcPr>
            <w:tcW w:w="617" w:type="dxa"/>
            <w:vAlign w:val="center"/>
          </w:tcPr>
          <w:p w14:paraId="715F1C92" w14:textId="77777777" w:rsidR="009A0A63" w:rsidRPr="00792B36" w:rsidRDefault="009A0A63" w:rsidP="00A24459">
            <w:pPr>
              <w:contextualSpacing/>
              <w:jc w:val="center"/>
              <w:rPr>
                <w:sz w:val="24"/>
                <w:szCs w:val="24"/>
              </w:rPr>
            </w:pPr>
            <w:r w:rsidRPr="00792B36">
              <w:rPr>
                <w:b/>
                <w:bCs/>
                <w:color w:val="000000"/>
                <w:sz w:val="24"/>
                <w:szCs w:val="24"/>
              </w:rPr>
              <w:t>2010</w:t>
            </w:r>
          </w:p>
        </w:tc>
        <w:tc>
          <w:tcPr>
            <w:tcW w:w="1177" w:type="dxa"/>
            <w:vAlign w:val="center"/>
          </w:tcPr>
          <w:p w14:paraId="68D7EF58" w14:textId="77777777" w:rsidR="009A0A63" w:rsidRPr="00792B36" w:rsidRDefault="009A0A63" w:rsidP="00A24459">
            <w:pPr>
              <w:contextualSpacing/>
              <w:jc w:val="center"/>
              <w:rPr>
                <w:sz w:val="24"/>
                <w:szCs w:val="24"/>
              </w:rPr>
            </w:pPr>
            <w:r w:rsidRPr="00792B36">
              <w:rPr>
                <w:color w:val="000000"/>
                <w:sz w:val="24"/>
                <w:szCs w:val="24"/>
              </w:rPr>
              <w:t>1,302.90</w:t>
            </w:r>
          </w:p>
        </w:tc>
        <w:tc>
          <w:tcPr>
            <w:tcW w:w="1095" w:type="dxa"/>
            <w:vAlign w:val="center"/>
          </w:tcPr>
          <w:p w14:paraId="3F05E8CC" w14:textId="77777777" w:rsidR="009A0A63" w:rsidRPr="00792B36" w:rsidRDefault="009A0A63" w:rsidP="00A24459">
            <w:pPr>
              <w:contextualSpacing/>
              <w:jc w:val="center"/>
              <w:rPr>
                <w:sz w:val="24"/>
                <w:szCs w:val="24"/>
              </w:rPr>
            </w:pPr>
            <w:r w:rsidRPr="00792B36">
              <w:rPr>
                <w:color w:val="000000"/>
                <w:sz w:val="24"/>
                <w:szCs w:val="24"/>
              </w:rPr>
              <w:t>100.29</w:t>
            </w:r>
          </w:p>
        </w:tc>
        <w:tc>
          <w:tcPr>
            <w:tcW w:w="987" w:type="dxa"/>
            <w:vAlign w:val="center"/>
          </w:tcPr>
          <w:p w14:paraId="60C0AE2D" w14:textId="77777777" w:rsidR="009A0A63" w:rsidRPr="00792B36" w:rsidRDefault="009A0A63" w:rsidP="00A24459">
            <w:pPr>
              <w:contextualSpacing/>
              <w:jc w:val="center"/>
              <w:rPr>
                <w:sz w:val="24"/>
                <w:szCs w:val="24"/>
              </w:rPr>
            </w:pPr>
            <w:r w:rsidRPr="00792B36">
              <w:rPr>
                <w:color w:val="000000"/>
                <w:sz w:val="24"/>
                <w:szCs w:val="24"/>
              </w:rPr>
              <w:t>1,000.06</w:t>
            </w:r>
          </w:p>
        </w:tc>
        <w:tc>
          <w:tcPr>
            <w:tcW w:w="1080" w:type="dxa"/>
            <w:vAlign w:val="center"/>
          </w:tcPr>
          <w:p w14:paraId="5AE6ECE8" w14:textId="77777777" w:rsidR="009A0A63" w:rsidRPr="00792B36" w:rsidRDefault="009A0A63" w:rsidP="00A24459">
            <w:pPr>
              <w:contextualSpacing/>
              <w:jc w:val="center"/>
              <w:rPr>
                <w:sz w:val="24"/>
                <w:szCs w:val="24"/>
              </w:rPr>
            </w:pPr>
            <w:r w:rsidRPr="00792B36">
              <w:rPr>
                <w:color w:val="000000"/>
                <w:sz w:val="24"/>
                <w:szCs w:val="24"/>
              </w:rPr>
              <w:t>2,414.64</w:t>
            </w:r>
          </w:p>
        </w:tc>
        <w:tc>
          <w:tcPr>
            <w:tcW w:w="1177" w:type="dxa"/>
            <w:vAlign w:val="center"/>
          </w:tcPr>
          <w:p w14:paraId="681B6415" w14:textId="77777777" w:rsidR="009A0A63" w:rsidRPr="00792B36" w:rsidRDefault="009A0A63" w:rsidP="00A24459">
            <w:pPr>
              <w:contextualSpacing/>
              <w:jc w:val="center"/>
              <w:rPr>
                <w:sz w:val="24"/>
                <w:szCs w:val="24"/>
              </w:rPr>
            </w:pPr>
            <w:r w:rsidRPr="00792B36">
              <w:rPr>
                <w:color w:val="000000"/>
                <w:sz w:val="24"/>
                <w:szCs w:val="24"/>
              </w:rPr>
              <w:t>43.81</w:t>
            </w:r>
          </w:p>
        </w:tc>
        <w:tc>
          <w:tcPr>
            <w:tcW w:w="1027" w:type="dxa"/>
            <w:vAlign w:val="center"/>
          </w:tcPr>
          <w:p w14:paraId="7DDB77BB" w14:textId="77777777" w:rsidR="009A0A63" w:rsidRPr="00792B36" w:rsidRDefault="009A0A63" w:rsidP="00A24459">
            <w:pPr>
              <w:contextualSpacing/>
              <w:jc w:val="center"/>
              <w:rPr>
                <w:sz w:val="24"/>
                <w:szCs w:val="24"/>
              </w:rPr>
            </w:pPr>
            <w:r w:rsidRPr="00792B36">
              <w:rPr>
                <w:color w:val="000000"/>
                <w:sz w:val="24"/>
                <w:szCs w:val="24"/>
              </w:rPr>
              <w:t>3,767.26</w:t>
            </w:r>
          </w:p>
        </w:tc>
        <w:tc>
          <w:tcPr>
            <w:tcW w:w="957" w:type="dxa"/>
            <w:vAlign w:val="center"/>
          </w:tcPr>
          <w:p w14:paraId="678D35AB" w14:textId="77777777" w:rsidR="009A0A63" w:rsidRPr="00792B36" w:rsidRDefault="009A0A63" w:rsidP="00A24459">
            <w:pPr>
              <w:contextualSpacing/>
              <w:jc w:val="center"/>
              <w:rPr>
                <w:sz w:val="24"/>
                <w:szCs w:val="24"/>
              </w:rPr>
            </w:pPr>
            <w:r w:rsidRPr="00792B36">
              <w:rPr>
                <w:color w:val="000000"/>
                <w:sz w:val="24"/>
                <w:szCs w:val="24"/>
              </w:rPr>
              <w:t>3,307.53</w:t>
            </w:r>
          </w:p>
        </w:tc>
        <w:tc>
          <w:tcPr>
            <w:tcW w:w="900" w:type="dxa"/>
            <w:vAlign w:val="center"/>
          </w:tcPr>
          <w:p w14:paraId="2F50E12D" w14:textId="77777777" w:rsidR="009A0A63" w:rsidRPr="00792B36" w:rsidRDefault="009A0A63" w:rsidP="00A24459">
            <w:pPr>
              <w:contextualSpacing/>
              <w:jc w:val="center"/>
              <w:rPr>
                <w:sz w:val="24"/>
                <w:szCs w:val="24"/>
              </w:rPr>
            </w:pPr>
            <w:r w:rsidRPr="00792B36">
              <w:rPr>
                <w:color w:val="000000"/>
                <w:sz w:val="24"/>
                <w:szCs w:val="24"/>
              </w:rPr>
              <w:t>7,146.76</w:t>
            </w:r>
          </w:p>
        </w:tc>
      </w:tr>
      <w:tr w:rsidR="009A0A63" w:rsidRPr="00792B36" w14:paraId="4CCA3AB6" w14:textId="77777777" w:rsidTr="00A24459">
        <w:trPr>
          <w:trHeight w:val="340"/>
        </w:trPr>
        <w:tc>
          <w:tcPr>
            <w:tcW w:w="617" w:type="dxa"/>
            <w:vAlign w:val="center"/>
          </w:tcPr>
          <w:p w14:paraId="120FEA43" w14:textId="77777777" w:rsidR="009A0A63" w:rsidRPr="00792B36" w:rsidRDefault="009A0A63" w:rsidP="00A24459">
            <w:pPr>
              <w:contextualSpacing/>
              <w:jc w:val="center"/>
              <w:rPr>
                <w:sz w:val="24"/>
                <w:szCs w:val="24"/>
              </w:rPr>
            </w:pPr>
            <w:r w:rsidRPr="00792B36">
              <w:rPr>
                <w:b/>
                <w:bCs/>
                <w:color w:val="000000"/>
                <w:sz w:val="24"/>
                <w:szCs w:val="24"/>
              </w:rPr>
              <w:t>201</w:t>
            </w:r>
            <w:r w:rsidRPr="00792B36">
              <w:rPr>
                <w:b/>
                <w:bCs/>
                <w:color w:val="000000"/>
                <w:sz w:val="24"/>
                <w:szCs w:val="24"/>
              </w:rPr>
              <w:lastRenderedPageBreak/>
              <w:t>1</w:t>
            </w:r>
          </w:p>
        </w:tc>
        <w:tc>
          <w:tcPr>
            <w:tcW w:w="1177" w:type="dxa"/>
            <w:vAlign w:val="center"/>
          </w:tcPr>
          <w:p w14:paraId="079AD9D2" w14:textId="77777777" w:rsidR="009A0A63" w:rsidRPr="00792B36" w:rsidRDefault="009A0A63" w:rsidP="00A24459">
            <w:pPr>
              <w:contextualSpacing/>
              <w:jc w:val="center"/>
              <w:rPr>
                <w:sz w:val="24"/>
                <w:szCs w:val="24"/>
              </w:rPr>
            </w:pPr>
            <w:r w:rsidRPr="00792B36">
              <w:rPr>
                <w:color w:val="000000"/>
                <w:sz w:val="24"/>
                <w:szCs w:val="24"/>
              </w:rPr>
              <w:lastRenderedPageBreak/>
              <w:t>1,322.80</w:t>
            </w:r>
          </w:p>
        </w:tc>
        <w:tc>
          <w:tcPr>
            <w:tcW w:w="1095" w:type="dxa"/>
            <w:vAlign w:val="center"/>
          </w:tcPr>
          <w:p w14:paraId="5AA2F9B8" w14:textId="77777777" w:rsidR="009A0A63" w:rsidRPr="00792B36" w:rsidRDefault="009A0A63" w:rsidP="00A24459">
            <w:pPr>
              <w:contextualSpacing/>
              <w:jc w:val="center"/>
              <w:rPr>
                <w:sz w:val="24"/>
                <w:szCs w:val="24"/>
              </w:rPr>
            </w:pPr>
            <w:r w:rsidRPr="00792B36">
              <w:rPr>
                <w:color w:val="000000"/>
                <w:sz w:val="24"/>
                <w:szCs w:val="24"/>
              </w:rPr>
              <w:t>98.19</w:t>
            </w:r>
          </w:p>
        </w:tc>
        <w:tc>
          <w:tcPr>
            <w:tcW w:w="987" w:type="dxa"/>
            <w:vAlign w:val="center"/>
          </w:tcPr>
          <w:p w14:paraId="3952FD08" w14:textId="77777777" w:rsidR="009A0A63" w:rsidRPr="00792B36" w:rsidRDefault="009A0A63" w:rsidP="00A24459">
            <w:pPr>
              <w:contextualSpacing/>
              <w:jc w:val="center"/>
              <w:rPr>
                <w:sz w:val="24"/>
                <w:szCs w:val="24"/>
              </w:rPr>
            </w:pPr>
            <w:r w:rsidRPr="00792B36">
              <w:rPr>
                <w:color w:val="000000"/>
                <w:sz w:val="24"/>
                <w:szCs w:val="24"/>
              </w:rPr>
              <w:t>1,010.</w:t>
            </w:r>
            <w:r w:rsidRPr="00792B36">
              <w:rPr>
                <w:color w:val="000000"/>
                <w:sz w:val="24"/>
                <w:szCs w:val="24"/>
              </w:rPr>
              <w:lastRenderedPageBreak/>
              <w:t>63</w:t>
            </w:r>
          </w:p>
        </w:tc>
        <w:tc>
          <w:tcPr>
            <w:tcW w:w="1080" w:type="dxa"/>
            <w:vAlign w:val="center"/>
          </w:tcPr>
          <w:p w14:paraId="3FC1F90B" w14:textId="77777777" w:rsidR="009A0A63" w:rsidRPr="00792B36" w:rsidRDefault="009A0A63" w:rsidP="00A24459">
            <w:pPr>
              <w:contextualSpacing/>
              <w:jc w:val="center"/>
              <w:rPr>
                <w:sz w:val="24"/>
                <w:szCs w:val="24"/>
              </w:rPr>
            </w:pPr>
            <w:r w:rsidRPr="00792B36">
              <w:rPr>
                <w:color w:val="000000"/>
                <w:sz w:val="24"/>
                <w:szCs w:val="24"/>
              </w:rPr>
              <w:lastRenderedPageBreak/>
              <w:t>2,442.</w:t>
            </w:r>
            <w:r w:rsidRPr="00792B36">
              <w:rPr>
                <w:color w:val="000000"/>
                <w:sz w:val="24"/>
                <w:szCs w:val="24"/>
              </w:rPr>
              <w:lastRenderedPageBreak/>
              <w:t>73</w:t>
            </w:r>
          </w:p>
        </w:tc>
        <w:tc>
          <w:tcPr>
            <w:tcW w:w="1177" w:type="dxa"/>
            <w:vAlign w:val="center"/>
          </w:tcPr>
          <w:p w14:paraId="0F7BEC5F" w14:textId="77777777" w:rsidR="009A0A63" w:rsidRPr="00792B36" w:rsidRDefault="009A0A63" w:rsidP="00A24459">
            <w:pPr>
              <w:contextualSpacing/>
              <w:jc w:val="center"/>
              <w:rPr>
                <w:sz w:val="24"/>
                <w:szCs w:val="24"/>
              </w:rPr>
            </w:pPr>
            <w:r w:rsidRPr="00792B36">
              <w:rPr>
                <w:color w:val="000000"/>
                <w:sz w:val="24"/>
                <w:szCs w:val="24"/>
              </w:rPr>
              <w:lastRenderedPageBreak/>
              <w:t>33.63</w:t>
            </w:r>
          </w:p>
        </w:tc>
        <w:tc>
          <w:tcPr>
            <w:tcW w:w="1027" w:type="dxa"/>
            <w:vAlign w:val="center"/>
          </w:tcPr>
          <w:p w14:paraId="2027B608" w14:textId="77777777" w:rsidR="009A0A63" w:rsidRPr="00792B36" w:rsidRDefault="009A0A63" w:rsidP="00A24459">
            <w:pPr>
              <w:contextualSpacing/>
              <w:jc w:val="center"/>
              <w:rPr>
                <w:sz w:val="24"/>
                <w:szCs w:val="24"/>
              </w:rPr>
            </w:pPr>
            <w:r w:rsidRPr="00792B36">
              <w:rPr>
                <w:color w:val="000000"/>
                <w:sz w:val="24"/>
                <w:szCs w:val="24"/>
              </w:rPr>
              <w:t>3,004.5</w:t>
            </w:r>
            <w:r w:rsidRPr="00792B36">
              <w:rPr>
                <w:color w:val="000000"/>
                <w:sz w:val="24"/>
                <w:szCs w:val="24"/>
              </w:rPr>
              <w:lastRenderedPageBreak/>
              <w:t>8</w:t>
            </w:r>
          </w:p>
        </w:tc>
        <w:tc>
          <w:tcPr>
            <w:tcW w:w="957" w:type="dxa"/>
            <w:vAlign w:val="center"/>
          </w:tcPr>
          <w:p w14:paraId="2E7F0941" w14:textId="77777777" w:rsidR="009A0A63" w:rsidRPr="00792B36" w:rsidRDefault="009A0A63" w:rsidP="00A24459">
            <w:pPr>
              <w:contextualSpacing/>
              <w:jc w:val="center"/>
              <w:rPr>
                <w:sz w:val="24"/>
                <w:szCs w:val="24"/>
              </w:rPr>
            </w:pPr>
            <w:r w:rsidRPr="00792B36">
              <w:rPr>
                <w:color w:val="000000"/>
                <w:sz w:val="24"/>
                <w:szCs w:val="24"/>
              </w:rPr>
              <w:lastRenderedPageBreak/>
              <w:t>3,177.</w:t>
            </w:r>
            <w:r w:rsidRPr="00792B36">
              <w:rPr>
                <w:color w:val="000000"/>
                <w:sz w:val="24"/>
                <w:szCs w:val="24"/>
              </w:rPr>
              <w:lastRenderedPageBreak/>
              <w:t>69</w:t>
            </w:r>
          </w:p>
        </w:tc>
        <w:tc>
          <w:tcPr>
            <w:tcW w:w="900" w:type="dxa"/>
            <w:vAlign w:val="center"/>
          </w:tcPr>
          <w:p w14:paraId="5A92CCDE" w14:textId="77777777" w:rsidR="009A0A63" w:rsidRPr="00792B36" w:rsidRDefault="009A0A63" w:rsidP="00A24459">
            <w:pPr>
              <w:contextualSpacing/>
              <w:jc w:val="center"/>
              <w:rPr>
                <w:sz w:val="24"/>
                <w:szCs w:val="24"/>
              </w:rPr>
            </w:pPr>
            <w:r w:rsidRPr="00792B36">
              <w:rPr>
                <w:color w:val="000000"/>
                <w:sz w:val="24"/>
                <w:szCs w:val="24"/>
              </w:rPr>
              <w:lastRenderedPageBreak/>
              <w:t>6,237.</w:t>
            </w:r>
            <w:r w:rsidRPr="00792B36">
              <w:rPr>
                <w:color w:val="000000"/>
                <w:sz w:val="24"/>
                <w:szCs w:val="24"/>
              </w:rPr>
              <w:lastRenderedPageBreak/>
              <w:t>26</w:t>
            </w:r>
          </w:p>
        </w:tc>
      </w:tr>
      <w:tr w:rsidR="009A0A63" w:rsidRPr="00792B36" w14:paraId="4A326404" w14:textId="77777777" w:rsidTr="00A24459">
        <w:trPr>
          <w:trHeight w:val="340"/>
        </w:trPr>
        <w:tc>
          <w:tcPr>
            <w:tcW w:w="617" w:type="dxa"/>
            <w:vAlign w:val="center"/>
          </w:tcPr>
          <w:p w14:paraId="053B3EB3" w14:textId="77777777" w:rsidR="009A0A63" w:rsidRPr="00792B36" w:rsidRDefault="009A0A63" w:rsidP="00A24459">
            <w:pPr>
              <w:contextualSpacing/>
              <w:jc w:val="center"/>
              <w:rPr>
                <w:sz w:val="24"/>
                <w:szCs w:val="24"/>
              </w:rPr>
            </w:pPr>
            <w:r w:rsidRPr="00792B36">
              <w:rPr>
                <w:b/>
                <w:bCs/>
                <w:color w:val="000000"/>
                <w:sz w:val="24"/>
                <w:szCs w:val="24"/>
              </w:rPr>
              <w:lastRenderedPageBreak/>
              <w:t>2012</w:t>
            </w:r>
          </w:p>
        </w:tc>
        <w:tc>
          <w:tcPr>
            <w:tcW w:w="1177" w:type="dxa"/>
            <w:vAlign w:val="center"/>
          </w:tcPr>
          <w:p w14:paraId="4CE0FFB1" w14:textId="77777777" w:rsidR="009A0A63" w:rsidRPr="00792B36" w:rsidRDefault="009A0A63" w:rsidP="00A24459">
            <w:pPr>
              <w:contextualSpacing/>
              <w:jc w:val="center"/>
              <w:rPr>
                <w:sz w:val="24"/>
                <w:szCs w:val="24"/>
              </w:rPr>
            </w:pPr>
            <w:r w:rsidRPr="00792B36">
              <w:rPr>
                <w:color w:val="000000"/>
                <w:sz w:val="24"/>
                <w:szCs w:val="24"/>
              </w:rPr>
              <w:t>1,278.23</w:t>
            </w:r>
          </w:p>
        </w:tc>
        <w:tc>
          <w:tcPr>
            <w:tcW w:w="1095" w:type="dxa"/>
            <w:vAlign w:val="center"/>
          </w:tcPr>
          <w:p w14:paraId="6EBDF8A6" w14:textId="77777777" w:rsidR="009A0A63" w:rsidRPr="00792B36" w:rsidRDefault="009A0A63" w:rsidP="00A24459">
            <w:pPr>
              <w:contextualSpacing/>
              <w:jc w:val="center"/>
              <w:rPr>
                <w:sz w:val="24"/>
                <w:szCs w:val="24"/>
              </w:rPr>
            </w:pPr>
            <w:r w:rsidRPr="00792B36">
              <w:rPr>
                <w:color w:val="000000"/>
                <w:sz w:val="24"/>
                <w:szCs w:val="24"/>
              </w:rPr>
              <w:t>116.41</w:t>
            </w:r>
          </w:p>
        </w:tc>
        <w:tc>
          <w:tcPr>
            <w:tcW w:w="987" w:type="dxa"/>
            <w:vAlign w:val="center"/>
          </w:tcPr>
          <w:p w14:paraId="08F8DFDC" w14:textId="77777777" w:rsidR="009A0A63" w:rsidRPr="00792B36" w:rsidRDefault="009A0A63" w:rsidP="00A24459">
            <w:pPr>
              <w:contextualSpacing/>
              <w:jc w:val="center"/>
              <w:rPr>
                <w:sz w:val="24"/>
                <w:szCs w:val="24"/>
              </w:rPr>
            </w:pPr>
            <w:r w:rsidRPr="00792B36">
              <w:rPr>
                <w:color w:val="000000"/>
                <w:sz w:val="24"/>
                <w:szCs w:val="24"/>
              </w:rPr>
              <w:t>952.97</w:t>
            </w:r>
          </w:p>
        </w:tc>
        <w:tc>
          <w:tcPr>
            <w:tcW w:w="1080" w:type="dxa"/>
            <w:vAlign w:val="center"/>
          </w:tcPr>
          <w:p w14:paraId="4EB0AF72" w14:textId="77777777" w:rsidR="009A0A63" w:rsidRPr="00792B36" w:rsidRDefault="009A0A63" w:rsidP="00A24459">
            <w:pPr>
              <w:contextualSpacing/>
              <w:jc w:val="center"/>
              <w:rPr>
                <w:sz w:val="24"/>
                <w:szCs w:val="24"/>
              </w:rPr>
            </w:pPr>
            <w:r w:rsidRPr="00792B36">
              <w:rPr>
                <w:color w:val="000000"/>
                <w:sz w:val="24"/>
                <w:szCs w:val="24"/>
              </w:rPr>
              <w:t>2,363.89</w:t>
            </w:r>
          </w:p>
        </w:tc>
        <w:tc>
          <w:tcPr>
            <w:tcW w:w="1177" w:type="dxa"/>
            <w:vAlign w:val="center"/>
          </w:tcPr>
          <w:p w14:paraId="6B478EEA" w14:textId="77777777" w:rsidR="009A0A63" w:rsidRPr="00792B36" w:rsidRDefault="009A0A63" w:rsidP="00A24459">
            <w:pPr>
              <w:contextualSpacing/>
              <w:jc w:val="center"/>
              <w:rPr>
                <w:sz w:val="24"/>
                <w:szCs w:val="24"/>
              </w:rPr>
            </w:pPr>
            <w:r w:rsidRPr="00792B36">
              <w:rPr>
                <w:color w:val="000000"/>
                <w:sz w:val="24"/>
                <w:szCs w:val="24"/>
              </w:rPr>
              <w:t>31.51</w:t>
            </w:r>
          </w:p>
        </w:tc>
        <w:tc>
          <w:tcPr>
            <w:tcW w:w="1027" w:type="dxa"/>
            <w:vAlign w:val="center"/>
          </w:tcPr>
          <w:p w14:paraId="3342936E" w14:textId="77777777" w:rsidR="009A0A63" w:rsidRPr="00792B36" w:rsidRDefault="009A0A63" w:rsidP="00A24459">
            <w:pPr>
              <w:contextualSpacing/>
              <w:jc w:val="center"/>
              <w:rPr>
                <w:sz w:val="24"/>
                <w:szCs w:val="24"/>
              </w:rPr>
            </w:pPr>
            <w:r w:rsidRPr="00792B36">
              <w:rPr>
                <w:color w:val="000000"/>
                <w:sz w:val="24"/>
                <w:szCs w:val="24"/>
              </w:rPr>
              <w:t>3,472.50</w:t>
            </w:r>
          </w:p>
        </w:tc>
        <w:tc>
          <w:tcPr>
            <w:tcW w:w="957" w:type="dxa"/>
            <w:vAlign w:val="center"/>
          </w:tcPr>
          <w:p w14:paraId="1C1EB682" w14:textId="77777777" w:rsidR="009A0A63" w:rsidRPr="00792B36" w:rsidRDefault="009A0A63" w:rsidP="00A24459">
            <w:pPr>
              <w:contextualSpacing/>
              <w:jc w:val="center"/>
              <w:rPr>
                <w:sz w:val="24"/>
                <w:szCs w:val="24"/>
              </w:rPr>
            </w:pPr>
            <w:r w:rsidRPr="00792B36">
              <w:rPr>
                <w:color w:val="000000"/>
                <w:sz w:val="24"/>
                <w:szCs w:val="24"/>
              </w:rPr>
              <w:t>3,514.77</w:t>
            </w:r>
          </w:p>
        </w:tc>
        <w:tc>
          <w:tcPr>
            <w:tcW w:w="900" w:type="dxa"/>
            <w:vAlign w:val="center"/>
          </w:tcPr>
          <w:p w14:paraId="614C6102" w14:textId="77777777" w:rsidR="009A0A63" w:rsidRPr="00792B36" w:rsidRDefault="009A0A63" w:rsidP="00A24459">
            <w:pPr>
              <w:contextualSpacing/>
              <w:jc w:val="center"/>
              <w:rPr>
                <w:sz w:val="24"/>
                <w:szCs w:val="24"/>
              </w:rPr>
            </w:pPr>
            <w:r w:rsidRPr="00792B36">
              <w:rPr>
                <w:color w:val="000000"/>
                <w:sz w:val="24"/>
                <w:szCs w:val="24"/>
              </w:rPr>
              <w:t>7,047.49</w:t>
            </w:r>
          </w:p>
        </w:tc>
      </w:tr>
      <w:tr w:rsidR="009A0A63" w:rsidRPr="00792B36" w14:paraId="501CDA58" w14:textId="77777777" w:rsidTr="00A24459">
        <w:trPr>
          <w:trHeight w:val="340"/>
        </w:trPr>
        <w:tc>
          <w:tcPr>
            <w:tcW w:w="617" w:type="dxa"/>
            <w:vAlign w:val="center"/>
          </w:tcPr>
          <w:p w14:paraId="0A33C293" w14:textId="77777777" w:rsidR="009A0A63" w:rsidRPr="00792B36" w:rsidRDefault="009A0A63" w:rsidP="00A24459">
            <w:pPr>
              <w:contextualSpacing/>
              <w:jc w:val="center"/>
              <w:rPr>
                <w:sz w:val="24"/>
                <w:szCs w:val="24"/>
              </w:rPr>
            </w:pPr>
            <w:r w:rsidRPr="00792B36">
              <w:rPr>
                <w:b/>
                <w:bCs/>
                <w:color w:val="000000"/>
                <w:sz w:val="24"/>
                <w:szCs w:val="24"/>
              </w:rPr>
              <w:t>2013</w:t>
            </w:r>
          </w:p>
        </w:tc>
        <w:tc>
          <w:tcPr>
            <w:tcW w:w="1177" w:type="dxa"/>
            <w:vAlign w:val="center"/>
          </w:tcPr>
          <w:p w14:paraId="7EBC4210" w14:textId="77777777" w:rsidR="009A0A63" w:rsidRPr="00792B36" w:rsidRDefault="009A0A63" w:rsidP="00A24459">
            <w:pPr>
              <w:contextualSpacing/>
              <w:jc w:val="center"/>
              <w:rPr>
                <w:sz w:val="24"/>
                <w:szCs w:val="24"/>
              </w:rPr>
            </w:pPr>
            <w:r w:rsidRPr="00792B36">
              <w:rPr>
                <w:color w:val="000000"/>
                <w:sz w:val="24"/>
                <w:szCs w:val="24"/>
              </w:rPr>
              <w:t>1,133.59</w:t>
            </w:r>
          </w:p>
        </w:tc>
        <w:tc>
          <w:tcPr>
            <w:tcW w:w="1095" w:type="dxa"/>
            <w:vAlign w:val="center"/>
          </w:tcPr>
          <w:p w14:paraId="173F56A7" w14:textId="77777777" w:rsidR="009A0A63" w:rsidRPr="00792B36" w:rsidRDefault="009A0A63" w:rsidP="00A24459">
            <w:pPr>
              <w:contextualSpacing/>
              <w:jc w:val="center"/>
              <w:rPr>
                <w:sz w:val="24"/>
                <w:szCs w:val="24"/>
              </w:rPr>
            </w:pPr>
            <w:r w:rsidRPr="00792B36">
              <w:rPr>
                <w:color w:val="000000"/>
                <w:sz w:val="24"/>
                <w:szCs w:val="24"/>
              </w:rPr>
              <w:t>110.94</w:t>
            </w:r>
          </w:p>
        </w:tc>
        <w:tc>
          <w:tcPr>
            <w:tcW w:w="987" w:type="dxa"/>
            <w:vAlign w:val="center"/>
          </w:tcPr>
          <w:p w14:paraId="73EBFB4A" w14:textId="77777777" w:rsidR="009A0A63" w:rsidRPr="00792B36" w:rsidRDefault="009A0A63" w:rsidP="00A24459">
            <w:pPr>
              <w:contextualSpacing/>
              <w:jc w:val="center"/>
              <w:rPr>
                <w:sz w:val="24"/>
                <w:szCs w:val="24"/>
              </w:rPr>
            </w:pPr>
            <w:r w:rsidRPr="00792B36">
              <w:rPr>
                <w:color w:val="000000"/>
                <w:sz w:val="24"/>
                <w:szCs w:val="24"/>
              </w:rPr>
              <w:t>957.67</w:t>
            </w:r>
          </w:p>
        </w:tc>
        <w:tc>
          <w:tcPr>
            <w:tcW w:w="1080" w:type="dxa"/>
            <w:vAlign w:val="center"/>
          </w:tcPr>
          <w:p w14:paraId="3F142FAF" w14:textId="77777777" w:rsidR="009A0A63" w:rsidRPr="00792B36" w:rsidRDefault="009A0A63" w:rsidP="00A24459">
            <w:pPr>
              <w:contextualSpacing/>
              <w:jc w:val="center"/>
              <w:rPr>
                <w:sz w:val="24"/>
                <w:szCs w:val="24"/>
              </w:rPr>
            </w:pPr>
            <w:r w:rsidRPr="00792B36">
              <w:rPr>
                <w:color w:val="000000"/>
                <w:sz w:val="24"/>
                <w:szCs w:val="24"/>
              </w:rPr>
              <w:t>2,214.69</w:t>
            </w:r>
          </w:p>
        </w:tc>
        <w:tc>
          <w:tcPr>
            <w:tcW w:w="1177" w:type="dxa"/>
            <w:vAlign w:val="center"/>
          </w:tcPr>
          <w:p w14:paraId="04761256" w14:textId="77777777" w:rsidR="009A0A63" w:rsidRPr="00792B36" w:rsidRDefault="009A0A63" w:rsidP="00A24459">
            <w:pPr>
              <w:contextualSpacing/>
              <w:jc w:val="center"/>
              <w:rPr>
                <w:sz w:val="24"/>
                <w:szCs w:val="24"/>
              </w:rPr>
            </w:pPr>
            <w:r w:rsidRPr="00792B36">
              <w:rPr>
                <w:color w:val="000000"/>
                <w:sz w:val="24"/>
                <w:szCs w:val="24"/>
              </w:rPr>
              <w:t>28.95</w:t>
            </w:r>
          </w:p>
        </w:tc>
        <w:tc>
          <w:tcPr>
            <w:tcW w:w="1027" w:type="dxa"/>
            <w:vAlign w:val="center"/>
          </w:tcPr>
          <w:p w14:paraId="40AA24D7" w14:textId="77777777" w:rsidR="009A0A63" w:rsidRPr="00792B36" w:rsidRDefault="009A0A63" w:rsidP="00A24459">
            <w:pPr>
              <w:contextualSpacing/>
              <w:jc w:val="center"/>
              <w:rPr>
                <w:sz w:val="24"/>
                <w:szCs w:val="24"/>
              </w:rPr>
            </w:pPr>
            <w:r w:rsidRPr="00792B36">
              <w:rPr>
                <w:color w:val="000000"/>
                <w:sz w:val="24"/>
                <w:szCs w:val="24"/>
              </w:rPr>
              <w:t>2,926.64</w:t>
            </w:r>
          </w:p>
        </w:tc>
        <w:tc>
          <w:tcPr>
            <w:tcW w:w="957" w:type="dxa"/>
            <w:vAlign w:val="center"/>
          </w:tcPr>
          <w:p w14:paraId="5A541D67" w14:textId="77777777" w:rsidR="009A0A63" w:rsidRPr="00792B36" w:rsidRDefault="009A0A63" w:rsidP="00A24459">
            <w:pPr>
              <w:contextualSpacing/>
              <w:jc w:val="center"/>
              <w:rPr>
                <w:sz w:val="24"/>
                <w:szCs w:val="24"/>
              </w:rPr>
            </w:pPr>
            <w:r w:rsidRPr="00792B36">
              <w:rPr>
                <w:color w:val="000000"/>
                <w:sz w:val="24"/>
                <w:szCs w:val="24"/>
              </w:rPr>
              <w:t>3,480.93</w:t>
            </w:r>
          </w:p>
        </w:tc>
        <w:tc>
          <w:tcPr>
            <w:tcW w:w="900" w:type="dxa"/>
            <w:vAlign w:val="center"/>
          </w:tcPr>
          <w:p w14:paraId="67F8D554" w14:textId="77777777" w:rsidR="009A0A63" w:rsidRPr="00792B36" w:rsidRDefault="009A0A63" w:rsidP="00A24459">
            <w:pPr>
              <w:contextualSpacing/>
              <w:jc w:val="center"/>
              <w:rPr>
                <w:sz w:val="24"/>
                <w:szCs w:val="24"/>
              </w:rPr>
            </w:pPr>
            <w:r w:rsidRPr="00792B36">
              <w:rPr>
                <w:color w:val="000000"/>
                <w:sz w:val="24"/>
                <w:szCs w:val="24"/>
              </w:rPr>
              <w:t>6,452.42</w:t>
            </w:r>
          </w:p>
        </w:tc>
      </w:tr>
      <w:tr w:rsidR="009A0A63" w:rsidRPr="00792B36" w14:paraId="1957EFD3" w14:textId="77777777" w:rsidTr="00A24459">
        <w:trPr>
          <w:trHeight w:val="340"/>
        </w:trPr>
        <w:tc>
          <w:tcPr>
            <w:tcW w:w="617" w:type="dxa"/>
            <w:vAlign w:val="center"/>
          </w:tcPr>
          <w:p w14:paraId="7DF15235" w14:textId="77777777" w:rsidR="009A0A63" w:rsidRPr="00792B36" w:rsidRDefault="009A0A63" w:rsidP="00A24459">
            <w:pPr>
              <w:contextualSpacing/>
              <w:jc w:val="center"/>
              <w:rPr>
                <w:sz w:val="24"/>
                <w:szCs w:val="24"/>
              </w:rPr>
            </w:pPr>
            <w:r w:rsidRPr="00792B36">
              <w:rPr>
                <w:b/>
                <w:bCs/>
                <w:color w:val="000000"/>
                <w:sz w:val="24"/>
                <w:szCs w:val="24"/>
              </w:rPr>
              <w:t>2014</w:t>
            </w:r>
          </w:p>
        </w:tc>
        <w:tc>
          <w:tcPr>
            <w:tcW w:w="1177" w:type="dxa"/>
            <w:vAlign w:val="center"/>
          </w:tcPr>
          <w:p w14:paraId="2DEBBF34" w14:textId="77777777" w:rsidR="009A0A63" w:rsidRPr="00792B36" w:rsidRDefault="009A0A63" w:rsidP="00A24459">
            <w:pPr>
              <w:contextualSpacing/>
              <w:jc w:val="center"/>
              <w:rPr>
                <w:sz w:val="24"/>
                <w:szCs w:val="24"/>
              </w:rPr>
            </w:pPr>
            <w:r w:rsidRPr="00792B36">
              <w:rPr>
                <w:color w:val="000000"/>
                <w:sz w:val="24"/>
                <w:szCs w:val="24"/>
              </w:rPr>
              <w:t>1,118.55</w:t>
            </w:r>
          </w:p>
        </w:tc>
        <w:tc>
          <w:tcPr>
            <w:tcW w:w="1095" w:type="dxa"/>
            <w:vAlign w:val="center"/>
          </w:tcPr>
          <w:p w14:paraId="481302C9" w14:textId="77777777" w:rsidR="009A0A63" w:rsidRPr="00792B36" w:rsidRDefault="009A0A63" w:rsidP="00A24459">
            <w:pPr>
              <w:contextualSpacing/>
              <w:jc w:val="center"/>
              <w:rPr>
                <w:sz w:val="24"/>
                <w:szCs w:val="24"/>
              </w:rPr>
            </w:pPr>
            <w:r w:rsidRPr="00792B36">
              <w:rPr>
                <w:color w:val="000000"/>
                <w:sz w:val="24"/>
                <w:szCs w:val="24"/>
              </w:rPr>
              <w:t>109.82</w:t>
            </w:r>
          </w:p>
        </w:tc>
        <w:tc>
          <w:tcPr>
            <w:tcW w:w="987" w:type="dxa"/>
            <w:vAlign w:val="center"/>
          </w:tcPr>
          <w:p w14:paraId="1C5EAB25" w14:textId="77777777" w:rsidR="009A0A63" w:rsidRPr="00792B36" w:rsidRDefault="009A0A63" w:rsidP="00A24459">
            <w:pPr>
              <w:contextualSpacing/>
              <w:jc w:val="center"/>
              <w:rPr>
                <w:sz w:val="24"/>
                <w:szCs w:val="24"/>
              </w:rPr>
            </w:pPr>
            <w:r w:rsidRPr="00792B36">
              <w:rPr>
                <w:color w:val="000000"/>
                <w:sz w:val="24"/>
                <w:szCs w:val="24"/>
              </w:rPr>
              <w:t>1,005.10</w:t>
            </w:r>
          </w:p>
        </w:tc>
        <w:tc>
          <w:tcPr>
            <w:tcW w:w="1080" w:type="dxa"/>
            <w:vAlign w:val="center"/>
          </w:tcPr>
          <w:p w14:paraId="76D860E9" w14:textId="77777777" w:rsidR="009A0A63" w:rsidRPr="00792B36" w:rsidRDefault="009A0A63" w:rsidP="00A24459">
            <w:pPr>
              <w:contextualSpacing/>
              <w:jc w:val="center"/>
              <w:rPr>
                <w:sz w:val="24"/>
                <w:szCs w:val="24"/>
              </w:rPr>
            </w:pPr>
            <w:r w:rsidRPr="00792B36">
              <w:rPr>
                <w:color w:val="000000"/>
                <w:sz w:val="24"/>
                <w:szCs w:val="24"/>
              </w:rPr>
              <w:t>2,246.41</w:t>
            </w:r>
          </w:p>
        </w:tc>
        <w:tc>
          <w:tcPr>
            <w:tcW w:w="1177" w:type="dxa"/>
            <w:vAlign w:val="center"/>
          </w:tcPr>
          <w:p w14:paraId="660ACCDE" w14:textId="77777777" w:rsidR="009A0A63" w:rsidRPr="00792B36" w:rsidRDefault="009A0A63" w:rsidP="00A24459">
            <w:pPr>
              <w:contextualSpacing/>
              <w:jc w:val="center"/>
              <w:rPr>
                <w:sz w:val="24"/>
                <w:szCs w:val="24"/>
              </w:rPr>
            </w:pPr>
            <w:r w:rsidRPr="00792B36">
              <w:rPr>
                <w:color w:val="000000"/>
                <w:sz w:val="24"/>
                <w:szCs w:val="24"/>
              </w:rPr>
              <w:t>26.39</w:t>
            </w:r>
          </w:p>
        </w:tc>
        <w:tc>
          <w:tcPr>
            <w:tcW w:w="1027" w:type="dxa"/>
            <w:vAlign w:val="center"/>
          </w:tcPr>
          <w:p w14:paraId="47625503" w14:textId="77777777" w:rsidR="009A0A63" w:rsidRPr="00792B36" w:rsidRDefault="009A0A63" w:rsidP="00A24459">
            <w:pPr>
              <w:contextualSpacing/>
              <w:jc w:val="center"/>
              <w:rPr>
                <w:sz w:val="24"/>
                <w:szCs w:val="24"/>
              </w:rPr>
            </w:pPr>
            <w:r w:rsidRPr="00792B36">
              <w:rPr>
                <w:color w:val="000000"/>
                <w:sz w:val="24"/>
                <w:szCs w:val="24"/>
              </w:rPr>
              <w:t>2,900.51</w:t>
            </w:r>
          </w:p>
        </w:tc>
        <w:tc>
          <w:tcPr>
            <w:tcW w:w="957" w:type="dxa"/>
            <w:vAlign w:val="center"/>
          </w:tcPr>
          <w:p w14:paraId="2264314E" w14:textId="77777777" w:rsidR="009A0A63" w:rsidRPr="00792B36" w:rsidRDefault="009A0A63" w:rsidP="00A24459">
            <w:pPr>
              <w:contextualSpacing/>
              <w:jc w:val="center"/>
              <w:rPr>
                <w:sz w:val="24"/>
                <w:szCs w:val="24"/>
              </w:rPr>
            </w:pPr>
            <w:r w:rsidRPr="00792B36">
              <w:rPr>
                <w:color w:val="000000"/>
                <w:sz w:val="24"/>
                <w:szCs w:val="24"/>
              </w:rPr>
              <w:t>3,328.44</w:t>
            </w:r>
          </w:p>
        </w:tc>
        <w:tc>
          <w:tcPr>
            <w:tcW w:w="900" w:type="dxa"/>
            <w:vAlign w:val="center"/>
          </w:tcPr>
          <w:p w14:paraId="78C42F4F" w14:textId="77777777" w:rsidR="009A0A63" w:rsidRPr="00792B36" w:rsidRDefault="009A0A63" w:rsidP="00A24459">
            <w:pPr>
              <w:contextualSpacing/>
              <w:jc w:val="center"/>
              <w:rPr>
                <w:sz w:val="24"/>
                <w:szCs w:val="24"/>
              </w:rPr>
            </w:pPr>
            <w:r w:rsidRPr="00792B36">
              <w:rPr>
                <w:color w:val="000000"/>
                <w:sz w:val="24"/>
                <w:szCs w:val="24"/>
              </w:rPr>
              <w:t>6,274.51</w:t>
            </w:r>
          </w:p>
        </w:tc>
      </w:tr>
      <w:tr w:rsidR="009A0A63" w:rsidRPr="00792B36" w14:paraId="4FB8F711" w14:textId="77777777" w:rsidTr="00A24459">
        <w:trPr>
          <w:trHeight w:val="340"/>
        </w:trPr>
        <w:tc>
          <w:tcPr>
            <w:tcW w:w="617" w:type="dxa"/>
            <w:vAlign w:val="center"/>
          </w:tcPr>
          <w:p w14:paraId="5D982A5F" w14:textId="77777777" w:rsidR="009A0A63" w:rsidRPr="00792B36" w:rsidRDefault="009A0A63" w:rsidP="00A24459">
            <w:pPr>
              <w:contextualSpacing/>
              <w:jc w:val="center"/>
              <w:rPr>
                <w:sz w:val="24"/>
                <w:szCs w:val="24"/>
              </w:rPr>
            </w:pPr>
            <w:r w:rsidRPr="00792B36">
              <w:rPr>
                <w:b/>
                <w:bCs/>
                <w:color w:val="000000"/>
                <w:sz w:val="24"/>
                <w:szCs w:val="24"/>
              </w:rPr>
              <w:t>2015</w:t>
            </w:r>
          </w:p>
        </w:tc>
        <w:tc>
          <w:tcPr>
            <w:tcW w:w="1177" w:type="dxa"/>
            <w:vAlign w:val="center"/>
          </w:tcPr>
          <w:p w14:paraId="319E6B9C" w14:textId="77777777" w:rsidR="009A0A63" w:rsidRPr="00792B36" w:rsidRDefault="009A0A63" w:rsidP="00A24459">
            <w:pPr>
              <w:contextualSpacing/>
              <w:jc w:val="center"/>
              <w:rPr>
                <w:sz w:val="24"/>
                <w:szCs w:val="24"/>
              </w:rPr>
            </w:pPr>
            <w:r w:rsidRPr="00792B36">
              <w:rPr>
                <w:color w:val="000000"/>
                <w:sz w:val="24"/>
                <w:szCs w:val="24"/>
              </w:rPr>
              <w:t>1,020.56</w:t>
            </w:r>
          </w:p>
        </w:tc>
        <w:tc>
          <w:tcPr>
            <w:tcW w:w="1095" w:type="dxa"/>
            <w:vAlign w:val="center"/>
          </w:tcPr>
          <w:p w14:paraId="25930522" w14:textId="77777777" w:rsidR="009A0A63" w:rsidRPr="00792B36" w:rsidRDefault="009A0A63" w:rsidP="00A24459">
            <w:pPr>
              <w:contextualSpacing/>
              <w:jc w:val="center"/>
              <w:rPr>
                <w:sz w:val="24"/>
                <w:szCs w:val="24"/>
              </w:rPr>
            </w:pPr>
            <w:r w:rsidRPr="00792B36">
              <w:rPr>
                <w:color w:val="000000"/>
                <w:sz w:val="24"/>
                <w:szCs w:val="24"/>
              </w:rPr>
              <w:t>110.71</w:t>
            </w:r>
          </w:p>
        </w:tc>
        <w:tc>
          <w:tcPr>
            <w:tcW w:w="987" w:type="dxa"/>
            <w:vAlign w:val="center"/>
          </w:tcPr>
          <w:p w14:paraId="1438AB71" w14:textId="77777777" w:rsidR="009A0A63" w:rsidRPr="00792B36" w:rsidRDefault="009A0A63" w:rsidP="00A24459">
            <w:pPr>
              <w:contextualSpacing/>
              <w:jc w:val="center"/>
              <w:rPr>
                <w:sz w:val="24"/>
                <w:szCs w:val="24"/>
              </w:rPr>
            </w:pPr>
            <w:r w:rsidRPr="00792B36">
              <w:rPr>
                <w:color w:val="000000"/>
                <w:sz w:val="24"/>
                <w:szCs w:val="24"/>
              </w:rPr>
              <w:t>1,033.54</w:t>
            </w:r>
          </w:p>
        </w:tc>
        <w:tc>
          <w:tcPr>
            <w:tcW w:w="1080" w:type="dxa"/>
            <w:vAlign w:val="center"/>
          </w:tcPr>
          <w:p w14:paraId="5D15C978" w14:textId="77777777" w:rsidR="009A0A63" w:rsidRPr="00792B36" w:rsidRDefault="009A0A63" w:rsidP="00A24459">
            <w:pPr>
              <w:contextualSpacing/>
              <w:jc w:val="center"/>
              <w:rPr>
                <w:sz w:val="24"/>
                <w:szCs w:val="24"/>
              </w:rPr>
            </w:pPr>
            <w:r w:rsidRPr="00792B36">
              <w:rPr>
                <w:color w:val="000000"/>
                <w:sz w:val="24"/>
                <w:szCs w:val="24"/>
              </w:rPr>
              <w:t>2,179.99</w:t>
            </w:r>
          </w:p>
        </w:tc>
        <w:tc>
          <w:tcPr>
            <w:tcW w:w="1177" w:type="dxa"/>
            <w:vAlign w:val="center"/>
          </w:tcPr>
          <w:p w14:paraId="27DEDC02" w14:textId="77777777" w:rsidR="009A0A63" w:rsidRPr="00792B36" w:rsidRDefault="009A0A63" w:rsidP="00A24459">
            <w:pPr>
              <w:contextualSpacing/>
              <w:jc w:val="center"/>
              <w:rPr>
                <w:sz w:val="24"/>
                <w:szCs w:val="24"/>
              </w:rPr>
            </w:pPr>
            <w:r w:rsidRPr="00792B36">
              <w:rPr>
                <w:color w:val="000000"/>
                <w:sz w:val="24"/>
                <w:szCs w:val="24"/>
              </w:rPr>
              <w:t>22.41</w:t>
            </w:r>
          </w:p>
        </w:tc>
        <w:tc>
          <w:tcPr>
            <w:tcW w:w="1027" w:type="dxa"/>
            <w:vAlign w:val="center"/>
          </w:tcPr>
          <w:p w14:paraId="2BAB0348" w14:textId="77777777" w:rsidR="009A0A63" w:rsidRPr="00792B36" w:rsidRDefault="009A0A63" w:rsidP="00A24459">
            <w:pPr>
              <w:contextualSpacing/>
              <w:jc w:val="center"/>
              <w:rPr>
                <w:sz w:val="24"/>
                <w:szCs w:val="24"/>
              </w:rPr>
            </w:pPr>
            <w:r w:rsidRPr="00792B36">
              <w:rPr>
                <w:color w:val="000000"/>
                <w:sz w:val="24"/>
                <w:szCs w:val="24"/>
              </w:rPr>
              <w:t>2,780.31</w:t>
            </w:r>
          </w:p>
        </w:tc>
        <w:tc>
          <w:tcPr>
            <w:tcW w:w="957" w:type="dxa"/>
            <w:vAlign w:val="center"/>
          </w:tcPr>
          <w:p w14:paraId="5AA9B0BB" w14:textId="77777777" w:rsidR="009A0A63" w:rsidRPr="00792B36" w:rsidRDefault="009A0A63" w:rsidP="00A24459">
            <w:pPr>
              <w:contextualSpacing/>
              <w:jc w:val="center"/>
              <w:rPr>
                <w:sz w:val="24"/>
                <w:szCs w:val="24"/>
              </w:rPr>
            </w:pPr>
            <w:r w:rsidRPr="00792B36">
              <w:rPr>
                <w:color w:val="000000"/>
                <w:sz w:val="24"/>
                <w:szCs w:val="24"/>
              </w:rPr>
              <w:t>3,474.66</w:t>
            </w:r>
          </w:p>
        </w:tc>
        <w:tc>
          <w:tcPr>
            <w:tcW w:w="900" w:type="dxa"/>
            <w:vAlign w:val="center"/>
          </w:tcPr>
          <w:p w14:paraId="3AEDCC07" w14:textId="77777777" w:rsidR="009A0A63" w:rsidRPr="00792B36" w:rsidRDefault="009A0A63" w:rsidP="00A24459">
            <w:pPr>
              <w:contextualSpacing/>
              <w:jc w:val="center"/>
              <w:rPr>
                <w:sz w:val="24"/>
                <w:szCs w:val="24"/>
              </w:rPr>
            </w:pPr>
            <w:r w:rsidRPr="00792B36">
              <w:rPr>
                <w:color w:val="000000"/>
                <w:sz w:val="24"/>
                <w:szCs w:val="24"/>
              </w:rPr>
              <w:t>6,284.64</w:t>
            </w:r>
          </w:p>
        </w:tc>
      </w:tr>
      <w:tr w:rsidR="009A0A63" w:rsidRPr="00792B36" w14:paraId="09214368" w14:textId="77777777" w:rsidTr="00A24459">
        <w:trPr>
          <w:trHeight w:val="340"/>
        </w:trPr>
        <w:tc>
          <w:tcPr>
            <w:tcW w:w="617" w:type="dxa"/>
            <w:vAlign w:val="center"/>
          </w:tcPr>
          <w:p w14:paraId="05EB2ECE" w14:textId="77777777" w:rsidR="009A0A63" w:rsidRPr="00792B36" w:rsidRDefault="009A0A63" w:rsidP="00A24459">
            <w:pPr>
              <w:contextualSpacing/>
              <w:jc w:val="center"/>
              <w:rPr>
                <w:sz w:val="24"/>
                <w:szCs w:val="24"/>
              </w:rPr>
            </w:pPr>
            <w:r w:rsidRPr="00792B36">
              <w:rPr>
                <w:b/>
                <w:bCs/>
                <w:color w:val="000000"/>
                <w:sz w:val="24"/>
                <w:szCs w:val="24"/>
              </w:rPr>
              <w:t>2016</w:t>
            </w:r>
          </w:p>
        </w:tc>
        <w:tc>
          <w:tcPr>
            <w:tcW w:w="1177" w:type="dxa"/>
            <w:vAlign w:val="center"/>
          </w:tcPr>
          <w:p w14:paraId="2A6F5055" w14:textId="77777777" w:rsidR="009A0A63" w:rsidRPr="00792B36" w:rsidRDefault="009A0A63" w:rsidP="00A24459">
            <w:pPr>
              <w:contextualSpacing/>
              <w:jc w:val="center"/>
              <w:rPr>
                <w:sz w:val="24"/>
                <w:szCs w:val="24"/>
              </w:rPr>
            </w:pPr>
            <w:r w:rsidRPr="00792B36">
              <w:rPr>
                <w:color w:val="000000"/>
                <w:sz w:val="24"/>
                <w:szCs w:val="24"/>
              </w:rPr>
              <w:t>821.45</w:t>
            </w:r>
          </w:p>
        </w:tc>
        <w:tc>
          <w:tcPr>
            <w:tcW w:w="1095" w:type="dxa"/>
            <w:vAlign w:val="center"/>
          </w:tcPr>
          <w:p w14:paraId="0B6988E6" w14:textId="77777777" w:rsidR="009A0A63" w:rsidRPr="00792B36" w:rsidRDefault="009A0A63" w:rsidP="00A24459">
            <w:pPr>
              <w:contextualSpacing/>
              <w:jc w:val="center"/>
              <w:rPr>
                <w:sz w:val="24"/>
                <w:szCs w:val="24"/>
              </w:rPr>
            </w:pPr>
            <w:r w:rsidRPr="00792B36">
              <w:rPr>
                <w:color w:val="000000"/>
                <w:sz w:val="24"/>
                <w:szCs w:val="24"/>
              </w:rPr>
              <w:t>117.35</w:t>
            </w:r>
          </w:p>
        </w:tc>
        <w:tc>
          <w:tcPr>
            <w:tcW w:w="987" w:type="dxa"/>
            <w:vAlign w:val="center"/>
          </w:tcPr>
          <w:p w14:paraId="6AB5A5FC" w14:textId="77777777" w:rsidR="009A0A63" w:rsidRPr="00792B36" w:rsidRDefault="009A0A63" w:rsidP="00A24459">
            <w:pPr>
              <w:contextualSpacing/>
              <w:jc w:val="center"/>
              <w:rPr>
                <w:sz w:val="24"/>
                <w:szCs w:val="24"/>
              </w:rPr>
            </w:pPr>
            <w:r w:rsidRPr="00792B36">
              <w:rPr>
                <w:color w:val="000000"/>
                <w:sz w:val="24"/>
                <w:szCs w:val="24"/>
              </w:rPr>
              <w:t>1,047.96</w:t>
            </w:r>
          </w:p>
        </w:tc>
        <w:tc>
          <w:tcPr>
            <w:tcW w:w="1080" w:type="dxa"/>
            <w:vAlign w:val="center"/>
          </w:tcPr>
          <w:p w14:paraId="55ADAADC" w14:textId="77777777" w:rsidR="009A0A63" w:rsidRPr="00792B36" w:rsidRDefault="009A0A63" w:rsidP="00A24459">
            <w:pPr>
              <w:contextualSpacing/>
              <w:jc w:val="center"/>
              <w:rPr>
                <w:sz w:val="24"/>
                <w:szCs w:val="24"/>
              </w:rPr>
            </w:pPr>
            <w:r w:rsidRPr="00792B36">
              <w:rPr>
                <w:color w:val="000000"/>
                <w:sz w:val="24"/>
                <w:szCs w:val="24"/>
              </w:rPr>
              <w:t>2,007.79</w:t>
            </w:r>
          </w:p>
        </w:tc>
        <w:tc>
          <w:tcPr>
            <w:tcW w:w="1177" w:type="dxa"/>
            <w:vAlign w:val="center"/>
          </w:tcPr>
          <w:p w14:paraId="02808C7F" w14:textId="77777777" w:rsidR="009A0A63" w:rsidRPr="00792B36" w:rsidRDefault="009A0A63" w:rsidP="00A24459">
            <w:pPr>
              <w:contextualSpacing/>
              <w:jc w:val="center"/>
              <w:rPr>
                <w:sz w:val="24"/>
                <w:szCs w:val="24"/>
              </w:rPr>
            </w:pPr>
            <w:r w:rsidRPr="00792B36">
              <w:rPr>
                <w:color w:val="000000"/>
                <w:sz w:val="24"/>
                <w:szCs w:val="24"/>
              </w:rPr>
              <w:t>26.53</w:t>
            </w:r>
          </w:p>
        </w:tc>
        <w:tc>
          <w:tcPr>
            <w:tcW w:w="1027" w:type="dxa"/>
            <w:vAlign w:val="center"/>
          </w:tcPr>
          <w:p w14:paraId="189A9E0F" w14:textId="77777777" w:rsidR="009A0A63" w:rsidRPr="00792B36" w:rsidRDefault="009A0A63" w:rsidP="00A24459">
            <w:pPr>
              <w:contextualSpacing/>
              <w:jc w:val="center"/>
              <w:rPr>
                <w:sz w:val="24"/>
                <w:szCs w:val="24"/>
              </w:rPr>
            </w:pPr>
            <w:r w:rsidRPr="00792B36">
              <w:rPr>
                <w:color w:val="000000"/>
                <w:sz w:val="24"/>
                <w:szCs w:val="24"/>
              </w:rPr>
              <w:t>2,620.34</w:t>
            </w:r>
          </w:p>
        </w:tc>
        <w:tc>
          <w:tcPr>
            <w:tcW w:w="957" w:type="dxa"/>
            <w:vAlign w:val="center"/>
          </w:tcPr>
          <w:p w14:paraId="7EAE6895" w14:textId="77777777" w:rsidR="009A0A63" w:rsidRPr="00792B36" w:rsidRDefault="009A0A63" w:rsidP="00A24459">
            <w:pPr>
              <w:contextualSpacing/>
              <w:jc w:val="center"/>
              <w:rPr>
                <w:sz w:val="24"/>
                <w:szCs w:val="24"/>
              </w:rPr>
            </w:pPr>
            <w:r w:rsidRPr="00792B36">
              <w:rPr>
                <w:color w:val="000000"/>
                <w:sz w:val="24"/>
                <w:szCs w:val="24"/>
              </w:rPr>
              <w:t>3,537.38</w:t>
            </w:r>
          </w:p>
        </w:tc>
        <w:tc>
          <w:tcPr>
            <w:tcW w:w="900" w:type="dxa"/>
            <w:vAlign w:val="center"/>
          </w:tcPr>
          <w:p w14:paraId="03EF29BF" w14:textId="77777777" w:rsidR="009A0A63" w:rsidRPr="00792B36" w:rsidRDefault="009A0A63" w:rsidP="00A24459">
            <w:pPr>
              <w:contextualSpacing/>
              <w:jc w:val="center"/>
              <w:rPr>
                <w:sz w:val="24"/>
                <w:szCs w:val="24"/>
              </w:rPr>
            </w:pPr>
            <w:r w:rsidRPr="00792B36">
              <w:rPr>
                <w:color w:val="000000"/>
                <w:sz w:val="24"/>
                <w:szCs w:val="24"/>
              </w:rPr>
              <w:t>6,178.96</w:t>
            </w:r>
          </w:p>
        </w:tc>
      </w:tr>
      <w:tr w:rsidR="009A0A63" w:rsidRPr="00792B36" w14:paraId="5E65866D" w14:textId="77777777" w:rsidTr="00A24459">
        <w:trPr>
          <w:trHeight w:val="340"/>
        </w:trPr>
        <w:tc>
          <w:tcPr>
            <w:tcW w:w="617" w:type="dxa"/>
            <w:vAlign w:val="center"/>
          </w:tcPr>
          <w:p w14:paraId="5C23970A" w14:textId="77777777" w:rsidR="009A0A63" w:rsidRPr="00792B36" w:rsidRDefault="009A0A63" w:rsidP="00A24459">
            <w:pPr>
              <w:contextualSpacing/>
              <w:jc w:val="center"/>
              <w:rPr>
                <w:sz w:val="24"/>
                <w:szCs w:val="24"/>
              </w:rPr>
            </w:pPr>
            <w:r w:rsidRPr="00792B36">
              <w:rPr>
                <w:b/>
                <w:bCs/>
                <w:color w:val="000000"/>
                <w:sz w:val="24"/>
                <w:szCs w:val="24"/>
              </w:rPr>
              <w:t>2017</w:t>
            </w:r>
          </w:p>
        </w:tc>
        <w:tc>
          <w:tcPr>
            <w:tcW w:w="1177" w:type="dxa"/>
            <w:vAlign w:val="center"/>
          </w:tcPr>
          <w:p w14:paraId="5C66458E" w14:textId="77777777" w:rsidR="009A0A63" w:rsidRPr="00792B36" w:rsidRDefault="009A0A63" w:rsidP="00A24459">
            <w:pPr>
              <w:contextualSpacing/>
              <w:jc w:val="center"/>
              <w:rPr>
                <w:sz w:val="24"/>
                <w:szCs w:val="24"/>
              </w:rPr>
            </w:pPr>
            <w:r w:rsidRPr="00792B36">
              <w:rPr>
                <w:color w:val="000000"/>
                <w:sz w:val="24"/>
                <w:szCs w:val="24"/>
              </w:rPr>
              <w:t>1,002.68</w:t>
            </w:r>
          </w:p>
        </w:tc>
        <w:tc>
          <w:tcPr>
            <w:tcW w:w="1095" w:type="dxa"/>
            <w:vAlign w:val="center"/>
          </w:tcPr>
          <w:p w14:paraId="5A873A24" w14:textId="77777777" w:rsidR="009A0A63" w:rsidRPr="00792B36" w:rsidRDefault="009A0A63" w:rsidP="00A24459">
            <w:pPr>
              <w:contextualSpacing/>
              <w:jc w:val="center"/>
              <w:rPr>
                <w:sz w:val="24"/>
                <w:szCs w:val="24"/>
              </w:rPr>
            </w:pPr>
            <w:r w:rsidRPr="00792B36">
              <w:rPr>
                <w:color w:val="000000"/>
                <w:sz w:val="24"/>
                <w:szCs w:val="24"/>
              </w:rPr>
              <w:t>149.41</w:t>
            </w:r>
          </w:p>
        </w:tc>
        <w:tc>
          <w:tcPr>
            <w:tcW w:w="987" w:type="dxa"/>
            <w:vAlign w:val="center"/>
          </w:tcPr>
          <w:p w14:paraId="10CE63F4" w14:textId="77777777" w:rsidR="009A0A63" w:rsidRPr="00792B36" w:rsidRDefault="009A0A63" w:rsidP="00A24459">
            <w:pPr>
              <w:contextualSpacing/>
              <w:jc w:val="center"/>
              <w:rPr>
                <w:sz w:val="24"/>
                <w:szCs w:val="24"/>
              </w:rPr>
            </w:pPr>
            <w:r w:rsidRPr="00792B36">
              <w:rPr>
                <w:color w:val="000000"/>
                <w:sz w:val="24"/>
                <w:szCs w:val="24"/>
              </w:rPr>
              <w:t>1,126.12</w:t>
            </w:r>
          </w:p>
        </w:tc>
        <w:tc>
          <w:tcPr>
            <w:tcW w:w="1080" w:type="dxa"/>
            <w:vAlign w:val="center"/>
          </w:tcPr>
          <w:p w14:paraId="58DD3831" w14:textId="77777777" w:rsidR="009A0A63" w:rsidRPr="00792B36" w:rsidRDefault="009A0A63" w:rsidP="00A24459">
            <w:pPr>
              <w:contextualSpacing/>
              <w:jc w:val="center"/>
              <w:rPr>
                <w:sz w:val="24"/>
                <w:szCs w:val="24"/>
              </w:rPr>
            </w:pPr>
            <w:r w:rsidRPr="00792B36">
              <w:rPr>
                <w:color w:val="000000"/>
                <w:sz w:val="24"/>
                <w:szCs w:val="24"/>
              </w:rPr>
              <w:t>2,310.85</w:t>
            </w:r>
          </w:p>
        </w:tc>
        <w:tc>
          <w:tcPr>
            <w:tcW w:w="1177" w:type="dxa"/>
            <w:vAlign w:val="center"/>
          </w:tcPr>
          <w:p w14:paraId="39C1A49D" w14:textId="77777777" w:rsidR="009A0A63" w:rsidRPr="00792B36" w:rsidRDefault="009A0A63" w:rsidP="00A24459">
            <w:pPr>
              <w:contextualSpacing/>
              <w:jc w:val="center"/>
              <w:rPr>
                <w:sz w:val="24"/>
                <w:szCs w:val="24"/>
              </w:rPr>
            </w:pPr>
            <w:r w:rsidRPr="00792B36">
              <w:rPr>
                <w:color w:val="000000"/>
                <w:sz w:val="24"/>
                <w:szCs w:val="24"/>
              </w:rPr>
              <w:t>36.12</w:t>
            </w:r>
          </w:p>
        </w:tc>
        <w:tc>
          <w:tcPr>
            <w:tcW w:w="1027" w:type="dxa"/>
            <w:vAlign w:val="center"/>
          </w:tcPr>
          <w:p w14:paraId="54D4FBB1" w14:textId="77777777" w:rsidR="009A0A63" w:rsidRPr="00792B36" w:rsidRDefault="009A0A63" w:rsidP="00A24459">
            <w:pPr>
              <w:contextualSpacing/>
              <w:jc w:val="center"/>
              <w:rPr>
                <w:sz w:val="24"/>
                <w:szCs w:val="24"/>
              </w:rPr>
            </w:pPr>
            <w:r w:rsidRPr="00792B36">
              <w:rPr>
                <w:color w:val="000000"/>
                <w:sz w:val="24"/>
                <w:szCs w:val="24"/>
              </w:rPr>
              <w:t>2,437.43</w:t>
            </w:r>
          </w:p>
        </w:tc>
        <w:tc>
          <w:tcPr>
            <w:tcW w:w="957" w:type="dxa"/>
            <w:vAlign w:val="center"/>
          </w:tcPr>
          <w:p w14:paraId="09C89B48" w14:textId="77777777" w:rsidR="009A0A63" w:rsidRPr="00792B36" w:rsidRDefault="009A0A63" w:rsidP="00A24459">
            <w:pPr>
              <w:contextualSpacing/>
              <w:jc w:val="center"/>
              <w:rPr>
                <w:sz w:val="24"/>
                <w:szCs w:val="24"/>
              </w:rPr>
            </w:pPr>
            <w:r w:rsidRPr="00792B36">
              <w:rPr>
                <w:color w:val="000000"/>
                <w:sz w:val="24"/>
                <w:szCs w:val="24"/>
              </w:rPr>
              <w:t>3,780.83</w:t>
            </w:r>
          </w:p>
        </w:tc>
        <w:tc>
          <w:tcPr>
            <w:tcW w:w="900" w:type="dxa"/>
            <w:vAlign w:val="center"/>
          </w:tcPr>
          <w:p w14:paraId="6FF9D4CC" w14:textId="77777777" w:rsidR="009A0A63" w:rsidRPr="00792B36" w:rsidRDefault="009A0A63" w:rsidP="00A24459">
            <w:pPr>
              <w:contextualSpacing/>
              <w:jc w:val="center"/>
              <w:rPr>
                <w:sz w:val="24"/>
                <w:szCs w:val="24"/>
              </w:rPr>
            </w:pPr>
            <w:r w:rsidRPr="00792B36">
              <w:rPr>
                <w:color w:val="000000"/>
                <w:sz w:val="24"/>
                <w:szCs w:val="24"/>
              </w:rPr>
              <w:t>6,233.28</w:t>
            </w:r>
          </w:p>
        </w:tc>
      </w:tr>
      <w:tr w:rsidR="009A0A63" w:rsidRPr="00792B36" w14:paraId="1ED1F8D3" w14:textId="77777777" w:rsidTr="00A24459">
        <w:trPr>
          <w:trHeight w:val="340"/>
        </w:trPr>
        <w:tc>
          <w:tcPr>
            <w:tcW w:w="617" w:type="dxa"/>
            <w:vAlign w:val="center"/>
          </w:tcPr>
          <w:p w14:paraId="77E2E839" w14:textId="77777777" w:rsidR="009A0A63" w:rsidRPr="00792B36" w:rsidRDefault="009A0A63" w:rsidP="00A24459">
            <w:pPr>
              <w:contextualSpacing/>
              <w:jc w:val="center"/>
              <w:rPr>
                <w:sz w:val="24"/>
                <w:szCs w:val="24"/>
              </w:rPr>
            </w:pPr>
            <w:r w:rsidRPr="00792B36">
              <w:rPr>
                <w:b/>
                <w:bCs/>
                <w:color w:val="000000"/>
                <w:sz w:val="24"/>
                <w:szCs w:val="24"/>
              </w:rPr>
              <w:t>2018</w:t>
            </w:r>
          </w:p>
        </w:tc>
        <w:tc>
          <w:tcPr>
            <w:tcW w:w="1177" w:type="dxa"/>
            <w:vAlign w:val="center"/>
          </w:tcPr>
          <w:p w14:paraId="56F3D0BC" w14:textId="77777777" w:rsidR="009A0A63" w:rsidRPr="00792B36" w:rsidRDefault="009A0A63" w:rsidP="00A24459">
            <w:pPr>
              <w:contextualSpacing/>
              <w:jc w:val="center"/>
              <w:rPr>
                <w:sz w:val="24"/>
                <w:szCs w:val="24"/>
              </w:rPr>
            </w:pPr>
            <w:r w:rsidRPr="00792B36">
              <w:rPr>
                <w:color w:val="000000"/>
                <w:sz w:val="24"/>
                <w:szCs w:val="24"/>
              </w:rPr>
              <w:t>850.48</w:t>
            </w:r>
          </w:p>
        </w:tc>
        <w:tc>
          <w:tcPr>
            <w:tcW w:w="1095" w:type="dxa"/>
            <w:vAlign w:val="center"/>
          </w:tcPr>
          <w:p w14:paraId="629BAA11" w14:textId="77777777" w:rsidR="009A0A63" w:rsidRPr="00792B36" w:rsidRDefault="009A0A63" w:rsidP="00A24459">
            <w:pPr>
              <w:contextualSpacing/>
              <w:jc w:val="center"/>
              <w:rPr>
                <w:sz w:val="24"/>
                <w:szCs w:val="24"/>
              </w:rPr>
            </w:pPr>
            <w:r w:rsidRPr="00792B36">
              <w:rPr>
                <w:color w:val="000000"/>
                <w:sz w:val="24"/>
                <w:szCs w:val="24"/>
              </w:rPr>
              <w:t>151.33</w:t>
            </w:r>
          </w:p>
        </w:tc>
        <w:tc>
          <w:tcPr>
            <w:tcW w:w="987" w:type="dxa"/>
            <w:vAlign w:val="center"/>
          </w:tcPr>
          <w:p w14:paraId="08D82BFD" w14:textId="77777777" w:rsidR="009A0A63" w:rsidRPr="00792B36" w:rsidRDefault="009A0A63" w:rsidP="00A24459">
            <w:pPr>
              <w:contextualSpacing/>
              <w:jc w:val="center"/>
              <w:rPr>
                <w:sz w:val="24"/>
                <w:szCs w:val="24"/>
              </w:rPr>
            </w:pPr>
            <w:r w:rsidRPr="00792B36">
              <w:rPr>
                <w:color w:val="000000"/>
                <w:sz w:val="24"/>
                <w:szCs w:val="24"/>
              </w:rPr>
              <w:t>1,089.51</w:t>
            </w:r>
          </w:p>
        </w:tc>
        <w:tc>
          <w:tcPr>
            <w:tcW w:w="1080" w:type="dxa"/>
            <w:vAlign w:val="center"/>
          </w:tcPr>
          <w:p w14:paraId="681C4C45" w14:textId="77777777" w:rsidR="009A0A63" w:rsidRPr="00792B36" w:rsidRDefault="009A0A63" w:rsidP="00A24459">
            <w:pPr>
              <w:contextualSpacing/>
              <w:jc w:val="center"/>
              <w:rPr>
                <w:sz w:val="24"/>
                <w:szCs w:val="24"/>
              </w:rPr>
            </w:pPr>
            <w:r w:rsidRPr="00792B36">
              <w:rPr>
                <w:color w:val="000000"/>
                <w:sz w:val="24"/>
                <w:szCs w:val="24"/>
              </w:rPr>
              <w:t>2,114.07</w:t>
            </w:r>
          </w:p>
        </w:tc>
        <w:tc>
          <w:tcPr>
            <w:tcW w:w="1177" w:type="dxa"/>
            <w:vAlign w:val="center"/>
          </w:tcPr>
          <w:p w14:paraId="20A6D839" w14:textId="77777777" w:rsidR="009A0A63" w:rsidRPr="00792B36" w:rsidRDefault="009A0A63" w:rsidP="00A24459">
            <w:pPr>
              <w:contextualSpacing/>
              <w:jc w:val="center"/>
              <w:rPr>
                <w:sz w:val="24"/>
                <w:szCs w:val="24"/>
              </w:rPr>
            </w:pPr>
            <w:r w:rsidRPr="00792B36">
              <w:rPr>
                <w:color w:val="000000"/>
                <w:sz w:val="24"/>
                <w:szCs w:val="24"/>
              </w:rPr>
              <w:t>34.49</w:t>
            </w:r>
          </w:p>
        </w:tc>
        <w:tc>
          <w:tcPr>
            <w:tcW w:w="1027" w:type="dxa"/>
            <w:vAlign w:val="center"/>
          </w:tcPr>
          <w:p w14:paraId="3BC1BE6D" w14:textId="77777777" w:rsidR="009A0A63" w:rsidRPr="00792B36" w:rsidRDefault="009A0A63" w:rsidP="00A24459">
            <w:pPr>
              <w:contextualSpacing/>
              <w:jc w:val="center"/>
              <w:rPr>
                <w:sz w:val="24"/>
                <w:szCs w:val="24"/>
              </w:rPr>
            </w:pPr>
            <w:r w:rsidRPr="00792B36">
              <w:rPr>
                <w:color w:val="000000"/>
                <w:sz w:val="24"/>
                <w:szCs w:val="24"/>
              </w:rPr>
              <w:t>2,703.60</w:t>
            </w:r>
          </w:p>
        </w:tc>
        <w:tc>
          <w:tcPr>
            <w:tcW w:w="957" w:type="dxa"/>
            <w:vAlign w:val="center"/>
          </w:tcPr>
          <w:p w14:paraId="12B32C86" w14:textId="77777777" w:rsidR="009A0A63" w:rsidRPr="00792B36" w:rsidRDefault="009A0A63" w:rsidP="00A24459">
            <w:pPr>
              <w:contextualSpacing/>
              <w:jc w:val="center"/>
              <w:rPr>
                <w:sz w:val="24"/>
                <w:szCs w:val="24"/>
              </w:rPr>
            </w:pPr>
            <w:r w:rsidRPr="00792B36">
              <w:rPr>
                <w:color w:val="000000"/>
                <w:sz w:val="24"/>
                <w:szCs w:val="24"/>
              </w:rPr>
              <w:t>3,870.02</w:t>
            </w:r>
          </w:p>
        </w:tc>
        <w:tc>
          <w:tcPr>
            <w:tcW w:w="900" w:type="dxa"/>
            <w:vAlign w:val="center"/>
          </w:tcPr>
          <w:p w14:paraId="7EBFCABF" w14:textId="77777777" w:rsidR="009A0A63" w:rsidRPr="00792B36" w:rsidRDefault="009A0A63" w:rsidP="00A24459">
            <w:pPr>
              <w:contextualSpacing/>
              <w:jc w:val="center"/>
              <w:rPr>
                <w:sz w:val="24"/>
                <w:szCs w:val="24"/>
              </w:rPr>
            </w:pPr>
            <w:r w:rsidRPr="00792B36">
              <w:rPr>
                <w:color w:val="000000"/>
                <w:sz w:val="24"/>
                <w:szCs w:val="24"/>
              </w:rPr>
              <w:t>6,601.59</w:t>
            </w:r>
          </w:p>
        </w:tc>
      </w:tr>
    </w:tbl>
    <w:p w14:paraId="78437EA8" w14:textId="77777777" w:rsidR="009A0A63" w:rsidRPr="00792B36" w:rsidRDefault="009A0A63" w:rsidP="009A0A63">
      <w:pPr>
        <w:spacing w:line="360" w:lineRule="auto"/>
        <w:rPr>
          <w:sz w:val="24"/>
          <w:szCs w:val="24"/>
        </w:rPr>
      </w:pPr>
    </w:p>
    <w:p w14:paraId="505EE239" w14:textId="77777777" w:rsidR="009A0A63" w:rsidRPr="00792B36" w:rsidRDefault="009A0A63" w:rsidP="009A0A63">
      <w:pPr>
        <w:spacing w:line="360" w:lineRule="auto"/>
        <w:contextualSpacing/>
        <w:rPr>
          <w:color w:val="000000" w:themeColor="text1"/>
          <w:sz w:val="24"/>
          <w:szCs w:val="24"/>
        </w:rPr>
      </w:pPr>
      <w:r w:rsidRPr="00792B36">
        <w:rPr>
          <w:b/>
          <w:bCs/>
          <w:sz w:val="24"/>
          <w:szCs w:val="24"/>
        </w:rPr>
        <w:t xml:space="preserve">Annex 2.12 </w:t>
      </w:r>
      <w:r w:rsidRPr="00792B36">
        <w:rPr>
          <w:color w:val="000000" w:themeColor="text1"/>
          <w:sz w:val="24"/>
          <w:szCs w:val="24"/>
        </w:rPr>
        <w:t>Cont.</w:t>
      </w:r>
    </w:p>
    <w:tbl>
      <w:tblPr>
        <w:tblStyle w:val="TableGrid"/>
        <w:tblW w:w="0" w:type="auto"/>
        <w:tblLook w:val="04A0" w:firstRow="1" w:lastRow="0" w:firstColumn="1" w:lastColumn="0" w:noHBand="0" w:noVBand="1"/>
      </w:tblPr>
      <w:tblGrid>
        <w:gridCol w:w="631"/>
        <w:gridCol w:w="1211"/>
        <w:gridCol w:w="1056"/>
        <w:gridCol w:w="984"/>
        <w:gridCol w:w="942"/>
        <w:gridCol w:w="1211"/>
        <w:gridCol w:w="1056"/>
        <w:gridCol w:w="984"/>
        <w:gridCol w:w="942"/>
      </w:tblGrid>
      <w:tr w:rsidR="009A0A63" w:rsidRPr="00792B36" w14:paraId="36970DEC" w14:textId="77777777" w:rsidTr="00A24459">
        <w:trPr>
          <w:trHeight w:val="340"/>
        </w:trPr>
        <w:tc>
          <w:tcPr>
            <w:tcW w:w="617" w:type="dxa"/>
            <w:vMerge w:val="restart"/>
            <w:vAlign w:val="center"/>
          </w:tcPr>
          <w:p w14:paraId="631993D3" w14:textId="77777777" w:rsidR="009A0A63" w:rsidRPr="00792B36" w:rsidRDefault="009A0A63" w:rsidP="00A24459">
            <w:pPr>
              <w:contextualSpacing/>
              <w:jc w:val="center"/>
              <w:rPr>
                <w:b/>
                <w:bCs/>
                <w:sz w:val="24"/>
                <w:szCs w:val="24"/>
              </w:rPr>
            </w:pPr>
            <w:r w:rsidRPr="00792B36">
              <w:rPr>
                <w:b/>
                <w:bCs/>
                <w:color w:val="000000"/>
                <w:sz w:val="24"/>
                <w:szCs w:val="24"/>
              </w:rPr>
              <w:t>Year</w:t>
            </w:r>
          </w:p>
        </w:tc>
        <w:tc>
          <w:tcPr>
            <w:tcW w:w="4339" w:type="dxa"/>
            <w:gridSpan w:val="4"/>
            <w:vAlign w:val="center"/>
          </w:tcPr>
          <w:p w14:paraId="6748EDCD" w14:textId="77777777" w:rsidR="009A0A63" w:rsidRPr="00792B36" w:rsidRDefault="009A0A63" w:rsidP="00A24459">
            <w:pPr>
              <w:contextualSpacing/>
              <w:jc w:val="center"/>
              <w:rPr>
                <w:b/>
                <w:bCs/>
                <w:sz w:val="24"/>
                <w:szCs w:val="24"/>
              </w:rPr>
            </w:pPr>
            <w:r w:rsidRPr="00792B36">
              <w:rPr>
                <w:b/>
                <w:bCs/>
                <w:sz w:val="24"/>
                <w:szCs w:val="24"/>
              </w:rPr>
              <w:t>Chonburi</w:t>
            </w:r>
          </w:p>
        </w:tc>
        <w:tc>
          <w:tcPr>
            <w:tcW w:w="4061" w:type="dxa"/>
            <w:gridSpan w:val="4"/>
            <w:vAlign w:val="center"/>
          </w:tcPr>
          <w:p w14:paraId="73D7BDBE" w14:textId="77777777" w:rsidR="009A0A63" w:rsidRPr="00792B36" w:rsidRDefault="009A0A63" w:rsidP="00A24459">
            <w:pPr>
              <w:contextualSpacing/>
              <w:jc w:val="center"/>
              <w:rPr>
                <w:b/>
                <w:bCs/>
                <w:sz w:val="24"/>
                <w:szCs w:val="24"/>
              </w:rPr>
            </w:pPr>
            <w:r w:rsidRPr="00792B36">
              <w:rPr>
                <w:b/>
                <w:bCs/>
                <w:sz w:val="24"/>
                <w:szCs w:val="24"/>
              </w:rPr>
              <w:t>Chachoengsao</w:t>
            </w:r>
          </w:p>
        </w:tc>
      </w:tr>
      <w:tr w:rsidR="009A0A63" w:rsidRPr="00792B36" w14:paraId="00E9F62E" w14:textId="77777777" w:rsidTr="00A24459">
        <w:trPr>
          <w:trHeight w:val="340"/>
        </w:trPr>
        <w:tc>
          <w:tcPr>
            <w:tcW w:w="617" w:type="dxa"/>
            <w:vMerge/>
            <w:vAlign w:val="center"/>
          </w:tcPr>
          <w:p w14:paraId="5BFDDFCA" w14:textId="77777777" w:rsidR="009A0A63" w:rsidRPr="00792B36" w:rsidRDefault="009A0A63" w:rsidP="00A24459">
            <w:pPr>
              <w:contextualSpacing/>
              <w:jc w:val="center"/>
              <w:rPr>
                <w:b/>
                <w:bCs/>
                <w:sz w:val="24"/>
                <w:szCs w:val="24"/>
              </w:rPr>
            </w:pPr>
          </w:p>
        </w:tc>
        <w:tc>
          <w:tcPr>
            <w:tcW w:w="1177" w:type="dxa"/>
            <w:vAlign w:val="center"/>
          </w:tcPr>
          <w:p w14:paraId="357F260B" w14:textId="77777777" w:rsidR="009A0A63" w:rsidRPr="00792B36" w:rsidRDefault="009A0A63" w:rsidP="00A24459">
            <w:pPr>
              <w:contextualSpacing/>
              <w:jc w:val="center"/>
              <w:rPr>
                <w:b/>
                <w:bCs/>
                <w:sz w:val="24"/>
                <w:szCs w:val="24"/>
              </w:rPr>
            </w:pPr>
            <w:r w:rsidRPr="00792B36">
              <w:rPr>
                <w:b/>
                <w:bCs/>
                <w:color w:val="000000"/>
                <w:sz w:val="24"/>
                <w:szCs w:val="24"/>
              </w:rPr>
              <w:t>Agriculture</w:t>
            </w:r>
          </w:p>
        </w:tc>
        <w:tc>
          <w:tcPr>
            <w:tcW w:w="1095" w:type="dxa"/>
            <w:vAlign w:val="center"/>
          </w:tcPr>
          <w:p w14:paraId="69E34FC8" w14:textId="77777777" w:rsidR="009A0A63" w:rsidRPr="00792B36" w:rsidRDefault="009A0A63" w:rsidP="00A24459">
            <w:pPr>
              <w:contextualSpacing/>
              <w:jc w:val="center"/>
              <w:rPr>
                <w:b/>
                <w:bCs/>
                <w:sz w:val="24"/>
                <w:szCs w:val="24"/>
              </w:rPr>
            </w:pPr>
            <w:r w:rsidRPr="00792B36">
              <w:rPr>
                <w:b/>
                <w:bCs/>
                <w:color w:val="000000"/>
                <w:sz w:val="24"/>
                <w:szCs w:val="24"/>
              </w:rPr>
              <w:t>Industrial</w:t>
            </w:r>
          </w:p>
        </w:tc>
        <w:tc>
          <w:tcPr>
            <w:tcW w:w="987" w:type="dxa"/>
            <w:vAlign w:val="center"/>
          </w:tcPr>
          <w:p w14:paraId="5078990D" w14:textId="77777777" w:rsidR="009A0A63" w:rsidRPr="00792B36" w:rsidRDefault="009A0A63" w:rsidP="00A24459">
            <w:pPr>
              <w:contextualSpacing/>
              <w:jc w:val="center"/>
              <w:rPr>
                <w:b/>
                <w:bCs/>
                <w:sz w:val="24"/>
                <w:szCs w:val="24"/>
              </w:rPr>
            </w:pPr>
            <w:r w:rsidRPr="00792B36">
              <w:rPr>
                <w:b/>
                <w:bCs/>
                <w:color w:val="000000"/>
                <w:sz w:val="24"/>
                <w:szCs w:val="24"/>
              </w:rPr>
              <w:t>Services</w:t>
            </w:r>
          </w:p>
        </w:tc>
        <w:tc>
          <w:tcPr>
            <w:tcW w:w="1080" w:type="dxa"/>
            <w:vAlign w:val="center"/>
          </w:tcPr>
          <w:p w14:paraId="3D94690E" w14:textId="77777777" w:rsidR="009A0A63" w:rsidRPr="00792B36" w:rsidRDefault="009A0A63" w:rsidP="00A24459">
            <w:pPr>
              <w:contextualSpacing/>
              <w:jc w:val="center"/>
              <w:rPr>
                <w:b/>
                <w:bCs/>
                <w:sz w:val="24"/>
                <w:szCs w:val="24"/>
              </w:rPr>
            </w:pPr>
            <w:r w:rsidRPr="00792B36">
              <w:rPr>
                <w:b/>
                <w:bCs/>
                <w:color w:val="000000"/>
                <w:sz w:val="24"/>
                <w:szCs w:val="24"/>
              </w:rPr>
              <w:t>GPP</w:t>
            </w:r>
          </w:p>
        </w:tc>
        <w:tc>
          <w:tcPr>
            <w:tcW w:w="1177" w:type="dxa"/>
            <w:vAlign w:val="center"/>
          </w:tcPr>
          <w:p w14:paraId="018F160E" w14:textId="77777777" w:rsidR="009A0A63" w:rsidRPr="00792B36" w:rsidRDefault="009A0A63" w:rsidP="00A24459">
            <w:pPr>
              <w:contextualSpacing/>
              <w:jc w:val="center"/>
              <w:rPr>
                <w:b/>
                <w:bCs/>
                <w:sz w:val="24"/>
                <w:szCs w:val="24"/>
              </w:rPr>
            </w:pPr>
            <w:r w:rsidRPr="00792B36">
              <w:rPr>
                <w:b/>
                <w:bCs/>
                <w:color w:val="000000"/>
                <w:sz w:val="24"/>
                <w:szCs w:val="24"/>
              </w:rPr>
              <w:t>Agriculture</w:t>
            </w:r>
          </w:p>
        </w:tc>
        <w:tc>
          <w:tcPr>
            <w:tcW w:w="1027" w:type="dxa"/>
            <w:vAlign w:val="center"/>
          </w:tcPr>
          <w:p w14:paraId="694DD400" w14:textId="77777777" w:rsidR="009A0A63" w:rsidRPr="00792B36" w:rsidRDefault="009A0A63" w:rsidP="00A24459">
            <w:pPr>
              <w:contextualSpacing/>
              <w:jc w:val="center"/>
              <w:rPr>
                <w:b/>
                <w:bCs/>
                <w:sz w:val="24"/>
                <w:szCs w:val="24"/>
              </w:rPr>
            </w:pPr>
            <w:r w:rsidRPr="00792B36">
              <w:rPr>
                <w:b/>
                <w:bCs/>
                <w:color w:val="000000"/>
                <w:sz w:val="24"/>
                <w:szCs w:val="24"/>
              </w:rPr>
              <w:t>Industrial</w:t>
            </w:r>
          </w:p>
        </w:tc>
        <w:tc>
          <w:tcPr>
            <w:tcW w:w="957" w:type="dxa"/>
            <w:vAlign w:val="center"/>
          </w:tcPr>
          <w:p w14:paraId="69CAF7B0" w14:textId="77777777" w:rsidR="009A0A63" w:rsidRPr="00792B36" w:rsidRDefault="009A0A63" w:rsidP="00A24459">
            <w:pPr>
              <w:contextualSpacing/>
              <w:jc w:val="center"/>
              <w:rPr>
                <w:b/>
                <w:bCs/>
                <w:sz w:val="24"/>
                <w:szCs w:val="24"/>
              </w:rPr>
            </w:pPr>
            <w:r w:rsidRPr="00792B36">
              <w:rPr>
                <w:b/>
                <w:bCs/>
                <w:color w:val="000000"/>
                <w:sz w:val="24"/>
                <w:szCs w:val="24"/>
              </w:rPr>
              <w:t>Services</w:t>
            </w:r>
          </w:p>
        </w:tc>
        <w:tc>
          <w:tcPr>
            <w:tcW w:w="900" w:type="dxa"/>
            <w:vAlign w:val="center"/>
          </w:tcPr>
          <w:p w14:paraId="2A8D11A0" w14:textId="77777777" w:rsidR="009A0A63" w:rsidRPr="00792B36" w:rsidRDefault="009A0A63" w:rsidP="00A24459">
            <w:pPr>
              <w:contextualSpacing/>
              <w:jc w:val="center"/>
              <w:rPr>
                <w:b/>
                <w:bCs/>
                <w:sz w:val="24"/>
                <w:szCs w:val="24"/>
              </w:rPr>
            </w:pPr>
            <w:r w:rsidRPr="00792B36">
              <w:rPr>
                <w:b/>
                <w:bCs/>
                <w:sz w:val="24"/>
                <w:szCs w:val="24"/>
              </w:rPr>
              <w:t>GPP</w:t>
            </w:r>
          </w:p>
        </w:tc>
      </w:tr>
      <w:tr w:rsidR="009A0A63" w:rsidRPr="00792B36" w14:paraId="71BEA408" w14:textId="77777777" w:rsidTr="00A24459">
        <w:trPr>
          <w:trHeight w:val="340"/>
        </w:trPr>
        <w:tc>
          <w:tcPr>
            <w:tcW w:w="617" w:type="dxa"/>
            <w:vAlign w:val="center"/>
          </w:tcPr>
          <w:p w14:paraId="2A95E807" w14:textId="77777777" w:rsidR="009A0A63" w:rsidRPr="00792B36" w:rsidRDefault="009A0A63" w:rsidP="00A24459">
            <w:pPr>
              <w:contextualSpacing/>
              <w:jc w:val="center"/>
              <w:rPr>
                <w:sz w:val="24"/>
                <w:szCs w:val="24"/>
              </w:rPr>
            </w:pPr>
            <w:r w:rsidRPr="00792B36">
              <w:rPr>
                <w:b/>
                <w:bCs/>
                <w:color w:val="000000"/>
                <w:sz w:val="24"/>
                <w:szCs w:val="24"/>
              </w:rPr>
              <w:t>1995</w:t>
            </w:r>
          </w:p>
        </w:tc>
        <w:tc>
          <w:tcPr>
            <w:tcW w:w="1177" w:type="dxa"/>
            <w:vAlign w:val="center"/>
          </w:tcPr>
          <w:p w14:paraId="53F3198D" w14:textId="77777777" w:rsidR="009A0A63" w:rsidRPr="00792B36" w:rsidRDefault="009A0A63" w:rsidP="00A24459">
            <w:pPr>
              <w:contextualSpacing/>
              <w:jc w:val="center"/>
              <w:rPr>
                <w:sz w:val="24"/>
                <w:szCs w:val="24"/>
              </w:rPr>
            </w:pPr>
            <w:r w:rsidRPr="00792B36">
              <w:rPr>
                <w:color w:val="000000"/>
                <w:sz w:val="24"/>
                <w:szCs w:val="24"/>
              </w:rPr>
              <w:t>165.93</w:t>
            </w:r>
          </w:p>
        </w:tc>
        <w:tc>
          <w:tcPr>
            <w:tcW w:w="1095" w:type="dxa"/>
            <w:vAlign w:val="center"/>
          </w:tcPr>
          <w:p w14:paraId="302826BB" w14:textId="77777777" w:rsidR="009A0A63" w:rsidRPr="00792B36" w:rsidRDefault="009A0A63" w:rsidP="00A24459">
            <w:pPr>
              <w:contextualSpacing/>
              <w:jc w:val="center"/>
              <w:rPr>
                <w:sz w:val="24"/>
                <w:szCs w:val="24"/>
              </w:rPr>
            </w:pPr>
            <w:r w:rsidRPr="00792B36">
              <w:rPr>
                <w:color w:val="000000"/>
                <w:sz w:val="24"/>
                <w:szCs w:val="24"/>
              </w:rPr>
              <w:t>3,434.73</w:t>
            </w:r>
          </w:p>
        </w:tc>
        <w:tc>
          <w:tcPr>
            <w:tcW w:w="987" w:type="dxa"/>
            <w:vAlign w:val="center"/>
          </w:tcPr>
          <w:p w14:paraId="0F629067" w14:textId="77777777" w:rsidR="009A0A63" w:rsidRPr="00792B36" w:rsidRDefault="009A0A63" w:rsidP="00A24459">
            <w:pPr>
              <w:contextualSpacing/>
              <w:jc w:val="center"/>
              <w:rPr>
                <w:sz w:val="24"/>
                <w:szCs w:val="24"/>
              </w:rPr>
            </w:pPr>
            <w:r w:rsidRPr="00792B36">
              <w:rPr>
                <w:color w:val="000000"/>
                <w:sz w:val="24"/>
                <w:szCs w:val="24"/>
              </w:rPr>
              <w:t>2,147.15</w:t>
            </w:r>
          </w:p>
        </w:tc>
        <w:tc>
          <w:tcPr>
            <w:tcW w:w="1080" w:type="dxa"/>
            <w:vAlign w:val="center"/>
          </w:tcPr>
          <w:p w14:paraId="534A894C" w14:textId="77777777" w:rsidR="009A0A63" w:rsidRPr="00792B36" w:rsidRDefault="009A0A63" w:rsidP="00A24459">
            <w:pPr>
              <w:contextualSpacing/>
              <w:jc w:val="center"/>
              <w:rPr>
                <w:sz w:val="24"/>
                <w:szCs w:val="24"/>
              </w:rPr>
            </w:pPr>
            <w:r w:rsidRPr="00792B36">
              <w:rPr>
                <w:color w:val="000000"/>
                <w:sz w:val="24"/>
                <w:szCs w:val="24"/>
              </w:rPr>
              <w:t>5,724.37</w:t>
            </w:r>
          </w:p>
        </w:tc>
        <w:tc>
          <w:tcPr>
            <w:tcW w:w="1177" w:type="dxa"/>
            <w:vAlign w:val="center"/>
          </w:tcPr>
          <w:p w14:paraId="6D820631" w14:textId="77777777" w:rsidR="009A0A63" w:rsidRPr="00792B36" w:rsidRDefault="009A0A63" w:rsidP="00A24459">
            <w:pPr>
              <w:contextualSpacing/>
              <w:jc w:val="center"/>
              <w:rPr>
                <w:sz w:val="24"/>
                <w:szCs w:val="24"/>
              </w:rPr>
            </w:pPr>
            <w:r w:rsidRPr="00792B36">
              <w:rPr>
                <w:color w:val="000000"/>
                <w:sz w:val="24"/>
                <w:szCs w:val="24"/>
              </w:rPr>
              <w:t>276.24</w:t>
            </w:r>
          </w:p>
        </w:tc>
        <w:tc>
          <w:tcPr>
            <w:tcW w:w="1027" w:type="dxa"/>
            <w:vAlign w:val="center"/>
          </w:tcPr>
          <w:p w14:paraId="303480FC" w14:textId="77777777" w:rsidR="009A0A63" w:rsidRPr="00792B36" w:rsidRDefault="009A0A63" w:rsidP="00A24459">
            <w:pPr>
              <w:contextualSpacing/>
              <w:jc w:val="center"/>
              <w:rPr>
                <w:sz w:val="24"/>
                <w:szCs w:val="24"/>
              </w:rPr>
            </w:pPr>
            <w:r w:rsidRPr="00792B36">
              <w:rPr>
                <w:color w:val="000000"/>
                <w:sz w:val="24"/>
                <w:szCs w:val="24"/>
              </w:rPr>
              <w:t>2,100.95</w:t>
            </w:r>
          </w:p>
        </w:tc>
        <w:tc>
          <w:tcPr>
            <w:tcW w:w="957" w:type="dxa"/>
            <w:vAlign w:val="center"/>
          </w:tcPr>
          <w:p w14:paraId="69450EB3" w14:textId="77777777" w:rsidR="009A0A63" w:rsidRPr="00792B36" w:rsidRDefault="009A0A63" w:rsidP="00A24459">
            <w:pPr>
              <w:contextualSpacing/>
              <w:jc w:val="center"/>
              <w:rPr>
                <w:sz w:val="24"/>
                <w:szCs w:val="24"/>
              </w:rPr>
            </w:pPr>
            <w:r w:rsidRPr="00792B36">
              <w:rPr>
                <w:color w:val="000000"/>
                <w:sz w:val="24"/>
                <w:szCs w:val="24"/>
              </w:rPr>
              <w:t>935.78</w:t>
            </w:r>
          </w:p>
        </w:tc>
        <w:tc>
          <w:tcPr>
            <w:tcW w:w="900" w:type="dxa"/>
            <w:vAlign w:val="center"/>
          </w:tcPr>
          <w:p w14:paraId="1951C9FD" w14:textId="77777777" w:rsidR="009A0A63" w:rsidRPr="00792B36" w:rsidRDefault="009A0A63" w:rsidP="00A24459">
            <w:pPr>
              <w:contextualSpacing/>
              <w:jc w:val="center"/>
              <w:rPr>
                <w:sz w:val="24"/>
                <w:szCs w:val="24"/>
              </w:rPr>
            </w:pPr>
            <w:r w:rsidRPr="00792B36">
              <w:rPr>
                <w:color w:val="000000"/>
                <w:sz w:val="24"/>
                <w:szCs w:val="24"/>
              </w:rPr>
              <w:t>3,300.10</w:t>
            </w:r>
          </w:p>
        </w:tc>
      </w:tr>
      <w:tr w:rsidR="009A0A63" w:rsidRPr="00792B36" w14:paraId="07E2A9C4" w14:textId="77777777" w:rsidTr="00A24459">
        <w:trPr>
          <w:trHeight w:val="340"/>
        </w:trPr>
        <w:tc>
          <w:tcPr>
            <w:tcW w:w="617" w:type="dxa"/>
            <w:vAlign w:val="center"/>
          </w:tcPr>
          <w:p w14:paraId="39A7BECB" w14:textId="77777777" w:rsidR="009A0A63" w:rsidRPr="00792B36" w:rsidRDefault="009A0A63" w:rsidP="00A24459">
            <w:pPr>
              <w:contextualSpacing/>
              <w:jc w:val="center"/>
              <w:rPr>
                <w:sz w:val="24"/>
                <w:szCs w:val="24"/>
              </w:rPr>
            </w:pPr>
            <w:r w:rsidRPr="00792B36">
              <w:rPr>
                <w:b/>
                <w:bCs/>
                <w:color w:val="000000"/>
                <w:sz w:val="24"/>
                <w:szCs w:val="24"/>
              </w:rPr>
              <w:t>1996</w:t>
            </w:r>
          </w:p>
        </w:tc>
        <w:tc>
          <w:tcPr>
            <w:tcW w:w="1177" w:type="dxa"/>
            <w:vAlign w:val="center"/>
          </w:tcPr>
          <w:p w14:paraId="734F3D32" w14:textId="77777777" w:rsidR="009A0A63" w:rsidRPr="00792B36" w:rsidRDefault="009A0A63" w:rsidP="00A24459">
            <w:pPr>
              <w:contextualSpacing/>
              <w:jc w:val="center"/>
              <w:rPr>
                <w:sz w:val="24"/>
                <w:szCs w:val="24"/>
              </w:rPr>
            </w:pPr>
            <w:r w:rsidRPr="00792B36">
              <w:rPr>
                <w:color w:val="000000"/>
                <w:sz w:val="24"/>
                <w:szCs w:val="24"/>
              </w:rPr>
              <w:t>185.52</w:t>
            </w:r>
          </w:p>
        </w:tc>
        <w:tc>
          <w:tcPr>
            <w:tcW w:w="1095" w:type="dxa"/>
            <w:vAlign w:val="center"/>
          </w:tcPr>
          <w:p w14:paraId="41EBA3FF" w14:textId="77777777" w:rsidR="009A0A63" w:rsidRPr="00792B36" w:rsidRDefault="009A0A63" w:rsidP="00A24459">
            <w:pPr>
              <w:contextualSpacing/>
              <w:jc w:val="center"/>
              <w:rPr>
                <w:sz w:val="24"/>
                <w:szCs w:val="24"/>
              </w:rPr>
            </w:pPr>
            <w:r w:rsidRPr="00792B36">
              <w:rPr>
                <w:color w:val="000000"/>
                <w:sz w:val="24"/>
                <w:szCs w:val="24"/>
              </w:rPr>
              <w:t>3,799.57</w:t>
            </w:r>
          </w:p>
        </w:tc>
        <w:tc>
          <w:tcPr>
            <w:tcW w:w="987" w:type="dxa"/>
            <w:vAlign w:val="center"/>
          </w:tcPr>
          <w:p w14:paraId="07FF38A5" w14:textId="77777777" w:rsidR="009A0A63" w:rsidRPr="00792B36" w:rsidRDefault="009A0A63" w:rsidP="00A24459">
            <w:pPr>
              <w:contextualSpacing/>
              <w:jc w:val="center"/>
              <w:rPr>
                <w:sz w:val="24"/>
                <w:szCs w:val="24"/>
              </w:rPr>
            </w:pPr>
            <w:r w:rsidRPr="00792B36">
              <w:rPr>
                <w:color w:val="000000"/>
                <w:sz w:val="24"/>
                <w:szCs w:val="24"/>
              </w:rPr>
              <w:t>2,265.51</w:t>
            </w:r>
          </w:p>
        </w:tc>
        <w:tc>
          <w:tcPr>
            <w:tcW w:w="1080" w:type="dxa"/>
            <w:vAlign w:val="center"/>
          </w:tcPr>
          <w:p w14:paraId="652CBE99" w14:textId="77777777" w:rsidR="009A0A63" w:rsidRPr="00792B36" w:rsidRDefault="009A0A63" w:rsidP="00A24459">
            <w:pPr>
              <w:contextualSpacing/>
              <w:jc w:val="center"/>
              <w:rPr>
                <w:sz w:val="24"/>
                <w:szCs w:val="24"/>
              </w:rPr>
            </w:pPr>
            <w:r w:rsidRPr="00792B36">
              <w:rPr>
                <w:color w:val="000000"/>
                <w:sz w:val="24"/>
                <w:szCs w:val="24"/>
              </w:rPr>
              <w:t>6,228.48</w:t>
            </w:r>
          </w:p>
        </w:tc>
        <w:tc>
          <w:tcPr>
            <w:tcW w:w="1177" w:type="dxa"/>
            <w:vAlign w:val="center"/>
          </w:tcPr>
          <w:p w14:paraId="0098D751" w14:textId="77777777" w:rsidR="009A0A63" w:rsidRPr="00792B36" w:rsidRDefault="009A0A63" w:rsidP="00A24459">
            <w:pPr>
              <w:contextualSpacing/>
              <w:jc w:val="center"/>
              <w:rPr>
                <w:sz w:val="24"/>
                <w:szCs w:val="24"/>
              </w:rPr>
            </w:pPr>
            <w:r w:rsidRPr="00792B36">
              <w:rPr>
                <w:color w:val="000000"/>
                <w:sz w:val="24"/>
                <w:szCs w:val="24"/>
              </w:rPr>
              <w:t>293.98</w:t>
            </w:r>
          </w:p>
        </w:tc>
        <w:tc>
          <w:tcPr>
            <w:tcW w:w="1027" w:type="dxa"/>
            <w:vAlign w:val="center"/>
          </w:tcPr>
          <w:p w14:paraId="0288E8D7" w14:textId="77777777" w:rsidR="009A0A63" w:rsidRPr="00792B36" w:rsidRDefault="009A0A63" w:rsidP="00A24459">
            <w:pPr>
              <w:contextualSpacing/>
              <w:jc w:val="center"/>
              <w:rPr>
                <w:sz w:val="24"/>
                <w:szCs w:val="24"/>
              </w:rPr>
            </w:pPr>
            <w:r w:rsidRPr="00792B36">
              <w:rPr>
                <w:color w:val="000000"/>
                <w:sz w:val="24"/>
                <w:szCs w:val="24"/>
              </w:rPr>
              <w:t>2,201.53</w:t>
            </w:r>
          </w:p>
        </w:tc>
        <w:tc>
          <w:tcPr>
            <w:tcW w:w="957" w:type="dxa"/>
            <w:vAlign w:val="center"/>
          </w:tcPr>
          <w:p w14:paraId="59592C3D" w14:textId="77777777" w:rsidR="009A0A63" w:rsidRPr="00792B36" w:rsidRDefault="009A0A63" w:rsidP="00A24459">
            <w:pPr>
              <w:contextualSpacing/>
              <w:jc w:val="center"/>
              <w:rPr>
                <w:sz w:val="24"/>
                <w:szCs w:val="24"/>
              </w:rPr>
            </w:pPr>
            <w:r w:rsidRPr="00792B36">
              <w:rPr>
                <w:color w:val="000000"/>
                <w:sz w:val="24"/>
                <w:szCs w:val="24"/>
              </w:rPr>
              <w:t>1,030.90</w:t>
            </w:r>
          </w:p>
        </w:tc>
        <w:tc>
          <w:tcPr>
            <w:tcW w:w="900" w:type="dxa"/>
            <w:vAlign w:val="center"/>
          </w:tcPr>
          <w:p w14:paraId="4D0304F9" w14:textId="77777777" w:rsidR="009A0A63" w:rsidRPr="00792B36" w:rsidRDefault="009A0A63" w:rsidP="00A24459">
            <w:pPr>
              <w:contextualSpacing/>
              <w:jc w:val="center"/>
              <w:rPr>
                <w:sz w:val="24"/>
                <w:szCs w:val="24"/>
              </w:rPr>
            </w:pPr>
            <w:r w:rsidRPr="00792B36">
              <w:rPr>
                <w:color w:val="000000"/>
                <w:sz w:val="24"/>
                <w:szCs w:val="24"/>
              </w:rPr>
              <w:t>3,512.98</w:t>
            </w:r>
          </w:p>
        </w:tc>
      </w:tr>
      <w:tr w:rsidR="009A0A63" w:rsidRPr="00792B36" w14:paraId="61EEF7D6" w14:textId="77777777" w:rsidTr="00A24459">
        <w:trPr>
          <w:trHeight w:val="340"/>
        </w:trPr>
        <w:tc>
          <w:tcPr>
            <w:tcW w:w="617" w:type="dxa"/>
            <w:vAlign w:val="center"/>
          </w:tcPr>
          <w:p w14:paraId="1D97677F" w14:textId="77777777" w:rsidR="009A0A63" w:rsidRPr="00792B36" w:rsidRDefault="009A0A63" w:rsidP="00A24459">
            <w:pPr>
              <w:contextualSpacing/>
              <w:jc w:val="center"/>
              <w:rPr>
                <w:sz w:val="24"/>
                <w:szCs w:val="24"/>
              </w:rPr>
            </w:pPr>
            <w:r w:rsidRPr="00792B36">
              <w:rPr>
                <w:b/>
                <w:bCs/>
                <w:color w:val="000000"/>
                <w:sz w:val="24"/>
                <w:szCs w:val="24"/>
              </w:rPr>
              <w:t>1997</w:t>
            </w:r>
          </w:p>
        </w:tc>
        <w:tc>
          <w:tcPr>
            <w:tcW w:w="1177" w:type="dxa"/>
            <w:vAlign w:val="center"/>
          </w:tcPr>
          <w:p w14:paraId="546A3BD1" w14:textId="77777777" w:rsidR="009A0A63" w:rsidRPr="00792B36" w:rsidRDefault="009A0A63" w:rsidP="00A24459">
            <w:pPr>
              <w:contextualSpacing/>
              <w:jc w:val="center"/>
              <w:rPr>
                <w:sz w:val="24"/>
                <w:szCs w:val="24"/>
              </w:rPr>
            </w:pPr>
            <w:r w:rsidRPr="00792B36">
              <w:rPr>
                <w:color w:val="000000"/>
                <w:sz w:val="24"/>
                <w:szCs w:val="24"/>
              </w:rPr>
              <w:t>192.59</w:t>
            </w:r>
          </w:p>
        </w:tc>
        <w:tc>
          <w:tcPr>
            <w:tcW w:w="1095" w:type="dxa"/>
            <w:vAlign w:val="center"/>
          </w:tcPr>
          <w:p w14:paraId="0A85A21D" w14:textId="77777777" w:rsidR="009A0A63" w:rsidRPr="00792B36" w:rsidRDefault="009A0A63" w:rsidP="00A24459">
            <w:pPr>
              <w:contextualSpacing/>
              <w:jc w:val="center"/>
              <w:rPr>
                <w:sz w:val="24"/>
                <w:szCs w:val="24"/>
              </w:rPr>
            </w:pPr>
            <w:r w:rsidRPr="00792B36">
              <w:rPr>
                <w:color w:val="000000"/>
                <w:sz w:val="24"/>
                <w:szCs w:val="24"/>
              </w:rPr>
              <w:t>3,676.32</w:t>
            </w:r>
          </w:p>
        </w:tc>
        <w:tc>
          <w:tcPr>
            <w:tcW w:w="987" w:type="dxa"/>
            <w:vAlign w:val="center"/>
          </w:tcPr>
          <w:p w14:paraId="43A8D633" w14:textId="77777777" w:rsidR="009A0A63" w:rsidRPr="00792B36" w:rsidRDefault="009A0A63" w:rsidP="00A24459">
            <w:pPr>
              <w:contextualSpacing/>
              <w:jc w:val="center"/>
              <w:rPr>
                <w:sz w:val="24"/>
                <w:szCs w:val="24"/>
              </w:rPr>
            </w:pPr>
            <w:r w:rsidRPr="00792B36">
              <w:rPr>
                <w:color w:val="000000"/>
                <w:sz w:val="24"/>
                <w:szCs w:val="24"/>
              </w:rPr>
              <w:t>2,248.92</w:t>
            </w:r>
          </w:p>
        </w:tc>
        <w:tc>
          <w:tcPr>
            <w:tcW w:w="1080" w:type="dxa"/>
            <w:vAlign w:val="center"/>
          </w:tcPr>
          <w:p w14:paraId="3F2E4E0D" w14:textId="77777777" w:rsidR="009A0A63" w:rsidRPr="00792B36" w:rsidRDefault="009A0A63" w:rsidP="00A24459">
            <w:pPr>
              <w:contextualSpacing/>
              <w:jc w:val="center"/>
              <w:rPr>
                <w:sz w:val="24"/>
                <w:szCs w:val="24"/>
              </w:rPr>
            </w:pPr>
            <w:r w:rsidRPr="00792B36">
              <w:rPr>
                <w:color w:val="000000"/>
                <w:sz w:val="24"/>
                <w:szCs w:val="24"/>
              </w:rPr>
              <w:t>6,099.06</w:t>
            </w:r>
          </w:p>
        </w:tc>
        <w:tc>
          <w:tcPr>
            <w:tcW w:w="1177" w:type="dxa"/>
            <w:vAlign w:val="center"/>
          </w:tcPr>
          <w:p w14:paraId="6E75154C" w14:textId="77777777" w:rsidR="009A0A63" w:rsidRPr="00792B36" w:rsidRDefault="009A0A63" w:rsidP="00A24459">
            <w:pPr>
              <w:contextualSpacing/>
              <w:jc w:val="center"/>
              <w:rPr>
                <w:sz w:val="24"/>
                <w:szCs w:val="24"/>
              </w:rPr>
            </w:pPr>
            <w:r w:rsidRPr="00792B36">
              <w:rPr>
                <w:color w:val="000000"/>
                <w:sz w:val="24"/>
                <w:szCs w:val="24"/>
              </w:rPr>
              <w:t>328.94</w:t>
            </w:r>
          </w:p>
        </w:tc>
        <w:tc>
          <w:tcPr>
            <w:tcW w:w="1027" w:type="dxa"/>
            <w:vAlign w:val="center"/>
          </w:tcPr>
          <w:p w14:paraId="1CBEF6E1" w14:textId="77777777" w:rsidR="009A0A63" w:rsidRPr="00792B36" w:rsidRDefault="009A0A63" w:rsidP="00A24459">
            <w:pPr>
              <w:contextualSpacing/>
              <w:jc w:val="center"/>
              <w:rPr>
                <w:sz w:val="24"/>
                <w:szCs w:val="24"/>
              </w:rPr>
            </w:pPr>
            <w:r w:rsidRPr="00792B36">
              <w:rPr>
                <w:color w:val="000000"/>
                <w:sz w:val="24"/>
                <w:szCs w:val="24"/>
              </w:rPr>
              <w:t>2,304.00</w:t>
            </w:r>
          </w:p>
        </w:tc>
        <w:tc>
          <w:tcPr>
            <w:tcW w:w="957" w:type="dxa"/>
            <w:vAlign w:val="center"/>
          </w:tcPr>
          <w:p w14:paraId="6511C95D" w14:textId="77777777" w:rsidR="009A0A63" w:rsidRPr="00792B36" w:rsidRDefault="009A0A63" w:rsidP="00A24459">
            <w:pPr>
              <w:contextualSpacing/>
              <w:jc w:val="center"/>
              <w:rPr>
                <w:sz w:val="24"/>
                <w:szCs w:val="24"/>
              </w:rPr>
            </w:pPr>
            <w:r w:rsidRPr="00792B36">
              <w:rPr>
                <w:color w:val="000000"/>
                <w:sz w:val="24"/>
                <w:szCs w:val="24"/>
              </w:rPr>
              <w:t>1,063.53</w:t>
            </w:r>
          </w:p>
        </w:tc>
        <w:tc>
          <w:tcPr>
            <w:tcW w:w="900" w:type="dxa"/>
            <w:vAlign w:val="center"/>
          </w:tcPr>
          <w:p w14:paraId="7666D464" w14:textId="77777777" w:rsidR="009A0A63" w:rsidRPr="00792B36" w:rsidRDefault="009A0A63" w:rsidP="00A24459">
            <w:pPr>
              <w:contextualSpacing/>
              <w:jc w:val="center"/>
              <w:rPr>
                <w:sz w:val="24"/>
                <w:szCs w:val="24"/>
              </w:rPr>
            </w:pPr>
            <w:r w:rsidRPr="00792B36">
              <w:rPr>
                <w:color w:val="000000"/>
                <w:sz w:val="24"/>
                <w:szCs w:val="24"/>
              </w:rPr>
              <w:t>3,686.49</w:t>
            </w:r>
          </w:p>
        </w:tc>
      </w:tr>
      <w:tr w:rsidR="009A0A63" w:rsidRPr="00792B36" w14:paraId="4E831261" w14:textId="77777777" w:rsidTr="00A24459">
        <w:trPr>
          <w:trHeight w:val="340"/>
        </w:trPr>
        <w:tc>
          <w:tcPr>
            <w:tcW w:w="617" w:type="dxa"/>
            <w:vAlign w:val="center"/>
          </w:tcPr>
          <w:p w14:paraId="27A6C228" w14:textId="77777777" w:rsidR="009A0A63" w:rsidRPr="00792B36" w:rsidRDefault="009A0A63" w:rsidP="00A24459">
            <w:pPr>
              <w:contextualSpacing/>
              <w:jc w:val="center"/>
              <w:rPr>
                <w:sz w:val="24"/>
                <w:szCs w:val="24"/>
              </w:rPr>
            </w:pPr>
            <w:r w:rsidRPr="00792B36">
              <w:rPr>
                <w:b/>
                <w:bCs/>
                <w:color w:val="000000"/>
                <w:sz w:val="24"/>
                <w:szCs w:val="24"/>
              </w:rPr>
              <w:t>1998</w:t>
            </w:r>
          </w:p>
        </w:tc>
        <w:tc>
          <w:tcPr>
            <w:tcW w:w="1177" w:type="dxa"/>
            <w:vAlign w:val="center"/>
          </w:tcPr>
          <w:p w14:paraId="43734435" w14:textId="77777777" w:rsidR="009A0A63" w:rsidRPr="00792B36" w:rsidRDefault="009A0A63" w:rsidP="00A24459">
            <w:pPr>
              <w:contextualSpacing/>
              <w:jc w:val="center"/>
              <w:rPr>
                <w:sz w:val="24"/>
                <w:szCs w:val="24"/>
              </w:rPr>
            </w:pPr>
            <w:r w:rsidRPr="00792B36">
              <w:rPr>
                <w:color w:val="000000"/>
                <w:sz w:val="24"/>
                <w:szCs w:val="24"/>
              </w:rPr>
              <w:t>195.46</w:t>
            </w:r>
          </w:p>
        </w:tc>
        <w:tc>
          <w:tcPr>
            <w:tcW w:w="1095" w:type="dxa"/>
            <w:vAlign w:val="center"/>
          </w:tcPr>
          <w:p w14:paraId="380C90A1" w14:textId="77777777" w:rsidR="009A0A63" w:rsidRPr="00792B36" w:rsidRDefault="009A0A63" w:rsidP="00A24459">
            <w:pPr>
              <w:contextualSpacing/>
              <w:jc w:val="center"/>
              <w:rPr>
                <w:sz w:val="24"/>
                <w:szCs w:val="24"/>
              </w:rPr>
            </w:pPr>
            <w:r w:rsidRPr="00792B36">
              <w:rPr>
                <w:color w:val="000000"/>
                <w:sz w:val="24"/>
                <w:szCs w:val="24"/>
              </w:rPr>
              <w:t>2,992.98</w:t>
            </w:r>
          </w:p>
        </w:tc>
        <w:tc>
          <w:tcPr>
            <w:tcW w:w="987" w:type="dxa"/>
            <w:vAlign w:val="center"/>
          </w:tcPr>
          <w:p w14:paraId="55152F21" w14:textId="77777777" w:rsidR="009A0A63" w:rsidRPr="00792B36" w:rsidRDefault="009A0A63" w:rsidP="00A24459">
            <w:pPr>
              <w:contextualSpacing/>
              <w:jc w:val="center"/>
              <w:rPr>
                <w:sz w:val="24"/>
                <w:szCs w:val="24"/>
              </w:rPr>
            </w:pPr>
            <w:r w:rsidRPr="00792B36">
              <w:rPr>
                <w:color w:val="000000"/>
                <w:sz w:val="24"/>
                <w:szCs w:val="24"/>
              </w:rPr>
              <w:t>2,095.14</w:t>
            </w:r>
          </w:p>
        </w:tc>
        <w:tc>
          <w:tcPr>
            <w:tcW w:w="1080" w:type="dxa"/>
            <w:vAlign w:val="center"/>
          </w:tcPr>
          <w:p w14:paraId="28BDD922" w14:textId="77777777" w:rsidR="009A0A63" w:rsidRPr="00792B36" w:rsidRDefault="009A0A63" w:rsidP="00A24459">
            <w:pPr>
              <w:contextualSpacing/>
              <w:jc w:val="center"/>
              <w:rPr>
                <w:sz w:val="24"/>
                <w:szCs w:val="24"/>
              </w:rPr>
            </w:pPr>
            <w:r w:rsidRPr="00792B36">
              <w:rPr>
                <w:color w:val="000000"/>
                <w:sz w:val="24"/>
                <w:szCs w:val="24"/>
              </w:rPr>
              <w:t>5,275.42</w:t>
            </w:r>
          </w:p>
        </w:tc>
        <w:tc>
          <w:tcPr>
            <w:tcW w:w="1177" w:type="dxa"/>
            <w:vAlign w:val="center"/>
          </w:tcPr>
          <w:p w14:paraId="163FC685" w14:textId="77777777" w:rsidR="009A0A63" w:rsidRPr="00792B36" w:rsidRDefault="009A0A63" w:rsidP="00A24459">
            <w:pPr>
              <w:contextualSpacing/>
              <w:jc w:val="center"/>
              <w:rPr>
                <w:sz w:val="24"/>
                <w:szCs w:val="24"/>
              </w:rPr>
            </w:pPr>
            <w:r w:rsidRPr="00792B36">
              <w:rPr>
                <w:color w:val="000000"/>
                <w:sz w:val="24"/>
                <w:szCs w:val="24"/>
              </w:rPr>
              <w:t>354.33</w:t>
            </w:r>
          </w:p>
        </w:tc>
        <w:tc>
          <w:tcPr>
            <w:tcW w:w="1027" w:type="dxa"/>
            <w:vAlign w:val="center"/>
          </w:tcPr>
          <w:p w14:paraId="27AF95A3" w14:textId="77777777" w:rsidR="009A0A63" w:rsidRPr="00792B36" w:rsidRDefault="009A0A63" w:rsidP="00A24459">
            <w:pPr>
              <w:contextualSpacing/>
              <w:jc w:val="center"/>
              <w:rPr>
                <w:sz w:val="24"/>
                <w:szCs w:val="24"/>
              </w:rPr>
            </w:pPr>
            <w:r w:rsidRPr="00792B36">
              <w:rPr>
                <w:color w:val="000000"/>
                <w:sz w:val="24"/>
                <w:szCs w:val="24"/>
              </w:rPr>
              <w:t>1,906.40</w:t>
            </w:r>
          </w:p>
        </w:tc>
        <w:tc>
          <w:tcPr>
            <w:tcW w:w="957" w:type="dxa"/>
            <w:vAlign w:val="center"/>
          </w:tcPr>
          <w:p w14:paraId="160C6655" w14:textId="77777777" w:rsidR="009A0A63" w:rsidRPr="00792B36" w:rsidRDefault="009A0A63" w:rsidP="00A24459">
            <w:pPr>
              <w:contextualSpacing/>
              <w:jc w:val="center"/>
              <w:rPr>
                <w:sz w:val="24"/>
                <w:szCs w:val="24"/>
              </w:rPr>
            </w:pPr>
            <w:r w:rsidRPr="00792B36">
              <w:rPr>
                <w:color w:val="000000"/>
                <w:sz w:val="24"/>
                <w:szCs w:val="24"/>
              </w:rPr>
              <w:t>944.05</w:t>
            </w:r>
          </w:p>
        </w:tc>
        <w:tc>
          <w:tcPr>
            <w:tcW w:w="900" w:type="dxa"/>
            <w:vAlign w:val="center"/>
          </w:tcPr>
          <w:p w14:paraId="74BE95BB" w14:textId="77777777" w:rsidR="009A0A63" w:rsidRPr="00792B36" w:rsidRDefault="009A0A63" w:rsidP="00A24459">
            <w:pPr>
              <w:contextualSpacing/>
              <w:jc w:val="center"/>
              <w:rPr>
                <w:sz w:val="24"/>
                <w:szCs w:val="24"/>
              </w:rPr>
            </w:pPr>
            <w:r w:rsidRPr="00792B36">
              <w:rPr>
                <w:color w:val="000000"/>
                <w:sz w:val="24"/>
                <w:szCs w:val="24"/>
              </w:rPr>
              <w:t>3,210.92</w:t>
            </w:r>
          </w:p>
        </w:tc>
      </w:tr>
      <w:tr w:rsidR="009A0A63" w:rsidRPr="00792B36" w14:paraId="5413AC61" w14:textId="77777777" w:rsidTr="00A24459">
        <w:trPr>
          <w:trHeight w:val="340"/>
        </w:trPr>
        <w:tc>
          <w:tcPr>
            <w:tcW w:w="617" w:type="dxa"/>
            <w:vAlign w:val="center"/>
          </w:tcPr>
          <w:p w14:paraId="1564FF36" w14:textId="77777777" w:rsidR="009A0A63" w:rsidRPr="00792B36" w:rsidRDefault="009A0A63" w:rsidP="00A24459">
            <w:pPr>
              <w:contextualSpacing/>
              <w:jc w:val="center"/>
              <w:rPr>
                <w:sz w:val="24"/>
                <w:szCs w:val="24"/>
              </w:rPr>
            </w:pPr>
            <w:r w:rsidRPr="00792B36">
              <w:rPr>
                <w:b/>
                <w:bCs/>
                <w:color w:val="000000"/>
                <w:sz w:val="24"/>
                <w:szCs w:val="24"/>
              </w:rPr>
              <w:t>1999</w:t>
            </w:r>
          </w:p>
        </w:tc>
        <w:tc>
          <w:tcPr>
            <w:tcW w:w="1177" w:type="dxa"/>
            <w:vAlign w:val="center"/>
          </w:tcPr>
          <w:p w14:paraId="5E9F8AA4" w14:textId="77777777" w:rsidR="009A0A63" w:rsidRPr="00792B36" w:rsidRDefault="009A0A63" w:rsidP="00A24459">
            <w:pPr>
              <w:contextualSpacing/>
              <w:jc w:val="center"/>
              <w:rPr>
                <w:sz w:val="24"/>
                <w:szCs w:val="24"/>
              </w:rPr>
            </w:pPr>
            <w:r w:rsidRPr="00792B36">
              <w:rPr>
                <w:color w:val="000000"/>
                <w:sz w:val="24"/>
                <w:szCs w:val="24"/>
              </w:rPr>
              <w:t>200.62</w:t>
            </w:r>
          </w:p>
        </w:tc>
        <w:tc>
          <w:tcPr>
            <w:tcW w:w="1095" w:type="dxa"/>
            <w:vAlign w:val="center"/>
          </w:tcPr>
          <w:p w14:paraId="29968F1E" w14:textId="77777777" w:rsidR="009A0A63" w:rsidRPr="00792B36" w:rsidRDefault="009A0A63" w:rsidP="00A24459">
            <w:pPr>
              <w:contextualSpacing/>
              <w:jc w:val="center"/>
              <w:rPr>
                <w:sz w:val="24"/>
                <w:szCs w:val="24"/>
              </w:rPr>
            </w:pPr>
            <w:r w:rsidRPr="00792B36">
              <w:rPr>
                <w:color w:val="000000"/>
                <w:sz w:val="24"/>
                <w:szCs w:val="24"/>
              </w:rPr>
              <w:t>3,116.60</w:t>
            </w:r>
          </w:p>
        </w:tc>
        <w:tc>
          <w:tcPr>
            <w:tcW w:w="987" w:type="dxa"/>
            <w:vAlign w:val="center"/>
          </w:tcPr>
          <w:p w14:paraId="0FFD4E10" w14:textId="77777777" w:rsidR="009A0A63" w:rsidRPr="00792B36" w:rsidRDefault="009A0A63" w:rsidP="00A24459">
            <w:pPr>
              <w:contextualSpacing/>
              <w:jc w:val="center"/>
              <w:rPr>
                <w:sz w:val="24"/>
                <w:szCs w:val="24"/>
              </w:rPr>
            </w:pPr>
            <w:r w:rsidRPr="00792B36">
              <w:rPr>
                <w:color w:val="000000"/>
                <w:sz w:val="24"/>
                <w:szCs w:val="24"/>
              </w:rPr>
              <w:t>2,082.35</w:t>
            </w:r>
          </w:p>
        </w:tc>
        <w:tc>
          <w:tcPr>
            <w:tcW w:w="1080" w:type="dxa"/>
            <w:vAlign w:val="center"/>
          </w:tcPr>
          <w:p w14:paraId="03A87F54" w14:textId="77777777" w:rsidR="009A0A63" w:rsidRPr="00792B36" w:rsidRDefault="009A0A63" w:rsidP="00A24459">
            <w:pPr>
              <w:contextualSpacing/>
              <w:jc w:val="center"/>
              <w:rPr>
                <w:sz w:val="24"/>
                <w:szCs w:val="24"/>
              </w:rPr>
            </w:pPr>
            <w:r w:rsidRPr="00792B36">
              <w:rPr>
                <w:color w:val="000000"/>
                <w:sz w:val="24"/>
                <w:szCs w:val="24"/>
              </w:rPr>
              <w:t>5,396.81</w:t>
            </w:r>
          </w:p>
        </w:tc>
        <w:tc>
          <w:tcPr>
            <w:tcW w:w="1177" w:type="dxa"/>
            <w:vAlign w:val="center"/>
          </w:tcPr>
          <w:p w14:paraId="72295FE0" w14:textId="77777777" w:rsidR="009A0A63" w:rsidRPr="00792B36" w:rsidRDefault="009A0A63" w:rsidP="00A24459">
            <w:pPr>
              <w:contextualSpacing/>
              <w:jc w:val="center"/>
              <w:rPr>
                <w:sz w:val="24"/>
                <w:szCs w:val="24"/>
              </w:rPr>
            </w:pPr>
            <w:r w:rsidRPr="00792B36">
              <w:rPr>
                <w:color w:val="000000"/>
                <w:sz w:val="24"/>
                <w:szCs w:val="24"/>
              </w:rPr>
              <w:t>326.65</w:t>
            </w:r>
          </w:p>
        </w:tc>
        <w:tc>
          <w:tcPr>
            <w:tcW w:w="1027" w:type="dxa"/>
            <w:vAlign w:val="center"/>
          </w:tcPr>
          <w:p w14:paraId="38501494" w14:textId="77777777" w:rsidR="009A0A63" w:rsidRPr="00792B36" w:rsidRDefault="009A0A63" w:rsidP="00A24459">
            <w:pPr>
              <w:contextualSpacing/>
              <w:jc w:val="center"/>
              <w:rPr>
                <w:sz w:val="24"/>
                <w:szCs w:val="24"/>
              </w:rPr>
            </w:pPr>
            <w:r w:rsidRPr="00792B36">
              <w:rPr>
                <w:color w:val="000000"/>
                <w:sz w:val="24"/>
                <w:szCs w:val="24"/>
              </w:rPr>
              <w:t>1,935.73</w:t>
            </w:r>
          </w:p>
        </w:tc>
        <w:tc>
          <w:tcPr>
            <w:tcW w:w="957" w:type="dxa"/>
            <w:vAlign w:val="center"/>
          </w:tcPr>
          <w:p w14:paraId="73324382" w14:textId="77777777" w:rsidR="009A0A63" w:rsidRPr="00792B36" w:rsidRDefault="009A0A63" w:rsidP="00A24459">
            <w:pPr>
              <w:contextualSpacing/>
              <w:jc w:val="center"/>
              <w:rPr>
                <w:sz w:val="24"/>
                <w:szCs w:val="24"/>
              </w:rPr>
            </w:pPr>
            <w:r w:rsidRPr="00792B36">
              <w:rPr>
                <w:color w:val="000000"/>
                <w:sz w:val="24"/>
                <w:szCs w:val="24"/>
              </w:rPr>
              <w:t>886.78</w:t>
            </w:r>
          </w:p>
        </w:tc>
        <w:tc>
          <w:tcPr>
            <w:tcW w:w="900" w:type="dxa"/>
            <w:vAlign w:val="center"/>
          </w:tcPr>
          <w:p w14:paraId="6A54D8F2" w14:textId="77777777" w:rsidR="009A0A63" w:rsidRPr="00792B36" w:rsidRDefault="009A0A63" w:rsidP="00A24459">
            <w:pPr>
              <w:contextualSpacing/>
              <w:jc w:val="center"/>
              <w:rPr>
                <w:sz w:val="24"/>
                <w:szCs w:val="24"/>
              </w:rPr>
            </w:pPr>
            <w:r w:rsidRPr="00792B36">
              <w:rPr>
                <w:color w:val="000000"/>
                <w:sz w:val="24"/>
                <w:szCs w:val="24"/>
              </w:rPr>
              <w:t>3,149.77</w:t>
            </w:r>
          </w:p>
        </w:tc>
      </w:tr>
      <w:tr w:rsidR="009A0A63" w:rsidRPr="00792B36" w14:paraId="0FFCE9DB" w14:textId="77777777" w:rsidTr="00A24459">
        <w:trPr>
          <w:trHeight w:val="340"/>
        </w:trPr>
        <w:tc>
          <w:tcPr>
            <w:tcW w:w="617" w:type="dxa"/>
            <w:vAlign w:val="center"/>
          </w:tcPr>
          <w:p w14:paraId="11C8F7BB" w14:textId="77777777" w:rsidR="009A0A63" w:rsidRPr="00792B36" w:rsidRDefault="009A0A63" w:rsidP="00A24459">
            <w:pPr>
              <w:contextualSpacing/>
              <w:jc w:val="center"/>
              <w:rPr>
                <w:sz w:val="24"/>
                <w:szCs w:val="24"/>
              </w:rPr>
            </w:pPr>
            <w:r w:rsidRPr="00792B36">
              <w:rPr>
                <w:b/>
                <w:bCs/>
                <w:color w:val="000000"/>
                <w:sz w:val="24"/>
                <w:szCs w:val="24"/>
              </w:rPr>
              <w:t>2000</w:t>
            </w:r>
          </w:p>
        </w:tc>
        <w:tc>
          <w:tcPr>
            <w:tcW w:w="1177" w:type="dxa"/>
            <w:vAlign w:val="center"/>
          </w:tcPr>
          <w:p w14:paraId="65D48963" w14:textId="77777777" w:rsidR="009A0A63" w:rsidRPr="00792B36" w:rsidRDefault="009A0A63" w:rsidP="00A24459">
            <w:pPr>
              <w:contextualSpacing/>
              <w:jc w:val="center"/>
              <w:rPr>
                <w:sz w:val="24"/>
                <w:szCs w:val="24"/>
              </w:rPr>
            </w:pPr>
            <w:r w:rsidRPr="00792B36">
              <w:rPr>
                <w:color w:val="000000"/>
                <w:sz w:val="24"/>
                <w:szCs w:val="24"/>
              </w:rPr>
              <w:t>211.44</w:t>
            </w:r>
          </w:p>
        </w:tc>
        <w:tc>
          <w:tcPr>
            <w:tcW w:w="1095" w:type="dxa"/>
            <w:vAlign w:val="center"/>
          </w:tcPr>
          <w:p w14:paraId="25A78D9B" w14:textId="77777777" w:rsidR="009A0A63" w:rsidRPr="00792B36" w:rsidRDefault="009A0A63" w:rsidP="00A24459">
            <w:pPr>
              <w:contextualSpacing/>
              <w:jc w:val="center"/>
              <w:rPr>
                <w:sz w:val="24"/>
                <w:szCs w:val="24"/>
              </w:rPr>
            </w:pPr>
            <w:r w:rsidRPr="00792B36">
              <w:rPr>
                <w:color w:val="000000"/>
                <w:sz w:val="24"/>
                <w:szCs w:val="24"/>
              </w:rPr>
              <w:t>3,263.02</w:t>
            </w:r>
          </w:p>
        </w:tc>
        <w:tc>
          <w:tcPr>
            <w:tcW w:w="987" w:type="dxa"/>
            <w:vAlign w:val="center"/>
          </w:tcPr>
          <w:p w14:paraId="27F049B4" w14:textId="77777777" w:rsidR="009A0A63" w:rsidRPr="00792B36" w:rsidRDefault="009A0A63" w:rsidP="00A24459">
            <w:pPr>
              <w:contextualSpacing/>
              <w:jc w:val="center"/>
              <w:rPr>
                <w:sz w:val="24"/>
                <w:szCs w:val="24"/>
              </w:rPr>
            </w:pPr>
            <w:r w:rsidRPr="00792B36">
              <w:rPr>
                <w:color w:val="000000"/>
                <w:sz w:val="24"/>
                <w:szCs w:val="24"/>
              </w:rPr>
              <w:t>2,108.42</w:t>
            </w:r>
          </w:p>
        </w:tc>
        <w:tc>
          <w:tcPr>
            <w:tcW w:w="1080" w:type="dxa"/>
            <w:vAlign w:val="center"/>
          </w:tcPr>
          <w:p w14:paraId="4848426D" w14:textId="77777777" w:rsidR="009A0A63" w:rsidRPr="00792B36" w:rsidRDefault="009A0A63" w:rsidP="00A24459">
            <w:pPr>
              <w:contextualSpacing/>
              <w:jc w:val="center"/>
              <w:rPr>
                <w:sz w:val="24"/>
                <w:szCs w:val="24"/>
              </w:rPr>
            </w:pPr>
            <w:r w:rsidRPr="00792B36">
              <w:rPr>
                <w:color w:val="000000"/>
                <w:sz w:val="24"/>
                <w:szCs w:val="24"/>
              </w:rPr>
              <w:t>5,580.46</w:t>
            </w:r>
          </w:p>
        </w:tc>
        <w:tc>
          <w:tcPr>
            <w:tcW w:w="1177" w:type="dxa"/>
            <w:vAlign w:val="center"/>
          </w:tcPr>
          <w:p w14:paraId="172926BE" w14:textId="77777777" w:rsidR="009A0A63" w:rsidRPr="00792B36" w:rsidRDefault="009A0A63" w:rsidP="00A24459">
            <w:pPr>
              <w:contextualSpacing/>
              <w:jc w:val="center"/>
              <w:rPr>
                <w:sz w:val="24"/>
                <w:szCs w:val="24"/>
              </w:rPr>
            </w:pPr>
            <w:r w:rsidRPr="00792B36">
              <w:rPr>
                <w:color w:val="000000"/>
                <w:sz w:val="24"/>
                <w:szCs w:val="24"/>
              </w:rPr>
              <w:t>343.14</w:t>
            </w:r>
          </w:p>
        </w:tc>
        <w:tc>
          <w:tcPr>
            <w:tcW w:w="1027" w:type="dxa"/>
            <w:vAlign w:val="center"/>
          </w:tcPr>
          <w:p w14:paraId="20C00404" w14:textId="77777777" w:rsidR="009A0A63" w:rsidRPr="00792B36" w:rsidRDefault="009A0A63" w:rsidP="00A24459">
            <w:pPr>
              <w:contextualSpacing/>
              <w:jc w:val="center"/>
              <w:rPr>
                <w:sz w:val="24"/>
                <w:szCs w:val="24"/>
              </w:rPr>
            </w:pPr>
            <w:r w:rsidRPr="00792B36">
              <w:rPr>
                <w:color w:val="000000"/>
                <w:sz w:val="24"/>
                <w:szCs w:val="24"/>
              </w:rPr>
              <w:t>1,937.61</w:t>
            </w:r>
          </w:p>
        </w:tc>
        <w:tc>
          <w:tcPr>
            <w:tcW w:w="957" w:type="dxa"/>
            <w:vAlign w:val="center"/>
          </w:tcPr>
          <w:p w14:paraId="0166E1C0" w14:textId="77777777" w:rsidR="009A0A63" w:rsidRPr="00792B36" w:rsidRDefault="009A0A63" w:rsidP="00A24459">
            <w:pPr>
              <w:contextualSpacing/>
              <w:jc w:val="center"/>
              <w:rPr>
                <w:sz w:val="24"/>
                <w:szCs w:val="24"/>
              </w:rPr>
            </w:pPr>
            <w:r w:rsidRPr="00792B36">
              <w:rPr>
                <w:color w:val="000000"/>
                <w:sz w:val="24"/>
                <w:szCs w:val="24"/>
              </w:rPr>
              <w:t>866.25</w:t>
            </w:r>
          </w:p>
        </w:tc>
        <w:tc>
          <w:tcPr>
            <w:tcW w:w="900" w:type="dxa"/>
            <w:vAlign w:val="center"/>
          </w:tcPr>
          <w:p w14:paraId="62EF437C" w14:textId="77777777" w:rsidR="009A0A63" w:rsidRPr="00792B36" w:rsidRDefault="009A0A63" w:rsidP="00A24459">
            <w:pPr>
              <w:contextualSpacing/>
              <w:jc w:val="center"/>
              <w:rPr>
                <w:sz w:val="24"/>
                <w:szCs w:val="24"/>
              </w:rPr>
            </w:pPr>
            <w:r w:rsidRPr="00792B36">
              <w:rPr>
                <w:color w:val="000000"/>
                <w:sz w:val="24"/>
                <w:szCs w:val="24"/>
              </w:rPr>
              <w:t>3,149.45</w:t>
            </w:r>
          </w:p>
        </w:tc>
      </w:tr>
      <w:tr w:rsidR="009A0A63" w:rsidRPr="00792B36" w14:paraId="0D9305A2" w14:textId="77777777" w:rsidTr="00A24459">
        <w:trPr>
          <w:trHeight w:val="340"/>
        </w:trPr>
        <w:tc>
          <w:tcPr>
            <w:tcW w:w="617" w:type="dxa"/>
            <w:vAlign w:val="center"/>
          </w:tcPr>
          <w:p w14:paraId="74A43485" w14:textId="77777777" w:rsidR="009A0A63" w:rsidRPr="00792B36" w:rsidRDefault="009A0A63" w:rsidP="00A24459">
            <w:pPr>
              <w:contextualSpacing/>
              <w:jc w:val="center"/>
              <w:rPr>
                <w:sz w:val="24"/>
                <w:szCs w:val="24"/>
              </w:rPr>
            </w:pPr>
            <w:r w:rsidRPr="00792B36">
              <w:rPr>
                <w:b/>
                <w:bCs/>
                <w:color w:val="000000"/>
                <w:sz w:val="24"/>
                <w:szCs w:val="24"/>
              </w:rPr>
              <w:t>2001</w:t>
            </w:r>
          </w:p>
        </w:tc>
        <w:tc>
          <w:tcPr>
            <w:tcW w:w="1177" w:type="dxa"/>
            <w:vAlign w:val="center"/>
          </w:tcPr>
          <w:p w14:paraId="5A7FDAD6" w14:textId="77777777" w:rsidR="009A0A63" w:rsidRPr="00792B36" w:rsidRDefault="009A0A63" w:rsidP="00A24459">
            <w:pPr>
              <w:contextualSpacing/>
              <w:jc w:val="center"/>
              <w:rPr>
                <w:sz w:val="24"/>
                <w:szCs w:val="24"/>
              </w:rPr>
            </w:pPr>
            <w:r w:rsidRPr="00792B36">
              <w:rPr>
                <w:color w:val="000000"/>
                <w:sz w:val="24"/>
                <w:szCs w:val="24"/>
              </w:rPr>
              <w:t>218.22</w:t>
            </w:r>
          </w:p>
        </w:tc>
        <w:tc>
          <w:tcPr>
            <w:tcW w:w="1095" w:type="dxa"/>
            <w:vAlign w:val="center"/>
          </w:tcPr>
          <w:p w14:paraId="75FB1BA1" w14:textId="77777777" w:rsidR="009A0A63" w:rsidRPr="00792B36" w:rsidRDefault="009A0A63" w:rsidP="00A24459">
            <w:pPr>
              <w:contextualSpacing/>
              <w:jc w:val="center"/>
              <w:rPr>
                <w:sz w:val="24"/>
                <w:szCs w:val="24"/>
              </w:rPr>
            </w:pPr>
            <w:r w:rsidRPr="00792B36">
              <w:rPr>
                <w:color w:val="000000"/>
                <w:sz w:val="24"/>
                <w:szCs w:val="24"/>
              </w:rPr>
              <w:t>3,108.97</w:t>
            </w:r>
          </w:p>
        </w:tc>
        <w:tc>
          <w:tcPr>
            <w:tcW w:w="987" w:type="dxa"/>
            <w:vAlign w:val="center"/>
          </w:tcPr>
          <w:p w14:paraId="3D5FF22A" w14:textId="77777777" w:rsidR="009A0A63" w:rsidRPr="00792B36" w:rsidRDefault="009A0A63" w:rsidP="00A24459">
            <w:pPr>
              <w:contextualSpacing/>
              <w:jc w:val="center"/>
              <w:rPr>
                <w:sz w:val="24"/>
                <w:szCs w:val="24"/>
              </w:rPr>
            </w:pPr>
            <w:r w:rsidRPr="00792B36">
              <w:rPr>
                <w:color w:val="000000"/>
                <w:sz w:val="24"/>
                <w:szCs w:val="24"/>
              </w:rPr>
              <w:t>2,133.18</w:t>
            </w:r>
          </w:p>
        </w:tc>
        <w:tc>
          <w:tcPr>
            <w:tcW w:w="1080" w:type="dxa"/>
            <w:vAlign w:val="center"/>
          </w:tcPr>
          <w:p w14:paraId="24DA06B5" w14:textId="77777777" w:rsidR="009A0A63" w:rsidRPr="00792B36" w:rsidRDefault="009A0A63" w:rsidP="00A24459">
            <w:pPr>
              <w:contextualSpacing/>
              <w:jc w:val="center"/>
              <w:rPr>
                <w:sz w:val="24"/>
                <w:szCs w:val="24"/>
              </w:rPr>
            </w:pPr>
            <w:r w:rsidRPr="00792B36">
              <w:rPr>
                <w:color w:val="000000"/>
                <w:sz w:val="24"/>
                <w:szCs w:val="24"/>
              </w:rPr>
              <w:t>5,459.04</w:t>
            </w:r>
          </w:p>
        </w:tc>
        <w:tc>
          <w:tcPr>
            <w:tcW w:w="1177" w:type="dxa"/>
            <w:vAlign w:val="center"/>
          </w:tcPr>
          <w:p w14:paraId="5B40123D" w14:textId="77777777" w:rsidR="009A0A63" w:rsidRPr="00792B36" w:rsidRDefault="009A0A63" w:rsidP="00A24459">
            <w:pPr>
              <w:contextualSpacing/>
              <w:jc w:val="center"/>
              <w:rPr>
                <w:sz w:val="24"/>
                <w:szCs w:val="24"/>
              </w:rPr>
            </w:pPr>
            <w:r w:rsidRPr="00792B36">
              <w:rPr>
                <w:color w:val="000000"/>
                <w:sz w:val="24"/>
                <w:szCs w:val="24"/>
              </w:rPr>
              <w:t>361.61</w:t>
            </w:r>
          </w:p>
        </w:tc>
        <w:tc>
          <w:tcPr>
            <w:tcW w:w="1027" w:type="dxa"/>
            <w:vAlign w:val="center"/>
          </w:tcPr>
          <w:p w14:paraId="440888C0" w14:textId="77777777" w:rsidR="009A0A63" w:rsidRPr="00792B36" w:rsidRDefault="009A0A63" w:rsidP="00A24459">
            <w:pPr>
              <w:contextualSpacing/>
              <w:jc w:val="center"/>
              <w:rPr>
                <w:sz w:val="24"/>
                <w:szCs w:val="24"/>
              </w:rPr>
            </w:pPr>
            <w:r w:rsidRPr="00792B36">
              <w:rPr>
                <w:color w:val="000000"/>
                <w:sz w:val="24"/>
                <w:szCs w:val="24"/>
              </w:rPr>
              <w:t>1,870.82</w:t>
            </w:r>
          </w:p>
        </w:tc>
        <w:tc>
          <w:tcPr>
            <w:tcW w:w="957" w:type="dxa"/>
            <w:vAlign w:val="center"/>
          </w:tcPr>
          <w:p w14:paraId="1672F862" w14:textId="77777777" w:rsidR="009A0A63" w:rsidRPr="00792B36" w:rsidRDefault="009A0A63" w:rsidP="00A24459">
            <w:pPr>
              <w:contextualSpacing/>
              <w:jc w:val="center"/>
              <w:rPr>
                <w:sz w:val="24"/>
                <w:szCs w:val="24"/>
              </w:rPr>
            </w:pPr>
            <w:r w:rsidRPr="00792B36">
              <w:rPr>
                <w:color w:val="000000"/>
                <w:sz w:val="24"/>
                <w:szCs w:val="24"/>
              </w:rPr>
              <w:t>883.44</w:t>
            </w:r>
          </w:p>
        </w:tc>
        <w:tc>
          <w:tcPr>
            <w:tcW w:w="900" w:type="dxa"/>
            <w:vAlign w:val="center"/>
          </w:tcPr>
          <w:p w14:paraId="53AF77C8" w14:textId="77777777" w:rsidR="009A0A63" w:rsidRPr="00792B36" w:rsidRDefault="009A0A63" w:rsidP="00A24459">
            <w:pPr>
              <w:contextualSpacing/>
              <w:jc w:val="center"/>
              <w:rPr>
                <w:sz w:val="24"/>
                <w:szCs w:val="24"/>
              </w:rPr>
            </w:pPr>
            <w:r w:rsidRPr="00792B36">
              <w:rPr>
                <w:color w:val="000000"/>
                <w:sz w:val="24"/>
                <w:szCs w:val="24"/>
              </w:rPr>
              <w:t>3,117.61</w:t>
            </w:r>
          </w:p>
        </w:tc>
      </w:tr>
      <w:tr w:rsidR="009A0A63" w:rsidRPr="00792B36" w14:paraId="42BCB6A7" w14:textId="77777777" w:rsidTr="00A24459">
        <w:trPr>
          <w:trHeight w:val="340"/>
        </w:trPr>
        <w:tc>
          <w:tcPr>
            <w:tcW w:w="617" w:type="dxa"/>
            <w:vAlign w:val="center"/>
          </w:tcPr>
          <w:p w14:paraId="5C4BC063" w14:textId="77777777" w:rsidR="009A0A63" w:rsidRPr="00792B36" w:rsidRDefault="009A0A63" w:rsidP="00A24459">
            <w:pPr>
              <w:contextualSpacing/>
              <w:jc w:val="center"/>
              <w:rPr>
                <w:sz w:val="24"/>
                <w:szCs w:val="24"/>
              </w:rPr>
            </w:pPr>
            <w:r w:rsidRPr="00792B36">
              <w:rPr>
                <w:b/>
                <w:bCs/>
                <w:color w:val="000000"/>
                <w:sz w:val="24"/>
                <w:szCs w:val="24"/>
              </w:rPr>
              <w:t>2002</w:t>
            </w:r>
          </w:p>
        </w:tc>
        <w:tc>
          <w:tcPr>
            <w:tcW w:w="1177" w:type="dxa"/>
            <w:vAlign w:val="center"/>
          </w:tcPr>
          <w:p w14:paraId="61207A11" w14:textId="77777777" w:rsidR="009A0A63" w:rsidRPr="00792B36" w:rsidRDefault="009A0A63" w:rsidP="00A24459">
            <w:pPr>
              <w:contextualSpacing/>
              <w:jc w:val="center"/>
              <w:rPr>
                <w:sz w:val="24"/>
                <w:szCs w:val="24"/>
              </w:rPr>
            </w:pPr>
            <w:r w:rsidRPr="00792B36">
              <w:rPr>
                <w:color w:val="000000"/>
                <w:sz w:val="24"/>
                <w:szCs w:val="24"/>
              </w:rPr>
              <w:t>226.71</w:t>
            </w:r>
          </w:p>
        </w:tc>
        <w:tc>
          <w:tcPr>
            <w:tcW w:w="1095" w:type="dxa"/>
            <w:vAlign w:val="center"/>
          </w:tcPr>
          <w:p w14:paraId="35F7D1CB" w14:textId="77777777" w:rsidR="009A0A63" w:rsidRPr="00792B36" w:rsidRDefault="009A0A63" w:rsidP="00A24459">
            <w:pPr>
              <w:contextualSpacing/>
              <w:jc w:val="center"/>
              <w:rPr>
                <w:sz w:val="24"/>
                <w:szCs w:val="24"/>
              </w:rPr>
            </w:pPr>
            <w:r w:rsidRPr="00792B36">
              <w:rPr>
                <w:color w:val="000000"/>
                <w:sz w:val="24"/>
                <w:szCs w:val="24"/>
              </w:rPr>
              <w:t>3,332.21</w:t>
            </w:r>
          </w:p>
        </w:tc>
        <w:tc>
          <w:tcPr>
            <w:tcW w:w="987" w:type="dxa"/>
            <w:vAlign w:val="center"/>
          </w:tcPr>
          <w:p w14:paraId="7F3816A2" w14:textId="77777777" w:rsidR="009A0A63" w:rsidRPr="00792B36" w:rsidRDefault="009A0A63" w:rsidP="00A24459">
            <w:pPr>
              <w:contextualSpacing/>
              <w:jc w:val="center"/>
              <w:rPr>
                <w:sz w:val="24"/>
                <w:szCs w:val="24"/>
              </w:rPr>
            </w:pPr>
            <w:r w:rsidRPr="00792B36">
              <w:rPr>
                <w:color w:val="000000"/>
                <w:sz w:val="24"/>
                <w:szCs w:val="24"/>
              </w:rPr>
              <w:t>2,136.81</w:t>
            </w:r>
          </w:p>
        </w:tc>
        <w:tc>
          <w:tcPr>
            <w:tcW w:w="1080" w:type="dxa"/>
            <w:vAlign w:val="center"/>
          </w:tcPr>
          <w:p w14:paraId="25C94668" w14:textId="77777777" w:rsidR="009A0A63" w:rsidRPr="00792B36" w:rsidRDefault="009A0A63" w:rsidP="00A24459">
            <w:pPr>
              <w:contextualSpacing/>
              <w:jc w:val="center"/>
              <w:rPr>
                <w:sz w:val="24"/>
                <w:szCs w:val="24"/>
              </w:rPr>
            </w:pPr>
            <w:r w:rsidRPr="00792B36">
              <w:rPr>
                <w:color w:val="000000"/>
                <w:sz w:val="24"/>
                <w:szCs w:val="24"/>
              </w:rPr>
              <w:t>5,695.72</w:t>
            </w:r>
          </w:p>
        </w:tc>
        <w:tc>
          <w:tcPr>
            <w:tcW w:w="1177" w:type="dxa"/>
            <w:vAlign w:val="center"/>
          </w:tcPr>
          <w:p w14:paraId="359EB981" w14:textId="77777777" w:rsidR="009A0A63" w:rsidRPr="00792B36" w:rsidRDefault="009A0A63" w:rsidP="00A24459">
            <w:pPr>
              <w:contextualSpacing/>
              <w:jc w:val="center"/>
              <w:rPr>
                <w:sz w:val="24"/>
                <w:szCs w:val="24"/>
              </w:rPr>
            </w:pPr>
            <w:r w:rsidRPr="00792B36">
              <w:rPr>
                <w:color w:val="000000"/>
                <w:sz w:val="24"/>
                <w:szCs w:val="24"/>
              </w:rPr>
              <w:t>342.73</w:t>
            </w:r>
          </w:p>
        </w:tc>
        <w:tc>
          <w:tcPr>
            <w:tcW w:w="1027" w:type="dxa"/>
            <w:vAlign w:val="center"/>
          </w:tcPr>
          <w:p w14:paraId="253F6CC5" w14:textId="77777777" w:rsidR="009A0A63" w:rsidRPr="00792B36" w:rsidRDefault="009A0A63" w:rsidP="00A24459">
            <w:pPr>
              <w:contextualSpacing/>
              <w:jc w:val="center"/>
              <w:rPr>
                <w:sz w:val="24"/>
                <w:szCs w:val="24"/>
              </w:rPr>
            </w:pPr>
            <w:r w:rsidRPr="00792B36">
              <w:rPr>
                <w:color w:val="000000"/>
                <w:sz w:val="24"/>
                <w:szCs w:val="24"/>
              </w:rPr>
              <w:t>2,228.66</w:t>
            </w:r>
          </w:p>
        </w:tc>
        <w:tc>
          <w:tcPr>
            <w:tcW w:w="957" w:type="dxa"/>
            <w:vAlign w:val="center"/>
          </w:tcPr>
          <w:p w14:paraId="0D3C926B" w14:textId="77777777" w:rsidR="009A0A63" w:rsidRPr="00792B36" w:rsidRDefault="009A0A63" w:rsidP="00A24459">
            <w:pPr>
              <w:contextualSpacing/>
              <w:jc w:val="center"/>
              <w:rPr>
                <w:sz w:val="24"/>
                <w:szCs w:val="24"/>
              </w:rPr>
            </w:pPr>
            <w:r w:rsidRPr="00792B36">
              <w:rPr>
                <w:color w:val="000000"/>
                <w:sz w:val="24"/>
                <w:szCs w:val="24"/>
              </w:rPr>
              <w:t>931.83</w:t>
            </w:r>
          </w:p>
        </w:tc>
        <w:tc>
          <w:tcPr>
            <w:tcW w:w="900" w:type="dxa"/>
            <w:vAlign w:val="center"/>
          </w:tcPr>
          <w:p w14:paraId="67C9C5F8" w14:textId="77777777" w:rsidR="009A0A63" w:rsidRPr="00792B36" w:rsidRDefault="009A0A63" w:rsidP="00A24459">
            <w:pPr>
              <w:contextualSpacing/>
              <w:jc w:val="center"/>
              <w:rPr>
                <w:sz w:val="24"/>
                <w:szCs w:val="24"/>
              </w:rPr>
            </w:pPr>
            <w:r w:rsidRPr="00792B36">
              <w:rPr>
                <w:color w:val="000000"/>
                <w:sz w:val="24"/>
                <w:szCs w:val="24"/>
              </w:rPr>
              <w:t>3,503.22</w:t>
            </w:r>
          </w:p>
        </w:tc>
      </w:tr>
      <w:tr w:rsidR="009A0A63" w:rsidRPr="00792B36" w14:paraId="6C85B2A0" w14:textId="77777777" w:rsidTr="00A24459">
        <w:trPr>
          <w:trHeight w:val="340"/>
        </w:trPr>
        <w:tc>
          <w:tcPr>
            <w:tcW w:w="617" w:type="dxa"/>
            <w:vAlign w:val="center"/>
          </w:tcPr>
          <w:p w14:paraId="5CB7EC4C" w14:textId="77777777" w:rsidR="009A0A63" w:rsidRPr="00792B36" w:rsidRDefault="009A0A63" w:rsidP="00A24459">
            <w:pPr>
              <w:contextualSpacing/>
              <w:jc w:val="center"/>
              <w:rPr>
                <w:sz w:val="24"/>
                <w:szCs w:val="24"/>
              </w:rPr>
            </w:pPr>
            <w:r w:rsidRPr="00792B36">
              <w:rPr>
                <w:b/>
                <w:bCs/>
                <w:color w:val="000000"/>
                <w:sz w:val="24"/>
                <w:szCs w:val="24"/>
              </w:rPr>
              <w:t>2003</w:t>
            </w:r>
          </w:p>
        </w:tc>
        <w:tc>
          <w:tcPr>
            <w:tcW w:w="1177" w:type="dxa"/>
            <w:vAlign w:val="center"/>
          </w:tcPr>
          <w:p w14:paraId="16F11254" w14:textId="77777777" w:rsidR="009A0A63" w:rsidRPr="00792B36" w:rsidRDefault="009A0A63" w:rsidP="00A24459">
            <w:pPr>
              <w:contextualSpacing/>
              <w:jc w:val="center"/>
              <w:rPr>
                <w:sz w:val="24"/>
                <w:szCs w:val="24"/>
              </w:rPr>
            </w:pPr>
            <w:r w:rsidRPr="00792B36">
              <w:rPr>
                <w:color w:val="000000"/>
                <w:sz w:val="24"/>
                <w:szCs w:val="24"/>
              </w:rPr>
              <w:t>242.46</w:t>
            </w:r>
          </w:p>
        </w:tc>
        <w:tc>
          <w:tcPr>
            <w:tcW w:w="1095" w:type="dxa"/>
            <w:vAlign w:val="center"/>
          </w:tcPr>
          <w:p w14:paraId="3958D784" w14:textId="77777777" w:rsidR="009A0A63" w:rsidRPr="00792B36" w:rsidRDefault="009A0A63" w:rsidP="00A24459">
            <w:pPr>
              <w:contextualSpacing/>
              <w:jc w:val="center"/>
              <w:rPr>
                <w:sz w:val="24"/>
                <w:szCs w:val="24"/>
              </w:rPr>
            </w:pPr>
            <w:r w:rsidRPr="00792B36">
              <w:rPr>
                <w:color w:val="000000"/>
                <w:sz w:val="24"/>
                <w:szCs w:val="24"/>
              </w:rPr>
              <w:t>3,528.23</w:t>
            </w:r>
          </w:p>
        </w:tc>
        <w:tc>
          <w:tcPr>
            <w:tcW w:w="987" w:type="dxa"/>
            <w:vAlign w:val="center"/>
          </w:tcPr>
          <w:p w14:paraId="2050A2DF" w14:textId="77777777" w:rsidR="009A0A63" w:rsidRPr="00792B36" w:rsidRDefault="009A0A63" w:rsidP="00A24459">
            <w:pPr>
              <w:contextualSpacing/>
              <w:jc w:val="center"/>
              <w:rPr>
                <w:sz w:val="24"/>
                <w:szCs w:val="24"/>
              </w:rPr>
            </w:pPr>
            <w:r w:rsidRPr="00792B36">
              <w:rPr>
                <w:color w:val="000000"/>
                <w:sz w:val="24"/>
                <w:szCs w:val="24"/>
              </w:rPr>
              <w:t>2,174.17</w:t>
            </w:r>
          </w:p>
        </w:tc>
        <w:tc>
          <w:tcPr>
            <w:tcW w:w="1080" w:type="dxa"/>
            <w:vAlign w:val="center"/>
          </w:tcPr>
          <w:p w14:paraId="5084F62A" w14:textId="77777777" w:rsidR="009A0A63" w:rsidRPr="00792B36" w:rsidRDefault="009A0A63" w:rsidP="00A24459">
            <w:pPr>
              <w:contextualSpacing/>
              <w:jc w:val="center"/>
              <w:rPr>
                <w:sz w:val="24"/>
                <w:szCs w:val="24"/>
              </w:rPr>
            </w:pPr>
            <w:r w:rsidRPr="00792B36">
              <w:rPr>
                <w:color w:val="000000"/>
                <w:sz w:val="24"/>
                <w:szCs w:val="24"/>
              </w:rPr>
              <w:t>5,944.86</w:t>
            </w:r>
          </w:p>
        </w:tc>
        <w:tc>
          <w:tcPr>
            <w:tcW w:w="1177" w:type="dxa"/>
            <w:vAlign w:val="center"/>
          </w:tcPr>
          <w:p w14:paraId="17E48918" w14:textId="77777777" w:rsidR="009A0A63" w:rsidRPr="00792B36" w:rsidRDefault="009A0A63" w:rsidP="00A24459">
            <w:pPr>
              <w:contextualSpacing/>
              <w:jc w:val="center"/>
              <w:rPr>
                <w:sz w:val="24"/>
                <w:szCs w:val="24"/>
              </w:rPr>
            </w:pPr>
            <w:r w:rsidRPr="00792B36">
              <w:rPr>
                <w:color w:val="000000"/>
                <w:sz w:val="24"/>
                <w:szCs w:val="24"/>
              </w:rPr>
              <w:t>399.68</w:t>
            </w:r>
          </w:p>
        </w:tc>
        <w:tc>
          <w:tcPr>
            <w:tcW w:w="1027" w:type="dxa"/>
            <w:vAlign w:val="center"/>
          </w:tcPr>
          <w:p w14:paraId="356C1D69" w14:textId="77777777" w:rsidR="009A0A63" w:rsidRPr="00792B36" w:rsidRDefault="009A0A63" w:rsidP="00A24459">
            <w:pPr>
              <w:contextualSpacing/>
              <w:jc w:val="center"/>
              <w:rPr>
                <w:sz w:val="24"/>
                <w:szCs w:val="24"/>
              </w:rPr>
            </w:pPr>
            <w:r w:rsidRPr="00792B36">
              <w:rPr>
                <w:color w:val="000000"/>
                <w:sz w:val="24"/>
                <w:szCs w:val="24"/>
              </w:rPr>
              <w:t>3,031.63</w:t>
            </w:r>
          </w:p>
        </w:tc>
        <w:tc>
          <w:tcPr>
            <w:tcW w:w="957" w:type="dxa"/>
            <w:vAlign w:val="center"/>
          </w:tcPr>
          <w:p w14:paraId="0FB107C2" w14:textId="77777777" w:rsidR="009A0A63" w:rsidRPr="00792B36" w:rsidRDefault="009A0A63" w:rsidP="00A24459">
            <w:pPr>
              <w:contextualSpacing/>
              <w:jc w:val="center"/>
              <w:rPr>
                <w:sz w:val="24"/>
                <w:szCs w:val="24"/>
              </w:rPr>
            </w:pPr>
            <w:r w:rsidRPr="00792B36">
              <w:rPr>
                <w:color w:val="000000"/>
                <w:sz w:val="24"/>
                <w:szCs w:val="24"/>
              </w:rPr>
              <w:t>1,028.12</w:t>
            </w:r>
          </w:p>
        </w:tc>
        <w:tc>
          <w:tcPr>
            <w:tcW w:w="900" w:type="dxa"/>
            <w:vAlign w:val="center"/>
          </w:tcPr>
          <w:p w14:paraId="15836350" w14:textId="77777777" w:rsidR="009A0A63" w:rsidRPr="00792B36" w:rsidRDefault="009A0A63" w:rsidP="00A24459">
            <w:pPr>
              <w:contextualSpacing/>
              <w:jc w:val="center"/>
              <w:rPr>
                <w:sz w:val="24"/>
                <w:szCs w:val="24"/>
              </w:rPr>
            </w:pPr>
            <w:r w:rsidRPr="00792B36">
              <w:rPr>
                <w:color w:val="000000"/>
                <w:sz w:val="24"/>
                <w:szCs w:val="24"/>
              </w:rPr>
              <w:t>4,459.42</w:t>
            </w:r>
          </w:p>
        </w:tc>
      </w:tr>
      <w:tr w:rsidR="009A0A63" w:rsidRPr="00792B36" w14:paraId="071C755A" w14:textId="77777777" w:rsidTr="00A24459">
        <w:trPr>
          <w:trHeight w:val="340"/>
        </w:trPr>
        <w:tc>
          <w:tcPr>
            <w:tcW w:w="617" w:type="dxa"/>
            <w:vAlign w:val="center"/>
          </w:tcPr>
          <w:p w14:paraId="602297AA" w14:textId="77777777" w:rsidR="009A0A63" w:rsidRPr="00792B36" w:rsidRDefault="009A0A63" w:rsidP="00A24459">
            <w:pPr>
              <w:contextualSpacing/>
              <w:jc w:val="center"/>
              <w:rPr>
                <w:sz w:val="24"/>
                <w:szCs w:val="24"/>
              </w:rPr>
            </w:pPr>
            <w:r w:rsidRPr="00792B36">
              <w:rPr>
                <w:b/>
                <w:bCs/>
                <w:color w:val="000000"/>
                <w:sz w:val="24"/>
                <w:szCs w:val="24"/>
              </w:rPr>
              <w:t>2004</w:t>
            </w:r>
          </w:p>
        </w:tc>
        <w:tc>
          <w:tcPr>
            <w:tcW w:w="1177" w:type="dxa"/>
            <w:vAlign w:val="center"/>
          </w:tcPr>
          <w:p w14:paraId="2A21320C" w14:textId="77777777" w:rsidR="009A0A63" w:rsidRPr="00792B36" w:rsidRDefault="009A0A63" w:rsidP="00A24459">
            <w:pPr>
              <w:contextualSpacing/>
              <w:jc w:val="center"/>
              <w:rPr>
                <w:sz w:val="24"/>
                <w:szCs w:val="24"/>
              </w:rPr>
            </w:pPr>
            <w:r w:rsidRPr="00792B36">
              <w:rPr>
                <w:color w:val="000000"/>
                <w:sz w:val="24"/>
                <w:szCs w:val="24"/>
              </w:rPr>
              <w:t>180.70</w:t>
            </w:r>
          </w:p>
        </w:tc>
        <w:tc>
          <w:tcPr>
            <w:tcW w:w="1095" w:type="dxa"/>
            <w:vAlign w:val="center"/>
          </w:tcPr>
          <w:p w14:paraId="5689AF4E" w14:textId="77777777" w:rsidR="009A0A63" w:rsidRPr="00792B36" w:rsidRDefault="009A0A63" w:rsidP="00A24459">
            <w:pPr>
              <w:contextualSpacing/>
              <w:jc w:val="center"/>
              <w:rPr>
                <w:sz w:val="24"/>
                <w:szCs w:val="24"/>
              </w:rPr>
            </w:pPr>
            <w:r w:rsidRPr="00792B36">
              <w:rPr>
                <w:color w:val="000000"/>
                <w:sz w:val="24"/>
                <w:szCs w:val="24"/>
              </w:rPr>
              <w:t>3,850.44</w:t>
            </w:r>
          </w:p>
        </w:tc>
        <w:tc>
          <w:tcPr>
            <w:tcW w:w="987" w:type="dxa"/>
            <w:vAlign w:val="center"/>
          </w:tcPr>
          <w:p w14:paraId="7B171EF8" w14:textId="77777777" w:rsidR="009A0A63" w:rsidRPr="00792B36" w:rsidRDefault="009A0A63" w:rsidP="00A24459">
            <w:pPr>
              <w:contextualSpacing/>
              <w:jc w:val="center"/>
              <w:rPr>
                <w:sz w:val="24"/>
                <w:szCs w:val="24"/>
              </w:rPr>
            </w:pPr>
            <w:r w:rsidRPr="00792B36">
              <w:rPr>
                <w:color w:val="000000"/>
                <w:sz w:val="24"/>
                <w:szCs w:val="24"/>
              </w:rPr>
              <w:t>2,348.00</w:t>
            </w:r>
          </w:p>
        </w:tc>
        <w:tc>
          <w:tcPr>
            <w:tcW w:w="1080" w:type="dxa"/>
            <w:vAlign w:val="center"/>
          </w:tcPr>
          <w:p w14:paraId="410C15EA" w14:textId="77777777" w:rsidR="009A0A63" w:rsidRPr="00792B36" w:rsidRDefault="009A0A63" w:rsidP="00A24459">
            <w:pPr>
              <w:contextualSpacing/>
              <w:jc w:val="center"/>
              <w:rPr>
                <w:sz w:val="24"/>
                <w:szCs w:val="24"/>
              </w:rPr>
            </w:pPr>
            <w:r w:rsidRPr="00792B36">
              <w:rPr>
                <w:color w:val="000000"/>
                <w:sz w:val="24"/>
                <w:szCs w:val="24"/>
              </w:rPr>
              <w:t>6,385.54</w:t>
            </w:r>
          </w:p>
        </w:tc>
        <w:tc>
          <w:tcPr>
            <w:tcW w:w="1177" w:type="dxa"/>
            <w:vAlign w:val="center"/>
          </w:tcPr>
          <w:p w14:paraId="07B19B96" w14:textId="77777777" w:rsidR="009A0A63" w:rsidRPr="00792B36" w:rsidRDefault="009A0A63" w:rsidP="00A24459">
            <w:pPr>
              <w:contextualSpacing/>
              <w:jc w:val="center"/>
              <w:rPr>
                <w:sz w:val="24"/>
                <w:szCs w:val="24"/>
              </w:rPr>
            </w:pPr>
            <w:r w:rsidRPr="00792B36">
              <w:rPr>
                <w:color w:val="000000"/>
                <w:sz w:val="24"/>
                <w:szCs w:val="24"/>
              </w:rPr>
              <w:t>342.99</w:t>
            </w:r>
          </w:p>
        </w:tc>
        <w:tc>
          <w:tcPr>
            <w:tcW w:w="1027" w:type="dxa"/>
            <w:vAlign w:val="center"/>
          </w:tcPr>
          <w:p w14:paraId="43AA7A58" w14:textId="77777777" w:rsidR="009A0A63" w:rsidRPr="00792B36" w:rsidRDefault="009A0A63" w:rsidP="00A24459">
            <w:pPr>
              <w:contextualSpacing/>
              <w:jc w:val="center"/>
              <w:rPr>
                <w:sz w:val="24"/>
                <w:szCs w:val="24"/>
              </w:rPr>
            </w:pPr>
            <w:r w:rsidRPr="00792B36">
              <w:rPr>
                <w:color w:val="000000"/>
                <w:sz w:val="24"/>
                <w:szCs w:val="24"/>
              </w:rPr>
              <w:t>3,521.70</w:t>
            </w:r>
          </w:p>
        </w:tc>
        <w:tc>
          <w:tcPr>
            <w:tcW w:w="957" w:type="dxa"/>
            <w:vAlign w:val="center"/>
          </w:tcPr>
          <w:p w14:paraId="7E246C4A" w14:textId="77777777" w:rsidR="009A0A63" w:rsidRPr="00792B36" w:rsidRDefault="009A0A63" w:rsidP="00A24459">
            <w:pPr>
              <w:contextualSpacing/>
              <w:jc w:val="center"/>
              <w:rPr>
                <w:sz w:val="24"/>
                <w:szCs w:val="24"/>
              </w:rPr>
            </w:pPr>
            <w:r w:rsidRPr="00792B36">
              <w:rPr>
                <w:color w:val="000000"/>
                <w:sz w:val="24"/>
                <w:szCs w:val="24"/>
              </w:rPr>
              <w:t>1,131.04</w:t>
            </w:r>
          </w:p>
        </w:tc>
        <w:tc>
          <w:tcPr>
            <w:tcW w:w="900" w:type="dxa"/>
            <w:vAlign w:val="center"/>
          </w:tcPr>
          <w:p w14:paraId="565B496B" w14:textId="77777777" w:rsidR="009A0A63" w:rsidRPr="00792B36" w:rsidRDefault="009A0A63" w:rsidP="00A24459">
            <w:pPr>
              <w:contextualSpacing/>
              <w:jc w:val="center"/>
              <w:rPr>
                <w:sz w:val="24"/>
                <w:szCs w:val="24"/>
              </w:rPr>
            </w:pPr>
            <w:r w:rsidRPr="00792B36">
              <w:rPr>
                <w:color w:val="000000"/>
                <w:sz w:val="24"/>
                <w:szCs w:val="24"/>
              </w:rPr>
              <w:t>5,004.66</w:t>
            </w:r>
          </w:p>
        </w:tc>
      </w:tr>
      <w:tr w:rsidR="009A0A63" w:rsidRPr="00792B36" w14:paraId="4D992DCE" w14:textId="77777777" w:rsidTr="00A24459">
        <w:trPr>
          <w:trHeight w:val="340"/>
        </w:trPr>
        <w:tc>
          <w:tcPr>
            <w:tcW w:w="617" w:type="dxa"/>
            <w:vAlign w:val="center"/>
          </w:tcPr>
          <w:p w14:paraId="69CEAB40" w14:textId="77777777" w:rsidR="009A0A63" w:rsidRPr="00792B36" w:rsidRDefault="009A0A63" w:rsidP="00A24459">
            <w:pPr>
              <w:contextualSpacing/>
              <w:jc w:val="center"/>
              <w:rPr>
                <w:sz w:val="24"/>
                <w:szCs w:val="24"/>
              </w:rPr>
            </w:pPr>
            <w:r w:rsidRPr="00792B36">
              <w:rPr>
                <w:b/>
                <w:bCs/>
                <w:color w:val="000000"/>
                <w:sz w:val="24"/>
                <w:szCs w:val="24"/>
              </w:rPr>
              <w:t>2005</w:t>
            </w:r>
          </w:p>
        </w:tc>
        <w:tc>
          <w:tcPr>
            <w:tcW w:w="1177" w:type="dxa"/>
            <w:vAlign w:val="center"/>
          </w:tcPr>
          <w:p w14:paraId="388CA0E0" w14:textId="77777777" w:rsidR="009A0A63" w:rsidRPr="00792B36" w:rsidRDefault="009A0A63" w:rsidP="00A24459">
            <w:pPr>
              <w:contextualSpacing/>
              <w:jc w:val="center"/>
              <w:rPr>
                <w:sz w:val="24"/>
                <w:szCs w:val="24"/>
              </w:rPr>
            </w:pPr>
            <w:r w:rsidRPr="00792B36">
              <w:rPr>
                <w:color w:val="000000"/>
                <w:sz w:val="24"/>
                <w:szCs w:val="24"/>
              </w:rPr>
              <w:t>180.35</w:t>
            </w:r>
          </w:p>
        </w:tc>
        <w:tc>
          <w:tcPr>
            <w:tcW w:w="1095" w:type="dxa"/>
            <w:vAlign w:val="center"/>
          </w:tcPr>
          <w:p w14:paraId="06047710" w14:textId="77777777" w:rsidR="009A0A63" w:rsidRPr="00792B36" w:rsidRDefault="009A0A63" w:rsidP="00A24459">
            <w:pPr>
              <w:contextualSpacing/>
              <w:jc w:val="center"/>
              <w:rPr>
                <w:sz w:val="24"/>
                <w:szCs w:val="24"/>
              </w:rPr>
            </w:pPr>
            <w:r w:rsidRPr="00792B36">
              <w:rPr>
                <w:color w:val="000000"/>
                <w:sz w:val="24"/>
                <w:szCs w:val="24"/>
              </w:rPr>
              <w:t>4,319.31</w:t>
            </w:r>
          </w:p>
        </w:tc>
        <w:tc>
          <w:tcPr>
            <w:tcW w:w="987" w:type="dxa"/>
            <w:vAlign w:val="center"/>
          </w:tcPr>
          <w:p w14:paraId="74585170" w14:textId="77777777" w:rsidR="009A0A63" w:rsidRPr="00792B36" w:rsidRDefault="009A0A63" w:rsidP="00A24459">
            <w:pPr>
              <w:contextualSpacing/>
              <w:jc w:val="center"/>
              <w:rPr>
                <w:sz w:val="24"/>
                <w:szCs w:val="24"/>
              </w:rPr>
            </w:pPr>
            <w:r w:rsidRPr="00792B36">
              <w:rPr>
                <w:color w:val="000000"/>
                <w:sz w:val="24"/>
                <w:szCs w:val="24"/>
              </w:rPr>
              <w:t>2,429.46</w:t>
            </w:r>
          </w:p>
        </w:tc>
        <w:tc>
          <w:tcPr>
            <w:tcW w:w="1080" w:type="dxa"/>
            <w:vAlign w:val="center"/>
          </w:tcPr>
          <w:p w14:paraId="7B393177" w14:textId="77777777" w:rsidR="009A0A63" w:rsidRPr="00792B36" w:rsidRDefault="009A0A63" w:rsidP="00A24459">
            <w:pPr>
              <w:contextualSpacing/>
              <w:jc w:val="center"/>
              <w:rPr>
                <w:sz w:val="24"/>
                <w:szCs w:val="24"/>
              </w:rPr>
            </w:pPr>
            <w:r w:rsidRPr="00792B36">
              <w:rPr>
                <w:color w:val="000000"/>
                <w:sz w:val="24"/>
                <w:szCs w:val="24"/>
              </w:rPr>
              <w:t>6,926.25</w:t>
            </w:r>
          </w:p>
        </w:tc>
        <w:tc>
          <w:tcPr>
            <w:tcW w:w="1177" w:type="dxa"/>
            <w:vAlign w:val="center"/>
          </w:tcPr>
          <w:p w14:paraId="5C2BA521" w14:textId="77777777" w:rsidR="009A0A63" w:rsidRPr="00792B36" w:rsidRDefault="009A0A63" w:rsidP="00A24459">
            <w:pPr>
              <w:contextualSpacing/>
              <w:jc w:val="center"/>
              <w:rPr>
                <w:sz w:val="24"/>
                <w:szCs w:val="24"/>
              </w:rPr>
            </w:pPr>
            <w:r w:rsidRPr="00792B36">
              <w:rPr>
                <w:color w:val="000000"/>
                <w:sz w:val="24"/>
                <w:szCs w:val="24"/>
              </w:rPr>
              <w:t>332.38</w:t>
            </w:r>
          </w:p>
        </w:tc>
        <w:tc>
          <w:tcPr>
            <w:tcW w:w="1027" w:type="dxa"/>
            <w:vAlign w:val="center"/>
          </w:tcPr>
          <w:p w14:paraId="116AC96B" w14:textId="77777777" w:rsidR="009A0A63" w:rsidRPr="00792B36" w:rsidRDefault="009A0A63" w:rsidP="00A24459">
            <w:pPr>
              <w:contextualSpacing/>
              <w:jc w:val="center"/>
              <w:rPr>
                <w:sz w:val="24"/>
                <w:szCs w:val="24"/>
              </w:rPr>
            </w:pPr>
            <w:r w:rsidRPr="00792B36">
              <w:rPr>
                <w:color w:val="000000"/>
                <w:sz w:val="24"/>
                <w:szCs w:val="24"/>
              </w:rPr>
              <w:t>3,417.47</w:t>
            </w:r>
          </w:p>
        </w:tc>
        <w:tc>
          <w:tcPr>
            <w:tcW w:w="957" w:type="dxa"/>
            <w:vAlign w:val="center"/>
          </w:tcPr>
          <w:p w14:paraId="48BDCCF6" w14:textId="77777777" w:rsidR="009A0A63" w:rsidRPr="00792B36" w:rsidRDefault="009A0A63" w:rsidP="00A24459">
            <w:pPr>
              <w:contextualSpacing/>
              <w:jc w:val="center"/>
              <w:rPr>
                <w:sz w:val="24"/>
                <w:szCs w:val="24"/>
              </w:rPr>
            </w:pPr>
            <w:r w:rsidRPr="00792B36">
              <w:rPr>
                <w:color w:val="000000"/>
                <w:sz w:val="24"/>
                <w:szCs w:val="24"/>
              </w:rPr>
              <w:t>1,164.77</w:t>
            </w:r>
          </w:p>
        </w:tc>
        <w:tc>
          <w:tcPr>
            <w:tcW w:w="900" w:type="dxa"/>
            <w:vAlign w:val="center"/>
          </w:tcPr>
          <w:p w14:paraId="346CD0F6" w14:textId="77777777" w:rsidR="009A0A63" w:rsidRPr="00792B36" w:rsidRDefault="009A0A63" w:rsidP="00A24459">
            <w:pPr>
              <w:contextualSpacing/>
              <w:jc w:val="center"/>
              <w:rPr>
                <w:sz w:val="24"/>
                <w:szCs w:val="24"/>
              </w:rPr>
            </w:pPr>
            <w:r w:rsidRPr="00792B36">
              <w:rPr>
                <w:color w:val="000000"/>
                <w:sz w:val="24"/>
                <w:szCs w:val="24"/>
              </w:rPr>
              <w:t>4,925.12</w:t>
            </w:r>
          </w:p>
        </w:tc>
      </w:tr>
      <w:tr w:rsidR="009A0A63" w:rsidRPr="00792B36" w14:paraId="7091F191" w14:textId="77777777" w:rsidTr="00A24459">
        <w:trPr>
          <w:trHeight w:val="340"/>
        </w:trPr>
        <w:tc>
          <w:tcPr>
            <w:tcW w:w="617" w:type="dxa"/>
            <w:vAlign w:val="center"/>
          </w:tcPr>
          <w:p w14:paraId="087F19C5" w14:textId="77777777" w:rsidR="009A0A63" w:rsidRPr="00792B36" w:rsidRDefault="009A0A63" w:rsidP="00A24459">
            <w:pPr>
              <w:contextualSpacing/>
              <w:jc w:val="center"/>
              <w:rPr>
                <w:sz w:val="24"/>
                <w:szCs w:val="24"/>
              </w:rPr>
            </w:pPr>
            <w:r w:rsidRPr="00792B36">
              <w:rPr>
                <w:b/>
                <w:bCs/>
                <w:color w:val="000000"/>
                <w:sz w:val="24"/>
                <w:szCs w:val="24"/>
              </w:rPr>
              <w:t>2006</w:t>
            </w:r>
          </w:p>
        </w:tc>
        <w:tc>
          <w:tcPr>
            <w:tcW w:w="1177" w:type="dxa"/>
            <w:vAlign w:val="center"/>
          </w:tcPr>
          <w:p w14:paraId="0F0C5D8E" w14:textId="77777777" w:rsidR="009A0A63" w:rsidRPr="00792B36" w:rsidRDefault="009A0A63" w:rsidP="00A24459">
            <w:pPr>
              <w:contextualSpacing/>
              <w:jc w:val="center"/>
              <w:rPr>
                <w:sz w:val="24"/>
                <w:szCs w:val="24"/>
              </w:rPr>
            </w:pPr>
            <w:r w:rsidRPr="00792B36">
              <w:rPr>
                <w:color w:val="000000"/>
                <w:sz w:val="24"/>
                <w:szCs w:val="24"/>
              </w:rPr>
              <w:t>187.45</w:t>
            </w:r>
          </w:p>
        </w:tc>
        <w:tc>
          <w:tcPr>
            <w:tcW w:w="1095" w:type="dxa"/>
            <w:vAlign w:val="center"/>
          </w:tcPr>
          <w:p w14:paraId="686DD2E5" w14:textId="77777777" w:rsidR="009A0A63" w:rsidRPr="00792B36" w:rsidRDefault="009A0A63" w:rsidP="00A24459">
            <w:pPr>
              <w:contextualSpacing/>
              <w:jc w:val="center"/>
              <w:rPr>
                <w:sz w:val="24"/>
                <w:szCs w:val="24"/>
              </w:rPr>
            </w:pPr>
            <w:r w:rsidRPr="00792B36">
              <w:rPr>
                <w:color w:val="000000"/>
                <w:sz w:val="24"/>
                <w:szCs w:val="24"/>
              </w:rPr>
              <w:t>4,725.47</w:t>
            </w:r>
          </w:p>
        </w:tc>
        <w:tc>
          <w:tcPr>
            <w:tcW w:w="987" w:type="dxa"/>
            <w:vAlign w:val="center"/>
          </w:tcPr>
          <w:p w14:paraId="584091E0" w14:textId="77777777" w:rsidR="009A0A63" w:rsidRPr="00792B36" w:rsidRDefault="009A0A63" w:rsidP="00A24459">
            <w:pPr>
              <w:contextualSpacing/>
              <w:jc w:val="center"/>
              <w:rPr>
                <w:sz w:val="24"/>
                <w:szCs w:val="24"/>
              </w:rPr>
            </w:pPr>
            <w:r w:rsidRPr="00792B36">
              <w:rPr>
                <w:color w:val="000000"/>
                <w:sz w:val="24"/>
                <w:szCs w:val="24"/>
              </w:rPr>
              <w:t>2,553.62</w:t>
            </w:r>
          </w:p>
        </w:tc>
        <w:tc>
          <w:tcPr>
            <w:tcW w:w="1080" w:type="dxa"/>
            <w:vAlign w:val="center"/>
          </w:tcPr>
          <w:p w14:paraId="402933CA" w14:textId="77777777" w:rsidR="009A0A63" w:rsidRPr="00792B36" w:rsidRDefault="009A0A63" w:rsidP="00A24459">
            <w:pPr>
              <w:contextualSpacing/>
              <w:jc w:val="center"/>
              <w:rPr>
                <w:sz w:val="24"/>
                <w:szCs w:val="24"/>
              </w:rPr>
            </w:pPr>
            <w:r w:rsidRPr="00792B36">
              <w:rPr>
                <w:color w:val="000000"/>
                <w:sz w:val="24"/>
                <w:szCs w:val="24"/>
              </w:rPr>
              <w:t>7,462.37</w:t>
            </w:r>
          </w:p>
        </w:tc>
        <w:tc>
          <w:tcPr>
            <w:tcW w:w="1177" w:type="dxa"/>
            <w:vAlign w:val="center"/>
          </w:tcPr>
          <w:p w14:paraId="07B49810" w14:textId="77777777" w:rsidR="009A0A63" w:rsidRPr="00792B36" w:rsidRDefault="009A0A63" w:rsidP="00A24459">
            <w:pPr>
              <w:contextualSpacing/>
              <w:jc w:val="center"/>
              <w:rPr>
                <w:sz w:val="24"/>
                <w:szCs w:val="24"/>
              </w:rPr>
            </w:pPr>
            <w:r w:rsidRPr="00792B36">
              <w:rPr>
                <w:color w:val="000000"/>
                <w:sz w:val="24"/>
                <w:szCs w:val="24"/>
              </w:rPr>
              <w:t>363.31</w:t>
            </w:r>
          </w:p>
        </w:tc>
        <w:tc>
          <w:tcPr>
            <w:tcW w:w="1027" w:type="dxa"/>
            <w:vAlign w:val="center"/>
          </w:tcPr>
          <w:p w14:paraId="363A62D3" w14:textId="77777777" w:rsidR="009A0A63" w:rsidRPr="00792B36" w:rsidRDefault="009A0A63" w:rsidP="00A24459">
            <w:pPr>
              <w:contextualSpacing/>
              <w:jc w:val="center"/>
              <w:rPr>
                <w:sz w:val="24"/>
                <w:szCs w:val="24"/>
              </w:rPr>
            </w:pPr>
            <w:r w:rsidRPr="00792B36">
              <w:rPr>
                <w:color w:val="000000"/>
                <w:sz w:val="24"/>
                <w:szCs w:val="24"/>
              </w:rPr>
              <w:t>3,820.57</w:t>
            </w:r>
          </w:p>
        </w:tc>
        <w:tc>
          <w:tcPr>
            <w:tcW w:w="957" w:type="dxa"/>
            <w:vAlign w:val="center"/>
          </w:tcPr>
          <w:p w14:paraId="78EDF74A" w14:textId="77777777" w:rsidR="009A0A63" w:rsidRPr="00792B36" w:rsidRDefault="009A0A63" w:rsidP="00A24459">
            <w:pPr>
              <w:contextualSpacing/>
              <w:jc w:val="center"/>
              <w:rPr>
                <w:sz w:val="24"/>
                <w:szCs w:val="24"/>
              </w:rPr>
            </w:pPr>
            <w:r w:rsidRPr="00792B36">
              <w:rPr>
                <w:color w:val="000000"/>
                <w:sz w:val="24"/>
                <w:szCs w:val="24"/>
              </w:rPr>
              <w:t>1,234.04</w:t>
            </w:r>
          </w:p>
        </w:tc>
        <w:tc>
          <w:tcPr>
            <w:tcW w:w="900" w:type="dxa"/>
            <w:vAlign w:val="center"/>
          </w:tcPr>
          <w:p w14:paraId="5C34CC64" w14:textId="77777777" w:rsidR="009A0A63" w:rsidRPr="00792B36" w:rsidRDefault="009A0A63" w:rsidP="00A24459">
            <w:pPr>
              <w:contextualSpacing/>
              <w:jc w:val="center"/>
              <w:rPr>
                <w:sz w:val="24"/>
                <w:szCs w:val="24"/>
              </w:rPr>
            </w:pPr>
            <w:r w:rsidRPr="00792B36">
              <w:rPr>
                <w:color w:val="000000"/>
                <w:sz w:val="24"/>
                <w:szCs w:val="24"/>
              </w:rPr>
              <w:t>5,423.33</w:t>
            </w:r>
          </w:p>
        </w:tc>
      </w:tr>
      <w:tr w:rsidR="009A0A63" w:rsidRPr="00792B36" w14:paraId="5E4BA76C" w14:textId="77777777" w:rsidTr="00A24459">
        <w:trPr>
          <w:trHeight w:val="340"/>
        </w:trPr>
        <w:tc>
          <w:tcPr>
            <w:tcW w:w="617" w:type="dxa"/>
            <w:vAlign w:val="center"/>
          </w:tcPr>
          <w:p w14:paraId="29ED2E54" w14:textId="77777777" w:rsidR="009A0A63" w:rsidRPr="00792B36" w:rsidRDefault="009A0A63" w:rsidP="00A24459">
            <w:pPr>
              <w:contextualSpacing/>
              <w:jc w:val="center"/>
              <w:rPr>
                <w:sz w:val="24"/>
                <w:szCs w:val="24"/>
              </w:rPr>
            </w:pPr>
            <w:r w:rsidRPr="00792B36">
              <w:rPr>
                <w:b/>
                <w:bCs/>
                <w:color w:val="000000"/>
                <w:sz w:val="24"/>
                <w:szCs w:val="24"/>
              </w:rPr>
              <w:t>2007</w:t>
            </w:r>
          </w:p>
        </w:tc>
        <w:tc>
          <w:tcPr>
            <w:tcW w:w="1177" w:type="dxa"/>
            <w:vAlign w:val="center"/>
          </w:tcPr>
          <w:p w14:paraId="0B172084" w14:textId="77777777" w:rsidR="009A0A63" w:rsidRPr="00792B36" w:rsidRDefault="009A0A63" w:rsidP="00A24459">
            <w:pPr>
              <w:contextualSpacing/>
              <w:jc w:val="center"/>
              <w:rPr>
                <w:sz w:val="24"/>
                <w:szCs w:val="24"/>
              </w:rPr>
            </w:pPr>
            <w:r w:rsidRPr="00792B36">
              <w:rPr>
                <w:color w:val="000000"/>
                <w:sz w:val="24"/>
                <w:szCs w:val="24"/>
              </w:rPr>
              <w:t>191.28</w:t>
            </w:r>
          </w:p>
        </w:tc>
        <w:tc>
          <w:tcPr>
            <w:tcW w:w="1095" w:type="dxa"/>
            <w:vAlign w:val="center"/>
          </w:tcPr>
          <w:p w14:paraId="11470CD2" w14:textId="77777777" w:rsidR="009A0A63" w:rsidRPr="00792B36" w:rsidRDefault="009A0A63" w:rsidP="00A24459">
            <w:pPr>
              <w:contextualSpacing/>
              <w:jc w:val="center"/>
              <w:rPr>
                <w:sz w:val="24"/>
                <w:szCs w:val="24"/>
              </w:rPr>
            </w:pPr>
            <w:r w:rsidRPr="00792B36">
              <w:rPr>
                <w:color w:val="000000"/>
                <w:sz w:val="24"/>
                <w:szCs w:val="24"/>
              </w:rPr>
              <w:t>5,075.01</w:t>
            </w:r>
          </w:p>
        </w:tc>
        <w:tc>
          <w:tcPr>
            <w:tcW w:w="987" w:type="dxa"/>
            <w:vAlign w:val="center"/>
          </w:tcPr>
          <w:p w14:paraId="6DC395D9" w14:textId="77777777" w:rsidR="009A0A63" w:rsidRPr="00792B36" w:rsidRDefault="009A0A63" w:rsidP="00A24459">
            <w:pPr>
              <w:contextualSpacing/>
              <w:jc w:val="center"/>
              <w:rPr>
                <w:sz w:val="24"/>
                <w:szCs w:val="24"/>
              </w:rPr>
            </w:pPr>
            <w:r w:rsidRPr="00792B36">
              <w:rPr>
                <w:color w:val="000000"/>
                <w:sz w:val="24"/>
                <w:szCs w:val="24"/>
              </w:rPr>
              <w:t>2,632.95</w:t>
            </w:r>
          </w:p>
        </w:tc>
        <w:tc>
          <w:tcPr>
            <w:tcW w:w="1080" w:type="dxa"/>
            <w:vAlign w:val="center"/>
          </w:tcPr>
          <w:p w14:paraId="0358A391" w14:textId="77777777" w:rsidR="009A0A63" w:rsidRPr="00792B36" w:rsidRDefault="009A0A63" w:rsidP="00A24459">
            <w:pPr>
              <w:contextualSpacing/>
              <w:jc w:val="center"/>
              <w:rPr>
                <w:sz w:val="24"/>
                <w:szCs w:val="24"/>
              </w:rPr>
            </w:pPr>
            <w:r w:rsidRPr="00792B36">
              <w:rPr>
                <w:color w:val="000000"/>
                <w:sz w:val="24"/>
                <w:szCs w:val="24"/>
              </w:rPr>
              <w:t>7,900.60</w:t>
            </w:r>
          </w:p>
        </w:tc>
        <w:tc>
          <w:tcPr>
            <w:tcW w:w="1177" w:type="dxa"/>
            <w:vAlign w:val="center"/>
          </w:tcPr>
          <w:p w14:paraId="7A879D35" w14:textId="77777777" w:rsidR="009A0A63" w:rsidRPr="00792B36" w:rsidRDefault="009A0A63" w:rsidP="00A24459">
            <w:pPr>
              <w:contextualSpacing/>
              <w:jc w:val="center"/>
              <w:rPr>
                <w:sz w:val="24"/>
                <w:szCs w:val="24"/>
              </w:rPr>
            </w:pPr>
            <w:r w:rsidRPr="00792B36">
              <w:rPr>
                <w:color w:val="000000"/>
                <w:sz w:val="24"/>
                <w:szCs w:val="24"/>
              </w:rPr>
              <w:t>377.70</w:t>
            </w:r>
          </w:p>
        </w:tc>
        <w:tc>
          <w:tcPr>
            <w:tcW w:w="1027" w:type="dxa"/>
            <w:vAlign w:val="center"/>
          </w:tcPr>
          <w:p w14:paraId="3FA6E88C" w14:textId="77777777" w:rsidR="009A0A63" w:rsidRPr="00792B36" w:rsidRDefault="009A0A63" w:rsidP="00A24459">
            <w:pPr>
              <w:contextualSpacing/>
              <w:jc w:val="center"/>
              <w:rPr>
                <w:sz w:val="24"/>
                <w:szCs w:val="24"/>
              </w:rPr>
            </w:pPr>
            <w:r w:rsidRPr="00792B36">
              <w:rPr>
                <w:color w:val="000000"/>
                <w:sz w:val="24"/>
                <w:szCs w:val="24"/>
              </w:rPr>
              <w:t>4,376.17</w:t>
            </w:r>
          </w:p>
        </w:tc>
        <w:tc>
          <w:tcPr>
            <w:tcW w:w="957" w:type="dxa"/>
            <w:vAlign w:val="center"/>
          </w:tcPr>
          <w:p w14:paraId="01342B17" w14:textId="77777777" w:rsidR="009A0A63" w:rsidRPr="00792B36" w:rsidRDefault="009A0A63" w:rsidP="00A24459">
            <w:pPr>
              <w:contextualSpacing/>
              <w:jc w:val="center"/>
              <w:rPr>
                <w:sz w:val="24"/>
                <w:szCs w:val="24"/>
              </w:rPr>
            </w:pPr>
            <w:r w:rsidRPr="00792B36">
              <w:rPr>
                <w:color w:val="000000"/>
                <w:sz w:val="24"/>
                <w:szCs w:val="24"/>
              </w:rPr>
              <w:t>1,310.44</w:t>
            </w:r>
          </w:p>
        </w:tc>
        <w:tc>
          <w:tcPr>
            <w:tcW w:w="900" w:type="dxa"/>
            <w:vAlign w:val="center"/>
          </w:tcPr>
          <w:p w14:paraId="4965B7DE" w14:textId="77777777" w:rsidR="009A0A63" w:rsidRPr="00792B36" w:rsidRDefault="009A0A63" w:rsidP="00A24459">
            <w:pPr>
              <w:contextualSpacing/>
              <w:jc w:val="center"/>
              <w:rPr>
                <w:sz w:val="24"/>
                <w:szCs w:val="24"/>
              </w:rPr>
            </w:pPr>
            <w:r w:rsidRPr="00792B36">
              <w:rPr>
                <w:color w:val="000000"/>
                <w:sz w:val="24"/>
                <w:szCs w:val="24"/>
              </w:rPr>
              <w:t>6,059.72</w:t>
            </w:r>
          </w:p>
        </w:tc>
      </w:tr>
      <w:tr w:rsidR="009A0A63" w:rsidRPr="00792B36" w14:paraId="39DB9D5C" w14:textId="77777777" w:rsidTr="00A24459">
        <w:trPr>
          <w:trHeight w:val="340"/>
        </w:trPr>
        <w:tc>
          <w:tcPr>
            <w:tcW w:w="617" w:type="dxa"/>
            <w:vAlign w:val="center"/>
          </w:tcPr>
          <w:p w14:paraId="1762D57F" w14:textId="77777777" w:rsidR="009A0A63" w:rsidRPr="00792B36" w:rsidRDefault="009A0A63" w:rsidP="00A24459">
            <w:pPr>
              <w:contextualSpacing/>
              <w:jc w:val="center"/>
              <w:rPr>
                <w:sz w:val="24"/>
                <w:szCs w:val="24"/>
              </w:rPr>
            </w:pPr>
            <w:r w:rsidRPr="00792B36">
              <w:rPr>
                <w:b/>
                <w:bCs/>
                <w:color w:val="000000"/>
                <w:sz w:val="24"/>
                <w:szCs w:val="24"/>
              </w:rPr>
              <w:t>2008</w:t>
            </w:r>
          </w:p>
        </w:tc>
        <w:tc>
          <w:tcPr>
            <w:tcW w:w="1177" w:type="dxa"/>
            <w:vAlign w:val="center"/>
          </w:tcPr>
          <w:p w14:paraId="45A514E5" w14:textId="77777777" w:rsidR="009A0A63" w:rsidRPr="00792B36" w:rsidRDefault="009A0A63" w:rsidP="00A24459">
            <w:pPr>
              <w:contextualSpacing/>
              <w:jc w:val="center"/>
              <w:rPr>
                <w:sz w:val="24"/>
                <w:szCs w:val="24"/>
              </w:rPr>
            </w:pPr>
            <w:r w:rsidRPr="00792B36">
              <w:rPr>
                <w:color w:val="000000"/>
                <w:sz w:val="24"/>
                <w:szCs w:val="24"/>
              </w:rPr>
              <w:t>189.97</w:t>
            </w:r>
          </w:p>
        </w:tc>
        <w:tc>
          <w:tcPr>
            <w:tcW w:w="1095" w:type="dxa"/>
            <w:vAlign w:val="center"/>
          </w:tcPr>
          <w:p w14:paraId="691F7206" w14:textId="77777777" w:rsidR="009A0A63" w:rsidRPr="00792B36" w:rsidRDefault="009A0A63" w:rsidP="00A24459">
            <w:pPr>
              <w:contextualSpacing/>
              <w:jc w:val="center"/>
              <w:rPr>
                <w:sz w:val="24"/>
                <w:szCs w:val="24"/>
              </w:rPr>
            </w:pPr>
            <w:r w:rsidRPr="00792B36">
              <w:rPr>
                <w:color w:val="000000"/>
                <w:sz w:val="24"/>
                <w:szCs w:val="24"/>
              </w:rPr>
              <w:t>5,116.18</w:t>
            </w:r>
          </w:p>
        </w:tc>
        <w:tc>
          <w:tcPr>
            <w:tcW w:w="987" w:type="dxa"/>
            <w:vAlign w:val="center"/>
          </w:tcPr>
          <w:p w14:paraId="76665267" w14:textId="77777777" w:rsidR="009A0A63" w:rsidRPr="00792B36" w:rsidRDefault="009A0A63" w:rsidP="00A24459">
            <w:pPr>
              <w:contextualSpacing/>
              <w:jc w:val="center"/>
              <w:rPr>
                <w:sz w:val="24"/>
                <w:szCs w:val="24"/>
              </w:rPr>
            </w:pPr>
            <w:r w:rsidRPr="00792B36">
              <w:rPr>
                <w:color w:val="000000"/>
                <w:sz w:val="24"/>
                <w:szCs w:val="24"/>
              </w:rPr>
              <w:t>2,595.59</w:t>
            </w:r>
          </w:p>
        </w:tc>
        <w:tc>
          <w:tcPr>
            <w:tcW w:w="1080" w:type="dxa"/>
            <w:vAlign w:val="center"/>
          </w:tcPr>
          <w:p w14:paraId="4E742DC8" w14:textId="77777777" w:rsidR="009A0A63" w:rsidRPr="00792B36" w:rsidRDefault="009A0A63" w:rsidP="00A24459">
            <w:pPr>
              <w:contextualSpacing/>
              <w:jc w:val="center"/>
              <w:rPr>
                <w:sz w:val="24"/>
                <w:szCs w:val="24"/>
              </w:rPr>
            </w:pPr>
            <w:r w:rsidRPr="00792B36">
              <w:rPr>
                <w:color w:val="000000"/>
                <w:sz w:val="24"/>
                <w:szCs w:val="24"/>
              </w:rPr>
              <w:t>7,906.80</w:t>
            </w:r>
          </w:p>
        </w:tc>
        <w:tc>
          <w:tcPr>
            <w:tcW w:w="1177" w:type="dxa"/>
            <w:vAlign w:val="center"/>
          </w:tcPr>
          <w:p w14:paraId="5A0D2EF1" w14:textId="77777777" w:rsidR="009A0A63" w:rsidRPr="00792B36" w:rsidRDefault="009A0A63" w:rsidP="00A24459">
            <w:pPr>
              <w:contextualSpacing/>
              <w:jc w:val="center"/>
              <w:rPr>
                <w:sz w:val="24"/>
                <w:szCs w:val="24"/>
              </w:rPr>
            </w:pPr>
            <w:r w:rsidRPr="00792B36">
              <w:rPr>
                <w:color w:val="000000"/>
                <w:sz w:val="24"/>
                <w:szCs w:val="24"/>
              </w:rPr>
              <w:t>376.69</w:t>
            </w:r>
          </w:p>
        </w:tc>
        <w:tc>
          <w:tcPr>
            <w:tcW w:w="1027" w:type="dxa"/>
            <w:vAlign w:val="center"/>
          </w:tcPr>
          <w:p w14:paraId="46CEB2DC" w14:textId="77777777" w:rsidR="009A0A63" w:rsidRPr="00792B36" w:rsidRDefault="009A0A63" w:rsidP="00A24459">
            <w:pPr>
              <w:contextualSpacing/>
              <w:jc w:val="center"/>
              <w:rPr>
                <w:sz w:val="24"/>
                <w:szCs w:val="24"/>
              </w:rPr>
            </w:pPr>
            <w:r w:rsidRPr="00792B36">
              <w:rPr>
                <w:color w:val="000000"/>
                <w:sz w:val="24"/>
                <w:szCs w:val="24"/>
              </w:rPr>
              <w:t>4,600.06</w:t>
            </w:r>
          </w:p>
        </w:tc>
        <w:tc>
          <w:tcPr>
            <w:tcW w:w="957" w:type="dxa"/>
            <w:vAlign w:val="center"/>
          </w:tcPr>
          <w:p w14:paraId="02B07D90" w14:textId="77777777" w:rsidR="009A0A63" w:rsidRPr="00792B36" w:rsidRDefault="009A0A63" w:rsidP="00A24459">
            <w:pPr>
              <w:contextualSpacing/>
              <w:jc w:val="center"/>
              <w:rPr>
                <w:sz w:val="24"/>
                <w:szCs w:val="24"/>
              </w:rPr>
            </w:pPr>
            <w:r w:rsidRPr="00792B36">
              <w:rPr>
                <w:color w:val="000000"/>
                <w:sz w:val="24"/>
                <w:szCs w:val="24"/>
              </w:rPr>
              <w:t>1,351.53</w:t>
            </w:r>
          </w:p>
        </w:tc>
        <w:tc>
          <w:tcPr>
            <w:tcW w:w="900" w:type="dxa"/>
            <w:vAlign w:val="center"/>
          </w:tcPr>
          <w:p w14:paraId="47CDB668" w14:textId="77777777" w:rsidR="009A0A63" w:rsidRPr="00792B36" w:rsidRDefault="009A0A63" w:rsidP="00A24459">
            <w:pPr>
              <w:contextualSpacing/>
              <w:jc w:val="center"/>
              <w:rPr>
                <w:sz w:val="24"/>
                <w:szCs w:val="24"/>
              </w:rPr>
            </w:pPr>
            <w:r w:rsidRPr="00792B36">
              <w:rPr>
                <w:color w:val="000000"/>
                <w:sz w:val="24"/>
                <w:szCs w:val="24"/>
              </w:rPr>
              <w:t>6,319.59</w:t>
            </w:r>
          </w:p>
        </w:tc>
      </w:tr>
      <w:tr w:rsidR="009A0A63" w:rsidRPr="00792B36" w14:paraId="5BBFB58A" w14:textId="77777777" w:rsidTr="00A24459">
        <w:trPr>
          <w:trHeight w:val="340"/>
        </w:trPr>
        <w:tc>
          <w:tcPr>
            <w:tcW w:w="617" w:type="dxa"/>
            <w:vAlign w:val="center"/>
          </w:tcPr>
          <w:p w14:paraId="39309A47" w14:textId="77777777" w:rsidR="009A0A63" w:rsidRPr="00792B36" w:rsidRDefault="009A0A63" w:rsidP="00A24459">
            <w:pPr>
              <w:contextualSpacing/>
              <w:jc w:val="center"/>
              <w:rPr>
                <w:sz w:val="24"/>
                <w:szCs w:val="24"/>
              </w:rPr>
            </w:pPr>
            <w:r w:rsidRPr="00792B36">
              <w:rPr>
                <w:b/>
                <w:bCs/>
                <w:color w:val="000000"/>
                <w:sz w:val="24"/>
                <w:szCs w:val="24"/>
              </w:rPr>
              <w:lastRenderedPageBreak/>
              <w:t>2009</w:t>
            </w:r>
          </w:p>
        </w:tc>
        <w:tc>
          <w:tcPr>
            <w:tcW w:w="1177" w:type="dxa"/>
            <w:vAlign w:val="center"/>
          </w:tcPr>
          <w:p w14:paraId="189B770D" w14:textId="77777777" w:rsidR="009A0A63" w:rsidRPr="00792B36" w:rsidRDefault="009A0A63" w:rsidP="00A24459">
            <w:pPr>
              <w:contextualSpacing/>
              <w:jc w:val="center"/>
              <w:rPr>
                <w:sz w:val="24"/>
                <w:szCs w:val="24"/>
              </w:rPr>
            </w:pPr>
            <w:r w:rsidRPr="00792B36">
              <w:rPr>
                <w:color w:val="000000"/>
                <w:sz w:val="24"/>
                <w:szCs w:val="24"/>
              </w:rPr>
              <w:t>180.60</w:t>
            </w:r>
          </w:p>
        </w:tc>
        <w:tc>
          <w:tcPr>
            <w:tcW w:w="1095" w:type="dxa"/>
            <w:vAlign w:val="center"/>
          </w:tcPr>
          <w:p w14:paraId="1F32FEB9" w14:textId="77777777" w:rsidR="009A0A63" w:rsidRPr="00792B36" w:rsidRDefault="009A0A63" w:rsidP="00A24459">
            <w:pPr>
              <w:contextualSpacing/>
              <w:jc w:val="center"/>
              <w:rPr>
                <w:sz w:val="24"/>
                <w:szCs w:val="24"/>
              </w:rPr>
            </w:pPr>
            <w:r w:rsidRPr="00792B36">
              <w:rPr>
                <w:color w:val="000000"/>
                <w:sz w:val="24"/>
                <w:szCs w:val="24"/>
              </w:rPr>
              <w:t>4,566.40</w:t>
            </w:r>
          </w:p>
        </w:tc>
        <w:tc>
          <w:tcPr>
            <w:tcW w:w="987" w:type="dxa"/>
            <w:vAlign w:val="center"/>
          </w:tcPr>
          <w:p w14:paraId="0262C040" w14:textId="77777777" w:rsidR="009A0A63" w:rsidRPr="00792B36" w:rsidRDefault="009A0A63" w:rsidP="00A24459">
            <w:pPr>
              <w:contextualSpacing/>
              <w:jc w:val="center"/>
              <w:rPr>
                <w:sz w:val="24"/>
                <w:szCs w:val="24"/>
              </w:rPr>
            </w:pPr>
            <w:r w:rsidRPr="00792B36">
              <w:rPr>
                <w:color w:val="000000"/>
                <w:sz w:val="24"/>
                <w:szCs w:val="24"/>
              </w:rPr>
              <w:t>2,360.85</w:t>
            </w:r>
          </w:p>
        </w:tc>
        <w:tc>
          <w:tcPr>
            <w:tcW w:w="1080" w:type="dxa"/>
            <w:vAlign w:val="center"/>
          </w:tcPr>
          <w:p w14:paraId="2175FDD7" w14:textId="77777777" w:rsidR="009A0A63" w:rsidRPr="00792B36" w:rsidRDefault="009A0A63" w:rsidP="00A24459">
            <w:pPr>
              <w:contextualSpacing/>
              <w:jc w:val="center"/>
              <w:rPr>
                <w:sz w:val="24"/>
                <w:szCs w:val="24"/>
              </w:rPr>
            </w:pPr>
            <w:r w:rsidRPr="00792B36">
              <w:rPr>
                <w:color w:val="000000"/>
                <w:sz w:val="24"/>
                <w:szCs w:val="24"/>
              </w:rPr>
              <w:t>7,111.45</w:t>
            </w:r>
          </w:p>
        </w:tc>
        <w:tc>
          <w:tcPr>
            <w:tcW w:w="1177" w:type="dxa"/>
            <w:vAlign w:val="center"/>
          </w:tcPr>
          <w:p w14:paraId="4697E97D" w14:textId="77777777" w:rsidR="009A0A63" w:rsidRPr="00792B36" w:rsidRDefault="009A0A63" w:rsidP="00A24459">
            <w:pPr>
              <w:contextualSpacing/>
              <w:jc w:val="center"/>
              <w:rPr>
                <w:sz w:val="24"/>
                <w:szCs w:val="24"/>
              </w:rPr>
            </w:pPr>
            <w:r w:rsidRPr="00792B36">
              <w:rPr>
                <w:color w:val="000000"/>
                <w:sz w:val="24"/>
                <w:szCs w:val="24"/>
              </w:rPr>
              <w:t>368.25</w:t>
            </w:r>
          </w:p>
        </w:tc>
        <w:tc>
          <w:tcPr>
            <w:tcW w:w="1027" w:type="dxa"/>
            <w:vAlign w:val="center"/>
          </w:tcPr>
          <w:p w14:paraId="4CE53CB9" w14:textId="77777777" w:rsidR="009A0A63" w:rsidRPr="00792B36" w:rsidRDefault="009A0A63" w:rsidP="00A24459">
            <w:pPr>
              <w:contextualSpacing/>
              <w:jc w:val="center"/>
              <w:rPr>
                <w:sz w:val="24"/>
                <w:szCs w:val="24"/>
              </w:rPr>
            </w:pPr>
            <w:r w:rsidRPr="00792B36">
              <w:rPr>
                <w:color w:val="000000"/>
                <w:sz w:val="24"/>
                <w:szCs w:val="24"/>
              </w:rPr>
              <w:t>3,847.45</w:t>
            </w:r>
          </w:p>
        </w:tc>
        <w:tc>
          <w:tcPr>
            <w:tcW w:w="957" w:type="dxa"/>
            <w:vAlign w:val="center"/>
          </w:tcPr>
          <w:p w14:paraId="115756A8" w14:textId="77777777" w:rsidR="009A0A63" w:rsidRPr="00792B36" w:rsidRDefault="009A0A63" w:rsidP="00A24459">
            <w:pPr>
              <w:contextualSpacing/>
              <w:jc w:val="center"/>
              <w:rPr>
                <w:sz w:val="24"/>
                <w:szCs w:val="24"/>
              </w:rPr>
            </w:pPr>
            <w:r w:rsidRPr="00792B36">
              <w:rPr>
                <w:color w:val="000000"/>
                <w:sz w:val="24"/>
                <w:szCs w:val="24"/>
              </w:rPr>
              <w:t>1,286.41</w:t>
            </w:r>
          </w:p>
        </w:tc>
        <w:tc>
          <w:tcPr>
            <w:tcW w:w="900" w:type="dxa"/>
            <w:vAlign w:val="center"/>
          </w:tcPr>
          <w:p w14:paraId="5EA42F84" w14:textId="77777777" w:rsidR="009A0A63" w:rsidRPr="00792B36" w:rsidRDefault="009A0A63" w:rsidP="00A24459">
            <w:pPr>
              <w:contextualSpacing/>
              <w:jc w:val="center"/>
              <w:rPr>
                <w:sz w:val="24"/>
                <w:szCs w:val="24"/>
              </w:rPr>
            </w:pPr>
            <w:r w:rsidRPr="00792B36">
              <w:rPr>
                <w:color w:val="000000"/>
                <w:sz w:val="24"/>
                <w:szCs w:val="24"/>
              </w:rPr>
              <w:t>5,522.48</w:t>
            </w:r>
          </w:p>
        </w:tc>
      </w:tr>
      <w:tr w:rsidR="009A0A63" w:rsidRPr="00792B36" w14:paraId="746A9D28" w14:textId="77777777" w:rsidTr="00A24459">
        <w:trPr>
          <w:trHeight w:val="340"/>
        </w:trPr>
        <w:tc>
          <w:tcPr>
            <w:tcW w:w="617" w:type="dxa"/>
            <w:vAlign w:val="center"/>
          </w:tcPr>
          <w:p w14:paraId="64A4601F" w14:textId="77777777" w:rsidR="009A0A63" w:rsidRPr="00792B36" w:rsidRDefault="009A0A63" w:rsidP="00A24459">
            <w:pPr>
              <w:contextualSpacing/>
              <w:jc w:val="center"/>
              <w:rPr>
                <w:sz w:val="24"/>
                <w:szCs w:val="24"/>
              </w:rPr>
            </w:pPr>
            <w:r w:rsidRPr="00792B36">
              <w:rPr>
                <w:b/>
                <w:bCs/>
                <w:color w:val="000000"/>
                <w:sz w:val="24"/>
                <w:szCs w:val="24"/>
              </w:rPr>
              <w:t>2010</w:t>
            </w:r>
          </w:p>
        </w:tc>
        <w:tc>
          <w:tcPr>
            <w:tcW w:w="1177" w:type="dxa"/>
            <w:vAlign w:val="center"/>
          </w:tcPr>
          <w:p w14:paraId="1108822C" w14:textId="77777777" w:rsidR="009A0A63" w:rsidRPr="00792B36" w:rsidRDefault="009A0A63" w:rsidP="00A24459">
            <w:pPr>
              <w:contextualSpacing/>
              <w:jc w:val="center"/>
              <w:rPr>
                <w:sz w:val="24"/>
                <w:szCs w:val="24"/>
              </w:rPr>
            </w:pPr>
            <w:r w:rsidRPr="00792B36">
              <w:rPr>
                <w:color w:val="000000"/>
                <w:sz w:val="24"/>
                <w:szCs w:val="24"/>
              </w:rPr>
              <w:t>174.91</w:t>
            </w:r>
          </w:p>
        </w:tc>
        <w:tc>
          <w:tcPr>
            <w:tcW w:w="1095" w:type="dxa"/>
            <w:vAlign w:val="center"/>
          </w:tcPr>
          <w:p w14:paraId="0E767D99" w14:textId="77777777" w:rsidR="009A0A63" w:rsidRPr="00792B36" w:rsidRDefault="009A0A63" w:rsidP="00A24459">
            <w:pPr>
              <w:contextualSpacing/>
              <w:jc w:val="center"/>
              <w:rPr>
                <w:sz w:val="24"/>
                <w:szCs w:val="24"/>
              </w:rPr>
            </w:pPr>
            <w:r w:rsidRPr="00792B36">
              <w:rPr>
                <w:color w:val="000000"/>
                <w:sz w:val="24"/>
                <w:szCs w:val="24"/>
              </w:rPr>
              <w:t>4,478.28</w:t>
            </w:r>
          </w:p>
        </w:tc>
        <w:tc>
          <w:tcPr>
            <w:tcW w:w="987" w:type="dxa"/>
            <w:vAlign w:val="center"/>
          </w:tcPr>
          <w:p w14:paraId="72BCFF1E" w14:textId="77777777" w:rsidR="009A0A63" w:rsidRPr="00792B36" w:rsidRDefault="009A0A63" w:rsidP="00A24459">
            <w:pPr>
              <w:contextualSpacing/>
              <w:jc w:val="center"/>
              <w:rPr>
                <w:sz w:val="24"/>
                <w:szCs w:val="24"/>
              </w:rPr>
            </w:pPr>
            <w:r w:rsidRPr="00792B36">
              <w:rPr>
                <w:color w:val="000000"/>
                <w:sz w:val="24"/>
                <w:szCs w:val="24"/>
              </w:rPr>
              <w:t>2,544.45</w:t>
            </w:r>
          </w:p>
        </w:tc>
        <w:tc>
          <w:tcPr>
            <w:tcW w:w="1080" w:type="dxa"/>
            <w:vAlign w:val="center"/>
          </w:tcPr>
          <w:p w14:paraId="57940600" w14:textId="77777777" w:rsidR="009A0A63" w:rsidRPr="00792B36" w:rsidRDefault="009A0A63" w:rsidP="00A24459">
            <w:pPr>
              <w:contextualSpacing/>
              <w:jc w:val="center"/>
              <w:rPr>
                <w:sz w:val="24"/>
                <w:szCs w:val="24"/>
              </w:rPr>
            </w:pPr>
            <w:r w:rsidRPr="00792B36">
              <w:rPr>
                <w:color w:val="000000"/>
                <w:sz w:val="24"/>
                <w:szCs w:val="24"/>
              </w:rPr>
              <w:t>7,199.53</w:t>
            </w:r>
          </w:p>
        </w:tc>
        <w:tc>
          <w:tcPr>
            <w:tcW w:w="1177" w:type="dxa"/>
            <w:vAlign w:val="center"/>
          </w:tcPr>
          <w:p w14:paraId="64B7219D" w14:textId="77777777" w:rsidR="009A0A63" w:rsidRPr="00792B36" w:rsidRDefault="009A0A63" w:rsidP="00A24459">
            <w:pPr>
              <w:contextualSpacing/>
              <w:jc w:val="center"/>
              <w:rPr>
                <w:sz w:val="24"/>
                <w:szCs w:val="24"/>
              </w:rPr>
            </w:pPr>
            <w:r w:rsidRPr="00792B36">
              <w:rPr>
                <w:color w:val="000000"/>
                <w:sz w:val="24"/>
                <w:szCs w:val="24"/>
              </w:rPr>
              <w:t>337.18</w:t>
            </w:r>
          </w:p>
        </w:tc>
        <w:tc>
          <w:tcPr>
            <w:tcW w:w="1027" w:type="dxa"/>
            <w:vAlign w:val="center"/>
          </w:tcPr>
          <w:p w14:paraId="6091684A" w14:textId="77777777" w:rsidR="009A0A63" w:rsidRPr="00792B36" w:rsidRDefault="009A0A63" w:rsidP="00A24459">
            <w:pPr>
              <w:contextualSpacing/>
              <w:jc w:val="center"/>
              <w:rPr>
                <w:sz w:val="24"/>
                <w:szCs w:val="24"/>
              </w:rPr>
            </w:pPr>
            <w:r w:rsidRPr="00792B36">
              <w:rPr>
                <w:color w:val="000000"/>
                <w:sz w:val="24"/>
                <w:szCs w:val="24"/>
              </w:rPr>
              <w:t>4,821.69</w:t>
            </w:r>
          </w:p>
        </w:tc>
        <w:tc>
          <w:tcPr>
            <w:tcW w:w="957" w:type="dxa"/>
            <w:vAlign w:val="center"/>
          </w:tcPr>
          <w:p w14:paraId="455ABA12" w14:textId="77777777" w:rsidR="009A0A63" w:rsidRPr="00792B36" w:rsidRDefault="009A0A63" w:rsidP="00A24459">
            <w:pPr>
              <w:contextualSpacing/>
              <w:jc w:val="center"/>
              <w:rPr>
                <w:sz w:val="24"/>
                <w:szCs w:val="24"/>
              </w:rPr>
            </w:pPr>
            <w:r w:rsidRPr="00792B36">
              <w:rPr>
                <w:color w:val="000000"/>
                <w:sz w:val="24"/>
                <w:szCs w:val="24"/>
              </w:rPr>
              <w:t>1,419.37</w:t>
            </w:r>
          </w:p>
        </w:tc>
        <w:tc>
          <w:tcPr>
            <w:tcW w:w="900" w:type="dxa"/>
            <w:vAlign w:val="center"/>
          </w:tcPr>
          <w:p w14:paraId="44A1208D" w14:textId="77777777" w:rsidR="009A0A63" w:rsidRPr="00792B36" w:rsidRDefault="009A0A63" w:rsidP="00A24459">
            <w:pPr>
              <w:contextualSpacing/>
              <w:jc w:val="center"/>
              <w:rPr>
                <w:sz w:val="24"/>
                <w:szCs w:val="24"/>
              </w:rPr>
            </w:pPr>
            <w:r w:rsidRPr="00792B36">
              <w:rPr>
                <w:color w:val="000000"/>
                <w:sz w:val="24"/>
                <w:szCs w:val="24"/>
              </w:rPr>
              <w:t>6,557.52</w:t>
            </w:r>
          </w:p>
        </w:tc>
      </w:tr>
      <w:tr w:rsidR="009A0A63" w:rsidRPr="00792B36" w14:paraId="599376BD" w14:textId="77777777" w:rsidTr="00A24459">
        <w:trPr>
          <w:trHeight w:val="340"/>
        </w:trPr>
        <w:tc>
          <w:tcPr>
            <w:tcW w:w="617" w:type="dxa"/>
            <w:vAlign w:val="center"/>
          </w:tcPr>
          <w:p w14:paraId="391C02DD" w14:textId="77777777" w:rsidR="009A0A63" w:rsidRPr="00792B36" w:rsidRDefault="009A0A63" w:rsidP="00A24459">
            <w:pPr>
              <w:contextualSpacing/>
              <w:jc w:val="center"/>
              <w:rPr>
                <w:sz w:val="24"/>
                <w:szCs w:val="24"/>
              </w:rPr>
            </w:pPr>
            <w:r w:rsidRPr="00792B36">
              <w:rPr>
                <w:b/>
                <w:bCs/>
                <w:color w:val="000000"/>
                <w:sz w:val="24"/>
                <w:szCs w:val="24"/>
              </w:rPr>
              <w:t>2011</w:t>
            </w:r>
          </w:p>
        </w:tc>
        <w:tc>
          <w:tcPr>
            <w:tcW w:w="1177" w:type="dxa"/>
            <w:vAlign w:val="center"/>
          </w:tcPr>
          <w:p w14:paraId="02A6B161" w14:textId="77777777" w:rsidR="009A0A63" w:rsidRPr="00792B36" w:rsidRDefault="009A0A63" w:rsidP="00A24459">
            <w:pPr>
              <w:contextualSpacing/>
              <w:jc w:val="center"/>
              <w:rPr>
                <w:sz w:val="24"/>
                <w:szCs w:val="24"/>
              </w:rPr>
            </w:pPr>
            <w:r w:rsidRPr="00792B36">
              <w:rPr>
                <w:color w:val="000000"/>
                <w:sz w:val="24"/>
                <w:szCs w:val="24"/>
              </w:rPr>
              <w:t>182.92</w:t>
            </w:r>
          </w:p>
        </w:tc>
        <w:tc>
          <w:tcPr>
            <w:tcW w:w="1095" w:type="dxa"/>
            <w:vAlign w:val="center"/>
          </w:tcPr>
          <w:p w14:paraId="4FEF8897" w14:textId="77777777" w:rsidR="009A0A63" w:rsidRPr="00792B36" w:rsidRDefault="009A0A63" w:rsidP="00A24459">
            <w:pPr>
              <w:contextualSpacing/>
              <w:jc w:val="center"/>
              <w:rPr>
                <w:sz w:val="24"/>
                <w:szCs w:val="24"/>
              </w:rPr>
            </w:pPr>
            <w:r w:rsidRPr="00792B36">
              <w:rPr>
                <w:color w:val="000000"/>
                <w:sz w:val="24"/>
                <w:szCs w:val="24"/>
              </w:rPr>
              <w:t>4,380.73</w:t>
            </w:r>
          </w:p>
        </w:tc>
        <w:tc>
          <w:tcPr>
            <w:tcW w:w="987" w:type="dxa"/>
            <w:vAlign w:val="center"/>
          </w:tcPr>
          <w:p w14:paraId="3357E518" w14:textId="77777777" w:rsidR="009A0A63" w:rsidRPr="00792B36" w:rsidRDefault="009A0A63" w:rsidP="00A24459">
            <w:pPr>
              <w:contextualSpacing/>
              <w:jc w:val="center"/>
              <w:rPr>
                <w:sz w:val="24"/>
                <w:szCs w:val="24"/>
              </w:rPr>
            </w:pPr>
            <w:r w:rsidRPr="00792B36">
              <w:rPr>
                <w:color w:val="000000"/>
                <w:sz w:val="24"/>
                <w:szCs w:val="24"/>
              </w:rPr>
              <w:t>2,589.41</w:t>
            </w:r>
          </w:p>
        </w:tc>
        <w:tc>
          <w:tcPr>
            <w:tcW w:w="1080" w:type="dxa"/>
            <w:vAlign w:val="center"/>
          </w:tcPr>
          <w:p w14:paraId="4DFCAB33" w14:textId="77777777" w:rsidR="009A0A63" w:rsidRPr="00792B36" w:rsidRDefault="009A0A63" w:rsidP="00A24459">
            <w:pPr>
              <w:contextualSpacing/>
              <w:jc w:val="center"/>
              <w:rPr>
                <w:sz w:val="24"/>
                <w:szCs w:val="24"/>
              </w:rPr>
            </w:pPr>
            <w:r w:rsidRPr="00792B36">
              <w:rPr>
                <w:color w:val="000000"/>
                <w:sz w:val="24"/>
                <w:szCs w:val="24"/>
              </w:rPr>
              <w:t>7,154.27</w:t>
            </w:r>
          </w:p>
        </w:tc>
        <w:tc>
          <w:tcPr>
            <w:tcW w:w="1177" w:type="dxa"/>
            <w:vAlign w:val="center"/>
          </w:tcPr>
          <w:p w14:paraId="7140A96D" w14:textId="77777777" w:rsidR="009A0A63" w:rsidRPr="00792B36" w:rsidRDefault="009A0A63" w:rsidP="00A24459">
            <w:pPr>
              <w:contextualSpacing/>
              <w:jc w:val="center"/>
              <w:rPr>
                <w:sz w:val="24"/>
                <w:szCs w:val="24"/>
              </w:rPr>
            </w:pPr>
            <w:r w:rsidRPr="00792B36">
              <w:rPr>
                <w:color w:val="000000"/>
                <w:sz w:val="24"/>
                <w:szCs w:val="24"/>
              </w:rPr>
              <w:t>375.02</w:t>
            </w:r>
          </w:p>
        </w:tc>
        <w:tc>
          <w:tcPr>
            <w:tcW w:w="1027" w:type="dxa"/>
            <w:vAlign w:val="center"/>
          </w:tcPr>
          <w:p w14:paraId="58B0BBFF" w14:textId="77777777" w:rsidR="009A0A63" w:rsidRPr="00792B36" w:rsidRDefault="009A0A63" w:rsidP="00A24459">
            <w:pPr>
              <w:contextualSpacing/>
              <w:jc w:val="center"/>
              <w:rPr>
                <w:sz w:val="24"/>
                <w:szCs w:val="24"/>
              </w:rPr>
            </w:pPr>
            <w:r w:rsidRPr="00792B36">
              <w:rPr>
                <w:color w:val="000000"/>
                <w:sz w:val="24"/>
                <w:szCs w:val="24"/>
              </w:rPr>
              <w:t>4,800.28</w:t>
            </w:r>
          </w:p>
        </w:tc>
        <w:tc>
          <w:tcPr>
            <w:tcW w:w="957" w:type="dxa"/>
            <w:vAlign w:val="center"/>
          </w:tcPr>
          <w:p w14:paraId="0F291A27" w14:textId="77777777" w:rsidR="009A0A63" w:rsidRPr="00792B36" w:rsidRDefault="009A0A63" w:rsidP="00A24459">
            <w:pPr>
              <w:contextualSpacing/>
              <w:jc w:val="center"/>
              <w:rPr>
                <w:sz w:val="24"/>
                <w:szCs w:val="24"/>
              </w:rPr>
            </w:pPr>
            <w:r w:rsidRPr="00792B36">
              <w:rPr>
                <w:color w:val="000000"/>
                <w:sz w:val="24"/>
                <w:szCs w:val="24"/>
              </w:rPr>
              <w:t>1,413.20</w:t>
            </w:r>
          </w:p>
        </w:tc>
        <w:tc>
          <w:tcPr>
            <w:tcW w:w="900" w:type="dxa"/>
            <w:vAlign w:val="center"/>
          </w:tcPr>
          <w:p w14:paraId="36DD0EF4" w14:textId="77777777" w:rsidR="009A0A63" w:rsidRPr="00792B36" w:rsidRDefault="009A0A63" w:rsidP="00A24459">
            <w:pPr>
              <w:contextualSpacing/>
              <w:jc w:val="center"/>
              <w:rPr>
                <w:sz w:val="24"/>
                <w:szCs w:val="24"/>
              </w:rPr>
            </w:pPr>
            <w:r w:rsidRPr="00792B36">
              <w:rPr>
                <w:color w:val="000000"/>
                <w:sz w:val="24"/>
                <w:szCs w:val="24"/>
              </w:rPr>
              <w:t>6,579.25</w:t>
            </w:r>
          </w:p>
        </w:tc>
      </w:tr>
      <w:tr w:rsidR="009A0A63" w:rsidRPr="00792B36" w14:paraId="6B0C8B7C" w14:textId="77777777" w:rsidTr="00A24459">
        <w:trPr>
          <w:trHeight w:val="340"/>
        </w:trPr>
        <w:tc>
          <w:tcPr>
            <w:tcW w:w="617" w:type="dxa"/>
            <w:vAlign w:val="center"/>
          </w:tcPr>
          <w:p w14:paraId="093F112C" w14:textId="77777777" w:rsidR="009A0A63" w:rsidRPr="00792B36" w:rsidRDefault="009A0A63" w:rsidP="00A24459">
            <w:pPr>
              <w:contextualSpacing/>
              <w:jc w:val="center"/>
              <w:rPr>
                <w:sz w:val="24"/>
                <w:szCs w:val="24"/>
              </w:rPr>
            </w:pPr>
            <w:r w:rsidRPr="00792B36">
              <w:rPr>
                <w:b/>
                <w:bCs/>
                <w:color w:val="000000"/>
                <w:sz w:val="24"/>
                <w:szCs w:val="24"/>
              </w:rPr>
              <w:t>2012</w:t>
            </w:r>
          </w:p>
        </w:tc>
        <w:tc>
          <w:tcPr>
            <w:tcW w:w="1177" w:type="dxa"/>
            <w:vAlign w:val="center"/>
          </w:tcPr>
          <w:p w14:paraId="538276A9" w14:textId="77777777" w:rsidR="009A0A63" w:rsidRPr="00792B36" w:rsidRDefault="009A0A63" w:rsidP="00A24459">
            <w:pPr>
              <w:contextualSpacing/>
              <w:jc w:val="center"/>
              <w:rPr>
                <w:sz w:val="24"/>
                <w:szCs w:val="24"/>
              </w:rPr>
            </w:pPr>
            <w:r w:rsidRPr="00792B36">
              <w:rPr>
                <w:color w:val="000000"/>
                <w:sz w:val="24"/>
                <w:szCs w:val="24"/>
              </w:rPr>
              <w:t>173.32</w:t>
            </w:r>
          </w:p>
        </w:tc>
        <w:tc>
          <w:tcPr>
            <w:tcW w:w="1095" w:type="dxa"/>
            <w:vAlign w:val="center"/>
          </w:tcPr>
          <w:p w14:paraId="4F0F1BA4" w14:textId="77777777" w:rsidR="009A0A63" w:rsidRPr="00792B36" w:rsidRDefault="009A0A63" w:rsidP="00A24459">
            <w:pPr>
              <w:contextualSpacing/>
              <w:jc w:val="center"/>
              <w:rPr>
                <w:sz w:val="24"/>
                <w:szCs w:val="24"/>
              </w:rPr>
            </w:pPr>
            <w:r w:rsidRPr="00792B36">
              <w:rPr>
                <w:color w:val="000000"/>
                <w:sz w:val="24"/>
                <w:szCs w:val="24"/>
              </w:rPr>
              <w:t>3,840.86</w:t>
            </w:r>
          </w:p>
        </w:tc>
        <w:tc>
          <w:tcPr>
            <w:tcW w:w="987" w:type="dxa"/>
            <w:vAlign w:val="center"/>
          </w:tcPr>
          <w:p w14:paraId="11A45226" w14:textId="77777777" w:rsidR="009A0A63" w:rsidRPr="00792B36" w:rsidRDefault="009A0A63" w:rsidP="00A24459">
            <w:pPr>
              <w:contextualSpacing/>
              <w:jc w:val="center"/>
              <w:rPr>
                <w:sz w:val="24"/>
                <w:szCs w:val="24"/>
              </w:rPr>
            </w:pPr>
            <w:r w:rsidRPr="00792B36">
              <w:rPr>
                <w:color w:val="000000"/>
                <w:sz w:val="24"/>
                <w:szCs w:val="24"/>
              </w:rPr>
              <w:t>2,762.83</w:t>
            </w:r>
          </w:p>
        </w:tc>
        <w:tc>
          <w:tcPr>
            <w:tcW w:w="1080" w:type="dxa"/>
            <w:vAlign w:val="center"/>
          </w:tcPr>
          <w:p w14:paraId="67F04109" w14:textId="77777777" w:rsidR="009A0A63" w:rsidRPr="00792B36" w:rsidRDefault="009A0A63" w:rsidP="00A24459">
            <w:pPr>
              <w:contextualSpacing/>
              <w:jc w:val="center"/>
              <w:rPr>
                <w:sz w:val="24"/>
                <w:szCs w:val="24"/>
              </w:rPr>
            </w:pPr>
            <w:r w:rsidRPr="00792B36">
              <w:rPr>
                <w:color w:val="000000"/>
                <w:sz w:val="24"/>
                <w:szCs w:val="24"/>
              </w:rPr>
              <w:t>6,771.30</w:t>
            </w:r>
          </w:p>
        </w:tc>
        <w:tc>
          <w:tcPr>
            <w:tcW w:w="1177" w:type="dxa"/>
            <w:vAlign w:val="center"/>
          </w:tcPr>
          <w:p w14:paraId="06FBF02F" w14:textId="77777777" w:rsidR="009A0A63" w:rsidRPr="00792B36" w:rsidRDefault="009A0A63" w:rsidP="00A24459">
            <w:pPr>
              <w:contextualSpacing/>
              <w:jc w:val="center"/>
              <w:rPr>
                <w:sz w:val="24"/>
                <w:szCs w:val="24"/>
              </w:rPr>
            </w:pPr>
            <w:r w:rsidRPr="00792B36">
              <w:rPr>
                <w:color w:val="000000"/>
                <w:sz w:val="24"/>
                <w:szCs w:val="24"/>
              </w:rPr>
              <w:t>354.11</w:t>
            </w:r>
          </w:p>
        </w:tc>
        <w:tc>
          <w:tcPr>
            <w:tcW w:w="1027" w:type="dxa"/>
            <w:vAlign w:val="center"/>
          </w:tcPr>
          <w:p w14:paraId="0A39DC7F" w14:textId="77777777" w:rsidR="009A0A63" w:rsidRPr="00792B36" w:rsidRDefault="009A0A63" w:rsidP="00A24459">
            <w:pPr>
              <w:contextualSpacing/>
              <w:jc w:val="center"/>
              <w:rPr>
                <w:sz w:val="24"/>
                <w:szCs w:val="24"/>
              </w:rPr>
            </w:pPr>
            <w:r w:rsidRPr="00792B36">
              <w:rPr>
                <w:color w:val="000000"/>
                <w:sz w:val="24"/>
                <w:szCs w:val="24"/>
              </w:rPr>
              <w:t>6,498.85</w:t>
            </w:r>
          </w:p>
        </w:tc>
        <w:tc>
          <w:tcPr>
            <w:tcW w:w="957" w:type="dxa"/>
            <w:vAlign w:val="center"/>
          </w:tcPr>
          <w:p w14:paraId="68CCA80F" w14:textId="77777777" w:rsidR="009A0A63" w:rsidRPr="00792B36" w:rsidRDefault="009A0A63" w:rsidP="00A24459">
            <w:pPr>
              <w:contextualSpacing/>
              <w:jc w:val="center"/>
              <w:rPr>
                <w:sz w:val="24"/>
                <w:szCs w:val="24"/>
              </w:rPr>
            </w:pPr>
            <w:r w:rsidRPr="00792B36">
              <w:rPr>
                <w:color w:val="000000"/>
                <w:sz w:val="24"/>
                <w:szCs w:val="24"/>
              </w:rPr>
              <w:t>1,652.88</w:t>
            </w:r>
          </w:p>
        </w:tc>
        <w:tc>
          <w:tcPr>
            <w:tcW w:w="900" w:type="dxa"/>
            <w:vAlign w:val="center"/>
          </w:tcPr>
          <w:p w14:paraId="0E5842EF" w14:textId="77777777" w:rsidR="009A0A63" w:rsidRPr="00792B36" w:rsidRDefault="009A0A63" w:rsidP="00A24459">
            <w:pPr>
              <w:contextualSpacing/>
              <w:jc w:val="center"/>
              <w:rPr>
                <w:sz w:val="24"/>
                <w:szCs w:val="24"/>
              </w:rPr>
            </w:pPr>
            <w:r w:rsidRPr="00792B36">
              <w:rPr>
                <w:color w:val="000000"/>
                <w:sz w:val="24"/>
                <w:szCs w:val="24"/>
              </w:rPr>
              <w:t>8,404.85</w:t>
            </w:r>
          </w:p>
        </w:tc>
      </w:tr>
      <w:tr w:rsidR="009A0A63" w:rsidRPr="00792B36" w14:paraId="1CAB6081" w14:textId="77777777" w:rsidTr="00A24459">
        <w:trPr>
          <w:trHeight w:val="340"/>
        </w:trPr>
        <w:tc>
          <w:tcPr>
            <w:tcW w:w="617" w:type="dxa"/>
            <w:vAlign w:val="center"/>
          </w:tcPr>
          <w:p w14:paraId="5B500AE2" w14:textId="77777777" w:rsidR="009A0A63" w:rsidRPr="00792B36" w:rsidRDefault="009A0A63" w:rsidP="00A24459">
            <w:pPr>
              <w:contextualSpacing/>
              <w:jc w:val="center"/>
              <w:rPr>
                <w:sz w:val="24"/>
                <w:szCs w:val="24"/>
              </w:rPr>
            </w:pPr>
            <w:r w:rsidRPr="00792B36">
              <w:rPr>
                <w:b/>
                <w:bCs/>
                <w:color w:val="000000"/>
                <w:sz w:val="24"/>
                <w:szCs w:val="24"/>
              </w:rPr>
              <w:t>2013</w:t>
            </w:r>
          </w:p>
        </w:tc>
        <w:tc>
          <w:tcPr>
            <w:tcW w:w="1177" w:type="dxa"/>
            <w:vAlign w:val="center"/>
          </w:tcPr>
          <w:p w14:paraId="28BE5D17" w14:textId="77777777" w:rsidR="009A0A63" w:rsidRPr="00792B36" w:rsidRDefault="009A0A63" w:rsidP="00A24459">
            <w:pPr>
              <w:contextualSpacing/>
              <w:jc w:val="center"/>
              <w:rPr>
                <w:sz w:val="24"/>
                <w:szCs w:val="24"/>
              </w:rPr>
            </w:pPr>
            <w:r w:rsidRPr="00792B36">
              <w:rPr>
                <w:color w:val="000000"/>
                <w:sz w:val="24"/>
                <w:szCs w:val="24"/>
              </w:rPr>
              <w:t>175.66</w:t>
            </w:r>
          </w:p>
        </w:tc>
        <w:tc>
          <w:tcPr>
            <w:tcW w:w="1095" w:type="dxa"/>
            <w:vAlign w:val="center"/>
          </w:tcPr>
          <w:p w14:paraId="2A05FECB" w14:textId="77777777" w:rsidR="009A0A63" w:rsidRPr="00792B36" w:rsidRDefault="009A0A63" w:rsidP="00A24459">
            <w:pPr>
              <w:contextualSpacing/>
              <w:jc w:val="center"/>
              <w:rPr>
                <w:sz w:val="24"/>
                <w:szCs w:val="24"/>
              </w:rPr>
            </w:pPr>
            <w:r w:rsidRPr="00792B36">
              <w:rPr>
                <w:color w:val="000000"/>
                <w:sz w:val="24"/>
                <w:szCs w:val="24"/>
              </w:rPr>
              <w:t>3,946.12</w:t>
            </w:r>
          </w:p>
        </w:tc>
        <w:tc>
          <w:tcPr>
            <w:tcW w:w="987" w:type="dxa"/>
            <w:vAlign w:val="center"/>
          </w:tcPr>
          <w:p w14:paraId="430C7781" w14:textId="77777777" w:rsidR="009A0A63" w:rsidRPr="00792B36" w:rsidRDefault="009A0A63" w:rsidP="00A24459">
            <w:pPr>
              <w:contextualSpacing/>
              <w:jc w:val="center"/>
              <w:rPr>
                <w:sz w:val="24"/>
                <w:szCs w:val="24"/>
              </w:rPr>
            </w:pPr>
            <w:r w:rsidRPr="00792B36">
              <w:rPr>
                <w:color w:val="000000"/>
                <w:sz w:val="24"/>
                <w:szCs w:val="24"/>
              </w:rPr>
              <w:t>2,880.29</w:t>
            </w:r>
          </w:p>
        </w:tc>
        <w:tc>
          <w:tcPr>
            <w:tcW w:w="1080" w:type="dxa"/>
            <w:vAlign w:val="center"/>
          </w:tcPr>
          <w:p w14:paraId="50516DD3" w14:textId="77777777" w:rsidR="009A0A63" w:rsidRPr="00792B36" w:rsidRDefault="009A0A63" w:rsidP="00A24459">
            <w:pPr>
              <w:contextualSpacing/>
              <w:jc w:val="center"/>
              <w:rPr>
                <w:sz w:val="24"/>
                <w:szCs w:val="24"/>
              </w:rPr>
            </w:pPr>
            <w:r w:rsidRPr="00792B36">
              <w:rPr>
                <w:color w:val="000000"/>
                <w:sz w:val="24"/>
                <w:szCs w:val="24"/>
              </w:rPr>
              <w:t>6,995.42</w:t>
            </w:r>
          </w:p>
        </w:tc>
        <w:tc>
          <w:tcPr>
            <w:tcW w:w="1177" w:type="dxa"/>
            <w:vAlign w:val="center"/>
          </w:tcPr>
          <w:p w14:paraId="5EEF08F3" w14:textId="77777777" w:rsidR="009A0A63" w:rsidRPr="00792B36" w:rsidRDefault="009A0A63" w:rsidP="00A24459">
            <w:pPr>
              <w:contextualSpacing/>
              <w:jc w:val="center"/>
              <w:rPr>
                <w:sz w:val="24"/>
                <w:szCs w:val="24"/>
              </w:rPr>
            </w:pPr>
            <w:r w:rsidRPr="00792B36">
              <w:rPr>
                <w:color w:val="000000"/>
                <w:sz w:val="24"/>
                <w:szCs w:val="24"/>
              </w:rPr>
              <w:t>352.04</w:t>
            </w:r>
          </w:p>
        </w:tc>
        <w:tc>
          <w:tcPr>
            <w:tcW w:w="1027" w:type="dxa"/>
            <w:vAlign w:val="center"/>
          </w:tcPr>
          <w:p w14:paraId="13372F31" w14:textId="77777777" w:rsidR="009A0A63" w:rsidRPr="00792B36" w:rsidRDefault="009A0A63" w:rsidP="00A24459">
            <w:pPr>
              <w:contextualSpacing/>
              <w:jc w:val="center"/>
              <w:rPr>
                <w:sz w:val="24"/>
                <w:szCs w:val="24"/>
              </w:rPr>
            </w:pPr>
            <w:r w:rsidRPr="00792B36">
              <w:rPr>
                <w:color w:val="000000"/>
                <w:sz w:val="24"/>
                <w:szCs w:val="24"/>
              </w:rPr>
              <w:t>5,859.12</w:t>
            </w:r>
          </w:p>
        </w:tc>
        <w:tc>
          <w:tcPr>
            <w:tcW w:w="957" w:type="dxa"/>
            <w:vAlign w:val="center"/>
          </w:tcPr>
          <w:p w14:paraId="471A2745" w14:textId="77777777" w:rsidR="009A0A63" w:rsidRPr="00792B36" w:rsidRDefault="009A0A63" w:rsidP="00A24459">
            <w:pPr>
              <w:contextualSpacing/>
              <w:jc w:val="center"/>
              <w:rPr>
                <w:sz w:val="24"/>
                <w:szCs w:val="24"/>
              </w:rPr>
            </w:pPr>
            <w:r w:rsidRPr="00792B36">
              <w:rPr>
                <w:color w:val="000000"/>
                <w:sz w:val="24"/>
                <w:szCs w:val="24"/>
              </w:rPr>
              <w:t>1,576.08</w:t>
            </w:r>
          </w:p>
        </w:tc>
        <w:tc>
          <w:tcPr>
            <w:tcW w:w="900" w:type="dxa"/>
            <w:vAlign w:val="center"/>
          </w:tcPr>
          <w:p w14:paraId="51614BF2" w14:textId="77777777" w:rsidR="009A0A63" w:rsidRPr="00792B36" w:rsidRDefault="009A0A63" w:rsidP="00A24459">
            <w:pPr>
              <w:contextualSpacing/>
              <w:jc w:val="center"/>
              <w:rPr>
                <w:sz w:val="24"/>
                <w:szCs w:val="24"/>
              </w:rPr>
            </w:pPr>
            <w:r w:rsidRPr="00792B36">
              <w:rPr>
                <w:color w:val="000000"/>
                <w:sz w:val="24"/>
                <w:szCs w:val="24"/>
              </w:rPr>
              <w:t>7,721.19</w:t>
            </w:r>
          </w:p>
        </w:tc>
      </w:tr>
      <w:tr w:rsidR="009A0A63" w:rsidRPr="00792B36" w14:paraId="44A6983A" w14:textId="77777777" w:rsidTr="00A24459">
        <w:trPr>
          <w:trHeight w:val="340"/>
        </w:trPr>
        <w:tc>
          <w:tcPr>
            <w:tcW w:w="617" w:type="dxa"/>
            <w:vAlign w:val="center"/>
          </w:tcPr>
          <w:p w14:paraId="75A1E351" w14:textId="77777777" w:rsidR="009A0A63" w:rsidRPr="00792B36" w:rsidRDefault="009A0A63" w:rsidP="00A24459">
            <w:pPr>
              <w:contextualSpacing/>
              <w:jc w:val="center"/>
              <w:rPr>
                <w:sz w:val="24"/>
                <w:szCs w:val="24"/>
              </w:rPr>
            </w:pPr>
            <w:r w:rsidRPr="00792B36">
              <w:rPr>
                <w:b/>
                <w:bCs/>
                <w:color w:val="000000"/>
                <w:sz w:val="24"/>
                <w:szCs w:val="24"/>
              </w:rPr>
              <w:t>2014</w:t>
            </w:r>
          </w:p>
        </w:tc>
        <w:tc>
          <w:tcPr>
            <w:tcW w:w="1177" w:type="dxa"/>
            <w:vAlign w:val="center"/>
          </w:tcPr>
          <w:p w14:paraId="5E9A8BF1" w14:textId="77777777" w:rsidR="009A0A63" w:rsidRPr="00792B36" w:rsidRDefault="009A0A63" w:rsidP="00A24459">
            <w:pPr>
              <w:contextualSpacing/>
              <w:jc w:val="center"/>
              <w:rPr>
                <w:sz w:val="24"/>
                <w:szCs w:val="24"/>
              </w:rPr>
            </w:pPr>
            <w:r w:rsidRPr="00792B36">
              <w:rPr>
                <w:color w:val="000000"/>
                <w:sz w:val="24"/>
                <w:szCs w:val="24"/>
              </w:rPr>
              <w:t>147.30</w:t>
            </w:r>
          </w:p>
        </w:tc>
        <w:tc>
          <w:tcPr>
            <w:tcW w:w="1095" w:type="dxa"/>
            <w:vAlign w:val="center"/>
          </w:tcPr>
          <w:p w14:paraId="69F77D95" w14:textId="77777777" w:rsidR="009A0A63" w:rsidRPr="00792B36" w:rsidRDefault="009A0A63" w:rsidP="00A24459">
            <w:pPr>
              <w:contextualSpacing/>
              <w:jc w:val="center"/>
              <w:rPr>
                <w:sz w:val="24"/>
                <w:szCs w:val="24"/>
              </w:rPr>
            </w:pPr>
            <w:r w:rsidRPr="00792B36">
              <w:rPr>
                <w:color w:val="000000"/>
                <w:sz w:val="24"/>
                <w:szCs w:val="24"/>
              </w:rPr>
              <w:t>4,000.99</w:t>
            </w:r>
          </w:p>
        </w:tc>
        <w:tc>
          <w:tcPr>
            <w:tcW w:w="987" w:type="dxa"/>
            <w:vAlign w:val="center"/>
          </w:tcPr>
          <w:p w14:paraId="56999F95" w14:textId="77777777" w:rsidR="009A0A63" w:rsidRPr="00792B36" w:rsidRDefault="009A0A63" w:rsidP="00A24459">
            <w:pPr>
              <w:contextualSpacing/>
              <w:jc w:val="center"/>
              <w:rPr>
                <w:sz w:val="24"/>
                <w:szCs w:val="24"/>
              </w:rPr>
            </w:pPr>
            <w:r w:rsidRPr="00792B36">
              <w:rPr>
                <w:color w:val="000000"/>
                <w:sz w:val="24"/>
                <w:szCs w:val="24"/>
              </w:rPr>
              <w:t>2,940.00</w:t>
            </w:r>
          </w:p>
        </w:tc>
        <w:tc>
          <w:tcPr>
            <w:tcW w:w="1080" w:type="dxa"/>
            <w:vAlign w:val="center"/>
          </w:tcPr>
          <w:p w14:paraId="5E8C0AE4" w14:textId="77777777" w:rsidR="009A0A63" w:rsidRPr="00792B36" w:rsidRDefault="009A0A63" w:rsidP="00A24459">
            <w:pPr>
              <w:contextualSpacing/>
              <w:jc w:val="center"/>
              <w:rPr>
                <w:sz w:val="24"/>
                <w:szCs w:val="24"/>
              </w:rPr>
            </w:pPr>
            <w:r w:rsidRPr="00792B36">
              <w:rPr>
                <w:color w:val="000000"/>
                <w:sz w:val="24"/>
                <w:szCs w:val="24"/>
              </w:rPr>
              <w:t>7,078.52</w:t>
            </w:r>
          </w:p>
        </w:tc>
        <w:tc>
          <w:tcPr>
            <w:tcW w:w="1177" w:type="dxa"/>
            <w:vAlign w:val="center"/>
          </w:tcPr>
          <w:p w14:paraId="3D8ABF05" w14:textId="77777777" w:rsidR="009A0A63" w:rsidRPr="00792B36" w:rsidRDefault="009A0A63" w:rsidP="00A24459">
            <w:pPr>
              <w:contextualSpacing/>
              <w:jc w:val="center"/>
              <w:rPr>
                <w:sz w:val="24"/>
                <w:szCs w:val="24"/>
              </w:rPr>
            </w:pPr>
            <w:r w:rsidRPr="00792B36">
              <w:rPr>
                <w:color w:val="000000"/>
                <w:sz w:val="24"/>
                <w:szCs w:val="24"/>
              </w:rPr>
              <w:t>344.60</w:t>
            </w:r>
          </w:p>
        </w:tc>
        <w:tc>
          <w:tcPr>
            <w:tcW w:w="1027" w:type="dxa"/>
            <w:vAlign w:val="center"/>
          </w:tcPr>
          <w:p w14:paraId="0ECEF5C4" w14:textId="77777777" w:rsidR="009A0A63" w:rsidRPr="00792B36" w:rsidRDefault="009A0A63" w:rsidP="00A24459">
            <w:pPr>
              <w:contextualSpacing/>
              <w:jc w:val="center"/>
              <w:rPr>
                <w:sz w:val="24"/>
                <w:szCs w:val="24"/>
              </w:rPr>
            </w:pPr>
            <w:r w:rsidRPr="00792B36">
              <w:rPr>
                <w:color w:val="000000"/>
                <w:sz w:val="24"/>
                <w:szCs w:val="24"/>
              </w:rPr>
              <w:t>5,710.14</w:t>
            </w:r>
          </w:p>
        </w:tc>
        <w:tc>
          <w:tcPr>
            <w:tcW w:w="957" w:type="dxa"/>
            <w:vAlign w:val="center"/>
          </w:tcPr>
          <w:p w14:paraId="34B7169A" w14:textId="77777777" w:rsidR="009A0A63" w:rsidRPr="00792B36" w:rsidRDefault="009A0A63" w:rsidP="00A24459">
            <w:pPr>
              <w:contextualSpacing/>
              <w:jc w:val="center"/>
              <w:rPr>
                <w:sz w:val="24"/>
                <w:szCs w:val="24"/>
              </w:rPr>
            </w:pPr>
            <w:r w:rsidRPr="00792B36">
              <w:rPr>
                <w:color w:val="000000"/>
                <w:sz w:val="24"/>
                <w:szCs w:val="24"/>
              </w:rPr>
              <w:t>1,519.53</w:t>
            </w:r>
          </w:p>
        </w:tc>
        <w:tc>
          <w:tcPr>
            <w:tcW w:w="900" w:type="dxa"/>
            <w:vAlign w:val="center"/>
          </w:tcPr>
          <w:p w14:paraId="6EEAE6D6" w14:textId="77777777" w:rsidR="009A0A63" w:rsidRPr="00792B36" w:rsidRDefault="009A0A63" w:rsidP="00A24459">
            <w:pPr>
              <w:contextualSpacing/>
              <w:jc w:val="center"/>
              <w:rPr>
                <w:sz w:val="24"/>
                <w:szCs w:val="24"/>
              </w:rPr>
            </w:pPr>
            <w:r w:rsidRPr="00792B36">
              <w:rPr>
                <w:color w:val="000000"/>
                <w:sz w:val="24"/>
                <w:szCs w:val="24"/>
              </w:rPr>
              <w:t>7,508.56</w:t>
            </w:r>
          </w:p>
        </w:tc>
      </w:tr>
      <w:tr w:rsidR="009A0A63" w:rsidRPr="00792B36" w14:paraId="59EC6B7C" w14:textId="77777777" w:rsidTr="00A24459">
        <w:trPr>
          <w:trHeight w:val="340"/>
        </w:trPr>
        <w:tc>
          <w:tcPr>
            <w:tcW w:w="617" w:type="dxa"/>
            <w:vAlign w:val="center"/>
          </w:tcPr>
          <w:p w14:paraId="462AC5E8" w14:textId="77777777" w:rsidR="009A0A63" w:rsidRPr="00792B36" w:rsidRDefault="009A0A63" w:rsidP="00A24459">
            <w:pPr>
              <w:contextualSpacing/>
              <w:jc w:val="center"/>
              <w:rPr>
                <w:sz w:val="24"/>
                <w:szCs w:val="24"/>
              </w:rPr>
            </w:pPr>
            <w:r w:rsidRPr="00792B36">
              <w:rPr>
                <w:b/>
                <w:bCs/>
                <w:color w:val="000000"/>
                <w:sz w:val="24"/>
                <w:szCs w:val="24"/>
              </w:rPr>
              <w:t>2015</w:t>
            </w:r>
          </w:p>
        </w:tc>
        <w:tc>
          <w:tcPr>
            <w:tcW w:w="1177" w:type="dxa"/>
            <w:vAlign w:val="center"/>
          </w:tcPr>
          <w:p w14:paraId="71F73124" w14:textId="77777777" w:rsidR="009A0A63" w:rsidRPr="00792B36" w:rsidRDefault="009A0A63" w:rsidP="00A24459">
            <w:pPr>
              <w:contextualSpacing/>
              <w:jc w:val="center"/>
              <w:rPr>
                <w:sz w:val="24"/>
                <w:szCs w:val="24"/>
              </w:rPr>
            </w:pPr>
            <w:r w:rsidRPr="00792B36">
              <w:rPr>
                <w:color w:val="000000"/>
                <w:sz w:val="24"/>
                <w:szCs w:val="24"/>
              </w:rPr>
              <w:t>139.12</w:t>
            </w:r>
          </w:p>
        </w:tc>
        <w:tc>
          <w:tcPr>
            <w:tcW w:w="1095" w:type="dxa"/>
            <w:vAlign w:val="center"/>
          </w:tcPr>
          <w:p w14:paraId="33252671" w14:textId="77777777" w:rsidR="009A0A63" w:rsidRPr="00792B36" w:rsidRDefault="009A0A63" w:rsidP="00A24459">
            <w:pPr>
              <w:contextualSpacing/>
              <w:jc w:val="center"/>
              <w:rPr>
                <w:sz w:val="24"/>
                <w:szCs w:val="24"/>
              </w:rPr>
            </w:pPr>
            <w:r w:rsidRPr="00792B36">
              <w:rPr>
                <w:color w:val="000000"/>
                <w:sz w:val="24"/>
                <w:szCs w:val="24"/>
              </w:rPr>
              <w:t>4,097.18</w:t>
            </w:r>
          </w:p>
        </w:tc>
        <w:tc>
          <w:tcPr>
            <w:tcW w:w="987" w:type="dxa"/>
            <w:vAlign w:val="center"/>
          </w:tcPr>
          <w:p w14:paraId="33409A56" w14:textId="77777777" w:rsidR="009A0A63" w:rsidRPr="00792B36" w:rsidRDefault="009A0A63" w:rsidP="00A24459">
            <w:pPr>
              <w:contextualSpacing/>
              <w:jc w:val="center"/>
              <w:rPr>
                <w:sz w:val="24"/>
                <w:szCs w:val="24"/>
              </w:rPr>
            </w:pPr>
            <w:r w:rsidRPr="00792B36">
              <w:rPr>
                <w:color w:val="000000"/>
                <w:sz w:val="24"/>
                <w:szCs w:val="24"/>
              </w:rPr>
              <w:t>3,039.41</w:t>
            </w:r>
          </w:p>
        </w:tc>
        <w:tc>
          <w:tcPr>
            <w:tcW w:w="1080" w:type="dxa"/>
            <w:vAlign w:val="center"/>
          </w:tcPr>
          <w:p w14:paraId="506DB48D" w14:textId="77777777" w:rsidR="009A0A63" w:rsidRPr="00792B36" w:rsidRDefault="009A0A63" w:rsidP="00A24459">
            <w:pPr>
              <w:contextualSpacing/>
              <w:jc w:val="center"/>
              <w:rPr>
                <w:sz w:val="24"/>
                <w:szCs w:val="24"/>
              </w:rPr>
            </w:pPr>
            <w:r w:rsidRPr="00792B36">
              <w:rPr>
                <w:color w:val="000000"/>
                <w:sz w:val="24"/>
                <w:szCs w:val="24"/>
              </w:rPr>
              <w:t>7,263.52</w:t>
            </w:r>
          </w:p>
        </w:tc>
        <w:tc>
          <w:tcPr>
            <w:tcW w:w="1177" w:type="dxa"/>
            <w:vAlign w:val="center"/>
          </w:tcPr>
          <w:p w14:paraId="1BB460DD" w14:textId="77777777" w:rsidR="009A0A63" w:rsidRPr="00792B36" w:rsidRDefault="009A0A63" w:rsidP="00A24459">
            <w:pPr>
              <w:contextualSpacing/>
              <w:jc w:val="center"/>
              <w:rPr>
                <w:sz w:val="24"/>
                <w:szCs w:val="24"/>
              </w:rPr>
            </w:pPr>
            <w:r w:rsidRPr="00792B36">
              <w:rPr>
                <w:color w:val="000000"/>
                <w:sz w:val="24"/>
                <w:szCs w:val="24"/>
              </w:rPr>
              <w:t>325.15</w:t>
            </w:r>
          </w:p>
        </w:tc>
        <w:tc>
          <w:tcPr>
            <w:tcW w:w="1027" w:type="dxa"/>
            <w:vAlign w:val="center"/>
          </w:tcPr>
          <w:p w14:paraId="71F4B761" w14:textId="77777777" w:rsidR="009A0A63" w:rsidRPr="00792B36" w:rsidRDefault="009A0A63" w:rsidP="00A24459">
            <w:pPr>
              <w:contextualSpacing/>
              <w:jc w:val="center"/>
              <w:rPr>
                <w:sz w:val="24"/>
                <w:szCs w:val="24"/>
              </w:rPr>
            </w:pPr>
            <w:r w:rsidRPr="00792B36">
              <w:rPr>
                <w:color w:val="000000"/>
                <w:sz w:val="24"/>
                <w:szCs w:val="24"/>
              </w:rPr>
              <w:t>5,366.81</w:t>
            </w:r>
          </w:p>
        </w:tc>
        <w:tc>
          <w:tcPr>
            <w:tcW w:w="957" w:type="dxa"/>
            <w:vAlign w:val="center"/>
          </w:tcPr>
          <w:p w14:paraId="542BEDD0" w14:textId="77777777" w:rsidR="009A0A63" w:rsidRPr="00792B36" w:rsidRDefault="009A0A63" w:rsidP="00A24459">
            <w:pPr>
              <w:contextualSpacing/>
              <w:jc w:val="center"/>
              <w:rPr>
                <w:sz w:val="24"/>
                <w:szCs w:val="24"/>
              </w:rPr>
            </w:pPr>
            <w:r w:rsidRPr="00792B36">
              <w:rPr>
                <w:color w:val="000000"/>
                <w:sz w:val="24"/>
                <w:szCs w:val="24"/>
              </w:rPr>
              <w:t>1,534.03</w:t>
            </w:r>
          </w:p>
        </w:tc>
        <w:tc>
          <w:tcPr>
            <w:tcW w:w="900" w:type="dxa"/>
            <w:vAlign w:val="center"/>
          </w:tcPr>
          <w:p w14:paraId="344F1BDB" w14:textId="77777777" w:rsidR="009A0A63" w:rsidRPr="00792B36" w:rsidRDefault="009A0A63" w:rsidP="00A24459">
            <w:pPr>
              <w:contextualSpacing/>
              <w:jc w:val="center"/>
              <w:rPr>
                <w:sz w:val="24"/>
                <w:szCs w:val="24"/>
              </w:rPr>
            </w:pPr>
            <w:r w:rsidRPr="00792B36">
              <w:rPr>
                <w:color w:val="000000"/>
                <w:sz w:val="24"/>
                <w:szCs w:val="24"/>
              </w:rPr>
              <w:t>7,179.97</w:t>
            </w:r>
          </w:p>
        </w:tc>
      </w:tr>
      <w:tr w:rsidR="009A0A63" w:rsidRPr="00792B36" w14:paraId="54762086" w14:textId="77777777" w:rsidTr="00A24459">
        <w:trPr>
          <w:trHeight w:val="340"/>
        </w:trPr>
        <w:tc>
          <w:tcPr>
            <w:tcW w:w="617" w:type="dxa"/>
            <w:vAlign w:val="center"/>
          </w:tcPr>
          <w:p w14:paraId="5DE46676" w14:textId="77777777" w:rsidR="009A0A63" w:rsidRPr="00792B36" w:rsidRDefault="009A0A63" w:rsidP="00A24459">
            <w:pPr>
              <w:contextualSpacing/>
              <w:jc w:val="center"/>
              <w:rPr>
                <w:sz w:val="24"/>
                <w:szCs w:val="24"/>
              </w:rPr>
            </w:pPr>
            <w:r w:rsidRPr="00792B36">
              <w:rPr>
                <w:b/>
                <w:bCs/>
                <w:color w:val="000000"/>
                <w:sz w:val="24"/>
                <w:szCs w:val="24"/>
              </w:rPr>
              <w:t>2016</w:t>
            </w:r>
          </w:p>
        </w:tc>
        <w:tc>
          <w:tcPr>
            <w:tcW w:w="1177" w:type="dxa"/>
            <w:vAlign w:val="center"/>
          </w:tcPr>
          <w:p w14:paraId="1E3BA4B8" w14:textId="77777777" w:rsidR="009A0A63" w:rsidRPr="00792B36" w:rsidRDefault="009A0A63" w:rsidP="00A24459">
            <w:pPr>
              <w:contextualSpacing/>
              <w:jc w:val="center"/>
              <w:rPr>
                <w:sz w:val="24"/>
                <w:szCs w:val="24"/>
              </w:rPr>
            </w:pPr>
            <w:r w:rsidRPr="00792B36">
              <w:rPr>
                <w:color w:val="000000"/>
                <w:sz w:val="24"/>
                <w:szCs w:val="24"/>
              </w:rPr>
              <w:t>148.47</w:t>
            </w:r>
          </w:p>
        </w:tc>
        <w:tc>
          <w:tcPr>
            <w:tcW w:w="1095" w:type="dxa"/>
            <w:vAlign w:val="center"/>
          </w:tcPr>
          <w:p w14:paraId="712AF73D" w14:textId="77777777" w:rsidR="009A0A63" w:rsidRPr="00792B36" w:rsidRDefault="009A0A63" w:rsidP="00A24459">
            <w:pPr>
              <w:contextualSpacing/>
              <w:jc w:val="center"/>
              <w:rPr>
                <w:sz w:val="24"/>
                <w:szCs w:val="24"/>
              </w:rPr>
            </w:pPr>
            <w:r w:rsidRPr="00792B36">
              <w:rPr>
                <w:color w:val="000000"/>
                <w:sz w:val="24"/>
                <w:szCs w:val="24"/>
              </w:rPr>
              <w:t>4,176.69</w:t>
            </w:r>
          </w:p>
        </w:tc>
        <w:tc>
          <w:tcPr>
            <w:tcW w:w="987" w:type="dxa"/>
            <w:vAlign w:val="center"/>
          </w:tcPr>
          <w:p w14:paraId="185BDB8B" w14:textId="77777777" w:rsidR="009A0A63" w:rsidRPr="00792B36" w:rsidRDefault="009A0A63" w:rsidP="00A24459">
            <w:pPr>
              <w:contextualSpacing/>
              <w:jc w:val="center"/>
              <w:rPr>
                <w:sz w:val="24"/>
                <w:szCs w:val="24"/>
              </w:rPr>
            </w:pPr>
            <w:r w:rsidRPr="00792B36">
              <w:rPr>
                <w:color w:val="000000"/>
                <w:sz w:val="24"/>
                <w:szCs w:val="24"/>
              </w:rPr>
              <w:t>3,278.13</w:t>
            </w:r>
          </w:p>
        </w:tc>
        <w:tc>
          <w:tcPr>
            <w:tcW w:w="1080" w:type="dxa"/>
            <w:vAlign w:val="center"/>
          </w:tcPr>
          <w:p w14:paraId="17022B0E" w14:textId="77777777" w:rsidR="009A0A63" w:rsidRPr="00792B36" w:rsidRDefault="009A0A63" w:rsidP="00A24459">
            <w:pPr>
              <w:contextualSpacing/>
              <w:jc w:val="center"/>
              <w:rPr>
                <w:sz w:val="24"/>
                <w:szCs w:val="24"/>
              </w:rPr>
            </w:pPr>
            <w:r w:rsidRPr="00792B36">
              <w:rPr>
                <w:color w:val="000000"/>
                <w:sz w:val="24"/>
                <w:szCs w:val="24"/>
              </w:rPr>
              <w:t>7,580.03</w:t>
            </w:r>
          </w:p>
        </w:tc>
        <w:tc>
          <w:tcPr>
            <w:tcW w:w="1177" w:type="dxa"/>
            <w:vAlign w:val="center"/>
          </w:tcPr>
          <w:p w14:paraId="493A7D78" w14:textId="77777777" w:rsidR="009A0A63" w:rsidRPr="00792B36" w:rsidRDefault="009A0A63" w:rsidP="00A24459">
            <w:pPr>
              <w:contextualSpacing/>
              <w:jc w:val="center"/>
              <w:rPr>
                <w:sz w:val="24"/>
                <w:szCs w:val="24"/>
              </w:rPr>
            </w:pPr>
            <w:r w:rsidRPr="00792B36">
              <w:rPr>
                <w:color w:val="000000"/>
                <w:sz w:val="24"/>
                <w:szCs w:val="24"/>
              </w:rPr>
              <w:t>313.95</w:t>
            </w:r>
          </w:p>
        </w:tc>
        <w:tc>
          <w:tcPr>
            <w:tcW w:w="1027" w:type="dxa"/>
            <w:vAlign w:val="center"/>
          </w:tcPr>
          <w:p w14:paraId="63EC4613" w14:textId="77777777" w:rsidR="009A0A63" w:rsidRPr="00792B36" w:rsidRDefault="009A0A63" w:rsidP="00A24459">
            <w:pPr>
              <w:contextualSpacing/>
              <w:jc w:val="center"/>
              <w:rPr>
                <w:sz w:val="24"/>
                <w:szCs w:val="24"/>
              </w:rPr>
            </w:pPr>
            <w:r w:rsidRPr="00792B36">
              <w:rPr>
                <w:color w:val="000000"/>
                <w:sz w:val="24"/>
                <w:szCs w:val="24"/>
              </w:rPr>
              <w:t>5,714.92</w:t>
            </w:r>
          </w:p>
        </w:tc>
        <w:tc>
          <w:tcPr>
            <w:tcW w:w="957" w:type="dxa"/>
            <w:vAlign w:val="center"/>
          </w:tcPr>
          <w:p w14:paraId="7A492CCD" w14:textId="77777777" w:rsidR="009A0A63" w:rsidRPr="00792B36" w:rsidRDefault="009A0A63" w:rsidP="00A24459">
            <w:pPr>
              <w:contextualSpacing/>
              <w:jc w:val="center"/>
              <w:rPr>
                <w:sz w:val="24"/>
                <w:szCs w:val="24"/>
              </w:rPr>
            </w:pPr>
            <w:r w:rsidRPr="00792B36">
              <w:rPr>
                <w:color w:val="000000"/>
                <w:sz w:val="24"/>
                <w:szCs w:val="24"/>
              </w:rPr>
              <w:t>1,528.21</w:t>
            </w:r>
          </w:p>
        </w:tc>
        <w:tc>
          <w:tcPr>
            <w:tcW w:w="900" w:type="dxa"/>
            <w:vAlign w:val="center"/>
          </w:tcPr>
          <w:p w14:paraId="6448B5DF" w14:textId="77777777" w:rsidR="009A0A63" w:rsidRPr="00792B36" w:rsidRDefault="009A0A63" w:rsidP="00A24459">
            <w:pPr>
              <w:contextualSpacing/>
              <w:jc w:val="center"/>
              <w:rPr>
                <w:sz w:val="24"/>
                <w:szCs w:val="24"/>
              </w:rPr>
            </w:pPr>
            <w:r w:rsidRPr="00792B36">
              <w:rPr>
                <w:color w:val="000000"/>
                <w:sz w:val="24"/>
                <w:szCs w:val="24"/>
              </w:rPr>
              <w:t>7,482.07</w:t>
            </w:r>
          </w:p>
        </w:tc>
      </w:tr>
      <w:tr w:rsidR="009A0A63" w:rsidRPr="00792B36" w14:paraId="5B744562" w14:textId="77777777" w:rsidTr="00A24459">
        <w:trPr>
          <w:trHeight w:val="340"/>
        </w:trPr>
        <w:tc>
          <w:tcPr>
            <w:tcW w:w="617" w:type="dxa"/>
            <w:vAlign w:val="center"/>
          </w:tcPr>
          <w:p w14:paraId="52CA9FD4" w14:textId="77777777" w:rsidR="009A0A63" w:rsidRPr="00792B36" w:rsidRDefault="009A0A63" w:rsidP="00A24459">
            <w:pPr>
              <w:contextualSpacing/>
              <w:jc w:val="center"/>
              <w:rPr>
                <w:sz w:val="24"/>
                <w:szCs w:val="24"/>
              </w:rPr>
            </w:pPr>
            <w:r w:rsidRPr="00792B36">
              <w:rPr>
                <w:b/>
                <w:bCs/>
                <w:color w:val="000000"/>
                <w:sz w:val="24"/>
                <w:szCs w:val="24"/>
              </w:rPr>
              <w:t>2017</w:t>
            </w:r>
          </w:p>
        </w:tc>
        <w:tc>
          <w:tcPr>
            <w:tcW w:w="1177" w:type="dxa"/>
            <w:vAlign w:val="center"/>
          </w:tcPr>
          <w:p w14:paraId="4262581D" w14:textId="77777777" w:rsidR="009A0A63" w:rsidRPr="00792B36" w:rsidRDefault="009A0A63" w:rsidP="00A24459">
            <w:pPr>
              <w:contextualSpacing/>
              <w:jc w:val="center"/>
              <w:rPr>
                <w:sz w:val="24"/>
                <w:szCs w:val="24"/>
              </w:rPr>
            </w:pPr>
            <w:r w:rsidRPr="00792B36">
              <w:rPr>
                <w:color w:val="000000"/>
                <w:sz w:val="24"/>
                <w:szCs w:val="24"/>
              </w:rPr>
              <w:t>163.65</w:t>
            </w:r>
          </w:p>
        </w:tc>
        <w:tc>
          <w:tcPr>
            <w:tcW w:w="1095" w:type="dxa"/>
            <w:vAlign w:val="center"/>
          </w:tcPr>
          <w:p w14:paraId="51DB310B" w14:textId="77777777" w:rsidR="009A0A63" w:rsidRPr="00792B36" w:rsidRDefault="009A0A63" w:rsidP="00A24459">
            <w:pPr>
              <w:contextualSpacing/>
              <w:jc w:val="center"/>
              <w:rPr>
                <w:sz w:val="24"/>
                <w:szCs w:val="24"/>
              </w:rPr>
            </w:pPr>
            <w:r w:rsidRPr="00792B36">
              <w:rPr>
                <w:color w:val="000000"/>
                <w:sz w:val="24"/>
                <w:szCs w:val="24"/>
              </w:rPr>
              <w:t>4,065.96</w:t>
            </w:r>
          </w:p>
        </w:tc>
        <w:tc>
          <w:tcPr>
            <w:tcW w:w="987" w:type="dxa"/>
            <w:vAlign w:val="center"/>
          </w:tcPr>
          <w:p w14:paraId="60F54B09" w14:textId="77777777" w:rsidR="009A0A63" w:rsidRPr="00792B36" w:rsidRDefault="009A0A63" w:rsidP="00A24459">
            <w:pPr>
              <w:contextualSpacing/>
              <w:jc w:val="center"/>
              <w:rPr>
                <w:sz w:val="24"/>
                <w:szCs w:val="24"/>
              </w:rPr>
            </w:pPr>
            <w:r w:rsidRPr="00792B36">
              <w:rPr>
                <w:color w:val="000000"/>
                <w:sz w:val="24"/>
                <w:szCs w:val="24"/>
              </w:rPr>
              <w:t>3,353.10</w:t>
            </w:r>
          </w:p>
        </w:tc>
        <w:tc>
          <w:tcPr>
            <w:tcW w:w="1080" w:type="dxa"/>
            <w:vAlign w:val="center"/>
          </w:tcPr>
          <w:p w14:paraId="3D4C8285" w14:textId="77777777" w:rsidR="009A0A63" w:rsidRPr="00792B36" w:rsidRDefault="009A0A63" w:rsidP="00A24459">
            <w:pPr>
              <w:contextualSpacing/>
              <w:jc w:val="center"/>
              <w:rPr>
                <w:sz w:val="24"/>
                <w:szCs w:val="24"/>
              </w:rPr>
            </w:pPr>
            <w:r w:rsidRPr="00792B36">
              <w:rPr>
                <w:color w:val="000000"/>
                <w:sz w:val="24"/>
                <w:szCs w:val="24"/>
              </w:rPr>
              <w:t>7,545.61</w:t>
            </w:r>
          </w:p>
        </w:tc>
        <w:tc>
          <w:tcPr>
            <w:tcW w:w="1177" w:type="dxa"/>
            <w:vAlign w:val="center"/>
          </w:tcPr>
          <w:p w14:paraId="3B37F186" w14:textId="77777777" w:rsidR="009A0A63" w:rsidRPr="00792B36" w:rsidRDefault="009A0A63" w:rsidP="00A24459">
            <w:pPr>
              <w:contextualSpacing/>
              <w:jc w:val="center"/>
              <w:rPr>
                <w:sz w:val="24"/>
                <w:szCs w:val="24"/>
              </w:rPr>
            </w:pPr>
            <w:r w:rsidRPr="00792B36">
              <w:rPr>
                <w:color w:val="000000"/>
                <w:sz w:val="24"/>
                <w:szCs w:val="24"/>
              </w:rPr>
              <w:t>333.22</w:t>
            </w:r>
          </w:p>
        </w:tc>
        <w:tc>
          <w:tcPr>
            <w:tcW w:w="1027" w:type="dxa"/>
            <w:vAlign w:val="center"/>
          </w:tcPr>
          <w:p w14:paraId="6C3966E9" w14:textId="77777777" w:rsidR="009A0A63" w:rsidRPr="00792B36" w:rsidRDefault="009A0A63" w:rsidP="00A24459">
            <w:pPr>
              <w:contextualSpacing/>
              <w:jc w:val="center"/>
              <w:rPr>
                <w:sz w:val="24"/>
                <w:szCs w:val="24"/>
              </w:rPr>
            </w:pPr>
            <w:r w:rsidRPr="00792B36">
              <w:rPr>
                <w:color w:val="000000"/>
                <w:sz w:val="24"/>
                <w:szCs w:val="24"/>
              </w:rPr>
              <w:t>5,441.91</w:t>
            </w:r>
          </w:p>
        </w:tc>
        <w:tc>
          <w:tcPr>
            <w:tcW w:w="957" w:type="dxa"/>
            <w:vAlign w:val="center"/>
          </w:tcPr>
          <w:p w14:paraId="712DF28D" w14:textId="77777777" w:rsidR="009A0A63" w:rsidRPr="00792B36" w:rsidRDefault="009A0A63" w:rsidP="00A24459">
            <w:pPr>
              <w:contextualSpacing/>
              <w:jc w:val="center"/>
              <w:rPr>
                <w:sz w:val="24"/>
                <w:szCs w:val="24"/>
              </w:rPr>
            </w:pPr>
            <w:r w:rsidRPr="00792B36">
              <w:rPr>
                <w:color w:val="000000"/>
                <w:sz w:val="24"/>
                <w:szCs w:val="24"/>
              </w:rPr>
              <w:t>1,530.83</w:t>
            </w:r>
          </w:p>
        </w:tc>
        <w:tc>
          <w:tcPr>
            <w:tcW w:w="900" w:type="dxa"/>
            <w:vAlign w:val="center"/>
          </w:tcPr>
          <w:p w14:paraId="0ABEF972" w14:textId="77777777" w:rsidR="009A0A63" w:rsidRPr="00792B36" w:rsidRDefault="009A0A63" w:rsidP="00A24459">
            <w:pPr>
              <w:contextualSpacing/>
              <w:jc w:val="center"/>
              <w:rPr>
                <w:sz w:val="24"/>
                <w:szCs w:val="24"/>
              </w:rPr>
            </w:pPr>
            <w:r w:rsidRPr="00792B36">
              <w:rPr>
                <w:color w:val="000000"/>
                <w:sz w:val="24"/>
                <w:szCs w:val="24"/>
              </w:rPr>
              <w:t>7,258.65</w:t>
            </w:r>
          </w:p>
        </w:tc>
      </w:tr>
      <w:tr w:rsidR="009A0A63" w:rsidRPr="00792B36" w14:paraId="782E6AA2" w14:textId="77777777" w:rsidTr="00A24459">
        <w:trPr>
          <w:trHeight w:val="340"/>
        </w:trPr>
        <w:tc>
          <w:tcPr>
            <w:tcW w:w="617" w:type="dxa"/>
            <w:vAlign w:val="center"/>
          </w:tcPr>
          <w:p w14:paraId="16969892" w14:textId="77777777" w:rsidR="009A0A63" w:rsidRPr="00792B36" w:rsidRDefault="009A0A63" w:rsidP="00A24459">
            <w:pPr>
              <w:contextualSpacing/>
              <w:jc w:val="center"/>
              <w:rPr>
                <w:sz w:val="24"/>
                <w:szCs w:val="24"/>
              </w:rPr>
            </w:pPr>
            <w:r w:rsidRPr="00792B36">
              <w:rPr>
                <w:b/>
                <w:bCs/>
                <w:color w:val="000000"/>
                <w:sz w:val="24"/>
                <w:szCs w:val="24"/>
              </w:rPr>
              <w:t>2018</w:t>
            </w:r>
          </w:p>
        </w:tc>
        <w:tc>
          <w:tcPr>
            <w:tcW w:w="1177" w:type="dxa"/>
            <w:vAlign w:val="center"/>
          </w:tcPr>
          <w:p w14:paraId="2A67D5F5" w14:textId="77777777" w:rsidR="009A0A63" w:rsidRPr="00792B36" w:rsidRDefault="009A0A63" w:rsidP="00A24459">
            <w:pPr>
              <w:contextualSpacing/>
              <w:jc w:val="center"/>
              <w:rPr>
                <w:sz w:val="24"/>
                <w:szCs w:val="24"/>
              </w:rPr>
            </w:pPr>
            <w:r w:rsidRPr="00792B36">
              <w:rPr>
                <w:color w:val="000000"/>
                <w:sz w:val="24"/>
                <w:szCs w:val="24"/>
              </w:rPr>
              <w:t>167.99</w:t>
            </w:r>
          </w:p>
        </w:tc>
        <w:tc>
          <w:tcPr>
            <w:tcW w:w="1095" w:type="dxa"/>
            <w:vAlign w:val="center"/>
          </w:tcPr>
          <w:p w14:paraId="6C87E554" w14:textId="77777777" w:rsidR="009A0A63" w:rsidRPr="00792B36" w:rsidRDefault="009A0A63" w:rsidP="00A24459">
            <w:pPr>
              <w:contextualSpacing/>
              <w:jc w:val="center"/>
              <w:rPr>
                <w:sz w:val="24"/>
                <w:szCs w:val="24"/>
              </w:rPr>
            </w:pPr>
            <w:r w:rsidRPr="00792B36">
              <w:rPr>
                <w:color w:val="000000"/>
                <w:sz w:val="24"/>
                <w:szCs w:val="24"/>
              </w:rPr>
              <w:t>3,938.12</w:t>
            </w:r>
          </w:p>
        </w:tc>
        <w:tc>
          <w:tcPr>
            <w:tcW w:w="987" w:type="dxa"/>
            <w:vAlign w:val="center"/>
          </w:tcPr>
          <w:p w14:paraId="3475B2BD" w14:textId="77777777" w:rsidR="009A0A63" w:rsidRPr="00792B36" w:rsidRDefault="009A0A63" w:rsidP="00A24459">
            <w:pPr>
              <w:contextualSpacing/>
              <w:jc w:val="center"/>
              <w:rPr>
                <w:sz w:val="24"/>
                <w:szCs w:val="24"/>
              </w:rPr>
            </w:pPr>
            <w:r w:rsidRPr="00792B36">
              <w:rPr>
                <w:color w:val="000000"/>
                <w:sz w:val="24"/>
                <w:szCs w:val="24"/>
              </w:rPr>
              <w:t>3,501.62</w:t>
            </w:r>
          </w:p>
        </w:tc>
        <w:tc>
          <w:tcPr>
            <w:tcW w:w="1080" w:type="dxa"/>
            <w:vAlign w:val="center"/>
          </w:tcPr>
          <w:p w14:paraId="2256D3CE" w14:textId="77777777" w:rsidR="009A0A63" w:rsidRPr="00792B36" w:rsidRDefault="009A0A63" w:rsidP="00A24459">
            <w:pPr>
              <w:contextualSpacing/>
              <w:jc w:val="center"/>
              <w:rPr>
                <w:sz w:val="24"/>
                <w:szCs w:val="24"/>
              </w:rPr>
            </w:pPr>
            <w:r w:rsidRPr="00792B36">
              <w:rPr>
                <w:color w:val="000000"/>
                <w:sz w:val="24"/>
                <w:szCs w:val="24"/>
              </w:rPr>
              <w:t>7,547.45</w:t>
            </w:r>
          </w:p>
        </w:tc>
        <w:tc>
          <w:tcPr>
            <w:tcW w:w="1177" w:type="dxa"/>
            <w:vAlign w:val="center"/>
          </w:tcPr>
          <w:p w14:paraId="780842D3" w14:textId="77777777" w:rsidR="009A0A63" w:rsidRPr="00792B36" w:rsidRDefault="009A0A63" w:rsidP="00A24459">
            <w:pPr>
              <w:contextualSpacing/>
              <w:jc w:val="center"/>
              <w:rPr>
                <w:sz w:val="24"/>
                <w:szCs w:val="24"/>
              </w:rPr>
            </w:pPr>
            <w:r w:rsidRPr="00792B36">
              <w:rPr>
                <w:color w:val="000000"/>
                <w:sz w:val="24"/>
                <w:szCs w:val="24"/>
              </w:rPr>
              <w:t>329.43</w:t>
            </w:r>
          </w:p>
        </w:tc>
        <w:tc>
          <w:tcPr>
            <w:tcW w:w="1027" w:type="dxa"/>
            <w:vAlign w:val="center"/>
          </w:tcPr>
          <w:p w14:paraId="6FF8934F" w14:textId="77777777" w:rsidR="009A0A63" w:rsidRPr="00792B36" w:rsidRDefault="009A0A63" w:rsidP="00A24459">
            <w:pPr>
              <w:contextualSpacing/>
              <w:jc w:val="center"/>
              <w:rPr>
                <w:sz w:val="24"/>
                <w:szCs w:val="24"/>
              </w:rPr>
            </w:pPr>
            <w:r w:rsidRPr="00792B36">
              <w:rPr>
                <w:color w:val="000000"/>
                <w:sz w:val="24"/>
                <w:szCs w:val="24"/>
              </w:rPr>
              <w:t>6,091.84</w:t>
            </w:r>
          </w:p>
        </w:tc>
        <w:tc>
          <w:tcPr>
            <w:tcW w:w="957" w:type="dxa"/>
            <w:vAlign w:val="center"/>
          </w:tcPr>
          <w:p w14:paraId="2E3824E0" w14:textId="77777777" w:rsidR="009A0A63" w:rsidRPr="00792B36" w:rsidRDefault="009A0A63" w:rsidP="00A24459">
            <w:pPr>
              <w:contextualSpacing/>
              <w:jc w:val="center"/>
              <w:rPr>
                <w:sz w:val="24"/>
                <w:szCs w:val="24"/>
              </w:rPr>
            </w:pPr>
            <w:r w:rsidRPr="00792B36">
              <w:rPr>
                <w:color w:val="000000"/>
                <w:sz w:val="24"/>
                <w:szCs w:val="24"/>
              </w:rPr>
              <w:t>1,627.28</w:t>
            </w:r>
          </w:p>
        </w:tc>
        <w:tc>
          <w:tcPr>
            <w:tcW w:w="900" w:type="dxa"/>
            <w:vAlign w:val="center"/>
          </w:tcPr>
          <w:p w14:paraId="3AEB83DC" w14:textId="77777777" w:rsidR="009A0A63" w:rsidRPr="00792B36" w:rsidRDefault="009A0A63" w:rsidP="00A24459">
            <w:pPr>
              <w:contextualSpacing/>
              <w:jc w:val="center"/>
              <w:rPr>
                <w:sz w:val="24"/>
                <w:szCs w:val="24"/>
              </w:rPr>
            </w:pPr>
            <w:r w:rsidRPr="00792B36">
              <w:rPr>
                <w:color w:val="000000"/>
                <w:sz w:val="24"/>
                <w:szCs w:val="24"/>
              </w:rPr>
              <w:t>7,969.54</w:t>
            </w:r>
          </w:p>
        </w:tc>
      </w:tr>
    </w:tbl>
    <w:p w14:paraId="27BDAF48" w14:textId="77777777" w:rsidR="009A0A63" w:rsidRPr="00792B36" w:rsidRDefault="009A0A63" w:rsidP="009A0A63">
      <w:pPr>
        <w:spacing w:line="360" w:lineRule="auto"/>
        <w:rPr>
          <w:sz w:val="24"/>
          <w:szCs w:val="24"/>
        </w:rPr>
      </w:pPr>
    </w:p>
    <w:p w14:paraId="32FA1C52" w14:textId="77777777" w:rsidR="009A0A63" w:rsidRPr="00792B36" w:rsidRDefault="009A0A63" w:rsidP="009A0A63">
      <w:pPr>
        <w:spacing w:line="360" w:lineRule="auto"/>
        <w:contextualSpacing/>
        <w:rPr>
          <w:color w:val="000000" w:themeColor="text1"/>
          <w:sz w:val="24"/>
          <w:szCs w:val="24"/>
        </w:rPr>
      </w:pPr>
      <w:r w:rsidRPr="00792B36">
        <w:rPr>
          <w:b/>
          <w:bCs/>
          <w:sz w:val="24"/>
          <w:szCs w:val="24"/>
        </w:rPr>
        <w:t xml:space="preserve">Annex 2.12 </w:t>
      </w:r>
      <w:r w:rsidRPr="00792B36">
        <w:rPr>
          <w:color w:val="000000" w:themeColor="text1"/>
          <w:sz w:val="24"/>
          <w:szCs w:val="24"/>
        </w:rPr>
        <w:t>Cont.</w:t>
      </w:r>
    </w:p>
    <w:tbl>
      <w:tblPr>
        <w:tblStyle w:val="TableGrid"/>
        <w:tblW w:w="0" w:type="auto"/>
        <w:tblLook w:val="04A0" w:firstRow="1" w:lastRow="0" w:firstColumn="1" w:lastColumn="0" w:noHBand="0" w:noVBand="1"/>
      </w:tblPr>
      <w:tblGrid>
        <w:gridCol w:w="631"/>
        <w:gridCol w:w="1211"/>
        <w:gridCol w:w="1056"/>
        <w:gridCol w:w="984"/>
        <w:gridCol w:w="942"/>
        <w:gridCol w:w="1211"/>
        <w:gridCol w:w="1056"/>
        <w:gridCol w:w="984"/>
        <w:gridCol w:w="942"/>
      </w:tblGrid>
      <w:tr w:rsidR="009A0A63" w:rsidRPr="00792B36" w14:paraId="7A704E84" w14:textId="77777777" w:rsidTr="00A24459">
        <w:trPr>
          <w:trHeight w:val="340"/>
        </w:trPr>
        <w:tc>
          <w:tcPr>
            <w:tcW w:w="617" w:type="dxa"/>
            <w:vMerge w:val="restart"/>
            <w:vAlign w:val="center"/>
          </w:tcPr>
          <w:p w14:paraId="401D5459" w14:textId="77777777" w:rsidR="009A0A63" w:rsidRPr="00792B36" w:rsidRDefault="009A0A63" w:rsidP="00A24459">
            <w:pPr>
              <w:contextualSpacing/>
              <w:jc w:val="center"/>
              <w:rPr>
                <w:b/>
                <w:bCs/>
                <w:sz w:val="24"/>
                <w:szCs w:val="24"/>
              </w:rPr>
            </w:pPr>
            <w:r w:rsidRPr="00792B36">
              <w:rPr>
                <w:b/>
                <w:bCs/>
                <w:color w:val="000000"/>
                <w:sz w:val="24"/>
                <w:szCs w:val="24"/>
              </w:rPr>
              <w:t>Year</w:t>
            </w:r>
          </w:p>
        </w:tc>
        <w:tc>
          <w:tcPr>
            <w:tcW w:w="4339" w:type="dxa"/>
            <w:gridSpan w:val="4"/>
            <w:vAlign w:val="center"/>
          </w:tcPr>
          <w:p w14:paraId="4039BD03" w14:textId="77777777" w:rsidR="009A0A63" w:rsidRPr="00792B36" w:rsidRDefault="009A0A63" w:rsidP="00A24459">
            <w:pPr>
              <w:contextualSpacing/>
              <w:jc w:val="center"/>
              <w:rPr>
                <w:b/>
                <w:bCs/>
                <w:sz w:val="24"/>
                <w:szCs w:val="24"/>
              </w:rPr>
            </w:pPr>
            <w:r w:rsidRPr="00792B36">
              <w:rPr>
                <w:b/>
                <w:bCs/>
                <w:sz w:val="24"/>
                <w:szCs w:val="24"/>
              </w:rPr>
              <w:t>Samut Sakhon</w:t>
            </w:r>
          </w:p>
        </w:tc>
        <w:tc>
          <w:tcPr>
            <w:tcW w:w="4061" w:type="dxa"/>
            <w:gridSpan w:val="4"/>
            <w:vAlign w:val="center"/>
          </w:tcPr>
          <w:p w14:paraId="0214FE66" w14:textId="77777777" w:rsidR="009A0A63" w:rsidRPr="00792B36" w:rsidRDefault="009A0A63" w:rsidP="00A24459">
            <w:pPr>
              <w:contextualSpacing/>
              <w:jc w:val="center"/>
              <w:rPr>
                <w:b/>
                <w:bCs/>
                <w:sz w:val="24"/>
                <w:szCs w:val="24"/>
              </w:rPr>
            </w:pPr>
            <w:r w:rsidRPr="00792B36">
              <w:rPr>
                <w:b/>
                <w:bCs/>
                <w:sz w:val="24"/>
                <w:szCs w:val="24"/>
              </w:rPr>
              <w:t>Samut Songkhram</w:t>
            </w:r>
          </w:p>
        </w:tc>
      </w:tr>
      <w:tr w:rsidR="009A0A63" w:rsidRPr="00792B36" w14:paraId="7BB7FBBC" w14:textId="77777777" w:rsidTr="00A24459">
        <w:trPr>
          <w:trHeight w:val="340"/>
        </w:trPr>
        <w:tc>
          <w:tcPr>
            <w:tcW w:w="617" w:type="dxa"/>
            <w:vMerge/>
            <w:vAlign w:val="center"/>
          </w:tcPr>
          <w:p w14:paraId="41811863" w14:textId="77777777" w:rsidR="009A0A63" w:rsidRPr="00792B36" w:rsidRDefault="009A0A63" w:rsidP="00A24459">
            <w:pPr>
              <w:contextualSpacing/>
              <w:jc w:val="center"/>
              <w:rPr>
                <w:b/>
                <w:bCs/>
                <w:sz w:val="24"/>
                <w:szCs w:val="24"/>
              </w:rPr>
            </w:pPr>
          </w:p>
        </w:tc>
        <w:tc>
          <w:tcPr>
            <w:tcW w:w="1177" w:type="dxa"/>
            <w:vAlign w:val="center"/>
          </w:tcPr>
          <w:p w14:paraId="10917718" w14:textId="77777777" w:rsidR="009A0A63" w:rsidRPr="00792B36" w:rsidRDefault="009A0A63" w:rsidP="00A24459">
            <w:pPr>
              <w:contextualSpacing/>
              <w:jc w:val="center"/>
              <w:rPr>
                <w:b/>
                <w:bCs/>
                <w:sz w:val="24"/>
                <w:szCs w:val="24"/>
              </w:rPr>
            </w:pPr>
            <w:r w:rsidRPr="00792B36">
              <w:rPr>
                <w:b/>
                <w:bCs/>
                <w:color w:val="000000"/>
                <w:sz w:val="24"/>
                <w:szCs w:val="24"/>
              </w:rPr>
              <w:t>Agriculture</w:t>
            </w:r>
          </w:p>
        </w:tc>
        <w:tc>
          <w:tcPr>
            <w:tcW w:w="1095" w:type="dxa"/>
            <w:vAlign w:val="center"/>
          </w:tcPr>
          <w:p w14:paraId="37928120" w14:textId="77777777" w:rsidR="009A0A63" w:rsidRPr="00792B36" w:rsidRDefault="009A0A63" w:rsidP="00A24459">
            <w:pPr>
              <w:contextualSpacing/>
              <w:jc w:val="center"/>
              <w:rPr>
                <w:b/>
                <w:bCs/>
                <w:sz w:val="24"/>
                <w:szCs w:val="24"/>
              </w:rPr>
            </w:pPr>
            <w:r w:rsidRPr="00792B36">
              <w:rPr>
                <w:b/>
                <w:bCs/>
                <w:color w:val="000000"/>
                <w:sz w:val="24"/>
                <w:szCs w:val="24"/>
              </w:rPr>
              <w:t>Industrial</w:t>
            </w:r>
          </w:p>
        </w:tc>
        <w:tc>
          <w:tcPr>
            <w:tcW w:w="987" w:type="dxa"/>
            <w:vAlign w:val="center"/>
          </w:tcPr>
          <w:p w14:paraId="0A708551" w14:textId="77777777" w:rsidR="009A0A63" w:rsidRPr="00792B36" w:rsidRDefault="009A0A63" w:rsidP="00A24459">
            <w:pPr>
              <w:contextualSpacing/>
              <w:jc w:val="center"/>
              <w:rPr>
                <w:b/>
                <w:bCs/>
                <w:sz w:val="24"/>
                <w:szCs w:val="24"/>
              </w:rPr>
            </w:pPr>
            <w:r w:rsidRPr="00792B36">
              <w:rPr>
                <w:b/>
                <w:bCs/>
                <w:color w:val="000000"/>
                <w:sz w:val="24"/>
                <w:szCs w:val="24"/>
              </w:rPr>
              <w:t>Services</w:t>
            </w:r>
          </w:p>
        </w:tc>
        <w:tc>
          <w:tcPr>
            <w:tcW w:w="1080" w:type="dxa"/>
            <w:vAlign w:val="center"/>
          </w:tcPr>
          <w:p w14:paraId="19B71BFE" w14:textId="77777777" w:rsidR="009A0A63" w:rsidRPr="00792B36" w:rsidRDefault="009A0A63" w:rsidP="00A24459">
            <w:pPr>
              <w:contextualSpacing/>
              <w:jc w:val="center"/>
              <w:rPr>
                <w:b/>
                <w:bCs/>
                <w:sz w:val="24"/>
                <w:szCs w:val="24"/>
              </w:rPr>
            </w:pPr>
            <w:r w:rsidRPr="00792B36">
              <w:rPr>
                <w:b/>
                <w:bCs/>
                <w:color w:val="000000"/>
                <w:sz w:val="24"/>
                <w:szCs w:val="24"/>
              </w:rPr>
              <w:t>GPP</w:t>
            </w:r>
          </w:p>
        </w:tc>
        <w:tc>
          <w:tcPr>
            <w:tcW w:w="1177" w:type="dxa"/>
            <w:vAlign w:val="center"/>
          </w:tcPr>
          <w:p w14:paraId="20B98F28" w14:textId="77777777" w:rsidR="009A0A63" w:rsidRPr="00792B36" w:rsidRDefault="009A0A63" w:rsidP="00A24459">
            <w:pPr>
              <w:contextualSpacing/>
              <w:jc w:val="center"/>
              <w:rPr>
                <w:b/>
                <w:bCs/>
                <w:sz w:val="24"/>
                <w:szCs w:val="24"/>
              </w:rPr>
            </w:pPr>
            <w:r w:rsidRPr="00792B36">
              <w:rPr>
                <w:b/>
                <w:bCs/>
                <w:color w:val="000000"/>
                <w:sz w:val="24"/>
                <w:szCs w:val="24"/>
              </w:rPr>
              <w:t>Agriculture</w:t>
            </w:r>
          </w:p>
        </w:tc>
        <w:tc>
          <w:tcPr>
            <w:tcW w:w="1027" w:type="dxa"/>
            <w:vAlign w:val="center"/>
          </w:tcPr>
          <w:p w14:paraId="09B5A7A2" w14:textId="77777777" w:rsidR="009A0A63" w:rsidRPr="00792B36" w:rsidRDefault="009A0A63" w:rsidP="00A24459">
            <w:pPr>
              <w:contextualSpacing/>
              <w:jc w:val="center"/>
              <w:rPr>
                <w:b/>
                <w:bCs/>
                <w:sz w:val="24"/>
                <w:szCs w:val="24"/>
              </w:rPr>
            </w:pPr>
            <w:r w:rsidRPr="00792B36">
              <w:rPr>
                <w:b/>
                <w:bCs/>
                <w:color w:val="000000"/>
                <w:sz w:val="24"/>
                <w:szCs w:val="24"/>
              </w:rPr>
              <w:t>Industrial</w:t>
            </w:r>
          </w:p>
        </w:tc>
        <w:tc>
          <w:tcPr>
            <w:tcW w:w="957" w:type="dxa"/>
            <w:vAlign w:val="center"/>
          </w:tcPr>
          <w:p w14:paraId="18ECAAE0" w14:textId="77777777" w:rsidR="009A0A63" w:rsidRPr="00792B36" w:rsidRDefault="009A0A63" w:rsidP="00A24459">
            <w:pPr>
              <w:contextualSpacing/>
              <w:jc w:val="center"/>
              <w:rPr>
                <w:b/>
                <w:bCs/>
                <w:sz w:val="24"/>
                <w:szCs w:val="24"/>
              </w:rPr>
            </w:pPr>
            <w:r w:rsidRPr="00792B36">
              <w:rPr>
                <w:b/>
                <w:bCs/>
                <w:color w:val="000000"/>
                <w:sz w:val="24"/>
                <w:szCs w:val="24"/>
              </w:rPr>
              <w:t>Services</w:t>
            </w:r>
          </w:p>
        </w:tc>
        <w:tc>
          <w:tcPr>
            <w:tcW w:w="900" w:type="dxa"/>
            <w:vAlign w:val="center"/>
          </w:tcPr>
          <w:p w14:paraId="4A640F9E" w14:textId="77777777" w:rsidR="009A0A63" w:rsidRPr="00792B36" w:rsidRDefault="009A0A63" w:rsidP="00A24459">
            <w:pPr>
              <w:contextualSpacing/>
              <w:jc w:val="center"/>
              <w:rPr>
                <w:b/>
                <w:bCs/>
                <w:sz w:val="24"/>
                <w:szCs w:val="24"/>
              </w:rPr>
            </w:pPr>
            <w:r w:rsidRPr="00792B36">
              <w:rPr>
                <w:b/>
                <w:bCs/>
                <w:sz w:val="24"/>
                <w:szCs w:val="24"/>
              </w:rPr>
              <w:t>GPP</w:t>
            </w:r>
          </w:p>
        </w:tc>
      </w:tr>
      <w:tr w:rsidR="009A0A63" w:rsidRPr="00792B36" w14:paraId="7CDBC8FA" w14:textId="77777777" w:rsidTr="00A24459">
        <w:trPr>
          <w:trHeight w:val="340"/>
        </w:trPr>
        <w:tc>
          <w:tcPr>
            <w:tcW w:w="617" w:type="dxa"/>
            <w:vAlign w:val="center"/>
          </w:tcPr>
          <w:p w14:paraId="5C41453E" w14:textId="77777777" w:rsidR="009A0A63" w:rsidRPr="00792B36" w:rsidRDefault="009A0A63" w:rsidP="00A24459">
            <w:pPr>
              <w:contextualSpacing/>
              <w:jc w:val="center"/>
              <w:rPr>
                <w:sz w:val="24"/>
                <w:szCs w:val="24"/>
              </w:rPr>
            </w:pPr>
            <w:r w:rsidRPr="00792B36">
              <w:rPr>
                <w:b/>
                <w:bCs/>
                <w:color w:val="000000"/>
                <w:sz w:val="24"/>
                <w:szCs w:val="24"/>
              </w:rPr>
              <w:t>1995</w:t>
            </w:r>
          </w:p>
        </w:tc>
        <w:tc>
          <w:tcPr>
            <w:tcW w:w="1177" w:type="dxa"/>
            <w:vAlign w:val="center"/>
          </w:tcPr>
          <w:p w14:paraId="4F0A5595" w14:textId="77777777" w:rsidR="009A0A63" w:rsidRPr="00792B36" w:rsidRDefault="009A0A63" w:rsidP="00A24459">
            <w:pPr>
              <w:contextualSpacing/>
              <w:jc w:val="center"/>
              <w:rPr>
                <w:sz w:val="24"/>
                <w:szCs w:val="24"/>
              </w:rPr>
            </w:pPr>
            <w:r w:rsidRPr="00792B36">
              <w:rPr>
                <w:color w:val="000000"/>
                <w:sz w:val="24"/>
                <w:szCs w:val="24"/>
              </w:rPr>
              <w:t>324.59</w:t>
            </w:r>
          </w:p>
        </w:tc>
        <w:tc>
          <w:tcPr>
            <w:tcW w:w="1095" w:type="dxa"/>
            <w:vAlign w:val="center"/>
          </w:tcPr>
          <w:p w14:paraId="5A820AD8" w14:textId="77777777" w:rsidR="009A0A63" w:rsidRPr="00792B36" w:rsidRDefault="009A0A63" w:rsidP="00A24459">
            <w:pPr>
              <w:contextualSpacing/>
              <w:jc w:val="center"/>
              <w:rPr>
                <w:sz w:val="24"/>
                <w:szCs w:val="24"/>
              </w:rPr>
            </w:pPr>
            <w:r w:rsidRPr="00792B36">
              <w:rPr>
                <w:color w:val="000000"/>
                <w:sz w:val="24"/>
                <w:szCs w:val="24"/>
              </w:rPr>
              <w:t>6,028.00</w:t>
            </w:r>
          </w:p>
        </w:tc>
        <w:tc>
          <w:tcPr>
            <w:tcW w:w="987" w:type="dxa"/>
            <w:vAlign w:val="center"/>
          </w:tcPr>
          <w:p w14:paraId="49E6F8E1" w14:textId="77777777" w:rsidR="009A0A63" w:rsidRPr="00792B36" w:rsidRDefault="009A0A63" w:rsidP="00A24459">
            <w:pPr>
              <w:contextualSpacing/>
              <w:jc w:val="center"/>
              <w:rPr>
                <w:sz w:val="24"/>
                <w:szCs w:val="24"/>
              </w:rPr>
            </w:pPr>
            <w:r w:rsidRPr="00792B36">
              <w:rPr>
                <w:color w:val="000000"/>
                <w:sz w:val="24"/>
                <w:szCs w:val="24"/>
              </w:rPr>
              <w:t>2,080.25</w:t>
            </w:r>
          </w:p>
        </w:tc>
        <w:tc>
          <w:tcPr>
            <w:tcW w:w="1080" w:type="dxa"/>
            <w:vAlign w:val="center"/>
          </w:tcPr>
          <w:p w14:paraId="3CE6A59B" w14:textId="77777777" w:rsidR="009A0A63" w:rsidRPr="00792B36" w:rsidRDefault="009A0A63" w:rsidP="00A24459">
            <w:pPr>
              <w:contextualSpacing/>
              <w:jc w:val="center"/>
              <w:rPr>
                <w:sz w:val="24"/>
                <w:szCs w:val="24"/>
              </w:rPr>
            </w:pPr>
            <w:r w:rsidRPr="00792B36">
              <w:rPr>
                <w:color w:val="000000"/>
                <w:sz w:val="24"/>
                <w:szCs w:val="24"/>
              </w:rPr>
              <w:t>8,422.48</w:t>
            </w:r>
          </w:p>
        </w:tc>
        <w:tc>
          <w:tcPr>
            <w:tcW w:w="1177" w:type="dxa"/>
            <w:vAlign w:val="center"/>
          </w:tcPr>
          <w:p w14:paraId="776C0B4A" w14:textId="77777777" w:rsidR="009A0A63" w:rsidRPr="00792B36" w:rsidRDefault="009A0A63" w:rsidP="00A24459">
            <w:pPr>
              <w:contextualSpacing/>
              <w:jc w:val="center"/>
              <w:rPr>
                <w:sz w:val="24"/>
                <w:szCs w:val="24"/>
              </w:rPr>
            </w:pPr>
            <w:r w:rsidRPr="00792B36">
              <w:rPr>
                <w:color w:val="000000"/>
                <w:sz w:val="24"/>
                <w:szCs w:val="24"/>
              </w:rPr>
              <w:t>183.77</w:t>
            </w:r>
          </w:p>
        </w:tc>
        <w:tc>
          <w:tcPr>
            <w:tcW w:w="1027" w:type="dxa"/>
            <w:vAlign w:val="center"/>
          </w:tcPr>
          <w:p w14:paraId="06FA09E0" w14:textId="77777777" w:rsidR="009A0A63" w:rsidRPr="00792B36" w:rsidRDefault="009A0A63" w:rsidP="00A24459">
            <w:pPr>
              <w:contextualSpacing/>
              <w:jc w:val="center"/>
              <w:rPr>
                <w:sz w:val="24"/>
                <w:szCs w:val="24"/>
              </w:rPr>
            </w:pPr>
            <w:r w:rsidRPr="00792B36">
              <w:rPr>
                <w:color w:val="000000"/>
                <w:sz w:val="24"/>
                <w:szCs w:val="24"/>
              </w:rPr>
              <w:t>443.62</w:t>
            </w:r>
          </w:p>
        </w:tc>
        <w:tc>
          <w:tcPr>
            <w:tcW w:w="957" w:type="dxa"/>
            <w:vAlign w:val="center"/>
          </w:tcPr>
          <w:p w14:paraId="415990BF" w14:textId="77777777" w:rsidR="009A0A63" w:rsidRPr="00792B36" w:rsidRDefault="009A0A63" w:rsidP="00A24459">
            <w:pPr>
              <w:contextualSpacing/>
              <w:jc w:val="center"/>
              <w:rPr>
                <w:sz w:val="24"/>
                <w:szCs w:val="24"/>
              </w:rPr>
            </w:pPr>
            <w:r w:rsidRPr="00792B36">
              <w:rPr>
                <w:color w:val="000000"/>
                <w:sz w:val="24"/>
                <w:szCs w:val="24"/>
              </w:rPr>
              <w:t>595.78</w:t>
            </w:r>
          </w:p>
        </w:tc>
        <w:tc>
          <w:tcPr>
            <w:tcW w:w="900" w:type="dxa"/>
            <w:vAlign w:val="center"/>
          </w:tcPr>
          <w:p w14:paraId="2412B5F9" w14:textId="77777777" w:rsidR="009A0A63" w:rsidRPr="00792B36" w:rsidRDefault="009A0A63" w:rsidP="00A24459">
            <w:pPr>
              <w:contextualSpacing/>
              <w:jc w:val="center"/>
              <w:rPr>
                <w:sz w:val="24"/>
                <w:szCs w:val="24"/>
              </w:rPr>
            </w:pPr>
            <w:r w:rsidRPr="00792B36">
              <w:rPr>
                <w:color w:val="000000"/>
                <w:sz w:val="24"/>
                <w:szCs w:val="24"/>
              </w:rPr>
              <w:t>1,216.81</w:t>
            </w:r>
          </w:p>
        </w:tc>
      </w:tr>
      <w:tr w:rsidR="009A0A63" w:rsidRPr="00792B36" w14:paraId="3A759424" w14:textId="77777777" w:rsidTr="00A24459">
        <w:trPr>
          <w:trHeight w:val="340"/>
        </w:trPr>
        <w:tc>
          <w:tcPr>
            <w:tcW w:w="617" w:type="dxa"/>
            <w:vAlign w:val="center"/>
          </w:tcPr>
          <w:p w14:paraId="16BA0F84" w14:textId="77777777" w:rsidR="009A0A63" w:rsidRPr="00792B36" w:rsidRDefault="009A0A63" w:rsidP="00A24459">
            <w:pPr>
              <w:contextualSpacing/>
              <w:jc w:val="center"/>
              <w:rPr>
                <w:sz w:val="24"/>
                <w:szCs w:val="24"/>
              </w:rPr>
            </w:pPr>
            <w:r w:rsidRPr="00792B36">
              <w:rPr>
                <w:b/>
                <w:bCs/>
                <w:color w:val="000000"/>
                <w:sz w:val="24"/>
                <w:szCs w:val="24"/>
              </w:rPr>
              <w:t>1996</w:t>
            </w:r>
          </w:p>
        </w:tc>
        <w:tc>
          <w:tcPr>
            <w:tcW w:w="1177" w:type="dxa"/>
            <w:vAlign w:val="center"/>
          </w:tcPr>
          <w:p w14:paraId="7AF1F59E" w14:textId="77777777" w:rsidR="009A0A63" w:rsidRPr="00792B36" w:rsidRDefault="009A0A63" w:rsidP="00A24459">
            <w:pPr>
              <w:contextualSpacing/>
              <w:jc w:val="center"/>
              <w:rPr>
                <w:sz w:val="24"/>
                <w:szCs w:val="24"/>
              </w:rPr>
            </w:pPr>
            <w:r w:rsidRPr="00792B36">
              <w:rPr>
                <w:color w:val="000000"/>
                <w:sz w:val="24"/>
                <w:szCs w:val="24"/>
              </w:rPr>
              <w:t>278.28</w:t>
            </w:r>
          </w:p>
        </w:tc>
        <w:tc>
          <w:tcPr>
            <w:tcW w:w="1095" w:type="dxa"/>
            <w:vAlign w:val="center"/>
          </w:tcPr>
          <w:p w14:paraId="2F68B738" w14:textId="77777777" w:rsidR="009A0A63" w:rsidRPr="00792B36" w:rsidRDefault="009A0A63" w:rsidP="00A24459">
            <w:pPr>
              <w:contextualSpacing/>
              <w:jc w:val="center"/>
              <w:rPr>
                <w:sz w:val="24"/>
                <w:szCs w:val="24"/>
              </w:rPr>
            </w:pPr>
            <w:r w:rsidRPr="00792B36">
              <w:rPr>
                <w:color w:val="000000"/>
                <w:sz w:val="24"/>
                <w:szCs w:val="24"/>
              </w:rPr>
              <w:t>5,965.51</w:t>
            </w:r>
          </w:p>
        </w:tc>
        <w:tc>
          <w:tcPr>
            <w:tcW w:w="987" w:type="dxa"/>
            <w:vAlign w:val="center"/>
          </w:tcPr>
          <w:p w14:paraId="5F49ACBE" w14:textId="77777777" w:rsidR="009A0A63" w:rsidRPr="00792B36" w:rsidRDefault="009A0A63" w:rsidP="00A24459">
            <w:pPr>
              <w:contextualSpacing/>
              <w:jc w:val="center"/>
              <w:rPr>
                <w:sz w:val="24"/>
                <w:szCs w:val="24"/>
              </w:rPr>
            </w:pPr>
            <w:r w:rsidRPr="00792B36">
              <w:rPr>
                <w:color w:val="000000"/>
                <w:sz w:val="24"/>
                <w:szCs w:val="24"/>
              </w:rPr>
              <w:t>2,085.93</w:t>
            </w:r>
          </w:p>
        </w:tc>
        <w:tc>
          <w:tcPr>
            <w:tcW w:w="1080" w:type="dxa"/>
            <w:vAlign w:val="center"/>
          </w:tcPr>
          <w:p w14:paraId="2874E737" w14:textId="77777777" w:rsidR="009A0A63" w:rsidRPr="00792B36" w:rsidRDefault="009A0A63" w:rsidP="00A24459">
            <w:pPr>
              <w:contextualSpacing/>
              <w:jc w:val="center"/>
              <w:rPr>
                <w:sz w:val="24"/>
                <w:szCs w:val="24"/>
              </w:rPr>
            </w:pPr>
            <w:r w:rsidRPr="00792B36">
              <w:rPr>
                <w:color w:val="000000"/>
                <w:sz w:val="24"/>
                <w:szCs w:val="24"/>
              </w:rPr>
              <w:t>8,323.43</w:t>
            </w:r>
          </w:p>
        </w:tc>
        <w:tc>
          <w:tcPr>
            <w:tcW w:w="1177" w:type="dxa"/>
            <w:vAlign w:val="center"/>
          </w:tcPr>
          <w:p w14:paraId="27D6FBEE" w14:textId="77777777" w:rsidR="009A0A63" w:rsidRPr="00792B36" w:rsidRDefault="009A0A63" w:rsidP="00A24459">
            <w:pPr>
              <w:contextualSpacing/>
              <w:jc w:val="center"/>
              <w:rPr>
                <w:sz w:val="24"/>
                <w:szCs w:val="24"/>
              </w:rPr>
            </w:pPr>
            <w:r w:rsidRPr="00792B36">
              <w:rPr>
                <w:color w:val="000000"/>
                <w:sz w:val="24"/>
                <w:szCs w:val="24"/>
              </w:rPr>
              <w:t>174.99</w:t>
            </w:r>
          </w:p>
        </w:tc>
        <w:tc>
          <w:tcPr>
            <w:tcW w:w="1027" w:type="dxa"/>
            <w:vAlign w:val="center"/>
          </w:tcPr>
          <w:p w14:paraId="7D8B8FDB" w14:textId="77777777" w:rsidR="009A0A63" w:rsidRPr="00792B36" w:rsidRDefault="009A0A63" w:rsidP="00A24459">
            <w:pPr>
              <w:contextualSpacing/>
              <w:jc w:val="center"/>
              <w:rPr>
                <w:sz w:val="24"/>
                <w:szCs w:val="24"/>
              </w:rPr>
            </w:pPr>
            <w:r w:rsidRPr="00792B36">
              <w:rPr>
                <w:color w:val="000000"/>
                <w:sz w:val="24"/>
                <w:szCs w:val="24"/>
              </w:rPr>
              <w:t>462.83</w:t>
            </w:r>
          </w:p>
        </w:tc>
        <w:tc>
          <w:tcPr>
            <w:tcW w:w="957" w:type="dxa"/>
            <w:vAlign w:val="center"/>
          </w:tcPr>
          <w:p w14:paraId="6E1ABFD0" w14:textId="77777777" w:rsidR="009A0A63" w:rsidRPr="00792B36" w:rsidRDefault="009A0A63" w:rsidP="00A24459">
            <w:pPr>
              <w:contextualSpacing/>
              <w:jc w:val="center"/>
              <w:rPr>
                <w:sz w:val="24"/>
                <w:szCs w:val="24"/>
              </w:rPr>
            </w:pPr>
            <w:r w:rsidRPr="00792B36">
              <w:rPr>
                <w:color w:val="000000"/>
                <w:sz w:val="24"/>
                <w:szCs w:val="24"/>
              </w:rPr>
              <w:t>653.33</w:t>
            </w:r>
          </w:p>
        </w:tc>
        <w:tc>
          <w:tcPr>
            <w:tcW w:w="900" w:type="dxa"/>
            <w:vAlign w:val="center"/>
          </w:tcPr>
          <w:p w14:paraId="133D8720" w14:textId="77777777" w:rsidR="009A0A63" w:rsidRPr="00792B36" w:rsidRDefault="009A0A63" w:rsidP="00A24459">
            <w:pPr>
              <w:contextualSpacing/>
              <w:jc w:val="center"/>
              <w:rPr>
                <w:sz w:val="24"/>
                <w:szCs w:val="24"/>
              </w:rPr>
            </w:pPr>
            <w:r w:rsidRPr="00792B36">
              <w:rPr>
                <w:color w:val="000000"/>
                <w:sz w:val="24"/>
                <w:szCs w:val="24"/>
              </w:rPr>
              <w:t>1,287.42</w:t>
            </w:r>
          </w:p>
        </w:tc>
      </w:tr>
      <w:tr w:rsidR="009A0A63" w:rsidRPr="00792B36" w14:paraId="03431433" w14:textId="77777777" w:rsidTr="00A24459">
        <w:trPr>
          <w:trHeight w:val="340"/>
        </w:trPr>
        <w:tc>
          <w:tcPr>
            <w:tcW w:w="617" w:type="dxa"/>
            <w:vAlign w:val="center"/>
          </w:tcPr>
          <w:p w14:paraId="4BC107C9" w14:textId="77777777" w:rsidR="009A0A63" w:rsidRPr="00792B36" w:rsidRDefault="009A0A63" w:rsidP="00A24459">
            <w:pPr>
              <w:contextualSpacing/>
              <w:jc w:val="center"/>
              <w:rPr>
                <w:sz w:val="24"/>
                <w:szCs w:val="24"/>
              </w:rPr>
            </w:pPr>
            <w:r w:rsidRPr="00792B36">
              <w:rPr>
                <w:b/>
                <w:bCs/>
                <w:color w:val="000000"/>
                <w:sz w:val="24"/>
                <w:szCs w:val="24"/>
              </w:rPr>
              <w:t>1997</w:t>
            </w:r>
          </w:p>
        </w:tc>
        <w:tc>
          <w:tcPr>
            <w:tcW w:w="1177" w:type="dxa"/>
            <w:vAlign w:val="center"/>
          </w:tcPr>
          <w:p w14:paraId="47549AA3" w14:textId="77777777" w:rsidR="009A0A63" w:rsidRPr="00792B36" w:rsidRDefault="009A0A63" w:rsidP="00A24459">
            <w:pPr>
              <w:contextualSpacing/>
              <w:jc w:val="center"/>
              <w:rPr>
                <w:sz w:val="24"/>
                <w:szCs w:val="24"/>
              </w:rPr>
            </w:pPr>
            <w:r w:rsidRPr="00792B36">
              <w:rPr>
                <w:color w:val="000000"/>
                <w:sz w:val="24"/>
                <w:szCs w:val="24"/>
              </w:rPr>
              <w:t>313.64</w:t>
            </w:r>
          </w:p>
        </w:tc>
        <w:tc>
          <w:tcPr>
            <w:tcW w:w="1095" w:type="dxa"/>
            <w:vAlign w:val="center"/>
          </w:tcPr>
          <w:p w14:paraId="13BD3948" w14:textId="77777777" w:rsidR="009A0A63" w:rsidRPr="00792B36" w:rsidRDefault="009A0A63" w:rsidP="00A24459">
            <w:pPr>
              <w:contextualSpacing/>
              <w:jc w:val="center"/>
              <w:rPr>
                <w:sz w:val="24"/>
                <w:szCs w:val="24"/>
              </w:rPr>
            </w:pPr>
            <w:r w:rsidRPr="00792B36">
              <w:rPr>
                <w:color w:val="000000"/>
                <w:sz w:val="24"/>
                <w:szCs w:val="24"/>
              </w:rPr>
              <w:t>5,742.30</w:t>
            </w:r>
          </w:p>
        </w:tc>
        <w:tc>
          <w:tcPr>
            <w:tcW w:w="987" w:type="dxa"/>
            <w:vAlign w:val="center"/>
          </w:tcPr>
          <w:p w14:paraId="5D4B3F5E" w14:textId="77777777" w:rsidR="009A0A63" w:rsidRPr="00792B36" w:rsidRDefault="009A0A63" w:rsidP="00A24459">
            <w:pPr>
              <w:contextualSpacing/>
              <w:jc w:val="center"/>
              <w:rPr>
                <w:sz w:val="24"/>
                <w:szCs w:val="24"/>
              </w:rPr>
            </w:pPr>
            <w:r w:rsidRPr="00792B36">
              <w:rPr>
                <w:color w:val="000000"/>
                <w:sz w:val="24"/>
                <w:szCs w:val="24"/>
              </w:rPr>
              <w:t>2,190.87</w:t>
            </w:r>
          </w:p>
        </w:tc>
        <w:tc>
          <w:tcPr>
            <w:tcW w:w="1080" w:type="dxa"/>
            <w:vAlign w:val="center"/>
          </w:tcPr>
          <w:p w14:paraId="2ACAEC8A" w14:textId="77777777" w:rsidR="009A0A63" w:rsidRPr="00792B36" w:rsidRDefault="009A0A63" w:rsidP="00A24459">
            <w:pPr>
              <w:contextualSpacing/>
              <w:jc w:val="center"/>
              <w:rPr>
                <w:sz w:val="24"/>
                <w:szCs w:val="24"/>
              </w:rPr>
            </w:pPr>
            <w:r w:rsidRPr="00792B36">
              <w:rPr>
                <w:color w:val="000000"/>
                <w:sz w:val="24"/>
                <w:szCs w:val="24"/>
              </w:rPr>
              <w:t>8,236.75</w:t>
            </w:r>
          </w:p>
        </w:tc>
        <w:tc>
          <w:tcPr>
            <w:tcW w:w="1177" w:type="dxa"/>
            <w:vAlign w:val="center"/>
          </w:tcPr>
          <w:p w14:paraId="45E1397B" w14:textId="77777777" w:rsidR="009A0A63" w:rsidRPr="00792B36" w:rsidRDefault="009A0A63" w:rsidP="00A24459">
            <w:pPr>
              <w:contextualSpacing/>
              <w:jc w:val="center"/>
              <w:rPr>
                <w:sz w:val="24"/>
                <w:szCs w:val="24"/>
              </w:rPr>
            </w:pPr>
            <w:r w:rsidRPr="00792B36">
              <w:rPr>
                <w:color w:val="000000"/>
                <w:sz w:val="24"/>
                <w:szCs w:val="24"/>
              </w:rPr>
              <w:t>164.84</w:t>
            </w:r>
          </w:p>
        </w:tc>
        <w:tc>
          <w:tcPr>
            <w:tcW w:w="1027" w:type="dxa"/>
            <w:vAlign w:val="center"/>
          </w:tcPr>
          <w:p w14:paraId="6C670B3B" w14:textId="77777777" w:rsidR="009A0A63" w:rsidRPr="00792B36" w:rsidRDefault="009A0A63" w:rsidP="00A24459">
            <w:pPr>
              <w:contextualSpacing/>
              <w:jc w:val="center"/>
              <w:rPr>
                <w:sz w:val="24"/>
                <w:szCs w:val="24"/>
              </w:rPr>
            </w:pPr>
            <w:r w:rsidRPr="00792B36">
              <w:rPr>
                <w:color w:val="000000"/>
                <w:sz w:val="24"/>
                <w:szCs w:val="24"/>
              </w:rPr>
              <w:t>461.67</w:t>
            </w:r>
          </w:p>
        </w:tc>
        <w:tc>
          <w:tcPr>
            <w:tcW w:w="957" w:type="dxa"/>
            <w:vAlign w:val="center"/>
          </w:tcPr>
          <w:p w14:paraId="4826D7AF" w14:textId="77777777" w:rsidR="009A0A63" w:rsidRPr="00792B36" w:rsidRDefault="009A0A63" w:rsidP="00A24459">
            <w:pPr>
              <w:contextualSpacing/>
              <w:jc w:val="center"/>
              <w:rPr>
                <w:sz w:val="24"/>
                <w:szCs w:val="24"/>
              </w:rPr>
            </w:pPr>
            <w:r w:rsidRPr="00792B36">
              <w:rPr>
                <w:color w:val="000000"/>
                <w:sz w:val="24"/>
                <w:szCs w:val="24"/>
              </w:rPr>
              <w:t>623.45</w:t>
            </w:r>
          </w:p>
        </w:tc>
        <w:tc>
          <w:tcPr>
            <w:tcW w:w="900" w:type="dxa"/>
            <w:vAlign w:val="center"/>
          </w:tcPr>
          <w:p w14:paraId="152D3B27" w14:textId="77777777" w:rsidR="009A0A63" w:rsidRPr="00792B36" w:rsidRDefault="009A0A63" w:rsidP="00A24459">
            <w:pPr>
              <w:contextualSpacing/>
              <w:jc w:val="center"/>
              <w:rPr>
                <w:sz w:val="24"/>
                <w:szCs w:val="24"/>
              </w:rPr>
            </w:pPr>
            <w:r w:rsidRPr="00792B36">
              <w:rPr>
                <w:color w:val="000000"/>
                <w:sz w:val="24"/>
                <w:szCs w:val="24"/>
              </w:rPr>
              <w:t>1,246.33</w:t>
            </w:r>
          </w:p>
        </w:tc>
      </w:tr>
      <w:tr w:rsidR="009A0A63" w:rsidRPr="00792B36" w14:paraId="4722F4BF" w14:textId="77777777" w:rsidTr="00A24459">
        <w:trPr>
          <w:trHeight w:val="340"/>
        </w:trPr>
        <w:tc>
          <w:tcPr>
            <w:tcW w:w="617" w:type="dxa"/>
            <w:vAlign w:val="center"/>
          </w:tcPr>
          <w:p w14:paraId="3F6A9183" w14:textId="77777777" w:rsidR="009A0A63" w:rsidRPr="00792B36" w:rsidRDefault="009A0A63" w:rsidP="00A24459">
            <w:pPr>
              <w:contextualSpacing/>
              <w:jc w:val="center"/>
              <w:rPr>
                <w:sz w:val="24"/>
                <w:szCs w:val="24"/>
              </w:rPr>
            </w:pPr>
            <w:r w:rsidRPr="00792B36">
              <w:rPr>
                <w:b/>
                <w:bCs/>
                <w:color w:val="000000"/>
                <w:sz w:val="24"/>
                <w:szCs w:val="24"/>
              </w:rPr>
              <w:t>1998</w:t>
            </w:r>
          </w:p>
        </w:tc>
        <w:tc>
          <w:tcPr>
            <w:tcW w:w="1177" w:type="dxa"/>
            <w:vAlign w:val="center"/>
          </w:tcPr>
          <w:p w14:paraId="765D3624" w14:textId="77777777" w:rsidR="009A0A63" w:rsidRPr="00792B36" w:rsidRDefault="009A0A63" w:rsidP="00A24459">
            <w:pPr>
              <w:contextualSpacing/>
              <w:jc w:val="center"/>
              <w:rPr>
                <w:sz w:val="24"/>
                <w:szCs w:val="24"/>
              </w:rPr>
            </w:pPr>
            <w:r w:rsidRPr="00792B36">
              <w:rPr>
                <w:color w:val="000000"/>
                <w:sz w:val="24"/>
                <w:szCs w:val="24"/>
              </w:rPr>
              <w:t>331.31</w:t>
            </w:r>
          </w:p>
        </w:tc>
        <w:tc>
          <w:tcPr>
            <w:tcW w:w="1095" w:type="dxa"/>
            <w:vAlign w:val="center"/>
          </w:tcPr>
          <w:p w14:paraId="70F2F4F7" w14:textId="77777777" w:rsidR="009A0A63" w:rsidRPr="00792B36" w:rsidRDefault="009A0A63" w:rsidP="00A24459">
            <w:pPr>
              <w:contextualSpacing/>
              <w:jc w:val="center"/>
              <w:rPr>
                <w:sz w:val="24"/>
                <w:szCs w:val="24"/>
              </w:rPr>
            </w:pPr>
            <w:r w:rsidRPr="00792B36">
              <w:rPr>
                <w:color w:val="000000"/>
                <w:sz w:val="24"/>
                <w:szCs w:val="24"/>
              </w:rPr>
              <w:t>4,485.98</w:t>
            </w:r>
          </w:p>
        </w:tc>
        <w:tc>
          <w:tcPr>
            <w:tcW w:w="987" w:type="dxa"/>
            <w:vAlign w:val="center"/>
          </w:tcPr>
          <w:p w14:paraId="33ACAB88" w14:textId="77777777" w:rsidR="009A0A63" w:rsidRPr="00792B36" w:rsidRDefault="009A0A63" w:rsidP="00A24459">
            <w:pPr>
              <w:contextualSpacing/>
              <w:jc w:val="center"/>
              <w:rPr>
                <w:sz w:val="24"/>
                <w:szCs w:val="24"/>
              </w:rPr>
            </w:pPr>
            <w:r w:rsidRPr="00792B36">
              <w:rPr>
                <w:color w:val="000000"/>
                <w:sz w:val="24"/>
                <w:szCs w:val="24"/>
              </w:rPr>
              <w:t>1,823.76</w:t>
            </w:r>
          </w:p>
        </w:tc>
        <w:tc>
          <w:tcPr>
            <w:tcW w:w="1080" w:type="dxa"/>
            <w:vAlign w:val="center"/>
          </w:tcPr>
          <w:p w14:paraId="023D475E" w14:textId="77777777" w:rsidR="009A0A63" w:rsidRPr="00792B36" w:rsidRDefault="009A0A63" w:rsidP="00A24459">
            <w:pPr>
              <w:contextualSpacing/>
              <w:jc w:val="center"/>
              <w:rPr>
                <w:sz w:val="24"/>
                <w:szCs w:val="24"/>
              </w:rPr>
            </w:pPr>
            <w:r w:rsidRPr="00792B36">
              <w:rPr>
                <w:color w:val="000000"/>
                <w:sz w:val="24"/>
                <w:szCs w:val="24"/>
              </w:rPr>
              <w:t>6,628.97</w:t>
            </w:r>
          </w:p>
        </w:tc>
        <w:tc>
          <w:tcPr>
            <w:tcW w:w="1177" w:type="dxa"/>
            <w:vAlign w:val="center"/>
          </w:tcPr>
          <w:p w14:paraId="03E79527" w14:textId="77777777" w:rsidR="009A0A63" w:rsidRPr="00792B36" w:rsidRDefault="009A0A63" w:rsidP="00A24459">
            <w:pPr>
              <w:contextualSpacing/>
              <w:jc w:val="center"/>
              <w:rPr>
                <w:sz w:val="24"/>
                <w:szCs w:val="24"/>
              </w:rPr>
            </w:pPr>
            <w:r w:rsidRPr="00792B36">
              <w:rPr>
                <w:color w:val="000000"/>
                <w:sz w:val="24"/>
                <w:szCs w:val="24"/>
              </w:rPr>
              <w:t>136.14</w:t>
            </w:r>
          </w:p>
        </w:tc>
        <w:tc>
          <w:tcPr>
            <w:tcW w:w="1027" w:type="dxa"/>
            <w:vAlign w:val="center"/>
          </w:tcPr>
          <w:p w14:paraId="6651AEE4" w14:textId="77777777" w:rsidR="009A0A63" w:rsidRPr="00792B36" w:rsidRDefault="009A0A63" w:rsidP="00A24459">
            <w:pPr>
              <w:contextualSpacing/>
              <w:jc w:val="center"/>
              <w:rPr>
                <w:sz w:val="24"/>
                <w:szCs w:val="24"/>
              </w:rPr>
            </w:pPr>
            <w:r w:rsidRPr="00792B36">
              <w:rPr>
                <w:color w:val="000000"/>
                <w:sz w:val="24"/>
                <w:szCs w:val="24"/>
              </w:rPr>
              <w:t>397.78</w:t>
            </w:r>
          </w:p>
        </w:tc>
        <w:tc>
          <w:tcPr>
            <w:tcW w:w="957" w:type="dxa"/>
            <w:vAlign w:val="center"/>
          </w:tcPr>
          <w:p w14:paraId="66AF5ABB" w14:textId="77777777" w:rsidR="009A0A63" w:rsidRPr="00792B36" w:rsidRDefault="009A0A63" w:rsidP="00A24459">
            <w:pPr>
              <w:contextualSpacing/>
              <w:jc w:val="center"/>
              <w:rPr>
                <w:sz w:val="24"/>
                <w:szCs w:val="24"/>
              </w:rPr>
            </w:pPr>
            <w:r w:rsidRPr="00792B36">
              <w:rPr>
                <w:color w:val="000000"/>
                <w:sz w:val="24"/>
                <w:szCs w:val="24"/>
              </w:rPr>
              <w:t>584.89</w:t>
            </w:r>
          </w:p>
        </w:tc>
        <w:tc>
          <w:tcPr>
            <w:tcW w:w="900" w:type="dxa"/>
            <w:vAlign w:val="center"/>
          </w:tcPr>
          <w:p w14:paraId="70389E6F" w14:textId="77777777" w:rsidR="009A0A63" w:rsidRPr="00792B36" w:rsidRDefault="009A0A63" w:rsidP="00A24459">
            <w:pPr>
              <w:contextualSpacing/>
              <w:jc w:val="center"/>
              <w:rPr>
                <w:sz w:val="24"/>
                <w:szCs w:val="24"/>
              </w:rPr>
            </w:pPr>
            <w:r w:rsidRPr="00792B36">
              <w:rPr>
                <w:color w:val="000000"/>
                <w:sz w:val="24"/>
                <w:szCs w:val="24"/>
              </w:rPr>
              <w:t>1,117.34</w:t>
            </w:r>
          </w:p>
        </w:tc>
      </w:tr>
      <w:tr w:rsidR="009A0A63" w:rsidRPr="00792B36" w14:paraId="19CDA94E" w14:textId="77777777" w:rsidTr="00A24459">
        <w:trPr>
          <w:trHeight w:val="340"/>
        </w:trPr>
        <w:tc>
          <w:tcPr>
            <w:tcW w:w="617" w:type="dxa"/>
            <w:vAlign w:val="center"/>
          </w:tcPr>
          <w:p w14:paraId="231416EF" w14:textId="77777777" w:rsidR="009A0A63" w:rsidRPr="00792B36" w:rsidRDefault="009A0A63" w:rsidP="00A24459">
            <w:pPr>
              <w:contextualSpacing/>
              <w:jc w:val="center"/>
              <w:rPr>
                <w:sz w:val="24"/>
                <w:szCs w:val="24"/>
              </w:rPr>
            </w:pPr>
            <w:r w:rsidRPr="00792B36">
              <w:rPr>
                <w:b/>
                <w:bCs/>
                <w:color w:val="000000"/>
                <w:sz w:val="24"/>
                <w:szCs w:val="24"/>
              </w:rPr>
              <w:t>1999</w:t>
            </w:r>
          </w:p>
        </w:tc>
        <w:tc>
          <w:tcPr>
            <w:tcW w:w="1177" w:type="dxa"/>
            <w:vAlign w:val="center"/>
          </w:tcPr>
          <w:p w14:paraId="54C0969B" w14:textId="77777777" w:rsidR="009A0A63" w:rsidRPr="00792B36" w:rsidRDefault="009A0A63" w:rsidP="00A24459">
            <w:pPr>
              <w:contextualSpacing/>
              <w:jc w:val="center"/>
              <w:rPr>
                <w:sz w:val="24"/>
                <w:szCs w:val="24"/>
              </w:rPr>
            </w:pPr>
            <w:r w:rsidRPr="00792B36">
              <w:rPr>
                <w:color w:val="000000"/>
                <w:sz w:val="24"/>
                <w:szCs w:val="24"/>
              </w:rPr>
              <w:t>326.71</w:t>
            </w:r>
          </w:p>
        </w:tc>
        <w:tc>
          <w:tcPr>
            <w:tcW w:w="1095" w:type="dxa"/>
            <w:vAlign w:val="center"/>
          </w:tcPr>
          <w:p w14:paraId="7B5E9298" w14:textId="77777777" w:rsidR="009A0A63" w:rsidRPr="00792B36" w:rsidRDefault="009A0A63" w:rsidP="00A24459">
            <w:pPr>
              <w:contextualSpacing/>
              <w:jc w:val="center"/>
              <w:rPr>
                <w:sz w:val="24"/>
                <w:szCs w:val="24"/>
              </w:rPr>
            </w:pPr>
            <w:r w:rsidRPr="00792B36">
              <w:rPr>
                <w:color w:val="000000"/>
                <w:sz w:val="24"/>
                <w:szCs w:val="24"/>
              </w:rPr>
              <w:t>4,567.38</w:t>
            </w:r>
          </w:p>
        </w:tc>
        <w:tc>
          <w:tcPr>
            <w:tcW w:w="987" w:type="dxa"/>
            <w:vAlign w:val="center"/>
          </w:tcPr>
          <w:p w14:paraId="762ACCB3" w14:textId="77777777" w:rsidR="009A0A63" w:rsidRPr="00792B36" w:rsidRDefault="009A0A63" w:rsidP="00A24459">
            <w:pPr>
              <w:contextualSpacing/>
              <w:jc w:val="center"/>
              <w:rPr>
                <w:sz w:val="24"/>
                <w:szCs w:val="24"/>
              </w:rPr>
            </w:pPr>
            <w:r w:rsidRPr="00792B36">
              <w:rPr>
                <w:color w:val="000000"/>
                <w:sz w:val="24"/>
                <w:szCs w:val="24"/>
              </w:rPr>
              <w:t>1,657.51</w:t>
            </w:r>
          </w:p>
        </w:tc>
        <w:tc>
          <w:tcPr>
            <w:tcW w:w="1080" w:type="dxa"/>
            <w:vAlign w:val="center"/>
          </w:tcPr>
          <w:p w14:paraId="62FBD60D" w14:textId="77777777" w:rsidR="009A0A63" w:rsidRPr="00792B36" w:rsidRDefault="009A0A63" w:rsidP="00A24459">
            <w:pPr>
              <w:contextualSpacing/>
              <w:jc w:val="center"/>
              <w:rPr>
                <w:sz w:val="24"/>
                <w:szCs w:val="24"/>
              </w:rPr>
            </w:pPr>
            <w:r w:rsidRPr="00792B36">
              <w:rPr>
                <w:color w:val="000000"/>
                <w:sz w:val="24"/>
                <w:szCs w:val="24"/>
              </w:rPr>
              <w:t>6,547.47</w:t>
            </w:r>
          </w:p>
        </w:tc>
        <w:tc>
          <w:tcPr>
            <w:tcW w:w="1177" w:type="dxa"/>
            <w:vAlign w:val="center"/>
          </w:tcPr>
          <w:p w14:paraId="724FA7A2" w14:textId="77777777" w:rsidR="009A0A63" w:rsidRPr="00792B36" w:rsidRDefault="009A0A63" w:rsidP="00A24459">
            <w:pPr>
              <w:contextualSpacing/>
              <w:jc w:val="center"/>
              <w:rPr>
                <w:sz w:val="24"/>
                <w:szCs w:val="24"/>
              </w:rPr>
            </w:pPr>
            <w:r w:rsidRPr="00792B36">
              <w:rPr>
                <w:color w:val="000000"/>
                <w:sz w:val="24"/>
                <w:szCs w:val="24"/>
              </w:rPr>
              <w:t>106.30</w:t>
            </w:r>
          </w:p>
        </w:tc>
        <w:tc>
          <w:tcPr>
            <w:tcW w:w="1027" w:type="dxa"/>
            <w:vAlign w:val="center"/>
          </w:tcPr>
          <w:p w14:paraId="74DED5CE" w14:textId="77777777" w:rsidR="009A0A63" w:rsidRPr="00792B36" w:rsidRDefault="009A0A63" w:rsidP="00A24459">
            <w:pPr>
              <w:contextualSpacing/>
              <w:jc w:val="center"/>
              <w:rPr>
                <w:sz w:val="24"/>
                <w:szCs w:val="24"/>
              </w:rPr>
            </w:pPr>
            <w:r w:rsidRPr="00792B36">
              <w:rPr>
                <w:color w:val="000000"/>
                <w:sz w:val="24"/>
                <w:szCs w:val="24"/>
              </w:rPr>
              <w:t>374.40</w:t>
            </w:r>
          </w:p>
        </w:tc>
        <w:tc>
          <w:tcPr>
            <w:tcW w:w="957" w:type="dxa"/>
            <w:vAlign w:val="center"/>
          </w:tcPr>
          <w:p w14:paraId="23BD2584" w14:textId="77777777" w:rsidR="009A0A63" w:rsidRPr="00792B36" w:rsidRDefault="009A0A63" w:rsidP="00A24459">
            <w:pPr>
              <w:contextualSpacing/>
              <w:jc w:val="center"/>
              <w:rPr>
                <w:sz w:val="24"/>
                <w:szCs w:val="24"/>
              </w:rPr>
            </w:pPr>
            <w:r w:rsidRPr="00792B36">
              <w:rPr>
                <w:color w:val="000000"/>
                <w:sz w:val="24"/>
                <w:szCs w:val="24"/>
              </w:rPr>
              <w:t>570.82</w:t>
            </w:r>
          </w:p>
        </w:tc>
        <w:tc>
          <w:tcPr>
            <w:tcW w:w="900" w:type="dxa"/>
            <w:vAlign w:val="center"/>
          </w:tcPr>
          <w:p w14:paraId="2A54FF2A" w14:textId="77777777" w:rsidR="009A0A63" w:rsidRPr="00792B36" w:rsidRDefault="009A0A63" w:rsidP="00A24459">
            <w:pPr>
              <w:contextualSpacing/>
              <w:jc w:val="center"/>
              <w:rPr>
                <w:sz w:val="24"/>
                <w:szCs w:val="24"/>
              </w:rPr>
            </w:pPr>
            <w:r w:rsidRPr="00792B36">
              <w:rPr>
                <w:color w:val="000000"/>
                <w:sz w:val="24"/>
                <w:szCs w:val="24"/>
              </w:rPr>
              <w:t>1,050.55</w:t>
            </w:r>
          </w:p>
        </w:tc>
      </w:tr>
      <w:tr w:rsidR="009A0A63" w:rsidRPr="00792B36" w14:paraId="0759EB43" w14:textId="77777777" w:rsidTr="00A24459">
        <w:trPr>
          <w:trHeight w:val="340"/>
        </w:trPr>
        <w:tc>
          <w:tcPr>
            <w:tcW w:w="617" w:type="dxa"/>
            <w:vAlign w:val="center"/>
          </w:tcPr>
          <w:p w14:paraId="01E4CDE9" w14:textId="77777777" w:rsidR="009A0A63" w:rsidRPr="00792B36" w:rsidRDefault="009A0A63" w:rsidP="00A24459">
            <w:pPr>
              <w:contextualSpacing/>
              <w:jc w:val="center"/>
              <w:rPr>
                <w:sz w:val="24"/>
                <w:szCs w:val="24"/>
              </w:rPr>
            </w:pPr>
            <w:r w:rsidRPr="00792B36">
              <w:rPr>
                <w:b/>
                <w:bCs/>
                <w:color w:val="000000"/>
                <w:sz w:val="24"/>
                <w:szCs w:val="24"/>
              </w:rPr>
              <w:t>2000</w:t>
            </w:r>
          </w:p>
        </w:tc>
        <w:tc>
          <w:tcPr>
            <w:tcW w:w="1177" w:type="dxa"/>
            <w:vAlign w:val="center"/>
          </w:tcPr>
          <w:p w14:paraId="41BC1C71" w14:textId="77777777" w:rsidR="009A0A63" w:rsidRPr="00792B36" w:rsidRDefault="009A0A63" w:rsidP="00A24459">
            <w:pPr>
              <w:contextualSpacing/>
              <w:jc w:val="center"/>
              <w:rPr>
                <w:sz w:val="24"/>
                <w:szCs w:val="24"/>
              </w:rPr>
            </w:pPr>
            <w:r w:rsidRPr="00792B36">
              <w:rPr>
                <w:color w:val="000000"/>
                <w:sz w:val="24"/>
                <w:szCs w:val="24"/>
              </w:rPr>
              <w:t>290.91</w:t>
            </w:r>
          </w:p>
        </w:tc>
        <w:tc>
          <w:tcPr>
            <w:tcW w:w="1095" w:type="dxa"/>
            <w:vAlign w:val="center"/>
          </w:tcPr>
          <w:p w14:paraId="689BE8C0" w14:textId="77777777" w:rsidR="009A0A63" w:rsidRPr="00792B36" w:rsidRDefault="009A0A63" w:rsidP="00A24459">
            <w:pPr>
              <w:contextualSpacing/>
              <w:jc w:val="center"/>
              <w:rPr>
                <w:sz w:val="24"/>
                <w:szCs w:val="24"/>
              </w:rPr>
            </w:pPr>
            <w:r w:rsidRPr="00792B36">
              <w:rPr>
                <w:color w:val="000000"/>
                <w:sz w:val="24"/>
                <w:szCs w:val="24"/>
              </w:rPr>
              <w:t>4,927.22</w:t>
            </w:r>
          </w:p>
        </w:tc>
        <w:tc>
          <w:tcPr>
            <w:tcW w:w="987" w:type="dxa"/>
            <w:vAlign w:val="center"/>
          </w:tcPr>
          <w:p w14:paraId="403D0C74" w14:textId="77777777" w:rsidR="009A0A63" w:rsidRPr="00792B36" w:rsidRDefault="009A0A63" w:rsidP="00A24459">
            <w:pPr>
              <w:contextualSpacing/>
              <w:jc w:val="center"/>
              <w:rPr>
                <w:sz w:val="24"/>
                <w:szCs w:val="24"/>
              </w:rPr>
            </w:pPr>
            <w:r w:rsidRPr="00792B36">
              <w:rPr>
                <w:color w:val="000000"/>
                <w:sz w:val="24"/>
                <w:szCs w:val="24"/>
              </w:rPr>
              <w:t>1,708.41</w:t>
            </w:r>
          </w:p>
        </w:tc>
        <w:tc>
          <w:tcPr>
            <w:tcW w:w="1080" w:type="dxa"/>
            <w:vAlign w:val="center"/>
          </w:tcPr>
          <w:p w14:paraId="01139DE7" w14:textId="77777777" w:rsidR="009A0A63" w:rsidRPr="00792B36" w:rsidRDefault="009A0A63" w:rsidP="00A24459">
            <w:pPr>
              <w:contextualSpacing/>
              <w:jc w:val="center"/>
              <w:rPr>
                <w:sz w:val="24"/>
                <w:szCs w:val="24"/>
              </w:rPr>
            </w:pPr>
            <w:r w:rsidRPr="00792B36">
              <w:rPr>
                <w:color w:val="000000"/>
                <w:sz w:val="24"/>
                <w:szCs w:val="24"/>
              </w:rPr>
              <w:t>6,923.91</w:t>
            </w:r>
          </w:p>
        </w:tc>
        <w:tc>
          <w:tcPr>
            <w:tcW w:w="1177" w:type="dxa"/>
            <w:vAlign w:val="center"/>
          </w:tcPr>
          <w:p w14:paraId="689D5FA3" w14:textId="77777777" w:rsidR="009A0A63" w:rsidRPr="00792B36" w:rsidRDefault="009A0A63" w:rsidP="00A24459">
            <w:pPr>
              <w:contextualSpacing/>
              <w:jc w:val="center"/>
              <w:rPr>
                <w:sz w:val="24"/>
                <w:szCs w:val="24"/>
              </w:rPr>
            </w:pPr>
            <w:r w:rsidRPr="00792B36">
              <w:rPr>
                <w:color w:val="000000"/>
                <w:sz w:val="24"/>
                <w:szCs w:val="24"/>
              </w:rPr>
              <w:t>150.44</w:t>
            </w:r>
          </w:p>
        </w:tc>
        <w:tc>
          <w:tcPr>
            <w:tcW w:w="1027" w:type="dxa"/>
            <w:vAlign w:val="center"/>
          </w:tcPr>
          <w:p w14:paraId="786ADD4F" w14:textId="77777777" w:rsidR="009A0A63" w:rsidRPr="00792B36" w:rsidRDefault="009A0A63" w:rsidP="00A24459">
            <w:pPr>
              <w:contextualSpacing/>
              <w:jc w:val="center"/>
              <w:rPr>
                <w:sz w:val="24"/>
                <w:szCs w:val="24"/>
              </w:rPr>
            </w:pPr>
            <w:r w:rsidRPr="00792B36">
              <w:rPr>
                <w:color w:val="000000"/>
                <w:sz w:val="24"/>
                <w:szCs w:val="24"/>
              </w:rPr>
              <w:t>395.29</w:t>
            </w:r>
          </w:p>
        </w:tc>
        <w:tc>
          <w:tcPr>
            <w:tcW w:w="957" w:type="dxa"/>
            <w:vAlign w:val="center"/>
          </w:tcPr>
          <w:p w14:paraId="36B916FC" w14:textId="77777777" w:rsidR="009A0A63" w:rsidRPr="00792B36" w:rsidRDefault="009A0A63" w:rsidP="00A24459">
            <w:pPr>
              <w:contextualSpacing/>
              <w:jc w:val="center"/>
              <w:rPr>
                <w:sz w:val="24"/>
                <w:szCs w:val="24"/>
              </w:rPr>
            </w:pPr>
            <w:r w:rsidRPr="00792B36">
              <w:rPr>
                <w:color w:val="000000"/>
                <w:sz w:val="24"/>
                <w:szCs w:val="24"/>
              </w:rPr>
              <w:t>611.79</w:t>
            </w:r>
          </w:p>
        </w:tc>
        <w:tc>
          <w:tcPr>
            <w:tcW w:w="900" w:type="dxa"/>
            <w:vAlign w:val="center"/>
          </w:tcPr>
          <w:p w14:paraId="75B3A1FA" w14:textId="77777777" w:rsidR="009A0A63" w:rsidRPr="00792B36" w:rsidRDefault="009A0A63" w:rsidP="00A24459">
            <w:pPr>
              <w:contextualSpacing/>
              <w:jc w:val="center"/>
              <w:rPr>
                <w:sz w:val="24"/>
                <w:szCs w:val="24"/>
              </w:rPr>
            </w:pPr>
            <w:r w:rsidRPr="00792B36">
              <w:rPr>
                <w:color w:val="000000"/>
                <w:sz w:val="24"/>
                <w:szCs w:val="24"/>
              </w:rPr>
              <w:t>1,155.49</w:t>
            </w:r>
          </w:p>
        </w:tc>
      </w:tr>
      <w:tr w:rsidR="009A0A63" w:rsidRPr="00792B36" w14:paraId="06426595" w14:textId="77777777" w:rsidTr="00A24459">
        <w:trPr>
          <w:trHeight w:val="340"/>
        </w:trPr>
        <w:tc>
          <w:tcPr>
            <w:tcW w:w="617" w:type="dxa"/>
            <w:vAlign w:val="center"/>
          </w:tcPr>
          <w:p w14:paraId="1FA30AFC" w14:textId="77777777" w:rsidR="009A0A63" w:rsidRPr="00792B36" w:rsidRDefault="009A0A63" w:rsidP="00A24459">
            <w:pPr>
              <w:contextualSpacing/>
              <w:jc w:val="center"/>
              <w:rPr>
                <w:sz w:val="24"/>
                <w:szCs w:val="24"/>
              </w:rPr>
            </w:pPr>
            <w:r w:rsidRPr="00792B36">
              <w:rPr>
                <w:b/>
                <w:bCs/>
                <w:color w:val="000000"/>
                <w:sz w:val="24"/>
                <w:szCs w:val="24"/>
              </w:rPr>
              <w:t>2001</w:t>
            </w:r>
          </w:p>
        </w:tc>
        <w:tc>
          <w:tcPr>
            <w:tcW w:w="1177" w:type="dxa"/>
            <w:vAlign w:val="center"/>
          </w:tcPr>
          <w:p w14:paraId="4CE92E60" w14:textId="77777777" w:rsidR="009A0A63" w:rsidRPr="00792B36" w:rsidRDefault="009A0A63" w:rsidP="00A24459">
            <w:pPr>
              <w:contextualSpacing/>
              <w:jc w:val="center"/>
              <w:rPr>
                <w:sz w:val="24"/>
                <w:szCs w:val="24"/>
              </w:rPr>
            </w:pPr>
            <w:r w:rsidRPr="00792B36">
              <w:rPr>
                <w:color w:val="000000"/>
                <w:sz w:val="24"/>
                <w:szCs w:val="24"/>
              </w:rPr>
              <w:t>299.27</w:t>
            </w:r>
          </w:p>
        </w:tc>
        <w:tc>
          <w:tcPr>
            <w:tcW w:w="1095" w:type="dxa"/>
            <w:vAlign w:val="center"/>
          </w:tcPr>
          <w:p w14:paraId="28A507FF" w14:textId="77777777" w:rsidR="009A0A63" w:rsidRPr="00792B36" w:rsidRDefault="009A0A63" w:rsidP="00A24459">
            <w:pPr>
              <w:contextualSpacing/>
              <w:jc w:val="center"/>
              <w:rPr>
                <w:sz w:val="24"/>
                <w:szCs w:val="24"/>
              </w:rPr>
            </w:pPr>
            <w:r w:rsidRPr="00792B36">
              <w:rPr>
                <w:color w:val="000000"/>
                <w:sz w:val="24"/>
                <w:szCs w:val="24"/>
              </w:rPr>
              <w:t>4,959.26</w:t>
            </w:r>
          </w:p>
        </w:tc>
        <w:tc>
          <w:tcPr>
            <w:tcW w:w="987" w:type="dxa"/>
            <w:vAlign w:val="center"/>
          </w:tcPr>
          <w:p w14:paraId="5E30836C" w14:textId="77777777" w:rsidR="009A0A63" w:rsidRPr="00792B36" w:rsidRDefault="009A0A63" w:rsidP="00A24459">
            <w:pPr>
              <w:contextualSpacing/>
              <w:jc w:val="center"/>
              <w:rPr>
                <w:sz w:val="24"/>
                <w:szCs w:val="24"/>
              </w:rPr>
            </w:pPr>
            <w:r w:rsidRPr="00792B36">
              <w:rPr>
                <w:color w:val="000000"/>
                <w:sz w:val="24"/>
                <w:szCs w:val="24"/>
              </w:rPr>
              <w:t>1,720.10</w:t>
            </w:r>
          </w:p>
        </w:tc>
        <w:tc>
          <w:tcPr>
            <w:tcW w:w="1080" w:type="dxa"/>
            <w:vAlign w:val="center"/>
          </w:tcPr>
          <w:p w14:paraId="062EB282" w14:textId="77777777" w:rsidR="009A0A63" w:rsidRPr="00792B36" w:rsidRDefault="009A0A63" w:rsidP="00A24459">
            <w:pPr>
              <w:contextualSpacing/>
              <w:jc w:val="center"/>
              <w:rPr>
                <w:sz w:val="24"/>
                <w:szCs w:val="24"/>
              </w:rPr>
            </w:pPr>
            <w:r w:rsidRPr="00792B36">
              <w:rPr>
                <w:color w:val="000000"/>
                <w:sz w:val="24"/>
                <w:szCs w:val="24"/>
              </w:rPr>
              <w:t>6,976.11</w:t>
            </w:r>
          </w:p>
        </w:tc>
        <w:tc>
          <w:tcPr>
            <w:tcW w:w="1177" w:type="dxa"/>
            <w:vAlign w:val="center"/>
          </w:tcPr>
          <w:p w14:paraId="4882EAC3" w14:textId="77777777" w:rsidR="009A0A63" w:rsidRPr="00792B36" w:rsidRDefault="009A0A63" w:rsidP="00A24459">
            <w:pPr>
              <w:contextualSpacing/>
              <w:jc w:val="center"/>
              <w:rPr>
                <w:sz w:val="24"/>
                <w:szCs w:val="24"/>
              </w:rPr>
            </w:pPr>
            <w:r w:rsidRPr="00792B36">
              <w:rPr>
                <w:color w:val="000000"/>
                <w:sz w:val="24"/>
                <w:szCs w:val="24"/>
              </w:rPr>
              <w:t>163.19</w:t>
            </w:r>
          </w:p>
        </w:tc>
        <w:tc>
          <w:tcPr>
            <w:tcW w:w="1027" w:type="dxa"/>
            <w:vAlign w:val="center"/>
          </w:tcPr>
          <w:p w14:paraId="617503E5" w14:textId="77777777" w:rsidR="009A0A63" w:rsidRPr="00792B36" w:rsidRDefault="009A0A63" w:rsidP="00A24459">
            <w:pPr>
              <w:contextualSpacing/>
              <w:jc w:val="center"/>
              <w:rPr>
                <w:sz w:val="24"/>
                <w:szCs w:val="24"/>
              </w:rPr>
            </w:pPr>
            <w:r w:rsidRPr="00792B36">
              <w:rPr>
                <w:color w:val="000000"/>
                <w:sz w:val="24"/>
                <w:szCs w:val="24"/>
              </w:rPr>
              <w:t>372.78</w:t>
            </w:r>
          </w:p>
        </w:tc>
        <w:tc>
          <w:tcPr>
            <w:tcW w:w="957" w:type="dxa"/>
            <w:vAlign w:val="center"/>
          </w:tcPr>
          <w:p w14:paraId="612345DA" w14:textId="77777777" w:rsidR="009A0A63" w:rsidRPr="00792B36" w:rsidRDefault="009A0A63" w:rsidP="00A24459">
            <w:pPr>
              <w:contextualSpacing/>
              <w:jc w:val="center"/>
              <w:rPr>
                <w:sz w:val="24"/>
                <w:szCs w:val="24"/>
              </w:rPr>
            </w:pPr>
            <w:r w:rsidRPr="00792B36">
              <w:rPr>
                <w:color w:val="000000"/>
                <w:sz w:val="24"/>
                <w:szCs w:val="24"/>
              </w:rPr>
              <w:t>783.40</w:t>
            </w:r>
          </w:p>
        </w:tc>
        <w:tc>
          <w:tcPr>
            <w:tcW w:w="900" w:type="dxa"/>
            <w:vAlign w:val="center"/>
          </w:tcPr>
          <w:p w14:paraId="213B97FC" w14:textId="77777777" w:rsidR="009A0A63" w:rsidRPr="00792B36" w:rsidRDefault="009A0A63" w:rsidP="00A24459">
            <w:pPr>
              <w:contextualSpacing/>
              <w:jc w:val="center"/>
              <w:rPr>
                <w:sz w:val="24"/>
                <w:szCs w:val="24"/>
              </w:rPr>
            </w:pPr>
            <w:r w:rsidRPr="00792B36">
              <w:rPr>
                <w:color w:val="000000"/>
                <w:sz w:val="24"/>
                <w:szCs w:val="24"/>
              </w:rPr>
              <w:t>1,318.12</w:t>
            </w:r>
          </w:p>
        </w:tc>
      </w:tr>
      <w:tr w:rsidR="009A0A63" w:rsidRPr="00792B36" w14:paraId="389378F8" w14:textId="77777777" w:rsidTr="00A24459">
        <w:trPr>
          <w:trHeight w:val="340"/>
        </w:trPr>
        <w:tc>
          <w:tcPr>
            <w:tcW w:w="617" w:type="dxa"/>
            <w:vAlign w:val="center"/>
          </w:tcPr>
          <w:p w14:paraId="3C3FC019" w14:textId="77777777" w:rsidR="009A0A63" w:rsidRPr="00792B36" w:rsidRDefault="009A0A63" w:rsidP="00A24459">
            <w:pPr>
              <w:contextualSpacing/>
              <w:jc w:val="center"/>
              <w:rPr>
                <w:sz w:val="24"/>
                <w:szCs w:val="24"/>
              </w:rPr>
            </w:pPr>
            <w:r w:rsidRPr="00792B36">
              <w:rPr>
                <w:b/>
                <w:bCs/>
                <w:color w:val="000000"/>
                <w:sz w:val="24"/>
                <w:szCs w:val="24"/>
              </w:rPr>
              <w:t>2002</w:t>
            </w:r>
          </w:p>
        </w:tc>
        <w:tc>
          <w:tcPr>
            <w:tcW w:w="1177" w:type="dxa"/>
            <w:vAlign w:val="center"/>
          </w:tcPr>
          <w:p w14:paraId="74B9570C" w14:textId="77777777" w:rsidR="009A0A63" w:rsidRPr="00792B36" w:rsidRDefault="009A0A63" w:rsidP="00A24459">
            <w:pPr>
              <w:contextualSpacing/>
              <w:jc w:val="center"/>
              <w:rPr>
                <w:sz w:val="24"/>
                <w:szCs w:val="24"/>
              </w:rPr>
            </w:pPr>
            <w:r w:rsidRPr="00792B36">
              <w:rPr>
                <w:color w:val="000000"/>
                <w:sz w:val="24"/>
                <w:szCs w:val="24"/>
              </w:rPr>
              <w:t>275.35</w:t>
            </w:r>
          </w:p>
        </w:tc>
        <w:tc>
          <w:tcPr>
            <w:tcW w:w="1095" w:type="dxa"/>
            <w:vAlign w:val="center"/>
          </w:tcPr>
          <w:p w14:paraId="054D4AA5" w14:textId="77777777" w:rsidR="009A0A63" w:rsidRPr="00792B36" w:rsidRDefault="009A0A63" w:rsidP="00A24459">
            <w:pPr>
              <w:contextualSpacing/>
              <w:jc w:val="center"/>
              <w:rPr>
                <w:sz w:val="24"/>
                <w:szCs w:val="24"/>
              </w:rPr>
            </w:pPr>
            <w:r w:rsidRPr="00792B36">
              <w:rPr>
                <w:color w:val="000000"/>
                <w:sz w:val="24"/>
                <w:szCs w:val="24"/>
              </w:rPr>
              <w:t>5,188.08</w:t>
            </w:r>
          </w:p>
        </w:tc>
        <w:tc>
          <w:tcPr>
            <w:tcW w:w="987" w:type="dxa"/>
            <w:vAlign w:val="center"/>
          </w:tcPr>
          <w:p w14:paraId="013542FC" w14:textId="77777777" w:rsidR="009A0A63" w:rsidRPr="00792B36" w:rsidRDefault="009A0A63" w:rsidP="00A24459">
            <w:pPr>
              <w:contextualSpacing/>
              <w:jc w:val="center"/>
              <w:rPr>
                <w:sz w:val="24"/>
                <w:szCs w:val="24"/>
              </w:rPr>
            </w:pPr>
            <w:r w:rsidRPr="00792B36">
              <w:rPr>
                <w:color w:val="000000"/>
                <w:sz w:val="24"/>
                <w:szCs w:val="24"/>
              </w:rPr>
              <w:t>1,612.42</w:t>
            </w:r>
          </w:p>
        </w:tc>
        <w:tc>
          <w:tcPr>
            <w:tcW w:w="1080" w:type="dxa"/>
            <w:vAlign w:val="center"/>
          </w:tcPr>
          <w:p w14:paraId="73576302" w14:textId="77777777" w:rsidR="009A0A63" w:rsidRPr="00792B36" w:rsidRDefault="009A0A63" w:rsidP="00A24459">
            <w:pPr>
              <w:contextualSpacing/>
              <w:jc w:val="center"/>
              <w:rPr>
                <w:sz w:val="24"/>
                <w:szCs w:val="24"/>
              </w:rPr>
            </w:pPr>
            <w:r w:rsidRPr="00792B36">
              <w:rPr>
                <w:color w:val="000000"/>
                <w:sz w:val="24"/>
                <w:szCs w:val="24"/>
              </w:rPr>
              <w:t>7,075.85</w:t>
            </w:r>
          </w:p>
        </w:tc>
        <w:tc>
          <w:tcPr>
            <w:tcW w:w="1177" w:type="dxa"/>
            <w:vAlign w:val="center"/>
          </w:tcPr>
          <w:p w14:paraId="7A7E3D09" w14:textId="77777777" w:rsidR="009A0A63" w:rsidRPr="00792B36" w:rsidRDefault="009A0A63" w:rsidP="00A24459">
            <w:pPr>
              <w:contextualSpacing/>
              <w:jc w:val="center"/>
              <w:rPr>
                <w:sz w:val="24"/>
                <w:szCs w:val="24"/>
              </w:rPr>
            </w:pPr>
            <w:r w:rsidRPr="00792B36">
              <w:rPr>
                <w:color w:val="000000"/>
                <w:sz w:val="24"/>
                <w:szCs w:val="24"/>
              </w:rPr>
              <w:t>113.55</w:t>
            </w:r>
          </w:p>
        </w:tc>
        <w:tc>
          <w:tcPr>
            <w:tcW w:w="1027" w:type="dxa"/>
            <w:vAlign w:val="center"/>
          </w:tcPr>
          <w:p w14:paraId="57F86A7E" w14:textId="77777777" w:rsidR="009A0A63" w:rsidRPr="00792B36" w:rsidRDefault="009A0A63" w:rsidP="00A24459">
            <w:pPr>
              <w:contextualSpacing/>
              <w:jc w:val="center"/>
              <w:rPr>
                <w:sz w:val="24"/>
                <w:szCs w:val="24"/>
              </w:rPr>
            </w:pPr>
            <w:r w:rsidRPr="00792B36">
              <w:rPr>
                <w:color w:val="000000"/>
                <w:sz w:val="24"/>
                <w:szCs w:val="24"/>
              </w:rPr>
              <w:t>378.27</w:t>
            </w:r>
          </w:p>
        </w:tc>
        <w:tc>
          <w:tcPr>
            <w:tcW w:w="957" w:type="dxa"/>
            <w:vAlign w:val="center"/>
          </w:tcPr>
          <w:p w14:paraId="701A5716" w14:textId="77777777" w:rsidR="009A0A63" w:rsidRPr="00792B36" w:rsidRDefault="009A0A63" w:rsidP="00A24459">
            <w:pPr>
              <w:contextualSpacing/>
              <w:jc w:val="center"/>
              <w:rPr>
                <w:sz w:val="24"/>
                <w:szCs w:val="24"/>
              </w:rPr>
            </w:pPr>
            <w:r w:rsidRPr="00792B36">
              <w:rPr>
                <w:color w:val="000000"/>
                <w:sz w:val="24"/>
                <w:szCs w:val="24"/>
              </w:rPr>
              <w:t>595.08</w:t>
            </w:r>
          </w:p>
        </w:tc>
        <w:tc>
          <w:tcPr>
            <w:tcW w:w="900" w:type="dxa"/>
            <w:vAlign w:val="center"/>
          </w:tcPr>
          <w:p w14:paraId="3D8BD5BD" w14:textId="77777777" w:rsidR="009A0A63" w:rsidRPr="00792B36" w:rsidRDefault="009A0A63" w:rsidP="00A24459">
            <w:pPr>
              <w:contextualSpacing/>
              <w:jc w:val="center"/>
              <w:rPr>
                <w:sz w:val="24"/>
                <w:szCs w:val="24"/>
              </w:rPr>
            </w:pPr>
            <w:r w:rsidRPr="00792B36">
              <w:rPr>
                <w:color w:val="000000"/>
                <w:sz w:val="24"/>
                <w:szCs w:val="24"/>
              </w:rPr>
              <w:t>1,086.90</w:t>
            </w:r>
          </w:p>
        </w:tc>
      </w:tr>
      <w:tr w:rsidR="009A0A63" w:rsidRPr="00792B36" w14:paraId="2F867087" w14:textId="77777777" w:rsidTr="00A24459">
        <w:trPr>
          <w:trHeight w:val="340"/>
        </w:trPr>
        <w:tc>
          <w:tcPr>
            <w:tcW w:w="617" w:type="dxa"/>
            <w:vAlign w:val="center"/>
          </w:tcPr>
          <w:p w14:paraId="0C949C9C" w14:textId="77777777" w:rsidR="009A0A63" w:rsidRPr="00792B36" w:rsidRDefault="009A0A63" w:rsidP="00A24459">
            <w:pPr>
              <w:contextualSpacing/>
              <w:jc w:val="center"/>
              <w:rPr>
                <w:sz w:val="24"/>
                <w:szCs w:val="24"/>
              </w:rPr>
            </w:pPr>
            <w:r w:rsidRPr="00792B36">
              <w:rPr>
                <w:b/>
                <w:bCs/>
                <w:color w:val="000000"/>
                <w:sz w:val="24"/>
                <w:szCs w:val="24"/>
              </w:rPr>
              <w:t>2003</w:t>
            </w:r>
          </w:p>
        </w:tc>
        <w:tc>
          <w:tcPr>
            <w:tcW w:w="1177" w:type="dxa"/>
            <w:vAlign w:val="center"/>
          </w:tcPr>
          <w:p w14:paraId="3C48D055" w14:textId="77777777" w:rsidR="009A0A63" w:rsidRPr="00792B36" w:rsidRDefault="009A0A63" w:rsidP="00A24459">
            <w:pPr>
              <w:contextualSpacing/>
              <w:jc w:val="center"/>
              <w:rPr>
                <w:sz w:val="24"/>
                <w:szCs w:val="24"/>
              </w:rPr>
            </w:pPr>
            <w:r w:rsidRPr="00792B36">
              <w:rPr>
                <w:color w:val="000000"/>
                <w:sz w:val="24"/>
                <w:szCs w:val="24"/>
              </w:rPr>
              <w:t>620.89</w:t>
            </w:r>
          </w:p>
        </w:tc>
        <w:tc>
          <w:tcPr>
            <w:tcW w:w="1095" w:type="dxa"/>
            <w:vAlign w:val="center"/>
          </w:tcPr>
          <w:p w14:paraId="506D278B" w14:textId="77777777" w:rsidR="009A0A63" w:rsidRPr="00792B36" w:rsidRDefault="009A0A63" w:rsidP="00A24459">
            <w:pPr>
              <w:contextualSpacing/>
              <w:jc w:val="center"/>
              <w:rPr>
                <w:sz w:val="24"/>
                <w:szCs w:val="24"/>
              </w:rPr>
            </w:pPr>
            <w:r w:rsidRPr="00792B36">
              <w:rPr>
                <w:color w:val="000000"/>
                <w:sz w:val="24"/>
                <w:szCs w:val="24"/>
              </w:rPr>
              <w:t>5,483.47</w:t>
            </w:r>
          </w:p>
        </w:tc>
        <w:tc>
          <w:tcPr>
            <w:tcW w:w="987" w:type="dxa"/>
            <w:vAlign w:val="center"/>
          </w:tcPr>
          <w:p w14:paraId="0692D119" w14:textId="77777777" w:rsidR="009A0A63" w:rsidRPr="00792B36" w:rsidRDefault="009A0A63" w:rsidP="00A24459">
            <w:pPr>
              <w:contextualSpacing/>
              <w:jc w:val="center"/>
              <w:rPr>
                <w:sz w:val="24"/>
                <w:szCs w:val="24"/>
              </w:rPr>
            </w:pPr>
            <w:r w:rsidRPr="00792B36">
              <w:rPr>
                <w:color w:val="000000"/>
                <w:sz w:val="24"/>
                <w:szCs w:val="24"/>
              </w:rPr>
              <w:t>1,627.10</w:t>
            </w:r>
          </w:p>
        </w:tc>
        <w:tc>
          <w:tcPr>
            <w:tcW w:w="1080" w:type="dxa"/>
            <w:vAlign w:val="center"/>
          </w:tcPr>
          <w:p w14:paraId="496C5824" w14:textId="77777777" w:rsidR="009A0A63" w:rsidRPr="00792B36" w:rsidRDefault="009A0A63" w:rsidP="00A24459">
            <w:pPr>
              <w:contextualSpacing/>
              <w:jc w:val="center"/>
              <w:rPr>
                <w:sz w:val="24"/>
                <w:szCs w:val="24"/>
              </w:rPr>
            </w:pPr>
            <w:r w:rsidRPr="00792B36">
              <w:rPr>
                <w:color w:val="000000"/>
                <w:sz w:val="24"/>
                <w:szCs w:val="24"/>
              </w:rPr>
              <w:t>7,731.46</w:t>
            </w:r>
          </w:p>
        </w:tc>
        <w:tc>
          <w:tcPr>
            <w:tcW w:w="1177" w:type="dxa"/>
            <w:vAlign w:val="center"/>
          </w:tcPr>
          <w:p w14:paraId="5C7E2F6C" w14:textId="77777777" w:rsidR="009A0A63" w:rsidRPr="00792B36" w:rsidRDefault="009A0A63" w:rsidP="00A24459">
            <w:pPr>
              <w:contextualSpacing/>
              <w:jc w:val="center"/>
              <w:rPr>
                <w:sz w:val="24"/>
                <w:szCs w:val="24"/>
              </w:rPr>
            </w:pPr>
            <w:r w:rsidRPr="00792B36">
              <w:rPr>
                <w:color w:val="000000"/>
                <w:sz w:val="24"/>
                <w:szCs w:val="24"/>
              </w:rPr>
              <w:t>111.35</w:t>
            </w:r>
          </w:p>
        </w:tc>
        <w:tc>
          <w:tcPr>
            <w:tcW w:w="1027" w:type="dxa"/>
            <w:vAlign w:val="center"/>
          </w:tcPr>
          <w:p w14:paraId="6FEE33F9" w14:textId="77777777" w:rsidR="009A0A63" w:rsidRPr="00792B36" w:rsidRDefault="009A0A63" w:rsidP="00A24459">
            <w:pPr>
              <w:contextualSpacing/>
              <w:jc w:val="center"/>
              <w:rPr>
                <w:sz w:val="24"/>
                <w:szCs w:val="24"/>
              </w:rPr>
            </w:pPr>
            <w:r w:rsidRPr="00792B36">
              <w:rPr>
                <w:color w:val="000000"/>
                <w:sz w:val="24"/>
                <w:szCs w:val="24"/>
              </w:rPr>
              <w:t>426.64</w:t>
            </w:r>
          </w:p>
        </w:tc>
        <w:tc>
          <w:tcPr>
            <w:tcW w:w="957" w:type="dxa"/>
            <w:vAlign w:val="center"/>
          </w:tcPr>
          <w:p w14:paraId="204CCD52" w14:textId="77777777" w:rsidR="009A0A63" w:rsidRPr="00792B36" w:rsidRDefault="009A0A63" w:rsidP="00A24459">
            <w:pPr>
              <w:contextualSpacing/>
              <w:jc w:val="center"/>
              <w:rPr>
                <w:sz w:val="24"/>
                <w:szCs w:val="24"/>
              </w:rPr>
            </w:pPr>
            <w:r w:rsidRPr="00792B36">
              <w:rPr>
                <w:color w:val="000000"/>
                <w:sz w:val="24"/>
                <w:szCs w:val="24"/>
              </w:rPr>
              <w:t>649.63</w:t>
            </w:r>
          </w:p>
        </w:tc>
        <w:tc>
          <w:tcPr>
            <w:tcW w:w="900" w:type="dxa"/>
            <w:vAlign w:val="center"/>
          </w:tcPr>
          <w:p w14:paraId="3D6D91FD" w14:textId="77777777" w:rsidR="009A0A63" w:rsidRPr="00792B36" w:rsidRDefault="009A0A63" w:rsidP="00A24459">
            <w:pPr>
              <w:contextualSpacing/>
              <w:jc w:val="center"/>
              <w:rPr>
                <w:sz w:val="24"/>
                <w:szCs w:val="24"/>
              </w:rPr>
            </w:pPr>
            <w:r w:rsidRPr="00792B36">
              <w:rPr>
                <w:color w:val="000000"/>
                <w:sz w:val="24"/>
                <w:szCs w:val="24"/>
              </w:rPr>
              <w:t>1,187.62</w:t>
            </w:r>
          </w:p>
        </w:tc>
      </w:tr>
      <w:tr w:rsidR="009A0A63" w:rsidRPr="00792B36" w14:paraId="2F4B5EAB" w14:textId="77777777" w:rsidTr="00A24459">
        <w:trPr>
          <w:trHeight w:val="340"/>
        </w:trPr>
        <w:tc>
          <w:tcPr>
            <w:tcW w:w="617" w:type="dxa"/>
            <w:vAlign w:val="center"/>
          </w:tcPr>
          <w:p w14:paraId="5397A7CF" w14:textId="77777777" w:rsidR="009A0A63" w:rsidRPr="00792B36" w:rsidRDefault="009A0A63" w:rsidP="00A24459">
            <w:pPr>
              <w:contextualSpacing/>
              <w:jc w:val="center"/>
              <w:rPr>
                <w:sz w:val="24"/>
                <w:szCs w:val="24"/>
              </w:rPr>
            </w:pPr>
            <w:r w:rsidRPr="00792B36">
              <w:rPr>
                <w:b/>
                <w:bCs/>
                <w:color w:val="000000"/>
                <w:sz w:val="24"/>
                <w:szCs w:val="24"/>
              </w:rPr>
              <w:t>2004</w:t>
            </w:r>
          </w:p>
        </w:tc>
        <w:tc>
          <w:tcPr>
            <w:tcW w:w="1177" w:type="dxa"/>
            <w:vAlign w:val="center"/>
          </w:tcPr>
          <w:p w14:paraId="7C0D95F3" w14:textId="77777777" w:rsidR="009A0A63" w:rsidRPr="00792B36" w:rsidRDefault="009A0A63" w:rsidP="00A24459">
            <w:pPr>
              <w:contextualSpacing/>
              <w:jc w:val="center"/>
              <w:rPr>
                <w:sz w:val="24"/>
                <w:szCs w:val="24"/>
              </w:rPr>
            </w:pPr>
            <w:r w:rsidRPr="00792B36">
              <w:rPr>
                <w:color w:val="000000"/>
                <w:sz w:val="24"/>
                <w:szCs w:val="24"/>
              </w:rPr>
              <w:t>550.44</w:t>
            </w:r>
          </w:p>
        </w:tc>
        <w:tc>
          <w:tcPr>
            <w:tcW w:w="1095" w:type="dxa"/>
            <w:vAlign w:val="center"/>
          </w:tcPr>
          <w:p w14:paraId="303E7EBE" w14:textId="77777777" w:rsidR="009A0A63" w:rsidRPr="00792B36" w:rsidRDefault="009A0A63" w:rsidP="00A24459">
            <w:pPr>
              <w:contextualSpacing/>
              <w:jc w:val="center"/>
              <w:rPr>
                <w:sz w:val="24"/>
                <w:szCs w:val="24"/>
              </w:rPr>
            </w:pPr>
            <w:r w:rsidRPr="00792B36">
              <w:rPr>
                <w:color w:val="000000"/>
                <w:sz w:val="24"/>
                <w:szCs w:val="24"/>
              </w:rPr>
              <w:t>5,571.73</w:t>
            </w:r>
          </w:p>
        </w:tc>
        <w:tc>
          <w:tcPr>
            <w:tcW w:w="987" w:type="dxa"/>
            <w:vAlign w:val="center"/>
          </w:tcPr>
          <w:p w14:paraId="6891156A" w14:textId="77777777" w:rsidR="009A0A63" w:rsidRPr="00792B36" w:rsidRDefault="009A0A63" w:rsidP="00A24459">
            <w:pPr>
              <w:contextualSpacing/>
              <w:jc w:val="center"/>
              <w:rPr>
                <w:sz w:val="24"/>
                <w:szCs w:val="24"/>
              </w:rPr>
            </w:pPr>
            <w:r w:rsidRPr="00792B36">
              <w:rPr>
                <w:color w:val="000000"/>
                <w:sz w:val="24"/>
                <w:szCs w:val="24"/>
              </w:rPr>
              <w:t>1,632.89</w:t>
            </w:r>
          </w:p>
        </w:tc>
        <w:tc>
          <w:tcPr>
            <w:tcW w:w="1080" w:type="dxa"/>
            <w:vAlign w:val="center"/>
          </w:tcPr>
          <w:p w14:paraId="20EF6DE9" w14:textId="77777777" w:rsidR="009A0A63" w:rsidRPr="00792B36" w:rsidRDefault="009A0A63" w:rsidP="00A24459">
            <w:pPr>
              <w:contextualSpacing/>
              <w:jc w:val="center"/>
              <w:rPr>
                <w:sz w:val="24"/>
                <w:szCs w:val="24"/>
              </w:rPr>
            </w:pPr>
            <w:r w:rsidRPr="00792B36">
              <w:rPr>
                <w:color w:val="000000"/>
                <w:sz w:val="24"/>
                <w:szCs w:val="24"/>
              </w:rPr>
              <w:t>7,759.42</w:t>
            </w:r>
          </w:p>
        </w:tc>
        <w:tc>
          <w:tcPr>
            <w:tcW w:w="1177" w:type="dxa"/>
            <w:vAlign w:val="center"/>
          </w:tcPr>
          <w:p w14:paraId="1C58346D" w14:textId="77777777" w:rsidR="009A0A63" w:rsidRPr="00792B36" w:rsidRDefault="009A0A63" w:rsidP="00A24459">
            <w:pPr>
              <w:contextualSpacing/>
              <w:jc w:val="center"/>
              <w:rPr>
                <w:sz w:val="24"/>
                <w:szCs w:val="24"/>
              </w:rPr>
            </w:pPr>
            <w:r w:rsidRPr="00792B36">
              <w:rPr>
                <w:color w:val="000000"/>
                <w:sz w:val="24"/>
                <w:szCs w:val="24"/>
              </w:rPr>
              <w:t>124.94</w:t>
            </w:r>
          </w:p>
        </w:tc>
        <w:tc>
          <w:tcPr>
            <w:tcW w:w="1027" w:type="dxa"/>
            <w:vAlign w:val="center"/>
          </w:tcPr>
          <w:p w14:paraId="7EDFF696" w14:textId="77777777" w:rsidR="009A0A63" w:rsidRPr="00792B36" w:rsidRDefault="009A0A63" w:rsidP="00A24459">
            <w:pPr>
              <w:contextualSpacing/>
              <w:jc w:val="center"/>
              <w:rPr>
                <w:sz w:val="24"/>
                <w:szCs w:val="24"/>
              </w:rPr>
            </w:pPr>
            <w:r w:rsidRPr="00792B36">
              <w:rPr>
                <w:color w:val="000000"/>
                <w:sz w:val="24"/>
                <w:szCs w:val="24"/>
              </w:rPr>
              <w:t>456.56</w:t>
            </w:r>
          </w:p>
        </w:tc>
        <w:tc>
          <w:tcPr>
            <w:tcW w:w="957" w:type="dxa"/>
            <w:vAlign w:val="center"/>
          </w:tcPr>
          <w:p w14:paraId="7103D326" w14:textId="77777777" w:rsidR="009A0A63" w:rsidRPr="00792B36" w:rsidRDefault="009A0A63" w:rsidP="00A24459">
            <w:pPr>
              <w:contextualSpacing/>
              <w:jc w:val="center"/>
              <w:rPr>
                <w:sz w:val="24"/>
                <w:szCs w:val="24"/>
              </w:rPr>
            </w:pPr>
            <w:r w:rsidRPr="00792B36">
              <w:rPr>
                <w:color w:val="000000"/>
                <w:sz w:val="24"/>
                <w:szCs w:val="24"/>
              </w:rPr>
              <w:t>698.09</w:t>
            </w:r>
          </w:p>
        </w:tc>
        <w:tc>
          <w:tcPr>
            <w:tcW w:w="900" w:type="dxa"/>
            <w:vAlign w:val="center"/>
          </w:tcPr>
          <w:p w14:paraId="3AC83FFB" w14:textId="77777777" w:rsidR="009A0A63" w:rsidRPr="00792B36" w:rsidRDefault="009A0A63" w:rsidP="00A24459">
            <w:pPr>
              <w:contextualSpacing/>
              <w:jc w:val="center"/>
              <w:rPr>
                <w:sz w:val="24"/>
                <w:szCs w:val="24"/>
              </w:rPr>
            </w:pPr>
            <w:r w:rsidRPr="00792B36">
              <w:rPr>
                <w:color w:val="000000"/>
                <w:sz w:val="24"/>
                <w:szCs w:val="24"/>
              </w:rPr>
              <w:t>1,280.45</w:t>
            </w:r>
          </w:p>
        </w:tc>
      </w:tr>
      <w:tr w:rsidR="009A0A63" w:rsidRPr="00792B36" w14:paraId="56AEFBF8" w14:textId="77777777" w:rsidTr="00A24459">
        <w:trPr>
          <w:trHeight w:val="340"/>
        </w:trPr>
        <w:tc>
          <w:tcPr>
            <w:tcW w:w="617" w:type="dxa"/>
            <w:vAlign w:val="center"/>
          </w:tcPr>
          <w:p w14:paraId="797BA1D5" w14:textId="77777777" w:rsidR="009A0A63" w:rsidRPr="00792B36" w:rsidRDefault="009A0A63" w:rsidP="00A24459">
            <w:pPr>
              <w:contextualSpacing/>
              <w:jc w:val="center"/>
              <w:rPr>
                <w:sz w:val="24"/>
                <w:szCs w:val="24"/>
              </w:rPr>
            </w:pPr>
            <w:r w:rsidRPr="00792B36">
              <w:rPr>
                <w:b/>
                <w:bCs/>
                <w:color w:val="000000"/>
                <w:sz w:val="24"/>
                <w:szCs w:val="24"/>
              </w:rPr>
              <w:t>2005</w:t>
            </w:r>
          </w:p>
        </w:tc>
        <w:tc>
          <w:tcPr>
            <w:tcW w:w="1177" w:type="dxa"/>
            <w:vAlign w:val="center"/>
          </w:tcPr>
          <w:p w14:paraId="16FC4ECF" w14:textId="77777777" w:rsidR="009A0A63" w:rsidRPr="00792B36" w:rsidRDefault="009A0A63" w:rsidP="00A24459">
            <w:pPr>
              <w:contextualSpacing/>
              <w:jc w:val="center"/>
              <w:rPr>
                <w:sz w:val="24"/>
                <w:szCs w:val="24"/>
              </w:rPr>
            </w:pPr>
            <w:r w:rsidRPr="00792B36">
              <w:rPr>
                <w:color w:val="000000"/>
                <w:sz w:val="24"/>
                <w:szCs w:val="24"/>
              </w:rPr>
              <w:t>421.68</w:t>
            </w:r>
          </w:p>
        </w:tc>
        <w:tc>
          <w:tcPr>
            <w:tcW w:w="1095" w:type="dxa"/>
            <w:vAlign w:val="center"/>
          </w:tcPr>
          <w:p w14:paraId="68681A5D" w14:textId="77777777" w:rsidR="009A0A63" w:rsidRPr="00792B36" w:rsidRDefault="009A0A63" w:rsidP="00A24459">
            <w:pPr>
              <w:contextualSpacing/>
              <w:jc w:val="center"/>
              <w:rPr>
                <w:sz w:val="24"/>
                <w:szCs w:val="24"/>
              </w:rPr>
            </w:pPr>
            <w:r w:rsidRPr="00792B36">
              <w:rPr>
                <w:color w:val="000000"/>
                <w:sz w:val="24"/>
                <w:szCs w:val="24"/>
              </w:rPr>
              <w:t>5,324.81</w:t>
            </w:r>
          </w:p>
        </w:tc>
        <w:tc>
          <w:tcPr>
            <w:tcW w:w="987" w:type="dxa"/>
            <w:vAlign w:val="center"/>
          </w:tcPr>
          <w:p w14:paraId="7CC84057" w14:textId="77777777" w:rsidR="009A0A63" w:rsidRPr="00792B36" w:rsidRDefault="009A0A63" w:rsidP="00A24459">
            <w:pPr>
              <w:contextualSpacing/>
              <w:jc w:val="center"/>
              <w:rPr>
                <w:sz w:val="24"/>
                <w:szCs w:val="24"/>
              </w:rPr>
            </w:pPr>
            <w:r w:rsidRPr="00792B36">
              <w:rPr>
                <w:color w:val="000000"/>
                <w:sz w:val="24"/>
                <w:szCs w:val="24"/>
              </w:rPr>
              <w:t>1,539.12</w:t>
            </w:r>
          </w:p>
        </w:tc>
        <w:tc>
          <w:tcPr>
            <w:tcW w:w="1080" w:type="dxa"/>
            <w:vAlign w:val="center"/>
          </w:tcPr>
          <w:p w14:paraId="295952A7" w14:textId="77777777" w:rsidR="009A0A63" w:rsidRPr="00792B36" w:rsidRDefault="009A0A63" w:rsidP="00A24459">
            <w:pPr>
              <w:contextualSpacing/>
              <w:jc w:val="center"/>
              <w:rPr>
                <w:sz w:val="24"/>
                <w:szCs w:val="24"/>
              </w:rPr>
            </w:pPr>
            <w:r w:rsidRPr="00792B36">
              <w:rPr>
                <w:color w:val="000000"/>
                <w:sz w:val="24"/>
                <w:szCs w:val="24"/>
              </w:rPr>
              <w:t>7,305.19</w:t>
            </w:r>
          </w:p>
        </w:tc>
        <w:tc>
          <w:tcPr>
            <w:tcW w:w="1177" w:type="dxa"/>
            <w:vAlign w:val="center"/>
          </w:tcPr>
          <w:p w14:paraId="62C48CAF" w14:textId="77777777" w:rsidR="009A0A63" w:rsidRPr="00792B36" w:rsidRDefault="009A0A63" w:rsidP="00A24459">
            <w:pPr>
              <w:contextualSpacing/>
              <w:jc w:val="center"/>
              <w:rPr>
                <w:sz w:val="24"/>
                <w:szCs w:val="24"/>
              </w:rPr>
            </w:pPr>
            <w:r w:rsidRPr="00792B36">
              <w:rPr>
                <w:color w:val="000000"/>
                <w:sz w:val="24"/>
                <w:szCs w:val="24"/>
              </w:rPr>
              <w:t>162.30</w:t>
            </w:r>
          </w:p>
        </w:tc>
        <w:tc>
          <w:tcPr>
            <w:tcW w:w="1027" w:type="dxa"/>
            <w:vAlign w:val="center"/>
          </w:tcPr>
          <w:p w14:paraId="2956025F" w14:textId="77777777" w:rsidR="009A0A63" w:rsidRPr="00792B36" w:rsidRDefault="009A0A63" w:rsidP="00A24459">
            <w:pPr>
              <w:contextualSpacing/>
              <w:jc w:val="center"/>
              <w:rPr>
                <w:sz w:val="24"/>
                <w:szCs w:val="24"/>
              </w:rPr>
            </w:pPr>
            <w:r w:rsidRPr="00792B36">
              <w:rPr>
                <w:color w:val="000000"/>
                <w:sz w:val="24"/>
                <w:szCs w:val="24"/>
              </w:rPr>
              <w:t>477.15</w:t>
            </w:r>
          </w:p>
        </w:tc>
        <w:tc>
          <w:tcPr>
            <w:tcW w:w="957" w:type="dxa"/>
            <w:vAlign w:val="center"/>
          </w:tcPr>
          <w:p w14:paraId="63A5C675" w14:textId="77777777" w:rsidR="009A0A63" w:rsidRPr="00792B36" w:rsidRDefault="009A0A63" w:rsidP="00A24459">
            <w:pPr>
              <w:contextualSpacing/>
              <w:jc w:val="center"/>
              <w:rPr>
                <w:sz w:val="24"/>
                <w:szCs w:val="24"/>
              </w:rPr>
            </w:pPr>
            <w:r w:rsidRPr="00792B36">
              <w:rPr>
                <w:color w:val="000000"/>
                <w:sz w:val="24"/>
                <w:szCs w:val="24"/>
              </w:rPr>
              <w:t>788.67</w:t>
            </w:r>
          </w:p>
        </w:tc>
        <w:tc>
          <w:tcPr>
            <w:tcW w:w="900" w:type="dxa"/>
            <w:vAlign w:val="center"/>
          </w:tcPr>
          <w:p w14:paraId="69BB6F70" w14:textId="77777777" w:rsidR="009A0A63" w:rsidRPr="00792B36" w:rsidRDefault="009A0A63" w:rsidP="00A24459">
            <w:pPr>
              <w:contextualSpacing/>
              <w:jc w:val="center"/>
              <w:rPr>
                <w:sz w:val="24"/>
                <w:szCs w:val="24"/>
              </w:rPr>
            </w:pPr>
            <w:r w:rsidRPr="00792B36">
              <w:rPr>
                <w:color w:val="000000"/>
                <w:sz w:val="24"/>
                <w:szCs w:val="24"/>
              </w:rPr>
              <w:t>1,433.38</w:t>
            </w:r>
          </w:p>
        </w:tc>
      </w:tr>
      <w:tr w:rsidR="009A0A63" w:rsidRPr="00792B36" w14:paraId="71DD0ABC" w14:textId="77777777" w:rsidTr="00A24459">
        <w:trPr>
          <w:trHeight w:val="340"/>
        </w:trPr>
        <w:tc>
          <w:tcPr>
            <w:tcW w:w="617" w:type="dxa"/>
            <w:vAlign w:val="center"/>
          </w:tcPr>
          <w:p w14:paraId="12054299" w14:textId="77777777" w:rsidR="009A0A63" w:rsidRPr="00792B36" w:rsidRDefault="009A0A63" w:rsidP="00A24459">
            <w:pPr>
              <w:contextualSpacing/>
              <w:jc w:val="center"/>
              <w:rPr>
                <w:sz w:val="24"/>
                <w:szCs w:val="24"/>
              </w:rPr>
            </w:pPr>
            <w:r w:rsidRPr="00792B36">
              <w:rPr>
                <w:b/>
                <w:bCs/>
                <w:color w:val="000000"/>
                <w:sz w:val="24"/>
                <w:szCs w:val="24"/>
              </w:rPr>
              <w:t>200</w:t>
            </w:r>
            <w:r w:rsidRPr="00792B36">
              <w:rPr>
                <w:b/>
                <w:bCs/>
                <w:color w:val="000000"/>
                <w:sz w:val="24"/>
                <w:szCs w:val="24"/>
              </w:rPr>
              <w:lastRenderedPageBreak/>
              <w:t>6</w:t>
            </w:r>
          </w:p>
        </w:tc>
        <w:tc>
          <w:tcPr>
            <w:tcW w:w="1177" w:type="dxa"/>
            <w:vAlign w:val="center"/>
          </w:tcPr>
          <w:p w14:paraId="6ED89177" w14:textId="77777777" w:rsidR="009A0A63" w:rsidRPr="00792B36" w:rsidRDefault="009A0A63" w:rsidP="00A24459">
            <w:pPr>
              <w:contextualSpacing/>
              <w:jc w:val="center"/>
              <w:rPr>
                <w:sz w:val="24"/>
                <w:szCs w:val="24"/>
              </w:rPr>
            </w:pPr>
            <w:r w:rsidRPr="00792B36">
              <w:rPr>
                <w:color w:val="000000"/>
                <w:sz w:val="24"/>
                <w:szCs w:val="24"/>
              </w:rPr>
              <w:lastRenderedPageBreak/>
              <w:t>538.76</w:t>
            </w:r>
          </w:p>
        </w:tc>
        <w:tc>
          <w:tcPr>
            <w:tcW w:w="1095" w:type="dxa"/>
            <w:vAlign w:val="center"/>
          </w:tcPr>
          <w:p w14:paraId="055170AE" w14:textId="77777777" w:rsidR="009A0A63" w:rsidRPr="00792B36" w:rsidRDefault="009A0A63" w:rsidP="00A24459">
            <w:pPr>
              <w:contextualSpacing/>
              <w:jc w:val="center"/>
              <w:rPr>
                <w:sz w:val="24"/>
                <w:szCs w:val="24"/>
              </w:rPr>
            </w:pPr>
            <w:r w:rsidRPr="00792B36">
              <w:rPr>
                <w:color w:val="000000"/>
                <w:sz w:val="24"/>
                <w:szCs w:val="24"/>
              </w:rPr>
              <w:t>5,264.5</w:t>
            </w:r>
            <w:r w:rsidRPr="00792B36">
              <w:rPr>
                <w:color w:val="000000"/>
                <w:sz w:val="24"/>
                <w:szCs w:val="24"/>
              </w:rPr>
              <w:lastRenderedPageBreak/>
              <w:t>0</w:t>
            </w:r>
          </w:p>
        </w:tc>
        <w:tc>
          <w:tcPr>
            <w:tcW w:w="987" w:type="dxa"/>
            <w:vAlign w:val="center"/>
          </w:tcPr>
          <w:p w14:paraId="205C6CA6" w14:textId="77777777" w:rsidR="009A0A63" w:rsidRPr="00792B36" w:rsidRDefault="009A0A63" w:rsidP="00A24459">
            <w:pPr>
              <w:contextualSpacing/>
              <w:jc w:val="center"/>
              <w:rPr>
                <w:sz w:val="24"/>
                <w:szCs w:val="24"/>
              </w:rPr>
            </w:pPr>
            <w:r w:rsidRPr="00792B36">
              <w:rPr>
                <w:color w:val="000000"/>
                <w:sz w:val="24"/>
                <w:szCs w:val="24"/>
              </w:rPr>
              <w:lastRenderedPageBreak/>
              <w:t>1,463.</w:t>
            </w:r>
            <w:r w:rsidRPr="00792B36">
              <w:rPr>
                <w:color w:val="000000"/>
                <w:sz w:val="24"/>
                <w:szCs w:val="24"/>
              </w:rPr>
              <w:lastRenderedPageBreak/>
              <w:t>19</w:t>
            </w:r>
          </w:p>
        </w:tc>
        <w:tc>
          <w:tcPr>
            <w:tcW w:w="1080" w:type="dxa"/>
            <w:vAlign w:val="center"/>
          </w:tcPr>
          <w:p w14:paraId="14C0E0F1" w14:textId="77777777" w:rsidR="009A0A63" w:rsidRPr="00792B36" w:rsidRDefault="009A0A63" w:rsidP="00A24459">
            <w:pPr>
              <w:contextualSpacing/>
              <w:jc w:val="center"/>
              <w:rPr>
                <w:sz w:val="24"/>
                <w:szCs w:val="24"/>
              </w:rPr>
            </w:pPr>
            <w:r w:rsidRPr="00792B36">
              <w:rPr>
                <w:color w:val="000000"/>
                <w:sz w:val="24"/>
                <w:szCs w:val="24"/>
              </w:rPr>
              <w:lastRenderedPageBreak/>
              <w:t>7,257.</w:t>
            </w:r>
            <w:r w:rsidRPr="00792B36">
              <w:rPr>
                <w:color w:val="000000"/>
                <w:sz w:val="24"/>
                <w:szCs w:val="24"/>
              </w:rPr>
              <w:lastRenderedPageBreak/>
              <w:t>02</w:t>
            </w:r>
          </w:p>
        </w:tc>
        <w:tc>
          <w:tcPr>
            <w:tcW w:w="1177" w:type="dxa"/>
            <w:vAlign w:val="center"/>
          </w:tcPr>
          <w:p w14:paraId="46823FB6" w14:textId="77777777" w:rsidR="009A0A63" w:rsidRPr="00792B36" w:rsidRDefault="009A0A63" w:rsidP="00A24459">
            <w:pPr>
              <w:contextualSpacing/>
              <w:jc w:val="center"/>
              <w:rPr>
                <w:sz w:val="24"/>
                <w:szCs w:val="24"/>
              </w:rPr>
            </w:pPr>
            <w:r w:rsidRPr="00792B36">
              <w:rPr>
                <w:color w:val="000000"/>
                <w:sz w:val="24"/>
                <w:szCs w:val="24"/>
              </w:rPr>
              <w:lastRenderedPageBreak/>
              <w:t>183.48</w:t>
            </w:r>
          </w:p>
        </w:tc>
        <w:tc>
          <w:tcPr>
            <w:tcW w:w="1027" w:type="dxa"/>
            <w:vAlign w:val="center"/>
          </w:tcPr>
          <w:p w14:paraId="0DD311DF" w14:textId="77777777" w:rsidR="009A0A63" w:rsidRPr="00792B36" w:rsidRDefault="009A0A63" w:rsidP="00A24459">
            <w:pPr>
              <w:contextualSpacing/>
              <w:jc w:val="center"/>
              <w:rPr>
                <w:sz w:val="24"/>
                <w:szCs w:val="24"/>
              </w:rPr>
            </w:pPr>
            <w:r w:rsidRPr="00792B36">
              <w:rPr>
                <w:color w:val="000000"/>
                <w:sz w:val="24"/>
                <w:szCs w:val="24"/>
              </w:rPr>
              <w:t>507.50</w:t>
            </w:r>
          </w:p>
        </w:tc>
        <w:tc>
          <w:tcPr>
            <w:tcW w:w="957" w:type="dxa"/>
            <w:vAlign w:val="center"/>
          </w:tcPr>
          <w:p w14:paraId="756148F0" w14:textId="77777777" w:rsidR="009A0A63" w:rsidRPr="00792B36" w:rsidRDefault="009A0A63" w:rsidP="00A24459">
            <w:pPr>
              <w:contextualSpacing/>
              <w:jc w:val="center"/>
              <w:rPr>
                <w:sz w:val="24"/>
                <w:szCs w:val="24"/>
              </w:rPr>
            </w:pPr>
            <w:r w:rsidRPr="00792B36">
              <w:rPr>
                <w:color w:val="000000"/>
                <w:sz w:val="24"/>
                <w:szCs w:val="24"/>
              </w:rPr>
              <w:t>855.78</w:t>
            </w:r>
          </w:p>
        </w:tc>
        <w:tc>
          <w:tcPr>
            <w:tcW w:w="900" w:type="dxa"/>
            <w:vAlign w:val="center"/>
          </w:tcPr>
          <w:p w14:paraId="3038107B" w14:textId="77777777" w:rsidR="009A0A63" w:rsidRPr="00792B36" w:rsidRDefault="009A0A63" w:rsidP="00A24459">
            <w:pPr>
              <w:contextualSpacing/>
              <w:jc w:val="center"/>
              <w:rPr>
                <w:sz w:val="24"/>
                <w:szCs w:val="24"/>
              </w:rPr>
            </w:pPr>
            <w:r w:rsidRPr="00792B36">
              <w:rPr>
                <w:color w:val="000000"/>
                <w:sz w:val="24"/>
                <w:szCs w:val="24"/>
              </w:rPr>
              <w:t>1,553.</w:t>
            </w:r>
            <w:r w:rsidRPr="00792B36">
              <w:rPr>
                <w:color w:val="000000"/>
                <w:sz w:val="24"/>
                <w:szCs w:val="24"/>
              </w:rPr>
              <w:lastRenderedPageBreak/>
              <w:t>71</w:t>
            </w:r>
          </w:p>
        </w:tc>
      </w:tr>
      <w:tr w:rsidR="009A0A63" w:rsidRPr="00792B36" w14:paraId="1B4192AC" w14:textId="77777777" w:rsidTr="00A24459">
        <w:trPr>
          <w:trHeight w:val="340"/>
        </w:trPr>
        <w:tc>
          <w:tcPr>
            <w:tcW w:w="617" w:type="dxa"/>
            <w:vAlign w:val="center"/>
          </w:tcPr>
          <w:p w14:paraId="47F1B626" w14:textId="77777777" w:rsidR="009A0A63" w:rsidRPr="00792B36" w:rsidRDefault="009A0A63" w:rsidP="00A24459">
            <w:pPr>
              <w:contextualSpacing/>
              <w:jc w:val="center"/>
              <w:rPr>
                <w:sz w:val="24"/>
                <w:szCs w:val="24"/>
              </w:rPr>
            </w:pPr>
            <w:r w:rsidRPr="00792B36">
              <w:rPr>
                <w:b/>
                <w:bCs/>
                <w:color w:val="000000"/>
                <w:sz w:val="24"/>
                <w:szCs w:val="24"/>
              </w:rPr>
              <w:lastRenderedPageBreak/>
              <w:t>2007</w:t>
            </w:r>
          </w:p>
        </w:tc>
        <w:tc>
          <w:tcPr>
            <w:tcW w:w="1177" w:type="dxa"/>
            <w:vAlign w:val="center"/>
          </w:tcPr>
          <w:p w14:paraId="1EE5A035" w14:textId="77777777" w:rsidR="009A0A63" w:rsidRPr="00792B36" w:rsidRDefault="009A0A63" w:rsidP="00A24459">
            <w:pPr>
              <w:contextualSpacing/>
              <w:jc w:val="center"/>
              <w:rPr>
                <w:sz w:val="24"/>
                <w:szCs w:val="24"/>
              </w:rPr>
            </w:pPr>
            <w:r w:rsidRPr="00792B36">
              <w:rPr>
                <w:color w:val="000000"/>
                <w:sz w:val="24"/>
                <w:szCs w:val="24"/>
              </w:rPr>
              <w:t>553.30</w:t>
            </w:r>
          </w:p>
        </w:tc>
        <w:tc>
          <w:tcPr>
            <w:tcW w:w="1095" w:type="dxa"/>
            <w:vAlign w:val="center"/>
          </w:tcPr>
          <w:p w14:paraId="6A3FC0E8" w14:textId="77777777" w:rsidR="009A0A63" w:rsidRPr="00792B36" w:rsidRDefault="009A0A63" w:rsidP="00A24459">
            <w:pPr>
              <w:contextualSpacing/>
              <w:jc w:val="center"/>
              <w:rPr>
                <w:sz w:val="24"/>
                <w:szCs w:val="24"/>
              </w:rPr>
            </w:pPr>
            <w:r w:rsidRPr="00792B36">
              <w:rPr>
                <w:color w:val="000000"/>
                <w:sz w:val="24"/>
                <w:szCs w:val="24"/>
              </w:rPr>
              <w:t>5,181.76</w:t>
            </w:r>
          </w:p>
        </w:tc>
        <w:tc>
          <w:tcPr>
            <w:tcW w:w="987" w:type="dxa"/>
            <w:vAlign w:val="center"/>
          </w:tcPr>
          <w:p w14:paraId="2AD87234" w14:textId="77777777" w:rsidR="009A0A63" w:rsidRPr="00792B36" w:rsidRDefault="009A0A63" w:rsidP="00A24459">
            <w:pPr>
              <w:contextualSpacing/>
              <w:jc w:val="center"/>
              <w:rPr>
                <w:sz w:val="24"/>
                <w:szCs w:val="24"/>
              </w:rPr>
            </w:pPr>
            <w:r w:rsidRPr="00792B36">
              <w:rPr>
                <w:color w:val="000000"/>
                <w:sz w:val="24"/>
                <w:szCs w:val="24"/>
              </w:rPr>
              <w:t>1,450.87</w:t>
            </w:r>
          </w:p>
        </w:tc>
        <w:tc>
          <w:tcPr>
            <w:tcW w:w="1080" w:type="dxa"/>
            <w:vAlign w:val="center"/>
          </w:tcPr>
          <w:p w14:paraId="4CA1FA46" w14:textId="77777777" w:rsidR="009A0A63" w:rsidRPr="00792B36" w:rsidRDefault="009A0A63" w:rsidP="00A24459">
            <w:pPr>
              <w:contextualSpacing/>
              <w:jc w:val="center"/>
              <w:rPr>
                <w:sz w:val="24"/>
                <w:szCs w:val="24"/>
              </w:rPr>
            </w:pPr>
            <w:r w:rsidRPr="00792B36">
              <w:rPr>
                <w:color w:val="000000"/>
                <w:sz w:val="24"/>
                <w:szCs w:val="24"/>
              </w:rPr>
              <w:t>7,171.05</w:t>
            </w:r>
          </w:p>
        </w:tc>
        <w:tc>
          <w:tcPr>
            <w:tcW w:w="1177" w:type="dxa"/>
            <w:vAlign w:val="center"/>
          </w:tcPr>
          <w:p w14:paraId="7D0B30E8" w14:textId="77777777" w:rsidR="009A0A63" w:rsidRPr="00792B36" w:rsidRDefault="009A0A63" w:rsidP="00A24459">
            <w:pPr>
              <w:contextualSpacing/>
              <w:jc w:val="center"/>
              <w:rPr>
                <w:sz w:val="24"/>
                <w:szCs w:val="24"/>
              </w:rPr>
            </w:pPr>
            <w:r w:rsidRPr="00792B36">
              <w:rPr>
                <w:color w:val="000000"/>
                <w:sz w:val="24"/>
                <w:szCs w:val="24"/>
              </w:rPr>
              <w:t>174.72</w:t>
            </w:r>
          </w:p>
        </w:tc>
        <w:tc>
          <w:tcPr>
            <w:tcW w:w="1027" w:type="dxa"/>
            <w:vAlign w:val="center"/>
          </w:tcPr>
          <w:p w14:paraId="3160408C" w14:textId="77777777" w:rsidR="009A0A63" w:rsidRPr="00792B36" w:rsidRDefault="009A0A63" w:rsidP="00A24459">
            <w:pPr>
              <w:contextualSpacing/>
              <w:jc w:val="center"/>
              <w:rPr>
                <w:sz w:val="24"/>
                <w:szCs w:val="24"/>
              </w:rPr>
            </w:pPr>
            <w:r w:rsidRPr="00792B36">
              <w:rPr>
                <w:color w:val="000000"/>
                <w:sz w:val="24"/>
                <w:szCs w:val="24"/>
              </w:rPr>
              <w:t>534.06</w:t>
            </w:r>
          </w:p>
        </w:tc>
        <w:tc>
          <w:tcPr>
            <w:tcW w:w="957" w:type="dxa"/>
            <w:vAlign w:val="center"/>
          </w:tcPr>
          <w:p w14:paraId="549915E5" w14:textId="77777777" w:rsidR="009A0A63" w:rsidRPr="00792B36" w:rsidRDefault="009A0A63" w:rsidP="00A24459">
            <w:pPr>
              <w:contextualSpacing/>
              <w:jc w:val="center"/>
              <w:rPr>
                <w:sz w:val="24"/>
                <w:szCs w:val="24"/>
              </w:rPr>
            </w:pPr>
            <w:r w:rsidRPr="00792B36">
              <w:rPr>
                <w:color w:val="000000"/>
                <w:sz w:val="24"/>
                <w:szCs w:val="24"/>
              </w:rPr>
              <w:t>788.97</w:t>
            </w:r>
          </w:p>
        </w:tc>
        <w:tc>
          <w:tcPr>
            <w:tcW w:w="900" w:type="dxa"/>
            <w:vAlign w:val="center"/>
          </w:tcPr>
          <w:p w14:paraId="0FE9E6A2" w14:textId="77777777" w:rsidR="009A0A63" w:rsidRPr="00792B36" w:rsidRDefault="009A0A63" w:rsidP="00A24459">
            <w:pPr>
              <w:contextualSpacing/>
              <w:jc w:val="center"/>
              <w:rPr>
                <w:sz w:val="24"/>
                <w:szCs w:val="24"/>
              </w:rPr>
            </w:pPr>
            <w:r w:rsidRPr="00792B36">
              <w:rPr>
                <w:color w:val="000000"/>
                <w:sz w:val="24"/>
                <w:szCs w:val="24"/>
              </w:rPr>
              <w:t>1,503.20</w:t>
            </w:r>
          </w:p>
        </w:tc>
      </w:tr>
      <w:tr w:rsidR="009A0A63" w:rsidRPr="00792B36" w14:paraId="5E79EC23" w14:textId="77777777" w:rsidTr="00A24459">
        <w:trPr>
          <w:trHeight w:val="340"/>
        </w:trPr>
        <w:tc>
          <w:tcPr>
            <w:tcW w:w="617" w:type="dxa"/>
            <w:vAlign w:val="center"/>
          </w:tcPr>
          <w:p w14:paraId="3DA47E57" w14:textId="77777777" w:rsidR="009A0A63" w:rsidRPr="00792B36" w:rsidRDefault="009A0A63" w:rsidP="00A24459">
            <w:pPr>
              <w:contextualSpacing/>
              <w:jc w:val="center"/>
              <w:rPr>
                <w:sz w:val="24"/>
                <w:szCs w:val="24"/>
              </w:rPr>
            </w:pPr>
            <w:r w:rsidRPr="00792B36">
              <w:rPr>
                <w:b/>
                <w:bCs/>
                <w:color w:val="000000"/>
                <w:sz w:val="24"/>
                <w:szCs w:val="24"/>
              </w:rPr>
              <w:t>2008</w:t>
            </w:r>
          </w:p>
        </w:tc>
        <w:tc>
          <w:tcPr>
            <w:tcW w:w="1177" w:type="dxa"/>
            <w:vAlign w:val="center"/>
          </w:tcPr>
          <w:p w14:paraId="6A8FAFBC" w14:textId="77777777" w:rsidR="009A0A63" w:rsidRPr="00792B36" w:rsidRDefault="009A0A63" w:rsidP="00A24459">
            <w:pPr>
              <w:contextualSpacing/>
              <w:jc w:val="center"/>
              <w:rPr>
                <w:sz w:val="24"/>
                <w:szCs w:val="24"/>
              </w:rPr>
            </w:pPr>
            <w:r w:rsidRPr="00792B36">
              <w:rPr>
                <w:color w:val="000000"/>
                <w:sz w:val="24"/>
                <w:szCs w:val="24"/>
              </w:rPr>
              <w:t>605.97</w:t>
            </w:r>
          </w:p>
        </w:tc>
        <w:tc>
          <w:tcPr>
            <w:tcW w:w="1095" w:type="dxa"/>
            <w:vAlign w:val="center"/>
          </w:tcPr>
          <w:p w14:paraId="2555C139" w14:textId="77777777" w:rsidR="009A0A63" w:rsidRPr="00792B36" w:rsidRDefault="009A0A63" w:rsidP="00A24459">
            <w:pPr>
              <w:contextualSpacing/>
              <w:jc w:val="center"/>
              <w:rPr>
                <w:sz w:val="24"/>
                <w:szCs w:val="24"/>
              </w:rPr>
            </w:pPr>
            <w:r w:rsidRPr="00792B36">
              <w:rPr>
                <w:color w:val="000000"/>
                <w:sz w:val="24"/>
                <w:szCs w:val="24"/>
              </w:rPr>
              <w:t>5,023.91</w:t>
            </w:r>
          </w:p>
        </w:tc>
        <w:tc>
          <w:tcPr>
            <w:tcW w:w="987" w:type="dxa"/>
            <w:vAlign w:val="center"/>
          </w:tcPr>
          <w:p w14:paraId="65E28032" w14:textId="77777777" w:rsidR="009A0A63" w:rsidRPr="00792B36" w:rsidRDefault="009A0A63" w:rsidP="00A24459">
            <w:pPr>
              <w:contextualSpacing/>
              <w:jc w:val="center"/>
              <w:rPr>
                <w:sz w:val="24"/>
                <w:szCs w:val="24"/>
              </w:rPr>
            </w:pPr>
            <w:r w:rsidRPr="00792B36">
              <w:rPr>
                <w:color w:val="000000"/>
                <w:sz w:val="24"/>
                <w:szCs w:val="24"/>
              </w:rPr>
              <w:t>1,373.36</w:t>
            </w:r>
          </w:p>
        </w:tc>
        <w:tc>
          <w:tcPr>
            <w:tcW w:w="1080" w:type="dxa"/>
            <w:vAlign w:val="center"/>
          </w:tcPr>
          <w:p w14:paraId="3D5CEBDC" w14:textId="77777777" w:rsidR="009A0A63" w:rsidRPr="00792B36" w:rsidRDefault="009A0A63" w:rsidP="00A24459">
            <w:pPr>
              <w:contextualSpacing/>
              <w:jc w:val="center"/>
              <w:rPr>
                <w:sz w:val="24"/>
                <w:szCs w:val="24"/>
              </w:rPr>
            </w:pPr>
            <w:r w:rsidRPr="00792B36">
              <w:rPr>
                <w:color w:val="000000"/>
                <w:sz w:val="24"/>
                <w:szCs w:val="24"/>
              </w:rPr>
              <w:t>6,964.29</w:t>
            </w:r>
          </w:p>
        </w:tc>
        <w:tc>
          <w:tcPr>
            <w:tcW w:w="1177" w:type="dxa"/>
            <w:vAlign w:val="center"/>
          </w:tcPr>
          <w:p w14:paraId="30D12DC4" w14:textId="77777777" w:rsidR="009A0A63" w:rsidRPr="00792B36" w:rsidRDefault="009A0A63" w:rsidP="00A24459">
            <w:pPr>
              <w:contextualSpacing/>
              <w:jc w:val="center"/>
              <w:rPr>
                <w:sz w:val="24"/>
                <w:szCs w:val="24"/>
              </w:rPr>
            </w:pPr>
            <w:r w:rsidRPr="00792B36">
              <w:rPr>
                <w:color w:val="000000"/>
                <w:sz w:val="24"/>
                <w:szCs w:val="24"/>
              </w:rPr>
              <w:t>165.34</w:t>
            </w:r>
          </w:p>
        </w:tc>
        <w:tc>
          <w:tcPr>
            <w:tcW w:w="1027" w:type="dxa"/>
            <w:vAlign w:val="center"/>
          </w:tcPr>
          <w:p w14:paraId="63D57FAF" w14:textId="77777777" w:rsidR="009A0A63" w:rsidRPr="00792B36" w:rsidRDefault="009A0A63" w:rsidP="00A24459">
            <w:pPr>
              <w:contextualSpacing/>
              <w:jc w:val="center"/>
              <w:rPr>
                <w:sz w:val="24"/>
                <w:szCs w:val="24"/>
              </w:rPr>
            </w:pPr>
            <w:r w:rsidRPr="00792B36">
              <w:rPr>
                <w:color w:val="000000"/>
                <w:sz w:val="24"/>
                <w:szCs w:val="24"/>
              </w:rPr>
              <w:t>554.59</w:t>
            </w:r>
          </w:p>
        </w:tc>
        <w:tc>
          <w:tcPr>
            <w:tcW w:w="957" w:type="dxa"/>
            <w:vAlign w:val="center"/>
          </w:tcPr>
          <w:p w14:paraId="1090415B" w14:textId="77777777" w:rsidR="009A0A63" w:rsidRPr="00792B36" w:rsidRDefault="009A0A63" w:rsidP="00A24459">
            <w:pPr>
              <w:contextualSpacing/>
              <w:jc w:val="center"/>
              <w:rPr>
                <w:sz w:val="24"/>
                <w:szCs w:val="24"/>
              </w:rPr>
            </w:pPr>
            <w:r w:rsidRPr="00792B36">
              <w:rPr>
                <w:color w:val="000000"/>
                <w:sz w:val="24"/>
                <w:szCs w:val="24"/>
              </w:rPr>
              <w:t>823.37</w:t>
            </w:r>
          </w:p>
        </w:tc>
        <w:tc>
          <w:tcPr>
            <w:tcW w:w="900" w:type="dxa"/>
            <w:vAlign w:val="center"/>
          </w:tcPr>
          <w:p w14:paraId="0927FF4D" w14:textId="77777777" w:rsidR="009A0A63" w:rsidRPr="00792B36" w:rsidRDefault="009A0A63" w:rsidP="00A24459">
            <w:pPr>
              <w:contextualSpacing/>
              <w:jc w:val="center"/>
              <w:rPr>
                <w:sz w:val="24"/>
                <w:szCs w:val="24"/>
              </w:rPr>
            </w:pPr>
            <w:r w:rsidRPr="00792B36">
              <w:rPr>
                <w:color w:val="000000"/>
                <w:sz w:val="24"/>
                <w:szCs w:val="24"/>
              </w:rPr>
              <w:t>1,545.45</w:t>
            </w:r>
          </w:p>
        </w:tc>
      </w:tr>
      <w:tr w:rsidR="009A0A63" w:rsidRPr="00792B36" w14:paraId="293FBFF7" w14:textId="77777777" w:rsidTr="00A24459">
        <w:trPr>
          <w:trHeight w:val="340"/>
        </w:trPr>
        <w:tc>
          <w:tcPr>
            <w:tcW w:w="617" w:type="dxa"/>
            <w:vAlign w:val="center"/>
          </w:tcPr>
          <w:p w14:paraId="0664D947" w14:textId="77777777" w:rsidR="009A0A63" w:rsidRPr="00792B36" w:rsidRDefault="009A0A63" w:rsidP="00A24459">
            <w:pPr>
              <w:contextualSpacing/>
              <w:jc w:val="center"/>
              <w:rPr>
                <w:sz w:val="24"/>
                <w:szCs w:val="24"/>
              </w:rPr>
            </w:pPr>
            <w:r w:rsidRPr="00792B36">
              <w:rPr>
                <w:b/>
                <w:bCs/>
                <w:color w:val="000000"/>
                <w:sz w:val="24"/>
                <w:szCs w:val="24"/>
              </w:rPr>
              <w:t>2009</w:t>
            </w:r>
          </w:p>
        </w:tc>
        <w:tc>
          <w:tcPr>
            <w:tcW w:w="1177" w:type="dxa"/>
            <w:vAlign w:val="center"/>
          </w:tcPr>
          <w:p w14:paraId="65F0351C" w14:textId="77777777" w:rsidR="009A0A63" w:rsidRPr="00792B36" w:rsidRDefault="009A0A63" w:rsidP="00A24459">
            <w:pPr>
              <w:contextualSpacing/>
              <w:jc w:val="center"/>
              <w:rPr>
                <w:sz w:val="24"/>
                <w:szCs w:val="24"/>
              </w:rPr>
            </w:pPr>
            <w:r w:rsidRPr="00792B36">
              <w:rPr>
                <w:color w:val="000000"/>
                <w:sz w:val="24"/>
                <w:szCs w:val="24"/>
              </w:rPr>
              <w:t>512.39</w:t>
            </w:r>
          </w:p>
        </w:tc>
        <w:tc>
          <w:tcPr>
            <w:tcW w:w="1095" w:type="dxa"/>
            <w:vAlign w:val="center"/>
          </w:tcPr>
          <w:p w14:paraId="4B32557A" w14:textId="77777777" w:rsidR="009A0A63" w:rsidRPr="00792B36" w:rsidRDefault="009A0A63" w:rsidP="00A24459">
            <w:pPr>
              <w:contextualSpacing/>
              <w:jc w:val="center"/>
              <w:rPr>
                <w:sz w:val="24"/>
                <w:szCs w:val="24"/>
              </w:rPr>
            </w:pPr>
            <w:r w:rsidRPr="00792B36">
              <w:rPr>
                <w:color w:val="000000"/>
                <w:sz w:val="24"/>
                <w:szCs w:val="24"/>
              </w:rPr>
              <w:t>4,853.60</w:t>
            </w:r>
          </w:p>
        </w:tc>
        <w:tc>
          <w:tcPr>
            <w:tcW w:w="987" w:type="dxa"/>
            <w:vAlign w:val="center"/>
          </w:tcPr>
          <w:p w14:paraId="65060F25" w14:textId="77777777" w:rsidR="009A0A63" w:rsidRPr="00792B36" w:rsidRDefault="009A0A63" w:rsidP="00A24459">
            <w:pPr>
              <w:contextualSpacing/>
              <w:jc w:val="center"/>
              <w:rPr>
                <w:sz w:val="24"/>
                <w:szCs w:val="24"/>
              </w:rPr>
            </w:pPr>
            <w:r w:rsidRPr="00792B36">
              <w:rPr>
                <w:color w:val="000000"/>
                <w:sz w:val="24"/>
                <w:szCs w:val="24"/>
              </w:rPr>
              <w:t>1,252.45</w:t>
            </w:r>
          </w:p>
        </w:tc>
        <w:tc>
          <w:tcPr>
            <w:tcW w:w="1080" w:type="dxa"/>
            <w:vAlign w:val="center"/>
          </w:tcPr>
          <w:p w14:paraId="347FF8E0" w14:textId="77777777" w:rsidR="009A0A63" w:rsidRPr="00792B36" w:rsidRDefault="009A0A63" w:rsidP="00A24459">
            <w:pPr>
              <w:contextualSpacing/>
              <w:jc w:val="center"/>
              <w:rPr>
                <w:sz w:val="24"/>
                <w:szCs w:val="24"/>
              </w:rPr>
            </w:pPr>
            <w:r w:rsidRPr="00792B36">
              <w:rPr>
                <w:color w:val="000000"/>
                <w:sz w:val="24"/>
                <w:szCs w:val="24"/>
              </w:rPr>
              <w:t>6,602.07</w:t>
            </w:r>
          </w:p>
        </w:tc>
        <w:tc>
          <w:tcPr>
            <w:tcW w:w="1177" w:type="dxa"/>
            <w:vAlign w:val="center"/>
          </w:tcPr>
          <w:p w14:paraId="2C7B7B93" w14:textId="77777777" w:rsidR="009A0A63" w:rsidRPr="00792B36" w:rsidRDefault="009A0A63" w:rsidP="00A24459">
            <w:pPr>
              <w:contextualSpacing/>
              <w:jc w:val="center"/>
              <w:rPr>
                <w:sz w:val="24"/>
                <w:szCs w:val="24"/>
              </w:rPr>
            </w:pPr>
            <w:r w:rsidRPr="00792B36">
              <w:rPr>
                <w:color w:val="000000"/>
                <w:sz w:val="24"/>
                <w:szCs w:val="24"/>
              </w:rPr>
              <w:t>167.23</w:t>
            </w:r>
          </w:p>
        </w:tc>
        <w:tc>
          <w:tcPr>
            <w:tcW w:w="1027" w:type="dxa"/>
            <w:vAlign w:val="center"/>
          </w:tcPr>
          <w:p w14:paraId="184073D9" w14:textId="77777777" w:rsidR="009A0A63" w:rsidRPr="00792B36" w:rsidRDefault="009A0A63" w:rsidP="00A24459">
            <w:pPr>
              <w:contextualSpacing/>
              <w:jc w:val="center"/>
              <w:rPr>
                <w:sz w:val="24"/>
                <w:szCs w:val="24"/>
              </w:rPr>
            </w:pPr>
            <w:r w:rsidRPr="00792B36">
              <w:rPr>
                <w:color w:val="000000"/>
                <w:sz w:val="24"/>
                <w:szCs w:val="24"/>
              </w:rPr>
              <w:t>505.34</w:t>
            </w:r>
          </w:p>
        </w:tc>
        <w:tc>
          <w:tcPr>
            <w:tcW w:w="957" w:type="dxa"/>
            <w:vAlign w:val="center"/>
          </w:tcPr>
          <w:p w14:paraId="7BA8FD35" w14:textId="77777777" w:rsidR="009A0A63" w:rsidRPr="00792B36" w:rsidRDefault="009A0A63" w:rsidP="00A24459">
            <w:pPr>
              <w:contextualSpacing/>
              <w:jc w:val="center"/>
              <w:rPr>
                <w:sz w:val="24"/>
                <w:szCs w:val="24"/>
              </w:rPr>
            </w:pPr>
            <w:r w:rsidRPr="00792B36">
              <w:rPr>
                <w:color w:val="000000"/>
                <w:sz w:val="24"/>
                <w:szCs w:val="24"/>
              </w:rPr>
              <w:t>867.31</w:t>
            </w:r>
          </w:p>
        </w:tc>
        <w:tc>
          <w:tcPr>
            <w:tcW w:w="900" w:type="dxa"/>
            <w:vAlign w:val="center"/>
          </w:tcPr>
          <w:p w14:paraId="1D06CEFF" w14:textId="77777777" w:rsidR="009A0A63" w:rsidRPr="00792B36" w:rsidRDefault="009A0A63" w:rsidP="00A24459">
            <w:pPr>
              <w:contextualSpacing/>
              <w:jc w:val="center"/>
              <w:rPr>
                <w:sz w:val="24"/>
                <w:szCs w:val="24"/>
              </w:rPr>
            </w:pPr>
            <w:r w:rsidRPr="00792B36">
              <w:rPr>
                <w:color w:val="000000"/>
                <w:sz w:val="24"/>
                <w:szCs w:val="24"/>
              </w:rPr>
              <w:t>1,541.38</w:t>
            </w:r>
          </w:p>
        </w:tc>
      </w:tr>
      <w:tr w:rsidR="009A0A63" w:rsidRPr="00792B36" w14:paraId="48F5EBB8" w14:textId="77777777" w:rsidTr="00A24459">
        <w:trPr>
          <w:trHeight w:val="340"/>
        </w:trPr>
        <w:tc>
          <w:tcPr>
            <w:tcW w:w="617" w:type="dxa"/>
            <w:vAlign w:val="center"/>
          </w:tcPr>
          <w:p w14:paraId="0DB42A78" w14:textId="77777777" w:rsidR="009A0A63" w:rsidRPr="00792B36" w:rsidRDefault="009A0A63" w:rsidP="00A24459">
            <w:pPr>
              <w:contextualSpacing/>
              <w:jc w:val="center"/>
              <w:rPr>
                <w:sz w:val="24"/>
                <w:szCs w:val="24"/>
              </w:rPr>
            </w:pPr>
            <w:r w:rsidRPr="00792B36">
              <w:rPr>
                <w:b/>
                <w:bCs/>
                <w:color w:val="000000"/>
                <w:sz w:val="24"/>
                <w:szCs w:val="24"/>
              </w:rPr>
              <w:t>2010</w:t>
            </w:r>
          </w:p>
        </w:tc>
        <w:tc>
          <w:tcPr>
            <w:tcW w:w="1177" w:type="dxa"/>
            <w:vAlign w:val="center"/>
          </w:tcPr>
          <w:p w14:paraId="53CDF8DC" w14:textId="77777777" w:rsidR="009A0A63" w:rsidRPr="00792B36" w:rsidRDefault="009A0A63" w:rsidP="00A24459">
            <w:pPr>
              <w:contextualSpacing/>
              <w:jc w:val="center"/>
              <w:rPr>
                <w:sz w:val="24"/>
                <w:szCs w:val="24"/>
              </w:rPr>
            </w:pPr>
            <w:r w:rsidRPr="00792B36">
              <w:rPr>
                <w:color w:val="000000"/>
                <w:sz w:val="24"/>
                <w:szCs w:val="24"/>
              </w:rPr>
              <w:t>556.26</w:t>
            </w:r>
          </w:p>
        </w:tc>
        <w:tc>
          <w:tcPr>
            <w:tcW w:w="1095" w:type="dxa"/>
            <w:vAlign w:val="center"/>
          </w:tcPr>
          <w:p w14:paraId="1FD103C3" w14:textId="77777777" w:rsidR="009A0A63" w:rsidRPr="00792B36" w:rsidRDefault="009A0A63" w:rsidP="00A24459">
            <w:pPr>
              <w:contextualSpacing/>
              <w:jc w:val="center"/>
              <w:rPr>
                <w:sz w:val="24"/>
                <w:szCs w:val="24"/>
              </w:rPr>
            </w:pPr>
            <w:r w:rsidRPr="00792B36">
              <w:rPr>
                <w:color w:val="000000"/>
                <w:sz w:val="24"/>
                <w:szCs w:val="24"/>
              </w:rPr>
              <w:t>5,084.20</w:t>
            </w:r>
          </w:p>
        </w:tc>
        <w:tc>
          <w:tcPr>
            <w:tcW w:w="987" w:type="dxa"/>
            <w:vAlign w:val="center"/>
          </w:tcPr>
          <w:p w14:paraId="308A22A3" w14:textId="77777777" w:rsidR="009A0A63" w:rsidRPr="00792B36" w:rsidRDefault="009A0A63" w:rsidP="00A24459">
            <w:pPr>
              <w:contextualSpacing/>
              <w:jc w:val="center"/>
              <w:rPr>
                <w:sz w:val="24"/>
                <w:szCs w:val="24"/>
              </w:rPr>
            </w:pPr>
            <w:r w:rsidRPr="00792B36">
              <w:rPr>
                <w:color w:val="000000"/>
                <w:sz w:val="24"/>
                <w:szCs w:val="24"/>
              </w:rPr>
              <w:t>1,304.65</w:t>
            </w:r>
          </w:p>
        </w:tc>
        <w:tc>
          <w:tcPr>
            <w:tcW w:w="1080" w:type="dxa"/>
            <w:vAlign w:val="center"/>
          </w:tcPr>
          <w:p w14:paraId="3E5F960A" w14:textId="77777777" w:rsidR="009A0A63" w:rsidRPr="00792B36" w:rsidRDefault="009A0A63" w:rsidP="00A24459">
            <w:pPr>
              <w:contextualSpacing/>
              <w:jc w:val="center"/>
              <w:rPr>
                <w:sz w:val="24"/>
                <w:szCs w:val="24"/>
              </w:rPr>
            </w:pPr>
            <w:r w:rsidRPr="00792B36">
              <w:rPr>
                <w:color w:val="000000"/>
                <w:sz w:val="24"/>
                <w:szCs w:val="24"/>
              </w:rPr>
              <w:t>6,920.27</w:t>
            </w:r>
          </w:p>
        </w:tc>
        <w:tc>
          <w:tcPr>
            <w:tcW w:w="1177" w:type="dxa"/>
            <w:vAlign w:val="center"/>
          </w:tcPr>
          <w:p w14:paraId="740BDAC4" w14:textId="77777777" w:rsidR="009A0A63" w:rsidRPr="00792B36" w:rsidRDefault="009A0A63" w:rsidP="00A24459">
            <w:pPr>
              <w:contextualSpacing/>
              <w:jc w:val="center"/>
              <w:rPr>
                <w:sz w:val="24"/>
                <w:szCs w:val="24"/>
              </w:rPr>
            </w:pPr>
            <w:r w:rsidRPr="00792B36">
              <w:rPr>
                <w:color w:val="000000"/>
                <w:sz w:val="24"/>
                <w:szCs w:val="24"/>
              </w:rPr>
              <w:t>138.87</w:t>
            </w:r>
          </w:p>
        </w:tc>
        <w:tc>
          <w:tcPr>
            <w:tcW w:w="1027" w:type="dxa"/>
            <w:vAlign w:val="center"/>
          </w:tcPr>
          <w:p w14:paraId="05D488F1" w14:textId="77777777" w:rsidR="009A0A63" w:rsidRPr="00792B36" w:rsidRDefault="009A0A63" w:rsidP="00A24459">
            <w:pPr>
              <w:contextualSpacing/>
              <w:jc w:val="center"/>
              <w:rPr>
                <w:sz w:val="24"/>
                <w:szCs w:val="24"/>
              </w:rPr>
            </w:pPr>
            <w:r w:rsidRPr="00792B36">
              <w:rPr>
                <w:color w:val="000000"/>
                <w:sz w:val="24"/>
                <w:szCs w:val="24"/>
              </w:rPr>
              <w:t>502.82</w:t>
            </w:r>
          </w:p>
        </w:tc>
        <w:tc>
          <w:tcPr>
            <w:tcW w:w="957" w:type="dxa"/>
            <w:vAlign w:val="center"/>
          </w:tcPr>
          <w:p w14:paraId="45964311" w14:textId="77777777" w:rsidR="009A0A63" w:rsidRPr="00792B36" w:rsidRDefault="009A0A63" w:rsidP="00A24459">
            <w:pPr>
              <w:contextualSpacing/>
              <w:jc w:val="center"/>
              <w:rPr>
                <w:sz w:val="24"/>
                <w:szCs w:val="24"/>
              </w:rPr>
            </w:pPr>
            <w:r w:rsidRPr="00792B36">
              <w:rPr>
                <w:color w:val="000000"/>
                <w:sz w:val="24"/>
                <w:szCs w:val="24"/>
              </w:rPr>
              <w:t>866.52</w:t>
            </w:r>
          </w:p>
        </w:tc>
        <w:tc>
          <w:tcPr>
            <w:tcW w:w="900" w:type="dxa"/>
            <w:vAlign w:val="center"/>
          </w:tcPr>
          <w:p w14:paraId="3097C1E3" w14:textId="77777777" w:rsidR="009A0A63" w:rsidRPr="00792B36" w:rsidRDefault="009A0A63" w:rsidP="00A24459">
            <w:pPr>
              <w:contextualSpacing/>
              <w:jc w:val="center"/>
              <w:rPr>
                <w:sz w:val="24"/>
                <w:szCs w:val="24"/>
              </w:rPr>
            </w:pPr>
            <w:r w:rsidRPr="00792B36">
              <w:rPr>
                <w:color w:val="000000"/>
                <w:sz w:val="24"/>
                <w:szCs w:val="24"/>
              </w:rPr>
              <w:t>1,500.96</w:t>
            </w:r>
          </w:p>
        </w:tc>
      </w:tr>
      <w:tr w:rsidR="009A0A63" w:rsidRPr="00792B36" w14:paraId="65AA168D" w14:textId="77777777" w:rsidTr="00A24459">
        <w:trPr>
          <w:trHeight w:val="340"/>
        </w:trPr>
        <w:tc>
          <w:tcPr>
            <w:tcW w:w="617" w:type="dxa"/>
            <w:vAlign w:val="center"/>
          </w:tcPr>
          <w:p w14:paraId="1D60CBE9" w14:textId="77777777" w:rsidR="009A0A63" w:rsidRPr="00792B36" w:rsidRDefault="009A0A63" w:rsidP="00A24459">
            <w:pPr>
              <w:contextualSpacing/>
              <w:jc w:val="center"/>
              <w:rPr>
                <w:sz w:val="24"/>
                <w:szCs w:val="24"/>
              </w:rPr>
            </w:pPr>
            <w:r w:rsidRPr="00792B36">
              <w:rPr>
                <w:b/>
                <w:bCs/>
                <w:color w:val="000000"/>
                <w:sz w:val="24"/>
                <w:szCs w:val="24"/>
              </w:rPr>
              <w:t>2011</w:t>
            </w:r>
          </w:p>
        </w:tc>
        <w:tc>
          <w:tcPr>
            <w:tcW w:w="1177" w:type="dxa"/>
            <w:vAlign w:val="center"/>
          </w:tcPr>
          <w:p w14:paraId="257B69DC" w14:textId="77777777" w:rsidR="009A0A63" w:rsidRPr="00792B36" w:rsidRDefault="009A0A63" w:rsidP="00A24459">
            <w:pPr>
              <w:contextualSpacing/>
              <w:jc w:val="center"/>
              <w:rPr>
                <w:sz w:val="24"/>
                <w:szCs w:val="24"/>
              </w:rPr>
            </w:pPr>
            <w:r w:rsidRPr="00792B36">
              <w:rPr>
                <w:color w:val="000000"/>
                <w:sz w:val="24"/>
                <w:szCs w:val="24"/>
              </w:rPr>
              <w:t>534.29</w:t>
            </w:r>
          </w:p>
        </w:tc>
        <w:tc>
          <w:tcPr>
            <w:tcW w:w="1095" w:type="dxa"/>
            <w:vAlign w:val="center"/>
          </w:tcPr>
          <w:p w14:paraId="0A98E9F4" w14:textId="77777777" w:rsidR="009A0A63" w:rsidRPr="00792B36" w:rsidRDefault="009A0A63" w:rsidP="00A24459">
            <w:pPr>
              <w:contextualSpacing/>
              <w:jc w:val="center"/>
              <w:rPr>
                <w:sz w:val="24"/>
                <w:szCs w:val="24"/>
              </w:rPr>
            </w:pPr>
            <w:r w:rsidRPr="00792B36">
              <w:rPr>
                <w:color w:val="000000"/>
                <w:sz w:val="24"/>
                <w:szCs w:val="24"/>
              </w:rPr>
              <w:t>4,796.43</w:t>
            </w:r>
          </w:p>
        </w:tc>
        <w:tc>
          <w:tcPr>
            <w:tcW w:w="987" w:type="dxa"/>
            <w:vAlign w:val="center"/>
          </w:tcPr>
          <w:p w14:paraId="2753DEA1" w14:textId="77777777" w:rsidR="009A0A63" w:rsidRPr="00792B36" w:rsidRDefault="009A0A63" w:rsidP="00A24459">
            <w:pPr>
              <w:contextualSpacing/>
              <w:jc w:val="center"/>
              <w:rPr>
                <w:sz w:val="24"/>
                <w:szCs w:val="24"/>
              </w:rPr>
            </w:pPr>
            <w:r w:rsidRPr="00792B36">
              <w:rPr>
                <w:color w:val="000000"/>
                <w:sz w:val="24"/>
                <w:szCs w:val="24"/>
              </w:rPr>
              <w:t>1,307.72</w:t>
            </w:r>
          </w:p>
        </w:tc>
        <w:tc>
          <w:tcPr>
            <w:tcW w:w="1080" w:type="dxa"/>
            <w:vAlign w:val="center"/>
          </w:tcPr>
          <w:p w14:paraId="579087AD" w14:textId="77777777" w:rsidR="009A0A63" w:rsidRPr="00792B36" w:rsidRDefault="009A0A63" w:rsidP="00A24459">
            <w:pPr>
              <w:contextualSpacing/>
              <w:jc w:val="center"/>
              <w:rPr>
                <w:sz w:val="24"/>
                <w:szCs w:val="24"/>
              </w:rPr>
            </w:pPr>
            <w:r w:rsidRPr="00792B36">
              <w:rPr>
                <w:color w:val="000000"/>
                <w:sz w:val="24"/>
                <w:szCs w:val="24"/>
              </w:rPr>
              <w:t>6,619.62</w:t>
            </w:r>
          </w:p>
        </w:tc>
        <w:tc>
          <w:tcPr>
            <w:tcW w:w="1177" w:type="dxa"/>
            <w:vAlign w:val="center"/>
          </w:tcPr>
          <w:p w14:paraId="5EB1D2BC" w14:textId="77777777" w:rsidR="009A0A63" w:rsidRPr="00792B36" w:rsidRDefault="009A0A63" w:rsidP="00A24459">
            <w:pPr>
              <w:contextualSpacing/>
              <w:jc w:val="center"/>
              <w:rPr>
                <w:sz w:val="24"/>
                <w:szCs w:val="24"/>
              </w:rPr>
            </w:pPr>
            <w:r w:rsidRPr="00792B36">
              <w:rPr>
                <w:color w:val="000000"/>
                <w:sz w:val="24"/>
                <w:szCs w:val="24"/>
              </w:rPr>
              <w:t>154.92</w:t>
            </w:r>
          </w:p>
        </w:tc>
        <w:tc>
          <w:tcPr>
            <w:tcW w:w="1027" w:type="dxa"/>
            <w:vAlign w:val="center"/>
          </w:tcPr>
          <w:p w14:paraId="66EE5CCC" w14:textId="77777777" w:rsidR="009A0A63" w:rsidRPr="00792B36" w:rsidRDefault="009A0A63" w:rsidP="00A24459">
            <w:pPr>
              <w:contextualSpacing/>
              <w:jc w:val="center"/>
              <w:rPr>
                <w:sz w:val="24"/>
                <w:szCs w:val="24"/>
              </w:rPr>
            </w:pPr>
            <w:r w:rsidRPr="00792B36">
              <w:rPr>
                <w:color w:val="000000"/>
                <w:sz w:val="24"/>
                <w:szCs w:val="24"/>
              </w:rPr>
              <w:t>523.42</w:t>
            </w:r>
          </w:p>
        </w:tc>
        <w:tc>
          <w:tcPr>
            <w:tcW w:w="957" w:type="dxa"/>
            <w:vAlign w:val="center"/>
          </w:tcPr>
          <w:p w14:paraId="616AEA87" w14:textId="77777777" w:rsidR="009A0A63" w:rsidRPr="00792B36" w:rsidRDefault="009A0A63" w:rsidP="00A24459">
            <w:pPr>
              <w:contextualSpacing/>
              <w:jc w:val="center"/>
              <w:rPr>
                <w:sz w:val="24"/>
                <w:szCs w:val="24"/>
              </w:rPr>
            </w:pPr>
            <w:r w:rsidRPr="00792B36">
              <w:rPr>
                <w:color w:val="000000"/>
                <w:sz w:val="24"/>
                <w:szCs w:val="24"/>
              </w:rPr>
              <w:t>871.80</w:t>
            </w:r>
          </w:p>
        </w:tc>
        <w:tc>
          <w:tcPr>
            <w:tcW w:w="900" w:type="dxa"/>
            <w:vAlign w:val="center"/>
          </w:tcPr>
          <w:p w14:paraId="5DB436E0" w14:textId="77777777" w:rsidR="009A0A63" w:rsidRPr="00792B36" w:rsidRDefault="009A0A63" w:rsidP="00A24459">
            <w:pPr>
              <w:contextualSpacing/>
              <w:jc w:val="center"/>
              <w:rPr>
                <w:sz w:val="24"/>
                <w:szCs w:val="24"/>
              </w:rPr>
            </w:pPr>
            <w:r w:rsidRPr="00792B36">
              <w:rPr>
                <w:color w:val="000000"/>
                <w:sz w:val="24"/>
                <w:szCs w:val="24"/>
              </w:rPr>
              <w:t>1,546.72</w:t>
            </w:r>
          </w:p>
        </w:tc>
      </w:tr>
      <w:tr w:rsidR="009A0A63" w:rsidRPr="00792B36" w14:paraId="730EE494" w14:textId="77777777" w:rsidTr="00A24459">
        <w:trPr>
          <w:trHeight w:val="340"/>
        </w:trPr>
        <w:tc>
          <w:tcPr>
            <w:tcW w:w="617" w:type="dxa"/>
            <w:vAlign w:val="center"/>
          </w:tcPr>
          <w:p w14:paraId="492FFDA2" w14:textId="77777777" w:rsidR="009A0A63" w:rsidRPr="00792B36" w:rsidRDefault="009A0A63" w:rsidP="00A24459">
            <w:pPr>
              <w:contextualSpacing/>
              <w:jc w:val="center"/>
              <w:rPr>
                <w:sz w:val="24"/>
                <w:szCs w:val="24"/>
              </w:rPr>
            </w:pPr>
            <w:r w:rsidRPr="00792B36">
              <w:rPr>
                <w:b/>
                <w:bCs/>
                <w:color w:val="000000"/>
                <w:sz w:val="24"/>
                <w:szCs w:val="24"/>
              </w:rPr>
              <w:t>2012</w:t>
            </w:r>
          </w:p>
        </w:tc>
        <w:tc>
          <w:tcPr>
            <w:tcW w:w="1177" w:type="dxa"/>
            <w:vAlign w:val="center"/>
          </w:tcPr>
          <w:p w14:paraId="51220498" w14:textId="77777777" w:rsidR="009A0A63" w:rsidRPr="00792B36" w:rsidRDefault="009A0A63" w:rsidP="00A24459">
            <w:pPr>
              <w:contextualSpacing/>
              <w:jc w:val="center"/>
              <w:rPr>
                <w:sz w:val="24"/>
                <w:szCs w:val="24"/>
              </w:rPr>
            </w:pPr>
            <w:r w:rsidRPr="00792B36">
              <w:rPr>
                <w:color w:val="000000"/>
                <w:sz w:val="24"/>
                <w:szCs w:val="24"/>
              </w:rPr>
              <w:t>522.79</w:t>
            </w:r>
          </w:p>
        </w:tc>
        <w:tc>
          <w:tcPr>
            <w:tcW w:w="1095" w:type="dxa"/>
            <w:vAlign w:val="center"/>
          </w:tcPr>
          <w:p w14:paraId="211725C5" w14:textId="77777777" w:rsidR="009A0A63" w:rsidRPr="00792B36" w:rsidRDefault="009A0A63" w:rsidP="00A24459">
            <w:pPr>
              <w:contextualSpacing/>
              <w:jc w:val="center"/>
              <w:rPr>
                <w:sz w:val="24"/>
                <w:szCs w:val="24"/>
              </w:rPr>
            </w:pPr>
            <w:r w:rsidRPr="00792B36">
              <w:rPr>
                <w:color w:val="000000"/>
                <w:sz w:val="24"/>
                <w:szCs w:val="24"/>
              </w:rPr>
              <w:t>4,708.73</w:t>
            </w:r>
          </w:p>
        </w:tc>
        <w:tc>
          <w:tcPr>
            <w:tcW w:w="987" w:type="dxa"/>
            <w:vAlign w:val="center"/>
          </w:tcPr>
          <w:p w14:paraId="1010B549" w14:textId="77777777" w:rsidR="009A0A63" w:rsidRPr="00792B36" w:rsidRDefault="009A0A63" w:rsidP="00A24459">
            <w:pPr>
              <w:contextualSpacing/>
              <w:jc w:val="center"/>
              <w:rPr>
                <w:sz w:val="24"/>
                <w:szCs w:val="24"/>
              </w:rPr>
            </w:pPr>
            <w:r w:rsidRPr="00792B36">
              <w:rPr>
                <w:color w:val="000000"/>
                <w:sz w:val="24"/>
                <w:szCs w:val="24"/>
              </w:rPr>
              <w:t>1,325.55</w:t>
            </w:r>
          </w:p>
        </w:tc>
        <w:tc>
          <w:tcPr>
            <w:tcW w:w="1080" w:type="dxa"/>
            <w:vAlign w:val="center"/>
          </w:tcPr>
          <w:p w14:paraId="6C076644" w14:textId="77777777" w:rsidR="009A0A63" w:rsidRPr="00792B36" w:rsidRDefault="009A0A63" w:rsidP="00A24459">
            <w:pPr>
              <w:contextualSpacing/>
              <w:jc w:val="center"/>
              <w:rPr>
                <w:sz w:val="24"/>
                <w:szCs w:val="24"/>
              </w:rPr>
            </w:pPr>
            <w:r w:rsidRPr="00792B36">
              <w:rPr>
                <w:color w:val="000000"/>
                <w:sz w:val="24"/>
                <w:szCs w:val="24"/>
              </w:rPr>
              <w:t>6,542.64</w:t>
            </w:r>
          </w:p>
        </w:tc>
        <w:tc>
          <w:tcPr>
            <w:tcW w:w="1177" w:type="dxa"/>
            <w:vAlign w:val="center"/>
          </w:tcPr>
          <w:p w14:paraId="72EB3A1B" w14:textId="77777777" w:rsidR="009A0A63" w:rsidRPr="00792B36" w:rsidRDefault="009A0A63" w:rsidP="00A24459">
            <w:pPr>
              <w:contextualSpacing/>
              <w:jc w:val="center"/>
              <w:rPr>
                <w:sz w:val="24"/>
                <w:szCs w:val="24"/>
              </w:rPr>
            </w:pPr>
            <w:r w:rsidRPr="00792B36">
              <w:rPr>
                <w:color w:val="000000"/>
                <w:sz w:val="24"/>
                <w:szCs w:val="24"/>
              </w:rPr>
              <w:t>144.83</w:t>
            </w:r>
          </w:p>
        </w:tc>
        <w:tc>
          <w:tcPr>
            <w:tcW w:w="1027" w:type="dxa"/>
            <w:vAlign w:val="center"/>
          </w:tcPr>
          <w:p w14:paraId="4521244E" w14:textId="77777777" w:rsidR="009A0A63" w:rsidRPr="00792B36" w:rsidRDefault="009A0A63" w:rsidP="00A24459">
            <w:pPr>
              <w:contextualSpacing/>
              <w:jc w:val="center"/>
              <w:rPr>
                <w:sz w:val="24"/>
                <w:szCs w:val="24"/>
              </w:rPr>
            </w:pPr>
            <w:r w:rsidRPr="00792B36">
              <w:rPr>
                <w:color w:val="000000"/>
                <w:sz w:val="24"/>
                <w:szCs w:val="24"/>
              </w:rPr>
              <w:t>397.66</w:t>
            </w:r>
          </w:p>
        </w:tc>
        <w:tc>
          <w:tcPr>
            <w:tcW w:w="957" w:type="dxa"/>
            <w:vAlign w:val="center"/>
          </w:tcPr>
          <w:p w14:paraId="237A9FFA" w14:textId="77777777" w:rsidR="009A0A63" w:rsidRPr="00792B36" w:rsidRDefault="009A0A63" w:rsidP="00A24459">
            <w:pPr>
              <w:contextualSpacing/>
              <w:jc w:val="center"/>
              <w:rPr>
                <w:sz w:val="24"/>
                <w:szCs w:val="24"/>
              </w:rPr>
            </w:pPr>
            <w:r w:rsidRPr="00792B36">
              <w:rPr>
                <w:color w:val="000000"/>
                <w:sz w:val="24"/>
                <w:szCs w:val="24"/>
              </w:rPr>
              <w:t>959.19</w:t>
            </w:r>
          </w:p>
        </w:tc>
        <w:tc>
          <w:tcPr>
            <w:tcW w:w="900" w:type="dxa"/>
            <w:vAlign w:val="center"/>
          </w:tcPr>
          <w:p w14:paraId="3257F2EB" w14:textId="77777777" w:rsidR="009A0A63" w:rsidRPr="00792B36" w:rsidRDefault="009A0A63" w:rsidP="00A24459">
            <w:pPr>
              <w:contextualSpacing/>
              <w:jc w:val="center"/>
              <w:rPr>
                <w:sz w:val="24"/>
                <w:szCs w:val="24"/>
              </w:rPr>
            </w:pPr>
            <w:r w:rsidRPr="00792B36">
              <w:rPr>
                <w:color w:val="000000"/>
                <w:sz w:val="24"/>
                <w:szCs w:val="24"/>
              </w:rPr>
              <w:t>1,487.33</w:t>
            </w:r>
          </w:p>
        </w:tc>
      </w:tr>
      <w:tr w:rsidR="009A0A63" w:rsidRPr="00792B36" w14:paraId="006642EE" w14:textId="77777777" w:rsidTr="00A24459">
        <w:trPr>
          <w:trHeight w:val="340"/>
        </w:trPr>
        <w:tc>
          <w:tcPr>
            <w:tcW w:w="617" w:type="dxa"/>
            <w:vAlign w:val="center"/>
          </w:tcPr>
          <w:p w14:paraId="1D63FF59" w14:textId="77777777" w:rsidR="009A0A63" w:rsidRPr="00792B36" w:rsidRDefault="009A0A63" w:rsidP="00A24459">
            <w:pPr>
              <w:contextualSpacing/>
              <w:jc w:val="center"/>
              <w:rPr>
                <w:sz w:val="24"/>
                <w:szCs w:val="24"/>
              </w:rPr>
            </w:pPr>
            <w:r w:rsidRPr="00792B36">
              <w:rPr>
                <w:b/>
                <w:bCs/>
                <w:color w:val="000000"/>
                <w:sz w:val="24"/>
                <w:szCs w:val="24"/>
              </w:rPr>
              <w:t>2013</w:t>
            </w:r>
          </w:p>
        </w:tc>
        <w:tc>
          <w:tcPr>
            <w:tcW w:w="1177" w:type="dxa"/>
            <w:vAlign w:val="center"/>
          </w:tcPr>
          <w:p w14:paraId="2047BD4B" w14:textId="77777777" w:rsidR="009A0A63" w:rsidRPr="00792B36" w:rsidRDefault="009A0A63" w:rsidP="00A24459">
            <w:pPr>
              <w:contextualSpacing/>
              <w:jc w:val="center"/>
              <w:rPr>
                <w:sz w:val="24"/>
                <w:szCs w:val="24"/>
              </w:rPr>
            </w:pPr>
            <w:r w:rsidRPr="00792B36">
              <w:rPr>
                <w:color w:val="000000"/>
                <w:sz w:val="24"/>
                <w:szCs w:val="24"/>
              </w:rPr>
              <w:t>538.68</w:t>
            </w:r>
          </w:p>
        </w:tc>
        <w:tc>
          <w:tcPr>
            <w:tcW w:w="1095" w:type="dxa"/>
            <w:vAlign w:val="center"/>
          </w:tcPr>
          <w:p w14:paraId="7B35B66B" w14:textId="77777777" w:rsidR="009A0A63" w:rsidRPr="00792B36" w:rsidRDefault="009A0A63" w:rsidP="00A24459">
            <w:pPr>
              <w:contextualSpacing/>
              <w:jc w:val="center"/>
              <w:rPr>
                <w:sz w:val="24"/>
                <w:szCs w:val="24"/>
              </w:rPr>
            </w:pPr>
            <w:r w:rsidRPr="00792B36">
              <w:rPr>
                <w:color w:val="000000"/>
                <w:sz w:val="24"/>
                <w:szCs w:val="24"/>
              </w:rPr>
              <w:t>4,481.20</w:t>
            </w:r>
          </w:p>
        </w:tc>
        <w:tc>
          <w:tcPr>
            <w:tcW w:w="987" w:type="dxa"/>
            <w:vAlign w:val="center"/>
          </w:tcPr>
          <w:p w14:paraId="56A40E59" w14:textId="77777777" w:rsidR="009A0A63" w:rsidRPr="00792B36" w:rsidRDefault="009A0A63" w:rsidP="00A24459">
            <w:pPr>
              <w:contextualSpacing/>
              <w:jc w:val="center"/>
              <w:rPr>
                <w:sz w:val="24"/>
                <w:szCs w:val="24"/>
              </w:rPr>
            </w:pPr>
            <w:r w:rsidRPr="00792B36">
              <w:rPr>
                <w:color w:val="000000"/>
                <w:sz w:val="24"/>
                <w:szCs w:val="24"/>
              </w:rPr>
              <w:t>1,307.47</w:t>
            </w:r>
          </w:p>
        </w:tc>
        <w:tc>
          <w:tcPr>
            <w:tcW w:w="1080" w:type="dxa"/>
            <w:vAlign w:val="center"/>
          </w:tcPr>
          <w:p w14:paraId="6EC74053" w14:textId="77777777" w:rsidR="009A0A63" w:rsidRPr="00792B36" w:rsidRDefault="009A0A63" w:rsidP="00A24459">
            <w:pPr>
              <w:contextualSpacing/>
              <w:jc w:val="center"/>
              <w:rPr>
                <w:sz w:val="24"/>
                <w:szCs w:val="24"/>
              </w:rPr>
            </w:pPr>
            <w:r w:rsidRPr="00792B36">
              <w:rPr>
                <w:color w:val="000000"/>
                <w:sz w:val="24"/>
                <w:szCs w:val="24"/>
              </w:rPr>
              <w:t>6,305.12</w:t>
            </w:r>
          </w:p>
        </w:tc>
        <w:tc>
          <w:tcPr>
            <w:tcW w:w="1177" w:type="dxa"/>
            <w:vAlign w:val="center"/>
          </w:tcPr>
          <w:p w14:paraId="6CFBA1BE" w14:textId="77777777" w:rsidR="009A0A63" w:rsidRPr="00792B36" w:rsidRDefault="009A0A63" w:rsidP="00A24459">
            <w:pPr>
              <w:contextualSpacing/>
              <w:jc w:val="center"/>
              <w:rPr>
                <w:sz w:val="24"/>
                <w:szCs w:val="24"/>
              </w:rPr>
            </w:pPr>
            <w:r w:rsidRPr="00792B36">
              <w:rPr>
                <w:color w:val="000000"/>
                <w:sz w:val="24"/>
                <w:szCs w:val="24"/>
              </w:rPr>
              <w:t>136.97</w:t>
            </w:r>
          </w:p>
        </w:tc>
        <w:tc>
          <w:tcPr>
            <w:tcW w:w="1027" w:type="dxa"/>
            <w:vAlign w:val="center"/>
          </w:tcPr>
          <w:p w14:paraId="0C78DDF4" w14:textId="77777777" w:rsidR="009A0A63" w:rsidRPr="00792B36" w:rsidRDefault="009A0A63" w:rsidP="00A24459">
            <w:pPr>
              <w:contextualSpacing/>
              <w:jc w:val="center"/>
              <w:rPr>
                <w:sz w:val="24"/>
                <w:szCs w:val="24"/>
              </w:rPr>
            </w:pPr>
            <w:r w:rsidRPr="00792B36">
              <w:rPr>
                <w:color w:val="000000"/>
                <w:sz w:val="24"/>
                <w:szCs w:val="24"/>
              </w:rPr>
              <w:t>401.09</w:t>
            </w:r>
          </w:p>
        </w:tc>
        <w:tc>
          <w:tcPr>
            <w:tcW w:w="957" w:type="dxa"/>
            <w:vAlign w:val="center"/>
          </w:tcPr>
          <w:p w14:paraId="13E78AB9" w14:textId="77777777" w:rsidR="009A0A63" w:rsidRPr="00792B36" w:rsidRDefault="009A0A63" w:rsidP="00A24459">
            <w:pPr>
              <w:contextualSpacing/>
              <w:jc w:val="center"/>
              <w:rPr>
                <w:sz w:val="24"/>
                <w:szCs w:val="24"/>
              </w:rPr>
            </w:pPr>
            <w:r w:rsidRPr="00792B36">
              <w:rPr>
                <w:color w:val="000000"/>
                <w:sz w:val="24"/>
                <w:szCs w:val="24"/>
              </w:rPr>
              <w:t>964.41</w:t>
            </w:r>
          </w:p>
        </w:tc>
        <w:tc>
          <w:tcPr>
            <w:tcW w:w="900" w:type="dxa"/>
            <w:vAlign w:val="center"/>
          </w:tcPr>
          <w:p w14:paraId="34C18DB6" w14:textId="77777777" w:rsidR="009A0A63" w:rsidRPr="00792B36" w:rsidRDefault="009A0A63" w:rsidP="00A24459">
            <w:pPr>
              <w:contextualSpacing/>
              <w:jc w:val="center"/>
              <w:rPr>
                <w:sz w:val="24"/>
                <w:szCs w:val="24"/>
              </w:rPr>
            </w:pPr>
            <w:r w:rsidRPr="00792B36">
              <w:rPr>
                <w:color w:val="000000"/>
                <w:sz w:val="24"/>
                <w:szCs w:val="24"/>
              </w:rPr>
              <w:t>1,486.35</w:t>
            </w:r>
          </w:p>
        </w:tc>
      </w:tr>
      <w:tr w:rsidR="009A0A63" w:rsidRPr="00792B36" w14:paraId="0B896C99" w14:textId="77777777" w:rsidTr="00A24459">
        <w:trPr>
          <w:trHeight w:val="340"/>
        </w:trPr>
        <w:tc>
          <w:tcPr>
            <w:tcW w:w="617" w:type="dxa"/>
            <w:vAlign w:val="center"/>
          </w:tcPr>
          <w:p w14:paraId="6E2266B2" w14:textId="77777777" w:rsidR="009A0A63" w:rsidRPr="00792B36" w:rsidRDefault="009A0A63" w:rsidP="00A24459">
            <w:pPr>
              <w:contextualSpacing/>
              <w:jc w:val="center"/>
              <w:rPr>
                <w:sz w:val="24"/>
                <w:szCs w:val="24"/>
              </w:rPr>
            </w:pPr>
            <w:r w:rsidRPr="00792B36">
              <w:rPr>
                <w:b/>
                <w:bCs/>
                <w:color w:val="000000"/>
                <w:sz w:val="24"/>
                <w:szCs w:val="24"/>
              </w:rPr>
              <w:t>2014</w:t>
            </w:r>
          </w:p>
        </w:tc>
        <w:tc>
          <w:tcPr>
            <w:tcW w:w="1177" w:type="dxa"/>
            <w:vAlign w:val="center"/>
          </w:tcPr>
          <w:p w14:paraId="38CAAA62" w14:textId="77777777" w:rsidR="009A0A63" w:rsidRPr="00792B36" w:rsidRDefault="009A0A63" w:rsidP="00A24459">
            <w:pPr>
              <w:contextualSpacing/>
              <w:jc w:val="center"/>
              <w:rPr>
                <w:sz w:val="24"/>
                <w:szCs w:val="24"/>
              </w:rPr>
            </w:pPr>
            <w:r w:rsidRPr="00792B36">
              <w:rPr>
                <w:color w:val="000000"/>
                <w:sz w:val="24"/>
                <w:szCs w:val="24"/>
              </w:rPr>
              <w:t>483.71</w:t>
            </w:r>
          </w:p>
        </w:tc>
        <w:tc>
          <w:tcPr>
            <w:tcW w:w="1095" w:type="dxa"/>
            <w:vAlign w:val="center"/>
          </w:tcPr>
          <w:p w14:paraId="51F75315" w14:textId="77777777" w:rsidR="009A0A63" w:rsidRPr="00792B36" w:rsidRDefault="009A0A63" w:rsidP="00A24459">
            <w:pPr>
              <w:contextualSpacing/>
              <w:jc w:val="center"/>
              <w:rPr>
                <w:sz w:val="24"/>
                <w:szCs w:val="24"/>
              </w:rPr>
            </w:pPr>
            <w:r w:rsidRPr="00792B36">
              <w:rPr>
                <w:color w:val="000000"/>
                <w:sz w:val="24"/>
                <w:szCs w:val="24"/>
              </w:rPr>
              <w:t>4,502.44</w:t>
            </w:r>
          </w:p>
        </w:tc>
        <w:tc>
          <w:tcPr>
            <w:tcW w:w="987" w:type="dxa"/>
            <w:vAlign w:val="center"/>
          </w:tcPr>
          <w:p w14:paraId="183B3289" w14:textId="77777777" w:rsidR="009A0A63" w:rsidRPr="00792B36" w:rsidRDefault="009A0A63" w:rsidP="00A24459">
            <w:pPr>
              <w:contextualSpacing/>
              <w:jc w:val="center"/>
              <w:rPr>
                <w:sz w:val="24"/>
                <w:szCs w:val="24"/>
              </w:rPr>
            </w:pPr>
            <w:r w:rsidRPr="00792B36">
              <w:rPr>
                <w:color w:val="000000"/>
                <w:sz w:val="24"/>
                <w:szCs w:val="24"/>
              </w:rPr>
              <w:t>1,370.22</w:t>
            </w:r>
          </w:p>
        </w:tc>
        <w:tc>
          <w:tcPr>
            <w:tcW w:w="1080" w:type="dxa"/>
            <w:vAlign w:val="center"/>
          </w:tcPr>
          <w:p w14:paraId="320E6672" w14:textId="77777777" w:rsidR="009A0A63" w:rsidRPr="00792B36" w:rsidRDefault="009A0A63" w:rsidP="00A24459">
            <w:pPr>
              <w:contextualSpacing/>
              <w:jc w:val="center"/>
              <w:rPr>
                <w:sz w:val="24"/>
                <w:szCs w:val="24"/>
              </w:rPr>
            </w:pPr>
            <w:r w:rsidRPr="00792B36">
              <w:rPr>
                <w:color w:val="000000"/>
                <w:sz w:val="24"/>
                <w:szCs w:val="24"/>
              </w:rPr>
              <w:t>6,359.87</w:t>
            </w:r>
          </w:p>
        </w:tc>
        <w:tc>
          <w:tcPr>
            <w:tcW w:w="1177" w:type="dxa"/>
            <w:vAlign w:val="center"/>
          </w:tcPr>
          <w:p w14:paraId="6D7CF17D" w14:textId="77777777" w:rsidR="009A0A63" w:rsidRPr="00792B36" w:rsidRDefault="009A0A63" w:rsidP="00A24459">
            <w:pPr>
              <w:contextualSpacing/>
              <w:jc w:val="center"/>
              <w:rPr>
                <w:sz w:val="24"/>
                <w:szCs w:val="24"/>
              </w:rPr>
            </w:pPr>
            <w:r w:rsidRPr="00792B36">
              <w:rPr>
                <w:color w:val="000000"/>
                <w:sz w:val="24"/>
                <w:szCs w:val="24"/>
              </w:rPr>
              <w:t>150.78</w:t>
            </w:r>
          </w:p>
        </w:tc>
        <w:tc>
          <w:tcPr>
            <w:tcW w:w="1027" w:type="dxa"/>
            <w:vAlign w:val="center"/>
          </w:tcPr>
          <w:p w14:paraId="6D492C96" w14:textId="77777777" w:rsidR="009A0A63" w:rsidRPr="00792B36" w:rsidRDefault="009A0A63" w:rsidP="00A24459">
            <w:pPr>
              <w:contextualSpacing/>
              <w:jc w:val="center"/>
              <w:rPr>
                <w:sz w:val="24"/>
                <w:szCs w:val="24"/>
              </w:rPr>
            </w:pPr>
            <w:r w:rsidRPr="00792B36">
              <w:rPr>
                <w:color w:val="000000"/>
                <w:sz w:val="24"/>
                <w:szCs w:val="24"/>
              </w:rPr>
              <w:t>401.36</w:t>
            </w:r>
          </w:p>
        </w:tc>
        <w:tc>
          <w:tcPr>
            <w:tcW w:w="957" w:type="dxa"/>
            <w:vAlign w:val="center"/>
          </w:tcPr>
          <w:p w14:paraId="2B407127" w14:textId="77777777" w:rsidR="009A0A63" w:rsidRPr="00792B36" w:rsidRDefault="009A0A63" w:rsidP="00A24459">
            <w:pPr>
              <w:contextualSpacing/>
              <w:jc w:val="center"/>
              <w:rPr>
                <w:sz w:val="24"/>
                <w:szCs w:val="24"/>
              </w:rPr>
            </w:pPr>
            <w:r w:rsidRPr="00792B36">
              <w:rPr>
                <w:color w:val="000000"/>
                <w:sz w:val="24"/>
                <w:szCs w:val="24"/>
              </w:rPr>
              <w:t>1,009.27</w:t>
            </w:r>
          </w:p>
        </w:tc>
        <w:tc>
          <w:tcPr>
            <w:tcW w:w="900" w:type="dxa"/>
            <w:vAlign w:val="center"/>
          </w:tcPr>
          <w:p w14:paraId="6241A5FB" w14:textId="77777777" w:rsidR="009A0A63" w:rsidRPr="00792B36" w:rsidRDefault="009A0A63" w:rsidP="00A24459">
            <w:pPr>
              <w:contextualSpacing/>
              <w:jc w:val="center"/>
              <w:rPr>
                <w:sz w:val="24"/>
                <w:szCs w:val="24"/>
              </w:rPr>
            </w:pPr>
            <w:r w:rsidRPr="00792B36">
              <w:rPr>
                <w:color w:val="000000"/>
                <w:sz w:val="24"/>
                <w:szCs w:val="24"/>
              </w:rPr>
              <w:t>1,546.99</w:t>
            </w:r>
          </w:p>
        </w:tc>
      </w:tr>
      <w:tr w:rsidR="009A0A63" w:rsidRPr="00792B36" w14:paraId="7476043E" w14:textId="77777777" w:rsidTr="00A24459">
        <w:trPr>
          <w:trHeight w:val="340"/>
        </w:trPr>
        <w:tc>
          <w:tcPr>
            <w:tcW w:w="617" w:type="dxa"/>
            <w:vAlign w:val="center"/>
          </w:tcPr>
          <w:p w14:paraId="3217D7F7" w14:textId="77777777" w:rsidR="009A0A63" w:rsidRPr="00792B36" w:rsidRDefault="009A0A63" w:rsidP="00A24459">
            <w:pPr>
              <w:contextualSpacing/>
              <w:jc w:val="center"/>
              <w:rPr>
                <w:sz w:val="24"/>
                <w:szCs w:val="24"/>
              </w:rPr>
            </w:pPr>
            <w:r w:rsidRPr="00792B36">
              <w:rPr>
                <w:b/>
                <w:bCs/>
                <w:color w:val="000000"/>
                <w:sz w:val="24"/>
                <w:szCs w:val="24"/>
              </w:rPr>
              <w:t>2015</w:t>
            </w:r>
          </w:p>
        </w:tc>
        <w:tc>
          <w:tcPr>
            <w:tcW w:w="1177" w:type="dxa"/>
            <w:vAlign w:val="center"/>
          </w:tcPr>
          <w:p w14:paraId="57C4E2EA" w14:textId="77777777" w:rsidR="009A0A63" w:rsidRPr="00792B36" w:rsidRDefault="009A0A63" w:rsidP="00A24459">
            <w:pPr>
              <w:contextualSpacing/>
              <w:jc w:val="center"/>
              <w:rPr>
                <w:sz w:val="24"/>
                <w:szCs w:val="24"/>
              </w:rPr>
            </w:pPr>
            <w:r w:rsidRPr="00792B36">
              <w:rPr>
                <w:color w:val="000000"/>
                <w:sz w:val="24"/>
                <w:szCs w:val="24"/>
              </w:rPr>
              <w:t>394.84</w:t>
            </w:r>
          </w:p>
        </w:tc>
        <w:tc>
          <w:tcPr>
            <w:tcW w:w="1095" w:type="dxa"/>
            <w:vAlign w:val="center"/>
          </w:tcPr>
          <w:p w14:paraId="37421016" w14:textId="77777777" w:rsidR="009A0A63" w:rsidRPr="00792B36" w:rsidRDefault="009A0A63" w:rsidP="00A24459">
            <w:pPr>
              <w:contextualSpacing/>
              <w:jc w:val="center"/>
              <w:rPr>
                <w:sz w:val="24"/>
                <w:szCs w:val="24"/>
              </w:rPr>
            </w:pPr>
            <w:r w:rsidRPr="00792B36">
              <w:rPr>
                <w:color w:val="000000"/>
                <w:sz w:val="24"/>
                <w:szCs w:val="24"/>
              </w:rPr>
              <w:t>4,370.83</w:t>
            </w:r>
          </w:p>
        </w:tc>
        <w:tc>
          <w:tcPr>
            <w:tcW w:w="987" w:type="dxa"/>
            <w:vAlign w:val="center"/>
          </w:tcPr>
          <w:p w14:paraId="7C6FF71A" w14:textId="77777777" w:rsidR="009A0A63" w:rsidRPr="00792B36" w:rsidRDefault="009A0A63" w:rsidP="00A24459">
            <w:pPr>
              <w:contextualSpacing/>
              <w:jc w:val="center"/>
              <w:rPr>
                <w:sz w:val="24"/>
                <w:szCs w:val="24"/>
              </w:rPr>
            </w:pPr>
            <w:r w:rsidRPr="00792B36">
              <w:rPr>
                <w:color w:val="000000"/>
                <w:sz w:val="24"/>
                <w:szCs w:val="24"/>
              </w:rPr>
              <w:t>1,393.35</w:t>
            </w:r>
          </w:p>
        </w:tc>
        <w:tc>
          <w:tcPr>
            <w:tcW w:w="1080" w:type="dxa"/>
            <w:vAlign w:val="center"/>
          </w:tcPr>
          <w:p w14:paraId="6E679BDA" w14:textId="77777777" w:rsidR="009A0A63" w:rsidRPr="00792B36" w:rsidRDefault="009A0A63" w:rsidP="00A24459">
            <w:pPr>
              <w:contextualSpacing/>
              <w:jc w:val="center"/>
              <w:rPr>
                <w:sz w:val="24"/>
                <w:szCs w:val="24"/>
              </w:rPr>
            </w:pPr>
            <w:r w:rsidRPr="00792B36">
              <w:rPr>
                <w:color w:val="000000"/>
                <w:sz w:val="24"/>
                <w:szCs w:val="24"/>
              </w:rPr>
              <w:t>6,186.86</w:t>
            </w:r>
          </w:p>
        </w:tc>
        <w:tc>
          <w:tcPr>
            <w:tcW w:w="1177" w:type="dxa"/>
            <w:vAlign w:val="center"/>
          </w:tcPr>
          <w:p w14:paraId="17D2DA55" w14:textId="77777777" w:rsidR="009A0A63" w:rsidRPr="00792B36" w:rsidRDefault="009A0A63" w:rsidP="00A24459">
            <w:pPr>
              <w:contextualSpacing/>
              <w:jc w:val="center"/>
              <w:rPr>
                <w:sz w:val="24"/>
                <w:szCs w:val="24"/>
              </w:rPr>
            </w:pPr>
            <w:r w:rsidRPr="00792B36">
              <w:rPr>
                <w:color w:val="000000"/>
                <w:sz w:val="24"/>
                <w:szCs w:val="24"/>
              </w:rPr>
              <w:t>136.60</w:t>
            </w:r>
          </w:p>
        </w:tc>
        <w:tc>
          <w:tcPr>
            <w:tcW w:w="1027" w:type="dxa"/>
            <w:vAlign w:val="center"/>
          </w:tcPr>
          <w:p w14:paraId="0F0EA428" w14:textId="77777777" w:rsidR="009A0A63" w:rsidRPr="00792B36" w:rsidRDefault="009A0A63" w:rsidP="00A24459">
            <w:pPr>
              <w:contextualSpacing/>
              <w:jc w:val="center"/>
              <w:rPr>
                <w:sz w:val="24"/>
                <w:szCs w:val="24"/>
              </w:rPr>
            </w:pPr>
            <w:r w:rsidRPr="00792B36">
              <w:rPr>
                <w:color w:val="000000"/>
                <w:sz w:val="24"/>
                <w:szCs w:val="24"/>
              </w:rPr>
              <w:t>403.88</w:t>
            </w:r>
          </w:p>
        </w:tc>
        <w:tc>
          <w:tcPr>
            <w:tcW w:w="957" w:type="dxa"/>
            <w:vAlign w:val="center"/>
          </w:tcPr>
          <w:p w14:paraId="3FBC4BA1" w14:textId="77777777" w:rsidR="009A0A63" w:rsidRPr="00792B36" w:rsidRDefault="009A0A63" w:rsidP="00A24459">
            <w:pPr>
              <w:contextualSpacing/>
              <w:jc w:val="center"/>
              <w:rPr>
                <w:sz w:val="24"/>
                <w:szCs w:val="24"/>
              </w:rPr>
            </w:pPr>
            <w:r w:rsidRPr="00792B36">
              <w:rPr>
                <w:color w:val="000000"/>
                <w:sz w:val="24"/>
                <w:szCs w:val="24"/>
              </w:rPr>
              <w:t>1,058.66</w:t>
            </w:r>
          </w:p>
        </w:tc>
        <w:tc>
          <w:tcPr>
            <w:tcW w:w="900" w:type="dxa"/>
            <w:vAlign w:val="center"/>
          </w:tcPr>
          <w:p w14:paraId="35AE22B3" w14:textId="77777777" w:rsidR="009A0A63" w:rsidRPr="00792B36" w:rsidRDefault="009A0A63" w:rsidP="00A24459">
            <w:pPr>
              <w:contextualSpacing/>
              <w:jc w:val="center"/>
              <w:rPr>
                <w:sz w:val="24"/>
                <w:szCs w:val="24"/>
              </w:rPr>
            </w:pPr>
            <w:r w:rsidRPr="00792B36">
              <w:rPr>
                <w:color w:val="000000"/>
                <w:sz w:val="24"/>
                <w:szCs w:val="24"/>
              </w:rPr>
              <w:t>1,576.74</w:t>
            </w:r>
          </w:p>
        </w:tc>
      </w:tr>
      <w:tr w:rsidR="009A0A63" w:rsidRPr="00792B36" w14:paraId="76C83D78" w14:textId="77777777" w:rsidTr="00A24459">
        <w:trPr>
          <w:trHeight w:val="340"/>
        </w:trPr>
        <w:tc>
          <w:tcPr>
            <w:tcW w:w="617" w:type="dxa"/>
            <w:vAlign w:val="center"/>
          </w:tcPr>
          <w:p w14:paraId="6E8DA8D8" w14:textId="77777777" w:rsidR="009A0A63" w:rsidRPr="00792B36" w:rsidRDefault="009A0A63" w:rsidP="00A24459">
            <w:pPr>
              <w:contextualSpacing/>
              <w:jc w:val="center"/>
              <w:rPr>
                <w:sz w:val="24"/>
                <w:szCs w:val="24"/>
              </w:rPr>
            </w:pPr>
            <w:r w:rsidRPr="00792B36">
              <w:rPr>
                <w:b/>
                <w:bCs/>
                <w:color w:val="000000"/>
                <w:sz w:val="24"/>
                <w:szCs w:val="24"/>
              </w:rPr>
              <w:t>2016</w:t>
            </w:r>
          </w:p>
        </w:tc>
        <w:tc>
          <w:tcPr>
            <w:tcW w:w="1177" w:type="dxa"/>
            <w:vAlign w:val="center"/>
          </w:tcPr>
          <w:p w14:paraId="4B935D14" w14:textId="77777777" w:rsidR="009A0A63" w:rsidRPr="00792B36" w:rsidRDefault="009A0A63" w:rsidP="00A24459">
            <w:pPr>
              <w:contextualSpacing/>
              <w:jc w:val="center"/>
              <w:rPr>
                <w:sz w:val="24"/>
                <w:szCs w:val="24"/>
              </w:rPr>
            </w:pPr>
            <w:r w:rsidRPr="00792B36">
              <w:rPr>
                <w:color w:val="000000"/>
                <w:sz w:val="24"/>
                <w:szCs w:val="24"/>
              </w:rPr>
              <w:t>295.94</w:t>
            </w:r>
          </w:p>
        </w:tc>
        <w:tc>
          <w:tcPr>
            <w:tcW w:w="1095" w:type="dxa"/>
            <w:vAlign w:val="center"/>
          </w:tcPr>
          <w:p w14:paraId="6F66B6C8" w14:textId="77777777" w:rsidR="009A0A63" w:rsidRPr="00792B36" w:rsidRDefault="009A0A63" w:rsidP="00A24459">
            <w:pPr>
              <w:contextualSpacing/>
              <w:jc w:val="center"/>
              <w:rPr>
                <w:sz w:val="24"/>
                <w:szCs w:val="24"/>
              </w:rPr>
            </w:pPr>
            <w:r w:rsidRPr="00792B36">
              <w:rPr>
                <w:color w:val="000000"/>
                <w:sz w:val="24"/>
                <w:szCs w:val="24"/>
              </w:rPr>
              <w:t>4,436.99</w:t>
            </w:r>
          </w:p>
        </w:tc>
        <w:tc>
          <w:tcPr>
            <w:tcW w:w="987" w:type="dxa"/>
            <w:vAlign w:val="center"/>
          </w:tcPr>
          <w:p w14:paraId="527F13C9" w14:textId="77777777" w:rsidR="009A0A63" w:rsidRPr="00792B36" w:rsidRDefault="009A0A63" w:rsidP="00A24459">
            <w:pPr>
              <w:contextualSpacing/>
              <w:jc w:val="center"/>
              <w:rPr>
                <w:sz w:val="24"/>
                <w:szCs w:val="24"/>
              </w:rPr>
            </w:pPr>
            <w:r w:rsidRPr="00792B36">
              <w:rPr>
                <w:color w:val="000000"/>
                <w:sz w:val="24"/>
                <w:szCs w:val="24"/>
              </w:rPr>
              <w:t>1,439.48</w:t>
            </w:r>
          </w:p>
        </w:tc>
        <w:tc>
          <w:tcPr>
            <w:tcW w:w="1080" w:type="dxa"/>
            <w:vAlign w:val="center"/>
          </w:tcPr>
          <w:p w14:paraId="7026ECE5" w14:textId="77777777" w:rsidR="009A0A63" w:rsidRPr="00792B36" w:rsidRDefault="009A0A63" w:rsidP="00A24459">
            <w:pPr>
              <w:contextualSpacing/>
              <w:jc w:val="center"/>
              <w:rPr>
                <w:sz w:val="24"/>
                <w:szCs w:val="24"/>
              </w:rPr>
            </w:pPr>
            <w:r w:rsidRPr="00792B36">
              <w:rPr>
                <w:color w:val="000000"/>
                <w:sz w:val="24"/>
                <w:szCs w:val="24"/>
              </w:rPr>
              <w:t>6,226.35</w:t>
            </w:r>
          </w:p>
        </w:tc>
        <w:tc>
          <w:tcPr>
            <w:tcW w:w="1177" w:type="dxa"/>
            <w:vAlign w:val="center"/>
          </w:tcPr>
          <w:p w14:paraId="205AF618" w14:textId="77777777" w:rsidR="009A0A63" w:rsidRPr="00792B36" w:rsidRDefault="009A0A63" w:rsidP="00A24459">
            <w:pPr>
              <w:contextualSpacing/>
              <w:jc w:val="center"/>
              <w:rPr>
                <w:sz w:val="24"/>
                <w:szCs w:val="24"/>
              </w:rPr>
            </w:pPr>
            <w:r w:rsidRPr="00792B36">
              <w:rPr>
                <w:color w:val="000000"/>
                <w:sz w:val="24"/>
                <w:szCs w:val="24"/>
              </w:rPr>
              <w:t>130.17</w:t>
            </w:r>
          </w:p>
        </w:tc>
        <w:tc>
          <w:tcPr>
            <w:tcW w:w="1027" w:type="dxa"/>
            <w:vAlign w:val="center"/>
          </w:tcPr>
          <w:p w14:paraId="5C9FB595" w14:textId="77777777" w:rsidR="009A0A63" w:rsidRPr="00792B36" w:rsidRDefault="009A0A63" w:rsidP="00A24459">
            <w:pPr>
              <w:contextualSpacing/>
              <w:jc w:val="center"/>
              <w:rPr>
                <w:sz w:val="24"/>
                <w:szCs w:val="24"/>
              </w:rPr>
            </w:pPr>
            <w:r w:rsidRPr="00792B36">
              <w:rPr>
                <w:color w:val="000000"/>
                <w:sz w:val="24"/>
                <w:szCs w:val="24"/>
              </w:rPr>
              <w:t>416.60</w:t>
            </w:r>
          </w:p>
        </w:tc>
        <w:tc>
          <w:tcPr>
            <w:tcW w:w="957" w:type="dxa"/>
            <w:vAlign w:val="center"/>
          </w:tcPr>
          <w:p w14:paraId="7605FE2D" w14:textId="77777777" w:rsidR="009A0A63" w:rsidRPr="00792B36" w:rsidRDefault="009A0A63" w:rsidP="00A24459">
            <w:pPr>
              <w:contextualSpacing/>
              <w:jc w:val="center"/>
              <w:rPr>
                <w:sz w:val="24"/>
                <w:szCs w:val="24"/>
              </w:rPr>
            </w:pPr>
            <w:r w:rsidRPr="00792B36">
              <w:rPr>
                <w:color w:val="000000"/>
                <w:sz w:val="24"/>
                <w:szCs w:val="24"/>
              </w:rPr>
              <w:t>1,074.69</w:t>
            </w:r>
          </w:p>
        </w:tc>
        <w:tc>
          <w:tcPr>
            <w:tcW w:w="900" w:type="dxa"/>
            <w:vAlign w:val="center"/>
          </w:tcPr>
          <w:p w14:paraId="5EF4F783" w14:textId="77777777" w:rsidR="009A0A63" w:rsidRPr="00792B36" w:rsidRDefault="009A0A63" w:rsidP="00A24459">
            <w:pPr>
              <w:contextualSpacing/>
              <w:jc w:val="center"/>
              <w:rPr>
                <w:sz w:val="24"/>
                <w:szCs w:val="24"/>
              </w:rPr>
            </w:pPr>
            <w:r w:rsidRPr="00792B36">
              <w:rPr>
                <w:color w:val="000000"/>
                <w:sz w:val="24"/>
                <w:szCs w:val="24"/>
              </w:rPr>
              <w:t>1,595.91</w:t>
            </w:r>
          </w:p>
        </w:tc>
      </w:tr>
      <w:tr w:rsidR="009A0A63" w:rsidRPr="00792B36" w14:paraId="4A473AD3" w14:textId="77777777" w:rsidTr="00A24459">
        <w:trPr>
          <w:trHeight w:val="340"/>
        </w:trPr>
        <w:tc>
          <w:tcPr>
            <w:tcW w:w="617" w:type="dxa"/>
            <w:vAlign w:val="center"/>
          </w:tcPr>
          <w:p w14:paraId="7AEB1F79" w14:textId="77777777" w:rsidR="009A0A63" w:rsidRPr="00792B36" w:rsidRDefault="009A0A63" w:rsidP="00A24459">
            <w:pPr>
              <w:contextualSpacing/>
              <w:jc w:val="center"/>
              <w:rPr>
                <w:sz w:val="24"/>
                <w:szCs w:val="24"/>
              </w:rPr>
            </w:pPr>
            <w:r w:rsidRPr="00792B36">
              <w:rPr>
                <w:b/>
                <w:bCs/>
                <w:color w:val="000000"/>
                <w:sz w:val="24"/>
                <w:szCs w:val="24"/>
              </w:rPr>
              <w:t>2017</w:t>
            </w:r>
          </w:p>
        </w:tc>
        <w:tc>
          <w:tcPr>
            <w:tcW w:w="1177" w:type="dxa"/>
            <w:vAlign w:val="center"/>
          </w:tcPr>
          <w:p w14:paraId="292360F7" w14:textId="77777777" w:rsidR="009A0A63" w:rsidRPr="00792B36" w:rsidRDefault="009A0A63" w:rsidP="00A24459">
            <w:pPr>
              <w:contextualSpacing/>
              <w:jc w:val="center"/>
              <w:rPr>
                <w:sz w:val="24"/>
                <w:szCs w:val="24"/>
              </w:rPr>
            </w:pPr>
            <w:r w:rsidRPr="00792B36">
              <w:rPr>
                <w:color w:val="000000"/>
                <w:sz w:val="24"/>
                <w:szCs w:val="24"/>
              </w:rPr>
              <w:t>149.03</w:t>
            </w:r>
          </w:p>
        </w:tc>
        <w:tc>
          <w:tcPr>
            <w:tcW w:w="1095" w:type="dxa"/>
            <w:vAlign w:val="center"/>
          </w:tcPr>
          <w:p w14:paraId="4D4BAEE2" w14:textId="77777777" w:rsidR="009A0A63" w:rsidRPr="00792B36" w:rsidRDefault="009A0A63" w:rsidP="00A24459">
            <w:pPr>
              <w:contextualSpacing/>
              <w:jc w:val="center"/>
              <w:rPr>
                <w:sz w:val="24"/>
                <w:szCs w:val="24"/>
              </w:rPr>
            </w:pPr>
            <w:r w:rsidRPr="00792B36">
              <w:rPr>
                <w:color w:val="000000"/>
                <w:sz w:val="24"/>
                <w:szCs w:val="24"/>
              </w:rPr>
              <w:t>4,583.97</w:t>
            </w:r>
          </w:p>
        </w:tc>
        <w:tc>
          <w:tcPr>
            <w:tcW w:w="987" w:type="dxa"/>
            <w:vAlign w:val="center"/>
          </w:tcPr>
          <w:p w14:paraId="6B80F50E" w14:textId="77777777" w:rsidR="009A0A63" w:rsidRPr="00792B36" w:rsidRDefault="009A0A63" w:rsidP="00A24459">
            <w:pPr>
              <w:contextualSpacing/>
              <w:jc w:val="center"/>
              <w:rPr>
                <w:sz w:val="24"/>
                <w:szCs w:val="24"/>
              </w:rPr>
            </w:pPr>
            <w:r w:rsidRPr="00792B36">
              <w:rPr>
                <w:color w:val="000000"/>
                <w:sz w:val="24"/>
                <w:szCs w:val="24"/>
              </w:rPr>
              <w:t>1,441.49</w:t>
            </w:r>
          </w:p>
        </w:tc>
        <w:tc>
          <w:tcPr>
            <w:tcW w:w="1080" w:type="dxa"/>
            <w:vAlign w:val="center"/>
          </w:tcPr>
          <w:p w14:paraId="4D461BF0" w14:textId="77777777" w:rsidR="009A0A63" w:rsidRPr="00792B36" w:rsidRDefault="009A0A63" w:rsidP="00A24459">
            <w:pPr>
              <w:contextualSpacing/>
              <w:jc w:val="center"/>
              <w:rPr>
                <w:sz w:val="24"/>
                <w:szCs w:val="24"/>
              </w:rPr>
            </w:pPr>
            <w:r w:rsidRPr="00792B36">
              <w:rPr>
                <w:color w:val="000000"/>
                <w:sz w:val="24"/>
                <w:szCs w:val="24"/>
              </w:rPr>
              <w:t>6,250.55</w:t>
            </w:r>
          </w:p>
        </w:tc>
        <w:tc>
          <w:tcPr>
            <w:tcW w:w="1177" w:type="dxa"/>
            <w:vAlign w:val="center"/>
          </w:tcPr>
          <w:p w14:paraId="15AA97CA" w14:textId="77777777" w:rsidR="009A0A63" w:rsidRPr="00792B36" w:rsidRDefault="009A0A63" w:rsidP="00A24459">
            <w:pPr>
              <w:contextualSpacing/>
              <w:jc w:val="center"/>
              <w:rPr>
                <w:sz w:val="24"/>
                <w:szCs w:val="24"/>
              </w:rPr>
            </w:pPr>
            <w:r w:rsidRPr="00792B36">
              <w:rPr>
                <w:color w:val="000000"/>
                <w:sz w:val="24"/>
                <w:szCs w:val="24"/>
              </w:rPr>
              <w:t>253.56</w:t>
            </w:r>
          </w:p>
        </w:tc>
        <w:tc>
          <w:tcPr>
            <w:tcW w:w="1027" w:type="dxa"/>
            <w:vAlign w:val="center"/>
          </w:tcPr>
          <w:p w14:paraId="4C8DCC71" w14:textId="77777777" w:rsidR="009A0A63" w:rsidRPr="00792B36" w:rsidRDefault="009A0A63" w:rsidP="00A24459">
            <w:pPr>
              <w:contextualSpacing/>
              <w:jc w:val="center"/>
              <w:rPr>
                <w:sz w:val="24"/>
                <w:szCs w:val="24"/>
              </w:rPr>
            </w:pPr>
            <w:r w:rsidRPr="00792B36">
              <w:rPr>
                <w:color w:val="000000"/>
                <w:sz w:val="24"/>
                <w:szCs w:val="24"/>
              </w:rPr>
              <w:t>420.59</w:t>
            </w:r>
          </w:p>
        </w:tc>
        <w:tc>
          <w:tcPr>
            <w:tcW w:w="957" w:type="dxa"/>
            <w:vAlign w:val="center"/>
          </w:tcPr>
          <w:p w14:paraId="76E8DD65" w14:textId="77777777" w:rsidR="009A0A63" w:rsidRPr="00792B36" w:rsidRDefault="009A0A63" w:rsidP="00A24459">
            <w:pPr>
              <w:contextualSpacing/>
              <w:jc w:val="center"/>
              <w:rPr>
                <w:sz w:val="24"/>
                <w:szCs w:val="24"/>
              </w:rPr>
            </w:pPr>
            <w:r w:rsidRPr="00792B36">
              <w:rPr>
                <w:color w:val="000000"/>
                <w:sz w:val="24"/>
                <w:szCs w:val="24"/>
              </w:rPr>
              <w:t>1,188.29</w:t>
            </w:r>
          </w:p>
        </w:tc>
        <w:tc>
          <w:tcPr>
            <w:tcW w:w="900" w:type="dxa"/>
            <w:vAlign w:val="center"/>
          </w:tcPr>
          <w:p w14:paraId="5E825D6E" w14:textId="77777777" w:rsidR="009A0A63" w:rsidRPr="00792B36" w:rsidRDefault="009A0A63" w:rsidP="00A24459">
            <w:pPr>
              <w:contextualSpacing/>
              <w:jc w:val="center"/>
              <w:rPr>
                <w:sz w:val="24"/>
                <w:szCs w:val="24"/>
              </w:rPr>
            </w:pPr>
            <w:r w:rsidRPr="00792B36">
              <w:rPr>
                <w:color w:val="000000"/>
                <w:sz w:val="24"/>
                <w:szCs w:val="24"/>
              </w:rPr>
              <w:t>1,882.71</w:t>
            </w:r>
          </w:p>
        </w:tc>
      </w:tr>
      <w:tr w:rsidR="009A0A63" w:rsidRPr="00792B36" w14:paraId="6FC78C37" w14:textId="77777777" w:rsidTr="00A24459">
        <w:trPr>
          <w:trHeight w:val="340"/>
        </w:trPr>
        <w:tc>
          <w:tcPr>
            <w:tcW w:w="617" w:type="dxa"/>
            <w:vAlign w:val="center"/>
          </w:tcPr>
          <w:p w14:paraId="29A87FC7" w14:textId="77777777" w:rsidR="009A0A63" w:rsidRPr="00792B36" w:rsidRDefault="009A0A63" w:rsidP="00A24459">
            <w:pPr>
              <w:contextualSpacing/>
              <w:jc w:val="center"/>
              <w:rPr>
                <w:sz w:val="24"/>
                <w:szCs w:val="24"/>
              </w:rPr>
            </w:pPr>
            <w:r w:rsidRPr="00792B36">
              <w:rPr>
                <w:b/>
                <w:bCs/>
                <w:color w:val="000000"/>
                <w:sz w:val="24"/>
                <w:szCs w:val="24"/>
              </w:rPr>
              <w:t>2018</w:t>
            </w:r>
          </w:p>
        </w:tc>
        <w:tc>
          <w:tcPr>
            <w:tcW w:w="1177" w:type="dxa"/>
            <w:vAlign w:val="center"/>
          </w:tcPr>
          <w:p w14:paraId="403AC7F0" w14:textId="77777777" w:rsidR="009A0A63" w:rsidRPr="00792B36" w:rsidRDefault="009A0A63" w:rsidP="00A24459">
            <w:pPr>
              <w:contextualSpacing/>
              <w:jc w:val="center"/>
              <w:rPr>
                <w:sz w:val="24"/>
                <w:szCs w:val="24"/>
              </w:rPr>
            </w:pPr>
            <w:r w:rsidRPr="00792B36">
              <w:rPr>
                <w:color w:val="000000"/>
                <w:sz w:val="24"/>
                <w:szCs w:val="24"/>
              </w:rPr>
              <w:t>133.41</w:t>
            </w:r>
          </w:p>
        </w:tc>
        <w:tc>
          <w:tcPr>
            <w:tcW w:w="1095" w:type="dxa"/>
            <w:vAlign w:val="center"/>
          </w:tcPr>
          <w:p w14:paraId="2A152971" w14:textId="77777777" w:rsidR="009A0A63" w:rsidRPr="00792B36" w:rsidRDefault="009A0A63" w:rsidP="00A24459">
            <w:pPr>
              <w:contextualSpacing/>
              <w:jc w:val="center"/>
              <w:rPr>
                <w:sz w:val="24"/>
                <w:szCs w:val="24"/>
              </w:rPr>
            </w:pPr>
            <w:r w:rsidRPr="00792B36">
              <w:rPr>
                <w:color w:val="000000"/>
                <w:sz w:val="24"/>
                <w:szCs w:val="24"/>
              </w:rPr>
              <w:t>4,657.86</w:t>
            </w:r>
          </w:p>
        </w:tc>
        <w:tc>
          <w:tcPr>
            <w:tcW w:w="987" w:type="dxa"/>
            <w:vAlign w:val="center"/>
          </w:tcPr>
          <w:p w14:paraId="08E39312" w14:textId="77777777" w:rsidR="009A0A63" w:rsidRPr="00792B36" w:rsidRDefault="009A0A63" w:rsidP="00A24459">
            <w:pPr>
              <w:contextualSpacing/>
              <w:jc w:val="center"/>
              <w:rPr>
                <w:sz w:val="24"/>
                <w:szCs w:val="24"/>
              </w:rPr>
            </w:pPr>
            <w:r w:rsidRPr="00792B36">
              <w:rPr>
                <w:color w:val="000000"/>
                <w:sz w:val="24"/>
                <w:szCs w:val="24"/>
              </w:rPr>
              <w:t>1,528.15</w:t>
            </w:r>
          </w:p>
        </w:tc>
        <w:tc>
          <w:tcPr>
            <w:tcW w:w="1080" w:type="dxa"/>
            <w:vAlign w:val="center"/>
          </w:tcPr>
          <w:p w14:paraId="1D8DC3CD" w14:textId="77777777" w:rsidR="009A0A63" w:rsidRPr="00792B36" w:rsidRDefault="009A0A63" w:rsidP="00A24459">
            <w:pPr>
              <w:contextualSpacing/>
              <w:jc w:val="center"/>
              <w:rPr>
                <w:sz w:val="24"/>
                <w:szCs w:val="24"/>
              </w:rPr>
            </w:pPr>
            <w:r w:rsidRPr="00792B36">
              <w:rPr>
                <w:color w:val="000000"/>
                <w:sz w:val="24"/>
                <w:szCs w:val="24"/>
              </w:rPr>
              <w:t>6,407.14</w:t>
            </w:r>
          </w:p>
        </w:tc>
        <w:tc>
          <w:tcPr>
            <w:tcW w:w="1177" w:type="dxa"/>
            <w:vAlign w:val="center"/>
          </w:tcPr>
          <w:p w14:paraId="629D5408" w14:textId="77777777" w:rsidR="009A0A63" w:rsidRPr="00792B36" w:rsidRDefault="009A0A63" w:rsidP="00A24459">
            <w:pPr>
              <w:contextualSpacing/>
              <w:jc w:val="center"/>
              <w:rPr>
                <w:sz w:val="24"/>
                <w:szCs w:val="24"/>
              </w:rPr>
            </w:pPr>
            <w:r w:rsidRPr="00792B36">
              <w:rPr>
                <w:color w:val="000000"/>
                <w:sz w:val="24"/>
                <w:szCs w:val="24"/>
              </w:rPr>
              <w:t>289.53</w:t>
            </w:r>
          </w:p>
        </w:tc>
        <w:tc>
          <w:tcPr>
            <w:tcW w:w="1027" w:type="dxa"/>
            <w:vAlign w:val="center"/>
          </w:tcPr>
          <w:p w14:paraId="48AD9876" w14:textId="77777777" w:rsidR="009A0A63" w:rsidRPr="00792B36" w:rsidRDefault="009A0A63" w:rsidP="00A24459">
            <w:pPr>
              <w:contextualSpacing/>
              <w:jc w:val="center"/>
              <w:rPr>
                <w:sz w:val="24"/>
                <w:szCs w:val="24"/>
              </w:rPr>
            </w:pPr>
            <w:r w:rsidRPr="00792B36">
              <w:rPr>
                <w:color w:val="000000"/>
                <w:sz w:val="24"/>
                <w:szCs w:val="24"/>
              </w:rPr>
              <w:t>436.63</w:t>
            </w:r>
          </w:p>
        </w:tc>
        <w:tc>
          <w:tcPr>
            <w:tcW w:w="957" w:type="dxa"/>
            <w:vAlign w:val="center"/>
          </w:tcPr>
          <w:p w14:paraId="46BED3BD" w14:textId="77777777" w:rsidR="009A0A63" w:rsidRPr="00792B36" w:rsidRDefault="009A0A63" w:rsidP="00A24459">
            <w:pPr>
              <w:contextualSpacing/>
              <w:jc w:val="center"/>
              <w:rPr>
                <w:sz w:val="24"/>
                <w:szCs w:val="24"/>
              </w:rPr>
            </w:pPr>
            <w:r w:rsidRPr="00792B36">
              <w:rPr>
                <w:color w:val="000000"/>
                <w:sz w:val="24"/>
                <w:szCs w:val="24"/>
              </w:rPr>
              <w:t>1,218.19</w:t>
            </w:r>
          </w:p>
        </w:tc>
        <w:tc>
          <w:tcPr>
            <w:tcW w:w="900" w:type="dxa"/>
            <w:vAlign w:val="center"/>
          </w:tcPr>
          <w:p w14:paraId="21CDD094" w14:textId="77777777" w:rsidR="009A0A63" w:rsidRPr="00792B36" w:rsidRDefault="009A0A63" w:rsidP="00A24459">
            <w:pPr>
              <w:contextualSpacing/>
              <w:jc w:val="center"/>
              <w:rPr>
                <w:sz w:val="24"/>
                <w:szCs w:val="24"/>
              </w:rPr>
            </w:pPr>
            <w:r w:rsidRPr="00792B36">
              <w:rPr>
                <w:color w:val="000000"/>
                <w:sz w:val="24"/>
                <w:szCs w:val="24"/>
              </w:rPr>
              <w:t>1,978.43</w:t>
            </w:r>
          </w:p>
        </w:tc>
      </w:tr>
    </w:tbl>
    <w:p w14:paraId="555AFAA3" w14:textId="77777777" w:rsidR="009A0A63" w:rsidRPr="00792B36" w:rsidRDefault="009A0A63" w:rsidP="009A0A63">
      <w:pPr>
        <w:spacing w:line="360" w:lineRule="auto"/>
        <w:rPr>
          <w:sz w:val="24"/>
          <w:szCs w:val="24"/>
        </w:rPr>
      </w:pPr>
    </w:p>
    <w:p w14:paraId="1E4E2532" w14:textId="77777777" w:rsidR="009A0A63" w:rsidRPr="00792B36" w:rsidRDefault="009A0A63" w:rsidP="009A0A63">
      <w:pPr>
        <w:spacing w:line="360" w:lineRule="auto"/>
        <w:contextualSpacing/>
        <w:rPr>
          <w:color w:val="000000" w:themeColor="text1"/>
          <w:sz w:val="24"/>
          <w:szCs w:val="24"/>
        </w:rPr>
      </w:pPr>
      <w:r w:rsidRPr="00792B36">
        <w:rPr>
          <w:b/>
          <w:bCs/>
          <w:sz w:val="24"/>
          <w:szCs w:val="24"/>
        </w:rPr>
        <w:t xml:space="preserve">Annex 2.12 </w:t>
      </w:r>
      <w:r w:rsidRPr="00792B36">
        <w:rPr>
          <w:color w:val="000000" w:themeColor="text1"/>
          <w:sz w:val="24"/>
          <w:szCs w:val="24"/>
        </w:rPr>
        <w:t>Cont.</w:t>
      </w:r>
    </w:p>
    <w:tbl>
      <w:tblPr>
        <w:tblStyle w:val="TableGrid"/>
        <w:tblW w:w="0" w:type="auto"/>
        <w:tblLook w:val="04A0" w:firstRow="1" w:lastRow="0" w:firstColumn="1" w:lastColumn="0" w:noHBand="0" w:noVBand="1"/>
      </w:tblPr>
      <w:tblGrid>
        <w:gridCol w:w="631"/>
        <w:gridCol w:w="1211"/>
        <w:gridCol w:w="1056"/>
        <w:gridCol w:w="984"/>
        <w:gridCol w:w="942"/>
        <w:gridCol w:w="1211"/>
        <w:gridCol w:w="1056"/>
        <w:gridCol w:w="984"/>
        <w:gridCol w:w="942"/>
      </w:tblGrid>
      <w:tr w:rsidR="009A0A63" w:rsidRPr="00792B36" w14:paraId="74B3AEE7" w14:textId="77777777" w:rsidTr="00A24459">
        <w:trPr>
          <w:trHeight w:val="340"/>
        </w:trPr>
        <w:tc>
          <w:tcPr>
            <w:tcW w:w="617" w:type="dxa"/>
            <w:vMerge w:val="restart"/>
            <w:vAlign w:val="center"/>
          </w:tcPr>
          <w:p w14:paraId="36F5AACF" w14:textId="77777777" w:rsidR="009A0A63" w:rsidRPr="00792B36" w:rsidRDefault="009A0A63" w:rsidP="00A24459">
            <w:pPr>
              <w:contextualSpacing/>
              <w:jc w:val="center"/>
              <w:rPr>
                <w:b/>
                <w:bCs/>
                <w:sz w:val="24"/>
                <w:szCs w:val="24"/>
              </w:rPr>
            </w:pPr>
            <w:r w:rsidRPr="00792B36">
              <w:rPr>
                <w:b/>
                <w:bCs/>
                <w:color w:val="000000"/>
                <w:sz w:val="24"/>
                <w:szCs w:val="24"/>
              </w:rPr>
              <w:t>Year</w:t>
            </w:r>
          </w:p>
        </w:tc>
        <w:tc>
          <w:tcPr>
            <w:tcW w:w="4339" w:type="dxa"/>
            <w:gridSpan w:val="4"/>
            <w:vAlign w:val="center"/>
          </w:tcPr>
          <w:p w14:paraId="09A69128" w14:textId="77777777" w:rsidR="009A0A63" w:rsidRPr="00792B36" w:rsidRDefault="009A0A63" w:rsidP="00A24459">
            <w:pPr>
              <w:contextualSpacing/>
              <w:jc w:val="center"/>
              <w:rPr>
                <w:b/>
                <w:bCs/>
                <w:sz w:val="24"/>
                <w:szCs w:val="24"/>
              </w:rPr>
            </w:pPr>
            <w:r w:rsidRPr="00792B36">
              <w:rPr>
                <w:b/>
                <w:bCs/>
                <w:sz w:val="24"/>
                <w:szCs w:val="24"/>
              </w:rPr>
              <w:t>Phetchaburi</w:t>
            </w:r>
          </w:p>
        </w:tc>
        <w:tc>
          <w:tcPr>
            <w:tcW w:w="4061" w:type="dxa"/>
            <w:gridSpan w:val="4"/>
            <w:vAlign w:val="center"/>
          </w:tcPr>
          <w:p w14:paraId="561B69B9" w14:textId="77777777" w:rsidR="009A0A63" w:rsidRPr="00792B36" w:rsidRDefault="009A0A63" w:rsidP="00A24459">
            <w:pPr>
              <w:contextualSpacing/>
              <w:jc w:val="center"/>
              <w:rPr>
                <w:b/>
                <w:bCs/>
                <w:sz w:val="24"/>
                <w:szCs w:val="24"/>
              </w:rPr>
            </w:pPr>
            <w:r w:rsidRPr="00792B36">
              <w:rPr>
                <w:b/>
                <w:bCs/>
                <w:sz w:val="24"/>
                <w:szCs w:val="24"/>
              </w:rPr>
              <w:t>Prachuap Khiri khan</w:t>
            </w:r>
          </w:p>
        </w:tc>
      </w:tr>
      <w:tr w:rsidR="009A0A63" w:rsidRPr="00792B36" w14:paraId="7EB4C101" w14:textId="77777777" w:rsidTr="00A24459">
        <w:trPr>
          <w:trHeight w:val="340"/>
        </w:trPr>
        <w:tc>
          <w:tcPr>
            <w:tcW w:w="617" w:type="dxa"/>
            <w:vMerge/>
            <w:vAlign w:val="center"/>
          </w:tcPr>
          <w:p w14:paraId="2C49C5CF" w14:textId="77777777" w:rsidR="009A0A63" w:rsidRPr="00792B36" w:rsidRDefault="009A0A63" w:rsidP="00A24459">
            <w:pPr>
              <w:contextualSpacing/>
              <w:jc w:val="center"/>
              <w:rPr>
                <w:b/>
                <w:bCs/>
                <w:sz w:val="24"/>
                <w:szCs w:val="24"/>
              </w:rPr>
            </w:pPr>
          </w:p>
        </w:tc>
        <w:tc>
          <w:tcPr>
            <w:tcW w:w="1177" w:type="dxa"/>
            <w:vAlign w:val="center"/>
          </w:tcPr>
          <w:p w14:paraId="253673A3" w14:textId="77777777" w:rsidR="009A0A63" w:rsidRPr="00792B36" w:rsidRDefault="009A0A63" w:rsidP="00A24459">
            <w:pPr>
              <w:contextualSpacing/>
              <w:jc w:val="center"/>
              <w:rPr>
                <w:b/>
                <w:bCs/>
                <w:sz w:val="24"/>
                <w:szCs w:val="24"/>
              </w:rPr>
            </w:pPr>
            <w:r w:rsidRPr="00792B36">
              <w:rPr>
                <w:b/>
                <w:bCs/>
                <w:color w:val="000000"/>
                <w:sz w:val="24"/>
                <w:szCs w:val="24"/>
              </w:rPr>
              <w:t>Agriculture</w:t>
            </w:r>
          </w:p>
        </w:tc>
        <w:tc>
          <w:tcPr>
            <w:tcW w:w="1095" w:type="dxa"/>
            <w:vAlign w:val="center"/>
          </w:tcPr>
          <w:p w14:paraId="34FEFB19" w14:textId="77777777" w:rsidR="009A0A63" w:rsidRPr="00792B36" w:rsidRDefault="009A0A63" w:rsidP="00A24459">
            <w:pPr>
              <w:contextualSpacing/>
              <w:jc w:val="center"/>
              <w:rPr>
                <w:b/>
                <w:bCs/>
                <w:sz w:val="24"/>
                <w:szCs w:val="24"/>
              </w:rPr>
            </w:pPr>
            <w:r w:rsidRPr="00792B36">
              <w:rPr>
                <w:b/>
                <w:bCs/>
                <w:color w:val="000000"/>
                <w:sz w:val="24"/>
                <w:szCs w:val="24"/>
              </w:rPr>
              <w:t>Industrial</w:t>
            </w:r>
          </w:p>
        </w:tc>
        <w:tc>
          <w:tcPr>
            <w:tcW w:w="987" w:type="dxa"/>
            <w:vAlign w:val="center"/>
          </w:tcPr>
          <w:p w14:paraId="34F3C17A" w14:textId="77777777" w:rsidR="009A0A63" w:rsidRPr="00792B36" w:rsidRDefault="009A0A63" w:rsidP="00A24459">
            <w:pPr>
              <w:contextualSpacing/>
              <w:jc w:val="center"/>
              <w:rPr>
                <w:b/>
                <w:bCs/>
                <w:sz w:val="24"/>
                <w:szCs w:val="24"/>
              </w:rPr>
            </w:pPr>
            <w:r w:rsidRPr="00792B36">
              <w:rPr>
                <w:b/>
                <w:bCs/>
                <w:color w:val="000000"/>
                <w:sz w:val="24"/>
                <w:szCs w:val="24"/>
              </w:rPr>
              <w:t>Services</w:t>
            </w:r>
          </w:p>
        </w:tc>
        <w:tc>
          <w:tcPr>
            <w:tcW w:w="1080" w:type="dxa"/>
            <w:vAlign w:val="center"/>
          </w:tcPr>
          <w:p w14:paraId="06524588" w14:textId="77777777" w:rsidR="009A0A63" w:rsidRPr="00792B36" w:rsidRDefault="009A0A63" w:rsidP="00A24459">
            <w:pPr>
              <w:contextualSpacing/>
              <w:jc w:val="center"/>
              <w:rPr>
                <w:b/>
                <w:bCs/>
                <w:sz w:val="24"/>
                <w:szCs w:val="24"/>
              </w:rPr>
            </w:pPr>
            <w:r w:rsidRPr="00792B36">
              <w:rPr>
                <w:b/>
                <w:bCs/>
                <w:color w:val="000000"/>
                <w:sz w:val="24"/>
                <w:szCs w:val="24"/>
              </w:rPr>
              <w:t>GPP</w:t>
            </w:r>
          </w:p>
        </w:tc>
        <w:tc>
          <w:tcPr>
            <w:tcW w:w="1177" w:type="dxa"/>
            <w:vAlign w:val="center"/>
          </w:tcPr>
          <w:p w14:paraId="1D422E93" w14:textId="77777777" w:rsidR="009A0A63" w:rsidRPr="00792B36" w:rsidRDefault="009A0A63" w:rsidP="00A24459">
            <w:pPr>
              <w:contextualSpacing/>
              <w:jc w:val="center"/>
              <w:rPr>
                <w:b/>
                <w:bCs/>
                <w:sz w:val="24"/>
                <w:szCs w:val="24"/>
              </w:rPr>
            </w:pPr>
            <w:r w:rsidRPr="00792B36">
              <w:rPr>
                <w:b/>
                <w:bCs/>
                <w:color w:val="000000"/>
                <w:sz w:val="24"/>
                <w:szCs w:val="24"/>
              </w:rPr>
              <w:t>Agriculture</w:t>
            </w:r>
          </w:p>
        </w:tc>
        <w:tc>
          <w:tcPr>
            <w:tcW w:w="1027" w:type="dxa"/>
            <w:vAlign w:val="center"/>
          </w:tcPr>
          <w:p w14:paraId="0F0191C6" w14:textId="77777777" w:rsidR="009A0A63" w:rsidRPr="00792B36" w:rsidRDefault="009A0A63" w:rsidP="00A24459">
            <w:pPr>
              <w:contextualSpacing/>
              <w:jc w:val="center"/>
              <w:rPr>
                <w:b/>
                <w:bCs/>
                <w:sz w:val="24"/>
                <w:szCs w:val="24"/>
              </w:rPr>
            </w:pPr>
            <w:r w:rsidRPr="00792B36">
              <w:rPr>
                <w:b/>
                <w:bCs/>
                <w:color w:val="000000"/>
                <w:sz w:val="24"/>
                <w:szCs w:val="24"/>
              </w:rPr>
              <w:t>Industrial</w:t>
            </w:r>
          </w:p>
        </w:tc>
        <w:tc>
          <w:tcPr>
            <w:tcW w:w="957" w:type="dxa"/>
            <w:vAlign w:val="center"/>
          </w:tcPr>
          <w:p w14:paraId="4A4220A3" w14:textId="77777777" w:rsidR="009A0A63" w:rsidRPr="00792B36" w:rsidRDefault="009A0A63" w:rsidP="00A24459">
            <w:pPr>
              <w:contextualSpacing/>
              <w:jc w:val="center"/>
              <w:rPr>
                <w:b/>
                <w:bCs/>
                <w:sz w:val="24"/>
                <w:szCs w:val="24"/>
              </w:rPr>
            </w:pPr>
            <w:r w:rsidRPr="00792B36">
              <w:rPr>
                <w:b/>
                <w:bCs/>
                <w:color w:val="000000"/>
                <w:sz w:val="24"/>
                <w:szCs w:val="24"/>
              </w:rPr>
              <w:t>Services</w:t>
            </w:r>
          </w:p>
        </w:tc>
        <w:tc>
          <w:tcPr>
            <w:tcW w:w="900" w:type="dxa"/>
            <w:vAlign w:val="center"/>
          </w:tcPr>
          <w:p w14:paraId="65EAE088" w14:textId="77777777" w:rsidR="009A0A63" w:rsidRPr="00792B36" w:rsidRDefault="009A0A63" w:rsidP="00A24459">
            <w:pPr>
              <w:contextualSpacing/>
              <w:jc w:val="center"/>
              <w:rPr>
                <w:b/>
                <w:bCs/>
                <w:sz w:val="24"/>
                <w:szCs w:val="24"/>
              </w:rPr>
            </w:pPr>
            <w:r w:rsidRPr="00792B36">
              <w:rPr>
                <w:b/>
                <w:bCs/>
                <w:sz w:val="24"/>
                <w:szCs w:val="24"/>
              </w:rPr>
              <w:t>GPP</w:t>
            </w:r>
          </w:p>
        </w:tc>
      </w:tr>
      <w:tr w:rsidR="009A0A63" w:rsidRPr="00792B36" w14:paraId="60EBF674" w14:textId="77777777" w:rsidTr="00A24459">
        <w:trPr>
          <w:trHeight w:val="340"/>
        </w:trPr>
        <w:tc>
          <w:tcPr>
            <w:tcW w:w="617" w:type="dxa"/>
            <w:vAlign w:val="center"/>
          </w:tcPr>
          <w:p w14:paraId="775D5060" w14:textId="77777777" w:rsidR="009A0A63" w:rsidRPr="00792B36" w:rsidRDefault="009A0A63" w:rsidP="00A24459">
            <w:pPr>
              <w:contextualSpacing/>
              <w:jc w:val="center"/>
              <w:rPr>
                <w:sz w:val="24"/>
                <w:szCs w:val="24"/>
              </w:rPr>
            </w:pPr>
            <w:r w:rsidRPr="00792B36">
              <w:rPr>
                <w:b/>
                <w:bCs/>
                <w:color w:val="000000"/>
                <w:sz w:val="24"/>
                <w:szCs w:val="24"/>
              </w:rPr>
              <w:t>1995</w:t>
            </w:r>
          </w:p>
        </w:tc>
        <w:tc>
          <w:tcPr>
            <w:tcW w:w="1177" w:type="dxa"/>
            <w:vAlign w:val="center"/>
          </w:tcPr>
          <w:p w14:paraId="51E16D3B" w14:textId="77777777" w:rsidR="009A0A63" w:rsidRPr="00792B36" w:rsidRDefault="009A0A63" w:rsidP="00A24459">
            <w:pPr>
              <w:contextualSpacing/>
              <w:jc w:val="center"/>
              <w:rPr>
                <w:sz w:val="24"/>
                <w:szCs w:val="24"/>
              </w:rPr>
            </w:pPr>
            <w:r w:rsidRPr="00792B36">
              <w:rPr>
                <w:color w:val="000000"/>
                <w:sz w:val="24"/>
                <w:szCs w:val="24"/>
              </w:rPr>
              <w:t>125.34</w:t>
            </w:r>
          </w:p>
        </w:tc>
        <w:tc>
          <w:tcPr>
            <w:tcW w:w="1095" w:type="dxa"/>
            <w:vAlign w:val="center"/>
          </w:tcPr>
          <w:p w14:paraId="50286219" w14:textId="77777777" w:rsidR="009A0A63" w:rsidRPr="00792B36" w:rsidRDefault="009A0A63" w:rsidP="00A24459">
            <w:pPr>
              <w:contextualSpacing/>
              <w:jc w:val="center"/>
              <w:rPr>
                <w:sz w:val="24"/>
                <w:szCs w:val="24"/>
              </w:rPr>
            </w:pPr>
            <w:r w:rsidRPr="00792B36">
              <w:rPr>
                <w:color w:val="000000"/>
                <w:sz w:val="24"/>
                <w:szCs w:val="24"/>
              </w:rPr>
              <w:t>152.59</w:t>
            </w:r>
          </w:p>
        </w:tc>
        <w:tc>
          <w:tcPr>
            <w:tcW w:w="987" w:type="dxa"/>
            <w:vAlign w:val="center"/>
          </w:tcPr>
          <w:p w14:paraId="384847FA" w14:textId="77777777" w:rsidR="009A0A63" w:rsidRPr="00792B36" w:rsidRDefault="009A0A63" w:rsidP="00A24459">
            <w:pPr>
              <w:contextualSpacing/>
              <w:jc w:val="center"/>
              <w:rPr>
                <w:sz w:val="24"/>
                <w:szCs w:val="24"/>
              </w:rPr>
            </w:pPr>
            <w:r w:rsidRPr="00792B36">
              <w:rPr>
                <w:color w:val="000000"/>
                <w:sz w:val="24"/>
                <w:szCs w:val="24"/>
              </w:rPr>
              <w:t>888.81</w:t>
            </w:r>
          </w:p>
        </w:tc>
        <w:tc>
          <w:tcPr>
            <w:tcW w:w="1080" w:type="dxa"/>
            <w:vAlign w:val="center"/>
          </w:tcPr>
          <w:p w14:paraId="47FE1511" w14:textId="77777777" w:rsidR="009A0A63" w:rsidRPr="00792B36" w:rsidRDefault="009A0A63" w:rsidP="00A24459">
            <w:pPr>
              <w:contextualSpacing/>
              <w:jc w:val="center"/>
              <w:rPr>
                <w:sz w:val="24"/>
                <w:szCs w:val="24"/>
              </w:rPr>
            </w:pPr>
            <w:r w:rsidRPr="00792B36">
              <w:rPr>
                <w:color w:val="000000"/>
                <w:sz w:val="24"/>
                <w:szCs w:val="24"/>
              </w:rPr>
              <w:t>1,155.53</w:t>
            </w:r>
          </w:p>
        </w:tc>
        <w:tc>
          <w:tcPr>
            <w:tcW w:w="1177" w:type="dxa"/>
            <w:vAlign w:val="center"/>
          </w:tcPr>
          <w:p w14:paraId="797AFF72" w14:textId="77777777" w:rsidR="009A0A63" w:rsidRPr="00792B36" w:rsidRDefault="009A0A63" w:rsidP="00A24459">
            <w:pPr>
              <w:contextualSpacing/>
              <w:jc w:val="center"/>
              <w:rPr>
                <w:sz w:val="24"/>
                <w:szCs w:val="24"/>
              </w:rPr>
            </w:pPr>
            <w:r w:rsidRPr="00792B36">
              <w:rPr>
                <w:color w:val="000000"/>
                <w:sz w:val="24"/>
                <w:szCs w:val="24"/>
              </w:rPr>
              <w:t>422.42</w:t>
            </w:r>
          </w:p>
        </w:tc>
        <w:tc>
          <w:tcPr>
            <w:tcW w:w="1027" w:type="dxa"/>
            <w:vAlign w:val="center"/>
          </w:tcPr>
          <w:p w14:paraId="7EA6A32F" w14:textId="77777777" w:rsidR="009A0A63" w:rsidRPr="00792B36" w:rsidRDefault="009A0A63" w:rsidP="00A24459">
            <w:pPr>
              <w:contextualSpacing/>
              <w:jc w:val="center"/>
              <w:rPr>
                <w:sz w:val="24"/>
                <w:szCs w:val="24"/>
              </w:rPr>
            </w:pPr>
            <w:r w:rsidRPr="00792B36">
              <w:rPr>
                <w:color w:val="000000"/>
                <w:sz w:val="24"/>
                <w:szCs w:val="24"/>
              </w:rPr>
              <w:t>608.59</w:t>
            </w:r>
          </w:p>
        </w:tc>
        <w:tc>
          <w:tcPr>
            <w:tcW w:w="957" w:type="dxa"/>
            <w:vAlign w:val="center"/>
          </w:tcPr>
          <w:p w14:paraId="59CF3C22" w14:textId="77777777" w:rsidR="009A0A63" w:rsidRPr="00792B36" w:rsidRDefault="009A0A63" w:rsidP="00A24459">
            <w:pPr>
              <w:contextualSpacing/>
              <w:jc w:val="center"/>
              <w:rPr>
                <w:sz w:val="24"/>
                <w:szCs w:val="24"/>
              </w:rPr>
            </w:pPr>
            <w:r w:rsidRPr="00792B36">
              <w:rPr>
                <w:color w:val="000000"/>
                <w:sz w:val="24"/>
                <w:szCs w:val="24"/>
              </w:rPr>
              <w:t>786.66</w:t>
            </w:r>
          </w:p>
        </w:tc>
        <w:tc>
          <w:tcPr>
            <w:tcW w:w="900" w:type="dxa"/>
            <w:vAlign w:val="center"/>
          </w:tcPr>
          <w:p w14:paraId="7E42BA24" w14:textId="77777777" w:rsidR="009A0A63" w:rsidRPr="00792B36" w:rsidRDefault="009A0A63" w:rsidP="00A24459">
            <w:pPr>
              <w:contextualSpacing/>
              <w:jc w:val="center"/>
              <w:rPr>
                <w:sz w:val="24"/>
                <w:szCs w:val="24"/>
              </w:rPr>
            </w:pPr>
            <w:r w:rsidRPr="00792B36">
              <w:rPr>
                <w:color w:val="000000"/>
                <w:sz w:val="24"/>
                <w:szCs w:val="24"/>
              </w:rPr>
              <w:t>1,771.26</w:t>
            </w:r>
          </w:p>
        </w:tc>
      </w:tr>
      <w:tr w:rsidR="009A0A63" w:rsidRPr="00792B36" w14:paraId="34B03C4D" w14:textId="77777777" w:rsidTr="00A24459">
        <w:trPr>
          <w:trHeight w:val="340"/>
        </w:trPr>
        <w:tc>
          <w:tcPr>
            <w:tcW w:w="617" w:type="dxa"/>
            <w:vAlign w:val="center"/>
          </w:tcPr>
          <w:p w14:paraId="575AB840" w14:textId="77777777" w:rsidR="009A0A63" w:rsidRPr="00792B36" w:rsidRDefault="009A0A63" w:rsidP="00A24459">
            <w:pPr>
              <w:contextualSpacing/>
              <w:jc w:val="center"/>
              <w:rPr>
                <w:sz w:val="24"/>
                <w:szCs w:val="24"/>
              </w:rPr>
            </w:pPr>
            <w:r w:rsidRPr="00792B36">
              <w:rPr>
                <w:b/>
                <w:bCs/>
                <w:color w:val="000000"/>
                <w:sz w:val="24"/>
                <w:szCs w:val="24"/>
              </w:rPr>
              <w:t>1996</w:t>
            </w:r>
          </w:p>
        </w:tc>
        <w:tc>
          <w:tcPr>
            <w:tcW w:w="1177" w:type="dxa"/>
            <w:vAlign w:val="center"/>
          </w:tcPr>
          <w:p w14:paraId="4E5B4F9B" w14:textId="77777777" w:rsidR="009A0A63" w:rsidRPr="00792B36" w:rsidRDefault="009A0A63" w:rsidP="00A24459">
            <w:pPr>
              <w:contextualSpacing/>
              <w:jc w:val="center"/>
              <w:rPr>
                <w:sz w:val="24"/>
                <w:szCs w:val="24"/>
              </w:rPr>
            </w:pPr>
            <w:r w:rsidRPr="00792B36">
              <w:rPr>
                <w:color w:val="000000"/>
                <w:sz w:val="24"/>
                <w:szCs w:val="24"/>
              </w:rPr>
              <w:t>124.80</w:t>
            </w:r>
          </w:p>
        </w:tc>
        <w:tc>
          <w:tcPr>
            <w:tcW w:w="1095" w:type="dxa"/>
            <w:vAlign w:val="center"/>
          </w:tcPr>
          <w:p w14:paraId="2009DDC7" w14:textId="77777777" w:rsidR="009A0A63" w:rsidRPr="00792B36" w:rsidRDefault="009A0A63" w:rsidP="00A24459">
            <w:pPr>
              <w:contextualSpacing/>
              <w:jc w:val="center"/>
              <w:rPr>
                <w:sz w:val="24"/>
                <w:szCs w:val="24"/>
              </w:rPr>
            </w:pPr>
            <w:r w:rsidRPr="00792B36">
              <w:rPr>
                <w:color w:val="000000"/>
                <w:sz w:val="24"/>
                <w:szCs w:val="24"/>
              </w:rPr>
              <w:t>156.59</w:t>
            </w:r>
          </w:p>
        </w:tc>
        <w:tc>
          <w:tcPr>
            <w:tcW w:w="987" w:type="dxa"/>
            <w:vAlign w:val="center"/>
          </w:tcPr>
          <w:p w14:paraId="358DE76C" w14:textId="77777777" w:rsidR="009A0A63" w:rsidRPr="00792B36" w:rsidRDefault="009A0A63" w:rsidP="00A24459">
            <w:pPr>
              <w:contextualSpacing/>
              <w:jc w:val="center"/>
              <w:rPr>
                <w:sz w:val="24"/>
                <w:szCs w:val="24"/>
              </w:rPr>
            </w:pPr>
            <w:r w:rsidRPr="00792B36">
              <w:rPr>
                <w:color w:val="000000"/>
                <w:sz w:val="24"/>
                <w:szCs w:val="24"/>
              </w:rPr>
              <w:t>967.06</w:t>
            </w:r>
          </w:p>
        </w:tc>
        <w:tc>
          <w:tcPr>
            <w:tcW w:w="1080" w:type="dxa"/>
            <w:vAlign w:val="center"/>
          </w:tcPr>
          <w:p w14:paraId="1FF3E2B1" w14:textId="77777777" w:rsidR="009A0A63" w:rsidRPr="00792B36" w:rsidRDefault="009A0A63" w:rsidP="00A24459">
            <w:pPr>
              <w:contextualSpacing/>
              <w:jc w:val="center"/>
              <w:rPr>
                <w:sz w:val="24"/>
                <w:szCs w:val="24"/>
              </w:rPr>
            </w:pPr>
            <w:r w:rsidRPr="00792B36">
              <w:rPr>
                <w:color w:val="000000"/>
                <w:sz w:val="24"/>
                <w:szCs w:val="24"/>
              </w:rPr>
              <w:t>1,235.43</w:t>
            </w:r>
          </w:p>
        </w:tc>
        <w:tc>
          <w:tcPr>
            <w:tcW w:w="1177" w:type="dxa"/>
            <w:vAlign w:val="center"/>
          </w:tcPr>
          <w:p w14:paraId="6A4C6C93" w14:textId="77777777" w:rsidR="009A0A63" w:rsidRPr="00792B36" w:rsidRDefault="009A0A63" w:rsidP="00A24459">
            <w:pPr>
              <w:contextualSpacing/>
              <w:jc w:val="center"/>
              <w:rPr>
                <w:sz w:val="24"/>
                <w:szCs w:val="24"/>
              </w:rPr>
            </w:pPr>
            <w:r w:rsidRPr="00792B36">
              <w:rPr>
                <w:color w:val="000000"/>
                <w:sz w:val="24"/>
                <w:szCs w:val="24"/>
              </w:rPr>
              <w:t>393.69</w:t>
            </w:r>
          </w:p>
        </w:tc>
        <w:tc>
          <w:tcPr>
            <w:tcW w:w="1027" w:type="dxa"/>
            <w:vAlign w:val="center"/>
          </w:tcPr>
          <w:p w14:paraId="10EE4029" w14:textId="77777777" w:rsidR="009A0A63" w:rsidRPr="00792B36" w:rsidRDefault="009A0A63" w:rsidP="00A24459">
            <w:pPr>
              <w:contextualSpacing/>
              <w:jc w:val="center"/>
              <w:rPr>
                <w:sz w:val="24"/>
                <w:szCs w:val="24"/>
              </w:rPr>
            </w:pPr>
            <w:r w:rsidRPr="00792B36">
              <w:rPr>
                <w:color w:val="000000"/>
                <w:sz w:val="24"/>
                <w:szCs w:val="24"/>
              </w:rPr>
              <w:t>587.95</w:t>
            </w:r>
          </w:p>
        </w:tc>
        <w:tc>
          <w:tcPr>
            <w:tcW w:w="957" w:type="dxa"/>
            <w:vAlign w:val="center"/>
          </w:tcPr>
          <w:p w14:paraId="1F2028EF" w14:textId="77777777" w:rsidR="009A0A63" w:rsidRPr="00792B36" w:rsidRDefault="009A0A63" w:rsidP="00A24459">
            <w:pPr>
              <w:contextualSpacing/>
              <w:jc w:val="center"/>
              <w:rPr>
                <w:sz w:val="24"/>
                <w:szCs w:val="24"/>
              </w:rPr>
            </w:pPr>
            <w:r w:rsidRPr="00792B36">
              <w:rPr>
                <w:color w:val="000000"/>
                <w:sz w:val="24"/>
                <w:szCs w:val="24"/>
              </w:rPr>
              <w:t>878.15</w:t>
            </w:r>
          </w:p>
        </w:tc>
        <w:tc>
          <w:tcPr>
            <w:tcW w:w="900" w:type="dxa"/>
            <w:vAlign w:val="center"/>
          </w:tcPr>
          <w:p w14:paraId="2FCF099B" w14:textId="77777777" w:rsidR="009A0A63" w:rsidRPr="00792B36" w:rsidRDefault="009A0A63" w:rsidP="00A24459">
            <w:pPr>
              <w:contextualSpacing/>
              <w:jc w:val="center"/>
              <w:rPr>
                <w:sz w:val="24"/>
                <w:szCs w:val="24"/>
              </w:rPr>
            </w:pPr>
            <w:r w:rsidRPr="00792B36">
              <w:rPr>
                <w:color w:val="000000"/>
                <w:sz w:val="24"/>
                <w:szCs w:val="24"/>
              </w:rPr>
              <w:t>1,818.38</w:t>
            </w:r>
          </w:p>
        </w:tc>
      </w:tr>
      <w:tr w:rsidR="009A0A63" w:rsidRPr="00792B36" w14:paraId="405F0E7E" w14:textId="77777777" w:rsidTr="00A24459">
        <w:trPr>
          <w:trHeight w:val="340"/>
        </w:trPr>
        <w:tc>
          <w:tcPr>
            <w:tcW w:w="617" w:type="dxa"/>
            <w:vAlign w:val="center"/>
          </w:tcPr>
          <w:p w14:paraId="68062A44" w14:textId="77777777" w:rsidR="009A0A63" w:rsidRPr="00792B36" w:rsidRDefault="009A0A63" w:rsidP="00A24459">
            <w:pPr>
              <w:contextualSpacing/>
              <w:jc w:val="center"/>
              <w:rPr>
                <w:sz w:val="24"/>
                <w:szCs w:val="24"/>
              </w:rPr>
            </w:pPr>
            <w:r w:rsidRPr="00792B36">
              <w:rPr>
                <w:b/>
                <w:bCs/>
                <w:color w:val="000000"/>
                <w:sz w:val="24"/>
                <w:szCs w:val="24"/>
              </w:rPr>
              <w:t>1997</w:t>
            </w:r>
          </w:p>
        </w:tc>
        <w:tc>
          <w:tcPr>
            <w:tcW w:w="1177" w:type="dxa"/>
            <w:vAlign w:val="center"/>
          </w:tcPr>
          <w:p w14:paraId="4F9059CE" w14:textId="77777777" w:rsidR="009A0A63" w:rsidRPr="00792B36" w:rsidRDefault="009A0A63" w:rsidP="00A24459">
            <w:pPr>
              <w:contextualSpacing/>
              <w:jc w:val="center"/>
              <w:rPr>
                <w:sz w:val="24"/>
                <w:szCs w:val="24"/>
              </w:rPr>
            </w:pPr>
            <w:r w:rsidRPr="00792B36">
              <w:rPr>
                <w:color w:val="000000"/>
                <w:sz w:val="24"/>
                <w:szCs w:val="24"/>
              </w:rPr>
              <w:t>133.90</w:t>
            </w:r>
          </w:p>
        </w:tc>
        <w:tc>
          <w:tcPr>
            <w:tcW w:w="1095" w:type="dxa"/>
            <w:vAlign w:val="center"/>
          </w:tcPr>
          <w:p w14:paraId="6FD20B46" w14:textId="77777777" w:rsidR="009A0A63" w:rsidRPr="00792B36" w:rsidRDefault="009A0A63" w:rsidP="00A24459">
            <w:pPr>
              <w:contextualSpacing/>
              <w:jc w:val="center"/>
              <w:rPr>
                <w:sz w:val="24"/>
                <w:szCs w:val="24"/>
              </w:rPr>
            </w:pPr>
            <w:r w:rsidRPr="00792B36">
              <w:rPr>
                <w:color w:val="000000"/>
                <w:sz w:val="24"/>
                <w:szCs w:val="24"/>
              </w:rPr>
              <w:t>165.08</w:t>
            </w:r>
          </w:p>
        </w:tc>
        <w:tc>
          <w:tcPr>
            <w:tcW w:w="987" w:type="dxa"/>
            <w:vAlign w:val="center"/>
          </w:tcPr>
          <w:p w14:paraId="68077BA8" w14:textId="77777777" w:rsidR="009A0A63" w:rsidRPr="00792B36" w:rsidRDefault="009A0A63" w:rsidP="00A24459">
            <w:pPr>
              <w:contextualSpacing/>
              <w:jc w:val="center"/>
              <w:rPr>
                <w:sz w:val="24"/>
                <w:szCs w:val="24"/>
              </w:rPr>
            </w:pPr>
            <w:r w:rsidRPr="00792B36">
              <w:rPr>
                <w:color w:val="000000"/>
                <w:sz w:val="24"/>
                <w:szCs w:val="24"/>
              </w:rPr>
              <w:t>978.72</w:t>
            </w:r>
          </w:p>
        </w:tc>
        <w:tc>
          <w:tcPr>
            <w:tcW w:w="1080" w:type="dxa"/>
            <w:vAlign w:val="center"/>
          </w:tcPr>
          <w:p w14:paraId="021FC635" w14:textId="77777777" w:rsidR="009A0A63" w:rsidRPr="00792B36" w:rsidRDefault="009A0A63" w:rsidP="00A24459">
            <w:pPr>
              <w:contextualSpacing/>
              <w:jc w:val="center"/>
              <w:rPr>
                <w:sz w:val="24"/>
                <w:szCs w:val="24"/>
              </w:rPr>
            </w:pPr>
            <w:r w:rsidRPr="00792B36">
              <w:rPr>
                <w:color w:val="000000"/>
                <w:sz w:val="24"/>
                <w:szCs w:val="24"/>
              </w:rPr>
              <w:t>1,265.61</w:t>
            </w:r>
          </w:p>
        </w:tc>
        <w:tc>
          <w:tcPr>
            <w:tcW w:w="1177" w:type="dxa"/>
            <w:vAlign w:val="center"/>
          </w:tcPr>
          <w:p w14:paraId="1803A17E" w14:textId="77777777" w:rsidR="009A0A63" w:rsidRPr="00792B36" w:rsidRDefault="009A0A63" w:rsidP="00A24459">
            <w:pPr>
              <w:contextualSpacing/>
              <w:jc w:val="center"/>
              <w:rPr>
                <w:sz w:val="24"/>
                <w:szCs w:val="24"/>
              </w:rPr>
            </w:pPr>
            <w:r w:rsidRPr="00792B36">
              <w:rPr>
                <w:color w:val="000000"/>
                <w:sz w:val="24"/>
                <w:szCs w:val="24"/>
              </w:rPr>
              <w:t>377.64</w:t>
            </w:r>
          </w:p>
        </w:tc>
        <w:tc>
          <w:tcPr>
            <w:tcW w:w="1027" w:type="dxa"/>
            <w:vAlign w:val="center"/>
          </w:tcPr>
          <w:p w14:paraId="5E572821" w14:textId="77777777" w:rsidR="009A0A63" w:rsidRPr="00792B36" w:rsidRDefault="009A0A63" w:rsidP="00A24459">
            <w:pPr>
              <w:contextualSpacing/>
              <w:jc w:val="center"/>
              <w:rPr>
                <w:sz w:val="24"/>
                <w:szCs w:val="24"/>
              </w:rPr>
            </w:pPr>
            <w:r w:rsidRPr="00792B36">
              <w:rPr>
                <w:color w:val="000000"/>
                <w:sz w:val="24"/>
                <w:szCs w:val="24"/>
              </w:rPr>
              <w:t>544.51</w:t>
            </w:r>
          </w:p>
        </w:tc>
        <w:tc>
          <w:tcPr>
            <w:tcW w:w="957" w:type="dxa"/>
            <w:vAlign w:val="center"/>
          </w:tcPr>
          <w:p w14:paraId="50AB6429" w14:textId="77777777" w:rsidR="009A0A63" w:rsidRPr="00792B36" w:rsidRDefault="009A0A63" w:rsidP="00A24459">
            <w:pPr>
              <w:contextualSpacing/>
              <w:jc w:val="center"/>
              <w:rPr>
                <w:sz w:val="24"/>
                <w:szCs w:val="24"/>
              </w:rPr>
            </w:pPr>
            <w:r w:rsidRPr="00792B36">
              <w:rPr>
                <w:color w:val="000000"/>
                <w:sz w:val="24"/>
                <w:szCs w:val="24"/>
              </w:rPr>
              <w:t>804.96</w:t>
            </w:r>
          </w:p>
        </w:tc>
        <w:tc>
          <w:tcPr>
            <w:tcW w:w="900" w:type="dxa"/>
            <w:vAlign w:val="center"/>
          </w:tcPr>
          <w:p w14:paraId="5A2E617E" w14:textId="77777777" w:rsidR="009A0A63" w:rsidRPr="00792B36" w:rsidRDefault="009A0A63" w:rsidP="00A24459">
            <w:pPr>
              <w:contextualSpacing/>
              <w:jc w:val="center"/>
              <w:rPr>
                <w:sz w:val="24"/>
                <w:szCs w:val="24"/>
              </w:rPr>
            </w:pPr>
            <w:r w:rsidRPr="00792B36">
              <w:rPr>
                <w:color w:val="000000"/>
                <w:sz w:val="24"/>
                <w:szCs w:val="24"/>
              </w:rPr>
              <w:t>1,688.26</w:t>
            </w:r>
          </w:p>
        </w:tc>
      </w:tr>
      <w:tr w:rsidR="009A0A63" w:rsidRPr="00792B36" w14:paraId="785DE706" w14:textId="77777777" w:rsidTr="00A24459">
        <w:trPr>
          <w:trHeight w:val="340"/>
        </w:trPr>
        <w:tc>
          <w:tcPr>
            <w:tcW w:w="617" w:type="dxa"/>
            <w:vAlign w:val="center"/>
          </w:tcPr>
          <w:p w14:paraId="19BBCAF2" w14:textId="77777777" w:rsidR="009A0A63" w:rsidRPr="00792B36" w:rsidRDefault="009A0A63" w:rsidP="00A24459">
            <w:pPr>
              <w:contextualSpacing/>
              <w:jc w:val="center"/>
              <w:rPr>
                <w:sz w:val="24"/>
                <w:szCs w:val="24"/>
              </w:rPr>
            </w:pPr>
            <w:r w:rsidRPr="00792B36">
              <w:rPr>
                <w:b/>
                <w:bCs/>
                <w:color w:val="000000"/>
                <w:sz w:val="24"/>
                <w:szCs w:val="24"/>
              </w:rPr>
              <w:t>1998</w:t>
            </w:r>
          </w:p>
        </w:tc>
        <w:tc>
          <w:tcPr>
            <w:tcW w:w="1177" w:type="dxa"/>
            <w:vAlign w:val="center"/>
          </w:tcPr>
          <w:p w14:paraId="54657137" w14:textId="77777777" w:rsidR="009A0A63" w:rsidRPr="00792B36" w:rsidRDefault="009A0A63" w:rsidP="00A24459">
            <w:pPr>
              <w:contextualSpacing/>
              <w:jc w:val="center"/>
              <w:rPr>
                <w:sz w:val="24"/>
                <w:szCs w:val="24"/>
              </w:rPr>
            </w:pPr>
            <w:r w:rsidRPr="00792B36">
              <w:rPr>
                <w:color w:val="000000"/>
                <w:sz w:val="24"/>
                <w:szCs w:val="24"/>
              </w:rPr>
              <w:t>141.43</w:t>
            </w:r>
          </w:p>
        </w:tc>
        <w:tc>
          <w:tcPr>
            <w:tcW w:w="1095" w:type="dxa"/>
            <w:vAlign w:val="center"/>
          </w:tcPr>
          <w:p w14:paraId="52B539E0" w14:textId="77777777" w:rsidR="009A0A63" w:rsidRPr="00792B36" w:rsidRDefault="009A0A63" w:rsidP="00A24459">
            <w:pPr>
              <w:contextualSpacing/>
              <w:jc w:val="center"/>
              <w:rPr>
                <w:sz w:val="24"/>
                <w:szCs w:val="24"/>
              </w:rPr>
            </w:pPr>
            <w:r w:rsidRPr="00792B36">
              <w:rPr>
                <w:color w:val="000000"/>
                <w:sz w:val="24"/>
                <w:szCs w:val="24"/>
              </w:rPr>
              <w:t>279.82</w:t>
            </w:r>
          </w:p>
        </w:tc>
        <w:tc>
          <w:tcPr>
            <w:tcW w:w="987" w:type="dxa"/>
            <w:vAlign w:val="center"/>
          </w:tcPr>
          <w:p w14:paraId="0D7A19A0" w14:textId="77777777" w:rsidR="009A0A63" w:rsidRPr="00792B36" w:rsidRDefault="009A0A63" w:rsidP="00A24459">
            <w:pPr>
              <w:contextualSpacing/>
              <w:jc w:val="center"/>
              <w:rPr>
                <w:sz w:val="24"/>
                <w:szCs w:val="24"/>
              </w:rPr>
            </w:pPr>
            <w:r w:rsidRPr="00792B36">
              <w:rPr>
                <w:color w:val="000000"/>
                <w:sz w:val="24"/>
                <w:szCs w:val="24"/>
              </w:rPr>
              <w:t>868.35</w:t>
            </w:r>
          </w:p>
        </w:tc>
        <w:tc>
          <w:tcPr>
            <w:tcW w:w="1080" w:type="dxa"/>
            <w:vAlign w:val="center"/>
          </w:tcPr>
          <w:p w14:paraId="2035BB09" w14:textId="77777777" w:rsidR="009A0A63" w:rsidRPr="00792B36" w:rsidRDefault="009A0A63" w:rsidP="00A24459">
            <w:pPr>
              <w:contextualSpacing/>
              <w:jc w:val="center"/>
              <w:rPr>
                <w:sz w:val="24"/>
                <w:szCs w:val="24"/>
              </w:rPr>
            </w:pPr>
            <w:r w:rsidRPr="00792B36">
              <w:rPr>
                <w:color w:val="000000"/>
                <w:sz w:val="24"/>
                <w:szCs w:val="24"/>
              </w:rPr>
              <w:t>1,278.85</w:t>
            </w:r>
          </w:p>
        </w:tc>
        <w:tc>
          <w:tcPr>
            <w:tcW w:w="1177" w:type="dxa"/>
            <w:vAlign w:val="center"/>
          </w:tcPr>
          <w:p w14:paraId="48550CAE" w14:textId="77777777" w:rsidR="009A0A63" w:rsidRPr="00792B36" w:rsidRDefault="009A0A63" w:rsidP="00A24459">
            <w:pPr>
              <w:contextualSpacing/>
              <w:jc w:val="center"/>
              <w:rPr>
                <w:sz w:val="24"/>
                <w:szCs w:val="24"/>
              </w:rPr>
            </w:pPr>
            <w:r w:rsidRPr="00792B36">
              <w:rPr>
                <w:color w:val="000000"/>
                <w:sz w:val="24"/>
                <w:szCs w:val="24"/>
              </w:rPr>
              <w:t>328.97</w:t>
            </w:r>
          </w:p>
        </w:tc>
        <w:tc>
          <w:tcPr>
            <w:tcW w:w="1027" w:type="dxa"/>
            <w:vAlign w:val="center"/>
          </w:tcPr>
          <w:p w14:paraId="01D442D6" w14:textId="77777777" w:rsidR="009A0A63" w:rsidRPr="00792B36" w:rsidRDefault="009A0A63" w:rsidP="00A24459">
            <w:pPr>
              <w:contextualSpacing/>
              <w:jc w:val="center"/>
              <w:rPr>
                <w:sz w:val="24"/>
                <w:szCs w:val="24"/>
              </w:rPr>
            </w:pPr>
            <w:r w:rsidRPr="00792B36">
              <w:rPr>
                <w:color w:val="000000"/>
                <w:sz w:val="24"/>
                <w:szCs w:val="24"/>
              </w:rPr>
              <w:t>392.80</w:t>
            </w:r>
          </w:p>
        </w:tc>
        <w:tc>
          <w:tcPr>
            <w:tcW w:w="957" w:type="dxa"/>
            <w:vAlign w:val="center"/>
          </w:tcPr>
          <w:p w14:paraId="4714B421" w14:textId="77777777" w:rsidR="009A0A63" w:rsidRPr="00792B36" w:rsidRDefault="009A0A63" w:rsidP="00A24459">
            <w:pPr>
              <w:contextualSpacing/>
              <w:jc w:val="center"/>
              <w:rPr>
                <w:sz w:val="24"/>
                <w:szCs w:val="24"/>
              </w:rPr>
            </w:pPr>
            <w:r w:rsidRPr="00792B36">
              <w:rPr>
                <w:color w:val="000000"/>
                <w:sz w:val="24"/>
                <w:szCs w:val="24"/>
              </w:rPr>
              <w:t>767.84</w:t>
            </w:r>
          </w:p>
        </w:tc>
        <w:tc>
          <w:tcPr>
            <w:tcW w:w="900" w:type="dxa"/>
            <w:vAlign w:val="center"/>
          </w:tcPr>
          <w:p w14:paraId="004F2C2A" w14:textId="77777777" w:rsidR="009A0A63" w:rsidRPr="00792B36" w:rsidRDefault="009A0A63" w:rsidP="00A24459">
            <w:pPr>
              <w:contextualSpacing/>
              <w:jc w:val="center"/>
              <w:rPr>
                <w:sz w:val="24"/>
                <w:szCs w:val="24"/>
              </w:rPr>
            </w:pPr>
            <w:r w:rsidRPr="00792B36">
              <w:rPr>
                <w:color w:val="000000"/>
                <w:sz w:val="24"/>
                <w:szCs w:val="24"/>
              </w:rPr>
              <w:t>1,456.08</w:t>
            </w:r>
          </w:p>
        </w:tc>
      </w:tr>
      <w:tr w:rsidR="009A0A63" w:rsidRPr="00792B36" w14:paraId="161ED53C" w14:textId="77777777" w:rsidTr="00A24459">
        <w:trPr>
          <w:trHeight w:val="340"/>
        </w:trPr>
        <w:tc>
          <w:tcPr>
            <w:tcW w:w="617" w:type="dxa"/>
            <w:vAlign w:val="center"/>
          </w:tcPr>
          <w:p w14:paraId="4574D1FC" w14:textId="77777777" w:rsidR="009A0A63" w:rsidRPr="00792B36" w:rsidRDefault="009A0A63" w:rsidP="00A24459">
            <w:pPr>
              <w:contextualSpacing/>
              <w:jc w:val="center"/>
              <w:rPr>
                <w:sz w:val="24"/>
                <w:szCs w:val="24"/>
              </w:rPr>
            </w:pPr>
            <w:r w:rsidRPr="00792B36">
              <w:rPr>
                <w:b/>
                <w:bCs/>
                <w:color w:val="000000"/>
                <w:sz w:val="24"/>
                <w:szCs w:val="24"/>
              </w:rPr>
              <w:t>1999</w:t>
            </w:r>
          </w:p>
        </w:tc>
        <w:tc>
          <w:tcPr>
            <w:tcW w:w="1177" w:type="dxa"/>
            <w:vAlign w:val="center"/>
          </w:tcPr>
          <w:p w14:paraId="2DA87B8D" w14:textId="77777777" w:rsidR="009A0A63" w:rsidRPr="00792B36" w:rsidRDefault="009A0A63" w:rsidP="00A24459">
            <w:pPr>
              <w:contextualSpacing/>
              <w:jc w:val="center"/>
              <w:rPr>
                <w:sz w:val="24"/>
                <w:szCs w:val="24"/>
              </w:rPr>
            </w:pPr>
            <w:r w:rsidRPr="00792B36">
              <w:rPr>
                <w:color w:val="000000"/>
                <w:sz w:val="24"/>
                <w:szCs w:val="24"/>
              </w:rPr>
              <w:t>141.63</w:t>
            </w:r>
          </w:p>
        </w:tc>
        <w:tc>
          <w:tcPr>
            <w:tcW w:w="1095" w:type="dxa"/>
            <w:vAlign w:val="center"/>
          </w:tcPr>
          <w:p w14:paraId="3398A33F" w14:textId="77777777" w:rsidR="009A0A63" w:rsidRPr="00792B36" w:rsidRDefault="009A0A63" w:rsidP="00A24459">
            <w:pPr>
              <w:contextualSpacing/>
              <w:jc w:val="center"/>
              <w:rPr>
                <w:sz w:val="24"/>
                <w:szCs w:val="24"/>
              </w:rPr>
            </w:pPr>
            <w:r w:rsidRPr="00792B36">
              <w:rPr>
                <w:color w:val="000000"/>
                <w:sz w:val="24"/>
                <w:szCs w:val="24"/>
              </w:rPr>
              <w:t>496.83</w:t>
            </w:r>
          </w:p>
        </w:tc>
        <w:tc>
          <w:tcPr>
            <w:tcW w:w="987" w:type="dxa"/>
            <w:vAlign w:val="center"/>
          </w:tcPr>
          <w:p w14:paraId="01BB6542" w14:textId="77777777" w:rsidR="009A0A63" w:rsidRPr="00792B36" w:rsidRDefault="009A0A63" w:rsidP="00A24459">
            <w:pPr>
              <w:contextualSpacing/>
              <w:jc w:val="center"/>
              <w:rPr>
                <w:sz w:val="24"/>
                <w:szCs w:val="24"/>
              </w:rPr>
            </w:pPr>
            <w:r w:rsidRPr="00792B36">
              <w:rPr>
                <w:color w:val="000000"/>
                <w:sz w:val="24"/>
                <w:szCs w:val="24"/>
              </w:rPr>
              <w:t>922.07</w:t>
            </w:r>
          </w:p>
        </w:tc>
        <w:tc>
          <w:tcPr>
            <w:tcW w:w="1080" w:type="dxa"/>
            <w:vAlign w:val="center"/>
          </w:tcPr>
          <w:p w14:paraId="0D283F64" w14:textId="77777777" w:rsidR="009A0A63" w:rsidRPr="00792B36" w:rsidRDefault="009A0A63" w:rsidP="00A24459">
            <w:pPr>
              <w:contextualSpacing/>
              <w:jc w:val="center"/>
              <w:rPr>
                <w:sz w:val="24"/>
                <w:szCs w:val="24"/>
              </w:rPr>
            </w:pPr>
            <w:r w:rsidRPr="00792B36">
              <w:rPr>
                <w:color w:val="000000"/>
                <w:sz w:val="24"/>
                <w:szCs w:val="24"/>
              </w:rPr>
              <w:t>1,563.98</w:t>
            </w:r>
          </w:p>
        </w:tc>
        <w:tc>
          <w:tcPr>
            <w:tcW w:w="1177" w:type="dxa"/>
            <w:vAlign w:val="center"/>
          </w:tcPr>
          <w:p w14:paraId="5C148B76" w14:textId="77777777" w:rsidR="009A0A63" w:rsidRPr="00792B36" w:rsidRDefault="009A0A63" w:rsidP="00A24459">
            <w:pPr>
              <w:contextualSpacing/>
              <w:jc w:val="center"/>
              <w:rPr>
                <w:sz w:val="24"/>
                <w:szCs w:val="24"/>
              </w:rPr>
            </w:pPr>
            <w:r w:rsidRPr="00792B36">
              <w:rPr>
                <w:color w:val="000000"/>
                <w:sz w:val="24"/>
                <w:szCs w:val="24"/>
              </w:rPr>
              <w:t>366.44</w:t>
            </w:r>
          </w:p>
        </w:tc>
        <w:tc>
          <w:tcPr>
            <w:tcW w:w="1027" w:type="dxa"/>
            <w:vAlign w:val="center"/>
          </w:tcPr>
          <w:p w14:paraId="1B371E2E" w14:textId="77777777" w:rsidR="009A0A63" w:rsidRPr="00792B36" w:rsidRDefault="009A0A63" w:rsidP="00A24459">
            <w:pPr>
              <w:contextualSpacing/>
              <w:jc w:val="center"/>
              <w:rPr>
                <w:sz w:val="24"/>
                <w:szCs w:val="24"/>
              </w:rPr>
            </w:pPr>
            <w:r w:rsidRPr="00792B36">
              <w:rPr>
                <w:color w:val="000000"/>
                <w:sz w:val="24"/>
                <w:szCs w:val="24"/>
              </w:rPr>
              <w:t>702.59</w:t>
            </w:r>
          </w:p>
        </w:tc>
        <w:tc>
          <w:tcPr>
            <w:tcW w:w="957" w:type="dxa"/>
            <w:vAlign w:val="center"/>
          </w:tcPr>
          <w:p w14:paraId="2C8D799E" w14:textId="77777777" w:rsidR="009A0A63" w:rsidRPr="00792B36" w:rsidRDefault="009A0A63" w:rsidP="00A24459">
            <w:pPr>
              <w:contextualSpacing/>
              <w:jc w:val="center"/>
              <w:rPr>
                <w:sz w:val="24"/>
                <w:szCs w:val="24"/>
              </w:rPr>
            </w:pPr>
            <w:r w:rsidRPr="00792B36">
              <w:rPr>
                <w:color w:val="000000"/>
                <w:sz w:val="24"/>
                <w:szCs w:val="24"/>
              </w:rPr>
              <w:t>773.28</w:t>
            </w:r>
          </w:p>
        </w:tc>
        <w:tc>
          <w:tcPr>
            <w:tcW w:w="900" w:type="dxa"/>
            <w:vAlign w:val="center"/>
          </w:tcPr>
          <w:p w14:paraId="4A7F70FF" w14:textId="77777777" w:rsidR="009A0A63" w:rsidRPr="00792B36" w:rsidRDefault="009A0A63" w:rsidP="00A24459">
            <w:pPr>
              <w:contextualSpacing/>
              <w:jc w:val="center"/>
              <w:rPr>
                <w:sz w:val="24"/>
                <w:szCs w:val="24"/>
              </w:rPr>
            </w:pPr>
            <w:r w:rsidRPr="00792B36">
              <w:rPr>
                <w:color w:val="000000"/>
                <w:sz w:val="24"/>
                <w:szCs w:val="24"/>
              </w:rPr>
              <w:t>1,827.54</w:t>
            </w:r>
          </w:p>
        </w:tc>
      </w:tr>
      <w:tr w:rsidR="009A0A63" w:rsidRPr="00792B36" w14:paraId="0F9430F3" w14:textId="77777777" w:rsidTr="00A24459">
        <w:trPr>
          <w:trHeight w:val="340"/>
        </w:trPr>
        <w:tc>
          <w:tcPr>
            <w:tcW w:w="617" w:type="dxa"/>
            <w:vAlign w:val="center"/>
          </w:tcPr>
          <w:p w14:paraId="37E7162B" w14:textId="77777777" w:rsidR="009A0A63" w:rsidRPr="00792B36" w:rsidRDefault="009A0A63" w:rsidP="00A24459">
            <w:pPr>
              <w:contextualSpacing/>
              <w:jc w:val="center"/>
              <w:rPr>
                <w:sz w:val="24"/>
                <w:szCs w:val="24"/>
              </w:rPr>
            </w:pPr>
            <w:r w:rsidRPr="00792B36">
              <w:rPr>
                <w:b/>
                <w:bCs/>
                <w:color w:val="000000"/>
                <w:sz w:val="24"/>
                <w:szCs w:val="24"/>
              </w:rPr>
              <w:t>2000</w:t>
            </w:r>
          </w:p>
        </w:tc>
        <w:tc>
          <w:tcPr>
            <w:tcW w:w="1177" w:type="dxa"/>
            <w:vAlign w:val="center"/>
          </w:tcPr>
          <w:p w14:paraId="374A5261" w14:textId="77777777" w:rsidR="009A0A63" w:rsidRPr="00792B36" w:rsidRDefault="009A0A63" w:rsidP="00A24459">
            <w:pPr>
              <w:contextualSpacing/>
              <w:jc w:val="center"/>
              <w:rPr>
                <w:sz w:val="24"/>
                <w:szCs w:val="24"/>
              </w:rPr>
            </w:pPr>
            <w:r w:rsidRPr="00792B36">
              <w:rPr>
                <w:color w:val="000000"/>
                <w:sz w:val="24"/>
                <w:szCs w:val="24"/>
              </w:rPr>
              <w:t>155.47</w:t>
            </w:r>
          </w:p>
        </w:tc>
        <w:tc>
          <w:tcPr>
            <w:tcW w:w="1095" w:type="dxa"/>
            <w:vAlign w:val="center"/>
          </w:tcPr>
          <w:p w14:paraId="39471626" w14:textId="77777777" w:rsidR="009A0A63" w:rsidRPr="00792B36" w:rsidRDefault="009A0A63" w:rsidP="00A24459">
            <w:pPr>
              <w:contextualSpacing/>
              <w:jc w:val="center"/>
              <w:rPr>
                <w:sz w:val="24"/>
                <w:szCs w:val="24"/>
              </w:rPr>
            </w:pPr>
            <w:r w:rsidRPr="00792B36">
              <w:rPr>
                <w:color w:val="000000"/>
                <w:sz w:val="24"/>
                <w:szCs w:val="24"/>
              </w:rPr>
              <w:t>555.17</w:t>
            </w:r>
          </w:p>
        </w:tc>
        <w:tc>
          <w:tcPr>
            <w:tcW w:w="987" w:type="dxa"/>
            <w:vAlign w:val="center"/>
          </w:tcPr>
          <w:p w14:paraId="77299182" w14:textId="77777777" w:rsidR="009A0A63" w:rsidRPr="00792B36" w:rsidRDefault="009A0A63" w:rsidP="00A24459">
            <w:pPr>
              <w:contextualSpacing/>
              <w:jc w:val="center"/>
              <w:rPr>
                <w:sz w:val="24"/>
                <w:szCs w:val="24"/>
              </w:rPr>
            </w:pPr>
            <w:r w:rsidRPr="00792B36">
              <w:rPr>
                <w:color w:val="000000"/>
                <w:sz w:val="24"/>
                <w:szCs w:val="24"/>
              </w:rPr>
              <w:t>924.28</w:t>
            </w:r>
          </w:p>
        </w:tc>
        <w:tc>
          <w:tcPr>
            <w:tcW w:w="1080" w:type="dxa"/>
            <w:vAlign w:val="center"/>
          </w:tcPr>
          <w:p w14:paraId="10C0230A" w14:textId="77777777" w:rsidR="009A0A63" w:rsidRPr="00792B36" w:rsidRDefault="009A0A63" w:rsidP="00A24459">
            <w:pPr>
              <w:contextualSpacing/>
              <w:jc w:val="center"/>
              <w:rPr>
                <w:sz w:val="24"/>
                <w:szCs w:val="24"/>
              </w:rPr>
            </w:pPr>
            <w:r w:rsidRPr="00792B36">
              <w:rPr>
                <w:color w:val="000000"/>
                <w:sz w:val="24"/>
                <w:szCs w:val="24"/>
              </w:rPr>
              <w:t>1,639.82</w:t>
            </w:r>
          </w:p>
        </w:tc>
        <w:tc>
          <w:tcPr>
            <w:tcW w:w="1177" w:type="dxa"/>
            <w:vAlign w:val="center"/>
          </w:tcPr>
          <w:p w14:paraId="360CDF05" w14:textId="77777777" w:rsidR="009A0A63" w:rsidRPr="00792B36" w:rsidRDefault="009A0A63" w:rsidP="00A24459">
            <w:pPr>
              <w:contextualSpacing/>
              <w:jc w:val="center"/>
              <w:rPr>
                <w:sz w:val="24"/>
                <w:szCs w:val="24"/>
              </w:rPr>
            </w:pPr>
            <w:r w:rsidRPr="00792B36">
              <w:rPr>
                <w:color w:val="000000"/>
                <w:sz w:val="24"/>
                <w:szCs w:val="24"/>
              </w:rPr>
              <w:t>391.34</w:t>
            </w:r>
          </w:p>
        </w:tc>
        <w:tc>
          <w:tcPr>
            <w:tcW w:w="1027" w:type="dxa"/>
            <w:vAlign w:val="center"/>
          </w:tcPr>
          <w:p w14:paraId="26D498FC" w14:textId="77777777" w:rsidR="009A0A63" w:rsidRPr="00792B36" w:rsidRDefault="009A0A63" w:rsidP="00A24459">
            <w:pPr>
              <w:contextualSpacing/>
              <w:jc w:val="center"/>
              <w:rPr>
                <w:sz w:val="24"/>
                <w:szCs w:val="24"/>
              </w:rPr>
            </w:pPr>
            <w:r w:rsidRPr="00792B36">
              <w:rPr>
                <w:color w:val="000000"/>
                <w:sz w:val="24"/>
                <w:szCs w:val="24"/>
              </w:rPr>
              <w:t>793.34</w:t>
            </w:r>
          </w:p>
        </w:tc>
        <w:tc>
          <w:tcPr>
            <w:tcW w:w="957" w:type="dxa"/>
            <w:vAlign w:val="center"/>
          </w:tcPr>
          <w:p w14:paraId="44FDD10A" w14:textId="77777777" w:rsidR="009A0A63" w:rsidRPr="00792B36" w:rsidRDefault="009A0A63" w:rsidP="00A24459">
            <w:pPr>
              <w:contextualSpacing/>
              <w:jc w:val="center"/>
              <w:rPr>
                <w:sz w:val="24"/>
                <w:szCs w:val="24"/>
              </w:rPr>
            </w:pPr>
            <w:r w:rsidRPr="00792B36">
              <w:rPr>
                <w:color w:val="000000"/>
                <w:sz w:val="24"/>
                <w:szCs w:val="24"/>
              </w:rPr>
              <w:t>788.58</w:t>
            </w:r>
          </w:p>
        </w:tc>
        <w:tc>
          <w:tcPr>
            <w:tcW w:w="900" w:type="dxa"/>
            <w:vAlign w:val="center"/>
          </w:tcPr>
          <w:p w14:paraId="58495023" w14:textId="77777777" w:rsidR="009A0A63" w:rsidRPr="00792B36" w:rsidRDefault="009A0A63" w:rsidP="00A24459">
            <w:pPr>
              <w:contextualSpacing/>
              <w:jc w:val="center"/>
              <w:rPr>
                <w:sz w:val="24"/>
                <w:szCs w:val="24"/>
              </w:rPr>
            </w:pPr>
            <w:r w:rsidRPr="00792B36">
              <w:rPr>
                <w:color w:val="000000"/>
                <w:sz w:val="24"/>
                <w:szCs w:val="24"/>
              </w:rPr>
              <w:t>1,958.00</w:t>
            </w:r>
          </w:p>
        </w:tc>
      </w:tr>
      <w:tr w:rsidR="009A0A63" w:rsidRPr="00792B36" w14:paraId="1FADA7C5" w14:textId="77777777" w:rsidTr="00A24459">
        <w:trPr>
          <w:trHeight w:val="340"/>
        </w:trPr>
        <w:tc>
          <w:tcPr>
            <w:tcW w:w="617" w:type="dxa"/>
            <w:vAlign w:val="center"/>
          </w:tcPr>
          <w:p w14:paraId="432692C6" w14:textId="77777777" w:rsidR="009A0A63" w:rsidRPr="00792B36" w:rsidRDefault="009A0A63" w:rsidP="00A24459">
            <w:pPr>
              <w:contextualSpacing/>
              <w:jc w:val="center"/>
              <w:rPr>
                <w:sz w:val="24"/>
                <w:szCs w:val="24"/>
              </w:rPr>
            </w:pPr>
            <w:r w:rsidRPr="00792B36">
              <w:rPr>
                <w:b/>
                <w:bCs/>
                <w:color w:val="000000"/>
                <w:sz w:val="24"/>
                <w:szCs w:val="24"/>
              </w:rPr>
              <w:t>2001</w:t>
            </w:r>
          </w:p>
        </w:tc>
        <w:tc>
          <w:tcPr>
            <w:tcW w:w="1177" w:type="dxa"/>
            <w:vAlign w:val="center"/>
          </w:tcPr>
          <w:p w14:paraId="39D98E1F" w14:textId="77777777" w:rsidR="009A0A63" w:rsidRPr="00792B36" w:rsidRDefault="009A0A63" w:rsidP="00A24459">
            <w:pPr>
              <w:contextualSpacing/>
              <w:jc w:val="center"/>
              <w:rPr>
                <w:sz w:val="24"/>
                <w:szCs w:val="24"/>
              </w:rPr>
            </w:pPr>
            <w:r w:rsidRPr="00792B36">
              <w:rPr>
                <w:color w:val="000000"/>
                <w:sz w:val="24"/>
                <w:szCs w:val="24"/>
              </w:rPr>
              <w:t>168.50</w:t>
            </w:r>
          </w:p>
        </w:tc>
        <w:tc>
          <w:tcPr>
            <w:tcW w:w="1095" w:type="dxa"/>
            <w:vAlign w:val="center"/>
          </w:tcPr>
          <w:p w14:paraId="6A2E0D15" w14:textId="77777777" w:rsidR="009A0A63" w:rsidRPr="00792B36" w:rsidRDefault="009A0A63" w:rsidP="00A24459">
            <w:pPr>
              <w:contextualSpacing/>
              <w:jc w:val="center"/>
              <w:rPr>
                <w:sz w:val="24"/>
                <w:szCs w:val="24"/>
              </w:rPr>
            </w:pPr>
            <w:r w:rsidRPr="00792B36">
              <w:rPr>
                <w:color w:val="000000"/>
                <w:sz w:val="24"/>
                <w:szCs w:val="24"/>
              </w:rPr>
              <w:t>427.23</w:t>
            </w:r>
          </w:p>
        </w:tc>
        <w:tc>
          <w:tcPr>
            <w:tcW w:w="987" w:type="dxa"/>
            <w:vAlign w:val="center"/>
          </w:tcPr>
          <w:p w14:paraId="03B8C5F6" w14:textId="77777777" w:rsidR="009A0A63" w:rsidRPr="00792B36" w:rsidRDefault="009A0A63" w:rsidP="00A24459">
            <w:pPr>
              <w:contextualSpacing/>
              <w:jc w:val="center"/>
              <w:rPr>
                <w:sz w:val="24"/>
                <w:szCs w:val="24"/>
              </w:rPr>
            </w:pPr>
            <w:r w:rsidRPr="00792B36">
              <w:rPr>
                <w:color w:val="000000"/>
                <w:sz w:val="24"/>
                <w:szCs w:val="24"/>
              </w:rPr>
              <w:t>946.14</w:t>
            </w:r>
          </w:p>
        </w:tc>
        <w:tc>
          <w:tcPr>
            <w:tcW w:w="1080" w:type="dxa"/>
            <w:vAlign w:val="center"/>
          </w:tcPr>
          <w:p w14:paraId="628F0DFC" w14:textId="77777777" w:rsidR="009A0A63" w:rsidRPr="00792B36" w:rsidRDefault="009A0A63" w:rsidP="00A24459">
            <w:pPr>
              <w:contextualSpacing/>
              <w:jc w:val="center"/>
              <w:rPr>
                <w:sz w:val="24"/>
                <w:szCs w:val="24"/>
              </w:rPr>
            </w:pPr>
            <w:r w:rsidRPr="00792B36">
              <w:rPr>
                <w:color w:val="000000"/>
                <w:sz w:val="24"/>
                <w:szCs w:val="24"/>
              </w:rPr>
              <w:t>1,539.23</w:t>
            </w:r>
          </w:p>
        </w:tc>
        <w:tc>
          <w:tcPr>
            <w:tcW w:w="1177" w:type="dxa"/>
            <w:vAlign w:val="center"/>
          </w:tcPr>
          <w:p w14:paraId="25186F6A" w14:textId="77777777" w:rsidR="009A0A63" w:rsidRPr="00792B36" w:rsidRDefault="009A0A63" w:rsidP="00A24459">
            <w:pPr>
              <w:contextualSpacing/>
              <w:jc w:val="center"/>
              <w:rPr>
                <w:sz w:val="24"/>
                <w:szCs w:val="24"/>
              </w:rPr>
            </w:pPr>
            <w:r w:rsidRPr="00792B36">
              <w:rPr>
                <w:color w:val="000000"/>
                <w:sz w:val="24"/>
                <w:szCs w:val="24"/>
              </w:rPr>
              <w:t>349.84</w:t>
            </w:r>
          </w:p>
        </w:tc>
        <w:tc>
          <w:tcPr>
            <w:tcW w:w="1027" w:type="dxa"/>
            <w:vAlign w:val="center"/>
          </w:tcPr>
          <w:p w14:paraId="3576FA71" w14:textId="77777777" w:rsidR="009A0A63" w:rsidRPr="00792B36" w:rsidRDefault="009A0A63" w:rsidP="00A24459">
            <w:pPr>
              <w:contextualSpacing/>
              <w:jc w:val="center"/>
              <w:rPr>
                <w:sz w:val="24"/>
                <w:szCs w:val="24"/>
              </w:rPr>
            </w:pPr>
            <w:r w:rsidRPr="00792B36">
              <w:rPr>
                <w:color w:val="000000"/>
                <w:sz w:val="24"/>
                <w:szCs w:val="24"/>
              </w:rPr>
              <w:t>762.93</w:t>
            </w:r>
          </w:p>
        </w:tc>
        <w:tc>
          <w:tcPr>
            <w:tcW w:w="957" w:type="dxa"/>
            <w:vAlign w:val="center"/>
          </w:tcPr>
          <w:p w14:paraId="30729F16" w14:textId="77777777" w:rsidR="009A0A63" w:rsidRPr="00792B36" w:rsidRDefault="009A0A63" w:rsidP="00A24459">
            <w:pPr>
              <w:contextualSpacing/>
              <w:jc w:val="center"/>
              <w:rPr>
                <w:sz w:val="24"/>
                <w:szCs w:val="24"/>
              </w:rPr>
            </w:pPr>
            <w:r w:rsidRPr="00792B36">
              <w:rPr>
                <w:color w:val="000000"/>
                <w:sz w:val="24"/>
                <w:szCs w:val="24"/>
              </w:rPr>
              <w:t>811.63</w:t>
            </w:r>
          </w:p>
        </w:tc>
        <w:tc>
          <w:tcPr>
            <w:tcW w:w="900" w:type="dxa"/>
            <w:vAlign w:val="center"/>
          </w:tcPr>
          <w:p w14:paraId="384DE742" w14:textId="77777777" w:rsidR="009A0A63" w:rsidRPr="00792B36" w:rsidRDefault="009A0A63" w:rsidP="00A24459">
            <w:pPr>
              <w:contextualSpacing/>
              <w:jc w:val="center"/>
              <w:rPr>
                <w:sz w:val="24"/>
                <w:szCs w:val="24"/>
              </w:rPr>
            </w:pPr>
            <w:r w:rsidRPr="00792B36">
              <w:rPr>
                <w:color w:val="000000"/>
                <w:sz w:val="24"/>
                <w:szCs w:val="24"/>
              </w:rPr>
              <w:t>1,917.66</w:t>
            </w:r>
          </w:p>
        </w:tc>
      </w:tr>
      <w:tr w:rsidR="009A0A63" w:rsidRPr="00792B36" w14:paraId="30650D79" w14:textId="77777777" w:rsidTr="00A24459">
        <w:trPr>
          <w:trHeight w:val="340"/>
        </w:trPr>
        <w:tc>
          <w:tcPr>
            <w:tcW w:w="617" w:type="dxa"/>
            <w:vAlign w:val="center"/>
          </w:tcPr>
          <w:p w14:paraId="6409ED68" w14:textId="77777777" w:rsidR="009A0A63" w:rsidRPr="00792B36" w:rsidRDefault="009A0A63" w:rsidP="00A24459">
            <w:pPr>
              <w:contextualSpacing/>
              <w:jc w:val="center"/>
              <w:rPr>
                <w:sz w:val="24"/>
                <w:szCs w:val="24"/>
              </w:rPr>
            </w:pPr>
            <w:r w:rsidRPr="00792B36">
              <w:rPr>
                <w:b/>
                <w:bCs/>
                <w:color w:val="000000"/>
                <w:sz w:val="24"/>
                <w:szCs w:val="24"/>
              </w:rPr>
              <w:t>2002</w:t>
            </w:r>
          </w:p>
        </w:tc>
        <w:tc>
          <w:tcPr>
            <w:tcW w:w="1177" w:type="dxa"/>
            <w:vAlign w:val="center"/>
          </w:tcPr>
          <w:p w14:paraId="6BE59B80" w14:textId="77777777" w:rsidR="009A0A63" w:rsidRPr="00792B36" w:rsidRDefault="009A0A63" w:rsidP="00A24459">
            <w:pPr>
              <w:contextualSpacing/>
              <w:jc w:val="center"/>
              <w:rPr>
                <w:sz w:val="24"/>
                <w:szCs w:val="24"/>
              </w:rPr>
            </w:pPr>
            <w:r w:rsidRPr="00792B36">
              <w:rPr>
                <w:color w:val="000000"/>
                <w:sz w:val="24"/>
                <w:szCs w:val="24"/>
              </w:rPr>
              <w:t>159.95</w:t>
            </w:r>
          </w:p>
        </w:tc>
        <w:tc>
          <w:tcPr>
            <w:tcW w:w="1095" w:type="dxa"/>
            <w:vAlign w:val="center"/>
          </w:tcPr>
          <w:p w14:paraId="628B6CD7" w14:textId="77777777" w:rsidR="009A0A63" w:rsidRPr="00792B36" w:rsidRDefault="009A0A63" w:rsidP="00A24459">
            <w:pPr>
              <w:contextualSpacing/>
              <w:jc w:val="center"/>
              <w:rPr>
                <w:sz w:val="24"/>
                <w:szCs w:val="24"/>
              </w:rPr>
            </w:pPr>
            <w:r w:rsidRPr="00792B36">
              <w:rPr>
                <w:color w:val="000000"/>
                <w:sz w:val="24"/>
                <w:szCs w:val="24"/>
              </w:rPr>
              <w:t>488.46</w:t>
            </w:r>
          </w:p>
        </w:tc>
        <w:tc>
          <w:tcPr>
            <w:tcW w:w="987" w:type="dxa"/>
            <w:vAlign w:val="center"/>
          </w:tcPr>
          <w:p w14:paraId="19DB712A" w14:textId="77777777" w:rsidR="009A0A63" w:rsidRPr="00792B36" w:rsidRDefault="009A0A63" w:rsidP="00A24459">
            <w:pPr>
              <w:contextualSpacing/>
              <w:jc w:val="center"/>
              <w:rPr>
                <w:sz w:val="24"/>
                <w:szCs w:val="24"/>
              </w:rPr>
            </w:pPr>
            <w:r w:rsidRPr="00792B36">
              <w:rPr>
                <w:color w:val="000000"/>
                <w:sz w:val="24"/>
                <w:szCs w:val="24"/>
              </w:rPr>
              <w:t>939.89</w:t>
            </w:r>
          </w:p>
        </w:tc>
        <w:tc>
          <w:tcPr>
            <w:tcW w:w="1080" w:type="dxa"/>
            <w:vAlign w:val="center"/>
          </w:tcPr>
          <w:p w14:paraId="129111CE" w14:textId="77777777" w:rsidR="009A0A63" w:rsidRPr="00792B36" w:rsidRDefault="009A0A63" w:rsidP="00A24459">
            <w:pPr>
              <w:contextualSpacing/>
              <w:jc w:val="center"/>
              <w:rPr>
                <w:sz w:val="24"/>
                <w:szCs w:val="24"/>
              </w:rPr>
            </w:pPr>
            <w:r w:rsidRPr="00792B36">
              <w:rPr>
                <w:color w:val="000000"/>
                <w:sz w:val="24"/>
                <w:szCs w:val="24"/>
              </w:rPr>
              <w:t>1,588.31</w:t>
            </w:r>
          </w:p>
        </w:tc>
        <w:tc>
          <w:tcPr>
            <w:tcW w:w="1177" w:type="dxa"/>
            <w:vAlign w:val="center"/>
          </w:tcPr>
          <w:p w14:paraId="6264D27E" w14:textId="77777777" w:rsidR="009A0A63" w:rsidRPr="00792B36" w:rsidRDefault="009A0A63" w:rsidP="00A24459">
            <w:pPr>
              <w:contextualSpacing/>
              <w:jc w:val="center"/>
              <w:rPr>
                <w:sz w:val="24"/>
                <w:szCs w:val="24"/>
              </w:rPr>
            </w:pPr>
            <w:r w:rsidRPr="00792B36">
              <w:rPr>
                <w:color w:val="000000"/>
                <w:sz w:val="24"/>
                <w:szCs w:val="24"/>
              </w:rPr>
              <w:t>340.89</w:t>
            </w:r>
          </w:p>
        </w:tc>
        <w:tc>
          <w:tcPr>
            <w:tcW w:w="1027" w:type="dxa"/>
            <w:vAlign w:val="center"/>
          </w:tcPr>
          <w:p w14:paraId="50EC10A0" w14:textId="77777777" w:rsidR="009A0A63" w:rsidRPr="00792B36" w:rsidRDefault="009A0A63" w:rsidP="00A24459">
            <w:pPr>
              <w:contextualSpacing/>
              <w:jc w:val="center"/>
              <w:rPr>
                <w:sz w:val="24"/>
                <w:szCs w:val="24"/>
              </w:rPr>
            </w:pPr>
            <w:r w:rsidRPr="00792B36">
              <w:rPr>
                <w:color w:val="000000"/>
                <w:sz w:val="24"/>
                <w:szCs w:val="24"/>
              </w:rPr>
              <w:t>737.51</w:t>
            </w:r>
          </w:p>
        </w:tc>
        <w:tc>
          <w:tcPr>
            <w:tcW w:w="957" w:type="dxa"/>
            <w:vAlign w:val="center"/>
          </w:tcPr>
          <w:p w14:paraId="0B46B6B3" w14:textId="77777777" w:rsidR="009A0A63" w:rsidRPr="00792B36" w:rsidRDefault="009A0A63" w:rsidP="00A24459">
            <w:pPr>
              <w:contextualSpacing/>
              <w:jc w:val="center"/>
              <w:rPr>
                <w:sz w:val="24"/>
                <w:szCs w:val="24"/>
              </w:rPr>
            </w:pPr>
            <w:r w:rsidRPr="00792B36">
              <w:rPr>
                <w:color w:val="000000"/>
                <w:sz w:val="24"/>
                <w:szCs w:val="24"/>
              </w:rPr>
              <w:t>917.03</w:t>
            </w:r>
          </w:p>
        </w:tc>
        <w:tc>
          <w:tcPr>
            <w:tcW w:w="900" w:type="dxa"/>
            <w:vAlign w:val="center"/>
          </w:tcPr>
          <w:p w14:paraId="32DBAC12" w14:textId="77777777" w:rsidR="009A0A63" w:rsidRPr="00792B36" w:rsidRDefault="009A0A63" w:rsidP="00A24459">
            <w:pPr>
              <w:contextualSpacing/>
              <w:jc w:val="center"/>
              <w:rPr>
                <w:sz w:val="24"/>
                <w:szCs w:val="24"/>
              </w:rPr>
            </w:pPr>
            <w:r w:rsidRPr="00792B36">
              <w:rPr>
                <w:color w:val="000000"/>
                <w:sz w:val="24"/>
                <w:szCs w:val="24"/>
              </w:rPr>
              <w:t>1,995.43</w:t>
            </w:r>
          </w:p>
        </w:tc>
      </w:tr>
      <w:tr w:rsidR="009A0A63" w:rsidRPr="00792B36" w14:paraId="5A8FC23E" w14:textId="77777777" w:rsidTr="00A24459">
        <w:trPr>
          <w:trHeight w:val="340"/>
        </w:trPr>
        <w:tc>
          <w:tcPr>
            <w:tcW w:w="617" w:type="dxa"/>
            <w:vAlign w:val="center"/>
          </w:tcPr>
          <w:p w14:paraId="2FC2BA1E" w14:textId="77777777" w:rsidR="009A0A63" w:rsidRPr="00792B36" w:rsidRDefault="009A0A63" w:rsidP="00A24459">
            <w:pPr>
              <w:contextualSpacing/>
              <w:jc w:val="center"/>
              <w:rPr>
                <w:sz w:val="24"/>
                <w:szCs w:val="24"/>
              </w:rPr>
            </w:pPr>
            <w:r w:rsidRPr="00792B36">
              <w:rPr>
                <w:b/>
                <w:bCs/>
                <w:color w:val="000000"/>
                <w:sz w:val="24"/>
                <w:szCs w:val="24"/>
              </w:rPr>
              <w:t>2003</w:t>
            </w:r>
          </w:p>
        </w:tc>
        <w:tc>
          <w:tcPr>
            <w:tcW w:w="1177" w:type="dxa"/>
            <w:vAlign w:val="center"/>
          </w:tcPr>
          <w:p w14:paraId="5C6ADE99" w14:textId="77777777" w:rsidR="009A0A63" w:rsidRPr="00792B36" w:rsidRDefault="009A0A63" w:rsidP="00A24459">
            <w:pPr>
              <w:contextualSpacing/>
              <w:jc w:val="center"/>
              <w:rPr>
                <w:sz w:val="24"/>
                <w:szCs w:val="24"/>
              </w:rPr>
            </w:pPr>
            <w:r w:rsidRPr="00792B36">
              <w:rPr>
                <w:color w:val="000000"/>
                <w:sz w:val="24"/>
                <w:szCs w:val="24"/>
              </w:rPr>
              <w:t>173.64</w:t>
            </w:r>
          </w:p>
        </w:tc>
        <w:tc>
          <w:tcPr>
            <w:tcW w:w="1095" w:type="dxa"/>
            <w:vAlign w:val="center"/>
          </w:tcPr>
          <w:p w14:paraId="0AEA7B49" w14:textId="77777777" w:rsidR="009A0A63" w:rsidRPr="00792B36" w:rsidRDefault="009A0A63" w:rsidP="00A24459">
            <w:pPr>
              <w:contextualSpacing/>
              <w:jc w:val="center"/>
              <w:rPr>
                <w:sz w:val="24"/>
                <w:szCs w:val="24"/>
              </w:rPr>
            </w:pPr>
            <w:r w:rsidRPr="00792B36">
              <w:rPr>
                <w:color w:val="000000"/>
                <w:sz w:val="24"/>
                <w:szCs w:val="24"/>
              </w:rPr>
              <w:t>508.30</w:t>
            </w:r>
          </w:p>
        </w:tc>
        <w:tc>
          <w:tcPr>
            <w:tcW w:w="987" w:type="dxa"/>
            <w:vAlign w:val="center"/>
          </w:tcPr>
          <w:p w14:paraId="608861FB" w14:textId="77777777" w:rsidR="009A0A63" w:rsidRPr="00792B36" w:rsidRDefault="009A0A63" w:rsidP="00A24459">
            <w:pPr>
              <w:contextualSpacing/>
              <w:jc w:val="center"/>
              <w:rPr>
                <w:sz w:val="24"/>
                <w:szCs w:val="24"/>
              </w:rPr>
            </w:pPr>
            <w:r w:rsidRPr="00792B36">
              <w:rPr>
                <w:color w:val="000000"/>
                <w:sz w:val="24"/>
                <w:szCs w:val="24"/>
              </w:rPr>
              <w:t>938.17</w:t>
            </w:r>
          </w:p>
        </w:tc>
        <w:tc>
          <w:tcPr>
            <w:tcW w:w="1080" w:type="dxa"/>
            <w:vAlign w:val="center"/>
          </w:tcPr>
          <w:p w14:paraId="6B23B871" w14:textId="77777777" w:rsidR="009A0A63" w:rsidRPr="00792B36" w:rsidRDefault="009A0A63" w:rsidP="00A24459">
            <w:pPr>
              <w:contextualSpacing/>
              <w:jc w:val="center"/>
              <w:rPr>
                <w:sz w:val="24"/>
                <w:szCs w:val="24"/>
              </w:rPr>
            </w:pPr>
            <w:r w:rsidRPr="00792B36">
              <w:rPr>
                <w:color w:val="000000"/>
                <w:sz w:val="24"/>
                <w:szCs w:val="24"/>
              </w:rPr>
              <w:t>1,620.11</w:t>
            </w:r>
          </w:p>
        </w:tc>
        <w:tc>
          <w:tcPr>
            <w:tcW w:w="1177" w:type="dxa"/>
            <w:vAlign w:val="center"/>
          </w:tcPr>
          <w:p w14:paraId="5467B438" w14:textId="77777777" w:rsidR="009A0A63" w:rsidRPr="00792B36" w:rsidRDefault="009A0A63" w:rsidP="00A24459">
            <w:pPr>
              <w:contextualSpacing/>
              <w:jc w:val="center"/>
              <w:rPr>
                <w:sz w:val="24"/>
                <w:szCs w:val="24"/>
              </w:rPr>
            </w:pPr>
            <w:r w:rsidRPr="00792B36">
              <w:rPr>
                <w:color w:val="000000"/>
                <w:sz w:val="24"/>
                <w:szCs w:val="24"/>
              </w:rPr>
              <w:t>334.66</w:t>
            </w:r>
          </w:p>
        </w:tc>
        <w:tc>
          <w:tcPr>
            <w:tcW w:w="1027" w:type="dxa"/>
            <w:vAlign w:val="center"/>
          </w:tcPr>
          <w:p w14:paraId="2979BB36" w14:textId="77777777" w:rsidR="009A0A63" w:rsidRPr="00792B36" w:rsidRDefault="009A0A63" w:rsidP="00A24459">
            <w:pPr>
              <w:contextualSpacing/>
              <w:jc w:val="center"/>
              <w:rPr>
                <w:sz w:val="24"/>
                <w:szCs w:val="24"/>
              </w:rPr>
            </w:pPr>
            <w:r w:rsidRPr="00792B36">
              <w:rPr>
                <w:color w:val="000000"/>
                <w:sz w:val="24"/>
                <w:szCs w:val="24"/>
              </w:rPr>
              <w:t>827.76</w:t>
            </w:r>
          </w:p>
        </w:tc>
        <w:tc>
          <w:tcPr>
            <w:tcW w:w="957" w:type="dxa"/>
            <w:vAlign w:val="center"/>
          </w:tcPr>
          <w:p w14:paraId="3E0FCB8D" w14:textId="77777777" w:rsidR="009A0A63" w:rsidRPr="00792B36" w:rsidRDefault="009A0A63" w:rsidP="00A24459">
            <w:pPr>
              <w:contextualSpacing/>
              <w:jc w:val="center"/>
              <w:rPr>
                <w:sz w:val="24"/>
                <w:szCs w:val="24"/>
              </w:rPr>
            </w:pPr>
            <w:r w:rsidRPr="00792B36">
              <w:rPr>
                <w:color w:val="000000"/>
                <w:sz w:val="24"/>
                <w:szCs w:val="24"/>
              </w:rPr>
              <w:t>944.37</w:t>
            </w:r>
          </w:p>
        </w:tc>
        <w:tc>
          <w:tcPr>
            <w:tcW w:w="900" w:type="dxa"/>
            <w:vAlign w:val="center"/>
          </w:tcPr>
          <w:p w14:paraId="7F00BE41" w14:textId="77777777" w:rsidR="009A0A63" w:rsidRPr="00792B36" w:rsidRDefault="009A0A63" w:rsidP="00A24459">
            <w:pPr>
              <w:contextualSpacing/>
              <w:jc w:val="center"/>
              <w:rPr>
                <w:sz w:val="24"/>
                <w:szCs w:val="24"/>
              </w:rPr>
            </w:pPr>
            <w:r w:rsidRPr="00792B36">
              <w:rPr>
                <w:color w:val="000000"/>
                <w:sz w:val="24"/>
                <w:szCs w:val="24"/>
              </w:rPr>
              <w:t>2,106.79</w:t>
            </w:r>
          </w:p>
        </w:tc>
      </w:tr>
      <w:tr w:rsidR="009A0A63" w:rsidRPr="00792B36" w14:paraId="0823274A" w14:textId="77777777" w:rsidTr="00A24459">
        <w:trPr>
          <w:trHeight w:val="340"/>
        </w:trPr>
        <w:tc>
          <w:tcPr>
            <w:tcW w:w="617" w:type="dxa"/>
            <w:vAlign w:val="center"/>
          </w:tcPr>
          <w:p w14:paraId="581B9D50" w14:textId="77777777" w:rsidR="009A0A63" w:rsidRPr="00792B36" w:rsidRDefault="009A0A63" w:rsidP="00A24459">
            <w:pPr>
              <w:contextualSpacing/>
              <w:jc w:val="center"/>
              <w:rPr>
                <w:sz w:val="24"/>
                <w:szCs w:val="24"/>
              </w:rPr>
            </w:pPr>
            <w:r w:rsidRPr="00792B36">
              <w:rPr>
                <w:b/>
                <w:bCs/>
                <w:color w:val="000000"/>
                <w:sz w:val="24"/>
                <w:szCs w:val="24"/>
              </w:rPr>
              <w:lastRenderedPageBreak/>
              <w:t>2004</w:t>
            </w:r>
          </w:p>
        </w:tc>
        <w:tc>
          <w:tcPr>
            <w:tcW w:w="1177" w:type="dxa"/>
            <w:vAlign w:val="center"/>
          </w:tcPr>
          <w:p w14:paraId="366EE945" w14:textId="77777777" w:rsidR="009A0A63" w:rsidRPr="00792B36" w:rsidRDefault="009A0A63" w:rsidP="00A24459">
            <w:pPr>
              <w:contextualSpacing/>
              <w:jc w:val="center"/>
              <w:rPr>
                <w:sz w:val="24"/>
                <w:szCs w:val="24"/>
              </w:rPr>
            </w:pPr>
            <w:r w:rsidRPr="00792B36">
              <w:rPr>
                <w:color w:val="000000"/>
                <w:sz w:val="24"/>
                <w:szCs w:val="24"/>
              </w:rPr>
              <w:t>198.46</w:t>
            </w:r>
          </w:p>
        </w:tc>
        <w:tc>
          <w:tcPr>
            <w:tcW w:w="1095" w:type="dxa"/>
            <w:vAlign w:val="center"/>
          </w:tcPr>
          <w:p w14:paraId="57F7C26C" w14:textId="77777777" w:rsidR="009A0A63" w:rsidRPr="00792B36" w:rsidRDefault="009A0A63" w:rsidP="00A24459">
            <w:pPr>
              <w:contextualSpacing/>
              <w:jc w:val="center"/>
              <w:rPr>
                <w:sz w:val="24"/>
                <w:szCs w:val="24"/>
              </w:rPr>
            </w:pPr>
            <w:r w:rsidRPr="00792B36">
              <w:rPr>
                <w:color w:val="000000"/>
                <w:sz w:val="24"/>
                <w:szCs w:val="24"/>
              </w:rPr>
              <w:t>535.76</w:t>
            </w:r>
          </w:p>
        </w:tc>
        <w:tc>
          <w:tcPr>
            <w:tcW w:w="987" w:type="dxa"/>
            <w:vAlign w:val="center"/>
          </w:tcPr>
          <w:p w14:paraId="56EA9894" w14:textId="77777777" w:rsidR="009A0A63" w:rsidRPr="00792B36" w:rsidRDefault="009A0A63" w:rsidP="00A24459">
            <w:pPr>
              <w:contextualSpacing/>
              <w:jc w:val="center"/>
              <w:rPr>
                <w:sz w:val="24"/>
                <w:szCs w:val="24"/>
              </w:rPr>
            </w:pPr>
            <w:r w:rsidRPr="00792B36">
              <w:rPr>
                <w:color w:val="000000"/>
                <w:sz w:val="24"/>
                <w:szCs w:val="24"/>
              </w:rPr>
              <w:t>1,024.90</w:t>
            </w:r>
          </w:p>
        </w:tc>
        <w:tc>
          <w:tcPr>
            <w:tcW w:w="1080" w:type="dxa"/>
            <w:vAlign w:val="center"/>
          </w:tcPr>
          <w:p w14:paraId="00EC3C76" w14:textId="77777777" w:rsidR="009A0A63" w:rsidRPr="00792B36" w:rsidRDefault="009A0A63" w:rsidP="00A24459">
            <w:pPr>
              <w:contextualSpacing/>
              <w:jc w:val="center"/>
              <w:rPr>
                <w:sz w:val="24"/>
                <w:szCs w:val="24"/>
              </w:rPr>
            </w:pPr>
            <w:r w:rsidRPr="00792B36">
              <w:rPr>
                <w:color w:val="000000"/>
                <w:sz w:val="24"/>
                <w:szCs w:val="24"/>
              </w:rPr>
              <w:t>1,759.15</w:t>
            </w:r>
          </w:p>
        </w:tc>
        <w:tc>
          <w:tcPr>
            <w:tcW w:w="1177" w:type="dxa"/>
            <w:vAlign w:val="center"/>
          </w:tcPr>
          <w:p w14:paraId="01D8346B" w14:textId="77777777" w:rsidR="009A0A63" w:rsidRPr="00792B36" w:rsidRDefault="009A0A63" w:rsidP="00A24459">
            <w:pPr>
              <w:contextualSpacing/>
              <w:jc w:val="center"/>
              <w:rPr>
                <w:sz w:val="24"/>
                <w:szCs w:val="24"/>
              </w:rPr>
            </w:pPr>
            <w:r w:rsidRPr="00792B36">
              <w:rPr>
                <w:color w:val="000000"/>
                <w:sz w:val="24"/>
                <w:szCs w:val="24"/>
              </w:rPr>
              <w:t>368.72</w:t>
            </w:r>
          </w:p>
        </w:tc>
        <w:tc>
          <w:tcPr>
            <w:tcW w:w="1027" w:type="dxa"/>
            <w:vAlign w:val="center"/>
          </w:tcPr>
          <w:p w14:paraId="5E5F8D2A" w14:textId="77777777" w:rsidR="009A0A63" w:rsidRPr="00792B36" w:rsidRDefault="009A0A63" w:rsidP="00A24459">
            <w:pPr>
              <w:contextualSpacing/>
              <w:jc w:val="center"/>
              <w:rPr>
                <w:sz w:val="24"/>
                <w:szCs w:val="24"/>
              </w:rPr>
            </w:pPr>
            <w:r w:rsidRPr="00792B36">
              <w:rPr>
                <w:color w:val="000000"/>
                <w:sz w:val="24"/>
                <w:szCs w:val="24"/>
              </w:rPr>
              <w:t>816.27</w:t>
            </w:r>
          </w:p>
        </w:tc>
        <w:tc>
          <w:tcPr>
            <w:tcW w:w="957" w:type="dxa"/>
            <w:vAlign w:val="center"/>
          </w:tcPr>
          <w:p w14:paraId="12B7749D" w14:textId="77777777" w:rsidR="009A0A63" w:rsidRPr="00792B36" w:rsidRDefault="009A0A63" w:rsidP="00A24459">
            <w:pPr>
              <w:contextualSpacing/>
              <w:jc w:val="center"/>
              <w:rPr>
                <w:sz w:val="24"/>
                <w:szCs w:val="24"/>
              </w:rPr>
            </w:pPr>
            <w:r w:rsidRPr="00792B36">
              <w:rPr>
                <w:color w:val="000000"/>
                <w:sz w:val="24"/>
                <w:szCs w:val="24"/>
              </w:rPr>
              <w:t>1,043.74</w:t>
            </w:r>
          </w:p>
        </w:tc>
        <w:tc>
          <w:tcPr>
            <w:tcW w:w="900" w:type="dxa"/>
            <w:vAlign w:val="center"/>
          </w:tcPr>
          <w:p w14:paraId="230168EE" w14:textId="77777777" w:rsidR="009A0A63" w:rsidRPr="00792B36" w:rsidRDefault="009A0A63" w:rsidP="00A24459">
            <w:pPr>
              <w:contextualSpacing/>
              <w:jc w:val="center"/>
              <w:rPr>
                <w:sz w:val="24"/>
                <w:szCs w:val="24"/>
              </w:rPr>
            </w:pPr>
            <w:r w:rsidRPr="00792B36">
              <w:rPr>
                <w:color w:val="000000"/>
                <w:sz w:val="24"/>
                <w:szCs w:val="24"/>
              </w:rPr>
              <w:t>2,229.26</w:t>
            </w:r>
          </w:p>
        </w:tc>
      </w:tr>
      <w:tr w:rsidR="009A0A63" w:rsidRPr="00792B36" w14:paraId="682CEC62" w14:textId="77777777" w:rsidTr="00A24459">
        <w:trPr>
          <w:trHeight w:val="340"/>
        </w:trPr>
        <w:tc>
          <w:tcPr>
            <w:tcW w:w="617" w:type="dxa"/>
            <w:vAlign w:val="center"/>
          </w:tcPr>
          <w:p w14:paraId="47A6F788" w14:textId="77777777" w:rsidR="009A0A63" w:rsidRPr="00792B36" w:rsidRDefault="009A0A63" w:rsidP="00A24459">
            <w:pPr>
              <w:contextualSpacing/>
              <w:jc w:val="center"/>
              <w:rPr>
                <w:sz w:val="24"/>
                <w:szCs w:val="24"/>
              </w:rPr>
            </w:pPr>
            <w:r w:rsidRPr="00792B36">
              <w:rPr>
                <w:b/>
                <w:bCs/>
                <w:color w:val="000000"/>
                <w:sz w:val="24"/>
                <w:szCs w:val="24"/>
              </w:rPr>
              <w:t>2005</w:t>
            </w:r>
          </w:p>
        </w:tc>
        <w:tc>
          <w:tcPr>
            <w:tcW w:w="1177" w:type="dxa"/>
            <w:vAlign w:val="center"/>
          </w:tcPr>
          <w:p w14:paraId="6B72F857" w14:textId="77777777" w:rsidR="009A0A63" w:rsidRPr="00792B36" w:rsidRDefault="009A0A63" w:rsidP="00A24459">
            <w:pPr>
              <w:contextualSpacing/>
              <w:jc w:val="center"/>
              <w:rPr>
                <w:sz w:val="24"/>
                <w:szCs w:val="24"/>
              </w:rPr>
            </w:pPr>
            <w:r w:rsidRPr="00792B36">
              <w:rPr>
                <w:color w:val="000000"/>
                <w:sz w:val="24"/>
                <w:szCs w:val="24"/>
              </w:rPr>
              <w:t>192.24</w:t>
            </w:r>
          </w:p>
        </w:tc>
        <w:tc>
          <w:tcPr>
            <w:tcW w:w="1095" w:type="dxa"/>
            <w:vAlign w:val="center"/>
          </w:tcPr>
          <w:p w14:paraId="34AE1CF0" w14:textId="77777777" w:rsidR="009A0A63" w:rsidRPr="00792B36" w:rsidRDefault="009A0A63" w:rsidP="00A24459">
            <w:pPr>
              <w:contextualSpacing/>
              <w:jc w:val="center"/>
              <w:rPr>
                <w:sz w:val="24"/>
                <w:szCs w:val="24"/>
              </w:rPr>
            </w:pPr>
            <w:r w:rsidRPr="00792B36">
              <w:rPr>
                <w:color w:val="000000"/>
                <w:sz w:val="24"/>
                <w:szCs w:val="24"/>
              </w:rPr>
              <w:t>553.69</w:t>
            </w:r>
          </w:p>
        </w:tc>
        <w:tc>
          <w:tcPr>
            <w:tcW w:w="987" w:type="dxa"/>
            <w:vAlign w:val="center"/>
          </w:tcPr>
          <w:p w14:paraId="1698FC48" w14:textId="77777777" w:rsidR="009A0A63" w:rsidRPr="00792B36" w:rsidRDefault="009A0A63" w:rsidP="00A24459">
            <w:pPr>
              <w:contextualSpacing/>
              <w:jc w:val="center"/>
              <w:rPr>
                <w:sz w:val="24"/>
                <w:szCs w:val="24"/>
              </w:rPr>
            </w:pPr>
            <w:r w:rsidRPr="00792B36">
              <w:rPr>
                <w:color w:val="000000"/>
                <w:sz w:val="24"/>
                <w:szCs w:val="24"/>
              </w:rPr>
              <w:t>1,033.09</w:t>
            </w:r>
          </w:p>
        </w:tc>
        <w:tc>
          <w:tcPr>
            <w:tcW w:w="1080" w:type="dxa"/>
            <w:vAlign w:val="center"/>
          </w:tcPr>
          <w:p w14:paraId="06130883" w14:textId="77777777" w:rsidR="009A0A63" w:rsidRPr="00792B36" w:rsidRDefault="009A0A63" w:rsidP="00A24459">
            <w:pPr>
              <w:contextualSpacing/>
              <w:jc w:val="center"/>
              <w:rPr>
                <w:sz w:val="24"/>
                <w:szCs w:val="24"/>
              </w:rPr>
            </w:pPr>
            <w:r w:rsidRPr="00792B36">
              <w:rPr>
                <w:color w:val="000000"/>
                <w:sz w:val="24"/>
                <w:szCs w:val="24"/>
              </w:rPr>
              <w:t>1,778.34</w:t>
            </w:r>
          </w:p>
        </w:tc>
        <w:tc>
          <w:tcPr>
            <w:tcW w:w="1177" w:type="dxa"/>
            <w:vAlign w:val="center"/>
          </w:tcPr>
          <w:p w14:paraId="233A3F77" w14:textId="77777777" w:rsidR="009A0A63" w:rsidRPr="00792B36" w:rsidRDefault="009A0A63" w:rsidP="00A24459">
            <w:pPr>
              <w:contextualSpacing/>
              <w:jc w:val="center"/>
              <w:rPr>
                <w:sz w:val="24"/>
                <w:szCs w:val="24"/>
              </w:rPr>
            </w:pPr>
            <w:r w:rsidRPr="00792B36">
              <w:rPr>
                <w:color w:val="000000"/>
                <w:sz w:val="24"/>
                <w:szCs w:val="24"/>
              </w:rPr>
              <w:t>391.97</w:t>
            </w:r>
          </w:p>
        </w:tc>
        <w:tc>
          <w:tcPr>
            <w:tcW w:w="1027" w:type="dxa"/>
            <w:vAlign w:val="center"/>
          </w:tcPr>
          <w:p w14:paraId="0CA182B6" w14:textId="77777777" w:rsidR="009A0A63" w:rsidRPr="00792B36" w:rsidRDefault="009A0A63" w:rsidP="00A24459">
            <w:pPr>
              <w:contextualSpacing/>
              <w:jc w:val="center"/>
              <w:rPr>
                <w:sz w:val="24"/>
                <w:szCs w:val="24"/>
              </w:rPr>
            </w:pPr>
            <w:r w:rsidRPr="00792B36">
              <w:rPr>
                <w:color w:val="000000"/>
                <w:sz w:val="24"/>
                <w:szCs w:val="24"/>
              </w:rPr>
              <w:t>816.54</w:t>
            </w:r>
          </w:p>
        </w:tc>
        <w:tc>
          <w:tcPr>
            <w:tcW w:w="957" w:type="dxa"/>
            <w:vAlign w:val="center"/>
          </w:tcPr>
          <w:p w14:paraId="2B2048B9" w14:textId="77777777" w:rsidR="009A0A63" w:rsidRPr="00792B36" w:rsidRDefault="009A0A63" w:rsidP="00A24459">
            <w:pPr>
              <w:contextualSpacing/>
              <w:jc w:val="center"/>
              <w:rPr>
                <w:sz w:val="24"/>
                <w:szCs w:val="24"/>
              </w:rPr>
            </w:pPr>
            <w:r w:rsidRPr="00792B36">
              <w:rPr>
                <w:color w:val="000000"/>
                <w:sz w:val="24"/>
                <w:szCs w:val="24"/>
              </w:rPr>
              <w:t>1,126.13</w:t>
            </w:r>
          </w:p>
        </w:tc>
        <w:tc>
          <w:tcPr>
            <w:tcW w:w="900" w:type="dxa"/>
            <w:vAlign w:val="center"/>
          </w:tcPr>
          <w:p w14:paraId="1092BB6D" w14:textId="77777777" w:rsidR="009A0A63" w:rsidRPr="00792B36" w:rsidRDefault="009A0A63" w:rsidP="00A24459">
            <w:pPr>
              <w:contextualSpacing/>
              <w:jc w:val="center"/>
              <w:rPr>
                <w:sz w:val="24"/>
                <w:szCs w:val="24"/>
              </w:rPr>
            </w:pPr>
            <w:r w:rsidRPr="00792B36">
              <w:rPr>
                <w:color w:val="000000"/>
                <w:sz w:val="24"/>
                <w:szCs w:val="24"/>
              </w:rPr>
              <w:t>2,333.61</w:t>
            </w:r>
          </w:p>
        </w:tc>
      </w:tr>
      <w:tr w:rsidR="009A0A63" w:rsidRPr="00792B36" w14:paraId="438CD6AC" w14:textId="77777777" w:rsidTr="00A24459">
        <w:trPr>
          <w:trHeight w:val="340"/>
        </w:trPr>
        <w:tc>
          <w:tcPr>
            <w:tcW w:w="617" w:type="dxa"/>
            <w:vAlign w:val="center"/>
          </w:tcPr>
          <w:p w14:paraId="1E7556C0" w14:textId="77777777" w:rsidR="009A0A63" w:rsidRPr="00792B36" w:rsidRDefault="009A0A63" w:rsidP="00A24459">
            <w:pPr>
              <w:contextualSpacing/>
              <w:jc w:val="center"/>
              <w:rPr>
                <w:sz w:val="24"/>
                <w:szCs w:val="24"/>
              </w:rPr>
            </w:pPr>
            <w:r w:rsidRPr="00792B36">
              <w:rPr>
                <w:b/>
                <w:bCs/>
                <w:color w:val="000000"/>
                <w:sz w:val="24"/>
                <w:szCs w:val="24"/>
              </w:rPr>
              <w:t>2006</w:t>
            </w:r>
          </w:p>
        </w:tc>
        <w:tc>
          <w:tcPr>
            <w:tcW w:w="1177" w:type="dxa"/>
            <w:vAlign w:val="center"/>
          </w:tcPr>
          <w:p w14:paraId="168DD3DA" w14:textId="77777777" w:rsidR="009A0A63" w:rsidRPr="00792B36" w:rsidRDefault="009A0A63" w:rsidP="00A24459">
            <w:pPr>
              <w:contextualSpacing/>
              <w:jc w:val="center"/>
              <w:rPr>
                <w:sz w:val="24"/>
                <w:szCs w:val="24"/>
              </w:rPr>
            </w:pPr>
            <w:r w:rsidRPr="00792B36">
              <w:rPr>
                <w:color w:val="000000"/>
                <w:sz w:val="24"/>
                <w:szCs w:val="24"/>
              </w:rPr>
              <w:t>211.66</w:t>
            </w:r>
          </w:p>
        </w:tc>
        <w:tc>
          <w:tcPr>
            <w:tcW w:w="1095" w:type="dxa"/>
            <w:vAlign w:val="center"/>
          </w:tcPr>
          <w:p w14:paraId="5A050C57" w14:textId="77777777" w:rsidR="009A0A63" w:rsidRPr="00792B36" w:rsidRDefault="009A0A63" w:rsidP="00A24459">
            <w:pPr>
              <w:contextualSpacing/>
              <w:jc w:val="center"/>
              <w:rPr>
                <w:sz w:val="24"/>
                <w:szCs w:val="24"/>
              </w:rPr>
            </w:pPr>
            <w:r w:rsidRPr="00792B36">
              <w:rPr>
                <w:color w:val="000000"/>
                <w:sz w:val="24"/>
                <w:szCs w:val="24"/>
              </w:rPr>
              <w:t>588.32</w:t>
            </w:r>
          </w:p>
        </w:tc>
        <w:tc>
          <w:tcPr>
            <w:tcW w:w="987" w:type="dxa"/>
            <w:vAlign w:val="center"/>
          </w:tcPr>
          <w:p w14:paraId="0EB73DA6" w14:textId="77777777" w:rsidR="009A0A63" w:rsidRPr="00792B36" w:rsidRDefault="009A0A63" w:rsidP="00A24459">
            <w:pPr>
              <w:contextualSpacing/>
              <w:jc w:val="center"/>
              <w:rPr>
                <w:sz w:val="24"/>
                <w:szCs w:val="24"/>
              </w:rPr>
            </w:pPr>
            <w:r w:rsidRPr="00792B36">
              <w:rPr>
                <w:color w:val="000000"/>
                <w:sz w:val="24"/>
                <w:szCs w:val="24"/>
              </w:rPr>
              <w:t>1,008.16</w:t>
            </w:r>
          </w:p>
        </w:tc>
        <w:tc>
          <w:tcPr>
            <w:tcW w:w="1080" w:type="dxa"/>
            <w:vAlign w:val="center"/>
          </w:tcPr>
          <w:p w14:paraId="26C4CD31" w14:textId="77777777" w:rsidR="009A0A63" w:rsidRPr="00792B36" w:rsidRDefault="009A0A63" w:rsidP="00A24459">
            <w:pPr>
              <w:contextualSpacing/>
              <w:jc w:val="center"/>
              <w:rPr>
                <w:sz w:val="24"/>
                <w:szCs w:val="24"/>
              </w:rPr>
            </w:pPr>
            <w:r w:rsidRPr="00792B36">
              <w:rPr>
                <w:color w:val="000000"/>
                <w:sz w:val="24"/>
                <w:szCs w:val="24"/>
              </w:rPr>
              <w:t>1,809.20</w:t>
            </w:r>
          </w:p>
        </w:tc>
        <w:tc>
          <w:tcPr>
            <w:tcW w:w="1177" w:type="dxa"/>
            <w:vAlign w:val="center"/>
          </w:tcPr>
          <w:p w14:paraId="67009A01" w14:textId="77777777" w:rsidR="009A0A63" w:rsidRPr="00792B36" w:rsidRDefault="009A0A63" w:rsidP="00A24459">
            <w:pPr>
              <w:contextualSpacing/>
              <w:jc w:val="center"/>
              <w:rPr>
                <w:sz w:val="24"/>
                <w:szCs w:val="24"/>
              </w:rPr>
            </w:pPr>
            <w:r w:rsidRPr="00792B36">
              <w:rPr>
                <w:color w:val="000000"/>
                <w:sz w:val="24"/>
                <w:szCs w:val="24"/>
              </w:rPr>
              <w:t>534.49</w:t>
            </w:r>
          </w:p>
        </w:tc>
        <w:tc>
          <w:tcPr>
            <w:tcW w:w="1027" w:type="dxa"/>
            <w:vAlign w:val="center"/>
          </w:tcPr>
          <w:p w14:paraId="1D2103F6" w14:textId="77777777" w:rsidR="009A0A63" w:rsidRPr="00792B36" w:rsidRDefault="009A0A63" w:rsidP="00A24459">
            <w:pPr>
              <w:contextualSpacing/>
              <w:jc w:val="center"/>
              <w:rPr>
                <w:sz w:val="24"/>
                <w:szCs w:val="24"/>
              </w:rPr>
            </w:pPr>
            <w:r w:rsidRPr="00792B36">
              <w:rPr>
                <w:color w:val="000000"/>
                <w:sz w:val="24"/>
                <w:szCs w:val="24"/>
              </w:rPr>
              <w:t>866.29</w:t>
            </w:r>
          </w:p>
        </w:tc>
        <w:tc>
          <w:tcPr>
            <w:tcW w:w="957" w:type="dxa"/>
            <w:vAlign w:val="center"/>
          </w:tcPr>
          <w:p w14:paraId="16A1C7EA" w14:textId="77777777" w:rsidR="009A0A63" w:rsidRPr="00792B36" w:rsidRDefault="009A0A63" w:rsidP="00A24459">
            <w:pPr>
              <w:contextualSpacing/>
              <w:jc w:val="center"/>
              <w:rPr>
                <w:sz w:val="24"/>
                <w:szCs w:val="24"/>
              </w:rPr>
            </w:pPr>
            <w:r w:rsidRPr="00792B36">
              <w:rPr>
                <w:color w:val="000000"/>
                <w:sz w:val="24"/>
                <w:szCs w:val="24"/>
              </w:rPr>
              <w:t>1,122.28</w:t>
            </w:r>
          </w:p>
        </w:tc>
        <w:tc>
          <w:tcPr>
            <w:tcW w:w="900" w:type="dxa"/>
            <w:vAlign w:val="center"/>
          </w:tcPr>
          <w:p w14:paraId="577F23CA" w14:textId="77777777" w:rsidR="009A0A63" w:rsidRPr="00792B36" w:rsidRDefault="009A0A63" w:rsidP="00A24459">
            <w:pPr>
              <w:contextualSpacing/>
              <w:jc w:val="center"/>
              <w:rPr>
                <w:sz w:val="24"/>
                <w:szCs w:val="24"/>
              </w:rPr>
            </w:pPr>
            <w:r w:rsidRPr="00792B36">
              <w:rPr>
                <w:color w:val="000000"/>
                <w:sz w:val="24"/>
                <w:szCs w:val="24"/>
              </w:rPr>
              <w:t>2,516.55</w:t>
            </w:r>
          </w:p>
        </w:tc>
      </w:tr>
      <w:tr w:rsidR="009A0A63" w:rsidRPr="00792B36" w14:paraId="53247669" w14:textId="77777777" w:rsidTr="00A24459">
        <w:trPr>
          <w:trHeight w:val="340"/>
        </w:trPr>
        <w:tc>
          <w:tcPr>
            <w:tcW w:w="617" w:type="dxa"/>
            <w:vAlign w:val="center"/>
          </w:tcPr>
          <w:p w14:paraId="0D14599B" w14:textId="77777777" w:rsidR="009A0A63" w:rsidRPr="00792B36" w:rsidRDefault="009A0A63" w:rsidP="00A24459">
            <w:pPr>
              <w:contextualSpacing/>
              <w:jc w:val="center"/>
              <w:rPr>
                <w:sz w:val="24"/>
                <w:szCs w:val="24"/>
              </w:rPr>
            </w:pPr>
            <w:r w:rsidRPr="00792B36">
              <w:rPr>
                <w:b/>
                <w:bCs/>
                <w:color w:val="000000"/>
                <w:sz w:val="24"/>
                <w:szCs w:val="24"/>
              </w:rPr>
              <w:t>2007</w:t>
            </w:r>
          </w:p>
        </w:tc>
        <w:tc>
          <w:tcPr>
            <w:tcW w:w="1177" w:type="dxa"/>
            <w:vAlign w:val="center"/>
          </w:tcPr>
          <w:p w14:paraId="60BE4FF8" w14:textId="77777777" w:rsidR="009A0A63" w:rsidRPr="00792B36" w:rsidRDefault="009A0A63" w:rsidP="00A24459">
            <w:pPr>
              <w:contextualSpacing/>
              <w:jc w:val="center"/>
              <w:rPr>
                <w:sz w:val="24"/>
                <w:szCs w:val="24"/>
              </w:rPr>
            </w:pPr>
            <w:r w:rsidRPr="00792B36">
              <w:rPr>
                <w:color w:val="000000"/>
                <w:sz w:val="24"/>
                <w:szCs w:val="24"/>
              </w:rPr>
              <w:t>218.28</w:t>
            </w:r>
          </w:p>
        </w:tc>
        <w:tc>
          <w:tcPr>
            <w:tcW w:w="1095" w:type="dxa"/>
            <w:vAlign w:val="center"/>
          </w:tcPr>
          <w:p w14:paraId="000ED3EF" w14:textId="77777777" w:rsidR="009A0A63" w:rsidRPr="00792B36" w:rsidRDefault="009A0A63" w:rsidP="00A24459">
            <w:pPr>
              <w:contextualSpacing/>
              <w:jc w:val="center"/>
              <w:rPr>
                <w:sz w:val="24"/>
                <w:szCs w:val="24"/>
              </w:rPr>
            </w:pPr>
            <w:r w:rsidRPr="00792B36">
              <w:rPr>
                <w:color w:val="000000"/>
                <w:sz w:val="24"/>
                <w:szCs w:val="24"/>
              </w:rPr>
              <w:t>595.53</w:t>
            </w:r>
          </w:p>
        </w:tc>
        <w:tc>
          <w:tcPr>
            <w:tcW w:w="987" w:type="dxa"/>
            <w:vAlign w:val="center"/>
          </w:tcPr>
          <w:p w14:paraId="53E52E72" w14:textId="77777777" w:rsidR="009A0A63" w:rsidRPr="00792B36" w:rsidRDefault="009A0A63" w:rsidP="00A24459">
            <w:pPr>
              <w:contextualSpacing/>
              <w:jc w:val="center"/>
              <w:rPr>
                <w:sz w:val="24"/>
                <w:szCs w:val="24"/>
              </w:rPr>
            </w:pPr>
            <w:r w:rsidRPr="00792B36">
              <w:rPr>
                <w:color w:val="000000"/>
                <w:sz w:val="24"/>
                <w:szCs w:val="24"/>
              </w:rPr>
              <w:t>1,041.56</w:t>
            </w:r>
          </w:p>
        </w:tc>
        <w:tc>
          <w:tcPr>
            <w:tcW w:w="1080" w:type="dxa"/>
            <w:vAlign w:val="center"/>
          </w:tcPr>
          <w:p w14:paraId="1A33B538" w14:textId="77777777" w:rsidR="009A0A63" w:rsidRPr="00792B36" w:rsidRDefault="009A0A63" w:rsidP="00A24459">
            <w:pPr>
              <w:contextualSpacing/>
              <w:jc w:val="center"/>
              <w:rPr>
                <w:sz w:val="24"/>
                <w:szCs w:val="24"/>
              </w:rPr>
            </w:pPr>
            <w:r w:rsidRPr="00792B36">
              <w:rPr>
                <w:color w:val="000000"/>
                <w:sz w:val="24"/>
                <w:szCs w:val="24"/>
              </w:rPr>
              <w:t>1,856.52</w:t>
            </w:r>
          </w:p>
        </w:tc>
        <w:tc>
          <w:tcPr>
            <w:tcW w:w="1177" w:type="dxa"/>
            <w:vAlign w:val="center"/>
          </w:tcPr>
          <w:p w14:paraId="4CBBD260" w14:textId="77777777" w:rsidR="009A0A63" w:rsidRPr="00792B36" w:rsidRDefault="009A0A63" w:rsidP="00A24459">
            <w:pPr>
              <w:contextualSpacing/>
              <w:jc w:val="center"/>
              <w:rPr>
                <w:sz w:val="24"/>
                <w:szCs w:val="24"/>
              </w:rPr>
            </w:pPr>
            <w:r w:rsidRPr="00792B36">
              <w:rPr>
                <w:color w:val="000000"/>
                <w:sz w:val="24"/>
                <w:szCs w:val="24"/>
              </w:rPr>
              <w:t>570.48</w:t>
            </w:r>
          </w:p>
        </w:tc>
        <w:tc>
          <w:tcPr>
            <w:tcW w:w="1027" w:type="dxa"/>
            <w:vAlign w:val="center"/>
          </w:tcPr>
          <w:p w14:paraId="5C828D15" w14:textId="77777777" w:rsidR="009A0A63" w:rsidRPr="00792B36" w:rsidRDefault="009A0A63" w:rsidP="00A24459">
            <w:pPr>
              <w:contextualSpacing/>
              <w:jc w:val="center"/>
              <w:rPr>
                <w:sz w:val="24"/>
                <w:szCs w:val="24"/>
              </w:rPr>
            </w:pPr>
            <w:r w:rsidRPr="00792B36">
              <w:rPr>
                <w:color w:val="000000"/>
                <w:sz w:val="24"/>
                <w:szCs w:val="24"/>
              </w:rPr>
              <w:t>770.80</w:t>
            </w:r>
          </w:p>
        </w:tc>
        <w:tc>
          <w:tcPr>
            <w:tcW w:w="957" w:type="dxa"/>
            <w:vAlign w:val="center"/>
          </w:tcPr>
          <w:p w14:paraId="176B412A" w14:textId="77777777" w:rsidR="009A0A63" w:rsidRPr="00792B36" w:rsidRDefault="009A0A63" w:rsidP="00A24459">
            <w:pPr>
              <w:contextualSpacing/>
              <w:jc w:val="center"/>
              <w:rPr>
                <w:sz w:val="24"/>
                <w:szCs w:val="24"/>
              </w:rPr>
            </w:pPr>
            <w:r w:rsidRPr="00792B36">
              <w:rPr>
                <w:color w:val="000000"/>
                <w:sz w:val="24"/>
                <w:szCs w:val="24"/>
              </w:rPr>
              <w:t>1,157.26</w:t>
            </w:r>
          </w:p>
        </w:tc>
        <w:tc>
          <w:tcPr>
            <w:tcW w:w="900" w:type="dxa"/>
            <w:vAlign w:val="center"/>
          </w:tcPr>
          <w:p w14:paraId="08AF9644" w14:textId="77777777" w:rsidR="009A0A63" w:rsidRPr="00792B36" w:rsidRDefault="009A0A63" w:rsidP="00A24459">
            <w:pPr>
              <w:contextualSpacing/>
              <w:jc w:val="center"/>
              <w:rPr>
                <w:sz w:val="24"/>
                <w:szCs w:val="24"/>
              </w:rPr>
            </w:pPr>
            <w:r w:rsidRPr="00792B36">
              <w:rPr>
                <w:color w:val="000000"/>
                <w:sz w:val="24"/>
                <w:szCs w:val="24"/>
              </w:rPr>
              <w:t>2,488.97</w:t>
            </w:r>
          </w:p>
        </w:tc>
      </w:tr>
      <w:tr w:rsidR="009A0A63" w:rsidRPr="00792B36" w14:paraId="4D9F5C45" w14:textId="77777777" w:rsidTr="00A24459">
        <w:trPr>
          <w:trHeight w:val="340"/>
        </w:trPr>
        <w:tc>
          <w:tcPr>
            <w:tcW w:w="617" w:type="dxa"/>
            <w:vAlign w:val="center"/>
          </w:tcPr>
          <w:p w14:paraId="38DF6D77" w14:textId="77777777" w:rsidR="009A0A63" w:rsidRPr="00792B36" w:rsidRDefault="009A0A63" w:rsidP="00A24459">
            <w:pPr>
              <w:contextualSpacing/>
              <w:jc w:val="center"/>
              <w:rPr>
                <w:sz w:val="24"/>
                <w:szCs w:val="24"/>
              </w:rPr>
            </w:pPr>
            <w:r w:rsidRPr="00792B36">
              <w:rPr>
                <w:b/>
                <w:bCs/>
                <w:color w:val="000000"/>
                <w:sz w:val="24"/>
                <w:szCs w:val="24"/>
              </w:rPr>
              <w:t>2008</w:t>
            </w:r>
          </w:p>
        </w:tc>
        <w:tc>
          <w:tcPr>
            <w:tcW w:w="1177" w:type="dxa"/>
            <w:vAlign w:val="center"/>
          </w:tcPr>
          <w:p w14:paraId="6E774778" w14:textId="77777777" w:rsidR="009A0A63" w:rsidRPr="00792B36" w:rsidRDefault="009A0A63" w:rsidP="00A24459">
            <w:pPr>
              <w:contextualSpacing/>
              <w:jc w:val="center"/>
              <w:rPr>
                <w:sz w:val="24"/>
                <w:szCs w:val="24"/>
              </w:rPr>
            </w:pPr>
            <w:r w:rsidRPr="00792B36">
              <w:rPr>
                <w:color w:val="000000"/>
                <w:sz w:val="24"/>
                <w:szCs w:val="24"/>
              </w:rPr>
              <w:t>213.98</w:t>
            </w:r>
          </w:p>
        </w:tc>
        <w:tc>
          <w:tcPr>
            <w:tcW w:w="1095" w:type="dxa"/>
            <w:vAlign w:val="center"/>
          </w:tcPr>
          <w:p w14:paraId="70FDAD3E" w14:textId="77777777" w:rsidR="009A0A63" w:rsidRPr="00792B36" w:rsidRDefault="009A0A63" w:rsidP="00A24459">
            <w:pPr>
              <w:contextualSpacing/>
              <w:jc w:val="center"/>
              <w:rPr>
                <w:sz w:val="24"/>
                <w:szCs w:val="24"/>
              </w:rPr>
            </w:pPr>
            <w:r w:rsidRPr="00792B36">
              <w:rPr>
                <w:color w:val="000000"/>
                <w:sz w:val="24"/>
                <w:szCs w:val="24"/>
              </w:rPr>
              <w:t>557.36</w:t>
            </w:r>
          </w:p>
        </w:tc>
        <w:tc>
          <w:tcPr>
            <w:tcW w:w="987" w:type="dxa"/>
            <w:vAlign w:val="center"/>
          </w:tcPr>
          <w:p w14:paraId="4EEC1DE1" w14:textId="77777777" w:rsidR="009A0A63" w:rsidRPr="00792B36" w:rsidRDefault="009A0A63" w:rsidP="00A24459">
            <w:pPr>
              <w:contextualSpacing/>
              <w:jc w:val="center"/>
              <w:rPr>
                <w:sz w:val="24"/>
                <w:szCs w:val="24"/>
              </w:rPr>
            </w:pPr>
            <w:r w:rsidRPr="00792B36">
              <w:rPr>
                <w:color w:val="000000"/>
                <w:sz w:val="24"/>
                <w:szCs w:val="24"/>
              </w:rPr>
              <w:t>1,022.71</w:t>
            </w:r>
          </w:p>
        </w:tc>
        <w:tc>
          <w:tcPr>
            <w:tcW w:w="1080" w:type="dxa"/>
            <w:vAlign w:val="center"/>
          </w:tcPr>
          <w:p w14:paraId="53433267" w14:textId="77777777" w:rsidR="009A0A63" w:rsidRPr="00792B36" w:rsidRDefault="009A0A63" w:rsidP="00A24459">
            <w:pPr>
              <w:contextualSpacing/>
              <w:jc w:val="center"/>
              <w:rPr>
                <w:sz w:val="24"/>
                <w:szCs w:val="24"/>
              </w:rPr>
            </w:pPr>
            <w:r w:rsidRPr="00792B36">
              <w:rPr>
                <w:color w:val="000000"/>
                <w:sz w:val="24"/>
                <w:szCs w:val="24"/>
              </w:rPr>
              <w:t>1,796.37</w:t>
            </w:r>
          </w:p>
        </w:tc>
        <w:tc>
          <w:tcPr>
            <w:tcW w:w="1177" w:type="dxa"/>
            <w:vAlign w:val="center"/>
          </w:tcPr>
          <w:p w14:paraId="53F18850" w14:textId="77777777" w:rsidR="009A0A63" w:rsidRPr="00792B36" w:rsidRDefault="009A0A63" w:rsidP="00A24459">
            <w:pPr>
              <w:contextualSpacing/>
              <w:jc w:val="center"/>
              <w:rPr>
                <w:sz w:val="24"/>
                <w:szCs w:val="24"/>
              </w:rPr>
            </w:pPr>
            <w:r w:rsidRPr="00792B36">
              <w:rPr>
                <w:color w:val="000000"/>
                <w:sz w:val="24"/>
                <w:szCs w:val="24"/>
              </w:rPr>
              <w:t>586.93</w:t>
            </w:r>
          </w:p>
        </w:tc>
        <w:tc>
          <w:tcPr>
            <w:tcW w:w="1027" w:type="dxa"/>
            <w:vAlign w:val="center"/>
          </w:tcPr>
          <w:p w14:paraId="7407384E" w14:textId="77777777" w:rsidR="009A0A63" w:rsidRPr="00792B36" w:rsidRDefault="009A0A63" w:rsidP="00A24459">
            <w:pPr>
              <w:contextualSpacing/>
              <w:jc w:val="center"/>
              <w:rPr>
                <w:sz w:val="24"/>
                <w:szCs w:val="24"/>
              </w:rPr>
            </w:pPr>
            <w:r w:rsidRPr="00792B36">
              <w:rPr>
                <w:color w:val="000000"/>
                <w:sz w:val="24"/>
                <w:szCs w:val="24"/>
              </w:rPr>
              <w:t>832.35</w:t>
            </w:r>
          </w:p>
        </w:tc>
        <w:tc>
          <w:tcPr>
            <w:tcW w:w="957" w:type="dxa"/>
            <w:vAlign w:val="center"/>
          </w:tcPr>
          <w:p w14:paraId="540800F8" w14:textId="77777777" w:rsidR="009A0A63" w:rsidRPr="00792B36" w:rsidRDefault="009A0A63" w:rsidP="00A24459">
            <w:pPr>
              <w:contextualSpacing/>
              <w:jc w:val="center"/>
              <w:rPr>
                <w:sz w:val="24"/>
                <w:szCs w:val="24"/>
              </w:rPr>
            </w:pPr>
            <w:r w:rsidRPr="00792B36">
              <w:rPr>
                <w:color w:val="000000"/>
                <w:sz w:val="24"/>
                <w:szCs w:val="24"/>
              </w:rPr>
              <w:t>1,170.43</w:t>
            </w:r>
          </w:p>
        </w:tc>
        <w:tc>
          <w:tcPr>
            <w:tcW w:w="900" w:type="dxa"/>
            <w:vAlign w:val="center"/>
          </w:tcPr>
          <w:p w14:paraId="521A14DE" w14:textId="77777777" w:rsidR="009A0A63" w:rsidRPr="00792B36" w:rsidRDefault="009A0A63" w:rsidP="00A24459">
            <w:pPr>
              <w:contextualSpacing/>
              <w:jc w:val="center"/>
              <w:rPr>
                <w:sz w:val="24"/>
                <w:szCs w:val="24"/>
              </w:rPr>
            </w:pPr>
            <w:r w:rsidRPr="00792B36">
              <w:rPr>
                <w:color w:val="000000"/>
                <w:sz w:val="24"/>
                <w:szCs w:val="24"/>
              </w:rPr>
              <w:t>2,578.90</w:t>
            </w:r>
          </w:p>
        </w:tc>
      </w:tr>
      <w:tr w:rsidR="009A0A63" w:rsidRPr="00792B36" w14:paraId="1D117B99" w14:textId="77777777" w:rsidTr="00A24459">
        <w:trPr>
          <w:trHeight w:val="340"/>
        </w:trPr>
        <w:tc>
          <w:tcPr>
            <w:tcW w:w="617" w:type="dxa"/>
            <w:vAlign w:val="center"/>
          </w:tcPr>
          <w:p w14:paraId="75A391D0" w14:textId="77777777" w:rsidR="009A0A63" w:rsidRPr="00792B36" w:rsidRDefault="009A0A63" w:rsidP="00A24459">
            <w:pPr>
              <w:contextualSpacing/>
              <w:jc w:val="center"/>
              <w:rPr>
                <w:sz w:val="24"/>
                <w:szCs w:val="24"/>
              </w:rPr>
            </w:pPr>
            <w:r w:rsidRPr="00792B36">
              <w:rPr>
                <w:b/>
                <w:bCs/>
                <w:color w:val="000000"/>
                <w:sz w:val="24"/>
                <w:szCs w:val="24"/>
              </w:rPr>
              <w:t>2009</w:t>
            </w:r>
          </w:p>
        </w:tc>
        <w:tc>
          <w:tcPr>
            <w:tcW w:w="1177" w:type="dxa"/>
            <w:vAlign w:val="center"/>
          </w:tcPr>
          <w:p w14:paraId="1F1DD518" w14:textId="77777777" w:rsidR="009A0A63" w:rsidRPr="00792B36" w:rsidRDefault="009A0A63" w:rsidP="00A24459">
            <w:pPr>
              <w:contextualSpacing/>
              <w:jc w:val="center"/>
              <w:rPr>
                <w:sz w:val="24"/>
                <w:szCs w:val="24"/>
              </w:rPr>
            </w:pPr>
            <w:r w:rsidRPr="00792B36">
              <w:rPr>
                <w:color w:val="000000"/>
                <w:sz w:val="24"/>
                <w:szCs w:val="24"/>
              </w:rPr>
              <w:t>209.47</w:t>
            </w:r>
          </w:p>
        </w:tc>
        <w:tc>
          <w:tcPr>
            <w:tcW w:w="1095" w:type="dxa"/>
            <w:vAlign w:val="center"/>
          </w:tcPr>
          <w:p w14:paraId="5684CF36" w14:textId="77777777" w:rsidR="009A0A63" w:rsidRPr="00792B36" w:rsidRDefault="009A0A63" w:rsidP="00A24459">
            <w:pPr>
              <w:contextualSpacing/>
              <w:jc w:val="center"/>
              <w:rPr>
                <w:sz w:val="24"/>
                <w:szCs w:val="24"/>
              </w:rPr>
            </w:pPr>
            <w:r w:rsidRPr="00792B36">
              <w:rPr>
                <w:color w:val="000000"/>
                <w:sz w:val="24"/>
                <w:szCs w:val="24"/>
              </w:rPr>
              <w:t>522.79</w:t>
            </w:r>
          </w:p>
        </w:tc>
        <w:tc>
          <w:tcPr>
            <w:tcW w:w="987" w:type="dxa"/>
            <w:vAlign w:val="center"/>
          </w:tcPr>
          <w:p w14:paraId="400E2E1F" w14:textId="77777777" w:rsidR="009A0A63" w:rsidRPr="00792B36" w:rsidRDefault="009A0A63" w:rsidP="00A24459">
            <w:pPr>
              <w:contextualSpacing/>
              <w:jc w:val="center"/>
              <w:rPr>
                <w:sz w:val="24"/>
                <w:szCs w:val="24"/>
              </w:rPr>
            </w:pPr>
            <w:r w:rsidRPr="00792B36">
              <w:rPr>
                <w:color w:val="000000"/>
                <w:sz w:val="24"/>
                <w:szCs w:val="24"/>
              </w:rPr>
              <w:t>1,045.19</w:t>
            </w:r>
          </w:p>
        </w:tc>
        <w:tc>
          <w:tcPr>
            <w:tcW w:w="1080" w:type="dxa"/>
            <w:vAlign w:val="center"/>
          </w:tcPr>
          <w:p w14:paraId="7B0C3D7D" w14:textId="77777777" w:rsidR="009A0A63" w:rsidRPr="00792B36" w:rsidRDefault="009A0A63" w:rsidP="00A24459">
            <w:pPr>
              <w:contextualSpacing/>
              <w:jc w:val="center"/>
              <w:rPr>
                <w:sz w:val="24"/>
                <w:szCs w:val="24"/>
              </w:rPr>
            </w:pPr>
            <w:r w:rsidRPr="00792B36">
              <w:rPr>
                <w:color w:val="000000"/>
                <w:sz w:val="24"/>
                <w:szCs w:val="24"/>
              </w:rPr>
              <w:t>1,777.91</w:t>
            </w:r>
          </w:p>
        </w:tc>
        <w:tc>
          <w:tcPr>
            <w:tcW w:w="1177" w:type="dxa"/>
            <w:vAlign w:val="center"/>
          </w:tcPr>
          <w:p w14:paraId="1F9FE9A3" w14:textId="77777777" w:rsidR="009A0A63" w:rsidRPr="00792B36" w:rsidRDefault="009A0A63" w:rsidP="00A24459">
            <w:pPr>
              <w:contextualSpacing/>
              <w:jc w:val="center"/>
              <w:rPr>
                <w:sz w:val="24"/>
                <w:szCs w:val="24"/>
              </w:rPr>
            </w:pPr>
            <w:r w:rsidRPr="00792B36">
              <w:rPr>
                <w:color w:val="000000"/>
                <w:sz w:val="24"/>
                <w:szCs w:val="24"/>
              </w:rPr>
              <w:t>542.69</w:t>
            </w:r>
          </w:p>
        </w:tc>
        <w:tc>
          <w:tcPr>
            <w:tcW w:w="1027" w:type="dxa"/>
            <w:vAlign w:val="center"/>
          </w:tcPr>
          <w:p w14:paraId="54D2C40B" w14:textId="77777777" w:rsidR="009A0A63" w:rsidRPr="00792B36" w:rsidRDefault="009A0A63" w:rsidP="00A24459">
            <w:pPr>
              <w:contextualSpacing/>
              <w:jc w:val="center"/>
              <w:rPr>
                <w:sz w:val="24"/>
                <w:szCs w:val="24"/>
              </w:rPr>
            </w:pPr>
            <w:r w:rsidRPr="00792B36">
              <w:rPr>
                <w:color w:val="000000"/>
                <w:sz w:val="24"/>
                <w:szCs w:val="24"/>
              </w:rPr>
              <w:t>798.88</w:t>
            </w:r>
          </w:p>
        </w:tc>
        <w:tc>
          <w:tcPr>
            <w:tcW w:w="957" w:type="dxa"/>
            <w:vAlign w:val="center"/>
          </w:tcPr>
          <w:p w14:paraId="34B7ABD2" w14:textId="77777777" w:rsidR="009A0A63" w:rsidRPr="00792B36" w:rsidRDefault="009A0A63" w:rsidP="00A24459">
            <w:pPr>
              <w:contextualSpacing/>
              <w:jc w:val="center"/>
              <w:rPr>
                <w:sz w:val="24"/>
                <w:szCs w:val="24"/>
              </w:rPr>
            </w:pPr>
            <w:r w:rsidRPr="00792B36">
              <w:rPr>
                <w:color w:val="000000"/>
                <w:sz w:val="24"/>
                <w:szCs w:val="24"/>
              </w:rPr>
              <w:t>1,117.58</w:t>
            </w:r>
          </w:p>
        </w:tc>
        <w:tc>
          <w:tcPr>
            <w:tcW w:w="900" w:type="dxa"/>
            <w:vAlign w:val="center"/>
          </w:tcPr>
          <w:p w14:paraId="05475841" w14:textId="77777777" w:rsidR="009A0A63" w:rsidRPr="00792B36" w:rsidRDefault="009A0A63" w:rsidP="00A24459">
            <w:pPr>
              <w:contextualSpacing/>
              <w:jc w:val="center"/>
              <w:rPr>
                <w:sz w:val="24"/>
                <w:szCs w:val="24"/>
              </w:rPr>
            </w:pPr>
            <w:r w:rsidRPr="00792B36">
              <w:rPr>
                <w:color w:val="000000"/>
                <w:sz w:val="24"/>
                <w:szCs w:val="24"/>
              </w:rPr>
              <w:t>2,450.77</w:t>
            </w:r>
          </w:p>
        </w:tc>
      </w:tr>
      <w:tr w:rsidR="009A0A63" w:rsidRPr="00792B36" w14:paraId="78BB1AC9" w14:textId="77777777" w:rsidTr="00A24459">
        <w:trPr>
          <w:trHeight w:val="340"/>
        </w:trPr>
        <w:tc>
          <w:tcPr>
            <w:tcW w:w="617" w:type="dxa"/>
            <w:vAlign w:val="center"/>
          </w:tcPr>
          <w:p w14:paraId="42BF6915" w14:textId="77777777" w:rsidR="009A0A63" w:rsidRPr="00792B36" w:rsidRDefault="009A0A63" w:rsidP="00A24459">
            <w:pPr>
              <w:contextualSpacing/>
              <w:jc w:val="center"/>
              <w:rPr>
                <w:sz w:val="24"/>
                <w:szCs w:val="24"/>
              </w:rPr>
            </w:pPr>
            <w:r w:rsidRPr="00792B36">
              <w:rPr>
                <w:b/>
                <w:bCs/>
                <w:color w:val="000000"/>
                <w:sz w:val="24"/>
                <w:szCs w:val="24"/>
              </w:rPr>
              <w:t>2010</w:t>
            </w:r>
          </w:p>
        </w:tc>
        <w:tc>
          <w:tcPr>
            <w:tcW w:w="1177" w:type="dxa"/>
            <w:vAlign w:val="center"/>
          </w:tcPr>
          <w:p w14:paraId="442F35ED" w14:textId="77777777" w:rsidR="009A0A63" w:rsidRPr="00792B36" w:rsidRDefault="009A0A63" w:rsidP="00A24459">
            <w:pPr>
              <w:contextualSpacing/>
              <w:jc w:val="center"/>
              <w:rPr>
                <w:sz w:val="24"/>
                <w:szCs w:val="24"/>
              </w:rPr>
            </w:pPr>
            <w:r w:rsidRPr="00792B36">
              <w:rPr>
                <w:color w:val="000000"/>
                <w:sz w:val="24"/>
                <w:szCs w:val="24"/>
              </w:rPr>
              <w:t>200.19</w:t>
            </w:r>
          </w:p>
        </w:tc>
        <w:tc>
          <w:tcPr>
            <w:tcW w:w="1095" w:type="dxa"/>
            <w:vAlign w:val="center"/>
          </w:tcPr>
          <w:p w14:paraId="6234A322" w14:textId="77777777" w:rsidR="009A0A63" w:rsidRPr="00792B36" w:rsidRDefault="009A0A63" w:rsidP="00A24459">
            <w:pPr>
              <w:contextualSpacing/>
              <w:jc w:val="center"/>
              <w:rPr>
                <w:sz w:val="24"/>
                <w:szCs w:val="24"/>
              </w:rPr>
            </w:pPr>
            <w:r w:rsidRPr="00792B36">
              <w:rPr>
                <w:color w:val="000000"/>
                <w:sz w:val="24"/>
                <w:szCs w:val="24"/>
              </w:rPr>
              <w:t>558.73</w:t>
            </w:r>
          </w:p>
        </w:tc>
        <w:tc>
          <w:tcPr>
            <w:tcW w:w="987" w:type="dxa"/>
            <w:vAlign w:val="center"/>
          </w:tcPr>
          <w:p w14:paraId="1863279F" w14:textId="77777777" w:rsidR="009A0A63" w:rsidRPr="00792B36" w:rsidRDefault="009A0A63" w:rsidP="00A24459">
            <w:pPr>
              <w:contextualSpacing/>
              <w:jc w:val="center"/>
              <w:rPr>
                <w:sz w:val="24"/>
                <w:szCs w:val="24"/>
              </w:rPr>
            </w:pPr>
            <w:r w:rsidRPr="00792B36">
              <w:rPr>
                <w:color w:val="000000"/>
                <w:sz w:val="24"/>
                <w:szCs w:val="24"/>
              </w:rPr>
              <w:t>1,118.03</w:t>
            </w:r>
          </w:p>
        </w:tc>
        <w:tc>
          <w:tcPr>
            <w:tcW w:w="1080" w:type="dxa"/>
            <w:vAlign w:val="center"/>
          </w:tcPr>
          <w:p w14:paraId="2EF3B131" w14:textId="77777777" w:rsidR="009A0A63" w:rsidRPr="00792B36" w:rsidRDefault="009A0A63" w:rsidP="00A24459">
            <w:pPr>
              <w:contextualSpacing/>
              <w:jc w:val="center"/>
              <w:rPr>
                <w:sz w:val="24"/>
                <w:szCs w:val="24"/>
              </w:rPr>
            </w:pPr>
            <w:r w:rsidRPr="00792B36">
              <w:rPr>
                <w:color w:val="000000"/>
                <w:sz w:val="24"/>
                <w:szCs w:val="24"/>
              </w:rPr>
              <w:t>1,871.23</w:t>
            </w:r>
          </w:p>
        </w:tc>
        <w:tc>
          <w:tcPr>
            <w:tcW w:w="1177" w:type="dxa"/>
            <w:vAlign w:val="center"/>
          </w:tcPr>
          <w:p w14:paraId="55E161A4" w14:textId="77777777" w:rsidR="009A0A63" w:rsidRPr="00792B36" w:rsidRDefault="009A0A63" w:rsidP="00A24459">
            <w:pPr>
              <w:contextualSpacing/>
              <w:jc w:val="center"/>
              <w:rPr>
                <w:sz w:val="24"/>
                <w:szCs w:val="24"/>
              </w:rPr>
            </w:pPr>
            <w:r w:rsidRPr="00792B36">
              <w:rPr>
                <w:color w:val="000000"/>
                <w:sz w:val="24"/>
                <w:szCs w:val="24"/>
              </w:rPr>
              <w:t>539.27</w:t>
            </w:r>
          </w:p>
        </w:tc>
        <w:tc>
          <w:tcPr>
            <w:tcW w:w="1027" w:type="dxa"/>
            <w:vAlign w:val="center"/>
          </w:tcPr>
          <w:p w14:paraId="426BBD4D" w14:textId="77777777" w:rsidR="009A0A63" w:rsidRPr="00792B36" w:rsidRDefault="009A0A63" w:rsidP="00A24459">
            <w:pPr>
              <w:contextualSpacing/>
              <w:jc w:val="center"/>
              <w:rPr>
                <w:sz w:val="24"/>
                <w:szCs w:val="24"/>
              </w:rPr>
            </w:pPr>
            <w:r w:rsidRPr="00792B36">
              <w:rPr>
                <w:color w:val="000000"/>
                <w:sz w:val="24"/>
                <w:szCs w:val="24"/>
              </w:rPr>
              <w:t>854.79</w:t>
            </w:r>
          </w:p>
        </w:tc>
        <w:tc>
          <w:tcPr>
            <w:tcW w:w="957" w:type="dxa"/>
            <w:vAlign w:val="center"/>
          </w:tcPr>
          <w:p w14:paraId="3A49FBF4" w14:textId="77777777" w:rsidR="009A0A63" w:rsidRPr="00792B36" w:rsidRDefault="009A0A63" w:rsidP="00A24459">
            <w:pPr>
              <w:contextualSpacing/>
              <w:jc w:val="center"/>
              <w:rPr>
                <w:sz w:val="24"/>
                <w:szCs w:val="24"/>
              </w:rPr>
            </w:pPr>
            <w:r w:rsidRPr="00792B36">
              <w:rPr>
                <w:color w:val="000000"/>
                <w:sz w:val="24"/>
                <w:szCs w:val="24"/>
              </w:rPr>
              <w:t>1,182.56</w:t>
            </w:r>
          </w:p>
        </w:tc>
        <w:tc>
          <w:tcPr>
            <w:tcW w:w="900" w:type="dxa"/>
            <w:vAlign w:val="center"/>
          </w:tcPr>
          <w:p w14:paraId="43539655" w14:textId="77777777" w:rsidR="009A0A63" w:rsidRPr="00792B36" w:rsidRDefault="009A0A63" w:rsidP="00A24459">
            <w:pPr>
              <w:contextualSpacing/>
              <w:jc w:val="center"/>
              <w:rPr>
                <w:sz w:val="24"/>
                <w:szCs w:val="24"/>
              </w:rPr>
            </w:pPr>
            <w:r w:rsidRPr="00792B36">
              <w:rPr>
                <w:color w:val="000000"/>
                <w:sz w:val="24"/>
                <w:szCs w:val="24"/>
              </w:rPr>
              <w:t>2,570.70</w:t>
            </w:r>
          </w:p>
        </w:tc>
      </w:tr>
      <w:tr w:rsidR="009A0A63" w:rsidRPr="00792B36" w14:paraId="4AE5819A" w14:textId="77777777" w:rsidTr="00A24459">
        <w:trPr>
          <w:trHeight w:val="340"/>
        </w:trPr>
        <w:tc>
          <w:tcPr>
            <w:tcW w:w="617" w:type="dxa"/>
            <w:vAlign w:val="center"/>
          </w:tcPr>
          <w:p w14:paraId="3CFF7E0A" w14:textId="77777777" w:rsidR="009A0A63" w:rsidRPr="00792B36" w:rsidRDefault="009A0A63" w:rsidP="00A24459">
            <w:pPr>
              <w:contextualSpacing/>
              <w:jc w:val="center"/>
              <w:rPr>
                <w:sz w:val="24"/>
                <w:szCs w:val="24"/>
              </w:rPr>
            </w:pPr>
            <w:r w:rsidRPr="00792B36">
              <w:rPr>
                <w:b/>
                <w:bCs/>
                <w:color w:val="000000"/>
                <w:sz w:val="24"/>
                <w:szCs w:val="24"/>
              </w:rPr>
              <w:t>2011</w:t>
            </w:r>
          </w:p>
        </w:tc>
        <w:tc>
          <w:tcPr>
            <w:tcW w:w="1177" w:type="dxa"/>
            <w:vAlign w:val="center"/>
          </w:tcPr>
          <w:p w14:paraId="30932A90" w14:textId="77777777" w:rsidR="009A0A63" w:rsidRPr="00792B36" w:rsidRDefault="009A0A63" w:rsidP="00A24459">
            <w:pPr>
              <w:contextualSpacing/>
              <w:jc w:val="center"/>
              <w:rPr>
                <w:sz w:val="24"/>
                <w:szCs w:val="24"/>
              </w:rPr>
            </w:pPr>
            <w:r w:rsidRPr="00792B36">
              <w:rPr>
                <w:color w:val="000000"/>
                <w:sz w:val="24"/>
                <w:szCs w:val="24"/>
              </w:rPr>
              <w:t>193.83</w:t>
            </w:r>
          </w:p>
        </w:tc>
        <w:tc>
          <w:tcPr>
            <w:tcW w:w="1095" w:type="dxa"/>
            <w:vAlign w:val="center"/>
          </w:tcPr>
          <w:p w14:paraId="18D4A37E" w14:textId="77777777" w:rsidR="009A0A63" w:rsidRPr="00792B36" w:rsidRDefault="009A0A63" w:rsidP="00A24459">
            <w:pPr>
              <w:contextualSpacing/>
              <w:jc w:val="center"/>
              <w:rPr>
                <w:sz w:val="24"/>
                <w:szCs w:val="24"/>
              </w:rPr>
            </w:pPr>
            <w:r w:rsidRPr="00792B36">
              <w:rPr>
                <w:color w:val="000000"/>
                <w:sz w:val="24"/>
                <w:szCs w:val="24"/>
              </w:rPr>
              <w:t>567.16</w:t>
            </w:r>
          </w:p>
        </w:tc>
        <w:tc>
          <w:tcPr>
            <w:tcW w:w="987" w:type="dxa"/>
            <w:vAlign w:val="center"/>
          </w:tcPr>
          <w:p w14:paraId="3090CFB2" w14:textId="77777777" w:rsidR="009A0A63" w:rsidRPr="00792B36" w:rsidRDefault="009A0A63" w:rsidP="00A24459">
            <w:pPr>
              <w:contextualSpacing/>
              <w:jc w:val="center"/>
              <w:rPr>
                <w:sz w:val="24"/>
                <w:szCs w:val="24"/>
              </w:rPr>
            </w:pPr>
            <w:r w:rsidRPr="00792B36">
              <w:rPr>
                <w:color w:val="000000"/>
                <w:sz w:val="24"/>
                <w:szCs w:val="24"/>
              </w:rPr>
              <w:t>1,048.86</w:t>
            </w:r>
          </w:p>
        </w:tc>
        <w:tc>
          <w:tcPr>
            <w:tcW w:w="1080" w:type="dxa"/>
            <w:vAlign w:val="center"/>
          </w:tcPr>
          <w:p w14:paraId="3E7CBEF9" w14:textId="77777777" w:rsidR="009A0A63" w:rsidRPr="00792B36" w:rsidRDefault="009A0A63" w:rsidP="00A24459">
            <w:pPr>
              <w:contextualSpacing/>
              <w:jc w:val="center"/>
              <w:rPr>
                <w:sz w:val="24"/>
                <w:szCs w:val="24"/>
              </w:rPr>
            </w:pPr>
            <w:r w:rsidRPr="00792B36">
              <w:rPr>
                <w:color w:val="000000"/>
                <w:sz w:val="24"/>
                <w:szCs w:val="24"/>
              </w:rPr>
              <w:t>1,807.04</w:t>
            </w:r>
          </w:p>
        </w:tc>
        <w:tc>
          <w:tcPr>
            <w:tcW w:w="1177" w:type="dxa"/>
            <w:vAlign w:val="center"/>
          </w:tcPr>
          <w:p w14:paraId="52B73218" w14:textId="77777777" w:rsidR="009A0A63" w:rsidRPr="00792B36" w:rsidRDefault="009A0A63" w:rsidP="00A24459">
            <w:pPr>
              <w:contextualSpacing/>
              <w:jc w:val="center"/>
              <w:rPr>
                <w:sz w:val="24"/>
                <w:szCs w:val="24"/>
              </w:rPr>
            </w:pPr>
            <w:r w:rsidRPr="00792B36">
              <w:rPr>
                <w:color w:val="000000"/>
                <w:sz w:val="24"/>
                <w:szCs w:val="24"/>
              </w:rPr>
              <w:t>598.87</w:t>
            </w:r>
          </w:p>
        </w:tc>
        <w:tc>
          <w:tcPr>
            <w:tcW w:w="1027" w:type="dxa"/>
            <w:vAlign w:val="center"/>
          </w:tcPr>
          <w:p w14:paraId="5909A22D" w14:textId="77777777" w:rsidR="009A0A63" w:rsidRPr="00792B36" w:rsidRDefault="009A0A63" w:rsidP="00A24459">
            <w:pPr>
              <w:contextualSpacing/>
              <w:jc w:val="center"/>
              <w:rPr>
                <w:sz w:val="24"/>
                <w:szCs w:val="24"/>
              </w:rPr>
            </w:pPr>
            <w:r w:rsidRPr="00792B36">
              <w:rPr>
                <w:color w:val="000000"/>
                <w:sz w:val="24"/>
                <w:szCs w:val="24"/>
              </w:rPr>
              <w:t>938.47</w:t>
            </w:r>
          </w:p>
        </w:tc>
        <w:tc>
          <w:tcPr>
            <w:tcW w:w="957" w:type="dxa"/>
            <w:vAlign w:val="center"/>
          </w:tcPr>
          <w:p w14:paraId="619F81EB" w14:textId="77777777" w:rsidR="009A0A63" w:rsidRPr="00792B36" w:rsidRDefault="009A0A63" w:rsidP="00A24459">
            <w:pPr>
              <w:contextualSpacing/>
              <w:jc w:val="center"/>
              <w:rPr>
                <w:sz w:val="24"/>
                <w:szCs w:val="24"/>
              </w:rPr>
            </w:pPr>
            <w:r w:rsidRPr="00792B36">
              <w:rPr>
                <w:color w:val="000000"/>
                <w:sz w:val="24"/>
                <w:szCs w:val="24"/>
              </w:rPr>
              <w:t>1,175.65</w:t>
            </w:r>
          </w:p>
        </w:tc>
        <w:tc>
          <w:tcPr>
            <w:tcW w:w="900" w:type="dxa"/>
            <w:vAlign w:val="center"/>
          </w:tcPr>
          <w:p w14:paraId="3F4811F4" w14:textId="77777777" w:rsidR="009A0A63" w:rsidRPr="00792B36" w:rsidRDefault="009A0A63" w:rsidP="00A24459">
            <w:pPr>
              <w:contextualSpacing/>
              <w:jc w:val="center"/>
              <w:rPr>
                <w:sz w:val="24"/>
                <w:szCs w:val="24"/>
              </w:rPr>
            </w:pPr>
            <w:r w:rsidRPr="00792B36">
              <w:rPr>
                <w:color w:val="000000"/>
                <w:sz w:val="24"/>
                <w:szCs w:val="24"/>
              </w:rPr>
              <w:t>2,705.35</w:t>
            </w:r>
          </w:p>
        </w:tc>
      </w:tr>
      <w:tr w:rsidR="009A0A63" w:rsidRPr="00792B36" w14:paraId="2E5AF7B2" w14:textId="77777777" w:rsidTr="00A24459">
        <w:trPr>
          <w:trHeight w:val="340"/>
        </w:trPr>
        <w:tc>
          <w:tcPr>
            <w:tcW w:w="617" w:type="dxa"/>
            <w:vAlign w:val="center"/>
          </w:tcPr>
          <w:p w14:paraId="61A9C11E" w14:textId="77777777" w:rsidR="009A0A63" w:rsidRPr="00792B36" w:rsidRDefault="009A0A63" w:rsidP="00A24459">
            <w:pPr>
              <w:contextualSpacing/>
              <w:jc w:val="center"/>
              <w:rPr>
                <w:sz w:val="24"/>
                <w:szCs w:val="24"/>
              </w:rPr>
            </w:pPr>
            <w:r w:rsidRPr="00792B36">
              <w:rPr>
                <w:b/>
                <w:bCs/>
                <w:color w:val="000000"/>
                <w:sz w:val="24"/>
                <w:szCs w:val="24"/>
              </w:rPr>
              <w:t>2012</w:t>
            </w:r>
          </w:p>
        </w:tc>
        <w:tc>
          <w:tcPr>
            <w:tcW w:w="1177" w:type="dxa"/>
            <w:vAlign w:val="center"/>
          </w:tcPr>
          <w:p w14:paraId="48628360" w14:textId="77777777" w:rsidR="009A0A63" w:rsidRPr="00792B36" w:rsidRDefault="009A0A63" w:rsidP="00A24459">
            <w:pPr>
              <w:contextualSpacing/>
              <w:jc w:val="center"/>
              <w:rPr>
                <w:sz w:val="24"/>
                <w:szCs w:val="24"/>
              </w:rPr>
            </w:pPr>
            <w:r w:rsidRPr="00792B36">
              <w:rPr>
                <w:color w:val="000000"/>
                <w:sz w:val="24"/>
                <w:szCs w:val="24"/>
              </w:rPr>
              <w:t>219.87</w:t>
            </w:r>
          </w:p>
        </w:tc>
        <w:tc>
          <w:tcPr>
            <w:tcW w:w="1095" w:type="dxa"/>
            <w:vAlign w:val="center"/>
          </w:tcPr>
          <w:p w14:paraId="0656CDCC" w14:textId="77777777" w:rsidR="009A0A63" w:rsidRPr="00792B36" w:rsidRDefault="009A0A63" w:rsidP="00A24459">
            <w:pPr>
              <w:contextualSpacing/>
              <w:jc w:val="center"/>
              <w:rPr>
                <w:sz w:val="24"/>
                <w:szCs w:val="24"/>
              </w:rPr>
            </w:pPr>
            <w:r w:rsidRPr="00792B36">
              <w:rPr>
                <w:color w:val="000000"/>
                <w:sz w:val="24"/>
                <w:szCs w:val="24"/>
              </w:rPr>
              <w:t>544.89</w:t>
            </w:r>
          </w:p>
        </w:tc>
        <w:tc>
          <w:tcPr>
            <w:tcW w:w="987" w:type="dxa"/>
            <w:vAlign w:val="center"/>
          </w:tcPr>
          <w:p w14:paraId="4B21CF5E" w14:textId="77777777" w:rsidR="009A0A63" w:rsidRPr="00792B36" w:rsidRDefault="009A0A63" w:rsidP="00A24459">
            <w:pPr>
              <w:contextualSpacing/>
              <w:jc w:val="center"/>
              <w:rPr>
                <w:sz w:val="24"/>
                <w:szCs w:val="24"/>
              </w:rPr>
            </w:pPr>
            <w:r w:rsidRPr="00792B36">
              <w:rPr>
                <w:color w:val="000000"/>
                <w:sz w:val="24"/>
                <w:szCs w:val="24"/>
              </w:rPr>
              <w:t>1,233.70</w:t>
            </w:r>
          </w:p>
        </w:tc>
        <w:tc>
          <w:tcPr>
            <w:tcW w:w="1080" w:type="dxa"/>
            <w:vAlign w:val="center"/>
          </w:tcPr>
          <w:p w14:paraId="6B1D3531" w14:textId="77777777" w:rsidR="009A0A63" w:rsidRPr="00792B36" w:rsidRDefault="009A0A63" w:rsidP="00A24459">
            <w:pPr>
              <w:contextualSpacing/>
              <w:jc w:val="center"/>
              <w:rPr>
                <w:sz w:val="24"/>
                <w:szCs w:val="24"/>
              </w:rPr>
            </w:pPr>
            <w:r w:rsidRPr="00792B36">
              <w:rPr>
                <w:color w:val="000000"/>
                <w:sz w:val="24"/>
                <w:szCs w:val="24"/>
              </w:rPr>
              <w:t>1,985.00</w:t>
            </w:r>
          </w:p>
        </w:tc>
        <w:tc>
          <w:tcPr>
            <w:tcW w:w="1177" w:type="dxa"/>
            <w:vAlign w:val="center"/>
          </w:tcPr>
          <w:p w14:paraId="5A8E9628" w14:textId="77777777" w:rsidR="009A0A63" w:rsidRPr="00792B36" w:rsidRDefault="009A0A63" w:rsidP="00A24459">
            <w:pPr>
              <w:contextualSpacing/>
              <w:jc w:val="center"/>
              <w:rPr>
                <w:sz w:val="24"/>
                <w:szCs w:val="24"/>
              </w:rPr>
            </w:pPr>
            <w:r w:rsidRPr="00792B36">
              <w:rPr>
                <w:color w:val="000000"/>
                <w:sz w:val="24"/>
                <w:szCs w:val="24"/>
              </w:rPr>
              <w:t>564.20</w:t>
            </w:r>
          </w:p>
        </w:tc>
        <w:tc>
          <w:tcPr>
            <w:tcW w:w="1027" w:type="dxa"/>
            <w:vAlign w:val="center"/>
          </w:tcPr>
          <w:p w14:paraId="2B235207" w14:textId="77777777" w:rsidR="009A0A63" w:rsidRPr="00792B36" w:rsidRDefault="009A0A63" w:rsidP="00A24459">
            <w:pPr>
              <w:contextualSpacing/>
              <w:jc w:val="center"/>
              <w:rPr>
                <w:sz w:val="24"/>
                <w:szCs w:val="24"/>
              </w:rPr>
            </w:pPr>
            <w:r w:rsidRPr="00792B36">
              <w:rPr>
                <w:color w:val="000000"/>
                <w:sz w:val="24"/>
                <w:szCs w:val="24"/>
              </w:rPr>
              <w:t>891.65</w:t>
            </w:r>
          </w:p>
        </w:tc>
        <w:tc>
          <w:tcPr>
            <w:tcW w:w="957" w:type="dxa"/>
            <w:vAlign w:val="center"/>
          </w:tcPr>
          <w:p w14:paraId="050E93B0" w14:textId="77777777" w:rsidR="009A0A63" w:rsidRPr="00792B36" w:rsidRDefault="009A0A63" w:rsidP="00A24459">
            <w:pPr>
              <w:contextualSpacing/>
              <w:jc w:val="center"/>
              <w:rPr>
                <w:sz w:val="24"/>
                <w:szCs w:val="24"/>
              </w:rPr>
            </w:pPr>
            <w:r w:rsidRPr="00792B36">
              <w:rPr>
                <w:color w:val="000000"/>
                <w:sz w:val="24"/>
                <w:szCs w:val="24"/>
              </w:rPr>
              <w:t>1,255.44</w:t>
            </w:r>
          </w:p>
        </w:tc>
        <w:tc>
          <w:tcPr>
            <w:tcW w:w="900" w:type="dxa"/>
            <w:vAlign w:val="center"/>
          </w:tcPr>
          <w:p w14:paraId="1B4482CF" w14:textId="77777777" w:rsidR="009A0A63" w:rsidRPr="00792B36" w:rsidRDefault="009A0A63" w:rsidP="00A24459">
            <w:pPr>
              <w:contextualSpacing/>
              <w:jc w:val="center"/>
              <w:rPr>
                <w:sz w:val="24"/>
                <w:szCs w:val="24"/>
              </w:rPr>
            </w:pPr>
            <w:r w:rsidRPr="00792B36">
              <w:rPr>
                <w:color w:val="000000"/>
                <w:sz w:val="24"/>
                <w:szCs w:val="24"/>
              </w:rPr>
              <w:t>2,702.09</w:t>
            </w:r>
          </w:p>
        </w:tc>
      </w:tr>
      <w:tr w:rsidR="009A0A63" w:rsidRPr="00792B36" w14:paraId="38735635" w14:textId="77777777" w:rsidTr="00A24459">
        <w:trPr>
          <w:trHeight w:val="340"/>
        </w:trPr>
        <w:tc>
          <w:tcPr>
            <w:tcW w:w="617" w:type="dxa"/>
            <w:vAlign w:val="center"/>
          </w:tcPr>
          <w:p w14:paraId="72DD3FDA" w14:textId="77777777" w:rsidR="009A0A63" w:rsidRPr="00792B36" w:rsidRDefault="009A0A63" w:rsidP="00A24459">
            <w:pPr>
              <w:contextualSpacing/>
              <w:jc w:val="center"/>
              <w:rPr>
                <w:sz w:val="24"/>
                <w:szCs w:val="24"/>
              </w:rPr>
            </w:pPr>
            <w:r w:rsidRPr="00792B36">
              <w:rPr>
                <w:b/>
                <w:bCs/>
                <w:color w:val="000000"/>
                <w:sz w:val="24"/>
                <w:szCs w:val="24"/>
              </w:rPr>
              <w:t>2013</w:t>
            </w:r>
          </w:p>
        </w:tc>
        <w:tc>
          <w:tcPr>
            <w:tcW w:w="1177" w:type="dxa"/>
            <w:vAlign w:val="center"/>
          </w:tcPr>
          <w:p w14:paraId="2CE78662" w14:textId="77777777" w:rsidR="009A0A63" w:rsidRPr="00792B36" w:rsidRDefault="009A0A63" w:rsidP="00A24459">
            <w:pPr>
              <w:contextualSpacing/>
              <w:jc w:val="center"/>
              <w:rPr>
                <w:sz w:val="24"/>
                <w:szCs w:val="24"/>
              </w:rPr>
            </w:pPr>
            <w:r w:rsidRPr="00792B36">
              <w:rPr>
                <w:color w:val="000000"/>
                <w:sz w:val="24"/>
                <w:szCs w:val="24"/>
              </w:rPr>
              <w:t>214.08</w:t>
            </w:r>
          </w:p>
        </w:tc>
        <w:tc>
          <w:tcPr>
            <w:tcW w:w="1095" w:type="dxa"/>
            <w:vAlign w:val="center"/>
          </w:tcPr>
          <w:p w14:paraId="491B1E90" w14:textId="77777777" w:rsidR="009A0A63" w:rsidRPr="00792B36" w:rsidRDefault="009A0A63" w:rsidP="00A24459">
            <w:pPr>
              <w:contextualSpacing/>
              <w:jc w:val="center"/>
              <w:rPr>
                <w:sz w:val="24"/>
                <w:szCs w:val="24"/>
              </w:rPr>
            </w:pPr>
            <w:r w:rsidRPr="00792B36">
              <w:rPr>
                <w:color w:val="000000"/>
                <w:sz w:val="24"/>
                <w:szCs w:val="24"/>
              </w:rPr>
              <w:t>525.96</w:t>
            </w:r>
          </w:p>
        </w:tc>
        <w:tc>
          <w:tcPr>
            <w:tcW w:w="987" w:type="dxa"/>
            <w:vAlign w:val="center"/>
          </w:tcPr>
          <w:p w14:paraId="307066A9" w14:textId="77777777" w:rsidR="009A0A63" w:rsidRPr="00792B36" w:rsidRDefault="009A0A63" w:rsidP="00A24459">
            <w:pPr>
              <w:contextualSpacing/>
              <w:jc w:val="center"/>
              <w:rPr>
                <w:sz w:val="24"/>
                <w:szCs w:val="24"/>
              </w:rPr>
            </w:pPr>
            <w:r w:rsidRPr="00792B36">
              <w:rPr>
                <w:color w:val="000000"/>
                <w:sz w:val="24"/>
                <w:szCs w:val="24"/>
              </w:rPr>
              <w:t>1,183.20</w:t>
            </w:r>
          </w:p>
        </w:tc>
        <w:tc>
          <w:tcPr>
            <w:tcW w:w="1080" w:type="dxa"/>
            <w:vAlign w:val="center"/>
          </w:tcPr>
          <w:p w14:paraId="631F2DE5" w14:textId="77777777" w:rsidR="009A0A63" w:rsidRPr="00792B36" w:rsidRDefault="009A0A63" w:rsidP="00A24459">
            <w:pPr>
              <w:contextualSpacing/>
              <w:jc w:val="center"/>
              <w:rPr>
                <w:sz w:val="24"/>
                <w:szCs w:val="24"/>
              </w:rPr>
            </w:pPr>
            <w:r w:rsidRPr="00792B36">
              <w:rPr>
                <w:color w:val="000000"/>
                <w:sz w:val="24"/>
                <w:szCs w:val="24"/>
              </w:rPr>
              <w:t>1,911.58</w:t>
            </w:r>
          </w:p>
        </w:tc>
        <w:tc>
          <w:tcPr>
            <w:tcW w:w="1177" w:type="dxa"/>
            <w:vAlign w:val="center"/>
          </w:tcPr>
          <w:p w14:paraId="3E30957D" w14:textId="77777777" w:rsidR="009A0A63" w:rsidRPr="00792B36" w:rsidRDefault="009A0A63" w:rsidP="00A24459">
            <w:pPr>
              <w:contextualSpacing/>
              <w:jc w:val="center"/>
              <w:rPr>
                <w:sz w:val="24"/>
                <w:szCs w:val="24"/>
              </w:rPr>
            </w:pPr>
            <w:r w:rsidRPr="00792B36">
              <w:rPr>
                <w:color w:val="000000"/>
                <w:sz w:val="24"/>
                <w:szCs w:val="24"/>
              </w:rPr>
              <w:t>537.82</w:t>
            </w:r>
          </w:p>
        </w:tc>
        <w:tc>
          <w:tcPr>
            <w:tcW w:w="1027" w:type="dxa"/>
            <w:vAlign w:val="center"/>
          </w:tcPr>
          <w:p w14:paraId="68E3BA71" w14:textId="77777777" w:rsidR="009A0A63" w:rsidRPr="00792B36" w:rsidRDefault="009A0A63" w:rsidP="00A24459">
            <w:pPr>
              <w:contextualSpacing/>
              <w:jc w:val="center"/>
              <w:rPr>
                <w:sz w:val="24"/>
                <w:szCs w:val="24"/>
              </w:rPr>
            </w:pPr>
            <w:r w:rsidRPr="00792B36">
              <w:rPr>
                <w:color w:val="000000"/>
                <w:sz w:val="24"/>
                <w:szCs w:val="24"/>
              </w:rPr>
              <w:t>946.02</w:t>
            </w:r>
          </w:p>
        </w:tc>
        <w:tc>
          <w:tcPr>
            <w:tcW w:w="957" w:type="dxa"/>
            <w:vAlign w:val="center"/>
          </w:tcPr>
          <w:p w14:paraId="03747FAF" w14:textId="77777777" w:rsidR="009A0A63" w:rsidRPr="00792B36" w:rsidRDefault="009A0A63" w:rsidP="00A24459">
            <w:pPr>
              <w:contextualSpacing/>
              <w:jc w:val="center"/>
              <w:rPr>
                <w:sz w:val="24"/>
                <w:szCs w:val="24"/>
              </w:rPr>
            </w:pPr>
            <w:r w:rsidRPr="00792B36">
              <w:rPr>
                <w:color w:val="000000"/>
                <w:sz w:val="24"/>
                <w:szCs w:val="24"/>
              </w:rPr>
              <w:t>1,262.75</w:t>
            </w:r>
          </w:p>
        </w:tc>
        <w:tc>
          <w:tcPr>
            <w:tcW w:w="900" w:type="dxa"/>
            <w:vAlign w:val="center"/>
          </w:tcPr>
          <w:p w14:paraId="27530F01" w14:textId="77777777" w:rsidR="009A0A63" w:rsidRPr="00792B36" w:rsidRDefault="009A0A63" w:rsidP="00A24459">
            <w:pPr>
              <w:contextualSpacing/>
              <w:jc w:val="center"/>
              <w:rPr>
                <w:sz w:val="24"/>
                <w:szCs w:val="24"/>
              </w:rPr>
            </w:pPr>
            <w:r w:rsidRPr="00792B36">
              <w:rPr>
                <w:color w:val="000000"/>
                <w:sz w:val="24"/>
                <w:szCs w:val="24"/>
              </w:rPr>
              <w:t>2,739.91</w:t>
            </w:r>
          </w:p>
        </w:tc>
      </w:tr>
      <w:tr w:rsidR="009A0A63" w:rsidRPr="00792B36" w14:paraId="6A9859C9" w14:textId="77777777" w:rsidTr="00A24459">
        <w:trPr>
          <w:trHeight w:val="340"/>
        </w:trPr>
        <w:tc>
          <w:tcPr>
            <w:tcW w:w="617" w:type="dxa"/>
            <w:vAlign w:val="center"/>
          </w:tcPr>
          <w:p w14:paraId="3BBEF59D" w14:textId="77777777" w:rsidR="009A0A63" w:rsidRPr="00792B36" w:rsidRDefault="009A0A63" w:rsidP="00A24459">
            <w:pPr>
              <w:contextualSpacing/>
              <w:jc w:val="center"/>
              <w:rPr>
                <w:sz w:val="24"/>
                <w:szCs w:val="24"/>
              </w:rPr>
            </w:pPr>
            <w:r w:rsidRPr="00792B36">
              <w:rPr>
                <w:b/>
                <w:bCs/>
                <w:color w:val="000000"/>
                <w:sz w:val="24"/>
                <w:szCs w:val="24"/>
              </w:rPr>
              <w:t>2014</w:t>
            </w:r>
          </w:p>
        </w:tc>
        <w:tc>
          <w:tcPr>
            <w:tcW w:w="1177" w:type="dxa"/>
            <w:vAlign w:val="center"/>
          </w:tcPr>
          <w:p w14:paraId="27E15104" w14:textId="77777777" w:rsidR="009A0A63" w:rsidRPr="00792B36" w:rsidRDefault="009A0A63" w:rsidP="00A24459">
            <w:pPr>
              <w:contextualSpacing/>
              <w:jc w:val="center"/>
              <w:rPr>
                <w:sz w:val="24"/>
                <w:szCs w:val="24"/>
              </w:rPr>
            </w:pPr>
            <w:r w:rsidRPr="00792B36">
              <w:rPr>
                <w:color w:val="000000"/>
                <w:sz w:val="24"/>
                <w:szCs w:val="24"/>
              </w:rPr>
              <w:t>206.00</w:t>
            </w:r>
          </w:p>
        </w:tc>
        <w:tc>
          <w:tcPr>
            <w:tcW w:w="1095" w:type="dxa"/>
            <w:vAlign w:val="center"/>
          </w:tcPr>
          <w:p w14:paraId="09EDDD26" w14:textId="77777777" w:rsidR="009A0A63" w:rsidRPr="00792B36" w:rsidRDefault="009A0A63" w:rsidP="00A24459">
            <w:pPr>
              <w:contextualSpacing/>
              <w:jc w:val="center"/>
              <w:rPr>
                <w:sz w:val="24"/>
                <w:szCs w:val="24"/>
              </w:rPr>
            </w:pPr>
            <w:r w:rsidRPr="00792B36">
              <w:rPr>
                <w:color w:val="000000"/>
                <w:sz w:val="24"/>
                <w:szCs w:val="24"/>
              </w:rPr>
              <w:t>511.19</w:t>
            </w:r>
          </w:p>
        </w:tc>
        <w:tc>
          <w:tcPr>
            <w:tcW w:w="987" w:type="dxa"/>
            <w:vAlign w:val="center"/>
          </w:tcPr>
          <w:p w14:paraId="0549B45B" w14:textId="77777777" w:rsidR="009A0A63" w:rsidRPr="00792B36" w:rsidRDefault="009A0A63" w:rsidP="00A24459">
            <w:pPr>
              <w:contextualSpacing/>
              <w:jc w:val="center"/>
              <w:rPr>
                <w:sz w:val="24"/>
                <w:szCs w:val="24"/>
              </w:rPr>
            </w:pPr>
            <w:r w:rsidRPr="00792B36">
              <w:rPr>
                <w:color w:val="000000"/>
                <w:sz w:val="24"/>
                <w:szCs w:val="24"/>
              </w:rPr>
              <w:t>1,121.97</w:t>
            </w:r>
          </w:p>
        </w:tc>
        <w:tc>
          <w:tcPr>
            <w:tcW w:w="1080" w:type="dxa"/>
            <w:vAlign w:val="center"/>
          </w:tcPr>
          <w:p w14:paraId="7798A75A" w14:textId="77777777" w:rsidR="009A0A63" w:rsidRPr="00792B36" w:rsidRDefault="009A0A63" w:rsidP="00A24459">
            <w:pPr>
              <w:contextualSpacing/>
              <w:jc w:val="center"/>
              <w:rPr>
                <w:sz w:val="24"/>
                <w:szCs w:val="24"/>
              </w:rPr>
            </w:pPr>
            <w:r w:rsidRPr="00792B36">
              <w:rPr>
                <w:color w:val="000000"/>
                <w:sz w:val="24"/>
                <w:szCs w:val="24"/>
              </w:rPr>
              <w:t>1,829.45</w:t>
            </w:r>
          </w:p>
        </w:tc>
        <w:tc>
          <w:tcPr>
            <w:tcW w:w="1177" w:type="dxa"/>
            <w:vAlign w:val="center"/>
          </w:tcPr>
          <w:p w14:paraId="36590C8D" w14:textId="77777777" w:rsidR="009A0A63" w:rsidRPr="00792B36" w:rsidRDefault="009A0A63" w:rsidP="00A24459">
            <w:pPr>
              <w:contextualSpacing/>
              <w:jc w:val="center"/>
              <w:rPr>
                <w:sz w:val="24"/>
                <w:szCs w:val="24"/>
              </w:rPr>
            </w:pPr>
            <w:r w:rsidRPr="00792B36">
              <w:rPr>
                <w:color w:val="000000"/>
                <w:sz w:val="24"/>
                <w:szCs w:val="24"/>
              </w:rPr>
              <w:t>542.70</w:t>
            </w:r>
          </w:p>
        </w:tc>
        <w:tc>
          <w:tcPr>
            <w:tcW w:w="1027" w:type="dxa"/>
            <w:vAlign w:val="center"/>
          </w:tcPr>
          <w:p w14:paraId="1143436F" w14:textId="77777777" w:rsidR="009A0A63" w:rsidRPr="00792B36" w:rsidRDefault="009A0A63" w:rsidP="00A24459">
            <w:pPr>
              <w:contextualSpacing/>
              <w:jc w:val="center"/>
              <w:rPr>
                <w:sz w:val="24"/>
                <w:szCs w:val="24"/>
              </w:rPr>
            </w:pPr>
            <w:r w:rsidRPr="00792B36">
              <w:rPr>
                <w:color w:val="000000"/>
                <w:sz w:val="24"/>
                <w:szCs w:val="24"/>
              </w:rPr>
              <w:t>872.03</w:t>
            </w:r>
          </w:p>
        </w:tc>
        <w:tc>
          <w:tcPr>
            <w:tcW w:w="957" w:type="dxa"/>
            <w:vAlign w:val="center"/>
          </w:tcPr>
          <w:p w14:paraId="5C7EB45E" w14:textId="77777777" w:rsidR="009A0A63" w:rsidRPr="00792B36" w:rsidRDefault="009A0A63" w:rsidP="00A24459">
            <w:pPr>
              <w:contextualSpacing/>
              <w:jc w:val="center"/>
              <w:rPr>
                <w:sz w:val="24"/>
                <w:szCs w:val="24"/>
              </w:rPr>
            </w:pPr>
            <w:r w:rsidRPr="00792B36">
              <w:rPr>
                <w:color w:val="000000"/>
                <w:sz w:val="24"/>
                <w:szCs w:val="24"/>
              </w:rPr>
              <w:t>1,309.19</w:t>
            </w:r>
          </w:p>
        </w:tc>
        <w:tc>
          <w:tcPr>
            <w:tcW w:w="900" w:type="dxa"/>
            <w:vAlign w:val="center"/>
          </w:tcPr>
          <w:p w14:paraId="03DA5916" w14:textId="77777777" w:rsidR="009A0A63" w:rsidRPr="00792B36" w:rsidRDefault="009A0A63" w:rsidP="00A24459">
            <w:pPr>
              <w:contextualSpacing/>
              <w:jc w:val="center"/>
              <w:rPr>
                <w:sz w:val="24"/>
                <w:szCs w:val="24"/>
              </w:rPr>
            </w:pPr>
            <w:r w:rsidRPr="00792B36">
              <w:rPr>
                <w:color w:val="000000"/>
                <w:sz w:val="24"/>
                <w:szCs w:val="24"/>
              </w:rPr>
              <w:t>2,719.37</w:t>
            </w:r>
          </w:p>
        </w:tc>
      </w:tr>
      <w:tr w:rsidR="009A0A63" w:rsidRPr="00792B36" w14:paraId="76DE47A5" w14:textId="77777777" w:rsidTr="00A24459">
        <w:trPr>
          <w:trHeight w:val="340"/>
        </w:trPr>
        <w:tc>
          <w:tcPr>
            <w:tcW w:w="617" w:type="dxa"/>
            <w:vAlign w:val="center"/>
          </w:tcPr>
          <w:p w14:paraId="71B96815" w14:textId="77777777" w:rsidR="009A0A63" w:rsidRPr="00792B36" w:rsidRDefault="009A0A63" w:rsidP="00A24459">
            <w:pPr>
              <w:contextualSpacing/>
              <w:jc w:val="center"/>
              <w:rPr>
                <w:sz w:val="24"/>
                <w:szCs w:val="24"/>
              </w:rPr>
            </w:pPr>
            <w:r w:rsidRPr="00792B36">
              <w:rPr>
                <w:b/>
                <w:bCs/>
                <w:color w:val="000000"/>
                <w:sz w:val="24"/>
                <w:szCs w:val="24"/>
              </w:rPr>
              <w:t>2015</w:t>
            </w:r>
          </w:p>
        </w:tc>
        <w:tc>
          <w:tcPr>
            <w:tcW w:w="1177" w:type="dxa"/>
            <w:vAlign w:val="center"/>
          </w:tcPr>
          <w:p w14:paraId="70DAD554" w14:textId="77777777" w:rsidR="009A0A63" w:rsidRPr="00792B36" w:rsidRDefault="009A0A63" w:rsidP="00A24459">
            <w:pPr>
              <w:contextualSpacing/>
              <w:jc w:val="center"/>
              <w:rPr>
                <w:sz w:val="24"/>
                <w:szCs w:val="24"/>
              </w:rPr>
            </w:pPr>
            <w:r w:rsidRPr="00792B36">
              <w:rPr>
                <w:color w:val="000000"/>
                <w:sz w:val="24"/>
                <w:szCs w:val="24"/>
              </w:rPr>
              <w:t>173.52</w:t>
            </w:r>
          </w:p>
        </w:tc>
        <w:tc>
          <w:tcPr>
            <w:tcW w:w="1095" w:type="dxa"/>
            <w:vAlign w:val="center"/>
          </w:tcPr>
          <w:p w14:paraId="1636E058" w14:textId="77777777" w:rsidR="009A0A63" w:rsidRPr="00792B36" w:rsidRDefault="009A0A63" w:rsidP="00A24459">
            <w:pPr>
              <w:contextualSpacing/>
              <w:jc w:val="center"/>
              <w:rPr>
                <w:sz w:val="24"/>
                <w:szCs w:val="24"/>
              </w:rPr>
            </w:pPr>
            <w:r w:rsidRPr="00792B36">
              <w:rPr>
                <w:color w:val="000000"/>
                <w:sz w:val="24"/>
                <w:szCs w:val="24"/>
              </w:rPr>
              <w:t>518.38</w:t>
            </w:r>
          </w:p>
        </w:tc>
        <w:tc>
          <w:tcPr>
            <w:tcW w:w="987" w:type="dxa"/>
            <w:vAlign w:val="center"/>
          </w:tcPr>
          <w:p w14:paraId="524947F0" w14:textId="77777777" w:rsidR="009A0A63" w:rsidRPr="00792B36" w:rsidRDefault="009A0A63" w:rsidP="00A24459">
            <w:pPr>
              <w:contextualSpacing/>
              <w:jc w:val="center"/>
              <w:rPr>
                <w:sz w:val="24"/>
                <w:szCs w:val="24"/>
              </w:rPr>
            </w:pPr>
            <w:r w:rsidRPr="00792B36">
              <w:rPr>
                <w:color w:val="000000"/>
                <w:sz w:val="24"/>
                <w:szCs w:val="24"/>
              </w:rPr>
              <w:t>1,150.36</w:t>
            </w:r>
          </w:p>
        </w:tc>
        <w:tc>
          <w:tcPr>
            <w:tcW w:w="1080" w:type="dxa"/>
            <w:vAlign w:val="center"/>
          </w:tcPr>
          <w:p w14:paraId="6059B653" w14:textId="77777777" w:rsidR="009A0A63" w:rsidRPr="00792B36" w:rsidRDefault="009A0A63" w:rsidP="00A24459">
            <w:pPr>
              <w:contextualSpacing/>
              <w:jc w:val="center"/>
              <w:rPr>
                <w:sz w:val="24"/>
                <w:szCs w:val="24"/>
              </w:rPr>
            </w:pPr>
            <w:r w:rsidRPr="00792B36">
              <w:rPr>
                <w:color w:val="000000"/>
                <w:sz w:val="24"/>
                <w:szCs w:val="24"/>
              </w:rPr>
              <w:t>1,822.34</w:t>
            </w:r>
          </w:p>
        </w:tc>
        <w:tc>
          <w:tcPr>
            <w:tcW w:w="1177" w:type="dxa"/>
            <w:vAlign w:val="center"/>
          </w:tcPr>
          <w:p w14:paraId="6CB47CD2" w14:textId="77777777" w:rsidR="009A0A63" w:rsidRPr="00792B36" w:rsidRDefault="009A0A63" w:rsidP="00A24459">
            <w:pPr>
              <w:contextualSpacing/>
              <w:jc w:val="center"/>
              <w:rPr>
                <w:sz w:val="24"/>
                <w:szCs w:val="24"/>
              </w:rPr>
            </w:pPr>
            <w:r w:rsidRPr="00792B36">
              <w:rPr>
                <w:color w:val="000000"/>
                <w:sz w:val="24"/>
                <w:szCs w:val="24"/>
              </w:rPr>
              <w:t>531.20</w:t>
            </w:r>
          </w:p>
        </w:tc>
        <w:tc>
          <w:tcPr>
            <w:tcW w:w="1027" w:type="dxa"/>
            <w:vAlign w:val="center"/>
          </w:tcPr>
          <w:p w14:paraId="632568FE" w14:textId="77777777" w:rsidR="009A0A63" w:rsidRPr="00792B36" w:rsidRDefault="009A0A63" w:rsidP="00A24459">
            <w:pPr>
              <w:contextualSpacing/>
              <w:jc w:val="center"/>
              <w:rPr>
                <w:sz w:val="24"/>
                <w:szCs w:val="24"/>
              </w:rPr>
            </w:pPr>
            <w:r w:rsidRPr="00792B36">
              <w:rPr>
                <w:color w:val="000000"/>
                <w:sz w:val="24"/>
                <w:szCs w:val="24"/>
              </w:rPr>
              <w:t>843.99</w:t>
            </w:r>
          </w:p>
        </w:tc>
        <w:tc>
          <w:tcPr>
            <w:tcW w:w="957" w:type="dxa"/>
            <w:vAlign w:val="center"/>
          </w:tcPr>
          <w:p w14:paraId="2D39B6E9" w14:textId="77777777" w:rsidR="009A0A63" w:rsidRPr="00792B36" w:rsidRDefault="009A0A63" w:rsidP="00A24459">
            <w:pPr>
              <w:contextualSpacing/>
              <w:jc w:val="center"/>
              <w:rPr>
                <w:sz w:val="24"/>
                <w:szCs w:val="24"/>
              </w:rPr>
            </w:pPr>
            <w:r w:rsidRPr="00792B36">
              <w:rPr>
                <w:color w:val="000000"/>
                <w:sz w:val="24"/>
                <w:szCs w:val="24"/>
              </w:rPr>
              <w:t>1,372.94</w:t>
            </w:r>
          </w:p>
        </w:tc>
        <w:tc>
          <w:tcPr>
            <w:tcW w:w="900" w:type="dxa"/>
            <w:vAlign w:val="center"/>
          </w:tcPr>
          <w:p w14:paraId="1A2ACBEF" w14:textId="77777777" w:rsidR="009A0A63" w:rsidRPr="00792B36" w:rsidRDefault="009A0A63" w:rsidP="00A24459">
            <w:pPr>
              <w:contextualSpacing/>
              <w:jc w:val="center"/>
              <w:rPr>
                <w:sz w:val="24"/>
                <w:szCs w:val="24"/>
              </w:rPr>
            </w:pPr>
            <w:r w:rsidRPr="00792B36">
              <w:rPr>
                <w:color w:val="000000"/>
                <w:sz w:val="24"/>
                <w:szCs w:val="24"/>
              </w:rPr>
              <w:t>2,745.41</w:t>
            </w:r>
          </w:p>
        </w:tc>
      </w:tr>
      <w:tr w:rsidR="009A0A63" w:rsidRPr="00792B36" w14:paraId="7A0926C6" w14:textId="77777777" w:rsidTr="00A24459">
        <w:trPr>
          <w:trHeight w:val="340"/>
        </w:trPr>
        <w:tc>
          <w:tcPr>
            <w:tcW w:w="617" w:type="dxa"/>
            <w:vAlign w:val="center"/>
          </w:tcPr>
          <w:p w14:paraId="486F6B25" w14:textId="77777777" w:rsidR="009A0A63" w:rsidRPr="00792B36" w:rsidRDefault="009A0A63" w:rsidP="00A24459">
            <w:pPr>
              <w:contextualSpacing/>
              <w:jc w:val="center"/>
              <w:rPr>
                <w:sz w:val="24"/>
                <w:szCs w:val="24"/>
              </w:rPr>
            </w:pPr>
            <w:r w:rsidRPr="00792B36">
              <w:rPr>
                <w:b/>
                <w:bCs/>
                <w:color w:val="000000"/>
                <w:sz w:val="24"/>
                <w:szCs w:val="24"/>
              </w:rPr>
              <w:t>2016</w:t>
            </w:r>
          </w:p>
        </w:tc>
        <w:tc>
          <w:tcPr>
            <w:tcW w:w="1177" w:type="dxa"/>
            <w:vAlign w:val="center"/>
          </w:tcPr>
          <w:p w14:paraId="756E3AFD" w14:textId="77777777" w:rsidR="009A0A63" w:rsidRPr="00792B36" w:rsidRDefault="009A0A63" w:rsidP="00A24459">
            <w:pPr>
              <w:contextualSpacing/>
              <w:jc w:val="center"/>
              <w:rPr>
                <w:sz w:val="24"/>
                <w:szCs w:val="24"/>
              </w:rPr>
            </w:pPr>
            <w:r w:rsidRPr="00792B36">
              <w:rPr>
                <w:color w:val="000000"/>
                <w:sz w:val="24"/>
                <w:szCs w:val="24"/>
              </w:rPr>
              <w:t>172.69</w:t>
            </w:r>
          </w:p>
        </w:tc>
        <w:tc>
          <w:tcPr>
            <w:tcW w:w="1095" w:type="dxa"/>
            <w:vAlign w:val="center"/>
          </w:tcPr>
          <w:p w14:paraId="20D9DFDE" w14:textId="77777777" w:rsidR="009A0A63" w:rsidRPr="00792B36" w:rsidRDefault="009A0A63" w:rsidP="00A24459">
            <w:pPr>
              <w:contextualSpacing/>
              <w:jc w:val="center"/>
              <w:rPr>
                <w:sz w:val="24"/>
                <w:szCs w:val="24"/>
              </w:rPr>
            </w:pPr>
            <w:r w:rsidRPr="00792B36">
              <w:rPr>
                <w:color w:val="000000"/>
                <w:sz w:val="24"/>
                <w:szCs w:val="24"/>
              </w:rPr>
              <w:t>533.36</w:t>
            </w:r>
          </w:p>
        </w:tc>
        <w:tc>
          <w:tcPr>
            <w:tcW w:w="987" w:type="dxa"/>
            <w:vAlign w:val="center"/>
          </w:tcPr>
          <w:p w14:paraId="616E06F6" w14:textId="77777777" w:rsidR="009A0A63" w:rsidRPr="00792B36" w:rsidRDefault="009A0A63" w:rsidP="00A24459">
            <w:pPr>
              <w:contextualSpacing/>
              <w:jc w:val="center"/>
              <w:rPr>
                <w:sz w:val="24"/>
                <w:szCs w:val="24"/>
              </w:rPr>
            </w:pPr>
            <w:r w:rsidRPr="00792B36">
              <w:rPr>
                <w:color w:val="000000"/>
                <w:sz w:val="24"/>
                <w:szCs w:val="24"/>
              </w:rPr>
              <w:t>1,151.03</w:t>
            </w:r>
          </w:p>
        </w:tc>
        <w:tc>
          <w:tcPr>
            <w:tcW w:w="1080" w:type="dxa"/>
            <w:vAlign w:val="center"/>
          </w:tcPr>
          <w:p w14:paraId="550DF7DD" w14:textId="77777777" w:rsidR="009A0A63" w:rsidRPr="00792B36" w:rsidRDefault="009A0A63" w:rsidP="00A24459">
            <w:pPr>
              <w:contextualSpacing/>
              <w:jc w:val="center"/>
              <w:rPr>
                <w:sz w:val="24"/>
                <w:szCs w:val="24"/>
              </w:rPr>
            </w:pPr>
            <w:r w:rsidRPr="00792B36">
              <w:rPr>
                <w:color w:val="000000"/>
                <w:sz w:val="24"/>
                <w:szCs w:val="24"/>
              </w:rPr>
              <w:t>1,836.99</w:t>
            </w:r>
          </w:p>
        </w:tc>
        <w:tc>
          <w:tcPr>
            <w:tcW w:w="1177" w:type="dxa"/>
            <w:vAlign w:val="center"/>
          </w:tcPr>
          <w:p w14:paraId="13EAB3BA" w14:textId="77777777" w:rsidR="009A0A63" w:rsidRPr="00792B36" w:rsidRDefault="009A0A63" w:rsidP="00A24459">
            <w:pPr>
              <w:contextualSpacing/>
              <w:jc w:val="center"/>
              <w:rPr>
                <w:sz w:val="24"/>
                <w:szCs w:val="24"/>
              </w:rPr>
            </w:pPr>
            <w:r w:rsidRPr="00792B36">
              <w:rPr>
                <w:color w:val="000000"/>
                <w:sz w:val="24"/>
                <w:szCs w:val="24"/>
              </w:rPr>
              <w:t>518.04</w:t>
            </w:r>
          </w:p>
        </w:tc>
        <w:tc>
          <w:tcPr>
            <w:tcW w:w="1027" w:type="dxa"/>
            <w:vAlign w:val="center"/>
          </w:tcPr>
          <w:p w14:paraId="2DFDA343" w14:textId="77777777" w:rsidR="009A0A63" w:rsidRPr="00792B36" w:rsidRDefault="009A0A63" w:rsidP="00A24459">
            <w:pPr>
              <w:contextualSpacing/>
              <w:jc w:val="center"/>
              <w:rPr>
                <w:sz w:val="24"/>
                <w:szCs w:val="24"/>
              </w:rPr>
            </w:pPr>
            <w:r w:rsidRPr="00792B36">
              <w:rPr>
                <w:color w:val="000000"/>
                <w:sz w:val="24"/>
                <w:szCs w:val="24"/>
              </w:rPr>
              <w:t>901.26</w:t>
            </w:r>
          </w:p>
        </w:tc>
        <w:tc>
          <w:tcPr>
            <w:tcW w:w="957" w:type="dxa"/>
            <w:vAlign w:val="center"/>
          </w:tcPr>
          <w:p w14:paraId="766D201F" w14:textId="77777777" w:rsidR="009A0A63" w:rsidRPr="00792B36" w:rsidRDefault="009A0A63" w:rsidP="00A24459">
            <w:pPr>
              <w:contextualSpacing/>
              <w:jc w:val="center"/>
              <w:rPr>
                <w:sz w:val="24"/>
                <w:szCs w:val="24"/>
              </w:rPr>
            </w:pPr>
            <w:r w:rsidRPr="00792B36">
              <w:rPr>
                <w:color w:val="000000"/>
                <w:sz w:val="24"/>
                <w:szCs w:val="24"/>
              </w:rPr>
              <w:t>1,413.99</w:t>
            </w:r>
          </w:p>
        </w:tc>
        <w:tc>
          <w:tcPr>
            <w:tcW w:w="900" w:type="dxa"/>
            <w:vAlign w:val="center"/>
          </w:tcPr>
          <w:p w14:paraId="53763CD9" w14:textId="77777777" w:rsidR="009A0A63" w:rsidRPr="00792B36" w:rsidRDefault="009A0A63" w:rsidP="00A24459">
            <w:pPr>
              <w:contextualSpacing/>
              <w:jc w:val="center"/>
              <w:rPr>
                <w:sz w:val="24"/>
                <w:szCs w:val="24"/>
              </w:rPr>
            </w:pPr>
            <w:r w:rsidRPr="00792B36">
              <w:rPr>
                <w:color w:val="000000"/>
                <w:sz w:val="24"/>
                <w:szCs w:val="24"/>
              </w:rPr>
              <w:t>2,831.49</w:t>
            </w:r>
          </w:p>
        </w:tc>
      </w:tr>
      <w:tr w:rsidR="009A0A63" w:rsidRPr="00792B36" w14:paraId="39FF3DF9" w14:textId="77777777" w:rsidTr="00A24459">
        <w:trPr>
          <w:trHeight w:val="340"/>
        </w:trPr>
        <w:tc>
          <w:tcPr>
            <w:tcW w:w="617" w:type="dxa"/>
            <w:vAlign w:val="center"/>
          </w:tcPr>
          <w:p w14:paraId="4C2160E1" w14:textId="77777777" w:rsidR="009A0A63" w:rsidRPr="00792B36" w:rsidRDefault="009A0A63" w:rsidP="00A24459">
            <w:pPr>
              <w:contextualSpacing/>
              <w:jc w:val="center"/>
              <w:rPr>
                <w:sz w:val="24"/>
                <w:szCs w:val="24"/>
              </w:rPr>
            </w:pPr>
            <w:r w:rsidRPr="00792B36">
              <w:rPr>
                <w:b/>
                <w:bCs/>
                <w:color w:val="000000"/>
                <w:sz w:val="24"/>
                <w:szCs w:val="24"/>
              </w:rPr>
              <w:t>2017</w:t>
            </w:r>
          </w:p>
        </w:tc>
        <w:tc>
          <w:tcPr>
            <w:tcW w:w="1177" w:type="dxa"/>
            <w:vAlign w:val="center"/>
          </w:tcPr>
          <w:p w14:paraId="378E879B" w14:textId="77777777" w:rsidR="009A0A63" w:rsidRPr="00792B36" w:rsidRDefault="009A0A63" w:rsidP="00A24459">
            <w:pPr>
              <w:contextualSpacing/>
              <w:jc w:val="center"/>
              <w:rPr>
                <w:sz w:val="24"/>
                <w:szCs w:val="24"/>
              </w:rPr>
            </w:pPr>
            <w:r w:rsidRPr="00792B36">
              <w:rPr>
                <w:color w:val="000000"/>
                <w:sz w:val="24"/>
                <w:szCs w:val="24"/>
              </w:rPr>
              <w:t>178.55</w:t>
            </w:r>
          </w:p>
        </w:tc>
        <w:tc>
          <w:tcPr>
            <w:tcW w:w="1095" w:type="dxa"/>
            <w:vAlign w:val="center"/>
          </w:tcPr>
          <w:p w14:paraId="71F5266A" w14:textId="77777777" w:rsidR="009A0A63" w:rsidRPr="00792B36" w:rsidRDefault="009A0A63" w:rsidP="00A24459">
            <w:pPr>
              <w:contextualSpacing/>
              <w:jc w:val="center"/>
              <w:rPr>
                <w:sz w:val="24"/>
                <w:szCs w:val="24"/>
              </w:rPr>
            </w:pPr>
            <w:r w:rsidRPr="00792B36">
              <w:rPr>
                <w:color w:val="000000"/>
                <w:sz w:val="24"/>
                <w:szCs w:val="24"/>
              </w:rPr>
              <w:t>622.23</w:t>
            </w:r>
          </w:p>
        </w:tc>
        <w:tc>
          <w:tcPr>
            <w:tcW w:w="987" w:type="dxa"/>
            <w:vAlign w:val="center"/>
          </w:tcPr>
          <w:p w14:paraId="64CF99EE" w14:textId="77777777" w:rsidR="009A0A63" w:rsidRPr="00792B36" w:rsidRDefault="009A0A63" w:rsidP="00A24459">
            <w:pPr>
              <w:contextualSpacing/>
              <w:jc w:val="center"/>
              <w:rPr>
                <w:sz w:val="24"/>
                <w:szCs w:val="24"/>
              </w:rPr>
            </w:pPr>
            <w:r w:rsidRPr="00792B36">
              <w:rPr>
                <w:color w:val="000000"/>
                <w:sz w:val="24"/>
                <w:szCs w:val="24"/>
              </w:rPr>
              <w:t>1,208.66</w:t>
            </w:r>
          </w:p>
        </w:tc>
        <w:tc>
          <w:tcPr>
            <w:tcW w:w="1080" w:type="dxa"/>
            <w:vAlign w:val="center"/>
          </w:tcPr>
          <w:p w14:paraId="0B512F2F" w14:textId="77777777" w:rsidR="009A0A63" w:rsidRPr="00792B36" w:rsidRDefault="009A0A63" w:rsidP="00A24459">
            <w:pPr>
              <w:contextualSpacing/>
              <w:jc w:val="center"/>
              <w:rPr>
                <w:sz w:val="24"/>
                <w:szCs w:val="24"/>
              </w:rPr>
            </w:pPr>
            <w:r w:rsidRPr="00792B36">
              <w:rPr>
                <w:color w:val="000000"/>
                <w:sz w:val="24"/>
                <w:szCs w:val="24"/>
              </w:rPr>
              <w:t>1,987.29</w:t>
            </w:r>
          </w:p>
        </w:tc>
        <w:tc>
          <w:tcPr>
            <w:tcW w:w="1177" w:type="dxa"/>
            <w:vAlign w:val="center"/>
          </w:tcPr>
          <w:p w14:paraId="448BCAE2" w14:textId="77777777" w:rsidR="009A0A63" w:rsidRPr="00792B36" w:rsidRDefault="009A0A63" w:rsidP="00A24459">
            <w:pPr>
              <w:contextualSpacing/>
              <w:jc w:val="center"/>
              <w:rPr>
                <w:sz w:val="24"/>
                <w:szCs w:val="24"/>
              </w:rPr>
            </w:pPr>
            <w:r w:rsidRPr="00792B36">
              <w:rPr>
                <w:color w:val="000000"/>
                <w:sz w:val="24"/>
                <w:szCs w:val="24"/>
              </w:rPr>
              <w:t>629.92</w:t>
            </w:r>
          </w:p>
        </w:tc>
        <w:tc>
          <w:tcPr>
            <w:tcW w:w="1027" w:type="dxa"/>
            <w:vAlign w:val="center"/>
          </w:tcPr>
          <w:p w14:paraId="41F30B68" w14:textId="77777777" w:rsidR="009A0A63" w:rsidRPr="00792B36" w:rsidRDefault="009A0A63" w:rsidP="00A24459">
            <w:pPr>
              <w:contextualSpacing/>
              <w:jc w:val="center"/>
              <w:rPr>
                <w:sz w:val="24"/>
                <w:szCs w:val="24"/>
              </w:rPr>
            </w:pPr>
            <w:r w:rsidRPr="00792B36">
              <w:rPr>
                <w:color w:val="000000"/>
                <w:sz w:val="24"/>
                <w:szCs w:val="24"/>
              </w:rPr>
              <w:t>985.49</w:t>
            </w:r>
          </w:p>
        </w:tc>
        <w:tc>
          <w:tcPr>
            <w:tcW w:w="957" w:type="dxa"/>
            <w:vAlign w:val="center"/>
          </w:tcPr>
          <w:p w14:paraId="24095D50" w14:textId="77777777" w:rsidR="009A0A63" w:rsidRPr="00792B36" w:rsidRDefault="009A0A63" w:rsidP="00A24459">
            <w:pPr>
              <w:contextualSpacing/>
              <w:jc w:val="center"/>
              <w:rPr>
                <w:sz w:val="24"/>
                <w:szCs w:val="24"/>
              </w:rPr>
            </w:pPr>
            <w:r w:rsidRPr="00792B36">
              <w:rPr>
                <w:color w:val="000000"/>
                <w:sz w:val="24"/>
                <w:szCs w:val="24"/>
              </w:rPr>
              <w:t>1,500.62</w:t>
            </w:r>
          </w:p>
        </w:tc>
        <w:tc>
          <w:tcPr>
            <w:tcW w:w="900" w:type="dxa"/>
            <w:vAlign w:val="center"/>
          </w:tcPr>
          <w:p w14:paraId="164D9950" w14:textId="77777777" w:rsidR="009A0A63" w:rsidRPr="00792B36" w:rsidRDefault="009A0A63" w:rsidP="00A24459">
            <w:pPr>
              <w:contextualSpacing/>
              <w:jc w:val="center"/>
              <w:rPr>
                <w:sz w:val="24"/>
                <w:szCs w:val="24"/>
              </w:rPr>
            </w:pPr>
            <w:r w:rsidRPr="00792B36">
              <w:rPr>
                <w:color w:val="000000"/>
                <w:sz w:val="24"/>
                <w:szCs w:val="24"/>
              </w:rPr>
              <w:t>3,117.08</w:t>
            </w:r>
          </w:p>
        </w:tc>
      </w:tr>
      <w:tr w:rsidR="009A0A63" w:rsidRPr="00792B36" w14:paraId="74A7882F" w14:textId="77777777" w:rsidTr="00A24459">
        <w:trPr>
          <w:trHeight w:val="340"/>
        </w:trPr>
        <w:tc>
          <w:tcPr>
            <w:tcW w:w="617" w:type="dxa"/>
            <w:vAlign w:val="center"/>
          </w:tcPr>
          <w:p w14:paraId="0FF93DDF" w14:textId="77777777" w:rsidR="009A0A63" w:rsidRPr="00792B36" w:rsidRDefault="009A0A63" w:rsidP="00A24459">
            <w:pPr>
              <w:contextualSpacing/>
              <w:jc w:val="center"/>
              <w:rPr>
                <w:sz w:val="24"/>
                <w:szCs w:val="24"/>
              </w:rPr>
            </w:pPr>
            <w:r w:rsidRPr="00792B36">
              <w:rPr>
                <w:b/>
                <w:bCs/>
                <w:color w:val="000000"/>
                <w:sz w:val="24"/>
                <w:szCs w:val="24"/>
              </w:rPr>
              <w:t>2018</w:t>
            </w:r>
          </w:p>
        </w:tc>
        <w:tc>
          <w:tcPr>
            <w:tcW w:w="1177" w:type="dxa"/>
            <w:vAlign w:val="center"/>
          </w:tcPr>
          <w:p w14:paraId="67C74144" w14:textId="77777777" w:rsidR="009A0A63" w:rsidRPr="00792B36" w:rsidRDefault="009A0A63" w:rsidP="00A24459">
            <w:pPr>
              <w:contextualSpacing/>
              <w:jc w:val="center"/>
              <w:rPr>
                <w:sz w:val="24"/>
                <w:szCs w:val="24"/>
              </w:rPr>
            </w:pPr>
            <w:r w:rsidRPr="00792B36">
              <w:rPr>
                <w:color w:val="000000"/>
                <w:sz w:val="24"/>
                <w:szCs w:val="24"/>
              </w:rPr>
              <w:t>204.97</w:t>
            </w:r>
          </w:p>
        </w:tc>
        <w:tc>
          <w:tcPr>
            <w:tcW w:w="1095" w:type="dxa"/>
            <w:vAlign w:val="center"/>
          </w:tcPr>
          <w:p w14:paraId="621FC2D0" w14:textId="77777777" w:rsidR="009A0A63" w:rsidRPr="00792B36" w:rsidRDefault="009A0A63" w:rsidP="00A24459">
            <w:pPr>
              <w:contextualSpacing/>
              <w:jc w:val="center"/>
              <w:rPr>
                <w:sz w:val="24"/>
                <w:szCs w:val="24"/>
              </w:rPr>
            </w:pPr>
            <w:r w:rsidRPr="00792B36">
              <w:rPr>
                <w:color w:val="000000"/>
                <w:sz w:val="24"/>
                <w:szCs w:val="24"/>
              </w:rPr>
              <w:t>560.22</w:t>
            </w:r>
          </w:p>
        </w:tc>
        <w:tc>
          <w:tcPr>
            <w:tcW w:w="987" w:type="dxa"/>
            <w:vAlign w:val="center"/>
          </w:tcPr>
          <w:p w14:paraId="7781A217" w14:textId="77777777" w:rsidR="009A0A63" w:rsidRPr="00792B36" w:rsidRDefault="009A0A63" w:rsidP="00A24459">
            <w:pPr>
              <w:contextualSpacing/>
              <w:jc w:val="center"/>
              <w:rPr>
                <w:sz w:val="24"/>
                <w:szCs w:val="24"/>
              </w:rPr>
            </w:pPr>
            <w:r w:rsidRPr="00792B36">
              <w:rPr>
                <w:color w:val="000000"/>
                <w:sz w:val="24"/>
                <w:szCs w:val="24"/>
              </w:rPr>
              <w:t>1,274.93</w:t>
            </w:r>
          </w:p>
        </w:tc>
        <w:tc>
          <w:tcPr>
            <w:tcW w:w="1080" w:type="dxa"/>
            <w:vAlign w:val="center"/>
          </w:tcPr>
          <w:p w14:paraId="43344836" w14:textId="77777777" w:rsidR="009A0A63" w:rsidRPr="00792B36" w:rsidRDefault="009A0A63" w:rsidP="00A24459">
            <w:pPr>
              <w:contextualSpacing/>
              <w:jc w:val="center"/>
              <w:rPr>
                <w:sz w:val="24"/>
                <w:szCs w:val="24"/>
              </w:rPr>
            </w:pPr>
            <w:r w:rsidRPr="00792B36">
              <w:rPr>
                <w:color w:val="000000"/>
                <w:sz w:val="24"/>
                <w:szCs w:val="24"/>
              </w:rPr>
              <w:t>2,020.30</w:t>
            </w:r>
          </w:p>
        </w:tc>
        <w:tc>
          <w:tcPr>
            <w:tcW w:w="1177" w:type="dxa"/>
            <w:vAlign w:val="center"/>
          </w:tcPr>
          <w:p w14:paraId="47C32332" w14:textId="77777777" w:rsidR="009A0A63" w:rsidRPr="00792B36" w:rsidRDefault="009A0A63" w:rsidP="00A24459">
            <w:pPr>
              <w:contextualSpacing/>
              <w:jc w:val="center"/>
              <w:rPr>
                <w:sz w:val="24"/>
                <w:szCs w:val="24"/>
              </w:rPr>
            </w:pPr>
            <w:r w:rsidRPr="00792B36">
              <w:rPr>
                <w:color w:val="000000"/>
                <w:sz w:val="24"/>
                <w:szCs w:val="24"/>
              </w:rPr>
              <w:t>731.97</w:t>
            </w:r>
          </w:p>
        </w:tc>
        <w:tc>
          <w:tcPr>
            <w:tcW w:w="1027" w:type="dxa"/>
            <w:vAlign w:val="center"/>
          </w:tcPr>
          <w:p w14:paraId="242A1E5E" w14:textId="77777777" w:rsidR="009A0A63" w:rsidRPr="00792B36" w:rsidRDefault="009A0A63" w:rsidP="00A24459">
            <w:pPr>
              <w:contextualSpacing/>
              <w:jc w:val="center"/>
              <w:rPr>
                <w:sz w:val="24"/>
                <w:szCs w:val="24"/>
              </w:rPr>
            </w:pPr>
            <w:r w:rsidRPr="00792B36">
              <w:rPr>
                <w:color w:val="000000"/>
                <w:sz w:val="24"/>
                <w:szCs w:val="24"/>
              </w:rPr>
              <w:t>971.31</w:t>
            </w:r>
          </w:p>
        </w:tc>
        <w:tc>
          <w:tcPr>
            <w:tcW w:w="957" w:type="dxa"/>
            <w:vAlign w:val="center"/>
          </w:tcPr>
          <w:p w14:paraId="7EDBB085" w14:textId="77777777" w:rsidR="009A0A63" w:rsidRPr="00792B36" w:rsidRDefault="009A0A63" w:rsidP="00A24459">
            <w:pPr>
              <w:contextualSpacing/>
              <w:jc w:val="center"/>
              <w:rPr>
                <w:sz w:val="24"/>
                <w:szCs w:val="24"/>
              </w:rPr>
            </w:pPr>
            <w:r w:rsidRPr="00792B36">
              <w:rPr>
                <w:color w:val="000000"/>
                <w:sz w:val="24"/>
                <w:szCs w:val="24"/>
              </w:rPr>
              <w:t>1,575.23</w:t>
            </w:r>
          </w:p>
        </w:tc>
        <w:tc>
          <w:tcPr>
            <w:tcW w:w="900" w:type="dxa"/>
            <w:vAlign w:val="center"/>
          </w:tcPr>
          <w:p w14:paraId="4D0FDD3F" w14:textId="77777777" w:rsidR="009A0A63" w:rsidRPr="00792B36" w:rsidRDefault="009A0A63" w:rsidP="00A24459">
            <w:pPr>
              <w:contextualSpacing/>
              <w:jc w:val="center"/>
              <w:rPr>
                <w:sz w:val="24"/>
                <w:szCs w:val="24"/>
              </w:rPr>
            </w:pPr>
            <w:r w:rsidRPr="00792B36">
              <w:rPr>
                <w:color w:val="000000"/>
                <w:sz w:val="24"/>
                <w:szCs w:val="24"/>
              </w:rPr>
              <w:t>3,283.51</w:t>
            </w:r>
          </w:p>
        </w:tc>
      </w:tr>
    </w:tbl>
    <w:p w14:paraId="5A206C28" w14:textId="77777777" w:rsidR="009A0A63" w:rsidRPr="00792B36" w:rsidRDefault="009A0A63" w:rsidP="009A0A63">
      <w:pPr>
        <w:spacing w:line="360" w:lineRule="auto"/>
        <w:rPr>
          <w:sz w:val="24"/>
          <w:szCs w:val="24"/>
        </w:rPr>
      </w:pPr>
    </w:p>
    <w:p w14:paraId="28E228C1" w14:textId="77777777" w:rsidR="009A0A63" w:rsidRPr="00792B36" w:rsidRDefault="009A0A63" w:rsidP="009A0A63">
      <w:pPr>
        <w:spacing w:line="360" w:lineRule="auto"/>
        <w:contextualSpacing/>
        <w:rPr>
          <w:color w:val="000000" w:themeColor="text1"/>
          <w:sz w:val="24"/>
          <w:szCs w:val="24"/>
        </w:rPr>
      </w:pPr>
      <w:r w:rsidRPr="00792B36">
        <w:rPr>
          <w:b/>
          <w:bCs/>
          <w:sz w:val="24"/>
          <w:szCs w:val="24"/>
        </w:rPr>
        <w:t xml:space="preserve">Annex 2.12 </w:t>
      </w:r>
      <w:r w:rsidRPr="00792B36">
        <w:rPr>
          <w:color w:val="000000" w:themeColor="text1"/>
          <w:sz w:val="24"/>
          <w:szCs w:val="24"/>
        </w:rPr>
        <w:t>Cont.</w:t>
      </w:r>
    </w:p>
    <w:tbl>
      <w:tblPr>
        <w:tblStyle w:val="TableGrid"/>
        <w:tblW w:w="0" w:type="auto"/>
        <w:tblLook w:val="04A0" w:firstRow="1" w:lastRow="0" w:firstColumn="1" w:lastColumn="0" w:noHBand="0" w:noVBand="1"/>
      </w:tblPr>
      <w:tblGrid>
        <w:gridCol w:w="631"/>
        <w:gridCol w:w="1211"/>
        <w:gridCol w:w="1056"/>
        <w:gridCol w:w="984"/>
        <w:gridCol w:w="942"/>
        <w:gridCol w:w="1211"/>
        <w:gridCol w:w="1056"/>
        <w:gridCol w:w="984"/>
        <w:gridCol w:w="942"/>
      </w:tblGrid>
      <w:tr w:rsidR="009A0A63" w:rsidRPr="00792B36" w14:paraId="255DFDA0" w14:textId="77777777" w:rsidTr="00A24459">
        <w:trPr>
          <w:trHeight w:val="340"/>
        </w:trPr>
        <w:tc>
          <w:tcPr>
            <w:tcW w:w="617" w:type="dxa"/>
            <w:vMerge w:val="restart"/>
            <w:vAlign w:val="center"/>
          </w:tcPr>
          <w:p w14:paraId="07422F03" w14:textId="77777777" w:rsidR="009A0A63" w:rsidRPr="00792B36" w:rsidRDefault="009A0A63" w:rsidP="00A24459">
            <w:pPr>
              <w:contextualSpacing/>
              <w:jc w:val="center"/>
              <w:rPr>
                <w:b/>
                <w:bCs/>
                <w:sz w:val="24"/>
                <w:szCs w:val="24"/>
              </w:rPr>
            </w:pPr>
            <w:r w:rsidRPr="00792B36">
              <w:rPr>
                <w:b/>
                <w:bCs/>
                <w:color w:val="000000"/>
                <w:sz w:val="24"/>
                <w:szCs w:val="24"/>
              </w:rPr>
              <w:t>Year</w:t>
            </w:r>
          </w:p>
        </w:tc>
        <w:tc>
          <w:tcPr>
            <w:tcW w:w="4339" w:type="dxa"/>
            <w:gridSpan w:val="4"/>
            <w:vAlign w:val="center"/>
          </w:tcPr>
          <w:p w14:paraId="111230BA" w14:textId="77777777" w:rsidR="009A0A63" w:rsidRPr="00792B36" w:rsidRDefault="009A0A63" w:rsidP="00A24459">
            <w:pPr>
              <w:contextualSpacing/>
              <w:jc w:val="center"/>
              <w:rPr>
                <w:b/>
                <w:bCs/>
                <w:sz w:val="24"/>
                <w:szCs w:val="24"/>
              </w:rPr>
            </w:pPr>
            <w:r w:rsidRPr="00792B36">
              <w:rPr>
                <w:b/>
                <w:bCs/>
                <w:sz w:val="24"/>
                <w:szCs w:val="24"/>
              </w:rPr>
              <w:t>Nakhon Si Thammarat</w:t>
            </w:r>
          </w:p>
        </w:tc>
        <w:tc>
          <w:tcPr>
            <w:tcW w:w="4061" w:type="dxa"/>
            <w:gridSpan w:val="4"/>
            <w:vAlign w:val="center"/>
          </w:tcPr>
          <w:p w14:paraId="01E4109D" w14:textId="77777777" w:rsidR="009A0A63" w:rsidRPr="00792B36" w:rsidRDefault="009A0A63" w:rsidP="00A24459">
            <w:pPr>
              <w:contextualSpacing/>
              <w:jc w:val="center"/>
              <w:rPr>
                <w:b/>
                <w:bCs/>
                <w:sz w:val="24"/>
                <w:szCs w:val="24"/>
              </w:rPr>
            </w:pPr>
            <w:r w:rsidRPr="00792B36">
              <w:rPr>
                <w:b/>
                <w:bCs/>
                <w:sz w:val="24"/>
                <w:szCs w:val="24"/>
              </w:rPr>
              <w:t>Sarat Thani</w:t>
            </w:r>
          </w:p>
        </w:tc>
      </w:tr>
      <w:tr w:rsidR="009A0A63" w:rsidRPr="00792B36" w14:paraId="37DFBA72" w14:textId="77777777" w:rsidTr="00A24459">
        <w:trPr>
          <w:trHeight w:val="340"/>
        </w:trPr>
        <w:tc>
          <w:tcPr>
            <w:tcW w:w="617" w:type="dxa"/>
            <w:vMerge/>
            <w:vAlign w:val="center"/>
          </w:tcPr>
          <w:p w14:paraId="21D7AB83" w14:textId="77777777" w:rsidR="009A0A63" w:rsidRPr="00792B36" w:rsidRDefault="009A0A63" w:rsidP="00A24459">
            <w:pPr>
              <w:contextualSpacing/>
              <w:jc w:val="center"/>
              <w:rPr>
                <w:b/>
                <w:bCs/>
                <w:sz w:val="24"/>
                <w:szCs w:val="24"/>
              </w:rPr>
            </w:pPr>
          </w:p>
        </w:tc>
        <w:tc>
          <w:tcPr>
            <w:tcW w:w="1177" w:type="dxa"/>
            <w:vAlign w:val="center"/>
          </w:tcPr>
          <w:p w14:paraId="69DB7689" w14:textId="77777777" w:rsidR="009A0A63" w:rsidRPr="00792B36" w:rsidRDefault="009A0A63" w:rsidP="00A24459">
            <w:pPr>
              <w:contextualSpacing/>
              <w:jc w:val="center"/>
              <w:rPr>
                <w:b/>
                <w:bCs/>
                <w:sz w:val="24"/>
                <w:szCs w:val="24"/>
              </w:rPr>
            </w:pPr>
            <w:r w:rsidRPr="00792B36">
              <w:rPr>
                <w:b/>
                <w:bCs/>
                <w:color w:val="000000"/>
                <w:sz w:val="24"/>
                <w:szCs w:val="24"/>
              </w:rPr>
              <w:t>Agriculture</w:t>
            </w:r>
          </w:p>
        </w:tc>
        <w:tc>
          <w:tcPr>
            <w:tcW w:w="1095" w:type="dxa"/>
            <w:vAlign w:val="center"/>
          </w:tcPr>
          <w:p w14:paraId="235F5D95" w14:textId="77777777" w:rsidR="009A0A63" w:rsidRPr="00792B36" w:rsidRDefault="009A0A63" w:rsidP="00A24459">
            <w:pPr>
              <w:contextualSpacing/>
              <w:jc w:val="center"/>
              <w:rPr>
                <w:b/>
                <w:bCs/>
                <w:sz w:val="24"/>
                <w:szCs w:val="24"/>
              </w:rPr>
            </w:pPr>
            <w:r w:rsidRPr="00792B36">
              <w:rPr>
                <w:b/>
                <w:bCs/>
                <w:color w:val="000000"/>
                <w:sz w:val="24"/>
                <w:szCs w:val="24"/>
              </w:rPr>
              <w:t>Industrial</w:t>
            </w:r>
          </w:p>
        </w:tc>
        <w:tc>
          <w:tcPr>
            <w:tcW w:w="987" w:type="dxa"/>
            <w:vAlign w:val="center"/>
          </w:tcPr>
          <w:p w14:paraId="1C95E19E" w14:textId="77777777" w:rsidR="009A0A63" w:rsidRPr="00792B36" w:rsidRDefault="009A0A63" w:rsidP="00A24459">
            <w:pPr>
              <w:contextualSpacing/>
              <w:jc w:val="center"/>
              <w:rPr>
                <w:b/>
                <w:bCs/>
                <w:sz w:val="24"/>
                <w:szCs w:val="24"/>
              </w:rPr>
            </w:pPr>
            <w:r w:rsidRPr="00792B36">
              <w:rPr>
                <w:b/>
                <w:bCs/>
                <w:color w:val="000000"/>
                <w:sz w:val="24"/>
                <w:szCs w:val="24"/>
              </w:rPr>
              <w:t>Services</w:t>
            </w:r>
          </w:p>
        </w:tc>
        <w:tc>
          <w:tcPr>
            <w:tcW w:w="1080" w:type="dxa"/>
            <w:vAlign w:val="center"/>
          </w:tcPr>
          <w:p w14:paraId="3CFD1EA0" w14:textId="77777777" w:rsidR="009A0A63" w:rsidRPr="00792B36" w:rsidRDefault="009A0A63" w:rsidP="00A24459">
            <w:pPr>
              <w:contextualSpacing/>
              <w:jc w:val="center"/>
              <w:rPr>
                <w:b/>
                <w:bCs/>
                <w:sz w:val="24"/>
                <w:szCs w:val="24"/>
              </w:rPr>
            </w:pPr>
            <w:r w:rsidRPr="00792B36">
              <w:rPr>
                <w:b/>
                <w:bCs/>
                <w:color w:val="000000"/>
                <w:sz w:val="24"/>
                <w:szCs w:val="24"/>
              </w:rPr>
              <w:t>GPP</w:t>
            </w:r>
          </w:p>
        </w:tc>
        <w:tc>
          <w:tcPr>
            <w:tcW w:w="1177" w:type="dxa"/>
            <w:vAlign w:val="center"/>
          </w:tcPr>
          <w:p w14:paraId="558CAAC1" w14:textId="77777777" w:rsidR="009A0A63" w:rsidRPr="00792B36" w:rsidRDefault="009A0A63" w:rsidP="00A24459">
            <w:pPr>
              <w:contextualSpacing/>
              <w:jc w:val="center"/>
              <w:rPr>
                <w:b/>
                <w:bCs/>
                <w:sz w:val="24"/>
                <w:szCs w:val="24"/>
              </w:rPr>
            </w:pPr>
            <w:r w:rsidRPr="00792B36">
              <w:rPr>
                <w:b/>
                <w:bCs/>
                <w:color w:val="000000"/>
                <w:sz w:val="24"/>
                <w:szCs w:val="24"/>
              </w:rPr>
              <w:t>Agriculture</w:t>
            </w:r>
          </w:p>
        </w:tc>
        <w:tc>
          <w:tcPr>
            <w:tcW w:w="1027" w:type="dxa"/>
            <w:vAlign w:val="center"/>
          </w:tcPr>
          <w:p w14:paraId="107F84A9" w14:textId="77777777" w:rsidR="009A0A63" w:rsidRPr="00792B36" w:rsidRDefault="009A0A63" w:rsidP="00A24459">
            <w:pPr>
              <w:contextualSpacing/>
              <w:jc w:val="center"/>
              <w:rPr>
                <w:b/>
                <w:bCs/>
                <w:sz w:val="24"/>
                <w:szCs w:val="24"/>
              </w:rPr>
            </w:pPr>
            <w:r w:rsidRPr="00792B36">
              <w:rPr>
                <w:b/>
                <w:bCs/>
                <w:color w:val="000000"/>
                <w:sz w:val="24"/>
                <w:szCs w:val="24"/>
              </w:rPr>
              <w:t>Industrial</w:t>
            </w:r>
          </w:p>
        </w:tc>
        <w:tc>
          <w:tcPr>
            <w:tcW w:w="957" w:type="dxa"/>
            <w:vAlign w:val="center"/>
          </w:tcPr>
          <w:p w14:paraId="0710F302" w14:textId="77777777" w:rsidR="009A0A63" w:rsidRPr="00792B36" w:rsidRDefault="009A0A63" w:rsidP="00A24459">
            <w:pPr>
              <w:contextualSpacing/>
              <w:jc w:val="center"/>
              <w:rPr>
                <w:b/>
                <w:bCs/>
                <w:sz w:val="24"/>
                <w:szCs w:val="24"/>
              </w:rPr>
            </w:pPr>
            <w:r w:rsidRPr="00792B36">
              <w:rPr>
                <w:b/>
                <w:bCs/>
                <w:color w:val="000000"/>
                <w:sz w:val="24"/>
                <w:szCs w:val="24"/>
              </w:rPr>
              <w:t>Services</w:t>
            </w:r>
          </w:p>
        </w:tc>
        <w:tc>
          <w:tcPr>
            <w:tcW w:w="900" w:type="dxa"/>
            <w:vAlign w:val="center"/>
          </w:tcPr>
          <w:p w14:paraId="30473C44" w14:textId="77777777" w:rsidR="009A0A63" w:rsidRPr="00792B36" w:rsidRDefault="009A0A63" w:rsidP="00A24459">
            <w:pPr>
              <w:contextualSpacing/>
              <w:jc w:val="center"/>
              <w:rPr>
                <w:b/>
                <w:bCs/>
                <w:sz w:val="24"/>
                <w:szCs w:val="24"/>
              </w:rPr>
            </w:pPr>
            <w:r w:rsidRPr="00792B36">
              <w:rPr>
                <w:b/>
                <w:bCs/>
                <w:sz w:val="24"/>
                <w:szCs w:val="24"/>
              </w:rPr>
              <w:t>GPP</w:t>
            </w:r>
          </w:p>
        </w:tc>
      </w:tr>
      <w:tr w:rsidR="009A0A63" w:rsidRPr="00792B36" w14:paraId="01AF4371" w14:textId="77777777" w:rsidTr="00A24459">
        <w:trPr>
          <w:trHeight w:val="340"/>
        </w:trPr>
        <w:tc>
          <w:tcPr>
            <w:tcW w:w="617" w:type="dxa"/>
            <w:vAlign w:val="center"/>
          </w:tcPr>
          <w:p w14:paraId="1D0074AB" w14:textId="77777777" w:rsidR="009A0A63" w:rsidRPr="00792B36" w:rsidRDefault="009A0A63" w:rsidP="00A24459">
            <w:pPr>
              <w:contextualSpacing/>
              <w:jc w:val="center"/>
              <w:rPr>
                <w:sz w:val="24"/>
                <w:szCs w:val="24"/>
              </w:rPr>
            </w:pPr>
            <w:r w:rsidRPr="00792B36">
              <w:rPr>
                <w:b/>
                <w:bCs/>
                <w:color w:val="000000"/>
                <w:sz w:val="24"/>
                <w:szCs w:val="24"/>
              </w:rPr>
              <w:t>1995</w:t>
            </w:r>
          </w:p>
        </w:tc>
        <w:tc>
          <w:tcPr>
            <w:tcW w:w="1177" w:type="dxa"/>
            <w:vAlign w:val="center"/>
          </w:tcPr>
          <w:p w14:paraId="35888203" w14:textId="77777777" w:rsidR="009A0A63" w:rsidRPr="00792B36" w:rsidRDefault="009A0A63" w:rsidP="00A24459">
            <w:pPr>
              <w:contextualSpacing/>
              <w:jc w:val="center"/>
              <w:rPr>
                <w:sz w:val="24"/>
                <w:szCs w:val="24"/>
              </w:rPr>
            </w:pPr>
            <w:r w:rsidRPr="00792B36">
              <w:rPr>
                <w:color w:val="000000"/>
                <w:sz w:val="24"/>
                <w:szCs w:val="24"/>
              </w:rPr>
              <w:t>249.98</w:t>
            </w:r>
          </w:p>
        </w:tc>
        <w:tc>
          <w:tcPr>
            <w:tcW w:w="1095" w:type="dxa"/>
            <w:vAlign w:val="center"/>
          </w:tcPr>
          <w:p w14:paraId="50F08847" w14:textId="77777777" w:rsidR="009A0A63" w:rsidRPr="00792B36" w:rsidRDefault="009A0A63" w:rsidP="00A24459">
            <w:pPr>
              <w:contextualSpacing/>
              <w:jc w:val="center"/>
              <w:rPr>
                <w:sz w:val="24"/>
                <w:szCs w:val="24"/>
              </w:rPr>
            </w:pPr>
            <w:r w:rsidRPr="00792B36">
              <w:rPr>
                <w:color w:val="000000"/>
                <w:sz w:val="24"/>
                <w:szCs w:val="24"/>
              </w:rPr>
              <w:t>225.82</w:t>
            </w:r>
          </w:p>
        </w:tc>
        <w:tc>
          <w:tcPr>
            <w:tcW w:w="987" w:type="dxa"/>
            <w:vAlign w:val="center"/>
          </w:tcPr>
          <w:p w14:paraId="36A8E7CE" w14:textId="77777777" w:rsidR="009A0A63" w:rsidRPr="00792B36" w:rsidRDefault="009A0A63" w:rsidP="00A24459">
            <w:pPr>
              <w:contextualSpacing/>
              <w:jc w:val="center"/>
              <w:rPr>
                <w:sz w:val="24"/>
                <w:szCs w:val="24"/>
              </w:rPr>
            </w:pPr>
            <w:r w:rsidRPr="00792B36">
              <w:rPr>
                <w:color w:val="000000"/>
                <w:sz w:val="24"/>
                <w:szCs w:val="24"/>
              </w:rPr>
              <w:t>508.21</w:t>
            </w:r>
          </w:p>
        </w:tc>
        <w:tc>
          <w:tcPr>
            <w:tcW w:w="1080" w:type="dxa"/>
            <w:vAlign w:val="center"/>
          </w:tcPr>
          <w:p w14:paraId="08D1A5C7" w14:textId="77777777" w:rsidR="009A0A63" w:rsidRPr="00792B36" w:rsidRDefault="009A0A63" w:rsidP="00A24459">
            <w:pPr>
              <w:contextualSpacing/>
              <w:jc w:val="center"/>
              <w:rPr>
                <w:sz w:val="24"/>
                <w:szCs w:val="24"/>
              </w:rPr>
            </w:pPr>
            <w:r w:rsidRPr="00792B36">
              <w:rPr>
                <w:color w:val="000000"/>
                <w:sz w:val="24"/>
                <w:szCs w:val="24"/>
              </w:rPr>
              <w:t>1,005.88</w:t>
            </w:r>
          </w:p>
        </w:tc>
        <w:tc>
          <w:tcPr>
            <w:tcW w:w="1177" w:type="dxa"/>
            <w:vAlign w:val="center"/>
          </w:tcPr>
          <w:p w14:paraId="6DD171E5" w14:textId="77777777" w:rsidR="009A0A63" w:rsidRPr="00792B36" w:rsidRDefault="009A0A63" w:rsidP="00A24459">
            <w:pPr>
              <w:contextualSpacing/>
              <w:jc w:val="center"/>
              <w:rPr>
                <w:sz w:val="24"/>
                <w:szCs w:val="24"/>
              </w:rPr>
            </w:pPr>
            <w:r w:rsidRPr="00792B36">
              <w:rPr>
                <w:color w:val="000000"/>
                <w:sz w:val="24"/>
                <w:szCs w:val="24"/>
              </w:rPr>
              <w:t>361.60</w:t>
            </w:r>
          </w:p>
        </w:tc>
        <w:tc>
          <w:tcPr>
            <w:tcW w:w="1027" w:type="dxa"/>
            <w:vAlign w:val="center"/>
          </w:tcPr>
          <w:p w14:paraId="170B5DA6" w14:textId="77777777" w:rsidR="009A0A63" w:rsidRPr="00792B36" w:rsidRDefault="009A0A63" w:rsidP="00A24459">
            <w:pPr>
              <w:contextualSpacing/>
              <w:jc w:val="center"/>
              <w:rPr>
                <w:sz w:val="24"/>
                <w:szCs w:val="24"/>
              </w:rPr>
            </w:pPr>
            <w:r w:rsidRPr="00792B36">
              <w:rPr>
                <w:color w:val="000000"/>
                <w:sz w:val="24"/>
                <w:szCs w:val="24"/>
              </w:rPr>
              <w:t>327.59</w:t>
            </w:r>
          </w:p>
        </w:tc>
        <w:tc>
          <w:tcPr>
            <w:tcW w:w="957" w:type="dxa"/>
            <w:vAlign w:val="center"/>
          </w:tcPr>
          <w:p w14:paraId="2A145BBC" w14:textId="77777777" w:rsidR="009A0A63" w:rsidRPr="00792B36" w:rsidRDefault="009A0A63" w:rsidP="00A24459">
            <w:pPr>
              <w:contextualSpacing/>
              <w:jc w:val="center"/>
              <w:rPr>
                <w:sz w:val="24"/>
                <w:szCs w:val="24"/>
              </w:rPr>
            </w:pPr>
            <w:r w:rsidRPr="00792B36">
              <w:rPr>
                <w:color w:val="000000"/>
                <w:sz w:val="24"/>
                <w:szCs w:val="24"/>
              </w:rPr>
              <w:t>861.75</w:t>
            </w:r>
          </w:p>
        </w:tc>
        <w:tc>
          <w:tcPr>
            <w:tcW w:w="900" w:type="dxa"/>
            <w:vAlign w:val="center"/>
          </w:tcPr>
          <w:p w14:paraId="6A0FF823" w14:textId="77777777" w:rsidR="009A0A63" w:rsidRPr="00792B36" w:rsidRDefault="009A0A63" w:rsidP="00A24459">
            <w:pPr>
              <w:contextualSpacing/>
              <w:jc w:val="center"/>
              <w:rPr>
                <w:sz w:val="24"/>
                <w:szCs w:val="24"/>
              </w:rPr>
            </w:pPr>
            <w:r w:rsidRPr="00792B36">
              <w:rPr>
                <w:color w:val="000000"/>
                <w:sz w:val="24"/>
                <w:szCs w:val="24"/>
              </w:rPr>
              <w:t>1,544.32</w:t>
            </w:r>
          </w:p>
        </w:tc>
      </w:tr>
      <w:tr w:rsidR="009A0A63" w:rsidRPr="00792B36" w14:paraId="493CFC05" w14:textId="77777777" w:rsidTr="00A24459">
        <w:trPr>
          <w:trHeight w:val="340"/>
        </w:trPr>
        <w:tc>
          <w:tcPr>
            <w:tcW w:w="617" w:type="dxa"/>
            <w:vAlign w:val="center"/>
          </w:tcPr>
          <w:p w14:paraId="3BBAE8AB" w14:textId="77777777" w:rsidR="009A0A63" w:rsidRPr="00792B36" w:rsidRDefault="009A0A63" w:rsidP="00A24459">
            <w:pPr>
              <w:contextualSpacing/>
              <w:jc w:val="center"/>
              <w:rPr>
                <w:sz w:val="24"/>
                <w:szCs w:val="24"/>
              </w:rPr>
            </w:pPr>
            <w:r w:rsidRPr="00792B36">
              <w:rPr>
                <w:b/>
                <w:bCs/>
                <w:color w:val="000000"/>
                <w:sz w:val="24"/>
                <w:szCs w:val="24"/>
              </w:rPr>
              <w:t>1996</w:t>
            </w:r>
          </w:p>
        </w:tc>
        <w:tc>
          <w:tcPr>
            <w:tcW w:w="1177" w:type="dxa"/>
            <w:vAlign w:val="center"/>
          </w:tcPr>
          <w:p w14:paraId="0C7CBED2" w14:textId="77777777" w:rsidR="009A0A63" w:rsidRPr="00792B36" w:rsidRDefault="009A0A63" w:rsidP="00A24459">
            <w:pPr>
              <w:contextualSpacing/>
              <w:jc w:val="center"/>
              <w:rPr>
                <w:sz w:val="24"/>
                <w:szCs w:val="24"/>
              </w:rPr>
            </w:pPr>
            <w:r w:rsidRPr="00792B36">
              <w:rPr>
                <w:color w:val="000000"/>
                <w:sz w:val="24"/>
                <w:szCs w:val="24"/>
              </w:rPr>
              <w:t>258.84</w:t>
            </w:r>
          </w:p>
        </w:tc>
        <w:tc>
          <w:tcPr>
            <w:tcW w:w="1095" w:type="dxa"/>
            <w:vAlign w:val="center"/>
          </w:tcPr>
          <w:p w14:paraId="28B1287A" w14:textId="77777777" w:rsidR="009A0A63" w:rsidRPr="00792B36" w:rsidRDefault="009A0A63" w:rsidP="00A24459">
            <w:pPr>
              <w:contextualSpacing/>
              <w:jc w:val="center"/>
              <w:rPr>
                <w:sz w:val="24"/>
                <w:szCs w:val="24"/>
              </w:rPr>
            </w:pPr>
            <w:r w:rsidRPr="00792B36">
              <w:rPr>
                <w:color w:val="000000"/>
                <w:sz w:val="24"/>
                <w:szCs w:val="24"/>
              </w:rPr>
              <w:t>289.61</w:t>
            </w:r>
          </w:p>
        </w:tc>
        <w:tc>
          <w:tcPr>
            <w:tcW w:w="987" w:type="dxa"/>
            <w:vAlign w:val="center"/>
          </w:tcPr>
          <w:p w14:paraId="2F6A8DEA" w14:textId="77777777" w:rsidR="009A0A63" w:rsidRPr="00792B36" w:rsidRDefault="009A0A63" w:rsidP="00A24459">
            <w:pPr>
              <w:contextualSpacing/>
              <w:jc w:val="center"/>
              <w:rPr>
                <w:sz w:val="24"/>
                <w:szCs w:val="24"/>
              </w:rPr>
            </w:pPr>
            <w:r w:rsidRPr="00792B36">
              <w:rPr>
                <w:color w:val="000000"/>
                <w:sz w:val="24"/>
                <w:szCs w:val="24"/>
              </w:rPr>
              <w:t>545.59</w:t>
            </w:r>
          </w:p>
        </w:tc>
        <w:tc>
          <w:tcPr>
            <w:tcW w:w="1080" w:type="dxa"/>
            <w:vAlign w:val="center"/>
          </w:tcPr>
          <w:p w14:paraId="25D30953" w14:textId="77777777" w:rsidR="009A0A63" w:rsidRPr="00792B36" w:rsidRDefault="009A0A63" w:rsidP="00A24459">
            <w:pPr>
              <w:contextualSpacing/>
              <w:jc w:val="center"/>
              <w:rPr>
                <w:sz w:val="24"/>
                <w:szCs w:val="24"/>
              </w:rPr>
            </w:pPr>
            <w:r w:rsidRPr="00792B36">
              <w:rPr>
                <w:color w:val="000000"/>
                <w:sz w:val="24"/>
                <w:szCs w:val="24"/>
              </w:rPr>
              <w:t>1,107.86</w:t>
            </w:r>
          </w:p>
        </w:tc>
        <w:tc>
          <w:tcPr>
            <w:tcW w:w="1177" w:type="dxa"/>
            <w:vAlign w:val="center"/>
          </w:tcPr>
          <w:p w14:paraId="2C197B49" w14:textId="77777777" w:rsidR="009A0A63" w:rsidRPr="00792B36" w:rsidRDefault="009A0A63" w:rsidP="00A24459">
            <w:pPr>
              <w:contextualSpacing/>
              <w:jc w:val="center"/>
              <w:rPr>
                <w:sz w:val="24"/>
                <w:szCs w:val="24"/>
              </w:rPr>
            </w:pPr>
            <w:r w:rsidRPr="00792B36">
              <w:rPr>
                <w:color w:val="000000"/>
                <w:sz w:val="24"/>
                <w:szCs w:val="24"/>
              </w:rPr>
              <w:t>396.86</w:t>
            </w:r>
          </w:p>
        </w:tc>
        <w:tc>
          <w:tcPr>
            <w:tcW w:w="1027" w:type="dxa"/>
            <w:vAlign w:val="center"/>
          </w:tcPr>
          <w:p w14:paraId="689B79F5" w14:textId="77777777" w:rsidR="009A0A63" w:rsidRPr="00792B36" w:rsidRDefault="009A0A63" w:rsidP="00A24459">
            <w:pPr>
              <w:contextualSpacing/>
              <w:jc w:val="center"/>
              <w:rPr>
                <w:sz w:val="24"/>
                <w:szCs w:val="24"/>
              </w:rPr>
            </w:pPr>
            <w:r w:rsidRPr="00792B36">
              <w:rPr>
                <w:color w:val="000000"/>
                <w:sz w:val="24"/>
                <w:szCs w:val="24"/>
              </w:rPr>
              <w:t>322.40</w:t>
            </w:r>
          </w:p>
        </w:tc>
        <w:tc>
          <w:tcPr>
            <w:tcW w:w="957" w:type="dxa"/>
            <w:vAlign w:val="center"/>
          </w:tcPr>
          <w:p w14:paraId="2FA28F0F" w14:textId="77777777" w:rsidR="009A0A63" w:rsidRPr="00792B36" w:rsidRDefault="009A0A63" w:rsidP="00A24459">
            <w:pPr>
              <w:contextualSpacing/>
              <w:jc w:val="center"/>
              <w:rPr>
                <w:sz w:val="24"/>
                <w:szCs w:val="24"/>
              </w:rPr>
            </w:pPr>
            <w:r w:rsidRPr="00792B36">
              <w:rPr>
                <w:color w:val="000000"/>
                <w:sz w:val="24"/>
                <w:szCs w:val="24"/>
              </w:rPr>
              <w:t>924.24</w:t>
            </w:r>
          </w:p>
        </w:tc>
        <w:tc>
          <w:tcPr>
            <w:tcW w:w="900" w:type="dxa"/>
            <w:vAlign w:val="center"/>
          </w:tcPr>
          <w:p w14:paraId="0A57113D" w14:textId="77777777" w:rsidR="009A0A63" w:rsidRPr="00792B36" w:rsidRDefault="009A0A63" w:rsidP="00A24459">
            <w:pPr>
              <w:contextualSpacing/>
              <w:jc w:val="center"/>
              <w:rPr>
                <w:sz w:val="24"/>
                <w:szCs w:val="24"/>
              </w:rPr>
            </w:pPr>
            <w:r w:rsidRPr="00792B36">
              <w:rPr>
                <w:color w:val="000000"/>
                <w:sz w:val="24"/>
                <w:szCs w:val="24"/>
              </w:rPr>
              <w:t>1,641.18</w:t>
            </w:r>
          </w:p>
        </w:tc>
      </w:tr>
      <w:tr w:rsidR="009A0A63" w:rsidRPr="00792B36" w14:paraId="3F42F21F" w14:textId="77777777" w:rsidTr="00A24459">
        <w:trPr>
          <w:trHeight w:val="340"/>
        </w:trPr>
        <w:tc>
          <w:tcPr>
            <w:tcW w:w="617" w:type="dxa"/>
            <w:vAlign w:val="center"/>
          </w:tcPr>
          <w:p w14:paraId="439D21C2" w14:textId="77777777" w:rsidR="009A0A63" w:rsidRPr="00792B36" w:rsidRDefault="009A0A63" w:rsidP="00A24459">
            <w:pPr>
              <w:contextualSpacing/>
              <w:jc w:val="center"/>
              <w:rPr>
                <w:sz w:val="24"/>
                <w:szCs w:val="24"/>
              </w:rPr>
            </w:pPr>
            <w:r w:rsidRPr="00792B36">
              <w:rPr>
                <w:b/>
                <w:bCs/>
                <w:color w:val="000000"/>
                <w:sz w:val="24"/>
                <w:szCs w:val="24"/>
              </w:rPr>
              <w:t>1997</w:t>
            </w:r>
          </w:p>
        </w:tc>
        <w:tc>
          <w:tcPr>
            <w:tcW w:w="1177" w:type="dxa"/>
            <w:vAlign w:val="center"/>
          </w:tcPr>
          <w:p w14:paraId="7E24F66D" w14:textId="77777777" w:rsidR="009A0A63" w:rsidRPr="00792B36" w:rsidRDefault="009A0A63" w:rsidP="00A24459">
            <w:pPr>
              <w:contextualSpacing/>
              <w:jc w:val="center"/>
              <w:rPr>
                <w:sz w:val="24"/>
                <w:szCs w:val="24"/>
              </w:rPr>
            </w:pPr>
            <w:r w:rsidRPr="00792B36">
              <w:rPr>
                <w:color w:val="000000"/>
                <w:sz w:val="24"/>
                <w:szCs w:val="24"/>
              </w:rPr>
              <w:t>251.57</w:t>
            </w:r>
          </w:p>
        </w:tc>
        <w:tc>
          <w:tcPr>
            <w:tcW w:w="1095" w:type="dxa"/>
            <w:vAlign w:val="center"/>
          </w:tcPr>
          <w:p w14:paraId="6B0EA377" w14:textId="77777777" w:rsidR="009A0A63" w:rsidRPr="00792B36" w:rsidRDefault="009A0A63" w:rsidP="00A24459">
            <w:pPr>
              <w:contextualSpacing/>
              <w:jc w:val="center"/>
              <w:rPr>
                <w:sz w:val="24"/>
                <w:szCs w:val="24"/>
              </w:rPr>
            </w:pPr>
            <w:r w:rsidRPr="00792B36">
              <w:rPr>
                <w:color w:val="000000"/>
                <w:sz w:val="24"/>
                <w:szCs w:val="24"/>
              </w:rPr>
              <w:t>364.71</w:t>
            </w:r>
          </w:p>
        </w:tc>
        <w:tc>
          <w:tcPr>
            <w:tcW w:w="987" w:type="dxa"/>
            <w:vAlign w:val="center"/>
          </w:tcPr>
          <w:p w14:paraId="2BA1ED6A" w14:textId="77777777" w:rsidR="009A0A63" w:rsidRPr="00792B36" w:rsidRDefault="009A0A63" w:rsidP="00A24459">
            <w:pPr>
              <w:contextualSpacing/>
              <w:jc w:val="center"/>
              <w:rPr>
                <w:sz w:val="24"/>
                <w:szCs w:val="24"/>
              </w:rPr>
            </w:pPr>
            <w:r w:rsidRPr="00792B36">
              <w:rPr>
                <w:color w:val="000000"/>
                <w:sz w:val="24"/>
                <w:szCs w:val="24"/>
              </w:rPr>
              <w:t>550.33</w:t>
            </w:r>
          </w:p>
        </w:tc>
        <w:tc>
          <w:tcPr>
            <w:tcW w:w="1080" w:type="dxa"/>
            <w:vAlign w:val="center"/>
          </w:tcPr>
          <w:p w14:paraId="7E1DC59C" w14:textId="77777777" w:rsidR="009A0A63" w:rsidRPr="00792B36" w:rsidRDefault="009A0A63" w:rsidP="00A24459">
            <w:pPr>
              <w:contextualSpacing/>
              <w:jc w:val="center"/>
              <w:rPr>
                <w:sz w:val="24"/>
                <w:szCs w:val="24"/>
              </w:rPr>
            </w:pPr>
            <w:r w:rsidRPr="00792B36">
              <w:rPr>
                <w:color w:val="000000"/>
                <w:sz w:val="24"/>
                <w:szCs w:val="24"/>
              </w:rPr>
              <w:t>1,168.41</w:t>
            </w:r>
          </w:p>
        </w:tc>
        <w:tc>
          <w:tcPr>
            <w:tcW w:w="1177" w:type="dxa"/>
            <w:vAlign w:val="center"/>
          </w:tcPr>
          <w:p w14:paraId="5732E429" w14:textId="77777777" w:rsidR="009A0A63" w:rsidRPr="00792B36" w:rsidRDefault="009A0A63" w:rsidP="00A24459">
            <w:pPr>
              <w:contextualSpacing/>
              <w:jc w:val="center"/>
              <w:rPr>
                <w:sz w:val="24"/>
                <w:szCs w:val="24"/>
              </w:rPr>
            </w:pPr>
            <w:r w:rsidRPr="00792B36">
              <w:rPr>
                <w:color w:val="000000"/>
                <w:sz w:val="24"/>
                <w:szCs w:val="24"/>
              </w:rPr>
              <w:t>361.27</w:t>
            </w:r>
          </w:p>
        </w:tc>
        <w:tc>
          <w:tcPr>
            <w:tcW w:w="1027" w:type="dxa"/>
            <w:vAlign w:val="center"/>
          </w:tcPr>
          <w:p w14:paraId="5667E7B6" w14:textId="77777777" w:rsidR="009A0A63" w:rsidRPr="00792B36" w:rsidRDefault="009A0A63" w:rsidP="00A24459">
            <w:pPr>
              <w:contextualSpacing/>
              <w:jc w:val="center"/>
              <w:rPr>
                <w:sz w:val="24"/>
                <w:szCs w:val="24"/>
              </w:rPr>
            </w:pPr>
            <w:r w:rsidRPr="00792B36">
              <w:rPr>
                <w:color w:val="000000"/>
                <w:sz w:val="24"/>
                <w:szCs w:val="24"/>
              </w:rPr>
              <w:t>343.97</w:t>
            </w:r>
          </w:p>
        </w:tc>
        <w:tc>
          <w:tcPr>
            <w:tcW w:w="957" w:type="dxa"/>
            <w:vAlign w:val="center"/>
          </w:tcPr>
          <w:p w14:paraId="6B3123C1" w14:textId="77777777" w:rsidR="009A0A63" w:rsidRPr="00792B36" w:rsidRDefault="009A0A63" w:rsidP="00A24459">
            <w:pPr>
              <w:contextualSpacing/>
              <w:jc w:val="center"/>
              <w:rPr>
                <w:sz w:val="24"/>
                <w:szCs w:val="24"/>
              </w:rPr>
            </w:pPr>
            <w:r w:rsidRPr="00792B36">
              <w:rPr>
                <w:color w:val="000000"/>
                <w:sz w:val="24"/>
                <w:szCs w:val="24"/>
              </w:rPr>
              <w:t>830.48</w:t>
            </w:r>
          </w:p>
        </w:tc>
        <w:tc>
          <w:tcPr>
            <w:tcW w:w="900" w:type="dxa"/>
            <w:vAlign w:val="center"/>
          </w:tcPr>
          <w:p w14:paraId="57359FDE" w14:textId="77777777" w:rsidR="009A0A63" w:rsidRPr="00792B36" w:rsidRDefault="009A0A63" w:rsidP="00A24459">
            <w:pPr>
              <w:contextualSpacing/>
              <w:jc w:val="center"/>
              <w:rPr>
                <w:sz w:val="24"/>
                <w:szCs w:val="24"/>
              </w:rPr>
            </w:pPr>
            <w:r w:rsidRPr="00792B36">
              <w:rPr>
                <w:color w:val="000000"/>
                <w:sz w:val="24"/>
                <w:szCs w:val="24"/>
              </w:rPr>
              <w:t>1,531.10</w:t>
            </w:r>
          </w:p>
        </w:tc>
      </w:tr>
      <w:tr w:rsidR="009A0A63" w:rsidRPr="00792B36" w14:paraId="06DA9D79" w14:textId="77777777" w:rsidTr="00A24459">
        <w:trPr>
          <w:trHeight w:val="340"/>
        </w:trPr>
        <w:tc>
          <w:tcPr>
            <w:tcW w:w="617" w:type="dxa"/>
            <w:vAlign w:val="center"/>
          </w:tcPr>
          <w:p w14:paraId="064F6D60" w14:textId="77777777" w:rsidR="009A0A63" w:rsidRPr="00792B36" w:rsidRDefault="009A0A63" w:rsidP="00A24459">
            <w:pPr>
              <w:contextualSpacing/>
              <w:jc w:val="center"/>
              <w:rPr>
                <w:sz w:val="24"/>
                <w:szCs w:val="24"/>
              </w:rPr>
            </w:pPr>
            <w:r w:rsidRPr="00792B36">
              <w:rPr>
                <w:b/>
                <w:bCs/>
                <w:color w:val="000000"/>
                <w:sz w:val="24"/>
                <w:szCs w:val="24"/>
              </w:rPr>
              <w:t>1998</w:t>
            </w:r>
          </w:p>
        </w:tc>
        <w:tc>
          <w:tcPr>
            <w:tcW w:w="1177" w:type="dxa"/>
            <w:vAlign w:val="center"/>
          </w:tcPr>
          <w:p w14:paraId="3023B4BF" w14:textId="77777777" w:rsidR="009A0A63" w:rsidRPr="00792B36" w:rsidRDefault="009A0A63" w:rsidP="00A24459">
            <w:pPr>
              <w:contextualSpacing/>
              <w:jc w:val="center"/>
              <w:rPr>
                <w:sz w:val="24"/>
                <w:szCs w:val="24"/>
              </w:rPr>
            </w:pPr>
            <w:r w:rsidRPr="00792B36">
              <w:rPr>
                <w:color w:val="000000"/>
                <w:sz w:val="24"/>
                <w:szCs w:val="24"/>
              </w:rPr>
              <w:t>264.47</w:t>
            </w:r>
          </w:p>
        </w:tc>
        <w:tc>
          <w:tcPr>
            <w:tcW w:w="1095" w:type="dxa"/>
            <w:vAlign w:val="center"/>
          </w:tcPr>
          <w:p w14:paraId="64D9D80E" w14:textId="77777777" w:rsidR="009A0A63" w:rsidRPr="00792B36" w:rsidRDefault="009A0A63" w:rsidP="00A24459">
            <w:pPr>
              <w:contextualSpacing/>
              <w:jc w:val="center"/>
              <w:rPr>
                <w:sz w:val="24"/>
                <w:szCs w:val="24"/>
              </w:rPr>
            </w:pPr>
            <w:r w:rsidRPr="00792B36">
              <w:rPr>
                <w:color w:val="000000"/>
                <w:sz w:val="24"/>
                <w:szCs w:val="24"/>
              </w:rPr>
              <w:t>320.07</w:t>
            </w:r>
          </w:p>
        </w:tc>
        <w:tc>
          <w:tcPr>
            <w:tcW w:w="987" w:type="dxa"/>
            <w:vAlign w:val="center"/>
          </w:tcPr>
          <w:p w14:paraId="144274AB" w14:textId="77777777" w:rsidR="009A0A63" w:rsidRPr="00792B36" w:rsidRDefault="009A0A63" w:rsidP="00A24459">
            <w:pPr>
              <w:contextualSpacing/>
              <w:jc w:val="center"/>
              <w:rPr>
                <w:sz w:val="24"/>
                <w:szCs w:val="24"/>
              </w:rPr>
            </w:pPr>
            <w:r w:rsidRPr="00792B36">
              <w:rPr>
                <w:color w:val="000000"/>
                <w:sz w:val="24"/>
                <w:szCs w:val="24"/>
              </w:rPr>
              <w:t>550.72</w:t>
            </w:r>
          </w:p>
        </w:tc>
        <w:tc>
          <w:tcPr>
            <w:tcW w:w="1080" w:type="dxa"/>
            <w:vAlign w:val="center"/>
          </w:tcPr>
          <w:p w14:paraId="548286F5" w14:textId="77777777" w:rsidR="009A0A63" w:rsidRPr="00792B36" w:rsidRDefault="009A0A63" w:rsidP="00A24459">
            <w:pPr>
              <w:contextualSpacing/>
              <w:jc w:val="center"/>
              <w:rPr>
                <w:sz w:val="24"/>
                <w:szCs w:val="24"/>
              </w:rPr>
            </w:pPr>
            <w:r w:rsidRPr="00792B36">
              <w:rPr>
                <w:color w:val="000000"/>
                <w:sz w:val="24"/>
                <w:szCs w:val="24"/>
              </w:rPr>
              <w:t>1,142.19</w:t>
            </w:r>
          </w:p>
        </w:tc>
        <w:tc>
          <w:tcPr>
            <w:tcW w:w="1177" w:type="dxa"/>
            <w:vAlign w:val="center"/>
          </w:tcPr>
          <w:p w14:paraId="2E803FBE" w14:textId="77777777" w:rsidR="009A0A63" w:rsidRPr="00792B36" w:rsidRDefault="009A0A63" w:rsidP="00A24459">
            <w:pPr>
              <w:contextualSpacing/>
              <w:jc w:val="center"/>
              <w:rPr>
                <w:sz w:val="24"/>
                <w:szCs w:val="24"/>
              </w:rPr>
            </w:pPr>
            <w:r w:rsidRPr="00792B36">
              <w:rPr>
                <w:color w:val="000000"/>
                <w:sz w:val="24"/>
                <w:szCs w:val="24"/>
              </w:rPr>
              <w:t>357.91</w:t>
            </w:r>
          </w:p>
        </w:tc>
        <w:tc>
          <w:tcPr>
            <w:tcW w:w="1027" w:type="dxa"/>
            <w:vAlign w:val="center"/>
          </w:tcPr>
          <w:p w14:paraId="091A3498" w14:textId="77777777" w:rsidR="009A0A63" w:rsidRPr="00792B36" w:rsidRDefault="009A0A63" w:rsidP="00A24459">
            <w:pPr>
              <w:contextualSpacing/>
              <w:jc w:val="center"/>
              <w:rPr>
                <w:sz w:val="24"/>
                <w:szCs w:val="24"/>
              </w:rPr>
            </w:pPr>
            <w:r w:rsidRPr="00792B36">
              <w:rPr>
                <w:color w:val="000000"/>
                <w:sz w:val="24"/>
                <w:szCs w:val="24"/>
              </w:rPr>
              <w:t>300.73</w:t>
            </w:r>
          </w:p>
        </w:tc>
        <w:tc>
          <w:tcPr>
            <w:tcW w:w="957" w:type="dxa"/>
            <w:vAlign w:val="center"/>
          </w:tcPr>
          <w:p w14:paraId="4D605328" w14:textId="77777777" w:rsidR="009A0A63" w:rsidRPr="00792B36" w:rsidRDefault="009A0A63" w:rsidP="00A24459">
            <w:pPr>
              <w:contextualSpacing/>
              <w:jc w:val="center"/>
              <w:rPr>
                <w:sz w:val="24"/>
                <w:szCs w:val="24"/>
              </w:rPr>
            </w:pPr>
            <w:r w:rsidRPr="00792B36">
              <w:rPr>
                <w:color w:val="000000"/>
                <w:sz w:val="24"/>
                <w:szCs w:val="24"/>
              </w:rPr>
              <w:t>852.01</w:t>
            </w:r>
          </w:p>
        </w:tc>
        <w:tc>
          <w:tcPr>
            <w:tcW w:w="900" w:type="dxa"/>
            <w:vAlign w:val="center"/>
          </w:tcPr>
          <w:p w14:paraId="0362F842" w14:textId="77777777" w:rsidR="009A0A63" w:rsidRPr="00792B36" w:rsidRDefault="009A0A63" w:rsidP="00A24459">
            <w:pPr>
              <w:contextualSpacing/>
              <w:jc w:val="center"/>
              <w:rPr>
                <w:sz w:val="24"/>
                <w:szCs w:val="24"/>
              </w:rPr>
            </w:pPr>
            <w:r w:rsidRPr="00792B36">
              <w:rPr>
                <w:color w:val="000000"/>
                <w:sz w:val="24"/>
                <w:szCs w:val="24"/>
              </w:rPr>
              <w:t>1,509.15</w:t>
            </w:r>
          </w:p>
        </w:tc>
      </w:tr>
      <w:tr w:rsidR="009A0A63" w:rsidRPr="00792B36" w14:paraId="199CEBF1" w14:textId="77777777" w:rsidTr="00A24459">
        <w:trPr>
          <w:trHeight w:val="340"/>
        </w:trPr>
        <w:tc>
          <w:tcPr>
            <w:tcW w:w="617" w:type="dxa"/>
            <w:vAlign w:val="center"/>
          </w:tcPr>
          <w:p w14:paraId="0BD7E5DB" w14:textId="77777777" w:rsidR="009A0A63" w:rsidRPr="00792B36" w:rsidRDefault="009A0A63" w:rsidP="00A24459">
            <w:pPr>
              <w:contextualSpacing/>
              <w:jc w:val="center"/>
              <w:rPr>
                <w:sz w:val="24"/>
                <w:szCs w:val="24"/>
              </w:rPr>
            </w:pPr>
            <w:r w:rsidRPr="00792B36">
              <w:rPr>
                <w:b/>
                <w:bCs/>
                <w:color w:val="000000"/>
                <w:sz w:val="24"/>
                <w:szCs w:val="24"/>
              </w:rPr>
              <w:t>1999</w:t>
            </w:r>
          </w:p>
        </w:tc>
        <w:tc>
          <w:tcPr>
            <w:tcW w:w="1177" w:type="dxa"/>
            <w:vAlign w:val="center"/>
          </w:tcPr>
          <w:p w14:paraId="7499AD31" w14:textId="77777777" w:rsidR="009A0A63" w:rsidRPr="00792B36" w:rsidRDefault="009A0A63" w:rsidP="00A24459">
            <w:pPr>
              <w:contextualSpacing/>
              <w:jc w:val="center"/>
              <w:rPr>
                <w:sz w:val="24"/>
                <w:szCs w:val="24"/>
              </w:rPr>
            </w:pPr>
            <w:r w:rsidRPr="00792B36">
              <w:rPr>
                <w:color w:val="000000"/>
                <w:sz w:val="24"/>
                <w:szCs w:val="24"/>
              </w:rPr>
              <w:t>295.19</w:t>
            </w:r>
          </w:p>
        </w:tc>
        <w:tc>
          <w:tcPr>
            <w:tcW w:w="1095" w:type="dxa"/>
            <w:vAlign w:val="center"/>
          </w:tcPr>
          <w:p w14:paraId="46961834" w14:textId="77777777" w:rsidR="009A0A63" w:rsidRPr="00792B36" w:rsidRDefault="009A0A63" w:rsidP="00A24459">
            <w:pPr>
              <w:contextualSpacing/>
              <w:jc w:val="center"/>
              <w:rPr>
                <w:sz w:val="24"/>
                <w:szCs w:val="24"/>
              </w:rPr>
            </w:pPr>
            <w:r w:rsidRPr="00792B36">
              <w:rPr>
                <w:color w:val="000000"/>
                <w:sz w:val="24"/>
                <w:szCs w:val="24"/>
              </w:rPr>
              <w:t>332.16</w:t>
            </w:r>
          </w:p>
        </w:tc>
        <w:tc>
          <w:tcPr>
            <w:tcW w:w="987" w:type="dxa"/>
            <w:vAlign w:val="center"/>
          </w:tcPr>
          <w:p w14:paraId="072B4FD9" w14:textId="77777777" w:rsidR="009A0A63" w:rsidRPr="00792B36" w:rsidRDefault="009A0A63" w:rsidP="00A24459">
            <w:pPr>
              <w:contextualSpacing/>
              <w:jc w:val="center"/>
              <w:rPr>
                <w:sz w:val="24"/>
                <w:szCs w:val="24"/>
              </w:rPr>
            </w:pPr>
            <w:r w:rsidRPr="00792B36">
              <w:rPr>
                <w:color w:val="000000"/>
                <w:sz w:val="24"/>
                <w:szCs w:val="24"/>
              </w:rPr>
              <w:t>601.49</w:t>
            </w:r>
          </w:p>
        </w:tc>
        <w:tc>
          <w:tcPr>
            <w:tcW w:w="1080" w:type="dxa"/>
            <w:vAlign w:val="center"/>
          </w:tcPr>
          <w:p w14:paraId="23A2D9DA" w14:textId="77777777" w:rsidR="009A0A63" w:rsidRPr="00792B36" w:rsidRDefault="009A0A63" w:rsidP="00A24459">
            <w:pPr>
              <w:contextualSpacing/>
              <w:jc w:val="center"/>
              <w:rPr>
                <w:sz w:val="24"/>
                <w:szCs w:val="24"/>
              </w:rPr>
            </w:pPr>
            <w:r w:rsidRPr="00792B36">
              <w:rPr>
                <w:color w:val="000000"/>
                <w:sz w:val="24"/>
                <w:szCs w:val="24"/>
              </w:rPr>
              <w:t>1,236.81</w:t>
            </w:r>
          </w:p>
        </w:tc>
        <w:tc>
          <w:tcPr>
            <w:tcW w:w="1177" w:type="dxa"/>
            <w:vAlign w:val="center"/>
          </w:tcPr>
          <w:p w14:paraId="398C4581" w14:textId="77777777" w:rsidR="009A0A63" w:rsidRPr="00792B36" w:rsidRDefault="009A0A63" w:rsidP="00A24459">
            <w:pPr>
              <w:contextualSpacing/>
              <w:jc w:val="center"/>
              <w:rPr>
                <w:sz w:val="24"/>
                <w:szCs w:val="24"/>
              </w:rPr>
            </w:pPr>
            <w:r w:rsidRPr="00792B36">
              <w:rPr>
                <w:color w:val="000000"/>
                <w:sz w:val="24"/>
                <w:szCs w:val="24"/>
              </w:rPr>
              <w:t>386.99</w:t>
            </w:r>
          </w:p>
        </w:tc>
        <w:tc>
          <w:tcPr>
            <w:tcW w:w="1027" w:type="dxa"/>
            <w:vAlign w:val="center"/>
          </w:tcPr>
          <w:p w14:paraId="55534060" w14:textId="77777777" w:rsidR="009A0A63" w:rsidRPr="00792B36" w:rsidRDefault="009A0A63" w:rsidP="00A24459">
            <w:pPr>
              <w:contextualSpacing/>
              <w:jc w:val="center"/>
              <w:rPr>
                <w:sz w:val="24"/>
                <w:szCs w:val="24"/>
              </w:rPr>
            </w:pPr>
            <w:r w:rsidRPr="00792B36">
              <w:rPr>
                <w:color w:val="000000"/>
                <w:sz w:val="24"/>
                <w:szCs w:val="24"/>
              </w:rPr>
              <w:t>368.07</w:t>
            </w:r>
          </w:p>
        </w:tc>
        <w:tc>
          <w:tcPr>
            <w:tcW w:w="957" w:type="dxa"/>
            <w:vAlign w:val="center"/>
          </w:tcPr>
          <w:p w14:paraId="75D98CE5" w14:textId="77777777" w:rsidR="009A0A63" w:rsidRPr="00792B36" w:rsidRDefault="009A0A63" w:rsidP="00A24459">
            <w:pPr>
              <w:contextualSpacing/>
              <w:jc w:val="center"/>
              <w:rPr>
                <w:sz w:val="24"/>
                <w:szCs w:val="24"/>
              </w:rPr>
            </w:pPr>
            <w:r w:rsidRPr="00792B36">
              <w:rPr>
                <w:color w:val="000000"/>
                <w:sz w:val="24"/>
                <w:szCs w:val="24"/>
              </w:rPr>
              <w:t>862.60</w:t>
            </w:r>
          </w:p>
        </w:tc>
        <w:tc>
          <w:tcPr>
            <w:tcW w:w="900" w:type="dxa"/>
            <w:vAlign w:val="center"/>
          </w:tcPr>
          <w:p w14:paraId="35FF2E38" w14:textId="77777777" w:rsidR="009A0A63" w:rsidRPr="00792B36" w:rsidRDefault="009A0A63" w:rsidP="00A24459">
            <w:pPr>
              <w:contextualSpacing/>
              <w:jc w:val="center"/>
              <w:rPr>
                <w:sz w:val="24"/>
                <w:szCs w:val="24"/>
              </w:rPr>
            </w:pPr>
            <w:r w:rsidRPr="00792B36">
              <w:rPr>
                <w:color w:val="000000"/>
                <w:sz w:val="24"/>
                <w:szCs w:val="24"/>
              </w:rPr>
              <w:t>1,617.03</w:t>
            </w:r>
          </w:p>
        </w:tc>
      </w:tr>
      <w:tr w:rsidR="009A0A63" w:rsidRPr="00792B36" w14:paraId="0CC487F9" w14:textId="77777777" w:rsidTr="00A24459">
        <w:trPr>
          <w:trHeight w:val="340"/>
        </w:trPr>
        <w:tc>
          <w:tcPr>
            <w:tcW w:w="617" w:type="dxa"/>
            <w:vAlign w:val="center"/>
          </w:tcPr>
          <w:p w14:paraId="34144EF9" w14:textId="77777777" w:rsidR="009A0A63" w:rsidRPr="00792B36" w:rsidRDefault="009A0A63" w:rsidP="00A24459">
            <w:pPr>
              <w:contextualSpacing/>
              <w:jc w:val="center"/>
              <w:rPr>
                <w:sz w:val="24"/>
                <w:szCs w:val="24"/>
              </w:rPr>
            </w:pPr>
            <w:r w:rsidRPr="00792B36">
              <w:rPr>
                <w:b/>
                <w:bCs/>
                <w:color w:val="000000"/>
                <w:sz w:val="24"/>
                <w:szCs w:val="24"/>
              </w:rPr>
              <w:t>2000</w:t>
            </w:r>
          </w:p>
        </w:tc>
        <w:tc>
          <w:tcPr>
            <w:tcW w:w="1177" w:type="dxa"/>
            <w:vAlign w:val="center"/>
          </w:tcPr>
          <w:p w14:paraId="0A2678CF" w14:textId="77777777" w:rsidR="009A0A63" w:rsidRPr="00792B36" w:rsidRDefault="009A0A63" w:rsidP="00A24459">
            <w:pPr>
              <w:contextualSpacing/>
              <w:jc w:val="center"/>
              <w:rPr>
                <w:sz w:val="24"/>
                <w:szCs w:val="24"/>
              </w:rPr>
            </w:pPr>
            <w:r w:rsidRPr="00792B36">
              <w:rPr>
                <w:color w:val="000000"/>
                <w:sz w:val="24"/>
                <w:szCs w:val="24"/>
              </w:rPr>
              <w:t>312.26</w:t>
            </w:r>
          </w:p>
        </w:tc>
        <w:tc>
          <w:tcPr>
            <w:tcW w:w="1095" w:type="dxa"/>
            <w:vAlign w:val="center"/>
          </w:tcPr>
          <w:p w14:paraId="00F54238" w14:textId="77777777" w:rsidR="009A0A63" w:rsidRPr="00792B36" w:rsidRDefault="009A0A63" w:rsidP="00A24459">
            <w:pPr>
              <w:contextualSpacing/>
              <w:jc w:val="center"/>
              <w:rPr>
                <w:sz w:val="24"/>
                <w:szCs w:val="24"/>
              </w:rPr>
            </w:pPr>
            <w:r w:rsidRPr="00792B36">
              <w:rPr>
                <w:color w:val="000000"/>
                <w:sz w:val="24"/>
                <w:szCs w:val="24"/>
              </w:rPr>
              <w:t>368.01</w:t>
            </w:r>
          </w:p>
        </w:tc>
        <w:tc>
          <w:tcPr>
            <w:tcW w:w="987" w:type="dxa"/>
            <w:vAlign w:val="center"/>
          </w:tcPr>
          <w:p w14:paraId="5BFA077A" w14:textId="77777777" w:rsidR="009A0A63" w:rsidRPr="00792B36" w:rsidRDefault="009A0A63" w:rsidP="00A24459">
            <w:pPr>
              <w:contextualSpacing/>
              <w:jc w:val="center"/>
              <w:rPr>
                <w:sz w:val="24"/>
                <w:szCs w:val="24"/>
              </w:rPr>
            </w:pPr>
            <w:r w:rsidRPr="00792B36">
              <w:rPr>
                <w:color w:val="000000"/>
                <w:sz w:val="24"/>
                <w:szCs w:val="24"/>
              </w:rPr>
              <w:t>505.00</w:t>
            </w:r>
          </w:p>
        </w:tc>
        <w:tc>
          <w:tcPr>
            <w:tcW w:w="1080" w:type="dxa"/>
            <w:vAlign w:val="center"/>
          </w:tcPr>
          <w:p w14:paraId="21FDC8D0" w14:textId="77777777" w:rsidR="009A0A63" w:rsidRPr="00792B36" w:rsidRDefault="009A0A63" w:rsidP="00A24459">
            <w:pPr>
              <w:contextualSpacing/>
              <w:jc w:val="center"/>
              <w:rPr>
                <w:sz w:val="24"/>
                <w:szCs w:val="24"/>
              </w:rPr>
            </w:pPr>
            <w:r w:rsidRPr="00792B36">
              <w:rPr>
                <w:color w:val="000000"/>
                <w:sz w:val="24"/>
                <w:szCs w:val="24"/>
              </w:rPr>
              <w:t>1,184.11</w:t>
            </w:r>
          </w:p>
        </w:tc>
        <w:tc>
          <w:tcPr>
            <w:tcW w:w="1177" w:type="dxa"/>
            <w:vAlign w:val="center"/>
          </w:tcPr>
          <w:p w14:paraId="200D8B50" w14:textId="77777777" w:rsidR="009A0A63" w:rsidRPr="00792B36" w:rsidRDefault="009A0A63" w:rsidP="00A24459">
            <w:pPr>
              <w:contextualSpacing/>
              <w:jc w:val="center"/>
              <w:rPr>
                <w:sz w:val="24"/>
                <w:szCs w:val="24"/>
              </w:rPr>
            </w:pPr>
            <w:r w:rsidRPr="00792B36">
              <w:rPr>
                <w:color w:val="000000"/>
                <w:sz w:val="24"/>
                <w:szCs w:val="24"/>
              </w:rPr>
              <w:t>406.14</w:t>
            </w:r>
          </w:p>
        </w:tc>
        <w:tc>
          <w:tcPr>
            <w:tcW w:w="1027" w:type="dxa"/>
            <w:vAlign w:val="center"/>
          </w:tcPr>
          <w:p w14:paraId="42A634EF" w14:textId="77777777" w:rsidR="009A0A63" w:rsidRPr="00792B36" w:rsidRDefault="009A0A63" w:rsidP="00A24459">
            <w:pPr>
              <w:contextualSpacing/>
              <w:jc w:val="center"/>
              <w:rPr>
                <w:sz w:val="24"/>
                <w:szCs w:val="24"/>
              </w:rPr>
            </w:pPr>
            <w:r w:rsidRPr="00792B36">
              <w:rPr>
                <w:color w:val="000000"/>
                <w:sz w:val="24"/>
                <w:szCs w:val="24"/>
              </w:rPr>
              <w:t>296.87</w:t>
            </w:r>
          </w:p>
        </w:tc>
        <w:tc>
          <w:tcPr>
            <w:tcW w:w="957" w:type="dxa"/>
            <w:vAlign w:val="center"/>
          </w:tcPr>
          <w:p w14:paraId="7D49897D" w14:textId="77777777" w:rsidR="009A0A63" w:rsidRPr="00792B36" w:rsidRDefault="009A0A63" w:rsidP="00A24459">
            <w:pPr>
              <w:contextualSpacing/>
              <w:jc w:val="center"/>
              <w:rPr>
                <w:sz w:val="24"/>
                <w:szCs w:val="24"/>
              </w:rPr>
            </w:pPr>
            <w:r w:rsidRPr="00792B36">
              <w:rPr>
                <w:color w:val="000000"/>
                <w:sz w:val="24"/>
                <w:szCs w:val="24"/>
              </w:rPr>
              <w:t>830.14</w:t>
            </w:r>
          </w:p>
        </w:tc>
        <w:tc>
          <w:tcPr>
            <w:tcW w:w="900" w:type="dxa"/>
            <w:vAlign w:val="center"/>
          </w:tcPr>
          <w:p w14:paraId="092C8A5B" w14:textId="77777777" w:rsidR="009A0A63" w:rsidRPr="00792B36" w:rsidRDefault="009A0A63" w:rsidP="00A24459">
            <w:pPr>
              <w:contextualSpacing/>
              <w:jc w:val="center"/>
              <w:rPr>
                <w:sz w:val="24"/>
                <w:szCs w:val="24"/>
              </w:rPr>
            </w:pPr>
            <w:r w:rsidRPr="00792B36">
              <w:rPr>
                <w:color w:val="000000"/>
                <w:sz w:val="24"/>
                <w:szCs w:val="24"/>
              </w:rPr>
              <w:t>1,530.53</w:t>
            </w:r>
          </w:p>
        </w:tc>
      </w:tr>
      <w:tr w:rsidR="009A0A63" w:rsidRPr="00792B36" w14:paraId="5B176068" w14:textId="77777777" w:rsidTr="00A24459">
        <w:trPr>
          <w:trHeight w:val="340"/>
        </w:trPr>
        <w:tc>
          <w:tcPr>
            <w:tcW w:w="617" w:type="dxa"/>
            <w:vAlign w:val="center"/>
          </w:tcPr>
          <w:p w14:paraId="6AA116CC" w14:textId="77777777" w:rsidR="009A0A63" w:rsidRPr="00792B36" w:rsidRDefault="009A0A63" w:rsidP="00A24459">
            <w:pPr>
              <w:contextualSpacing/>
              <w:jc w:val="center"/>
              <w:rPr>
                <w:sz w:val="24"/>
                <w:szCs w:val="24"/>
              </w:rPr>
            </w:pPr>
            <w:r w:rsidRPr="00792B36">
              <w:rPr>
                <w:b/>
                <w:bCs/>
                <w:color w:val="000000"/>
                <w:sz w:val="24"/>
                <w:szCs w:val="24"/>
              </w:rPr>
              <w:t>200</w:t>
            </w:r>
            <w:r w:rsidRPr="00792B36">
              <w:rPr>
                <w:b/>
                <w:bCs/>
                <w:color w:val="000000"/>
                <w:sz w:val="24"/>
                <w:szCs w:val="24"/>
              </w:rPr>
              <w:lastRenderedPageBreak/>
              <w:t>1</w:t>
            </w:r>
          </w:p>
        </w:tc>
        <w:tc>
          <w:tcPr>
            <w:tcW w:w="1177" w:type="dxa"/>
            <w:vAlign w:val="center"/>
          </w:tcPr>
          <w:p w14:paraId="40F48AEB" w14:textId="77777777" w:rsidR="009A0A63" w:rsidRPr="00792B36" w:rsidRDefault="009A0A63" w:rsidP="00A24459">
            <w:pPr>
              <w:contextualSpacing/>
              <w:jc w:val="center"/>
              <w:rPr>
                <w:sz w:val="24"/>
                <w:szCs w:val="24"/>
              </w:rPr>
            </w:pPr>
            <w:r w:rsidRPr="00792B36">
              <w:rPr>
                <w:color w:val="000000"/>
                <w:sz w:val="24"/>
                <w:szCs w:val="24"/>
              </w:rPr>
              <w:lastRenderedPageBreak/>
              <w:t>308.90</w:t>
            </w:r>
          </w:p>
        </w:tc>
        <w:tc>
          <w:tcPr>
            <w:tcW w:w="1095" w:type="dxa"/>
            <w:vAlign w:val="center"/>
          </w:tcPr>
          <w:p w14:paraId="0082280D" w14:textId="77777777" w:rsidR="009A0A63" w:rsidRPr="00792B36" w:rsidRDefault="009A0A63" w:rsidP="00A24459">
            <w:pPr>
              <w:contextualSpacing/>
              <w:jc w:val="center"/>
              <w:rPr>
                <w:sz w:val="24"/>
                <w:szCs w:val="24"/>
              </w:rPr>
            </w:pPr>
            <w:r w:rsidRPr="00792B36">
              <w:rPr>
                <w:color w:val="000000"/>
                <w:sz w:val="24"/>
                <w:szCs w:val="24"/>
              </w:rPr>
              <w:t>376.46</w:t>
            </w:r>
          </w:p>
        </w:tc>
        <w:tc>
          <w:tcPr>
            <w:tcW w:w="987" w:type="dxa"/>
            <w:vAlign w:val="center"/>
          </w:tcPr>
          <w:p w14:paraId="1C472390" w14:textId="77777777" w:rsidR="009A0A63" w:rsidRPr="00792B36" w:rsidRDefault="009A0A63" w:rsidP="00A24459">
            <w:pPr>
              <w:contextualSpacing/>
              <w:jc w:val="center"/>
              <w:rPr>
                <w:sz w:val="24"/>
                <w:szCs w:val="24"/>
              </w:rPr>
            </w:pPr>
            <w:r w:rsidRPr="00792B36">
              <w:rPr>
                <w:color w:val="000000"/>
                <w:sz w:val="24"/>
                <w:szCs w:val="24"/>
              </w:rPr>
              <w:t>489.89</w:t>
            </w:r>
          </w:p>
        </w:tc>
        <w:tc>
          <w:tcPr>
            <w:tcW w:w="1080" w:type="dxa"/>
            <w:vAlign w:val="center"/>
          </w:tcPr>
          <w:p w14:paraId="702BFE90" w14:textId="77777777" w:rsidR="009A0A63" w:rsidRPr="00792B36" w:rsidRDefault="009A0A63" w:rsidP="00A24459">
            <w:pPr>
              <w:contextualSpacing/>
              <w:jc w:val="center"/>
              <w:rPr>
                <w:sz w:val="24"/>
                <w:szCs w:val="24"/>
              </w:rPr>
            </w:pPr>
            <w:r w:rsidRPr="00792B36">
              <w:rPr>
                <w:color w:val="000000"/>
                <w:sz w:val="24"/>
                <w:szCs w:val="24"/>
              </w:rPr>
              <w:t>1,173.</w:t>
            </w:r>
            <w:r w:rsidRPr="00792B36">
              <w:rPr>
                <w:color w:val="000000"/>
                <w:sz w:val="24"/>
                <w:szCs w:val="24"/>
              </w:rPr>
              <w:lastRenderedPageBreak/>
              <w:t>56</w:t>
            </w:r>
          </w:p>
        </w:tc>
        <w:tc>
          <w:tcPr>
            <w:tcW w:w="1177" w:type="dxa"/>
            <w:vAlign w:val="center"/>
          </w:tcPr>
          <w:p w14:paraId="62D1C8F1" w14:textId="77777777" w:rsidR="009A0A63" w:rsidRPr="00792B36" w:rsidRDefault="009A0A63" w:rsidP="00A24459">
            <w:pPr>
              <w:contextualSpacing/>
              <w:jc w:val="center"/>
              <w:rPr>
                <w:sz w:val="24"/>
                <w:szCs w:val="24"/>
              </w:rPr>
            </w:pPr>
            <w:r w:rsidRPr="00792B36">
              <w:rPr>
                <w:color w:val="000000"/>
                <w:sz w:val="24"/>
                <w:szCs w:val="24"/>
              </w:rPr>
              <w:lastRenderedPageBreak/>
              <w:t>435.43</w:t>
            </w:r>
          </w:p>
        </w:tc>
        <w:tc>
          <w:tcPr>
            <w:tcW w:w="1027" w:type="dxa"/>
            <w:vAlign w:val="center"/>
          </w:tcPr>
          <w:p w14:paraId="2516B9EB" w14:textId="77777777" w:rsidR="009A0A63" w:rsidRPr="00792B36" w:rsidRDefault="009A0A63" w:rsidP="00A24459">
            <w:pPr>
              <w:contextualSpacing/>
              <w:jc w:val="center"/>
              <w:rPr>
                <w:sz w:val="24"/>
                <w:szCs w:val="24"/>
              </w:rPr>
            </w:pPr>
            <w:r w:rsidRPr="00792B36">
              <w:rPr>
                <w:color w:val="000000"/>
                <w:sz w:val="24"/>
                <w:szCs w:val="24"/>
              </w:rPr>
              <w:t>293.36</w:t>
            </w:r>
          </w:p>
        </w:tc>
        <w:tc>
          <w:tcPr>
            <w:tcW w:w="957" w:type="dxa"/>
            <w:vAlign w:val="center"/>
          </w:tcPr>
          <w:p w14:paraId="73E72337" w14:textId="77777777" w:rsidR="009A0A63" w:rsidRPr="00792B36" w:rsidRDefault="009A0A63" w:rsidP="00A24459">
            <w:pPr>
              <w:contextualSpacing/>
              <w:jc w:val="center"/>
              <w:rPr>
                <w:sz w:val="24"/>
                <w:szCs w:val="24"/>
              </w:rPr>
            </w:pPr>
            <w:r w:rsidRPr="00792B36">
              <w:rPr>
                <w:color w:val="000000"/>
                <w:sz w:val="24"/>
                <w:szCs w:val="24"/>
              </w:rPr>
              <w:t>831.65</w:t>
            </w:r>
          </w:p>
        </w:tc>
        <w:tc>
          <w:tcPr>
            <w:tcW w:w="900" w:type="dxa"/>
            <w:vAlign w:val="center"/>
          </w:tcPr>
          <w:p w14:paraId="053EF3B0" w14:textId="77777777" w:rsidR="009A0A63" w:rsidRPr="00792B36" w:rsidRDefault="009A0A63" w:rsidP="00A24459">
            <w:pPr>
              <w:contextualSpacing/>
              <w:jc w:val="center"/>
              <w:rPr>
                <w:sz w:val="24"/>
                <w:szCs w:val="24"/>
              </w:rPr>
            </w:pPr>
            <w:r w:rsidRPr="00792B36">
              <w:rPr>
                <w:color w:val="000000"/>
                <w:sz w:val="24"/>
                <w:szCs w:val="24"/>
              </w:rPr>
              <w:t>1,553.</w:t>
            </w:r>
            <w:r w:rsidRPr="00792B36">
              <w:rPr>
                <w:color w:val="000000"/>
                <w:sz w:val="24"/>
                <w:szCs w:val="24"/>
              </w:rPr>
              <w:lastRenderedPageBreak/>
              <w:t>80</w:t>
            </w:r>
          </w:p>
        </w:tc>
      </w:tr>
      <w:tr w:rsidR="009A0A63" w:rsidRPr="00792B36" w14:paraId="1905CECF" w14:textId="77777777" w:rsidTr="00A24459">
        <w:trPr>
          <w:trHeight w:val="340"/>
        </w:trPr>
        <w:tc>
          <w:tcPr>
            <w:tcW w:w="617" w:type="dxa"/>
            <w:vAlign w:val="center"/>
          </w:tcPr>
          <w:p w14:paraId="2ADA5BD6" w14:textId="77777777" w:rsidR="009A0A63" w:rsidRPr="00792B36" w:rsidRDefault="009A0A63" w:rsidP="00A24459">
            <w:pPr>
              <w:contextualSpacing/>
              <w:jc w:val="center"/>
              <w:rPr>
                <w:sz w:val="24"/>
                <w:szCs w:val="24"/>
              </w:rPr>
            </w:pPr>
            <w:r w:rsidRPr="00792B36">
              <w:rPr>
                <w:b/>
                <w:bCs/>
                <w:color w:val="000000"/>
                <w:sz w:val="24"/>
                <w:szCs w:val="24"/>
              </w:rPr>
              <w:lastRenderedPageBreak/>
              <w:t>2002</w:t>
            </w:r>
          </w:p>
        </w:tc>
        <w:tc>
          <w:tcPr>
            <w:tcW w:w="1177" w:type="dxa"/>
            <w:vAlign w:val="center"/>
          </w:tcPr>
          <w:p w14:paraId="1601E35B" w14:textId="77777777" w:rsidR="009A0A63" w:rsidRPr="00792B36" w:rsidRDefault="009A0A63" w:rsidP="00A24459">
            <w:pPr>
              <w:contextualSpacing/>
              <w:jc w:val="center"/>
              <w:rPr>
                <w:sz w:val="24"/>
                <w:szCs w:val="24"/>
              </w:rPr>
            </w:pPr>
            <w:r w:rsidRPr="00792B36">
              <w:rPr>
                <w:color w:val="000000"/>
                <w:sz w:val="24"/>
                <w:szCs w:val="24"/>
              </w:rPr>
              <w:t>310.48</w:t>
            </w:r>
          </w:p>
        </w:tc>
        <w:tc>
          <w:tcPr>
            <w:tcW w:w="1095" w:type="dxa"/>
            <w:vAlign w:val="center"/>
          </w:tcPr>
          <w:p w14:paraId="617BDFE4" w14:textId="77777777" w:rsidR="009A0A63" w:rsidRPr="00792B36" w:rsidRDefault="009A0A63" w:rsidP="00A24459">
            <w:pPr>
              <w:contextualSpacing/>
              <w:jc w:val="center"/>
              <w:rPr>
                <w:sz w:val="24"/>
                <w:szCs w:val="24"/>
              </w:rPr>
            </w:pPr>
            <w:r w:rsidRPr="00792B36">
              <w:rPr>
                <w:color w:val="000000"/>
                <w:sz w:val="24"/>
                <w:szCs w:val="24"/>
              </w:rPr>
              <w:t>402.12</w:t>
            </w:r>
          </w:p>
        </w:tc>
        <w:tc>
          <w:tcPr>
            <w:tcW w:w="987" w:type="dxa"/>
            <w:vAlign w:val="center"/>
          </w:tcPr>
          <w:p w14:paraId="684912C1" w14:textId="77777777" w:rsidR="009A0A63" w:rsidRPr="00792B36" w:rsidRDefault="009A0A63" w:rsidP="00A24459">
            <w:pPr>
              <w:contextualSpacing/>
              <w:jc w:val="center"/>
              <w:rPr>
                <w:sz w:val="24"/>
                <w:szCs w:val="24"/>
              </w:rPr>
            </w:pPr>
            <w:r w:rsidRPr="00792B36">
              <w:rPr>
                <w:color w:val="000000"/>
                <w:sz w:val="24"/>
                <w:szCs w:val="24"/>
              </w:rPr>
              <w:t>530.50</w:t>
            </w:r>
          </w:p>
        </w:tc>
        <w:tc>
          <w:tcPr>
            <w:tcW w:w="1080" w:type="dxa"/>
            <w:vAlign w:val="center"/>
          </w:tcPr>
          <w:p w14:paraId="566169A7" w14:textId="77777777" w:rsidR="009A0A63" w:rsidRPr="00792B36" w:rsidRDefault="009A0A63" w:rsidP="00A24459">
            <w:pPr>
              <w:contextualSpacing/>
              <w:jc w:val="center"/>
              <w:rPr>
                <w:sz w:val="24"/>
                <w:szCs w:val="24"/>
              </w:rPr>
            </w:pPr>
            <w:r w:rsidRPr="00792B36">
              <w:rPr>
                <w:color w:val="000000"/>
                <w:sz w:val="24"/>
                <w:szCs w:val="24"/>
              </w:rPr>
              <w:t>1,243.10</w:t>
            </w:r>
          </w:p>
        </w:tc>
        <w:tc>
          <w:tcPr>
            <w:tcW w:w="1177" w:type="dxa"/>
            <w:vAlign w:val="center"/>
          </w:tcPr>
          <w:p w14:paraId="721F08F3" w14:textId="77777777" w:rsidR="009A0A63" w:rsidRPr="00792B36" w:rsidRDefault="009A0A63" w:rsidP="00A24459">
            <w:pPr>
              <w:contextualSpacing/>
              <w:jc w:val="center"/>
              <w:rPr>
                <w:sz w:val="24"/>
                <w:szCs w:val="24"/>
              </w:rPr>
            </w:pPr>
            <w:r w:rsidRPr="00792B36">
              <w:rPr>
                <w:color w:val="000000"/>
                <w:sz w:val="24"/>
                <w:szCs w:val="24"/>
              </w:rPr>
              <w:t>420.06</w:t>
            </w:r>
          </w:p>
        </w:tc>
        <w:tc>
          <w:tcPr>
            <w:tcW w:w="1027" w:type="dxa"/>
            <w:vAlign w:val="center"/>
          </w:tcPr>
          <w:p w14:paraId="2BA757F3" w14:textId="77777777" w:rsidR="009A0A63" w:rsidRPr="00792B36" w:rsidRDefault="009A0A63" w:rsidP="00A24459">
            <w:pPr>
              <w:contextualSpacing/>
              <w:jc w:val="center"/>
              <w:rPr>
                <w:sz w:val="24"/>
                <w:szCs w:val="24"/>
              </w:rPr>
            </w:pPr>
            <w:r w:rsidRPr="00792B36">
              <w:rPr>
                <w:color w:val="000000"/>
                <w:sz w:val="24"/>
                <w:szCs w:val="24"/>
              </w:rPr>
              <w:t>334.37</w:t>
            </w:r>
          </w:p>
        </w:tc>
        <w:tc>
          <w:tcPr>
            <w:tcW w:w="957" w:type="dxa"/>
            <w:vAlign w:val="center"/>
          </w:tcPr>
          <w:p w14:paraId="4DE5E0EA" w14:textId="77777777" w:rsidR="009A0A63" w:rsidRPr="00792B36" w:rsidRDefault="009A0A63" w:rsidP="00A24459">
            <w:pPr>
              <w:contextualSpacing/>
              <w:jc w:val="center"/>
              <w:rPr>
                <w:sz w:val="24"/>
                <w:szCs w:val="24"/>
              </w:rPr>
            </w:pPr>
            <w:r w:rsidRPr="00792B36">
              <w:rPr>
                <w:color w:val="000000"/>
                <w:sz w:val="24"/>
                <w:szCs w:val="24"/>
              </w:rPr>
              <w:t>871.24</w:t>
            </w:r>
          </w:p>
        </w:tc>
        <w:tc>
          <w:tcPr>
            <w:tcW w:w="900" w:type="dxa"/>
            <w:vAlign w:val="center"/>
          </w:tcPr>
          <w:p w14:paraId="06F25078" w14:textId="77777777" w:rsidR="009A0A63" w:rsidRPr="00792B36" w:rsidRDefault="009A0A63" w:rsidP="00A24459">
            <w:pPr>
              <w:contextualSpacing/>
              <w:jc w:val="center"/>
              <w:rPr>
                <w:sz w:val="24"/>
                <w:szCs w:val="24"/>
              </w:rPr>
            </w:pPr>
            <w:r w:rsidRPr="00792B36">
              <w:rPr>
                <w:color w:val="000000"/>
                <w:sz w:val="24"/>
                <w:szCs w:val="24"/>
              </w:rPr>
              <w:t>1,625.66</w:t>
            </w:r>
          </w:p>
        </w:tc>
      </w:tr>
      <w:tr w:rsidR="009A0A63" w:rsidRPr="00792B36" w14:paraId="0D2BC283" w14:textId="77777777" w:rsidTr="00A24459">
        <w:trPr>
          <w:trHeight w:val="340"/>
        </w:trPr>
        <w:tc>
          <w:tcPr>
            <w:tcW w:w="617" w:type="dxa"/>
            <w:vAlign w:val="center"/>
          </w:tcPr>
          <w:p w14:paraId="0EDB8C0E" w14:textId="77777777" w:rsidR="009A0A63" w:rsidRPr="00792B36" w:rsidRDefault="009A0A63" w:rsidP="00A24459">
            <w:pPr>
              <w:contextualSpacing/>
              <w:jc w:val="center"/>
              <w:rPr>
                <w:sz w:val="24"/>
                <w:szCs w:val="24"/>
              </w:rPr>
            </w:pPr>
            <w:r w:rsidRPr="00792B36">
              <w:rPr>
                <w:b/>
                <w:bCs/>
                <w:color w:val="000000"/>
                <w:sz w:val="24"/>
                <w:szCs w:val="24"/>
              </w:rPr>
              <w:t>2003</w:t>
            </w:r>
          </w:p>
        </w:tc>
        <w:tc>
          <w:tcPr>
            <w:tcW w:w="1177" w:type="dxa"/>
            <w:vAlign w:val="center"/>
          </w:tcPr>
          <w:p w14:paraId="1798B90C" w14:textId="77777777" w:rsidR="009A0A63" w:rsidRPr="00792B36" w:rsidRDefault="009A0A63" w:rsidP="00A24459">
            <w:pPr>
              <w:contextualSpacing/>
              <w:jc w:val="center"/>
              <w:rPr>
                <w:sz w:val="24"/>
                <w:szCs w:val="24"/>
              </w:rPr>
            </w:pPr>
            <w:r w:rsidRPr="00792B36">
              <w:rPr>
                <w:color w:val="000000"/>
                <w:sz w:val="24"/>
                <w:szCs w:val="24"/>
              </w:rPr>
              <w:t>338.31</w:t>
            </w:r>
          </w:p>
        </w:tc>
        <w:tc>
          <w:tcPr>
            <w:tcW w:w="1095" w:type="dxa"/>
            <w:vAlign w:val="center"/>
          </w:tcPr>
          <w:p w14:paraId="58FFD188" w14:textId="77777777" w:rsidR="009A0A63" w:rsidRPr="00792B36" w:rsidRDefault="009A0A63" w:rsidP="00A24459">
            <w:pPr>
              <w:contextualSpacing/>
              <w:jc w:val="center"/>
              <w:rPr>
                <w:sz w:val="24"/>
                <w:szCs w:val="24"/>
              </w:rPr>
            </w:pPr>
            <w:r w:rsidRPr="00792B36">
              <w:rPr>
                <w:color w:val="000000"/>
                <w:sz w:val="24"/>
                <w:szCs w:val="24"/>
              </w:rPr>
              <w:t>414.93</w:t>
            </w:r>
          </w:p>
        </w:tc>
        <w:tc>
          <w:tcPr>
            <w:tcW w:w="987" w:type="dxa"/>
            <w:vAlign w:val="center"/>
          </w:tcPr>
          <w:p w14:paraId="691635E1" w14:textId="77777777" w:rsidR="009A0A63" w:rsidRPr="00792B36" w:rsidRDefault="009A0A63" w:rsidP="00A24459">
            <w:pPr>
              <w:contextualSpacing/>
              <w:jc w:val="center"/>
              <w:rPr>
                <w:sz w:val="24"/>
                <w:szCs w:val="24"/>
              </w:rPr>
            </w:pPr>
            <w:r w:rsidRPr="00792B36">
              <w:rPr>
                <w:color w:val="000000"/>
                <w:sz w:val="24"/>
                <w:szCs w:val="24"/>
              </w:rPr>
              <w:t>565.50</w:t>
            </w:r>
          </w:p>
        </w:tc>
        <w:tc>
          <w:tcPr>
            <w:tcW w:w="1080" w:type="dxa"/>
            <w:vAlign w:val="center"/>
          </w:tcPr>
          <w:p w14:paraId="141DF306" w14:textId="77777777" w:rsidR="009A0A63" w:rsidRPr="00792B36" w:rsidRDefault="009A0A63" w:rsidP="00A24459">
            <w:pPr>
              <w:contextualSpacing/>
              <w:jc w:val="center"/>
              <w:rPr>
                <w:sz w:val="24"/>
                <w:szCs w:val="24"/>
              </w:rPr>
            </w:pPr>
            <w:r w:rsidRPr="00792B36">
              <w:rPr>
                <w:color w:val="000000"/>
                <w:sz w:val="24"/>
                <w:szCs w:val="24"/>
              </w:rPr>
              <w:t>1,318.74</w:t>
            </w:r>
          </w:p>
        </w:tc>
        <w:tc>
          <w:tcPr>
            <w:tcW w:w="1177" w:type="dxa"/>
            <w:vAlign w:val="center"/>
          </w:tcPr>
          <w:p w14:paraId="5C00F170" w14:textId="77777777" w:rsidR="009A0A63" w:rsidRPr="00792B36" w:rsidRDefault="009A0A63" w:rsidP="00A24459">
            <w:pPr>
              <w:contextualSpacing/>
              <w:jc w:val="center"/>
              <w:rPr>
                <w:sz w:val="24"/>
                <w:szCs w:val="24"/>
              </w:rPr>
            </w:pPr>
            <w:r w:rsidRPr="00792B36">
              <w:rPr>
                <w:color w:val="000000"/>
                <w:sz w:val="24"/>
                <w:szCs w:val="24"/>
              </w:rPr>
              <w:t>463.76</w:t>
            </w:r>
          </w:p>
        </w:tc>
        <w:tc>
          <w:tcPr>
            <w:tcW w:w="1027" w:type="dxa"/>
            <w:vAlign w:val="center"/>
          </w:tcPr>
          <w:p w14:paraId="2B3B41BC" w14:textId="77777777" w:rsidR="009A0A63" w:rsidRPr="00792B36" w:rsidRDefault="009A0A63" w:rsidP="00A24459">
            <w:pPr>
              <w:contextualSpacing/>
              <w:jc w:val="center"/>
              <w:rPr>
                <w:sz w:val="24"/>
                <w:szCs w:val="24"/>
              </w:rPr>
            </w:pPr>
            <w:r w:rsidRPr="00792B36">
              <w:rPr>
                <w:color w:val="000000"/>
                <w:sz w:val="24"/>
                <w:szCs w:val="24"/>
              </w:rPr>
              <w:t>355.95</w:t>
            </w:r>
          </w:p>
        </w:tc>
        <w:tc>
          <w:tcPr>
            <w:tcW w:w="957" w:type="dxa"/>
            <w:vAlign w:val="center"/>
          </w:tcPr>
          <w:p w14:paraId="1B55A04B" w14:textId="77777777" w:rsidR="009A0A63" w:rsidRPr="00792B36" w:rsidRDefault="009A0A63" w:rsidP="00A24459">
            <w:pPr>
              <w:contextualSpacing/>
              <w:jc w:val="center"/>
              <w:rPr>
                <w:sz w:val="24"/>
                <w:szCs w:val="24"/>
              </w:rPr>
            </w:pPr>
            <w:r w:rsidRPr="00792B36">
              <w:rPr>
                <w:color w:val="000000"/>
                <w:sz w:val="24"/>
                <w:szCs w:val="24"/>
              </w:rPr>
              <w:t>911.26</w:t>
            </w:r>
          </w:p>
        </w:tc>
        <w:tc>
          <w:tcPr>
            <w:tcW w:w="900" w:type="dxa"/>
            <w:vAlign w:val="center"/>
          </w:tcPr>
          <w:p w14:paraId="3EF30C4D" w14:textId="77777777" w:rsidR="009A0A63" w:rsidRPr="00792B36" w:rsidRDefault="009A0A63" w:rsidP="00A24459">
            <w:pPr>
              <w:contextualSpacing/>
              <w:jc w:val="center"/>
              <w:rPr>
                <w:sz w:val="24"/>
                <w:szCs w:val="24"/>
              </w:rPr>
            </w:pPr>
            <w:r w:rsidRPr="00792B36">
              <w:rPr>
                <w:color w:val="000000"/>
                <w:sz w:val="24"/>
                <w:szCs w:val="24"/>
              </w:rPr>
              <w:t>1,730.97</w:t>
            </w:r>
          </w:p>
        </w:tc>
      </w:tr>
      <w:tr w:rsidR="009A0A63" w:rsidRPr="00792B36" w14:paraId="615FEB5E" w14:textId="77777777" w:rsidTr="00A24459">
        <w:trPr>
          <w:trHeight w:val="340"/>
        </w:trPr>
        <w:tc>
          <w:tcPr>
            <w:tcW w:w="617" w:type="dxa"/>
            <w:vAlign w:val="center"/>
          </w:tcPr>
          <w:p w14:paraId="62D1DB94" w14:textId="77777777" w:rsidR="009A0A63" w:rsidRPr="00792B36" w:rsidRDefault="009A0A63" w:rsidP="00A24459">
            <w:pPr>
              <w:contextualSpacing/>
              <w:jc w:val="center"/>
              <w:rPr>
                <w:sz w:val="24"/>
                <w:szCs w:val="24"/>
              </w:rPr>
            </w:pPr>
            <w:r w:rsidRPr="00792B36">
              <w:rPr>
                <w:b/>
                <w:bCs/>
                <w:color w:val="000000"/>
                <w:sz w:val="24"/>
                <w:szCs w:val="24"/>
              </w:rPr>
              <w:t>2004</w:t>
            </w:r>
          </w:p>
        </w:tc>
        <w:tc>
          <w:tcPr>
            <w:tcW w:w="1177" w:type="dxa"/>
            <w:vAlign w:val="center"/>
          </w:tcPr>
          <w:p w14:paraId="27E19B41" w14:textId="77777777" w:rsidR="009A0A63" w:rsidRPr="00792B36" w:rsidRDefault="009A0A63" w:rsidP="00A24459">
            <w:pPr>
              <w:contextualSpacing/>
              <w:jc w:val="center"/>
              <w:rPr>
                <w:sz w:val="24"/>
                <w:szCs w:val="24"/>
              </w:rPr>
            </w:pPr>
            <w:r w:rsidRPr="00792B36">
              <w:rPr>
                <w:color w:val="000000"/>
                <w:sz w:val="24"/>
                <w:szCs w:val="24"/>
              </w:rPr>
              <w:t>362.22</w:t>
            </w:r>
          </w:p>
        </w:tc>
        <w:tc>
          <w:tcPr>
            <w:tcW w:w="1095" w:type="dxa"/>
            <w:vAlign w:val="center"/>
          </w:tcPr>
          <w:p w14:paraId="150DC1F7" w14:textId="77777777" w:rsidR="009A0A63" w:rsidRPr="00792B36" w:rsidRDefault="009A0A63" w:rsidP="00A24459">
            <w:pPr>
              <w:contextualSpacing/>
              <w:jc w:val="center"/>
              <w:rPr>
                <w:sz w:val="24"/>
                <w:szCs w:val="24"/>
              </w:rPr>
            </w:pPr>
            <w:r w:rsidRPr="00792B36">
              <w:rPr>
                <w:color w:val="000000"/>
                <w:sz w:val="24"/>
                <w:szCs w:val="24"/>
              </w:rPr>
              <w:t>446.46</w:t>
            </w:r>
          </w:p>
        </w:tc>
        <w:tc>
          <w:tcPr>
            <w:tcW w:w="987" w:type="dxa"/>
            <w:vAlign w:val="center"/>
          </w:tcPr>
          <w:p w14:paraId="4BD6E0CB" w14:textId="77777777" w:rsidR="009A0A63" w:rsidRPr="00792B36" w:rsidRDefault="009A0A63" w:rsidP="00A24459">
            <w:pPr>
              <w:contextualSpacing/>
              <w:jc w:val="center"/>
              <w:rPr>
                <w:sz w:val="24"/>
                <w:szCs w:val="24"/>
              </w:rPr>
            </w:pPr>
            <w:r w:rsidRPr="00792B36">
              <w:rPr>
                <w:color w:val="000000"/>
                <w:sz w:val="24"/>
                <w:szCs w:val="24"/>
              </w:rPr>
              <w:t>588.06</w:t>
            </w:r>
          </w:p>
        </w:tc>
        <w:tc>
          <w:tcPr>
            <w:tcW w:w="1080" w:type="dxa"/>
            <w:vAlign w:val="center"/>
          </w:tcPr>
          <w:p w14:paraId="0D7AB134" w14:textId="77777777" w:rsidR="009A0A63" w:rsidRPr="00792B36" w:rsidRDefault="009A0A63" w:rsidP="00A24459">
            <w:pPr>
              <w:contextualSpacing/>
              <w:jc w:val="center"/>
              <w:rPr>
                <w:sz w:val="24"/>
                <w:szCs w:val="24"/>
              </w:rPr>
            </w:pPr>
            <w:r w:rsidRPr="00792B36">
              <w:rPr>
                <w:color w:val="000000"/>
                <w:sz w:val="24"/>
                <w:szCs w:val="24"/>
              </w:rPr>
              <w:t>1,397.67</w:t>
            </w:r>
          </w:p>
        </w:tc>
        <w:tc>
          <w:tcPr>
            <w:tcW w:w="1177" w:type="dxa"/>
            <w:vAlign w:val="center"/>
          </w:tcPr>
          <w:p w14:paraId="36ECC91F" w14:textId="77777777" w:rsidR="009A0A63" w:rsidRPr="00792B36" w:rsidRDefault="009A0A63" w:rsidP="00A24459">
            <w:pPr>
              <w:contextualSpacing/>
              <w:jc w:val="center"/>
              <w:rPr>
                <w:sz w:val="24"/>
                <w:szCs w:val="24"/>
              </w:rPr>
            </w:pPr>
            <w:r w:rsidRPr="00792B36">
              <w:rPr>
                <w:color w:val="000000"/>
                <w:sz w:val="24"/>
                <w:szCs w:val="24"/>
              </w:rPr>
              <w:t>470.67</w:t>
            </w:r>
          </w:p>
        </w:tc>
        <w:tc>
          <w:tcPr>
            <w:tcW w:w="1027" w:type="dxa"/>
            <w:vAlign w:val="center"/>
          </w:tcPr>
          <w:p w14:paraId="34EC6AB3" w14:textId="77777777" w:rsidR="009A0A63" w:rsidRPr="00792B36" w:rsidRDefault="009A0A63" w:rsidP="00A24459">
            <w:pPr>
              <w:contextualSpacing/>
              <w:jc w:val="center"/>
              <w:rPr>
                <w:sz w:val="24"/>
                <w:szCs w:val="24"/>
              </w:rPr>
            </w:pPr>
            <w:r w:rsidRPr="00792B36">
              <w:rPr>
                <w:color w:val="000000"/>
                <w:sz w:val="24"/>
                <w:szCs w:val="24"/>
              </w:rPr>
              <w:t>396.97</w:t>
            </w:r>
          </w:p>
        </w:tc>
        <w:tc>
          <w:tcPr>
            <w:tcW w:w="957" w:type="dxa"/>
            <w:vAlign w:val="center"/>
          </w:tcPr>
          <w:p w14:paraId="6CC636F5" w14:textId="77777777" w:rsidR="009A0A63" w:rsidRPr="00792B36" w:rsidRDefault="009A0A63" w:rsidP="00A24459">
            <w:pPr>
              <w:contextualSpacing/>
              <w:jc w:val="center"/>
              <w:rPr>
                <w:sz w:val="24"/>
                <w:szCs w:val="24"/>
              </w:rPr>
            </w:pPr>
            <w:r w:rsidRPr="00792B36">
              <w:rPr>
                <w:color w:val="000000"/>
                <w:sz w:val="24"/>
                <w:szCs w:val="24"/>
              </w:rPr>
              <w:t>1,064.19</w:t>
            </w:r>
          </w:p>
        </w:tc>
        <w:tc>
          <w:tcPr>
            <w:tcW w:w="900" w:type="dxa"/>
            <w:vAlign w:val="center"/>
          </w:tcPr>
          <w:p w14:paraId="0B373E5B" w14:textId="77777777" w:rsidR="009A0A63" w:rsidRPr="00792B36" w:rsidRDefault="009A0A63" w:rsidP="00A24459">
            <w:pPr>
              <w:contextualSpacing/>
              <w:jc w:val="center"/>
              <w:rPr>
                <w:sz w:val="24"/>
                <w:szCs w:val="24"/>
              </w:rPr>
            </w:pPr>
            <w:r w:rsidRPr="00792B36">
              <w:rPr>
                <w:color w:val="000000"/>
                <w:sz w:val="24"/>
                <w:szCs w:val="24"/>
              </w:rPr>
              <w:t>1,919.95</w:t>
            </w:r>
          </w:p>
        </w:tc>
      </w:tr>
      <w:tr w:rsidR="009A0A63" w:rsidRPr="00792B36" w14:paraId="00CC198C" w14:textId="77777777" w:rsidTr="00A24459">
        <w:trPr>
          <w:trHeight w:val="340"/>
        </w:trPr>
        <w:tc>
          <w:tcPr>
            <w:tcW w:w="617" w:type="dxa"/>
            <w:vAlign w:val="center"/>
          </w:tcPr>
          <w:p w14:paraId="37D56BD6" w14:textId="77777777" w:rsidR="009A0A63" w:rsidRPr="00792B36" w:rsidRDefault="009A0A63" w:rsidP="00A24459">
            <w:pPr>
              <w:contextualSpacing/>
              <w:jc w:val="center"/>
              <w:rPr>
                <w:sz w:val="24"/>
                <w:szCs w:val="24"/>
              </w:rPr>
            </w:pPr>
            <w:r w:rsidRPr="00792B36">
              <w:rPr>
                <w:b/>
                <w:bCs/>
                <w:color w:val="000000"/>
                <w:sz w:val="24"/>
                <w:szCs w:val="24"/>
              </w:rPr>
              <w:t>2005</w:t>
            </w:r>
          </w:p>
        </w:tc>
        <w:tc>
          <w:tcPr>
            <w:tcW w:w="1177" w:type="dxa"/>
            <w:vAlign w:val="center"/>
          </w:tcPr>
          <w:p w14:paraId="1196BFCB" w14:textId="77777777" w:rsidR="009A0A63" w:rsidRPr="00792B36" w:rsidRDefault="009A0A63" w:rsidP="00A24459">
            <w:pPr>
              <w:contextualSpacing/>
              <w:jc w:val="center"/>
              <w:rPr>
                <w:sz w:val="24"/>
                <w:szCs w:val="24"/>
              </w:rPr>
            </w:pPr>
            <w:r w:rsidRPr="00792B36">
              <w:rPr>
                <w:color w:val="000000"/>
                <w:sz w:val="24"/>
                <w:szCs w:val="24"/>
              </w:rPr>
              <w:t>337.90</w:t>
            </w:r>
          </w:p>
        </w:tc>
        <w:tc>
          <w:tcPr>
            <w:tcW w:w="1095" w:type="dxa"/>
            <w:vAlign w:val="center"/>
          </w:tcPr>
          <w:p w14:paraId="5F489A6C" w14:textId="77777777" w:rsidR="009A0A63" w:rsidRPr="00792B36" w:rsidRDefault="009A0A63" w:rsidP="00A24459">
            <w:pPr>
              <w:contextualSpacing/>
              <w:jc w:val="center"/>
              <w:rPr>
                <w:sz w:val="24"/>
                <w:szCs w:val="24"/>
              </w:rPr>
            </w:pPr>
            <w:r w:rsidRPr="00792B36">
              <w:rPr>
                <w:color w:val="000000"/>
                <w:sz w:val="24"/>
                <w:szCs w:val="24"/>
              </w:rPr>
              <w:t>450.32</w:t>
            </w:r>
          </w:p>
        </w:tc>
        <w:tc>
          <w:tcPr>
            <w:tcW w:w="987" w:type="dxa"/>
            <w:vAlign w:val="center"/>
          </w:tcPr>
          <w:p w14:paraId="7F590C9A" w14:textId="77777777" w:rsidR="009A0A63" w:rsidRPr="00792B36" w:rsidRDefault="009A0A63" w:rsidP="00A24459">
            <w:pPr>
              <w:contextualSpacing/>
              <w:jc w:val="center"/>
              <w:rPr>
                <w:sz w:val="24"/>
                <w:szCs w:val="24"/>
              </w:rPr>
            </w:pPr>
            <w:r w:rsidRPr="00792B36">
              <w:rPr>
                <w:color w:val="000000"/>
                <w:sz w:val="24"/>
                <w:szCs w:val="24"/>
              </w:rPr>
              <w:t>609.36</w:t>
            </w:r>
          </w:p>
        </w:tc>
        <w:tc>
          <w:tcPr>
            <w:tcW w:w="1080" w:type="dxa"/>
            <w:vAlign w:val="center"/>
          </w:tcPr>
          <w:p w14:paraId="16457B51" w14:textId="77777777" w:rsidR="009A0A63" w:rsidRPr="00792B36" w:rsidRDefault="009A0A63" w:rsidP="00A24459">
            <w:pPr>
              <w:contextualSpacing/>
              <w:jc w:val="center"/>
              <w:rPr>
                <w:sz w:val="24"/>
                <w:szCs w:val="24"/>
              </w:rPr>
            </w:pPr>
            <w:r w:rsidRPr="00792B36">
              <w:rPr>
                <w:color w:val="000000"/>
                <w:sz w:val="24"/>
                <w:szCs w:val="24"/>
              </w:rPr>
              <w:t>1,394.27</w:t>
            </w:r>
          </w:p>
        </w:tc>
        <w:tc>
          <w:tcPr>
            <w:tcW w:w="1177" w:type="dxa"/>
            <w:vAlign w:val="center"/>
          </w:tcPr>
          <w:p w14:paraId="02988036" w14:textId="77777777" w:rsidR="009A0A63" w:rsidRPr="00792B36" w:rsidRDefault="009A0A63" w:rsidP="00A24459">
            <w:pPr>
              <w:contextualSpacing/>
              <w:jc w:val="center"/>
              <w:rPr>
                <w:sz w:val="24"/>
                <w:szCs w:val="24"/>
              </w:rPr>
            </w:pPr>
            <w:r w:rsidRPr="00792B36">
              <w:rPr>
                <w:color w:val="000000"/>
                <w:sz w:val="24"/>
                <w:szCs w:val="24"/>
              </w:rPr>
              <w:t>465.78</w:t>
            </w:r>
          </w:p>
        </w:tc>
        <w:tc>
          <w:tcPr>
            <w:tcW w:w="1027" w:type="dxa"/>
            <w:vAlign w:val="center"/>
          </w:tcPr>
          <w:p w14:paraId="2F7B4A6B" w14:textId="77777777" w:rsidR="009A0A63" w:rsidRPr="00792B36" w:rsidRDefault="009A0A63" w:rsidP="00A24459">
            <w:pPr>
              <w:contextualSpacing/>
              <w:jc w:val="center"/>
              <w:rPr>
                <w:sz w:val="24"/>
                <w:szCs w:val="24"/>
              </w:rPr>
            </w:pPr>
            <w:r w:rsidRPr="00792B36">
              <w:rPr>
                <w:color w:val="000000"/>
                <w:sz w:val="24"/>
                <w:szCs w:val="24"/>
              </w:rPr>
              <w:t>401.86</w:t>
            </w:r>
          </w:p>
        </w:tc>
        <w:tc>
          <w:tcPr>
            <w:tcW w:w="957" w:type="dxa"/>
            <w:vAlign w:val="center"/>
          </w:tcPr>
          <w:p w14:paraId="27E2CA8F" w14:textId="77777777" w:rsidR="009A0A63" w:rsidRPr="00792B36" w:rsidRDefault="009A0A63" w:rsidP="00A24459">
            <w:pPr>
              <w:contextualSpacing/>
              <w:jc w:val="center"/>
              <w:rPr>
                <w:sz w:val="24"/>
                <w:szCs w:val="24"/>
              </w:rPr>
            </w:pPr>
            <w:r w:rsidRPr="00792B36">
              <w:rPr>
                <w:color w:val="000000"/>
                <w:sz w:val="24"/>
                <w:szCs w:val="24"/>
              </w:rPr>
              <w:t>1,119.67</w:t>
            </w:r>
          </w:p>
        </w:tc>
        <w:tc>
          <w:tcPr>
            <w:tcW w:w="900" w:type="dxa"/>
            <w:vAlign w:val="center"/>
          </w:tcPr>
          <w:p w14:paraId="428198B4" w14:textId="77777777" w:rsidR="009A0A63" w:rsidRPr="00792B36" w:rsidRDefault="009A0A63" w:rsidP="00A24459">
            <w:pPr>
              <w:contextualSpacing/>
              <w:jc w:val="center"/>
              <w:rPr>
                <w:sz w:val="24"/>
                <w:szCs w:val="24"/>
              </w:rPr>
            </w:pPr>
            <w:r w:rsidRPr="00792B36">
              <w:rPr>
                <w:color w:val="000000"/>
                <w:sz w:val="24"/>
                <w:szCs w:val="24"/>
              </w:rPr>
              <w:t>1,966.93</w:t>
            </w:r>
          </w:p>
        </w:tc>
      </w:tr>
      <w:tr w:rsidR="009A0A63" w:rsidRPr="00792B36" w14:paraId="75C4DEFB" w14:textId="77777777" w:rsidTr="00A24459">
        <w:trPr>
          <w:trHeight w:val="340"/>
        </w:trPr>
        <w:tc>
          <w:tcPr>
            <w:tcW w:w="617" w:type="dxa"/>
            <w:vAlign w:val="center"/>
          </w:tcPr>
          <w:p w14:paraId="30FCAF68" w14:textId="77777777" w:rsidR="009A0A63" w:rsidRPr="00792B36" w:rsidRDefault="009A0A63" w:rsidP="00A24459">
            <w:pPr>
              <w:contextualSpacing/>
              <w:jc w:val="center"/>
              <w:rPr>
                <w:sz w:val="24"/>
                <w:szCs w:val="24"/>
              </w:rPr>
            </w:pPr>
            <w:r w:rsidRPr="00792B36">
              <w:rPr>
                <w:b/>
                <w:bCs/>
                <w:color w:val="000000"/>
                <w:sz w:val="24"/>
                <w:szCs w:val="24"/>
              </w:rPr>
              <w:t>2006</w:t>
            </w:r>
          </w:p>
        </w:tc>
        <w:tc>
          <w:tcPr>
            <w:tcW w:w="1177" w:type="dxa"/>
            <w:vAlign w:val="center"/>
          </w:tcPr>
          <w:p w14:paraId="68E1EE50" w14:textId="77777777" w:rsidR="009A0A63" w:rsidRPr="00792B36" w:rsidRDefault="009A0A63" w:rsidP="00A24459">
            <w:pPr>
              <w:contextualSpacing/>
              <w:jc w:val="center"/>
              <w:rPr>
                <w:sz w:val="24"/>
                <w:szCs w:val="24"/>
              </w:rPr>
            </w:pPr>
            <w:r w:rsidRPr="00792B36">
              <w:rPr>
                <w:color w:val="000000"/>
                <w:sz w:val="24"/>
                <w:szCs w:val="24"/>
              </w:rPr>
              <w:t>330.90</w:t>
            </w:r>
          </w:p>
        </w:tc>
        <w:tc>
          <w:tcPr>
            <w:tcW w:w="1095" w:type="dxa"/>
            <w:vAlign w:val="center"/>
          </w:tcPr>
          <w:p w14:paraId="3E806DFC" w14:textId="77777777" w:rsidR="009A0A63" w:rsidRPr="00792B36" w:rsidRDefault="009A0A63" w:rsidP="00A24459">
            <w:pPr>
              <w:contextualSpacing/>
              <w:jc w:val="center"/>
              <w:rPr>
                <w:sz w:val="24"/>
                <w:szCs w:val="24"/>
              </w:rPr>
            </w:pPr>
            <w:r w:rsidRPr="00792B36">
              <w:rPr>
                <w:color w:val="000000"/>
                <w:sz w:val="24"/>
                <w:szCs w:val="24"/>
              </w:rPr>
              <w:t>387.64</w:t>
            </w:r>
          </w:p>
        </w:tc>
        <w:tc>
          <w:tcPr>
            <w:tcW w:w="987" w:type="dxa"/>
            <w:vAlign w:val="center"/>
          </w:tcPr>
          <w:p w14:paraId="60082287" w14:textId="77777777" w:rsidR="009A0A63" w:rsidRPr="00792B36" w:rsidRDefault="009A0A63" w:rsidP="00A24459">
            <w:pPr>
              <w:contextualSpacing/>
              <w:jc w:val="center"/>
              <w:rPr>
                <w:sz w:val="24"/>
                <w:szCs w:val="24"/>
              </w:rPr>
            </w:pPr>
            <w:r w:rsidRPr="00792B36">
              <w:rPr>
                <w:color w:val="000000"/>
                <w:sz w:val="24"/>
                <w:szCs w:val="24"/>
              </w:rPr>
              <w:t>607.93</w:t>
            </w:r>
          </w:p>
        </w:tc>
        <w:tc>
          <w:tcPr>
            <w:tcW w:w="1080" w:type="dxa"/>
            <w:vAlign w:val="center"/>
          </w:tcPr>
          <w:p w14:paraId="332187E9" w14:textId="77777777" w:rsidR="009A0A63" w:rsidRPr="00792B36" w:rsidRDefault="009A0A63" w:rsidP="00A24459">
            <w:pPr>
              <w:contextualSpacing/>
              <w:jc w:val="center"/>
              <w:rPr>
                <w:sz w:val="24"/>
                <w:szCs w:val="24"/>
              </w:rPr>
            </w:pPr>
            <w:r w:rsidRPr="00792B36">
              <w:rPr>
                <w:color w:val="000000"/>
                <w:sz w:val="24"/>
                <w:szCs w:val="24"/>
              </w:rPr>
              <w:t>1,325.86</w:t>
            </w:r>
          </w:p>
        </w:tc>
        <w:tc>
          <w:tcPr>
            <w:tcW w:w="1177" w:type="dxa"/>
            <w:vAlign w:val="center"/>
          </w:tcPr>
          <w:p w14:paraId="2867BA95" w14:textId="77777777" w:rsidR="009A0A63" w:rsidRPr="00792B36" w:rsidRDefault="009A0A63" w:rsidP="00A24459">
            <w:pPr>
              <w:contextualSpacing/>
              <w:jc w:val="center"/>
              <w:rPr>
                <w:sz w:val="24"/>
                <w:szCs w:val="24"/>
              </w:rPr>
            </w:pPr>
            <w:r w:rsidRPr="00792B36">
              <w:rPr>
                <w:color w:val="000000"/>
                <w:sz w:val="24"/>
                <w:szCs w:val="24"/>
              </w:rPr>
              <w:t>478.51</w:t>
            </w:r>
          </w:p>
        </w:tc>
        <w:tc>
          <w:tcPr>
            <w:tcW w:w="1027" w:type="dxa"/>
            <w:vAlign w:val="center"/>
          </w:tcPr>
          <w:p w14:paraId="2E6D9DCD" w14:textId="77777777" w:rsidR="009A0A63" w:rsidRPr="00792B36" w:rsidRDefault="009A0A63" w:rsidP="00A24459">
            <w:pPr>
              <w:contextualSpacing/>
              <w:jc w:val="center"/>
              <w:rPr>
                <w:sz w:val="24"/>
                <w:szCs w:val="24"/>
              </w:rPr>
            </w:pPr>
            <w:r w:rsidRPr="00792B36">
              <w:rPr>
                <w:color w:val="000000"/>
                <w:sz w:val="24"/>
                <w:szCs w:val="24"/>
              </w:rPr>
              <w:t>403.05</w:t>
            </w:r>
          </w:p>
        </w:tc>
        <w:tc>
          <w:tcPr>
            <w:tcW w:w="957" w:type="dxa"/>
            <w:vAlign w:val="center"/>
          </w:tcPr>
          <w:p w14:paraId="3E4B99BD" w14:textId="77777777" w:rsidR="009A0A63" w:rsidRPr="00792B36" w:rsidRDefault="009A0A63" w:rsidP="00A24459">
            <w:pPr>
              <w:contextualSpacing/>
              <w:jc w:val="center"/>
              <w:rPr>
                <w:sz w:val="24"/>
                <w:szCs w:val="24"/>
              </w:rPr>
            </w:pPr>
            <w:r w:rsidRPr="00792B36">
              <w:rPr>
                <w:color w:val="000000"/>
                <w:sz w:val="24"/>
                <w:szCs w:val="24"/>
              </w:rPr>
              <w:t>1,266.94</w:t>
            </w:r>
          </w:p>
        </w:tc>
        <w:tc>
          <w:tcPr>
            <w:tcW w:w="900" w:type="dxa"/>
            <w:vAlign w:val="center"/>
          </w:tcPr>
          <w:p w14:paraId="7555C072" w14:textId="77777777" w:rsidR="009A0A63" w:rsidRPr="00792B36" w:rsidRDefault="009A0A63" w:rsidP="00A24459">
            <w:pPr>
              <w:contextualSpacing/>
              <w:jc w:val="center"/>
              <w:rPr>
                <w:sz w:val="24"/>
                <w:szCs w:val="24"/>
              </w:rPr>
            </w:pPr>
            <w:r w:rsidRPr="00792B36">
              <w:rPr>
                <w:color w:val="000000"/>
                <w:sz w:val="24"/>
                <w:szCs w:val="24"/>
              </w:rPr>
              <w:t>2,111.32</w:t>
            </w:r>
          </w:p>
        </w:tc>
      </w:tr>
      <w:tr w:rsidR="009A0A63" w:rsidRPr="00792B36" w14:paraId="546A587B" w14:textId="77777777" w:rsidTr="00A24459">
        <w:trPr>
          <w:trHeight w:val="340"/>
        </w:trPr>
        <w:tc>
          <w:tcPr>
            <w:tcW w:w="617" w:type="dxa"/>
            <w:vAlign w:val="center"/>
          </w:tcPr>
          <w:p w14:paraId="1CAB2FE8" w14:textId="77777777" w:rsidR="009A0A63" w:rsidRPr="00792B36" w:rsidRDefault="009A0A63" w:rsidP="00A24459">
            <w:pPr>
              <w:contextualSpacing/>
              <w:jc w:val="center"/>
              <w:rPr>
                <w:sz w:val="24"/>
                <w:szCs w:val="24"/>
              </w:rPr>
            </w:pPr>
            <w:r w:rsidRPr="00792B36">
              <w:rPr>
                <w:b/>
                <w:bCs/>
                <w:color w:val="000000"/>
                <w:sz w:val="24"/>
                <w:szCs w:val="24"/>
              </w:rPr>
              <w:t>2007</w:t>
            </w:r>
          </w:p>
        </w:tc>
        <w:tc>
          <w:tcPr>
            <w:tcW w:w="1177" w:type="dxa"/>
            <w:vAlign w:val="center"/>
          </w:tcPr>
          <w:p w14:paraId="6E59A055" w14:textId="77777777" w:rsidR="009A0A63" w:rsidRPr="00792B36" w:rsidRDefault="009A0A63" w:rsidP="00A24459">
            <w:pPr>
              <w:contextualSpacing/>
              <w:jc w:val="center"/>
              <w:rPr>
                <w:sz w:val="24"/>
                <w:szCs w:val="24"/>
              </w:rPr>
            </w:pPr>
            <w:r w:rsidRPr="00792B36">
              <w:rPr>
                <w:color w:val="000000"/>
                <w:sz w:val="24"/>
                <w:szCs w:val="24"/>
              </w:rPr>
              <w:t>330.49</w:t>
            </w:r>
          </w:p>
        </w:tc>
        <w:tc>
          <w:tcPr>
            <w:tcW w:w="1095" w:type="dxa"/>
            <w:vAlign w:val="center"/>
          </w:tcPr>
          <w:p w14:paraId="7F68E0E6" w14:textId="77777777" w:rsidR="009A0A63" w:rsidRPr="00792B36" w:rsidRDefault="009A0A63" w:rsidP="00A24459">
            <w:pPr>
              <w:contextualSpacing/>
              <w:jc w:val="center"/>
              <w:rPr>
                <w:sz w:val="24"/>
                <w:szCs w:val="24"/>
              </w:rPr>
            </w:pPr>
            <w:r w:rsidRPr="00792B36">
              <w:rPr>
                <w:color w:val="000000"/>
                <w:sz w:val="24"/>
                <w:szCs w:val="24"/>
              </w:rPr>
              <w:t>411.96</w:t>
            </w:r>
          </w:p>
        </w:tc>
        <w:tc>
          <w:tcPr>
            <w:tcW w:w="987" w:type="dxa"/>
            <w:vAlign w:val="center"/>
          </w:tcPr>
          <w:p w14:paraId="7588D9B4" w14:textId="77777777" w:rsidR="009A0A63" w:rsidRPr="00792B36" w:rsidRDefault="009A0A63" w:rsidP="00A24459">
            <w:pPr>
              <w:contextualSpacing/>
              <w:jc w:val="center"/>
              <w:rPr>
                <w:sz w:val="24"/>
                <w:szCs w:val="24"/>
              </w:rPr>
            </w:pPr>
            <w:r w:rsidRPr="00792B36">
              <w:rPr>
                <w:color w:val="000000"/>
                <w:sz w:val="24"/>
                <w:szCs w:val="24"/>
              </w:rPr>
              <w:t>619.34</w:t>
            </w:r>
          </w:p>
        </w:tc>
        <w:tc>
          <w:tcPr>
            <w:tcW w:w="1080" w:type="dxa"/>
            <w:vAlign w:val="center"/>
          </w:tcPr>
          <w:p w14:paraId="1E14BBDD" w14:textId="77777777" w:rsidR="009A0A63" w:rsidRPr="00792B36" w:rsidRDefault="009A0A63" w:rsidP="00A24459">
            <w:pPr>
              <w:contextualSpacing/>
              <w:jc w:val="center"/>
              <w:rPr>
                <w:sz w:val="24"/>
                <w:szCs w:val="24"/>
              </w:rPr>
            </w:pPr>
            <w:r w:rsidRPr="00792B36">
              <w:rPr>
                <w:color w:val="000000"/>
                <w:sz w:val="24"/>
                <w:szCs w:val="24"/>
              </w:rPr>
              <w:t>1,358.34</w:t>
            </w:r>
          </w:p>
        </w:tc>
        <w:tc>
          <w:tcPr>
            <w:tcW w:w="1177" w:type="dxa"/>
            <w:vAlign w:val="center"/>
          </w:tcPr>
          <w:p w14:paraId="1C77CF4D" w14:textId="77777777" w:rsidR="009A0A63" w:rsidRPr="00792B36" w:rsidRDefault="009A0A63" w:rsidP="00A24459">
            <w:pPr>
              <w:contextualSpacing/>
              <w:jc w:val="center"/>
              <w:rPr>
                <w:sz w:val="24"/>
                <w:szCs w:val="24"/>
              </w:rPr>
            </w:pPr>
            <w:r w:rsidRPr="00792B36">
              <w:rPr>
                <w:color w:val="000000"/>
                <w:sz w:val="24"/>
                <w:szCs w:val="24"/>
              </w:rPr>
              <w:t>430.93</w:t>
            </w:r>
          </w:p>
        </w:tc>
        <w:tc>
          <w:tcPr>
            <w:tcW w:w="1027" w:type="dxa"/>
            <w:vAlign w:val="center"/>
          </w:tcPr>
          <w:p w14:paraId="3B58716C" w14:textId="77777777" w:rsidR="009A0A63" w:rsidRPr="00792B36" w:rsidRDefault="009A0A63" w:rsidP="00A24459">
            <w:pPr>
              <w:contextualSpacing/>
              <w:jc w:val="center"/>
              <w:rPr>
                <w:sz w:val="24"/>
                <w:szCs w:val="24"/>
              </w:rPr>
            </w:pPr>
            <w:r w:rsidRPr="00792B36">
              <w:rPr>
                <w:color w:val="000000"/>
                <w:sz w:val="24"/>
                <w:szCs w:val="24"/>
              </w:rPr>
              <w:t>421.35</w:t>
            </w:r>
          </w:p>
        </w:tc>
        <w:tc>
          <w:tcPr>
            <w:tcW w:w="957" w:type="dxa"/>
            <w:vAlign w:val="center"/>
          </w:tcPr>
          <w:p w14:paraId="4B041BC5" w14:textId="77777777" w:rsidR="009A0A63" w:rsidRPr="00792B36" w:rsidRDefault="009A0A63" w:rsidP="00A24459">
            <w:pPr>
              <w:contextualSpacing/>
              <w:jc w:val="center"/>
              <w:rPr>
                <w:sz w:val="24"/>
                <w:szCs w:val="24"/>
              </w:rPr>
            </w:pPr>
            <w:r w:rsidRPr="00792B36">
              <w:rPr>
                <w:color w:val="000000"/>
                <w:sz w:val="24"/>
                <w:szCs w:val="24"/>
              </w:rPr>
              <w:t>1,166.89</w:t>
            </w:r>
          </w:p>
        </w:tc>
        <w:tc>
          <w:tcPr>
            <w:tcW w:w="900" w:type="dxa"/>
            <w:vAlign w:val="center"/>
          </w:tcPr>
          <w:p w14:paraId="77AA1EBE" w14:textId="77777777" w:rsidR="009A0A63" w:rsidRPr="00792B36" w:rsidRDefault="009A0A63" w:rsidP="00A24459">
            <w:pPr>
              <w:contextualSpacing/>
              <w:jc w:val="center"/>
              <w:rPr>
                <w:sz w:val="24"/>
                <w:szCs w:val="24"/>
              </w:rPr>
            </w:pPr>
            <w:r w:rsidRPr="00792B36">
              <w:rPr>
                <w:color w:val="000000"/>
                <w:sz w:val="24"/>
                <w:szCs w:val="24"/>
              </w:rPr>
              <w:t>1,979.64</w:t>
            </w:r>
          </w:p>
        </w:tc>
      </w:tr>
      <w:tr w:rsidR="009A0A63" w:rsidRPr="00792B36" w14:paraId="5787C0EB" w14:textId="77777777" w:rsidTr="00A24459">
        <w:trPr>
          <w:trHeight w:val="340"/>
        </w:trPr>
        <w:tc>
          <w:tcPr>
            <w:tcW w:w="617" w:type="dxa"/>
            <w:vAlign w:val="center"/>
          </w:tcPr>
          <w:p w14:paraId="0ED15176" w14:textId="77777777" w:rsidR="009A0A63" w:rsidRPr="00792B36" w:rsidRDefault="009A0A63" w:rsidP="00A24459">
            <w:pPr>
              <w:contextualSpacing/>
              <w:jc w:val="center"/>
              <w:rPr>
                <w:sz w:val="24"/>
                <w:szCs w:val="24"/>
              </w:rPr>
            </w:pPr>
            <w:r w:rsidRPr="00792B36">
              <w:rPr>
                <w:b/>
                <w:bCs/>
                <w:color w:val="000000"/>
                <w:sz w:val="24"/>
                <w:szCs w:val="24"/>
              </w:rPr>
              <w:t>2008</w:t>
            </w:r>
          </w:p>
        </w:tc>
        <w:tc>
          <w:tcPr>
            <w:tcW w:w="1177" w:type="dxa"/>
            <w:vAlign w:val="center"/>
          </w:tcPr>
          <w:p w14:paraId="0F2EC921" w14:textId="77777777" w:rsidR="009A0A63" w:rsidRPr="00792B36" w:rsidRDefault="009A0A63" w:rsidP="00A24459">
            <w:pPr>
              <w:contextualSpacing/>
              <w:jc w:val="center"/>
              <w:rPr>
                <w:sz w:val="24"/>
                <w:szCs w:val="24"/>
              </w:rPr>
            </w:pPr>
            <w:r w:rsidRPr="00792B36">
              <w:rPr>
                <w:color w:val="000000"/>
                <w:sz w:val="24"/>
                <w:szCs w:val="24"/>
              </w:rPr>
              <w:t>314.31</w:t>
            </w:r>
          </w:p>
        </w:tc>
        <w:tc>
          <w:tcPr>
            <w:tcW w:w="1095" w:type="dxa"/>
            <w:vAlign w:val="center"/>
          </w:tcPr>
          <w:p w14:paraId="10E69F61" w14:textId="77777777" w:rsidR="009A0A63" w:rsidRPr="00792B36" w:rsidRDefault="009A0A63" w:rsidP="00A24459">
            <w:pPr>
              <w:contextualSpacing/>
              <w:jc w:val="center"/>
              <w:rPr>
                <w:sz w:val="24"/>
                <w:szCs w:val="24"/>
              </w:rPr>
            </w:pPr>
            <w:r w:rsidRPr="00792B36">
              <w:rPr>
                <w:color w:val="000000"/>
                <w:sz w:val="24"/>
                <w:szCs w:val="24"/>
              </w:rPr>
              <w:t>340.99</w:t>
            </w:r>
          </w:p>
        </w:tc>
        <w:tc>
          <w:tcPr>
            <w:tcW w:w="987" w:type="dxa"/>
            <w:vAlign w:val="center"/>
          </w:tcPr>
          <w:p w14:paraId="7A7CFC0A" w14:textId="77777777" w:rsidR="009A0A63" w:rsidRPr="00792B36" w:rsidRDefault="009A0A63" w:rsidP="00A24459">
            <w:pPr>
              <w:contextualSpacing/>
              <w:jc w:val="center"/>
              <w:rPr>
                <w:sz w:val="24"/>
                <w:szCs w:val="24"/>
              </w:rPr>
            </w:pPr>
            <w:r w:rsidRPr="00792B36">
              <w:rPr>
                <w:color w:val="000000"/>
                <w:sz w:val="24"/>
                <w:szCs w:val="24"/>
              </w:rPr>
              <w:t>582.45</w:t>
            </w:r>
          </w:p>
        </w:tc>
        <w:tc>
          <w:tcPr>
            <w:tcW w:w="1080" w:type="dxa"/>
            <w:vAlign w:val="center"/>
          </w:tcPr>
          <w:p w14:paraId="27DE077E" w14:textId="77777777" w:rsidR="009A0A63" w:rsidRPr="00792B36" w:rsidRDefault="009A0A63" w:rsidP="00A24459">
            <w:pPr>
              <w:contextualSpacing/>
              <w:jc w:val="center"/>
              <w:rPr>
                <w:sz w:val="24"/>
                <w:szCs w:val="24"/>
              </w:rPr>
            </w:pPr>
            <w:r w:rsidRPr="00792B36">
              <w:rPr>
                <w:color w:val="000000"/>
                <w:sz w:val="24"/>
                <w:szCs w:val="24"/>
              </w:rPr>
              <w:t>1,238.48</w:t>
            </w:r>
          </w:p>
        </w:tc>
        <w:tc>
          <w:tcPr>
            <w:tcW w:w="1177" w:type="dxa"/>
            <w:vAlign w:val="center"/>
          </w:tcPr>
          <w:p w14:paraId="0BD229FE" w14:textId="77777777" w:rsidR="009A0A63" w:rsidRPr="00792B36" w:rsidRDefault="009A0A63" w:rsidP="00A24459">
            <w:pPr>
              <w:contextualSpacing/>
              <w:jc w:val="center"/>
              <w:rPr>
                <w:sz w:val="24"/>
                <w:szCs w:val="24"/>
              </w:rPr>
            </w:pPr>
            <w:r w:rsidRPr="00792B36">
              <w:rPr>
                <w:color w:val="000000"/>
                <w:sz w:val="24"/>
                <w:szCs w:val="24"/>
              </w:rPr>
              <w:t>474.49</w:t>
            </w:r>
          </w:p>
        </w:tc>
        <w:tc>
          <w:tcPr>
            <w:tcW w:w="1027" w:type="dxa"/>
            <w:vAlign w:val="center"/>
          </w:tcPr>
          <w:p w14:paraId="18A1B81D" w14:textId="77777777" w:rsidR="009A0A63" w:rsidRPr="00792B36" w:rsidRDefault="009A0A63" w:rsidP="00A24459">
            <w:pPr>
              <w:contextualSpacing/>
              <w:jc w:val="center"/>
              <w:rPr>
                <w:sz w:val="24"/>
                <w:szCs w:val="24"/>
              </w:rPr>
            </w:pPr>
            <w:r w:rsidRPr="00792B36">
              <w:rPr>
                <w:color w:val="000000"/>
                <w:sz w:val="24"/>
                <w:szCs w:val="24"/>
              </w:rPr>
              <w:t>393.24</w:t>
            </w:r>
          </w:p>
        </w:tc>
        <w:tc>
          <w:tcPr>
            <w:tcW w:w="957" w:type="dxa"/>
            <w:vAlign w:val="center"/>
          </w:tcPr>
          <w:p w14:paraId="0F20E4EA" w14:textId="77777777" w:rsidR="009A0A63" w:rsidRPr="00792B36" w:rsidRDefault="009A0A63" w:rsidP="00A24459">
            <w:pPr>
              <w:contextualSpacing/>
              <w:jc w:val="center"/>
              <w:rPr>
                <w:sz w:val="24"/>
                <w:szCs w:val="24"/>
              </w:rPr>
            </w:pPr>
            <w:r w:rsidRPr="00792B36">
              <w:rPr>
                <w:color w:val="000000"/>
                <w:sz w:val="24"/>
                <w:szCs w:val="24"/>
              </w:rPr>
              <w:t>1,215.59</w:t>
            </w:r>
          </w:p>
        </w:tc>
        <w:tc>
          <w:tcPr>
            <w:tcW w:w="900" w:type="dxa"/>
            <w:vAlign w:val="center"/>
          </w:tcPr>
          <w:p w14:paraId="7BFA9735" w14:textId="77777777" w:rsidR="009A0A63" w:rsidRPr="00792B36" w:rsidRDefault="009A0A63" w:rsidP="00A24459">
            <w:pPr>
              <w:contextualSpacing/>
              <w:jc w:val="center"/>
              <w:rPr>
                <w:sz w:val="24"/>
                <w:szCs w:val="24"/>
              </w:rPr>
            </w:pPr>
            <w:r w:rsidRPr="00792B36">
              <w:rPr>
                <w:color w:val="000000"/>
                <w:sz w:val="24"/>
                <w:szCs w:val="24"/>
              </w:rPr>
              <w:t>2,057.33</w:t>
            </w:r>
          </w:p>
        </w:tc>
      </w:tr>
      <w:tr w:rsidR="009A0A63" w:rsidRPr="00792B36" w14:paraId="3A756661" w14:textId="77777777" w:rsidTr="00A24459">
        <w:trPr>
          <w:trHeight w:val="340"/>
        </w:trPr>
        <w:tc>
          <w:tcPr>
            <w:tcW w:w="617" w:type="dxa"/>
            <w:vAlign w:val="center"/>
          </w:tcPr>
          <w:p w14:paraId="0E00CA2C" w14:textId="77777777" w:rsidR="009A0A63" w:rsidRPr="00792B36" w:rsidRDefault="009A0A63" w:rsidP="00A24459">
            <w:pPr>
              <w:contextualSpacing/>
              <w:jc w:val="center"/>
              <w:rPr>
                <w:sz w:val="24"/>
                <w:szCs w:val="24"/>
              </w:rPr>
            </w:pPr>
            <w:r w:rsidRPr="00792B36">
              <w:rPr>
                <w:b/>
                <w:bCs/>
                <w:color w:val="000000"/>
                <w:sz w:val="24"/>
                <w:szCs w:val="24"/>
              </w:rPr>
              <w:t>2009</w:t>
            </w:r>
          </w:p>
        </w:tc>
        <w:tc>
          <w:tcPr>
            <w:tcW w:w="1177" w:type="dxa"/>
            <w:vAlign w:val="center"/>
          </w:tcPr>
          <w:p w14:paraId="4F58A272" w14:textId="77777777" w:rsidR="009A0A63" w:rsidRPr="00792B36" w:rsidRDefault="009A0A63" w:rsidP="00A24459">
            <w:pPr>
              <w:contextualSpacing/>
              <w:jc w:val="center"/>
              <w:rPr>
                <w:sz w:val="24"/>
                <w:szCs w:val="24"/>
              </w:rPr>
            </w:pPr>
            <w:r w:rsidRPr="00792B36">
              <w:rPr>
                <w:color w:val="000000"/>
                <w:sz w:val="24"/>
                <w:szCs w:val="24"/>
              </w:rPr>
              <w:t>335.48</w:t>
            </w:r>
          </w:p>
        </w:tc>
        <w:tc>
          <w:tcPr>
            <w:tcW w:w="1095" w:type="dxa"/>
            <w:vAlign w:val="center"/>
          </w:tcPr>
          <w:p w14:paraId="165CCC8E" w14:textId="77777777" w:rsidR="009A0A63" w:rsidRPr="00792B36" w:rsidRDefault="009A0A63" w:rsidP="00A24459">
            <w:pPr>
              <w:contextualSpacing/>
              <w:jc w:val="center"/>
              <w:rPr>
                <w:sz w:val="24"/>
                <w:szCs w:val="24"/>
              </w:rPr>
            </w:pPr>
            <w:r w:rsidRPr="00792B36">
              <w:rPr>
                <w:color w:val="000000"/>
                <w:sz w:val="24"/>
                <w:szCs w:val="24"/>
              </w:rPr>
              <w:t>419.33</w:t>
            </w:r>
          </w:p>
        </w:tc>
        <w:tc>
          <w:tcPr>
            <w:tcW w:w="987" w:type="dxa"/>
            <w:vAlign w:val="center"/>
          </w:tcPr>
          <w:p w14:paraId="01200E99" w14:textId="77777777" w:rsidR="009A0A63" w:rsidRPr="00792B36" w:rsidRDefault="009A0A63" w:rsidP="00A24459">
            <w:pPr>
              <w:contextualSpacing/>
              <w:jc w:val="center"/>
              <w:rPr>
                <w:sz w:val="24"/>
                <w:szCs w:val="24"/>
              </w:rPr>
            </w:pPr>
            <w:r w:rsidRPr="00792B36">
              <w:rPr>
                <w:color w:val="000000"/>
                <w:sz w:val="24"/>
                <w:szCs w:val="24"/>
              </w:rPr>
              <w:t>616.92</w:t>
            </w:r>
          </w:p>
        </w:tc>
        <w:tc>
          <w:tcPr>
            <w:tcW w:w="1080" w:type="dxa"/>
            <w:vAlign w:val="center"/>
          </w:tcPr>
          <w:p w14:paraId="45DCC119" w14:textId="77777777" w:rsidR="009A0A63" w:rsidRPr="00792B36" w:rsidRDefault="009A0A63" w:rsidP="00A24459">
            <w:pPr>
              <w:contextualSpacing/>
              <w:jc w:val="center"/>
              <w:rPr>
                <w:sz w:val="24"/>
                <w:szCs w:val="24"/>
              </w:rPr>
            </w:pPr>
            <w:r w:rsidRPr="00792B36">
              <w:rPr>
                <w:color w:val="000000"/>
                <w:sz w:val="24"/>
                <w:szCs w:val="24"/>
              </w:rPr>
              <w:t>1,371.22</w:t>
            </w:r>
          </w:p>
        </w:tc>
        <w:tc>
          <w:tcPr>
            <w:tcW w:w="1177" w:type="dxa"/>
            <w:vAlign w:val="center"/>
          </w:tcPr>
          <w:p w14:paraId="40E8BACB" w14:textId="77777777" w:rsidR="009A0A63" w:rsidRPr="00792B36" w:rsidRDefault="009A0A63" w:rsidP="00A24459">
            <w:pPr>
              <w:contextualSpacing/>
              <w:jc w:val="center"/>
              <w:rPr>
                <w:sz w:val="24"/>
                <w:szCs w:val="24"/>
              </w:rPr>
            </w:pPr>
            <w:r w:rsidRPr="00792B36">
              <w:rPr>
                <w:color w:val="000000"/>
                <w:sz w:val="24"/>
                <w:szCs w:val="24"/>
              </w:rPr>
              <w:t>464.04</w:t>
            </w:r>
          </w:p>
        </w:tc>
        <w:tc>
          <w:tcPr>
            <w:tcW w:w="1027" w:type="dxa"/>
            <w:vAlign w:val="center"/>
          </w:tcPr>
          <w:p w14:paraId="3B52D377" w14:textId="77777777" w:rsidR="009A0A63" w:rsidRPr="00792B36" w:rsidRDefault="009A0A63" w:rsidP="00A24459">
            <w:pPr>
              <w:contextualSpacing/>
              <w:jc w:val="center"/>
              <w:rPr>
                <w:sz w:val="24"/>
                <w:szCs w:val="24"/>
              </w:rPr>
            </w:pPr>
            <w:r w:rsidRPr="00792B36">
              <w:rPr>
                <w:color w:val="000000"/>
                <w:sz w:val="24"/>
                <w:szCs w:val="24"/>
              </w:rPr>
              <w:t>403.57</w:t>
            </w:r>
          </w:p>
        </w:tc>
        <w:tc>
          <w:tcPr>
            <w:tcW w:w="957" w:type="dxa"/>
            <w:vAlign w:val="center"/>
          </w:tcPr>
          <w:p w14:paraId="73874E46" w14:textId="77777777" w:rsidR="009A0A63" w:rsidRPr="00792B36" w:rsidRDefault="009A0A63" w:rsidP="00A24459">
            <w:pPr>
              <w:contextualSpacing/>
              <w:jc w:val="center"/>
              <w:rPr>
                <w:sz w:val="24"/>
                <w:szCs w:val="24"/>
              </w:rPr>
            </w:pPr>
            <w:r w:rsidRPr="00792B36">
              <w:rPr>
                <w:color w:val="000000"/>
                <w:sz w:val="24"/>
                <w:szCs w:val="24"/>
              </w:rPr>
              <w:t>1,175.65</w:t>
            </w:r>
          </w:p>
        </w:tc>
        <w:tc>
          <w:tcPr>
            <w:tcW w:w="900" w:type="dxa"/>
            <w:vAlign w:val="center"/>
          </w:tcPr>
          <w:p w14:paraId="28D2CFAA" w14:textId="77777777" w:rsidR="009A0A63" w:rsidRPr="00792B36" w:rsidRDefault="009A0A63" w:rsidP="00A24459">
            <w:pPr>
              <w:contextualSpacing/>
              <w:jc w:val="center"/>
              <w:rPr>
                <w:sz w:val="24"/>
                <w:szCs w:val="24"/>
              </w:rPr>
            </w:pPr>
            <w:r w:rsidRPr="00792B36">
              <w:rPr>
                <w:color w:val="000000"/>
                <w:sz w:val="24"/>
                <w:szCs w:val="24"/>
              </w:rPr>
              <w:t>2,019.21</w:t>
            </w:r>
          </w:p>
        </w:tc>
      </w:tr>
      <w:tr w:rsidR="009A0A63" w:rsidRPr="00792B36" w14:paraId="573339F3" w14:textId="77777777" w:rsidTr="00A24459">
        <w:trPr>
          <w:trHeight w:val="340"/>
        </w:trPr>
        <w:tc>
          <w:tcPr>
            <w:tcW w:w="617" w:type="dxa"/>
            <w:vAlign w:val="center"/>
          </w:tcPr>
          <w:p w14:paraId="44E564DD" w14:textId="77777777" w:rsidR="009A0A63" w:rsidRPr="00792B36" w:rsidRDefault="009A0A63" w:rsidP="00A24459">
            <w:pPr>
              <w:contextualSpacing/>
              <w:jc w:val="center"/>
              <w:rPr>
                <w:sz w:val="24"/>
                <w:szCs w:val="24"/>
              </w:rPr>
            </w:pPr>
            <w:r w:rsidRPr="00792B36">
              <w:rPr>
                <w:b/>
                <w:bCs/>
                <w:color w:val="000000"/>
                <w:sz w:val="24"/>
                <w:szCs w:val="24"/>
              </w:rPr>
              <w:t>2010</w:t>
            </w:r>
          </w:p>
        </w:tc>
        <w:tc>
          <w:tcPr>
            <w:tcW w:w="1177" w:type="dxa"/>
            <w:vAlign w:val="center"/>
          </w:tcPr>
          <w:p w14:paraId="2F5B5305" w14:textId="77777777" w:rsidR="009A0A63" w:rsidRPr="00792B36" w:rsidRDefault="009A0A63" w:rsidP="00A24459">
            <w:pPr>
              <w:contextualSpacing/>
              <w:jc w:val="center"/>
              <w:rPr>
                <w:sz w:val="24"/>
                <w:szCs w:val="24"/>
              </w:rPr>
            </w:pPr>
            <w:r w:rsidRPr="00792B36">
              <w:rPr>
                <w:color w:val="000000"/>
                <w:sz w:val="24"/>
                <w:szCs w:val="24"/>
              </w:rPr>
              <w:t>328.36</w:t>
            </w:r>
          </w:p>
        </w:tc>
        <w:tc>
          <w:tcPr>
            <w:tcW w:w="1095" w:type="dxa"/>
            <w:vAlign w:val="center"/>
          </w:tcPr>
          <w:p w14:paraId="5D8CAD66" w14:textId="77777777" w:rsidR="009A0A63" w:rsidRPr="00792B36" w:rsidRDefault="009A0A63" w:rsidP="00A24459">
            <w:pPr>
              <w:contextualSpacing/>
              <w:jc w:val="center"/>
              <w:rPr>
                <w:sz w:val="24"/>
                <w:szCs w:val="24"/>
              </w:rPr>
            </w:pPr>
            <w:r w:rsidRPr="00792B36">
              <w:rPr>
                <w:color w:val="000000"/>
                <w:sz w:val="24"/>
                <w:szCs w:val="24"/>
              </w:rPr>
              <w:t>512.11</w:t>
            </w:r>
          </w:p>
        </w:tc>
        <w:tc>
          <w:tcPr>
            <w:tcW w:w="987" w:type="dxa"/>
            <w:vAlign w:val="center"/>
          </w:tcPr>
          <w:p w14:paraId="78E4FFF0" w14:textId="77777777" w:rsidR="009A0A63" w:rsidRPr="00792B36" w:rsidRDefault="009A0A63" w:rsidP="00A24459">
            <w:pPr>
              <w:contextualSpacing/>
              <w:jc w:val="center"/>
              <w:rPr>
                <w:sz w:val="24"/>
                <w:szCs w:val="24"/>
              </w:rPr>
            </w:pPr>
            <w:r w:rsidRPr="00792B36">
              <w:rPr>
                <w:color w:val="000000"/>
                <w:sz w:val="24"/>
                <w:szCs w:val="24"/>
              </w:rPr>
              <w:t>687.91</w:t>
            </w:r>
          </w:p>
        </w:tc>
        <w:tc>
          <w:tcPr>
            <w:tcW w:w="1080" w:type="dxa"/>
            <w:vAlign w:val="center"/>
          </w:tcPr>
          <w:p w14:paraId="043B8AE2" w14:textId="77777777" w:rsidR="009A0A63" w:rsidRPr="00792B36" w:rsidRDefault="009A0A63" w:rsidP="00A24459">
            <w:pPr>
              <w:contextualSpacing/>
              <w:jc w:val="center"/>
              <w:rPr>
                <w:sz w:val="24"/>
                <w:szCs w:val="24"/>
              </w:rPr>
            </w:pPr>
            <w:r w:rsidRPr="00792B36">
              <w:rPr>
                <w:color w:val="000000"/>
                <w:sz w:val="24"/>
                <w:szCs w:val="24"/>
              </w:rPr>
              <w:t>1,521.96</w:t>
            </w:r>
          </w:p>
        </w:tc>
        <w:tc>
          <w:tcPr>
            <w:tcW w:w="1177" w:type="dxa"/>
            <w:vAlign w:val="center"/>
          </w:tcPr>
          <w:p w14:paraId="7B4BBAC4" w14:textId="77777777" w:rsidR="009A0A63" w:rsidRPr="00792B36" w:rsidRDefault="009A0A63" w:rsidP="00A24459">
            <w:pPr>
              <w:contextualSpacing/>
              <w:jc w:val="center"/>
              <w:rPr>
                <w:sz w:val="24"/>
                <w:szCs w:val="24"/>
              </w:rPr>
            </w:pPr>
            <w:r w:rsidRPr="00792B36">
              <w:rPr>
                <w:color w:val="000000"/>
                <w:sz w:val="24"/>
                <w:szCs w:val="24"/>
              </w:rPr>
              <w:t>449.05</w:t>
            </w:r>
          </w:p>
        </w:tc>
        <w:tc>
          <w:tcPr>
            <w:tcW w:w="1027" w:type="dxa"/>
            <w:vAlign w:val="center"/>
          </w:tcPr>
          <w:p w14:paraId="2348FA06" w14:textId="77777777" w:rsidR="009A0A63" w:rsidRPr="00792B36" w:rsidRDefault="009A0A63" w:rsidP="00A24459">
            <w:pPr>
              <w:contextualSpacing/>
              <w:jc w:val="center"/>
              <w:rPr>
                <w:sz w:val="24"/>
                <w:szCs w:val="24"/>
              </w:rPr>
            </w:pPr>
            <w:r w:rsidRPr="00792B36">
              <w:rPr>
                <w:color w:val="000000"/>
                <w:sz w:val="24"/>
                <w:szCs w:val="24"/>
              </w:rPr>
              <w:t>451.29</w:t>
            </w:r>
          </w:p>
        </w:tc>
        <w:tc>
          <w:tcPr>
            <w:tcW w:w="957" w:type="dxa"/>
            <w:vAlign w:val="center"/>
          </w:tcPr>
          <w:p w14:paraId="41AC8595" w14:textId="77777777" w:rsidR="009A0A63" w:rsidRPr="00792B36" w:rsidRDefault="009A0A63" w:rsidP="00A24459">
            <w:pPr>
              <w:contextualSpacing/>
              <w:jc w:val="center"/>
              <w:rPr>
                <w:sz w:val="24"/>
                <w:szCs w:val="24"/>
              </w:rPr>
            </w:pPr>
            <w:r w:rsidRPr="00792B36">
              <w:rPr>
                <w:color w:val="000000"/>
                <w:sz w:val="24"/>
                <w:szCs w:val="24"/>
              </w:rPr>
              <w:t>1,256.67</w:t>
            </w:r>
          </w:p>
        </w:tc>
        <w:tc>
          <w:tcPr>
            <w:tcW w:w="900" w:type="dxa"/>
            <w:vAlign w:val="center"/>
          </w:tcPr>
          <w:p w14:paraId="128D70F6" w14:textId="77777777" w:rsidR="009A0A63" w:rsidRPr="00792B36" w:rsidRDefault="009A0A63" w:rsidP="00A24459">
            <w:pPr>
              <w:contextualSpacing/>
              <w:jc w:val="center"/>
              <w:rPr>
                <w:sz w:val="24"/>
                <w:szCs w:val="24"/>
              </w:rPr>
            </w:pPr>
            <w:r w:rsidRPr="00792B36">
              <w:rPr>
                <w:color w:val="000000"/>
                <w:sz w:val="24"/>
                <w:szCs w:val="24"/>
              </w:rPr>
              <w:t>2,115.13</w:t>
            </w:r>
          </w:p>
        </w:tc>
      </w:tr>
      <w:tr w:rsidR="009A0A63" w:rsidRPr="00792B36" w14:paraId="616831D8" w14:textId="77777777" w:rsidTr="00A24459">
        <w:trPr>
          <w:trHeight w:val="340"/>
        </w:trPr>
        <w:tc>
          <w:tcPr>
            <w:tcW w:w="617" w:type="dxa"/>
            <w:vAlign w:val="center"/>
          </w:tcPr>
          <w:p w14:paraId="6342FC09" w14:textId="77777777" w:rsidR="009A0A63" w:rsidRPr="00792B36" w:rsidRDefault="009A0A63" w:rsidP="00A24459">
            <w:pPr>
              <w:contextualSpacing/>
              <w:jc w:val="center"/>
              <w:rPr>
                <w:sz w:val="24"/>
                <w:szCs w:val="24"/>
              </w:rPr>
            </w:pPr>
            <w:r w:rsidRPr="00792B36">
              <w:rPr>
                <w:b/>
                <w:bCs/>
                <w:color w:val="000000"/>
                <w:sz w:val="24"/>
                <w:szCs w:val="24"/>
              </w:rPr>
              <w:t>2011</w:t>
            </w:r>
          </w:p>
        </w:tc>
        <w:tc>
          <w:tcPr>
            <w:tcW w:w="1177" w:type="dxa"/>
            <w:vAlign w:val="center"/>
          </w:tcPr>
          <w:p w14:paraId="1BCBE087" w14:textId="77777777" w:rsidR="009A0A63" w:rsidRPr="00792B36" w:rsidRDefault="009A0A63" w:rsidP="00A24459">
            <w:pPr>
              <w:contextualSpacing/>
              <w:jc w:val="center"/>
              <w:rPr>
                <w:sz w:val="24"/>
                <w:szCs w:val="24"/>
              </w:rPr>
            </w:pPr>
            <w:r w:rsidRPr="00792B36">
              <w:rPr>
                <w:color w:val="000000"/>
                <w:sz w:val="24"/>
                <w:szCs w:val="24"/>
              </w:rPr>
              <w:t>268.86</w:t>
            </w:r>
          </w:p>
        </w:tc>
        <w:tc>
          <w:tcPr>
            <w:tcW w:w="1095" w:type="dxa"/>
            <w:vAlign w:val="center"/>
          </w:tcPr>
          <w:p w14:paraId="77716D29" w14:textId="77777777" w:rsidR="009A0A63" w:rsidRPr="00792B36" w:rsidRDefault="009A0A63" w:rsidP="00A24459">
            <w:pPr>
              <w:contextualSpacing/>
              <w:jc w:val="center"/>
              <w:rPr>
                <w:sz w:val="24"/>
                <w:szCs w:val="24"/>
              </w:rPr>
            </w:pPr>
            <w:r w:rsidRPr="00792B36">
              <w:rPr>
                <w:color w:val="000000"/>
                <w:sz w:val="24"/>
                <w:szCs w:val="24"/>
              </w:rPr>
              <w:t>441.73</w:t>
            </w:r>
          </w:p>
        </w:tc>
        <w:tc>
          <w:tcPr>
            <w:tcW w:w="987" w:type="dxa"/>
            <w:vAlign w:val="center"/>
          </w:tcPr>
          <w:p w14:paraId="5575C118" w14:textId="77777777" w:rsidR="009A0A63" w:rsidRPr="00792B36" w:rsidRDefault="009A0A63" w:rsidP="00A24459">
            <w:pPr>
              <w:contextualSpacing/>
              <w:jc w:val="center"/>
              <w:rPr>
                <w:sz w:val="24"/>
                <w:szCs w:val="24"/>
              </w:rPr>
            </w:pPr>
            <w:r w:rsidRPr="00792B36">
              <w:rPr>
                <w:color w:val="000000"/>
                <w:sz w:val="24"/>
                <w:szCs w:val="24"/>
              </w:rPr>
              <w:t>700.26</w:t>
            </w:r>
          </w:p>
        </w:tc>
        <w:tc>
          <w:tcPr>
            <w:tcW w:w="1080" w:type="dxa"/>
            <w:vAlign w:val="center"/>
          </w:tcPr>
          <w:p w14:paraId="217D91A8" w14:textId="77777777" w:rsidR="009A0A63" w:rsidRPr="00792B36" w:rsidRDefault="009A0A63" w:rsidP="00A24459">
            <w:pPr>
              <w:contextualSpacing/>
              <w:jc w:val="center"/>
              <w:rPr>
                <w:sz w:val="24"/>
                <w:szCs w:val="24"/>
              </w:rPr>
            </w:pPr>
            <w:r w:rsidRPr="00792B36">
              <w:rPr>
                <w:color w:val="000000"/>
                <w:sz w:val="24"/>
                <w:szCs w:val="24"/>
              </w:rPr>
              <w:t>1,383.92</w:t>
            </w:r>
          </w:p>
        </w:tc>
        <w:tc>
          <w:tcPr>
            <w:tcW w:w="1177" w:type="dxa"/>
            <w:vAlign w:val="center"/>
          </w:tcPr>
          <w:p w14:paraId="6949AEFF" w14:textId="77777777" w:rsidR="009A0A63" w:rsidRPr="00792B36" w:rsidRDefault="009A0A63" w:rsidP="00A24459">
            <w:pPr>
              <w:contextualSpacing/>
              <w:jc w:val="center"/>
              <w:rPr>
                <w:sz w:val="24"/>
                <w:szCs w:val="24"/>
              </w:rPr>
            </w:pPr>
            <w:r w:rsidRPr="00792B36">
              <w:rPr>
                <w:color w:val="000000"/>
                <w:sz w:val="24"/>
                <w:szCs w:val="24"/>
              </w:rPr>
              <w:t>432.07</w:t>
            </w:r>
          </w:p>
        </w:tc>
        <w:tc>
          <w:tcPr>
            <w:tcW w:w="1027" w:type="dxa"/>
            <w:vAlign w:val="center"/>
          </w:tcPr>
          <w:p w14:paraId="4ACB6C17" w14:textId="77777777" w:rsidR="009A0A63" w:rsidRPr="00792B36" w:rsidRDefault="009A0A63" w:rsidP="00A24459">
            <w:pPr>
              <w:contextualSpacing/>
              <w:jc w:val="center"/>
              <w:rPr>
                <w:sz w:val="24"/>
                <w:szCs w:val="24"/>
              </w:rPr>
            </w:pPr>
            <w:r w:rsidRPr="00792B36">
              <w:rPr>
                <w:color w:val="000000"/>
                <w:sz w:val="24"/>
                <w:szCs w:val="24"/>
              </w:rPr>
              <w:t>456.24</w:t>
            </w:r>
          </w:p>
        </w:tc>
        <w:tc>
          <w:tcPr>
            <w:tcW w:w="957" w:type="dxa"/>
            <w:vAlign w:val="center"/>
          </w:tcPr>
          <w:p w14:paraId="78FE8711" w14:textId="77777777" w:rsidR="009A0A63" w:rsidRPr="00792B36" w:rsidRDefault="009A0A63" w:rsidP="00A24459">
            <w:pPr>
              <w:contextualSpacing/>
              <w:jc w:val="center"/>
              <w:rPr>
                <w:sz w:val="24"/>
                <w:szCs w:val="24"/>
              </w:rPr>
            </w:pPr>
            <w:r w:rsidRPr="00792B36">
              <w:rPr>
                <w:color w:val="000000"/>
                <w:sz w:val="24"/>
                <w:szCs w:val="24"/>
              </w:rPr>
              <w:t>1,328.08</w:t>
            </w:r>
          </w:p>
        </w:tc>
        <w:tc>
          <w:tcPr>
            <w:tcW w:w="900" w:type="dxa"/>
            <w:vAlign w:val="center"/>
          </w:tcPr>
          <w:p w14:paraId="579099C6" w14:textId="77777777" w:rsidR="009A0A63" w:rsidRPr="00792B36" w:rsidRDefault="009A0A63" w:rsidP="00A24459">
            <w:pPr>
              <w:contextualSpacing/>
              <w:jc w:val="center"/>
              <w:rPr>
                <w:sz w:val="24"/>
                <w:szCs w:val="24"/>
              </w:rPr>
            </w:pPr>
            <w:r w:rsidRPr="00792B36">
              <w:rPr>
                <w:color w:val="000000"/>
                <w:sz w:val="24"/>
                <w:szCs w:val="24"/>
              </w:rPr>
              <w:t>2,144.25</w:t>
            </w:r>
          </w:p>
        </w:tc>
      </w:tr>
      <w:tr w:rsidR="009A0A63" w:rsidRPr="00792B36" w14:paraId="4E8E0774" w14:textId="77777777" w:rsidTr="00A24459">
        <w:trPr>
          <w:trHeight w:val="340"/>
        </w:trPr>
        <w:tc>
          <w:tcPr>
            <w:tcW w:w="617" w:type="dxa"/>
            <w:vAlign w:val="center"/>
          </w:tcPr>
          <w:p w14:paraId="754D2167" w14:textId="77777777" w:rsidR="009A0A63" w:rsidRPr="00792B36" w:rsidRDefault="009A0A63" w:rsidP="00A24459">
            <w:pPr>
              <w:contextualSpacing/>
              <w:jc w:val="center"/>
              <w:rPr>
                <w:sz w:val="24"/>
                <w:szCs w:val="24"/>
              </w:rPr>
            </w:pPr>
            <w:r w:rsidRPr="00792B36">
              <w:rPr>
                <w:b/>
                <w:bCs/>
                <w:color w:val="000000"/>
                <w:sz w:val="24"/>
                <w:szCs w:val="24"/>
              </w:rPr>
              <w:t>2012</w:t>
            </w:r>
          </w:p>
        </w:tc>
        <w:tc>
          <w:tcPr>
            <w:tcW w:w="1177" w:type="dxa"/>
            <w:vAlign w:val="center"/>
          </w:tcPr>
          <w:p w14:paraId="2B0768E0" w14:textId="77777777" w:rsidR="009A0A63" w:rsidRPr="00792B36" w:rsidRDefault="009A0A63" w:rsidP="00A24459">
            <w:pPr>
              <w:contextualSpacing/>
              <w:jc w:val="center"/>
              <w:rPr>
                <w:sz w:val="24"/>
                <w:szCs w:val="24"/>
              </w:rPr>
            </w:pPr>
            <w:r w:rsidRPr="00792B36">
              <w:rPr>
                <w:color w:val="000000"/>
                <w:sz w:val="24"/>
                <w:szCs w:val="24"/>
              </w:rPr>
              <w:t>284.97</w:t>
            </w:r>
          </w:p>
        </w:tc>
        <w:tc>
          <w:tcPr>
            <w:tcW w:w="1095" w:type="dxa"/>
            <w:vAlign w:val="center"/>
          </w:tcPr>
          <w:p w14:paraId="564F27F9" w14:textId="77777777" w:rsidR="009A0A63" w:rsidRPr="00792B36" w:rsidRDefault="009A0A63" w:rsidP="00A24459">
            <w:pPr>
              <w:contextualSpacing/>
              <w:jc w:val="center"/>
              <w:rPr>
                <w:sz w:val="24"/>
                <w:szCs w:val="24"/>
              </w:rPr>
            </w:pPr>
            <w:r w:rsidRPr="00792B36">
              <w:rPr>
                <w:color w:val="000000"/>
                <w:sz w:val="24"/>
                <w:szCs w:val="24"/>
              </w:rPr>
              <w:t>441.99</w:t>
            </w:r>
          </w:p>
        </w:tc>
        <w:tc>
          <w:tcPr>
            <w:tcW w:w="987" w:type="dxa"/>
            <w:vAlign w:val="center"/>
          </w:tcPr>
          <w:p w14:paraId="35BD6A0D" w14:textId="77777777" w:rsidR="009A0A63" w:rsidRPr="00792B36" w:rsidRDefault="009A0A63" w:rsidP="00A24459">
            <w:pPr>
              <w:contextualSpacing/>
              <w:jc w:val="center"/>
              <w:rPr>
                <w:sz w:val="24"/>
                <w:szCs w:val="24"/>
              </w:rPr>
            </w:pPr>
            <w:r w:rsidRPr="00792B36">
              <w:rPr>
                <w:color w:val="000000"/>
                <w:sz w:val="24"/>
                <w:szCs w:val="24"/>
              </w:rPr>
              <w:t>737.50</w:t>
            </w:r>
          </w:p>
        </w:tc>
        <w:tc>
          <w:tcPr>
            <w:tcW w:w="1080" w:type="dxa"/>
            <w:vAlign w:val="center"/>
          </w:tcPr>
          <w:p w14:paraId="3E9A5275" w14:textId="77777777" w:rsidR="009A0A63" w:rsidRPr="00792B36" w:rsidRDefault="009A0A63" w:rsidP="00A24459">
            <w:pPr>
              <w:contextualSpacing/>
              <w:jc w:val="center"/>
              <w:rPr>
                <w:sz w:val="24"/>
                <w:szCs w:val="24"/>
              </w:rPr>
            </w:pPr>
            <w:r w:rsidRPr="00792B36">
              <w:rPr>
                <w:color w:val="000000"/>
                <w:sz w:val="24"/>
                <w:szCs w:val="24"/>
              </w:rPr>
              <w:t>1,439.51</w:t>
            </w:r>
          </w:p>
        </w:tc>
        <w:tc>
          <w:tcPr>
            <w:tcW w:w="1177" w:type="dxa"/>
            <w:vAlign w:val="center"/>
          </w:tcPr>
          <w:p w14:paraId="415A3542" w14:textId="77777777" w:rsidR="009A0A63" w:rsidRPr="00792B36" w:rsidRDefault="009A0A63" w:rsidP="00A24459">
            <w:pPr>
              <w:contextualSpacing/>
              <w:jc w:val="center"/>
              <w:rPr>
                <w:sz w:val="24"/>
                <w:szCs w:val="24"/>
              </w:rPr>
            </w:pPr>
            <w:r w:rsidRPr="00792B36">
              <w:rPr>
                <w:color w:val="000000"/>
                <w:sz w:val="24"/>
                <w:szCs w:val="24"/>
              </w:rPr>
              <w:t>490.29</w:t>
            </w:r>
          </w:p>
        </w:tc>
        <w:tc>
          <w:tcPr>
            <w:tcW w:w="1027" w:type="dxa"/>
            <w:vAlign w:val="center"/>
          </w:tcPr>
          <w:p w14:paraId="3CBA0E40" w14:textId="77777777" w:rsidR="009A0A63" w:rsidRPr="00792B36" w:rsidRDefault="009A0A63" w:rsidP="00A24459">
            <w:pPr>
              <w:contextualSpacing/>
              <w:jc w:val="center"/>
              <w:rPr>
                <w:sz w:val="24"/>
                <w:szCs w:val="24"/>
              </w:rPr>
            </w:pPr>
            <w:r w:rsidRPr="00792B36">
              <w:rPr>
                <w:color w:val="000000"/>
                <w:sz w:val="24"/>
                <w:szCs w:val="24"/>
              </w:rPr>
              <w:t>464.84</w:t>
            </w:r>
          </w:p>
        </w:tc>
        <w:tc>
          <w:tcPr>
            <w:tcW w:w="957" w:type="dxa"/>
            <w:vAlign w:val="center"/>
          </w:tcPr>
          <w:p w14:paraId="48C18EF5" w14:textId="77777777" w:rsidR="009A0A63" w:rsidRPr="00792B36" w:rsidRDefault="009A0A63" w:rsidP="00A24459">
            <w:pPr>
              <w:contextualSpacing/>
              <w:jc w:val="center"/>
              <w:rPr>
                <w:sz w:val="24"/>
                <w:szCs w:val="24"/>
              </w:rPr>
            </w:pPr>
            <w:r w:rsidRPr="00792B36">
              <w:rPr>
                <w:color w:val="000000"/>
                <w:sz w:val="24"/>
                <w:szCs w:val="24"/>
              </w:rPr>
              <w:t>1,410.19</w:t>
            </w:r>
          </w:p>
        </w:tc>
        <w:tc>
          <w:tcPr>
            <w:tcW w:w="900" w:type="dxa"/>
            <w:vAlign w:val="center"/>
          </w:tcPr>
          <w:p w14:paraId="44962173" w14:textId="77777777" w:rsidR="009A0A63" w:rsidRPr="00792B36" w:rsidRDefault="009A0A63" w:rsidP="00A24459">
            <w:pPr>
              <w:contextualSpacing/>
              <w:jc w:val="center"/>
              <w:rPr>
                <w:sz w:val="24"/>
                <w:szCs w:val="24"/>
              </w:rPr>
            </w:pPr>
            <w:r w:rsidRPr="00792B36">
              <w:rPr>
                <w:color w:val="000000"/>
                <w:sz w:val="24"/>
                <w:szCs w:val="24"/>
              </w:rPr>
              <w:t>2,319.60</w:t>
            </w:r>
          </w:p>
        </w:tc>
      </w:tr>
      <w:tr w:rsidR="009A0A63" w:rsidRPr="00792B36" w14:paraId="140647FA" w14:textId="77777777" w:rsidTr="00A24459">
        <w:trPr>
          <w:trHeight w:val="340"/>
        </w:trPr>
        <w:tc>
          <w:tcPr>
            <w:tcW w:w="617" w:type="dxa"/>
            <w:vAlign w:val="center"/>
          </w:tcPr>
          <w:p w14:paraId="39C0BC57" w14:textId="77777777" w:rsidR="009A0A63" w:rsidRPr="00792B36" w:rsidRDefault="009A0A63" w:rsidP="00A24459">
            <w:pPr>
              <w:contextualSpacing/>
              <w:jc w:val="center"/>
              <w:rPr>
                <w:sz w:val="24"/>
                <w:szCs w:val="24"/>
              </w:rPr>
            </w:pPr>
            <w:r w:rsidRPr="00792B36">
              <w:rPr>
                <w:b/>
                <w:bCs/>
                <w:color w:val="000000"/>
                <w:sz w:val="24"/>
                <w:szCs w:val="24"/>
              </w:rPr>
              <w:t>2013</w:t>
            </w:r>
          </w:p>
        </w:tc>
        <w:tc>
          <w:tcPr>
            <w:tcW w:w="1177" w:type="dxa"/>
            <w:vAlign w:val="center"/>
          </w:tcPr>
          <w:p w14:paraId="32062F39" w14:textId="77777777" w:rsidR="009A0A63" w:rsidRPr="00792B36" w:rsidRDefault="009A0A63" w:rsidP="00A24459">
            <w:pPr>
              <w:contextualSpacing/>
              <w:jc w:val="center"/>
              <w:rPr>
                <w:sz w:val="24"/>
                <w:szCs w:val="24"/>
              </w:rPr>
            </w:pPr>
            <w:r w:rsidRPr="00792B36">
              <w:rPr>
                <w:color w:val="000000"/>
                <w:sz w:val="24"/>
                <w:szCs w:val="24"/>
              </w:rPr>
              <w:t>346.95</w:t>
            </w:r>
          </w:p>
        </w:tc>
        <w:tc>
          <w:tcPr>
            <w:tcW w:w="1095" w:type="dxa"/>
            <w:vAlign w:val="center"/>
          </w:tcPr>
          <w:p w14:paraId="324E5A7A" w14:textId="77777777" w:rsidR="009A0A63" w:rsidRPr="00792B36" w:rsidRDefault="009A0A63" w:rsidP="00A24459">
            <w:pPr>
              <w:contextualSpacing/>
              <w:jc w:val="center"/>
              <w:rPr>
                <w:sz w:val="24"/>
                <w:szCs w:val="24"/>
              </w:rPr>
            </w:pPr>
            <w:r w:rsidRPr="00792B36">
              <w:rPr>
                <w:color w:val="000000"/>
                <w:sz w:val="24"/>
                <w:szCs w:val="24"/>
              </w:rPr>
              <w:t>408.96</w:t>
            </w:r>
          </w:p>
        </w:tc>
        <w:tc>
          <w:tcPr>
            <w:tcW w:w="987" w:type="dxa"/>
            <w:vAlign w:val="center"/>
          </w:tcPr>
          <w:p w14:paraId="02F1B9B7" w14:textId="77777777" w:rsidR="009A0A63" w:rsidRPr="00792B36" w:rsidRDefault="009A0A63" w:rsidP="00A24459">
            <w:pPr>
              <w:contextualSpacing/>
              <w:jc w:val="center"/>
              <w:rPr>
                <w:sz w:val="24"/>
                <w:szCs w:val="24"/>
              </w:rPr>
            </w:pPr>
            <w:r w:rsidRPr="00792B36">
              <w:rPr>
                <w:color w:val="000000"/>
                <w:sz w:val="24"/>
                <w:szCs w:val="24"/>
              </w:rPr>
              <w:t>714.86</w:t>
            </w:r>
          </w:p>
        </w:tc>
        <w:tc>
          <w:tcPr>
            <w:tcW w:w="1080" w:type="dxa"/>
            <w:vAlign w:val="center"/>
          </w:tcPr>
          <w:p w14:paraId="0E6E4839" w14:textId="77777777" w:rsidR="009A0A63" w:rsidRPr="00792B36" w:rsidRDefault="009A0A63" w:rsidP="00A24459">
            <w:pPr>
              <w:contextualSpacing/>
              <w:jc w:val="center"/>
              <w:rPr>
                <w:sz w:val="24"/>
                <w:szCs w:val="24"/>
              </w:rPr>
            </w:pPr>
            <w:r w:rsidRPr="00792B36">
              <w:rPr>
                <w:color w:val="000000"/>
                <w:sz w:val="24"/>
                <w:szCs w:val="24"/>
              </w:rPr>
              <w:t>1,474.18</w:t>
            </w:r>
          </w:p>
        </w:tc>
        <w:tc>
          <w:tcPr>
            <w:tcW w:w="1177" w:type="dxa"/>
            <w:vAlign w:val="center"/>
          </w:tcPr>
          <w:p w14:paraId="37D562AA" w14:textId="77777777" w:rsidR="009A0A63" w:rsidRPr="00792B36" w:rsidRDefault="009A0A63" w:rsidP="00A24459">
            <w:pPr>
              <w:contextualSpacing/>
              <w:jc w:val="center"/>
              <w:rPr>
                <w:sz w:val="24"/>
                <w:szCs w:val="24"/>
              </w:rPr>
            </w:pPr>
            <w:r w:rsidRPr="00792B36">
              <w:rPr>
                <w:color w:val="000000"/>
                <w:sz w:val="24"/>
                <w:szCs w:val="24"/>
              </w:rPr>
              <w:t>555.14</w:t>
            </w:r>
          </w:p>
        </w:tc>
        <w:tc>
          <w:tcPr>
            <w:tcW w:w="1027" w:type="dxa"/>
            <w:vAlign w:val="center"/>
          </w:tcPr>
          <w:p w14:paraId="1036E7D5" w14:textId="77777777" w:rsidR="009A0A63" w:rsidRPr="00792B36" w:rsidRDefault="009A0A63" w:rsidP="00A24459">
            <w:pPr>
              <w:contextualSpacing/>
              <w:jc w:val="center"/>
              <w:rPr>
                <w:sz w:val="24"/>
                <w:szCs w:val="24"/>
              </w:rPr>
            </w:pPr>
            <w:r w:rsidRPr="00792B36">
              <w:rPr>
                <w:color w:val="000000"/>
                <w:sz w:val="24"/>
                <w:szCs w:val="24"/>
              </w:rPr>
              <w:t>479.62</w:t>
            </w:r>
          </w:p>
        </w:tc>
        <w:tc>
          <w:tcPr>
            <w:tcW w:w="957" w:type="dxa"/>
            <w:vAlign w:val="center"/>
          </w:tcPr>
          <w:p w14:paraId="25688237" w14:textId="77777777" w:rsidR="009A0A63" w:rsidRPr="00792B36" w:rsidRDefault="009A0A63" w:rsidP="00A24459">
            <w:pPr>
              <w:contextualSpacing/>
              <w:jc w:val="center"/>
              <w:rPr>
                <w:sz w:val="24"/>
                <w:szCs w:val="24"/>
              </w:rPr>
            </w:pPr>
            <w:r w:rsidRPr="00792B36">
              <w:rPr>
                <w:color w:val="000000"/>
                <w:sz w:val="24"/>
                <w:szCs w:val="24"/>
              </w:rPr>
              <w:t>1,436.51</w:t>
            </w:r>
          </w:p>
        </w:tc>
        <w:tc>
          <w:tcPr>
            <w:tcW w:w="900" w:type="dxa"/>
            <w:vAlign w:val="center"/>
          </w:tcPr>
          <w:p w14:paraId="3558356C" w14:textId="77777777" w:rsidR="009A0A63" w:rsidRPr="00792B36" w:rsidRDefault="009A0A63" w:rsidP="00A24459">
            <w:pPr>
              <w:contextualSpacing/>
              <w:jc w:val="center"/>
              <w:rPr>
                <w:sz w:val="24"/>
                <w:szCs w:val="24"/>
              </w:rPr>
            </w:pPr>
            <w:r w:rsidRPr="00792B36">
              <w:rPr>
                <w:color w:val="000000"/>
                <w:sz w:val="24"/>
                <w:szCs w:val="24"/>
              </w:rPr>
              <w:t>2,460.38</w:t>
            </w:r>
          </w:p>
        </w:tc>
      </w:tr>
      <w:tr w:rsidR="009A0A63" w:rsidRPr="00792B36" w14:paraId="5231F975" w14:textId="77777777" w:rsidTr="00A24459">
        <w:trPr>
          <w:trHeight w:val="340"/>
        </w:trPr>
        <w:tc>
          <w:tcPr>
            <w:tcW w:w="617" w:type="dxa"/>
            <w:vAlign w:val="center"/>
          </w:tcPr>
          <w:p w14:paraId="50041032" w14:textId="77777777" w:rsidR="009A0A63" w:rsidRPr="00792B36" w:rsidRDefault="009A0A63" w:rsidP="00A24459">
            <w:pPr>
              <w:contextualSpacing/>
              <w:jc w:val="center"/>
              <w:rPr>
                <w:sz w:val="24"/>
                <w:szCs w:val="24"/>
              </w:rPr>
            </w:pPr>
            <w:r w:rsidRPr="00792B36">
              <w:rPr>
                <w:b/>
                <w:bCs/>
                <w:color w:val="000000"/>
                <w:sz w:val="24"/>
                <w:szCs w:val="24"/>
              </w:rPr>
              <w:t>2014</w:t>
            </w:r>
          </w:p>
        </w:tc>
        <w:tc>
          <w:tcPr>
            <w:tcW w:w="1177" w:type="dxa"/>
            <w:vAlign w:val="center"/>
          </w:tcPr>
          <w:p w14:paraId="46EE27DA" w14:textId="77777777" w:rsidR="009A0A63" w:rsidRPr="00792B36" w:rsidRDefault="009A0A63" w:rsidP="00A24459">
            <w:pPr>
              <w:contextualSpacing/>
              <w:jc w:val="center"/>
              <w:rPr>
                <w:sz w:val="24"/>
                <w:szCs w:val="24"/>
              </w:rPr>
            </w:pPr>
            <w:r w:rsidRPr="00792B36">
              <w:rPr>
                <w:color w:val="000000"/>
                <w:sz w:val="24"/>
                <w:szCs w:val="24"/>
              </w:rPr>
              <w:t>356.56</w:t>
            </w:r>
          </w:p>
        </w:tc>
        <w:tc>
          <w:tcPr>
            <w:tcW w:w="1095" w:type="dxa"/>
            <w:vAlign w:val="center"/>
          </w:tcPr>
          <w:p w14:paraId="397BC04B" w14:textId="77777777" w:rsidR="009A0A63" w:rsidRPr="00792B36" w:rsidRDefault="009A0A63" w:rsidP="00A24459">
            <w:pPr>
              <w:contextualSpacing/>
              <w:jc w:val="center"/>
              <w:rPr>
                <w:sz w:val="24"/>
                <w:szCs w:val="24"/>
              </w:rPr>
            </w:pPr>
            <w:r w:rsidRPr="00792B36">
              <w:rPr>
                <w:color w:val="000000"/>
                <w:sz w:val="24"/>
                <w:szCs w:val="24"/>
              </w:rPr>
              <w:t>395.92</w:t>
            </w:r>
          </w:p>
        </w:tc>
        <w:tc>
          <w:tcPr>
            <w:tcW w:w="987" w:type="dxa"/>
            <w:vAlign w:val="center"/>
          </w:tcPr>
          <w:p w14:paraId="5B8CDEE0" w14:textId="77777777" w:rsidR="009A0A63" w:rsidRPr="00792B36" w:rsidRDefault="009A0A63" w:rsidP="00A24459">
            <w:pPr>
              <w:contextualSpacing/>
              <w:jc w:val="center"/>
              <w:rPr>
                <w:sz w:val="24"/>
                <w:szCs w:val="24"/>
              </w:rPr>
            </w:pPr>
            <w:r w:rsidRPr="00792B36">
              <w:rPr>
                <w:color w:val="000000"/>
                <w:sz w:val="24"/>
                <w:szCs w:val="24"/>
              </w:rPr>
              <w:t>663.86</w:t>
            </w:r>
          </w:p>
        </w:tc>
        <w:tc>
          <w:tcPr>
            <w:tcW w:w="1080" w:type="dxa"/>
            <w:vAlign w:val="center"/>
          </w:tcPr>
          <w:p w14:paraId="464F2B37" w14:textId="77777777" w:rsidR="009A0A63" w:rsidRPr="00792B36" w:rsidRDefault="009A0A63" w:rsidP="00A24459">
            <w:pPr>
              <w:contextualSpacing/>
              <w:jc w:val="center"/>
              <w:rPr>
                <w:sz w:val="24"/>
                <w:szCs w:val="24"/>
              </w:rPr>
            </w:pPr>
            <w:r w:rsidRPr="00792B36">
              <w:rPr>
                <w:color w:val="000000"/>
                <w:sz w:val="24"/>
                <w:szCs w:val="24"/>
              </w:rPr>
              <w:t>1,427.46</w:t>
            </w:r>
          </w:p>
        </w:tc>
        <w:tc>
          <w:tcPr>
            <w:tcW w:w="1177" w:type="dxa"/>
            <w:vAlign w:val="center"/>
          </w:tcPr>
          <w:p w14:paraId="6639AFC6" w14:textId="77777777" w:rsidR="009A0A63" w:rsidRPr="00792B36" w:rsidRDefault="009A0A63" w:rsidP="00A24459">
            <w:pPr>
              <w:contextualSpacing/>
              <w:jc w:val="center"/>
              <w:rPr>
                <w:sz w:val="24"/>
                <w:szCs w:val="24"/>
              </w:rPr>
            </w:pPr>
            <w:r w:rsidRPr="00792B36">
              <w:rPr>
                <w:color w:val="000000"/>
                <w:sz w:val="24"/>
                <w:szCs w:val="24"/>
              </w:rPr>
              <w:t>504.40</w:t>
            </w:r>
          </w:p>
        </w:tc>
        <w:tc>
          <w:tcPr>
            <w:tcW w:w="1027" w:type="dxa"/>
            <w:vAlign w:val="center"/>
          </w:tcPr>
          <w:p w14:paraId="4E19341E" w14:textId="77777777" w:rsidR="009A0A63" w:rsidRPr="00792B36" w:rsidRDefault="009A0A63" w:rsidP="00A24459">
            <w:pPr>
              <w:contextualSpacing/>
              <w:jc w:val="center"/>
              <w:rPr>
                <w:sz w:val="24"/>
                <w:szCs w:val="24"/>
              </w:rPr>
            </w:pPr>
            <w:r w:rsidRPr="00792B36">
              <w:rPr>
                <w:color w:val="000000"/>
                <w:sz w:val="24"/>
                <w:szCs w:val="24"/>
              </w:rPr>
              <w:t>495.73</w:t>
            </w:r>
          </w:p>
        </w:tc>
        <w:tc>
          <w:tcPr>
            <w:tcW w:w="957" w:type="dxa"/>
            <w:vAlign w:val="center"/>
          </w:tcPr>
          <w:p w14:paraId="37F14009" w14:textId="77777777" w:rsidR="009A0A63" w:rsidRPr="00792B36" w:rsidRDefault="009A0A63" w:rsidP="00A24459">
            <w:pPr>
              <w:contextualSpacing/>
              <w:jc w:val="center"/>
              <w:rPr>
                <w:sz w:val="24"/>
                <w:szCs w:val="24"/>
              </w:rPr>
            </w:pPr>
            <w:r w:rsidRPr="00792B36">
              <w:rPr>
                <w:color w:val="000000"/>
                <w:sz w:val="24"/>
                <w:szCs w:val="24"/>
              </w:rPr>
              <w:t>1,387.64</w:t>
            </w:r>
          </w:p>
        </w:tc>
        <w:tc>
          <w:tcPr>
            <w:tcW w:w="900" w:type="dxa"/>
            <w:vAlign w:val="center"/>
          </w:tcPr>
          <w:p w14:paraId="3D326AA4" w14:textId="77777777" w:rsidR="009A0A63" w:rsidRPr="00792B36" w:rsidRDefault="009A0A63" w:rsidP="00A24459">
            <w:pPr>
              <w:contextualSpacing/>
              <w:jc w:val="center"/>
              <w:rPr>
                <w:sz w:val="24"/>
                <w:szCs w:val="24"/>
              </w:rPr>
            </w:pPr>
            <w:r w:rsidRPr="00792B36">
              <w:rPr>
                <w:color w:val="000000"/>
                <w:sz w:val="24"/>
                <w:szCs w:val="24"/>
              </w:rPr>
              <w:t>2,359.72</w:t>
            </w:r>
          </w:p>
        </w:tc>
      </w:tr>
      <w:tr w:rsidR="009A0A63" w:rsidRPr="00792B36" w14:paraId="2615F5C0" w14:textId="77777777" w:rsidTr="00A24459">
        <w:trPr>
          <w:trHeight w:val="340"/>
        </w:trPr>
        <w:tc>
          <w:tcPr>
            <w:tcW w:w="617" w:type="dxa"/>
            <w:vAlign w:val="center"/>
          </w:tcPr>
          <w:p w14:paraId="623BDC36" w14:textId="77777777" w:rsidR="009A0A63" w:rsidRPr="00792B36" w:rsidRDefault="009A0A63" w:rsidP="00A24459">
            <w:pPr>
              <w:contextualSpacing/>
              <w:jc w:val="center"/>
              <w:rPr>
                <w:sz w:val="24"/>
                <w:szCs w:val="24"/>
              </w:rPr>
            </w:pPr>
            <w:r w:rsidRPr="00792B36">
              <w:rPr>
                <w:b/>
                <w:bCs/>
                <w:color w:val="000000"/>
                <w:sz w:val="24"/>
                <w:szCs w:val="24"/>
              </w:rPr>
              <w:t>2015</w:t>
            </w:r>
          </w:p>
        </w:tc>
        <w:tc>
          <w:tcPr>
            <w:tcW w:w="1177" w:type="dxa"/>
            <w:vAlign w:val="center"/>
          </w:tcPr>
          <w:p w14:paraId="2D7BF43C" w14:textId="77777777" w:rsidR="009A0A63" w:rsidRPr="00792B36" w:rsidRDefault="009A0A63" w:rsidP="00A24459">
            <w:pPr>
              <w:contextualSpacing/>
              <w:jc w:val="center"/>
              <w:rPr>
                <w:sz w:val="24"/>
                <w:szCs w:val="24"/>
              </w:rPr>
            </w:pPr>
            <w:r w:rsidRPr="00792B36">
              <w:rPr>
                <w:color w:val="000000"/>
                <w:sz w:val="24"/>
                <w:szCs w:val="24"/>
              </w:rPr>
              <w:t>322.16</w:t>
            </w:r>
          </w:p>
        </w:tc>
        <w:tc>
          <w:tcPr>
            <w:tcW w:w="1095" w:type="dxa"/>
            <w:vAlign w:val="center"/>
          </w:tcPr>
          <w:p w14:paraId="07557BDD" w14:textId="77777777" w:rsidR="009A0A63" w:rsidRPr="00792B36" w:rsidRDefault="009A0A63" w:rsidP="00A24459">
            <w:pPr>
              <w:contextualSpacing/>
              <w:jc w:val="center"/>
              <w:rPr>
                <w:sz w:val="24"/>
                <w:szCs w:val="24"/>
              </w:rPr>
            </w:pPr>
            <w:r w:rsidRPr="00792B36">
              <w:rPr>
                <w:color w:val="000000"/>
                <w:sz w:val="24"/>
                <w:szCs w:val="24"/>
              </w:rPr>
              <w:t>392.38</w:t>
            </w:r>
          </w:p>
        </w:tc>
        <w:tc>
          <w:tcPr>
            <w:tcW w:w="987" w:type="dxa"/>
            <w:vAlign w:val="center"/>
          </w:tcPr>
          <w:p w14:paraId="757D8D7F" w14:textId="77777777" w:rsidR="009A0A63" w:rsidRPr="00792B36" w:rsidRDefault="009A0A63" w:rsidP="00A24459">
            <w:pPr>
              <w:contextualSpacing/>
              <w:jc w:val="center"/>
              <w:rPr>
                <w:sz w:val="24"/>
                <w:szCs w:val="24"/>
              </w:rPr>
            </w:pPr>
            <w:r w:rsidRPr="00792B36">
              <w:rPr>
                <w:color w:val="000000"/>
                <w:sz w:val="24"/>
                <w:szCs w:val="24"/>
              </w:rPr>
              <w:t>685.53</w:t>
            </w:r>
          </w:p>
        </w:tc>
        <w:tc>
          <w:tcPr>
            <w:tcW w:w="1080" w:type="dxa"/>
            <w:vAlign w:val="center"/>
          </w:tcPr>
          <w:p w14:paraId="6CAA3486" w14:textId="77777777" w:rsidR="009A0A63" w:rsidRPr="00792B36" w:rsidRDefault="009A0A63" w:rsidP="00A24459">
            <w:pPr>
              <w:contextualSpacing/>
              <w:jc w:val="center"/>
              <w:rPr>
                <w:sz w:val="24"/>
                <w:szCs w:val="24"/>
              </w:rPr>
            </w:pPr>
            <w:r w:rsidRPr="00792B36">
              <w:rPr>
                <w:color w:val="000000"/>
                <w:sz w:val="24"/>
                <w:szCs w:val="24"/>
              </w:rPr>
              <w:t>1,406.91</w:t>
            </w:r>
          </w:p>
        </w:tc>
        <w:tc>
          <w:tcPr>
            <w:tcW w:w="1177" w:type="dxa"/>
            <w:vAlign w:val="center"/>
          </w:tcPr>
          <w:p w14:paraId="58ADEE64" w14:textId="77777777" w:rsidR="009A0A63" w:rsidRPr="00792B36" w:rsidRDefault="009A0A63" w:rsidP="00A24459">
            <w:pPr>
              <w:contextualSpacing/>
              <w:jc w:val="center"/>
              <w:rPr>
                <w:sz w:val="24"/>
                <w:szCs w:val="24"/>
              </w:rPr>
            </w:pPr>
            <w:r w:rsidRPr="00792B36">
              <w:rPr>
                <w:color w:val="000000"/>
                <w:sz w:val="24"/>
                <w:szCs w:val="24"/>
              </w:rPr>
              <w:t>478.49</w:t>
            </w:r>
          </w:p>
        </w:tc>
        <w:tc>
          <w:tcPr>
            <w:tcW w:w="1027" w:type="dxa"/>
            <w:vAlign w:val="center"/>
          </w:tcPr>
          <w:p w14:paraId="239F59F5" w14:textId="77777777" w:rsidR="009A0A63" w:rsidRPr="00792B36" w:rsidRDefault="009A0A63" w:rsidP="00A24459">
            <w:pPr>
              <w:contextualSpacing/>
              <w:jc w:val="center"/>
              <w:rPr>
                <w:sz w:val="24"/>
                <w:szCs w:val="24"/>
              </w:rPr>
            </w:pPr>
            <w:r w:rsidRPr="00792B36">
              <w:rPr>
                <w:color w:val="000000"/>
                <w:sz w:val="24"/>
                <w:szCs w:val="24"/>
              </w:rPr>
              <w:t>502.06</w:t>
            </w:r>
          </w:p>
        </w:tc>
        <w:tc>
          <w:tcPr>
            <w:tcW w:w="957" w:type="dxa"/>
            <w:vAlign w:val="center"/>
          </w:tcPr>
          <w:p w14:paraId="334AC780" w14:textId="77777777" w:rsidR="009A0A63" w:rsidRPr="00792B36" w:rsidRDefault="009A0A63" w:rsidP="00A24459">
            <w:pPr>
              <w:contextualSpacing/>
              <w:jc w:val="center"/>
              <w:rPr>
                <w:sz w:val="24"/>
                <w:szCs w:val="24"/>
              </w:rPr>
            </w:pPr>
            <w:r w:rsidRPr="00792B36">
              <w:rPr>
                <w:color w:val="000000"/>
                <w:sz w:val="24"/>
                <w:szCs w:val="24"/>
              </w:rPr>
              <w:t>1,475.67</w:t>
            </w:r>
          </w:p>
        </w:tc>
        <w:tc>
          <w:tcPr>
            <w:tcW w:w="900" w:type="dxa"/>
            <w:vAlign w:val="center"/>
          </w:tcPr>
          <w:p w14:paraId="56D43584" w14:textId="77777777" w:rsidR="009A0A63" w:rsidRPr="00792B36" w:rsidRDefault="009A0A63" w:rsidP="00A24459">
            <w:pPr>
              <w:contextualSpacing/>
              <w:jc w:val="center"/>
              <w:rPr>
                <w:sz w:val="24"/>
                <w:szCs w:val="24"/>
              </w:rPr>
            </w:pPr>
            <w:r w:rsidRPr="00792B36">
              <w:rPr>
                <w:color w:val="000000"/>
                <w:sz w:val="24"/>
                <w:szCs w:val="24"/>
              </w:rPr>
              <w:t>2,411.90</w:t>
            </w:r>
          </w:p>
        </w:tc>
      </w:tr>
      <w:tr w:rsidR="009A0A63" w:rsidRPr="00792B36" w14:paraId="452AF7A7" w14:textId="77777777" w:rsidTr="00A24459">
        <w:trPr>
          <w:trHeight w:val="340"/>
        </w:trPr>
        <w:tc>
          <w:tcPr>
            <w:tcW w:w="617" w:type="dxa"/>
            <w:vAlign w:val="center"/>
          </w:tcPr>
          <w:p w14:paraId="338196B3" w14:textId="77777777" w:rsidR="009A0A63" w:rsidRPr="00792B36" w:rsidRDefault="009A0A63" w:rsidP="00A24459">
            <w:pPr>
              <w:contextualSpacing/>
              <w:jc w:val="center"/>
              <w:rPr>
                <w:sz w:val="24"/>
                <w:szCs w:val="24"/>
              </w:rPr>
            </w:pPr>
            <w:r w:rsidRPr="00792B36">
              <w:rPr>
                <w:b/>
                <w:bCs/>
                <w:color w:val="000000"/>
                <w:sz w:val="24"/>
                <w:szCs w:val="24"/>
              </w:rPr>
              <w:t>2016</w:t>
            </w:r>
          </w:p>
        </w:tc>
        <w:tc>
          <w:tcPr>
            <w:tcW w:w="1177" w:type="dxa"/>
            <w:vAlign w:val="center"/>
          </w:tcPr>
          <w:p w14:paraId="0D7F239A" w14:textId="77777777" w:rsidR="009A0A63" w:rsidRPr="00792B36" w:rsidRDefault="009A0A63" w:rsidP="00A24459">
            <w:pPr>
              <w:contextualSpacing/>
              <w:jc w:val="center"/>
              <w:rPr>
                <w:sz w:val="24"/>
                <w:szCs w:val="24"/>
              </w:rPr>
            </w:pPr>
            <w:r w:rsidRPr="00792B36">
              <w:rPr>
                <w:color w:val="000000"/>
                <w:sz w:val="24"/>
                <w:szCs w:val="24"/>
              </w:rPr>
              <w:t>324.40</w:t>
            </w:r>
          </w:p>
        </w:tc>
        <w:tc>
          <w:tcPr>
            <w:tcW w:w="1095" w:type="dxa"/>
            <w:vAlign w:val="center"/>
          </w:tcPr>
          <w:p w14:paraId="618584DD" w14:textId="77777777" w:rsidR="009A0A63" w:rsidRPr="00792B36" w:rsidRDefault="009A0A63" w:rsidP="00A24459">
            <w:pPr>
              <w:contextualSpacing/>
              <w:jc w:val="center"/>
              <w:rPr>
                <w:sz w:val="24"/>
                <w:szCs w:val="24"/>
              </w:rPr>
            </w:pPr>
            <w:r w:rsidRPr="00792B36">
              <w:rPr>
                <w:color w:val="000000"/>
                <w:sz w:val="24"/>
                <w:szCs w:val="24"/>
              </w:rPr>
              <w:t>363.83</w:t>
            </w:r>
          </w:p>
        </w:tc>
        <w:tc>
          <w:tcPr>
            <w:tcW w:w="987" w:type="dxa"/>
            <w:vAlign w:val="center"/>
          </w:tcPr>
          <w:p w14:paraId="5A46FBC8" w14:textId="77777777" w:rsidR="009A0A63" w:rsidRPr="00792B36" w:rsidRDefault="009A0A63" w:rsidP="00A24459">
            <w:pPr>
              <w:contextualSpacing/>
              <w:jc w:val="center"/>
              <w:rPr>
                <w:sz w:val="24"/>
                <w:szCs w:val="24"/>
              </w:rPr>
            </w:pPr>
            <w:r w:rsidRPr="00792B36">
              <w:rPr>
                <w:color w:val="000000"/>
                <w:sz w:val="24"/>
                <w:szCs w:val="24"/>
              </w:rPr>
              <w:t>732.02</w:t>
            </w:r>
          </w:p>
        </w:tc>
        <w:tc>
          <w:tcPr>
            <w:tcW w:w="1080" w:type="dxa"/>
            <w:vAlign w:val="center"/>
          </w:tcPr>
          <w:p w14:paraId="70361E44" w14:textId="77777777" w:rsidR="009A0A63" w:rsidRPr="00792B36" w:rsidRDefault="009A0A63" w:rsidP="00A24459">
            <w:pPr>
              <w:contextualSpacing/>
              <w:jc w:val="center"/>
              <w:rPr>
                <w:sz w:val="24"/>
                <w:szCs w:val="24"/>
              </w:rPr>
            </w:pPr>
            <w:r w:rsidRPr="00792B36">
              <w:rPr>
                <w:color w:val="000000"/>
                <w:sz w:val="24"/>
                <w:szCs w:val="24"/>
              </w:rPr>
              <w:t>1,427.23</w:t>
            </w:r>
          </w:p>
        </w:tc>
        <w:tc>
          <w:tcPr>
            <w:tcW w:w="1177" w:type="dxa"/>
            <w:vAlign w:val="center"/>
          </w:tcPr>
          <w:p w14:paraId="67340525" w14:textId="77777777" w:rsidR="009A0A63" w:rsidRPr="00792B36" w:rsidRDefault="009A0A63" w:rsidP="00A24459">
            <w:pPr>
              <w:contextualSpacing/>
              <w:jc w:val="center"/>
              <w:rPr>
                <w:sz w:val="24"/>
                <w:szCs w:val="24"/>
              </w:rPr>
            </w:pPr>
            <w:r w:rsidRPr="00792B36">
              <w:rPr>
                <w:color w:val="000000"/>
                <w:sz w:val="24"/>
                <w:szCs w:val="24"/>
              </w:rPr>
              <w:t>444.44</w:t>
            </w:r>
          </w:p>
        </w:tc>
        <w:tc>
          <w:tcPr>
            <w:tcW w:w="1027" w:type="dxa"/>
            <w:vAlign w:val="center"/>
          </w:tcPr>
          <w:p w14:paraId="51B6529A" w14:textId="77777777" w:rsidR="009A0A63" w:rsidRPr="00792B36" w:rsidRDefault="009A0A63" w:rsidP="00A24459">
            <w:pPr>
              <w:contextualSpacing/>
              <w:jc w:val="center"/>
              <w:rPr>
                <w:sz w:val="24"/>
                <w:szCs w:val="24"/>
              </w:rPr>
            </w:pPr>
            <w:r w:rsidRPr="00792B36">
              <w:rPr>
                <w:color w:val="000000"/>
                <w:sz w:val="24"/>
                <w:szCs w:val="24"/>
              </w:rPr>
              <w:t>499.39</w:t>
            </w:r>
          </w:p>
        </w:tc>
        <w:tc>
          <w:tcPr>
            <w:tcW w:w="957" w:type="dxa"/>
            <w:vAlign w:val="center"/>
          </w:tcPr>
          <w:p w14:paraId="5A8BC8F1" w14:textId="77777777" w:rsidR="009A0A63" w:rsidRPr="00792B36" w:rsidRDefault="009A0A63" w:rsidP="00A24459">
            <w:pPr>
              <w:contextualSpacing/>
              <w:jc w:val="center"/>
              <w:rPr>
                <w:sz w:val="24"/>
                <w:szCs w:val="24"/>
              </w:rPr>
            </w:pPr>
            <w:r w:rsidRPr="00792B36">
              <w:rPr>
                <w:color w:val="000000"/>
                <w:sz w:val="24"/>
                <w:szCs w:val="24"/>
              </w:rPr>
              <w:t>1,536.20</w:t>
            </w:r>
          </w:p>
        </w:tc>
        <w:tc>
          <w:tcPr>
            <w:tcW w:w="900" w:type="dxa"/>
            <w:vAlign w:val="center"/>
          </w:tcPr>
          <w:p w14:paraId="3FA8AE13" w14:textId="77777777" w:rsidR="009A0A63" w:rsidRPr="00792B36" w:rsidRDefault="009A0A63" w:rsidP="00A24459">
            <w:pPr>
              <w:contextualSpacing/>
              <w:jc w:val="center"/>
              <w:rPr>
                <w:sz w:val="24"/>
                <w:szCs w:val="24"/>
              </w:rPr>
            </w:pPr>
            <w:r w:rsidRPr="00792B36">
              <w:rPr>
                <w:color w:val="000000"/>
                <w:sz w:val="24"/>
                <w:szCs w:val="24"/>
              </w:rPr>
              <w:t>2,425.67</w:t>
            </w:r>
          </w:p>
        </w:tc>
      </w:tr>
      <w:tr w:rsidR="009A0A63" w:rsidRPr="00792B36" w14:paraId="64C87124" w14:textId="77777777" w:rsidTr="00A24459">
        <w:trPr>
          <w:trHeight w:val="340"/>
        </w:trPr>
        <w:tc>
          <w:tcPr>
            <w:tcW w:w="617" w:type="dxa"/>
            <w:vAlign w:val="center"/>
          </w:tcPr>
          <w:p w14:paraId="1C6B98F6" w14:textId="77777777" w:rsidR="009A0A63" w:rsidRPr="00792B36" w:rsidRDefault="009A0A63" w:rsidP="00A24459">
            <w:pPr>
              <w:contextualSpacing/>
              <w:jc w:val="center"/>
              <w:rPr>
                <w:sz w:val="24"/>
                <w:szCs w:val="24"/>
              </w:rPr>
            </w:pPr>
            <w:r w:rsidRPr="00792B36">
              <w:rPr>
                <w:b/>
                <w:bCs/>
                <w:color w:val="000000"/>
                <w:sz w:val="24"/>
                <w:szCs w:val="24"/>
              </w:rPr>
              <w:t>2017</w:t>
            </w:r>
          </w:p>
        </w:tc>
        <w:tc>
          <w:tcPr>
            <w:tcW w:w="1177" w:type="dxa"/>
            <w:vAlign w:val="center"/>
          </w:tcPr>
          <w:p w14:paraId="66D7E04B" w14:textId="77777777" w:rsidR="009A0A63" w:rsidRPr="00792B36" w:rsidRDefault="009A0A63" w:rsidP="00A24459">
            <w:pPr>
              <w:contextualSpacing/>
              <w:jc w:val="center"/>
              <w:rPr>
                <w:sz w:val="24"/>
                <w:szCs w:val="24"/>
              </w:rPr>
            </w:pPr>
            <w:r w:rsidRPr="00792B36">
              <w:rPr>
                <w:color w:val="000000"/>
                <w:sz w:val="24"/>
                <w:szCs w:val="24"/>
              </w:rPr>
              <w:t>342.82</w:t>
            </w:r>
          </w:p>
        </w:tc>
        <w:tc>
          <w:tcPr>
            <w:tcW w:w="1095" w:type="dxa"/>
            <w:vAlign w:val="center"/>
          </w:tcPr>
          <w:p w14:paraId="02C48FAA" w14:textId="77777777" w:rsidR="009A0A63" w:rsidRPr="00792B36" w:rsidRDefault="009A0A63" w:rsidP="00A24459">
            <w:pPr>
              <w:contextualSpacing/>
              <w:jc w:val="center"/>
              <w:rPr>
                <w:sz w:val="24"/>
                <w:szCs w:val="24"/>
              </w:rPr>
            </w:pPr>
            <w:r w:rsidRPr="00792B36">
              <w:rPr>
                <w:color w:val="000000"/>
                <w:sz w:val="24"/>
                <w:szCs w:val="24"/>
              </w:rPr>
              <w:t>366.84</w:t>
            </w:r>
          </w:p>
        </w:tc>
        <w:tc>
          <w:tcPr>
            <w:tcW w:w="987" w:type="dxa"/>
            <w:vAlign w:val="center"/>
          </w:tcPr>
          <w:p w14:paraId="49C82E3F" w14:textId="77777777" w:rsidR="009A0A63" w:rsidRPr="00792B36" w:rsidRDefault="009A0A63" w:rsidP="00A24459">
            <w:pPr>
              <w:contextualSpacing/>
              <w:jc w:val="center"/>
              <w:rPr>
                <w:sz w:val="24"/>
                <w:szCs w:val="24"/>
              </w:rPr>
            </w:pPr>
            <w:r w:rsidRPr="00792B36">
              <w:rPr>
                <w:color w:val="000000"/>
                <w:sz w:val="24"/>
                <w:szCs w:val="24"/>
              </w:rPr>
              <w:t>744.42</w:t>
            </w:r>
          </w:p>
        </w:tc>
        <w:tc>
          <w:tcPr>
            <w:tcW w:w="1080" w:type="dxa"/>
            <w:vAlign w:val="center"/>
          </w:tcPr>
          <w:p w14:paraId="1FA2F74A" w14:textId="77777777" w:rsidR="009A0A63" w:rsidRPr="00792B36" w:rsidRDefault="009A0A63" w:rsidP="00A24459">
            <w:pPr>
              <w:contextualSpacing/>
              <w:jc w:val="center"/>
              <w:rPr>
                <w:sz w:val="24"/>
                <w:szCs w:val="24"/>
              </w:rPr>
            </w:pPr>
            <w:r w:rsidRPr="00792B36">
              <w:rPr>
                <w:color w:val="000000"/>
                <w:sz w:val="24"/>
                <w:szCs w:val="24"/>
              </w:rPr>
              <w:t>1,462.63</w:t>
            </w:r>
          </w:p>
        </w:tc>
        <w:tc>
          <w:tcPr>
            <w:tcW w:w="1177" w:type="dxa"/>
            <w:vAlign w:val="center"/>
          </w:tcPr>
          <w:p w14:paraId="49F5988A" w14:textId="77777777" w:rsidR="009A0A63" w:rsidRPr="00792B36" w:rsidRDefault="009A0A63" w:rsidP="00A24459">
            <w:pPr>
              <w:contextualSpacing/>
              <w:jc w:val="center"/>
              <w:rPr>
                <w:sz w:val="24"/>
                <w:szCs w:val="24"/>
              </w:rPr>
            </w:pPr>
            <w:r w:rsidRPr="00792B36">
              <w:rPr>
                <w:color w:val="000000"/>
                <w:sz w:val="24"/>
                <w:szCs w:val="24"/>
              </w:rPr>
              <w:t>445.60</w:t>
            </w:r>
          </w:p>
        </w:tc>
        <w:tc>
          <w:tcPr>
            <w:tcW w:w="1027" w:type="dxa"/>
            <w:vAlign w:val="center"/>
          </w:tcPr>
          <w:p w14:paraId="6DE9CAFC" w14:textId="77777777" w:rsidR="009A0A63" w:rsidRPr="00792B36" w:rsidRDefault="009A0A63" w:rsidP="00A24459">
            <w:pPr>
              <w:contextualSpacing/>
              <w:jc w:val="center"/>
              <w:rPr>
                <w:sz w:val="24"/>
                <w:szCs w:val="24"/>
              </w:rPr>
            </w:pPr>
            <w:r w:rsidRPr="00792B36">
              <w:rPr>
                <w:color w:val="000000"/>
                <w:sz w:val="24"/>
                <w:szCs w:val="24"/>
              </w:rPr>
              <w:t>534.53</w:t>
            </w:r>
          </w:p>
        </w:tc>
        <w:tc>
          <w:tcPr>
            <w:tcW w:w="957" w:type="dxa"/>
            <w:vAlign w:val="center"/>
          </w:tcPr>
          <w:p w14:paraId="3D1D121E" w14:textId="77777777" w:rsidR="009A0A63" w:rsidRPr="00792B36" w:rsidRDefault="009A0A63" w:rsidP="00A24459">
            <w:pPr>
              <w:contextualSpacing/>
              <w:jc w:val="center"/>
              <w:rPr>
                <w:sz w:val="24"/>
                <w:szCs w:val="24"/>
              </w:rPr>
            </w:pPr>
            <w:r w:rsidRPr="00792B36">
              <w:rPr>
                <w:color w:val="000000"/>
                <w:sz w:val="24"/>
                <w:szCs w:val="24"/>
              </w:rPr>
              <w:t>1,631.70</w:t>
            </w:r>
          </w:p>
        </w:tc>
        <w:tc>
          <w:tcPr>
            <w:tcW w:w="900" w:type="dxa"/>
            <w:vAlign w:val="center"/>
          </w:tcPr>
          <w:p w14:paraId="1F4CEA62" w14:textId="77777777" w:rsidR="009A0A63" w:rsidRPr="00792B36" w:rsidRDefault="009A0A63" w:rsidP="00A24459">
            <w:pPr>
              <w:contextualSpacing/>
              <w:jc w:val="center"/>
              <w:rPr>
                <w:sz w:val="24"/>
                <w:szCs w:val="24"/>
              </w:rPr>
            </w:pPr>
            <w:r w:rsidRPr="00792B36">
              <w:rPr>
                <w:color w:val="000000"/>
                <w:sz w:val="24"/>
                <w:szCs w:val="24"/>
              </w:rPr>
              <w:t>2,546.58</w:t>
            </w:r>
          </w:p>
        </w:tc>
      </w:tr>
      <w:tr w:rsidR="009A0A63" w:rsidRPr="00792B36" w14:paraId="61F1B607" w14:textId="77777777" w:rsidTr="00A24459">
        <w:trPr>
          <w:trHeight w:val="340"/>
        </w:trPr>
        <w:tc>
          <w:tcPr>
            <w:tcW w:w="617" w:type="dxa"/>
            <w:vAlign w:val="center"/>
          </w:tcPr>
          <w:p w14:paraId="78A94D1D" w14:textId="77777777" w:rsidR="009A0A63" w:rsidRPr="00792B36" w:rsidRDefault="009A0A63" w:rsidP="00A24459">
            <w:pPr>
              <w:contextualSpacing/>
              <w:jc w:val="center"/>
              <w:rPr>
                <w:sz w:val="24"/>
                <w:szCs w:val="24"/>
              </w:rPr>
            </w:pPr>
            <w:r w:rsidRPr="00792B36">
              <w:rPr>
                <w:b/>
                <w:bCs/>
                <w:color w:val="000000"/>
                <w:sz w:val="24"/>
                <w:szCs w:val="24"/>
              </w:rPr>
              <w:t>2018</w:t>
            </w:r>
          </w:p>
        </w:tc>
        <w:tc>
          <w:tcPr>
            <w:tcW w:w="1177" w:type="dxa"/>
            <w:vAlign w:val="center"/>
          </w:tcPr>
          <w:p w14:paraId="120045FA" w14:textId="77777777" w:rsidR="009A0A63" w:rsidRPr="00792B36" w:rsidRDefault="009A0A63" w:rsidP="00A24459">
            <w:pPr>
              <w:contextualSpacing/>
              <w:jc w:val="center"/>
              <w:rPr>
                <w:sz w:val="24"/>
                <w:szCs w:val="24"/>
              </w:rPr>
            </w:pPr>
            <w:r w:rsidRPr="00792B36">
              <w:rPr>
                <w:color w:val="000000"/>
                <w:sz w:val="24"/>
                <w:szCs w:val="24"/>
              </w:rPr>
              <w:t>374.43</w:t>
            </w:r>
          </w:p>
        </w:tc>
        <w:tc>
          <w:tcPr>
            <w:tcW w:w="1095" w:type="dxa"/>
            <w:vAlign w:val="center"/>
          </w:tcPr>
          <w:p w14:paraId="2F8945A3" w14:textId="77777777" w:rsidR="009A0A63" w:rsidRPr="00792B36" w:rsidRDefault="009A0A63" w:rsidP="00A24459">
            <w:pPr>
              <w:contextualSpacing/>
              <w:jc w:val="center"/>
              <w:rPr>
                <w:sz w:val="24"/>
                <w:szCs w:val="24"/>
              </w:rPr>
            </w:pPr>
            <w:r w:rsidRPr="00792B36">
              <w:rPr>
                <w:color w:val="000000"/>
                <w:sz w:val="24"/>
                <w:szCs w:val="24"/>
              </w:rPr>
              <w:t>349.19</w:t>
            </w:r>
          </w:p>
        </w:tc>
        <w:tc>
          <w:tcPr>
            <w:tcW w:w="987" w:type="dxa"/>
            <w:vAlign w:val="center"/>
          </w:tcPr>
          <w:p w14:paraId="4041526F" w14:textId="77777777" w:rsidR="009A0A63" w:rsidRPr="00792B36" w:rsidRDefault="009A0A63" w:rsidP="00A24459">
            <w:pPr>
              <w:contextualSpacing/>
              <w:jc w:val="center"/>
              <w:rPr>
                <w:sz w:val="24"/>
                <w:szCs w:val="24"/>
              </w:rPr>
            </w:pPr>
            <w:r w:rsidRPr="00792B36">
              <w:rPr>
                <w:color w:val="000000"/>
                <w:sz w:val="24"/>
                <w:szCs w:val="24"/>
              </w:rPr>
              <w:t>753.81</w:t>
            </w:r>
          </w:p>
        </w:tc>
        <w:tc>
          <w:tcPr>
            <w:tcW w:w="1080" w:type="dxa"/>
            <w:vAlign w:val="center"/>
          </w:tcPr>
          <w:p w14:paraId="25044C76" w14:textId="77777777" w:rsidR="009A0A63" w:rsidRPr="00792B36" w:rsidRDefault="009A0A63" w:rsidP="00A24459">
            <w:pPr>
              <w:contextualSpacing/>
              <w:jc w:val="center"/>
              <w:rPr>
                <w:sz w:val="24"/>
                <w:szCs w:val="24"/>
              </w:rPr>
            </w:pPr>
            <w:r w:rsidRPr="00792B36">
              <w:rPr>
                <w:color w:val="000000"/>
                <w:sz w:val="24"/>
                <w:szCs w:val="24"/>
              </w:rPr>
              <w:t>1,491.17</w:t>
            </w:r>
          </w:p>
        </w:tc>
        <w:tc>
          <w:tcPr>
            <w:tcW w:w="1177" w:type="dxa"/>
            <w:vAlign w:val="center"/>
          </w:tcPr>
          <w:p w14:paraId="30F60011" w14:textId="77777777" w:rsidR="009A0A63" w:rsidRPr="00792B36" w:rsidRDefault="009A0A63" w:rsidP="00A24459">
            <w:pPr>
              <w:contextualSpacing/>
              <w:jc w:val="center"/>
              <w:rPr>
                <w:sz w:val="24"/>
                <w:szCs w:val="24"/>
              </w:rPr>
            </w:pPr>
            <w:r w:rsidRPr="00792B36">
              <w:rPr>
                <w:color w:val="000000"/>
                <w:sz w:val="24"/>
                <w:szCs w:val="24"/>
              </w:rPr>
              <w:t>457.57</w:t>
            </w:r>
          </w:p>
        </w:tc>
        <w:tc>
          <w:tcPr>
            <w:tcW w:w="1027" w:type="dxa"/>
            <w:vAlign w:val="center"/>
          </w:tcPr>
          <w:p w14:paraId="686D64AA" w14:textId="77777777" w:rsidR="009A0A63" w:rsidRPr="00792B36" w:rsidRDefault="009A0A63" w:rsidP="00A24459">
            <w:pPr>
              <w:contextualSpacing/>
              <w:jc w:val="center"/>
              <w:rPr>
                <w:sz w:val="24"/>
                <w:szCs w:val="24"/>
              </w:rPr>
            </w:pPr>
            <w:r w:rsidRPr="00792B36">
              <w:rPr>
                <w:color w:val="000000"/>
                <w:sz w:val="24"/>
                <w:szCs w:val="24"/>
              </w:rPr>
              <w:t>467.74</w:t>
            </w:r>
          </w:p>
        </w:tc>
        <w:tc>
          <w:tcPr>
            <w:tcW w:w="957" w:type="dxa"/>
            <w:vAlign w:val="center"/>
          </w:tcPr>
          <w:p w14:paraId="47BBBB74" w14:textId="77777777" w:rsidR="009A0A63" w:rsidRPr="00792B36" w:rsidRDefault="009A0A63" w:rsidP="00A24459">
            <w:pPr>
              <w:contextualSpacing/>
              <w:jc w:val="center"/>
              <w:rPr>
                <w:sz w:val="24"/>
                <w:szCs w:val="24"/>
              </w:rPr>
            </w:pPr>
            <w:r w:rsidRPr="00792B36">
              <w:rPr>
                <w:color w:val="000000"/>
                <w:sz w:val="24"/>
                <w:szCs w:val="24"/>
              </w:rPr>
              <w:t>1,677.54</w:t>
            </w:r>
          </w:p>
        </w:tc>
        <w:tc>
          <w:tcPr>
            <w:tcW w:w="900" w:type="dxa"/>
            <w:vAlign w:val="center"/>
          </w:tcPr>
          <w:p w14:paraId="081327FC" w14:textId="77777777" w:rsidR="009A0A63" w:rsidRPr="00792B36" w:rsidRDefault="009A0A63" w:rsidP="00A24459">
            <w:pPr>
              <w:contextualSpacing/>
              <w:jc w:val="center"/>
              <w:rPr>
                <w:sz w:val="24"/>
                <w:szCs w:val="24"/>
              </w:rPr>
            </w:pPr>
            <w:r w:rsidRPr="00792B36">
              <w:rPr>
                <w:color w:val="000000"/>
                <w:sz w:val="24"/>
                <w:szCs w:val="24"/>
              </w:rPr>
              <w:t>2,541.20</w:t>
            </w:r>
          </w:p>
        </w:tc>
      </w:tr>
    </w:tbl>
    <w:p w14:paraId="10E10F53" w14:textId="77777777" w:rsidR="009A0A63" w:rsidRPr="00792B36" w:rsidRDefault="009A0A63" w:rsidP="009A0A63">
      <w:pPr>
        <w:spacing w:line="360" w:lineRule="auto"/>
        <w:rPr>
          <w:sz w:val="24"/>
          <w:szCs w:val="24"/>
        </w:rPr>
      </w:pPr>
    </w:p>
    <w:p w14:paraId="2515A265" w14:textId="77777777" w:rsidR="009A0A63" w:rsidRPr="00792B36" w:rsidRDefault="009A0A63" w:rsidP="009A0A63">
      <w:pPr>
        <w:spacing w:line="360" w:lineRule="auto"/>
        <w:contextualSpacing/>
        <w:rPr>
          <w:color w:val="000000" w:themeColor="text1"/>
          <w:sz w:val="24"/>
          <w:szCs w:val="24"/>
        </w:rPr>
      </w:pPr>
      <w:r w:rsidRPr="00792B36">
        <w:rPr>
          <w:b/>
          <w:bCs/>
          <w:sz w:val="24"/>
          <w:szCs w:val="24"/>
        </w:rPr>
        <w:t xml:space="preserve">Annex 2.12 </w:t>
      </w:r>
      <w:r w:rsidRPr="00792B36">
        <w:rPr>
          <w:color w:val="000000" w:themeColor="text1"/>
          <w:sz w:val="24"/>
          <w:szCs w:val="24"/>
        </w:rPr>
        <w:t>Cont.</w:t>
      </w:r>
    </w:p>
    <w:tbl>
      <w:tblPr>
        <w:tblStyle w:val="TableGrid"/>
        <w:tblW w:w="0" w:type="auto"/>
        <w:tblLook w:val="04A0" w:firstRow="1" w:lastRow="0" w:firstColumn="1" w:lastColumn="0" w:noHBand="0" w:noVBand="1"/>
      </w:tblPr>
      <w:tblGrid>
        <w:gridCol w:w="631"/>
        <w:gridCol w:w="1211"/>
        <w:gridCol w:w="1056"/>
        <w:gridCol w:w="984"/>
        <w:gridCol w:w="942"/>
        <w:gridCol w:w="1211"/>
        <w:gridCol w:w="1056"/>
        <w:gridCol w:w="984"/>
        <w:gridCol w:w="942"/>
      </w:tblGrid>
      <w:tr w:rsidR="009A0A63" w:rsidRPr="00792B36" w14:paraId="63D32412" w14:textId="77777777" w:rsidTr="00A24459">
        <w:trPr>
          <w:trHeight w:val="340"/>
        </w:trPr>
        <w:tc>
          <w:tcPr>
            <w:tcW w:w="617" w:type="dxa"/>
            <w:vMerge w:val="restart"/>
            <w:vAlign w:val="center"/>
          </w:tcPr>
          <w:p w14:paraId="4A03BBDB" w14:textId="77777777" w:rsidR="009A0A63" w:rsidRPr="00792B36" w:rsidRDefault="009A0A63" w:rsidP="00A24459">
            <w:pPr>
              <w:contextualSpacing/>
              <w:jc w:val="center"/>
              <w:rPr>
                <w:b/>
                <w:bCs/>
                <w:sz w:val="24"/>
                <w:szCs w:val="24"/>
              </w:rPr>
            </w:pPr>
            <w:r w:rsidRPr="00792B36">
              <w:rPr>
                <w:b/>
                <w:bCs/>
                <w:color w:val="000000"/>
                <w:sz w:val="24"/>
                <w:szCs w:val="24"/>
              </w:rPr>
              <w:t>Year</w:t>
            </w:r>
          </w:p>
        </w:tc>
        <w:tc>
          <w:tcPr>
            <w:tcW w:w="4339" w:type="dxa"/>
            <w:gridSpan w:val="4"/>
            <w:vAlign w:val="center"/>
          </w:tcPr>
          <w:p w14:paraId="0C4A9F1F" w14:textId="77777777" w:rsidR="009A0A63" w:rsidRPr="00792B36" w:rsidRDefault="009A0A63" w:rsidP="00A24459">
            <w:pPr>
              <w:contextualSpacing/>
              <w:jc w:val="center"/>
              <w:rPr>
                <w:b/>
                <w:bCs/>
                <w:sz w:val="24"/>
                <w:szCs w:val="24"/>
              </w:rPr>
            </w:pPr>
            <w:r w:rsidRPr="00792B36">
              <w:rPr>
                <w:b/>
                <w:bCs/>
                <w:sz w:val="24"/>
                <w:szCs w:val="24"/>
              </w:rPr>
              <w:t>Chumphon</w:t>
            </w:r>
          </w:p>
        </w:tc>
        <w:tc>
          <w:tcPr>
            <w:tcW w:w="4061" w:type="dxa"/>
            <w:gridSpan w:val="4"/>
            <w:vAlign w:val="center"/>
          </w:tcPr>
          <w:p w14:paraId="25C72495" w14:textId="77777777" w:rsidR="009A0A63" w:rsidRPr="00792B36" w:rsidRDefault="009A0A63" w:rsidP="00A24459">
            <w:pPr>
              <w:contextualSpacing/>
              <w:jc w:val="center"/>
              <w:rPr>
                <w:b/>
                <w:bCs/>
                <w:sz w:val="24"/>
                <w:szCs w:val="24"/>
              </w:rPr>
            </w:pPr>
            <w:r w:rsidRPr="00792B36">
              <w:rPr>
                <w:b/>
                <w:bCs/>
                <w:sz w:val="24"/>
                <w:szCs w:val="24"/>
              </w:rPr>
              <w:t>Songkhla</w:t>
            </w:r>
          </w:p>
        </w:tc>
      </w:tr>
      <w:tr w:rsidR="009A0A63" w:rsidRPr="00792B36" w14:paraId="3020082E" w14:textId="77777777" w:rsidTr="00A24459">
        <w:trPr>
          <w:trHeight w:val="340"/>
        </w:trPr>
        <w:tc>
          <w:tcPr>
            <w:tcW w:w="617" w:type="dxa"/>
            <w:vMerge/>
            <w:vAlign w:val="center"/>
          </w:tcPr>
          <w:p w14:paraId="361BAC5E" w14:textId="77777777" w:rsidR="009A0A63" w:rsidRPr="00792B36" w:rsidRDefault="009A0A63" w:rsidP="00A24459">
            <w:pPr>
              <w:contextualSpacing/>
              <w:jc w:val="center"/>
              <w:rPr>
                <w:b/>
                <w:bCs/>
                <w:sz w:val="24"/>
                <w:szCs w:val="24"/>
              </w:rPr>
            </w:pPr>
          </w:p>
        </w:tc>
        <w:tc>
          <w:tcPr>
            <w:tcW w:w="1177" w:type="dxa"/>
            <w:vAlign w:val="center"/>
          </w:tcPr>
          <w:p w14:paraId="5EB06637" w14:textId="77777777" w:rsidR="009A0A63" w:rsidRPr="00792B36" w:rsidRDefault="009A0A63" w:rsidP="00A24459">
            <w:pPr>
              <w:contextualSpacing/>
              <w:jc w:val="center"/>
              <w:rPr>
                <w:b/>
                <w:bCs/>
                <w:sz w:val="24"/>
                <w:szCs w:val="24"/>
              </w:rPr>
            </w:pPr>
            <w:r w:rsidRPr="00792B36">
              <w:rPr>
                <w:b/>
                <w:bCs/>
                <w:color w:val="000000"/>
                <w:sz w:val="24"/>
                <w:szCs w:val="24"/>
              </w:rPr>
              <w:t>Agriculture</w:t>
            </w:r>
          </w:p>
        </w:tc>
        <w:tc>
          <w:tcPr>
            <w:tcW w:w="1095" w:type="dxa"/>
            <w:vAlign w:val="center"/>
          </w:tcPr>
          <w:p w14:paraId="304E448B" w14:textId="77777777" w:rsidR="009A0A63" w:rsidRPr="00792B36" w:rsidRDefault="009A0A63" w:rsidP="00A24459">
            <w:pPr>
              <w:contextualSpacing/>
              <w:jc w:val="center"/>
              <w:rPr>
                <w:b/>
                <w:bCs/>
                <w:sz w:val="24"/>
                <w:szCs w:val="24"/>
              </w:rPr>
            </w:pPr>
            <w:r w:rsidRPr="00792B36">
              <w:rPr>
                <w:b/>
                <w:bCs/>
                <w:color w:val="000000"/>
                <w:sz w:val="24"/>
                <w:szCs w:val="24"/>
              </w:rPr>
              <w:t>Industrial</w:t>
            </w:r>
          </w:p>
        </w:tc>
        <w:tc>
          <w:tcPr>
            <w:tcW w:w="987" w:type="dxa"/>
            <w:vAlign w:val="center"/>
          </w:tcPr>
          <w:p w14:paraId="45A845F0" w14:textId="77777777" w:rsidR="009A0A63" w:rsidRPr="00792B36" w:rsidRDefault="009A0A63" w:rsidP="00A24459">
            <w:pPr>
              <w:contextualSpacing/>
              <w:jc w:val="center"/>
              <w:rPr>
                <w:b/>
                <w:bCs/>
                <w:sz w:val="24"/>
                <w:szCs w:val="24"/>
              </w:rPr>
            </w:pPr>
            <w:r w:rsidRPr="00792B36">
              <w:rPr>
                <w:b/>
                <w:bCs/>
                <w:color w:val="000000"/>
                <w:sz w:val="24"/>
                <w:szCs w:val="24"/>
              </w:rPr>
              <w:t>Services</w:t>
            </w:r>
          </w:p>
        </w:tc>
        <w:tc>
          <w:tcPr>
            <w:tcW w:w="1080" w:type="dxa"/>
            <w:vAlign w:val="center"/>
          </w:tcPr>
          <w:p w14:paraId="638FDFED" w14:textId="77777777" w:rsidR="009A0A63" w:rsidRPr="00792B36" w:rsidRDefault="009A0A63" w:rsidP="00A24459">
            <w:pPr>
              <w:contextualSpacing/>
              <w:jc w:val="center"/>
              <w:rPr>
                <w:b/>
                <w:bCs/>
                <w:sz w:val="24"/>
                <w:szCs w:val="24"/>
              </w:rPr>
            </w:pPr>
            <w:r w:rsidRPr="00792B36">
              <w:rPr>
                <w:b/>
                <w:bCs/>
                <w:color w:val="000000"/>
                <w:sz w:val="24"/>
                <w:szCs w:val="24"/>
              </w:rPr>
              <w:t>GPP</w:t>
            </w:r>
          </w:p>
        </w:tc>
        <w:tc>
          <w:tcPr>
            <w:tcW w:w="1177" w:type="dxa"/>
            <w:vAlign w:val="center"/>
          </w:tcPr>
          <w:p w14:paraId="218E7BD7" w14:textId="77777777" w:rsidR="009A0A63" w:rsidRPr="00792B36" w:rsidRDefault="009A0A63" w:rsidP="00A24459">
            <w:pPr>
              <w:contextualSpacing/>
              <w:jc w:val="center"/>
              <w:rPr>
                <w:b/>
                <w:bCs/>
                <w:sz w:val="24"/>
                <w:szCs w:val="24"/>
              </w:rPr>
            </w:pPr>
            <w:r w:rsidRPr="00792B36">
              <w:rPr>
                <w:b/>
                <w:bCs/>
                <w:color w:val="000000"/>
                <w:sz w:val="24"/>
                <w:szCs w:val="24"/>
              </w:rPr>
              <w:t>Agriculture</w:t>
            </w:r>
          </w:p>
        </w:tc>
        <w:tc>
          <w:tcPr>
            <w:tcW w:w="1027" w:type="dxa"/>
            <w:vAlign w:val="center"/>
          </w:tcPr>
          <w:p w14:paraId="72319A6E" w14:textId="77777777" w:rsidR="009A0A63" w:rsidRPr="00792B36" w:rsidRDefault="009A0A63" w:rsidP="00A24459">
            <w:pPr>
              <w:contextualSpacing/>
              <w:jc w:val="center"/>
              <w:rPr>
                <w:b/>
                <w:bCs/>
                <w:sz w:val="24"/>
                <w:szCs w:val="24"/>
              </w:rPr>
            </w:pPr>
            <w:r w:rsidRPr="00792B36">
              <w:rPr>
                <w:b/>
                <w:bCs/>
                <w:color w:val="000000"/>
                <w:sz w:val="24"/>
                <w:szCs w:val="24"/>
              </w:rPr>
              <w:t>Industrial</w:t>
            </w:r>
          </w:p>
        </w:tc>
        <w:tc>
          <w:tcPr>
            <w:tcW w:w="957" w:type="dxa"/>
            <w:vAlign w:val="center"/>
          </w:tcPr>
          <w:p w14:paraId="73FE580E" w14:textId="77777777" w:rsidR="009A0A63" w:rsidRPr="00792B36" w:rsidRDefault="009A0A63" w:rsidP="00A24459">
            <w:pPr>
              <w:contextualSpacing/>
              <w:jc w:val="center"/>
              <w:rPr>
                <w:b/>
                <w:bCs/>
                <w:sz w:val="24"/>
                <w:szCs w:val="24"/>
              </w:rPr>
            </w:pPr>
            <w:r w:rsidRPr="00792B36">
              <w:rPr>
                <w:b/>
                <w:bCs/>
                <w:color w:val="000000"/>
                <w:sz w:val="24"/>
                <w:szCs w:val="24"/>
              </w:rPr>
              <w:t>Services</w:t>
            </w:r>
          </w:p>
        </w:tc>
        <w:tc>
          <w:tcPr>
            <w:tcW w:w="900" w:type="dxa"/>
            <w:vAlign w:val="center"/>
          </w:tcPr>
          <w:p w14:paraId="7F851914" w14:textId="77777777" w:rsidR="009A0A63" w:rsidRPr="00792B36" w:rsidRDefault="009A0A63" w:rsidP="00A24459">
            <w:pPr>
              <w:contextualSpacing/>
              <w:jc w:val="center"/>
              <w:rPr>
                <w:b/>
                <w:bCs/>
                <w:sz w:val="24"/>
                <w:szCs w:val="24"/>
              </w:rPr>
            </w:pPr>
            <w:r w:rsidRPr="00792B36">
              <w:rPr>
                <w:b/>
                <w:bCs/>
                <w:sz w:val="24"/>
                <w:szCs w:val="24"/>
              </w:rPr>
              <w:t>GPP</w:t>
            </w:r>
          </w:p>
        </w:tc>
      </w:tr>
      <w:tr w:rsidR="009A0A63" w:rsidRPr="00792B36" w14:paraId="22A8DDBE" w14:textId="77777777" w:rsidTr="00A24459">
        <w:trPr>
          <w:trHeight w:val="340"/>
        </w:trPr>
        <w:tc>
          <w:tcPr>
            <w:tcW w:w="617" w:type="dxa"/>
            <w:vAlign w:val="center"/>
          </w:tcPr>
          <w:p w14:paraId="57E6A68C" w14:textId="77777777" w:rsidR="009A0A63" w:rsidRPr="00792B36" w:rsidRDefault="009A0A63" w:rsidP="00A24459">
            <w:pPr>
              <w:contextualSpacing/>
              <w:jc w:val="center"/>
              <w:rPr>
                <w:sz w:val="24"/>
                <w:szCs w:val="24"/>
              </w:rPr>
            </w:pPr>
            <w:r w:rsidRPr="00792B36">
              <w:rPr>
                <w:b/>
                <w:bCs/>
                <w:color w:val="000000"/>
                <w:sz w:val="24"/>
                <w:szCs w:val="24"/>
              </w:rPr>
              <w:t>1995</w:t>
            </w:r>
          </w:p>
        </w:tc>
        <w:tc>
          <w:tcPr>
            <w:tcW w:w="1177" w:type="dxa"/>
            <w:vAlign w:val="center"/>
          </w:tcPr>
          <w:p w14:paraId="469040E5" w14:textId="77777777" w:rsidR="009A0A63" w:rsidRPr="00792B36" w:rsidRDefault="009A0A63" w:rsidP="00A24459">
            <w:pPr>
              <w:contextualSpacing/>
              <w:jc w:val="center"/>
              <w:rPr>
                <w:sz w:val="24"/>
                <w:szCs w:val="24"/>
              </w:rPr>
            </w:pPr>
            <w:r w:rsidRPr="00792B36">
              <w:rPr>
                <w:color w:val="000000"/>
                <w:sz w:val="24"/>
                <w:szCs w:val="24"/>
              </w:rPr>
              <w:t>430.72</w:t>
            </w:r>
          </w:p>
        </w:tc>
        <w:tc>
          <w:tcPr>
            <w:tcW w:w="1095" w:type="dxa"/>
            <w:vAlign w:val="center"/>
          </w:tcPr>
          <w:p w14:paraId="27166A95" w14:textId="77777777" w:rsidR="009A0A63" w:rsidRPr="00792B36" w:rsidRDefault="009A0A63" w:rsidP="00A24459">
            <w:pPr>
              <w:contextualSpacing/>
              <w:jc w:val="center"/>
              <w:rPr>
                <w:sz w:val="24"/>
                <w:szCs w:val="24"/>
              </w:rPr>
            </w:pPr>
            <w:r w:rsidRPr="00792B36">
              <w:rPr>
                <w:color w:val="000000"/>
                <w:sz w:val="24"/>
                <w:szCs w:val="24"/>
              </w:rPr>
              <w:t>260.15</w:t>
            </w:r>
          </w:p>
        </w:tc>
        <w:tc>
          <w:tcPr>
            <w:tcW w:w="987" w:type="dxa"/>
            <w:vAlign w:val="center"/>
          </w:tcPr>
          <w:p w14:paraId="2203A45B" w14:textId="77777777" w:rsidR="009A0A63" w:rsidRPr="00792B36" w:rsidRDefault="009A0A63" w:rsidP="00A24459">
            <w:pPr>
              <w:contextualSpacing/>
              <w:jc w:val="center"/>
              <w:rPr>
                <w:sz w:val="24"/>
                <w:szCs w:val="24"/>
              </w:rPr>
            </w:pPr>
            <w:r w:rsidRPr="00792B36">
              <w:rPr>
                <w:color w:val="000000"/>
                <w:sz w:val="24"/>
                <w:szCs w:val="24"/>
              </w:rPr>
              <w:t>663.85</w:t>
            </w:r>
          </w:p>
        </w:tc>
        <w:tc>
          <w:tcPr>
            <w:tcW w:w="1080" w:type="dxa"/>
            <w:vAlign w:val="center"/>
          </w:tcPr>
          <w:p w14:paraId="00C502D1" w14:textId="77777777" w:rsidR="009A0A63" w:rsidRPr="00792B36" w:rsidRDefault="009A0A63" w:rsidP="00A24459">
            <w:pPr>
              <w:contextualSpacing/>
              <w:jc w:val="center"/>
              <w:rPr>
                <w:sz w:val="24"/>
                <w:szCs w:val="24"/>
              </w:rPr>
            </w:pPr>
            <w:r w:rsidRPr="00792B36">
              <w:rPr>
                <w:color w:val="000000"/>
                <w:sz w:val="24"/>
                <w:szCs w:val="24"/>
              </w:rPr>
              <w:t>1,330.81</w:t>
            </w:r>
          </w:p>
        </w:tc>
        <w:tc>
          <w:tcPr>
            <w:tcW w:w="1177" w:type="dxa"/>
            <w:vAlign w:val="center"/>
          </w:tcPr>
          <w:p w14:paraId="2109B18B" w14:textId="77777777" w:rsidR="009A0A63" w:rsidRPr="00792B36" w:rsidRDefault="009A0A63" w:rsidP="00A24459">
            <w:pPr>
              <w:contextualSpacing/>
              <w:jc w:val="center"/>
              <w:rPr>
                <w:sz w:val="24"/>
                <w:szCs w:val="24"/>
              </w:rPr>
            </w:pPr>
            <w:r w:rsidRPr="00792B36">
              <w:rPr>
                <w:color w:val="000000"/>
                <w:sz w:val="24"/>
                <w:szCs w:val="24"/>
              </w:rPr>
              <w:t>406.90</w:t>
            </w:r>
          </w:p>
        </w:tc>
        <w:tc>
          <w:tcPr>
            <w:tcW w:w="1027" w:type="dxa"/>
            <w:vAlign w:val="center"/>
          </w:tcPr>
          <w:p w14:paraId="0BECDC05" w14:textId="77777777" w:rsidR="009A0A63" w:rsidRPr="00792B36" w:rsidRDefault="009A0A63" w:rsidP="00A24459">
            <w:pPr>
              <w:contextualSpacing/>
              <w:jc w:val="center"/>
              <w:rPr>
                <w:sz w:val="24"/>
                <w:szCs w:val="24"/>
              </w:rPr>
            </w:pPr>
            <w:r w:rsidRPr="00792B36">
              <w:rPr>
                <w:color w:val="000000"/>
                <w:sz w:val="24"/>
                <w:szCs w:val="24"/>
              </w:rPr>
              <w:t>417.95</w:t>
            </w:r>
          </w:p>
        </w:tc>
        <w:tc>
          <w:tcPr>
            <w:tcW w:w="957" w:type="dxa"/>
            <w:vAlign w:val="center"/>
          </w:tcPr>
          <w:p w14:paraId="18C1657A" w14:textId="77777777" w:rsidR="009A0A63" w:rsidRPr="00792B36" w:rsidRDefault="009A0A63" w:rsidP="00A24459">
            <w:pPr>
              <w:contextualSpacing/>
              <w:jc w:val="center"/>
              <w:rPr>
                <w:sz w:val="24"/>
                <w:szCs w:val="24"/>
              </w:rPr>
            </w:pPr>
            <w:r w:rsidRPr="00792B36">
              <w:rPr>
                <w:color w:val="000000"/>
                <w:sz w:val="24"/>
                <w:szCs w:val="24"/>
              </w:rPr>
              <w:t>1,136.18</w:t>
            </w:r>
          </w:p>
        </w:tc>
        <w:tc>
          <w:tcPr>
            <w:tcW w:w="900" w:type="dxa"/>
            <w:vAlign w:val="center"/>
          </w:tcPr>
          <w:p w14:paraId="4E5EB73F" w14:textId="77777777" w:rsidR="009A0A63" w:rsidRPr="00792B36" w:rsidRDefault="009A0A63" w:rsidP="00A24459">
            <w:pPr>
              <w:contextualSpacing/>
              <w:jc w:val="center"/>
              <w:rPr>
                <w:sz w:val="24"/>
                <w:szCs w:val="24"/>
              </w:rPr>
            </w:pPr>
            <w:r w:rsidRPr="00792B36">
              <w:rPr>
                <w:color w:val="000000"/>
                <w:sz w:val="24"/>
                <w:szCs w:val="24"/>
              </w:rPr>
              <w:t>1,967.83</w:t>
            </w:r>
          </w:p>
        </w:tc>
      </w:tr>
      <w:tr w:rsidR="009A0A63" w:rsidRPr="00792B36" w14:paraId="09B2C6D6" w14:textId="77777777" w:rsidTr="00A24459">
        <w:trPr>
          <w:trHeight w:val="340"/>
        </w:trPr>
        <w:tc>
          <w:tcPr>
            <w:tcW w:w="617" w:type="dxa"/>
            <w:vAlign w:val="center"/>
          </w:tcPr>
          <w:p w14:paraId="434F88D5" w14:textId="77777777" w:rsidR="009A0A63" w:rsidRPr="00792B36" w:rsidRDefault="009A0A63" w:rsidP="00A24459">
            <w:pPr>
              <w:contextualSpacing/>
              <w:jc w:val="center"/>
              <w:rPr>
                <w:sz w:val="24"/>
                <w:szCs w:val="24"/>
              </w:rPr>
            </w:pPr>
            <w:r w:rsidRPr="00792B36">
              <w:rPr>
                <w:b/>
                <w:bCs/>
                <w:color w:val="000000"/>
                <w:sz w:val="24"/>
                <w:szCs w:val="24"/>
              </w:rPr>
              <w:t>1996</w:t>
            </w:r>
          </w:p>
        </w:tc>
        <w:tc>
          <w:tcPr>
            <w:tcW w:w="1177" w:type="dxa"/>
            <w:vAlign w:val="center"/>
          </w:tcPr>
          <w:p w14:paraId="5D411FCE" w14:textId="77777777" w:rsidR="009A0A63" w:rsidRPr="00792B36" w:rsidRDefault="009A0A63" w:rsidP="00A24459">
            <w:pPr>
              <w:contextualSpacing/>
              <w:jc w:val="center"/>
              <w:rPr>
                <w:sz w:val="24"/>
                <w:szCs w:val="24"/>
              </w:rPr>
            </w:pPr>
            <w:r w:rsidRPr="00792B36">
              <w:rPr>
                <w:color w:val="000000"/>
                <w:sz w:val="24"/>
                <w:szCs w:val="24"/>
              </w:rPr>
              <w:t>525.26</w:t>
            </w:r>
          </w:p>
        </w:tc>
        <w:tc>
          <w:tcPr>
            <w:tcW w:w="1095" w:type="dxa"/>
            <w:vAlign w:val="center"/>
          </w:tcPr>
          <w:p w14:paraId="266E062B" w14:textId="77777777" w:rsidR="009A0A63" w:rsidRPr="00792B36" w:rsidRDefault="009A0A63" w:rsidP="00A24459">
            <w:pPr>
              <w:contextualSpacing/>
              <w:jc w:val="center"/>
              <w:rPr>
                <w:sz w:val="24"/>
                <w:szCs w:val="24"/>
              </w:rPr>
            </w:pPr>
            <w:r w:rsidRPr="00792B36">
              <w:rPr>
                <w:color w:val="000000"/>
                <w:sz w:val="24"/>
                <w:szCs w:val="24"/>
              </w:rPr>
              <w:t>254.81</w:t>
            </w:r>
          </w:p>
        </w:tc>
        <w:tc>
          <w:tcPr>
            <w:tcW w:w="987" w:type="dxa"/>
            <w:vAlign w:val="center"/>
          </w:tcPr>
          <w:p w14:paraId="65EF5B69" w14:textId="77777777" w:rsidR="009A0A63" w:rsidRPr="00792B36" w:rsidRDefault="009A0A63" w:rsidP="00A24459">
            <w:pPr>
              <w:contextualSpacing/>
              <w:jc w:val="center"/>
              <w:rPr>
                <w:sz w:val="24"/>
                <w:szCs w:val="24"/>
              </w:rPr>
            </w:pPr>
            <w:r w:rsidRPr="00792B36">
              <w:rPr>
                <w:color w:val="000000"/>
                <w:sz w:val="24"/>
                <w:szCs w:val="24"/>
              </w:rPr>
              <w:t>768.61</w:t>
            </w:r>
          </w:p>
        </w:tc>
        <w:tc>
          <w:tcPr>
            <w:tcW w:w="1080" w:type="dxa"/>
            <w:vAlign w:val="center"/>
          </w:tcPr>
          <w:p w14:paraId="2A92C966" w14:textId="77777777" w:rsidR="009A0A63" w:rsidRPr="00792B36" w:rsidRDefault="009A0A63" w:rsidP="00A24459">
            <w:pPr>
              <w:contextualSpacing/>
              <w:jc w:val="center"/>
              <w:rPr>
                <w:sz w:val="24"/>
                <w:szCs w:val="24"/>
              </w:rPr>
            </w:pPr>
            <w:r w:rsidRPr="00792B36">
              <w:rPr>
                <w:color w:val="000000"/>
                <w:sz w:val="24"/>
                <w:szCs w:val="24"/>
              </w:rPr>
              <w:t>1,532.17</w:t>
            </w:r>
          </w:p>
        </w:tc>
        <w:tc>
          <w:tcPr>
            <w:tcW w:w="1177" w:type="dxa"/>
            <w:vAlign w:val="center"/>
          </w:tcPr>
          <w:p w14:paraId="5C452A5D" w14:textId="77777777" w:rsidR="009A0A63" w:rsidRPr="00792B36" w:rsidRDefault="009A0A63" w:rsidP="00A24459">
            <w:pPr>
              <w:contextualSpacing/>
              <w:jc w:val="center"/>
              <w:rPr>
                <w:sz w:val="24"/>
                <w:szCs w:val="24"/>
              </w:rPr>
            </w:pPr>
            <w:r w:rsidRPr="00792B36">
              <w:rPr>
                <w:color w:val="000000"/>
                <w:sz w:val="24"/>
                <w:szCs w:val="24"/>
              </w:rPr>
              <w:t>397.48</w:t>
            </w:r>
          </w:p>
        </w:tc>
        <w:tc>
          <w:tcPr>
            <w:tcW w:w="1027" w:type="dxa"/>
            <w:vAlign w:val="center"/>
          </w:tcPr>
          <w:p w14:paraId="64772998" w14:textId="77777777" w:rsidR="009A0A63" w:rsidRPr="00792B36" w:rsidRDefault="009A0A63" w:rsidP="00A24459">
            <w:pPr>
              <w:contextualSpacing/>
              <w:jc w:val="center"/>
              <w:rPr>
                <w:sz w:val="24"/>
                <w:szCs w:val="24"/>
              </w:rPr>
            </w:pPr>
            <w:r w:rsidRPr="00792B36">
              <w:rPr>
                <w:color w:val="000000"/>
                <w:sz w:val="24"/>
                <w:szCs w:val="24"/>
              </w:rPr>
              <w:t>389.00</w:t>
            </w:r>
          </w:p>
        </w:tc>
        <w:tc>
          <w:tcPr>
            <w:tcW w:w="957" w:type="dxa"/>
            <w:vAlign w:val="center"/>
          </w:tcPr>
          <w:p w14:paraId="4A839711" w14:textId="77777777" w:rsidR="009A0A63" w:rsidRPr="00792B36" w:rsidRDefault="009A0A63" w:rsidP="00A24459">
            <w:pPr>
              <w:contextualSpacing/>
              <w:jc w:val="center"/>
              <w:rPr>
                <w:sz w:val="24"/>
                <w:szCs w:val="24"/>
              </w:rPr>
            </w:pPr>
            <w:r w:rsidRPr="00792B36">
              <w:rPr>
                <w:color w:val="000000"/>
                <w:sz w:val="24"/>
                <w:szCs w:val="24"/>
              </w:rPr>
              <w:t>1,114.39</w:t>
            </w:r>
          </w:p>
        </w:tc>
        <w:tc>
          <w:tcPr>
            <w:tcW w:w="900" w:type="dxa"/>
            <w:vAlign w:val="center"/>
          </w:tcPr>
          <w:p w14:paraId="354741C4" w14:textId="77777777" w:rsidR="009A0A63" w:rsidRPr="00792B36" w:rsidRDefault="009A0A63" w:rsidP="00A24459">
            <w:pPr>
              <w:contextualSpacing/>
              <w:jc w:val="center"/>
              <w:rPr>
                <w:sz w:val="24"/>
                <w:szCs w:val="24"/>
              </w:rPr>
            </w:pPr>
            <w:r w:rsidRPr="00792B36">
              <w:rPr>
                <w:color w:val="000000"/>
                <w:sz w:val="24"/>
                <w:szCs w:val="24"/>
              </w:rPr>
              <w:t>1,908.49</w:t>
            </w:r>
          </w:p>
        </w:tc>
      </w:tr>
      <w:tr w:rsidR="009A0A63" w:rsidRPr="00792B36" w14:paraId="710EB241" w14:textId="77777777" w:rsidTr="00A24459">
        <w:trPr>
          <w:trHeight w:val="340"/>
        </w:trPr>
        <w:tc>
          <w:tcPr>
            <w:tcW w:w="617" w:type="dxa"/>
            <w:vAlign w:val="center"/>
          </w:tcPr>
          <w:p w14:paraId="2A82AFEC" w14:textId="77777777" w:rsidR="009A0A63" w:rsidRPr="00792B36" w:rsidRDefault="009A0A63" w:rsidP="00A24459">
            <w:pPr>
              <w:contextualSpacing/>
              <w:jc w:val="center"/>
              <w:rPr>
                <w:sz w:val="24"/>
                <w:szCs w:val="24"/>
              </w:rPr>
            </w:pPr>
            <w:r w:rsidRPr="00792B36">
              <w:rPr>
                <w:b/>
                <w:bCs/>
                <w:color w:val="000000"/>
                <w:sz w:val="24"/>
                <w:szCs w:val="24"/>
              </w:rPr>
              <w:t>1997</w:t>
            </w:r>
          </w:p>
        </w:tc>
        <w:tc>
          <w:tcPr>
            <w:tcW w:w="1177" w:type="dxa"/>
            <w:vAlign w:val="center"/>
          </w:tcPr>
          <w:p w14:paraId="72A3C2B4" w14:textId="77777777" w:rsidR="009A0A63" w:rsidRPr="00792B36" w:rsidRDefault="009A0A63" w:rsidP="00A24459">
            <w:pPr>
              <w:contextualSpacing/>
              <w:jc w:val="center"/>
              <w:rPr>
                <w:sz w:val="24"/>
                <w:szCs w:val="24"/>
              </w:rPr>
            </w:pPr>
            <w:r w:rsidRPr="00792B36">
              <w:rPr>
                <w:color w:val="000000"/>
                <w:sz w:val="24"/>
                <w:szCs w:val="24"/>
              </w:rPr>
              <w:t>532.44</w:t>
            </w:r>
          </w:p>
        </w:tc>
        <w:tc>
          <w:tcPr>
            <w:tcW w:w="1095" w:type="dxa"/>
            <w:vAlign w:val="center"/>
          </w:tcPr>
          <w:p w14:paraId="0F7168A8" w14:textId="77777777" w:rsidR="009A0A63" w:rsidRPr="00792B36" w:rsidRDefault="009A0A63" w:rsidP="00A24459">
            <w:pPr>
              <w:contextualSpacing/>
              <w:jc w:val="center"/>
              <w:rPr>
                <w:sz w:val="24"/>
                <w:szCs w:val="24"/>
              </w:rPr>
            </w:pPr>
            <w:r w:rsidRPr="00792B36">
              <w:rPr>
                <w:color w:val="000000"/>
                <w:sz w:val="24"/>
                <w:szCs w:val="24"/>
              </w:rPr>
              <w:t>244.66</w:t>
            </w:r>
          </w:p>
        </w:tc>
        <w:tc>
          <w:tcPr>
            <w:tcW w:w="987" w:type="dxa"/>
            <w:vAlign w:val="center"/>
          </w:tcPr>
          <w:p w14:paraId="0CC8B2DA" w14:textId="77777777" w:rsidR="009A0A63" w:rsidRPr="00792B36" w:rsidRDefault="009A0A63" w:rsidP="00A24459">
            <w:pPr>
              <w:contextualSpacing/>
              <w:jc w:val="center"/>
              <w:rPr>
                <w:sz w:val="24"/>
                <w:szCs w:val="24"/>
              </w:rPr>
            </w:pPr>
            <w:r w:rsidRPr="00792B36">
              <w:rPr>
                <w:color w:val="000000"/>
                <w:sz w:val="24"/>
                <w:szCs w:val="24"/>
              </w:rPr>
              <w:t>692.25</w:t>
            </w:r>
          </w:p>
        </w:tc>
        <w:tc>
          <w:tcPr>
            <w:tcW w:w="1080" w:type="dxa"/>
            <w:vAlign w:val="center"/>
          </w:tcPr>
          <w:p w14:paraId="0A82030E" w14:textId="77777777" w:rsidR="009A0A63" w:rsidRPr="00792B36" w:rsidRDefault="009A0A63" w:rsidP="00A24459">
            <w:pPr>
              <w:contextualSpacing/>
              <w:jc w:val="center"/>
              <w:rPr>
                <w:sz w:val="24"/>
                <w:szCs w:val="24"/>
              </w:rPr>
            </w:pPr>
            <w:r w:rsidRPr="00792B36">
              <w:rPr>
                <w:color w:val="000000"/>
                <w:sz w:val="24"/>
                <w:szCs w:val="24"/>
              </w:rPr>
              <w:t>1,457.31</w:t>
            </w:r>
          </w:p>
        </w:tc>
        <w:tc>
          <w:tcPr>
            <w:tcW w:w="1177" w:type="dxa"/>
            <w:vAlign w:val="center"/>
          </w:tcPr>
          <w:p w14:paraId="38BBE9DB" w14:textId="77777777" w:rsidR="009A0A63" w:rsidRPr="00792B36" w:rsidRDefault="009A0A63" w:rsidP="00A24459">
            <w:pPr>
              <w:contextualSpacing/>
              <w:jc w:val="center"/>
              <w:rPr>
                <w:sz w:val="24"/>
                <w:szCs w:val="24"/>
              </w:rPr>
            </w:pPr>
            <w:r w:rsidRPr="00792B36">
              <w:rPr>
                <w:color w:val="000000"/>
                <w:sz w:val="24"/>
                <w:szCs w:val="24"/>
              </w:rPr>
              <w:t>374.88</w:t>
            </w:r>
          </w:p>
        </w:tc>
        <w:tc>
          <w:tcPr>
            <w:tcW w:w="1027" w:type="dxa"/>
            <w:vAlign w:val="center"/>
          </w:tcPr>
          <w:p w14:paraId="1C075220" w14:textId="77777777" w:rsidR="009A0A63" w:rsidRPr="00792B36" w:rsidRDefault="009A0A63" w:rsidP="00A24459">
            <w:pPr>
              <w:contextualSpacing/>
              <w:jc w:val="center"/>
              <w:rPr>
                <w:sz w:val="24"/>
                <w:szCs w:val="24"/>
              </w:rPr>
            </w:pPr>
            <w:r w:rsidRPr="00792B36">
              <w:rPr>
                <w:color w:val="000000"/>
                <w:sz w:val="24"/>
                <w:szCs w:val="24"/>
              </w:rPr>
              <w:t>395.26</w:t>
            </w:r>
          </w:p>
        </w:tc>
        <w:tc>
          <w:tcPr>
            <w:tcW w:w="957" w:type="dxa"/>
            <w:vAlign w:val="center"/>
          </w:tcPr>
          <w:p w14:paraId="5FE647C0" w14:textId="77777777" w:rsidR="009A0A63" w:rsidRPr="00792B36" w:rsidRDefault="009A0A63" w:rsidP="00A24459">
            <w:pPr>
              <w:contextualSpacing/>
              <w:jc w:val="center"/>
              <w:rPr>
                <w:sz w:val="24"/>
                <w:szCs w:val="24"/>
              </w:rPr>
            </w:pPr>
            <w:r w:rsidRPr="00792B36">
              <w:rPr>
                <w:color w:val="000000"/>
                <w:sz w:val="24"/>
                <w:szCs w:val="24"/>
              </w:rPr>
              <w:t>1,081.48</w:t>
            </w:r>
          </w:p>
        </w:tc>
        <w:tc>
          <w:tcPr>
            <w:tcW w:w="900" w:type="dxa"/>
            <w:vAlign w:val="center"/>
          </w:tcPr>
          <w:p w14:paraId="205B7E73" w14:textId="77777777" w:rsidR="009A0A63" w:rsidRPr="00792B36" w:rsidRDefault="009A0A63" w:rsidP="00A24459">
            <w:pPr>
              <w:contextualSpacing/>
              <w:jc w:val="center"/>
              <w:rPr>
                <w:sz w:val="24"/>
                <w:szCs w:val="24"/>
              </w:rPr>
            </w:pPr>
            <w:r w:rsidRPr="00792B36">
              <w:rPr>
                <w:color w:val="000000"/>
                <w:sz w:val="24"/>
                <w:szCs w:val="24"/>
              </w:rPr>
              <w:t>1,857.70</w:t>
            </w:r>
          </w:p>
        </w:tc>
      </w:tr>
      <w:tr w:rsidR="009A0A63" w:rsidRPr="00792B36" w14:paraId="6FB0B028" w14:textId="77777777" w:rsidTr="00A24459">
        <w:trPr>
          <w:trHeight w:val="340"/>
        </w:trPr>
        <w:tc>
          <w:tcPr>
            <w:tcW w:w="617" w:type="dxa"/>
            <w:vAlign w:val="center"/>
          </w:tcPr>
          <w:p w14:paraId="5BD95575" w14:textId="77777777" w:rsidR="009A0A63" w:rsidRPr="00792B36" w:rsidRDefault="009A0A63" w:rsidP="00A24459">
            <w:pPr>
              <w:contextualSpacing/>
              <w:jc w:val="center"/>
              <w:rPr>
                <w:sz w:val="24"/>
                <w:szCs w:val="24"/>
              </w:rPr>
            </w:pPr>
            <w:r w:rsidRPr="00792B36">
              <w:rPr>
                <w:b/>
                <w:bCs/>
                <w:color w:val="000000"/>
                <w:sz w:val="24"/>
                <w:szCs w:val="24"/>
              </w:rPr>
              <w:t>1998</w:t>
            </w:r>
          </w:p>
        </w:tc>
        <w:tc>
          <w:tcPr>
            <w:tcW w:w="1177" w:type="dxa"/>
            <w:vAlign w:val="center"/>
          </w:tcPr>
          <w:p w14:paraId="3BB04E48" w14:textId="77777777" w:rsidR="009A0A63" w:rsidRPr="00792B36" w:rsidRDefault="009A0A63" w:rsidP="00A24459">
            <w:pPr>
              <w:contextualSpacing/>
              <w:jc w:val="center"/>
              <w:rPr>
                <w:sz w:val="24"/>
                <w:szCs w:val="24"/>
              </w:rPr>
            </w:pPr>
            <w:r w:rsidRPr="00792B36">
              <w:rPr>
                <w:color w:val="000000"/>
                <w:sz w:val="24"/>
                <w:szCs w:val="24"/>
              </w:rPr>
              <w:t>559.41</w:t>
            </w:r>
          </w:p>
        </w:tc>
        <w:tc>
          <w:tcPr>
            <w:tcW w:w="1095" w:type="dxa"/>
            <w:vAlign w:val="center"/>
          </w:tcPr>
          <w:p w14:paraId="75B805C2" w14:textId="77777777" w:rsidR="009A0A63" w:rsidRPr="00792B36" w:rsidRDefault="009A0A63" w:rsidP="00A24459">
            <w:pPr>
              <w:contextualSpacing/>
              <w:jc w:val="center"/>
              <w:rPr>
                <w:sz w:val="24"/>
                <w:szCs w:val="24"/>
              </w:rPr>
            </w:pPr>
            <w:r w:rsidRPr="00792B36">
              <w:rPr>
                <w:color w:val="000000"/>
                <w:sz w:val="24"/>
                <w:szCs w:val="24"/>
              </w:rPr>
              <w:t>232.50</w:t>
            </w:r>
          </w:p>
        </w:tc>
        <w:tc>
          <w:tcPr>
            <w:tcW w:w="987" w:type="dxa"/>
            <w:vAlign w:val="center"/>
          </w:tcPr>
          <w:p w14:paraId="2FC1C901" w14:textId="77777777" w:rsidR="009A0A63" w:rsidRPr="00792B36" w:rsidRDefault="009A0A63" w:rsidP="00A24459">
            <w:pPr>
              <w:contextualSpacing/>
              <w:jc w:val="center"/>
              <w:rPr>
                <w:sz w:val="24"/>
                <w:szCs w:val="24"/>
              </w:rPr>
            </w:pPr>
            <w:r w:rsidRPr="00792B36">
              <w:rPr>
                <w:color w:val="000000"/>
                <w:sz w:val="24"/>
                <w:szCs w:val="24"/>
              </w:rPr>
              <w:t>739.75</w:t>
            </w:r>
          </w:p>
        </w:tc>
        <w:tc>
          <w:tcPr>
            <w:tcW w:w="1080" w:type="dxa"/>
            <w:vAlign w:val="center"/>
          </w:tcPr>
          <w:p w14:paraId="38490A00" w14:textId="77777777" w:rsidR="009A0A63" w:rsidRPr="00792B36" w:rsidRDefault="009A0A63" w:rsidP="00A24459">
            <w:pPr>
              <w:contextualSpacing/>
              <w:jc w:val="center"/>
              <w:rPr>
                <w:sz w:val="24"/>
                <w:szCs w:val="24"/>
              </w:rPr>
            </w:pPr>
            <w:r w:rsidRPr="00792B36">
              <w:rPr>
                <w:color w:val="000000"/>
                <w:sz w:val="24"/>
                <w:szCs w:val="24"/>
              </w:rPr>
              <w:t>1,521.37</w:t>
            </w:r>
          </w:p>
        </w:tc>
        <w:tc>
          <w:tcPr>
            <w:tcW w:w="1177" w:type="dxa"/>
            <w:vAlign w:val="center"/>
          </w:tcPr>
          <w:p w14:paraId="65116549" w14:textId="77777777" w:rsidR="009A0A63" w:rsidRPr="00792B36" w:rsidRDefault="009A0A63" w:rsidP="00A24459">
            <w:pPr>
              <w:contextualSpacing/>
              <w:jc w:val="center"/>
              <w:rPr>
                <w:sz w:val="24"/>
                <w:szCs w:val="24"/>
              </w:rPr>
            </w:pPr>
            <w:r w:rsidRPr="00792B36">
              <w:rPr>
                <w:color w:val="000000"/>
                <w:sz w:val="24"/>
                <w:szCs w:val="24"/>
              </w:rPr>
              <w:t>422.76</w:t>
            </w:r>
          </w:p>
        </w:tc>
        <w:tc>
          <w:tcPr>
            <w:tcW w:w="1027" w:type="dxa"/>
            <w:vAlign w:val="center"/>
          </w:tcPr>
          <w:p w14:paraId="67677FB4" w14:textId="77777777" w:rsidR="009A0A63" w:rsidRPr="00792B36" w:rsidRDefault="009A0A63" w:rsidP="00A24459">
            <w:pPr>
              <w:contextualSpacing/>
              <w:jc w:val="center"/>
              <w:rPr>
                <w:sz w:val="24"/>
                <w:szCs w:val="24"/>
              </w:rPr>
            </w:pPr>
            <w:r w:rsidRPr="00792B36">
              <w:rPr>
                <w:color w:val="000000"/>
                <w:sz w:val="24"/>
                <w:szCs w:val="24"/>
              </w:rPr>
              <w:t>384.93</w:t>
            </w:r>
          </w:p>
        </w:tc>
        <w:tc>
          <w:tcPr>
            <w:tcW w:w="957" w:type="dxa"/>
            <w:vAlign w:val="center"/>
          </w:tcPr>
          <w:p w14:paraId="089B0299" w14:textId="77777777" w:rsidR="009A0A63" w:rsidRPr="00792B36" w:rsidRDefault="009A0A63" w:rsidP="00A24459">
            <w:pPr>
              <w:contextualSpacing/>
              <w:jc w:val="center"/>
              <w:rPr>
                <w:sz w:val="24"/>
                <w:szCs w:val="24"/>
              </w:rPr>
            </w:pPr>
            <w:r w:rsidRPr="00792B36">
              <w:rPr>
                <w:color w:val="000000"/>
                <w:sz w:val="24"/>
                <w:szCs w:val="24"/>
              </w:rPr>
              <w:t>1,038.60</w:t>
            </w:r>
          </w:p>
        </w:tc>
        <w:tc>
          <w:tcPr>
            <w:tcW w:w="900" w:type="dxa"/>
            <w:vAlign w:val="center"/>
          </w:tcPr>
          <w:p w14:paraId="3DBF51C4" w14:textId="77777777" w:rsidR="009A0A63" w:rsidRPr="00792B36" w:rsidRDefault="009A0A63" w:rsidP="00A24459">
            <w:pPr>
              <w:contextualSpacing/>
              <w:jc w:val="center"/>
              <w:rPr>
                <w:sz w:val="24"/>
                <w:szCs w:val="24"/>
              </w:rPr>
            </w:pPr>
            <w:r w:rsidRPr="00792B36">
              <w:rPr>
                <w:color w:val="000000"/>
                <w:sz w:val="24"/>
                <w:szCs w:val="24"/>
              </w:rPr>
              <w:t>1,851.57</w:t>
            </w:r>
          </w:p>
        </w:tc>
      </w:tr>
      <w:tr w:rsidR="009A0A63" w:rsidRPr="00792B36" w14:paraId="11ACABFA" w14:textId="77777777" w:rsidTr="00A24459">
        <w:trPr>
          <w:trHeight w:val="340"/>
        </w:trPr>
        <w:tc>
          <w:tcPr>
            <w:tcW w:w="617" w:type="dxa"/>
            <w:vAlign w:val="center"/>
          </w:tcPr>
          <w:p w14:paraId="6862D435" w14:textId="77777777" w:rsidR="009A0A63" w:rsidRPr="00792B36" w:rsidRDefault="009A0A63" w:rsidP="00A24459">
            <w:pPr>
              <w:contextualSpacing/>
              <w:jc w:val="center"/>
              <w:rPr>
                <w:sz w:val="24"/>
                <w:szCs w:val="24"/>
              </w:rPr>
            </w:pPr>
            <w:r w:rsidRPr="00792B36">
              <w:rPr>
                <w:b/>
                <w:bCs/>
                <w:color w:val="000000"/>
                <w:sz w:val="24"/>
                <w:szCs w:val="24"/>
              </w:rPr>
              <w:lastRenderedPageBreak/>
              <w:t>1999</w:t>
            </w:r>
          </w:p>
        </w:tc>
        <w:tc>
          <w:tcPr>
            <w:tcW w:w="1177" w:type="dxa"/>
            <w:vAlign w:val="center"/>
          </w:tcPr>
          <w:p w14:paraId="3273E1D3" w14:textId="77777777" w:rsidR="009A0A63" w:rsidRPr="00792B36" w:rsidRDefault="009A0A63" w:rsidP="00A24459">
            <w:pPr>
              <w:contextualSpacing/>
              <w:jc w:val="center"/>
              <w:rPr>
                <w:sz w:val="24"/>
                <w:szCs w:val="24"/>
              </w:rPr>
            </w:pPr>
            <w:r w:rsidRPr="00792B36">
              <w:rPr>
                <w:color w:val="000000"/>
                <w:sz w:val="24"/>
                <w:szCs w:val="24"/>
              </w:rPr>
              <w:t>664.95</w:t>
            </w:r>
          </w:p>
        </w:tc>
        <w:tc>
          <w:tcPr>
            <w:tcW w:w="1095" w:type="dxa"/>
            <w:vAlign w:val="center"/>
          </w:tcPr>
          <w:p w14:paraId="22AB3D10" w14:textId="77777777" w:rsidR="009A0A63" w:rsidRPr="00792B36" w:rsidRDefault="009A0A63" w:rsidP="00A24459">
            <w:pPr>
              <w:contextualSpacing/>
              <w:jc w:val="center"/>
              <w:rPr>
                <w:sz w:val="24"/>
                <w:szCs w:val="24"/>
              </w:rPr>
            </w:pPr>
            <w:r w:rsidRPr="00792B36">
              <w:rPr>
                <w:color w:val="000000"/>
                <w:sz w:val="24"/>
                <w:szCs w:val="24"/>
              </w:rPr>
              <w:t>275.76</w:t>
            </w:r>
          </w:p>
        </w:tc>
        <w:tc>
          <w:tcPr>
            <w:tcW w:w="987" w:type="dxa"/>
            <w:vAlign w:val="center"/>
          </w:tcPr>
          <w:p w14:paraId="1E524763" w14:textId="77777777" w:rsidR="009A0A63" w:rsidRPr="00792B36" w:rsidRDefault="009A0A63" w:rsidP="00A24459">
            <w:pPr>
              <w:contextualSpacing/>
              <w:jc w:val="center"/>
              <w:rPr>
                <w:sz w:val="24"/>
                <w:szCs w:val="24"/>
              </w:rPr>
            </w:pPr>
            <w:r w:rsidRPr="00792B36">
              <w:rPr>
                <w:color w:val="000000"/>
                <w:sz w:val="24"/>
                <w:szCs w:val="24"/>
              </w:rPr>
              <w:t>778.89</w:t>
            </w:r>
          </w:p>
        </w:tc>
        <w:tc>
          <w:tcPr>
            <w:tcW w:w="1080" w:type="dxa"/>
            <w:vAlign w:val="center"/>
          </w:tcPr>
          <w:p w14:paraId="558959C2" w14:textId="77777777" w:rsidR="009A0A63" w:rsidRPr="00792B36" w:rsidRDefault="009A0A63" w:rsidP="00A24459">
            <w:pPr>
              <w:contextualSpacing/>
              <w:jc w:val="center"/>
              <w:rPr>
                <w:sz w:val="24"/>
                <w:szCs w:val="24"/>
              </w:rPr>
            </w:pPr>
            <w:r w:rsidRPr="00792B36">
              <w:rPr>
                <w:color w:val="000000"/>
                <w:sz w:val="24"/>
                <w:szCs w:val="24"/>
              </w:rPr>
              <w:t>1,718.14</w:t>
            </w:r>
          </w:p>
        </w:tc>
        <w:tc>
          <w:tcPr>
            <w:tcW w:w="1177" w:type="dxa"/>
            <w:vAlign w:val="center"/>
          </w:tcPr>
          <w:p w14:paraId="11455B8B" w14:textId="77777777" w:rsidR="009A0A63" w:rsidRPr="00792B36" w:rsidRDefault="009A0A63" w:rsidP="00A24459">
            <w:pPr>
              <w:contextualSpacing/>
              <w:jc w:val="center"/>
              <w:rPr>
                <w:sz w:val="24"/>
                <w:szCs w:val="24"/>
              </w:rPr>
            </w:pPr>
            <w:r w:rsidRPr="00792B36">
              <w:rPr>
                <w:color w:val="000000"/>
                <w:sz w:val="24"/>
                <w:szCs w:val="24"/>
              </w:rPr>
              <w:t>403.10</w:t>
            </w:r>
          </w:p>
        </w:tc>
        <w:tc>
          <w:tcPr>
            <w:tcW w:w="1027" w:type="dxa"/>
            <w:vAlign w:val="center"/>
          </w:tcPr>
          <w:p w14:paraId="2CD5A4D6" w14:textId="77777777" w:rsidR="009A0A63" w:rsidRPr="00792B36" w:rsidRDefault="009A0A63" w:rsidP="00A24459">
            <w:pPr>
              <w:contextualSpacing/>
              <w:jc w:val="center"/>
              <w:rPr>
                <w:sz w:val="24"/>
                <w:szCs w:val="24"/>
              </w:rPr>
            </w:pPr>
            <w:r w:rsidRPr="00792B36">
              <w:rPr>
                <w:color w:val="000000"/>
                <w:sz w:val="24"/>
                <w:szCs w:val="24"/>
              </w:rPr>
              <w:t>416.23</w:t>
            </w:r>
          </w:p>
        </w:tc>
        <w:tc>
          <w:tcPr>
            <w:tcW w:w="957" w:type="dxa"/>
            <w:vAlign w:val="center"/>
          </w:tcPr>
          <w:p w14:paraId="1B216835" w14:textId="77777777" w:rsidR="009A0A63" w:rsidRPr="00792B36" w:rsidRDefault="009A0A63" w:rsidP="00A24459">
            <w:pPr>
              <w:contextualSpacing/>
              <w:jc w:val="center"/>
              <w:rPr>
                <w:sz w:val="24"/>
                <w:szCs w:val="24"/>
              </w:rPr>
            </w:pPr>
            <w:r w:rsidRPr="00792B36">
              <w:rPr>
                <w:color w:val="000000"/>
                <w:sz w:val="24"/>
                <w:szCs w:val="24"/>
              </w:rPr>
              <w:t>1,034.80</w:t>
            </w:r>
          </w:p>
        </w:tc>
        <w:tc>
          <w:tcPr>
            <w:tcW w:w="900" w:type="dxa"/>
            <w:vAlign w:val="center"/>
          </w:tcPr>
          <w:p w14:paraId="6BA77126" w14:textId="77777777" w:rsidR="009A0A63" w:rsidRPr="00792B36" w:rsidRDefault="009A0A63" w:rsidP="00A24459">
            <w:pPr>
              <w:contextualSpacing/>
              <w:jc w:val="center"/>
              <w:rPr>
                <w:sz w:val="24"/>
                <w:szCs w:val="24"/>
              </w:rPr>
            </w:pPr>
            <w:r w:rsidRPr="00792B36">
              <w:rPr>
                <w:color w:val="000000"/>
                <w:sz w:val="24"/>
                <w:szCs w:val="24"/>
              </w:rPr>
              <w:t>1,860.24</w:t>
            </w:r>
          </w:p>
        </w:tc>
      </w:tr>
      <w:tr w:rsidR="009A0A63" w:rsidRPr="00792B36" w14:paraId="2BE60593" w14:textId="77777777" w:rsidTr="00A24459">
        <w:trPr>
          <w:trHeight w:val="340"/>
        </w:trPr>
        <w:tc>
          <w:tcPr>
            <w:tcW w:w="617" w:type="dxa"/>
            <w:vAlign w:val="center"/>
          </w:tcPr>
          <w:p w14:paraId="284E6253" w14:textId="77777777" w:rsidR="009A0A63" w:rsidRPr="00792B36" w:rsidRDefault="009A0A63" w:rsidP="00A24459">
            <w:pPr>
              <w:contextualSpacing/>
              <w:jc w:val="center"/>
              <w:rPr>
                <w:sz w:val="24"/>
                <w:szCs w:val="24"/>
              </w:rPr>
            </w:pPr>
            <w:r w:rsidRPr="00792B36">
              <w:rPr>
                <w:b/>
                <w:bCs/>
                <w:color w:val="000000"/>
                <w:sz w:val="24"/>
                <w:szCs w:val="24"/>
              </w:rPr>
              <w:t>2000</w:t>
            </w:r>
          </w:p>
        </w:tc>
        <w:tc>
          <w:tcPr>
            <w:tcW w:w="1177" w:type="dxa"/>
            <w:vAlign w:val="center"/>
          </w:tcPr>
          <w:p w14:paraId="621ECF16" w14:textId="77777777" w:rsidR="009A0A63" w:rsidRPr="00792B36" w:rsidRDefault="009A0A63" w:rsidP="00A24459">
            <w:pPr>
              <w:contextualSpacing/>
              <w:jc w:val="center"/>
              <w:rPr>
                <w:sz w:val="24"/>
                <w:szCs w:val="24"/>
              </w:rPr>
            </w:pPr>
            <w:r w:rsidRPr="00792B36">
              <w:rPr>
                <w:color w:val="000000"/>
                <w:sz w:val="24"/>
                <w:szCs w:val="24"/>
              </w:rPr>
              <w:t>567.71</w:t>
            </w:r>
          </w:p>
        </w:tc>
        <w:tc>
          <w:tcPr>
            <w:tcW w:w="1095" w:type="dxa"/>
            <w:vAlign w:val="center"/>
          </w:tcPr>
          <w:p w14:paraId="52FB5D07" w14:textId="77777777" w:rsidR="009A0A63" w:rsidRPr="00792B36" w:rsidRDefault="009A0A63" w:rsidP="00A24459">
            <w:pPr>
              <w:contextualSpacing/>
              <w:jc w:val="center"/>
              <w:rPr>
                <w:sz w:val="24"/>
                <w:szCs w:val="24"/>
              </w:rPr>
            </w:pPr>
            <w:r w:rsidRPr="00792B36">
              <w:rPr>
                <w:color w:val="000000"/>
                <w:sz w:val="24"/>
                <w:szCs w:val="24"/>
              </w:rPr>
              <w:t>219.98</w:t>
            </w:r>
          </w:p>
        </w:tc>
        <w:tc>
          <w:tcPr>
            <w:tcW w:w="987" w:type="dxa"/>
            <w:vAlign w:val="center"/>
          </w:tcPr>
          <w:p w14:paraId="102CADD0" w14:textId="77777777" w:rsidR="009A0A63" w:rsidRPr="00792B36" w:rsidRDefault="009A0A63" w:rsidP="00A24459">
            <w:pPr>
              <w:contextualSpacing/>
              <w:jc w:val="center"/>
              <w:rPr>
                <w:sz w:val="24"/>
                <w:szCs w:val="24"/>
              </w:rPr>
            </w:pPr>
            <w:r w:rsidRPr="00792B36">
              <w:rPr>
                <w:color w:val="000000"/>
                <w:sz w:val="24"/>
                <w:szCs w:val="24"/>
              </w:rPr>
              <w:t>646.22</w:t>
            </w:r>
          </w:p>
        </w:tc>
        <w:tc>
          <w:tcPr>
            <w:tcW w:w="1080" w:type="dxa"/>
            <w:vAlign w:val="center"/>
          </w:tcPr>
          <w:p w14:paraId="1D14B6FE" w14:textId="77777777" w:rsidR="009A0A63" w:rsidRPr="00792B36" w:rsidRDefault="009A0A63" w:rsidP="00A24459">
            <w:pPr>
              <w:contextualSpacing/>
              <w:jc w:val="center"/>
              <w:rPr>
                <w:sz w:val="24"/>
                <w:szCs w:val="24"/>
              </w:rPr>
            </w:pPr>
            <w:r w:rsidRPr="00792B36">
              <w:rPr>
                <w:color w:val="000000"/>
                <w:sz w:val="24"/>
                <w:szCs w:val="24"/>
              </w:rPr>
              <w:t>1,434.98</w:t>
            </w:r>
          </w:p>
        </w:tc>
        <w:tc>
          <w:tcPr>
            <w:tcW w:w="1177" w:type="dxa"/>
            <w:vAlign w:val="center"/>
          </w:tcPr>
          <w:p w14:paraId="3EBCEB1E" w14:textId="77777777" w:rsidR="009A0A63" w:rsidRPr="00792B36" w:rsidRDefault="009A0A63" w:rsidP="00A24459">
            <w:pPr>
              <w:contextualSpacing/>
              <w:jc w:val="center"/>
              <w:rPr>
                <w:sz w:val="24"/>
                <w:szCs w:val="24"/>
              </w:rPr>
            </w:pPr>
            <w:r w:rsidRPr="00792B36">
              <w:rPr>
                <w:color w:val="000000"/>
                <w:sz w:val="24"/>
                <w:szCs w:val="24"/>
              </w:rPr>
              <w:t>432.86</w:t>
            </w:r>
          </w:p>
        </w:tc>
        <w:tc>
          <w:tcPr>
            <w:tcW w:w="1027" w:type="dxa"/>
            <w:vAlign w:val="center"/>
          </w:tcPr>
          <w:p w14:paraId="7094A441" w14:textId="77777777" w:rsidR="009A0A63" w:rsidRPr="00792B36" w:rsidRDefault="009A0A63" w:rsidP="00A24459">
            <w:pPr>
              <w:contextualSpacing/>
              <w:jc w:val="center"/>
              <w:rPr>
                <w:sz w:val="24"/>
                <w:szCs w:val="24"/>
              </w:rPr>
            </w:pPr>
            <w:r w:rsidRPr="00792B36">
              <w:rPr>
                <w:color w:val="000000"/>
                <w:sz w:val="24"/>
                <w:szCs w:val="24"/>
              </w:rPr>
              <w:t>501.53</w:t>
            </w:r>
          </w:p>
        </w:tc>
        <w:tc>
          <w:tcPr>
            <w:tcW w:w="957" w:type="dxa"/>
            <w:vAlign w:val="center"/>
          </w:tcPr>
          <w:p w14:paraId="116E40F6" w14:textId="77777777" w:rsidR="009A0A63" w:rsidRPr="00792B36" w:rsidRDefault="009A0A63" w:rsidP="00A24459">
            <w:pPr>
              <w:contextualSpacing/>
              <w:jc w:val="center"/>
              <w:rPr>
                <w:sz w:val="24"/>
                <w:szCs w:val="24"/>
              </w:rPr>
            </w:pPr>
            <w:r w:rsidRPr="00792B36">
              <w:rPr>
                <w:color w:val="000000"/>
                <w:sz w:val="24"/>
                <w:szCs w:val="24"/>
              </w:rPr>
              <w:t>952.57</w:t>
            </w:r>
          </w:p>
        </w:tc>
        <w:tc>
          <w:tcPr>
            <w:tcW w:w="900" w:type="dxa"/>
            <w:vAlign w:val="center"/>
          </w:tcPr>
          <w:p w14:paraId="4DBECDB2" w14:textId="77777777" w:rsidR="009A0A63" w:rsidRPr="00792B36" w:rsidRDefault="009A0A63" w:rsidP="00A24459">
            <w:pPr>
              <w:contextualSpacing/>
              <w:jc w:val="center"/>
              <w:rPr>
                <w:sz w:val="24"/>
                <w:szCs w:val="24"/>
              </w:rPr>
            </w:pPr>
            <w:r w:rsidRPr="00792B36">
              <w:rPr>
                <w:color w:val="000000"/>
                <w:sz w:val="24"/>
                <w:szCs w:val="24"/>
              </w:rPr>
              <w:t>1,885.86</w:t>
            </w:r>
          </w:p>
        </w:tc>
      </w:tr>
      <w:tr w:rsidR="009A0A63" w:rsidRPr="00792B36" w14:paraId="0257B340" w14:textId="77777777" w:rsidTr="00A24459">
        <w:trPr>
          <w:trHeight w:val="340"/>
        </w:trPr>
        <w:tc>
          <w:tcPr>
            <w:tcW w:w="617" w:type="dxa"/>
            <w:vAlign w:val="center"/>
          </w:tcPr>
          <w:p w14:paraId="32709F10" w14:textId="77777777" w:rsidR="009A0A63" w:rsidRPr="00792B36" w:rsidRDefault="009A0A63" w:rsidP="00A24459">
            <w:pPr>
              <w:contextualSpacing/>
              <w:jc w:val="center"/>
              <w:rPr>
                <w:sz w:val="24"/>
                <w:szCs w:val="24"/>
              </w:rPr>
            </w:pPr>
            <w:r w:rsidRPr="00792B36">
              <w:rPr>
                <w:b/>
                <w:bCs/>
                <w:color w:val="000000"/>
                <w:sz w:val="24"/>
                <w:szCs w:val="24"/>
              </w:rPr>
              <w:t>2001</w:t>
            </w:r>
          </w:p>
        </w:tc>
        <w:tc>
          <w:tcPr>
            <w:tcW w:w="1177" w:type="dxa"/>
            <w:vAlign w:val="center"/>
          </w:tcPr>
          <w:p w14:paraId="2592E74E" w14:textId="77777777" w:rsidR="009A0A63" w:rsidRPr="00792B36" w:rsidRDefault="009A0A63" w:rsidP="00A24459">
            <w:pPr>
              <w:contextualSpacing/>
              <w:jc w:val="center"/>
              <w:rPr>
                <w:sz w:val="24"/>
                <w:szCs w:val="24"/>
              </w:rPr>
            </w:pPr>
            <w:r w:rsidRPr="00792B36">
              <w:rPr>
                <w:color w:val="000000"/>
                <w:sz w:val="24"/>
                <w:szCs w:val="24"/>
              </w:rPr>
              <w:t>570.58</w:t>
            </w:r>
          </w:p>
        </w:tc>
        <w:tc>
          <w:tcPr>
            <w:tcW w:w="1095" w:type="dxa"/>
            <w:vAlign w:val="center"/>
          </w:tcPr>
          <w:p w14:paraId="0FC0618C" w14:textId="77777777" w:rsidR="009A0A63" w:rsidRPr="00792B36" w:rsidRDefault="009A0A63" w:rsidP="00A24459">
            <w:pPr>
              <w:contextualSpacing/>
              <w:jc w:val="center"/>
              <w:rPr>
                <w:sz w:val="24"/>
                <w:szCs w:val="24"/>
              </w:rPr>
            </w:pPr>
            <w:r w:rsidRPr="00792B36">
              <w:rPr>
                <w:color w:val="000000"/>
                <w:sz w:val="24"/>
                <w:szCs w:val="24"/>
              </w:rPr>
              <w:t>166.96</w:t>
            </w:r>
          </w:p>
        </w:tc>
        <w:tc>
          <w:tcPr>
            <w:tcW w:w="987" w:type="dxa"/>
            <w:vAlign w:val="center"/>
          </w:tcPr>
          <w:p w14:paraId="626AF2E7" w14:textId="77777777" w:rsidR="009A0A63" w:rsidRPr="00792B36" w:rsidRDefault="009A0A63" w:rsidP="00A24459">
            <w:pPr>
              <w:contextualSpacing/>
              <w:jc w:val="center"/>
              <w:rPr>
                <w:sz w:val="24"/>
                <w:szCs w:val="24"/>
              </w:rPr>
            </w:pPr>
            <w:r w:rsidRPr="00792B36">
              <w:rPr>
                <w:color w:val="000000"/>
                <w:sz w:val="24"/>
                <w:szCs w:val="24"/>
              </w:rPr>
              <w:t>635.55</w:t>
            </w:r>
          </w:p>
        </w:tc>
        <w:tc>
          <w:tcPr>
            <w:tcW w:w="1080" w:type="dxa"/>
            <w:vAlign w:val="center"/>
          </w:tcPr>
          <w:p w14:paraId="3BF566DA" w14:textId="77777777" w:rsidR="009A0A63" w:rsidRPr="00792B36" w:rsidRDefault="009A0A63" w:rsidP="00A24459">
            <w:pPr>
              <w:contextualSpacing/>
              <w:jc w:val="center"/>
              <w:rPr>
                <w:sz w:val="24"/>
                <w:szCs w:val="24"/>
              </w:rPr>
            </w:pPr>
            <w:r w:rsidRPr="00792B36">
              <w:rPr>
                <w:color w:val="000000"/>
                <w:sz w:val="24"/>
                <w:szCs w:val="24"/>
              </w:rPr>
              <w:t>1,376.10</w:t>
            </w:r>
          </w:p>
        </w:tc>
        <w:tc>
          <w:tcPr>
            <w:tcW w:w="1177" w:type="dxa"/>
            <w:vAlign w:val="center"/>
          </w:tcPr>
          <w:p w14:paraId="5077985B" w14:textId="77777777" w:rsidR="009A0A63" w:rsidRPr="00792B36" w:rsidRDefault="009A0A63" w:rsidP="00A24459">
            <w:pPr>
              <w:contextualSpacing/>
              <w:jc w:val="center"/>
              <w:rPr>
                <w:sz w:val="24"/>
                <w:szCs w:val="24"/>
              </w:rPr>
            </w:pPr>
            <w:r w:rsidRPr="00792B36">
              <w:rPr>
                <w:color w:val="000000"/>
                <w:sz w:val="24"/>
                <w:szCs w:val="24"/>
              </w:rPr>
              <w:t>442.97</w:t>
            </w:r>
          </w:p>
        </w:tc>
        <w:tc>
          <w:tcPr>
            <w:tcW w:w="1027" w:type="dxa"/>
            <w:vAlign w:val="center"/>
          </w:tcPr>
          <w:p w14:paraId="171CA8C3" w14:textId="77777777" w:rsidR="009A0A63" w:rsidRPr="00792B36" w:rsidRDefault="009A0A63" w:rsidP="00A24459">
            <w:pPr>
              <w:contextualSpacing/>
              <w:jc w:val="center"/>
              <w:rPr>
                <w:sz w:val="24"/>
                <w:szCs w:val="24"/>
              </w:rPr>
            </w:pPr>
            <w:r w:rsidRPr="00792B36">
              <w:rPr>
                <w:color w:val="000000"/>
                <w:sz w:val="24"/>
                <w:szCs w:val="24"/>
              </w:rPr>
              <w:t>496.18</w:t>
            </w:r>
          </w:p>
        </w:tc>
        <w:tc>
          <w:tcPr>
            <w:tcW w:w="957" w:type="dxa"/>
            <w:vAlign w:val="center"/>
          </w:tcPr>
          <w:p w14:paraId="4183022D" w14:textId="77777777" w:rsidR="009A0A63" w:rsidRPr="00792B36" w:rsidRDefault="009A0A63" w:rsidP="00A24459">
            <w:pPr>
              <w:contextualSpacing/>
              <w:jc w:val="center"/>
              <w:rPr>
                <w:sz w:val="24"/>
                <w:szCs w:val="24"/>
              </w:rPr>
            </w:pPr>
            <w:r w:rsidRPr="00792B36">
              <w:rPr>
                <w:color w:val="000000"/>
                <w:sz w:val="24"/>
                <w:szCs w:val="24"/>
              </w:rPr>
              <w:t>953.57</w:t>
            </w:r>
          </w:p>
        </w:tc>
        <w:tc>
          <w:tcPr>
            <w:tcW w:w="900" w:type="dxa"/>
            <w:vAlign w:val="center"/>
          </w:tcPr>
          <w:p w14:paraId="59F7612C" w14:textId="77777777" w:rsidR="009A0A63" w:rsidRPr="00792B36" w:rsidRDefault="009A0A63" w:rsidP="00A24459">
            <w:pPr>
              <w:contextualSpacing/>
              <w:jc w:val="center"/>
              <w:rPr>
                <w:sz w:val="24"/>
                <w:szCs w:val="24"/>
              </w:rPr>
            </w:pPr>
            <w:r w:rsidRPr="00792B36">
              <w:rPr>
                <w:color w:val="000000"/>
                <w:sz w:val="24"/>
                <w:szCs w:val="24"/>
              </w:rPr>
              <w:t>1,891.42</w:t>
            </w:r>
          </w:p>
        </w:tc>
      </w:tr>
      <w:tr w:rsidR="009A0A63" w:rsidRPr="00792B36" w14:paraId="5FACE81A" w14:textId="77777777" w:rsidTr="00A24459">
        <w:trPr>
          <w:trHeight w:val="340"/>
        </w:trPr>
        <w:tc>
          <w:tcPr>
            <w:tcW w:w="617" w:type="dxa"/>
            <w:vAlign w:val="center"/>
          </w:tcPr>
          <w:p w14:paraId="79843EB1" w14:textId="77777777" w:rsidR="009A0A63" w:rsidRPr="00792B36" w:rsidRDefault="009A0A63" w:rsidP="00A24459">
            <w:pPr>
              <w:contextualSpacing/>
              <w:jc w:val="center"/>
              <w:rPr>
                <w:sz w:val="24"/>
                <w:szCs w:val="24"/>
              </w:rPr>
            </w:pPr>
            <w:r w:rsidRPr="00792B36">
              <w:rPr>
                <w:b/>
                <w:bCs/>
                <w:color w:val="000000"/>
                <w:sz w:val="24"/>
                <w:szCs w:val="24"/>
              </w:rPr>
              <w:t>2002</w:t>
            </w:r>
          </w:p>
        </w:tc>
        <w:tc>
          <w:tcPr>
            <w:tcW w:w="1177" w:type="dxa"/>
            <w:vAlign w:val="center"/>
          </w:tcPr>
          <w:p w14:paraId="6165FF17" w14:textId="77777777" w:rsidR="009A0A63" w:rsidRPr="00792B36" w:rsidRDefault="009A0A63" w:rsidP="00A24459">
            <w:pPr>
              <w:contextualSpacing/>
              <w:jc w:val="center"/>
              <w:rPr>
                <w:sz w:val="24"/>
                <w:szCs w:val="24"/>
              </w:rPr>
            </w:pPr>
            <w:r w:rsidRPr="00792B36">
              <w:rPr>
                <w:color w:val="000000"/>
                <w:sz w:val="24"/>
                <w:szCs w:val="24"/>
              </w:rPr>
              <w:t>644.59</w:t>
            </w:r>
          </w:p>
        </w:tc>
        <w:tc>
          <w:tcPr>
            <w:tcW w:w="1095" w:type="dxa"/>
            <w:vAlign w:val="center"/>
          </w:tcPr>
          <w:p w14:paraId="20F8109D" w14:textId="77777777" w:rsidR="009A0A63" w:rsidRPr="00792B36" w:rsidRDefault="009A0A63" w:rsidP="00A24459">
            <w:pPr>
              <w:contextualSpacing/>
              <w:jc w:val="center"/>
              <w:rPr>
                <w:sz w:val="24"/>
                <w:szCs w:val="24"/>
              </w:rPr>
            </w:pPr>
            <w:r w:rsidRPr="00792B36">
              <w:rPr>
                <w:color w:val="000000"/>
                <w:sz w:val="24"/>
                <w:szCs w:val="24"/>
              </w:rPr>
              <w:t>172.92</w:t>
            </w:r>
          </w:p>
        </w:tc>
        <w:tc>
          <w:tcPr>
            <w:tcW w:w="987" w:type="dxa"/>
            <w:vAlign w:val="center"/>
          </w:tcPr>
          <w:p w14:paraId="67A22928" w14:textId="77777777" w:rsidR="009A0A63" w:rsidRPr="00792B36" w:rsidRDefault="009A0A63" w:rsidP="00A24459">
            <w:pPr>
              <w:contextualSpacing/>
              <w:jc w:val="center"/>
              <w:rPr>
                <w:sz w:val="24"/>
                <w:szCs w:val="24"/>
              </w:rPr>
            </w:pPr>
            <w:r w:rsidRPr="00792B36">
              <w:rPr>
                <w:color w:val="000000"/>
                <w:sz w:val="24"/>
                <w:szCs w:val="24"/>
              </w:rPr>
              <w:t>677.74</w:t>
            </w:r>
          </w:p>
        </w:tc>
        <w:tc>
          <w:tcPr>
            <w:tcW w:w="1080" w:type="dxa"/>
            <w:vAlign w:val="center"/>
          </w:tcPr>
          <w:p w14:paraId="5311C05E" w14:textId="77777777" w:rsidR="009A0A63" w:rsidRPr="00792B36" w:rsidRDefault="009A0A63" w:rsidP="00A24459">
            <w:pPr>
              <w:contextualSpacing/>
              <w:jc w:val="center"/>
              <w:rPr>
                <w:sz w:val="24"/>
                <w:szCs w:val="24"/>
              </w:rPr>
            </w:pPr>
            <w:r w:rsidRPr="00792B36">
              <w:rPr>
                <w:color w:val="000000"/>
                <w:sz w:val="24"/>
                <w:szCs w:val="24"/>
              </w:rPr>
              <w:t>1,495.25</w:t>
            </w:r>
          </w:p>
        </w:tc>
        <w:tc>
          <w:tcPr>
            <w:tcW w:w="1177" w:type="dxa"/>
            <w:vAlign w:val="center"/>
          </w:tcPr>
          <w:p w14:paraId="6B0DB202" w14:textId="77777777" w:rsidR="009A0A63" w:rsidRPr="00792B36" w:rsidRDefault="009A0A63" w:rsidP="00A24459">
            <w:pPr>
              <w:contextualSpacing/>
              <w:jc w:val="center"/>
              <w:rPr>
                <w:sz w:val="24"/>
                <w:szCs w:val="24"/>
              </w:rPr>
            </w:pPr>
            <w:r w:rsidRPr="00792B36">
              <w:rPr>
                <w:color w:val="000000"/>
                <w:sz w:val="24"/>
                <w:szCs w:val="24"/>
              </w:rPr>
              <w:t>426.09</w:t>
            </w:r>
          </w:p>
        </w:tc>
        <w:tc>
          <w:tcPr>
            <w:tcW w:w="1027" w:type="dxa"/>
            <w:vAlign w:val="center"/>
          </w:tcPr>
          <w:p w14:paraId="0772EB18" w14:textId="77777777" w:rsidR="009A0A63" w:rsidRPr="00792B36" w:rsidRDefault="009A0A63" w:rsidP="00A24459">
            <w:pPr>
              <w:contextualSpacing/>
              <w:jc w:val="center"/>
              <w:rPr>
                <w:sz w:val="24"/>
                <w:szCs w:val="24"/>
              </w:rPr>
            </w:pPr>
            <w:r w:rsidRPr="00792B36">
              <w:rPr>
                <w:color w:val="000000"/>
                <w:sz w:val="24"/>
                <w:szCs w:val="24"/>
              </w:rPr>
              <w:t>498.73</w:t>
            </w:r>
          </w:p>
        </w:tc>
        <w:tc>
          <w:tcPr>
            <w:tcW w:w="957" w:type="dxa"/>
            <w:vAlign w:val="center"/>
          </w:tcPr>
          <w:p w14:paraId="5EB1AEA4" w14:textId="77777777" w:rsidR="009A0A63" w:rsidRPr="00792B36" w:rsidRDefault="009A0A63" w:rsidP="00A24459">
            <w:pPr>
              <w:contextualSpacing/>
              <w:jc w:val="center"/>
              <w:rPr>
                <w:sz w:val="24"/>
                <w:szCs w:val="24"/>
              </w:rPr>
            </w:pPr>
            <w:r w:rsidRPr="00792B36">
              <w:rPr>
                <w:color w:val="000000"/>
                <w:sz w:val="24"/>
                <w:szCs w:val="24"/>
              </w:rPr>
              <w:t>984.63</w:t>
            </w:r>
          </w:p>
        </w:tc>
        <w:tc>
          <w:tcPr>
            <w:tcW w:w="900" w:type="dxa"/>
            <w:vAlign w:val="center"/>
          </w:tcPr>
          <w:p w14:paraId="6185A8E3" w14:textId="77777777" w:rsidR="009A0A63" w:rsidRPr="00792B36" w:rsidRDefault="009A0A63" w:rsidP="00A24459">
            <w:pPr>
              <w:contextualSpacing/>
              <w:jc w:val="center"/>
              <w:rPr>
                <w:sz w:val="24"/>
                <w:szCs w:val="24"/>
              </w:rPr>
            </w:pPr>
            <w:r w:rsidRPr="00792B36">
              <w:rPr>
                <w:color w:val="000000"/>
                <w:sz w:val="24"/>
                <w:szCs w:val="24"/>
              </w:rPr>
              <w:t>1,909.45</w:t>
            </w:r>
          </w:p>
        </w:tc>
      </w:tr>
      <w:tr w:rsidR="009A0A63" w:rsidRPr="00792B36" w14:paraId="664A22F9" w14:textId="77777777" w:rsidTr="00A24459">
        <w:trPr>
          <w:trHeight w:val="340"/>
        </w:trPr>
        <w:tc>
          <w:tcPr>
            <w:tcW w:w="617" w:type="dxa"/>
            <w:vAlign w:val="center"/>
          </w:tcPr>
          <w:p w14:paraId="07510CE8" w14:textId="77777777" w:rsidR="009A0A63" w:rsidRPr="00792B36" w:rsidRDefault="009A0A63" w:rsidP="00A24459">
            <w:pPr>
              <w:contextualSpacing/>
              <w:jc w:val="center"/>
              <w:rPr>
                <w:sz w:val="24"/>
                <w:szCs w:val="24"/>
              </w:rPr>
            </w:pPr>
            <w:r w:rsidRPr="00792B36">
              <w:rPr>
                <w:b/>
                <w:bCs/>
                <w:color w:val="000000"/>
                <w:sz w:val="24"/>
                <w:szCs w:val="24"/>
              </w:rPr>
              <w:t>2003</w:t>
            </w:r>
          </w:p>
        </w:tc>
        <w:tc>
          <w:tcPr>
            <w:tcW w:w="1177" w:type="dxa"/>
            <w:vAlign w:val="center"/>
          </w:tcPr>
          <w:p w14:paraId="4B68E37E" w14:textId="77777777" w:rsidR="009A0A63" w:rsidRPr="00792B36" w:rsidRDefault="009A0A63" w:rsidP="00A24459">
            <w:pPr>
              <w:contextualSpacing/>
              <w:jc w:val="center"/>
              <w:rPr>
                <w:sz w:val="24"/>
                <w:szCs w:val="24"/>
              </w:rPr>
            </w:pPr>
            <w:r w:rsidRPr="00792B36">
              <w:rPr>
                <w:color w:val="000000"/>
                <w:sz w:val="24"/>
                <w:szCs w:val="24"/>
              </w:rPr>
              <w:t>635.80</w:t>
            </w:r>
          </w:p>
        </w:tc>
        <w:tc>
          <w:tcPr>
            <w:tcW w:w="1095" w:type="dxa"/>
            <w:vAlign w:val="center"/>
          </w:tcPr>
          <w:p w14:paraId="11EC2FFE" w14:textId="77777777" w:rsidR="009A0A63" w:rsidRPr="00792B36" w:rsidRDefault="009A0A63" w:rsidP="00A24459">
            <w:pPr>
              <w:contextualSpacing/>
              <w:jc w:val="center"/>
              <w:rPr>
                <w:sz w:val="24"/>
                <w:szCs w:val="24"/>
              </w:rPr>
            </w:pPr>
            <w:r w:rsidRPr="00792B36">
              <w:rPr>
                <w:color w:val="000000"/>
                <w:sz w:val="24"/>
                <w:szCs w:val="24"/>
              </w:rPr>
              <w:t>186.26</w:t>
            </w:r>
          </w:p>
        </w:tc>
        <w:tc>
          <w:tcPr>
            <w:tcW w:w="987" w:type="dxa"/>
            <w:vAlign w:val="center"/>
          </w:tcPr>
          <w:p w14:paraId="2CF9E73C" w14:textId="77777777" w:rsidR="009A0A63" w:rsidRPr="00792B36" w:rsidRDefault="009A0A63" w:rsidP="00A24459">
            <w:pPr>
              <w:contextualSpacing/>
              <w:jc w:val="center"/>
              <w:rPr>
                <w:sz w:val="24"/>
                <w:szCs w:val="24"/>
              </w:rPr>
            </w:pPr>
            <w:r w:rsidRPr="00792B36">
              <w:rPr>
                <w:color w:val="000000"/>
                <w:sz w:val="24"/>
                <w:szCs w:val="24"/>
              </w:rPr>
              <w:t>695.44</w:t>
            </w:r>
          </w:p>
        </w:tc>
        <w:tc>
          <w:tcPr>
            <w:tcW w:w="1080" w:type="dxa"/>
            <w:vAlign w:val="center"/>
          </w:tcPr>
          <w:p w14:paraId="0A28B8F9" w14:textId="77777777" w:rsidR="009A0A63" w:rsidRPr="00792B36" w:rsidRDefault="009A0A63" w:rsidP="00A24459">
            <w:pPr>
              <w:contextualSpacing/>
              <w:jc w:val="center"/>
              <w:rPr>
                <w:sz w:val="24"/>
                <w:szCs w:val="24"/>
              </w:rPr>
            </w:pPr>
            <w:r w:rsidRPr="00792B36">
              <w:rPr>
                <w:color w:val="000000"/>
                <w:sz w:val="24"/>
                <w:szCs w:val="24"/>
              </w:rPr>
              <w:t>1,517.50</w:t>
            </w:r>
          </w:p>
        </w:tc>
        <w:tc>
          <w:tcPr>
            <w:tcW w:w="1177" w:type="dxa"/>
            <w:vAlign w:val="center"/>
          </w:tcPr>
          <w:p w14:paraId="574CE992" w14:textId="77777777" w:rsidR="009A0A63" w:rsidRPr="00792B36" w:rsidRDefault="009A0A63" w:rsidP="00A24459">
            <w:pPr>
              <w:contextualSpacing/>
              <w:jc w:val="center"/>
              <w:rPr>
                <w:sz w:val="24"/>
                <w:szCs w:val="24"/>
              </w:rPr>
            </w:pPr>
            <w:r w:rsidRPr="00792B36">
              <w:rPr>
                <w:color w:val="000000"/>
                <w:sz w:val="24"/>
                <w:szCs w:val="24"/>
              </w:rPr>
              <w:t>436.88</w:t>
            </w:r>
          </w:p>
        </w:tc>
        <w:tc>
          <w:tcPr>
            <w:tcW w:w="1027" w:type="dxa"/>
            <w:vAlign w:val="center"/>
          </w:tcPr>
          <w:p w14:paraId="3CA959F6" w14:textId="77777777" w:rsidR="009A0A63" w:rsidRPr="00792B36" w:rsidRDefault="009A0A63" w:rsidP="00A24459">
            <w:pPr>
              <w:contextualSpacing/>
              <w:jc w:val="center"/>
              <w:rPr>
                <w:sz w:val="24"/>
                <w:szCs w:val="24"/>
              </w:rPr>
            </w:pPr>
            <w:r w:rsidRPr="00792B36">
              <w:rPr>
                <w:color w:val="000000"/>
                <w:sz w:val="24"/>
                <w:szCs w:val="24"/>
              </w:rPr>
              <w:t>538.52</w:t>
            </w:r>
          </w:p>
        </w:tc>
        <w:tc>
          <w:tcPr>
            <w:tcW w:w="957" w:type="dxa"/>
            <w:vAlign w:val="center"/>
          </w:tcPr>
          <w:p w14:paraId="47ECF6A0" w14:textId="77777777" w:rsidR="009A0A63" w:rsidRPr="00792B36" w:rsidRDefault="009A0A63" w:rsidP="00A24459">
            <w:pPr>
              <w:contextualSpacing/>
              <w:jc w:val="center"/>
              <w:rPr>
                <w:sz w:val="24"/>
                <w:szCs w:val="24"/>
              </w:rPr>
            </w:pPr>
            <w:r w:rsidRPr="00792B36">
              <w:rPr>
                <w:color w:val="000000"/>
                <w:sz w:val="24"/>
                <w:szCs w:val="24"/>
              </w:rPr>
              <w:t>1,026.02</w:t>
            </w:r>
          </w:p>
        </w:tc>
        <w:tc>
          <w:tcPr>
            <w:tcW w:w="900" w:type="dxa"/>
            <w:vAlign w:val="center"/>
          </w:tcPr>
          <w:p w14:paraId="68BE442B" w14:textId="77777777" w:rsidR="009A0A63" w:rsidRPr="00792B36" w:rsidRDefault="009A0A63" w:rsidP="00A24459">
            <w:pPr>
              <w:contextualSpacing/>
              <w:jc w:val="center"/>
              <w:rPr>
                <w:sz w:val="24"/>
                <w:szCs w:val="24"/>
              </w:rPr>
            </w:pPr>
            <w:r w:rsidRPr="00792B36">
              <w:rPr>
                <w:color w:val="000000"/>
                <w:sz w:val="24"/>
                <w:szCs w:val="24"/>
              </w:rPr>
              <w:t>2,001.42</w:t>
            </w:r>
          </w:p>
        </w:tc>
      </w:tr>
      <w:tr w:rsidR="009A0A63" w:rsidRPr="00792B36" w14:paraId="2B9CE126" w14:textId="77777777" w:rsidTr="00A24459">
        <w:trPr>
          <w:trHeight w:val="340"/>
        </w:trPr>
        <w:tc>
          <w:tcPr>
            <w:tcW w:w="617" w:type="dxa"/>
            <w:vAlign w:val="center"/>
          </w:tcPr>
          <w:p w14:paraId="452CA63D" w14:textId="77777777" w:rsidR="009A0A63" w:rsidRPr="00792B36" w:rsidRDefault="009A0A63" w:rsidP="00A24459">
            <w:pPr>
              <w:contextualSpacing/>
              <w:jc w:val="center"/>
              <w:rPr>
                <w:sz w:val="24"/>
                <w:szCs w:val="24"/>
              </w:rPr>
            </w:pPr>
            <w:r w:rsidRPr="00792B36">
              <w:rPr>
                <w:b/>
                <w:bCs/>
                <w:color w:val="000000"/>
                <w:sz w:val="24"/>
                <w:szCs w:val="24"/>
              </w:rPr>
              <w:t>2004</w:t>
            </w:r>
          </w:p>
        </w:tc>
        <w:tc>
          <w:tcPr>
            <w:tcW w:w="1177" w:type="dxa"/>
            <w:vAlign w:val="center"/>
          </w:tcPr>
          <w:p w14:paraId="5CF24EB2" w14:textId="77777777" w:rsidR="009A0A63" w:rsidRPr="00792B36" w:rsidRDefault="009A0A63" w:rsidP="00A24459">
            <w:pPr>
              <w:contextualSpacing/>
              <w:jc w:val="center"/>
              <w:rPr>
                <w:sz w:val="24"/>
                <w:szCs w:val="24"/>
              </w:rPr>
            </w:pPr>
            <w:r w:rsidRPr="00792B36">
              <w:rPr>
                <w:color w:val="000000"/>
                <w:sz w:val="24"/>
                <w:szCs w:val="24"/>
              </w:rPr>
              <w:t>698.72</w:t>
            </w:r>
          </w:p>
        </w:tc>
        <w:tc>
          <w:tcPr>
            <w:tcW w:w="1095" w:type="dxa"/>
            <w:vAlign w:val="center"/>
          </w:tcPr>
          <w:p w14:paraId="56C1E904" w14:textId="77777777" w:rsidR="009A0A63" w:rsidRPr="00792B36" w:rsidRDefault="009A0A63" w:rsidP="00A24459">
            <w:pPr>
              <w:contextualSpacing/>
              <w:jc w:val="center"/>
              <w:rPr>
                <w:sz w:val="24"/>
                <w:szCs w:val="24"/>
              </w:rPr>
            </w:pPr>
            <w:r w:rsidRPr="00792B36">
              <w:rPr>
                <w:color w:val="000000"/>
                <w:sz w:val="24"/>
                <w:szCs w:val="24"/>
              </w:rPr>
              <w:t>187.72</w:t>
            </w:r>
          </w:p>
        </w:tc>
        <w:tc>
          <w:tcPr>
            <w:tcW w:w="987" w:type="dxa"/>
            <w:vAlign w:val="center"/>
          </w:tcPr>
          <w:p w14:paraId="68151CF0" w14:textId="77777777" w:rsidR="009A0A63" w:rsidRPr="00792B36" w:rsidRDefault="009A0A63" w:rsidP="00A24459">
            <w:pPr>
              <w:contextualSpacing/>
              <w:jc w:val="center"/>
              <w:rPr>
                <w:sz w:val="24"/>
                <w:szCs w:val="24"/>
              </w:rPr>
            </w:pPr>
            <w:r w:rsidRPr="00792B36">
              <w:rPr>
                <w:color w:val="000000"/>
                <w:sz w:val="24"/>
                <w:szCs w:val="24"/>
              </w:rPr>
              <w:t>753.83</w:t>
            </w:r>
          </w:p>
        </w:tc>
        <w:tc>
          <w:tcPr>
            <w:tcW w:w="1080" w:type="dxa"/>
            <w:vAlign w:val="center"/>
          </w:tcPr>
          <w:p w14:paraId="0D03FEE7" w14:textId="77777777" w:rsidR="009A0A63" w:rsidRPr="00792B36" w:rsidRDefault="009A0A63" w:rsidP="00A24459">
            <w:pPr>
              <w:contextualSpacing/>
              <w:jc w:val="center"/>
              <w:rPr>
                <w:sz w:val="24"/>
                <w:szCs w:val="24"/>
              </w:rPr>
            </w:pPr>
            <w:r w:rsidRPr="00792B36">
              <w:rPr>
                <w:color w:val="000000"/>
                <w:sz w:val="24"/>
                <w:szCs w:val="24"/>
              </w:rPr>
              <w:t>1,640.73</w:t>
            </w:r>
          </w:p>
        </w:tc>
        <w:tc>
          <w:tcPr>
            <w:tcW w:w="1177" w:type="dxa"/>
            <w:vAlign w:val="center"/>
          </w:tcPr>
          <w:p w14:paraId="6D56A3FB" w14:textId="77777777" w:rsidR="009A0A63" w:rsidRPr="00792B36" w:rsidRDefault="009A0A63" w:rsidP="00A24459">
            <w:pPr>
              <w:contextualSpacing/>
              <w:jc w:val="center"/>
              <w:rPr>
                <w:sz w:val="24"/>
                <w:szCs w:val="24"/>
              </w:rPr>
            </w:pPr>
            <w:r w:rsidRPr="00792B36">
              <w:rPr>
                <w:color w:val="000000"/>
                <w:sz w:val="24"/>
                <w:szCs w:val="24"/>
              </w:rPr>
              <w:t>458.05</w:t>
            </w:r>
          </w:p>
        </w:tc>
        <w:tc>
          <w:tcPr>
            <w:tcW w:w="1027" w:type="dxa"/>
            <w:vAlign w:val="center"/>
          </w:tcPr>
          <w:p w14:paraId="2FDDB9A3" w14:textId="77777777" w:rsidR="009A0A63" w:rsidRPr="00792B36" w:rsidRDefault="009A0A63" w:rsidP="00A24459">
            <w:pPr>
              <w:contextualSpacing/>
              <w:jc w:val="center"/>
              <w:rPr>
                <w:sz w:val="24"/>
                <w:szCs w:val="24"/>
              </w:rPr>
            </w:pPr>
            <w:r w:rsidRPr="00792B36">
              <w:rPr>
                <w:color w:val="000000"/>
                <w:sz w:val="24"/>
                <w:szCs w:val="24"/>
              </w:rPr>
              <w:t>525.67</w:t>
            </w:r>
          </w:p>
        </w:tc>
        <w:tc>
          <w:tcPr>
            <w:tcW w:w="957" w:type="dxa"/>
            <w:vAlign w:val="center"/>
          </w:tcPr>
          <w:p w14:paraId="682779CE" w14:textId="77777777" w:rsidR="009A0A63" w:rsidRPr="00792B36" w:rsidRDefault="009A0A63" w:rsidP="00A24459">
            <w:pPr>
              <w:contextualSpacing/>
              <w:jc w:val="center"/>
              <w:rPr>
                <w:sz w:val="24"/>
                <w:szCs w:val="24"/>
              </w:rPr>
            </w:pPr>
            <w:r w:rsidRPr="00792B36">
              <w:rPr>
                <w:color w:val="000000"/>
                <w:sz w:val="24"/>
                <w:szCs w:val="24"/>
              </w:rPr>
              <w:t>1,050.42</w:t>
            </w:r>
          </w:p>
        </w:tc>
        <w:tc>
          <w:tcPr>
            <w:tcW w:w="900" w:type="dxa"/>
            <w:vAlign w:val="center"/>
          </w:tcPr>
          <w:p w14:paraId="4D78BAA3" w14:textId="77777777" w:rsidR="009A0A63" w:rsidRPr="00792B36" w:rsidRDefault="009A0A63" w:rsidP="00A24459">
            <w:pPr>
              <w:contextualSpacing/>
              <w:jc w:val="center"/>
              <w:rPr>
                <w:sz w:val="24"/>
                <w:szCs w:val="24"/>
              </w:rPr>
            </w:pPr>
            <w:r w:rsidRPr="00792B36">
              <w:rPr>
                <w:color w:val="000000"/>
                <w:sz w:val="24"/>
                <w:szCs w:val="24"/>
              </w:rPr>
              <w:t>2,034.64</w:t>
            </w:r>
          </w:p>
        </w:tc>
      </w:tr>
      <w:tr w:rsidR="009A0A63" w:rsidRPr="00792B36" w14:paraId="0DFA283F" w14:textId="77777777" w:rsidTr="00A24459">
        <w:trPr>
          <w:trHeight w:val="340"/>
        </w:trPr>
        <w:tc>
          <w:tcPr>
            <w:tcW w:w="617" w:type="dxa"/>
            <w:vAlign w:val="center"/>
          </w:tcPr>
          <w:p w14:paraId="3C7631CB" w14:textId="77777777" w:rsidR="009A0A63" w:rsidRPr="00792B36" w:rsidRDefault="009A0A63" w:rsidP="00A24459">
            <w:pPr>
              <w:contextualSpacing/>
              <w:jc w:val="center"/>
              <w:rPr>
                <w:sz w:val="24"/>
                <w:szCs w:val="24"/>
              </w:rPr>
            </w:pPr>
            <w:r w:rsidRPr="00792B36">
              <w:rPr>
                <w:b/>
                <w:bCs/>
                <w:color w:val="000000"/>
                <w:sz w:val="24"/>
                <w:szCs w:val="24"/>
              </w:rPr>
              <w:t>2005</w:t>
            </w:r>
          </w:p>
        </w:tc>
        <w:tc>
          <w:tcPr>
            <w:tcW w:w="1177" w:type="dxa"/>
            <w:vAlign w:val="center"/>
          </w:tcPr>
          <w:p w14:paraId="1D60FB0F" w14:textId="77777777" w:rsidR="009A0A63" w:rsidRPr="00792B36" w:rsidRDefault="009A0A63" w:rsidP="00A24459">
            <w:pPr>
              <w:contextualSpacing/>
              <w:jc w:val="center"/>
              <w:rPr>
                <w:sz w:val="24"/>
                <w:szCs w:val="24"/>
              </w:rPr>
            </w:pPr>
            <w:r w:rsidRPr="00792B36">
              <w:rPr>
                <w:color w:val="000000"/>
                <w:sz w:val="24"/>
                <w:szCs w:val="24"/>
              </w:rPr>
              <w:t>689.05</w:t>
            </w:r>
          </w:p>
        </w:tc>
        <w:tc>
          <w:tcPr>
            <w:tcW w:w="1095" w:type="dxa"/>
            <w:vAlign w:val="center"/>
          </w:tcPr>
          <w:p w14:paraId="2C8C3EC6" w14:textId="77777777" w:rsidR="009A0A63" w:rsidRPr="00792B36" w:rsidRDefault="009A0A63" w:rsidP="00A24459">
            <w:pPr>
              <w:contextualSpacing/>
              <w:jc w:val="center"/>
              <w:rPr>
                <w:sz w:val="24"/>
                <w:szCs w:val="24"/>
              </w:rPr>
            </w:pPr>
            <w:r w:rsidRPr="00792B36">
              <w:rPr>
                <w:color w:val="000000"/>
                <w:sz w:val="24"/>
                <w:szCs w:val="24"/>
              </w:rPr>
              <w:t>204.98</w:t>
            </w:r>
          </w:p>
        </w:tc>
        <w:tc>
          <w:tcPr>
            <w:tcW w:w="987" w:type="dxa"/>
            <w:vAlign w:val="center"/>
          </w:tcPr>
          <w:p w14:paraId="1B5100FB" w14:textId="77777777" w:rsidR="009A0A63" w:rsidRPr="00792B36" w:rsidRDefault="009A0A63" w:rsidP="00A24459">
            <w:pPr>
              <w:contextualSpacing/>
              <w:jc w:val="center"/>
              <w:rPr>
                <w:sz w:val="24"/>
                <w:szCs w:val="24"/>
              </w:rPr>
            </w:pPr>
            <w:r w:rsidRPr="00792B36">
              <w:rPr>
                <w:color w:val="000000"/>
                <w:sz w:val="24"/>
                <w:szCs w:val="24"/>
              </w:rPr>
              <w:t>783.60</w:t>
            </w:r>
          </w:p>
        </w:tc>
        <w:tc>
          <w:tcPr>
            <w:tcW w:w="1080" w:type="dxa"/>
            <w:vAlign w:val="center"/>
          </w:tcPr>
          <w:p w14:paraId="0D9F68DD" w14:textId="77777777" w:rsidR="009A0A63" w:rsidRPr="00792B36" w:rsidRDefault="009A0A63" w:rsidP="00A24459">
            <w:pPr>
              <w:contextualSpacing/>
              <w:jc w:val="center"/>
              <w:rPr>
                <w:sz w:val="24"/>
                <w:szCs w:val="24"/>
              </w:rPr>
            </w:pPr>
            <w:r w:rsidRPr="00792B36">
              <w:rPr>
                <w:color w:val="000000"/>
                <w:sz w:val="24"/>
                <w:szCs w:val="24"/>
              </w:rPr>
              <w:t>1,674.09</w:t>
            </w:r>
          </w:p>
        </w:tc>
        <w:tc>
          <w:tcPr>
            <w:tcW w:w="1177" w:type="dxa"/>
            <w:vAlign w:val="center"/>
          </w:tcPr>
          <w:p w14:paraId="3786AB4C" w14:textId="77777777" w:rsidR="009A0A63" w:rsidRPr="00792B36" w:rsidRDefault="009A0A63" w:rsidP="00A24459">
            <w:pPr>
              <w:contextualSpacing/>
              <w:jc w:val="center"/>
              <w:rPr>
                <w:sz w:val="24"/>
                <w:szCs w:val="24"/>
              </w:rPr>
            </w:pPr>
            <w:r w:rsidRPr="00792B36">
              <w:rPr>
                <w:color w:val="000000"/>
                <w:sz w:val="24"/>
                <w:szCs w:val="24"/>
              </w:rPr>
              <w:t>474.85</w:t>
            </w:r>
          </w:p>
        </w:tc>
        <w:tc>
          <w:tcPr>
            <w:tcW w:w="1027" w:type="dxa"/>
            <w:vAlign w:val="center"/>
          </w:tcPr>
          <w:p w14:paraId="44664140" w14:textId="77777777" w:rsidR="009A0A63" w:rsidRPr="00792B36" w:rsidRDefault="009A0A63" w:rsidP="00A24459">
            <w:pPr>
              <w:contextualSpacing/>
              <w:jc w:val="center"/>
              <w:rPr>
                <w:sz w:val="24"/>
                <w:szCs w:val="24"/>
              </w:rPr>
            </w:pPr>
            <w:r w:rsidRPr="00792B36">
              <w:rPr>
                <w:color w:val="000000"/>
                <w:sz w:val="24"/>
                <w:szCs w:val="24"/>
              </w:rPr>
              <w:t>610.02</w:t>
            </w:r>
          </w:p>
        </w:tc>
        <w:tc>
          <w:tcPr>
            <w:tcW w:w="957" w:type="dxa"/>
            <w:vAlign w:val="center"/>
          </w:tcPr>
          <w:p w14:paraId="21E20866" w14:textId="77777777" w:rsidR="009A0A63" w:rsidRPr="00792B36" w:rsidRDefault="009A0A63" w:rsidP="00A24459">
            <w:pPr>
              <w:contextualSpacing/>
              <w:jc w:val="center"/>
              <w:rPr>
                <w:sz w:val="24"/>
                <w:szCs w:val="24"/>
              </w:rPr>
            </w:pPr>
            <w:r w:rsidRPr="00792B36">
              <w:rPr>
                <w:color w:val="000000"/>
                <w:sz w:val="24"/>
                <w:szCs w:val="24"/>
              </w:rPr>
              <w:t>1,074.78</w:t>
            </w:r>
          </w:p>
        </w:tc>
        <w:tc>
          <w:tcPr>
            <w:tcW w:w="900" w:type="dxa"/>
            <w:vAlign w:val="center"/>
          </w:tcPr>
          <w:p w14:paraId="7768E3DA" w14:textId="77777777" w:rsidR="009A0A63" w:rsidRPr="00792B36" w:rsidRDefault="009A0A63" w:rsidP="00A24459">
            <w:pPr>
              <w:contextualSpacing/>
              <w:jc w:val="center"/>
              <w:rPr>
                <w:sz w:val="24"/>
                <w:szCs w:val="24"/>
              </w:rPr>
            </w:pPr>
            <w:r w:rsidRPr="00792B36">
              <w:rPr>
                <w:color w:val="000000"/>
                <w:sz w:val="24"/>
                <w:szCs w:val="24"/>
              </w:rPr>
              <w:t>2,163.68</w:t>
            </w:r>
          </w:p>
        </w:tc>
      </w:tr>
      <w:tr w:rsidR="009A0A63" w:rsidRPr="00792B36" w14:paraId="72F323A0" w14:textId="77777777" w:rsidTr="00A24459">
        <w:trPr>
          <w:trHeight w:val="340"/>
        </w:trPr>
        <w:tc>
          <w:tcPr>
            <w:tcW w:w="617" w:type="dxa"/>
            <w:vAlign w:val="center"/>
          </w:tcPr>
          <w:p w14:paraId="50E6AAB7" w14:textId="77777777" w:rsidR="009A0A63" w:rsidRPr="00792B36" w:rsidRDefault="009A0A63" w:rsidP="00A24459">
            <w:pPr>
              <w:contextualSpacing/>
              <w:jc w:val="center"/>
              <w:rPr>
                <w:sz w:val="24"/>
                <w:szCs w:val="24"/>
              </w:rPr>
            </w:pPr>
            <w:r w:rsidRPr="00792B36">
              <w:rPr>
                <w:b/>
                <w:bCs/>
                <w:color w:val="000000"/>
                <w:sz w:val="24"/>
                <w:szCs w:val="24"/>
              </w:rPr>
              <w:t>2006</w:t>
            </w:r>
          </w:p>
        </w:tc>
        <w:tc>
          <w:tcPr>
            <w:tcW w:w="1177" w:type="dxa"/>
            <w:vAlign w:val="center"/>
          </w:tcPr>
          <w:p w14:paraId="3C30004D" w14:textId="77777777" w:rsidR="009A0A63" w:rsidRPr="00792B36" w:rsidRDefault="009A0A63" w:rsidP="00A24459">
            <w:pPr>
              <w:contextualSpacing/>
              <w:jc w:val="center"/>
              <w:rPr>
                <w:sz w:val="24"/>
                <w:szCs w:val="24"/>
              </w:rPr>
            </w:pPr>
            <w:r w:rsidRPr="00792B36">
              <w:rPr>
                <w:color w:val="000000"/>
                <w:sz w:val="24"/>
                <w:szCs w:val="24"/>
              </w:rPr>
              <w:t>707.07</w:t>
            </w:r>
          </w:p>
        </w:tc>
        <w:tc>
          <w:tcPr>
            <w:tcW w:w="1095" w:type="dxa"/>
            <w:vAlign w:val="center"/>
          </w:tcPr>
          <w:p w14:paraId="1888714D" w14:textId="77777777" w:rsidR="009A0A63" w:rsidRPr="00792B36" w:rsidRDefault="009A0A63" w:rsidP="00A24459">
            <w:pPr>
              <w:contextualSpacing/>
              <w:jc w:val="center"/>
              <w:rPr>
                <w:sz w:val="24"/>
                <w:szCs w:val="24"/>
              </w:rPr>
            </w:pPr>
            <w:r w:rsidRPr="00792B36">
              <w:rPr>
                <w:color w:val="000000"/>
                <w:sz w:val="24"/>
                <w:szCs w:val="24"/>
              </w:rPr>
              <w:t>224.07</w:t>
            </w:r>
          </w:p>
        </w:tc>
        <w:tc>
          <w:tcPr>
            <w:tcW w:w="987" w:type="dxa"/>
            <w:vAlign w:val="center"/>
          </w:tcPr>
          <w:p w14:paraId="456F5CF5" w14:textId="77777777" w:rsidR="009A0A63" w:rsidRPr="00792B36" w:rsidRDefault="009A0A63" w:rsidP="00A24459">
            <w:pPr>
              <w:contextualSpacing/>
              <w:jc w:val="center"/>
              <w:rPr>
                <w:sz w:val="24"/>
                <w:szCs w:val="24"/>
              </w:rPr>
            </w:pPr>
            <w:r w:rsidRPr="00792B36">
              <w:rPr>
                <w:color w:val="000000"/>
                <w:sz w:val="24"/>
                <w:szCs w:val="24"/>
              </w:rPr>
              <w:t>810.22</w:t>
            </w:r>
          </w:p>
        </w:tc>
        <w:tc>
          <w:tcPr>
            <w:tcW w:w="1080" w:type="dxa"/>
            <w:vAlign w:val="center"/>
          </w:tcPr>
          <w:p w14:paraId="5C4DEF81" w14:textId="77777777" w:rsidR="009A0A63" w:rsidRPr="00792B36" w:rsidRDefault="009A0A63" w:rsidP="00A24459">
            <w:pPr>
              <w:contextualSpacing/>
              <w:jc w:val="center"/>
              <w:rPr>
                <w:sz w:val="24"/>
                <w:szCs w:val="24"/>
              </w:rPr>
            </w:pPr>
            <w:r w:rsidRPr="00792B36">
              <w:rPr>
                <w:color w:val="000000"/>
                <w:sz w:val="24"/>
                <w:szCs w:val="24"/>
              </w:rPr>
              <w:t>1,736.68</w:t>
            </w:r>
          </w:p>
        </w:tc>
        <w:tc>
          <w:tcPr>
            <w:tcW w:w="1177" w:type="dxa"/>
            <w:vAlign w:val="center"/>
          </w:tcPr>
          <w:p w14:paraId="34EA1329" w14:textId="77777777" w:rsidR="009A0A63" w:rsidRPr="00792B36" w:rsidRDefault="009A0A63" w:rsidP="00A24459">
            <w:pPr>
              <w:contextualSpacing/>
              <w:jc w:val="center"/>
              <w:rPr>
                <w:sz w:val="24"/>
                <w:szCs w:val="24"/>
              </w:rPr>
            </w:pPr>
            <w:r w:rsidRPr="00792B36">
              <w:rPr>
                <w:color w:val="000000"/>
                <w:sz w:val="24"/>
                <w:szCs w:val="24"/>
              </w:rPr>
              <w:t>478.28</w:t>
            </w:r>
          </w:p>
        </w:tc>
        <w:tc>
          <w:tcPr>
            <w:tcW w:w="1027" w:type="dxa"/>
            <w:vAlign w:val="center"/>
          </w:tcPr>
          <w:p w14:paraId="12EDE9EF" w14:textId="77777777" w:rsidR="009A0A63" w:rsidRPr="00792B36" w:rsidRDefault="009A0A63" w:rsidP="00A24459">
            <w:pPr>
              <w:contextualSpacing/>
              <w:jc w:val="center"/>
              <w:rPr>
                <w:sz w:val="24"/>
                <w:szCs w:val="24"/>
              </w:rPr>
            </w:pPr>
            <w:r w:rsidRPr="00792B36">
              <w:rPr>
                <w:color w:val="000000"/>
                <w:sz w:val="24"/>
                <w:szCs w:val="24"/>
              </w:rPr>
              <w:t>619.86</w:t>
            </w:r>
          </w:p>
        </w:tc>
        <w:tc>
          <w:tcPr>
            <w:tcW w:w="957" w:type="dxa"/>
            <w:vAlign w:val="center"/>
          </w:tcPr>
          <w:p w14:paraId="4C3427BA" w14:textId="77777777" w:rsidR="009A0A63" w:rsidRPr="00792B36" w:rsidRDefault="009A0A63" w:rsidP="00A24459">
            <w:pPr>
              <w:contextualSpacing/>
              <w:jc w:val="center"/>
              <w:rPr>
                <w:sz w:val="24"/>
                <w:szCs w:val="24"/>
              </w:rPr>
            </w:pPr>
            <w:r w:rsidRPr="00792B36">
              <w:rPr>
                <w:color w:val="000000"/>
                <w:sz w:val="24"/>
                <w:szCs w:val="24"/>
              </w:rPr>
              <w:t>1,060.87</w:t>
            </w:r>
          </w:p>
        </w:tc>
        <w:tc>
          <w:tcPr>
            <w:tcW w:w="900" w:type="dxa"/>
            <w:vAlign w:val="center"/>
          </w:tcPr>
          <w:p w14:paraId="07E4E35D" w14:textId="77777777" w:rsidR="009A0A63" w:rsidRPr="00792B36" w:rsidRDefault="009A0A63" w:rsidP="00A24459">
            <w:pPr>
              <w:contextualSpacing/>
              <w:jc w:val="center"/>
              <w:rPr>
                <w:sz w:val="24"/>
                <w:szCs w:val="24"/>
              </w:rPr>
            </w:pPr>
            <w:r w:rsidRPr="00792B36">
              <w:rPr>
                <w:color w:val="000000"/>
                <w:sz w:val="24"/>
                <w:szCs w:val="24"/>
              </w:rPr>
              <w:t>2,164.50</w:t>
            </w:r>
          </w:p>
        </w:tc>
      </w:tr>
      <w:tr w:rsidR="009A0A63" w:rsidRPr="00792B36" w14:paraId="488DB1CE" w14:textId="77777777" w:rsidTr="00A24459">
        <w:trPr>
          <w:trHeight w:val="340"/>
        </w:trPr>
        <w:tc>
          <w:tcPr>
            <w:tcW w:w="617" w:type="dxa"/>
            <w:vAlign w:val="center"/>
          </w:tcPr>
          <w:p w14:paraId="74AA9DD8" w14:textId="77777777" w:rsidR="009A0A63" w:rsidRPr="00792B36" w:rsidRDefault="009A0A63" w:rsidP="00A24459">
            <w:pPr>
              <w:contextualSpacing/>
              <w:jc w:val="center"/>
              <w:rPr>
                <w:sz w:val="24"/>
                <w:szCs w:val="24"/>
              </w:rPr>
            </w:pPr>
            <w:r w:rsidRPr="00792B36">
              <w:rPr>
                <w:b/>
                <w:bCs/>
                <w:color w:val="000000"/>
                <w:sz w:val="24"/>
                <w:szCs w:val="24"/>
              </w:rPr>
              <w:t>2007</w:t>
            </w:r>
          </w:p>
        </w:tc>
        <w:tc>
          <w:tcPr>
            <w:tcW w:w="1177" w:type="dxa"/>
            <w:vAlign w:val="center"/>
          </w:tcPr>
          <w:p w14:paraId="507656E3" w14:textId="77777777" w:rsidR="009A0A63" w:rsidRPr="00792B36" w:rsidRDefault="009A0A63" w:rsidP="00A24459">
            <w:pPr>
              <w:contextualSpacing/>
              <w:jc w:val="center"/>
              <w:rPr>
                <w:sz w:val="24"/>
                <w:szCs w:val="24"/>
              </w:rPr>
            </w:pPr>
            <w:r w:rsidRPr="00792B36">
              <w:rPr>
                <w:color w:val="000000"/>
                <w:sz w:val="24"/>
                <w:szCs w:val="24"/>
              </w:rPr>
              <w:t>748.65</w:t>
            </w:r>
          </w:p>
        </w:tc>
        <w:tc>
          <w:tcPr>
            <w:tcW w:w="1095" w:type="dxa"/>
            <w:vAlign w:val="center"/>
          </w:tcPr>
          <w:p w14:paraId="66F02033" w14:textId="77777777" w:rsidR="009A0A63" w:rsidRPr="00792B36" w:rsidRDefault="009A0A63" w:rsidP="00A24459">
            <w:pPr>
              <w:contextualSpacing/>
              <w:jc w:val="center"/>
              <w:rPr>
                <w:sz w:val="24"/>
                <w:szCs w:val="24"/>
              </w:rPr>
            </w:pPr>
            <w:r w:rsidRPr="00792B36">
              <w:rPr>
                <w:color w:val="000000"/>
                <w:sz w:val="24"/>
                <w:szCs w:val="24"/>
              </w:rPr>
              <w:t>239.98</w:t>
            </w:r>
          </w:p>
        </w:tc>
        <w:tc>
          <w:tcPr>
            <w:tcW w:w="987" w:type="dxa"/>
            <w:vAlign w:val="center"/>
          </w:tcPr>
          <w:p w14:paraId="25102749" w14:textId="77777777" w:rsidR="009A0A63" w:rsidRPr="00792B36" w:rsidRDefault="009A0A63" w:rsidP="00A24459">
            <w:pPr>
              <w:contextualSpacing/>
              <w:jc w:val="center"/>
              <w:rPr>
                <w:sz w:val="24"/>
                <w:szCs w:val="24"/>
              </w:rPr>
            </w:pPr>
            <w:r w:rsidRPr="00792B36">
              <w:rPr>
                <w:color w:val="000000"/>
                <w:sz w:val="24"/>
                <w:szCs w:val="24"/>
              </w:rPr>
              <w:t>846.15</w:t>
            </w:r>
          </w:p>
        </w:tc>
        <w:tc>
          <w:tcPr>
            <w:tcW w:w="1080" w:type="dxa"/>
            <w:vAlign w:val="center"/>
          </w:tcPr>
          <w:p w14:paraId="77BFDE6D" w14:textId="77777777" w:rsidR="009A0A63" w:rsidRPr="00792B36" w:rsidRDefault="009A0A63" w:rsidP="00A24459">
            <w:pPr>
              <w:contextualSpacing/>
              <w:jc w:val="center"/>
              <w:rPr>
                <w:sz w:val="24"/>
                <w:szCs w:val="24"/>
              </w:rPr>
            </w:pPr>
            <w:r w:rsidRPr="00792B36">
              <w:rPr>
                <w:color w:val="000000"/>
                <w:sz w:val="24"/>
                <w:szCs w:val="24"/>
              </w:rPr>
              <w:t>1,830.85</w:t>
            </w:r>
          </w:p>
        </w:tc>
        <w:tc>
          <w:tcPr>
            <w:tcW w:w="1177" w:type="dxa"/>
            <w:vAlign w:val="center"/>
          </w:tcPr>
          <w:p w14:paraId="16C503AC" w14:textId="77777777" w:rsidR="009A0A63" w:rsidRPr="00792B36" w:rsidRDefault="009A0A63" w:rsidP="00A24459">
            <w:pPr>
              <w:contextualSpacing/>
              <w:jc w:val="center"/>
              <w:rPr>
                <w:sz w:val="24"/>
                <w:szCs w:val="24"/>
              </w:rPr>
            </w:pPr>
            <w:r w:rsidRPr="00792B36">
              <w:rPr>
                <w:color w:val="000000"/>
                <w:sz w:val="24"/>
                <w:szCs w:val="24"/>
              </w:rPr>
              <w:t>449.53</w:t>
            </w:r>
          </w:p>
        </w:tc>
        <w:tc>
          <w:tcPr>
            <w:tcW w:w="1027" w:type="dxa"/>
            <w:vAlign w:val="center"/>
          </w:tcPr>
          <w:p w14:paraId="1F2A8B91" w14:textId="77777777" w:rsidR="009A0A63" w:rsidRPr="00792B36" w:rsidRDefault="009A0A63" w:rsidP="00A24459">
            <w:pPr>
              <w:contextualSpacing/>
              <w:jc w:val="center"/>
              <w:rPr>
                <w:sz w:val="24"/>
                <w:szCs w:val="24"/>
              </w:rPr>
            </w:pPr>
            <w:r w:rsidRPr="00792B36">
              <w:rPr>
                <w:color w:val="000000"/>
                <w:sz w:val="24"/>
                <w:szCs w:val="24"/>
              </w:rPr>
              <w:t>619.32</w:t>
            </w:r>
          </w:p>
        </w:tc>
        <w:tc>
          <w:tcPr>
            <w:tcW w:w="957" w:type="dxa"/>
            <w:vAlign w:val="center"/>
          </w:tcPr>
          <w:p w14:paraId="3E39085A" w14:textId="77777777" w:rsidR="009A0A63" w:rsidRPr="00792B36" w:rsidRDefault="009A0A63" w:rsidP="00A24459">
            <w:pPr>
              <w:contextualSpacing/>
              <w:jc w:val="center"/>
              <w:rPr>
                <w:sz w:val="24"/>
                <w:szCs w:val="24"/>
              </w:rPr>
            </w:pPr>
            <w:r w:rsidRPr="00792B36">
              <w:rPr>
                <w:color w:val="000000"/>
                <w:sz w:val="24"/>
                <w:szCs w:val="24"/>
              </w:rPr>
              <w:t>1,061.52</w:t>
            </w:r>
          </w:p>
        </w:tc>
        <w:tc>
          <w:tcPr>
            <w:tcW w:w="900" w:type="dxa"/>
            <w:vAlign w:val="center"/>
          </w:tcPr>
          <w:p w14:paraId="2D0233E5" w14:textId="77777777" w:rsidR="009A0A63" w:rsidRPr="00792B36" w:rsidRDefault="009A0A63" w:rsidP="00A24459">
            <w:pPr>
              <w:contextualSpacing/>
              <w:jc w:val="center"/>
              <w:rPr>
                <w:sz w:val="24"/>
                <w:szCs w:val="24"/>
              </w:rPr>
            </w:pPr>
            <w:r w:rsidRPr="00792B36">
              <w:rPr>
                <w:color w:val="000000"/>
                <w:sz w:val="24"/>
                <w:szCs w:val="24"/>
              </w:rPr>
              <w:t>2,131.87</w:t>
            </w:r>
          </w:p>
        </w:tc>
      </w:tr>
      <w:tr w:rsidR="009A0A63" w:rsidRPr="00792B36" w14:paraId="15E4DD1A" w14:textId="77777777" w:rsidTr="00A24459">
        <w:trPr>
          <w:trHeight w:val="340"/>
        </w:trPr>
        <w:tc>
          <w:tcPr>
            <w:tcW w:w="617" w:type="dxa"/>
            <w:vAlign w:val="center"/>
          </w:tcPr>
          <w:p w14:paraId="7EEB0EF6" w14:textId="77777777" w:rsidR="009A0A63" w:rsidRPr="00792B36" w:rsidRDefault="009A0A63" w:rsidP="00A24459">
            <w:pPr>
              <w:contextualSpacing/>
              <w:jc w:val="center"/>
              <w:rPr>
                <w:sz w:val="24"/>
                <w:szCs w:val="24"/>
              </w:rPr>
            </w:pPr>
            <w:r w:rsidRPr="00792B36">
              <w:rPr>
                <w:b/>
                <w:bCs/>
                <w:color w:val="000000"/>
                <w:sz w:val="24"/>
                <w:szCs w:val="24"/>
              </w:rPr>
              <w:t>2008</w:t>
            </w:r>
          </w:p>
        </w:tc>
        <w:tc>
          <w:tcPr>
            <w:tcW w:w="1177" w:type="dxa"/>
            <w:vAlign w:val="center"/>
          </w:tcPr>
          <w:p w14:paraId="1AA9FF7C" w14:textId="77777777" w:rsidR="009A0A63" w:rsidRPr="00792B36" w:rsidRDefault="009A0A63" w:rsidP="00A24459">
            <w:pPr>
              <w:contextualSpacing/>
              <w:jc w:val="center"/>
              <w:rPr>
                <w:sz w:val="24"/>
                <w:szCs w:val="24"/>
              </w:rPr>
            </w:pPr>
            <w:r w:rsidRPr="00792B36">
              <w:rPr>
                <w:color w:val="000000"/>
                <w:sz w:val="24"/>
                <w:szCs w:val="24"/>
              </w:rPr>
              <w:t>771.76</w:t>
            </w:r>
          </w:p>
        </w:tc>
        <w:tc>
          <w:tcPr>
            <w:tcW w:w="1095" w:type="dxa"/>
            <w:vAlign w:val="center"/>
          </w:tcPr>
          <w:p w14:paraId="06BB0527" w14:textId="77777777" w:rsidR="009A0A63" w:rsidRPr="00792B36" w:rsidRDefault="009A0A63" w:rsidP="00A24459">
            <w:pPr>
              <w:contextualSpacing/>
              <w:jc w:val="center"/>
              <w:rPr>
                <w:sz w:val="24"/>
                <w:szCs w:val="24"/>
              </w:rPr>
            </w:pPr>
            <w:r w:rsidRPr="00792B36">
              <w:rPr>
                <w:color w:val="000000"/>
                <w:sz w:val="24"/>
                <w:szCs w:val="24"/>
              </w:rPr>
              <w:t>271.40</w:t>
            </w:r>
          </w:p>
        </w:tc>
        <w:tc>
          <w:tcPr>
            <w:tcW w:w="987" w:type="dxa"/>
            <w:vAlign w:val="center"/>
          </w:tcPr>
          <w:p w14:paraId="4FC1591F" w14:textId="77777777" w:rsidR="009A0A63" w:rsidRPr="00792B36" w:rsidRDefault="009A0A63" w:rsidP="00A24459">
            <w:pPr>
              <w:contextualSpacing/>
              <w:jc w:val="center"/>
              <w:rPr>
                <w:sz w:val="24"/>
                <w:szCs w:val="24"/>
              </w:rPr>
            </w:pPr>
            <w:r w:rsidRPr="00792B36">
              <w:rPr>
                <w:color w:val="000000"/>
                <w:sz w:val="24"/>
                <w:szCs w:val="24"/>
              </w:rPr>
              <w:t>861.71</w:t>
            </w:r>
          </w:p>
        </w:tc>
        <w:tc>
          <w:tcPr>
            <w:tcW w:w="1080" w:type="dxa"/>
            <w:vAlign w:val="center"/>
          </w:tcPr>
          <w:p w14:paraId="4784DDB1" w14:textId="77777777" w:rsidR="009A0A63" w:rsidRPr="00792B36" w:rsidRDefault="009A0A63" w:rsidP="00A24459">
            <w:pPr>
              <w:contextualSpacing/>
              <w:jc w:val="center"/>
              <w:rPr>
                <w:sz w:val="24"/>
                <w:szCs w:val="24"/>
              </w:rPr>
            </w:pPr>
            <w:r w:rsidRPr="00792B36">
              <w:rPr>
                <w:color w:val="000000"/>
                <w:sz w:val="24"/>
                <w:szCs w:val="24"/>
              </w:rPr>
              <w:t>1,899.57</w:t>
            </w:r>
          </w:p>
        </w:tc>
        <w:tc>
          <w:tcPr>
            <w:tcW w:w="1177" w:type="dxa"/>
            <w:vAlign w:val="center"/>
          </w:tcPr>
          <w:p w14:paraId="4F39AA90" w14:textId="77777777" w:rsidR="009A0A63" w:rsidRPr="00792B36" w:rsidRDefault="009A0A63" w:rsidP="00A24459">
            <w:pPr>
              <w:contextualSpacing/>
              <w:jc w:val="center"/>
              <w:rPr>
                <w:sz w:val="24"/>
                <w:szCs w:val="24"/>
              </w:rPr>
            </w:pPr>
            <w:r w:rsidRPr="00792B36">
              <w:rPr>
                <w:color w:val="000000"/>
                <w:sz w:val="24"/>
                <w:szCs w:val="24"/>
              </w:rPr>
              <w:t>413.59</w:t>
            </w:r>
          </w:p>
        </w:tc>
        <w:tc>
          <w:tcPr>
            <w:tcW w:w="1027" w:type="dxa"/>
            <w:vAlign w:val="center"/>
          </w:tcPr>
          <w:p w14:paraId="7251394A" w14:textId="77777777" w:rsidR="009A0A63" w:rsidRPr="00792B36" w:rsidRDefault="009A0A63" w:rsidP="00A24459">
            <w:pPr>
              <w:contextualSpacing/>
              <w:jc w:val="center"/>
              <w:rPr>
                <w:sz w:val="24"/>
                <w:szCs w:val="24"/>
              </w:rPr>
            </w:pPr>
            <w:r w:rsidRPr="00792B36">
              <w:rPr>
                <w:color w:val="000000"/>
                <w:sz w:val="24"/>
                <w:szCs w:val="24"/>
              </w:rPr>
              <w:t>642.39</w:t>
            </w:r>
          </w:p>
        </w:tc>
        <w:tc>
          <w:tcPr>
            <w:tcW w:w="957" w:type="dxa"/>
            <w:vAlign w:val="center"/>
          </w:tcPr>
          <w:p w14:paraId="310FCA10" w14:textId="77777777" w:rsidR="009A0A63" w:rsidRPr="00792B36" w:rsidRDefault="009A0A63" w:rsidP="00A24459">
            <w:pPr>
              <w:contextualSpacing/>
              <w:jc w:val="center"/>
              <w:rPr>
                <w:sz w:val="24"/>
                <w:szCs w:val="24"/>
              </w:rPr>
            </w:pPr>
            <w:r w:rsidRPr="00792B36">
              <w:rPr>
                <w:color w:val="000000"/>
                <w:sz w:val="24"/>
                <w:szCs w:val="24"/>
              </w:rPr>
              <w:t>1,024.56</w:t>
            </w:r>
          </w:p>
        </w:tc>
        <w:tc>
          <w:tcPr>
            <w:tcW w:w="900" w:type="dxa"/>
            <w:vAlign w:val="center"/>
          </w:tcPr>
          <w:p w14:paraId="45C79D28" w14:textId="77777777" w:rsidR="009A0A63" w:rsidRPr="00792B36" w:rsidRDefault="009A0A63" w:rsidP="00A24459">
            <w:pPr>
              <w:contextualSpacing/>
              <w:jc w:val="center"/>
              <w:rPr>
                <w:sz w:val="24"/>
                <w:szCs w:val="24"/>
              </w:rPr>
            </w:pPr>
            <w:r w:rsidRPr="00792B36">
              <w:rPr>
                <w:color w:val="000000"/>
                <w:sz w:val="24"/>
                <w:szCs w:val="24"/>
              </w:rPr>
              <w:t>2,082.38</w:t>
            </w:r>
          </w:p>
        </w:tc>
      </w:tr>
      <w:tr w:rsidR="009A0A63" w:rsidRPr="00792B36" w14:paraId="1381B67B" w14:textId="77777777" w:rsidTr="00A24459">
        <w:trPr>
          <w:trHeight w:val="340"/>
        </w:trPr>
        <w:tc>
          <w:tcPr>
            <w:tcW w:w="617" w:type="dxa"/>
            <w:vAlign w:val="center"/>
          </w:tcPr>
          <w:p w14:paraId="0802F28F" w14:textId="77777777" w:rsidR="009A0A63" w:rsidRPr="00792B36" w:rsidRDefault="009A0A63" w:rsidP="00A24459">
            <w:pPr>
              <w:contextualSpacing/>
              <w:jc w:val="center"/>
              <w:rPr>
                <w:sz w:val="24"/>
                <w:szCs w:val="24"/>
              </w:rPr>
            </w:pPr>
            <w:r w:rsidRPr="00792B36">
              <w:rPr>
                <w:b/>
                <w:bCs/>
                <w:color w:val="000000"/>
                <w:sz w:val="24"/>
                <w:szCs w:val="24"/>
              </w:rPr>
              <w:t>2009</w:t>
            </w:r>
          </w:p>
        </w:tc>
        <w:tc>
          <w:tcPr>
            <w:tcW w:w="1177" w:type="dxa"/>
            <w:vAlign w:val="center"/>
          </w:tcPr>
          <w:p w14:paraId="74200FB1" w14:textId="77777777" w:rsidR="009A0A63" w:rsidRPr="00792B36" w:rsidRDefault="009A0A63" w:rsidP="00A24459">
            <w:pPr>
              <w:contextualSpacing/>
              <w:jc w:val="center"/>
              <w:rPr>
                <w:sz w:val="24"/>
                <w:szCs w:val="24"/>
              </w:rPr>
            </w:pPr>
            <w:r w:rsidRPr="00792B36">
              <w:rPr>
                <w:color w:val="000000"/>
                <w:sz w:val="24"/>
                <w:szCs w:val="24"/>
              </w:rPr>
              <w:t>806.83</w:t>
            </w:r>
          </w:p>
        </w:tc>
        <w:tc>
          <w:tcPr>
            <w:tcW w:w="1095" w:type="dxa"/>
            <w:vAlign w:val="center"/>
          </w:tcPr>
          <w:p w14:paraId="0D06FEE7" w14:textId="77777777" w:rsidR="009A0A63" w:rsidRPr="00792B36" w:rsidRDefault="009A0A63" w:rsidP="00A24459">
            <w:pPr>
              <w:contextualSpacing/>
              <w:jc w:val="center"/>
              <w:rPr>
                <w:sz w:val="24"/>
                <w:szCs w:val="24"/>
              </w:rPr>
            </w:pPr>
            <w:r w:rsidRPr="00792B36">
              <w:rPr>
                <w:color w:val="000000"/>
                <w:sz w:val="24"/>
                <w:szCs w:val="24"/>
              </w:rPr>
              <w:t>251.75</w:t>
            </w:r>
          </w:p>
        </w:tc>
        <w:tc>
          <w:tcPr>
            <w:tcW w:w="987" w:type="dxa"/>
            <w:vAlign w:val="center"/>
          </w:tcPr>
          <w:p w14:paraId="606D924C" w14:textId="77777777" w:rsidR="009A0A63" w:rsidRPr="00792B36" w:rsidRDefault="009A0A63" w:rsidP="00A24459">
            <w:pPr>
              <w:contextualSpacing/>
              <w:jc w:val="center"/>
              <w:rPr>
                <w:sz w:val="24"/>
                <w:szCs w:val="24"/>
              </w:rPr>
            </w:pPr>
            <w:r w:rsidRPr="00792B36">
              <w:rPr>
                <w:color w:val="000000"/>
                <w:sz w:val="24"/>
                <w:szCs w:val="24"/>
              </w:rPr>
              <w:t>898.16</w:t>
            </w:r>
          </w:p>
        </w:tc>
        <w:tc>
          <w:tcPr>
            <w:tcW w:w="1080" w:type="dxa"/>
            <w:vAlign w:val="center"/>
          </w:tcPr>
          <w:p w14:paraId="66925828" w14:textId="77777777" w:rsidR="009A0A63" w:rsidRPr="00792B36" w:rsidRDefault="009A0A63" w:rsidP="00A24459">
            <w:pPr>
              <w:contextualSpacing/>
              <w:jc w:val="center"/>
              <w:rPr>
                <w:sz w:val="24"/>
                <w:szCs w:val="24"/>
              </w:rPr>
            </w:pPr>
            <w:r w:rsidRPr="00792B36">
              <w:rPr>
                <w:color w:val="000000"/>
                <w:sz w:val="24"/>
                <w:szCs w:val="24"/>
              </w:rPr>
              <w:t>1,954.39</w:t>
            </w:r>
          </w:p>
        </w:tc>
        <w:tc>
          <w:tcPr>
            <w:tcW w:w="1177" w:type="dxa"/>
            <w:vAlign w:val="center"/>
          </w:tcPr>
          <w:p w14:paraId="174CDB9D" w14:textId="77777777" w:rsidR="009A0A63" w:rsidRPr="00792B36" w:rsidRDefault="009A0A63" w:rsidP="00A24459">
            <w:pPr>
              <w:contextualSpacing/>
              <w:jc w:val="center"/>
              <w:rPr>
                <w:sz w:val="24"/>
                <w:szCs w:val="24"/>
              </w:rPr>
            </w:pPr>
            <w:r w:rsidRPr="00792B36">
              <w:rPr>
                <w:color w:val="000000"/>
                <w:sz w:val="24"/>
                <w:szCs w:val="24"/>
              </w:rPr>
              <w:t>385.76</w:t>
            </w:r>
          </w:p>
        </w:tc>
        <w:tc>
          <w:tcPr>
            <w:tcW w:w="1027" w:type="dxa"/>
            <w:vAlign w:val="center"/>
          </w:tcPr>
          <w:p w14:paraId="7A91CAC8" w14:textId="77777777" w:rsidR="009A0A63" w:rsidRPr="00792B36" w:rsidRDefault="009A0A63" w:rsidP="00A24459">
            <w:pPr>
              <w:contextualSpacing/>
              <w:jc w:val="center"/>
              <w:rPr>
                <w:sz w:val="24"/>
                <w:szCs w:val="24"/>
              </w:rPr>
            </w:pPr>
            <w:r w:rsidRPr="00792B36">
              <w:rPr>
                <w:color w:val="000000"/>
                <w:sz w:val="24"/>
                <w:szCs w:val="24"/>
              </w:rPr>
              <w:t>692.76</w:t>
            </w:r>
          </w:p>
        </w:tc>
        <w:tc>
          <w:tcPr>
            <w:tcW w:w="957" w:type="dxa"/>
            <w:vAlign w:val="center"/>
          </w:tcPr>
          <w:p w14:paraId="461D5610" w14:textId="77777777" w:rsidR="009A0A63" w:rsidRPr="00792B36" w:rsidRDefault="009A0A63" w:rsidP="00A24459">
            <w:pPr>
              <w:contextualSpacing/>
              <w:jc w:val="center"/>
              <w:rPr>
                <w:sz w:val="24"/>
                <w:szCs w:val="24"/>
              </w:rPr>
            </w:pPr>
            <w:r w:rsidRPr="00792B36">
              <w:rPr>
                <w:color w:val="000000"/>
                <w:sz w:val="24"/>
                <w:szCs w:val="24"/>
              </w:rPr>
              <w:t>1,010.45</w:t>
            </w:r>
          </w:p>
        </w:tc>
        <w:tc>
          <w:tcPr>
            <w:tcW w:w="900" w:type="dxa"/>
            <w:vAlign w:val="center"/>
          </w:tcPr>
          <w:p w14:paraId="6E7B83F1" w14:textId="77777777" w:rsidR="009A0A63" w:rsidRPr="00792B36" w:rsidRDefault="009A0A63" w:rsidP="00A24459">
            <w:pPr>
              <w:contextualSpacing/>
              <w:jc w:val="center"/>
              <w:rPr>
                <w:sz w:val="24"/>
                <w:szCs w:val="24"/>
              </w:rPr>
            </w:pPr>
            <w:r w:rsidRPr="00792B36">
              <w:rPr>
                <w:color w:val="000000"/>
                <w:sz w:val="24"/>
                <w:szCs w:val="24"/>
              </w:rPr>
              <w:t>2,093.23</w:t>
            </w:r>
          </w:p>
        </w:tc>
      </w:tr>
      <w:tr w:rsidR="009A0A63" w:rsidRPr="00792B36" w14:paraId="45B3604B" w14:textId="77777777" w:rsidTr="00A24459">
        <w:trPr>
          <w:trHeight w:val="340"/>
        </w:trPr>
        <w:tc>
          <w:tcPr>
            <w:tcW w:w="617" w:type="dxa"/>
            <w:vAlign w:val="center"/>
          </w:tcPr>
          <w:p w14:paraId="72423ECF" w14:textId="77777777" w:rsidR="009A0A63" w:rsidRPr="00792B36" w:rsidRDefault="009A0A63" w:rsidP="00A24459">
            <w:pPr>
              <w:contextualSpacing/>
              <w:jc w:val="center"/>
              <w:rPr>
                <w:sz w:val="24"/>
                <w:szCs w:val="24"/>
              </w:rPr>
            </w:pPr>
            <w:r w:rsidRPr="00792B36">
              <w:rPr>
                <w:b/>
                <w:bCs/>
                <w:color w:val="000000"/>
                <w:sz w:val="24"/>
                <w:szCs w:val="24"/>
              </w:rPr>
              <w:t>2010</w:t>
            </w:r>
          </w:p>
        </w:tc>
        <w:tc>
          <w:tcPr>
            <w:tcW w:w="1177" w:type="dxa"/>
            <w:vAlign w:val="center"/>
          </w:tcPr>
          <w:p w14:paraId="727078E4" w14:textId="77777777" w:rsidR="009A0A63" w:rsidRPr="00792B36" w:rsidRDefault="009A0A63" w:rsidP="00A24459">
            <w:pPr>
              <w:contextualSpacing/>
              <w:jc w:val="center"/>
              <w:rPr>
                <w:sz w:val="24"/>
                <w:szCs w:val="24"/>
              </w:rPr>
            </w:pPr>
            <w:r w:rsidRPr="00792B36">
              <w:rPr>
                <w:color w:val="000000"/>
                <w:sz w:val="24"/>
                <w:szCs w:val="24"/>
              </w:rPr>
              <w:t>697.29</w:t>
            </w:r>
          </w:p>
        </w:tc>
        <w:tc>
          <w:tcPr>
            <w:tcW w:w="1095" w:type="dxa"/>
            <w:vAlign w:val="center"/>
          </w:tcPr>
          <w:p w14:paraId="5FDAC008" w14:textId="77777777" w:rsidR="009A0A63" w:rsidRPr="00792B36" w:rsidRDefault="009A0A63" w:rsidP="00A24459">
            <w:pPr>
              <w:contextualSpacing/>
              <w:jc w:val="center"/>
              <w:rPr>
                <w:sz w:val="24"/>
                <w:szCs w:val="24"/>
              </w:rPr>
            </w:pPr>
            <w:r w:rsidRPr="00792B36">
              <w:rPr>
                <w:color w:val="000000"/>
                <w:sz w:val="24"/>
                <w:szCs w:val="24"/>
              </w:rPr>
              <w:t>261.56</w:t>
            </w:r>
          </w:p>
        </w:tc>
        <w:tc>
          <w:tcPr>
            <w:tcW w:w="987" w:type="dxa"/>
            <w:vAlign w:val="center"/>
          </w:tcPr>
          <w:p w14:paraId="6605E0D3" w14:textId="77777777" w:rsidR="009A0A63" w:rsidRPr="00792B36" w:rsidRDefault="009A0A63" w:rsidP="00A24459">
            <w:pPr>
              <w:contextualSpacing/>
              <w:jc w:val="center"/>
              <w:rPr>
                <w:sz w:val="24"/>
                <w:szCs w:val="24"/>
              </w:rPr>
            </w:pPr>
            <w:r w:rsidRPr="00792B36">
              <w:rPr>
                <w:color w:val="000000"/>
                <w:sz w:val="24"/>
                <w:szCs w:val="24"/>
              </w:rPr>
              <w:t>922.65</w:t>
            </w:r>
          </w:p>
        </w:tc>
        <w:tc>
          <w:tcPr>
            <w:tcW w:w="1080" w:type="dxa"/>
            <w:vAlign w:val="center"/>
          </w:tcPr>
          <w:p w14:paraId="0A8EEA67" w14:textId="77777777" w:rsidR="009A0A63" w:rsidRPr="00792B36" w:rsidRDefault="009A0A63" w:rsidP="00A24459">
            <w:pPr>
              <w:contextualSpacing/>
              <w:jc w:val="center"/>
              <w:rPr>
                <w:sz w:val="24"/>
                <w:szCs w:val="24"/>
              </w:rPr>
            </w:pPr>
            <w:r w:rsidRPr="00792B36">
              <w:rPr>
                <w:color w:val="000000"/>
                <w:sz w:val="24"/>
                <w:szCs w:val="24"/>
              </w:rPr>
              <w:t>1,865.24</w:t>
            </w:r>
          </w:p>
        </w:tc>
        <w:tc>
          <w:tcPr>
            <w:tcW w:w="1177" w:type="dxa"/>
            <w:vAlign w:val="center"/>
          </w:tcPr>
          <w:p w14:paraId="27C32C8A" w14:textId="77777777" w:rsidR="009A0A63" w:rsidRPr="00792B36" w:rsidRDefault="009A0A63" w:rsidP="00A24459">
            <w:pPr>
              <w:contextualSpacing/>
              <w:jc w:val="center"/>
              <w:rPr>
                <w:sz w:val="24"/>
                <w:szCs w:val="24"/>
              </w:rPr>
            </w:pPr>
            <w:r w:rsidRPr="00792B36">
              <w:rPr>
                <w:color w:val="000000"/>
                <w:sz w:val="24"/>
                <w:szCs w:val="24"/>
              </w:rPr>
              <w:t>352.84</w:t>
            </w:r>
          </w:p>
        </w:tc>
        <w:tc>
          <w:tcPr>
            <w:tcW w:w="1027" w:type="dxa"/>
            <w:vAlign w:val="center"/>
          </w:tcPr>
          <w:p w14:paraId="059069AD" w14:textId="77777777" w:rsidR="009A0A63" w:rsidRPr="00792B36" w:rsidRDefault="009A0A63" w:rsidP="00A24459">
            <w:pPr>
              <w:contextualSpacing/>
              <w:jc w:val="center"/>
              <w:rPr>
                <w:sz w:val="24"/>
                <w:szCs w:val="24"/>
              </w:rPr>
            </w:pPr>
            <w:r w:rsidRPr="00792B36">
              <w:rPr>
                <w:color w:val="000000"/>
                <w:sz w:val="24"/>
                <w:szCs w:val="24"/>
              </w:rPr>
              <w:t>753.65</w:t>
            </w:r>
          </w:p>
        </w:tc>
        <w:tc>
          <w:tcPr>
            <w:tcW w:w="957" w:type="dxa"/>
            <w:vAlign w:val="center"/>
          </w:tcPr>
          <w:p w14:paraId="1032C687" w14:textId="77777777" w:rsidR="009A0A63" w:rsidRPr="00792B36" w:rsidRDefault="009A0A63" w:rsidP="00A24459">
            <w:pPr>
              <w:contextualSpacing/>
              <w:jc w:val="center"/>
              <w:rPr>
                <w:sz w:val="24"/>
                <w:szCs w:val="24"/>
              </w:rPr>
            </w:pPr>
            <w:r w:rsidRPr="00792B36">
              <w:rPr>
                <w:color w:val="000000"/>
                <w:sz w:val="24"/>
                <w:szCs w:val="24"/>
              </w:rPr>
              <w:t>1,126.31</w:t>
            </w:r>
          </w:p>
        </w:tc>
        <w:tc>
          <w:tcPr>
            <w:tcW w:w="900" w:type="dxa"/>
            <w:vAlign w:val="center"/>
          </w:tcPr>
          <w:p w14:paraId="06F6D0C2" w14:textId="77777777" w:rsidR="009A0A63" w:rsidRPr="00792B36" w:rsidRDefault="009A0A63" w:rsidP="00A24459">
            <w:pPr>
              <w:contextualSpacing/>
              <w:jc w:val="center"/>
              <w:rPr>
                <w:sz w:val="24"/>
                <w:szCs w:val="24"/>
              </w:rPr>
            </w:pPr>
            <w:r w:rsidRPr="00792B36">
              <w:rPr>
                <w:color w:val="000000"/>
                <w:sz w:val="24"/>
                <w:szCs w:val="24"/>
              </w:rPr>
              <w:t>2,238.18</w:t>
            </w:r>
          </w:p>
        </w:tc>
      </w:tr>
      <w:tr w:rsidR="009A0A63" w:rsidRPr="00792B36" w14:paraId="47A272F7" w14:textId="77777777" w:rsidTr="00A24459">
        <w:trPr>
          <w:trHeight w:val="340"/>
        </w:trPr>
        <w:tc>
          <w:tcPr>
            <w:tcW w:w="617" w:type="dxa"/>
            <w:vAlign w:val="center"/>
          </w:tcPr>
          <w:p w14:paraId="0D81F178" w14:textId="77777777" w:rsidR="009A0A63" w:rsidRPr="00792B36" w:rsidRDefault="009A0A63" w:rsidP="00A24459">
            <w:pPr>
              <w:contextualSpacing/>
              <w:jc w:val="center"/>
              <w:rPr>
                <w:sz w:val="24"/>
                <w:szCs w:val="24"/>
              </w:rPr>
            </w:pPr>
            <w:r w:rsidRPr="00792B36">
              <w:rPr>
                <w:b/>
                <w:bCs/>
                <w:color w:val="000000"/>
                <w:sz w:val="24"/>
                <w:szCs w:val="24"/>
              </w:rPr>
              <w:t>2011</w:t>
            </w:r>
          </w:p>
        </w:tc>
        <w:tc>
          <w:tcPr>
            <w:tcW w:w="1177" w:type="dxa"/>
            <w:vAlign w:val="center"/>
          </w:tcPr>
          <w:p w14:paraId="4D19425D" w14:textId="77777777" w:rsidR="009A0A63" w:rsidRPr="00792B36" w:rsidRDefault="009A0A63" w:rsidP="00A24459">
            <w:pPr>
              <w:contextualSpacing/>
              <w:jc w:val="center"/>
              <w:rPr>
                <w:sz w:val="24"/>
                <w:szCs w:val="24"/>
              </w:rPr>
            </w:pPr>
            <w:r w:rsidRPr="00792B36">
              <w:rPr>
                <w:color w:val="000000"/>
                <w:sz w:val="24"/>
                <w:szCs w:val="24"/>
              </w:rPr>
              <w:t>628.99</w:t>
            </w:r>
          </w:p>
        </w:tc>
        <w:tc>
          <w:tcPr>
            <w:tcW w:w="1095" w:type="dxa"/>
            <w:vAlign w:val="center"/>
          </w:tcPr>
          <w:p w14:paraId="5D13C559" w14:textId="77777777" w:rsidR="009A0A63" w:rsidRPr="00792B36" w:rsidRDefault="009A0A63" w:rsidP="00A24459">
            <w:pPr>
              <w:contextualSpacing/>
              <w:jc w:val="center"/>
              <w:rPr>
                <w:sz w:val="24"/>
                <w:szCs w:val="24"/>
              </w:rPr>
            </w:pPr>
            <w:r w:rsidRPr="00792B36">
              <w:rPr>
                <w:color w:val="000000"/>
                <w:sz w:val="24"/>
                <w:szCs w:val="24"/>
              </w:rPr>
              <w:t>264.61</w:t>
            </w:r>
          </w:p>
        </w:tc>
        <w:tc>
          <w:tcPr>
            <w:tcW w:w="987" w:type="dxa"/>
            <w:vAlign w:val="center"/>
          </w:tcPr>
          <w:p w14:paraId="5A86BFD2" w14:textId="77777777" w:rsidR="009A0A63" w:rsidRPr="00792B36" w:rsidRDefault="009A0A63" w:rsidP="00A24459">
            <w:pPr>
              <w:contextualSpacing/>
              <w:jc w:val="center"/>
              <w:rPr>
                <w:sz w:val="24"/>
                <w:szCs w:val="24"/>
              </w:rPr>
            </w:pPr>
            <w:r w:rsidRPr="00792B36">
              <w:rPr>
                <w:color w:val="000000"/>
                <w:sz w:val="24"/>
                <w:szCs w:val="24"/>
              </w:rPr>
              <w:t>905.32</w:t>
            </w:r>
          </w:p>
        </w:tc>
        <w:tc>
          <w:tcPr>
            <w:tcW w:w="1080" w:type="dxa"/>
            <w:vAlign w:val="center"/>
          </w:tcPr>
          <w:p w14:paraId="7E79C8FB" w14:textId="77777777" w:rsidR="009A0A63" w:rsidRPr="00792B36" w:rsidRDefault="009A0A63" w:rsidP="00A24459">
            <w:pPr>
              <w:contextualSpacing/>
              <w:jc w:val="center"/>
              <w:rPr>
                <w:sz w:val="24"/>
                <w:szCs w:val="24"/>
              </w:rPr>
            </w:pPr>
            <w:r w:rsidRPr="00792B36">
              <w:rPr>
                <w:color w:val="000000"/>
                <w:sz w:val="24"/>
                <w:szCs w:val="24"/>
              </w:rPr>
              <w:t>1,766.74</w:t>
            </w:r>
          </w:p>
        </w:tc>
        <w:tc>
          <w:tcPr>
            <w:tcW w:w="1177" w:type="dxa"/>
            <w:vAlign w:val="center"/>
          </w:tcPr>
          <w:p w14:paraId="21204264" w14:textId="77777777" w:rsidR="009A0A63" w:rsidRPr="00792B36" w:rsidRDefault="009A0A63" w:rsidP="00A24459">
            <w:pPr>
              <w:contextualSpacing/>
              <w:jc w:val="center"/>
              <w:rPr>
                <w:sz w:val="24"/>
                <w:szCs w:val="24"/>
              </w:rPr>
            </w:pPr>
            <w:r w:rsidRPr="00792B36">
              <w:rPr>
                <w:color w:val="000000"/>
                <w:sz w:val="24"/>
                <w:szCs w:val="24"/>
              </w:rPr>
              <w:t>347.15</w:t>
            </w:r>
          </w:p>
        </w:tc>
        <w:tc>
          <w:tcPr>
            <w:tcW w:w="1027" w:type="dxa"/>
            <w:vAlign w:val="center"/>
          </w:tcPr>
          <w:p w14:paraId="6D9FBDE2" w14:textId="77777777" w:rsidR="009A0A63" w:rsidRPr="00792B36" w:rsidRDefault="009A0A63" w:rsidP="00A24459">
            <w:pPr>
              <w:contextualSpacing/>
              <w:jc w:val="center"/>
              <w:rPr>
                <w:sz w:val="24"/>
                <w:szCs w:val="24"/>
              </w:rPr>
            </w:pPr>
            <w:r w:rsidRPr="00792B36">
              <w:rPr>
                <w:color w:val="000000"/>
                <w:sz w:val="24"/>
                <w:szCs w:val="24"/>
              </w:rPr>
              <w:t>730.16</w:t>
            </w:r>
          </w:p>
        </w:tc>
        <w:tc>
          <w:tcPr>
            <w:tcW w:w="957" w:type="dxa"/>
            <w:vAlign w:val="center"/>
          </w:tcPr>
          <w:p w14:paraId="244472DA" w14:textId="77777777" w:rsidR="009A0A63" w:rsidRPr="00792B36" w:rsidRDefault="009A0A63" w:rsidP="00A24459">
            <w:pPr>
              <w:contextualSpacing/>
              <w:jc w:val="center"/>
              <w:rPr>
                <w:sz w:val="24"/>
                <w:szCs w:val="24"/>
              </w:rPr>
            </w:pPr>
            <w:r w:rsidRPr="00792B36">
              <w:rPr>
                <w:color w:val="000000"/>
                <w:sz w:val="24"/>
                <w:szCs w:val="24"/>
              </w:rPr>
              <w:t>1,144.22</w:t>
            </w:r>
          </w:p>
        </w:tc>
        <w:tc>
          <w:tcPr>
            <w:tcW w:w="900" w:type="dxa"/>
            <w:vAlign w:val="center"/>
          </w:tcPr>
          <w:p w14:paraId="70F6D050" w14:textId="77777777" w:rsidR="009A0A63" w:rsidRPr="00792B36" w:rsidRDefault="009A0A63" w:rsidP="00A24459">
            <w:pPr>
              <w:contextualSpacing/>
              <w:jc w:val="center"/>
              <w:rPr>
                <w:sz w:val="24"/>
                <w:szCs w:val="24"/>
              </w:rPr>
            </w:pPr>
            <w:r w:rsidRPr="00792B36">
              <w:rPr>
                <w:color w:val="000000"/>
                <w:sz w:val="24"/>
                <w:szCs w:val="24"/>
              </w:rPr>
              <w:t>2,222.54</w:t>
            </w:r>
          </w:p>
        </w:tc>
      </w:tr>
      <w:tr w:rsidR="009A0A63" w:rsidRPr="00792B36" w14:paraId="475FBE92" w14:textId="77777777" w:rsidTr="00A24459">
        <w:trPr>
          <w:trHeight w:val="340"/>
        </w:trPr>
        <w:tc>
          <w:tcPr>
            <w:tcW w:w="617" w:type="dxa"/>
            <w:vAlign w:val="center"/>
          </w:tcPr>
          <w:p w14:paraId="3E2148C5" w14:textId="77777777" w:rsidR="009A0A63" w:rsidRPr="00792B36" w:rsidRDefault="009A0A63" w:rsidP="00A24459">
            <w:pPr>
              <w:contextualSpacing/>
              <w:jc w:val="center"/>
              <w:rPr>
                <w:sz w:val="24"/>
                <w:szCs w:val="24"/>
              </w:rPr>
            </w:pPr>
            <w:r w:rsidRPr="00792B36">
              <w:rPr>
                <w:b/>
                <w:bCs/>
                <w:color w:val="000000"/>
                <w:sz w:val="24"/>
                <w:szCs w:val="24"/>
              </w:rPr>
              <w:t>2012</w:t>
            </w:r>
          </w:p>
        </w:tc>
        <w:tc>
          <w:tcPr>
            <w:tcW w:w="1177" w:type="dxa"/>
            <w:vAlign w:val="center"/>
          </w:tcPr>
          <w:p w14:paraId="1DF17BA5" w14:textId="77777777" w:rsidR="009A0A63" w:rsidRPr="00792B36" w:rsidRDefault="009A0A63" w:rsidP="00A24459">
            <w:pPr>
              <w:contextualSpacing/>
              <w:jc w:val="center"/>
              <w:rPr>
                <w:sz w:val="24"/>
                <w:szCs w:val="24"/>
              </w:rPr>
            </w:pPr>
            <w:r w:rsidRPr="00792B36">
              <w:rPr>
                <w:color w:val="000000"/>
                <w:sz w:val="24"/>
                <w:szCs w:val="24"/>
              </w:rPr>
              <w:t>640.30</w:t>
            </w:r>
          </w:p>
        </w:tc>
        <w:tc>
          <w:tcPr>
            <w:tcW w:w="1095" w:type="dxa"/>
            <w:vAlign w:val="center"/>
          </w:tcPr>
          <w:p w14:paraId="542126C2" w14:textId="77777777" w:rsidR="009A0A63" w:rsidRPr="00792B36" w:rsidRDefault="009A0A63" w:rsidP="00A24459">
            <w:pPr>
              <w:contextualSpacing/>
              <w:jc w:val="center"/>
              <w:rPr>
                <w:sz w:val="24"/>
                <w:szCs w:val="24"/>
              </w:rPr>
            </w:pPr>
            <w:r w:rsidRPr="00792B36">
              <w:rPr>
                <w:color w:val="000000"/>
                <w:sz w:val="24"/>
                <w:szCs w:val="24"/>
              </w:rPr>
              <w:t>276.95</w:t>
            </w:r>
          </w:p>
        </w:tc>
        <w:tc>
          <w:tcPr>
            <w:tcW w:w="987" w:type="dxa"/>
            <w:vAlign w:val="center"/>
          </w:tcPr>
          <w:p w14:paraId="16D8B4B3" w14:textId="77777777" w:rsidR="009A0A63" w:rsidRPr="00792B36" w:rsidRDefault="009A0A63" w:rsidP="00A24459">
            <w:pPr>
              <w:contextualSpacing/>
              <w:jc w:val="center"/>
              <w:rPr>
                <w:sz w:val="24"/>
                <w:szCs w:val="24"/>
              </w:rPr>
            </w:pPr>
            <w:r w:rsidRPr="00792B36">
              <w:rPr>
                <w:color w:val="000000"/>
                <w:sz w:val="24"/>
                <w:szCs w:val="24"/>
              </w:rPr>
              <w:t>924.51</w:t>
            </w:r>
          </w:p>
        </w:tc>
        <w:tc>
          <w:tcPr>
            <w:tcW w:w="1080" w:type="dxa"/>
            <w:vAlign w:val="center"/>
          </w:tcPr>
          <w:p w14:paraId="1298F0CD" w14:textId="77777777" w:rsidR="009A0A63" w:rsidRPr="00792B36" w:rsidRDefault="009A0A63" w:rsidP="00A24459">
            <w:pPr>
              <w:contextualSpacing/>
              <w:jc w:val="center"/>
              <w:rPr>
                <w:sz w:val="24"/>
                <w:szCs w:val="24"/>
              </w:rPr>
            </w:pPr>
            <w:r w:rsidRPr="00792B36">
              <w:rPr>
                <w:color w:val="000000"/>
                <w:sz w:val="24"/>
                <w:szCs w:val="24"/>
              </w:rPr>
              <w:t>1,807.16</w:t>
            </w:r>
          </w:p>
        </w:tc>
        <w:tc>
          <w:tcPr>
            <w:tcW w:w="1177" w:type="dxa"/>
            <w:vAlign w:val="center"/>
          </w:tcPr>
          <w:p w14:paraId="105A9DAD" w14:textId="77777777" w:rsidR="009A0A63" w:rsidRPr="00792B36" w:rsidRDefault="009A0A63" w:rsidP="00A24459">
            <w:pPr>
              <w:contextualSpacing/>
              <w:jc w:val="center"/>
              <w:rPr>
                <w:sz w:val="24"/>
                <w:szCs w:val="24"/>
              </w:rPr>
            </w:pPr>
            <w:r w:rsidRPr="00792B36">
              <w:rPr>
                <w:color w:val="000000"/>
                <w:sz w:val="24"/>
                <w:szCs w:val="24"/>
              </w:rPr>
              <w:t>404.66</w:t>
            </w:r>
          </w:p>
        </w:tc>
        <w:tc>
          <w:tcPr>
            <w:tcW w:w="1027" w:type="dxa"/>
            <w:vAlign w:val="center"/>
          </w:tcPr>
          <w:p w14:paraId="7F5FA7F9" w14:textId="77777777" w:rsidR="009A0A63" w:rsidRPr="00792B36" w:rsidRDefault="009A0A63" w:rsidP="00A24459">
            <w:pPr>
              <w:contextualSpacing/>
              <w:jc w:val="center"/>
              <w:rPr>
                <w:sz w:val="24"/>
                <w:szCs w:val="24"/>
              </w:rPr>
            </w:pPr>
            <w:r w:rsidRPr="00792B36">
              <w:rPr>
                <w:color w:val="000000"/>
                <w:sz w:val="24"/>
                <w:szCs w:val="24"/>
              </w:rPr>
              <w:t>723.69</w:t>
            </w:r>
          </w:p>
        </w:tc>
        <w:tc>
          <w:tcPr>
            <w:tcW w:w="957" w:type="dxa"/>
            <w:vAlign w:val="center"/>
          </w:tcPr>
          <w:p w14:paraId="13BBE928" w14:textId="77777777" w:rsidR="009A0A63" w:rsidRPr="00792B36" w:rsidRDefault="009A0A63" w:rsidP="00A24459">
            <w:pPr>
              <w:contextualSpacing/>
              <w:jc w:val="center"/>
              <w:rPr>
                <w:sz w:val="24"/>
                <w:szCs w:val="24"/>
              </w:rPr>
            </w:pPr>
            <w:r w:rsidRPr="00792B36">
              <w:rPr>
                <w:color w:val="000000"/>
                <w:sz w:val="24"/>
                <w:szCs w:val="24"/>
              </w:rPr>
              <w:t>1,157.02</w:t>
            </w:r>
          </w:p>
        </w:tc>
        <w:tc>
          <w:tcPr>
            <w:tcW w:w="900" w:type="dxa"/>
            <w:vAlign w:val="center"/>
          </w:tcPr>
          <w:p w14:paraId="2AEC5403" w14:textId="77777777" w:rsidR="009A0A63" w:rsidRPr="00792B36" w:rsidRDefault="009A0A63" w:rsidP="00A24459">
            <w:pPr>
              <w:contextualSpacing/>
              <w:jc w:val="center"/>
              <w:rPr>
                <w:sz w:val="24"/>
                <w:szCs w:val="24"/>
              </w:rPr>
            </w:pPr>
            <w:r w:rsidRPr="00792B36">
              <w:rPr>
                <w:color w:val="000000"/>
                <w:sz w:val="24"/>
                <w:szCs w:val="24"/>
              </w:rPr>
              <w:t>2,306.70</w:t>
            </w:r>
          </w:p>
        </w:tc>
      </w:tr>
      <w:tr w:rsidR="009A0A63" w:rsidRPr="00792B36" w14:paraId="4B5ADF85" w14:textId="77777777" w:rsidTr="00A24459">
        <w:trPr>
          <w:trHeight w:val="340"/>
        </w:trPr>
        <w:tc>
          <w:tcPr>
            <w:tcW w:w="617" w:type="dxa"/>
            <w:vAlign w:val="center"/>
          </w:tcPr>
          <w:p w14:paraId="3F1ECBD1" w14:textId="77777777" w:rsidR="009A0A63" w:rsidRPr="00792B36" w:rsidRDefault="009A0A63" w:rsidP="00A24459">
            <w:pPr>
              <w:contextualSpacing/>
              <w:jc w:val="center"/>
              <w:rPr>
                <w:sz w:val="24"/>
                <w:szCs w:val="24"/>
              </w:rPr>
            </w:pPr>
            <w:r w:rsidRPr="00792B36">
              <w:rPr>
                <w:b/>
                <w:bCs/>
                <w:color w:val="000000"/>
                <w:sz w:val="24"/>
                <w:szCs w:val="24"/>
              </w:rPr>
              <w:t>2013</w:t>
            </w:r>
          </w:p>
        </w:tc>
        <w:tc>
          <w:tcPr>
            <w:tcW w:w="1177" w:type="dxa"/>
            <w:vAlign w:val="center"/>
          </w:tcPr>
          <w:p w14:paraId="1B7DF688" w14:textId="77777777" w:rsidR="009A0A63" w:rsidRPr="00792B36" w:rsidRDefault="009A0A63" w:rsidP="00A24459">
            <w:pPr>
              <w:contextualSpacing/>
              <w:jc w:val="center"/>
              <w:rPr>
                <w:sz w:val="24"/>
                <w:szCs w:val="24"/>
              </w:rPr>
            </w:pPr>
            <w:r w:rsidRPr="00792B36">
              <w:rPr>
                <w:color w:val="000000"/>
                <w:sz w:val="24"/>
                <w:szCs w:val="24"/>
              </w:rPr>
              <w:t>751.42</w:t>
            </w:r>
          </w:p>
        </w:tc>
        <w:tc>
          <w:tcPr>
            <w:tcW w:w="1095" w:type="dxa"/>
            <w:vAlign w:val="center"/>
          </w:tcPr>
          <w:p w14:paraId="4A677E92" w14:textId="77777777" w:rsidR="009A0A63" w:rsidRPr="00792B36" w:rsidRDefault="009A0A63" w:rsidP="00A24459">
            <w:pPr>
              <w:contextualSpacing/>
              <w:jc w:val="center"/>
              <w:rPr>
                <w:sz w:val="24"/>
                <w:szCs w:val="24"/>
              </w:rPr>
            </w:pPr>
            <w:r w:rsidRPr="00792B36">
              <w:rPr>
                <w:color w:val="000000"/>
                <w:sz w:val="24"/>
                <w:szCs w:val="24"/>
              </w:rPr>
              <w:t>294.11</w:t>
            </w:r>
          </w:p>
        </w:tc>
        <w:tc>
          <w:tcPr>
            <w:tcW w:w="987" w:type="dxa"/>
            <w:vAlign w:val="center"/>
          </w:tcPr>
          <w:p w14:paraId="7F6F8598" w14:textId="77777777" w:rsidR="009A0A63" w:rsidRPr="00792B36" w:rsidRDefault="009A0A63" w:rsidP="00A24459">
            <w:pPr>
              <w:contextualSpacing/>
              <w:jc w:val="center"/>
              <w:rPr>
                <w:sz w:val="24"/>
                <w:szCs w:val="24"/>
              </w:rPr>
            </w:pPr>
            <w:r w:rsidRPr="00792B36">
              <w:rPr>
                <w:color w:val="000000"/>
                <w:sz w:val="24"/>
                <w:szCs w:val="24"/>
              </w:rPr>
              <w:t>922.31</w:t>
            </w:r>
          </w:p>
        </w:tc>
        <w:tc>
          <w:tcPr>
            <w:tcW w:w="1080" w:type="dxa"/>
            <w:vAlign w:val="center"/>
          </w:tcPr>
          <w:p w14:paraId="74652142" w14:textId="77777777" w:rsidR="009A0A63" w:rsidRPr="00792B36" w:rsidRDefault="009A0A63" w:rsidP="00A24459">
            <w:pPr>
              <w:contextualSpacing/>
              <w:jc w:val="center"/>
              <w:rPr>
                <w:sz w:val="24"/>
                <w:szCs w:val="24"/>
              </w:rPr>
            </w:pPr>
            <w:r w:rsidRPr="00792B36">
              <w:rPr>
                <w:color w:val="000000"/>
                <w:sz w:val="24"/>
                <w:szCs w:val="24"/>
              </w:rPr>
              <w:t>1,964.93</w:t>
            </w:r>
          </w:p>
        </w:tc>
        <w:tc>
          <w:tcPr>
            <w:tcW w:w="1177" w:type="dxa"/>
            <w:vAlign w:val="center"/>
          </w:tcPr>
          <w:p w14:paraId="66B9E9B8" w14:textId="77777777" w:rsidR="009A0A63" w:rsidRPr="00792B36" w:rsidRDefault="009A0A63" w:rsidP="00A24459">
            <w:pPr>
              <w:contextualSpacing/>
              <w:jc w:val="center"/>
              <w:rPr>
                <w:sz w:val="24"/>
                <w:szCs w:val="24"/>
              </w:rPr>
            </w:pPr>
            <w:r w:rsidRPr="00792B36">
              <w:rPr>
                <w:color w:val="000000"/>
                <w:sz w:val="24"/>
                <w:szCs w:val="24"/>
              </w:rPr>
              <w:t>404.37</w:t>
            </w:r>
          </w:p>
        </w:tc>
        <w:tc>
          <w:tcPr>
            <w:tcW w:w="1027" w:type="dxa"/>
            <w:vAlign w:val="center"/>
          </w:tcPr>
          <w:p w14:paraId="054824B8" w14:textId="77777777" w:rsidR="009A0A63" w:rsidRPr="00792B36" w:rsidRDefault="009A0A63" w:rsidP="00A24459">
            <w:pPr>
              <w:contextualSpacing/>
              <w:jc w:val="center"/>
              <w:rPr>
                <w:sz w:val="24"/>
                <w:szCs w:val="24"/>
              </w:rPr>
            </w:pPr>
            <w:r w:rsidRPr="00792B36">
              <w:rPr>
                <w:color w:val="000000"/>
                <w:sz w:val="24"/>
                <w:szCs w:val="24"/>
              </w:rPr>
              <w:t>817.88</w:t>
            </w:r>
          </w:p>
        </w:tc>
        <w:tc>
          <w:tcPr>
            <w:tcW w:w="957" w:type="dxa"/>
            <w:vAlign w:val="center"/>
          </w:tcPr>
          <w:p w14:paraId="3BB55766" w14:textId="77777777" w:rsidR="009A0A63" w:rsidRPr="00792B36" w:rsidRDefault="009A0A63" w:rsidP="00A24459">
            <w:pPr>
              <w:contextualSpacing/>
              <w:jc w:val="center"/>
              <w:rPr>
                <w:sz w:val="24"/>
                <w:szCs w:val="24"/>
              </w:rPr>
            </w:pPr>
            <w:r w:rsidRPr="00792B36">
              <w:rPr>
                <w:color w:val="000000"/>
                <w:sz w:val="24"/>
                <w:szCs w:val="24"/>
              </w:rPr>
              <w:t>1,155.05</w:t>
            </w:r>
          </w:p>
        </w:tc>
        <w:tc>
          <w:tcPr>
            <w:tcW w:w="900" w:type="dxa"/>
            <w:vAlign w:val="center"/>
          </w:tcPr>
          <w:p w14:paraId="36E6B281" w14:textId="77777777" w:rsidR="009A0A63" w:rsidRPr="00792B36" w:rsidRDefault="009A0A63" w:rsidP="00A24459">
            <w:pPr>
              <w:contextualSpacing/>
              <w:jc w:val="center"/>
              <w:rPr>
                <w:sz w:val="24"/>
                <w:szCs w:val="24"/>
              </w:rPr>
            </w:pPr>
            <w:r w:rsidRPr="00792B36">
              <w:rPr>
                <w:color w:val="000000"/>
                <w:sz w:val="24"/>
                <w:szCs w:val="24"/>
              </w:rPr>
              <w:t>2,406.19</w:t>
            </w:r>
          </w:p>
        </w:tc>
      </w:tr>
      <w:tr w:rsidR="009A0A63" w:rsidRPr="00792B36" w14:paraId="37EF23D6" w14:textId="77777777" w:rsidTr="00A24459">
        <w:trPr>
          <w:trHeight w:val="340"/>
        </w:trPr>
        <w:tc>
          <w:tcPr>
            <w:tcW w:w="617" w:type="dxa"/>
            <w:vAlign w:val="center"/>
          </w:tcPr>
          <w:p w14:paraId="783DD74A" w14:textId="77777777" w:rsidR="009A0A63" w:rsidRPr="00792B36" w:rsidRDefault="009A0A63" w:rsidP="00A24459">
            <w:pPr>
              <w:contextualSpacing/>
              <w:jc w:val="center"/>
              <w:rPr>
                <w:sz w:val="24"/>
                <w:szCs w:val="24"/>
              </w:rPr>
            </w:pPr>
            <w:r w:rsidRPr="00792B36">
              <w:rPr>
                <w:b/>
                <w:bCs/>
                <w:color w:val="000000"/>
                <w:sz w:val="24"/>
                <w:szCs w:val="24"/>
              </w:rPr>
              <w:t>2014</w:t>
            </w:r>
          </w:p>
        </w:tc>
        <w:tc>
          <w:tcPr>
            <w:tcW w:w="1177" w:type="dxa"/>
            <w:vAlign w:val="center"/>
          </w:tcPr>
          <w:p w14:paraId="77793A40" w14:textId="77777777" w:rsidR="009A0A63" w:rsidRPr="00792B36" w:rsidRDefault="009A0A63" w:rsidP="00A24459">
            <w:pPr>
              <w:contextualSpacing/>
              <w:jc w:val="center"/>
              <w:rPr>
                <w:sz w:val="24"/>
                <w:szCs w:val="24"/>
              </w:rPr>
            </w:pPr>
            <w:r w:rsidRPr="00792B36">
              <w:rPr>
                <w:color w:val="000000"/>
                <w:sz w:val="24"/>
                <w:szCs w:val="24"/>
              </w:rPr>
              <w:t>738.25</w:t>
            </w:r>
          </w:p>
        </w:tc>
        <w:tc>
          <w:tcPr>
            <w:tcW w:w="1095" w:type="dxa"/>
            <w:vAlign w:val="center"/>
          </w:tcPr>
          <w:p w14:paraId="00BC9992" w14:textId="77777777" w:rsidR="009A0A63" w:rsidRPr="00792B36" w:rsidRDefault="009A0A63" w:rsidP="00A24459">
            <w:pPr>
              <w:contextualSpacing/>
              <w:jc w:val="center"/>
              <w:rPr>
                <w:sz w:val="24"/>
                <w:szCs w:val="24"/>
              </w:rPr>
            </w:pPr>
            <w:r w:rsidRPr="00792B36">
              <w:rPr>
                <w:color w:val="000000"/>
                <w:sz w:val="24"/>
                <w:szCs w:val="24"/>
              </w:rPr>
              <w:t>297.21</w:t>
            </w:r>
          </w:p>
        </w:tc>
        <w:tc>
          <w:tcPr>
            <w:tcW w:w="987" w:type="dxa"/>
            <w:vAlign w:val="center"/>
          </w:tcPr>
          <w:p w14:paraId="5E5C344E" w14:textId="77777777" w:rsidR="009A0A63" w:rsidRPr="00792B36" w:rsidRDefault="009A0A63" w:rsidP="00A24459">
            <w:pPr>
              <w:contextualSpacing/>
              <w:jc w:val="center"/>
              <w:rPr>
                <w:sz w:val="24"/>
                <w:szCs w:val="24"/>
              </w:rPr>
            </w:pPr>
            <w:r w:rsidRPr="00792B36">
              <w:rPr>
                <w:color w:val="000000"/>
                <w:sz w:val="24"/>
                <w:szCs w:val="24"/>
              </w:rPr>
              <w:t>894.73</w:t>
            </w:r>
          </w:p>
        </w:tc>
        <w:tc>
          <w:tcPr>
            <w:tcW w:w="1080" w:type="dxa"/>
            <w:vAlign w:val="center"/>
          </w:tcPr>
          <w:p w14:paraId="124F6C02" w14:textId="77777777" w:rsidR="009A0A63" w:rsidRPr="00792B36" w:rsidRDefault="009A0A63" w:rsidP="00A24459">
            <w:pPr>
              <w:contextualSpacing/>
              <w:jc w:val="center"/>
              <w:rPr>
                <w:sz w:val="24"/>
                <w:szCs w:val="24"/>
              </w:rPr>
            </w:pPr>
            <w:r w:rsidRPr="00792B36">
              <w:rPr>
                <w:color w:val="000000"/>
                <w:sz w:val="24"/>
                <w:szCs w:val="24"/>
              </w:rPr>
              <w:t>1,928.18</w:t>
            </w:r>
          </w:p>
        </w:tc>
        <w:tc>
          <w:tcPr>
            <w:tcW w:w="1177" w:type="dxa"/>
            <w:vAlign w:val="center"/>
          </w:tcPr>
          <w:p w14:paraId="0BEF353D" w14:textId="77777777" w:rsidR="009A0A63" w:rsidRPr="00792B36" w:rsidRDefault="009A0A63" w:rsidP="00A24459">
            <w:pPr>
              <w:contextualSpacing/>
              <w:jc w:val="center"/>
              <w:rPr>
                <w:sz w:val="24"/>
                <w:szCs w:val="24"/>
              </w:rPr>
            </w:pPr>
            <w:r w:rsidRPr="00792B36">
              <w:rPr>
                <w:color w:val="000000"/>
                <w:sz w:val="24"/>
                <w:szCs w:val="24"/>
              </w:rPr>
              <w:t>385.80</w:t>
            </w:r>
          </w:p>
        </w:tc>
        <w:tc>
          <w:tcPr>
            <w:tcW w:w="1027" w:type="dxa"/>
            <w:vAlign w:val="center"/>
          </w:tcPr>
          <w:p w14:paraId="72DA1496" w14:textId="77777777" w:rsidR="009A0A63" w:rsidRPr="00792B36" w:rsidRDefault="009A0A63" w:rsidP="00A24459">
            <w:pPr>
              <w:contextualSpacing/>
              <w:jc w:val="center"/>
              <w:rPr>
                <w:sz w:val="24"/>
                <w:szCs w:val="24"/>
              </w:rPr>
            </w:pPr>
            <w:r w:rsidRPr="00792B36">
              <w:rPr>
                <w:color w:val="000000"/>
                <w:sz w:val="24"/>
                <w:szCs w:val="24"/>
              </w:rPr>
              <w:t>815.53</w:t>
            </w:r>
          </w:p>
        </w:tc>
        <w:tc>
          <w:tcPr>
            <w:tcW w:w="957" w:type="dxa"/>
            <w:vAlign w:val="center"/>
          </w:tcPr>
          <w:p w14:paraId="3354BDDF" w14:textId="77777777" w:rsidR="009A0A63" w:rsidRPr="00792B36" w:rsidRDefault="009A0A63" w:rsidP="00A24459">
            <w:pPr>
              <w:contextualSpacing/>
              <w:jc w:val="center"/>
              <w:rPr>
                <w:sz w:val="24"/>
                <w:szCs w:val="24"/>
              </w:rPr>
            </w:pPr>
            <w:r w:rsidRPr="00792B36">
              <w:rPr>
                <w:color w:val="000000"/>
                <w:sz w:val="24"/>
                <w:szCs w:val="24"/>
              </w:rPr>
              <w:t>1,069.55</w:t>
            </w:r>
          </w:p>
        </w:tc>
        <w:tc>
          <w:tcPr>
            <w:tcW w:w="900" w:type="dxa"/>
            <w:vAlign w:val="center"/>
          </w:tcPr>
          <w:p w14:paraId="5504E5C2" w14:textId="77777777" w:rsidR="009A0A63" w:rsidRPr="00792B36" w:rsidRDefault="009A0A63" w:rsidP="00A24459">
            <w:pPr>
              <w:contextualSpacing/>
              <w:jc w:val="center"/>
              <w:rPr>
                <w:sz w:val="24"/>
                <w:szCs w:val="24"/>
              </w:rPr>
            </w:pPr>
            <w:r w:rsidRPr="00792B36">
              <w:rPr>
                <w:color w:val="000000"/>
                <w:sz w:val="24"/>
                <w:szCs w:val="24"/>
              </w:rPr>
              <w:t>2,303.43</w:t>
            </w:r>
          </w:p>
        </w:tc>
      </w:tr>
      <w:tr w:rsidR="009A0A63" w:rsidRPr="00792B36" w14:paraId="68157397" w14:textId="77777777" w:rsidTr="00A24459">
        <w:trPr>
          <w:trHeight w:val="340"/>
        </w:trPr>
        <w:tc>
          <w:tcPr>
            <w:tcW w:w="617" w:type="dxa"/>
            <w:vAlign w:val="center"/>
          </w:tcPr>
          <w:p w14:paraId="6C3E92D8" w14:textId="77777777" w:rsidR="009A0A63" w:rsidRPr="00792B36" w:rsidRDefault="009A0A63" w:rsidP="00A24459">
            <w:pPr>
              <w:contextualSpacing/>
              <w:jc w:val="center"/>
              <w:rPr>
                <w:sz w:val="24"/>
                <w:szCs w:val="24"/>
              </w:rPr>
            </w:pPr>
            <w:r w:rsidRPr="00792B36">
              <w:rPr>
                <w:b/>
                <w:bCs/>
                <w:color w:val="000000"/>
                <w:sz w:val="24"/>
                <w:szCs w:val="24"/>
              </w:rPr>
              <w:t>2015</w:t>
            </w:r>
          </w:p>
        </w:tc>
        <w:tc>
          <w:tcPr>
            <w:tcW w:w="1177" w:type="dxa"/>
            <w:vAlign w:val="center"/>
          </w:tcPr>
          <w:p w14:paraId="37945AF6" w14:textId="77777777" w:rsidR="009A0A63" w:rsidRPr="00792B36" w:rsidRDefault="009A0A63" w:rsidP="00A24459">
            <w:pPr>
              <w:contextualSpacing/>
              <w:jc w:val="center"/>
              <w:rPr>
                <w:sz w:val="24"/>
                <w:szCs w:val="24"/>
              </w:rPr>
            </w:pPr>
            <w:r w:rsidRPr="00792B36">
              <w:rPr>
                <w:color w:val="000000"/>
                <w:sz w:val="24"/>
                <w:szCs w:val="24"/>
              </w:rPr>
              <w:t>638.69</w:t>
            </w:r>
          </w:p>
        </w:tc>
        <w:tc>
          <w:tcPr>
            <w:tcW w:w="1095" w:type="dxa"/>
            <w:vAlign w:val="center"/>
          </w:tcPr>
          <w:p w14:paraId="517257D2" w14:textId="77777777" w:rsidR="009A0A63" w:rsidRPr="00792B36" w:rsidRDefault="009A0A63" w:rsidP="00A24459">
            <w:pPr>
              <w:contextualSpacing/>
              <w:jc w:val="center"/>
              <w:rPr>
                <w:sz w:val="24"/>
                <w:szCs w:val="24"/>
              </w:rPr>
            </w:pPr>
            <w:r w:rsidRPr="00792B36">
              <w:rPr>
                <w:color w:val="000000"/>
                <w:sz w:val="24"/>
                <w:szCs w:val="24"/>
              </w:rPr>
              <w:t>291.24</w:t>
            </w:r>
          </w:p>
        </w:tc>
        <w:tc>
          <w:tcPr>
            <w:tcW w:w="987" w:type="dxa"/>
            <w:vAlign w:val="center"/>
          </w:tcPr>
          <w:p w14:paraId="2AA005EE" w14:textId="77777777" w:rsidR="009A0A63" w:rsidRPr="00792B36" w:rsidRDefault="009A0A63" w:rsidP="00A24459">
            <w:pPr>
              <w:contextualSpacing/>
              <w:jc w:val="center"/>
              <w:rPr>
                <w:sz w:val="24"/>
                <w:szCs w:val="24"/>
              </w:rPr>
            </w:pPr>
            <w:r w:rsidRPr="00792B36">
              <w:rPr>
                <w:color w:val="000000"/>
                <w:sz w:val="24"/>
                <w:szCs w:val="24"/>
              </w:rPr>
              <w:t>925.51</w:t>
            </w:r>
          </w:p>
        </w:tc>
        <w:tc>
          <w:tcPr>
            <w:tcW w:w="1080" w:type="dxa"/>
            <w:vAlign w:val="center"/>
          </w:tcPr>
          <w:p w14:paraId="581051DA" w14:textId="77777777" w:rsidR="009A0A63" w:rsidRPr="00792B36" w:rsidRDefault="009A0A63" w:rsidP="00A24459">
            <w:pPr>
              <w:contextualSpacing/>
              <w:jc w:val="center"/>
              <w:rPr>
                <w:sz w:val="24"/>
                <w:szCs w:val="24"/>
              </w:rPr>
            </w:pPr>
            <w:r w:rsidRPr="00792B36">
              <w:rPr>
                <w:color w:val="000000"/>
                <w:sz w:val="24"/>
                <w:szCs w:val="24"/>
              </w:rPr>
              <w:t>1,831.99</w:t>
            </w:r>
          </w:p>
        </w:tc>
        <w:tc>
          <w:tcPr>
            <w:tcW w:w="1177" w:type="dxa"/>
            <w:vAlign w:val="center"/>
          </w:tcPr>
          <w:p w14:paraId="05210299" w14:textId="77777777" w:rsidR="009A0A63" w:rsidRPr="00792B36" w:rsidRDefault="009A0A63" w:rsidP="00A24459">
            <w:pPr>
              <w:contextualSpacing/>
              <w:jc w:val="center"/>
              <w:rPr>
                <w:sz w:val="24"/>
                <w:szCs w:val="24"/>
              </w:rPr>
            </w:pPr>
            <w:r w:rsidRPr="00792B36">
              <w:rPr>
                <w:color w:val="000000"/>
                <w:sz w:val="24"/>
                <w:szCs w:val="24"/>
              </w:rPr>
              <w:t>368.19</w:t>
            </w:r>
          </w:p>
        </w:tc>
        <w:tc>
          <w:tcPr>
            <w:tcW w:w="1027" w:type="dxa"/>
            <w:vAlign w:val="center"/>
          </w:tcPr>
          <w:p w14:paraId="5E6D585C" w14:textId="77777777" w:rsidR="009A0A63" w:rsidRPr="00792B36" w:rsidRDefault="009A0A63" w:rsidP="00A24459">
            <w:pPr>
              <w:contextualSpacing/>
              <w:jc w:val="center"/>
              <w:rPr>
                <w:sz w:val="24"/>
                <w:szCs w:val="24"/>
              </w:rPr>
            </w:pPr>
            <w:r w:rsidRPr="00792B36">
              <w:rPr>
                <w:color w:val="000000"/>
                <w:sz w:val="24"/>
                <w:szCs w:val="24"/>
              </w:rPr>
              <w:t>841.71</w:t>
            </w:r>
          </w:p>
        </w:tc>
        <w:tc>
          <w:tcPr>
            <w:tcW w:w="957" w:type="dxa"/>
            <w:vAlign w:val="center"/>
          </w:tcPr>
          <w:p w14:paraId="23E3A4C7" w14:textId="77777777" w:rsidR="009A0A63" w:rsidRPr="00792B36" w:rsidRDefault="009A0A63" w:rsidP="00A24459">
            <w:pPr>
              <w:contextualSpacing/>
              <w:jc w:val="center"/>
              <w:rPr>
                <w:sz w:val="24"/>
                <w:szCs w:val="24"/>
              </w:rPr>
            </w:pPr>
            <w:r w:rsidRPr="00792B36">
              <w:rPr>
                <w:color w:val="000000"/>
                <w:sz w:val="24"/>
                <w:szCs w:val="24"/>
              </w:rPr>
              <w:t>1,143.23</w:t>
            </w:r>
          </w:p>
        </w:tc>
        <w:tc>
          <w:tcPr>
            <w:tcW w:w="900" w:type="dxa"/>
            <w:vAlign w:val="center"/>
          </w:tcPr>
          <w:p w14:paraId="6F353A96" w14:textId="77777777" w:rsidR="009A0A63" w:rsidRPr="00792B36" w:rsidRDefault="009A0A63" w:rsidP="00A24459">
            <w:pPr>
              <w:contextualSpacing/>
              <w:jc w:val="center"/>
              <w:rPr>
                <w:sz w:val="24"/>
                <w:szCs w:val="24"/>
              </w:rPr>
            </w:pPr>
            <w:r w:rsidRPr="00792B36">
              <w:rPr>
                <w:color w:val="000000"/>
                <w:sz w:val="24"/>
                <w:szCs w:val="24"/>
              </w:rPr>
              <w:t>2,388.12</w:t>
            </w:r>
          </w:p>
        </w:tc>
      </w:tr>
      <w:tr w:rsidR="009A0A63" w:rsidRPr="00792B36" w14:paraId="7D857CC9" w14:textId="77777777" w:rsidTr="00A24459">
        <w:trPr>
          <w:trHeight w:val="340"/>
        </w:trPr>
        <w:tc>
          <w:tcPr>
            <w:tcW w:w="617" w:type="dxa"/>
            <w:vAlign w:val="center"/>
          </w:tcPr>
          <w:p w14:paraId="1A0065AA" w14:textId="77777777" w:rsidR="009A0A63" w:rsidRPr="00792B36" w:rsidRDefault="009A0A63" w:rsidP="00A24459">
            <w:pPr>
              <w:contextualSpacing/>
              <w:jc w:val="center"/>
              <w:rPr>
                <w:sz w:val="24"/>
                <w:szCs w:val="24"/>
              </w:rPr>
            </w:pPr>
            <w:r w:rsidRPr="00792B36">
              <w:rPr>
                <w:b/>
                <w:bCs/>
                <w:color w:val="000000"/>
                <w:sz w:val="24"/>
                <w:szCs w:val="24"/>
              </w:rPr>
              <w:t>2016</w:t>
            </w:r>
          </w:p>
        </w:tc>
        <w:tc>
          <w:tcPr>
            <w:tcW w:w="1177" w:type="dxa"/>
            <w:vAlign w:val="center"/>
          </w:tcPr>
          <w:p w14:paraId="1C48DD43" w14:textId="77777777" w:rsidR="009A0A63" w:rsidRPr="00792B36" w:rsidRDefault="009A0A63" w:rsidP="00A24459">
            <w:pPr>
              <w:contextualSpacing/>
              <w:jc w:val="center"/>
              <w:rPr>
                <w:sz w:val="24"/>
                <w:szCs w:val="24"/>
              </w:rPr>
            </w:pPr>
            <w:r w:rsidRPr="00792B36">
              <w:rPr>
                <w:color w:val="000000"/>
                <w:sz w:val="24"/>
                <w:szCs w:val="24"/>
              </w:rPr>
              <w:t>742.13</w:t>
            </w:r>
          </w:p>
        </w:tc>
        <w:tc>
          <w:tcPr>
            <w:tcW w:w="1095" w:type="dxa"/>
            <w:vAlign w:val="center"/>
          </w:tcPr>
          <w:p w14:paraId="325D1727" w14:textId="77777777" w:rsidR="009A0A63" w:rsidRPr="00792B36" w:rsidRDefault="009A0A63" w:rsidP="00A24459">
            <w:pPr>
              <w:contextualSpacing/>
              <w:jc w:val="center"/>
              <w:rPr>
                <w:sz w:val="24"/>
                <w:szCs w:val="24"/>
              </w:rPr>
            </w:pPr>
            <w:r w:rsidRPr="00792B36">
              <w:rPr>
                <w:color w:val="000000"/>
                <w:sz w:val="24"/>
                <w:szCs w:val="24"/>
              </w:rPr>
              <w:t>262.30</w:t>
            </w:r>
          </w:p>
        </w:tc>
        <w:tc>
          <w:tcPr>
            <w:tcW w:w="987" w:type="dxa"/>
            <w:vAlign w:val="center"/>
          </w:tcPr>
          <w:p w14:paraId="384DF568" w14:textId="77777777" w:rsidR="009A0A63" w:rsidRPr="00792B36" w:rsidRDefault="009A0A63" w:rsidP="00A24459">
            <w:pPr>
              <w:contextualSpacing/>
              <w:jc w:val="center"/>
              <w:rPr>
                <w:sz w:val="24"/>
                <w:szCs w:val="24"/>
              </w:rPr>
            </w:pPr>
            <w:r w:rsidRPr="00792B36">
              <w:rPr>
                <w:color w:val="000000"/>
                <w:sz w:val="24"/>
                <w:szCs w:val="24"/>
              </w:rPr>
              <w:t>1,045.48</w:t>
            </w:r>
          </w:p>
        </w:tc>
        <w:tc>
          <w:tcPr>
            <w:tcW w:w="1080" w:type="dxa"/>
            <w:vAlign w:val="center"/>
          </w:tcPr>
          <w:p w14:paraId="21CC6023" w14:textId="77777777" w:rsidR="009A0A63" w:rsidRPr="00792B36" w:rsidRDefault="009A0A63" w:rsidP="00A24459">
            <w:pPr>
              <w:contextualSpacing/>
              <w:jc w:val="center"/>
              <w:rPr>
                <w:sz w:val="24"/>
                <w:szCs w:val="24"/>
              </w:rPr>
            </w:pPr>
            <w:r w:rsidRPr="00792B36">
              <w:rPr>
                <w:color w:val="000000"/>
                <w:sz w:val="24"/>
                <w:szCs w:val="24"/>
              </w:rPr>
              <w:t>2,030.44</w:t>
            </w:r>
          </w:p>
        </w:tc>
        <w:tc>
          <w:tcPr>
            <w:tcW w:w="1177" w:type="dxa"/>
            <w:vAlign w:val="center"/>
          </w:tcPr>
          <w:p w14:paraId="3890F1E3" w14:textId="77777777" w:rsidR="009A0A63" w:rsidRPr="00792B36" w:rsidRDefault="009A0A63" w:rsidP="00A24459">
            <w:pPr>
              <w:contextualSpacing/>
              <w:jc w:val="center"/>
              <w:rPr>
                <w:sz w:val="24"/>
                <w:szCs w:val="24"/>
              </w:rPr>
            </w:pPr>
            <w:r w:rsidRPr="00792B36">
              <w:rPr>
                <w:color w:val="000000"/>
                <w:sz w:val="24"/>
                <w:szCs w:val="24"/>
              </w:rPr>
              <w:t>365.57</w:t>
            </w:r>
          </w:p>
        </w:tc>
        <w:tc>
          <w:tcPr>
            <w:tcW w:w="1027" w:type="dxa"/>
            <w:vAlign w:val="center"/>
          </w:tcPr>
          <w:p w14:paraId="2B9C5CC5" w14:textId="77777777" w:rsidR="009A0A63" w:rsidRPr="00792B36" w:rsidRDefault="009A0A63" w:rsidP="00A24459">
            <w:pPr>
              <w:contextualSpacing/>
              <w:jc w:val="center"/>
              <w:rPr>
                <w:sz w:val="24"/>
                <w:szCs w:val="24"/>
              </w:rPr>
            </w:pPr>
            <w:r w:rsidRPr="00792B36">
              <w:rPr>
                <w:color w:val="000000"/>
                <w:sz w:val="24"/>
                <w:szCs w:val="24"/>
              </w:rPr>
              <w:t>825.67</w:t>
            </w:r>
          </w:p>
        </w:tc>
        <w:tc>
          <w:tcPr>
            <w:tcW w:w="957" w:type="dxa"/>
            <w:vAlign w:val="center"/>
          </w:tcPr>
          <w:p w14:paraId="289FBA19" w14:textId="77777777" w:rsidR="009A0A63" w:rsidRPr="00792B36" w:rsidRDefault="009A0A63" w:rsidP="00A24459">
            <w:pPr>
              <w:contextualSpacing/>
              <w:jc w:val="center"/>
              <w:rPr>
                <w:sz w:val="24"/>
                <w:szCs w:val="24"/>
              </w:rPr>
            </w:pPr>
            <w:r w:rsidRPr="00792B36">
              <w:rPr>
                <w:color w:val="000000"/>
                <w:sz w:val="24"/>
                <w:szCs w:val="24"/>
              </w:rPr>
              <w:t>1,163.24</w:t>
            </w:r>
          </w:p>
        </w:tc>
        <w:tc>
          <w:tcPr>
            <w:tcW w:w="900" w:type="dxa"/>
            <w:vAlign w:val="center"/>
          </w:tcPr>
          <w:p w14:paraId="12B32455" w14:textId="77777777" w:rsidR="009A0A63" w:rsidRPr="00792B36" w:rsidRDefault="009A0A63" w:rsidP="00A24459">
            <w:pPr>
              <w:contextualSpacing/>
              <w:jc w:val="center"/>
              <w:rPr>
                <w:sz w:val="24"/>
                <w:szCs w:val="24"/>
              </w:rPr>
            </w:pPr>
            <w:r w:rsidRPr="00792B36">
              <w:rPr>
                <w:color w:val="000000"/>
                <w:sz w:val="24"/>
                <w:szCs w:val="24"/>
              </w:rPr>
              <w:t>2,388.67</w:t>
            </w:r>
          </w:p>
        </w:tc>
      </w:tr>
      <w:tr w:rsidR="009A0A63" w:rsidRPr="00792B36" w14:paraId="592BBD56" w14:textId="77777777" w:rsidTr="00A24459">
        <w:trPr>
          <w:trHeight w:val="340"/>
        </w:trPr>
        <w:tc>
          <w:tcPr>
            <w:tcW w:w="617" w:type="dxa"/>
            <w:vAlign w:val="center"/>
          </w:tcPr>
          <w:p w14:paraId="051115CC" w14:textId="77777777" w:rsidR="009A0A63" w:rsidRPr="00792B36" w:rsidRDefault="009A0A63" w:rsidP="00A24459">
            <w:pPr>
              <w:contextualSpacing/>
              <w:jc w:val="center"/>
              <w:rPr>
                <w:sz w:val="24"/>
                <w:szCs w:val="24"/>
              </w:rPr>
            </w:pPr>
            <w:r w:rsidRPr="00792B36">
              <w:rPr>
                <w:b/>
                <w:bCs/>
                <w:color w:val="000000"/>
                <w:sz w:val="24"/>
                <w:szCs w:val="24"/>
              </w:rPr>
              <w:t>2017</w:t>
            </w:r>
          </w:p>
        </w:tc>
        <w:tc>
          <w:tcPr>
            <w:tcW w:w="1177" w:type="dxa"/>
            <w:vAlign w:val="center"/>
          </w:tcPr>
          <w:p w14:paraId="7B7DE070" w14:textId="77777777" w:rsidR="009A0A63" w:rsidRPr="00792B36" w:rsidRDefault="009A0A63" w:rsidP="00A24459">
            <w:pPr>
              <w:contextualSpacing/>
              <w:jc w:val="center"/>
              <w:rPr>
                <w:sz w:val="24"/>
                <w:szCs w:val="24"/>
              </w:rPr>
            </w:pPr>
            <w:r w:rsidRPr="00792B36">
              <w:rPr>
                <w:color w:val="000000"/>
                <w:sz w:val="24"/>
                <w:szCs w:val="24"/>
              </w:rPr>
              <w:t>718.88</w:t>
            </w:r>
          </w:p>
        </w:tc>
        <w:tc>
          <w:tcPr>
            <w:tcW w:w="1095" w:type="dxa"/>
            <w:vAlign w:val="center"/>
          </w:tcPr>
          <w:p w14:paraId="271824C5" w14:textId="77777777" w:rsidR="009A0A63" w:rsidRPr="00792B36" w:rsidRDefault="009A0A63" w:rsidP="00A24459">
            <w:pPr>
              <w:contextualSpacing/>
              <w:jc w:val="center"/>
              <w:rPr>
                <w:sz w:val="24"/>
                <w:szCs w:val="24"/>
              </w:rPr>
            </w:pPr>
            <w:r w:rsidRPr="00792B36">
              <w:rPr>
                <w:color w:val="000000"/>
                <w:sz w:val="24"/>
                <w:szCs w:val="24"/>
              </w:rPr>
              <w:t>244.92</w:t>
            </w:r>
          </w:p>
        </w:tc>
        <w:tc>
          <w:tcPr>
            <w:tcW w:w="987" w:type="dxa"/>
            <w:vAlign w:val="center"/>
          </w:tcPr>
          <w:p w14:paraId="64476B9C" w14:textId="77777777" w:rsidR="009A0A63" w:rsidRPr="00792B36" w:rsidRDefault="009A0A63" w:rsidP="00A24459">
            <w:pPr>
              <w:contextualSpacing/>
              <w:jc w:val="center"/>
              <w:rPr>
                <w:sz w:val="24"/>
                <w:szCs w:val="24"/>
              </w:rPr>
            </w:pPr>
            <w:r w:rsidRPr="00792B36">
              <w:rPr>
                <w:color w:val="000000"/>
                <w:sz w:val="24"/>
                <w:szCs w:val="24"/>
              </w:rPr>
              <w:t>1,056.20</w:t>
            </w:r>
          </w:p>
        </w:tc>
        <w:tc>
          <w:tcPr>
            <w:tcW w:w="1080" w:type="dxa"/>
            <w:vAlign w:val="center"/>
          </w:tcPr>
          <w:p w14:paraId="22F83BE8" w14:textId="77777777" w:rsidR="009A0A63" w:rsidRPr="00792B36" w:rsidRDefault="009A0A63" w:rsidP="00A24459">
            <w:pPr>
              <w:contextualSpacing/>
              <w:jc w:val="center"/>
              <w:rPr>
                <w:sz w:val="24"/>
                <w:szCs w:val="24"/>
              </w:rPr>
            </w:pPr>
            <w:r w:rsidRPr="00792B36">
              <w:rPr>
                <w:color w:val="000000"/>
                <w:sz w:val="24"/>
                <w:szCs w:val="24"/>
              </w:rPr>
              <w:t>1,994.35</w:t>
            </w:r>
          </w:p>
        </w:tc>
        <w:tc>
          <w:tcPr>
            <w:tcW w:w="1177" w:type="dxa"/>
            <w:vAlign w:val="center"/>
          </w:tcPr>
          <w:p w14:paraId="281EECE7" w14:textId="77777777" w:rsidR="009A0A63" w:rsidRPr="00792B36" w:rsidRDefault="009A0A63" w:rsidP="00A24459">
            <w:pPr>
              <w:contextualSpacing/>
              <w:jc w:val="center"/>
              <w:rPr>
                <w:sz w:val="24"/>
                <w:szCs w:val="24"/>
              </w:rPr>
            </w:pPr>
            <w:r w:rsidRPr="00792B36">
              <w:rPr>
                <w:color w:val="000000"/>
                <w:sz w:val="24"/>
                <w:szCs w:val="24"/>
              </w:rPr>
              <w:t>322.53</w:t>
            </w:r>
          </w:p>
        </w:tc>
        <w:tc>
          <w:tcPr>
            <w:tcW w:w="1027" w:type="dxa"/>
            <w:vAlign w:val="center"/>
          </w:tcPr>
          <w:p w14:paraId="4573278B" w14:textId="77777777" w:rsidR="009A0A63" w:rsidRPr="00792B36" w:rsidRDefault="009A0A63" w:rsidP="00A24459">
            <w:pPr>
              <w:contextualSpacing/>
              <w:jc w:val="center"/>
              <w:rPr>
                <w:sz w:val="24"/>
                <w:szCs w:val="24"/>
              </w:rPr>
            </w:pPr>
            <w:r w:rsidRPr="00792B36">
              <w:rPr>
                <w:color w:val="000000"/>
                <w:sz w:val="24"/>
                <w:szCs w:val="24"/>
              </w:rPr>
              <w:t>777.22</w:t>
            </w:r>
          </w:p>
        </w:tc>
        <w:tc>
          <w:tcPr>
            <w:tcW w:w="957" w:type="dxa"/>
            <w:vAlign w:val="center"/>
          </w:tcPr>
          <w:p w14:paraId="6DC0E03A" w14:textId="77777777" w:rsidR="009A0A63" w:rsidRPr="00792B36" w:rsidRDefault="009A0A63" w:rsidP="00A24459">
            <w:pPr>
              <w:contextualSpacing/>
              <w:jc w:val="center"/>
              <w:rPr>
                <w:sz w:val="24"/>
                <w:szCs w:val="24"/>
              </w:rPr>
            </w:pPr>
            <w:r w:rsidRPr="00792B36">
              <w:rPr>
                <w:color w:val="000000"/>
                <w:sz w:val="24"/>
                <w:szCs w:val="24"/>
              </w:rPr>
              <w:t>1,158.52</w:t>
            </w:r>
          </w:p>
        </w:tc>
        <w:tc>
          <w:tcPr>
            <w:tcW w:w="900" w:type="dxa"/>
            <w:vAlign w:val="center"/>
          </w:tcPr>
          <w:p w14:paraId="1B66FE05" w14:textId="77777777" w:rsidR="009A0A63" w:rsidRPr="00792B36" w:rsidRDefault="009A0A63" w:rsidP="00A24459">
            <w:pPr>
              <w:contextualSpacing/>
              <w:jc w:val="center"/>
              <w:rPr>
                <w:sz w:val="24"/>
                <w:szCs w:val="24"/>
              </w:rPr>
            </w:pPr>
            <w:r w:rsidRPr="00792B36">
              <w:rPr>
                <w:color w:val="000000"/>
                <w:sz w:val="24"/>
                <w:szCs w:val="24"/>
              </w:rPr>
              <w:t>2,293.91</w:t>
            </w:r>
          </w:p>
        </w:tc>
      </w:tr>
      <w:tr w:rsidR="009A0A63" w:rsidRPr="00792B36" w14:paraId="21E0EEDB" w14:textId="77777777" w:rsidTr="00A24459">
        <w:trPr>
          <w:trHeight w:val="340"/>
        </w:trPr>
        <w:tc>
          <w:tcPr>
            <w:tcW w:w="617" w:type="dxa"/>
            <w:vAlign w:val="center"/>
          </w:tcPr>
          <w:p w14:paraId="7E0B7CEE" w14:textId="77777777" w:rsidR="009A0A63" w:rsidRPr="00792B36" w:rsidRDefault="009A0A63" w:rsidP="00A24459">
            <w:pPr>
              <w:contextualSpacing/>
              <w:jc w:val="center"/>
              <w:rPr>
                <w:sz w:val="24"/>
                <w:szCs w:val="24"/>
              </w:rPr>
            </w:pPr>
            <w:r w:rsidRPr="00792B36">
              <w:rPr>
                <w:b/>
                <w:bCs/>
                <w:color w:val="000000"/>
                <w:sz w:val="24"/>
                <w:szCs w:val="24"/>
              </w:rPr>
              <w:t>2018</w:t>
            </w:r>
          </w:p>
        </w:tc>
        <w:tc>
          <w:tcPr>
            <w:tcW w:w="1177" w:type="dxa"/>
            <w:vAlign w:val="center"/>
          </w:tcPr>
          <w:p w14:paraId="19C4BDDC" w14:textId="77777777" w:rsidR="009A0A63" w:rsidRPr="00792B36" w:rsidRDefault="009A0A63" w:rsidP="00A24459">
            <w:pPr>
              <w:contextualSpacing/>
              <w:jc w:val="center"/>
              <w:rPr>
                <w:sz w:val="24"/>
                <w:szCs w:val="24"/>
              </w:rPr>
            </w:pPr>
            <w:r w:rsidRPr="00792B36">
              <w:rPr>
                <w:color w:val="000000"/>
                <w:sz w:val="24"/>
                <w:szCs w:val="24"/>
              </w:rPr>
              <w:t>817.25</w:t>
            </w:r>
          </w:p>
        </w:tc>
        <w:tc>
          <w:tcPr>
            <w:tcW w:w="1095" w:type="dxa"/>
            <w:vAlign w:val="center"/>
          </w:tcPr>
          <w:p w14:paraId="2BB45D17" w14:textId="77777777" w:rsidR="009A0A63" w:rsidRPr="00792B36" w:rsidRDefault="009A0A63" w:rsidP="00A24459">
            <w:pPr>
              <w:contextualSpacing/>
              <w:jc w:val="center"/>
              <w:rPr>
                <w:sz w:val="24"/>
                <w:szCs w:val="24"/>
              </w:rPr>
            </w:pPr>
            <w:r w:rsidRPr="00792B36">
              <w:rPr>
                <w:color w:val="000000"/>
                <w:sz w:val="24"/>
                <w:szCs w:val="24"/>
              </w:rPr>
              <w:t>250.64</w:t>
            </w:r>
          </w:p>
        </w:tc>
        <w:tc>
          <w:tcPr>
            <w:tcW w:w="987" w:type="dxa"/>
            <w:vAlign w:val="center"/>
          </w:tcPr>
          <w:p w14:paraId="41640FBA" w14:textId="77777777" w:rsidR="009A0A63" w:rsidRPr="00792B36" w:rsidRDefault="009A0A63" w:rsidP="00A24459">
            <w:pPr>
              <w:contextualSpacing/>
              <w:jc w:val="center"/>
              <w:rPr>
                <w:sz w:val="24"/>
                <w:szCs w:val="24"/>
              </w:rPr>
            </w:pPr>
            <w:r w:rsidRPr="00792B36">
              <w:rPr>
                <w:color w:val="000000"/>
                <w:sz w:val="24"/>
                <w:szCs w:val="24"/>
              </w:rPr>
              <w:t>1,096.81</w:t>
            </w:r>
          </w:p>
        </w:tc>
        <w:tc>
          <w:tcPr>
            <w:tcW w:w="1080" w:type="dxa"/>
            <w:vAlign w:val="center"/>
          </w:tcPr>
          <w:p w14:paraId="36BC1A47" w14:textId="77777777" w:rsidR="009A0A63" w:rsidRPr="00792B36" w:rsidRDefault="009A0A63" w:rsidP="00A24459">
            <w:pPr>
              <w:contextualSpacing/>
              <w:jc w:val="center"/>
              <w:rPr>
                <w:sz w:val="24"/>
                <w:szCs w:val="24"/>
              </w:rPr>
            </w:pPr>
            <w:r w:rsidRPr="00792B36">
              <w:rPr>
                <w:color w:val="000000"/>
                <w:sz w:val="24"/>
                <w:szCs w:val="24"/>
              </w:rPr>
              <w:t>2,158.90</w:t>
            </w:r>
          </w:p>
        </w:tc>
        <w:tc>
          <w:tcPr>
            <w:tcW w:w="1177" w:type="dxa"/>
            <w:vAlign w:val="center"/>
          </w:tcPr>
          <w:p w14:paraId="6948E91C" w14:textId="77777777" w:rsidR="009A0A63" w:rsidRPr="00792B36" w:rsidRDefault="009A0A63" w:rsidP="00A24459">
            <w:pPr>
              <w:contextualSpacing/>
              <w:jc w:val="center"/>
              <w:rPr>
                <w:sz w:val="24"/>
                <w:szCs w:val="24"/>
              </w:rPr>
            </w:pPr>
            <w:r w:rsidRPr="00792B36">
              <w:rPr>
                <w:color w:val="000000"/>
                <w:sz w:val="24"/>
                <w:szCs w:val="24"/>
              </w:rPr>
              <w:t>357.84</w:t>
            </w:r>
          </w:p>
        </w:tc>
        <w:tc>
          <w:tcPr>
            <w:tcW w:w="1027" w:type="dxa"/>
            <w:vAlign w:val="center"/>
          </w:tcPr>
          <w:p w14:paraId="2D23D6C7" w14:textId="77777777" w:rsidR="009A0A63" w:rsidRPr="00792B36" w:rsidRDefault="009A0A63" w:rsidP="00A24459">
            <w:pPr>
              <w:contextualSpacing/>
              <w:jc w:val="center"/>
              <w:rPr>
                <w:sz w:val="24"/>
                <w:szCs w:val="24"/>
              </w:rPr>
            </w:pPr>
            <w:r w:rsidRPr="00792B36">
              <w:rPr>
                <w:color w:val="000000"/>
                <w:sz w:val="24"/>
                <w:szCs w:val="24"/>
              </w:rPr>
              <w:t>746.70</w:t>
            </w:r>
          </w:p>
        </w:tc>
        <w:tc>
          <w:tcPr>
            <w:tcW w:w="957" w:type="dxa"/>
            <w:vAlign w:val="center"/>
          </w:tcPr>
          <w:p w14:paraId="52F35095" w14:textId="77777777" w:rsidR="009A0A63" w:rsidRPr="00792B36" w:rsidRDefault="009A0A63" w:rsidP="00A24459">
            <w:pPr>
              <w:contextualSpacing/>
              <w:jc w:val="center"/>
              <w:rPr>
                <w:sz w:val="24"/>
                <w:szCs w:val="24"/>
              </w:rPr>
            </w:pPr>
            <w:r w:rsidRPr="00792B36">
              <w:rPr>
                <w:color w:val="000000"/>
                <w:sz w:val="24"/>
                <w:szCs w:val="24"/>
              </w:rPr>
              <w:t>1,228.82</w:t>
            </w:r>
          </w:p>
        </w:tc>
        <w:tc>
          <w:tcPr>
            <w:tcW w:w="900" w:type="dxa"/>
            <w:vAlign w:val="center"/>
          </w:tcPr>
          <w:p w14:paraId="5B67381F" w14:textId="77777777" w:rsidR="009A0A63" w:rsidRPr="00792B36" w:rsidRDefault="009A0A63" w:rsidP="00A24459">
            <w:pPr>
              <w:contextualSpacing/>
              <w:jc w:val="center"/>
              <w:rPr>
                <w:sz w:val="24"/>
                <w:szCs w:val="24"/>
              </w:rPr>
            </w:pPr>
            <w:r w:rsidRPr="00792B36">
              <w:rPr>
                <w:color w:val="000000"/>
                <w:sz w:val="24"/>
                <w:szCs w:val="24"/>
              </w:rPr>
              <w:t>2,367.37</w:t>
            </w:r>
          </w:p>
        </w:tc>
      </w:tr>
    </w:tbl>
    <w:p w14:paraId="4D38091F" w14:textId="77777777" w:rsidR="009A0A63" w:rsidRPr="00792B36" w:rsidRDefault="009A0A63" w:rsidP="009A0A63">
      <w:pPr>
        <w:spacing w:line="360" w:lineRule="auto"/>
        <w:rPr>
          <w:sz w:val="24"/>
          <w:szCs w:val="24"/>
        </w:rPr>
      </w:pPr>
    </w:p>
    <w:p w14:paraId="79C2C1A0" w14:textId="77777777" w:rsidR="009A0A63" w:rsidRPr="00792B36" w:rsidRDefault="009A0A63" w:rsidP="009A0A63">
      <w:pPr>
        <w:spacing w:line="360" w:lineRule="auto"/>
        <w:contextualSpacing/>
        <w:rPr>
          <w:color w:val="000000" w:themeColor="text1"/>
          <w:sz w:val="24"/>
          <w:szCs w:val="24"/>
        </w:rPr>
      </w:pPr>
      <w:r w:rsidRPr="00792B36">
        <w:rPr>
          <w:b/>
          <w:bCs/>
          <w:sz w:val="24"/>
          <w:szCs w:val="24"/>
        </w:rPr>
        <w:t xml:space="preserve">Annex 2.12 </w:t>
      </w:r>
      <w:r w:rsidRPr="00792B36">
        <w:rPr>
          <w:color w:val="000000" w:themeColor="text1"/>
          <w:sz w:val="24"/>
          <w:szCs w:val="24"/>
        </w:rPr>
        <w:t>Cont.</w:t>
      </w:r>
    </w:p>
    <w:tbl>
      <w:tblPr>
        <w:tblStyle w:val="TableGrid"/>
        <w:tblW w:w="0" w:type="auto"/>
        <w:tblLook w:val="04A0" w:firstRow="1" w:lastRow="0" w:firstColumn="1" w:lastColumn="0" w:noHBand="0" w:noVBand="1"/>
      </w:tblPr>
      <w:tblGrid>
        <w:gridCol w:w="639"/>
        <w:gridCol w:w="1233"/>
        <w:gridCol w:w="1075"/>
        <w:gridCol w:w="1001"/>
        <w:gridCol w:w="959"/>
        <w:gridCol w:w="1234"/>
        <w:gridCol w:w="1075"/>
        <w:gridCol w:w="1001"/>
        <w:gridCol w:w="800"/>
      </w:tblGrid>
      <w:tr w:rsidR="009A0A63" w:rsidRPr="00792B36" w14:paraId="790784A3" w14:textId="77777777" w:rsidTr="00A24459">
        <w:trPr>
          <w:trHeight w:val="340"/>
        </w:trPr>
        <w:tc>
          <w:tcPr>
            <w:tcW w:w="617" w:type="dxa"/>
            <w:vMerge w:val="restart"/>
            <w:vAlign w:val="center"/>
          </w:tcPr>
          <w:p w14:paraId="3F8B0F63" w14:textId="77777777" w:rsidR="009A0A63" w:rsidRPr="00792B36" w:rsidRDefault="009A0A63" w:rsidP="00A24459">
            <w:pPr>
              <w:contextualSpacing/>
              <w:jc w:val="center"/>
              <w:rPr>
                <w:b/>
                <w:bCs/>
                <w:sz w:val="24"/>
                <w:szCs w:val="24"/>
              </w:rPr>
            </w:pPr>
            <w:r w:rsidRPr="00792B36">
              <w:rPr>
                <w:b/>
                <w:bCs/>
                <w:color w:val="000000"/>
                <w:sz w:val="24"/>
                <w:szCs w:val="24"/>
              </w:rPr>
              <w:t>Year</w:t>
            </w:r>
          </w:p>
        </w:tc>
        <w:tc>
          <w:tcPr>
            <w:tcW w:w="4339" w:type="dxa"/>
            <w:gridSpan w:val="4"/>
            <w:vAlign w:val="center"/>
          </w:tcPr>
          <w:p w14:paraId="54DA10F8" w14:textId="77777777" w:rsidR="009A0A63" w:rsidRPr="00792B36" w:rsidRDefault="009A0A63" w:rsidP="00A24459">
            <w:pPr>
              <w:contextualSpacing/>
              <w:jc w:val="center"/>
              <w:rPr>
                <w:b/>
                <w:bCs/>
                <w:sz w:val="24"/>
                <w:szCs w:val="24"/>
              </w:rPr>
            </w:pPr>
            <w:r w:rsidRPr="00792B36">
              <w:rPr>
                <w:b/>
                <w:bCs/>
                <w:sz w:val="24"/>
                <w:szCs w:val="24"/>
              </w:rPr>
              <w:t>Pattani</w:t>
            </w:r>
          </w:p>
        </w:tc>
        <w:tc>
          <w:tcPr>
            <w:tcW w:w="4061" w:type="dxa"/>
            <w:gridSpan w:val="4"/>
            <w:vAlign w:val="center"/>
          </w:tcPr>
          <w:p w14:paraId="4CC9E949" w14:textId="77777777" w:rsidR="009A0A63" w:rsidRPr="00792B36" w:rsidRDefault="009A0A63" w:rsidP="00A24459">
            <w:pPr>
              <w:contextualSpacing/>
              <w:jc w:val="center"/>
              <w:rPr>
                <w:b/>
                <w:bCs/>
                <w:sz w:val="24"/>
                <w:szCs w:val="24"/>
              </w:rPr>
            </w:pPr>
            <w:r w:rsidRPr="00792B36">
              <w:rPr>
                <w:b/>
                <w:bCs/>
                <w:sz w:val="24"/>
                <w:szCs w:val="24"/>
              </w:rPr>
              <w:t>Narathiwat</w:t>
            </w:r>
          </w:p>
        </w:tc>
      </w:tr>
      <w:tr w:rsidR="009A0A63" w:rsidRPr="00792B36" w14:paraId="6796F856" w14:textId="77777777" w:rsidTr="00A24459">
        <w:trPr>
          <w:trHeight w:val="340"/>
        </w:trPr>
        <w:tc>
          <w:tcPr>
            <w:tcW w:w="617" w:type="dxa"/>
            <w:vMerge/>
            <w:vAlign w:val="center"/>
          </w:tcPr>
          <w:p w14:paraId="3078495E" w14:textId="77777777" w:rsidR="009A0A63" w:rsidRPr="00792B36" w:rsidRDefault="009A0A63" w:rsidP="00A24459">
            <w:pPr>
              <w:contextualSpacing/>
              <w:jc w:val="center"/>
              <w:rPr>
                <w:b/>
                <w:bCs/>
                <w:sz w:val="24"/>
                <w:szCs w:val="24"/>
              </w:rPr>
            </w:pPr>
          </w:p>
        </w:tc>
        <w:tc>
          <w:tcPr>
            <w:tcW w:w="1177" w:type="dxa"/>
            <w:vAlign w:val="center"/>
          </w:tcPr>
          <w:p w14:paraId="11A3610F" w14:textId="77777777" w:rsidR="009A0A63" w:rsidRPr="00792B36" w:rsidRDefault="009A0A63" w:rsidP="00A24459">
            <w:pPr>
              <w:contextualSpacing/>
              <w:jc w:val="center"/>
              <w:rPr>
                <w:b/>
                <w:bCs/>
                <w:sz w:val="24"/>
                <w:szCs w:val="24"/>
              </w:rPr>
            </w:pPr>
            <w:r w:rsidRPr="00792B36">
              <w:rPr>
                <w:b/>
                <w:bCs/>
                <w:color w:val="000000"/>
                <w:sz w:val="24"/>
                <w:szCs w:val="24"/>
              </w:rPr>
              <w:t>Agriculture</w:t>
            </w:r>
          </w:p>
        </w:tc>
        <w:tc>
          <w:tcPr>
            <w:tcW w:w="1095" w:type="dxa"/>
            <w:vAlign w:val="center"/>
          </w:tcPr>
          <w:p w14:paraId="43CF41FC" w14:textId="77777777" w:rsidR="009A0A63" w:rsidRPr="00792B36" w:rsidRDefault="009A0A63" w:rsidP="00A24459">
            <w:pPr>
              <w:contextualSpacing/>
              <w:jc w:val="center"/>
              <w:rPr>
                <w:b/>
                <w:bCs/>
                <w:sz w:val="24"/>
                <w:szCs w:val="24"/>
              </w:rPr>
            </w:pPr>
            <w:r w:rsidRPr="00792B36">
              <w:rPr>
                <w:b/>
                <w:bCs/>
                <w:color w:val="000000"/>
                <w:sz w:val="24"/>
                <w:szCs w:val="24"/>
              </w:rPr>
              <w:t>Industrial</w:t>
            </w:r>
          </w:p>
        </w:tc>
        <w:tc>
          <w:tcPr>
            <w:tcW w:w="987" w:type="dxa"/>
            <w:vAlign w:val="center"/>
          </w:tcPr>
          <w:p w14:paraId="0123299B" w14:textId="77777777" w:rsidR="009A0A63" w:rsidRPr="00792B36" w:rsidRDefault="009A0A63" w:rsidP="00A24459">
            <w:pPr>
              <w:contextualSpacing/>
              <w:jc w:val="center"/>
              <w:rPr>
                <w:b/>
                <w:bCs/>
                <w:sz w:val="24"/>
                <w:szCs w:val="24"/>
              </w:rPr>
            </w:pPr>
            <w:r w:rsidRPr="00792B36">
              <w:rPr>
                <w:b/>
                <w:bCs/>
                <w:color w:val="000000"/>
                <w:sz w:val="24"/>
                <w:szCs w:val="24"/>
              </w:rPr>
              <w:t>Services</w:t>
            </w:r>
          </w:p>
        </w:tc>
        <w:tc>
          <w:tcPr>
            <w:tcW w:w="1080" w:type="dxa"/>
            <w:vAlign w:val="center"/>
          </w:tcPr>
          <w:p w14:paraId="3CFFD69B" w14:textId="77777777" w:rsidR="009A0A63" w:rsidRPr="00792B36" w:rsidRDefault="009A0A63" w:rsidP="00A24459">
            <w:pPr>
              <w:contextualSpacing/>
              <w:jc w:val="center"/>
              <w:rPr>
                <w:b/>
                <w:bCs/>
                <w:sz w:val="24"/>
                <w:szCs w:val="24"/>
              </w:rPr>
            </w:pPr>
            <w:r w:rsidRPr="00792B36">
              <w:rPr>
                <w:b/>
                <w:bCs/>
                <w:color w:val="000000"/>
                <w:sz w:val="24"/>
                <w:szCs w:val="24"/>
              </w:rPr>
              <w:t>GPP</w:t>
            </w:r>
          </w:p>
        </w:tc>
        <w:tc>
          <w:tcPr>
            <w:tcW w:w="1177" w:type="dxa"/>
            <w:vAlign w:val="center"/>
          </w:tcPr>
          <w:p w14:paraId="3DD8D419" w14:textId="77777777" w:rsidR="009A0A63" w:rsidRPr="00792B36" w:rsidRDefault="009A0A63" w:rsidP="00A24459">
            <w:pPr>
              <w:contextualSpacing/>
              <w:jc w:val="center"/>
              <w:rPr>
                <w:b/>
                <w:bCs/>
                <w:sz w:val="24"/>
                <w:szCs w:val="24"/>
              </w:rPr>
            </w:pPr>
            <w:r w:rsidRPr="00792B36">
              <w:rPr>
                <w:b/>
                <w:bCs/>
                <w:color w:val="000000"/>
                <w:sz w:val="24"/>
                <w:szCs w:val="24"/>
              </w:rPr>
              <w:t>Agriculture</w:t>
            </w:r>
          </w:p>
        </w:tc>
        <w:tc>
          <w:tcPr>
            <w:tcW w:w="1027" w:type="dxa"/>
            <w:vAlign w:val="center"/>
          </w:tcPr>
          <w:p w14:paraId="424D9594" w14:textId="77777777" w:rsidR="009A0A63" w:rsidRPr="00792B36" w:rsidRDefault="009A0A63" w:rsidP="00A24459">
            <w:pPr>
              <w:contextualSpacing/>
              <w:jc w:val="center"/>
              <w:rPr>
                <w:b/>
                <w:bCs/>
                <w:sz w:val="24"/>
                <w:szCs w:val="24"/>
              </w:rPr>
            </w:pPr>
            <w:r w:rsidRPr="00792B36">
              <w:rPr>
                <w:b/>
                <w:bCs/>
                <w:color w:val="000000"/>
                <w:sz w:val="24"/>
                <w:szCs w:val="24"/>
              </w:rPr>
              <w:t>Industrial</w:t>
            </w:r>
          </w:p>
        </w:tc>
        <w:tc>
          <w:tcPr>
            <w:tcW w:w="957" w:type="dxa"/>
            <w:vAlign w:val="center"/>
          </w:tcPr>
          <w:p w14:paraId="35702815" w14:textId="77777777" w:rsidR="009A0A63" w:rsidRPr="00792B36" w:rsidRDefault="009A0A63" w:rsidP="00A24459">
            <w:pPr>
              <w:contextualSpacing/>
              <w:jc w:val="center"/>
              <w:rPr>
                <w:b/>
                <w:bCs/>
                <w:sz w:val="24"/>
                <w:szCs w:val="24"/>
              </w:rPr>
            </w:pPr>
            <w:r w:rsidRPr="00792B36">
              <w:rPr>
                <w:b/>
                <w:bCs/>
                <w:color w:val="000000"/>
                <w:sz w:val="24"/>
                <w:szCs w:val="24"/>
              </w:rPr>
              <w:t>Services</w:t>
            </w:r>
          </w:p>
        </w:tc>
        <w:tc>
          <w:tcPr>
            <w:tcW w:w="900" w:type="dxa"/>
            <w:vAlign w:val="center"/>
          </w:tcPr>
          <w:p w14:paraId="2ABE74E3" w14:textId="77777777" w:rsidR="009A0A63" w:rsidRPr="00792B36" w:rsidRDefault="009A0A63" w:rsidP="00A24459">
            <w:pPr>
              <w:contextualSpacing/>
              <w:jc w:val="center"/>
              <w:rPr>
                <w:b/>
                <w:bCs/>
                <w:sz w:val="24"/>
                <w:szCs w:val="24"/>
              </w:rPr>
            </w:pPr>
            <w:r w:rsidRPr="00792B36">
              <w:rPr>
                <w:b/>
                <w:bCs/>
                <w:sz w:val="24"/>
                <w:szCs w:val="24"/>
              </w:rPr>
              <w:t>GPP</w:t>
            </w:r>
          </w:p>
        </w:tc>
      </w:tr>
      <w:tr w:rsidR="009A0A63" w:rsidRPr="00792B36" w14:paraId="73660902" w14:textId="77777777" w:rsidTr="00A24459">
        <w:trPr>
          <w:trHeight w:val="340"/>
        </w:trPr>
        <w:tc>
          <w:tcPr>
            <w:tcW w:w="617" w:type="dxa"/>
            <w:vAlign w:val="center"/>
          </w:tcPr>
          <w:p w14:paraId="25C1ED36" w14:textId="77777777" w:rsidR="009A0A63" w:rsidRPr="00792B36" w:rsidRDefault="009A0A63" w:rsidP="00A24459">
            <w:pPr>
              <w:contextualSpacing/>
              <w:jc w:val="center"/>
              <w:rPr>
                <w:sz w:val="24"/>
                <w:szCs w:val="24"/>
              </w:rPr>
            </w:pPr>
            <w:r w:rsidRPr="00792B36">
              <w:rPr>
                <w:b/>
                <w:bCs/>
                <w:color w:val="000000"/>
                <w:sz w:val="24"/>
                <w:szCs w:val="24"/>
              </w:rPr>
              <w:t>1995</w:t>
            </w:r>
          </w:p>
        </w:tc>
        <w:tc>
          <w:tcPr>
            <w:tcW w:w="1177" w:type="dxa"/>
            <w:vAlign w:val="center"/>
          </w:tcPr>
          <w:p w14:paraId="1BB5EEA9" w14:textId="77777777" w:rsidR="009A0A63" w:rsidRPr="00792B36" w:rsidRDefault="009A0A63" w:rsidP="00A24459">
            <w:pPr>
              <w:contextualSpacing/>
              <w:jc w:val="center"/>
              <w:rPr>
                <w:sz w:val="24"/>
                <w:szCs w:val="24"/>
              </w:rPr>
            </w:pPr>
            <w:r w:rsidRPr="00792B36">
              <w:rPr>
                <w:color w:val="000000"/>
                <w:sz w:val="24"/>
                <w:szCs w:val="24"/>
              </w:rPr>
              <w:t>674.27</w:t>
            </w:r>
          </w:p>
        </w:tc>
        <w:tc>
          <w:tcPr>
            <w:tcW w:w="1095" w:type="dxa"/>
            <w:vAlign w:val="center"/>
          </w:tcPr>
          <w:p w14:paraId="2D918C28" w14:textId="77777777" w:rsidR="009A0A63" w:rsidRPr="00792B36" w:rsidRDefault="009A0A63" w:rsidP="00A24459">
            <w:pPr>
              <w:contextualSpacing/>
              <w:jc w:val="center"/>
              <w:rPr>
                <w:sz w:val="24"/>
                <w:szCs w:val="24"/>
              </w:rPr>
            </w:pPr>
            <w:r w:rsidRPr="00792B36">
              <w:rPr>
                <w:color w:val="000000"/>
                <w:sz w:val="24"/>
                <w:szCs w:val="24"/>
              </w:rPr>
              <w:t>76.87</w:t>
            </w:r>
          </w:p>
        </w:tc>
        <w:tc>
          <w:tcPr>
            <w:tcW w:w="987" w:type="dxa"/>
            <w:vAlign w:val="center"/>
          </w:tcPr>
          <w:p w14:paraId="43BAAE4D" w14:textId="77777777" w:rsidR="009A0A63" w:rsidRPr="00792B36" w:rsidRDefault="009A0A63" w:rsidP="00A24459">
            <w:pPr>
              <w:contextualSpacing/>
              <w:jc w:val="center"/>
              <w:rPr>
                <w:sz w:val="24"/>
                <w:szCs w:val="24"/>
              </w:rPr>
            </w:pPr>
            <w:r w:rsidRPr="00792B36">
              <w:rPr>
                <w:color w:val="000000"/>
                <w:sz w:val="24"/>
                <w:szCs w:val="24"/>
              </w:rPr>
              <w:t>511.08</w:t>
            </w:r>
          </w:p>
        </w:tc>
        <w:tc>
          <w:tcPr>
            <w:tcW w:w="1080" w:type="dxa"/>
            <w:vAlign w:val="center"/>
          </w:tcPr>
          <w:p w14:paraId="6BBD9CA8" w14:textId="77777777" w:rsidR="009A0A63" w:rsidRPr="00792B36" w:rsidRDefault="009A0A63" w:rsidP="00A24459">
            <w:pPr>
              <w:contextualSpacing/>
              <w:jc w:val="center"/>
              <w:rPr>
                <w:sz w:val="24"/>
                <w:szCs w:val="24"/>
              </w:rPr>
            </w:pPr>
            <w:r w:rsidRPr="00792B36">
              <w:rPr>
                <w:color w:val="000000"/>
                <w:sz w:val="24"/>
                <w:szCs w:val="24"/>
              </w:rPr>
              <w:t>1,260.84</w:t>
            </w:r>
          </w:p>
        </w:tc>
        <w:tc>
          <w:tcPr>
            <w:tcW w:w="1177" w:type="dxa"/>
            <w:vAlign w:val="center"/>
          </w:tcPr>
          <w:p w14:paraId="642FCD51" w14:textId="77777777" w:rsidR="009A0A63" w:rsidRPr="00792B36" w:rsidRDefault="009A0A63" w:rsidP="00A24459">
            <w:pPr>
              <w:contextualSpacing/>
              <w:jc w:val="center"/>
              <w:rPr>
                <w:sz w:val="24"/>
                <w:szCs w:val="24"/>
              </w:rPr>
            </w:pPr>
            <w:r w:rsidRPr="00792B36">
              <w:rPr>
                <w:color w:val="000000"/>
                <w:sz w:val="24"/>
                <w:szCs w:val="24"/>
              </w:rPr>
              <w:t>179.75</w:t>
            </w:r>
          </w:p>
        </w:tc>
        <w:tc>
          <w:tcPr>
            <w:tcW w:w="1027" w:type="dxa"/>
            <w:vAlign w:val="center"/>
          </w:tcPr>
          <w:p w14:paraId="18E49909" w14:textId="77777777" w:rsidR="009A0A63" w:rsidRPr="00792B36" w:rsidRDefault="009A0A63" w:rsidP="00A24459">
            <w:pPr>
              <w:contextualSpacing/>
              <w:jc w:val="center"/>
              <w:rPr>
                <w:sz w:val="24"/>
                <w:szCs w:val="24"/>
              </w:rPr>
            </w:pPr>
            <w:r w:rsidRPr="00792B36">
              <w:rPr>
                <w:color w:val="000000"/>
                <w:sz w:val="24"/>
                <w:szCs w:val="24"/>
              </w:rPr>
              <w:t>59.83</w:t>
            </w:r>
          </w:p>
        </w:tc>
        <w:tc>
          <w:tcPr>
            <w:tcW w:w="957" w:type="dxa"/>
            <w:vAlign w:val="center"/>
          </w:tcPr>
          <w:p w14:paraId="14CFA45F" w14:textId="77777777" w:rsidR="009A0A63" w:rsidRPr="00792B36" w:rsidRDefault="009A0A63" w:rsidP="00A24459">
            <w:pPr>
              <w:contextualSpacing/>
              <w:jc w:val="center"/>
              <w:rPr>
                <w:sz w:val="24"/>
                <w:szCs w:val="24"/>
              </w:rPr>
            </w:pPr>
            <w:r w:rsidRPr="00792B36">
              <w:rPr>
                <w:color w:val="000000"/>
                <w:sz w:val="24"/>
                <w:szCs w:val="24"/>
              </w:rPr>
              <w:t>416.59</w:t>
            </w:r>
          </w:p>
        </w:tc>
        <w:tc>
          <w:tcPr>
            <w:tcW w:w="900" w:type="dxa"/>
            <w:vAlign w:val="center"/>
          </w:tcPr>
          <w:p w14:paraId="7CE18987" w14:textId="77777777" w:rsidR="009A0A63" w:rsidRPr="00792B36" w:rsidRDefault="009A0A63" w:rsidP="00A24459">
            <w:pPr>
              <w:contextualSpacing/>
              <w:jc w:val="center"/>
              <w:rPr>
                <w:sz w:val="24"/>
                <w:szCs w:val="24"/>
              </w:rPr>
            </w:pPr>
            <w:r w:rsidRPr="00792B36">
              <w:rPr>
                <w:color w:val="000000"/>
                <w:sz w:val="24"/>
                <w:szCs w:val="24"/>
              </w:rPr>
              <w:t>659.34</w:t>
            </w:r>
          </w:p>
        </w:tc>
      </w:tr>
      <w:tr w:rsidR="009A0A63" w:rsidRPr="00792B36" w14:paraId="6B9E71FD" w14:textId="77777777" w:rsidTr="00A24459">
        <w:trPr>
          <w:trHeight w:val="340"/>
        </w:trPr>
        <w:tc>
          <w:tcPr>
            <w:tcW w:w="617" w:type="dxa"/>
            <w:vAlign w:val="center"/>
          </w:tcPr>
          <w:p w14:paraId="2C74936E" w14:textId="77777777" w:rsidR="009A0A63" w:rsidRPr="00792B36" w:rsidRDefault="009A0A63" w:rsidP="00A24459">
            <w:pPr>
              <w:contextualSpacing/>
              <w:jc w:val="center"/>
              <w:rPr>
                <w:sz w:val="24"/>
                <w:szCs w:val="24"/>
              </w:rPr>
            </w:pPr>
            <w:r w:rsidRPr="00792B36">
              <w:rPr>
                <w:b/>
                <w:bCs/>
                <w:color w:val="000000"/>
                <w:sz w:val="24"/>
                <w:szCs w:val="24"/>
              </w:rPr>
              <w:t>199</w:t>
            </w:r>
            <w:r w:rsidRPr="00792B36">
              <w:rPr>
                <w:b/>
                <w:bCs/>
                <w:color w:val="000000"/>
                <w:sz w:val="24"/>
                <w:szCs w:val="24"/>
              </w:rPr>
              <w:lastRenderedPageBreak/>
              <w:t>6</w:t>
            </w:r>
          </w:p>
        </w:tc>
        <w:tc>
          <w:tcPr>
            <w:tcW w:w="1177" w:type="dxa"/>
            <w:vAlign w:val="center"/>
          </w:tcPr>
          <w:p w14:paraId="0F48A6A0" w14:textId="77777777" w:rsidR="009A0A63" w:rsidRPr="00792B36" w:rsidRDefault="009A0A63" w:rsidP="00A24459">
            <w:pPr>
              <w:contextualSpacing/>
              <w:jc w:val="center"/>
              <w:rPr>
                <w:sz w:val="24"/>
                <w:szCs w:val="24"/>
              </w:rPr>
            </w:pPr>
            <w:r w:rsidRPr="00792B36">
              <w:rPr>
                <w:color w:val="000000"/>
                <w:sz w:val="24"/>
                <w:szCs w:val="24"/>
              </w:rPr>
              <w:lastRenderedPageBreak/>
              <w:t>642.67</w:t>
            </w:r>
          </w:p>
        </w:tc>
        <w:tc>
          <w:tcPr>
            <w:tcW w:w="1095" w:type="dxa"/>
            <w:vAlign w:val="center"/>
          </w:tcPr>
          <w:p w14:paraId="712CFC6C" w14:textId="77777777" w:rsidR="009A0A63" w:rsidRPr="00792B36" w:rsidRDefault="009A0A63" w:rsidP="00A24459">
            <w:pPr>
              <w:contextualSpacing/>
              <w:jc w:val="center"/>
              <w:rPr>
                <w:sz w:val="24"/>
                <w:szCs w:val="24"/>
              </w:rPr>
            </w:pPr>
            <w:r w:rsidRPr="00792B36">
              <w:rPr>
                <w:color w:val="000000"/>
                <w:sz w:val="24"/>
                <w:szCs w:val="24"/>
              </w:rPr>
              <w:t>78.74</w:t>
            </w:r>
          </w:p>
        </w:tc>
        <w:tc>
          <w:tcPr>
            <w:tcW w:w="987" w:type="dxa"/>
            <w:vAlign w:val="center"/>
          </w:tcPr>
          <w:p w14:paraId="65DCB331" w14:textId="77777777" w:rsidR="009A0A63" w:rsidRPr="00792B36" w:rsidRDefault="009A0A63" w:rsidP="00A24459">
            <w:pPr>
              <w:contextualSpacing/>
              <w:jc w:val="center"/>
              <w:rPr>
                <w:sz w:val="24"/>
                <w:szCs w:val="24"/>
              </w:rPr>
            </w:pPr>
            <w:r w:rsidRPr="00792B36">
              <w:rPr>
                <w:color w:val="000000"/>
                <w:sz w:val="24"/>
                <w:szCs w:val="24"/>
              </w:rPr>
              <w:t>531.12</w:t>
            </w:r>
          </w:p>
        </w:tc>
        <w:tc>
          <w:tcPr>
            <w:tcW w:w="1080" w:type="dxa"/>
            <w:vAlign w:val="center"/>
          </w:tcPr>
          <w:p w14:paraId="5ED357A9" w14:textId="77777777" w:rsidR="009A0A63" w:rsidRPr="00792B36" w:rsidRDefault="009A0A63" w:rsidP="00A24459">
            <w:pPr>
              <w:contextualSpacing/>
              <w:jc w:val="center"/>
              <w:rPr>
                <w:sz w:val="24"/>
                <w:szCs w:val="24"/>
              </w:rPr>
            </w:pPr>
            <w:r w:rsidRPr="00792B36">
              <w:rPr>
                <w:color w:val="000000"/>
                <w:sz w:val="24"/>
                <w:szCs w:val="24"/>
              </w:rPr>
              <w:t>1,253.</w:t>
            </w:r>
            <w:r w:rsidRPr="00792B36">
              <w:rPr>
                <w:color w:val="000000"/>
                <w:sz w:val="24"/>
                <w:szCs w:val="24"/>
              </w:rPr>
              <w:lastRenderedPageBreak/>
              <w:t>56</w:t>
            </w:r>
          </w:p>
        </w:tc>
        <w:tc>
          <w:tcPr>
            <w:tcW w:w="1177" w:type="dxa"/>
            <w:vAlign w:val="center"/>
          </w:tcPr>
          <w:p w14:paraId="6CD6C7B5" w14:textId="77777777" w:rsidR="009A0A63" w:rsidRPr="00792B36" w:rsidRDefault="009A0A63" w:rsidP="00A24459">
            <w:pPr>
              <w:contextualSpacing/>
              <w:jc w:val="center"/>
              <w:rPr>
                <w:sz w:val="24"/>
                <w:szCs w:val="24"/>
              </w:rPr>
            </w:pPr>
            <w:r w:rsidRPr="00792B36">
              <w:rPr>
                <w:color w:val="000000"/>
                <w:sz w:val="24"/>
                <w:szCs w:val="24"/>
              </w:rPr>
              <w:lastRenderedPageBreak/>
              <w:t>199.11</w:t>
            </w:r>
          </w:p>
        </w:tc>
        <w:tc>
          <w:tcPr>
            <w:tcW w:w="1027" w:type="dxa"/>
            <w:vAlign w:val="center"/>
          </w:tcPr>
          <w:p w14:paraId="06B85861" w14:textId="77777777" w:rsidR="009A0A63" w:rsidRPr="00792B36" w:rsidRDefault="009A0A63" w:rsidP="00A24459">
            <w:pPr>
              <w:contextualSpacing/>
              <w:jc w:val="center"/>
              <w:rPr>
                <w:sz w:val="24"/>
                <w:szCs w:val="24"/>
              </w:rPr>
            </w:pPr>
            <w:r w:rsidRPr="00792B36">
              <w:rPr>
                <w:color w:val="000000"/>
                <w:sz w:val="24"/>
                <w:szCs w:val="24"/>
              </w:rPr>
              <w:t>62.99</w:t>
            </w:r>
          </w:p>
        </w:tc>
        <w:tc>
          <w:tcPr>
            <w:tcW w:w="957" w:type="dxa"/>
            <w:vAlign w:val="center"/>
          </w:tcPr>
          <w:p w14:paraId="69232AD2" w14:textId="77777777" w:rsidR="009A0A63" w:rsidRPr="00792B36" w:rsidRDefault="009A0A63" w:rsidP="00A24459">
            <w:pPr>
              <w:contextualSpacing/>
              <w:jc w:val="center"/>
              <w:rPr>
                <w:sz w:val="24"/>
                <w:szCs w:val="24"/>
              </w:rPr>
            </w:pPr>
            <w:r w:rsidRPr="00792B36">
              <w:rPr>
                <w:color w:val="000000"/>
                <w:sz w:val="24"/>
                <w:szCs w:val="24"/>
              </w:rPr>
              <w:t>442.05</w:t>
            </w:r>
          </w:p>
        </w:tc>
        <w:tc>
          <w:tcPr>
            <w:tcW w:w="900" w:type="dxa"/>
            <w:vAlign w:val="center"/>
          </w:tcPr>
          <w:p w14:paraId="052EB33A" w14:textId="77777777" w:rsidR="009A0A63" w:rsidRPr="00792B36" w:rsidRDefault="009A0A63" w:rsidP="00A24459">
            <w:pPr>
              <w:contextualSpacing/>
              <w:jc w:val="center"/>
              <w:rPr>
                <w:sz w:val="24"/>
                <w:szCs w:val="24"/>
              </w:rPr>
            </w:pPr>
            <w:r w:rsidRPr="00792B36">
              <w:rPr>
                <w:color w:val="000000"/>
                <w:sz w:val="24"/>
                <w:szCs w:val="24"/>
              </w:rPr>
              <w:t>708.</w:t>
            </w:r>
            <w:r w:rsidRPr="00792B36">
              <w:rPr>
                <w:color w:val="000000"/>
                <w:sz w:val="24"/>
                <w:szCs w:val="24"/>
              </w:rPr>
              <w:lastRenderedPageBreak/>
              <w:t>99</w:t>
            </w:r>
          </w:p>
        </w:tc>
      </w:tr>
      <w:tr w:rsidR="009A0A63" w:rsidRPr="00792B36" w14:paraId="7B1611A7" w14:textId="77777777" w:rsidTr="00A24459">
        <w:trPr>
          <w:trHeight w:val="340"/>
        </w:trPr>
        <w:tc>
          <w:tcPr>
            <w:tcW w:w="617" w:type="dxa"/>
            <w:vAlign w:val="center"/>
          </w:tcPr>
          <w:p w14:paraId="3887E069" w14:textId="77777777" w:rsidR="009A0A63" w:rsidRPr="00792B36" w:rsidRDefault="009A0A63" w:rsidP="00A24459">
            <w:pPr>
              <w:contextualSpacing/>
              <w:jc w:val="center"/>
              <w:rPr>
                <w:sz w:val="24"/>
                <w:szCs w:val="24"/>
              </w:rPr>
            </w:pPr>
            <w:r w:rsidRPr="00792B36">
              <w:rPr>
                <w:b/>
                <w:bCs/>
                <w:color w:val="000000"/>
                <w:sz w:val="24"/>
                <w:szCs w:val="24"/>
              </w:rPr>
              <w:lastRenderedPageBreak/>
              <w:t>1997</w:t>
            </w:r>
          </w:p>
        </w:tc>
        <w:tc>
          <w:tcPr>
            <w:tcW w:w="1177" w:type="dxa"/>
            <w:vAlign w:val="center"/>
          </w:tcPr>
          <w:p w14:paraId="4FB8EC64" w14:textId="77777777" w:rsidR="009A0A63" w:rsidRPr="00792B36" w:rsidRDefault="009A0A63" w:rsidP="00A24459">
            <w:pPr>
              <w:contextualSpacing/>
              <w:jc w:val="center"/>
              <w:rPr>
                <w:sz w:val="24"/>
                <w:szCs w:val="24"/>
              </w:rPr>
            </w:pPr>
            <w:r w:rsidRPr="00792B36">
              <w:rPr>
                <w:color w:val="000000"/>
                <w:sz w:val="24"/>
                <w:szCs w:val="24"/>
              </w:rPr>
              <w:t>622.93</w:t>
            </w:r>
          </w:p>
        </w:tc>
        <w:tc>
          <w:tcPr>
            <w:tcW w:w="1095" w:type="dxa"/>
            <w:vAlign w:val="center"/>
          </w:tcPr>
          <w:p w14:paraId="0451A6C7" w14:textId="77777777" w:rsidR="009A0A63" w:rsidRPr="00792B36" w:rsidRDefault="009A0A63" w:rsidP="00A24459">
            <w:pPr>
              <w:contextualSpacing/>
              <w:jc w:val="center"/>
              <w:rPr>
                <w:sz w:val="24"/>
                <w:szCs w:val="24"/>
              </w:rPr>
            </w:pPr>
            <w:r w:rsidRPr="00792B36">
              <w:rPr>
                <w:color w:val="000000"/>
                <w:sz w:val="24"/>
                <w:szCs w:val="24"/>
              </w:rPr>
              <w:t>78.81</w:t>
            </w:r>
          </w:p>
        </w:tc>
        <w:tc>
          <w:tcPr>
            <w:tcW w:w="987" w:type="dxa"/>
            <w:vAlign w:val="center"/>
          </w:tcPr>
          <w:p w14:paraId="4B77C9BA" w14:textId="77777777" w:rsidR="009A0A63" w:rsidRPr="00792B36" w:rsidRDefault="009A0A63" w:rsidP="00A24459">
            <w:pPr>
              <w:contextualSpacing/>
              <w:jc w:val="center"/>
              <w:rPr>
                <w:sz w:val="24"/>
                <w:szCs w:val="24"/>
              </w:rPr>
            </w:pPr>
            <w:r w:rsidRPr="00792B36">
              <w:rPr>
                <w:color w:val="000000"/>
                <w:sz w:val="24"/>
                <w:szCs w:val="24"/>
              </w:rPr>
              <w:t>524.04</w:t>
            </w:r>
          </w:p>
        </w:tc>
        <w:tc>
          <w:tcPr>
            <w:tcW w:w="1080" w:type="dxa"/>
            <w:vAlign w:val="center"/>
          </w:tcPr>
          <w:p w14:paraId="4D82CF91" w14:textId="77777777" w:rsidR="009A0A63" w:rsidRPr="00792B36" w:rsidRDefault="009A0A63" w:rsidP="00A24459">
            <w:pPr>
              <w:contextualSpacing/>
              <w:jc w:val="center"/>
              <w:rPr>
                <w:sz w:val="24"/>
                <w:szCs w:val="24"/>
              </w:rPr>
            </w:pPr>
            <w:r w:rsidRPr="00792B36">
              <w:rPr>
                <w:color w:val="000000"/>
                <w:sz w:val="24"/>
                <w:szCs w:val="24"/>
              </w:rPr>
              <w:t>1,227.27</w:t>
            </w:r>
          </w:p>
        </w:tc>
        <w:tc>
          <w:tcPr>
            <w:tcW w:w="1177" w:type="dxa"/>
            <w:vAlign w:val="center"/>
          </w:tcPr>
          <w:p w14:paraId="2E61D634" w14:textId="77777777" w:rsidR="009A0A63" w:rsidRPr="00792B36" w:rsidRDefault="009A0A63" w:rsidP="00A24459">
            <w:pPr>
              <w:contextualSpacing/>
              <w:jc w:val="center"/>
              <w:rPr>
                <w:sz w:val="24"/>
                <w:szCs w:val="24"/>
              </w:rPr>
            </w:pPr>
            <w:r w:rsidRPr="00792B36">
              <w:rPr>
                <w:color w:val="000000"/>
                <w:sz w:val="24"/>
                <w:szCs w:val="24"/>
              </w:rPr>
              <w:t>209.88</w:t>
            </w:r>
          </w:p>
        </w:tc>
        <w:tc>
          <w:tcPr>
            <w:tcW w:w="1027" w:type="dxa"/>
            <w:vAlign w:val="center"/>
          </w:tcPr>
          <w:p w14:paraId="7A634B46" w14:textId="77777777" w:rsidR="009A0A63" w:rsidRPr="00792B36" w:rsidRDefault="009A0A63" w:rsidP="00A24459">
            <w:pPr>
              <w:contextualSpacing/>
              <w:jc w:val="center"/>
              <w:rPr>
                <w:sz w:val="24"/>
                <w:szCs w:val="24"/>
              </w:rPr>
            </w:pPr>
            <w:r w:rsidRPr="00792B36">
              <w:rPr>
                <w:color w:val="000000"/>
                <w:sz w:val="24"/>
                <w:szCs w:val="24"/>
              </w:rPr>
              <w:t>62.56</w:t>
            </w:r>
          </w:p>
        </w:tc>
        <w:tc>
          <w:tcPr>
            <w:tcW w:w="957" w:type="dxa"/>
            <w:vAlign w:val="center"/>
          </w:tcPr>
          <w:p w14:paraId="4E4BBA15" w14:textId="77777777" w:rsidR="009A0A63" w:rsidRPr="00792B36" w:rsidRDefault="009A0A63" w:rsidP="00A24459">
            <w:pPr>
              <w:contextualSpacing/>
              <w:jc w:val="center"/>
              <w:rPr>
                <w:sz w:val="24"/>
                <w:szCs w:val="24"/>
              </w:rPr>
            </w:pPr>
            <w:r w:rsidRPr="00792B36">
              <w:rPr>
                <w:color w:val="000000"/>
                <w:sz w:val="24"/>
                <w:szCs w:val="24"/>
              </w:rPr>
              <w:t>405.52</w:t>
            </w:r>
          </w:p>
        </w:tc>
        <w:tc>
          <w:tcPr>
            <w:tcW w:w="900" w:type="dxa"/>
            <w:vAlign w:val="center"/>
          </w:tcPr>
          <w:p w14:paraId="4A2EA8FF" w14:textId="77777777" w:rsidR="009A0A63" w:rsidRPr="00792B36" w:rsidRDefault="009A0A63" w:rsidP="00A24459">
            <w:pPr>
              <w:contextualSpacing/>
              <w:jc w:val="center"/>
              <w:rPr>
                <w:sz w:val="24"/>
                <w:szCs w:val="24"/>
              </w:rPr>
            </w:pPr>
            <w:r w:rsidRPr="00792B36">
              <w:rPr>
                <w:color w:val="000000"/>
                <w:sz w:val="24"/>
                <w:szCs w:val="24"/>
              </w:rPr>
              <w:t>684.74</w:t>
            </w:r>
          </w:p>
        </w:tc>
      </w:tr>
      <w:tr w:rsidR="009A0A63" w:rsidRPr="00792B36" w14:paraId="3CC7B551" w14:textId="77777777" w:rsidTr="00A24459">
        <w:trPr>
          <w:trHeight w:val="340"/>
        </w:trPr>
        <w:tc>
          <w:tcPr>
            <w:tcW w:w="617" w:type="dxa"/>
            <w:vAlign w:val="center"/>
          </w:tcPr>
          <w:p w14:paraId="18B03DC3" w14:textId="77777777" w:rsidR="009A0A63" w:rsidRPr="00792B36" w:rsidRDefault="009A0A63" w:rsidP="00A24459">
            <w:pPr>
              <w:contextualSpacing/>
              <w:jc w:val="center"/>
              <w:rPr>
                <w:sz w:val="24"/>
                <w:szCs w:val="24"/>
              </w:rPr>
            </w:pPr>
            <w:r w:rsidRPr="00792B36">
              <w:rPr>
                <w:b/>
                <w:bCs/>
                <w:color w:val="000000"/>
                <w:sz w:val="24"/>
                <w:szCs w:val="24"/>
              </w:rPr>
              <w:t>1998</w:t>
            </w:r>
          </w:p>
        </w:tc>
        <w:tc>
          <w:tcPr>
            <w:tcW w:w="1177" w:type="dxa"/>
            <w:vAlign w:val="center"/>
          </w:tcPr>
          <w:p w14:paraId="3C3E32B0" w14:textId="77777777" w:rsidR="009A0A63" w:rsidRPr="00792B36" w:rsidRDefault="009A0A63" w:rsidP="00A24459">
            <w:pPr>
              <w:contextualSpacing/>
              <w:jc w:val="center"/>
              <w:rPr>
                <w:sz w:val="24"/>
                <w:szCs w:val="24"/>
              </w:rPr>
            </w:pPr>
            <w:r w:rsidRPr="00792B36">
              <w:rPr>
                <w:color w:val="000000"/>
                <w:sz w:val="24"/>
                <w:szCs w:val="24"/>
              </w:rPr>
              <w:t>585.56</w:t>
            </w:r>
          </w:p>
        </w:tc>
        <w:tc>
          <w:tcPr>
            <w:tcW w:w="1095" w:type="dxa"/>
            <w:vAlign w:val="center"/>
          </w:tcPr>
          <w:p w14:paraId="392B6367" w14:textId="77777777" w:rsidR="009A0A63" w:rsidRPr="00792B36" w:rsidRDefault="009A0A63" w:rsidP="00A24459">
            <w:pPr>
              <w:contextualSpacing/>
              <w:jc w:val="center"/>
              <w:rPr>
                <w:sz w:val="24"/>
                <w:szCs w:val="24"/>
              </w:rPr>
            </w:pPr>
            <w:r w:rsidRPr="00792B36">
              <w:rPr>
                <w:color w:val="000000"/>
                <w:sz w:val="24"/>
                <w:szCs w:val="24"/>
              </w:rPr>
              <w:t>74.79</w:t>
            </w:r>
          </w:p>
        </w:tc>
        <w:tc>
          <w:tcPr>
            <w:tcW w:w="987" w:type="dxa"/>
            <w:vAlign w:val="center"/>
          </w:tcPr>
          <w:p w14:paraId="50913B9C" w14:textId="77777777" w:rsidR="009A0A63" w:rsidRPr="00792B36" w:rsidRDefault="009A0A63" w:rsidP="00A24459">
            <w:pPr>
              <w:contextualSpacing/>
              <w:jc w:val="center"/>
              <w:rPr>
                <w:sz w:val="24"/>
                <w:szCs w:val="24"/>
              </w:rPr>
            </w:pPr>
            <w:r w:rsidRPr="00792B36">
              <w:rPr>
                <w:color w:val="000000"/>
                <w:sz w:val="24"/>
                <w:szCs w:val="24"/>
              </w:rPr>
              <w:t>510.41</w:t>
            </w:r>
          </w:p>
        </w:tc>
        <w:tc>
          <w:tcPr>
            <w:tcW w:w="1080" w:type="dxa"/>
            <w:vAlign w:val="center"/>
          </w:tcPr>
          <w:p w14:paraId="6EA8BDAA" w14:textId="77777777" w:rsidR="009A0A63" w:rsidRPr="00792B36" w:rsidRDefault="009A0A63" w:rsidP="00A24459">
            <w:pPr>
              <w:contextualSpacing/>
              <w:jc w:val="center"/>
              <w:rPr>
                <w:sz w:val="24"/>
                <w:szCs w:val="24"/>
              </w:rPr>
            </w:pPr>
            <w:r w:rsidRPr="00792B36">
              <w:rPr>
                <w:color w:val="000000"/>
                <w:sz w:val="24"/>
                <w:szCs w:val="24"/>
              </w:rPr>
              <w:t>1,172.66</w:t>
            </w:r>
          </w:p>
        </w:tc>
        <w:tc>
          <w:tcPr>
            <w:tcW w:w="1177" w:type="dxa"/>
            <w:vAlign w:val="center"/>
          </w:tcPr>
          <w:p w14:paraId="5A811579" w14:textId="77777777" w:rsidR="009A0A63" w:rsidRPr="00792B36" w:rsidRDefault="009A0A63" w:rsidP="00A24459">
            <w:pPr>
              <w:contextualSpacing/>
              <w:jc w:val="center"/>
              <w:rPr>
                <w:sz w:val="24"/>
                <w:szCs w:val="24"/>
              </w:rPr>
            </w:pPr>
            <w:r w:rsidRPr="00792B36">
              <w:rPr>
                <w:color w:val="000000"/>
                <w:sz w:val="24"/>
                <w:szCs w:val="24"/>
              </w:rPr>
              <w:t>235.30</w:t>
            </w:r>
          </w:p>
        </w:tc>
        <w:tc>
          <w:tcPr>
            <w:tcW w:w="1027" w:type="dxa"/>
            <w:vAlign w:val="center"/>
          </w:tcPr>
          <w:p w14:paraId="2521A065" w14:textId="77777777" w:rsidR="009A0A63" w:rsidRPr="00792B36" w:rsidRDefault="009A0A63" w:rsidP="00A24459">
            <w:pPr>
              <w:contextualSpacing/>
              <w:jc w:val="center"/>
              <w:rPr>
                <w:sz w:val="24"/>
                <w:szCs w:val="24"/>
              </w:rPr>
            </w:pPr>
            <w:r w:rsidRPr="00792B36">
              <w:rPr>
                <w:color w:val="000000"/>
                <w:sz w:val="24"/>
                <w:szCs w:val="24"/>
              </w:rPr>
              <w:t>62.44</w:t>
            </w:r>
          </w:p>
        </w:tc>
        <w:tc>
          <w:tcPr>
            <w:tcW w:w="957" w:type="dxa"/>
            <w:vAlign w:val="center"/>
          </w:tcPr>
          <w:p w14:paraId="16130994" w14:textId="77777777" w:rsidR="009A0A63" w:rsidRPr="00792B36" w:rsidRDefault="009A0A63" w:rsidP="00A24459">
            <w:pPr>
              <w:contextualSpacing/>
              <w:jc w:val="center"/>
              <w:rPr>
                <w:sz w:val="24"/>
                <w:szCs w:val="24"/>
              </w:rPr>
            </w:pPr>
            <w:r w:rsidRPr="00792B36">
              <w:rPr>
                <w:color w:val="000000"/>
                <w:sz w:val="24"/>
                <w:szCs w:val="24"/>
              </w:rPr>
              <w:t>400.77</w:t>
            </w:r>
          </w:p>
        </w:tc>
        <w:tc>
          <w:tcPr>
            <w:tcW w:w="900" w:type="dxa"/>
            <w:vAlign w:val="center"/>
          </w:tcPr>
          <w:p w14:paraId="73631FCB" w14:textId="77777777" w:rsidR="009A0A63" w:rsidRPr="00792B36" w:rsidRDefault="009A0A63" w:rsidP="00A24459">
            <w:pPr>
              <w:contextualSpacing/>
              <w:jc w:val="center"/>
              <w:rPr>
                <w:sz w:val="24"/>
                <w:szCs w:val="24"/>
              </w:rPr>
            </w:pPr>
            <w:r w:rsidRPr="00792B36">
              <w:rPr>
                <w:color w:val="000000"/>
                <w:sz w:val="24"/>
                <w:szCs w:val="24"/>
              </w:rPr>
              <w:t>703.19</w:t>
            </w:r>
          </w:p>
        </w:tc>
      </w:tr>
      <w:tr w:rsidR="009A0A63" w:rsidRPr="00792B36" w14:paraId="6EEF4319" w14:textId="77777777" w:rsidTr="00A24459">
        <w:trPr>
          <w:trHeight w:val="340"/>
        </w:trPr>
        <w:tc>
          <w:tcPr>
            <w:tcW w:w="617" w:type="dxa"/>
            <w:vAlign w:val="center"/>
          </w:tcPr>
          <w:p w14:paraId="5483C6F5" w14:textId="77777777" w:rsidR="009A0A63" w:rsidRPr="00792B36" w:rsidRDefault="009A0A63" w:rsidP="00A24459">
            <w:pPr>
              <w:contextualSpacing/>
              <w:jc w:val="center"/>
              <w:rPr>
                <w:sz w:val="24"/>
                <w:szCs w:val="24"/>
              </w:rPr>
            </w:pPr>
            <w:r w:rsidRPr="00792B36">
              <w:rPr>
                <w:b/>
                <w:bCs/>
                <w:color w:val="000000"/>
                <w:sz w:val="24"/>
                <w:szCs w:val="24"/>
              </w:rPr>
              <w:t>1999</w:t>
            </w:r>
          </w:p>
        </w:tc>
        <w:tc>
          <w:tcPr>
            <w:tcW w:w="1177" w:type="dxa"/>
            <w:vAlign w:val="center"/>
          </w:tcPr>
          <w:p w14:paraId="5E74795F" w14:textId="77777777" w:rsidR="009A0A63" w:rsidRPr="00792B36" w:rsidRDefault="009A0A63" w:rsidP="00A24459">
            <w:pPr>
              <w:contextualSpacing/>
              <w:jc w:val="center"/>
              <w:rPr>
                <w:sz w:val="24"/>
                <w:szCs w:val="24"/>
              </w:rPr>
            </w:pPr>
            <w:r w:rsidRPr="00792B36">
              <w:rPr>
                <w:color w:val="000000"/>
                <w:sz w:val="24"/>
                <w:szCs w:val="24"/>
              </w:rPr>
              <w:t>583.87</w:t>
            </w:r>
          </w:p>
        </w:tc>
        <w:tc>
          <w:tcPr>
            <w:tcW w:w="1095" w:type="dxa"/>
            <w:vAlign w:val="center"/>
          </w:tcPr>
          <w:p w14:paraId="35611F95" w14:textId="77777777" w:rsidR="009A0A63" w:rsidRPr="00792B36" w:rsidRDefault="009A0A63" w:rsidP="00A24459">
            <w:pPr>
              <w:contextualSpacing/>
              <w:jc w:val="center"/>
              <w:rPr>
                <w:sz w:val="24"/>
                <w:szCs w:val="24"/>
              </w:rPr>
            </w:pPr>
            <w:r w:rsidRPr="00792B36">
              <w:rPr>
                <w:color w:val="000000"/>
                <w:sz w:val="24"/>
                <w:szCs w:val="24"/>
              </w:rPr>
              <w:t>79.15</w:t>
            </w:r>
          </w:p>
        </w:tc>
        <w:tc>
          <w:tcPr>
            <w:tcW w:w="987" w:type="dxa"/>
            <w:vAlign w:val="center"/>
          </w:tcPr>
          <w:p w14:paraId="6A056A72" w14:textId="77777777" w:rsidR="009A0A63" w:rsidRPr="00792B36" w:rsidRDefault="009A0A63" w:rsidP="00A24459">
            <w:pPr>
              <w:contextualSpacing/>
              <w:jc w:val="center"/>
              <w:rPr>
                <w:sz w:val="24"/>
                <w:szCs w:val="24"/>
              </w:rPr>
            </w:pPr>
            <w:r w:rsidRPr="00792B36">
              <w:rPr>
                <w:color w:val="000000"/>
                <w:sz w:val="24"/>
                <w:szCs w:val="24"/>
              </w:rPr>
              <w:t>547.28</w:t>
            </w:r>
          </w:p>
        </w:tc>
        <w:tc>
          <w:tcPr>
            <w:tcW w:w="1080" w:type="dxa"/>
            <w:vAlign w:val="center"/>
          </w:tcPr>
          <w:p w14:paraId="6CD19704" w14:textId="77777777" w:rsidR="009A0A63" w:rsidRPr="00792B36" w:rsidRDefault="009A0A63" w:rsidP="00A24459">
            <w:pPr>
              <w:contextualSpacing/>
              <w:jc w:val="center"/>
              <w:rPr>
                <w:sz w:val="24"/>
                <w:szCs w:val="24"/>
              </w:rPr>
            </w:pPr>
            <w:r w:rsidRPr="00792B36">
              <w:rPr>
                <w:color w:val="000000"/>
                <w:sz w:val="24"/>
                <w:szCs w:val="24"/>
              </w:rPr>
              <w:t>1,212.00</w:t>
            </w:r>
          </w:p>
        </w:tc>
        <w:tc>
          <w:tcPr>
            <w:tcW w:w="1177" w:type="dxa"/>
            <w:vAlign w:val="center"/>
          </w:tcPr>
          <w:p w14:paraId="3F9B5B1B" w14:textId="77777777" w:rsidR="009A0A63" w:rsidRPr="00792B36" w:rsidRDefault="009A0A63" w:rsidP="00A24459">
            <w:pPr>
              <w:contextualSpacing/>
              <w:jc w:val="center"/>
              <w:rPr>
                <w:sz w:val="24"/>
                <w:szCs w:val="24"/>
              </w:rPr>
            </w:pPr>
            <w:r w:rsidRPr="00792B36">
              <w:rPr>
                <w:color w:val="000000"/>
                <w:sz w:val="24"/>
                <w:szCs w:val="24"/>
              </w:rPr>
              <w:t>225.76</w:t>
            </w:r>
          </w:p>
        </w:tc>
        <w:tc>
          <w:tcPr>
            <w:tcW w:w="1027" w:type="dxa"/>
            <w:vAlign w:val="center"/>
          </w:tcPr>
          <w:p w14:paraId="4602EECE" w14:textId="77777777" w:rsidR="009A0A63" w:rsidRPr="00792B36" w:rsidRDefault="009A0A63" w:rsidP="00A24459">
            <w:pPr>
              <w:contextualSpacing/>
              <w:jc w:val="center"/>
              <w:rPr>
                <w:sz w:val="24"/>
                <w:szCs w:val="24"/>
              </w:rPr>
            </w:pPr>
            <w:r w:rsidRPr="00792B36">
              <w:rPr>
                <w:color w:val="000000"/>
                <w:sz w:val="24"/>
                <w:szCs w:val="24"/>
              </w:rPr>
              <w:t>59.24</w:t>
            </w:r>
          </w:p>
        </w:tc>
        <w:tc>
          <w:tcPr>
            <w:tcW w:w="957" w:type="dxa"/>
            <w:vAlign w:val="center"/>
          </w:tcPr>
          <w:p w14:paraId="79902010" w14:textId="77777777" w:rsidR="009A0A63" w:rsidRPr="00792B36" w:rsidRDefault="009A0A63" w:rsidP="00A24459">
            <w:pPr>
              <w:contextualSpacing/>
              <w:jc w:val="center"/>
              <w:rPr>
                <w:sz w:val="24"/>
                <w:szCs w:val="24"/>
              </w:rPr>
            </w:pPr>
            <w:r w:rsidRPr="00792B36">
              <w:rPr>
                <w:color w:val="000000"/>
                <w:sz w:val="24"/>
                <w:szCs w:val="24"/>
              </w:rPr>
              <w:t>409.05</w:t>
            </w:r>
          </w:p>
        </w:tc>
        <w:tc>
          <w:tcPr>
            <w:tcW w:w="900" w:type="dxa"/>
            <w:vAlign w:val="center"/>
          </w:tcPr>
          <w:p w14:paraId="292AEDBD" w14:textId="77777777" w:rsidR="009A0A63" w:rsidRPr="00792B36" w:rsidRDefault="009A0A63" w:rsidP="00A24459">
            <w:pPr>
              <w:contextualSpacing/>
              <w:jc w:val="center"/>
              <w:rPr>
                <w:sz w:val="24"/>
                <w:szCs w:val="24"/>
              </w:rPr>
            </w:pPr>
            <w:r w:rsidRPr="00792B36">
              <w:rPr>
                <w:color w:val="000000"/>
                <w:sz w:val="24"/>
                <w:szCs w:val="24"/>
              </w:rPr>
              <w:t>699.32</w:t>
            </w:r>
          </w:p>
        </w:tc>
      </w:tr>
      <w:tr w:rsidR="009A0A63" w:rsidRPr="00792B36" w14:paraId="2463D924" w14:textId="77777777" w:rsidTr="00A24459">
        <w:trPr>
          <w:trHeight w:val="340"/>
        </w:trPr>
        <w:tc>
          <w:tcPr>
            <w:tcW w:w="617" w:type="dxa"/>
            <w:vAlign w:val="center"/>
          </w:tcPr>
          <w:p w14:paraId="6BEE154F" w14:textId="77777777" w:rsidR="009A0A63" w:rsidRPr="00792B36" w:rsidRDefault="009A0A63" w:rsidP="00A24459">
            <w:pPr>
              <w:contextualSpacing/>
              <w:jc w:val="center"/>
              <w:rPr>
                <w:sz w:val="24"/>
                <w:szCs w:val="24"/>
              </w:rPr>
            </w:pPr>
            <w:r w:rsidRPr="00792B36">
              <w:rPr>
                <w:b/>
                <w:bCs/>
                <w:color w:val="000000"/>
                <w:sz w:val="24"/>
                <w:szCs w:val="24"/>
              </w:rPr>
              <w:t>2000</w:t>
            </w:r>
          </w:p>
        </w:tc>
        <w:tc>
          <w:tcPr>
            <w:tcW w:w="1177" w:type="dxa"/>
            <w:vAlign w:val="center"/>
          </w:tcPr>
          <w:p w14:paraId="27B461E0" w14:textId="77777777" w:rsidR="009A0A63" w:rsidRPr="00792B36" w:rsidRDefault="009A0A63" w:rsidP="00A24459">
            <w:pPr>
              <w:contextualSpacing/>
              <w:jc w:val="center"/>
              <w:rPr>
                <w:sz w:val="24"/>
                <w:szCs w:val="24"/>
              </w:rPr>
            </w:pPr>
            <w:r w:rsidRPr="00792B36">
              <w:rPr>
                <w:color w:val="000000"/>
                <w:sz w:val="24"/>
                <w:szCs w:val="24"/>
              </w:rPr>
              <w:t>600.74</w:t>
            </w:r>
          </w:p>
        </w:tc>
        <w:tc>
          <w:tcPr>
            <w:tcW w:w="1095" w:type="dxa"/>
            <w:vAlign w:val="center"/>
          </w:tcPr>
          <w:p w14:paraId="4E1B90B0" w14:textId="77777777" w:rsidR="009A0A63" w:rsidRPr="00792B36" w:rsidRDefault="009A0A63" w:rsidP="00A24459">
            <w:pPr>
              <w:contextualSpacing/>
              <w:jc w:val="center"/>
              <w:rPr>
                <w:sz w:val="24"/>
                <w:szCs w:val="24"/>
              </w:rPr>
            </w:pPr>
            <w:r w:rsidRPr="00792B36">
              <w:rPr>
                <w:color w:val="000000"/>
                <w:sz w:val="24"/>
                <w:szCs w:val="24"/>
              </w:rPr>
              <w:t>44.00</w:t>
            </w:r>
          </w:p>
        </w:tc>
        <w:tc>
          <w:tcPr>
            <w:tcW w:w="987" w:type="dxa"/>
            <w:vAlign w:val="center"/>
          </w:tcPr>
          <w:p w14:paraId="128A8044" w14:textId="77777777" w:rsidR="009A0A63" w:rsidRPr="00792B36" w:rsidRDefault="009A0A63" w:rsidP="00A24459">
            <w:pPr>
              <w:contextualSpacing/>
              <w:jc w:val="center"/>
              <w:rPr>
                <w:sz w:val="24"/>
                <w:szCs w:val="24"/>
              </w:rPr>
            </w:pPr>
            <w:r w:rsidRPr="00792B36">
              <w:rPr>
                <w:color w:val="000000"/>
                <w:sz w:val="24"/>
                <w:szCs w:val="24"/>
              </w:rPr>
              <w:t>487.59</w:t>
            </w:r>
          </w:p>
        </w:tc>
        <w:tc>
          <w:tcPr>
            <w:tcW w:w="1080" w:type="dxa"/>
            <w:vAlign w:val="center"/>
          </w:tcPr>
          <w:p w14:paraId="66675963" w14:textId="77777777" w:rsidR="009A0A63" w:rsidRPr="00792B36" w:rsidRDefault="009A0A63" w:rsidP="00A24459">
            <w:pPr>
              <w:contextualSpacing/>
              <w:jc w:val="center"/>
              <w:rPr>
                <w:sz w:val="24"/>
                <w:szCs w:val="24"/>
              </w:rPr>
            </w:pPr>
            <w:r w:rsidRPr="00792B36">
              <w:rPr>
                <w:color w:val="000000"/>
                <w:sz w:val="24"/>
                <w:szCs w:val="24"/>
              </w:rPr>
              <w:t>1,133.29</w:t>
            </w:r>
          </w:p>
        </w:tc>
        <w:tc>
          <w:tcPr>
            <w:tcW w:w="1177" w:type="dxa"/>
            <w:vAlign w:val="center"/>
          </w:tcPr>
          <w:p w14:paraId="25DD1D02" w14:textId="77777777" w:rsidR="009A0A63" w:rsidRPr="00792B36" w:rsidRDefault="009A0A63" w:rsidP="00A24459">
            <w:pPr>
              <w:contextualSpacing/>
              <w:jc w:val="center"/>
              <w:rPr>
                <w:sz w:val="24"/>
                <w:szCs w:val="24"/>
              </w:rPr>
            </w:pPr>
            <w:r w:rsidRPr="00792B36">
              <w:rPr>
                <w:color w:val="000000"/>
                <w:sz w:val="24"/>
                <w:szCs w:val="24"/>
              </w:rPr>
              <w:t>202.00</w:t>
            </w:r>
          </w:p>
        </w:tc>
        <w:tc>
          <w:tcPr>
            <w:tcW w:w="1027" w:type="dxa"/>
            <w:vAlign w:val="center"/>
          </w:tcPr>
          <w:p w14:paraId="2EAE9ABD" w14:textId="77777777" w:rsidR="009A0A63" w:rsidRPr="00792B36" w:rsidRDefault="009A0A63" w:rsidP="00A24459">
            <w:pPr>
              <w:contextualSpacing/>
              <w:jc w:val="center"/>
              <w:rPr>
                <w:sz w:val="24"/>
                <w:szCs w:val="24"/>
              </w:rPr>
            </w:pPr>
            <w:r w:rsidRPr="00792B36">
              <w:rPr>
                <w:color w:val="000000"/>
                <w:sz w:val="24"/>
                <w:szCs w:val="24"/>
              </w:rPr>
              <w:t>63.22</w:t>
            </w:r>
          </w:p>
        </w:tc>
        <w:tc>
          <w:tcPr>
            <w:tcW w:w="957" w:type="dxa"/>
            <w:vAlign w:val="center"/>
          </w:tcPr>
          <w:p w14:paraId="7B73034C" w14:textId="77777777" w:rsidR="009A0A63" w:rsidRPr="00792B36" w:rsidRDefault="009A0A63" w:rsidP="00A24459">
            <w:pPr>
              <w:contextualSpacing/>
              <w:jc w:val="center"/>
              <w:rPr>
                <w:sz w:val="24"/>
                <w:szCs w:val="24"/>
              </w:rPr>
            </w:pPr>
            <w:r w:rsidRPr="00792B36">
              <w:rPr>
                <w:color w:val="000000"/>
                <w:sz w:val="24"/>
                <w:szCs w:val="24"/>
              </w:rPr>
              <w:t>348.84</w:t>
            </w:r>
          </w:p>
        </w:tc>
        <w:tc>
          <w:tcPr>
            <w:tcW w:w="900" w:type="dxa"/>
            <w:vAlign w:val="center"/>
          </w:tcPr>
          <w:p w14:paraId="0652751F" w14:textId="77777777" w:rsidR="009A0A63" w:rsidRPr="00792B36" w:rsidRDefault="009A0A63" w:rsidP="00A24459">
            <w:pPr>
              <w:contextualSpacing/>
              <w:jc w:val="center"/>
              <w:rPr>
                <w:sz w:val="24"/>
                <w:szCs w:val="24"/>
              </w:rPr>
            </w:pPr>
            <w:r w:rsidRPr="00792B36">
              <w:rPr>
                <w:color w:val="000000"/>
                <w:sz w:val="24"/>
                <w:szCs w:val="24"/>
              </w:rPr>
              <w:t>616.88</w:t>
            </w:r>
          </w:p>
        </w:tc>
      </w:tr>
      <w:tr w:rsidR="009A0A63" w:rsidRPr="00792B36" w14:paraId="3AE6182E" w14:textId="77777777" w:rsidTr="00A24459">
        <w:trPr>
          <w:trHeight w:val="340"/>
        </w:trPr>
        <w:tc>
          <w:tcPr>
            <w:tcW w:w="617" w:type="dxa"/>
            <w:vAlign w:val="center"/>
          </w:tcPr>
          <w:p w14:paraId="258DFA5E" w14:textId="77777777" w:rsidR="009A0A63" w:rsidRPr="00792B36" w:rsidRDefault="009A0A63" w:rsidP="00A24459">
            <w:pPr>
              <w:contextualSpacing/>
              <w:jc w:val="center"/>
              <w:rPr>
                <w:sz w:val="24"/>
                <w:szCs w:val="24"/>
              </w:rPr>
            </w:pPr>
            <w:r w:rsidRPr="00792B36">
              <w:rPr>
                <w:b/>
                <w:bCs/>
                <w:color w:val="000000"/>
                <w:sz w:val="24"/>
                <w:szCs w:val="24"/>
              </w:rPr>
              <w:t>2001</w:t>
            </w:r>
          </w:p>
        </w:tc>
        <w:tc>
          <w:tcPr>
            <w:tcW w:w="1177" w:type="dxa"/>
            <w:vAlign w:val="center"/>
          </w:tcPr>
          <w:p w14:paraId="52CABC24" w14:textId="77777777" w:rsidR="009A0A63" w:rsidRPr="00792B36" w:rsidRDefault="009A0A63" w:rsidP="00A24459">
            <w:pPr>
              <w:contextualSpacing/>
              <w:jc w:val="center"/>
              <w:rPr>
                <w:sz w:val="24"/>
                <w:szCs w:val="24"/>
              </w:rPr>
            </w:pPr>
            <w:r w:rsidRPr="00792B36">
              <w:rPr>
                <w:color w:val="000000"/>
                <w:sz w:val="24"/>
                <w:szCs w:val="24"/>
              </w:rPr>
              <w:t>556.37</w:t>
            </w:r>
          </w:p>
        </w:tc>
        <w:tc>
          <w:tcPr>
            <w:tcW w:w="1095" w:type="dxa"/>
            <w:vAlign w:val="center"/>
          </w:tcPr>
          <w:p w14:paraId="46A0A2AB" w14:textId="77777777" w:rsidR="009A0A63" w:rsidRPr="00792B36" w:rsidRDefault="009A0A63" w:rsidP="00A24459">
            <w:pPr>
              <w:contextualSpacing/>
              <w:jc w:val="center"/>
              <w:rPr>
                <w:sz w:val="24"/>
                <w:szCs w:val="24"/>
              </w:rPr>
            </w:pPr>
            <w:r w:rsidRPr="00792B36">
              <w:rPr>
                <w:color w:val="000000"/>
                <w:sz w:val="24"/>
                <w:szCs w:val="24"/>
              </w:rPr>
              <w:t>78.14</w:t>
            </w:r>
          </w:p>
        </w:tc>
        <w:tc>
          <w:tcPr>
            <w:tcW w:w="987" w:type="dxa"/>
            <w:vAlign w:val="center"/>
          </w:tcPr>
          <w:p w14:paraId="1B8D620D" w14:textId="77777777" w:rsidR="009A0A63" w:rsidRPr="00792B36" w:rsidRDefault="009A0A63" w:rsidP="00A24459">
            <w:pPr>
              <w:contextualSpacing/>
              <w:jc w:val="center"/>
              <w:rPr>
                <w:sz w:val="24"/>
                <w:szCs w:val="24"/>
              </w:rPr>
            </w:pPr>
            <w:r w:rsidRPr="00792B36">
              <w:rPr>
                <w:color w:val="000000"/>
                <w:sz w:val="24"/>
                <w:szCs w:val="24"/>
              </w:rPr>
              <w:t>464.58</w:t>
            </w:r>
          </w:p>
        </w:tc>
        <w:tc>
          <w:tcPr>
            <w:tcW w:w="1080" w:type="dxa"/>
            <w:vAlign w:val="center"/>
          </w:tcPr>
          <w:p w14:paraId="19F73DBA" w14:textId="77777777" w:rsidR="009A0A63" w:rsidRPr="00792B36" w:rsidRDefault="009A0A63" w:rsidP="00A24459">
            <w:pPr>
              <w:contextualSpacing/>
              <w:jc w:val="center"/>
              <w:rPr>
                <w:sz w:val="24"/>
                <w:szCs w:val="24"/>
              </w:rPr>
            </w:pPr>
            <w:r w:rsidRPr="00792B36">
              <w:rPr>
                <w:color w:val="000000"/>
                <w:sz w:val="24"/>
                <w:szCs w:val="24"/>
              </w:rPr>
              <w:t>1,099.64</w:t>
            </w:r>
          </w:p>
        </w:tc>
        <w:tc>
          <w:tcPr>
            <w:tcW w:w="1177" w:type="dxa"/>
            <w:vAlign w:val="center"/>
          </w:tcPr>
          <w:p w14:paraId="3D07DA78" w14:textId="77777777" w:rsidR="009A0A63" w:rsidRPr="00792B36" w:rsidRDefault="009A0A63" w:rsidP="00A24459">
            <w:pPr>
              <w:contextualSpacing/>
              <w:jc w:val="center"/>
              <w:rPr>
                <w:sz w:val="24"/>
                <w:szCs w:val="24"/>
              </w:rPr>
            </w:pPr>
            <w:r w:rsidRPr="00792B36">
              <w:rPr>
                <w:color w:val="000000"/>
                <w:sz w:val="24"/>
                <w:szCs w:val="24"/>
              </w:rPr>
              <w:t>200.73</w:t>
            </w:r>
          </w:p>
        </w:tc>
        <w:tc>
          <w:tcPr>
            <w:tcW w:w="1027" w:type="dxa"/>
            <w:vAlign w:val="center"/>
          </w:tcPr>
          <w:p w14:paraId="7154F586" w14:textId="77777777" w:rsidR="009A0A63" w:rsidRPr="00792B36" w:rsidRDefault="009A0A63" w:rsidP="00A24459">
            <w:pPr>
              <w:contextualSpacing/>
              <w:jc w:val="center"/>
              <w:rPr>
                <w:sz w:val="24"/>
                <w:szCs w:val="24"/>
              </w:rPr>
            </w:pPr>
            <w:r w:rsidRPr="00792B36">
              <w:rPr>
                <w:color w:val="000000"/>
                <w:sz w:val="24"/>
                <w:szCs w:val="24"/>
              </w:rPr>
              <w:t>59.54</w:t>
            </w:r>
          </w:p>
        </w:tc>
        <w:tc>
          <w:tcPr>
            <w:tcW w:w="957" w:type="dxa"/>
            <w:vAlign w:val="center"/>
          </w:tcPr>
          <w:p w14:paraId="635BFDE7" w14:textId="77777777" w:rsidR="009A0A63" w:rsidRPr="00792B36" w:rsidRDefault="009A0A63" w:rsidP="00A24459">
            <w:pPr>
              <w:contextualSpacing/>
              <w:jc w:val="center"/>
              <w:rPr>
                <w:sz w:val="24"/>
                <w:szCs w:val="24"/>
              </w:rPr>
            </w:pPr>
            <w:r w:rsidRPr="00792B36">
              <w:rPr>
                <w:color w:val="000000"/>
                <w:sz w:val="24"/>
                <w:szCs w:val="24"/>
              </w:rPr>
              <w:t>353.51</w:t>
            </w:r>
          </w:p>
        </w:tc>
        <w:tc>
          <w:tcPr>
            <w:tcW w:w="900" w:type="dxa"/>
            <w:vAlign w:val="center"/>
          </w:tcPr>
          <w:p w14:paraId="5B287A3B" w14:textId="77777777" w:rsidR="009A0A63" w:rsidRPr="00792B36" w:rsidRDefault="009A0A63" w:rsidP="00A24459">
            <w:pPr>
              <w:contextualSpacing/>
              <w:jc w:val="center"/>
              <w:rPr>
                <w:sz w:val="24"/>
                <w:szCs w:val="24"/>
              </w:rPr>
            </w:pPr>
            <w:r w:rsidRPr="00792B36">
              <w:rPr>
                <w:color w:val="000000"/>
                <w:sz w:val="24"/>
                <w:szCs w:val="24"/>
              </w:rPr>
              <w:t>617.11</w:t>
            </w:r>
          </w:p>
        </w:tc>
      </w:tr>
      <w:tr w:rsidR="009A0A63" w:rsidRPr="00792B36" w14:paraId="7CE27F26" w14:textId="77777777" w:rsidTr="00A24459">
        <w:trPr>
          <w:trHeight w:val="340"/>
        </w:trPr>
        <w:tc>
          <w:tcPr>
            <w:tcW w:w="617" w:type="dxa"/>
            <w:vAlign w:val="center"/>
          </w:tcPr>
          <w:p w14:paraId="283A6205" w14:textId="77777777" w:rsidR="009A0A63" w:rsidRPr="00792B36" w:rsidRDefault="009A0A63" w:rsidP="00A24459">
            <w:pPr>
              <w:contextualSpacing/>
              <w:jc w:val="center"/>
              <w:rPr>
                <w:sz w:val="24"/>
                <w:szCs w:val="24"/>
              </w:rPr>
            </w:pPr>
            <w:r w:rsidRPr="00792B36">
              <w:rPr>
                <w:b/>
                <w:bCs/>
                <w:color w:val="000000"/>
                <w:sz w:val="24"/>
                <w:szCs w:val="24"/>
              </w:rPr>
              <w:t>2002</w:t>
            </w:r>
          </w:p>
        </w:tc>
        <w:tc>
          <w:tcPr>
            <w:tcW w:w="1177" w:type="dxa"/>
            <w:vAlign w:val="center"/>
          </w:tcPr>
          <w:p w14:paraId="62CF3454" w14:textId="77777777" w:rsidR="009A0A63" w:rsidRPr="00792B36" w:rsidRDefault="009A0A63" w:rsidP="00A24459">
            <w:pPr>
              <w:contextualSpacing/>
              <w:jc w:val="center"/>
              <w:rPr>
                <w:sz w:val="24"/>
                <w:szCs w:val="24"/>
              </w:rPr>
            </w:pPr>
            <w:r w:rsidRPr="00792B36">
              <w:rPr>
                <w:color w:val="000000"/>
                <w:sz w:val="24"/>
                <w:szCs w:val="24"/>
              </w:rPr>
              <w:t>577.45</w:t>
            </w:r>
          </w:p>
        </w:tc>
        <w:tc>
          <w:tcPr>
            <w:tcW w:w="1095" w:type="dxa"/>
            <w:vAlign w:val="center"/>
          </w:tcPr>
          <w:p w14:paraId="4217648A" w14:textId="77777777" w:rsidR="009A0A63" w:rsidRPr="00792B36" w:rsidRDefault="009A0A63" w:rsidP="00A24459">
            <w:pPr>
              <w:contextualSpacing/>
              <w:jc w:val="center"/>
              <w:rPr>
                <w:sz w:val="24"/>
                <w:szCs w:val="24"/>
              </w:rPr>
            </w:pPr>
            <w:r w:rsidRPr="00792B36">
              <w:rPr>
                <w:color w:val="000000"/>
                <w:sz w:val="24"/>
                <w:szCs w:val="24"/>
              </w:rPr>
              <w:t>74.31</w:t>
            </w:r>
          </w:p>
        </w:tc>
        <w:tc>
          <w:tcPr>
            <w:tcW w:w="987" w:type="dxa"/>
            <w:vAlign w:val="center"/>
          </w:tcPr>
          <w:p w14:paraId="1678DCCD" w14:textId="77777777" w:rsidR="009A0A63" w:rsidRPr="00792B36" w:rsidRDefault="009A0A63" w:rsidP="00A24459">
            <w:pPr>
              <w:contextualSpacing/>
              <w:jc w:val="center"/>
              <w:rPr>
                <w:sz w:val="24"/>
                <w:szCs w:val="24"/>
              </w:rPr>
            </w:pPr>
            <w:r w:rsidRPr="00792B36">
              <w:rPr>
                <w:color w:val="000000"/>
                <w:sz w:val="24"/>
                <w:szCs w:val="24"/>
              </w:rPr>
              <w:t>502.20</w:t>
            </w:r>
          </w:p>
        </w:tc>
        <w:tc>
          <w:tcPr>
            <w:tcW w:w="1080" w:type="dxa"/>
            <w:vAlign w:val="center"/>
          </w:tcPr>
          <w:p w14:paraId="35BB4FB5" w14:textId="77777777" w:rsidR="009A0A63" w:rsidRPr="00792B36" w:rsidRDefault="009A0A63" w:rsidP="00A24459">
            <w:pPr>
              <w:contextualSpacing/>
              <w:jc w:val="center"/>
              <w:rPr>
                <w:sz w:val="24"/>
                <w:szCs w:val="24"/>
              </w:rPr>
            </w:pPr>
            <w:r w:rsidRPr="00792B36">
              <w:rPr>
                <w:color w:val="000000"/>
                <w:sz w:val="24"/>
                <w:szCs w:val="24"/>
              </w:rPr>
              <w:t>1,153.95</w:t>
            </w:r>
          </w:p>
        </w:tc>
        <w:tc>
          <w:tcPr>
            <w:tcW w:w="1177" w:type="dxa"/>
            <w:vAlign w:val="center"/>
          </w:tcPr>
          <w:p w14:paraId="6DEDA52C" w14:textId="77777777" w:rsidR="009A0A63" w:rsidRPr="00792B36" w:rsidRDefault="009A0A63" w:rsidP="00A24459">
            <w:pPr>
              <w:contextualSpacing/>
              <w:jc w:val="center"/>
              <w:rPr>
                <w:sz w:val="24"/>
                <w:szCs w:val="24"/>
              </w:rPr>
            </w:pPr>
            <w:r w:rsidRPr="00792B36">
              <w:rPr>
                <w:color w:val="000000"/>
                <w:sz w:val="24"/>
                <w:szCs w:val="24"/>
              </w:rPr>
              <w:t>230.25</w:t>
            </w:r>
          </w:p>
        </w:tc>
        <w:tc>
          <w:tcPr>
            <w:tcW w:w="1027" w:type="dxa"/>
            <w:vAlign w:val="center"/>
          </w:tcPr>
          <w:p w14:paraId="50E681B1" w14:textId="77777777" w:rsidR="009A0A63" w:rsidRPr="00792B36" w:rsidRDefault="009A0A63" w:rsidP="00A24459">
            <w:pPr>
              <w:contextualSpacing/>
              <w:jc w:val="center"/>
              <w:rPr>
                <w:sz w:val="24"/>
                <w:szCs w:val="24"/>
              </w:rPr>
            </w:pPr>
            <w:r w:rsidRPr="00792B36">
              <w:rPr>
                <w:color w:val="000000"/>
                <w:sz w:val="24"/>
                <w:szCs w:val="24"/>
              </w:rPr>
              <w:t>60.15</w:t>
            </w:r>
          </w:p>
        </w:tc>
        <w:tc>
          <w:tcPr>
            <w:tcW w:w="957" w:type="dxa"/>
            <w:vAlign w:val="center"/>
          </w:tcPr>
          <w:p w14:paraId="360A551E" w14:textId="77777777" w:rsidR="009A0A63" w:rsidRPr="00792B36" w:rsidRDefault="009A0A63" w:rsidP="00A24459">
            <w:pPr>
              <w:contextualSpacing/>
              <w:jc w:val="center"/>
              <w:rPr>
                <w:sz w:val="24"/>
                <w:szCs w:val="24"/>
              </w:rPr>
            </w:pPr>
            <w:r w:rsidRPr="00792B36">
              <w:rPr>
                <w:color w:val="000000"/>
                <w:sz w:val="24"/>
                <w:szCs w:val="24"/>
              </w:rPr>
              <w:t>368.85</w:t>
            </w:r>
          </w:p>
        </w:tc>
        <w:tc>
          <w:tcPr>
            <w:tcW w:w="900" w:type="dxa"/>
            <w:vAlign w:val="center"/>
          </w:tcPr>
          <w:p w14:paraId="4570365E" w14:textId="77777777" w:rsidR="009A0A63" w:rsidRPr="00792B36" w:rsidRDefault="009A0A63" w:rsidP="00A24459">
            <w:pPr>
              <w:contextualSpacing/>
              <w:jc w:val="center"/>
              <w:rPr>
                <w:sz w:val="24"/>
                <w:szCs w:val="24"/>
              </w:rPr>
            </w:pPr>
            <w:r w:rsidRPr="00792B36">
              <w:rPr>
                <w:color w:val="000000"/>
                <w:sz w:val="24"/>
                <w:szCs w:val="24"/>
              </w:rPr>
              <w:t>659.25</w:t>
            </w:r>
          </w:p>
        </w:tc>
      </w:tr>
      <w:tr w:rsidR="009A0A63" w:rsidRPr="00792B36" w14:paraId="79DAB742" w14:textId="77777777" w:rsidTr="00A24459">
        <w:trPr>
          <w:trHeight w:val="340"/>
        </w:trPr>
        <w:tc>
          <w:tcPr>
            <w:tcW w:w="617" w:type="dxa"/>
            <w:vAlign w:val="center"/>
          </w:tcPr>
          <w:p w14:paraId="1834CE31" w14:textId="77777777" w:rsidR="009A0A63" w:rsidRPr="00792B36" w:rsidRDefault="009A0A63" w:rsidP="00A24459">
            <w:pPr>
              <w:contextualSpacing/>
              <w:jc w:val="center"/>
              <w:rPr>
                <w:sz w:val="24"/>
                <w:szCs w:val="24"/>
              </w:rPr>
            </w:pPr>
            <w:r w:rsidRPr="00792B36">
              <w:rPr>
                <w:b/>
                <w:bCs/>
                <w:color w:val="000000"/>
                <w:sz w:val="24"/>
                <w:szCs w:val="24"/>
              </w:rPr>
              <w:t>2003</w:t>
            </w:r>
          </w:p>
        </w:tc>
        <w:tc>
          <w:tcPr>
            <w:tcW w:w="1177" w:type="dxa"/>
            <w:vAlign w:val="center"/>
          </w:tcPr>
          <w:p w14:paraId="3CD6EB2B" w14:textId="77777777" w:rsidR="009A0A63" w:rsidRPr="00792B36" w:rsidRDefault="009A0A63" w:rsidP="00A24459">
            <w:pPr>
              <w:contextualSpacing/>
              <w:jc w:val="center"/>
              <w:rPr>
                <w:sz w:val="24"/>
                <w:szCs w:val="24"/>
              </w:rPr>
            </w:pPr>
            <w:r w:rsidRPr="00792B36">
              <w:rPr>
                <w:color w:val="000000"/>
                <w:sz w:val="24"/>
                <w:szCs w:val="24"/>
              </w:rPr>
              <w:t>550.10</w:t>
            </w:r>
          </w:p>
        </w:tc>
        <w:tc>
          <w:tcPr>
            <w:tcW w:w="1095" w:type="dxa"/>
            <w:vAlign w:val="center"/>
          </w:tcPr>
          <w:p w14:paraId="1C08A165" w14:textId="77777777" w:rsidR="009A0A63" w:rsidRPr="00792B36" w:rsidRDefault="009A0A63" w:rsidP="00A24459">
            <w:pPr>
              <w:contextualSpacing/>
              <w:jc w:val="center"/>
              <w:rPr>
                <w:sz w:val="24"/>
                <w:szCs w:val="24"/>
              </w:rPr>
            </w:pPr>
            <w:r w:rsidRPr="00792B36">
              <w:rPr>
                <w:color w:val="000000"/>
                <w:sz w:val="24"/>
                <w:szCs w:val="24"/>
              </w:rPr>
              <w:t>72.62</w:t>
            </w:r>
          </w:p>
        </w:tc>
        <w:tc>
          <w:tcPr>
            <w:tcW w:w="987" w:type="dxa"/>
            <w:vAlign w:val="center"/>
          </w:tcPr>
          <w:p w14:paraId="12247231" w14:textId="77777777" w:rsidR="009A0A63" w:rsidRPr="00792B36" w:rsidRDefault="009A0A63" w:rsidP="00A24459">
            <w:pPr>
              <w:contextualSpacing/>
              <w:jc w:val="center"/>
              <w:rPr>
                <w:sz w:val="24"/>
                <w:szCs w:val="24"/>
              </w:rPr>
            </w:pPr>
            <w:r w:rsidRPr="00792B36">
              <w:rPr>
                <w:color w:val="000000"/>
                <w:sz w:val="24"/>
                <w:szCs w:val="24"/>
              </w:rPr>
              <w:t>493.82</w:t>
            </w:r>
          </w:p>
        </w:tc>
        <w:tc>
          <w:tcPr>
            <w:tcW w:w="1080" w:type="dxa"/>
            <w:vAlign w:val="center"/>
          </w:tcPr>
          <w:p w14:paraId="1B3D74C1" w14:textId="77777777" w:rsidR="009A0A63" w:rsidRPr="00792B36" w:rsidRDefault="009A0A63" w:rsidP="00A24459">
            <w:pPr>
              <w:contextualSpacing/>
              <w:jc w:val="center"/>
              <w:rPr>
                <w:sz w:val="24"/>
                <w:szCs w:val="24"/>
              </w:rPr>
            </w:pPr>
            <w:r w:rsidRPr="00792B36">
              <w:rPr>
                <w:color w:val="000000"/>
                <w:sz w:val="24"/>
                <w:szCs w:val="24"/>
              </w:rPr>
              <w:t>1,116.54</w:t>
            </w:r>
          </w:p>
        </w:tc>
        <w:tc>
          <w:tcPr>
            <w:tcW w:w="1177" w:type="dxa"/>
            <w:vAlign w:val="center"/>
          </w:tcPr>
          <w:p w14:paraId="1FB4D75F" w14:textId="77777777" w:rsidR="009A0A63" w:rsidRPr="00792B36" w:rsidRDefault="009A0A63" w:rsidP="00A24459">
            <w:pPr>
              <w:contextualSpacing/>
              <w:jc w:val="center"/>
              <w:rPr>
                <w:sz w:val="24"/>
                <w:szCs w:val="24"/>
              </w:rPr>
            </w:pPr>
            <w:r w:rsidRPr="00792B36">
              <w:rPr>
                <w:color w:val="000000"/>
                <w:sz w:val="24"/>
                <w:szCs w:val="24"/>
              </w:rPr>
              <w:t>321.49</w:t>
            </w:r>
          </w:p>
        </w:tc>
        <w:tc>
          <w:tcPr>
            <w:tcW w:w="1027" w:type="dxa"/>
            <w:vAlign w:val="center"/>
          </w:tcPr>
          <w:p w14:paraId="77B72762" w14:textId="77777777" w:rsidR="009A0A63" w:rsidRPr="00792B36" w:rsidRDefault="009A0A63" w:rsidP="00A24459">
            <w:pPr>
              <w:contextualSpacing/>
              <w:jc w:val="center"/>
              <w:rPr>
                <w:sz w:val="24"/>
                <w:szCs w:val="24"/>
              </w:rPr>
            </w:pPr>
            <w:r w:rsidRPr="00792B36">
              <w:rPr>
                <w:color w:val="000000"/>
                <w:sz w:val="24"/>
                <w:szCs w:val="24"/>
              </w:rPr>
              <w:t>57.94</w:t>
            </w:r>
          </w:p>
        </w:tc>
        <w:tc>
          <w:tcPr>
            <w:tcW w:w="957" w:type="dxa"/>
            <w:vAlign w:val="center"/>
          </w:tcPr>
          <w:p w14:paraId="486ECC91" w14:textId="77777777" w:rsidR="009A0A63" w:rsidRPr="00792B36" w:rsidRDefault="009A0A63" w:rsidP="00A24459">
            <w:pPr>
              <w:contextualSpacing/>
              <w:jc w:val="center"/>
              <w:rPr>
                <w:sz w:val="24"/>
                <w:szCs w:val="24"/>
              </w:rPr>
            </w:pPr>
            <w:r w:rsidRPr="00792B36">
              <w:rPr>
                <w:color w:val="000000"/>
                <w:sz w:val="24"/>
                <w:szCs w:val="24"/>
              </w:rPr>
              <w:t>402.27</w:t>
            </w:r>
          </w:p>
        </w:tc>
        <w:tc>
          <w:tcPr>
            <w:tcW w:w="900" w:type="dxa"/>
            <w:vAlign w:val="center"/>
          </w:tcPr>
          <w:p w14:paraId="5DAABB27" w14:textId="77777777" w:rsidR="009A0A63" w:rsidRPr="00792B36" w:rsidRDefault="009A0A63" w:rsidP="00A24459">
            <w:pPr>
              <w:contextualSpacing/>
              <w:jc w:val="center"/>
              <w:rPr>
                <w:sz w:val="24"/>
                <w:szCs w:val="24"/>
              </w:rPr>
            </w:pPr>
            <w:r w:rsidRPr="00792B36">
              <w:rPr>
                <w:color w:val="000000"/>
                <w:sz w:val="24"/>
                <w:szCs w:val="24"/>
              </w:rPr>
              <w:t>781.70</w:t>
            </w:r>
          </w:p>
        </w:tc>
      </w:tr>
      <w:tr w:rsidR="009A0A63" w:rsidRPr="00792B36" w14:paraId="6CC79D06" w14:textId="77777777" w:rsidTr="00A24459">
        <w:trPr>
          <w:trHeight w:val="340"/>
        </w:trPr>
        <w:tc>
          <w:tcPr>
            <w:tcW w:w="617" w:type="dxa"/>
            <w:vAlign w:val="center"/>
          </w:tcPr>
          <w:p w14:paraId="56B554FD" w14:textId="77777777" w:rsidR="009A0A63" w:rsidRPr="00792B36" w:rsidRDefault="009A0A63" w:rsidP="00A24459">
            <w:pPr>
              <w:contextualSpacing/>
              <w:jc w:val="center"/>
              <w:rPr>
                <w:sz w:val="24"/>
                <w:szCs w:val="24"/>
              </w:rPr>
            </w:pPr>
            <w:r w:rsidRPr="00792B36">
              <w:rPr>
                <w:b/>
                <w:bCs/>
                <w:color w:val="000000"/>
                <w:sz w:val="24"/>
                <w:szCs w:val="24"/>
              </w:rPr>
              <w:t>2004</w:t>
            </w:r>
          </w:p>
        </w:tc>
        <w:tc>
          <w:tcPr>
            <w:tcW w:w="1177" w:type="dxa"/>
            <w:vAlign w:val="center"/>
          </w:tcPr>
          <w:p w14:paraId="058A4B0D" w14:textId="77777777" w:rsidR="009A0A63" w:rsidRPr="00792B36" w:rsidRDefault="009A0A63" w:rsidP="00A24459">
            <w:pPr>
              <w:contextualSpacing/>
              <w:jc w:val="center"/>
              <w:rPr>
                <w:sz w:val="24"/>
                <w:szCs w:val="24"/>
              </w:rPr>
            </w:pPr>
            <w:r w:rsidRPr="00792B36">
              <w:rPr>
                <w:color w:val="000000"/>
                <w:sz w:val="24"/>
                <w:szCs w:val="24"/>
              </w:rPr>
              <w:t>526.72</w:t>
            </w:r>
          </w:p>
        </w:tc>
        <w:tc>
          <w:tcPr>
            <w:tcW w:w="1095" w:type="dxa"/>
            <w:vAlign w:val="center"/>
          </w:tcPr>
          <w:p w14:paraId="256DDCBC" w14:textId="77777777" w:rsidR="009A0A63" w:rsidRPr="00792B36" w:rsidRDefault="009A0A63" w:rsidP="00A24459">
            <w:pPr>
              <w:contextualSpacing/>
              <w:jc w:val="center"/>
              <w:rPr>
                <w:sz w:val="24"/>
                <w:szCs w:val="24"/>
              </w:rPr>
            </w:pPr>
            <w:r w:rsidRPr="00792B36">
              <w:rPr>
                <w:color w:val="000000"/>
                <w:sz w:val="24"/>
                <w:szCs w:val="24"/>
              </w:rPr>
              <w:t>106.73</w:t>
            </w:r>
          </w:p>
        </w:tc>
        <w:tc>
          <w:tcPr>
            <w:tcW w:w="987" w:type="dxa"/>
            <w:vAlign w:val="center"/>
          </w:tcPr>
          <w:p w14:paraId="02B9D5D1" w14:textId="77777777" w:rsidR="009A0A63" w:rsidRPr="00792B36" w:rsidRDefault="009A0A63" w:rsidP="00A24459">
            <w:pPr>
              <w:contextualSpacing/>
              <w:jc w:val="center"/>
              <w:rPr>
                <w:sz w:val="24"/>
                <w:szCs w:val="24"/>
              </w:rPr>
            </w:pPr>
            <w:r w:rsidRPr="00792B36">
              <w:rPr>
                <w:color w:val="000000"/>
                <w:sz w:val="24"/>
                <w:szCs w:val="24"/>
              </w:rPr>
              <w:t>525.22</w:t>
            </w:r>
          </w:p>
        </w:tc>
        <w:tc>
          <w:tcPr>
            <w:tcW w:w="1080" w:type="dxa"/>
            <w:vAlign w:val="center"/>
          </w:tcPr>
          <w:p w14:paraId="2E4C6B46" w14:textId="77777777" w:rsidR="009A0A63" w:rsidRPr="00792B36" w:rsidRDefault="009A0A63" w:rsidP="00A24459">
            <w:pPr>
              <w:contextualSpacing/>
              <w:jc w:val="center"/>
              <w:rPr>
                <w:sz w:val="24"/>
                <w:szCs w:val="24"/>
              </w:rPr>
            </w:pPr>
            <w:r w:rsidRPr="00792B36">
              <w:rPr>
                <w:color w:val="000000"/>
                <w:sz w:val="24"/>
                <w:szCs w:val="24"/>
              </w:rPr>
              <w:t>1,160.70</w:t>
            </w:r>
          </w:p>
        </w:tc>
        <w:tc>
          <w:tcPr>
            <w:tcW w:w="1177" w:type="dxa"/>
            <w:vAlign w:val="center"/>
          </w:tcPr>
          <w:p w14:paraId="44BC26B0" w14:textId="77777777" w:rsidR="009A0A63" w:rsidRPr="00792B36" w:rsidRDefault="009A0A63" w:rsidP="00A24459">
            <w:pPr>
              <w:contextualSpacing/>
              <w:jc w:val="center"/>
              <w:rPr>
                <w:sz w:val="24"/>
                <w:szCs w:val="24"/>
              </w:rPr>
            </w:pPr>
            <w:r w:rsidRPr="00792B36">
              <w:rPr>
                <w:color w:val="000000"/>
                <w:sz w:val="24"/>
                <w:szCs w:val="24"/>
              </w:rPr>
              <w:t>311.13</w:t>
            </w:r>
          </w:p>
        </w:tc>
        <w:tc>
          <w:tcPr>
            <w:tcW w:w="1027" w:type="dxa"/>
            <w:vAlign w:val="center"/>
          </w:tcPr>
          <w:p w14:paraId="0124F8A5" w14:textId="77777777" w:rsidR="009A0A63" w:rsidRPr="00792B36" w:rsidRDefault="009A0A63" w:rsidP="00A24459">
            <w:pPr>
              <w:contextualSpacing/>
              <w:jc w:val="center"/>
              <w:rPr>
                <w:sz w:val="24"/>
                <w:szCs w:val="24"/>
              </w:rPr>
            </w:pPr>
            <w:r w:rsidRPr="00792B36">
              <w:rPr>
                <w:color w:val="000000"/>
                <w:sz w:val="24"/>
                <w:szCs w:val="24"/>
              </w:rPr>
              <w:t>54.54</w:t>
            </w:r>
          </w:p>
        </w:tc>
        <w:tc>
          <w:tcPr>
            <w:tcW w:w="957" w:type="dxa"/>
            <w:vAlign w:val="center"/>
          </w:tcPr>
          <w:p w14:paraId="02638918" w14:textId="77777777" w:rsidR="009A0A63" w:rsidRPr="00792B36" w:rsidRDefault="009A0A63" w:rsidP="00A24459">
            <w:pPr>
              <w:contextualSpacing/>
              <w:jc w:val="center"/>
              <w:rPr>
                <w:sz w:val="24"/>
                <w:szCs w:val="24"/>
              </w:rPr>
            </w:pPr>
            <w:r w:rsidRPr="00792B36">
              <w:rPr>
                <w:color w:val="000000"/>
                <w:sz w:val="24"/>
                <w:szCs w:val="24"/>
              </w:rPr>
              <w:t>431.33</w:t>
            </w:r>
          </w:p>
        </w:tc>
        <w:tc>
          <w:tcPr>
            <w:tcW w:w="900" w:type="dxa"/>
            <w:vAlign w:val="center"/>
          </w:tcPr>
          <w:p w14:paraId="3F8F0535" w14:textId="77777777" w:rsidR="009A0A63" w:rsidRPr="00792B36" w:rsidRDefault="009A0A63" w:rsidP="00A24459">
            <w:pPr>
              <w:contextualSpacing/>
              <w:jc w:val="center"/>
              <w:rPr>
                <w:sz w:val="24"/>
                <w:szCs w:val="24"/>
              </w:rPr>
            </w:pPr>
            <w:r w:rsidRPr="00792B36">
              <w:rPr>
                <w:color w:val="000000"/>
                <w:sz w:val="24"/>
                <w:szCs w:val="24"/>
              </w:rPr>
              <w:t>793.71</w:t>
            </w:r>
          </w:p>
        </w:tc>
      </w:tr>
      <w:tr w:rsidR="009A0A63" w:rsidRPr="00792B36" w14:paraId="0892F1C1" w14:textId="77777777" w:rsidTr="00A24459">
        <w:trPr>
          <w:trHeight w:val="340"/>
        </w:trPr>
        <w:tc>
          <w:tcPr>
            <w:tcW w:w="617" w:type="dxa"/>
            <w:vAlign w:val="center"/>
          </w:tcPr>
          <w:p w14:paraId="40DFEDCF" w14:textId="77777777" w:rsidR="009A0A63" w:rsidRPr="00792B36" w:rsidRDefault="009A0A63" w:rsidP="00A24459">
            <w:pPr>
              <w:contextualSpacing/>
              <w:jc w:val="center"/>
              <w:rPr>
                <w:sz w:val="24"/>
                <w:szCs w:val="24"/>
              </w:rPr>
            </w:pPr>
            <w:r w:rsidRPr="00792B36">
              <w:rPr>
                <w:b/>
                <w:bCs/>
                <w:color w:val="000000"/>
                <w:sz w:val="24"/>
                <w:szCs w:val="24"/>
              </w:rPr>
              <w:t>2005</w:t>
            </w:r>
          </w:p>
        </w:tc>
        <w:tc>
          <w:tcPr>
            <w:tcW w:w="1177" w:type="dxa"/>
            <w:vAlign w:val="center"/>
          </w:tcPr>
          <w:p w14:paraId="69B2F6FD" w14:textId="77777777" w:rsidR="009A0A63" w:rsidRPr="00792B36" w:rsidRDefault="009A0A63" w:rsidP="00A24459">
            <w:pPr>
              <w:contextualSpacing/>
              <w:jc w:val="center"/>
              <w:rPr>
                <w:sz w:val="24"/>
                <w:szCs w:val="24"/>
              </w:rPr>
            </w:pPr>
            <w:r w:rsidRPr="00792B36">
              <w:rPr>
                <w:color w:val="000000"/>
                <w:sz w:val="24"/>
                <w:szCs w:val="24"/>
              </w:rPr>
              <w:t>554.32</w:t>
            </w:r>
          </w:p>
        </w:tc>
        <w:tc>
          <w:tcPr>
            <w:tcW w:w="1095" w:type="dxa"/>
            <w:vAlign w:val="center"/>
          </w:tcPr>
          <w:p w14:paraId="11BA2B1E" w14:textId="77777777" w:rsidR="009A0A63" w:rsidRPr="00792B36" w:rsidRDefault="009A0A63" w:rsidP="00A24459">
            <w:pPr>
              <w:contextualSpacing/>
              <w:jc w:val="center"/>
              <w:rPr>
                <w:sz w:val="24"/>
                <w:szCs w:val="24"/>
              </w:rPr>
            </w:pPr>
            <w:r w:rsidRPr="00792B36">
              <w:rPr>
                <w:color w:val="000000"/>
                <w:sz w:val="24"/>
                <w:szCs w:val="24"/>
              </w:rPr>
              <w:t>116.62</w:t>
            </w:r>
          </w:p>
        </w:tc>
        <w:tc>
          <w:tcPr>
            <w:tcW w:w="987" w:type="dxa"/>
            <w:vAlign w:val="center"/>
          </w:tcPr>
          <w:p w14:paraId="2E14E442" w14:textId="77777777" w:rsidR="009A0A63" w:rsidRPr="00792B36" w:rsidRDefault="009A0A63" w:rsidP="00A24459">
            <w:pPr>
              <w:contextualSpacing/>
              <w:jc w:val="center"/>
              <w:rPr>
                <w:sz w:val="24"/>
                <w:szCs w:val="24"/>
              </w:rPr>
            </w:pPr>
            <w:r w:rsidRPr="00792B36">
              <w:rPr>
                <w:color w:val="000000"/>
                <w:sz w:val="24"/>
                <w:szCs w:val="24"/>
              </w:rPr>
              <w:t>515.20</w:t>
            </w:r>
          </w:p>
        </w:tc>
        <w:tc>
          <w:tcPr>
            <w:tcW w:w="1080" w:type="dxa"/>
            <w:vAlign w:val="center"/>
          </w:tcPr>
          <w:p w14:paraId="728580F4" w14:textId="77777777" w:rsidR="009A0A63" w:rsidRPr="00792B36" w:rsidRDefault="009A0A63" w:rsidP="00A24459">
            <w:pPr>
              <w:contextualSpacing/>
              <w:jc w:val="center"/>
              <w:rPr>
                <w:sz w:val="24"/>
                <w:szCs w:val="24"/>
              </w:rPr>
            </w:pPr>
            <w:r w:rsidRPr="00792B36">
              <w:rPr>
                <w:color w:val="000000"/>
                <w:sz w:val="24"/>
                <w:szCs w:val="24"/>
              </w:rPr>
              <w:t>1,185.78</w:t>
            </w:r>
          </w:p>
        </w:tc>
        <w:tc>
          <w:tcPr>
            <w:tcW w:w="1177" w:type="dxa"/>
            <w:vAlign w:val="center"/>
          </w:tcPr>
          <w:p w14:paraId="06B10DB3" w14:textId="77777777" w:rsidR="009A0A63" w:rsidRPr="00792B36" w:rsidRDefault="009A0A63" w:rsidP="00A24459">
            <w:pPr>
              <w:contextualSpacing/>
              <w:jc w:val="center"/>
              <w:rPr>
                <w:sz w:val="24"/>
                <w:szCs w:val="24"/>
              </w:rPr>
            </w:pPr>
            <w:r w:rsidRPr="00792B36">
              <w:rPr>
                <w:color w:val="000000"/>
                <w:sz w:val="24"/>
                <w:szCs w:val="24"/>
              </w:rPr>
              <w:t>312.15</w:t>
            </w:r>
          </w:p>
        </w:tc>
        <w:tc>
          <w:tcPr>
            <w:tcW w:w="1027" w:type="dxa"/>
            <w:vAlign w:val="center"/>
          </w:tcPr>
          <w:p w14:paraId="516745A5" w14:textId="77777777" w:rsidR="009A0A63" w:rsidRPr="00792B36" w:rsidRDefault="009A0A63" w:rsidP="00A24459">
            <w:pPr>
              <w:contextualSpacing/>
              <w:jc w:val="center"/>
              <w:rPr>
                <w:sz w:val="24"/>
                <w:szCs w:val="24"/>
              </w:rPr>
            </w:pPr>
            <w:r w:rsidRPr="00792B36">
              <w:rPr>
                <w:color w:val="000000"/>
                <w:sz w:val="24"/>
                <w:szCs w:val="24"/>
              </w:rPr>
              <w:t>54.36</w:t>
            </w:r>
          </w:p>
        </w:tc>
        <w:tc>
          <w:tcPr>
            <w:tcW w:w="957" w:type="dxa"/>
            <w:vAlign w:val="center"/>
          </w:tcPr>
          <w:p w14:paraId="01E7BEEF" w14:textId="77777777" w:rsidR="009A0A63" w:rsidRPr="00792B36" w:rsidRDefault="009A0A63" w:rsidP="00A24459">
            <w:pPr>
              <w:contextualSpacing/>
              <w:jc w:val="center"/>
              <w:rPr>
                <w:sz w:val="24"/>
                <w:szCs w:val="24"/>
              </w:rPr>
            </w:pPr>
            <w:r w:rsidRPr="00792B36">
              <w:rPr>
                <w:color w:val="000000"/>
                <w:sz w:val="24"/>
                <w:szCs w:val="24"/>
              </w:rPr>
              <w:t>448.74</w:t>
            </w:r>
          </w:p>
        </w:tc>
        <w:tc>
          <w:tcPr>
            <w:tcW w:w="900" w:type="dxa"/>
            <w:vAlign w:val="center"/>
          </w:tcPr>
          <w:p w14:paraId="32949132" w14:textId="77777777" w:rsidR="009A0A63" w:rsidRPr="00792B36" w:rsidRDefault="009A0A63" w:rsidP="00A24459">
            <w:pPr>
              <w:contextualSpacing/>
              <w:jc w:val="center"/>
              <w:rPr>
                <w:sz w:val="24"/>
                <w:szCs w:val="24"/>
              </w:rPr>
            </w:pPr>
            <w:r w:rsidRPr="00792B36">
              <w:rPr>
                <w:color w:val="000000"/>
                <w:sz w:val="24"/>
                <w:szCs w:val="24"/>
              </w:rPr>
              <w:t>810.06</w:t>
            </w:r>
          </w:p>
        </w:tc>
      </w:tr>
      <w:tr w:rsidR="009A0A63" w:rsidRPr="00792B36" w14:paraId="0CB86987" w14:textId="77777777" w:rsidTr="00A24459">
        <w:trPr>
          <w:trHeight w:val="340"/>
        </w:trPr>
        <w:tc>
          <w:tcPr>
            <w:tcW w:w="617" w:type="dxa"/>
            <w:vAlign w:val="center"/>
          </w:tcPr>
          <w:p w14:paraId="08512147" w14:textId="77777777" w:rsidR="009A0A63" w:rsidRPr="00792B36" w:rsidRDefault="009A0A63" w:rsidP="00A24459">
            <w:pPr>
              <w:contextualSpacing/>
              <w:jc w:val="center"/>
              <w:rPr>
                <w:sz w:val="24"/>
                <w:szCs w:val="24"/>
              </w:rPr>
            </w:pPr>
            <w:r w:rsidRPr="00792B36">
              <w:rPr>
                <w:b/>
                <w:bCs/>
                <w:color w:val="000000"/>
                <w:sz w:val="24"/>
                <w:szCs w:val="24"/>
              </w:rPr>
              <w:t>2006</w:t>
            </w:r>
          </w:p>
        </w:tc>
        <w:tc>
          <w:tcPr>
            <w:tcW w:w="1177" w:type="dxa"/>
            <w:vAlign w:val="center"/>
          </w:tcPr>
          <w:p w14:paraId="2B76620F" w14:textId="77777777" w:rsidR="009A0A63" w:rsidRPr="00792B36" w:rsidRDefault="009A0A63" w:rsidP="00A24459">
            <w:pPr>
              <w:contextualSpacing/>
              <w:jc w:val="center"/>
              <w:rPr>
                <w:sz w:val="24"/>
                <w:szCs w:val="24"/>
              </w:rPr>
            </w:pPr>
            <w:r w:rsidRPr="00792B36">
              <w:rPr>
                <w:color w:val="000000"/>
                <w:sz w:val="24"/>
                <w:szCs w:val="24"/>
              </w:rPr>
              <w:t>576.98</w:t>
            </w:r>
          </w:p>
        </w:tc>
        <w:tc>
          <w:tcPr>
            <w:tcW w:w="1095" w:type="dxa"/>
            <w:vAlign w:val="center"/>
          </w:tcPr>
          <w:p w14:paraId="779C94F0" w14:textId="77777777" w:rsidR="009A0A63" w:rsidRPr="00792B36" w:rsidRDefault="009A0A63" w:rsidP="00A24459">
            <w:pPr>
              <w:contextualSpacing/>
              <w:jc w:val="center"/>
              <w:rPr>
                <w:sz w:val="24"/>
                <w:szCs w:val="24"/>
              </w:rPr>
            </w:pPr>
            <w:r w:rsidRPr="00792B36">
              <w:rPr>
                <w:color w:val="000000"/>
                <w:sz w:val="24"/>
                <w:szCs w:val="24"/>
              </w:rPr>
              <w:t>121.83</w:t>
            </w:r>
          </w:p>
        </w:tc>
        <w:tc>
          <w:tcPr>
            <w:tcW w:w="987" w:type="dxa"/>
            <w:vAlign w:val="center"/>
          </w:tcPr>
          <w:p w14:paraId="4D0AC3EE" w14:textId="77777777" w:rsidR="009A0A63" w:rsidRPr="00792B36" w:rsidRDefault="009A0A63" w:rsidP="00A24459">
            <w:pPr>
              <w:contextualSpacing/>
              <w:jc w:val="center"/>
              <w:rPr>
                <w:sz w:val="24"/>
                <w:szCs w:val="24"/>
              </w:rPr>
            </w:pPr>
            <w:r w:rsidRPr="00792B36">
              <w:rPr>
                <w:color w:val="000000"/>
                <w:sz w:val="24"/>
                <w:szCs w:val="24"/>
              </w:rPr>
              <w:t>506.19</w:t>
            </w:r>
          </w:p>
        </w:tc>
        <w:tc>
          <w:tcPr>
            <w:tcW w:w="1080" w:type="dxa"/>
            <w:vAlign w:val="center"/>
          </w:tcPr>
          <w:p w14:paraId="310B6E55" w14:textId="77777777" w:rsidR="009A0A63" w:rsidRPr="00792B36" w:rsidRDefault="009A0A63" w:rsidP="00A24459">
            <w:pPr>
              <w:contextualSpacing/>
              <w:jc w:val="center"/>
              <w:rPr>
                <w:sz w:val="24"/>
                <w:szCs w:val="24"/>
              </w:rPr>
            </w:pPr>
            <w:r w:rsidRPr="00792B36">
              <w:rPr>
                <w:color w:val="000000"/>
                <w:sz w:val="24"/>
                <w:szCs w:val="24"/>
              </w:rPr>
              <w:t>1,201.78</w:t>
            </w:r>
          </w:p>
        </w:tc>
        <w:tc>
          <w:tcPr>
            <w:tcW w:w="1177" w:type="dxa"/>
            <w:vAlign w:val="center"/>
          </w:tcPr>
          <w:p w14:paraId="1E9489CC" w14:textId="77777777" w:rsidR="009A0A63" w:rsidRPr="00792B36" w:rsidRDefault="009A0A63" w:rsidP="00A24459">
            <w:pPr>
              <w:contextualSpacing/>
              <w:jc w:val="center"/>
              <w:rPr>
                <w:sz w:val="24"/>
                <w:szCs w:val="24"/>
              </w:rPr>
            </w:pPr>
            <w:r w:rsidRPr="00792B36">
              <w:rPr>
                <w:color w:val="000000"/>
                <w:sz w:val="24"/>
                <w:szCs w:val="24"/>
              </w:rPr>
              <w:t>320.29</w:t>
            </w:r>
          </w:p>
        </w:tc>
        <w:tc>
          <w:tcPr>
            <w:tcW w:w="1027" w:type="dxa"/>
            <w:vAlign w:val="center"/>
          </w:tcPr>
          <w:p w14:paraId="4377258F" w14:textId="77777777" w:rsidR="009A0A63" w:rsidRPr="00792B36" w:rsidRDefault="009A0A63" w:rsidP="00A24459">
            <w:pPr>
              <w:contextualSpacing/>
              <w:jc w:val="center"/>
              <w:rPr>
                <w:sz w:val="24"/>
                <w:szCs w:val="24"/>
              </w:rPr>
            </w:pPr>
            <w:r w:rsidRPr="00792B36">
              <w:rPr>
                <w:color w:val="000000"/>
                <w:sz w:val="24"/>
                <w:szCs w:val="24"/>
              </w:rPr>
              <w:t>55.52</w:t>
            </w:r>
          </w:p>
        </w:tc>
        <w:tc>
          <w:tcPr>
            <w:tcW w:w="957" w:type="dxa"/>
            <w:vAlign w:val="center"/>
          </w:tcPr>
          <w:p w14:paraId="4CE8BF9B" w14:textId="77777777" w:rsidR="009A0A63" w:rsidRPr="00792B36" w:rsidRDefault="009A0A63" w:rsidP="00A24459">
            <w:pPr>
              <w:contextualSpacing/>
              <w:jc w:val="center"/>
              <w:rPr>
                <w:sz w:val="24"/>
                <w:szCs w:val="24"/>
              </w:rPr>
            </w:pPr>
            <w:r w:rsidRPr="00792B36">
              <w:rPr>
                <w:color w:val="000000"/>
                <w:sz w:val="24"/>
                <w:szCs w:val="24"/>
              </w:rPr>
              <w:t>482.37</w:t>
            </w:r>
          </w:p>
        </w:tc>
        <w:tc>
          <w:tcPr>
            <w:tcW w:w="900" w:type="dxa"/>
            <w:vAlign w:val="center"/>
          </w:tcPr>
          <w:p w14:paraId="180B834A" w14:textId="77777777" w:rsidR="009A0A63" w:rsidRPr="00792B36" w:rsidRDefault="009A0A63" w:rsidP="00A24459">
            <w:pPr>
              <w:contextualSpacing/>
              <w:jc w:val="center"/>
              <w:rPr>
                <w:sz w:val="24"/>
                <w:szCs w:val="24"/>
              </w:rPr>
            </w:pPr>
            <w:r w:rsidRPr="00792B36">
              <w:rPr>
                <w:color w:val="000000"/>
                <w:sz w:val="24"/>
                <w:szCs w:val="24"/>
              </w:rPr>
              <w:t>849.42</w:t>
            </w:r>
          </w:p>
        </w:tc>
      </w:tr>
      <w:tr w:rsidR="009A0A63" w:rsidRPr="00792B36" w14:paraId="62CB4A9C" w14:textId="77777777" w:rsidTr="00A24459">
        <w:trPr>
          <w:trHeight w:val="340"/>
        </w:trPr>
        <w:tc>
          <w:tcPr>
            <w:tcW w:w="617" w:type="dxa"/>
            <w:vAlign w:val="center"/>
          </w:tcPr>
          <w:p w14:paraId="19B52A00" w14:textId="77777777" w:rsidR="009A0A63" w:rsidRPr="00792B36" w:rsidRDefault="009A0A63" w:rsidP="00A24459">
            <w:pPr>
              <w:contextualSpacing/>
              <w:jc w:val="center"/>
              <w:rPr>
                <w:sz w:val="24"/>
                <w:szCs w:val="24"/>
              </w:rPr>
            </w:pPr>
            <w:r w:rsidRPr="00792B36">
              <w:rPr>
                <w:b/>
                <w:bCs/>
                <w:color w:val="000000"/>
                <w:sz w:val="24"/>
                <w:szCs w:val="24"/>
              </w:rPr>
              <w:t>2007</w:t>
            </w:r>
          </w:p>
        </w:tc>
        <w:tc>
          <w:tcPr>
            <w:tcW w:w="1177" w:type="dxa"/>
            <w:vAlign w:val="center"/>
          </w:tcPr>
          <w:p w14:paraId="56190031" w14:textId="77777777" w:rsidR="009A0A63" w:rsidRPr="00792B36" w:rsidRDefault="009A0A63" w:rsidP="00A24459">
            <w:pPr>
              <w:contextualSpacing/>
              <w:jc w:val="center"/>
              <w:rPr>
                <w:sz w:val="24"/>
                <w:szCs w:val="24"/>
              </w:rPr>
            </w:pPr>
            <w:r w:rsidRPr="00792B36">
              <w:rPr>
                <w:color w:val="000000"/>
                <w:sz w:val="24"/>
                <w:szCs w:val="24"/>
              </w:rPr>
              <w:t>534.34</w:t>
            </w:r>
          </w:p>
        </w:tc>
        <w:tc>
          <w:tcPr>
            <w:tcW w:w="1095" w:type="dxa"/>
            <w:vAlign w:val="center"/>
          </w:tcPr>
          <w:p w14:paraId="18292880" w14:textId="77777777" w:rsidR="009A0A63" w:rsidRPr="00792B36" w:rsidRDefault="009A0A63" w:rsidP="00A24459">
            <w:pPr>
              <w:contextualSpacing/>
              <w:jc w:val="center"/>
              <w:rPr>
                <w:sz w:val="24"/>
                <w:szCs w:val="24"/>
              </w:rPr>
            </w:pPr>
            <w:r w:rsidRPr="00792B36">
              <w:rPr>
                <w:color w:val="000000"/>
                <w:sz w:val="24"/>
                <w:szCs w:val="24"/>
              </w:rPr>
              <w:t>122.15</w:t>
            </w:r>
          </w:p>
        </w:tc>
        <w:tc>
          <w:tcPr>
            <w:tcW w:w="987" w:type="dxa"/>
            <w:vAlign w:val="center"/>
          </w:tcPr>
          <w:p w14:paraId="7E038206" w14:textId="77777777" w:rsidR="009A0A63" w:rsidRPr="00792B36" w:rsidRDefault="009A0A63" w:rsidP="00A24459">
            <w:pPr>
              <w:contextualSpacing/>
              <w:jc w:val="center"/>
              <w:rPr>
                <w:sz w:val="24"/>
                <w:szCs w:val="24"/>
              </w:rPr>
            </w:pPr>
            <w:r w:rsidRPr="00792B36">
              <w:rPr>
                <w:color w:val="000000"/>
                <w:sz w:val="24"/>
                <w:szCs w:val="24"/>
              </w:rPr>
              <w:t>485.18</w:t>
            </w:r>
          </w:p>
        </w:tc>
        <w:tc>
          <w:tcPr>
            <w:tcW w:w="1080" w:type="dxa"/>
            <w:vAlign w:val="center"/>
          </w:tcPr>
          <w:p w14:paraId="67A023FA" w14:textId="77777777" w:rsidR="009A0A63" w:rsidRPr="00792B36" w:rsidRDefault="009A0A63" w:rsidP="00A24459">
            <w:pPr>
              <w:contextualSpacing/>
              <w:jc w:val="center"/>
              <w:rPr>
                <w:sz w:val="24"/>
                <w:szCs w:val="24"/>
              </w:rPr>
            </w:pPr>
            <w:r w:rsidRPr="00792B36">
              <w:rPr>
                <w:color w:val="000000"/>
                <w:sz w:val="24"/>
                <w:szCs w:val="24"/>
              </w:rPr>
              <w:t>1,139.98</w:t>
            </w:r>
          </w:p>
        </w:tc>
        <w:tc>
          <w:tcPr>
            <w:tcW w:w="1177" w:type="dxa"/>
            <w:vAlign w:val="center"/>
          </w:tcPr>
          <w:p w14:paraId="05911B25" w14:textId="77777777" w:rsidR="009A0A63" w:rsidRPr="00792B36" w:rsidRDefault="009A0A63" w:rsidP="00A24459">
            <w:pPr>
              <w:contextualSpacing/>
              <w:jc w:val="center"/>
              <w:rPr>
                <w:sz w:val="24"/>
                <w:szCs w:val="24"/>
              </w:rPr>
            </w:pPr>
            <w:r w:rsidRPr="00792B36">
              <w:rPr>
                <w:color w:val="000000"/>
                <w:sz w:val="24"/>
                <w:szCs w:val="24"/>
              </w:rPr>
              <w:t>343.02</w:t>
            </w:r>
          </w:p>
        </w:tc>
        <w:tc>
          <w:tcPr>
            <w:tcW w:w="1027" w:type="dxa"/>
            <w:vAlign w:val="center"/>
          </w:tcPr>
          <w:p w14:paraId="2ACB0E71" w14:textId="77777777" w:rsidR="009A0A63" w:rsidRPr="00792B36" w:rsidRDefault="009A0A63" w:rsidP="00A24459">
            <w:pPr>
              <w:contextualSpacing/>
              <w:jc w:val="center"/>
              <w:rPr>
                <w:sz w:val="24"/>
                <w:szCs w:val="24"/>
              </w:rPr>
            </w:pPr>
            <w:r w:rsidRPr="00792B36">
              <w:rPr>
                <w:color w:val="000000"/>
                <w:sz w:val="24"/>
                <w:szCs w:val="24"/>
              </w:rPr>
              <w:t>56.90</w:t>
            </w:r>
          </w:p>
        </w:tc>
        <w:tc>
          <w:tcPr>
            <w:tcW w:w="957" w:type="dxa"/>
            <w:vAlign w:val="center"/>
          </w:tcPr>
          <w:p w14:paraId="4AF5E123" w14:textId="77777777" w:rsidR="009A0A63" w:rsidRPr="00792B36" w:rsidRDefault="009A0A63" w:rsidP="00A24459">
            <w:pPr>
              <w:contextualSpacing/>
              <w:jc w:val="center"/>
              <w:rPr>
                <w:sz w:val="24"/>
                <w:szCs w:val="24"/>
              </w:rPr>
            </w:pPr>
            <w:r w:rsidRPr="00792B36">
              <w:rPr>
                <w:color w:val="000000"/>
                <w:sz w:val="24"/>
                <w:szCs w:val="24"/>
              </w:rPr>
              <w:t>470.38</w:t>
            </w:r>
          </w:p>
        </w:tc>
        <w:tc>
          <w:tcPr>
            <w:tcW w:w="900" w:type="dxa"/>
            <w:vAlign w:val="center"/>
          </w:tcPr>
          <w:p w14:paraId="55CADE9F" w14:textId="77777777" w:rsidR="009A0A63" w:rsidRPr="00792B36" w:rsidRDefault="009A0A63" w:rsidP="00A24459">
            <w:pPr>
              <w:contextualSpacing/>
              <w:jc w:val="center"/>
              <w:rPr>
                <w:sz w:val="24"/>
                <w:szCs w:val="24"/>
              </w:rPr>
            </w:pPr>
            <w:r w:rsidRPr="00792B36">
              <w:rPr>
                <w:color w:val="000000"/>
                <w:sz w:val="24"/>
                <w:szCs w:val="24"/>
              </w:rPr>
              <w:t>871.78</w:t>
            </w:r>
          </w:p>
        </w:tc>
      </w:tr>
      <w:tr w:rsidR="009A0A63" w:rsidRPr="00792B36" w14:paraId="3BC4EA23" w14:textId="77777777" w:rsidTr="00A24459">
        <w:trPr>
          <w:trHeight w:val="340"/>
        </w:trPr>
        <w:tc>
          <w:tcPr>
            <w:tcW w:w="617" w:type="dxa"/>
            <w:vAlign w:val="center"/>
          </w:tcPr>
          <w:p w14:paraId="2BFA1C23" w14:textId="77777777" w:rsidR="009A0A63" w:rsidRPr="00792B36" w:rsidRDefault="009A0A63" w:rsidP="00A24459">
            <w:pPr>
              <w:contextualSpacing/>
              <w:jc w:val="center"/>
              <w:rPr>
                <w:sz w:val="24"/>
                <w:szCs w:val="24"/>
              </w:rPr>
            </w:pPr>
            <w:r w:rsidRPr="00792B36">
              <w:rPr>
                <w:b/>
                <w:bCs/>
                <w:color w:val="000000"/>
                <w:sz w:val="24"/>
                <w:szCs w:val="24"/>
              </w:rPr>
              <w:t>2008</w:t>
            </w:r>
          </w:p>
        </w:tc>
        <w:tc>
          <w:tcPr>
            <w:tcW w:w="1177" w:type="dxa"/>
            <w:vAlign w:val="center"/>
          </w:tcPr>
          <w:p w14:paraId="35163FE9" w14:textId="77777777" w:rsidR="009A0A63" w:rsidRPr="00792B36" w:rsidRDefault="009A0A63" w:rsidP="00A24459">
            <w:pPr>
              <w:contextualSpacing/>
              <w:jc w:val="center"/>
              <w:rPr>
                <w:sz w:val="24"/>
                <w:szCs w:val="24"/>
              </w:rPr>
            </w:pPr>
            <w:r w:rsidRPr="00792B36">
              <w:rPr>
                <w:color w:val="000000"/>
                <w:sz w:val="24"/>
                <w:szCs w:val="24"/>
              </w:rPr>
              <w:t>586.42</w:t>
            </w:r>
          </w:p>
        </w:tc>
        <w:tc>
          <w:tcPr>
            <w:tcW w:w="1095" w:type="dxa"/>
            <w:vAlign w:val="center"/>
          </w:tcPr>
          <w:p w14:paraId="319E9547" w14:textId="77777777" w:rsidR="009A0A63" w:rsidRPr="00792B36" w:rsidRDefault="009A0A63" w:rsidP="00A24459">
            <w:pPr>
              <w:contextualSpacing/>
              <w:jc w:val="center"/>
              <w:rPr>
                <w:sz w:val="24"/>
                <w:szCs w:val="24"/>
              </w:rPr>
            </w:pPr>
            <w:r w:rsidRPr="00792B36">
              <w:rPr>
                <w:color w:val="000000"/>
                <w:sz w:val="24"/>
                <w:szCs w:val="24"/>
              </w:rPr>
              <w:t>127.75</w:t>
            </w:r>
          </w:p>
        </w:tc>
        <w:tc>
          <w:tcPr>
            <w:tcW w:w="987" w:type="dxa"/>
            <w:vAlign w:val="center"/>
          </w:tcPr>
          <w:p w14:paraId="2BD19125" w14:textId="77777777" w:rsidR="009A0A63" w:rsidRPr="00792B36" w:rsidRDefault="009A0A63" w:rsidP="00A24459">
            <w:pPr>
              <w:contextualSpacing/>
              <w:jc w:val="center"/>
              <w:rPr>
                <w:sz w:val="24"/>
                <w:szCs w:val="24"/>
              </w:rPr>
            </w:pPr>
            <w:r w:rsidRPr="00792B36">
              <w:rPr>
                <w:color w:val="000000"/>
                <w:sz w:val="24"/>
                <w:szCs w:val="24"/>
              </w:rPr>
              <w:t>472.61</w:t>
            </w:r>
          </w:p>
        </w:tc>
        <w:tc>
          <w:tcPr>
            <w:tcW w:w="1080" w:type="dxa"/>
            <w:vAlign w:val="center"/>
          </w:tcPr>
          <w:p w14:paraId="21BA15CE" w14:textId="77777777" w:rsidR="009A0A63" w:rsidRPr="00792B36" w:rsidRDefault="009A0A63" w:rsidP="00A24459">
            <w:pPr>
              <w:contextualSpacing/>
              <w:jc w:val="center"/>
              <w:rPr>
                <w:sz w:val="24"/>
                <w:szCs w:val="24"/>
              </w:rPr>
            </w:pPr>
            <w:r w:rsidRPr="00792B36">
              <w:rPr>
                <w:color w:val="000000"/>
                <w:sz w:val="24"/>
                <w:szCs w:val="24"/>
              </w:rPr>
              <w:t>1,176.36</w:t>
            </w:r>
          </w:p>
        </w:tc>
        <w:tc>
          <w:tcPr>
            <w:tcW w:w="1177" w:type="dxa"/>
            <w:vAlign w:val="center"/>
          </w:tcPr>
          <w:p w14:paraId="7AE33FBF" w14:textId="77777777" w:rsidR="009A0A63" w:rsidRPr="00792B36" w:rsidRDefault="009A0A63" w:rsidP="00A24459">
            <w:pPr>
              <w:contextualSpacing/>
              <w:jc w:val="center"/>
              <w:rPr>
                <w:sz w:val="24"/>
                <w:szCs w:val="24"/>
              </w:rPr>
            </w:pPr>
            <w:r w:rsidRPr="00792B36">
              <w:rPr>
                <w:color w:val="000000"/>
                <w:sz w:val="24"/>
                <w:szCs w:val="24"/>
              </w:rPr>
              <w:t>317.63</w:t>
            </w:r>
          </w:p>
        </w:tc>
        <w:tc>
          <w:tcPr>
            <w:tcW w:w="1027" w:type="dxa"/>
            <w:vAlign w:val="center"/>
          </w:tcPr>
          <w:p w14:paraId="7B118043" w14:textId="77777777" w:rsidR="009A0A63" w:rsidRPr="00792B36" w:rsidRDefault="009A0A63" w:rsidP="00A24459">
            <w:pPr>
              <w:contextualSpacing/>
              <w:jc w:val="center"/>
              <w:rPr>
                <w:sz w:val="24"/>
                <w:szCs w:val="24"/>
              </w:rPr>
            </w:pPr>
            <w:r w:rsidRPr="00792B36">
              <w:rPr>
                <w:color w:val="000000"/>
                <w:sz w:val="24"/>
                <w:szCs w:val="24"/>
              </w:rPr>
              <w:t>56.68</w:t>
            </w:r>
          </w:p>
        </w:tc>
        <w:tc>
          <w:tcPr>
            <w:tcW w:w="957" w:type="dxa"/>
            <w:vAlign w:val="center"/>
          </w:tcPr>
          <w:p w14:paraId="69729089" w14:textId="77777777" w:rsidR="009A0A63" w:rsidRPr="00792B36" w:rsidRDefault="009A0A63" w:rsidP="00A24459">
            <w:pPr>
              <w:contextualSpacing/>
              <w:jc w:val="center"/>
              <w:rPr>
                <w:sz w:val="24"/>
                <w:szCs w:val="24"/>
              </w:rPr>
            </w:pPr>
            <w:r w:rsidRPr="00792B36">
              <w:rPr>
                <w:color w:val="000000"/>
                <w:sz w:val="24"/>
                <w:szCs w:val="24"/>
              </w:rPr>
              <w:t>461.08</w:t>
            </w:r>
          </w:p>
        </w:tc>
        <w:tc>
          <w:tcPr>
            <w:tcW w:w="900" w:type="dxa"/>
            <w:vAlign w:val="center"/>
          </w:tcPr>
          <w:p w14:paraId="6B1FBDE5" w14:textId="77777777" w:rsidR="009A0A63" w:rsidRPr="00792B36" w:rsidRDefault="009A0A63" w:rsidP="00A24459">
            <w:pPr>
              <w:contextualSpacing/>
              <w:jc w:val="center"/>
              <w:rPr>
                <w:sz w:val="24"/>
                <w:szCs w:val="24"/>
              </w:rPr>
            </w:pPr>
            <w:r w:rsidRPr="00792B36">
              <w:rPr>
                <w:color w:val="000000"/>
                <w:sz w:val="24"/>
                <w:szCs w:val="24"/>
              </w:rPr>
              <w:t>831.14</w:t>
            </w:r>
          </w:p>
        </w:tc>
      </w:tr>
      <w:tr w:rsidR="009A0A63" w:rsidRPr="00792B36" w14:paraId="43AB679D" w14:textId="77777777" w:rsidTr="00A24459">
        <w:trPr>
          <w:trHeight w:val="340"/>
        </w:trPr>
        <w:tc>
          <w:tcPr>
            <w:tcW w:w="617" w:type="dxa"/>
            <w:vAlign w:val="center"/>
          </w:tcPr>
          <w:p w14:paraId="0C57026E" w14:textId="77777777" w:rsidR="009A0A63" w:rsidRPr="00792B36" w:rsidRDefault="009A0A63" w:rsidP="00A24459">
            <w:pPr>
              <w:contextualSpacing/>
              <w:jc w:val="center"/>
              <w:rPr>
                <w:sz w:val="24"/>
                <w:szCs w:val="24"/>
              </w:rPr>
            </w:pPr>
            <w:r w:rsidRPr="00792B36">
              <w:rPr>
                <w:b/>
                <w:bCs/>
                <w:color w:val="000000"/>
                <w:sz w:val="24"/>
                <w:szCs w:val="24"/>
              </w:rPr>
              <w:t>2009</w:t>
            </w:r>
          </w:p>
        </w:tc>
        <w:tc>
          <w:tcPr>
            <w:tcW w:w="1177" w:type="dxa"/>
            <w:vAlign w:val="center"/>
          </w:tcPr>
          <w:p w14:paraId="0104F4E8" w14:textId="77777777" w:rsidR="009A0A63" w:rsidRPr="00792B36" w:rsidRDefault="009A0A63" w:rsidP="00A24459">
            <w:pPr>
              <w:contextualSpacing/>
              <w:jc w:val="center"/>
              <w:rPr>
                <w:sz w:val="24"/>
                <w:szCs w:val="24"/>
              </w:rPr>
            </w:pPr>
            <w:r w:rsidRPr="00792B36">
              <w:rPr>
                <w:color w:val="000000"/>
                <w:sz w:val="24"/>
                <w:szCs w:val="24"/>
              </w:rPr>
              <w:t>639.63</w:t>
            </w:r>
          </w:p>
        </w:tc>
        <w:tc>
          <w:tcPr>
            <w:tcW w:w="1095" w:type="dxa"/>
            <w:vAlign w:val="center"/>
          </w:tcPr>
          <w:p w14:paraId="36340B93" w14:textId="77777777" w:rsidR="009A0A63" w:rsidRPr="00792B36" w:rsidRDefault="009A0A63" w:rsidP="00A24459">
            <w:pPr>
              <w:contextualSpacing/>
              <w:jc w:val="center"/>
              <w:rPr>
                <w:sz w:val="24"/>
                <w:szCs w:val="24"/>
              </w:rPr>
            </w:pPr>
            <w:r w:rsidRPr="00792B36">
              <w:rPr>
                <w:color w:val="000000"/>
                <w:sz w:val="24"/>
                <w:szCs w:val="24"/>
              </w:rPr>
              <w:t>127.68</w:t>
            </w:r>
          </w:p>
        </w:tc>
        <w:tc>
          <w:tcPr>
            <w:tcW w:w="987" w:type="dxa"/>
            <w:vAlign w:val="center"/>
          </w:tcPr>
          <w:p w14:paraId="05ACCF16" w14:textId="77777777" w:rsidR="009A0A63" w:rsidRPr="00792B36" w:rsidRDefault="009A0A63" w:rsidP="00A24459">
            <w:pPr>
              <w:contextualSpacing/>
              <w:jc w:val="center"/>
              <w:rPr>
                <w:sz w:val="24"/>
                <w:szCs w:val="24"/>
              </w:rPr>
            </w:pPr>
            <w:r w:rsidRPr="00792B36">
              <w:rPr>
                <w:color w:val="000000"/>
                <w:sz w:val="24"/>
                <w:szCs w:val="24"/>
              </w:rPr>
              <w:t>507.37</w:t>
            </w:r>
          </w:p>
        </w:tc>
        <w:tc>
          <w:tcPr>
            <w:tcW w:w="1080" w:type="dxa"/>
            <w:vAlign w:val="center"/>
          </w:tcPr>
          <w:p w14:paraId="51914546" w14:textId="77777777" w:rsidR="009A0A63" w:rsidRPr="00792B36" w:rsidRDefault="009A0A63" w:rsidP="00A24459">
            <w:pPr>
              <w:contextualSpacing/>
              <w:jc w:val="center"/>
              <w:rPr>
                <w:sz w:val="24"/>
                <w:szCs w:val="24"/>
              </w:rPr>
            </w:pPr>
            <w:r w:rsidRPr="00792B36">
              <w:rPr>
                <w:color w:val="000000"/>
                <w:sz w:val="24"/>
                <w:szCs w:val="24"/>
              </w:rPr>
              <w:t>1,260.40</w:t>
            </w:r>
          </w:p>
        </w:tc>
        <w:tc>
          <w:tcPr>
            <w:tcW w:w="1177" w:type="dxa"/>
            <w:vAlign w:val="center"/>
          </w:tcPr>
          <w:p w14:paraId="4D1B76CE" w14:textId="77777777" w:rsidR="009A0A63" w:rsidRPr="00792B36" w:rsidRDefault="009A0A63" w:rsidP="00A24459">
            <w:pPr>
              <w:contextualSpacing/>
              <w:jc w:val="center"/>
              <w:rPr>
                <w:sz w:val="24"/>
                <w:szCs w:val="24"/>
              </w:rPr>
            </w:pPr>
            <w:r w:rsidRPr="00792B36">
              <w:rPr>
                <w:color w:val="000000"/>
                <w:sz w:val="24"/>
                <w:szCs w:val="24"/>
              </w:rPr>
              <w:t>345.39</w:t>
            </w:r>
          </w:p>
        </w:tc>
        <w:tc>
          <w:tcPr>
            <w:tcW w:w="1027" w:type="dxa"/>
            <w:vAlign w:val="center"/>
          </w:tcPr>
          <w:p w14:paraId="31A997A6" w14:textId="77777777" w:rsidR="009A0A63" w:rsidRPr="00792B36" w:rsidRDefault="009A0A63" w:rsidP="00A24459">
            <w:pPr>
              <w:contextualSpacing/>
              <w:jc w:val="center"/>
              <w:rPr>
                <w:sz w:val="24"/>
                <w:szCs w:val="24"/>
              </w:rPr>
            </w:pPr>
            <w:r w:rsidRPr="00792B36">
              <w:rPr>
                <w:color w:val="000000"/>
                <w:sz w:val="24"/>
                <w:szCs w:val="24"/>
              </w:rPr>
              <w:t>54.72</w:t>
            </w:r>
          </w:p>
        </w:tc>
        <w:tc>
          <w:tcPr>
            <w:tcW w:w="957" w:type="dxa"/>
            <w:vAlign w:val="center"/>
          </w:tcPr>
          <w:p w14:paraId="522B9AD6" w14:textId="77777777" w:rsidR="009A0A63" w:rsidRPr="00792B36" w:rsidRDefault="009A0A63" w:rsidP="00A24459">
            <w:pPr>
              <w:contextualSpacing/>
              <w:jc w:val="center"/>
              <w:rPr>
                <w:sz w:val="24"/>
                <w:szCs w:val="24"/>
              </w:rPr>
            </w:pPr>
            <w:r w:rsidRPr="00792B36">
              <w:rPr>
                <w:color w:val="000000"/>
                <w:sz w:val="24"/>
                <w:szCs w:val="24"/>
              </w:rPr>
              <w:t>479.75</w:t>
            </w:r>
          </w:p>
        </w:tc>
        <w:tc>
          <w:tcPr>
            <w:tcW w:w="900" w:type="dxa"/>
            <w:vAlign w:val="center"/>
          </w:tcPr>
          <w:p w14:paraId="6DDFF448" w14:textId="77777777" w:rsidR="009A0A63" w:rsidRPr="00792B36" w:rsidRDefault="009A0A63" w:rsidP="00A24459">
            <w:pPr>
              <w:contextualSpacing/>
              <w:jc w:val="center"/>
              <w:rPr>
                <w:sz w:val="24"/>
                <w:szCs w:val="24"/>
              </w:rPr>
            </w:pPr>
            <w:r w:rsidRPr="00792B36">
              <w:rPr>
                <w:color w:val="000000"/>
                <w:sz w:val="24"/>
                <w:szCs w:val="24"/>
              </w:rPr>
              <w:t>879.81</w:t>
            </w:r>
          </w:p>
        </w:tc>
      </w:tr>
      <w:tr w:rsidR="009A0A63" w:rsidRPr="00792B36" w14:paraId="7E23647D" w14:textId="77777777" w:rsidTr="00A24459">
        <w:trPr>
          <w:trHeight w:val="340"/>
        </w:trPr>
        <w:tc>
          <w:tcPr>
            <w:tcW w:w="617" w:type="dxa"/>
            <w:vAlign w:val="center"/>
          </w:tcPr>
          <w:p w14:paraId="21B2DCCF" w14:textId="77777777" w:rsidR="009A0A63" w:rsidRPr="00792B36" w:rsidRDefault="009A0A63" w:rsidP="00A24459">
            <w:pPr>
              <w:contextualSpacing/>
              <w:jc w:val="center"/>
              <w:rPr>
                <w:sz w:val="24"/>
                <w:szCs w:val="24"/>
              </w:rPr>
            </w:pPr>
            <w:r w:rsidRPr="00792B36">
              <w:rPr>
                <w:b/>
                <w:bCs/>
                <w:color w:val="000000"/>
                <w:sz w:val="24"/>
                <w:szCs w:val="24"/>
              </w:rPr>
              <w:t>2010</w:t>
            </w:r>
          </w:p>
        </w:tc>
        <w:tc>
          <w:tcPr>
            <w:tcW w:w="1177" w:type="dxa"/>
            <w:vAlign w:val="center"/>
          </w:tcPr>
          <w:p w14:paraId="65CDC4D1" w14:textId="77777777" w:rsidR="009A0A63" w:rsidRPr="00792B36" w:rsidRDefault="009A0A63" w:rsidP="00A24459">
            <w:pPr>
              <w:contextualSpacing/>
              <w:jc w:val="center"/>
              <w:rPr>
                <w:sz w:val="24"/>
                <w:szCs w:val="24"/>
              </w:rPr>
            </w:pPr>
            <w:r w:rsidRPr="00792B36">
              <w:rPr>
                <w:color w:val="000000"/>
                <w:sz w:val="24"/>
                <w:szCs w:val="24"/>
              </w:rPr>
              <w:t>616.48</w:t>
            </w:r>
          </w:p>
        </w:tc>
        <w:tc>
          <w:tcPr>
            <w:tcW w:w="1095" w:type="dxa"/>
            <w:vAlign w:val="center"/>
          </w:tcPr>
          <w:p w14:paraId="22047B0A" w14:textId="77777777" w:rsidR="009A0A63" w:rsidRPr="00792B36" w:rsidRDefault="009A0A63" w:rsidP="00A24459">
            <w:pPr>
              <w:contextualSpacing/>
              <w:jc w:val="center"/>
              <w:rPr>
                <w:sz w:val="24"/>
                <w:szCs w:val="24"/>
              </w:rPr>
            </w:pPr>
            <w:r w:rsidRPr="00792B36">
              <w:rPr>
                <w:color w:val="000000"/>
                <w:sz w:val="24"/>
                <w:szCs w:val="24"/>
              </w:rPr>
              <w:t>146.81</w:t>
            </w:r>
          </w:p>
        </w:tc>
        <w:tc>
          <w:tcPr>
            <w:tcW w:w="987" w:type="dxa"/>
            <w:vAlign w:val="center"/>
          </w:tcPr>
          <w:p w14:paraId="20F104CD" w14:textId="77777777" w:rsidR="009A0A63" w:rsidRPr="00792B36" w:rsidRDefault="009A0A63" w:rsidP="00A24459">
            <w:pPr>
              <w:contextualSpacing/>
              <w:jc w:val="center"/>
              <w:rPr>
                <w:sz w:val="24"/>
                <w:szCs w:val="24"/>
              </w:rPr>
            </w:pPr>
            <w:r w:rsidRPr="00792B36">
              <w:rPr>
                <w:color w:val="000000"/>
                <w:sz w:val="24"/>
                <w:szCs w:val="24"/>
              </w:rPr>
              <w:t>550.53</w:t>
            </w:r>
          </w:p>
        </w:tc>
        <w:tc>
          <w:tcPr>
            <w:tcW w:w="1080" w:type="dxa"/>
            <w:vAlign w:val="center"/>
          </w:tcPr>
          <w:p w14:paraId="595201F7" w14:textId="77777777" w:rsidR="009A0A63" w:rsidRPr="00792B36" w:rsidRDefault="009A0A63" w:rsidP="00A24459">
            <w:pPr>
              <w:contextualSpacing/>
              <w:jc w:val="center"/>
              <w:rPr>
                <w:sz w:val="24"/>
                <w:szCs w:val="24"/>
              </w:rPr>
            </w:pPr>
            <w:r w:rsidRPr="00792B36">
              <w:rPr>
                <w:color w:val="000000"/>
                <w:sz w:val="24"/>
                <w:szCs w:val="24"/>
              </w:rPr>
              <w:t>1,318.19</w:t>
            </w:r>
          </w:p>
        </w:tc>
        <w:tc>
          <w:tcPr>
            <w:tcW w:w="1177" w:type="dxa"/>
            <w:vAlign w:val="center"/>
          </w:tcPr>
          <w:p w14:paraId="3A22443C" w14:textId="77777777" w:rsidR="009A0A63" w:rsidRPr="00792B36" w:rsidRDefault="009A0A63" w:rsidP="00A24459">
            <w:pPr>
              <w:contextualSpacing/>
              <w:jc w:val="center"/>
              <w:rPr>
                <w:sz w:val="24"/>
                <w:szCs w:val="24"/>
              </w:rPr>
            </w:pPr>
            <w:r w:rsidRPr="00792B36">
              <w:rPr>
                <w:color w:val="000000"/>
                <w:sz w:val="24"/>
                <w:szCs w:val="24"/>
              </w:rPr>
              <w:t>332.16</w:t>
            </w:r>
          </w:p>
        </w:tc>
        <w:tc>
          <w:tcPr>
            <w:tcW w:w="1027" w:type="dxa"/>
            <w:vAlign w:val="center"/>
          </w:tcPr>
          <w:p w14:paraId="4FA09407" w14:textId="77777777" w:rsidR="009A0A63" w:rsidRPr="00792B36" w:rsidRDefault="009A0A63" w:rsidP="00A24459">
            <w:pPr>
              <w:contextualSpacing/>
              <w:jc w:val="center"/>
              <w:rPr>
                <w:sz w:val="24"/>
                <w:szCs w:val="24"/>
              </w:rPr>
            </w:pPr>
            <w:r w:rsidRPr="00792B36">
              <w:rPr>
                <w:color w:val="000000"/>
                <w:sz w:val="24"/>
                <w:szCs w:val="24"/>
              </w:rPr>
              <w:t>54.17</w:t>
            </w:r>
          </w:p>
        </w:tc>
        <w:tc>
          <w:tcPr>
            <w:tcW w:w="957" w:type="dxa"/>
            <w:vAlign w:val="center"/>
          </w:tcPr>
          <w:p w14:paraId="5E5BAF67" w14:textId="77777777" w:rsidR="009A0A63" w:rsidRPr="00792B36" w:rsidRDefault="009A0A63" w:rsidP="00A24459">
            <w:pPr>
              <w:contextualSpacing/>
              <w:jc w:val="center"/>
              <w:rPr>
                <w:sz w:val="24"/>
                <w:szCs w:val="24"/>
              </w:rPr>
            </w:pPr>
            <w:r w:rsidRPr="00792B36">
              <w:rPr>
                <w:color w:val="000000"/>
                <w:sz w:val="24"/>
                <w:szCs w:val="24"/>
              </w:rPr>
              <w:t>548.15</w:t>
            </w:r>
          </w:p>
        </w:tc>
        <w:tc>
          <w:tcPr>
            <w:tcW w:w="900" w:type="dxa"/>
            <w:vAlign w:val="center"/>
          </w:tcPr>
          <w:p w14:paraId="7E64DA9B" w14:textId="77777777" w:rsidR="009A0A63" w:rsidRPr="00792B36" w:rsidRDefault="009A0A63" w:rsidP="00A24459">
            <w:pPr>
              <w:contextualSpacing/>
              <w:jc w:val="center"/>
              <w:rPr>
                <w:sz w:val="24"/>
                <w:szCs w:val="24"/>
              </w:rPr>
            </w:pPr>
            <w:r w:rsidRPr="00792B36">
              <w:rPr>
                <w:color w:val="000000"/>
                <w:sz w:val="24"/>
                <w:szCs w:val="24"/>
              </w:rPr>
              <w:t>922.80</w:t>
            </w:r>
          </w:p>
        </w:tc>
      </w:tr>
      <w:tr w:rsidR="009A0A63" w:rsidRPr="00792B36" w14:paraId="052627EA" w14:textId="77777777" w:rsidTr="00A24459">
        <w:trPr>
          <w:trHeight w:val="340"/>
        </w:trPr>
        <w:tc>
          <w:tcPr>
            <w:tcW w:w="617" w:type="dxa"/>
            <w:vAlign w:val="center"/>
          </w:tcPr>
          <w:p w14:paraId="2ED31D1A" w14:textId="77777777" w:rsidR="009A0A63" w:rsidRPr="00792B36" w:rsidRDefault="009A0A63" w:rsidP="00A24459">
            <w:pPr>
              <w:contextualSpacing/>
              <w:jc w:val="center"/>
              <w:rPr>
                <w:sz w:val="24"/>
                <w:szCs w:val="24"/>
              </w:rPr>
            </w:pPr>
            <w:r w:rsidRPr="00792B36">
              <w:rPr>
                <w:b/>
                <w:bCs/>
                <w:color w:val="000000"/>
                <w:sz w:val="24"/>
                <w:szCs w:val="24"/>
              </w:rPr>
              <w:t>2011</w:t>
            </w:r>
          </w:p>
        </w:tc>
        <w:tc>
          <w:tcPr>
            <w:tcW w:w="1177" w:type="dxa"/>
            <w:vAlign w:val="center"/>
          </w:tcPr>
          <w:p w14:paraId="74103480" w14:textId="77777777" w:rsidR="009A0A63" w:rsidRPr="00792B36" w:rsidRDefault="009A0A63" w:rsidP="00A24459">
            <w:pPr>
              <w:contextualSpacing/>
              <w:jc w:val="center"/>
              <w:rPr>
                <w:sz w:val="24"/>
                <w:szCs w:val="24"/>
              </w:rPr>
            </w:pPr>
            <w:r w:rsidRPr="00792B36">
              <w:rPr>
                <w:color w:val="000000"/>
                <w:sz w:val="24"/>
                <w:szCs w:val="24"/>
              </w:rPr>
              <w:t>575.84</w:t>
            </w:r>
          </w:p>
        </w:tc>
        <w:tc>
          <w:tcPr>
            <w:tcW w:w="1095" w:type="dxa"/>
            <w:vAlign w:val="center"/>
          </w:tcPr>
          <w:p w14:paraId="2CBB0C56" w14:textId="77777777" w:rsidR="009A0A63" w:rsidRPr="00792B36" w:rsidRDefault="009A0A63" w:rsidP="00A24459">
            <w:pPr>
              <w:contextualSpacing/>
              <w:jc w:val="center"/>
              <w:rPr>
                <w:sz w:val="24"/>
                <w:szCs w:val="24"/>
              </w:rPr>
            </w:pPr>
            <w:r w:rsidRPr="00792B36">
              <w:rPr>
                <w:color w:val="000000"/>
                <w:sz w:val="24"/>
                <w:szCs w:val="24"/>
              </w:rPr>
              <w:t>155.87</w:t>
            </w:r>
          </w:p>
        </w:tc>
        <w:tc>
          <w:tcPr>
            <w:tcW w:w="987" w:type="dxa"/>
            <w:vAlign w:val="center"/>
          </w:tcPr>
          <w:p w14:paraId="1ED5000F" w14:textId="77777777" w:rsidR="009A0A63" w:rsidRPr="00792B36" w:rsidRDefault="009A0A63" w:rsidP="00A24459">
            <w:pPr>
              <w:contextualSpacing/>
              <w:jc w:val="center"/>
              <w:rPr>
                <w:sz w:val="24"/>
                <w:szCs w:val="24"/>
              </w:rPr>
            </w:pPr>
            <w:r w:rsidRPr="00792B36">
              <w:rPr>
                <w:color w:val="000000"/>
                <w:sz w:val="24"/>
                <w:szCs w:val="24"/>
              </w:rPr>
              <w:t>588.87</w:t>
            </w:r>
          </w:p>
        </w:tc>
        <w:tc>
          <w:tcPr>
            <w:tcW w:w="1080" w:type="dxa"/>
            <w:vAlign w:val="center"/>
          </w:tcPr>
          <w:p w14:paraId="6C6FF77E" w14:textId="77777777" w:rsidR="009A0A63" w:rsidRPr="00792B36" w:rsidRDefault="009A0A63" w:rsidP="00A24459">
            <w:pPr>
              <w:contextualSpacing/>
              <w:jc w:val="center"/>
              <w:rPr>
                <w:sz w:val="24"/>
                <w:szCs w:val="24"/>
              </w:rPr>
            </w:pPr>
            <w:r w:rsidRPr="00792B36">
              <w:rPr>
                <w:color w:val="000000"/>
                <w:sz w:val="24"/>
                <w:szCs w:val="24"/>
              </w:rPr>
              <w:t>1,338.29</w:t>
            </w:r>
          </w:p>
        </w:tc>
        <w:tc>
          <w:tcPr>
            <w:tcW w:w="1177" w:type="dxa"/>
            <w:vAlign w:val="center"/>
          </w:tcPr>
          <w:p w14:paraId="1E7697E2" w14:textId="77777777" w:rsidR="009A0A63" w:rsidRPr="00792B36" w:rsidRDefault="009A0A63" w:rsidP="00A24459">
            <w:pPr>
              <w:contextualSpacing/>
              <w:jc w:val="center"/>
              <w:rPr>
                <w:sz w:val="24"/>
                <w:szCs w:val="24"/>
              </w:rPr>
            </w:pPr>
            <w:r w:rsidRPr="00792B36">
              <w:rPr>
                <w:color w:val="000000"/>
                <w:sz w:val="24"/>
                <w:szCs w:val="24"/>
              </w:rPr>
              <w:t>314.82</w:t>
            </w:r>
          </w:p>
        </w:tc>
        <w:tc>
          <w:tcPr>
            <w:tcW w:w="1027" w:type="dxa"/>
            <w:vAlign w:val="center"/>
          </w:tcPr>
          <w:p w14:paraId="46AD7D5C" w14:textId="77777777" w:rsidR="009A0A63" w:rsidRPr="00792B36" w:rsidRDefault="009A0A63" w:rsidP="00A24459">
            <w:pPr>
              <w:contextualSpacing/>
              <w:jc w:val="center"/>
              <w:rPr>
                <w:sz w:val="24"/>
                <w:szCs w:val="24"/>
              </w:rPr>
            </w:pPr>
            <w:r w:rsidRPr="00792B36">
              <w:rPr>
                <w:color w:val="000000"/>
                <w:sz w:val="24"/>
                <w:szCs w:val="24"/>
              </w:rPr>
              <w:t>55.91</w:t>
            </w:r>
          </w:p>
        </w:tc>
        <w:tc>
          <w:tcPr>
            <w:tcW w:w="957" w:type="dxa"/>
            <w:vAlign w:val="center"/>
          </w:tcPr>
          <w:p w14:paraId="08AF1E79" w14:textId="77777777" w:rsidR="009A0A63" w:rsidRPr="00792B36" w:rsidRDefault="009A0A63" w:rsidP="00A24459">
            <w:pPr>
              <w:contextualSpacing/>
              <w:jc w:val="center"/>
              <w:rPr>
                <w:sz w:val="24"/>
                <w:szCs w:val="24"/>
              </w:rPr>
            </w:pPr>
            <w:r w:rsidRPr="00792B36">
              <w:rPr>
                <w:color w:val="000000"/>
                <w:sz w:val="24"/>
                <w:szCs w:val="24"/>
              </w:rPr>
              <w:t>581.01</w:t>
            </w:r>
          </w:p>
        </w:tc>
        <w:tc>
          <w:tcPr>
            <w:tcW w:w="900" w:type="dxa"/>
            <w:vAlign w:val="center"/>
          </w:tcPr>
          <w:p w14:paraId="4130B896" w14:textId="77777777" w:rsidR="009A0A63" w:rsidRPr="00792B36" w:rsidRDefault="009A0A63" w:rsidP="00A24459">
            <w:pPr>
              <w:contextualSpacing/>
              <w:jc w:val="center"/>
              <w:rPr>
                <w:sz w:val="24"/>
                <w:szCs w:val="24"/>
              </w:rPr>
            </w:pPr>
            <w:r w:rsidRPr="00792B36">
              <w:rPr>
                <w:color w:val="000000"/>
                <w:sz w:val="24"/>
                <w:szCs w:val="24"/>
              </w:rPr>
              <w:t>921.89</w:t>
            </w:r>
          </w:p>
        </w:tc>
      </w:tr>
      <w:tr w:rsidR="009A0A63" w:rsidRPr="00792B36" w14:paraId="4202A56A" w14:textId="77777777" w:rsidTr="00A24459">
        <w:trPr>
          <w:trHeight w:val="340"/>
        </w:trPr>
        <w:tc>
          <w:tcPr>
            <w:tcW w:w="617" w:type="dxa"/>
            <w:vAlign w:val="center"/>
          </w:tcPr>
          <w:p w14:paraId="23D5F22F" w14:textId="77777777" w:rsidR="009A0A63" w:rsidRPr="00792B36" w:rsidRDefault="009A0A63" w:rsidP="00A24459">
            <w:pPr>
              <w:contextualSpacing/>
              <w:jc w:val="center"/>
              <w:rPr>
                <w:sz w:val="24"/>
                <w:szCs w:val="24"/>
              </w:rPr>
            </w:pPr>
            <w:r w:rsidRPr="00792B36">
              <w:rPr>
                <w:b/>
                <w:bCs/>
                <w:color w:val="000000"/>
                <w:sz w:val="24"/>
                <w:szCs w:val="24"/>
              </w:rPr>
              <w:t>2012</w:t>
            </w:r>
          </w:p>
        </w:tc>
        <w:tc>
          <w:tcPr>
            <w:tcW w:w="1177" w:type="dxa"/>
            <w:vAlign w:val="center"/>
          </w:tcPr>
          <w:p w14:paraId="61B8B510" w14:textId="77777777" w:rsidR="009A0A63" w:rsidRPr="00792B36" w:rsidRDefault="009A0A63" w:rsidP="00A24459">
            <w:pPr>
              <w:contextualSpacing/>
              <w:jc w:val="center"/>
              <w:rPr>
                <w:sz w:val="24"/>
                <w:szCs w:val="24"/>
              </w:rPr>
            </w:pPr>
            <w:r w:rsidRPr="00792B36">
              <w:rPr>
                <w:color w:val="000000"/>
                <w:sz w:val="24"/>
                <w:szCs w:val="24"/>
              </w:rPr>
              <w:t>563.45</w:t>
            </w:r>
          </w:p>
        </w:tc>
        <w:tc>
          <w:tcPr>
            <w:tcW w:w="1095" w:type="dxa"/>
            <w:vAlign w:val="center"/>
          </w:tcPr>
          <w:p w14:paraId="0607054D" w14:textId="77777777" w:rsidR="009A0A63" w:rsidRPr="00792B36" w:rsidRDefault="009A0A63" w:rsidP="00A24459">
            <w:pPr>
              <w:contextualSpacing/>
              <w:jc w:val="center"/>
              <w:rPr>
                <w:sz w:val="24"/>
                <w:szCs w:val="24"/>
              </w:rPr>
            </w:pPr>
            <w:r w:rsidRPr="00792B36">
              <w:rPr>
                <w:color w:val="000000"/>
                <w:sz w:val="24"/>
                <w:szCs w:val="24"/>
              </w:rPr>
              <w:t>185.53</w:t>
            </w:r>
          </w:p>
        </w:tc>
        <w:tc>
          <w:tcPr>
            <w:tcW w:w="987" w:type="dxa"/>
            <w:vAlign w:val="center"/>
          </w:tcPr>
          <w:p w14:paraId="56631052" w14:textId="77777777" w:rsidR="009A0A63" w:rsidRPr="00792B36" w:rsidRDefault="009A0A63" w:rsidP="00A24459">
            <w:pPr>
              <w:contextualSpacing/>
              <w:jc w:val="center"/>
              <w:rPr>
                <w:sz w:val="24"/>
                <w:szCs w:val="24"/>
              </w:rPr>
            </w:pPr>
            <w:r w:rsidRPr="00792B36">
              <w:rPr>
                <w:color w:val="000000"/>
                <w:sz w:val="24"/>
                <w:szCs w:val="24"/>
              </w:rPr>
              <w:t>621.58</w:t>
            </w:r>
          </w:p>
        </w:tc>
        <w:tc>
          <w:tcPr>
            <w:tcW w:w="1080" w:type="dxa"/>
            <w:vAlign w:val="center"/>
          </w:tcPr>
          <w:p w14:paraId="31760038" w14:textId="77777777" w:rsidR="009A0A63" w:rsidRPr="00792B36" w:rsidRDefault="009A0A63" w:rsidP="00A24459">
            <w:pPr>
              <w:contextualSpacing/>
              <w:jc w:val="center"/>
              <w:rPr>
                <w:sz w:val="24"/>
                <w:szCs w:val="24"/>
              </w:rPr>
            </w:pPr>
            <w:r w:rsidRPr="00792B36">
              <w:rPr>
                <w:color w:val="000000"/>
                <w:sz w:val="24"/>
                <w:szCs w:val="24"/>
              </w:rPr>
              <w:t>1,398.36</w:t>
            </w:r>
          </w:p>
        </w:tc>
        <w:tc>
          <w:tcPr>
            <w:tcW w:w="1177" w:type="dxa"/>
            <w:vAlign w:val="center"/>
          </w:tcPr>
          <w:p w14:paraId="16F32370" w14:textId="77777777" w:rsidR="009A0A63" w:rsidRPr="00792B36" w:rsidRDefault="009A0A63" w:rsidP="00A24459">
            <w:pPr>
              <w:contextualSpacing/>
              <w:jc w:val="center"/>
              <w:rPr>
                <w:sz w:val="24"/>
                <w:szCs w:val="24"/>
              </w:rPr>
            </w:pPr>
            <w:r w:rsidRPr="00792B36">
              <w:rPr>
                <w:color w:val="000000"/>
                <w:sz w:val="24"/>
                <w:szCs w:val="24"/>
              </w:rPr>
              <w:t>222.80</w:t>
            </w:r>
          </w:p>
        </w:tc>
        <w:tc>
          <w:tcPr>
            <w:tcW w:w="1027" w:type="dxa"/>
            <w:vAlign w:val="center"/>
          </w:tcPr>
          <w:p w14:paraId="08A330EB" w14:textId="77777777" w:rsidR="009A0A63" w:rsidRPr="00792B36" w:rsidRDefault="009A0A63" w:rsidP="00A24459">
            <w:pPr>
              <w:contextualSpacing/>
              <w:jc w:val="center"/>
              <w:rPr>
                <w:sz w:val="24"/>
                <w:szCs w:val="24"/>
              </w:rPr>
            </w:pPr>
            <w:r w:rsidRPr="00792B36">
              <w:rPr>
                <w:color w:val="000000"/>
                <w:sz w:val="24"/>
                <w:szCs w:val="24"/>
              </w:rPr>
              <w:t>47.56</w:t>
            </w:r>
          </w:p>
        </w:tc>
        <w:tc>
          <w:tcPr>
            <w:tcW w:w="957" w:type="dxa"/>
            <w:vAlign w:val="center"/>
          </w:tcPr>
          <w:p w14:paraId="779867CE" w14:textId="77777777" w:rsidR="009A0A63" w:rsidRPr="00792B36" w:rsidRDefault="009A0A63" w:rsidP="00A24459">
            <w:pPr>
              <w:contextualSpacing/>
              <w:jc w:val="center"/>
              <w:rPr>
                <w:sz w:val="24"/>
                <w:szCs w:val="24"/>
              </w:rPr>
            </w:pPr>
            <w:r w:rsidRPr="00792B36">
              <w:rPr>
                <w:color w:val="000000"/>
                <w:sz w:val="24"/>
                <w:szCs w:val="24"/>
              </w:rPr>
              <w:t>516.04</w:t>
            </w:r>
          </w:p>
        </w:tc>
        <w:tc>
          <w:tcPr>
            <w:tcW w:w="900" w:type="dxa"/>
            <w:vAlign w:val="center"/>
          </w:tcPr>
          <w:p w14:paraId="2CD35222" w14:textId="77777777" w:rsidR="009A0A63" w:rsidRPr="00792B36" w:rsidRDefault="009A0A63" w:rsidP="00A24459">
            <w:pPr>
              <w:contextualSpacing/>
              <w:jc w:val="center"/>
              <w:rPr>
                <w:sz w:val="24"/>
                <w:szCs w:val="24"/>
              </w:rPr>
            </w:pPr>
            <w:r w:rsidRPr="00792B36">
              <w:rPr>
                <w:color w:val="000000"/>
                <w:sz w:val="24"/>
                <w:szCs w:val="24"/>
              </w:rPr>
              <w:t>727.97</w:t>
            </w:r>
          </w:p>
        </w:tc>
      </w:tr>
      <w:tr w:rsidR="009A0A63" w:rsidRPr="00792B36" w14:paraId="14A648A9" w14:textId="77777777" w:rsidTr="00A24459">
        <w:trPr>
          <w:trHeight w:val="340"/>
        </w:trPr>
        <w:tc>
          <w:tcPr>
            <w:tcW w:w="617" w:type="dxa"/>
            <w:vAlign w:val="center"/>
          </w:tcPr>
          <w:p w14:paraId="7A909CC9" w14:textId="77777777" w:rsidR="009A0A63" w:rsidRPr="00792B36" w:rsidRDefault="009A0A63" w:rsidP="00A24459">
            <w:pPr>
              <w:contextualSpacing/>
              <w:jc w:val="center"/>
              <w:rPr>
                <w:sz w:val="24"/>
                <w:szCs w:val="24"/>
              </w:rPr>
            </w:pPr>
            <w:r w:rsidRPr="00792B36">
              <w:rPr>
                <w:b/>
                <w:bCs/>
                <w:color w:val="000000"/>
                <w:sz w:val="24"/>
                <w:szCs w:val="24"/>
              </w:rPr>
              <w:t>2013</w:t>
            </w:r>
          </w:p>
        </w:tc>
        <w:tc>
          <w:tcPr>
            <w:tcW w:w="1177" w:type="dxa"/>
            <w:vAlign w:val="center"/>
          </w:tcPr>
          <w:p w14:paraId="18DBBD96" w14:textId="77777777" w:rsidR="009A0A63" w:rsidRPr="00792B36" w:rsidRDefault="009A0A63" w:rsidP="00A24459">
            <w:pPr>
              <w:contextualSpacing/>
              <w:jc w:val="center"/>
              <w:rPr>
                <w:sz w:val="24"/>
                <w:szCs w:val="24"/>
              </w:rPr>
            </w:pPr>
            <w:r w:rsidRPr="00792B36">
              <w:rPr>
                <w:color w:val="000000"/>
                <w:sz w:val="24"/>
                <w:szCs w:val="24"/>
              </w:rPr>
              <w:t>586.44</w:t>
            </w:r>
          </w:p>
        </w:tc>
        <w:tc>
          <w:tcPr>
            <w:tcW w:w="1095" w:type="dxa"/>
            <w:vAlign w:val="center"/>
          </w:tcPr>
          <w:p w14:paraId="4104F2FE" w14:textId="77777777" w:rsidR="009A0A63" w:rsidRPr="00792B36" w:rsidRDefault="009A0A63" w:rsidP="00A24459">
            <w:pPr>
              <w:contextualSpacing/>
              <w:jc w:val="center"/>
              <w:rPr>
                <w:sz w:val="24"/>
                <w:szCs w:val="24"/>
              </w:rPr>
            </w:pPr>
            <w:r w:rsidRPr="00792B36">
              <w:rPr>
                <w:color w:val="000000"/>
                <w:sz w:val="24"/>
                <w:szCs w:val="24"/>
              </w:rPr>
              <w:t>159.11</w:t>
            </w:r>
          </w:p>
        </w:tc>
        <w:tc>
          <w:tcPr>
            <w:tcW w:w="987" w:type="dxa"/>
            <w:vAlign w:val="center"/>
          </w:tcPr>
          <w:p w14:paraId="75EAC965" w14:textId="77777777" w:rsidR="009A0A63" w:rsidRPr="00792B36" w:rsidRDefault="009A0A63" w:rsidP="00A24459">
            <w:pPr>
              <w:contextualSpacing/>
              <w:jc w:val="center"/>
              <w:rPr>
                <w:sz w:val="24"/>
                <w:szCs w:val="24"/>
              </w:rPr>
            </w:pPr>
            <w:r w:rsidRPr="00792B36">
              <w:rPr>
                <w:color w:val="000000"/>
                <w:sz w:val="24"/>
                <w:szCs w:val="24"/>
              </w:rPr>
              <w:t>622.79</w:t>
            </w:r>
          </w:p>
        </w:tc>
        <w:tc>
          <w:tcPr>
            <w:tcW w:w="1080" w:type="dxa"/>
            <w:vAlign w:val="center"/>
          </w:tcPr>
          <w:p w14:paraId="4B3D20B3" w14:textId="77777777" w:rsidR="009A0A63" w:rsidRPr="00792B36" w:rsidRDefault="009A0A63" w:rsidP="00A24459">
            <w:pPr>
              <w:contextualSpacing/>
              <w:jc w:val="center"/>
              <w:rPr>
                <w:sz w:val="24"/>
                <w:szCs w:val="24"/>
              </w:rPr>
            </w:pPr>
            <w:r w:rsidRPr="00792B36">
              <w:rPr>
                <w:color w:val="000000"/>
                <w:sz w:val="24"/>
                <w:szCs w:val="24"/>
              </w:rPr>
              <w:t>1,389.59</w:t>
            </w:r>
          </w:p>
        </w:tc>
        <w:tc>
          <w:tcPr>
            <w:tcW w:w="1177" w:type="dxa"/>
            <w:vAlign w:val="center"/>
          </w:tcPr>
          <w:p w14:paraId="031C5A5C" w14:textId="77777777" w:rsidR="009A0A63" w:rsidRPr="00792B36" w:rsidRDefault="009A0A63" w:rsidP="00A24459">
            <w:pPr>
              <w:contextualSpacing/>
              <w:jc w:val="center"/>
              <w:rPr>
                <w:sz w:val="24"/>
                <w:szCs w:val="24"/>
              </w:rPr>
            </w:pPr>
            <w:r w:rsidRPr="00792B36">
              <w:rPr>
                <w:color w:val="000000"/>
                <w:sz w:val="24"/>
                <w:szCs w:val="24"/>
              </w:rPr>
              <w:t>216.58</w:t>
            </w:r>
          </w:p>
        </w:tc>
        <w:tc>
          <w:tcPr>
            <w:tcW w:w="1027" w:type="dxa"/>
            <w:vAlign w:val="center"/>
          </w:tcPr>
          <w:p w14:paraId="71C31B0A" w14:textId="77777777" w:rsidR="009A0A63" w:rsidRPr="00792B36" w:rsidRDefault="009A0A63" w:rsidP="00A24459">
            <w:pPr>
              <w:contextualSpacing/>
              <w:jc w:val="center"/>
              <w:rPr>
                <w:sz w:val="24"/>
                <w:szCs w:val="24"/>
              </w:rPr>
            </w:pPr>
            <w:r w:rsidRPr="00792B36">
              <w:rPr>
                <w:color w:val="000000"/>
                <w:sz w:val="24"/>
                <w:szCs w:val="24"/>
              </w:rPr>
              <w:t>45.74</w:t>
            </w:r>
          </w:p>
        </w:tc>
        <w:tc>
          <w:tcPr>
            <w:tcW w:w="957" w:type="dxa"/>
            <w:vAlign w:val="center"/>
          </w:tcPr>
          <w:p w14:paraId="64F14180" w14:textId="77777777" w:rsidR="009A0A63" w:rsidRPr="00792B36" w:rsidRDefault="009A0A63" w:rsidP="00A24459">
            <w:pPr>
              <w:contextualSpacing/>
              <w:jc w:val="center"/>
              <w:rPr>
                <w:sz w:val="24"/>
                <w:szCs w:val="24"/>
              </w:rPr>
            </w:pPr>
            <w:r w:rsidRPr="00792B36">
              <w:rPr>
                <w:color w:val="000000"/>
                <w:sz w:val="24"/>
                <w:szCs w:val="24"/>
              </w:rPr>
              <w:t>482.12</w:t>
            </w:r>
          </w:p>
        </w:tc>
        <w:tc>
          <w:tcPr>
            <w:tcW w:w="900" w:type="dxa"/>
            <w:vAlign w:val="center"/>
          </w:tcPr>
          <w:p w14:paraId="166AA771" w14:textId="77777777" w:rsidR="009A0A63" w:rsidRPr="00792B36" w:rsidRDefault="009A0A63" w:rsidP="00A24459">
            <w:pPr>
              <w:contextualSpacing/>
              <w:jc w:val="center"/>
              <w:rPr>
                <w:sz w:val="24"/>
                <w:szCs w:val="24"/>
              </w:rPr>
            </w:pPr>
            <w:r w:rsidRPr="00792B36">
              <w:rPr>
                <w:color w:val="000000"/>
                <w:sz w:val="24"/>
                <w:szCs w:val="24"/>
              </w:rPr>
              <w:t>692.90</w:t>
            </w:r>
          </w:p>
        </w:tc>
      </w:tr>
      <w:tr w:rsidR="009A0A63" w:rsidRPr="00792B36" w14:paraId="458EA2CF" w14:textId="77777777" w:rsidTr="00A24459">
        <w:trPr>
          <w:trHeight w:val="340"/>
        </w:trPr>
        <w:tc>
          <w:tcPr>
            <w:tcW w:w="617" w:type="dxa"/>
            <w:vAlign w:val="center"/>
          </w:tcPr>
          <w:p w14:paraId="4A3E2E1F" w14:textId="77777777" w:rsidR="009A0A63" w:rsidRPr="00792B36" w:rsidRDefault="009A0A63" w:rsidP="00A24459">
            <w:pPr>
              <w:contextualSpacing/>
              <w:jc w:val="center"/>
              <w:rPr>
                <w:sz w:val="24"/>
                <w:szCs w:val="24"/>
              </w:rPr>
            </w:pPr>
            <w:r w:rsidRPr="00792B36">
              <w:rPr>
                <w:b/>
                <w:bCs/>
                <w:color w:val="000000"/>
                <w:sz w:val="24"/>
                <w:szCs w:val="24"/>
              </w:rPr>
              <w:t>2014</w:t>
            </w:r>
          </w:p>
        </w:tc>
        <w:tc>
          <w:tcPr>
            <w:tcW w:w="1177" w:type="dxa"/>
            <w:vAlign w:val="center"/>
          </w:tcPr>
          <w:p w14:paraId="4E7C33FA" w14:textId="77777777" w:rsidR="009A0A63" w:rsidRPr="00792B36" w:rsidRDefault="009A0A63" w:rsidP="00A24459">
            <w:pPr>
              <w:contextualSpacing/>
              <w:jc w:val="center"/>
              <w:rPr>
                <w:sz w:val="24"/>
                <w:szCs w:val="24"/>
              </w:rPr>
            </w:pPr>
            <w:r w:rsidRPr="00792B36">
              <w:rPr>
                <w:color w:val="000000"/>
                <w:sz w:val="24"/>
                <w:szCs w:val="24"/>
              </w:rPr>
              <w:t>568.22</w:t>
            </w:r>
          </w:p>
        </w:tc>
        <w:tc>
          <w:tcPr>
            <w:tcW w:w="1095" w:type="dxa"/>
            <w:vAlign w:val="center"/>
          </w:tcPr>
          <w:p w14:paraId="0DE2DA0F" w14:textId="77777777" w:rsidR="009A0A63" w:rsidRPr="00792B36" w:rsidRDefault="009A0A63" w:rsidP="00A24459">
            <w:pPr>
              <w:contextualSpacing/>
              <w:jc w:val="center"/>
              <w:rPr>
                <w:sz w:val="24"/>
                <w:szCs w:val="24"/>
              </w:rPr>
            </w:pPr>
            <w:r w:rsidRPr="00792B36">
              <w:rPr>
                <w:color w:val="000000"/>
                <w:sz w:val="24"/>
                <w:szCs w:val="24"/>
              </w:rPr>
              <w:t>158.35</w:t>
            </w:r>
          </w:p>
        </w:tc>
        <w:tc>
          <w:tcPr>
            <w:tcW w:w="987" w:type="dxa"/>
            <w:vAlign w:val="center"/>
          </w:tcPr>
          <w:p w14:paraId="52D43BED" w14:textId="77777777" w:rsidR="009A0A63" w:rsidRPr="00792B36" w:rsidRDefault="009A0A63" w:rsidP="00A24459">
            <w:pPr>
              <w:contextualSpacing/>
              <w:jc w:val="center"/>
              <w:rPr>
                <w:sz w:val="24"/>
                <w:szCs w:val="24"/>
              </w:rPr>
            </w:pPr>
            <w:r w:rsidRPr="00792B36">
              <w:rPr>
                <w:color w:val="000000"/>
                <w:sz w:val="24"/>
                <w:szCs w:val="24"/>
              </w:rPr>
              <w:t>592.90</w:t>
            </w:r>
          </w:p>
        </w:tc>
        <w:tc>
          <w:tcPr>
            <w:tcW w:w="1080" w:type="dxa"/>
            <w:vAlign w:val="center"/>
          </w:tcPr>
          <w:p w14:paraId="330BE211" w14:textId="77777777" w:rsidR="009A0A63" w:rsidRPr="00792B36" w:rsidRDefault="009A0A63" w:rsidP="00A24459">
            <w:pPr>
              <w:contextualSpacing/>
              <w:jc w:val="center"/>
              <w:rPr>
                <w:sz w:val="24"/>
                <w:szCs w:val="24"/>
              </w:rPr>
            </w:pPr>
            <w:r w:rsidRPr="00792B36">
              <w:rPr>
                <w:color w:val="000000"/>
                <w:sz w:val="24"/>
                <w:szCs w:val="24"/>
              </w:rPr>
              <w:t>1,339.51</w:t>
            </w:r>
          </w:p>
        </w:tc>
        <w:tc>
          <w:tcPr>
            <w:tcW w:w="1177" w:type="dxa"/>
            <w:vAlign w:val="center"/>
          </w:tcPr>
          <w:p w14:paraId="69EC8063" w14:textId="77777777" w:rsidR="009A0A63" w:rsidRPr="00792B36" w:rsidRDefault="009A0A63" w:rsidP="00A24459">
            <w:pPr>
              <w:contextualSpacing/>
              <w:jc w:val="center"/>
              <w:rPr>
                <w:sz w:val="24"/>
                <w:szCs w:val="24"/>
              </w:rPr>
            </w:pPr>
            <w:r w:rsidRPr="00792B36">
              <w:rPr>
                <w:color w:val="000000"/>
                <w:sz w:val="24"/>
                <w:szCs w:val="24"/>
              </w:rPr>
              <w:t>242.64</w:t>
            </w:r>
          </w:p>
        </w:tc>
        <w:tc>
          <w:tcPr>
            <w:tcW w:w="1027" w:type="dxa"/>
            <w:vAlign w:val="center"/>
          </w:tcPr>
          <w:p w14:paraId="31064A7B" w14:textId="77777777" w:rsidR="009A0A63" w:rsidRPr="00792B36" w:rsidRDefault="009A0A63" w:rsidP="00A24459">
            <w:pPr>
              <w:contextualSpacing/>
              <w:jc w:val="center"/>
              <w:rPr>
                <w:sz w:val="24"/>
                <w:szCs w:val="24"/>
              </w:rPr>
            </w:pPr>
            <w:r w:rsidRPr="00792B36">
              <w:rPr>
                <w:color w:val="000000"/>
                <w:sz w:val="24"/>
                <w:szCs w:val="24"/>
              </w:rPr>
              <w:t>47.47</w:t>
            </w:r>
          </w:p>
        </w:tc>
        <w:tc>
          <w:tcPr>
            <w:tcW w:w="957" w:type="dxa"/>
            <w:vAlign w:val="center"/>
          </w:tcPr>
          <w:p w14:paraId="59641577" w14:textId="77777777" w:rsidR="009A0A63" w:rsidRPr="00792B36" w:rsidRDefault="009A0A63" w:rsidP="00A24459">
            <w:pPr>
              <w:contextualSpacing/>
              <w:jc w:val="center"/>
              <w:rPr>
                <w:sz w:val="24"/>
                <w:szCs w:val="24"/>
              </w:rPr>
            </w:pPr>
            <w:r w:rsidRPr="00792B36">
              <w:rPr>
                <w:color w:val="000000"/>
                <w:sz w:val="24"/>
                <w:szCs w:val="24"/>
              </w:rPr>
              <w:t>456.07</w:t>
            </w:r>
          </w:p>
        </w:tc>
        <w:tc>
          <w:tcPr>
            <w:tcW w:w="900" w:type="dxa"/>
            <w:vAlign w:val="center"/>
          </w:tcPr>
          <w:p w14:paraId="6F986CB1" w14:textId="77777777" w:rsidR="009A0A63" w:rsidRPr="00792B36" w:rsidRDefault="009A0A63" w:rsidP="00A24459">
            <w:pPr>
              <w:contextualSpacing/>
              <w:jc w:val="center"/>
              <w:rPr>
                <w:sz w:val="24"/>
                <w:szCs w:val="24"/>
              </w:rPr>
            </w:pPr>
            <w:r w:rsidRPr="00792B36">
              <w:rPr>
                <w:color w:val="000000"/>
                <w:sz w:val="24"/>
                <w:szCs w:val="24"/>
              </w:rPr>
              <w:t>707.35</w:t>
            </w:r>
          </w:p>
        </w:tc>
      </w:tr>
      <w:tr w:rsidR="009A0A63" w:rsidRPr="00792B36" w14:paraId="42DABCE9" w14:textId="77777777" w:rsidTr="00A24459">
        <w:trPr>
          <w:trHeight w:val="340"/>
        </w:trPr>
        <w:tc>
          <w:tcPr>
            <w:tcW w:w="617" w:type="dxa"/>
            <w:vAlign w:val="center"/>
          </w:tcPr>
          <w:p w14:paraId="0C08B73E" w14:textId="77777777" w:rsidR="009A0A63" w:rsidRPr="00792B36" w:rsidRDefault="009A0A63" w:rsidP="00A24459">
            <w:pPr>
              <w:contextualSpacing/>
              <w:jc w:val="center"/>
              <w:rPr>
                <w:sz w:val="24"/>
                <w:szCs w:val="24"/>
              </w:rPr>
            </w:pPr>
            <w:r w:rsidRPr="00792B36">
              <w:rPr>
                <w:b/>
                <w:bCs/>
                <w:color w:val="000000"/>
                <w:sz w:val="24"/>
                <w:szCs w:val="24"/>
              </w:rPr>
              <w:t>2015</w:t>
            </w:r>
          </w:p>
        </w:tc>
        <w:tc>
          <w:tcPr>
            <w:tcW w:w="1177" w:type="dxa"/>
            <w:vAlign w:val="center"/>
          </w:tcPr>
          <w:p w14:paraId="456A8969" w14:textId="77777777" w:rsidR="009A0A63" w:rsidRPr="00792B36" w:rsidRDefault="009A0A63" w:rsidP="00A24459">
            <w:pPr>
              <w:contextualSpacing/>
              <w:jc w:val="center"/>
              <w:rPr>
                <w:sz w:val="24"/>
                <w:szCs w:val="24"/>
              </w:rPr>
            </w:pPr>
            <w:r w:rsidRPr="00792B36">
              <w:rPr>
                <w:color w:val="000000"/>
                <w:sz w:val="24"/>
                <w:szCs w:val="24"/>
              </w:rPr>
              <w:t>490.47</w:t>
            </w:r>
          </w:p>
        </w:tc>
        <w:tc>
          <w:tcPr>
            <w:tcW w:w="1095" w:type="dxa"/>
            <w:vAlign w:val="center"/>
          </w:tcPr>
          <w:p w14:paraId="23264A5A" w14:textId="77777777" w:rsidR="009A0A63" w:rsidRPr="00792B36" w:rsidRDefault="009A0A63" w:rsidP="00A24459">
            <w:pPr>
              <w:contextualSpacing/>
              <w:jc w:val="center"/>
              <w:rPr>
                <w:sz w:val="24"/>
                <w:szCs w:val="24"/>
              </w:rPr>
            </w:pPr>
            <w:r w:rsidRPr="00792B36">
              <w:rPr>
                <w:color w:val="000000"/>
                <w:sz w:val="24"/>
                <w:szCs w:val="24"/>
              </w:rPr>
              <w:t>154.35</w:t>
            </w:r>
          </w:p>
        </w:tc>
        <w:tc>
          <w:tcPr>
            <w:tcW w:w="987" w:type="dxa"/>
            <w:vAlign w:val="center"/>
          </w:tcPr>
          <w:p w14:paraId="0EFF23EF" w14:textId="77777777" w:rsidR="009A0A63" w:rsidRPr="00792B36" w:rsidRDefault="009A0A63" w:rsidP="00A24459">
            <w:pPr>
              <w:contextualSpacing/>
              <w:jc w:val="center"/>
              <w:rPr>
                <w:sz w:val="24"/>
                <w:szCs w:val="24"/>
              </w:rPr>
            </w:pPr>
            <w:r w:rsidRPr="00792B36">
              <w:rPr>
                <w:color w:val="000000"/>
                <w:sz w:val="24"/>
                <w:szCs w:val="24"/>
              </w:rPr>
              <w:t>630.06</w:t>
            </w:r>
          </w:p>
        </w:tc>
        <w:tc>
          <w:tcPr>
            <w:tcW w:w="1080" w:type="dxa"/>
            <w:vAlign w:val="center"/>
          </w:tcPr>
          <w:p w14:paraId="6D123501" w14:textId="77777777" w:rsidR="009A0A63" w:rsidRPr="00792B36" w:rsidRDefault="009A0A63" w:rsidP="00A24459">
            <w:pPr>
              <w:contextualSpacing/>
              <w:jc w:val="center"/>
              <w:rPr>
                <w:sz w:val="24"/>
                <w:szCs w:val="24"/>
              </w:rPr>
            </w:pPr>
            <w:r w:rsidRPr="00792B36">
              <w:rPr>
                <w:color w:val="000000"/>
                <w:sz w:val="24"/>
                <w:szCs w:val="24"/>
              </w:rPr>
              <w:t>1,311.13</w:t>
            </w:r>
          </w:p>
        </w:tc>
        <w:tc>
          <w:tcPr>
            <w:tcW w:w="1177" w:type="dxa"/>
            <w:vAlign w:val="center"/>
          </w:tcPr>
          <w:p w14:paraId="6E885581" w14:textId="77777777" w:rsidR="009A0A63" w:rsidRPr="00792B36" w:rsidRDefault="009A0A63" w:rsidP="00A24459">
            <w:pPr>
              <w:contextualSpacing/>
              <w:jc w:val="center"/>
              <w:rPr>
                <w:sz w:val="24"/>
                <w:szCs w:val="24"/>
              </w:rPr>
            </w:pPr>
            <w:r w:rsidRPr="00792B36">
              <w:rPr>
                <w:color w:val="000000"/>
                <w:sz w:val="24"/>
                <w:szCs w:val="24"/>
              </w:rPr>
              <w:t>207.02</w:t>
            </w:r>
          </w:p>
        </w:tc>
        <w:tc>
          <w:tcPr>
            <w:tcW w:w="1027" w:type="dxa"/>
            <w:vAlign w:val="center"/>
          </w:tcPr>
          <w:p w14:paraId="7F453683" w14:textId="77777777" w:rsidR="009A0A63" w:rsidRPr="00792B36" w:rsidRDefault="009A0A63" w:rsidP="00A24459">
            <w:pPr>
              <w:contextualSpacing/>
              <w:jc w:val="center"/>
              <w:rPr>
                <w:sz w:val="24"/>
                <w:szCs w:val="24"/>
              </w:rPr>
            </w:pPr>
            <w:r w:rsidRPr="00792B36">
              <w:rPr>
                <w:color w:val="000000"/>
                <w:sz w:val="24"/>
                <w:szCs w:val="24"/>
              </w:rPr>
              <w:t>47.54</w:t>
            </w:r>
          </w:p>
        </w:tc>
        <w:tc>
          <w:tcPr>
            <w:tcW w:w="957" w:type="dxa"/>
            <w:vAlign w:val="center"/>
          </w:tcPr>
          <w:p w14:paraId="1D493B26" w14:textId="77777777" w:rsidR="009A0A63" w:rsidRPr="00792B36" w:rsidRDefault="009A0A63" w:rsidP="00A24459">
            <w:pPr>
              <w:contextualSpacing/>
              <w:jc w:val="center"/>
              <w:rPr>
                <w:sz w:val="24"/>
                <w:szCs w:val="24"/>
              </w:rPr>
            </w:pPr>
            <w:r w:rsidRPr="00792B36">
              <w:rPr>
                <w:color w:val="000000"/>
                <w:sz w:val="24"/>
                <w:szCs w:val="24"/>
              </w:rPr>
              <w:t>483.80</w:t>
            </w:r>
          </w:p>
        </w:tc>
        <w:tc>
          <w:tcPr>
            <w:tcW w:w="900" w:type="dxa"/>
            <w:vAlign w:val="center"/>
          </w:tcPr>
          <w:p w14:paraId="1D6EE883" w14:textId="77777777" w:rsidR="009A0A63" w:rsidRPr="00792B36" w:rsidRDefault="009A0A63" w:rsidP="00A24459">
            <w:pPr>
              <w:contextualSpacing/>
              <w:jc w:val="center"/>
              <w:rPr>
                <w:sz w:val="24"/>
                <w:szCs w:val="24"/>
              </w:rPr>
            </w:pPr>
            <w:r w:rsidRPr="00792B36">
              <w:rPr>
                <w:color w:val="000000"/>
                <w:sz w:val="24"/>
                <w:szCs w:val="24"/>
              </w:rPr>
              <w:t>691.22</w:t>
            </w:r>
          </w:p>
        </w:tc>
      </w:tr>
      <w:tr w:rsidR="009A0A63" w:rsidRPr="00792B36" w14:paraId="4F5C74CA" w14:textId="77777777" w:rsidTr="00A24459">
        <w:trPr>
          <w:trHeight w:val="340"/>
        </w:trPr>
        <w:tc>
          <w:tcPr>
            <w:tcW w:w="617" w:type="dxa"/>
            <w:vAlign w:val="center"/>
          </w:tcPr>
          <w:p w14:paraId="5C8E0FE2" w14:textId="77777777" w:rsidR="009A0A63" w:rsidRPr="00792B36" w:rsidRDefault="009A0A63" w:rsidP="00A24459">
            <w:pPr>
              <w:contextualSpacing/>
              <w:jc w:val="center"/>
              <w:rPr>
                <w:sz w:val="24"/>
                <w:szCs w:val="24"/>
              </w:rPr>
            </w:pPr>
            <w:r w:rsidRPr="00792B36">
              <w:rPr>
                <w:b/>
                <w:bCs/>
                <w:color w:val="000000"/>
                <w:sz w:val="24"/>
                <w:szCs w:val="24"/>
              </w:rPr>
              <w:t>2016</w:t>
            </w:r>
          </w:p>
        </w:tc>
        <w:tc>
          <w:tcPr>
            <w:tcW w:w="1177" w:type="dxa"/>
            <w:vAlign w:val="center"/>
          </w:tcPr>
          <w:p w14:paraId="510437C1" w14:textId="77777777" w:rsidR="009A0A63" w:rsidRPr="00792B36" w:rsidRDefault="009A0A63" w:rsidP="00A24459">
            <w:pPr>
              <w:contextualSpacing/>
              <w:jc w:val="center"/>
              <w:rPr>
                <w:sz w:val="24"/>
                <w:szCs w:val="24"/>
              </w:rPr>
            </w:pPr>
            <w:r w:rsidRPr="00792B36">
              <w:rPr>
                <w:color w:val="000000"/>
                <w:sz w:val="24"/>
                <w:szCs w:val="24"/>
              </w:rPr>
              <w:t>480.24</w:t>
            </w:r>
          </w:p>
        </w:tc>
        <w:tc>
          <w:tcPr>
            <w:tcW w:w="1095" w:type="dxa"/>
            <w:vAlign w:val="center"/>
          </w:tcPr>
          <w:p w14:paraId="29DBBB1C" w14:textId="77777777" w:rsidR="009A0A63" w:rsidRPr="00792B36" w:rsidRDefault="009A0A63" w:rsidP="00A24459">
            <w:pPr>
              <w:contextualSpacing/>
              <w:jc w:val="center"/>
              <w:rPr>
                <w:sz w:val="24"/>
                <w:szCs w:val="24"/>
              </w:rPr>
            </w:pPr>
            <w:r w:rsidRPr="00792B36">
              <w:rPr>
                <w:color w:val="000000"/>
                <w:sz w:val="24"/>
                <w:szCs w:val="24"/>
              </w:rPr>
              <w:t>181.78</w:t>
            </w:r>
          </w:p>
        </w:tc>
        <w:tc>
          <w:tcPr>
            <w:tcW w:w="987" w:type="dxa"/>
            <w:vAlign w:val="center"/>
          </w:tcPr>
          <w:p w14:paraId="6DA5EC66" w14:textId="77777777" w:rsidR="009A0A63" w:rsidRPr="00792B36" w:rsidRDefault="009A0A63" w:rsidP="00A24459">
            <w:pPr>
              <w:contextualSpacing/>
              <w:jc w:val="center"/>
              <w:rPr>
                <w:sz w:val="24"/>
                <w:szCs w:val="24"/>
              </w:rPr>
            </w:pPr>
            <w:r w:rsidRPr="00792B36">
              <w:rPr>
                <w:color w:val="000000"/>
                <w:sz w:val="24"/>
                <w:szCs w:val="24"/>
              </w:rPr>
              <w:t>661.69</w:t>
            </w:r>
          </w:p>
        </w:tc>
        <w:tc>
          <w:tcPr>
            <w:tcW w:w="1080" w:type="dxa"/>
            <w:vAlign w:val="center"/>
          </w:tcPr>
          <w:p w14:paraId="116AECFC" w14:textId="77777777" w:rsidR="009A0A63" w:rsidRPr="00792B36" w:rsidRDefault="009A0A63" w:rsidP="00A24459">
            <w:pPr>
              <w:contextualSpacing/>
              <w:jc w:val="center"/>
              <w:rPr>
                <w:sz w:val="24"/>
                <w:szCs w:val="24"/>
              </w:rPr>
            </w:pPr>
            <w:r w:rsidRPr="00792B36">
              <w:rPr>
                <w:color w:val="000000"/>
                <w:sz w:val="24"/>
                <w:szCs w:val="24"/>
              </w:rPr>
              <w:t>1,371.03</w:t>
            </w:r>
          </w:p>
        </w:tc>
        <w:tc>
          <w:tcPr>
            <w:tcW w:w="1177" w:type="dxa"/>
            <w:vAlign w:val="center"/>
          </w:tcPr>
          <w:p w14:paraId="4E1230A0" w14:textId="77777777" w:rsidR="009A0A63" w:rsidRPr="00792B36" w:rsidRDefault="009A0A63" w:rsidP="00A24459">
            <w:pPr>
              <w:contextualSpacing/>
              <w:jc w:val="center"/>
              <w:rPr>
                <w:sz w:val="24"/>
                <w:szCs w:val="24"/>
              </w:rPr>
            </w:pPr>
            <w:r w:rsidRPr="00792B36">
              <w:rPr>
                <w:color w:val="000000"/>
                <w:sz w:val="24"/>
                <w:szCs w:val="24"/>
              </w:rPr>
              <w:t>205.37</w:t>
            </w:r>
          </w:p>
        </w:tc>
        <w:tc>
          <w:tcPr>
            <w:tcW w:w="1027" w:type="dxa"/>
            <w:vAlign w:val="center"/>
          </w:tcPr>
          <w:p w14:paraId="2AE042FE" w14:textId="77777777" w:rsidR="009A0A63" w:rsidRPr="00792B36" w:rsidRDefault="009A0A63" w:rsidP="00A24459">
            <w:pPr>
              <w:contextualSpacing/>
              <w:jc w:val="center"/>
              <w:rPr>
                <w:sz w:val="24"/>
                <w:szCs w:val="24"/>
              </w:rPr>
            </w:pPr>
            <w:r w:rsidRPr="00792B36">
              <w:rPr>
                <w:color w:val="000000"/>
                <w:sz w:val="24"/>
                <w:szCs w:val="24"/>
              </w:rPr>
              <w:t>49.43</w:t>
            </w:r>
          </w:p>
        </w:tc>
        <w:tc>
          <w:tcPr>
            <w:tcW w:w="957" w:type="dxa"/>
            <w:vAlign w:val="center"/>
          </w:tcPr>
          <w:p w14:paraId="7876CE15" w14:textId="77777777" w:rsidR="009A0A63" w:rsidRPr="00792B36" w:rsidRDefault="009A0A63" w:rsidP="00A24459">
            <w:pPr>
              <w:contextualSpacing/>
              <w:jc w:val="center"/>
              <w:rPr>
                <w:sz w:val="24"/>
                <w:szCs w:val="24"/>
              </w:rPr>
            </w:pPr>
            <w:r w:rsidRPr="00792B36">
              <w:rPr>
                <w:color w:val="000000"/>
                <w:sz w:val="24"/>
                <w:szCs w:val="24"/>
              </w:rPr>
              <w:t>501.32</w:t>
            </w:r>
          </w:p>
        </w:tc>
        <w:tc>
          <w:tcPr>
            <w:tcW w:w="900" w:type="dxa"/>
            <w:vAlign w:val="center"/>
          </w:tcPr>
          <w:p w14:paraId="00CCE43C" w14:textId="77777777" w:rsidR="009A0A63" w:rsidRPr="00792B36" w:rsidRDefault="009A0A63" w:rsidP="00A24459">
            <w:pPr>
              <w:contextualSpacing/>
              <w:jc w:val="center"/>
              <w:rPr>
                <w:sz w:val="24"/>
                <w:szCs w:val="24"/>
              </w:rPr>
            </w:pPr>
            <w:r w:rsidRPr="00792B36">
              <w:rPr>
                <w:color w:val="000000"/>
                <w:sz w:val="24"/>
                <w:szCs w:val="24"/>
              </w:rPr>
              <w:t>707.11</w:t>
            </w:r>
          </w:p>
        </w:tc>
      </w:tr>
      <w:tr w:rsidR="009A0A63" w:rsidRPr="00792B36" w14:paraId="0A874354" w14:textId="77777777" w:rsidTr="00A24459">
        <w:trPr>
          <w:trHeight w:val="340"/>
        </w:trPr>
        <w:tc>
          <w:tcPr>
            <w:tcW w:w="617" w:type="dxa"/>
            <w:vAlign w:val="center"/>
          </w:tcPr>
          <w:p w14:paraId="28F93C8E" w14:textId="77777777" w:rsidR="009A0A63" w:rsidRPr="00792B36" w:rsidRDefault="009A0A63" w:rsidP="00A24459">
            <w:pPr>
              <w:contextualSpacing/>
              <w:jc w:val="center"/>
              <w:rPr>
                <w:sz w:val="24"/>
                <w:szCs w:val="24"/>
              </w:rPr>
            </w:pPr>
            <w:r w:rsidRPr="00792B36">
              <w:rPr>
                <w:b/>
                <w:bCs/>
                <w:color w:val="000000"/>
                <w:sz w:val="24"/>
                <w:szCs w:val="24"/>
              </w:rPr>
              <w:t>2017</w:t>
            </w:r>
          </w:p>
        </w:tc>
        <w:tc>
          <w:tcPr>
            <w:tcW w:w="1177" w:type="dxa"/>
            <w:vAlign w:val="center"/>
          </w:tcPr>
          <w:p w14:paraId="7C94EA59" w14:textId="77777777" w:rsidR="009A0A63" w:rsidRPr="00792B36" w:rsidRDefault="009A0A63" w:rsidP="00A24459">
            <w:pPr>
              <w:contextualSpacing/>
              <w:jc w:val="center"/>
              <w:rPr>
                <w:sz w:val="24"/>
                <w:szCs w:val="24"/>
              </w:rPr>
            </w:pPr>
            <w:r w:rsidRPr="00792B36">
              <w:rPr>
                <w:color w:val="000000"/>
                <w:sz w:val="24"/>
                <w:szCs w:val="24"/>
              </w:rPr>
              <w:t>308.86</w:t>
            </w:r>
          </w:p>
        </w:tc>
        <w:tc>
          <w:tcPr>
            <w:tcW w:w="1095" w:type="dxa"/>
            <w:vAlign w:val="center"/>
          </w:tcPr>
          <w:p w14:paraId="77EF6592" w14:textId="77777777" w:rsidR="009A0A63" w:rsidRPr="00792B36" w:rsidRDefault="009A0A63" w:rsidP="00A24459">
            <w:pPr>
              <w:contextualSpacing/>
              <w:jc w:val="center"/>
              <w:rPr>
                <w:sz w:val="24"/>
                <w:szCs w:val="24"/>
              </w:rPr>
            </w:pPr>
            <w:r w:rsidRPr="00792B36">
              <w:rPr>
                <w:color w:val="000000"/>
                <w:sz w:val="24"/>
                <w:szCs w:val="24"/>
              </w:rPr>
              <w:t>117.71</w:t>
            </w:r>
          </w:p>
        </w:tc>
        <w:tc>
          <w:tcPr>
            <w:tcW w:w="987" w:type="dxa"/>
            <w:vAlign w:val="center"/>
          </w:tcPr>
          <w:p w14:paraId="36187B04" w14:textId="77777777" w:rsidR="009A0A63" w:rsidRPr="00792B36" w:rsidRDefault="009A0A63" w:rsidP="00A24459">
            <w:pPr>
              <w:contextualSpacing/>
              <w:jc w:val="center"/>
              <w:rPr>
                <w:sz w:val="24"/>
                <w:szCs w:val="24"/>
              </w:rPr>
            </w:pPr>
            <w:r w:rsidRPr="00792B36">
              <w:rPr>
                <w:color w:val="000000"/>
                <w:sz w:val="24"/>
                <w:szCs w:val="24"/>
              </w:rPr>
              <w:t>629.19</w:t>
            </w:r>
          </w:p>
        </w:tc>
        <w:tc>
          <w:tcPr>
            <w:tcW w:w="1080" w:type="dxa"/>
            <w:vAlign w:val="center"/>
          </w:tcPr>
          <w:p w14:paraId="64340E5C" w14:textId="77777777" w:rsidR="009A0A63" w:rsidRPr="00792B36" w:rsidRDefault="009A0A63" w:rsidP="00A24459">
            <w:pPr>
              <w:contextualSpacing/>
              <w:jc w:val="center"/>
              <w:rPr>
                <w:sz w:val="24"/>
                <w:szCs w:val="24"/>
              </w:rPr>
            </w:pPr>
            <w:r w:rsidRPr="00792B36">
              <w:rPr>
                <w:color w:val="000000"/>
                <w:sz w:val="24"/>
                <w:szCs w:val="24"/>
              </w:rPr>
              <w:t>1,111.58</w:t>
            </w:r>
          </w:p>
        </w:tc>
        <w:tc>
          <w:tcPr>
            <w:tcW w:w="1177" w:type="dxa"/>
            <w:vAlign w:val="center"/>
          </w:tcPr>
          <w:p w14:paraId="3C17CB52" w14:textId="77777777" w:rsidR="009A0A63" w:rsidRPr="00792B36" w:rsidRDefault="009A0A63" w:rsidP="00A24459">
            <w:pPr>
              <w:contextualSpacing/>
              <w:jc w:val="center"/>
              <w:rPr>
                <w:sz w:val="24"/>
                <w:szCs w:val="24"/>
              </w:rPr>
            </w:pPr>
            <w:r w:rsidRPr="00792B36">
              <w:rPr>
                <w:color w:val="000000"/>
                <w:sz w:val="24"/>
                <w:szCs w:val="24"/>
              </w:rPr>
              <w:t>159.27</w:t>
            </w:r>
          </w:p>
        </w:tc>
        <w:tc>
          <w:tcPr>
            <w:tcW w:w="1027" w:type="dxa"/>
            <w:vAlign w:val="center"/>
          </w:tcPr>
          <w:p w14:paraId="77DFD1D7" w14:textId="77777777" w:rsidR="009A0A63" w:rsidRPr="00792B36" w:rsidRDefault="009A0A63" w:rsidP="00A24459">
            <w:pPr>
              <w:contextualSpacing/>
              <w:jc w:val="center"/>
              <w:rPr>
                <w:sz w:val="24"/>
                <w:szCs w:val="24"/>
              </w:rPr>
            </w:pPr>
            <w:r w:rsidRPr="00792B36">
              <w:rPr>
                <w:color w:val="000000"/>
                <w:sz w:val="24"/>
                <w:szCs w:val="24"/>
              </w:rPr>
              <w:t>48.85</w:t>
            </w:r>
          </w:p>
        </w:tc>
        <w:tc>
          <w:tcPr>
            <w:tcW w:w="957" w:type="dxa"/>
            <w:vAlign w:val="center"/>
          </w:tcPr>
          <w:p w14:paraId="60822921" w14:textId="77777777" w:rsidR="009A0A63" w:rsidRPr="00792B36" w:rsidRDefault="009A0A63" w:rsidP="00A24459">
            <w:pPr>
              <w:contextualSpacing/>
              <w:jc w:val="center"/>
              <w:rPr>
                <w:sz w:val="24"/>
                <w:szCs w:val="24"/>
              </w:rPr>
            </w:pPr>
            <w:r w:rsidRPr="00792B36">
              <w:rPr>
                <w:color w:val="000000"/>
                <w:sz w:val="24"/>
                <w:szCs w:val="24"/>
              </w:rPr>
              <w:t>505.01</w:t>
            </w:r>
          </w:p>
        </w:tc>
        <w:tc>
          <w:tcPr>
            <w:tcW w:w="900" w:type="dxa"/>
            <w:vAlign w:val="center"/>
          </w:tcPr>
          <w:p w14:paraId="7C70B2C6" w14:textId="77777777" w:rsidR="009A0A63" w:rsidRPr="00792B36" w:rsidRDefault="009A0A63" w:rsidP="00A24459">
            <w:pPr>
              <w:contextualSpacing/>
              <w:jc w:val="center"/>
              <w:rPr>
                <w:sz w:val="24"/>
                <w:szCs w:val="24"/>
              </w:rPr>
            </w:pPr>
            <w:r w:rsidRPr="00792B36">
              <w:rPr>
                <w:color w:val="000000"/>
                <w:sz w:val="24"/>
                <w:szCs w:val="24"/>
              </w:rPr>
              <w:t>659.91</w:t>
            </w:r>
          </w:p>
        </w:tc>
      </w:tr>
      <w:tr w:rsidR="009A0A63" w:rsidRPr="00792B36" w14:paraId="41A20FA9" w14:textId="77777777" w:rsidTr="00A24459">
        <w:trPr>
          <w:trHeight w:val="340"/>
        </w:trPr>
        <w:tc>
          <w:tcPr>
            <w:tcW w:w="617" w:type="dxa"/>
            <w:vAlign w:val="center"/>
          </w:tcPr>
          <w:p w14:paraId="022EA87D" w14:textId="77777777" w:rsidR="009A0A63" w:rsidRPr="00792B36" w:rsidRDefault="009A0A63" w:rsidP="00A24459">
            <w:pPr>
              <w:contextualSpacing/>
              <w:jc w:val="center"/>
              <w:rPr>
                <w:sz w:val="24"/>
                <w:szCs w:val="24"/>
              </w:rPr>
            </w:pPr>
            <w:r w:rsidRPr="00792B36">
              <w:rPr>
                <w:b/>
                <w:bCs/>
                <w:color w:val="000000"/>
                <w:sz w:val="24"/>
                <w:szCs w:val="24"/>
              </w:rPr>
              <w:t>2018</w:t>
            </w:r>
          </w:p>
        </w:tc>
        <w:tc>
          <w:tcPr>
            <w:tcW w:w="1177" w:type="dxa"/>
            <w:vAlign w:val="center"/>
          </w:tcPr>
          <w:p w14:paraId="53027503" w14:textId="77777777" w:rsidR="009A0A63" w:rsidRPr="00792B36" w:rsidRDefault="009A0A63" w:rsidP="00A24459">
            <w:pPr>
              <w:contextualSpacing/>
              <w:jc w:val="center"/>
              <w:rPr>
                <w:sz w:val="24"/>
                <w:szCs w:val="24"/>
              </w:rPr>
            </w:pPr>
            <w:r w:rsidRPr="00792B36">
              <w:rPr>
                <w:color w:val="000000"/>
                <w:sz w:val="24"/>
                <w:szCs w:val="24"/>
              </w:rPr>
              <w:t>356.77</w:t>
            </w:r>
          </w:p>
        </w:tc>
        <w:tc>
          <w:tcPr>
            <w:tcW w:w="1095" w:type="dxa"/>
            <w:vAlign w:val="center"/>
          </w:tcPr>
          <w:p w14:paraId="204FD760" w14:textId="77777777" w:rsidR="009A0A63" w:rsidRPr="00792B36" w:rsidRDefault="009A0A63" w:rsidP="00A24459">
            <w:pPr>
              <w:contextualSpacing/>
              <w:jc w:val="center"/>
              <w:rPr>
                <w:sz w:val="24"/>
                <w:szCs w:val="24"/>
              </w:rPr>
            </w:pPr>
            <w:r w:rsidRPr="00792B36">
              <w:rPr>
                <w:color w:val="000000"/>
                <w:sz w:val="24"/>
                <w:szCs w:val="24"/>
              </w:rPr>
              <w:t>108.73</w:t>
            </w:r>
          </w:p>
        </w:tc>
        <w:tc>
          <w:tcPr>
            <w:tcW w:w="987" w:type="dxa"/>
            <w:vAlign w:val="center"/>
          </w:tcPr>
          <w:p w14:paraId="32063BD8" w14:textId="77777777" w:rsidR="009A0A63" w:rsidRPr="00792B36" w:rsidRDefault="009A0A63" w:rsidP="00A24459">
            <w:pPr>
              <w:contextualSpacing/>
              <w:jc w:val="center"/>
              <w:rPr>
                <w:sz w:val="24"/>
                <w:szCs w:val="24"/>
              </w:rPr>
            </w:pPr>
            <w:r w:rsidRPr="00792B36">
              <w:rPr>
                <w:color w:val="000000"/>
                <w:sz w:val="24"/>
                <w:szCs w:val="24"/>
              </w:rPr>
              <w:t>657.00</w:t>
            </w:r>
          </w:p>
        </w:tc>
        <w:tc>
          <w:tcPr>
            <w:tcW w:w="1080" w:type="dxa"/>
            <w:vAlign w:val="center"/>
          </w:tcPr>
          <w:p w14:paraId="34328943" w14:textId="77777777" w:rsidR="009A0A63" w:rsidRPr="00792B36" w:rsidRDefault="009A0A63" w:rsidP="00A24459">
            <w:pPr>
              <w:contextualSpacing/>
              <w:jc w:val="center"/>
              <w:rPr>
                <w:sz w:val="24"/>
                <w:szCs w:val="24"/>
              </w:rPr>
            </w:pPr>
            <w:r w:rsidRPr="00792B36">
              <w:rPr>
                <w:color w:val="000000"/>
                <w:sz w:val="24"/>
                <w:szCs w:val="24"/>
              </w:rPr>
              <w:t>1,175.02</w:t>
            </w:r>
          </w:p>
        </w:tc>
        <w:tc>
          <w:tcPr>
            <w:tcW w:w="1177" w:type="dxa"/>
            <w:vAlign w:val="center"/>
          </w:tcPr>
          <w:p w14:paraId="11C8A73C" w14:textId="77777777" w:rsidR="009A0A63" w:rsidRPr="00792B36" w:rsidRDefault="009A0A63" w:rsidP="00A24459">
            <w:pPr>
              <w:contextualSpacing/>
              <w:jc w:val="center"/>
              <w:rPr>
                <w:sz w:val="24"/>
                <w:szCs w:val="24"/>
              </w:rPr>
            </w:pPr>
            <w:r w:rsidRPr="00792B36">
              <w:rPr>
                <w:color w:val="000000"/>
                <w:sz w:val="24"/>
                <w:szCs w:val="24"/>
              </w:rPr>
              <w:t>220.61</w:t>
            </w:r>
          </w:p>
        </w:tc>
        <w:tc>
          <w:tcPr>
            <w:tcW w:w="1027" w:type="dxa"/>
            <w:vAlign w:val="center"/>
          </w:tcPr>
          <w:p w14:paraId="59C45EBE" w14:textId="77777777" w:rsidR="009A0A63" w:rsidRPr="00792B36" w:rsidRDefault="009A0A63" w:rsidP="00A24459">
            <w:pPr>
              <w:contextualSpacing/>
              <w:jc w:val="center"/>
              <w:rPr>
                <w:sz w:val="24"/>
                <w:szCs w:val="24"/>
              </w:rPr>
            </w:pPr>
            <w:r w:rsidRPr="00792B36">
              <w:rPr>
                <w:color w:val="000000"/>
                <w:sz w:val="24"/>
                <w:szCs w:val="24"/>
              </w:rPr>
              <w:t>50.05</w:t>
            </w:r>
          </w:p>
        </w:tc>
        <w:tc>
          <w:tcPr>
            <w:tcW w:w="957" w:type="dxa"/>
            <w:vAlign w:val="center"/>
          </w:tcPr>
          <w:p w14:paraId="5D7396D5" w14:textId="77777777" w:rsidR="009A0A63" w:rsidRPr="00792B36" w:rsidRDefault="009A0A63" w:rsidP="00A24459">
            <w:pPr>
              <w:contextualSpacing/>
              <w:jc w:val="center"/>
              <w:rPr>
                <w:sz w:val="24"/>
                <w:szCs w:val="24"/>
              </w:rPr>
            </w:pPr>
            <w:r w:rsidRPr="00792B36">
              <w:rPr>
                <w:color w:val="000000"/>
                <w:sz w:val="24"/>
                <w:szCs w:val="24"/>
              </w:rPr>
              <w:t>518.37</w:t>
            </w:r>
          </w:p>
        </w:tc>
        <w:tc>
          <w:tcPr>
            <w:tcW w:w="900" w:type="dxa"/>
            <w:vAlign w:val="center"/>
          </w:tcPr>
          <w:p w14:paraId="366E543A" w14:textId="77777777" w:rsidR="009A0A63" w:rsidRPr="00792B36" w:rsidRDefault="009A0A63" w:rsidP="00A24459">
            <w:pPr>
              <w:contextualSpacing/>
              <w:jc w:val="center"/>
              <w:rPr>
                <w:sz w:val="24"/>
                <w:szCs w:val="24"/>
              </w:rPr>
            </w:pPr>
            <w:r w:rsidRPr="00792B36">
              <w:rPr>
                <w:color w:val="000000"/>
                <w:sz w:val="24"/>
                <w:szCs w:val="24"/>
              </w:rPr>
              <w:t>742.49</w:t>
            </w:r>
          </w:p>
        </w:tc>
      </w:tr>
    </w:tbl>
    <w:p w14:paraId="013F9107" w14:textId="77777777" w:rsidR="009A0A63" w:rsidRPr="00792B36" w:rsidRDefault="009A0A63" w:rsidP="009A0A63">
      <w:pPr>
        <w:spacing w:line="360" w:lineRule="auto"/>
        <w:rPr>
          <w:sz w:val="24"/>
          <w:szCs w:val="24"/>
        </w:rPr>
      </w:pPr>
    </w:p>
    <w:p w14:paraId="7EAB69B8" w14:textId="77777777" w:rsidR="009A0A63" w:rsidRPr="00792B36" w:rsidRDefault="009A0A63" w:rsidP="009A0A63">
      <w:pPr>
        <w:spacing w:line="360" w:lineRule="auto"/>
        <w:rPr>
          <w:sz w:val="24"/>
          <w:szCs w:val="24"/>
        </w:rPr>
      </w:pPr>
    </w:p>
    <w:p w14:paraId="1103B02F" w14:textId="77777777" w:rsidR="009A0A63" w:rsidRPr="00792B36" w:rsidRDefault="009A0A63" w:rsidP="009A0A63">
      <w:pPr>
        <w:spacing w:line="360" w:lineRule="auto"/>
        <w:rPr>
          <w:sz w:val="24"/>
          <w:szCs w:val="24"/>
        </w:rPr>
      </w:pPr>
    </w:p>
    <w:p w14:paraId="558AAF26" w14:textId="77777777" w:rsidR="009A0A63" w:rsidRPr="00792B36" w:rsidRDefault="009A0A63" w:rsidP="009A0A63">
      <w:pPr>
        <w:spacing w:line="360" w:lineRule="auto"/>
        <w:contextualSpacing/>
        <w:rPr>
          <w:color w:val="000000" w:themeColor="text1"/>
          <w:sz w:val="24"/>
          <w:szCs w:val="24"/>
        </w:rPr>
      </w:pPr>
      <w:r w:rsidRPr="00792B36">
        <w:rPr>
          <w:b/>
          <w:bCs/>
          <w:sz w:val="24"/>
          <w:szCs w:val="24"/>
        </w:rPr>
        <w:lastRenderedPageBreak/>
        <w:t xml:space="preserve">Annex 2.12 </w:t>
      </w:r>
      <w:r w:rsidRPr="00792B36">
        <w:rPr>
          <w:color w:val="000000" w:themeColor="text1"/>
          <w:sz w:val="24"/>
          <w:szCs w:val="24"/>
        </w:rPr>
        <w:t>Cont.</w:t>
      </w:r>
    </w:p>
    <w:tbl>
      <w:tblPr>
        <w:tblStyle w:val="TableGrid"/>
        <w:tblW w:w="0" w:type="auto"/>
        <w:tblLook w:val="04A0" w:firstRow="1" w:lastRow="0" w:firstColumn="1" w:lastColumn="0" w:noHBand="0" w:noVBand="1"/>
      </w:tblPr>
      <w:tblGrid>
        <w:gridCol w:w="624"/>
        <w:gridCol w:w="1196"/>
        <w:gridCol w:w="1044"/>
        <w:gridCol w:w="973"/>
        <w:gridCol w:w="1034"/>
        <w:gridCol w:w="1197"/>
        <w:gridCol w:w="1044"/>
        <w:gridCol w:w="973"/>
        <w:gridCol w:w="932"/>
      </w:tblGrid>
      <w:tr w:rsidR="009A0A63" w:rsidRPr="00792B36" w14:paraId="47EE45C3" w14:textId="77777777" w:rsidTr="00A24459">
        <w:trPr>
          <w:trHeight w:val="340"/>
        </w:trPr>
        <w:tc>
          <w:tcPr>
            <w:tcW w:w="617" w:type="dxa"/>
            <w:vMerge w:val="restart"/>
            <w:vAlign w:val="center"/>
          </w:tcPr>
          <w:p w14:paraId="446E27DC" w14:textId="77777777" w:rsidR="009A0A63" w:rsidRPr="00792B36" w:rsidRDefault="009A0A63" w:rsidP="00A24459">
            <w:pPr>
              <w:contextualSpacing/>
              <w:jc w:val="center"/>
              <w:rPr>
                <w:b/>
                <w:bCs/>
                <w:sz w:val="24"/>
                <w:szCs w:val="24"/>
              </w:rPr>
            </w:pPr>
            <w:r w:rsidRPr="00792B36">
              <w:rPr>
                <w:b/>
                <w:bCs/>
                <w:color w:val="000000"/>
                <w:sz w:val="24"/>
                <w:szCs w:val="24"/>
              </w:rPr>
              <w:t>Year</w:t>
            </w:r>
          </w:p>
        </w:tc>
        <w:tc>
          <w:tcPr>
            <w:tcW w:w="4339" w:type="dxa"/>
            <w:gridSpan w:val="4"/>
            <w:vAlign w:val="center"/>
          </w:tcPr>
          <w:p w14:paraId="50FC01B5" w14:textId="77777777" w:rsidR="009A0A63" w:rsidRPr="00792B36" w:rsidRDefault="009A0A63" w:rsidP="00A24459">
            <w:pPr>
              <w:contextualSpacing/>
              <w:jc w:val="center"/>
              <w:rPr>
                <w:b/>
                <w:bCs/>
                <w:sz w:val="24"/>
                <w:szCs w:val="24"/>
              </w:rPr>
            </w:pPr>
            <w:r w:rsidRPr="00792B36">
              <w:rPr>
                <w:b/>
                <w:bCs/>
                <w:sz w:val="24"/>
                <w:szCs w:val="24"/>
              </w:rPr>
              <w:t>Bangkok</w:t>
            </w:r>
          </w:p>
        </w:tc>
        <w:tc>
          <w:tcPr>
            <w:tcW w:w="4061" w:type="dxa"/>
            <w:gridSpan w:val="4"/>
            <w:vAlign w:val="center"/>
          </w:tcPr>
          <w:p w14:paraId="6EDA4DF9" w14:textId="77777777" w:rsidR="009A0A63" w:rsidRPr="00792B36" w:rsidRDefault="009A0A63" w:rsidP="00A24459">
            <w:pPr>
              <w:contextualSpacing/>
              <w:jc w:val="center"/>
              <w:rPr>
                <w:b/>
                <w:bCs/>
                <w:sz w:val="24"/>
                <w:szCs w:val="24"/>
              </w:rPr>
            </w:pPr>
            <w:r w:rsidRPr="00792B36">
              <w:rPr>
                <w:b/>
                <w:bCs/>
                <w:sz w:val="24"/>
                <w:szCs w:val="24"/>
              </w:rPr>
              <w:t>Thailand</w:t>
            </w:r>
          </w:p>
        </w:tc>
      </w:tr>
      <w:tr w:rsidR="009A0A63" w:rsidRPr="00792B36" w14:paraId="4610A44F" w14:textId="77777777" w:rsidTr="00A24459">
        <w:trPr>
          <w:trHeight w:val="340"/>
        </w:trPr>
        <w:tc>
          <w:tcPr>
            <w:tcW w:w="617" w:type="dxa"/>
            <w:vMerge/>
            <w:vAlign w:val="center"/>
          </w:tcPr>
          <w:p w14:paraId="1AF730DE" w14:textId="77777777" w:rsidR="009A0A63" w:rsidRPr="00792B36" w:rsidRDefault="009A0A63" w:rsidP="00A24459">
            <w:pPr>
              <w:contextualSpacing/>
              <w:jc w:val="center"/>
              <w:rPr>
                <w:b/>
                <w:bCs/>
                <w:sz w:val="24"/>
                <w:szCs w:val="24"/>
              </w:rPr>
            </w:pPr>
          </w:p>
        </w:tc>
        <w:tc>
          <w:tcPr>
            <w:tcW w:w="1177" w:type="dxa"/>
            <w:vAlign w:val="center"/>
          </w:tcPr>
          <w:p w14:paraId="181A8520" w14:textId="77777777" w:rsidR="009A0A63" w:rsidRPr="00792B36" w:rsidRDefault="009A0A63" w:rsidP="00A24459">
            <w:pPr>
              <w:contextualSpacing/>
              <w:jc w:val="center"/>
              <w:rPr>
                <w:b/>
                <w:bCs/>
                <w:sz w:val="24"/>
                <w:szCs w:val="24"/>
              </w:rPr>
            </w:pPr>
            <w:r w:rsidRPr="00792B36">
              <w:rPr>
                <w:b/>
                <w:bCs/>
                <w:color w:val="000000"/>
                <w:sz w:val="24"/>
                <w:szCs w:val="24"/>
              </w:rPr>
              <w:t>Agriculture</w:t>
            </w:r>
          </w:p>
        </w:tc>
        <w:tc>
          <w:tcPr>
            <w:tcW w:w="1095" w:type="dxa"/>
            <w:vAlign w:val="center"/>
          </w:tcPr>
          <w:p w14:paraId="4C71D33F" w14:textId="77777777" w:rsidR="009A0A63" w:rsidRPr="00792B36" w:rsidRDefault="009A0A63" w:rsidP="00A24459">
            <w:pPr>
              <w:contextualSpacing/>
              <w:jc w:val="center"/>
              <w:rPr>
                <w:b/>
                <w:bCs/>
                <w:sz w:val="24"/>
                <w:szCs w:val="24"/>
              </w:rPr>
            </w:pPr>
            <w:r w:rsidRPr="00792B36">
              <w:rPr>
                <w:b/>
                <w:bCs/>
                <w:color w:val="000000"/>
                <w:sz w:val="24"/>
                <w:szCs w:val="24"/>
              </w:rPr>
              <w:t>Industrial</w:t>
            </w:r>
          </w:p>
        </w:tc>
        <w:tc>
          <w:tcPr>
            <w:tcW w:w="987" w:type="dxa"/>
            <w:vAlign w:val="center"/>
          </w:tcPr>
          <w:p w14:paraId="45C201AF" w14:textId="77777777" w:rsidR="009A0A63" w:rsidRPr="00792B36" w:rsidRDefault="009A0A63" w:rsidP="00A24459">
            <w:pPr>
              <w:contextualSpacing/>
              <w:jc w:val="center"/>
              <w:rPr>
                <w:b/>
                <w:bCs/>
                <w:sz w:val="24"/>
                <w:szCs w:val="24"/>
              </w:rPr>
            </w:pPr>
            <w:r w:rsidRPr="00792B36">
              <w:rPr>
                <w:b/>
                <w:bCs/>
                <w:color w:val="000000"/>
                <w:sz w:val="24"/>
                <w:szCs w:val="24"/>
              </w:rPr>
              <w:t>Services</w:t>
            </w:r>
          </w:p>
        </w:tc>
        <w:tc>
          <w:tcPr>
            <w:tcW w:w="1080" w:type="dxa"/>
            <w:vAlign w:val="center"/>
          </w:tcPr>
          <w:p w14:paraId="3EC782B2" w14:textId="77777777" w:rsidR="009A0A63" w:rsidRPr="00792B36" w:rsidRDefault="009A0A63" w:rsidP="00A24459">
            <w:pPr>
              <w:contextualSpacing/>
              <w:jc w:val="center"/>
              <w:rPr>
                <w:b/>
                <w:bCs/>
                <w:sz w:val="24"/>
                <w:szCs w:val="24"/>
              </w:rPr>
            </w:pPr>
            <w:r w:rsidRPr="00792B36">
              <w:rPr>
                <w:b/>
                <w:bCs/>
                <w:color w:val="000000"/>
                <w:sz w:val="24"/>
                <w:szCs w:val="24"/>
              </w:rPr>
              <w:t>GPP</w:t>
            </w:r>
          </w:p>
        </w:tc>
        <w:tc>
          <w:tcPr>
            <w:tcW w:w="1177" w:type="dxa"/>
            <w:vAlign w:val="center"/>
          </w:tcPr>
          <w:p w14:paraId="06EDC4A1" w14:textId="77777777" w:rsidR="009A0A63" w:rsidRPr="00792B36" w:rsidRDefault="009A0A63" w:rsidP="00A24459">
            <w:pPr>
              <w:contextualSpacing/>
              <w:jc w:val="center"/>
              <w:rPr>
                <w:b/>
                <w:bCs/>
                <w:sz w:val="24"/>
                <w:szCs w:val="24"/>
              </w:rPr>
            </w:pPr>
            <w:r w:rsidRPr="00792B36">
              <w:rPr>
                <w:b/>
                <w:bCs/>
                <w:color w:val="000000"/>
                <w:sz w:val="24"/>
                <w:szCs w:val="24"/>
              </w:rPr>
              <w:t>Agriculture</w:t>
            </w:r>
          </w:p>
        </w:tc>
        <w:tc>
          <w:tcPr>
            <w:tcW w:w="1027" w:type="dxa"/>
            <w:vAlign w:val="center"/>
          </w:tcPr>
          <w:p w14:paraId="6A9CFF6C" w14:textId="77777777" w:rsidR="009A0A63" w:rsidRPr="00792B36" w:rsidRDefault="009A0A63" w:rsidP="00A24459">
            <w:pPr>
              <w:contextualSpacing/>
              <w:jc w:val="center"/>
              <w:rPr>
                <w:b/>
                <w:bCs/>
                <w:sz w:val="24"/>
                <w:szCs w:val="24"/>
              </w:rPr>
            </w:pPr>
            <w:r w:rsidRPr="00792B36">
              <w:rPr>
                <w:b/>
                <w:bCs/>
                <w:color w:val="000000"/>
                <w:sz w:val="24"/>
                <w:szCs w:val="24"/>
              </w:rPr>
              <w:t>Industrial</w:t>
            </w:r>
          </w:p>
        </w:tc>
        <w:tc>
          <w:tcPr>
            <w:tcW w:w="957" w:type="dxa"/>
            <w:vAlign w:val="center"/>
          </w:tcPr>
          <w:p w14:paraId="23FFAF26" w14:textId="77777777" w:rsidR="009A0A63" w:rsidRPr="00792B36" w:rsidRDefault="009A0A63" w:rsidP="00A24459">
            <w:pPr>
              <w:contextualSpacing/>
              <w:jc w:val="center"/>
              <w:rPr>
                <w:b/>
                <w:bCs/>
                <w:sz w:val="24"/>
                <w:szCs w:val="24"/>
              </w:rPr>
            </w:pPr>
            <w:r w:rsidRPr="00792B36">
              <w:rPr>
                <w:b/>
                <w:bCs/>
                <w:color w:val="000000"/>
                <w:sz w:val="24"/>
                <w:szCs w:val="24"/>
              </w:rPr>
              <w:t>Services</w:t>
            </w:r>
          </w:p>
        </w:tc>
        <w:tc>
          <w:tcPr>
            <w:tcW w:w="900" w:type="dxa"/>
            <w:vAlign w:val="center"/>
          </w:tcPr>
          <w:p w14:paraId="22EF0146" w14:textId="77777777" w:rsidR="009A0A63" w:rsidRPr="00792B36" w:rsidRDefault="009A0A63" w:rsidP="00A24459">
            <w:pPr>
              <w:contextualSpacing/>
              <w:jc w:val="center"/>
              <w:rPr>
                <w:b/>
                <w:bCs/>
                <w:sz w:val="24"/>
                <w:szCs w:val="24"/>
              </w:rPr>
            </w:pPr>
            <w:r w:rsidRPr="00792B36">
              <w:rPr>
                <w:b/>
                <w:bCs/>
                <w:sz w:val="24"/>
                <w:szCs w:val="24"/>
              </w:rPr>
              <w:t>Total</w:t>
            </w:r>
          </w:p>
        </w:tc>
      </w:tr>
      <w:tr w:rsidR="009A0A63" w:rsidRPr="00792B36" w14:paraId="32D9ABD5" w14:textId="77777777" w:rsidTr="00A24459">
        <w:trPr>
          <w:trHeight w:val="340"/>
        </w:trPr>
        <w:tc>
          <w:tcPr>
            <w:tcW w:w="617" w:type="dxa"/>
            <w:vAlign w:val="center"/>
          </w:tcPr>
          <w:p w14:paraId="077C484A" w14:textId="77777777" w:rsidR="009A0A63" w:rsidRPr="00792B36" w:rsidRDefault="009A0A63" w:rsidP="00A24459">
            <w:pPr>
              <w:contextualSpacing/>
              <w:jc w:val="center"/>
              <w:rPr>
                <w:sz w:val="24"/>
                <w:szCs w:val="24"/>
              </w:rPr>
            </w:pPr>
            <w:r w:rsidRPr="00792B36">
              <w:rPr>
                <w:b/>
                <w:bCs/>
                <w:color w:val="000000"/>
                <w:sz w:val="24"/>
                <w:szCs w:val="24"/>
              </w:rPr>
              <w:t>1995</w:t>
            </w:r>
          </w:p>
        </w:tc>
        <w:tc>
          <w:tcPr>
            <w:tcW w:w="1177" w:type="dxa"/>
            <w:vAlign w:val="center"/>
          </w:tcPr>
          <w:p w14:paraId="45EDED57" w14:textId="77777777" w:rsidR="009A0A63" w:rsidRPr="00792B36" w:rsidRDefault="009A0A63" w:rsidP="00A24459">
            <w:pPr>
              <w:contextualSpacing/>
              <w:jc w:val="center"/>
              <w:rPr>
                <w:sz w:val="24"/>
                <w:szCs w:val="24"/>
              </w:rPr>
            </w:pPr>
            <w:r w:rsidRPr="00792B36">
              <w:rPr>
                <w:color w:val="000000"/>
                <w:sz w:val="24"/>
                <w:szCs w:val="24"/>
              </w:rPr>
              <w:t>5.78</w:t>
            </w:r>
          </w:p>
        </w:tc>
        <w:tc>
          <w:tcPr>
            <w:tcW w:w="1095" w:type="dxa"/>
            <w:vAlign w:val="center"/>
          </w:tcPr>
          <w:p w14:paraId="53B6EDC2" w14:textId="77777777" w:rsidR="009A0A63" w:rsidRPr="00792B36" w:rsidRDefault="009A0A63" w:rsidP="00A24459">
            <w:pPr>
              <w:contextualSpacing/>
              <w:jc w:val="center"/>
              <w:rPr>
                <w:sz w:val="24"/>
                <w:szCs w:val="24"/>
              </w:rPr>
            </w:pPr>
            <w:r w:rsidRPr="00792B36">
              <w:rPr>
                <w:color w:val="000000"/>
                <w:sz w:val="24"/>
                <w:szCs w:val="24"/>
              </w:rPr>
              <w:t>1,070.88</w:t>
            </w:r>
          </w:p>
        </w:tc>
        <w:tc>
          <w:tcPr>
            <w:tcW w:w="987" w:type="dxa"/>
            <w:vAlign w:val="center"/>
          </w:tcPr>
          <w:p w14:paraId="2BCC0C6F" w14:textId="77777777" w:rsidR="009A0A63" w:rsidRPr="00792B36" w:rsidRDefault="009A0A63" w:rsidP="00A24459">
            <w:pPr>
              <w:contextualSpacing/>
              <w:jc w:val="center"/>
              <w:rPr>
                <w:sz w:val="24"/>
                <w:szCs w:val="24"/>
              </w:rPr>
            </w:pPr>
            <w:r w:rsidRPr="00792B36">
              <w:rPr>
                <w:color w:val="000000"/>
                <w:sz w:val="24"/>
                <w:szCs w:val="24"/>
              </w:rPr>
              <w:t>6,108.88</w:t>
            </w:r>
          </w:p>
        </w:tc>
        <w:tc>
          <w:tcPr>
            <w:tcW w:w="1080" w:type="dxa"/>
            <w:vAlign w:val="center"/>
          </w:tcPr>
          <w:p w14:paraId="4E05D9D0" w14:textId="77777777" w:rsidR="009A0A63" w:rsidRPr="00792B36" w:rsidRDefault="009A0A63" w:rsidP="00A24459">
            <w:pPr>
              <w:contextualSpacing/>
              <w:jc w:val="center"/>
              <w:rPr>
                <w:sz w:val="24"/>
                <w:szCs w:val="24"/>
              </w:rPr>
            </w:pPr>
            <w:r w:rsidRPr="00792B36">
              <w:rPr>
                <w:color w:val="000000"/>
                <w:sz w:val="24"/>
                <w:szCs w:val="24"/>
              </w:rPr>
              <w:t>7,192.76</w:t>
            </w:r>
          </w:p>
        </w:tc>
        <w:tc>
          <w:tcPr>
            <w:tcW w:w="1177" w:type="dxa"/>
            <w:vAlign w:val="center"/>
          </w:tcPr>
          <w:p w14:paraId="5181D215" w14:textId="77777777" w:rsidR="009A0A63" w:rsidRPr="00792B36" w:rsidRDefault="009A0A63" w:rsidP="00A24459">
            <w:pPr>
              <w:contextualSpacing/>
              <w:jc w:val="center"/>
              <w:rPr>
                <w:sz w:val="24"/>
                <w:szCs w:val="24"/>
              </w:rPr>
            </w:pPr>
            <w:r w:rsidRPr="00792B36">
              <w:rPr>
                <w:color w:val="000000"/>
                <w:sz w:val="24"/>
                <w:szCs w:val="24"/>
              </w:rPr>
              <w:t>162.29</w:t>
            </w:r>
          </w:p>
        </w:tc>
        <w:tc>
          <w:tcPr>
            <w:tcW w:w="1027" w:type="dxa"/>
            <w:vAlign w:val="center"/>
          </w:tcPr>
          <w:p w14:paraId="7C656171" w14:textId="77777777" w:rsidR="009A0A63" w:rsidRPr="00792B36" w:rsidRDefault="009A0A63" w:rsidP="00A24459">
            <w:pPr>
              <w:contextualSpacing/>
              <w:jc w:val="center"/>
              <w:rPr>
                <w:sz w:val="24"/>
                <w:szCs w:val="24"/>
              </w:rPr>
            </w:pPr>
            <w:r w:rsidRPr="00792B36">
              <w:rPr>
                <w:color w:val="000000"/>
                <w:sz w:val="24"/>
                <w:szCs w:val="24"/>
              </w:rPr>
              <w:t>612.65</w:t>
            </w:r>
          </w:p>
        </w:tc>
        <w:tc>
          <w:tcPr>
            <w:tcW w:w="957" w:type="dxa"/>
            <w:vAlign w:val="center"/>
          </w:tcPr>
          <w:p w14:paraId="585828E1" w14:textId="77777777" w:rsidR="009A0A63" w:rsidRPr="00792B36" w:rsidRDefault="009A0A63" w:rsidP="00A24459">
            <w:pPr>
              <w:contextualSpacing/>
              <w:jc w:val="center"/>
              <w:rPr>
                <w:sz w:val="24"/>
                <w:szCs w:val="24"/>
              </w:rPr>
            </w:pPr>
            <w:r w:rsidRPr="00792B36">
              <w:rPr>
                <w:color w:val="000000"/>
                <w:sz w:val="24"/>
                <w:szCs w:val="24"/>
              </w:rPr>
              <w:t>1,225.84</w:t>
            </w:r>
          </w:p>
        </w:tc>
        <w:tc>
          <w:tcPr>
            <w:tcW w:w="900" w:type="dxa"/>
            <w:vAlign w:val="center"/>
          </w:tcPr>
          <w:p w14:paraId="4925311B" w14:textId="77777777" w:rsidR="009A0A63" w:rsidRPr="00792B36" w:rsidRDefault="009A0A63" w:rsidP="00A24459">
            <w:pPr>
              <w:contextualSpacing/>
              <w:jc w:val="center"/>
              <w:rPr>
                <w:sz w:val="24"/>
                <w:szCs w:val="24"/>
              </w:rPr>
            </w:pPr>
            <w:r w:rsidRPr="00792B36">
              <w:rPr>
                <w:color w:val="000000"/>
                <w:sz w:val="24"/>
                <w:szCs w:val="24"/>
              </w:rPr>
              <w:t>1,999.42</w:t>
            </w:r>
          </w:p>
        </w:tc>
      </w:tr>
      <w:tr w:rsidR="009A0A63" w:rsidRPr="00792B36" w14:paraId="29D07F5E" w14:textId="77777777" w:rsidTr="00A24459">
        <w:trPr>
          <w:trHeight w:val="340"/>
        </w:trPr>
        <w:tc>
          <w:tcPr>
            <w:tcW w:w="617" w:type="dxa"/>
            <w:vAlign w:val="center"/>
          </w:tcPr>
          <w:p w14:paraId="63A1C7BE" w14:textId="77777777" w:rsidR="009A0A63" w:rsidRPr="00792B36" w:rsidRDefault="009A0A63" w:rsidP="00A24459">
            <w:pPr>
              <w:contextualSpacing/>
              <w:jc w:val="center"/>
              <w:rPr>
                <w:sz w:val="24"/>
                <w:szCs w:val="24"/>
              </w:rPr>
            </w:pPr>
            <w:r w:rsidRPr="00792B36">
              <w:rPr>
                <w:b/>
                <w:bCs/>
                <w:color w:val="000000"/>
                <w:sz w:val="24"/>
                <w:szCs w:val="24"/>
              </w:rPr>
              <w:t>1996</w:t>
            </w:r>
          </w:p>
        </w:tc>
        <w:tc>
          <w:tcPr>
            <w:tcW w:w="1177" w:type="dxa"/>
            <w:vAlign w:val="center"/>
          </w:tcPr>
          <w:p w14:paraId="5078BB29" w14:textId="77777777" w:rsidR="009A0A63" w:rsidRPr="00792B36" w:rsidRDefault="009A0A63" w:rsidP="00A24459">
            <w:pPr>
              <w:contextualSpacing/>
              <w:jc w:val="center"/>
              <w:rPr>
                <w:sz w:val="24"/>
                <w:szCs w:val="24"/>
              </w:rPr>
            </w:pPr>
            <w:r w:rsidRPr="00792B36">
              <w:rPr>
                <w:color w:val="000000"/>
                <w:sz w:val="24"/>
                <w:szCs w:val="24"/>
              </w:rPr>
              <w:t>4.60</w:t>
            </w:r>
          </w:p>
        </w:tc>
        <w:tc>
          <w:tcPr>
            <w:tcW w:w="1095" w:type="dxa"/>
            <w:vAlign w:val="center"/>
          </w:tcPr>
          <w:p w14:paraId="42B0E664" w14:textId="77777777" w:rsidR="009A0A63" w:rsidRPr="00792B36" w:rsidRDefault="009A0A63" w:rsidP="00A24459">
            <w:pPr>
              <w:contextualSpacing/>
              <w:jc w:val="center"/>
              <w:rPr>
                <w:sz w:val="24"/>
                <w:szCs w:val="24"/>
              </w:rPr>
            </w:pPr>
            <w:r w:rsidRPr="00792B36">
              <w:rPr>
                <w:color w:val="000000"/>
                <w:sz w:val="24"/>
                <w:szCs w:val="24"/>
              </w:rPr>
              <w:t>1,103.92</w:t>
            </w:r>
          </w:p>
        </w:tc>
        <w:tc>
          <w:tcPr>
            <w:tcW w:w="987" w:type="dxa"/>
            <w:vAlign w:val="center"/>
          </w:tcPr>
          <w:p w14:paraId="178363A5" w14:textId="77777777" w:rsidR="009A0A63" w:rsidRPr="00792B36" w:rsidRDefault="009A0A63" w:rsidP="00A24459">
            <w:pPr>
              <w:contextualSpacing/>
              <w:jc w:val="center"/>
              <w:rPr>
                <w:sz w:val="24"/>
                <w:szCs w:val="24"/>
              </w:rPr>
            </w:pPr>
            <w:r w:rsidRPr="00792B36">
              <w:rPr>
                <w:color w:val="000000"/>
                <w:sz w:val="24"/>
                <w:szCs w:val="24"/>
              </w:rPr>
              <w:t>6,244.88</w:t>
            </w:r>
          </w:p>
        </w:tc>
        <w:tc>
          <w:tcPr>
            <w:tcW w:w="1080" w:type="dxa"/>
            <w:vAlign w:val="center"/>
          </w:tcPr>
          <w:p w14:paraId="26927833" w14:textId="77777777" w:rsidR="009A0A63" w:rsidRPr="00792B36" w:rsidRDefault="009A0A63" w:rsidP="00A24459">
            <w:pPr>
              <w:contextualSpacing/>
              <w:jc w:val="center"/>
              <w:rPr>
                <w:sz w:val="24"/>
                <w:szCs w:val="24"/>
              </w:rPr>
            </w:pPr>
            <w:r w:rsidRPr="00792B36">
              <w:rPr>
                <w:color w:val="000000"/>
                <w:sz w:val="24"/>
                <w:szCs w:val="24"/>
              </w:rPr>
              <w:t>7,360.75</w:t>
            </w:r>
          </w:p>
        </w:tc>
        <w:tc>
          <w:tcPr>
            <w:tcW w:w="1177" w:type="dxa"/>
            <w:vAlign w:val="center"/>
          </w:tcPr>
          <w:p w14:paraId="5C1A0C66" w14:textId="77777777" w:rsidR="009A0A63" w:rsidRPr="00792B36" w:rsidRDefault="009A0A63" w:rsidP="00A24459">
            <w:pPr>
              <w:contextualSpacing/>
              <w:jc w:val="center"/>
              <w:rPr>
                <w:sz w:val="24"/>
                <w:szCs w:val="24"/>
              </w:rPr>
            </w:pPr>
            <w:r w:rsidRPr="00792B36">
              <w:rPr>
                <w:color w:val="000000"/>
                <w:sz w:val="24"/>
                <w:szCs w:val="24"/>
              </w:rPr>
              <w:t>169.04</w:t>
            </w:r>
          </w:p>
        </w:tc>
        <w:tc>
          <w:tcPr>
            <w:tcW w:w="1027" w:type="dxa"/>
            <w:vAlign w:val="center"/>
          </w:tcPr>
          <w:p w14:paraId="6E5A9705" w14:textId="77777777" w:rsidR="009A0A63" w:rsidRPr="00792B36" w:rsidRDefault="009A0A63" w:rsidP="00A24459">
            <w:pPr>
              <w:contextualSpacing/>
              <w:jc w:val="center"/>
              <w:rPr>
                <w:sz w:val="24"/>
                <w:szCs w:val="24"/>
              </w:rPr>
            </w:pPr>
            <w:r w:rsidRPr="00792B36">
              <w:rPr>
                <w:color w:val="000000"/>
                <w:sz w:val="24"/>
                <w:szCs w:val="24"/>
              </w:rPr>
              <w:t>645.10</w:t>
            </w:r>
          </w:p>
        </w:tc>
        <w:tc>
          <w:tcPr>
            <w:tcW w:w="957" w:type="dxa"/>
            <w:vAlign w:val="center"/>
          </w:tcPr>
          <w:p w14:paraId="24607F39" w14:textId="77777777" w:rsidR="009A0A63" w:rsidRPr="00792B36" w:rsidRDefault="009A0A63" w:rsidP="00A24459">
            <w:pPr>
              <w:contextualSpacing/>
              <w:jc w:val="center"/>
              <w:rPr>
                <w:sz w:val="24"/>
                <w:szCs w:val="24"/>
              </w:rPr>
            </w:pPr>
            <w:r w:rsidRPr="00792B36">
              <w:rPr>
                <w:color w:val="000000"/>
                <w:sz w:val="24"/>
                <w:szCs w:val="24"/>
              </w:rPr>
              <w:t>1,277.05</w:t>
            </w:r>
          </w:p>
        </w:tc>
        <w:tc>
          <w:tcPr>
            <w:tcW w:w="900" w:type="dxa"/>
            <w:vAlign w:val="center"/>
          </w:tcPr>
          <w:p w14:paraId="24FD7078" w14:textId="77777777" w:rsidR="009A0A63" w:rsidRPr="00792B36" w:rsidRDefault="009A0A63" w:rsidP="00A24459">
            <w:pPr>
              <w:contextualSpacing/>
              <w:jc w:val="center"/>
              <w:rPr>
                <w:sz w:val="24"/>
                <w:szCs w:val="24"/>
              </w:rPr>
            </w:pPr>
            <w:r w:rsidRPr="00792B36">
              <w:rPr>
                <w:color w:val="000000"/>
                <w:sz w:val="24"/>
                <w:szCs w:val="24"/>
              </w:rPr>
              <w:t>2,089.63</w:t>
            </w:r>
          </w:p>
        </w:tc>
      </w:tr>
      <w:tr w:rsidR="009A0A63" w:rsidRPr="00792B36" w14:paraId="188FF906" w14:textId="77777777" w:rsidTr="00A24459">
        <w:trPr>
          <w:trHeight w:val="340"/>
        </w:trPr>
        <w:tc>
          <w:tcPr>
            <w:tcW w:w="617" w:type="dxa"/>
            <w:vAlign w:val="center"/>
          </w:tcPr>
          <w:p w14:paraId="3EB2EF79" w14:textId="77777777" w:rsidR="009A0A63" w:rsidRPr="00792B36" w:rsidRDefault="009A0A63" w:rsidP="00A24459">
            <w:pPr>
              <w:contextualSpacing/>
              <w:jc w:val="center"/>
              <w:rPr>
                <w:sz w:val="24"/>
                <w:szCs w:val="24"/>
              </w:rPr>
            </w:pPr>
            <w:r w:rsidRPr="00792B36">
              <w:rPr>
                <w:b/>
                <w:bCs/>
                <w:color w:val="000000"/>
                <w:sz w:val="24"/>
                <w:szCs w:val="24"/>
              </w:rPr>
              <w:t>1997</w:t>
            </w:r>
          </w:p>
        </w:tc>
        <w:tc>
          <w:tcPr>
            <w:tcW w:w="1177" w:type="dxa"/>
            <w:vAlign w:val="center"/>
          </w:tcPr>
          <w:p w14:paraId="7199C2E1" w14:textId="77777777" w:rsidR="009A0A63" w:rsidRPr="00792B36" w:rsidRDefault="009A0A63" w:rsidP="00A24459">
            <w:pPr>
              <w:contextualSpacing/>
              <w:jc w:val="center"/>
              <w:rPr>
                <w:sz w:val="24"/>
                <w:szCs w:val="24"/>
              </w:rPr>
            </w:pPr>
            <w:r w:rsidRPr="00792B36">
              <w:rPr>
                <w:color w:val="000000"/>
                <w:sz w:val="24"/>
                <w:szCs w:val="24"/>
              </w:rPr>
              <w:t>4.69</w:t>
            </w:r>
          </w:p>
        </w:tc>
        <w:tc>
          <w:tcPr>
            <w:tcW w:w="1095" w:type="dxa"/>
            <w:vAlign w:val="center"/>
          </w:tcPr>
          <w:p w14:paraId="32D62E58" w14:textId="77777777" w:rsidR="009A0A63" w:rsidRPr="00792B36" w:rsidRDefault="009A0A63" w:rsidP="00A24459">
            <w:pPr>
              <w:contextualSpacing/>
              <w:jc w:val="center"/>
              <w:rPr>
                <w:sz w:val="24"/>
                <w:szCs w:val="24"/>
              </w:rPr>
            </w:pPr>
            <w:r w:rsidRPr="00792B36">
              <w:rPr>
                <w:color w:val="000000"/>
                <w:sz w:val="24"/>
                <w:szCs w:val="24"/>
              </w:rPr>
              <w:t>1,025.17</w:t>
            </w:r>
          </w:p>
        </w:tc>
        <w:tc>
          <w:tcPr>
            <w:tcW w:w="987" w:type="dxa"/>
            <w:vAlign w:val="center"/>
          </w:tcPr>
          <w:p w14:paraId="5DBCC281" w14:textId="77777777" w:rsidR="009A0A63" w:rsidRPr="00792B36" w:rsidRDefault="009A0A63" w:rsidP="00A24459">
            <w:pPr>
              <w:contextualSpacing/>
              <w:jc w:val="center"/>
              <w:rPr>
                <w:sz w:val="24"/>
                <w:szCs w:val="24"/>
              </w:rPr>
            </w:pPr>
            <w:r w:rsidRPr="00792B36">
              <w:rPr>
                <w:color w:val="000000"/>
                <w:sz w:val="24"/>
                <w:szCs w:val="24"/>
              </w:rPr>
              <w:t>5,645.91</w:t>
            </w:r>
          </w:p>
        </w:tc>
        <w:tc>
          <w:tcPr>
            <w:tcW w:w="1080" w:type="dxa"/>
            <w:vAlign w:val="center"/>
          </w:tcPr>
          <w:p w14:paraId="2D7EB537" w14:textId="77777777" w:rsidR="009A0A63" w:rsidRPr="00792B36" w:rsidRDefault="009A0A63" w:rsidP="00A24459">
            <w:pPr>
              <w:contextualSpacing/>
              <w:jc w:val="center"/>
              <w:rPr>
                <w:sz w:val="24"/>
                <w:szCs w:val="24"/>
              </w:rPr>
            </w:pPr>
            <w:r w:rsidRPr="00792B36">
              <w:rPr>
                <w:color w:val="000000"/>
                <w:sz w:val="24"/>
                <w:szCs w:val="24"/>
              </w:rPr>
              <w:t>6,681.42</w:t>
            </w:r>
          </w:p>
        </w:tc>
        <w:tc>
          <w:tcPr>
            <w:tcW w:w="1177" w:type="dxa"/>
            <w:vAlign w:val="center"/>
          </w:tcPr>
          <w:p w14:paraId="70FADD76" w14:textId="77777777" w:rsidR="009A0A63" w:rsidRPr="00792B36" w:rsidRDefault="009A0A63" w:rsidP="00A24459">
            <w:pPr>
              <w:contextualSpacing/>
              <w:jc w:val="center"/>
              <w:rPr>
                <w:sz w:val="24"/>
                <w:szCs w:val="24"/>
              </w:rPr>
            </w:pPr>
            <w:r w:rsidRPr="00792B36">
              <w:rPr>
                <w:color w:val="000000"/>
                <w:sz w:val="24"/>
                <w:szCs w:val="24"/>
              </w:rPr>
              <w:t>166.41</w:t>
            </w:r>
          </w:p>
        </w:tc>
        <w:tc>
          <w:tcPr>
            <w:tcW w:w="1027" w:type="dxa"/>
            <w:vAlign w:val="center"/>
          </w:tcPr>
          <w:p w14:paraId="630EF9F1" w14:textId="77777777" w:rsidR="009A0A63" w:rsidRPr="00792B36" w:rsidRDefault="009A0A63" w:rsidP="00A24459">
            <w:pPr>
              <w:contextualSpacing/>
              <w:jc w:val="center"/>
              <w:rPr>
                <w:sz w:val="24"/>
                <w:szCs w:val="24"/>
              </w:rPr>
            </w:pPr>
            <w:r w:rsidRPr="00792B36">
              <w:rPr>
                <w:color w:val="000000"/>
                <w:sz w:val="24"/>
                <w:szCs w:val="24"/>
              </w:rPr>
              <w:t>649.07</w:t>
            </w:r>
          </w:p>
        </w:tc>
        <w:tc>
          <w:tcPr>
            <w:tcW w:w="957" w:type="dxa"/>
            <w:vAlign w:val="center"/>
          </w:tcPr>
          <w:p w14:paraId="509778FA" w14:textId="77777777" w:rsidR="009A0A63" w:rsidRPr="00792B36" w:rsidRDefault="009A0A63" w:rsidP="00A24459">
            <w:pPr>
              <w:contextualSpacing/>
              <w:jc w:val="center"/>
              <w:rPr>
                <w:sz w:val="24"/>
                <w:szCs w:val="24"/>
              </w:rPr>
            </w:pPr>
            <w:r w:rsidRPr="00792B36">
              <w:rPr>
                <w:color w:val="000000"/>
                <w:sz w:val="24"/>
                <w:szCs w:val="24"/>
              </w:rPr>
              <w:t>1,197.08</w:t>
            </w:r>
          </w:p>
        </w:tc>
        <w:tc>
          <w:tcPr>
            <w:tcW w:w="900" w:type="dxa"/>
            <w:vAlign w:val="center"/>
          </w:tcPr>
          <w:p w14:paraId="5E08F446" w14:textId="77777777" w:rsidR="009A0A63" w:rsidRPr="00792B36" w:rsidRDefault="009A0A63" w:rsidP="00A24459">
            <w:pPr>
              <w:contextualSpacing/>
              <w:jc w:val="center"/>
              <w:rPr>
                <w:sz w:val="24"/>
                <w:szCs w:val="24"/>
              </w:rPr>
            </w:pPr>
            <w:r w:rsidRPr="00792B36">
              <w:rPr>
                <w:color w:val="000000"/>
                <w:sz w:val="24"/>
                <w:szCs w:val="24"/>
              </w:rPr>
              <w:t>2,010.16</w:t>
            </w:r>
          </w:p>
        </w:tc>
      </w:tr>
      <w:tr w:rsidR="009A0A63" w:rsidRPr="00792B36" w14:paraId="07276AF5" w14:textId="77777777" w:rsidTr="00A24459">
        <w:trPr>
          <w:trHeight w:val="340"/>
        </w:trPr>
        <w:tc>
          <w:tcPr>
            <w:tcW w:w="617" w:type="dxa"/>
            <w:vAlign w:val="center"/>
          </w:tcPr>
          <w:p w14:paraId="66511B9E" w14:textId="77777777" w:rsidR="009A0A63" w:rsidRPr="00792B36" w:rsidRDefault="009A0A63" w:rsidP="00A24459">
            <w:pPr>
              <w:contextualSpacing/>
              <w:jc w:val="center"/>
              <w:rPr>
                <w:sz w:val="24"/>
                <w:szCs w:val="24"/>
              </w:rPr>
            </w:pPr>
            <w:r w:rsidRPr="00792B36">
              <w:rPr>
                <w:b/>
                <w:bCs/>
                <w:color w:val="000000"/>
                <w:sz w:val="24"/>
                <w:szCs w:val="24"/>
              </w:rPr>
              <w:t>1998</w:t>
            </w:r>
          </w:p>
        </w:tc>
        <w:tc>
          <w:tcPr>
            <w:tcW w:w="1177" w:type="dxa"/>
            <w:vAlign w:val="center"/>
          </w:tcPr>
          <w:p w14:paraId="509D5E54" w14:textId="77777777" w:rsidR="009A0A63" w:rsidRPr="00792B36" w:rsidRDefault="009A0A63" w:rsidP="00A24459">
            <w:pPr>
              <w:contextualSpacing/>
              <w:jc w:val="center"/>
              <w:rPr>
                <w:sz w:val="24"/>
                <w:szCs w:val="24"/>
              </w:rPr>
            </w:pPr>
            <w:r w:rsidRPr="00792B36">
              <w:rPr>
                <w:color w:val="000000"/>
                <w:sz w:val="24"/>
                <w:szCs w:val="24"/>
              </w:rPr>
              <w:t>4.49</w:t>
            </w:r>
          </w:p>
        </w:tc>
        <w:tc>
          <w:tcPr>
            <w:tcW w:w="1095" w:type="dxa"/>
            <w:vAlign w:val="center"/>
          </w:tcPr>
          <w:p w14:paraId="4038A5DD" w14:textId="77777777" w:rsidR="009A0A63" w:rsidRPr="00792B36" w:rsidRDefault="009A0A63" w:rsidP="00A24459">
            <w:pPr>
              <w:contextualSpacing/>
              <w:jc w:val="center"/>
              <w:rPr>
                <w:sz w:val="24"/>
                <w:szCs w:val="24"/>
              </w:rPr>
            </w:pPr>
            <w:r w:rsidRPr="00792B36">
              <w:rPr>
                <w:color w:val="000000"/>
                <w:sz w:val="24"/>
                <w:szCs w:val="24"/>
              </w:rPr>
              <w:t>1,096.20</w:t>
            </w:r>
          </w:p>
        </w:tc>
        <w:tc>
          <w:tcPr>
            <w:tcW w:w="987" w:type="dxa"/>
            <w:vAlign w:val="center"/>
          </w:tcPr>
          <w:p w14:paraId="583FF7F5" w14:textId="77777777" w:rsidR="009A0A63" w:rsidRPr="00792B36" w:rsidRDefault="009A0A63" w:rsidP="00A24459">
            <w:pPr>
              <w:contextualSpacing/>
              <w:jc w:val="center"/>
              <w:rPr>
                <w:sz w:val="24"/>
                <w:szCs w:val="24"/>
              </w:rPr>
            </w:pPr>
            <w:r w:rsidRPr="00792B36">
              <w:rPr>
                <w:color w:val="000000"/>
                <w:sz w:val="24"/>
                <w:szCs w:val="24"/>
              </w:rPr>
              <w:t>4,919.69</w:t>
            </w:r>
          </w:p>
        </w:tc>
        <w:tc>
          <w:tcPr>
            <w:tcW w:w="1080" w:type="dxa"/>
            <w:vAlign w:val="center"/>
          </w:tcPr>
          <w:p w14:paraId="291868B1" w14:textId="77777777" w:rsidR="009A0A63" w:rsidRPr="00792B36" w:rsidRDefault="009A0A63" w:rsidP="00A24459">
            <w:pPr>
              <w:contextualSpacing/>
              <w:jc w:val="center"/>
              <w:rPr>
                <w:sz w:val="24"/>
                <w:szCs w:val="24"/>
              </w:rPr>
            </w:pPr>
            <w:r w:rsidRPr="00792B36">
              <w:rPr>
                <w:color w:val="000000"/>
                <w:sz w:val="24"/>
                <w:szCs w:val="24"/>
              </w:rPr>
              <w:t>6,020.64</w:t>
            </w:r>
          </w:p>
        </w:tc>
        <w:tc>
          <w:tcPr>
            <w:tcW w:w="1177" w:type="dxa"/>
            <w:vAlign w:val="center"/>
          </w:tcPr>
          <w:p w14:paraId="28751D5A" w14:textId="77777777" w:rsidR="009A0A63" w:rsidRPr="00792B36" w:rsidRDefault="009A0A63" w:rsidP="00A24459">
            <w:pPr>
              <w:contextualSpacing/>
              <w:jc w:val="center"/>
              <w:rPr>
                <w:sz w:val="24"/>
                <w:szCs w:val="24"/>
              </w:rPr>
            </w:pPr>
            <w:r w:rsidRPr="00792B36">
              <w:rPr>
                <w:color w:val="000000"/>
                <w:sz w:val="24"/>
                <w:szCs w:val="24"/>
              </w:rPr>
              <w:t>165.74</w:t>
            </w:r>
          </w:p>
        </w:tc>
        <w:tc>
          <w:tcPr>
            <w:tcW w:w="1027" w:type="dxa"/>
            <w:vAlign w:val="center"/>
          </w:tcPr>
          <w:p w14:paraId="2FF3D160" w14:textId="77777777" w:rsidR="009A0A63" w:rsidRPr="00792B36" w:rsidRDefault="009A0A63" w:rsidP="00A24459">
            <w:pPr>
              <w:contextualSpacing/>
              <w:jc w:val="center"/>
              <w:rPr>
                <w:sz w:val="24"/>
                <w:szCs w:val="24"/>
              </w:rPr>
            </w:pPr>
            <w:r w:rsidRPr="00792B36">
              <w:rPr>
                <w:color w:val="000000"/>
                <w:sz w:val="24"/>
                <w:szCs w:val="24"/>
              </w:rPr>
              <w:t>594.82</w:t>
            </w:r>
          </w:p>
        </w:tc>
        <w:tc>
          <w:tcPr>
            <w:tcW w:w="957" w:type="dxa"/>
            <w:vAlign w:val="center"/>
          </w:tcPr>
          <w:p w14:paraId="37B414E3" w14:textId="77777777" w:rsidR="009A0A63" w:rsidRPr="00792B36" w:rsidRDefault="009A0A63" w:rsidP="00A24459">
            <w:pPr>
              <w:contextualSpacing/>
              <w:jc w:val="center"/>
              <w:rPr>
                <w:sz w:val="24"/>
                <w:szCs w:val="24"/>
              </w:rPr>
            </w:pPr>
            <w:r w:rsidRPr="00792B36">
              <w:rPr>
                <w:color w:val="000000"/>
                <w:sz w:val="24"/>
                <w:szCs w:val="24"/>
              </w:rPr>
              <w:t>1,077.21</w:t>
            </w:r>
          </w:p>
        </w:tc>
        <w:tc>
          <w:tcPr>
            <w:tcW w:w="900" w:type="dxa"/>
            <w:vAlign w:val="center"/>
          </w:tcPr>
          <w:p w14:paraId="1292071C" w14:textId="77777777" w:rsidR="009A0A63" w:rsidRPr="00792B36" w:rsidRDefault="009A0A63" w:rsidP="00A24459">
            <w:pPr>
              <w:contextualSpacing/>
              <w:jc w:val="center"/>
              <w:rPr>
                <w:sz w:val="24"/>
                <w:szCs w:val="24"/>
              </w:rPr>
            </w:pPr>
            <w:r w:rsidRPr="00792B36">
              <w:rPr>
                <w:color w:val="000000"/>
                <w:sz w:val="24"/>
                <w:szCs w:val="24"/>
              </w:rPr>
              <w:t>1,836.67</w:t>
            </w:r>
          </w:p>
        </w:tc>
      </w:tr>
      <w:tr w:rsidR="009A0A63" w:rsidRPr="00792B36" w14:paraId="6D75E75C" w14:textId="77777777" w:rsidTr="00A24459">
        <w:trPr>
          <w:trHeight w:val="340"/>
        </w:trPr>
        <w:tc>
          <w:tcPr>
            <w:tcW w:w="617" w:type="dxa"/>
            <w:vAlign w:val="center"/>
          </w:tcPr>
          <w:p w14:paraId="0E3EEBCF" w14:textId="77777777" w:rsidR="009A0A63" w:rsidRPr="00792B36" w:rsidRDefault="009A0A63" w:rsidP="00A24459">
            <w:pPr>
              <w:contextualSpacing/>
              <w:jc w:val="center"/>
              <w:rPr>
                <w:sz w:val="24"/>
                <w:szCs w:val="24"/>
              </w:rPr>
            </w:pPr>
            <w:r w:rsidRPr="00792B36">
              <w:rPr>
                <w:b/>
                <w:bCs/>
                <w:color w:val="000000"/>
                <w:sz w:val="24"/>
                <w:szCs w:val="24"/>
              </w:rPr>
              <w:t>1999</w:t>
            </w:r>
          </w:p>
        </w:tc>
        <w:tc>
          <w:tcPr>
            <w:tcW w:w="1177" w:type="dxa"/>
            <w:vAlign w:val="center"/>
          </w:tcPr>
          <w:p w14:paraId="1EE91D86" w14:textId="77777777" w:rsidR="009A0A63" w:rsidRPr="00792B36" w:rsidRDefault="009A0A63" w:rsidP="00A24459">
            <w:pPr>
              <w:contextualSpacing/>
              <w:jc w:val="center"/>
              <w:rPr>
                <w:sz w:val="24"/>
                <w:szCs w:val="24"/>
              </w:rPr>
            </w:pPr>
            <w:r w:rsidRPr="00792B36">
              <w:rPr>
                <w:color w:val="000000"/>
                <w:sz w:val="24"/>
                <w:szCs w:val="24"/>
              </w:rPr>
              <w:t>4.28</w:t>
            </w:r>
          </w:p>
        </w:tc>
        <w:tc>
          <w:tcPr>
            <w:tcW w:w="1095" w:type="dxa"/>
            <w:vAlign w:val="center"/>
          </w:tcPr>
          <w:p w14:paraId="701E4F6E" w14:textId="77777777" w:rsidR="009A0A63" w:rsidRPr="00792B36" w:rsidRDefault="009A0A63" w:rsidP="00A24459">
            <w:pPr>
              <w:contextualSpacing/>
              <w:jc w:val="center"/>
              <w:rPr>
                <w:sz w:val="24"/>
                <w:szCs w:val="24"/>
              </w:rPr>
            </w:pPr>
            <w:r w:rsidRPr="00792B36">
              <w:rPr>
                <w:color w:val="000000"/>
                <w:sz w:val="24"/>
                <w:szCs w:val="24"/>
              </w:rPr>
              <w:t>1,130.95</w:t>
            </w:r>
          </w:p>
        </w:tc>
        <w:tc>
          <w:tcPr>
            <w:tcW w:w="987" w:type="dxa"/>
            <w:vAlign w:val="center"/>
          </w:tcPr>
          <w:p w14:paraId="55DA202D" w14:textId="77777777" w:rsidR="009A0A63" w:rsidRPr="00792B36" w:rsidRDefault="009A0A63" w:rsidP="00A24459">
            <w:pPr>
              <w:contextualSpacing/>
              <w:jc w:val="center"/>
              <w:rPr>
                <w:sz w:val="24"/>
                <w:szCs w:val="24"/>
              </w:rPr>
            </w:pPr>
            <w:r w:rsidRPr="00792B36">
              <w:rPr>
                <w:color w:val="000000"/>
                <w:sz w:val="24"/>
                <w:szCs w:val="24"/>
              </w:rPr>
              <w:t>5,019.40</w:t>
            </w:r>
          </w:p>
        </w:tc>
        <w:tc>
          <w:tcPr>
            <w:tcW w:w="1080" w:type="dxa"/>
            <w:vAlign w:val="center"/>
          </w:tcPr>
          <w:p w14:paraId="2C1149DF" w14:textId="77777777" w:rsidR="009A0A63" w:rsidRPr="00792B36" w:rsidRDefault="009A0A63" w:rsidP="00A24459">
            <w:pPr>
              <w:contextualSpacing/>
              <w:jc w:val="center"/>
              <w:rPr>
                <w:sz w:val="24"/>
                <w:szCs w:val="24"/>
              </w:rPr>
            </w:pPr>
            <w:r w:rsidRPr="00792B36">
              <w:rPr>
                <w:color w:val="000000"/>
                <w:sz w:val="24"/>
                <w:szCs w:val="24"/>
              </w:rPr>
              <w:t>6,154.74</w:t>
            </w:r>
          </w:p>
        </w:tc>
        <w:tc>
          <w:tcPr>
            <w:tcW w:w="1177" w:type="dxa"/>
            <w:vAlign w:val="center"/>
          </w:tcPr>
          <w:p w14:paraId="2E4BBC97" w14:textId="77777777" w:rsidR="009A0A63" w:rsidRPr="00792B36" w:rsidRDefault="009A0A63" w:rsidP="00A24459">
            <w:pPr>
              <w:contextualSpacing/>
              <w:jc w:val="center"/>
              <w:rPr>
                <w:sz w:val="24"/>
                <w:szCs w:val="24"/>
              </w:rPr>
            </w:pPr>
            <w:r w:rsidRPr="00792B36">
              <w:rPr>
                <w:color w:val="000000"/>
                <w:sz w:val="24"/>
                <w:szCs w:val="24"/>
              </w:rPr>
              <w:t>171.86</w:t>
            </w:r>
          </w:p>
        </w:tc>
        <w:tc>
          <w:tcPr>
            <w:tcW w:w="1027" w:type="dxa"/>
            <w:vAlign w:val="center"/>
          </w:tcPr>
          <w:p w14:paraId="2A8EB8C2" w14:textId="77777777" w:rsidR="009A0A63" w:rsidRPr="00792B36" w:rsidRDefault="009A0A63" w:rsidP="00A24459">
            <w:pPr>
              <w:contextualSpacing/>
              <w:jc w:val="center"/>
              <w:rPr>
                <w:sz w:val="24"/>
                <w:szCs w:val="24"/>
              </w:rPr>
            </w:pPr>
            <w:r w:rsidRPr="00792B36">
              <w:rPr>
                <w:color w:val="000000"/>
                <w:sz w:val="24"/>
                <w:szCs w:val="24"/>
              </w:rPr>
              <w:t>639.81</w:t>
            </w:r>
          </w:p>
        </w:tc>
        <w:tc>
          <w:tcPr>
            <w:tcW w:w="957" w:type="dxa"/>
            <w:vAlign w:val="center"/>
          </w:tcPr>
          <w:p w14:paraId="4052C464" w14:textId="77777777" w:rsidR="009A0A63" w:rsidRPr="00792B36" w:rsidRDefault="009A0A63" w:rsidP="00A24459">
            <w:pPr>
              <w:contextualSpacing/>
              <w:jc w:val="center"/>
              <w:rPr>
                <w:sz w:val="24"/>
                <w:szCs w:val="24"/>
              </w:rPr>
            </w:pPr>
            <w:r w:rsidRPr="00792B36">
              <w:rPr>
                <w:color w:val="000000"/>
                <w:sz w:val="24"/>
                <w:szCs w:val="24"/>
              </w:rPr>
              <w:t>1,089.05</w:t>
            </w:r>
          </w:p>
        </w:tc>
        <w:tc>
          <w:tcPr>
            <w:tcW w:w="900" w:type="dxa"/>
            <w:vAlign w:val="center"/>
          </w:tcPr>
          <w:p w14:paraId="424508F8" w14:textId="77777777" w:rsidR="009A0A63" w:rsidRPr="00792B36" w:rsidRDefault="009A0A63" w:rsidP="00A24459">
            <w:pPr>
              <w:contextualSpacing/>
              <w:jc w:val="center"/>
              <w:rPr>
                <w:sz w:val="24"/>
                <w:szCs w:val="24"/>
              </w:rPr>
            </w:pPr>
            <w:r w:rsidRPr="00792B36">
              <w:rPr>
                <w:color w:val="000000"/>
                <w:sz w:val="24"/>
                <w:szCs w:val="24"/>
              </w:rPr>
              <w:t>1,899.92</w:t>
            </w:r>
          </w:p>
        </w:tc>
      </w:tr>
      <w:tr w:rsidR="009A0A63" w:rsidRPr="00792B36" w14:paraId="2963E045" w14:textId="77777777" w:rsidTr="00A24459">
        <w:trPr>
          <w:trHeight w:val="340"/>
        </w:trPr>
        <w:tc>
          <w:tcPr>
            <w:tcW w:w="617" w:type="dxa"/>
            <w:vAlign w:val="center"/>
          </w:tcPr>
          <w:p w14:paraId="5F39A962" w14:textId="77777777" w:rsidR="009A0A63" w:rsidRPr="00792B36" w:rsidRDefault="009A0A63" w:rsidP="00A24459">
            <w:pPr>
              <w:contextualSpacing/>
              <w:jc w:val="center"/>
              <w:rPr>
                <w:sz w:val="24"/>
                <w:szCs w:val="24"/>
              </w:rPr>
            </w:pPr>
            <w:r w:rsidRPr="00792B36">
              <w:rPr>
                <w:b/>
                <w:bCs/>
                <w:color w:val="000000"/>
                <w:sz w:val="24"/>
                <w:szCs w:val="24"/>
              </w:rPr>
              <w:t>2000</w:t>
            </w:r>
          </w:p>
        </w:tc>
        <w:tc>
          <w:tcPr>
            <w:tcW w:w="1177" w:type="dxa"/>
            <w:vAlign w:val="center"/>
          </w:tcPr>
          <w:p w14:paraId="42240345" w14:textId="77777777" w:rsidR="009A0A63" w:rsidRPr="00792B36" w:rsidRDefault="009A0A63" w:rsidP="00A24459">
            <w:pPr>
              <w:contextualSpacing/>
              <w:jc w:val="center"/>
              <w:rPr>
                <w:sz w:val="24"/>
                <w:szCs w:val="24"/>
              </w:rPr>
            </w:pPr>
            <w:r w:rsidRPr="00792B36">
              <w:rPr>
                <w:color w:val="000000"/>
                <w:sz w:val="24"/>
                <w:szCs w:val="24"/>
              </w:rPr>
              <w:t>4.81</w:t>
            </w:r>
          </w:p>
        </w:tc>
        <w:tc>
          <w:tcPr>
            <w:tcW w:w="1095" w:type="dxa"/>
            <w:vAlign w:val="center"/>
          </w:tcPr>
          <w:p w14:paraId="7A9E52C4" w14:textId="77777777" w:rsidR="009A0A63" w:rsidRPr="00792B36" w:rsidRDefault="009A0A63" w:rsidP="00A24459">
            <w:pPr>
              <w:contextualSpacing/>
              <w:jc w:val="center"/>
              <w:rPr>
                <w:sz w:val="24"/>
                <w:szCs w:val="24"/>
              </w:rPr>
            </w:pPr>
            <w:r w:rsidRPr="00792B36">
              <w:rPr>
                <w:color w:val="000000"/>
                <w:sz w:val="24"/>
                <w:szCs w:val="24"/>
              </w:rPr>
              <w:t>1,193.65</w:t>
            </w:r>
          </w:p>
        </w:tc>
        <w:tc>
          <w:tcPr>
            <w:tcW w:w="987" w:type="dxa"/>
            <w:vAlign w:val="center"/>
          </w:tcPr>
          <w:p w14:paraId="26DA2E34" w14:textId="77777777" w:rsidR="009A0A63" w:rsidRPr="00792B36" w:rsidRDefault="009A0A63" w:rsidP="00A24459">
            <w:pPr>
              <w:contextualSpacing/>
              <w:jc w:val="center"/>
              <w:rPr>
                <w:sz w:val="24"/>
                <w:szCs w:val="24"/>
              </w:rPr>
            </w:pPr>
            <w:r w:rsidRPr="00792B36">
              <w:rPr>
                <w:color w:val="000000"/>
                <w:sz w:val="24"/>
                <w:szCs w:val="24"/>
              </w:rPr>
              <w:t>5,365.61</w:t>
            </w:r>
          </w:p>
        </w:tc>
        <w:tc>
          <w:tcPr>
            <w:tcW w:w="1080" w:type="dxa"/>
            <w:vAlign w:val="center"/>
          </w:tcPr>
          <w:p w14:paraId="1B2B4441" w14:textId="77777777" w:rsidR="009A0A63" w:rsidRPr="00792B36" w:rsidRDefault="009A0A63" w:rsidP="00A24459">
            <w:pPr>
              <w:contextualSpacing/>
              <w:jc w:val="center"/>
              <w:rPr>
                <w:sz w:val="24"/>
                <w:szCs w:val="24"/>
              </w:rPr>
            </w:pPr>
            <w:r w:rsidRPr="00792B36">
              <w:rPr>
                <w:color w:val="000000"/>
                <w:sz w:val="24"/>
                <w:szCs w:val="24"/>
              </w:rPr>
              <w:t>6,564.38</w:t>
            </w:r>
          </w:p>
        </w:tc>
        <w:tc>
          <w:tcPr>
            <w:tcW w:w="1177" w:type="dxa"/>
            <w:vAlign w:val="center"/>
          </w:tcPr>
          <w:p w14:paraId="65E63067" w14:textId="77777777" w:rsidR="009A0A63" w:rsidRPr="00792B36" w:rsidRDefault="009A0A63" w:rsidP="00A24459">
            <w:pPr>
              <w:contextualSpacing/>
              <w:jc w:val="center"/>
              <w:rPr>
                <w:sz w:val="24"/>
                <w:szCs w:val="24"/>
              </w:rPr>
            </w:pPr>
            <w:r w:rsidRPr="00792B36">
              <w:rPr>
                <w:color w:val="000000"/>
                <w:sz w:val="24"/>
                <w:szCs w:val="24"/>
              </w:rPr>
              <w:t>181.57</w:t>
            </w:r>
          </w:p>
        </w:tc>
        <w:tc>
          <w:tcPr>
            <w:tcW w:w="1027" w:type="dxa"/>
            <w:vAlign w:val="center"/>
          </w:tcPr>
          <w:p w14:paraId="4ADBC180" w14:textId="77777777" w:rsidR="009A0A63" w:rsidRPr="00792B36" w:rsidRDefault="009A0A63" w:rsidP="00A24459">
            <w:pPr>
              <w:contextualSpacing/>
              <w:jc w:val="center"/>
              <w:rPr>
                <w:sz w:val="24"/>
                <w:szCs w:val="24"/>
              </w:rPr>
            </w:pPr>
            <w:r w:rsidRPr="00792B36">
              <w:rPr>
                <w:color w:val="000000"/>
                <w:sz w:val="24"/>
                <w:szCs w:val="24"/>
              </w:rPr>
              <w:t>658.26</w:t>
            </w:r>
          </w:p>
        </w:tc>
        <w:tc>
          <w:tcPr>
            <w:tcW w:w="957" w:type="dxa"/>
            <w:vAlign w:val="center"/>
          </w:tcPr>
          <w:p w14:paraId="6B9B1C6C" w14:textId="77777777" w:rsidR="009A0A63" w:rsidRPr="00792B36" w:rsidRDefault="009A0A63" w:rsidP="00A24459">
            <w:pPr>
              <w:contextualSpacing/>
              <w:jc w:val="center"/>
              <w:rPr>
                <w:sz w:val="24"/>
                <w:szCs w:val="24"/>
              </w:rPr>
            </w:pPr>
            <w:r w:rsidRPr="00792B36">
              <w:rPr>
                <w:color w:val="000000"/>
                <w:sz w:val="24"/>
                <w:szCs w:val="24"/>
              </w:rPr>
              <w:t>1,124.17</w:t>
            </w:r>
          </w:p>
        </w:tc>
        <w:tc>
          <w:tcPr>
            <w:tcW w:w="900" w:type="dxa"/>
            <w:vAlign w:val="center"/>
          </w:tcPr>
          <w:p w14:paraId="389E3BAB" w14:textId="77777777" w:rsidR="009A0A63" w:rsidRPr="00792B36" w:rsidRDefault="009A0A63" w:rsidP="00A24459">
            <w:pPr>
              <w:contextualSpacing/>
              <w:jc w:val="center"/>
              <w:rPr>
                <w:sz w:val="24"/>
                <w:szCs w:val="24"/>
              </w:rPr>
            </w:pPr>
            <w:r w:rsidRPr="00792B36">
              <w:rPr>
                <w:color w:val="000000"/>
                <w:sz w:val="24"/>
                <w:szCs w:val="24"/>
              </w:rPr>
              <w:t>1,963.15</w:t>
            </w:r>
          </w:p>
        </w:tc>
      </w:tr>
      <w:tr w:rsidR="009A0A63" w:rsidRPr="00792B36" w14:paraId="609AB1F2" w14:textId="77777777" w:rsidTr="00A24459">
        <w:trPr>
          <w:trHeight w:val="340"/>
        </w:trPr>
        <w:tc>
          <w:tcPr>
            <w:tcW w:w="617" w:type="dxa"/>
            <w:vAlign w:val="center"/>
          </w:tcPr>
          <w:p w14:paraId="779F860A" w14:textId="77777777" w:rsidR="009A0A63" w:rsidRPr="00792B36" w:rsidRDefault="009A0A63" w:rsidP="00A24459">
            <w:pPr>
              <w:contextualSpacing/>
              <w:jc w:val="center"/>
              <w:rPr>
                <w:sz w:val="24"/>
                <w:szCs w:val="24"/>
              </w:rPr>
            </w:pPr>
            <w:r w:rsidRPr="00792B36">
              <w:rPr>
                <w:b/>
                <w:bCs/>
                <w:color w:val="000000"/>
                <w:sz w:val="24"/>
                <w:szCs w:val="24"/>
              </w:rPr>
              <w:t>2001</w:t>
            </w:r>
          </w:p>
        </w:tc>
        <w:tc>
          <w:tcPr>
            <w:tcW w:w="1177" w:type="dxa"/>
            <w:vAlign w:val="center"/>
          </w:tcPr>
          <w:p w14:paraId="3DE618B5" w14:textId="77777777" w:rsidR="009A0A63" w:rsidRPr="00792B36" w:rsidRDefault="009A0A63" w:rsidP="00A24459">
            <w:pPr>
              <w:contextualSpacing/>
              <w:jc w:val="center"/>
              <w:rPr>
                <w:sz w:val="24"/>
                <w:szCs w:val="24"/>
              </w:rPr>
            </w:pPr>
            <w:r w:rsidRPr="00792B36">
              <w:rPr>
                <w:color w:val="000000"/>
                <w:sz w:val="24"/>
                <w:szCs w:val="24"/>
              </w:rPr>
              <w:t>5.53</w:t>
            </w:r>
          </w:p>
        </w:tc>
        <w:tc>
          <w:tcPr>
            <w:tcW w:w="1095" w:type="dxa"/>
            <w:vAlign w:val="center"/>
          </w:tcPr>
          <w:p w14:paraId="3F4EA0F6" w14:textId="77777777" w:rsidR="009A0A63" w:rsidRPr="00792B36" w:rsidRDefault="009A0A63" w:rsidP="00A24459">
            <w:pPr>
              <w:contextualSpacing/>
              <w:jc w:val="center"/>
              <w:rPr>
                <w:sz w:val="24"/>
                <w:szCs w:val="24"/>
              </w:rPr>
            </w:pPr>
            <w:r w:rsidRPr="00792B36">
              <w:rPr>
                <w:color w:val="000000"/>
                <w:sz w:val="24"/>
                <w:szCs w:val="24"/>
              </w:rPr>
              <w:t>1,184.52</w:t>
            </w:r>
          </w:p>
        </w:tc>
        <w:tc>
          <w:tcPr>
            <w:tcW w:w="987" w:type="dxa"/>
            <w:vAlign w:val="center"/>
          </w:tcPr>
          <w:p w14:paraId="4681C29A" w14:textId="77777777" w:rsidR="009A0A63" w:rsidRPr="00792B36" w:rsidRDefault="009A0A63" w:rsidP="00A24459">
            <w:pPr>
              <w:contextualSpacing/>
              <w:jc w:val="center"/>
              <w:rPr>
                <w:sz w:val="24"/>
                <w:szCs w:val="24"/>
              </w:rPr>
            </w:pPr>
            <w:r w:rsidRPr="00792B36">
              <w:rPr>
                <w:color w:val="000000"/>
                <w:sz w:val="24"/>
                <w:szCs w:val="24"/>
              </w:rPr>
              <w:t>5,545.05</w:t>
            </w:r>
          </w:p>
        </w:tc>
        <w:tc>
          <w:tcPr>
            <w:tcW w:w="1080" w:type="dxa"/>
            <w:vAlign w:val="center"/>
          </w:tcPr>
          <w:p w14:paraId="7B13617D" w14:textId="77777777" w:rsidR="009A0A63" w:rsidRPr="00792B36" w:rsidRDefault="009A0A63" w:rsidP="00A24459">
            <w:pPr>
              <w:contextualSpacing/>
              <w:jc w:val="center"/>
              <w:rPr>
                <w:sz w:val="24"/>
                <w:szCs w:val="24"/>
              </w:rPr>
            </w:pPr>
            <w:r w:rsidRPr="00792B36">
              <w:rPr>
                <w:color w:val="000000"/>
                <w:sz w:val="24"/>
                <w:szCs w:val="24"/>
              </w:rPr>
              <w:t>6,735.16</w:t>
            </w:r>
          </w:p>
        </w:tc>
        <w:tc>
          <w:tcPr>
            <w:tcW w:w="1177" w:type="dxa"/>
            <w:vAlign w:val="center"/>
          </w:tcPr>
          <w:p w14:paraId="318FE68E" w14:textId="77777777" w:rsidR="009A0A63" w:rsidRPr="00792B36" w:rsidRDefault="009A0A63" w:rsidP="00A24459">
            <w:pPr>
              <w:contextualSpacing/>
              <w:jc w:val="center"/>
              <w:rPr>
                <w:sz w:val="24"/>
                <w:szCs w:val="24"/>
              </w:rPr>
            </w:pPr>
            <w:r w:rsidRPr="00792B36">
              <w:rPr>
                <w:color w:val="000000"/>
                <w:sz w:val="24"/>
                <w:szCs w:val="24"/>
              </w:rPr>
              <w:t>186.09</w:t>
            </w:r>
          </w:p>
        </w:tc>
        <w:tc>
          <w:tcPr>
            <w:tcW w:w="1027" w:type="dxa"/>
            <w:vAlign w:val="center"/>
          </w:tcPr>
          <w:p w14:paraId="788CAFDF" w14:textId="77777777" w:rsidR="009A0A63" w:rsidRPr="00792B36" w:rsidRDefault="009A0A63" w:rsidP="00A24459">
            <w:pPr>
              <w:contextualSpacing/>
              <w:jc w:val="center"/>
              <w:rPr>
                <w:sz w:val="24"/>
                <w:szCs w:val="24"/>
              </w:rPr>
            </w:pPr>
            <w:r w:rsidRPr="00792B36">
              <w:rPr>
                <w:color w:val="000000"/>
                <w:sz w:val="24"/>
                <w:szCs w:val="24"/>
              </w:rPr>
              <w:t>671.09</w:t>
            </w:r>
          </w:p>
        </w:tc>
        <w:tc>
          <w:tcPr>
            <w:tcW w:w="957" w:type="dxa"/>
            <w:vAlign w:val="center"/>
          </w:tcPr>
          <w:p w14:paraId="4843F97E" w14:textId="77777777" w:rsidR="009A0A63" w:rsidRPr="00792B36" w:rsidRDefault="009A0A63" w:rsidP="00A24459">
            <w:pPr>
              <w:contextualSpacing/>
              <w:jc w:val="center"/>
              <w:rPr>
                <w:sz w:val="24"/>
                <w:szCs w:val="24"/>
              </w:rPr>
            </w:pPr>
            <w:r w:rsidRPr="00792B36">
              <w:rPr>
                <w:color w:val="000000"/>
                <w:sz w:val="24"/>
                <w:szCs w:val="24"/>
              </w:rPr>
              <w:t>1,162.72</w:t>
            </w:r>
          </w:p>
        </w:tc>
        <w:tc>
          <w:tcPr>
            <w:tcW w:w="900" w:type="dxa"/>
            <w:vAlign w:val="center"/>
          </w:tcPr>
          <w:p w14:paraId="72C73DCC" w14:textId="77777777" w:rsidR="009A0A63" w:rsidRPr="00792B36" w:rsidRDefault="009A0A63" w:rsidP="00A24459">
            <w:pPr>
              <w:contextualSpacing/>
              <w:jc w:val="center"/>
              <w:rPr>
                <w:sz w:val="24"/>
                <w:szCs w:val="24"/>
              </w:rPr>
            </w:pPr>
            <w:r w:rsidRPr="00792B36">
              <w:rPr>
                <w:color w:val="000000"/>
                <w:sz w:val="24"/>
                <w:szCs w:val="24"/>
              </w:rPr>
              <w:t>2,019.12</w:t>
            </w:r>
          </w:p>
        </w:tc>
      </w:tr>
      <w:tr w:rsidR="009A0A63" w:rsidRPr="00792B36" w14:paraId="1F5498E2" w14:textId="77777777" w:rsidTr="00A24459">
        <w:trPr>
          <w:trHeight w:val="340"/>
        </w:trPr>
        <w:tc>
          <w:tcPr>
            <w:tcW w:w="617" w:type="dxa"/>
            <w:vAlign w:val="center"/>
          </w:tcPr>
          <w:p w14:paraId="29A96DE7" w14:textId="77777777" w:rsidR="009A0A63" w:rsidRPr="00792B36" w:rsidRDefault="009A0A63" w:rsidP="00A24459">
            <w:pPr>
              <w:contextualSpacing/>
              <w:jc w:val="center"/>
              <w:rPr>
                <w:sz w:val="24"/>
                <w:szCs w:val="24"/>
              </w:rPr>
            </w:pPr>
            <w:r w:rsidRPr="00792B36">
              <w:rPr>
                <w:b/>
                <w:bCs/>
                <w:color w:val="000000"/>
                <w:sz w:val="24"/>
                <w:szCs w:val="24"/>
              </w:rPr>
              <w:t>2002</w:t>
            </w:r>
          </w:p>
        </w:tc>
        <w:tc>
          <w:tcPr>
            <w:tcW w:w="1177" w:type="dxa"/>
            <w:vAlign w:val="center"/>
          </w:tcPr>
          <w:p w14:paraId="63E9FA5A" w14:textId="77777777" w:rsidR="009A0A63" w:rsidRPr="00792B36" w:rsidRDefault="009A0A63" w:rsidP="00A24459">
            <w:pPr>
              <w:contextualSpacing/>
              <w:jc w:val="center"/>
              <w:rPr>
                <w:sz w:val="24"/>
                <w:szCs w:val="24"/>
              </w:rPr>
            </w:pPr>
            <w:r w:rsidRPr="00792B36">
              <w:rPr>
                <w:color w:val="000000"/>
                <w:sz w:val="24"/>
                <w:szCs w:val="24"/>
              </w:rPr>
              <w:t>6.39</w:t>
            </w:r>
          </w:p>
        </w:tc>
        <w:tc>
          <w:tcPr>
            <w:tcW w:w="1095" w:type="dxa"/>
            <w:vAlign w:val="center"/>
          </w:tcPr>
          <w:p w14:paraId="22363AD2" w14:textId="77777777" w:rsidR="009A0A63" w:rsidRPr="00792B36" w:rsidRDefault="009A0A63" w:rsidP="00A24459">
            <w:pPr>
              <w:contextualSpacing/>
              <w:jc w:val="center"/>
              <w:rPr>
                <w:sz w:val="24"/>
                <w:szCs w:val="24"/>
              </w:rPr>
            </w:pPr>
            <w:r w:rsidRPr="00792B36">
              <w:rPr>
                <w:color w:val="000000"/>
                <w:sz w:val="24"/>
                <w:szCs w:val="24"/>
              </w:rPr>
              <w:t>1,118.07</w:t>
            </w:r>
          </w:p>
        </w:tc>
        <w:tc>
          <w:tcPr>
            <w:tcW w:w="987" w:type="dxa"/>
            <w:vAlign w:val="center"/>
          </w:tcPr>
          <w:p w14:paraId="157B41E4" w14:textId="77777777" w:rsidR="009A0A63" w:rsidRPr="00792B36" w:rsidRDefault="009A0A63" w:rsidP="00A24459">
            <w:pPr>
              <w:contextualSpacing/>
              <w:jc w:val="center"/>
              <w:rPr>
                <w:sz w:val="24"/>
                <w:szCs w:val="24"/>
              </w:rPr>
            </w:pPr>
            <w:r w:rsidRPr="00792B36">
              <w:rPr>
                <w:color w:val="000000"/>
                <w:sz w:val="24"/>
                <w:szCs w:val="24"/>
              </w:rPr>
              <w:t>5,690.76</w:t>
            </w:r>
          </w:p>
        </w:tc>
        <w:tc>
          <w:tcPr>
            <w:tcW w:w="1080" w:type="dxa"/>
            <w:vAlign w:val="center"/>
          </w:tcPr>
          <w:p w14:paraId="349B72C3" w14:textId="77777777" w:rsidR="009A0A63" w:rsidRPr="00792B36" w:rsidRDefault="009A0A63" w:rsidP="00A24459">
            <w:pPr>
              <w:contextualSpacing/>
              <w:jc w:val="center"/>
              <w:rPr>
                <w:sz w:val="24"/>
                <w:szCs w:val="24"/>
              </w:rPr>
            </w:pPr>
            <w:r w:rsidRPr="00792B36">
              <w:rPr>
                <w:color w:val="000000"/>
                <w:sz w:val="24"/>
                <w:szCs w:val="24"/>
              </w:rPr>
              <w:t>6,815.22</w:t>
            </w:r>
          </w:p>
        </w:tc>
        <w:tc>
          <w:tcPr>
            <w:tcW w:w="1177" w:type="dxa"/>
            <w:vAlign w:val="center"/>
          </w:tcPr>
          <w:p w14:paraId="4A8E7FC0" w14:textId="77777777" w:rsidR="009A0A63" w:rsidRPr="00792B36" w:rsidRDefault="009A0A63" w:rsidP="00A24459">
            <w:pPr>
              <w:contextualSpacing/>
              <w:jc w:val="center"/>
              <w:rPr>
                <w:sz w:val="24"/>
                <w:szCs w:val="24"/>
              </w:rPr>
            </w:pPr>
            <w:r w:rsidRPr="00792B36">
              <w:rPr>
                <w:color w:val="000000"/>
                <w:sz w:val="24"/>
                <w:szCs w:val="24"/>
              </w:rPr>
              <w:t>185.23</w:t>
            </w:r>
          </w:p>
        </w:tc>
        <w:tc>
          <w:tcPr>
            <w:tcW w:w="1027" w:type="dxa"/>
            <w:vAlign w:val="center"/>
          </w:tcPr>
          <w:p w14:paraId="57C7CB94" w14:textId="77777777" w:rsidR="009A0A63" w:rsidRPr="00792B36" w:rsidRDefault="009A0A63" w:rsidP="00A24459">
            <w:pPr>
              <w:contextualSpacing/>
              <w:jc w:val="center"/>
              <w:rPr>
                <w:sz w:val="24"/>
                <w:szCs w:val="24"/>
              </w:rPr>
            </w:pPr>
            <w:r w:rsidRPr="00792B36">
              <w:rPr>
                <w:color w:val="000000"/>
                <w:sz w:val="24"/>
                <w:szCs w:val="24"/>
              </w:rPr>
              <w:t>724.64</w:t>
            </w:r>
          </w:p>
        </w:tc>
        <w:tc>
          <w:tcPr>
            <w:tcW w:w="957" w:type="dxa"/>
            <w:vAlign w:val="center"/>
          </w:tcPr>
          <w:p w14:paraId="26D9DD03" w14:textId="77777777" w:rsidR="009A0A63" w:rsidRPr="00792B36" w:rsidRDefault="009A0A63" w:rsidP="00A24459">
            <w:pPr>
              <w:contextualSpacing/>
              <w:jc w:val="center"/>
              <w:rPr>
                <w:sz w:val="24"/>
                <w:szCs w:val="24"/>
              </w:rPr>
            </w:pPr>
            <w:r w:rsidRPr="00792B36">
              <w:rPr>
                <w:color w:val="000000"/>
                <w:sz w:val="24"/>
                <w:szCs w:val="24"/>
              </w:rPr>
              <w:t>1,221.12</w:t>
            </w:r>
          </w:p>
        </w:tc>
        <w:tc>
          <w:tcPr>
            <w:tcW w:w="900" w:type="dxa"/>
            <w:vAlign w:val="center"/>
          </w:tcPr>
          <w:p w14:paraId="0F007351" w14:textId="77777777" w:rsidR="009A0A63" w:rsidRPr="00792B36" w:rsidRDefault="009A0A63" w:rsidP="00A24459">
            <w:pPr>
              <w:contextualSpacing/>
              <w:jc w:val="center"/>
              <w:rPr>
                <w:sz w:val="24"/>
                <w:szCs w:val="24"/>
              </w:rPr>
            </w:pPr>
            <w:r w:rsidRPr="00792B36">
              <w:rPr>
                <w:color w:val="000000"/>
                <w:sz w:val="24"/>
                <w:szCs w:val="24"/>
              </w:rPr>
              <w:t>2,130.99</w:t>
            </w:r>
          </w:p>
        </w:tc>
      </w:tr>
      <w:tr w:rsidR="009A0A63" w:rsidRPr="00792B36" w14:paraId="27F2082C" w14:textId="77777777" w:rsidTr="00A24459">
        <w:trPr>
          <w:trHeight w:val="340"/>
        </w:trPr>
        <w:tc>
          <w:tcPr>
            <w:tcW w:w="617" w:type="dxa"/>
            <w:vAlign w:val="center"/>
          </w:tcPr>
          <w:p w14:paraId="0B79E142" w14:textId="77777777" w:rsidR="009A0A63" w:rsidRPr="00792B36" w:rsidRDefault="009A0A63" w:rsidP="00A24459">
            <w:pPr>
              <w:contextualSpacing/>
              <w:jc w:val="center"/>
              <w:rPr>
                <w:sz w:val="24"/>
                <w:szCs w:val="24"/>
              </w:rPr>
            </w:pPr>
            <w:r w:rsidRPr="00792B36">
              <w:rPr>
                <w:b/>
                <w:bCs/>
                <w:color w:val="000000"/>
                <w:sz w:val="24"/>
                <w:szCs w:val="24"/>
              </w:rPr>
              <w:t>2003</w:t>
            </w:r>
          </w:p>
        </w:tc>
        <w:tc>
          <w:tcPr>
            <w:tcW w:w="1177" w:type="dxa"/>
            <w:vAlign w:val="center"/>
          </w:tcPr>
          <w:p w14:paraId="5DC35B92" w14:textId="77777777" w:rsidR="009A0A63" w:rsidRPr="00792B36" w:rsidRDefault="009A0A63" w:rsidP="00A24459">
            <w:pPr>
              <w:contextualSpacing/>
              <w:jc w:val="center"/>
              <w:rPr>
                <w:sz w:val="24"/>
                <w:szCs w:val="24"/>
              </w:rPr>
            </w:pPr>
            <w:r w:rsidRPr="00792B36">
              <w:rPr>
                <w:color w:val="000000"/>
                <w:sz w:val="24"/>
                <w:szCs w:val="24"/>
              </w:rPr>
              <w:t>5.49</w:t>
            </w:r>
          </w:p>
        </w:tc>
        <w:tc>
          <w:tcPr>
            <w:tcW w:w="1095" w:type="dxa"/>
            <w:vAlign w:val="center"/>
          </w:tcPr>
          <w:p w14:paraId="2A9CCB87" w14:textId="77777777" w:rsidR="009A0A63" w:rsidRPr="00792B36" w:rsidRDefault="009A0A63" w:rsidP="00A24459">
            <w:pPr>
              <w:contextualSpacing/>
              <w:jc w:val="center"/>
              <w:rPr>
                <w:sz w:val="24"/>
                <w:szCs w:val="24"/>
              </w:rPr>
            </w:pPr>
            <w:r w:rsidRPr="00792B36">
              <w:rPr>
                <w:color w:val="000000"/>
                <w:sz w:val="24"/>
                <w:szCs w:val="24"/>
              </w:rPr>
              <w:t>1,139.75</w:t>
            </w:r>
          </w:p>
        </w:tc>
        <w:tc>
          <w:tcPr>
            <w:tcW w:w="987" w:type="dxa"/>
            <w:vAlign w:val="center"/>
          </w:tcPr>
          <w:p w14:paraId="5C38CB90" w14:textId="77777777" w:rsidR="009A0A63" w:rsidRPr="00792B36" w:rsidRDefault="009A0A63" w:rsidP="00A24459">
            <w:pPr>
              <w:contextualSpacing/>
              <w:jc w:val="center"/>
              <w:rPr>
                <w:sz w:val="24"/>
                <w:szCs w:val="24"/>
              </w:rPr>
            </w:pPr>
            <w:r w:rsidRPr="00792B36">
              <w:rPr>
                <w:color w:val="000000"/>
                <w:sz w:val="24"/>
                <w:szCs w:val="24"/>
              </w:rPr>
              <w:t>5,840.90</w:t>
            </w:r>
          </w:p>
        </w:tc>
        <w:tc>
          <w:tcPr>
            <w:tcW w:w="1080" w:type="dxa"/>
            <w:vAlign w:val="center"/>
          </w:tcPr>
          <w:p w14:paraId="09E64522" w14:textId="77777777" w:rsidR="009A0A63" w:rsidRPr="00792B36" w:rsidRDefault="009A0A63" w:rsidP="00A24459">
            <w:pPr>
              <w:contextualSpacing/>
              <w:jc w:val="center"/>
              <w:rPr>
                <w:sz w:val="24"/>
                <w:szCs w:val="24"/>
              </w:rPr>
            </w:pPr>
            <w:r w:rsidRPr="00792B36">
              <w:rPr>
                <w:color w:val="000000"/>
                <w:sz w:val="24"/>
                <w:szCs w:val="24"/>
              </w:rPr>
              <w:t>6,986.14</w:t>
            </w:r>
          </w:p>
        </w:tc>
        <w:tc>
          <w:tcPr>
            <w:tcW w:w="1177" w:type="dxa"/>
            <w:vAlign w:val="center"/>
          </w:tcPr>
          <w:p w14:paraId="61F6D974" w14:textId="77777777" w:rsidR="009A0A63" w:rsidRPr="00792B36" w:rsidRDefault="009A0A63" w:rsidP="00A24459">
            <w:pPr>
              <w:contextualSpacing/>
              <w:jc w:val="center"/>
              <w:rPr>
                <w:sz w:val="24"/>
                <w:szCs w:val="24"/>
              </w:rPr>
            </w:pPr>
            <w:r w:rsidRPr="00792B36">
              <w:rPr>
                <w:color w:val="000000"/>
                <w:sz w:val="24"/>
                <w:szCs w:val="24"/>
              </w:rPr>
              <w:t>206.19</w:t>
            </w:r>
          </w:p>
        </w:tc>
        <w:tc>
          <w:tcPr>
            <w:tcW w:w="1027" w:type="dxa"/>
            <w:vAlign w:val="center"/>
          </w:tcPr>
          <w:p w14:paraId="56012882" w14:textId="77777777" w:rsidR="009A0A63" w:rsidRPr="00792B36" w:rsidRDefault="009A0A63" w:rsidP="00A24459">
            <w:pPr>
              <w:contextualSpacing/>
              <w:jc w:val="center"/>
              <w:rPr>
                <w:sz w:val="24"/>
                <w:szCs w:val="24"/>
              </w:rPr>
            </w:pPr>
            <w:r w:rsidRPr="00792B36">
              <w:rPr>
                <w:color w:val="000000"/>
                <w:sz w:val="24"/>
                <w:szCs w:val="24"/>
              </w:rPr>
              <w:t>789.66</w:t>
            </w:r>
          </w:p>
        </w:tc>
        <w:tc>
          <w:tcPr>
            <w:tcW w:w="957" w:type="dxa"/>
            <w:vAlign w:val="center"/>
          </w:tcPr>
          <w:p w14:paraId="057BD640" w14:textId="77777777" w:rsidR="009A0A63" w:rsidRPr="00792B36" w:rsidRDefault="009A0A63" w:rsidP="00A24459">
            <w:pPr>
              <w:contextualSpacing/>
              <w:jc w:val="center"/>
              <w:rPr>
                <w:sz w:val="24"/>
                <w:szCs w:val="24"/>
              </w:rPr>
            </w:pPr>
            <w:r w:rsidRPr="00792B36">
              <w:rPr>
                <w:color w:val="000000"/>
                <w:sz w:val="24"/>
                <w:szCs w:val="24"/>
              </w:rPr>
              <w:t>1,275.26</w:t>
            </w:r>
          </w:p>
        </w:tc>
        <w:tc>
          <w:tcPr>
            <w:tcW w:w="900" w:type="dxa"/>
            <w:vAlign w:val="center"/>
          </w:tcPr>
          <w:p w14:paraId="7AD7129D" w14:textId="77777777" w:rsidR="009A0A63" w:rsidRPr="00792B36" w:rsidRDefault="009A0A63" w:rsidP="00A24459">
            <w:pPr>
              <w:contextualSpacing/>
              <w:jc w:val="center"/>
              <w:rPr>
                <w:sz w:val="24"/>
                <w:szCs w:val="24"/>
              </w:rPr>
            </w:pPr>
            <w:r w:rsidRPr="00792B36">
              <w:rPr>
                <w:color w:val="000000"/>
                <w:sz w:val="24"/>
                <w:szCs w:val="24"/>
              </w:rPr>
              <w:t>2,271.10</w:t>
            </w:r>
          </w:p>
        </w:tc>
      </w:tr>
      <w:tr w:rsidR="009A0A63" w:rsidRPr="00792B36" w14:paraId="5BDD097B" w14:textId="77777777" w:rsidTr="00A24459">
        <w:trPr>
          <w:trHeight w:val="340"/>
        </w:trPr>
        <w:tc>
          <w:tcPr>
            <w:tcW w:w="617" w:type="dxa"/>
            <w:vAlign w:val="center"/>
          </w:tcPr>
          <w:p w14:paraId="0B30527C" w14:textId="77777777" w:rsidR="009A0A63" w:rsidRPr="00792B36" w:rsidRDefault="009A0A63" w:rsidP="00A24459">
            <w:pPr>
              <w:contextualSpacing/>
              <w:jc w:val="center"/>
              <w:rPr>
                <w:sz w:val="24"/>
                <w:szCs w:val="24"/>
              </w:rPr>
            </w:pPr>
            <w:r w:rsidRPr="00792B36">
              <w:rPr>
                <w:b/>
                <w:bCs/>
                <w:color w:val="000000"/>
                <w:sz w:val="24"/>
                <w:szCs w:val="24"/>
              </w:rPr>
              <w:t>2004</w:t>
            </w:r>
          </w:p>
        </w:tc>
        <w:tc>
          <w:tcPr>
            <w:tcW w:w="1177" w:type="dxa"/>
            <w:vAlign w:val="center"/>
          </w:tcPr>
          <w:p w14:paraId="57D911FF" w14:textId="77777777" w:rsidR="009A0A63" w:rsidRPr="00792B36" w:rsidRDefault="009A0A63" w:rsidP="00A24459">
            <w:pPr>
              <w:contextualSpacing/>
              <w:jc w:val="center"/>
              <w:rPr>
                <w:sz w:val="24"/>
                <w:szCs w:val="24"/>
              </w:rPr>
            </w:pPr>
            <w:r w:rsidRPr="00792B36">
              <w:rPr>
                <w:color w:val="000000"/>
                <w:sz w:val="24"/>
                <w:szCs w:val="24"/>
              </w:rPr>
              <w:t>5.00</w:t>
            </w:r>
          </w:p>
        </w:tc>
        <w:tc>
          <w:tcPr>
            <w:tcW w:w="1095" w:type="dxa"/>
            <w:vAlign w:val="center"/>
          </w:tcPr>
          <w:p w14:paraId="3D945142" w14:textId="77777777" w:rsidR="009A0A63" w:rsidRPr="00792B36" w:rsidRDefault="009A0A63" w:rsidP="00A24459">
            <w:pPr>
              <w:contextualSpacing/>
              <w:jc w:val="center"/>
              <w:rPr>
                <w:sz w:val="24"/>
                <w:szCs w:val="24"/>
              </w:rPr>
            </w:pPr>
            <w:r w:rsidRPr="00792B36">
              <w:rPr>
                <w:color w:val="000000"/>
                <w:sz w:val="24"/>
                <w:szCs w:val="24"/>
              </w:rPr>
              <w:t>1,163.22</w:t>
            </w:r>
          </w:p>
        </w:tc>
        <w:tc>
          <w:tcPr>
            <w:tcW w:w="987" w:type="dxa"/>
            <w:vAlign w:val="center"/>
          </w:tcPr>
          <w:p w14:paraId="7DFE20D9" w14:textId="77777777" w:rsidR="009A0A63" w:rsidRPr="00792B36" w:rsidRDefault="009A0A63" w:rsidP="00A24459">
            <w:pPr>
              <w:contextualSpacing/>
              <w:jc w:val="center"/>
              <w:rPr>
                <w:sz w:val="24"/>
                <w:szCs w:val="24"/>
              </w:rPr>
            </w:pPr>
            <w:r w:rsidRPr="00792B36">
              <w:rPr>
                <w:color w:val="000000"/>
                <w:sz w:val="24"/>
                <w:szCs w:val="24"/>
              </w:rPr>
              <w:t>6,122.56</w:t>
            </w:r>
          </w:p>
        </w:tc>
        <w:tc>
          <w:tcPr>
            <w:tcW w:w="1080" w:type="dxa"/>
            <w:vAlign w:val="center"/>
          </w:tcPr>
          <w:p w14:paraId="193F16CD" w14:textId="77777777" w:rsidR="009A0A63" w:rsidRPr="00792B36" w:rsidRDefault="009A0A63" w:rsidP="00A24459">
            <w:pPr>
              <w:contextualSpacing/>
              <w:jc w:val="center"/>
              <w:rPr>
                <w:sz w:val="24"/>
                <w:szCs w:val="24"/>
              </w:rPr>
            </w:pPr>
            <w:r w:rsidRPr="00792B36">
              <w:rPr>
                <w:color w:val="000000"/>
                <w:sz w:val="24"/>
                <w:szCs w:val="24"/>
              </w:rPr>
              <w:t>7,290.11</w:t>
            </w:r>
          </w:p>
        </w:tc>
        <w:tc>
          <w:tcPr>
            <w:tcW w:w="1177" w:type="dxa"/>
            <w:vAlign w:val="center"/>
          </w:tcPr>
          <w:p w14:paraId="245A7497" w14:textId="77777777" w:rsidR="009A0A63" w:rsidRPr="00792B36" w:rsidRDefault="009A0A63" w:rsidP="00A24459">
            <w:pPr>
              <w:contextualSpacing/>
              <w:jc w:val="center"/>
              <w:rPr>
                <w:sz w:val="24"/>
                <w:szCs w:val="24"/>
              </w:rPr>
            </w:pPr>
            <w:r w:rsidRPr="00792B36">
              <w:rPr>
                <w:color w:val="000000"/>
                <w:sz w:val="24"/>
                <w:szCs w:val="24"/>
              </w:rPr>
              <w:t>202.72</w:t>
            </w:r>
          </w:p>
        </w:tc>
        <w:tc>
          <w:tcPr>
            <w:tcW w:w="1027" w:type="dxa"/>
            <w:vAlign w:val="center"/>
          </w:tcPr>
          <w:p w14:paraId="3D378E96" w14:textId="77777777" w:rsidR="009A0A63" w:rsidRPr="00792B36" w:rsidRDefault="009A0A63" w:rsidP="00A24459">
            <w:pPr>
              <w:contextualSpacing/>
              <w:jc w:val="center"/>
              <w:rPr>
                <w:sz w:val="24"/>
                <w:szCs w:val="24"/>
              </w:rPr>
            </w:pPr>
            <w:r w:rsidRPr="00792B36">
              <w:rPr>
                <w:color w:val="000000"/>
                <w:sz w:val="24"/>
                <w:szCs w:val="24"/>
              </w:rPr>
              <w:t>841.33</w:t>
            </w:r>
          </w:p>
        </w:tc>
        <w:tc>
          <w:tcPr>
            <w:tcW w:w="957" w:type="dxa"/>
            <w:vAlign w:val="center"/>
          </w:tcPr>
          <w:p w14:paraId="1765E025" w14:textId="77777777" w:rsidR="009A0A63" w:rsidRPr="00792B36" w:rsidRDefault="009A0A63" w:rsidP="00A24459">
            <w:pPr>
              <w:contextualSpacing/>
              <w:jc w:val="center"/>
              <w:rPr>
                <w:sz w:val="24"/>
                <w:szCs w:val="24"/>
              </w:rPr>
            </w:pPr>
            <w:r w:rsidRPr="00792B36">
              <w:rPr>
                <w:color w:val="000000"/>
                <w:sz w:val="24"/>
                <w:szCs w:val="24"/>
              </w:rPr>
              <w:t>1,356.70</w:t>
            </w:r>
          </w:p>
        </w:tc>
        <w:tc>
          <w:tcPr>
            <w:tcW w:w="900" w:type="dxa"/>
            <w:vAlign w:val="center"/>
          </w:tcPr>
          <w:p w14:paraId="3A54A224" w14:textId="77777777" w:rsidR="009A0A63" w:rsidRPr="00792B36" w:rsidRDefault="009A0A63" w:rsidP="00A24459">
            <w:pPr>
              <w:contextualSpacing/>
              <w:jc w:val="center"/>
              <w:rPr>
                <w:sz w:val="24"/>
                <w:szCs w:val="24"/>
              </w:rPr>
            </w:pPr>
            <w:r w:rsidRPr="00792B36">
              <w:rPr>
                <w:color w:val="000000"/>
                <w:sz w:val="24"/>
                <w:szCs w:val="24"/>
              </w:rPr>
              <w:t>2,400.10</w:t>
            </w:r>
          </w:p>
        </w:tc>
      </w:tr>
      <w:tr w:rsidR="009A0A63" w:rsidRPr="00792B36" w14:paraId="262FF4F6" w14:textId="77777777" w:rsidTr="00A24459">
        <w:trPr>
          <w:trHeight w:val="340"/>
        </w:trPr>
        <w:tc>
          <w:tcPr>
            <w:tcW w:w="617" w:type="dxa"/>
            <w:vAlign w:val="center"/>
          </w:tcPr>
          <w:p w14:paraId="49C19BAF" w14:textId="77777777" w:rsidR="009A0A63" w:rsidRPr="00792B36" w:rsidRDefault="009A0A63" w:rsidP="00A24459">
            <w:pPr>
              <w:contextualSpacing/>
              <w:jc w:val="center"/>
              <w:rPr>
                <w:sz w:val="24"/>
                <w:szCs w:val="24"/>
              </w:rPr>
            </w:pPr>
            <w:r w:rsidRPr="00792B36">
              <w:rPr>
                <w:b/>
                <w:bCs/>
                <w:color w:val="000000"/>
                <w:sz w:val="24"/>
                <w:szCs w:val="24"/>
              </w:rPr>
              <w:t>2005</w:t>
            </w:r>
          </w:p>
        </w:tc>
        <w:tc>
          <w:tcPr>
            <w:tcW w:w="1177" w:type="dxa"/>
            <w:vAlign w:val="center"/>
          </w:tcPr>
          <w:p w14:paraId="237E66E9" w14:textId="77777777" w:rsidR="009A0A63" w:rsidRPr="00792B36" w:rsidRDefault="009A0A63" w:rsidP="00A24459">
            <w:pPr>
              <w:contextualSpacing/>
              <w:jc w:val="center"/>
              <w:rPr>
                <w:sz w:val="24"/>
                <w:szCs w:val="24"/>
              </w:rPr>
            </w:pPr>
            <w:r w:rsidRPr="00792B36">
              <w:rPr>
                <w:color w:val="000000"/>
                <w:sz w:val="24"/>
                <w:szCs w:val="24"/>
              </w:rPr>
              <w:t>4.84</w:t>
            </w:r>
          </w:p>
        </w:tc>
        <w:tc>
          <w:tcPr>
            <w:tcW w:w="1095" w:type="dxa"/>
            <w:vAlign w:val="center"/>
          </w:tcPr>
          <w:p w14:paraId="433EC66C" w14:textId="77777777" w:rsidR="009A0A63" w:rsidRPr="00792B36" w:rsidRDefault="009A0A63" w:rsidP="00A24459">
            <w:pPr>
              <w:contextualSpacing/>
              <w:jc w:val="center"/>
              <w:rPr>
                <w:sz w:val="24"/>
                <w:szCs w:val="24"/>
              </w:rPr>
            </w:pPr>
            <w:r w:rsidRPr="00792B36">
              <w:rPr>
                <w:color w:val="000000"/>
                <w:sz w:val="24"/>
                <w:szCs w:val="24"/>
              </w:rPr>
              <w:t>1,154.96</w:t>
            </w:r>
          </w:p>
        </w:tc>
        <w:tc>
          <w:tcPr>
            <w:tcW w:w="987" w:type="dxa"/>
            <w:vAlign w:val="center"/>
          </w:tcPr>
          <w:p w14:paraId="5A4EE58A" w14:textId="77777777" w:rsidR="009A0A63" w:rsidRPr="00792B36" w:rsidRDefault="009A0A63" w:rsidP="00A24459">
            <w:pPr>
              <w:contextualSpacing/>
              <w:jc w:val="center"/>
              <w:rPr>
                <w:sz w:val="24"/>
                <w:szCs w:val="24"/>
              </w:rPr>
            </w:pPr>
            <w:r w:rsidRPr="00792B36">
              <w:rPr>
                <w:color w:val="000000"/>
                <w:sz w:val="24"/>
                <w:szCs w:val="24"/>
              </w:rPr>
              <w:t>6,318.27</w:t>
            </w:r>
          </w:p>
        </w:tc>
        <w:tc>
          <w:tcPr>
            <w:tcW w:w="1080" w:type="dxa"/>
            <w:vAlign w:val="center"/>
          </w:tcPr>
          <w:p w14:paraId="1FC8C3D7" w14:textId="77777777" w:rsidR="009A0A63" w:rsidRPr="00792B36" w:rsidRDefault="009A0A63" w:rsidP="00A24459">
            <w:pPr>
              <w:contextualSpacing/>
              <w:jc w:val="center"/>
              <w:rPr>
                <w:sz w:val="24"/>
                <w:szCs w:val="24"/>
              </w:rPr>
            </w:pPr>
            <w:r w:rsidRPr="00792B36">
              <w:rPr>
                <w:color w:val="000000"/>
                <w:sz w:val="24"/>
                <w:szCs w:val="24"/>
              </w:rPr>
              <w:t>7,476.01</w:t>
            </w:r>
          </w:p>
        </w:tc>
        <w:tc>
          <w:tcPr>
            <w:tcW w:w="1177" w:type="dxa"/>
            <w:vAlign w:val="center"/>
          </w:tcPr>
          <w:p w14:paraId="740DC760" w14:textId="77777777" w:rsidR="009A0A63" w:rsidRPr="00792B36" w:rsidRDefault="009A0A63" w:rsidP="00A24459">
            <w:pPr>
              <w:contextualSpacing/>
              <w:jc w:val="center"/>
              <w:rPr>
                <w:sz w:val="24"/>
                <w:szCs w:val="24"/>
              </w:rPr>
            </w:pPr>
            <w:r w:rsidRPr="00792B36">
              <w:rPr>
                <w:color w:val="000000"/>
                <w:sz w:val="24"/>
                <w:szCs w:val="24"/>
              </w:rPr>
              <w:t>201.44</w:t>
            </w:r>
          </w:p>
        </w:tc>
        <w:tc>
          <w:tcPr>
            <w:tcW w:w="1027" w:type="dxa"/>
            <w:vAlign w:val="center"/>
          </w:tcPr>
          <w:p w14:paraId="4FA69786" w14:textId="77777777" w:rsidR="009A0A63" w:rsidRPr="00792B36" w:rsidRDefault="009A0A63" w:rsidP="00A24459">
            <w:pPr>
              <w:contextualSpacing/>
              <w:jc w:val="center"/>
              <w:rPr>
                <w:sz w:val="24"/>
                <w:szCs w:val="24"/>
              </w:rPr>
            </w:pPr>
            <w:r w:rsidRPr="00792B36">
              <w:rPr>
                <w:color w:val="000000"/>
                <w:sz w:val="24"/>
                <w:szCs w:val="24"/>
              </w:rPr>
              <w:t>877.40</w:t>
            </w:r>
          </w:p>
        </w:tc>
        <w:tc>
          <w:tcPr>
            <w:tcW w:w="957" w:type="dxa"/>
            <w:vAlign w:val="center"/>
          </w:tcPr>
          <w:p w14:paraId="450FCDDD" w14:textId="77777777" w:rsidR="009A0A63" w:rsidRPr="00792B36" w:rsidRDefault="009A0A63" w:rsidP="00A24459">
            <w:pPr>
              <w:contextualSpacing/>
              <w:jc w:val="center"/>
              <w:rPr>
                <w:sz w:val="24"/>
                <w:szCs w:val="24"/>
              </w:rPr>
            </w:pPr>
            <w:r w:rsidRPr="00792B36">
              <w:rPr>
                <w:color w:val="000000"/>
                <w:sz w:val="24"/>
                <w:szCs w:val="24"/>
              </w:rPr>
              <w:t>1,409.03</w:t>
            </w:r>
          </w:p>
        </w:tc>
        <w:tc>
          <w:tcPr>
            <w:tcW w:w="900" w:type="dxa"/>
            <w:vAlign w:val="center"/>
          </w:tcPr>
          <w:p w14:paraId="0A597D7E" w14:textId="77777777" w:rsidR="009A0A63" w:rsidRPr="00792B36" w:rsidRDefault="009A0A63" w:rsidP="00A24459">
            <w:pPr>
              <w:contextualSpacing/>
              <w:jc w:val="center"/>
              <w:rPr>
                <w:sz w:val="24"/>
                <w:szCs w:val="24"/>
              </w:rPr>
            </w:pPr>
            <w:r w:rsidRPr="00792B36">
              <w:rPr>
                <w:color w:val="000000"/>
                <w:sz w:val="24"/>
                <w:szCs w:val="24"/>
              </w:rPr>
              <w:t>2,486.28</w:t>
            </w:r>
          </w:p>
        </w:tc>
      </w:tr>
      <w:tr w:rsidR="009A0A63" w:rsidRPr="00792B36" w14:paraId="51168687" w14:textId="77777777" w:rsidTr="00A24459">
        <w:trPr>
          <w:trHeight w:val="340"/>
        </w:trPr>
        <w:tc>
          <w:tcPr>
            <w:tcW w:w="617" w:type="dxa"/>
            <w:vAlign w:val="center"/>
          </w:tcPr>
          <w:p w14:paraId="18D53EF6" w14:textId="77777777" w:rsidR="009A0A63" w:rsidRPr="00792B36" w:rsidRDefault="009A0A63" w:rsidP="00A24459">
            <w:pPr>
              <w:contextualSpacing/>
              <w:jc w:val="center"/>
              <w:rPr>
                <w:sz w:val="24"/>
                <w:szCs w:val="24"/>
              </w:rPr>
            </w:pPr>
            <w:r w:rsidRPr="00792B36">
              <w:rPr>
                <w:b/>
                <w:bCs/>
                <w:color w:val="000000"/>
                <w:sz w:val="24"/>
                <w:szCs w:val="24"/>
              </w:rPr>
              <w:t>2006</w:t>
            </w:r>
          </w:p>
        </w:tc>
        <w:tc>
          <w:tcPr>
            <w:tcW w:w="1177" w:type="dxa"/>
            <w:vAlign w:val="center"/>
          </w:tcPr>
          <w:p w14:paraId="47DD22AE" w14:textId="77777777" w:rsidR="009A0A63" w:rsidRPr="00792B36" w:rsidRDefault="009A0A63" w:rsidP="00A24459">
            <w:pPr>
              <w:contextualSpacing/>
              <w:jc w:val="center"/>
              <w:rPr>
                <w:sz w:val="24"/>
                <w:szCs w:val="24"/>
              </w:rPr>
            </w:pPr>
            <w:r w:rsidRPr="00792B36">
              <w:rPr>
                <w:color w:val="000000"/>
                <w:sz w:val="24"/>
                <w:szCs w:val="24"/>
              </w:rPr>
              <w:t>4.74</w:t>
            </w:r>
          </w:p>
        </w:tc>
        <w:tc>
          <w:tcPr>
            <w:tcW w:w="1095" w:type="dxa"/>
            <w:vAlign w:val="center"/>
          </w:tcPr>
          <w:p w14:paraId="098859B6" w14:textId="77777777" w:rsidR="009A0A63" w:rsidRPr="00792B36" w:rsidRDefault="009A0A63" w:rsidP="00A24459">
            <w:pPr>
              <w:contextualSpacing/>
              <w:jc w:val="center"/>
              <w:rPr>
                <w:sz w:val="24"/>
                <w:szCs w:val="24"/>
              </w:rPr>
            </w:pPr>
            <w:r w:rsidRPr="00792B36">
              <w:rPr>
                <w:color w:val="000000"/>
                <w:sz w:val="24"/>
                <w:szCs w:val="24"/>
              </w:rPr>
              <w:t>1,135.59</w:t>
            </w:r>
          </w:p>
        </w:tc>
        <w:tc>
          <w:tcPr>
            <w:tcW w:w="987" w:type="dxa"/>
            <w:vAlign w:val="center"/>
          </w:tcPr>
          <w:p w14:paraId="4EE64F31" w14:textId="77777777" w:rsidR="009A0A63" w:rsidRPr="00792B36" w:rsidRDefault="009A0A63" w:rsidP="00A24459">
            <w:pPr>
              <w:contextualSpacing/>
              <w:jc w:val="center"/>
              <w:rPr>
                <w:sz w:val="24"/>
                <w:szCs w:val="24"/>
              </w:rPr>
            </w:pPr>
            <w:r w:rsidRPr="00792B36">
              <w:rPr>
                <w:color w:val="000000"/>
                <w:sz w:val="24"/>
                <w:szCs w:val="24"/>
              </w:rPr>
              <w:t>6,373.11</w:t>
            </w:r>
          </w:p>
        </w:tc>
        <w:tc>
          <w:tcPr>
            <w:tcW w:w="1080" w:type="dxa"/>
            <w:vAlign w:val="center"/>
          </w:tcPr>
          <w:p w14:paraId="7478EDDA" w14:textId="77777777" w:rsidR="009A0A63" w:rsidRPr="00792B36" w:rsidRDefault="009A0A63" w:rsidP="00A24459">
            <w:pPr>
              <w:contextualSpacing/>
              <w:jc w:val="center"/>
              <w:rPr>
                <w:sz w:val="24"/>
                <w:szCs w:val="24"/>
              </w:rPr>
            </w:pPr>
            <w:r w:rsidRPr="00792B36">
              <w:rPr>
                <w:color w:val="000000"/>
                <w:sz w:val="24"/>
                <w:szCs w:val="24"/>
              </w:rPr>
              <w:t>7,510.44</w:t>
            </w:r>
          </w:p>
        </w:tc>
        <w:tc>
          <w:tcPr>
            <w:tcW w:w="1177" w:type="dxa"/>
            <w:vAlign w:val="center"/>
          </w:tcPr>
          <w:p w14:paraId="5E49C957" w14:textId="77777777" w:rsidR="009A0A63" w:rsidRPr="00792B36" w:rsidRDefault="009A0A63" w:rsidP="00A24459">
            <w:pPr>
              <w:contextualSpacing/>
              <w:jc w:val="center"/>
              <w:rPr>
                <w:sz w:val="24"/>
                <w:szCs w:val="24"/>
              </w:rPr>
            </w:pPr>
            <w:r w:rsidRPr="00792B36">
              <w:rPr>
                <w:color w:val="000000"/>
                <w:sz w:val="24"/>
                <w:szCs w:val="24"/>
              </w:rPr>
              <w:t>208.15</w:t>
            </w:r>
          </w:p>
        </w:tc>
        <w:tc>
          <w:tcPr>
            <w:tcW w:w="1027" w:type="dxa"/>
            <w:vAlign w:val="center"/>
          </w:tcPr>
          <w:p w14:paraId="4FBE0644" w14:textId="77777777" w:rsidR="009A0A63" w:rsidRPr="00792B36" w:rsidRDefault="009A0A63" w:rsidP="00A24459">
            <w:pPr>
              <w:contextualSpacing/>
              <w:jc w:val="center"/>
              <w:rPr>
                <w:sz w:val="24"/>
                <w:szCs w:val="24"/>
              </w:rPr>
            </w:pPr>
            <w:r w:rsidRPr="00792B36">
              <w:rPr>
                <w:color w:val="000000"/>
                <w:sz w:val="24"/>
                <w:szCs w:val="24"/>
              </w:rPr>
              <w:t>921.56</w:t>
            </w:r>
          </w:p>
        </w:tc>
        <w:tc>
          <w:tcPr>
            <w:tcW w:w="957" w:type="dxa"/>
            <w:vAlign w:val="center"/>
          </w:tcPr>
          <w:p w14:paraId="48033B9D" w14:textId="77777777" w:rsidR="009A0A63" w:rsidRPr="00792B36" w:rsidRDefault="009A0A63" w:rsidP="00A24459">
            <w:pPr>
              <w:contextualSpacing/>
              <w:jc w:val="center"/>
              <w:rPr>
                <w:sz w:val="24"/>
                <w:szCs w:val="24"/>
              </w:rPr>
            </w:pPr>
            <w:r w:rsidRPr="00792B36">
              <w:rPr>
                <w:color w:val="000000"/>
                <w:sz w:val="24"/>
                <w:szCs w:val="24"/>
              </w:rPr>
              <w:t>1,466.94</w:t>
            </w:r>
          </w:p>
        </w:tc>
        <w:tc>
          <w:tcPr>
            <w:tcW w:w="900" w:type="dxa"/>
            <w:vAlign w:val="center"/>
          </w:tcPr>
          <w:p w14:paraId="3F12D8DE" w14:textId="77777777" w:rsidR="009A0A63" w:rsidRPr="00792B36" w:rsidRDefault="009A0A63" w:rsidP="00A24459">
            <w:pPr>
              <w:contextualSpacing/>
              <w:jc w:val="center"/>
              <w:rPr>
                <w:sz w:val="24"/>
                <w:szCs w:val="24"/>
              </w:rPr>
            </w:pPr>
            <w:r w:rsidRPr="00792B36">
              <w:rPr>
                <w:color w:val="000000"/>
                <w:sz w:val="24"/>
                <w:szCs w:val="24"/>
              </w:rPr>
              <w:t>2,594.83</w:t>
            </w:r>
          </w:p>
        </w:tc>
      </w:tr>
      <w:tr w:rsidR="009A0A63" w:rsidRPr="00792B36" w14:paraId="273E9CCD" w14:textId="77777777" w:rsidTr="00A24459">
        <w:trPr>
          <w:trHeight w:val="340"/>
        </w:trPr>
        <w:tc>
          <w:tcPr>
            <w:tcW w:w="617" w:type="dxa"/>
            <w:vAlign w:val="center"/>
          </w:tcPr>
          <w:p w14:paraId="6833C6A0" w14:textId="77777777" w:rsidR="009A0A63" w:rsidRPr="00792B36" w:rsidRDefault="009A0A63" w:rsidP="00A24459">
            <w:pPr>
              <w:contextualSpacing/>
              <w:jc w:val="center"/>
              <w:rPr>
                <w:sz w:val="24"/>
                <w:szCs w:val="24"/>
              </w:rPr>
            </w:pPr>
            <w:r w:rsidRPr="00792B36">
              <w:rPr>
                <w:b/>
                <w:bCs/>
                <w:color w:val="000000"/>
                <w:sz w:val="24"/>
                <w:szCs w:val="24"/>
              </w:rPr>
              <w:t>2007</w:t>
            </w:r>
          </w:p>
        </w:tc>
        <w:tc>
          <w:tcPr>
            <w:tcW w:w="1177" w:type="dxa"/>
            <w:vAlign w:val="center"/>
          </w:tcPr>
          <w:p w14:paraId="2557E34F" w14:textId="77777777" w:rsidR="009A0A63" w:rsidRPr="00792B36" w:rsidRDefault="009A0A63" w:rsidP="00A24459">
            <w:pPr>
              <w:contextualSpacing/>
              <w:jc w:val="center"/>
              <w:rPr>
                <w:sz w:val="24"/>
                <w:szCs w:val="24"/>
              </w:rPr>
            </w:pPr>
            <w:r w:rsidRPr="00792B36">
              <w:rPr>
                <w:color w:val="000000"/>
                <w:sz w:val="24"/>
                <w:szCs w:val="24"/>
              </w:rPr>
              <w:t>4.91</w:t>
            </w:r>
          </w:p>
        </w:tc>
        <w:tc>
          <w:tcPr>
            <w:tcW w:w="1095" w:type="dxa"/>
            <w:vAlign w:val="center"/>
          </w:tcPr>
          <w:p w14:paraId="37B818DA" w14:textId="77777777" w:rsidR="009A0A63" w:rsidRPr="00792B36" w:rsidRDefault="009A0A63" w:rsidP="00A24459">
            <w:pPr>
              <w:contextualSpacing/>
              <w:jc w:val="center"/>
              <w:rPr>
                <w:sz w:val="24"/>
                <w:szCs w:val="24"/>
              </w:rPr>
            </w:pPr>
            <w:r w:rsidRPr="00792B36">
              <w:rPr>
                <w:color w:val="000000"/>
                <w:sz w:val="24"/>
                <w:szCs w:val="24"/>
              </w:rPr>
              <w:t>1,209.67</w:t>
            </w:r>
          </w:p>
        </w:tc>
        <w:tc>
          <w:tcPr>
            <w:tcW w:w="987" w:type="dxa"/>
            <w:vAlign w:val="center"/>
          </w:tcPr>
          <w:p w14:paraId="2C9E4427" w14:textId="77777777" w:rsidR="009A0A63" w:rsidRPr="00792B36" w:rsidRDefault="009A0A63" w:rsidP="00A24459">
            <w:pPr>
              <w:contextualSpacing/>
              <w:jc w:val="center"/>
              <w:rPr>
                <w:sz w:val="24"/>
                <w:szCs w:val="24"/>
              </w:rPr>
            </w:pPr>
            <w:r w:rsidRPr="00792B36">
              <w:rPr>
                <w:color w:val="000000"/>
                <w:sz w:val="24"/>
                <w:szCs w:val="24"/>
              </w:rPr>
              <w:t>6,295.02</w:t>
            </w:r>
          </w:p>
        </w:tc>
        <w:tc>
          <w:tcPr>
            <w:tcW w:w="1080" w:type="dxa"/>
            <w:vAlign w:val="center"/>
          </w:tcPr>
          <w:p w14:paraId="4EA967A8" w14:textId="77777777" w:rsidR="009A0A63" w:rsidRPr="00792B36" w:rsidRDefault="009A0A63" w:rsidP="00A24459">
            <w:pPr>
              <w:contextualSpacing/>
              <w:jc w:val="center"/>
              <w:rPr>
                <w:sz w:val="24"/>
                <w:szCs w:val="24"/>
              </w:rPr>
            </w:pPr>
            <w:r w:rsidRPr="00792B36">
              <w:rPr>
                <w:color w:val="000000"/>
                <w:sz w:val="24"/>
                <w:szCs w:val="24"/>
              </w:rPr>
              <w:t>7,511.48</w:t>
            </w:r>
          </w:p>
        </w:tc>
        <w:tc>
          <w:tcPr>
            <w:tcW w:w="1177" w:type="dxa"/>
            <w:vAlign w:val="center"/>
          </w:tcPr>
          <w:p w14:paraId="53FA698D" w14:textId="77777777" w:rsidR="009A0A63" w:rsidRPr="00792B36" w:rsidRDefault="009A0A63" w:rsidP="00A24459">
            <w:pPr>
              <w:contextualSpacing/>
              <w:jc w:val="center"/>
              <w:rPr>
                <w:sz w:val="24"/>
                <w:szCs w:val="24"/>
              </w:rPr>
            </w:pPr>
            <w:r w:rsidRPr="00792B36">
              <w:rPr>
                <w:color w:val="000000"/>
                <w:sz w:val="24"/>
                <w:szCs w:val="24"/>
              </w:rPr>
              <w:t>210.90</w:t>
            </w:r>
          </w:p>
        </w:tc>
        <w:tc>
          <w:tcPr>
            <w:tcW w:w="1027" w:type="dxa"/>
            <w:vAlign w:val="center"/>
          </w:tcPr>
          <w:p w14:paraId="48B0380A" w14:textId="77777777" w:rsidR="009A0A63" w:rsidRPr="00792B36" w:rsidRDefault="009A0A63" w:rsidP="00A24459">
            <w:pPr>
              <w:contextualSpacing/>
              <w:jc w:val="center"/>
              <w:rPr>
                <w:sz w:val="24"/>
                <w:szCs w:val="24"/>
              </w:rPr>
            </w:pPr>
            <w:r w:rsidRPr="00792B36">
              <w:rPr>
                <w:color w:val="000000"/>
                <w:sz w:val="24"/>
                <w:szCs w:val="24"/>
              </w:rPr>
              <w:t>978.70</w:t>
            </w:r>
          </w:p>
        </w:tc>
        <w:tc>
          <w:tcPr>
            <w:tcW w:w="957" w:type="dxa"/>
            <w:vAlign w:val="center"/>
          </w:tcPr>
          <w:p w14:paraId="2B62AE1A" w14:textId="77777777" w:rsidR="009A0A63" w:rsidRPr="00792B36" w:rsidRDefault="009A0A63" w:rsidP="00A24459">
            <w:pPr>
              <w:contextualSpacing/>
              <w:jc w:val="center"/>
              <w:rPr>
                <w:sz w:val="24"/>
                <w:szCs w:val="24"/>
              </w:rPr>
            </w:pPr>
            <w:r w:rsidRPr="00792B36">
              <w:rPr>
                <w:color w:val="000000"/>
                <w:sz w:val="24"/>
                <w:szCs w:val="24"/>
              </w:rPr>
              <w:t>1,533.31</w:t>
            </w:r>
          </w:p>
        </w:tc>
        <w:tc>
          <w:tcPr>
            <w:tcW w:w="900" w:type="dxa"/>
            <w:vAlign w:val="center"/>
          </w:tcPr>
          <w:p w14:paraId="03BDE674" w14:textId="77777777" w:rsidR="009A0A63" w:rsidRPr="00792B36" w:rsidRDefault="009A0A63" w:rsidP="00A24459">
            <w:pPr>
              <w:contextualSpacing/>
              <w:jc w:val="center"/>
              <w:rPr>
                <w:sz w:val="24"/>
                <w:szCs w:val="24"/>
              </w:rPr>
            </w:pPr>
            <w:r w:rsidRPr="00792B36">
              <w:rPr>
                <w:color w:val="000000"/>
                <w:sz w:val="24"/>
                <w:szCs w:val="24"/>
              </w:rPr>
              <w:t>2,720.18</w:t>
            </w:r>
          </w:p>
        </w:tc>
      </w:tr>
      <w:tr w:rsidR="009A0A63" w:rsidRPr="00792B36" w14:paraId="1332BD16" w14:textId="77777777" w:rsidTr="00A24459">
        <w:trPr>
          <w:trHeight w:val="340"/>
        </w:trPr>
        <w:tc>
          <w:tcPr>
            <w:tcW w:w="617" w:type="dxa"/>
            <w:vAlign w:val="center"/>
          </w:tcPr>
          <w:p w14:paraId="281221D7" w14:textId="77777777" w:rsidR="009A0A63" w:rsidRPr="00792B36" w:rsidRDefault="009A0A63" w:rsidP="00A24459">
            <w:pPr>
              <w:contextualSpacing/>
              <w:jc w:val="center"/>
              <w:rPr>
                <w:sz w:val="24"/>
                <w:szCs w:val="24"/>
              </w:rPr>
            </w:pPr>
            <w:r w:rsidRPr="00792B36">
              <w:rPr>
                <w:b/>
                <w:bCs/>
                <w:color w:val="000000"/>
                <w:sz w:val="24"/>
                <w:szCs w:val="24"/>
              </w:rPr>
              <w:t>2008</w:t>
            </w:r>
          </w:p>
        </w:tc>
        <w:tc>
          <w:tcPr>
            <w:tcW w:w="1177" w:type="dxa"/>
            <w:vAlign w:val="center"/>
          </w:tcPr>
          <w:p w14:paraId="5AA905E0" w14:textId="77777777" w:rsidR="009A0A63" w:rsidRPr="00792B36" w:rsidRDefault="009A0A63" w:rsidP="00A24459">
            <w:pPr>
              <w:contextualSpacing/>
              <w:jc w:val="center"/>
              <w:rPr>
                <w:sz w:val="24"/>
                <w:szCs w:val="24"/>
              </w:rPr>
            </w:pPr>
            <w:r w:rsidRPr="00792B36">
              <w:rPr>
                <w:color w:val="000000"/>
                <w:sz w:val="24"/>
                <w:szCs w:val="24"/>
              </w:rPr>
              <w:t>4.92</w:t>
            </w:r>
          </w:p>
        </w:tc>
        <w:tc>
          <w:tcPr>
            <w:tcW w:w="1095" w:type="dxa"/>
            <w:vAlign w:val="center"/>
          </w:tcPr>
          <w:p w14:paraId="21535B3D" w14:textId="77777777" w:rsidR="009A0A63" w:rsidRPr="00792B36" w:rsidRDefault="009A0A63" w:rsidP="00A24459">
            <w:pPr>
              <w:contextualSpacing/>
              <w:jc w:val="center"/>
              <w:rPr>
                <w:sz w:val="24"/>
                <w:szCs w:val="24"/>
              </w:rPr>
            </w:pPr>
            <w:r w:rsidRPr="00792B36">
              <w:rPr>
                <w:color w:val="000000"/>
                <w:sz w:val="24"/>
                <w:szCs w:val="24"/>
              </w:rPr>
              <w:t>1,101.25</w:t>
            </w:r>
          </w:p>
        </w:tc>
        <w:tc>
          <w:tcPr>
            <w:tcW w:w="987" w:type="dxa"/>
            <w:vAlign w:val="center"/>
          </w:tcPr>
          <w:p w14:paraId="15DFE61D" w14:textId="77777777" w:rsidR="009A0A63" w:rsidRPr="00792B36" w:rsidRDefault="009A0A63" w:rsidP="00A24459">
            <w:pPr>
              <w:contextualSpacing/>
              <w:jc w:val="center"/>
              <w:rPr>
                <w:sz w:val="24"/>
                <w:szCs w:val="24"/>
              </w:rPr>
            </w:pPr>
            <w:r w:rsidRPr="00792B36">
              <w:rPr>
                <w:color w:val="000000"/>
                <w:sz w:val="24"/>
                <w:szCs w:val="24"/>
              </w:rPr>
              <w:t>6,247.98</w:t>
            </w:r>
          </w:p>
        </w:tc>
        <w:tc>
          <w:tcPr>
            <w:tcW w:w="1080" w:type="dxa"/>
            <w:vAlign w:val="center"/>
          </w:tcPr>
          <w:p w14:paraId="498BADCB" w14:textId="77777777" w:rsidR="009A0A63" w:rsidRPr="00792B36" w:rsidRDefault="009A0A63" w:rsidP="00A24459">
            <w:pPr>
              <w:contextualSpacing/>
              <w:jc w:val="center"/>
              <w:rPr>
                <w:sz w:val="24"/>
                <w:szCs w:val="24"/>
              </w:rPr>
            </w:pPr>
            <w:r w:rsidRPr="00792B36">
              <w:rPr>
                <w:color w:val="000000"/>
                <w:sz w:val="24"/>
                <w:szCs w:val="24"/>
              </w:rPr>
              <w:t>7,351.78</w:t>
            </w:r>
          </w:p>
        </w:tc>
        <w:tc>
          <w:tcPr>
            <w:tcW w:w="1177" w:type="dxa"/>
            <w:vAlign w:val="center"/>
          </w:tcPr>
          <w:p w14:paraId="0E97149F" w14:textId="77777777" w:rsidR="009A0A63" w:rsidRPr="00792B36" w:rsidRDefault="009A0A63" w:rsidP="00A24459">
            <w:pPr>
              <w:contextualSpacing/>
              <w:jc w:val="center"/>
              <w:rPr>
                <w:sz w:val="24"/>
                <w:szCs w:val="24"/>
              </w:rPr>
            </w:pPr>
            <w:r w:rsidRPr="00792B36">
              <w:rPr>
                <w:color w:val="000000"/>
                <w:sz w:val="24"/>
                <w:szCs w:val="24"/>
              </w:rPr>
              <w:t>215.84</w:t>
            </w:r>
          </w:p>
        </w:tc>
        <w:tc>
          <w:tcPr>
            <w:tcW w:w="1027" w:type="dxa"/>
            <w:vAlign w:val="center"/>
          </w:tcPr>
          <w:p w14:paraId="54FEE35D" w14:textId="77777777" w:rsidR="009A0A63" w:rsidRPr="00792B36" w:rsidRDefault="009A0A63" w:rsidP="00A24459">
            <w:pPr>
              <w:contextualSpacing/>
              <w:jc w:val="center"/>
              <w:rPr>
                <w:sz w:val="24"/>
                <w:szCs w:val="24"/>
              </w:rPr>
            </w:pPr>
            <w:r w:rsidRPr="00792B36">
              <w:rPr>
                <w:color w:val="000000"/>
                <w:sz w:val="24"/>
                <w:szCs w:val="24"/>
              </w:rPr>
              <w:t>1,001.77</w:t>
            </w:r>
          </w:p>
        </w:tc>
        <w:tc>
          <w:tcPr>
            <w:tcW w:w="957" w:type="dxa"/>
            <w:vAlign w:val="center"/>
          </w:tcPr>
          <w:p w14:paraId="51654B30" w14:textId="77777777" w:rsidR="009A0A63" w:rsidRPr="00792B36" w:rsidRDefault="009A0A63" w:rsidP="00A24459">
            <w:pPr>
              <w:contextualSpacing/>
              <w:jc w:val="center"/>
              <w:rPr>
                <w:sz w:val="24"/>
                <w:szCs w:val="24"/>
              </w:rPr>
            </w:pPr>
            <w:r w:rsidRPr="00792B36">
              <w:rPr>
                <w:color w:val="000000"/>
                <w:sz w:val="24"/>
                <w:szCs w:val="24"/>
              </w:rPr>
              <w:t>1,535.08</w:t>
            </w:r>
          </w:p>
        </w:tc>
        <w:tc>
          <w:tcPr>
            <w:tcW w:w="900" w:type="dxa"/>
            <w:vAlign w:val="center"/>
          </w:tcPr>
          <w:p w14:paraId="36025990" w14:textId="77777777" w:rsidR="009A0A63" w:rsidRPr="00792B36" w:rsidRDefault="009A0A63" w:rsidP="00A24459">
            <w:pPr>
              <w:contextualSpacing/>
              <w:jc w:val="center"/>
              <w:rPr>
                <w:sz w:val="24"/>
                <w:szCs w:val="24"/>
              </w:rPr>
            </w:pPr>
            <w:r w:rsidRPr="00792B36">
              <w:rPr>
                <w:color w:val="000000"/>
                <w:sz w:val="24"/>
                <w:szCs w:val="24"/>
              </w:rPr>
              <w:t>2,751.26</w:t>
            </w:r>
          </w:p>
        </w:tc>
      </w:tr>
      <w:tr w:rsidR="009A0A63" w:rsidRPr="00792B36" w14:paraId="3ABCE8CB" w14:textId="77777777" w:rsidTr="00A24459">
        <w:trPr>
          <w:trHeight w:val="340"/>
        </w:trPr>
        <w:tc>
          <w:tcPr>
            <w:tcW w:w="617" w:type="dxa"/>
            <w:vAlign w:val="center"/>
          </w:tcPr>
          <w:p w14:paraId="1C8CAB51" w14:textId="77777777" w:rsidR="009A0A63" w:rsidRPr="00792B36" w:rsidRDefault="009A0A63" w:rsidP="00A24459">
            <w:pPr>
              <w:contextualSpacing/>
              <w:jc w:val="center"/>
              <w:rPr>
                <w:sz w:val="24"/>
                <w:szCs w:val="24"/>
              </w:rPr>
            </w:pPr>
            <w:r w:rsidRPr="00792B36">
              <w:rPr>
                <w:b/>
                <w:bCs/>
                <w:color w:val="000000"/>
                <w:sz w:val="24"/>
                <w:szCs w:val="24"/>
              </w:rPr>
              <w:t>2009</w:t>
            </w:r>
          </w:p>
        </w:tc>
        <w:tc>
          <w:tcPr>
            <w:tcW w:w="1177" w:type="dxa"/>
            <w:vAlign w:val="center"/>
          </w:tcPr>
          <w:p w14:paraId="5B95105A" w14:textId="77777777" w:rsidR="009A0A63" w:rsidRPr="00792B36" w:rsidRDefault="009A0A63" w:rsidP="00A24459">
            <w:pPr>
              <w:contextualSpacing/>
              <w:jc w:val="center"/>
              <w:rPr>
                <w:sz w:val="24"/>
                <w:szCs w:val="24"/>
              </w:rPr>
            </w:pPr>
            <w:r w:rsidRPr="00792B36">
              <w:rPr>
                <w:color w:val="000000"/>
                <w:sz w:val="24"/>
                <w:szCs w:val="24"/>
              </w:rPr>
              <w:t>4.73</w:t>
            </w:r>
          </w:p>
        </w:tc>
        <w:tc>
          <w:tcPr>
            <w:tcW w:w="1095" w:type="dxa"/>
            <w:vAlign w:val="center"/>
          </w:tcPr>
          <w:p w14:paraId="00A122F1" w14:textId="77777777" w:rsidR="009A0A63" w:rsidRPr="00792B36" w:rsidRDefault="009A0A63" w:rsidP="00A24459">
            <w:pPr>
              <w:contextualSpacing/>
              <w:jc w:val="center"/>
              <w:rPr>
                <w:sz w:val="24"/>
                <w:szCs w:val="24"/>
              </w:rPr>
            </w:pPr>
            <w:r w:rsidRPr="00792B36">
              <w:rPr>
                <w:color w:val="000000"/>
                <w:sz w:val="24"/>
                <w:szCs w:val="24"/>
              </w:rPr>
              <w:t>1,039.43</w:t>
            </w:r>
          </w:p>
        </w:tc>
        <w:tc>
          <w:tcPr>
            <w:tcW w:w="987" w:type="dxa"/>
            <w:vAlign w:val="center"/>
          </w:tcPr>
          <w:p w14:paraId="40C62DA6" w14:textId="77777777" w:rsidR="009A0A63" w:rsidRPr="00792B36" w:rsidRDefault="009A0A63" w:rsidP="00A24459">
            <w:pPr>
              <w:contextualSpacing/>
              <w:jc w:val="center"/>
              <w:rPr>
                <w:sz w:val="24"/>
                <w:szCs w:val="24"/>
              </w:rPr>
            </w:pPr>
            <w:r w:rsidRPr="00792B36">
              <w:rPr>
                <w:color w:val="000000"/>
                <w:sz w:val="24"/>
                <w:szCs w:val="24"/>
              </w:rPr>
              <w:t>6,042.01</w:t>
            </w:r>
          </w:p>
        </w:tc>
        <w:tc>
          <w:tcPr>
            <w:tcW w:w="1080" w:type="dxa"/>
            <w:vAlign w:val="center"/>
          </w:tcPr>
          <w:p w14:paraId="0DD218B1" w14:textId="77777777" w:rsidR="009A0A63" w:rsidRPr="00792B36" w:rsidRDefault="009A0A63" w:rsidP="00A24459">
            <w:pPr>
              <w:contextualSpacing/>
              <w:jc w:val="center"/>
              <w:rPr>
                <w:sz w:val="24"/>
                <w:szCs w:val="24"/>
              </w:rPr>
            </w:pPr>
            <w:r w:rsidRPr="00792B36">
              <w:rPr>
                <w:color w:val="000000"/>
                <w:sz w:val="24"/>
                <w:szCs w:val="24"/>
              </w:rPr>
              <w:t>7,082.81</w:t>
            </w:r>
          </w:p>
        </w:tc>
        <w:tc>
          <w:tcPr>
            <w:tcW w:w="1177" w:type="dxa"/>
            <w:vAlign w:val="center"/>
          </w:tcPr>
          <w:p w14:paraId="500A0602" w14:textId="77777777" w:rsidR="009A0A63" w:rsidRPr="00792B36" w:rsidRDefault="009A0A63" w:rsidP="00A24459">
            <w:pPr>
              <w:contextualSpacing/>
              <w:jc w:val="center"/>
              <w:rPr>
                <w:sz w:val="24"/>
                <w:szCs w:val="24"/>
              </w:rPr>
            </w:pPr>
            <w:r w:rsidRPr="00792B36">
              <w:rPr>
                <w:color w:val="000000"/>
                <w:sz w:val="24"/>
                <w:szCs w:val="24"/>
              </w:rPr>
              <w:t>214.08</w:t>
            </w:r>
          </w:p>
        </w:tc>
        <w:tc>
          <w:tcPr>
            <w:tcW w:w="1027" w:type="dxa"/>
            <w:vAlign w:val="center"/>
          </w:tcPr>
          <w:p w14:paraId="2B954E0C" w14:textId="77777777" w:rsidR="009A0A63" w:rsidRPr="00792B36" w:rsidRDefault="009A0A63" w:rsidP="00A24459">
            <w:pPr>
              <w:contextualSpacing/>
              <w:jc w:val="center"/>
              <w:rPr>
                <w:sz w:val="24"/>
                <w:szCs w:val="24"/>
              </w:rPr>
            </w:pPr>
            <w:r w:rsidRPr="00792B36">
              <w:rPr>
                <w:color w:val="000000"/>
                <w:sz w:val="24"/>
                <w:szCs w:val="24"/>
              </w:rPr>
              <w:t>972.76</w:t>
            </w:r>
          </w:p>
        </w:tc>
        <w:tc>
          <w:tcPr>
            <w:tcW w:w="957" w:type="dxa"/>
            <w:vAlign w:val="center"/>
          </w:tcPr>
          <w:p w14:paraId="19DFFB9A" w14:textId="77777777" w:rsidR="009A0A63" w:rsidRPr="00792B36" w:rsidRDefault="009A0A63" w:rsidP="00A24459">
            <w:pPr>
              <w:contextualSpacing/>
              <w:jc w:val="center"/>
              <w:rPr>
                <w:sz w:val="24"/>
                <w:szCs w:val="24"/>
              </w:rPr>
            </w:pPr>
            <w:r w:rsidRPr="00792B36">
              <w:rPr>
                <w:color w:val="000000"/>
                <w:sz w:val="24"/>
                <w:szCs w:val="24"/>
              </w:rPr>
              <w:t>1,531.79</w:t>
            </w:r>
          </w:p>
        </w:tc>
        <w:tc>
          <w:tcPr>
            <w:tcW w:w="900" w:type="dxa"/>
            <w:vAlign w:val="center"/>
          </w:tcPr>
          <w:p w14:paraId="40C4033C" w14:textId="77777777" w:rsidR="009A0A63" w:rsidRPr="00792B36" w:rsidRDefault="009A0A63" w:rsidP="00A24459">
            <w:pPr>
              <w:contextualSpacing/>
              <w:jc w:val="center"/>
              <w:rPr>
                <w:sz w:val="24"/>
                <w:szCs w:val="24"/>
              </w:rPr>
            </w:pPr>
            <w:r w:rsidRPr="00792B36">
              <w:rPr>
                <w:color w:val="000000"/>
                <w:sz w:val="24"/>
                <w:szCs w:val="24"/>
              </w:rPr>
              <w:t>2,716.60</w:t>
            </w:r>
          </w:p>
        </w:tc>
      </w:tr>
      <w:tr w:rsidR="009A0A63" w:rsidRPr="00792B36" w14:paraId="55C0B25C" w14:textId="77777777" w:rsidTr="00A24459">
        <w:trPr>
          <w:trHeight w:val="340"/>
        </w:trPr>
        <w:tc>
          <w:tcPr>
            <w:tcW w:w="617" w:type="dxa"/>
            <w:vAlign w:val="center"/>
          </w:tcPr>
          <w:p w14:paraId="7C3B7EF9" w14:textId="77777777" w:rsidR="009A0A63" w:rsidRPr="00792B36" w:rsidRDefault="009A0A63" w:rsidP="00A24459">
            <w:pPr>
              <w:contextualSpacing/>
              <w:jc w:val="center"/>
              <w:rPr>
                <w:sz w:val="24"/>
                <w:szCs w:val="24"/>
              </w:rPr>
            </w:pPr>
            <w:r w:rsidRPr="00792B36">
              <w:rPr>
                <w:b/>
                <w:bCs/>
                <w:color w:val="000000"/>
                <w:sz w:val="24"/>
                <w:szCs w:val="24"/>
              </w:rPr>
              <w:t>2010</w:t>
            </w:r>
          </w:p>
        </w:tc>
        <w:tc>
          <w:tcPr>
            <w:tcW w:w="1177" w:type="dxa"/>
            <w:vAlign w:val="center"/>
          </w:tcPr>
          <w:p w14:paraId="1182FE63" w14:textId="77777777" w:rsidR="009A0A63" w:rsidRPr="00792B36" w:rsidRDefault="009A0A63" w:rsidP="00A24459">
            <w:pPr>
              <w:contextualSpacing/>
              <w:jc w:val="center"/>
              <w:rPr>
                <w:sz w:val="24"/>
                <w:szCs w:val="24"/>
              </w:rPr>
            </w:pPr>
            <w:r w:rsidRPr="00792B36">
              <w:rPr>
                <w:color w:val="000000"/>
                <w:sz w:val="24"/>
                <w:szCs w:val="24"/>
              </w:rPr>
              <w:t>4.65</w:t>
            </w:r>
          </w:p>
        </w:tc>
        <w:tc>
          <w:tcPr>
            <w:tcW w:w="1095" w:type="dxa"/>
            <w:vAlign w:val="center"/>
          </w:tcPr>
          <w:p w14:paraId="6965CD0A" w14:textId="77777777" w:rsidR="009A0A63" w:rsidRPr="00792B36" w:rsidRDefault="009A0A63" w:rsidP="00A24459">
            <w:pPr>
              <w:contextualSpacing/>
              <w:jc w:val="center"/>
              <w:rPr>
                <w:sz w:val="24"/>
                <w:szCs w:val="24"/>
              </w:rPr>
            </w:pPr>
            <w:r w:rsidRPr="00792B36">
              <w:rPr>
                <w:color w:val="000000"/>
                <w:sz w:val="24"/>
                <w:szCs w:val="24"/>
              </w:rPr>
              <w:t>1,009.69</w:t>
            </w:r>
          </w:p>
        </w:tc>
        <w:tc>
          <w:tcPr>
            <w:tcW w:w="987" w:type="dxa"/>
            <w:vAlign w:val="center"/>
          </w:tcPr>
          <w:p w14:paraId="0177F7DD" w14:textId="77777777" w:rsidR="009A0A63" w:rsidRPr="00792B36" w:rsidRDefault="009A0A63" w:rsidP="00A24459">
            <w:pPr>
              <w:contextualSpacing/>
              <w:jc w:val="center"/>
              <w:rPr>
                <w:sz w:val="24"/>
                <w:szCs w:val="24"/>
              </w:rPr>
            </w:pPr>
            <w:r w:rsidRPr="00792B36">
              <w:rPr>
                <w:color w:val="000000"/>
                <w:sz w:val="24"/>
                <w:szCs w:val="24"/>
              </w:rPr>
              <w:t>6,272.64</w:t>
            </w:r>
          </w:p>
        </w:tc>
        <w:tc>
          <w:tcPr>
            <w:tcW w:w="1080" w:type="dxa"/>
            <w:vAlign w:val="center"/>
          </w:tcPr>
          <w:p w14:paraId="726C9D18" w14:textId="77777777" w:rsidR="009A0A63" w:rsidRPr="00792B36" w:rsidRDefault="009A0A63" w:rsidP="00A24459">
            <w:pPr>
              <w:contextualSpacing/>
              <w:jc w:val="center"/>
              <w:rPr>
                <w:sz w:val="24"/>
                <w:szCs w:val="24"/>
              </w:rPr>
            </w:pPr>
            <w:r w:rsidRPr="00792B36">
              <w:rPr>
                <w:color w:val="000000"/>
                <w:sz w:val="24"/>
                <w:szCs w:val="24"/>
              </w:rPr>
              <w:t>7,279.66</w:t>
            </w:r>
          </w:p>
        </w:tc>
        <w:tc>
          <w:tcPr>
            <w:tcW w:w="1177" w:type="dxa"/>
            <w:vAlign w:val="center"/>
          </w:tcPr>
          <w:p w14:paraId="4BD38A52" w14:textId="77777777" w:rsidR="009A0A63" w:rsidRPr="00792B36" w:rsidRDefault="009A0A63" w:rsidP="00A24459">
            <w:pPr>
              <w:contextualSpacing/>
              <w:jc w:val="center"/>
              <w:rPr>
                <w:sz w:val="24"/>
                <w:szCs w:val="24"/>
              </w:rPr>
            </w:pPr>
            <w:r w:rsidRPr="00792B36">
              <w:rPr>
                <w:color w:val="000000"/>
                <w:sz w:val="24"/>
                <w:szCs w:val="24"/>
              </w:rPr>
              <w:t>211.88</w:t>
            </w:r>
          </w:p>
        </w:tc>
        <w:tc>
          <w:tcPr>
            <w:tcW w:w="1027" w:type="dxa"/>
            <w:vAlign w:val="center"/>
          </w:tcPr>
          <w:p w14:paraId="0D6E40B0" w14:textId="77777777" w:rsidR="009A0A63" w:rsidRPr="00792B36" w:rsidRDefault="009A0A63" w:rsidP="00A24459">
            <w:pPr>
              <w:contextualSpacing/>
              <w:jc w:val="center"/>
              <w:rPr>
                <w:sz w:val="24"/>
                <w:szCs w:val="24"/>
              </w:rPr>
            </w:pPr>
            <w:r w:rsidRPr="00792B36">
              <w:rPr>
                <w:color w:val="000000"/>
                <w:sz w:val="24"/>
                <w:szCs w:val="24"/>
              </w:rPr>
              <w:t>1,069.81</w:t>
            </w:r>
          </w:p>
        </w:tc>
        <w:tc>
          <w:tcPr>
            <w:tcW w:w="957" w:type="dxa"/>
            <w:vAlign w:val="center"/>
          </w:tcPr>
          <w:p w14:paraId="59B44BB2" w14:textId="77777777" w:rsidR="009A0A63" w:rsidRPr="00792B36" w:rsidRDefault="009A0A63" w:rsidP="00A24459">
            <w:pPr>
              <w:contextualSpacing/>
              <w:jc w:val="center"/>
              <w:rPr>
                <w:sz w:val="24"/>
                <w:szCs w:val="24"/>
              </w:rPr>
            </w:pPr>
            <w:r w:rsidRPr="00792B36">
              <w:rPr>
                <w:color w:val="000000"/>
                <w:sz w:val="24"/>
                <w:szCs w:val="24"/>
              </w:rPr>
              <w:t>1,628.24</w:t>
            </w:r>
          </w:p>
        </w:tc>
        <w:tc>
          <w:tcPr>
            <w:tcW w:w="900" w:type="dxa"/>
            <w:vAlign w:val="center"/>
          </w:tcPr>
          <w:p w14:paraId="74C8C87F" w14:textId="77777777" w:rsidR="009A0A63" w:rsidRPr="00792B36" w:rsidRDefault="009A0A63" w:rsidP="00A24459">
            <w:pPr>
              <w:contextualSpacing/>
              <w:jc w:val="center"/>
              <w:rPr>
                <w:sz w:val="24"/>
                <w:szCs w:val="24"/>
              </w:rPr>
            </w:pPr>
            <w:r w:rsidRPr="00792B36">
              <w:rPr>
                <w:color w:val="000000"/>
                <w:sz w:val="24"/>
                <w:szCs w:val="24"/>
              </w:rPr>
              <w:t>2,903.97</w:t>
            </w:r>
          </w:p>
        </w:tc>
      </w:tr>
      <w:tr w:rsidR="009A0A63" w:rsidRPr="00792B36" w14:paraId="772096AF" w14:textId="77777777" w:rsidTr="00A24459">
        <w:trPr>
          <w:trHeight w:val="340"/>
        </w:trPr>
        <w:tc>
          <w:tcPr>
            <w:tcW w:w="617" w:type="dxa"/>
            <w:vAlign w:val="center"/>
          </w:tcPr>
          <w:p w14:paraId="5C8767C9" w14:textId="77777777" w:rsidR="009A0A63" w:rsidRPr="00792B36" w:rsidRDefault="009A0A63" w:rsidP="00A24459">
            <w:pPr>
              <w:contextualSpacing/>
              <w:jc w:val="center"/>
              <w:rPr>
                <w:sz w:val="24"/>
                <w:szCs w:val="24"/>
              </w:rPr>
            </w:pPr>
            <w:r w:rsidRPr="00792B36">
              <w:rPr>
                <w:b/>
                <w:bCs/>
                <w:color w:val="000000"/>
                <w:sz w:val="24"/>
                <w:szCs w:val="24"/>
              </w:rPr>
              <w:t>2011</w:t>
            </w:r>
          </w:p>
        </w:tc>
        <w:tc>
          <w:tcPr>
            <w:tcW w:w="1177" w:type="dxa"/>
            <w:vAlign w:val="center"/>
          </w:tcPr>
          <w:p w14:paraId="51A5673B" w14:textId="77777777" w:rsidR="009A0A63" w:rsidRPr="00792B36" w:rsidRDefault="009A0A63" w:rsidP="00A24459">
            <w:pPr>
              <w:contextualSpacing/>
              <w:jc w:val="center"/>
              <w:rPr>
                <w:sz w:val="24"/>
                <w:szCs w:val="24"/>
              </w:rPr>
            </w:pPr>
            <w:r w:rsidRPr="00792B36">
              <w:rPr>
                <w:color w:val="000000"/>
                <w:sz w:val="24"/>
                <w:szCs w:val="24"/>
              </w:rPr>
              <w:t>4.38</w:t>
            </w:r>
          </w:p>
        </w:tc>
        <w:tc>
          <w:tcPr>
            <w:tcW w:w="1095" w:type="dxa"/>
            <w:vAlign w:val="center"/>
          </w:tcPr>
          <w:p w14:paraId="51761AC6" w14:textId="77777777" w:rsidR="009A0A63" w:rsidRPr="00792B36" w:rsidRDefault="009A0A63" w:rsidP="00A24459">
            <w:pPr>
              <w:contextualSpacing/>
              <w:jc w:val="center"/>
              <w:rPr>
                <w:sz w:val="24"/>
                <w:szCs w:val="24"/>
              </w:rPr>
            </w:pPr>
            <w:r w:rsidRPr="00792B36">
              <w:rPr>
                <w:color w:val="000000"/>
                <w:sz w:val="24"/>
                <w:szCs w:val="24"/>
              </w:rPr>
              <w:t>1,056.51</w:t>
            </w:r>
          </w:p>
        </w:tc>
        <w:tc>
          <w:tcPr>
            <w:tcW w:w="987" w:type="dxa"/>
            <w:vAlign w:val="center"/>
          </w:tcPr>
          <w:p w14:paraId="3AEDFDB0" w14:textId="77777777" w:rsidR="009A0A63" w:rsidRPr="00792B36" w:rsidRDefault="009A0A63" w:rsidP="00A24459">
            <w:pPr>
              <w:contextualSpacing/>
              <w:jc w:val="center"/>
              <w:rPr>
                <w:sz w:val="24"/>
                <w:szCs w:val="24"/>
              </w:rPr>
            </w:pPr>
            <w:r w:rsidRPr="00792B36">
              <w:rPr>
                <w:color w:val="000000"/>
                <w:sz w:val="24"/>
                <w:szCs w:val="24"/>
              </w:rPr>
              <w:t>6,512.86</w:t>
            </w:r>
          </w:p>
        </w:tc>
        <w:tc>
          <w:tcPr>
            <w:tcW w:w="1080" w:type="dxa"/>
            <w:vAlign w:val="center"/>
          </w:tcPr>
          <w:p w14:paraId="572A2805" w14:textId="77777777" w:rsidR="009A0A63" w:rsidRPr="00792B36" w:rsidRDefault="009A0A63" w:rsidP="00A24459">
            <w:pPr>
              <w:contextualSpacing/>
              <w:jc w:val="center"/>
              <w:rPr>
                <w:sz w:val="24"/>
                <w:szCs w:val="24"/>
              </w:rPr>
            </w:pPr>
            <w:r w:rsidRPr="00792B36">
              <w:rPr>
                <w:color w:val="000000"/>
                <w:sz w:val="24"/>
                <w:szCs w:val="24"/>
              </w:rPr>
              <w:t>7,566.88</w:t>
            </w:r>
          </w:p>
        </w:tc>
        <w:tc>
          <w:tcPr>
            <w:tcW w:w="1177" w:type="dxa"/>
            <w:vAlign w:val="center"/>
          </w:tcPr>
          <w:p w14:paraId="074E34EA" w14:textId="77777777" w:rsidR="009A0A63" w:rsidRPr="00792B36" w:rsidRDefault="009A0A63" w:rsidP="00A24459">
            <w:pPr>
              <w:contextualSpacing/>
              <w:jc w:val="center"/>
              <w:rPr>
                <w:sz w:val="24"/>
                <w:szCs w:val="24"/>
              </w:rPr>
            </w:pPr>
            <w:r w:rsidRPr="00792B36">
              <w:rPr>
                <w:color w:val="000000"/>
                <w:sz w:val="24"/>
                <w:szCs w:val="24"/>
              </w:rPr>
              <w:t>223.84</w:t>
            </w:r>
          </w:p>
        </w:tc>
        <w:tc>
          <w:tcPr>
            <w:tcW w:w="1027" w:type="dxa"/>
            <w:vAlign w:val="center"/>
          </w:tcPr>
          <w:p w14:paraId="5E50BA77" w14:textId="77777777" w:rsidR="009A0A63" w:rsidRPr="00792B36" w:rsidRDefault="009A0A63" w:rsidP="00A24459">
            <w:pPr>
              <w:contextualSpacing/>
              <w:jc w:val="center"/>
              <w:rPr>
                <w:sz w:val="24"/>
                <w:szCs w:val="24"/>
              </w:rPr>
            </w:pPr>
            <w:r w:rsidRPr="00792B36">
              <w:rPr>
                <w:color w:val="000000"/>
                <w:sz w:val="24"/>
                <w:szCs w:val="24"/>
              </w:rPr>
              <w:t>1,019.38</w:t>
            </w:r>
          </w:p>
        </w:tc>
        <w:tc>
          <w:tcPr>
            <w:tcW w:w="957" w:type="dxa"/>
            <w:vAlign w:val="center"/>
          </w:tcPr>
          <w:p w14:paraId="5A0E4FAE" w14:textId="77777777" w:rsidR="009A0A63" w:rsidRPr="00792B36" w:rsidRDefault="009A0A63" w:rsidP="00A24459">
            <w:pPr>
              <w:contextualSpacing/>
              <w:jc w:val="center"/>
              <w:rPr>
                <w:sz w:val="24"/>
                <w:szCs w:val="24"/>
              </w:rPr>
            </w:pPr>
            <w:r w:rsidRPr="00792B36">
              <w:rPr>
                <w:color w:val="000000"/>
                <w:sz w:val="24"/>
                <w:szCs w:val="24"/>
              </w:rPr>
              <w:t>1,671.03</w:t>
            </w:r>
          </w:p>
        </w:tc>
        <w:tc>
          <w:tcPr>
            <w:tcW w:w="900" w:type="dxa"/>
            <w:vAlign w:val="center"/>
          </w:tcPr>
          <w:p w14:paraId="7213A7FD" w14:textId="77777777" w:rsidR="009A0A63" w:rsidRPr="00792B36" w:rsidRDefault="009A0A63" w:rsidP="00A24459">
            <w:pPr>
              <w:contextualSpacing/>
              <w:jc w:val="center"/>
              <w:rPr>
                <w:sz w:val="24"/>
                <w:szCs w:val="24"/>
              </w:rPr>
            </w:pPr>
            <w:r w:rsidRPr="00792B36">
              <w:rPr>
                <w:color w:val="000000"/>
                <w:sz w:val="24"/>
                <w:szCs w:val="24"/>
              </w:rPr>
              <w:t>2,910.36</w:t>
            </w:r>
          </w:p>
        </w:tc>
      </w:tr>
      <w:tr w:rsidR="009A0A63" w:rsidRPr="00792B36" w14:paraId="3A562DA9" w14:textId="77777777" w:rsidTr="00A24459">
        <w:trPr>
          <w:trHeight w:val="340"/>
        </w:trPr>
        <w:tc>
          <w:tcPr>
            <w:tcW w:w="617" w:type="dxa"/>
            <w:vAlign w:val="center"/>
          </w:tcPr>
          <w:p w14:paraId="3841A87E" w14:textId="77777777" w:rsidR="009A0A63" w:rsidRPr="00792B36" w:rsidRDefault="009A0A63" w:rsidP="00A24459">
            <w:pPr>
              <w:contextualSpacing/>
              <w:jc w:val="center"/>
              <w:rPr>
                <w:sz w:val="24"/>
                <w:szCs w:val="24"/>
              </w:rPr>
            </w:pPr>
            <w:r w:rsidRPr="00792B36">
              <w:rPr>
                <w:b/>
                <w:bCs/>
                <w:color w:val="000000"/>
                <w:sz w:val="24"/>
                <w:szCs w:val="24"/>
              </w:rPr>
              <w:t>2012</w:t>
            </w:r>
          </w:p>
        </w:tc>
        <w:tc>
          <w:tcPr>
            <w:tcW w:w="1177" w:type="dxa"/>
            <w:vAlign w:val="center"/>
          </w:tcPr>
          <w:p w14:paraId="49E9B96C" w14:textId="77777777" w:rsidR="009A0A63" w:rsidRPr="00792B36" w:rsidRDefault="009A0A63" w:rsidP="00A24459">
            <w:pPr>
              <w:contextualSpacing/>
              <w:jc w:val="center"/>
              <w:rPr>
                <w:sz w:val="24"/>
                <w:szCs w:val="24"/>
              </w:rPr>
            </w:pPr>
            <w:r w:rsidRPr="00792B36">
              <w:rPr>
                <w:color w:val="000000"/>
                <w:sz w:val="24"/>
                <w:szCs w:val="24"/>
              </w:rPr>
              <w:t>4.26</w:t>
            </w:r>
          </w:p>
        </w:tc>
        <w:tc>
          <w:tcPr>
            <w:tcW w:w="1095" w:type="dxa"/>
            <w:vAlign w:val="center"/>
          </w:tcPr>
          <w:p w14:paraId="267B414C" w14:textId="77777777" w:rsidR="009A0A63" w:rsidRPr="00792B36" w:rsidRDefault="009A0A63" w:rsidP="00A24459">
            <w:pPr>
              <w:contextualSpacing/>
              <w:jc w:val="center"/>
              <w:rPr>
                <w:sz w:val="24"/>
                <w:szCs w:val="24"/>
              </w:rPr>
            </w:pPr>
            <w:r w:rsidRPr="00792B36">
              <w:rPr>
                <w:color w:val="000000"/>
                <w:sz w:val="24"/>
                <w:szCs w:val="24"/>
              </w:rPr>
              <w:t>1,113.30</w:t>
            </w:r>
          </w:p>
        </w:tc>
        <w:tc>
          <w:tcPr>
            <w:tcW w:w="987" w:type="dxa"/>
            <w:vAlign w:val="center"/>
          </w:tcPr>
          <w:p w14:paraId="6184CB03" w14:textId="77777777" w:rsidR="009A0A63" w:rsidRPr="00792B36" w:rsidRDefault="009A0A63" w:rsidP="00A24459">
            <w:pPr>
              <w:contextualSpacing/>
              <w:jc w:val="center"/>
              <w:rPr>
                <w:sz w:val="24"/>
                <w:szCs w:val="24"/>
              </w:rPr>
            </w:pPr>
            <w:r w:rsidRPr="00792B36">
              <w:rPr>
                <w:color w:val="000000"/>
                <w:sz w:val="24"/>
                <w:szCs w:val="24"/>
              </w:rPr>
              <w:t>6,911.79</w:t>
            </w:r>
          </w:p>
        </w:tc>
        <w:tc>
          <w:tcPr>
            <w:tcW w:w="1080" w:type="dxa"/>
            <w:vAlign w:val="center"/>
          </w:tcPr>
          <w:p w14:paraId="3E6D1A17" w14:textId="77777777" w:rsidR="009A0A63" w:rsidRPr="00792B36" w:rsidRDefault="009A0A63" w:rsidP="00A24459">
            <w:pPr>
              <w:contextualSpacing/>
              <w:jc w:val="center"/>
              <w:rPr>
                <w:sz w:val="24"/>
                <w:szCs w:val="24"/>
              </w:rPr>
            </w:pPr>
            <w:r w:rsidRPr="00792B36">
              <w:rPr>
                <w:color w:val="000000"/>
                <w:sz w:val="24"/>
                <w:szCs w:val="24"/>
              </w:rPr>
              <w:t>8,021.19</w:t>
            </w:r>
          </w:p>
        </w:tc>
        <w:tc>
          <w:tcPr>
            <w:tcW w:w="1177" w:type="dxa"/>
            <w:vAlign w:val="center"/>
          </w:tcPr>
          <w:p w14:paraId="7A8EC2B0" w14:textId="77777777" w:rsidR="009A0A63" w:rsidRPr="00792B36" w:rsidRDefault="009A0A63" w:rsidP="00A24459">
            <w:pPr>
              <w:contextualSpacing/>
              <w:jc w:val="center"/>
              <w:rPr>
                <w:sz w:val="24"/>
                <w:szCs w:val="24"/>
              </w:rPr>
            </w:pPr>
            <w:r w:rsidRPr="00792B36">
              <w:rPr>
                <w:color w:val="000000"/>
                <w:sz w:val="24"/>
                <w:szCs w:val="24"/>
              </w:rPr>
              <w:t>228.48</w:t>
            </w:r>
          </w:p>
        </w:tc>
        <w:tc>
          <w:tcPr>
            <w:tcW w:w="1027" w:type="dxa"/>
            <w:vAlign w:val="center"/>
          </w:tcPr>
          <w:p w14:paraId="51CFCE13" w14:textId="77777777" w:rsidR="009A0A63" w:rsidRPr="00792B36" w:rsidRDefault="009A0A63" w:rsidP="00A24459">
            <w:pPr>
              <w:contextualSpacing/>
              <w:jc w:val="center"/>
              <w:rPr>
                <w:sz w:val="24"/>
                <w:szCs w:val="24"/>
              </w:rPr>
            </w:pPr>
            <w:r w:rsidRPr="00792B36">
              <w:rPr>
                <w:color w:val="000000"/>
                <w:sz w:val="24"/>
                <w:szCs w:val="24"/>
              </w:rPr>
              <w:t>1,086.50</w:t>
            </w:r>
          </w:p>
        </w:tc>
        <w:tc>
          <w:tcPr>
            <w:tcW w:w="957" w:type="dxa"/>
            <w:vAlign w:val="center"/>
          </w:tcPr>
          <w:p w14:paraId="2C219D93" w14:textId="77777777" w:rsidR="009A0A63" w:rsidRPr="00792B36" w:rsidRDefault="009A0A63" w:rsidP="00A24459">
            <w:pPr>
              <w:contextualSpacing/>
              <w:jc w:val="center"/>
              <w:rPr>
                <w:sz w:val="24"/>
                <w:szCs w:val="24"/>
              </w:rPr>
            </w:pPr>
            <w:r w:rsidRPr="00792B36">
              <w:rPr>
                <w:color w:val="000000"/>
                <w:sz w:val="24"/>
                <w:szCs w:val="24"/>
              </w:rPr>
              <w:t>1,797.48</w:t>
            </w:r>
          </w:p>
        </w:tc>
        <w:tc>
          <w:tcPr>
            <w:tcW w:w="900" w:type="dxa"/>
            <w:vAlign w:val="center"/>
          </w:tcPr>
          <w:p w14:paraId="20A6CEBF" w14:textId="77777777" w:rsidR="009A0A63" w:rsidRPr="00792B36" w:rsidRDefault="009A0A63" w:rsidP="00A24459">
            <w:pPr>
              <w:contextualSpacing/>
              <w:jc w:val="center"/>
              <w:rPr>
                <w:sz w:val="24"/>
                <w:szCs w:val="24"/>
              </w:rPr>
            </w:pPr>
            <w:r w:rsidRPr="00792B36">
              <w:rPr>
                <w:color w:val="000000"/>
                <w:sz w:val="24"/>
                <w:szCs w:val="24"/>
              </w:rPr>
              <w:t>3,101.97</w:t>
            </w:r>
          </w:p>
        </w:tc>
      </w:tr>
      <w:tr w:rsidR="009A0A63" w:rsidRPr="00792B36" w14:paraId="1DD214E0" w14:textId="77777777" w:rsidTr="00A24459">
        <w:trPr>
          <w:trHeight w:val="340"/>
        </w:trPr>
        <w:tc>
          <w:tcPr>
            <w:tcW w:w="617" w:type="dxa"/>
            <w:vAlign w:val="center"/>
          </w:tcPr>
          <w:p w14:paraId="17226FAF" w14:textId="77777777" w:rsidR="009A0A63" w:rsidRPr="00792B36" w:rsidRDefault="009A0A63" w:rsidP="00A24459">
            <w:pPr>
              <w:contextualSpacing/>
              <w:jc w:val="center"/>
              <w:rPr>
                <w:sz w:val="24"/>
                <w:szCs w:val="24"/>
              </w:rPr>
            </w:pPr>
            <w:r w:rsidRPr="00792B36">
              <w:rPr>
                <w:b/>
                <w:bCs/>
                <w:color w:val="000000"/>
                <w:sz w:val="24"/>
                <w:szCs w:val="24"/>
              </w:rPr>
              <w:t>2013</w:t>
            </w:r>
          </w:p>
        </w:tc>
        <w:tc>
          <w:tcPr>
            <w:tcW w:w="1177" w:type="dxa"/>
            <w:vAlign w:val="center"/>
          </w:tcPr>
          <w:p w14:paraId="1F234466" w14:textId="77777777" w:rsidR="009A0A63" w:rsidRPr="00792B36" w:rsidRDefault="009A0A63" w:rsidP="00A24459">
            <w:pPr>
              <w:contextualSpacing/>
              <w:jc w:val="center"/>
              <w:rPr>
                <w:sz w:val="24"/>
                <w:szCs w:val="24"/>
              </w:rPr>
            </w:pPr>
            <w:r w:rsidRPr="00792B36">
              <w:rPr>
                <w:color w:val="000000"/>
                <w:sz w:val="24"/>
                <w:szCs w:val="24"/>
              </w:rPr>
              <w:t>4.45</w:t>
            </w:r>
          </w:p>
        </w:tc>
        <w:tc>
          <w:tcPr>
            <w:tcW w:w="1095" w:type="dxa"/>
            <w:vAlign w:val="center"/>
          </w:tcPr>
          <w:p w14:paraId="2703BCE5" w14:textId="77777777" w:rsidR="009A0A63" w:rsidRPr="00792B36" w:rsidRDefault="009A0A63" w:rsidP="00A24459">
            <w:pPr>
              <w:contextualSpacing/>
              <w:jc w:val="center"/>
              <w:rPr>
                <w:sz w:val="24"/>
                <w:szCs w:val="24"/>
              </w:rPr>
            </w:pPr>
            <w:r w:rsidRPr="00792B36">
              <w:rPr>
                <w:color w:val="000000"/>
                <w:sz w:val="24"/>
                <w:szCs w:val="24"/>
              </w:rPr>
              <w:t>1,201.28</w:t>
            </w:r>
          </w:p>
        </w:tc>
        <w:tc>
          <w:tcPr>
            <w:tcW w:w="987" w:type="dxa"/>
            <w:vAlign w:val="center"/>
          </w:tcPr>
          <w:p w14:paraId="55726DBD" w14:textId="77777777" w:rsidR="009A0A63" w:rsidRPr="00792B36" w:rsidRDefault="009A0A63" w:rsidP="00A24459">
            <w:pPr>
              <w:contextualSpacing/>
              <w:jc w:val="center"/>
              <w:rPr>
                <w:sz w:val="24"/>
                <w:szCs w:val="24"/>
              </w:rPr>
            </w:pPr>
            <w:r w:rsidRPr="00792B36">
              <w:rPr>
                <w:color w:val="000000"/>
                <w:sz w:val="24"/>
                <w:szCs w:val="24"/>
              </w:rPr>
              <w:t>7,255.27</w:t>
            </w:r>
          </w:p>
        </w:tc>
        <w:tc>
          <w:tcPr>
            <w:tcW w:w="1080" w:type="dxa"/>
            <w:vAlign w:val="center"/>
          </w:tcPr>
          <w:p w14:paraId="21E8CF9E" w14:textId="77777777" w:rsidR="009A0A63" w:rsidRPr="00792B36" w:rsidRDefault="009A0A63" w:rsidP="00A24459">
            <w:pPr>
              <w:contextualSpacing/>
              <w:jc w:val="center"/>
              <w:rPr>
                <w:sz w:val="24"/>
                <w:szCs w:val="24"/>
              </w:rPr>
            </w:pPr>
            <w:r w:rsidRPr="00792B36">
              <w:rPr>
                <w:color w:val="000000"/>
                <w:sz w:val="24"/>
                <w:szCs w:val="24"/>
              </w:rPr>
              <w:t>8,455.58</w:t>
            </w:r>
          </w:p>
        </w:tc>
        <w:tc>
          <w:tcPr>
            <w:tcW w:w="1177" w:type="dxa"/>
            <w:vAlign w:val="center"/>
          </w:tcPr>
          <w:p w14:paraId="7B719FB6" w14:textId="77777777" w:rsidR="009A0A63" w:rsidRPr="00792B36" w:rsidRDefault="009A0A63" w:rsidP="00A24459">
            <w:pPr>
              <w:contextualSpacing/>
              <w:jc w:val="center"/>
              <w:rPr>
                <w:sz w:val="24"/>
                <w:szCs w:val="24"/>
              </w:rPr>
            </w:pPr>
            <w:r w:rsidRPr="00792B36">
              <w:rPr>
                <w:color w:val="000000"/>
                <w:sz w:val="24"/>
                <w:szCs w:val="24"/>
              </w:rPr>
              <w:t>228.67</w:t>
            </w:r>
          </w:p>
        </w:tc>
        <w:tc>
          <w:tcPr>
            <w:tcW w:w="1027" w:type="dxa"/>
            <w:vAlign w:val="center"/>
          </w:tcPr>
          <w:p w14:paraId="5108F59D" w14:textId="77777777" w:rsidR="009A0A63" w:rsidRPr="00792B36" w:rsidRDefault="009A0A63" w:rsidP="00A24459">
            <w:pPr>
              <w:contextualSpacing/>
              <w:jc w:val="center"/>
              <w:rPr>
                <w:sz w:val="24"/>
                <w:szCs w:val="24"/>
              </w:rPr>
            </w:pPr>
            <w:r w:rsidRPr="00792B36">
              <w:rPr>
                <w:color w:val="000000"/>
                <w:sz w:val="24"/>
                <w:szCs w:val="24"/>
              </w:rPr>
              <w:t>1,098.23</w:t>
            </w:r>
          </w:p>
        </w:tc>
        <w:tc>
          <w:tcPr>
            <w:tcW w:w="957" w:type="dxa"/>
            <w:vAlign w:val="center"/>
          </w:tcPr>
          <w:p w14:paraId="5FC36279" w14:textId="77777777" w:rsidR="009A0A63" w:rsidRPr="00792B36" w:rsidRDefault="009A0A63" w:rsidP="00A24459">
            <w:pPr>
              <w:contextualSpacing/>
              <w:jc w:val="center"/>
              <w:rPr>
                <w:sz w:val="24"/>
                <w:szCs w:val="24"/>
              </w:rPr>
            </w:pPr>
            <w:r w:rsidRPr="00792B36">
              <w:rPr>
                <w:color w:val="000000"/>
                <w:sz w:val="24"/>
                <w:szCs w:val="24"/>
              </w:rPr>
              <w:t>1,853.25</w:t>
            </w:r>
          </w:p>
        </w:tc>
        <w:tc>
          <w:tcPr>
            <w:tcW w:w="900" w:type="dxa"/>
            <w:vAlign w:val="center"/>
          </w:tcPr>
          <w:p w14:paraId="65A59F03" w14:textId="77777777" w:rsidR="009A0A63" w:rsidRPr="00792B36" w:rsidRDefault="009A0A63" w:rsidP="00A24459">
            <w:pPr>
              <w:contextualSpacing/>
              <w:jc w:val="center"/>
              <w:rPr>
                <w:sz w:val="24"/>
                <w:szCs w:val="24"/>
              </w:rPr>
            </w:pPr>
            <w:r w:rsidRPr="00792B36">
              <w:rPr>
                <w:color w:val="000000"/>
                <w:sz w:val="24"/>
                <w:szCs w:val="24"/>
              </w:rPr>
              <w:t>3,165.75</w:t>
            </w:r>
          </w:p>
        </w:tc>
      </w:tr>
      <w:tr w:rsidR="009A0A63" w:rsidRPr="00792B36" w14:paraId="2F77AFDC" w14:textId="77777777" w:rsidTr="00A24459">
        <w:trPr>
          <w:trHeight w:val="340"/>
        </w:trPr>
        <w:tc>
          <w:tcPr>
            <w:tcW w:w="617" w:type="dxa"/>
            <w:vAlign w:val="center"/>
          </w:tcPr>
          <w:p w14:paraId="1F77A699" w14:textId="77777777" w:rsidR="009A0A63" w:rsidRPr="00792B36" w:rsidRDefault="009A0A63" w:rsidP="00A24459">
            <w:pPr>
              <w:contextualSpacing/>
              <w:jc w:val="center"/>
              <w:rPr>
                <w:sz w:val="24"/>
                <w:szCs w:val="24"/>
              </w:rPr>
            </w:pPr>
            <w:r w:rsidRPr="00792B36">
              <w:rPr>
                <w:b/>
                <w:bCs/>
                <w:color w:val="000000"/>
                <w:sz w:val="24"/>
                <w:szCs w:val="24"/>
              </w:rPr>
              <w:t>2014</w:t>
            </w:r>
          </w:p>
        </w:tc>
        <w:tc>
          <w:tcPr>
            <w:tcW w:w="1177" w:type="dxa"/>
            <w:vAlign w:val="center"/>
          </w:tcPr>
          <w:p w14:paraId="4C3F1186" w14:textId="77777777" w:rsidR="009A0A63" w:rsidRPr="00792B36" w:rsidRDefault="009A0A63" w:rsidP="00A24459">
            <w:pPr>
              <w:contextualSpacing/>
              <w:jc w:val="center"/>
              <w:rPr>
                <w:sz w:val="24"/>
                <w:szCs w:val="24"/>
              </w:rPr>
            </w:pPr>
            <w:r w:rsidRPr="00792B36">
              <w:rPr>
                <w:color w:val="000000"/>
                <w:sz w:val="24"/>
                <w:szCs w:val="24"/>
              </w:rPr>
              <w:t>4.06</w:t>
            </w:r>
          </w:p>
        </w:tc>
        <w:tc>
          <w:tcPr>
            <w:tcW w:w="1095" w:type="dxa"/>
            <w:vAlign w:val="center"/>
          </w:tcPr>
          <w:p w14:paraId="2A9028A2" w14:textId="77777777" w:rsidR="009A0A63" w:rsidRPr="00792B36" w:rsidRDefault="009A0A63" w:rsidP="00A24459">
            <w:pPr>
              <w:contextualSpacing/>
              <w:jc w:val="center"/>
              <w:rPr>
                <w:sz w:val="24"/>
                <w:szCs w:val="24"/>
              </w:rPr>
            </w:pPr>
            <w:r w:rsidRPr="00792B36">
              <w:rPr>
                <w:color w:val="000000"/>
                <w:sz w:val="24"/>
                <w:szCs w:val="24"/>
              </w:rPr>
              <w:t>1,207.82</w:t>
            </w:r>
          </w:p>
        </w:tc>
        <w:tc>
          <w:tcPr>
            <w:tcW w:w="987" w:type="dxa"/>
            <w:vAlign w:val="center"/>
          </w:tcPr>
          <w:p w14:paraId="7773985A" w14:textId="77777777" w:rsidR="009A0A63" w:rsidRPr="00792B36" w:rsidRDefault="009A0A63" w:rsidP="00A24459">
            <w:pPr>
              <w:contextualSpacing/>
              <w:jc w:val="center"/>
              <w:rPr>
                <w:sz w:val="24"/>
                <w:szCs w:val="24"/>
              </w:rPr>
            </w:pPr>
            <w:r w:rsidRPr="00792B36">
              <w:rPr>
                <w:color w:val="000000"/>
                <w:sz w:val="24"/>
                <w:szCs w:val="24"/>
              </w:rPr>
              <w:t>7,484.02</w:t>
            </w:r>
          </w:p>
        </w:tc>
        <w:tc>
          <w:tcPr>
            <w:tcW w:w="1080" w:type="dxa"/>
            <w:vAlign w:val="center"/>
          </w:tcPr>
          <w:p w14:paraId="28A8BC2B" w14:textId="77777777" w:rsidR="009A0A63" w:rsidRPr="00792B36" w:rsidRDefault="009A0A63" w:rsidP="00A24459">
            <w:pPr>
              <w:contextualSpacing/>
              <w:jc w:val="center"/>
              <w:rPr>
                <w:sz w:val="24"/>
                <w:szCs w:val="24"/>
              </w:rPr>
            </w:pPr>
            <w:r w:rsidRPr="00792B36">
              <w:rPr>
                <w:color w:val="000000"/>
                <w:sz w:val="24"/>
                <w:szCs w:val="24"/>
              </w:rPr>
              <w:t>8,687.44</w:t>
            </w:r>
          </w:p>
        </w:tc>
        <w:tc>
          <w:tcPr>
            <w:tcW w:w="1177" w:type="dxa"/>
            <w:vAlign w:val="center"/>
          </w:tcPr>
          <w:p w14:paraId="6C4780AE" w14:textId="77777777" w:rsidR="009A0A63" w:rsidRPr="00792B36" w:rsidRDefault="009A0A63" w:rsidP="00A24459">
            <w:pPr>
              <w:contextualSpacing/>
              <w:jc w:val="center"/>
              <w:rPr>
                <w:sz w:val="24"/>
                <w:szCs w:val="24"/>
              </w:rPr>
            </w:pPr>
            <w:r w:rsidRPr="00792B36">
              <w:rPr>
                <w:color w:val="000000"/>
                <w:sz w:val="24"/>
                <w:szCs w:val="24"/>
              </w:rPr>
              <w:t>226.61</w:t>
            </w:r>
          </w:p>
        </w:tc>
        <w:tc>
          <w:tcPr>
            <w:tcW w:w="1027" w:type="dxa"/>
            <w:vAlign w:val="center"/>
          </w:tcPr>
          <w:p w14:paraId="0E2082DC" w14:textId="77777777" w:rsidR="009A0A63" w:rsidRPr="00792B36" w:rsidRDefault="009A0A63" w:rsidP="00A24459">
            <w:pPr>
              <w:contextualSpacing/>
              <w:jc w:val="center"/>
              <w:rPr>
                <w:sz w:val="24"/>
                <w:szCs w:val="24"/>
              </w:rPr>
            </w:pPr>
            <w:r w:rsidRPr="00792B36">
              <w:rPr>
                <w:color w:val="000000"/>
                <w:sz w:val="24"/>
                <w:szCs w:val="24"/>
              </w:rPr>
              <w:t>1,092.46</w:t>
            </w:r>
          </w:p>
        </w:tc>
        <w:tc>
          <w:tcPr>
            <w:tcW w:w="957" w:type="dxa"/>
            <w:vAlign w:val="center"/>
          </w:tcPr>
          <w:p w14:paraId="1048D7C4" w14:textId="77777777" w:rsidR="009A0A63" w:rsidRPr="00792B36" w:rsidRDefault="009A0A63" w:rsidP="00A24459">
            <w:pPr>
              <w:contextualSpacing/>
              <w:jc w:val="center"/>
              <w:rPr>
                <w:sz w:val="24"/>
                <w:szCs w:val="24"/>
              </w:rPr>
            </w:pPr>
            <w:r w:rsidRPr="00792B36">
              <w:rPr>
                <w:color w:val="000000"/>
                <w:sz w:val="24"/>
                <w:szCs w:val="24"/>
              </w:rPr>
              <w:t>1,875.20</w:t>
            </w:r>
          </w:p>
        </w:tc>
        <w:tc>
          <w:tcPr>
            <w:tcW w:w="900" w:type="dxa"/>
            <w:vAlign w:val="center"/>
          </w:tcPr>
          <w:p w14:paraId="558A2343" w14:textId="77777777" w:rsidR="009A0A63" w:rsidRPr="00792B36" w:rsidRDefault="009A0A63" w:rsidP="00A24459">
            <w:pPr>
              <w:contextualSpacing/>
              <w:jc w:val="center"/>
              <w:rPr>
                <w:sz w:val="24"/>
                <w:szCs w:val="24"/>
              </w:rPr>
            </w:pPr>
            <w:r w:rsidRPr="00792B36">
              <w:rPr>
                <w:color w:val="000000"/>
                <w:sz w:val="24"/>
                <w:szCs w:val="24"/>
              </w:rPr>
              <w:t>3,177.23</w:t>
            </w:r>
          </w:p>
        </w:tc>
      </w:tr>
      <w:tr w:rsidR="009A0A63" w:rsidRPr="00792B36" w14:paraId="25AA9067" w14:textId="77777777" w:rsidTr="00A24459">
        <w:trPr>
          <w:trHeight w:val="340"/>
        </w:trPr>
        <w:tc>
          <w:tcPr>
            <w:tcW w:w="617" w:type="dxa"/>
            <w:vAlign w:val="center"/>
          </w:tcPr>
          <w:p w14:paraId="1DA261B1" w14:textId="77777777" w:rsidR="009A0A63" w:rsidRPr="00792B36" w:rsidRDefault="009A0A63" w:rsidP="00A24459">
            <w:pPr>
              <w:contextualSpacing/>
              <w:jc w:val="center"/>
              <w:rPr>
                <w:sz w:val="24"/>
                <w:szCs w:val="24"/>
              </w:rPr>
            </w:pPr>
            <w:r w:rsidRPr="00792B36">
              <w:rPr>
                <w:b/>
                <w:bCs/>
                <w:color w:val="000000"/>
                <w:sz w:val="24"/>
                <w:szCs w:val="24"/>
              </w:rPr>
              <w:t>2015</w:t>
            </w:r>
          </w:p>
        </w:tc>
        <w:tc>
          <w:tcPr>
            <w:tcW w:w="1177" w:type="dxa"/>
            <w:vAlign w:val="center"/>
          </w:tcPr>
          <w:p w14:paraId="798A83D0" w14:textId="77777777" w:rsidR="009A0A63" w:rsidRPr="00792B36" w:rsidRDefault="009A0A63" w:rsidP="00A24459">
            <w:pPr>
              <w:contextualSpacing/>
              <w:jc w:val="center"/>
              <w:rPr>
                <w:sz w:val="24"/>
                <w:szCs w:val="24"/>
              </w:rPr>
            </w:pPr>
            <w:r w:rsidRPr="00792B36">
              <w:rPr>
                <w:color w:val="000000"/>
                <w:sz w:val="24"/>
                <w:szCs w:val="24"/>
              </w:rPr>
              <w:t>3.96</w:t>
            </w:r>
          </w:p>
        </w:tc>
        <w:tc>
          <w:tcPr>
            <w:tcW w:w="1095" w:type="dxa"/>
            <w:vAlign w:val="center"/>
          </w:tcPr>
          <w:p w14:paraId="51EFAB76" w14:textId="77777777" w:rsidR="009A0A63" w:rsidRPr="00792B36" w:rsidRDefault="009A0A63" w:rsidP="00A24459">
            <w:pPr>
              <w:contextualSpacing/>
              <w:jc w:val="center"/>
              <w:rPr>
                <w:sz w:val="24"/>
                <w:szCs w:val="24"/>
              </w:rPr>
            </w:pPr>
            <w:r w:rsidRPr="00792B36">
              <w:rPr>
                <w:color w:val="000000"/>
                <w:sz w:val="24"/>
                <w:szCs w:val="24"/>
              </w:rPr>
              <w:t>1,190.78</w:t>
            </w:r>
          </w:p>
        </w:tc>
        <w:tc>
          <w:tcPr>
            <w:tcW w:w="987" w:type="dxa"/>
            <w:vAlign w:val="center"/>
          </w:tcPr>
          <w:p w14:paraId="7291B318" w14:textId="77777777" w:rsidR="009A0A63" w:rsidRPr="00792B36" w:rsidRDefault="009A0A63" w:rsidP="00A24459">
            <w:pPr>
              <w:contextualSpacing/>
              <w:jc w:val="center"/>
              <w:rPr>
                <w:sz w:val="24"/>
                <w:szCs w:val="24"/>
              </w:rPr>
            </w:pPr>
            <w:r w:rsidRPr="00792B36">
              <w:rPr>
                <w:color w:val="000000"/>
                <w:sz w:val="24"/>
                <w:szCs w:val="24"/>
              </w:rPr>
              <w:t>7,815.89</w:t>
            </w:r>
          </w:p>
        </w:tc>
        <w:tc>
          <w:tcPr>
            <w:tcW w:w="1080" w:type="dxa"/>
            <w:vAlign w:val="center"/>
          </w:tcPr>
          <w:p w14:paraId="5A9088C4" w14:textId="77777777" w:rsidR="009A0A63" w:rsidRPr="00792B36" w:rsidRDefault="009A0A63" w:rsidP="00A24459">
            <w:pPr>
              <w:contextualSpacing/>
              <w:jc w:val="center"/>
              <w:rPr>
                <w:sz w:val="24"/>
                <w:szCs w:val="24"/>
              </w:rPr>
            </w:pPr>
            <w:r w:rsidRPr="00792B36">
              <w:rPr>
                <w:color w:val="000000"/>
                <w:sz w:val="24"/>
                <w:szCs w:val="24"/>
              </w:rPr>
              <w:t>8,996.63</w:t>
            </w:r>
          </w:p>
        </w:tc>
        <w:tc>
          <w:tcPr>
            <w:tcW w:w="1177" w:type="dxa"/>
            <w:vAlign w:val="center"/>
          </w:tcPr>
          <w:p w14:paraId="75DBBA5D" w14:textId="77777777" w:rsidR="009A0A63" w:rsidRPr="00792B36" w:rsidRDefault="009A0A63" w:rsidP="00A24459">
            <w:pPr>
              <w:contextualSpacing/>
              <w:jc w:val="center"/>
              <w:rPr>
                <w:sz w:val="24"/>
                <w:szCs w:val="24"/>
              </w:rPr>
            </w:pPr>
            <w:r w:rsidRPr="00792B36">
              <w:rPr>
                <w:color w:val="000000"/>
                <w:sz w:val="24"/>
                <w:szCs w:val="24"/>
              </w:rPr>
              <w:t>210.65</w:t>
            </w:r>
          </w:p>
        </w:tc>
        <w:tc>
          <w:tcPr>
            <w:tcW w:w="1027" w:type="dxa"/>
            <w:vAlign w:val="center"/>
          </w:tcPr>
          <w:p w14:paraId="098988F6" w14:textId="77777777" w:rsidR="009A0A63" w:rsidRPr="00792B36" w:rsidRDefault="009A0A63" w:rsidP="00A24459">
            <w:pPr>
              <w:contextualSpacing/>
              <w:jc w:val="center"/>
              <w:rPr>
                <w:sz w:val="24"/>
                <w:szCs w:val="24"/>
              </w:rPr>
            </w:pPr>
            <w:r w:rsidRPr="00792B36">
              <w:rPr>
                <w:color w:val="000000"/>
                <w:sz w:val="24"/>
                <w:szCs w:val="24"/>
              </w:rPr>
              <w:t>1,106.77</w:t>
            </w:r>
          </w:p>
        </w:tc>
        <w:tc>
          <w:tcPr>
            <w:tcW w:w="957" w:type="dxa"/>
            <w:vAlign w:val="center"/>
          </w:tcPr>
          <w:p w14:paraId="7C57EC8D" w14:textId="77777777" w:rsidR="009A0A63" w:rsidRPr="00792B36" w:rsidRDefault="009A0A63" w:rsidP="00A24459">
            <w:pPr>
              <w:contextualSpacing/>
              <w:jc w:val="center"/>
              <w:rPr>
                <w:sz w:val="24"/>
                <w:szCs w:val="24"/>
              </w:rPr>
            </w:pPr>
            <w:r w:rsidRPr="00792B36">
              <w:rPr>
                <w:color w:val="000000"/>
                <w:sz w:val="24"/>
                <w:szCs w:val="24"/>
              </w:rPr>
              <w:t>1,968.20</w:t>
            </w:r>
          </w:p>
        </w:tc>
        <w:tc>
          <w:tcPr>
            <w:tcW w:w="900" w:type="dxa"/>
            <w:vAlign w:val="center"/>
          </w:tcPr>
          <w:p w14:paraId="541ADD59" w14:textId="77777777" w:rsidR="009A0A63" w:rsidRPr="00792B36" w:rsidRDefault="009A0A63" w:rsidP="00A24459">
            <w:pPr>
              <w:contextualSpacing/>
              <w:jc w:val="center"/>
              <w:rPr>
                <w:sz w:val="24"/>
                <w:szCs w:val="24"/>
              </w:rPr>
            </w:pPr>
            <w:r w:rsidRPr="00792B36">
              <w:rPr>
                <w:color w:val="000000"/>
                <w:sz w:val="24"/>
                <w:szCs w:val="24"/>
              </w:rPr>
              <w:t>3,256.66</w:t>
            </w:r>
          </w:p>
        </w:tc>
      </w:tr>
      <w:tr w:rsidR="009A0A63" w:rsidRPr="00792B36" w14:paraId="7EE189C9" w14:textId="77777777" w:rsidTr="00A24459">
        <w:trPr>
          <w:trHeight w:val="340"/>
        </w:trPr>
        <w:tc>
          <w:tcPr>
            <w:tcW w:w="617" w:type="dxa"/>
            <w:vAlign w:val="center"/>
          </w:tcPr>
          <w:p w14:paraId="1B727691" w14:textId="77777777" w:rsidR="009A0A63" w:rsidRPr="00792B36" w:rsidRDefault="009A0A63" w:rsidP="00A24459">
            <w:pPr>
              <w:contextualSpacing/>
              <w:jc w:val="center"/>
              <w:rPr>
                <w:sz w:val="24"/>
                <w:szCs w:val="24"/>
              </w:rPr>
            </w:pPr>
            <w:r w:rsidRPr="00792B36">
              <w:rPr>
                <w:b/>
                <w:bCs/>
                <w:color w:val="000000"/>
                <w:sz w:val="24"/>
                <w:szCs w:val="24"/>
              </w:rPr>
              <w:t>2016</w:t>
            </w:r>
          </w:p>
        </w:tc>
        <w:tc>
          <w:tcPr>
            <w:tcW w:w="1177" w:type="dxa"/>
            <w:vAlign w:val="center"/>
          </w:tcPr>
          <w:p w14:paraId="113B6688" w14:textId="77777777" w:rsidR="009A0A63" w:rsidRPr="00792B36" w:rsidRDefault="009A0A63" w:rsidP="00A24459">
            <w:pPr>
              <w:contextualSpacing/>
              <w:jc w:val="center"/>
              <w:rPr>
                <w:sz w:val="24"/>
                <w:szCs w:val="24"/>
              </w:rPr>
            </w:pPr>
            <w:r w:rsidRPr="00792B36">
              <w:rPr>
                <w:color w:val="000000"/>
                <w:sz w:val="24"/>
                <w:szCs w:val="24"/>
              </w:rPr>
              <w:t>3.72</w:t>
            </w:r>
          </w:p>
        </w:tc>
        <w:tc>
          <w:tcPr>
            <w:tcW w:w="1095" w:type="dxa"/>
            <w:vAlign w:val="center"/>
          </w:tcPr>
          <w:p w14:paraId="2ED91852" w14:textId="77777777" w:rsidR="009A0A63" w:rsidRPr="00792B36" w:rsidRDefault="009A0A63" w:rsidP="00A24459">
            <w:pPr>
              <w:contextualSpacing/>
              <w:jc w:val="center"/>
              <w:rPr>
                <w:sz w:val="24"/>
                <w:szCs w:val="24"/>
              </w:rPr>
            </w:pPr>
            <w:r w:rsidRPr="00792B36">
              <w:rPr>
                <w:color w:val="000000"/>
                <w:sz w:val="24"/>
                <w:szCs w:val="24"/>
              </w:rPr>
              <w:t>1,204.48</w:t>
            </w:r>
          </w:p>
        </w:tc>
        <w:tc>
          <w:tcPr>
            <w:tcW w:w="987" w:type="dxa"/>
            <w:vAlign w:val="center"/>
          </w:tcPr>
          <w:p w14:paraId="5986BC02" w14:textId="77777777" w:rsidR="009A0A63" w:rsidRPr="00792B36" w:rsidRDefault="009A0A63" w:rsidP="00A24459">
            <w:pPr>
              <w:contextualSpacing/>
              <w:jc w:val="center"/>
              <w:rPr>
                <w:sz w:val="24"/>
                <w:szCs w:val="24"/>
              </w:rPr>
            </w:pPr>
            <w:r w:rsidRPr="00792B36">
              <w:rPr>
                <w:color w:val="000000"/>
                <w:sz w:val="24"/>
                <w:szCs w:val="24"/>
              </w:rPr>
              <w:t>8,116.23</w:t>
            </w:r>
          </w:p>
        </w:tc>
        <w:tc>
          <w:tcPr>
            <w:tcW w:w="1080" w:type="dxa"/>
            <w:vAlign w:val="center"/>
          </w:tcPr>
          <w:p w14:paraId="20E777BD" w14:textId="77777777" w:rsidR="009A0A63" w:rsidRPr="00792B36" w:rsidRDefault="009A0A63" w:rsidP="00A24459">
            <w:pPr>
              <w:contextualSpacing/>
              <w:jc w:val="center"/>
              <w:rPr>
                <w:sz w:val="24"/>
                <w:szCs w:val="24"/>
              </w:rPr>
            </w:pPr>
            <w:r w:rsidRPr="00792B36">
              <w:rPr>
                <w:color w:val="000000"/>
                <w:sz w:val="24"/>
                <w:szCs w:val="24"/>
              </w:rPr>
              <w:t>9,307.58</w:t>
            </w:r>
          </w:p>
        </w:tc>
        <w:tc>
          <w:tcPr>
            <w:tcW w:w="1177" w:type="dxa"/>
            <w:vAlign w:val="center"/>
          </w:tcPr>
          <w:p w14:paraId="6AE94D6C" w14:textId="77777777" w:rsidR="009A0A63" w:rsidRPr="00792B36" w:rsidRDefault="009A0A63" w:rsidP="00A24459">
            <w:pPr>
              <w:contextualSpacing/>
              <w:jc w:val="center"/>
              <w:rPr>
                <w:sz w:val="24"/>
                <w:szCs w:val="24"/>
              </w:rPr>
            </w:pPr>
            <w:r w:rsidRPr="00792B36">
              <w:rPr>
                <w:color w:val="000000"/>
                <w:sz w:val="24"/>
                <w:szCs w:val="24"/>
              </w:rPr>
              <w:t>207.19</w:t>
            </w:r>
          </w:p>
        </w:tc>
        <w:tc>
          <w:tcPr>
            <w:tcW w:w="1027" w:type="dxa"/>
            <w:vAlign w:val="center"/>
          </w:tcPr>
          <w:p w14:paraId="134C182E" w14:textId="77777777" w:rsidR="009A0A63" w:rsidRPr="00792B36" w:rsidRDefault="009A0A63" w:rsidP="00A24459">
            <w:pPr>
              <w:contextualSpacing/>
              <w:jc w:val="center"/>
              <w:rPr>
                <w:sz w:val="24"/>
                <w:szCs w:val="24"/>
              </w:rPr>
            </w:pPr>
            <w:r w:rsidRPr="00792B36">
              <w:rPr>
                <w:color w:val="000000"/>
                <w:sz w:val="24"/>
                <w:szCs w:val="24"/>
              </w:rPr>
              <w:t>1,125.98</w:t>
            </w:r>
          </w:p>
        </w:tc>
        <w:tc>
          <w:tcPr>
            <w:tcW w:w="957" w:type="dxa"/>
            <w:vAlign w:val="center"/>
          </w:tcPr>
          <w:p w14:paraId="69485E6C" w14:textId="77777777" w:rsidR="009A0A63" w:rsidRPr="00792B36" w:rsidRDefault="009A0A63" w:rsidP="00A24459">
            <w:pPr>
              <w:contextualSpacing/>
              <w:jc w:val="center"/>
              <w:rPr>
                <w:sz w:val="24"/>
                <w:szCs w:val="24"/>
              </w:rPr>
            </w:pPr>
            <w:r w:rsidRPr="00792B36">
              <w:rPr>
                <w:color w:val="000000"/>
                <w:sz w:val="24"/>
                <w:szCs w:val="24"/>
              </w:rPr>
              <w:t>2,053.20</w:t>
            </w:r>
          </w:p>
        </w:tc>
        <w:tc>
          <w:tcPr>
            <w:tcW w:w="900" w:type="dxa"/>
            <w:vAlign w:val="center"/>
          </w:tcPr>
          <w:p w14:paraId="185B3A8A" w14:textId="77777777" w:rsidR="009A0A63" w:rsidRPr="00792B36" w:rsidRDefault="009A0A63" w:rsidP="00A24459">
            <w:pPr>
              <w:contextualSpacing/>
              <w:jc w:val="center"/>
              <w:rPr>
                <w:sz w:val="24"/>
                <w:szCs w:val="24"/>
              </w:rPr>
            </w:pPr>
            <w:r w:rsidRPr="00792B36">
              <w:rPr>
                <w:color w:val="000000"/>
                <w:sz w:val="24"/>
                <w:szCs w:val="24"/>
              </w:rPr>
              <w:t>3,351.97</w:t>
            </w:r>
          </w:p>
        </w:tc>
      </w:tr>
      <w:tr w:rsidR="009A0A63" w:rsidRPr="00792B36" w14:paraId="63D7B3A3" w14:textId="77777777" w:rsidTr="00A24459">
        <w:trPr>
          <w:trHeight w:val="340"/>
        </w:trPr>
        <w:tc>
          <w:tcPr>
            <w:tcW w:w="617" w:type="dxa"/>
            <w:vAlign w:val="center"/>
          </w:tcPr>
          <w:p w14:paraId="2D6FD311" w14:textId="77777777" w:rsidR="009A0A63" w:rsidRPr="00792B36" w:rsidRDefault="009A0A63" w:rsidP="00A24459">
            <w:pPr>
              <w:contextualSpacing/>
              <w:jc w:val="center"/>
              <w:rPr>
                <w:sz w:val="24"/>
                <w:szCs w:val="24"/>
              </w:rPr>
            </w:pPr>
            <w:r w:rsidRPr="00792B36">
              <w:rPr>
                <w:b/>
                <w:bCs/>
                <w:color w:val="000000"/>
                <w:sz w:val="24"/>
                <w:szCs w:val="24"/>
              </w:rPr>
              <w:lastRenderedPageBreak/>
              <w:t>2017</w:t>
            </w:r>
          </w:p>
        </w:tc>
        <w:tc>
          <w:tcPr>
            <w:tcW w:w="1177" w:type="dxa"/>
            <w:vAlign w:val="center"/>
          </w:tcPr>
          <w:p w14:paraId="3600EDFF" w14:textId="77777777" w:rsidR="009A0A63" w:rsidRPr="00792B36" w:rsidRDefault="009A0A63" w:rsidP="00A24459">
            <w:pPr>
              <w:contextualSpacing/>
              <w:jc w:val="center"/>
              <w:rPr>
                <w:sz w:val="24"/>
                <w:szCs w:val="24"/>
              </w:rPr>
            </w:pPr>
            <w:r w:rsidRPr="00792B36">
              <w:rPr>
                <w:color w:val="000000"/>
                <w:sz w:val="24"/>
                <w:szCs w:val="24"/>
              </w:rPr>
              <w:t>3.72</w:t>
            </w:r>
          </w:p>
        </w:tc>
        <w:tc>
          <w:tcPr>
            <w:tcW w:w="1095" w:type="dxa"/>
            <w:vAlign w:val="center"/>
          </w:tcPr>
          <w:p w14:paraId="5CB719AA" w14:textId="77777777" w:rsidR="009A0A63" w:rsidRPr="00792B36" w:rsidRDefault="009A0A63" w:rsidP="00A24459">
            <w:pPr>
              <w:contextualSpacing/>
              <w:jc w:val="center"/>
              <w:rPr>
                <w:sz w:val="24"/>
                <w:szCs w:val="24"/>
              </w:rPr>
            </w:pPr>
            <w:r w:rsidRPr="00792B36">
              <w:rPr>
                <w:color w:val="000000"/>
                <w:sz w:val="24"/>
                <w:szCs w:val="24"/>
              </w:rPr>
              <w:t>1,140.44</w:t>
            </w:r>
          </w:p>
        </w:tc>
        <w:tc>
          <w:tcPr>
            <w:tcW w:w="987" w:type="dxa"/>
            <w:vAlign w:val="center"/>
          </w:tcPr>
          <w:p w14:paraId="77607A47" w14:textId="77777777" w:rsidR="009A0A63" w:rsidRPr="00792B36" w:rsidRDefault="009A0A63" w:rsidP="00A24459">
            <w:pPr>
              <w:contextualSpacing/>
              <w:jc w:val="center"/>
              <w:rPr>
                <w:sz w:val="24"/>
                <w:szCs w:val="24"/>
              </w:rPr>
            </w:pPr>
            <w:r w:rsidRPr="00792B36">
              <w:rPr>
                <w:color w:val="000000"/>
                <w:sz w:val="24"/>
                <w:szCs w:val="24"/>
              </w:rPr>
              <w:t>8,496.11</w:t>
            </w:r>
          </w:p>
        </w:tc>
        <w:tc>
          <w:tcPr>
            <w:tcW w:w="1080" w:type="dxa"/>
            <w:vAlign w:val="center"/>
          </w:tcPr>
          <w:p w14:paraId="4B3FE8BC" w14:textId="77777777" w:rsidR="009A0A63" w:rsidRPr="00792B36" w:rsidRDefault="009A0A63" w:rsidP="00A24459">
            <w:pPr>
              <w:contextualSpacing/>
              <w:jc w:val="center"/>
              <w:rPr>
                <w:sz w:val="24"/>
                <w:szCs w:val="24"/>
              </w:rPr>
            </w:pPr>
            <w:r w:rsidRPr="00792B36">
              <w:rPr>
                <w:color w:val="000000"/>
                <w:sz w:val="24"/>
                <w:szCs w:val="24"/>
              </w:rPr>
              <w:t>9,614.34</w:t>
            </w:r>
          </w:p>
        </w:tc>
        <w:tc>
          <w:tcPr>
            <w:tcW w:w="1177" w:type="dxa"/>
            <w:vAlign w:val="center"/>
          </w:tcPr>
          <w:p w14:paraId="6DD04032" w14:textId="77777777" w:rsidR="009A0A63" w:rsidRPr="00792B36" w:rsidRDefault="009A0A63" w:rsidP="00A24459">
            <w:pPr>
              <w:contextualSpacing/>
              <w:jc w:val="center"/>
              <w:rPr>
                <w:sz w:val="24"/>
                <w:szCs w:val="24"/>
              </w:rPr>
            </w:pPr>
            <w:r w:rsidRPr="00792B36">
              <w:rPr>
                <w:color w:val="000000"/>
                <w:sz w:val="24"/>
                <w:szCs w:val="24"/>
              </w:rPr>
              <w:t>215.67</w:t>
            </w:r>
          </w:p>
        </w:tc>
        <w:tc>
          <w:tcPr>
            <w:tcW w:w="1027" w:type="dxa"/>
            <w:vAlign w:val="center"/>
          </w:tcPr>
          <w:p w14:paraId="693BBE70" w14:textId="77777777" w:rsidR="009A0A63" w:rsidRPr="00792B36" w:rsidRDefault="009A0A63" w:rsidP="00A24459">
            <w:pPr>
              <w:contextualSpacing/>
              <w:jc w:val="center"/>
              <w:rPr>
                <w:sz w:val="24"/>
                <w:szCs w:val="24"/>
              </w:rPr>
            </w:pPr>
            <w:r w:rsidRPr="00792B36">
              <w:rPr>
                <w:color w:val="000000"/>
                <w:sz w:val="24"/>
                <w:szCs w:val="24"/>
              </w:rPr>
              <w:t>1,141.90</w:t>
            </w:r>
          </w:p>
        </w:tc>
        <w:tc>
          <w:tcPr>
            <w:tcW w:w="957" w:type="dxa"/>
            <w:vAlign w:val="center"/>
          </w:tcPr>
          <w:p w14:paraId="3405CDB1" w14:textId="77777777" w:rsidR="009A0A63" w:rsidRPr="00792B36" w:rsidRDefault="009A0A63" w:rsidP="00A24459">
            <w:pPr>
              <w:contextualSpacing/>
              <w:jc w:val="center"/>
              <w:rPr>
                <w:sz w:val="24"/>
                <w:szCs w:val="24"/>
              </w:rPr>
            </w:pPr>
            <w:r w:rsidRPr="00792B36">
              <w:rPr>
                <w:color w:val="000000"/>
                <w:sz w:val="24"/>
                <w:szCs w:val="24"/>
              </w:rPr>
              <w:t>2,145.66</w:t>
            </w:r>
          </w:p>
        </w:tc>
        <w:tc>
          <w:tcPr>
            <w:tcW w:w="900" w:type="dxa"/>
            <w:vAlign w:val="center"/>
          </w:tcPr>
          <w:p w14:paraId="5DB0D491" w14:textId="77777777" w:rsidR="009A0A63" w:rsidRPr="00792B36" w:rsidRDefault="009A0A63" w:rsidP="00A24459">
            <w:pPr>
              <w:contextualSpacing/>
              <w:jc w:val="center"/>
              <w:rPr>
                <w:sz w:val="24"/>
                <w:szCs w:val="24"/>
              </w:rPr>
            </w:pPr>
            <w:r w:rsidRPr="00792B36">
              <w:rPr>
                <w:color w:val="000000"/>
                <w:sz w:val="24"/>
                <w:szCs w:val="24"/>
              </w:rPr>
              <w:t>3,467.74</w:t>
            </w:r>
          </w:p>
        </w:tc>
      </w:tr>
      <w:tr w:rsidR="009A0A63" w:rsidRPr="00792B36" w14:paraId="4ED20133" w14:textId="77777777" w:rsidTr="00A24459">
        <w:trPr>
          <w:trHeight w:val="340"/>
        </w:trPr>
        <w:tc>
          <w:tcPr>
            <w:tcW w:w="617" w:type="dxa"/>
            <w:vAlign w:val="center"/>
          </w:tcPr>
          <w:p w14:paraId="651362CF" w14:textId="77777777" w:rsidR="009A0A63" w:rsidRPr="00792B36" w:rsidRDefault="009A0A63" w:rsidP="00A24459">
            <w:pPr>
              <w:contextualSpacing/>
              <w:jc w:val="center"/>
              <w:rPr>
                <w:sz w:val="24"/>
                <w:szCs w:val="24"/>
              </w:rPr>
            </w:pPr>
            <w:r w:rsidRPr="00792B36">
              <w:rPr>
                <w:b/>
                <w:bCs/>
                <w:color w:val="000000"/>
                <w:sz w:val="24"/>
                <w:szCs w:val="24"/>
              </w:rPr>
              <w:t>2018</w:t>
            </w:r>
          </w:p>
        </w:tc>
        <w:tc>
          <w:tcPr>
            <w:tcW w:w="1177" w:type="dxa"/>
            <w:vAlign w:val="center"/>
          </w:tcPr>
          <w:p w14:paraId="33C27CF0" w14:textId="77777777" w:rsidR="009A0A63" w:rsidRPr="00792B36" w:rsidRDefault="009A0A63" w:rsidP="00A24459">
            <w:pPr>
              <w:contextualSpacing/>
              <w:jc w:val="center"/>
              <w:rPr>
                <w:sz w:val="24"/>
                <w:szCs w:val="24"/>
              </w:rPr>
            </w:pPr>
            <w:r w:rsidRPr="00792B36">
              <w:rPr>
                <w:color w:val="000000"/>
                <w:sz w:val="24"/>
                <w:szCs w:val="24"/>
              </w:rPr>
              <w:t>3.49</w:t>
            </w:r>
          </w:p>
        </w:tc>
        <w:tc>
          <w:tcPr>
            <w:tcW w:w="1095" w:type="dxa"/>
            <w:vAlign w:val="center"/>
          </w:tcPr>
          <w:p w14:paraId="473FBF94" w14:textId="77777777" w:rsidR="009A0A63" w:rsidRPr="00792B36" w:rsidRDefault="009A0A63" w:rsidP="00A24459">
            <w:pPr>
              <w:contextualSpacing/>
              <w:jc w:val="center"/>
              <w:rPr>
                <w:sz w:val="24"/>
                <w:szCs w:val="24"/>
              </w:rPr>
            </w:pPr>
            <w:r w:rsidRPr="00792B36">
              <w:rPr>
                <w:color w:val="000000"/>
                <w:sz w:val="24"/>
                <w:szCs w:val="24"/>
              </w:rPr>
              <w:t>1,177.27</w:t>
            </w:r>
          </w:p>
        </w:tc>
        <w:tc>
          <w:tcPr>
            <w:tcW w:w="987" w:type="dxa"/>
            <w:vAlign w:val="center"/>
          </w:tcPr>
          <w:p w14:paraId="73A57A09" w14:textId="77777777" w:rsidR="009A0A63" w:rsidRPr="00792B36" w:rsidRDefault="009A0A63" w:rsidP="00A24459">
            <w:pPr>
              <w:contextualSpacing/>
              <w:jc w:val="center"/>
              <w:rPr>
                <w:sz w:val="24"/>
                <w:szCs w:val="24"/>
              </w:rPr>
            </w:pPr>
            <w:r w:rsidRPr="00792B36">
              <w:rPr>
                <w:color w:val="000000"/>
                <w:sz w:val="24"/>
                <w:szCs w:val="24"/>
              </w:rPr>
              <w:t>8,861.98</w:t>
            </w:r>
          </w:p>
        </w:tc>
        <w:tc>
          <w:tcPr>
            <w:tcW w:w="1080" w:type="dxa"/>
            <w:vAlign w:val="center"/>
          </w:tcPr>
          <w:p w14:paraId="2E47B357" w14:textId="77777777" w:rsidR="009A0A63" w:rsidRPr="00792B36" w:rsidRDefault="009A0A63" w:rsidP="00A24459">
            <w:pPr>
              <w:contextualSpacing/>
              <w:jc w:val="center"/>
              <w:rPr>
                <w:sz w:val="24"/>
                <w:szCs w:val="24"/>
              </w:rPr>
            </w:pPr>
            <w:r w:rsidRPr="00792B36">
              <w:rPr>
                <w:color w:val="000000"/>
                <w:sz w:val="24"/>
                <w:szCs w:val="24"/>
              </w:rPr>
              <w:t>10,014.50</w:t>
            </w:r>
          </w:p>
        </w:tc>
        <w:tc>
          <w:tcPr>
            <w:tcW w:w="1177" w:type="dxa"/>
            <w:vAlign w:val="center"/>
          </w:tcPr>
          <w:p w14:paraId="0FB7E50E" w14:textId="77777777" w:rsidR="009A0A63" w:rsidRPr="00792B36" w:rsidRDefault="009A0A63" w:rsidP="00A24459">
            <w:pPr>
              <w:contextualSpacing/>
              <w:jc w:val="center"/>
              <w:rPr>
                <w:sz w:val="24"/>
                <w:szCs w:val="24"/>
              </w:rPr>
            </w:pPr>
            <w:r w:rsidRPr="00792B36">
              <w:rPr>
                <w:color w:val="000000"/>
                <w:sz w:val="24"/>
                <w:szCs w:val="24"/>
              </w:rPr>
              <w:t>227.80</w:t>
            </w:r>
          </w:p>
        </w:tc>
        <w:tc>
          <w:tcPr>
            <w:tcW w:w="1027" w:type="dxa"/>
            <w:vAlign w:val="center"/>
          </w:tcPr>
          <w:p w14:paraId="1CDAF266" w14:textId="77777777" w:rsidR="009A0A63" w:rsidRPr="00792B36" w:rsidRDefault="009A0A63" w:rsidP="00A24459">
            <w:pPr>
              <w:contextualSpacing/>
              <w:jc w:val="center"/>
              <w:rPr>
                <w:sz w:val="24"/>
                <w:szCs w:val="24"/>
              </w:rPr>
            </w:pPr>
            <w:r w:rsidRPr="00792B36">
              <w:rPr>
                <w:color w:val="000000"/>
                <w:sz w:val="24"/>
                <w:szCs w:val="24"/>
              </w:rPr>
              <w:t>1,169.85</w:t>
            </w:r>
          </w:p>
        </w:tc>
        <w:tc>
          <w:tcPr>
            <w:tcW w:w="957" w:type="dxa"/>
            <w:vAlign w:val="center"/>
          </w:tcPr>
          <w:p w14:paraId="16920242" w14:textId="77777777" w:rsidR="009A0A63" w:rsidRPr="00792B36" w:rsidRDefault="009A0A63" w:rsidP="00A24459">
            <w:pPr>
              <w:contextualSpacing/>
              <w:jc w:val="center"/>
              <w:rPr>
                <w:sz w:val="24"/>
                <w:szCs w:val="24"/>
              </w:rPr>
            </w:pPr>
            <w:r w:rsidRPr="00792B36">
              <w:rPr>
                <w:color w:val="000000"/>
                <w:sz w:val="24"/>
                <w:szCs w:val="24"/>
              </w:rPr>
              <w:t>2,236.10</w:t>
            </w:r>
          </w:p>
        </w:tc>
        <w:tc>
          <w:tcPr>
            <w:tcW w:w="900" w:type="dxa"/>
            <w:vAlign w:val="center"/>
          </w:tcPr>
          <w:p w14:paraId="7A6D5139" w14:textId="77777777" w:rsidR="009A0A63" w:rsidRPr="00792B36" w:rsidRDefault="009A0A63" w:rsidP="00A24459">
            <w:pPr>
              <w:contextualSpacing/>
              <w:jc w:val="center"/>
              <w:rPr>
                <w:sz w:val="24"/>
                <w:szCs w:val="24"/>
              </w:rPr>
            </w:pPr>
            <w:r w:rsidRPr="00792B36">
              <w:rPr>
                <w:color w:val="000000"/>
                <w:sz w:val="24"/>
                <w:szCs w:val="24"/>
              </w:rPr>
              <w:t>3,598.12</w:t>
            </w:r>
          </w:p>
        </w:tc>
      </w:tr>
    </w:tbl>
    <w:p w14:paraId="6984E75A" w14:textId="77777777" w:rsidR="009A0A63" w:rsidRPr="00792B36" w:rsidRDefault="009A0A63" w:rsidP="009A0A63">
      <w:pPr>
        <w:spacing w:line="360" w:lineRule="auto"/>
        <w:rPr>
          <w:sz w:val="24"/>
          <w:szCs w:val="24"/>
          <w:cs/>
        </w:rPr>
      </w:pPr>
    </w:p>
    <w:p w14:paraId="2AAC6221" w14:textId="77777777" w:rsidR="009A0A63" w:rsidRPr="00792B36" w:rsidRDefault="009A0A63" w:rsidP="009A0A63">
      <w:pPr>
        <w:spacing w:line="360" w:lineRule="auto"/>
        <w:contextualSpacing/>
        <w:rPr>
          <w:color w:val="000000" w:themeColor="text1"/>
          <w:sz w:val="24"/>
          <w:szCs w:val="24"/>
        </w:rPr>
      </w:pPr>
      <w:r w:rsidRPr="00792B36">
        <w:rPr>
          <w:b/>
          <w:bCs/>
          <w:sz w:val="24"/>
          <w:szCs w:val="24"/>
        </w:rPr>
        <w:t xml:space="preserve">Annex 2.13 </w:t>
      </w:r>
      <w:r w:rsidRPr="00792B36">
        <w:rPr>
          <w:color w:val="000000" w:themeColor="text1"/>
          <w:sz w:val="24"/>
          <w:szCs w:val="24"/>
        </w:rPr>
        <w:t>Sustainable fisheries as a percentage of GDP in Thailand (2011-2021)</w:t>
      </w:r>
    </w:p>
    <w:tbl>
      <w:tblPr>
        <w:tblW w:w="8926" w:type="dxa"/>
        <w:tblLayout w:type="fixed"/>
        <w:tblLook w:val="04A0" w:firstRow="1" w:lastRow="0" w:firstColumn="1" w:lastColumn="0" w:noHBand="0" w:noVBand="1"/>
      </w:tblPr>
      <w:tblGrid>
        <w:gridCol w:w="4463"/>
        <w:gridCol w:w="4463"/>
      </w:tblGrid>
      <w:tr w:rsidR="009A0A63" w:rsidRPr="00792B36" w14:paraId="4954D37B" w14:textId="77777777" w:rsidTr="00A24459">
        <w:trPr>
          <w:trHeight w:val="340"/>
        </w:trPr>
        <w:tc>
          <w:tcPr>
            <w:tcW w:w="4463" w:type="dxa"/>
            <w:tcBorders>
              <w:top w:val="single" w:sz="4" w:space="0" w:color="auto"/>
              <w:left w:val="single" w:sz="4" w:space="0" w:color="auto"/>
              <w:bottom w:val="single" w:sz="4" w:space="0" w:color="auto"/>
              <w:right w:val="single" w:sz="4" w:space="0" w:color="auto"/>
            </w:tcBorders>
            <w:noWrap/>
            <w:vAlign w:val="center"/>
          </w:tcPr>
          <w:p w14:paraId="323D5E30" w14:textId="77777777" w:rsidR="009A0A63" w:rsidRPr="00792B36" w:rsidRDefault="009A0A63" w:rsidP="00A24459">
            <w:pPr>
              <w:jc w:val="center"/>
              <w:rPr>
                <w:rFonts w:eastAsia="Times New Roman"/>
                <w:b/>
                <w:bCs/>
                <w:color w:val="000000"/>
                <w:sz w:val="24"/>
                <w:szCs w:val="24"/>
              </w:rPr>
            </w:pPr>
            <w:r w:rsidRPr="00792B36">
              <w:rPr>
                <w:rFonts w:eastAsia="Times New Roman"/>
                <w:b/>
                <w:bCs/>
                <w:color w:val="000000"/>
                <w:sz w:val="24"/>
                <w:szCs w:val="24"/>
              </w:rPr>
              <w:t>Year</w:t>
            </w:r>
          </w:p>
        </w:tc>
        <w:tc>
          <w:tcPr>
            <w:tcW w:w="4463" w:type="dxa"/>
            <w:tcBorders>
              <w:top w:val="single" w:sz="4" w:space="0" w:color="auto"/>
              <w:left w:val="nil"/>
              <w:bottom w:val="single" w:sz="4" w:space="0" w:color="auto"/>
              <w:right w:val="single" w:sz="4" w:space="0" w:color="auto"/>
            </w:tcBorders>
            <w:noWrap/>
            <w:vAlign w:val="center"/>
          </w:tcPr>
          <w:p w14:paraId="775314E0" w14:textId="77777777" w:rsidR="009A0A63" w:rsidRPr="00792B36" w:rsidRDefault="009A0A63" w:rsidP="00A24459">
            <w:pPr>
              <w:jc w:val="center"/>
              <w:rPr>
                <w:rFonts w:eastAsia="Times New Roman"/>
                <w:b/>
                <w:bCs/>
                <w:color w:val="000000"/>
                <w:sz w:val="24"/>
                <w:szCs w:val="24"/>
              </w:rPr>
            </w:pPr>
            <w:r w:rsidRPr="00792B36">
              <w:rPr>
                <w:rFonts w:eastAsia="Times New Roman"/>
                <w:b/>
                <w:bCs/>
                <w:color w:val="000000"/>
                <w:sz w:val="24"/>
                <w:szCs w:val="24"/>
              </w:rPr>
              <w:t>%</w:t>
            </w:r>
          </w:p>
        </w:tc>
      </w:tr>
      <w:tr w:rsidR="009A0A63" w:rsidRPr="00792B36" w14:paraId="169AABB5" w14:textId="77777777" w:rsidTr="00A24459">
        <w:trPr>
          <w:trHeight w:val="340"/>
        </w:trPr>
        <w:tc>
          <w:tcPr>
            <w:tcW w:w="4463" w:type="dxa"/>
            <w:tcBorders>
              <w:top w:val="single" w:sz="4" w:space="0" w:color="auto"/>
              <w:left w:val="single" w:sz="4" w:space="0" w:color="auto"/>
              <w:bottom w:val="single" w:sz="4" w:space="0" w:color="auto"/>
              <w:right w:val="single" w:sz="4" w:space="0" w:color="auto"/>
            </w:tcBorders>
            <w:noWrap/>
            <w:vAlign w:val="center"/>
          </w:tcPr>
          <w:p w14:paraId="5641E422"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2011</w:t>
            </w:r>
          </w:p>
        </w:tc>
        <w:tc>
          <w:tcPr>
            <w:tcW w:w="4463" w:type="dxa"/>
            <w:tcBorders>
              <w:top w:val="single" w:sz="4" w:space="0" w:color="auto"/>
              <w:left w:val="nil"/>
              <w:bottom w:val="single" w:sz="4" w:space="0" w:color="auto"/>
              <w:right w:val="single" w:sz="4" w:space="0" w:color="auto"/>
            </w:tcBorders>
            <w:noWrap/>
            <w:vAlign w:val="center"/>
          </w:tcPr>
          <w:p w14:paraId="38D9CD03"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0.45</w:t>
            </w:r>
          </w:p>
        </w:tc>
      </w:tr>
      <w:tr w:rsidR="009A0A63" w:rsidRPr="00792B36" w14:paraId="7AA96247" w14:textId="77777777" w:rsidTr="00A24459">
        <w:trPr>
          <w:trHeight w:val="340"/>
        </w:trPr>
        <w:tc>
          <w:tcPr>
            <w:tcW w:w="4463" w:type="dxa"/>
            <w:tcBorders>
              <w:top w:val="nil"/>
              <w:left w:val="single" w:sz="4" w:space="0" w:color="auto"/>
              <w:bottom w:val="single" w:sz="4" w:space="0" w:color="auto"/>
              <w:right w:val="single" w:sz="4" w:space="0" w:color="auto"/>
            </w:tcBorders>
            <w:noWrap/>
            <w:vAlign w:val="center"/>
            <w:hideMark/>
          </w:tcPr>
          <w:p w14:paraId="46B9FA66"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2013</w:t>
            </w:r>
          </w:p>
        </w:tc>
        <w:tc>
          <w:tcPr>
            <w:tcW w:w="4463" w:type="dxa"/>
            <w:tcBorders>
              <w:top w:val="nil"/>
              <w:left w:val="nil"/>
              <w:bottom w:val="single" w:sz="4" w:space="0" w:color="auto"/>
              <w:right w:val="single" w:sz="4" w:space="0" w:color="auto"/>
            </w:tcBorders>
            <w:noWrap/>
            <w:vAlign w:val="center"/>
            <w:hideMark/>
          </w:tcPr>
          <w:p w14:paraId="67C7E502"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0.36</w:t>
            </w:r>
          </w:p>
        </w:tc>
      </w:tr>
      <w:tr w:rsidR="009A0A63" w:rsidRPr="00792B36" w14:paraId="580BE64C" w14:textId="77777777" w:rsidTr="00A24459">
        <w:trPr>
          <w:trHeight w:val="340"/>
        </w:trPr>
        <w:tc>
          <w:tcPr>
            <w:tcW w:w="4463" w:type="dxa"/>
            <w:tcBorders>
              <w:top w:val="nil"/>
              <w:left w:val="single" w:sz="4" w:space="0" w:color="auto"/>
              <w:bottom w:val="single" w:sz="4" w:space="0" w:color="auto"/>
              <w:right w:val="single" w:sz="4" w:space="0" w:color="auto"/>
            </w:tcBorders>
            <w:noWrap/>
            <w:vAlign w:val="center"/>
            <w:hideMark/>
          </w:tcPr>
          <w:p w14:paraId="4F2C34DA"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2015</w:t>
            </w:r>
          </w:p>
        </w:tc>
        <w:tc>
          <w:tcPr>
            <w:tcW w:w="4463" w:type="dxa"/>
            <w:tcBorders>
              <w:top w:val="nil"/>
              <w:left w:val="nil"/>
              <w:bottom w:val="single" w:sz="4" w:space="0" w:color="auto"/>
              <w:right w:val="single" w:sz="4" w:space="0" w:color="auto"/>
            </w:tcBorders>
            <w:noWrap/>
            <w:vAlign w:val="center"/>
            <w:hideMark/>
          </w:tcPr>
          <w:p w14:paraId="6DF48129"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0.33</w:t>
            </w:r>
          </w:p>
        </w:tc>
      </w:tr>
      <w:tr w:rsidR="009A0A63" w:rsidRPr="00792B36" w14:paraId="0F0F92DE" w14:textId="77777777" w:rsidTr="00A24459">
        <w:trPr>
          <w:trHeight w:val="340"/>
        </w:trPr>
        <w:tc>
          <w:tcPr>
            <w:tcW w:w="4463" w:type="dxa"/>
            <w:tcBorders>
              <w:top w:val="nil"/>
              <w:left w:val="single" w:sz="4" w:space="0" w:color="auto"/>
              <w:bottom w:val="single" w:sz="4" w:space="0" w:color="auto"/>
              <w:right w:val="single" w:sz="4" w:space="0" w:color="auto"/>
            </w:tcBorders>
            <w:noWrap/>
            <w:vAlign w:val="center"/>
            <w:hideMark/>
          </w:tcPr>
          <w:p w14:paraId="5B8EDABB"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2017</w:t>
            </w:r>
          </w:p>
        </w:tc>
        <w:tc>
          <w:tcPr>
            <w:tcW w:w="4463" w:type="dxa"/>
            <w:tcBorders>
              <w:top w:val="nil"/>
              <w:left w:val="nil"/>
              <w:bottom w:val="single" w:sz="4" w:space="0" w:color="auto"/>
              <w:right w:val="single" w:sz="4" w:space="0" w:color="auto"/>
            </w:tcBorders>
            <w:noWrap/>
            <w:vAlign w:val="center"/>
            <w:hideMark/>
          </w:tcPr>
          <w:p w14:paraId="126A3212"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0.3</w:t>
            </w:r>
          </w:p>
        </w:tc>
      </w:tr>
      <w:tr w:rsidR="009A0A63" w:rsidRPr="00792B36" w14:paraId="2A9E1363" w14:textId="77777777" w:rsidTr="00A24459">
        <w:trPr>
          <w:trHeight w:val="340"/>
        </w:trPr>
        <w:tc>
          <w:tcPr>
            <w:tcW w:w="4463" w:type="dxa"/>
            <w:tcBorders>
              <w:top w:val="nil"/>
              <w:left w:val="single" w:sz="4" w:space="0" w:color="auto"/>
              <w:bottom w:val="single" w:sz="4" w:space="0" w:color="auto"/>
              <w:right w:val="single" w:sz="4" w:space="0" w:color="auto"/>
            </w:tcBorders>
            <w:noWrap/>
            <w:vAlign w:val="center"/>
            <w:hideMark/>
          </w:tcPr>
          <w:p w14:paraId="6381F635"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2019</w:t>
            </w:r>
          </w:p>
        </w:tc>
        <w:tc>
          <w:tcPr>
            <w:tcW w:w="4463" w:type="dxa"/>
            <w:tcBorders>
              <w:top w:val="nil"/>
              <w:left w:val="nil"/>
              <w:bottom w:val="single" w:sz="4" w:space="0" w:color="auto"/>
              <w:right w:val="single" w:sz="4" w:space="0" w:color="auto"/>
            </w:tcBorders>
            <w:noWrap/>
            <w:vAlign w:val="center"/>
            <w:hideMark/>
          </w:tcPr>
          <w:p w14:paraId="0BCF4BDD"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0.31</w:t>
            </w:r>
          </w:p>
        </w:tc>
      </w:tr>
      <w:tr w:rsidR="009A0A63" w:rsidRPr="00792B36" w14:paraId="1083DE82" w14:textId="77777777" w:rsidTr="00A24459">
        <w:trPr>
          <w:trHeight w:val="340"/>
        </w:trPr>
        <w:tc>
          <w:tcPr>
            <w:tcW w:w="4463" w:type="dxa"/>
            <w:tcBorders>
              <w:top w:val="nil"/>
              <w:left w:val="single" w:sz="4" w:space="0" w:color="auto"/>
              <w:bottom w:val="single" w:sz="4" w:space="0" w:color="auto"/>
              <w:right w:val="single" w:sz="4" w:space="0" w:color="auto"/>
            </w:tcBorders>
            <w:noWrap/>
            <w:vAlign w:val="center"/>
            <w:hideMark/>
          </w:tcPr>
          <w:p w14:paraId="0D5A75FD"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2021</w:t>
            </w:r>
          </w:p>
        </w:tc>
        <w:tc>
          <w:tcPr>
            <w:tcW w:w="4463" w:type="dxa"/>
            <w:tcBorders>
              <w:top w:val="nil"/>
              <w:left w:val="nil"/>
              <w:bottom w:val="single" w:sz="4" w:space="0" w:color="auto"/>
              <w:right w:val="single" w:sz="4" w:space="0" w:color="auto"/>
            </w:tcBorders>
            <w:noWrap/>
            <w:vAlign w:val="center"/>
            <w:hideMark/>
          </w:tcPr>
          <w:p w14:paraId="626D2727"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0.28</w:t>
            </w:r>
          </w:p>
        </w:tc>
      </w:tr>
    </w:tbl>
    <w:p w14:paraId="2DFBE4D0" w14:textId="77777777" w:rsidR="009A0A63" w:rsidRPr="00792B36" w:rsidRDefault="009A0A63" w:rsidP="009A0A63">
      <w:pPr>
        <w:pBdr>
          <w:top w:val="nil"/>
          <w:left w:val="nil"/>
          <w:bottom w:val="nil"/>
          <w:right w:val="nil"/>
          <w:between w:val="nil"/>
        </w:pBdr>
        <w:spacing w:line="360" w:lineRule="auto"/>
        <w:contextualSpacing/>
        <w:rPr>
          <w:color w:val="000000" w:themeColor="text1"/>
          <w:sz w:val="24"/>
          <w:szCs w:val="24"/>
        </w:rPr>
      </w:pPr>
      <w:r w:rsidRPr="00792B36">
        <w:rPr>
          <w:color w:val="000000" w:themeColor="text1"/>
          <w:sz w:val="24"/>
          <w:szCs w:val="24"/>
        </w:rPr>
        <w:t xml:space="preserve">Source: FAO. 2025. Sustainable fisheries as a proportion of GDP. </w:t>
      </w:r>
      <w:r w:rsidRPr="00792B36">
        <w:rPr>
          <w:sz w:val="24"/>
          <w:szCs w:val="24"/>
        </w:rPr>
        <w:fldChar w:fldCharType="begin"/>
      </w:r>
      <w:r w:rsidRPr="00792B36">
        <w:rPr>
          <w:sz w:val="24"/>
          <w:szCs w:val="24"/>
        </w:rPr>
        <w:instrText>HYPERLINK "https://de-public-statsuite.fao.org/"</w:instrText>
      </w:r>
      <w:r w:rsidRPr="00792B36">
        <w:rPr>
          <w:sz w:val="24"/>
          <w:szCs w:val="24"/>
        </w:rPr>
      </w:r>
      <w:r w:rsidRPr="00792B36">
        <w:rPr>
          <w:sz w:val="24"/>
          <w:szCs w:val="24"/>
        </w:rPr>
        <w:fldChar w:fldCharType="separate"/>
      </w:r>
      <w:r w:rsidRPr="00792B36">
        <w:rPr>
          <w:rStyle w:val="Hyperlink"/>
          <w:color w:val="000000" w:themeColor="text1"/>
          <w:sz w:val="24"/>
          <w:szCs w:val="24"/>
        </w:rPr>
        <w:t>https://de-public-statsuite.fao.org/</w:t>
      </w:r>
      <w:r w:rsidRPr="00792B36">
        <w:rPr>
          <w:sz w:val="24"/>
          <w:szCs w:val="24"/>
        </w:rPr>
        <w:fldChar w:fldCharType="end"/>
      </w:r>
      <w:r w:rsidRPr="00792B36">
        <w:rPr>
          <w:color w:val="000000" w:themeColor="text1"/>
          <w:sz w:val="24"/>
          <w:szCs w:val="24"/>
        </w:rPr>
        <w:t xml:space="preserve"> (Accessed 25 June 2025)</w:t>
      </w:r>
    </w:p>
    <w:p w14:paraId="3385D342" w14:textId="77777777" w:rsidR="009A0A63" w:rsidRPr="00792B36" w:rsidRDefault="009A0A63" w:rsidP="009A0A63">
      <w:pPr>
        <w:pBdr>
          <w:top w:val="nil"/>
          <w:left w:val="nil"/>
          <w:bottom w:val="nil"/>
          <w:right w:val="nil"/>
          <w:between w:val="nil"/>
        </w:pBdr>
        <w:spacing w:line="360" w:lineRule="auto"/>
        <w:contextualSpacing/>
        <w:rPr>
          <w:color w:val="000000" w:themeColor="text1"/>
          <w:sz w:val="24"/>
          <w:szCs w:val="24"/>
        </w:rPr>
      </w:pPr>
    </w:p>
    <w:p w14:paraId="300660B2" w14:textId="77777777" w:rsidR="009A0A63" w:rsidRPr="00792B36" w:rsidRDefault="009A0A63" w:rsidP="009A0A63">
      <w:pPr>
        <w:spacing w:line="360" w:lineRule="auto"/>
        <w:contextualSpacing/>
        <w:rPr>
          <w:color w:val="000000" w:themeColor="text1"/>
          <w:sz w:val="24"/>
          <w:szCs w:val="24"/>
        </w:rPr>
      </w:pPr>
      <w:r w:rsidRPr="00792B36">
        <w:rPr>
          <w:b/>
          <w:bCs/>
          <w:sz w:val="24"/>
          <w:szCs w:val="24"/>
        </w:rPr>
        <w:t xml:space="preserve">Annex 2.14 </w:t>
      </w:r>
      <w:r w:rsidRPr="00792B36">
        <w:rPr>
          <w:color w:val="000000" w:themeColor="text1"/>
          <w:sz w:val="24"/>
          <w:szCs w:val="24"/>
        </w:rPr>
        <w:t>Tourism as a percentage of GDP in Thailand (2011-2021)</w:t>
      </w:r>
    </w:p>
    <w:tbl>
      <w:tblPr>
        <w:tblW w:w="8926" w:type="dxa"/>
        <w:tblLayout w:type="fixed"/>
        <w:tblLook w:val="04A0" w:firstRow="1" w:lastRow="0" w:firstColumn="1" w:lastColumn="0" w:noHBand="0" w:noVBand="1"/>
      </w:tblPr>
      <w:tblGrid>
        <w:gridCol w:w="4463"/>
        <w:gridCol w:w="4463"/>
      </w:tblGrid>
      <w:tr w:rsidR="009A0A63" w:rsidRPr="00792B36" w14:paraId="73EE4087" w14:textId="77777777" w:rsidTr="00A24459">
        <w:trPr>
          <w:trHeight w:val="340"/>
        </w:trPr>
        <w:tc>
          <w:tcPr>
            <w:tcW w:w="4463" w:type="dxa"/>
            <w:tcBorders>
              <w:top w:val="single" w:sz="4" w:space="0" w:color="auto"/>
              <w:left w:val="single" w:sz="4" w:space="0" w:color="auto"/>
              <w:bottom w:val="single" w:sz="4" w:space="0" w:color="auto"/>
              <w:right w:val="single" w:sz="4" w:space="0" w:color="auto"/>
            </w:tcBorders>
            <w:noWrap/>
            <w:vAlign w:val="center"/>
          </w:tcPr>
          <w:p w14:paraId="7FB85EB5" w14:textId="77777777" w:rsidR="009A0A63" w:rsidRPr="00792B36" w:rsidRDefault="009A0A63" w:rsidP="00A24459">
            <w:pPr>
              <w:jc w:val="center"/>
              <w:rPr>
                <w:rFonts w:eastAsia="Times New Roman"/>
                <w:b/>
                <w:bCs/>
                <w:color w:val="000000"/>
                <w:sz w:val="24"/>
                <w:szCs w:val="24"/>
              </w:rPr>
            </w:pPr>
            <w:r w:rsidRPr="00792B36">
              <w:rPr>
                <w:rFonts w:eastAsia="Times New Roman"/>
                <w:b/>
                <w:bCs/>
                <w:color w:val="000000"/>
                <w:sz w:val="24"/>
                <w:szCs w:val="24"/>
              </w:rPr>
              <w:t>Year</w:t>
            </w:r>
          </w:p>
        </w:tc>
        <w:tc>
          <w:tcPr>
            <w:tcW w:w="4463" w:type="dxa"/>
            <w:tcBorders>
              <w:top w:val="single" w:sz="4" w:space="0" w:color="auto"/>
              <w:left w:val="nil"/>
              <w:bottom w:val="single" w:sz="4" w:space="0" w:color="auto"/>
              <w:right w:val="single" w:sz="4" w:space="0" w:color="auto"/>
            </w:tcBorders>
            <w:noWrap/>
            <w:vAlign w:val="center"/>
          </w:tcPr>
          <w:p w14:paraId="5F1641FC" w14:textId="77777777" w:rsidR="009A0A63" w:rsidRPr="00792B36" w:rsidRDefault="009A0A63" w:rsidP="00A24459">
            <w:pPr>
              <w:jc w:val="center"/>
              <w:rPr>
                <w:rFonts w:eastAsia="Times New Roman"/>
                <w:b/>
                <w:bCs/>
                <w:color w:val="000000"/>
                <w:sz w:val="24"/>
                <w:szCs w:val="24"/>
              </w:rPr>
            </w:pPr>
            <w:r w:rsidRPr="00792B36">
              <w:rPr>
                <w:rFonts w:eastAsia="Times New Roman"/>
                <w:b/>
                <w:bCs/>
                <w:color w:val="000000"/>
                <w:sz w:val="24"/>
                <w:szCs w:val="24"/>
              </w:rPr>
              <w:t>%</w:t>
            </w:r>
          </w:p>
        </w:tc>
      </w:tr>
      <w:tr w:rsidR="009A0A63" w:rsidRPr="00792B36" w14:paraId="097C682A" w14:textId="77777777" w:rsidTr="00A24459">
        <w:trPr>
          <w:trHeight w:val="340"/>
        </w:trPr>
        <w:tc>
          <w:tcPr>
            <w:tcW w:w="4463" w:type="dxa"/>
            <w:tcBorders>
              <w:top w:val="single" w:sz="4" w:space="0" w:color="auto"/>
              <w:left w:val="single" w:sz="4" w:space="0" w:color="auto"/>
              <w:bottom w:val="single" w:sz="4" w:space="0" w:color="auto"/>
              <w:right w:val="single" w:sz="4" w:space="0" w:color="auto"/>
            </w:tcBorders>
            <w:noWrap/>
            <w:vAlign w:val="center"/>
          </w:tcPr>
          <w:p w14:paraId="162E6F09" w14:textId="77777777" w:rsidR="009A0A63" w:rsidRPr="00792B36" w:rsidRDefault="009A0A63" w:rsidP="00A24459">
            <w:pPr>
              <w:jc w:val="center"/>
              <w:rPr>
                <w:rFonts w:eastAsia="Times New Roman"/>
                <w:color w:val="000000"/>
                <w:sz w:val="24"/>
                <w:szCs w:val="24"/>
              </w:rPr>
            </w:pPr>
            <w:r w:rsidRPr="00792B36">
              <w:rPr>
                <w:color w:val="000000"/>
                <w:sz w:val="24"/>
                <w:szCs w:val="24"/>
              </w:rPr>
              <w:t>2010</w:t>
            </w:r>
          </w:p>
        </w:tc>
        <w:tc>
          <w:tcPr>
            <w:tcW w:w="4463" w:type="dxa"/>
            <w:tcBorders>
              <w:top w:val="single" w:sz="4" w:space="0" w:color="auto"/>
              <w:left w:val="nil"/>
              <w:bottom w:val="single" w:sz="4" w:space="0" w:color="auto"/>
              <w:right w:val="single" w:sz="4" w:space="0" w:color="auto"/>
            </w:tcBorders>
            <w:noWrap/>
            <w:vAlign w:val="center"/>
          </w:tcPr>
          <w:p w14:paraId="0E6666A4" w14:textId="77777777" w:rsidR="009A0A63" w:rsidRPr="00792B36" w:rsidRDefault="009A0A63" w:rsidP="00A24459">
            <w:pPr>
              <w:jc w:val="center"/>
              <w:rPr>
                <w:rFonts w:eastAsia="Times New Roman"/>
                <w:color w:val="000000"/>
                <w:sz w:val="24"/>
                <w:szCs w:val="24"/>
              </w:rPr>
            </w:pPr>
            <w:r w:rsidRPr="00792B36">
              <w:rPr>
                <w:color w:val="000000"/>
                <w:sz w:val="24"/>
                <w:szCs w:val="24"/>
              </w:rPr>
              <w:t>3.6</w:t>
            </w:r>
          </w:p>
        </w:tc>
      </w:tr>
      <w:tr w:rsidR="009A0A63" w:rsidRPr="00792B36" w14:paraId="339BB895" w14:textId="77777777" w:rsidTr="00A24459">
        <w:trPr>
          <w:trHeight w:val="340"/>
        </w:trPr>
        <w:tc>
          <w:tcPr>
            <w:tcW w:w="4463" w:type="dxa"/>
            <w:tcBorders>
              <w:top w:val="nil"/>
              <w:left w:val="single" w:sz="4" w:space="0" w:color="auto"/>
              <w:bottom w:val="single" w:sz="4" w:space="0" w:color="auto"/>
              <w:right w:val="single" w:sz="4" w:space="0" w:color="auto"/>
            </w:tcBorders>
            <w:noWrap/>
            <w:vAlign w:val="center"/>
          </w:tcPr>
          <w:p w14:paraId="04B4CAC9" w14:textId="77777777" w:rsidR="009A0A63" w:rsidRPr="00792B36" w:rsidRDefault="009A0A63" w:rsidP="00A24459">
            <w:pPr>
              <w:jc w:val="center"/>
              <w:rPr>
                <w:rFonts w:eastAsia="Times New Roman"/>
                <w:color w:val="000000"/>
                <w:sz w:val="24"/>
                <w:szCs w:val="24"/>
              </w:rPr>
            </w:pPr>
            <w:r w:rsidRPr="00792B36">
              <w:rPr>
                <w:color w:val="000000"/>
                <w:sz w:val="24"/>
                <w:szCs w:val="24"/>
              </w:rPr>
              <w:t>2011</w:t>
            </w:r>
          </w:p>
        </w:tc>
        <w:tc>
          <w:tcPr>
            <w:tcW w:w="4463" w:type="dxa"/>
            <w:tcBorders>
              <w:top w:val="nil"/>
              <w:left w:val="nil"/>
              <w:bottom w:val="single" w:sz="4" w:space="0" w:color="auto"/>
              <w:right w:val="single" w:sz="4" w:space="0" w:color="auto"/>
            </w:tcBorders>
            <w:noWrap/>
            <w:vAlign w:val="center"/>
          </w:tcPr>
          <w:p w14:paraId="26D424FD" w14:textId="77777777" w:rsidR="009A0A63" w:rsidRPr="00792B36" w:rsidRDefault="009A0A63" w:rsidP="00A24459">
            <w:pPr>
              <w:jc w:val="center"/>
              <w:rPr>
                <w:rFonts w:eastAsia="Times New Roman"/>
                <w:color w:val="000000"/>
                <w:sz w:val="24"/>
                <w:szCs w:val="24"/>
              </w:rPr>
            </w:pPr>
            <w:r w:rsidRPr="00792B36">
              <w:rPr>
                <w:color w:val="000000"/>
                <w:sz w:val="24"/>
                <w:szCs w:val="24"/>
              </w:rPr>
              <w:t>4.2</w:t>
            </w:r>
          </w:p>
        </w:tc>
      </w:tr>
      <w:tr w:rsidR="009A0A63" w:rsidRPr="00792B36" w14:paraId="10041E14" w14:textId="77777777" w:rsidTr="00A24459">
        <w:trPr>
          <w:trHeight w:val="340"/>
        </w:trPr>
        <w:tc>
          <w:tcPr>
            <w:tcW w:w="4463" w:type="dxa"/>
            <w:tcBorders>
              <w:top w:val="nil"/>
              <w:left w:val="single" w:sz="4" w:space="0" w:color="auto"/>
              <w:bottom w:val="single" w:sz="4" w:space="0" w:color="auto"/>
              <w:right w:val="single" w:sz="4" w:space="0" w:color="auto"/>
            </w:tcBorders>
            <w:noWrap/>
            <w:vAlign w:val="center"/>
          </w:tcPr>
          <w:p w14:paraId="7804E838" w14:textId="77777777" w:rsidR="009A0A63" w:rsidRPr="00792B36" w:rsidRDefault="009A0A63" w:rsidP="00A24459">
            <w:pPr>
              <w:jc w:val="center"/>
              <w:rPr>
                <w:rFonts w:eastAsia="Times New Roman"/>
                <w:color w:val="000000"/>
                <w:sz w:val="24"/>
                <w:szCs w:val="24"/>
              </w:rPr>
            </w:pPr>
            <w:r w:rsidRPr="00792B36">
              <w:rPr>
                <w:color w:val="000000"/>
                <w:sz w:val="24"/>
                <w:szCs w:val="24"/>
              </w:rPr>
              <w:t>2012</w:t>
            </w:r>
          </w:p>
        </w:tc>
        <w:tc>
          <w:tcPr>
            <w:tcW w:w="4463" w:type="dxa"/>
            <w:tcBorders>
              <w:top w:val="nil"/>
              <w:left w:val="nil"/>
              <w:bottom w:val="single" w:sz="4" w:space="0" w:color="auto"/>
              <w:right w:val="single" w:sz="4" w:space="0" w:color="auto"/>
            </w:tcBorders>
            <w:noWrap/>
            <w:vAlign w:val="center"/>
          </w:tcPr>
          <w:p w14:paraId="6F4DA01B" w14:textId="77777777" w:rsidR="009A0A63" w:rsidRPr="00792B36" w:rsidRDefault="009A0A63" w:rsidP="00A24459">
            <w:pPr>
              <w:jc w:val="center"/>
              <w:rPr>
                <w:rFonts w:eastAsia="Times New Roman"/>
                <w:color w:val="000000"/>
                <w:sz w:val="24"/>
                <w:szCs w:val="24"/>
              </w:rPr>
            </w:pPr>
            <w:r w:rsidRPr="00792B36">
              <w:rPr>
                <w:color w:val="000000"/>
                <w:sz w:val="24"/>
                <w:szCs w:val="24"/>
              </w:rPr>
              <w:t>4.7</w:t>
            </w:r>
          </w:p>
        </w:tc>
      </w:tr>
      <w:tr w:rsidR="009A0A63" w:rsidRPr="00792B36" w14:paraId="5BF193D5" w14:textId="77777777" w:rsidTr="00A24459">
        <w:trPr>
          <w:trHeight w:val="340"/>
        </w:trPr>
        <w:tc>
          <w:tcPr>
            <w:tcW w:w="4463" w:type="dxa"/>
            <w:tcBorders>
              <w:top w:val="nil"/>
              <w:left w:val="single" w:sz="4" w:space="0" w:color="auto"/>
              <w:bottom w:val="single" w:sz="4" w:space="0" w:color="auto"/>
              <w:right w:val="single" w:sz="4" w:space="0" w:color="auto"/>
            </w:tcBorders>
            <w:noWrap/>
            <w:vAlign w:val="center"/>
          </w:tcPr>
          <w:p w14:paraId="090298E5" w14:textId="77777777" w:rsidR="009A0A63" w:rsidRPr="00792B36" w:rsidRDefault="009A0A63" w:rsidP="00A24459">
            <w:pPr>
              <w:jc w:val="center"/>
              <w:rPr>
                <w:rFonts w:eastAsia="Times New Roman"/>
                <w:color w:val="000000"/>
                <w:sz w:val="24"/>
                <w:szCs w:val="24"/>
              </w:rPr>
            </w:pPr>
            <w:r w:rsidRPr="00792B36">
              <w:rPr>
                <w:color w:val="000000"/>
                <w:sz w:val="24"/>
                <w:szCs w:val="24"/>
              </w:rPr>
              <w:t>2013</w:t>
            </w:r>
          </w:p>
        </w:tc>
        <w:tc>
          <w:tcPr>
            <w:tcW w:w="4463" w:type="dxa"/>
            <w:tcBorders>
              <w:top w:val="nil"/>
              <w:left w:val="nil"/>
              <w:bottom w:val="single" w:sz="4" w:space="0" w:color="auto"/>
              <w:right w:val="single" w:sz="4" w:space="0" w:color="auto"/>
            </w:tcBorders>
            <w:noWrap/>
            <w:vAlign w:val="center"/>
          </w:tcPr>
          <w:p w14:paraId="43B04270" w14:textId="77777777" w:rsidR="009A0A63" w:rsidRPr="00792B36" w:rsidRDefault="009A0A63" w:rsidP="00A24459">
            <w:pPr>
              <w:jc w:val="center"/>
              <w:rPr>
                <w:rFonts w:eastAsia="Times New Roman"/>
                <w:color w:val="000000"/>
                <w:sz w:val="24"/>
                <w:szCs w:val="24"/>
              </w:rPr>
            </w:pPr>
            <w:r w:rsidRPr="00792B36">
              <w:rPr>
                <w:color w:val="000000"/>
                <w:sz w:val="24"/>
                <w:szCs w:val="24"/>
              </w:rPr>
              <w:t>5.3</w:t>
            </w:r>
          </w:p>
        </w:tc>
      </w:tr>
      <w:tr w:rsidR="009A0A63" w:rsidRPr="00792B36" w14:paraId="3CDF6AB7" w14:textId="77777777" w:rsidTr="00A24459">
        <w:trPr>
          <w:trHeight w:val="340"/>
        </w:trPr>
        <w:tc>
          <w:tcPr>
            <w:tcW w:w="4463" w:type="dxa"/>
            <w:tcBorders>
              <w:top w:val="nil"/>
              <w:left w:val="single" w:sz="4" w:space="0" w:color="auto"/>
              <w:bottom w:val="single" w:sz="4" w:space="0" w:color="auto"/>
              <w:right w:val="single" w:sz="4" w:space="0" w:color="auto"/>
            </w:tcBorders>
            <w:noWrap/>
            <w:vAlign w:val="center"/>
          </w:tcPr>
          <w:p w14:paraId="5DC147B7" w14:textId="77777777" w:rsidR="009A0A63" w:rsidRPr="00792B36" w:rsidRDefault="009A0A63" w:rsidP="00A24459">
            <w:pPr>
              <w:jc w:val="center"/>
              <w:rPr>
                <w:rFonts w:eastAsia="Times New Roman"/>
                <w:color w:val="000000"/>
                <w:sz w:val="24"/>
                <w:szCs w:val="24"/>
              </w:rPr>
            </w:pPr>
            <w:r w:rsidRPr="00792B36">
              <w:rPr>
                <w:color w:val="000000"/>
                <w:sz w:val="24"/>
                <w:szCs w:val="24"/>
              </w:rPr>
              <w:t>2014</w:t>
            </w:r>
          </w:p>
        </w:tc>
        <w:tc>
          <w:tcPr>
            <w:tcW w:w="4463" w:type="dxa"/>
            <w:tcBorders>
              <w:top w:val="nil"/>
              <w:left w:val="nil"/>
              <w:bottom w:val="single" w:sz="4" w:space="0" w:color="auto"/>
              <w:right w:val="single" w:sz="4" w:space="0" w:color="auto"/>
            </w:tcBorders>
            <w:noWrap/>
            <w:vAlign w:val="center"/>
          </w:tcPr>
          <w:p w14:paraId="5AE9228D" w14:textId="77777777" w:rsidR="009A0A63" w:rsidRPr="00792B36" w:rsidRDefault="009A0A63" w:rsidP="00A24459">
            <w:pPr>
              <w:jc w:val="center"/>
              <w:rPr>
                <w:rFonts w:eastAsia="Times New Roman"/>
                <w:color w:val="000000"/>
                <w:sz w:val="24"/>
                <w:szCs w:val="24"/>
              </w:rPr>
            </w:pPr>
            <w:r w:rsidRPr="00792B36">
              <w:rPr>
                <w:color w:val="000000"/>
                <w:sz w:val="24"/>
                <w:szCs w:val="24"/>
              </w:rPr>
              <w:t>5.2</w:t>
            </w:r>
          </w:p>
        </w:tc>
      </w:tr>
      <w:tr w:rsidR="009A0A63" w:rsidRPr="00792B36" w14:paraId="1654EF84" w14:textId="77777777" w:rsidTr="00A24459">
        <w:trPr>
          <w:trHeight w:val="340"/>
        </w:trPr>
        <w:tc>
          <w:tcPr>
            <w:tcW w:w="4463" w:type="dxa"/>
            <w:tcBorders>
              <w:top w:val="nil"/>
              <w:left w:val="single" w:sz="4" w:space="0" w:color="auto"/>
              <w:bottom w:val="single" w:sz="4" w:space="0" w:color="auto"/>
              <w:right w:val="single" w:sz="4" w:space="0" w:color="auto"/>
            </w:tcBorders>
            <w:noWrap/>
            <w:vAlign w:val="center"/>
          </w:tcPr>
          <w:p w14:paraId="620DD31B" w14:textId="77777777" w:rsidR="009A0A63" w:rsidRPr="00792B36" w:rsidRDefault="009A0A63" w:rsidP="00A24459">
            <w:pPr>
              <w:jc w:val="center"/>
              <w:rPr>
                <w:rFonts w:eastAsia="Times New Roman"/>
                <w:color w:val="000000"/>
                <w:sz w:val="24"/>
                <w:szCs w:val="24"/>
              </w:rPr>
            </w:pPr>
            <w:r w:rsidRPr="00792B36">
              <w:rPr>
                <w:color w:val="000000"/>
                <w:sz w:val="24"/>
                <w:szCs w:val="24"/>
              </w:rPr>
              <w:t>2015</w:t>
            </w:r>
          </w:p>
        </w:tc>
        <w:tc>
          <w:tcPr>
            <w:tcW w:w="4463" w:type="dxa"/>
            <w:tcBorders>
              <w:top w:val="nil"/>
              <w:left w:val="nil"/>
              <w:bottom w:val="single" w:sz="4" w:space="0" w:color="auto"/>
              <w:right w:val="single" w:sz="4" w:space="0" w:color="auto"/>
            </w:tcBorders>
            <w:noWrap/>
            <w:vAlign w:val="center"/>
          </w:tcPr>
          <w:p w14:paraId="4768B0D6" w14:textId="77777777" w:rsidR="009A0A63" w:rsidRPr="00792B36" w:rsidRDefault="009A0A63" w:rsidP="00A24459">
            <w:pPr>
              <w:jc w:val="center"/>
              <w:rPr>
                <w:rFonts w:eastAsia="Times New Roman"/>
                <w:color w:val="000000"/>
                <w:sz w:val="24"/>
                <w:szCs w:val="24"/>
              </w:rPr>
            </w:pPr>
            <w:r w:rsidRPr="00792B36">
              <w:rPr>
                <w:color w:val="000000"/>
                <w:sz w:val="24"/>
                <w:szCs w:val="24"/>
              </w:rPr>
              <w:t>6.2</w:t>
            </w:r>
          </w:p>
        </w:tc>
      </w:tr>
      <w:tr w:rsidR="009A0A63" w:rsidRPr="00792B36" w14:paraId="767C4371" w14:textId="77777777" w:rsidTr="00A24459">
        <w:trPr>
          <w:trHeight w:val="340"/>
        </w:trPr>
        <w:tc>
          <w:tcPr>
            <w:tcW w:w="4463" w:type="dxa"/>
            <w:tcBorders>
              <w:top w:val="nil"/>
              <w:left w:val="single" w:sz="4" w:space="0" w:color="auto"/>
              <w:bottom w:val="single" w:sz="4" w:space="0" w:color="auto"/>
              <w:right w:val="single" w:sz="4" w:space="0" w:color="auto"/>
            </w:tcBorders>
            <w:noWrap/>
            <w:vAlign w:val="center"/>
          </w:tcPr>
          <w:p w14:paraId="53755266" w14:textId="77777777" w:rsidR="009A0A63" w:rsidRPr="00792B36" w:rsidRDefault="009A0A63" w:rsidP="00A24459">
            <w:pPr>
              <w:jc w:val="center"/>
              <w:rPr>
                <w:rFonts w:eastAsia="Times New Roman"/>
                <w:color w:val="000000"/>
                <w:sz w:val="24"/>
                <w:szCs w:val="24"/>
              </w:rPr>
            </w:pPr>
            <w:r w:rsidRPr="00792B36">
              <w:rPr>
                <w:color w:val="000000"/>
                <w:sz w:val="24"/>
                <w:szCs w:val="24"/>
              </w:rPr>
              <w:t>2016</w:t>
            </w:r>
          </w:p>
        </w:tc>
        <w:tc>
          <w:tcPr>
            <w:tcW w:w="4463" w:type="dxa"/>
            <w:tcBorders>
              <w:top w:val="nil"/>
              <w:left w:val="nil"/>
              <w:bottom w:val="single" w:sz="4" w:space="0" w:color="auto"/>
              <w:right w:val="single" w:sz="4" w:space="0" w:color="auto"/>
            </w:tcBorders>
            <w:noWrap/>
            <w:vAlign w:val="center"/>
          </w:tcPr>
          <w:p w14:paraId="56E6FCC7" w14:textId="77777777" w:rsidR="009A0A63" w:rsidRPr="00792B36" w:rsidRDefault="009A0A63" w:rsidP="00A24459">
            <w:pPr>
              <w:jc w:val="center"/>
              <w:rPr>
                <w:rFonts w:eastAsia="Times New Roman"/>
                <w:color w:val="000000"/>
                <w:sz w:val="24"/>
                <w:szCs w:val="24"/>
              </w:rPr>
            </w:pPr>
            <w:r w:rsidRPr="00792B36">
              <w:rPr>
                <w:color w:val="000000"/>
                <w:sz w:val="24"/>
                <w:szCs w:val="24"/>
              </w:rPr>
              <w:t>5.9</w:t>
            </w:r>
          </w:p>
        </w:tc>
      </w:tr>
      <w:tr w:rsidR="009A0A63" w:rsidRPr="00792B36" w14:paraId="008112C2" w14:textId="77777777" w:rsidTr="00A24459">
        <w:trPr>
          <w:trHeight w:val="340"/>
        </w:trPr>
        <w:tc>
          <w:tcPr>
            <w:tcW w:w="4463" w:type="dxa"/>
            <w:tcBorders>
              <w:top w:val="nil"/>
              <w:left w:val="single" w:sz="4" w:space="0" w:color="auto"/>
              <w:bottom w:val="single" w:sz="4" w:space="0" w:color="auto"/>
              <w:right w:val="single" w:sz="4" w:space="0" w:color="auto"/>
            </w:tcBorders>
            <w:noWrap/>
            <w:vAlign w:val="center"/>
          </w:tcPr>
          <w:p w14:paraId="18344E7F" w14:textId="77777777" w:rsidR="009A0A63" w:rsidRPr="00792B36" w:rsidRDefault="009A0A63" w:rsidP="00A24459">
            <w:pPr>
              <w:jc w:val="center"/>
              <w:rPr>
                <w:rFonts w:eastAsia="Times New Roman"/>
                <w:color w:val="000000"/>
                <w:sz w:val="24"/>
                <w:szCs w:val="24"/>
              </w:rPr>
            </w:pPr>
            <w:r w:rsidRPr="00792B36">
              <w:rPr>
                <w:color w:val="000000"/>
                <w:sz w:val="24"/>
                <w:szCs w:val="24"/>
              </w:rPr>
              <w:t>2017</w:t>
            </w:r>
          </w:p>
        </w:tc>
        <w:tc>
          <w:tcPr>
            <w:tcW w:w="4463" w:type="dxa"/>
            <w:tcBorders>
              <w:top w:val="nil"/>
              <w:left w:val="nil"/>
              <w:bottom w:val="single" w:sz="4" w:space="0" w:color="auto"/>
              <w:right w:val="single" w:sz="4" w:space="0" w:color="auto"/>
            </w:tcBorders>
            <w:noWrap/>
            <w:vAlign w:val="center"/>
          </w:tcPr>
          <w:p w14:paraId="29B42F23" w14:textId="77777777" w:rsidR="009A0A63" w:rsidRPr="00792B36" w:rsidRDefault="009A0A63" w:rsidP="00A24459">
            <w:pPr>
              <w:jc w:val="center"/>
              <w:rPr>
                <w:rFonts w:eastAsia="Times New Roman"/>
                <w:color w:val="000000"/>
                <w:sz w:val="24"/>
                <w:szCs w:val="24"/>
              </w:rPr>
            </w:pPr>
            <w:r w:rsidRPr="00792B36">
              <w:rPr>
                <w:color w:val="000000"/>
                <w:sz w:val="24"/>
                <w:szCs w:val="24"/>
              </w:rPr>
              <w:t>7.4</w:t>
            </w:r>
          </w:p>
        </w:tc>
      </w:tr>
      <w:tr w:rsidR="009A0A63" w:rsidRPr="00792B36" w14:paraId="0D185DCD" w14:textId="77777777" w:rsidTr="00A24459">
        <w:trPr>
          <w:trHeight w:val="340"/>
        </w:trPr>
        <w:tc>
          <w:tcPr>
            <w:tcW w:w="4463" w:type="dxa"/>
            <w:tcBorders>
              <w:top w:val="nil"/>
              <w:left w:val="single" w:sz="4" w:space="0" w:color="auto"/>
              <w:bottom w:val="single" w:sz="4" w:space="0" w:color="auto"/>
              <w:right w:val="single" w:sz="4" w:space="0" w:color="auto"/>
            </w:tcBorders>
            <w:noWrap/>
            <w:vAlign w:val="center"/>
          </w:tcPr>
          <w:p w14:paraId="72B94310" w14:textId="77777777" w:rsidR="009A0A63" w:rsidRPr="00792B36" w:rsidRDefault="009A0A63" w:rsidP="00A24459">
            <w:pPr>
              <w:jc w:val="center"/>
              <w:rPr>
                <w:rFonts w:eastAsia="Times New Roman"/>
                <w:color w:val="000000"/>
                <w:sz w:val="24"/>
                <w:szCs w:val="24"/>
              </w:rPr>
            </w:pPr>
            <w:r w:rsidRPr="00792B36">
              <w:rPr>
                <w:color w:val="000000"/>
                <w:sz w:val="24"/>
                <w:szCs w:val="24"/>
              </w:rPr>
              <w:t>2018</w:t>
            </w:r>
          </w:p>
        </w:tc>
        <w:tc>
          <w:tcPr>
            <w:tcW w:w="4463" w:type="dxa"/>
            <w:tcBorders>
              <w:top w:val="nil"/>
              <w:left w:val="nil"/>
              <w:bottom w:val="single" w:sz="4" w:space="0" w:color="auto"/>
              <w:right w:val="single" w:sz="4" w:space="0" w:color="auto"/>
            </w:tcBorders>
            <w:noWrap/>
            <w:vAlign w:val="center"/>
          </w:tcPr>
          <w:p w14:paraId="484EAB8F" w14:textId="77777777" w:rsidR="009A0A63" w:rsidRPr="00792B36" w:rsidRDefault="009A0A63" w:rsidP="00A24459">
            <w:pPr>
              <w:jc w:val="center"/>
              <w:rPr>
                <w:rFonts w:eastAsia="Times New Roman"/>
                <w:color w:val="000000"/>
                <w:sz w:val="24"/>
                <w:szCs w:val="24"/>
              </w:rPr>
            </w:pPr>
            <w:r w:rsidRPr="00792B36">
              <w:rPr>
                <w:color w:val="000000"/>
                <w:sz w:val="24"/>
                <w:szCs w:val="24"/>
              </w:rPr>
              <w:t>7.4</w:t>
            </w:r>
          </w:p>
        </w:tc>
      </w:tr>
      <w:tr w:rsidR="009A0A63" w:rsidRPr="00792B36" w14:paraId="4CAD754A" w14:textId="77777777" w:rsidTr="00A24459">
        <w:trPr>
          <w:trHeight w:val="340"/>
        </w:trPr>
        <w:tc>
          <w:tcPr>
            <w:tcW w:w="4463" w:type="dxa"/>
            <w:tcBorders>
              <w:top w:val="nil"/>
              <w:left w:val="single" w:sz="4" w:space="0" w:color="auto"/>
              <w:bottom w:val="single" w:sz="4" w:space="0" w:color="auto"/>
              <w:right w:val="single" w:sz="4" w:space="0" w:color="auto"/>
            </w:tcBorders>
            <w:noWrap/>
            <w:vAlign w:val="center"/>
          </w:tcPr>
          <w:p w14:paraId="7AD33492" w14:textId="77777777" w:rsidR="009A0A63" w:rsidRPr="00792B36" w:rsidRDefault="009A0A63" w:rsidP="00A24459">
            <w:pPr>
              <w:jc w:val="center"/>
              <w:rPr>
                <w:rFonts w:eastAsia="Times New Roman"/>
                <w:color w:val="000000"/>
                <w:sz w:val="24"/>
                <w:szCs w:val="24"/>
              </w:rPr>
            </w:pPr>
            <w:r w:rsidRPr="00792B36">
              <w:rPr>
                <w:color w:val="000000"/>
                <w:sz w:val="24"/>
                <w:szCs w:val="24"/>
              </w:rPr>
              <w:t>2019</w:t>
            </w:r>
          </w:p>
        </w:tc>
        <w:tc>
          <w:tcPr>
            <w:tcW w:w="4463" w:type="dxa"/>
            <w:tcBorders>
              <w:top w:val="nil"/>
              <w:left w:val="nil"/>
              <w:bottom w:val="single" w:sz="4" w:space="0" w:color="auto"/>
              <w:right w:val="single" w:sz="4" w:space="0" w:color="auto"/>
            </w:tcBorders>
            <w:noWrap/>
            <w:vAlign w:val="center"/>
          </w:tcPr>
          <w:p w14:paraId="1394C099" w14:textId="77777777" w:rsidR="009A0A63" w:rsidRPr="00792B36" w:rsidRDefault="009A0A63" w:rsidP="00A24459">
            <w:pPr>
              <w:jc w:val="center"/>
              <w:rPr>
                <w:rFonts w:eastAsia="Times New Roman"/>
                <w:color w:val="000000"/>
                <w:sz w:val="24"/>
                <w:szCs w:val="24"/>
              </w:rPr>
            </w:pPr>
            <w:r w:rsidRPr="00792B36">
              <w:rPr>
                <w:color w:val="000000"/>
                <w:sz w:val="24"/>
                <w:szCs w:val="24"/>
              </w:rPr>
              <w:t>7.4</w:t>
            </w:r>
          </w:p>
        </w:tc>
      </w:tr>
      <w:tr w:rsidR="009A0A63" w:rsidRPr="00792B36" w14:paraId="773D6FA3" w14:textId="77777777" w:rsidTr="00A24459">
        <w:trPr>
          <w:trHeight w:val="340"/>
        </w:trPr>
        <w:tc>
          <w:tcPr>
            <w:tcW w:w="4463" w:type="dxa"/>
            <w:tcBorders>
              <w:top w:val="single" w:sz="4" w:space="0" w:color="auto"/>
              <w:left w:val="single" w:sz="4" w:space="0" w:color="auto"/>
              <w:bottom w:val="single" w:sz="4" w:space="0" w:color="auto"/>
              <w:right w:val="single" w:sz="4" w:space="0" w:color="auto"/>
            </w:tcBorders>
            <w:noWrap/>
            <w:vAlign w:val="center"/>
          </w:tcPr>
          <w:p w14:paraId="35796B34" w14:textId="77777777" w:rsidR="009A0A63" w:rsidRPr="00792B36" w:rsidRDefault="009A0A63" w:rsidP="00A24459">
            <w:pPr>
              <w:jc w:val="center"/>
              <w:rPr>
                <w:color w:val="000000"/>
                <w:sz w:val="24"/>
                <w:szCs w:val="24"/>
              </w:rPr>
            </w:pPr>
            <w:r w:rsidRPr="00792B36">
              <w:rPr>
                <w:color w:val="000000"/>
                <w:sz w:val="24"/>
                <w:szCs w:val="24"/>
              </w:rPr>
              <w:t>2020</w:t>
            </w:r>
          </w:p>
        </w:tc>
        <w:tc>
          <w:tcPr>
            <w:tcW w:w="4463" w:type="dxa"/>
            <w:tcBorders>
              <w:top w:val="single" w:sz="4" w:space="0" w:color="auto"/>
              <w:left w:val="nil"/>
              <w:bottom w:val="single" w:sz="4" w:space="0" w:color="auto"/>
              <w:right w:val="single" w:sz="4" w:space="0" w:color="auto"/>
            </w:tcBorders>
            <w:noWrap/>
            <w:vAlign w:val="center"/>
          </w:tcPr>
          <w:p w14:paraId="0E128322" w14:textId="77777777" w:rsidR="009A0A63" w:rsidRPr="00792B36" w:rsidRDefault="009A0A63" w:rsidP="00A24459">
            <w:pPr>
              <w:jc w:val="center"/>
              <w:rPr>
                <w:color w:val="000000"/>
                <w:sz w:val="24"/>
                <w:szCs w:val="24"/>
              </w:rPr>
            </w:pPr>
            <w:r w:rsidRPr="00792B36">
              <w:rPr>
                <w:color w:val="000000"/>
                <w:sz w:val="24"/>
                <w:szCs w:val="24"/>
              </w:rPr>
              <w:t>2.3</w:t>
            </w:r>
          </w:p>
        </w:tc>
      </w:tr>
      <w:tr w:rsidR="009A0A63" w:rsidRPr="00792B36" w14:paraId="384E3C49" w14:textId="77777777" w:rsidTr="00A24459">
        <w:trPr>
          <w:trHeight w:val="340"/>
        </w:trPr>
        <w:tc>
          <w:tcPr>
            <w:tcW w:w="4463" w:type="dxa"/>
            <w:tcBorders>
              <w:top w:val="single" w:sz="4" w:space="0" w:color="auto"/>
              <w:left w:val="single" w:sz="4" w:space="0" w:color="auto"/>
              <w:bottom w:val="single" w:sz="4" w:space="0" w:color="auto"/>
              <w:right w:val="single" w:sz="4" w:space="0" w:color="auto"/>
            </w:tcBorders>
            <w:noWrap/>
            <w:vAlign w:val="center"/>
          </w:tcPr>
          <w:p w14:paraId="0AF0BA94" w14:textId="77777777" w:rsidR="009A0A63" w:rsidRPr="00792B36" w:rsidRDefault="009A0A63" w:rsidP="00A24459">
            <w:pPr>
              <w:jc w:val="center"/>
              <w:rPr>
                <w:color w:val="000000"/>
                <w:sz w:val="24"/>
                <w:szCs w:val="24"/>
              </w:rPr>
            </w:pPr>
            <w:r w:rsidRPr="00792B36">
              <w:rPr>
                <w:color w:val="000000"/>
                <w:sz w:val="24"/>
                <w:szCs w:val="24"/>
              </w:rPr>
              <w:t>2021</w:t>
            </w:r>
          </w:p>
        </w:tc>
        <w:tc>
          <w:tcPr>
            <w:tcW w:w="4463" w:type="dxa"/>
            <w:tcBorders>
              <w:top w:val="single" w:sz="4" w:space="0" w:color="auto"/>
              <w:left w:val="nil"/>
              <w:bottom w:val="single" w:sz="4" w:space="0" w:color="auto"/>
              <w:right w:val="single" w:sz="4" w:space="0" w:color="auto"/>
            </w:tcBorders>
            <w:noWrap/>
            <w:vAlign w:val="center"/>
          </w:tcPr>
          <w:p w14:paraId="503264B4" w14:textId="77777777" w:rsidR="009A0A63" w:rsidRPr="00792B36" w:rsidRDefault="009A0A63" w:rsidP="00A24459">
            <w:pPr>
              <w:jc w:val="center"/>
              <w:rPr>
                <w:color w:val="000000"/>
                <w:sz w:val="24"/>
                <w:szCs w:val="24"/>
              </w:rPr>
            </w:pPr>
            <w:r w:rsidRPr="00792B36">
              <w:rPr>
                <w:color w:val="000000"/>
                <w:sz w:val="24"/>
                <w:szCs w:val="24"/>
              </w:rPr>
              <w:t>0.8</w:t>
            </w:r>
          </w:p>
        </w:tc>
      </w:tr>
    </w:tbl>
    <w:p w14:paraId="2C6B8FC4" w14:textId="77777777" w:rsidR="009A0A63" w:rsidRPr="00792B36" w:rsidRDefault="009A0A63" w:rsidP="009A0A63">
      <w:pPr>
        <w:spacing w:line="360" w:lineRule="auto"/>
        <w:contextualSpacing/>
        <w:rPr>
          <w:color w:val="000000" w:themeColor="text1"/>
          <w:sz w:val="24"/>
          <w:szCs w:val="24"/>
        </w:rPr>
      </w:pPr>
      <w:r w:rsidRPr="00792B36">
        <w:rPr>
          <w:color w:val="000000" w:themeColor="text1"/>
          <w:sz w:val="24"/>
          <w:szCs w:val="24"/>
        </w:rPr>
        <w:t xml:space="preserve">Source: Our World in Data. 2024.  Tourism’s contribution to GDP. </w:t>
      </w:r>
      <w:r w:rsidRPr="00792B36">
        <w:rPr>
          <w:sz w:val="24"/>
          <w:szCs w:val="24"/>
        </w:rPr>
        <w:fldChar w:fldCharType="begin"/>
      </w:r>
      <w:r w:rsidRPr="00792B36">
        <w:rPr>
          <w:sz w:val="24"/>
          <w:szCs w:val="24"/>
        </w:rPr>
        <w:instrText>HYPERLINK "https://www.unwto.org/tourism-statistics/economic-contribution-SDG" \t "_blank"</w:instrText>
      </w:r>
      <w:r w:rsidRPr="00792B36">
        <w:rPr>
          <w:sz w:val="24"/>
          <w:szCs w:val="24"/>
        </w:rPr>
      </w:r>
      <w:r w:rsidRPr="00792B36">
        <w:rPr>
          <w:sz w:val="24"/>
          <w:szCs w:val="24"/>
        </w:rPr>
        <w:fldChar w:fldCharType="separate"/>
      </w:r>
      <w:r w:rsidRPr="00792B36">
        <w:rPr>
          <w:rStyle w:val="Hyperlink"/>
          <w:color w:val="000000" w:themeColor="text1"/>
          <w:sz w:val="24"/>
          <w:szCs w:val="24"/>
        </w:rPr>
        <w:t>https://www.unwto.org/tourism-statistics/economic-contribution-SDG</w:t>
      </w:r>
      <w:r w:rsidRPr="00792B36">
        <w:rPr>
          <w:sz w:val="24"/>
          <w:szCs w:val="24"/>
        </w:rPr>
        <w:fldChar w:fldCharType="end"/>
      </w:r>
      <w:r w:rsidRPr="00792B36">
        <w:rPr>
          <w:color w:val="000000" w:themeColor="text1"/>
          <w:sz w:val="24"/>
          <w:szCs w:val="24"/>
        </w:rPr>
        <w:t xml:space="preserve"> (Accessed 25 June 2025)</w:t>
      </w:r>
    </w:p>
    <w:p w14:paraId="3577247A" w14:textId="77777777" w:rsidR="009A0A63" w:rsidRPr="00792B36" w:rsidRDefault="009A0A63" w:rsidP="009A0A63">
      <w:pPr>
        <w:pBdr>
          <w:top w:val="nil"/>
          <w:left w:val="nil"/>
          <w:bottom w:val="nil"/>
          <w:right w:val="nil"/>
          <w:between w:val="nil"/>
        </w:pBdr>
        <w:spacing w:line="360" w:lineRule="auto"/>
        <w:contextualSpacing/>
        <w:rPr>
          <w:color w:val="000000" w:themeColor="text1"/>
          <w:sz w:val="24"/>
          <w:szCs w:val="24"/>
        </w:rPr>
      </w:pPr>
    </w:p>
    <w:p w14:paraId="36BF20BB" w14:textId="77777777" w:rsidR="009A0A63" w:rsidRPr="00792B36" w:rsidRDefault="009A0A63" w:rsidP="009A0A63">
      <w:pPr>
        <w:spacing w:line="360" w:lineRule="auto"/>
        <w:rPr>
          <w:sz w:val="24"/>
          <w:szCs w:val="24"/>
        </w:rPr>
      </w:pPr>
    </w:p>
    <w:p w14:paraId="5D57798D" w14:textId="77777777" w:rsidR="009A0A63" w:rsidRPr="00792B36" w:rsidRDefault="009A0A63" w:rsidP="009A0A63">
      <w:pPr>
        <w:spacing w:line="360" w:lineRule="auto"/>
        <w:rPr>
          <w:sz w:val="24"/>
          <w:szCs w:val="24"/>
        </w:rPr>
      </w:pPr>
    </w:p>
    <w:p w14:paraId="7FDF0B55" w14:textId="77777777" w:rsidR="009A0A63" w:rsidRPr="00792B36" w:rsidRDefault="009A0A63" w:rsidP="009A0A63">
      <w:pPr>
        <w:spacing w:line="360" w:lineRule="auto"/>
        <w:rPr>
          <w:sz w:val="24"/>
          <w:szCs w:val="24"/>
        </w:rPr>
      </w:pPr>
    </w:p>
    <w:p w14:paraId="2AC2B869" w14:textId="77777777" w:rsidR="009A0A63" w:rsidRPr="00792B36" w:rsidRDefault="009A0A63" w:rsidP="009A0A63">
      <w:pPr>
        <w:spacing w:line="360" w:lineRule="auto"/>
        <w:rPr>
          <w:sz w:val="24"/>
          <w:szCs w:val="24"/>
        </w:rPr>
      </w:pPr>
    </w:p>
    <w:p w14:paraId="0B2969A4" w14:textId="77777777" w:rsidR="009A0A63" w:rsidRPr="00792B36" w:rsidRDefault="009A0A63" w:rsidP="009A0A63">
      <w:pPr>
        <w:spacing w:line="360" w:lineRule="auto"/>
        <w:contextualSpacing/>
        <w:rPr>
          <w:color w:val="000000" w:themeColor="text1"/>
          <w:sz w:val="24"/>
          <w:szCs w:val="24"/>
        </w:rPr>
      </w:pPr>
      <w:r w:rsidRPr="00792B36">
        <w:rPr>
          <w:b/>
          <w:bCs/>
          <w:sz w:val="24"/>
          <w:szCs w:val="24"/>
        </w:rPr>
        <w:lastRenderedPageBreak/>
        <w:t xml:space="preserve">Annex 2.15 </w:t>
      </w:r>
      <w:r w:rsidRPr="00792B36">
        <w:rPr>
          <w:iCs/>
          <w:color w:val="000000" w:themeColor="text1"/>
          <w:sz w:val="24"/>
          <w:szCs w:val="24"/>
        </w:rPr>
        <w:t>Number of tropical cyclones per year of Thailand (2000-2024) from Thai Meteorological Department (TMD) and EM-DAT</w:t>
      </w:r>
    </w:p>
    <w:tbl>
      <w:tblPr>
        <w:tblW w:w="8926" w:type="dxa"/>
        <w:tblLayout w:type="fixed"/>
        <w:tblLook w:val="04A0" w:firstRow="1" w:lastRow="0" w:firstColumn="1" w:lastColumn="0" w:noHBand="0" w:noVBand="1"/>
      </w:tblPr>
      <w:tblGrid>
        <w:gridCol w:w="2975"/>
        <w:gridCol w:w="2975"/>
        <w:gridCol w:w="2976"/>
      </w:tblGrid>
      <w:tr w:rsidR="009A0A63" w:rsidRPr="00792B36" w14:paraId="4576B208" w14:textId="77777777" w:rsidTr="00A24459">
        <w:trPr>
          <w:trHeight w:val="288"/>
        </w:trPr>
        <w:tc>
          <w:tcPr>
            <w:tcW w:w="2975" w:type="dxa"/>
            <w:tcBorders>
              <w:top w:val="single" w:sz="4" w:space="0" w:color="auto"/>
              <w:left w:val="single" w:sz="4" w:space="0" w:color="auto"/>
              <w:bottom w:val="single" w:sz="4" w:space="0" w:color="auto"/>
              <w:right w:val="single" w:sz="4" w:space="0" w:color="auto"/>
            </w:tcBorders>
            <w:noWrap/>
            <w:vAlign w:val="bottom"/>
            <w:hideMark/>
          </w:tcPr>
          <w:p w14:paraId="4EC675B8" w14:textId="77777777" w:rsidR="009A0A63" w:rsidRPr="00792B36" w:rsidRDefault="009A0A63" w:rsidP="00A24459">
            <w:pPr>
              <w:jc w:val="center"/>
              <w:rPr>
                <w:rFonts w:eastAsia="Times New Roman"/>
                <w:b/>
                <w:bCs/>
                <w:color w:val="000000"/>
                <w:sz w:val="24"/>
                <w:szCs w:val="24"/>
              </w:rPr>
            </w:pPr>
            <w:r w:rsidRPr="00792B36">
              <w:rPr>
                <w:rFonts w:eastAsia="Times New Roman"/>
                <w:b/>
                <w:bCs/>
                <w:color w:val="000000"/>
                <w:sz w:val="24"/>
                <w:szCs w:val="24"/>
              </w:rPr>
              <w:t>Year</w:t>
            </w:r>
          </w:p>
        </w:tc>
        <w:tc>
          <w:tcPr>
            <w:tcW w:w="2975" w:type="dxa"/>
            <w:tcBorders>
              <w:top w:val="single" w:sz="4" w:space="0" w:color="auto"/>
              <w:left w:val="nil"/>
              <w:bottom w:val="single" w:sz="4" w:space="0" w:color="auto"/>
              <w:right w:val="single" w:sz="4" w:space="0" w:color="auto"/>
            </w:tcBorders>
            <w:noWrap/>
            <w:vAlign w:val="bottom"/>
            <w:hideMark/>
          </w:tcPr>
          <w:p w14:paraId="2E9EF613" w14:textId="77777777" w:rsidR="009A0A63" w:rsidRPr="00792B36" w:rsidRDefault="009A0A63" w:rsidP="00A24459">
            <w:pPr>
              <w:jc w:val="center"/>
              <w:rPr>
                <w:rFonts w:eastAsia="Times New Roman"/>
                <w:b/>
                <w:bCs/>
                <w:color w:val="000000"/>
                <w:sz w:val="24"/>
                <w:szCs w:val="24"/>
              </w:rPr>
            </w:pPr>
            <w:r w:rsidRPr="00792B36">
              <w:rPr>
                <w:rFonts w:eastAsia="Times New Roman"/>
                <w:b/>
                <w:bCs/>
                <w:color w:val="000000"/>
                <w:sz w:val="24"/>
                <w:szCs w:val="24"/>
              </w:rPr>
              <w:t>TMD</w:t>
            </w:r>
          </w:p>
        </w:tc>
        <w:tc>
          <w:tcPr>
            <w:tcW w:w="2976" w:type="dxa"/>
            <w:tcBorders>
              <w:top w:val="single" w:sz="4" w:space="0" w:color="auto"/>
              <w:left w:val="nil"/>
              <w:bottom w:val="single" w:sz="4" w:space="0" w:color="auto"/>
              <w:right w:val="single" w:sz="4" w:space="0" w:color="auto"/>
            </w:tcBorders>
            <w:noWrap/>
            <w:vAlign w:val="bottom"/>
            <w:hideMark/>
          </w:tcPr>
          <w:p w14:paraId="235315C3" w14:textId="77777777" w:rsidR="009A0A63" w:rsidRPr="00792B36" w:rsidRDefault="009A0A63" w:rsidP="00A24459">
            <w:pPr>
              <w:jc w:val="center"/>
              <w:rPr>
                <w:rFonts w:eastAsia="Times New Roman"/>
                <w:b/>
                <w:bCs/>
                <w:color w:val="000000"/>
                <w:sz w:val="24"/>
                <w:szCs w:val="24"/>
              </w:rPr>
            </w:pPr>
            <w:r w:rsidRPr="00792B36">
              <w:rPr>
                <w:rFonts w:eastAsia="Times New Roman"/>
                <w:b/>
                <w:bCs/>
                <w:color w:val="000000"/>
                <w:sz w:val="24"/>
                <w:szCs w:val="24"/>
              </w:rPr>
              <w:t>EM-DAT</w:t>
            </w:r>
          </w:p>
        </w:tc>
      </w:tr>
      <w:tr w:rsidR="009A0A63" w:rsidRPr="00792B36" w14:paraId="23785F95" w14:textId="77777777" w:rsidTr="00A24459">
        <w:trPr>
          <w:trHeight w:val="288"/>
        </w:trPr>
        <w:tc>
          <w:tcPr>
            <w:tcW w:w="2975" w:type="dxa"/>
            <w:tcBorders>
              <w:top w:val="nil"/>
              <w:left w:val="single" w:sz="4" w:space="0" w:color="auto"/>
              <w:bottom w:val="single" w:sz="4" w:space="0" w:color="auto"/>
              <w:right w:val="single" w:sz="4" w:space="0" w:color="auto"/>
            </w:tcBorders>
            <w:noWrap/>
            <w:vAlign w:val="bottom"/>
            <w:hideMark/>
          </w:tcPr>
          <w:p w14:paraId="7598AEBA"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2000</w:t>
            </w:r>
          </w:p>
        </w:tc>
        <w:tc>
          <w:tcPr>
            <w:tcW w:w="2975" w:type="dxa"/>
            <w:tcBorders>
              <w:top w:val="nil"/>
              <w:left w:val="nil"/>
              <w:bottom w:val="single" w:sz="4" w:space="0" w:color="auto"/>
              <w:right w:val="single" w:sz="4" w:space="0" w:color="auto"/>
            </w:tcBorders>
            <w:noWrap/>
            <w:vAlign w:val="bottom"/>
            <w:hideMark/>
          </w:tcPr>
          <w:p w14:paraId="7D73FCE5"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3</w:t>
            </w:r>
          </w:p>
        </w:tc>
        <w:tc>
          <w:tcPr>
            <w:tcW w:w="2976" w:type="dxa"/>
            <w:tcBorders>
              <w:top w:val="nil"/>
              <w:left w:val="nil"/>
              <w:bottom w:val="single" w:sz="4" w:space="0" w:color="auto"/>
              <w:right w:val="single" w:sz="4" w:space="0" w:color="auto"/>
            </w:tcBorders>
            <w:noWrap/>
            <w:vAlign w:val="bottom"/>
            <w:hideMark/>
          </w:tcPr>
          <w:p w14:paraId="65B9C99C"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1</w:t>
            </w:r>
          </w:p>
        </w:tc>
      </w:tr>
      <w:tr w:rsidR="009A0A63" w:rsidRPr="00792B36" w14:paraId="05D5EF95" w14:textId="77777777" w:rsidTr="00A24459">
        <w:trPr>
          <w:trHeight w:val="288"/>
        </w:trPr>
        <w:tc>
          <w:tcPr>
            <w:tcW w:w="2975" w:type="dxa"/>
            <w:tcBorders>
              <w:top w:val="nil"/>
              <w:left w:val="single" w:sz="4" w:space="0" w:color="auto"/>
              <w:bottom w:val="single" w:sz="4" w:space="0" w:color="auto"/>
              <w:right w:val="single" w:sz="4" w:space="0" w:color="auto"/>
            </w:tcBorders>
            <w:noWrap/>
            <w:vAlign w:val="bottom"/>
            <w:hideMark/>
          </w:tcPr>
          <w:p w14:paraId="5BF79EE9"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2001</w:t>
            </w:r>
          </w:p>
        </w:tc>
        <w:tc>
          <w:tcPr>
            <w:tcW w:w="2975" w:type="dxa"/>
            <w:tcBorders>
              <w:top w:val="nil"/>
              <w:left w:val="nil"/>
              <w:bottom w:val="single" w:sz="4" w:space="0" w:color="auto"/>
              <w:right w:val="single" w:sz="4" w:space="0" w:color="auto"/>
            </w:tcBorders>
            <w:noWrap/>
            <w:vAlign w:val="bottom"/>
            <w:hideMark/>
          </w:tcPr>
          <w:p w14:paraId="45982AEF"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1</w:t>
            </w:r>
          </w:p>
        </w:tc>
        <w:tc>
          <w:tcPr>
            <w:tcW w:w="2976" w:type="dxa"/>
            <w:tcBorders>
              <w:top w:val="nil"/>
              <w:left w:val="nil"/>
              <w:bottom w:val="single" w:sz="4" w:space="0" w:color="auto"/>
              <w:right w:val="single" w:sz="4" w:space="0" w:color="auto"/>
            </w:tcBorders>
            <w:noWrap/>
            <w:vAlign w:val="bottom"/>
            <w:hideMark/>
          </w:tcPr>
          <w:p w14:paraId="79B3E7F1"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0</w:t>
            </w:r>
          </w:p>
        </w:tc>
      </w:tr>
      <w:tr w:rsidR="009A0A63" w:rsidRPr="00792B36" w14:paraId="6268BF8F" w14:textId="77777777" w:rsidTr="00A24459">
        <w:trPr>
          <w:trHeight w:val="288"/>
        </w:trPr>
        <w:tc>
          <w:tcPr>
            <w:tcW w:w="2975" w:type="dxa"/>
            <w:tcBorders>
              <w:top w:val="nil"/>
              <w:left w:val="single" w:sz="4" w:space="0" w:color="auto"/>
              <w:bottom w:val="single" w:sz="4" w:space="0" w:color="auto"/>
              <w:right w:val="single" w:sz="4" w:space="0" w:color="auto"/>
            </w:tcBorders>
            <w:noWrap/>
            <w:vAlign w:val="bottom"/>
            <w:hideMark/>
          </w:tcPr>
          <w:p w14:paraId="7B54D14F"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2002</w:t>
            </w:r>
          </w:p>
        </w:tc>
        <w:tc>
          <w:tcPr>
            <w:tcW w:w="2975" w:type="dxa"/>
            <w:tcBorders>
              <w:top w:val="nil"/>
              <w:left w:val="nil"/>
              <w:bottom w:val="single" w:sz="4" w:space="0" w:color="auto"/>
              <w:right w:val="single" w:sz="4" w:space="0" w:color="auto"/>
            </w:tcBorders>
            <w:noWrap/>
            <w:vAlign w:val="bottom"/>
            <w:hideMark/>
          </w:tcPr>
          <w:p w14:paraId="7FEECE03"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0</w:t>
            </w:r>
          </w:p>
        </w:tc>
        <w:tc>
          <w:tcPr>
            <w:tcW w:w="2976" w:type="dxa"/>
            <w:tcBorders>
              <w:top w:val="nil"/>
              <w:left w:val="nil"/>
              <w:bottom w:val="single" w:sz="4" w:space="0" w:color="auto"/>
              <w:right w:val="single" w:sz="4" w:space="0" w:color="auto"/>
            </w:tcBorders>
            <w:noWrap/>
            <w:vAlign w:val="bottom"/>
            <w:hideMark/>
          </w:tcPr>
          <w:p w14:paraId="07625522"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0</w:t>
            </w:r>
          </w:p>
        </w:tc>
      </w:tr>
      <w:tr w:rsidR="009A0A63" w:rsidRPr="00792B36" w14:paraId="72E50606" w14:textId="77777777" w:rsidTr="00A24459">
        <w:trPr>
          <w:trHeight w:val="288"/>
        </w:trPr>
        <w:tc>
          <w:tcPr>
            <w:tcW w:w="2975" w:type="dxa"/>
            <w:tcBorders>
              <w:top w:val="nil"/>
              <w:left w:val="single" w:sz="4" w:space="0" w:color="auto"/>
              <w:bottom w:val="single" w:sz="4" w:space="0" w:color="auto"/>
              <w:right w:val="single" w:sz="4" w:space="0" w:color="auto"/>
            </w:tcBorders>
            <w:noWrap/>
            <w:vAlign w:val="bottom"/>
            <w:hideMark/>
          </w:tcPr>
          <w:p w14:paraId="6789B25B"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2003</w:t>
            </w:r>
          </w:p>
        </w:tc>
        <w:tc>
          <w:tcPr>
            <w:tcW w:w="2975" w:type="dxa"/>
            <w:tcBorders>
              <w:top w:val="nil"/>
              <w:left w:val="nil"/>
              <w:bottom w:val="single" w:sz="4" w:space="0" w:color="auto"/>
              <w:right w:val="single" w:sz="4" w:space="0" w:color="auto"/>
            </w:tcBorders>
            <w:noWrap/>
            <w:vAlign w:val="bottom"/>
            <w:hideMark/>
          </w:tcPr>
          <w:p w14:paraId="288C2BFF"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2</w:t>
            </w:r>
          </w:p>
        </w:tc>
        <w:tc>
          <w:tcPr>
            <w:tcW w:w="2976" w:type="dxa"/>
            <w:tcBorders>
              <w:top w:val="nil"/>
              <w:left w:val="nil"/>
              <w:bottom w:val="single" w:sz="4" w:space="0" w:color="auto"/>
              <w:right w:val="single" w:sz="4" w:space="0" w:color="auto"/>
            </w:tcBorders>
            <w:noWrap/>
            <w:vAlign w:val="bottom"/>
            <w:hideMark/>
          </w:tcPr>
          <w:p w14:paraId="24808E6F"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0</w:t>
            </w:r>
          </w:p>
        </w:tc>
      </w:tr>
      <w:tr w:rsidR="009A0A63" w:rsidRPr="00792B36" w14:paraId="301EBF36" w14:textId="77777777" w:rsidTr="00A24459">
        <w:trPr>
          <w:trHeight w:val="288"/>
        </w:trPr>
        <w:tc>
          <w:tcPr>
            <w:tcW w:w="2975" w:type="dxa"/>
            <w:tcBorders>
              <w:top w:val="nil"/>
              <w:left w:val="single" w:sz="4" w:space="0" w:color="auto"/>
              <w:bottom w:val="single" w:sz="4" w:space="0" w:color="auto"/>
              <w:right w:val="single" w:sz="4" w:space="0" w:color="auto"/>
            </w:tcBorders>
            <w:noWrap/>
            <w:vAlign w:val="bottom"/>
            <w:hideMark/>
          </w:tcPr>
          <w:p w14:paraId="5724FBE1"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2004</w:t>
            </w:r>
          </w:p>
        </w:tc>
        <w:tc>
          <w:tcPr>
            <w:tcW w:w="2975" w:type="dxa"/>
            <w:tcBorders>
              <w:top w:val="nil"/>
              <w:left w:val="nil"/>
              <w:bottom w:val="single" w:sz="4" w:space="0" w:color="auto"/>
              <w:right w:val="single" w:sz="4" w:space="0" w:color="auto"/>
            </w:tcBorders>
            <w:noWrap/>
            <w:vAlign w:val="bottom"/>
            <w:hideMark/>
          </w:tcPr>
          <w:p w14:paraId="40DFCF90"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2</w:t>
            </w:r>
          </w:p>
        </w:tc>
        <w:tc>
          <w:tcPr>
            <w:tcW w:w="2976" w:type="dxa"/>
            <w:tcBorders>
              <w:top w:val="nil"/>
              <w:left w:val="nil"/>
              <w:bottom w:val="single" w:sz="4" w:space="0" w:color="auto"/>
              <w:right w:val="single" w:sz="4" w:space="0" w:color="auto"/>
            </w:tcBorders>
            <w:noWrap/>
            <w:vAlign w:val="bottom"/>
            <w:hideMark/>
          </w:tcPr>
          <w:p w14:paraId="652AA592"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1</w:t>
            </w:r>
          </w:p>
        </w:tc>
      </w:tr>
      <w:tr w:rsidR="009A0A63" w:rsidRPr="00792B36" w14:paraId="733F3596" w14:textId="77777777" w:rsidTr="00A24459">
        <w:trPr>
          <w:trHeight w:val="288"/>
        </w:trPr>
        <w:tc>
          <w:tcPr>
            <w:tcW w:w="2975" w:type="dxa"/>
            <w:tcBorders>
              <w:top w:val="nil"/>
              <w:left w:val="single" w:sz="4" w:space="0" w:color="auto"/>
              <w:bottom w:val="single" w:sz="4" w:space="0" w:color="auto"/>
              <w:right w:val="single" w:sz="4" w:space="0" w:color="auto"/>
            </w:tcBorders>
            <w:noWrap/>
            <w:vAlign w:val="bottom"/>
            <w:hideMark/>
          </w:tcPr>
          <w:p w14:paraId="269A470C"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2005</w:t>
            </w:r>
          </w:p>
        </w:tc>
        <w:tc>
          <w:tcPr>
            <w:tcW w:w="2975" w:type="dxa"/>
            <w:tcBorders>
              <w:top w:val="nil"/>
              <w:left w:val="nil"/>
              <w:bottom w:val="single" w:sz="4" w:space="0" w:color="auto"/>
              <w:right w:val="single" w:sz="4" w:space="0" w:color="auto"/>
            </w:tcBorders>
            <w:noWrap/>
            <w:vAlign w:val="bottom"/>
            <w:hideMark/>
          </w:tcPr>
          <w:p w14:paraId="07A45554"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3</w:t>
            </w:r>
          </w:p>
        </w:tc>
        <w:tc>
          <w:tcPr>
            <w:tcW w:w="2976" w:type="dxa"/>
            <w:tcBorders>
              <w:top w:val="nil"/>
              <w:left w:val="nil"/>
              <w:bottom w:val="single" w:sz="4" w:space="0" w:color="auto"/>
              <w:right w:val="single" w:sz="4" w:space="0" w:color="auto"/>
            </w:tcBorders>
            <w:noWrap/>
            <w:vAlign w:val="bottom"/>
            <w:hideMark/>
          </w:tcPr>
          <w:p w14:paraId="466A334F"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1</w:t>
            </w:r>
          </w:p>
        </w:tc>
      </w:tr>
      <w:tr w:rsidR="009A0A63" w:rsidRPr="00792B36" w14:paraId="20334CC5" w14:textId="77777777" w:rsidTr="00A24459">
        <w:trPr>
          <w:trHeight w:val="288"/>
        </w:trPr>
        <w:tc>
          <w:tcPr>
            <w:tcW w:w="2975" w:type="dxa"/>
            <w:tcBorders>
              <w:top w:val="nil"/>
              <w:left w:val="single" w:sz="4" w:space="0" w:color="auto"/>
              <w:bottom w:val="single" w:sz="4" w:space="0" w:color="auto"/>
              <w:right w:val="single" w:sz="4" w:space="0" w:color="auto"/>
            </w:tcBorders>
            <w:noWrap/>
            <w:vAlign w:val="bottom"/>
            <w:hideMark/>
          </w:tcPr>
          <w:p w14:paraId="5AF7BE2A"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2006</w:t>
            </w:r>
          </w:p>
        </w:tc>
        <w:tc>
          <w:tcPr>
            <w:tcW w:w="2975" w:type="dxa"/>
            <w:tcBorders>
              <w:top w:val="nil"/>
              <w:left w:val="nil"/>
              <w:bottom w:val="single" w:sz="4" w:space="0" w:color="auto"/>
              <w:right w:val="single" w:sz="4" w:space="0" w:color="auto"/>
            </w:tcBorders>
            <w:noWrap/>
            <w:vAlign w:val="bottom"/>
            <w:hideMark/>
          </w:tcPr>
          <w:p w14:paraId="6D474911"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2</w:t>
            </w:r>
          </w:p>
        </w:tc>
        <w:tc>
          <w:tcPr>
            <w:tcW w:w="2976" w:type="dxa"/>
            <w:tcBorders>
              <w:top w:val="nil"/>
              <w:left w:val="nil"/>
              <w:bottom w:val="single" w:sz="4" w:space="0" w:color="auto"/>
              <w:right w:val="single" w:sz="4" w:space="0" w:color="auto"/>
            </w:tcBorders>
            <w:noWrap/>
            <w:vAlign w:val="bottom"/>
            <w:hideMark/>
          </w:tcPr>
          <w:p w14:paraId="62CAFC06"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0</w:t>
            </w:r>
          </w:p>
        </w:tc>
      </w:tr>
      <w:tr w:rsidR="009A0A63" w:rsidRPr="00792B36" w14:paraId="4B36AB57" w14:textId="77777777" w:rsidTr="00A24459">
        <w:trPr>
          <w:trHeight w:val="288"/>
        </w:trPr>
        <w:tc>
          <w:tcPr>
            <w:tcW w:w="2975" w:type="dxa"/>
            <w:tcBorders>
              <w:top w:val="nil"/>
              <w:left w:val="single" w:sz="4" w:space="0" w:color="auto"/>
              <w:bottom w:val="single" w:sz="4" w:space="0" w:color="auto"/>
              <w:right w:val="single" w:sz="4" w:space="0" w:color="auto"/>
            </w:tcBorders>
            <w:noWrap/>
            <w:vAlign w:val="bottom"/>
            <w:hideMark/>
          </w:tcPr>
          <w:p w14:paraId="6B14EC31"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2007</w:t>
            </w:r>
          </w:p>
        </w:tc>
        <w:tc>
          <w:tcPr>
            <w:tcW w:w="2975" w:type="dxa"/>
            <w:tcBorders>
              <w:top w:val="nil"/>
              <w:left w:val="nil"/>
              <w:bottom w:val="single" w:sz="4" w:space="0" w:color="auto"/>
              <w:right w:val="single" w:sz="4" w:space="0" w:color="auto"/>
            </w:tcBorders>
            <w:noWrap/>
            <w:vAlign w:val="bottom"/>
            <w:hideMark/>
          </w:tcPr>
          <w:p w14:paraId="1CB610B5"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3</w:t>
            </w:r>
          </w:p>
        </w:tc>
        <w:tc>
          <w:tcPr>
            <w:tcW w:w="2976" w:type="dxa"/>
            <w:tcBorders>
              <w:top w:val="nil"/>
              <w:left w:val="nil"/>
              <w:bottom w:val="single" w:sz="4" w:space="0" w:color="auto"/>
              <w:right w:val="single" w:sz="4" w:space="0" w:color="auto"/>
            </w:tcBorders>
            <w:noWrap/>
            <w:vAlign w:val="bottom"/>
            <w:hideMark/>
          </w:tcPr>
          <w:p w14:paraId="0FABC1CE"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0</w:t>
            </w:r>
          </w:p>
        </w:tc>
      </w:tr>
      <w:tr w:rsidR="009A0A63" w:rsidRPr="00792B36" w14:paraId="3B360874" w14:textId="77777777" w:rsidTr="00A24459">
        <w:trPr>
          <w:trHeight w:val="288"/>
        </w:trPr>
        <w:tc>
          <w:tcPr>
            <w:tcW w:w="2975" w:type="dxa"/>
            <w:tcBorders>
              <w:top w:val="nil"/>
              <w:left w:val="single" w:sz="4" w:space="0" w:color="auto"/>
              <w:bottom w:val="single" w:sz="4" w:space="0" w:color="auto"/>
              <w:right w:val="single" w:sz="4" w:space="0" w:color="auto"/>
            </w:tcBorders>
            <w:noWrap/>
            <w:vAlign w:val="bottom"/>
            <w:hideMark/>
          </w:tcPr>
          <w:p w14:paraId="0B580898"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2008</w:t>
            </w:r>
          </w:p>
        </w:tc>
        <w:tc>
          <w:tcPr>
            <w:tcW w:w="2975" w:type="dxa"/>
            <w:tcBorders>
              <w:top w:val="nil"/>
              <w:left w:val="nil"/>
              <w:bottom w:val="single" w:sz="4" w:space="0" w:color="auto"/>
              <w:right w:val="single" w:sz="4" w:space="0" w:color="auto"/>
            </w:tcBorders>
            <w:noWrap/>
            <w:vAlign w:val="bottom"/>
            <w:hideMark/>
          </w:tcPr>
          <w:p w14:paraId="4B4E567B"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1</w:t>
            </w:r>
          </w:p>
        </w:tc>
        <w:tc>
          <w:tcPr>
            <w:tcW w:w="2976" w:type="dxa"/>
            <w:tcBorders>
              <w:top w:val="nil"/>
              <w:left w:val="nil"/>
              <w:bottom w:val="single" w:sz="4" w:space="0" w:color="auto"/>
              <w:right w:val="single" w:sz="4" w:space="0" w:color="auto"/>
            </w:tcBorders>
            <w:noWrap/>
            <w:vAlign w:val="bottom"/>
            <w:hideMark/>
          </w:tcPr>
          <w:p w14:paraId="17588D6B"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2</w:t>
            </w:r>
          </w:p>
        </w:tc>
      </w:tr>
      <w:tr w:rsidR="009A0A63" w:rsidRPr="00792B36" w14:paraId="76EEF273" w14:textId="77777777" w:rsidTr="00A24459">
        <w:trPr>
          <w:trHeight w:val="288"/>
        </w:trPr>
        <w:tc>
          <w:tcPr>
            <w:tcW w:w="2975" w:type="dxa"/>
            <w:tcBorders>
              <w:top w:val="nil"/>
              <w:left w:val="single" w:sz="4" w:space="0" w:color="auto"/>
              <w:bottom w:val="single" w:sz="4" w:space="0" w:color="auto"/>
              <w:right w:val="single" w:sz="4" w:space="0" w:color="auto"/>
            </w:tcBorders>
            <w:noWrap/>
            <w:vAlign w:val="bottom"/>
            <w:hideMark/>
          </w:tcPr>
          <w:p w14:paraId="22EF2807"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2009</w:t>
            </w:r>
          </w:p>
        </w:tc>
        <w:tc>
          <w:tcPr>
            <w:tcW w:w="2975" w:type="dxa"/>
            <w:tcBorders>
              <w:top w:val="nil"/>
              <w:left w:val="nil"/>
              <w:bottom w:val="single" w:sz="4" w:space="0" w:color="auto"/>
              <w:right w:val="single" w:sz="4" w:space="0" w:color="auto"/>
            </w:tcBorders>
            <w:noWrap/>
            <w:vAlign w:val="bottom"/>
            <w:hideMark/>
          </w:tcPr>
          <w:p w14:paraId="4BDF5EDF"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1</w:t>
            </w:r>
          </w:p>
        </w:tc>
        <w:tc>
          <w:tcPr>
            <w:tcW w:w="2976" w:type="dxa"/>
            <w:tcBorders>
              <w:top w:val="nil"/>
              <w:left w:val="nil"/>
              <w:bottom w:val="single" w:sz="4" w:space="0" w:color="auto"/>
              <w:right w:val="single" w:sz="4" w:space="0" w:color="auto"/>
            </w:tcBorders>
            <w:noWrap/>
            <w:vAlign w:val="bottom"/>
            <w:hideMark/>
          </w:tcPr>
          <w:p w14:paraId="5347720B"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0</w:t>
            </w:r>
          </w:p>
        </w:tc>
      </w:tr>
      <w:tr w:rsidR="009A0A63" w:rsidRPr="00792B36" w14:paraId="77BD79BB" w14:textId="77777777" w:rsidTr="00A24459">
        <w:trPr>
          <w:trHeight w:val="288"/>
        </w:trPr>
        <w:tc>
          <w:tcPr>
            <w:tcW w:w="2975" w:type="dxa"/>
            <w:tcBorders>
              <w:top w:val="nil"/>
              <w:left w:val="single" w:sz="4" w:space="0" w:color="auto"/>
              <w:bottom w:val="single" w:sz="4" w:space="0" w:color="auto"/>
              <w:right w:val="single" w:sz="4" w:space="0" w:color="auto"/>
            </w:tcBorders>
            <w:noWrap/>
            <w:vAlign w:val="bottom"/>
            <w:hideMark/>
          </w:tcPr>
          <w:p w14:paraId="47D8198B"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2010</w:t>
            </w:r>
          </w:p>
        </w:tc>
        <w:tc>
          <w:tcPr>
            <w:tcW w:w="2975" w:type="dxa"/>
            <w:tcBorders>
              <w:top w:val="nil"/>
              <w:left w:val="nil"/>
              <w:bottom w:val="single" w:sz="4" w:space="0" w:color="auto"/>
              <w:right w:val="single" w:sz="4" w:space="0" w:color="auto"/>
            </w:tcBorders>
            <w:noWrap/>
            <w:vAlign w:val="bottom"/>
            <w:hideMark/>
          </w:tcPr>
          <w:p w14:paraId="4858B566"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1</w:t>
            </w:r>
          </w:p>
        </w:tc>
        <w:tc>
          <w:tcPr>
            <w:tcW w:w="2976" w:type="dxa"/>
            <w:tcBorders>
              <w:top w:val="nil"/>
              <w:left w:val="nil"/>
              <w:bottom w:val="single" w:sz="4" w:space="0" w:color="auto"/>
              <w:right w:val="single" w:sz="4" w:space="0" w:color="auto"/>
            </w:tcBorders>
            <w:noWrap/>
            <w:vAlign w:val="bottom"/>
            <w:hideMark/>
          </w:tcPr>
          <w:p w14:paraId="0E33E3F9"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0</w:t>
            </w:r>
          </w:p>
        </w:tc>
      </w:tr>
      <w:tr w:rsidR="009A0A63" w:rsidRPr="00792B36" w14:paraId="71CE5EEA" w14:textId="77777777" w:rsidTr="00A24459">
        <w:trPr>
          <w:trHeight w:val="288"/>
        </w:trPr>
        <w:tc>
          <w:tcPr>
            <w:tcW w:w="2975" w:type="dxa"/>
            <w:tcBorders>
              <w:top w:val="nil"/>
              <w:left w:val="single" w:sz="4" w:space="0" w:color="auto"/>
              <w:bottom w:val="single" w:sz="4" w:space="0" w:color="auto"/>
              <w:right w:val="single" w:sz="4" w:space="0" w:color="auto"/>
            </w:tcBorders>
            <w:noWrap/>
            <w:vAlign w:val="bottom"/>
            <w:hideMark/>
          </w:tcPr>
          <w:p w14:paraId="3AF3F691"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2011</w:t>
            </w:r>
          </w:p>
        </w:tc>
        <w:tc>
          <w:tcPr>
            <w:tcW w:w="2975" w:type="dxa"/>
            <w:tcBorders>
              <w:top w:val="nil"/>
              <w:left w:val="nil"/>
              <w:bottom w:val="single" w:sz="4" w:space="0" w:color="auto"/>
              <w:right w:val="single" w:sz="4" w:space="0" w:color="auto"/>
            </w:tcBorders>
            <w:noWrap/>
            <w:vAlign w:val="bottom"/>
            <w:hideMark/>
          </w:tcPr>
          <w:p w14:paraId="3C46E747"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1</w:t>
            </w:r>
          </w:p>
        </w:tc>
        <w:tc>
          <w:tcPr>
            <w:tcW w:w="2976" w:type="dxa"/>
            <w:tcBorders>
              <w:top w:val="nil"/>
              <w:left w:val="nil"/>
              <w:bottom w:val="single" w:sz="4" w:space="0" w:color="auto"/>
              <w:right w:val="single" w:sz="4" w:space="0" w:color="auto"/>
            </w:tcBorders>
            <w:noWrap/>
            <w:vAlign w:val="bottom"/>
            <w:hideMark/>
          </w:tcPr>
          <w:p w14:paraId="07235707"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1</w:t>
            </w:r>
          </w:p>
        </w:tc>
      </w:tr>
      <w:tr w:rsidR="009A0A63" w:rsidRPr="00792B36" w14:paraId="44375FF8" w14:textId="77777777" w:rsidTr="00A24459">
        <w:trPr>
          <w:trHeight w:val="288"/>
        </w:trPr>
        <w:tc>
          <w:tcPr>
            <w:tcW w:w="2975" w:type="dxa"/>
            <w:tcBorders>
              <w:top w:val="nil"/>
              <w:left w:val="single" w:sz="4" w:space="0" w:color="auto"/>
              <w:bottom w:val="single" w:sz="4" w:space="0" w:color="auto"/>
              <w:right w:val="single" w:sz="4" w:space="0" w:color="auto"/>
            </w:tcBorders>
            <w:noWrap/>
            <w:vAlign w:val="bottom"/>
            <w:hideMark/>
          </w:tcPr>
          <w:p w14:paraId="151C19C4"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2012</w:t>
            </w:r>
          </w:p>
        </w:tc>
        <w:tc>
          <w:tcPr>
            <w:tcW w:w="2975" w:type="dxa"/>
            <w:tcBorders>
              <w:top w:val="nil"/>
              <w:left w:val="nil"/>
              <w:bottom w:val="single" w:sz="4" w:space="0" w:color="auto"/>
              <w:right w:val="single" w:sz="4" w:space="0" w:color="auto"/>
            </w:tcBorders>
            <w:noWrap/>
            <w:vAlign w:val="bottom"/>
            <w:hideMark/>
          </w:tcPr>
          <w:p w14:paraId="7215371D"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1</w:t>
            </w:r>
          </w:p>
        </w:tc>
        <w:tc>
          <w:tcPr>
            <w:tcW w:w="2976" w:type="dxa"/>
            <w:tcBorders>
              <w:top w:val="nil"/>
              <w:left w:val="nil"/>
              <w:bottom w:val="single" w:sz="4" w:space="0" w:color="auto"/>
              <w:right w:val="single" w:sz="4" w:space="0" w:color="auto"/>
            </w:tcBorders>
            <w:noWrap/>
            <w:vAlign w:val="bottom"/>
            <w:hideMark/>
          </w:tcPr>
          <w:p w14:paraId="32F0353E"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0</w:t>
            </w:r>
          </w:p>
        </w:tc>
      </w:tr>
      <w:tr w:rsidR="009A0A63" w:rsidRPr="00792B36" w14:paraId="5039E80E" w14:textId="77777777" w:rsidTr="00A24459">
        <w:trPr>
          <w:trHeight w:val="288"/>
        </w:trPr>
        <w:tc>
          <w:tcPr>
            <w:tcW w:w="2975" w:type="dxa"/>
            <w:tcBorders>
              <w:top w:val="nil"/>
              <w:left w:val="single" w:sz="4" w:space="0" w:color="auto"/>
              <w:bottom w:val="single" w:sz="4" w:space="0" w:color="auto"/>
              <w:right w:val="single" w:sz="4" w:space="0" w:color="auto"/>
            </w:tcBorders>
            <w:noWrap/>
            <w:vAlign w:val="bottom"/>
            <w:hideMark/>
          </w:tcPr>
          <w:p w14:paraId="1B697BC5"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2013</w:t>
            </w:r>
          </w:p>
        </w:tc>
        <w:tc>
          <w:tcPr>
            <w:tcW w:w="2975" w:type="dxa"/>
            <w:tcBorders>
              <w:top w:val="nil"/>
              <w:left w:val="nil"/>
              <w:bottom w:val="single" w:sz="4" w:space="0" w:color="auto"/>
              <w:right w:val="single" w:sz="4" w:space="0" w:color="auto"/>
            </w:tcBorders>
            <w:noWrap/>
            <w:vAlign w:val="bottom"/>
            <w:hideMark/>
          </w:tcPr>
          <w:p w14:paraId="38BE03C4"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2</w:t>
            </w:r>
          </w:p>
        </w:tc>
        <w:tc>
          <w:tcPr>
            <w:tcW w:w="2976" w:type="dxa"/>
            <w:tcBorders>
              <w:top w:val="nil"/>
              <w:left w:val="nil"/>
              <w:bottom w:val="single" w:sz="4" w:space="0" w:color="auto"/>
              <w:right w:val="single" w:sz="4" w:space="0" w:color="auto"/>
            </w:tcBorders>
            <w:noWrap/>
            <w:vAlign w:val="bottom"/>
            <w:hideMark/>
          </w:tcPr>
          <w:p w14:paraId="6CA34FD1"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0</w:t>
            </w:r>
          </w:p>
        </w:tc>
      </w:tr>
      <w:tr w:rsidR="009A0A63" w:rsidRPr="00792B36" w14:paraId="3BE8AABF" w14:textId="77777777" w:rsidTr="00A24459">
        <w:trPr>
          <w:trHeight w:val="288"/>
        </w:trPr>
        <w:tc>
          <w:tcPr>
            <w:tcW w:w="2975" w:type="dxa"/>
            <w:tcBorders>
              <w:top w:val="nil"/>
              <w:left w:val="single" w:sz="4" w:space="0" w:color="auto"/>
              <w:bottom w:val="single" w:sz="4" w:space="0" w:color="auto"/>
              <w:right w:val="single" w:sz="4" w:space="0" w:color="auto"/>
            </w:tcBorders>
            <w:noWrap/>
            <w:vAlign w:val="bottom"/>
            <w:hideMark/>
          </w:tcPr>
          <w:p w14:paraId="588846EA"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2014</w:t>
            </w:r>
          </w:p>
        </w:tc>
        <w:tc>
          <w:tcPr>
            <w:tcW w:w="2975" w:type="dxa"/>
            <w:tcBorders>
              <w:top w:val="nil"/>
              <w:left w:val="nil"/>
              <w:bottom w:val="single" w:sz="4" w:space="0" w:color="auto"/>
              <w:right w:val="single" w:sz="4" w:space="0" w:color="auto"/>
            </w:tcBorders>
            <w:noWrap/>
            <w:vAlign w:val="bottom"/>
            <w:hideMark/>
          </w:tcPr>
          <w:p w14:paraId="7F155313"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0</w:t>
            </w:r>
          </w:p>
        </w:tc>
        <w:tc>
          <w:tcPr>
            <w:tcW w:w="2976" w:type="dxa"/>
            <w:tcBorders>
              <w:top w:val="nil"/>
              <w:left w:val="nil"/>
              <w:bottom w:val="single" w:sz="4" w:space="0" w:color="auto"/>
              <w:right w:val="single" w:sz="4" w:space="0" w:color="auto"/>
            </w:tcBorders>
            <w:noWrap/>
            <w:vAlign w:val="bottom"/>
            <w:hideMark/>
          </w:tcPr>
          <w:p w14:paraId="7020F876"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0</w:t>
            </w:r>
          </w:p>
        </w:tc>
      </w:tr>
      <w:tr w:rsidR="009A0A63" w:rsidRPr="00792B36" w14:paraId="0685611F" w14:textId="77777777" w:rsidTr="00A24459">
        <w:trPr>
          <w:trHeight w:val="288"/>
        </w:trPr>
        <w:tc>
          <w:tcPr>
            <w:tcW w:w="2975" w:type="dxa"/>
            <w:tcBorders>
              <w:top w:val="nil"/>
              <w:left w:val="single" w:sz="4" w:space="0" w:color="auto"/>
              <w:bottom w:val="single" w:sz="4" w:space="0" w:color="auto"/>
              <w:right w:val="single" w:sz="4" w:space="0" w:color="auto"/>
            </w:tcBorders>
            <w:noWrap/>
            <w:vAlign w:val="bottom"/>
            <w:hideMark/>
          </w:tcPr>
          <w:p w14:paraId="67EB402B"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2015</w:t>
            </w:r>
          </w:p>
        </w:tc>
        <w:tc>
          <w:tcPr>
            <w:tcW w:w="2975" w:type="dxa"/>
            <w:tcBorders>
              <w:top w:val="nil"/>
              <w:left w:val="nil"/>
              <w:bottom w:val="single" w:sz="4" w:space="0" w:color="auto"/>
              <w:right w:val="single" w:sz="4" w:space="0" w:color="auto"/>
            </w:tcBorders>
            <w:noWrap/>
            <w:vAlign w:val="bottom"/>
            <w:hideMark/>
          </w:tcPr>
          <w:p w14:paraId="4709A935"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1</w:t>
            </w:r>
          </w:p>
        </w:tc>
        <w:tc>
          <w:tcPr>
            <w:tcW w:w="2976" w:type="dxa"/>
            <w:tcBorders>
              <w:top w:val="nil"/>
              <w:left w:val="nil"/>
              <w:bottom w:val="single" w:sz="4" w:space="0" w:color="auto"/>
              <w:right w:val="single" w:sz="4" w:space="0" w:color="auto"/>
            </w:tcBorders>
            <w:noWrap/>
            <w:vAlign w:val="bottom"/>
            <w:hideMark/>
          </w:tcPr>
          <w:p w14:paraId="58AD2C32"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1</w:t>
            </w:r>
          </w:p>
        </w:tc>
      </w:tr>
      <w:tr w:rsidR="009A0A63" w:rsidRPr="00792B36" w14:paraId="388D842A" w14:textId="77777777" w:rsidTr="00A24459">
        <w:trPr>
          <w:trHeight w:val="288"/>
        </w:trPr>
        <w:tc>
          <w:tcPr>
            <w:tcW w:w="2975" w:type="dxa"/>
            <w:tcBorders>
              <w:top w:val="nil"/>
              <w:left w:val="single" w:sz="4" w:space="0" w:color="auto"/>
              <w:bottom w:val="single" w:sz="4" w:space="0" w:color="auto"/>
              <w:right w:val="single" w:sz="4" w:space="0" w:color="auto"/>
            </w:tcBorders>
            <w:noWrap/>
            <w:vAlign w:val="bottom"/>
            <w:hideMark/>
          </w:tcPr>
          <w:p w14:paraId="45EB8567"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2016</w:t>
            </w:r>
          </w:p>
        </w:tc>
        <w:tc>
          <w:tcPr>
            <w:tcW w:w="2975" w:type="dxa"/>
            <w:tcBorders>
              <w:top w:val="nil"/>
              <w:left w:val="nil"/>
              <w:bottom w:val="single" w:sz="4" w:space="0" w:color="auto"/>
              <w:right w:val="single" w:sz="4" w:space="0" w:color="auto"/>
            </w:tcBorders>
            <w:noWrap/>
            <w:vAlign w:val="bottom"/>
            <w:hideMark/>
          </w:tcPr>
          <w:p w14:paraId="7769A186"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2</w:t>
            </w:r>
          </w:p>
        </w:tc>
        <w:tc>
          <w:tcPr>
            <w:tcW w:w="2976" w:type="dxa"/>
            <w:tcBorders>
              <w:top w:val="nil"/>
              <w:left w:val="nil"/>
              <w:bottom w:val="single" w:sz="4" w:space="0" w:color="auto"/>
              <w:right w:val="single" w:sz="4" w:space="0" w:color="auto"/>
            </w:tcBorders>
            <w:noWrap/>
            <w:vAlign w:val="bottom"/>
            <w:hideMark/>
          </w:tcPr>
          <w:p w14:paraId="2A667B1B"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0</w:t>
            </w:r>
          </w:p>
        </w:tc>
      </w:tr>
      <w:tr w:rsidR="009A0A63" w:rsidRPr="00792B36" w14:paraId="08405F0C" w14:textId="77777777" w:rsidTr="00A24459">
        <w:trPr>
          <w:trHeight w:val="288"/>
        </w:trPr>
        <w:tc>
          <w:tcPr>
            <w:tcW w:w="2975" w:type="dxa"/>
            <w:tcBorders>
              <w:top w:val="nil"/>
              <w:left w:val="single" w:sz="4" w:space="0" w:color="auto"/>
              <w:bottom w:val="single" w:sz="4" w:space="0" w:color="auto"/>
              <w:right w:val="single" w:sz="4" w:space="0" w:color="auto"/>
            </w:tcBorders>
            <w:noWrap/>
            <w:vAlign w:val="bottom"/>
            <w:hideMark/>
          </w:tcPr>
          <w:p w14:paraId="2814126E"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2017</w:t>
            </w:r>
          </w:p>
        </w:tc>
        <w:tc>
          <w:tcPr>
            <w:tcW w:w="2975" w:type="dxa"/>
            <w:tcBorders>
              <w:top w:val="nil"/>
              <w:left w:val="nil"/>
              <w:bottom w:val="single" w:sz="4" w:space="0" w:color="auto"/>
              <w:right w:val="single" w:sz="4" w:space="0" w:color="auto"/>
            </w:tcBorders>
            <w:noWrap/>
            <w:vAlign w:val="bottom"/>
            <w:hideMark/>
          </w:tcPr>
          <w:p w14:paraId="2513D144"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3</w:t>
            </w:r>
          </w:p>
        </w:tc>
        <w:tc>
          <w:tcPr>
            <w:tcW w:w="2976" w:type="dxa"/>
            <w:tcBorders>
              <w:top w:val="nil"/>
              <w:left w:val="nil"/>
              <w:bottom w:val="single" w:sz="4" w:space="0" w:color="auto"/>
              <w:right w:val="single" w:sz="4" w:space="0" w:color="auto"/>
            </w:tcBorders>
            <w:noWrap/>
            <w:vAlign w:val="bottom"/>
            <w:hideMark/>
          </w:tcPr>
          <w:p w14:paraId="044FE63D"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2</w:t>
            </w:r>
          </w:p>
        </w:tc>
      </w:tr>
      <w:tr w:rsidR="009A0A63" w:rsidRPr="00792B36" w14:paraId="4C61D54D" w14:textId="77777777" w:rsidTr="00A24459">
        <w:trPr>
          <w:trHeight w:val="288"/>
        </w:trPr>
        <w:tc>
          <w:tcPr>
            <w:tcW w:w="2975" w:type="dxa"/>
            <w:tcBorders>
              <w:top w:val="nil"/>
              <w:left w:val="single" w:sz="4" w:space="0" w:color="auto"/>
              <w:bottom w:val="single" w:sz="4" w:space="0" w:color="auto"/>
              <w:right w:val="single" w:sz="4" w:space="0" w:color="auto"/>
            </w:tcBorders>
            <w:noWrap/>
            <w:vAlign w:val="bottom"/>
            <w:hideMark/>
          </w:tcPr>
          <w:p w14:paraId="288AFB45"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2018</w:t>
            </w:r>
          </w:p>
        </w:tc>
        <w:tc>
          <w:tcPr>
            <w:tcW w:w="2975" w:type="dxa"/>
            <w:tcBorders>
              <w:top w:val="nil"/>
              <w:left w:val="nil"/>
              <w:bottom w:val="single" w:sz="4" w:space="0" w:color="auto"/>
              <w:right w:val="single" w:sz="4" w:space="0" w:color="auto"/>
            </w:tcBorders>
            <w:noWrap/>
            <w:vAlign w:val="bottom"/>
            <w:hideMark/>
          </w:tcPr>
          <w:p w14:paraId="76D64A79"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2</w:t>
            </w:r>
          </w:p>
        </w:tc>
        <w:tc>
          <w:tcPr>
            <w:tcW w:w="2976" w:type="dxa"/>
            <w:tcBorders>
              <w:top w:val="nil"/>
              <w:left w:val="nil"/>
              <w:bottom w:val="single" w:sz="4" w:space="0" w:color="auto"/>
              <w:right w:val="single" w:sz="4" w:space="0" w:color="auto"/>
            </w:tcBorders>
            <w:noWrap/>
            <w:vAlign w:val="bottom"/>
            <w:hideMark/>
          </w:tcPr>
          <w:p w14:paraId="15F3FDF1"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0</w:t>
            </w:r>
          </w:p>
        </w:tc>
      </w:tr>
      <w:tr w:rsidR="009A0A63" w:rsidRPr="00792B36" w14:paraId="270839BB" w14:textId="77777777" w:rsidTr="00A24459">
        <w:trPr>
          <w:trHeight w:val="288"/>
        </w:trPr>
        <w:tc>
          <w:tcPr>
            <w:tcW w:w="2975" w:type="dxa"/>
            <w:tcBorders>
              <w:top w:val="nil"/>
              <w:left w:val="single" w:sz="4" w:space="0" w:color="auto"/>
              <w:bottom w:val="single" w:sz="4" w:space="0" w:color="auto"/>
              <w:right w:val="single" w:sz="4" w:space="0" w:color="auto"/>
            </w:tcBorders>
            <w:noWrap/>
            <w:vAlign w:val="bottom"/>
            <w:hideMark/>
          </w:tcPr>
          <w:p w14:paraId="6040C123"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2019</w:t>
            </w:r>
          </w:p>
        </w:tc>
        <w:tc>
          <w:tcPr>
            <w:tcW w:w="2975" w:type="dxa"/>
            <w:tcBorders>
              <w:top w:val="nil"/>
              <w:left w:val="nil"/>
              <w:bottom w:val="single" w:sz="4" w:space="0" w:color="auto"/>
              <w:right w:val="single" w:sz="4" w:space="0" w:color="auto"/>
            </w:tcBorders>
            <w:noWrap/>
            <w:vAlign w:val="bottom"/>
            <w:hideMark/>
          </w:tcPr>
          <w:p w14:paraId="2F3E5793"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3</w:t>
            </w:r>
          </w:p>
        </w:tc>
        <w:tc>
          <w:tcPr>
            <w:tcW w:w="2976" w:type="dxa"/>
            <w:tcBorders>
              <w:top w:val="nil"/>
              <w:left w:val="nil"/>
              <w:bottom w:val="single" w:sz="4" w:space="0" w:color="auto"/>
              <w:right w:val="single" w:sz="4" w:space="0" w:color="auto"/>
            </w:tcBorders>
            <w:noWrap/>
            <w:vAlign w:val="bottom"/>
            <w:hideMark/>
          </w:tcPr>
          <w:p w14:paraId="05B25F8C"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1</w:t>
            </w:r>
          </w:p>
        </w:tc>
      </w:tr>
      <w:tr w:rsidR="009A0A63" w:rsidRPr="00792B36" w14:paraId="15FC74B4" w14:textId="77777777" w:rsidTr="00A24459">
        <w:trPr>
          <w:trHeight w:val="288"/>
        </w:trPr>
        <w:tc>
          <w:tcPr>
            <w:tcW w:w="2975" w:type="dxa"/>
            <w:tcBorders>
              <w:top w:val="nil"/>
              <w:left w:val="single" w:sz="4" w:space="0" w:color="auto"/>
              <w:bottom w:val="single" w:sz="4" w:space="0" w:color="auto"/>
              <w:right w:val="single" w:sz="4" w:space="0" w:color="auto"/>
            </w:tcBorders>
            <w:noWrap/>
            <w:vAlign w:val="bottom"/>
            <w:hideMark/>
          </w:tcPr>
          <w:p w14:paraId="019B736F"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2020</w:t>
            </w:r>
          </w:p>
        </w:tc>
        <w:tc>
          <w:tcPr>
            <w:tcW w:w="2975" w:type="dxa"/>
            <w:tcBorders>
              <w:top w:val="nil"/>
              <w:left w:val="nil"/>
              <w:bottom w:val="single" w:sz="4" w:space="0" w:color="auto"/>
              <w:right w:val="single" w:sz="4" w:space="0" w:color="auto"/>
            </w:tcBorders>
            <w:noWrap/>
            <w:vAlign w:val="bottom"/>
            <w:hideMark/>
          </w:tcPr>
          <w:p w14:paraId="43A81B27"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3</w:t>
            </w:r>
          </w:p>
        </w:tc>
        <w:tc>
          <w:tcPr>
            <w:tcW w:w="2976" w:type="dxa"/>
            <w:tcBorders>
              <w:top w:val="nil"/>
              <w:left w:val="nil"/>
              <w:bottom w:val="single" w:sz="4" w:space="0" w:color="auto"/>
              <w:right w:val="single" w:sz="4" w:space="0" w:color="auto"/>
            </w:tcBorders>
            <w:noWrap/>
            <w:vAlign w:val="bottom"/>
            <w:hideMark/>
          </w:tcPr>
          <w:p w14:paraId="232678FE"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3</w:t>
            </w:r>
          </w:p>
        </w:tc>
      </w:tr>
      <w:tr w:rsidR="009A0A63" w:rsidRPr="00792B36" w14:paraId="137D9C54" w14:textId="77777777" w:rsidTr="00A24459">
        <w:trPr>
          <w:trHeight w:val="288"/>
        </w:trPr>
        <w:tc>
          <w:tcPr>
            <w:tcW w:w="2975" w:type="dxa"/>
            <w:tcBorders>
              <w:top w:val="nil"/>
              <w:left w:val="single" w:sz="4" w:space="0" w:color="auto"/>
              <w:bottom w:val="single" w:sz="4" w:space="0" w:color="auto"/>
              <w:right w:val="single" w:sz="4" w:space="0" w:color="auto"/>
            </w:tcBorders>
            <w:noWrap/>
            <w:vAlign w:val="bottom"/>
            <w:hideMark/>
          </w:tcPr>
          <w:p w14:paraId="1115DB5C"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2021</w:t>
            </w:r>
          </w:p>
        </w:tc>
        <w:tc>
          <w:tcPr>
            <w:tcW w:w="2975" w:type="dxa"/>
            <w:tcBorders>
              <w:top w:val="nil"/>
              <w:left w:val="nil"/>
              <w:bottom w:val="single" w:sz="4" w:space="0" w:color="auto"/>
              <w:right w:val="single" w:sz="4" w:space="0" w:color="auto"/>
            </w:tcBorders>
            <w:noWrap/>
            <w:vAlign w:val="bottom"/>
            <w:hideMark/>
          </w:tcPr>
          <w:p w14:paraId="0E8D1438"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1</w:t>
            </w:r>
          </w:p>
        </w:tc>
        <w:tc>
          <w:tcPr>
            <w:tcW w:w="2976" w:type="dxa"/>
            <w:tcBorders>
              <w:top w:val="nil"/>
              <w:left w:val="nil"/>
              <w:bottom w:val="single" w:sz="4" w:space="0" w:color="auto"/>
              <w:right w:val="single" w:sz="4" w:space="0" w:color="auto"/>
            </w:tcBorders>
            <w:noWrap/>
            <w:vAlign w:val="bottom"/>
            <w:hideMark/>
          </w:tcPr>
          <w:p w14:paraId="554D59DF"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0</w:t>
            </w:r>
          </w:p>
        </w:tc>
      </w:tr>
      <w:tr w:rsidR="009A0A63" w:rsidRPr="00792B36" w14:paraId="05C162DB" w14:textId="77777777" w:rsidTr="00A24459">
        <w:trPr>
          <w:trHeight w:val="288"/>
        </w:trPr>
        <w:tc>
          <w:tcPr>
            <w:tcW w:w="2975" w:type="dxa"/>
            <w:tcBorders>
              <w:top w:val="nil"/>
              <w:left w:val="single" w:sz="4" w:space="0" w:color="auto"/>
              <w:bottom w:val="single" w:sz="4" w:space="0" w:color="auto"/>
              <w:right w:val="single" w:sz="4" w:space="0" w:color="auto"/>
            </w:tcBorders>
            <w:noWrap/>
            <w:vAlign w:val="bottom"/>
            <w:hideMark/>
          </w:tcPr>
          <w:p w14:paraId="54E2ED99"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2022</w:t>
            </w:r>
          </w:p>
        </w:tc>
        <w:tc>
          <w:tcPr>
            <w:tcW w:w="2975" w:type="dxa"/>
            <w:tcBorders>
              <w:top w:val="nil"/>
              <w:left w:val="nil"/>
              <w:bottom w:val="single" w:sz="4" w:space="0" w:color="auto"/>
              <w:right w:val="single" w:sz="4" w:space="0" w:color="auto"/>
            </w:tcBorders>
            <w:noWrap/>
            <w:vAlign w:val="bottom"/>
            <w:hideMark/>
          </w:tcPr>
          <w:p w14:paraId="20C1F16F"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1</w:t>
            </w:r>
          </w:p>
        </w:tc>
        <w:tc>
          <w:tcPr>
            <w:tcW w:w="2976" w:type="dxa"/>
            <w:tcBorders>
              <w:top w:val="nil"/>
              <w:left w:val="nil"/>
              <w:bottom w:val="single" w:sz="4" w:space="0" w:color="auto"/>
              <w:right w:val="single" w:sz="4" w:space="0" w:color="auto"/>
            </w:tcBorders>
            <w:noWrap/>
            <w:vAlign w:val="bottom"/>
            <w:hideMark/>
          </w:tcPr>
          <w:p w14:paraId="4B57E38D"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0</w:t>
            </w:r>
          </w:p>
        </w:tc>
      </w:tr>
      <w:tr w:rsidR="009A0A63" w:rsidRPr="00792B36" w14:paraId="309C15DB" w14:textId="77777777" w:rsidTr="00A24459">
        <w:trPr>
          <w:trHeight w:val="288"/>
        </w:trPr>
        <w:tc>
          <w:tcPr>
            <w:tcW w:w="2975" w:type="dxa"/>
            <w:tcBorders>
              <w:top w:val="nil"/>
              <w:left w:val="single" w:sz="4" w:space="0" w:color="auto"/>
              <w:bottom w:val="single" w:sz="4" w:space="0" w:color="auto"/>
              <w:right w:val="single" w:sz="4" w:space="0" w:color="auto"/>
            </w:tcBorders>
            <w:noWrap/>
            <w:vAlign w:val="bottom"/>
            <w:hideMark/>
          </w:tcPr>
          <w:p w14:paraId="66FA1BBC"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2023</w:t>
            </w:r>
          </w:p>
        </w:tc>
        <w:tc>
          <w:tcPr>
            <w:tcW w:w="2975" w:type="dxa"/>
            <w:tcBorders>
              <w:top w:val="nil"/>
              <w:left w:val="nil"/>
              <w:bottom w:val="single" w:sz="4" w:space="0" w:color="auto"/>
              <w:right w:val="single" w:sz="4" w:space="0" w:color="auto"/>
            </w:tcBorders>
            <w:noWrap/>
            <w:vAlign w:val="bottom"/>
            <w:hideMark/>
          </w:tcPr>
          <w:p w14:paraId="2406F3A2"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0</w:t>
            </w:r>
          </w:p>
        </w:tc>
        <w:tc>
          <w:tcPr>
            <w:tcW w:w="2976" w:type="dxa"/>
            <w:tcBorders>
              <w:top w:val="nil"/>
              <w:left w:val="nil"/>
              <w:bottom w:val="single" w:sz="4" w:space="0" w:color="auto"/>
              <w:right w:val="single" w:sz="4" w:space="0" w:color="auto"/>
            </w:tcBorders>
            <w:noWrap/>
            <w:vAlign w:val="bottom"/>
            <w:hideMark/>
          </w:tcPr>
          <w:p w14:paraId="39BD5CC0"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0</w:t>
            </w:r>
          </w:p>
        </w:tc>
      </w:tr>
      <w:tr w:rsidR="009A0A63" w:rsidRPr="00792B36" w14:paraId="0AD6C788" w14:textId="77777777" w:rsidTr="00A24459">
        <w:trPr>
          <w:trHeight w:val="288"/>
        </w:trPr>
        <w:tc>
          <w:tcPr>
            <w:tcW w:w="2975" w:type="dxa"/>
            <w:tcBorders>
              <w:top w:val="nil"/>
              <w:left w:val="single" w:sz="4" w:space="0" w:color="auto"/>
              <w:bottom w:val="single" w:sz="4" w:space="0" w:color="auto"/>
              <w:right w:val="single" w:sz="4" w:space="0" w:color="auto"/>
            </w:tcBorders>
            <w:noWrap/>
            <w:vAlign w:val="bottom"/>
            <w:hideMark/>
          </w:tcPr>
          <w:p w14:paraId="6EFF3FCF"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2024</w:t>
            </w:r>
          </w:p>
        </w:tc>
        <w:tc>
          <w:tcPr>
            <w:tcW w:w="2975" w:type="dxa"/>
            <w:tcBorders>
              <w:top w:val="nil"/>
              <w:left w:val="nil"/>
              <w:bottom w:val="single" w:sz="4" w:space="0" w:color="auto"/>
              <w:right w:val="single" w:sz="4" w:space="0" w:color="auto"/>
            </w:tcBorders>
            <w:noWrap/>
            <w:vAlign w:val="bottom"/>
            <w:hideMark/>
          </w:tcPr>
          <w:p w14:paraId="513FCC74"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1</w:t>
            </w:r>
          </w:p>
        </w:tc>
        <w:tc>
          <w:tcPr>
            <w:tcW w:w="2976" w:type="dxa"/>
            <w:tcBorders>
              <w:top w:val="nil"/>
              <w:left w:val="nil"/>
              <w:bottom w:val="single" w:sz="4" w:space="0" w:color="auto"/>
              <w:right w:val="single" w:sz="4" w:space="0" w:color="auto"/>
            </w:tcBorders>
            <w:noWrap/>
            <w:vAlign w:val="bottom"/>
            <w:hideMark/>
          </w:tcPr>
          <w:p w14:paraId="17935955"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1</w:t>
            </w:r>
          </w:p>
        </w:tc>
      </w:tr>
    </w:tbl>
    <w:p w14:paraId="6CB161FA" w14:textId="77777777" w:rsidR="009A0A63" w:rsidRPr="00792B36" w:rsidRDefault="009A0A63" w:rsidP="009A0A63">
      <w:pPr>
        <w:spacing w:line="360" w:lineRule="auto"/>
        <w:contextualSpacing/>
        <w:rPr>
          <w:color w:val="000000" w:themeColor="text1"/>
          <w:sz w:val="24"/>
          <w:szCs w:val="24"/>
        </w:rPr>
      </w:pPr>
      <w:r w:rsidRPr="00792B36">
        <w:rPr>
          <w:color w:val="000000" w:themeColor="text1"/>
          <w:sz w:val="24"/>
          <w:szCs w:val="24"/>
        </w:rPr>
        <w:t>Source: EM-DAT, CRED / UCLouvain. 2025. </w:t>
      </w:r>
      <w:r w:rsidRPr="00792B36">
        <w:rPr>
          <w:sz w:val="24"/>
          <w:szCs w:val="24"/>
        </w:rPr>
        <w:fldChar w:fldCharType="begin"/>
      </w:r>
      <w:r w:rsidRPr="00792B36">
        <w:rPr>
          <w:sz w:val="24"/>
          <w:szCs w:val="24"/>
        </w:rPr>
        <w:instrText>HYPERLINK "https://www.emdat.be/"</w:instrText>
      </w:r>
      <w:r w:rsidRPr="00792B36">
        <w:rPr>
          <w:sz w:val="24"/>
          <w:szCs w:val="24"/>
        </w:rPr>
      </w:r>
      <w:r w:rsidRPr="00792B36">
        <w:rPr>
          <w:sz w:val="24"/>
          <w:szCs w:val="24"/>
        </w:rPr>
        <w:fldChar w:fldCharType="separate"/>
      </w:r>
      <w:r w:rsidRPr="00792B36">
        <w:rPr>
          <w:rStyle w:val="Hyperlink"/>
          <w:color w:val="000000" w:themeColor="text1"/>
          <w:sz w:val="24"/>
          <w:szCs w:val="24"/>
        </w:rPr>
        <w:t>www.emdat.be</w:t>
      </w:r>
      <w:r w:rsidRPr="00792B36">
        <w:rPr>
          <w:sz w:val="24"/>
          <w:szCs w:val="24"/>
        </w:rPr>
        <w:fldChar w:fldCharType="end"/>
      </w:r>
      <w:r w:rsidRPr="00792B36">
        <w:rPr>
          <w:color w:val="000000" w:themeColor="text1"/>
          <w:sz w:val="24"/>
          <w:szCs w:val="24"/>
        </w:rPr>
        <w:t xml:space="preserve"> (Accessed 25 Jun 2025); TMD. 2025. Tropical Cyclones in Thailand (1951-2024). </w:t>
      </w:r>
    </w:p>
    <w:p w14:paraId="6C08AF26" w14:textId="77777777" w:rsidR="009A0A63" w:rsidRPr="00792B36" w:rsidRDefault="009A0A63" w:rsidP="009A0A63">
      <w:pPr>
        <w:spacing w:line="360" w:lineRule="auto"/>
        <w:rPr>
          <w:sz w:val="24"/>
          <w:szCs w:val="24"/>
        </w:rPr>
      </w:pPr>
    </w:p>
    <w:p w14:paraId="24344442" w14:textId="77777777" w:rsidR="009A0A63" w:rsidRPr="00792B36" w:rsidRDefault="009A0A63" w:rsidP="009A0A63">
      <w:pPr>
        <w:spacing w:line="360" w:lineRule="auto"/>
        <w:rPr>
          <w:sz w:val="24"/>
          <w:szCs w:val="24"/>
        </w:rPr>
      </w:pPr>
    </w:p>
    <w:p w14:paraId="042B70C5" w14:textId="77777777" w:rsidR="009A0A63" w:rsidRPr="00792B36" w:rsidRDefault="009A0A63" w:rsidP="009A0A63">
      <w:pPr>
        <w:spacing w:line="360" w:lineRule="auto"/>
        <w:rPr>
          <w:sz w:val="24"/>
          <w:szCs w:val="24"/>
        </w:rPr>
      </w:pPr>
    </w:p>
    <w:p w14:paraId="1191F269" w14:textId="77777777" w:rsidR="009A0A63" w:rsidRPr="00792B36" w:rsidRDefault="009A0A63" w:rsidP="009A0A63">
      <w:pPr>
        <w:spacing w:line="360" w:lineRule="auto"/>
        <w:rPr>
          <w:sz w:val="24"/>
          <w:szCs w:val="24"/>
        </w:rPr>
      </w:pPr>
    </w:p>
    <w:p w14:paraId="270D6C81" w14:textId="77777777" w:rsidR="009A0A63" w:rsidRPr="00792B36" w:rsidRDefault="009A0A63" w:rsidP="009A0A63">
      <w:pPr>
        <w:spacing w:line="360" w:lineRule="auto"/>
        <w:rPr>
          <w:sz w:val="24"/>
          <w:szCs w:val="24"/>
        </w:rPr>
      </w:pPr>
    </w:p>
    <w:p w14:paraId="490859D8" w14:textId="77777777" w:rsidR="009A0A63" w:rsidRPr="00792B36" w:rsidRDefault="009A0A63" w:rsidP="009A0A63">
      <w:pPr>
        <w:spacing w:line="360" w:lineRule="auto"/>
        <w:rPr>
          <w:sz w:val="24"/>
          <w:szCs w:val="24"/>
        </w:rPr>
      </w:pPr>
    </w:p>
    <w:p w14:paraId="606B8A29" w14:textId="77777777" w:rsidR="009A0A63" w:rsidRPr="00792B36" w:rsidRDefault="009A0A63" w:rsidP="009A0A63">
      <w:pPr>
        <w:spacing w:line="360" w:lineRule="auto"/>
        <w:rPr>
          <w:sz w:val="24"/>
          <w:szCs w:val="24"/>
        </w:rPr>
      </w:pPr>
    </w:p>
    <w:p w14:paraId="18A026CE" w14:textId="77777777" w:rsidR="009A0A63" w:rsidRPr="00792B36" w:rsidRDefault="009A0A63" w:rsidP="009A0A63">
      <w:pPr>
        <w:spacing w:line="360" w:lineRule="auto"/>
        <w:rPr>
          <w:sz w:val="24"/>
          <w:szCs w:val="24"/>
        </w:rPr>
      </w:pPr>
    </w:p>
    <w:p w14:paraId="52FD737E" w14:textId="77777777" w:rsidR="009A0A63" w:rsidRPr="00792B36" w:rsidRDefault="009A0A63" w:rsidP="009A0A63">
      <w:pPr>
        <w:spacing w:line="360" w:lineRule="auto"/>
        <w:rPr>
          <w:sz w:val="24"/>
          <w:szCs w:val="24"/>
        </w:rPr>
      </w:pPr>
    </w:p>
    <w:p w14:paraId="60448DA0" w14:textId="77777777" w:rsidR="009A0A63" w:rsidRPr="00792B36" w:rsidRDefault="009A0A63" w:rsidP="009A0A63">
      <w:pPr>
        <w:spacing w:line="360" w:lineRule="auto"/>
        <w:rPr>
          <w:sz w:val="24"/>
          <w:szCs w:val="24"/>
        </w:rPr>
      </w:pPr>
    </w:p>
    <w:p w14:paraId="40FA1FB2" w14:textId="77777777" w:rsidR="009A0A63" w:rsidRPr="00792B36" w:rsidRDefault="009A0A63" w:rsidP="009A0A63">
      <w:pPr>
        <w:spacing w:line="360" w:lineRule="auto"/>
        <w:rPr>
          <w:sz w:val="24"/>
          <w:szCs w:val="24"/>
        </w:rPr>
      </w:pPr>
    </w:p>
    <w:p w14:paraId="569ED112" w14:textId="77777777" w:rsidR="009A0A63" w:rsidRPr="00792B36" w:rsidRDefault="009A0A63" w:rsidP="009A0A63">
      <w:pPr>
        <w:spacing w:line="360" w:lineRule="auto"/>
        <w:contextualSpacing/>
        <w:rPr>
          <w:color w:val="000000" w:themeColor="text1"/>
          <w:sz w:val="24"/>
          <w:szCs w:val="24"/>
        </w:rPr>
      </w:pPr>
      <w:r w:rsidRPr="00792B36">
        <w:rPr>
          <w:b/>
          <w:bCs/>
          <w:sz w:val="24"/>
          <w:szCs w:val="24"/>
        </w:rPr>
        <w:lastRenderedPageBreak/>
        <w:t xml:space="preserve">Annex 2.16 </w:t>
      </w:r>
      <w:r w:rsidRPr="00792B36">
        <w:rPr>
          <w:iCs/>
          <w:color w:val="000000" w:themeColor="text1"/>
          <w:spacing w:val="-6"/>
          <w:sz w:val="24"/>
          <w:szCs w:val="24"/>
        </w:rPr>
        <w:t>Number of deaths from tropical cyclones per year of Thailand (2000-2024)</w:t>
      </w:r>
    </w:p>
    <w:tbl>
      <w:tblPr>
        <w:tblW w:w="90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533"/>
        <w:gridCol w:w="4534"/>
      </w:tblGrid>
      <w:tr w:rsidR="009A0A63" w:rsidRPr="00792B36" w14:paraId="0322979A" w14:textId="77777777" w:rsidTr="00A24459">
        <w:trPr>
          <w:trHeight w:val="340"/>
        </w:trPr>
        <w:tc>
          <w:tcPr>
            <w:tcW w:w="4533" w:type="dxa"/>
            <w:noWrap/>
            <w:vAlign w:val="center"/>
            <w:hideMark/>
          </w:tcPr>
          <w:p w14:paraId="25C77E7A" w14:textId="77777777" w:rsidR="009A0A63" w:rsidRPr="00792B36" w:rsidRDefault="009A0A63" w:rsidP="00A24459">
            <w:pPr>
              <w:jc w:val="center"/>
              <w:rPr>
                <w:rFonts w:eastAsia="Times New Roman"/>
                <w:b/>
                <w:bCs/>
                <w:color w:val="000000"/>
                <w:sz w:val="24"/>
                <w:szCs w:val="24"/>
              </w:rPr>
            </w:pPr>
            <w:r w:rsidRPr="00792B36">
              <w:rPr>
                <w:rFonts w:eastAsia="Times New Roman"/>
                <w:b/>
                <w:bCs/>
                <w:color w:val="000000"/>
                <w:sz w:val="24"/>
                <w:szCs w:val="24"/>
              </w:rPr>
              <w:t>Year</w:t>
            </w:r>
          </w:p>
        </w:tc>
        <w:tc>
          <w:tcPr>
            <w:tcW w:w="4534" w:type="dxa"/>
            <w:noWrap/>
            <w:vAlign w:val="center"/>
            <w:hideMark/>
          </w:tcPr>
          <w:p w14:paraId="714BC71D" w14:textId="77777777" w:rsidR="009A0A63" w:rsidRPr="00792B36" w:rsidRDefault="009A0A63" w:rsidP="00A24459">
            <w:pPr>
              <w:jc w:val="center"/>
              <w:rPr>
                <w:rFonts w:eastAsia="Times New Roman"/>
                <w:b/>
                <w:bCs/>
                <w:color w:val="000000"/>
                <w:sz w:val="24"/>
                <w:szCs w:val="24"/>
              </w:rPr>
            </w:pPr>
            <w:r w:rsidRPr="00792B36">
              <w:rPr>
                <w:rFonts w:eastAsia="Times New Roman"/>
                <w:b/>
                <w:bCs/>
                <w:color w:val="000000"/>
                <w:sz w:val="24"/>
                <w:szCs w:val="24"/>
              </w:rPr>
              <w:t>Total Deaths</w:t>
            </w:r>
          </w:p>
        </w:tc>
      </w:tr>
      <w:tr w:rsidR="009A0A63" w:rsidRPr="00792B36" w14:paraId="1E88D657" w14:textId="77777777" w:rsidTr="00A24459">
        <w:trPr>
          <w:trHeight w:val="340"/>
        </w:trPr>
        <w:tc>
          <w:tcPr>
            <w:tcW w:w="4533" w:type="dxa"/>
            <w:noWrap/>
            <w:vAlign w:val="center"/>
            <w:hideMark/>
          </w:tcPr>
          <w:p w14:paraId="611EB05B"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2000</w:t>
            </w:r>
          </w:p>
        </w:tc>
        <w:tc>
          <w:tcPr>
            <w:tcW w:w="4534" w:type="dxa"/>
            <w:noWrap/>
            <w:vAlign w:val="center"/>
            <w:hideMark/>
          </w:tcPr>
          <w:p w14:paraId="716082DA"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2</w:t>
            </w:r>
          </w:p>
        </w:tc>
      </w:tr>
      <w:tr w:rsidR="009A0A63" w:rsidRPr="00792B36" w14:paraId="26386DD7" w14:textId="77777777" w:rsidTr="00A24459">
        <w:trPr>
          <w:trHeight w:val="340"/>
        </w:trPr>
        <w:tc>
          <w:tcPr>
            <w:tcW w:w="4533" w:type="dxa"/>
            <w:noWrap/>
            <w:vAlign w:val="center"/>
            <w:hideMark/>
          </w:tcPr>
          <w:p w14:paraId="029385BA"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2004</w:t>
            </w:r>
          </w:p>
        </w:tc>
        <w:tc>
          <w:tcPr>
            <w:tcW w:w="4534" w:type="dxa"/>
            <w:noWrap/>
            <w:vAlign w:val="center"/>
            <w:hideMark/>
          </w:tcPr>
          <w:p w14:paraId="707DD3EF"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1</w:t>
            </w:r>
          </w:p>
        </w:tc>
      </w:tr>
      <w:tr w:rsidR="009A0A63" w:rsidRPr="00792B36" w14:paraId="72B86C97" w14:textId="77777777" w:rsidTr="00A24459">
        <w:trPr>
          <w:trHeight w:val="340"/>
        </w:trPr>
        <w:tc>
          <w:tcPr>
            <w:tcW w:w="4533" w:type="dxa"/>
            <w:noWrap/>
            <w:vAlign w:val="center"/>
            <w:hideMark/>
          </w:tcPr>
          <w:p w14:paraId="5DDA9ECE"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2005</w:t>
            </w:r>
          </w:p>
        </w:tc>
        <w:tc>
          <w:tcPr>
            <w:tcW w:w="4534" w:type="dxa"/>
            <w:noWrap/>
            <w:vAlign w:val="center"/>
            <w:hideMark/>
          </w:tcPr>
          <w:p w14:paraId="270B2C8A"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10</w:t>
            </w:r>
          </w:p>
        </w:tc>
      </w:tr>
      <w:tr w:rsidR="009A0A63" w:rsidRPr="00792B36" w14:paraId="281B9834" w14:textId="77777777" w:rsidTr="00A24459">
        <w:trPr>
          <w:trHeight w:val="340"/>
        </w:trPr>
        <w:tc>
          <w:tcPr>
            <w:tcW w:w="4533" w:type="dxa"/>
            <w:noWrap/>
            <w:vAlign w:val="center"/>
            <w:hideMark/>
          </w:tcPr>
          <w:p w14:paraId="282AE17B"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2008</w:t>
            </w:r>
          </w:p>
        </w:tc>
        <w:tc>
          <w:tcPr>
            <w:tcW w:w="4534" w:type="dxa"/>
            <w:noWrap/>
            <w:vAlign w:val="center"/>
            <w:hideMark/>
          </w:tcPr>
          <w:p w14:paraId="1018F27E"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0</w:t>
            </w:r>
          </w:p>
        </w:tc>
      </w:tr>
      <w:tr w:rsidR="009A0A63" w:rsidRPr="00792B36" w14:paraId="46250B5F" w14:textId="77777777" w:rsidTr="00A24459">
        <w:trPr>
          <w:trHeight w:val="340"/>
        </w:trPr>
        <w:tc>
          <w:tcPr>
            <w:tcW w:w="4533" w:type="dxa"/>
            <w:noWrap/>
            <w:vAlign w:val="center"/>
            <w:hideMark/>
          </w:tcPr>
          <w:p w14:paraId="45AAC0DB"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2011</w:t>
            </w:r>
          </w:p>
        </w:tc>
        <w:tc>
          <w:tcPr>
            <w:tcW w:w="4534" w:type="dxa"/>
            <w:noWrap/>
            <w:vAlign w:val="center"/>
            <w:hideMark/>
          </w:tcPr>
          <w:p w14:paraId="42B573B7"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18</w:t>
            </w:r>
          </w:p>
        </w:tc>
      </w:tr>
      <w:tr w:rsidR="009A0A63" w:rsidRPr="00792B36" w14:paraId="242468EF" w14:textId="77777777" w:rsidTr="00A24459">
        <w:trPr>
          <w:trHeight w:val="340"/>
        </w:trPr>
        <w:tc>
          <w:tcPr>
            <w:tcW w:w="4533" w:type="dxa"/>
            <w:noWrap/>
            <w:vAlign w:val="center"/>
            <w:hideMark/>
          </w:tcPr>
          <w:p w14:paraId="163217D4"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2015</w:t>
            </w:r>
          </w:p>
        </w:tc>
        <w:tc>
          <w:tcPr>
            <w:tcW w:w="4534" w:type="dxa"/>
            <w:noWrap/>
            <w:vAlign w:val="center"/>
            <w:hideMark/>
          </w:tcPr>
          <w:p w14:paraId="1AC8CB1A"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3</w:t>
            </w:r>
          </w:p>
        </w:tc>
      </w:tr>
      <w:tr w:rsidR="009A0A63" w:rsidRPr="00792B36" w14:paraId="63C2713C" w14:textId="77777777" w:rsidTr="00A24459">
        <w:trPr>
          <w:trHeight w:val="340"/>
        </w:trPr>
        <w:tc>
          <w:tcPr>
            <w:tcW w:w="4533" w:type="dxa"/>
            <w:noWrap/>
            <w:vAlign w:val="center"/>
            <w:hideMark/>
          </w:tcPr>
          <w:p w14:paraId="23DA4D0D"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2017</w:t>
            </w:r>
          </w:p>
        </w:tc>
        <w:tc>
          <w:tcPr>
            <w:tcW w:w="4534" w:type="dxa"/>
            <w:noWrap/>
            <w:vAlign w:val="center"/>
            <w:hideMark/>
          </w:tcPr>
          <w:p w14:paraId="08CAB65B"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0</w:t>
            </w:r>
          </w:p>
        </w:tc>
      </w:tr>
      <w:tr w:rsidR="009A0A63" w:rsidRPr="00792B36" w14:paraId="1BD1C15B" w14:textId="77777777" w:rsidTr="00A24459">
        <w:trPr>
          <w:trHeight w:val="340"/>
        </w:trPr>
        <w:tc>
          <w:tcPr>
            <w:tcW w:w="4533" w:type="dxa"/>
            <w:noWrap/>
            <w:vAlign w:val="center"/>
            <w:hideMark/>
          </w:tcPr>
          <w:p w14:paraId="357F0322"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2019</w:t>
            </w:r>
          </w:p>
        </w:tc>
        <w:tc>
          <w:tcPr>
            <w:tcW w:w="4534" w:type="dxa"/>
            <w:noWrap/>
            <w:vAlign w:val="center"/>
            <w:hideMark/>
          </w:tcPr>
          <w:p w14:paraId="64A7FE40"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7</w:t>
            </w:r>
          </w:p>
        </w:tc>
      </w:tr>
      <w:tr w:rsidR="009A0A63" w:rsidRPr="00792B36" w14:paraId="781BB2D3" w14:textId="77777777" w:rsidTr="00A24459">
        <w:trPr>
          <w:trHeight w:val="340"/>
        </w:trPr>
        <w:tc>
          <w:tcPr>
            <w:tcW w:w="4533" w:type="dxa"/>
            <w:noWrap/>
            <w:vAlign w:val="center"/>
            <w:hideMark/>
          </w:tcPr>
          <w:p w14:paraId="58F38D4F"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2020</w:t>
            </w:r>
          </w:p>
        </w:tc>
        <w:tc>
          <w:tcPr>
            <w:tcW w:w="4534" w:type="dxa"/>
            <w:noWrap/>
            <w:vAlign w:val="center"/>
            <w:hideMark/>
          </w:tcPr>
          <w:p w14:paraId="1280F3F5"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11</w:t>
            </w:r>
          </w:p>
        </w:tc>
      </w:tr>
      <w:tr w:rsidR="009A0A63" w:rsidRPr="00792B36" w14:paraId="191E6EA8" w14:textId="77777777" w:rsidTr="00A24459">
        <w:trPr>
          <w:trHeight w:val="340"/>
        </w:trPr>
        <w:tc>
          <w:tcPr>
            <w:tcW w:w="4533" w:type="dxa"/>
            <w:noWrap/>
            <w:vAlign w:val="center"/>
            <w:hideMark/>
          </w:tcPr>
          <w:p w14:paraId="59A84B07"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2024</w:t>
            </w:r>
          </w:p>
        </w:tc>
        <w:tc>
          <w:tcPr>
            <w:tcW w:w="4534" w:type="dxa"/>
            <w:noWrap/>
            <w:vAlign w:val="center"/>
            <w:hideMark/>
          </w:tcPr>
          <w:p w14:paraId="2853277B"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45</w:t>
            </w:r>
          </w:p>
        </w:tc>
      </w:tr>
    </w:tbl>
    <w:p w14:paraId="3F87D5C2" w14:textId="77777777" w:rsidR="009A0A63" w:rsidRPr="00792B36" w:rsidRDefault="009A0A63" w:rsidP="009A0A63">
      <w:pPr>
        <w:spacing w:line="360" w:lineRule="auto"/>
        <w:contextualSpacing/>
        <w:rPr>
          <w:color w:val="000000" w:themeColor="text1"/>
          <w:sz w:val="24"/>
          <w:szCs w:val="24"/>
        </w:rPr>
      </w:pPr>
      <w:r w:rsidRPr="00792B36">
        <w:rPr>
          <w:color w:val="000000" w:themeColor="text1"/>
          <w:sz w:val="24"/>
          <w:szCs w:val="24"/>
        </w:rPr>
        <w:t>Source: EM-DAT, CRED / UCLouvain. 2025. </w:t>
      </w:r>
      <w:r w:rsidRPr="00792B36">
        <w:rPr>
          <w:sz w:val="24"/>
          <w:szCs w:val="24"/>
        </w:rPr>
        <w:fldChar w:fldCharType="begin"/>
      </w:r>
      <w:r w:rsidRPr="00792B36">
        <w:rPr>
          <w:sz w:val="24"/>
          <w:szCs w:val="24"/>
        </w:rPr>
        <w:instrText>HYPERLINK "https://www.emdat.be/"</w:instrText>
      </w:r>
      <w:r w:rsidRPr="00792B36">
        <w:rPr>
          <w:sz w:val="24"/>
          <w:szCs w:val="24"/>
        </w:rPr>
      </w:r>
      <w:r w:rsidRPr="00792B36">
        <w:rPr>
          <w:sz w:val="24"/>
          <w:szCs w:val="24"/>
        </w:rPr>
        <w:fldChar w:fldCharType="separate"/>
      </w:r>
      <w:r w:rsidRPr="00792B36">
        <w:rPr>
          <w:rStyle w:val="Hyperlink"/>
          <w:color w:val="000000" w:themeColor="text1"/>
          <w:sz w:val="24"/>
          <w:szCs w:val="24"/>
        </w:rPr>
        <w:t>www.emdat.be</w:t>
      </w:r>
      <w:r w:rsidRPr="00792B36">
        <w:rPr>
          <w:sz w:val="24"/>
          <w:szCs w:val="24"/>
        </w:rPr>
        <w:fldChar w:fldCharType="end"/>
      </w:r>
      <w:r w:rsidRPr="00792B36">
        <w:rPr>
          <w:color w:val="000000" w:themeColor="text1"/>
          <w:sz w:val="24"/>
          <w:szCs w:val="24"/>
        </w:rPr>
        <w:t xml:space="preserve"> (Accessed 25 Jun 2025) </w:t>
      </w:r>
    </w:p>
    <w:p w14:paraId="59204C31" w14:textId="77777777" w:rsidR="009A0A63" w:rsidRPr="00792B36" w:rsidRDefault="009A0A63" w:rsidP="009A0A63">
      <w:pPr>
        <w:spacing w:line="360" w:lineRule="auto"/>
        <w:rPr>
          <w:sz w:val="24"/>
          <w:szCs w:val="24"/>
        </w:rPr>
      </w:pPr>
    </w:p>
    <w:p w14:paraId="4717D00A" w14:textId="77777777" w:rsidR="009A0A63" w:rsidRPr="00792B36" w:rsidRDefault="009A0A63" w:rsidP="009A0A63">
      <w:pPr>
        <w:spacing w:line="360" w:lineRule="auto"/>
        <w:contextualSpacing/>
        <w:rPr>
          <w:sz w:val="24"/>
          <w:szCs w:val="24"/>
        </w:rPr>
      </w:pPr>
      <w:r w:rsidRPr="00792B36">
        <w:rPr>
          <w:b/>
          <w:bCs/>
          <w:sz w:val="24"/>
          <w:szCs w:val="24"/>
        </w:rPr>
        <w:t xml:space="preserve">Annex 2.17 </w:t>
      </w:r>
      <w:r w:rsidRPr="00792B36">
        <w:rPr>
          <w:iCs/>
          <w:color w:val="000000" w:themeColor="text1"/>
          <w:sz w:val="24"/>
          <w:szCs w:val="24"/>
        </w:rPr>
        <w:t>Total damage and total damage (adjusted) due to tropical cyclones of Thailand (2000-2024)</w:t>
      </w:r>
    </w:p>
    <w:tbl>
      <w:tblPr>
        <w:tblW w:w="90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55"/>
        <w:gridCol w:w="3118"/>
        <w:gridCol w:w="4394"/>
      </w:tblGrid>
      <w:tr w:rsidR="009A0A63" w:rsidRPr="00792B36" w14:paraId="791DF944" w14:textId="77777777" w:rsidTr="00A24459">
        <w:trPr>
          <w:trHeight w:val="340"/>
        </w:trPr>
        <w:tc>
          <w:tcPr>
            <w:tcW w:w="1555" w:type="dxa"/>
            <w:noWrap/>
            <w:vAlign w:val="center"/>
            <w:hideMark/>
          </w:tcPr>
          <w:p w14:paraId="7794DA1C" w14:textId="77777777" w:rsidR="009A0A63" w:rsidRPr="00792B36" w:rsidRDefault="009A0A63" w:rsidP="00A24459">
            <w:pPr>
              <w:jc w:val="center"/>
              <w:rPr>
                <w:rFonts w:eastAsia="Times New Roman"/>
                <w:b/>
                <w:bCs/>
                <w:color w:val="000000"/>
                <w:sz w:val="24"/>
                <w:szCs w:val="24"/>
              </w:rPr>
            </w:pPr>
            <w:r w:rsidRPr="00792B36">
              <w:rPr>
                <w:rFonts w:eastAsia="Times New Roman"/>
                <w:b/>
                <w:bCs/>
                <w:color w:val="000000"/>
                <w:sz w:val="24"/>
                <w:szCs w:val="24"/>
              </w:rPr>
              <w:t>End Year</w:t>
            </w:r>
          </w:p>
        </w:tc>
        <w:tc>
          <w:tcPr>
            <w:tcW w:w="3118" w:type="dxa"/>
            <w:noWrap/>
            <w:vAlign w:val="center"/>
            <w:hideMark/>
          </w:tcPr>
          <w:p w14:paraId="24805325" w14:textId="77777777" w:rsidR="009A0A63" w:rsidRPr="00792B36" w:rsidRDefault="009A0A63" w:rsidP="00A24459">
            <w:pPr>
              <w:jc w:val="center"/>
              <w:rPr>
                <w:rFonts w:eastAsia="Times New Roman"/>
                <w:b/>
                <w:bCs/>
                <w:color w:val="000000"/>
                <w:sz w:val="24"/>
                <w:szCs w:val="24"/>
              </w:rPr>
            </w:pPr>
            <w:r w:rsidRPr="00792B36">
              <w:rPr>
                <w:rFonts w:eastAsia="Times New Roman"/>
                <w:b/>
                <w:bCs/>
                <w:color w:val="000000"/>
                <w:sz w:val="24"/>
                <w:szCs w:val="24"/>
              </w:rPr>
              <w:t>Total Damage ('000 US$)</w:t>
            </w:r>
          </w:p>
        </w:tc>
        <w:tc>
          <w:tcPr>
            <w:tcW w:w="4394" w:type="dxa"/>
            <w:noWrap/>
            <w:vAlign w:val="center"/>
            <w:hideMark/>
          </w:tcPr>
          <w:p w14:paraId="6A02665D" w14:textId="77777777" w:rsidR="009A0A63" w:rsidRPr="00792B36" w:rsidRDefault="009A0A63" w:rsidP="00A24459">
            <w:pPr>
              <w:jc w:val="center"/>
              <w:rPr>
                <w:rFonts w:eastAsia="Times New Roman"/>
                <w:b/>
                <w:bCs/>
                <w:color w:val="000000"/>
                <w:sz w:val="24"/>
                <w:szCs w:val="24"/>
              </w:rPr>
            </w:pPr>
            <w:r w:rsidRPr="00792B36">
              <w:rPr>
                <w:rFonts w:eastAsia="Times New Roman"/>
                <w:b/>
                <w:bCs/>
                <w:color w:val="000000"/>
                <w:sz w:val="24"/>
                <w:szCs w:val="24"/>
              </w:rPr>
              <w:t>Total Damage, Adjusted ('000 US$)</w:t>
            </w:r>
          </w:p>
        </w:tc>
      </w:tr>
      <w:tr w:rsidR="009A0A63" w:rsidRPr="00792B36" w14:paraId="55D2DEE4" w14:textId="77777777" w:rsidTr="00A24459">
        <w:trPr>
          <w:trHeight w:val="340"/>
        </w:trPr>
        <w:tc>
          <w:tcPr>
            <w:tcW w:w="1555" w:type="dxa"/>
            <w:noWrap/>
            <w:vAlign w:val="center"/>
            <w:hideMark/>
          </w:tcPr>
          <w:p w14:paraId="0DF08CBC"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2000</w:t>
            </w:r>
          </w:p>
        </w:tc>
        <w:tc>
          <w:tcPr>
            <w:tcW w:w="3118" w:type="dxa"/>
            <w:noWrap/>
            <w:vAlign w:val="center"/>
            <w:hideMark/>
          </w:tcPr>
          <w:p w14:paraId="6053B27B"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w:t>
            </w:r>
          </w:p>
        </w:tc>
        <w:tc>
          <w:tcPr>
            <w:tcW w:w="4394" w:type="dxa"/>
            <w:noWrap/>
            <w:hideMark/>
          </w:tcPr>
          <w:p w14:paraId="05F2FCA4"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w:t>
            </w:r>
          </w:p>
        </w:tc>
      </w:tr>
      <w:tr w:rsidR="009A0A63" w:rsidRPr="00792B36" w14:paraId="54622B6E" w14:textId="77777777" w:rsidTr="00A24459">
        <w:trPr>
          <w:trHeight w:val="340"/>
        </w:trPr>
        <w:tc>
          <w:tcPr>
            <w:tcW w:w="1555" w:type="dxa"/>
            <w:noWrap/>
            <w:vAlign w:val="center"/>
            <w:hideMark/>
          </w:tcPr>
          <w:p w14:paraId="15BDBD54"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2004</w:t>
            </w:r>
          </w:p>
        </w:tc>
        <w:tc>
          <w:tcPr>
            <w:tcW w:w="3118" w:type="dxa"/>
            <w:noWrap/>
            <w:vAlign w:val="center"/>
            <w:hideMark/>
          </w:tcPr>
          <w:p w14:paraId="2B14F398"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w:t>
            </w:r>
          </w:p>
        </w:tc>
        <w:tc>
          <w:tcPr>
            <w:tcW w:w="4394" w:type="dxa"/>
            <w:noWrap/>
            <w:hideMark/>
          </w:tcPr>
          <w:p w14:paraId="5DD1CAE9"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w:t>
            </w:r>
          </w:p>
        </w:tc>
      </w:tr>
      <w:tr w:rsidR="009A0A63" w:rsidRPr="00792B36" w14:paraId="64E92449" w14:textId="77777777" w:rsidTr="00A24459">
        <w:trPr>
          <w:trHeight w:val="340"/>
        </w:trPr>
        <w:tc>
          <w:tcPr>
            <w:tcW w:w="1555" w:type="dxa"/>
            <w:noWrap/>
            <w:vAlign w:val="center"/>
            <w:hideMark/>
          </w:tcPr>
          <w:p w14:paraId="5528EC2F"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2005</w:t>
            </w:r>
          </w:p>
        </w:tc>
        <w:tc>
          <w:tcPr>
            <w:tcW w:w="3118" w:type="dxa"/>
            <w:noWrap/>
            <w:vAlign w:val="center"/>
            <w:hideMark/>
          </w:tcPr>
          <w:p w14:paraId="1DF99D05"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20,000.00</w:t>
            </w:r>
          </w:p>
        </w:tc>
        <w:tc>
          <w:tcPr>
            <w:tcW w:w="4394" w:type="dxa"/>
            <w:noWrap/>
            <w:vAlign w:val="center"/>
            <w:hideMark/>
          </w:tcPr>
          <w:p w14:paraId="0C098968"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32,125.00</w:t>
            </w:r>
          </w:p>
        </w:tc>
      </w:tr>
      <w:tr w:rsidR="009A0A63" w:rsidRPr="00792B36" w14:paraId="7D4CD710" w14:textId="77777777" w:rsidTr="00A24459">
        <w:trPr>
          <w:trHeight w:val="340"/>
        </w:trPr>
        <w:tc>
          <w:tcPr>
            <w:tcW w:w="1555" w:type="dxa"/>
            <w:noWrap/>
            <w:vAlign w:val="center"/>
            <w:hideMark/>
          </w:tcPr>
          <w:p w14:paraId="5F21E5A0"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2008</w:t>
            </w:r>
          </w:p>
        </w:tc>
        <w:tc>
          <w:tcPr>
            <w:tcW w:w="3118" w:type="dxa"/>
            <w:noWrap/>
            <w:hideMark/>
          </w:tcPr>
          <w:p w14:paraId="3273148D"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w:t>
            </w:r>
          </w:p>
        </w:tc>
        <w:tc>
          <w:tcPr>
            <w:tcW w:w="4394" w:type="dxa"/>
            <w:noWrap/>
            <w:hideMark/>
          </w:tcPr>
          <w:p w14:paraId="03E82E82" w14:textId="77777777" w:rsidR="009A0A63" w:rsidRPr="00792B36" w:rsidRDefault="009A0A63" w:rsidP="00A24459">
            <w:pPr>
              <w:jc w:val="center"/>
              <w:rPr>
                <w:rFonts w:eastAsia="Times New Roman"/>
                <w:sz w:val="24"/>
                <w:szCs w:val="24"/>
              </w:rPr>
            </w:pPr>
            <w:r w:rsidRPr="00792B36">
              <w:rPr>
                <w:rFonts w:eastAsia="Times New Roman"/>
                <w:color w:val="000000"/>
                <w:sz w:val="24"/>
                <w:szCs w:val="24"/>
              </w:rPr>
              <w:t>-</w:t>
            </w:r>
          </w:p>
        </w:tc>
      </w:tr>
      <w:tr w:rsidR="009A0A63" w:rsidRPr="00792B36" w14:paraId="7646547E" w14:textId="77777777" w:rsidTr="00A24459">
        <w:trPr>
          <w:trHeight w:val="340"/>
        </w:trPr>
        <w:tc>
          <w:tcPr>
            <w:tcW w:w="1555" w:type="dxa"/>
            <w:noWrap/>
            <w:vAlign w:val="center"/>
            <w:hideMark/>
          </w:tcPr>
          <w:p w14:paraId="07E3769B"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2011</w:t>
            </w:r>
          </w:p>
        </w:tc>
        <w:tc>
          <w:tcPr>
            <w:tcW w:w="3118" w:type="dxa"/>
            <w:noWrap/>
            <w:hideMark/>
          </w:tcPr>
          <w:p w14:paraId="3C49BA1A"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w:t>
            </w:r>
          </w:p>
        </w:tc>
        <w:tc>
          <w:tcPr>
            <w:tcW w:w="4394" w:type="dxa"/>
            <w:noWrap/>
            <w:hideMark/>
          </w:tcPr>
          <w:p w14:paraId="73754E36"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w:t>
            </w:r>
          </w:p>
        </w:tc>
      </w:tr>
      <w:tr w:rsidR="009A0A63" w:rsidRPr="00792B36" w14:paraId="0A79EB86" w14:textId="77777777" w:rsidTr="00A24459">
        <w:trPr>
          <w:trHeight w:val="340"/>
        </w:trPr>
        <w:tc>
          <w:tcPr>
            <w:tcW w:w="1555" w:type="dxa"/>
            <w:noWrap/>
            <w:vAlign w:val="center"/>
            <w:hideMark/>
          </w:tcPr>
          <w:p w14:paraId="03244EC1"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2015</w:t>
            </w:r>
          </w:p>
        </w:tc>
        <w:tc>
          <w:tcPr>
            <w:tcW w:w="3118" w:type="dxa"/>
            <w:noWrap/>
            <w:vAlign w:val="center"/>
            <w:hideMark/>
          </w:tcPr>
          <w:p w14:paraId="22EDE1A9"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561.00</w:t>
            </w:r>
          </w:p>
        </w:tc>
        <w:tc>
          <w:tcPr>
            <w:tcW w:w="4394" w:type="dxa"/>
            <w:noWrap/>
            <w:vAlign w:val="center"/>
            <w:hideMark/>
          </w:tcPr>
          <w:p w14:paraId="1AF6D5EF"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742.00</w:t>
            </w:r>
          </w:p>
        </w:tc>
      </w:tr>
      <w:tr w:rsidR="009A0A63" w:rsidRPr="00792B36" w14:paraId="67606830" w14:textId="77777777" w:rsidTr="00A24459">
        <w:trPr>
          <w:trHeight w:val="340"/>
        </w:trPr>
        <w:tc>
          <w:tcPr>
            <w:tcW w:w="1555" w:type="dxa"/>
            <w:noWrap/>
            <w:vAlign w:val="center"/>
            <w:hideMark/>
          </w:tcPr>
          <w:p w14:paraId="024D21EA"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2017</w:t>
            </w:r>
          </w:p>
        </w:tc>
        <w:tc>
          <w:tcPr>
            <w:tcW w:w="3118" w:type="dxa"/>
            <w:noWrap/>
            <w:hideMark/>
          </w:tcPr>
          <w:p w14:paraId="641AC441"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w:t>
            </w:r>
          </w:p>
        </w:tc>
        <w:tc>
          <w:tcPr>
            <w:tcW w:w="4394" w:type="dxa"/>
            <w:noWrap/>
            <w:hideMark/>
          </w:tcPr>
          <w:p w14:paraId="71E7DEEF" w14:textId="77777777" w:rsidR="009A0A63" w:rsidRPr="00792B36" w:rsidRDefault="009A0A63" w:rsidP="00A24459">
            <w:pPr>
              <w:jc w:val="center"/>
              <w:rPr>
                <w:rFonts w:eastAsia="Times New Roman"/>
                <w:sz w:val="24"/>
                <w:szCs w:val="24"/>
              </w:rPr>
            </w:pPr>
            <w:r w:rsidRPr="00792B36">
              <w:rPr>
                <w:rFonts w:eastAsia="Times New Roman"/>
                <w:color w:val="000000"/>
                <w:sz w:val="24"/>
                <w:szCs w:val="24"/>
              </w:rPr>
              <w:t>-</w:t>
            </w:r>
          </w:p>
        </w:tc>
      </w:tr>
      <w:tr w:rsidR="009A0A63" w:rsidRPr="00792B36" w14:paraId="453F098E" w14:textId="77777777" w:rsidTr="00A24459">
        <w:trPr>
          <w:trHeight w:val="340"/>
        </w:trPr>
        <w:tc>
          <w:tcPr>
            <w:tcW w:w="1555" w:type="dxa"/>
            <w:noWrap/>
            <w:vAlign w:val="center"/>
            <w:hideMark/>
          </w:tcPr>
          <w:p w14:paraId="7889F2E5"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2019</w:t>
            </w:r>
          </w:p>
        </w:tc>
        <w:tc>
          <w:tcPr>
            <w:tcW w:w="3118" w:type="dxa"/>
            <w:noWrap/>
            <w:hideMark/>
          </w:tcPr>
          <w:p w14:paraId="5F3825E3"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w:t>
            </w:r>
          </w:p>
        </w:tc>
        <w:tc>
          <w:tcPr>
            <w:tcW w:w="4394" w:type="dxa"/>
            <w:noWrap/>
            <w:hideMark/>
          </w:tcPr>
          <w:p w14:paraId="0812687C"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w:t>
            </w:r>
          </w:p>
        </w:tc>
      </w:tr>
      <w:tr w:rsidR="009A0A63" w:rsidRPr="00792B36" w14:paraId="03C878C9" w14:textId="77777777" w:rsidTr="00A24459">
        <w:trPr>
          <w:trHeight w:val="340"/>
        </w:trPr>
        <w:tc>
          <w:tcPr>
            <w:tcW w:w="1555" w:type="dxa"/>
            <w:noWrap/>
            <w:vAlign w:val="center"/>
            <w:hideMark/>
          </w:tcPr>
          <w:p w14:paraId="1E5E6262"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2020</w:t>
            </w:r>
          </w:p>
        </w:tc>
        <w:tc>
          <w:tcPr>
            <w:tcW w:w="3118" w:type="dxa"/>
            <w:noWrap/>
            <w:vAlign w:val="center"/>
            <w:hideMark/>
          </w:tcPr>
          <w:p w14:paraId="25F0FC41"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w:t>
            </w:r>
          </w:p>
        </w:tc>
        <w:tc>
          <w:tcPr>
            <w:tcW w:w="4394" w:type="dxa"/>
            <w:noWrap/>
            <w:hideMark/>
          </w:tcPr>
          <w:p w14:paraId="290A1B5D"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w:t>
            </w:r>
          </w:p>
        </w:tc>
      </w:tr>
      <w:tr w:rsidR="009A0A63" w:rsidRPr="00792B36" w14:paraId="4F7BBD80" w14:textId="77777777" w:rsidTr="00A24459">
        <w:trPr>
          <w:trHeight w:val="340"/>
        </w:trPr>
        <w:tc>
          <w:tcPr>
            <w:tcW w:w="1555" w:type="dxa"/>
            <w:noWrap/>
            <w:vAlign w:val="center"/>
            <w:hideMark/>
          </w:tcPr>
          <w:p w14:paraId="3CCE5AC3"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2024</w:t>
            </w:r>
          </w:p>
        </w:tc>
        <w:tc>
          <w:tcPr>
            <w:tcW w:w="3118" w:type="dxa"/>
            <w:noWrap/>
            <w:vAlign w:val="center"/>
            <w:hideMark/>
          </w:tcPr>
          <w:p w14:paraId="537CB6F7"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904,000.00</w:t>
            </w:r>
          </w:p>
        </w:tc>
        <w:tc>
          <w:tcPr>
            <w:tcW w:w="4394" w:type="dxa"/>
            <w:noWrap/>
            <w:vAlign w:val="center"/>
            <w:hideMark/>
          </w:tcPr>
          <w:p w14:paraId="7284108C"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904,000.00</w:t>
            </w:r>
          </w:p>
        </w:tc>
      </w:tr>
    </w:tbl>
    <w:p w14:paraId="5921ADE4" w14:textId="77777777" w:rsidR="009A0A63" w:rsidRPr="00792B36" w:rsidRDefault="009A0A63" w:rsidP="009A0A63">
      <w:pPr>
        <w:spacing w:line="360" w:lineRule="auto"/>
        <w:contextualSpacing/>
        <w:rPr>
          <w:color w:val="000000" w:themeColor="text1"/>
          <w:sz w:val="24"/>
          <w:szCs w:val="24"/>
        </w:rPr>
      </w:pPr>
      <w:r w:rsidRPr="00792B36">
        <w:rPr>
          <w:color w:val="000000" w:themeColor="text1"/>
          <w:sz w:val="24"/>
          <w:szCs w:val="24"/>
        </w:rPr>
        <w:t>Source: EM-DAT, CRED / UCLouvain. 2025. </w:t>
      </w:r>
      <w:r w:rsidRPr="00792B36">
        <w:rPr>
          <w:sz w:val="24"/>
          <w:szCs w:val="24"/>
        </w:rPr>
        <w:fldChar w:fldCharType="begin"/>
      </w:r>
      <w:r w:rsidRPr="00792B36">
        <w:rPr>
          <w:sz w:val="24"/>
          <w:szCs w:val="24"/>
        </w:rPr>
        <w:instrText>HYPERLINK "https://www.emdat.be/"</w:instrText>
      </w:r>
      <w:r w:rsidRPr="00792B36">
        <w:rPr>
          <w:sz w:val="24"/>
          <w:szCs w:val="24"/>
        </w:rPr>
      </w:r>
      <w:r w:rsidRPr="00792B36">
        <w:rPr>
          <w:sz w:val="24"/>
          <w:szCs w:val="24"/>
        </w:rPr>
        <w:fldChar w:fldCharType="separate"/>
      </w:r>
      <w:r w:rsidRPr="00792B36">
        <w:rPr>
          <w:rStyle w:val="Hyperlink"/>
          <w:color w:val="000000" w:themeColor="text1"/>
          <w:sz w:val="24"/>
          <w:szCs w:val="24"/>
        </w:rPr>
        <w:t>www.emdat.be</w:t>
      </w:r>
      <w:r w:rsidRPr="00792B36">
        <w:rPr>
          <w:sz w:val="24"/>
          <w:szCs w:val="24"/>
        </w:rPr>
        <w:fldChar w:fldCharType="end"/>
      </w:r>
      <w:r w:rsidRPr="00792B36">
        <w:rPr>
          <w:color w:val="000000" w:themeColor="text1"/>
          <w:sz w:val="24"/>
          <w:szCs w:val="24"/>
        </w:rPr>
        <w:t xml:space="preserve"> (Accessed 25 Jun 2025)</w:t>
      </w:r>
    </w:p>
    <w:p w14:paraId="7C18EE39" w14:textId="77777777" w:rsidR="009A0A63" w:rsidRPr="00792B36" w:rsidRDefault="009A0A63" w:rsidP="009A0A63">
      <w:pPr>
        <w:spacing w:line="360" w:lineRule="auto"/>
        <w:rPr>
          <w:sz w:val="24"/>
          <w:szCs w:val="24"/>
        </w:rPr>
      </w:pPr>
    </w:p>
    <w:p w14:paraId="6377FE36" w14:textId="77777777" w:rsidR="009A0A63" w:rsidRPr="00792B36" w:rsidRDefault="009A0A63" w:rsidP="009A0A63">
      <w:pPr>
        <w:spacing w:line="360" w:lineRule="auto"/>
        <w:rPr>
          <w:sz w:val="24"/>
          <w:szCs w:val="24"/>
        </w:rPr>
      </w:pPr>
    </w:p>
    <w:p w14:paraId="0D60410D" w14:textId="77777777" w:rsidR="009A0A63" w:rsidRPr="00792B36" w:rsidRDefault="009A0A63" w:rsidP="009A0A63">
      <w:pPr>
        <w:spacing w:line="360" w:lineRule="auto"/>
        <w:rPr>
          <w:sz w:val="24"/>
          <w:szCs w:val="24"/>
        </w:rPr>
      </w:pPr>
    </w:p>
    <w:p w14:paraId="40AC449F" w14:textId="77777777" w:rsidR="009A0A63" w:rsidRPr="00792B36" w:rsidRDefault="009A0A63" w:rsidP="009A0A63">
      <w:pPr>
        <w:spacing w:line="360" w:lineRule="auto"/>
        <w:rPr>
          <w:sz w:val="24"/>
          <w:szCs w:val="24"/>
        </w:rPr>
      </w:pPr>
    </w:p>
    <w:p w14:paraId="2BD16ABE" w14:textId="77777777" w:rsidR="009A0A63" w:rsidRPr="00792B36" w:rsidRDefault="009A0A63" w:rsidP="009A0A63">
      <w:pPr>
        <w:spacing w:line="360" w:lineRule="auto"/>
        <w:rPr>
          <w:sz w:val="24"/>
          <w:szCs w:val="24"/>
        </w:rPr>
      </w:pPr>
    </w:p>
    <w:p w14:paraId="1BF8D2D8" w14:textId="77777777" w:rsidR="009A0A63" w:rsidRPr="00792B36" w:rsidRDefault="009A0A63" w:rsidP="009A0A63">
      <w:pPr>
        <w:spacing w:line="360" w:lineRule="auto"/>
        <w:rPr>
          <w:b/>
          <w:bCs/>
          <w:sz w:val="24"/>
          <w:szCs w:val="24"/>
        </w:rPr>
        <w:sectPr w:rsidR="009A0A63" w:rsidRPr="00792B36" w:rsidSect="003332A9">
          <w:pgSz w:w="11907" w:h="16840"/>
          <w:pgMar w:top="1440" w:right="1440" w:bottom="1440" w:left="1440" w:header="709" w:footer="709" w:gutter="0"/>
          <w:cols w:space="708"/>
          <w:docGrid w:linePitch="360"/>
        </w:sectPr>
      </w:pPr>
    </w:p>
    <w:p w14:paraId="33BD5773" w14:textId="77777777" w:rsidR="009A0A63" w:rsidRPr="00792B36" w:rsidRDefault="009A0A63" w:rsidP="009A0A63">
      <w:pPr>
        <w:spacing w:line="360" w:lineRule="auto"/>
        <w:rPr>
          <w:b/>
          <w:bCs/>
          <w:sz w:val="24"/>
          <w:szCs w:val="24"/>
        </w:rPr>
      </w:pPr>
      <w:r w:rsidRPr="00792B36">
        <w:rPr>
          <w:b/>
          <w:bCs/>
          <w:sz w:val="24"/>
          <w:szCs w:val="24"/>
        </w:rPr>
        <w:lastRenderedPageBreak/>
        <w:t xml:space="preserve">Annex 2.18 </w:t>
      </w:r>
      <w:r w:rsidRPr="00792B36">
        <w:rPr>
          <w:sz w:val="24"/>
          <w:szCs w:val="24"/>
        </w:rPr>
        <w:t>Key demographic trends and normalized indices by province (2000–2020)</w:t>
      </w:r>
    </w:p>
    <w:tbl>
      <w:tblPr>
        <w:tblW w:w="5000" w:type="pct"/>
        <w:tblLook w:val="04A0" w:firstRow="1" w:lastRow="0" w:firstColumn="1" w:lastColumn="0" w:noHBand="0" w:noVBand="1"/>
      </w:tblPr>
      <w:tblGrid>
        <w:gridCol w:w="1103"/>
        <w:gridCol w:w="802"/>
        <w:gridCol w:w="802"/>
        <w:gridCol w:w="926"/>
        <w:gridCol w:w="473"/>
        <w:gridCol w:w="802"/>
        <w:gridCol w:w="802"/>
        <w:gridCol w:w="868"/>
        <w:gridCol w:w="473"/>
        <w:gridCol w:w="1081"/>
        <w:gridCol w:w="878"/>
      </w:tblGrid>
      <w:tr w:rsidR="009A0A63" w:rsidRPr="00792B36" w14:paraId="3EF7D1A7" w14:textId="77777777" w:rsidTr="00A24459">
        <w:trPr>
          <w:trHeight w:val="340"/>
        </w:trPr>
        <w:tc>
          <w:tcPr>
            <w:tcW w:w="748" w:type="pct"/>
            <w:vMerge w:val="restart"/>
            <w:tcBorders>
              <w:top w:val="single" w:sz="4" w:space="0" w:color="auto"/>
              <w:left w:val="single" w:sz="4" w:space="0" w:color="auto"/>
              <w:right w:val="single" w:sz="4" w:space="0" w:color="auto"/>
            </w:tcBorders>
            <w:vAlign w:val="center"/>
            <w:hideMark/>
          </w:tcPr>
          <w:p w14:paraId="01D0AC59" w14:textId="77777777" w:rsidR="009A0A63" w:rsidRPr="00792B36" w:rsidRDefault="009A0A63" w:rsidP="00A24459">
            <w:pPr>
              <w:jc w:val="center"/>
              <w:rPr>
                <w:rFonts w:eastAsia="Times New Roman"/>
                <w:b/>
                <w:bCs/>
                <w:color w:val="000000"/>
                <w:sz w:val="24"/>
                <w:szCs w:val="24"/>
              </w:rPr>
            </w:pPr>
            <w:r w:rsidRPr="00792B36">
              <w:rPr>
                <w:rFonts w:eastAsia="Times New Roman"/>
                <w:b/>
                <w:bCs/>
                <w:color w:val="000000"/>
                <w:sz w:val="24"/>
                <w:szCs w:val="24"/>
              </w:rPr>
              <w:t>Province</w:t>
            </w:r>
          </w:p>
          <w:p w14:paraId="3D709671" w14:textId="77777777" w:rsidR="009A0A63" w:rsidRPr="00792B36" w:rsidRDefault="009A0A63" w:rsidP="00A24459">
            <w:pPr>
              <w:jc w:val="center"/>
              <w:rPr>
                <w:rFonts w:eastAsia="Times New Roman"/>
                <w:b/>
                <w:bCs/>
                <w:color w:val="000000"/>
                <w:sz w:val="24"/>
                <w:szCs w:val="24"/>
              </w:rPr>
            </w:pPr>
          </w:p>
        </w:tc>
        <w:tc>
          <w:tcPr>
            <w:tcW w:w="457" w:type="pct"/>
            <w:tcBorders>
              <w:top w:val="single" w:sz="4" w:space="0" w:color="auto"/>
              <w:left w:val="nil"/>
              <w:bottom w:val="single" w:sz="4" w:space="0" w:color="auto"/>
              <w:right w:val="single" w:sz="4" w:space="0" w:color="auto"/>
            </w:tcBorders>
            <w:vAlign w:val="center"/>
            <w:hideMark/>
          </w:tcPr>
          <w:p w14:paraId="23484B2A" w14:textId="77777777" w:rsidR="009A0A63" w:rsidRPr="00792B36" w:rsidRDefault="009A0A63" w:rsidP="00A24459">
            <w:pPr>
              <w:jc w:val="center"/>
              <w:rPr>
                <w:rFonts w:eastAsia="Times New Roman"/>
                <w:b/>
                <w:bCs/>
                <w:color w:val="000000"/>
                <w:sz w:val="24"/>
                <w:szCs w:val="24"/>
              </w:rPr>
            </w:pPr>
            <w:r w:rsidRPr="00792B36">
              <w:rPr>
                <w:rFonts w:eastAsia="Times New Roman"/>
                <w:b/>
                <w:bCs/>
                <w:color w:val="000000"/>
                <w:sz w:val="24"/>
                <w:szCs w:val="24"/>
              </w:rPr>
              <w:t>Pop 2000</w:t>
            </w:r>
          </w:p>
        </w:tc>
        <w:tc>
          <w:tcPr>
            <w:tcW w:w="489" w:type="pct"/>
            <w:tcBorders>
              <w:top w:val="single" w:sz="4" w:space="0" w:color="auto"/>
              <w:left w:val="nil"/>
              <w:bottom w:val="single" w:sz="4" w:space="0" w:color="auto"/>
              <w:right w:val="single" w:sz="4" w:space="0" w:color="auto"/>
            </w:tcBorders>
            <w:vAlign w:val="center"/>
            <w:hideMark/>
          </w:tcPr>
          <w:p w14:paraId="27785A22" w14:textId="77777777" w:rsidR="009A0A63" w:rsidRPr="00792B36" w:rsidRDefault="009A0A63" w:rsidP="00A24459">
            <w:pPr>
              <w:jc w:val="center"/>
              <w:rPr>
                <w:rFonts w:eastAsia="Times New Roman"/>
                <w:b/>
                <w:bCs/>
                <w:color w:val="000000"/>
                <w:sz w:val="24"/>
                <w:szCs w:val="24"/>
              </w:rPr>
            </w:pPr>
            <w:r w:rsidRPr="00792B36">
              <w:rPr>
                <w:rFonts w:eastAsia="Times New Roman"/>
                <w:b/>
                <w:bCs/>
                <w:color w:val="000000"/>
                <w:sz w:val="24"/>
                <w:szCs w:val="24"/>
              </w:rPr>
              <w:t>Pop 2020</w:t>
            </w:r>
          </w:p>
        </w:tc>
        <w:tc>
          <w:tcPr>
            <w:tcW w:w="387" w:type="pct"/>
            <w:tcBorders>
              <w:top w:val="single" w:sz="4" w:space="0" w:color="auto"/>
              <w:left w:val="nil"/>
              <w:bottom w:val="single" w:sz="4" w:space="0" w:color="auto"/>
              <w:right w:val="single" w:sz="4" w:space="0" w:color="auto"/>
            </w:tcBorders>
            <w:noWrap/>
            <w:vAlign w:val="center"/>
            <w:hideMark/>
          </w:tcPr>
          <w:p w14:paraId="4F2695F4" w14:textId="77777777" w:rsidR="009A0A63" w:rsidRPr="00792B36" w:rsidRDefault="009A0A63" w:rsidP="00A24459">
            <w:pPr>
              <w:jc w:val="center"/>
              <w:rPr>
                <w:rFonts w:eastAsia="Times New Roman"/>
                <w:b/>
                <w:bCs/>
                <w:color w:val="000000"/>
                <w:sz w:val="24"/>
                <w:szCs w:val="24"/>
              </w:rPr>
            </w:pPr>
            <w:r w:rsidRPr="00792B36">
              <w:rPr>
                <w:rFonts w:eastAsia="Times New Roman"/>
                <w:b/>
                <w:bCs/>
                <w:color w:val="000000"/>
                <w:sz w:val="24"/>
                <w:szCs w:val="24"/>
              </w:rPr>
              <w:t>CAGR_Pop</w:t>
            </w:r>
          </w:p>
        </w:tc>
        <w:tc>
          <w:tcPr>
            <w:tcW w:w="305" w:type="pct"/>
            <w:tcBorders>
              <w:top w:val="single" w:sz="4" w:space="0" w:color="auto"/>
              <w:left w:val="nil"/>
              <w:bottom w:val="single" w:sz="4" w:space="0" w:color="auto"/>
              <w:right w:val="single" w:sz="4" w:space="0" w:color="auto"/>
            </w:tcBorders>
            <w:noWrap/>
            <w:vAlign w:val="center"/>
            <w:hideMark/>
          </w:tcPr>
          <w:p w14:paraId="1653960C" w14:textId="77777777" w:rsidR="009A0A63" w:rsidRPr="00792B36" w:rsidRDefault="009A0A63" w:rsidP="00A24459">
            <w:pPr>
              <w:jc w:val="center"/>
              <w:rPr>
                <w:rFonts w:eastAsia="Times New Roman"/>
                <w:b/>
                <w:bCs/>
                <w:color w:val="000000"/>
                <w:sz w:val="24"/>
                <w:szCs w:val="24"/>
              </w:rPr>
            </w:pPr>
            <w:r w:rsidRPr="00792B36">
              <w:rPr>
                <w:rFonts w:eastAsia="Times New Roman"/>
                <w:b/>
                <w:bCs/>
                <w:color w:val="000000"/>
                <w:sz w:val="24"/>
                <w:szCs w:val="24"/>
              </w:rPr>
              <w:t>I</w:t>
            </w:r>
            <w:r w:rsidRPr="00792B36">
              <w:rPr>
                <w:rFonts w:eastAsia="Times New Roman"/>
                <w:b/>
                <w:bCs/>
                <w:color w:val="000000"/>
                <w:sz w:val="24"/>
                <w:szCs w:val="24"/>
                <w:vertAlign w:val="subscript"/>
              </w:rPr>
              <w:t>Pop</w:t>
            </w:r>
          </w:p>
        </w:tc>
        <w:tc>
          <w:tcPr>
            <w:tcW w:w="489" w:type="pct"/>
            <w:tcBorders>
              <w:top w:val="single" w:sz="4" w:space="0" w:color="auto"/>
              <w:left w:val="nil"/>
              <w:bottom w:val="single" w:sz="4" w:space="0" w:color="auto"/>
              <w:right w:val="single" w:sz="4" w:space="0" w:color="auto"/>
            </w:tcBorders>
            <w:vAlign w:val="center"/>
            <w:hideMark/>
          </w:tcPr>
          <w:p w14:paraId="1FB00D1F" w14:textId="77777777" w:rsidR="009A0A63" w:rsidRPr="00792B36" w:rsidRDefault="009A0A63" w:rsidP="00A24459">
            <w:pPr>
              <w:jc w:val="center"/>
              <w:rPr>
                <w:rFonts w:eastAsia="Times New Roman"/>
                <w:b/>
                <w:bCs/>
                <w:color w:val="000000"/>
                <w:sz w:val="24"/>
                <w:szCs w:val="24"/>
              </w:rPr>
            </w:pPr>
            <w:r w:rsidRPr="00792B36">
              <w:rPr>
                <w:rFonts w:eastAsia="Times New Roman"/>
                <w:b/>
                <w:bCs/>
                <w:color w:val="000000"/>
                <w:sz w:val="24"/>
                <w:szCs w:val="24"/>
              </w:rPr>
              <w:t>HH 2000</w:t>
            </w:r>
          </w:p>
        </w:tc>
        <w:tc>
          <w:tcPr>
            <w:tcW w:w="489" w:type="pct"/>
            <w:tcBorders>
              <w:top w:val="single" w:sz="4" w:space="0" w:color="auto"/>
              <w:left w:val="nil"/>
              <w:bottom w:val="single" w:sz="4" w:space="0" w:color="auto"/>
              <w:right w:val="single" w:sz="4" w:space="0" w:color="auto"/>
            </w:tcBorders>
            <w:vAlign w:val="center"/>
            <w:hideMark/>
          </w:tcPr>
          <w:p w14:paraId="3FF43208" w14:textId="77777777" w:rsidR="009A0A63" w:rsidRPr="00792B36" w:rsidRDefault="009A0A63" w:rsidP="00A24459">
            <w:pPr>
              <w:jc w:val="center"/>
              <w:rPr>
                <w:rFonts w:eastAsia="Times New Roman"/>
                <w:b/>
                <w:bCs/>
                <w:color w:val="000000"/>
                <w:sz w:val="24"/>
                <w:szCs w:val="24"/>
              </w:rPr>
            </w:pPr>
            <w:r w:rsidRPr="00792B36">
              <w:rPr>
                <w:rFonts w:eastAsia="Times New Roman"/>
                <w:b/>
                <w:bCs/>
                <w:color w:val="000000"/>
                <w:sz w:val="24"/>
                <w:szCs w:val="24"/>
              </w:rPr>
              <w:t>HH 2020</w:t>
            </w:r>
          </w:p>
        </w:tc>
        <w:tc>
          <w:tcPr>
            <w:tcW w:w="366" w:type="pct"/>
            <w:tcBorders>
              <w:top w:val="single" w:sz="4" w:space="0" w:color="auto"/>
              <w:left w:val="nil"/>
              <w:bottom w:val="single" w:sz="4" w:space="0" w:color="auto"/>
              <w:right w:val="single" w:sz="4" w:space="0" w:color="auto"/>
            </w:tcBorders>
            <w:noWrap/>
            <w:vAlign w:val="center"/>
            <w:hideMark/>
          </w:tcPr>
          <w:p w14:paraId="16303998" w14:textId="77777777" w:rsidR="009A0A63" w:rsidRPr="00792B36" w:rsidRDefault="009A0A63" w:rsidP="00A24459">
            <w:pPr>
              <w:jc w:val="center"/>
              <w:rPr>
                <w:rFonts w:eastAsia="Times New Roman"/>
                <w:b/>
                <w:bCs/>
                <w:color w:val="000000"/>
                <w:sz w:val="24"/>
                <w:szCs w:val="24"/>
              </w:rPr>
            </w:pPr>
            <w:r w:rsidRPr="00792B36">
              <w:rPr>
                <w:rFonts w:eastAsia="Times New Roman"/>
                <w:b/>
                <w:bCs/>
                <w:color w:val="000000"/>
                <w:sz w:val="24"/>
                <w:szCs w:val="24"/>
              </w:rPr>
              <w:t>CAGR_HH</w:t>
            </w:r>
          </w:p>
        </w:tc>
        <w:tc>
          <w:tcPr>
            <w:tcW w:w="276" w:type="pct"/>
            <w:tcBorders>
              <w:top w:val="single" w:sz="4" w:space="0" w:color="auto"/>
              <w:left w:val="nil"/>
              <w:bottom w:val="single" w:sz="4" w:space="0" w:color="auto"/>
              <w:right w:val="single" w:sz="4" w:space="0" w:color="auto"/>
            </w:tcBorders>
            <w:noWrap/>
            <w:vAlign w:val="center"/>
            <w:hideMark/>
          </w:tcPr>
          <w:p w14:paraId="531E4A25" w14:textId="77777777" w:rsidR="009A0A63" w:rsidRPr="00792B36" w:rsidRDefault="009A0A63" w:rsidP="00A24459">
            <w:pPr>
              <w:jc w:val="center"/>
              <w:rPr>
                <w:rFonts w:eastAsia="Times New Roman"/>
                <w:b/>
                <w:bCs/>
                <w:color w:val="000000"/>
                <w:sz w:val="24"/>
                <w:szCs w:val="24"/>
              </w:rPr>
            </w:pPr>
            <w:r w:rsidRPr="00792B36">
              <w:rPr>
                <w:rFonts w:eastAsia="Times New Roman"/>
                <w:b/>
                <w:bCs/>
                <w:color w:val="000000"/>
                <w:sz w:val="24"/>
                <w:szCs w:val="24"/>
              </w:rPr>
              <w:t>I</w:t>
            </w:r>
            <w:r w:rsidRPr="00792B36">
              <w:rPr>
                <w:rFonts w:eastAsia="Times New Roman"/>
                <w:b/>
                <w:bCs/>
                <w:color w:val="000000"/>
                <w:sz w:val="24"/>
                <w:szCs w:val="24"/>
                <w:vertAlign w:val="subscript"/>
              </w:rPr>
              <w:t>HH</w:t>
            </w:r>
          </w:p>
        </w:tc>
        <w:tc>
          <w:tcPr>
            <w:tcW w:w="457" w:type="pct"/>
            <w:tcBorders>
              <w:top w:val="single" w:sz="4" w:space="0" w:color="auto"/>
              <w:left w:val="nil"/>
              <w:bottom w:val="single" w:sz="4" w:space="0" w:color="auto"/>
              <w:right w:val="single" w:sz="4" w:space="0" w:color="auto"/>
            </w:tcBorders>
            <w:noWrap/>
            <w:vAlign w:val="center"/>
            <w:hideMark/>
          </w:tcPr>
          <w:p w14:paraId="4C0F43AF" w14:textId="77777777" w:rsidR="009A0A63" w:rsidRPr="00792B36" w:rsidRDefault="009A0A63" w:rsidP="00A24459">
            <w:pPr>
              <w:jc w:val="center"/>
              <w:rPr>
                <w:rFonts w:eastAsia="Times New Roman"/>
                <w:b/>
                <w:bCs/>
                <w:color w:val="000000"/>
                <w:sz w:val="24"/>
                <w:szCs w:val="24"/>
              </w:rPr>
            </w:pPr>
            <w:r w:rsidRPr="00792B36">
              <w:rPr>
                <w:rFonts w:eastAsia="Times New Roman"/>
                <w:b/>
                <w:bCs/>
                <w:color w:val="000000"/>
                <w:sz w:val="24"/>
                <w:szCs w:val="24"/>
              </w:rPr>
              <w:t>PopDens2020</w:t>
            </w:r>
          </w:p>
        </w:tc>
        <w:tc>
          <w:tcPr>
            <w:tcW w:w="537" w:type="pct"/>
            <w:tcBorders>
              <w:top w:val="single" w:sz="4" w:space="0" w:color="auto"/>
              <w:left w:val="nil"/>
              <w:bottom w:val="single" w:sz="4" w:space="0" w:color="auto"/>
              <w:right w:val="single" w:sz="4" w:space="0" w:color="auto"/>
            </w:tcBorders>
            <w:noWrap/>
            <w:vAlign w:val="center"/>
            <w:hideMark/>
          </w:tcPr>
          <w:p w14:paraId="00A46D0A" w14:textId="77777777" w:rsidR="009A0A63" w:rsidRPr="00792B36" w:rsidRDefault="009A0A63" w:rsidP="00A24459">
            <w:pPr>
              <w:jc w:val="center"/>
              <w:rPr>
                <w:rFonts w:eastAsia="Times New Roman"/>
                <w:b/>
                <w:bCs/>
                <w:color w:val="000000"/>
                <w:sz w:val="24"/>
                <w:szCs w:val="24"/>
              </w:rPr>
            </w:pPr>
            <w:r w:rsidRPr="00792B36">
              <w:rPr>
                <w:rFonts w:eastAsia="Times New Roman"/>
                <w:b/>
                <w:bCs/>
                <w:color w:val="000000"/>
                <w:sz w:val="24"/>
                <w:szCs w:val="24"/>
              </w:rPr>
              <w:t>I</w:t>
            </w:r>
            <w:r w:rsidRPr="00792B36">
              <w:rPr>
                <w:rFonts w:eastAsia="Times New Roman"/>
                <w:b/>
                <w:bCs/>
                <w:color w:val="000000"/>
                <w:sz w:val="24"/>
                <w:szCs w:val="24"/>
                <w:vertAlign w:val="subscript"/>
              </w:rPr>
              <w:t>PopDense2020</w:t>
            </w:r>
            <w:r w:rsidRPr="00792B36">
              <w:rPr>
                <w:rFonts w:eastAsia="Times New Roman"/>
                <w:b/>
                <w:bCs/>
                <w:color w:val="000000"/>
                <w:sz w:val="24"/>
                <w:szCs w:val="24"/>
              </w:rPr>
              <w:t xml:space="preserve"> </w:t>
            </w:r>
          </w:p>
        </w:tc>
      </w:tr>
      <w:tr w:rsidR="009A0A63" w:rsidRPr="00792B36" w14:paraId="3A280D41" w14:textId="77777777" w:rsidTr="00A24459">
        <w:trPr>
          <w:trHeight w:val="340"/>
        </w:trPr>
        <w:tc>
          <w:tcPr>
            <w:tcW w:w="748" w:type="pct"/>
            <w:vMerge/>
            <w:tcBorders>
              <w:left w:val="single" w:sz="4" w:space="0" w:color="auto"/>
              <w:bottom w:val="single" w:sz="4" w:space="0" w:color="auto"/>
              <w:right w:val="single" w:sz="4" w:space="0" w:color="auto"/>
            </w:tcBorders>
            <w:noWrap/>
            <w:vAlign w:val="center"/>
            <w:hideMark/>
          </w:tcPr>
          <w:p w14:paraId="4432D646" w14:textId="77777777" w:rsidR="009A0A63" w:rsidRPr="00792B36" w:rsidRDefault="009A0A63" w:rsidP="00A24459">
            <w:pPr>
              <w:jc w:val="center"/>
              <w:rPr>
                <w:rFonts w:eastAsia="Times New Roman"/>
                <w:b/>
                <w:bCs/>
                <w:color w:val="000000"/>
                <w:sz w:val="24"/>
                <w:szCs w:val="24"/>
              </w:rPr>
            </w:pPr>
          </w:p>
        </w:tc>
        <w:tc>
          <w:tcPr>
            <w:tcW w:w="457" w:type="pct"/>
            <w:tcBorders>
              <w:top w:val="nil"/>
              <w:left w:val="nil"/>
              <w:bottom w:val="single" w:sz="4" w:space="0" w:color="auto"/>
              <w:right w:val="single" w:sz="4" w:space="0" w:color="auto"/>
            </w:tcBorders>
            <w:vAlign w:val="center"/>
            <w:hideMark/>
          </w:tcPr>
          <w:p w14:paraId="6D53223B" w14:textId="77777777" w:rsidR="009A0A63" w:rsidRPr="00792B36" w:rsidRDefault="009A0A63" w:rsidP="00A24459">
            <w:pPr>
              <w:jc w:val="center"/>
              <w:rPr>
                <w:rFonts w:eastAsia="Times New Roman"/>
                <w:b/>
                <w:bCs/>
                <w:color w:val="000000"/>
                <w:sz w:val="24"/>
                <w:szCs w:val="24"/>
              </w:rPr>
            </w:pPr>
            <w:r w:rsidRPr="00792B36">
              <w:rPr>
                <w:rFonts w:eastAsia="Times New Roman"/>
                <w:b/>
                <w:bCs/>
                <w:color w:val="000000"/>
                <w:sz w:val="24"/>
                <w:szCs w:val="24"/>
              </w:rPr>
              <w:t>Persons</w:t>
            </w:r>
          </w:p>
        </w:tc>
        <w:tc>
          <w:tcPr>
            <w:tcW w:w="489" w:type="pct"/>
            <w:tcBorders>
              <w:top w:val="nil"/>
              <w:left w:val="nil"/>
              <w:bottom w:val="single" w:sz="4" w:space="0" w:color="auto"/>
              <w:right w:val="single" w:sz="4" w:space="0" w:color="auto"/>
            </w:tcBorders>
            <w:vAlign w:val="center"/>
            <w:hideMark/>
          </w:tcPr>
          <w:p w14:paraId="2955135E" w14:textId="77777777" w:rsidR="009A0A63" w:rsidRPr="00792B36" w:rsidRDefault="009A0A63" w:rsidP="00A24459">
            <w:pPr>
              <w:jc w:val="center"/>
              <w:rPr>
                <w:rFonts w:eastAsia="Times New Roman"/>
                <w:b/>
                <w:bCs/>
                <w:color w:val="000000"/>
                <w:sz w:val="24"/>
                <w:szCs w:val="24"/>
              </w:rPr>
            </w:pPr>
            <w:r w:rsidRPr="00792B36">
              <w:rPr>
                <w:rFonts w:eastAsia="Times New Roman"/>
                <w:b/>
                <w:bCs/>
                <w:color w:val="000000"/>
                <w:sz w:val="24"/>
                <w:szCs w:val="24"/>
              </w:rPr>
              <w:t>Persons</w:t>
            </w:r>
          </w:p>
        </w:tc>
        <w:tc>
          <w:tcPr>
            <w:tcW w:w="387" w:type="pct"/>
            <w:tcBorders>
              <w:top w:val="nil"/>
              <w:left w:val="nil"/>
              <w:bottom w:val="single" w:sz="4" w:space="0" w:color="auto"/>
              <w:right w:val="single" w:sz="4" w:space="0" w:color="auto"/>
            </w:tcBorders>
            <w:noWrap/>
            <w:vAlign w:val="center"/>
            <w:hideMark/>
          </w:tcPr>
          <w:p w14:paraId="3FD4C036" w14:textId="77777777" w:rsidR="009A0A63" w:rsidRPr="00792B36" w:rsidRDefault="009A0A63" w:rsidP="00A24459">
            <w:pPr>
              <w:jc w:val="center"/>
              <w:rPr>
                <w:rFonts w:eastAsia="Times New Roman"/>
                <w:b/>
                <w:bCs/>
                <w:color w:val="000000"/>
                <w:sz w:val="24"/>
                <w:szCs w:val="24"/>
              </w:rPr>
            </w:pPr>
            <w:r w:rsidRPr="00792B36">
              <w:rPr>
                <w:rFonts w:eastAsia="Times New Roman"/>
                <w:b/>
                <w:bCs/>
                <w:color w:val="000000"/>
                <w:sz w:val="24"/>
                <w:szCs w:val="24"/>
              </w:rPr>
              <w:t>%</w:t>
            </w:r>
          </w:p>
        </w:tc>
        <w:tc>
          <w:tcPr>
            <w:tcW w:w="305" w:type="pct"/>
            <w:tcBorders>
              <w:top w:val="nil"/>
              <w:left w:val="nil"/>
              <w:bottom w:val="single" w:sz="4" w:space="0" w:color="auto"/>
              <w:right w:val="single" w:sz="4" w:space="0" w:color="auto"/>
            </w:tcBorders>
            <w:noWrap/>
            <w:vAlign w:val="center"/>
            <w:hideMark/>
          </w:tcPr>
          <w:p w14:paraId="5FDEA0E5" w14:textId="77777777" w:rsidR="009A0A63" w:rsidRPr="00792B36" w:rsidRDefault="009A0A63" w:rsidP="00A24459">
            <w:pPr>
              <w:jc w:val="center"/>
              <w:rPr>
                <w:rFonts w:eastAsia="Times New Roman"/>
                <w:b/>
                <w:bCs/>
                <w:color w:val="000000"/>
                <w:sz w:val="24"/>
                <w:szCs w:val="24"/>
              </w:rPr>
            </w:pPr>
          </w:p>
        </w:tc>
        <w:tc>
          <w:tcPr>
            <w:tcW w:w="489" w:type="pct"/>
            <w:tcBorders>
              <w:top w:val="nil"/>
              <w:left w:val="nil"/>
              <w:bottom w:val="single" w:sz="4" w:space="0" w:color="auto"/>
              <w:right w:val="single" w:sz="4" w:space="0" w:color="auto"/>
            </w:tcBorders>
            <w:vAlign w:val="center"/>
            <w:hideMark/>
          </w:tcPr>
          <w:p w14:paraId="7ACF63C1" w14:textId="77777777" w:rsidR="009A0A63" w:rsidRPr="00792B36" w:rsidRDefault="009A0A63" w:rsidP="00A24459">
            <w:pPr>
              <w:jc w:val="center"/>
              <w:rPr>
                <w:rFonts w:eastAsia="Times New Roman"/>
                <w:b/>
                <w:bCs/>
                <w:color w:val="000000"/>
                <w:sz w:val="24"/>
                <w:szCs w:val="24"/>
              </w:rPr>
            </w:pPr>
            <w:r w:rsidRPr="00792B36">
              <w:rPr>
                <w:rFonts w:eastAsia="Times New Roman"/>
                <w:b/>
                <w:bCs/>
                <w:color w:val="000000"/>
                <w:sz w:val="24"/>
                <w:szCs w:val="24"/>
              </w:rPr>
              <w:t>Unit</w:t>
            </w:r>
          </w:p>
        </w:tc>
        <w:tc>
          <w:tcPr>
            <w:tcW w:w="489" w:type="pct"/>
            <w:tcBorders>
              <w:top w:val="nil"/>
              <w:left w:val="nil"/>
              <w:bottom w:val="single" w:sz="4" w:space="0" w:color="auto"/>
              <w:right w:val="single" w:sz="4" w:space="0" w:color="auto"/>
            </w:tcBorders>
            <w:vAlign w:val="center"/>
            <w:hideMark/>
          </w:tcPr>
          <w:p w14:paraId="0132D8E8" w14:textId="77777777" w:rsidR="009A0A63" w:rsidRPr="00792B36" w:rsidRDefault="009A0A63" w:rsidP="00A24459">
            <w:pPr>
              <w:jc w:val="center"/>
              <w:rPr>
                <w:rFonts w:eastAsia="Times New Roman"/>
                <w:b/>
                <w:bCs/>
                <w:color w:val="000000"/>
                <w:sz w:val="24"/>
                <w:szCs w:val="24"/>
              </w:rPr>
            </w:pPr>
            <w:r w:rsidRPr="00792B36">
              <w:rPr>
                <w:rFonts w:eastAsia="Times New Roman"/>
                <w:b/>
                <w:bCs/>
                <w:color w:val="000000"/>
                <w:sz w:val="24"/>
                <w:szCs w:val="24"/>
              </w:rPr>
              <w:t>Unit</w:t>
            </w:r>
          </w:p>
        </w:tc>
        <w:tc>
          <w:tcPr>
            <w:tcW w:w="366" w:type="pct"/>
            <w:tcBorders>
              <w:top w:val="nil"/>
              <w:left w:val="nil"/>
              <w:bottom w:val="single" w:sz="4" w:space="0" w:color="auto"/>
              <w:right w:val="single" w:sz="4" w:space="0" w:color="auto"/>
            </w:tcBorders>
            <w:vAlign w:val="center"/>
            <w:hideMark/>
          </w:tcPr>
          <w:p w14:paraId="16B7DE14" w14:textId="77777777" w:rsidR="009A0A63" w:rsidRPr="00792B36" w:rsidRDefault="009A0A63" w:rsidP="00A24459">
            <w:pPr>
              <w:jc w:val="center"/>
              <w:rPr>
                <w:rFonts w:eastAsia="Times New Roman"/>
                <w:b/>
                <w:bCs/>
                <w:color w:val="000000"/>
                <w:sz w:val="24"/>
                <w:szCs w:val="24"/>
              </w:rPr>
            </w:pPr>
            <w:r w:rsidRPr="00792B36">
              <w:rPr>
                <w:rFonts w:eastAsia="Times New Roman"/>
                <w:b/>
                <w:bCs/>
                <w:color w:val="000000"/>
                <w:sz w:val="24"/>
                <w:szCs w:val="24"/>
              </w:rPr>
              <w:t>%</w:t>
            </w:r>
          </w:p>
        </w:tc>
        <w:tc>
          <w:tcPr>
            <w:tcW w:w="276" w:type="pct"/>
            <w:tcBorders>
              <w:top w:val="nil"/>
              <w:left w:val="nil"/>
              <w:bottom w:val="single" w:sz="4" w:space="0" w:color="auto"/>
              <w:right w:val="single" w:sz="4" w:space="0" w:color="auto"/>
            </w:tcBorders>
            <w:noWrap/>
            <w:vAlign w:val="center"/>
            <w:hideMark/>
          </w:tcPr>
          <w:p w14:paraId="26CF55AC" w14:textId="77777777" w:rsidR="009A0A63" w:rsidRPr="00792B36" w:rsidRDefault="009A0A63" w:rsidP="00A24459">
            <w:pPr>
              <w:jc w:val="center"/>
              <w:rPr>
                <w:rFonts w:eastAsia="Times New Roman"/>
                <w:b/>
                <w:bCs/>
                <w:color w:val="000000"/>
                <w:sz w:val="24"/>
                <w:szCs w:val="24"/>
              </w:rPr>
            </w:pPr>
          </w:p>
        </w:tc>
        <w:tc>
          <w:tcPr>
            <w:tcW w:w="457" w:type="pct"/>
            <w:tcBorders>
              <w:top w:val="nil"/>
              <w:left w:val="nil"/>
              <w:bottom w:val="single" w:sz="4" w:space="0" w:color="auto"/>
              <w:right w:val="single" w:sz="4" w:space="0" w:color="auto"/>
            </w:tcBorders>
            <w:noWrap/>
            <w:vAlign w:val="center"/>
            <w:hideMark/>
          </w:tcPr>
          <w:p w14:paraId="7B16737F" w14:textId="77777777" w:rsidR="009A0A63" w:rsidRPr="00792B36" w:rsidRDefault="009A0A63" w:rsidP="00A24459">
            <w:pPr>
              <w:jc w:val="center"/>
              <w:rPr>
                <w:rFonts w:eastAsia="Times New Roman"/>
                <w:b/>
                <w:bCs/>
                <w:color w:val="000000"/>
                <w:sz w:val="24"/>
                <w:szCs w:val="24"/>
              </w:rPr>
            </w:pPr>
            <w:r w:rsidRPr="00792B36">
              <w:rPr>
                <w:rFonts w:eastAsia="Times New Roman"/>
                <w:b/>
                <w:bCs/>
                <w:color w:val="000000"/>
                <w:sz w:val="24"/>
                <w:szCs w:val="24"/>
              </w:rPr>
              <w:t>persons/km2</w:t>
            </w:r>
          </w:p>
        </w:tc>
        <w:tc>
          <w:tcPr>
            <w:tcW w:w="537" w:type="pct"/>
            <w:tcBorders>
              <w:top w:val="nil"/>
              <w:left w:val="nil"/>
              <w:bottom w:val="single" w:sz="4" w:space="0" w:color="auto"/>
              <w:right w:val="single" w:sz="4" w:space="0" w:color="auto"/>
            </w:tcBorders>
            <w:noWrap/>
            <w:vAlign w:val="center"/>
            <w:hideMark/>
          </w:tcPr>
          <w:p w14:paraId="2759C6B0" w14:textId="77777777" w:rsidR="009A0A63" w:rsidRPr="00792B36" w:rsidRDefault="009A0A63" w:rsidP="00A24459">
            <w:pPr>
              <w:jc w:val="center"/>
              <w:rPr>
                <w:rFonts w:eastAsia="Times New Roman"/>
                <w:b/>
                <w:bCs/>
                <w:color w:val="000000"/>
                <w:sz w:val="24"/>
                <w:szCs w:val="24"/>
              </w:rPr>
            </w:pPr>
          </w:p>
        </w:tc>
      </w:tr>
      <w:tr w:rsidR="009A0A63" w:rsidRPr="00792B36" w14:paraId="0DC0D5F5" w14:textId="77777777" w:rsidTr="00A24459">
        <w:trPr>
          <w:trHeight w:val="340"/>
        </w:trPr>
        <w:tc>
          <w:tcPr>
            <w:tcW w:w="748" w:type="pct"/>
            <w:tcBorders>
              <w:top w:val="nil"/>
              <w:left w:val="single" w:sz="4" w:space="0" w:color="auto"/>
              <w:bottom w:val="single" w:sz="4" w:space="0" w:color="auto"/>
              <w:right w:val="single" w:sz="4" w:space="0" w:color="auto"/>
            </w:tcBorders>
            <w:vAlign w:val="center"/>
            <w:hideMark/>
          </w:tcPr>
          <w:p w14:paraId="2D913CBF" w14:textId="77777777" w:rsidR="009A0A63" w:rsidRPr="00792B36" w:rsidRDefault="009A0A63" w:rsidP="00A24459">
            <w:pPr>
              <w:rPr>
                <w:rFonts w:eastAsia="Times New Roman"/>
                <w:color w:val="000000"/>
                <w:sz w:val="24"/>
                <w:szCs w:val="24"/>
              </w:rPr>
            </w:pPr>
            <w:r w:rsidRPr="00792B36">
              <w:rPr>
                <w:rFonts w:eastAsia="Times New Roman"/>
                <w:color w:val="000000"/>
                <w:sz w:val="24"/>
                <w:szCs w:val="24"/>
              </w:rPr>
              <w:t>Rayong</w:t>
            </w:r>
          </w:p>
        </w:tc>
        <w:tc>
          <w:tcPr>
            <w:tcW w:w="457" w:type="pct"/>
            <w:tcBorders>
              <w:top w:val="nil"/>
              <w:left w:val="nil"/>
              <w:bottom w:val="single" w:sz="4" w:space="0" w:color="auto"/>
              <w:right w:val="single" w:sz="4" w:space="0" w:color="auto"/>
            </w:tcBorders>
            <w:noWrap/>
            <w:vAlign w:val="center"/>
            <w:hideMark/>
          </w:tcPr>
          <w:p w14:paraId="37D445D3"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523,518</w:t>
            </w:r>
          </w:p>
        </w:tc>
        <w:tc>
          <w:tcPr>
            <w:tcW w:w="489" w:type="pct"/>
            <w:tcBorders>
              <w:top w:val="nil"/>
              <w:left w:val="nil"/>
              <w:bottom w:val="single" w:sz="4" w:space="0" w:color="auto"/>
              <w:right w:val="single" w:sz="4" w:space="0" w:color="auto"/>
            </w:tcBorders>
            <w:noWrap/>
            <w:vAlign w:val="center"/>
            <w:hideMark/>
          </w:tcPr>
          <w:p w14:paraId="658792B5"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741,524</w:t>
            </w:r>
          </w:p>
        </w:tc>
        <w:tc>
          <w:tcPr>
            <w:tcW w:w="387" w:type="pct"/>
            <w:tcBorders>
              <w:top w:val="nil"/>
              <w:left w:val="nil"/>
              <w:bottom w:val="single" w:sz="4" w:space="0" w:color="auto"/>
              <w:right w:val="single" w:sz="4" w:space="0" w:color="auto"/>
            </w:tcBorders>
            <w:noWrap/>
            <w:vAlign w:val="center"/>
            <w:hideMark/>
          </w:tcPr>
          <w:p w14:paraId="1D14088A"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1.76</w:t>
            </w:r>
          </w:p>
        </w:tc>
        <w:tc>
          <w:tcPr>
            <w:tcW w:w="305" w:type="pct"/>
            <w:tcBorders>
              <w:top w:val="nil"/>
              <w:left w:val="nil"/>
              <w:bottom w:val="single" w:sz="4" w:space="0" w:color="auto"/>
              <w:right w:val="single" w:sz="4" w:space="0" w:color="auto"/>
            </w:tcBorders>
            <w:noWrap/>
            <w:vAlign w:val="center"/>
            <w:hideMark/>
          </w:tcPr>
          <w:p w14:paraId="2498675B"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0.94</w:t>
            </w:r>
          </w:p>
        </w:tc>
        <w:tc>
          <w:tcPr>
            <w:tcW w:w="489" w:type="pct"/>
            <w:tcBorders>
              <w:top w:val="nil"/>
              <w:left w:val="nil"/>
              <w:bottom w:val="single" w:sz="4" w:space="0" w:color="auto"/>
              <w:right w:val="single" w:sz="4" w:space="0" w:color="auto"/>
            </w:tcBorders>
            <w:vAlign w:val="center"/>
            <w:hideMark/>
          </w:tcPr>
          <w:p w14:paraId="05C1E401"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190,527</w:t>
            </w:r>
          </w:p>
        </w:tc>
        <w:tc>
          <w:tcPr>
            <w:tcW w:w="489" w:type="pct"/>
            <w:tcBorders>
              <w:top w:val="nil"/>
              <w:left w:val="nil"/>
              <w:bottom w:val="single" w:sz="4" w:space="0" w:color="auto"/>
              <w:right w:val="single" w:sz="4" w:space="0" w:color="auto"/>
            </w:tcBorders>
            <w:vAlign w:val="center"/>
            <w:hideMark/>
          </w:tcPr>
          <w:p w14:paraId="7A54BAF3"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506,761</w:t>
            </w:r>
          </w:p>
        </w:tc>
        <w:tc>
          <w:tcPr>
            <w:tcW w:w="366" w:type="pct"/>
            <w:tcBorders>
              <w:top w:val="nil"/>
              <w:left w:val="nil"/>
              <w:bottom w:val="single" w:sz="4" w:space="0" w:color="auto"/>
              <w:right w:val="single" w:sz="4" w:space="0" w:color="auto"/>
            </w:tcBorders>
            <w:noWrap/>
            <w:vAlign w:val="center"/>
            <w:hideMark/>
          </w:tcPr>
          <w:p w14:paraId="1F94EC26"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5.01</w:t>
            </w:r>
          </w:p>
        </w:tc>
        <w:tc>
          <w:tcPr>
            <w:tcW w:w="276" w:type="pct"/>
            <w:tcBorders>
              <w:top w:val="nil"/>
              <w:left w:val="nil"/>
              <w:bottom w:val="single" w:sz="4" w:space="0" w:color="auto"/>
              <w:right w:val="single" w:sz="4" w:space="0" w:color="auto"/>
            </w:tcBorders>
            <w:noWrap/>
            <w:vAlign w:val="center"/>
            <w:hideMark/>
          </w:tcPr>
          <w:p w14:paraId="2F3428A0"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1.00</w:t>
            </w:r>
          </w:p>
        </w:tc>
        <w:tc>
          <w:tcPr>
            <w:tcW w:w="457" w:type="pct"/>
            <w:tcBorders>
              <w:top w:val="nil"/>
              <w:left w:val="nil"/>
              <w:bottom w:val="single" w:sz="4" w:space="0" w:color="auto"/>
              <w:right w:val="single" w:sz="4" w:space="0" w:color="auto"/>
            </w:tcBorders>
            <w:noWrap/>
            <w:vAlign w:val="center"/>
            <w:hideMark/>
          </w:tcPr>
          <w:p w14:paraId="7F074C27"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209</w:t>
            </w:r>
          </w:p>
        </w:tc>
        <w:tc>
          <w:tcPr>
            <w:tcW w:w="537" w:type="pct"/>
            <w:tcBorders>
              <w:top w:val="nil"/>
              <w:left w:val="nil"/>
              <w:bottom w:val="single" w:sz="4" w:space="0" w:color="auto"/>
              <w:right w:val="single" w:sz="4" w:space="0" w:color="auto"/>
            </w:tcBorders>
            <w:noWrap/>
            <w:vAlign w:val="center"/>
            <w:hideMark/>
          </w:tcPr>
          <w:p w14:paraId="56015FB0"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0.04</w:t>
            </w:r>
          </w:p>
        </w:tc>
      </w:tr>
      <w:tr w:rsidR="009A0A63" w:rsidRPr="00792B36" w14:paraId="6D27D94E" w14:textId="77777777" w:rsidTr="00A24459">
        <w:trPr>
          <w:trHeight w:val="340"/>
        </w:trPr>
        <w:tc>
          <w:tcPr>
            <w:tcW w:w="748" w:type="pct"/>
            <w:tcBorders>
              <w:top w:val="nil"/>
              <w:left w:val="single" w:sz="4" w:space="0" w:color="auto"/>
              <w:bottom w:val="single" w:sz="4" w:space="0" w:color="auto"/>
              <w:right w:val="single" w:sz="4" w:space="0" w:color="auto"/>
            </w:tcBorders>
            <w:vAlign w:val="center"/>
            <w:hideMark/>
          </w:tcPr>
          <w:p w14:paraId="39DCC483" w14:textId="77777777" w:rsidR="009A0A63" w:rsidRPr="00792B36" w:rsidRDefault="009A0A63" w:rsidP="00A24459">
            <w:pPr>
              <w:rPr>
                <w:rFonts w:eastAsia="Times New Roman"/>
                <w:color w:val="000000"/>
                <w:sz w:val="24"/>
                <w:szCs w:val="24"/>
              </w:rPr>
            </w:pPr>
            <w:r w:rsidRPr="00792B36">
              <w:rPr>
                <w:rFonts w:eastAsia="Times New Roman"/>
                <w:color w:val="000000"/>
                <w:sz w:val="24"/>
                <w:szCs w:val="24"/>
              </w:rPr>
              <w:t>Chanthaburi</w:t>
            </w:r>
          </w:p>
        </w:tc>
        <w:tc>
          <w:tcPr>
            <w:tcW w:w="457" w:type="pct"/>
            <w:tcBorders>
              <w:top w:val="nil"/>
              <w:left w:val="nil"/>
              <w:bottom w:val="single" w:sz="4" w:space="0" w:color="auto"/>
              <w:right w:val="single" w:sz="4" w:space="0" w:color="auto"/>
            </w:tcBorders>
            <w:noWrap/>
            <w:vAlign w:val="center"/>
            <w:hideMark/>
          </w:tcPr>
          <w:p w14:paraId="656BAB61"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493,434</w:t>
            </w:r>
          </w:p>
        </w:tc>
        <w:tc>
          <w:tcPr>
            <w:tcW w:w="489" w:type="pct"/>
            <w:tcBorders>
              <w:top w:val="nil"/>
              <w:left w:val="nil"/>
              <w:bottom w:val="single" w:sz="4" w:space="0" w:color="auto"/>
              <w:right w:val="single" w:sz="4" w:space="0" w:color="auto"/>
            </w:tcBorders>
            <w:noWrap/>
            <w:vAlign w:val="center"/>
            <w:hideMark/>
          </w:tcPr>
          <w:p w14:paraId="6E9AA79D"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535,559</w:t>
            </w:r>
          </w:p>
        </w:tc>
        <w:tc>
          <w:tcPr>
            <w:tcW w:w="387" w:type="pct"/>
            <w:tcBorders>
              <w:top w:val="nil"/>
              <w:left w:val="nil"/>
              <w:bottom w:val="single" w:sz="4" w:space="0" w:color="auto"/>
              <w:right w:val="single" w:sz="4" w:space="0" w:color="auto"/>
            </w:tcBorders>
            <w:noWrap/>
            <w:vAlign w:val="center"/>
            <w:hideMark/>
          </w:tcPr>
          <w:p w14:paraId="3E1D2A25"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0.41</w:t>
            </w:r>
          </w:p>
        </w:tc>
        <w:tc>
          <w:tcPr>
            <w:tcW w:w="305" w:type="pct"/>
            <w:tcBorders>
              <w:top w:val="nil"/>
              <w:left w:val="nil"/>
              <w:bottom w:val="single" w:sz="4" w:space="0" w:color="auto"/>
              <w:right w:val="single" w:sz="4" w:space="0" w:color="auto"/>
            </w:tcBorders>
            <w:noWrap/>
            <w:vAlign w:val="center"/>
            <w:hideMark/>
          </w:tcPr>
          <w:p w14:paraId="7FE6ADDF"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0.33</w:t>
            </w:r>
          </w:p>
        </w:tc>
        <w:tc>
          <w:tcPr>
            <w:tcW w:w="489" w:type="pct"/>
            <w:tcBorders>
              <w:top w:val="nil"/>
              <w:left w:val="nil"/>
              <w:bottom w:val="single" w:sz="4" w:space="0" w:color="auto"/>
              <w:right w:val="single" w:sz="4" w:space="0" w:color="auto"/>
            </w:tcBorders>
            <w:vAlign w:val="center"/>
            <w:hideMark/>
          </w:tcPr>
          <w:p w14:paraId="4FA93B72"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149,732</w:t>
            </w:r>
          </w:p>
        </w:tc>
        <w:tc>
          <w:tcPr>
            <w:tcW w:w="489" w:type="pct"/>
            <w:tcBorders>
              <w:top w:val="nil"/>
              <w:left w:val="nil"/>
              <w:bottom w:val="single" w:sz="4" w:space="0" w:color="auto"/>
              <w:right w:val="single" w:sz="4" w:space="0" w:color="auto"/>
            </w:tcBorders>
            <w:vAlign w:val="center"/>
            <w:hideMark/>
          </w:tcPr>
          <w:p w14:paraId="2A5A72C9"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243,727</w:t>
            </w:r>
          </w:p>
        </w:tc>
        <w:tc>
          <w:tcPr>
            <w:tcW w:w="366" w:type="pct"/>
            <w:tcBorders>
              <w:top w:val="nil"/>
              <w:left w:val="nil"/>
              <w:bottom w:val="single" w:sz="4" w:space="0" w:color="auto"/>
              <w:right w:val="single" w:sz="4" w:space="0" w:color="auto"/>
            </w:tcBorders>
            <w:noWrap/>
            <w:vAlign w:val="center"/>
            <w:hideMark/>
          </w:tcPr>
          <w:p w14:paraId="6AF251D9"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2.47</w:t>
            </w:r>
          </w:p>
        </w:tc>
        <w:tc>
          <w:tcPr>
            <w:tcW w:w="276" w:type="pct"/>
            <w:tcBorders>
              <w:top w:val="nil"/>
              <w:left w:val="nil"/>
              <w:bottom w:val="single" w:sz="4" w:space="0" w:color="auto"/>
              <w:right w:val="single" w:sz="4" w:space="0" w:color="auto"/>
            </w:tcBorders>
            <w:noWrap/>
            <w:vAlign w:val="center"/>
            <w:hideMark/>
          </w:tcPr>
          <w:p w14:paraId="6D3AE0F3"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0.10</w:t>
            </w:r>
          </w:p>
        </w:tc>
        <w:tc>
          <w:tcPr>
            <w:tcW w:w="457" w:type="pct"/>
            <w:tcBorders>
              <w:top w:val="nil"/>
              <w:left w:val="nil"/>
              <w:bottom w:val="single" w:sz="4" w:space="0" w:color="auto"/>
              <w:right w:val="single" w:sz="4" w:space="0" w:color="auto"/>
            </w:tcBorders>
            <w:noWrap/>
            <w:vAlign w:val="center"/>
            <w:hideMark/>
          </w:tcPr>
          <w:p w14:paraId="06D4B282"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84</w:t>
            </w:r>
          </w:p>
        </w:tc>
        <w:tc>
          <w:tcPr>
            <w:tcW w:w="537" w:type="pct"/>
            <w:tcBorders>
              <w:top w:val="nil"/>
              <w:left w:val="nil"/>
              <w:bottom w:val="single" w:sz="4" w:space="0" w:color="auto"/>
              <w:right w:val="single" w:sz="4" w:space="0" w:color="auto"/>
            </w:tcBorders>
            <w:noWrap/>
            <w:vAlign w:val="center"/>
            <w:hideMark/>
          </w:tcPr>
          <w:p w14:paraId="28D0CBD1"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0.00</w:t>
            </w:r>
          </w:p>
        </w:tc>
      </w:tr>
      <w:tr w:rsidR="009A0A63" w:rsidRPr="00792B36" w14:paraId="6A088E5E" w14:textId="77777777" w:rsidTr="00A24459">
        <w:trPr>
          <w:trHeight w:val="340"/>
        </w:trPr>
        <w:tc>
          <w:tcPr>
            <w:tcW w:w="748" w:type="pct"/>
            <w:tcBorders>
              <w:top w:val="nil"/>
              <w:left w:val="single" w:sz="4" w:space="0" w:color="auto"/>
              <w:bottom w:val="single" w:sz="4" w:space="0" w:color="auto"/>
              <w:right w:val="single" w:sz="4" w:space="0" w:color="auto"/>
            </w:tcBorders>
            <w:vAlign w:val="center"/>
            <w:hideMark/>
          </w:tcPr>
          <w:p w14:paraId="2CC87102" w14:textId="77777777" w:rsidR="009A0A63" w:rsidRPr="00792B36" w:rsidRDefault="009A0A63" w:rsidP="00A24459">
            <w:pPr>
              <w:rPr>
                <w:rFonts w:eastAsia="Times New Roman"/>
                <w:color w:val="000000"/>
                <w:sz w:val="24"/>
                <w:szCs w:val="24"/>
              </w:rPr>
            </w:pPr>
            <w:r w:rsidRPr="00792B36">
              <w:rPr>
                <w:rFonts w:eastAsia="Times New Roman"/>
                <w:color w:val="000000"/>
                <w:sz w:val="24"/>
                <w:szCs w:val="24"/>
              </w:rPr>
              <w:t>Trat</w:t>
            </w:r>
          </w:p>
        </w:tc>
        <w:tc>
          <w:tcPr>
            <w:tcW w:w="457" w:type="pct"/>
            <w:tcBorders>
              <w:top w:val="nil"/>
              <w:left w:val="nil"/>
              <w:bottom w:val="single" w:sz="4" w:space="0" w:color="auto"/>
              <w:right w:val="single" w:sz="4" w:space="0" w:color="auto"/>
            </w:tcBorders>
            <w:noWrap/>
            <w:vAlign w:val="center"/>
            <w:hideMark/>
          </w:tcPr>
          <w:p w14:paraId="20A43451"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223,924</w:t>
            </w:r>
          </w:p>
        </w:tc>
        <w:tc>
          <w:tcPr>
            <w:tcW w:w="489" w:type="pct"/>
            <w:tcBorders>
              <w:top w:val="nil"/>
              <w:left w:val="nil"/>
              <w:bottom w:val="single" w:sz="4" w:space="0" w:color="auto"/>
              <w:right w:val="single" w:sz="4" w:space="0" w:color="auto"/>
            </w:tcBorders>
            <w:noWrap/>
            <w:vAlign w:val="center"/>
            <w:hideMark/>
          </w:tcPr>
          <w:p w14:paraId="5677D20E"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228,536</w:t>
            </w:r>
          </w:p>
        </w:tc>
        <w:tc>
          <w:tcPr>
            <w:tcW w:w="387" w:type="pct"/>
            <w:tcBorders>
              <w:top w:val="nil"/>
              <w:left w:val="nil"/>
              <w:bottom w:val="single" w:sz="4" w:space="0" w:color="auto"/>
              <w:right w:val="single" w:sz="4" w:space="0" w:color="auto"/>
            </w:tcBorders>
            <w:noWrap/>
            <w:vAlign w:val="center"/>
            <w:hideMark/>
          </w:tcPr>
          <w:p w14:paraId="4DC239A1"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0.10</w:t>
            </w:r>
          </w:p>
        </w:tc>
        <w:tc>
          <w:tcPr>
            <w:tcW w:w="305" w:type="pct"/>
            <w:tcBorders>
              <w:top w:val="nil"/>
              <w:left w:val="nil"/>
              <w:bottom w:val="single" w:sz="4" w:space="0" w:color="auto"/>
              <w:right w:val="single" w:sz="4" w:space="0" w:color="auto"/>
            </w:tcBorders>
            <w:noWrap/>
            <w:vAlign w:val="center"/>
            <w:hideMark/>
          </w:tcPr>
          <w:p w14:paraId="2F29A776"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0.19</w:t>
            </w:r>
          </w:p>
        </w:tc>
        <w:tc>
          <w:tcPr>
            <w:tcW w:w="489" w:type="pct"/>
            <w:tcBorders>
              <w:top w:val="nil"/>
              <w:left w:val="nil"/>
              <w:bottom w:val="single" w:sz="4" w:space="0" w:color="auto"/>
              <w:right w:val="single" w:sz="4" w:space="0" w:color="auto"/>
            </w:tcBorders>
            <w:vAlign w:val="center"/>
            <w:hideMark/>
          </w:tcPr>
          <w:p w14:paraId="6C0A28C4"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70,386</w:t>
            </w:r>
          </w:p>
        </w:tc>
        <w:tc>
          <w:tcPr>
            <w:tcW w:w="489" w:type="pct"/>
            <w:tcBorders>
              <w:top w:val="nil"/>
              <w:left w:val="nil"/>
              <w:bottom w:val="single" w:sz="4" w:space="0" w:color="auto"/>
              <w:right w:val="single" w:sz="4" w:space="0" w:color="auto"/>
            </w:tcBorders>
            <w:vAlign w:val="center"/>
            <w:hideMark/>
          </w:tcPr>
          <w:p w14:paraId="5CCACB4E"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108,270</w:t>
            </w:r>
          </w:p>
        </w:tc>
        <w:tc>
          <w:tcPr>
            <w:tcW w:w="366" w:type="pct"/>
            <w:tcBorders>
              <w:top w:val="nil"/>
              <w:left w:val="nil"/>
              <w:bottom w:val="single" w:sz="4" w:space="0" w:color="auto"/>
              <w:right w:val="single" w:sz="4" w:space="0" w:color="auto"/>
            </w:tcBorders>
            <w:noWrap/>
            <w:vAlign w:val="center"/>
            <w:hideMark/>
          </w:tcPr>
          <w:p w14:paraId="6AE662F3"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2.18</w:t>
            </w:r>
          </w:p>
        </w:tc>
        <w:tc>
          <w:tcPr>
            <w:tcW w:w="276" w:type="pct"/>
            <w:tcBorders>
              <w:top w:val="nil"/>
              <w:left w:val="nil"/>
              <w:bottom w:val="single" w:sz="4" w:space="0" w:color="auto"/>
              <w:right w:val="single" w:sz="4" w:space="0" w:color="auto"/>
            </w:tcBorders>
            <w:noWrap/>
            <w:vAlign w:val="center"/>
            <w:hideMark/>
          </w:tcPr>
          <w:p w14:paraId="236EE889"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0.00</w:t>
            </w:r>
          </w:p>
        </w:tc>
        <w:tc>
          <w:tcPr>
            <w:tcW w:w="457" w:type="pct"/>
            <w:tcBorders>
              <w:top w:val="nil"/>
              <w:left w:val="nil"/>
              <w:bottom w:val="single" w:sz="4" w:space="0" w:color="auto"/>
              <w:right w:val="single" w:sz="4" w:space="0" w:color="auto"/>
            </w:tcBorders>
            <w:noWrap/>
            <w:vAlign w:val="center"/>
            <w:hideMark/>
          </w:tcPr>
          <w:p w14:paraId="70DB8497"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81</w:t>
            </w:r>
          </w:p>
        </w:tc>
        <w:tc>
          <w:tcPr>
            <w:tcW w:w="537" w:type="pct"/>
            <w:tcBorders>
              <w:top w:val="nil"/>
              <w:left w:val="nil"/>
              <w:bottom w:val="single" w:sz="4" w:space="0" w:color="auto"/>
              <w:right w:val="single" w:sz="4" w:space="0" w:color="auto"/>
            </w:tcBorders>
            <w:noWrap/>
            <w:vAlign w:val="center"/>
            <w:hideMark/>
          </w:tcPr>
          <w:p w14:paraId="307A973B"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0.00</w:t>
            </w:r>
          </w:p>
        </w:tc>
      </w:tr>
      <w:tr w:rsidR="009A0A63" w:rsidRPr="00792B36" w14:paraId="219CE4BD" w14:textId="77777777" w:rsidTr="00A24459">
        <w:trPr>
          <w:trHeight w:val="340"/>
        </w:trPr>
        <w:tc>
          <w:tcPr>
            <w:tcW w:w="748" w:type="pct"/>
            <w:tcBorders>
              <w:top w:val="nil"/>
              <w:left w:val="single" w:sz="4" w:space="0" w:color="auto"/>
              <w:bottom w:val="single" w:sz="4" w:space="0" w:color="auto"/>
              <w:right w:val="single" w:sz="4" w:space="0" w:color="auto"/>
            </w:tcBorders>
            <w:vAlign w:val="center"/>
            <w:hideMark/>
          </w:tcPr>
          <w:p w14:paraId="654AA77A" w14:textId="77777777" w:rsidR="009A0A63" w:rsidRPr="00792B36" w:rsidRDefault="009A0A63" w:rsidP="00A24459">
            <w:pPr>
              <w:rPr>
                <w:rFonts w:eastAsia="Times New Roman"/>
                <w:color w:val="000000"/>
                <w:sz w:val="24"/>
                <w:szCs w:val="24"/>
              </w:rPr>
            </w:pPr>
            <w:r w:rsidRPr="00792B36">
              <w:rPr>
                <w:rFonts w:eastAsia="Times New Roman"/>
                <w:color w:val="000000"/>
                <w:sz w:val="24"/>
                <w:szCs w:val="24"/>
              </w:rPr>
              <w:t>Samut Prakan</w:t>
            </w:r>
          </w:p>
        </w:tc>
        <w:tc>
          <w:tcPr>
            <w:tcW w:w="457" w:type="pct"/>
            <w:tcBorders>
              <w:top w:val="nil"/>
              <w:left w:val="nil"/>
              <w:bottom w:val="single" w:sz="4" w:space="0" w:color="auto"/>
              <w:right w:val="single" w:sz="4" w:space="0" w:color="auto"/>
            </w:tcBorders>
            <w:noWrap/>
            <w:vAlign w:val="center"/>
            <w:hideMark/>
          </w:tcPr>
          <w:p w14:paraId="7C07F2C5"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995,838</w:t>
            </w:r>
          </w:p>
        </w:tc>
        <w:tc>
          <w:tcPr>
            <w:tcW w:w="489" w:type="pct"/>
            <w:tcBorders>
              <w:top w:val="nil"/>
              <w:left w:val="nil"/>
              <w:bottom w:val="single" w:sz="4" w:space="0" w:color="auto"/>
              <w:right w:val="single" w:sz="4" w:space="0" w:color="auto"/>
            </w:tcBorders>
            <w:noWrap/>
            <w:vAlign w:val="center"/>
            <w:hideMark/>
          </w:tcPr>
          <w:p w14:paraId="57F96EA5"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1,351,479</w:t>
            </w:r>
          </w:p>
        </w:tc>
        <w:tc>
          <w:tcPr>
            <w:tcW w:w="387" w:type="pct"/>
            <w:tcBorders>
              <w:top w:val="nil"/>
              <w:left w:val="nil"/>
              <w:bottom w:val="single" w:sz="4" w:space="0" w:color="auto"/>
              <w:right w:val="single" w:sz="4" w:space="0" w:color="auto"/>
            </w:tcBorders>
            <w:noWrap/>
            <w:vAlign w:val="center"/>
            <w:hideMark/>
          </w:tcPr>
          <w:p w14:paraId="17168C2E"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1.54</w:t>
            </w:r>
          </w:p>
        </w:tc>
        <w:tc>
          <w:tcPr>
            <w:tcW w:w="305" w:type="pct"/>
            <w:tcBorders>
              <w:top w:val="nil"/>
              <w:left w:val="nil"/>
              <w:bottom w:val="single" w:sz="4" w:space="0" w:color="auto"/>
              <w:right w:val="single" w:sz="4" w:space="0" w:color="auto"/>
            </w:tcBorders>
            <w:noWrap/>
            <w:vAlign w:val="center"/>
            <w:hideMark/>
          </w:tcPr>
          <w:p w14:paraId="570C8B30"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0.84</w:t>
            </w:r>
          </w:p>
        </w:tc>
        <w:tc>
          <w:tcPr>
            <w:tcW w:w="489" w:type="pct"/>
            <w:tcBorders>
              <w:top w:val="nil"/>
              <w:left w:val="nil"/>
              <w:bottom w:val="single" w:sz="4" w:space="0" w:color="auto"/>
              <w:right w:val="single" w:sz="4" w:space="0" w:color="auto"/>
            </w:tcBorders>
            <w:vAlign w:val="center"/>
            <w:hideMark/>
          </w:tcPr>
          <w:p w14:paraId="17449F69"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363,684</w:t>
            </w:r>
          </w:p>
        </w:tc>
        <w:tc>
          <w:tcPr>
            <w:tcW w:w="489" w:type="pct"/>
            <w:tcBorders>
              <w:top w:val="nil"/>
              <w:left w:val="nil"/>
              <w:bottom w:val="single" w:sz="4" w:space="0" w:color="auto"/>
              <w:right w:val="single" w:sz="4" w:space="0" w:color="auto"/>
            </w:tcBorders>
            <w:vAlign w:val="center"/>
            <w:hideMark/>
          </w:tcPr>
          <w:p w14:paraId="3EA432FF"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711,804</w:t>
            </w:r>
          </w:p>
        </w:tc>
        <w:tc>
          <w:tcPr>
            <w:tcW w:w="366" w:type="pct"/>
            <w:tcBorders>
              <w:top w:val="nil"/>
              <w:left w:val="nil"/>
              <w:bottom w:val="single" w:sz="4" w:space="0" w:color="auto"/>
              <w:right w:val="single" w:sz="4" w:space="0" w:color="auto"/>
            </w:tcBorders>
            <w:noWrap/>
            <w:vAlign w:val="center"/>
            <w:hideMark/>
          </w:tcPr>
          <w:p w14:paraId="3C452ECA"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3.41</w:t>
            </w:r>
          </w:p>
        </w:tc>
        <w:tc>
          <w:tcPr>
            <w:tcW w:w="276" w:type="pct"/>
            <w:tcBorders>
              <w:top w:val="nil"/>
              <w:left w:val="nil"/>
              <w:bottom w:val="single" w:sz="4" w:space="0" w:color="auto"/>
              <w:right w:val="single" w:sz="4" w:space="0" w:color="auto"/>
            </w:tcBorders>
            <w:noWrap/>
            <w:vAlign w:val="center"/>
            <w:hideMark/>
          </w:tcPr>
          <w:p w14:paraId="4520C02B"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0.44</w:t>
            </w:r>
          </w:p>
        </w:tc>
        <w:tc>
          <w:tcPr>
            <w:tcW w:w="457" w:type="pct"/>
            <w:tcBorders>
              <w:top w:val="nil"/>
              <w:left w:val="nil"/>
              <w:bottom w:val="single" w:sz="4" w:space="0" w:color="auto"/>
              <w:right w:val="single" w:sz="4" w:space="0" w:color="auto"/>
            </w:tcBorders>
            <w:noWrap/>
            <w:vAlign w:val="center"/>
            <w:hideMark/>
          </w:tcPr>
          <w:p w14:paraId="147901B9"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1346</w:t>
            </w:r>
          </w:p>
        </w:tc>
        <w:tc>
          <w:tcPr>
            <w:tcW w:w="537" w:type="pct"/>
            <w:tcBorders>
              <w:top w:val="nil"/>
              <w:left w:val="nil"/>
              <w:bottom w:val="single" w:sz="4" w:space="0" w:color="auto"/>
              <w:right w:val="single" w:sz="4" w:space="0" w:color="auto"/>
            </w:tcBorders>
            <w:noWrap/>
            <w:vAlign w:val="center"/>
            <w:hideMark/>
          </w:tcPr>
          <w:p w14:paraId="0143D05B"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0.36</w:t>
            </w:r>
          </w:p>
        </w:tc>
      </w:tr>
      <w:tr w:rsidR="009A0A63" w:rsidRPr="00792B36" w14:paraId="035D653D" w14:textId="77777777" w:rsidTr="00A24459">
        <w:trPr>
          <w:trHeight w:val="340"/>
        </w:trPr>
        <w:tc>
          <w:tcPr>
            <w:tcW w:w="748" w:type="pct"/>
            <w:tcBorders>
              <w:top w:val="nil"/>
              <w:left w:val="single" w:sz="4" w:space="0" w:color="auto"/>
              <w:bottom w:val="single" w:sz="4" w:space="0" w:color="auto"/>
              <w:right w:val="single" w:sz="4" w:space="0" w:color="auto"/>
            </w:tcBorders>
            <w:vAlign w:val="center"/>
            <w:hideMark/>
          </w:tcPr>
          <w:p w14:paraId="1AFFEA8D" w14:textId="77777777" w:rsidR="009A0A63" w:rsidRPr="00792B36" w:rsidRDefault="009A0A63" w:rsidP="00A24459">
            <w:pPr>
              <w:rPr>
                <w:rFonts w:eastAsia="Times New Roman"/>
                <w:color w:val="000000"/>
                <w:sz w:val="24"/>
                <w:szCs w:val="24"/>
              </w:rPr>
            </w:pPr>
            <w:r w:rsidRPr="00792B36">
              <w:rPr>
                <w:rFonts w:eastAsia="Times New Roman"/>
                <w:color w:val="000000"/>
                <w:sz w:val="24"/>
                <w:szCs w:val="24"/>
              </w:rPr>
              <w:t>Chon Buri</w:t>
            </w:r>
          </w:p>
        </w:tc>
        <w:tc>
          <w:tcPr>
            <w:tcW w:w="457" w:type="pct"/>
            <w:tcBorders>
              <w:top w:val="nil"/>
              <w:left w:val="nil"/>
              <w:bottom w:val="single" w:sz="4" w:space="0" w:color="auto"/>
              <w:right w:val="single" w:sz="4" w:space="0" w:color="auto"/>
            </w:tcBorders>
            <w:noWrap/>
            <w:vAlign w:val="center"/>
            <w:hideMark/>
          </w:tcPr>
          <w:p w14:paraId="66D5D190"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1,078,518</w:t>
            </w:r>
          </w:p>
        </w:tc>
        <w:tc>
          <w:tcPr>
            <w:tcW w:w="489" w:type="pct"/>
            <w:tcBorders>
              <w:top w:val="nil"/>
              <w:left w:val="nil"/>
              <w:bottom w:val="single" w:sz="4" w:space="0" w:color="auto"/>
              <w:right w:val="single" w:sz="4" w:space="0" w:color="auto"/>
            </w:tcBorders>
            <w:noWrap/>
            <w:vAlign w:val="center"/>
            <w:hideMark/>
          </w:tcPr>
          <w:p w14:paraId="33D57B8F"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1,566,885</w:t>
            </w:r>
          </w:p>
        </w:tc>
        <w:tc>
          <w:tcPr>
            <w:tcW w:w="387" w:type="pct"/>
            <w:tcBorders>
              <w:top w:val="nil"/>
              <w:left w:val="nil"/>
              <w:bottom w:val="single" w:sz="4" w:space="0" w:color="auto"/>
              <w:right w:val="single" w:sz="4" w:space="0" w:color="auto"/>
            </w:tcBorders>
            <w:noWrap/>
            <w:vAlign w:val="center"/>
            <w:hideMark/>
          </w:tcPr>
          <w:p w14:paraId="1FF1F0F2"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1.89</w:t>
            </w:r>
          </w:p>
        </w:tc>
        <w:tc>
          <w:tcPr>
            <w:tcW w:w="305" w:type="pct"/>
            <w:tcBorders>
              <w:top w:val="nil"/>
              <w:left w:val="nil"/>
              <w:bottom w:val="single" w:sz="4" w:space="0" w:color="auto"/>
              <w:right w:val="single" w:sz="4" w:space="0" w:color="auto"/>
            </w:tcBorders>
            <w:noWrap/>
            <w:vAlign w:val="center"/>
            <w:hideMark/>
          </w:tcPr>
          <w:p w14:paraId="1FB53F25"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1.00</w:t>
            </w:r>
          </w:p>
        </w:tc>
        <w:tc>
          <w:tcPr>
            <w:tcW w:w="489" w:type="pct"/>
            <w:tcBorders>
              <w:top w:val="nil"/>
              <w:left w:val="nil"/>
              <w:bottom w:val="single" w:sz="4" w:space="0" w:color="auto"/>
              <w:right w:val="single" w:sz="4" w:space="0" w:color="auto"/>
            </w:tcBorders>
            <w:vAlign w:val="center"/>
            <w:hideMark/>
          </w:tcPr>
          <w:p w14:paraId="07443002"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426,953</w:t>
            </w:r>
          </w:p>
        </w:tc>
        <w:tc>
          <w:tcPr>
            <w:tcW w:w="489" w:type="pct"/>
            <w:tcBorders>
              <w:top w:val="nil"/>
              <w:left w:val="nil"/>
              <w:bottom w:val="single" w:sz="4" w:space="0" w:color="auto"/>
              <w:right w:val="single" w:sz="4" w:space="0" w:color="auto"/>
            </w:tcBorders>
            <w:vAlign w:val="center"/>
            <w:hideMark/>
          </w:tcPr>
          <w:p w14:paraId="5DF26DBA"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1,070,209</w:t>
            </w:r>
          </w:p>
        </w:tc>
        <w:tc>
          <w:tcPr>
            <w:tcW w:w="366" w:type="pct"/>
            <w:tcBorders>
              <w:top w:val="nil"/>
              <w:left w:val="nil"/>
              <w:bottom w:val="single" w:sz="4" w:space="0" w:color="auto"/>
              <w:right w:val="single" w:sz="4" w:space="0" w:color="auto"/>
            </w:tcBorders>
            <w:noWrap/>
            <w:vAlign w:val="center"/>
            <w:hideMark/>
          </w:tcPr>
          <w:p w14:paraId="386870D5"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4.70</w:t>
            </w:r>
          </w:p>
        </w:tc>
        <w:tc>
          <w:tcPr>
            <w:tcW w:w="276" w:type="pct"/>
            <w:tcBorders>
              <w:top w:val="nil"/>
              <w:left w:val="nil"/>
              <w:bottom w:val="single" w:sz="4" w:space="0" w:color="auto"/>
              <w:right w:val="single" w:sz="4" w:space="0" w:color="auto"/>
            </w:tcBorders>
            <w:noWrap/>
            <w:vAlign w:val="center"/>
            <w:hideMark/>
          </w:tcPr>
          <w:p w14:paraId="19BD6350"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0.89</w:t>
            </w:r>
          </w:p>
        </w:tc>
        <w:tc>
          <w:tcPr>
            <w:tcW w:w="457" w:type="pct"/>
            <w:tcBorders>
              <w:top w:val="nil"/>
              <w:left w:val="nil"/>
              <w:bottom w:val="single" w:sz="4" w:space="0" w:color="auto"/>
              <w:right w:val="single" w:sz="4" w:space="0" w:color="auto"/>
            </w:tcBorders>
            <w:noWrap/>
            <w:vAlign w:val="center"/>
            <w:hideMark/>
          </w:tcPr>
          <w:p w14:paraId="1197B5ED"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359</w:t>
            </w:r>
          </w:p>
        </w:tc>
        <w:tc>
          <w:tcPr>
            <w:tcW w:w="537" w:type="pct"/>
            <w:tcBorders>
              <w:top w:val="nil"/>
              <w:left w:val="nil"/>
              <w:bottom w:val="single" w:sz="4" w:space="0" w:color="auto"/>
              <w:right w:val="single" w:sz="4" w:space="0" w:color="auto"/>
            </w:tcBorders>
            <w:noWrap/>
            <w:vAlign w:val="center"/>
            <w:hideMark/>
          </w:tcPr>
          <w:p w14:paraId="042B11FA"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0.08</w:t>
            </w:r>
          </w:p>
        </w:tc>
      </w:tr>
      <w:tr w:rsidR="009A0A63" w:rsidRPr="00792B36" w14:paraId="1B1B0B60" w14:textId="77777777" w:rsidTr="00A24459">
        <w:trPr>
          <w:trHeight w:val="340"/>
        </w:trPr>
        <w:tc>
          <w:tcPr>
            <w:tcW w:w="748" w:type="pct"/>
            <w:tcBorders>
              <w:top w:val="nil"/>
              <w:left w:val="single" w:sz="4" w:space="0" w:color="auto"/>
              <w:bottom w:val="single" w:sz="4" w:space="0" w:color="auto"/>
              <w:right w:val="single" w:sz="4" w:space="0" w:color="auto"/>
            </w:tcBorders>
            <w:vAlign w:val="center"/>
            <w:hideMark/>
          </w:tcPr>
          <w:p w14:paraId="3101783A" w14:textId="77777777" w:rsidR="009A0A63" w:rsidRPr="00792B36" w:rsidRDefault="009A0A63" w:rsidP="00A24459">
            <w:pPr>
              <w:rPr>
                <w:rFonts w:eastAsia="Times New Roman"/>
                <w:color w:val="000000"/>
                <w:sz w:val="24"/>
                <w:szCs w:val="24"/>
              </w:rPr>
            </w:pPr>
            <w:r w:rsidRPr="00792B36">
              <w:rPr>
                <w:rFonts w:eastAsia="Times New Roman"/>
                <w:color w:val="000000"/>
                <w:sz w:val="24"/>
                <w:szCs w:val="24"/>
              </w:rPr>
              <w:t>Chachoengsao</w:t>
            </w:r>
          </w:p>
        </w:tc>
        <w:tc>
          <w:tcPr>
            <w:tcW w:w="457" w:type="pct"/>
            <w:tcBorders>
              <w:top w:val="nil"/>
              <w:left w:val="nil"/>
              <w:bottom w:val="single" w:sz="4" w:space="0" w:color="auto"/>
              <w:right w:val="single" w:sz="4" w:space="0" w:color="auto"/>
            </w:tcBorders>
            <w:noWrap/>
            <w:vAlign w:val="center"/>
            <w:hideMark/>
          </w:tcPr>
          <w:p w14:paraId="206E2336"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639,751</w:t>
            </w:r>
          </w:p>
        </w:tc>
        <w:tc>
          <w:tcPr>
            <w:tcW w:w="489" w:type="pct"/>
            <w:tcBorders>
              <w:top w:val="nil"/>
              <w:left w:val="nil"/>
              <w:bottom w:val="single" w:sz="4" w:space="0" w:color="auto"/>
              <w:right w:val="single" w:sz="4" w:space="0" w:color="auto"/>
            </w:tcBorders>
            <w:noWrap/>
            <w:vAlign w:val="center"/>
            <w:hideMark/>
          </w:tcPr>
          <w:p w14:paraId="3C4995CD"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720,718</w:t>
            </w:r>
          </w:p>
        </w:tc>
        <w:tc>
          <w:tcPr>
            <w:tcW w:w="387" w:type="pct"/>
            <w:tcBorders>
              <w:top w:val="nil"/>
              <w:left w:val="nil"/>
              <w:bottom w:val="single" w:sz="4" w:space="0" w:color="auto"/>
              <w:right w:val="single" w:sz="4" w:space="0" w:color="auto"/>
            </w:tcBorders>
            <w:noWrap/>
            <w:vAlign w:val="center"/>
            <w:hideMark/>
          </w:tcPr>
          <w:p w14:paraId="6E04A260"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0.60</w:t>
            </w:r>
          </w:p>
        </w:tc>
        <w:tc>
          <w:tcPr>
            <w:tcW w:w="305" w:type="pct"/>
            <w:tcBorders>
              <w:top w:val="nil"/>
              <w:left w:val="nil"/>
              <w:bottom w:val="single" w:sz="4" w:space="0" w:color="auto"/>
              <w:right w:val="single" w:sz="4" w:space="0" w:color="auto"/>
            </w:tcBorders>
            <w:noWrap/>
            <w:vAlign w:val="center"/>
            <w:hideMark/>
          </w:tcPr>
          <w:p w14:paraId="42D632F6"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0.42</w:t>
            </w:r>
          </w:p>
        </w:tc>
        <w:tc>
          <w:tcPr>
            <w:tcW w:w="489" w:type="pct"/>
            <w:tcBorders>
              <w:top w:val="nil"/>
              <w:left w:val="nil"/>
              <w:bottom w:val="single" w:sz="4" w:space="0" w:color="auto"/>
              <w:right w:val="single" w:sz="4" w:space="0" w:color="auto"/>
            </w:tcBorders>
            <w:vAlign w:val="center"/>
            <w:hideMark/>
          </w:tcPr>
          <w:p w14:paraId="2E6DEB66"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175,139</w:t>
            </w:r>
          </w:p>
        </w:tc>
        <w:tc>
          <w:tcPr>
            <w:tcW w:w="489" w:type="pct"/>
            <w:tcBorders>
              <w:top w:val="nil"/>
              <w:left w:val="nil"/>
              <w:bottom w:val="single" w:sz="4" w:space="0" w:color="auto"/>
              <w:right w:val="single" w:sz="4" w:space="0" w:color="auto"/>
            </w:tcBorders>
            <w:vAlign w:val="center"/>
            <w:hideMark/>
          </w:tcPr>
          <w:p w14:paraId="49EC6E56"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313,586</w:t>
            </w:r>
          </w:p>
        </w:tc>
        <w:tc>
          <w:tcPr>
            <w:tcW w:w="366" w:type="pct"/>
            <w:tcBorders>
              <w:top w:val="nil"/>
              <w:left w:val="nil"/>
              <w:bottom w:val="single" w:sz="4" w:space="0" w:color="auto"/>
              <w:right w:val="single" w:sz="4" w:space="0" w:color="auto"/>
            </w:tcBorders>
            <w:noWrap/>
            <w:vAlign w:val="center"/>
            <w:hideMark/>
          </w:tcPr>
          <w:p w14:paraId="0E51C19F"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2.96</w:t>
            </w:r>
          </w:p>
        </w:tc>
        <w:tc>
          <w:tcPr>
            <w:tcW w:w="276" w:type="pct"/>
            <w:tcBorders>
              <w:top w:val="nil"/>
              <w:left w:val="nil"/>
              <w:bottom w:val="single" w:sz="4" w:space="0" w:color="auto"/>
              <w:right w:val="single" w:sz="4" w:space="0" w:color="auto"/>
            </w:tcBorders>
            <w:noWrap/>
            <w:vAlign w:val="center"/>
            <w:hideMark/>
          </w:tcPr>
          <w:p w14:paraId="717DA535"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0.27</w:t>
            </w:r>
          </w:p>
        </w:tc>
        <w:tc>
          <w:tcPr>
            <w:tcW w:w="457" w:type="pct"/>
            <w:tcBorders>
              <w:top w:val="nil"/>
              <w:left w:val="nil"/>
              <w:bottom w:val="single" w:sz="4" w:space="0" w:color="auto"/>
              <w:right w:val="single" w:sz="4" w:space="0" w:color="auto"/>
            </w:tcBorders>
            <w:noWrap/>
            <w:vAlign w:val="center"/>
            <w:hideMark/>
          </w:tcPr>
          <w:p w14:paraId="7C37E826"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135</w:t>
            </w:r>
          </w:p>
        </w:tc>
        <w:tc>
          <w:tcPr>
            <w:tcW w:w="537" w:type="pct"/>
            <w:tcBorders>
              <w:top w:val="nil"/>
              <w:left w:val="nil"/>
              <w:bottom w:val="single" w:sz="4" w:space="0" w:color="auto"/>
              <w:right w:val="single" w:sz="4" w:space="0" w:color="auto"/>
            </w:tcBorders>
            <w:noWrap/>
            <w:vAlign w:val="center"/>
            <w:hideMark/>
          </w:tcPr>
          <w:p w14:paraId="07D1EA6D"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0.02</w:t>
            </w:r>
          </w:p>
        </w:tc>
      </w:tr>
      <w:tr w:rsidR="009A0A63" w:rsidRPr="00792B36" w14:paraId="4FFAF413" w14:textId="77777777" w:rsidTr="00A24459">
        <w:trPr>
          <w:trHeight w:val="340"/>
        </w:trPr>
        <w:tc>
          <w:tcPr>
            <w:tcW w:w="748" w:type="pct"/>
            <w:tcBorders>
              <w:top w:val="nil"/>
              <w:left w:val="single" w:sz="4" w:space="0" w:color="auto"/>
              <w:bottom w:val="single" w:sz="4" w:space="0" w:color="auto"/>
              <w:right w:val="single" w:sz="4" w:space="0" w:color="auto"/>
            </w:tcBorders>
            <w:vAlign w:val="center"/>
            <w:hideMark/>
          </w:tcPr>
          <w:p w14:paraId="7790290E" w14:textId="77777777" w:rsidR="009A0A63" w:rsidRPr="00792B36" w:rsidRDefault="009A0A63" w:rsidP="00A24459">
            <w:pPr>
              <w:rPr>
                <w:rFonts w:eastAsia="Times New Roman"/>
                <w:color w:val="000000"/>
                <w:sz w:val="24"/>
                <w:szCs w:val="24"/>
              </w:rPr>
            </w:pPr>
            <w:r w:rsidRPr="00792B36">
              <w:rPr>
                <w:rFonts w:eastAsia="Times New Roman"/>
                <w:color w:val="000000"/>
                <w:sz w:val="24"/>
                <w:szCs w:val="24"/>
              </w:rPr>
              <w:t>Samut Sakhon</w:t>
            </w:r>
          </w:p>
        </w:tc>
        <w:tc>
          <w:tcPr>
            <w:tcW w:w="457" w:type="pct"/>
            <w:tcBorders>
              <w:top w:val="nil"/>
              <w:left w:val="nil"/>
              <w:bottom w:val="single" w:sz="4" w:space="0" w:color="auto"/>
              <w:right w:val="single" w:sz="4" w:space="0" w:color="auto"/>
            </w:tcBorders>
            <w:noWrap/>
            <w:vAlign w:val="center"/>
            <w:hideMark/>
          </w:tcPr>
          <w:p w14:paraId="7083ED5A"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428,814</w:t>
            </w:r>
          </w:p>
        </w:tc>
        <w:tc>
          <w:tcPr>
            <w:tcW w:w="489" w:type="pct"/>
            <w:tcBorders>
              <w:top w:val="nil"/>
              <w:left w:val="nil"/>
              <w:bottom w:val="single" w:sz="4" w:space="0" w:color="auto"/>
              <w:right w:val="single" w:sz="4" w:space="0" w:color="auto"/>
            </w:tcBorders>
            <w:noWrap/>
            <w:vAlign w:val="center"/>
            <w:hideMark/>
          </w:tcPr>
          <w:p w14:paraId="10358BDC"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586,199</w:t>
            </w:r>
          </w:p>
        </w:tc>
        <w:tc>
          <w:tcPr>
            <w:tcW w:w="387" w:type="pct"/>
            <w:tcBorders>
              <w:top w:val="nil"/>
              <w:left w:val="nil"/>
              <w:bottom w:val="single" w:sz="4" w:space="0" w:color="auto"/>
              <w:right w:val="single" w:sz="4" w:space="0" w:color="auto"/>
            </w:tcBorders>
            <w:noWrap/>
            <w:vAlign w:val="center"/>
            <w:hideMark/>
          </w:tcPr>
          <w:p w14:paraId="71433BA1"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1.58</w:t>
            </w:r>
          </w:p>
        </w:tc>
        <w:tc>
          <w:tcPr>
            <w:tcW w:w="305" w:type="pct"/>
            <w:tcBorders>
              <w:top w:val="nil"/>
              <w:left w:val="nil"/>
              <w:bottom w:val="single" w:sz="4" w:space="0" w:color="auto"/>
              <w:right w:val="single" w:sz="4" w:space="0" w:color="auto"/>
            </w:tcBorders>
            <w:noWrap/>
            <w:vAlign w:val="center"/>
            <w:hideMark/>
          </w:tcPr>
          <w:p w14:paraId="3B537EFB"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0.86</w:t>
            </w:r>
          </w:p>
        </w:tc>
        <w:tc>
          <w:tcPr>
            <w:tcW w:w="489" w:type="pct"/>
            <w:tcBorders>
              <w:top w:val="nil"/>
              <w:left w:val="nil"/>
              <w:bottom w:val="single" w:sz="4" w:space="0" w:color="auto"/>
              <w:right w:val="single" w:sz="4" w:space="0" w:color="auto"/>
            </w:tcBorders>
            <w:vAlign w:val="center"/>
            <w:hideMark/>
          </w:tcPr>
          <w:p w14:paraId="0D3B47D1"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161,658</w:t>
            </w:r>
          </w:p>
        </w:tc>
        <w:tc>
          <w:tcPr>
            <w:tcW w:w="489" w:type="pct"/>
            <w:tcBorders>
              <w:top w:val="nil"/>
              <w:left w:val="nil"/>
              <w:bottom w:val="single" w:sz="4" w:space="0" w:color="auto"/>
              <w:right w:val="single" w:sz="4" w:space="0" w:color="auto"/>
            </w:tcBorders>
            <w:vAlign w:val="center"/>
            <w:hideMark/>
          </w:tcPr>
          <w:p w14:paraId="363ECE3B"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296,825</w:t>
            </w:r>
          </w:p>
        </w:tc>
        <w:tc>
          <w:tcPr>
            <w:tcW w:w="366" w:type="pct"/>
            <w:tcBorders>
              <w:top w:val="nil"/>
              <w:left w:val="nil"/>
              <w:bottom w:val="single" w:sz="4" w:space="0" w:color="auto"/>
              <w:right w:val="single" w:sz="4" w:space="0" w:color="auto"/>
            </w:tcBorders>
            <w:noWrap/>
            <w:vAlign w:val="center"/>
            <w:hideMark/>
          </w:tcPr>
          <w:p w14:paraId="227A74D8"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3.08</w:t>
            </w:r>
          </w:p>
        </w:tc>
        <w:tc>
          <w:tcPr>
            <w:tcW w:w="276" w:type="pct"/>
            <w:tcBorders>
              <w:top w:val="nil"/>
              <w:left w:val="nil"/>
              <w:bottom w:val="single" w:sz="4" w:space="0" w:color="auto"/>
              <w:right w:val="single" w:sz="4" w:space="0" w:color="auto"/>
            </w:tcBorders>
            <w:noWrap/>
            <w:vAlign w:val="center"/>
            <w:hideMark/>
          </w:tcPr>
          <w:p w14:paraId="4EE139EA"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0.32</w:t>
            </w:r>
          </w:p>
        </w:tc>
        <w:tc>
          <w:tcPr>
            <w:tcW w:w="457" w:type="pct"/>
            <w:tcBorders>
              <w:top w:val="nil"/>
              <w:left w:val="nil"/>
              <w:bottom w:val="single" w:sz="4" w:space="0" w:color="auto"/>
              <w:right w:val="single" w:sz="4" w:space="0" w:color="auto"/>
            </w:tcBorders>
            <w:noWrap/>
            <w:vAlign w:val="center"/>
            <w:hideMark/>
          </w:tcPr>
          <w:p w14:paraId="3177AFBC"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672</w:t>
            </w:r>
          </w:p>
        </w:tc>
        <w:tc>
          <w:tcPr>
            <w:tcW w:w="537" w:type="pct"/>
            <w:tcBorders>
              <w:top w:val="nil"/>
              <w:left w:val="nil"/>
              <w:bottom w:val="single" w:sz="4" w:space="0" w:color="auto"/>
              <w:right w:val="single" w:sz="4" w:space="0" w:color="auto"/>
            </w:tcBorders>
            <w:noWrap/>
            <w:vAlign w:val="center"/>
            <w:hideMark/>
          </w:tcPr>
          <w:p w14:paraId="579D7E16"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0.17</w:t>
            </w:r>
          </w:p>
        </w:tc>
      </w:tr>
      <w:tr w:rsidR="009A0A63" w:rsidRPr="00792B36" w14:paraId="6D230A0E" w14:textId="77777777" w:rsidTr="00A24459">
        <w:trPr>
          <w:trHeight w:val="340"/>
        </w:trPr>
        <w:tc>
          <w:tcPr>
            <w:tcW w:w="748" w:type="pct"/>
            <w:tcBorders>
              <w:top w:val="nil"/>
              <w:left w:val="single" w:sz="4" w:space="0" w:color="auto"/>
              <w:bottom w:val="single" w:sz="4" w:space="0" w:color="auto"/>
              <w:right w:val="single" w:sz="4" w:space="0" w:color="auto"/>
            </w:tcBorders>
            <w:vAlign w:val="center"/>
            <w:hideMark/>
          </w:tcPr>
          <w:p w14:paraId="69724DD3" w14:textId="77777777" w:rsidR="009A0A63" w:rsidRPr="00792B36" w:rsidRDefault="009A0A63" w:rsidP="00A24459">
            <w:pPr>
              <w:rPr>
                <w:rFonts w:eastAsia="Times New Roman"/>
                <w:color w:val="000000"/>
                <w:sz w:val="24"/>
                <w:szCs w:val="24"/>
              </w:rPr>
            </w:pPr>
            <w:r w:rsidRPr="00792B36">
              <w:rPr>
                <w:rFonts w:eastAsia="Times New Roman"/>
                <w:color w:val="000000"/>
                <w:sz w:val="24"/>
                <w:szCs w:val="24"/>
              </w:rPr>
              <w:t>Samut Songkhram</w:t>
            </w:r>
          </w:p>
        </w:tc>
        <w:tc>
          <w:tcPr>
            <w:tcW w:w="457" w:type="pct"/>
            <w:tcBorders>
              <w:top w:val="nil"/>
              <w:left w:val="nil"/>
              <w:bottom w:val="single" w:sz="4" w:space="0" w:color="auto"/>
              <w:right w:val="single" w:sz="4" w:space="0" w:color="auto"/>
            </w:tcBorders>
            <w:noWrap/>
            <w:vAlign w:val="center"/>
            <w:hideMark/>
          </w:tcPr>
          <w:p w14:paraId="61207815"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204,995</w:t>
            </w:r>
          </w:p>
        </w:tc>
        <w:tc>
          <w:tcPr>
            <w:tcW w:w="489" w:type="pct"/>
            <w:tcBorders>
              <w:top w:val="nil"/>
              <w:left w:val="nil"/>
              <w:bottom w:val="single" w:sz="4" w:space="0" w:color="auto"/>
              <w:right w:val="single" w:sz="4" w:space="0" w:color="auto"/>
            </w:tcBorders>
            <w:noWrap/>
            <w:vAlign w:val="center"/>
            <w:hideMark/>
          </w:tcPr>
          <w:p w14:paraId="35ABB511"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192,052</w:t>
            </w:r>
          </w:p>
        </w:tc>
        <w:tc>
          <w:tcPr>
            <w:tcW w:w="387" w:type="pct"/>
            <w:tcBorders>
              <w:top w:val="nil"/>
              <w:left w:val="nil"/>
              <w:bottom w:val="single" w:sz="4" w:space="0" w:color="auto"/>
              <w:right w:val="single" w:sz="4" w:space="0" w:color="auto"/>
            </w:tcBorders>
            <w:noWrap/>
            <w:vAlign w:val="center"/>
            <w:hideMark/>
          </w:tcPr>
          <w:p w14:paraId="174E152F"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-0.33</w:t>
            </w:r>
          </w:p>
        </w:tc>
        <w:tc>
          <w:tcPr>
            <w:tcW w:w="305" w:type="pct"/>
            <w:tcBorders>
              <w:top w:val="nil"/>
              <w:left w:val="nil"/>
              <w:bottom w:val="single" w:sz="4" w:space="0" w:color="auto"/>
              <w:right w:val="single" w:sz="4" w:space="0" w:color="auto"/>
            </w:tcBorders>
            <w:noWrap/>
            <w:vAlign w:val="center"/>
            <w:hideMark/>
          </w:tcPr>
          <w:p w14:paraId="298F74E8"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0.00</w:t>
            </w:r>
          </w:p>
        </w:tc>
        <w:tc>
          <w:tcPr>
            <w:tcW w:w="489" w:type="pct"/>
            <w:tcBorders>
              <w:top w:val="nil"/>
              <w:left w:val="nil"/>
              <w:bottom w:val="single" w:sz="4" w:space="0" w:color="auto"/>
              <w:right w:val="single" w:sz="4" w:space="0" w:color="auto"/>
            </w:tcBorders>
            <w:vAlign w:val="center"/>
            <w:hideMark/>
          </w:tcPr>
          <w:p w14:paraId="7F84B108"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45,642</w:t>
            </w:r>
          </w:p>
        </w:tc>
        <w:tc>
          <w:tcPr>
            <w:tcW w:w="489" w:type="pct"/>
            <w:tcBorders>
              <w:top w:val="nil"/>
              <w:left w:val="nil"/>
              <w:bottom w:val="single" w:sz="4" w:space="0" w:color="auto"/>
              <w:right w:val="single" w:sz="4" w:space="0" w:color="auto"/>
            </w:tcBorders>
            <w:vAlign w:val="center"/>
            <w:hideMark/>
          </w:tcPr>
          <w:p w14:paraId="20888E6C"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72,732</w:t>
            </w:r>
          </w:p>
        </w:tc>
        <w:tc>
          <w:tcPr>
            <w:tcW w:w="366" w:type="pct"/>
            <w:tcBorders>
              <w:top w:val="nil"/>
              <w:left w:val="nil"/>
              <w:bottom w:val="single" w:sz="4" w:space="0" w:color="auto"/>
              <w:right w:val="single" w:sz="4" w:space="0" w:color="auto"/>
            </w:tcBorders>
            <w:noWrap/>
            <w:vAlign w:val="center"/>
            <w:hideMark/>
          </w:tcPr>
          <w:p w14:paraId="31CC8B25"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2.36</w:t>
            </w:r>
          </w:p>
        </w:tc>
        <w:tc>
          <w:tcPr>
            <w:tcW w:w="276" w:type="pct"/>
            <w:tcBorders>
              <w:top w:val="nil"/>
              <w:left w:val="nil"/>
              <w:bottom w:val="single" w:sz="4" w:space="0" w:color="auto"/>
              <w:right w:val="single" w:sz="4" w:space="0" w:color="auto"/>
            </w:tcBorders>
            <w:noWrap/>
            <w:vAlign w:val="center"/>
            <w:hideMark/>
          </w:tcPr>
          <w:p w14:paraId="0F02CFFA"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0.06</w:t>
            </w:r>
          </w:p>
        </w:tc>
        <w:tc>
          <w:tcPr>
            <w:tcW w:w="457" w:type="pct"/>
            <w:tcBorders>
              <w:top w:val="nil"/>
              <w:left w:val="nil"/>
              <w:bottom w:val="single" w:sz="4" w:space="0" w:color="auto"/>
              <w:right w:val="single" w:sz="4" w:space="0" w:color="auto"/>
            </w:tcBorders>
            <w:noWrap/>
            <w:vAlign w:val="center"/>
            <w:hideMark/>
          </w:tcPr>
          <w:p w14:paraId="79F172DF"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461</w:t>
            </w:r>
          </w:p>
        </w:tc>
        <w:tc>
          <w:tcPr>
            <w:tcW w:w="537" w:type="pct"/>
            <w:tcBorders>
              <w:top w:val="nil"/>
              <w:left w:val="nil"/>
              <w:bottom w:val="single" w:sz="4" w:space="0" w:color="auto"/>
              <w:right w:val="single" w:sz="4" w:space="0" w:color="auto"/>
            </w:tcBorders>
            <w:noWrap/>
            <w:vAlign w:val="center"/>
            <w:hideMark/>
          </w:tcPr>
          <w:p w14:paraId="3ED0D909"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0.11</w:t>
            </w:r>
          </w:p>
        </w:tc>
      </w:tr>
      <w:tr w:rsidR="009A0A63" w:rsidRPr="00792B36" w14:paraId="6AD314F6" w14:textId="77777777" w:rsidTr="00A24459">
        <w:trPr>
          <w:trHeight w:val="340"/>
        </w:trPr>
        <w:tc>
          <w:tcPr>
            <w:tcW w:w="748" w:type="pct"/>
            <w:tcBorders>
              <w:top w:val="nil"/>
              <w:left w:val="single" w:sz="4" w:space="0" w:color="auto"/>
              <w:bottom w:val="single" w:sz="4" w:space="0" w:color="auto"/>
              <w:right w:val="single" w:sz="4" w:space="0" w:color="auto"/>
            </w:tcBorders>
            <w:vAlign w:val="center"/>
            <w:hideMark/>
          </w:tcPr>
          <w:p w14:paraId="7445A87A" w14:textId="77777777" w:rsidR="009A0A63" w:rsidRPr="00792B36" w:rsidRDefault="009A0A63" w:rsidP="00A24459">
            <w:pPr>
              <w:rPr>
                <w:rFonts w:eastAsia="Times New Roman"/>
                <w:color w:val="000000"/>
                <w:sz w:val="24"/>
                <w:szCs w:val="24"/>
              </w:rPr>
            </w:pPr>
            <w:r w:rsidRPr="00792B36">
              <w:rPr>
                <w:rFonts w:eastAsia="Times New Roman"/>
                <w:color w:val="000000"/>
                <w:sz w:val="24"/>
                <w:szCs w:val="24"/>
              </w:rPr>
              <w:t>Phetchaburi</w:t>
            </w:r>
          </w:p>
        </w:tc>
        <w:tc>
          <w:tcPr>
            <w:tcW w:w="457" w:type="pct"/>
            <w:tcBorders>
              <w:top w:val="nil"/>
              <w:left w:val="nil"/>
              <w:bottom w:val="single" w:sz="4" w:space="0" w:color="auto"/>
              <w:right w:val="single" w:sz="4" w:space="0" w:color="auto"/>
            </w:tcBorders>
            <w:noWrap/>
            <w:vAlign w:val="center"/>
            <w:hideMark/>
          </w:tcPr>
          <w:p w14:paraId="2F5D5804"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456,893</w:t>
            </w:r>
          </w:p>
        </w:tc>
        <w:tc>
          <w:tcPr>
            <w:tcW w:w="489" w:type="pct"/>
            <w:tcBorders>
              <w:top w:val="nil"/>
              <w:left w:val="nil"/>
              <w:bottom w:val="single" w:sz="4" w:space="0" w:color="auto"/>
              <w:right w:val="single" w:sz="4" w:space="0" w:color="auto"/>
            </w:tcBorders>
            <w:noWrap/>
            <w:vAlign w:val="center"/>
            <w:hideMark/>
          </w:tcPr>
          <w:p w14:paraId="2B06697F"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482,193</w:t>
            </w:r>
          </w:p>
        </w:tc>
        <w:tc>
          <w:tcPr>
            <w:tcW w:w="387" w:type="pct"/>
            <w:tcBorders>
              <w:top w:val="nil"/>
              <w:left w:val="nil"/>
              <w:bottom w:val="single" w:sz="4" w:space="0" w:color="auto"/>
              <w:right w:val="single" w:sz="4" w:space="0" w:color="auto"/>
            </w:tcBorders>
            <w:noWrap/>
            <w:vAlign w:val="center"/>
            <w:hideMark/>
          </w:tcPr>
          <w:p w14:paraId="3009F106"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0.27</w:t>
            </w:r>
          </w:p>
        </w:tc>
        <w:tc>
          <w:tcPr>
            <w:tcW w:w="305" w:type="pct"/>
            <w:tcBorders>
              <w:top w:val="nil"/>
              <w:left w:val="nil"/>
              <w:bottom w:val="single" w:sz="4" w:space="0" w:color="auto"/>
              <w:right w:val="single" w:sz="4" w:space="0" w:color="auto"/>
            </w:tcBorders>
            <w:noWrap/>
            <w:vAlign w:val="center"/>
            <w:hideMark/>
          </w:tcPr>
          <w:p w14:paraId="08703C63"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0.27</w:t>
            </w:r>
          </w:p>
        </w:tc>
        <w:tc>
          <w:tcPr>
            <w:tcW w:w="489" w:type="pct"/>
            <w:tcBorders>
              <w:top w:val="nil"/>
              <w:left w:val="nil"/>
              <w:bottom w:val="single" w:sz="4" w:space="0" w:color="auto"/>
              <w:right w:val="single" w:sz="4" w:space="0" w:color="auto"/>
            </w:tcBorders>
            <w:vAlign w:val="center"/>
            <w:hideMark/>
          </w:tcPr>
          <w:p w14:paraId="54C96733"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130,928</w:t>
            </w:r>
          </w:p>
        </w:tc>
        <w:tc>
          <w:tcPr>
            <w:tcW w:w="489" w:type="pct"/>
            <w:tcBorders>
              <w:top w:val="nil"/>
              <w:left w:val="nil"/>
              <w:bottom w:val="single" w:sz="4" w:space="0" w:color="auto"/>
              <w:right w:val="single" w:sz="4" w:space="0" w:color="auto"/>
            </w:tcBorders>
            <w:vAlign w:val="center"/>
            <w:hideMark/>
          </w:tcPr>
          <w:p w14:paraId="4D88E312"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220,362</w:t>
            </w:r>
          </w:p>
        </w:tc>
        <w:tc>
          <w:tcPr>
            <w:tcW w:w="366" w:type="pct"/>
            <w:tcBorders>
              <w:top w:val="nil"/>
              <w:left w:val="nil"/>
              <w:bottom w:val="single" w:sz="4" w:space="0" w:color="auto"/>
              <w:right w:val="single" w:sz="4" w:space="0" w:color="auto"/>
            </w:tcBorders>
            <w:noWrap/>
            <w:vAlign w:val="center"/>
            <w:hideMark/>
          </w:tcPr>
          <w:p w14:paraId="177C17B0"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2.64</w:t>
            </w:r>
          </w:p>
        </w:tc>
        <w:tc>
          <w:tcPr>
            <w:tcW w:w="276" w:type="pct"/>
            <w:tcBorders>
              <w:top w:val="nil"/>
              <w:left w:val="nil"/>
              <w:bottom w:val="single" w:sz="4" w:space="0" w:color="auto"/>
              <w:right w:val="single" w:sz="4" w:space="0" w:color="auto"/>
            </w:tcBorders>
            <w:noWrap/>
            <w:vAlign w:val="center"/>
            <w:hideMark/>
          </w:tcPr>
          <w:p w14:paraId="0EA56EDE"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0.16</w:t>
            </w:r>
          </w:p>
        </w:tc>
        <w:tc>
          <w:tcPr>
            <w:tcW w:w="457" w:type="pct"/>
            <w:tcBorders>
              <w:top w:val="nil"/>
              <w:left w:val="nil"/>
              <w:bottom w:val="single" w:sz="4" w:space="0" w:color="auto"/>
              <w:right w:val="single" w:sz="4" w:space="0" w:color="auto"/>
            </w:tcBorders>
            <w:noWrap/>
            <w:vAlign w:val="center"/>
            <w:hideMark/>
          </w:tcPr>
          <w:p w14:paraId="7B9AE966"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77</w:t>
            </w:r>
          </w:p>
        </w:tc>
        <w:tc>
          <w:tcPr>
            <w:tcW w:w="537" w:type="pct"/>
            <w:tcBorders>
              <w:top w:val="nil"/>
              <w:left w:val="nil"/>
              <w:bottom w:val="single" w:sz="4" w:space="0" w:color="auto"/>
              <w:right w:val="single" w:sz="4" w:space="0" w:color="auto"/>
            </w:tcBorders>
            <w:noWrap/>
            <w:vAlign w:val="center"/>
            <w:hideMark/>
          </w:tcPr>
          <w:p w14:paraId="00F8FB73"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0.00</w:t>
            </w:r>
          </w:p>
        </w:tc>
      </w:tr>
      <w:tr w:rsidR="009A0A63" w:rsidRPr="00792B36" w14:paraId="3EFA9F06" w14:textId="77777777" w:rsidTr="00A24459">
        <w:trPr>
          <w:trHeight w:val="340"/>
        </w:trPr>
        <w:tc>
          <w:tcPr>
            <w:tcW w:w="748" w:type="pct"/>
            <w:tcBorders>
              <w:top w:val="nil"/>
              <w:left w:val="single" w:sz="4" w:space="0" w:color="auto"/>
              <w:bottom w:val="single" w:sz="4" w:space="0" w:color="auto"/>
              <w:right w:val="single" w:sz="4" w:space="0" w:color="auto"/>
            </w:tcBorders>
            <w:vAlign w:val="center"/>
            <w:hideMark/>
          </w:tcPr>
          <w:p w14:paraId="3ED80553" w14:textId="77777777" w:rsidR="009A0A63" w:rsidRPr="00792B36" w:rsidRDefault="009A0A63" w:rsidP="00A24459">
            <w:pPr>
              <w:rPr>
                <w:rFonts w:eastAsia="Times New Roman"/>
                <w:color w:val="000000"/>
                <w:sz w:val="24"/>
                <w:szCs w:val="24"/>
              </w:rPr>
            </w:pPr>
            <w:r w:rsidRPr="00792B36">
              <w:rPr>
                <w:rFonts w:eastAsia="Times New Roman"/>
                <w:color w:val="000000"/>
                <w:sz w:val="24"/>
                <w:szCs w:val="24"/>
              </w:rPr>
              <w:t>Prachuap Khiri Khan</w:t>
            </w:r>
          </w:p>
        </w:tc>
        <w:tc>
          <w:tcPr>
            <w:tcW w:w="457" w:type="pct"/>
            <w:tcBorders>
              <w:top w:val="nil"/>
              <w:left w:val="nil"/>
              <w:bottom w:val="single" w:sz="4" w:space="0" w:color="auto"/>
              <w:right w:val="single" w:sz="4" w:space="0" w:color="auto"/>
            </w:tcBorders>
            <w:noWrap/>
            <w:vAlign w:val="center"/>
            <w:hideMark/>
          </w:tcPr>
          <w:p w14:paraId="00510C03"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478,944</w:t>
            </w:r>
          </w:p>
        </w:tc>
        <w:tc>
          <w:tcPr>
            <w:tcW w:w="489" w:type="pct"/>
            <w:tcBorders>
              <w:top w:val="nil"/>
              <w:left w:val="nil"/>
              <w:bottom w:val="single" w:sz="4" w:space="0" w:color="auto"/>
              <w:right w:val="single" w:sz="4" w:space="0" w:color="auto"/>
            </w:tcBorders>
            <w:noWrap/>
            <w:vAlign w:val="center"/>
            <w:hideMark/>
          </w:tcPr>
          <w:p w14:paraId="40466DD0"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550,678</w:t>
            </w:r>
          </w:p>
        </w:tc>
        <w:tc>
          <w:tcPr>
            <w:tcW w:w="387" w:type="pct"/>
            <w:tcBorders>
              <w:top w:val="nil"/>
              <w:left w:val="nil"/>
              <w:bottom w:val="single" w:sz="4" w:space="0" w:color="auto"/>
              <w:right w:val="single" w:sz="4" w:space="0" w:color="auto"/>
            </w:tcBorders>
            <w:noWrap/>
            <w:vAlign w:val="center"/>
            <w:hideMark/>
          </w:tcPr>
          <w:p w14:paraId="68EF8A2C"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0.70</w:t>
            </w:r>
          </w:p>
        </w:tc>
        <w:tc>
          <w:tcPr>
            <w:tcW w:w="305" w:type="pct"/>
            <w:tcBorders>
              <w:top w:val="nil"/>
              <w:left w:val="nil"/>
              <w:bottom w:val="single" w:sz="4" w:space="0" w:color="auto"/>
              <w:right w:val="single" w:sz="4" w:space="0" w:color="auto"/>
            </w:tcBorders>
            <w:noWrap/>
            <w:vAlign w:val="center"/>
            <w:hideMark/>
          </w:tcPr>
          <w:p w14:paraId="48949865"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0.46</w:t>
            </w:r>
          </w:p>
        </w:tc>
        <w:tc>
          <w:tcPr>
            <w:tcW w:w="489" w:type="pct"/>
            <w:tcBorders>
              <w:top w:val="nil"/>
              <w:left w:val="nil"/>
              <w:bottom w:val="single" w:sz="4" w:space="0" w:color="auto"/>
              <w:right w:val="single" w:sz="4" w:space="0" w:color="auto"/>
            </w:tcBorders>
            <w:vAlign w:val="center"/>
            <w:hideMark/>
          </w:tcPr>
          <w:p w14:paraId="07A72F70"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138,021</w:t>
            </w:r>
          </w:p>
        </w:tc>
        <w:tc>
          <w:tcPr>
            <w:tcW w:w="489" w:type="pct"/>
            <w:tcBorders>
              <w:top w:val="nil"/>
              <w:left w:val="nil"/>
              <w:bottom w:val="single" w:sz="4" w:space="0" w:color="auto"/>
              <w:right w:val="single" w:sz="4" w:space="0" w:color="auto"/>
            </w:tcBorders>
            <w:vAlign w:val="center"/>
            <w:hideMark/>
          </w:tcPr>
          <w:p w14:paraId="33D39FE0"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271,890</w:t>
            </w:r>
          </w:p>
        </w:tc>
        <w:tc>
          <w:tcPr>
            <w:tcW w:w="366" w:type="pct"/>
            <w:tcBorders>
              <w:top w:val="nil"/>
              <w:left w:val="nil"/>
              <w:bottom w:val="single" w:sz="4" w:space="0" w:color="auto"/>
              <w:right w:val="single" w:sz="4" w:space="0" w:color="auto"/>
            </w:tcBorders>
            <w:noWrap/>
            <w:vAlign w:val="center"/>
            <w:hideMark/>
          </w:tcPr>
          <w:p w14:paraId="58A91317"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3.45</w:t>
            </w:r>
          </w:p>
        </w:tc>
        <w:tc>
          <w:tcPr>
            <w:tcW w:w="276" w:type="pct"/>
            <w:tcBorders>
              <w:top w:val="nil"/>
              <w:left w:val="nil"/>
              <w:bottom w:val="single" w:sz="4" w:space="0" w:color="auto"/>
              <w:right w:val="single" w:sz="4" w:space="0" w:color="auto"/>
            </w:tcBorders>
            <w:noWrap/>
            <w:vAlign w:val="center"/>
            <w:hideMark/>
          </w:tcPr>
          <w:p w14:paraId="694E3477"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0.45</w:t>
            </w:r>
          </w:p>
        </w:tc>
        <w:tc>
          <w:tcPr>
            <w:tcW w:w="457" w:type="pct"/>
            <w:tcBorders>
              <w:top w:val="nil"/>
              <w:left w:val="nil"/>
              <w:bottom w:val="single" w:sz="4" w:space="0" w:color="auto"/>
              <w:right w:val="single" w:sz="4" w:space="0" w:color="auto"/>
            </w:tcBorders>
            <w:noWrap/>
            <w:vAlign w:val="center"/>
            <w:hideMark/>
          </w:tcPr>
          <w:p w14:paraId="783FB4A2"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86</w:t>
            </w:r>
          </w:p>
        </w:tc>
        <w:tc>
          <w:tcPr>
            <w:tcW w:w="537" w:type="pct"/>
            <w:tcBorders>
              <w:top w:val="nil"/>
              <w:left w:val="nil"/>
              <w:bottom w:val="single" w:sz="4" w:space="0" w:color="auto"/>
              <w:right w:val="single" w:sz="4" w:space="0" w:color="auto"/>
            </w:tcBorders>
            <w:noWrap/>
            <w:vAlign w:val="center"/>
            <w:hideMark/>
          </w:tcPr>
          <w:p w14:paraId="3F01B146"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0.00</w:t>
            </w:r>
          </w:p>
        </w:tc>
      </w:tr>
      <w:tr w:rsidR="009A0A63" w:rsidRPr="00792B36" w14:paraId="0275D2D1" w14:textId="77777777" w:rsidTr="00A24459">
        <w:trPr>
          <w:trHeight w:val="340"/>
        </w:trPr>
        <w:tc>
          <w:tcPr>
            <w:tcW w:w="748" w:type="pct"/>
            <w:tcBorders>
              <w:top w:val="nil"/>
              <w:left w:val="single" w:sz="4" w:space="0" w:color="auto"/>
              <w:bottom w:val="single" w:sz="4" w:space="0" w:color="auto"/>
              <w:right w:val="single" w:sz="4" w:space="0" w:color="auto"/>
            </w:tcBorders>
            <w:vAlign w:val="center"/>
            <w:hideMark/>
          </w:tcPr>
          <w:p w14:paraId="2FB385CB" w14:textId="77777777" w:rsidR="009A0A63" w:rsidRPr="00792B36" w:rsidRDefault="009A0A63" w:rsidP="00A24459">
            <w:pPr>
              <w:rPr>
                <w:rFonts w:eastAsia="Times New Roman"/>
                <w:color w:val="000000"/>
                <w:sz w:val="24"/>
                <w:szCs w:val="24"/>
              </w:rPr>
            </w:pPr>
            <w:r w:rsidRPr="00792B36">
              <w:rPr>
                <w:rFonts w:eastAsia="Times New Roman"/>
                <w:color w:val="000000"/>
                <w:sz w:val="24"/>
                <w:szCs w:val="24"/>
              </w:rPr>
              <w:t>Nakhon Si Thammarat</w:t>
            </w:r>
          </w:p>
        </w:tc>
        <w:tc>
          <w:tcPr>
            <w:tcW w:w="457" w:type="pct"/>
            <w:tcBorders>
              <w:top w:val="nil"/>
              <w:left w:val="nil"/>
              <w:bottom w:val="single" w:sz="4" w:space="0" w:color="auto"/>
              <w:right w:val="single" w:sz="4" w:space="0" w:color="auto"/>
            </w:tcBorders>
            <w:noWrap/>
            <w:vAlign w:val="center"/>
            <w:hideMark/>
          </w:tcPr>
          <w:p w14:paraId="152083B5"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1,524,558</w:t>
            </w:r>
          </w:p>
        </w:tc>
        <w:tc>
          <w:tcPr>
            <w:tcW w:w="489" w:type="pct"/>
            <w:tcBorders>
              <w:top w:val="nil"/>
              <w:left w:val="nil"/>
              <w:bottom w:val="single" w:sz="4" w:space="0" w:color="auto"/>
              <w:right w:val="single" w:sz="4" w:space="0" w:color="auto"/>
            </w:tcBorders>
            <w:noWrap/>
            <w:vAlign w:val="center"/>
            <w:hideMark/>
          </w:tcPr>
          <w:p w14:paraId="1B696AC2"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1,550,721</w:t>
            </w:r>
          </w:p>
        </w:tc>
        <w:tc>
          <w:tcPr>
            <w:tcW w:w="387" w:type="pct"/>
            <w:tcBorders>
              <w:top w:val="nil"/>
              <w:left w:val="nil"/>
              <w:bottom w:val="single" w:sz="4" w:space="0" w:color="auto"/>
              <w:right w:val="single" w:sz="4" w:space="0" w:color="auto"/>
            </w:tcBorders>
            <w:noWrap/>
            <w:vAlign w:val="center"/>
            <w:hideMark/>
          </w:tcPr>
          <w:p w14:paraId="36314A33"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0.09</w:t>
            </w:r>
          </w:p>
        </w:tc>
        <w:tc>
          <w:tcPr>
            <w:tcW w:w="305" w:type="pct"/>
            <w:tcBorders>
              <w:top w:val="nil"/>
              <w:left w:val="nil"/>
              <w:bottom w:val="single" w:sz="4" w:space="0" w:color="auto"/>
              <w:right w:val="single" w:sz="4" w:space="0" w:color="auto"/>
            </w:tcBorders>
            <w:noWrap/>
            <w:vAlign w:val="center"/>
            <w:hideMark/>
          </w:tcPr>
          <w:p w14:paraId="1BF8696F"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0.19</w:t>
            </w:r>
          </w:p>
        </w:tc>
        <w:tc>
          <w:tcPr>
            <w:tcW w:w="489" w:type="pct"/>
            <w:tcBorders>
              <w:top w:val="nil"/>
              <w:left w:val="nil"/>
              <w:bottom w:val="single" w:sz="4" w:space="0" w:color="auto"/>
              <w:right w:val="single" w:sz="4" w:space="0" w:color="auto"/>
            </w:tcBorders>
            <w:vAlign w:val="center"/>
            <w:hideMark/>
          </w:tcPr>
          <w:p w14:paraId="23F1982D"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368,401</w:t>
            </w:r>
          </w:p>
        </w:tc>
        <w:tc>
          <w:tcPr>
            <w:tcW w:w="489" w:type="pct"/>
            <w:tcBorders>
              <w:top w:val="nil"/>
              <w:left w:val="nil"/>
              <w:bottom w:val="single" w:sz="4" w:space="0" w:color="auto"/>
              <w:right w:val="single" w:sz="4" w:space="0" w:color="auto"/>
            </w:tcBorders>
            <w:vAlign w:val="center"/>
            <w:hideMark/>
          </w:tcPr>
          <w:p w14:paraId="0667A974"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581,948</w:t>
            </w:r>
          </w:p>
        </w:tc>
        <w:tc>
          <w:tcPr>
            <w:tcW w:w="366" w:type="pct"/>
            <w:tcBorders>
              <w:top w:val="nil"/>
              <w:left w:val="nil"/>
              <w:bottom w:val="single" w:sz="4" w:space="0" w:color="auto"/>
              <w:right w:val="single" w:sz="4" w:space="0" w:color="auto"/>
            </w:tcBorders>
            <w:noWrap/>
            <w:vAlign w:val="center"/>
            <w:hideMark/>
          </w:tcPr>
          <w:p w14:paraId="51DC75F8"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2.31</w:t>
            </w:r>
          </w:p>
        </w:tc>
        <w:tc>
          <w:tcPr>
            <w:tcW w:w="276" w:type="pct"/>
            <w:tcBorders>
              <w:top w:val="nil"/>
              <w:left w:val="nil"/>
              <w:bottom w:val="single" w:sz="4" w:space="0" w:color="auto"/>
              <w:right w:val="single" w:sz="4" w:space="0" w:color="auto"/>
            </w:tcBorders>
            <w:noWrap/>
            <w:vAlign w:val="center"/>
            <w:hideMark/>
          </w:tcPr>
          <w:p w14:paraId="11A69917"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0.05</w:t>
            </w:r>
          </w:p>
        </w:tc>
        <w:tc>
          <w:tcPr>
            <w:tcW w:w="457" w:type="pct"/>
            <w:tcBorders>
              <w:top w:val="nil"/>
              <w:left w:val="nil"/>
              <w:bottom w:val="single" w:sz="4" w:space="0" w:color="auto"/>
              <w:right w:val="single" w:sz="4" w:space="0" w:color="auto"/>
            </w:tcBorders>
            <w:noWrap/>
            <w:vAlign w:val="center"/>
            <w:hideMark/>
          </w:tcPr>
          <w:p w14:paraId="3F4BD3B5"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156</w:t>
            </w:r>
          </w:p>
        </w:tc>
        <w:tc>
          <w:tcPr>
            <w:tcW w:w="537" w:type="pct"/>
            <w:tcBorders>
              <w:top w:val="nil"/>
              <w:left w:val="nil"/>
              <w:bottom w:val="single" w:sz="4" w:space="0" w:color="auto"/>
              <w:right w:val="single" w:sz="4" w:space="0" w:color="auto"/>
            </w:tcBorders>
            <w:noWrap/>
            <w:vAlign w:val="center"/>
            <w:hideMark/>
          </w:tcPr>
          <w:p w14:paraId="5B05A41D"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0.02</w:t>
            </w:r>
          </w:p>
        </w:tc>
      </w:tr>
      <w:tr w:rsidR="009A0A63" w:rsidRPr="00792B36" w14:paraId="0DCDF6BA" w14:textId="77777777" w:rsidTr="00A24459">
        <w:trPr>
          <w:trHeight w:val="340"/>
        </w:trPr>
        <w:tc>
          <w:tcPr>
            <w:tcW w:w="748" w:type="pct"/>
            <w:tcBorders>
              <w:top w:val="nil"/>
              <w:left w:val="single" w:sz="4" w:space="0" w:color="auto"/>
              <w:bottom w:val="single" w:sz="4" w:space="0" w:color="auto"/>
              <w:right w:val="single" w:sz="4" w:space="0" w:color="auto"/>
            </w:tcBorders>
            <w:vAlign w:val="center"/>
            <w:hideMark/>
          </w:tcPr>
          <w:p w14:paraId="7D254D13" w14:textId="77777777" w:rsidR="009A0A63" w:rsidRPr="00792B36" w:rsidRDefault="009A0A63" w:rsidP="00A24459">
            <w:pPr>
              <w:rPr>
                <w:rFonts w:eastAsia="Times New Roman"/>
                <w:color w:val="000000"/>
                <w:sz w:val="24"/>
                <w:szCs w:val="24"/>
              </w:rPr>
            </w:pPr>
            <w:r w:rsidRPr="00792B36">
              <w:rPr>
                <w:rFonts w:eastAsia="Times New Roman"/>
                <w:color w:val="000000"/>
                <w:sz w:val="24"/>
                <w:szCs w:val="24"/>
              </w:rPr>
              <w:t>Surat-Thani</w:t>
            </w:r>
          </w:p>
        </w:tc>
        <w:tc>
          <w:tcPr>
            <w:tcW w:w="457" w:type="pct"/>
            <w:tcBorders>
              <w:top w:val="nil"/>
              <w:left w:val="nil"/>
              <w:bottom w:val="single" w:sz="4" w:space="0" w:color="auto"/>
              <w:right w:val="single" w:sz="4" w:space="0" w:color="auto"/>
            </w:tcBorders>
            <w:noWrap/>
            <w:vAlign w:val="center"/>
            <w:hideMark/>
          </w:tcPr>
          <w:p w14:paraId="1B0AD81B"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893,534</w:t>
            </w:r>
          </w:p>
        </w:tc>
        <w:tc>
          <w:tcPr>
            <w:tcW w:w="489" w:type="pct"/>
            <w:tcBorders>
              <w:top w:val="nil"/>
              <w:left w:val="nil"/>
              <w:bottom w:val="single" w:sz="4" w:space="0" w:color="auto"/>
              <w:right w:val="single" w:sz="4" w:space="0" w:color="auto"/>
            </w:tcBorders>
            <w:noWrap/>
            <w:vAlign w:val="center"/>
            <w:hideMark/>
          </w:tcPr>
          <w:p w14:paraId="0A113424"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1,067,726</w:t>
            </w:r>
          </w:p>
        </w:tc>
        <w:tc>
          <w:tcPr>
            <w:tcW w:w="387" w:type="pct"/>
            <w:tcBorders>
              <w:top w:val="nil"/>
              <w:left w:val="nil"/>
              <w:bottom w:val="single" w:sz="4" w:space="0" w:color="auto"/>
              <w:right w:val="single" w:sz="4" w:space="0" w:color="auto"/>
            </w:tcBorders>
            <w:noWrap/>
            <w:vAlign w:val="center"/>
            <w:hideMark/>
          </w:tcPr>
          <w:p w14:paraId="510A029F"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0.89</w:t>
            </w:r>
          </w:p>
        </w:tc>
        <w:tc>
          <w:tcPr>
            <w:tcW w:w="305" w:type="pct"/>
            <w:tcBorders>
              <w:top w:val="nil"/>
              <w:left w:val="nil"/>
              <w:bottom w:val="single" w:sz="4" w:space="0" w:color="auto"/>
              <w:right w:val="single" w:sz="4" w:space="0" w:color="auto"/>
            </w:tcBorders>
            <w:noWrap/>
            <w:vAlign w:val="center"/>
            <w:hideMark/>
          </w:tcPr>
          <w:p w14:paraId="08137AC9"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0.55</w:t>
            </w:r>
          </w:p>
        </w:tc>
        <w:tc>
          <w:tcPr>
            <w:tcW w:w="489" w:type="pct"/>
            <w:tcBorders>
              <w:top w:val="nil"/>
              <w:left w:val="nil"/>
              <w:bottom w:val="single" w:sz="4" w:space="0" w:color="000000"/>
              <w:right w:val="single" w:sz="4" w:space="0" w:color="000000"/>
            </w:tcBorders>
            <w:vAlign w:val="center"/>
            <w:hideMark/>
          </w:tcPr>
          <w:p w14:paraId="6E5A2F82"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255,988</w:t>
            </w:r>
          </w:p>
        </w:tc>
        <w:tc>
          <w:tcPr>
            <w:tcW w:w="489" w:type="pct"/>
            <w:tcBorders>
              <w:top w:val="nil"/>
              <w:left w:val="nil"/>
              <w:bottom w:val="single" w:sz="4" w:space="0" w:color="auto"/>
              <w:right w:val="single" w:sz="4" w:space="0" w:color="auto"/>
            </w:tcBorders>
            <w:vAlign w:val="center"/>
            <w:hideMark/>
          </w:tcPr>
          <w:p w14:paraId="14DD7ACD"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512,366</w:t>
            </w:r>
          </w:p>
        </w:tc>
        <w:tc>
          <w:tcPr>
            <w:tcW w:w="366" w:type="pct"/>
            <w:tcBorders>
              <w:top w:val="nil"/>
              <w:left w:val="nil"/>
              <w:bottom w:val="single" w:sz="4" w:space="0" w:color="auto"/>
              <w:right w:val="single" w:sz="4" w:space="0" w:color="auto"/>
            </w:tcBorders>
            <w:noWrap/>
            <w:vAlign w:val="center"/>
            <w:hideMark/>
          </w:tcPr>
          <w:p w14:paraId="0FBCC598"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3.53</w:t>
            </w:r>
          </w:p>
        </w:tc>
        <w:tc>
          <w:tcPr>
            <w:tcW w:w="276" w:type="pct"/>
            <w:tcBorders>
              <w:top w:val="nil"/>
              <w:left w:val="nil"/>
              <w:bottom w:val="single" w:sz="4" w:space="0" w:color="auto"/>
              <w:right w:val="single" w:sz="4" w:space="0" w:color="auto"/>
            </w:tcBorders>
            <w:noWrap/>
            <w:vAlign w:val="center"/>
            <w:hideMark/>
          </w:tcPr>
          <w:p w14:paraId="57F517C2"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0.48</w:t>
            </w:r>
          </w:p>
        </w:tc>
        <w:tc>
          <w:tcPr>
            <w:tcW w:w="457" w:type="pct"/>
            <w:tcBorders>
              <w:top w:val="nil"/>
              <w:left w:val="nil"/>
              <w:bottom w:val="single" w:sz="4" w:space="0" w:color="auto"/>
              <w:right w:val="single" w:sz="4" w:space="0" w:color="auto"/>
            </w:tcBorders>
            <w:noWrap/>
            <w:vAlign w:val="center"/>
            <w:hideMark/>
          </w:tcPr>
          <w:p w14:paraId="709D4883"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83</w:t>
            </w:r>
          </w:p>
        </w:tc>
        <w:tc>
          <w:tcPr>
            <w:tcW w:w="537" w:type="pct"/>
            <w:tcBorders>
              <w:top w:val="nil"/>
              <w:left w:val="nil"/>
              <w:bottom w:val="single" w:sz="4" w:space="0" w:color="auto"/>
              <w:right w:val="single" w:sz="4" w:space="0" w:color="auto"/>
            </w:tcBorders>
            <w:noWrap/>
            <w:vAlign w:val="center"/>
            <w:hideMark/>
          </w:tcPr>
          <w:p w14:paraId="5CF3BE07"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0.00</w:t>
            </w:r>
          </w:p>
        </w:tc>
      </w:tr>
      <w:tr w:rsidR="009A0A63" w:rsidRPr="00792B36" w14:paraId="197B7E33" w14:textId="77777777" w:rsidTr="00A24459">
        <w:trPr>
          <w:trHeight w:val="340"/>
        </w:trPr>
        <w:tc>
          <w:tcPr>
            <w:tcW w:w="748" w:type="pct"/>
            <w:tcBorders>
              <w:top w:val="nil"/>
              <w:left w:val="single" w:sz="4" w:space="0" w:color="auto"/>
              <w:bottom w:val="single" w:sz="4" w:space="0" w:color="auto"/>
              <w:right w:val="single" w:sz="4" w:space="0" w:color="auto"/>
            </w:tcBorders>
            <w:vAlign w:val="center"/>
            <w:hideMark/>
          </w:tcPr>
          <w:p w14:paraId="317EEB6D" w14:textId="77777777" w:rsidR="009A0A63" w:rsidRPr="00792B36" w:rsidRDefault="009A0A63" w:rsidP="00A24459">
            <w:pPr>
              <w:rPr>
                <w:rFonts w:eastAsia="Times New Roman"/>
                <w:color w:val="000000"/>
                <w:sz w:val="24"/>
                <w:szCs w:val="24"/>
              </w:rPr>
            </w:pPr>
            <w:r w:rsidRPr="00792B36">
              <w:rPr>
                <w:rFonts w:eastAsia="Times New Roman"/>
                <w:color w:val="000000"/>
                <w:sz w:val="24"/>
                <w:szCs w:val="24"/>
              </w:rPr>
              <w:t>Chumphon</w:t>
            </w:r>
          </w:p>
        </w:tc>
        <w:tc>
          <w:tcPr>
            <w:tcW w:w="457" w:type="pct"/>
            <w:tcBorders>
              <w:top w:val="nil"/>
              <w:left w:val="nil"/>
              <w:bottom w:val="single" w:sz="4" w:space="0" w:color="auto"/>
              <w:right w:val="single" w:sz="4" w:space="0" w:color="auto"/>
            </w:tcBorders>
            <w:noWrap/>
            <w:vAlign w:val="center"/>
            <w:hideMark/>
          </w:tcPr>
          <w:p w14:paraId="6D1A94BA"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463,394</w:t>
            </w:r>
          </w:p>
        </w:tc>
        <w:tc>
          <w:tcPr>
            <w:tcW w:w="489" w:type="pct"/>
            <w:tcBorders>
              <w:top w:val="nil"/>
              <w:left w:val="nil"/>
              <w:bottom w:val="single" w:sz="4" w:space="0" w:color="auto"/>
              <w:right w:val="single" w:sz="4" w:space="0" w:color="auto"/>
            </w:tcBorders>
            <w:noWrap/>
            <w:vAlign w:val="center"/>
            <w:hideMark/>
          </w:tcPr>
          <w:p w14:paraId="2FC8A57F"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509,208</w:t>
            </w:r>
          </w:p>
        </w:tc>
        <w:tc>
          <w:tcPr>
            <w:tcW w:w="387" w:type="pct"/>
            <w:tcBorders>
              <w:top w:val="nil"/>
              <w:left w:val="nil"/>
              <w:bottom w:val="single" w:sz="4" w:space="0" w:color="auto"/>
              <w:right w:val="single" w:sz="4" w:space="0" w:color="auto"/>
            </w:tcBorders>
            <w:noWrap/>
            <w:vAlign w:val="center"/>
            <w:hideMark/>
          </w:tcPr>
          <w:p w14:paraId="3F81D1A1"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0.47</w:t>
            </w:r>
          </w:p>
        </w:tc>
        <w:tc>
          <w:tcPr>
            <w:tcW w:w="305" w:type="pct"/>
            <w:tcBorders>
              <w:top w:val="nil"/>
              <w:left w:val="nil"/>
              <w:bottom w:val="single" w:sz="4" w:space="0" w:color="auto"/>
              <w:right w:val="single" w:sz="4" w:space="0" w:color="auto"/>
            </w:tcBorders>
            <w:noWrap/>
            <w:vAlign w:val="center"/>
            <w:hideMark/>
          </w:tcPr>
          <w:p w14:paraId="7253D4D1"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0.36</w:t>
            </w:r>
          </w:p>
        </w:tc>
        <w:tc>
          <w:tcPr>
            <w:tcW w:w="489" w:type="pct"/>
            <w:tcBorders>
              <w:top w:val="nil"/>
              <w:left w:val="nil"/>
              <w:bottom w:val="single" w:sz="4" w:space="0" w:color="auto"/>
              <w:right w:val="single" w:sz="4" w:space="0" w:color="auto"/>
            </w:tcBorders>
            <w:vAlign w:val="center"/>
            <w:hideMark/>
          </w:tcPr>
          <w:p w14:paraId="15185322"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139,964</w:t>
            </w:r>
          </w:p>
        </w:tc>
        <w:tc>
          <w:tcPr>
            <w:tcW w:w="489" w:type="pct"/>
            <w:tcBorders>
              <w:top w:val="nil"/>
              <w:left w:val="nil"/>
              <w:bottom w:val="single" w:sz="4" w:space="0" w:color="auto"/>
              <w:right w:val="single" w:sz="4" w:space="0" w:color="auto"/>
            </w:tcBorders>
            <w:vAlign w:val="center"/>
            <w:hideMark/>
          </w:tcPr>
          <w:p w14:paraId="613A06E8"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240,248</w:t>
            </w:r>
          </w:p>
        </w:tc>
        <w:tc>
          <w:tcPr>
            <w:tcW w:w="366" w:type="pct"/>
            <w:tcBorders>
              <w:top w:val="nil"/>
              <w:left w:val="nil"/>
              <w:bottom w:val="single" w:sz="4" w:space="0" w:color="auto"/>
              <w:right w:val="single" w:sz="4" w:space="0" w:color="auto"/>
            </w:tcBorders>
            <w:noWrap/>
            <w:vAlign w:val="center"/>
            <w:hideMark/>
          </w:tcPr>
          <w:p w14:paraId="0A27DE08"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2.74</w:t>
            </w:r>
          </w:p>
        </w:tc>
        <w:tc>
          <w:tcPr>
            <w:tcW w:w="276" w:type="pct"/>
            <w:tcBorders>
              <w:top w:val="nil"/>
              <w:left w:val="nil"/>
              <w:bottom w:val="single" w:sz="4" w:space="0" w:color="auto"/>
              <w:right w:val="single" w:sz="4" w:space="0" w:color="auto"/>
            </w:tcBorders>
            <w:noWrap/>
            <w:vAlign w:val="center"/>
            <w:hideMark/>
          </w:tcPr>
          <w:p w14:paraId="367D9407"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0.20</w:t>
            </w:r>
          </w:p>
        </w:tc>
        <w:tc>
          <w:tcPr>
            <w:tcW w:w="457" w:type="pct"/>
            <w:tcBorders>
              <w:top w:val="nil"/>
              <w:left w:val="nil"/>
              <w:bottom w:val="single" w:sz="4" w:space="0" w:color="auto"/>
              <w:right w:val="single" w:sz="4" w:space="0" w:color="auto"/>
            </w:tcBorders>
            <w:noWrap/>
            <w:vAlign w:val="center"/>
            <w:hideMark/>
          </w:tcPr>
          <w:p w14:paraId="0AA49016"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85</w:t>
            </w:r>
          </w:p>
        </w:tc>
        <w:tc>
          <w:tcPr>
            <w:tcW w:w="537" w:type="pct"/>
            <w:tcBorders>
              <w:top w:val="nil"/>
              <w:left w:val="nil"/>
              <w:bottom w:val="single" w:sz="4" w:space="0" w:color="auto"/>
              <w:right w:val="single" w:sz="4" w:space="0" w:color="auto"/>
            </w:tcBorders>
            <w:noWrap/>
            <w:vAlign w:val="center"/>
            <w:hideMark/>
          </w:tcPr>
          <w:p w14:paraId="663850AA"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0.00</w:t>
            </w:r>
          </w:p>
        </w:tc>
      </w:tr>
      <w:tr w:rsidR="009A0A63" w:rsidRPr="00792B36" w14:paraId="627004B5" w14:textId="77777777" w:rsidTr="00A24459">
        <w:trPr>
          <w:trHeight w:val="340"/>
        </w:trPr>
        <w:tc>
          <w:tcPr>
            <w:tcW w:w="748" w:type="pct"/>
            <w:tcBorders>
              <w:top w:val="nil"/>
              <w:left w:val="single" w:sz="4" w:space="0" w:color="auto"/>
              <w:bottom w:val="single" w:sz="4" w:space="0" w:color="auto"/>
              <w:right w:val="single" w:sz="4" w:space="0" w:color="auto"/>
            </w:tcBorders>
            <w:vAlign w:val="center"/>
            <w:hideMark/>
          </w:tcPr>
          <w:p w14:paraId="31A52858" w14:textId="77777777" w:rsidR="009A0A63" w:rsidRPr="00792B36" w:rsidRDefault="009A0A63" w:rsidP="00A24459">
            <w:pPr>
              <w:rPr>
                <w:rFonts w:eastAsia="Times New Roman"/>
                <w:color w:val="000000"/>
                <w:sz w:val="24"/>
                <w:szCs w:val="24"/>
              </w:rPr>
            </w:pPr>
            <w:r w:rsidRPr="00792B36">
              <w:rPr>
                <w:rFonts w:eastAsia="Times New Roman"/>
                <w:color w:val="000000"/>
                <w:sz w:val="24"/>
                <w:szCs w:val="24"/>
              </w:rPr>
              <w:t>Songkhl</w:t>
            </w:r>
            <w:r w:rsidRPr="00792B36">
              <w:rPr>
                <w:rFonts w:eastAsia="Times New Roman"/>
                <w:color w:val="000000"/>
                <w:sz w:val="24"/>
                <w:szCs w:val="24"/>
              </w:rPr>
              <w:lastRenderedPageBreak/>
              <w:t>a</w:t>
            </w:r>
          </w:p>
        </w:tc>
        <w:tc>
          <w:tcPr>
            <w:tcW w:w="457" w:type="pct"/>
            <w:tcBorders>
              <w:top w:val="nil"/>
              <w:left w:val="nil"/>
              <w:bottom w:val="single" w:sz="4" w:space="0" w:color="auto"/>
              <w:right w:val="single" w:sz="4" w:space="0" w:color="auto"/>
            </w:tcBorders>
            <w:noWrap/>
            <w:vAlign w:val="center"/>
            <w:hideMark/>
          </w:tcPr>
          <w:p w14:paraId="28098C31"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lastRenderedPageBreak/>
              <w:t>1,23</w:t>
            </w:r>
            <w:r w:rsidRPr="00792B36">
              <w:rPr>
                <w:rFonts w:eastAsia="Times New Roman"/>
                <w:color w:val="000000"/>
                <w:sz w:val="24"/>
                <w:szCs w:val="24"/>
              </w:rPr>
              <w:lastRenderedPageBreak/>
              <w:t>2,600</w:t>
            </w:r>
          </w:p>
        </w:tc>
        <w:tc>
          <w:tcPr>
            <w:tcW w:w="489" w:type="pct"/>
            <w:tcBorders>
              <w:top w:val="nil"/>
              <w:left w:val="nil"/>
              <w:bottom w:val="single" w:sz="4" w:space="0" w:color="auto"/>
              <w:right w:val="single" w:sz="4" w:space="0" w:color="auto"/>
            </w:tcBorders>
            <w:noWrap/>
            <w:vAlign w:val="center"/>
            <w:hideMark/>
          </w:tcPr>
          <w:p w14:paraId="1153ED93"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lastRenderedPageBreak/>
              <w:t>1,42</w:t>
            </w:r>
            <w:r w:rsidRPr="00792B36">
              <w:rPr>
                <w:rFonts w:eastAsia="Times New Roman"/>
                <w:color w:val="000000"/>
                <w:sz w:val="24"/>
                <w:szCs w:val="24"/>
              </w:rPr>
              <w:lastRenderedPageBreak/>
              <w:t>8,609</w:t>
            </w:r>
          </w:p>
        </w:tc>
        <w:tc>
          <w:tcPr>
            <w:tcW w:w="387" w:type="pct"/>
            <w:tcBorders>
              <w:top w:val="nil"/>
              <w:left w:val="nil"/>
              <w:bottom w:val="single" w:sz="4" w:space="0" w:color="auto"/>
              <w:right w:val="single" w:sz="4" w:space="0" w:color="auto"/>
            </w:tcBorders>
            <w:noWrap/>
            <w:vAlign w:val="center"/>
            <w:hideMark/>
          </w:tcPr>
          <w:p w14:paraId="5BCDD59A"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lastRenderedPageBreak/>
              <w:t>0.74</w:t>
            </w:r>
          </w:p>
        </w:tc>
        <w:tc>
          <w:tcPr>
            <w:tcW w:w="305" w:type="pct"/>
            <w:tcBorders>
              <w:top w:val="nil"/>
              <w:left w:val="nil"/>
              <w:bottom w:val="single" w:sz="4" w:space="0" w:color="auto"/>
              <w:right w:val="single" w:sz="4" w:space="0" w:color="auto"/>
            </w:tcBorders>
            <w:noWrap/>
            <w:vAlign w:val="center"/>
            <w:hideMark/>
          </w:tcPr>
          <w:p w14:paraId="02884D71"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0.</w:t>
            </w:r>
            <w:r w:rsidRPr="00792B36">
              <w:rPr>
                <w:rFonts w:eastAsia="Times New Roman"/>
                <w:color w:val="000000"/>
                <w:sz w:val="24"/>
                <w:szCs w:val="24"/>
              </w:rPr>
              <w:lastRenderedPageBreak/>
              <w:t>48</w:t>
            </w:r>
          </w:p>
        </w:tc>
        <w:tc>
          <w:tcPr>
            <w:tcW w:w="489" w:type="pct"/>
            <w:tcBorders>
              <w:top w:val="nil"/>
              <w:left w:val="nil"/>
              <w:bottom w:val="single" w:sz="4" w:space="0" w:color="auto"/>
              <w:right w:val="single" w:sz="4" w:space="0" w:color="auto"/>
            </w:tcBorders>
            <w:vAlign w:val="center"/>
            <w:hideMark/>
          </w:tcPr>
          <w:p w14:paraId="420F8905"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lastRenderedPageBreak/>
              <w:t>311,</w:t>
            </w:r>
            <w:r w:rsidRPr="00792B36">
              <w:rPr>
                <w:rFonts w:eastAsia="Times New Roman"/>
                <w:color w:val="000000"/>
                <w:sz w:val="24"/>
                <w:szCs w:val="24"/>
              </w:rPr>
              <w:lastRenderedPageBreak/>
              <w:t>407</w:t>
            </w:r>
          </w:p>
        </w:tc>
        <w:tc>
          <w:tcPr>
            <w:tcW w:w="489" w:type="pct"/>
            <w:tcBorders>
              <w:top w:val="nil"/>
              <w:left w:val="nil"/>
              <w:bottom w:val="single" w:sz="4" w:space="0" w:color="auto"/>
              <w:right w:val="single" w:sz="4" w:space="0" w:color="auto"/>
            </w:tcBorders>
            <w:vAlign w:val="center"/>
            <w:hideMark/>
          </w:tcPr>
          <w:p w14:paraId="69085BA9"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lastRenderedPageBreak/>
              <w:t>553,</w:t>
            </w:r>
            <w:r w:rsidRPr="00792B36">
              <w:rPr>
                <w:rFonts w:eastAsia="Times New Roman"/>
                <w:color w:val="000000"/>
                <w:sz w:val="24"/>
                <w:szCs w:val="24"/>
              </w:rPr>
              <w:lastRenderedPageBreak/>
              <w:t>597</w:t>
            </w:r>
          </w:p>
        </w:tc>
        <w:tc>
          <w:tcPr>
            <w:tcW w:w="366" w:type="pct"/>
            <w:tcBorders>
              <w:top w:val="nil"/>
              <w:left w:val="nil"/>
              <w:bottom w:val="single" w:sz="4" w:space="0" w:color="auto"/>
              <w:right w:val="single" w:sz="4" w:space="0" w:color="auto"/>
            </w:tcBorders>
            <w:noWrap/>
            <w:vAlign w:val="center"/>
            <w:hideMark/>
          </w:tcPr>
          <w:p w14:paraId="00B140E2"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lastRenderedPageBreak/>
              <w:t>2.92</w:t>
            </w:r>
          </w:p>
        </w:tc>
        <w:tc>
          <w:tcPr>
            <w:tcW w:w="276" w:type="pct"/>
            <w:tcBorders>
              <w:top w:val="nil"/>
              <w:left w:val="nil"/>
              <w:bottom w:val="single" w:sz="4" w:space="0" w:color="auto"/>
              <w:right w:val="single" w:sz="4" w:space="0" w:color="auto"/>
            </w:tcBorders>
            <w:noWrap/>
            <w:vAlign w:val="center"/>
            <w:hideMark/>
          </w:tcPr>
          <w:p w14:paraId="2B12D374"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0.</w:t>
            </w:r>
            <w:r w:rsidRPr="00792B36">
              <w:rPr>
                <w:rFonts w:eastAsia="Times New Roman"/>
                <w:color w:val="000000"/>
                <w:sz w:val="24"/>
                <w:szCs w:val="24"/>
              </w:rPr>
              <w:lastRenderedPageBreak/>
              <w:t>26</w:t>
            </w:r>
          </w:p>
        </w:tc>
        <w:tc>
          <w:tcPr>
            <w:tcW w:w="457" w:type="pct"/>
            <w:tcBorders>
              <w:top w:val="nil"/>
              <w:left w:val="nil"/>
              <w:bottom w:val="single" w:sz="4" w:space="0" w:color="auto"/>
              <w:right w:val="single" w:sz="4" w:space="0" w:color="auto"/>
            </w:tcBorders>
            <w:noWrap/>
            <w:vAlign w:val="center"/>
            <w:hideMark/>
          </w:tcPr>
          <w:p w14:paraId="0C46C935"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lastRenderedPageBreak/>
              <w:t>193</w:t>
            </w:r>
          </w:p>
        </w:tc>
        <w:tc>
          <w:tcPr>
            <w:tcW w:w="537" w:type="pct"/>
            <w:tcBorders>
              <w:top w:val="nil"/>
              <w:left w:val="nil"/>
              <w:bottom w:val="single" w:sz="4" w:space="0" w:color="auto"/>
              <w:right w:val="single" w:sz="4" w:space="0" w:color="auto"/>
            </w:tcBorders>
            <w:noWrap/>
            <w:vAlign w:val="center"/>
            <w:hideMark/>
          </w:tcPr>
          <w:p w14:paraId="12A1C0D9"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0.03</w:t>
            </w:r>
          </w:p>
        </w:tc>
      </w:tr>
      <w:tr w:rsidR="009A0A63" w:rsidRPr="00792B36" w14:paraId="04122853" w14:textId="77777777" w:rsidTr="00A24459">
        <w:trPr>
          <w:trHeight w:val="340"/>
        </w:trPr>
        <w:tc>
          <w:tcPr>
            <w:tcW w:w="748" w:type="pct"/>
            <w:tcBorders>
              <w:top w:val="nil"/>
              <w:left w:val="single" w:sz="4" w:space="0" w:color="auto"/>
              <w:bottom w:val="single" w:sz="4" w:space="0" w:color="auto"/>
              <w:right w:val="single" w:sz="4" w:space="0" w:color="auto"/>
            </w:tcBorders>
            <w:vAlign w:val="center"/>
            <w:hideMark/>
          </w:tcPr>
          <w:p w14:paraId="7E717AF7" w14:textId="77777777" w:rsidR="009A0A63" w:rsidRPr="00792B36" w:rsidRDefault="009A0A63" w:rsidP="00A24459">
            <w:pPr>
              <w:rPr>
                <w:rFonts w:eastAsia="Times New Roman"/>
                <w:color w:val="000000"/>
                <w:sz w:val="24"/>
                <w:szCs w:val="24"/>
              </w:rPr>
            </w:pPr>
            <w:r w:rsidRPr="00792B36">
              <w:rPr>
                <w:rFonts w:eastAsia="Times New Roman"/>
                <w:color w:val="000000"/>
                <w:sz w:val="24"/>
                <w:szCs w:val="24"/>
              </w:rPr>
              <w:t>Pattani</w:t>
            </w:r>
          </w:p>
        </w:tc>
        <w:tc>
          <w:tcPr>
            <w:tcW w:w="457" w:type="pct"/>
            <w:tcBorders>
              <w:top w:val="nil"/>
              <w:left w:val="nil"/>
              <w:bottom w:val="single" w:sz="4" w:space="0" w:color="auto"/>
              <w:right w:val="single" w:sz="4" w:space="0" w:color="auto"/>
            </w:tcBorders>
            <w:noWrap/>
            <w:vAlign w:val="center"/>
            <w:hideMark/>
          </w:tcPr>
          <w:p w14:paraId="62874AD7"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612,127</w:t>
            </w:r>
          </w:p>
        </w:tc>
        <w:tc>
          <w:tcPr>
            <w:tcW w:w="489" w:type="pct"/>
            <w:tcBorders>
              <w:top w:val="nil"/>
              <w:left w:val="nil"/>
              <w:bottom w:val="single" w:sz="4" w:space="0" w:color="auto"/>
              <w:right w:val="single" w:sz="4" w:space="0" w:color="auto"/>
            </w:tcBorders>
            <w:noWrap/>
            <w:vAlign w:val="center"/>
            <w:hideMark/>
          </w:tcPr>
          <w:p w14:paraId="7B4F16B5"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726,015</w:t>
            </w:r>
          </w:p>
        </w:tc>
        <w:tc>
          <w:tcPr>
            <w:tcW w:w="387" w:type="pct"/>
            <w:tcBorders>
              <w:top w:val="nil"/>
              <w:left w:val="nil"/>
              <w:bottom w:val="single" w:sz="4" w:space="0" w:color="auto"/>
              <w:right w:val="single" w:sz="4" w:space="0" w:color="auto"/>
            </w:tcBorders>
            <w:noWrap/>
            <w:vAlign w:val="center"/>
            <w:hideMark/>
          </w:tcPr>
          <w:p w14:paraId="24272095"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0.86</w:t>
            </w:r>
          </w:p>
        </w:tc>
        <w:tc>
          <w:tcPr>
            <w:tcW w:w="305" w:type="pct"/>
            <w:tcBorders>
              <w:top w:val="nil"/>
              <w:left w:val="nil"/>
              <w:bottom w:val="single" w:sz="4" w:space="0" w:color="auto"/>
              <w:right w:val="single" w:sz="4" w:space="0" w:color="auto"/>
            </w:tcBorders>
            <w:noWrap/>
            <w:vAlign w:val="center"/>
            <w:hideMark/>
          </w:tcPr>
          <w:p w14:paraId="0C19AD27"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0.53</w:t>
            </w:r>
          </w:p>
        </w:tc>
        <w:tc>
          <w:tcPr>
            <w:tcW w:w="489" w:type="pct"/>
            <w:tcBorders>
              <w:top w:val="nil"/>
              <w:left w:val="nil"/>
              <w:bottom w:val="single" w:sz="4" w:space="0" w:color="auto"/>
              <w:right w:val="single" w:sz="4" w:space="0" w:color="auto"/>
            </w:tcBorders>
            <w:vAlign w:val="center"/>
            <w:hideMark/>
          </w:tcPr>
          <w:p w14:paraId="50146D69"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123,863</w:t>
            </w:r>
          </w:p>
        </w:tc>
        <w:tc>
          <w:tcPr>
            <w:tcW w:w="489" w:type="pct"/>
            <w:tcBorders>
              <w:top w:val="nil"/>
              <w:left w:val="nil"/>
              <w:bottom w:val="single" w:sz="4" w:space="0" w:color="auto"/>
              <w:right w:val="single" w:sz="4" w:space="0" w:color="auto"/>
            </w:tcBorders>
            <w:vAlign w:val="center"/>
            <w:hideMark/>
          </w:tcPr>
          <w:p w14:paraId="3AB6307C"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195,224</w:t>
            </w:r>
          </w:p>
        </w:tc>
        <w:tc>
          <w:tcPr>
            <w:tcW w:w="366" w:type="pct"/>
            <w:tcBorders>
              <w:top w:val="nil"/>
              <w:left w:val="nil"/>
              <w:bottom w:val="single" w:sz="4" w:space="0" w:color="auto"/>
              <w:right w:val="single" w:sz="4" w:space="0" w:color="auto"/>
            </w:tcBorders>
            <w:noWrap/>
            <w:vAlign w:val="center"/>
            <w:hideMark/>
          </w:tcPr>
          <w:p w14:paraId="7A6EC8A1"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2.30</w:t>
            </w:r>
          </w:p>
        </w:tc>
        <w:tc>
          <w:tcPr>
            <w:tcW w:w="276" w:type="pct"/>
            <w:tcBorders>
              <w:top w:val="nil"/>
              <w:left w:val="nil"/>
              <w:bottom w:val="single" w:sz="4" w:space="0" w:color="auto"/>
              <w:right w:val="single" w:sz="4" w:space="0" w:color="auto"/>
            </w:tcBorders>
            <w:noWrap/>
            <w:vAlign w:val="center"/>
            <w:hideMark/>
          </w:tcPr>
          <w:p w14:paraId="0713C28D"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0.04</w:t>
            </w:r>
          </w:p>
        </w:tc>
        <w:tc>
          <w:tcPr>
            <w:tcW w:w="457" w:type="pct"/>
            <w:tcBorders>
              <w:top w:val="nil"/>
              <w:left w:val="nil"/>
              <w:bottom w:val="single" w:sz="4" w:space="0" w:color="auto"/>
              <w:right w:val="single" w:sz="4" w:space="0" w:color="auto"/>
            </w:tcBorders>
            <w:noWrap/>
            <w:vAlign w:val="center"/>
            <w:hideMark/>
          </w:tcPr>
          <w:p w14:paraId="1C1B4AA8"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374</w:t>
            </w:r>
          </w:p>
        </w:tc>
        <w:tc>
          <w:tcPr>
            <w:tcW w:w="537" w:type="pct"/>
            <w:tcBorders>
              <w:top w:val="nil"/>
              <w:left w:val="nil"/>
              <w:bottom w:val="single" w:sz="4" w:space="0" w:color="auto"/>
              <w:right w:val="single" w:sz="4" w:space="0" w:color="auto"/>
            </w:tcBorders>
            <w:noWrap/>
            <w:vAlign w:val="center"/>
            <w:hideMark/>
          </w:tcPr>
          <w:p w14:paraId="5E0BC1AE"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0.09</w:t>
            </w:r>
          </w:p>
        </w:tc>
      </w:tr>
      <w:tr w:rsidR="009A0A63" w:rsidRPr="00792B36" w14:paraId="4A19E739" w14:textId="77777777" w:rsidTr="00A24459">
        <w:trPr>
          <w:trHeight w:val="340"/>
        </w:trPr>
        <w:tc>
          <w:tcPr>
            <w:tcW w:w="748" w:type="pct"/>
            <w:tcBorders>
              <w:top w:val="nil"/>
              <w:left w:val="single" w:sz="4" w:space="0" w:color="auto"/>
              <w:bottom w:val="single" w:sz="4" w:space="0" w:color="auto"/>
              <w:right w:val="single" w:sz="4" w:space="0" w:color="auto"/>
            </w:tcBorders>
            <w:vAlign w:val="center"/>
            <w:hideMark/>
          </w:tcPr>
          <w:p w14:paraId="47A1B226" w14:textId="77777777" w:rsidR="009A0A63" w:rsidRPr="00792B36" w:rsidRDefault="009A0A63" w:rsidP="00A24459">
            <w:pPr>
              <w:rPr>
                <w:rFonts w:eastAsia="Times New Roman"/>
                <w:color w:val="000000"/>
                <w:sz w:val="24"/>
                <w:szCs w:val="24"/>
              </w:rPr>
            </w:pPr>
            <w:r w:rsidRPr="00792B36">
              <w:rPr>
                <w:rFonts w:eastAsia="Times New Roman"/>
                <w:color w:val="000000"/>
                <w:sz w:val="24"/>
                <w:szCs w:val="24"/>
              </w:rPr>
              <w:t>Narathiwat</w:t>
            </w:r>
          </w:p>
        </w:tc>
        <w:tc>
          <w:tcPr>
            <w:tcW w:w="457" w:type="pct"/>
            <w:tcBorders>
              <w:top w:val="nil"/>
              <w:left w:val="nil"/>
              <w:bottom w:val="single" w:sz="4" w:space="0" w:color="auto"/>
              <w:right w:val="single" w:sz="4" w:space="0" w:color="auto"/>
            </w:tcBorders>
            <w:noWrap/>
            <w:vAlign w:val="center"/>
            <w:hideMark/>
          </w:tcPr>
          <w:p w14:paraId="213C25E9"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679,135</w:t>
            </w:r>
          </w:p>
        </w:tc>
        <w:tc>
          <w:tcPr>
            <w:tcW w:w="489" w:type="pct"/>
            <w:tcBorders>
              <w:top w:val="nil"/>
              <w:left w:val="nil"/>
              <w:bottom w:val="single" w:sz="4" w:space="0" w:color="auto"/>
              <w:right w:val="single" w:sz="4" w:space="0" w:color="auto"/>
            </w:tcBorders>
            <w:noWrap/>
            <w:vAlign w:val="center"/>
            <w:hideMark/>
          </w:tcPr>
          <w:p w14:paraId="1B8727C6"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804,429</w:t>
            </w:r>
          </w:p>
        </w:tc>
        <w:tc>
          <w:tcPr>
            <w:tcW w:w="387" w:type="pct"/>
            <w:tcBorders>
              <w:top w:val="nil"/>
              <w:left w:val="nil"/>
              <w:bottom w:val="single" w:sz="4" w:space="0" w:color="auto"/>
              <w:right w:val="single" w:sz="4" w:space="0" w:color="auto"/>
            </w:tcBorders>
            <w:noWrap/>
            <w:vAlign w:val="center"/>
            <w:hideMark/>
          </w:tcPr>
          <w:p w14:paraId="2B0D9F63"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0.85</w:t>
            </w:r>
          </w:p>
        </w:tc>
        <w:tc>
          <w:tcPr>
            <w:tcW w:w="305" w:type="pct"/>
            <w:tcBorders>
              <w:top w:val="nil"/>
              <w:left w:val="nil"/>
              <w:bottom w:val="single" w:sz="4" w:space="0" w:color="auto"/>
              <w:right w:val="single" w:sz="4" w:space="0" w:color="auto"/>
            </w:tcBorders>
            <w:noWrap/>
            <w:vAlign w:val="center"/>
            <w:hideMark/>
          </w:tcPr>
          <w:p w14:paraId="44A8653E"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0.53</w:t>
            </w:r>
          </w:p>
        </w:tc>
        <w:tc>
          <w:tcPr>
            <w:tcW w:w="489" w:type="pct"/>
            <w:tcBorders>
              <w:top w:val="nil"/>
              <w:left w:val="nil"/>
              <w:bottom w:val="single" w:sz="4" w:space="0" w:color="auto"/>
              <w:right w:val="single" w:sz="4" w:space="0" w:color="auto"/>
            </w:tcBorders>
            <w:vAlign w:val="center"/>
            <w:hideMark/>
          </w:tcPr>
          <w:p w14:paraId="0B40D1EB"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139,040</w:t>
            </w:r>
          </w:p>
        </w:tc>
        <w:tc>
          <w:tcPr>
            <w:tcW w:w="489" w:type="pct"/>
            <w:tcBorders>
              <w:top w:val="nil"/>
              <w:left w:val="nil"/>
              <w:bottom w:val="single" w:sz="4" w:space="0" w:color="auto"/>
              <w:right w:val="single" w:sz="4" w:space="0" w:color="auto"/>
            </w:tcBorders>
            <w:vAlign w:val="center"/>
            <w:hideMark/>
          </w:tcPr>
          <w:p w14:paraId="50C1E868"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219,403</w:t>
            </w:r>
          </w:p>
        </w:tc>
        <w:tc>
          <w:tcPr>
            <w:tcW w:w="366" w:type="pct"/>
            <w:tcBorders>
              <w:top w:val="nil"/>
              <w:left w:val="nil"/>
              <w:bottom w:val="single" w:sz="4" w:space="0" w:color="auto"/>
              <w:right w:val="single" w:sz="4" w:space="0" w:color="auto"/>
            </w:tcBorders>
            <w:noWrap/>
            <w:vAlign w:val="center"/>
            <w:hideMark/>
          </w:tcPr>
          <w:p w14:paraId="39FDB4EC"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2.31</w:t>
            </w:r>
          </w:p>
        </w:tc>
        <w:tc>
          <w:tcPr>
            <w:tcW w:w="276" w:type="pct"/>
            <w:tcBorders>
              <w:top w:val="nil"/>
              <w:left w:val="nil"/>
              <w:bottom w:val="single" w:sz="4" w:space="0" w:color="auto"/>
              <w:right w:val="single" w:sz="4" w:space="0" w:color="auto"/>
            </w:tcBorders>
            <w:noWrap/>
            <w:vAlign w:val="center"/>
            <w:hideMark/>
          </w:tcPr>
          <w:p w14:paraId="5512A517"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0.05</w:t>
            </w:r>
          </w:p>
        </w:tc>
        <w:tc>
          <w:tcPr>
            <w:tcW w:w="457" w:type="pct"/>
            <w:tcBorders>
              <w:top w:val="nil"/>
              <w:left w:val="nil"/>
              <w:bottom w:val="single" w:sz="4" w:space="0" w:color="auto"/>
              <w:right w:val="single" w:sz="4" w:space="0" w:color="auto"/>
            </w:tcBorders>
            <w:noWrap/>
            <w:vAlign w:val="center"/>
            <w:hideMark/>
          </w:tcPr>
          <w:p w14:paraId="475437A6"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180</w:t>
            </w:r>
          </w:p>
        </w:tc>
        <w:tc>
          <w:tcPr>
            <w:tcW w:w="537" w:type="pct"/>
            <w:tcBorders>
              <w:top w:val="nil"/>
              <w:left w:val="nil"/>
              <w:bottom w:val="single" w:sz="4" w:space="0" w:color="auto"/>
              <w:right w:val="single" w:sz="4" w:space="0" w:color="auto"/>
            </w:tcBorders>
            <w:noWrap/>
            <w:vAlign w:val="center"/>
            <w:hideMark/>
          </w:tcPr>
          <w:p w14:paraId="04E7C269"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0.03</w:t>
            </w:r>
          </w:p>
        </w:tc>
      </w:tr>
      <w:tr w:rsidR="009A0A63" w:rsidRPr="00792B36" w14:paraId="6B777554" w14:textId="77777777" w:rsidTr="00A24459">
        <w:trPr>
          <w:trHeight w:val="340"/>
        </w:trPr>
        <w:tc>
          <w:tcPr>
            <w:tcW w:w="748" w:type="pct"/>
            <w:tcBorders>
              <w:top w:val="single" w:sz="4" w:space="0" w:color="auto"/>
              <w:left w:val="single" w:sz="4" w:space="0" w:color="auto"/>
              <w:bottom w:val="single" w:sz="4" w:space="0" w:color="auto"/>
              <w:right w:val="single" w:sz="4" w:space="0" w:color="auto"/>
            </w:tcBorders>
            <w:vAlign w:val="center"/>
            <w:hideMark/>
          </w:tcPr>
          <w:p w14:paraId="5EC84E92" w14:textId="77777777" w:rsidR="009A0A63" w:rsidRPr="00792B36" w:rsidRDefault="009A0A63" w:rsidP="00A24459">
            <w:pPr>
              <w:rPr>
                <w:rFonts w:eastAsia="Times New Roman"/>
                <w:color w:val="000000"/>
                <w:sz w:val="24"/>
                <w:szCs w:val="24"/>
              </w:rPr>
            </w:pPr>
            <w:r w:rsidRPr="00792B36">
              <w:rPr>
                <w:rFonts w:eastAsia="Times New Roman"/>
                <w:color w:val="000000"/>
                <w:sz w:val="24"/>
                <w:szCs w:val="24"/>
              </w:rPr>
              <w:t>Bangkok</w:t>
            </w:r>
          </w:p>
        </w:tc>
        <w:tc>
          <w:tcPr>
            <w:tcW w:w="457" w:type="pct"/>
            <w:tcBorders>
              <w:top w:val="single" w:sz="4" w:space="0" w:color="auto"/>
              <w:left w:val="nil"/>
              <w:bottom w:val="single" w:sz="4" w:space="0" w:color="auto"/>
              <w:right w:val="single" w:sz="4" w:space="0" w:color="auto"/>
            </w:tcBorders>
            <w:noWrap/>
            <w:vAlign w:val="center"/>
            <w:hideMark/>
          </w:tcPr>
          <w:p w14:paraId="457B2136"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5,680,380</w:t>
            </w:r>
          </w:p>
        </w:tc>
        <w:tc>
          <w:tcPr>
            <w:tcW w:w="489" w:type="pct"/>
            <w:tcBorders>
              <w:top w:val="single" w:sz="4" w:space="0" w:color="auto"/>
              <w:left w:val="nil"/>
              <w:bottom w:val="single" w:sz="4" w:space="0" w:color="auto"/>
              <w:right w:val="single" w:sz="4" w:space="0" w:color="auto"/>
            </w:tcBorders>
            <w:noWrap/>
            <w:vAlign w:val="center"/>
            <w:hideMark/>
          </w:tcPr>
          <w:p w14:paraId="1FB5FD38"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5,588,222</w:t>
            </w:r>
          </w:p>
        </w:tc>
        <w:tc>
          <w:tcPr>
            <w:tcW w:w="387" w:type="pct"/>
            <w:tcBorders>
              <w:top w:val="single" w:sz="4" w:space="0" w:color="auto"/>
              <w:left w:val="nil"/>
              <w:bottom w:val="single" w:sz="4" w:space="0" w:color="auto"/>
              <w:right w:val="single" w:sz="4" w:space="0" w:color="auto"/>
            </w:tcBorders>
            <w:noWrap/>
            <w:vAlign w:val="center"/>
            <w:hideMark/>
          </w:tcPr>
          <w:p w14:paraId="23C016B3"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-0.08</w:t>
            </w:r>
          </w:p>
        </w:tc>
        <w:tc>
          <w:tcPr>
            <w:tcW w:w="305" w:type="pct"/>
            <w:tcBorders>
              <w:top w:val="single" w:sz="4" w:space="0" w:color="auto"/>
              <w:left w:val="nil"/>
              <w:bottom w:val="single" w:sz="4" w:space="0" w:color="auto"/>
              <w:right w:val="single" w:sz="4" w:space="0" w:color="auto"/>
            </w:tcBorders>
            <w:noWrap/>
            <w:vAlign w:val="center"/>
            <w:hideMark/>
          </w:tcPr>
          <w:p w14:paraId="1B33A433"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0.11</w:t>
            </w:r>
          </w:p>
        </w:tc>
        <w:tc>
          <w:tcPr>
            <w:tcW w:w="489" w:type="pct"/>
            <w:tcBorders>
              <w:top w:val="single" w:sz="4" w:space="0" w:color="auto"/>
              <w:left w:val="nil"/>
              <w:bottom w:val="single" w:sz="4" w:space="0" w:color="auto"/>
              <w:right w:val="single" w:sz="4" w:space="0" w:color="auto"/>
            </w:tcBorders>
            <w:vAlign w:val="center"/>
            <w:hideMark/>
          </w:tcPr>
          <w:p w14:paraId="272F03D5"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1,900,235</w:t>
            </w:r>
          </w:p>
        </w:tc>
        <w:tc>
          <w:tcPr>
            <w:tcW w:w="489" w:type="pct"/>
            <w:tcBorders>
              <w:top w:val="single" w:sz="4" w:space="0" w:color="auto"/>
              <w:left w:val="nil"/>
              <w:bottom w:val="single" w:sz="4" w:space="0" w:color="auto"/>
              <w:right w:val="single" w:sz="4" w:space="0" w:color="auto"/>
            </w:tcBorders>
            <w:vAlign w:val="center"/>
            <w:hideMark/>
          </w:tcPr>
          <w:p w14:paraId="51B2CAE9"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3,103,483</w:t>
            </w:r>
          </w:p>
        </w:tc>
        <w:tc>
          <w:tcPr>
            <w:tcW w:w="366" w:type="pct"/>
            <w:tcBorders>
              <w:top w:val="single" w:sz="4" w:space="0" w:color="auto"/>
              <w:left w:val="nil"/>
              <w:bottom w:val="single" w:sz="4" w:space="0" w:color="auto"/>
              <w:right w:val="single" w:sz="4" w:space="0" w:color="auto"/>
            </w:tcBorders>
            <w:noWrap/>
            <w:vAlign w:val="center"/>
            <w:hideMark/>
          </w:tcPr>
          <w:p w14:paraId="531F1FE4"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2.48</w:t>
            </w:r>
          </w:p>
        </w:tc>
        <w:tc>
          <w:tcPr>
            <w:tcW w:w="276" w:type="pct"/>
            <w:tcBorders>
              <w:top w:val="single" w:sz="4" w:space="0" w:color="auto"/>
              <w:left w:val="nil"/>
              <w:bottom w:val="single" w:sz="4" w:space="0" w:color="auto"/>
              <w:right w:val="single" w:sz="4" w:space="0" w:color="auto"/>
            </w:tcBorders>
            <w:noWrap/>
            <w:vAlign w:val="center"/>
            <w:hideMark/>
          </w:tcPr>
          <w:p w14:paraId="6C174019"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0.11</w:t>
            </w:r>
          </w:p>
        </w:tc>
        <w:tc>
          <w:tcPr>
            <w:tcW w:w="457" w:type="pct"/>
            <w:tcBorders>
              <w:top w:val="single" w:sz="4" w:space="0" w:color="auto"/>
              <w:left w:val="nil"/>
              <w:bottom w:val="single" w:sz="4" w:space="0" w:color="auto"/>
              <w:right w:val="single" w:sz="4" w:space="0" w:color="auto"/>
            </w:tcBorders>
            <w:noWrap/>
            <w:vAlign w:val="center"/>
            <w:hideMark/>
          </w:tcPr>
          <w:p w14:paraId="5302E9DB"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3562</w:t>
            </w:r>
          </w:p>
        </w:tc>
        <w:tc>
          <w:tcPr>
            <w:tcW w:w="537" w:type="pct"/>
            <w:tcBorders>
              <w:top w:val="single" w:sz="4" w:space="0" w:color="auto"/>
              <w:left w:val="nil"/>
              <w:bottom w:val="single" w:sz="4" w:space="0" w:color="auto"/>
              <w:right w:val="single" w:sz="4" w:space="0" w:color="auto"/>
            </w:tcBorders>
            <w:noWrap/>
            <w:vAlign w:val="center"/>
            <w:hideMark/>
          </w:tcPr>
          <w:p w14:paraId="31D24A41"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1.00</w:t>
            </w:r>
          </w:p>
        </w:tc>
      </w:tr>
    </w:tbl>
    <w:p w14:paraId="60DD0FEC" w14:textId="77777777" w:rsidR="009A0A63" w:rsidRPr="00792B36" w:rsidRDefault="009A0A63" w:rsidP="009A0A63">
      <w:pPr>
        <w:spacing w:line="360" w:lineRule="auto"/>
        <w:rPr>
          <w:b/>
          <w:bCs/>
          <w:sz w:val="24"/>
          <w:szCs w:val="24"/>
        </w:rPr>
      </w:pPr>
    </w:p>
    <w:p w14:paraId="1BB8CD0B" w14:textId="77777777" w:rsidR="009A0A63" w:rsidRPr="00792B36" w:rsidRDefault="009A0A63" w:rsidP="009A0A63">
      <w:pPr>
        <w:spacing w:line="360" w:lineRule="auto"/>
        <w:rPr>
          <w:sz w:val="24"/>
          <w:szCs w:val="24"/>
        </w:rPr>
      </w:pPr>
      <w:r w:rsidRPr="00792B36">
        <w:rPr>
          <w:b/>
          <w:bCs/>
          <w:sz w:val="24"/>
          <w:szCs w:val="24"/>
        </w:rPr>
        <w:t xml:space="preserve">Annex 2.18 </w:t>
      </w:r>
      <w:r w:rsidRPr="00792B36">
        <w:rPr>
          <w:sz w:val="24"/>
          <w:szCs w:val="24"/>
        </w:rPr>
        <w:t>Cont.</w:t>
      </w:r>
    </w:p>
    <w:tbl>
      <w:tblPr>
        <w:tblW w:w="5000" w:type="pct"/>
        <w:tblLook w:val="04A0" w:firstRow="1" w:lastRow="0" w:firstColumn="1" w:lastColumn="0" w:noHBand="0" w:noVBand="1"/>
      </w:tblPr>
      <w:tblGrid>
        <w:gridCol w:w="954"/>
        <w:gridCol w:w="710"/>
        <w:gridCol w:w="710"/>
        <w:gridCol w:w="850"/>
        <w:gridCol w:w="430"/>
        <w:gridCol w:w="935"/>
        <w:gridCol w:w="935"/>
        <w:gridCol w:w="771"/>
        <w:gridCol w:w="430"/>
        <w:gridCol w:w="929"/>
        <w:gridCol w:w="752"/>
        <w:gridCol w:w="604"/>
      </w:tblGrid>
      <w:tr w:rsidR="009A0A63" w:rsidRPr="00792B36" w14:paraId="170445AF" w14:textId="77777777" w:rsidTr="00A24459">
        <w:trPr>
          <w:trHeight w:val="340"/>
        </w:trPr>
        <w:tc>
          <w:tcPr>
            <w:tcW w:w="694" w:type="pct"/>
            <w:vMerge w:val="restart"/>
            <w:tcBorders>
              <w:top w:val="single" w:sz="4" w:space="0" w:color="auto"/>
              <w:left w:val="single" w:sz="4" w:space="0" w:color="auto"/>
              <w:right w:val="single" w:sz="4" w:space="0" w:color="auto"/>
            </w:tcBorders>
            <w:vAlign w:val="center"/>
            <w:hideMark/>
          </w:tcPr>
          <w:p w14:paraId="1B9EDF96" w14:textId="77777777" w:rsidR="009A0A63" w:rsidRPr="00792B36" w:rsidRDefault="009A0A63" w:rsidP="00A24459">
            <w:pPr>
              <w:jc w:val="center"/>
              <w:rPr>
                <w:rFonts w:eastAsia="Times New Roman"/>
                <w:b/>
                <w:bCs/>
                <w:color w:val="000000"/>
                <w:sz w:val="24"/>
                <w:szCs w:val="24"/>
              </w:rPr>
            </w:pPr>
            <w:r w:rsidRPr="00792B36">
              <w:rPr>
                <w:rFonts w:eastAsia="Times New Roman"/>
                <w:b/>
                <w:bCs/>
                <w:color w:val="000000"/>
                <w:sz w:val="24"/>
                <w:szCs w:val="24"/>
              </w:rPr>
              <w:t>Prov</w:t>
            </w:r>
          </w:p>
          <w:p w14:paraId="38F446FF" w14:textId="77777777" w:rsidR="009A0A63" w:rsidRPr="00792B36" w:rsidRDefault="009A0A63" w:rsidP="00A24459">
            <w:pPr>
              <w:jc w:val="center"/>
              <w:rPr>
                <w:rFonts w:eastAsia="Times New Roman"/>
                <w:b/>
                <w:bCs/>
                <w:color w:val="000000"/>
                <w:sz w:val="24"/>
                <w:szCs w:val="24"/>
              </w:rPr>
            </w:pPr>
          </w:p>
        </w:tc>
        <w:tc>
          <w:tcPr>
            <w:tcW w:w="371" w:type="pct"/>
            <w:tcBorders>
              <w:top w:val="single" w:sz="4" w:space="0" w:color="auto"/>
              <w:left w:val="nil"/>
              <w:bottom w:val="single" w:sz="4" w:space="0" w:color="auto"/>
              <w:right w:val="single" w:sz="4" w:space="0" w:color="auto"/>
            </w:tcBorders>
            <w:noWrap/>
            <w:vAlign w:val="center"/>
            <w:hideMark/>
          </w:tcPr>
          <w:p w14:paraId="0E5485BF" w14:textId="77777777" w:rsidR="009A0A63" w:rsidRPr="00792B36" w:rsidRDefault="009A0A63" w:rsidP="00A24459">
            <w:pPr>
              <w:jc w:val="center"/>
              <w:rPr>
                <w:rFonts w:eastAsia="Times New Roman"/>
                <w:b/>
                <w:bCs/>
                <w:color w:val="000000"/>
                <w:sz w:val="24"/>
                <w:szCs w:val="24"/>
              </w:rPr>
            </w:pPr>
            <w:r w:rsidRPr="00792B36">
              <w:rPr>
                <w:rFonts w:eastAsia="Times New Roman"/>
                <w:b/>
                <w:bCs/>
                <w:color w:val="000000"/>
                <w:sz w:val="24"/>
                <w:szCs w:val="24"/>
              </w:rPr>
              <w:t>Poor2000</w:t>
            </w:r>
          </w:p>
        </w:tc>
        <w:tc>
          <w:tcPr>
            <w:tcW w:w="342" w:type="pct"/>
            <w:tcBorders>
              <w:top w:val="single" w:sz="4" w:space="0" w:color="auto"/>
              <w:left w:val="nil"/>
              <w:bottom w:val="single" w:sz="4" w:space="0" w:color="auto"/>
              <w:right w:val="single" w:sz="4" w:space="0" w:color="auto"/>
            </w:tcBorders>
            <w:noWrap/>
            <w:vAlign w:val="center"/>
            <w:hideMark/>
          </w:tcPr>
          <w:p w14:paraId="5B9BB372" w14:textId="77777777" w:rsidR="009A0A63" w:rsidRPr="00792B36" w:rsidRDefault="009A0A63" w:rsidP="00A24459">
            <w:pPr>
              <w:jc w:val="center"/>
              <w:rPr>
                <w:rFonts w:eastAsia="Times New Roman"/>
                <w:b/>
                <w:bCs/>
                <w:color w:val="000000"/>
                <w:sz w:val="24"/>
                <w:szCs w:val="24"/>
              </w:rPr>
            </w:pPr>
            <w:r w:rsidRPr="00792B36">
              <w:rPr>
                <w:rFonts w:eastAsia="Times New Roman"/>
                <w:b/>
                <w:bCs/>
                <w:color w:val="000000"/>
                <w:sz w:val="24"/>
                <w:szCs w:val="24"/>
              </w:rPr>
              <w:t>Poor2020</w:t>
            </w:r>
          </w:p>
        </w:tc>
        <w:tc>
          <w:tcPr>
            <w:tcW w:w="409" w:type="pct"/>
            <w:tcBorders>
              <w:top w:val="single" w:sz="4" w:space="0" w:color="auto"/>
              <w:left w:val="nil"/>
              <w:bottom w:val="single" w:sz="4" w:space="0" w:color="auto"/>
              <w:right w:val="single" w:sz="4" w:space="0" w:color="auto"/>
            </w:tcBorders>
            <w:noWrap/>
            <w:vAlign w:val="center"/>
            <w:hideMark/>
          </w:tcPr>
          <w:p w14:paraId="7F400C0E" w14:textId="77777777" w:rsidR="009A0A63" w:rsidRPr="00792B36" w:rsidRDefault="009A0A63" w:rsidP="00A24459">
            <w:pPr>
              <w:jc w:val="center"/>
              <w:rPr>
                <w:rFonts w:eastAsia="Times New Roman"/>
                <w:b/>
                <w:bCs/>
                <w:color w:val="000000"/>
                <w:sz w:val="24"/>
                <w:szCs w:val="24"/>
              </w:rPr>
            </w:pPr>
            <w:r w:rsidRPr="00792B36">
              <w:rPr>
                <w:rFonts w:eastAsia="Times New Roman"/>
                <w:b/>
                <w:bCs/>
                <w:color w:val="000000"/>
                <w:sz w:val="24"/>
                <w:szCs w:val="24"/>
              </w:rPr>
              <w:t>CAGR_Poor</w:t>
            </w:r>
          </w:p>
        </w:tc>
        <w:tc>
          <w:tcPr>
            <w:tcW w:w="340" w:type="pct"/>
            <w:tcBorders>
              <w:top w:val="single" w:sz="4" w:space="0" w:color="auto"/>
              <w:left w:val="nil"/>
              <w:bottom w:val="single" w:sz="4" w:space="0" w:color="auto"/>
              <w:right w:val="single" w:sz="4" w:space="0" w:color="auto"/>
            </w:tcBorders>
            <w:noWrap/>
            <w:vAlign w:val="center"/>
            <w:hideMark/>
          </w:tcPr>
          <w:p w14:paraId="571B67A6" w14:textId="77777777" w:rsidR="009A0A63" w:rsidRPr="00792B36" w:rsidRDefault="009A0A63" w:rsidP="00A24459">
            <w:pPr>
              <w:jc w:val="center"/>
              <w:rPr>
                <w:rFonts w:eastAsia="Times New Roman"/>
                <w:b/>
                <w:bCs/>
                <w:color w:val="000000"/>
                <w:sz w:val="24"/>
                <w:szCs w:val="24"/>
              </w:rPr>
            </w:pPr>
            <w:r w:rsidRPr="00792B36">
              <w:rPr>
                <w:rFonts w:eastAsia="Times New Roman"/>
                <w:b/>
                <w:bCs/>
                <w:color w:val="000000"/>
                <w:sz w:val="24"/>
                <w:szCs w:val="24"/>
              </w:rPr>
              <w:t>I</w:t>
            </w:r>
            <w:r w:rsidRPr="00792B36">
              <w:rPr>
                <w:rFonts w:eastAsia="Times New Roman"/>
                <w:b/>
                <w:bCs/>
                <w:color w:val="000000"/>
                <w:sz w:val="24"/>
                <w:szCs w:val="24"/>
                <w:vertAlign w:val="subscript"/>
              </w:rPr>
              <w:t>Poor</w:t>
            </w:r>
          </w:p>
        </w:tc>
        <w:tc>
          <w:tcPr>
            <w:tcW w:w="454" w:type="pct"/>
            <w:tcBorders>
              <w:top w:val="single" w:sz="4" w:space="0" w:color="auto"/>
              <w:left w:val="nil"/>
              <w:bottom w:val="single" w:sz="4" w:space="0" w:color="auto"/>
              <w:right w:val="single" w:sz="4" w:space="0" w:color="auto"/>
            </w:tcBorders>
            <w:noWrap/>
            <w:vAlign w:val="center"/>
            <w:hideMark/>
          </w:tcPr>
          <w:p w14:paraId="5164412B" w14:textId="77777777" w:rsidR="009A0A63" w:rsidRPr="00792B36" w:rsidRDefault="009A0A63" w:rsidP="00A24459">
            <w:pPr>
              <w:jc w:val="center"/>
              <w:rPr>
                <w:rFonts w:eastAsia="Times New Roman"/>
                <w:b/>
                <w:bCs/>
                <w:color w:val="000000"/>
                <w:sz w:val="24"/>
                <w:szCs w:val="24"/>
              </w:rPr>
            </w:pPr>
            <w:r w:rsidRPr="00792B36">
              <w:rPr>
                <w:rFonts w:eastAsia="Times New Roman"/>
                <w:b/>
                <w:bCs/>
                <w:color w:val="000000"/>
                <w:sz w:val="24"/>
                <w:szCs w:val="24"/>
              </w:rPr>
              <w:t>GPP2000</w:t>
            </w:r>
          </w:p>
        </w:tc>
        <w:tc>
          <w:tcPr>
            <w:tcW w:w="454" w:type="pct"/>
            <w:tcBorders>
              <w:top w:val="single" w:sz="4" w:space="0" w:color="auto"/>
              <w:left w:val="nil"/>
              <w:bottom w:val="single" w:sz="4" w:space="0" w:color="auto"/>
              <w:right w:val="single" w:sz="4" w:space="0" w:color="auto"/>
            </w:tcBorders>
            <w:noWrap/>
            <w:vAlign w:val="center"/>
            <w:hideMark/>
          </w:tcPr>
          <w:p w14:paraId="0E24DDC0" w14:textId="77777777" w:rsidR="009A0A63" w:rsidRPr="00792B36" w:rsidRDefault="009A0A63" w:rsidP="00A24459">
            <w:pPr>
              <w:jc w:val="center"/>
              <w:rPr>
                <w:rFonts w:eastAsia="Times New Roman"/>
                <w:b/>
                <w:bCs/>
                <w:color w:val="000000"/>
                <w:sz w:val="24"/>
                <w:szCs w:val="24"/>
              </w:rPr>
            </w:pPr>
            <w:r w:rsidRPr="00792B36">
              <w:rPr>
                <w:rFonts w:eastAsia="Times New Roman"/>
                <w:b/>
                <w:bCs/>
                <w:color w:val="000000"/>
                <w:sz w:val="24"/>
                <w:szCs w:val="24"/>
              </w:rPr>
              <w:t>GPP2020</w:t>
            </w:r>
          </w:p>
        </w:tc>
        <w:tc>
          <w:tcPr>
            <w:tcW w:w="405" w:type="pct"/>
            <w:tcBorders>
              <w:top w:val="single" w:sz="4" w:space="0" w:color="auto"/>
              <w:left w:val="nil"/>
              <w:bottom w:val="single" w:sz="4" w:space="0" w:color="auto"/>
              <w:right w:val="single" w:sz="4" w:space="0" w:color="auto"/>
            </w:tcBorders>
            <w:noWrap/>
            <w:vAlign w:val="center"/>
            <w:hideMark/>
          </w:tcPr>
          <w:p w14:paraId="375BBB09" w14:textId="77777777" w:rsidR="009A0A63" w:rsidRPr="00792B36" w:rsidRDefault="009A0A63" w:rsidP="00A24459">
            <w:pPr>
              <w:jc w:val="center"/>
              <w:rPr>
                <w:rFonts w:eastAsia="Times New Roman"/>
                <w:b/>
                <w:bCs/>
                <w:color w:val="000000"/>
                <w:sz w:val="24"/>
                <w:szCs w:val="24"/>
              </w:rPr>
            </w:pPr>
            <w:r w:rsidRPr="00792B36">
              <w:rPr>
                <w:rFonts w:eastAsia="Times New Roman"/>
                <w:b/>
                <w:bCs/>
                <w:color w:val="000000"/>
                <w:sz w:val="24"/>
                <w:szCs w:val="24"/>
              </w:rPr>
              <w:t>CAGRGPP</w:t>
            </w:r>
          </w:p>
        </w:tc>
        <w:tc>
          <w:tcPr>
            <w:tcW w:w="317" w:type="pct"/>
            <w:tcBorders>
              <w:top w:val="single" w:sz="4" w:space="0" w:color="auto"/>
              <w:left w:val="nil"/>
              <w:bottom w:val="single" w:sz="4" w:space="0" w:color="auto"/>
              <w:right w:val="single" w:sz="4" w:space="0" w:color="auto"/>
            </w:tcBorders>
            <w:noWrap/>
            <w:vAlign w:val="center"/>
            <w:hideMark/>
          </w:tcPr>
          <w:p w14:paraId="55230928" w14:textId="77777777" w:rsidR="009A0A63" w:rsidRPr="00792B36" w:rsidRDefault="009A0A63" w:rsidP="00A24459">
            <w:pPr>
              <w:jc w:val="center"/>
              <w:rPr>
                <w:rFonts w:eastAsia="Times New Roman"/>
                <w:b/>
                <w:bCs/>
                <w:color w:val="000000"/>
                <w:sz w:val="24"/>
                <w:szCs w:val="24"/>
              </w:rPr>
            </w:pPr>
            <w:r w:rsidRPr="00792B36">
              <w:rPr>
                <w:rFonts w:eastAsia="Times New Roman"/>
                <w:b/>
                <w:bCs/>
                <w:color w:val="000000"/>
                <w:sz w:val="24"/>
                <w:szCs w:val="24"/>
              </w:rPr>
              <w:t>I</w:t>
            </w:r>
            <w:r w:rsidRPr="00792B36">
              <w:rPr>
                <w:rFonts w:eastAsia="Times New Roman"/>
                <w:b/>
                <w:bCs/>
                <w:color w:val="000000"/>
                <w:sz w:val="24"/>
                <w:szCs w:val="24"/>
                <w:vertAlign w:val="subscript"/>
              </w:rPr>
              <w:t>GPP</w:t>
            </w:r>
          </w:p>
        </w:tc>
        <w:tc>
          <w:tcPr>
            <w:tcW w:w="451" w:type="pct"/>
            <w:tcBorders>
              <w:top w:val="single" w:sz="4" w:space="0" w:color="auto"/>
              <w:left w:val="nil"/>
              <w:bottom w:val="single" w:sz="4" w:space="0" w:color="auto"/>
              <w:right w:val="single" w:sz="4" w:space="0" w:color="auto"/>
            </w:tcBorders>
            <w:noWrap/>
            <w:vAlign w:val="center"/>
            <w:hideMark/>
          </w:tcPr>
          <w:p w14:paraId="3C2328E9" w14:textId="77777777" w:rsidR="009A0A63" w:rsidRPr="00792B36" w:rsidRDefault="009A0A63" w:rsidP="00A24459">
            <w:pPr>
              <w:jc w:val="center"/>
              <w:rPr>
                <w:rFonts w:eastAsia="Times New Roman"/>
                <w:b/>
                <w:bCs/>
                <w:color w:val="000000"/>
                <w:sz w:val="24"/>
                <w:szCs w:val="24"/>
              </w:rPr>
            </w:pPr>
            <w:r w:rsidRPr="00792B36">
              <w:rPr>
                <w:rFonts w:eastAsia="Times New Roman"/>
                <w:b/>
                <w:bCs/>
                <w:color w:val="000000"/>
                <w:sz w:val="24"/>
                <w:szCs w:val="24"/>
              </w:rPr>
              <w:t>SexRatio2020</w:t>
            </w:r>
          </w:p>
        </w:tc>
        <w:tc>
          <w:tcPr>
            <w:tcW w:w="358" w:type="pct"/>
            <w:tcBorders>
              <w:top w:val="single" w:sz="4" w:space="0" w:color="auto"/>
              <w:left w:val="nil"/>
              <w:bottom w:val="single" w:sz="4" w:space="0" w:color="auto"/>
              <w:right w:val="single" w:sz="4" w:space="0" w:color="auto"/>
            </w:tcBorders>
            <w:noWrap/>
            <w:vAlign w:val="center"/>
            <w:hideMark/>
          </w:tcPr>
          <w:p w14:paraId="2BE54345" w14:textId="77777777" w:rsidR="009A0A63" w:rsidRPr="00792B36" w:rsidRDefault="009A0A63" w:rsidP="00A24459">
            <w:pPr>
              <w:jc w:val="center"/>
              <w:rPr>
                <w:rFonts w:eastAsia="Times New Roman"/>
                <w:b/>
                <w:bCs/>
                <w:color w:val="000000"/>
                <w:sz w:val="24"/>
                <w:szCs w:val="24"/>
              </w:rPr>
            </w:pPr>
            <w:r w:rsidRPr="00792B36">
              <w:rPr>
                <w:rFonts w:eastAsia="Times New Roman"/>
                <w:b/>
                <w:bCs/>
                <w:color w:val="000000"/>
                <w:sz w:val="24"/>
                <w:szCs w:val="24"/>
              </w:rPr>
              <w:t>Imbalance</w:t>
            </w:r>
          </w:p>
        </w:tc>
        <w:tc>
          <w:tcPr>
            <w:tcW w:w="406" w:type="pct"/>
            <w:tcBorders>
              <w:top w:val="single" w:sz="4" w:space="0" w:color="auto"/>
              <w:left w:val="nil"/>
              <w:bottom w:val="single" w:sz="4" w:space="0" w:color="auto"/>
              <w:right w:val="single" w:sz="4" w:space="0" w:color="auto"/>
            </w:tcBorders>
            <w:noWrap/>
            <w:vAlign w:val="center"/>
            <w:hideMark/>
          </w:tcPr>
          <w:p w14:paraId="155272A1" w14:textId="77777777" w:rsidR="009A0A63" w:rsidRPr="00792B36" w:rsidRDefault="009A0A63" w:rsidP="00A24459">
            <w:pPr>
              <w:jc w:val="center"/>
              <w:rPr>
                <w:rFonts w:eastAsia="Times New Roman"/>
                <w:b/>
                <w:bCs/>
                <w:color w:val="000000"/>
                <w:sz w:val="24"/>
                <w:szCs w:val="24"/>
              </w:rPr>
            </w:pPr>
            <w:r w:rsidRPr="00792B36">
              <w:rPr>
                <w:rFonts w:eastAsia="Times New Roman"/>
                <w:b/>
                <w:bCs/>
                <w:color w:val="000000"/>
                <w:sz w:val="24"/>
                <w:szCs w:val="24"/>
              </w:rPr>
              <w:t>I</w:t>
            </w:r>
            <w:r w:rsidRPr="00792B36">
              <w:rPr>
                <w:rFonts w:eastAsia="Times New Roman"/>
                <w:b/>
                <w:bCs/>
                <w:color w:val="000000"/>
                <w:sz w:val="24"/>
                <w:szCs w:val="24"/>
                <w:vertAlign w:val="subscript"/>
              </w:rPr>
              <w:t>imbalance</w:t>
            </w:r>
          </w:p>
        </w:tc>
      </w:tr>
      <w:tr w:rsidR="009A0A63" w:rsidRPr="00792B36" w14:paraId="6CEF51CB" w14:textId="77777777" w:rsidTr="00A24459">
        <w:trPr>
          <w:trHeight w:val="340"/>
        </w:trPr>
        <w:tc>
          <w:tcPr>
            <w:tcW w:w="694" w:type="pct"/>
            <w:vMerge/>
            <w:tcBorders>
              <w:left w:val="single" w:sz="4" w:space="0" w:color="auto"/>
              <w:bottom w:val="single" w:sz="4" w:space="0" w:color="auto"/>
              <w:right w:val="single" w:sz="4" w:space="0" w:color="auto"/>
            </w:tcBorders>
            <w:noWrap/>
            <w:vAlign w:val="center"/>
            <w:hideMark/>
          </w:tcPr>
          <w:p w14:paraId="19F21116" w14:textId="77777777" w:rsidR="009A0A63" w:rsidRPr="00792B36" w:rsidRDefault="009A0A63" w:rsidP="00A24459">
            <w:pPr>
              <w:jc w:val="center"/>
              <w:rPr>
                <w:rFonts w:eastAsia="Times New Roman"/>
                <w:b/>
                <w:bCs/>
                <w:color w:val="000000"/>
                <w:sz w:val="24"/>
                <w:szCs w:val="24"/>
              </w:rPr>
            </w:pPr>
          </w:p>
        </w:tc>
        <w:tc>
          <w:tcPr>
            <w:tcW w:w="371" w:type="pct"/>
            <w:tcBorders>
              <w:top w:val="nil"/>
              <w:left w:val="nil"/>
              <w:bottom w:val="single" w:sz="4" w:space="0" w:color="auto"/>
              <w:right w:val="single" w:sz="4" w:space="0" w:color="auto"/>
            </w:tcBorders>
            <w:vAlign w:val="center"/>
            <w:hideMark/>
          </w:tcPr>
          <w:p w14:paraId="7686298B" w14:textId="77777777" w:rsidR="009A0A63" w:rsidRPr="00792B36" w:rsidRDefault="009A0A63" w:rsidP="00A24459">
            <w:pPr>
              <w:jc w:val="center"/>
              <w:rPr>
                <w:rFonts w:eastAsia="Times New Roman"/>
                <w:b/>
                <w:bCs/>
                <w:color w:val="000000"/>
                <w:sz w:val="24"/>
                <w:szCs w:val="24"/>
              </w:rPr>
            </w:pPr>
            <w:r w:rsidRPr="00792B36">
              <w:rPr>
                <w:rFonts w:eastAsia="Times New Roman"/>
                <w:b/>
                <w:bCs/>
                <w:color w:val="000000"/>
                <w:sz w:val="24"/>
                <w:szCs w:val="24"/>
              </w:rPr>
              <w:t>Persons</w:t>
            </w:r>
          </w:p>
        </w:tc>
        <w:tc>
          <w:tcPr>
            <w:tcW w:w="342" w:type="pct"/>
            <w:tcBorders>
              <w:top w:val="nil"/>
              <w:left w:val="nil"/>
              <w:bottom w:val="single" w:sz="4" w:space="0" w:color="auto"/>
              <w:right w:val="single" w:sz="4" w:space="0" w:color="auto"/>
            </w:tcBorders>
            <w:vAlign w:val="center"/>
            <w:hideMark/>
          </w:tcPr>
          <w:p w14:paraId="13F4AE50" w14:textId="77777777" w:rsidR="009A0A63" w:rsidRPr="00792B36" w:rsidRDefault="009A0A63" w:rsidP="00A24459">
            <w:pPr>
              <w:jc w:val="center"/>
              <w:rPr>
                <w:rFonts w:eastAsia="Times New Roman"/>
                <w:b/>
                <w:bCs/>
                <w:color w:val="000000"/>
                <w:sz w:val="24"/>
                <w:szCs w:val="24"/>
              </w:rPr>
            </w:pPr>
            <w:r w:rsidRPr="00792B36">
              <w:rPr>
                <w:rFonts w:eastAsia="Times New Roman"/>
                <w:b/>
                <w:bCs/>
                <w:color w:val="000000"/>
                <w:sz w:val="24"/>
                <w:szCs w:val="24"/>
              </w:rPr>
              <w:t>Persons</w:t>
            </w:r>
          </w:p>
        </w:tc>
        <w:tc>
          <w:tcPr>
            <w:tcW w:w="409" w:type="pct"/>
            <w:tcBorders>
              <w:top w:val="nil"/>
              <w:left w:val="nil"/>
              <w:bottom w:val="single" w:sz="4" w:space="0" w:color="auto"/>
              <w:right w:val="single" w:sz="4" w:space="0" w:color="auto"/>
            </w:tcBorders>
            <w:noWrap/>
            <w:vAlign w:val="center"/>
            <w:hideMark/>
          </w:tcPr>
          <w:p w14:paraId="2CCFED6F" w14:textId="77777777" w:rsidR="009A0A63" w:rsidRPr="00792B36" w:rsidRDefault="009A0A63" w:rsidP="00A24459">
            <w:pPr>
              <w:jc w:val="center"/>
              <w:rPr>
                <w:rFonts w:eastAsia="Times New Roman"/>
                <w:b/>
                <w:bCs/>
                <w:color w:val="000000"/>
                <w:sz w:val="24"/>
                <w:szCs w:val="24"/>
              </w:rPr>
            </w:pPr>
            <w:r w:rsidRPr="00792B36">
              <w:rPr>
                <w:rFonts w:eastAsia="Times New Roman"/>
                <w:b/>
                <w:bCs/>
                <w:color w:val="000000"/>
                <w:sz w:val="24"/>
                <w:szCs w:val="24"/>
              </w:rPr>
              <w:t>%</w:t>
            </w:r>
          </w:p>
        </w:tc>
        <w:tc>
          <w:tcPr>
            <w:tcW w:w="340" w:type="pct"/>
            <w:tcBorders>
              <w:top w:val="nil"/>
              <w:left w:val="nil"/>
              <w:bottom w:val="single" w:sz="4" w:space="0" w:color="auto"/>
              <w:right w:val="single" w:sz="4" w:space="0" w:color="auto"/>
            </w:tcBorders>
            <w:noWrap/>
            <w:vAlign w:val="center"/>
            <w:hideMark/>
          </w:tcPr>
          <w:p w14:paraId="3FD481E8" w14:textId="77777777" w:rsidR="009A0A63" w:rsidRPr="00792B36" w:rsidRDefault="009A0A63" w:rsidP="00A24459">
            <w:pPr>
              <w:jc w:val="center"/>
              <w:rPr>
                <w:rFonts w:eastAsia="Times New Roman"/>
                <w:b/>
                <w:bCs/>
                <w:color w:val="000000"/>
                <w:sz w:val="24"/>
                <w:szCs w:val="24"/>
              </w:rPr>
            </w:pPr>
          </w:p>
        </w:tc>
        <w:tc>
          <w:tcPr>
            <w:tcW w:w="454" w:type="pct"/>
            <w:tcBorders>
              <w:top w:val="nil"/>
              <w:left w:val="nil"/>
              <w:bottom w:val="single" w:sz="4" w:space="0" w:color="auto"/>
              <w:right w:val="single" w:sz="4" w:space="0" w:color="auto"/>
            </w:tcBorders>
            <w:noWrap/>
            <w:vAlign w:val="center"/>
            <w:hideMark/>
          </w:tcPr>
          <w:p w14:paraId="56887F2A" w14:textId="77777777" w:rsidR="009A0A63" w:rsidRPr="00792B36" w:rsidRDefault="009A0A63" w:rsidP="00A24459">
            <w:pPr>
              <w:jc w:val="center"/>
              <w:rPr>
                <w:rFonts w:eastAsia="Times New Roman"/>
                <w:b/>
                <w:bCs/>
                <w:color w:val="000000"/>
                <w:sz w:val="24"/>
                <w:szCs w:val="24"/>
              </w:rPr>
            </w:pPr>
            <w:r w:rsidRPr="00792B36">
              <w:rPr>
                <w:rFonts w:eastAsia="Times New Roman"/>
                <w:b/>
                <w:bCs/>
                <w:color w:val="000000"/>
                <w:sz w:val="24"/>
                <w:szCs w:val="24"/>
              </w:rPr>
              <w:t>USDpercapita</w:t>
            </w:r>
          </w:p>
        </w:tc>
        <w:tc>
          <w:tcPr>
            <w:tcW w:w="454" w:type="pct"/>
            <w:tcBorders>
              <w:top w:val="nil"/>
              <w:left w:val="nil"/>
              <w:bottom w:val="single" w:sz="4" w:space="0" w:color="auto"/>
              <w:right w:val="single" w:sz="4" w:space="0" w:color="auto"/>
            </w:tcBorders>
            <w:noWrap/>
            <w:vAlign w:val="center"/>
            <w:hideMark/>
          </w:tcPr>
          <w:p w14:paraId="4D835EF3" w14:textId="77777777" w:rsidR="009A0A63" w:rsidRPr="00792B36" w:rsidRDefault="009A0A63" w:rsidP="00A24459">
            <w:pPr>
              <w:jc w:val="center"/>
              <w:rPr>
                <w:rFonts w:eastAsia="Times New Roman"/>
                <w:b/>
                <w:bCs/>
                <w:color w:val="000000"/>
                <w:sz w:val="24"/>
                <w:szCs w:val="24"/>
              </w:rPr>
            </w:pPr>
            <w:r w:rsidRPr="00792B36">
              <w:rPr>
                <w:rFonts w:eastAsia="Times New Roman"/>
                <w:b/>
                <w:bCs/>
                <w:color w:val="000000"/>
                <w:sz w:val="24"/>
                <w:szCs w:val="24"/>
              </w:rPr>
              <w:t>USDpercapita</w:t>
            </w:r>
          </w:p>
        </w:tc>
        <w:tc>
          <w:tcPr>
            <w:tcW w:w="405" w:type="pct"/>
            <w:tcBorders>
              <w:top w:val="nil"/>
              <w:left w:val="nil"/>
              <w:bottom w:val="single" w:sz="4" w:space="0" w:color="auto"/>
              <w:right w:val="single" w:sz="4" w:space="0" w:color="auto"/>
            </w:tcBorders>
            <w:noWrap/>
            <w:vAlign w:val="center"/>
            <w:hideMark/>
          </w:tcPr>
          <w:p w14:paraId="43DE714F" w14:textId="77777777" w:rsidR="009A0A63" w:rsidRPr="00792B36" w:rsidRDefault="009A0A63" w:rsidP="00A24459">
            <w:pPr>
              <w:jc w:val="center"/>
              <w:rPr>
                <w:rFonts w:eastAsia="Times New Roman"/>
                <w:b/>
                <w:bCs/>
                <w:color w:val="000000"/>
                <w:sz w:val="24"/>
                <w:szCs w:val="24"/>
              </w:rPr>
            </w:pPr>
            <w:r w:rsidRPr="00792B36">
              <w:rPr>
                <w:rFonts w:eastAsia="Times New Roman"/>
                <w:b/>
                <w:bCs/>
                <w:color w:val="000000"/>
                <w:sz w:val="24"/>
                <w:szCs w:val="24"/>
              </w:rPr>
              <w:t>%</w:t>
            </w:r>
          </w:p>
        </w:tc>
        <w:tc>
          <w:tcPr>
            <w:tcW w:w="317" w:type="pct"/>
            <w:tcBorders>
              <w:top w:val="nil"/>
              <w:left w:val="nil"/>
              <w:bottom w:val="single" w:sz="4" w:space="0" w:color="auto"/>
              <w:right w:val="single" w:sz="4" w:space="0" w:color="auto"/>
            </w:tcBorders>
            <w:noWrap/>
            <w:vAlign w:val="center"/>
            <w:hideMark/>
          </w:tcPr>
          <w:p w14:paraId="47ADC628" w14:textId="77777777" w:rsidR="009A0A63" w:rsidRPr="00792B36" w:rsidRDefault="009A0A63" w:rsidP="00A24459">
            <w:pPr>
              <w:jc w:val="center"/>
              <w:rPr>
                <w:rFonts w:eastAsia="Times New Roman"/>
                <w:b/>
                <w:bCs/>
                <w:color w:val="000000"/>
                <w:sz w:val="24"/>
                <w:szCs w:val="24"/>
              </w:rPr>
            </w:pPr>
          </w:p>
        </w:tc>
        <w:tc>
          <w:tcPr>
            <w:tcW w:w="451" w:type="pct"/>
            <w:tcBorders>
              <w:top w:val="nil"/>
              <w:left w:val="nil"/>
              <w:bottom w:val="single" w:sz="4" w:space="0" w:color="auto"/>
              <w:right w:val="single" w:sz="4" w:space="0" w:color="auto"/>
            </w:tcBorders>
            <w:noWrap/>
            <w:vAlign w:val="center"/>
            <w:hideMark/>
          </w:tcPr>
          <w:p w14:paraId="7097B9EE" w14:textId="77777777" w:rsidR="009A0A63" w:rsidRPr="00792B36" w:rsidRDefault="009A0A63" w:rsidP="00A24459">
            <w:pPr>
              <w:jc w:val="center"/>
              <w:rPr>
                <w:rFonts w:eastAsia="Times New Roman"/>
                <w:b/>
                <w:bCs/>
                <w:color w:val="000000"/>
                <w:sz w:val="24"/>
                <w:szCs w:val="24"/>
              </w:rPr>
            </w:pPr>
            <w:r w:rsidRPr="00792B36">
              <w:rPr>
                <w:rFonts w:eastAsia="Times New Roman"/>
                <w:b/>
                <w:bCs/>
                <w:color w:val="000000"/>
                <w:sz w:val="24"/>
                <w:szCs w:val="24"/>
              </w:rPr>
              <w:t>%</w:t>
            </w:r>
          </w:p>
        </w:tc>
        <w:tc>
          <w:tcPr>
            <w:tcW w:w="358" w:type="pct"/>
            <w:tcBorders>
              <w:top w:val="nil"/>
              <w:left w:val="nil"/>
              <w:bottom w:val="single" w:sz="4" w:space="0" w:color="auto"/>
              <w:right w:val="single" w:sz="4" w:space="0" w:color="auto"/>
            </w:tcBorders>
            <w:noWrap/>
            <w:vAlign w:val="center"/>
            <w:hideMark/>
          </w:tcPr>
          <w:p w14:paraId="07C4D1A8" w14:textId="77777777" w:rsidR="009A0A63" w:rsidRPr="00792B36" w:rsidRDefault="009A0A63" w:rsidP="00A24459">
            <w:pPr>
              <w:jc w:val="center"/>
              <w:rPr>
                <w:rFonts w:eastAsia="Times New Roman"/>
                <w:b/>
                <w:bCs/>
                <w:color w:val="000000"/>
                <w:sz w:val="24"/>
                <w:szCs w:val="24"/>
              </w:rPr>
            </w:pPr>
          </w:p>
        </w:tc>
        <w:tc>
          <w:tcPr>
            <w:tcW w:w="406" w:type="pct"/>
            <w:tcBorders>
              <w:top w:val="nil"/>
              <w:left w:val="nil"/>
              <w:bottom w:val="single" w:sz="4" w:space="0" w:color="auto"/>
              <w:right w:val="single" w:sz="4" w:space="0" w:color="auto"/>
            </w:tcBorders>
            <w:noWrap/>
            <w:vAlign w:val="center"/>
            <w:hideMark/>
          </w:tcPr>
          <w:p w14:paraId="24ABC69E" w14:textId="77777777" w:rsidR="009A0A63" w:rsidRPr="00792B36" w:rsidRDefault="009A0A63" w:rsidP="00A24459">
            <w:pPr>
              <w:jc w:val="center"/>
              <w:rPr>
                <w:rFonts w:eastAsia="Times New Roman"/>
                <w:b/>
                <w:bCs/>
                <w:color w:val="000000"/>
                <w:sz w:val="24"/>
                <w:szCs w:val="24"/>
              </w:rPr>
            </w:pPr>
          </w:p>
        </w:tc>
      </w:tr>
      <w:tr w:rsidR="009A0A63" w:rsidRPr="00792B36" w14:paraId="10214471" w14:textId="77777777" w:rsidTr="00A24459">
        <w:trPr>
          <w:trHeight w:val="340"/>
        </w:trPr>
        <w:tc>
          <w:tcPr>
            <w:tcW w:w="694" w:type="pct"/>
            <w:tcBorders>
              <w:top w:val="nil"/>
              <w:left w:val="single" w:sz="4" w:space="0" w:color="auto"/>
              <w:bottom w:val="single" w:sz="4" w:space="0" w:color="auto"/>
              <w:right w:val="single" w:sz="4" w:space="0" w:color="auto"/>
            </w:tcBorders>
            <w:vAlign w:val="center"/>
            <w:hideMark/>
          </w:tcPr>
          <w:p w14:paraId="3421D401" w14:textId="77777777" w:rsidR="009A0A63" w:rsidRPr="00792B36" w:rsidRDefault="009A0A63" w:rsidP="00A24459">
            <w:pPr>
              <w:rPr>
                <w:rFonts w:eastAsia="Times New Roman"/>
                <w:color w:val="000000"/>
                <w:sz w:val="24"/>
                <w:szCs w:val="24"/>
              </w:rPr>
            </w:pPr>
            <w:r w:rsidRPr="00792B36">
              <w:rPr>
                <w:rFonts w:eastAsia="Times New Roman"/>
                <w:color w:val="000000"/>
                <w:sz w:val="24"/>
                <w:szCs w:val="24"/>
              </w:rPr>
              <w:t>Rayong</w:t>
            </w:r>
          </w:p>
        </w:tc>
        <w:tc>
          <w:tcPr>
            <w:tcW w:w="371" w:type="pct"/>
            <w:tcBorders>
              <w:top w:val="nil"/>
              <w:left w:val="nil"/>
              <w:bottom w:val="single" w:sz="4" w:space="0" w:color="auto"/>
              <w:right w:val="single" w:sz="4" w:space="0" w:color="auto"/>
            </w:tcBorders>
            <w:noWrap/>
            <w:vAlign w:val="center"/>
            <w:hideMark/>
          </w:tcPr>
          <w:p w14:paraId="10CEFC90"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127,874</w:t>
            </w:r>
          </w:p>
        </w:tc>
        <w:tc>
          <w:tcPr>
            <w:tcW w:w="342" w:type="pct"/>
            <w:tcBorders>
              <w:top w:val="nil"/>
              <w:left w:val="nil"/>
              <w:bottom w:val="single" w:sz="4" w:space="0" w:color="auto"/>
              <w:right w:val="single" w:sz="4" w:space="0" w:color="auto"/>
            </w:tcBorders>
            <w:noWrap/>
            <w:vAlign w:val="center"/>
            <w:hideMark/>
          </w:tcPr>
          <w:p w14:paraId="6FBBDDC0"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4,885</w:t>
            </w:r>
          </w:p>
        </w:tc>
        <w:tc>
          <w:tcPr>
            <w:tcW w:w="409" w:type="pct"/>
            <w:tcBorders>
              <w:top w:val="nil"/>
              <w:left w:val="nil"/>
              <w:bottom w:val="single" w:sz="4" w:space="0" w:color="auto"/>
              <w:right w:val="single" w:sz="4" w:space="0" w:color="auto"/>
            </w:tcBorders>
            <w:noWrap/>
            <w:vAlign w:val="center"/>
            <w:hideMark/>
          </w:tcPr>
          <w:p w14:paraId="15370CDB"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-15.06</w:t>
            </w:r>
          </w:p>
        </w:tc>
        <w:tc>
          <w:tcPr>
            <w:tcW w:w="340" w:type="pct"/>
            <w:tcBorders>
              <w:top w:val="nil"/>
              <w:left w:val="nil"/>
              <w:bottom w:val="single" w:sz="4" w:space="0" w:color="auto"/>
              <w:right w:val="single" w:sz="4" w:space="0" w:color="auto"/>
            </w:tcBorders>
            <w:noWrap/>
            <w:vAlign w:val="center"/>
            <w:hideMark/>
          </w:tcPr>
          <w:p w14:paraId="7BF4FC01"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0.40</w:t>
            </w:r>
          </w:p>
        </w:tc>
        <w:tc>
          <w:tcPr>
            <w:tcW w:w="454" w:type="pct"/>
            <w:tcBorders>
              <w:top w:val="single" w:sz="4" w:space="0" w:color="auto"/>
              <w:left w:val="nil"/>
              <w:bottom w:val="single" w:sz="4" w:space="0" w:color="auto"/>
              <w:right w:val="single" w:sz="4" w:space="0" w:color="auto"/>
            </w:tcBorders>
            <w:noWrap/>
            <w:vAlign w:val="center"/>
            <w:hideMark/>
          </w:tcPr>
          <w:p w14:paraId="0074B963" w14:textId="77777777" w:rsidR="009A0A63" w:rsidRPr="00792B36" w:rsidRDefault="009A0A63" w:rsidP="00A24459">
            <w:pPr>
              <w:jc w:val="center"/>
              <w:rPr>
                <w:rFonts w:eastAsia="Times New Roman"/>
                <w:color w:val="000000"/>
                <w:sz w:val="24"/>
                <w:szCs w:val="24"/>
              </w:rPr>
            </w:pPr>
            <w:r w:rsidRPr="00792B36">
              <w:rPr>
                <w:color w:val="000000"/>
                <w:sz w:val="24"/>
                <w:szCs w:val="24"/>
              </w:rPr>
              <w:t>10,815.23</w:t>
            </w:r>
          </w:p>
        </w:tc>
        <w:tc>
          <w:tcPr>
            <w:tcW w:w="454" w:type="pct"/>
            <w:tcBorders>
              <w:top w:val="single" w:sz="4" w:space="0" w:color="auto"/>
              <w:left w:val="single" w:sz="4" w:space="0" w:color="auto"/>
              <w:bottom w:val="single" w:sz="4" w:space="0" w:color="auto"/>
              <w:right w:val="nil"/>
            </w:tcBorders>
            <w:noWrap/>
            <w:vAlign w:val="center"/>
            <w:hideMark/>
          </w:tcPr>
          <w:p w14:paraId="18F8CA95" w14:textId="77777777" w:rsidR="009A0A63" w:rsidRPr="00792B36" w:rsidRDefault="009A0A63" w:rsidP="00A24459">
            <w:pPr>
              <w:jc w:val="center"/>
              <w:rPr>
                <w:rFonts w:eastAsia="Times New Roman"/>
                <w:color w:val="000000"/>
                <w:sz w:val="24"/>
                <w:szCs w:val="24"/>
              </w:rPr>
            </w:pPr>
            <w:r w:rsidRPr="00792B36">
              <w:rPr>
                <w:color w:val="000000"/>
                <w:sz w:val="24"/>
                <w:szCs w:val="24"/>
              </w:rPr>
              <w:t>11,050.56</w:t>
            </w:r>
          </w:p>
        </w:tc>
        <w:tc>
          <w:tcPr>
            <w:tcW w:w="405" w:type="pct"/>
            <w:tcBorders>
              <w:top w:val="nil"/>
              <w:left w:val="single" w:sz="4" w:space="0" w:color="auto"/>
              <w:bottom w:val="single" w:sz="4" w:space="0" w:color="auto"/>
              <w:right w:val="single" w:sz="4" w:space="0" w:color="auto"/>
            </w:tcBorders>
            <w:noWrap/>
            <w:vAlign w:val="center"/>
            <w:hideMark/>
          </w:tcPr>
          <w:p w14:paraId="1B8071C7"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0.11</w:t>
            </w:r>
          </w:p>
        </w:tc>
        <w:tc>
          <w:tcPr>
            <w:tcW w:w="317" w:type="pct"/>
            <w:tcBorders>
              <w:top w:val="nil"/>
              <w:left w:val="nil"/>
              <w:bottom w:val="single" w:sz="4" w:space="0" w:color="auto"/>
              <w:right w:val="single" w:sz="4" w:space="0" w:color="auto"/>
            </w:tcBorders>
            <w:noWrap/>
            <w:vAlign w:val="center"/>
            <w:hideMark/>
          </w:tcPr>
          <w:p w14:paraId="29998E63"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0.27</w:t>
            </w:r>
          </w:p>
        </w:tc>
        <w:tc>
          <w:tcPr>
            <w:tcW w:w="451" w:type="pct"/>
            <w:tcBorders>
              <w:top w:val="nil"/>
              <w:left w:val="nil"/>
              <w:bottom w:val="single" w:sz="4" w:space="0" w:color="auto"/>
              <w:right w:val="single" w:sz="4" w:space="0" w:color="auto"/>
            </w:tcBorders>
            <w:noWrap/>
            <w:vAlign w:val="center"/>
            <w:hideMark/>
          </w:tcPr>
          <w:p w14:paraId="02F838CF" w14:textId="77777777" w:rsidR="009A0A63" w:rsidRPr="00792B36" w:rsidRDefault="009A0A63" w:rsidP="00A24459">
            <w:pPr>
              <w:jc w:val="center"/>
              <w:rPr>
                <w:rFonts w:eastAsia="Times New Roman"/>
                <w:color w:val="000000"/>
                <w:sz w:val="24"/>
                <w:szCs w:val="24"/>
              </w:rPr>
            </w:pPr>
            <w:r w:rsidRPr="00792B36">
              <w:rPr>
                <w:color w:val="000000"/>
                <w:sz w:val="24"/>
                <w:szCs w:val="24"/>
              </w:rPr>
              <w:t>96.52</w:t>
            </w:r>
          </w:p>
        </w:tc>
        <w:tc>
          <w:tcPr>
            <w:tcW w:w="358" w:type="pct"/>
            <w:tcBorders>
              <w:top w:val="nil"/>
              <w:left w:val="nil"/>
              <w:bottom w:val="single" w:sz="4" w:space="0" w:color="auto"/>
              <w:right w:val="single" w:sz="4" w:space="0" w:color="auto"/>
            </w:tcBorders>
            <w:noWrap/>
            <w:vAlign w:val="center"/>
            <w:hideMark/>
          </w:tcPr>
          <w:p w14:paraId="07A807F3"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3.48</w:t>
            </w:r>
          </w:p>
        </w:tc>
        <w:tc>
          <w:tcPr>
            <w:tcW w:w="406" w:type="pct"/>
            <w:tcBorders>
              <w:top w:val="nil"/>
              <w:left w:val="nil"/>
              <w:bottom w:val="single" w:sz="4" w:space="0" w:color="auto"/>
              <w:right w:val="single" w:sz="4" w:space="0" w:color="auto"/>
            </w:tcBorders>
            <w:noWrap/>
            <w:vAlign w:val="center"/>
            <w:hideMark/>
          </w:tcPr>
          <w:p w14:paraId="5445AD96"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0.18</w:t>
            </w:r>
          </w:p>
        </w:tc>
      </w:tr>
      <w:tr w:rsidR="009A0A63" w:rsidRPr="00792B36" w14:paraId="43A16283" w14:textId="77777777" w:rsidTr="00A24459">
        <w:trPr>
          <w:trHeight w:val="340"/>
        </w:trPr>
        <w:tc>
          <w:tcPr>
            <w:tcW w:w="694" w:type="pct"/>
            <w:tcBorders>
              <w:top w:val="nil"/>
              <w:left w:val="single" w:sz="4" w:space="0" w:color="auto"/>
              <w:bottom w:val="single" w:sz="4" w:space="0" w:color="auto"/>
              <w:right w:val="single" w:sz="4" w:space="0" w:color="auto"/>
            </w:tcBorders>
            <w:vAlign w:val="center"/>
            <w:hideMark/>
          </w:tcPr>
          <w:p w14:paraId="674B53AD" w14:textId="77777777" w:rsidR="009A0A63" w:rsidRPr="00792B36" w:rsidRDefault="009A0A63" w:rsidP="00A24459">
            <w:pPr>
              <w:rPr>
                <w:rFonts w:eastAsia="Times New Roman"/>
                <w:color w:val="000000"/>
                <w:sz w:val="24"/>
                <w:szCs w:val="24"/>
              </w:rPr>
            </w:pPr>
            <w:r w:rsidRPr="00792B36">
              <w:rPr>
                <w:rFonts w:eastAsia="Times New Roman"/>
                <w:color w:val="000000"/>
                <w:sz w:val="24"/>
                <w:szCs w:val="24"/>
              </w:rPr>
              <w:t>Chanthaburi</w:t>
            </w:r>
          </w:p>
        </w:tc>
        <w:tc>
          <w:tcPr>
            <w:tcW w:w="371" w:type="pct"/>
            <w:tcBorders>
              <w:top w:val="nil"/>
              <w:left w:val="nil"/>
              <w:bottom w:val="single" w:sz="4" w:space="0" w:color="auto"/>
              <w:right w:val="single" w:sz="4" w:space="0" w:color="auto"/>
            </w:tcBorders>
            <w:noWrap/>
            <w:vAlign w:val="center"/>
            <w:hideMark/>
          </w:tcPr>
          <w:p w14:paraId="4FD60FA1"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213,073</w:t>
            </w:r>
          </w:p>
        </w:tc>
        <w:tc>
          <w:tcPr>
            <w:tcW w:w="342" w:type="pct"/>
            <w:tcBorders>
              <w:top w:val="nil"/>
              <w:left w:val="nil"/>
              <w:bottom w:val="single" w:sz="4" w:space="0" w:color="auto"/>
              <w:right w:val="single" w:sz="4" w:space="0" w:color="auto"/>
            </w:tcBorders>
            <w:noWrap/>
            <w:vAlign w:val="center"/>
            <w:hideMark/>
          </w:tcPr>
          <w:p w14:paraId="62227006"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36,687</w:t>
            </w:r>
          </w:p>
        </w:tc>
        <w:tc>
          <w:tcPr>
            <w:tcW w:w="409" w:type="pct"/>
            <w:tcBorders>
              <w:top w:val="nil"/>
              <w:left w:val="nil"/>
              <w:bottom w:val="single" w:sz="4" w:space="0" w:color="auto"/>
              <w:right w:val="single" w:sz="4" w:space="0" w:color="auto"/>
            </w:tcBorders>
            <w:noWrap/>
            <w:vAlign w:val="center"/>
            <w:hideMark/>
          </w:tcPr>
          <w:p w14:paraId="5E307C88"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-8.42</w:t>
            </w:r>
          </w:p>
        </w:tc>
        <w:tc>
          <w:tcPr>
            <w:tcW w:w="340" w:type="pct"/>
            <w:tcBorders>
              <w:top w:val="nil"/>
              <w:left w:val="nil"/>
              <w:bottom w:val="single" w:sz="4" w:space="0" w:color="auto"/>
              <w:right w:val="single" w:sz="4" w:space="0" w:color="auto"/>
            </w:tcBorders>
            <w:noWrap/>
            <w:vAlign w:val="center"/>
            <w:hideMark/>
          </w:tcPr>
          <w:p w14:paraId="05264BE5"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0.69</w:t>
            </w:r>
          </w:p>
        </w:tc>
        <w:tc>
          <w:tcPr>
            <w:tcW w:w="454" w:type="pct"/>
            <w:tcBorders>
              <w:top w:val="single" w:sz="4" w:space="0" w:color="auto"/>
              <w:left w:val="nil"/>
              <w:bottom w:val="single" w:sz="4" w:space="0" w:color="auto"/>
              <w:right w:val="single" w:sz="4" w:space="0" w:color="auto"/>
            </w:tcBorders>
            <w:noWrap/>
            <w:vAlign w:val="center"/>
            <w:hideMark/>
          </w:tcPr>
          <w:p w14:paraId="293A458B" w14:textId="77777777" w:rsidR="009A0A63" w:rsidRPr="00792B36" w:rsidRDefault="009A0A63" w:rsidP="00A24459">
            <w:pPr>
              <w:jc w:val="center"/>
              <w:rPr>
                <w:rFonts w:eastAsia="Times New Roman"/>
                <w:color w:val="000000"/>
                <w:sz w:val="24"/>
                <w:szCs w:val="24"/>
              </w:rPr>
            </w:pPr>
            <w:r w:rsidRPr="00792B36">
              <w:rPr>
                <w:color w:val="000000"/>
                <w:sz w:val="24"/>
                <w:szCs w:val="24"/>
              </w:rPr>
              <w:t>1,895.08</w:t>
            </w:r>
          </w:p>
        </w:tc>
        <w:tc>
          <w:tcPr>
            <w:tcW w:w="454" w:type="pct"/>
            <w:tcBorders>
              <w:top w:val="single" w:sz="4" w:space="0" w:color="auto"/>
              <w:left w:val="single" w:sz="4" w:space="0" w:color="auto"/>
              <w:bottom w:val="single" w:sz="4" w:space="0" w:color="auto"/>
              <w:right w:val="nil"/>
            </w:tcBorders>
            <w:noWrap/>
            <w:vAlign w:val="center"/>
            <w:hideMark/>
          </w:tcPr>
          <w:p w14:paraId="3B8AA58F" w14:textId="77777777" w:rsidR="009A0A63" w:rsidRPr="00792B36" w:rsidRDefault="009A0A63" w:rsidP="00A24459">
            <w:pPr>
              <w:jc w:val="center"/>
              <w:rPr>
                <w:rFonts w:eastAsia="Times New Roman"/>
                <w:color w:val="000000"/>
                <w:sz w:val="24"/>
                <w:szCs w:val="24"/>
              </w:rPr>
            </w:pPr>
            <w:r w:rsidRPr="00792B36">
              <w:rPr>
                <w:color w:val="000000"/>
                <w:sz w:val="24"/>
                <w:szCs w:val="24"/>
              </w:rPr>
              <w:t>2,465.76</w:t>
            </w:r>
          </w:p>
        </w:tc>
        <w:tc>
          <w:tcPr>
            <w:tcW w:w="405" w:type="pct"/>
            <w:tcBorders>
              <w:top w:val="nil"/>
              <w:left w:val="single" w:sz="4" w:space="0" w:color="auto"/>
              <w:bottom w:val="single" w:sz="4" w:space="0" w:color="auto"/>
              <w:right w:val="single" w:sz="4" w:space="0" w:color="auto"/>
            </w:tcBorders>
            <w:noWrap/>
            <w:vAlign w:val="center"/>
            <w:hideMark/>
          </w:tcPr>
          <w:p w14:paraId="50FE4467"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1.32</w:t>
            </w:r>
          </w:p>
        </w:tc>
        <w:tc>
          <w:tcPr>
            <w:tcW w:w="317" w:type="pct"/>
            <w:tcBorders>
              <w:top w:val="nil"/>
              <w:left w:val="nil"/>
              <w:bottom w:val="single" w:sz="4" w:space="0" w:color="auto"/>
              <w:right w:val="single" w:sz="4" w:space="0" w:color="auto"/>
            </w:tcBorders>
            <w:noWrap/>
            <w:vAlign w:val="center"/>
            <w:hideMark/>
          </w:tcPr>
          <w:p w14:paraId="4592FB02"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0.51</w:t>
            </w:r>
          </w:p>
        </w:tc>
        <w:tc>
          <w:tcPr>
            <w:tcW w:w="451" w:type="pct"/>
            <w:tcBorders>
              <w:top w:val="nil"/>
              <w:left w:val="nil"/>
              <w:bottom w:val="single" w:sz="4" w:space="0" w:color="auto"/>
              <w:right w:val="single" w:sz="4" w:space="0" w:color="auto"/>
            </w:tcBorders>
            <w:noWrap/>
            <w:vAlign w:val="center"/>
            <w:hideMark/>
          </w:tcPr>
          <w:p w14:paraId="32B46288" w14:textId="77777777" w:rsidR="009A0A63" w:rsidRPr="00792B36" w:rsidRDefault="009A0A63" w:rsidP="00A24459">
            <w:pPr>
              <w:jc w:val="center"/>
              <w:rPr>
                <w:rFonts w:eastAsia="Times New Roman"/>
                <w:color w:val="000000"/>
                <w:sz w:val="24"/>
                <w:szCs w:val="24"/>
              </w:rPr>
            </w:pPr>
            <w:r w:rsidRPr="00792B36">
              <w:rPr>
                <w:color w:val="000000"/>
                <w:sz w:val="24"/>
                <w:szCs w:val="24"/>
              </w:rPr>
              <w:t>95.79</w:t>
            </w:r>
          </w:p>
        </w:tc>
        <w:tc>
          <w:tcPr>
            <w:tcW w:w="358" w:type="pct"/>
            <w:tcBorders>
              <w:top w:val="nil"/>
              <w:left w:val="nil"/>
              <w:bottom w:val="single" w:sz="4" w:space="0" w:color="auto"/>
              <w:right w:val="single" w:sz="4" w:space="0" w:color="auto"/>
            </w:tcBorders>
            <w:noWrap/>
            <w:vAlign w:val="center"/>
            <w:hideMark/>
          </w:tcPr>
          <w:p w14:paraId="4D34B6F9"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4.21</w:t>
            </w:r>
          </w:p>
        </w:tc>
        <w:tc>
          <w:tcPr>
            <w:tcW w:w="406" w:type="pct"/>
            <w:tcBorders>
              <w:top w:val="nil"/>
              <w:left w:val="nil"/>
              <w:bottom w:val="single" w:sz="4" w:space="0" w:color="auto"/>
              <w:right w:val="single" w:sz="4" w:space="0" w:color="auto"/>
            </w:tcBorders>
            <w:noWrap/>
            <w:vAlign w:val="center"/>
            <w:hideMark/>
          </w:tcPr>
          <w:p w14:paraId="7A5C57CE"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0.25</w:t>
            </w:r>
          </w:p>
        </w:tc>
      </w:tr>
      <w:tr w:rsidR="009A0A63" w:rsidRPr="00792B36" w14:paraId="0B7045EC" w14:textId="77777777" w:rsidTr="00A24459">
        <w:trPr>
          <w:trHeight w:val="340"/>
        </w:trPr>
        <w:tc>
          <w:tcPr>
            <w:tcW w:w="694" w:type="pct"/>
            <w:tcBorders>
              <w:top w:val="nil"/>
              <w:left w:val="single" w:sz="4" w:space="0" w:color="auto"/>
              <w:bottom w:val="single" w:sz="4" w:space="0" w:color="auto"/>
              <w:right w:val="single" w:sz="4" w:space="0" w:color="auto"/>
            </w:tcBorders>
            <w:vAlign w:val="center"/>
            <w:hideMark/>
          </w:tcPr>
          <w:p w14:paraId="214D0BFD" w14:textId="77777777" w:rsidR="009A0A63" w:rsidRPr="00792B36" w:rsidRDefault="009A0A63" w:rsidP="00A24459">
            <w:pPr>
              <w:rPr>
                <w:rFonts w:eastAsia="Times New Roman"/>
                <w:color w:val="000000"/>
                <w:sz w:val="24"/>
                <w:szCs w:val="24"/>
              </w:rPr>
            </w:pPr>
            <w:r w:rsidRPr="00792B36">
              <w:rPr>
                <w:rFonts w:eastAsia="Times New Roman"/>
                <w:color w:val="000000"/>
                <w:sz w:val="24"/>
                <w:szCs w:val="24"/>
              </w:rPr>
              <w:t>Trat</w:t>
            </w:r>
          </w:p>
        </w:tc>
        <w:tc>
          <w:tcPr>
            <w:tcW w:w="371" w:type="pct"/>
            <w:tcBorders>
              <w:top w:val="nil"/>
              <w:left w:val="nil"/>
              <w:bottom w:val="single" w:sz="4" w:space="0" w:color="auto"/>
              <w:right w:val="single" w:sz="4" w:space="0" w:color="auto"/>
            </w:tcBorders>
            <w:noWrap/>
            <w:vAlign w:val="center"/>
            <w:hideMark/>
          </w:tcPr>
          <w:p w14:paraId="23D1BEEE"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106,881</w:t>
            </w:r>
          </w:p>
        </w:tc>
        <w:tc>
          <w:tcPr>
            <w:tcW w:w="342" w:type="pct"/>
            <w:tcBorders>
              <w:top w:val="nil"/>
              <w:left w:val="nil"/>
              <w:bottom w:val="single" w:sz="4" w:space="0" w:color="auto"/>
              <w:right w:val="single" w:sz="4" w:space="0" w:color="auto"/>
            </w:tcBorders>
            <w:noWrap/>
            <w:vAlign w:val="center"/>
            <w:hideMark/>
          </w:tcPr>
          <w:p w14:paraId="40967805"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30,551</w:t>
            </w:r>
          </w:p>
        </w:tc>
        <w:tc>
          <w:tcPr>
            <w:tcW w:w="409" w:type="pct"/>
            <w:tcBorders>
              <w:top w:val="nil"/>
              <w:left w:val="nil"/>
              <w:bottom w:val="single" w:sz="4" w:space="0" w:color="auto"/>
              <w:right w:val="single" w:sz="4" w:space="0" w:color="auto"/>
            </w:tcBorders>
            <w:noWrap/>
            <w:vAlign w:val="center"/>
            <w:hideMark/>
          </w:tcPr>
          <w:p w14:paraId="67871D33"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-6.07</w:t>
            </w:r>
          </w:p>
        </w:tc>
        <w:tc>
          <w:tcPr>
            <w:tcW w:w="340" w:type="pct"/>
            <w:tcBorders>
              <w:top w:val="nil"/>
              <w:left w:val="nil"/>
              <w:bottom w:val="single" w:sz="4" w:space="0" w:color="auto"/>
              <w:right w:val="single" w:sz="4" w:space="0" w:color="auto"/>
            </w:tcBorders>
            <w:noWrap/>
            <w:vAlign w:val="center"/>
            <w:hideMark/>
          </w:tcPr>
          <w:p w14:paraId="45780F02"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0.79</w:t>
            </w:r>
          </w:p>
        </w:tc>
        <w:tc>
          <w:tcPr>
            <w:tcW w:w="454" w:type="pct"/>
            <w:tcBorders>
              <w:top w:val="single" w:sz="4" w:space="0" w:color="auto"/>
              <w:left w:val="nil"/>
              <w:bottom w:val="single" w:sz="4" w:space="0" w:color="auto"/>
              <w:right w:val="single" w:sz="4" w:space="0" w:color="auto"/>
            </w:tcBorders>
            <w:noWrap/>
            <w:vAlign w:val="center"/>
            <w:hideMark/>
          </w:tcPr>
          <w:p w14:paraId="29E4A5A1" w14:textId="77777777" w:rsidR="009A0A63" w:rsidRPr="00792B36" w:rsidRDefault="009A0A63" w:rsidP="00A24459">
            <w:pPr>
              <w:jc w:val="center"/>
              <w:rPr>
                <w:rFonts w:eastAsia="Times New Roman"/>
                <w:color w:val="000000"/>
                <w:sz w:val="24"/>
                <w:szCs w:val="24"/>
              </w:rPr>
            </w:pPr>
            <w:r w:rsidRPr="00792B36">
              <w:rPr>
                <w:color w:val="000000"/>
                <w:sz w:val="24"/>
                <w:szCs w:val="24"/>
              </w:rPr>
              <w:t>1,835.37</w:t>
            </w:r>
          </w:p>
        </w:tc>
        <w:tc>
          <w:tcPr>
            <w:tcW w:w="454" w:type="pct"/>
            <w:tcBorders>
              <w:top w:val="single" w:sz="4" w:space="0" w:color="auto"/>
              <w:left w:val="single" w:sz="4" w:space="0" w:color="auto"/>
              <w:bottom w:val="single" w:sz="4" w:space="0" w:color="auto"/>
              <w:right w:val="nil"/>
            </w:tcBorders>
            <w:noWrap/>
            <w:vAlign w:val="center"/>
            <w:hideMark/>
          </w:tcPr>
          <w:p w14:paraId="43B2EC87" w14:textId="77777777" w:rsidR="009A0A63" w:rsidRPr="00792B36" w:rsidRDefault="009A0A63" w:rsidP="00A24459">
            <w:pPr>
              <w:jc w:val="center"/>
              <w:rPr>
                <w:rFonts w:eastAsia="Times New Roman"/>
                <w:color w:val="000000"/>
                <w:sz w:val="24"/>
                <w:szCs w:val="24"/>
              </w:rPr>
            </w:pPr>
            <w:r w:rsidRPr="00792B36">
              <w:rPr>
                <w:color w:val="000000"/>
                <w:sz w:val="24"/>
                <w:szCs w:val="24"/>
              </w:rPr>
              <w:t>2,247.54</w:t>
            </w:r>
          </w:p>
        </w:tc>
        <w:tc>
          <w:tcPr>
            <w:tcW w:w="405" w:type="pct"/>
            <w:tcBorders>
              <w:top w:val="nil"/>
              <w:left w:val="single" w:sz="4" w:space="0" w:color="auto"/>
              <w:bottom w:val="single" w:sz="4" w:space="0" w:color="auto"/>
              <w:right w:val="single" w:sz="4" w:space="0" w:color="auto"/>
            </w:tcBorders>
            <w:noWrap/>
            <w:vAlign w:val="center"/>
            <w:hideMark/>
          </w:tcPr>
          <w:p w14:paraId="4228C51E"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1.02</w:t>
            </w:r>
          </w:p>
        </w:tc>
        <w:tc>
          <w:tcPr>
            <w:tcW w:w="317" w:type="pct"/>
            <w:tcBorders>
              <w:top w:val="nil"/>
              <w:left w:val="nil"/>
              <w:bottom w:val="single" w:sz="4" w:space="0" w:color="auto"/>
              <w:right w:val="single" w:sz="4" w:space="0" w:color="auto"/>
            </w:tcBorders>
            <w:noWrap/>
            <w:vAlign w:val="center"/>
            <w:hideMark/>
          </w:tcPr>
          <w:p w14:paraId="311EF414"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0.45</w:t>
            </w:r>
          </w:p>
        </w:tc>
        <w:tc>
          <w:tcPr>
            <w:tcW w:w="451" w:type="pct"/>
            <w:tcBorders>
              <w:top w:val="nil"/>
              <w:left w:val="nil"/>
              <w:bottom w:val="single" w:sz="4" w:space="0" w:color="auto"/>
              <w:right w:val="single" w:sz="4" w:space="0" w:color="auto"/>
            </w:tcBorders>
            <w:noWrap/>
            <w:vAlign w:val="center"/>
            <w:hideMark/>
          </w:tcPr>
          <w:p w14:paraId="0B86777D" w14:textId="77777777" w:rsidR="009A0A63" w:rsidRPr="00792B36" w:rsidRDefault="009A0A63" w:rsidP="00A24459">
            <w:pPr>
              <w:jc w:val="center"/>
              <w:rPr>
                <w:rFonts w:eastAsia="Times New Roman"/>
                <w:color w:val="000000"/>
                <w:sz w:val="24"/>
                <w:szCs w:val="24"/>
              </w:rPr>
            </w:pPr>
            <w:r w:rsidRPr="00792B36">
              <w:rPr>
                <w:color w:val="000000"/>
                <w:sz w:val="24"/>
                <w:szCs w:val="24"/>
              </w:rPr>
              <w:t>98.03</w:t>
            </w:r>
          </w:p>
        </w:tc>
        <w:tc>
          <w:tcPr>
            <w:tcW w:w="358" w:type="pct"/>
            <w:tcBorders>
              <w:top w:val="nil"/>
              <w:left w:val="nil"/>
              <w:bottom w:val="single" w:sz="4" w:space="0" w:color="auto"/>
              <w:right w:val="single" w:sz="4" w:space="0" w:color="auto"/>
            </w:tcBorders>
            <w:noWrap/>
            <w:vAlign w:val="center"/>
            <w:hideMark/>
          </w:tcPr>
          <w:p w14:paraId="40A2B02E"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1.97</w:t>
            </w:r>
          </w:p>
        </w:tc>
        <w:tc>
          <w:tcPr>
            <w:tcW w:w="406" w:type="pct"/>
            <w:tcBorders>
              <w:top w:val="nil"/>
              <w:left w:val="nil"/>
              <w:bottom w:val="single" w:sz="4" w:space="0" w:color="auto"/>
              <w:right w:val="single" w:sz="4" w:space="0" w:color="auto"/>
            </w:tcBorders>
            <w:noWrap/>
            <w:vAlign w:val="center"/>
            <w:hideMark/>
          </w:tcPr>
          <w:p w14:paraId="3C4DB046"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0.02</w:t>
            </w:r>
          </w:p>
        </w:tc>
      </w:tr>
      <w:tr w:rsidR="009A0A63" w:rsidRPr="00792B36" w14:paraId="37A9E4B8" w14:textId="77777777" w:rsidTr="00A24459">
        <w:trPr>
          <w:trHeight w:val="340"/>
        </w:trPr>
        <w:tc>
          <w:tcPr>
            <w:tcW w:w="694" w:type="pct"/>
            <w:tcBorders>
              <w:top w:val="nil"/>
              <w:left w:val="single" w:sz="4" w:space="0" w:color="auto"/>
              <w:bottom w:val="single" w:sz="4" w:space="0" w:color="auto"/>
              <w:right w:val="single" w:sz="4" w:space="0" w:color="auto"/>
            </w:tcBorders>
            <w:vAlign w:val="center"/>
            <w:hideMark/>
          </w:tcPr>
          <w:p w14:paraId="6D373610" w14:textId="77777777" w:rsidR="009A0A63" w:rsidRPr="00792B36" w:rsidRDefault="009A0A63" w:rsidP="00A24459">
            <w:pPr>
              <w:rPr>
                <w:rFonts w:eastAsia="Times New Roman"/>
                <w:color w:val="000000"/>
                <w:sz w:val="24"/>
                <w:szCs w:val="24"/>
              </w:rPr>
            </w:pPr>
            <w:r w:rsidRPr="00792B36">
              <w:rPr>
                <w:rFonts w:eastAsia="Times New Roman"/>
                <w:color w:val="000000"/>
                <w:sz w:val="24"/>
                <w:szCs w:val="24"/>
              </w:rPr>
              <w:t>Samut Prakan</w:t>
            </w:r>
          </w:p>
        </w:tc>
        <w:tc>
          <w:tcPr>
            <w:tcW w:w="371" w:type="pct"/>
            <w:tcBorders>
              <w:top w:val="nil"/>
              <w:left w:val="nil"/>
              <w:bottom w:val="single" w:sz="4" w:space="0" w:color="auto"/>
              <w:right w:val="single" w:sz="4" w:space="0" w:color="auto"/>
            </w:tcBorders>
            <w:noWrap/>
            <w:vAlign w:val="center"/>
            <w:hideMark/>
          </w:tcPr>
          <w:p w14:paraId="7A220104"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58,988</w:t>
            </w:r>
          </w:p>
        </w:tc>
        <w:tc>
          <w:tcPr>
            <w:tcW w:w="342" w:type="pct"/>
            <w:tcBorders>
              <w:top w:val="nil"/>
              <w:left w:val="nil"/>
              <w:bottom w:val="single" w:sz="4" w:space="0" w:color="auto"/>
              <w:right w:val="single" w:sz="4" w:space="0" w:color="auto"/>
            </w:tcBorders>
            <w:noWrap/>
            <w:vAlign w:val="center"/>
            <w:hideMark/>
          </w:tcPr>
          <w:p w14:paraId="058DE460"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4,363</w:t>
            </w:r>
          </w:p>
        </w:tc>
        <w:tc>
          <w:tcPr>
            <w:tcW w:w="409" w:type="pct"/>
            <w:tcBorders>
              <w:top w:val="nil"/>
              <w:left w:val="nil"/>
              <w:bottom w:val="single" w:sz="4" w:space="0" w:color="auto"/>
              <w:right w:val="single" w:sz="4" w:space="0" w:color="auto"/>
            </w:tcBorders>
            <w:noWrap/>
            <w:vAlign w:val="center"/>
            <w:hideMark/>
          </w:tcPr>
          <w:p w14:paraId="2F7EFC56"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-12.21</w:t>
            </w:r>
          </w:p>
        </w:tc>
        <w:tc>
          <w:tcPr>
            <w:tcW w:w="340" w:type="pct"/>
            <w:tcBorders>
              <w:top w:val="nil"/>
              <w:left w:val="nil"/>
              <w:bottom w:val="single" w:sz="4" w:space="0" w:color="auto"/>
              <w:right w:val="single" w:sz="4" w:space="0" w:color="auto"/>
            </w:tcBorders>
            <w:noWrap/>
            <w:vAlign w:val="center"/>
            <w:hideMark/>
          </w:tcPr>
          <w:p w14:paraId="35A33154"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0.52</w:t>
            </w:r>
          </w:p>
        </w:tc>
        <w:tc>
          <w:tcPr>
            <w:tcW w:w="454" w:type="pct"/>
            <w:tcBorders>
              <w:top w:val="single" w:sz="4" w:space="0" w:color="auto"/>
              <w:left w:val="nil"/>
              <w:bottom w:val="single" w:sz="4" w:space="0" w:color="auto"/>
              <w:right w:val="single" w:sz="4" w:space="0" w:color="auto"/>
            </w:tcBorders>
            <w:noWrap/>
            <w:vAlign w:val="center"/>
            <w:hideMark/>
          </w:tcPr>
          <w:p w14:paraId="50A8454C" w14:textId="77777777" w:rsidR="009A0A63" w:rsidRPr="00792B36" w:rsidRDefault="009A0A63" w:rsidP="00A24459">
            <w:pPr>
              <w:jc w:val="center"/>
              <w:rPr>
                <w:rFonts w:eastAsia="Times New Roman"/>
                <w:color w:val="000000"/>
                <w:sz w:val="24"/>
                <w:szCs w:val="24"/>
              </w:rPr>
            </w:pPr>
            <w:r w:rsidRPr="00792B36">
              <w:rPr>
                <w:color w:val="000000"/>
                <w:sz w:val="24"/>
                <w:szCs w:val="24"/>
              </w:rPr>
              <w:t>6,699.35</w:t>
            </w:r>
          </w:p>
        </w:tc>
        <w:tc>
          <w:tcPr>
            <w:tcW w:w="454" w:type="pct"/>
            <w:tcBorders>
              <w:top w:val="single" w:sz="4" w:space="0" w:color="auto"/>
              <w:left w:val="single" w:sz="4" w:space="0" w:color="auto"/>
              <w:bottom w:val="single" w:sz="4" w:space="0" w:color="auto"/>
              <w:right w:val="nil"/>
            </w:tcBorders>
            <w:noWrap/>
            <w:vAlign w:val="center"/>
            <w:hideMark/>
          </w:tcPr>
          <w:p w14:paraId="62775005" w14:textId="77777777" w:rsidR="009A0A63" w:rsidRPr="00792B36" w:rsidRDefault="009A0A63" w:rsidP="00A24459">
            <w:pPr>
              <w:jc w:val="center"/>
              <w:rPr>
                <w:rFonts w:eastAsia="Times New Roman"/>
                <w:color w:val="000000"/>
                <w:sz w:val="24"/>
                <w:szCs w:val="24"/>
              </w:rPr>
            </w:pPr>
            <w:r w:rsidRPr="00792B36">
              <w:rPr>
                <w:color w:val="000000"/>
                <w:sz w:val="24"/>
                <w:szCs w:val="24"/>
              </w:rPr>
              <w:t>5,199.45</w:t>
            </w:r>
          </w:p>
        </w:tc>
        <w:tc>
          <w:tcPr>
            <w:tcW w:w="405" w:type="pct"/>
            <w:tcBorders>
              <w:top w:val="nil"/>
              <w:left w:val="single" w:sz="4" w:space="0" w:color="auto"/>
              <w:bottom w:val="single" w:sz="4" w:space="0" w:color="auto"/>
              <w:right w:val="single" w:sz="4" w:space="0" w:color="auto"/>
            </w:tcBorders>
            <w:noWrap/>
            <w:vAlign w:val="center"/>
            <w:hideMark/>
          </w:tcPr>
          <w:p w14:paraId="1645C0BC"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-1.26</w:t>
            </w:r>
          </w:p>
        </w:tc>
        <w:tc>
          <w:tcPr>
            <w:tcW w:w="317" w:type="pct"/>
            <w:tcBorders>
              <w:top w:val="nil"/>
              <w:left w:val="nil"/>
              <w:bottom w:val="single" w:sz="4" w:space="0" w:color="auto"/>
              <w:right w:val="single" w:sz="4" w:space="0" w:color="auto"/>
            </w:tcBorders>
            <w:noWrap/>
            <w:vAlign w:val="center"/>
            <w:hideMark/>
          </w:tcPr>
          <w:p w14:paraId="0CFFBBE0"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0.00</w:t>
            </w:r>
          </w:p>
        </w:tc>
        <w:tc>
          <w:tcPr>
            <w:tcW w:w="451" w:type="pct"/>
            <w:tcBorders>
              <w:top w:val="nil"/>
              <w:left w:val="nil"/>
              <w:bottom w:val="single" w:sz="4" w:space="0" w:color="auto"/>
              <w:right w:val="single" w:sz="4" w:space="0" w:color="auto"/>
            </w:tcBorders>
            <w:noWrap/>
            <w:vAlign w:val="center"/>
            <w:hideMark/>
          </w:tcPr>
          <w:p w14:paraId="49D7301B" w14:textId="77777777" w:rsidR="009A0A63" w:rsidRPr="00792B36" w:rsidRDefault="009A0A63" w:rsidP="00A24459">
            <w:pPr>
              <w:jc w:val="center"/>
              <w:rPr>
                <w:rFonts w:eastAsia="Times New Roman"/>
                <w:color w:val="000000"/>
                <w:sz w:val="24"/>
                <w:szCs w:val="24"/>
              </w:rPr>
            </w:pPr>
            <w:r w:rsidRPr="00792B36">
              <w:rPr>
                <w:color w:val="000000"/>
                <w:sz w:val="24"/>
                <w:szCs w:val="24"/>
              </w:rPr>
              <w:t>91.17</w:t>
            </w:r>
          </w:p>
        </w:tc>
        <w:tc>
          <w:tcPr>
            <w:tcW w:w="358" w:type="pct"/>
            <w:tcBorders>
              <w:top w:val="nil"/>
              <w:left w:val="nil"/>
              <w:bottom w:val="single" w:sz="4" w:space="0" w:color="auto"/>
              <w:right w:val="single" w:sz="4" w:space="0" w:color="auto"/>
            </w:tcBorders>
            <w:noWrap/>
            <w:vAlign w:val="center"/>
            <w:hideMark/>
          </w:tcPr>
          <w:p w14:paraId="5F5D4A55"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8.83</w:t>
            </w:r>
          </w:p>
        </w:tc>
        <w:tc>
          <w:tcPr>
            <w:tcW w:w="406" w:type="pct"/>
            <w:tcBorders>
              <w:top w:val="nil"/>
              <w:left w:val="nil"/>
              <w:bottom w:val="single" w:sz="4" w:space="0" w:color="auto"/>
              <w:right w:val="single" w:sz="4" w:space="0" w:color="auto"/>
            </w:tcBorders>
            <w:noWrap/>
            <w:vAlign w:val="center"/>
            <w:hideMark/>
          </w:tcPr>
          <w:p w14:paraId="18F98682"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0.74</w:t>
            </w:r>
          </w:p>
        </w:tc>
      </w:tr>
      <w:tr w:rsidR="009A0A63" w:rsidRPr="00792B36" w14:paraId="69AA82C6" w14:textId="77777777" w:rsidTr="00A24459">
        <w:trPr>
          <w:trHeight w:val="340"/>
        </w:trPr>
        <w:tc>
          <w:tcPr>
            <w:tcW w:w="694" w:type="pct"/>
            <w:tcBorders>
              <w:top w:val="nil"/>
              <w:left w:val="single" w:sz="4" w:space="0" w:color="auto"/>
              <w:bottom w:val="single" w:sz="4" w:space="0" w:color="auto"/>
              <w:right w:val="single" w:sz="4" w:space="0" w:color="auto"/>
            </w:tcBorders>
            <w:vAlign w:val="center"/>
            <w:hideMark/>
          </w:tcPr>
          <w:p w14:paraId="0BB8493A" w14:textId="77777777" w:rsidR="009A0A63" w:rsidRPr="00792B36" w:rsidRDefault="009A0A63" w:rsidP="00A24459">
            <w:pPr>
              <w:rPr>
                <w:rFonts w:eastAsia="Times New Roman"/>
                <w:color w:val="000000"/>
                <w:sz w:val="24"/>
                <w:szCs w:val="24"/>
              </w:rPr>
            </w:pPr>
            <w:r w:rsidRPr="00792B36">
              <w:rPr>
                <w:rFonts w:eastAsia="Times New Roman"/>
                <w:color w:val="000000"/>
                <w:sz w:val="24"/>
                <w:szCs w:val="24"/>
              </w:rPr>
              <w:t>Chon Buri</w:t>
            </w:r>
          </w:p>
        </w:tc>
        <w:tc>
          <w:tcPr>
            <w:tcW w:w="371" w:type="pct"/>
            <w:tcBorders>
              <w:top w:val="nil"/>
              <w:left w:val="nil"/>
              <w:bottom w:val="single" w:sz="4" w:space="0" w:color="auto"/>
              <w:right w:val="single" w:sz="4" w:space="0" w:color="auto"/>
            </w:tcBorders>
            <w:noWrap/>
            <w:vAlign w:val="center"/>
            <w:hideMark/>
          </w:tcPr>
          <w:p w14:paraId="37DDFC81"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174,150</w:t>
            </w:r>
          </w:p>
        </w:tc>
        <w:tc>
          <w:tcPr>
            <w:tcW w:w="342" w:type="pct"/>
            <w:tcBorders>
              <w:top w:val="nil"/>
              <w:left w:val="nil"/>
              <w:bottom w:val="single" w:sz="4" w:space="0" w:color="auto"/>
              <w:right w:val="single" w:sz="4" w:space="0" w:color="auto"/>
            </w:tcBorders>
            <w:noWrap/>
            <w:vAlign w:val="center"/>
            <w:hideMark/>
          </w:tcPr>
          <w:p w14:paraId="5A2CB0CF"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664</w:t>
            </w:r>
          </w:p>
        </w:tc>
        <w:tc>
          <w:tcPr>
            <w:tcW w:w="409" w:type="pct"/>
            <w:tcBorders>
              <w:top w:val="nil"/>
              <w:left w:val="nil"/>
              <w:bottom w:val="single" w:sz="4" w:space="0" w:color="auto"/>
              <w:right w:val="single" w:sz="4" w:space="0" w:color="auto"/>
            </w:tcBorders>
            <w:noWrap/>
            <w:vAlign w:val="center"/>
            <w:hideMark/>
          </w:tcPr>
          <w:p w14:paraId="7F87EE21"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-24.31</w:t>
            </w:r>
          </w:p>
        </w:tc>
        <w:tc>
          <w:tcPr>
            <w:tcW w:w="340" w:type="pct"/>
            <w:tcBorders>
              <w:top w:val="nil"/>
              <w:left w:val="nil"/>
              <w:bottom w:val="single" w:sz="4" w:space="0" w:color="auto"/>
              <w:right w:val="single" w:sz="4" w:space="0" w:color="auto"/>
            </w:tcBorders>
            <w:noWrap/>
            <w:vAlign w:val="center"/>
            <w:hideMark/>
          </w:tcPr>
          <w:p w14:paraId="1CC76EA3"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0.00</w:t>
            </w:r>
          </w:p>
        </w:tc>
        <w:tc>
          <w:tcPr>
            <w:tcW w:w="454" w:type="pct"/>
            <w:tcBorders>
              <w:top w:val="single" w:sz="4" w:space="0" w:color="auto"/>
              <w:left w:val="nil"/>
              <w:bottom w:val="single" w:sz="4" w:space="0" w:color="auto"/>
              <w:right w:val="single" w:sz="4" w:space="0" w:color="auto"/>
            </w:tcBorders>
            <w:noWrap/>
            <w:vAlign w:val="center"/>
            <w:hideMark/>
          </w:tcPr>
          <w:p w14:paraId="29EC266D" w14:textId="77777777" w:rsidR="009A0A63" w:rsidRPr="00792B36" w:rsidRDefault="009A0A63" w:rsidP="00A24459">
            <w:pPr>
              <w:jc w:val="center"/>
              <w:rPr>
                <w:rFonts w:eastAsia="Times New Roman"/>
                <w:color w:val="000000"/>
                <w:sz w:val="24"/>
                <w:szCs w:val="24"/>
              </w:rPr>
            </w:pPr>
            <w:r w:rsidRPr="00792B36">
              <w:rPr>
                <w:color w:val="000000"/>
                <w:sz w:val="24"/>
                <w:szCs w:val="24"/>
              </w:rPr>
              <w:t>5,580.46</w:t>
            </w:r>
          </w:p>
        </w:tc>
        <w:tc>
          <w:tcPr>
            <w:tcW w:w="454" w:type="pct"/>
            <w:tcBorders>
              <w:top w:val="single" w:sz="4" w:space="0" w:color="auto"/>
              <w:left w:val="single" w:sz="4" w:space="0" w:color="auto"/>
              <w:bottom w:val="single" w:sz="4" w:space="0" w:color="auto"/>
              <w:right w:val="nil"/>
            </w:tcBorders>
            <w:noWrap/>
            <w:vAlign w:val="center"/>
            <w:hideMark/>
          </w:tcPr>
          <w:p w14:paraId="638AFAD0" w14:textId="77777777" w:rsidR="009A0A63" w:rsidRPr="00792B36" w:rsidRDefault="009A0A63" w:rsidP="00A24459">
            <w:pPr>
              <w:jc w:val="center"/>
              <w:rPr>
                <w:rFonts w:eastAsia="Times New Roman"/>
                <w:color w:val="000000"/>
                <w:sz w:val="24"/>
                <w:szCs w:val="24"/>
              </w:rPr>
            </w:pPr>
            <w:r w:rsidRPr="00792B36">
              <w:rPr>
                <w:color w:val="000000"/>
                <w:sz w:val="24"/>
                <w:szCs w:val="24"/>
              </w:rPr>
              <w:t>6,924.99</w:t>
            </w:r>
          </w:p>
        </w:tc>
        <w:tc>
          <w:tcPr>
            <w:tcW w:w="405" w:type="pct"/>
            <w:tcBorders>
              <w:top w:val="nil"/>
              <w:left w:val="single" w:sz="4" w:space="0" w:color="auto"/>
              <w:bottom w:val="single" w:sz="4" w:space="0" w:color="auto"/>
              <w:right w:val="single" w:sz="4" w:space="0" w:color="auto"/>
            </w:tcBorders>
            <w:noWrap/>
            <w:vAlign w:val="center"/>
            <w:hideMark/>
          </w:tcPr>
          <w:p w14:paraId="65C4E7E2"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1.09</w:t>
            </w:r>
          </w:p>
        </w:tc>
        <w:tc>
          <w:tcPr>
            <w:tcW w:w="317" w:type="pct"/>
            <w:tcBorders>
              <w:top w:val="nil"/>
              <w:left w:val="nil"/>
              <w:bottom w:val="single" w:sz="4" w:space="0" w:color="auto"/>
              <w:right w:val="single" w:sz="4" w:space="0" w:color="auto"/>
            </w:tcBorders>
            <w:noWrap/>
            <w:vAlign w:val="center"/>
            <w:hideMark/>
          </w:tcPr>
          <w:p w14:paraId="4E00BFA3"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0.46</w:t>
            </w:r>
          </w:p>
        </w:tc>
        <w:tc>
          <w:tcPr>
            <w:tcW w:w="451" w:type="pct"/>
            <w:tcBorders>
              <w:top w:val="nil"/>
              <w:left w:val="nil"/>
              <w:bottom w:val="single" w:sz="4" w:space="0" w:color="auto"/>
              <w:right w:val="single" w:sz="4" w:space="0" w:color="auto"/>
            </w:tcBorders>
            <w:noWrap/>
            <w:vAlign w:val="center"/>
            <w:hideMark/>
          </w:tcPr>
          <w:p w14:paraId="0DC4B7B2" w14:textId="77777777" w:rsidR="009A0A63" w:rsidRPr="00792B36" w:rsidRDefault="009A0A63" w:rsidP="00A24459">
            <w:pPr>
              <w:jc w:val="center"/>
              <w:rPr>
                <w:rFonts w:eastAsia="Times New Roman"/>
                <w:color w:val="000000"/>
                <w:sz w:val="24"/>
                <w:szCs w:val="24"/>
              </w:rPr>
            </w:pPr>
            <w:r w:rsidRPr="00792B36">
              <w:rPr>
                <w:color w:val="000000"/>
                <w:sz w:val="24"/>
                <w:szCs w:val="24"/>
              </w:rPr>
              <w:t>95.15</w:t>
            </w:r>
          </w:p>
        </w:tc>
        <w:tc>
          <w:tcPr>
            <w:tcW w:w="358" w:type="pct"/>
            <w:tcBorders>
              <w:top w:val="nil"/>
              <w:left w:val="nil"/>
              <w:bottom w:val="single" w:sz="4" w:space="0" w:color="auto"/>
              <w:right w:val="single" w:sz="4" w:space="0" w:color="auto"/>
            </w:tcBorders>
            <w:noWrap/>
            <w:vAlign w:val="center"/>
            <w:hideMark/>
          </w:tcPr>
          <w:p w14:paraId="4EC7D538"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4.85</w:t>
            </w:r>
          </w:p>
        </w:tc>
        <w:tc>
          <w:tcPr>
            <w:tcW w:w="406" w:type="pct"/>
            <w:tcBorders>
              <w:top w:val="nil"/>
              <w:left w:val="nil"/>
              <w:bottom w:val="single" w:sz="4" w:space="0" w:color="auto"/>
              <w:right w:val="single" w:sz="4" w:space="0" w:color="auto"/>
            </w:tcBorders>
            <w:noWrap/>
            <w:vAlign w:val="center"/>
            <w:hideMark/>
          </w:tcPr>
          <w:p w14:paraId="634BAFF7"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0.32</w:t>
            </w:r>
          </w:p>
        </w:tc>
      </w:tr>
      <w:tr w:rsidR="009A0A63" w:rsidRPr="00792B36" w14:paraId="34B2DBEE" w14:textId="77777777" w:rsidTr="00A24459">
        <w:trPr>
          <w:trHeight w:val="340"/>
        </w:trPr>
        <w:tc>
          <w:tcPr>
            <w:tcW w:w="694" w:type="pct"/>
            <w:tcBorders>
              <w:top w:val="nil"/>
              <w:left w:val="single" w:sz="4" w:space="0" w:color="auto"/>
              <w:bottom w:val="single" w:sz="4" w:space="0" w:color="auto"/>
              <w:right w:val="single" w:sz="4" w:space="0" w:color="auto"/>
            </w:tcBorders>
            <w:vAlign w:val="center"/>
            <w:hideMark/>
          </w:tcPr>
          <w:p w14:paraId="4D67E349" w14:textId="77777777" w:rsidR="009A0A63" w:rsidRPr="00792B36" w:rsidRDefault="009A0A63" w:rsidP="00A24459">
            <w:pPr>
              <w:rPr>
                <w:rFonts w:eastAsia="Times New Roman"/>
                <w:color w:val="000000"/>
                <w:sz w:val="24"/>
                <w:szCs w:val="24"/>
              </w:rPr>
            </w:pPr>
            <w:r w:rsidRPr="00792B36">
              <w:rPr>
                <w:rFonts w:eastAsia="Times New Roman"/>
                <w:color w:val="000000"/>
                <w:sz w:val="24"/>
                <w:szCs w:val="24"/>
              </w:rPr>
              <w:t>Chachoengsao</w:t>
            </w:r>
          </w:p>
        </w:tc>
        <w:tc>
          <w:tcPr>
            <w:tcW w:w="371" w:type="pct"/>
            <w:tcBorders>
              <w:top w:val="nil"/>
              <w:left w:val="nil"/>
              <w:bottom w:val="single" w:sz="4" w:space="0" w:color="auto"/>
              <w:right w:val="single" w:sz="4" w:space="0" w:color="auto"/>
            </w:tcBorders>
            <w:noWrap/>
            <w:vAlign w:val="center"/>
            <w:hideMark/>
          </w:tcPr>
          <w:p w14:paraId="25873CF1"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144,030</w:t>
            </w:r>
          </w:p>
        </w:tc>
        <w:tc>
          <w:tcPr>
            <w:tcW w:w="342" w:type="pct"/>
            <w:tcBorders>
              <w:top w:val="nil"/>
              <w:left w:val="nil"/>
              <w:bottom w:val="single" w:sz="4" w:space="0" w:color="auto"/>
              <w:right w:val="single" w:sz="4" w:space="0" w:color="auto"/>
            </w:tcBorders>
            <w:noWrap/>
            <w:vAlign w:val="center"/>
            <w:hideMark/>
          </w:tcPr>
          <w:p w14:paraId="50399FB9"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12,007</w:t>
            </w:r>
          </w:p>
        </w:tc>
        <w:tc>
          <w:tcPr>
            <w:tcW w:w="409" w:type="pct"/>
            <w:tcBorders>
              <w:top w:val="nil"/>
              <w:left w:val="nil"/>
              <w:bottom w:val="single" w:sz="4" w:space="0" w:color="auto"/>
              <w:right w:val="single" w:sz="4" w:space="0" w:color="auto"/>
            </w:tcBorders>
            <w:noWrap/>
            <w:vAlign w:val="center"/>
            <w:hideMark/>
          </w:tcPr>
          <w:p w14:paraId="4DB1628F"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-11.68</w:t>
            </w:r>
          </w:p>
        </w:tc>
        <w:tc>
          <w:tcPr>
            <w:tcW w:w="340" w:type="pct"/>
            <w:tcBorders>
              <w:top w:val="nil"/>
              <w:left w:val="nil"/>
              <w:bottom w:val="single" w:sz="4" w:space="0" w:color="auto"/>
              <w:right w:val="single" w:sz="4" w:space="0" w:color="auto"/>
            </w:tcBorders>
            <w:noWrap/>
            <w:vAlign w:val="center"/>
            <w:hideMark/>
          </w:tcPr>
          <w:p w14:paraId="291EE66F"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0.55</w:t>
            </w:r>
          </w:p>
        </w:tc>
        <w:tc>
          <w:tcPr>
            <w:tcW w:w="454" w:type="pct"/>
            <w:tcBorders>
              <w:top w:val="single" w:sz="4" w:space="0" w:color="auto"/>
              <w:left w:val="nil"/>
              <w:bottom w:val="single" w:sz="4" w:space="0" w:color="auto"/>
              <w:right w:val="single" w:sz="4" w:space="0" w:color="auto"/>
            </w:tcBorders>
            <w:noWrap/>
            <w:vAlign w:val="center"/>
            <w:hideMark/>
          </w:tcPr>
          <w:p w14:paraId="217B0C0A" w14:textId="77777777" w:rsidR="009A0A63" w:rsidRPr="00792B36" w:rsidRDefault="009A0A63" w:rsidP="00A24459">
            <w:pPr>
              <w:jc w:val="center"/>
              <w:rPr>
                <w:rFonts w:eastAsia="Times New Roman"/>
                <w:color w:val="000000"/>
                <w:sz w:val="24"/>
                <w:szCs w:val="24"/>
              </w:rPr>
            </w:pPr>
            <w:r w:rsidRPr="00792B36">
              <w:rPr>
                <w:color w:val="000000"/>
                <w:sz w:val="24"/>
                <w:szCs w:val="24"/>
              </w:rPr>
              <w:t>3,149.45</w:t>
            </w:r>
          </w:p>
        </w:tc>
        <w:tc>
          <w:tcPr>
            <w:tcW w:w="454" w:type="pct"/>
            <w:tcBorders>
              <w:top w:val="single" w:sz="4" w:space="0" w:color="auto"/>
              <w:left w:val="single" w:sz="4" w:space="0" w:color="auto"/>
              <w:bottom w:val="single" w:sz="4" w:space="0" w:color="auto"/>
              <w:right w:val="nil"/>
            </w:tcBorders>
            <w:noWrap/>
            <w:vAlign w:val="center"/>
            <w:hideMark/>
          </w:tcPr>
          <w:p w14:paraId="08899BB3" w14:textId="77777777" w:rsidR="009A0A63" w:rsidRPr="00792B36" w:rsidRDefault="009A0A63" w:rsidP="00A24459">
            <w:pPr>
              <w:jc w:val="center"/>
              <w:rPr>
                <w:rFonts w:eastAsia="Times New Roman"/>
                <w:color w:val="000000"/>
                <w:sz w:val="24"/>
                <w:szCs w:val="24"/>
              </w:rPr>
            </w:pPr>
            <w:r w:rsidRPr="00792B36">
              <w:rPr>
                <w:color w:val="000000"/>
                <w:sz w:val="24"/>
                <w:szCs w:val="24"/>
              </w:rPr>
              <w:t>6,633.61</w:t>
            </w:r>
          </w:p>
        </w:tc>
        <w:tc>
          <w:tcPr>
            <w:tcW w:w="405" w:type="pct"/>
            <w:tcBorders>
              <w:top w:val="nil"/>
              <w:left w:val="single" w:sz="4" w:space="0" w:color="auto"/>
              <w:bottom w:val="single" w:sz="4" w:space="0" w:color="auto"/>
              <w:right w:val="single" w:sz="4" w:space="0" w:color="auto"/>
            </w:tcBorders>
            <w:noWrap/>
            <w:vAlign w:val="center"/>
            <w:hideMark/>
          </w:tcPr>
          <w:p w14:paraId="2226E11E"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3.79</w:t>
            </w:r>
          </w:p>
        </w:tc>
        <w:tc>
          <w:tcPr>
            <w:tcW w:w="317" w:type="pct"/>
            <w:tcBorders>
              <w:top w:val="nil"/>
              <w:left w:val="nil"/>
              <w:bottom w:val="single" w:sz="4" w:space="0" w:color="auto"/>
              <w:right w:val="single" w:sz="4" w:space="0" w:color="auto"/>
            </w:tcBorders>
            <w:noWrap/>
            <w:vAlign w:val="center"/>
            <w:hideMark/>
          </w:tcPr>
          <w:p w14:paraId="4897137D"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1.00</w:t>
            </w:r>
          </w:p>
        </w:tc>
        <w:tc>
          <w:tcPr>
            <w:tcW w:w="451" w:type="pct"/>
            <w:tcBorders>
              <w:top w:val="nil"/>
              <w:left w:val="nil"/>
              <w:bottom w:val="single" w:sz="4" w:space="0" w:color="auto"/>
              <w:right w:val="single" w:sz="4" w:space="0" w:color="auto"/>
            </w:tcBorders>
            <w:noWrap/>
            <w:vAlign w:val="center"/>
            <w:hideMark/>
          </w:tcPr>
          <w:p w14:paraId="66D38936" w14:textId="77777777" w:rsidR="009A0A63" w:rsidRPr="00792B36" w:rsidRDefault="009A0A63" w:rsidP="00A24459">
            <w:pPr>
              <w:jc w:val="center"/>
              <w:rPr>
                <w:rFonts w:eastAsia="Times New Roman"/>
                <w:color w:val="000000"/>
                <w:sz w:val="24"/>
                <w:szCs w:val="24"/>
              </w:rPr>
            </w:pPr>
            <w:r w:rsidRPr="00792B36">
              <w:rPr>
                <w:color w:val="000000"/>
                <w:sz w:val="24"/>
                <w:szCs w:val="24"/>
              </w:rPr>
              <w:t>96.23</w:t>
            </w:r>
          </w:p>
        </w:tc>
        <w:tc>
          <w:tcPr>
            <w:tcW w:w="358" w:type="pct"/>
            <w:tcBorders>
              <w:top w:val="nil"/>
              <w:left w:val="nil"/>
              <w:bottom w:val="single" w:sz="4" w:space="0" w:color="auto"/>
              <w:right w:val="single" w:sz="4" w:space="0" w:color="auto"/>
            </w:tcBorders>
            <w:noWrap/>
            <w:vAlign w:val="center"/>
            <w:hideMark/>
          </w:tcPr>
          <w:p w14:paraId="5C43BE8C"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3.77</w:t>
            </w:r>
          </w:p>
        </w:tc>
        <w:tc>
          <w:tcPr>
            <w:tcW w:w="406" w:type="pct"/>
            <w:tcBorders>
              <w:top w:val="nil"/>
              <w:left w:val="nil"/>
              <w:bottom w:val="single" w:sz="4" w:space="0" w:color="auto"/>
              <w:right w:val="single" w:sz="4" w:space="0" w:color="auto"/>
            </w:tcBorders>
            <w:noWrap/>
            <w:vAlign w:val="center"/>
            <w:hideMark/>
          </w:tcPr>
          <w:p w14:paraId="2DF1EA36"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0.21</w:t>
            </w:r>
          </w:p>
        </w:tc>
      </w:tr>
      <w:tr w:rsidR="009A0A63" w:rsidRPr="00792B36" w14:paraId="0D0E9D86" w14:textId="77777777" w:rsidTr="00A24459">
        <w:trPr>
          <w:trHeight w:val="340"/>
        </w:trPr>
        <w:tc>
          <w:tcPr>
            <w:tcW w:w="694" w:type="pct"/>
            <w:tcBorders>
              <w:top w:val="nil"/>
              <w:left w:val="single" w:sz="4" w:space="0" w:color="auto"/>
              <w:bottom w:val="single" w:sz="4" w:space="0" w:color="auto"/>
              <w:right w:val="single" w:sz="4" w:space="0" w:color="auto"/>
            </w:tcBorders>
            <w:vAlign w:val="center"/>
            <w:hideMark/>
          </w:tcPr>
          <w:p w14:paraId="4CAC09C9" w14:textId="77777777" w:rsidR="009A0A63" w:rsidRPr="00792B36" w:rsidRDefault="009A0A63" w:rsidP="00A24459">
            <w:pPr>
              <w:rPr>
                <w:rFonts w:eastAsia="Times New Roman"/>
                <w:color w:val="000000"/>
                <w:sz w:val="24"/>
                <w:szCs w:val="24"/>
              </w:rPr>
            </w:pPr>
            <w:r w:rsidRPr="00792B36">
              <w:rPr>
                <w:rFonts w:eastAsia="Times New Roman"/>
                <w:color w:val="000000"/>
                <w:sz w:val="24"/>
                <w:szCs w:val="24"/>
              </w:rPr>
              <w:t>Samut Sakhon</w:t>
            </w:r>
          </w:p>
        </w:tc>
        <w:tc>
          <w:tcPr>
            <w:tcW w:w="371" w:type="pct"/>
            <w:tcBorders>
              <w:top w:val="nil"/>
              <w:left w:val="nil"/>
              <w:bottom w:val="single" w:sz="4" w:space="0" w:color="auto"/>
              <w:right w:val="single" w:sz="4" w:space="0" w:color="auto"/>
            </w:tcBorders>
            <w:noWrap/>
            <w:vAlign w:val="center"/>
            <w:hideMark/>
          </w:tcPr>
          <w:p w14:paraId="7F003311"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129,917</w:t>
            </w:r>
          </w:p>
        </w:tc>
        <w:tc>
          <w:tcPr>
            <w:tcW w:w="342" w:type="pct"/>
            <w:tcBorders>
              <w:top w:val="nil"/>
              <w:left w:val="nil"/>
              <w:bottom w:val="single" w:sz="4" w:space="0" w:color="auto"/>
              <w:right w:val="single" w:sz="4" w:space="0" w:color="auto"/>
            </w:tcBorders>
            <w:noWrap/>
            <w:vAlign w:val="center"/>
            <w:hideMark/>
          </w:tcPr>
          <w:p w14:paraId="45B40537"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13,126</w:t>
            </w:r>
          </w:p>
        </w:tc>
        <w:tc>
          <w:tcPr>
            <w:tcW w:w="409" w:type="pct"/>
            <w:tcBorders>
              <w:top w:val="nil"/>
              <w:left w:val="nil"/>
              <w:bottom w:val="single" w:sz="4" w:space="0" w:color="auto"/>
              <w:right w:val="single" w:sz="4" w:space="0" w:color="auto"/>
            </w:tcBorders>
            <w:noWrap/>
            <w:vAlign w:val="center"/>
            <w:hideMark/>
          </w:tcPr>
          <w:p w14:paraId="2638FA5B"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-10.83</w:t>
            </w:r>
          </w:p>
        </w:tc>
        <w:tc>
          <w:tcPr>
            <w:tcW w:w="340" w:type="pct"/>
            <w:tcBorders>
              <w:top w:val="nil"/>
              <w:left w:val="nil"/>
              <w:bottom w:val="single" w:sz="4" w:space="0" w:color="auto"/>
              <w:right w:val="single" w:sz="4" w:space="0" w:color="auto"/>
            </w:tcBorders>
            <w:noWrap/>
            <w:vAlign w:val="center"/>
            <w:hideMark/>
          </w:tcPr>
          <w:p w14:paraId="72E933B2"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0.58</w:t>
            </w:r>
          </w:p>
        </w:tc>
        <w:tc>
          <w:tcPr>
            <w:tcW w:w="454" w:type="pct"/>
            <w:tcBorders>
              <w:top w:val="single" w:sz="4" w:space="0" w:color="auto"/>
              <w:left w:val="nil"/>
              <w:bottom w:val="single" w:sz="4" w:space="0" w:color="auto"/>
              <w:right w:val="single" w:sz="4" w:space="0" w:color="auto"/>
            </w:tcBorders>
            <w:noWrap/>
            <w:vAlign w:val="center"/>
            <w:hideMark/>
          </w:tcPr>
          <w:p w14:paraId="77712E2B" w14:textId="77777777" w:rsidR="009A0A63" w:rsidRPr="00792B36" w:rsidRDefault="009A0A63" w:rsidP="00A24459">
            <w:pPr>
              <w:jc w:val="center"/>
              <w:rPr>
                <w:rFonts w:eastAsia="Times New Roman"/>
                <w:color w:val="000000"/>
                <w:sz w:val="24"/>
                <w:szCs w:val="24"/>
              </w:rPr>
            </w:pPr>
            <w:r w:rsidRPr="00792B36">
              <w:rPr>
                <w:color w:val="000000"/>
                <w:sz w:val="24"/>
                <w:szCs w:val="24"/>
              </w:rPr>
              <w:t>6,923.91</w:t>
            </w:r>
          </w:p>
        </w:tc>
        <w:tc>
          <w:tcPr>
            <w:tcW w:w="454" w:type="pct"/>
            <w:tcBorders>
              <w:top w:val="single" w:sz="4" w:space="0" w:color="auto"/>
              <w:left w:val="single" w:sz="4" w:space="0" w:color="auto"/>
              <w:bottom w:val="single" w:sz="4" w:space="0" w:color="auto"/>
              <w:right w:val="nil"/>
            </w:tcBorders>
            <w:noWrap/>
            <w:vAlign w:val="center"/>
            <w:hideMark/>
          </w:tcPr>
          <w:p w14:paraId="4C052739" w14:textId="77777777" w:rsidR="009A0A63" w:rsidRPr="00792B36" w:rsidRDefault="009A0A63" w:rsidP="00A24459">
            <w:pPr>
              <w:jc w:val="center"/>
              <w:rPr>
                <w:rFonts w:eastAsia="Times New Roman"/>
                <w:color w:val="000000"/>
                <w:sz w:val="24"/>
                <w:szCs w:val="24"/>
              </w:rPr>
            </w:pPr>
            <w:r w:rsidRPr="00792B36">
              <w:rPr>
                <w:color w:val="000000"/>
                <w:sz w:val="24"/>
                <w:szCs w:val="24"/>
              </w:rPr>
              <w:t>6,460.07</w:t>
            </w:r>
          </w:p>
        </w:tc>
        <w:tc>
          <w:tcPr>
            <w:tcW w:w="405" w:type="pct"/>
            <w:tcBorders>
              <w:top w:val="nil"/>
              <w:left w:val="single" w:sz="4" w:space="0" w:color="auto"/>
              <w:bottom w:val="single" w:sz="4" w:space="0" w:color="auto"/>
              <w:right w:val="single" w:sz="4" w:space="0" w:color="auto"/>
            </w:tcBorders>
            <w:noWrap/>
            <w:vAlign w:val="center"/>
            <w:hideMark/>
          </w:tcPr>
          <w:p w14:paraId="7CBE9C6E"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-0.35</w:t>
            </w:r>
          </w:p>
        </w:tc>
        <w:tc>
          <w:tcPr>
            <w:tcW w:w="317" w:type="pct"/>
            <w:tcBorders>
              <w:top w:val="nil"/>
              <w:left w:val="nil"/>
              <w:bottom w:val="single" w:sz="4" w:space="0" w:color="auto"/>
              <w:right w:val="single" w:sz="4" w:space="0" w:color="auto"/>
            </w:tcBorders>
            <w:noWrap/>
            <w:vAlign w:val="center"/>
            <w:hideMark/>
          </w:tcPr>
          <w:p w14:paraId="3784294A"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0.18</w:t>
            </w:r>
          </w:p>
        </w:tc>
        <w:tc>
          <w:tcPr>
            <w:tcW w:w="451" w:type="pct"/>
            <w:tcBorders>
              <w:top w:val="nil"/>
              <w:left w:val="nil"/>
              <w:bottom w:val="single" w:sz="4" w:space="0" w:color="auto"/>
              <w:right w:val="single" w:sz="4" w:space="0" w:color="auto"/>
            </w:tcBorders>
            <w:noWrap/>
            <w:vAlign w:val="center"/>
            <w:hideMark/>
          </w:tcPr>
          <w:p w14:paraId="6430C2FD" w14:textId="77777777" w:rsidR="009A0A63" w:rsidRPr="00792B36" w:rsidRDefault="009A0A63" w:rsidP="00A24459">
            <w:pPr>
              <w:jc w:val="center"/>
              <w:rPr>
                <w:rFonts w:eastAsia="Times New Roman"/>
                <w:color w:val="000000"/>
                <w:sz w:val="24"/>
                <w:szCs w:val="24"/>
              </w:rPr>
            </w:pPr>
            <w:r w:rsidRPr="00792B36">
              <w:rPr>
                <w:color w:val="000000"/>
                <w:sz w:val="24"/>
                <w:szCs w:val="24"/>
              </w:rPr>
              <w:t>93.16</w:t>
            </w:r>
          </w:p>
        </w:tc>
        <w:tc>
          <w:tcPr>
            <w:tcW w:w="358" w:type="pct"/>
            <w:tcBorders>
              <w:top w:val="nil"/>
              <w:left w:val="nil"/>
              <w:bottom w:val="single" w:sz="4" w:space="0" w:color="auto"/>
              <w:right w:val="single" w:sz="4" w:space="0" w:color="auto"/>
            </w:tcBorders>
            <w:noWrap/>
            <w:vAlign w:val="center"/>
            <w:hideMark/>
          </w:tcPr>
          <w:p w14:paraId="3DB54C36"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6.84</w:t>
            </w:r>
          </w:p>
        </w:tc>
        <w:tc>
          <w:tcPr>
            <w:tcW w:w="406" w:type="pct"/>
            <w:tcBorders>
              <w:top w:val="nil"/>
              <w:left w:val="nil"/>
              <w:bottom w:val="single" w:sz="4" w:space="0" w:color="auto"/>
              <w:right w:val="single" w:sz="4" w:space="0" w:color="auto"/>
            </w:tcBorders>
            <w:noWrap/>
            <w:vAlign w:val="center"/>
            <w:hideMark/>
          </w:tcPr>
          <w:p w14:paraId="6F398776"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0.53</w:t>
            </w:r>
          </w:p>
        </w:tc>
      </w:tr>
      <w:tr w:rsidR="009A0A63" w:rsidRPr="00792B36" w14:paraId="2DF21185" w14:textId="77777777" w:rsidTr="00A24459">
        <w:trPr>
          <w:trHeight w:val="340"/>
        </w:trPr>
        <w:tc>
          <w:tcPr>
            <w:tcW w:w="694" w:type="pct"/>
            <w:tcBorders>
              <w:top w:val="nil"/>
              <w:left w:val="single" w:sz="4" w:space="0" w:color="auto"/>
              <w:bottom w:val="single" w:sz="4" w:space="0" w:color="auto"/>
              <w:right w:val="single" w:sz="4" w:space="0" w:color="auto"/>
            </w:tcBorders>
            <w:vAlign w:val="center"/>
            <w:hideMark/>
          </w:tcPr>
          <w:p w14:paraId="04BDE77D" w14:textId="77777777" w:rsidR="009A0A63" w:rsidRPr="00792B36" w:rsidRDefault="009A0A63" w:rsidP="00A24459">
            <w:pPr>
              <w:rPr>
                <w:rFonts w:eastAsia="Times New Roman"/>
                <w:color w:val="000000"/>
                <w:sz w:val="24"/>
                <w:szCs w:val="24"/>
              </w:rPr>
            </w:pPr>
            <w:r w:rsidRPr="00792B36">
              <w:rPr>
                <w:rFonts w:eastAsia="Times New Roman"/>
                <w:color w:val="000000"/>
                <w:sz w:val="24"/>
                <w:szCs w:val="24"/>
              </w:rPr>
              <w:t>Samut Songkhram</w:t>
            </w:r>
          </w:p>
        </w:tc>
        <w:tc>
          <w:tcPr>
            <w:tcW w:w="371" w:type="pct"/>
            <w:tcBorders>
              <w:top w:val="nil"/>
              <w:left w:val="nil"/>
              <w:bottom w:val="single" w:sz="4" w:space="0" w:color="auto"/>
              <w:right w:val="single" w:sz="4" w:space="0" w:color="auto"/>
            </w:tcBorders>
            <w:noWrap/>
            <w:vAlign w:val="center"/>
            <w:hideMark/>
          </w:tcPr>
          <w:p w14:paraId="046656AB"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28,122</w:t>
            </w:r>
          </w:p>
        </w:tc>
        <w:tc>
          <w:tcPr>
            <w:tcW w:w="342" w:type="pct"/>
            <w:tcBorders>
              <w:top w:val="nil"/>
              <w:left w:val="nil"/>
              <w:bottom w:val="single" w:sz="4" w:space="0" w:color="auto"/>
              <w:right w:val="single" w:sz="4" w:space="0" w:color="auto"/>
            </w:tcBorders>
            <w:noWrap/>
            <w:vAlign w:val="center"/>
            <w:hideMark/>
          </w:tcPr>
          <w:p w14:paraId="651790B2"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11,570</w:t>
            </w:r>
          </w:p>
        </w:tc>
        <w:tc>
          <w:tcPr>
            <w:tcW w:w="409" w:type="pct"/>
            <w:tcBorders>
              <w:top w:val="nil"/>
              <w:left w:val="nil"/>
              <w:bottom w:val="single" w:sz="4" w:space="0" w:color="auto"/>
              <w:right w:val="single" w:sz="4" w:space="0" w:color="auto"/>
            </w:tcBorders>
            <w:noWrap/>
            <w:vAlign w:val="center"/>
            <w:hideMark/>
          </w:tcPr>
          <w:p w14:paraId="5416EDCE"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-4.34</w:t>
            </w:r>
          </w:p>
        </w:tc>
        <w:tc>
          <w:tcPr>
            <w:tcW w:w="340" w:type="pct"/>
            <w:tcBorders>
              <w:top w:val="nil"/>
              <w:left w:val="nil"/>
              <w:bottom w:val="single" w:sz="4" w:space="0" w:color="auto"/>
              <w:right w:val="single" w:sz="4" w:space="0" w:color="auto"/>
            </w:tcBorders>
            <w:noWrap/>
            <w:vAlign w:val="center"/>
            <w:hideMark/>
          </w:tcPr>
          <w:p w14:paraId="0EADDC51"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0.87</w:t>
            </w:r>
          </w:p>
        </w:tc>
        <w:tc>
          <w:tcPr>
            <w:tcW w:w="454" w:type="pct"/>
            <w:tcBorders>
              <w:top w:val="single" w:sz="4" w:space="0" w:color="auto"/>
              <w:left w:val="nil"/>
              <w:bottom w:val="single" w:sz="4" w:space="0" w:color="auto"/>
              <w:right w:val="single" w:sz="4" w:space="0" w:color="auto"/>
            </w:tcBorders>
            <w:noWrap/>
            <w:vAlign w:val="center"/>
            <w:hideMark/>
          </w:tcPr>
          <w:p w14:paraId="3EE9D928" w14:textId="77777777" w:rsidR="009A0A63" w:rsidRPr="00792B36" w:rsidRDefault="009A0A63" w:rsidP="00A24459">
            <w:pPr>
              <w:jc w:val="center"/>
              <w:rPr>
                <w:rFonts w:eastAsia="Times New Roman"/>
                <w:color w:val="000000"/>
                <w:sz w:val="24"/>
                <w:szCs w:val="24"/>
              </w:rPr>
            </w:pPr>
            <w:r w:rsidRPr="00792B36">
              <w:rPr>
                <w:color w:val="000000"/>
                <w:sz w:val="24"/>
                <w:szCs w:val="24"/>
              </w:rPr>
              <w:t>1,155.49</w:t>
            </w:r>
          </w:p>
        </w:tc>
        <w:tc>
          <w:tcPr>
            <w:tcW w:w="454" w:type="pct"/>
            <w:tcBorders>
              <w:top w:val="single" w:sz="4" w:space="0" w:color="auto"/>
              <w:left w:val="single" w:sz="4" w:space="0" w:color="auto"/>
              <w:bottom w:val="single" w:sz="4" w:space="0" w:color="auto"/>
              <w:right w:val="nil"/>
            </w:tcBorders>
            <w:noWrap/>
            <w:vAlign w:val="center"/>
            <w:hideMark/>
          </w:tcPr>
          <w:p w14:paraId="2C3CA32E" w14:textId="77777777" w:rsidR="009A0A63" w:rsidRPr="00792B36" w:rsidRDefault="009A0A63" w:rsidP="00A24459">
            <w:pPr>
              <w:jc w:val="center"/>
              <w:rPr>
                <w:rFonts w:eastAsia="Times New Roman"/>
                <w:color w:val="000000"/>
                <w:sz w:val="24"/>
                <w:szCs w:val="24"/>
              </w:rPr>
            </w:pPr>
            <w:r w:rsidRPr="00792B36">
              <w:rPr>
                <w:color w:val="000000"/>
                <w:sz w:val="24"/>
                <w:szCs w:val="24"/>
              </w:rPr>
              <w:t>2,100.15</w:t>
            </w:r>
          </w:p>
        </w:tc>
        <w:tc>
          <w:tcPr>
            <w:tcW w:w="405" w:type="pct"/>
            <w:tcBorders>
              <w:top w:val="nil"/>
              <w:left w:val="single" w:sz="4" w:space="0" w:color="auto"/>
              <w:bottom w:val="single" w:sz="4" w:space="0" w:color="auto"/>
              <w:right w:val="single" w:sz="4" w:space="0" w:color="auto"/>
            </w:tcBorders>
            <w:noWrap/>
            <w:vAlign w:val="center"/>
            <w:hideMark/>
          </w:tcPr>
          <w:p w14:paraId="2D4CF8C6"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3.03</w:t>
            </w:r>
          </w:p>
        </w:tc>
        <w:tc>
          <w:tcPr>
            <w:tcW w:w="317" w:type="pct"/>
            <w:tcBorders>
              <w:top w:val="nil"/>
              <w:left w:val="nil"/>
              <w:bottom w:val="single" w:sz="4" w:space="0" w:color="auto"/>
              <w:right w:val="single" w:sz="4" w:space="0" w:color="auto"/>
            </w:tcBorders>
            <w:noWrap/>
            <w:vAlign w:val="center"/>
            <w:hideMark/>
          </w:tcPr>
          <w:p w14:paraId="7CF08E55"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0.85</w:t>
            </w:r>
          </w:p>
        </w:tc>
        <w:tc>
          <w:tcPr>
            <w:tcW w:w="451" w:type="pct"/>
            <w:tcBorders>
              <w:top w:val="nil"/>
              <w:left w:val="nil"/>
              <w:bottom w:val="single" w:sz="4" w:space="0" w:color="auto"/>
              <w:right w:val="single" w:sz="4" w:space="0" w:color="auto"/>
            </w:tcBorders>
            <w:noWrap/>
            <w:vAlign w:val="center"/>
            <w:hideMark/>
          </w:tcPr>
          <w:p w14:paraId="33913AE1" w14:textId="77777777" w:rsidR="009A0A63" w:rsidRPr="00792B36" w:rsidRDefault="009A0A63" w:rsidP="00A24459">
            <w:pPr>
              <w:jc w:val="center"/>
              <w:rPr>
                <w:rFonts w:eastAsia="Times New Roman"/>
                <w:color w:val="000000"/>
                <w:sz w:val="24"/>
                <w:szCs w:val="24"/>
              </w:rPr>
            </w:pPr>
            <w:r w:rsidRPr="00792B36">
              <w:rPr>
                <w:color w:val="000000"/>
                <w:sz w:val="24"/>
                <w:szCs w:val="24"/>
              </w:rPr>
              <w:t>91.62</w:t>
            </w:r>
          </w:p>
        </w:tc>
        <w:tc>
          <w:tcPr>
            <w:tcW w:w="358" w:type="pct"/>
            <w:tcBorders>
              <w:top w:val="nil"/>
              <w:left w:val="nil"/>
              <w:bottom w:val="single" w:sz="4" w:space="0" w:color="auto"/>
              <w:right w:val="single" w:sz="4" w:space="0" w:color="auto"/>
            </w:tcBorders>
            <w:noWrap/>
            <w:vAlign w:val="center"/>
            <w:hideMark/>
          </w:tcPr>
          <w:p w14:paraId="658CA812"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8.38</w:t>
            </w:r>
          </w:p>
        </w:tc>
        <w:tc>
          <w:tcPr>
            <w:tcW w:w="406" w:type="pct"/>
            <w:tcBorders>
              <w:top w:val="nil"/>
              <w:left w:val="nil"/>
              <w:bottom w:val="single" w:sz="4" w:space="0" w:color="auto"/>
              <w:right w:val="single" w:sz="4" w:space="0" w:color="auto"/>
            </w:tcBorders>
            <w:noWrap/>
            <w:vAlign w:val="center"/>
            <w:hideMark/>
          </w:tcPr>
          <w:p w14:paraId="6018AEAD"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0.69</w:t>
            </w:r>
          </w:p>
        </w:tc>
      </w:tr>
      <w:tr w:rsidR="009A0A63" w:rsidRPr="00792B36" w14:paraId="5A688BE3" w14:textId="77777777" w:rsidTr="00A24459">
        <w:trPr>
          <w:trHeight w:val="340"/>
        </w:trPr>
        <w:tc>
          <w:tcPr>
            <w:tcW w:w="694" w:type="pct"/>
            <w:tcBorders>
              <w:top w:val="nil"/>
              <w:left w:val="single" w:sz="4" w:space="0" w:color="auto"/>
              <w:bottom w:val="single" w:sz="4" w:space="0" w:color="auto"/>
              <w:right w:val="single" w:sz="4" w:space="0" w:color="auto"/>
            </w:tcBorders>
            <w:vAlign w:val="center"/>
            <w:hideMark/>
          </w:tcPr>
          <w:p w14:paraId="3A96D9A8" w14:textId="77777777" w:rsidR="009A0A63" w:rsidRPr="00792B36" w:rsidRDefault="009A0A63" w:rsidP="00A24459">
            <w:pPr>
              <w:rPr>
                <w:rFonts w:eastAsia="Times New Roman"/>
                <w:color w:val="000000"/>
                <w:sz w:val="24"/>
                <w:szCs w:val="24"/>
              </w:rPr>
            </w:pPr>
            <w:r w:rsidRPr="00792B36">
              <w:rPr>
                <w:rFonts w:eastAsia="Times New Roman"/>
                <w:color w:val="000000"/>
                <w:sz w:val="24"/>
                <w:szCs w:val="24"/>
              </w:rPr>
              <w:t>Phetchaburi</w:t>
            </w:r>
          </w:p>
        </w:tc>
        <w:tc>
          <w:tcPr>
            <w:tcW w:w="371" w:type="pct"/>
            <w:tcBorders>
              <w:top w:val="nil"/>
              <w:left w:val="nil"/>
              <w:bottom w:val="single" w:sz="4" w:space="0" w:color="auto"/>
              <w:right w:val="single" w:sz="4" w:space="0" w:color="auto"/>
            </w:tcBorders>
            <w:noWrap/>
            <w:vAlign w:val="center"/>
            <w:hideMark/>
          </w:tcPr>
          <w:p w14:paraId="4828E0AA"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182,488</w:t>
            </w:r>
          </w:p>
        </w:tc>
        <w:tc>
          <w:tcPr>
            <w:tcW w:w="342" w:type="pct"/>
            <w:tcBorders>
              <w:top w:val="nil"/>
              <w:left w:val="nil"/>
              <w:bottom w:val="single" w:sz="4" w:space="0" w:color="auto"/>
              <w:right w:val="single" w:sz="4" w:space="0" w:color="auto"/>
            </w:tcBorders>
            <w:noWrap/>
            <w:vAlign w:val="center"/>
            <w:hideMark/>
          </w:tcPr>
          <w:p w14:paraId="633FC368"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17,182</w:t>
            </w:r>
          </w:p>
        </w:tc>
        <w:tc>
          <w:tcPr>
            <w:tcW w:w="409" w:type="pct"/>
            <w:tcBorders>
              <w:top w:val="nil"/>
              <w:left w:val="nil"/>
              <w:bottom w:val="single" w:sz="4" w:space="0" w:color="auto"/>
              <w:right w:val="single" w:sz="4" w:space="0" w:color="auto"/>
            </w:tcBorders>
            <w:noWrap/>
            <w:vAlign w:val="center"/>
            <w:hideMark/>
          </w:tcPr>
          <w:p w14:paraId="20384AF8"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-11.14</w:t>
            </w:r>
          </w:p>
        </w:tc>
        <w:tc>
          <w:tcPr>
            <w:tcW w:w="340" w:type="pct"/>
            <w:tcBorders>
              <w:top w:val="nil"/>
              <w:left w:val="nil"/>
              <w:bottom w:val="single" w:sz="4" w:space="0" w:color="auto"/>
              <w:right w:val="single" w:sz="4" w:space="0" w:color="auto"/>
            </w:tcBorders>
            <w:noWrap/>
            <w:vAlign w:val="center"/>
            <w:hideMark/>
          </w:tcPr>
          <w:p w14:paraId="2AA0CBEF"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0.57</w:t>
            </w:r>
          </w:p>
        </w:tc>
        <w:tc>
          <w:tcPr>
            <w:tcW w:w="454" w:type="pct"/>
            <w:tcBorders>
              <w:top w:val="single" w:sz="4" w:space="0" w:color="auto"/>
              <w:left w:val="nil"/>
              <w:bottom w:val="single" w:sz="4" w:space="0" w:color="auto"/>
              <w:right w:val="single" w:sz="4" w:space="0" w:color="auto"/>
            </w:tcBorders>
            <w:noWrap/>
            <w:vAlign w:val="center"/>
            <w:hideMark/>
          </w:tcPr>
          <w:p w14:paraId="75BC605F" w14:textId="77777777" w:rsidR="009A0A63" w:rsidRPr="00792B36" w:rsidRDefault="009A0A63" w:rsidP="00A24459">
            <w:pPr>
              <w:jc w:val="center"/>
              <w:rPr>
                <w:rFonts w:eastAsia="Times New Roman"/>
                <w:color w:val="000000"/>
                <w:sz w:val="24"/>
                <w:szCs w:val="24"/>
              </w:rPr>
            </w:pPr>
            <w:r w:rsidRPr="00792B36">
              <w:rPr>
                <w:color w:val="000000"/>
                <w:sz w:val="24"/>
                <w:szCs w:val="24"/>
              </w:rPr>
              <w:t>1,639.82</w:t>
            </w:r>
          </w:p>
        </w:tc>
        <w:tc>
          <w:tcPr>
            <w:tcW w:w="454" w:type="pct"/>
            <w:tcBorders>
              <w:top w:val="single" w:sz="4" w:space="0" w:color="auto"/>
              <w:left w:val="single" w:sz="4" w:space="0" w:color="auto"/>
              <w:bottom w:val="single" w:sz="4" w:space="0" w:color="auto"/>
              <w:right w:val="nil"/>
            </w:tcBorders>
            <w:noWrap/>
            <w:vAlign w:val="center"/>
            <w:hideMark/>
          </w:tcPr>
          <w:p w14:paraId="56CA0077" w14:textId="77777777" w:rsidR="009A0A63" w:rsidRPr="00792B36" w:rsidRDefault="009A0A63" w:rsidP="00A24459">
            <w:pPr>
              <w:jc w:val="center"/>
              <w:rPr>
                <w:rFonts w:eastAsia="Times New Roman"/>
                <w:color w:val="000000"/>
                <w:sz w:val="24"/>
                <w:szCs w:val="24"/>
              </w:rPr>
            </w:pPr>
            <w:r w:rsidRPr="00792B36">
              <w:rPr>
                <w:color w:val="000000"/>
                <w:sz w:val="24"/>
                <w:szCs w:val="24"/>
              </w:rPr>
              <w:t>1,987.10</w:t>
            </w:r>
          </w:p>
        </w:tc>
        <w:tc>
          <w:tcPr>
            <w:tcW w:w="405" w:type="pct"/>
            <w:tcBorders>
              <w:top w:val="nil"/>
              <w:left w:val="single" w:sz="4" w:space="0" w:color="auto"/>
              <w:bottom w:val="single" w:sz="4" w:space="0" w:color="auto"/>
              <w:right w:val="single" w:sz="4" w:space="0" w:color="auto"/>
            </w:tcBorders>
            <w:noWrap/>
            <w:vAlign w:val="center"/>
            <w:hideMark/>
          </w:tcPr>
          <w:p w14:paraId="1E80BAE9"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0.97</w:t>
            </w:r>
          </w:p>
        </w:tc>
        <w:tc>
          <w:tcPr>
            <w:tcW w:w="317" w:type="pct"/>
            <w:tcBorders>
              <w:top w:val="nil"/>
              <w:left w:val="nil"/>
              <w:bottom w:val="single" w:sz="4" w:space="0" w:color="auto"/>
              <w:right w:val="single" w:sz="4" w:space="0" w:color="auto"/>
            </w:tcBorders>
            <w:noWrap/>
            <w:vAlign w:val="center"/>
            <w:hideMark/>
          </w:tcPr>
          <w:p w14:paraId="4B8F42C7"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0.44</w:t>
            </w:r>
          </w:p>
        </w:tc>
        <w:tc>
          <w:tcPr>
            <w:tcW w:w="451" w:type="pct"/>
            <w:tcBorders>
              <w:top w:val="nil"/>
              <w:left w:val="nil"/>
              <w:bottom w:val="single" w:sz="4" w:space="0" w:color="auto"/>
              <w:right w:val="single" w:sz="4" w:space="0" w:color="auto"/>
            </w:tcBorders>
            <w:noWrap/>
            <w:vAlign w:val="center"/>
            <w:hideMark/>
          </w:tcPr>
          <w:p w14:paraId="5201A6BB" w14:textId="77777777" w:rsidR="009A0A63" w:rsidRPr="00792B36" w:rsidRDefault="009A0A63" w:rsidP="00A24459">
            <w:pPr>
              <w:jc w:val="center"/>
              <w:rPr>
                <w:rFonts w:eastAsia="Times New Roman"/>
                <w:color w:val="000000"/>
                <w:sz w:val="24"/>
                <w:szCs w:val="24"/>
              </w:rPr>
            </w:pPr>
            <w:r w:rsidRPr="00792B36">
              <w:rPr>
                <w:color w:val="000000"/>
                <w:sz w:val="24"/>
                <w:szCs w:val="24"/>
              </w:rPr>
              <w:t>93.44</w:t>
            </w:r>
          </w:p>
        </w:tc>
        <w:tc>
          <w:tcPr>
            <w:tcW w:w="358" w:type="pct"/>
            <w:tcBorders>
              <w:top w:val="nil"/>
              <w:left w:val="nil"/>
              <w:bottom w:val="single" w:sz="4" w:space="0" w:color="auto"/>
              <w:right w:val="single" w:sz="4" w:space="0" w:color="auto"/>
            </w:tcBorders>
            <w:noWrap/>
            <w:vAlign w:val="center"/>
            <w:hideMark/>
          </w:tcPr>
          <w:p w14:paraId="246636FE"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6.56</w:t>
            </w:r>
          </w:p>
        </w:tc>
        <w:tc>
          <w:tcPr>
            <w:tcW w:w="406" w:type="pct"/>
            <w:tcBorders>
              <w:top w:val="nil"/>
              <w:left w:val="nil"/>
              <w:bottom w:val="single" w:sz="4" w:space="0" w:color="auto"/>
              <w:right w:val="single" w:sz="4" w:space="0" w:color="auto"/>
            </w:tcBorders>
            <w:noWrap/>
            <w:vAlign w:val="center"/>
            <w:hideMark/>
          </w:tcPr>
          <w:p w14:paraId="005866B3"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0.50</w:t>
            </w:r>
          </w:p>
        </w:tc>
      </w:tr>
      <w:tr w:rsidR="009A0A63" w:rsidRPr="00792B36" w14:paraId="227DFCD8" w14:textId="77777777" w:rsidTr="00A24459">
        <w:trPr>
          <w:trHeight w:val="340"/>
        </w:trPr>
        <w:tc>
          <w:tcPr>
            <w:tcW w:w="694" w:type="pct"/>
            <w:tcBorders>
              <w:top w:val="nil"/>
              <w:left w:val="single" w:sz="4" w:space="0" w:color="auto"/>
              <w:bottom w:val="single" w:sz="4" w:space="0" w:color="auto"/>
              <w:right w:val="single" w:sz="4" w:space="0" w:color="auto"/>
            </w:tcBorders>
            <w:vAlign w:val="center"/>
            <w:hideMark/>
          </w:tcPr>
          <w:p w14:paraId="77CB5968" w14:textId="77777777" w:rsidR="009A0A63" w:rsidRPr="00792B36" w:rsidRDefault="009A0A63" w:rsidP="00A24459">
            <w:pPr>
              <w:rPr>
                <w:rFonts w:eastAsia="Times New Roman"/>
                <w:color w:val="000000"/>
                <w:sz w:val="24"/>
                <w:szCs w:val="24"/>
              </w:rPr>
            </w:pPr>
            <w:r w:rsidRPr="00792B36">
              <w:rPr>
                <w:rFonts w:eastAsia="Times New Roman"/>
                <w:color w:val="000000"/>
                <w:sz w:val="24"/>
                <w:szCs w:val="24"/>
              </w:rPr>
              <w:t xml:space="preserve">Prachuap </w:t>
            </w:r>
            <w:r w:rsidRPr="00792B36">
              <w:rPr>
                <w:rFonts w:eastAsia="Times New Roman"/>
                <w:color w:val="000000"/>
                <w:sz w:val="24"/>
                <w:szCs w:val="24"/>
              </w:rPr>
              <w:lastRenderedPageBreak/>
              <w:t>Khiri Khan</w:t>
            </w:r>
          </w:p>
        </w:tc>
        <w:tc>
          <w:tcPr>
            <w:tcW w:w="371" w:type="pct"/>
            <w:tcBorders>
              <w:top w:val="nil"/>
              <w:left w:val="nil"/>
              <w:bottom w:val="single" w:sz="4" w:space="0" w:color="auto"/>
              <w:right w:val="single" w:sz="4" w:space="0" w:color="auto"/>
            </w:tcBorders>
            <w:noWrap/>
            <w:vAlign w:val="center"/>
            <w:hideMark/>
          </w:tcPr>
          <w:p w14:paraId="4F31E01E"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lastRenderedPageBreak/>
              <w:t>212,532</w:t>
            </w:r>
          </w:p>
        </w:tc>
        <w:tc>
          <w:tcPr>
            <w:tcW w:w="342" w:type="pct"/>
            <w:tcBorders>
              <w:top w:val="nil"/>
              <w:left w:val="nil"/>
              <w:bottom w:val="single" w:sz="4" w:space="0" w:color="auto"/>
              <w:right w:val="single" w:sz="4" w:space="0" w:color="auto"/>
            </w:tcBorders>
            <w:noWrap/>
            <w:vAlign w:val="center"/>
            <w:hideMark/>
          </w:tcPr>
          <w:p w14:paraId="476FC9F9"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18,214</w:t>
            </w:r>
          </w:p>
        </w:tc>
        <w:tc>
          <w:tcPr>
            <w:tcW w:w="409" w:type="pct"/>
            <w:tcBorders>
              <w:top w:val="nil"/>
              <w:left w:val="nil"/>
              <w:bottom w:val="single" w:sz="4" w:space="0" w:color="auto"/>
              <w:right w:val="single" w:sz="4" w:space="0" w:color="auto"/>
            </w:tcBorders>
            <w:noWrap/>
            <w:vAlign w:val="center"/>
            <w:hideMark/>
          </w:tcPr>
          <w:p w14:paraId="26A41E97"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-11.56</w:t>
            </w:r>
          </w:p>
        </w:tc>
        <w:tc>
          <w:tcPr>
            <w:tcW w:w="340" w:type="pct"/>
            <w:tcBorders>
              <w:top w:val="nil"/>
              <w:left w:val="nil"/>
              <w:bottom w:val="single" w:sz="4" w:space="0" w:color="auto"/>
              <w:right w:val="single" w:sz="4" w:space="0" w:color="auto"/>
            </w:tcBorders>
            <w:noWrap/>
            <w:vAlign w:val="center"/>
            <w:hideMark/>
          </w:tcPr>
          <w:p w14:paraId="01364520"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0.5</w:t>
            </w:r>
            <w:r w:rsidRPr="00792B36">
              <w:rPr>
                <w:rFonts w:eastAsia="Times New Roman"/>
                <w:color w:val="000000"/>
                <w:sz w:val="24"/>
                <w:szCs w:val="24"/>
              </w:rPr>
              <w:lastRenderedPageBreak/>
              <w:t>5</w:t>
            </w:r>
          </w:p>
        </w:tc>
        <w:tc>
          <w:tcPr>
            <w:tcW w:w="454" w:type="pct"/>
            <w:tcBorders>
              <w:top w:val="single" w:sz="4" w:space="0" w:color="auto"/>
              <w:left w:val="nil"/>
              <w:bottom w:val="single" w:sz="4" w:space="0" w:color="auto"/>
              <w:right w:val="single" w:sz="4" w:space="0" w:color="auto"/>
            </w:tcBorders>
            <w:noWrap/>
            <w:vAlign w:val="center"/>
            <w:hideMark/>
          </w:tcPr>
          <w:p w14:paraId="1A068DEE" w14:textId="77777777" w:rsidR="009A0A63" w:rsidRPr="00792B36" w:rsidRDefault="009A0A63" w:rsidP="00A24459">
            <w:pPr>
              <w:jc w:val="center"/>
              <w:rPr>
                <w:rFonts w:eastAsia="Times New Roman"/>
                <w:color w:val="000000"/>
                <w:sz w:val="24"/>
                <w:szCs w:val="24"/>
              </w:rPr>
            </w:pPr>
            <w:r w:rsidRPr="00792B36">
              <w:rPr>
                <w:color w:val="000000"/>
                <w:sz w:val="24"/>
                <w:szCs w:val="24"/>
              </w:rPr>
              <w:lastRenderedPageBreak/>
              <w:t>1,958.00</w:t>
            </w:r>
          </w:p>
        </w:tc>
        <w:tc>
          <w:tcPr>
            <w:tcW w:w="454" w:type="pct"/>
            <w:tcBorders>
              <w:top w:val="single" w:sz="4" w:space="0" w:color="auto"/>
              <w:left w:val="single" w:sz="4" w:space="0" w:color="auto"/>
              <w:bottom w:val="single" w:sz="4" w:space="0" w:color="auto"/>
              <w:right w:val="nil"/>
            </w:tcBorders>
            <w:noWrap/>
            <w:vAlign w:val="center"/>
            <w:hideMark/>
          </w:tcPr>
          <w:p w14:paraId="087FAADF" w14:textId="77777777" w:rsidR="009A0A63" w:rsidRPr="00792B36" w:rsidRDefault="009A0A63" w:rsidP="00A24459">
            <w:pPr>
              <w:jc w:val="center"/>
              <w:rPr>
                <w:rFonts w:eastAsia="Times New Roman"/>
                <w:color w:val="000000"/>
                <w:sz w:val="24"/>
                <w:szCs w:val="24"/>
              </w:rPr>
            </w:pPr>
            <w:r w:rsidRPr="00792B36">
              <w:rPr>
                <w:color w:val="000000"/>
                <w:sz w:val="24"/>
                <w:szCs w:val="24"/>
              </w:rPr>
              <w:t>3,048.16</w:t>
            </w:r>
          </w:p>
        </w:tc>
        <w:tc>
          <w:tcPr>
            <w:tcW w:w="405" w:type="pct"/>
            <w:tcBorders>
              <w:top w:val="nil"/>
              <w:left w:val="single" w:sz="4" w:space="0" w:color="auto"/>
              <w:bottom w:val="single" w:sz="4" w:space="0" w:color="auto"/>
              <w:right w:val="single" w:sz="4" w:space="0" w:color="auto"/>
            </w:tcBorders>
            <w:noWrap/>
            <w:vAlign w:val="center"/>
            <w:hideMark/>
          </w:tcPr>
          <w:p w14:paraId="24CAEFF6"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2.24</w:t>
            </w:r>
          </w:p>
        </w:tc>
        <w:tc>
          <w:tcPr>
            <w:tcW w:w="317" w:type="pct"/>
            <w:tcBorders>
              <w:top w:val="nil"/>
              <w:left w:val="nil"/>
              <w:bottom w:val="single" w:sz="4" w:space="0" w:color="auto"/>
              <w:right w:val="single" w:sz="4" w:space="0" w:color="auto"/>
            </w:tcBorders>
            <w:noWrap/>
            <w:vAlign w:val="center"/>
            <w:hideMark/>
          </w:tcPr>
          <w:p w14:paraId="18648261"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0.6</w:t>
            </w:r>
            <w:r w:rsidRPr="00792B36">
              <w:rPr>
                <w:rFonts w:eastAsia="Times New Roman"/>
                <w:color w:val="000000"/>
                <w:sz w:val="24"/>
                <w:szCs w:val="24"/>
              </w:rPr>
              <w:lastRenderedPageBreak/>
              <w:t>9</w:t>
            </w:r>
          </w:p>
        </w:tc>
        <w:tc>
          <w:tcPr>
            <w:tcW w:w="451" w:type="pct"/>
            <w:tcBorders>
              <w:top w:val="nil"/>
              <w:left w:val="nil"/>
              <w:bottom w:val="single" w:sz="4" w:space="0" w:color="auto"/>
              <w:right w:val="single" w:sz="4" w:space="0" w:color="auto"/>
            </w:tcBorders>
            <w:noWrap/>
            <w:vAlign w:val="center"/>
            <w:hideMark/>
          </w:tcPr>
          <w:p w14:paraId="62EA8270" w14:textId="77777777" w:rsidR="009A0A63" w:rsidRPr="00792B36" w:rsidRDefault="009A0A63" w:rsidP="00A24459">
            <w:pPr>
              <w:jc w:val="center"/>
              <w:rPr>
                <w:rFonts w:eastAsia="Times New Roman"/>
                <w:color w:val="000000"/>
                <w:sz w:val="24"/>
                <w:szCs w:val="24"/>
              </w:rPr>
            </w:pPr>
            <w:r w:rsidRPr="00792B36">
              <w:rPr>
                <w:color w:val="000000"/>
                <w:sz w:val="24"/>
                <w:szCs w:val="24"/>
              </w:rPr>
              <w:lastRenderedPageBreak/>
              <w:t>98.21</w:t>
            </w:r>
          </w:p>
        </w:tc>
        <w:tc>
          <w:tcPr>
            <w:tcW w:w="358" w:type="pct"/>
            <w:tcBorders>
              <w:top w:val="nil"/>
              <w:left w:val="nil"/>
              <w:bottom w:val="single" w:sz="4" w:space="0" w:color="auto"/>
              <w:right w:val="single" w:sz="4" w:space="0" w:color="auto"/>
            </w:tcBorders>
            <w:noWrap/>
            <w:vAlign w:val="center"/>
            <w:hideMark/>
          </w:tcPr>
          <w:p w14:paraId="599AF7E9"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1.79</w:t>
            </w:r>
          </w:p>
        </w:tc>
        <w:tc>
          <w:tcPr>
            <w:tcW w:w="406" w:type="pct"/>
            <w:tcBorders>
              <w:top w:val="nil"/>
              <w:left w:val="nil"/>
              <w:bottom w:val="single" w:sz="4" w:space="0" w:color="auto"/>
              <w:right w:val="single" w:sz="4" w:space="0" w:color="auto"/>
            </w:tcBorders>
            <w:noWrap/>
            <w:vAlign w:val="center"/>
            <w:hideMark/>
          </w:tcPr>
          <w:p w14:paraId="2925997C"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0.00</w:t>
            </w:r>
          </w:p>
        </w:tc>
      </w:tr>
      <w:tr w:rsidR="009A0A63" w:rsidRPr="00792B36" w14:paraId="70490E7D" w14:textId="77777777" w:rsidTr="00A24459">
        <w:trPr>
          <w:trHeight w:val="340"/>
        </w:trPr>
        <w:tc>
          <w:tcPr>
            <w:tcW w:w="694" w:type="pct"/>
            <w:tcBorders>
              <w:top w:val="nil"/>
              <w:left w:val="single" w:sz="4" w:space="0" w:color="auto"/>
              <w:bottom w:val="single" w:sz="4" w:space="0" w:color="auto"/>
              <w:right w:val="single" w:sz="4" w:space="0" w:color="auto"/>
            </w:tcBorders>
            <w:vAlign w:val="center"/>
            <w:hideMark/>
          </w:tcPr>
          <w:p w14:paraId="5659B94B" w14:textId="77777777" w:rsidR="009A0A63" w:rsidRPr="00792B36" w:rsidRDefault="009A0A63" w:rsidP="00A24459">
            <w:pPr>
              <w:rPr>
                <w:rFonts w:eastAsia="Times New Roman"/>
                <w:color w:val="000000"/>
                <w:sz w:val="24"/>
                <w:szCs w:val="24"/>
              </w:rPr>
            </w:pPr>
            <w:r w:rsidRPr="00792B36">
              <w:rPr>
                <w:rFonts w:eastAsia="Times New Roman"/>
                <w:color w:val="000000"/>
                <w:sz w:val="24"/>
                <w:szCs w:val="24"/>
              </w:rPr>
              <w:t>Nakhon Si Thammarat</w:t>
            </w:r>
          </w:p>
        </w:tc>
        <w:tc>
          <w:tcPr>
            <w:tcW w:w="371" w:type="pct"/>
            <w:tcBorders>
              <w:top w:val="nil"/>
              <w:left w:val="nil"/>
              <w:bottom w:val="single" w:sz="4" w:space="0" w:color="auto"/>
              <w:right w:val="single" w:sz="4" w:space="0" w:color="auto"/>
            </w:tcBorders>
            <w:noWrap/>
            <w:vAlign w:val="center"/>
            <w:hideMark/>
          </w:tcPr>
          <w:p w14:paraId="4B264F62"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817,455</w:t>
            </w:r>
          </w:p>
        </w:tc>
        <w:tc>
          <w:tcPr>
            <w:tcW w:w="342" w:type="pct"/>
            <w:tcBorders>
              <w:top w:val="nil"/>
              <w:left w:val="nil"/>
              <w:bottom w:val="single" w:sz="4" w:space="0" w:color="auto"/>
              <w:right w:val="single" w:sz="4" w:space="0" w:color="auto"/>
            </w:tcBorders>
            <w:noWrap/>
            <w:vAlign w:val="center"/>
            <w:hideMark/>
          </w:tcPr>
          <w:p w14:paraId="17C033FA"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146,929</w:t>
            </w:r>
          </w:p>
        </w:tc>
        <w:tc>
          <w:tcPr>
            <w:tcW w:w="409" w:type="pct"/>
            <w:tcBorders>
              <w:top w:val="nil"/>
              <w:left w:val="nil"/>
              <w:bottom w:val="single" w:sz="4" w:space="0" w:color="auto"/>
              <w:right w:val="single" w:sz="4" w:space="0" w:color="auto"/>
            </w:tcBorders>
            <w:noWrap/>
            <w:vAlign w:val="center"/>
            <w:hideMark/>
          </w:tcPr>
          <w:p w14:paraId="4396BB56"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-8.22</w:t>
            </w:r>
          </w:p>
        </w:tc>
        <w:tc>
          <w:tcPr>
            <w:tcW w:w="340" w:type="pct"/>
            <w:tcBorders>
              <w:top w:val="nil"/>
              <w:left w:val="nil"/>
              <w:bottom w:val="single" w:sz="4" w:space="0" w:color="auto"/>
              <w:right w:val="single" w:sz="4" w:space="0" w:color="auto"/>
            </w:tcBorders>
            <w:noWrap/>
            <w:vAlign w:val="center"/>
            <w:hideMark/>
          </w:tcPr>
          <w:p w14:paraId="089DB0F5"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0.70</w:t>
            </w:r>
          </w:p>
        </w:tc>
        <w:tc>
          <w:tcPr>
            <w:tcW w:w="454" w:type="pct"/>
            <w:tcBorders>
              <w:top w:val="single" w:sz="4" w:space="0" w:color="auto"/>
              <w:left w:val="nil"/>
              <w:bottom w:val="single" w:sz="4" w:space="0" w:color="auto"/>
              <w:right w:val="single" w:sz="4" w:space="0" w:color="auto"/>
            </w:tcBorders>
            <w:noWrap/>
            <w:vAlign w:val="center"/>
            <w:hideMark/>
          </w:tcPr>
          <w:p w14:paraId="249A4AE6" w14:textId="77777777" w:rsidR="009A0A63" w:rsidRPr="00792B36" w:rsidRDefault="009A0A63" w:rsidP="00A24459">
            <w:pPr>
              <w:jc w:val="center"/>
              <w:rPr>
                <w:rFonts w:eastAsia="Times New Roman"/>
                <w:color w:val="000000"/>
                <w:sz w:val="24"/>
                <w:szCs w:val="24"/>
              </w:rPr>
            </w:pPr>
            <w:r w:rsidRPr="00792B36">
              <w:rPr>
                <w:color w:val="000000"/>
                <w:sz w:val="24"/>
                <w:szCs w:val="24"/>
              </w:rPr>
              <w:t>1,184.11</w:t>
            </w:r>
          </w:p>
        </w:tc>
        <w:tc>
          <w:tcPr>
            <w:tcW w:w="454" w:type="pct"/>
            <w:tcBorders>
              <w:top w:val="single" w:sz="4" w:space="0" w:color="auto"/>
              <w:left w:val="single" w:sz="4" w:space="0" w:color="auto"/>
              <w:bottom w:val="single" w:sz="4" w:space="0" w:color="auto"/>
              <w:right w:val="nil"/>
            </w:tcBorders>
            <w:noWrap/>
            <w:vAlign w:val="center"/>
            <w:hideMark/>
          </w:tcPr>
          <w:p w14:paraId="4E380D41" w14:textId="77777777" w:rsidR="009A0A63" w:rsidRPr="00792B36" w:rsidRDefault="009A0A63" w:rsidP="00A24459">
            <w:pPr>
              <w:jc w:val="center"/>
              <w:rPr>
                <w:rFonts w:eastAsia="Times New Roman"/>
                <w:color w:val="000000"/>
                <w:sz w:val="24"/>
                <w:szCs w:val="24"/>
              </w:rPr>
            </w:pPr>
            <w:r w:rsidRPr="00792B36">
              <w:rPr>
                <w:color w:val="000000"/>
                <w:sz w:val="24"/>
                <w:szCs w:val="24"/>
              </w:rPr>
              <w:t>1,603.30</w:t>
            </w:r>
          </w:p>
        </w:tc>
        <w:tc>
          <w:tcPr>
            <w:tcW w:w="405" w:type="pct"/>
            <w:tcBorders>
              <w:top w:val="nil"/>
              <w:left w:val="single" w:sz="4" w:space="0" w:color="auto"/>
              <w:bottom w:val="single" w:sz="4" w:space="0" w:color="auto"/>
              <w:right w:val="single" w:sz="4" w:space="0" w:color="auto"/>
            </w:tcBorders>
            <w:noWrap/>
            <w:vAlign w:val="center"/>
            <w:hideMark/>
          </w:tcPr>
          <w:p w14:paraId="57615D30"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1.53</w:t>
            </w:r>
          </w:p>
        </w:tc>
        <w:tc>
          <w:tcPr>
            <w:tcW w:w="317" w:type="pct"/>
            <w:tcBorders>
              <w:top w:val="nil"/>
              <w:left w:val="nil"/>
              <w:bottom w:val="single" w:sz="4" w:space="0" w:color="auto"/>
              <w:right w:val="single" w:sz="4" w:space="0" w:color="auto"/>
            </w:tcBorders>
            <w:noWrap/>
            <w:vAlign w:val="center"/>
            <w:hideMark/>
          </w:tcPr>
          <w:p w14:paraId="4D40EDD4"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0.55</w:t>
            </w:r>
          </w:p>
        </w:tc>
        <w:tc>
          <w:tcPr>
            <w:tcW w:w="451" w:type="pct"/>
            <w:tcBorders>
              <w:top w:val="nil"/>
              <w:left w:val="nil"/>
              <w:bottom w:val="single" w:sz="4" w:space="0" w:color="auto"/>
              <w:right w:val="single" w:sz="4" w:space="0" w:color="auto"/>
            </w:tcBorders>
            <w:noWrap/>
            <w:vAlign w:val="center"/>
            <w:hideMark/>
          </w:tcPr>
          <w:p w14:paraId="4EF0AD5D" w14:textId="77777777" w:rsidR="009A0A63" w:rsidRPr="00792B36" w:rsidRDefault="009A0A63" w:rsidP="00A24459">
            <w:pPr>
              <w:jc w:val="center"/>
              <w:rPr>
                <w:rFonts w:eastAsia="Times New Roman"/>
                <w:color w:val="000000"/>
                <w:sz w:val="24"/>
                <w:szCs w:val="24"/>
              </w:rPr>
            </w:pPr>
            <w:r w:rsidRPr="00792B36">
              <w:rPr>
                <w:color w:val="000000"/>
                <w:sz w:val="24"/>
                <w:szCs w:val="24"/>
              </w:rPr>
              <w:t>97.46</w:t>
            </w:r>
          </w:p>
        </w:tc>
        <w:tc>
          <w:tcPr>
            <w:tcW w:w="358" w:type="pct"/>
            <w:tcBorders>
              <w:top w:val="nil"/>
              <w:left w:val="nil"/>
              <w:bottom w:val="single" w:sz="4" w:space="0" w:color="auto"/>
              <w:right w:val="single" w:sz="4" w:space="0" w:color="auto"/>
            </w:tcBorders>
            <w:noWrap/>
            <w:vAlign w:val="center"/>
            <w:hideMark/>
          </w:tcPr>
          <w:p w14:paraId="0237B057"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2.54</w:t>
            </w:r>
          </w:p>
        </w:tc>
        <w:tc>
          <w:tcPr>
            <w:tcW w:w="406" w:type="pct"/>
            <w:tcBorders>
              <w:top w:val="nil"/>
              <w:left w:val="nil"/>
              <w:bottom w:val="single" w:sz="4" w:space="0" w:color="auto"/>
              <w:right w:val="single" w:sz="4" w:space="0" w:color="auto"/>
            </w:tcBorders>
            <w:noWrap/>
            <w:vAlign w:val="center"/>
            <w:hideMark/>
          </w:tcPr>
          <w:p w14:paraId="2D74AE22"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0.08</w:t>
            </w:r>
          </w:p>
        </w:tc>
      </w:tr>
      <w:tr w:rsidR="009A0A63" w:rsidRPr="00792B36" w14:paraId="3D09B5FF" w14:textId="77777777" w:rsidTr="00A24459">
        <w:trPr>
          <w:trHeight w:val="340"/>
        </w:trPr>
        <w:tc>
          <w:tcPr>
            <w:tcW w:w="694" w:type="pct"/>
            <w:tcBorders>
              <w:top w:val="nil"/>
              <w:left w:val="single" w:sz="4" w:space="0" w:color="auto"/>
              <w:bottom w:val="single" w:sz="4" w:space="0" w:color="auto"/>
              <w:right w:val="single" w:sz="4" w:space="0" w:color="auto"/>
            </w:tcBorders>
            <w:vAlign w:val="center"/>
            <w:hideMark/>
          </w:tcPr>
          <w:p w14:paraId="3DBDD4D6" w14:textId="77777777" w:rsidR="009A0A63" w:rsidRPr="00792B36" w:rsidRDefault="009A0A63" w:rsidP="00A24459">
            <w:pPr>
              <w:rPr>
                <w:rFonts w:eastAsia="Times New Roman"/>
                <w:color w:val="000000"/>
                <w:sz w:val="24"/>
                <w:szCs w:val="24"/>
              </w:rPr>
            </w:pPr>
            <w:r w:rsidRPr="00792B36">
              <w:rPr>
                <w:rFonts w:eastAsia="Times New Roman"/>
                <w:color w:val="000000"/>
                <w:sz w:val="24"/>
                <w:szCs w:val="24"/>
              </w:rPr>
              <w:t>Surat-Thani</w:t>
            </w:r>
          </w:p>
        </w:tc>
        <w:tc>
          <w:tcPr>
            <w:tcW w:w="371" w:type="pct"/>
            <w:tcBorders>
              <w:top w:val="nil"/>
              <w:left w:val="nil"/>
              <w:bottom w:val="single" w:sz="4" w:space="0" w:color="auto"/>
              <w:right w:val="single" w:sz="4" w:space="0" w:color="auto"/>
            </w:tcBorders>
            <w:noWrap/>
            <w:vAlign w:val="center"/>
            <w:hideMark/>
          </w:tcPr>
          <w:p w14:paraId="369AE026"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188,191</w:t>
            </w:r>
          </w:p>
        </w:tc>
        <w:tc>
          <w:tcPr>
            <w:tcW w:w="342" w:type="pct"/>
            <w:tcBorders>
              <w:top w:val="nil"/>
              <w:left w:val="nil"/>
              <w:bottom w:val="single" w:sz="4" w:space="0" w:color="auto"/>
              <w:right w:val="single" w:sz="4" w:space="0" w:color="auto"/>
            </w:tcBorders>
            <w:noWrap/>
            <w:vAlign w:val="center"/>
            <w:hideMark/>
          </w:tcPr>
          <w:p w14:paraId="6E95D370"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34,485</w:t>
            </w:r>
          </w:p>
        </w:tc>
        <w:tc>
          <w:tcPr>
            <w:tcW w:w="409" w:type="pct"/>
            <w:tcBorders>
              <w:top w:val="nil"/>
              <w:left w:val="nil"/>
              <w:bottom w:val="single" w:sz="4" w:space="0" w:color="auto"/>
              <w:right w:val="single" w:sz="4" w:space="0" w:color="auto"/>
            </w:tcBorders>
            <w:noWrap/>
            <w:vAlign w:val="center"/>
            <w:hideMark/>
          </w:tcPr>
          <w:p w14:paraId="04DD7464"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-8.13</w:t>
            </w:r>
          </w:p>
        </w:tc>
        <w:tc>
          <w:tcPr>
            <w:tcW w:w="340" w:type="pct"/>
            <w:tcBorders>
              <w:top w:val="nil"/>
              <w:left w:val="nil"/>
              <w:bottom w:val="single" w:sz="4" w:space="0" w:color="auto"/>
              <w:right w:val="single" w:sz="4" w:space="0" w:color="auto"/>
            </w:tcBorders>
            <w:noWrap/>
            <w:vAlign w:val="center"/>
            <w:hideMark/>
          </w:tcPr>
          <w:p w14:paraId="3EC6C7D1"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0.70</w:t>
            </w:r>
          </w:p>
        </w:tc>
        <w:tc>
          <w:tcPr>
            <w:tcW w:w="454" w:type="pct"/>
            <w:tcBorders>
              <w:top w:val="single" w:sz="4" w:space="0" w:color="auto"/>
              <w:left w:val="nil"/>
              <w:bottom w:val="single" w:sz="4" w:space="0" w:color="auto"/>
              <w:right w:val="single" w:sz="4" w:space="0" w:color="auto"/>
            </w:tcBorders>
            <w:noWrap/>
            <w:vAlign w:val="center"/>
            <w:hideMark/>
          </w:tcPr>
          <w:p w14:paraId="6AEC6C33" w14:textId="77777777" w:rsidR="009A0A63" w:rsidRPr="00792B36" w:rsidRDefault="009A0A63" w:rsidP="00A24459">
            <w:pPr>
              <w:jc w:val="center"/>
              <w:rPr>
                <w:rFonts w:eastAsia="Times New Roman"/>
                <w:color w:val="000000"/>
                <w:sz w:val="24"/>
                <w:szCs w:val="24"/>
              </w:rPr>
            </w:pPr>
            <w:r w:rsidRPr="00792B36">
              <w:rPr>
                <w:color w:val="000000"/>
                <w:sz w:val="24"/>
                <w:szCs w:val="24"/>
              </w:rPr>
              <w:t>1,530.53</w:t>
            </w:r>
          </w:p>
        </w:tc>
        <w:tc>
          <w:tcPr>
            <w:tcW w:w="454" w:type="pct"/>
            <w:tcBorders>
              <w:top w:val="single" w:sz="4" w:space="0" w:color="auto"/>
              <w:left w:val="single" w:sz="4" w:space="0" w:color="auto"/>
              <w:bottom w:val="single" w:sz="4" w:space="0" w:color="auto"/>
              <w:right w:val="nil"/>
            </w:tcBorders>
            <w:noWrap/>
            <w:vAlign w:val="center"/>
            <w:hideMark/>
          </w:tcPr>
          <w:p w14:paraId="0AFFC11D" w14:textId="77777777" w:rsidR="009A0A63" w:rsidRPr="00792B36" w:rsidRDefault="009A0A63" w:rsidP="00A24459">
            <w:pPr>
              <w:jc w:val="center"/>
              <w:rPr>
                <w:rFonts w:eastAsia="Times New Roman"/>
                <w:color w:val="000000"/>
                <w:sz w:val="24"/>
                <w:szCs w:val="24"/>
              </w:rPr>
            </w:pPr>
            <w:r w:rsidRPr="00792B36">
              <w:rPr>
                <w:color w:val="000000"/>
                <w:sz w:val="24"/>
                <w:szCs w:val="24"/>
              </w:rPr>
              <w:t>2,154.75</w:t>
            </w:r>
          </w:p>
        </w:tc>
        <w:tc>
          <w:tcPr>
            <w:tcW w:w="405" w:type="pct"/>
            <w:tcBorders>
              <w:top w:val="nil"/>
              <w:left w:val="single" w:sz="4" w:space="0" w:color="auto"/>
              <w:bottom w:val="single" w:sz="4" w:space="0" w:color="auto"/>
              <w:right w:val="single" w:sz="4" w:space="0" w:color="auto"/>
            </w:tcBorders>
            <w:noWrap/>
            <w:vAlign w:val="center"/>
            <w:hideMark/>
          </w:tcPr>
          <w:p w14:paraId="10A02E42"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1.73</w:t>
            </w:r>
          </w:p>
        </w:tc>
        <w:tc>
          <w:tcPr>
            <w:tcW w:w="317" w:type="pct"/>
            <w:tcBorders>
              <w:top w:val="nil"/>
              <w:left w:val="nil"/>
              <w:bottom w:val="single" w:sz="4" w:space="0" w:color="auto"/>
              <w:right w:val="single" w:sz="4" w:space="0" w:color="auto"/>
            </w:tcBorders>
            <w:noWrap/>
            <w:vAlign w:val="center"/>
            <w:hideMark/>
          </w:tcPr>
          <w:p w14:paraId="6C1B60B5"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0.59</w:t>
            </w:r>
          </w:p>
        </w:tc>
        <w:tc>
          <w:tcPr>
            <w:tcW w:w="451" w:type="pct"/>
            <w:tcBorders>
              <w:top w:val="nil"/>
              <w:left w:val="nil"/>
              <w:bottom w:val="single" w:sz="4" w:space="0" w:color="auto"/>
              <w:right w:val="single" w:sz="4" w:space="0" w:color="auto"/>
            </w:tcBorders>
            <w:noWrap/>
            <w:vAlign w:val="center"/>
            <w:hideMark/>
          </w:tcPr>
          <w:p w14:paraId="7159EB93" w14:textId="77777777" w:rsidR="009A0A63" w:rsidRPr="00792B36" w:rsidRDefault="009A0A63" w:rsidP="00A24459">
            <w:pPr>
              <w:jc w:val="center"/>
              <w:rPr>
                <w:rFonts w:eastAsia="Times New Roman"/>
                <w:color w:val="000000"/>
                <w:sz w:val="24"/>
                <w:szCs w:val="24"/>
              </w:rPr>
            </w:pPr>
            <w:r w:rsidRPr="00792B36">
              <w:rPr>
                <w:color w:val="000000"/>
                <w:sz w:val="24"/>
                <w:szCs w:val="24"/>
              </w:rPr>
              <w:t>96.99</w:t>
            </w:r>
          </w:p>
        </w:tc>
        <w:tc>
          <w:tcPr>
            <w:tcW w:w="358" w:type="pct"/>
            <w:tcBorders>
              <w:top w:val="nil"/>
              <w:left w:val="nil"/>
              <w:bottom w:val="single" w:sz="4" w:space="0" w:color="auto"/>
              <w:right w:val="single" w:sz="4" w:space="0" w:color="auto"/>
            </w:tcBorders>
            <w:noWrap/>
            <w:vAlign w:val="center"/>
            <w:hideMark/>
          </w:tcPr>
          <w:p w14:paraId="21AF4EEE"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3.01</w:t>
            </w:r>
          </w:p>
        </w:tc>
        <w:tc>
          <w:tcPr>
            <w:tcW w:w="406" w:type="pct"/>
            <w:tcBorders>
              <w:top w:val="nil"/>
              <w:left w:val="nil"/>
              <w:bottom w:val="single" w:sz="4" w:space="0" w:color="auto"/>
              <w:right w:val="single" w:sz="4" w:space="0" w:color="auto"/>
            </w:tcBorders>
            <w:noWrap/>
            <w:vAlign w:val="center"/>
            <w:hideMark/>
          </w:tcPr>
          <w:p w14:paraId="5D73C2EC"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0.13</w:t>
            </w:r>
          </w:p>
        </w:tc>
      </w:tr>
      <w:tr w:rsidR="009A0A63" w:rsidRPr="00792B36" w14:paraId="54186CF4" w14:textId="77777777" w:rsidTr="00A24459">
        <w:trPr>
          <w:trHeight w:val="340"/>
        </w:trPr>
        <w:tc>
          <w:tcPr>
            <w:tcW w:w="694" w:type="pct"/>
            <w:tcBorders>
              <w:top w:val="nil"/>
              <w:left w:val="single" w:sz="4" w:space="0" w:color="auto"/>
              <w:bottom w:val="single" w:sz="4" w:space="0" w:color="auto"/>
              <w:right w:val="single" w:sz="4" w:space="0" w:color="auto"/>
            </w:tcBorders>
            <w:vAlign w:val="center"/>
            <w:hideMark/>
          </w:tcPr>
          <w:p w14:paraId="3897BE72" w14:textId="77777777" w:rsidR="009A0A63" w:rsidRPr="00792B36" w:rsidRDefault="009A0A63" w:rsidP="00A24459">
            <w:pPr>
              <w:rPr>
                <w:rFonts w:eastAsia="Times New Roman"/>
                <w:color w:val="000000"/>
                <w:sz w:val="24"/>
                <w:szCs w:val="24"/>
              </w:rPr>
            </w:pPr>
            <w:r w:rsidRPr="00792B36">
              <w:rPr>
                <w:rFonts w:eastAsia="Times New Roman"/>
                <w:color w:val="000000"/>
                <w:sz w:val="24"/>
                <w:szCs w:val="24"/>
              </w:rPr>
              <w:t>Chumphon</w:t>
            </w:r>
          </w:p>
        </w:tc>
        <w:tc>
          <w:tcPr>
            <w:tcW w:w="371" w:type="pct"/>
            <w:tcBorders>
              <w:top w:val="nil"/>
              <w:left w:val="nil"/>
              <w:bottom w:val="single" w:sz="4" w:space="0" w:color="auto"/>
              <w:right w:val="single" w:sz="4" w:space="0" w:color="auto"/>
            </w:tcBorders>
            <w:noWrap/>
            <w:vAlign w:val="center"/>
            <w:hideMark/>
          </w:tcPr>
          <w:p w14:paraId="3071E7D8"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119,834</w:t>
            </w:r>
          </w:p>
        </w:tc>
        <w:tc>
          <w:tcPr>
            <w:tcW w:w="342" w:type="pct"/>
            <w:tcBorders>
              <w:top w:val="nil"/>
              <w:left w:val="nil"/>
              <w:bottom w:val="single" w:sz="4" w:space="0" w:color="auto"/>
              <w:right w:val="single" w:sz="4" w:space="0" w:color="auto"/>
            </w:tcBorders>
            <w:noWrap/>
            <w:vAlign w:val="center"/>
            <w:hideMark/>
          </w:tcPr>
          <w:p w14:paraId="1CD80770"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31,896</w:t>
            </w:r>
          </w:p>
        </w:tc>
        <w:tc>
          <w:tcPr>
            <w:tcW w:w="409" w:type="pct"/>
            <w:tcBorders>
              <w:top w:val="nil"/>
              <w:left w:val="nil"/>
              <w:bottom w:val="single" w:sz="4" w:space="0" w:color="auto"/>
              <w:right w:val="single" w:sz="4" w:space="0" w:color="auto"/>
            </w:tcBorders>
            <w:noWrap/>
            <w:vAlign w:val="center"/>
            <w:hideMark/>
          </w:tcPr>
          <w:p w14:paraId="26A20F7B"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-6.40</w:t>
            </w:r>
          </w:p>
        </w:tc>
        <w:tc>
          <w:tcPr>
            <w:tcW w:w="340" w:type="pct"/>
            <w:tcBorders>
              <w:top w:val="nil"/>
              <w:left w:val="nil"/>
              <w:bottom w:val="single" w:sz="4" w:space="0" w:color="auto"/>
              <w:right w:val="single" w:sz="4" w:space="0" w:color="auto"/>
            </w:tcBorders>
            <w:noWrap/>
            <w:vAlign w:val="center"/>
            <w:hideMark/>
          </w:tcPr>
          <w:p w14:paraId="3238B993"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0.78</w:t>
            </w:r>
          </w:p>
        </w:tc>
        <w:tc>
          <w:tcPr>
            <w:tcW w:w="454" w:type="pct"/>
            <w:tcBorders>
              <w:top w:val="single" w:sz="4" w:space="0" w:color="auto"/>
              <w:left w:val="nil"/>
              <w:bottom w:val="single" w:sz="4" w:space="0" w:color="auto"/>
              <w:right w:val="single" w:sz="4" w:space="0" w:color="auto"/>
            </w:tcBorders>
            <w:noWrap/>
            <w:vAlign w:val="center"/>
            <w:hideMark/>
          </w:tcPr>
          <w:p w14:paraId="453418B7" w14:textId="77777777" w:rsidR="009A0A63" w:rsidRPr="00792B36" w:rsidRDefault="009A0A63" w:rsidP="00A24459">
            <w:pPr>
              <w:jc w:val="center"/>
              <w:rPr>
                <w:rFonts w:eastAsia="Times New Roman"/>
                <w:color w:val="000000"/>
                <w:sz w:val="24"/>
                <w:szCs w:val="24"/>
              </w:rPr>
            </w:pPr>
            <w:r w:rsidRPr="00792B36">
              <w:rPr>
                <w:color w:val="000000"/>
                <w:sz w:val="24"/>
                <w:szCs w:val="24"/>
              </w:rPr>
              <w:t>1,434.98</w:t>
            </w:r>
          </w:p>
        </w:tc>
        <w:tc>
          <w:tcPr>
            <w:tcW w:w="454" w:type="pct"/>
            <w:tcBorders>
              <w:top w:val="single" w:sz="4" w:space="0" w:color="auto"/>
              <w:left w:val="single" w:sz="4" w:space="0" w:color="auto"/>
              <w:bottom w:val="single" w:sz="4" w:space="0" w:color="auto"/>
              <w:right w:val="nil"/>
            </w:tcBorders>
            <w:noWrap/>
            <w:vAlign w:val="center"/>
            <w:hideMark/>
          </w:tcPr>
          <w:p w14:paraId="7AA4F5ED" w14:textId="77777777" w:rsidR="009A0A63" w:rsidRPr="00792B36" w:rsidRDefault="009A0A63" w:rsidP="00A24459">
            <w:pPr>
              <w:jc w:val="center"/>
              <w:rPr>
                <w:rFonts w:eastAsia="Times New Roman"/>
                <w:color w:val="000000"/>
                <w:sz w:val="24"/>
                <w:szCs w:val="24"/>
              </w:rPr>
            </w:pPr>
            <w:r w:rsidRPr="00792B36">
              <w:rPr>
                <w:color w:val="000000"/>
                <w:sz w:val="24"/>
                <w:szCs w:val="24"/>
              </w:rPr>
              <w:t>2,637.19</w:t>
            </w:r>
          </w:p>
        </w:tc>
        <w:tc>
          <w:tcPr>
            <w:tcW w:w="405" w:type="pct"/>
            <w:tcBorders>
              <w:top w:val="nil"/>
              <w:left w:val="single" w:sz="4" w:space="0" w:color="auto"/>
              <w:bottom w:val="single" w:sz="4" w:space="0" w:color="auto"/>
              <w:right w:val="single" w:sz="4" w:space="0" w:color="auto"/>
            </w:tcBorders>
            <w:noWrap/>
            <w:vAlign w:val="center"/>
            <w:hideMark/>
          </w:tcPr>
          <w:p w14:paraId="257B6FF3"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3.09</w:t>
            </w:r>
          </w:p>
        </w:tc>
        <w:tc>
          <w:tcPr>
            <w:tcW w:w="317" w:type="pct"/>
            <w:tcBorders>
              <w:top w:val="nil"/>
              <w:left w:val="nil"/>
              <w:bottom w:val="single" w:sz="4" w:space="0" w:color="auto"/>
              <w:right w:val="single" w:sz="4" w:space="0" w:color="auto"/>
            </w:tcBorders>
            <w:noWrap/>
            <w:vAlign w:val="center"/>
            <w:hideMark/>
          </w:tcPr>
          <w:p w14:paraId="0B827182"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0.86</w:t>
            </w:r>
          </w:p>
        </w:tc>
        <w:tc>
          <w:tcPr>
            <w:tcW w:w="451" w:type="pct"/>
            <w:tcBorders>
              <w:top w:val="nil"/>
              <w:left w:val="nil"/>
              <w:bottom w:val="single" w:sz="4" w:space="0" w:color="auto"/>
              <w:right w:val="single" w:sz="4" w:space="0" w:color="auto"/>
            </w:tcBorders>
            <w:noWrap/>
            <w:vAlign w:val="center"/>
            <w:hideMark/>
          </w:tcPr>
          <w:p w14:paraId="26492C7E" w14:textId="77777777" w:rsidR="009A0A63" w:rsidRPr="00792B36" w:rsidRDefault="009A0A63" w:rsidP="00A24459">
            <w:pPr>
              <w:jc w:val="center"/>
              <w:rPr>
                <w:rFonts w:eastAsia="Times New Roman"/>
                <w:color w:val="000000"/>
                <w:sz w:val="24"/>
                <w:szCs w:val="24"/>
              </w:rPr>
            </w:pPr>
            <w:r w:rsidRPr="00792B36">
              <w:rPr>
                <w:color w:val="000000"/>
                <w:sz w:val="24"/>
                <w:szCs w:val="24"/>
              </w:rPr>
              <w:t>97.49</w:t>
            </w:r>
          </w:p>
        </w:tc>
        <w:tc>
          <w:tcPr>
            <w:tcW w:w="358" w:type="pct"/>
            <w:tcBorders>
              <w:top w:val="nil"/>
              <w:left w:val="nil"/>
              <w:bottom w:val="single" w:sz="4" w:space="0" w:color="auto"/>
              <w:right w:val="single" w:sz="4" w:space="0" w:color="auto"/>
            </w:tcBorders>
            <w:noWrap/>
            <w:vAlign w:val="center"/>
            <w:hideMark/>
          </w:tcPr>
          <w:p w14:paraId="603CB450"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2.51</w:t>
            </w:r>
          </w:p>
        </w:tc>
        <w:tc>
          <w:tcPr>
            <w:tcW w:w="406" w:type="pct"/>
            <w:tcBorders>
              <w:top w:val="nil"/>
              <w:left w:val="nil"/>
              <w:bottom w:val="single" w:sz="4" w:space="0" w:color="auto"/>
              <w:right w:val="single" w:sz="4" w:space="0" w:color="auto"/>
            </w:tcBorders>
            <w:noWrap/>
            <w:vAlign w:val="center"/>
            <w:hideMark/>
          </w:tcPr>
          <w:p w14:paraId="13DE5966"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0.08</w:t>
            </w:r>
          </w:p>
        </w:tc>
      </w:tr>
      <w:tr w:rsidR="009A0A63" w:rsidRPr="00792B36" w14:paraId="3017596F" w14:textId="77777777" w:rsidTr="00A24459">
        <w:trPr>
          <w:trHeight w:val="340"/>
        </w:trPr>
        <w:tc>
          <w:tcPr>
            <w:tcW w:w="694" w:type="pct"/>
            <w:tcBorders>
              <w:top w:val="nil"/>
              <w:left w:val="single" w:sz="4" w:space="0" w:color="auto"/>
              <w:bottom w:val="single" w:sz="4" w:space="0" w:color="auto"/>
              <w:right w:val="single" w:sz="4" w:space="0" w:color="auto"/>
            </w:tcBorders>
            <w:vAlign w:val="center"/>
            <w:hideMark/>
          </w:tcPr>
          <w:p w14:paraId="4818B0BF" w14:textId="77777777" w:rsidR="009A0A63" w:rsidRPr="00792B36" w:rsidRDefault="009A0A63" w:rsidP="00A24459">
            <w:pPr>
              <w:rPr>
                <w:rFonts w:eastAsia="Times New Roman"/>
                <w:color w:val="000000"/>
                <w:sz w:val="24"/>
                <w:szCs w:val="24"/>
              </w:rPr>
            </w:pPr>
            <w:r w:rsidRPr="00792B36">
              <w:rPr>
                <w:rFonts w:eastAsia="Times New Roman"/>
                <w:color w:val="000000"/>
                <w:sz w:val="24"/>
                <w:szCs w:val="24"/>
              </w:rPr>
              <w:t>Songkhla</w:t>
            </w:r>
          </w:p>
        </w:tc>
        <w:tc>
          <w:tcPr>
            <w:tcW w:w="371" w:type="pct"/>
            <w:tcBorders>
              <w:top w:val="nil"/>
              <w:left w:val="nil"/>
              <w:bottom w:val="single" w:sz="4" w:space="0" w:color="auto"/>
              <w:right w:val="single" w:sz="4" w:space="0" w:color="auto"/>
            </w:tcBorders>
            <w:noWrap/>
            <w:vAlign w:val="center"/>
            <w:hideMark/>
          </w:tcPr>
          <w:p w14:paraId="76415CA3"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416,353</w:t>
            </w:r>
          </w:p>
        </w:tc>
        <w:tc>
          <w:tcPr>
            <w:tcW w:w="342" w:type="pct"/>
            <w:tcBorders>
              <w:top w:val="nil"/>
              <w:left w:val="nil"/>
              <w:bottom w:val="single" w:sz="4" w:space="0" w:color="auto"/>
              <w:right w:val="single" w:sz="4" w:space="0" w:color="auto"/>
            </w:tcBorders>
            <w:noWrap/>
            <w:vAlign w:val="center"/>
            <w:hideMark/>
          </w:tcPr>
          <w:p w14:paraId="448BBD78"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100,439</w:t>
            </w:r>
          </w:p>
        </w:tc>
        <w:tc>
          <w:tcPr>
            <w:tcW w:w="409" w:type="pct"/>
            <w:tcBorders>
              <w:top w:val="nil"/>
              <w:left w:val="nil"/>
              <w:bottom w:val="single" w:sz="4" w:space="0" w:color="auto"/>
              <w:right w:val="single" w:sz="4" w:space="0" w:color="auto"/>
            </w:tcBorders>
            <w:noWrap/>
            <w:vAlign w:val="center"/>
            <w:hideMark/>
          </w:tcPr>
          <w:p w14:paraId="3FF07FC8"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-6.86</w:t>
            </w:r>
          </w:p>
        </w:tc>
        <w:tc>
          <w:tcPr>
            <w:tcW w:w="340" w:type="pct"/>
            <w:tcBorders>
              <w:top w:val="nil"/>
              <w:left w:val="nil"/>
              <w:bottom w:val="single" w:sz="4" w:space="0" w:color="auto"/>
              <w:right w:val="single" w:sz="4" w:space="0" w:color="auto"/>
            </w:tcBorders>
            <w:noWrap/>
            <w:vAlign w:val="center"/>
            <w:hideMark/>
          </w:tcPr>
          <w:p w14:paraId="0862F7AC"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0.76</w:t>
            </w:r>
          </w:p>
        </w:tc>
        <w:tc>
          <w:tcPr>
            <w:tcW w:w="454" w:type="pct"/>
            <w:tcBorders>
              <w:top w:val="single" w:sz="4" w:space="0" w:color="auto"/>
              <w:left w:val="nil"/>
              <w:bottom w:val="single" w:sz="4" w:space="0" w:color="auto"/>
              <w:right w:val="single" w:sz="4" w:space="0" w:color="auto"/>
            </w:tcBorders>
            <w:noWrap/>
            <w:vAlign w:val="center"/>
            <w:hideMark/>
          </w:tcPr>
          <w:p w14:paraId="57C4370F" w14:textId="77777777" w:rsidR="009A0A63" w:rsidRPr="00792B36" w:rsidRDefault="009A0A63" w:rsidP="00A24459">
            <w:pPr>
              <w:jc w:val="center"/>
              <w:rPr>
                <w:rFonts w:eastAsia="Times New Roman"/>
                <w:color w:val="000000"/>
                <w:sz w:val="24"/>
                <w:szCs w:val="24"/>
              </w:rPr>
            </w:pPr>
            <w:r w:rsidRPr="00792B36">
              <w:rPr>
                <w:color w:val="000000"/>
                <w:sz w:val="24"/>
                <w:szCs w:val="24"/>
              </w:rPr>
              <w:t>1,885.86</w:t>
            </w:r>
          </w:p>
        </w:tc>
        <w:tc>
          <w:tcPr>
            <w:tcW w:w="454" w:type="pct"/>
            <w:tcBorders>
              <w:top w:val="single" w:sz="4" w:space="0" w:color="auto"/>
              <w:left w:val="single" w:sz="4" w:space="0" w:color="auto"/>
              <w:bottom w:val="single" w:sz="4" w:space="0" w:color="auto"/>
              <w:right w:val="nil"/>
            </w:tcBorders>
            <w:noWrap/>
            <w:vAlign w:val="center"/>
            <w:hideMark/>
          </w:tcPr>
          <w:p w14:paraId="1D810F6C" w14:textId="77777777" w:rsidR="009A0A63" w:rsidRPr="00792B36" w:rsidRDefault="009A0A63" w:rsidP="00A24459">
            <w:pPr>
              <w:jc w:val="center"/>
              <w:rPr>
                <w:rFonts w:eastAsia="Times New Roman"/>
                <w:color w:val="000000"/>
                <w:sz w:val="24"/>
                <w:szCs w:val="24"/>
              </w:rPr>
            </w:pPr>
            <w:r w:rsidRPr="00792B36">
              <w:rPr>
                <w:color w:val="000000"/>
                <w:sz w:val="24"/>
                <w:szCs w:val="24"/>
              </w:rPr>
              <w:t>2,166.57</w:t>
            </w:r>
          </w:p>
        </w:tc>
        <w:tc>
          <w:tcPr>
            <w:tcW w:w="405" w:type="pct"/>
            <w:tcBorders>
              <w:top w:val="nil"/>
              <w:left w:val="single" w:sz="4" w:space="0" w:color="auto"/>
              <w:bottom w:val="single" w:sz="4" w:space="0" w:color="auto"/>
              <w:right w:val="single" w:sz="4" w:space="0" w:color="auto"/>
            </w:tcBorders>
            <w:noWrap/>
            <w:vAlign w:val="center"/>
            <w:hideMark/>
          </w:tcPr>
          <w:p w14:paraId="7B3954F5"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0.70</w:t>
            </w:r>
          </w:p>
        </w:tc>
        <w:tc>
          <w:tcPr>
            <w:tcW w:w="317" w:type="pct"/>
            <w:tcBorders>
              <w:top w:val="nil"/>
              <w:left w:val="nil"/>
              <w:bottom w:val="single" w:sz="4" w:space="0" w:color="auto"/>
              <w:right w:val="single" w:sz="4" w:space="0" w:color="auto"/>
            </w:tcBorders>
            <w:noWrap/>
            <w:vAlign w:val="center"/>
            <w:hideMark/>
          </w:tcPr>
          <w:p w14:paraId="617D3A15"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0.39</w:t>
            </w:r>
          </w:p>
        </w:tc>
        <w:tc>
          <w:tcPr>
            <w:tcW w:w="451" w:type="pct"/>
            <w:tcBorders>
              <w:top w:val="nil"/>
              <w:left w:val="nil"/>
              <w:bottom w:val="single" w:sz="4" w:space="0" w:color="auto"/>
              <w:right w:val="single" w:sz="4" w:space="0" w:color="auto"/>
            </w:tcBorders>
            <w:noWrap/>
            <w:vAlign w:val="center"/>
            <w:hideMark/>
          </w:tcPr>
          <w:p w14:paraId="1C2A13DE" w14:textId="77777777" w:rsidR="009A0A63" w:rsidRPr="00792B36" w:rsidRDefault="009A0A63" w:rsidP="00A24459">
            <w:pPr>
              <w:jc w:val="center"/>
              <w:rPr>
                <w:rFonts w:eastAsia="Times New Roman"/>
                <w:color w:val="000000"/>
                <w:sz w:val="24"/>
                <w:szCs w:val="24"/>
              </w:rPr>
            </w:pPr>
            <w:r w:rsidRPr="00792B36">
              <w:rPr>
                <w:color w:val="000000"/>
                <w:sz w:val="24"/>
                <w:szCs w:val="24"/>
              </w:rPr>
              <w:t>95.10</w:t>
            </w:r>
          </w:p>
        </w:tc>
        <w:tc>
          <w:tcPr>
            <w:tcW w:w="358" w:type="pct"/>
            <w:tcBorders>
              <w:top w:val="nil"/>
              <w:left w:val="nil"/>
              <w:bottom w:val="single" w:sz="4" w:space="0" w:color="auto"/>
              <w:right w:val="single" w:sz="4" w:space="0" w:color="auto"/>
            </w:tcBorders>
            <w:noWrap/>
            <w:vAlign w:val="center"/>
            <w:hideMark/>
          </w:tcPr>
          <w:p w14:paraId="1548F621"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4.9</w:t>
            </w:r>
          </w:p>
        </w:tc>
        <w:tc>
          <w:tcPr>
            <w:tcW w:w="406" w:type="pct"/>
            <w:tcBorders>
              <w:top w:val="nil"/>
              <w:left w:val="nil"/>
              <w:bottom w:val="single" w:sz="4" w:space="0" w:color="auto"/>
              <w:right w:val="single" w:sz="4" w:space="0" w:color="auto"/>
            </w:tcBorders>
            <w:noWrap/>
            <w:vAlign w:val="center"/>
            <w:hideMark/>
          </w:tcPr>
          <w:p w14:paraId="2B171898"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0.33</w:t>
            </w:r>
          </w:p>
        </w:tc>
      </w:tr>
      <w:tr w:rsidR="009A0A63" w:rsidRPr="00792B36" w14:paraId="02AD5E0D" w14:textId="77777777" w:rsidTr="00A24459">
        <w:trPr>
          <w:trHeight w:val="340"/>
        </w:trPr>
        <w:tc>
          <w:tcPr>
            <w:tcW w:w="694" w:type="pct"/>
            <w:tcBorders>
              <w:top w:val="nil"/>
              <w:left w:val="single" w:sz="4" w:space="0" w:color="auto"/>
              <w:bottom w:val="single" w:sz="4" w:space="0" w:color="auto"/>
              <w:right w:val="single" w:sz="4" w:space="0" w:color="auto"/>
            </w:tcBorders>
            <w:vAlign w:val="center"/>
            <w:hideMark/>
          </w:tcPr>
          <w:p w14:paraId="0ACEC57A" w14:textId="77777777" w:rsidR="009A0A63" w:rsidRPr="00792B36" w:rsidRDefault="009A0A63" w:rsidP="00A24459">
            <w:pPr>
              <w:rPr>
                <w:rFonts w:eastAsia="Times New Roman"/>
                <w:color w:val="000000"/>
                <w:sz w:val="24"/>
                <w:szCs w:val="24"/>
              </w:rPr>
            </w:pPr>
            <w:r w:rsidRPr="00792B36">
              <w:rPr>
                <w:rFonts w:eastAsia="Times New Roman"/>
                <w:color w:val="000000"/>
                <w:sz w:val="24"/>
                <w:szCs w:val="24"/>
              </w:rPr>
              <w:t>Pattani</w:t>
            </w:r>
          </w:p>
        </w:tc>
        <w:tc>
          <w:tcPr>
            <w:tcW w:w="371" w:type="pct"/>
            <w:tcBorders>
              <w:top w:val="nil"/>
              <w:left w:val="nil"/>
              <w:bottom w:val="single" w:sz="4" w:space="0" w:color="auto"/>
              <w:right w:val="single" w:sz="4" w:space="0" w:color="auto"/>
            </w:tcBorders>
            <w:noWrap/>
            <w:vAlign w:val="center"/>
            <w:hideMark/>
          </w:tcPr>
          <w:p w14:paraId="397A9E1B"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367,810</w:t>
            </w:r>
          </w:p>
        </w:tc>
        <w:tc>
          <w:tcPr>
            <w:tcW w:w="342" w:type="pct"/>
            <w:tcBorders>
              <w:top w:val="nil"/>
              <w:left w:val="nil"/>
              <w:bottom w:val="single" w:sz="4" w:space="0" w:color="auto"/>
              <w:right w:val="single" w:sz="4" w:space="0" w:color="auto"/>
            </w:tcBorders>
            <w:noWrap/>
            <w:vAlign w:val="center"/>
            <w:hideMark/>
          </w:tcPr>
          <w:p w14:paraId="301041E9"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285,400</w:t>
            </w:r>
          </w:p>
        </w:tc>
        <w:tc>
          <w:tcPr>
            <w:tcW w:w="409" w:type="pct"/>
            <w:tcBorders>
              <w:top w:val="nil"/>
              <w:left w:val="nil"/>
              <w:bottom w:val="single" w:sz="4" w:space="0" w:color="auto"/>
              <w:right w:val="single" w:sz="4" w:space="0" w:color="auto"/>
            </w:tcBorders>
            <w:noWrap/>
            <w:vAlign w:val="center"/>
            <w:hideMark/>
          </w:tcPr>
          <w:p w14:paraId="7ABD41C9"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-1.26</w:t>
            </w:r>
          </w:p>
        </w:tc>
        <w:tc>
          <w:tcPr>
            <w:tcW w:w="340" w:type="pct"/>
            <w:tcBorders>
              <w:top w:val="nil"/>
              <w:left w:val="nil"/>
              <w:bottom w:val="single" w:sz="4" w:space="0" w:color="auto"/>
              <w:right w:val="single" w:sz="4" w:space="0" w:color="auto"/>
            </w:tcBorders>
            <w:noWrap/>
            <w:vAlign w:val="center"/>
            <w:hideMark/>
          </w:tcPr>
          <w:p w14:paraId="4991BA6C"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1.00</w:t>
            </w:r>
          </w:p>
        </w:tc>
        <w:tc>
          <w:tcPr>
            <w:tcW w:w="454" w:type="pct"/>
            <w:tcBorders>
              <w:top w:val="single" w:sz="4" w:space="0" w:color="auto"/>
              <w:left w:val="nil"/>
              <w:bottom w:val="single" w:sz="4" w:space="0" w:color="auto"/>
              <w:right w:val="single" w:sz="4" w:space="0" w:color="auto"/>
            </w:tcBorders>
            <w:noWrap/>
            <w:vAlign w:val="center"/>
            <w:hideMark/>
          </w:tcPr>
          <w:p w14:paraId="76A9AB8E" w14:textId="77777777" w:rsidR="009A0A63" w:rsidRPr="00792B36" w:rsidRDefault="009A0A63" w:rsidP="00A24459">
            <w:pPr>
              <w:jc w:val="center"/>
              <w:rPr>
                <w:rFonts w:eastAsia="Times New Roman"/>
                <w:color w:val="000000"/>
                <w:sz w:val="24"/>
                <w:szCs w:val="24"/>
              </w:rPr>
            </w:pPr>
            <w:r w:rsidRPr="00792B36">
              <w:rPr>
                <w:color w:val="000000"/>
                <w:sz w:val="24"/>
                <w:szCs w:val="24"/>
              </w:rPr>
              <w:t>1,133.29</w:t>
            </w:r>
          </w:p>
        </w:tc>
        <w:tc>
          <w:tcPr>
            <w:tcW w:w="454" w:type="pct"/>
            <w:tcBorders>
              <w:top w:val="single" w:sz="4" w:space="0" w:color="auto"/>
              <w:left w:val="single" w:sz="4" w:space="0" w:color="auto"/>
              <w:bottom w:val="single" w:sz="4" w:space="0" w:color="auto"/>
              <w:right w:val="nil"/>
            </w:tcBorders>
            <w:noWrap/>
            <w:vAlign w:val="center"/>
            <w:hideMark/>
          </w:tcPr>
          <w:p w14:paraId="66275D1F" w14:textId="77777777" w:rsidR="009A0A63" w:rsidRPr="00792B36" w:rsidRDefault="009A0A63" w:rsidP="00A24459">
            <w:pPr>
              <w:jc w:val="center"/>
              <w:rPr>
                <w:rFonts w:eastAsia="Times New Roman"/>
                <w:color w:val="000000"/>
                <w:sz w:val="24"/>
                <w:szCs w:val="24"/>
              </w:rPr>
            </w:pPr>
            <w:r w:rsidRPr="00792B36">
              <w:rPr>
                <w:color w:val="000000"/>
                <w:sz w:val="24"/>
                <w:szCs w:val="24"/>
              </w:rPr>
              <w:t>1,132.12</w:t>
            </w:r>
          </w:p>
        </w:tc>
        <w:tc>
          <w:tcPr>
            <w:tcW w:w="405" w:type="pct"/>
            <w:tcBorders>
              <w:top w:val="nil"/>
              <w:left w:val="single" w:sz="4" w:space="0" w:color="auto"/>
              <w:bottom w:val="single" w:sz="4" w:space="0" w:color="auto"/>
              <w:right w:val="single" w:sz="4" w:space="0" w:color="auto"/>
            </w:tcBorders>
            <w:noWrap/>
            <w:vAlign w:val="center"/>
            <w:hideMark/>
          </w:tcPr>
          <w:p w14:paraId="0F2C55BE"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-0.01</w:t>
            </w:r>
          </w:p>
        </w:tc>
        <w:tc>
          <w:tcPr>
            <w:tcW w:w="317" w:type="pct"/>
            <w:tcBorders>
              <w:top w:val="nil"/>
              <w:left w:val="nil"/>
              <w:bottom w:val="single" w:sz="4" w:space="0" w:color="auto"/>
              <w:right w:val="single" w:sz="4" w:space="0" w:color="auto"/>
            </w:tcBorders>
            <w:noWrap/>
            <w:vAlign w:val="center"/>
            <w:hideMark/>
          </w:tcPr>
          <w:p w14:paraId="32E20795"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0.25</w:t>
            </w:r>
          </w:p>
        </w:tc>
        <w:tc>
          <w:tcPr>
            <w:tcW w:w="451" w:type="pct"/>
            <w:tcBorders>
              <w:top w:val="nil"/>
              <w:left w:val="nil"/>
              <w:bottom w:val="single" w:sz="4" w:space="0" w:color="auto"/>
              <w:right w:val="single" w:sz="4" w:space="0" w:color="auto"/>
            </w:tcBorders>
            <w:noWrap/>
            <w:vAlign w:val="center"/>
            <w:hideMark/>
          </w:tcPr>
          <w:p w14:paraId="2449A364" w14:textId="77777777" w:rsidR="009A0A63" w:rsidRPr="00792B36" w:rsidRDefault="009A0A63" w:rsidP="00A24459">
            <w:pPr>
              <w:jc w:val="center"/>
              <w:rPr>
                <w:rFonts w:eastAsia="Times New Roman"/>
                <w:color w:val="000000"/>
                <w:sz w:val="24"/>
                <w:szCs w:val="24"/>
              </w:rPr>
            </w:pPr>
            <w:r w:rsidRPr="00792B36">
              <w:rPr>
                <w:color w:val="000000"/>
                <w:sz w:val="24"/>
                <w:szCs w:val="24"/>
              </w:rPr>
              <w:t>97.61</w:t>
            </w:r>
          </w:p>
        </w:tc>
        <w:tc>
          <w:tcPr>
            <w:tcW w:w="358" w:type="pct"/>
            <w:tcBorders>
              <w:top w:val="nil"/>
              <w:left w:val="nil"/>
              <w:bottom w:val="single" w:sz="4" w:space="0" w:color="auto"/>
              <w:right w:val="single" w:sz="4" w:space="0" w:color="auto"/>
            </w:tcBorders>
            <w:noWrap/>
            <w:vAlign w:val="center"/>
            <w:hideMark/>
          </w:tcPr>
          <w:p w14:paraId="380DF903"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2.39</w:t>
            </w:r>
          </w:p>
        </w:tc>
        <w:tc>
          <w:tcPr>
            <w:tcW w:w="406" w:type="pct"/>
            <w:tcBorders>
              <w:top w:val="nil"/>
              <w:left w:val="nil"/>
              <w:bottom w:val="single" w:sz="4" w:space="0" w:color="auto"/>
              <w:right w:val="single" w:sz="4" w:space="0" w:color="auto"/>
            </w:tcBorders>
            <w:noWrap/>
            <w:vAlign w:val="center"/>
            <w:hideMark/>
          </w:tcPr>
          <w:p w14:paraId="0B16BF16"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0.06</w:t>
            </w:r>
          </w:p>
        </w:tc>
      </w:tr>
      <w:tr w:rsidR="009A0A63" w:rsidRPr="00792B36" w14:paraId="74DE9A60" w14:textId="77777777" w:rsidTr="00A24459">
        <w:trPr>
          <w:trHeight w:val="340"/>
        </w:trPr>
        <w:tc>
          <w:tcPr>
            <w:tcW w:w="694" w:type="pct"/>
            <w:tcBorders>
              <w:top w:val="nil"/>
              <w:left w:val="single" w:sz="4" w:space="0" w:color="auto"/>
              <w:bottom w:val="single" w:sz="4" w:space="0" w:color="auto"/>
              <w:right w:val="single" w:sz="4" w:space="0" w:color="auto"/>
            </w:tcBorders>
            <w:vAlign w:val="center"/>
            <w:hideMark/>
          </w:tcPr>
          <w:p w14:paraId="4FFDCEE5" w14:textId="77777777" w:rsidR="009A0A63" w:rsidRPr="00792B36" w:rsidRDefault="009A0A63" w:rsidP="00A24459">
            <w:pPr>
              <w:rPr>
                <w:rFonts w:eastAsia="Times New Roman"/>
                <w:color w:val="000000"/>
                <w:sz w:val="24"/>
                <w:szCs w:val="24"/>
              </w:rPr>
            </w:pPr>
            <w:r w:rsidRPr="00792B36">
              <w:rPr>
                <w:rFonts w:eastAsia="Times New Roman"/>
                <w:color w:val="000000"/>
                <w:sz w:val="24"/>
                <w:szCs w:val="24"/>
              </w:rPr>
              <w:t>Narathiwat</w:t>
            </w:r>
          </w:p>
        </w:tc>
        <w:tc>
          <w:tcPr>
            <w:tcW w:w="371" w:type="pct"/>
            <w:tcBorders>
              <w:top w:val="nil"/>
              <w:left w:val="nil"/>
              <w:bottom w:val="single" w:sz="4" w:space="0" w:color="auto"/>
              <w:right w:val="single" w:sz="4" w:space="0" w:color="auto"/>
            </w:tcBorders>
            <w:noWrap/>
            <w:vAlign w:val="center"/>
            <w:hideMark/>
          </w:tcPr>
          <w:p w14:paraId="56F70D8B"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485,521</w:t>
            </w:r>
          </w:p>
        </w:tc>
        <w:tc>
          <w:tcPr>
            <w:tcW w:w="342" w:type="pct"/>
            <w:tcBorders>
              <w:top w:val="nil"/>
              <w:left w:val="nil"/>
              <w:bottom w:val="single" w:sz="4" w:space="0" w:color="auto"/>
              <w:right w:val="single" w:sz="4" w:space="0" w:color="auto"/>
            </w:tcBorders>
            <w:noWrap/>
            <w:vAlign w:val="center"/>
            <w:hideMark/>
          </w:tcPr>
          <w:p w14:paraId="5ECF82FB"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182,235</w:t>
            </w:r>
          </w:p>
        </w:tc>
        <w:tc>
          <w:tcPr>
            <w:tcW w:w="409" w:type="pct"/>
            <w:tcBorders>
              <w:top w:val="nil"/>
              <w:left w:val="nil"/>
              <w:bottom w:val="single" w:sz="4" w:space="0" w:color="auto"/>
              <w:right w:val="single" w:sz="4" w:space="0" w:color="auto"/>
            </w:tcBorders>
            <w:noWrap/>
            <w:vAlign w:val="center"/>
            <w:hideMark/>
          </w:tcPr>
          <w:p w14:paraId="59E0D031"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-4.78</w:t>
            </w:r>
          </w:p>
        </w:tc>
        <w:tc>
          <w:tcPr>
            <w:tcW w:w="340" w:type="pct"/>
            <w:tcBorders>
              <w:top w:val="nil"/>
              <w:left w:val="nil"/>
              <w:bottom w:val="single" w:sz="4" w:space="0" w:color="auto"/>
              <w:right w:val="single" w:sz="4" w:space="0" w:color="auto"/>
            </w:tcBorders>
            <w:noWrap/>
            <w:vAlign w:val="center"/>
            <w:hideMark/>
          </w:tcPr>
          <w:p w14:paraId="209FCF0E"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0.85</w:t>
            </w:r>
          </w:p>
        </w:tc>
        <w:tc>
          <w:tcPr>
            <w:tcW w:w="454" w:type="pct"/>
            <w:tcBorders>
              <w:top w:val="single" w:sz="4" w:space="0" w:color="auto"/>
              <w:left w:val="nil"/>
              <w:bottom w:val="single" w:sz="4" w:space="0" w:color="auto"/>
              <w:right w:val="single" w:sz="4" w:space="0" w:color="auto"/>
            </w:tcBorders>
            <w:noWrap/>
            <w:vAlign w:val="center"/>
            <w:hideMark/>
          </w:tcPr>
          <w:p w14:paraId="2DD70B1A" w14:textId="77777777" w:rsidR="009A0A63" w:rsidRPr="00792B36" w:rsidRDefault="009A0A63" w:rsidP="00A24459">
            <w:pPr>
              <w:jc w:val="center"/>
              <w:rPr>
                <w:rFonts w:eastAsia="Times New Roman"/>
                <w:color w:val="000000"/>
                <w:sz w:val="24"/>
                <w:szCs w:val="24"/>
              </w:rPr>
            </w:pPr>
            <w:r w:rsidRPr="00792B36">
              <w:rPr>
                <w:color w:val="000000"/>
                <w:sz w:val="24"/>
                <w:szCs w:val="24"/>
              </w:rPr>
              <w:t>616.88</w:t>
            </w:r>
          </w:p>
        </w:tc>
        <w:tc>
          <w:tcPr>
            <w:tcW w:w="454" w:type="pct"/>
            <w:tcBorders>
              <w:top w:val="single" w:sz="4" w:space="0" w:color="auto"/>
              <w:left w:val="single" w:sz="4" w:space="0" w:color="auto"/>
              <w:bottom w:val="single" w:sz="4" w:space="0" w:color="auto"/>
              <w:right w:val="nil"/>
            </w:tcBorders>
            <w:noWrap/>
            <w:vAlign w:val="center"/>
            <w:hideMark/>
          </w:tcPr>
          <w:p w14:paraId="2DD1B512" w14:textId="77777777" w:rsidR="009A0A63" w:rsidRPr="00792B36" w:rsidRDefault="009A0A63" w:rsidP="00A24459">
            <w:pPr>
              <w:jc w:val="center"/>
              <w:rPr>
                <w:rFonts w:eastAsia="Times New Roman"/>
                <w:color w:val="000000"/>
                <w:sz w:val="24"/>
                <w:szCs w:val="24"/>
              </w:rPr>
            </w:pPr>
            <w:r w:rsidRPr="00792B36">
              <w:rPr>
                <w:color w:val="000000"/>
                <w:sz w:val="24"/>
                <w:szCs w:val="24"/>
              </w:rPr>
              <w:t>687.28</w:t>
            </w:r>
          </w:p>
        </w:tc>
        <w:tc>
          <w:tcPr>
            <w:tcW w:w="405" w:type="pct"/>
            <w:tcBorders>
              <w:top w:val="nil"/>
              <w:left w:val="single" w:sz="4" w:space="0" w:color="auto"/>
              <w:bottom w:val="single" w:sz="4" w:space="0" w:color="auto"/>
              <w:right w:val="single" w:sz="4" w:space="0" w:color="auto"/>
            </w:tcBorders>
            <w:noWrap/>
            <w:vAlign w:val="center"/>
            <w:hideMark/>
          </w:tcPr>
          <w:p w14:paraId="611C3819"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0.54</w:t>
            </w:r>
          </w:p>
        </w:tc>
        <w:tc>
          <w:tcPr>
            <w:tcW w:w="317" w:type="pct"/>
            <w:tcBorders>
              <w:top w:val="nil"/>
              <w:left w:val="nil"/>
              <w:bottom w:val="single" w:sz="4" w:space="0" w:color="auto"/>
              <w:right w:val="single" w:sz="4" w:space="0" w:color="auto"/>
            </w:tcBorders>
            <w:noWrap/>
            <w:vAlign w:val="center"/>
            <w:hideMark/>
          </w:tcPr>
          <w:p w14:paraId="12A0F8A4"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0.36</w:t>
            </w:r>
          </w:p>
        </w:tc>
        <w:tc>
          <w:tcPr>
            <w:tcW w:w="451" w:type="pct"/>
            <w:tcBorders>
              <w:top w:val="nil"/>
              <w:left w:val="nil"/>
              <w:bottom w:val="single" w:sz="4" w:space="0" w:color="auto"/>
              <w:right w:val="single" w:sz="4" w:space="0" w:color="auto"/>
            </w:tcBorders>
            <w:noWrap/>
            <w:vAlign w:val="center"/>
            <w:hideMark/>
          </w:tcPr>
          <w:p w14:paraId="446F7216" w14:textId="77777777" w:rsidR="009A0A63" w:rsidRPr="00792B36" w:rsidRDefault="009A0A63" w:rsidP="00A24459">
            <w:pPr>
              <w:jc w:val="center"/>
              <w:rPr>
                <w:rFonts w:eastAsia="Times New Roman"/>
                <w:color w:val="000000"/>
                <w:sz w:val="24"/>
                <w:szCs w:val="24"/>
              </w:rPr>
            </w:pPr>
            <w:r w:rsidRPr="00792B36">
              <w:rPr>
                <w:color w:val="000000"/>
                <w:sz w:val="24"/>
                <w:szCs w:val="24"/>
              </w:rPr>
              <w:t>97.78</w:t>
            </w:r>
          </w:p>
        </w:tc>
        <w:tc>
          <w:tcPr>
            <w:tcW w:w="358" w:type="pct"/>
            <w:tcBorders>
              <w:top w:val="nil"/>
              <w:left w:val="nil"/>
              <w:bottom w:val="single" w:sz="4" w:space="0" w:color="auto"/>
              <w:right w:val="single" w:sz="4" w:space="0" w:color="auto"/>
            </w:tcBorders>
            <w:noWrap/>
            <w:vAlign w:val="center"/>
            <w:hideMark/>
          </w:tcPr>
          <w:p w14:paraId="02788CEA"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2.22</w:t>
            </w:r>
          </w:p>
        </w:tc>
        <w:tc>
          <w:tcPr>
            <w:tcW w:w="406" w:type="pct"/>
            <w:tcBorders>
              <w:top w:val="nil"/>
              <w:left w:val="nil"/>
              <w:bottom w:val="single" w:sz="4" w:space="0" w:color="auto"/>
              <w:right w:val="single" w:sz="4" w:space="0" w:color="auto"/>
            </w:tcBorders>
            <w:noWrap/>
            <w:vAlign w:val="center"/>
            <w:hideMark/>
          </w:tcPr>
          <w:p w14:paraId="65C29518"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0.04</w:t>
            </w:r>
          </w:p>
        </w:tc>
      </w:tr>
      <w:tr w:rsidR="009A0A63" w:rsidRPr="00792B36" w14:paraId="040ABC4A" w14:textId="77777777" w:rsidTr="00A24459">
        <w:trPr>
          <w:trHeight w:val="340"/>
        </w:trPr>
        <w:tc>
          <w:tcPr>
            <w:tcW w:w="694" w:type="pct"/>
            <w:tcBorders>
              <w:top w:val="single" w:sz="4" w:space="0" w:color="auto"/>
              <w:left w:val="single" w:sz="4" w:space="0" w:color="auto"/>
              <w:bottom w:val="single" w:sz="4" w:space="0" w:color="auto"/>
              <w:right w:val="single" w:sz="4" w:space="0" w:color="auto"/>
            </w:tcBorders>
            <w:vAlign w:val="center"/>
            <w:hideMark/>
          </w:tcPr>
          <w:p w14:paraId="1AD551DC" w14:textId="77777777" w:rsidR="009A0A63" w:rsidRPr="00792B36" w:rsidRDefault="009A0A63" w:rsidP="00A24459">
            <w:pPr>
              <w:rPr>
                <w:rFonts w:eastAsia="Times New Roman"/>
                <w:color w:val="000000"/>
                <w:sz w:val="24"/>
                <w:szCs w:val="24"/>
              </w:rPr>
            </w:pPr>
            <w:r w:rsidRPr="00792B36">
              <w:rPr>
                <w:rFonts w:eastAsia="Times New Roman"/>
                <w:color w:val="000000"/>
                <w:sz w:val="24"/>
                <w:szCs w:val="24"/>
              </w:rPr>
              <w:t>Bangkok</w:t>
            </w:r>
          </w:p>
        </w:tc>
        <w:tc>
          <w:tcPr>
            <w:tcW w:w="371" w:type="pct"/>
            <w:tcBorders>
              <w:top w:val="single" w:sz="4" w:space="0" w:color="auto"/>
              <w:left w:val="nil"/>
              <w:bottom w:val="single" w:sz="4" w:space="0" w:color="auto"/>
              <w:right w:val="single" w:sz="4" w:space="0" w:color="auto"/>
            </w:tcBorders>
            <w:noWrap/>
            <w:vAlign w:val="center"/>
            <w:hideMark/>
          </w:tcPr>
          <w:p w14:paraId="04B21781"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372,589</w:t>
            </w:r>
          </w:p>
        </w:tc>
        <w:tc>
          <w:tcPr>
            <w:tcW w:w="342" w:type="pct"/>
            <w:tcBorders>
              <w:top w:val="single" w:sz="4" w:space="0" w:color="auto"/>
              <w:left w:val="nil"/>
              <w:bottom w:val="single" w:sz="4" w:space="0" w:color="auto"/>
              <w:right w:val="single" w:sz="4" w:space="0" w:color="auto"/>
            </w:tcBorders>
            <w:noWrap/>
            <w:vAlign w:val="center"/>
            <w:hideMark/>
          </w:tcPr>
          <w:p w14:paraId="3F3C5447"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44,112</w:t>
            </w:r>
          </w:p>
        </w:tc>
        <w:tc>
          <w:tcPr>
            <w:tcW w:w="409" w:type="pct"/>
            <w:tcBorders>
              <w:top w:val="single" w:sz="4" w:space="0" w:color="auto"/>
              <w:left w:val="nil"/>
              <w:bottom w:val="single" w:sz="4" w:space="0" w:color="auto"/>
              <w:right w:val="single" w:sz="4" w:space="0" w:color="auto"/>
            </w:tcBorders>
            <w:noWrap/>
            <w:vAlign w:val="center"/>
            <w:hideMark/>
          </w:tcPr>
          <w:p w14:paraId="087A0C47"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-10.12</w:t>
            </w:r>
          </w:p>
        </w:tc>
        <w:tc>
          <w:tcPr>
            <w:tcW w:w="340" w:type="pct"/>
            <w:tcBorders>
              <w:top w:val="single" w:sz="4" w:space="0" w:color="auto"/>
              <w:left w:val="nil"/>
              <w:bottom w:val="single" w:sz="4" w:space="0" w:color="auto"/>
              <w:right w:val="single" w:sz="4" w:space="0" w:color="auto"/>
            </w:tcBorders>
            <w:noWrap/>
            <w:vAlign w:val="center"/>
            <w:hideMark/>
          </w:tcPr>
          <w:p w14:paraId="4D35A329"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0.62</w:t>
            </w:r>
          </w:p>
        </w:tc>
        <w:tc>
          <w:tcPr>
            <w:tcW w:w="454" w:type="pct"/>
            <w:tcBorders>
              <w:top w:val="single" w:sz="4" w:space="0" w:color="auto"/>
              <w:left w:val="nil"/>
              <w:bottom w:val="single" w:sz="4" w:space="0" w:color="auto"/>
              <w:right w:val="single" w:sz="4" w:space="0" w:color="auto"/>
            </w:tcBorders>
            <w:noWrap/>
            <w:vAlign w:val="center"/>
            <w:hideMark/>
          </w:tcPr>
          <w:p w14:paraId="1DC12B8C" w14:textId="77777777" w:rsidR="009A0A63" w:rsidRPr="00792B36" w:rsidRDefault="009A0A63" w:rsidP="00A24459">
            <w:pPr>
              <w:jc w:val="center"/>
              <w:rPr>
                <w:rFonts w:eastAsia="Times New Roman"/>
                <w:color w:val="000000"/>
                <w:sz w:val="24"/>
                <w:szCs w:val="24"/>
              </w:rPr>
            </w:pPr>
            <w:r w:rsidRPr="00792B36">
              <w:rPr>
                <w:color w:val="000000"/>
                <w:sz w:val="24"/>
                <w:szCs w:val="24"/>
              </w:rPr>
              <w:t>6,564.38</w:t>
            </w:r>
          </w:p>
        </w:tc>
        <w:tc>
          <w:tcPr>
            <w:tcW w:w="454" w:type="pct"/>
            <w:tcBorders>
              <w:top w:val="single" w:sz="4" w:space="0" w:color="auto"/>
              <w:left w:val="single" w:sz="4" w:space="0" w:color="auto"/>
              <w:bottom w:val="single" w:sz="4" w:space="0" w:color="auto"/>
              <w:right w:val="nil"/>
            </w:tcBorders>
            <w:noWrap/>
            <w:vAlign w:val="center"/>
            <w:hideMark/>
          </w:tcPr>
          <w:p w14:paraId="16B0508F" w14:textId="77777777" w:rsidR="009A0A63" w:rsidRPr="00792B36" w:rsidRDefault="009A0A63" w:rsidP="00A24459">
            <w:pPr>
              <w:jc w:val="center"/>
              <w:rPr>
                <w:rFonts w:eastAsia="Times New Roman"/>
                <w:color w:val="000000"/>
                <w:sz w:val="24"/>
                <w:szCs w:val="24"/>
              </w:rPr>
            </w:pPr>
            <w:r w:rsidRPr="00792B36">
              <w:rPr>
                <w:color w:val="000000"/>
                <w:sz w:val="24"/>
                <w:szCs w:val="24"/>
              </w:rPr>
              <w:t>9,670.83</w:t>
            </w:r>
          </w:p>
        </w:tc>
        <w:tc>
          <w:tcPr>
            <w:tcW w:w="405" w:type="pct"/>
            <w:tcBorders>
              <w:top w:val="single" w:sz="4" w:space="0" w:color="auto"/>
              <w:left w:val="single" w:sz="4" w:space="0" w:color="auto"/>
              <w:bottom w:val="single" w:sz="4" w:space="0" w:color="auto"/>
              <w:right w:val="single" w:sz="4" w:space="0" w:color="auto"/>
            </w:tcBorders>
            <w:noWrap/>
            <w:vAlign w:val="center"/>
            <w:hideMark/>
          </w:tcPr>
          <w:p w14:paraId="050F485B"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1.96</w:t>
            </w:r>
          </w:p>
        </w:tc>
        <w:tc>
          <w:tcPr>
            <w:tcW w:w="317" w:type="pct"/>
            <w:tcBorders>
              <w:top w:val="single" w:sz="4" w:space="0" w:color="auto"/>
              <w:left w:val="nil"/>
              <w:bottom w:val="single" w:sz="4" w:space="0" w:color="auto"/>
              <w:right w:val="single" w:sz="4" w:space="0" w:color="auto"/>
            </w:tcBorders>
            <w:noWrap/>
            <w:vAlign w:val="center"/>
            <w:hideMark/>
          </w:tcPr>
          <w:p w14:paraId="36578CB2"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0.64</w:t>
            </w:r>
          </w:p>
        </w:tc>
        <w:tc>
          <w:tcPr>
            <w:tcW w:w="451" w:type="pct"/>
            <w:tcBorders>
              <w:top w:val="single" w:sz="4" w:space="0" w:color="auto"/>
              <w:left w:val="nil"/>
              <w:bottom w:val="single" w:sz="4" w:space="0" w:color="auto"/>
              <w:right w:val="single" w:sz="4" w:space="0" w:color="auto"/>
            </w:tcBorders>
            <w:noWrap/>
            <w:vAlign w:val="center"/>
            <w:hideMark/>
          </w:tcPr>
          <w:p w14:paraId="57BD66FF" w14:textId="77777777" w:rsidR="009A0A63" w:rsidRPr="00792B36" w:rsidRDefault="009A0A63" w:rsidP="00A24459">
            <w:pPr>
              <w:jc w:val="center"/>
              <w:rPr>
                <w:rFonts w:eastAsia="Times New Roman"/>
                <w:color w:val="000000"/>
                <w:sz w:val="24"/>
                <w:szCs w:val="24"/>
              </w:rPr>
            </w:pPr>
            <w:r w:rsidRPr="00792B36">
              <w:rPr>
                <w:color w:val="000000"/>
                <w:sz w:val="24"/>
                <w:szCs w:val="24"/>
              </w:rPr>
              <w:t>88.65</w:t>
            </w:r>
          </w:p>
        </w:tc>
        <w:tc>
          <w:tcPr>
            <w:tcW w:w="358" w:type="pct"/>
            <w:tcBorders>
              <w:top w:val="single" w:sz="4" w:space="0" w:color="auto"/>
              <w:left w:val="nil"/>
              <w:bottom w:val="single" w:sz="4" w:space="0" w:color="auto"/>
              <w:right w:val="single" w:sz="4" w:space="0" w:color="auto"/>
            </w:tcBorders>
            <w:noWrap/>
            <w:vAlign w:val="center"/>
            <w:hideMark/>
          </w:tcPr>
          <w:p w14:paraId="182538C7"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11.35</w:t>
            </w:r>
          </w:p>
        </w:tc>
        <w:tc>
          <w:tcPr>
            <w:tcW w:w="406" w:type="pct"/>
            <w:tcBorders>
              <w:top w:val="single" w:sz="4" w:space="0" w:color="auto"/>
              <w:left w:val="nil"/>
              <w:bottom w:val="single" w:sz="4" w:space="0" w:color="auto"/>
              <w:right w:val="single" w:sz="4" w:space="0" w:color="auto"/>
            </w:tcBorders>
            <w:noWrap/>
            <w:vAlign w:val="center"/>
            <w:hideMark/>
          </w:tcPr>
          <w:p w14:paraId="66FFF299"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1.00</w:t>
            </w:r>
          </w:p>
        </w:tc>
      </w:tr>
    </w:tbl>
    <w:p w14:paraId="2AE61B28" w14:textId="77777777" w:rsidR="009A0A63" w:rsidRPr="00792B36" w:rsidRDefault="009A0A63" w:rsidP="009A0A63">
      <w:pPr>
        <w:spacing w:line="360" w:lineRule="auto"/>
        <w:rPr>
          <w:b/>
          <w:bCs/>
          <w:sz w:val="24"/>
          <w:szCs w:val="24"/>
        </w:rPr>
      </w:pPr>
    </w:p>
    <w:p w14:paraId="58AC90D1" w14:textId="77777777" w:rsidR="009A0A63" w:rsidRPr="00792B36" w:rsidRDefault="009A0A63" w:rsidP="009A0A63">
      <w:pPr>
        <w:spacing w:line="360" w:lineRule="auto"/>
        <w:rPr>
          <w:b/>
          <w:bCs/>
          <w:sz w:val="24"/>
          <w:szCs w:val="24"/>
        </w:rPr>
      </w:pPr>
      <w:r w:rsidRPr="00792B36">
        <w:rPr>
          <w:b/>
          <w:bCs/>
          <w:sz w:val="24"/>
          <w:szCs w:val="24"/>
        </w:rPr>
        <w:t>Annex 2.19</w:t>
      </w:r>
      <w:r w:rsidRPr="00792B36">
        <w:rPr>
          <w:b/>
          <w:bCs/>
          <w:sz w:val="24"/>
          <w:szCs w:val="24"/>
          <w:cs/>
        </w:rPr>
        <w:t xml:space="preserve"> </w:t>
      </w:r>
      <w:r w:rsidRPr="00792B36">
        <w:rPr>
          <w:sz w:val="24"/>
          <w:szCs w:val="24"/>
        </w:rPr>
        <w:t>Summary of Calculated Risk Indices and Provincial Rankings</w:t>
      </w:r>
    </w:p>
    <w:tbl>
      <w:tblPr>
        <w:tblW w:w="5000" w:type="pct"/>
        <w:tblLook w:val="04A0" w:firstRow="1" w:lastRow="0" w:firstColumn="1" w:lastColumn="0" w:noHBand="0" w:noVBand="1"/>
      </w:tblPr>
      <w:tblGrid>
        <w:gridCol w:w="1757"/>
        <w:gridCol w:w="770"/>
        <w:gridCol w:w="602"/>
        <w:gridCol w:w="602"/>
        <w:gridCol w:w="1081"/>
        <w:gridCol w:w="721"/>
        <w:gridCol w:w="1115"/>
        <w:gridCol w:w="1010"/>
        <w:gridCol w:w="1352"/>
      </w:tblGrid>
      <w:tr w:rsidR="009A0A63" w:rsidRPr="00792B36" w14:paraId="7BEEA33A" w14:textId="77777777" w:rsidTr="00A24459">
        <w:trPr>
          <w:trHeight w:val="340"/>
        </w:trPr>
        <w:tc>
          <w:tcPr>
            <w:tcW w:w="913" w:type="pct"/>
            <w:tcBorders>
              <w:top w:val="single" w:sz="4" w:space="0" w:color="auto"/>
              <w:left w:val="single" w:sz="4" w:space="0" w:color="auto"/>
              <w:bottom w:val="single" w:sz="4" w:space="0" w:color="auto"/>
              <w:right w:val="single" w:sz="4" w:space="0" w:color="auto"/>
            </w:tcBorders>
            <w:noWrap/>
            <w:vAlign w:val="center"/>
            <w:hideMark/>
          </w:tcPr>
          <w:p w14:paraId="6F3C801C" w14:textId="77777777" w:rsidR="009A0A63" w:rsidRPr="00792B36" w:rsidRDefault="009A0A63" w:rsidP="00A24459">
            <w:pPr>
              <w:jc w:val="center"/>
              <w:rPr>
                <w:rFonts w:eastAsia="Times New Roman"/>
                <w:b/>
                <w:bCs/>
                <w:color w:val="000000"/>
                <w:sz w:val="21"/>
                <w:szCs w:val="21"/>
              </w:rPr>
            </w:pPr>
            <w:r w:rsidRPr="00792B36">
              <w:rPr>
                <w:rFonts w:eastAsia="Times New Roman"/>
                <w:b/>
                <w:bCs/>
                <w:color w:val="000000"/>
                <w:sz w:val="21"/>
                <w:szCs w:val="21"/>
              </w:rPr>
              <w:t>Provinces</w:t>
            </w:r>
          </w:p>
        </w:tc>
        <w:tc>
          <w:tcPr>
            <w:tcW w:w="372" w:type="pct"/>
            <w:tcBorders>
              <w:top w:val="single" w:sz="4" w:space="0" w:color="auto"/>
              <w:left w:val="nil"/>
              <w:bottom w:val="single" w:sz="4" w:space="0" w:color="auto"/>
              <w:right w:val="single" w:sz="4" w:space="0" w:color="auto"/>
            </w:tcBorders>
            <w:noWrap/>
            <w:vAlign w:val="center"/>
            <w:hideMark/>
          </w:tcPr>
          <w:p w14:paraId="7F0B985F" w14:textId="77777777" w:rsidR="009A0A63" w:rsidRPr="00792B36" w:rsidRDefault="009A0A63" w:rsidP="00A24459">
            <w:pPr>
              <w:jc w:val="center"/>
              <w:rPr>
                <w:rFonts w:eastAsia="Times New Roman"/>
                <w:b/>
                <w:bCs/>
                <w:color w:val="000000"/>
                <w:sz w:val="21"/>
                <w:szCs w:val="21"/>
              </w:rPr>
            </w:pPr>
            <w:r w:rsidRPr="00792B36">
              <w:rPr>
                <w:rFonts w:eastAsia="Times New Roman"/>
                <w:b/>
                <w:bCs/>
                <w:color w:val="000000"/>
                <w:sz w:val="21"/>
                <w:szCs w:val="21"/>
              </w:rPr>
              <w:t>Score</w:t>
            </w:r>
            <w:r w:rsidRPr="00792B36">
              <w:rPr>
                <w:rFonts w:eastAsia="Times New Roman"/>
                <w:b/>
                <w:bCs/>
                <w:color w:val="000000"/>
                <w:sz w:val="21"/>
                <w:szCs w:val="21"/>
                <w:vertAlign w:val="subscript"/>
              </w:rPr>
              <w:t>P1</w:t>
            </w:r>
          </w:p>
        </w:tc>
        <w:tc>
          <w:tcPr>
            <w:tcW w:w="362" w:type="pct"/>
            <w:tcBorders>
              <w:top w:val="single" w:sz="4" w:space="0" w:color="auto"/>
              <w:left w:val="nil"/>
              <w:bottom w:val="single" w:sz="4" w:space="0" w:color="auto"/>
              <w:right w:val="single" w:sz="4" w:space="0" w:color="auto"/>
            </w:tcBorders>
            <w:noWrap/>
            <w:vAlign w:val="center"/>
            <w:hideMark/>
          </w:tcPr>
          <w:p w14:paraId="7AE16B6B" w14:textId="77777777" w:rsidR="009A0A63" w:rsidRPr="00792B36" w:rsidRDefault="009A0A63" w:rsidP="00A24459">
            <w:pPr>
              <w:jc w:val="center"/>
              <w:rPr>
                <w:rFonts w:eastAsia="Times New Roman"/>
                <w:b/>
                <w:bCs/>
                <w:color w:val="000000"/>
                <w:sz w:val="21"/>
                <w:szCs w:val="21"/>
              </w:rPr>
            </w:pPr>
            <w:r w:rsidRPr="00792B36">
              <w:rPr>
                <w:rFonts w:eastAsia="Times New Roman"/>
                <w:b/>
                <w:bCs/>
                <w:color w:val="000000"/>
                <w:sz w:val="21"/>
                <w:szCs w:val="21"/>
              </w:rPr>
              <w:t>PI</w:t>
            </w:r>
          </w:p>
        </w:tc>
        <w:tc>
          <w:tcPr>
            <w:tcW w:w="445" w:type="pct"/>
            <w:tcBorders>
              <w:top w:val="single" w:sz="4" w:space="0" w:color="auto"/>
              <w:left w:val="nil"/>
              <w:bottom w:val="single" w:sz="4" w:space="0" w:color="auto"/>
              <w:right w:val="single" w:sz="4" w:space="0" w:color="auto"/>
            </w:tcBorders>
            <w:noWrap/>
            <w:vAlign w:val="center"/>
            <w:hideMark/>
          </w:tcPr>
          <w:p w14:paraId="34E2F244" w14:textId="77777777" w:rsidR="009A0A63" w:rsidRPr="00792B36" w:rsidRDefault="009A0A63" w:rsidP="00A24459">
            <w:pPr>
              <w:jc w:val="center"/>
              <w:rPr>
                <w:rFonts w:eastAsia="Times New Roman"/>
                <w:b/>
                <w:bCs/>
                <w:color w:val="000000"/>
                <w:sz w:val="21"/>
                <w:szCs w:val="21"/>
              </w:rPr>
            </w:pPr>
            <w:r w:rsidRPr="00792B36">
              <w:rPr>
                <w:rFonts w:eastAsia="Times New Roman"/>
                <w:b/>
                <w:bCs/>
                <w:color w:val="000000"/>
                <w:sz w:val="21"/>
                <w:szCs w:val="21"/>
              </w:rPr>
              <w:t>VI</w:t>
            </w:r>
          </w:p>
        </w:tc>
        <w:tc>
          <w:tcPr>
            <w:tcW w:w="660" w:type="pct"/>
            <w:tcBorders>
              <w:top w:val="single" w:sz="4" w:space="0" w:color="auto"/>
              <w:left w:val="nil"/>
              <w:bottom w:val="single" w:sz="4" w:space="0" w:color="auto"/>
              <w:right w:val="single" w:sz="4" w:space="0" w:color="auto"/>
            </w:tcBorders>
            <w:noWrap/>
            <w:vAlign w:val="center"/>
            <w:hideMark/>
          </w:tcPr>
          <w:p w14:paraId="0174E111" w14:textId="77777777" w:rsidR="009A0A63" w:rsidRPr="00792B36" w:rsidRDefault="009A0A63" w:rsidP="00A24459">
            <w:pPr>
              <w:jc w:val="center"/>
              <w:rPr>
                <w:rFonts w:eastAsia="Times New Roman"/>
                <w:b/>
                <w:bCs/>
                <w:color w:val="000000"/>
                <w:sz w:val="21"/>
                <w:szCs w:val="21"/>
              </w:rPr>
            </w:pPr>
            <w:r w:rsidRPr="00792B36">
              <w:rPr>
                <w:rFonts w:eastAsia="Times New Roman"/>
                <w:b/>
                <w:bCs/>
                <w:color w:val="000000"/>
                <w:sz w:val="21"/>
                <w:szCs w:val="21"/>
              </w:rPr>
              <w:t>CRI</w:t>
            </w:r>
            <w:r w:rsidRPr="00792B36">
              <w:rPr>
                <w:rFonts w:eastAsia="Times New Roman"/>
                <w:b/>
                <w:bCs/>
                <w:color w:val="000000"/>
                <w:sz w:val="21"/>
                <w:szCs w:val="21"/>
                <w:vertAlign w:val="subscript"/>
              </w:rPr>
              <w:t>UnWeighted</w:t>
            </w:r>
          </w:p>
        </w:tc>
        <w:tc>
          <w:tcPr>
            <w:tcW w:w="393" w:type="pct"/>
            <w:tcBorders>
              <w:top w:val="single" w:sz="4" w:space="0" w:color="auto"/>
              <w:left w:val="nil"/>
              <w:bottom w:val="single" w:sz="4" w:space="0" w:color="auto"/>
              <w:right w:val="single" w:sz="4" w:space="0" w:color="auto"/>
            </w:tcBorders>
            <w:noWrap/>
            <w:vAlign w:val="center"/>
            <w:hideMark/>
          </w:tcPr>
          <w:p w14:paraId="7BEAEBCA" w14:textId="77777777" w:rsidR="009A0A63" w:rsidRPr="00792B36" w:rsidRDefault="009A0A63" w:rsidP="00A24459">
            <w:pPr>
              <w:jc w:val="center"/>
              <w:rPr>
                <w:rFonts w:eastAsia="Times New Roman"/>
                <w:b/>
                <w:bCs/>
                <w:color w:val="000000"/>
                <w:sz w:val="21"/>
                <w:szCs w:val="21"/>
              </w:rPr>
            </w:pPr>
            <w:r w:rsidRPr="00792B36">
              <w:rPr>
                <w:rFonts w:eastAsia="Times New Roman"/>
                <w:b/>
                <w:bCs/>
                <w:color w:val="000000"/>
                <w:sz w:val="21"/>
                <w:szCs w:val="21"/>
              </w:rPr>
              <w:t>CRI</w:t>
            </w:r>
            <w:r w:rsidRPr="00792B36">
              <w:rPr>
                <w:rFonts w:eastAsia="Times New Roman"/>
                <w:b/>
                <w:bCs/>
                <w:color w:val="000000"/>
                <w:sz w:val="21"/>
                <w:szCs w:val="21"/>
                <w:vertAlign w:val="subscript"/>
              </w:rPr>
              <w:t>Final</w:t>
            </w:r>
          </w:p>
        </w:tc>
        <w:tc>
          <w:tcPr>
            <w:tcW w:w="484" w:type="pct"/>
            <w:tcBorders>
              <w:top w:val="single" w:sz="4" w:space="0" w:color="auto"/>
              <w:left w:val="nil"/>
              <w:bottom w:val="single" w:sz="4" w:space="0" w:color="auto"/>
              <w:right w:val="single" w:sz="4" w:space="0" w:color="auto"/>
            </w:tcBorders>
            <w:noWrap/>
            <w:vAlign w:val="center"/>
            <w:hideMark/>
          </w:tcPr>
          <w:p w14:paraId="7E64A170" w14:textId="77777777" w:rsidR="009A0A63" w:rsidRPr="00792B36" w:rsidRDefault="009A0A63" w:rsidP="00A24459">
            <w:pPr>
              <w:jc w:val="center"/>
              <w:rPr>
                <w:rFonts w:eastAsia="Times New Roman"/>
                <w:b/>
                <w:bCs/>
                <w:color w:val="000000"/>
                <w:sz w:val="21"/>
                <w:szCs w:val="21"/>
              </w:rPr>
            </w:pPr>
            <w:r w:rsidRPr="00792B36">
              <w:rPr>
                <w:rFonts w:eastAsia="Times New Roman"/>
                <w:b/>
                <w:bCs/>
                <w:color w:val="000000"/>
                <w:sz w:val="21"/>
                <w:szCs w:val="21"/>
              </w:rPr>
              <w:t>Area Weight</w:t>
            </w:r>
          </w:p>
        </w:tc>
        <w:tc>
          <w:tcPr>
            <w:tcW w:w="559" w:type="pct"/>
            <w:tcBorders>
              <w:top w:val="single" w:sz="4" w:space="0" w:color="auto"/>
              <w:left w:val="nil"/>
              <w:bottom w:val="single" w:sz="4" w:space="0" w:color="auto"/>
              <w:right w:val="single" w:sz="4" w:space="0" w:color="auto"/>
            </w:tcBorders>
            <w:noWrap/>
            <w:vAlign w:val="center"/>
            <w:hideMark/>
          </w:tcPr>
          <w:p w14:paraId="7592310F" w14:textId="77777777" w:rsidR="009A0A63" w:rsidRPr="00792B36" w:rsidRDefault="009A0A63" w:rsidP="00A24459">
            <w:pPr>
              <w:jc w:val="center"/>
              <w:rPr>
                <w:rFonts w:eastAsia="Times New Roman"/>
                <w:b/>
                <w:bCs/>
                <w:color w:val="000000"/>
                <w:sz w:val="21"/>
                <w:szCs w:val="21"/>
              </w:rPr>
            </w:pPr>
            <w:r w:rsidRPr="00792B36">
              <w:rPr>
                <w:rFonts w:eastAsia="Times New Roman"/>
                <w:b/>
                <w:bCs/>
                <w:color w:val="000000"/>
                <w:sz w:val="21"/>
                <w:szCs w:val="21"/>
              </w:rPr>
              <w:t>Rank</w:t>
            </w:r>
            <w:r w:rsidRPr="00792B36">
              <w:rPr>
                <w:rFonts w:eastAsia="Times New Roman"/>
                <w:b/>
                <w:bCs/>
                <w:color w:val="000000"/>
                <w:sz w:val="21"/>
                <w:szCs w:val="21"/>
                <w:vertAlign w:val="subscript"/>
              </w:rPr>
              <w:t>CRIFinal</w:t>
            </w:r>
          </w:p>
        </w:tc>
        <w:tc>
          <w:tcPr>
            <w:tcW w:w="812" w:type="pct"/>
            <w:tcBorders>
              <w:top w:val="single" w:sz="4" w:space="0" w:color="auto"/>
              <w:left w:val="nil"/>
              <w:bottom w:val="single" w:sz="4" w:space="0" w:color="auto"/>
              <w:right w:val="single" w:sz="4" w:space="0" w:color="auto"/>
            </w:tcBorders>
            <w:noWrap/>
            <w:vAlign w:val="center"/>
            <w:hideMark/>
          </w:tcPr>
          <w:p w14:paraId="0470F188" w14:textId="77777777" w:rsidR="009A0A63" w:rsidRPr="00792B36" w:rsidRDefault="009A0A63" w:rsidP="00A24459">
            <w:pPr>
              <w:jc w:val="center"/>
              <w:rPr>
                <w:rFonts w:eastAsia="Times New Roman"/>
                <w:b/>
                <w:bCs/>
                <w:color w:val="000000"/>
                <w:sz w:val="21"/>
                <w:szCs w:val="21"/>
              </w:rPr>
            </w:pPr>
            <w:r w:rsidRPr="00792B36">
              <w:rPr>
                <w:rFonts w:eastAsia="Times New Roman"/>
                <w:b/>
                <w:bCs/>
                <w:color w:val="000000"/>
                <w:sz w:val="21"/>
                <w:szCs w:val="21"/>
              </w:rPr>
              <w:t>Rank</w:t>
            </w:r>
            <w:r w:rsidRPr="00792B36">
              <w:rPr>
                <w:rFonts w:eastAsia="Times New Roman"/>
                <w:b/>
                <w:bCs/>
                <w:color w:val="000000"/>
                <w:sz w:val="21"/>
                <w:szCs w:val="21"/>
                <w:vertAlign w:val="subscript"/>
              </w:rPr>
              <w:t>CRIUnweighted</w:t>
            </w:r>
          </w:p>
        </w:tc>
      </w:tr>
      <w:tr w:rsidR="009A0A63" w:rsidRPr="00792B36" w14:paraId="6B5FC70C" w14:textId="77777777" w:rsidTr="00A24459">
        <w:trPr>
          <w:trHeight w:val="340"/>
        </w:trPr>
        <w:tc>
          <w:tcPr>
            <w:tcW w:w="913" w:type="pct"/>
            <w:tcBorders>
              <w:top w:val="nil"/>
              <w:left w:val="single" w:sz="4" w:space="0" w:color="auto"/>
              <w:bottom w:val="single" w:sz="4" w:space="0" w:color="auto"/>
              <w:right w:val="single" w:sz="4" w:space="0" w:color="auto"/>
            </w:tcBorders>
            <w:noWrap/>
            <w:vAlign w:val="center"/>
            <w:hideMark/>
          </w:tcPr>
          <w:p w14:paraId="0CF8EA73" w14:textId="77777777" w:rsidR="009A0A63" w:rsidRPr="00792B36" w:rsidRDefault="009A0A63" w:rsidP="00A24459">
            <w:pPr>
              <w:rPr>
                <w:rFonts w:eastAsia="Times New Roman"/>
                <w:color w:val="000000"/>
                <w:sz w:val="21"/>
                <w:szCs w:val="21"/>
              </w:rPr>
            </w:pPr>
            <w:r w:rsidRPr="00792B36">
              <w:rPr>
                <w:rFonts w:eastAsia="Times New Roman"/>
                <w:color w:val="000000"/>
                <w:sz w:val="21"/>
                <w:szCs w:val="21"/>
              </w:rPr>
              <w:t>Rayong</w:t>
            </w:r>
          </w:p>
        </w:tc>
        <w:tc>
          <w:tcPr>
            <w:tcW w:w="372" w:type="pct"/>
            <w:tcBorders>
              <w:top w:val="nil"/>
              <w:left w:val="nil"/>
              <w:bottom w:val="single" w:sz="4" w:space="0" w:color="auto"/>
              <w:right w:val="single" w:sz="4" w:space="0" w:color="auto"/>
            </w:tcBorders>
            <w:noWrap/>
            <w:vAlign w:val="center"/>
            <w:hideMark/>
          </w:tcPr>
          <w:p w14:paraId="4446F35A" w14:textId="77777777" w:rsidR="009A0A63" w:rsidRPr="00792B36" w:rsidRDefault="009A0A63" w:rsidP="00A24459">
            <w:pPr>
              <w:jc w:val="center"/>
              <w:rPr>
                <w:rFonts w:eastAsia="Times New Roman"/>
                <w:color w:val="000000"/>
                <w:sz w:val="21"/>
                <w:szCs w:val="21"/>
              </w:rPr>
            </w:pPr>
            <w:r w:rsidRPr="00792B36">
              <w:rPr>
                <w:rFonts w:eastAsia="Times New Roman"/>
                <w:color w:val="000000"/>
                <w:sz w:val="21"/>
                <w:szCs w:val="21"/>
              </w:rPr>
              <w:t>0.968</w:t>
            </w:r>
          </w:p>
        </w:tc>
        <w:tc>
          <w:tcPr>
            <w:tcW w:w="362" w:type="pct"/>
            <w:tcBorders>
              <w:top w:val="nil"/>
              <w:left w:val="nil"/>
              <w:bottom w:val="single" w:sz="4" w:space="0" w:color="auto"/>
              <w:right w:val="single" w:sz="4" w:space="0" w:color="auto"/>
            </w:tcBorders>
            <w:noWrap/>
            <w:vAlign w:val="center"/>
            <w:hideMark/>
          </w:tcPr>
          <w:p w14:paraId="70F298A9" w14:textId="77777777" w:rsidR="009A0A63" w:rsidRPr="00792B36" w:rsidRDefault="009A0A63" w:rsidP="00A24459">
            <w:pPr>
              <w:jc w:val="center"/>
              <w:rPr>
                <w:rFonts w:eastAsia="Times New Roman"/>
                <w:color w:val="000000"/>
                <w:sz w:val="21"/>
                <w:szCs w:val="21"/>
              </w:rPr>
            </w:pPr>
            <w:r w:rsidRPr="00792B36">
              <w:rPr>
                <w:rFonts w:eastAsia="Times New Roman"/>
                <w:color w:val="000000"/>
                <w:sz w:val="21"/>
                <w:szCs w:val="21"/>
              </w:rPr>
              <w:t>0.425</w:t>
            </w:r>
          </w:p>
        </w:tc>
        <w:tc>
          <w:tcPr>
            <w:tcW w:w="445" w:type="pct"/>
            <w:tcBorders>
              <w:top w:val="nil"/>
              <w:left w:val="nil"/>
              <w:bottom w:val="single" w:sz="4" w:space="0" w:color="auto"/>
              <w:right w:val="single" w:sz="4" w:space="0" w:color="auto"/>
            </w:tcBorders>
            <w:noWrap/>
            <w:vAlign w:val="center"/>
            <w:hideMark/>
          </w:tcPr>
          <w:p w14:paraId="25D78AD9" w14:textId="77777777" w:rsidR="009A0A63" w:rsidRPr="00792B36" w:rsidRDefault="009A0A63" w:rsidP="00A24459">
            <w:pPr>
              <w:jc w:val="center"/>
              <w:rPr>
                <w:rFonts w:eastAsia="Times New Roman"/>
                <w:color w:val="000000"/>
                <w:sz w:val="21"/>
                <w:szCs w:val="21"/>
              </w:rPr>
            </w:pPr>
            <w:r w:rsidRPr="00792B36">
              <w:rPr>
                <w:rFonts w:eastAsia="Times New Roman"/>
                <w:color w:val="000000"/>
                <w:sz w:val="21"/>
                <w:szCs w:val="21"/>
              </w:rPr>
              <w:t>0.098</w:t>
            </w:r>
          </w:p>
        </w:tc>
        <w:tc>
          <w:tcPr>
            <w:tcW w:w="660" w:type="pct"/>
            <w:tcBorders>
              <w:top w:val="nil"/>
              <w:left w:val="nil"/>
              <w:bottom w:val="single" w:sz="4" w:space="0" w:color="auto"/>
              <w:right w:val="single" w:sz="4" w:space="0" w:color="auto"/>
            </w:tcBorders>
            <w:noWrap/>
            <w:vAlign w:val="center"/>
            <w:hideMark/>
          </w:tcPr>
          <w:p w14:paraId="58F67F9F" w14:textId="77777777" w:rsidR="009A0A63" w:rsidRPr="00792B36" w:rsidRDefault="009A0A63" w:rsidP="00A24459">
            <w:pPr>
              <w:jc w:val="center"/>
              <w:rPr>
                <w:rFonts w:eastAsia="Times New Roman"/>
                <w:color w:val="000000"/>
                <w:sz w:val="21"/>
                <w:szCs w:val="21"/>
              </w:rPr>
            </w:pPr>
            <w:r w:rsidRPr="00792B36">
              <w:rPr>
                <w:rFonts w:eastAsia="Times New Roman"/>
                <w:color w:val="000000"/>
                <w:sz w:val="21"/>
                <w:szCs w:val="21"/>
              </w:rPr>
              <w:t>0.261</w:t>
            </w:r>
          </w:p>
        </w:tc>
        <w:tc>
          <w:tcPr>
            <w:tcW w:w="393" w:type="pct"/>
            <w:tcBorders>
              <w:top w:val="nil"/>
              <w:left w:val="nil"/>
              <w:bottom w:val="single" w:sz="4" w:space="0" w:color="auto"/>
              <w:right w:val="single" w:sz="4" w:space="0" w:color="auto"/>
            </w:tcBorders>
            <w:noWrap/>
            <w:vAlign w:val="center"/>
            <w:hideMark/>
          </w:tcPr>
          <w:p w14:paraId="038AD9F9" w14:textId="77777777" w:rsidR="009A0A63" w:rsidRPr="00792B36" w:rsidRDefault="009A0A63" w:rsidP="00A24459">
            <w:pPr>
              <w:jc w:val="center"/>
              <w:rPr>
                <w:rFonts w:eastAsia="Times New Roman"/>
                <w:color w:val="000000"/>
                <w:sz w:val="21"/>
                <w:szCs w:val="21"/>
              </w:rPr>
            </w:pPr>
            <w:r w:rsidRPr="00792B36">
              <w:rPr>
                <w:rFonts w:eastAsia="Times New Roman"/>
                <w:color w:val="000000"/>
                <w:sz w:val="21"/>
                <w:szCs w:val="21"/>
              </w:rPr>
              <w:t>0.011</w:t>
            </w:r>
          </w:p>
        </w:tc>
        <w:tc>
          <w:tcPr>
            <w:tcW w:w="484" w:type="pct"/>
            <w:tcBorders>
              <w:top w:val="nil"/>
              <w:left w:val="nil"/>
              <w:bottom w:val="single" w:sz="4" w:space="0" w:color="auto"/>
              <w:right w:val="single" w:sz="4" w:space="0" w:color="auto"/>
            </w:tcBorders>
            <w:noWrap/>
            <w:vAlign w:val="center"/>
            <w:hideMark/>
          </w:tcPr>
          <w:p w14:paraId="00D8C575" w14:textId="77777777" w:rsidR="009A0A63" w:rsidRPr="00792B36" w:rsidRDefault="009A0A63" w:rsidP="00A24459">
            <w:pPr>
              <w:jc w:val="center"/>
              <w:rPr>
                <w:rFonts w:eastAsia="Times New Roman"/>
                <w:color w:val="000000"/>
                <w:sz w:val="21"/>
                <w:szCs w:val="21"/>
              </w:rPr>
            </w:pPr>
            <w:r w:rsidRPr="00792B36">
              <w:rPr>
                <w:rFonts w:eastAsia="Times New Roman"/>
                <w:color w:val="000000"/>
                <w:sz w:val="21"/>
                <w:szCs w:val="21"/>
              </w:rPr>
              <w:t>0.044</w:t>
            </w:r>
          </w:p>
        </w:tc>
        <w:tc>
          <w:tcPr>
            <w:tcW w:w="559" w:type="pct"/>
            <w:tcBorders>
              <w:top w:val="nil"/>
              <w:left w:val="nil"/>
              <w:bottom w:val="single" w:sz="4" w:space="0" w:color="auto"/>
              <w:right w:val="single" w:sz="4" w:space="0" w:color="auto"/>
            </w:tcBorders>
            <w:noWrap/>
            <w:vAlign w:val="center"/>
            <w:hideMark/>
          </w:tcPr>
          <w:p w14:paraId="171BBC20" w14:textId="77777777" w:rsidR="009A0A63" w:rsidRPr="00792B36" w:rsidRDefault="009A0A63" w:rsidP="00A24459">
            <w:pPr>
              <w:jc w:val="center"/>
              <w:rPr>
                <w:rFonts w:eastAsia="Times New Roman"/>
                <w:color w:val="000000"/>
                <w:sz w:val="21"/>
                <w:szCs w:val="21"/>
              </w:rPr>
            </w:pPr>
            <w:r w:rsidRPr="00792B36">
              <w:rPr>
                <w:rFonts w:eastAsia="Times New Roman"/>
                <w:color w:val="000000"/>
                <w:sz w:val="21"/>
                <w:szCs w:val="21"/>
              </w:rPr>
              <w:t>12</w:t>
            </w:r>
          </w:p>
        </w:tc>
        <w:tc>
          <w:tcPr>
            <w:tcW w:w="812" w:type="pct"/>
            <w:tcBorders>
              <w:top w:val="nil"/>
              <w:left w:val="nil"/>
              <w:bottom w:val="single" w:sz="4" w:space="0" w:color="auto"/>
              <w:right w:val="single" w:sz="4" w:space="0" w:color="auto"/>
            </w:tcBorders>
            <w:noWrap/>
            <w:vAlign w:val="center"/>
            <w:hideMark/>
          </w:tcPr>
          <w:p w14:paraId="1E0CC7F5" w14:textId="77777777" w:rsidR="009A0A63" w:rsidRPr="00792B36" w:rsidRDefault="009A0A63" w:rsidP="00A24459">
            <w:pPr>
              <w:jc w:val="center"/>
              <w:rPr>
                <w:rFonts w:eastAsia="Times New Roman"/>
                <w:color w:val="000000"/>
                <w:sz w:val="21"/>
                <w:szCs w:val="21"/>
              </w:rPr>
            </w:pPr>
            <w:r w:rsidRPr="00792B36">
              <w:rPr>
                <w:rFonts w:eastAsia="Times New Roman"/>
                <w:color w:val="000000"/>
                <w:sz w:val="21"/>
                <w:szCs w:val="21"/>
              </w:rPr>
              <w:t>17</w:t>
            </w:r>
          </w:p>
        </w:tc>
      </w:tr>
      <w:tr w:rsidR="009A0A63" w:rsidRPr="00792B36" w14:paraId="4A8DF033" w14:textId="77777777" w:rsidTr="00A24459">
        <w:trPr>
          <w:trHeight w:val="340"/>
        </w:trPr>
        <w:tc>
          <w:tcPr>
            <w:tcW w:w="913" w:type="pct"/>
            <w:tcBorders>
              <w:top w:val="nil"/>
              <w:left w:val="single" w:sz="4" w:space="0" w:color="auto"/>
              <w:bottom w:val="single" w:sz="4" w:space="0" w:color="auto"/>
              <w:right w:val="single" w:sz="4" w:space="0" w:color="auto"/>
            </w:tcBorders>
            <w:noWrap/>
            <w:vAlign w:val="center"/>
            <w:hideMark/>
          </w:tcPr>
          <w:p w14:paraId="54641307" w14:textId="77777777" w:rsidR="009A0A63" w:rsidRPr="00792B36" w:rsidRDefault="009A0A63" w:rsidP="00A24459">
            <w:pPr>
              <w:rPr>
                <w:rFonts w:eastAsia="Times New Roman"/>
                <w:color w:val="000000"/>
                <w:sz w:val="21"/>
                <w:szCs w:val="21"/>
              </w:rPr>
            </w:pPr>
            <w:r w:rsidRPr="00792B36">
              <w:rPr>
                <w:rFonts w:eastAsia="Times New Roman"/>
                <w:color w:val="000000"/>
                <w:sz w:val="21"/>
                <w:szCs w:val="21"/>
              </w:rPr>
              <w:t>Chanthaburi</w:t>
            </w:r>
          </w:p>
        </w:tc>
        <w:tc>
          <w:tcPr>
            <w:tcW w:w="372" w:type="pct"/>
            <w:tcBorders>
              <w:top w:val="nil"/>
              <w:left w:val="nil"/>
              <w:bottom w:val="single" w:sz="4" w:space="0" w:color="auto"/>
              <w:right w:val="single" w:sz="4" w:space="0" w:color="auto"/>
            </w:tcBorders>
            <w:noWrap/>
            <w:vAlign w:val="center"/>
            <w:hideMark/>
          </w:tcPr>
          <w:p w14:paraId="1E3AD8C6" w14:textId="77777777" w:rsidR="009A0A63" w:rsidRPr="00792B36" w:rsidRDefault="009A0A63" w:rsidP="00A24459">
            <w:pPr>
              <w:jc w:val="center"/>
              <w:rPr>
                <w:rFonts w:eastAsia="Times New Roman"/>
                <w:color w:val="000000"/>
                <w:sz w:val="21"/>
                <w:szCs w:val="21"/>
              </w:rPr>
            </w:pPr>
            <w:r w:rsidRPr="00792B36">
              <w:rPr>
                <w:rFonts w:eastAsia="Times New Roman"/>
                <w:color w:val="000000"/>
                <w:sz w:val="21"/>
                <w:szCs w:val="21"/>
              </w:rPr>
              <w:t>0.236</w:t>
            </w:r>
          </w:p>
        </w:tc>
        <w:tc>
          <w:tcPr>
            <w:tcW w:w="362" w:type="pct"/>
            <w:tcBorders>
              <w:top w:val="nil"/>
              <w:left w:val="nil"/>
              <w:bottom w:val="single" w:sz="4" w:space="0" w:color="auto"/>
              <w:right w:val="single" w:sz="4" w:space="0" w:color="auto"/>
            </w:tcBorders>
            <w:noWrap/>
            <w:vAlign w:val="center"/>
            <w:hideMark/>
          </w:tcPr>
          <w:p w14:paraId="529AE69D" w14:textId="77777777" w:rsidR="009A0A63" w:rsidRPr="00792B36" w:rsidRDefault="009A0A63" w:rsidP="00A24459">
            <w:pPr>
              <w:jc w:val="center"/>
              <w:rPr>
                <w:rFonts w:eastAsia="Times New Roman"/>
                <w:color w:val="000000"/>
                <w:sz w:val="21"/>
                <w:szCs w:val="21"/>
              </w:rPr>
            </w:pPr>
            <w:r w:rsidRPr="00792B36">
              <w:rPr>
                <w:rFonts w:eastAsia="Times New Roman"/>
                <w:color w:val="000000"/>
                <w:sz w:val="21"/>
                <w:szCs w:val="21"/>
              </w:rPr>
              <w:t>0.249</w:t>
            </w:r>
          </w:p>
        </w:tc>
        <w:tc>
          <w:tcPr>
            <w:tcW w:w="445" w:type="pct"/>
            <w:tcBorders>
              <w:top w:val="nil"/>
              <w:left w:val="nil"/>
              <w:bottom w:val="single" w:sz="4" w:space="0" w:color="auto"/>
              <w:right w:val="single" w:sz="4" w:space="0" w:color="auto"/>
            </w:tcBorders>
            <w:noWrap/>
            <w:vAlign w:val="center"/>
            <w:hideMark/>
          </w:tcPr>
          <w:p w14:paraId="1B8E0834" w14:textId="77777777" w:rsidR="009A0A63" w:rsidRPr="00792B36" w:rsidRDefault="009A0A63" w:rsidP="00A24459">
            <w:pPr>
              <w:jc w:val="center"/>
              <w:rPr>
                <w:rFonts w:eastAsia="Times New Roman"/>
                <w:color w:val="000000"/>
                <w:sz w:val="21"/>
                <w:szCs w:val="21"/>
              </w:rPr>
            </w:pPr>
            <w:r w:rsidRPr="00792B36">
              <w:rPr>
                <w:rFonts w:eastAsia="Times New Roman"/>
                <w:color w:val="000000"/>
                <w:sz w:val="21"/>
                <w:szCs w:val="21"/>
              </w:rPr>
              <w:t>0.378</w:t>
            </w:r>
          </w:p>
        </w:tc>
        <w:tc>
          <w:tcPr>
            <w:tcW w:w="660" w:type="pct"/>
            <w:tcBorders>
              <w:top w:val="nil"/>
              <w:left w:val="nil"/>
              <w:bottom w:val="single" w:sz="4" w:space="0" w:color="auto"/>
              <w:right w:val="single" w:sz="4" w:space="0" w:color="auto"/>
            </w:tcBorders>
            <w:noWrap/>
            <w:vAlign w:val="center"/>
            <w:hideMark/>
          </w:tcPr>
          <w:p w14:paraId="32DD6D56" w14:textId="77777777" w:rsidR="009A0A63" w:rsidRPr="00792B36" w:rsidRDefault="009A0A63" w:rsidP="00A24459">
            <w:pPr>
              <w:jc w:val="center"/>
              <w:rPr>
                <w:rFonts w:eastAsia="Times New Roman"/>
                <w:color w:val="000000"/>
                <w:sz w:val="21"/>
                <w:szCs w:val="21"/>
              </w:rPr>
            </w:pPr>
            <w:r w:rsidRPr="00792B36">
              <w:rPr>
                <w:rFonts w:eastAsia="Times New Roman"/>
                <w:color w:val="000000"/>
                <w:sz w:val="21"/>
                <w:szCs w:val="21"/>
              </w:rPr>
              <w:t>0.314</w:t>
            </w:r>
          </w:p>
        </w:tc>
        <w:tc>
          <w:tcPr>
            <w:tcW w:w="393" w:type="pct"/>
            <w:tcBorders>
              <w:top w:val="nil"/>
              <w:left w:val="nil"/>
              <w:bottom w:val="single" w:sz="4" w:space="0" w:color="auto"/>
              <w:right w:val="single" w:sz="4" w:space="0" w:color="auto"/>
            </w:tcBorders>
            <w:noWrap/>
            <w:vAlign w:val="center"/>
            <w:hideMark/>
          </w:tcPr>
          <w:p w14:paraId="73B849CA" w14:textId="77777777" w:rsidR="009A0A63" w:rsidRPr="00792B36" w:rsidRDefault="009A0A63" w:rsidP="00A24459">
            <w:pPr>
              <w:jc w:val="center"/>
              <w:rPr>
                <w:rFonts w:eastAsia="Times New Roman"/>
                <w:color w:val="000000"/>
                <w:sz w:val="21"/>
                <w:szCs w:val="21"/>
              </w:rPr>
            </w:pPr>
            <w:r w:rsidRPr="00792B36">
              <w:rPr>
                <w:rFonts w:eastAsia="Times New Roman"/>
                <w:color w:val="000000"/>
                <w:sz w:val="21"/>
                <w:szCs w:val="21"/>
              </w:rPr>
              <w:t>0.024</w:t>
            </w:r>
          </w:p>
        </w:tc>
        <w:tc>
          <w:tcPr>
            <w:tcW w:w="484" w:type="pct"/>
            <w:tcBorders>
              <w:top w:val="nil"/>
              <w:left w:val="nil"/>
              <w:bottom w:val="single" w:sz="4" w:space="0" w:color="auto"/>
              <w:right w:val="single" w:sz="4" w:space="0" w:color="auto"/>
            </w:tcBorders>
            <w:noWrap/>
            <w:vAlign w:val="center"/>
            <w:hideMark/>
          </w:tcPr>
          <w:p w14:paraId="7FF3CA82" w14:textId="77777777" w:rsidR="009A0A63" w:rsidRPr="00792B36" w:rsidRDefault="009A0A63" w:rsidP="00A24459">
            <w:pPr>
              <w:jc w:val="center"/>
              <w:rPr>
                <w:rFonts w:eastAsia="Times New Roman"/>
                <w:color w:val="000000"/>
                <w:sz w:val="21"/>
                <w:szCs w:val="21"/>
              </w:rPr>
            </w:pPr>
            <w:r w:rsidRPr="00792B36">
              <w:rPr>
                <w:rFonts w:eastAsia="Times New Roman"/>
                <w:color w:val="000000"/>
                <w:sz w:val="21"/>
                <w:szCs w:val="21"/>
              </w:rPr>
              <w:t>0.078</w:t>
            </w:r>
          </w:p>
        </w:tc>
        <w:tc>
          <w:tcPr>
            <w:tcW w:w="559" w:type="pct"/>
            <w:tcBorders>
              <w:top w:val="nil"/>
              <w:left w:val="nil"/>
              <w:bottom w:val="single" w:sz="4" w:space="0" w:color="auto"/>
              <w:right w:val="single" w:sz="4" w:space="0" w:color="auto"/>
            </w:tcBorders>
            <w:noWrap/>
            <w:vAlign w:val="center"/>
            <w:hideMark/>
          </w:tcPr>
          <w:p w14:paraId="46ACCE4B" w14:textId="77777777" w:rsidR="009A0A63" w:rsidRPr="00792B36" w:rsidRDefault="009A0A63" w:rsidP="00A24459">
            <w:pPr>
              <w:jc w:val="center"/>
              <w:rPr>
                <w:rFonts w:eastAsia="Times New Roman"/>
                <w:color w:val="000000"/>
                <w:sz w:val="21"/>
                <w:szCs w:val="21"/>
              </w:rPr>
            </w:pPr>
            <w:r w:rsidRPr="00792B36">
              <w:rPr>
                <w:rFonts w:eastAsia="Times New Roman"/>
                <w:color w:val="000000"/>
                <w:sz w:val="21"/>
                <w:szCs w:val="21"/>
              </w:rPr>
              <w:t>6</w:t>
            </w:r>
          </w:p>
        </w:tc>
        <w:tc>
          <w:tcPr>
            <w:tcW w:w="812" w:type="pct"/>
            <w:tcBorders>
              <w:top w:val="nil"/>
              <w:left w:val="nil"/>
              <w:bottom w:val="single" w:sz="4" w:space="0" w:color="auto"/>
              <w:right w:val="single" w:sz="4" w:space="0" w:color="auto"/>
            </w:tcBorders>
            <w:noWrap/>
            <w:vAlign w:val="center"/>
            <w:hideMark/>
          </w:tcPr>
          <w:p w14:paraId="6E72F0D4" w14:textId="77777777" w:rsidR="009A0A63" w:rsidRPr="00792B36" w:rsidRDefault="009A0A63" w:rsidP="00A24459">
            <w:pPr>
              <w:jc w:val="center"/>
              <w:rPr>
                <w:rFonts w:eastAsia="Times New Roman"/>
                <w:color w:val="000000"/>
                <w:sz w:val="21"/>
                <w:szCs w:val="21"/>
              </w:rPr>
            </w:pPr>
            <w:r w:rsidRPr="00792B36">
              <w:rPr>
                <w:rFonts w:eastAsia="Times New Roman"/>
                <w:color w:val="000000"/>
                <w:sz w:val="21"/>
                <w:szCs w:val="21"/>
              </w:rPr>
              <w:t>12</w:t>
            </w:r>
          </w:p>
        </w:tc>
      </w:tr>
      <w:tr w:rsidR="009A0A63" w:rsidRPr="00792B36" w14:paraId="0F70BB66" w14:textId="77777777" w:rsidTr="00A24459">
        <w:trPr>
          <w:trHeight w:val="340"/>
        </w:trPr>
        <w:tc>
          <w:tcPr>
            <w:tcW w:w="913" w:type="pct"/>
            <w:tcBorders>
              <w:top w:val="nil"/>
              <w:left w:val="single" w:sz="4" w:space="0" w:color="auto"/>
              <w:bottom w:val="single" w:sz="4" w:space="0" w:color="auto"/>
              <w:right w:val="single" w:sz="4" w:space="0" w:color="auto"/>
            </w:tcBorders>
            <w:noWrap/>
            <w:vAlign w:val="center"/>
            <w:hideMark/>
          </w:tcPr>
          <w:p w14:paraId="42449FAE" w14:textId="77777777" w:rsidR="009A0A63" w:rsidRPr="00792B36" w:rsidRDefault="009A0A63" w:rsidP="00A24459">
            <w:pPr>
              <w:rPr>
                <w:rFonts w:eastAsia="Times New Roman"/>
                <w:color w:val="000000"/>
                <w:sz w:val="21"/>
                <w:szCs w:val="21"/>
              </w:rPr>
            </w:pPr>
            <w:r w:rsidRPr="00792B36">
              <w:rPr>
                <w:rFonts w:eastAsia="Times New Roman"/>
                <w:color w:val="000000"/>
                <w:sz w:val="21"/>
                <w:szCs w:val="21"/>
              </w:rPr>
              <w:t>Trat</w:t>
            </w:r>
          </w:p>
        </w:tc>
        <w:tc>
          <w:tcPr>
            <w:tcW w:w="372" w:type="pct"/>
            <w:tcBorders>
              <w:top w:val="nil"/>
              <w:left w:val="nil"/>
              <w:bottom w:val="single" w:sz="4" w:space="0" w:color="auto"/>
              <w:right w:val="single" w:sz="4" w:space="0" w:color="auto"/>
            </w:tcBorders>
            <w:noWrap/>
            <w:vAlign w:val="center"/>
            <w:hideMark/>
          </w:tcPr>
          <w:p w14:paraId="5DAEB72B" w14:textId="77777777" w:rsidR="009A0A63" w:rsidRPr="00792B36" w:rsidRDefault="009A0A63" w:rsidP="00A24459">
            <w:pPr>
              <w:jc w:val="center"/>
              <w:rPr>
                <w:rFonts w:eastAsia="Times New Roman"/>
                <w:color w:val="000000"/>
                <w:sz w:val="21"/>
                <w:szCs w:val="21"/>
              </w:rPr>
            </w:pPr>
            <w:r w:rsidRPr="00792B36">
              <w:rPr>
                <w:rFonts w:eastAsia="Times New Roman"/>
                <w:color w:val="000000"/>
                <w:sz w:val="21"/>
                <w:szCs w:val="21"/>
              </w:rPr>
              <w:t>0.097</w:t>
            </w:r>
          </w:p>
        </w:tc>
        <w:tc>
          <w:tcPr>
            <w:tcW w:w="362" w:type="pct"/>
            <w:tcBorders>
              <w:top w:val="nil"/>
              <w:left w:val="nil"/>
              <w:bottom w:val="single" w:sz="4" w:space="0" w:color="auto"/>
              <w:right w:val="single" w:sz="4" w:space="0" w:color="auto"/>
            </w:tcBorders>
            <w:noWrap/>
            <w:vAlign w:val="center"/>
            <w:hideMark/>
          </w:tcPr>
          <w:p w14:paraId="12B5C81D" w14:textId="77777777" w:rsidR="009A0A63" w:rsidRPr="00792B36" w:rsidRDefault="009A0A63" w:rsidP="00A24459">
            <w:pPr>
              <w:jc w:val="center"/>
              <w:rPr>
                <w:rFonts w:eastAsia="Times New Roman"/>
                <w:color w:val="000000"/>
                <w:sz w:val="21"/>
                <w:szCs w:val="21"/>
              </w:rPr>
            </w:pPr>
            <w:r w:rsidRPr="00792B36">
              <w:rPr>
                <w:rFonts w:eastAsia="Times New Roman"/>
                <w:color w:val="000000"/>
                <w:sz w:val="21"/>
                <w:szCs w:val="21"/>
              </w:rPr>
              <w:t>0.183</w:t>
            </w:r>
          </w:p>
        </w:tc>
        <w:tc>
          <w:tcPr>
            <w:tcW w:w="445" w:type="pct"/>
            <w:tcBorders>
              <w:top w:val="nil"/>
              <w:left w:val="nil"/>
              <w:bottom w:val="single" w:sz="4" w:space="0" w:color="auto"/>
              <w:right w:val="single" w:sz="4" w:space="0" w:color="auto"/>
            </w:tcBorders>
            <w:noWrap/>
            <w:vAlign w:val="center"/>
            <w:hideMark/>
          </w:tcPr>
          <w:p w14:paraId="62CAABB1" w14:textId="77777777" w:rsidR="009A0A63" w:rsidRPr="00792B36" w:rsidRDefault="009A0A63" w:rsidP="00A24459">
            <w:pPr>
              <w:jc w:val="center"/>
              <w:rPr>
                <w:rFonts w:eastAsia="Times New Roman"/>
                <w:color w:val="000000"/>
                <w:sz w:val="21"/>
                <w:szCs w:val="21"/>
              </w:rPr>
            </w:pPr>
            <w:r w:rsidRPr="00792B36">
              <w:rPr>
                <w:rFonts w:eastAsia="Times New Roman"/>
                <w:color w:val="000000"/>
                <w:sz w:val="21"/>
                <w:szCs w:val="21"/>
              </w:rPr>
              <w:t>0.346</w:t>
            </w:r>
          </w:p>
        </w:tc>
        <w:tc>
          <w:tcPr>
            <w:tcW w:w="660" w:type="pct"/>
            <w:tcBorders>
              <w:top w:val="nil"/>
              <w:left w:val="nil"/>
              <w:bottom w:val="single" w:sz="4" w:space="0" w:color="auto"/>
              <w:right w:val="single" w:sz="4" w:space="0" w:color="auto"/>
            </w:tcBorders>
            <w:noWrap/>
            <w:vAlign w:val="center"/>
            <w:hideMark/>
          </w:tcPr>
          <w:p w14:paraId="1429971F" w14:textId="77777777" w:rsidR="009A0A63" w:rsidRPr="00792B36" w:rsidRDefault="009A0A63" w:rsidP="00A24459">
            <w:pPr>
              <w:jc w:val="center"/>
              <w:rPr>
                <w:rFonts w:eastAsia="Times New Roman"/>
                <w:color w:val="000000"/>
                <w:sz w:val="21"/>
                <w:szCs w:val="21"/>
              </w:rPr>
            </w:pPr>
            <w:r w:rsidRPr="00792B36">
              <w:rPr>
                <w:rFonts w:eastAsia="Times New Roman"/>
                <w:color w:val="000000"/>
                <w:sz w:val="21"/>
                <w:szCs w:val="21"/>
              </w:rPr>
              <w:t>0.265</w:t>
            </w:r>
          </w:p>
        </w:tc>
        <w:tc>
          <w:tcPr>
            <w:tcW w:w="393" w:type="pct"/>
            <w:tcBorders>
              <w:top w:val="nil"/>
              <w:left w:val="nil"/>
              <w:bottom w:val="single" w:sz="4" w:space="0" w:color="auto"/>
              <w:right w:val="single" w:sz="4" w:space="0" w:color="auto"/>
            </w:tcBorders>
            <w:noWrap/>
            <w:vAlign w:val="center"/>
            <w:hideMark/>
          </w:tcPr>
          <w:p w14:paraId="1A97305E" w14:textId="77777777" w:rsidR="009A0A63" w:rsidRPr="00792B36" w:rsidRDefault="009A0A63" w:rsidP="00A24459">
            <w:pPr>
              <w:jc w:val="center"/>
              <w:rPr>
                <w:rFonts w:eastAsia="Times New Roman"/>
                <w:color w:val="000000"/>
                <w:sz w:val="21"/>
                <w:szCs w:val="21"/>
              </w:rPr>
            </w:pPr>
            <w:r w:rsidRPr="00792B36">
              <w:rPr>
                <w:rFonts w:eastAsia="Times New Roman"/>
                <w:color w:val="000000"/>
                <w:sz w:val="21"/>
                <w:szCs w:val="21"/>
              </w:rPr>
              <w:t>0.009</w:t>
            </w:r>
          </w:p>
        </w:tc>
        <w:tc>
          <w:tcPr>
            <w:tcW w:w="484" w:type="pct"/>
            <w:tcBorders>
              <w:top w:val="nil"/>
              <w:left w:val="nil"/>
              <w:bottom w:val="single" w:sz="4" w:space="0" w:color="auto"/>
              <w:right w:val="single" w:sz="4" w:space="0" w:color="auto"/>
            </w:tcBorders>
            <w:noWrap/>
            <w:vAlign w:val="center"/>
            <w:hideMark/>
          </w:tcPr>
          <w:p w14:paraId="35275127" w14:textId="77777777" w:rsidR="009A0A63" w:rsidRPr="00792B36" w:rsidRDefault="009A0A63" w:rsidP="00A24459">
            <w:pPr>
              <w:jc w:val="center"/>
              <w:rPr>
                <w:rFonts w:eastAsia="Times New Roman"/>
                <w:color w:val="000000"/>
                <w:sz w:val="21"/>
                <w:szCs w:val="21"/>
              </w:rPr>
            </w:pPr>
            <w:r w:rsidRPr="00792B36">
              <w:rPr>
                <w:rFonts w:eastAsia="Times New Roman"/>
                <w:color w:val="000000"/>
                <w:sz w:val="21"/>
                <w:szCs w:val="21"/>
              </w:rPr>
              <w:t>0.035</w:t>
            </w:r>
          </w:p>
        </w:tc>
        <w:tc>
          <w:tcPr>
            <w:tcW w:w="559" w:type="pct"/>
            <w:tcBorders>
              <w:top w:val="nil"/>
              <w:left w:val="nil"/>
              <w:bottom w:val="single" w:sz="4" w:space="0" w:color="auto"/>
              <w:right w:val="single" w:sz="4" w:space="0" w:color="auto"/>
            </w:tcBorders>
            <w:noWrap/>
            <w:vAlign w:val="center"/>
            <w:hideMark/>
          </w:tcPr>
          <w:p w14:paraId="40611830" w14:textId="77777777" w:rsidR="009A0A63" w:rsidRPr="00792B36" w:rsidRDefault="009A0A63" w:rsidP="00A24459">
            <w:pPr>
              <w:jc w:val="center"/>
              <w:rPr>
                <w:rFonts w:eastAsia="Times New Roman"/>
                <w:color w:val="000000"/>
                <w:sz w:val="21"/>
                <w:szCs w:val="21"/>
              </w:rPr>
            </w:pPr>
            <w:r w:rsidRPr="00792B36">
              <w:rPr>
                <w:rFonts w:eastAsia="Times New Roman"/>
                <w:color w:val="000000"/>
                <w:sz w:val="21"/>
                <w:szCs w:val="21"/>
              </w:rPr>
              <w:t>13</w:t>
            </w:r>
          </w:p>
        </w:tc>
        <w:tc>
          <w:tcPr>
            <w:tcW w:w="812" w:type="pct"/>
            <w:tcBorders>
              <w:top w:val="nil"/>
              <w:left w:val="nil"/>
              <w:bottom w:val="single" w:sz="4" w:space="0" w:color="auto"/>
              <w:right w:val="single" w:sz="4" w:space="0" w:color="auto"/>
            </w:tcBorders>
            <w:noWrap/>
            <w:vAlign w:val="center"/>
            <w:hideMark/>
          </w:tcPr>
          <w:p w14:paraId="67E9CD2A" w14:textId="77777777" w:rsidR="009A0A63" w:rsidRPr="00792B36" w:rsidRDefault="009A0A63" w:rsidP="00A24459">
            <w:pPr>
              <w:jc w:val="center"/>
              <w:rPr>
                <w:rFonts w:eastAsia="Times New Roman"/>
                <w:color w:val="000000"/>
                <w:sz w:val="21"/>
                <w:szCs w:val="21"/>
              </w:rPr>
            </w:pPr>
            <w:r w:rsidRPr="00792B36">
              <w:rPr>
                <w:rFonts w:eastAsia="Times New Roman"/>
                <w:color w:val="000000"/>
                <w:sz w:val="21"/>
                <w:szCs w:val="21"/>
              </w:rPr>
              <w:t>15</w:t>
            </w:r>
          </w:p>
        </w:tc>
      </w:tr>
      <w:tr w:rsidR="009A0A63" w:rsidRPr="00792B36" w14:paraId="303F8FA6" w14:textId="77777777" w:rsidTr="00A24459">
        <w:trPr>
          <w:trHeight w:val="340"/>
        </w:trPr>
        <w:tc>
          <w:tcPr>
            <w:tcW w:w="913" w:type="pct"/>
            <w:tcBorders>
              <w:top w:val="nil"/>
              <w:left w:val="single" w:sz="4" w:space="0" w:color="auto"/>
              <w:bottom w:val="single" w:sz="4" w:space="0" w:color="auto"/>
              <w:right w:val="single" w:sz="4" w:space="0" w:color="auto"/>
            </w:tcBorders>
            <w:noWrap/>
            <w:vAlign w:val="center"/>
            <w:hideMark/>
          </w:tcPr>
          <w:p w14:paraId="72D1E42F" w14:textId="77777777" w:rsidR="009A0A63" w:rsidRPr="00792B36" w:rsidRDefault="009A0A63" w:rsidP="00A24459">
            <w:pPr>
              <w:rPr>
                <w:rFonts w:eastAsia="Times New Roman"/>
                <w:color w:val="000000"/>
                <w:sz w:val="21"/>
                <w:szCs w:val="21"/>
              </w:rPr>
            </w:pPr>
            <w:r w:rsidRPr="00792B36">
              <w:rPr>
                <w:rFonts w:eastAsia="Times New Roman"/>
                <w:color w:val="000000"/>
                <w:sz w:val="21"/>
                <w:szCs w:val="21"/>
              </w:rPr>
              <w:t>Samut Prakan</w:t>
            </w:r>
          </w:p>
        </w:tc>
        <w:tc>
          <w:tcPr>
            <w:tcW w:w="372" w:type="pct"/>
            <w:tcBorders>
              <w:top w:val="nil"/>
              <w:left w:val="nil"/>
              <w:bottom w:val="single" w:sz="4" w:space="0" w:color="auto"/>
              <w:right w:val="single" w:sz="4" w:space="0" w:color="auto"/>
            </w:tcBorders>
            <w:noWrap/>
            <w:vAlign w:val="center"/>
            <w:hideMark/>
          </w:tcPr>
          <w:p w14:paraId="792BDEC0" w14:textId="77777777" w:rsidR="009A0A63" w:rsidRPr="00792B36" w:rsidRDefault="009A0A63" w:rsidP="00A24459">
            <w:pPr>
              <w:jc w:val="center"/>
              <w:rPr>
                <w:rFonts w:eastAsia="Times New Roman"/>
                <w:color w:val="000000"/>
                <w:sz w:val="21"/>
                <w:szCs w:val="21"/>
              </w:rPr>
            </w:pPr>
            <w:r w:rsidRPr="00792B36">
              <w:rPr>
                <w:rFonts w:eastAsia="Times New Roman"/>
                <w:color w:val="000000"/>
                <w:sz w:val="21"/>
                <w:szCs w:val="21"/>
              </w:rPr>
              <w:t>0.634</w:t>
            </w:r>
          </w:p>
        </w:tc>
        <w:tc>
          <w:tcPr>
            <w:tcW w:w="362" w:type="pct"/>
            <w:tcBorders>
              <w:top w:val="nil"/>
              <w:left w:val="nil"/>
              <w:bottom w:val="single" w:sz="4" w:space="0" w:color="auto"/>
              <w:right w:val="single" w:sz="4" w:space="0" w:color="auto"/>
            </w:tcBorders>
            <w:noWrap/>
            <w:vAlign w:val="center"/>
            <w:hideMark/>
          </w:tcPr>
          <w:p w14:paraId="230D595F" w14:textId="77777777" w:rsidR="009A0A63" w:rsidRPr="00792B36" w:rsidRDefault="009A0A63" w:rsidP="00A24459">
            <w:pPr>
              <w:jc w:val="center"/>
              <w:rPr>
                <w:rFonts w:eastAsia="Times New Roman"/>
                <w:color w:val="000000"/>
                <w:sz w:val="21"/>
                <w:szCs w:val="21"/>
              </w:rPr>
            </w:pPr>
            <w:r w:rsidRPr="00792B36">
              <w:rPr>
                <w:rFonts w:eastAsia="Times New Roman"/>
                <w:color w:val="000000"/>
                <w:sz w:val="21"/>
                <w:szCs w:val="21"/>
              </w:rPr>
              <w:t>0.332</w:t>
            </w:r>
          </w:p>
        </w:tc>
        <w:tc>
          <w:tcPr>
            <w:tcW w:w="445" w:type="pct"/>
            <w:tcBorders>
              <w:top w:val="nil"/>
              <w:left w:val="nil"/>
              <w:bottom w:val="single" w:sz="4" w:space="0" w:color="auto"/>
              <w:right w:val="single" w:sz="4" w:space="0" w:color="auto"/>
            </w:tcBorders>
            <w:noWrap/>
            <w:vAlign w:val="center"/>
            <w:hideMark/>
          </w:tcPr>
          <w:p w14:paraId="522A6176" w14:textId="77777777" w:rsidR="009A0A63" w:rsidRPr="00792B36" w:rsidRDefault="009A0A63" w:rsidP="00A24459">
            <w:pPr>
              <w:jc w:val="center"/>
              <w:rPr>
                <w:rFonts w:eastAsia="Times New Roman"/>
                <w:color w:val="000000"/>
                <w:sz w:val="21"/>
                <w:szCs w:val="21"/>
              </w:rPr>
            </w:pPr>
            <w:r w:rsidRPr="00792B36">
              <w:rPr>
                <w:rFonts w:eastAsia="Times New Roman"/>
                <w:color w:val="000000"/>
                <w:sz w:val="21"/>
                <w:szCs w:val="21"/>
              </w:rPr>
              <w:t>0.506</w:t>
            </w:r>
          </w:p>
        </w:tc>
        <w:tc>
          <w:tcPr>
            <w:tcW w:w="660" w:type="pct"/>
            <w:tcBorders>
              <w:top w:val="nil"/>
              <w:left w:val="nil"/>
              <w:bottom w:val="single" w:sz="4" w:space="0" w:color="auto"/>
              <w:right w:val="single" w:sz="4" w:space="0" w:color="auto"/>
            </w:tcBorders>
            <w:noWrap/>
            <w:vAlign w:val="center"/>
            <w:hideMark/>
          </w:tcPr>
          <w:p w14:paraId="3EE9BE70" w14:textId="77777777" w:rsidR="009A0A63" w:rsidRPr="00792B36" w:rsidRDefault="009A0A63" w:rsidP="00A24459">
            <w:pPr>
              <w:jc w:val="center"/>
              <w:rPr>
                <w:rFonts w:eastAsia="Times New Roman"/>
                <w:color w:val="000000"/>
                <w:sz w:val="21"/>
                <w:szCs w:val="21"/>
              </w:rPr>
            </w:pPr>
            <w:r w:rsidRPr="00792B36">
              <w:rPr>
                <w:rFonts w:eastAsia="Times New Roman"/>
                <w:color w:val="000000"/>
                <w:sz w:val="21"/>
                <w:szCs w:val="21"/>
              </w:rPr>
              <w:t>0.419</w:t>
            </w:r>
          </w:p>
        </w:tc>
        <w:tc>
          <w:tcPr>
            <w:tcW w:w="393" w:type="pct"/>
            <w:tcBorders>
              <w:top w:val="nil"/>
              <w:left w:val="nil"/>
              <w:bottom w:val="single" w:sz="4" w:space="0" w:color="auto"/>
              <w:right w:val="single" w:sz="4" w:space="0" w:color="auto"/>
            </w:tcBorders>
            <w:noWrap/>
            <w:vAlign w:val="center"/>
            <w:hideMark/>
          </w:tcPr>
          <w:p w14:paraId="283BAEF9" w14:textId="77777777" w:rsidR="009A0A63" w:rsidRPr="00792B36" w:rsidRDefault="009A0A63" w:rsidP="00A24459">
            <w:pPr>
              <w:jc w:val="center"/>
              <w:rPr>
                <w:rFonts w:eastAsia="Times New Roman"/>
                <w:color w:val="000000"/>
                <w:sz w:val="21"/>
                <w:szCs w:val="21"/>
              </w:rPr>
            </w:pPr>
            <w:r w:rsidRPr="00792B36">
              <w:rPr>
                <w:rFonts w:eastAsia="Times New Roman"/>
                <w:color w:val="000000"/>
                <w:sz w:val="21"/>
                <w:szCs w:val="21"/>
              </w:rPr>
              <w:t>0.005</w:t>
            </w:r>
          </w:p>
        </w:tc>
        <w:tc>
          <w:tcPr>
            <w:tcW w:w="484" w:type="pct"/>
            <w:tcBorders>
              <w:top w:val="nil"/>
              <w:left w:val="nil"/>
              <w:bottom w:val="single" w:sz="4" w:space="0" w:color="auto"/>
              <w:right w:val="single" w:sz="4" w:space="0" w:color="auto"/>
            </w:tcBorders>
            <w:noWrap/>
            <w:vAlign w:val="center"/>
            <w:hideMark/>
          </w:tcPr>
          <w:p w14:paraId="14B44999" w14:textId="77777777" w:rsidR="009A0A63" w:rsidRPr="00792B36" w:rsidRDefault="009A0A63" w:rsidP="00A24459">
            <w:pPr>
              <w:jc w:val="center"/>
              <w:rPr>
                <w:rFonts w:eastAsia="Times New Roman"/>
                <w:color w:val="000000"/>
                <w:sz w:val="21"/>
                <w:szCs w:val="21"/>
              </w:rPr>
            </w:pPr>
            <w:r w:rsidRPr="00792B36">
              <w:rPr>
                <w:rFonts w:eastAsia="Times New Roman"/>
                <w:color w:val="000000"/>
                <w:sz w:val="21"/>
                <w:szCs w:val="21"/>
              </w:rPr>
              <w:t>0.012</w:t>
            </w:r>
          </w:p>
        </w:tc>
        <w:tc>
          <w:tcPr>
            <w:tcW w:w="559" w:type="pct"/>
            <w:tcBorders>
              <w:top w:val="nil"/>
              <w:left w:val="nil"/>
              <w:bottom w:val="single" w:sz="4" w:space="0" w:color="auto"/>
              <w:right w:val="single" w:sz="4" w:space="0" w:color="auto"/>
            </w:tcBorders>
            <w:noWrap/>
            <w:vAlign w:val="center"/>
            <w:hideMark/>
          </w:tcPr>
          <w:p w14:paraId="63781C77" w14:textId="77777777" w:rsidR="009A0A63" w:rsidRPr="00792B36" w:rsidRDefault="009A0A63" w:rsidP="00A24459">
            <w:pPr>
              <w:jc w:val="center"/>
              <w:rPr>
                <w:rFonts w:eastAsia="Times New Roman"/>
                <w:color w:val="000000"/>
                <w:sz w:val="21"/>
                <w:szCs w:val="21"/>
              </w:rPr>
            </w:pPr>
            <w:r w:rsidRPr="00792B36">
              <w:rPr>
                <w:rFonts w:eastAsia="Times New Roman"/>
                <w:color w:val="000000"/>
                <w:sz w:val="21"/>
                <w:szCs w:val="21"/>
              </w:rPr>
              <w:t>15</w:t>
            </w:r>
          </w:p>
        </w:tc>
        <w:tc>
          <w:tcPr>
            <w:tcW w:w="812" w:type="pct"/>
            <w:tcBorders>
              <w:top w:val="nil"/>
              <w:left w:val="nil"/>
              <w:bottom w:val="single" w:sz="4" w:space="0" w:color="auto"/>
              <w:right w:val="single" w:sz="4" w:space="0" w:color="auto"/>
            </w:tcBorders>
            <w:noWrap/>
            <w:vAlign w:val="center"/>
            <w:hideMark/>
          </w:tcPr>
          <w:p w14:paraId="11E8EFAE" w14:textId="77777777" w:rsidR="009A0A63" w:rsidRPr="00792B36" w:rsidRDefault="009A0A63" w:rsidP="00A24459">
            <w:pPr>
              <w:jc w:val="center"/>
              <w:rPr>
                <w:rFonts w:eastAsia="Times New Roman"/>
                <w:color w:val="000000"/>
                <w:sz w:val="21"/>
                <w:szCs w:val="21"/>
              </w:rPr>
            </w:pPr>
            <w:r w:rsidRPr="00792B36">
              <w:rPr>
                <w:rFonts w:eastAsia="Times New Roman"/>
                <w:color w:val="000000"/>
                <w:sz w:val="21"/>
                <w:szCs w:val="21"/>
              </w:rPr>
              <w:t>3</w:t>
            </w:r>
          </w:p>
        </w:tc>
      </w:tr>
      <w:tr w:rsidR="009A0A63" w:rsidRPr="00792B36" w14:paraId="14871D7B" w14:textId="77777777" w:rsidTr="00A24459">
        <w:trPr>
          <w:trHeight w:val="340"/>
        </w:trPr>
        <w:tc>
          <w:tcPr>
            <w:tcW w:w="913" w:type="pct"/>
            <w:tcBorders>
              <w:top w:val="nil"/>
              <w:left w:val="single" w:sz="4" w:space="0" w:color="auto"/>
              <w:bottom w:val="single" w:sz="4" w:space="0" w:color="auto"/>
              <w:right w:val="single" w:sz="4" w:space="0" w:color="auto"/>
            </w:tcBorders>
            <w:noWrap/>
            <w:vAlign w:val="center"/>
            <w:hideMark/>
          </w:tcPr>
          <w:p w14:paraId="117697F1" w14:textId="77777777" w:rsidR="009A0A63" w:rsidRPr="00792B36" w:rsidRDefault="009A0A63" w:rsidP="00A24459">
            <w:pPr>
              <w:rPr>
                <w:rFonts w:eastAsia="Times New Roman"/>
                <w:color w:val="000000"/>
                <w:sz w:val="21"/>
                <w:szCs w:val="21"/>
              </w:rPr>
            </w:pPr>
            <w:r w:rsidRPr="00792B36">
              <w:rPr>
                <w:rFonts w:eastAsia="Times New Roman"/>
                <w:color w:val="000000"/>
                <w:sz w:val="21"/>
                <w:szCs w:val="21"/>
              </w:rPr>
              <w:t>Chon Buri</w:t>
            </w:r>
          </w:p>
        </w:tc>
        <w:tc>
          <w:tcPr>
            <w:tcW w:w="372" w:type="pct"/>
            <w:tcBorders>
              <w:top w:val="nil"/>
              <w:left w:val="nil"/>
              <w:bottom w:val="single" w:sz="4" w:space="0" w:color="auto"/>
              <w:right w:val="single" w:sz="4" w:space="0" w:color="auto"/>
            </w:tcBorders>
            <w:noWrap/>
            <w:vAlign w:val="center"/>
            <w:hideMark/>
          </w:tcPr>
          <w:p w14:paraId="0DAFBAB7" w14:textId="77777777" w:rsidR="009A0A63" w:rsidRPr="00792B36" w:rsidRDefault="009A0A63" w:rsidP="00A24459">
            <w:pPr>
              <w:jc w:val="center"/>
              <w:rPr>
                <w:rFonts w:eastAsia="Times New Roman"/>
                <w:color w:val="000000"/>
                <w:sz w:val="21"/>
                <w:szCs w:val="21"/>
              </w:rPr>
            </w:pPr>
            <w:r w:rsidRPr="00792B36">
              <w:rPr>
                <w:rFonts w:eastAsia="Times New Roman"/>
                <w:color w:val="000000"/>
                <w:sz w:val="21"/>
                <w:szCs w:val="21"/>
              </w:rPr>
              <w:t>0.948</w:t>
            </w:r>
          </w:p>
        </w:tc>
        <w:tc>
          <w:tcPr>
            <w:tcW w:w="362" w:type="pct"/>
            <w:tcBorders>
              <w:top w:val="nil"/>
              <w:left w:val="nil"/>
              <w:bottom w:val="single" w:sz="4" w:space="0" w:color="auto"/>
              <w:right w:val="single" w:sz="4" w:space="0" w:color="auto"/>
            </w:tcBorders>
            <w:noWrap/>
            <w:vAlign w:val="center"/>
            <w:hideMark/>
          </w:tcPr>
          <w:p w14:paraId="299AC0DE" w14:textId="77777777" w:rsidR="009A0A63" w:rsidRPr="00792B36" w:rsidRDefault="009A0A63" w:rsidP="00A24459">
            <w:pPr>
              <w:jc w:val="center"/>
              <w:rPr>
                <w:rFonts w:eastAsia="Times New Roman"/>
                <w:color w:val="000000"/>
                <w:sz w:val="21"/>
                <w:szCs w:val="21"/>
              </w:rPr>
            </w:pPr>
            <w:r w:rsidRPr="00792B36">
              <w:rPr>
                <w:rFonts w:eastAsia="Times New Roman"/>
                <w:color w:val="000000"/>
                <w:sz w:val="21"/>
                <w:szCs w:val="21"/>
              </w:rPr>
              <w:t>0.497</w:t>
            </w:r>
          </w:p>
        </w:tc>
        <w:tc>
          <w:tcPr>
            <w:tcW w:w="445" w:type="pct"/>
            <w:tcBorders>
              <w:top w:val="nil"/>
              <w:left w:val="nil"/>
              <w:bottom w:val="single" w:sz="4" w:space="0" w:color="auto"/>
              <w:right w:val="single" w:sz="4" w:space="0" w:color="auto"/>
            </w:tcBorders>
            <w:noWrap/>
            <w:vAlign w:val="center"/>
            <w:hideMark/>
          </w:tcPr>
          <w:p w14:paraId="30E5DBF1" w14:textId="77777777" w:rsidR="009A0A63" w:rsidRPr="00792B36" w:rsidRDefault="009A0A63" w:rsidP="00A24459">
            <w:pPr>
              <w:jc w:val="center"/>
              <w:rPr>
                <w:rFonts w:eastAsia="Times New Roman"/>
                <w:color w:val="000000"/>
                <w:sz w:val="21"/>
                <w:szCs w:val="21"/>
              </w:rPr>
            </w:pPr>
            <w:r w:rsidRPr="00792B36">
              <w:rPr>
                <w:rFonts w:eastAsia="Times New Roman"/>
                <w:color w:val="000000"/>
                <w:sz w:val="21"/>
                <w:szCs w:val="21"/>
              </w:rPr>
              <w:t>0.160</w:t>
            </w:r>
          </w:p>
        </w:tc>
        <w:tc>
          <w:tcPr>
            <w:tcW w:w="660" w:type="pct"/>
            <w:tcBorders>
              <w:top w:val="nil"/>
              <w:left w:val="nil"/>
              <w:bottom w:val="single" w:sz="4" w:space="0" w:color="auto"/>
              <w:right w:val="single" w:sz="4" w:space="0" w:color="auto"/>
            </w:tcBorders>
            <w:noWrap/>
            <w:vAlign w:val="center"/>
            <w:hideMark/>
          </w:tcPr>
          <w:p w14:paraId="7D33777A" w14:textId="77777777" w:rsidR="009A0A63" w:rsidRPr="00792B36" w:rsidRDefault="009A0A63" w:rsidP="00A24459">
            <w:pPr>
              <w:jc w:val="center"/>
              <w:rPr>
                <w:rFonts w:eastAsia="Times New Roman"/>
                <w:color w:val="000000"/>
                <w:sz w:val="21"/>
                <w:szCs w:val="21"/>
              </w:rPr>
            </w:pPr>
            <w:r w:rsidRPr="00792B36">
              <w:rPr>
                <w:rFonts w:eastAsia="Times New Roman"/>
                <w:color w:val="000000"/>
                <w:sz w:val="21"/>
                <w:szCs w:val="21"/>
              </w:rPr>
              <w:t>0.329</w:t>
            </w:r>
          </w:p>
        </w:tc>
        <w:tc>
          <w:tcPr>
            <w:tcW w:w="393" w:type="pct"/>
            <w:tcBorders>
              <w:top w:val="nil"/>
              <w:left w:val="nil"/>
              <w:bottom w:val="single" w:sz="4" w:space="0" w:color="auto"/>
              <w:right w:val="single" w:sz="4" w:space="0" w:color="auto"/>
            </w:tcBorders>
            <w:noWrap/>
            <w:vAlign w:val="center"/>
            <w:hideMark/>
          </w:tcPr>
          <w:p w14:paraId="3A7B75BD" w14:textId="77777777" w:rsidR="009A0A63" w:rsidRPr="00792B36" w:rsidRDefault="009A0A63" w:rsidP="00A24459">
            <w:pPr>
              <w:jc w:val="center"/>
              <w:rPr>
                <w:rFonts w:eastAsia="Times New Roman"/>
                <w:color w:val="000000"/>
                <w:sz w:val="21"/>
                <w:szCs w:val="21"/>
              </w:rPr>
            </w:pPr>
            <w:r w:rsidRPr="00792B36">
              <w:rPr>
                <w:rFonts w:eastAsia="Times New Roman"/>
                <w:color w:val="000000"/>
                <w:sz w:val="21"/>
                <w:szCs w:val="21"/>
              </w:rPr>
              <w:t>0.018</w:t>
            </w:r>
          </w:p>
        </w:tc>
        <w:tc>
          <w:tcPr>
            <w:tcW w:w="484" w:type="pct"/>
            <w:tcBorders>
              <w:top w:val="nil"/>
              <w:left w:val="nil"/>
              <w:bottom w:val="single" w:sz="4" w:space="0" w:color="auto"/>
              <w:right w:val="single" w:sz="4" w:space="0" w:color="auto"/>
            </w:tcBorders>
            <w:noWrap/>
            <w:vAlign w:val="center"/>
            <w:hideMark/>
          </w:tcPr>
          <w:p w14:paraId="2D609539" w14:textId="77777777" w:rsidR="009A0A63" w:rsidRPr="00792B36" w:rsidRDefault="009A0A63" w:rsidP="00A24459">
            <w:pPr>
              <w:jc w:val="center"/>
              <w:rPr>
                <w:rFonts w:eastAsia="Times New Roman"/>
                <w:color w:val="000000"/>
                <w:sz w:val="21"/>
                <w:szCs w:val="21"/>
              </w:rPr>
            </w:pPr>
            <w:r w:rsidRPr="00792B36">
              <w:rPr>
                <w:rFonts w:eastAsia="Times New Roman"/>
                <w:color w:val="000000"/>
                <w:sz w:val="21"/>
                <w:szCs w:val="21"/>
              </w:rPr>
              <w:t>0.054</w:t>
            </w:r>
          </w:p>
        </w:tc>
        <w:tc>
          <w:tcPr>
            <w:tcW w:w="559" w:type="pct"/>
            <w:tcBorders>
              <w:top w:val="nil"/>
              <w:left w:val="nil"/>
              <w:bottom w:val="single" w:sz="4" w:space="0" w:color="auto"/>
              <w:right w:val="single" w:sz="4" w:space="0" w:color="auto"/>
            </w:tcBorders>
            <w:noWrap/>
            <w:vAlign w:val="center"/>
            <w:hideMark/>
          </w:tcPr>
          <w:p w14:paraId="6D498312" w14:textId="77777777" w:rsidR="009A0A63" w:rsidRPr="00792B36" w:rsidRDefault="009A0A63" w:rsidP="00A24459">
            <w:pPr>
              <w:jc w:val="center"/>
              <w:rPr>
                <w:rFonts w:eastAsia="Times New Roman"/>
                <w:color w:val="000000"/>
                <w:sz w:val="21"/>
                <w:szCs w:val="21"/>
              </w:rPr>
            </w:pPr>
            <w:r w:rsidRPr="00792B36">
              <w:rPr>
                <w:rFonts w:eastAsia="Times New Roman"/>
                <w:color w:val="000000"/>
                <w:sz w:val="21"/>
                <w:szCs w:val="21"/>
              </w:rPr>
              <w:t>9</w:t>
            </w:r>
          </w:p>
        </w:tc>
        <w:tc>
          <w:tcPr>
            <w:tcW w:w="812" w:type="pct"/>
            <w:tcBorders>
              <w:top w:val="nil"/>
              <w:left w:val="nil"/>
              <w:bottom w:val="single" w:sz="4" w:space="0" w:color="auto"/>
              <w:right w:val="single" w:sz="4" w:space="0" w:color="auto"/>
            </w:tcBorders>
            <w:noWrap/>
            <w:vAlign w:val="center"/>
            <w:hideMark/>
          </w:tcPr>
          <w:p w14:paraId="383641CD" w14:textId="77777777" w:rsidR="009A0A63" w:rsidRPr="00792B36" w:rsidRDefault="009A0A63" w:rsidP="00A24459">
            <w:pPr>
              <w:jc w:val="center"/>
              <w:rPr>
                <w:rFonts w:eastAsia="Times New Roman"/>
                <w:color w:val="000000"/>
                <w:sz w:val="21"/>
                <w:szCs w:val="21"/>
              </w:rPr>
            </w:pPr>
            <w:r w:rsidRPr="00792B36">
              <w:rPr>
                <w:rFonts w:eastAsia="Times New Roman"/>
                <w:color w:val="000000"/>
                <w:sz w:val="21"/>
                <w:szCs w:val="21"/>
              </w:rPr>
              <w:t>11</w:t>
            </w:r>
          </w:p>
        </w:tc>
      </w:tr>
      <w:tr w:rsidR="009A0A63" w:rsidRPr="00792B36" w14:paraId="6FC4C30E" w14:textId="77777777" w:rsidTr="00A24459">
        <w:trPr>
          <w:trHeight w:val="340"/>
        </w:trPr>
        <w:tc>
          <w:tcPr>
            <w:tcW w:w="913" w:type="pct"/>
            <w:tcBorders>
              <w:top w:val="nil"/>
              <w:left w:val="single" w:sz="4" w:space="0" w:color="auto"/>
              <w:bottom w:val="single" w:sz="4" w:space="0" w:color="auto"/>
              <w:right w:val="single" w:sz="4" w:space="0" w:color="auto"/>
            </w:tcBorders>
            <w:noWrap/>
            <w:vAlign w:val="center"/>
            <w:hideMark/>
          </w:tcPr>
          <w:p w14:paraId="1E82C084" w14:textId="77777777" w:rsidR="009A0A63" w:rsidRPr="00792B36" w:rsidRDefault="009A0A63" w:rsidP="00A24459">
            <w:pPr>
              <w:rPr>
                <w:rFonts w:eastAsia="Times New Roman"/>
                <w:color w:val="000000"/>
                <w:sz w:val="21"/>
                <w:szCs w:val="21"/>
              </w:rPr>
            </w:pPr>
            <w:r w:rsidRPr="00792B36">
              <w:rPr>
                <w:rFonts w:eastAsia="Times New Roman"/>
                <w:color w:val="000000"/>
                <w:sz w:val="21"/>
                <w:szCs w:val="21"/>
              </w:rPr>
              <w:t>Chachoengsao</w:t>
            </w:r>
          </w:p>
        </w:tc>
        <w:tc>
          <w:tcPr>
            <w:tcW w:w="372" w:type="pct"/>
            <w:tcBorders>
              <w:top w:val="nil"/>
              <w:left w:val="nil"/>
              <w:bottom w:val="single" w:sz="4" w:space="0" w:color="auto"/>
              <w:right w:val="single" w:sz="4" w:space="0" w:color="auto"/>
            </w:tcBorders>
            <w:noWrap/>
            <w:vAlign w:val="center"/>
            <w:hideMark/>
          </w:tcPr>
          <w:p w14:paraId="192050B6" w14:textId="77777777" w:rsidR="009A0A63" w:rsidRPr="00792B36" w:rsidRDefault="009A0A63" w:rsidP="00A24459">
            <w:pPr>
              <w:jc w:val="center"/>
              <w:rPr>
                <w:rFonts w:eastAsia="Times New Roman"/>
                <w:color w:val="000000"/>
                <w:sz w:val="21"/>
                <w:szCs w:val="21"/>
              </w:rPr>
            </w:pPr>
            <w:r w:rsidRPr="00792B36">
              <w:rPr>
                <w:rFonts w:eastAsia="Times New Roman"/>
                <w:color w:val="000000"/>
                <w:sz w:val="21"/>
                <w:szCs w:val="21"/>
              </w:rPr>
              <w:t>0.358</w:t>
            </w:r>
          </w:p>
        </w:tc>
        <w:tc>
          <w:tcPr>
            <w:tcW w:w="362" w:type="pct"/>
            <w:tcBorders>
              <w:top w:val="nil"/>
              <w:left w:val="nil"/>
              <w:bottom w:val="single" w:sz="4" w:space="0" w:color="auto"/>
              <w:right w:val="single" w:sz="4" w:space="0" w:color="auto"/>
            </w:tcBorders>
            <w:noWrap/>
            <w:vAlign w:val="center"/>
            <w:hideMark/>
          </w:tcPr>
          <w:p w14:paraId="07C517E8" w14:textId="77777777" w:rsidR="009A0A63" w:rsidRPr="00792B36" w:rsidRDefault="009A0A63" w:rsidP="00A24459">
            <w:pPr>
              <w:jc w:val="center"/>
              <w:rPr>
                <w:rFonts w:eastAsia="Times New Roman"/>
                <w:color w:val="000000"/>
                <w:sz w:val="21"/>
                <w:szCs w:val="21"/>
              </w:rPr>
            </w:pPr>
            <w:r w:rsidRPr="00792B36">
              <w:rPr>
                <w:rFonts w:eastAsia="Times New Roman"/>
                <w:color w:val="000000"/>
                <w:sz w:val="21"/>
                <w:szCs w:val="21"/>
              </w:rPr>
              <w:t>0.458</w:t>
            </w:r>
          </w:p>
        </w:tc>
        <w:tc>
          <w:tcPr>
            <w:tcW w:w="445" w:type="pct"/>
            <w:tcBorders>
              <w:top w:val="nil"/>
              <w:left w:val="nil"/>
              <w:bottom w:val="single" w:sz="4" w:space="0" w:color="auto"/>
              <w:right w:val="single" w:sz="4" w:space="0" w:color="auto"/>
            </w:tcBorders>
            <w:noWrap/>
            <w:vAlign w:val="center"/>
            <w:hideMark/>
          </w:tcPr>
          <w:p w14:paraId="2F32E531" w14:textId="77777777" w:rsidR="009A0A63" w:rsidRPr="00792B36" w:rsidRDefault="009A0A63" w:rsidP="00A24459">
            <w:pPr>
              <w:jc w:val="center"/>
              <w:rPr>
                <w:rFonts w:eastAsia="Times New Roman"/>
                <w:color w:val="000000"/>
                <w:sz w:val="21"/>
                <w:szCs w:val="21"/>
              </w:rPr>
            </w:pPr>
            <w:r w:rsidRPr="00792B36">
              <w:rPr>
                <w:rFonts w:eastAsia="Times New Roman"/>
                <w:color w:val="000000"/>
                <w:sz w:val="21"/>
                <w:szCs w:val="21"/>
              </w:rPr>
              <w:t>0.253</w:t>
            </w:r>
          </w:p>
        </w:tc>
        <w:tc>
          <w:tcPr>
            <w:tcW w:w="660" w:type="pct"/>
            <w:tcBorders>
              <w:top w:val="nil"/>
              <w:left w:val="nil"/>
              <w:bottom w:val="single" w:sz="4" w:space="0" w:color="auto"/>
              <w:right w:val="single" w:sz="4" w:space="0" w:color="auto"/>
            </w:tcBorders>
            <w:noWrap/>
            <w:vAlign w:val="center"/>
            <w:hideMark/>
          </w:tcPr>
          <w:p w14:paraId="4E8F4E55" w14:textId="77777777" w:rsidR="009A0A63" w:rsidRPr="00792B36" w:rsidRDefault="009A0A63" w:rsidP="00A24459">
            <w:pPr>
              <w:jc w:val="center"/>
              <w:rPr>
                <w:rFonts w:eastAsia="Times New Roman"/>
                <w:color w:val="000000"/>
                <w:sz w:val="21"/>
                <w:szCs w:val="21"/>
              </w:rPr>
            </w:pPr>
            <w:r w:rsidRPr="00792B36">
              <w:rPr>
                <w:rFonts w:eastAsia="Times New Roman"/>
                <w:color w:val="000000"/>
                <w:sz w:val="21"/>
                <w:szCs w:val="21"/>
              </w:rPr>
              <w:t>0.355</w:t>
            </w:r>
          </w:p>
        </w:tc>
        <w:tc>
          <w:tcPr>
            <w:tcW w:w="393" w:type="pct"/>
            <w:tcBorders>
              <w:top w:val="nil"/>
              <w:left w:val="nil"/>
              <w:bottom w:val="single" w:sz="4" w:space="0" w:color="auto"/>
              <w:right w:val="single" w:sz="4" w:space="0" w:color="auto"/>
            </w:tcBorders>
            <w:noWrap/>
            <w:vAlign w:val="center"/>
            <w:hideMark/>
          </w:tcPr>
          <w:p w14:paraId="6ABD024C" w14:textId="77777777" w:rsidR="009A0A63" w:rsidRPr="00792B36" w:rsidRDefault="009A0A63" w:rsidP="00A24459">
            <w:pPr>
              <w:jc w:val="center"/>
              <w:rPr>
                <w:rFonts w:eastAsia="Times New Roman"/>
                <w:color w:val="000000"/>
                <w:sz w:val="21"/>
                <w:szCs w:val="21"/>
              </w:rPr>
            </w:pPr>
            <w:r w:rsidRPr="00792B36">
              <w:rPr>
                <w:rFonts w:eastAsia="Times New Roman"/>
                <w:color w:val="000000"/>
                <w:sz w:val="21"/>
                <w:szCs w:val="21"/>
              </w:rPr>
              <w:t>0.023</w:t>
            </w:r>
          </w:p>
        </w:tc>
        <w:tc>
          <w:tcPr>
            <w:tcW w:w="484" w:type="pct"/>
            <w:tcBorders>
              <w:top w:val="nil"/>
              <w:left w:val="nil"/>
              <w:bottom w:val="single" w:sz="4" w:space="0" w:color="auto"/>
              <w:right w:val="single" w:sz="4" w:space="0" w:color="auto"/>
            </w:tcBorders>
            <w:noWrap/>
            <w:vAlign w:val="center"/>
            <w:hideMark/>
          </w:tcPr>
          <w:p w14:paraId="700DFB44" w14:textId="77777777" w:rsidR="009A0A63" w:rsidRPr="00792B36" w:rsidRDefault="009A0A63" w:rsidP="00A24459">
            <w:pPr>
              <w:jc w:val="center"/>
              <w:rPr>
                <w:rFonts w:eastAsia="Times New Roman"/>
                <w:color w:val="000000"/>
                <w:sz w:val="21"/>
                <w:szCs w:val="21"/>
              </w:rPr>
            </w:pPr>
            <w:r w:rsidRPr="00792B36">
              <w:rPr>
                <w:rFonts w:eastAsia="Times New Roman"/>
                <w:color w:val="000000"/>
                <w:sz w:val="21"/>
                <w:szCs w:val="21"/>
              </w:rPr>
              <w:t>0.066</w:t>
            </w:r>
          </w:p>
        </w:tc>
        <w:tc>
          <w:tcPr>
            <w:tcW w:w="559" w:type="pct"/>
            <w:tcBorders>
              <w:top w:val="nil"/>
              <w:left w:val="nil"/>
              <w:bottom w:val="single" w:sz="4" w:space="0" w:color="auto"/>
              <w:right w:val="single" w:sz="4" w:space="0" w:color="auto"/>
            </w:tcBorders>
            <w:noWrap/>
            <w:vAlign w:val="center"/>
            <w:hideMark/>
          </w:tcPr>
          <w:p w14:paraId="636D61DA" w14:textId="77777777" w:rsidR="009A0A63" w:rsidRPr="00792B36" w:rsidRDefault="009A0A63" w:rsidP="00A24459">
            <w:pPr>
              <w:jc w:val="center"/>
              <w:rPr>
                <w:rFonts w:eastAsia="Times New Roman"/>
                <w:color w:val="000000"/>
                <w:sz w:val="21"/>
                <w:szCs w:val="21"/>
              </w:rPr>
            </w:pPr>
            <w:r w:rsidRPr="00792B36">
              <w:rPr>
                <w:rFonts w:eastAsia="Times New Roman"/>
                <w:color w:val="000000"/>
                <w:sz w:val="21"/>
                <w:szCs w:val="21"/>
              </w:rPr>
              <w:t>7</w:t>
            </w:r>
          </w:p>
        </w:tc>
        <w:tc>
          <w:tcPr>
            <w:tcW w:w="812" w:type="pct"/>
            <w:tcBorders>
              <w:top w:val="nil"/>
              <w:left w:val="nil"/>
              <w:bottom w:val="single" w:sz="4" w:space="0" w:color="auto"/>
              <w:right w:val="single" w:sz="4" w:space="0" w:color="auto"/>
            </w:tcBorders>
            <w:noWrap/>
            <w:vAlign w:val="center"/>
            <w:hideMark/>
          </w:tcPr>
          <w:p w14:paraId="764FD5AA" w14:textId="77777777" w:rsidR="009A0A63" w:rsidRPr="00792B36" w:rsidRDefault="009A0A63" w:rsidP="00A24459">
            <w:pPr>
              <w:jc w:val="center"/>
              <w:rPr>
                <w:rFonts w:eastAsia="Times New Roman"/>
                <w:color w:val="000000"/>
                <w:sz w:val="21"/>
                <w:szCs w:val="21"/>
              </w:rPr>
            </w:pPr>
            <w:r w:rsidRPr="00792B36">
              <w:rPr>
                <w:rFonts w:eastAsia="Times New Roman"/>
                <w:color w:val="000000"/>
                <w:sz w:val="21"/>
                <w:szCs w:val="21"/>
              </w:rPr>
              <w:t>8</w:t>
            </w:r>
          </w:p>
        </w:tc>
      </w:tr>
      <w:tr w:rsidR="009A0A63" w:rsidRPr="00792B36" w14:paraId="1D3C52AB" w14:textId="77777777" w:rsidTr="00A24459">
        <w:trPr>
          <w:trHeight w:val="340"/>
        </w:trPr>
        <w:tc>
          <w:tcPr>
            <w:tcW w:w="913" w:type="pct"/>
            <w:tcBorders>
              <w:top w:val="nil"/>
              <w:left w:val="single" w:sz="4" w:space="0" w:color="auto"/>
              <w:bottom w:val="single" w:sz="4" w:space="0" w:color="auto"/>
              <w:right w:val="single" w:sz="4" w:space="0" w:color="auto"/>
            </w:tcBorders>
            <w:noWrap/>
            <w:vAlign w:val="center"/>
            <w:hideMark/>
          </w:tcPr>
          <w:p w14:paraId="6A7BEA4B" w14:textId="77777777" w:rsidR="009A0A63" w:rsidRPr="00792B36" w:rsidRDefault="009A0A63" w:rsidP="00A24459">
            <w:pPr>
              <w:rPr>
                <w:rFonts w:eastAsia="Times New Roman"/>
                <w:color w:val="000000"/>
                <w:sz w:val="21"/>
                <w:szCs w:val="21"/>
              </w:rPr>
            </w:pPr>
            <w:r w:rsidRPr="00792B36">
              <w:rPr>
                <w:rFonts w:eastAsia="Times New Roman"/>
                <w:color w:val="000000"/>
                <w:sz w:val="21"/>
                <w:szCs w:val="21"/>
              </w:rPr>
              <w:t>Samut Sakhon</w:t>
            </w:r>
          </w:p>
        </w:tc>
        <w:tc>
          <w:tcPr>
            <w:tcW w:w="372" w:type="pct"/>
            <w:tcBorders>
              <w:top w:val="nil"/>
              <w:left w:val="nil"/>
              <w:bottom w:val="single" w:sz="4" w:space="0" w:color="auto"/>
              <w:right w:val="single" w:sz="4" w:space="0" w:color="auto"/>
            </w:tcBorders>
            <w:noWrap/>
            <w:vAlign w:val="center"/>
            <w:hideMark/>
          </w:tcPr>
          <w:p w14:paraId="2ED822FA" w14:textId="77777777" w:rsidR="009A0A63" w:rsidRPr="00792B36" w:rsidRDefault="009A0A63" w:rsidP="00A24459">
            <w:pPr>
              <w:jc w:val="center"/>
              <w:rPr>
                <w:rFonts w:eastAsia="Times New Roman"/>
                <w:color w:val="000000"/>
                <w:sz w:val="21"/>
                <w:szCs w:val="21"/>
              </w:rPr>
            </w:pPr>
            <w:r w:rsidRPr="00792B36">
              <w:rPr>
                <w:rFonts w:eastAsia="Times New Roman"/>
                <w:color w:val="000000"/>
                <w:sz w:val="21"/>
                <w:szCs w:val="21"/>
              </w:rPr>
              <w:t>0.597</w:t>
            </w:r>
          </w:p>
        </w:tc>
        <w:tc>
          <w:tcPr>
            <w:tcW w:w="362" w:type="pct"/>
            <w:tcBorders>
              <w:top w:val="nil"/>
              <w:left w:val="nil"/>
              <w:bottom w:val="single" w:sz="4" w:space="0" w:color="auto"/>
              <w:right w:val="single" w:sz="4" w:space="0" w:color="auto"/>
            </w:tcBorders>
            <w:noWrap/>
            <w:vAlign w:val="center"/>
            <w:hideMark/>
          </w:tcPr>
          <w:p w14:paraId="34C2A198" w14:textId="77777777" w:rsidR="009A0A63" w:rsidRPr="00792B36" w:rsidRDefault="009A0A63" w:rsidP="00A24459">
            <w:pPr>
              <w:jc w:val="center"/>
              <w:rPr>
                <w:rFonts w:eastAsia="Times New Roman"/>
                <w:color w:val="000000"/>
                <w:sz w:val="21"/>
                <w:szCs w:val="21"/>
              </w:rPr>
            </w:pPr>
            <w:r w:rsidRPr="00792B36">
              <w:rPr>
                <w:rFonts w:eastAsia="Times New Roman"/>
                <w:color w:val="000000"/>
                <w:sz w:val="21"/>
                <w:szCs w:val="21"/>
              </w:rPr>
              <w:t>0.316</w:t>
            </w:r>
          </w:p>
        </w:tc>
        <w:tc>
          <w:tcPr>
            <w:tcW w:w="445" w:type="pct"/>
            <w:tcBorders>
              <w:top w:val="nil"/>
              <w:left w:val="nil"/>
              <w:bottom w:val="single" w:sz="4" w:space="0" w:color="auto"/>
              <w:right w:val="single" w:sz="4" w:space="0" w:color="auto"/>
            </w:tcBorders>
            <w:noWrap/>
            <w:vAlign w:val="center"/>
            <w:hideMark/>
          </w:tcPr>
          <w:p w14:paraId="29BE16B7" w14:textId="77777777" w:rsidR="009A0A63" w:rsidRPr="00792B36" w:rsidRDefault="009A0A63" w:rsidP="00A24459">
            <w:pPr>
              <w:jc w:val="center"/>
              <w:rPr>
                <w:rFonts w:eastAsia="Times New Roman"/>
                <w:color w:val="000000"/>
                <w:sz w:val="21"/>
                <w:szCs w:val="21"/>
              </w:rPr>
            </w:pPr>
            <w:r w:rsidRPr="00792B36">
              <w:rPr>
                <w:rFonts w:eastAsia="Times New Roman"/>
                <w:color w:val="000000"/>
                <w:sz w:val="21"/>
                <w:szCs w:val="21"/>
              </w:rPr>
              <w:t>0.438</w:t>
            </w:r>
          </w:p>
        </w:tc>
        <w:tc>
          <w:tcPr>
            <w:tcW w:w="660" w:type="pct"/>
            <w:tcBorders>
              <w:top w:val="nil"/>
              <w:left w:val="nil"/>
              <w:bottom w:val="single" w:sz="4" w:space="0" w:color="auto"/>
              <w:right w:val="single" w:sz="4" w:space="0" w:color="auto"/>
            </w:tcBorders>
            <w:noWrap/>
            <w:vAlign w:val="center"/>
            <w:hideMark/>
          </w:tcPr>
          <w:p w14:paraId="7C7A43CB" w14:textId="77777777" w:rsidR="009A0A63" w:rsidRPr="00792B36" w:rsidRDefault="009A0A63" w:rsidP="00A24459">
            <w:pPr>
              <w:jc w:val="center"/>
              <w:rPr>
                <w:rFonts w:eastAsia="Times New Roman"/>
                <w:color w:val="000000"/>
                <w:sz w:val="21"/>
                <w:szCs w:val="21"/>
              </w:rPr>
            </w:pPr>
            <w:r w:rsidRPr="00792B36">
              <w:rPr>
                <w:rFonts w:eastAsia="Times New Roman"/>
                <w:color w:val="000000"/>
                <w:sz w:val="21"/>
                <w:szCs w:val="21"/>
              </w:rPr>
              <w:t>0.377</w:t>
            </w:r>
          </w:p>
        </w:tc>
        <w:tc>
          <w:tcPr>
            <w:tcW w:w="393" w:type="pct"/>
            <w:tcBorders>
              <w:top w:val="nil"/>
              <w:left w:val="nil"/>
              <w:bottom w:val="single" w:sz="4" w:space="0" w:color="auto"/>
              <w:right w:val="single" w:sz="4" w:space="0" w:color="auto"/>
            </w:tcBorders>
            <w:noWrap/>
            <w:vAlign w:val="center"/>
            <w:hideMark/>
          </w:tcPr>
          <w:p w14:paraId="7987B05D" w14:textId="77777777" w:rsidR="009A0A63" w:rsidRPr="00792B36" w:rsidRDefault="009A0A63" w:rsidP="00A24459">
            <w:pPr>
              <w:jc w:val="center"/>
              <w:rPr>
                <w:rFonts w:eastAsia="Times New Roman"/>
                <w:color w:val="000000"/>
                <w:sz w:val="21"/>
                <w:szCs w:val="21"/>
              </w:rPr>
            </w:pPr>
            <w:r w:rsidRPr="00792B36">
              <w:rPr>
                <w:rFonts w:eastAsia="Times New Roman"/>
                <w:color w:val="000000"/>
                <w:sz w:val="21"/>
                <w:szCs w:val="21"/>
              </w:rPr>
              <w:t>0.004</w:t>
            </w:r>
          </w:p>
        </w:tc>
        <w:tc>
          <w:tcPr>
            <w:tcW w:w="484" w:type="pct"/>
            <w:tcBorders>
              <w:top w:val="nil"/>
              <w:left w:val="nil"/>
              <w:bottom w:val="single" w:sz="4" w:space="0" w:color="auto"/>
              <w:right w:val="single" w:sz="4" w:space="0" w:color="auto"/>
            </w:tcBorders>
            <w:noWrap/>
            <w:vAlign w:val="center"/>
            <w:hideMark/>
          </w:tcPr>
          <w:p w14:paraId="6585D618" w14:textId="77777777" w:rsidR="009A0A63" w:rsidRPr="00792B36" w:rsidRDefault="009A0A63" w:rsidP="00A24459">
            <w:pPr>
              <w:jc w:val="center"/>
              <w:rPr>
                <w:rFonts w:eastAsia="Times New Roman"/>
                <w:color w:val="000000"/>
                <w:sz w:val="21"/>
                <w:szCs w:val="21"/>
              </w:rPr>
            </w:pPr>
            <w:r w:rsidRPr="00792B36">
              <w:rPr>
                <w:rFonts w:eastAsia="Times New Roman"/>
                <w:color w:val="000000"/>
                <w:sz w:val="21"/>
                <w:szCs w:val="21"/>
              </w:rPr>
              <w:t>0.011</w:t>
            </w:r>
          </w:p>
        </w:tc>
        <w:tc>
          <w:tcPr>
            <w:tcW w:w="559" w:type="pct"/>
            <w:tcBorders>
              <w:top w:val="nil"/>
              <w:left w:val="nil"/>
              <w:bottom w:val="single" w:sz="4" w:space="0" w:color="auto"/>
              <w:right w:val="single" w:sz="4" w:space="0" w:color="auto"/>
            </w:tcBorders>
            <w:noWrap/>
            <w:vAlign w:val="center"/>
            <w:hideMark/>
          </w:tcPr>
          <w:p w14:paraId="5A734FBA" w14:textId="77777777" w:rsidR="009A0A63" w:rsidRPr="00792B36" w:rsidRDefault="009A0A63" w:rsidP="00A24459">
            <w:pPr>
              <w:jc w:val="center"/>
              <w:rPr>
                <w:rFonts w:eastAsia="Times New Roman"/>
                <w:color w:val="000000"/>
                <w:sz w:val="21"/>
                <w:szCs w:val="21"/>
              </w:rPr>
            </w:pPr>
            <w:r w:rsidRPr="00792B36">
              <w:rPr>
                <w:rFonts w:eastAsia="Times New Roman"/>
                <w:color w:val="000000"/>
                <w:sz w:val="21"/>
                <w:szCs w:val="21"/>
              </w:rPr>
              <w:t>16</w:t>
            </w:r>
          </w:p>
        </w:tc>
        <w:tc>
          <w:tcPr>
            <w:tcW w:w="812" w:type="pct"/>
            <w:tcBorders>
              <w:top w:val="nil"/>
              <w:left w:val="nil"/>
              <w:bottom w:val="single" w:sz="4" w:space="0" w:color="auto"/>
              <w:right w:val="single" w:sz="4" w:space="0" w:color="auto"/>
            </w:tcBorders>
            <w:noWrap/>
            <w:vAlign w:val="center"/>
            <w:hideMark/>
          </w:tcPr>
          <w:p w14:paraId="14C679D3" w14:textId="77777777" w:rsidR="009A0A63" w:rsidRPr="00792B36" w:rsidRDefault="009A0A63" w:rsidP="00A24459">
            <w:pPr>
              <w:jc w:val="center"/>
              <w:rPr>
                <w:rFonts w:eastAsia="Times New Roman"/>
                <w:color w:val="000000"/>
                <w:sz w:val="21"/>
                <w:szCs w:val="21"/>
              </w:rPr>
            </w:pPr>
            <w:r w:rsidRPr="00792B36">
              <w:rPr>
                <w:rFonts w:eastAsia="Times New Roman"/>
                <w:color w:val="000000"/>
                <w:sz w:val="21"/>
                <w:szCs w:val="21"/>
              </w:rPr>
              <w:t>4</w:t>
            </w:r>
          </w:p>
        </w:tc>
      </w:tr>
      <w:tr w:rsidR="009A0A63" w:rsidRPr="00792B36" w14:paraId="7CA8A584" w14:textId="77777777" w:rsidTr="00A24459">
        <w:trPr>
          <w:trHeight w:val="340"/>
        </w:trPr>
        <w:tc>
          <w:tcPr>
            <w:tcW w:w="913" w:type="pct"/>
            <w:tcBorders>
              <w:top w:val="nil"/>
              <w:left w:val="single" w:sz="4" w:space="0" w:color="auto"/>
              <w:bottom w:val="single" w:sz="4" w:space="0" w:color="auto"/>
              <w:right w:val="single" w:sz="4" w:space="0" w:color="auto"/>
            </w:tcBorders>
            <w:noWrap/>
            <w:vAlign w:val="center"/>
            <w:hideMark/>
          </w:tcPr>
          <w:p w14:paraId="2E3C3ABF" w14:textId="77777777" w:rsidR="009A0A63" w:rsidRPr="00792B36" w:rsidRDefault="009A0A63" w:rsidP="00A24459">
            <w:pPr>
              <w:rPr>
                <w:rFonts w:eastAsia="Times New Roman"/>
                <w:color w:val="000000"/>
                <w:sz w:val="21"/>
                <w:szCs w:val="21"/>
              </w:rPr>
            </w:pPr>
            <w:r w:rsidRPr="00792B36">
              <w:rPr>
                <w:rFonts w:eastAsia="Times New Roman"/>
                <w:color w:val="000000"/>
                <w:sz w:val="21"/>
                <w:szCs w:val="21"/>
              </w:rPr>
              <w:t>Samut Songkhram</w:t>
            </w:r>
          </w:p>
        </w:tc>
        <w:tc>
          <w:tcPr>
            <w:tcW w:w="372" w:type="pct"/>
            <w:tcBorders>
              <w:top w:val="nil"/>
              <w:left w:val="nil"/>
              <w:bottom w:val="single" w:sz="4" w:space="0" w:color="auto"/>
              <w:right w:val="single" w:sz="4" w:space="0" w:color="auto"/>
            </w:tcBorders>
            <w:noWrap/>
            <w:vAlign w:val="center"/>
            <w:hideMark/>
          </w:tcPr>
          <w:p w14:paraId="57A675F2" w14:textId="77777777" w:rsidR="009A0A63" w:rsidRPr="00792B36" w:rsidRDefault="009A0A63" w:rsidP="00A24459">
            <w:pPr>
              <w:jc w:val="center"/>
              <w:rPr>
                <w:rFonts w:eastAsia="Times New Roman"/>
                <w:color w:val="000000"/>
                <w:sz w:val="21"/>
                <w:szCs w:val="21"/>
              </w:rPr>
            </w:pPr>
            <w:r w:rsidRPr="00792B36">
              <w:rPr>
                <w:rFonts w:eastAsia="Times New Roman"/>
                <w:color w:val="000000"/>
                <w:sz w:val="21"/>
                <w:szCs w:val="21"/>
              </w:rPr>
              <w:t>0.052</w:t>
            </w:r>
          </w:p>
        </w:tc>
        <w:tc>
          <w:tcPr>
            <w:tcW w:w="362" w:type="pct"/>
            <w:tcBorders>
              <w:top w:val="nil"/>
              <w:left w:val="nil"/>
              <w:bottom w:val="single" w:sz="4" w:space="0" w:color="auto"/>
              <w:right w:val="single" w:sz="4" w:space="0" w:color="auto"/>
            </w:tcBorders>
            <w:noWrap/>
            <w:vAlign w:val="center"/>
            <w:hideMark/>
          </w:tcPr>
          <w:p w14:paraId="2807A679" w14:textId="77777777" w:rsidR="009A0A63" w:rsidRPr="00792B36" w:rsidRDefault="009A0A63" w:rsidP="00A24459">
            <w:pPr>
              <w:jc w:val="center"/>
              <w:rPr>
                <w:rFonts w:eastAsia="Times New Roman"/>
                <w:color w:val="000000"/>
                <w:sz w:val="21"/>
                <w:szCs w:val="21"/>
              </w:rPr>
            </w:pPr>
            <w:r w:rsidRPr="00792B36">
              <w:rPr>
                <w:rFonts w:eastAsia="Times New Roman"/>
                <w:color w:val="000000"/>
                <w:sz w:val="21"/>
                <w:szCs w:val="21"/>
              </w:rPr>
              <w:t>0.337</w:t>
            </w:r>
          </w:p>
        </w:tc>
        <w:tc>
          <w:tcPr>
            <w:tcW w:w="445" w:type="pct"/>
            <w:tcBorders>
              <w:top w:val="nil"/>
              <w:left w:val="nil"/>
              <w:bottom w:val="single" w:sz="4" w:space="0" w:color="auto"/>
              <w:right w:val="single" w:sz="4" w:space="0" w:color="auto"/>
            </w:tcBorders>
            <w:noWrap/>
            <w:vAlign w:val="center"/>
            <w:hideMark/>
          </w:tcPr>
          <w:p w14:paraId="488A3677" w14:textId="77777777" w:rsidR="009A0A63" w:rsidRPr="00792B36" w:rsidRDefault="009A0A63" w:rsidP="00A24459">
            <w:pPr>
              <w:jc w:val="center"/>
              <w:rPr>
                <w:rFonts w:eastAsia="Times New Roman"/>
                <w:color w:val="000000"/>
                <w:sz w:val="21"/>
                <w:szCs w:val="21"/>
              </w:rPr>
            </w:pPr>
            <w:r w:rsidRPr="00792B36">
              <w:rPr>
                <w:rFonts w:eastAsia="Times New Roman"/>
                <w:color w:val="000000"/>
                <w:sz w:val="21"/>
                <w:szCs w:val="21"/>
              </w:rPr>
              <w:t>0.740</w:t>
            </w:r>
          </w:p>
        </w:tc>
        <w:tc>
          <w:tcPr>
            <w:tcW w:w="660" w:type="pct"/>
            <w:tcBorders>
              <w:top w:val="nil"/>
              <w:left w:val="nil"/>
              <w:bottom w:val="single" w:sz="4" w:space="0" w:color="auto"/>
              <w:right w:val="single" w:sz="4" w:space="0" w:color="auto"/>
            </w:tcBorders>
            <w:noWrap/>
            <w:vAlign w:val="center"/>
            <w:hideMark/>
          </w:tcPr>
          <w:p w14:paraId="79584A25" w14:textId="77777777" w:rsidR="009A0A63" w:rsidRPr="00792B36" w:rsidRDefault="009A0A63" w:rsidP="00A24459">
            <w:pPr>
              <w:jc w:val="center"/>
              <w:rPr>
                <w:rFonts w:eastAsia="Times New Roman"/>
                <w:color w:val="000000"/>
                <w:sz w:val="21"/>
                <w:szCs w:val="21"/>
              </w:rPr>
            </w:pPr>
            <w:r w:rsidRPr="00792B36">
              <w:rPr>
                <w:rFonts w:eastAsia="Times New Roman"/>
                <w:color w:val="000000"/>
                <w:sz w:val="21"/>
                <w:szCs w:val="21"/>
              </w:rPr>
              <w:t>0.538</w:t>
            </w:r>
          </w:p>
        </w:tc>
        <w:tc>
          <w:tcPr>
            <w:tcW w:w="393" w:type="pct"/>
            <w:tcBorders>
              <w:top w:val="nil"/>
              <w:left w:val="nil"/>
              <w:bottom w:val="single" w:sz="4" w:space="0" w:color="auto"/>
              <w:right w:val="single" w:sz="4" w:space="0" w:color="auto"/>
            </w:tcBorders>
            <w:noWrap/>
            <w:vAlign w:val="center"/>
            <w:hideMark/>
          </w:tcPr>
          <w:p w14:paraId="4B216241" w14:textId="77777777" w:rsidR="009A0A63" w:rsidRPr="00792B36" w:rsidRDefault="009A0A63" w:rsidP="00A24459">
            <w:pPr>
              <w:jc w:val="center"/>
              <w:rPr>
                <w:rFonts w:eastAsia="Times New Roman"/>
                <w:color w:val="000000"/>
                <w:sz w:val="21"/>
                <w:szCs w:val="21"/>
              </w:rPr>
            </w:pPr>
            <w:r w:rsidRPr="00792B36">
              <w:rPr>
                <w:rFonts w:eastAsia="Times New Roman"/>
                <w:color w:val="000000"/>
                <w:sz w:val="21"/>
                <w:szCs w:val="21"/>
              </w:rPr>
              <w:t>0.003</w:t>
            </w:r>
          </w:p>
        </w:tc>
        <w:tc>
          <w:tcPr>
            <w:tcW w:w="484" w:type="pct"/>
            <w:tcBorders>
              <w:top w:val="nil"/>
              <w:left w:val="nil"/>
              <w:bottom w:val="single" w:sz="4" w:space="0" w:color="auto"/>
              <w:right w:val="single" w:sz="4" w:space="0" w:color="auto"/>
            </w:tcBorders>
            <w:noWrap/>
            <w:vAlign w:val="center"/>
            <w:hideMark/>
          </w:tcPr>
          <w:p w14:paraId="5AC33858" w14:textId="77777777" w:rsidR="009A0A63" w:rsidRPr="00792B36" w:rsidRDefault="009A0A63" w:rsidP="00A24459">
            <w:pPr>
              <w:jc w:val="center"/>
              <w:rPr>
                <w:rFonts w:eastAsia="Times New Roman"/>
                <w:color w:val="000000"/>
                <w:sz w:val="21"/>
                <w:szCs w:val="21"/>
              </w:rPr>
            </w:pPr>
            <w:r w:rsidRPr="00792B36">
              <w:rPr>
                <w:rFonts w:eastAsia="Times New Roman"/>
                <w:color w:val="000000"/>
                <w:sz w:val="21"/>
                <w:szCs w:val="21"/>
              </w:rPr>
              <w:t>0.005</w:t>
            </w:r>
          </w:p>
        </w:tc>
        <w:tc>
          <w:tcPr>
            <w:tcW w:w="559" w:type="pct"/>
            <w:tcBorders>
              <w:top w:val="nil"/>
              <w:left w:val="nil"/>
              <w:bottom w:val="single" w:sz="4" w:space="0" w:color="auto"/>
              <w:right w:val="single" w:sz="4" w:space="0" w:color="auto"/>
            </w:tcBorders>
            <w:noWrap/>
            <w:vAlign w:val="center"/>
            <w:hideMark/>
          </w:tcPr>
          <w:p w14:paraId="0E5574EB" w14:textId="77777777" w:rsidR="009A0A63" w:rsidRPr="00792B36" w:rsidRDefault="009A0A63" w:rsidP="00A24459">
            <w:pPr>
              <w:jc w:val="center"/>
              <w:rPr>
                <w:rFonts w:eastAsia="Times New Roman"/>
                <w:color w:val="000000"/>
                <w:sz w:val="21"/>
                <w:szCs w:val="21"/>
              </w:rPr>
            </w:pPr>
            <w:r w:rsidRPr="00792B36">
              <w:rPr>
                <w:rFonts w:eastAsia="Times New Roman"/>
                <w:color w:val="000000"/>
                <w:sz w:val="21"/>
                <w:szCs w:val="21"/>
              </w:rPr>
              <w:t>17</w:t>
            </w:r>
          </w:p>
        </w:tc>
        <w:tc>
          <w:tcPr>
            <w:tcW w:w="812" w:type="pct"/>
            <w:tcBorders>
              <w:top w:val="nil"/>
              <w:left w:val="nil"/>
              <w:bottom w:val="single" w:sz="4" w:space="0" w:color="auto"/>
              <w:right w:val="single" w:sz="4" w:space="0" w:color="auto"/>
            </w:tcBorders>
            <w:noWrap/>
            <w:vAlign w:val="center"/>
            <w:hideMark/>
          </w:tcPr>
          <w:p w14:paraId="7F7312E4" w14:textId="77777777" w:rsidR="009A0A63" w:rsidRPr="00792B36" w:rsidRDefault="009A0A63" w:rsidP="00A24459">
            <w:pPr>
              <w:jc w:val="center"/>
              <w:rPr>
                <w:rFonts w:eastAsia="Times New Roman"/>
                <w:color w:val="000000"/>
                <w:sz w:val="21"/>
                <w:szCs w:val="21"/>
              </w:rPr>
            </w:pPr>
            <w:r w:rsidRPr="00792B36">
              <w:rPr>
                <w:rFonts w:eastAsia="Times New Roman"/>
                <w:color w:val="000000"/>
                <w:sz w:val="21"/>
                <w:szCs w:val="21"/>
              </w:rPr>
              <w:t>2</w:t>
            </w:r>
          </w:p>
        </w:tc>
      </w:tr>
      <w:tr w:rsidR="009A0A63" w:rsidRPr="00792B36" w14:paraId="0753BD92" w14:textId="77777777" w:rsidTr="00A24459">
        <w:trPr>
          <w:trHeight w:val="340"/>
        </w:trPr>
        <w:tc>
          <w:tcPr>
            <w:tcW w:w="913" w:type="pct"/>
            <w:tcBorders>
              <w:top w:val="nil"/>
              <w:left w:val="single" w:sz="4" w:space="0" w:color="auto"/>
              <w:bottom w:val="single" w:sz="4" w:space="0" w:color="auto"/>
              <w:right w:val="single" w:sz="4" w:space="0" w:color="auto"/>
            </w:tcBorders>
            <w:noWrap/>
            <w:vAlign w:val="center"/>
            <w:hideMark/>
          </w:tcPr>
          <w:p w14:paraId="6CE2C059" w14:textId="77777777" w:rsidR="009A0A63" w:rsidRPr="00792B36" w:rsidRDefault="009A0A63" w:rsidP="00A24459">
            <w:pPr>
              <w:rPr>
                <w:rFonts w:eastAsia="Times New Roman"/>
                <w:color w:val="000000"/>
                <w:sz w:val="21"/>
                <w:szCs w:val="21"/>
              </w:rPr>
            </w:pPr>
            <w:r w:rsidRPr="00792B36">
              <w:rPr>
                <w:rFonts w:eastAsia="Times New Roman"/>
                <w:color w:val="000000"/>
                <w:sz w:val="21"/>
                <w:szCs w:val="21"/>
              </w:rPr>
              <w:t>Phetchaburi</w:t>
            </w:r>
          </w:p>
        </w:tc>
        <w:tc>
          <w:tcPr>
            <w:tcW w:w="372" w:type="pct"/>
            <w:tcBorders>
              <w:top w:val="nil"/>
              <w:left w:val="nil"/>
              <w:bottom w:val="single" w:sz="4" w:space="0" w:color="auto"/>
              <w:right w:val="single" w:sz="4" w:space="0" w:color="auto"/>
            </w:tcBorders>
            <w:noWrap/>
            <w:vAlign w:val="center"/>
            <w:hideMark/>
          </w:tcPr>
          <w:p w14:paraId="51F9F8DD" w14:textId="77777777" w:rsidR="009A0A63" w:rsidRPr="00792B36" w:rsidRDefault="009A0A63" w:rsidP="00A24459">
            <w:pPr>
              <w:jc w:val="center"/>
              <w:rPr>
                <w:rFonts w:eastAsia="Times New Roman"/>
                <w:color w:val="000000"/>
                <w:sz w:val="21"/>
                <w:szCs w:val="21"/>
              </w:rPr>
            </w:pPr>
            <w:r w:rsidRPr="00792B36">
              <w:rPr>
                <w:rFonts w:eastAsia="Times New Roman"/>
                <w:color w:val="000000"/>
                <w:sz w:val="21"/>
                <w:szCs w:val="21"/>
              </w:rPr>
              <w:t>0.218</w:t>
            </w:r>
          </w:p>
        </w:tc>
        <w:tc>
          <w:tcPr>
            <w:tcW w:w="362" w:type="pct"/>
            <w:tcBorders>
              <w:top w:val="nil"/>
              <w:left w:val="nil"/>
              <w:bottom w:val="single" w:sz="4" w:space="0" w:color="auto"/>
              <w:right w:val="single" w:sz="4" w:space="0" w:color="auto"/>
            </w:tcBorders>
            <w:noWrap/>
            <w:vAlign w:val="center"/>
            <w:hideMark/>
          </w:tcPr>
          <w:p w14:paraId="7DCD0ABA" w14:textId="77777777" w:rsidR="009A0A63" w:rsidRPr="00792B36" w:rsidRDefault="009A0A63" w:rsidP="00A24459">
            <w:pPr>
              <w:jc w:val="center"/>
              <w:rPr>
                <w:rFonts w:eastAsia="Times New Roman"/>
                <w:color w:val="000000"/>
                <w:sz w:val="21"/>
                <w:szCs w:val="21"/>
              </w:rPr>
            </w:pPr>
            <w:r w:rsidRPr="00792B36">
              <w:rPr>
                <w:rFonts w:eastAsia="Times New Roman"/>
                <w:color w:val="000000"/>
                <w:sz w:val="21"/>
                <w:szCs w:val="21"/>
              </w:rPr>
              <w:t>0.219</w:t>
            </w:r>
          </w:p>
        </w:tc>
        <w:tc>
          <w:tcPr>
            <w:tcW w:w="445" w:type="pct"/>
            <w:tcBorders>
              <w:top w:val="nil"/>
              <w:left w:val="nil"/>
              <w:bottom w:val="single" w:sz="4" w:space="0" w:color="auto"/>
              <w:right w:val="single" w:sz="4" w:space="0" w:color="auto"/>
            </w:tcBorders>
            <w:noWrap/>
            <w:vAlign w:val="center"/>
            <w:hideMark/>
          </w:tcPr>
          <w:p w14:paraId="3E21769C" w14:textId="77777777" w:rsidR="009A0A63" w:rsidRPr="00792B36" w:rsidRDefault="009A0A63" w:rsidP="00A24459">
            <w:pPr>
              <w:jc w:val="center"/>
              <w:rPr>
                <w:rFonts w:eastAsia="Times New Roman"/>
                <w:color w:val="000000"/>
                <w:sz w:val="21"/>
                <w:szCs w:val="21"/>
              </w:rPr>
            </w:pPr>
            <w:r w:rsidRPr="00792B36">
              <w:rPr>
                <w:rFonts w:eastAsia="Times New Roman"/>
                <w:color w:val="000000"/>
                <w:sz w:val="21"/>
                <w:szCs w:val="21"/>
              </w:rPr>
              <w:t>0.452</w:t>
            </w:r>
          </w:p>
        </w:tc>
        <w:tc>
          <w:tcPr>
            <w:tcW w:w="660" w:type="pct"/>
            <w:tcBorders>
              <w:top w:val="nil"/>
              <w:left w:val="nil"/>
              <w:bottom w:val="single" w:sz="4" w:space="0" w:color="auto"/>
              <w:right w:val="single" w:sz="4" w:space="0" w:color="auto"/>
            </w:tcBorders>
            <w:noWrap/>
            <w:vAlign w:val="center"/>
            <w:hideMark/>
          </w:tcPr>
          <w:p w14:paraId="24D00DE0" w14:textId="77777777" w:rsidR="009A0A63" w:rsidRPr="00792B36" w:rsidRDefault="009A0A63" w:rsidP="00A24459">
            <w:pPr>
              <w:jc w:val="center"/>
              <w:rPr>
                <w:rFonts w:eastAsia="Times New Roman"/>
                <w:color w:val="000000"/>
                <w:sz w:val="21"/>
                <w:szCs w:val="21"/>
              </w:rPr>
            </w:pPr>
            <w:r w:rsidRPr="00792B36">
              <w:rPr>
                <w:rFonts w:eastAsia="Times New Roman"/>
                <w:color w:val="000000"/>
                <w:sz w:val="21"/>
                <w:szCs w:val="21"/>
              </w:rPr>
              <w:t>0.336</w:t>
            </w:r>
          </w:p>
        </w:tc>
        <w:tc>
          <w:tcPr>
            <w:tcW w:w="393" w:type="pct"/>
            <w:tcBorders>
              <w:top w:val="nil"/>
              <w:left w:val="nil"/>
              <w:bottom w:val="single" w:sz="4" w:space="0" w:color="auto"/>
              <w:right w:val="single" w:sz="4" w:space="0" w:color="auto"/>
            </w:tcBorders>
            <w:noWrap/>
            <w:vAlign w:val="center"/>
            <w:hideMark/>
          </w:tcPr>
          <w:p w14:paraId="5CB0FDA0" w14:textId="77777777" w:rsidR="009A0A63" w:rsidRPr="00792B36" w:rsidRDefault="009A0A63" w:rsidP="00A24459">
            <w:pPr>
              <w:jc w:val="center"/>
              <w:rPr>
                <w:rFonts w:eastAsia="Times New Roman"/>
                <w:color w:val="000000"/>
                <w:sz w:val="21"/>
                <w:szCs w:val="21"/>
              </w:rPr>
            </w:pPr>
            <w:r w:rsidRPr="00792B36">
              <w:rPr>
                <w:rFonts w:eastAsia="Times New Roman"/>
                <w:color w:val="000000"/>
                <w:sz w:val="21"/>
                <w:szCs w:val="21"/>
              </w:rPr>
              <w:t>0.026</w:t>
            </w:r>
          </w:p>
        </w:tc>
        <w:tc>
          <w:tcPr>
            <w:tcW w:w="484" w:type="pct"/>
            <w:tcBorders>
              <w:top w:val="nil"/>
              <w:left w:val="nil"/>
              <w:bottom w:val="single" w:sz="4" w:space="0" w:color="auto"/>
              <w:right w:val="single" w:sz="4" w:space="0" w:color="auto"/>
            </w:tcBorders>
            <w:noWrap/>
            <w:vAlign w:val="center"/>
            <w:hideMark/>
          </w:tcPr>
          <w:p w14:paraId="0CFEC642" w14:textId="77777777" w:rsidR="009A0A63" w:rsidRPr="00792B36" w:rsidRDefault="009A0A63" w:rsidP="00A24459">
            <w:pPr>
              <w:jc w:val="center"/>
              <w:rPr>
                <w:rFonts w:eastAsia="Times New Roman"/>
                <w:color w:val="000000"/>
                <w:sz w:val="21"/>
                <w:szCs w:val="21"/>
              </w:rPr>
            </w:pPr>
            <w:r w:rsidRPr="00792B36">
              <w:rPr>
                <w:rFonts w:eastAsia="Times New Roman"/>
                <w:color w:val="000000"/>
                <w:sz w:val="21"/>
                <w:szCs w:val="21"/>
              </w:rPr>
              <w:t>0.076</w:t>
            </w:r>
          </w:p>
        </w:tc>
        <w:tc>
          <w:tcPr>
            <w:tcW w:w="559" w:type="pct"/>
            <w:tcBorders>
              <w:top w:val="nil"/>
              <w:left w:val="nil"/>
              <w:bottom w:val="single" w:sz="4" w:space="0" w:color="auto"/>
              <w:right w:val="single" w:sz="4" w:space="0" w:color="auto"/>
            </w:tcBorders>
            <w:noWrap/>
            <w:vAlign w:val="center"/>
            <w:hideMark/>
          </w:tcPr>
          <w:p w14:paraId="2508915E" w14:textId="77777777" w:rsidR="009A0A63" w:rsidRPr="00792B36" w:rsidRDefault="009A0A63" w:rsidP="00A24459">
            <w:pPr>
              <w:jc w:val="center"/>
              <w:rPr>
                <w:rFonts w:eastAsia="Times New Roman"/>
                <w:color w:val="000000"/>
                <w:sz w:val="21"/>
                <w:szCs w:val="21"/>
              </w:rPr>
            </w:pPr>
            <w:r w:rsidRPr="00792B36">
              <w:rPr>
                <w:rFonts w:eastAsia="Times New Roman"/>
                <w:color w:val="000000"/>
                <w:sz w:val="21"/>
                <w:szCs w:val="21"/>
              </w:rPr>
              <w:t>5</w:t>
            </w:r>
          </w:p>
        </w:tc>
        <w:tc>
          <w:tcPr>
            <w:tcW w:w="812" w:type="pct"/>
            <w:tcBorders>
              <w:top w:val="nil"/>
              <w:left w:val="nil"/>
              <w:bottom w:val="single" w:sz="4" w:space="0" w:color="auto"/>
              <w:right w:val="single" w:sz="4" w:space="0" w:color="auto"/>
            </w:tcBorders>
            <w:noWrap/>
            <w:vAlign w:val="center"/>
            <w:hideMark/>
          </w:tcPr>
          <w:p w14:paraId="54BD9040" w14:textId="77777777" w:rsidR="009A0A63" w:rsidRPr="00792B36" w:rsidRDefault="009A0A63" w:rsidP="00A24459">
            <w:pPr>
              <w:jc w:val="center"/>
              <w:rPr>
                <w:rFonts w:eastAsia="Times New Roman"/>
                <w:color w:val="000000"/>
                <w:sz w:val="21"/>
                <w:szCs w:val="21"/>
              </w:rPr>
            </w:pPr>
            <w:r w:rsidRPr="00792B36">
              <w:rPr>
                <w:rFonts w:eastAsia="Times New Roman"/>
                <w:color w:val="000000"/>
                <w:sz w:val="21"/>
                <w:szCs w:val="21"/>
              </w:rPr>
              <w:t>10</w:t>
            </w:r>
          </w:p>
        </w:tc>
      </w:tr>
      <w:tr w:rsidR="009A0A63" w:rsidRPr="00792B36" w14:paraId="3AB48C72" w14:textId="77777777" w:rsidTr="00A24459">
        <w:trPr>
          <w:trHeight w:val="340"/>
        </w:trPr>
        <w:tc>
          <w:tcPr>
            <w:tcW w:w="913" w:type="pct"/>
            <w:tcBorders>
              <w:top w:val="nil"/>
              <w:left w:val="single" w:sz="4" w:space="0" w:color="auto"/>
              <w:bottom w:val="single" w:sz="4" w:space="0" w:color="auto"/>
              <w:right w:val="single" w:sz="4" w:space="0" w:color="auto"/>
            </w:tcBorders>
            <w:noWrap/>
            <w:vAlign w:val="center"/>
            <w:hideMark/>
          </w:tcPr>
          <w:p w14:paraId="329C471B" w14:textId="77777777" w:rsidR="009A0A63" w:rsidRPr="00792B36" w:rsidRDefault="009A0A63" w:rsidP="00A24459">
            <w:pPr>
              <w:rPr>
                <w:rFonts w:eastAsia="Times New Roman"/>
                <w:color w:val="000000"/>
                <w:sz w:val="21"/>
                <w:szCs w:val="21"/>
              </w:rPr>
            </w:pPr>
            <w:r w:rsidRPr="00792B36">
              <w:rPr>
                <w:rFonts w:eastAsia="Times New Roman"/>
                <w:color w:val="000000"/>
                <w:sz w:val="21"/>
                <w:szCs w:val="21"/>
              </w:rPr>
              <w:t>Prachuap Khiri Khan</w:t>
            </w:r>
          </w:p>
        </w:tc>
        <w:tc>
          <w:tcPr>
            <w:tcW w:w="372" w:type="pct"/>
            <w:tcBorders>
              <w:top w:val="nil"/>
              <w:left w:val="nil"/>
              <w:bottom w:val="single" w:sz="4" w:space="0" w:color="auto"/>
              <w:right w:val="single" w:sz="4" w:space="0" w:color="auto"/>
            </w:tcBorders>
            <w:noWrap/>
            <w:vAlign w:val="center"/>
            <w:hideMark/>
          </w:tcPr>
          <w:p w14:paraId="3060B213" w14:textId="77777777" w:rsidR="009A0A63" w:rsidRPr="00792B36" w:rsidRDefault="009A0A63" w:rsidP="00A24459">
            <w:pPr>
              <w:jc w:val="center"/>
              <w:rPr>
                <w:rFonts w:eastAsia="Times New Roman"/>
                <w:color w:val="000000"/>
                <w:sz w:val="21"/>
                <w:szCs w:val="21"/>
              </w:rPr>
            </w:pPr>
            <w:r w:rsidRPr="00792B36">
              <w:rPr>
                <w:rFonts w:eastAsia="Times New Roman"/>
                <w:color w:val="000000"/>
                <w:sz w:val="21"/>
                <w:szCs w:val="21"/>
              </w:rPr>
              <w:t>0.469</w:t>
            </w:r>
          </w:p>
        </w:tc>
        <w:tc>
          <w:tcPr>
            <w:tcW w:w="362" w:type="pct"/>
            <w:tcBorders>
              <w:top w:val="nil"/>
              <w:left w:val="nil"/>
              <w:bottom w:val="single" w:sz="4" w:space="0" w:color="auto"/>
              <w:right w:val="single" w:sz="4" w:space="0" w:color="auto"/>
            </w:tcBorders>
            <w:noWrap/>
            <w:vAlign w:val="center"/>
            <w:hideMark/>
          </w:tcPr>
          <w:p w14:paraId="089C3F86" w14:textId="77777777" w:rsidR="009A0A63" w:rsidRPr="00792B36" w:rsidRDefault="009A0A63" w:rsidP="00A24459">
            <w:pPr>
              <w:jc w:val="center"/>
              <w:rPr>
                <w:rFonts w:eastAsia="Times New Roman"/>
                <w:color w:val="000000"/>
                <w:sz w:val="21"/>
                <w:szCs w:val="21"/>
              </w:rPr>
            </w:pPr>
            <w:r w:rsidRPr="00792B36">
              <w:rPr>
                <w:rFonts w:eastAsia="Times New Roman"/>
                <w:color w:val="000000"/>
                <w:sz w:val="21"/>
                <w:szCs w:val="21"/>
              </w:rPr>
              <w:t>0.387</w:t>
            </w:r>
          </w:p>
        </w:tc>
        <w:tc>
          <w:tcPr>
            <w:tcW w:w="445" w:type="pct"/>
            <w:tcBorders>
              <w:top w:val="nil"/>
              <w:left w:val="nil"/>
              <w:bottom w:val="single" w:sz="4" w:space="0" w:color="auto"/>
              <w:right w:val="single" w:sz="4" w:space="0" w:color="auto"/>
            </w:tcBorders>
            <w:noWrap/>
            <w:vAlign w:val="center"/>
            <w:hideMark/>
          </w:tcPr>
          <w:p w14:paraId="6D3DA921" w14:textId="77777777" w:rsidR="009A0A63" w:rsidRPr="00792B36" w:rsidRDefault="009A0A63" w:rsidP="00A24459">
            <w:pPr>
              <w:jc w:val="center"/>
              <w:rPr>
                <w:rFonts w:eastAsia="Times New Roman"/>
                <w:color w:val="000000"/>
                <w:sz w:val="21"/>
                <w:szCs w:val="21"/>
              </w:rPr>
            </w:pPr>
            <w:r w:rsidRPr="00792B36">
              <w:rPr>
                <w:rFonts w:eastAsia="Times New Roman"/>
                <w:color w:val="000000"/>
                <w:sz w:val="21"/>
                <w:szCs w:val="21"/>
              </w:rPr>
              <w:t>0.148</w:t>
            </w:r>
          </w:p>
        </w:tc>
        <w:tc>
          <w:tcPr>
            <w:tcW w:w="660" w:type="pct"/>
            <w:tcBorders>
              <w:top w:val="nil"/>
              <w:left w:val="nil"/>
              <w:bottom w:val="single" w:sz="4" w:space="0" w:color="auto"/>
              <w:right w:val="single" w:sz="4" w:space="0" w:color="auto"/>
            </w:tcBorders>
            <w:noWrap/>
            <w:vAlign w:val="center"/>
            <w:hideMark/>
          </w:tcPr>
          <w:p w14:paraId="718E52B1" w14:textId="77777777" w:rsidR="009A0A63" w:rsidRPr="00792B36" w:rsidRDefault="009A0A63" w:rsidP="00A24459">
            <w:pPr>
              <w:jc w:val="center"/>
              <w:rPr>
                <w:rFonts w:eastAsia="Times New Roman"/>
                <w:color w:val="000000"/>
                <w:sz w:val="21"/>
                <w:szCs w:val="21"/>
              </w:rPr>
            </w:pPr>
            <w:r w:rsidRPr="00792B36">
              <w:rPr>
                <w:rFonts w:eastAsia="Times New Roman"/>
                <w:color w:val="000000"/>
                <w:sz w:val="21"/>
                <w:szCs w:val="21"/>
              </w:rPr>
              <w:t>0.268</w:t>
            </w:r>
          </w:p>
        </w:tc>
        <w:tc>
          <w:tcPr>
            <w:tcW w:w="393" w:type="pct"/>
            <w:tcBorders>
              <w:top w:val="nil"/>
              <w:left w:val="nil"/>
              <w:bottom w:val="single" w:sz="4" w:space="0" w:color="auto"/>
              <w:right w:val="single" w:sz="4" w:space="0" w:color="auto"/>
            </w:tcBorders>
            <w:noWrap/>
            <w:vAlign w:val="center"/>
            <w:hideMark/>
          </w:tcPr>
          <w:p w14:paraId="7C074C4E" w14:textId="77777777" w:rsidR="009A0A63" w:rsidRPr="00792B36" w:rsidRDefault="009A0A63" w:rsidP="00A24459">
            <w:pPr>
              <w:jc w:val="center"/>
              <w:rPr>
                <w:rFonts w:eastAsia="Times New Roman"/>
                <w:color w:val="000000"/>
                <w:sz w:val="21"/>
                <w:szCs w:val="21"/>
              </w:rPr>
            </w:pPr>
            <w:r w:rsidRPr="00792B36">
              <w:rPr>
                <w:rFonts w:eastAsia="Times New Roman"/>
                <w:color w:val="000000"/>
                <w:sz w:val="21"/>
                <w:szCs w:val="21"/>
              </w:rPr>
              <w:t>0.021</w:t>
            </w:r>
          </w:p>
        </w:tc>
        <w:tc>
          <w:tcPr>
            <w:tcW w:w="484" w:type="pct"/>
            <w:tcBorders>
              <w:top w:val="nil"/>
              <w:left w:val="nil"/>
              <w:bottom w:val="single" w:sz="4" w:space="0" w:color="auto"/>
              <w:right w:val="single" w:sz="4" w:space="0" w:color="auto"/>
            </w:tcBorders>
            <w:noWrap/>
            <w:vAlign w:val="center"/>
            <w:hideMark/>
          </w:tcPr>
          <w:p w14:paraId="3F073DDA" w14:textId="77777777" w:rsidR="009A0A63" w:rsidRPr="00792B36" w:rsidRDefault="009A0A63" w:rsidP="00A24459">
            <w:pPr>
              <w:jc w:val="center"/>
              <w:rPr>
                <w:rFonts w:eastAsia="Times New Roman"/>
                <w:color w:val="000000"/>
                <w:sz w:val="21"/>
                <w:szCs w:val="21"/>
              </w:rPr>
            </w:pPr>
            <w:r w:rsidRPr="00792B36">
              <w:rPr>
                <w:rFonts w:eastAsia="Times New Roman"/>
                <w:color w:val="000000"/>
                <w:sz w:val="21"/>
                <w:szCs w:val="21"/>
              </w:rPr>
              <w:t>0.078</w:t>
            </w:r>
          </w:p>
        </w:tc>
        <w:tc>
          <w:tcPr>
            <w:tcW w:w="559" w:type="pct"/>
            <w:tcBorders>
              <w:top w:val="nil"/>
              <w:left w:val="nil"/>
              <w:bottom w:val="single" w:sz="4" w:space="0" w:color="auto"/>
              <w:right w:val="single" w:sz="4" w:space="0" w:color="auto"/>
            </w:tcBorders>
            <w:noWrap/>
            <w:vAlign w:val="center"/>
            <w:hideMark/>
          </w:tcPr>
          <w:p w14:paraId="13DCB53B" w14:textId="77777777" w:rsidR="009A0A63" w:rsidRPr="00792B36" w:rsidRDefault="009A0A63" w:rsidP="00A24459">
            <w:pPr>
              <w:jc w:val="center"/>
              <w:rPr>
                <w:rFonts w:eastAsia="Times New Roman"/>
                <w:color w:val="000000"/>
                <w:sz w:val="21"/>
                <w:szCs w:val="21"/>
              </w:rPr>
            </w:pPr>
            <w:r w:rsidRPr="00792B36">
              <w:rPr>
                <w:rFonts w:eastAsia="Times New Roman"/>
                <w:color w:val="000000"/>
                <w:sz w:val="21"/>
                <w:szCs w:val="21"/>
              </w:rPr>
              <w:t>8</w:t>
            </w:r>
          </w:p>
        </w:tc>
        <w:tc>
          <w:tcPr>
            <w:tcW w:w="812" w:type="pct"/>
            <w:tcBorders>
              <w:top w:val="nil"/>
              <w:left w:val="nil"/>
              <w:bottom w:val="single" w:sz="4" w:space="0" w:color="auto"/>
              <w:right w:val="single" w:sz="4" w:space="0" w:color="auto"/>
            </w:tcBorders>
            <w:noWrap/>
            <w:vAlign w:val="center"/>
            <w:hideMark/>
          </w:tcPr>
          <w:p w14:paraId="15215487" w14:textId="77777777" w:rsidR="009A0A63" w:rsidRPr="00792B36" w:rsidRDefault="009A0A63" w:rsidP="00A24459">
            <w:pPr>
              <w:jc w:val="center"/>
              <w:rPr>
                <w:rFonts w:eastAsia="Times New Roman"/>
                <w:color w:val="000000"/>
                <w:sz w:val="21"/>
                <w:szCs w:val="21"/>
              </w:rPr>
            </w:pPr>
            <w:r w:rsidRPr="00792B36">
              <w:rPr>
                <w:rFonts w:eastAsia="Times New Roman"/>
                <w:color w:val="000000"/>
                <w:sz w:val="21"/>
                <w:szCs w:val="21"/>
              </w:rPr>
              <w:t>14</w:t>
            </w:r>
          </w:p>
        </w:tc>
      </w:tr>
      <w:tr w:rsidR="009A0A63" w:rsidRPr="00792B36" w14:paraId="46B8CE83" w14:textId="77777777" w:rsidTr="00A24459">
        <w:trPr>
          <w:trHeight w:val="340"/>
        </w:trPr>
        <w:tc>
          <w:tcPr>
            <w:tcW w:w="913" w:type="pct"/>
            <w:tcBorders>
              <w:top w:val="nil"/>
              <w:left w:val="single" w:sz="4" w:space="0" w:color="auto"/>
              <w:bottom w:val="single" w:sz="4" w:space="0" w:color="auto"/>
              <w:right w:val="single" w:sz="4" w:space="0" w:color="auto"/>
            </w:tcBorders>
            <w:noWrap/>
            <w:vAlign w:val="center"/>
            <w:hideMark/>
          </w:tcPr>
          <w:p w14:paraId="3B7CBD3E" w14:textId="77777777" w:rsidR="009A0A63" w:rsidRPr="00792B36" w:rsidRDefault="009A0A63" w:rsidP="00A24459">
            <w:pPr>
              <w:rPr>
                <w:rFonts w:eastAsia="Times New Roman"/>
                <w:color w:val="000000"/>
                <w:sz w:val="21"/>
                <w:szCs w:val="21"/>
              </w:rPr>
            </w:pPr>
            <w:r w:rsidRPr="00792B36">
              <w:rPr>
                <w:rFonts w:eastAsia="Times New Roman"/>
                <w:color w:val="000000"/>
                <w:sz w:val="21"/>
                <w:szCs w:val="21"/>
              </w:rPr>
              <w:t>Nakhon Si Thammarat</w:t>
            </w:r>
          </w:p>
        </w:tc>
        <w:tc>
          <w:tcPr>
            <w:tcW w:w="372" w:type="pct"/>
            <w:tcBorders>
              <w:top w:val="nil"/>
              <w:left w:val="nil"/>
              <w:bottom w:val="single" w:sz="4" w:space="0" w:color="auto"/>
              <w:right w:val="single" w:sz="4" w:space="0" w:color="auto"/>
            </w:tcBorders>
            <w:noWrap/>
            <w:vAlign w:val="center"/>
            <w:hideMark/>
          </w:tcPr>
          <w:p w14:paraId="3B74C678" w14:textId="77777777" w:rsidR="009A0A63" w:rsidRPr="00792B36" w:rsidRDefault="009A0A63" w:rsidP="00A24459">
            <w:pPr>
              <w:jc w:val="center"/>
              <w:rPr>
                <w:rFonts w:eastAsia="Times New Roman"/>
                <w:color w:val="000000"/>
                <w:sz w:val="21"/>
                <w:szCs w:val="21"/>
              </w:rPr>
            </w:pPr>
            <w:r w:rsidRPr="00792B36">
              <w:rPr>
                <w:rFonts w:eastAsia="Times New Roman"/>
                <w:color w:val="000000"/>
                <w:sz w:val="21"/>
                <w:szCs w:val="21"/>
              </w:rPr>
              <w:t>0.118</w:t>
            </w:r>
          </w:p>
        </w:tc>
        <w:tc>
          <w:tcPr>
            <w:tcW w:w="362" w:type="pct"/>
            <w:tcBorders>
              <w:top w:val="nil"/>
              <w:left w:val="nil"/>
              <w:bottom w:val="single" w:sz="4" w:space="0" w:color="auto"/>
              <w:right w:val="single" w:sz="4" w:space="0" w:color="auto"/>
            </w:tcBorders>
            <w:noWrap/>
            <w:vAlign w:val="center"/>
            <w:hideMark/>
          </w:tcPr>
          <w:p w14:paraId="09EEC65C" w14:textId="77777777" w:rsidR="009A0A63" w:rsidRPr="00792B36" w:rsidRDefault="009A0A63" w:rsidP="00A24459">
            <w:pPr>
              <w:jc w:val="center"/>
              <w:rPr>
                <w:rFonts w:eastAsia="Times New Roman"/>
                <w:color w:val="000000"/>
                <w:sz w:val="21"/>
                <w:szCs w:val="21"/>
              </w:rPr>
            </w:pPr>
            <w:r w:rsidRPr="00792B36">
              <w:rPr>
                <w:rFonts w:eastAsia="Times New Roman"/>
                <w:color w:val="000000"/>
                <w:sz w:val="21"/>
                <w:szCs w:val="21"/>
              </w:rPr>
              <w:t>0.231</w:t>
            </w:r>
          </w:p>
        </w:tc>
        <w:tc>
          <w:tcPr>
            <w:tcW w:w="445" w:type="pct"/>
            <w:tcBorders>
              <w:top w:val="nil"/>
              <w:left w:val="nil"/>
              <w:bottom w:val="single" w:sz="4" w:space="0" w:color="auto"/>
              <w:right w:val="single" w:sz="4" w:space="0" w:color="auto"/>
            </w:tcBorders>
            <w:noWrap/>
            <w:vAlign w:val="center"/>
            <w:hideMark/>
          </w:tcPr>
          <w:p w14:paraId="283C65F4" w14:textId="77777777" w:rsidR="009A0A63" w:rsidRPr="00792B36" w:rsidRDefault="009A0A63" w:rsidP="00A24459">
            <w:pPr>
              <w:jc w:val="center"/>
              <w:rPr>
                <w:rFonts w:eastAsia="Times New Roman"/>
                <w:color w:val="000000"/>
                <w:sz w:val="21"/>
                <w:szCs w:val="21"/>
              </w:rPr>
            </w:pPr>
            <w:r w:rsidRPr="00792B36">
              <w:rPr>
                <w:rFonts w:eastAsia="Times New Roman"/>
                <w:color w:val="000000"/>
                <w:sz w:val="21"/>
                <w:szCs w:val="21"/>
              </w:rPr>
              <w:t>0.293</w:t>
            </w:r>
          </w:p>
        </w:tc>
        <w:tc>
          <w:tcPr>
            <w:tcW w:w="660" w:type="pct"/>
            <w:tcBorders>
              <w:top w:val="nil"/>
              <w:left w:val="nil"/>
              <w:bottom w:val="single" w:sz="4" w:space="0" w:color="auto"/>
              <w:right w:val="single" w:sz="4" w:space="0" w:color="auto"/>
            </w:tcBorders>
            <w:noWrap/>
            <w:vAlign w:val="center"/>
            <w:hideMark/>
          </w:tcPr>
          <w:p w14:paraId="302013C3" w14:textId="77777777" w:rsidR="009A0A63" w:rsidRPr="00792B36" w:rsidRDefault="009A0A63" w:rsidP="00A24459">
            <w:pPr>
              <w:jc w:val="center"/>
              <w:rPr>
                <w:rFonts w:eastAsia="Times New Roman"/>
                <w:color w:val="000000"/>
                <w:sz w:val="21"/>
                <w:szCs w:val="21"/>
              </w:rPr>
            </w:pPr>
            <w:r w:rsidRPr="00792B36">
              <w:rPr>
                <w:rFonts w:eastAsia="Times New Roman"/>
                <w:color w:val="000000"/>
                <w:sz w:val="21"/>
                <w:szCs w:val="21"/>
              </w:rPr>
              <w:t>0.262</w:t>
            </w:r>
          </w:p>
        </w:tc>
        <w:tc>
          <w:tcPr>
            <w:tcW w:w="393" w:type="pct"/>
            <w:tcBorders>
              <w:top w:val="nil"/>
              <w:left w:val="nil"/>
              <w:bottom w:val="single" w:sz="4" w:space="0" w:color="auto"/>
              <w:right w:val="single" w:sz="4" w:space="0" w:color="auto"/>
            </w:tcBorders>
            <w:noWrap/>
            <w:vAlign w:val="center"/>
            <w:hideMark/>
          </w:tcPr>
          <w:p w14:paraId="59A2FCAD" w14:textId="77777777" w:rsidR="009A0A63" w:rsidRPr="00792B36" w:rsidRDefault="009A0A63" w:rsidP="00A24459">
            <w:pPr>
              <w:jc w:val="center"/>
              <w:rPr>
                <w:rFonts w:eastAsia="Times New Roman"/>
                <w:color w:val="000000"/>
                <w:sz w:val="21"/>
                <w:szCs w:val="21"/>
              </w:rPr>
            </w:pPr>
            <w:r w:rsidRPr="00792B36">
              <w:rPr>
                <w:rFonts w:eastAsia="Times New Roman"/>
                <w:color w:val="000000"/>
                <w:sz w:val="21"/>
                <w:szCs w:val="21"/>
              </w:rPr>
              <w:t>0.032</w:t>
            </w:r>
          </w:p>
        </w:tc>
        <w:tc>
          <w:tcPr>
            <w:tcW w:w="484" w:type="pct"/>
            <w:tcBorders>
              <w:top w:val="nil"/>
              <w:left w:val="nil"/>
              <w:bottom w:val="single" w:sz="4" w:space="0" w:color="auto"/>
              <w:right w:val="single" w:sz="4" w:space="0" w:color="auto"/>
            </w:tcBorders>
            <w:noWrap/>
            <w:vAlign w:val="center"/>
            <w:hideMark/>
          </w:tcPr>
          <w:p w14:paraId="5CC454B5" w14:textId="77777777" w:rsidR="009A0A63" w:rsidRPr="00792B36" w:rsidRDefault="009A0A63" w:rsidP="00A24459">
            <w:pPr>
              <w:jc w:val="center"/>
              <w:rPr>
                <w:rFonts w:eastAsia="Times New Roman"/>
                <w:color w:val="000000"/>
                <w:sz w:val="21"/>
                <w:szCs w:val="21"/>
              </w:rPr>
            </w:pPr>
            <w:r w:rsidRPr="00792B36">
              <w:rPr>
                <w:rFonts w:eastAsia="Times New Roman"/>
                <w:color w:val="000000"/>
                <w:sz w:val="21"/>
                <w:szCs w:val="21"/>
              </w:rPr>
              <w:t>0.122</w:t>
            </w:r>
          </w:p>
        </w:tc>
        <w:tc>
          <w:tcPr>
            <w:tcW w:w="559" w:type="pct"/>
            <w:tcBorders>
              <w:top w:val="nil"/>
              <w:left w:val="nil"/>
              <w:bottom w:val="single" w:sz="4" w:space="0" w:color="auto"/>
              <w:right w:val="single" w:sz="4" w:space="0" w:color="auto"/>
            </w:tcBorders>
            <w:noWrap/>
            <w:vAlign w:val="center"/>
            <w:hideMark/>
          </w:tcPr>
          <w:p w14:paraId="72F2981D" w14:textId="77777777" w:rsidR="009A0A63" w:rsidRPr="00792B36" w:rsidRDefault="009A0A63" w:rsidP="00A24459">
            <w:pPr>
              <w:jc w:val="center"/>
              <w:rPr>
                <w:rFonts w:eastAsia="Times New Roman"/>
                <w:color w:val="000000"/>
                <w:sz w:val="21"/>
                <w:szCs w:val="21"/>
              </w:rPr>
            </w:pPr>
            <w:r w:rsidRPr="00792B36">
              <w:rPr>
                <w:rFonts w:eastAsia="Times New Roman"/>
                <w:color w:val="000000"/>
                <w:sz w:val="21"/>
                <w:szCs w:val="21"/>
              </w:rPr>
              <w:t>3</w:t>
            </w:r>
          </w:p>
        </w:tc>
        <w:tc>
          <w:tcPr>
            <w:tcW w:w="812" w:type="pct"/>
            <w:tcBorders>
              <w:top w:val="nil"/>
              <w:left w:val="nil"/>
              <w:bottom w:val="single" w:sz="4" w:space="0" w:color="auto"/>
              <w:right w:val="single" w:sz="4" w:space="0" w:color="auto"/>
            </w:tcBorders>
            <w:noWrap/>
            <w:vAlign w:val="center"/>
            <w:hideMark/>
          </w:tcPr>
          <w:p w14:paraId="5FC2941C" w14:textId="77777777" w:rsidR="009A0A63" w:rsidRPr="00792B36" w:rsidRDefault="009A0A63" w:rsidP="00A24459">
            <w:pPr>
              <w:jc w:val="center"/>
              <w:rPr>
                <w:rFonts w:eastAsia="Times New Roman"/>
                <w:color w:val="000000"/>
                <w:sz w:val="21"/>
                <w:szCs w:val="21"/>
              </w:rPr>
            </w:pPr>
            <w:r w:rsidRPr="00792B36">
              <w:rPr>
                <w:rFonts w:eastAsia="Times New Roman"/>
                <w:color w:val="000000"/>
                <w:sz w:val="21"/>
                <w:szCs w:val="21"/>
              </w:rPr>
              <w:t>16</w:t>
            </w:r>
          </w:p>
        </w:tc>
      </w:tr>
      <w:tr w:rsidR="009A0A63" w:rsidRPr="00792B36" w14:paraId="31AF9B39" w14:textId="77777777" w:rsidTr="00A24459">
        <w:trPr>
          <w:trHeight w:val="340"/>
        </w:trPr>
        <w:tc>
          <w:tcPr>
            <w:tcW w:w="913" w:type="pct"/>
            <w:tcBorders>
              <w:top w:val="nil"/>
              <w:left w:val="single" w:sz="4" w:space="0" w:color="auto"/>
              <w:bottom w:val="single" w:sz="4" w:space="0" w:color="auto"/>
              <w:right w:val="single" w:sz="4" w:space="0" w:color="auto"/>
            </w:tcBorders>
            <w:noWrap/>
            <w:vAlign w:val="center"/>
            <w:hideMark/>
          </w:tcPr>
          <w:p w14:paraId="3AD75759" w14:textId="77777777" w:rsidR="009A0A63" w:rsidRPr="00792B36" w:rsidRDefault="009A0A63" w:rsidP="00A24459">
            <w:pPr>
              <w:rPr>
                <w:rFonts w:eastAsia="Times New Roman"/>
                <w:color w:val="000000"/>
                <w:sz w:val="21"/>
                <w:szCs w:val="21"/>
              </w:rPr>
            </w:pPr>
            <w:r w:rsidRPr="00792B36">
              <w:rPr>
                <w:rFonts w:eastAsia="Times New Roman"/>
                <w:color w:val="000000"/>
                <w:sz w:val="21"/>
                <w:szCs w:val="21"/>
              </w:rPr>
              <w:t>Surat-Thani</w:t>
            </w:r>
          </w:p>
        </w:tc>
        <w:tc>
          <w:tcPr>
            <w:tcW w:w="372" w:type="pct"/>
            <w:tcBorders>
              <w:top w:val="nil"/>
              <w:left w:val="nil"/>
              <w:bottom w:val="single" w:sz="4" w:space="0" w:color="auto"/>
              <w:right w:val="single" w:sz="4" w:space="0" w:color="auto"/>
            </w:tcBorders>
            <w:noWrap/>
            <w:vAlign w:val="center"/>
            <w:hideMark/>
          </w:tcPr>
          <w:p w14:paraId="723ED06A" w14:textId="77777777" w:rsidR="009A0A63" w:rsidRPr="00792B36" w:rsidRDefault="009A0A63" w:rsidP="00A24459">
            <w:pPr>
              <w:jc w:val="center"/>
              <w:rPr>
                <w:rFonts w:eastAsia="Times New Roman"/>
                <w:color w:val="000000"/>
                <w:sz w:val="21"/>
                <w:szCs w:val="21"/>
              </w:rPr>
            </w:pPr>
            <w:r w:rsidRPr="00792B36">
              <w:rPr>
                <w:rFonts w:eastAsia="Times New Roman"/>
                <w:color w:val="000000"/>
                <w:sz w:val="21"/>
                <w:szCs w:val="21"/>
              </w:rPr>
              <w:t>0.517</w:t>
            </w:r>
          </w:p>
        </w:tc>
        <w:tc>
          <w:tcPr>
            <w:tcW w:w="362" w:type="pct"/>
            <w:tcBorders>
              <w:top w:val="nil"/>
              <w:left w:val="nil"/>
              <w:bottom w:val="single" w:sz="4" w:space="0" w:color="auto"/>
              <w:right w:val="single" w:sz="4" w:space="0" w:color="auto"/>
            </w:tcBorders>
            <w:noWrap/>
            <w:vAlign w:val="center"/>
            <w:hideMark/>
          </w:tcPr>
          <w:p w14:paraId="6ECE5F9A" w14:textId="77777777" w:rsidR="009A0A63" w:rsidRPr="00792B36" w:rsidRDefault="009A0A63" w:rsidP="00A24459">
            <w:pPr>
              <w:jc w:val="center"/>
              <w:rPr>
                <w:rFonts w:eastAsia="Times New Roman"/>
                <w:color w:val="000000"/>
                <w:sz w:val="21"/>
                <w:szCs w:val="21"/>
              </w:rPr>
            </w:pPr>
            <w:r w:rsidRPr="00792B36">
              <w:rPr>
                <w:rFonts w:eastAsia="Times New Roman"/>
                <w:color w:val="000000"/>
                <w:sz w:val="21"/>
                <w:szCs w:val="21"/>
              </w:rPr>
              <w:t>0.369</w:t>
            </w:r>
          </w:p>
        </w:tc>
        <w:tc>
          <w:tcPr>
            <w:tcW w:w="445" w:type="pct"/>
            <w:tcBorders>
              <w:top w:val="nil"/>
              <w:left w:val="nil"/>
              <w:bottom w:val="single" w:sz="4" w:space="0" w:color="auto"/>
              <w:right w:val="single" w:sz="4" w:space="0" w:color="auto"/>
            </w:tcBorders>
            <w:noWrap/>
            <w:vAlign w:val="center"/>
            <w:hideMark/>
          </w:tcPr>
          <w:p w14:paraId="7E3682C3" w14:textId="77777777" w:rsidR="009A0A63" w:rsidRPr="00792B36" w:rsidRDefault="009A0A63" w:rsidP="00A24459">
            <w:pPr>
              <w:jc w:val="center"/>
              <w:rPr>
                <w:rFonts w:eastAsia="Times New Roman"/>
                <w:color w:val="000000"/>
                <w:sz w:val="21"/>
                <w:szCs w:val="21"/>
              </w:rPr>
            </w:pPr>
            <w:r w:rsidRPr="00792B36">
              <w:rPr>
                <w:rFonts w:eastAsia="Times New Roman"/>
                <w:color w:val="000000"/>
                <w:sz w:val="21"/>
                <w:szCs w:val="21"/>
              </w:rPr>
              <w:t>0.326</w:t>
            </w:r>
          </w:p>
        </w:tc>
        <w:tc>
          <w:tcPr>
            <w:tcW w:w="660" w:type="pct"/>
            <w:tcBorders>
              <w:top w:val="nil"/>
              <w:left w:val="nil"/>
              <w:bottom w:val="single" w:sz="4" w:space="0" w:color="auto"/>
              <w:right w:val="single" w:sz="4" w:space="0" w:color="auto"/>
            </w:tcBorders>
            <w:noWrap/>
            <w:vAlign w:val="center"/>
            <w:hideMark/>
          </w:tcPr>
          <w:p w14:paraId="0C4381BB" w14:textId="77777777" w:rsidR="009A0A63" w:rsidRPr="00792B36" w:rsidRDefault="009A0A63" w:rsidP="00A24459">
            <w:pPr>
              <w:jc w:val="center"/>
              <w:rPr>
                <w:rFonts w:eastAsia="Times New Roman"/>
                <w:color w:val="000000"/>
                <w:sz w:val="21"/>
                <w:szCs w:val="21"/>
              </w:rPr>
            </w:pPr>
            <w:r w:rsidRPr="00792B36">
              <w:rPr>
                <w:rFonts w:eastAsia="Times New Roman"/>
                <w:color w:val="000000"/>
                <w:sz w:val="21"/>
                <w:szCs w:val="21"/>
              </w:rPr>
              <w:t>0.348</w:t>
            </w:r>
          </w:p>
        </w:tc>
        <w:tc>
          <w:tcPr>
            <w:tcW w:w="393" w:type="pct"/>
            <w:tcBorders>
              <w:top w:val="nil"/>
              <w:left w:val="nil"/>
              <w:bottom w:val="single" w:sz="4" w:space="0" w:color="auto"/>
              <w:right w:val="single" w:sz="4" w:space="0" w:color="auto"/>
            </w:tcBorders>
            <w:noWrap/>
            <w:vAlign w:val="center"/>
            <w:hideMark/>
          </w:tcPr>
          <w:p w14:paraId="14D4A566" w14:textId="77777777" w:rsidR="009A0A63" w:rsidRPr="00792B36" w:rsidRDefault="009A0A63" w:rsidP="00A24459">
            <w:pPr>
              <w:jc w:val="center"/>
              <w:rPr>
                <w:rFonts w:eastAsia="Times New Roman"/>
                <w:color w:val="000000"/>
                <w:sz w:val="21"/>
                <w:szCs w:val="21"/>
              </w:rPr>
            </w:pPr>
            <w:r w:rsidRPr="00792B36">
              <w:rPr>
                <w:rFonts w:eastAsia="Times New Roman"/>
                <w:color w:val="000000"/>
                <w:sz w:val="21"/>
                <w:szCs w:val="21"/>
              </w:rPr>
              <w:t>0.055</w:t>
            </w:r>
          </w:p>
        </w:tc>
        <w:tc>
          <w:tcPr>
            <w:tcW w:w="484" w:type="pct"/>
            <w:tcBorders>
              <w:top w:val="nil"/>
              <w:left w:val="nil"/>
              <w:bottom w:val="single" w:sz="4" w:space="0" w:color="auto"/>
              <w:right w:val="single" w:sz="4" w:space="0" w:color="auto"/>
            </w:tcBorders>
            <w:noWrap/>
            <w:vAlign w:val="center"/>
            <w:hideMark/>
          </w:tcPr>
          <w:p w14:paraId="3CD9F1F4" w14:textId="77777777" w:rsidR="009A0A63" w:rsidRPr="00792B36" w:rsidRDefault="009A0A63" w:rsidP="00A24459">
            <w:pPr>
              <w:jc w:val="center"/>
              <w:rPr>
                <w:rFonts w:eastAsia="Times New Roman"/>
                <w:color w:val="000000"/>
                <w:sz w:val="21"/>
                <w:szCs w:val="21"/>
              </w:rPr>
            </w:pPr>
            <w:r w:rsidRPr="00792B36">
              <w:rPr>
                <w:rFonts w:eastAsia="Times New Roman"/>
                <w:color w:val="000000"/>
                <w:sz w:val="21"/>
                <w:szCs w:val="21"/>
              </w:rPr>
              <w:t>0.158</w:t>
            </w:r>
          </w:p>
        </w:tc>
        <w:tc>
          <w:tcPr>
            <w:tcW w:w="559" w:type="pct"/>
            <w:tcBorders>
              <w:top w:val="nil"/>
              <w:left w:val="nil"/>
              <w:bottom w:val="single" w:sz="4" w:space="0" w:color="auto"/>
              <w:right w:val="single" w:sz="4" w:space="0" w:color="auto"/>
            </w:tcBorders>
            <w:noWrap/>
            <w:vAlign w:val="center"/>
            <w:hideMark/>
          </w:tcPr>
          <w:p w14:paraId="1023E473" w14:textId="77777777" w:rsidR="009A0A63" w:rsidRPr="00792B36" w:rsidRDefault="009A0A63" w:rsidP="00A24459">
            <w:pPr>
              <w:jc w:val="center"/>
              <w:rPr>
                <w:rFonts w:eastAsia="Times New Roman"/>
                <w:color w:val="000000"/>
                <w:sz w:val="21"/>
                <w:szCs w:val="21"/>
              </w:rPr>
            </w:pPr>
            <w:r w:rsidRPr="00792B36">
              <w:rPr>
                <w:rFonts w:eastAsia="Times New Roman"/>
                <w:color w:val="000000"/>
                <w:sz w:val="21"/>
                <w:szCs w:val="21"/>
              </w:rPr>
              <w:t>1</w:t>
            </w:r>
          </w:p>
        </w:tc>
        <w:tc>
          <w:tcPr>
            <w:tcW w:w="812" w:type="pct"/>
            <w:tcBorders>
              <w:top w:val="nil"/>
              <w:left w:val="nil"/>
              <w:bottom w:val="single" w:sz="4" w:space="0" w:color="auto"/>
              <w:right w:val="single" w:sz="4" w:space="0" w:color="auto"/>
            </w:tcBorders>
            <w:noWrap/>
            <w:vAlign w:val="center"/>
            <w:hideMark/>
          </w:tcPr>
          <w:p w14:paraId="4BFFDC34" w14:textId="77777777" w:rsidR="009A0A63" w:rsidRPr="00792B36" w:rsidRDefault="009A0A63" w:rsidP="00A24459">
            <w:pPr>
              <w:jc w:val="center"/>
              <w:rPr>
                <w:rFonts w:eastAsia="Times New Roman"/>
                <w:color w:val="000000"/>
                <w:sz w:val="21"/>
                <w:szCs w:val="21"/>
              </w:rPr>
            </w:pPr>
            <w:r w:rsidRPr="00792B36">
              <w:rPr>
                <w:rFonts w:eastAsia="Times New Roman"/>
                <w:color w:val="000000"/>
                <w:sz w:val="21"/>
                <w:szCs w:val="21"/>
              </w:rPr>
              <w:t>9</w:t>
            </w:r>
          </w:p>
        </w:tc>
      </w:tr>
      <w:tr w:rsidR="009A0A63" w:rsidRPr="00792B36" w14:paraId="7026B543" w14:textId="77777777" w:rsidTr="00A24459">
        <w:trPr>
          <w:trHeight w:val="340"/>
        </w:trPr>
        <w:tc>
          <w:tcPr>
            <w:tcW w:w="913" w:type="pct"/>
            <w:tcBorders>
              <w:top w:val="nil"/>
              <w:left w:val="single" w:sz="4" w:space="0" w:color="auto"/>
              <w:bottom w:val="single" w:sz="4" w:space="0" w:color="auto"/>
              <w:right w:val="single" w:sz="4" w:space="0" w:color="auto"/>
            </w:tcBorders>
            <w:noWrap/>
            <w:vAlign w:val="center"/>
            <w:hideMark/>
          </w:tcPr>
          <w:p w14:paraId="38E29580" w14:textId="77777777" w:rsidR="009A0A63" w:rsidRPr="00792B36" w:rsidRDefault="009A0A63" w:rsidP="00A24459">
            <w:pPr>
              <w:rPr>
                <w:rFonts w:eastAsia="Times New Roman"/>
                <w:color w:val="000000"/>
                <w:sz w:val="21"/>
                <w:szCs w:val="21"/>
              </w:rPr>
            </w:pPr>
            <w:r w:rsidRPr="00792B36">
              <w:rPr>
                <w:rFonts w:eastAsia="Times New Roman"/>
                <w:color w:val="000000"/>
                <w:sz w:val="21"/>
                <w:szCs w:val="21"/>
              </w:rPr>
              <w:lastRenderedPageBreak/>
              <w:t>Chumphon</w:t>
            </w:r>
          </w:p>
        </w:tc>
        <w:tc>
          <w:tcPr>
            <w:tcW w:w="372" w:type="pct"/>
            <w:tcBorders>
              <w:top w:val="nil"/>
              <w:left w:val="nil"/>
              <w:bottom w:val="single" w:sz="4" w:space="0" w:color="auto"/>
              <w:right w:val="single" w:sz="4" w:space="0" w:color="auto"/>
            </w:tcBorders>
            <w:noWrap/>
            <w:vAlign w:val="center"/>
            <w:hideMark/>
          </w:tcPr>
          <w:p w14:paraId="678E2764" w14:textId="77777777" w:rsidR="009A0A63" w:rsidRPr="00792B36" w:rsidRDefault="009A0A63" w:rsidP="00A24459">
            <w:pPr>
              <w:jc w:val="center"/>
              <w:rPr>
                <w:rFonts w:eastAsia="Times New Roman"/>
                <w:color w:val="000000"/>
                <w:sz w:val="21"/>
                <w:szCs w:val="21"/>
              </w:rPr>
            </w:pPr>
            <w:r w:rsidRPr="00792B36">
              <w:rPr>
                <w:rFonts w:eastAsia="Times New Roman"/>
                <w:color w:val="000000"/>
                <w:sz w:val="21"/>
                <w:szCs w:val="21"/>
              </w:rPr>
              <w:t>0.286</w:t>
            </w:r>
          </w:p>
        </w:tc>
        <w:tc>
          <w:tcPr>
            <w:tcW w:w="362" w:type="pct"/>
            <w:tcBorders>
              <w:top w:val="nil"/>
              <w:left w:val="nil"/>
              <w:bottom w:val="single" w:sz="4" w:space="0" w:color="auto"/>
              <w:right w:val="single" w:sz="4" w:space="0" w:color="auto"/>
            </w:tcBorders>
            <w:noWrap/>
            <w:vAlign w:val="center"/>
            <w:hideMark/>
          </w:tcPr>
          <w:p w14:paraId="538A03A4" w14:textId="77777777" w:rsidR="009A0A63" w:rsidRPr="00792B36" w:rsidRDefault="009A0A63" w:rsidP="00A24459">
            <w:pPr>
              <w:jc w:val="center"/>
              <w:rPr>
                <w:rFonts w:eastAsia="Times New Roman"/>
                <w:color w:val="000000"/>
                <w:sz w:val="21"/>
                <w:szCs w:val="21"/>
              </w:rPr>
            </w:pPr>
            <w:r w:rsidRPr="00792B36">
              <w:rPr>
                <w:rFonts w:eastAsia="Times New Roman"/>
                <w:color w:val="000000"/>
                <w:sz w:val="21"/>
                <w:szCs w:val="21"/>
              </w:rPr>
              <w:t>0.382</w:t>
            </w:r>
          </w:p>
        </w:tc>
        <w:tc>
          <w:tcPr>
            <w:tcW w:w="445" w:type="pct"/>
            <w:tcBorders>
              <w:top w:val="nil"/>
              <w:left w:val="nil"/>
              <w:bottom w:val="single" w:sz="4" w:space="0" w:color="auto"/>
              <w:right w:val="single" w:sz="4" w:space="0" w:color="auto"/>
            </w:tcBorders>
            <w:noWrap/>
            <w:vAlign w:val="center"/>
            <w:hideMark/>
          </w:tcPr>
          <w:p w14:paraId="70BA7C06" w14:textId="77777777" w:rsidR="009A0A63" w:rsidRPr="00792B36" w:rsidRDefault="009A0A63" w:rsidP="00A24459">
            <w:pPr>
              <w:jc w:val="center"/>
              <w:rPr>
                <w:rFonts w:eastAsia="Times New Roman"/>
                <w:color w:val="000000"/>
                <w:sz w:val="21"/>
                <w:szCs w:val="21"/>
              </w:rPr>
            </w:pPr>
            <w:r w:rsidRPr="00792B36">
              <w:rPr>
                <w:rFonts w:eastAsia="Times New Roman"/>
                <w:color w:val="000000"/>
                <w:sz w:val="21"/>
                <w:szCs w:val="21"/>
              </w:rPr>
              <w:t>0.362</w:t>
            </w:r>
          </w:p>
        </w:tc>
        <w:tc>
          <w:tcPr>
            <w:tcW w:w="660" w:type="pct"/>
            <w:tcBorders>
              <w:top w:val="nil"/>
              <w:left w:val="nil"/>
              <w:bottom w:val="single" w:sz="4" w:space="0" w:color="auto"/>
              <w:right w:val="single" w:sz="4" w:space="0" w:color="auto"/>
            </w:tcBorders>
            <w:noWrap/>
            <w:vAlign w:val="center"/>
            <w:hideMark/>
          </w:tcPr>
          <w:p w14:paraId="3D34DD07" w14:textId="77777777" w:rsidR="009A0A63" w:rsidRPr="00792B36" w:rsidRDefault="009A0A63" w:rsidP="00A24459">
            <w:pPr>
              <w:jc w:val="center"/>
              <w:rPr>
                <w:rFonts w:eastAsia="Times New Roman"/>
                <w:color w:val="000000"/>
                <w:sz w:val="21"/>
                <w:szCs w:val="21"/>
              </w:rPr>
            </w:pPr>
            <w:r w:rsidRPr="00792B36">
              <w:rPr>
                <w:rFonts w:eastAsia="Times New Roman"/>
                <w:color w:val="000000"/>
                <w:sz w:val="21"/>
                <w:szCs w:val="21"/>
              </w:rPr>
              <w:t>0.372</w:t>
            </w:r>
          </w:p>
        </w:tc>
        <w:tc>
          <w:tcPr>
            <w:tcW w:w="393" w:type="pct"/>
            <w:tcBorders>
              <w:top w:val="nil"/>
              <w:left w:val="nil"/>
              <w:bottom w:val="single" w:sz="4" w:space="0" w:color="auto"/>
              <w:right w:val="single" w:sz="4" w:space="0" w:color="auto"/>
            </w:tcBorders>
            <w:noWrap/>
            <w:vAlign w:val="center"/>
            <w:hideMark/>
          </w:tcPr>
          <w:p w14:paraId="30103022" w14:textId="77777777" w:rsidR="009A0A63" w:rsidRPr="00792B36" w:rsidRDefault="009A0A63" w:rsidP="00A24459">
            <w:pPr>
              <w:jc w:val="center"/>
              <w:rPr>
                <w:rFonts w:eastAsia="Times New Roman"/>
                <w:color w:val="000000"/>
                <w:sz w:val="21"/>
                <w:szCs w:val="21"/>
              </w:rPr>
            </w:pPr>
            <w:r w:rsidRPr="00792B36">
              <w:rPr>
                <w:rFonts w:eastAsia="Times New Roman"/>
                <w:color w:val="000000"/>
                <w:sz w:val="21"/>
                <w:szCs w:val="21"/>
              </w:rPr>
              <w:t>0.027</w:t>
            </w:r>
          </w:p>
        </w:tc>
        <w:tc>
          <w:tcPr>
            <w:tcW w:w="484" w:type="pct"/>
            <w:tcBorders>
              <w:top w:val="nil"/>
              <w:left w:val="nil"/>
              <w:bottom w:val="single" w:sz="4" w:space="0" w:color="auto"/>
              <w:right w:val="single" w:sz="4" w:space="0" w:color="auto"/>
            </w:tcBorders>
            <w:noWrap/>
            <w:vAlign w:val="center"/>
            <w:hideMark/>
          </w:tcPr>
          <w:p w14:paraId="781352FA" w14:textId="77777777" w:rsidR="009A0A63" w:rsidRPr="00792B36" w:rsidRDefault="009A0A63" w:rsidP="00A24459">
            <w:pPr>
              <w:jc w:val="center"/>
              <w:rPr>
                <w:rFonts w:eastAsia="Times New Roman"/>
                <w:color w:val="000000"/>
                <w:sz w:val="21"/>
                <w:szCs w:val="21"/>
              </w:rPr>
            </w:pPr>
            <w:r w:rsidRPr="00792B36">
              <w:rPr>
                <w:rFonts w:eastAsia="Times New Roman"/>
                <w:color w:val="000000"/>
                <w:sz w:val="21"/>
                <w:szCs w:val="21"/>
              </w:rPr>
              <w:t>0.074</w:t>
            </w:r>
          </w:p>
        </w:tc>
        <w:tc>
          <w:tcPr>
            <w:tcW w:w="559" w:type="pct"/>
            <w:tcBorders>
              <w:top w:val="nil"/>
              <w:left w:val="nil"/>
              <w:bottom w:val="single" w:sz="4" w:space="0" w:color="auto"/>
              <w:right w:val="single" w:sz="4" w:space="0" w:color="auto"/>
            </w:tcBorders>
            <w:noWrap/>
            <w:vAlign w:val="center"/>
            <w:hideMark/>
          </w:tcPr>
          <w:p w14:paraId="18633DBB" w14:textId="77777777" w:rsidR="009A0A63" w:rsidRPr="00792B36" w:rsidRDefault="009A0A63" w:rsidP="00A24459">
            <w:pPr>
              <w:jc w:val="center"/>
              <w:rPr>
                <w:rFonts w:eastAsia="Times New Roman"/>
                <w:color w:val="000000"/>
                <w:sz w:val="21"/>
                <w:szCs w:val="21"/>
              </w:rPr>
            </w:pPr>
            <w:r w:rsidRPr="00792B36">
              <w:rPr>
                <w:rFonts w:eastAsia="Times New Roman"/>
                <w:color w:val="000000"/>
                <w:sz w:val="21"/>
                <w:szCs w:val="21"/>
              </w:rPr>
              <w:t>4</w:t>
            </w:r>
          </w:p>
        </w:tc>
        <w:tc>
          <w:tcPr>
            <w:tcW w:w="812" w:type="pct"/>
            <w:tcBorders>
              <w:top w:val="nil"/>
              <w:left w:val="nil"/>
              <w:bottom w:val="single" w:sz="4" w:space="0" w:color="auto"/>
              <w:right w:val="single" w:sz="4" w:space="0" w:color="auto"/>
            </w:tcBorders>
            <w:noWrap/>
            <w:vAlign w:val="center"/>
            <w:hideMark/>
          </w:tcPr>
          <w:p w14:paraId="3243DA9E" w14:textId="77777777" w:rsidR="009A0A63" w:rsidRPr="00792B36" w:rsidRDefault="009A0A63" w:rsidP="00A24459">
            <w:pPr>
              <w:jc w:val="center"/>
              <w:rPr>
                <w:rFonts w:eastAsia="Times New Roman"/>
                <w:color w:val="000000"/>
                <w:sz w:val="21"/>
                <w:szCs w:val="21"/>
              </w:rPr>
            </w:pPr>
            <w:r w:rsidRPr="00792B36">
              <w:rPr>
                <w:rFonts w:eastAsia="Times New Roman"/>
                <w:color w:val="000000"/>
                <w:sz w:val="21"/>
                <w:szCs w:val="21"/>
              </w:rPr>
              <w:t>5</w:t>
            </w:r>
          </w:p>
        </w:tc>
      </w:tr>
      <w:tr w:rsidR="009A0A63" w:rsidRPr="00792B36" w14:paraId="304DA454" w14:textId="77777777" w:rsidTr="00A24459">
        <w:trPr>
          <w:trHeight w:val="340"/>
        </w:trPr>
        <w:tc>
          <w:tcPr>
            <w:tcW w:w="913" w:type="pct"/>
            <w:tcBorders>
              <w:top w:val="nil"/>
              <w:left w:val="single" w:sz="4" w:space="0" w:color="auto"/>
              <w:bottom w:val="single" w:sz="4" w:space="0" w:color="auto"/>
              <w:right w:val="single" w:sz="4" w:space="0" w:color="auto"/>
            </w:tcBorders>
            <w:noWrap/>
            <w:vAlign w:val="center"/>
            <w:hideMark/>
          </w:tcPr>
          <w:p w14:paraId="1804D1B0" w14:textId="77777777" w:rsidR="009A0A63" w:rsidRPr="00792B36" w:rsidRDefault="009A0A63" w:rsidP="00A24459">
            <w:pPr>
              <w:rPr>
                <w:rFonts w:eastAsia="Times New Roman"/>
                <w:color w:val="000000"/>
                <w:sz w:val="21"/>
                <w:szCs w:val="21"/>
              </w:rPr>
            </w:pPr>
            <w:r w:rsidRPr="00792B36">
              <w:rPr>
                <w:rFonts w:eastAsia="Times New Roman"/>
                <w:color w:val="000000"/>
                <w:sz w:val="21"/>
                <w:szCs w:val="21"/>
              </w:rPr>
              <w:t>Songkhla</w:t>
            </w:r>
          </w:p>
        </w:tc>
        <w:tc>
          <w:tcPr>
            <w:tcW w:w="372" w:type="pct"/>
            <w:tcBorders>
              <w:top w:val="nil"/>
              <w:left w:val="nil"/>
              <w:bottom w:val="single" w:sz="4" w:space="0" w:color="auto"/>
              <w:right w:val="single" w:sz="4" w:space="0" w:color="auto"/>
            </w:tcBorders>
            <w:noWrap/>
            <w:vAlign w:val="center"/>
            <w:hideMark/>
          </w:tcPr>
          <w:p w14:paraId="0BED1AA4" w14:textId="77777777" w:rsidR="009A0A63" w:rsidRPr="00792B36" w:rsidRDefault="009A0A63" w:rsidP="00A24459">
            <w:pPr>
              <w:jc w:val="center"/>
              <w:rPr>
                <w:rFonts w:eastAsia="Times New Roman"/>
                <w:color w:val="000000"/>
                <w:sz w:val="21"/>
                <w:szCs w:val="21"/>
              </w:rPr>
            </w:pPr>
            <w:r w:rsidRPr="00792B36">
              <w:rPr>
                <w:rFonts w:eastAsia="Times New Roman"/>
                <w:color w:val="000000"/>
                <w:sz w:val="21"/>
                <w:szCs w:val="21"/>
              </w:rPr>
              <w:t>0.372</w:t>
            </w:r>
          </w:p>
        </w:tc>
        <w:tc>
          <w:tcPr>
            <w:tcW w:w="362" w:type="pct"/>
            <w:tcBorders>
              <w:top w:val="nil"/>
              <w:left w:val="nil"/>
              <w:bottom w:val="single" w:sz="4" w:space="0" w:color="auto"/>
              <w:right w:val="single" w:sz="4" w:space="0" w:color="auto"/>
            </w:tcBorders>
            <w:noWrap/>
            <w:vAlign w:val="center"/>
            <w:hideMark/>
          </w:tcPr>
          <w:p w14:paraId="2223C6EB" w14:textId="77777777" w:rsidR="009A0A63" w:rsidRPr="00792B36" w:rsidRDefault="009A0A63" w:rsidP="00A24459">
            <w:pPr>
              <w:jc w:val="center"/>
              <w:rPr>
                <w:rFonts w:eastAsia="Times New Roman"/>
                <w:color w:val="000000"/>
                <w:sz w:val="21"/>
                <w:szCs w:val="21"/>
              </w:rPr>
            </w:pPr>
            <w:r w:rsidRPr="00792B36">
              <w:rPr>
                <w:rFonts w:eastAsia="Times New Roman"/>
                <w:color w:val="000000"/>
                <w:sz w:val="21"/>
                <w:szCs w:val="21"/>
              </w:rPr>
              <w:t>0.264</w:t>
            </w:r>
          </w:p>
        </w:tc>
        <w:tc>
          <w:tcPr>
            <w:tcW w:w="445" w:type="pct"/>
            <w:tcBorders>
              <w:top w:val="nil"/>
              <w:left w:val="nil"/>
              <w:bottom w:val="single" w:sz="4" w:space="0" w:color="auto"/>
              <w:right w:val="single" w:sz="4" w:space="0" w:color="auto"/>
            </w:tcBorders>
            <w:noWrap/>
            <w:vAlign w:val="center"/>
            <w:hideMark/>
          </w:tcPr>
          <w:p w14:paraId="5192E7D5" w14:textId="77777777" w:rsidR="009A0A63" w:rsidRPr="00792B36" w:rsidRDefault="009A0A63" w:rsidP="00A24459">
            <w:pPr>
              <w:jc w:val="center"/>
              <w:rPr>
                <w:rFonts w:eastAsia="Times New Roman"/>
                <w:color w:val="000000"/>
                <w:sz w:val="21"/>
                <w:szCs w:val="21"/>
              </w:rPr>
            </w:pPr>
            <w:r w:rsidRPr="00792B36">
              <w:rPr>
                <w:rFonts w:eastAsia="Times New Roman"/>
                <w:color w:val="000000"/>
                <w:sz w:val="21"/>
                <w:szCs w:val="21"/>
              </w:rPr>
              <w:t>0.470</w:t>
            </w:r>
          </w:p>
        </w:tc>
        <w:tc>
          <w:tcPr>
            <w:tcW w:w="660" w:type="pct"/>
            <w:tcBorders>
              <w:top w:val="nil"/>
              <w:left w:val="nil"/>
              <w:bottom w:val="single" w:sz="4" w:space="0" w:color="auto"/>
              <w:right w:val="single" w:sz="4" w:space="0" w:color="auto"/>
            </w:tcBorders>
            <w:noWrap/>
            <w:vAlign w:val="center"/>
            <w:hideMark/>
          </w:tcPr>
          <w:p w14:paraId="0BD4B4A4" w14:textId="77777777" w:rsidR="009A0A63" w:rsidRPr="00792B36" w:rsidRDefault="009A0A63" w:rsidP="00A24459">
            <w:pPr>
              <w:jc w:val="center"/>
              <w:rPr>
                <w:rFonts w:eastAsia="Times New Roman"/>
                <w:color w:val="000000"/>
                <w:sz w:val="21"/>
                <w:szCs w:val="21"/>
              </w:rPr>
            </w:pPr>
            <w:r w:rsidRPr="00792B36">
              <w:rPr>
                <w:rFonts w:eastAsia="Times New Roman"/>
                <w:color w:val="000000"/>
                <w:sz w:val="21"/>
                <w:szCs w:val="21"/>
              </w:rPr>
              <w:t>0.367</w:t>
            </w:r>
          </w:p>
        </w:tc>
        <w:tc>
          <w:tcPr>
            <w:tcW w:w="393" w:type="pct"/>
            <w:tcBorders>
              <w:top w:val="nil"/>
              <w:left w:val="nil"/>
              <w:bottom w:val="single" w:sz="4" w:space="0" w:color="auto"/>
              <w:right w:val="single" w:sz="4" w:space="0" w:color="auto"/>
            </w:tcBorders>
            <w:noWrap/>
            <w:vAlign w:val="center"/>
            <w:hideMark/>
          </w:tcPr>
          <w:p w14:paraId="7A22BE62" w14:textId="77777777" w:rsidR="009A0A63" w:rsidRPr="00792B36" w:rsidRDefault="009A0A63" w:rsidP="00A24459">
            <w:pPr>
              <w:jc w:val="center"/>
              <w:rPr>
                <w:rFonts w:eastAsia="Times New Roman"/>
                <w:color w:val="000000"/>
                <w:sz w:val="21"/>
                <w:szCs w:val="21"/>
              </w:rPr>
            </w:pPr>
            <w:r w:rsidRPr="00792B36">
              <w:rPr>
                <w:rFonts w:eastAsia="Times New Roman"/>
                <w:color w:val="000000"/>
                <w:sz w:val="21"/>
                <w:szCs w:val="21"/>
              </w:rPr>
              <w:t>0.033</w:t>
            </w:r>
          </w:p>
        </w:tc>
        <w:tc>
          <w:tcPr>
            <w:tcW w:w="484" w:type="pct"/>
            <w:tcBorders>
              <w:top w:val="nil"/>
              <w:left w:val="nil"/>
              <w:bottom w:val="single" w:sz="4" w:space="0" w:color="auto"/>
              <w:right w:val="single" w:sz="4" w:space="0" w:color="auto"/>
            </w:tcBorders>
            <w:noWrap/>
            <w:vAlign w:val="center"/>
            <w:hideMark/>
          </w:tcPr>
          <w:p w14:paraId="21EEA865" w14:textId="77777777" w:rsidR="009A0A63" w:rsidRPr="00792B36" w:rsidRDefault="009A0A63" w:rsidP="00A24459">
            <w:pPr>
              <w:jc w:val="center"/>
              <w:rPr>
                <w:rFonts w:eastAsia="Times New Roman"/>
                <w:color w:val="000000"/>
                <w:sz w:val="21"/>
                <w:szCs w:val="21"/>
              </w:rPr>
            </w:pPr>
            <w:r w:rsidRPr="00792B36">
              <w:rPr>
                <w:rFonts w:eastAsia="Times New Roman"/>
                <w:color w:val="000000"/>
                <w:sz w:val="21"/>
                <w:szCs w:val="21"/>
              </w:rPr>
              <w:t>0.091</w:t>
            </w:r>
          </w:p>
        </w:tc>
        <w:tc>
          <w:tcPr>
            <w:tcW w:w="559" w:type="pct"/>
            <w:tcBorders>
              <w:top w:val="nil"/>
              <w:left w:val="nil"/>
              <w:bottom w:val="single" w:sz="4" w:space="0" w:color="auto"/>
              <w:right w:val="single" w:sz="4" w:space="0" w:color="auto"/>
            </w:tcBorders>
            <w:noWrap/>
            <w:vAlign w:val="center"/>
            <w:hideMark/>
          </w:tcPr>
          <w:p w14:paraId="5BBEE8A8" w14:textId="77777777" w:rsidR="009A0A63" w:rsidRPr="00792B36" w:rsidRDefault="009A0A63" w:rsidP="00A24459">
            <w:pPr>
              <w:jc w:val="center"/>
              <w:rPr>
                <w:rFonts w:eastAsia="Times New Roman"/>
                <w:color w:val="000000"/>
                <w:sz w:val="21"/>
                <w:szCs w:val="21"/>
              </w:rPr>
            </w:pPr>
            <w:r w:rsidRPr="00792B36">
              <w:rPr>
                <w:rFonts w:eastAsia="Times New Roman"/>
                <w:color w:val="000000"/>
                <w:sz w:val="21"/>
                <w:szCs w:val="21"/>
              </w:rPr>
              <w:t>2</w:t>
            </w:r>
          </w:p>
        </w:tc>
        <w:tc>
          <w:tcPr>
            <w:tcW w:w="812" w:type="pct"/>
            <w:tcBorders>
              <w:top w:val="nil"/>
              <w:left w:val="nil"/>
              <w:bottom w:val="single" w:sz="4" w:space="0" w:color="auto"/>
              <w:right w:val="single" w:sz="4" w:space="0" w:color="auto"/>
            </w:tcBorders>
            <w:noWrap/>
            <w:vAlign w:val="center"/>
            <w:hideMark/>
          </w:tcPr>
          <w:p w14:paraId="45F05730" w14:textId="77777777" w:rsidR="009A0A63" w:rsidRPr="00792B36" w:rsidRDefault="009A0A63" w:rsidP="00A24459">
            <w:pPr>
              <w:jc w:val="center"/>
              <w:rPr>
                <w:rFonts w:eastAsia="Times New Roman"/>
                <w:color w:val="000000"/>
                <w:sz w:val="21"/>
                <w:szCs w:val="21"/>
              </w:rPr>
            </w:pPr>
            <w:r w:rsidRPr="00792B36">
              <w:rPr>
                <w:rFonts w:eastAsia="Times New Roman"/>
                <w:color w:val="000000"/>
                <w:sz w:val="21"/>
                <w:szCs w:val="21"/>
              </w:rPr>
              <w:t>7</w:t>
            </w:r>
          </w:p>
        </w:tc>
      </w:tr>
      <w:tr w:rsidR="009A0A63" w:rsidRPr="00792B36" w14:paraId="17EF8599" w14:textId="77777777" w:rsidTr="00A24459">
        <w:trPr>
          <w:trHeight w:val="340"/>
        </w:trPr>
        <w:tc>
          <w:tcPr>
            <w:tcW w:w="913" w:type="pct"/>
            <w:tcBorders>
              <w:top w:val="nil"/>
              <w:left w:val="single" w:sz="4" w:space="0" w:color="auto"/>
              <w:bottom w:val="single" w:sz="4" w:space="0" w:color="auto"/>
              <w:right w:val="single" w:sz="4" w:space="0" w:color="auto"/>
            </w:tcBorders>
            <w:noWrap/>
            <w:vAlign w:val="center"/>
            <w:hideMark/>
          </w:tcPr>
          <w:p w14:paraId="2DA606D4" w14:textId="77777777" w:rsidR="009A0A63" w:rsidRPr="00792B36" w:rsidRDefault="009A0A63" w:rsidP="00A24459">
            <w:pPr>
              <w:rPr>
                <w:rFonts w:eastAsia="Times New Roman"/>
                <w:color w:val="000000"/>
                <w:sz w:val="21"/>
                <w:szCs w:val="21"/>
              </w:rPr>
            </w:pPr>
            <w:r w:rsidRPr="00792B36">
              <w:rPr>
                <w:rFonts w:eastAsia="Times New Roman"/>
                <w:color w:val="000000"/>
                <w:sz w:val="21"/>
                <w:szCs w:val="21"/>
              </w:rPr>
              <w:t>Pattani</w:t>
            </w:r>
          </w:p>
        </w:tc>
        <w:tc>
          <w:tcPr>
            <w:tcW w:w="372" w:type="pct"/>
            <w:tcBorders>
              <w:top w:val="nil"/>
              <w:left w:val="nil"/>
              <w:bottom w:val="single" w:sz="4" w:space="0" w:color="auto"/>
              <w:right w:val="single" w:sz="4" w:space="0" w:color="auto"/>
            </w:tcBorders>
            <w:noWrap/>
            <w:vAlign w:val="center"/>
            <w:hideMark/>
          </w:tcPr>
          <w:p w14:paraId="5560C476" w14:textId="77777777" w:rsidR="009A0A63" w:rsidRPr="00792B36" w:rsidRDefault="009A0A63" w:rsidP="00A24459">
            <w:pPr>
              <w:jc w:val="center"/>
              <w:rPr>
                <w:rFonts w:eastAsia="Times New Roman"/>
                <w:color w:val="000000"/>
                <w:sz w:val="21"/>
                <w:szCs w:val="21"/>
              </w:rPr>
            </w:pPr>
            <w:r w:rsidRPr="00792B36">
              <w:rPr>
                <w:rFonts w:eastAsia="Times New Roman"/>
                <w:color w:val="000000"/>
                <w:sz w:val="21"/>
                <w:szCs w:val="21"/>
              </w:rPr>
              <w:t>0.295</w:t>
            </w:r>
          </w:p>
        </w:tc>
        <w:tc>
          <w:tcPr>
            <w:tcW w:w="362" w:type="pct"/>
            <w:tcBorders>
              <w:top w:val="nil"/>
              <w:left w:val="nil"/>
              <w:bottom w:val="single" w:sz="4" w:space="0" w:color="auto"/>
              <w:right w:val="single" w:sz="4" w:space="0" w:color="auto"/>
            </w:tcBorders>
            <w:noWrap/>
            <w:vAlign w:val="center"/>
            <w:hideMark/>
          </w:tcPr>
          <w:p w14:paraId="7C5DCDB6" w14:textId="77777777" w:rsidR="009A0A63" w:rsidRPr="00792B36" w:rsidRDefault="009A0A63" w:rsidP="00A24459">
            <w:pPr>
              <w:jc w:val="center"/>
              <w:rPr>
                <w:rFonts w:eastAsia="Times New Roman"/>
                <w:color w:val="000000"/>
                <w:sz w:val="21"/>
                <w:szCs w:val="21"/>
              </w:rPr>
            </w:pPr>
            <w:r w:rsidRPr="00792B36">
              <w:rPr>
                <w:rFonts w:eastAsia="Times New Roman"/>
                <w:color w:val="000000"/>
                <w:sz w:val="21"/>
                <w:szCs w:val="21"/>
              </w:rPr>
              <w:t>0.209</w:t>
            </w:r>
          </w:p>
        </w:tc>
        <w:tc>
          <w:tcPr>
            <w:tcW w:w="445" w:type="pct"/>
            <w:tcBorders>
              <w:top w:val="nil"/>
              <w:left w:val="nil"/>
              <w:bottom w:val="single" w:sz="4" w:space="0" w:color="auto"/>
              <w:right w:val="single" w:sz="4" w:space="0" w:color="auto"/>
            </w:tcBorders>
            <w:noWrap/>
            <w:vAlign w:val="center"/>
            <w:hideMark/>
          </w:tcPr>
          <w:p w14:paraId="35A9C012" w14:textId="77777777" w:rsidR="009A0A63" w:rsidRPr="00792B36" w:rsidRDefault="009A0A63" w:rsidP="00A24459">
            <w:pPr>
              <w:jc w:val="center"/>
              <w:rPr>
                <w:rFonts w:eastAsia="Times New Roman"/>
                <w:color w:val="000000"/>
                <w:sz w:val="21"/>
                <w:szCs w:val="21"/>
              </w:rPr>
            </w:pPr>
            <w:r w:rsidRPr="00792B36">
              <w:rPr>
                <w:rFonts w:eastAsia="Times New Roman"/>
                <w:color w:val="000000"/>
                <w:sz w:val="21"/>
                <w:szCs w:val="21"/>
              </w:rPr>
              <w:t>0.531</w:t>
            </w:r>
          </w:p>
        </w:tc>
        <w:tc>
          <w:tcPr>
            <w:tcW w:w="660" w:type="pct"/>
            <w:tcBorders>
              <w:top w:val="nil"/>
              <w:left w:val="nil"/>
              <w:bottom w:val="single" w:sz="4" w:space="0" w:color="auto"/>
              <w:right w:val="single" w:sz="4" w:space="0" w:color="auto"/>
            </w:tcBorders>
            <w:noWrap/>
            <w:vAlign w:val="center"/>
            <w:hideMark/>
          </w:tcPr>
          <w:p w14:paraId="4C3A3D3E" w14:textId="77777777" w:rsidR="009A0A63" w:rsidRPr="00792B36" w:rsidRDefault="009A0A63" w:rsidP="00A24459">
            <w:pPr>
              <w:jc w:val="center"/>
              <w:rPr>
                <w:rFonts w:eastAsia="Times New Roman"/>
                <w:color w:val="000000"/>
                <w:sz w:val="21"/>
                <w:szCs w:val="21"/>
              </w:rPr>
            </w:pPr>
            <w:r w:rsidRPr="00792B36">
              <w:rPr>
                <w:rFonts w:eastAsia="Times New Roman"/>
                <w:color w:val="000000"/>
                <w:sz w:val="21"/>
                <w:szCs w:val="21"/>
              </w:rPr>
              <w:t>0.370</w:t>
            </w:r>
          </w:p>
        </w:tc>
        <w:tc>
          <w:tcPr>
            <w:tcW w:w="393" w:type="pct"/>
            <w:tcBorders>
              <w:top w:val="nil"/>
              <w:left w:val="nil"/>
              <w:bottom w:val="single" w:sz="4" w:space="0" w:color="auto"/>
              <w:right w:val="single" w:sz="4" w:space="0" w:color="auto"/>
            </w:tcBorders>
            <w:noWrap/>
            <w:vAlign w:val="center"/>
            <w:hideMark/>
          </w:tcPr>
          <w:p w14:paraId="714C5108" w14:textId="77777777" w:rsidR="009A0A63" w:rsidRPr="00792B36" w:rsidRDefault="009A0A63" w:rsidP="00A24459">
            <w:pPr>
              <w:jc w:val="center"/>
              <w:rPr>
                <w:rFonts w:eastAsia="Times New Roman"/>
                <w:color w:val="000000"/>
                <w:sz w:val="21"/>
                <w:szCs w:val="21"/>
              </w:rPr>
            </w:pPr>
            <w:r w:rsidRPr="00792B36">
              <w:rPr>
                <w:rFonts w:eastAsia="Times New Roman"/>
                <w:color w:val="000000"/>
                <w:sz w:val="21"/>
                <w:szCs w:val="21"/>
              </w:rPr>
              <w:t>0.009</w:t>
            </w:r>
          </w:p>
        </w:tc>
        <w:tc>
          <w:tcPr>
            <w:tcW w:w="484" w:type="pct"/>
            <w:tcBorders>
              <w:top w:val="nil"/>
              <w:left w:val="nil"/>
              <w:bottom w:val="single" w:sz="4" w:space="0" w:color="auto"/>
              <w:right w:val="single" w:sz="4" w:space="0" w:color="auto"/>
            </w:tcBorders>
            <w:noWrap/>
            <w:vAlign w:val="center"/>
            <w:hideMark/>
          </w:tcPr>
          <w:p w14:paraId="17CD941F" w14:textId="77777777" w:rsidR="009A0A63" w:rsidRPr="00792B36" w:rsidRDefault="009A0A63" w:rsidP="00A24459">
            <w:pPr>
              <w:jc w:val="center"/>
              <w:rPr>
                <w:rFonts w:eastAsia="Times New Roman"/>
                <w:color w:val="000000"/>
                <w:sz w:val="21"/>
                <w:szCs w:val="21"/>
              </w:rPr>
            </w:pPr>
            <w:r w:rsidRPr="00792B36">
              <w:rPr>
                <w:rFonts w:eastAsia="Times New Roman"/>
                <w:color w:val="000000"/>
                <w:sz w:val="21"/>
                <w:szCs w:val="21"/>
              </w:rPr>
              <w:t>0.024</w:t>
            </w:r>
          </w:p>
        </w:tc>
        <w:tc>
          <w:tcPr>
            <w:tcW w:w="559" w:type="pct"/>
            <w:tcBorders>
              <w:top w:val="nil"/>
              <w:left w:val="nil"/>
              <w:bottom w:val="single" w:sz="4" w:space="0" w:color="auto"/>
              <w:right w:val="single" w:sz="4" w:space="0" w:color="auto"/>
            </w:tcBorders>
            <w:noWrap/>
            <w:vAlign w:val="center"/>
            <w:hideMark/>
          </w:tcPr>
          <w:p w14:paraId="44B8389C" w14:textId="77777777" w:rsidR="009A0A63" w:rsidRPr="00792B36" w:rsidRDefault="009A0A63" w:rsidP="00A24459">
            <w:pPr>
              <w:jc w:val="center"/>
              <w:rPr>
                <w:rFonts w:eastAsia="Times New Roman"/>
                <w:color w:val="000000"/>
                <w:sz w:val="21"/>
                <w:szCs w:val="21"/>
              </w:rPr>
            </w:pPr>
            <w:r w:rsidRPr="00792B36">
              <w:rPr>
                <w:rFonts w:eastAsia="Times New Roman"/>
                <w:color w:val="000000"/>
                <w:sz w:val="21"/>
                <w:szCs w:val="21"/>
              </w:rPr>
              <w:t>14</w:t>
            </w:r>
          </w:p>
        </w:tc>
        <w:tc>
          <w:tcPr>
            <w:tcW w:w="812" w:type="pct"/>
            <w:tcBorders>
              <w:top w:val="nil"/>
              <w:left w:val="nil"/>
              <w:bottom w:val="single" w:sz="4" w:space="0" w:color="auto"/>
              <w:right w:val="single" w:sz="4" w:space="0" w:color="auto"/>
            </w:tcBorders>
            <w:noWrap/>
            <w:vAlign w:val="center"/>
            <w:hideMark/>
          </w:tcPr>
          <w:p w14:paraId="6A60A038" w14:textId="77777777" w:rsidR="009A0A63" w:rsidRPr="00792B36" w:rsidRDefault="009A0A63" w:rsidP="00A24459">
            <w:pPr>
              <w:jc w:val="center"/>
              <w:rPr>
                <w:rFonts w:eastAsia="Times New Roman"/>
                <w:color w:val="000000"/>
                <w:sz w:val="21"/>
                <w:szCs w:val="21"/>
              </w:rPr>
            </w:pPr>
            <w:r w:rsidRPr="00792B36">
              <w:rPr>
                <w:rFonts w:eastAsia="Times New Roman"/>
                <w:color w:val="000000"/>
                <w:sz w:val="21"/>
                <w:szCs w:val="21"/>
              </w:rPr>
              <w:t>6</w:t>
            </w:r>
          </w:p>
        </w:tc>
      </w:tr>
      <w:tr w:rsidR="009A0A63" w:rsidRPr="00792B36" w14:paraId="3D06AD54" w14:textId="77777777" w:rsidTr="00A24459">
        <w:trPr>
          <w:trHeight w:val="340"/>
        </w:trPr>
        <w:tc>
          <w:tcPr>
            <w:tcW w:w="913" w:type="pct"/>
            <w:tcBorders>
              <w:top w:val="nil"/>
              <w:left w:val="single" w:sz="4" w:space="0" w:color="auto"/>
              <w:bottom w:val="single" w:sz="4" w:space="0" w:color="auto"/>
              <w:right w:val="single" w:sz="4" w:space="0" w:color="auto"/>
            </w:tcBorders>
            <w:noWrap/>
            <w:vAlign w:val="center"/>
            <w:hideMark/>
          </w:tcPr>
          <w:p w14:paraId="5AE4FEB8" w14:textId="77777777" w:rsidR="009A0A63" w:rsidRPr="00792B36" w:rsidRDefault="009A0A63" w:rsidP="00A24459">
            <w:pPr>
              <w:rPr>
                <w:rFonts w:eastAsia="Times New Roman"/>
                <w:color w:val="000000"/>
                <w:sz w:val="21"/>
                <w:szCs w:val="21"/>
              </w:rPr>
            </w:pPr>
            <w:r w:rsidRPr="00792B36">
              <w:rPr>
                <w:rFonts w:eastAsia="Times New Roman"/>
                <w:color w:val="000000"/>
                <w:sz w:val="21"/>
                <w:szCs w:val="21"/>
              </w:rPr>
              <w:t>Narathiwat</w:t>
            </w:r>
          </w:p>
        </w:tc>
        <w:tc>
          <w:tcPr>
            <w:tcW w:w="372" w:type="pct"/>
            <w:tcBorders>
              <w:top w:val="nil"/>
              <w:left w:val="nil"/>
              <w:bottom w:val="single" w:sz="4" w:space="0" w:color="auto"/>
              <w:right w:val="single" w:sz="4" w:space="0" w:color="auto"/>
            </w:tcBorders>
            <w:noWrap/>
            <w:vAlign w:val="center"/>
            <w:hideMark/>
          </w:tcPr>
          <w:p w14:paraId="1E0CC544" w14:textId="77777777" w:rsidR="009A0A63" w:rsidRPr="00792B36" w:rsidRDefault="009A0A63" w:rsidP="00A24459">
            <w:pPr>
              <w:jc w:val="center"/>
              <w:rPr>
                <w:rFonts w:eastAsia="Times New Roman"/>
                <w:color w:val="000000"/>
                <w:sz w:val="21"/>
                <w:szCs w:val="21"/>
              </w:rPr>
            </w:pPr>
            <w:r w:rsidRPr="00792B36">
              <w:rPr>
                <w:rFonts w:eastAsia="Times New Roman"/>
                <w:color w:val="000000"/>
                <w:sz w:val="21"/>
                <w:szCs w:val="21"/>
              </w:rPr>
              <w:t>0.293</w:t>
            </w:r>
          </w:p>
        </w:tc>
        <w:tc>
          <w:tcPr>
            <w:tcW w:w="362" w:type="pct"/>
            <w:tcBorders>
              <w:top w:val="nil"/>
              <w:left w:val="nil"/>
              <w:bottom w:val="single" w:sz="4" w:space="0" w:color="auto"/>
              <w:right w:val="single" w:sz="4" w:space="0" w:color="auto"/>
            </w:tcBorders>
            <w:noWrap/>
            <w:vAlign w:val="center"/>
            <w:hideMark/>
          </w:tcPr>
          <w:p w14:paraId="6AF8952C" w14:textId="77777777" w:rsidR="009A0A63" w:rsidRPr="00792B36" w:rsidRDefault="009A0A63" w:rsidP="00A24459">
            <w:pPr>
              <w:jc w:val="center"/>
              <w:rPr>
                <w:rFonts w:eastAsia="Times New Roman"/>
                <w:color w:val="000000"/>
                <w:sz w:val="21"/>
                <w:szCs w:val="21"/>
              </w:rPr>
            </w:pPr>
            <w:r w:rsidRPr="00792B36">
              <w:rPr>
                <w:rFonts w:eastAsia="Times New Roman"/>
                <w:color w:val="000000"/>
                <w:sz w:val="21"/>
                <w:szCs w:val="21"/>
              </w:rPr>
              <w:t>0.226</w:t>
            </w:r>
          </w:p>
        </w:tc>
        <w:tc>
          <w:tcPr>
            <w:tcW w:w="445" w:type="pct"/>
            <w:tcBorders>
              <w:top w:val="nil"/>
              <w:left w:val="nil"/>
              <w:bottom w:val="single" w:sz="4" w:space="0" w:color="auto"/>
              <w:right w:val="single" w:sz="4" w:space="0" w:color="auto"/>
            </w:tcBorders>
            <w:noWrap/>
            <w:vAlign w:val="center"/>
            <w:hideMark/>
          </w:tcPr>
          <w:p w14:paraId="5D7FA029" w14:textId="77777777" w:rsidR="009A0A63" w:rsidRPr="00792B36" w:rsidRDefault="009A0A63" w:rsidP="00A24459">
            <w:pPr>
              <w:jc w:val="center"/>
              <w:rPr>
                <w:rFonts w:eastAsia="Times New Roman"/>
                <w:color w:val="000000"/>
                <w:sz w:val="21"/>
                <w:szCs w:val="21"/>
              </w:rPr>
            </w:pPr>
            <w:r w:rsidRPr="00792B36">
              <w:rPr>
                <w:rFonts w:eastAsia="Times New Roman"/>
                <w:color w:val="000000"/>
                <w:sz w:val="21"/>
                <w:szCs w:val="21"/>
              </w:rPr>
              <w:t>0.401</w:t>
            </w:r>
          </w:p>
        </w:tc>
        <w:tc>
          <w:tcPr>
            <w:tcW w:w="660" w:type="pct"/>
            <w:tcBorders>
              <w:top w:val="nil"/>
              <w:left w:val="nil"/>
              <w:bottom w:val="single" w:sz="4" w:space="0" w:color="auto"/>
              <w:right w:val="single" w:sz="4" w:space="0" w:color="auto"/>
            </w:tcBorders>
            <w:noWrap/>
            <w:vAlign w:val="center"/>
            <w:hideMark/>
          </w:tcPr>
          <w:p w14:paraId="04302362" w14:textId="77777777" w:rsidR="009A0A63" w:rsidRPr="00792B36" w:rsidRDefault="009A0A63" w:rsidP="00A24459">
            <w:pPr>
              <w:jc w:val="center"/>
              <w:rPr>
                <w:rFonts w:eastAsia="Times New Roman"/>
                <w:color w:val="000000"/>
                <w:sz w:val="21"/>
                <w:szCs w:val="21"/>
              </w:rPr>
            </w:pPr>
            <w:r w:rsidRPr="00792B36">
              <w:rPr>
                <w:rFonts w:eastAsia="Times New Roman"/>
                <w:color w:val="000000"/>
                <w:sz w:val="21"/>
                <w:szCs w:val="21"/>
              </w:rPr>
              <w:t>0.314</w:t>
            </w:r>
          </w:p>
        </w:tc>
        <w:tc>
          <w:tcPr>
            <w:tcW w:w="393" w:type="pct"/>
            <w:tcBorders>
              <w:top w:val="nil"/>
              <w:left w:val="nil"/>
              <w:bottom w:val="single" w:sz="4" w:space="0" w:color="auto"/>
              <w:right w:val="single" w:sz="4" w:space="0" w:color="auto"/>
            </w:tcBorders>
            <w:noWrap/>
            <w:vAlign w:val="center"/>
            <w:hideMark/>
          </w:tcPr>
          <w:p w14:paraId="45CA1BF3" w14:textId="77777777" w:rsidR="009A0A63" w:rsidRPr="00792B36" w:rsidRDefault="009A0A63" w:rsidP="00A24459">
            <w:pPr>
              <w:jc w:val="center"/>
              <w:rPr>
                <w:rFonts w:eastAsia="Times New Roman"/>
                <w:color w:val="000000"/>
                <w:sz w:val="21"/>
                <w:szCs w:val="21"/>
              </w:rPr>
            </w:pPr>
            <w:r w:rsidRPr="00792B36">
              <w:rPr>
                <w:rFonts w:eastAsia="Times New Roman"/>
                <w:color w:val="000000"/>
                <w:sz w:val="21"/>
                <w:szCs w:val="21"/>
              </w:rPr>
              <w:t>0.017</w:t>
            </w:r>
          </w:p>
        </w:tc>
        <w:tc>
          <w:tcPr>
            <w:tcW w:w="484" w:type="pct"/>
            <w:tcBorders>
              <w:top w:val="nil"/>
              <w:left w:val="nil"/>
              <w:bottom w:val="single" w:sz="4" w:space="0" w:color="auto"/>
              <w:right w:val="single" w:sz="4" w:space="0" w:color="auto"/>
            </w:tcBorders>
            <w:noWrap/>
            <w:vAlign w:val="center"/>
            <w:hideMark/>
          </w:tcPr>
          <w:p w14:paraId="759F1FB4" w14:textId="77777777" w:rsidR="009A0A63" w:rsidRPr="00792B36" w:rsidRDefault="009A0A63" w:rsidP="00A24459">
            <w:pPr>
              <w:jc w:val="center"/>
              <w:rPr>
                <w:rFonts w:eastAsia="Times New Roman"/>
                <w:color w:val="000000"/>
                <w:sz w:val="21"/>
                <w:szCs w:val="21"/>
              </w:rPr>
            </w:pPr>
            <w:r w:rsidRPr="00792B36">
              <w:rPr>
                <w:rFonts w:eastAsia="Times New Roman"/>
                <w:color w:val="000000"/>
                <w:sz w:val="21"/>
                <w:szCs w:val="21"/>
              </w:rPr>
              <w:t>0.055</w:t>
            </w:r>
          </w:p>
        </w:tc>
        <w:tc>
          <w:tcPr>
            <w:tcW w:w="559" w:type="pct"/>
            <w:tcBorders>
              <w:top w:val="nil"/>
              <w:left w:val="nil"/>
              <w:bottom w:val="single" w:sz="4" w:space="0" w:color="auto"/>
              <w:right w:val="single" w:sz="4" w:space="0" w:color="auto"/>
            </w:tcBorders>
            <w:noWrap/>
            <w:vAlign w:val="center"/>
            <w:hideMark/>
          </w:tcPr>
          <w:p w14:paraId="749021D7" w14:textId="77777777" w:rsidR="009A0A63" w:rsidRPr="00792B36" w:rsidRDefault="009A0A63" w:rsidP="00A24459">
            <w:pPr>
              <w:jc w:val="center"/>
              <w:rPr>
                <w:rFonts w:eastAsia="Times New Roman"/>
                <w:color w:val="000000"/>
                <w:sz w:val="21"/>
                <w:szCs w:val="21"/>
              </w:rPr>
            </w:pPr>
            <w:r w:rsidRPr="00792B36">
              <w:rPr>
                <w:rFonts w:eastAsia="Times New Roman"/>
                <w:color w:val="000000"/>
                <w:sz w:val="21"/>
                <w:szCs w:val="21"/>
              </w:rPr>
              <w:t>10</w:t>
            </w:r>
          </w:p>
        </w:tc>
        <w:tc>
          <w:tcPr>
            <w:tcW w:w="812" w:type="pct"/>
            <w:tcBorders>
              <w:top w:val="nil"/>
              <w:left w:val="nil"/>
              <w:bottom w:val="single" w:sz="4" w:space="0" w:color="auto"/>
              <w:right w:val="single" w:sz="4" w:space="0" w:color="auto"/>
            </w:tcBorders>
            <w:noWrap/>
            <w:vAlign w:val="center"/>
            <w:hideMark/>
          </w:tcPr>
          <w:p w14:paraId="586F330F" w14:textId="77777777" w:rsidR="009A0A63" w:rsidRPr="00792B36" w:rsidRDefault="009A0A63" w:rsidP="00A24459">
            <w:pPr>
              <w:jc w:val="center"/>
              <w:rPr>
                <w:rFonts w:eastAsia="Times New Roman"/>
                <w:color w:val="000000"/>
                <w:sz w:val="21"/>
                <w:szCs w:val="21"/>
              </w:rPr>
            </w:pPr>
            <w:r w:rsidRPr="00792B36">
              <w:rPr>
                <w:rFonts w:eastAsia="Times New Roman"/>
                <w:color w:val="000000"/>
                <w:sz w:val="21"/>
                <w:szCs w:val="21"/>
              </w:rPr>
              <w:t>13</w:t>
            </w:r>
          </w:p>
        </w:tc>
      </w:tr>
      <w:tr w:rsidR="009A0A63" w:rsidRPr="00792B36" w14:paraId="6557C641" w14:textId="77777777" w:rsidTr="00A24459">
        <w:trPr>
          <w:trHeight w:val="340"/>
        </w:trPr>
        <w:tc>
          <w:tcPr>
            <w:tcW w:w="913" w:type="pct"/>
            <w:tcBorders>
              <w:top w:val="nil"/>
              <w:left w:val="single" w:sz="4" w:space="0" w:color="auto"/>
              <w:bottom w:val="single" w:sz="4" w:space="0" w:color="auto"/>
              <w:right w:val="single" w:sz="4" w:space="0" w:color="auto"/>
            </w:tcBorders>
            <w:noWrap/>
            <w:vAlign w:val="center"/>
            <w:hideMark/>
          </w:tcPr>
          <w:p w14:paraId="4434320D" w14:textId="77777777" w:rsidR="009A0A63" w:rsidRPr="00792B36" w:rsidRDefault="009A0A63" w:rsidP="00A24459">
            <w:pPr>
              <w:rPr>
                <w:rFonts w:eastAsia="Times New Roman"/>
                <w:color w:val="000000"/>
                <w:sz w:val="21"/>
                <w:szCs w:val="21"/>
              </w:rPr>
            </w:pPr>
            <w:r w:rsidRPr="00792B36">
              <w:rPr>
                <w:rFonts w:eastAsia="Times New Roman"/>
                <w:color w:val="000000"/>
                <w:sz w:val="21"/>
                <w:szCs w:val="21"/>
              </w:rPr>
              <w:t>Bangkok</w:t>
            </w:r>
          </w:p>
        </w:tc>
        <w:tc>
          <w:tcPr>
            <w:tcW w:w="372" w:type="pct"/>
            <w:tcBorders>
              <w:top w:val="nil"/>
              <w:left w:val="nil"/>
              <w:bottom w:val="single" w:sz="4" w:space="0" w:color="auto"/>
              <w:right w:val="single" w:sz="4" w:space="0" w:color="auto"/>
            </w:tcBorders>
            <w:noWrap/>
            <w:vAlign w:val="center"/>
            <w:hideMark/>
          </w:tcPr>
          <w:p w14:paraId="217101F4" w14:textId="77777777" w:rsidR="009A0A63" w:rsidRPr="00792B36" w:rsidRDefault="009A0A63" w:rsidP="00A24459">
            <w:pPr>
              <w:jc w:val="center"/>
              <w:rPr>
                <w:rFonts w:eastAsia="Times New Roman"/>
                <w:color w:val="000000"/>
                <w:sz w:val="21"/>
                <w:szCs w:val="21"/>
              </w:rPr>
            </w:pPr>
            <w:r w:rsidRPr="00792B36">
              <w:rPr>
                <w:rFonts w:eastAsia="Times New Roman"/>
                <w:color w:val="000000"/>
                <w:sz w:val="21"/>
                <w:szCs w:val="21"/>
              </w:rPr>
              <w:t>0.125</w:t>
            </w:r>
          </w:p>
        </w:tc>
        <w:tc>
          <w:tcPr>
            <w:tcW w:w="362" w:type="pct"/>
            <w:tcBorders>
              <w:top w:val="nil"/>
              <w:left w:val="nil"/>
              <w:bottom w:val="single" w:sz="4" w:space="0" w:color="auto"/>
              <w:right w:val="single" w:sz="4" w:space="0" w:color="auto"/>
            </w:tcBorders>
            <w:noWrap/>
            <w:vAlign w:val="center"/>
            <w:hideMark/>
          </w:tcPr>
          <w:p w14:paraId="0764B055" w14:textId="77777777" w:rsidR="009A0A63" w:rsidRPr="00792B36" w:rsidRDefault="009A0A63" w:rsidP="00A24459">
            <w:pPr>
              <w:jc w:val="center"/>
              <w:rPr>
                <w:rFonts w:eastAsia="Times New Roman"/>
                <w:color w:val="000000"/>
                <w:sz w:val="21"/>
                <w:szCs w:val="21"/>
              </w:rPr>
            </w:pPr>
            <w:r w:rsidRPr="00792B36">
              <w:rPr>
                <w:rFonts w:eastAsia="Times New Roman"/>
                <w:color w:val="000000"/>
                <w:sz w:val="21"/>
                <w:szCs w:val="21"/>
              </w:rPr>
              <w:t>0.586</w:t>
            </w:r>
          </w:p>
        </w:tc>
        <w:tc>
          <w:tcPr>
            <w:tcW w:w="445" w:type="pct"/>
            <w:tcBorders>
              <w:top w:val="nil"/>
              <w:left w:val="nil"/>
              <w:bottom w:val="single" w:sz="4" w:space="0" w:color="auto"/>
              <w:right w:val="single" w:sz="4" w:space="0" w:color="auto"/>
            </w:tcBorders>
            <w:noWrap/>
            <w:vAlign w:val="center"/>
            <w:hideMark/>
          </w:tcPr>
          <w:p w14:paraId="3CCD5351" w14:textId="77777777" w:rsidR="009A0A63" w:rsidRPr="00792B36" w:rsidRDefault="009A0A63" w:rsidP="00A24459">
            <w:pPr>
              <w:jc w:val="center"/>
              <w:rPr>
                <w:rFonts w:eastAsia="Times New Roman"/>
                <w:color w:val="000000"/>
                <w:sz w:val="21"/>
                <w:szCs w:val="21"/>
              </w:rPr>
            </w:pPr>
            <w:r w:rsidRPr="00792B36">
              <w:rPr>
                <w:rFonts w:eastAsia="Times New Roman"/>
                <w:color w:val="000000"/>
                <w:sz w:val="21"/>
                <w:szCs w:val="21"/>
              </w:rPr>
              <w:t>0.706</w:t>
            </w:r>
          </w:p>
        </w:tc>
        <w:tc>
          <w:tcPr>
            <w:tcW w:w="660" w:type="pct"/>
            <w:tcBorders>
              <w:top w:val="nil"/>
              <w:left w:val="nil"/>
              <w:bottom w:val="single" w:sz="4" w:space="0" w:color="auto"/>
              <w:right w:val="single" w:sz="4" w:space="0" w:color="auto"/>
            </w:tcBorders>
            <w:noWrap/>
            <w:vAlign w:val="center"/>
            <w:hideMark/>
          </w:tcPr>
          <w:p w14:paraId="2C022B3C" w14:textId="77777777" w:rsidR="009A0A63" w:rsidRPr="00792B36" w:rsidRDefault="009A0A63" w:rsidP="00A24459">
            <w:pPr>
              <w:jc w:val="center"/>
              <w:rPr>
                <w:rFonts w:eastAsia="Times New Roman"/>
                <w:color w:val="000000"/>
                <w:sz w:val="21"/>
                <w:szCs w:val="21"/>
              </w:rPr>
            </w:pPr>
            <w:r w:rsidRPr="00792B36">
              <w:rPr>
                <w:rFonts w:eastAsia="Times New Roman"/>
                <w:color w:val="000000"/>
                <w:sz w:val="21"/>
                <w:szCs w:val="21"/>
              </w:rPr>
              <w:t>0.646</w:t>
            </w:r>
          </w:p>
        </w:tc>
        <w:tc>
          <w:tcPr>
            <w:tcW w:w="393" w:type="pct"/>
            <w:tcBorders>
              <w:top w:val="nil"/>
              <w:left w:val="nil"/>
              <w:bottom w:val="single" w:sz="4" w:space="0" w:color="auto"/>
              <w:right w:val="single" w:sz="4" w:space="0" w:color="auto"/>
            </w:tcBorders>
            <w:noWrap/>
            <w:vAlign w:val="center"/>
            <w:hideMark/>
          </w:tcPr>
          <w:p w14:paraId="6A416A58" w14:textId="77777777" w:rsidR="009A0A63" w:rsidRPr="00792B36" w:rsidRDefault="009A0A63" w:rsidP="00A24459">
            <w:pPr>
              <w:jc w:val="center"/>
              <w:rPr>
                <w:rFonts w:eastAsia="Times New Roman"/>
                <w:color w:val="000000"/>
                <w:sz w:val="21"/>
                <w:szCs w:val="21"/>
              </w:rPr>
            </w:pPr>
            <w:r w:rsidRPr="00792B36">
              <w:rPr>
                <w:rFonts w:eastAsia="Times New Roman"/>
                <w:color w:val="000000"/>
                <w:sz w:val="21"/>
                <w:szCs w:val="21"/>
              </w:rPr>
              <w:t>0.012</w:t>
            </w:r>
          </w:p>
        </w:tc>
        <w:tc>
          <w:tcPr>
            <w:tcW w:w="484" w:type="pct"/>
            <w:tcBorders>
              <w:top w:val="nil"/>
              <w:left w:val="nil"/>
              <w:bottom w:val="single" w:sz="4" w:space="0" w:color="auto"/>
              <w:right w:val="single" w:sz="4" w:space="0" w:color="auto"/>
            </w:tcBorders>
            <w:noWrap/>
            <w:vAlign w:val="center"/>
            <w:hideMark/>
          </w:tcPr>
          <w:p w14:paraId="6A99B218" w14:textId="77777777" w:rsidR="009A0A63" w:rsidRPr="00792B36" w:rsidRDefault="009A0A63" w:rsidP="00A24459">
            <w:pPr>
              <w:jc w:val="center"/>
              <w:rPr>
                <w:rFonts w:eastAsia="Times New Roman"/>
                <w:color w:val="000000"/>
                <w:sz w:val="21"/>
                <w:szCs w:val="21"/>
              </w:rPr>
            </w:pPr>
            <w:r w:rsidRPr="00792B36">
              <w:rPr>
                <w:rFonts w:eastAsia="Times New Roman"/>
                <w:color w:val="000000"/>
                <w:sz w:val="21"/>
                <w:szCs w:val="21"/>
              </w:rPr>
              <w:t>0.019</w:t>
            </w:r>
          </w:p>
        </w:tc>
        <w:tc>
          <w:tcPr>
            <w:tcW w:w="559" w:type="pct"/>
            <w:tcBorders>
              <w:top w:val="nil"/>
              <w:left w:val="nil"/>
              <w:bottom w:val="single" w:sz="4" w:space="0" w:color="auto"/>
              <w:right w:val="single" w:sz="4" w:space="0" w:color="auto"/>
            </w:tcBorders>
            <w:noWrap/>
            <w:vAlign w:val="center"/>
            <w:hideMark/>
          </w:tcPr>
          <w:p w14:paraId="255233CA" w14:textId="77777777" w:rsidR="009A0A63" w:rsidRPr="00792B36" w:rsidRDefault="009A0A63" w:rsidP="00A24459">
            <w:pPr>
              <w:jc w:val="center"/>
              <w:rPr>
                <w:rFonts w:eastAsia="Times New Roman"/>
                <w:color w:val="000000"/>
                <w:sz w:val="21"/>
                <w:szCs w:val="21"/>
              </w:rPr>
            </w:pPr>
            <w:r w:rsidRPr="00792B36">
              <w:rPr>
                <w:rFonts w:eastAsia="Times New Roman"/>
                <w:color w:val="000000"/>
                <w:sz w:val="21"/>
                <w:szCs w:val="21"/>
              </w:rPr>
              <w:t>11</w:t>
            </w:r>
          </w:p>
        </w:tc>
        <w:tc>
          <w:tcPr>
            <w:tcW w:w="812" w:type="pct"/>
            <w:tcBorders>
              <w:top w:val="nil"/>
              <w:left w:val="nil"/>
              <w:bottom w:val="single" w:sz="4" w:space="0" w:color="auto"/>
              <w:right w:val="single" w:sz="4" w:space="0" w:color="auto"/>
            </w:tcBorders>
            <w:noWrap/>
            <w:vAlign w:val="center"/>
            <w:hideMark/>
          </w:tcPr>
          <w:p w14:paraId="5D998387" w14:textId="77777777" w:rsidR="009A0A63" w:rsidRPr="00792B36" w:rsidRDefault="009A0A63" w:rsidP="00A24459">
            <w:pPr>
              <w:jc w:val="center"/>
              <w:rPr>
                <w:rFonts w:eastAsia="Times New Roman"/>
                <w:color w:val="000000"/>
                <w:sz w:val="21"/>
                <w:szCs w:val="21"/>
              </w:rPr>
            </w:pPr>
            <w:r w:rsidRPr="00792B36">
              <w:rPr>
                <w:rFonts w:eastAsia="Times New Roman"/>
                <w:color w:val="000000"/>
                <w:sz w:val="21"/>
                <w:szCs w:val="21"/>
              </w:rPr>
              <w:t>1</w:t>
            </w:r>
          </w:p>
        </w:tc>
      </w:tr>
    </w:tbl>
    <w:p w14:paraId="735DA13F" w14:textId="77777777" w:rsidR="009A0A63" w:rsidRPr="00792B36" w:rsidRDefault="009A0A63" w:rsidP="009A0A63">
      <w:pPr>
        <w:pStyle w:val="Title"/>
        <w:spacing w:after="0"/>
        <w:rPr>
          <w:sz w:val="28"/>
          <w:szCs w:val="28"/>
        </w:rPr>
      </w:pPr>
    </w:p>
    <w:p w14:paraId="69FFF4D5" w14:textId="77777777" w:rsidR="009A0A63" w:rsidRPr="00792B36" w:rsidRDefault="009A0A63" w:rsidP="009A0A63">
      <w:pPr>
        <w:pStyle w:val="Title"/>
        <w:spacing w:after="0"/>
        <w:rPr>
          <w:sz w:val="28"/>
          <w:szCs w:val="28"/>
        </w:rPr>
      </w:pPr>
    </w:p>
    <w:p w14:paraId="1B606E77" w14:textId="77777777" w:rsidR="009A0A63" w:rsidRPr="00792B36" w:rsidRDefault="009A0A63" w:rsidP="009A0A63"/>
    <w:p w14:paraId="5D7A91F6" w14:textId="77777777" w:rsidR="009A0A63" w:rsidRPr="00792B36" w:rsidRDefault="009A0A63" w:rsidP="009A0A63"/>
    <w:p w14:paraId="423E7630" w14:textId="77777777" w:rsidR="009A0A63" w:rsidRPr="00792B36" w:rsidRDefault="009A0A63" w:rsidP="009A0A63"/>
    <w:p w14:paraId="7148F7E3" w14:textId="77777777" w:rsidR="009A0A63" w:rsidRPr="00792B36" w:rsidRDefault="009A0A63" w:rsidP="009A0A63"/>
    <w:p w14:paraId="175AA140" w14:textId="77777777" w:rsidR="009A0A63" w:rsidRPr="00792B36" w:rsidRDefault="009A0A63" w:rsidP="009A0A63"/>
    <w:p w14:paraId="0AE8C961" w14:textId="77777777" w:rsidR="009A0A63" w:rsidRPr="00792B36" w:rsidRDefault="009A0A63" w:rsidP="009A0A63"/>
    <w:p w14:paraId="1F823966" w14:textId="77777777" w:rsidR="009A0A63" w:rsidRPr="00792B36" w:rsidRDefault="009A0A63" w:rsidP="009A0A63"/>
    <w:p w14:paraId="61E0C981" w14:textId="77777777" w:rsidR="009A0A63" w:rsidRPr="00792B36" w:rsidRDefault="009A0A63" w:rsidP="009A0A63"/>
    <w:p w14:paraId="079F56B3" w14:textId="77777777" w:rsidR="009A0A63" w:rsidRPr="00792B36" w:rsidRDefault="009A0A63" w:rsidP="009A0A63">
      <w:pPr>
        <w:sectPr w:rsidR="009A0A63" w:rsidRPr="00792B36" w:rsidSect="003332A9">
          <w:pgSz w:w="11900" w:h="16840"/>
          <w:pgMar w:top="1440" w:right="1440" w:bottom="1440" w:left="1440" w:header="708" w:footer="708" w:gutter="0"/>
          <w:cols w:space="708"/>
          <w:docGrid w:linePitch="360"/>
        </w:sectPr>
      </w:pPr>
    </w:p>
    <w:p w14:paraId="06CDB5AC" w14:textId="77777777" w:rsidR="009A0A63" w:rsidRPr="00792B36" w:rsidRDefault="009A0A63" w:rsidP="009A0A63">
      <w:pPr>
        <w:ind w:left="720" w:hanging="360"/>
        <w:jc w:val="center"/>
        <w:rPr>
          <w:b/>
          <w:bCs/>
          <w:color w:val="000000" w:themeColor="text1"/>
          <w:sz w:val="28"/>
          <w:szCs w:val="28"/>
        </w:rPr>
      </w:pPr>
      <w:r w:rsidRPr="00792B36">
        <w:rPr>
          <w:b/>
          <w:bCs/>
          <w:color w:val="000000" w:themeColor="text1"/>
          <w:sz w:val="28"/>
          <w:szCs w:val="28"/>
        </w:rPr>
        <w:lastRenderedPageBreak/>
        <w:t>Annex II: Ecosystems</w:t>
      </w:r>
    </w:p>
    <w:p w14:paraId="1CBF3425" w14:textId="77777777" w:rsidR="009A0A63" w:rsidRPr="00792B36" w:rsidRDefault="009A0A63" w:rsidP="009A0A63">
      <w:pPr>
        <w:ind w:left="720" w:hanging="360"/>
        <w:jc w:val="center"/>
        <w:rPr>
          <w:b/>
          <w:bCs/>
          <w:color w:val="000000" w:themeColor="text1"/>
          <w:sz w:val="28"/>
          <w:szCs w:val="28"/>
        </w:rPr>
      </w:pPr>
    </w:p>
    <w:p w14:paraId="6E402CCE" w14:textId="77777777" w:rsidR="009A0A63" w:rsidRPr="00792B36" w:rsidRDefault="009A0A63" w:rsidP="009A0A63">
      <w:pPr>
        <w:ind w:left="720" w:hanging="360"/>
        <w:jc w:val="center"/>
        <w:rPr>
          <w:color w:val="000000" w:themeColor="text1"/>
          <w:sz w:val="24"/>
          <w:szCs w:val="24"/>
        </w:rPr>
      </w:pPr>
      <w:r w:rsidRPr="00792B36">
        <w:rPr>
          <w:b/>
          <w:bCs/>
          <w:i/>
          <w:iCs/>
          <w:color w:val="000000" w:themeColor="text1"/>
          <w:sz w:val="24"/>
          <w:szCs w:val="24"/>
        </w:rPr>
        <w:t>Indicator Assessment</w:t>
      </w:r>
    </w:p>
    <w:p w14:paraId="2F03D1F9" w14:textId="77777777" w:rsidR="009A0A63" w:rsidRPr="00792B36" w:rsidRDefault="009A0A63" w:rsidP="009A0A63">
      <w:pPr>
        <w:rPr>
          <w:color w:val="000000" w:themeColor="text1"/>
          <w:sz w:val="24"/>
          <w:szCs w:val="24"/>
        </w:rPr>
      </w:pPr>
    </w:p>
    <w:p w14:paraId="409B0FF4" w14:textId="77777777" w:rsidR="009A0A63" w:rsidRPr="00792B36" w:rsidRDefault="009A0A63" w:rsidP="00F61B37">
      <w:pPr>
        <w:pStyle w:val="ListParagraph"/>
        <w:widowControl/>
        <w:numPr>
          <w:ilvl w:val="0"/>
          <w:numId w:val="47"/>
        </w:numPr>
        <w:spacing w:after="120" w:line="259" w:lineRule="auto"/>
        <w:rPr>
          <w:rFonts w:cs="Arial"/>
          <w:b/>
          <w:bCs/>
          <w:color w:val="000000" w:themeColor="text1"/>
          <w:sz w:val="24"/>
          <w:szCs w:val="24"/>
        </w:rPr>
      </w:pPr>
      <w:r w:rsidRPr="00792B36">
        <w:rPr>
          <w:rFonts w:cs="Arial"/>
          <w:b/>
          <w:bCs/>
          <w:color w:val="000000" w:themeColor="text1"/>
          <w:sz w:val="24"/>
          <w:szCs w:val="24"/>
        </w:rPr>
        <w:t>Geographic information</w:t>
      </w:r>
    </w:p>
    <w:p w14:paraId="17BFDCF5" w14:textId="77777777" w:rsidR="009A0A63" w:rsidRPr="00792B36" w:rsidRDefault="009A0A63" w:rsidP="009A0A63">
      <w:pPr>
        <w:spacing w:after="120"/>
        <w:ind w:firstLine="709"/>
        <w:rPr>
          <w:b/>
          <w:bCs/>
          <w:color w:val="000000" w:themeColor="text1"/>
          <w:sz w:val="24"/>
          <w:szCs w:val="24"/>
        </w:rPr>
      </w:pPr>
      <w:r w:rsidRPr="00792B36">
        <w:rPr>
          <w:b/>
          <w:bCs/>
          <w:i/>
          <w:iCs/>
          <w:color w:val="000000" w:themeColor="text1"/>
          <w:sz w:val="24"/>
          <w:szCs w:val="24"/>
        </w:rPr>
        <w:t xml:space="preserve">Total area, areas of mangrove, forest, area of tidal flats </w:t>
      </w:r>
      <w:r w:rsidRPr="00792B36">
        <w:rPr>
          <w:b/>
          <w:bCs/>
          <w:i/>
          <w:iCs/>
          <w:color w:val="000000" w:themeColor="text1"/>
          <w:sz w:val="24"/>
          <w:szCs w:val="24"/>
          <w:cs/>
        </w:rPr>
        <w:t>(</w:t>
      </w:r>
      <w:r w:rsidRPr="00792B36">
        <w:rPr>
          <w:b/>
          <w:bCs/>
          <w:i/>
          <w:iCs/>
          <w:color w:val="000000" w:themeColor="text1"/>
          <w:sz w:val="24"/>
          <w:szCs w:val="24"/>
        </w:rPr>
        <w:t>beach forest, peat swamp forest</w:t>
      </w:r>
      <w:r w:rsidRPr="00792B36">
        <w:rPr>
          <w:b/>
          <w:bCs/>
          <w:i/>
          <w:iCs/>
          <w:color w:val="000000" w:themeColor="text1"/>
          <w:sz w:val="24"/>
          <w:szCs w:val="24"/>
          <w:cs/>
        </w:rPr>
        <w:t>)</w:t>
      </w:r>
      <w:r w:rsidRPr="00792B36">
        <w:rPr>
          <w:b/>
          <w:bCs/>
          <w:i/>
          <w:iCs/>
          <w:color w:val="000000" w:themeColor="text1"/>
          <w:sz w:val="24"/>
          <w:szCs w:val="24"/>
        </w:rPr>
        <w:t>, and area of seagrass beds</w:t>
      </w:r>
    </w:p>
    <w:p w14:paraId="368C6A43" w14:textId="77777777" w:rsidR="009A0A63" w:rsidRPr="00792B36" w:rsidRDefault="009A0A63" w:rsidP="009A0A63">
      <w:pPr>
        <w:spacing w:after="120"/>
        <w:ind w:firstLine="709"/>
        <w:jc w:val="thaiDistribute"/>
        <w:rPr>
          <w:color w:val="000000" w:themeColor="text1"/>
          <w:sz w:val="24"/>
          <w:szCs w:val="24"/>
        </w:rPr>
      </w:pPr>
      <w:r w:rsidRPr="00792B36">
        <w:rPr>
          <w:color w:val="000000" w:themeColor="text1"/>
          <w:sz w:val="24"/>
          <w:szCs w:val="24"/>
        </w:rPr>
        <w:t>Across the five focal sites, the combined wetland extent is 2,613.68 km². Mangrove forests account for 480.69 km² (≈18.4%), with the largest tracts in Bandon Bay (255.70 km²; ≈51.7% of the site), followed by Pak Phanang Bay (90.00 km²; ≈66.2%) and the Welu River Estuary (72.06 km²; ≈69.3%). Samut Prakan Province has the greatest total area (1,004.12 km²) but retains a relatively small mangrove remnant (33.74 km²; ≈3.36%), while Don Hoi Lot spans 875.00 km² with 29.19 km² of mangroves (≈3.34%). The reported tidal-flat area totals 25.20 km², concentrated in Don Hoi Lot (24.09 km²) and Pak Phanang Bay (1.11 km²). No peat-swamp or seagrass-bed extents were reported in this compilation for the five sites. Collectively, these figures reveal a heterogeneous coastal mosaic in which extensive mangrove belts remain at Welu and Pak Phanang,a mixed natural–mariculture seascape defines Bandon Bay, and large but highly managed coastal plains characterize Samut Prakan and Don Hoi Lot</w:t>
      </w:r>
      <w:r w:rsidRPr="00792B36">
        <w:rPr>
          <w:color w:val="000000" w:themeColor="text1"/>
          <w:sz w:val="24"/>
          <w:szCs w:val="24"/>
          <w:cs/>
        </w:rPr>
        <w:t xml:space="preserve"> (</w:t>
      </w:r>
      <w:r w:rsidRPr="00792B36">
        <w:rPr>
          <w:color w:val="000000" w:themeColor="text1"/>
          <w:sz w:val="24"/>
          <w:szCs w:val="24"/>
        </w:rPr>
        <w:t>Table 1</w:t>
      </w:r>
      <w:r w:rsidRPr="00792B36">
        <w:rPr>
          <w:color w:val="000000" w:themeColor="text1"/>
          <w:sz w:val="24"/>
          <w:szCs w:val="24"/>
          <w:cs/>
        </w:rPr>
        <w:t>)</w:t>
      </w:r>
      <w:r w:rsidRPr="00792B36">
        <w:rPr>
          <w:color w:val="000000" w:themeColor="text1"/>
          <w:sz w:val="24"/>
          <w:szCs w:val="24"/>
        </w:rPr>
        <w:t>.</w:t>
      </w:r>
    </w:p>
    <w:p w14:paraId="43D55C37" w14:textId="77777777" w:rsidR="009A0A63" w:rsidRPr="00792B36" w:rsidRDefault="009A0A63" w:rsidP="009A0A63">
      <w:pPr>
        <w:jc w:val="thaiDistribute"/>
        <w:rPr>
          <w:color w:val="000000" w:themeColor="text1"/>
          <w:sz w:val="24"/>
          <w:szCs w:val="24"/>
        </w:rPr>
      </w:pPr>
      <w:r w:rsidRPr="00792B36">
        <w:rPr>
          <w:b/>
          <w:bCs/>
          <w:color w:val="000000" w:themeColor="text1"/>
          <w:spacing w:val="-4"/>
          <w:sz w:val="24"/>
          <w:szCs w:val="24"/>
        </w:rPr>
        <w:t>Table 1. Mangroves and wetland areas in Thailand (Gulf of Thailand):</w:t>
      </w:r>
      <w:r w:rsidRPr="00792B36">
        <w:rPr>
          <w:color w:val="000000" w:themeColor="text1"/>
          <w:spacing w:val="-4"/>
          <w:sz w:val="24"/>
          <w:szCs w:val="24"/>
        </w:rPr>
        <w:t xml:space="preserve"> Geographic information showing total area, areas of mangrove,</w:t>
      </w:r>
      <w:r w:rsidRPr="00792B36">
        <w:rPr>
          <w:color w:val="000000" w:themeColor="text1"/>
          <w:sz w:val="24"/>
          <w:szCs w:val="24"/>
        </w:rPr>
        <w:t xml:space="preserve"> forest, area of tidal flats (beach forest, peat swamp forest), and area of seagrass beds</w:t>
      </w:r>
    </w:p>
    <w:tbl>
      <w:tblPr>
        <w:tblW w:w="5000" w:type="pct"/>
        <w:tblCellMar>
          <w:left w:w="0" w:type="dxa"/>
          <w:right w:w="0" w:type="dxa"/>
        </w:tblCellMar>
        <w:tblLook w:val="04A0" w:firstRow="1" w:lastRow="0" w:firstColumn="1" w:lastColumn="0" w:noHBand="0" w:noVBand="1"/>
      </w:tblPr>
      <w:tblGrid>
        <w:gridCol w:w="3580"/>
        <w:gridCol w:w="1766"/>
        <w:gridCol w:w="1947"/>
        <w:gridCol w:w="1843"/>
        <w:gridCol w:w="1843"/>
        <w:gridCol w:w="1913"/>
        <w:gridCol w:w="52"/>
      </w:tblGrid>
      <w:tr w:rsidR="009A0A63" w:rsidRPr="00792B36" w14:paraId="3E213A9C" w14:textId="77777777" w:rsidTr="00A24459">
        <w:trPr>
          <w:gridAfter w:val="1"/>
          <w:wAfter w:w="20" w:type="pct"/>
          <w:trHeight w:val="570"/>
          <w:tblHeader/>
        </w:trPr>
        <w:tc>
          <w:tcPr>
            <w:tcW w:w="1383" w:type="pct"/>
            <w:vMerge w:val="restart"/>
            <w:tcBorders>
              <w:top w:val="single" w:sz="6" w:space="0" w:color="000000"/>
              <w:left w:val="single" w:sz="6" w:space="0" w:color="000000"/>
              <w:right w:val="single" w:sz="6" w:space="0" w:color="000000"/>
            </w:tcBorders>
            <w:tcMar>
              <w:top w:w="0" w:type="dxa"/>
              <w:left w:w="45" w:type="dxa"/>
              <w:bottom w:w="0" w:type="dxa"/>
              <w:right w:w="45" w:type="dxa"/>
            </w:tcMar>
            <w:vAlign w:val="center"/>
            <w:hideMark/>
          </w:tcPr>
          <w:p w14:paraId="6B3F7595" w14:textId="77777777" w:rsidR="009A0A63" w:rsidRPr="00792B36" w:rsidRDefault="009A0A63" w:rsidP="00A24459">
            <w:pPr>
              <w:spacing w:line="216" w:lineRule="auto"/>
              <w:jc w:val="center"/>
              <w:rPr>
                <w:rFonts w:eastAsia="Times New Roman"/>
                <w:b/>
                <w:bCs/>
                <w:color w:val="000000" w:themeColor="text1"/>
                <w:sz w:val="24"/>
                <w:szCs w:val="24"/>
              </w:rPr>
            </w:pPr>
            <w:r w:rsidRPr="00792B36">
              <w:rPr>
                <w:rFonts w:eastAsia="Times New Roman"/>
                <w:b/>
                <w:bCs/>
                <w:color w:val="000000" w:themeColor="text1"/>
                <w:sz w:val="24"/>
                <w:szCs w:val="24"/>
              </w:rPr>
              <w:t>Name of area</w:t>
            </w:r>
          </w:p>
        </w:tc>
        <w:tc>
          <w:tcPr>
            <w:tcW w:w="682" w:type="pct"/>
            <w:vMerge w:val="restart"/>
            <w:tcBorders>
              <w:top w:val="single" w:sz="6" w:space="0" w:color="000000"/>
              <w:left w:val="single" w:sz="6" w:space="0" w:color="CCCCCC"/>
              <w:right w:val="single" w:sz="6" w:space="0" w:color="000000"/>
            </w:tcBorders>
            <w:tcMar>
              <w:top w:w="0" w:type="dxa"/>
              <w:left w:w="45" w:type="dxa"/>
              <w:bottom w:w="0" w:type="dxa"/>
              <w:right w:w="45" w:type="dxa"/>
            </w:tcMar>
            <w:vAlign w:val="center"/>
            <w:hideMark/>
          </w:tcPr>
          <w:p w14:paraId="7C8EB988" w14:textId="77777777" w:rsidR="009A0A63" w:rsidRPr="00792B36" w:rsidRDefault="009A0A63" w:rsidP="00A24459">
            <w:pPr>
              <w:spacing w:line="216" w:lineRule="auto"/>
              <w:jc w:val="center"/>
              <w:rPr>
                <w:rFonts w:eastAsia="Times New Roman"/>
                <w:b/>
                <w:bCs/>
                <w:color w:val="000000" w:themeColor="text1"/>
                <w:sz w:val="24"/>
                <w:szCs w:val="24"/>
              </w:rPr>
            </w:pPr>
            <w:r w:rsidRPr="00792B36">
              <w:rPr>
                <w:rFonts w:eastAsia="Times New Roman"/>
                <w:b/>
                <w:bCs/>
                <w:color w:val="000000" w:themeColor="text1"/>
                <w:sz w:val="24"/>
                <w:szCs w:val="24"/>
              </w:rPr>
              <w:t xml:space="preserve">Total area </w:t>
            </w:r>
            <w:r w:rsidRPr="00792B36">
              <w:rPr>
                <w:rFonts w:eastAsia="Times New Roman"/>
                <w:b/>
                <w:bCs/>
                <w:color w:val="000000" w:themeColor="text1"/>
                <w:sz w:val="24"/>
                <w:szCs w:val="24"/>
                <w:cs/>
              </w:rPr>
              <w:t>(</w:t>
            </w:r>
            <w:r w:rsidRPr="00792B36">
              <w:rPr>
                <w:rFonts w:eastAsia="Times New Roman"/>
                <w:b/>
                <w:bCs/>
                <w:color w:val="000000" w:themeColor="text1"/>
                <w:sz w:val="24"/>
                <w:szCs w:val="24"/>
              </w:rPr>
              <w:t>km</w:t>
            </w:r>
            <w:r w:rsidRPr="00792B36">
              <w:rPr>
                <w:rFonts w:eastAsia="Times New Roman"/>
                <w:b/>
                <w:bCs/>
                <w:color w:val="000000" w:themeColor="text1"/>
                <w:sz w:val="24"/>
                <w:szCs w:val="24"/>
                <w:vertAlign w:val="superscript"/>
              </w:rPr>
              <w:t>2</w:t>
            </w:r>
            <w:r w:rsidRPr="00792B36">
              <w:rPr>
                <w:rFonts w:eastAsia="Times New Roman"/>
                <w:b/>
                <w:bCs/>
                <w:color w:val="000000" w:themeColor="text1"/>
                <w:sz w:val="24"/>
                <w:szCs w:val="24"/>
                <w:cs/>
              </w:rPr>
              <w:t>)</w:t>
            </w:r>
          </w:p>
        </w:tc>
        <w:tc>
          <w:tcPr>
            <w:tcW w:w="752" w:type="pct"/>
            <w:vMerge w:val="restart"/>
            <w:tcBorders>
              <w:top w:val="single" w:sz="6" w:space="0" w:color="000000"/>
              <w:left w:val="single" w:sz="6" w:space="0" w:color="CCCCCC"/>
              <w:right w:val="single" w:sz="6" w:space="0" w:color="000000"/>
            </w:tcBorders>
            <w:tcMar>
              <w:top w:w="0" w:type="dxa"/>
              <w:left w:w="45" w:type="dxa"/>
              <w:bottom w:w="0" w:type="dxa"/>
              <w:right w:w="45" w:type="dxa"/>
            </w:tcMar>
            <w:vAlign w:val="center"/>
            <w:hideMark/>
          </w:tcPr>
          <w:p w14:paraId="0A707F89" w14:textId="77777777" w:rsidR="009A0A63" w:rsidRPr="00792B36" w:rsidRDefault="009A0A63" w:rsidP="00A24459">
            <w:pPr>
              <w:spacing w:line="216" w:lineRule="auto"/>
              <w:jc w:val="center"/>
              <w:rPr>
                <w:rFonts w:eastAsia="Times New Roman"/>
                <w:b/>
                <w:bCs/>
                <w:color w:val="000000" w:themeColor="text1"/>
                <w:sz w:val="24"/>
                <w:szCs w:val="24"/>
              </w:rPr>
            </w:pPr>
            <w:r w:rsidRPr="00792B36">
              <w:rPr>
                <w:rFonts w:eastAsia="Times New Roman"/>
                <w:b/>
                <w:bCs/>
                <w:color w:val="000000" w:themeColor="text1"/>
                <w:sz w:val="24"/>
                <w:szCs w:val="24"/>
              </w:rPr>
              <w:t xml:space="preserve">Areas of mangrove </w:t>
            </w:r>
          </w:p>
          <w:p w14:paraId="18D95841" w14:textId="77777777" w:rsidR="009A0A63" w:rsidRPr="00792B36" w:rsidRDefault="009A0A63" w:rsidP="00A24459">
            <w:pPr>
              <w:spacing w:line="216" w:lineRule="auto"/>
              <w:jc w:val="center"/>
              <w:rPr>
                <w:rFonts w:eastAsia="Times New Roman"/>
                <w:b/>
                <w:bCs/>
                <w:color w:val="000000" w:themeColor="text1"/>
                <w:sz w:val="24"/>
                <w:szCs w:val="24"/>
              </w:rPr>
            </w:pPr>
            <w:r w:rsidRPr="00792B36">
              <w:rPr>
                <w:rFonts w:eastAsia="Times New Roman"/>
                <w:b/>
                <w:bCs/>
                <w:color w:val="000000" w:themeColor="text1"/>
                <w:sz w:val="24"/>
                <w:szCs w:val="24"/>
              </w:rPr>
              <w:t xml:space="preserve">forest </w:t>
            </w:r>
            <w:r w:rsidRPr="00792B36">
              <w:rPr>
                <w:rFonts w:eastAsia="Times New Roman"/>
                <w:b/>
                <w:bCs/>
                <w:color w:val="000000" w:themeColor="text1"/>
                <w:sz w:val="24"/>
                <w:szCs w:val="24"/>
                <w:cs/>
              </w:rPr>
              <w:t>(</w:t>
            </w:r>
            <w:r w:rsidRPr="00792B36">
              <w:rPr>
                <w:rFonts w:eastAsia="Times New Roman"/>
                <w:b/>
                <w:bCs/>
                <w:color w:val="000000" w:themeColor="text1"/>
                <w:sz w:val="24"/>
                <w:szCs w:val="24"/>
              </w:rPr>
              <w:t>km</w:t>
            </w:r>
            <w:r w:rsidRPr="00792B36">
              <w:rPr>
                <w:rFonts w:eastAsia="Times New Roman"/>
                <w:b/>
                <w:bCs/>
                <w:color w:val="000000" w:themeColor="text1"/>
                <w:sz w:val="24"/>
                <w:szCs w:val="24"/>
                <w:vertAlign w:val="superscript"/>
              </w:rPr>
              <w:t>2</w:t>
            </w:r>
            <w:r w:rsidRPr="00792B36">
              <w:rPr>
                <w:rFonts w:eastAsia="Times New Roman"/>
                <w:b/>
                <w:bCs/>
                <w:color w:val="000000" w:themeColor="text1"/>
                <w:sz w:val="24"/>
                <w:szCs w:val="24"/>
                <w:cs/>
              </w:rPr>
              <w:t>)</w:t>
            </w:r>
          </w:p>
        </w:tc>
        <w:tc>
          <w:tcPr>
            <w:tcW w:w="1424" w:type="pct"/>
            <w:gridSpan w:val="2"/>
            <w:vMerge w:val="restart"/>
            <w:tcBorders>
              <w:top w:val="single" w:sz="6" w:space="0" w:color="000000"/>
              <w:left w:val="single" w:sz="6" w:space="0" w:color="CCCCCC"/>
              <w:bottom w:val="single" w:sz="6" w:space="0" w:color="000000"/>
              <w:right w:val="single" w:sz="6" w:space="0" w:color="000000"/>
            </w:tcBorders>
            <w:tcMar>
              <w:top w:w="0" w:type="dxa"/>
              <w:left w:w="45" w:type="dxa"/>
              <w:bottom w:w="0" w:type="dxa"/>
              <w:right w:w="45" w:type="dxa"/>
            </w:tcMar>
            <w:vAlign w:val="center"/>
            <w:hideMark/>
          </w:tcPr>
          <w:p w14:paraId="651B72E7" w14:textId="77777777" w:rsidR="009A0A63" w:rsidRPr="00792B36" w:rsidRDefault="009A0A63" w:rsidP="00A24459">
            <w:pPr>
              <w:spacing w:line="216" w:lineRule="auto"/>
              <w:jc w:val="center"/>
              <w:rPr>
                <w:rFonts w:eastAsia="Times New Roman"/>
                <w:b/>
                <w:bCs/>
                <w:color w:val="000000" w:themeColor="text1"/>
                <w:sz w:val="24"/>
                <w:szCs w:val="24"/>
              </w:rPr>
            </w:pPr>
            <w:r w:rsidRPr="00792B36">
              <w:rPr>
                <w:rFonts w:eastAsia="Times New Roman"/>
                <w:b/>
                <w:bCs/>
                <w:color w:val="000000" w:themeColor="text1"/>
                <w:sz w:val="24"/>
                <w:szCs w:val="24"/>
              </w:rPr>
              <w:t xml:space="preserve">Area of tidal flats </w:t>
            </w:r>
            <w:r w:rsidRPr="00792B36">
              <w:rPr>
                <w:rFonts w:eastAsia="Times New Roman"/>
                <w:b/>
                <w:bCs/>
                <w:color w:val="000000" w:themeColor="text1"/>
                <w:sz w:val="24"/>
                <w:szCs w:val="24"/>
                <w:cs/>
              </w:rPr>
              <w:t>(</w:t>
            </w:r>
            <w:r w:rsidRPr="00792B36">
              <w:rPr>
                <w:rFonts w:eastAsia="Times New Roman"/>
                <w:b/>
                <w:bCs/>
                <w:color w:val="000000" w:themeColor="text1"/>
                <w:sz w:val="24"/>
                <w:szCs w:val="24"/>
              </w:rPr>
              <w:t>km</w:t>
            </w:r>
            <w:r w:rsidRPr="00792B36">
              <w:rPr>
                <w:rFonts w:eastAsia="Times New Roman"/>
                <w:b/>
                <w:bCs/>
                <w:color w:val="000000" w:themeColor="text1"/>
                <w:sz w:val="24"/>
                <w:szCs w:val="24"/>
                <w:vertAlign w:val="superscript"/>
              </w:rPr>
              <w:t>2</w:t>
            </w:r>
            <w:r w:rsidRPr="00792B36">
              <w:rPr>
                <w:rFonts w:eastAsia="Times New Roman"/>
                <w:b/>
                <w:bCs/>
                <w:color w:val="000000" w:themeColor="text1"/>
                <w:sz w:val="24"/>
                <w:szCs w:val="24"/>
                <w:cs/>
              </w:rPr>
              <w:t>)</w:t>
            </w:r>
          </w:p>
        </w:tc>
        <w:tc>
          <w:tcPr>
            <w:tcW w:w="739" w:type="pct"/>
            <w:vMerge w:val="restart"/>
            <w:tcBorders>
              <w:top w:val="single" w:sz="6" w:space="0" w:color="000000"/>
              <w:left w:val="single" w:sz="6" w:space="0" w:color="CCCCCC"/>
              <w:right w:val="single" w:sz="6" w:space="0" w:color="000000"/>
            </w:tcBorders>
            <w:tcMar>
              <w:top w:w="0" w:type="dxa"/>
              <w:left w:w="45" w:type="dxa"/>
              <w:bottom w:w="0" w:type="dxa"/>
              <w:right w:w="45" w:type="dxa"/>
            </w:tcMar>
            <w:vAlign w:val="center"/>
            <w:hideMark/>
          </w:tcPr>
          <w:p w14:paraId="6913F815" w14:textId="77777777" w:rsidR="009A0A63" w:rsidRPr="00792B36" w:rsidRDefault="009A0A63" w:rsidP="00A24459">
            <w:pPr>
              <w:spacing w:line="216" w:lineRule="auto"/>
              <w:jc w:val="center"/>
              <w:rPr>
                <w:rFonts w:eastAsia="Times New Roman"/>
                <w:b/>
                <w:bCs/>
                <w:color w:val="000000" w:themeColor="text1"/>
                <w:sz w:val="24"/>
                <w:szCs w:val="24"/>
              </w:rPr>
            </w:pPr>
            <w:r w:rsidRPr="00792B36">
              <w:rPr>
                <w:rFonts w:eastAsia="Times New Roman"/>
                <w:b/>
                <w:bCs/>
                <w:color w:val="000000" w:themeColor="text1"/>
                <w:sz w:val="24"/>
                <w:szCs w:val="24"/>
              </w:rPr>
              <w:t xml:space="preserve">Area of seagrass beds </w:t>
            </w:r>
            <w:r w:rsidRPr="00792B36">
              <w:rPr>
                <w:rFonts w:eastAsia="Times New Roman"/>
                <w:b/>
                <w:bCs/>
                <w:color w:val="000000" w:themeColor="text1"/>
                <w:sz w:val="24"/>
                <w:szCs w:val="24"/>
                <w:cs/>
              </w:rPr>
              <w:t>(</w:t>
            </w:r>
            <w:r w:rsidRPr="00792B36">
              <w:rPr>
                <w:rFonts w:eastAsia="Times New Roman"/>
                <w:b/>
                <w:bCs/>
                <w:color w:val="000000" w:themeColor="text1"/>
                <w:sz w:val="24"/>
                <w:szCs w:val="24"/>
              </w:rPr>
              <w:t>km</w:t>
            </w:r>
            <w:r w:rsidRPr="00792B36">
              <w:rPr>
                <w:rFonts w:eastAsia="Times New Roman"/>
                <w:b/>
                <w:bCs/>
                <w:color w:val="000000" w:themeColor="text1"/>
                <w:sz w:val="24"/>
                <w:szCs w:val="24"/>
                <w:vertAlign w:val="superscript"/>
              </w:rPr>
              <w:t>2</w:t>
            </w:r>
            <w:r w:rsidRPr="00792B36">
              <w:rPr>
                <w:rFonts w:eastAsia="Times New Roman"/>
                <w:b/>
                <w:bCs/>
                <w:color w:val="000000" w:themeColor="text1"/>
                <w:sz w:val="24"/>
                <w:szCs w:val="24"/>
                <w:cs/>
              </w:rPr>
              <w:t>)</w:t>
            </w:r>
          </w:p>
        </w:tc>
      </w:tr>
      <w:tr w:rsidR="009A0A63" w:rsidRPr="00792B36" w14:paraId="23E93F64" w14:textId="77777777" w:rsidTr="00A24459">
        <w:trPr>
          <w:trHeight w:val="164"/>
          <w:tblHeader/>
        </w:trPr>
        <w:tc>
          <w:tcPr>
            <w:tcW w:w="1383" w:type="pct"/>
            <w:vMerge/>
            <w:tcBorders>
              <w:left w:val="single" w:sz="6" w:space="0" w:color="000000"/>
              <w:right w:val="single" w:sz="6" w:space="0" w:color="000000"/>
            </w:tcBorders>
            <w:vAlign w:val="center"/>
            <w:hideMark/>
          </w:tcPr>
          <w:p w14:paraId="1BD24B9D" w14:textId="77777777" w:rsidR="009A0A63" w:rsidRPr="00792B36" w:rsidRDefault="009A0A63" w:rsidP="00A24459">
            <w:pPr>
              <w:spacing w:line="216" w:lineRule="auto"/>
              <w:rPr>
                <w:rFonts w:eastAsia="Times New Roman"/>
                <w:color w:val="000000" w:themeColor="text1"/>
                <w:sz w:val="24"/>
                <w:szCs w:val="24"/>
              </w:rPr>
            </w:pPr>
          </w:p>
        </w:tc>
        <w:tc>
          <w:tcPr>
            <w:tcW w:w="682" w:type="pct"/>
            <w:vMerge/>
            <w:tcBorders>
              <w:left w:val="single" w:sz="6" w:space="0" w:color="CCCCCC"/>
              <w:right w:val="single" w:sz="6" w:space="0" w:color="000000"/>
            </w:tcBorders>
            <w:vAlign w:val="center"/>
            <w:hideMark/>
          </w:tcPr>
          <w:p w14:paraId="6DAB90D0" w14:textId="77777777" w:rsidR="009A0A63" w:rsidRPr="00792B36" w:rsidRDefault="009A0A63" w:rsidP="00A24459">
            <w:pPr>
              <w:spacing w:line="216" w:lineRule="auto"/>
              <w:rPr>
                <w:rFonts w:eastAsia="Times New Roman"/>
                <w:color w:val="000000" w:themeColor="text1"/>
                <w:sz w:val="24"/>
                <w:szCs w:val="24"/>
              </w:rPr>
            </w:pPr>
          </w:p>
        </w:tc>
        <w:tc>
          <w:tcPr>
            <w:tcW w:w="752" w:type="pct"/>
            <w:vMerge/>
            <w:tcBorders>
              <w:left w:val="single" w:sz="6" w:space="0" w:color="CCCCCC"/>
              <w:right w:val="single" w:sz="6" w:space="0" w:color="000000"/>
            </w:tcBorders>
            <w:vAlign w:val="center"/>
            <w:hideMark/>
          </w:tcPr>
          <w:p w14:paraId="69DF600A" w14:textId="77777777" w:rsidR="009A0A63" w:rsidRPr="00792B36" w:rsidRDefault="009A0A63" w:rsidP="00A24459">
            <w:pPr>
              <w:spacing w:line="216" w:lineRule="auto"/>
              <w:rPr>
                <w:rFonts w:eastAsia="Times New Roman"/>
                <w:color w:val="000000" w:themeColor="text1"/>
                <w:sz w:val="24"/>
                <w:szCs w:val="24"/>
              </w:rPr>
            </w:pPr>
          </w:p>
        </w:tc>
        <w:tc>
          <w:tcPr>
            <w:tcW w:w="1424" w:type="pct"/>
            <w:gridSpan w:val="2"/>
            <w:vMerge/>
            <w:tcBorders>
              <w:top w:val="single" w:sz="6" w:space="0" w:color="000000"/>
              <w:left w:val="single" w:sz="6" w:space="0" w:color="CCCCCC"/>
              <w:bottom w:val="single" w:sz="6" w:space="0" w:color="000000"/>
              <w:right w:val="single" w:sz="6" w:space="0" w:color="000000"/>
            </w:tcBorders>
            <w:vAlign w:val="center"/>
            <w:hideMark/>
          </w:tcPr>
          <w:p w14:paraId="39744FCD" w14:textId="77777777" w:rsidR="009A0A63" w:rsidRPr="00792B36" w:rsidRDefault="009A0A63" w:rsidP="00A24459">
            <w:pPr>
              <w:spacing w:line="216" w:lineRule="auto"/>
              <w:rPr>
                <w:rFonts w:eastAsia="Times New Roman"/>
                <w:color w:val="000000" w:themeColor="text1"/>
                <w:sz w:val="24"/>
                <w:szCs w:val="24"/>
              </w:rPr>
            </w:pPr>
          </w:p>
        </w:tc>
        <w:tc>
          <w:tcPr>
            <w:tcW w:w="739" w:type="pct"/>
            <w:vMerge/>
            <w:tcBorders>
              <w:left w:val="single" w:sz="6" w:space="0" w:color="CCCCCC"/>
              <w:right w:val="single" w:sz="6" w:space="0" w:color="000000"/>
            </w:tcBorders>
            <w:vAlign w:val="center"/>
            <w:hideMark/>
          </w:tcPr>
          <w:p w14:paraId="3E264217" w14:textId="77777777" w:rsidR="009A0A63" w:rsidRPr="00792B36" w:rsidRDefault="009A0A63" w:rsidP="00A24459">
            <w:pPr>
              <w:spacing w:line="216" w:lineRule="auto"/>
              <w:rPr>
                <w:rFonts w:eastAsia="Times New Roman"/>
                <w:color w:val="000000" w:themeColor="text1"/>
                <w:sz w:val="24"/>
                <w:szCs w:val="24"/>
              </w:rPr>
            </w:pPr>
          </w:p>
        </w:tc>
        <w:tc>
          <w:tcPr>
            <w:tcW w:w="20" w:type="pct"/>
            <w:tcBorders>
              <w:top w:val="single" w:sz="6" w:space="0" w:color="CCCCCC"/>
              <w:left w:val="single" w:sz="6" w:space="0" w:color="CCCCCC"/>
              <w:bottom w:val="single" w:sz="6" w:space="0" w:color="CCCCCC"/>
              <w:right w:val="single" w:sz="6" w:space="0" w:color="CCCCCC"/>
            </w:tcBorders>
            <w:vAlign w:val="center"/>
            <w:hideMark/>
          </w:tcPr>
          <w:p w14:paraId="5CC2454B" w14:textId="77777777" w:rsidR="009A0A63" w:rsidRPr="00792B36" w:rsidRDefault="009A0A63" w:rsidP="00A24459">
            <w:pPr>
              <w:spacing w:line="216" w:lineRule="auto"/>
              <w:jc w:val="center"/>
              <w:rPr>
                <w:rFonts w:eastAsia="Times New Roman"/>
                <w:color w:val="000000" w:themeColor="text1"/>
                <w:sz w:val="24"/>
                <w:szCs w:val="24"/>
              </w:rPr>
            </w:pPr>
          </w:p>
        </w:tc>
      </w:tr>
      <w:tr w:rsidR="009A0A63" w:rsidRPr="00792B36" w14:paraId="76A18CC0" w14:textId="77777777" w:rsidTr="00A24459">
        <w:trPr>
          <w:trHeight w:val="315"/>
          <w:tblHeader/>
        </w:trPr>
        <w:tc>
          <w:tcPr>
            <w:tcW w:w="1383" w:type="pct"/>
            <w:vMerge/>
            <w:tcBorders>
              <w:left w:val="single" w:sz="6" w:space="0" w:color="000000"/>
              <w:bottom w:val="single" w:sz="6" w:space="0" w:color="000000"/>
              <w:right w:val="single" w:sz="6" w:space="0" w:color="000000"/>
            </w:tcBorders>
            <w:tcMar>
              <w:top w:w="0" w:type="dxa"/>
              <w:left w:w="45" w:type="dxa"/>
              <w:bottom w:w="0" w:type="dxa"/>
              <w:right w:w="45" w:type="dxa"/>
            </w:tcMar>
            <w:vAlign w:val="center"/>
            <w:hideMark/>
          </w:tcPr>
          <w:p w14:paraId="46319D72" w14:textId="77777777" w:rsidR="009A0A63" w:rsidRPr="00792B36" w:rsidRDefault="009A0A63" w:rsidP="00A24459">
            <w:pPr>
              <w:spacing w:line="216" w:lineRule="auto"/>
              <w:rPr>
                <w:rFonts w:eastAsia="Times New Roman"/>
                <w:color w:val="000000" w:themeColor="text1"/>
                <w:sz w:val="24"/>
                <w:szCs w:val="24"/>
              </w:rPr>
            </w:pPr>
          </w:p>
        </w:tc>
        <w:tc>
          <w:tcPr>
            <w:tcW w:w="682" w:type="pct"/>
            <w:vMerge/>
            <w:tcBorders>
              <w:left w:val="single" w:sz="6" w:space="0" w:color="CCCCCC"/>
              <w:bottom w:val="single" w:sz="6" w:space="0" w:color="000000"/>
              <w:right w:val="single" w:sz="6" w:space="0" w:color="000000"/>
            </w:tcBorders>
            <w:tcMar>
              <w:top w:w="0" w:type="dxa"/>
              <w:left w:w="45" w:type="dxa"/>
              <w:bottom w:w="0" w:type="dxa"/>
              <w:right w:w="45" w:type="dxa"/>
            </w:tcMar>
            <w:vAlign w:val="center"/>
            <w:hideMark/>
          </w:tcPr>
          <w:p w14:paraId="7871E824" w14:textId="77777777" w:rsidR="009A0A63" w:rsidRPr="00792B36" w:rsidRDefault="009A0A63" w:rsidP="00A24459">
            <w:pPr>
              <w:spacing w:line="216" w:lineRule="auto"/>
              <w:rPr>
                <w:rFonts w:eastAsia="Times New Roman"/>
                <w:color w:val="000000" w:themeColor="text1"/>
                <w:sz w:val="24"/>
                <w:szCs w:val="24"/>
              </w:rPr>
            </w:pPr>
          </w:p>
        </w:tc>
        <w:tc>
          <w:tcPr>
            <w:tcW w:w="752" w:type="pct"/>
            <w:vMerge/>
            <w:tcBorders>
              <w:left w:val="single" w:sz="6" w:space="0" w:color="CCCCCC"/>
              <w:bottom w:val="single" w:sz="6" w:space="0" w:color="000000"/>
              <w:right w:val="single" w:sz="6" w:space="0" w:color="000000"/>
            </w:tcBorders>
            <w:tcMar>
              <w:top w:w="0" w:type="dxa"/>
              <w:left w:w="45" w:type="dxa"/>
              <w:bottom w:w="0" w:type="dxa"/>
              <w:right w:w="45" w:type="dxa"/>
            </w:tcMar>
            <w:vAlign w:val="center"/>
            <w:hideMark/>
          </w:tcPr>
          <w:p w14:paraId="44E3A317" w14:textId="77777777" w:rsidR="009A0A63" w:rsidRPr="00792B36" w:rsidRDefault="009A0A63" w:rsidP="00A24459">
            <w:pPr>
              <w:spacing w:line="216" w:lineRule="auto"/>
              <w:rPr>
                <w:rFonts w:eastAsia="Times New Roman"/>
                <w:color w:val="000000" w:themeColor="text1"/>
                <w:sz w:val="24"/>
                <w:szCs w:val="24"/>
              </w:rPr>
            </w:pPr>
          </w:p>
        </w:tc>
        <w:tc>
          <w:tcPr>
            <w:tcW w:w="712"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center"/>
            <w:hideMark/>
          </w:tcPr>
          <w:p w14:paraId="6BF4867D" w14:textId="77777777" w:rsidR="009A0A63" w:rsidRPr="00792B36" w:rsidRDefault="009A0A63" w:rsidP="00A24459">
            <w:pPr>
              <w:spacing w:line="216" w:lineRule="auto"/>
              <w:jc w:val="center"/>
              <w:rPr>
                <w:rFonts w:eastAsia="Times New Roman"/>
                <w:b/>
                <w:bCs/>
                <w:color w:val="000000" w:themeColor="text1"/>
                <w:sz w:val="24"/>
                <w:szCs w:val="24"/>
              </w:rPr>
            </w:pPr>
            <w:r w:rsidRPr="00792B36">
              <w:rPr>
                <w:rFonts w:eastAsia="Times New Roman"/>
                <w:b/>
                <w:bCs/>
                <w:color w:val="000000" w:themeColor="text1"/>
                <w:sz w:val="24"/>
                <w:szCs w:val="24"/>
              </w:rPr>
              <w:t xml:space="preserve">Beach Forest </w:t>
            </w:r>
          </w:p>
        </w:tc>
        <w:tc>
          <w:tcPr>
            <w:tcW w:w="712"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center"/>
            <w:hideMark/>
          </w:tcPr>
          <w:p w14:paraId="1ED86126" w14:textId="77777777" w:rsidR="009A0A63" w:rsidRPr="00792B36" w:rsidRDefault="009A0A63" w:rsidP="00A24459">
            <w:pPr>
              <w:spacing w:line="216" w:lineRule="auto"/>
              <w:jc w:val="center"/>
              <w:rPr>
                <w:rFonts w:eastAsia="Times New Roman"/>
                <w:b/>
                <w:bCs/>
                <w:color w:val="000000" w:themeColor="text1"/>
                <w:sz w:val="24"/>
                <w:szCs w:val="24"/>
              </w:rPr>
            </w:pPr>
            <w:r w:rsidRPr="00792B36">
              <w:rPr>
                <w:rFonts w:eastAsia="Times New Roman"/>
                <w:b/>
                <w:bCs/>
                <w:color w:val="000000" w:themeColor="text1"/>
                <w:sz w:val="24"/>
                <w:szCs w:val="24"/>
              </w:rPr>
              <w:t>Peat swamp forest</w:t>
            </w:r>
          </w:p>
        </w:tc>
        <w:tc>
          <w:tcPr>
            <w:tcW w:w="739" w:type="pct"/>
            <w:vMerge/>
            <w:tcBorders>
              <w:left w:val="single" w:sz="6" w:space="0" w:color="CCCCCC"/>
              <w:bottom w:val="single" w:sz="6" w:space="0" w:color="000000"/>
              <w:right w:val="single" w:sz="6" w:space="0" w:color="000000"/>
            </w:tcBorders>
            <w:tcMar>
              <w:top w:w="0" w:type="dxa"/>
              <w:left w:w="45" w:type="dxa"/>
              <w:bottom w:w="0" w:type="dxa"/>
              <w:right w:w="45" w:type="dxa"/>
            </w:tcMar>
            <w:vAlign w:val="center"/>
            <w:hideMark/>
          </w:tcPr>
          <w:p w14:paraId="6E13AC51" w14:textId="77777777" w:rsidR="009A0A63" w:rsidRPr="00792B36" w:rsidRDefault="009A0A63" w:rsidP="00A24459">
            <w:pPr>
              <w:spacing w:line="216" w:lineRule="auto"/>
              <w:jc w:val="center"/>
              <w:rPr>
                <w:rFonts w:eastAsia="Times New Roman"/>
                <w:color w:val="000000" w:themeColor="text1"/>
                <w:sz w:val="24"/>
                <w:szCs w:val="24"/>
              </w:rPr>
            </w:pPr>
          </w:p>
        </w:tc>
        <w:tc>
          <w:tcPr>
            <w:tcW w:w="20" w:type="pct"/>
            <w:vAlign w:val="center"/>
            <w:hideMark/>
          </w:tcPr>
          <w:p w14:paraId="03C6A481" w14:textId="77777777" w:rsidR="009A0A63" w:rsidRPr="00792B36" w:rsidRDefault="009A0A63" w:rsidP="00A24459">
            <w:pPr>
              <w:spacing w:line="216" w:lineRule="auto"/>
              <w:rPr>
                <w:rFonts w:eastAsia="Times New Roman"/>
                <w:color w:val="000000" w:themeColor="text1"/>
                <w:sz w:val="24"/>
                <w:szCs w:val="24"/>
              </w:rPr>
            </w:pPr>
          </w:p>
        </w:tc>
      </w:tr>
      <w:tr w:rsidR="009A0A63" w:rsidRPr="00792B36" w14:paraId="7D5BC930" w14:textId="77777777" w:rsidTr="00A24459">
        <w:trPr>
          <w:trHeight w:val="315"/>
        </w:trPr>
        <w:tc>
          <w:tcPr>
            <w:tcW w:w="1383" w:type="pct"/>
            <w:tcBorders>
              <w:top w:val="single" w:sz="6" w:space="0" w:color="CCCCCC"/>
              <w:left w:val="single" w:sz="6" w:space="0" w:color="000000"/>
              <w:bottom w:val="single" w:sz="6" w:space="0" w:color="000000"/>
              <w:right w:val="single" w:sz="6" w:space="0" w:color="000000"/>
            </w:tcBorders>
            <w:tcMar>
              <w:top w:w="0" w:type="dxa"/>
              <w:left w:w="45" w:type="dxa"/>
              <w:bottom w:w="0" w:type="dxa"/>
              <w:right w:w="45" w:type="dxa"/>
            </w:tcMar>
            <w:vAlign w:val="center"/>
          </w:tcPr>
          <w:p w14:paraId="2EA1A22E" w14:textId="77777777" w:rsidR="009A0A63" w:rsidRPr="00792B36" w:rsidRDefault="009A0A63" w:rsidP="00A24459">
            <w:pPr>
              <w:rPr>
                <w:b/>
                <w:bCs/>
                <w:color w:val="000000" w:themeColor="text1"/>
                <w:sz w:val="24"/>
                <w:szCs w:val="24"/>
                <w:cs/>
              </w:rPr>
            </w:pPr>
            <w:r w:rsidRPr="00792B36">
              <w:rPr>
                <w:rStyle w:val="Strong"/>
                <w:rFonts w:eastAsiaTheme="minorEastAsia"/>
                <w:color w:val="000000" w:themeColor="text1"/>
                <w:sz w:val="24"/>
                <w:szCs w:val="24"/>
              </w:rPr>
              <w:t>MG1: Welu River Estuary</w:t>
            </w:r>
          </w:p>
        </w:tc>
        <w:tc>
          <w:tcPr>
            <w:tcW w:w="682"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center"/>
          </w:tcPr>
          <w:p w14:paraId="09D77EEE" w14:textId="77777777" w:rsidR="009A0A63" w:rsidRPr="00792B36" w:rsidRDefault="009A0A63" w:rsidP="00A24459">
            <w:pPr>
              <w:spacing w:line="216" w:lineRule="auto"/>
              <w:jc w:val="center"/>
              <w:rPr>
                <w:rFonts w:eastAsia="Times New Roman"/>
                <w:color w:val="000000" w:themeColor="text1"/>
                <w:sz w:val="24"/>
                <w:szCs w:val="24"/>
                <w:cs/>
              </w:rPr>
            </w:pPr>
            <w:r w:rsidRPr="00792B36">
              <w:rPr>
                <w:rFonts w:eastAsia="Times New Roman"/>
                <w:color w:val="000000" w:themeColor="text1"/>
                <w:sz w:val="24"/>
                <w:szCs w:val="24"/>
                <w:cs/>
              </w:rPr>
              <w:t>104.00</w:t>
            </w:r>
          </w:p>
        </w:tc>
        <w:tc>
          <w:tcPr>
            <w:tcW w:w="752"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center"/>
          </w:tcPr>
          <w:p w14:paraId="2B2D1720" w14:textId="77777777" w:rsidR="009A0A63" w:rsidRPr="00792B36" w:rsidRDefault="009A0A63" w:rsidP="00A24459">
            <w:pPr>
              <w:spacing w:line="216" w:lineRule="auto"/>
              <w:jc w:val="center"/>
              <w:rPr>
                <w:rFonts w:eastAsia="Times New Roman"/>
                <w:color w:val="000000" w:themeColor="text1"/>
                <w:sz w:val="24"/>
                <w:szCs w:val="24"/>
              </w:rPr>
            </w:pPr>
            <w:r w:rsidRPr="00792B36">
              <w:rPr>
                <w:rFonts w:eastAsia="Times New Roman"/>
                <w:color w:val="000000" w:themeColor="text1"/>
                <w:sz w:val="24"/>
                <w:szCs w:val="24"/>
                <w:cs/>
              </w:rPr>
              <w:t>72.06</w:t>
            </w:r>
          </w:p>
        </w:tc>
        <w:tc>
          <w:tcPr>
            <w:tcW w:w="712"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center"/>
          </w:tcPr>
          <w:p w14:paraId="7BDCF5F9" w14:textId="77777777" w:rsidR="009A0A63" w:rsidRPr="00792B36" w:rsidRDefault="009A0A63" w:rsidP="00A24459">
            <w:pPr>
              <w:spacing w:line="216" w:lineRule="auto"/>
              <w:jc w:val="center"/>
              <w:rPr>
                <w:rFonts w:eastAsia="Times New Roman"/>
                <w:b/>
                <w:bCs/>
                <w:color w:val="000000" w:themeColor="text1"/>
                <w:sz w:val="24"/>
                <w:szCs w:val="24"/>
              </w:rPr>
            </w:pPr>
            <w:r w:rsidRPr="00792B36">
              <w:rPr>
                <w:rFonts w:eastAsia="Times New Roman"/>
                <w:b/>
                <w:bCs/>
                <w:color w:val="000000" w:themeColor="text1"/>
                <w:sz w:val="24"/>
                <w:szCs w:val="24"/>
              </w:rPr>
              <w:t>-</w:t>
            </w:r>
          </w:p>
        </w:tc>
        <w:tc>
          <w:tcPr>
            <w:tcW w:w="712"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center"/>
          </w:tcPr>
          <w:p w14:paraId="66D53902" w14:textId="77777777" w:rsidR="009A0A63" w:rsidRPr="00792B36" w:rsidRDefault="009A0A63" w:rsidP="00A24459">
            <w:pPr>
              <w:spacing w:line="216" w:lineRule="auto"/>
              <w:jc w:val="center"/>
              <w:rPr>
                <w:rFonts w:eastAsia="Times New Roman"/>
                <w:b/>
                <w:bCs/>
                <w:color w:val="000000" w:themeColor="text1"/>
                <w:sz w:val="24"/>
                <w:szCs w:val="24"/>
              </w:rPr>
            </w:pPr>
            <w:r w:rsidRPr="00792B36">
              <w:rPr>
                <w:rFonts w:eastAsia="Times New Roman"/>
                <w:b/>
                <w:bCs/>
                <w:color w:val="000000" w:themeColor="text1"/>
                <w:sz w:val="24"/>
                <w:szCs w:val="24"/>
              </w:rPr>
              <w:t>-</w:t>
            </w:r>
          </w:p>
        </w:tc>
        <w:tc>
          <w:tcPr>
            <w:tcW w:w="739"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center"/>
          </w:tcPr>
          <w:p w14:paraId="1CF8DC9E" w14:textId="77777777" w:rsidR="009A0A63" w:rsidRPr="00792B36" w:rsidRDefault="009A0A63" w:rsidP="00A24459">
            <w:pPr>
              <w:spacing w:line="216" w:lineRule="auto"/>
              <w:jc w:val="center"/>
              <w:rPr>
                <w:rFonts w:eastAsia="Times New Roman"/>
                <w:b/>
                <w:bCs/>
                <w:color w:val="000000" w:themeColor="text1"/>
                <w:sz w:val="24"/>
                <w:szCs w:val="24"/>
              </w:rPr>
            </w:pPr>
            <w:r w:rsidRPr="00792B36">
              <w:rPr>
                <w:rFonts w:eastAsia="Times New Roman"/>
                <w:b/>
                <w:bCs/>
                <w:color w:val="000000" w:themeColor="text1"/>
                <w:sz w:val="24"/>
                <w:szCs w:val="24"/>
              </w:rPr>
              <w:t>-</w:t>
            </w:r>
          </w:p>
        </w:tc>
        <w:tc>
          <w:tcPr>
            <w:tcW w:w="20" w:type="pct"/>
            <w:vAlign w:val="center"/>
            <w:hideMark/>
          </w:tcPr>
          <w:p w14:paraId="1234598A" w14:textId="77777777" w:rsidR="009A0A63" w:rsidRPr="00792B36" w:rsidRDefault="009A0A63" w:rsidP="00A24459">
            <w:pPr>
              <w:spacing w:line="216" w:lineRule="auto"/>
              <w:rPr>
                <w:rFonts w:eastAsia="Times New Roman"/>
                <w:color w:val="000000" w:themeColor="text1"/>
                <w:sz w:val="24"/>
                <w:szCs w:val="24"/>
              </w:rPr>
            </w:pPr>
          </w:p>
        </w:tc>
      </w:tr>
      <w:tr w:rsidR="009A0A63" w:rsidRPr="00792B36" w14:paraId="24532A9A" w14:textId="77777777" w:rsidTr="00A24459">
        <w:trPr>
          <w:trHeight w:val="315"/>
        </w:trPr>
        <w:tc>
          <w:tcPr>
            <w:tcW w:w="1383" w:type="pct"/>
            <w:tcBorders>
              <w:top w:val="single" w:sz="6" w:space="0" w:color="CCCCCC"/>
              <w:left w:val="single" w:sz="6" w:space="0" w:color="000000"/>
              <w:bottom w:val="single" w:sz="6" w:space="0" w:color="000000"/>
              <w:right w:val="single" w:sz="6" w:space="0" w:color="000000"/>
            </w:tcBorders>
            <w:tcMar>
              <w:top w:w="0" w:type="dxa"/>
              <w:left w:w="45" w:type="dxa"/>
              <w:bottom w:w="0" w:type="dxa"/>
              <w:right w:w="45" w:type="dxa"/>
            </w:tcMar>
            <w:vAlign w:val="center"/>
          </w:tcPr>
          <w:p w14:paraId="45423045" w14:textId="77777777" w:rsidR="009A0A63" w:rsidRPr="00792B36" w:rsidRDefault="009A0A63" w:rsidP="00A24459">
            <w:pPr>
              <w:rPr>
                <w:b/>
                <w:bCs/>
                <w:color w:val="000000" w:themeColor="text1"/>
                <w:sz w:val="24"/>
                <w:szCs w:val="24"/>
              </w:rPr>
            </w:pPr>
            <w:r w:rsidRPr="00792B36">
              <w:rPr>
                <w:rStyle w:val="Strong"/>
                <w:rFonts w:eastAsiaTheme="minorEastAsia"/>
                <w:color w:val="000000" w:themeColor="text1"/>
                <w:sz w:val="24"/>
                <w:szCs w:val="24"/>
              </w:rPr>
              <w:t>MG2: Bandon Bay</w:t>
            </w:r>
          </w:p>
        </w:tc>
        <w:tc>
          <w:tcPr>
            <w:tcW w:w="682"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center"/>
          </w:tcPr>
          <w:p w14:paraId="1742AE3F" w14:textId="77777777" w:rsidR="009A0A63" w:rsidRPr="00792B36" w:rsidRDefault="009A0A63" w:rsidP="00A24459">
            <w:pPr>
              <w:spacing w:line="216" w:lineRule="auto"/>
              <w:jc w:val="center"/>
              <w:rPr>
                <w:rFonts w:eastAsia="Times New Roman"/>
                <w:color w:val="000000" w:themeColor="text1"/>
                <w:sz w:val="24"/>
                <w:szCs w:val="24"/>
              </w:rPr>
            </w:pPr>
            <w:r w:rsidRPr="00792B36">
              <w:rPr>
                <w:rFonts w:eastAsia="Times New Roman"/>
                <w:color w:val="000000" w:themeColor="text1"/>
                <w:sz w:val="24"/>
                <w:szCs w:val="24"/>
                <w:cs/>
              </w:rPr>
              <w:t>494.59</w:t>
            </w:r>
          </w:p>
        </w:tc>
        <w:tc>
          <w:tcPr>
            <w:tcW w:w="752"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center"/>
          </w:tcPr>
          <w:p w14:paraId="74235EEE" w14:textId="77777777" w:rsidR="009A0A63" w:rsidRPr="00792B36" w:rsidRDefault="009A0A63" w:rsidP="00A24459">
            <w:pPr>
              <w:spacing w:line="216" w:lineRule="auto"/>
              <w:jc w:val="center"/>
              <w:rPr>
                <w:rFonts w:eastAsia="Times New Roman"/>
                <w:color w:val="000000" w:themeColor="text1"/>
                <w:sz w:val="24"/>
                <w:szCs w:val="24"/>
                <w:cs/>
              </w:rPr>
            </w:pPr>
            <w:r w:rsidRPr="00792B36">
              <w:rPr>
                <w:rFonts w:eastAsia="Times New Roman"/>
                <w:color w:val="000000" w:themeColor="text1"/>
                <w:sz w:val="24"/>
                <w:szCs w:val="24"/>
                <w:cs/>
              </w:rPr>
              <w:t>255.70</w:t>
            </w:r>
          </w:p>
        </w:tc>
        <w:tc>
          <w:tcPr>
            <w:tcW w:w="712"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center"/>
          </w:tcPr>
          <w:p w14:paraId="0BFDCB92" w14:textId="77777777" w:rsidR="009A0A63" w:rsidRPr="00792B36" w:rsidRDefault="009A0A63" w:rsidP="00A24459">
            <w:pPr>
              <w:spacing w:line="216" w:lineRule="auto"/>
              <w:jc w:val="center"/>
              <w:rPr>
                <w:rFonts w:eastAsia="Times New Roman"/>
                <w:b/>
                <w:bCs/>
                <w:color w:val="000000" w:themeColor="text1"/>
                <w:sz w:val="24"/>
                <w:szCs w:val="24"/>
              </w:rPr>
            </w:pPr>
            <w:r w:rsidRPr="00792B36">
              <w:rPr>
                <w:rFonts w:eastAsia="Times New Roman"/>
                <w:b/>
                <w:bCs/>
                <w:color w:val="000000" w:themeColor="text1"/>
                <w:sz w:val="24"/>
                <w:szCs w:val="24"/>
              </w:rPr>
              <w:t>-</w:t>
            </w:r>
          </w:p>
        </w:tc>
        <w:tc>
          <w:tcPr>
            <w:tcW w:w="712"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center"/>
          </w:tcPr>
          <w:p w14:paraId="2277644D" w14:textId="77777777" w:rsidR="009A0A63" w:rsidRPr="00792B36" w:rsidRDefault="009A0A63" w:rsidP="00A24459">
            <w:pPr>
              <w:spacing w:line="216" w:lineRule="auto"/>
              <w:jc w:val="center"/>
              <w:rPr>
                <w:rFonts w:eastAsia="Times New Roman"/>
                <w:b/>
                <w:bCs/>
                <w:color w:val="000000" w:themeColor="text1"/>
                <w:sz w:val="24"/>
                <w:szCs w:val="24"/>
              </w:rPr>
            </w:pPr>
            <w:r w:rsidRPr="00792B36">
              <w:rPr>
                <w:rFonts w:eastAsia="Times New Roman"/>
                <w:b/>
                <w:bCs/>
                <w:color w:val="000000" w:themeColor="text1"/>
                <w:sz w:val="24"/>
                <w:szCs w:val="24"/>
              </w:rPr>
              <w:t>-</w:t>
            </w:r>
          </w:p>
        </w:tc>
        <w:tc>
          <w:tcPr>
            <w:tcW w:w="739"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center"/>
          </w:tcPr>
          <w:p w14:paraId="594FA3A8" w14:textId="77777777" w:rsidR="009A0A63" w:rsidRPr="00792B36" w:rsidRDefault="009A0A63" w:rsidP="00A24459">
            <w:pPr>
              <w:spacing w:line="216" w:lineRule="auto"/>
              <w:jc w:val="center"/>
              <w:rPr>
                <w:rFonts w:eastAsia="Times New Roman"/>
                <w:b/>
                <w:bCs/>
                <w:color w:val="000000" w:themeColor="text1"/>
                <w:sz w:val="24"/>
                <w:szCs w:val="24"/>
              </w:rPr>
            </w:pPr>
            <w:r w:rsidRPr="00792B36">
              <w:rPr>
                <w:rFonts w:eastAsia="Times New Roman"/>
                <w:b/>
                <w:bCs/>
                <w:color w:val="000000" w:themeColor="text1"/>
                <w:sz w:val="24"/>
                <w:szCs w:val="24"/>
              </w:rPr>
              <w:t>-</w:t>
            </w:r>
          </w:p>
        </w:tc>
        <w:tc>
          <w:tcPr>
            <w:tcW w:w="20" w:type="pct"/>
            <w:vAlign w:val="center"/>
            <w:hideMark/>
          </w:tcPr>
          <w:p w14:paraId="5F463B05" w14:textId="77777777" w:rsidR="009A0A63" w:rsidRPr="00792B36" w:rsidRDefault="009A0A63" w:rsidP="00A24459">
            <w:pPr>
              <w:spacing w:line="216" w:lineRule="auto"/>
              <w:rPr>
                <w:rFonts w:eastAsia="Times New Roman"/>
                <w:color w:val="000000" w:themeColor="text1"/>
                <w:sz w:val="24"/>
                <w:szCs w:val="24"/>
              </w:rPr>
            </w:pPr>
          </w:p>
        </w:tc>
      </w:tr>
      <w:tr w:rsidR="009A0A63" w:rsidRPr="00792B36" w14:paraId="4C5B987F" w14:textId="77777777" w:rsidTr="00A24459">
        <w:trPr>
          <w:trHeight w:val="315"/>
        </w:trPr>
        <w:tc>
          <w:tcPr>
            <w:tcW w:w="1383" w:type="pct"/>
            <w:tcBorders>
              <w:top w:val="single" w:sz="6" w:space="0" w:color="CCCCCC"/>
              <w:left w:val="single" w:sz="6" w:space="0" w:color="000000"/>
              <w:bottom w:val="single" w:sz="6" w:space="0" w:color="000000"/>
              <w:right w:val="single" w:sz="6" w:space="0" w:color="000000"/>
            </w:tcBorders>
            <w:tcMar>
              <w:top w:w="0" w:type="dxa"/>
              <w:left w:w="45" w:type="dxa"/>
              <w:bottom w:w="0" w:type="dxa"/>
              <w:right w:w="45" w:type="dxa"/>
            </w:tcMar>
            <w:vAlign w:val="center"/>
          </w:tcPr>
          <w:p w14:paraId="25960C1F" w14:textId="77777777" w:rsidR="009A0A63" w:rsidRPr="00792B36" w:rsidRDefault="009A0A63" w:rsidP="00A24459">
            <w:pPr>
              <w:rPr>
                <w:b/>
                <w:bCs/>
                <w:color w:val="000000" w:themeColor="text1"/>
                <w:sz w:val="24"/>
                <w:szCs w:val="24"/>
              </w:rPr>
            </w:pPr>
            <w:r w:rsidRPr="00792B36">
              <w:rPr>
                <w:rStyle w:val="Strong"/>
                <w:rFonts w:eastAsiaTheme="minorEastAsia"/>
                <w:color w:val="000000" w:themeColor="text1"/>
                <w:sz w:val="24"/>
                <w:szCs w:val="24"/>
              </w:rPr>
              <w:t>MG3: Pak Panang Bay</w:t>
            </w:r>
          </w:p>
        </w:tc>
        <w:tc>
          <w:tcPr>
            <w:tcW w:w="682"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center"/>
          </w:tcPr>
          <w:p w14:paraId="085BC141" w14:textId="77777777" w:rsidR="009A0A63" w:rsidRPr="00792B36" w:rsidRDefault="009A0A63" w:rsidP="00A24459">
            <w:pPr>
              <w:spacing w:line="216" w:lineRule="auto"/>
              <w:jc w:val="center"/>
              <w:rPr>
                <w:rFonts w:eastAsia="Times New Roman"/>
                <w:color w:val="000000" w:themeColor="text1"/>
                <w:sz w:val="24"/>
                <w:szCs w:val="24"/>
              </w:rPr>
            </w:pPr>
            <w:r w:rsidRPr="00792B36">
              <w:rPr>
                <w:rFonts w:eastAsia="Times New Roman"/>
                <w:color w:val="000000" w:themeColor="text1"/>
                <w:sz w:val="24"/>
                <w:szCs w:val="24"/>
              </w:rPr>
              <w:t>135.97</w:t>
            </w:r>
          </w:p>
        </w:tc>
        <w:tc>
          <w:tcPr>
            <w:tcW w:w="752"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center"/>
          </w:tcPr>
          <w:p w14:paraId="431192BC" w14:textId="77777777" w:rsidR="009A0A63" w:rsidRPr="00792B36" w:rsidRDefault="009A0A63" w:rsidP="00A24459">
            <w:pPr>
              <w:spacing w:line="216" w:lineRule="auto"/>
              <w:jc w:val="center"/>
              <w:rPr>
                <w:rFonts w:eastAsia="Times New Roman"/>
                <w:color w:val="000000" w:themeColor="text1"/>
                <w:sz w:val="24"/>
                <w:szCs w:val="24"/>
                <w:cs/>
              </w:rPr>
            </w:pPr>
            <w:r w:rsidRPr="00792B36">
              <w:rPr>
                <w:rFonts w:eastAsia="Times New Roman"/>
                <w:color w:val="000000" w:themeColor="text1"/>
                <w:sz w:val="24"/>
                <w:szCs w:val="24"/>
                <w:cs/>
              </w:rPr>
              <w:t>90.00</w:t>
            </w:r>
          </w:p>
        </w:tc>
        <w:tc>
          <w:tcPr>
            <w:tcW w:w="712"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center"/>
          </w:tcPr>
          <w:p w14:paraId="14371203" w14:textId="77777777" w:rsidR="009A0A63" w:rsidRPr="00792B36" w:rsidRDefault="009A0A63" w:rsidP="00A24459">
            <w:pPr>
              <w:spacing w:line="216" w:lineRule="auto"/>
              <w:jc w:val="center"/>
              <w:rPr>
                <w:rFonts w:eastAsia="Times New Roman"/>
                <w:color w:val="000000" w:themeColor="text1"/>
                <w:sz w:val="24"/>
                <w:szCs w:val="24"/>
              </w:rPr>
            </w:pPr>
            <w:r w:rsidRPr="00792B36">
              <w:rPr>
                <w:rFonts w:eastAsia="Times New Roman"/>
                <w:color w:val="000000" w:themeColor="text1"/>
                <w:sz w:val="24"/>
                <w:szCs w:val="24"/>
                <w:cs/>
              </w:rPr>
              <w:t>1.11</w:t>
            </w:r>
          </w:p>
        </w:tc>
        <w:tc>
          <w:tcPr>
            <w:tcW w:w="712"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center"/>
          </w:tcPr>
          <w:p w14:paraId="1FBABD28" w14:textId="77777777" w:rsidR="009A0A63" w:rsidRPr="00792B36" w:rsidRDefault="009A0A63" w:rsidP="00A24459">
            <w:pPr>
              <w:spacing w:line="216" w:lineRule="auto"/>
              <w:jc w:val="center"/>
              <w:rPr>
                <w:rFonts w:eastAsia="Times New Roman"/>
                <w:b/>
                <w:bCs/>
                <w:color w:val="000000" w:themeColor="text1"/>
                <w:sz w:val="24"/>
                <w:szCs w:val="24"/>
              </w:rPr>
            </w:pPr>
            <w:r w:rsidRPr="00792B36">
              <w:rPr>
                <w:rFonts w:eastAsia="Times New Roman"/>
                <w:b/>
                <w:bCs/>
                <w:color w:val="000000" w:themeColor="text1"/>
                <w:sz w:val="24"/>
                <w:szCs w:val="24"/>
              </w:rPr>
              <w:t>-</w:t>
            </w:r>
          </w:p>
        </w:tc>
        <w:tc>
          <w:tcPr>
            <w:tcW w:w="739"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center"/>
          </w:tcPr>
          <w:p w14:paraId="59F7669F" w14:textId="77777777" w:rsidR="009A0A63" w:rsidRPr="00792B36" w:rsidRDefault="009A0A63" w:rsidP="00A24459">
            <w:pPr>
              <w:spacing w:line="216" w:lineRule="auto"/>
              <w:jc w:val="center"/>
              <w:rPr>
                <w:rFonts w:eastAsia="Times New Roman"/>
                <w:b/>
                <w:bCs/>
                <w:color w:val="000000" w:themeColor="text1"/>
                <w:sz w:val="24"/>
                <w:szCs w:val="24"/>
              </w:rPr>
            </w:pPr>
            <w:r w:rsidRPr="00792B36">
              <w:rPr>
                <w:rFonts w:eastAsia="Times New Roman"/>
                <w:b/>
                <w:bCs/>
                <w:color w:val="000000" w:themeColor="text1"/>
                <w:sz w:val="24"/>
                <w:szCs w:val="24"/>
              </w:rPr>
              <w:t>-</w:t>
            </w:r>
          </w:p>
        </w:tc>
        <w:tc>
          <w:tcPr>
            <w:tcW w:w="20" w:type="pct"/>
            <w:vAlign w:val="center"/>
            <w:hideMark/>
          </w:tcPr>
          <w:p w14:paraId="0328B95B" w14:textId="77777777" w:rsidR="009A0A63" w:rsidRPr="00792B36" w:rsidRDefault="009A0A63" w:rsidP="00A24459">
            <w:pPr>
              <w:spacing w:line="216" w:lineRule="auto"/>
              <w:rPr>
                <w:rFonts w:eastAsia="Times New Roman"/>
                <w:color w:val="000000" w:themeColor="text1"/>
                <w:sz w:val="24"/>
                <w:szCs w:val="24"/>
              </w:rPr>
            </w:pPr>
          </w:p>
        </w:tc>
      </w:tr>
      <w:tr w:rsidR="009A0A63" w:rsidRPr="00792B36" w14:paraId="240A1AF0" w14:textId="77777777" w:rsidTr="00A24459">
        <w:trPr>
          <w:trHeight w:val="315"/>
        </w:trPr>
        <w:tc>
          <w:tcPr>
            <w:tcW w:w="1383" w:type="pct"/>
            <w:tcBorders>
              <w:top w:val="single" w:sz="6" w:space="0" w:color="CCCCCC"/>
              <w:left w:val="single" w:sz="6" w:space="0" w:color="000000"/>
              <w:bottom w:val="single" w:sz="6" w:space="0" w:color="000000"/>
              <w:right w:val="single" w:sz="6" w:space="0" w:color="000000"/>
            </w:tcBorders>
            <w:tcMar>
              <w:top w:w="0" w:type="dxa"/>
              <w:left w:w="45" w:type="dxa"/>
              <w:bottom w:w="0" w:type="dxa"/>
              <w:right w:w="45" w:type="dxa"/>
            </w:tcMar>
            <w:vAlign w:val="center"/>
          </w:tcPr>
          <w:p w14:paraId="70F62211" w14:textId="77777777" w:rsidR="009A0A63" w:rsidRPr="00792B36" w:rsidRDefault="009A0A63" w:rsidP="00A24459">
            <w:pPr>
              <w:rPr>
                <w:rStyle w:val="Strong"/>
                <w:rFonts w:eastAsiaTheme="minorEastAsia"/>
                <w:b w:val="0"/>
                <w:bCs w:val="0"/>
                <w:color w:val="000000" w:themeColor="text1"/>
                <w:sz w:val="24"/>
                <w:szCs w:val="24"/>
              </w:rPr>
            </w:pPr>
            <w:r w:rsidRPr="00792B36">
              <w:rPr>
                <w:rStyle w:val="Strong"/>
                <w:rFonts w:eastAsiaTheme="minorEastAsia"/>
                <w:color w:val="000000" w:themeColor="text1"/>
                <w:sz w:val="24"/>
                <w:szCs w:val="24"/>
              </w:rPr>
              <w:t>MG: Samut Prakan Province</w:t>
            </w:r>
          </w:p>
        </w:tc>
        <w:tc>
          <w:tcPr>
            <w:tcW w:w="682"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center"/>
          </w:tcPr>
          <w:p w14:paraId="2D85E688" w14:textId="77777777" w:rsidR="009A0A63" w:rsidRPr="00792B36" w:rsidRDefault="009A0A63" w:rsidP="00A24459">
            <w:pPr>
              <w:spacing w:line="216" w:lineRule="auto"/>
              <w:jc w:val="center"/>
              <w:rPr>
                <w:rFonts w:eastAsia="Times New Roman"/>
                <w:color w:val="000000" w:themeColor="text1"/>
                <w:sz w:val="24"/>
                <w:szCs w:val="24"/>
              </w:rPr>
            </w:pPr>
            <w:r w:rsidRPr="00792B36">
              <w:rPr>
                <w:rFonts w:eastAsia="Times New Roman"/>
                <w:color w:val="000000" w:themeColor="text1"/>
                <w:sz w:val="24"/>
                <w:szCs w:val="24"/>
              </w:rPr>
              <w:t>1,004.12</w:t>
            </w:r>
          </w:p>
        </w:tc>
        <w:tc>
          <w:tcPr>
            <w:tcW w:w="752"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center"/>
          </w:tcPr>
          <w:p w14:paraId="04E9A8BB" w14:textId="77777777" w:rsidR="009A0A63" w:rsidRPr="00792B36" w:rsidRDefault="009A0A63" w:rsidP="00A24459">
            <w:pPr>
              <w:spacing w:line="216" w:lineRule="auto"/>
              <w:jc w:val="center"/>
              <w:rPr>
                <w:rFonts w:eastAsia="Times New Roman"/>
                <w:color w:val="000000" w:themeColor="text1"/>
                <w:sz w:val="24"/>
                <w:szCs w:val="24"/>
              </w:rPr>
            </w:pPr>
            <w:r w:rsidRPr="00792B36">
              <w:rPr>
                <w:rFonts w:eastAsia="Times New Roman"/>
                <w:color w:val="000000" w:themeColor="text1"/>
                <w:sz w:val="24"/>
                <w:szCs w:val="24"/>
              </w:rPr>
              <w:t>33.74</w:t>
            </w:r>
          </w:p>
        </w:tc>
        <w:tc>
          <w:tcPr>
            <w:tcW w:w="712"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center"/>
          </w:tcPr>
          <w:p w14:paraId="12FABFB0" w14:textId="77777777" w:rsidR="009A0A63" w:rsidRPr="00792B36" w:rsidRDefault="009A0A63" w:rsidP="00A24459">
            <w:pPr>
              <w:spacing w:line="216" w:lineRule="auto"/>
              <w:jc w:val="center"/>
              <w:rPr>
                <w:rFonts w:eastAsia="Times New Roman"/>
                <w:b/>
                <w:bCs/>
                <w:color w:val="000000" w:themeColor="text1"/>
                <w:sz w:val="24"/>
                <w:szCs w:val="24"/>
              </w:rPr>
            </w:pPr>
            <w:r w:rsidRPr="00792B36">
              <w:rPr>
                <w:rFonts w:eastAsia="Times New Roman"/>
                <w:b/>
                <w:bCs/>
                <w:color w:val="000000" w:themeColor="text1"/>
                <w:sz w:val="24"/>
                <w:szCs w:val="24"/>
              </w:rPr>
              <w:t>-</w:t>
            </w:r>
          </w:p>
        </w:tc>
        <w:tc>
          <w:tcPr>
            <w:tcW w:w="712"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center"/>
          </w:tcPr>
          <w:p w14:paraId="38988DCB" w14:textId="77777777" w:rsidR="009A0A63" w:rsidRPr="00792B36" w:rsidRDefault="009A0A63" w:rsidP="00A24459">
            <w:pPr>
              <w:spacing w:line="216" w:lineRule="auto"/>
              <w:jc w:val="center"/>
              <w:rPr>
                <w:rFonts w:eastAsia="Times New Roman"/>
                <w:b/>
                <w:bCs/>
                <w:color w:val="000000" w:themeColor="text1"/>
                <w:sz w:val="24"/>
                <w:szCs w:val="24"/>
              </w:rPr>
            </w:pPr>
            <w:r w:rsidRPr="00792B36">
              <w:rPr>
                <w:rFonts w:eastAsia="Times New Roman"/>
                <w:b/>
                <w:bCs/>
                <w:color w:val="000000" w:themeColor="text1"/>
                <w:sz w:val="24"/>
                <w:szCs w:val="24"/>
              </w:rPr>
              <w:t>-</w:t>
            </w:r>
          </w:p>
        </w:tc>
        <w:tc>
          <w:tcPr>
            <w:tcW w:w="739"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center"/>
          </w:tcPr>
          <w:p w14:paraId="4F8469D4" w14:textId="77777777" w:rsidR="009A0A63" w:rsidRPr="00792B36" w:rsidRDefault="009A0A63" w:rsidP="00A24459">
            <w:pPr>
              <w:spacing w:line="216" w:lineRule="auto"/>
              <w:jc w:val="center"/>
              <w:rPr>
                <w:rFonts w:eastAsia="Times New Roman"/>
                <w:b/>
                <w:bCs/>
                <w:color w:val="000000" w:themeColor="text1"/>
                <w:sz w:val="24"/>
                <w:szCs w:val="24"/>
              </w:rPr>
            </w:pPr>
            <w:r w:rsidRPr="00792B36">
              <w:rPr>
                <w:rFonts w:eastAsia="Times New Roman"/>
                <w:b/>
                <w:bCs/>
                <w:color w:val="000000" w:themeColor="text1"/>
                <w:sz w:val="24"/>
                <w:szCs w:val="24"/>
              </w:rPr>
              <w:t>-</w:t>
            </w:r>
          </w:p>
        </w:tc>
        <w:tc>
          <w:tcPr>
            <w:tcW w:w="20" w:type="pct"/>
            <w:vAlign w:val="center"/>
            <w:hideMark/>
          </w:tcPr>
          <w:p w14:paraId="25DCD5FD" w14:textId="77777777" w:rsidR="009A0A63" w:rsidRPr="00792B36" w:rsidRDefault="009A0A63" w:rsidP="00A24459">
            <w:pPr>
              <w:spacing w:line="216" w:lineRule="auto"/>
              <w:rPr>
                <w:rFonts w:eastAsia="Times New Roman"/>
                <w:color w:val="000000" w:themeColor="text1"/>
                <w:sz w:val="24"/>
                <w:szCs w:val="24"/>
              </w:rPr>
            </w:pPr>
          </w:p>
        </w:tc>
      </w:tr>
      <w:tr w:rsidR="009A0A63" w:rsidRPr="00792B36" w14:paraId="36A449A9" w14:textId="77777777" w:rsidTr="00A24459">
        <w:trPr>
          <w:trHeight w:val="315"/>
        </w:trPr>
        <w:tc>
          <w:tcPr>
            <w:tcW w:w="1383" w:type="pct"/>
            <w:tcBorders>
              <w:top w:val="single" w:sz="6" w:space="0" w:color="000000"/>
              <w:left w:val="single" w:sz="6" w:space="0" w:color="000000"/>
              <w:bottom w:val="single" w:sz="4" w:space="0" w:color="auto"/>
              <w:right w:val="single" w:sz="6" w:space="0" w:color="000000"/>
            </w:tcBorders>
            <w:tcMar>
              <w:top w:w="0" w:type="dxa"/>
              <w:left w:w="45" w:type="dxa"/>
              <w:bottom w:w="0" w:type="dxa"/>
              <w:right w:w="45" w:type="dxa"/>
            </w:tcMar>
            <w:vAlign w:val="center"/>
          </w:tcPr>
          <w:p w14:paraId="32B81C5D" w14:textId="77777777" w:rsidR="009A0A63" w:rsidRPr="00792B36" w:rsidRDefault="009A0A63" w:rsidP="00A24459">
            <w:pPr>
              <w:rPr>
                <w:b/>
                <w:bCs/>
                <w:color w:val="000000" w:themeColor="text1"/>
                <w:sz w:val="24"/>
                <w:szCs w:val="24"/>
              </w:rPr>
            </w:pPr>
            <w:r w:rsidRPr="00792B36">
              <w:rPr>
                <w:rStyle w:val="Strong"/>
                <w:rFonts w:eastAsiaTheme="minorEastAsia"/>
                <w:color w:val="000000" w:themeColor="text1"/>
                <w:sz w:val="24"/>
                <w:szCs w:val="24"/>
              </w:rPr>
              <w:t>WL1: Don Hoi Lot</w:t>
            </w:r>
          </w:p>
        </w:tc>
        <w:tc>
          <w:tcPr>
            <w:tcW w:w="682" w:type="pct"/>
            <w:tcBorders>
              <w:top w:val="single" w:sz="6" w:space="0" w:color="000000"/>
              <w:left w:val="single" w:sz="6" w:space="0" w:color="CCCCCC"/>
              <w:bottom w:val="single" w:sz="4" w:space="0" w:color="auto"/>
              <w:right w:val="single" w:sz="6" w:space="0" w:color="000000"/>
            </w:tcBorders>
            <w:tcMar>
              <w:top w:w="0" w:type="dxa"/>
              <w:left w:w="45" w:type="dxa"/>
              <w:bottom w:w="0" w:type="dxa"/>
              <w:right w:w="45" w:type="dxa"/>
            </w:tcMar>
            <w:vAlign w:val="center"/>
          </w:tcPr>
          <w:p w14:paraId="5C24F7F2" w14:textId="77777777" w:rsidR="009A0A63" w:rsidRPr="00792B36" w:rsidRDefault="009A0A63" w:rsidP="00A24459">
            <w:pPr>
              <w:spacing w:line="216" w:lineRule="auto"/>
              <w:jc w:val="center"/>
              <w:rPr>
                <w:rFonts w:eastAsia="Times New Roman"/>
                <w:color w:val="000000" w:themeColor="text1"/>
                <w:sz w:val="24"/>
                <w:szCs w:val="24"/>
                <w:cs/>
              </w:rPr>
            </w:pPr>
            <w:r w:rsidRPr="00792B36">
              <w:rPr>
                <w:rFonts w:eastAsia="Times New Roman"/>
                <w:color w:val="000000" w:themeColor="text1"/>
                <w:sz w:val="24"/>
                <w:szCs w:val="24"/>
                <w:cs/>
              </w:rPr>
              <w:t>875.00</w:t>
            </w:r>
          </w:p>
        </w:tc>
        <w:tc>
          <w:tcPr>
            <w:tcW w:w="752" w:type="pct"/>
            <w:tcBorders>
              <w:top w:val="single" w:sz="6" w:space="0" w:color="000000"/>
              <w:left w:val="single" w:sz="6" w:space="0" w:color="CCCCCC"/>
              <w:bottom w:val="single" w:sz="4" w:space="0" w:color="auto"/>
              <w:right w:val="single" w:sz="6" w:space="0" w:color="000000"/>
            </w:tcBorders>
            <w:tcMar>
              <w:top w:w="0" w:type="dxa"/>
              <w:left w:w="45" w:type="dxa"/>
              <w:bottom w:w="0" w:type="dxa"/>
              <w:right w:w="45" w:type="dxa"/>
            </w:tcMar>
            <w:vAlign w:val="center"/>
          </w:tcPr>
          <w:p w14:paraId="1148E8CA" w14:textId="77777777" w:rsidR="009A0A63" w:rsidRPr="00792B36" w:rsidRDefault="009A0A63" w:rsidP="00A24459">
            <w:pPr>
              <w:spacing w:line="216" w:lineRule="auto"/>
              <w:jc w:val="center"/>
              <w:rPr>
                <w:rFonts w:eastAsia="Times New Roman"/>
                <w:color w:val="000000" w:themeColor="text1"/>
                <w:sz w:val="24"/>
                <w:szCs w:val="24"/>
              </w:rPr>
            </w:pPr>
            <w:r w:rsidRPr="00792B36">
              <w:rPr>
                <w:rFonts w:eastAsia="Times New Roman"/>
                <w:color w:val="000000" w:themeColor="text1"/>
                <w:sz w:val="24"/>
                <w:szCs w:val="24"/>
                <w:cs/>
              </w:rPr>
              <w:t>29.19</w:t>
            </w:r>
          </w:p>
        </w:tc>
        <w:tc>
          <w:tcPr>
            <w:tcW w:w="712" w:type="pct"/>
            <w:tcBorders>
              <w:top w:val="single" w:sz="6" w:space="0" w:color="000000"/>
              <w:left w:val="single" w:sz="6" w:space="0" w:color="CCCCCC"/>
              <w:bottom w:val="single" w:sz="4" w:space="0" w:color="auto"/>
              <w:right w:val="single" w:sz="6" w:space="0" w:color="000000"/>
            </w:tcBorders>
            <w:tcMar>
              <w:top w:w="0" w:type="dxa"/>
              <w:left w:w="45" w:type="dxa"/>
              <w:bottom w:w="0" w:type="dxa"/>
              <w:right w:w="45" w:type="dxa"/>
            </w:tcMar>
            <w:vAlign w:val="center"/>
          </w:tcPr>
          <w:p w14:paraId="35175A1C" w14:textId="77777777" w:rsidR="009A0A63" w:rsidRPr="00792B36" w:rsidRDefault="009A0A63" w:rsidP="00A24459">
            <w:pPr>
              <w:spacing w:line="216" w:lineRule="auto"/>
              <w:jc w:val="center"/>
              <w:rPr>
                <w:rFonts w:eastAsia="Times New Roman"/>
                <w:color w:val="000000" w:themeColor="text1"/>
                <w:sz w:val="24"/>
                <w:szCs w:val="24"/>
                <w:cs/>
              </w:rPr>
            </w:pPr>
            <w:r w:rsidRPr="00792B36">
              <w:rPr>
                <w:rFonts w:eastAsia="Times New Roman"/>
                <w:color w:val="000000" w:themeColor="text1"/>
                <w:sz w:val="24"/>
                <w:szCs w:val="24"/>
                <w:cs/>
              </w:rPr>
              <w:t>24.09</w:t>
            </w:r>
          </w:p>
        </w:tc>
        <w:tc>
          <w:tcPr>
            <w:tcW w:w="712" w:type="pct"/>
            <w:tcBorders>
              <w:top w:val="single" w:sz="6" w:space="0" w:color="000000"/>
              <w:left w:val="single" w:sz="6" w:space="0" w:color="CCCCCC"/>
              <w:bottom w:val="single" w:sz="4" w:space="0" w:color="auto"/>
              <w:right w:val="single" w:sz="6" w:space="0" w:color="000000"/>
            </w:tcBorders>
            <w:tcMar>
              <w:top w:w="0" w:type="dxa"/>
              <w:left w:w="45" w:type="dxa"/>
              <w:bottom w:w="0" w:type="dxa"/>
              <w:right w:w="45" w:type="dxa"/>
            </w:tcMar>
            <w:vAlign w:val="center"/>
          </w:tcPr>
          <w:p w14:paraId="5BE8BE02" w14:textId="77777777" w:rsidR="009A0A63" w:rsidRPr="00792B36" w:rsidRDefault="009A0A63" w:rsidP="00A24459">
            <w:pPr>
              <w:spacing w:line="216" w:lineRule="auto"/>
              <w:jc w:val="center"/>
              <w:rPr>
                <w:rFonts w:eastAsia="Times New Roman"/>
                <w:b/>
                <w:bCs/>
                <w:color w:val="000000" w:themeColor="text1"/>
                <w:sz w:val="24"/>
                <w:szCs w:val="24"/>
                <w:cs/>
              </w:rPr>
            </w:pPr>
            <w:r w:rsidRPr="00792B36">
              <w:rPr>
                <w:rFonts w:eastAsia="Times New Roman"/>
                <w:b/>
                <w:bCs/>
                <w:color w:val="000000" w:themeColor="text1"/>
                <w:sz w:val="24"/>
                <w:szCs w:val="24"/>
              </w:rPr>
              <w:t>-</w:t>
            </w:r>
          </w:p>
        </w:tc>
        <w:tc>
          <w:tcPr>
            <w:tcW w:w="739" w:type="pct"/>
            <w:tcBorders>
              <w:top w:val="single" w:sz="6" w:space="0" w:color="000000"/>
              <w:left w:val="single" w:sz="6" w:space="0" w:color="CCCCCC"/>
              <w:bottom w:val="single" w:sz="4" w:space="0" w:color="auto"/>
              <w:right w:val="single" w:sz="6" w:space="0" w:color="000000"/>
            </w:tcBorders>
            <w:tcMar>
              <w:top w:w="0" w:type="dxa"/>
              <w:left w:w="45" w:type="dxa"/>
              <w:bottom w:w="0" w:type="dxa"/>
              <w:right w:w="45" w:type="dxa"/>
            </w:tcMar>
            <w:vAlign w:val="center"/>
          </w:tcPr>
          <w:p w14:paraId="0ACE4AC4" w14:textId="77777777" w:rsidR="009A0A63" w:rsidRPr="00792B36" w:rsidRDefault="009A0A63" w:rsidP="00A24459">
            <w:pPr>
              <w:spacing w:line="216" w:lineRule="auto"/>
              <w:jc w:val="center"/>
              <w:rPr>
                <w:rFonts w:eastAsia="Times New Roman"/>
                <w:b/>
                <w:bCs/>
                <w:color w:val="000000" w:themeColor="text1"/>
                <w:sz w:val="24"/>
                <w:szCs w:val="24"/>
              </w:rPr>
            </w:pPr>
            <w:r w:rsidRPr="00792B36">
              <w:rPr>
                <w:rFonts w:eastAsia="Times New Roman"/>
                <w:b/>
                <w:bCs/>
                <w:color w:val="000000" w:themeColor="text1"/>
                <w:sz w:val="24"/>
                <w:szCs w:val="24"/>
              </w:rPr>
              <w:t>-</w:t>
            </w:r>
          </w:p>
        </w:tc>
        <w:tc>
          <w:tcPr>
            <w:tcW w:w="20" w:type="pct"/>
            <w:vAlign w:val="center"/>
            <w:hideMark/>
          </w:tcPr>
          <w:p w14:paraId="2716F43B" w14:textId="77777777" w:rsidR="009A0A63" w:rsidRPr="00792B36" w:rsidRDefault="009A0A63" w:rsidP="00A24459">
            <w:pPr>
              <w:spacing w:line="216" w:lineRule="auto"/>
              <w:rPr>
                <w:rFonts w:eastAsia="Times New Roman"/>
                <w:color w:val="000000" w:themeColor="text1"/>
                <w:sz w:val="24"/>
                <w:szCs w:val="24"/>
              </w:rPr>
            </w:pPr>
          </w:p>
        </w:tc>
      </w:tr>
      <w:tr w:rsidR="009A0A63" w:rsidRPr="00792B36" w14:paraId="526E52C9" w14:textId="77777777" w:rsidTr="00A24459">
        <w:trPr>
          <w:trHeight w:val="315"/>
        </w:trPr>
        <w:tc>
          <w:tcPr>
            <w:tcW w:w="1383" w:type="pct"/>
            <w:tcBorders>
              <w:top w:val="single" w:sz="4" w:space="0" w:color="auto"/>
              <w:left w:val="single" w:sz="6" w:space="0" w:color="000000"/>
              <w:bottom w:val="single" w:sz="6" w:space="0" w:color="000000"/>
              <w:right w:val="single" w:sz="6" w:space="0" w:color="000000"/>
            </w:tcBorders>
            <w:tcMar>
              <w:top w:w="0" w:type="dxa"/>
              <w:left w:w="45" w:type="dxa"/>
              <w:bottom w:w="0" w:type="dxa"/>
              <w:right w:w="45" w:type="dxa"/>
            </w:tcMar>
            <w:vAlign w:val="center"/>
          </w:tcPr>
          <w:p w14:paraId="57AAA425" w14:textId="77777777" w:rsidR="009A0A63" w:rsidRPr="00792B36" w:rsidRDefault="009A0A63" w:rsidP="00A24459">
            <w:pPr>
              <w:jc w:val="center"/>
              <w:rPr>
                <w:rStyle w:val="Strong"/>
                <w:rFonts w:eastAsiaTheme="minorEastAsia"/>
                <w:color w:val="000000" w:themeColor="text1"/>
                <w:sz w:val="24"/>
                <w:szCs w:val="24"/>
              </w:rPr>
            </w:pPr>
            <w:r w:rsidRPr="00792B36">
              <w:rPr>
                <w:rStyle w:val="Strong"/>
                <w:rFonts w:eastAsiaTheme="minorEastAsia"/>
                <w:color w:val="000000" w:themeColor="text1"/>
                <w:sz w:val="24"/>
                <w:szCs w:val="24"/>
              </w:rPr>
              <w:t>Total</w:t>
            </w:r>
          </w:p>
        </w:tc>
        <w:tc>
          <w:tcPr>
            <w:tcW w:w="682" w:type="pct"/>
            <w:tcBorders>
              <w:top w:val="single" w:sz="4" w:space="0" w:color="auto"/>
              <w:left w:val="single" w:sz="6" w:space="0" w:color="CCCCCC"/>
              <w:bottom w:val="single" w:sz="6" w:space="0" w:color="000000"/>
              <w:right w:val="single" w:sz="6" w:space="0" w:color="000000"/>
            </w:tcBorders>
            <w:tcMar>
              <w:top w:w="0" w:type="dxa"/>
              <w:left w:w="45" w:type="dxa"/>
              <w:bottom w:w="0" w:type="dxa"/>
              <w:right w:w="45" w:type="dxa"/>
            </w:tcMar>
            <w:vAlign w:val="center"/>
          </w:tcPr>
          <w:p w14:paraId="486811C8" w14:textId="77777777" w:rsidR="009A0A63" w:rsidRPr="00792B36" w:rsidRDefault="009A0A63" w:rsidP="00A24459">
            <w:pPr>
              <w:spacing w:line="216" w:lineRule="auto"/>
              <w:jc w:val="center"/>
              <w:rPr>
                <w:rFonts w:eastAsia="Times New Roman"/>
                <w:b/>
                <w:bCs/>
                <w:color w:val="000000" w:themeColor="text1"/>
                <w:sz w:val="24"/>
                <w:szCs w:val="24"/>
                <w:cs/>
              </w:rPr>
            </w:pPr>
            <w:r w:rsidRPr="00792B36">
              <w:rPr>
                <w:rFonts w:eastAsia="Times New Roman"/>
                <w:b/>
                <w:bCs/>
                <w:color w:val="000000" w:themeColor="text1"/>
                <w:sz w:val="24"/>
                <w:szCs w:val="24"/>
              </w:rPr>
              <w:t>2,613.68</w:t>
            </w:r>
          </w:p>
        </w:tc>
        <w:tc>
          <w:tcPr>
            <w:tcW w:w="752" w:type="pct"/>
            <w:tcBorders>
              <w:top w:val="single" w:sz="4" w:space="0" w:color="auto"/>
              <w:left w:val="single" w:sz="6" w:space="0" w:color="CCCCCC"/>
              <w:bottom w:val="single" w:sz="6" w:space="0" w:color="000000"/>
              <w:right w:val="single" w:sz="6" w:space="0" w:color="000000"/>
            </w:tcBorders>
            <w:tcMar>
              <w:top w:w="0" w:type="dxa"/>
              <w:left w:w="45" w:type="dxa"/>
              <w:bottom w:w="0" w:type="dxa"/>
              <w:right w:w="45" w:type="dxa"/>
            </w:tcMar>
            <w:vAlign w:val="center"/>
          </w:tcPr>
          <w:p w14:paraId="5B7F068A" w14:textId="77777777" w:rsidR="009A0A63" w:rsidRPr="00792B36" w:rsidRDefault="009A0A63" w:rsidP="00A24459">
            <w:pPr>
              <w:spacing w:line="216" w:lineRule="auto"/>
              <w:jc w:val="center"/>
              <w:rPr>
                <w:rFonts w:eastAsia="Times New Roman"/>
                <w:b/>
                <w:bCs/>
                <w:color w:val="000000" w:themeColor="text1"/>
                <w:sz w:val="24"/>
                <w:szCs w:val="24"/>
                <w:cs/>
              </w:rPr>
            </w:pPr>
            <w:r w:rsidRPr="00792B36">
              <w:rPr>
                <w:rFonts w:eastAsia="Times New Roman"/>
                <w:b/>
                <w:bCs/>
                <w:color w:val="000000" w:themeColor="text1"/>
                <w:sz w:val="24"/>
                <w:szCs w:val="24"/>
              </w:rPr>
              <w:t>480.69</w:t>
            </w:r>
          </w:p>
        </w:tc>
        <w:tc>
          <w:tcPr>
            <w:tcW w:w="712" w:type="pct"/>
            <w:tcBorders>
              <w:top w:val="single" w:sz="4" w:space="0" w:color="auto"/>
              <w:left w:val="single" w:sz="6" w:space="0" w:color="CCCCCC"/>
              <w:bottom w:val="single" w:sz="6" w:space="0" w:color="000000"/>
              <w:right w:val="single" w:sz="6" w:space="0" w:color="000000"/>
            </w:tcBorders>
            <w:tcMar>
              <w:top w:w="0" w:type="dxa"/>
              <w:left w:w="45" w:type="dxa"/>
              <w:bottom w:w="0" w:type="dxa"/>
              <w:right w:w="45" w:type="dxa"/>
            </w:tcMar>
            <w:vAlign w:val="center"/>
          </w:tcPr>
          <w:p w14:paraId="332AB0A7" w14:textId="77777777" w:rsidR="009A0A63" w:rsidRPr="00792B36" w:rsidRDefault="009A0A63" w:rsidP="00A24459">
            <w:pPr>
              <w:spacing w:line="216" w:lineRule="auto"/>
              <w:jc w:val="center"/>
              <w:rPr>
                <w:rFonts w:eastAsia="Times New Roman"/>
                <w:b/>
                <w:bCs/>
                <w:color w:val="000000" w:themeColor="text1"/>
                <w:sz w:val="24"/>
                <w:szCs w:val="24"/>
                <w:cs/>
              </w:rPr>
            </w:pPr>
            <w:r w:rsidRPr="00792B36">
              <w:rPr>
                <w:rFonts w:eastAsia="Times New Roman"/>
                <w:b/>
                <w:bCs/>
                <w:color w:val="000000" w:themeColor="text1"/>
                <w:sz w:val="24"/>
                <w:szCs w:val="24"/>
              </w:rPr>
              <w:t>25.20</w:t>
            </w:r>
          </w:p>
        </w:tc>
        <w:tc>
          <w:tcPr>
            <w:tcW w:w="712" w:type="pct"/>
            <w:tcBorders>
              <w:top w:val="single" w:sz="4" w:space="0" w:color="auto"/>
              <w:left w:val="single" w:sz="6" w:space="0" w:color="CCCCCC"/>
              <w:bottom w:val="single" w:sz="6" w:space="0" w:color="000000"/>
              <w:right w:val="single" w:sz="6" w:space="0" w:color="000000"/>
            </w:tcBorders>
            <w:tcMar>
              <w:top w:w="0" w:type="dxa"/>
              <w:left w:w="45" w:type="dxa"/>
              <w:bottom w:w="0" w:type="dxa"/>
              <w:right w:w="45" w:type="dxa"/>
            </w:tcMar>
            <w:vAlign w:val="center"/>
          </w:tcPr>
          <w:p w14:paraId="07C7CC51" w14:textId="77777777" w:rsidR="009A0A63" w:rsidRPr="00792B36" w:rsidRDefault="009A0A63" w:rsidP="00A24459">
            <w:pPr>
              <w:spacing w:line="216" w:lineRule="auto"/>
              <w:jc w:val="center"/>
              <w:rPr>
                <w:rFonts w:eastAsia="Times New Roman"/>
                <w:b/>
                <w:bCs/>
                <w:color w:val="000000" w:themeColor="text1"/>
                <w:sz w:val="24"/>
                <w:szCs w:val="24"/>
                <w:cs/>
              </w:rPr>
            </w:pPr>
            <w:r w:rsidRPr="00792B36">
              <w:rPr>
                <w:rFonts w:eastAsia="Times New Roman"/>
                <w:b/>
                <w:bCs/>
                <w:color w:val="000000" w:themeColor="text1"/>
                <w:sz w:val="24"/>
                <w:szCs w:val="24"/>
              </w:rPr>
              <w:t>-</w:t>
            </w:r>
          </w:p>
        </w:tc>
        <w:tc>
          <w:tcPr>
            <w:tcW w:w="739" w:type="pct"/>
            <w:tcBorders>
              <w:top w:val="single" w:sz="4" w:space="0" w:color="auto"/>
              <w:left w:val="single" w:sz="6" w:space="0" w:color="CCCCCC"/>
              <w:bottom w:val="single" w:sz="6" w:space="0" w:color="000000"/>
              <w:right w:val="single" w:sz="6" w:space="0" w:color="000000"/>
            </w:tcBorders>
            <w:tcMar>
              <w:top w:w="0" w:type="dxa"/>
              <w:left w:w="45" w:type="dxa"/>
              <w:bottom w:w="0" w:type="dxa"/>
              <w:right w:w="45" w:type="dxa"/>
            </w:tcMar>
            <w:vAlign w:val="center"/>
          </w:tcPr>
          <w:p w14:paraId="16F5E425" w14:textId="77777777" w:rsidR="009A0A63" w:rsidRPr="00792B36" w:rsidRDefault="009A0A63" w:rsidP="00A24459">
            <w:pPr>
              <w:spacing w:line="216" w:lineRule="auto"/>
              <w:jc w:val="center"/>
              <w:rPr>
                <w:rFonts w:eastAsia="Times New Roman"/>
                <w:b/>
                <w:bCs/>
                <w:color w:val="000000" w:themeColor="text1"/>
                <w:sz w:val="24"/>
                <w:szCs w:val="24"/>
                <w:cs/>
              </w:rPr>
            </w:pPr>
            <w:r w:rsidRPr="00792B36">
              <w:rPr>
                <w:rFonts w:eastAsia="Times New Roman"/>
                <w:b/>
                <w:bCs/>
                <w:color w:val="000000" w:themeColor="text1"/>
                <w:sz w:val="24"/>
                <w:szCs w:val="24"/>
              </w:rPr>
              <w:t>-</w:t>
            </w:r>
          </w:p>
        </w:tc>
        <w:tc>
          <w:tcPr>
            <w:tcW w:w="20" w:type="pct"/>
            <w:vAlign w:val="center"/>
          </w:tcPr>
          <w:p w14:paraId="723E1310" w14:textId="77777777" w:rsidR="009A0A63" w:rsidRPr="00792B36" w:rsidRDefault="009A0A63" w:rsidP="00A24459">
            <w:pPr>
              <w:spacing w:line="216" w:lineRule="auto"/>
              <w:rPr>
                <w:rFonts w:eastAsia="Times New Roman"/>
                <w:color w:val="000000" w:themeColor="text1"/>
                <w:sz w:val="24"/>
                <w:szCs w:val="24"/>
              </w:rPr>
            </w:pPr>
          </w:p>
        </w:tc>
      </w:tr>
    </w:tbl>
    <w:p w14:paraId="6D6ABA2A" w14:textId="77777777" w:rsidR="009A0A63" w:rsidRPr="00792B36" w:rsidRDefault="009A0A63" w:rsidP="009A0A63">
      <w:pPr>
        <w:pStyle w:val="ListParagraph"/>
        <w:ind w:left="0"/>
        <w:rPr>
          <w:rFonts w:cs="Arial"/>
          <w:color w:val="000000" w:themeColor="text1"/>
          <w:sz w:val="24"/>
          <w:szCs w:val="24"/>
        </w:rPr>
      </w:pPr>
    </w:p>
    <w:p w14:paraId="3274D299" w14:textId="77777777" w:rsidR="009A0A63" w:rsidRPr="00792B36" w:rsidRDefault="009A0A63" w:rsidP="009A0A63">
      <w:pPr>
        <w:pStyle w:val="ListParagraph"/>
        <w:ind w:left="0"/>
        <w:rPr>
          <w:rFonts w:cs="Arial"/>
          <w:color w:val="000000" w:themeColor="text1"/>
          <w:sz w:val="24"/>
          <w:szCs w:val="24"/>
        </w:rPr>
      </w:pPr>
    </w:p>
    <w:p w14:paraId="46BFFC4B" w14:textId="77777777" w:rsidR="009A0A63" w:rsidRPr="00792B36" w:rsidRDefault="009A0A63" w:rsidP="009A0A63">
      <w:pPr>
        <w:pStyle w:val="ListParagraph"/>
        <w:ind w:left="0"/>
        <w:rPr>
          <w:rFonts w:cs="Arial"/>
          <w:color w:val="000000" w:themeColor="text1"/>
          <w:sz w:val="24"/>
          <w:szCs w:val="24"/>
        </w:rPr>
      </w:pPr>
    </w:p>
    <w:p w14:paraId="4E3E9260" w14:textId="77777777" w:rsidR="009A0A63" w:rsidRPr="00792B36" w:rsidRDefault="009A0A63" w:rsidP="009A0A63">
      <w:pPr>
        <w:pStyle w:val="ListParagraph"/>
        <w:ind w:left="0"/>
        <w:rPr>
          <w:rFonts w:cs="Arial"/>
          <w:color w:val="000000" w:themeColor="text1"/>
          <w:sz w:val="24"/>
          <w:szCs w:val="24"/>
        </w:rPr>
      </w:pPr>
    </w:p>
    <w:p w14:paraId="51825181" w14:textId="77777777" w:rsidR="009A0A63" w:rsidRPr="00792B36" w:rsidRDefault="009A0A63" w:rsidP="00F61B37">
      <w:pPr>
        <w:pStyle w:val="ListParagraph"/>
        <w:widowControl/>
        <w:numPr>
          <w:ilvl w:val="0"/>
          <w:numId w:val="47"/>
        </w:numPr>
        <w:spacing w:after="120" w:line="259" w:lineRule="auto"/>
        <w:rPr>
          <w:rFonts w:cs="Arial"/>
          <w:b/>
          <w:bCs/>
          <w:color w:val="000000" w:themeColor="text1"/>
          <w:sz w:val="24"/>
          <w:szCs w:val="24"/>
        </w:rPr>
      </w:pPr>
      <w:r w:rsidRPr="00792B36">
        <w:rPr>
          <w:rFonts w:cs="Arial"/>
          <w:b/>
          <w:bCs/>
          <w:color w:val="000000" w:themeColor="text1"/>
          <w:sz w:val="24"/>
          <w:szCs w:val="24"/>
        </w:rPr>
        <w:t>Social and use information</w:t>
      </w:r>
    </w:p>
    <w:p w14:paraId="0F7D9988" w14:textId="77777777" w:rsidR="009A0A63" w:rsidRPr="00792B36" w:rsidRDefault="009A0A63" w:rsidP="009A0A63">
      <w:pPr>
        <w:spacing w:after="120"/>
        <w:ind w:firstLine="709"/>
        <w:rPr>
          <w:b/>
          <w:bCs/>
          <w:i/>
          <w:iCs/>
          <w:sz w:val="24"/>
          <w:szCs w:val="24"/>
        </w:rPr>
      </w:pPr>
      <w:r w:rsidRPr="00792B36">
        <w:rPr>
          <w:b/>
          <w:bCs/>
          <w:i/>
          <w:iCs/>
          <w:sz w:val="24"/>
          <w:szCs w:val="24"/>
        </w:rPr>
        <w:t>Ownership, management regime, current use and potential use</w:t>
      </w:r>
    </w:p>
    <w:p w14:paraId="6077BDD0" w14:textId="77777777" w:rsidR="009A0A63" w:rsidRPr="00792B36" w:rsidRDefault="009A0A63" w:rsidP="009A0A63">
      <w:pPr>
        <w:spacing w:after="120"/>
        <w:ind w:firstLine="709"/>
        <w:jc w:val="thaiDistribute"/>
        <w:rPr>
          <w:sz w:val="24"/>
          <w:szCs w:val="24"/>
        </w:rPr>
      </w:pPr>
      <w:r w:rsidRPr="00792B36">
        <w:rPr>
          <w:sz w:val="24"/>
          <w:szCs w:val="24"/>
        </w:rPr>
        <w:t>The five coastal and estuarine study sites—Welu River Estuary, Bandon Bay, Pak Panang Bay, Samut Prakan Province, and Don Hoi Lot—are all under state ownership and managed through various multi-agency and community partnerships, emphasizing ecosystem restoration, sustainable resource use, and participatory coastal management.</w:t>
      </w:r>
    </w:p>
    <w:p w14:paraId="6CB9B25F" w14:textId="77777777" w:rsidR="009A0A63" w:rsidRPr="00792B36" w:rsidRDefault="009A0A63" w:rsidP="009A0A63">
      <w:pPr>
        <w:spacing w:after="120"/>
        <w:ind w:firstLine="709"/>
        <w:jc w:val="thaiDistribute"/>
        <w:rPr>
          <w:sz w:val="24"/>
          <w:szCs w:val="24"/>
        </w:rPr>
      </w:pPr>
      <w:r w:rsidRPr="00792B36">
        <w:rPr>
          <w:sz w:val="24"/>
          <w:szCs w:val="24"/>
        </w:rPr>
        <w:t>Under management regimes, these areas are overseen primarily by the Department of Marine and Coastal Resources (DMCR), in collaboration with local authorities, the Department of Fisheries, and community organizations. Co-management frameworks, research partnerships, and integrated coastal management (ICM) initiatives play a key role in maintaining ecosystem services and supporting community livelihoods.</w:t>
      </w:r>
    </w:p>
    <w:p w14:paraId="2AFCD03D" w14:textId="77777777" w:rsidR="009A0A63" w:rsidRPr="00792B36" w:rsidRDefault="009A0A63" w:rsidP="009A0A63">
      <w:pPr>
        <w:spacing w:after="120"/>
        <w:ind w:firstLine="709"/>
        <w:jc w:val="thaiDistribute"/>
        <w:rPr>
          <w:sz w:val="24"/>
          <w:szCs w:val="24"/>
        </w:rPr>
      </w:pPr>
      <w:r w:rsidRPr="00792B36">
        <w:rPr>
          <w:sz w:val="24"/>
          <w:szCs w:val="24"/>
        </w:rPr>
        <w:t>In terms of current use, all sites support both commercial and subsistence activities, including fisheries, aquaculture, small-scale harvesting, and ecotourism. Welu River Estuary and Bandon Bay serve as hubs for aquaculture and local transport, while Pak Panang Bay functions as a major seafood production area. Samut Prakan’s coastal zone supports industrial, fishing, and educational uses, whereas Don Hoi Lot is renowned for its shellfish harvesting and coastal ecotourism.</w:t>
      </w:r>
    </w:p>
    <w:p w14:paraId="3FCD7306" w14:textId="77777777" w:rsidR="009A0A63" w:rsidRPr="00792B36" w:rsidRDefault="009A0A63" w:rsidP="009A0A63">
      <w:pPr>
        <w:spacing w:after="120"/>
        <w:ind w:firstLine="709"/>
        <w:jc w:val="thaiDistribute"/>
        <w:rPr>
          <w:sz w:val="24"/>
          <w:szCs w:val="24"/>
        </w:rPr>
      </w:pPr>
      <w:r w:rsidRPr="00792B36">
        <w:rPr>
          <w:sz w:val="24"/>
          <w:szCs w:val="24"/>
        </w:rPr>
        <w:t>Regarding potential use, opportunities exist for enhancing ecotourism, blue carbon initiatives, mangrove restoration, and community-based resource co-management. Additional strategies include marine-use zoning, pollution control, and sustainable aquaculture certification, aimed at aligning local livelihoods with conservation goals. Collectively, these initiatives demonstrate the balance between economic utilization and ecological protection in Thailand’s coastal management framework. (Table 2).</w:t>
      </w:r>
    </w:p>
    <w:p w14:paraId="47C2963B" w14:textId="77777777" w:rsidR="009A0A63" w:rsidRPr="00792B36" w:rsidRDefault="009A0A63" w:rsidP="009A0A63">
      <w:pPr>
        <w:rPr>
          <w:color w:val="000000" w:themeColor="text1"/>
          <w:sz w:val="24"/>
          <w:szCs w:val="24"/>
        </w:rPr>
      </w:pPr>
      <w:r w:rsidRPr="00792B36">
        <w:rPr>
          <w:b/>
          <w:bCs/>
          <w:color w:val="000000" w:themeColor="text1"/>
          <w:sz w:val="24"/>
          <w:szCs w:val="24"/>
        </w:rPr>
        <w:t>Table 2. Mangroves and wetland areas in Thailand (Gulf of Thailand):</w:t>
      </w:r>
      <w:r w:rsidRPr="00792B36">
        <w:rPr>
          <w:color w:val="000000" w:themeColor="text1"/>
          <w:sz w:val="24"/>
          <w:szCs w:val="24"/>
        </w:rPr>
        <w:t xml:space="preserve"> Social and use information showing ownership, management regime,</w:t>
      </w:r>
      <w:r w:rsidRPr="00792B36">
        <w:rPr>
          <w:color w:val="000000" w:themeColor="text1"/>
          <w:sz w:val="24"/>
          <w:szCs w:val="24"/>
        </w:rPr>
        <w:tab/>
        <w:t>current use and potential use</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2627"/>
        <w:gridCol w:w="1319"/>
        <w:gridCol w:w="2713"/>
        <w:gridCol w:w="3077"/>
        <w:gridCol w:w="3214"/>
      </w:tblGrid>
      <w:tr w:rsidR="009A0A63" w:rsidRPr="00792B36" w14:paraId="7693A716" w14:textId="77777777" w:rsidTr="00A24459">
        <w:trPr>
          <w:trHeight w:val="570"/>
          <w:tblHeader/>
        </w:trPr>
        <w:tc>
          <w:tcPr>
            <w:tcW w:w="1014" w:type="pct"/>
            <w:vMerge w:val="restart"/>
            <w:vAlign w:val="center"/>
          </w:tcPr>
          <w:p w14:paraId="0F0A223D" w14:textId="77777777" w:rsidR="009A0A63" w:rsidRPr="00792B36" w:rsidRDefault="009A0A63" w:rsidP="00A24459">
            <w:pPr>
              <w:jc w:val="center"/>
              <w:rPr>
                <w:rFonts w:eastAsia="Times New Roman"/>
                <w:b/>
                <w:bCs/>
                <w:color w:val="000000" w:themeColor="text1"/>
                <w:sz w:val="24"/>
                <w:szCs w:val="24"/>
              </w:rPr>
            </w:pPr>
            <w:bookmarkStart w:id="33" w:name="_Hlk203225310"/>
            <w:r w:rsidRPr="00792B36">
              <w:rPr>
                <w:rFonts w:eastAsia="Times New Roman"/>
                <w:b/>
                <w:bCs/>
                <w:color w:val="000000" w:themeColor="text1"/>
                <w:sz w:val="24"/>
                <w:szCs w:val="24"/>
              </w:rPr>
              <w:t>Name of area</w:t>
            </w:r>
          </w:p>
        </w:tc>
        <w:tc>
          <w:tcPr>
            <w:tcW w:w="509" w:type="pct"/>
            <w:vMerge w:val="restart"/>
            <w:vAlign w:val="center"/>
          </w:tcPr>
          <w:p w14:paraId="12D0389B" w14:textId="77777777" w:rsidR="009A0A63" w:rsidRPr="00792B36" w:rsidRDefault="009A0A63" w:rsidP="00A24459">
            <w:pPr>
              <w:jc w:val="center"/>
              <w:rPr>
                <w:rFonts w:eastAsia="Times New Roman"/>
                <w:b/>
                <w:bCs/>
                <w:color w:val="000000" w:themeColor="text1"/>
                <w:sz w:val="24"/>
                <w:szCs w:val="24"/>
              </w:rPr>
            </w:pPr>
            <w:r w:rsidRPr="00792B36">
              <w:rPr>
                <w:rFonts w:eastAsia="Times New Roman"/>
                <w:b/>
                <w:bCs/>
                <w:color w:val="000000" w:themeColor="text1"/>
                <w:sz w:val="24"/>
                <w:szCs w:val="24"/>
              </w:rPr>
              <w:t>Ownership</w:t>
            </w:r>
          </w:p>
        </w:tc>
        <w:tc>
          <w:tcPr>
            <w:tcW w:w="1047" w:type="pct"/>
            <w:vMerge w:val="restart"/>
            <w:tcMar>
              <w:top w:w="0" w:type="dxa"/>
              <w:left w:w="45" w:type="dxa"/>
              <w:bottom w:w="0" w:type="dxa"/>
              <w:right w:w="45" w:type="dxa"/>
            </w:tcMar>
            <w:vAlign w:val="center"/>
            <w:hideMark/>
          </w:tcPr>
          <w:p w14:paraId="59185FDC" w14:textId="77777777" w:rsidR="009A0A63" w:rsidRPr="00792B36" w:rsidRDefault="009A0A63" w:rsidP="00A24459">
            <w:pPr>
              <w:jc w:val="center"/>
              <w:rPr>
                <w:rFonts w:eastAsia="Times New Roman"/>
                <w:b/>
                <w:bCs/>
                <w:color w:val="000000" w:themeColor="text1"/>
                <w:sz w:val="24"/>
                <w:szCs w:val="24"/>
              </w:rPr>
            </w:pPr>
            <w:r w:rsidRPr="00792B36">
              <w:rPr>
                <w:rFonts w:eastAsia="Times New Roman"/>
                <w:b/>
                <w:bCs/>
                <w:color w:val="000000" w:themeColor="text1"/>
                <w:sz w:val="24"/>
                <w:szCs w:val="24"/>
              </w:rPr>
              <w:t>Management regime</w:t>
            </w:r>
          </w:p>
        </w:tc>
        <w:tc>
          <w:tcPr>
            <w:tcW w:w="1188" w:type="pct"/>
            <w:vMerge w:val="restart"/>
            <w:tcMar>
              <w:top w:w="0" w:type="dxa"/>
              <w:left w:w="45" w:type="dxa"/>
              <w:bottom w:w="0" w:type="dxa"/>
              <w:right w:w="45" w:type="dxa"/>
            </w:tcMar>
            <w:vAlign w:val="center"/>
            <w:hideMark/>
          </w:tcPr>
          <w:p w14:paraId="172254B0" w14:textId="77777777" w:rsidR="009A0A63" w:rsidRPr="00792B36" w:rsidRDefault="009A0A63" w:rsidP="00A24459">
            <w:pPr>
              <w:jc w:val="center"/>
              <w:rPr>
                <w:rFonts w:eastAsia="Times New Roman"/>
                <w:b/>
                <w:bCs/>
                <w:color w:val="000000" w:themeColor="text1"/>
                <w:sz w:val="24"/>
                <w:szCs w:val="24"/>
              </w:rPr>
            </w:pPr>
            <w:r w:rsidRPr="00792B36">
              <w:rPr>
                <w:rFonts w:eastAsia="Times New Roman"/>
                <w:b/>
                <w:bCs/>
                <w:color w:val="000000" w:themeColor="text1"/>
                <w:sz w:val="24"/>
                <w:szCs w:val="24"/>
              </w:rPr>
              <w:t>Current use</w:t>
            </w:r>
          </w:p>
        </w:tc>
        <w:tc>
          <w:tcPr>
            <w:tcW w:w="1241" w:type="pct"/>
            <w:vMerge w:val="restart"/>
            <w:tcMar>
              <w:top w:w="0" w:type="dxa"/>
              <w:left w:w="45" w:type="dxa"/>
              <w:bottom w:w="0" w:type="dxa"/>
              <w:right w:w="45" w:type="dxa"/>
            </w:tcMar>
            <w:vAlign w:val="center"/>
            <w:hideMark/>
          </w:tcPr>
          <w:p w14:paraId="1B17AEA5" w14:textId="77777777" w:rsidR="009A0A63" w:rsidRPr="00792B36" w:rsidRDefault="009A0A63" w:rsidP="00A24459">
            <w:pPr>
              <w:jc w:val="center"/>
              <w:rPr>
                <w:rFonts w:eastAsia="Times New Roman"/>
                <w:b/>
                <w:bCs/>
                <w:color w:val="000000" w:themeColor="text1"/>
                <w:sz w:val="24"/>
                <w:szCs w:val="24"/>
              </w:rPr>
            </w:pPr>
            <w:r w:rsidRPr="00792B36">
              <w:rPr>
                <w:rFonts w:eastAsia="Times New Roman"/>
                <w:b/>
                <w:bCs/>
                <w:color w:val="000000" w:themeColor="text1"/>
                <w:sz w:val="24"/>
                <w:szCs w:val="24"/>
              </w:rPr>
              <w:t>Potential use</w:t>
            </w:r>
          </w:p>
        </w:tc>
      </w:tr>
      <w:bookmarkEnd w:id="33"/>
      <w:tr w:rsidR="009A0A63" w:rsidRPr="00792B36" w14:paraId="75358CA1" w14:textId="77777777" w:rsidTr="00A24459">
        <w:trPr>
          <w:trHeight w:val="276"/>
          <w:tblHeader/>
        </w:trPr>
        <w:tc>
          <w:tcPr>
            <w:tcW w:w="1014" w:type="pct"/>
            <w:vMerge/>
          </w:tcPr>
          <w:p w14:paraId="197DEB35" w14:textId="77777777" w:rsidR="009A0A63" w:rsidRPr="00792B36" w:rsidRDefault="009A0A63" w:rsidP="00A24459">
            <w:pPr>
              <w:rPr>
                <w:rFonts w:eastAsia="Times New Roman"/>
                <w:color w:val="000000" w:themeColor="text1"/>
                <w:sz w:val="24"/>
                <w:szCs w:val="24"/>
              </w:rPr>
            </w:pPr>
          </w:p>
        </w:tc>
        <w:tc>
          <w:tcPr>
            <w:tcW w:w="509" w:type="pct"/>
            <w:vMerge/>
            <w:vAlign w:val="center"/>
          </w:tcPr>
          <w:p w14:paraId="0EB51F9B" w14:textId="77777777" w:rsidR="009A0A63" w:rsidRPr="00792B36" w:rsidRDefault="009A0A63" w:rsidP="00A24459">
            <w:pPr>
              <w:rPr>
                <w:rFonts w:eastAsia="Times New Roman"/>
                <w:color w:val="000000" w:themeColor="text1"/>
                <w:sz w:val="24"/>
                <w:szCs w:val="24"/>
              </w:rPr>
            </w:pPr>
          </w:p>
        </w:tc>
        <w:tc>
          <w:tcPr>
            <w:tcW w:w="1047" w:type="pct"/>
            <w:vMerge/>
            <w:vAlign w:val="center"/>
            <w:hideMark/>
          </w:tcPr>
          <w:p w14:paraId="558A3E7F" w14:textId="77777777" w:rsidR="009A0A63" w:rsidRPr="00792B36" w:rsidRDefault="009A0A63" w:rsidP="00A24459">
            <w:pPr>
              <w:rPr>
                <w:rFonts w:eastAsia="Times New Roman"/>
                <w:color w:val="000000" w:themeColor="text1"/>
                <w:sz w:val="24"/>
                <w:szCs w:val="24"/>
              </w:rPr>
            </w:pPr>
          </w:p>
        </w:tc>
        <w:tc>
          <w:tcPr>
            <w:tcW w:w="1188" w:type="pct"/>
            <w:vMerge/>
            <w:vAlign w:val="center"/>
            <w:hideMark/>
          </w:tcPr>
          <w:p w14:paraId="338C6907" w14:textId="77777777" w:rsidR="009A0A63" w:rsidRPr="00792B36" w:rsidRDefault="009A0A63" w:rsidP="00A24459">
            <w:pPr>
              <w:rPr>
                <w:rFonts w:eastAsia="Times New Roman"/>
                <w:color w:val="000000" w:themeColor="text1"/>
                <w:sz w:val="24"/>
                <w:szCs w:val="24"/>
              </w:rPr>
            </w:pPr>
          </w:p>
        </w:tc>
        <w:tc>
          <w:tcPr>
            <w:tcW w:w="1241" w:type="pct"/>
            <w:vMerge/>
            <w:vAlign w:val="center"/>
            <w:hideMark/>
          </w:tcPr>
          <w:p w14:paraId="2CA5F1AF" w14:textId="77777777" w:rsidR="009A0A63" w:rsidRPr="00792B36" w:rsidRDefault="009A0A63" w:rsidP="00A24459">
            <w:pPr>
              <w:rPr>
                <w:rFonts w:eastAsia="Times New Roman"/>
                <w:color w:val="000000" w:themeColor="text1"/>
                <w:sz w:val="24"/>
                <w:szCs w:val="24"/>
              </w:rPr>
            </w:pPr>
          </w:p>
        </w:tc>
      </w:tr>
      <w:tr w:rsidR="009A0A63" w:rsidRPr="00792B36" w14:paraId="6EE2EAB0" w14:textId="77777777" w:rsidTr="00A24459">
        <w:trPr>
          <w:trHeight w:val="315"/>
        </w:trPr>
        <w:tc>
          <w:tcPr>
            <w:tcW w:w="1014" w:type="pct"/>
            <w:vAlign w:val="center"/>
          </w:tcPr>
          <w:p w14:paraId="2260F653" w14:textId="77777777" w:rsidR="009A0A63" w:rsidRPr="00792B36" w:rsidRDefault="009A0A63" w:rsidP="00A24459">
            <w:pPr>
              <w:rPr>
                <w:b/>
                <w:bCs/>
                <w:color w:val="000000" w:themeColor="text1"/>
                <w:sz w:val="24"/>
                <w:szCs w:val="24"/>
                <w:cs/>
              </w:rPr>
            </w:pPr>
            <w:r w:rsidRPr="00792B36">
              <w:rPr>
                <w:rStyle w:val="Strong"/>
                <w:rFonts w:eastAsiaTheme="minorEastAsia"/>
                <w:color w:val="000000" w:themeColor="text1"/>
                <w:sz w:val="24"/>
                <w:szCs w:val="24"/>
              </w:rPr>
              <w:t>MG1: Welu River Estuary</w:t>
            </w:r>
          </w:p>
        </w:tc>
        <w:tc>
          <w:tcPr>
            <w:tcW w:w="509" w:type="pct"/>
          </w:tcPr>
          <w:p w14:paraId="7CD68EF6" w14:textId="77777777" w:rsidR="009A0A63" w:rsidRPr="00792B36" w:rsidRDefault="009A0A63" w:rsidP="00A24459">
            <w:pPr>
              <w:jc w:val="center"/>
              <w:rPr>
                <w:rFonts w:eastAsia="Times New Roman"/>
                <w:color w:val="000000" w:themeColor="text1"/>
                <w:sz w:val="24"/>
                <w:szCs w:val="24"/>
              </w:rPr>
            </w:pPr>
            <w:r w:rsidRPr="00792B36">
              <w:rPr>
                <w:rFonts w:eastAsia="Times New Roman"/>
                <w:color w:val="000000" w:themeColor="text1"/>
                <w:sz w:val="24"/>
                <w:szCs w:val="24"/>
              </w:rPr>
              <w:t>State</w:t>
            </w:r>
          </w:p>
          <w:p w14:paraId="4E377824" w14:textId="77777777" w:rsidR="009A0A63" w:rsidRPr="00792B36" w:rsidRDefault="009A0A63" w:rsidP="00A24459">
            <w:pPr>
              <w:jc w:val="center"/>
              <w:rPr>
                <w:rFonts w:eastAsia="Times New Roman"/>
                <w:color w:val="000000" w:themeColor="text1"/>
                <w:sz w:val="24"/>
                <w:szCs w:val="24"/>
              </w:rPr>
            </w:pPr>
          </w:p>
        </w:tc>
        <w:tc>
          <w:tcPr>
            <w:tcW w:w="1047" w:type="pct"/>
            <w:tcMar>
              <w:top w:w="0" w:type="dxa"/>
              <w:left w:w="45" w:type="dxa"/>
              <w:bottom w:w="0" w:type="dxa"/>
              <w:right w:w="45" w:type="dxa"/>
            </w:tcMar>
          </w:tcPr>
          <w:p w14:paraId="4108D1D3" w14:textId="77777777" w:rsidR="009A0A63" w:rsidRPr="00792B36" w:rsidRDefault="009A0A63" w:rsidP="00A24459">
            <w:pPr>
              <w:rPr>
                <w:rFonts w:eastAsia="Times New Roman"/>
                <w:color w:val="000000" w:themeColor="text1"/>
                <w:sz w:val="24"/>
                <w:szCs w:val="24"/>
              </w:rPr>
            </w:pPr>
            <w:r w:rsidRPr="00792B36">
              <w:rPr>
                <w:rFonts w:eastAsia="Times New Roman"/>
                <w:color w:val="000000" w:themeColor="text1"/>
                <w:sz w:val="24"/>
                <w:szCs w:val="24"/>
              </w:rPr>
              <w:t xml:space="preserve">Managed by the Mangrove Resource Development Station </w:t>
            </w:r>
            <w:r w:rsidRPr="00792B36">
              <w:rPr>
                <w:rFonts w:eastAsia="Times New Roman"/>
                <w:color w:val="000000" w:themeColor="text1"/>
                <w:sz w:val="24"/>
                <w:szCs w:val="24"/>
                <w:cs/>
              </w:rPr>
              <w:t>2 (</w:t>
            </w:r>
            <w:r w:rsidRPr="00792B36">
              <w:rPr>
                <w:rFonts w:eastAsia="Times New Roman"/>
                <w:color w:val="000000" w:themeColor="text1"/>
                <w:sz w:val="24"/>
                <w:szCs w:val="24"/>
              </w:rPr>
              <w:t xml:space="preserve">DMCR); research and </w:t>
            </w:r>
            <w:r w:rsidRPr="00792B36">
              <w:rPr>
                <w:rFonts w:eastAsia="Times New Roman"/>
                <w:color w:val="000000" w:themeColor="text1"/>
                <w:sz w:val="24"/>
                <w:szCs w:val="24"/>
              </w:rPr>
              <w:lastRenderedPageBreak/>
              <w:t>restoration in partnership with local communities and universities.</w:t>
            </w:r>
          </w:p>
        </w:tc>
        <w:tc>
          <w:tcPr>
            <w:tcW w:w="1188" w:type="pct"/>
            <w:tcMar>
              <w:top w:w="0" w:type="dxa"/>
              <w:left w:w="45" w:type="dxa"/>
              <w:bottom w:w="0" w:type="dxa"/>
              <w:right w:w="45" w:type="dxa"/>
            </w:tcMar>
          </w:tcPr>
          <w:p w14:paraId="0A664FD7" w14:textId="77777777" w:rsidR="009A0A63" w:rsidRPr="00792B36" w:rsidRDefault="009A0A63" w:rsidP="00A24459">
            <w:pPr>
              <w:rPr>
                <w:rFonts w:eastAsia="Times New Roman"/>
                <w:color w:val="000000" w:themeColor="text1"/>
                <w:sz w:val="24"/>
                <w:szCs w:val="24"/>
              </w:rPr>
            </w:pPr>
            <w:r w:rsidRPr="00792B36">
              <w:rPr>
                <w:rFonts w:eastAsia="Times New Roman"/>
                <w:color w:val="000000" w:themeColor="text1"/>
                <w:sz w:val="24"/>
                <w:szCs w:val="24"/>
              </w:rPr>
              <w:lastRenderedPageBreak/>
              <w:t>Commercial Use:</w:t>
            </w:r>
          </w:p>
          <w:p w14:paraId="1211A9D3" w14:textId="77777777" w:rsidR="009A0A63" w:rsidRPr="00792B36" w:rsidRDefault="009A0A63" w:rsidP="00A24459">
            <w:pPr>
              <w:rPr>
                <w:rFonts w:eastAsia="Times New Roman"/>
                <w:color w:val="000000" w:themeColor="text1"/>
                <w:sz w:val="24"/>
                <w:szCs w:val="24"/>
                <w:highlight w:val="yellow"/>
              </w:rPr>
            </w:pPr>
            <w:r w:rsidRPr="00792B36">
              <w:rPr>
                <w:rFonts w:eastAsia="Times New Roman"/>
                <w:color w:val="000000" w:themeColor="text1"/>
                <w:sz w:val="24"/>
                <w:szCs w:val="24"/>
              </w:rPr>
              <w:t xml:space="preserve">The estuary supports small-scale and commercial fisheries, aquaculture </w:t>
            </w:r>
            <w:r w:rsidRPr="00792B36">
              <w:rPr>
                <w:rFonts w:eastAsia="Times New Roman"/>
                <w:color w:val="000000" w:themeColor="text1"/>
                <w:sz w:val="24"/>
                <w:szCs w:val="24"/>
              </w:rPr>
              <w:lastRenderedPageBreak/>
              <w:t>(mainly shrimp and shellfish farms), and small-boat transport connecting local communities to the Gulf of Thailand. Ecotourism and community-based tourism activities—such as mangrove trails, birdwatching, and educational tours—are also growing.</w:t>
            </w:r>
          </w:p>
          <w:p w14:paraId="4AACB867" w14:textId="77777777" w:rsidR="009A0A63" w:rsidRPr="00792B36" w:rsidRDefault="009A0A63" w:rsidP="00A24459">
            <w:pPr>
              <w:rPr>
                <w:rFonts w:eastAsia="Times New Roman"/>
                <w:color w:val="000000" w:themeColor="text1"/>
                <w:sz w:val="24"/>
                <w:szCs w:val="24"/>
              </w:rPr>
            </w:pPr>
            <w:r w:rsidRPr="00792B36">
              <w:rPr>
                <w:rFonts w:eastAsia="Times New Roman"/>
                <w:color w:val="000000" w:themeColor="text1"/>
                <w:sz w:val="24"/>
                <w:szCs w:val="24"/>
              </w:rPr>
              <w:t>Subsistence Use:</w:t>
            </w:r>
          </w:p>
          <w:p w14:paraId="5F2B1C76" w14:textId="77777777" w:rsidR="009A0A63" w:rsidRPr="00792B36" w:rsidRDefault="009A0A63" w:rsidP="00A24459">
            <w:pPr>
              <w:rPr>
                <w:rFonts w:eastAsia="Times New Roman"/>
                <w:color w:val="000000" w:themeColor="text1"/>
                <w:sz w:val="24"/>
                <w:szCs w:val="24"/>
                <w:highlight w:val="yellow"/>
              </w:rPr>
            </w:pPr>
            <w:r w:rsidRPr="00792B36">
              <w:rPr>
                <w:rFonts w:eastAsia="Times New Roman"/>
                <w:color w:val="000000" w:themeColor="text1"/>
                <w:sz w:val="24"/>
                <w:szCs w:val="24"/>
              </w:rPr>
              <w:t>Local villagers depend on the estuary for daily livelihoods through harvesting shellfish, crabs, and small fish from mudflats and mangrove creeks. They also use mangrove resources for fuelwood, honey, and traditional medicine. Many households combine small-scale aquaculture with seasonal fishing to maintain food security and supplement income year-round.</w:t>
            </w:r>
          </w:p>
        </w:tc>
        <w:tc>
          <w:tcPr>
            <w:tcW w:w="1241" w:type="pct"/>
            <w:tcMar>
              <w:top w:w="0" w:type="dxa"/>
              <w:left w:w="45" w:type="dxa"/>
              <w:bottom w:w="0" w:type="dxa"/>
              <w:right w:w="45" w:type="dxa"/>
            </w:tcMar>
          </w:tcPr>
          <w:p w14:paraId="13EFBAEE" w14:textId="77777777" w:rsidR="009A0A63" w:rsidRPr="00792B36" w:rsidRDefault="009A0A63" w:rsidP="00A24459">
            <w:pPr>
              <w:rPr>
                <w:rFonts w:eastAsia="Times New Roman"/>
                <w:color w:val="000000" w:themeColor="text1"/>
                <w:sz w:val="24"/>
                <w:szCs w:val="24"/>
              </w:rPr>
            </w:pPr>
            <w:r w:rsidRPr="00792B36">
              <w:rPr>
                <w:rFonts w:eastAsia="Times New Roman"/>
                <w:color w:val="000000" w:themeColor="text1"/>
                <w:sz w:val="24"/>
                <w:szCs w:val="24"/>
              </w:rPr>
              <w:lastRenderedPageBreak/>
              <w:t xml:space="preserve">Formal co-management with communities; interpretive trails &amp; eco-tourism upgrades; blue-carbon </w:t>
            </w:r>
            <w:r w:rsidRPr="00792B36">
              <w:rPr>
                <w:rFonts w:eastAsia="Times New Roman"/>
                <w:color w:val="000000" w:themeColor="text1"/>
                <w:sz w:val="24"/>
                <w:szCs w:val="24"/>
              </w:rPr>
              <w:lastRenderedPageBreak/>
              <w:t>projects and rehabilitation of degraded patches.</w:t>
            </w:r>
          </w:p>
        </w:tc>
      </w:tr>
      <w:tr w:rsidR="009A0A63" w:rsidRPr="00792B36" w14:paraId="0FEE2DD9" w14:textId="77777777" w:rsidTr="00A24459">
        <w:trPr>
          <w:trHeight w:val="315"/>
        </w:trPr>
        <w:tc>
          <w:tcPr>
            <w:tcW w:w="1014" w:type="pct"/>
            <w:vAlign w:val="center"/>
          </w:tcPr>
          <w:p w14:paraId="125264EA" w14:textId="77777777" w:rsidR="009A0A63" w:rsidRPr="00792B36" w:rsidRDefault="009A0A63" w:rsidP="00A24459">
            <w:pPr>
              <w:rPr>
                <w:b/>
                <w:bCs/>
                <w:color w:val="000000" w:themeColor="text1"/>
                <w:sz w:val="24"/>
                <w:szCs w:val="24"/>
              </w:rPr>
            </w:pPr>
            <w:r w:rsidRPr="00792B36">
              <w:rPr>
                <w:rStyle w:val="Strong"/>
                <w:rFonts w:eastAsiaTheme="minorEastAsia"/>
                <w:color w:val="000000" w:themeColor="text1"/>
                <w:sz w:val="24"/>
                <w:szCs w:val="24"/>
              </w:rPr>
              <w:lastRenderedPageBreak/>
              <w:t>MG2: Bandon Bay</w:t>
            </w:r>
          </w:p>
        </w:tc>
        <w:tc>
          <w:tcPr>
            <w:tcW w:w="509" w:type="pct"/>
          </w:tcPr>
          <w:p w14:paraId="7DF62BF6" w14:textId="77777777" w:rsidR="009A0A63" w:rsidRPr="00792B36" w:rsidRDefault="009A0A63" w:rsidP="00A24459">
            <w:pPr>
              <w:jc w:val="center"/>
              <w:rPr>
                <w:rFonts w:eastAsia="Times New Roman"/>
                <w:color w:val="000000" w:themeColor="text1"/>
                <w:sz w:val="24"/>
                <w:szCs w:val="24"/>
              </w:rPr>
            </w:pPr>
            <w:r w:rsidRPr="00792B36">
              <w:rPr>
                <w:rFonts w:eastAsia="Times New Roman"/>
                <w:color w:val="000000" w:themeColor="text1"/>
                <w:sz w:val="24"/>
                <w:szCs w:val="24"/>
              </w:rPr>
              <w:t>State</w:t>
            </w:r>
          </w:p>
          <w:p w14:paraId="68017D18" w14:textId="77777777" w:rsidR="009A0A63" w:rsidRPr="00792B36" w:rsidRDefault="009A0A63" w:rsidP="00A24459">
            <w:pPr>
              <w:jc w:val="center"/>
              <w:rPr>
                <w:rFonts w:eastAsia="Times New Roman"/>
                <w:color w:val="000000" w:themeColor="text1"/>
                <w:sz w:val="24"/>
                <w:szCs w:val="24"/>
              </w:rPr>
            </w:pPr>
          </w:p>
        </w:tc>
        <w:tc>
          <w:tcPr>
            <w:tcW w:w="1047" w:type="pct"/>
            <w:tcMar>
              <w:top w:w="0" w:type="dxa"/>
              <w:left w:w="45" w:type="dxa"/>
              <w:bottom w:w="0" w:type="dxa"/>
              <w:right w:w="45" w:type="dxa"/>
            </w:tcMar>
          </w:tcPr>
          <w:p w14:paraId="1C28DDCF" w14:textId="77777777" w:rsidR="009A0A63" w:rsidRPr="00792B36" w:rsidRDefault="009A0A63" w:rsidP="00A24459">
            <w:pPr>
              <w:rPr>
                <w:rFonts w:eastAsia="Times New Roman"/>
                <w:color w:val="000000" w:themeColor="text1"/>
                <w:sz w:val="24"/>
                <w:szCs w:val="24"/>
              </w:rPr>
            </w:pPr>
            <w:r w:rsidRPr="00792B36">
              <w:rPr>
                <w:rFonts w:eastAsia="Times New Roman"/>
                <w:color w:val="000000" w:themeColor="text1"/>
                <w:sz w:val="24"/>
                <w:szCs w:val="24"/>
              </w:rPr>
              <w:t xml:space="preserve">Multi-agency: Department of Fisheries </w:t>
            </w:r>
            <w:r w:rsidRPr="00792B36">
              <w:rPr>
                <w:rFonts w:eastAsia="Times New Roman"/>
                <w:color w:val="000000" w:themeColor="text1"/>
                <w:sz w:val="24"/>
                <w:szCs w:val="24"/>
              </w:rPr>
              <w:lastRenderedPageBreak/>
              <w:t>(mariculture, water quality) and DMCR for mangroves; provincial integrated coastal management and mariculture-zoning initiatives.</w:t>
            </w:r>
          </w:p>
        </w:tc>
        <w:tc>
          <w:tcPr>
            <w:tcW w:w="1188" w:type="pct"/>
            <w:tcMar>
              <w:top w:w="0" w:type="dxa"/>
              <w:left w:w="45" w:type="dxa"/>
              <w:bottom w:w="0" w:type="dxa"/>
              <w:right w:w="45" w:type="dxa"/>
            </w:tcMar>
          </w:tcPr>
          <w:p w14:paraId="66D20ABD" w14:textId="77777777" w:rsidR="009A0A63" w:rsidRPr="00792B36" w:rsidRDefault="009A0A63" w:rsidP="00A24459">
            <w:pPr>
              <w:rPr>
                <w:rFonts w:eastAsia="Times New Roman"/>
                <w:color w:val="000000" w:themeColor="text1"/>
                <w:sz w:val="24"/>
                <w:szCs w:val="24"/>
              </w:rPr>
            </w:pPr>
            <w:r w:rsidRPr="00792B36">
              <w:rPr>
                <w:rFonts w:eastAsia="Times New Roman"/>
                <w:color w:val="000000" w:themeColor="text1"/>
                <w:sz w:val="24"/>
                <w:szCs w:val="24"/>
              </w:rPr>
              <w:lastRenderedPageBreak/>
              <w:t>Commercial Use:</w:t>
            </w:r>
          </w:p>
          <w:p w14:paraId="22F2EBE0" w14:textId="77777777" w:rsidR="009A0A63" w:rsidRPr="00792B36" w:rsidRDefault="009A0A63" w:rsidP="00A24459">
            <w:pPr>
              <w:rPr>
                <w:rFonts w:eastAsia="Times New Roman"/>
                <w:color w:val="000000" w:themeColor="text1"/>
                <w:sz w:val="24"/>
                <w:szCs w:val="24"/>
                <w:highlight w:val="yellow"/>
              </w:rPr>
            </w:pPr>
            <w:r w:rsidRPr="00792B36">
              <w:rPr>
                <w:rFonts w:eastAsia="Times New Roman"/>
                <w:color w:val="000000" w:themeColor="text1"/>
                <w:sz w:val="24"/>
                <w:szCs w:val="24"/>
              </w:rPr>
              <w:t xml:space="preserve">Bandon Bay is a major </w:t>
            </w:r>
            <w:r w:rsidRPr="00792B36">
              <w:rPr>
                <w:rFonts w:eastAsia="Times New Roman"/>
                <w:color w:val="000000" w:themeColor="text1"/>
                <w:sz w:val="24"/>
                <w:szCs w:val="24"/>
              </w:rPr>
              <w:lastRenderedPageBreak/>
              <w:t>fishing and aquaculture zone in southern Thailand, supporting large-scale shrimp, crab, and oyster farming that supplies both local and export markets. The bay also serves as a key waterway for fishing and transport activities, while community-based ecotourism and seafood-related tourism are expanding along the coast.</w:t>
            </w:r>
          </w:p>
          <w:p w14:paraId="5C4FA37A" w14:textId="77777777" w:rsidR="009A0A63" w:rsidRPr="00792B36" w:rsidRDefault="009A0A63" w:rsidP="00A24459">
            <w:pPr>
              <w:rPr>
                <w:rFonts w:eastAsia="Times New Roman"/>
                <w:color w:val="000000" w:themeColor="text1"/>
                <w:sz w:val="24"/>
                <w:szCs w:val="24"/>
              </w:rPr>
            </w:pPr>
            <w:r w:rsidRPr="00792B36">
              <w:rPr>
                <w:rFonts w:eastAsia="Times New Roman"/>
                <w:color w:val="000000" w:themeColor="text1"/>
                <w:sz w:val="24"/>
                <w:szCs w:val="24"/>
              </w:rPr>
              <w:t>Subsistence Use:</w:t>
            </w:r>
          </w:p>
          <w:p w14:paraId="763F5483" w14:textId="77777777" w:rsidR="009A0A63" w:rsidRPr="00792B36" w:rsidRDefault="009A0A63" w:rsidP="00A24459">
            <w:pPr>
              <w:rPr>
                <w:rFonts w:eastAsia="Times New Roman"/>
                <w:color w:val="000000" w:themeColor="text1"/>
                <w:sz w:val="24"/>
                <w:szCs w:val="24"/>
                <w:highlight w:val="yellow"/>
              </w:rPr>
            </w:pPr>
            <w:r w:rsidRPr="00792B36">
              <w:rPr>
                <w:rFonts w:eastAsia="Times New Roman"/>
                <w:color w:val="000000" w:themeColor="text1"/>
                <w:sz w:val="24"/>
                <w:szCs w:val="24"/>
              </w:rPr>
              <w:t xml:space="preserve">Local communities rely on traditional fishing and shellfish collection from mangrove creeks </w:t>
            </w:r>
            <w:r w:rsidRPr="00792B36">
              <w:rPr>
                <w:rFonts w:eastAsia="Times New Roman"/>
                <w:color w:val="000000" w:themeColor="text1"/>
                <w:spacing w:val="-4"/>
                <w:sz w:val="24"/>
                <w:szCs w:val="24"/>
              </w:rPr>
              <w:t>and tidal flats for food and income.</w:t>
            </w:r>
            <w:r w:rsidRPr="00792B36">
              <w:rPr>
                <w:rFonts w:eastAsia="Times New Roman"/>
                <w:color w:val="000000" w:themeColor="text1"/>
                <w:sz w:val="24"/>
                <w:szCs w:val="24"/>
              </w:rPr>
              <w:t xml:space="preserve"> Mangrove forests provide essential household resources such as fuelwood and honey. Many families integrate small-scale aquaculture, seasonal fishing, and ecotourism activities to sustain year-round livelihoods and maintain food security.</w:t>
            </w:r>
          </w:p>
        </w:tc>
        <w:tc>
          <w:tcPr>
            <w:tcW w:w="1241" w:type="pct"/>
            <w:tcMar>
              <w:top w:w="0" w:type="dxa"/>
              <w:left w:w="45" w:type="dxa"/>
              <w:bottom w:w="0" w:type="dxa"/>
              <w:right w:w="45" w:type="dxa"/>
            </w:tcMar>
          </w:tcPr>
          <w:p w14:paraId="769A1395" w14:textId="77777777" w:rsidR="009A0A63" w:rsidRPr="00792B36" w:rsidRDefault="009A0A63" w:rsidP="00A24459">
            <w:pPr>
              <w:rPr>
                <w:rFonts w:eastAsia="Times New Roman"/>
                <w:color w:val="000000" w:themeColor="text1"/>
                <w:sz w:val="24"/>
                <w:szCs w:val="24"/>
              </w:rPr>
            </w:pPr>
            <w:r w:rsidRPr="00792B36">
              <w:rPr>
                <w:rFonts w:eastAsia="Times New Roman"/>
                <w:color w:val="000000" w:themeColor="text1"/>
                <w:sz w:val="24"/>
                <w:szCs w:val="24"/>
              </w:rPr>
              <w:lastRenderedPageBreak/>
              <w:t xml:space="preserve">Formal marine-use zoning; wastewater/pollution </w:t>
            </w:r>
            <w:r w:rsidRPr="00792B36">
              <w:rPr>
                <w:rFonts w:eastAsia="Times New Roman"/>
                <w:color w:val="000000" w:themeColor="text1"/>
                <w:sz w:val="24"/>
                <w:szCs w:val="24"/>
              </w:rPr>
              <w:lastRenderedPageBreak/>
              <w:t>reduction; mangrove &amp; tidal-flat restoration; sustainable shellfish eco-label/traceability.</w:t>
            </w:r>
          </w:p>
        </w:tc>
      </w:tr>
      <w:tr w:rsidR="009A0A63" w:rsidRPr="00792B36" w14:paraId="43E3E567" w14:textId="77777777" w:rsidTr="00A24459">
        <w:trPr>
          <w:trHeight w:val="315"/>
        </w:trPr>
        <w:tc>
          <w:tcPr>
            <w:tcW w:w="1014" w:type="pct"/>
            <w:vAlign w:val="center"/>
          </w:tcPr>
          <w:p w14:paraId="3F6194E8" w14:textId="77777777" w:rsidR="009A0A63" w:rsidRPr="00792B36" w:rsidRDefault="009A0A63" w:rsidP="00A24459">
            <w:pPr>
              <w:rPr>
                <w:b/>
                <w:bCs/>
                <w:color w:val="000000" w:themeColor="text1"/>
                <w:sz w:val="24"/>
                <w:szCs w:val="24"/>
              </w:rPr>
            </w:pPr>
            <w:r w:rsidRPr="00792B36">
              <w:rPr>
                <w:rStyle w:val="Strong"/>
                <w:rFonts w:eastAsiaTheme="minorEastAsia"/>
                <w:color w:val="000000" w:themeColor="text1"/>
                <w:sz w:val="24"/>
                <w:szCs w:val="24"/>
              </w:rPr>
              <w:lastRenderedPageBreak/>
              <w:t>MG3: Pak Panang Bay</w:t>
            </w:r>
          </w:p>
        </w:tc>
        <w:tc>
          <w:tcPr>
            <w:tcW w:w="509" w:type="pct"/>
          </w:tcPr>
          <w:p w14:paraId="1D9A4F2A" w14:textId="77777777" w:rsidR="009A0A63" w:rsidRPr="00792B36" w:rsidRDefault="009A0A63" w:rsidP="00A24459">
            <w:pPr>
              <w:jc w:val="center"/>
              <w:rPr>
                <w:rFonts w:eastAsia="Times New Roman"/>
                <w:color w:val="000000" w:themeColor="text1"/>
                <w:sz w:val="24"/>
                <w:szCs w:val="24"/>
              </w:rPr>
            </w:pPr>
            <w:r w:rsidRPr="00792B36">
              <w:rPr>
                <w:rFonts w:eastAsia="Times New Roman"/>
                <w:color w:val="000000" w:themeColor="text1"/>
                <w:sz w:val="24"/>
                <w:szCs w:val="24"/>
              </w:rPr>
              <w:t>State</w:t>
            </w:r>
          </w:p>
        </w:tc>
        <w:tc>
          <w:tcPr>
            <w:tcW w:w="1047" w:type="pct"/>
            <w:tcMar>
              <w:top w:w="0" w:type="dxa"/>
              <w:left w:w="45" w:type="dxa"/>
              <w:bottom w:w="0" w:type="dxa"/>
              <w:right w:w="45" w:type="dxa"/>
            </w:tcMar>
          </w:tcPr>
          <w:p w14:paraId="43DBD1A7" w14:textId="77777777" w:rsidR="009A0A63" w:rsidRPr="00792B36" w:rsidRDefault="009A0A63" w:rsidP="00A24459">
            <w:pPr>
              <w:rPr>
                <w:rFonts w:eastAsia="Times New Roman"/>
                <w:color w:val="000000" w:themeColor="text1"/>
                <w:sz w:val="24"/>
                <w:szCs w:val="24"/>
              </w:rPr>
            </w:pPr>
            <w:r w:rsidRPr="00792B36">
              <w:rPr>
                <w:rFonts w:eastAsia="Times New Roman"/>
                <w:color w:val="000000" w:themeColor="text1"/>
                <w:sz w:val="24"/>
                <w:szCs w:val="24"/>
              </w:rPr>
              <w:t xml:space="preserve">Part of the Pak Phanang </w:t>
            </w:r>
            <w:r w:rsidRPr="00792B36">
              <w:rPr>
                <w:rFonts w:eastAsia="Times New Roman"/>
                <w:color w:val="000000" w:themeColor="text1"/>
                <w:sz w:val="24"/>
                <w:szCs w:val="24"/>
              </w:rPr>
              <w:lastRenderedPageBreak/>
              <w:t>River Basin development/sluice scheme (RID); state mangroves under protection and replanting (DMCR); requires cross-agency ICM.</w:t>
            </w:r>
          </w:p>
        </w:tc>
        <w:tc>
          <w:tcPr>
            <w:tcW w:w="1188" w:type="pct"/>
            <w:tcMar>
              <w:top w:w="0" w:type="dxa"/>
              <w:left w:w="45" w:type="dxa"/>
              <w:bottom w:w="0" w:type="dxa"/>
              <w:right w:w="45" w:type="dxa"/>
            </w:tcMar>
          </w:tcPr>
          <w:p w14:paraId="6306D3E0" w14:textId="77777777" w:rsidR="009A0A63" w:rsidRPr="00792B36" w:rsidRDefault="009A0A63" w:rsidP="00A24459">
            <w:pPr>
              <w:rPr>
                <w:rFonts w:eastAsia="Times New Roman"/>
                <w:color w:val="000000" w:themeColor="text1"/>
                <w:sz w:val="24"/>
                <w:szCs w:val="24"/>
              </w:rPr>
            </w:pPr>
            <w:r w:rsidRPr="00792B36">
              <w:rPr>
                <w:rFonts w:eastAsia="Times New Roman"/>
                <w:color w:val="000000" w:themeColor="text1"/>
                <w:sz w:val="24"/>
                <w:szCs w:val="24"/>
              </w:rPr>
              <w:lastRenderedPageBreak/>
              <w:t>Commercial Use:</w:t>
            </w:r>
          </w:p>
          <w:p w14:paraId="17FB1AE9" w14:textId="77777777" w:rsidR="009A0A63" w:rsidRPr="00792B36" w:rsidRDefault="009A0A63" w:rsidP="00A24459">
            <w:pPr>
              <w:rPr>
                <w:rFonts w:eastAsia="Times New Roman"/>
                <w:color w:val="000000" w:themeColor="text1"/>
                <w:sz w:val="24"/>
                <w:szCs w:val="24"/>
              </w:rPr>
            </w:pPr>
            <w:r w:rsidRPr="00792B36">
              <w:rPr>
                <w:rFonts w:eastAsia="Times New Roman"/>
                <w:color w:val="000000" w:themeColor="text1"/>
                <w:sz w:val="24"/>
                <w:szCs w:val="24"/>
              </w:rPr>
              <w:lastRenderedPageBreak/>
              <w:t>Pak Panang Bay supports major fisheries and aquaculture activities, particularly shrimp, crab, and shellfish farming, which drive the local economy. The bay also functions as a vital fishing and transport route, facilitating seafood trade and coastal commerce. Ecotourism and wetland-based tourism, focusing on mangroves, birds, and coastal culture, are emerging economic opportunities.</w:t>
            </w:r>
          </w:p>
          <w:p w14:paraId="17440AA7" w14:textId="77777777" w:rsidR="009A0A63" w:rsidRPr="00792B36" w:rsidRDefault="009A0A63" w:rsidP="00A24459">
            <w:pPr>
              <w:rPr>
                <w:rFonts w:eastAsia="Times New Roman"/>
                <w:color w:val="000000" w:themeColor="text1"/>
                <w:sz w:val="24"/>
                <w:szCs w:val="24"/>
              </w:rPr>
            </w:pPr>
            <w:r w:rsidRPr="00792B36">
              <w:rPr>
                <w:rFonts w:eastAsia="Times New Roman"/>
                <w:color w:val="000000" w:themeColor="text1"/>
                <w:sz w:val="24"/>
                <w:szCs w:val="24"/>
              </w:rPr>
              <w:t>Subsistence Use:</w:t>
            </w:r>
          </w:p>
          <w:p w14:paraId="28597060" w14:textId="77777777" w:rsidR="009A0A63" w:rsidRPr="00792B36" w:rsidRDefault="009A0A63" w:rsidP="00A24459">
            <w:pPr>
              <w:rPr>
                <w:rFonts w:eastAsia="Times New Roman"/>
                <w:color w:val="000000" w:themeColor="text1"/>
                <w:sz w:val="24"/>
                <w:szCs w:val="24"/>
              </w:rPr>
            </w:pPr>
            <w:r w:rsidRPr="00792B36">
              <w:rPr>
                <w:rFonts w:eastAsia="Times New Roman"/>
                <w:color w:val="000000" w:themeColor="text1"/>
                <w:sz w:val="24"/>
                <w:szCs w:val="24"/>
              </w:rPr>
              <w:t xml:space="preserve">Local communities depend on traditional fishing, shellfish gathering, and small-scale aquaculture for household food and income. Mangrove forests provide essential resources such as fuelwood, honey, and medicinal plants. Many families practice mixed livelihoods, combining natural resource use, farming, and community </w:t>
            </w:r>
            <w:r w:rsidRPr="00792B36">
              <w:rPr>
                <w:rFonts w:eastAsia="Times New Roman"/>
                <w:color w:val="000000" w:themeColor="text1"/>
                <w:sz w:val="24"/>
                <w:szCs w:val="24"/>
              </w:rPr>
              <w:lastRenderedPageBreak/>
              <w:t>tourism to sustain food security and adapt to changing environmental and economic conditions.</w:t>
            </w:r>
          </w:p>
        </w:tc>
        <w:tc>
          <w:tcPr>
            <w:tcW w:w="1241" w:type="pct"/>
            <w:tcMar>
              <w:top w:w="0" w:type="dxa"/>
              <w:left w:w="45" w:type="dxa"/>
              <w:bottom w:w="0" w:type="dxa"/>
              <w:right w:w="45" w:type="dxa"/>
            </w:tcMar>
          </w:tcPr>
          <w:p w14:paraId="0A38E633" w14:textId="77777777" w:rsidR="009A0A63" w:rsidRPr="00792B36" w:rsidRDefault="009A0A63" w:rsidP="00A24459">
            <w:pPr>
              <w:rPr>
                <w:rFonts w:eastAsia="Times New Roman"/>
                <w:color w:val="000000" w:themeColor="text1"/>
                <w:sz w:val="24"/>
                <w:szCs w:val="24"/>
              </w:rPr>
            </w:pPr>
            <w:r w:rsidRPr="00792B36">
              <w:rPr>
                <w:rFonts w:eastAsia="Times New Roman"/>
                <w:color w:val="000000" w:themeColor="text1"/>
                <w:sz w:val="24"/>
                <w:szCs w:val="24"/>
              </w:rPr>
              <w:lastRenderedPageBreak/>
              <w:t xml:space="preserve">Integrated Coastal </w:t>
            </w:r>
            <w:r w:rsidRPr="00792B36">
              <w:rPr>
                <w:rFonts w:eastAsia="Times New Roman"/>
                <w:color w:val="000000" w:themeColor="text1"/>
                <w:sz w:val="24"/>
                <w:szCs w:val="24"/>
              </w:rPr>
              <w:lastRenderedPageBreak/>
              <w:t>Management with clear activity zones; expand mangrove rehabilitation; continuous water-quality &amp; sediment monitoring.</w:t>
            </w:r>
          </w:p>
        </w:tc>
      </w:tr>
      <w:tr w:rsidR="009A0A63" w:rsidRPr="00792B36" w14:paraId="21E2D75D" w14:textId="77777777" w:rsidTr="00A24459">
        <w:trPr>
          <w:trHeight w:val="315"/>
        </w:trPr>
        <w:tc>
          <w:tcPr>
            <w:tcW w:w="1014" w:type="pct"/>
            <w:vAlign w:val="center"/>
          </w:tcPr>
          <w:p w14:paraId="18E48713" w14:textId="77777777" w:rsidR="009A0A63" w:rsidRPr="00792B36" w:rsidRDefault="009A0A63" w:rsidP="00A24459">
            <w:pPr>
              <w:rPr>
                <w:rStyle w:val="Strong"/>
                <w:rFonts w:eastAsiaTheme="minorEastAsia"/>
                <w:b w:val="0"/>
                <w:bCs w:val="0"/>
                <w:color w:val="000000" w:themeColor="text1"/>
                <w:sz w:val="24"/>
                <w:szCs w:val="24"/>
              </w:rPr>
            </w:pPr>
            <w:r w:rsidRPr="00792B36">
              <w:rPr>
                <w:rStyle w:val="Strong"/>
                <w:rFonts w:eastAsiaTheme="minorEastAsia"/>
                <w:color w:val="000000" w:themeColor="text1"/>
                <w:sz w:val="24"/>
                <w:szCs w:val="24"/>
              </w:rPr>
              <w:lastRenderedPageBreak/>
              <w:t>MG: Samut Prakan Province</w:t>
            </w:r>
          </w:p>
        </w:tc>
        <w:tc>
          <w:tcPr>
            <w:tcW w:w="509" w:type="pct"/>
          </w:tcPr>
          <w:p w14:paraId="121E9189" w14:textId="77777777" w:rsidR="009A0A63" w:rsidRPr="00792B36" w:rsidRDefault="009A0A63" w:rsidP="00A24459">
            <w:pPr>
              <w:jc w:val="center"/>
              <w:rPr>
                <w:rFonts w:eastAsia="Times New Roman"/>
                <w:color w:val="000000" w:themeColor="text1"/>
                <w:sz w:val="24"/>
                <w:szCs w:val="24"/>
              </w:rPr>
            </w:pPr>
            <w:r w:rsidRPr="00792B36">
              <w:rPr>
                <w:rFonts w:eastAsia="Times New Roman"/>
                <w:color w:val="000000" w:themeColor="text1"/>
                <w:sz w:val="24"/>
                <w:szCs w:val="24"/>
              </w:rPr>
              <w:t>State</w:t>
            </w:r>
          </w:p>
        </w:tc>
        <w:tc>
          <w:tcPr>
            <w:tcW w:w="1047" w:type="pct"/>
            <w:tcMar>
              <w:top w:w="0" w:type="dxa"/>
              <w:left w:w="45" w:type="dxa"/>
              <w:bottom w:w="0" w:type="dxa"/>
              <w:right w:w="45" w:type="dxa"/>
            </w:tcMar>
          </w:tcPr>
          <w:p w14:paraId="39C20000" w14:textId="77777777" w:rsidR="009A0A63" w:rsidRPr="00792B36" w:rsidRDefault="009A0A63" w:rsidP="00A24459">
            <w:pPr>
              <w:rPr>
                <w:rFonts w:eastAsia="Times New Roman"/>
                <w:color w:val="000000" w:themeColor="text1"/>
                <w:sz w:val="24"/>
                <w:szCs w:val="24"/>
              </w:rPr>
            </w:pPr>
            <w:r w:rsidRPr="00792B36">
              <w:rPr>
                <w:rFonts w:eastAsia="Times New Roman"/>
                <w:color w:val="000000" w:themeColor="text1"/>
                <w:sz w:val="24"/>
                <w:szCs w:val="24"/>
              </w:rPr>
              <w:t>Key sites include Bang Pu Nature Education/Recreation Area (operated with the Royal Thai Army’s Quartermaster Dept. and partners); Bang Kachao / Sri Nakhon Khuean Khan Park under local/state arrangements; public-private mangrove restoration.</w:t>
            </w:r>
          </w:p>
        </w:tc>
        <w:tc>
          <w:tcPr>
            <w:tcW w:w="1188" w:type="pct"/>
            <w:tcMar>
              <w:top w:w="0" w:type="dxa"/>
              <w:left w:w="45" w:type="dxa"/>
              <w:bottom w:w="0" w:type="dxa"/>
              <w:right w:w="45" w:type="dxa"/>
            </w:tcMar>
          </w:tcPr>
          <w:p w14:paraId="6286C18F" w14:textId="77777777" w:rsidR="009A0A63" w:rsidRPr="00792B36" w:rsidRDefault="009A0A63" w:rsidP="00A24459">
            <w:pPr>
              <w:rPr>
                <w:rFonts w:eastAsia="Times New Roman"/>
                <w:color w:val="000000" w:themeColor="text1"/>
                <w:sz w:val="24"/>
                <w:szCs w:val="24"/>
              </w:rPr>
            </w:pPr>
            <w:r w:rsidRPr="00792B36">
              <w:rPr>
                <w:rFonts w:eastAsia="Times New Roman"/>
                <w:color w:val="000000" w:themeColor="text1"/>
                <w:sz w:val="24"/>
                <w:szCs w:val="24"/>
              </w:rPr>
              <w:t>Commercial Use:</w:t>
            </w:r>
          </w:p>
          <w:p w14:paraId="66BC88AD" w14:textId="77777777" w:rsidR="009A0A63" w:rsidRPr="00792B36" w:rsidRDefault="009A0A63" w:rsidP="00A24459">
            <w:pPr>
              <w:rPr>
                <w:rFonts w:eastAsia="Times New Roman"/>
                <w:color w:val="000000" w:themeColor="text1"/>
                <w:sz w:val="24"/>
                <w:szCs w:val="24"/>
              </w:rPr>
            </w:pPr>
            <w:r w:rsidRPr="00792B36">
              <w:rPr>
                <w:rFonts w:eastAsia="Times New Roman"/>
                <w:color w:val="000000" w:themeColor="text1"/>
                <w:sz w:val="24"/>
                <w:szCs w:val="24"/>
              </w:rPr>
              <w:t xml:space="preserve">Samut Prakan serves as a major industrial and coastal economic hub, with activities including marine and estuarine fisheries, aquaculture, seafood processing, and port operations. The lower </w:t>
            </w:r>
            <w:r w:rsidRPr="00792B36">
              <w:rPr>
                <w:rFonts w:eastAsia="Times New Roman"/>
                <w:color w:val="000000" w:themeColor="text1"/>
                <w:spacing w:val="-6"/>
                <w:sz w:val="24"/>
                <w:szCs w:val="24"/>
              </w:rPr>
              <w:t>Chao Phraya River estuary supports</w:t>
            </w:r>
            <w:r w:rsidRPr="00792B36">
              <w:rPr>
                <w:rFonts w:eastAsia="Times New Roman"/>
                <w:color w:val="000000" w:themeColor="text1"/>
                <w:sz w:val="24"/>
                <w:szCs w:val="24"/>
              </w:rPr>
              <w:t xml:space="preserve"> shrimp and fish farms, while offshore fishing in the upper Gulf of Thailand remains active. Rapid urbanization and industrial expansion have transformed coastal landscapes, increasing demand for land reclamation, logistics, and coastal infrastructure.</w:t>
            </w:r>
          </w:p>
          <w:p w14:paraId="69D44D1B" w14:textId="77777777" w:rsidR="009A0A63" w:rsidRPr="00792B36" w:rsidRDefault="009A0A63" w:rsidP="00A24459">
            <w:pPr>
              <w:rPr>
                <w:rFonts w:eastAsia="Times New Roman"/>
                <w:color w:val="000000" w:themeColor="text1"/>
                <w:sz w:val="24"/>
                <w:szCs w:val="24"/>
              </w:rPr>
            </w:pPr>
            <w:r w:rsidRPr="00792B36">
              <w:rPr>
                <w:rFonts w:eastAsia="Times New Roman"/>
                <w:color w:val="000000" w:themeColor="text1"/>
                <w:sz w:val="24"/>
                <w:szCs w:val="24"/>
              </w:rPr>
              <w:t>Subsistence Use:</w:t>
            </w:r>
          </w:p>
          <w:p w14:paraId="109EF31B" w14:textId="77777777" w:rsidR="009A0A63" w:rsidRPr="00792B36" w:rsidRDefault="009A0A63" w:rsidP="00A24459">
            <w:pPr>
              <w:rPr>
                <w:rFonts w:eastAsia="Times New Roman"/>
                <w:color w:val="000000" w:themeColor="text1"/>
                <w:sz w:val="24"/>
                <w:szCs w:val="24"/>
              </w:rPr>
            </w:pPr>
            <w:r w:rsidRPr="00792B36">
              <w:rPr>
                <w:rFonts w:eastAsia="Times New Roman"/>
                <w:color w:val="000000" w:themeColor="text1"/>
                <w:sz w:val="24"/>
                <w:szCs w:val="24"/>
              </w:rPr>
              <w:t xml:space="preserve">Traditional fishing and small-scale aquaculture still persist in some riverside and coastal communities, </w:t>
            </w:r>
            <w:r w:rsidRPr="00792B36">
              <w:rPr>
                <w:rFonts w:eastAsia="Times New Roman"/>
                <w:color w:val="000000" w:themeColor="text1"/>
                <w:sz w:val="24"/>
                <w:szCs w:val="24"/>
              </w:rPr>
              <w:lastRenderedPageBreak/>
              <w:t xml:space="preserve">providing food and supplementary income. Local residents also utilize remaining mangrove areas for small-scale </w:t>
            </w:r>
            <w:r w:rsidRPr="00792B36">
              <w:rPr>
                <w:rFonts w:eastAsia="Times New Roman"/>
                <w:color w:val="000000" w:themeColor="text1"/>
                <w:spacing w:val="-10"/>
                <w:sz w:val="24"/>
                <w:szCs w:val="24"/>
              </w:rPr>
              <w:t>resource gathering such as fuelwood</w:t>
            </w:r>
            <w:r w:rsidRPr="00792B36">
              <w:rPr>
                <w:rFonts w:eastAsia="Times New Roman"/>
                <w:color w:val="000000" w:themeColor="text1"/>
                <w:sz w:val="24"/>
                <w:szCs w:val="24"/>
              </w:rPr>
              <w:t xml:space="preserve"> and honey. Additionally, community-based mangrove restoration and eco-learning tourism projects have emerged, promoting environmental awareness and sustaining local livelihoods amid urban and industrial growth.</w:t>
            </w:r>
          </w:p>
        </w:tc>
        <w:tc>
          <w:tcPr>
            <w:tcW w:w="1241" w:type="pct"/>
            <w:tcMar>
              <w:top w:w="0" w:type="dxa"/>
              <w:left w:w="45" w:type="dxa"/>
              <w:bottom w:w="0" w:type="dxa"/>
              <w:right w:w="45" w:type="dxa"/>
            </w:tcMar>
          </w:tcPr>
          <w:p w14:paraId="3CE114AC" w14:textId="77777777" w:rsidR="009A0A63" w:rsidRPr="00792B36" w:rsidRDefault="009A0A63" w:rsidP="00A24459">
            <w:pPr>
              <w:rPr>
                <w:rFonts w:eastAsia="Times New Roman"/>
                <w:color w:val="000000" w:themeColor="text1"/>
                <w:sz w:val="24"/>
                <w:szCs w:val="24"/>
              </w:rPr>
            </w:pPr>
            <w:r w:rsidRPr="00792B36">
              <w:rPr>
                <w:rFonts w:eastAsia="Times New Roman"/>
                <w:color w:val="000000" w:themeColor="text1"/>
                <w:sz w:val="24"/>
                <w:szCs w:val="24"/>
              </w:rPr>
              <w:lastRenderedPageBreak/>
              <w:t>Listing/strengthening as a flyway network site for migratory waterbirds; ongoing CSR-led mangrove/blue-carbon projects; urban/industrial pollution control to coastal waters.</w:t>
            </w:r>
          </w:p>
        </w:tc>
      </w:tr>
      <w:tr w:rsidR="009A0A63" w:rsidRPr="00792B36" w14:paraId="3EC0EAF5" w14:textId="77777777" w:rsidTr="00A24459">
        <w:trPr>
          <w:trHeight w:val="315"/>
        </w:trPr>
        <w:tc>
          <w:tcPr>
            <w:tcW w:w="1014" w:type="pct"/>
            <w:vAlign w:val="center"/>
          </w:tcPr>
          <w:p w14:paraId="166CCC33" w14:textId="77777777" w:rsidR="009A0A63" w:rsidRPr="00792B36" w:rsidRDefault="009A0A63" w:rsidP="00A24459">
            <w:pPr>
              <w:rPr>
                <w:b/>
                <w:bCs/>
                <w:color w:val="000000" w:themeColor="text1"/>
                <w:sz w:val="24"/>
                <w:szCs w:val="24"/>
              </w:rPr>
            </w:pPr>
            <w:r w:rsidRPr="00792B36">
              <w:rPr>
                <w:rStyle w:val="Strong"/>
                <w:rFonts w:eastAsiaTheme="minorEastAsia"/>
                <w:color w:val="000000" w:themeColor="text1"/>
                <w:sz w:val="24"/>
                <w:szCs w:val="24"/>
              </w:rPr>
              <w:t>WL1: Don Hoi Lot</w:t>
            </w:r>
          </w:p>
        </w:tc>
        <w:tc>
          <w:tcPr>
            <w:tcW w:w="509" w:type="pct"/>
          </w:tcPr>
          <w:p w14:paraId="66E289F4" w14:textId="77777777" w:rsidR="009A0A63" w:rsidRPr="00792B36" w:rsidRDefault="009A0A63" w:rsidP="00A24459">
            <w:pPr>
              <w:jc w:val="center"/>
              <w:rPr>
                <w:rFonts w:eastAsia="Times New Roman"/>
                <w:color w:val="000000" w:themeColor="text1"/>
                <w:sz w:val="24"/>
                <w:szCs w:val="24"/>
              </w:rPr>
            </w:pPr>
            <w:r w:rsidRPr="00792B36">
              <w:rPr>
                <w:rFonts w:eastAsia="Times New Roman"/>
                <w:color w:val="000000" w:themeColor="text1"/>
                <w:sz w:val="24"/>
                <w:szCs w:val="24"/>
              </w:rPr>
              <w:t>State</w:t>
            </w:r>
          </w:p>
        </w:tc>
        <w:tc>
          <w:tcPr>
            <w:tcW w:w="1047" w:type="pct"/>
            <w:tcMar>
              <w:top w:w="0" w:type="dxa"/>
              <w:left w:w="45" w:type="dxa"/>
              <w:bottom w:w="0" w:type="dxa"/>
              <w:right w:w="45" w:type="dxa"/>
            </w:tcMar>
          </w:tcPr>
          <w:p w14:paraId="1BD35625" w14:textId="77777777" w:rsidR="009A0A63" w:rsidRPr="00792B36" w:rsidRDefault="009A0A63" w:rsidP="00A24459">
            <w:pPr>
              <w:rPr>
                <w:rFonts w:eastAsia="Times New Roman"/>
                <w:color w:val="000000" w:themeColor="text1"/>
                <w:sz w:val="24"/>
                <w:szCs w:val="24"/>
              </w:rPr>
            </w:pPr>
            <w:r w:rsidRPr="00792B36">
              <w:rPr>
                <w:rFonts w:eastAsia="Times New Roman"/>
                <w:color w:val="000000" w:themeColor="text1"/>
                <w:sz w:val="24"/>
                <w:szCs w:val="24"/>
              </w:rPr>
              <w:t>Ramsar-listed wetland (Don Hoi Lot); nationally designated Restricted Preservation Area with an approved site management plan.</w:t>
            </w:r>
          </w:p>
        </w:tc>
        <w:tc>
          <w:tcPr>
            <w:tcW w:w="1188" w:type="pct"/>
            <w:tcMar>
              <w:top w:w="0" w:type="dxa"/>
              <w:left w:w="45" w:type="dxa"/>
              <w:bottom w:w="0" w:type="dxa"/>
              <w:right w:w="45" w:type="dxa"/>
            </w:tcMar>
          </w:tcPr>
          <w:p w14:paraId="159C90A0" w14:textId="77777777" w:rsidR="009A0A63" w:rsidRPr="00792B36" w:rsidRDefault="009A0A63" w:rsidP="00A24459">
            <w:pPr>
              <w:rPr>
                <w:rFonts w:eastAsia="Times New Roman"/>
                <w:color w:val="000000" w:themeColor="text1"/>
                <w:sz w:val="24"/>
                <w:szCs w:val="24"/>
              </w:rPr>
            </w:pPr>
            <w:r w:rsidRPr="00792B36">
              <w:rPr>
                <w:rFonts w:eastAsia="Times New Roman"/>
                <w:color w:val="000000" w:themeColor="text1"/>
                <w:sz w:val="24"/>
                <w:szCs w:val="24"/>
              </w:rPr>
              <w:t>Commercial Use:</w:t>
            </w:r>
          </w:p>
          <w:p w14:paraId="32651308" w14:textId="77777777" w:rsidR="009A0A63" w:rsidRPr="00792B36" w:rsidRDefault="009A0A63" w:rsidP="00A24459">
            <w:pPr>
              <w:rPr>
                <w:rFonts w:eastAsia="Times New Roman"/>
                <w:color w:val="000000" w:themeColor="text1"/>
                <w:sz w:val="24"/>
                <w:szCs w:val="24"/>
              </w:rPr>
            </w:pPr>
            <w:r w:rsidRPr="00792B36">
              <w:rPr>
                <w:rFonts w:eastAsia="Times New Roman"/>
                <w:color w:val="000000" w:themeColor="text1"/>
                <w:sz w:val="24"/>
                <w:szCs w:val="24"/>
              </w:rPr>
              <w:t xml:space="preserve">Don Hoi Lot is a key site for shellfish harvesting and coastal tourism in Samut Songkhram Province. It supports commercial fisheries and aquaculture, particularly for blood cockles and other bivalves that are important for local trade and seafood markets. The area also attracts significant ecotourism, including mudflat excursions, seafood tasting, </w:t>
            </w:r>
            <w:r w:rsidRPr="00792B36">
              <w:rPr>
                <w:rFonts w:eastAsia="Times New Roman"/>
                <w:color w:val="000000" w:themeColor="text1"/>
                <w:sz w:val="24"/>
                <w:szCs w:val="24"/>
              </w:rPr>
              <w:lastRenderedPageBreak/>
              <w:t>and mangrove learning tours, which generate income for local communities.</w:t>
            </w:r>
          </w:p>
          <w:p w14:paraId="6A97E9A1" w14:textId="77777777" w:rsidR="009A0A63" w:rsidRPr="00792B36" w:rsidRDefault="009A0A63" w:rsidP="00A24459">
            <w:pPr>
              <w:rPr>
                <w:rFonts w:eastAsia="Times New Roman"/>
                <w:color w:val="000000" w:themeColor="text1"/>
                <w:sz w:val="24"/>
                <w:szCs w:val="24"/>
              </w:rPr>
            </w:pPr>
            <w:r w:rsidRPr="00792B36">
              <w:rPr>
                <w:rFonts w:eastAsia="Times New Roman"/>
                <w:color w:val="000000" w:themeColor="text1"/>
                <w:sz w:val="24"/>
                <w:szCs w:val="24"/>
              </w:rPr>
              <w:t>Subsistence Use:</w:t>
            </w:r>
          </w:p>
          <w:p w14:paraId="60EAA984" w14:textId="77777777" w:rsidR="009A0A63" w:rsidRPr="00792B36" w:rsidRDefault="009A0A63" w:rsidP="00A24459">
            <w:pPr>
              <w:rPr>
                <w:rFonts w:eastAsia="Times New Roman"/>
                <w:color w:val="000000" w:themeColor="text1"/>
                <w:sz w:val="24"/>
                <w:szCs w:val="24"/>
              </w:rPr>
            </w:pPr>
            <w:r w:rsidRPr="00792B36">
              <w:rPr>
                <w:rFonts w:eastAsia="Times New Roman"/>
                <w:color w:val="000000" w:themeColor="text1"/>
                <w:sz w:val="24"/>
                <w:szCs w:val="24"/>
              </w:rPr>
              <w:t xml:space="preserve">Local residents rely on traditional shellfish gathering, crab trapping, and small-scale fishing for food and supplemental income. Mangrove forests surrounding the area provide resources such </w:t>
            </w:r>
            <w:r w:rsidRPr="00792B36">
              <w:rPr>
                <w:rFonts w:eastAsia="Times New Roman"/>
                <w:color w:val="000000" w:themeColor="text1"/>
                <w:spacing w:val="-6"/>
                <w:sz w:val="24"/>
                <w:szCs w:val="24"/>
              </w:rPr>
              <w:t>as fuelwood, honey, and medicinal</w:t>
            </w:r>
            <w:r w:rsidRPr="00792B36">
              <w:rPr>
                <w:rFonts w:eastAsia="Times New Roman"/>
                <w:color w:val="000000" w:themeColor="text1"/>
                <w:sz w:val="24"/>
                <w:szCs w:val="24"/>
              </w:rPr>
              <w:t xml:space="preserve"> </w:t>
            </w:r>
            <w:r w:rsidRPr="00792B36">
              <w:rPr>
                <w:rFonts w:eastAsia="Times New Roman"/>
                <w:color w:val="000000" w:themeColor="text1"/>
                <w:spacing w:val="-4"/>
                <w:sz w:val="24"/>
                <w:szCs w:val="24"/>
              </w:rPr>
              <w:t>plants. Many households integrate</w:t>
            </w:r>
            <w:r w:rsidRPr="00792B36">
              <w:rPr>
                <w:rFonts w:eastAsia="Times New Roman"/>
                <w:color w:val="000000" w:themeColor="text1"/>
                <w:sz w:val="24"/>
                <w:szCs w:val="24"/>
              </w:rPr>
              <w:t xml:space="preserve"> resource use with community-based tourism and conservation, </w:t>
            </w:r>
            <w:r w:rsidRPr="00792B36">
              <w:rPr>
                <w:rFonts w:eastAsia="Times New Roman"/>
                <w:color w:val="000000" w:themeColor="text1"/>
                <w:spacing w:val="-8"/>
                <w:sz w:val="24"/>
                <w:szCs w:val="24"/>
              </w:rPr>
              <w:t>participating in mangrove restoration</w:t>
            </w:r>
            <w:r w:rsidRPr="00792B36">
              <w:rPr>
                <w:rFonts w:eastAsia="Times New Roman"/>
                <w:color w:val="000000" w:themeColor="text1"/>
                <w:sz w:val="24"/>
                <w:szCs w:val="24"/>
              </w:rPr>
              <w:t xml:space="preserve"> and co-management activities to sustain local livelihoods and protect coastal ecosystems.</w:t>
            </w:r>
          </w:p>
        </w:tc>
        <w:tc>
          <w:tcPr>
            <w:tcW w:w="1241" w:type="pct"/>
            <w:tcMar>
              <w:top w:w="0" w:type="dxa"/>
              <w:left w:w="45" w:type="dxa"/>
              <w:bottom w:w="0" w:type="dxa"/>
              <w:right w:w="45" w:type="dxa"/>
            </w:tcMar>
          </w:tcPr>
          <w:p w14:paraId="2576199A" w14:textId="77777777" w:rsidR="009A0A63" w:rsidRPr="00792B36" w:rsidRDefault="009A0A63" w:rsidP="00A24459">
            <w:pPr>
              <w:rPr>
                <w:rFonts w:eastAsia="Times New Roman"/>
                <w:color w:val="000000" w:themeColor="text1"/>
                <w:sz w:val="24"/>
                <w:szCs w:val="24"/>
              </w:rPr>
            </w:pPr>
            <w:r w:rsidRPr="00792B36">
              <w:rPr>
                <w:rFonts w:eastAsia="Times New Roman"/>
                <w:color w:val="000000" w:themeColor="text1"/>
                <w:sz w:val="24"/>
                <w:szCs w:val="24"/>
              </w:rPr>
              <w:lastRenderedPageBreak/>
              <w:t>Co-managed shellfish fishery with closed seasons/reserves; visitor-use management and water-quality safeguards; mangrove restoration and waterbird monitoring.</w:t>
            </w:r>
          </w:p>
        </w:tc>
      </w:tr>
    </w:tbl>
    <w:p w14:paraId="0A0293D2" w14:textId="77777777" w:rsidR="009A0A63" w:rsidRPr="00792B36" w:rsidRDefault="009A0A63" w:rsidP="009A0A63">
      <w:pPr>
        <w:rPr>
          <w:color w:val="000000" w:themeColor="text1"/>
          <w:sz w:val="24"/>
          <w:szCs w:val="24"/>
        </w:rPr>
      </w:pPr>
    </w:p>
    <w:p w14:paraId="1FED9876" w14:textId="77777777" w:rsidR="009A0A63" w:rsidRPr="00792B36" w:rsidRDefault="009A0A63" w:rsidP="009A0A63">
      <w:pPr>
        <w:ind w:firstLine="709"/>
        <w:rPr>
          <w:color w:val="000000" w:themeColor="text1"/>
          <w:sz w:val="24"/>
          <w:szCs w:val="24"/>
        </w:rPr>
      </w:pPr>
      <w:r w:rsidRPr="00792B36">
        <w:rPr>
          <w:b/>
          <w:bCs/>
          <w:i/>
          <w:iCs/>
          <w:color w:val="000000" w:themeColor="text1"/>
          <w:sz w:val="24"/>
          <w:szCs w:val="24"/>
        </w:rPr>
        <w:t>Significance</w:t>
      </w:r>
      <w:r w:rsidRPr="00792B36">
        <w:rPr>
          <w:b/>
          <w:bCs/>
          <w:i/>
          <w:iCs/>
          <w:color w:val="000000" w:themeColor="text1"/>
          <w:sz w:val="24"/>
          <w:szCs w:val="24"/>
          <w:cs/>
        </w:rPr>
        <w:t>/</w:t>
      </w:r>
      <w:r w:rsidRPr="00792B36">
        <w:rPr>
          <w:b/>
          <w:bCs/>
          <w:i/>
          <w:iCs/>
          <w:color w:val="000000" w:themeColor="text1"/>
          <w:sz w:val="24"/>
          <w:szCs w:val="24"/>
        </w:rPr>
        <w:t>national importance and protection status</w:t>
      </w:r>
    </w:p>
    <w:p w14:paraId="78FEB10B" w14:textId="77777777" w:rsidR="009A0A63" w:rsidRPr="00792B36" w:rsidRDefault="009A0A63" w:rsidP="009A0A63">
      <w:pPr>
        <w:ind w:firstLine="709"/>
        <w:jc w:val="thaiDistribute"/>
        <w:rPr>
          <w:sz w:val="24"/>
          <w:szCs w:val="24"/>
        </w:rPr>
      </w:pPr>
      <w:r w:rsidRPr="00792B36">
        <w:rPr>
          <w:sz w:val="24"/>
          <w:szCs w:val="24"/>
        </w:rPr>
        <w:t>The five study sites—Welu River Estuary, Bandon Bay, Pak Panang Bay, Samut Prakan Province, and Don Hoi Lot—represent nationally important coastal and wetland ecosystems that contribute significantly to Thailand’s blue economy, biodiversity conservation, and climate resilience. Each area plays a distinct ecological and socio-economic role.</w:t>
      </w:r>
    </w:p>
    <w:p w14:paraId="5DDAEC74" w14:textId="77777777" w:rsidR="009A0A63" w:rsidRPr="00792B36" w:rsidRDefault="009A0A63" w:rsidP="009A0A63">
      <w:pPr>
        <w:ind w:firstLine="709"/>
        <w:jc w:val="thaiDistribute"/>
        <w:rPr>
          <w:sz w:val="24"/>
          <w:szCs w:val="24"/>
        </w:rPr>
      </w:pPr>
      <w:r w:rsidRPr="00792B36">
        <w:rPr>
          <w:sz w:val="24"/>
          <w:szCs w:val="24"/>
        </w:rPr>
        <w:t xml:space="preserve">The Welu River Estuary supports national strategies for sustainable coastal management and blue carbon initiatives, </w:t>
      </w:r>
      <w:r w:rsidRPr="00792B36">
        <w:rPr>
          <w:sz w:val="24"/>
          <w:szCs w:val="24"/>
        </w:rPr>
        <w:lastRenderedPageBreak/>
        <w:t>while Bandon Bay functions as a key coastal system linking fisheries productivity and ecosystem restoration. Pak Panang Bay serves as a critical deltaic ecosystem for food security and flood protection, supporting integrated resource management under national and royal initiatives. Samut Prakan Province, though urbanized, maintains vital wetlands that act as natural buffers for flood regulation and carbon storage, particularly in Bang Pu and Khlong Dan. Don Hoi Lot, designated as a Ramsar Site, stands out for its global significance in biodiversity conservation, blue carbon storage, and community-based coastal resilience.</w:t>
      </w:r>
    </w:p>
    <w:p w14:paraId="32AE08EA" w14:textId="77777777" w:rsidR="009A0A63" w:rsidRPr="00792B36" w:rsidRDefault="009A0A63" w:rsidP="009A0A63">
      <w:pPr>
        <w:ind w:firstLine="709"/>
        <w:jc w:val="thaiDistribute"/>
        <w:rPr>
          <w:sz w:val="24"/>
          <w:szCs w:val="24"/>
        </w:rPr>
      </w:pPr>
      <w:r w:rsidRPr="00792B36">
        <w:rPr>
          <w:sz w:val="24"/>
          <w:szCs w:val="24"/>
        </w:rPr>
        <w:t>All sites are legally protected under designations such as National Reserved Forests, Coastal Wetlands managed by DMCR, or Ramsar Sites, covering extensive areas of mangrove forests, tidal flats, and estuarine habitats. Together, they form a foundation for Thailand’s coastal sustainability framework, ensuring ecosystem health, livelihood support, and climate adaptation. (Table 3).</w:t>
      </w:r>
    </w:p>
    <w:p w14:paraId="5998CCA0" w14:textId="77777777" w:rsidR="009A0A63" w:rsidRPr="00792B36" w:rsidRDefault="009A0A63" w:rsidP="009A0A63">
      <w:pPr>
        <w:spacing w:after="120"/>
        <w:rPr>
          <w:color w:val="000000" w:themeColor="text1"/>
          <w:sz w:val="24"/>
          <w:szCs w:val="24"/>
        </w:rPr>
      </w:pPr>
      <w:r w:rsidRPr="00792B36">
        <w:rPr>
          <w:b/>
          <w:bCs/>
          <w:color w:val="000000" w:themeColor="text1"/>
          <w:sz w:val="24"/>
          <w:szCs w:val="24"/>
        </w:rPr>
        <w:t>Table 3</w:t>
      </w:r>
      <w:r w:rsidRPr="00792B36">
        <w:rPr>
          <w:b/>
          <w:bCs/>
          <w:color w:val="000000" w:themeColor="text1"/>
          <w:sz w:val="24"/>
          <w:szCs w:val="24"/>
          <w:cs/>
        </w:rPr>
        <w:t xml:space="preserve">. </w:t>
      </w:r>
      <w:r w:rsidRPr="00792B36">
        <w:rPr>
          <w:b/>
          <w:bCs/>
          <w:color w:val="000000" w:themeColor="text1"/>
          <w:sz w:val="24"/>
          <w:szCs w:val="24"/>
        </w:rPr>
        <w:t xml:space="preserve">Mangroves and wetland areas in Thailand </w:t>
      </w:r>
      <w:r w:rsidRPr="00792B36">
        <w:rPr>
          <w:b/>
          <w:bCs/>
          <w:color w:val="000000" w:themeColor="text1"/>
          <w:sz w:val="24"/>
          <w:szCs w:val="24"/>
          <w:cs/>
        </w:rPr>
        <w:t>(</w:t>
      </w:r>
      <w:r w:rsidRPr="00792B36">
        <w:rPr>
          <w:b/>
          <w:bCs/>
          <w:color w:val="000000" w:themeColor="text1"/>
          <w:sz w:val="24"/>
          <w:szCs w:val="24"/>
        </w:rPr>
        <w:t>Gulf of Thailand</w:t>
      </w:r>
      <w:r w:rsidRPr="00792B36">
        <w:rPr>
          <w:b/>
          <w:bCs/>
          <w:color w:val="000000" w:themeColor="text1"/>
          <w:sz w:val="24"/>
          <w:szCs w:val="24"/>
          <w:cs/>
        </w:rPr>
        <w:t xml:space="preserve">): </w:t>
      </w:r>
      <w:r w:rsidRPr="00792B36">
        <w:rPr>
          <w:color w:val="000000" w:themeColor="text1"/>
          <w:sz w:val="24"/>
          <w:szCs w:val="24"/>
        </w:rPr>
        <w:t>Social and use information showing significance</w:t>
      </w:r>
      <w:r w:rsidRPr="00792B36">
        <w:rPr>
          <w:color w:val="000000" w:themeColor="text1"/>
          <w:sz w:val="24"/>
          <w:szCs w:val="24"/>
          <w:cs/>
        </w:rPr>
        <w:t>/</w:t>
      </w:r>
      <w:r w:rsidRPr="00792B36">
        <w:rPr>
          <w:color w:val="000000" w:themeColor="text1"/>
          <w:sz w:val="24"/>
          <w:szCs w:val="24"/>
        </w:rPr>
        <w:t>national importance and protection status</w:t>
      </w:r>
      <w:r w:rsidRPr="00792B36">
        <w:rPr>
          <w:color w:val="000000" w:themeColor="text1"/>
          <w:sz w:val="24"/>
          <w:szCs w:val="24"/>
          <w:cs/>
        </w:rPr>
        <w:t xml:space="preserve"> </w:t>
      </w:r>
    </w:p>
    <w:tbl>
      <w:tblPr>
        <w:tblW w:w="5000" w:type="pct"/>
        <w:tblCellMar>
          <w:left w:w="0" w:type="dxa"/>
          <w:right w:w="0" w:type="dxa"/>
        </w:tblCellMar>
        <w:tblLook w:val="04A0" w:firstRow="1" w:lastRow="0" w:firstColumn="1" w:lastColumn="0" w:noHBand="0" w:noVBand="1"/>
      </w:tblPr>
      <w:tblGrid>
        <w:gridCol w:w="4313"/>
        <w:gridCol w:w="6110"/>
        <w:gridCol w:w="2472"/>
        <w:gridCol w:w="49"/>
      </w:tblGrid>
      <w:tr w:rsidR="009A0A63" w:rsidRPr="00792B36" w14:paraId="3C67ED3B" w14:textId="77777777" w:rsidTr="00A24459">
        <w:trPr>
          <w:gridAfter w:val="1"/>
          <w:wAfter w:w="19" w:type="pct"/>
          <w:trHeight w:val="570"/>
          <w:tblHeader/>
        </w:trPr>
        <w:tc>
          <w:tcPr>
            <w:tcW w:w="1666" w:type="pct"/>
            <w:vMerge w:val="restart"/>
            <w:tcBorders>
              <w:top w:val="single" w:sz="6" w:space="0" w:color="000000"/>
              <w:left w:val="single" w:sz="6" w:space="0" w:color="CCCCCC"/>
              <w:bottom w:val="single" w:sz="6" w:space="0" w:color="000000"/>
              <w:right w:val="single" w:sz="6" w:space="0" w:color="000000"/>
            </w:tcBorders>
            <w:tcMar>
              <w:top w:w="0" w:type="dxa"/>
              <w:left w:w="45" w:type="dxa"/>
              <w:bottom w:w="0" w:type="dxa"/>
              <w:right w:w="45" w:type="dxa"/>
            </w:tcMar>
            <w:vAlign w:val="center"/>
          </w:tcPr>
          <w:p w14:paraId="55EF0B3D" w14:textId="77777777" w:rsidR="009A0A63" w:rsidRPr="00792B36" w:rsidRDefault="009A0A63" w:rsidP="00A24459">
            <w:pPr>
              <w:jc w:val="center"/>
              <w:rPr>
                <w:rFonts w:eastAsia="Times New Roman"/>
                <w:b/>
                <w:bCs/>
                <w:color w:val="000000" w:themeColor="text1"/>
                <w:sz w:val="24"/>
                <w:szCs w:val="24"/>
              </w:rPr>
            </w:pPr>
            <w:r w:rsidRPr="00792B36">
              <w:rPr>
                <w:rFonts w:eastAsia="Times New Roman"/>
                <w:b/>
                <w:bCs/>
                <w:color w:val="000000" w:themeColor="text1"/>
                <w:sz w:val="24"/>
                <w:szCs w:val="24"/>
              </w:rPr>
              <w:t>Name of area</w:t>
            </w:r>
          </w:p>
        </w:tc>
        <w:tc>
          <w:tcPr>
            <w:tcW w:w="2360" w:type="pct"/>
            <w:vMerge w:val="restart"/>
            <w:tcBorders>
              <w:top w:val="single" w:sz="6" w:space="0" w:color="000000"/>
              <w:left w:val="single" w:sz="6" w:space="0" w:color="CCCCCC"/>
              <w:bottom w:val="single" w:sz="6" w:space="0" w:color="000000"/>
              <w:right w:val="single" w:sz="6" w:space="0" w:color="000000"/>
            </w:tcBorders>
            <w:tcMar>
              <w:top w:w="0" w:type="dxa"/>
              <w:left w:w="45" w:type="dxa"/>
              <w:bottom w:w="0" w:type="dxa"/>
              <w:right w:w="45" w:type="dxa"/>
            </w:tcMar>
            <w:vAlign w:val="center"/>
            <w:hideMark/>
          </w:tcPr>
          <w:p w14:paraId="4E8EF954" w14:textId="77777777" w:rsidR="009A0A63" w:rsidRPr="00792B36" w:rsidRDefault="009A0A63" w:rsidP="00A24459">
            <w:pPr>
              <w:jc w:val="center"/>
              <w:rPr>
                <w:rFonts w:eastAsia="Times New Roman"/>
                <w:b/>
                <w:bCs/>
                <w:color w:val="000000" w:themeColor="text1"/>
                <w:sz w:val="24"/>
                <w:szCs w:val="24"/>
              </w:rPr>
            </w:pPr>
            <w:r w:rsidRPr="00792B36">
              <w:rPr>
                <w:rFonts w:eastAsia="Times New Roman"/>
                <w:b/>
                <w:bCs/>
                <w:sz w:val="24"/>
                <w:szCs w:val="24"/>
              </w:rPr>
              <w:t>Significance</w:t>
            </w:r>
            <w:r w:rsidRPr="00792B36">
              <w:rPr>
                <w:rFonts w:eastAsia="Times New Roman"/>
                <w:b/>
                <w:bCs/>
                <w:sz w:val="24"/>
                <w:szCs w:val="24"/>
                <w:cs/>
              </w:rPr>
              <w:t>/</w:t>
            </w:r>
            <w:r w:rsidRPr="00792B36">
              <w:rPr>
                <w:rFonts w:eastAsia="Times New Roman"/>
                <w:b/>
                <w:bCs/>
                <w:sz w:val="24"/>
                <w:szCs w:val="24"/>
              </w:rPr>
              <w:t>national importance</w:t>
            </w:r>
          </w:p>
        </w:tc>
        <w:tc>
          <w:tcPr>
            <w:tcW w:w="955" w:type="pct"/>
            <w:vMerge w:val="restart"/>
            <w:tcBorders>
              <w:top w:val="single" w:sz="6" w:space="0" w:color="000000"/>
              <w:left w:val="single" w:sz="6" w:space="0" w:color="CCCCCC"/>
              <w:bottom w:val="single" w:sz="6" w:space="0" w:color="000000"/>
              <w:right w:val="single" w:sz="6" w:space="0" w:color="000000"/>
            </w:tcBorders>
            <w:tcMar>
              <w:top w:w="0" w:type="dxa"/>
              <w:left w:w="45" w:type="dxa"/>
              <w:bottom w:w="0" w:type="dxa"/>
              <w:right w:w="45" w:type="dxa"/>
            </w:tcMar>
            <w:vAlign w:val="center"/>
            <w:hideMark/>
          </w:tcPr>
          <w:p w14:paraId="5DFFE102" w14:textId="77777777" w:rsidR="009A0A63" w:rsidRPr="00792B36" w:rsidRDefault="009A0A63" w:rsidP="00A24459">
            <w:pPr>
              <w:jc w:val="center"/>
              <w:rPr>
                <w:rFonts w:eastAsia="Times New Roman"/>
                <w:b/>
                <w:bCs/>
                <w:color w:val="000000" w:themeColor="text1"/>
                <w:sz w:val="24"/>
                <w:szCs w:val="24"/>
              </w:rPr>
            </w:pPr>
            <w:r w:rsidRPr="00792B36">
              <w:rPr>
                <w:rFonts w:eastAsia="Times New Roman"/>
                <w:b/>
                <w:bCs/>
                <w:color w:val="000000" w:themeColor="text1"/>
                <w:sz w:val="24"/>
                <w:szCs w:val="24"/>
              </w:rPr>
              <w:t>Protection status</w:t>
            </w:r>
          </w:p>
        </w:tc>
      </w:tr>
      <w:tr w:rsidR="009A0A63" w:rsidRPr="00792B36" w14:paraId="0DBDD52D" w14:textId="77777777" w:rsidTr="00A24459">
        <w:trPr>
          <w:trHeight w:val="110"/>
          <w:tblHeader/>
        </w:trPr>
        <w:tc>
          <w:tcPr>
            <w:tcW w:w="1666" w:type="pct"/>
            <w:vMerge/>
            <w:tcBorders>
              <w:top w:val="single" w:sz="6" w:space="0" w:color="000000"/>
              <w:left w:val="single" w:sz="6" w:space="0" w:color="CCCCCC"/>
              <w:bottom w:val="single" w:sz="6" w:space="0" w:color="000000"/>
              <w:right w:val="single" w:sz="6" w:space="0" w:color="000000"/>
            </w:tcBorders>
            <w:vAlign w:val="center"/>
          </w:tcPr>
          <w:p w14:paraId="7A04D2A9" w14:textId="77777777" w:rsidR="009A0A63" w:rsidRPr="00792B36" w:rsidRDefault="009A0A63" w:rsidP="00A24459">
            <w:pPr>
              <w:rPr>
                <w:rFonts w:eastAsia="Times New Roman"/>
                <w:color w:val="000000" w:themeColor="text1"/>
                <w:sz w:val="24"/>
                <w:szCs w:val="24"/>
              </w:rPr>
            </w:pPr>
          </w:p>
        </w:tc>
        <w:tc>
          <w:tcPr>
            <w:tcW w:w="2360" w:type="pct"/>
            <w:vMerge/>
            <w:tcBorders>
              <w:top w:val="single" w:sz="6" w:space="0" w:color="000000"/>
              <w:left w:val="single" w:sz="6" w:space="0" w:color="CCCCCC"/>
              <w:bottom w:val="single" w:sz="6" w:space="0" w:color="000000"/>
              <w:right w:val="single" w:sz="6" w:space="0" w:color="000000"/>
            </w:tcBorders>
            <w:vAlign w:val="center"/>
            <w:hideMark/>
          </w:tcPr>
          <w:p w14:paraId="2612A29E" w14:textId="77777777" w:rsidR="009A0A63" w:rsidRPr="00792B36" w:rsidRDefault="009A0A63" w:rsidP="00A24459">
            <w:pPr>
              <w:rPr>
                <w:rFonts w:eastAsia="Times New Roman"/>
                <w:color w:val="000000" w:themeColor="text1"/>
                <w:sz w:val="24"/>
                <w:szCs w:val="24"/>
              </w:rPr>
            </w:pPr>
          </w:p>
        </w:tc>
        <w:tc>
          <w:tcPr>
            <w:tcW w:w="955" w:type="pct"/>
            <w:vMerge/>
            <w:tcBorders>
              <w:top w:val="single" w:sz="6" w:space="0" w:color="000000"/>
              <w:left w:val="single" w:sz="6" w:space="0" w:color="CCCCCC"/>
              <w:bottom w:val="single" w:sz="6" w:space="0" w:color="000000"/>
              <w:right w:val="single" w:sz="6" w:space="0" w:color="000000"/>
            </w:tcBorders>
            <w:vAlign w:val="center"/>
            <w:hideMark/>
          </w:tcPr>
          <w:p w14:paraId="33F55F97" w14:textId="77777777" w:rsidR="009A0A63" w:rsidRPr="00792B36" w:rsidRDefault="009A0A63" w:rsidP="00A24459">
            <w:pPr>
              <w:rPr>
                <w:rFonts w:eastAsia="Times New Roman"/>
                <w:color w:val="000000" w:themeColor="text1"/>
                <w:sz w:val="24"/>
                <w:szCs w:val="24"/>
              </w:rPr>
            </w:pPr>
          </w:p>
        </w:tc>
        <w:tc>
          <w:tcPr>
            <w:tcW w:w="19" w:type="pct"/>
            <w:tcBorders>
              <w:top w:val="single" w:sz="6" w:space="0" w:color="CCCCCC"/>
              <w:left w:val="single" w:sz="6" w:space="0" w:color="CCCCCC"/>
              <w:bottom w:val="single" w:sz="6" w:space="0" w:color="CCCCCC"/>
              <w:right w:val="single" w:sz="6" w:space="0" w:color="CCCCCC"/>
            </w:tcBorders>
            <w:vAlign w:val="center"/>
            <w:hideMark/>
          </w:tcPr>
          <w:p w14:paraId="6760F5AD" w14:textId="77777777" w:rsidR="009A0A63" w:rsidRPr="00792B36" w:rsidRDefault="009A0A63" w:rsidP="00A24459">
            <w:pPr>
              <w:jc w:val="center"/>
              <w:rPr>
                <w:rFonts w:eastAsia="Times New Roman"/>
                <w:color w:val="000000" w:themeColor="text1"/>
                <w:sz w:val="24"/>
                <w:szCs w:val="24"/>
              </w:rPr>
            </w:pPr>
          </w:p>
        </w:tc>
      </w:tr>
      <w:tr w:rsidR="009A0A63" w:rsidRPr="00792B36" w14:paraId="3EA1A43C" w14:textId="77777777" w:rsidTr="00A24459">
        <w:trPr>
          <w:trHeight w:val="315"/>
        </w:trPr>
        <w:tc>
          <w:tcPr>
            <w:tcW w:w="1666"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center"/>
          </w:tcPr>
          <w:p w14:paraId="46A7E555" w14:textId="77777777" w:rsidR="009A0A63" w:rsidRPr="00792B36" w:rsidRDefault="009A0A63" w:rsidP="00A24459">
            <w:pPr>
              <w:spacing w:line="216" w:lineRule="auto"/>
              <w:rPr>
                <w:rFonts w:eastAsia="Times New Roman"/>
                <w:color w:val="000000" w:themeColor="text1"/>
                <w:sz w:val="24"/>
                <w:szCs w:val="24"/>
              </w:rPr>
            </w:pPr>
            <w:r w:rsidRPr="00792B36">
              <w:rPr>
                <w:rStyle w:val="Strong"/>
                <w:rFonts w:eastAsiaTheme="minorEastAsia"/>
                <w:color w:val="000000" w:themeColor="text1"/>
                <w:sz w:val="24"/>
                <w:szCs w:val="24"/>
              </w:rPr>
              <w:t>MG1: Welu River Estuary</w:t>
            </w:r>
          </w:p>
        </w:tc>
        <w:tc>
          <w:tcPr>
            <w:tcW w:w="2360"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tcPr>
          <w:p w14:paraId="3215BA62" w14:textId="77777777" w:rsidR="009A0A63" w:rsidRPr="00792B36" w:rsidRDefault="009A0A63" w:rsidP="00A24459">
            <w:pPr>
              <w:rPr>
                <w:rFonts w:eastAsia="Times New Roman"/>
                <w:color w:val="000000" w:themeColor="text1"/>
                <w:sz w:val="24"/>
                <w:szCs w:val="24"/>
                <w:highlight w:val="yellow"/>
              </w:rPr>
            </w:pPr>
            <w:r w:rsidRPr="00792B36">
              <w:rPr>
                <w:rFonts w:eastAsia="Times New Roman"/>
                <w:color w:val="000000" w:themeColor="text1"/>
                <w:sz w:val="24"/>
                <w:szCs w:val="24"/>
              </w:rPr>
              <w:t xml:space="preserve">The Welu River Estuary is nationally significant as a key coastal </w:t>
            </w:r>
            <w:r w:rsidRPr="00792B36">
              <w:rPr>
                <w:rFonts w:eastAsia="Times New Roman"/>
                <w:color w:val="000000" w:themeColor="text1"/>
                <w:spacing w:val="-6"/>
                <w:sz w:val="24"/>
                <w:szCs w:val="24"/>
              </w:rPr>
              <w:t>wetland supporting Thailand’s goals in sustainable coastal management,</w:t>
            </w:r>
            <w:r w:rsidRPr="00792B36">
              <w:rPr>
                <w:rFonts w:eastAsia="Times New Roman"/>
                <w:color w:val="000000" w:themeColor="text1"/>
                <w:sz w:val="24"/>
                <w:szCs w:val="24"/>
              </w:rPr>
              <w:t xml:space="preserve"> blue economy development, and climate resilience. It is recognized in national and regional master plans—such as the Strategic Action Programme for the South China Sea (SAP) and Thailand’s National Strategy 2018–2037—as a priority area for ecosystem-based management and mangrove conservation. The estuary contributes to national objectives in fisheries productivity, aquaculture, carbon sequestration, and biodiversity protection, while providing vital ecosystem services and livelihoods for coastal communities. Its sustainable use aligns with Thailand’s commitments to climate </w:t>
            </w:r>
            <w:r w:rsidRPr="00792B36">
              <w:rPr>
                <w:rFonts w:eastAsia="Times New Roman"/>
                <w:color w:val="000000" w:themeColor="text1"/>
                <w:spacing w:val="-4"/>
                <w:sz w:val="24"/>
                <w:szCs w:val="24"/>
              </w:rPr>
              <w:t>adaptation, blue carbon initiatives, and inclusive coastal development.</w:t>
            </w:r>
          </w:p>
        </w:tc>
        <w:tc>
          <w:tcPr>
            <w:tcW w:w="955"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tcPr>
          <w:p w14:paraId="069C068A" w14:textId="77777777" w:rsidR="009A0A63" w:rsidRPr="00792B36" w:rsidRDefault="009A0A63" w:rsidP="00A24459">
            <w:pPr>
              <w:rPr>
                <w:rFonts w:eastAsia="Times New Roman"/>
                <w:color w:val="000000" w:themeColor="text1"/>
                <w:sz w:val="24"/>
                <w:szCs w:val="24"/>
              </w:rPr>
            </w:pPr>
            <w:r w:rsidRPr="00792B36">
              <w:rPr>
                <w:rFonts w:eastAsia="Times New Roman"/>
                <w:color w:val="000000" w:themeColor="text1"/>
                <w:sz w:val="24"/>
                <w:szCs w:val="24"/>
              </w:rPr>
              <w:t>It is designated as a National Reserved Forest</w:t>
            </w:r>
            <w:r w:rsidRPr="00792B36">
              <w:rPr>
                <w:rFonts w:eastAsia="Times New Roman"/>
                <w:color w:val="000000" w:themeColor="text1"/>
                <w:sz w:val="24"/>
                <w:szCs w:val="24"/>
                <w:cs/>
              </w:rPr>
              <w:t>.</w:t>
            </w:r>
            <w:r w:rsidRPr="00792B36">
              <w:rPr>
                <w:rFonts w:eastAsia="Times New Roman"/>
                <w:color w:val="000000" w:themeColor="text1"/>
                <w:sz w:val="24"/>
                <w:szCs w:val="24"/>
              </w:rPr>
              <w:t xml:space="preserve"> The total wetland area is approximately 20,000 hectares. The mangrove area is about 7,206 hectares (as of 2009).</w:t>
            </w:r>
          </w:p>
          <w:p w14:paraId="2AB393CE" w14:textId="77777777" w:rsidR="009A0A63" w:rsidRPr="00792B36" w:rsidRDefault="009A0A63" w:rsidP="00A24459">
            <w:pPr>
              <w:jc w:val="center"/>
              <w:rPr>
                <w:rFonts w:eastAsia="Times New Roman"/>
                <w:color w:val="000000" w:themeColor="text1"/>
                <w:sz w:val="24"/>
                <w:szCs w:val="24"/>
              </w:rPr>
            </w:pPr>
          </w:p>
        </w:tc>
        <w:tc>
          <w:tcPr>
            <w:tcW w:w="19" w:type="pct"/>
            <w:vAlign w:val="center"/>
            <w:hideMark/>
          </w:tcPr>
          <w:p w14:paraId="463A1E1A" w14:textId="77777777" w:rsidR="009A0A63" w:rsidRPr="00792B36" w:rsidRDefault="009A0A63" w:rsidP="00A24459">
            <w:pPr>
              <w:rPr>
                <w:rFonts w:eastAsia="Times New Roman"/>
                <w:color w:val="000000" w:themeColor="text1"/>
                <w:sz w:val="24"/>
                <w:szCs w:val="24"/>
              </w:rPr>
            </w:pPr>
          </w:p>
        </w:tc>
      </w:tr>
      <w:tr w:rsidR="009A0A63" w:rsidRPr="00792B36" w14:paraId="19D8CE8C" w14:textId="77777777" w:rsidTr="00A24459">
        <w:trPr>
          <w:trHeight w:val="315"/>
        </w:trPr>
        <w:tc>
          <w:tcPr>
            <w:tcW w:w="1666"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center"/>
          </w:tcPr>
          <w:p w14:paraId="5A267500" w14:textId="77777777" w:rsidR="009A0A63" w:rsidRPr="00792B36" w:rsidRDefault="009A0A63" w:rsidP="00A24459">
            <w:pPr>
              <w:spacing w:line="216" w:lineRule="auto"/>
              <w:rPr>
                <w:rFonts w:eastAsia="Times New Roman"/>
                <w:color w:val="000000" w:themeColor="text1"/>
                <w:sz w:val="24"/>
                <w:szCs w:val="24"/>
              </w:rPr>
            </w:pPr>
            <w:r w:rsidRPr="00792B36">
              <w:rPr>
                <w:rStyle w:val="Strong"/>
                <w:rFonts w:eastAsiaTheme="minorEastAsia"/>
                <w:color w:val="000000" w:themeColor="text1"/>
                <w:sz w:val="24"/>
                <w:szCs w:val="24"/>
              </w:rPr>
              <w:t>MG2: Bandon Bay</w:t>
            </w:r>
          </w:p>
        </w:tc>
        <w:tc>
          <w:tcPr>
            <w:tcW w:w="2360"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tcPr>
          <w:p w14:paraId="10636DB9" w14:textId="77777777" w:rsidR="009A0A63" w:rsidRPr="00792B36" w:rsidRDefault="009A0A63" w:rsidP="00A24459">
            <w:pPr>
              <w:rPr>
                <w:rFonts w:eastAsia="Times New Roman"/>
                <w:color w:val="000000" w:themeColor="text1"/>
                <w:sz w:val="24"/>
                <w:szCs w:val="24"/>
                <w:highlight w:val="yellow"/>
              </w:rPr>
            </w:pPr>
            <w:r w:rsidRPr="00792B36">
              <w:rPr>
                <w:rFonts w:eastAsia="Times New Roman"/>
                <w:color w:val="000000" w:themeColor="text1"/>
                <w:spacing w:val="-4"/>
                <w:sz w:val="24"/>
                <w:szCs w:val="24"/>
              </w:rPr>
              <w:t>Bandon Bay represents a nationally important coastal landscape where</w:t>
            </w:r>
            <w:r w:rsidRPr="00792B36">
              <w:rPr>
                <w:rFonts w:eastAsia="Times New Roman"/>
                <w:color w:val="000000" w:themeColor="text1"/>
                <w:sz w:val="24"/>
                <w:szCs w:val="24"/>
              </w:rPr>
              <w:t xml:space="preserve"> </w:t>
            </w:r>
            <w:r w:rsidRPr="00792B36">
              <w:rPr>
                <w:rFonts w:eastAsia="Times New Roman"/>
                <w:color w:val="000000" w:themeColor="text1"/>
                <w:spacing w:val="-4"/>
                <w:sz w:val="24"/>
                <w:szCs w:val="24"/>
              </w:rPr>
              <w:t>economic development and natural ecosystems are deeply interlinked.</w:t>
            </w:r>
            <w:r w:rsidRPr="00792B36">
              <w:rPr>
                <w:rFonts w:eastAsia="Times New Roman"/>
                <w:color w:val="000000" w:themeColor="text1"/>
                <w:sz w:val="24"/>
                <w:szCs w:val="24"/>
              </w:rPr>
              <w:t xml:space="preserve"> It contributes </w:t>
            </w:r>
            <w:r w:rsidRPr="00792B36">
              <w:rPr>
                <w:rFonts w:eastAsia="Times New Roman"/>
                <w:color w:val="000000" w:themeColor="text1"/>
                <w:sz w:val="24"/>
                <w:szCs w:val="24"/>
              </w:rPr>
              <w:lastRenderedPageBreak/>
              <w:t>significantly to Thailand’s blue economy, fisheries productivity, and climate-change mitigation efforts through its rich mangrove, seagrass, and tidal-flat systems. The bay’s sustainable management and restoration are therefore essential to achieving national goals in coastal resilience, carbon neutrality, and inclusive local development.</w:t>
            </w:r>
          </w:p>
        </w:tc>
        <w:tc>
          <w:tcPr>
            <w:tcW w:w="955"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tcPr>
          <w:p w14:paraId="51751B30" w14:textId="77777777" w:rsidR="009A0A63" w:rsidRPr="00792B36" w:rsidRDefault="009A0A63" w:rsidP="00A24459">
            <w:pPr>
              <w:rPr>
                <w:rFonts w:eastAsia="Times New Roman"/>
                <w:color w:val="000000" w:themeColor="text1"/>
                <w:sz w:val="24"/>
                <w:szCs w:val="24"/>
              </w:rPr>
            </w:pPr>
            <w:r w:rsidRPr="00792B36">
              <w:rPr>
                <w:rFonts w:eastAsia="Times New Roman"/>
                <w:color w:val="000000" w:themeColor="text1"/>
                <w:sz w:val="24"/>
                <w:szCs w:val="24"/>
              </w:rPr>
              <w:lastRenderedPageBreak/>
              <w:t xml:space="preserve">It is recognized as a National Coastal Wetland managed </w:t>
            </w:r>
            <w:r w:rsidRPr="00792B36">
              <w:rPr>
                <w:rFonts w:eastAsia="Times New Roman"/>
                <w:color w:val="000000" w:themeColor="text1"/>
                <w:sz w:val="24"/>
                <w:szCs w:val="24"/>
              </w:rPr>
              <w:lastRenderedPageBreak/>
              <w:t xml:space="preserve">under the Department of Marine and </w:t>
            </w:r>
            <w:r w:rsidRPr="00792B36">
              <w:rPr>
                <w:rFonts w:eastAsia="Times New Roman"/>
                <w:color w:val="000000" w:themeColor="text1"/>
                <w:spacing w:val="-6"/>
                <w:sz w:val="24"/>
                <w:szCs w:val="24"/>
              </w:rPr>
              <w:t>Coastal Resources (DMCR).</w:t>
            </w:r>
          </w:p>
          <w:p w14:paraId="14A0D722" w14:textId="77777777" w:rsidR="009A0A63" w:rsidRPr="00792B36" w:rsidRDefault="009A0A63" w:rsidP="00A24459">
            <w:pPr>
              <w:rPr>
                <w:rFonts w:eastAsia="Times New Roman"/>
                <w:color w:val="000000" w:themeColor="text1"/>
                <w:sz w:val="24"/>
                <w:szCs w:val="24"/>
              </w:rPr>
            </w:pPr>
            <w:r w:rsidRPr="00792B36">
              <w:rPr>
                <w:rFonts w:eastAsia="Times New Roman"/>
                <w:color w:val="000000" w:themeColor="text1"/>
                <w:spacing w:val="-10"/>
                <w:sz w:val="24"/>
                <w:szCs w:val="24"/>
              </w:rPr>
              <w:t>The total coastal and wetland</w:t>
            </w:r>
            <w:r w:rsidRPr="00792B36">
              <w:rPr>
                <w:rFonts w:eastAsia="Times New Roman"/>
                <w:color w:val="000000" w:themeColor="text1"/>
                <w:sz w:val="24"/>
                <w:szCs w:val="24"/>
              </w:rPr>
              <w:t xml:space="preserve"> area is approximately 100,000 hectares.</w:t>
            </w:r>
          </w:p>
          <w:p w14:paraId="7969ECE5" w14:textId="77777777" w:rsidR="009A0A63" w:rsidRPr="00792B36" w:rsidRDefault="009A0A63" w:rsidP="00A24459">
            <w:pPr>
              <w:rPr>
                <w:rFonts w:eastAsia="Times New Roman"/>
                <w:color w:val="000000" w:themeColor="text1"/>
                <w:sz w:val="24"/>
                <w:szCs w:val="24"/>
                <w:highlight w:val="yellow"/>
              </w:rPr>
            </w:pPr>
            <w:r w:rsidRPr="00792B36">
              <w:rPr>
                <w:rFonts w:eastAsia="Times New Roman"/>
                <w:color w:val="000000" w:themeColor="text1"/>
                <w:sz w:val="24"/>
                <w:szCs w:val="24"/>
              </w:rPr>
              <w:t>The mangrove forests cover about 17,000 hectares, while the tidal flats extend across roughly 50,000 hectares.</w:t>
            </w:r>
          </w:p>
        </w:tc>
        <w:tc>
          <w:tcPr>
            <w:tcW w:w="19" w:type="pct"/>
            <w:vAlign w:val="center"/>
            <w:hideMark/>
          </w:tcPr>
          <w:p w14:paraId="6FB1FA36" w14:textId="77777777" w:rsidR="009A0A63" w:rsidRPr="00792B36" w:rsidRDefault="009A0A63" w:rsidP="00A24459">
            <w:pPr>
              <w:rPr>
                <w:rFonts w:eastAsia="Times New Roman"/>
                <w:color w:val="000000" w:themeColor="text1"/>
                <w:sz w:val="24"/>
                <w:szCs w:val="24"/>
              </w:rPr>
            </w:pPr>
          </w:p>
        </w:tc>
      </w:tr>
      <w:tr w:rsidR="009A0A63" w:rsidRPr="00792B36" w14:paraId="6AD859D7" w14:textId="77777777" w:rsidTr="00A24459">
        <w:trPr>
          <w:trHeight w:val="315"/>
        </w:trPr>
        <w:tc>
          <w:tcPr>
            <w:tcW w:w="1666"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center"/>
          </w:tcPr>
          <w:p w14:paraId="2D789E1D" w14:textId="77777777" w:rsidR="009A0A63" w:rsidRPr="00792B36" w:rsidRDefault="009A0A63" w:rsidP="00A24459">
            <w:pPr>
              <w:spacing w:line="216" w:lineRule="auto"/>
              <w:rPr>
                <w:rFonts w:eastAsia="Times New Roman"/>
                <w:color w:val="000000" w:themeColor="text1"/>
                <w:sz w:val="24"/>
                <w:szCs w:val="24"/>
              </w:rPr>
            </w:pPr>
            <w:r w:rsidRPr="00792B36">
              <w:rPr>
                <w:rStyle w:val="Strong"/>
                <w:rFonts w:eastAsiaTheme="minorEastAsia"/>
                <w:color w:val="000000" w:themeColor="text1"/>
                <w:sz w:val="24"/>
                <w:szCs w:val="24"/>
              </w:rPr>
              <w:t>MG3: Pak Panang Bay</w:t>
            </w:r>
          </w:p>
        </w:tc>
        <w:tc>
          <w:tcPr>
            <w:tcW w:w="2360"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tcPr>
          <w:p w14:paraId="07567C6E" w14:textId="77777777" w:rsidR="009A0A63" w:rsidRPr="00792B36" w:rsidRDefault="009A0A63" w:rsidP="00A24459">
            <w:pPr>
              <w:rPr>
                <w:rFonts w:eastAsia="Times New Roman"/>
                <w:color w:val="000000" w:themeColor="text1"/>
                <w:sz w:val="24"/>
                <w:szCs w:val="24"/>
                <w:highlight w:val="yellow"/>
              </w:rPr>
            </w:pPr>
            <w:r w:rsidRPr="00792B36">
              <w:rPr>
                <w:rFonts w:eastAsia="Times New Roman"/>
                <w:color w:val="000000" w:themeColor="text1"/>
                <w:sz w:val="24"/>
                <w:szCs w:val="24"/>
              </w:rPr>
              <w:t xml:space="preserve">Pak Panang Bay is a nationally important estuarine and coastal ecosystem supporting Thailand’s blue economy, food security, and climate resilience goals. It contributes substantially to fisheries productivity, aquaculture, mangrove restoration, and blue carbon sequestration, while providing natural defenses against flooding and erosion. The bay’s strategic location within the Pak Phanang River Delta Development Project and Royal Initiatives highlights its role </w:t>
            </w:r>
            <w:r w:rsidRPr="00792B36">
              <w:rPr>
                <w:rFonts w:eastAsia="Times New Roman"/>
                <w:color w:val="000000" w:themeColor="text1"/>
                <w:spacing w:val="-6"/>
                <w:sz w:val="24"/>
                <w:szCs w:val="24"/>
              </w:rPr>
              <w:t>as a model for sustainable coastal livelihood development and integrated</w:t>
            </w:r>
            <w:r w:rsidRPr="00792B36">
              <w:rPr>
                <w:rFonts w:eastAsia="Times New Roman"/>
                <w:color w:val="000000" w:themeColor="text1"/>
                <w:sz w:val="24"/>
                <w:szCs w:val="24"/>
              </w:rPr>
              <w:t xml:space="preserve"> resource management.</w:t>
            </w:r>
          </w:p>
        </w:tc>
        <w:tc>
          <w:tcPr>
            <w:tcW w:w="955"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tcPr>
          <w:p w14:paraId="1BF03CCA" w14:textId="77777777" w:rsidR="009A0A63" w:rsidRPr="00792B36" w:rsidRDefault="009A0A63" w:rsidP="00A24459">
            <w:pPr>
              <w:rPr>
                <w:rFonts w:eastAsia="Times New Roman"/>
                <w:color w:val="000000" w:themeColor="text1"/>
                <w:sz w:val="24"/>
                <w:szCs w:val="24"/>
                <w:highlight w:val="yellow"/>
              </w:rPr>
            </w:pPr>
            <w:r w:rsidRPr="00792B36">
              <w:rPr>
                <w:rFonts w:eastAsia="Times New Roman"/>
                <w:color w:val="000000" w:themeColor="text1"/>
                <w:sz w:val="24"/>
                <w:szCs w:val="24"/>
              </w:rPr>
              <w:t>It is designated as a Coastal Wetland and National Reserved Forest Area managed under the Department of Marine and Coastal Resources (DMCR). The total coastal and wetland area is approximately 60,000 hectares. The mangrove forests cover about 17,500 hectares, while the tidal flats extend across roughly 25,000 hectares.</w:t>
            </w:r>
          </w:p>
        </w:tc>
        <w:tc>
          <w:tcPr>
            <w:tcW w:w="19" w:type="pct"/>
            <w:vAlign w:val="center"/>
            <w:hideMark/>
          </w:tcPr>
          <w:p w14:paraId="6A58C707" w14:textId="77777777" w:rsidR="009A0A63" w:rsidRPr="00792B36" w:rsidRDefault="009A0A63" w:rsidP="00A24459">
            <w:pPr>
              <w:rPr>
                <w:rFonts w:eastAsia="Times New Roman"/>
                <w:color w:val="000000" w:themeColor="text1"/>
                <w:sz w:val="24"/>
                <w:szCs w:val="24"/>
              </w:rPr>
            </w:pPr>
          </w:p>
        </w:tc>
      </w:tr>
      <w:tr w:rsidR="009A0A63" w:rsidRPr="00792B36" w14:paraId="0CFA3AED" w14:textId="77777777" w:rsidTr="00A24459">
        <w:trPr>
          <w:trHeight w:val="315"/>
        </w:trPr>
        <w:tc>
          <w:tcPr>
            <w:tcW w:w="1666"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center"/>
          </w:tcPr>
          <w:p w14:paraId="08FB8871" w14:textId="77777777" w:rsidR="009A0A63" w:rsidRPr="00792B36" w:rsidRDefault="009A0A63" w:rsidP="00A24459">
            <w:pPr>
              <w:spacing w:line="216" w:lineRule="auto"/>
              <w:rPr>
                <w:rFonts w:eastAsia="Times New Roman"/>
                <w:color w:val="000000" w:themeColor="text1"/>
                <w:sz w:val="24"/>
                <w:szCs w:val="24"/>
              </w:rPr>
            </w:pPr>
            <w:r w:rsidRPr="00792B36">
              <w:rPr>
                <w:rStyle w:val="Strong"/>
                <w:rFonts w:eastAsiaTheme="minorEastAsia"/>
                <w:color w:val="000000" w:themeColor="text1"/>
                <w:sz w:val="24"/>
                <w:szCs w:val="24"/>
              </w:rPr>
              <w:lastRenderedPageBreak/>
              <w:t>MG: Samut Prakan Province</w:t>
            </w:r>
          </w:p>
        </w:tc>
        <w:tc>
          <w:tcPr>
            <w:tcW w:w="2360"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tcPr>
          <w:p w14:paraId="34AE09C7" w14:textId="77777777" w:rsidR="009A0A63" w:rsidRPr="00792B36" w:rsidRDefault="009A0A63" w:rsidP="00A24459">
            <w:pPr>
              <w:rPr>
                <w:rFonts w:eastAsia="Times New Roman"/>
                <w:color w:val="000000" w:themeColor="text1"/>
                <w:sz w:val="24"/>
                <w:szCs w:val="24"/>
                <w:highlight w:val="yellow"/>
                <w:cs/>
              </w:rPr>
            </w:pPr>
            <w:r w:rsidRPr="00792B36">
              <w:rPr>
                <w:rFonts w:eastAsia="Times New Roman"/>
                <w:color w:val="000000" w:themeColor="text1"/>
                <w:sz w:val="24"/>
                <w:szCs w:val="24"/>
              </w:rPr>
              <w:t>Samut Prakan Province holds national importance as both an industrial–economic hub and a coastal ecological buffer within the Upper Gulf of Thailand. The province contributes to fisheries productivity, port logistics, and carbon sequestration, while small remaining wetlands and mangroves provide ecosystem services, flood regulation, and educational value. Sustainable management of these habitats—especially in Bang Pu and Khlong Dan—is critical to achieving Thailand’s coastal resilience, blue carbon, and sustainable urban development goals.</w:t>
            </w:r>
          </w:p>
        </w:tc>
        <w:tc>
          <w:tcPr>
            <w:tcW w:w="955"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tcPr>
          <w:p w14:paraId="13B9F003" w14:textId="77777777" w:rsidR="009A0A63" w:rsidRPr="00792B36" w:rsidRDefault="009A0A63" w:rsidP="00A24459">
            <w:pPr>
              <w:rPr>
                <w:rFonts w:eastAsia="Times New Roman"/>
                <w:color w:val="000000" w:themeColor="text1"/>
                <w:sz w:val="24"/>
                <w:szCs w:val="24"/>
              </w:rPr>
            </w:pPr>
            <w:r w:rsidRPr="00792B36">
              <w:rPr>
                <w:rFonts w:eastAsia="Times New Roman"/>
                <w:color w:val="000000" w:themeColor="text1"/>
                <w:sz w:val="24"/>
                <w:szCs w:val="24"/>
              </w:rPr>
              <w:t>It is designated as a National Reserved Forest and DMCR Coastal Management Area.</w:t>
            </w:r>
          </w:p>
          <w:p w14:paraId="5F3958F6" w14:textId="77777777" w:rsidR="009A0A63" w:rsidRPr="00792B36" w:rsidRDefault="009A0A63" w:rsidP="00A24459">
            <w:pPr>
              <w:rPr>
                <w:rFonts w:eastAsia="Times New Roman"/>
                <w:color w:val="000000" w:themeColor="text1"/>
                <w:sz w:val="24"/>
                <w:szCs w:val="24"/>
              </w:rPr>
            </w:pPr>
            <w:r w:rsidRPr="00792B36">
              <w:rPr>
                <w:rFonts w:eastAsia="Times New Roman"/>
                <w:color w:val="000000" w:themeColor="text1"/>
                <w:sz w:val="24"/>
                <w:szCs w:val="24"/>
              </w:rPr>
              <w:t>The total coastal and wetland area is approximately 20,000 hectares.</w:t>
            </w:r>
          </w:p>
          <w:p w14:paraId="3616C636" w14:textId="77777777" w:rsidR="009A0A63" w:rsidRPr="00792B36" w:rsidRDefault="009A0A63" w:rsidP="00A24459">
            <w:pPr>
              <w:rPr>
                <w:rFonts w:eastAsia="Times New Roman"/>
                <w:color w:val="000000" w:themeColor="text1"/>
                <w:sz w:val="24"/>
                <w:szCs w:val="24"/>
                <w:highlight w:val="yellow"/>
              </w:rPr>
            </w:pPr>
            <w:r w:rsidRPr="00792B36">
              <w:rPr>
                <w:rFonts w:eastAsia="Times New Roman"/>
                <w:color w:val="000000" w:themeColor="text1"/>
                <w:sz w:val="24"/>
                <w:szCs w:val="24"/>
              </w:rPr>
              <w:t>The mangrove forests cover about 1,500 hectares, while the tidal flats extend across roughly 3,000 hectares.</w:t>
            </w:r>
          </w:p>
        </w:tc>
        <w:tc>
          <w:tcPr>
            <w:tcW w:w="19" w:type="pct"/>
            <w:vAlign w:val="center"/>
            <w:hideMark/>
          </w:tcPr>
          <w:p w14:paraId="22BECE3A" w14:textId="77777777" w:rsidR="009A0A63" w:rsidRPr="00792B36" w:rsidRDefault="009A0A63" w:rsidP="00A24459">
            <w:pPr>
              <w:rPr>
                <w:rFonts w:eastAsia="Times New Roman"/>
                <w:color w:val="000000" w:themeColor="text1"/>
                <w:sz w:val="24"/>
                <w:szCs w:val="24"/>
              </w:rPr>
            </w:pPr>
          </w:p>
        </w:tc>
      </w:tr>
      <w:tr w:rsidR="009A0A63" w:rsidRPr="00792B36" w14:paraId="652A4725" w14:textId="77777777" w:rsidTr="00A24459">
        <w:trPr>
          <w:trHeight w:val="315"/>
        </w:trPr>
        <w:tc>
          <w:tcPr>
            <w:tcW w:w="1666"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center"/>
          </w:tcPr>
          <w:p w14:paraId="76B33DE2" w14:textId="77777777" w:rsidR="009A0A63" w:rsidRPr="00792B36" w:rsidRDefault="009A0A63" w:rsidP="00A24459">
            <w:pPr>
              <w:spacing w:line="216" w:lineRule="auto"/>
              <w:rPr>
                <w:rFonts w:eastAsia="Times New Roman"/>
                <w:color w:val="000000" w:themeColor="text1"/>
                <w:sz w:val="24"/>
                <w:szCs w:val="24"/>
                <w:cs/>
              </w:rPr>
            </w:pPr>
            <w:r w:rsidRPr="00792B36">
              <w:rPr>
                <w:rStyle w:val="Strong"/>
                <w:rFonts w:eastAsiaTheme="minorEastAsia"/>
                <w:color w:val="000000" w:themeColor="text1"/>
                <w:sz w:val="24"/>
                <w:szCs w:val="24"/>
              </w:rPr>
              <w:t>WL1: Don Hoi Lot</w:t>
            </w:r>
          </w:p>
        </w:tc>
        <w:tc>
          <w:tcPr>
            <w:tcW w:w="2360"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tcPr>
          <w:p w14:paraId="5559F23F" w14:textId="77777777" w:rsidR="009A0A63" w:rsidRPr="00792B36" w:rsidRDefault="009A0A63" w:rsidP="00A24459">
            <w:pPr>
              <w:rPr>
                <w:rFonts w:eastAsia="Times New Roman"/>
                <w:color w:val="000000" w:themeColor="text1"/>
                <w:sz w:val="24"/>
                <w:szCs w:val="24"/>
              </w:rPr>
            </w:pPr>
            <w:r w:rsidRPr="00792B36">
              <w:rPr>
                <w:rFonts w:eastAsia="Times New Roman"/>
                <w:color w:val="000000" w:themeColor="text1"/>
                <w:sz w:val="24"/>
                <w:szCs w:val="24"/>
              </w:rPr>
              <w:t xml:space="preserve">Don Hoi Lot represents a nationally and globally important coastal wetland, sustaining both biodiversity conservation and community livelihoods. Its Ramsar designation underscores its ecological and </w:t>
            </w:r>
            <w:r w:rsidRPr="00792B36">
              <w:rPr>
                <w:rFonts w:eastAsia="Times New Roman"/>
                <w:color w:val="000000" w:themeColor="text1"/>
                <w:spacing w:val="-8"/>
                <w:sz w:val="24"/>
                <w:szCs w:val="24"/>
              </w:rPr>
              <w:t>economic value as a model site for ecosystem-based coastal management.</w:t>
            </w:r>
            <w:r w:rsidRPr="00792B36">
              <w:rPr>
                <w:rFonts w:eastAsia="Times New Roman"/>
                <w:color w:val="000000" w:themeColor="text1"/>
                <w:sz w:val="24"/>
                <w:szCs w:val="24"/>
              </w:rPr>
              <w:t xml:space="preserve"> </w:t>
            </w:r>
            <w:r w:rsidRPr="00792B36">
              <w:rPr>
                <w:rFonts w:eastAsia="Times New Roman"/>
                <w:color w:val="000000" w:themeColor="text1"/>
                <w:spacing w:val="-2"/>
                <w:sz w:val="24"/>
                <w:szCs w:val="24"/>
              </w:rPr>
              <w:t>The area supports fisheries productivity, ecotourism, and blue carbon</w:t>
            </w:r>
            <w:r w:rsidRPr="00792B36">
              <w:rPr>
                <w:rFonts w:eastAsia="Times New Roman"/>
                <w:color w:val="000000" w:themeColor="text1"/>
                <w:sz w:val="24"/>
                <w:szCs w:val="24"/>
              </w:rPr>
              <w:t xml:space="preserve"> storage, while contributing to Thailand’s commitments under international wetland and climate agreements. Sustainable management of Don Hoi Lot is therefore crucial for maintaining food security, coastal resilience, and inclusive local development.</w:t>
            </w:r>
          </w:p>
        </w:tc>
        <w:tc>
          <w:tcPr>
            <w:tcW w:w="955"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tcPr>
          <w:p w14:paraId="76AF5158" w14:textId="77777777" w:rsidR="009A0A63" w:rsidRPr="00792B36" w:rsidRDefault="009A0A63" w:rsidP="00A24459">
            <w:pPr>
              <w:rPr>
                <w:rFonts w:eastAsia="Times New Roman"/>
                <w:color w:val="000000" w:themeColor="text1"/>
                <w:sz w:val="24"/>
                <w:szCs w:val="24"/>
              </w:rPr>
            </w:pPr>
            <w:r w:rsidRPr="00792B36">
              <w:rPr>
                <w:rFonts w:eastAsia="Times New Roman"/>
                <w:color w:val="000000" w:themeColor="text1"/>
                <w:sz w:val="24"/>
                <w:szCs w:val="24"/>
              </w:rPr>
              <w:t xml:space="preserve">It is designated as a Ramsar Site (No. 1099) and part of a National Reserved Forest under the Department of Marine and Coastal Resources (DMCR) and Department of National Parks, Wildlife and Plant Conservation (DNP). The total wetland area is approximately 8,500 hectares. The mangrove forests </w:t>
            </w:r>
            <w:r w:rsidRPr="00792B36">
              <w:rPr>
                <w:rFonts w:eastAsia="Times New Roman"/>
                <w:color w:val="000000" w:themeColor="text1"/>
                <w:sz w:val="24"/>
                <w:szCs w:val="24"/>
              </w:rPr>
              <w:lastRenderedPageBreak/>
              <w:t>cover about 1,200 hectares, while the tidal flats extend across roughly 6,000 hectares.</w:t>
            </w:r>
          </w:p>
        </w:tc>
        <w:tc>
          <w:tcPr>
            <w:tcW w:w="19" w:type="pct"/>
            <w:vAlign w:val="center"/>
            <w:hideMark/>
          </w:tcPr>
          <w:p w14:paraId="3ED0A3D7" w14:textId="77777777" w:rsidR="009A0A63" w:rsidRPr="00792B36" w:rsidRDefault="009A0A63" w:rsidP="00A24459">
            <w:pPr>
              <w:rPr>
                <w:rFonts w:eastAsia="Times New Roman"/>
                <w:color w:val="000000" w:themeColor="text1"/>
                <w:sz w:val="24"/>
                <w:szCs w:val="24"/>
              </w:rPr>
            </w:pPr>
          </w:p>
        </w:tc>
      </w:tr>
    </w:tbl>
    <w:p w14:paraId="21F840B1" w14:textId="77777777" w:rsidR="009A0A63" w:rsidRPr="00792B36" w:rsidRDefault="009A0A63" w:rsidP="00F61B37">
      <w:pPr>
        <w:pStyle w:val="ListParagraph"/>
        <w:widowControl/>
        <w:numPr>
          <w:ilvl w:val="0"/>
          <w:numId w:val="48"/>
        </w:numPr>
        <w:spacing w:before="120" w:after="120" w:line="259" w:lineRule="auto"/>
        <w:ind w:left="1135" w:hanging="284"/>
        <w:rPr>
          <w:rFonts w:cs="Arial"/>
          <w:b/>
          <w:bCs/>
          <w:color w:val="000000" w:themeColor="text1"/>
          <w:sz w:val="24"/>
          <w:szCs w:val="24"/>
        </w:rPr>
      </w:pPr>
      <w:r w:rsidRPr="00792B36">
        <w:rPr>
          <w:rFonts w:cs="Arial"/>
          <w:b/>
          <w:bCs/>
          <w:color w:val="000000" w:themeColor="text1"/>
          <w:sz w:val="24"/>
          <w:szCs w:val="24"/>
        </w:rPr>
        <w:t>Biological data</w:t>
      </w:r>
    </w:p>
    <w:p w14:paraId="4BD68F81" w14:textId="77777777" w:rsidR="009A0A63" w:rsidRPr="00792B36" w:rsidRDefault="009A0A63" w:rsidP="009A0A63">
      <w:pPr>
        <w:spacing w:after="120"/>
        <w:ind w:firstLine="1134"/>
        <w:rPr>
          <w:b/>
          <w:bCs/>
          <w:i/>
          <w:iCs/>
          <w:color w:val="000000" w:themeColor="text1"/>
          <w:sz w:val="24"/>
          <w:szCs w:val="24"/>
        </w:rPr>
      </w:pPr>
      <w:r w:rsidRPr="00792B36">
        <w:rPr>
          <w:b/>
          <w:bCs/>
          <w:i/>
          <w:iCs/>
          <w:color w:val="000000" w:themeColor="text1"/>
          <w:sz w:val="24"/>
          <w:szCs w:val="24"/>
        </w:rPr>
        <w:t>Present status and natural/managed</w:t>
      </w:r>
    </w:p>
    <w:p w14:paraId="014C3377" w14:textId="77777777" w:rsidR="009A0A63" w:rsidRPr="00792B36" w:rsidRDefault="009A0A63" w:rsidP="009A0A63">
      <w:pPr>
        <w:spacing w:after="120"/>
        <w:ind w:firstLine="1134"/>
        <w:jc w:val="thaiDistribute"/>
        <w:rPr>
          <w:color w:val="000000" w:themeColor="text1"/>
          <w:sz w:val="24"/>
          <w:szCs w:val="24"/>
        </w:rPr>
      </w:pPr>
      <w:r w:rsidRPr="00792B36">
        <w:rPr>
          <w:color w:val="000000" w:themeColor="text1"/>
          <w:sz w:val="24"/>
          <w:szCs w:val="24"/>
        </w:rPr>
        <w:t>Based on the compiled figures, mangrove condition across the five focal sites shows clear variation in both extent and management balance. Bandon Bay supports the largest mangrove area (255.70 km²) and retains a ~63–77.5% natural share, despite substantial shellfish mariculture (~37–22.5% managed). Welu River Estuary contains 72.06 km² of mangroves and exhibits the highest managed fraction among the estuaries with estimates (≤47.3%), yet still maintains ≥52.7% natural cover through broad Rhizophora–Avicennia belts. Pak Phanang Bay holds 90.00 km² of mangroves and remains predominantly natural (≥65.0%), although hydrological control and aquaculture create managed shore segments (≤35.0%). Don Hoi Lot has a smaller mapped mangrove extent (29.19 km²) within a much larger Ramsar site but is functionally 100% natural in the demonstration area, dominated by intertidal flats with fringing mangroves. For the Samut Prakan (Bang Pu) focal area (33.74 km² of mangroves), an official natural/managed percentage is not reported; the highly urban setting indicates active protection of small remnant patches. Collectively, these results indicate strong residual natural capital at Pak Phanang, Don Hoi Lot, and much of Bandon Bay, while Welu and the urbanized Samut Prakan coast underscore the need for targeted co-management, restoration, and pollution control to bolster ecological integrity (Table 4).</w:t>
      </w:r>
    </w:p>
    <w:p w14:paraId="635F0969" w14:textId="77777777" w:rsidR="009A0A63" w:rsidRPr="00792B36" w:rsidRDefault="009A0A63" w:rsidP="009A0A63">
      <w:pPr>
        <w:spacing w:after="120"/>
        <w:ind w:firstLine="1134"/>
        <w:jc w:val="thaiDistribute"/>
        <w:rPr>
          <w:color w:val="000000" w:themeColor="text1"/>
          <w:sz w:val="24"/>
          <w:szCs w:val="24"/>
        </w:rPr>
      </w:pPr>
    </w:p>
    <w:p w14:paraId="4FF8EF4A" w14:textId="77777777" w:rsidR="009A0A63" w:rsidRPr="00792B36" w:rsidRDefault="009A0A63" w:rsidP="009A0A63">
      <w:pPr>
        <w:spacing w:after="120"/>
        <w:rPr>
          <w:color w:val="000000" w:themeColor="text1"/>
          <w:sz w:val="24"/>
          <w:szCs w:val="24"/>
        </w:rPr>
      </w:pPr>
      <w:r w:rsidRPr="00792B36">
        <w:rPr>
          <w:b/>
          <w:bCs/>
          <w:color w:val="000000" w:themeColor="text1"/>
          <w:sz w:val="24"/>
          <w:szCs w:val="24"/>
        </w:rPr>
        <w:t>Table 4</w:t>
      </w:r>
      <w:r w:rsidRPr="00792B36">
        <w:rPr>
          <w:b/>
          <w:bCs/>
          <w:color w:val="000000" w:themeColor="text1"/>
          <w:sz w:val="24"/>
          <w:szCs w:val="24"/>
          <w:cs/>
        </w:rPr>
        <w:t xml:space="preserve">. </w:t>
      </w:r>
      <w:r w:rsidRPr="00792B36">
        <w:rPr>
          <w:b/>
          <w:bCs/>
          <w:color w:val="000000" w:themeColor="text1"/>
          <w:sz w:val="24"/>
          <w:szCs w:val="24"/>
        </w:rPr>
        <w:t xml:space="preserve">Mangroves and wetland areas in Thailand </w:t>
      </w:r>
      <w:r w:rsidRPr="00792B36">
        <w:rPr>
          <w:b/>
          <w:bCs/>
          <w:color w:val="000000" w:themeColor="text1"/>
          <w:sz w:val="24"/>
          <w:szCs w:val="24"/>
          <w:cs/>
        </w:rPr>
        <w:t>(</w:t>
      </w:r>
      <w:r w:rsidRPr="00792B36">
        <w:rPr>
          <w:b/>
          <w:bCs/>
          <w:color w:val="000000" w:themeColor="text1"/>
          <w:sz w:val="24"/>
          <w:szCs w:val="24"/>
        </w:rPr>
        <w:t>Gulf of Thailand</w:t>
      </w:r>
      <w:r w:rsidRPr="00792B36">
        <w:rPr>
          <w:b/>
          <w:bCs/>
          <w:color w:val="000000" w:themeColor="text1"/>
          <w:sz w:val="24"/>
          <w:szCs w:val="24"/>
          <w:cs/>
        </w:rPr>
        <w:t xml:space="preserve">): </w:t>
      </w:r>
      <w:r w:rsidRPr="00792B36">
        <w:rPr>
          <w:color w:val="000000" w:themeColor="text1"/>
          <w:sz w:val="24"/>
          <w:szCs w:val="24"/>
        </w:rPr>
        <w:t>Biological data showing present status and natural</w:t>
      </w:r>
      <w:r w:rsidRPr="00792B36">
        <w:rPr>
          <w:color w:val="000000" w:themeColor="text1"/>
          <w:sz w:val="24"/>
          <w:szCs w:val="24"/>
          <w:cs/>
        </w:rPr>
        <w:t>/</w:t>
      </w:r>
      <w:r w:rsidRPr="00792B36">
        <w:rPr>
          <w:color w:val="000000" w:themeColor="text1"/>
          <w:sz w:val="24"/>
          <w:szCs w:val="24"/>
        </w:rPr>
        <w:t>managed</w:t>
      </w:r>
      <w:r w:rsidRPr="00792B36">
        <w:rPr>
          <w:color w:val="000000" w:themeColor="text1"/>
          <w:sz w:val="24"/>
          <w:szCs w:val="24"/>
          <w:cs/>
        </w:rPr>
        <w:t xml:space="preserve"> </w:t>
      </w:r>
    </w:p>
    <w:tbl>
      <w:tblPr>
        <w:tblW w:w="5000" w:type="pct"/>
        <w:tblCellMar>
          <w:left w:w="0" w:type="dxa"/>
          <w:right w:w="0" w:type="dxa"/>
        </w:tblCellMar>
        <w:tblLook w:val="04A0" w:firstRow="1" w:lastRow="0" w:firstColumn="1" w:lastColumn="0" w:noHBand="0" w:noVBand="1"/>
      </w:tblPr>
      <w:tblGrid>
        <w:gridCol w:w="3604"/>
        <w:gridCol w:w="4574"/>
        <w:gridCol w:w="4704"/>
        <w:gridCol w:w="62"/>
      </w:tblGrid>
      <w:tr w:rsidR="009A0A63" w:rsidRPr="00792B36" w14:paraId="04FA6675" w14:textId="77777777" w:rsidTr="00A24459">
        <w:trPr>
          <w:gridAfter w:val="1"/>
          <w:wAfter w:w="24" w:type="pct"/>
          <w:trHeight w:val="570"/>
          <w:tblHeader/>
        </w:trPr>
        <w:tc>
          <w:tcPr>
            <w:tcW w:w="1392" w:type="pct"/>
            <w:vMerge w:val="restart"/>
            <w:tcBorders>
              <w:top w:val="single" w:sz="6" w:space="0" w:color="000000"/>
              <w:left w:val="single" w:sz="6" w:space="0" w:color="000000"/>
              <w:right w:val="single" w:sz="6" w:space="0" w:color="000000"/>
            </w:tcBorders>
            <w:vAlign w:val="center"/>
          </w:tcPr>
          <w:p w14:paraId="1C00CFA3" w14:textId="77777777" w:rsidR="009A0A63" w:rsidRPr="00792B36" w:rsidRDefault="009A0A63" w:rsidP="00A24459">
            <w:pPr>
              <w:spacing w:line="228" w:lineRule="auto"/>
              <w:jc w:val="center"/>
              <w:rPr>
                <w:rFonts w:eastAsia="Times New Roman"/>
                <w:b/>
                <w:bCs/>
                <w:color w:val="000000" w:themeColor="text1"/>
                <w:sz w:val="24"/>
                <w:szCs w:val="24"/>
              </w:rPr>
            </w:pPr>
            <w:r w:rsidRPr="00792B36">
              <w:rPr>
                <w:rFonts w:eastAsia="Times New Roman"/>
                <w:b/>
                <w:bCs/>
                <w:color w:val="000000" w:themeColor="text1"/>
                <w:sz w:val="24"/>
                <w:szCs w:val="24"/>
              </w:rPr>
              <w:t>Name of area</w:t>
            </w:r>
          </w:p>
        </w:tc>
        <w:tc>
          <w:tcPr>
            <w:tcW w:w="1767" w:type="pct"/>
            <w:vMerge w:val="restart"/>
            <w:tcBorders>
              <w:top w:val="single" w:sz="6" w:space="0" w:color="000000"/>
              <w:left w:val="single" w:sz="6" w:space="0" w:color="000000"/>
              <w:bottom w:val="single" w:sz="6" w:space="0" w:color="000000"/>
              <w:right w:val="single" w:sz="6" w:space="0" w:color="000000"/>
            </w:tcBorders>
            <w:tcMar>
              <w:top w:w="0" w:type="dxa"/>
              <w:left w:w="45" w:type="dxa"/>
              <w:bottom w:w="0" w:type="dxa"/>
              <w:right w:w="45" w:type="dxa"/>
            </w:tcMar>
            <w:vAlign w:val="center"/>
            <w:hideMark/>
          </w:tcPr>
          <w:p w14:paraId="662A6D50" w14:textId="77777777" w:rsidR="009A0A63" w:rsidRPr="00792B36" w:rsidRDefault="009A0A63" w:rsidP="00A24459">
            <w:pPr>
              <w:spacing w:line="228" w:lineRule="auto"/>
              <w:jc w:val="center"/>
              <w:rPr>
                <w:rFonts w:eastAsia="Times New Roman"/>
                <w:b/>
                <w:bCs/>
                <w:color w:val="000000" w:themeColor="text1"/>
                <w:sz w:val="24"/>
                <w:szCs w:val="24"/>
              </w:rPr>
            </w:pPr>
            <w:r w:rsidRPr="00792B36">
              <w:rPr>
                <w:rFonts w:eastAsia="Times New Roman"/>
                <w:b/>
                <w:bCs/>
                <w:color w:val="000000" w:themeColor="text1"/>
                <w:sz w:val="24"/>
                <w:szCs w:val="24"/>
              </w:rPr>
              <w:t xml:space="preserve">Present status </w:t>
            </w:r>
            <w:r w:rsidRPr="00792B36">
              <w:rPr>
                <w:rFonts w:eastAsia="Times New Roman"/>
                <w:b/>
                <w:bCs/>
                <w:color w:val="000000" w:themeColor="text1"/>
                <w:sz w:val="24"/>
                <w:szCs w:val="24"/>
                <w:cs/>
              </w:rPr>
              <w:t>(</w:t>
            </w:r>
            <w:r w:rsidRPr="00792B36">
              <w:rPr>
                <w:rFonts w:eastAsia="Times New Roman"/>
                <w:b/>
                <w:bCs/>
                <w:color w:val="000000" w:themeColor="text1"/>
                <w:sz w:val="24"/>
                <w:szCs w:val="24"/>
              </w:rPr>
              <w:t>km</w:t>
            </w:r>
            <w:r w:rsidRPr="00792B36">
              <w:rPr>
                <w:rFonts w:eastAsia="Times New Roman"/>
                <w:b/>
                <w:bCs/>
                <w:color w:val="000000" w:themeColor="text1"/>
                <w:sz w:val="24"/>
                <w:szCs w:val="24"/>
                <w:vertAlign w:val="superscript"/>
              </w:rPr>
              <w:t>2</w:t>
            </w:r>
            <w:r w:rsidRPr="00792B36">
              <w:rPr>
                <w:rFonts w:eastAsia="Times New Roman"/>
                <w:b/>
                <w:bCs/>
                <w:color w:val="000000" w:themeColor="text1"/>
                <w:sz w:val="24"/>
                <w:szCs w:val="24"/>
                <w:cs/>
              </w:rPr>
              <w:t>)</w:t>
            </w:r>
          </w:p>
        </w:tc>
        <w:tc>
          <w:tcPr>
            <w:tcW w:w="1817" w:type="pct"/>
            <w:vMerge w:val="restart"/>
            <w:tcBorders>
              <w:top w:val="single" w:sz="6" w:space="0" w:color="000000"/>
              <w:left w:val="single" w:sz="6" w:space="0" w:color="CCCCCC"/>
              <w:bottom w:val="single" w:sz="6" w:space="0" w:color="000000"/>
              <w:right w:val="single" w:sz="6" w:space="0" w:color="000000"/>
            </w:tcBorders>
            <w:tcMar>
              <w:top w:w="0" w:type="dxa"/>
              <w:left w:w="45" w:type="dxa"/>
              <w:bottom w:w="0" w:type="dxa"/>
              <w:right w:w="45" w:type="dxa"/>
            </w:tcMar>
            <w:vAlign w:val="center"/>
            <w:hideMark/>
          </w:tcPr>
          <w:p w14:paraId="04B092BF" w14:textId="77777777" w:rsidR="009A0A63" w:rsidRPr="00792B36" w:rsidRDefault="009A0A63" w:rsidP="00A24459">
            <w:pPr>
              <w:spacing w:line="228" w:lineRule="auto"/>
              <w:jc w:val="center"/>
              <w:rPr>
                <w:rFonts w:eastAsia="Times New Roman"/>
                <w:b/>
                <w:bCs/>
                <w:color w:val="000000" w:themeColor="text1"/>
                <w:sz w:val="24"/>
                <w:szCs w:val="24"/>
              </w:rPr>
            </w:pPr>
            <w:r w:rsidRPr="00792B36">
              <w:rPr>
                <w:rFonts w:eastAsia="Times New Roman"/>
                <w:b/>
                <w:bCs/>
                <w:color w:val="000000" w:themeColor="text1"/>
                <w:sz w:val="24"/>
                <w:szCs w:val="24"/>
              </w:rPr>
              <w:t>Natural</w:t>
            </w:r>
            <w:r w:rsidRPr="00792B36">
              <w:rPr>
                <w:rFonts w:eastAsia="Times New Roman"/>
                <w:b/>
                <w:bCs/>
                <w:color w:val="000000" w:themeColor="text1"/>
                <w:sz w:val="24"/>
                <w:szCs w:val="24"/>
                <w:cs/>
              </w:rPr>
              <w:t>/</w:t>
            </w:r>
            <w:r w:rsidRPr="00792B36">
              <w:rPr>
                <w:rFonts w:eastAsia="Times New Roman"/>
                <w:b/>
                <w:bCs/>
                <w:color w:val="000000" w:themeColor="text1"/>
                <w:sz w:val="24"/>
                <w:szCs w:val="24"/>
              </w:rPr>
              <w:t>Managed</w:t>
            </w:r>
          </w:p>
        </w:tc>
      </w:tr>
      <w:tr w:rsidR="009A0A63" w:rsidRPr="00792B36" w14:paraId="43ADADA0" w14:textId="77777777" w:rsidTr="00A24459">
        <w:trPr>
          <w:trHeight w:val="53"/>
          <w:tblHeader/>
        </w:trPr>
        <w:tc>
          <w:tcPr>
            <w:tcW w:w="1392" w:type="pct"/>
            <w:vMerge/>
            <w:tcBorders>
              <w:left w:val="single" w:sz="6" w:space="0" w:color="000000"/>
              <w:bottom w:val="single" w:sz="6" w:space="0" w:color="000000"/>
              <w:right w:val="single" w:sz="6" w:space="0" w:color="000000"/>
            </w:tcBorders>
          </w:tcPr>
          <w:p w14:paraId="15394B68" w14:textId="77777777" w:rsidR="009A0A63" w:rsidRPr="00792B36" w:rsidRDefault="009A0A63" w:rsidP="00A24459">
            <w:pPr>
              <w:spacing w:line="228" w:lineRule="auto"/>
              <w:rPr>
                <w:rFonts w:eastAsia="Times New Roman"/>
                <w:color w:val="000000" w:themeColor="text1"/>
                <w:sz w:val="24"/>
                <w:szCs w:val="24"/>
              </w:rPr>
            </w:pPr>
          </w:p>
        </w:tc>
        <w:tc>
          <w:tcPr>
            <w:tcW w:w="1767" w:type="pct"/>
            <w:vMerge/>
            <w:tcBorders>
              <w:top w:val="single" w:sz="6" w:space="0" w:color="000000"/>
              <w:left w:val="single" w:sz="6" w:space="0" w:color="000000"/>
              <w:bottom w:val="single" w:sz="6" w:space="0" w:color="000000"/>
              <w:right w:val="single" w:sz="6" w:space="0" w:color="000000"/>
            </w:tcBorders>
            <w:vAlign w:val="center"/>
            <w:hideMark/>
          </w:tcPr>
          <w:p w14:paraId="520E9166" w14:textId="77777777" w:rsidR="009A0A63" w:rsidRPr="00792B36" w:rsidRDefault="009A0A63" w:rsidP="00A24459">
            <w:pPr>
              <w:spacing w:line="228" w:lineRule="auto"/>
              <w:rPr>
                <w:rFonts w:eastAsia="Times New Roman"/>
                <w:color w:val="000000" w:themeColor="text1"/>
                <w:sz w:val="24"/>
                <w:szCs w:val="24"/>
              </w:rPr>
            </w:pPr>
          </w:p>
        </w:tc>
        <w:tc>
          <w:tcPr>
            <w:tcW w:w="1817" w:type="pct"/>
            <w:vMerge/>
            <w:tcBorders>
              <w:top w:val="single" w:sz="6" w:space="0" w:color="000000"/>
              <w:left w:val="single" w:sz="6" w:space="0" w:color="CCCCCC"/>
              <w:bottom w:val="single" w:sz="6" w:space="0" w:color="000000"/>
              <w:right w:val="single" w:sz="6" w:space="0" w:color="000000"/>
            </w:tcBorders>
            <w:vAlign w:val="center"/>
            <w:hideMark/>
          </w:tcPr>
          <w:p w14:paraId="13ECCDE0" w14:textId="77777777" w:rsidR="009A0A63" w:rsidRPr="00792B36" w:rsidRDefault="009A0A63" w:rsidP="00A24459">
            <w:pPr>
              <w:spacing w:line="228" w:lineRule="auto"/>
              <w:rPr>
                <w:rFonts w:eastAsia="Times New Roman"/>
                <w:color w:val="000000" w:themeColor="text1"/>
                <w:sz w:val="24"/>
                <w:szCs w:val="24"/>
              </w:rPr>
            </w:pPr>
          </w:p>
        </w:tc>
        <w:tc>
          <w:tcPr>
            <w:tcW w:w="24" w:type="pct"/>
            <w:tcBorders>
              <w:top w:val="single" w:sz="6" w:space="0" w:color="CCCCCC"/>
              <w:left w:val="single" w:sz="6" w:space="0" w:color="CCCCCC"/>
              <w:bottom w:val="single" w:sz="6" w:space="0" w:color="CCCCCC"/>
              <w:right w:val="single" w:sz="6" w:space="0" w:color="CCCCCC"/>
            </w:tcBorders>
            <w:vAlign w:val="center"/>
            <w:hideMark/>
          </w:tcPr>
          <w:p w14:paraId="7EA2B95A" w14:textId="77777777" w:rsidR="009A0A63" w:rsidRPr="00792B36" w:rsidRDefault="009A0A63" w:rsidP="00A24459">
            <w:pPr>
              <w:spacing w:line="228" w:lineRule="auto"/>
              <w:jc w:val="center"/>
              <w:rPr>
                <w:rFonts w:eastAsia="Times New Roman"/>
                <w:color w:val="000000" w:themeColor="text1"/>
                <w:sz w:val="24"/>
                <w:szCs w:val="24"/>
              </w:rPr>
            </w:pPr>
          </w:p>
        </w:tc>
      </w:tr>
      <w:tr w:rsidR="009A0A63" w:rsidRPr="00792B36" w14:paraId="455DA944" w14:textId="77777777" w:rsidTr="00A24459">
        <w:trPr>
          <w:trHeight w:val="315"/>
        </w:trPr>
        <w:tc>
          <w:tcPr>
            <w:tcW w:w="1392" w:type="pct"/>
            <w:tcBorders>
              <w:top w:val="single" w:sz="6" w:space="0" w:color="000000"/>
              <w:left w:val="single" w:sz="6" w:space="0" w:color="000000"/>
              <w:bottom w:val="single" w:sz="6" w:space="0" w:color="000000"/>
              <w:right w:val="single" w:sz="6" w:space="0" w:color="000000"/>
            </w:tcBorders>
            <w:vAlign w:val="center"/>
          </w:tcPr>
          <w:p w14:paraId="78EABD98" w14:textId="77777777" w:rsidR="009A0A63" w:rsidRPr="00792B36" w:rsidRDefault="009A0A63" w:rsidP="00A24459">
            <w:pPr>
              <w:spacing w:line="216" w:lineRule="auto"/>
              <w:rPr>
                <w:rFonts w:eastAsia="Times New Roman"/>
                <w:color w:val="000000" w:themeColor="text1"/>
                <w:sz w:val="24"/>
                <w:szCs w:val="24"/>
              </w:rPr>
            </w:pPr>
            <w:r w:rsidRPr="00792B36">
              <w:rPr>
                <w:rStyle w:val="Strong"/>
                <w:rFonts w:eastAsiaTheme="minorEastAsia"/>
                <w:color w:val="000000" w:themeColor="text1"/>
                <w:sz w:val="24"/>
                <w:szCs w:val="24"/>
              </w:rPr>
              <w:t>MG1: Welu River Estuary</w:t>
            </w:r>
          </w:p>
        </w:tc>
        <w:tc>
          <w:tcPr>
            <w:tcW w:w="1767" w:type="pct"/>
            <w:tcBorders>
              <w:top w:val="single" w:sz="6" w:space="0" w:color="CCCCCC"/>
              <w:left w:val="single" w:sz="6" w:space="0" w:color="000000"/>
              <w:bottom w:val="single" w:sz="6" w:space="0" w:color="000000"/>
              <w:right w:val="single" w:sz="6" w:space="0" w:color="000000"/>
            </w:tcBorders>
            <w:tcMar>
              <w:top w:w="0" w:type="dxa"/>
              <w:left w:w="45" w:type="dxa"/>
              <w:bottom w:w="0" w:type="dxa"/>
              <w:right w:w="45" w:type="dxa"/>
            </w:tcMar>
            <w:vAlign w:val="center"/>
          </w:tcPr>
          <w:p w14:paraId="607874B1" w14:textId="77777777" w:rsidR="009A0A63" w:rsidRPr="00792B36" w:rsidRDefault="009A0A63" w:rsidP="00A24459">
            <w:pPr>
              <w:spacing w:line="228" w:lineRule="auto"/>
              <w:jc w:val="center"/>
              <w:rPr>
                <w:rFonts w:eastAsia="Times New Roman"/>
                <w:color w:val="000000" w:themeColor="text1"/>
                <w:sz w:val="24"/>
                <w:szCs w:val="24"/>
              </w:rPr>
            </w:pPr>
            <w:r w:rsidRPr="00792B36">
              <w:rPr>
                <w:rFonts w:eastAsia="Times New Roman"/>
                <w:color w:val="000000" w:themeColor="text1"/>
                <w:sz w:val="24"/>
                <w:szCs w:val="24"/>
                <w:cs/>
              </w:rPr>
              <w:t>72.06</w:t>
            </w:r>
          </w:p>
        </w:tc>
        <w:tc>
          <w:tcPr>
            <w:tcW w:w="1817"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tcPr>
          <w:p w14:paraId="0821898A" w14:textId="77777777" w:rsidR="009A0A63" w:rsidRPr="00792B36" w:rsidRDefault="009A0A63" w:rsidP="00A24459">
            <w:pPr>
              <w:spacing w:line="228" w:lineRule="auto"/>
              <w:jc w:val="center"/>
              <w:rPr>
                <w:rFonts w:eastAsia="Times New Roman"/>
                <w:color w:val="000000" w:themeColor="text1"/>
                <w:sz w:val="24"/>
                <w:szCs w:val="24"/>
              </w:rPr>
            </w:pPr>
            <w:r w:rsidRPr="00792B36">
              <w:rPr>
                <w:rFonts w:eastAsia="Times New Roman"/>
                <w:color w:val="000000" w:themeColor="text1"/>
                <w:sz w:val="24"/>
                <w:szCs w:val="24"/>
              </w:rPr>
              <w:t>≥ 52.7 % / ≤ 47.3 %</w:t>
            </w:r>
          </w:p>
        </w:tc>
        <w:tc>
          <w:tcPr>
            <w:tcW w:w="24" w:type="pct"/>
            <w:vAlign w:val="center"/>
            <w:hideMark/>
          </w:tcPr>
          <w:p w14:paraId="09A62171" w14:textId="77777777" w:rsidR="009A0A63" w:rsidRPr="00792B36" w:rsidRDefault="009A0A63" w:rsidP="00A24459">
            <w:pPr>
              <w:spacing w:line="228" w:lineRule="auto"/>
              <w:rPr>
                <w:rFonts w:eastAsia="Times New Roman"/>
                <w:color w:val="000000" w:themeColor="text1"/>
                <w:sz w:val="24"/>
                <w:szCs w:val="24"/>
              </w:rPr>
            </w:pPr>
          </w:p>
        </w:tc>
      </w:tr>
      <w:tr w:rsidR="009A0A63" w:rsidRPr="00792B36" w14:paraId="4EDFC2D2" w14:textId="77777777" w:rsidTr="00A24459">
        <w:trPr>
          <w:trHeight w:val="315"/>
        </w:trPr>
        <w:tc>
          <w:tcPr>
            <w:tcW w:w="1392" w:type="pct"/>
            <w:tcBorders>
              <w:top w:val="single" w:sz="6" w:space="0" w:color="CCCCCC"/>
              <w:left w:val="single" w:sz="6" w:space="0" w:color="000000"/>
              <w:bottom w:val="single" w:sz="6" w:space="0" w:color="000000"/>
              <w:right w:val="single" w:sz="6" w:space="0" w:color="000000"/>
            </w:tcBorders>
            <w:vAlign w:val="center"/>
          </w:tcPr>
          <w:p w14:paraId="35337EE7" w14:textId="77777777" w:rsidR="009A0A63" w:rsidRPr="00792B36" w:rsidRDefault="009A0A63" w:rsidP="00A24459">
            <w:pPr>
              <w:spacing w:line="216" w:lineRule="auto"/>
              <w:rPr>
                <w:rFonts w:eastAsia="Times New Roman"/>
                <w:color w:val="000000" w:themeColor="text1"/>
                <w:sz w:val="24"/>
                <w:szCs w:val="24"/>
              </w:rPr>
            </w:pPr>
            <w:r w:rsidRPr="00792B36">
              <w:rPr>
                <w:rStyle w:val="Strong"/>
                <w:rFonts w:eastAsiaTheme="minorEastAsia"/>
                <w:color w:val="000000" w:themeColor="text1"/>
                <w:sz w:val="24"/>
                <w:szCs w:val="24"/>
              </w:rPr>
              <w:t>MG2: Bandon Bay</w:t>
            </w:r>
          </w:p>
        </w:tc>
        <w:tc>
          <w:tcPr>
            <w:tcW w:w="1767" w:type="pct"/>
            <w:tcBorders>
              <w:top w:val="single" w:sz="6" w:space="0" w:color="CCCCCC"/>
              <w:left w:val="single" w:sz="6" w:space="0" w:color="000000"/>
              <w:bottom w:val="single" w:sz="6" w:space="0" w:color="000000"/>
              <w:right w:val="single" w:sz="6" w:space="0" w:color="000000"/>
            </w:tcBorders>
            <w:shd w:val="clear" w:color="auto" w:fill="FFFFFF"/>
            <w:tcMar>
              <w:top w:w="0" w:type="dxa"/>
              <w:left w:w="45" w:type="dxa"/>
              <w:bottom w:w="0" w:type="dxa"/>
              <w:right w:w="45" w:type="dxa"/>
            </w:tcMar>
            <w:vAlign w:val="center"/>
          </w:tcPr>
          <w:p w14:paraId="13983EA9" w14:textId="77777777" w:rsidR="009A0A63" w:rsidRPr="00792B36" w:rsidRDefault="009A0A63" w:rsidP="00A24459">
            <w:pPr>
              <w:spacing w:line="228" w:lineRule="auto"/>
              <w:jc w:val="center"/>
              <w:rPr>
                <w:rFonts w:eastAsia="Times New Roman"/>
                <w:color w:val="000000" w:themeColor="text1"/>
                <w:sz w:val="24"/>
                <w:szCs w:val="24"/>
              </w:rPr>
            </w:pPr>
            <w:r w:rsidRPr="00792B36">
              <w:rPr>
                <w:rFonts w:eastAsia="Times New Roman"/>
                <w:color w:val="000000" w:themeColor="text1"/>
                <w:sz w:val="24"/>
                <w:szCs w:val="24"/>
                <w:cs/>
              </w:rPr>
              <w:t>255.70</w:t>
            </w:r>
          </w:p>
        </w:tc>
        <w:tc>
          <w:tcPr>
            <w:tcW w:w="1817"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tcPr>
          <w:p w14:paraId="52A88B98" w14:textId="77777777" w:rsidR="009A0A63" w:rsidRPr="00792B36" w:rsidRDefault="009A0A63" w:rsidP="00A24459">
            <w:pPr>
              <w:spacing w:line="228" w:lineRule="auto"/>
              <w:jc w:val="center"/>
              <w:rPr>
                <w:rFonts w:eastAsia="Times New Roman"/>
                <w:color w:val="000000" w:themeColor="text1"/>
                <w:sz w:val="24"/>
                <w:szCs w:val="24"/>
              </w:rPr>
            </w:pPr>
            <w:r w:rsidRPr="00792B36">
              <w:rPr>
                <w:rFonts w:eastAsia="Times New Roman"/>
                <w:color w:val="000000" w:themeColor="text1"/>
                <w:sz w:val="24"/>
                <w:szCs w:val="24"/>
              </w:rPr>
              <w:t>≈ 63–77.5 % / ≈ 37–22.5 %</w:t>
            </w:r>
          </w:p>
        </w:tc>
        <w:tc>
          <w:tcPr>
            <w:tcW w:w="24" w:type="pct"/>
            <w:vAlign w:val="center"/>
            <w:hideMark/>
          </w:tcPr>
          <w:p w14:paraId="27003AE2" w14:textId="77777777" w:rsidR="009A0A63" w:rsidRPr="00792B36" w:rsidRDefault="009A0A63" w:rsidP="00A24459">
            <w:pPr>
              <w:spacing w:line="228" w:lineRule="auto"/>
              <w:rPr>
                <w:rFonts w:eastAsia="Times New Roman"/>
                <w:color w:val="000000" w:themeColor="text1"/>
                <w:sz w:val="24"/>
                <w:szCs w:val="24"/>
              </w:rPr>
            </w:pPr>
          </w:p>
        </w:tc>
      </w:tr>
      <w:tr w:rsidR="009A0A63" w:rsidRPr="00792B36" w14:paraId="4FB4F0E0" w14:textId="77777777" w:rsidTr="00A24459">
        <w:trPr>
          <w:trHeight w:val="316"/>
        </w:trPr>
        <w:tc>
          <w:tcPr>
            <w:tcW w:w="1392" w:type="pct"/>
            <w:tcBorders>
              <w:top w:val="single" w:sz="6" w:space="0" w:color="CCCCCC"/>
              <w:left w:val="single" w:sz="6" w:space="0" w:color="000000"/>
              <w:bottom w:val="single" w:sz="6" w:space="0" w:color="000000"/>
              <w:right w:val="single" w:sz="6" w:space="0" w:color="000000"/>
            </w:tcBorders>
            <w:vAlign w:val="center"/>
          </w:tcPr>
          <w:p w14:paraId="7941E081" w14:textId="77777777" w:rsidR="009A0A63" w:rsidRPr="00792B36" w:rsidRDefault="009A0A63" w:rsidP="00A24459">
            <w:pPr>
              <w:spacing w:line="216" w:lineRule="auto"/>
              <w:rPr>
                <w:rFonts w:eastAsia="Times New Roman"/>
                <w:color w:val="000000" w:themeColor="text1"/>
                <w:sz w:val="24"/>
                <w:szCs w:val="24"/>
              </w:rPr>
            </w:pPr>
            <w:r w:rsidRPr="00792B36">
              <w:rPr>
                <w:rStyle w:val="Strong"/>
                <w:rFonts w:eastAsiaTheme="minorEastAsia"/>
                <w:color w:val="000000" w:themeColor="text1"/>
                <w:sz w:val="24"/>
                <w:szCs w:val="24"/>
              </w:rPr>
              <w:t>MG3: Pak Panang Bay</w:t>
            </w:r>
          </w:p>
        </w:tc>
        <w:tc>
          <w:tcPr>
            <w:tcW w:w="1767" w:type="pct"/>
            <w:tcBorders>
              <w:top w:val="single" w:sz="6" w:space="0" w:color="CCCCCC"/>
              <w:left w:val="single" w:sz="6" w:space="0" w:color="000000"/>
              <w:bottom w:val="single" w:sz="6" w:space="0" w:color="000000"/>
              <w:right w:val="single" w:sz="6" w:space="0" w:color="000000"/>
            </w:tcBorders>
            <w:shd w:val="clear" w:color="auto" w:fill="FFFFFF"/>
            <w:tcMar>
              <w:top w:w="0" w:type="dxa"/>
              <w:left w:w="45" w:type="dxa"/>
              <w:bottom w:w="0" w:type="dxa"/>
              <w:right w:w="45" w:type="dxa"/>
            </w:tcMar>
            <w:vAlign w:val="center"/>
          </w:tcPr>
          <w:p w14:paraId="6F4EBC7B" w14:textId="77777777" w:rsidR="009A0A63" w:rsidRPr="00792B36" w:rsidRDefault="009A0A63" w:rsidP="00A24459">
            <w:pPr>
              <w:spacing w:line="228" w:lineRule="auto"/>
              <w:jc w:val="center"/>
              <w:rPr>
                <w:rFonts w:eastAsia="Times New Roman"/>
                <w:color w:val="000000" w:themeColor="text1"/>
                <w:sz w:val="24"/>
                <w:szCs w:val="24"/>
              </w:rPr>
            </w:pPr>
            <w:r w:rsidRPr="00792B36">
              <w:rPr>
                <w:rFonts w:eastAsia="Times New Roman"/>
                <w:color w:val="000000" w:themeColor="text1"/>
                <w:sz w:val="24"/>
                <w:szCs w:val="24"/>
                <w:cs/>
              </w:rPr>
              <w:t>90.00</w:t>
            </w:r>
          </w:p>
        </w:tc>
        <w:tc>
          <w:tcPr>
            <w:tcW w:w="1817"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tcPr>
          <w:p w14:paraId="3AA1B20C" w14:textId="77777777" w:rsidR="009A0A63" w:rsidRPr="00792B36" w:rsidRDefault="009A0A63" w:rsidP="00A24459">
            <w:pPr>
              <w:spacing w:line="228" w:lineRule="auto"/>
              <w:jc w:val="center"/>
              <w:rPr>
                <w:rFonts w:eastAsia="Times New Roman"/>
                <w:color w:val="000000" w:themeColor="text1"/>
                <w:sz w:val="24"/>
                <w:szCs w:val="24"/>
              </w:rPr>
            </w:pPr>
            <w:r w:rsidRPr="00792B36">
              <w:rPr>
                <w:rFonts w:eastAsia="Times New Roman"/>
                <w:color w:val="000000" w:themeColor="text1"/>
                <w:sz w:val="24"/>
                <w:szCs w:val="24"/>
              </w:rPr>
              <w:t>≥ 65.0 % / ≤ 35.0 %</w:t>
            </w:r>
          </w:p>
        </w:tc>
        <w:tc>
          <w:tcPr>
            <w:tcW w:w="24" w:type="pct"/>
            <w:vAlign w:val="center"/>
            <w:hideMark/>
          </w:tcPr>
          <w:p w14:paraId="68383778" w14:textId="77777777" w:rsidR="009A0A63" w:rsidRPr="00792B36" w:rsidRDefault="009A0A63" w:rsidP="00A24459">
            <w:pPr>
              <w:spacing w:line="228" w:lineRule="auto"/>
              <w:rPr>
                <w:rFonts w:eastAsia="Times New Roman"/>
                <w:color w:val="000000" w:themeColor="text1"/>
                <w:sz w:val="24"/>
                <w:szCs w:val="24"/>
              </w:rPr>
            </w:pPr>
          </w:p>
        </w:tc>
      </w:tr>
      <w:tr w:rsidR="009A0A63" w:rsidRPr="00792B36" w14:paraId="403B9A41" w14:textId="77777777" w:rsidTr="00A24459">
        <w:trPr>
          <w:trHeight w:val="315"/>
        </w:trPr>
        <w:tc>
          <w:tcPr>
            <w:tcW w:w="1392" w:type="pct"/>
            <w:tcBorders>
              <w:top w:val="single" w:sz="6" w:space="0" w:color="CCCCCC"/>
              <w:left w:val="single" w:sz="6" w:space="0" w:color="000000"/>
              <w:bottom w:val="single" w:sz="6" w:space="0" w:color="000000"/>
              <w:right w:val="single" w:sz="6" w:space="0" w:color="000000"/>
            </w:tcBorders>
            <w:vAlign w:val="center"/>
          </w:tcPr>
          <w:p w14:paraId="6B89ABFF" w14:textId="77777777" w:rsidR="009A0A63" w:rsidRPr="00792B36" w:rsidRDefault="009A0A63" w:rsidP="00A24459">
            <w:pPr>
              <w:spacing w:line="216" w:lineRule="auto"/>
              <w:rPr>
                <w:rFonts w:eastAsia="Times New Roman"/>
                <w:color w:val="000000" w:themeColor="text1"/>
                <w:sz w:val="24"/>
                <w:szCs w:val="24"/>
              </w:rPr>
            </w:pPr>
            <w:r w:rsidRPr="00792B36">
              <w:rPr>
                <w:rStyle w:val="Strong"/>
                <w:rFonts w:eastAsiaTheme="minorEastAsia"/>
                <w:color w:val="000000" w:themeColor="text1"/>
                <w:sz w:val="24"/>
                <w:szCs w:val="24"/>
              </w:rPr>
              <w:lastRenderedPageBreak/>
              <w:t>MG: Samut Prakan Province</w:t>
            </w:r>
          </w:p>
        </w:tc>
        <w:tc>
          <w:tcPr>
            <w:tcW w:w="1767" w:type="pct"/>
            <w:tcBorders>
              <w:top w:val="single" w:sz="6" w:space="0" w:color="CCCCCC"/>
              <w:left w:val="single" w:sz="6" w:space="0" w:color="000000"/>
              <w:bottom w:val="single" w:sz="6" w:space="0" w:color="000000"/>
              <w:right w:val="single" w:sz="6" w:space="0" w:color="000000"/>
            </w:tcBorders>
            <w:shd w:val="clear" w:color="auto" w:fill="FFFFFF"/>
            <w:tcMar>
              <w:top w:w="0" w:type="dxa"/>
              <w:left w:w="45" w:type="dxa"/>
              <w:bottom w:w="0" w:type="dxa"/>
              <w:right w:w="45" w:type="dxa"/>
            </w:tcMar>
            <w:vAlign w:val="center"/>
          </w:tcPr>
          <w:p w14:paraId="1B9841B0" w14:textId="77777777" w:rsidR="009A0A63" w:rsidRPr="00792B36" w:rsidRDefault="009A0A63" w:rsidP="00A24459">
            <w:pPr>
              <w:spacing w:line="228" w:lineRule="auto"/>
              <w:jc w:val="center"/>
              <w:rPr>
                <w:rFonts w:eastAsia="Times New Roman"/>
                <w:color w:val="000000" w:themeColor="text1"/>
                <w:sz w:val="24"/>
                <w:szCs w:val="24"/>
              </w:rPr>
            </w:pPr>
            <w:r w:rsidRPr="00792B36">
              <w:rPr>
                <w:rFonts w:eastAsia="Times New Roman"/>
                <w:color w:val="000000" w:themeColor="text1"/>
                <w:sz w:val="24"/>
                <w:szCs w:val="24"/>
              </w:rPr>
              <w:t>33.74</w:t>
            </w:r>
          </w:p>
        </w:tc>
        <w:tc>
          <w:tcPr>
            <w:tcW w:w="1817"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tcPr>
          <w:p w14:paraId="3B1CAD91" w14:textId="77777777" w:rsidR="009A0A63" w:rsidRPr="00792B36" w:rsidRDefault="009A0A63" w:rsidP="00A24459">
            <w:pPr>
              <w:spacing w:line="228" w:lineRule="auto"/>
              <w:jc w:val="center"/>
              <w:rPr>
                <w:rFonts w:eastAsia="Times New Roman"/>
                <w:color w:val="000000" w:themeColor="text1"/>
                <w:sz w:val="24"/>
                <w:szCs w:val="24"/>
              </w:rPr>
            </w:pPr>
            <w:r w:rsidRPr="00792B36">
              <w:rPr>
                <w:rFonts w:eastAsia="Times New Roman"/>
                <w:color w:val="000000" w:themeColor="text1"/>
                <w:sz w:val="24"/>
                <w:szCs w:val="24"/>
              </w:rPr>
              <w:t>-</w:t>
            </w:r>
          </w:p>
        </w:tc>
        <w:tc>
          <w:tcPr>
            <w:tcW w:w="24" w:type="pct"/>
            <w:vAlign w:val="center"/>
            <w:hideMark/>
          </w:tcPr>
          <w:p w14:paraId="563B6918" w14:textId="77777777" w:rsidR="009A0A63" w:rsidRPr="00792B36" w:rsidRDefault="009A0A63" w:rsidP="00A24459">
            <w:pPr>
              <w:spacing w:line="228" w:lineRule="auto"/>
              <w:rPr>
                <w:rFonts w:eastAsia="Times New Roman"/>
                <w:color w:val="000000" w:themeColor="text1"/>
                <w:sz w:val="24"/>
                <w:szCs w:val="24"/>
              </w:rPr>
            </w:pPr>
          </w:p>
        </w:tc>
      </w:tr>
      <w:tr w:rsidR="009A0A63" w:rsidRPr="00792B36" w14:paraId="1867B107" w14:textId="77777777" w:rsidTr="00A24459">
        <w:trPr>
          <w:trHeight w:val="315"/>
        </w:trPr>
        <w:tc>
          <w:tcPr>
            <w:tcW w:w="1392" w:type="pct"/>
            <w:tcBorders>
              <w:top w:val="single" w:sz="6" w:space="0" w:color="CCCCCC"/>
              <w:left w:val="single" w:sz="6" w:space="0" w:color="000000"/>
              <w:bottom w:val="single" w:sz="6" w:space="0" w:color="000000"/>
              <w:right w:val="single" w:sz="6" w:space="0" w:color="000000"/>
            </w:tcBorders>
            <w:vAlign w:val="center"/>
          </w:tcPr>
          <w:p w14:paraId="499995F7" w14:textId="77777777" w:rsidR="009A0A63" w:rsidRPr="00792B36" w:rsidRDefault="009A0A63" w:rsidP="00A24459">
            <w:pPr>
              <w:spacing w:line="216" w:lineRule="auto"/>
              <w:rPr>
                <w:rFonts w:eastAsia="Times New Roman"/>
                <w:color w:val="000000" w:themeColor="text1"/>
                <w:sz w:val="24"/>
                <w:szCs w:val="24"/>
                <w:cs/>
              </w:rPr>
            </w:pPr>
            <w:r w:rsidRPr="00792B36">
              <w:rPr>
                <w:rStyle w:val="Strong"/>
                <w:rFonts w:eastAsiaTheme="minorEastAsia"/>
                <w:color w:val="000000" w:themeColor="text1"/>
                <w:sz w:val="24"/>
                <w:szCs w:val="24"/>
              </w:rPr>
              <w:t>WL1: Don Hoi Lot</w:t>
            </w:r>
          </w:p>
        </w:tc>
        <w:tc>
          <w:tcPr>
            <w:tcW w:w="1767" w:type="pct"/>
            <w:tcBorders>
              <w:top w:val="single" w:sz="6" w:space="0" w:color="CCCCCC"/>
              <w:left w:val="single" w:sz="6" w:space="0" w:color="000000"/>
              <w:bottom w:val="single" w:sz="6" w:space="0" w:color="000000"/>
              <w:right w:val="single" w:sz="6" w:space="0" w:color="000000"/>
            </w:tcBorders>
            <w:shd w:val="clear" w:color="auto" w:fill="FFFFFF"/>
            <w:tcMar>
              <w:top w:w="0" w:type="dxa"/>
              <w:left w:w="45" w:type="dxa"/>
              <w:bottom w:w="0" w:type="dxa"/>
              <w:right w:w="45" w:type="dxa"/>
            </w:tcMar>
            <w:vAlign w:val="center"/>
          </w:tcPr>
          <w:p w14:paraId="241B0338" w14:textId="77777777" w:rsidR="009A0A63" w:rsidRPr="00792B36" w:rsidRDefault="009A0A63" w:rsidP="00A24459">
            <w:pPr>
              <w:spacing w:line="228" w:lineRule="auto"/>
              <w:jc w:val="center"/>
              <w:rPr>
                <w:rFonts w:eastAsia="Times New Roman"/>
                <w:color w:val="000000" w:themeColor="text1"/>
                <w:sz w:val="24"/>
                <w:szCs w:val="24"/>
              </w:rPr>
            </w:pPr>
            <w:r w:rsidRPr="00792B36">
              <w:rPr>
                <w:rFonts w:eastAsia="Times New Roman"/>
                <w:color w:val="000000" w:themeColor="text1"/>
                <w:sz w:val="24"/>
                <w:szCs w:val="24"/>
                <w:cs/>
              </w:rPr>
              <w:t>29.19</w:t>
            </w:r>
          </w:p>
        </w:tc>
        <w:tc>
          <w:tcPr>
            <w:tcW w:w="1817" w:type="pct"/>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tcPr>
          <w:p w14:paraId="3B5730B1" w14:textId="77777777" w:rsidR="009A0A63" w:rsidRPr="00792B36" w:rsidRDefault="009A0A63" w:rsidP="00A24459">
            <w:pPr>
              <w:spacing w:line="228" w:lineRule="auto"/>
              <w:jc w:val="center"/>
              <w:rPr>
                <w:rFonts w:eastAsia="Times New Roman"/>
                <w:color w:val="000000" w:themeColor="text1"/>
                <w:sz w:val="24"/>
                <w:szCs w:val="24"/>
              </w:rPr>
            </w:pPr>
            <w:r w:rsidRPr="00792B36">
              <w:rPr>
                <w:rFonts w:eastAsia="Times New Roman"/>
                <w:color w:val="000000" w:themeColor="text1"/>
                <w:sz w:val="24"/>
                <w:szCs w:val="24"/>
              </w:rPr>
              <w:t>100/0</w:t>
            </w:r>
          </w:p>
        </w:tc>
        <w:tc>
          <w:tcPr>
            <w:tcW w:w="24" w:type="pct"/>
            <w:vAlign w:val="center"/>
            <w:hideMark/>
          </w:tcPr>
          <w:p w14:paraId="1AF3DCBB" w14:textId="77777777" w:rsidR="009A0A63" w:rsidRPr="00792B36" w:rsidRDefault="009A0A63" w:rsidP="00A24459">
            <w:pPr>
              <w:spacing w:line="228" w:lineRule="auto"/>
              <w:rPr>
                <w:rFonts w:eastAsia="Times New Roman"/>
                <w:color w:val="000000" w:themeColor="text1"/>
                <w:sz w:val="24"/>
                <w:szCs w:val="24"/>
              </w:rPr>
            </w:pPr>
          </w:p>
        </w:tc>
      </w:tr>
    </w:tbl>
    <w:p w14:paraId="5CFF0AC5" w14:textId="77777777" w:rsidR="009A0A63" w:rsidRPr="00792B36" w:rsidRDefault="009A0A63" w:rsidP="009A0A63">
      <w:pPr>
        <w:rPr>
          <w:color w:val="000000" w:themeColor="text1"/>
          <w:sz w:val="24"/>
          <w:szCs w:val="24"/>
        </w:rPr>
      </w:pPr>
    </w:p>
    <w:p w14:paraId="3F4D0E5E" w14:textId="77777777" w:rsidR="009A0A63" w:rsidRPr="00792B36" w:rsidRDefault="009A0A63" w:rsidP="009A0A63">
      <w:pPr>
        <w:ind w:firstLine="1134"/>
        <w:rPr>
          <w:color w:val="000000" w:themeColor="text1"/>
          <w:sz w:val="24"/>
          <w:szCs w:val="24"/>
        </w:rPr>
      </w:pPr>
      <w:r w:rsidRPr="00792B36">
        <w:rPr>
          <w:b/>
          <w:bCs/>
          <w:i/>
          <w:iCs/>
          <w:color w:val="000000" w:themeColor="text1"/>
          <w:sz w:val="24"/>
          <w:szCs w:val="24"/>
        </w:rPr>
        <w:t>Mangrove diversity, density and dominant species</w:t>
      </w:r>
    </w:p>
    <w:p w14:paraId="0A2D0E15" w14:textId="77777777" w:rsidR="009A0A63" w:rsidRPr="00792B36" w:rsidRDefault="009A0A63" w:rsidP="009A0A63">
      <w:pPr>
        <w:ind w:firstLine="1134"/>
        <w:jc w:val="thaiDistribute"/>
        <w:rPr>
          <w:color w:val="000000" w:themeColor="text1"/>
          <w:sz w:val="24"/>
          <w:szCs w:val="24"/>
        </w:rPr>
      </w:pPr>
      <w:r w:rsidRPr="00792B36">
        <w:rPr>
          <w:color w:val="000000" w:themeColor="text1"/>
          <w:sz w:val="24"/>
          <w:szCs w:val="24"/>
        </w:rPr>
        <w:t>An assessment of the five focal sites shows clear spatial variation in recorded species richness and floristic composition. Khlong Dan (Samut Prakan) exhibits the highest documented diversity (30 species), followed by the Welu River Estuary (26 species) and Bandon Bay (24 species). Bang Pu Nature Education Centre supports 17 species, while Pak Phanang Bay and Don Hoi Lot lack complete species counts in the present table.</w:t>
      </w:r>
    </w:p>
    <w:p w14:paraId="7D81FE9D" w14:textId="77777777" w:rsidR="009A0A63" w:rsidRPr="00792B36" w:rsidRDefault="009A0A63" w:rsidP="009A0A63">
      <w:pPr>
        <w:ind w:firstLine="1134"/>
        <w:jc w:val="thaiDistribute"/>
        <w:rPr>
          <w:color w:val="000000" w:themeColor="text1"/>
          <w:sz w:val="24"/>
          <w:szCs w:val="24"/>
        </w:rPr>
      </w:pPr>
      <w:r w:rsidRPr="00792B36">
        <w:rPr>
          <w:color w:val="000000" w:themeColor="text1"/>
          <w:sz w:val="24"/>
          <w:szCs w:val="24"/>
        </w:rPr>
        <w:t xml:space="preserve">Across sites, the most frequently recorded dominants are </w:t>
      </w:r>
      <w:r w:rsidRPr="00792B36">
        <w:rPr>
          <w:i/>
          <w:iCs/>
          <w:color w:val="000000" w:themeColor="text1"/>
          <w:sz w:val="24"/>
          <w:szCs w:val="24"/>
        </w:rPr>
        <w:t>Rhizophora apiculata</w:t>
      </w:r>
      <w:r w:rsidRPr="00792B36">
        <w:rPr>
          <w:color w:val="000000" w:themeColor="text1"/>
          <w:sz w:val="24"/>
          <w:szCs w:val="24"/>
        </w:rPr>
        <w:t xml:space="preserve"> and </w:t>
      </w:r>
      <w:r w:rsidRPr="00792B36">
        <w:rPr>
          <w:i/>
          <w:iCs/>
          <w:color w:val="000000" w:themeColor="text1"/>
          <w:sz w:val="24"/>
          <w:szCs w:val="24"/>
        </w:rPr>
        <w:t>R. mucronata</w:t>
      </w:r>
      <w:r w:rsidRPr="00792B36">
        <w:rPr>
          <w:color w:val="000000" w:themeColor="text1"/>
          <w:sz w:val="24"/>
          <w:szCs w:val="24"/>
        </w:rPr>
        <w:t xml:space="preserve">, with </w:t>
      </w:r>
      <w:r w:rsidRPr="00792B36">
        <w:rPr>
          <w:i/>
          <w:iCs/>
          <w:color w:val="000000" w:themeColor="text1"/>
          <w:sz w:val="24"/>
          <w:szCs w:val="24"/>
        </w:rPr>
        <w:t>Avicennia alba</w:t>
      </w:r>
      <w:r w:rsidRPr="00792B36">
        <w:rPr>
          <w:color w:val="000000" w:themeColor="text1"/>
          <w:sz w:val="24"/>
          <w:szCs w:val="24"/>
        </w:rPr>
        <w:t xml:space="preserve"> also recurring—underscoring the ecological importance of Rhizophoraceae and Avicenniaceae in structuring these mangrove communities. Site-specific characteristic taxa further enrich the assemblages: </w:t>
      </w:r>
      <w:r w:rsidRPr="00792B36">
        <w:rPr>
          <w:i/>
          <w:iCs/>
          <w:color w:val="000000" w:themeColor="text1"/>
          <w:sz w:val="24"/>
          <w:szCs w:val="24"/>
        </w:rPr>
        <w:t>Excoecaria agallocha</w:t>
      </w:r>
      <w:r w:rsidRPr="00792B36">
        <w:rPr>
          <w:color w:val="000000" w:themeColor="text1"/>
          <w:sz w:val="24"/>
          <w:szCs w:val="24"/>
        </w:rPr>
        <w:t xml:space="preserve"> and </w:t>
      </w:r>
      <w:r w:rsidRPr="00792B36">
        <w:rPr>
          <w:i/>
          <w:iCs/>
          <w:color w:val="000000" w:themeColor="text1"/>
          <w:sz w:val="24"/>
          <w:szCs w:val="24"/>
        </w:rPr>
        <w:t>Lumnitzera racemosa</w:t>
      </w:r>
      <w:r w:rsidRPr="00792B36">
        <w:rPr>
          <w:color w:val="000000" w:themeColor="text1"/>
          <w:sz w:val="24"/>
          <w:szCs w:val="24"/>
        </w:rPr>
        <w:t xml:space="preserve"> at Welu; </w:t>
      </w:r>
      <w:r w:rsidRPr="00792B36">
        <w:rPr>
          <w:i/>
          <w:iCs/>
          <w:color w:val="000000" w:themeColor="text1"/>
          <w:sz w:val="24"/>
          <w:szCs w:val="24"/>
        </w:rPr>
        <w:t>Sonneratia caseolaris</w:t>
      </w:r>
      <w:r w:rsidRPr="00792B36">
        <w:rPr>
          <w:color w:val="000000" w:themeColor="text1"/>
          <w:sz w:val="24"/>
          <w:szCs w:val="24"/>
        </w:rPr>
        <w:t xml:space="preserve"> at Pak Phanang; and </w:t>
      </w:r>
      <w:r w:rsidRPr="00792B36">
        <w:rPr>
          <w:i/>
          <w:iCs/>
          <w:color w:val="000000" w:themeColor="text1"/>
          <w:sz w:val="24"/>
          <w:szCs w:val="24"/>
        </w:rPr>
        <w:t>Bruguiera cylindrica, B. gymnorhiza</w:t>
      </w:r>
      <w:r w:rsidRPr="00792B36">
        <w:rPr>
          <w:color w:val="000000" w:themeColor="text1"/>
          <w:sz w:val="24"/>
          <w:szCs w:val="24"/>
        </w:rPr>
        <w:t xml:space="preserve">, and </w:t>
      </w:r>
      <w:r w:rsidRPr="00792B36">
        <w:rPr>
          <w:i/>
          <w:iCs/>
          <w:color w:val="000000" w:themeColor="text1"/>
          <w:sz w:val="24"/>
          <w:szCs w:val="24"/>
        </w:rPr>
        <w:t>Ceriops tagal</w:t>
      </w:r>
      <w:r w:rsidRPr="00792B36">
        <w:rPr>
          <w:color w:val="000000" w:themeColor="text1"/>
          <w:sz w:val="24"/>
          <w:szCs w:val="24"/>
        </w:rPr>
        <w:t xml:space="preserve"> at Khlong Dan. Stand-density data (trees km</w:t>
      </w:r>
      <w:r w:rsidRPr="00792B36">
        <w:rPr>
          <w:rFonts w:ascii="Cambria Math" w:hAnsi="Cambria Math" w:cs="Cambria Math"/>
          <w:color w:val="000000" w:themeColor="text1"/>
          <w:sz w:val="24"/>
          <w:szCs w:val="24"/>
        </w:rPr>
        <w:t>⁻</w:t>
      </w:r>
      <w:r w:rsidRPr="00792B36">
        <w:rPr>
          <w:color w:val="000000" w:themeColor="text1"/>
          <w:sz w:val="24"/>
          <w:szCs w:val="24"/>
        </w:rPr>
        <w:t>²) were not reported for the sites in this compilation, highlighting a monitoring gap.</w:t>
      </w:r>
    </w:p>
    <w:p w14:paraId="7F11B5B5" w14:textId="77777777" w:rsidR="009A0A63" w:rsidRPr="00792B36" w:rsidRDefault="009A0A63" w:rsidP="009A0A63">
      <w:pPr>
        <w:ind w:firstLine="1134"/>
        <w:jc w:val="thaiDistribute"/>
        <w:rPr>
          <w:color w:val="000000" w:themeColor="text1"/>
          <w:sz w:val="24"/>
          <w:szCs w:val="24"/>
        </w:rPr>
      </w:pPr>
      <w:r w:rsidRPr="00792B36">
        <w:rPr>
          <w:color w:val="000000" w:themeColor="text1"/>
          <w:sz w:val="24"/>
          <w:szCs w:val="24"/>
        </w:rPr>
        <w:t xml:space="preserve">Overall, the pattern points to high but heterogeneous mangrove diversity across the Gulf of Thailand sites, dominated by Rhizophora–Avicennia frameworks with locally distinctive Bruguiera, Ceriops, Lumnitzera, and Sonneratia elements. Filling the density data gap and standardising plot surveys would strengthen comparisons and support site-specific conservation and restoration planning </w:t>
      </w:r>
      <w:r w:rsidRPr="00792B36">
        <w:rPr>
          <w:color w:val="000000" w:themeColor="text1"/>
          <w:sz w:val="24"/>
          <w:szCs w:val="24"/>
          <w:cs/>
        </w:rPr>
        <w:t>(</w:t>
      </w:r>
      <w:r w:rsidRPr="00792B36">
        <w:rPr>
          <w:color w:val="000000" w:themeColor="text1"/>
          <w:sz w:val="24"/>
          <w:szCs w:val="24"/>
        </w:rPr>
        <w:t>Table 5</w:t>
      </w:r>
      <w:r w:rsidRPr="00792B36">
        <w:rPr>
          <w:color w:val="000000" w:themeColor="text1"/>
          <w:sz w:val="24"/>
          <w:szCs w:val="24"/>
          <w:cs/>
        </w:rPr>
        <w:t>)</w:t>
      </w:r>
      <w:r w:rsidRPr="00792B36">
        <w:rPr>
          <w:color w:val="000000" w:themeColor="text1"/>
          <w:sz w:val="24"/>
          <w:szCs w:val="24"/>
        </w:rPr>
        <w:t>.</w:t>
      </w:r>
    </w:p>
    <w:p w14:paraId="6574D783" w14:textId="77777777" w:rsidR="009A0A63" w:rsidRPr="00792B36" w:rsidRDefault="009A0A63" w:rsidP="009A0A63">
      <w:pPr>
        <w:rPr>
          <w:color w:val="000000" w:themeColor="text1"/>
          <w:sz w:val="24"/>
          <w:szCs w:val="24"/>
        </w:rPr>
      </w:pPr>
    </w:p>
    <w:p w14:paraId="4E7CB90C" w14:textId="77777777" w:rsidR="009A0A63" w:rsidRPr="00792B36" w:rsidRDefault="009A0A63" w:rsidP="009A0A63">
      <w:pPr>
        <w:spacing w:after="120"/>
        <w:rPr>
          <w:color w:val="000000" w:themeColor="text1"/>
          <w:sz w:val="24"/>
          <w:szCs w:val="24"/>
        </w:rPr>
      </w:pPr>
      <w:r w:rsidRPr="00792B36">
        <w:rPr>
          <w:b/>
          <w:bCs/>
          <w:color w:val="000000" w:themeColor="text1"/>
          <w:sz w:val="24"/>
          <w:szCs w:val="24"/>
        </w:rPr>
        <w:t>Table 5</w:t>
      </w:r>
      <w:r w:rsidRPr="00792B36">
        <w:rPr>
          <w:b/>
          <w:bCs/>
          <w:color w:val="000000" w:themeColor="text1"/>
          <w:sz w:val="24"/>
          <w:szCs w:val="24"/>
          <w:cs/>
        </w:rPr>
        <w:t xml:space="preserve">. </w:t>
      </w:r>
      <w:r w:rsidRPr="00792B36">
        <w:rPr>
          <w:b/>
          <w:bCs/>
          <w:color w:val="000000" w:themeColor="text1"/>
          <w:sz w:val="24"/>
          <w:szCs w:val="24"/>
        </w:rPr>
        <w:t xml:space="preserve">Mangroves and wetland areas in Thailand </w:t>
      </w:r>
      <w:r w:rsidRPr="00792B36">
        <w:rPr>
          <w:b/>
          <w:bCs/>
          <w:color w:val="000000" w:themeColor="text1"/>
          <w:sz w:val="24"/>
          <w:szCs w:val="24"/>
          <w:cs/>
        </w:rPr>
        <w:t>(</w:t>
      </w:r>
      <w:r w:rsidRPr="00792B36">
        <w:rPr>
          <w:b/>
          <w:bCs/>
          <w:color w:val="000000" w:themeColor="text1"/>
          <w:sz w:val="24"/>
          <w:szCs w:val="24"/>
        </w:rPr>
        <w:t>Gulf of Thailand</w:t>
      </w:r>
      <w:r w:rsidRPr="00792B36">
        <w:rPr>
          <w:b/>
          <w:bCs/>
          <w:color w:val="000000" w:themeColor="text1"/>
          <w:sz w:val="24"/>
          <w:szCs w:val="24"/>
          <w:cs/>
        </w:rPr>
        <w:t xml:space="preserve">): </w:t>
      </w:r>
      <w:r w:rsidRPr="00792B36">
        <w:rPr>
          <w:color w:val="000000" w:themeColor="text1"/>
          <w:sz w:val="24"/>
          <w:szCs w:val="24"/>
        </w:rPr>
        <w:t>Biological data showing mangrove diversity, density and dominant species</w:t>
      </w:r>
      <w:r w:rsidRPr="00792B36">
        <w:rPr>
          <w:color w:val="000000" w:themeColor="text1"/>
          <w:sz w:val="24"/>
          <w:szCs w:val="24"/>
          <w:cs/>
        </w:rPr>
        <w:t xml:space="preserve"> </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2648"/>
        <w:gridCol w:w="3362"/>
        <w:gridCol w:w="1753"/>
        <w:gridCol w:w="5146"/>
        <w:gridCol w:w="41"/>
      </w:tblGrid>
      <w:tr w:rsidR="009A0A63" w:rsidRPr="00792B36" w14:paraId="7ECFE058" w14:textId="77777777" w:rsidTr="00A24459">
        <w:trPr>
          <w:gridAfter w:val="1"/>
          <w:wAfter w:w="16" w:type="pct"/>
          <w:trHeight w:val="570"/>
          <w:tblHeader/>
        </w:trPr>
        <w:tc>
          <w:tcPr>
            <w:tcW w:w="1022" w:type="pct"/>
            <w:vMerge w:val="restart"/>
            <w:vAlign w:val="center"/>
          </w:tcPr>
          <w:p w14:paraId="21D3CFE3" w14:textId="77777777" w:rsidR="009A0A63" w:rsidRPr="00792B36" w:rsidRDefault="009A0A63" w:rsidP="00A24459">
            <w:pPr>
              <w:spacing w:line="235" w:lineRule="auto"/>
              <w:jc w:val="center"/>
              <w:rPr>
                <w:rFonts w:eastAsia="Times New Roman"/>
                <w:b/>
                <w:bCs/>
                <w:color w:val="000000" w:themeColor="text1"/>
                <w:sz w:val="24"/>
                <w:szCs w:val="24"/>
              </w:rPr>
            </w:pPr>
            <w:r w:rsidRPr="00792B36">
              <w:rPr>
                <w:rFonts w:eastAsia="Times New Roman"/>
                <w:b/>
                <w:bCs/>
                <w:color w:val="000000" w:themeColor="text1"/>
                <w:sz w:val="24"/>
                <w:szCs w:val="24"/>
              </w:rPr>
              <w:t>Name of area</w:t>
            </w:r>
          </w:p>
        </w:tc>
        <w:tc>
          <w:tcPr>
            <w:tcW w:w="1298" w:type="pct"/>
            <w:vMerge w:val="restart"/>
            <w:tcMar>
              <w:top w:w="0" w:type="dxa"/>
              <w:left w:w="45" w:type="dxa"/>
              <w:bottom w:w="0" w:type="dxa"/>
              <w:right w:w="45" w:type="dxa"/>
            </w:tcMar>
            <w:vAlign w:val="center"/>
          </w:tcPr>
          <w:p w14:paraId="55DAF8BA" w14:textId="77777777" w:rsidR="009A0A63" w:rsidRPr="00792B36" w:rsidRDefault="009A0A63" w:rsidP="00A24459">
            <w:pPr>
              <w:spacing w:line="235" w:lineRule="auto"/>
              <w:jc w:val="center"/>
              <w:rPr>
                <w:rFonts w:eastAsia="Times New Roman"/>
                <w:b/>
                <w:bCs/>
                <w:color w:val="000000" w:themeColor="text1"/>
                <w:sz w:val="24"/>
                <w:szCs w:val="24"/>
              </w:rPr>
            </w:pPr>
            <w:r w:rsidRPr="00792B36">
              <w:rPr>
                <w:rFonts w:eastAsia="Times New Roman"/>
                <w:b/>
                <w:bCs/>
                <w:color w:val="000000" w:themeColor="text1"/>
                <w:sz w:val="24"/>
                <w:szCs w:val="24"/>
              </w:rPr>
              <w:t>Mangrove diversity</w:t>
            </w:r>
          </w:p>
        </w:tc>
        <w:tc>
          <w:tcPr>
            <w:tcW w:w="677" w:type="pct"/>
            <w:vMerge w:val="restart"/>
          </w:tcPr>
          <w:p w14:paraId="4C84D96D" w14:textId="77777777" w:rsidR="009A0A63" w:rsidRPr="00792B36" w:rsidRDefault="009A0A63" w:rsidP="00A24459">
            <w:pPr>
              <w:spacing w:line="235" w:lineRule="auto"/>
              <w:jc w:val="center"/>
              <w:rPr>
                <w:rFonts w:eastAsia="Times New Roman"/>
                <w:b/>
                <w:bCs/>
                <w:color w:val="000000" w:themeColor="text1"/>
                <w:sz w:val="24"/>
                <w:szCs w:val="24"/>
              </w:rPr>
            </w:pPr>
            <w:r w:rsidRPr="00792B36">
              <w:rPr>
                <w:rFonts w:eastAsia="Times New Roman"/>
                <w:b/>
                <w:bCs/>
                <w:color w:val="000000" w:themeColor="text1"/>
                <w:sz w:val="24"/>
                <w:szCs w:val="24"/>
              </w:rPr>
              <w:t>Density</w:t>
            </w:r>
          </w:p>
          <w:p w14:paraId="1F960CFB" w14:textId="77777777" w:rsidR="009A0A63" w:rsidRPr="00792B36" w:rsidRDefault="009A0A63" w:rsidP="00A24459">
            <w:pPr>
              <w:spacing w:line="235" w:lineRule="auto"/>
              <w:jc w:val="center"/>
              <w:rPr>
                <w:rFonts w:eastAsia="Times New Roman"/>
                <w:b/>
                <w:bCs/>
                <w:color w:val="000000" w:themeColor="text1"/>
                <w:sz w:val="24"/>
                <w:szCs w:val="24"/>
                <w:cs/>
              </w:rPr>
            </w:pPr>
            <w:r w:rsidRPr="00792B36">
              <w:rPr>
                <w:rFonts w:eastAsia="Times New Roman"/>
                <w:b/>
                <w:bCs/>
                <w:color w:val="000000" w:themeColor="text1"/>
                <w:sz w:val="24"/>
                <w:szCs w:val="24"/>
              </w:rPr>
              <w:t>Trees per km</w:t>
            </w:r>
            <w:r w:rsidRPr="00792B36">
              <w:rPr>
                <w:rFonts w:eastAsia="Times New Roman"/>
                <w:b/>
                <w:bCs/>
                <w:color w:val="000000" w:themeColor="text1"/>
                <w:sz w:val="24"/>
                <w:szCs w:val="24"/>
                <w:vertAlign w:val="superscript"/>
              </w:rPr>
              <w:t>2</w:t>
            </w:r>
          </w:p>
        </w:tc>
        <w:tc>
          <w:tcPr>
            <w:tcW w:w="1987" w:type="pct"/>
            <w:vMerge w:val="restart"/>
            <w:vAlign w:val="center"/>
          </w:tcPr>
          <w:p w14:paraId="5A7CBF9D" w14:textId="77777777" w:rsidR="009A0A63" w:rsidRPr="00792B36" w:rsidRDefault="009A0A63" w:rsidP="00A24459">
            <w:pPr>
              <w:spacing w:line="235" w:lineRule="auto"/>
              <w:jc w:val="center"/>
              <w:rPr>
                <w:rFonts w:eastAsia="Times New Roman"/>
                <w:b/>
                <w:bCs/>
                <w:color w:val="000000" w:themeColor="text1"/>
                <w:sz w:val="24"/>
                <w:szCs w:val="24"/>
              </w:rPr>
            </w:pPr>
            <w:r w:rsidRPr="00792B36">
              <w:rPr>
                <w:rFonts w:eastAsia="Times New Roman"/>
                <w:b/>
                <w:bCs/>
                <w:color w:val="000000" w:themeColor="text1"/>
                <w:sz w:val="24"/>
                <w:szCs w:val="24"/>
              </w:rPr>
              <w:t>Dominant species</w:t>
            </w:r>
          </w:p>
        </w:tc>
      </w:tr>
      <w:tr w:rsidR="009A0A63" w:rsidRPr="00792B36" w14:paraId="537343B0" w14:textId="77777777" w:rsidTr="00A24459">
        <w:trPr>
          <w:trHeight w:val="53"/>
          <w:tblHeader/>
        </w:trPr>
        <w:tc>
          <w:tcPr>
            <w:tcW w:w="1022" w:type="pct"/>
            <w:vMerge/>
          </w:tcPr>
          <w:p w14:paraId="07DE88E8" w14:textId="77777777" w:rsidR="009A0A63" w:rsidRPr="00792B36" w:rsidRDefault="009A0A63" w:rsidP="00A24459">
            <w:pPr>
              <w:spacing w:line="235" w:lineRule="auto"/>
              <w:rPr>
                <w:rFonts w:eastAsia="Times New Roman"/>
                <w:color w:val="000000" w:themeColor="text1"/>
                <w:sz w:val="24"/>
                <w:szCs w:val="24"/>
              </w:rPr>
            </w:pPr>
          </w:p>
        </w:tc>
        <w:tc>
          <w:tcPr>
            <w:tcW w:w="1298" w:type="pct"/>
            <w:vMerge/>
            <w:vAlign w:val="center"/>
          </w:tcPr>
          <w:p w14:paraId="7F36E633" w14:textId="77777777" w:rsidR="009A0A63" w:rsidRPr="00792B36" w:rsidRDefault="009A0A63" w:rsidP="00A24459">
            <w:pPr>
              <w:spacing w:line="235" w:lineRule="auto"/>
              <w:rPr>
                <w:rFonts w:eastAsia="Times New Roman"/>
                <w:color w:val="000000" w:themeColor="text1"/>
                <w:sz w:val="24"/>
                <w:szCs w:val="24"/>
              </w:rPr>
            </w:pPr>
          </w:p>
        </w:tc>
        <w:tc>
          <w:tcPr>
            <w:tcW w:w="677" w:type="pct"/>
            <w:vMerge/>
          </w:tcPr>
          <w:p w14:paraId="782A1C06" w14:textId="77777777" w:rsidR="009A0A63" w:rsidRPr="00792B36" w:rsidRDefault="009A0A63" w:rsidP="00A24459">
            <w:pPr>
              <w:spacing w:line="235" w:lineRule="auto"/>
              <w:rPr>
                <w:rFonts w:eastAsia="Times New Roman"/>
                <w:color w:val="000000" w:themeColor="text1"/>
                <w:sz w:val="24"/>
                <w:szCs w:val="24"/>
              </w:rPr>
            </w:pPr>
          </w:p>
        </w:tc>
        <w:tc>
          <w:tcPr>
            <w:tcW w:w="1987" w:type="pct"/>
            <w:vMerge/>
          </w:tcPr>
          <w:p w14:paraId="028208CC" w14:textId="77777777" w:rsidR="009A0A63" w:rsidRPr="00792B36" w:rsidRDefault="009A0A63" w:rsidP="00A24459">
            <w:pPr>
              <w:spacing w:line="235" w:lineRule="auto"/>
              <w:rPr>
                <w:rFonts w:eastAsia="Times New Roman"/>
                <w:color w:val="000000" w:themeColor="text1"/>
                <w:sz w:val="24"/>
                <w:szCs w:val="24"/>
              </w:rPr>
            </w:pPr>
          </w:p>
        </w:tc>
        <w:tc>
          <w:tcPr>
            <w:tcW w:w="16" w:type="pct"/>
            <w:vAlign w:val="center"/>
            <w:hideMark/>
          </w:tcPr>
          <w:p w14:paraId="51981BE7" w14:textId="77777777" w:rsidR="009A0A63" w:rsidRPr="00792B36" w:rsidRDefault="009A0A63" w:rsidP="00A24459">
            <w:pPr>
              <w:spacing w:line="235" w:lineRule="auto"/>
              <w:jc w:val="center"/>
              <w:rPr>
                <w:rFonts w:eastAsia="Times New Roman"/>
                <w:color w:val="000000" w:themeColor="text1"/>
                <w:sz w:val="24"/>
                <w:szCs w:val="24"/>
              </w:rPr>
            </w:pPr>
          </w:p>
        </w:tc>
      </w:tr>
      <w:tr w:rsidR="009A0A63" w:rsidRPr="00792B36" w14:paraId="619E660F" w14:textId="77777777" w:rsidTr="00A24459">
        <w:trPr>
          <w:trHeight w:val="315"/>
        </w:trPr>
        <w:tc>
          <w:tcPr>
            <w:tcW w:w="1022" w:type="pct"/>
            <w:vAlign w:val="center"/>
          </w:tcPr>
          <w:p w14:paraId="07F88E75" w14:textId="77777777" w:rsidR="009A0A63" w:rsidRPr="00792B36" w:rsidRDefault="009A0A63" w:rsidP="00A24459">
            <w:pPr>
              <w:spacing w:line="235" w:lineRule="auto"/>
              <w:rPr>
                <w:color w:val="000000" w:themeColor="text1"/>
                <w:sz w:val="24"/>
                <w:szCs w:val="24"/>
              </w:rPr>
            </w:pPr>
            <w:r w:rsidRPr="00792B36">
              <w:rPr>
                <w:rStyle w:val="Strong"/>
                <w:rFonts w:eastAsiaTheme="minorEastAsia"/>
                <w:color w:val="000000" w:themeColor="text1"/>
                <w:sz w:val="24"/>
                <w:szCs w:val="24"/>
              </w:rPr>
              <w:t>MG1: Welu River Estuary</w:t>
            </w:r>
          </w:p>
        </w:tc>
        <w:tc>
          <w:tcPr>
            <w:tcW w:w="1298" w:type="pct"/>
            <w:tcMar>
              <w:top w:w="0" w:type="dxa"/>
              <w:left w:w="45" w:type="dxa"/>
              <w:bottom w:w="0" w:type="dxa"/>
              <w:right w:w="45" w:type="dxa"/>
            </w:tcMar>
          </w:tcPr>
          <w:p w14:paraId="657DD7F9" w14:textId="77777777" w:rsidR="009A0A63" w:rsidRPr="00792B36" w:rsidRDefault="009A0A63" w:rsidP="00A24459">
            <w:pPr>
              <w:spacing w:line="235" w:lineRule="auto"/>
              <w:rPr>
                <w:color w:val="000000" w:themeColor="text1"/>
                <w:sz w:val="24"/>
                <w:szCs w:val="24"/>
              </w:rPr>
            </w:pPr>
            <w:r w:rsidRPr="00792B36">
              <w:rPr>
                <w:color w:val="000000" w:themeColor="text1"/>
                <w:sz w:val="24"/>
                <w:szCs w:val="24"/>
              </w:rPr>
              <w:t>26 Species</w:t>
            </w:r>
          </w:p>
        </w:tc>
        <w:tc>
          <w:tcPr>
            <w:tcW w:w="677" w:type="pct"/>
          </w:tcPr>
          <w:p w14:paraId="27D35183" w14:textId="77777777" w:rsidR="009A0A63" w:rsidRPr="00792B36" w:rsidRDefault="009A0A63" w:rsidP="00A24459">
            <w:pPr>
              <w:spacing w:line="235" w:lineRule="auto"/>
              <w:jc w:val="center"/>
              <w:rPr>
                <w:rFonts w:eastAsia="Times New Roman"/>
                <w:b/>
                <w:bCs/>
                <w:color w:val="000000" w:themeColor="text1"/>
                <w:sz w:val="24"/>
                <w:szCs w:val="24"/>
              </w:rPr>
            </w:pPr>
            <w:r w:rsidRPr="00792B36">
              <w:rPr>
                <w:rFonts w:eastAsia="Times New Roman"/>
                <w:b/>
                <w:bCs/>
                <w:color w:val="000000" w:themeColor="text1"/>
                <w:sz w:val="24"/>
                <w:szCs w:val="24"/>
              </w:rPr>
              <w:t>-</w:t>
            </w:r>
          </w:p>
        </w:tc>
        <w:tc>
          <w:tcPr>
            <w:tcW w:w="1987" w:type="pct"/>
          </w:tcPr>
          <w:p w14:paraId="70EAD133" w14:textId="77777777" w:rsidR="009A0A63" w:rsidRPr="00792B36" w:rsidRDefault="009A0A63" w:rsidP="00A24459">
            <w:pPr>
              <w:spacing w:line="235" w:lineRule="auto"/>
              <w:rPr>
                <w:rFonts w:eastAsia="Times New Roman"/>
                <w:color w:val="000000" w:themeColor="text1"/>
                <w:sz w:val="24"/>
                <w:szCs w:val="24"/>
                <w:lang w:val="pt-BR"/>
              </w:rPr>
            </w:pPr>
            <w:r w:rsidRPr="00792B36">
              <w:rPr>
                <w:rFonts w:eastAsia="Times New Roman"/>
                <w:color w:val="000000" w:themeColor="text1"/>
                <w:sz w:val="24"/>
                <w:szCs w:val="24"/>
                <w:cs/>
                <w:lang w:val="pt-BR"/>
              </w:rPr>
              <w:t xml:space="preserve">- </w:t>
            </w:r>
            <w:r w:rsidRPr="00792B36">
              <w:rPr>
                <w:rFonts w:eastAsia="Times New Roman"/>
                <w:i/>
                <w:iCs/>
                <w:color w:val="000000" w:themeColor="text1"/>
                <w:sz w:val="24"/>
                <w:szCs w:val="24"/>
                <w:lang w:val="pt-BR"/>
              </w:rPr>
              <w:t>Rhizophora apiculata</w:t>
            </w:r>
          </w:p>
          <w:p w14:paraId="7B687DB8" w14:textId="77777777" w:rsidR="009A0A63" w:rsidRPr="00792B36" w:rsidRDefault="009A0A63" w:rsidP="00A24459">
            <w:pPr>
              <w:spacing w:line="235" w:lineRule="auto"/>
              <w:rPr>
                <w:rFonts w:eastAsia="Times New Roman"/>
                <w:i/>
                <w:iCs/>
                <w:color w:val="000000" w:themeColor="text1"/>
                <w:sz w:val="24"/>
                <w:szCs w:val="24"/>
                <w:lang w:val="pt-BR"/>
              </w:rPr>
            </w:pPr>
            <w:r w:rsidRPr="00792B36">
              <w:rPr>
                <w:rFonts w:eastAsia="Times New Roman"/>
                <w:color w:val="000000" w:themeColor="text1"/>
                <w:sz w:val="24"/>
                <w:szCs w:val="24"/>
                <w:cs/>
                <w:lang w:val="pt-BR"/>
              </w:rPr>
              <w:t xml:space="preserve">- </w:t>
            </w:r>
            <w:r w:rsidRPr="00792B36">
              <w:rPr>
                <w:rFonts w:eastAsia="Times New Roman"/>
                <w:i/>
                <w:iCs/>
                <w:color w:val="000000" w:themeColor="text1"/>
                <w:sz w:val="24"/>
                <w:szCs w:val="24"/>
                <w:lang w:val="pt-BR"/>
              </w:rPr>
              <w:t>Excoecaria agallocha</w:t>
            </w:r>
          </w:p>
          <w:p w14:paraId="72AC0722" w14:textId="77777777" w:rsidR="009A0A63" w:rsidRPr="00792B36" w:rsidRDefault="009A0A63" w:rsidP="00A24459">
            <w:pPr>
              <w:spacing w:line="235" w:lineRule="auto"/>
              <w:rPr>
                <w:rFonts w:eastAsia="Times New Roman"/>
                <w:color w:val="000000" w:themeColor="text1"/>
                <w:sz w:val="24"/>
                <w:szCs w:val="24"/>
                <w:lang w:val="pt-BR"/>
              </w:rPr>
            </w:pPr>
            <w:r w:rsidRPr="00792B36">
              <w:rPr>
                <w:rFonts w:eastAsia="Times New Roman"/>
                <w:color w:val="000000" w:themeColor="text1"/>
                <w:sz w:val="24"/>
                <w:szCs w:val="24"/>
                <w:cs/>
                <w:lang w:val="pt-BR"/>
              </w:rPr>
              <w:t xml:space="preserve">- </w:t>
            </w:r>
            <w:proofErr w:type="spellStart"/>
            <w:r w:rsidRPr="00792B36">
              <w:rPr>
                <w:rFonts w:eastAsia="Times New Roman"/>
                <w:i/>
                <w:iCs/>
                <w:color w:val="000000" w:themeColor="text1"/>
                <w:sz w:val="24"/>
                <w:szCs w:val="24"/>
                <w:lang w:val="pt-BR"/>
              </w:rPr>
              <w:t>Lumnitzera</w:t>
            </w:r>
            <w:proofErr w:type="spellEnd"/>
            <w:r w:rsidRPr="00792B36">
              <w:rPr>
                <w:rFonts w:eastAsia="Times New Roman"/>
                <w:i/>
                <w:iCs/>
                <w:color w:val="000000" w:themeColor="text1"/>
                <w:sz w:val="24"/>
                <w:szCs w:val="24"/>
                <w:lang w:val="pt-BR"/>
              </w:rPr>
              <w:t xml:space="preserve"> racemosa</w:t>
            </w:r>
          </w:p>
        </w:tc>
        <w:tc>
          <w:tcPr>
            <w:tcW w:w="16" w:type="pct"/>
            <w:vAlign w:val="center"/>
            <w:hideMark/>
          </w:tcPr>
          <w:p w14:paraId="4C9A96F7" w14:textId="77777777" w:rsidR="009A0A63" w:rsidRPr="00792B36" w:rsidRDefault="009A0A63" w:rsidP="00A24459">
            <w:pPr>
              <w:spacing w:line="235" w:lineRule="auto"/>
              <w:rPr>
                <w:rFonts w:eastAsia="Times New Roman"/>
                <w:color w:val="000000" w:themeColor="text1"/>
                <w:sz w:val="24"/>
                <w:szCs w:val="24"/>
                <w:lang w:val="pt-BR"/>
              </w:rPr>
            </w:pPr>
          </w:p>
        </w:tc>
      </w:tr>
      <w:tr w:rsidR="009A0A63" w:rsidRPr="00792B36" w14:paraId="467816D0" w14:textId="77777777" w:rsidTr="00A24459">
        <w:trPr>
          <w:trHeight w:val="315"/>
        </w:trPr>
        <w:tc>
          <w:tcPr>
            <w:tcW w:w="1022" w:type="pct"/>
            <w:vAlign w:val="center"/>
          </w:tcPr>
          <w:p w14:paraId="14BE2F9C" w14:textId="77777777" w:rsidR="009A0A63" w:rsidRPr="00792B36" w:rsidRDefault="009A0A63" w:rsidP="00A24459">
            <w:pPr>
              <w:spacing w:line="235" w:lineRule="auto"/>
              <w:rPr>
                <w:color w:val="000000" w:themeColor="text1"/>
                <w:sz w:val="24"/>
                <w:szCs w:val="24"/>
              </w:rPr>
            </w:pPr>
            <w:r w:rsidRPr="00792B36">
              <w:rPr>
                <w:rStyle w:val="Strong"/>
                <w:rFonts w:eastAsiaTheme="minorEastAsia"/>
                <w:color w:val="000000" w:themeColor="text1"/>
                <w:sz w:val="24"/>
                <w:szCs w:val="24"/>
              </w:rPr>
              <w:t>MG2: Bandon Bay</w:t>
            </w:r>
          </w:p>
        </w:tc>
        <w:tc>
          <w:tcPr>
            <w:tcW w:w="1298" w:type="pct"/>
            <w:tcMar>
              <w:top w:w="0" w:type="dxa"/>
              <w:left w:w="45" w:type="dxa"/>
              <w:bottom w:w="0" w:type="dxa"/>
              <w:right w:w="45" w:type="dxa"/>
            </w:tcMar>
            <w:vAlign w:val="bottom"/>
          </w:tcPr>
          <w:p w14:paraId="5F352533" w14:textId="77777777" w:rsidR="009A0A63" w:rsidRPr="00792B36" w:rsidRDefault="009A0A63" w:rsidP="00A24459">
            <w:pPr>
              <w:spacing w:line="235" w:lineRule="auto"/>
              <w:rPr>
                <w:color w:val="000000" w:themeColor="text1"/>
                <w:sz w:val="24"/>
                <w:szCs w:val="24"/>
              </w:rPr>
            </w:pPr>
            <w:r w:rsidRPr="00792B36">
              <w:rPr>
                <w:color w:val="000000" w:themeColor="text1"/>
                <w:sz w:val="24"/>
                <w:szCs w:val="24"/>
              </w:rPr>
              <w:t>24 Species</w:t>
            </w:r>
          </w:p>
        </w:tc>
        <w:tc>
          <w:tcPr>
            <w:tcW w:w="677" w:type="pct"/>
          </w:tcPr>
          <w:p w14:paraId="14E0F1D8" w14:textId="77777777" w:rsidR="009A0A63" w:rsidRPr="00792B36" w:rsidRDefault="009A0A63" w:rsidP="00A24459">
            <w:pPr>
              <w:spacing w:line="235" w:lineRule="auto"/>
              <w:jc w:val="center"/>
              <w:rPr>
                <w:rFonts w:eastAsia="Times New Roman"/>
                <w:b/>
                <w:bCs/>
                <w:color w:val="000000" w:themeColor="text1"/>
                <w:sz w:val="24"/>
                <w:szCs w:val="24"/>
              </w:rPr>
            </w:pPr>
            <w:r w:rsidRPr="00792B36">
              <w:rPr>
                <w:rFonts w:eastAsia="Times New Roman"/>
                <w:b/>
                <w:bCs/>
                <w:color w:val="000000" w:themeColor="text1"/>
                <w:sz w:val="24"/>
                <w:szCs w:val="24"/>
              </w:rPr>
              <w:t>-</w:t>
            </w:r>
          </w:p>
        </w:tc>
        <w:tc>
          <w:tcPr>
            <w:tcW w:w="1987" w:type="pct"/>
          </w:tcPr>
          <w:p w14:paraId="14AA968E" w14:textId="77777777" w:rsidR="009A0A63" w:rsidRPr="00792B36" w:rsidRDefault="009A0A63" w:rsidP="00A24459">
            <w:pPr>
              <w:spacing w:line="235" w:lineRule="auto"/>
              <w:rPr>
                <w:rFonts w:eastAsia="Times New Roman"/>
                <w:color w:val="000000" w:themeColor="text1"/>
                <w:sz w:val="24"/>
                <w:szCs w:val="24"/>
                <w:lang w:val="pt-BR"/>
              </w:rPr>
            </w:pPr>
            <w:r w:rsidRPr="00792B36">
              <w:rPr>
                <w:rFonts w:eastAsia="Times New Roman"/>
                <w:color w:val="000000" w:themeColor="text1"/>
                <w:sz w:val="24"/>
                <w:szCs w:val="24"/>
                <w:lang w:val="pt-BR"/>
              </w:rPr>
              <w:t xml:space="preserve">- </w:t>
            </w:r>
            <w:r w:rsidRPr="00792B36">
              <w:rPr>
                <w:rFonts w:eastAsia="Times New Roman"/>
                <w:i/>
                <w:iCs/>
                <w:color w:val="000000" w:themeColor="text1"/>
                <w:sz w:val="24"/>
                <w:szCs w:val="24"/>
                <w:lang w:val="pt-BR"/>
              </w:rPr>
              <w:t>Rhizophora apiculata</w:t>
            </w:r>
          </w:p>
          <w:p w14:paraId="6F5E8A11" w14:textId="77777777" w:rsidR="009A0A63" w:rsidRPr="00792B36" w:rsidRDefault="009A0A63" w:rsidP="00A24459">
            <w:pPr>
              <w:spacing w:line="235" w:lineRule="auto"/>
              <w:rPr>
                <w:rFonts w:eastAsia="Times New Roman"/>
                <w:color w:val="000000" w:themeColor="text1"/>
                <w:sz w:val="24"/>
                <w:szCs w:val="24"/>
                <w:lang w:val="pt-BR"/>
              </w:rPr>
            </w:pPr>
            <w:r w:rsidRPr="00792B36">
              <w:rPr>
                <w:rFonts w:eastAsia="Times New Roman"/>
                <w:color w:val="000000" w:themeColor="text1"/>
                <w:sz w:val="24"/>
                <w:szCs w:val="24"/>
                <w:lang w:val="pt-BR"/>
              </w:rPr>
              <w:t xml:space="preserve">- </w:t>
            </w:r>
            <w:proofErr w:type="spellStart"/>
            <w:r w:rsidRPr="00792B36">
              <w:rPr>
                <w:rFonts w:eastAsia="Times New Roman"/>
                <w:i/>
                <w:iCs/>
                <w:color w:val="000000" w:themeColor="text1"/>
                <w:sz w:val="24"/>
                <w:szCs w:val="24"/>
                <w:lang w:val="pt-BR"/>
              </w:rPr>
              <w:t>Rhizophora</w:t>
            </w:r>
            <w:proofErr w:type="spellEnd"/>
            <w:r w:rsidRPr="00792B36">
              <w:rPr>
                <w:rFonts w:eastAsia="Times New Roman"/>
                <w:i/>
                <w:iCs/>
                <w:color w:val="000000" w:themeColor="text1"/>
                <w:sz w:val="24"/>
                <w:szCs w:val="24"/>
                <w:lang w:val="pt-BR"/>
              </w:rPr>
              <w:t xml:space="preserve"> </w:t>
            </w:r>
            <w:proofErr w:type="spellStart"/>
            <w:r w:rsidRPr="00792B36">
              <w:rPr>
                <w:rFonts w:eastAsia="Times New Roman"/>
                <w:i/>
                <w:iCs/>
                <w:color w:val="000000" w:themeColor="text1"/>
                <w:sz w:val="24"/>
                <w:szCs w:val="24"/>
                <w:lang w:val="pt-BR"/>
              </w:rPr>
              <w:t>mucronata</w:t>
            </w:r>
            <w:proofErr w:type="spellEnd"/>
          </w:p>
          <w:p w14:paraId="18E3AF21" w14:textId="77777777" w:rsidR="009A0A63" w:rsidRPr="00792B36" w:rsidRDefault="009A0A63" w:rsidP="00A24459">
            <w:pPr>
              <w:spacing w:line="235" w:lineRule="auto"/>
              <w:rPr>
                <w:rFonts w:eastAsia="Times New Roman"/>
                <w:color w:val="000000" w:themeColor="text1"/>
                <w:sz w:val="24"/>
                <w:szCs w:val="24"/>
                <w:cs/>
                <w:lang w:val="pt-BR"/>
              </w:rPr>
            </w:pPr>
            <w:r w:rsidRPr="00792B36">
              <w:rPr>
                <w:rFonts w:eastAsia="Times New Roman"/>
                <w:color w:val="000000" w:themeColor="text1"/>
                <w:sz w:val="24"/>
                <w:szCs w:val="24"/>
                <w:lang w:val="pt-BR"/>
              </w:rPr>
              <w:t xml:space="preserve">- </w:t>
            </w:r>
            <w:proofErr w:type="spellStart"/>
            <w:r w:rsidRPr="00792B36">
              <w:rPr>
                <w:rFonts w:eastAsia="Times New Roman"/>
                <w:i/>
                <w:iCs/>
                <w:color w:val="000000" w:themeColor="text1"/>
                <w:sz w:val="24"/>
                <w:szCs w:val="24"/>
                <w:lang w:val="pt-BR"/>
              </w:rPr>
              <w:t>Avicennia</w:t>
            </w:r>
            <w:proofErr w:type="spellEnd"/>
            <w:r w:rsidRPr="00792B36">
              <w:rPr>
                <w:rFonts w:eastAsia="Times New Roman"/>
                <w:i/>
                <w:iCs/>
                <w:color w:val="000000" w:themeColor="text1"/>
                <w:sz w:val="24"/>
                <w:szCs w:val="24"/>
                <w:lang w:val="pt-BR"/>
              </w:rPr>
              <w:t xml:space="preserve"> alba</w:t>
            </w:r>
          </w:p>
        </w:tc>
        <w:tc>
          <w:tcPr>
            <w:tcW w:w="16" w:type="pct"/>
            <w:vAlign w:val="center"/>
            <w:hideMark/>
          </w:tcPr>
          <w:p w14:paraId="71C24FB0" w14:textId="77777777" w:rsidR="009A0A63" w:rsidRPr="00792B36" w:rsidRDefault="009A0A63" w:rsidP="00A24459">
            <w:pPr>
              <w:spacing w:line="235" w:lineRule="auto"/>
              <w:rPr>
                <w:rFonts w:eastAsia="Times New Roman"/>
                <w:color w:val="000000" w:themeColor="text1"/>
                <w:sz w:val="24"/>
                <w:szCs w:val="24"/>
                <w:lang w:val="pt-BR"/>
              </w:rPr>
            </w:pPr>
          </w:p>
        </w:tc>
      </w:tr>
      <w:tr w:rsidR="009A0A63" w:rsidRPr="00792B36" w14:paraId="3D012A29" w14:textId="77777777" w:rsidTr="00A24459">
        <w:trPr>
          <w:trHeight w:val="316"/>
        </w:trPr>
        <w:tc>
          <w:tcPr>
            <w:tcW w:w="1022" w:type="pct"/>
            <w:vAlign w:val="center"/>
          </w:tcPr>
          <w:p w14:paraId="080FF76B" w14:textId="77777777" w:rsidR="009A0A63" w:rsidRPr="00792B36" w:rsidRDefault="009A0A63" w:rsidP="00A24459">
            <w:pPr>
              <w:spacing w:line="235" w:lineRule="auto"/>
              <w:rPr>
                <w:color w:val="000000" w:themeColor="text1"/>
                <w:sz w:val="24"/>
                <w:szCs w:val="24"/>
              </w:rPr>
            </w:pPr>
            <w:r w:rsidRPr="00792B36">
              <w:rPr>
                <w:rStyle w:val="Strong"/>
                <w:rFonts w:eastAsiaTheme="minorEastAsia"/>
                <w:color w:val="000000" w:themeColor="text1"/>
                <w:sz w:val="24"/>
                <w:szCs w:val="24"/>
              </w:rPr>
              <w:t>MG3: Pak Panang Bay</w:t>
            </w:r>
          </w:p>
        </w:tc>
        <w:tc>
          <w:tcPr>
            <w:tcW w:w="1298" w:type="pct"/>
            <w:tcMar>
              <w:top w:w="0" w:type="dxa"/>
              <w:left w:w="45" w:type="dxa"/>
              <w:bottom w:w="0" w:type="dxa"/>
              <w:right w:w="45" w:type="dxa"/>
            </w:tcMar>
            <w:vAlign w:val="bottom"/>
          </w:tcPr>
          <w:p w14:paraId="67936CC8" w14:textId="77777777" w:rsidR="009A0A63" w:rsidRPr="00792B36" w:rsidRDefault="009A0A63" w:rsidP="00A24459">
            <w:pPr>
              <w:spacing w:line="235" w:lineRule="auto"/>
              <w:rPr>
                <w:b/>
                <w:bCs/>
                <w:color w:val="000000" w:themeColor="text1"/>
                <w:sz w:val="24"/>
                <w:szCs w:val="24"/>
                <w:cs/>
              </w:rPr>
            </w:pPr>
            <w:r w:rsidRPr="00792B36">
              <w:rPr>
                <w:b/>
                <w:bCs/>
                <w:color w:val="000000" w:themeColor="text1"/>
                <w:sz w:val="24"/>
                <w:szCs w:val="24"/>
              </w:rPr>
              <w:t>-</w:t>
            </w:r>
          </w:p>
        </w:tc>
        <w:tc>
          <w:tcPr>
            <w:tcW w:w="677" w:type="pct"/>
          </w:tcPr>
          <w:p w14:paraId="1DC1153E" w14:textId="77777777" w:rsidR="009A0A63" w:rsidRPr="00792B36" w:rsidRDefault="009A0A63" w:rsidP="00A24459">
            <w:pPr>
              <w:spacing w:line="235" w:lineRule="auto"/>
              <w:jc w:val="center"/>
              <w:rPr>
                <w:rFonts w:eastAsia="Times New Roman"/>
                <w:b/>
                <w:bCs/>
                <w:color w:val="000000" w:themeColor="text1"/>
                <w:sz w:val="24"/>
                <w:szCs w:val="24"/>
              </w:rPr>
            </w:pPr>
            <w:r w:rsidRPr="00792B36">
              <w:rPr>
                <w:rFonts w:eastAsia="Times New Roman"/>
                <w:b/>
                <w:bCs/>
                <w:color w:val="000000" w:themeColor="text1"/>
                <w:sz w:val="24"/>
                <w:szCs w:val="24"/>
              </w:rPr>
              <w:t>-</w:t>
            </w:r>
          </w:p>
        </w:tc>
        <w:tc>
          <w:tcPr>
            <w:tcW w:w="1987" w:type="pct"/>
          </w:tcPr>
          <w:p w14:paraId="1358A42C" w14:textId="77777777" w:rsidR="009A0A63" w:rsidRPr="00792B36" w:rsidRDefault="009A0A63" w:rsidP="00A24459">
            <w:pPr>
              <w:spacing w:line="235" w:lineRule="auto"/>
              <w:rPr>
                <w:rFonts w:eastAsia="Times New Roman"/>
                <w:i/>
                <w:iCs/>
                <w:color w:val="000000" w:themeColor="text1"/>
                <w:sz w:val="24"/>
                <w:szCs w:val="24"/>
                <w:lang w:val="pt-BR"/>
              </w:rPr>
            </w:pPr>
            <w:r w:rsidRPr="00792B36">
              <w:rPr>
                <w:rFonts w:eastAsia="Times New Roman"/>
                <w:i/>
                <w:iCs/>
                <w:color w:val="000000" w:themeColor="text1"/>
                <w:sz w:val="24"/>
                <w:szCs w:val="24"/>
                <w:lang w:val="pt-BR"/>
              </w:rPr>
              <w:t xml:space="preserve">- </w:t>
            </w:r>
            <w:proofErr w:type="spellStart"/>
            <w:r w:rsidRPr="00792B36">
              <w:rPr>
                <w:rFonts w:eastAsia="Times New Roman"/>
                <w:i/>
                <w:iCs/>
                <w:color w:val="000000" w:themeColor="text1"/>
                <w:sz w:val="24"/>
                <w:szCs w:val="24"/>
                <w:lang w:val="pt-BR"/>
              </w:rPr>
              <w:t>Avicennia</w:t>
            </w:r>
            <w:proofErr w:type="spellEnd"/>
            <w:r w:rsidRPr="00792B36">
              <w:rPr>
                <w:rFonts w:eastAsia="Times New Roman"/>
                <w:i/>
                <w:iCs/>
                <w:color w:val="000000" w:themeColor="text1"/>
                <w:sz w:val="24"/>
                <w:szCs w:val="24"/>
                <w:lang w:val="pt-BR"/>
              </w:rPr>
              <w:t xml:space="preserve"> alba</w:t>
            </w:r>
          </w:p>
          <w:p w14:paraId="4A9EEBBF" w14:textId="77777777" w:rsidR="009A0A63" w:rsidRPr="00792B36" w:rsidRDefault="009A0A63" w:rsidP="00A24459">
            <w:pPr>
              <w:spacing w:line="235" w:lineRule="auto"/>
              <w:rPr>
                <w:rFonts w:eastAsia="Times New Roman"/>
                <w:i/>
                <w:iCs/>
                <w:color w:val="000000" w:themeColor="text1"/>
                <w:sz w:val="24"/>
                <w:szCs w:val="24"/>
                <w:lang w:val="pt-BR"/>
              </w:rPr>
            </w:pPr>
            <w:r w:rsidRPr="00792B36">
              <w:rPr>
                <w:rFonts w:eastAsia="Times New Roman"/>
                <w:i/>
                <w:iCs/>
                <w:color w:val="000000" w:themeColor="text1"/>
                <w:sz w:val="24"/>
                <w:szCs w:val="24"/>
                <w:lang w:val="pt-BR"/>
              </w:rPr>
              <w:lastRenderedPageBreak/>
              <w:t xml:space="preserve">- </w:t>
            </w:r>
            <w:proofErr w:type="spellStart"/>
            <w:r w:rsidRPr="00792B36">
              <w:rPr>
                <w:rFonts w:eastAsia="Times New Roman"/>
                <w:i/>
                <w:iCs/>
                <w:color w:val="000000" w:themeColor="text1"/>
                <w:sz w:val="24"/>
                <w:szCs w:val="24"/>
                <w:lang w:val="pt-BR"/>
              </w:rPr>
              <w:t>Sonneratia</w:t>
            </w:r>
            <w:proofErr w:type="spellEnd"/>
            <w:r w:rsidRPr="00792B36">
              <w:rPr>
                <w:rFonts w:eastAsia="Times New Roman"/>
                <w:i/>
                <w:iCs/>
                <w:color w:val="000000" w:themeColor="text1"/>
                <w:sz w:val="24"/>
                <w:szCs w:val="24"/>
                <w:lang w:val="pt-BR"/>
              </w:rPr>
              <w:t xml:space="preserve"> </w:t>
            </w:r>
            <w:proofErr w:type="spellStart"/>
            <w:r w:rsidRPr="00792B36">
              <w:rPr>
                <w:rFonts w:eastAsia="Times New Roman"/>
                <w:i/>
                <w:iCs/>
                <w:color w:val="000000" w:themeColor="text1"/>
                <w:sz w:val="24"/>
                <w:szCs w:val="24"/>
                <w:lang w:val="pt-BR"/>
              </w:rPr>
              <w:t>caseolaris</w:t>
            </w:r>
            <w:proofErr w:type="spellEnd"/>
          </w:p>
          <w:p w14:paraId="4DC6EE54" w14:textId="77777777" w:rsidR="009A0A63" w:rsidRPr="00792B36" w:rsidRDefault="009A0A63" w:rsidP="00A24459">
            <w:pPr>
              <w:spacing w:line="235" w:lineRule="auto"/>
              <w:rPr>
                <w:rFonts w:eastAsia="Times New Roman"/>
                <w:i/>
                <w:iCs/>
                <w:color w:val="000000" w:themeColor="text1"/>
                <w:sz w:val="24"/>
                <w:szCs w:val="24"/>
                <w:lang w:val="pt-BR"/>
              </w:rPr>
            </w:pPr>
            <w:r w:rsidRPr="00792B36">
              <w:rPr>
                <w:rFonts w:eastAsia="Times New Roman"/>
                <w:i/>
                <w:iCs/>
                <w:color w:val="000000" w:themeColor="text1"/>
                <w:sz w:val="24"/>
                <w:szCs w:val="24"/>
                <w:lang w:val="pt-BR"/>
              </w:rPr>
              <w:t>- Rhizophora apiculata</w:t>
            </w:r>
          </w:p>
        </w:tc>
        <w:tc>
          <w:tcPr>
            <w:tcW w:w="16" w:type="pct"/>
            <w:vAlign w:val="center"/>
            <w:hideMark/>
          </w:tcPr>
          <w:p w14:paraId="63B1F497" w14:textId="77777777" w:rsidR="009A0A63" w:rsidRPr="00792B36" w:rsidRDefault="009A0A63" w:rsidP="00A24459">
            <w:pPr>
              <w:spacing w:line="235" w:lineRule="auto"/>
              <w:rPr>
                <w:rFonts w:eastAsia="Times New Roman"/>
                <w:color w:val="000000" w:themeColor="text1"/>
                <w:sz w:val="24"/>
                <w:szCs w:val="24"/>
                <w:lang w:val="pt-BR"/>
              </w:rPr>
            </w:pPr>
          </w:p>
        </w:tc>
      </w:tr>
      <w:tr w:rsidR="009A0A63" w:rsidRPr="00792B36" w14:paraId="291159CA" w14:textId="77777777" w:rsidTr="00A24459">
        <w:trPr>
          <w:trHeight w:val="316"/>
        </w:trPr>
        <w:tc>
          <w:tcPr>
            <w:tcW w:w="1022" w:type="pct"/>
          </w:tcPr>
          <w:p w14:paraId="70BB308C" w14:textId="77777777" w:rsidR="009A0A63" w:rsidRPr="00792B36" w:rsidRDefault="009A0A63" w:rsidP="00A24459">
            <w:pPr>
              <w:spacing w:line="235" w:lineRule="auto"/>
              <w:rPr>
                <w:color w:val="000000" w:themeColor="text1"/>
                <w:sz w:val="24"/>
                <w:szCs w:val="24"/>
              </w:rPr>
            </w:pPr>
            <w:r w:rsidRPr="00792B36">
              <w:rPr>
                <w:rStyle w:val="Strong"/>
                <w:rFonts w:eastAsiaTheme="minorEastAsia"/>
                <w:color w:val="000000" w:themeColor="text1"/>
                <w:sz w:val="24"/>
                <w:szCs w:val="24"/>
              </w:rPr>
              <w:t>MG: Samut Prakan Province</w:t>
            </w:r>
          </w:p>
        </w:tc>
        <w:tc>
          <w:tcPr>
            <w:tcW w:w="1298" w:type="pct"/>
            <w:tcMar>
              <w:top w:w="0" w:type="dxa"/>
              <w:left w:w="45" w:type="dxa"/>
              <w:bottom w:w="0" w:type="dxa"/>
              <w:right w:w="45" w:type="dxa"/>
            </w:tcMar>
          </w:tcPr>
          <w:p w14:paraId="584259E7" w14:textId="77777777" w:rsidR="009A0A63" w:rsidRPr="00792B36" w:rsidRDefault="009A0A63" w:rsidP="00A24459">
            <w:pPr>
              <w:spacing w:line="235" w:lineRule="auto"/>
              <w:rPr>
                <w:b/>
                <w:bCs/>
                <w:i/>
                <w:iCs/>
                <w:color w:val="000000" w:themeColor="text1"/>
                <w:sz w:val="24"/>
                <w:szCs w:val="24"/>
              </w:rPr>
            </w:pPr>
            <w:r w:rsidRPr="00792B36">
              <w:rPr>
                <w:b/>
                <w:bCs/>
                <w:i/>
                <w:iCs/>
                <w:color w:val="000000" w:themeColor="text1"/>
                <w:sz w:val="24"/>
                <w:szCs w:val="24"/>
              </w:rPr>
              <w:t xml:space="preserve">Khlong Dan subdistrict </w:t>
            </w:r>
          </w:p>
          <w:p w14:paraId="047FD41B" w14:textId="77777777" w:rsidR="009A0A63" w:rsidRPr="00792B36" w:rsidRDefault="009A0A63" w:rsidP="00A24459">
            <w:pPr>
              <w:spacing w:line="235" w:lineRule="auto"/>
              <w:rPr>
                <w:color w:val="000000" w:themeColor="text1"/>
                <w:sz w:val="24"/>
                <w:szCs w:val="24"/>
              </w:rPr>
            </w:pPr>
            <w:r w:rsidRPr="00792B36">
              <w:rPr>
                <w:color w:val="000000" w:themeColor="text1"/>
                <w:sz w:val="24"/>
                <w:szCs w:val="24"/>
              </w:rPr>
              <w:t>30 species</w:t>
            </w:r>
          </w:p>
          <w:p w14:paraId="36F8B37A" w14:textId="77777777" w:rsidR="009A0A63" w:rsidRPr="00792B36" w:rsidRDefault="009A0A63" w:rsidP="00A24459">
            <w:pPr>
              <w:spacing w:line="235" w:lineRule="auto"/>
              <w:rPr>
                <w:b/>
                <w:bCs/>
                <w:i/>
                <w:iCs/>
                <w:color w:val="000000" w:themeColor="text1"/>
                <w:sz w:val="24"/>
                <w:szCs w:val="24"/>
              </w:rPr>
            </w:pPr>
          </w:p>
          <w:p w14:paraId="7E0A147A" w14:textId="77777777" w:rsidR="009A0A63" w:rsidRPr="00792B36" w:rsidRDefault="009A0A63" w:rsidP="00A24459">
            <w:pPr>
              <w:spacing w:line="235" w:lineRule="auto"/>
              <w:rPr>
                <w:b/>
                <w:bCs/>
                <w:i/>
                <w:iCs/>
                <w:color w:val="000000" w:themeColor="text1"/>
                <w:sz w:val="24"/>
                <w:szCs w:val="24"/>
              </w:rPr>
            </w:pPr>
            <w:r w:rsidRPr="00792B36">
              <w:rPr>
                <w:b/>
                <w:bCs/>
                <w:i/>
                <w:iCs/>
                <w:color w:val="000000" w:themeColor="text1"/>
                <w:sz w:val="24"/>
                <w:szCs w:val="24"/>
              </w:rPr>
              <w:t xml:space="preserve">Bangpu Nature Education Centre </w:t>
            </w:r>
          </w:p>
          <w:p w14:paraId="63C07F42" w14:textId="77777777" w:rsidR="009A0A63" w:rsidRPr="00792B36" w:rsidRDefault="009A0A63" w:rsidP="00A24459">
            <w:pPr>
              <w:spacing w:line="235" w:lineRule="auto"/>
              <w:rPr>
                <w:color w:val="000000" w:themeColor="text1"/>
                <w:sz w:val="24"/>
                <w:szCs w:val="24"/>
              </w:rPr>
            </w:pPr>
            <w:r w:rsidRPr="00792B36">
              <w:rPr>
                <w:color w:val="000000" w:themeColor="text1"/>
                <w:sz w:val="24"/>
                <w:szCs w:val="24"/>
              </w:rPr>
              <w:t>17 species</w:t>
            </w:r>
          </w:p>
        </w:tc>
        <w:tc>
          <w:tcPr>
            <w:tcW w:w="677" w:type="pct"/>
          </w:tcPr>
          <w:p w14:paraId="6ADEF93D" w14:textId="77777777" w:rsidR="009A0A63" w:rsidRPr="00792B36" w:rsidRDefault="009A0A63" w:rsidP="00A24459">
            <w:pPr>
              <w:spacing w:line="235" w:lineRule="auto"/>
              <w:jc w:val="center"/>
              <w:rPr>
                <w:rFonts w:eastAsia="Times New Roman"/>
                <w:b/>
                <w:bCs/>
                <w:color w:val="000000" w:themeColor="text1"/>
                <w:sz w:val="24"/>
                <w:szCs w:val="24"/>
              </w:rPr>
            </w:pPr>
            <w:r w:rsidRPr="00792B36">
              <w:rPr>
                <w:rFonts w:eastAsia="Times New Roman"/>
                <w:b/>
                <w:bCs/>
                <w:color w:val="000000" w:themeColor="text1"/>
                <w:sz w:val="24"/>
                <w:szCs w:val="24"/>
              </w:rPr>
              <w:t>-</w:t>
            </w:r>
          </w:p>
        </w:tc>
        <w:tc>
          <w:tcPr>
            <w:tcW w:w="1987" w:type="pct"/>
          </w:tcPr>
          <w:p w14:paraId="070C9971" w14:textId="77777777" w:rsidR="009A0A63" w:rsidRPr="00792B36" w:rsidRDefault="009A0A63" w:rsidP="00A24459">
            <w:pPr>
              <w:spacing w:line="235" w:lineRule="auto"/>
              <w:rPr>
                <w:b/>
                <w:bCs/>
                <w:i/>
                <w:iCs/>
                <w:color w:val="000000" w:themeColor="text1"/>
                <w:sz w:val="24"/>
                <w:szCs w:val="24"/>
                <w:lang w:val="pt-BR"/>
              </w:rPr>
            </w:pPr>
            <w:proofErr w:type="spellStart"/>
            <w:r w:rsidRPr="00792B36">
              <w:rPr>
                <w:b/>
                <w:bCs/>
                <w:i/>
                <w:iCs/>
                <w:color w:val="000000" w:themeColor="text1"/>
                <w:sz w:val="24"/>
                <w:szCs w:val="24"/>
                <w:lang w:val="pt-BR"/>
              </w:rPr>
              <w:t>Khlong</w:t>
            </w:r>
            <w:proofErr w:type="spellEnd"/>
            <w:r w:rsidRPr="00792B36">
              <w:rPr>
                <w:b/>
                <w:bCs/>
                <w:i/>
                <w:iCs/>
                <w:color w:val="000000" w:themeColor="text1"/>
                <w:sz w:val="24"/>
                <w:szCs w:val="24"/>
                <w:lang w:val="pt-BR"/>
              </w:rPr>
              <w:t xml:space="preserve"> Dan </w:t>
            </w:r>
            <w:proofErr w:type="spellStart"/>
            <w:r w:rsidRPr="00792B36">
              <w:rPr>
                <w:b/>
                <w:bCs/>
                <w:i/>
                <w:iCs/>
                <w:color w:val="000000" w:themeColor="text1"/>
                <w:sz w:val="24"/>
                <w:szCs w:val="24"/>
                <w:lang w:val="pt-BR"/>
              </w:rPr>
              <w:t>subdistrict</w:t>
            </w:r>
            <w:proofErr w:type="spellEnd"/>
            <w:r w:rsidRPr="00792B36">
              <w:rPr>
                <w:b/>
                <w:bCs/>
                <w:i/>
                <w:iCs/>
                <w:color w:val="000000" w:themeColor="text1"/>
                <w:sz w:val="24"/>
                <w:szCs w:val="24"/>
                <w:lang w:val="pt-BR"/>
              </w:rPr>
              <w:t xml:space="preserve"> </w:t>
            </w:r>
          </w:p>
          <w:p w14:paraId="09673655" w14:textId="77777777" w:rsidR="009A0A63" w:rsidRPr="00792B36" w:rsidRDefault="009A0A63" w:rsidP="00A24459">
            <w:pPr>
              <w:spacing w:line="235" w:lineRule="auto"/>
              <w:rPr>
                <w:rFonts w:eastAsia="Times New Roman"/>
                <w:i/>
                <w:iCs/>
                <w:color w:val="000000" w:themeColor="text1"/>
                <w:sz w:val="24"/>
                <w:szCs w:val="24"/>
                <w:lang w:val="pt-BR"/>
              </w:rPr>
            </w:pPr>
            <w:r w:rsidRPr="00792B36">
              <w:rPr>
                <w:rFonts w:eastAsia="Times New Roman"/>
                <w:i/>
                <w:iCs/>
                <w:color w:val="000000" w:themeColor="text1"/>
                <w:sz w:val="24"/>
                <w:szCs w:val="24"/>
                <w:lang w:val="pt-BR"/>
              </w:rPr>
              <w:t xml:space="preserve">- </w:t>
            </w:r>
            <w:proofErr w:type="spellStart"/>
            <w:r w:rsidRPr="00792B36">
              <w:rPr>
                <w:rFonts w:eastAsia="Times New Roman"/>
                <w:i/>
                <w:iCs/>
                <w:color w:val="000000" w:themeColor="text1"/>
                <w:sz w:val="24"/>
                <w:szCs w:val="24"/>
                <w:lang w:val="pt-BR"/>
              </w:rPr>
              <w:t>Bruguiera</w:t>
            </w:r>
            <w:proofErr w:type="spellEnd"/>
            <w:r w:rsidRPr="00792B36">
              <w:rPr>
                <w:rFonts w:eastAsia="Times New Roman"/>
                <w:i/>
                <w:iCs/>
                <w:color w:val="000000" w:themeColor="text1"/>
                <w:sz w:val="24"/>
                <w:szCs w:val="24"/>
                <w:lang w:val="pt-BR"/>
              </w:rPr>
              <w:t xml:space="preserve"> </w:t>
            </w:r>
            <w:proofErr w:type="spellStart"/>
            <w:r w:rsidRPr="00792B36">
              <w:rPr>
                <w:rFonts w:eastAsia="Times New Roman"/>
                <w:i/>
                <w:iCs/>
                <w:color w:val="000000" w:themeColor="text1"/>
                <w:sz w:val="24"/>
                <w:szCs w:val="24"/>
                <w:lang w:val="pt-BR"/>
              </w:rPr>
              <w:t>cylindrica</w:t>
            </w:r>
            <w:proofErr w:type="spellEnd"/>
          </w:p>
          <w:p w14:paraId="579C09C8" w14:textId="77777777" w:rsidR="009A0A63" w:rsidRPr="00792B36" w:rsidRDefault="009A0A63" w:rsidP="00A24459">
            <w:pPr>
              <w:spacing w:line="235" w:lineRule="auto"/>
              <w:rPr>
                <w:rFonts w:eastAsia="Times New Roman"/>
                <w:i/>
                <w:iCs/>
                <w:color w:val="000000" w:themeColor="text1"/>
                <w:sz w:val="24"/>
                <w:szCs w:val="24"/>
                <w:lang w:val="pt-BR"/>
              </w:rPr>
            </w:pPr>
            <w:r w:rsidRPr="00792B36">
              <w:rPr>
                <w:rFonts w:eastAsia="Times New Roman"/>
                <w:i/>
                <w:iCs/>
                <w:color w:val="000000" w:themeColor="text1"/>
                <w:sz w:val="24"/>
                <w:szCs w:val="24"/>
                <w:lang w:val="pt-BR"/>
              </w:rPr>
              <w:t xml:space="preserve">- </w:t>
            </w:r>
            <w:proofErr w:type="spellStart"/>
            <w:r w:rsidRPr="00792B36">
              <w:rPr>
                <w:rFonts w:eastAsia="Times New Roman"/>
                <w:i/>
                <w:iCs/>
                <w:color w:val="000000" w:themeColor="text1"/>
                <w:sz w:val="24"/>
                <w:szCs w:val="24"/>
                <w:lang w:val="pt-BR"/>
              </w:rPr>
              <w:t>Bruguiera</w:t>
            </w:r>
            <w:proofErr w:type="spellEnd"/>
            <w:r w:rsidRPr="00792B36">
              <w:rPr>
                <w:rFonts w:eastAsia="Times New Roman"/>
                <w:i/>
                <w:iCs/>
                <w:color w:val="000000" w:themeColor="text1"/>
                <w:sz w:val="24"/>
                <w:szCs w:val="24"/>
                <w:lang w:val="pt-BR"/>
              </w:rPr>
              <w:t xml:space="preserve"> </w:t>
            </w:r>
            <w:proofErr w:type="spellStart"/>
            <w:r w:rsidRPr="00792B36">
              <w:rPr>
                <w:rFonts w:eastAsia="Times New Roman"/>
                <w:i/>
                <w:iCs/>
                <w:color w:val="000000" w:themeColor="text1"/>
                <w:sz w:val="24"/>
                <w:szCs w:val="24"/>
                <w:lang w:val="pt-BR"/>
              </w:rPr>
              <w:t>gymnorrhiza</w:t>
            </w:r>
            <w:proofErr w:type="spellEnd"/>
          </w:p>
          <w:p w14:paraId="1830329F" w14:textId="77777777" w:rsidR="009A0A63" w:rsidRPr="00792B36" w:rsidRDefault="009A0A63" w:rsidP="00A24459">
            <w:pPr>
              <w:spacing w:line="235" w:lineRule="auto"/>
              <w:rPr>
                <w:rFonts w:eastAsia="Times New Roman"/>
                <w:i/>
                <w:iCs/>
                <w:color w:val="000000" w:themeColor="text1"/>
                <w:sz w:val="24"/>
                <w:szCs w:val="24"/>
                <w:lang w:val="pt-BR"/>
              </w:rPr>
            </w:pPr>
            <w:r w:rsidRPr="00792B36">
              <w:rPr>
                <w:rFonts w:eastAsia="Times New Roman"/>
                <w:i/>
                <w:iCs/>
                <w:color w:val="000000" w:themeColor="text1"/>
                <w:sz w:val="24"/>
                <w:szCs w:val="24"/>
                <w:lang w:val="pt-BR"/>
              </w:rPr>
              <w:t xml:space="preserve">- </w:t>
            </w:r>
            <w:proofErr w:type="spellStart"/>
            <w:r w:rsidRPr="00792B36">
              <w:rPr>
                <w:rFonts w:eastAsia="Times New Roman"/>
                <w:i/>
                <w:iCs/>
                <w:color w:val="000000" w:themeColor="text1"/>
                <w:sz w:val="24"/>
                <w:szCs w:val="24"/>
                <w:lang w:val="pt-BR"/>
              </w:rPr>
              <w:t>Ceriops</w:t>
            </w:r>
            <w:proofErr w:type="spellEnd"/>
            <w:r w:rsidRPr="00792B36">
              <w:rPr>
                <w:rFonts w:eastAsia="Times New Roman"/>
                <w:i/>
                <w:iCs/>
                <w:color w:val="000000" w:themeColor="text1"/>
                <w:sz w:val="24"/>
                <w:szCs w:val="24"/>
                <w:lang w:val="pt-BR"/>
              </w:rPr>
              <w:t xml:space="preserve"> tagal</w:t>
            </w:r>
          </w:p>
          <w:p w14:paraId="0C12C5FF" w14:textId="77777777" w:rsidR="009A0A63" w:rsidRPr="00792B36" w:rsidRDefault="009A0A63" w:rsidP="00A24459">
            <w:pPr>
              <w:spacing w:line="235" w:lineRule="auto"/>
              <w:rPr>
                <w:rFonts w:eastAsia="Times New Roman"/>
                <w:i/>
                <w:iCs/>
                <w:color w:val="000000" w:themeColor="text1"/>
                <w:sz w:val="24"/>
                <w:szCs w:val="24"/>
                <w:lang w:val="pt-BR"/>
              </w:rPr>
            </w:pPr>
            <w:r w:rsidRPr="00792B36">
              <w:rPr>
                <w:rFonts w:eastAsia="Times New Roman"/>
                <w:i/>
                <w:iCs/>
                <w:color w:val="000000" w:themeColor="text1"/>
                <w:sz w:val="24"/>
                <w:szCs w:val="24"/>
                <w:lang w:val="pt-BR"/>
              </w:rPr>
              <w:t xml:space="preserve">- </w:t>
            </w:r>
            <w:proofErr w:type="spellStart"/>
            <w:r w:rsidRPr="00792B36">
              <w:rPr>
                <w:rFonts w:eastAsia="Times New Roman"/>
                <w:i/>
                <w:iCs/>
                <w:color w:val="000000" w:themeColor="text1"/>
                <w:sz w:val="24"/>
                <w:szCs w:val="24"/>
                <w:lang w:val="pt-BR"/>
              </w:rPr>
              <w:t>Rhizophora</w:t>
            </w:r>
            <w:proofErr w:type="spellEnd"/>
            <w:r w:rsidRPr="00792B36">
              <w:rPr>
                <w:rFonts w:eastAsia="Times New Roman"/>
                <w:i/>
                <w:iCs/>
                <w:color w:val="000000" w:themeColor="text1"/>
                <w:sz w:val="24"/>
                <w:szCs w:val="24"/>
                <w:lang w:val="pt-BR"/>
              </w:rPr>
              <w:t xml:space="preserve"> </w:t>
            </w:r>
            <w:proofErr w:type="spellStart"/>
            <w:r w:rsidRPr="00792B36">
              <w:rPr>
                <w:rFonts w:eastAsia="Times New Roman"/>
                <w:i/>
                <w:iCs/>
                <w:color w:val="000000" w:themeColor="text1"/>
                <w:sz w:val="24"/>
                <w:szCs w:val="24"/>
                <w:lang w:val="pt-BR"/>
              </w:rPr>
              <w:t>apiculate</w:t>
            </w:r>
            <w:proofErr w:type="spellEnd"/>
          </w:p>
          <w:p w14:paraId="47427F02" w14:textId="77777777" w:rsidR="009A0A63" w:rsidRPr="00792B36" w:rsidRDefault="009A0A63" w:rsidP="00A24459">
            <w:pPr>
              <w:spacing w:line="235" w:lineRule="auto"/>
              <w:rPr>
                <w:rFonts w:eastAsia="Times New Roman"/>
                <w:i/>
                <w:iCs/>
                <w:color w:val="000000" w:themeColor="text1"/>
                <w:sz w:val="24"/>
                <w:szCs w:val="24"/>
                <w:lang w:val="pt-BR"/>
              </w:rPr>
            </w:pPr>
            <w:r w:rsidRPr="00792B36">
              <w:rPr>
                <w:rFonts w:eastAsia="Times New Roman"/>
                <w:i/>
                <w:iCs/>
                <w:color w:val="000000" w:themeColor="text1"/>
                <w:sz w:val="24"/>
                <w:szCs w:val="24"/>
                <w:lang w:val="pt-BR"/>
              </w:rPr>
              <w:t xml:space="preserve">- </w:t>
            </w:r>
            <w:proofErr w:type="spellStart"/>
            <w:r w:rsidRPr="00792B36">
              <w:rPr>
                <w:rFonts w:eastAsia="Times New Roman"/>
                <w:i/>
                <w:iCs/>
                <w:color w:val="000000" w:themeColor="text1"/>
                <w:sz w:val="24"/>
                <w:szCs w:val="24"/>
                <w:lang w:val="pt-BR"/>
              </w:rPr>
              <w:t>Rhizophora</w:t>
            </w:r>
            <w:proofErr w:type="spellEnd"/>
            <w:r w:rsidRPr="00792B36">
              <w:rPr>
                <w:rFonts w:eastAsia="Times New Roman"/>
                <w:i/>
                <w:iCs/>
                <w:color w:val="000000" w:themeColor="text1"/>
                <w:sz w:val="24"/>
                <w:szCs w:val="24"/>
                <w:lang w:val="pt-BR"/>
              </w:rPr>
              <w:t xml:space="preserve"> </w:t>
            </w:r>
            <w:proofErr w:type="spellStart"/>
            <w:r w:rsidRPr="00792B36">
              <w:rPr>
                <w:rFonts w:eastAsia="Times New Roman"/>
                <w:i/>
                <w:iCs/>
                <w:color w:val="000000" w:themeColor="text1"/>
                <w:sz w:val="24"/>
                <w:szCs w:val="24"/>
                <w:lang w:val="pt-BR"/>
              </w:rPr>
              <w:t>mucronata</w:t>
            </w:r>
            <w:proofErr w:type="spellEnd"/>
          </w:p>
          <w:p w14:paraId="5D0F527B" w14:textId="77777777" w:rsidR="009A0A63" w:rsidRPr="00792B36" w:rsidRDefault="009A0A63" w:rsidP="00A24459">
            <w:pPr>
              <w:spacing w:line="235" w:lineRule="auto"/>
              <w:rPr>
                <w:rFonts w:eastAsia="Times New Roman"/>
                <w:b/>
                <w:bCs/>
                <w:i/>
                <w:iCs/>
                <w:color w:val="000000" w:themeColor="text1"/>
                <w:sz w:val="24"/>
                <w:szCs w:val="24"/>
                <w:lang w:val="pt-BR"/>
              </w:rPr>
            </w:pPr>
          </w:p>
          <w:p w14:paraId="2FDC21F6" w14:textId="77777777" w:rsidR="009A0A63" w:rsidRPr="00792B36" w:rsidRDefault="009A0A63" w:rsidP="00A24459">
            <w:pPr>
              <w:spacing w:line="235" w:lineRule="auto"/>
              <w:rPr>
                <w:rFonts w:eastAsia="Times New Roman"/>
                <w:i/>
                <w:iCs/>
                <w:color w:val="000000" w:themeColor="text1"/>
                <w:sz w:val="24"/>
                <w:szCs w:val="24"/>
                <w:lang w:val="pt-BR"/>
              </w:rPr>
            </w:pPr>
            <w:proofErr w:type="spellStart"/>
            <w:r w:rsidRPr="00792B36">
              <w:rPr>
                <w:rFonts w:eastAsia="Times New Roman"/>
                <w:b/>
                <w:bCs/>
                <w:i/>
                <w:iCs/>
                <w:color w:val="000000" w:themeColor="text1"/>
                <w:sz w:val="24"/>
                <w:szCs w:val="24"/>
                <w:lang w:val="pt-BR"/>
              </w:rPr>
              <w:t>Bangpu</w:t>
            </w:r>
            <w:proofErr w:type="spellEnd"/>
            <w:r w:rsidRPr="00792B36">
              <w:rPr>
                <w:rFonts w:eastAsia="Times New Roman"/>
                <w:b/>
                <w:bCs/>
                <w:i/>
                <w:iCs/>
                <w:color w:val="000000" w:themeColor="text1"/>
                <w:sz w:val="24"/>
                <w:szCs w:val="24"/>
                <w:lang w:val="pt-BR"/>
              </w:rPr>
              <w:t xml:space="preserve"> </w:t>
            </w:r>
            <w:proofErr w:type="spellStart"/>
            <w:r w:rsidRPr="00792B36">
              <w:rPr>
                <w:rFonts w:eastAsia="Times New Roman"/>
                <w:b/>
                <w:bCs/>
                <w:i/>
                <w:iCs/>
                <w:color w:val="000000" w:themeColor="text1"/>
                <w:sz w:val="24"/>
                <w:szCs w:val="24"/>
                <w:lang w:val="pt-BR"/>
              </w:rPr>
              <w:t>Nature</w:t>
            </w:r>
            <w:proofErr w:type="spellEnd"/>
            <w:r w:rsidRPr="00792B36">
              <w:rPr>
                <w:rFonts w:eastAsia="Times New Roman"/>
                <w:b/>
                <w:bCs/>
                <w:i/>
                <w:iCs/>
                <w:color w:val="000000" w:themeColor="text1"/>
                <w:sz w:val="24"/>
                <w:szCs w:val="24"/>
                <w:lang w:val="pt-BR"/>
              </w:rPr>
              <w:t xml:space="preserve"> </w:t>
            </w:r>
            <w:proofErr w:type="spellStart"/>
            <w:r w:rsidRPr="00792B36">
              <w:rPr>
                <w:rFonts w:eastAsia="Times New Roman"/>
                <w:b/>
                <w:bCs/>
                <w:i/>
                <w:iCs/>
                <w:color w:val="000000" w:themeColor="text1"/>
                <w:sz w:val="24"/>
                <w:szCs w:val="24"/>
                <w:lang w:val="pt-BR"/>
              </w:rPr>
              <w:t>Education</w:t>
            </w:r>
            <w:proofErr w:type="spellEnd"/>
            <w:r w:rsidRPr="00792B36">
              <w:rPr>
                <w:rFonts w:eastAsia="Times New Roman"/>
                <w:b/>
                <w:bCs/>
                <w:i/>
                <w:iCs/>
                <w:color w:val="000000" w:themeColor="text1"/>
                <w:sz w:val="24"/>
                <w:szCs w:val="24"/>
                <w:lang w:val="pt-BR"/>
              </w:rPr>
              <w:t xml:space="preserve"> Centre </w:t>
            </w:r>
          </w:p>
          <w:p w14:paraId="2B0F95B6" w14:textId="77777777" w:rsidR="009A0A63" w:rsidRPr="00792B36" w:rsidRDefault="009A0A63" w:rsidP="00A24459">
            <w:pPr>
              <w:spacing w:line="235" w:lineRule="auto"/>
              <w:rPr>
                <w:rFonts w:eastAsia="Times New Roman"/>
                <w:i/>
                <w:iCs/>
                <w:color w:val="000000" w:themeColor="text1"/>
                <w:sz w:val="24"/>
                <w:szCs w:val="24"/>
                <w:lang w:val="pt-BR"/>
              </w:rPr>
            </w:pPr>
            <w:r w:rsidRPr="00792B36">
              <w:rPr>
                <w:rFonts w:eastAsia="Times New Roman"/>
                <w:i/>
                <w:iCs/>
                <w:color w:val="000000" w:themeColor="text1"/>
                <w:sz w:val="24"/>
                <w:szCs w:val="24"/>
                <w:lang w:val="pt-BR"/>
              </w:rPr>
              <w:t xml:space="preserve">- Rhizophora apiculata </w:t>
            </w:r>
          </w:p>
          <w:p w14:paraId="0FEF3B91" w14:textId="77777777" w:rsidR="009A0A63" w:rsidRPr="00792B36" w:rsidRDefault="009A0A63" w:rsidP="00A24459">
            <w:pPr>
              <w:spacing w:line="235" w:lineRule="auto"/>
              <w:rPr>
                <w:rFonts w:eastAsia="Times New Roman"/>
                <w:i/>
                <w:iCs/>
                <w:color w:val="000000" w:themeColor="text1"/>
                <w:sz w:val="24"/>
                <w:szCs w:val="24"/>
                <w:lang w:val="pt-BR"/>
              </w:rPr>
            </w:pPr>
            <w:r w:rsidRPr="00792B36">
              <w:rPr>
                <w:rFonts w:eastAsia="Times New Roman"/>
                <w:i/>
                <w:iCs/>
                <w:color w:val="000000" w:themeColor="text1"/>
                <w:sz w:val="24"/>
                <w:szCs w:val="24"/>
                <w:lang w:val="pt-BR"/>
              </w:rPr>
              <w:t xml:space="preserve">- </w:t>
            </w:r>
            <w:proofErr w:type="spellStart"/>
            <w:r w:rsidRPr="00792B36">
              <w:rPr>
                <w:rFonts w:eastAsia="Times New Roman"/>
                <w:i/>
                <w:iCs/>
                <w:color w:val="000000" w:themeColor="text1"/>
                <w:sz w:val="24"/>
                <w:szCs w:val="24"/>
                <w:lang w:val="pt-BR"/>
              </w:rPr>
              <w:t>Rhizophora</w:t>
            </w:r>
            <w:proofErr w:type="spellEnd"/>
            <w:r w:rsidRPr="00792B36">
              <w:rPr>
                <w:rFonts w:eastAsia="Times New Roman"/>
                <w:i/>
                <w:iCs/>
                <w:color w:val="000000" w:themeColor="text1"/>
                <w:sz w:val="24"/>
                <w:szCs w:val="24"/>
                <w:lang w:val="pt-BR"/>
              </w:rPr>
              <w:t xml:space="preserve"> </w:t>
            </w:r>
            <w:proofErr w:type="spellStart"/>
            <w:r w:rsidRPr="00792B36">
              <w:rPr>
                <w:rFonts w:eastAsia="Times New Roman"/>
                <w:i/>
                <w:iCs/>
                <w:color w:val="000000" w:themeColor="text1"/>
                <w:sz w:val="24"/>
                <w:szCs w:val="24"/>
                <w:lang w:val="pt-BR"/>
              </w:rPr>
              <w:t>mucronata</w:t>
            </w:r>
            <w:proofErr w:type="spellEnd"/>
          </w:p>
          <w:p w14:paraId="67CCD1FC" w14:textId="77777777" w:rsidR="009A0A63" w:rsidRPr="00792B36" w:rsidRDefault="009A0A63" w:rsidP="00A24459">
            <w:pPr>
              <w:spacing w:line="235" w:lineRule="auto"/>
              <w:rPr>
                <w:rFonts w:eastAsia="Times New Roman"/>
                <w:i/>
                <w:iCs/>
                <w:color w:val="000000" w:themeColor="text1"/>
                <w:sz w:val="24"/>
                <w:szCs w:val="24"/>
                <w:lang w:val="pt-BR"/>
              </w:rPr>
            </w:pPr>
            <w:r w:rsidRPr="00792B36">
              <w:rPr>
                <w:rFonts w:eastAsia="Times New Roman"/>
                <w:i/>
                <w:iCs/>
                <w:color w:val="000000" w:themeColor="text1"/>
                <w:sz w:val="24"/>
                <w:szCs w:val="24"/>
                <w:lang w:val="pt-BR"/>
              </w:rPr>
              <w:t xml:space="preserve">- </w:t>
            </w:r>
            <w:proofErr w:type="spellStart"/>
            <w:r w:rsidRPr="00792B36">
              <w:rPr>
                <w:rFonts w:eastAsia="Times New Roman"/>
                <w:i/>
                <w:iCs/>
                <w:color w:val="000000" w:themeColor="text1"/>
                <w:sz w:val="24"/>
                <w:szCs w:val="24"/>
                <w:lang w:val="pt-BR"/>
              </w:rPr>
              <w:t>Bruguiera</w:t>
            </w:r>
            <w:proofErr w:type="spellEnd"/>
            <w:r w:rsidRPr="00792B36">
              <w:rPr>
                <w:rFonts w:eastAsia="Times New Roman"/>
                <w:i/>
                <w:iCs/>
                <w:color w:val="000000" w:themeColor="text1"/>
                <w:sz w:val="24"/>
                <w:szCs w:val="24"/>
                <w:lang w:val="pt-BR"/>
              </w:rPr>
              <w:t xml:space="preserve"> </w:t>
            </w:r>
            <w:r w:rsidRPr="00792B36">
              <w:rPr>
                <w:rFonts w:eastAsia="Times New Roman"/>
                <w:color w:val="000000" w:themeColor="text1"/>
                <w:sz w:val="24"/>
                <w:szCs w:val="24"/>
                <w:lang w:val="pt-BR"/>
              </w:rPr>
              <w:t>sp.</w:t>
            </w:r>
          </w:p>
        </w:tc>
        <w:tc>
          <w:tcPr>
            <w:tcW w:w="16" w:type="pct"/>
            <w:vAlign w:val="center"/>
          </w:tcPr>
          <w:p w14:paraId="37A0A61C" w14:textId="77777777" w:rsidR="009A0A63" w:rsidRPr="00792B36" w:rsidRDefault="009A0A63" w:rsidP="00A24459">
            <w:pPr>
              <w:spacing w:line="235" w:lineRule="auto"/>
              <w:rPr>
                <w:rFonts w:eastAsia="Times New Roman"/>
                <w:color w:val="000000" w:themeColor="text1"/>
                <w:sz w:val="24"/>
                <w:szCs w:val="24"/>
                <w:lang w:val="pt-BR"/>
              </w:rPr>
            </w:pPr>
          </w:p>
        </w:tc>
      </w:tr>
      <w:tr w:rsidR="009A0A63" w:rsidRPr="00792B36" w14:paraId="2E7475E2" w14:textId="77777777" w:rsidTr="00A24459">
        <w:trPr>
          <w:trHeight w:val="316"/>
        </w:trPr>
        <w:tc>
          <w:tcPr>
            <w:tcW w:w="1022" w:type="pct"/>
            <w:vAlign w:val="center"/>
          </w:tcPr>
          <w:p w14:paraId="19AE5727" w14:textId="77777777" w:rsidR="009A0A63" w:rsidRPr="00792B36" w:rsidRDefault="009A0A63" w:rsidP="00A24459">
            <w:pPr>
              <w:spacing w:line="235" w:lineRule="auto"/>
              <w:rPr>
                <w:color w:val="000000" w:themeColor="text1"/>
                <w:sz w:val="24"/>
                <w:szCs w:val="24"/>
              </w:rPr>
            </w:pPr>
            <w:r w:rsidRPr="00792B36">
              <w:rPr>
                <w:rStyle w:val="Strong"/>
                <w:rFonts w:eastAsiaTheme="minorEastAsia"/>
                <w:color w:val="000000" w:themeColor="text1"/>
                <w:sz w:val="24"/>
                <w:szCs w:val="24"/>
              </w:rPr>
              <w:t>WL1: Don Hoi Lot</w:t>
            </w:r>
          </w:p>
        </w:tc>
        <w:tc>
          <w:tcPr>
            <w:tcW w:w="1298" w:type="pct"/>
            <w:tcMar>
              <w:top w:w="0" w:type="dxa"/>
              <w:left w:w="45" w:type="dxa"/>
              <w:bottom w:w="0" w:type="dxa"/>
              <w:right w:w="45" w:type="dxa"/>
            </w:tcMar>
            <w:vAlign w:val="bottom"/>
          </w:tcPr>
          <w:p w14:paraId="5052328E" w14:textId="77777777" w:rsidR="009A0A63" w:rsidRPr="00792B36" w:rsidRDefault="009A0A63" w:rsidP="00A24459">
            <w:pPr>
              <w:spacing w:line="235" w:lineRule="auto"/>
              <w:rPr>
                <w:b/>
                <w:bCs/>
                <w:color w:val="000000" w:themeColor="text1"/>
                <w:sz w:val="24"/>
                <w:szCs w:val="24"/>
              </w:rPr>
            </w:pPr>
            <w:r w:rsidRPr="00792B36">
              <w:rPr>
                <w:b/>
                <w:bCs/>
                <w:color w:val="000000" w:themeColor="text1"/>
                <w:sz w:val="24"/>
                <w:szCs w:val="24"/>
              </w:rPr>
              <w:t>-</w:t>
            </w:r>
          </w:p>
        </w:tc>
        <w:tc>
          <w:tcPr>
            <w:tcW w:w="677" w:type="pct"/>
            <w:vAlign w:val="center"/>
          </w:tcPr>
          <w:p w14:paraId="7C6A650C" w14:textId="77777777" w:rsidR="009A0A63" w:rsidRPr="00792B36" w:rsidRDefault="009A0A63" w:rsidP="00A24459">
            <w:pPr>
              <w:spacing w:line="235" w:lineRule="auto"/>
              <w:jc w:val="center"/>
              <w:rPr>
                <w:rFonts w:eastAsia="Times New Roman"/>
                <w:b/>
                <w:bCs/>
                <w:color w:val="000000" w:themeColor="text1"/>
                <w:sz w:val="24"/>
                <w:szCs w:val="24"/>
              </w:rPr>
            </w:pPr>
            <w:r w:rsidRPr="00792B36">
              <w:rPr>
                <w:rFonts w:eastAsia="Times New Roman"/>
                <w:b/>
                <w:bCs/>
                <w:color w:val="000000" w:themeColor="text1"/>
                <w:sz w:val="24"/>
                <w:szCs w:val="24"/>
              </w:rPr>
              <w:t>-</w:t>
            </w:r>
          </w:p>
        </w:tc>
        <w:tc>
          <w:tcPr>
            <w:tcW w:w="1987" w:type="pct"/>
          </w:tcPr>
          <w:p w14:paraId="18B37A0B" w14:textId="77777777" w:rsidR="009A0A63" w:rsidRPr="00792B36" w:rsidRDefault="009A0A63" w:rsidP="00A24459">
            <w:pPr>
              <w:spacing w:line="235" w:lineRule="auto"/>
              <w:rPr>
                <w:rFonts w:eastAsia="Times New Roman"/>
                <w:i/>
                <w:iCs/>
                <w:color w:val="000000" w:themeColor="text1"/>
                <w:sz w:val="24"/>
                <w:szCs w:val="24"/>
              </w:rPr>
            </w:pPr>
            <w:r w:rsidRPr="00792B36">
              <w:rPr>
                <w:rFonts w:eastAsia="Times New Roman"/>
                <w:i/>
                <w:iCs/>
                <w:color w:val="000000" w:themeColor="text1"/>
                <w:sz w:val="24"/>
                <w:szCs w:val="24"/>
                <w:cs/>
              </w:rPr>
              <w:t xml:space="preserve">- </w:t>
            </w:r>
            <w:r w:rsidRPr="00792B36">
              <w:rPr>
                <w:rFonts w:eastAsia="Times New Roman"/>
                <w:i/>
                <w:iCs/>
                <w:color w:val="000000" w:themeColor="text1"/>
                <w:sz w:val="24"/>
                <w:szCs w:val="24"/>
              </w:rPr>
              <w:t>Rhizophora apiculate</w:t>
            </w:r>
          </w:p>
          <w:p w14:paraId="385DB510" w14:textId="77777777" w:rsidR="009A0A63" w:rsidRPr="00792B36" w:rsidRDefault="009A0A63" w:rsidP="00A24459">
            <w:pPr>
              <w:spacing w:line="235" w:lineRule="auto"/>
              <w:rPr>
                <w:rFonts w:eastAsia="Times New Roman"/>
                <w:i/>
                <w:iCs/>
                <w:color w:val="000000" w:themeColor="text1"/>
                <w:sz w:val="24"/>
                <w:szCs w:val="24"/>
              </w:rPr>
            </w:pPr>
            <w:r w:rsidRPr="00792B36">
              <w:rPr>
                <w:rFonts w:eastAsia="Times New Roman"/>
                <w:i/>
                <w:iCs/>
                <w:color w:val="000000" w:themeColor="text1"/>
                <w:sz w:val="24"/>
                <w:szCs w:val="24"/>
                <w:cs/>
              </w:rPr>
              <w:t xml:space="preserve">- </w:t>
            </w:r>
            <w:r w:rsidRPr="00792B36">
              <w:rPr>
                <w:rFonts w:eastAsia="Times New Roman"/>
                <w:i/>
                <w:iCs/>
                <w:color w:val="000000" w:themeColor="text1"/>
                <w:sz w:val="24"/>
                <w:szCs w:val="24"/>
              </w:rPr>
              <w:t>Rhizophora mucronata</w:t>
            </w:r>
          </w:p>
        </w:tc>
        <w:tc>
          <w:tcPr>
            <w:tcW w:w="16" w:type="pct"/>
            <w:vAlign w:val="center"/>
          </w:tcPr>
          <w:p w14:paraId="7DF80212" w14:textId="77777777" w:rsidR="009A0A63" w:rsidRPr="00792B36" w:rsidRDefault="009A0A63" w:rsidP="00A24459">
            <w:pPr>
              <w:spacing w:line="235" w:lineRule="auto"/>
              <w:rPr>
                <w:rFonts w:eastAsia="Times New Roman"/>
                <w:color w:val="000000" w:themeColor="text1"/>
                <w:sz w:val="24"/>
                <w:szCs w:val="24"/>
              </w:rPr>
            </w:pPr>
          </w:p>
        </w:tc>
      </w:tr>
    </w:tbl>
    <w:p w14:paraId="44DB36FE" w14:textId="77777777" w:rsidR="009A0A63" w:rsidRPr="00792B36" w:rsidRDefault="009A0A63" w:rsidP="009A0A63">
      <w:pPr>
        <w:rPr>
          <w:color w:val="000000" w:themeColor="text1"/>
          <w:sz w:val="24"/>
          <w:szCs w:val="24"/>
          <w:lang w:val="pt-BR"/>
        </w:rPr>
      </w:pPr>
    </w:p>
    <w:p w14:paraId="28D98A96" w14:textId="77777777" w:rsidR="009A0A63" w:rsidRPr="00792B36" w:rsidRDefault="009A0A63" w:rsidP="009A0A63">
      <w:pPr>
        <w:spacing w:after="120"/>
        <w:ind w:firstLine="1134"/>
        <w:rPr>
          <w:b/>
          <w:bCs/>
          <w:i/>
          <w:iCs/>
          <w:color w:val="000000" w:themeColor="text1"/>
          <w:sz w:val="24"/>
          <w:szCs w:val="24"/>
        </w:rPr>
      </w:pPr>
    </w:p>
    <w:p w14:paraId="3CA66DF1" w14:textId="77777777" w:rsidR="009A0A63" w:rsidRPr="00792B36" w:rsidRDefault="009A0A63" w:rsidP="009A0A63">
      <w:pPr>
        <w:spacing w:after="120"/>
        <w:ind w:firstLine="1134"/>
        <w:rPr>
          <w:i/>
          <w:iCs/>
          <w:color w:val="000000" w:themeColor="text1"/>
          <w:sz w:val="24"/>
          <w:szCs w:val="24"/>
        </w:rPr>
      </w:pPr>
      <w:r w:rsidRPr="00792B36">
        <w:rPr>
          <w:b/>
          <w:bCs/>
          <w:i/>
          <w:iCs/>
          <w:color w:val="000000" w:themeColor="text1"/>
          <w:spacing w:val="-6"/>
          <w:sz w:val="24"/>
          <w:szCs w:val="24"/>
        </w:rPr>
        <w:t xml:space="preserve">Migrating species, SCS endemic species, endangered of threatened species </w:t>
      </w:r>
      <w:r w:rsidRPr="00792B36">
        <w:rPr>
          <w:b/>
          <w:bCs/>
          <w:i/>
          <w:iCs/>
          <w:color w:val="000000" w:themeColor="text1"/>
          <w:spacing w:val="-6"/>
          <w:sz w:val="24"/>
          <w:szCs w:val="24"/>
          <w:cs/>
        </w:rPr>
        <w:t>(</w:t>
      </w:r>
      <w:r w:rsidRPr="00792B36">
        <w:rPr>
          <w:b/>
          <w:bCs/>
          <w:i/>
          <w:iCs/>
          <w:color w:val="000000" w:themeColor="text1"/>
          <w:spacing w:val="-6"/>
          <w:sz w:val="24"/>
          <w:szCs w:val="24"/>
        </w:rPr>
        <w:t>IUCN</w:t>
      </w:r>
      <w:r w:rsidRPr="00792B36">
        <w:rPr>
          <w:b/>
          <w:bCs/>
          <w:i/>
          <w:iCs/>
          <w:color w:val="000000" w:themeColor="text1"/>
          <w:spacing w:val="-6"/>
          <w:sz w:val="24"/>
          <w:szCs w:val="24"/>
          <w:cs/>
        </w:rPr>
        <w:t>)</w:t>
      </w:r>
      <w:r w:rsidRPr="00792B36">
        <w:rPr>
          <w:b/>
          <w:bCs/>
          <w:i/>
          <w:iCs/>
          <w:color w:val="000000" w:themeColor="text1"/>
          <w:spacing w:val="-6"/>
          <w:sz w:val="24"/>
          <w:szCs w:val="24"/>
        </w:rPr>
        <w:t>, and source &amp;</w:t>
      </w:r>
      <w:r w:rsidRPr="00792B36">
        <w:rPr>
          <w:b/>
          <w:bCs/>
          <w:i/>
          <w:iCs/>
          <w:color w:val="000000" w:themeColor="text1"/>
          <w:sz w:val="24"/>
          <w:szCs w:val="24"/>
        </w:rPr>
        <w:t xml:space="preserve"> sink of larvae</w:t>
      </w:r>
    </w:p>
    <w:p w14:paraId="57D47B09" w14:textId="77777777" w:rsidR="009A0A63" w:rsidRPr="00792B36" w:rsidRDefault="009A0A63" w:rsidP="009A0A63">
      <w:pPr>
        <w:pStyle w:val="NormalWeb"/>
        <w:ind w:firstLine="1134"/>
        <w:jc w:val="thaiDistribute"/>
        <w:rPr>
          <w:rFonts w:ascii="Arial" w:hAnsi="Arial" w:cs="Arial"/>
        </w:rPr>
      </w:pPr>
      <w:r w:rsidRPr="00792B36">
        <w:rPr>
          <w:rFonts w:ascii="Arial" w:hAnsi="Arial" w:cs="Arial"/>
        </w:rPr>
        <w:t>The assessment of migratory and threatened species across the five focal mangrove and wetland sites in the Gulf of Thailand reveals distinct ecological roles and conservation values. Migratory birds utilize all sites seasonally</w:t>
      </w:r>
      <w:r w:rsidRPr="00792B36">
        <w:rPr>
          <w:rFonts w:ascii="Arial" w:hAnsi="Arial" w:cs="Arial"/>
          <w:i/>
          <w:iCs/>
        </w:rPr>
        <w:t>: Charadrius mongolus</w:t>
      </w:r>
      <w:r w:rsidRPr="00792B36">
        <w:rPr>
          <w:rFonts w:ascii="Arial" w:hAnsi="Arial" w:cs="Arial"/>
        </w:rPr>
        <w:t xml:space="preserve"> and </w:t>
      </w:r>
      <w:r w:rsidRPr="00792B36">
        <w:rPr>
          <w:rFonts w:ascii="Arial" w:hAnsi="Arial" w:cs="Arial"/>
          <w:i/>
          <w:iCs/>
        </w:rPr>
        <w:t>Lanius cristatus</w:t>
      </w:r>
      <w:r w:rsidRPr="00792B36">
        <w:rPr>
          <w:rFonts w:ascii="Arial" w:hAnsi="Arial" w:cs="Arial"/>
        </w:rPr>
        <w:t xml:space="preserve"> are common at Welu River Estuary; </w:t>
      </w:r>
      <w:r w:rsidRPr="00792B36">
        <w:rPr>
          <w:rFonts w:ascii="Arial" w:hAnsi="Arial" w:cs="Arial"/>
          <w:i/>
          <w:iCs/>
        </w:rPr>
        <w:t>Xenus cinereus</w:t>
      </w:r>
      <w:r w:rsidRPr="00792B36">
        <w:rPr>
          <w:rFonts w:ascii="Arial" w:hAnsi="Arial" w:cs="Arial"/>
        </w:rPr>
        <w:t xml:space="preserve"> and </w:t>
      </w:r>
      <w:r w:rsidRPr="00792B36">
        <w:rPr>
          <w:rFonts w:ascii="Arial" w:hAnsi="Arial" w:cs="Arial"/>
          <w:i/>
          <w:iCs/>
        </w:rPr>
        <w:t>Irrawaddy dolphin</w:t>
      </w:r>
      <w:r w:rsidRPr="00792B36">
        <w:rPr>
          <w:rFonts w:ascii="Arial" w:hAnsi="Arial" w:cs="Arial"/>
        </w:rPr>
        <w:t xml:space="preserve"> (Orcaella brevirostris) occur in Bandon Bay; </w:t>
      </w:r>
      <w:r w:rsidRPr="00792B36">
        <w:rPr>
          <w:rFonts w:ascii="Arial" w:hAnsi="Arial" w:cs="Arial"/>
          <w:i/>
          <w:iCs/>
        </w:rPr>
        <w:t>Numenius arquata</w:t>
      </w:r>
      <w:r w:rsidRPr="00792B36">
        <w:rPr>
          <w:rFonts w:ascii="Arial" w:hAnsi="Arial" w:cs="Arial"/>
        </w:rPr>
        <w:t xml:space="preserve"> and </w:t>
      </w:r>
      <w:r w:rsidRPr="00792B36">
        <w:rPr>
          <w:rFonts w:ascii="Arial" w:hAnsi="Arial" w:cs="Arial"/>
          <w:i/>
          <w:iCs/>
        </w:rPr>
        <w:t>foraging dugongs</w:t>
      </w:r>
      <w:r w:rsidRPr="00792B36">
        <w:rPr>
          <w:rFonts w:ascii="Arial" w:hAnsi="Arial" w:cs="Arial"/>
        </w:rPr>
        <w:t xml:space="preserve"> are reported near Pak Panang Bay; and Don Hoi Lot supports large flocks of East Asian–Australasian Flyway birds such as Sternula albifrons, Chlidonias hybrida, and Ardea cinerea.</w:t>
      </w:r>
    </w:p>
    <w:p w14:paraId="0D80E2DC" w14:textId="77777777" w:rsidR="009A0A63" w:rsidRPr="00792B36" w:rsidRDefault="009A0A63" w:rsidP="009A0A63">
      <w:pPr>
        <w:pStyle w:val="NormalWeb"/>
        <w:ind w:firstLine="1134"/>
        <w:jc w:val="thaiDistribute"/>
        <w:rPr>
          <w:rFonts w:ascii="Arial" w:hAnsi="Arial" w:cs="Arial"/>
        </w:rPr>
      </w:pPr>
      <w:r w:rsidRPr="00792B36">
        <w:rPr>
          <w:rFonts w:ascii="Arial" w:hAnsi="Arial" w:cs="Arial"/>
        </w:rPr>
        <w:t xml:space="preserve">Species of conservation concern are concentrated at specific sites. Welu River Estuary hosts </w:t>
      </w:r>
      <w:r w:rsidRPr="00792B36">
        <w:rPr>
          <w:rFonts w:ascii="Arial" w:hAnsi="Arial" w:cs="Arial"/>
          <w:i/>
          <w:iCs/>
        </w:rPr>
        <w:t>Bruguiera hainesii</w:t>
      </w:r>
      <w:r w:rsidRPr="00792B36">
        <w:rPr>
          <w:rFonts w:ascii="Arial" w:hAnsi="Arial" w:cs="Arial"/>
        </w:rPr>
        <w:t xml:space="preserve"> and </w:t>
      </w:r>
      <w:r w:rsidRPr="00792B36">
        <w:rPr>
          <w:rFonts w:ascii="Arial" w:hAnsi="Arial" w:cs="Arial"/>
          <w:i/>
          <w:iCs/>
        </w:rPr>
        <w:t>Sonneratia griffithii</w:t>
      </w:r>
      <w:r w:rsidRPr="00792B36">
        <w:rPr>
          <w:rFonts w:ascii="Arial" w:hAnsi="Arial" w:cs="Arial"/>
        </w:rPr>
        <w:t xml:space="preserve"> (CR) and </w:t>
      </w:r>
      <w:r w:rsidRPr="00792B36">
        <w:rPr>
          <w:rFonts w:ascii="Arial" w:hAnsi="Arial" w:cs="Arial"/>
          <w:i/>
          <w:iCs/>
        </w:rPr>
        <w:t>Heritiera fomes</w:t>
      </w:r>
      <w:r w:rsidRPr="00792B36">
        <w:rPr>
          <w:rFonts w:ascii="Arial" w:hAnsi="Arial" w:cs="Arial"/>
        </w:rPr>
        <w:t xml:space="preserve"> (EN); Bandon Bay supports </w:t>
      </w:r>
      <w:r w:rsidRPr="00792B36">
        <w:rPr>
          <w:rFonts w:ascii="Arial" w:hAnsi="Arial" w:cs="Arial"/>
          <w:i/>
          <w:iCs/>
        </w:rPr>
        <w:t>Calidris tenuirostris</w:t>
      </w:r>
      <w:r w:rsidRPr="00792B36">
        <w:rPr>
          <w:rFonts w:ascii="Arial" w:hAnsi="Arial" w:cs="Arial"/>
        </w:rPr>
        <w:t xml:space="preserve"> (EN), </w:t>
      </w:r>
      <w:r w:rsidRPr="00792B36">
        <w:rPr>
          <w:rFonts w:ascii="Arial" w:hAnsi="Arial" w:cs="Arial"/>
          <w:i/>
          <w:iCs/>
        </w:rPr>
        <w:t>Halcyon pileata</w:t>
      </w:r>
      <w:r w:rsidRPr="00792B36">
        <w:rPr>
          <w:rFonts w:ascii="Arial" w:hAnsi="Arial" w:cs="Arial"/>
        </w:rPr>
        <w:t xml:space="preserve">, </w:t>
      </w:r>
      <w:r w:rsidRPr="00792B36">
        <w:rPr>
          <w:rFonts w:ascii="Arial" w:hAnsi="Arial" w:cs="Arial"/>
          <w:i/>
          <w:iCs/>
        </w:rPr>
        <w:t>Rhyticeros subruficollis</w:t>
      </w:r>
      <w:r w:rsidRPr="00792B36">
        <w:rPr>
          <w:rFonts w:ascii="Arial" w:hAnsi="Arial" w:cs="Arial"/>
        </w:rPr>
        <w:t xml:space="preserve">, and </w:t>
      </w:r>
      <w:r w:rsidRPr="00792B36">
        <w:rPr>
          <w:rFonts w:ascii="Arial" w:hAnsi="Arial" w:cs="Arial"/>
          <w:i/>
          <w:iCs/>
        </w:rPr>
        <w:t>Egretta eulophotes</w:t>
      </w:r>
      <w:r w:rsidRPr="00792B36">
        <w:rPr>
          <w:rFonts w:ascii="Arial" w:hAnsi="Arial" w:cs="Arial"/>
        </w:rPr>
        <w:t xml:space="preserve"> (VU). Don Hoi Lot harbors Solen regularis, a South China Sea (SCS) </w:t>
      </w:r>
      <w:r w:rsidRPr="00792B36">
        <w:rPr>
          <w:rFonts w:ascii="Arial" w:hAnsi="Arial" w:cs="Arial"/>
        </w:rPr>
        <w:lastRenderedPageBreak/>
        <w:t xml:space="preserve">regional endemic, and several threatened species in nearby waters, including </w:t>
      </w:r>
      <w:r w:rsidRPr="00792B36">
        <w:rPr>
          <w:rFonts w:ascii="Arial" w:hAnsi="Arial" w:cs="Arial"/>
          <w:i/>
          <w:iCs/>
        </w:rPr>
        <w:t>Aythya baeri</w:t>
      </w:r>
      <w:r w:rsidRPr="00792B36">
        <w:rPr>
          <w:rFonts w:ascii="Arial" w:hAnsi="Arial" w:cs="Arial"/>
        </w:rPr>
        <w:t xml:space="preserve"> (CR) and </w:t>
      </w:r>
      <w:r w:rsidRPr="00792B36">
        <w:rPr>
          <w:rFonts w:ascii="Arial" w:hAnsi="Arial" w:cs="Arial"/>
          <w:i/>
          <w:iCs/>
        </w:rPr>
        <w:t>Pangasianodon hypophthalmus</w:t>
      </w:r>
      <w:r w:rsidRPr="00792B36">
        <w:rPr>
          <w:rFonts w:ascii="Arial" w:hAnsi="Arial" w:cs="Arial"/>
        </w:rPr>
        <w:t xml:space="preserve"> (EN).</w:t>
      </w:r>
    </w:p>
    <w:p w14:paraId="248BDC8D" w14:textId="77777777" w:rsidR="009A0A63" w:rsidRPr="00792B36" w:rsidRDefault="009A0A63" w:rsidP="009A0A63">
      <w:pPr>
        <w:pStyle w:val="NormalWeb"/>
        <w:ind w:firstLine="1134"/>
        <w:jc w:val="thaiDistribute"/>
        <w:rPr>
          <w:rFonts w:ascii="Arial" w:hAnsi="Arial" w:cs="Arial"/>
        </w:rPr>
      </w:pPr>
      <w:r w:rsidRPr="00792B36">
        <w:rPr>
          <w:rFonts w:ascii="Arial" w:hAnsi="Arial" w:cs="Arial"/>
        </w:rPr>
        <w:t>Functionally, Don Hoi Lot serves as a major source-sink system for larvae and juveniles of estuarine fauna, with high connectivity between the Mae Klong estuary and intertidal mudflats. Across the region, these findings highlight the ecological connectivity of Thailand’s coastal wetlands—supporting migratory routes, endemic biodiversity, and recruitment pathways essential for maintaining ecosystem productivity and resilience. (Table 6)</w:t>
      </w:r>
    </w:p>
    <w:p w14:paraId="2498E3C4" w14:textId="77777777" w:rsidR="009A0A63" w:rsidRPr="00792B36" w:rsidRDefault="009A0A63" w:rsidP="009A0A63">
      <w:pPr>
        <w:spacing w:after="120"/>
        <w:rPr>
          <w:color w:val="000000" w:themeColor="text1"/>
          <w:sz w:val="24"/>
          <w:szCs w:val="24"/>
        </w:rPr>
      </w:pPr>
      <w:r w:rsidRPr="00792B36">
        <w:rPr>
          <w:b/>
          <w:bCs/>
          <w:color w:val="000000" w:themeColor="text1"/>
          <w:sz w:val="24"/>
          <w:szCs w:val="24"/>
        </w:rPr>
        <w:t>Table 6</w:t>
      </w:r>
      <w:r w:rsidRPr="00792B36">
        <w:rPr>
          <w:b/>
          <w:bCs/>
          <w:color w:val="000000" w:themeColor="text1"/>
          <w:sz w:val="24"/>
          <w:szCs w:val="24"/>
          <w:cs/>
        </w:rPr>
        <w:t xml:space="preserve">. </w:t>
      </w:r>
      <w:r w:rsidRPr="00792B36">
        <w:rPr>
          <w:b/>
          <w:bCs/>
          <w:color w:val="000000" w:themeColor="text1"/>
          <w:sz w:val="24"/>
          <w:szCs w:val="24"/>
        </w:rPr>
        <w:t xml:space="preserve">Mangroves and wetland areas in Thailand </w:t>
      </w:r>
      <w:r w:rsidRPr="00792B36">
        <w:rPr>
          <w:b/>
          <w:bCs/>
          <w:color w:val="000000" w:themeColor="text1"/>
          <w:sz w:val="24"/>
          <w:szCs w:val="24"/>
          <w:cs/>
        </w:rPr>
        <w:t>(</w:t>
      </w:r>
      <w:r w:rsidRPr="00792B36">
        <w:rPr>
          <w:b/>
          <w:bCs/>
          <w:color w:val="000000" w:themeColor="text1"/>
          <w:sz w:val="24"/>
          <w:szCs w:val="24"/>
        </w:rPr>
        <w:t>Gulf of Thailand</w:t>
      </w:r>
      <w:r w:rsidRPr="00792B36">
        <w:rPr>
          <w:b/>
          <w:bCs/>
          <w:color w:val="000000" w:themeColor="text1"/>
          <w:sz w:val="24"/>
          <w:szCs w:val="24"/>
          <w:cs/>
        </w:rPr>
        <w:t xml:space="preserve">): </w:t>
      </w:r>
      <w:r w:rsidRPr="00792B36">
        <w:rPr>
          <w:color w:val="000000" w:themeColor="text1"/>
          <w:sz w:val="24"/>
          <w:szCs w:val="24"/>
        </w:rPr>
        <w:t>Biological data showing</w:t>
      </w:r>
      <w:r w:rsidRPr="00792B36">
        <w:rPr>
          <w:color w:val="000000" w:themeColor="text1"/>
          <w:sz w:val="24"/>
          <w:szCs w:val="24"/>
          <w:cs/>
        </w:rPr>
        <w:t xml:space="preserve"> </w:t>
      </w:r>
      <w:r w:rsidRPr="00792B36">
        <w:rPr>
          <w:color w:val="000000" w:themeColor="text1"/>
          <w:sz w:val="24"/>
          <w:szCs w:val="24"/>
        </w:rPr>
        <w:t xml:space="preserve">seagrass diversity and composition, migrating species, SCS endemic species, endangered of threatened species </w:t>
      </w:r>
      <w:r w:rsidRPr="00792B36">
        <w:rPr>
          <w:color w:val="000000" w:themeColor="text1"/>
          <w:sz w:val="24"/>
          <w:szCs w:val="24"/>
          <w:cs/>
        </w:rPr>
        <w:t>(</w:t>
      </w:r>
      <w:r w:rsidRPr="00792B36">
        <w:rPr>
          <w:color w:val="000000" w:themeColor="text1"/>
          <w:sz w:val="24"/>
          <w:szCs w:val="24"/>
        </w:rPr>
        <w:t>IUCN</w:t>
      </w:r>
      <w:r w:rsidRPr="00792B36">
        <w:rPr>
          <w:color w:val="000000" w:themeColor="text1"/>
          <w:sz w:val="24"/>
          <w:szCs w:val="24"/>
          <w:cs/>
        </w:rPr>
        <w:t>)</w:t>
      </w:r>
      <w:r w:rsidRPr="00792B36">
        <w:rPr>
          <w:color w:val="000000" w:themeColor="text1"/>
          <w:sz w:val="24"/>
          <w:szCs w:val="24"/>
        </w:rPr>
        <w:t>, and source &amp; sink of larvae</w:t>
      </w:r>
      <w:r w:rsidRPr="00792B36">
        <w:rPr>
          <w:color w:val="000000" w:themeColor="text1"/>
          <w:sz w:val="24"/>
          <w:szCs w:val="24"/>
          <w:cs/>
        </w:rPr>
        <w:t xml:space="preserve"> </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2508"/>
        <w:gridCol w:w="3048"/>
        <w:gridCol w:w="2147"/>
        <w:gridCol w:w="2867"/>
        <w:gridCol w:w="2380"/>
      </w:tblGrid>
      <w:tr w:rsidR="009A0A63" w:rsidRPr="00792B36" w14:paraId="3B17591A" w14:textId="77777777" w:rsidTr="00A24459">
        <w:trPr>
          <w:trHeight w:val="570"/>
        </w:trPr>
        <w:tc>
          <w:tcPr>
            <w:tcW w:w="968" w:type="pct"/>
            <w:vMerge w:val="restart"/>
            <w:vAlign w:val="center"/>
          </w:tcPr>
          <w:p w14:paraId="1866A82D" w14:textId="77777777" w:rsidR="009A0A63" w:rsidRPr="00792B36" w:rsidRDefault="009A0A63" w:rsidP="00A24459">
            <w:pPr>
              <w:jc w:val="center"/>
              <w:rPr>
                <w:rFonts w:eastAsia="Times New Roman"/>
                <w:b/>
                <w:bCs/>
                <w:color w:val="000000" w:themeColor="text1"/>
                <w:sz w:val="24"/>
                <w:szCs w:val="24"/>
              </w:rPr>
            </w:pPr>
            <w:r w:rsidRPr="00792B36">
              <w:rPr>
                <w:rFonts w:eastAsia="Times New Roman"/>
                <w:b/>
                <w:bCs/>
                <w:color w:val="000000" w:themeColor="text1"/>
                <w:sz w:val="24"/>
                <w:szCs w:val="24"/>
              </w:rPr>
              <w:t>Name of area</w:t>
            </w:r>
          </w:p>
        </w:tc>
        <w:tc>
          <w:tcPr>
            <w:tcW w:w="1177" w:type="pct"/>
            <w:vMerge w:val="restart"/>
            <w:vAlign w:val="center"/>
          </w:tcPr>
          <w:p w14:paraId="354E9540" w14:textId="77777777" w:rsidR="009A0A63" w:rsidRPr="00792B36" w:rsidRDefault="009A0A63" w:rsidP="00A24459">
            <w:pPr>
              <w:jc w:val="center"/>
              <w:rPr>
                <w:rFonts w:eastAsia="Times New Roman"/>
                <w:b/>
                <w:bCs/>
                <w:color w:val="000000" w:themeColor="text1"/>
                <w:sz w:val="24"/>
                <w:szCs w:val="24"/>
              </w:rPr>
            </w:pPr>
            <w:r w:rsidRPr="00792B36">
              <w:rPr>
                <w:rFonts w:eastAsia="Times New Roman"/>
                <w:b/>
                <w:bCs/>
                <w:color w:val="000000" w:themeColor="text1"/>
                <w:sz w:val="24"/>
                <w:szCs w:val="24"/>
              </w:rPr>
              <w:t>Migrating species</w:t>
            </w:r>
          </w:p>
        </w:tc>
        <w:tc>
          <w:tcPr>
            <w:tcW w:w="829" w:type="pct"/>
            <w:vMerge w:val="restart"/>
            <w:vAlign w:val="center"/>
          </w:tcPr>
          <w:p w14:paraId="22C075FE" w14:textId="77777777" w:rsidR="009A0A63" w:rsidRPr="00792B36" w:rsidRDefault="009A0A63" w:rsidP="00A24459">
            <w:pPr>
              <w:jc w:val="center"/>
              <w:rPr>
                <w:rFonts w:eastAsia="Times New Roman"/>
                <w:b/>
                <w:bCs/>
                <w:color w:val="000000" w:themeColor="text1"/>
                <w:sz w:val="24"/>
                <w:szCs w:val="24"/>
              </w:rPr>
            </w:pPr>
            <w:r w:rsidRPr="00792B36">
              <w:rPr>
                <w:rFonts w:eastAsia="Times New Roman"/>
                <w:b/>
                <w:bCs/>
                <w:color w:val="000000" w:themeColor="text1"/>
                <w:sz w:val="24"/>
                <w:szCs w:val="24"/>
              </w:rPr>
              <w:t>SCS Endemic species</w:t>
            </w:r>
          </w:p>
        </w:tc>
        <w:tc>
          <w:tcPr>
            <w:tcW w:w="1107" w:type="pct"/>
            <w:vMerge w:val="restart"/>
            <w:vAlign w:val="center"/>
          </w:tcPr>
          <w:p w14:paraId="4C7B5E86" w14:textId="77777777" w:rsidR="009A0A63" w:rsidRPr="00792B36" w:rsidRDefault="009A0A63" w:rsidP="00A24459">
            <w:pPr>
              <w:jc w:val="center"/>
              <w:rPr>
                <w:rFonts w:eastAsia="Times New Roman"/>
                <w:b/>
                <w:bCs/>
                <w:color w:val="000000" w:themeColor="text1"/>
                <w:sz w:val="24"/>
                <w:szCs w:val="24"/>
              </w:rPr>
            </w:pPr>
            <w:r w:rsidRPr="00792B36">
              <w:rPr>
                <w:rFonts w:eastAsia="Times New Roman"/>
                <w:b/>
                <w:bCs/>
                <w:color w:val="000000" w:themeColor="text1"/>
                <w:sz w:val="24"/>
                <w:szCs w:val="24"/>
              </w:rPr>
              <w:t xml:space="preserve">Endangered of threatened species </w:t>
            </w:r>
            <w:r w:rsidRPr="00792B36">
              <w:rPr>
                <w:rFonts w:eastAsia="Times New Roman"/>
                <w:b/>
                <w:bCs/>
                <w:color w:val="000000" w:themeColor="text1"/>
                <w:sz w:val="24"/>
                <w:szCs w:val="24"/>
                <w:cs/>
              </w:rPr>
              <w:t>(</w:t>
            </w:r>
            <w:r w:rsidRPr="00792B36">
              <w:rPr>
                <w:rFonts w:eastAsia="Times New Roman"/>
                <w:b/>
                <w:bCs/>
                <w:color w:val="000000" w:themeColor="text1"/>
                <w:sz w:val="24"/>
                <w:szCs w:val="24"/>
              </w:rPr>
              <w:t>IUCN</w:t>
            </w:r>
            <w:r w:rsidRPr="00792B36">
              <w:rPr>
                <w:rFonts w:eastAsia="Times New Roman"/>
                <w:b/>
                <w:bCs/>
                <w:color w:val="000000" w:themeColor="text1"/>
                <w:sz w:val="24"/>
                <w:szCs w:val="24"/>
                <w:cs/>
              </w:rPr>
              <w:t>)</w:t>
            </w:r>
          </w:p>
        </w:tc>
        <w:tc>
          <w:tcPr>
            <w:tcW w:w="919" w:type="pct"/>
            <w:vMerge w:val="restart"/>
            <w:vAlign w:val="center"/>
          </w:tcPr>
          <w:p w14:paraId="33E61EEF" w14:textId="77777777" w:rsidR="009A0A63" w:rsidRPr="00792B36" w:rsidRDefault="009A0A63" w:rsidP="00A24459">
            <w:pPr>
              <w:jc w:val="center"/>
              <w:rPr>
                <w:rFonts w:eastAsia="Times New Roman"/>
                <w:b/>
                <w:bCs/>
                <w:color w:val="000000" w:themeColor="text1"/>
                <w:sz w:val="24"/>
                <w:szCs w:val="24"/>
              </w:rPr>
            </w:pPr>
            <w:r w:rsidRPr="00792B36">
              <w:rPr>
                <w:rFonts w:eastAsia="Times New Roman"/>
                <w:b/>
                <w:bCs/>
                <w:color w:val="000000" w:themeColor="text1"/>
                <w:sz w:val="24"/>
                <w:szCs w:val="24"/>
              </w:rPr>
              <w:t>Source &amp; sink</w:t>
            </w:r>
          </w:p>
          <w:p w14:paraId="1E3D9204" w14:textId="77777777" w:rsidR="009A0A63" w:rsidRPr="00792B36" w:rsidRDefault="009A0A63" w:rsidP="00A24459">
            <w:pPr>
              <w:jc w:val="center"/>
              <w:rPr>
                <w:rFonts w:eastAsia="Times New Roman"/>
                <w:b/>
                <w:bCs/>
                <w:color w:val="000000" w:themeColor="text1"/>
                <w:sz w:val="24"/>
                <w:szCs w:val="24"/>
              </w:rPr>
            </w:pPr>
            <w:r w:rsidRPr="00792B36">
              <w:rPr>
                <w:rFonts w:eastAsia="Times New Roman"/>
                <w:b/>
                <w:bCs/>
                <w:color w:val="000000" w:themeColor="text1"/>
                <w:sz w:val="24"/>
                <w:szCs w:val="24"/>
              </w:rPr>
              <w:t>of larvae</w:t>
            </w:r>
          </w:p>
        </w:tc>
      </w:tr>
      <w:tr w:rsidR="009A0A63" w:rsidRPr="00792B36" w14:paraId="190213DC" w14:textId="77777777" w:rsidTr="00A24459">
        <w:trPr>
          <w:trHeight w:val="276"/>
        </w:trPr>
        <w:tc>
          <w:tcPr>
            <w:tcW w:w="968" w:type="pct"/>
            <w:vMerge/>
          </w:tcPr>
          <w:p w14:paraId="09C21663" w14:textId="77777777" w:rsidR="009A0A63" w:rsidRPr="00792B36" w:rsidRDefault="009A0A63" w:rsidP="00A24459">
            <w:pPr>
              <w:rPr>
                <w:rFonts w:eastAsia="Times New Roman"/>
                <w:color w:val="000000" w:themeColor="text1"/>
                <w:sz w:val="24"/>
                <w:szCs w:val="24"/>
              </w:rPr>
            </w:pPr>
          </w:p>
        </w:tc>
        <w:tc>
          <w:tcPr>
            <w:tcW w:w="1177" w:type="pct"/>
            <w:vMerge/>
          </w:tcPr>
          <w:p w14:paraId="75E18291" w14:textId="77777777" w:rsidR="009A0A63" w:rsidRPr="00792B36" w:rsidRDefault="009A0A63" w:rsidP="00A24459">
            <w:pPr>
              <w:rPr>
                <w:rFonts w:eastAsia="Times New Roman"/>
                <w:color w:val="000000" w:themeColor="text1"/>
                <w:sz w:val="24"/>
                <w:szCs w:val="24"/>
              </w:rPr>
            </w:pPr>
          </w:p>
        </w:tc>
        <w:tc>
          <w:tcPr>
            <w:tcW w:w="829" w:type="pct"/>
            <w:vMerge/>
          </w:tcPr>
          <w:p w14:paraId="675AF420" w14:textId="77777777" w:rsidR="009A0A63" w:rsidRPr="00792B36" w:rsidRDefault="009A0A63" w:rsidP="00A24459">
            <w:pPr>
              <w:rPr>
                <w:rFonts w:eastAsia="Times New Roman"/>
                <w:color w:val="000000" w:themeColor="text1"/>
                <w:sz w:val="24"/>
                <w:szCs w:val="24"/>
              </w:rPr>
            </w:pPr>
          </w:p>
        </w:tc>
        <w:tc>
          <w:tcPr>
            <w:tcW w:w="1107" w:type="pct"/>
            <w:vMerge/>
          </w:tcPr>
          <w:p w14:paraId="27546EC8" w14:textId="77777777" w:rsidR="009A0A63" w:rsidRPr="00792B36" w:rsidRDefault="009A0A63" w:rsidP="00A24459">
            <w:pPr>
              <w:rPr>
                <w:rFonts w:eastAsia="Times New Roman"/>
                <w:color w:val="000000" w:themeColor="text1"/>
                <w:sz w:val="24"/>
                <w:szCs w:val="24"/>
              </w:rPr>
            </w:pPr>
          </w:p>
        </w:tc>
        <w:tc>
          <w:tcPr>
            <w:tcW w:w="919" w:type="pct"/>
            <w:vMerge/>
          </w:tcPr>
          <w:p w14:paraId="6D2AAB7F" w14:textId="77777777" w:rsidR="009A0A63" w:rsidRPr="00792B36" w:rsidRDefault="009A0A63" w:rsidP="00A24459">
            <w:pPr>
              <w:jc w:val="center"/>
              <w:rPr>
                <w:rFonts w:eastAsia="Times New Roman"/>
                <w:color w:val="000000" w:themeColor="text1"/>
                <w:sz w:val="24"/>
                <w:szCs w:val="24"/>
              </w:rPr>
            </w:pPr>
          </w:p>
        </w:tc>
      </w:tr>
      <w:tr w:rsidR="009A0A63" w:rsidRPr="00792B36" w14:paraId="7A20763D" w14:textId="77777777" w:rsidTr="00A24459">
        <w:trPr>
          <w:trHeight w:val="253"/>
        </w:trPr>
        <w:tc>
          <w:tcPr>
            <w:tcW w:w="968" w:type="pct"/>
            <w:vAlign w:val="center"/>
          </w:tcPr>
          <w:p w14:paraId="7FC0A7F9" w14:textId="77777777" w:rsidR="009A0A63" w:rsidRPr="00792B36" w:rsidRDefault="009A0A63" w:rsidP="00A24459">
            <w:pPr>
              <w:rPr>
                <w:rFonts w:eastAsia="Times New Roman"/>
                <w:color w:val="000000" w:themeColor="text1"/>
                <w:sz w:val="24"/>
                <w:szCs w:val="24"/>
              </w:rPr>
            </w:pPr>
            <w:r w:rsidRPr="00792B36">
              <w:rPr>
                <w:rStyle w:val="Strong"/>
                <w:rFonts w:eastAsiaTheme="minorEastAsia"/>
                <w:color w:val="000000" w:themeColor="text1"/>
                <w:sz w:val="24"/>
                <w:szCs w:val="24"/>
              </w:rPr>
              <w:t>MG1: Welu River Estuary</w:t>
            </w:r>
            <w:r w:rsidRPr="00792B36">
              <w:rPr>
                <w:b/>
                <w:bCs/>
                <w:color w:val="000000" w:themeColor="text1"/>
                <w:sz w:val="24"/>
                <w:szCs w:val="24"/>
              </w:rPr>
              <w:br/>
            </w:r>
          </w:p>
        </w:tc>
        <w:tc>
          <w:tcPr>
            <w:tcW w:w="1177" w:type="pct"/>
          </w:tcPr>
          <w:p w14:paraId="1CF8FF7C" w14:textId="77777777" w:rsidR="009A0A63" w:rsidRPr="00792B36" w:rsidRDefault="009A0A63" w:rsidP="00A24459">
            <w:pPr>
              <w:rPr>
                <w:rFonts w:eastAsia="Times New Roman"/>
                <w:i/>
                <w:iCs/>
                <w:color w:val="000000" w:themeColor="text1"/>
                <w:sz w:val="24"/>
                <w:szCs w:val="24"/>
              </w:rPr>
            </w:pPr>
            <w:r w:rsidRPr="00792B36">
              <w:rPr>
                <w:rFonts w:eastAsia="Times New Roman"/>
                <w:i/>
                <w:iCs/>
                <w:color w:val="000000" w:themeColor="text1"/>
                <w:sz w:val="24"/>
                <w:szCs w:val="24"/>
                <w:cs/>
              </w:rPr>
              <w:t xml:space="preserve">- </w:t>
            </w:r>
            <w:r w:rsidRPr="00792B36">
              <w:rPr>
                <w:rFonts w:eastAsia="Times New Roman"/>
                <w:i/>
                <w:iCs/>
                <w:color w:val="000000" w:themeColor="text1"/>
                <w:sz w:val="24"/>
                <w:szCs w:val="24"/>
              </w:rPr>
              <w:t>Charadrius mongolus</w:t>
            </w:r>
          </w:p>
          <w:p w14:paraId="176DED79" w14:textId="77777777" w:rsidR="009A0A63" w:rsidRPr="00792B36" w:rsidRDefault="009A0A63" w:rsidP="00A24459">
            <w:pPr>
              <w:rPr>
                <w:rFonts w:eastAsia="Times New Roman"/>
                <w:color w:val="000000" w:themeColor="text1"/>
                <w:sz w:val="24"/>
                <w:szCs w:val="24"/>
              </w:rPr>
            </w:pPr>
            <w:r w:rsidRPr="00792B36">
              <w:rPr>
                <w:rFonts w:eastAsia="Times New Roman"/>
                <w:i/>
                <w:iCs/>
                <w:color w:val="000000" w:themeColor="text1"/>
                <w:sz w:val="24"/>
                <w:szCs w:val="24"/>
                <w:cs/>
              </w:rPr>
              <w:t xml:space="preserve">- </w:t>
            </w:r>
            <w:r w:rsidRPr="00792B36">
              <w:rPr>
                <w:rFonts w:eastAsia="Times New Roman"/>
                <w:i/>
                <w:iCs/>
                <w:color w:val="000000" w:themeColor="text1"/>
                <w:sz w:val="24"/>
                <w:szCs w:val="24"/>
              </w:rPr>
              <w:t>Lanius cristatus</w:t>
            </w:r>
          </w:p>
        </w:tc>
        <w:tc>
          <w:tcPr>
            <w:tcW w:w="829" w:type="pct"/>
          </w:tcPr>
          <w:p w14:paraId="6F3C01FD" w14:textId="77777777" w:rsidR="009A0A63" w:rsidRPr="00792B36" w:rsidRDefault="009A0A63" w:rsidP="00A24459">
            <w:pPr>
              <w:jc w:val="center"/>
              <w:rPr>
                <w:rFonts w:eastAsia="Times New Roman"/>
                <w:color w:val="000000" w:themeColor="text1"/>
                <w:sz w:val="24"/>
                <w:szCs w:val="24"/>
              </w:rPr>
            </w:pPr>
            <w:r w:rsidRPr="00792B36">
              <w:rPr>
                <w:rFonts w:eastAsia="Times New Roman"/>
                <w:color w:val="000000" w:themeColor="text1"/>
                <w:sz w:val="24"/>
                <w:szCs w:val="24"/>
                <w:cs/>
              </w:rPr>
              <w:t>-</w:t>
            </w:r>
          </w:p>
        </w:tc>
        <w:tc>
          <w:tcPr>
            <w:tcW w:w="1107" w:type="pct"/>
            <w:vMerge w:val="restart"/>
          </w:tcPr>
          <w:p w14:paraId="6C25283D" w14:textId="77777777" w:rsidR="009A0A63" w:rsidRPr="00792B36" w:rsidRDefault="009A0A63" w:rsidP="00A24459">
            <w:pPr>
              <w:rPr>
                <w:rFonts w:eastAsia="Times New Roman"/>
                <w:color w:val="000000" w:themeColor="text1"/>
                <w:sz w:val="24"/>
                <w:szCs w:val="24"/>
              </w:rPr>
            </w:pPr>
            <w:r w:rsidRPr="00792B36">
              <w:rPr>
                <w:rFonts w:eastAsia="Times New Roman"/>
                <w:color w:val="000000" w:themeColor="text1"/>
                <w:sz w:val="24"/>
                <w:szCs w:val="24"/>
              </w:rPr>
              <w:t>Plant species</w:t>
            </w:r>
            <w:r w:rsidRPr="00792B36">
              <w:rPr>
                <w:rFonts w:eastAsia="Times New Roman"/>
                <w:color w:val="000000" w:themeColor="text1"/>
                <w:sz w:val="24"/>
                <w:szCs w:val="24"/>
                <w:cs/>
              </w:rPr>
              <w:t xml:space="preserve">: </w:t>
            </w:r>
          </w:p>
          <w:p w14:paraId="6885AA90" w14:textId="77777777" w:rsidR="009A0A63" w:rsidRPr="00792B36" w:rsidRDefault="009A0A63" w:rsidP="00A24459">
            <w:pPr>
              <w:rPr>
                <w:rFonts w:eastAsia="Times New Roman"/>
                <w:color w:val="000000" w:themeColor="text1"/>
                <w:sz w:val="24"/>
                <w:szCs w:val="24"/>
              </w:rPr>
            </w:pPr>
            <w:r w:rsidRPr="00792B36">
              <w:rPr>
                <w:rFonts w:eastAsia="Times New Roman"/>
                <w:color w:val="000000" w:themeColor="text1"/>
                <w:sz w:val="24"/>
                <w:szCs w:val="24"/>
              </w:rPr>
              <w:t>Critically Endangered</w:t>
            </w:r>
          </w:p>
          <w:p w14:paraId="6AED40A2" w14:textId="77777777" w:rsidR="009A0A63" w:rsidRPr="00792B36" w:rsidRDefault="009A0A63" w:rsidP="00A24459">
            <w:pPr>
              <w:rPr>
                <w:rFonts w:eastAsia="Times New Roman"/>
                <w:color w:val="000000" w:themeColor="text1"/>
                <w:sz w:val="24"/>
                <w:szCs w:val="24"/>
              </w:rPr>
            </w:pPr>
            <w:r w:rsidRPr="00792B36">
              <w:rPr>
                <w:rFonts w:eastAsia="Times New Roman"/>
                <w:color w:val="000000" w:themeColor="text1"/>
                <w:sz w:val="24"/>
                <w:szCs w:val="24"/>
                <w:cs/>
              </w:rPr>
              <w:t xml:space="preserve">- </w:t>
            </w:r>
            <w:r w:rsidRPr="00792B36">
              <w:rPr>
                <w:rFonts w:eastAsia="Times New Roman"/>
                <w:i/>
                <w:iCs/>
                <w:color w:val="000000" w:themeColor="text1"/>
                <w:sz w:val="24"/>
                <w:szCs w:val="24"/>
              </w:rPr>
              <w:t>Bruguiera hainesii</w:t>
            </w:r>
          </w:p>
          <w:p w14:paraId="2AD57D64" w14:textId="77777777" w:rsidR="009A0A63" w:rsidRPr="00792B36" w:rsidRDefault="009A0A63" w:rsidP="00A24459">
            <w:pPr>
              <w:rPr>
                <w:rFonts w:eastAsia="Times New Roman"/>
                <w:color w:val="000000" w:themeColor="text1"/>
                <w:sz w:val="24"/>
                <w:szCs w:val="24"/>
              </w:rPr>
            </w:pPr>
            <w:r w:rsidRPr="00792B36">
              <w:rPr>
                <w:rFonts w:eastAsia="Times New Roman"/>
                <w:color w:val="000000" w:themeColor="text1"/>
                <w:sz w:val="24"/>
                <w:szCs w:val="24"/>
                <w:cs/>
              </w:rPr>
              <w:t xml:space="preserve">- </w:t>
            </w:r>
            <w:r w:rsidRPr="00792B36">
              <w:rPr>
                <w:rFonts w:eastAsia="Times New Roman"/>
                <w:i/>
                <w:iCs/>
                <w:color w:val="000000" w:themeColor="text1"/>
                <w:sz w:val="24"/>
                <w:szCs w:val="24"/>
              </w:rPr>
              <w:t>Sonneratia griffithii</w:t>
            </w:r>
          </w:p>
          <w:p w14:paraId="5B382671" w14:textId="77777777" w:rsidR="009A0A63" w:rsidRPr="00792B36" w:rsidRDefault="009A0A63" w:rsidP="00A24459">
            <w:pPr>
              <w:rPr>
                <w:rFonts w:eastAsia="Times New Roman"/>
                <w:color w:val="000000" w:themeColor="text1"/>
                <w:sz w:val="24"/>
                <w:szCs w:val="24"/>
              </w:rPr>
            </w:pPr>
            <w:r w:rsidRPr="00792B36">
              <w:rPr>
                <w:rFonts w:eastAsia="Times New Roman"/>
                <w:color w:val="000000" w:themeColor="text1"/>
                <w:sz w:val="24"/>
                <w:szCs w:val="24"/>
              </w:rPr>
              <w:t>Endangered</w:t>
            </w:r>
          </w:p>
          <w:p w14:paraId="142790F9" w14:textId="77777777" w:rsidR="009A0A63" w:rsidRPr="00792B36" w:rsidRDefault="009A0A63" w:rsidP="00A24459">
            <w:pPr>
              <w:rPr>
                <w:rFonts w:eastAsia="Times New Roman"/>
                <w:color w:val="000000" w:themeColor="text1"/>
                <w:sz w:val="24"/>
                <w:szCs w:val="24"/>
              </w:rPr>
            </w:pPr>
            <w:r w:rsidRPr="00792B36">
              <w:rPr>
                <w:rFonts w:eastAsia="Times New Roman"/>
                <w:color w:val="000000" w:themeColor="text1"/>
                <w:sz w:val="24"/>
                <w:szCs w:val="24"/>
                <w:cs/>
              </w:rPr>
              <w:t xml:space="preserve">- </w:t>
            </w:r>
            <w:r w:rsidRPr="00792B36">
              <w:rPr>
                <w:rFonts w:eastAsia="Times New Roman"/>
                <w:i/>
                <w:iCs/>
                <w:color w:val="000000" w:themeColor="text1"/>
                <w:sz w:val="24"/>
                <w:szCs w:val="24"/>
              </w:rPr>
              <w:t>Heritiera fomes</w:t>
            </w:r>
          </w:p>
          <w:p w14:paraId="4CF164B7" w14:textId="77777777" w:rsidR="009A0A63" w:rsidRPr="00792B36" w:rsidRDefault="009A0A63" w:rsidP="00A24459">
            <w:pPr>
              <w:rPr>
                <w:rFonts w:eastAsia="Times New Roman"/>
                <w:color w:val="000000" w:themeColor="text1"/>
                <w:sz w:val="24"/>
                <w:szCs w:val="24"/>
              </w:rPr>
            </w:pPr>
          </w:p>
          <w:p w14:paraId="63B1AC86" w14:textId="77777777" w:rsidR="009A0A63" w:rsidRPr="00792B36" w:rsidRDefault="009A0A63" w:rsidP="00A24459">
            <w:pPr>
              <w:rPr>
                <w:rFonts w:eastAsia="Times New Roman"/>
                <w:color w:val="000000" w:themeColor="text1"/>
                <w:sz w:val="24"/>
                <w:szCs w:val="24"/>
                <w:cs/>
              </w:rPr>
            </w:pPr>
            <w:r w:rsidRPr="00792B36">
              <w:rPr>
                <w:rFonts w:eastAsia="Times New Roman"/>
                <w:color w:val="000000" w:themeColor="text1"/>
                <w:sz w:val="24"/>
                <w:szCs w:val="24"/>
              </w:rPr>
              <w:t>Birds</w:t>
            </w:r>
            <w:r w:rsidRPr="00792B36">
              <w:rPr>
                <w:rFonts w:eastAsia="Times New Roman"/>
                <w:color w:val="000000" w:themeColor="text1"/>
                <w:sz w:val="24"/>
                <w:szCs w:val="24"/>
                <w:cs/>
              </w:rPr>
              <w:t>:</w:t>
            </w:r>
          </w:p>
          <w:p w14:paraId="32348E09" w14:textId="77777777" w:rsidR="009A0A63" w:rsidRPr="00792B36" w:rsidRDefault="009A0A63" w:rsidP="00A24459">
            <w:pPr>
              <w:rPr>
                <w:rFonts w:eastAsia="Times New Roman"/>
                <w:color w:val="000000" w:themeColor="text1"/>
                <w:sz w:val="24"/>
                <w:szCs w:val="24"/>
              </w:rPr>
            </w:pPr>
            <w:r w:rsidRPr="00792B36">
              <w:rPr>
                <w:rFonts w:eastAsia="Times New Roman"/>
                <w:color w:val="000000" w:themeColor="text1"/>
                <w:sz w:val="24"/>
                <w:szCs w:val="24"/>
              </w:rPr>
              <w:t>Endangered</w:t>
            </w:r>
          </w:p>
          <w:p w14:paraId="2539C4B1" w14:textId="77777777" w:rsidR="009A0A63" w:rsidRPr="00792B36" w:rsidRDefault="009A0A63" w:rsidP="00A24459">
            <w:pPr>
              <w:rPr>
                <w:rFonts w:eastAsia="Times New Roman"/>
                <w:i/>
                <w:iCs/>
                <w:color w:val="000000" w:themeColor="text1"/>
                <w:sz w:val="24"/>
                <w:szCs w:val="24"/>
              </w:rPr>
            </w:pPr>
            <w:r w:rsidRPr="00792B36">
              <w:rPr>
                <w:rFonts w:eastAsia="Times New Roman"/>
                <w:color w:val="000000" w:themeColor="text1"/>
                <w:sz w:val="24"/>
                <w:szCs w:val="24"/>
                <w:cs/>
              </w:rPr>
              <w:t xml:space="preserve">- </w:t>
            </w:r>
            <w:r w:rsidRPr="00792B36">
              <w:rPr>
                <w:rFonts w:eastAsia="Times New Roman"/>
                <w:i/>
                <w:iCs/>
                <w:color w:val="000000" w:themeColor="text1"/>
                <w:sz w:val="24"/>
                <w:szCs w:val="24"/>
              </w:rPr>
              <w:t>Calidris tenuirostris</w:t>
            </w:r>
          </w:p>
          <w:p w14:paraId="343B707A" w14:textId="77777777" w:rsidR="009A0A63" w:rsidRPr="00792B36" w:rsidRDefault="009A0A63" w:rsidP="00A24459">
            <w:pPr>
              <w:rPr>
                <w:rFonts w:eastAsia="Times New Roman"/>
                <w:color w:val="000000" w:themeColor="text1"/>
                <w:sz w:val="24"/>
                <w:szCs w:val="24"/>
              </w:rPr>
            </w:pPr>
            <w:r w:rsidRPr="00792B36">
              <w:rPr>
                <w:rFonts w:eastAsia="Times New Roman"/>
                <w:color w:val="000000" w:themeColor="text1"/>
                <w:sz w:val="24"/>
                <w:szCs w:val="24"/>
              </w:rPr>
              <w:t>Vulnerable</w:t>
            </w:r>
          </w:p>
          <w:p w14:paraId="6756B84F" w14:textId="77777777" w:rsidR="009A0A63" w:rsidRPr="00792B36" w:rsidRDefault="009A0A63" w:rsidP="00A24459">
            <w:pPr>
              <w:rPr>
                <w:rFonts w:eastAsia="Times New Roman"/>
                <w:color w:val="000000" w:themeColor="text1"/>
                <w:sz w:val="24"/>
                <w:szCs w:val="24"/>
              </w:rPr>
            </w:pPr>
            <w:r w:rsidRPr="00792B36">
              <w:rPr>
                <w:rFonts w:eastAsia="Times New Roman"/>
                <w:color w:val="000000" w:themeColor="text1"/>
                <w:sz w:val="24"/>
                <w:szCs w:val="24"/>
                <w:cs/>
              </w:rPr>
              <w:t xml:space="preserve">- </w:t>
            </w:r>
            <w:r w:rsidRPr="00792B36">
              <w:rPr>
                <w:rFonts w:eastAsia="Times New Roman"/>
                <w:i/>
                <w:iCs/>
                <w:color w:val="000000" w:themeColor="text1"/>
                <w:sz w:val="24"/>
                <w:szCs w:val="24"/>
              </w:rPr>
              <w:t>Halcyon pileate</w:t>
            </w:r>
          </w:p>
          <w:p w14:paraId="04E98D30" w14:textId="77777777" w:rsidR="009A0A63" w:rsidRPr="00792B36" w:rsidRDefault="009A0A63" w:rsidP="00A24459">
            <w:pPr>
              <w:rPr>
                <w:rFonts w:eastAsia="Times New Roman"/>
                <w:color w:val="000000" w:themeColor="text1"/>
                <w:sz w:val="24"/>
                <w:szCs w:val="24"/>
                <w:lang w:val="pt-BR"/>
              </w:rPr>
            </w:pPr>
            <w:r w:rsidRPr="00792B36">
              <w:rPr>
                <w:rFonts w:eastAsia="Times New Roman"/>
                <w:color w:val="000000" w:themeColor="text1"/>
                <w:sz w:val="24"/>
                <w:szCs w:val="24"/>
                <w:cs/>
                <w:lang w:val="pt-BR"/>
              </w:rPr>
              <w:t xml:space="preserve">- </w:t>
            </w:r>
            <w:proofErr w:type="spellStart"/>
            <w:r w:rsidRPr="00792B36">
              <w:rPr>
                <w:rFonts w:eastAsia="Times New Roman"/>
                <w:i/>
                <w:iCs/>
                <w:color w:val="000000" w:themeColor="text1"/>
                <w:sz w:val="24"/>
                <w:szCs w:val="24"/>
                <w:lang w:val="pt-BR"/>
              </w:rPr>
              <w:t>Rhyticeros</w:t>
            </w:r>
            <w:proofErr w:type="spellEnd"/>
            <w:r w:rsidRPr="00792B36">
              <w:rPr>
                <w:rFonts w:eastAsia="Times New Roman"/>
                <w:i/>
                <w:iCs/>
                <w:color w:val="000000" w:themeColor="text1"/>
                <w:sz w:val="24"/>
                <w:szCs w:val="24"/>
                <w:lang w:val="pt-BR"/>
              </w:rPr>
              <w:t xml:space="preserve"> </w:t>
            </w:r>
            <w:proofErr w:type="spellStart"/>
            <w:r w:rsidRPr="00792B36">
              <w:rPr>
                <w:rFonts w:eastAsia="Times New Roman"/>
                <w:i/>
                <w:iCs/>
                <w:color w:val="000000" w:themeColor="text1"/>
                <w:sz w:val="24"/>
                <w:szCs w:val="24"/>
                <w:lang w:val="pt-BR"/>
              </w:rPr>
              <w:t>subruficollis</w:t>
            </w:r>
            <w:proofErr w:type="spellEnd"/>
          </w:p>
          <w:p w14:paraId="0EDA1FCA" w14:textId="77777777" w:rsidR="009A0A63" w:rsidRPr="00792B36" w:rsidRDefault="009A0A63" w:rsidP="00A24459">
            <w:pPr>
              <w:rPr>
                <w:rFonts w:eastAsia="Times New Roman"/>
                <w:color w:val="000000" w:themeColor="text1"/>
                <w:sz w:val="24"/>
                <w:szCs w:val="24"/>
                <w:lang w:val="pt-BR"/>
              </w:rPr>
            </w:pPr>
            <w:r w:rsidRPr="00792B36">
              <w:rPr>
                <w:rFonts w:eastAsia="Times New Roman"/>
                <w:color w:val="000000" w:themeColor="text1"/>
                <w:sz w:val="24"/>
                <w:szCs w:val="24"/>
                <w:cs/>
                <w:lang w:val="pt-BR"/>
              </w:rPr>
              <w:t xml:space="preserve">- </w:t>
            </w:r>
            <w:proofErr w:type="spellStart"/>
            <w:r w:rsidRPr="00792B36">
              <w:rPr>
                <w:rFonts w:eastAsia="Times New Roman"/>
                <w:i/>
                <w:iCs/>
                <w:color w:val="000000" w:themeColor="text1"/>
                <w:sz w:val="24"/>
                <w:szCs w:val="24"/>
                <w:lang w:val="pt-BR"/>
              </w:rPr>
              <w:t>Egretta</w:t>
            </w:r>
            <w:proofErr w:type="spellEnd"/>
            <w:r w:rsidRPr="00792B36">
              <w:rPr>
                <w:rFonts w:eastAsia="Times New Roman"/>
                <w:i/>
                <w:iCs/>
                <w:color w:val="000000" w:themeColor="text1"/>
                <w:sz w:val="24"/>
                <w:szCs w:val="24"/>
                <w:lang w:val="pt-BR"/>
              </w:rPr>
              <w:t xml:space="preserve"> </w:t>
            </w:r>
            <w:proofErr w:type="spellStart"/>
            <w:r w:rsidRPr="00792B36">
              <w:rPr>
                <w:rFonts w:eastAsia="Times New Roman"/>
                <w:i/>
                <w:iCs/>
                <w:color w:val="000000" w:themeColor="text1"/>
                <w:sz w:val="24"/>
                <w:szCs w:val="24"/>
                <w:lang w:val="pt-BR"/>
              </w:rPr>
              <w:t>eulophotes</w:t>
            </w:r>
            <w:proofErr w:type="spellEnd"/>
          </w:p>
          <w:p w14:paraId="61024872" w14:textId="77777777" w:rsidR="009A0A63" w:rsidRPr="00792B36" w:rsidRDefault="009A0A63" w:rsidP="00A24459">
            <w:pPr>
              <w:rPr>
                <w:rFonts w:eastAsia="Times New Roman"/>
                <w:color w:val="000000" w:themeColor="text1"/>
                <w:sz w:val="24"/>
                <w:szCs w:val="24"/>
              </w:rPr>
            </w:pPr>
          </w:p>
        </w:tc>
        <w:tc>
          <w:tcPr>
            <w:tcW w:w="919" w:type="pct"/>
          </w:tcPr>
          <w:p w14:paraId="2FA222DE" w14:textId="77777777" w:rsidR="009A0A63" w:rsidRPr="00792B36" w:rsidRDefault="009A0A63" w:rsidP="00A24459">
            <w:pPr>
              <w:jc w:val="center"/>
              <w:rPr>
                <w:rFonts w:eastAsia="Times New Roman"/>
                <w:color w:val="000000" w:themeColor="text1"/>
                <w:sz w:val="24"/>
                <w:szCs w:val="24"/>
              </w:rPr>
            </w:pPr>
            <w:r w:rsidRPr="00792B36">
              <w:rPr>
                <w:rFonts w:eastAsia="Times New Roman"/>
                <w:color w:val="000000" w:themeColor="text1"/>
                <w:sz w:val="24"/>
                <w:szCs w:val="24"/>
                <w:cs/>
              </w:rPr>
              <w:t>-</w:t>
            </w:r>
          </w:p>
        </w:tc>
      </w:tr>
      <w:tr w:rsidR="009A0A63" w:rsidRPr="00792B36" w14:paraId="16D33F21" w14:textId="77777777" w:rsidTr="00A24459">
        <w:trPr>
          <w:trHeight w:val="253"/>
        </w:trPr>
        <w:tc>
          <w:tcPr>
            <w:tcW w:w="968" w:type="pct"/>
            <w:vAlign w:val="center"/>
          </w:tcPr>
          <w:p w14:paraId="4A64E8F6" w14:textId="77777777" w:rsidR="009A0A63" w:rsidRPr="00792B36" w:rsidRDefault="009A0A63" w:rsidP="00A24459">
            <w:pPr>
              <w:rPr>
                <w:rFonts w:eastAsia="Times New Roman"/>
                <w:color w:val="000000" w:themeColor="text1"/>
                <w:sz w:val="24"/>
                <w:szCs w:val="24"/>
              </w:rPr>
            </w:pPr>
            <w:r w:rsidRPr="00792B36">
              <w:rPr>
                <w:rStyle w:val="Strong"/>
                <w:rFonts w:eastAsiaTheme="minorEastAsia"/>
                <w:color w:val="000000" w:themeColor="text1"/>
                <w:sz w:val="24"/>
                <w:szCs w:val="24"/>
              </w:rPr>
              <w:t>MG2: Bandon Bay</w:t>
            </w:r>
            <w:r w:rsidRPr="00792B36">
              <w:rPr>
                <w:b/>
                <w:bCs/>
                <w:color w:val="000000" w:themeColor="text1"/>
                <w:sz w:val="24"/>
                <w:szCs w:val="24"/>
              </w:rPr>
              <w:br/>
            </w:r>
            <w:r w:rsidRPr="00792B36">
              <w:rPr>
                <w:rFonts w:eastAsia="Times New Roman"/>
                <w:color w:val="000000" w:themeColor="text1"/>
                <w:sz w:val="24"/>
                <w:szCs w:val="24"/>
                <w:cs/>
              </w:rPr>
              <w:t xml:space="preserve"> </w:t>
            </w:r>
          </w:p>
        </w:tc>
        <w:tc>
          <w:tcPr>
            <w:tcW w:w="1177" w:type="pct"/>
          </w:tcPr>
          <w:p w14:paraId="1C4A074D" w14:textId="77777777" w:rsidR="009A0A63" w:rsidRPr="00792B36" w:rsidRDefault="009A0A63" w:rsidP="00A24459">
            <w:pPr>
              <w:rPr>
                <w:rFonts w:eastAsia="Times New Roman"/>
                <w:i/>
                <w:iCs/>
                <w:color w:val="000000" w:themeColor="text1"/>
                <w:sz w:val="24"/>
                <w:szCs w:val="24"/>
              </w:rPr>
            </w:pPr>
            <w:r w:rsidRPr="00792B36">
              <w:rPr>
                <w:rFonts w:eastAsia="Times New Roman"/>
                <w:i/>
                <w:iCs/>
                <w:color w:val="000000" w:themeColor="text1"/>
                <w:sz w:val="24"/>
                <w:szCs w:val="24"/>
                <w:cs/>
              </w:rPr>
              <w:t xml:space="preserve">- </w:t>
            </w:r>
            <w:r w:rsidRPr="00792B36">
              <w:rPr>
                <w:rFonts w:eastAsia="Times New Roman"/>
                <w:i/>
                <w:iCs/>
                <w:color w:val="000000" w:themeColor="text1"/>
                <w:sz w:val="24"/>
                <w:szCs w:val="24"/>
              </w:rPr>
              <w:t>Xenus cinereus</w:t>
            </w:r>
          </w:p>
          <w:p w14:paraId="5F06D7F5" w14:textId="77777777" w:rsidR="009A0A63" w:rsidRPr="00792B36" w:rsidRDefault="009A0A63" w:rsidP="00A24459">
            <w:pPr>
              <w:rPr>
                <w:rFonts w:eastAsia="Times New Roman"/>
                <w:i/>
                <w:iCs/>
                <w:color w:val="000000" w:themeColor="text1"/>
                <w:sz w:val="24"/>
                <w:szCs w:val="24"/>
              </w:rPr>
            </w:pPr>
          </w:p>
          <w:p w14:paraId="2497BAAE" w14:textId="77777777" w:rsidR="009A0A63" w:rsidRPr="00792B36" w:rsidRDefault="009A0A63" w:rsidP="00A24459">
            <w:pPr>
              <w:rPr>
                <w:rFonts w:eastAsia="Times New Roman"/>
                <w:color w:val="000000" w:themeColor="text1"/>
                <w:sz w:val="24"/>
                <w:szCs w:val="24"/>
              </w:rPr>
            </w:pPr>
            <w:r w:rsidRPr="00792B36">
              <w:rPr>
                <w:rFonts w:eastAsia="Times New Roman"/>
                <w:color w:val="000000" w:themeColor="text1"/>
                <w:sz w:val="24"/>
                <w:szCs w:val="24"/>
              </w:rPr>
              <w:t>Mammals</w:t>
            </w:r>
            <w:r w:rsidRPr="00792B36">
              <w:rPr>
                <w:rFonts w:eastAsia="Times New Roman"/>
                <w:color w:val="000000" w:themeColor="text1"/>
                <w:sz w:val="24"/>
                <w:szCs w:val="24"/>
                <w:cs/>
              </w:rPr>
              <w:t>:</w:t>
            </w:r>
          </w:p>
          <w:p w14:paraId="6BE17588" w14:textId="77777777" w:rsidR="009A0A63" w:rsidRPr="00792B36" w:rsidRDefault="009A0A63" w:rsidP="00A24459">
            <w:pPr>
              <w:rPr>
                <w:rFonts w:eastAsia="Times New Roman"/>
                <w:i/>
                <w:iCs/>
                <w:color w:val="000000" w:themeColor="text1"/>
                <w:sz w:val="24"/>
                <w:szCs w:val="24"/>
              </w:rPr>
            </w:pPr>
            <w:r w:rsidRPr="00792B36">
              <w:rPr>
                <w:rFonts w:eastAsia="Times New Roman"/>
                <w:i/>
                <w:iCs/>
                <w:color w:val="000000" w:themeColor="text1"/>
                <w:sz w:val="24"/>
                <w:szCs w:val="24"/>
              </w:rPr>
              <w:t xml:space="preserve">Irrawaddy dolphin </w:t>
            </w:r>
            <w:r w:rsidRPr="00792B36">
              <w:rPr>
                <w:rFonts w:eastAsia="Times New Roman"/>
                <w:i/>
                <w:iCs/>
                <w:color w:val="000000" w:themeColor="text1"/>
                <w:sz w:val="24"/>
                <w:szCs w:val="24"/>
                <w:cs/>
              </w:rPr>
              <w:t xml:space="preserve">– </w:t>
            </w:r>
            <w:r w:rsidRPr="00792B36">
              <w:rPr>
                <w:rFonts w:eastAsia="Times New Roman"/>
                <w:color w:val="000000" w:themeColor="text1"/>
                <w:sz w:val="24"/>
                <w:szCs w:val="24"/>
              </w:rPr>
              <w:t>seasonal coastal movements</w:t>
            </w:r>
          </w:p>
          <w:p w14:paraId="4366D7D2" w14:textId="77777777" w:rsidR="009A0A63" w:rsidRPr="00792B36" w:rsidRDefault="009A0A63" w:rsidP="00A24459">
            <w:pPr>
              <w:rPr>
                <w:rFonts w:eastAsia="Times New Roman"/>
                <w:color w:val="000000" w:themeColor="text1"/>
                <w:sz w:val="24"/>
                <w:szCs w:val="24"/>
              </w:rPr>
            </w:pPr>
          </w:p>
        </w:tc>
        <w:tc>
          <w:tcPr>
            <w:tcW w:w="829" w:type="pct"/>
          </w:tcPr>
          <w:p w14:paraId="5B725F0A" w14:textId="77777777" w:rsidR="009A0A63" w:rsidRPr="00792B36" w:rsidRDefault="009A0A63" w:rsidP="00A24459">
            <w:pPr>
              <w:jc w:val="center"/>
              <w:rPr>
                <w:rFonts w:eastAsia="Times New Roman"/>
                <w:color w:val="000000" w:themeColor="text1"/>
                <w:sz w:val="24"/>
                <w:szCs w:val="24"/>
              </w:rPr>
            </w:pPr>
          </w:p>
        </w:tc>
        <w:tc>
          <w:tcPr>
            <w:tcW w:w="1107" w:type="pct"/>
            <w:vMerge/>
          </w:tcPr>
          <w:p w14:paraId="4DB4F4F9" w14:textId="77777777" w:rsidR="009A0A63" w:rsidRPr="00792B36" w:rsidRDefault="009A0A63" w:rsidP="00A24459">
            <w:pPr>
              <w:rPr>
                <w:rFonts w:eastAsia="Times New Roman"/>
                <w:color w:val="000000" w:themeColor="text1"/>
                <w:sz w:val="24"/>
                <w:szCs w:val="24"/>
              </w:rPr>
            </w:pPr>
          </w:p>
        </w:tc>
        <w:tc>
          <w:tcPr>
            <w:tcW w:w="919" w:type="pct"/>
          </w:tcPr>
          <w:p w14:paraId="3226D557" w14:textId="77777777" w:rsidR="009A0A63" w:rsidRPr="00792B36" w:rsidRDefault="009A0A63" w:rsidP="00A24459">
            <w:pPr>
              <w:jc w:val="center"/>
              <w:rPr>
                <w:rFonts w:eastAsia="Times New Roman"/>
                <w:color w:val="000000" w:themeColor="text1"/>
                <w:sz w:val="24"/>
                <w:szCs w:val="24"/>
              </w:rPr>
            </w:pPr>
          </w:p>
        </w:tc>
      </w:tr>
      <w:tr w:rsidR="009A0A63" w:rsidRPr="00792B36" w14:paraId="1857536C" w14:textId="77777777" w:rsidTr="00A24459">
        <w:trPr>
          <w:trHeight w:val="253"/>
        </w:trPr>
        <w:tc>
          <w:tcPr>
            <w:tcW w:w="968" w:type="pct"/>
            <w:vAlign w:val="center"/>
          </w:tcPr>
          <w:p w14:paraId="41298445" w14:textId="77777777" w:rsidR="009A0A63" w:rsidRPr="00792B36" w:rsidRDefault="009A0A63" w:rsidP="00A24459">
            <w:pPr>
              <w:rPr>
                <w:rFonts w:eastAsia="Times New Roman"/>
                <w:color w:val="000000" w:themeColor="text1"/>
                <w:sz w:val="24"/>
                <w:szCs w:val="24"/>
              </w:rPr>
            </w:pPr>
            <w:r w:rsidRPr="00792B36">
              <w:rPr>
                <w:rStyle w:val="Strong"/>
                <w:rFonts w:eastAsiaTheme="minorEastAsia"/>
                <w:color w:val="000000" w:themeColor="text1"/>
                <w:sz w:val="24"/>
                <w:szCs w:val="24"/>
              </w:rPr>
              <w:t>MG3: Pak Panang Bay</w:t>
            </w:r>
            <w:r w:rsidRPr="00792B36">
              <w:rPr>
                <w:b/>
                <w:bCs/>
                <w:color w:val="000000" w:themeColor="text1"/>
                <w:sz w:val="24"/>
                <w:szCs w:val="24"/>
              </w:rPr>
              <w:br/>
            </w:r>
          </w:p>
        </w:tc>
        <w:tc>
          <w:tcPr>
            <w:tcW w:w="1177" w:type="pct"/>
          </w:tcPr>
          <w:p w14:paraId="70C41624" w14:textId="77777777" w:rsidR="009A0A63" w:rsidRPr="00792B36" w:rsidRDefault="009A0A63" w:rsidP="00A24459">
            <w:pPr>
              <w:rPr>
                <w:rFonts w:eastAsia="Times New Roman"/>
                <w:color w:val="000000" w:themeColor="text1"/>
                <w:sz w:val="24"/>
                <w:szCs w:val="24"/>
              </w:rPr>
            </w:pPr>
            <w:r w:rsidRPr="00792B36">
              <w:rPr>
                <w:rFonts w:eastAsia="Times New Roman"/>
                <w:color w:val="000000" w:themeColor="text1"/>
                <w:sz w:val="24"/>
                <w:szCs w:val="24"/>
              </w:rPr>
              <w:t>Mammals</w:t>
            </w:r>
            <w:r w:rsidRPr="00792B36">
              <w:rPr>
                <w:rFonts w:eastAsia="Times New Roman"/>
                <w:color w:val="000000" w:themeColor="text1"/>
                <w:sz w:val="24"/>
                <w:szCs w:val="24"/>
                <w:cs/>
              </w:rPr>
              <w:t>:</w:t>
            </w:r>
          </w:p>
          <w:p w14:paraId="2D92636F" w14:textId="77777777" w:rsidR="009A0A63" w:rsidRPr="00792B36" w:rsidRDefault="009A0A63" w:rsidP="00A24459">
            <w:pPr>
              <w:rPr>
                <w:rFonts w:eastAsia="Times New Roman"/>
                <w:color w:val="000000" w:themeColor="text1"/>
                <w:sz w:val="24"/>
                <w:szCs w:val="24"/>
              </w:rPr>
            </w:pPr>
            <w:r w:rsidRPr="00792B36">
              <w:rPr>
                <w:rFonts w:eastAsia="Times New Roman"/>
                <w:color w:val="000000" w:themeColor="text1"/>
                <w:sz w:val="24"/>
                <w:szCs w:val="24"/>
              </w:rPr>
              <w:t xml:space="preserve">Dugong in adjacent seagrass areas </w:t>
            </w:r>
            <w:r w:rsidRPr="00792B36">
              <w:rPr>
                <w:rFonts w:eastAsia="Times New Roman"/>
                <w:color w:val="000000" w:themeColor="text1"/>
                <w:sz w:val="24"/>
                <w:szCs w:val="24"/>
                <w:cs/>
              </w:rPr>
              <w:t xml:space="preserve">– </w:t>
            </w:r>
            <w:r w:rsidRPr="00792B36">
              <w:rPr>
                <w:rFonts w:eastAsia="Times New Roman"/>
                <w:color w:val="000000" w:themeColor="text1"/>
                <w:sz w:val="24"/>
                <w:szCs w:val="24"/>
              </w:rPr>
              <w:t>seasonal foraging</w:t>
            </w:r>
          </w:p>
        </w:tc>
        <w:tc>
          <w:tcPr>
            <w:tcW w:w="829" w:type="pct"/>
          </w:tcPr>
          <w:p w14:paraId="63FD52A4" w14:textId="77777777" w:rsidR="009A0A63" w:rsidRPr="00792B36" w:rsidRDefault="009A0A63" w:rsidP="00A24459">
            <w:pPr>
              <w:jc w:val="center"/>
              <w:rPr>
                <w:rFonts w:eastAsia="Times New Roman"/>
                <w:color w:val="000000" w:themeColor="text1"/>
                <w:sz w:val="24"/>
                <w:szCs w:val="24"/>
              </w:rPr>
            </w:pPr>
          </w:p>
        </w:tc>
        <w:tc>
          <w:tcPr>
            <w:tcW w:w="1107" w:type="pct"/>
            <w:vMerge/>
          </w:tcPr>
          <w:p w14:paraId="08585C10" w14:textId="77777777" w:rsidR="009A0A63" w:rsidRPr="00792B36" w:rsidRDefault="009A0A63" w:rsidP="00A24459">
            <w:pPr>
              <w:rPr>
                <w:rFonts w:eastAsia="Times New Roman"/>
                <w:color w:val="000000" w:themeColor="text1"/>
                <w:sz w:val="24"/>
                <w:szCs w:val="24"/>
              </w:rPr>
            </w:pPr>
          </w:p>
        </w:tc>
        <w:tc>
          <w:tcPr>
            <w:tcW w:w="919" w:type="pct"/>
          </w:tcPr>
          <w:p w14:paraId="40D0764E" w14:textId="77777777" w:rsidR="009A0A63" w:rsidRPr="00792B36" w:rsidRDefault="009A0A63" w:rsidP="00A24459">
            <w:pPr>
              <w:jc w:val="center"/>
              <w:rPr>
                <w:rFonts w:eastAsia="Times New Roman"/>
                <w:color w:val="000000" w:themeColor="text1"/>
                <w:sz w:val="24"/>
                <w:szCs w:val="24"/>
              </w:rPr>
            </w:pPr>
          </w:p>
        </w:tc>
      </w:tr>
      <w:tr w:rsidR="009A0A63" w:rsidRPr="00792B36" w14:paraId="316403E0" w14:textId="77777777" w:rsidTr="00A24459">
        <w:trPr>
          <w:trHeight w:val="253"/>
        </w:trPr>
        <w:tc>
          <w:tcPr>
            <w:tcW w:w="968" w:type="pct"/>
            <w:vAlign w:val="center"/>
          </w:tcPr>
          <w:p w14:paraId="69281BD7" w14:textId="77777777" w:rsidR="009A0A63" w:rsidRPr="00792B36" w:rsidRDefault="009A0A63" w:rsidP="00A24459">
            <w:pPr>
              <w:rPr>
                <w:rFonts w:eastAsia="Times New Roman"/>
                <w:color w:val="000000" w:themeColor="text1"/>
                <w:sz w:val="24"/>
                <w:szCs w:val="24"/>
              </w:rPr>
            </w:pPr>
            <w:r w:rsidRPr="00792B36">
              <w:rPr>
                <w:rStyle w:val="Strong"/>
                <w:rFonts w:eastAsiaTheme="minorEastAsia"/>
                <w:color w:val="000000" w:themeColor="text1"/>
                <w:sz w:val="24"/>
                <w:szCs w:val="24"/>
              </w:rPr>
              <w:t>MG: Samut Prakan Province</w:t>
            </w:r>
          </w:p>
        </w:tc>
        <w:tc>
          <w:tcPr>
            <w:tcW w:w="1177" w:type="pct"/>
          </w:tcPr>
          <w:p w14:paraId="42C0FD7E" w14:textId="77777777" w:rsidR="009A0A63" w:rsidRPr="00792B36" w:rsidRDefault="009A0A63" w:rsidP="00A24459">
            <w:pPr>
              <w:rPr>
                <w:rFonts w:eastAsia="Times New Roman"/>
                <w:color w:val="000000" w:themeColor="text1"/>
                <w:sz w:val="24"/>
                <w:szCs w:val="24"/>
              </w:rPr>
            </w:pPr>
            <w:r w:rsidRPr="00792B36">
              <w:rPr>
                <w:rFonts w:eastAsia="Times New Roman"/>
                <w:color w:val="000000" w:themeColor="text1"/>
                <w:sz w:val="24"/>
                <w:szCs w:val="24"/>
                <w:cs/>
              </w:rPr>
              <w:t xml:space="preserve">- </w:t>
            </w:r>
            <w:r w:rsidRPr="00792B36">
              <w:rPr>
                <w:rFonts w:eastAsia="Times New Roman"/>
                <w:i/>
                <w:iCs/>
                <w:color w:val="000000" w:themeColor="text1"/>
                <w:sz w:val="24"/>
                <w:szCs w:val="24"/>
              </w:rPr>
              <w:t>Numenius Arquata</w:t>
            </w:r>
          </w:p>
          <w:p w14:paraId="00C9A451" w14:textId="77777777" w:rsidR="009A0A63" w:rsidRPr="00792B36" w:rsidRDefault="009A0A63" w:rsidP="00A24459">
            <w:pPr>
              <w:rPr>
                <w:rFonts w:eastAsia="Times New Roman"/>
                <w:color w:val="000000" w:themeColor="text1"/>
                <w:sz w:val="24"/>
                <w:szCs w:val="24"/>
              </w:rPr>
            </w:pPr>
          </w:p>
          <w:p w14:paraId="52B16D39" w14:textId="77777777" w:rsidR="009A0A63" w:rsidRPr="00792B36" w:rsidRDefault="009A0A63" w:rsidP="00A24459">
            <w:pPr>
              <w:rPr>
                <w:rFonts w:eastAsia="Times New Roman"/>
                <w:color w:val="000000" w:themeColor="text1"/>
                <w:sz w:val="24"/>
                <w:szCs w:val="24"/>
              </w:rPr>
            </w:pPr>
            <w:r w:rsidRPr="00792B36">
              <w:rPr>
                <w:rFonts w:eastAsia="Times New Roman"/>
                <w:color w:val="000000" w:themeColor="text1"/>
                <w:sz w:val="24"/>
                <w:szCs w:val="24"/>
              </w:rPr>
              <w:t>Mammals</w:t>
            </w:r>
            <w:r w:rsidRPr="00792B36">
              <w:rPr>
                <w:rFonts w:eastAsia="Times New Roman"/>
                <w:color w:val="000000" w:themeColor="text1"/>
                <w:sz w:val="24"/>
                <w:szCs w:val="24"/>
                <w:cs/>
              </w:rPr>
              <w:t>:</w:t>
            </w:r>
          </w:p>
          <w:p w14:paraId="7BB80D94" w14:textId="77777777" w:rsidR="009A0A63" w:rsidRPr="00792B36" w:rsidRDefault="009A0A63" w:rsidP="00A24459">
            <w:pPr>
              <w:rPr>
                <w:rFonts w:eastAsia="Times New Roman"/>
                <w:color w:val="000000" w:themeColor="text1"/>
                <w:sz w:val="24"/>
                <w:szCs w:val="24"/>
              </w:rPr>
            </w:pPr>
            <w:r w:rsidRPr="00792B36">
              <w:rPr>
                <w:rFonts w:eastAsia="Times New Roman"/>
                <w:color w:val="000000" w:themeColor="text1"/>
                <w:sz w:val="24"/>
                <w:szCs w:val="24"/>
              </w:rPr>
              <w:t xml:space="preserve">Irrawaddy dolphin </w:t>
            </w:r>
            <w:r w:rsidRPr="00792B36">
              <w:rPr>
                <w:rFonts w:eastAsia="Times New Roman"/>
                <w:color w:val="000000" w:themeColor="text1"/>
                <w:sz w:val="24"/>
                <w:szCs w:val="24"/>
                <w:cs/>
              </w:rPr>
              <w:t>(</w:t>
            </w:r>
            <w:r w:rsidRPr="00792B36">
              <w:rPr>
                <w:rFonts w:eastAsia="Times New Roman"/>
                <w:i/>
                <w:iCs/>
                <w:color w:val="000000" w:themeColor="text1"/>
                <w:sz w:val="24"/>
                <w:szCs w:val="24"/>
              </w:rPr>
              <w:t>Orcaella brevirostris</w:t>
            </w:r>
            <w:r w:rsidRPr="00792B36">
              <w:rPr>
                <w:rFonts w:eastAsia="Times New Roman"/>
                <w:color w:val="000000" w:themeColor="text1"/>
                <w:sz w:val="24"/>
                <w:szCs w:val="24"/>
                <w:cs/>
              </w:rPr>
              <w:t xml:space="preserve">) – </w:t>
            </w:r>
            <w:r w:rsidRPr="00792B36">
              <w:rPr>
                <w:rFonts w:eastAsia="Times New Roman"/>
                <w:color w:val="000000" w:themeColor="text1"/>
                <w:sz w:val="24"/>
                <w:szCs w:val="24"/>
              </w:rPr>
              <w:t xml:space="preserve">partial </w:t>
            </w:r>
            <w:r w:rsidRPr="00792B36">
              <w:rPr>
                <w:rFonts w:eastAsia="Times New Roman"/>
                <w:color w:val="000000" w:themeColor="text1"/>
                <w:sz w:val="24"/>
                <w:szCs w:val="24"/>
              </w:rPr>
              <w:lastRenderedPageBreak/>
              <w:t>seasonal movement</w:t>
            </w:r>
          </w:p>
        </w:tc>
        <w:tc>
          <w:tcPr>
            <w:tcW w:w="829" w:type="pct"/>
            <w:vAlign w:val="center"/>
          </w:tcPr>
          <w:p w14:paraId="5EEDE551" w14:textId="77777777" w:rsidR="009A0A63" w:rsidRPr="00792B36" w:rsidRDefault="009A0A63" w:rsidP="00A24459">
            <w:pPr>
              <w:jc w:val="center"/>
              <w:rPr>
                <w:rFonts w:eastAsia="Times New Roman"/>
                <w:color w:val="000000" w:themeColor="text1"/>
                <w:sz w:val="24"/>
                <w:szCs w:val="24"/>
              </w:rPr>
            </w:pPr>
            <w:r w:rsidRPr="00792B36">
              <w:rPr>
                <w:rFonts w:eastAsia="Times New Roman"/>
                <w:i/>
                <w:iCs/>
                <w:color w:val="000000" w:themeColor="text1"/>
                <w:sz w:val="24"/>
                <w:szCs w:val="24"/>
                <w:cs/>
              </w:rPr>
              <w:lastRenderedPageBreak/>
              <w:t>-</w:t>
            </w:r>
          </w:p>
        </w:tc>
        <w:tc>
          <w:tcPr>
            <w:tcW w:w="1107" w:type="pct"/>
            <w:vMerge/>
          </w:tcPr>
          <w:p w14:paraId="67834CAF" w14:textId="77777777" w:rsidR="009A0A63" w:rsidRPr="00792B36" w:rsidRDefault="009A0A63" w:rsidP="00A24459">
            <w:pPr>
              <w:rPr>
                <w:rFonts w:eastAsia="Times New Roman"/>
                <w:color w:val="000000" w:themeColor="text1"/>
                <w:sz w:val="24"/>
                <w:szCs w:val="24"/>
              </w:rPr>
            </w:pPr>
          </w:p>
        </w:tc>
        <w:tc>
          <w:tcPr>
            <w:tcW w:w="919" w:type="pct"/>
          </w:tcPr>
          <w:p w14:paraId="3321C3DF" w14:textId="77777777" w:rsidR="009A0A63" w:rsidRPr="00792B36" w:rsidRDefault="009A0A63" w:rsidP="00A24459">
            <w:pPr>
              <w:jc w:val="center"/>
              <w:rPr>
                <w:rFonts w:eastAsia="Times New Roman"/>
                <w:color w:val="000000" w:themeColor="text1"/>
                <w:sz w:val="24"/>
                <w:szCs w:val="24"/>
              </w:rPr>
            </w:pPr>
          </w:p>
        </w:tc>
      </w:tr>
      <w:tr w:rsidR="009A0A63" w:rsidRPr="00792B36" w14:paraId="2B8CAF1C" w14:textId="77777777" w:rsidTr="00A24459">
        <w:trPr>
          <w:trHeight w:val="253"/>
        </w:trPr>
        <w:tc>
          <w:tcPr>
            <w:tcW w:w="968" w:type="pct"/>
            <w:vAlign w:val="center"/>
          </w:tcPr>
          <w:p w14:paraId="64F57540" w14:textId="77777777" w:rsidR="009A0A63" w:rsidRPr="00792B36" w:rsidRDefault="009A0A63" w:rsidP="00A24459">
            <w:pPr>
              <w:rPr>
                <w:rStyle w:val="Strong"/>
                <w:rFonts w:eastAsiaTheme="minorEastAsia"/>
                <w:b w:val="0"/>
                <w:bCs w:val="0"/>
                <w:color w:val="000000" w:themeColor="text1"/>
                <w:sz w:val="24"/>
                <w:szCs w:val="24"/>
              </w:rPr>
            </w:pPr>
            <w:r w:rsidRPr="00792B36">
              <w:rPr>
                <w:rStyle w:val="Strong"/>
                <w:rFonts w:eastAsiaTheme="minorEastAsia"/>
                <w:color w:val="000000" w:themeColor="text1"/>
                <w:sz w:val="24"/>
                <w:szCs w:val="24"/>
              </w:rPr>
              <w:t>WL1: Don Hoi Lot</w:t>
            </w:r>
          </w:p>
        </w:tc>
        <w:tc>
          <w:tcPr>
            <w:tcW w:w="1177" w:type="pct"/>
          </w:tcPr>
          <w:p w14:paraId="37A00007" w14:textId="77777777" w:rsidR="009A0A63" w:rsidRPr="00792B36" w:rsidRDefault="009A0A63" w:rsidP="00A24459">
            <w:pPr>
              <w:rPr>
                <w:rFonts w:eastAsia="Times New Roman"/>
                <w:color w:val="000000" w:themeColor="text1"/>
                <w:sz w:val="24"/>
                <w:szCs w:val="24"/>
              </w:rPr>
            </w:pPr>
            <w:r w:rsidRPr="00792B36">
              <w:rPr>
                <w:rFonts w:eastAsia="Times New Roman"/>
                <w:color w:val="000000" w:themeColor="text1"/>
                <w:sz w:val="24"/>
                <w:szCs w:val="24"/>
              </w:rPr>
              <w:t>Used by East Asian–Australasian Flyway birds, e.g., Little Tern (</w:t>
            </w:r>
            <w:r w:rsidRPr="00792B36">
              <w:rPr>
                <w:rFonts w:eastAsia="Times New Roman"/>
                <w:i/>
                <w:iCs/>
                <w:color w:val="000000" w:themeColor="text1"/>
                <w:sz w:val="24"/>
                <w:szCs w:val="24"/>
              </w:rPr>
              <w:t>Sternula albifrons</w:t>
            </w:r>
            <w:r w:rsidRPr="00792B36">
              <w:rPr>
                <w:rFonts w:eastAsia="Times New Roman"/>
                <w:color w:val="000000" w:themeColor="text1"/>
                <w:sz w:val="24"/>
                <w:szCs w:val="24"/>
              </w:rPr>
              <w:t>), Whiskered Tern (</w:t>
            </w:r>
            <w:r w:rsidRPr="00792B36">
              <w:rPr>
                <w:rFonts w:eastAsia="Times New Roman"/>
                <w:i/>
                <w:iCs/>
                <w:color w:val="000000" w:themeColor="text1"/>
                <w:sz w:val="24"/>
                <w:szCs w:val="24"/>
              </w:rPr>
              <w:t>Chlidonias hybrida</w:t>
            </w:r>
            <w:r w:rsidRPr="00792B36">
              <w:rPr>
                <w:rFonts w:eastAsia="Times New Roman"/>
                <w:color w:val="000000" w:themeColor="text1"/>
                <w:sz w:val="24"/>
                <w:szCs w:val="24"/>
              </w:rPr>
              <w:t>), Grey Heron (</w:t>
            </w:r>
            <w:r w:rsidRPr="00792B36">
              <w:rPr>
                <w:rFonts w:eastAsia="Times New Roman"/>
                <w:i/>
                <w:iCs/>
                <w:color w:val="000000" w:themeColor="text1"/>
                <w:sz w:val="24"/>
                <w:szCs w:val="24"/>
              </w:rPr>
              <w:t>Ardea cinerea</w:t>
            </w:r>
            <w:r w:rsidRPr="00792B36">
              <w:rPr>
                <w:rFonts w:eastAsia="Times New Roman"/>
                <w:color w:val="000000" w:themeColor="text1"/>
                <w:sz w:val="24"/>
                <w:szCs w:val="24"/>
              </w:rPr>
              <w:t>), plus seasonal shorebirds using the mudflats as feeding/roosting habitat.</w:t>
            </w:r>
          </w:p>
        </w:tc>
        <w:tc>
          <w:tcPr>
            <w:tcW w:w="829" w:type="pct"/>
          </w:tcPr>
          <w:p w14:paraId="102DD5FA" w14:textId="77777777" w:rsidR="009A0A63" w:rsidRPr="00792B36" w:rsidRDefault="009A0A63" w:rsidP="00A24459">
            <w:pPr>
              <w:rPr>
                <w:rFonts w:eastAsia="Times New Roman"/>
                <w:color w:val="000000" w:themeColor="text1"/>
                <w:sz w:val="24"/>
                <w:szCs w:val="24"/>
              </w:rPr>
            </w:pPr>
            <w:r w:rsidRPr="00792B36">
              <w:rPr>
                <w:rFonts w:eastAsia="Times New Roman"/>
                <w:color w:val="000000" w:themeColor="text1"/>
                <w:sz w:val="24"/>
                <w:szCs w:val="24"/>
              </w:rPr>
              <w:t>Razor clam</w:t>
            </w:r>
            <w:r w:rsidRPr="00792B36">
              <w:rPr>
                <w:rFonts w:eastAsia="Times New Roman"/>
                <w:i/>
                <w:iCs/>
                <w:color w:val="000000" w:themeColor="text1"/>
                <w:sz w:val="24"/>
                <w:szCs w:val="24"/>
              </w:rPr>
              <w:t xml:space="preserve"> Solen regularis </w:t>
            </w:r>
            <w:r w:rsidRPr="00792B36">
              <w:rPr>
                <w:rFonts w:eastAsia="Times New Roman"/>
                <w:color w:val="000000" w:themeColor="text1"/>
                <w:sz w:val="24"/>
                <w:szCs w:val="24"/>
              </w:rPr>
              <w:t>(regional endemic/flagship of the site).</w:t>
            </w:r>
          </w:p>
        </w:tc>
        <w:tc>
          <w:tcPr>
            <w:tcW w:w="1107" w:type="pct"/>
          </w:tcPr>
          <w:p w14:paraId="49768B98" w14:textId="77777777" w:rsidR="009A0A63" w:rsidRPr="00792B36" w:rsidRDefault="009A0A63" w:rsidP="00A24459">
            <w:pPr>
              <w:rPr>
                <w:rFonts w:eastAsia="Times New Roman"/>
                <w:color w:val="000000" w:themeColor="text1"/>
                <w:sz w:val="24"/>
                <w:szCs w:val="24"/>
              </w:rPr>
            </w:pPr>
            <w:r w:rsidRPr="00792B36">
              <w:rPr>
                <w:rFonts w:eastAsia="Times New Roman"/>
                <w:color w:val="000000" w:themeColor="text1"/>
                <w:sz w:val="24"/>
                <w:szCs w:val="24"/>
              </w:rPr>
              <w:t>Recorded/threat-noted species include Baer’s Pochard (Aythya baeri, CR), Striped Catfish (Pangasianodon hypophthalmus, EN), and King Cobra (Ophiophagus hannah, VU) in the wider site context.</w:t>
            </w:r>
          </w:p>
        </w:tc>
        <w:tc>
          <w:tcPr>
            <w:tcW w:w="919" w:type="pct"/>
          </w:tcPr>
          <w:p w14:paraId="63D633C3" w14:textId="77777777" w:rsidR="009A0A63" w:rsidRPr="00792B36" w:rsidRDefault="009A0A63" w:rsidP="00A24459">
            <w:pPr>
              <w:rPr>
                <w:rFonts w:eastAsia="Times New Roman"/>
                <w:color w:val="000000" w:themeColor="text1"/>
                <w:sz w:val="24"/>
                <w:szCs w:val="24"/>
              </w:rPr>
            </w:pPr>
            <w:r w:rsidRPr="00792B36">
              <w:rPr>
                <w:rFonts w:eastAsia="Times New Roman"/>
                <w:color w:val="000000" w:themeColor="text1"/>
                <w:sz w:val="24"/>
                <w:szCs w:val="24"/>
              </w:rPr>
              <w:t>Functions as a nursery and larval exchange area for coastal/estuarine fauna in the Upper Gulf; decapod larvae and bivalve recruits are commonly recorded in the Mae Klong estuary–mudflat system, indicating source–sink connectivity.</w:t>
            </w:r>
          </w:p>
        </w:tc>
      </w:tr>
    </w:tbl>
    <w:p w14:paraId="4F2694E5" w14:textId="77777777" w:rsidR="009A0A63" w:rsidRPr="00792B36" w:rsidRDefault="009A0A63" w:rsidP="009A0A63">
      <w:pPr>
        <w:spacing w:after="120"/>
        <w:rPr>
          <w:color w:val="000000" w:themeColor="text1"/>
          <w:sz w:val="24"/>
          <w:szCs w:val="24"/>
        </w:rPr>
      </w:pPr>
    </w:p>
    <w:p w14:paraId="162AF939" w14:textId="77777777" w:rsidR="009A0A63" w:rsidRPr="00792B36" w:rsidRDefault="009A0A63" w:rsidP="00F61B37">
      <w:pPr>
        <w:pStyle w:val="ListParagraph"/>
        <w:widowControl/>
        <w:numPr>
          <w:ilvl w:val="0"/>
          <w:numId w:val="45"/>
        </w:numPr>
        <w:spacing w:line="259" w:lineRule="auto"/>
        <w:ind w:left="1134" w:hanging="283"/>
        <w:rPr>
          <w:rFonts w:cs="Arial"/>
          <w:b/>
          <w:bCs/>
          <w:color w:val="000000" w:themeColor="text1"/>
          <w:sz w:val="24"/>
          <w:szCs w:val="24"/>
          <w:lang w:val="pt-BR"/>
        </w:rPr>
      </w:pPr>
      <w:r w:rsidRPr="00792B36">
        <w:rPr>
          <w:rFonts w:cs="Arial"/>
          <w:b/>
          <w:bCs/>
          <w:color w:val="000000" w:themeColor="text1"/>
          <w:sz w:val="24"/>
          <w:szCs w:val="24"/>
          <w:lang w:val="pt-BR"/>
        </w:rPr>
        <w:t>Stress</w:t>
      </w:r>
      <w:r w:rsidRPr="00792B36">
        <w:rPr>
          <w:rFonts w:cs="Arial"/>
          <w:b/>
          <w:bCs/>
          <w:color w:val="000000" w:themeColor="text1"/>
          <w:sz w:val="24"/>
          <w:szCs w:val="24"/>
          <w:cs/>
          <w:lang w:val="pt-BR"/>
        </w:rPr>
        <w:t>-</w:t>
      </w:r>
      <w:proofErr w:type="spellStart"/>
      <w:r w:rsidRPr="00792B36">
        <w:rPr>
          <w:rFonts w:cs="Arial"/>
          <w:b/>
          <w:bCs/>
          <w:color w:val="000000" w:themeColor="text1"/>
          <w:sz w:val="24"/>
          <w:szCs w:val="24"/>
          <w:lang w:val="pt-BR"/>
        </w:rPr>
        <w:t>pressure</w:t>
      </w:r>
      <w:proofErr w:type="spellEnd"/>
      <w:r w:rsidRPr="00792B36">
        <w:rPr>
          <w:rFonts w:cs="Arial"/>
          <w:b/>
          <w:bCs/>
          <w:color w:val="000000" w:themeColor="text1"/>
          <w:sz w:val="24"/>
          <w:szCs w:val="24"/>
          <w:lang w:val="pt-BR"/>
        </w:rPr>
        <w:t xml:space="preserve"> </w:t>
      </w:r>
      <w:proofErr w:type="spellStart"/>
      <w:r w:rsidRPr="00792B36">
        <w:rPr>
          <w:rFonts w:cs="Arial"/>
          <w:b/>
          <w:bCs/>
          <w:color w:val="000000" w:themeColor="text1"/>
          <w:sz w:val="24"/>
          <w:szCs w:val="24"/>
          <w:lang w:val="pt-BR"/>
        </w:rPr>
        <w:t>information</w:t>
      </w:r>
      <w:proofErr w:type="spellEnd"/>
    </w:p>
    <w:p w14:paraId="09A7C5FE" w14:textId="77777777" w:rsidR="009A0A63" w:rsidRPr="00792B36" w:rsidRDefault="009A0A63" w:rsidP="009A0A63">
      <w:pPr>
        <w:pStyle w:val="ListParagraph"/>
        <w:ind w:left="1134"/>
        <w:rPr>
          <w:rFonts w:cs="Arial"/>
          <w:b/>
          <w:bCs/>
          <w:i/>
          <w:iCs/>
          <w:color w:val="000000" w:themeColor="text1"/>
          <w:sz w:val="24"/>
          <w:szCs w:val="24"/>
          <w:lang w:val="pt-BR"/>
        </w:rPr>
      </w:pPr>
      <w:proofErr w:type="spellStart"/>
      <w:r w:rsidRPr="00792B36">
        <w:rPr>
          <w:rFonts w:cs="Arial"/>
          <w:b/>
          <w:bCs/>
          <w:i/>
          <w:iCs/>
          <w:color w:val="000000" w:themeColor="text1"/>
          <w:sz w:val="24"/>
          <w:szCs w:val="24"/>
          <w:lang w:val="pt-BR"/>
        </w:rPr>
        <w:t>Intrinsic</w:t>
      </w:r>
      <w:proofErr w:type="spellEnd"/>
      <w:r w:rsidRPr="00792B36">
        <w:rPr>
          <w:rFonts w:cs="Arial"/>
          <w:b/>
          <w:bCs/>
          <w:i/>
          <w:iCs/>
          <w:color w:val="000000" w:themeColor="text1"/>
          <w:sz w:val="24"/>
          <w:szCs w:val="24"/>
          <w:cs/>
          <w:lang w:val="pt-BR"/>
        </w:rPr>
        <w:t>/</w:t>
      </w:r>
      <w:proofErr w:type="spellStart"/>
      <w:r w:rsidRPr="00792B36">
        <w:rPr>
          <w:rFonts w:cs="Arial"/>
          <w:b/>
          <w:bCs/>
          <w:i/>
          <w:iCs/>
          <w:color w:val="000000" w:themeColor="text1"/>
          <w:sz w:val="24"/>
          <w:szCs w:val="24"/>
          <w:lang w:val="pt-BR"/>
        </w:rPr>
        <w:t>internal</w:t>
      </w:r>
      <w:proofErr w:type="spellEnd"/>
      <w:r w:rsidRPr="00792B36">
        <w:rPr>
          <w:rFonts w:cs="Arial"/>
          <w:b/>
          <w:bCs/>
          <w:i/>
          <w:iCs/>
          <w:color w:val="000000" w:themeColor="text1"/>
          <w:sz w:val="24"/>
          <w:szCs w:val="24"/>
          <w:lang w:val="pt-BR"/>
        </w:rPr>
        <w:t xml:space="preserve"> </w:t>
      </w:r>
      <w:proofErr w:type="spellStart"/>
      <w:r w:rsidRPr="00792B36">
        <w:rPr>
          <w:rFonts w:cs="Arial"/>
          <w:b/>
          <w:bCs/>
          <w:i/>
          <w:iCs/>
          <w:color w:val="000000" w:themeColor="text1"/>
          <w:sz w:val="24"/>
          <w:szCs w:val="24"/>
          <w:lang w:val="pt-BR"/>
        </w:rPr>
        <w:t>sources</w:t>
      </w:r>
      <w:proofErr w:type="spellEnd"/>
      <w:r w:rsidRPr="00792B36">
        <w:rPr>
          <w:rFonts w:cs="Arial"/>
          <w:b/>
          <w:bCs/>
          <w:i/>
          <w:iCs/>
          <w:color w:val="000000" w:themeColor="text1"/>
          <w:sz w:val="24"/>
          <w:szCs w:val="24"/>
          <w:lang w:val="pt-BR"/>
        </w:rPr>
        <w:t xml:space="preserve"> </w:t>
      </w:r>
      <w:proofErr w:type="spellStart"/>
      <w:r w:rsidRPr="00792B36">
        <w:rPr>
          <w:rFonts w:cs="Arial"/>
          <w:b/>
          <w:bCs/>
          <w:i/>
          <w:iCs/>
          <w:color w:val="000000" w:themeColor="text1"/>
          <w:sz w:val="24"/>
          <w:szCs w:val="24"/>
          <w:lang w:val="pt-BR"/>
        </w:rPr>
        <w:t>of</w:t>
      </w:r>
      <w:proofErr w:type="spellEnd"/>
      <w:r w:rsidRPr="00792B36">
        <w:rPr>
          <w:rFonts w:cs="Arial"/>
          <w:b/>
          <w:bCs/>
          <w:i/>
          <w:iCs/>
          <w:color w:val="000000" w:themeColor="text1"/>
          <w:sz w:val="24"/>
          <w:szCs w:val="24"/>
          <w:lang w:val="pt-BR"/>
        </w:rPr>
        <w:t xml:space="preserve"> </w:t>
      </w:r>
      <w:proofErr w:type="spellStart"/>
      <w:r w:rsidRPr="00792B36">
        <w:rPr>
          <w:rFonts w:cs="Arial"/>
          <w:b/>
          <w:bCs/>
          <w:i/>
          <w:iCs/>
          <w:color w:val="000000" w:themeColor="text1"/>
          <w:sz w:val="24"/>
          <w:szCs w:val="24"/>
          <w:lang w:val="pt-BR"/>
        </w:rPr>
        <w:t>change</w:t>
      </w:r>
      <w:proofErr w:type="spellEnd"/>
    </w:p>
    <w:p w14:paraId="0463634A" w14:textId="77777777" w:rsidR="009A0A63" w:rsidRPr="00792B36" w:rsidRDefault="009A0A63" w:rsidP="009A0A63">
      <w:pPr>
        <w:tabs>
          <w:tab w:val="left" w:pos="1134"/>
        </w:tabs>
        <w:ind w:firstLine="426"/>
        <w:jc w:val="thaiDistribute"/>
        <w:rPr>
          <w:color w:val="EE0000"/>
          <w:sz w:val="24"/>
          <w:szCs w:val="24"/>
        </w:rPr>
      </w:pPr>
      <w:r w:rsidRPr="00792B36">
        <w:rPr>
          <w:color w:val="000000" w:themeColor="text1"/>
          <w:sz w:val="24"/>
          <w:szCs w:val="24"/>
        </w:rPr>
        <w:tab/>
      </w:r>
      <w:r w:rsidRPr="00792B36">
        <w:rPr>
          <w:sz w:val="24"/>
          <w:szCs w:val="24"/>
        </w:rPr>
        <w:t>The assessment of intrinsic drivers of ecological change across mangrove and wetland ecosystems in the Gulf of Thailand reveals that both natural and human-induced internal processes shape the long-term resilience and productivity of these coastal systems. Key natural drivers include tidal dynamics, sediment transport, salinity fluctuations, and seasonal storm events, which continuously influence shoreline stability, sediment deposition, and nutrient cycling. These processes govern habitat regeneration, seedling recruitment, and species composition within mangrove and tidal flat ecosystems. In parallel, human-related internal factors—such as population growth, aquaculture expansion, and mangrove resource use—intensify habitat degradation and alter ecosystem balance. For instance, Samut Prakan Province experiences the combined effects of urbanization, land reclamation, and coastal erosion, while Don Hoi Lot is affected by hydro-sedimentary shifts and shellfish harvesting that disturb the mudflat–mangrove interface. Collectively, these internal pressures reflect the dynamic yet vulnerable nature of Thailand’s coastal wetlands, emphasizing the need for adaptive and integrated ecosystem management that accommodates natural variability and human activity to sustain long-term ecological resilience. (Table 7)</w:t>
      </w:r>
    </w:p>
    <w:p w14:paraId="73E4C254" w14:textId="77777777" w:rsidR="009A0A63" w:rsidRPr="00792B36" w:rsidRDefault="009A0A63" w:rsidP="009A0A63">
      <w:pPr>
        <w:ind w:firstLine="426"/>
        <w:rPr>
          <w:color w:val="000000" w:themeColor="text1"/>
          <w:sz w:val="24"/>
          <w:szCs w:val="24"/>
        </w:rPr>
      </w:pPr>
    </w:p>
    <w:p w14:paraId="2A00166A" w14:textId="77777777" w:rsidR="009A0A63" w:rsidRPr="00792B36" w:rsidRDefault="009A0A63" w:rsidP="009A0A63">
      <w:pPr>
        <w:spacing w:after="120"/>
        <w:rPr>
          <w:color w:val="000000" w:themeColor="text1"/>
          <w:sz w:val="24"/>
          <w:szCs w:val="24"/>
        </w:rPr>
      </w:pPr>
      <w:bookmarkStart w:id="34" w:name="_Hlk203231354"/>
      <w:r w:rsidRPr="00792B36">
        <w:rPr>
          <w:b/>
          <w:bCs/>
          <w:color w:val="000000" w:themeColor="text1"/>
          <w:sz w:val="24"/>
          <w:szCs w:val="24"/>
        </w:rPr>
        <w:t>Table 7</w:t>
      </w:r>
      <w:r w:rsidRPr="00792B36">
        <w:rPr>
          <w:b/>
          <w:bCs/>
          <w:color w:val="000000" w:themeColor="text1"/>
          <w:sz w:val="24"/>
          <w:szCs w:val="24"/>
          <w:cs/>
        </w:rPr>
        <w:t xml:space="preserve">. </w:t>
      </w:r>
      <w:r w:rsidRPr="00792B36">
        <w:rPr>
          <w:b/>
          <w:bCs/>
          <w:color w:val="000000" w:themeColor="text1"/>
          <w:sz w:val="24"/>
          <w:szCs w:val="24"/>
        </w:rPr>
        <w:t xml:space="preserve">Mangroves and wetland areas in Thailand </w:t>
      </w:r>
      <w:r w:rsidRPr="00792B36">
        <w:rPr>
          <w:b/>
          <w:bCs/>
          <w:color w:val="000000" w:themeColor="text1"/>
          <w:sz w:val="24"/>
          <w:szCs w:val="24"/>
          <w:cs/>
        </w:rPr>
        <w:t>(</w:t>
      </w:r>
      <w:r w:rsidRPr="00792B36">
        <w:rPr>
          <w:b/>
          <w:bCs/>
          <w:color w:val="000000" w:themeColor="text1"/>
          <w:sz w:val="24"/>
          <w:szCs w:val="24"/>
        </w:rPr>
        <w:t>Gulf of Thailand</w:t>
      </w:r>
      <w:r w:rsidRPr="00792B36">
        <w:rPr>
          <w:b/>
          <w:bCs/>
          <w:color w:val="000000" w:themeColor="text1"/>
          <w:sz w:val="24"/>
          <w:szCs w:val="24"/>
          <w:cs/>
        </w:rPr>
        <w:t xml:space="preserve">): </w:t>
      </w:r>
      <w:r w:rsidRPr="00792B36">
        <w:rPr>
          <w:color w:val="000000" w:themeColor="text1"/>
          <w:sz w:val="24"/>
          <w:szCs w:val="24"/>
        </w:rPr>
        <w:t>Stress</w:t>
      </w:r>
      <w:r w:rsidRPr="00792B36">
        <w:rPr>
          <w:color w:val="000000" w:themeColor="text1"/>
          <w:sz w:val="24"/>
          <w:szCs w:val="24"/>
          <w:cs/>
        </w:rPr>
        <w:t>-</w:t>
      </w:r>
      <w:r w:rsidRPr="00792B36">
        <w:rPr>
          <w:color w:val="000000" w:themeColor="text1"/>
          <w:sz w:val="24"/>
          <w:szCs w:val="24"/>
        </w:rPr>
        <w:t>pressure information showing intrinsic</w:t>
      </w:r>
      <w:r w:rsidRPr="00792B36">
        <w:rPr>
          <w:color w:val="000000" w:themeColor="text1"/>
          <w:sz w:val="24"/>
          <w:szCs w:val="24"/>
          <w:cs/>
        </w:rPr>
        <w:t>/</w:t>
      </w:r>
      <w:r w:rsidRPr="00792B36">
        <w:rPr>
          <w:color w:val="000000" w:themeColor="text1"/>
          <w:sz w:val="24"/>
          <w:szCs w:val="24"/>
        </w:rPr>
        <w:t>internal sources of change</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3419"/>
        <w:gridCol w:w="9531"/>
      </w:tblGrid>
      <w:tr w:rsidR="009A0A63" w:rsidRPr="00792B36" w14:paraId="05D38880" w14:textId="77777777" w:rsidTr="00A24459">
        <w:trPr>
          <w:trHeight w:val="728"/>
          <w:tblHeader/>
        </w:trPr>
        <w:tc>
          <w:tcPr>
            <w:tcW w:w="1320" w:type="pct"/>
            <w:vAlign w:val="center"/>
          </w:tcPr>
          <w:p w14:paraId="6068AAC3" w14:textId="77777777" w:rsidR="009A0A63" w:rsidRPr="00792B36" w:rsidRDefault="009A0A63" w:rsidP="00A24459">
            <w:pPr>
              <w:spacing w:line="235" w:lineRule="auto"/>
              <w:jc w:val="center"/>
              <w:rPr>
                <w:rFonts w:eastAsia="Times New Roman"/>
                <w:b/>
                <w:bCs/>
                <w:color w:val="000000" w:themeColor="text1"/>
                <w:sz w:val="24"/>
                <w:szCs w:val="24"/>
              </w:rPr>
            </w:pPr>
            <w:r w:rsidRPr="00792B36">
              <w:rPr>
                <w:rFonts w:eastAsia="Times New Roman"/>
                <w:b/>
                <w:bCs/>
                <w:color w:val="000000" w:themeColor="text1"/>
                <w:sz w:val="24"/>
                <w:szCs w:val="24"/>
              </w:rPr>
              <w:lastRenderedPageBreak/>
              <w:t>Name of area</w:t>
            </w:r>
          </w:p>
        </w:tc>
        <w:tc>
          <w:tcPr>
            <w:tcW w:w="3680" w:type="pct"/>
            <w:vAlign w:val="center"/>
          </w:tcPr>
          <w:p w14:paraId="2A6BD4E8" w14:textId="77777777" w:rsidR="009A0A63" w:rsidRPr="00792B36" w:rsidRDefault="009A0A63" w:rsidP="00A24459">
            <w:pPr>
              <w:spacing w:line="235" w:lineRule="auto"/>
              <w:jc w:val="center"/>
              <w:rPr>
                <w:rFonts w:eastAsia="Times New Roman"/>
                <w:b/>
                <w:bCs/>
                <w:color w:val="000000" w:themeColor="text1"/>
                <w:sz w:val="24"/>
                <w:szCs w:val="24"/>
              </w:rPr>
            </w:pPr>
            <w:r w:rsidRPr="00792B36">
              <w:rPr>
                <w:rFonts w:eastAsia="Times New Roman"/>
                <w:b/>
                <w:bCs/>
                <w:sz w:val="24"/>
                <w:szCs w:val="24"/>
              </w:rPr>
              <w:t>Intrinsic</w:t>
            </w:r>
            <w:r w:rsidRPr="00792B36">
              <w:rPr>
                <w:rFonts w:eastAsia="Times New Roman"/>
                <w:b/>
                <w:bCs/>
                <w:sz w:val="24"/>
                <w:szCs w:val="24"/>
                <w:cs/>
              </w:rPr>
              <w:t>/</w:t>
            </w:r>
            <w:r w:rsidRPr="00792B36">
              <w:rPr>
                <w:rFonts w:eastAsia="Times New Roman"/>
                <w:b/>
                <w:bCs/>
                <w:sz w:val="24"/>
                <w:szCs w:val="24"/>
              </w:rPr>
              <w:t>internal sources of change</w:t>
            </w:r>
          </w:p>
        </w:tc>
      </w:tr>
      <w:tr w:rsidR="009A0A63" w:rsidRPr="00792B36" w14:paraId="68D66ACF" w14:textId="77777777" w:rsidTr="00A24459">
        <w:trPr>
          <w:trHeight w:val="315"/>
        </w:trPr>
        <w:tc>
          <w:tcPr>
            <w:tcW w:w="1320" w:type="pct"/>
            <w:vAlign w:val="center"/>
          </w:tcPr>
          <w:p w14:paraId="1F283D2A" w14:textId="77777777" w:rsidR="009A0A63" w:rsidRPr="00792B36" w:rsidRDefault="009A0A63" w:rsidP="00A24459">
            <w:pPr>
              <w:spacing w:line="235" w:lineRule="auto"/>
              <w:rPr>
                <w:color w:val="000000" w:themeColor="text1"/>
                <w:sz w:val="24"/>
                <w:szCs w:val="24"/>
              </w:rPr>
            </w:pPr>
            <w:r w:rsidRPr="00792B36">
              <w:rPr>
                <w:rStyle w:val="Strong"/>
                <w:rFonts w:eastAsiaTheme="minorEastAsia"/>
                <w:color w:val="000000" w:themeColor="text1"/>
                <w:sz w:val="24"/>
                <w:szCs w:val="24"/>
              </w:rPr>
              <w:t>MG1: Welu River Estuary</w:t>
            </w:r>
            <w:r w:rsidRPr="00792B36">
              <w:rPr>
                <w:b/>
                <w:bCs/>
                <w:color w:val="000000" w:themeColor="text1"/>
                <w:sz w:val="24"/>
                <w:szCs w:val="24"/>
              </w:rPr>
              <w:br/>
            </w:r>
          </w:p>
        </w:tc>
        <w:tc>
          <w:tcPr>
            <w:tcW w:w="3680" w:type="pct"/>
            <w:tcMar>
              <w:top w:w="0" w:type="dxa"/>
              <w:left w:w="45" w:type="dxa"/>
              <w:bottom w:w="0" w:type="dxa"/>
              <w:right w:w="45" w:type="dxa"/>
            </w:tcMar>
            <w:vAlign w:val="bottom"/>
          </w:tcPr>
          <w:p w14:paraId="65BF439B" w14:textId="77777777" w:rsidR="009A0A63" w:rsidRPr="00792B36" w:rsidRDefault="009A0A63" w:rsidP="00A24459">
            <w:pPr>
              <w:spacing w:line="235" w:lineRule="auto"/>
              <w:jc w:val="thaiDistribute"/>
              <w:rPr>
                <w:color w:val="000000" w:themeColor="text1"/>
                <w:sz w:val="24"/>
                <w:szCs w:val="24"/>
              </w:rPr>
            </w:pPr>
            <w:r w:rsidRPr="00792B36">
              <w:rPr>
                <w:color w:val="000000" w:themeColor="text1"/>
                <w:sz w:val="24"/>
                <w:szCs w:val="24"/>
              </w:rPr>
              <w:t>The Welu River Estuary is influenced by both human and natural internal factors. Population growth, aquaculture expansion, and mangrove resource use have led to habitat degradation and water quality decline. Natural processes such as heavy storm impacts, marine flooding, sediment fluctuation, and coastal erosion further alter estuarine morphology and ecosystem balance. Together, these forces drive continuous ecological change and affect the long-term resilience of the estuary.</w:t>
            </w:r>
          </w:p>
          <w:p w14:paraId="759178DB" w14:textId="77777777" w:rsidR="009A0A63" w:rsidRPr="00792B36" w:rsidRDefault="009A0A63" w:rsidP="00A24459">
            <w:pPr>
              <w:spacing w:line="235" w:lineRule="auto"/>
              <w:rPr>
                <w:color w:val="000000" w:themeColor="text1"/>
                <w:sz w:val="24"/>
                <w:szCs w:val="24"/>
              </w:rPr>
            </w:pPr>
          </w:p>
        </w:tc>
      </w:tr>
      <w:tr w:rsidR="009A0A63" w:rsidRPr="00792B36" w14:paraId="51297123" w14:textId="77777777" w:rsidTr="00A24459">
        <w:trPr>
          <w:trHeight w:val="315"/>
        </w:trPr>
        <w:tc>
          <w:tcPr>
            <w:tcW w:w="1320" w:type="pct"/>
            <w:vAlign w:val="center"/>
          </w:tcPr>
          <w:p w14:paraId="04CC6DC8" w14:textId="77777777" w:rsidR="009A0A63" w:rsidRPr="00792B36" w:rsidRDefault="009A0A63" w:rsidP="00A24459">
            <w:pPr>
              <w:spacing w:line="235" w:lineRule="auto"/>
              <w:rPr>
                <w:color w:val="000000" w:themeColor="text1"/>
                <w:sz w:val="24"/>
                <w:szCs w:val="24"/>
              </w:rPr>
            </w:pPr>
            <w:r w:rsidRPr="00792B36">
              <w:rPr>
                <w:rStyle w:val="Strong"/>
                <w:rFonts w:eastAsiaTheme="minorEastAsia"/>
                <w:color w:val="000000" w:themeColor="text1"/>
                <w:sz w:val="24"/>
                <w:szCs w:val="24"/>
              </w:rPr>
              <w:t>MG2: Bandon Bay</w:t>
            </w:r>
            <w:r w:rsidRPr="00792B36">
              <w:rPr>
                <w:b/>
                <w:bCs/>
                <w:color w:val="000000" w:themeColor="text1"/>
                <w:sz w:val="24"/>
                <w:szCs w:val="24"/>
              </w:rPr>
              <w:br/>
            </w:r>
          </w:p>
        </w:tc>
        <w:tc>
          <w:tcPr>
            <w:tcW w:w="3680" w:type="pct"/>
            <w:tcMar>
              <w:top w:w="0" w:type="dxa"/>
              <w:left w:w="45" w:type="dxa"/>
              <w:bottom w:w="0" w:type="dxa"/>
              <w:right w:w="45" w:type="dxa"/>
            </w:tcMar>
            <w:vAlign w:val="bottom"/>
          </w:tcPr>
          <w:p w14:paraId="319C3852" w14:textId="77777777" w:rsidR="009A0A63" w:rsidRPr="00792B36" w:rsidRDefault="009A0A63" w:rsidP="00A24459">
            <w:pPr>
              <w:spacing w:line="235" w:lineRule="auto"/>
              <w:rPr>
                <w:color w:val="000000" w:themeColor="text1"/>
                <w:sz w:val="24"/>
                <w:szCs w:val="24"/>
              </w:rPr>
            </w:pPr>
            <w:r w:rsidRPr="00792B36">
              <w:rPr>
                <w:color w:val="000000" w:themeColor="text1"/>
                <w:sz w:val="24"/>
                <w:szCs w:val="24"/>
              </w:rPr>
              <w:t xml:space="preserve">Bandon Bay is influenced by both human and natural internal factors. The expansion of aquaculture farms, coastal fisheries, and urban development has led to habitat degradation, nutrient enrichment, and declining </w:t>
            </w:r>
            <w:r w:rsidRPr="00792B36">
              <w:rPr>
                <w:color w:val="000000" w:themeColor="text1"/>
                <w:spacing w:val="-2"/>
                <w:sz w:val="24"/>
                <w:szCs w:val="24"/>
              </w:rPr>
              <w:t>water quality in some nearshore areas. Overexploitation of mangrove resources and conversion of intertidal</w:t>
            </w:r>
            <w:r w:rsidRPr="00792B36">
              <w:rPr>
                <w:color w:val="000000" w:themeColor="text1"/>
                <w:sz w:val="24"/>
                <w:szCs w:val="24"/>
              </w:rPr>
              <w:t xml:space="preserve"> zones for shrimp and oyster farming have further altered natural habitats. Meanwhile, natural processes such as monsoon storms, tidal surges, sediment dynamics, and coastal erosion continually reshape the bay’s morphology and influence salinity and sediment distribution. Together, these human and natural forces drive ongoing ecological change, affecting the long-term resilience and productivity of Bandon Bay’s coastal and marine ecosystems.</w:t>
            </w:r>
          </w:p>
        </w:tc>
      </w:tr>
      <w:tr w:rsidR="009A0A63" w:rsidRPr="00792B36" w14:paraId="7889915B" w14:textId="77777777" w:rsidTr="00A24459">
        <w:trPr>
          <w:trHeight w:val="316"/>
        </w:trPr>
        <w:tc>
          <w:tcPr>
            <w:tcW w:w="1320" w:type="pct"/>
            <w:vAlign w:val="center"/>
          </w:tcPr>
          <w:p w14:paraId="3DE63344" w14:textId="77777777" w:rsidR="009A0A63" w:rsidRPr="00792B36" w:rsidRDefault="009A0A63" w:rsidP="00A24459">
            <w:pPr>
              <w:spacing w:line="235" w:lineRule="auto"/>
              <w:rPr>
                <w:color w:val="000000" w:themeColor="text1"/>
                <w:sz w:val="24"/>
                <w:szCs w:val="24"/>
              </w:rPr>
            </w:pPr>
            <w:r w:rsidRPr="00792B36">
              <w:rPr>
                <w:rStyle w:val="Strong"/>
                <w:rFonts w:eastAsiaTheme="minorEastAsia"/>
                <w:color w:val="000000" w:themeColor="text1"/>
                <w:sz w:val="24"/>
                <w:szCs w:val="24"/>
              </w:rPr>
              <w:t>MG3: Pak Panang Bay</w:t>
            </w:r>
            <w:r w:rsidRPr="00792B36">
              <w:rPr>
                <w:b/>
                <w:bCs/>
                <w:color w:val="000000" w:themeColor="text1"/>
                <w:sz w:val="24"/>
                <w:szCs w:val="24"/>
              </w:rPr>
              <w:br/>
            </w:r>
          </w:p>
        </w:tc>
        <w:tc>
          <w:tcPr>
            <w:tcW w:w="3680" w:type="pct"/>
            <w:tcMar>
              <w:top w:w="0" w:type="dxa"/>
              <w:left w:w="45" w:type="dxa"/>
              <w:bottom w:w="0" w:type="dxa"/>
              <w:right w:w="45" w:type="dxa"/>
            </w:tcMar>
          </w:tcPr>
          <w:p w14:paraId="43499297" w14:textId="77777777" w:rsidR="009A0A63" w:rsidRPr="00792B36" w:rsidRDefault="009A0A63" w:rsidP="00A24459">
            <w:pPr>
              <w:spacing w:line="235" w:lineRule="auto"/>
              <w:rPr>
                <w:color w:val="EE0000"/>
                <w:sz w:val="24"/>
                <w:szCs w:val="24"/>
              </w:rPr>
            </w:pPr>
            <w:r w:rsidRPr="00792B36">
              <w:rPr>
                <w:sz w:val="24"/>
                <w:szCs w:val="24"/>
              </w:rPr>
              <w:t>Pak Panang Bay is influenced by both human and natural internal factors. Expansion of shrimp farming, coastal fisheries, and agricultural runoff has contributed to habitat alteration, nutrient loading, and water quality decline in the bay. Mangrove degradation from land conversion and overexploitation of coastal resources further disrupts the ecological balance of the estuarine system. Meanwhile, natural processes such as seasonal monsoon storms, tidal flooding, sediment fluctuation, and shoreline erosion continuously reshape the deltaic landscape, affecting salinity regimes and sediment deposition. The combined influence of these human and natural drivers results in ongoing ecological change, impacting the resilience, productivity, and ecosystem services of Pak Panang Bay.</w:t>
            </w:r>
          </w:p>
        </w:tc>
      </w:tr>
      <w:tr w:rsidR="009A0A63" w:rsidRPr="00792B36" w14:paraId="04A1B538" w14:textId="77777777" w:rsidTr="00A24459">
        <w:trPr>
          <w:trHeight w:val="315"/>
        </w:trPr>
        <w:tc>
          <w:tcPr>
            <w:tcW w:w="1320" w:type="pct"/>
            <w:vAlign w:val="center"/>
          </w:tcPr>
          <w:p w14:paraId="509A3C7B" w14:textId="77777777" w:rsidR="009A0A63" w:rsidRPr="00792B36" w:rsidRDefault="009A0A63" w:rsidP="00A24459">
            <w:pPr>
              <w:spacing w:line="235" w:lineRule="auto"/>
              <w:rPr>
                <w:color w:val="000000" w:themeColor="text1"/>
                <w:sz w:val="24"/>
                <w:szCs w:val="24"/>
              </w:rPr>
            </w:pPr>
            <w:r w:rsidRPr="00792B36">
              <w:rPr>
                <w:rStyle w:val="Strong"/>
                <w:rFonts w:eastAsiaTheme="minorEastAsia"/>
                <w:color w:val="000000" w:themeColor="text1"/>
                <w:sz w:val="24"/>
                <w:szCs w:val="24"/>
              </w:rPr>
              <w:t>MG: Samut Prakan Province</w:t>
            </w:r>
          </w:p>
        </w:tc>
        <w:tc>
          <w:tcPr>
            <w:tcW w:w="3680" w:type="pct"/>
            <w:tcMar>
              <w:top w:w="0" w:type="dxa"/>
              <w:left w:w="45" w:type="dxa"/>
              <w:bottom w:w="0" w:type="dxa"/>
              <w:right w:w="45" w:type="dxa"/>
            </w:tcMar>
          </w:tcPr>
          <w:p w14:paraId="480F0E3A" w14:textId="77777777" w:rsidR="009A0A63" w:rsidRPr="00792B36" w:rsidRDefault="009A0A63" w:rsidP="00A24459">
            <w:pPr>
              <w:spacing w:line="235" w:lineRule="auto"/>
              <w:rPr>
                <w:color w:val="EE0000"/>
                <w:sz w:val="24"/>
                <w:szCs w:val="24"/>
              </w:rPr>
            </w:pPr>
            <w:r w:rsidRPr="00792B36">
              <w:rPr>
                <w:sz w:val="24"/>
                <w:szCs w:val="24"/>
              </w:rPr>
              <w:t xml:space="preserve">Samut Prakan Province is shaped by both human and natural internal factors. Rapid urbanization, industrial growth, and land reclamation have led to significant loss of wetlands and mangrove habitats, reducing ecosystem health and water quality. Meanwhile, tidal flooding, sediment imbalance, and coastal erosion naturally reshape the shoreline and estuarine system. Together, these pressures cause continuous ecological </w:t>
            </w:r>
            <w:r w:rsidRPr="00792B36">
              <w:rPr>
                <w:sz w:val="24"/>
                <w:szCs w:val="24"/>
              </w:rPr>
              <w:lastRenderedPageBreak/>
              <w:t>change and diminish the resilience of the coastal environment</w:t>
            </w:r>
            <w:r w:rsidRPr="00792B36">
              <w:rPr>
                <w:color w:val="EE0000"/>
                <w:sz w:val="24"/>
                <w:szCs w:val="24"/>
              </w:rPr>
              <w:t>.</w:t>
            </w:r>
          </w:p>
        </w:tc>
      </w:tr>
      <w:tr w:rsidR="009A0A63" w:rsidRPr="00792B36" w14:paraId="3CDF4F1A" w14:textId="77777777" w:rsidTr="00A24459">
        <w:trPr>
          <w:trHeight w:val="315"/>
        </w:trPr>
        <w:tc>
          <w:tcPr>
            <w:tcW w:w="1320" w:type="pct"/>
            <w:vAlign w:val="center"/>
          </w:tcPr>
          <w:p w14:paraId="4AB1D945" w14:textId="77777777" w:rsidR="009A0A63" w:rsidRPr="00792B36" w:rsidRDefault="009A0A63" w:rsidP="00A24459">
            <w:pPr>
              <w:spacing w:line="235" w:lineRule="auto"/>
              <w:rPr>
                <w:color w:val="000000" w:themeColor="text1"/>
                <w:sz w:val="24"/>
                <w:szCs w:val="24"/>
              </w:rPr>
            </w:pPr>
            <w:r w:rsidRPr="00792B36">
              <w:rPr>
                <w:rStyle w:val="Strong"/>
                <w:rFonts w:eastAsiaTheme="minorEastAsia"/>
                <w:color w:val="000000" w:themeColor="text1"/>
                <w:sz w:val="24"/>
                <w:szCs w:val="24"/>
              </w:rPr>
              <w:lastRenderedPageBreak/>
              <w:t>WL1: Don Hoi Lot</w:t>
            </w:r>
            <w:r w:rsidRPr="00792B36">
              <w:rPr>
                <w:b/>
                <w:bCs/>
                <w:color w:val="000000" w:themeColor="text1"/>
                <w:sz w:val="24"/>
                <w:szCs w:val="24"/>
              </w:rPr>
              <w:br/>
            </w:r>
          </w:p>
        </w:tc>
        <w:tc>
          <w:tcPr>
            <w:tcW w:w="3680" w:type="pct"/>
            <w:tcMar>
              <w:top w:w="0" w:type="dxa"/>
              <w:left w:w="45" w:type="dxa"/>
              <w:bottom w:w="0" w:type="dxa"/>
              <w:right w:w="45" w:type="dxa"/>
            </w:tcMar>
            <w:vAlign w:val="bottom"/>
          </w:tcPr>
          <w:p w14:paraId="23E90130" w14:textId="77777777" w:rsidR="009A0A63" w:rsidRPr="00792B36" w:rsidRDefault="009A0A63" w:rsidP="00A24459">
            <w:pPr>
              <w:rPr>
                <w:color w:val="EE0000"/>
                <w:sz w:val="24"/>
                <w:szCs w:val="24"/>
              </w:rPr>
            </w:pPr>
            <w:r w:rsidRPr="00792B36">
              <w:rPr>
                <w:sz w:val="24"/>
                <w:szCs w:val="24"/>
              </w:rPr>
              <w:t>Don Hoi Lot is influenced by both human and natural internal factors. Shellfish harvesting, coastal tourism, and community activities have caused localized habitat disturbance and water quality decline, particularly on tidal flats. Overuse of coastal resources and mangrove clearance for access and small-scale aquaculture have also affected ecosystem integrity. Meanwhile, natural processes such as tidal fluctuations, marine flooding, sediment movement, and coastal erosion continually reshape the mudflat landscape and influence habitat distribution. Together, these human and natural factors drive ongoing ecological changes, affecting the long-term stability and resilience of the Don Hoi Lot wetland ecosystem.</w:t>
            </w:r>
          </w:p>
        </w:tc>
      </w:tr>
      <w:bookmarkEnd w:id="34"/>
    </w:tbl>
    <w:p w14:paraId="5DEA68EB" w14:textId="77777777" w:rsidR="009A0A63" w:rsidRPr="00792B36" w:rsidRDefault="009A0A63" w:rsidP="009A0A63">
      <w:pPr>
        <w:rPr>
          <w:color w:val="000000" w:themeColor="text1"/>
          <w:sz w:val="24"/>
          <w:szCs w:val="24"/>
        </w:rPr>
      </w:pPr>
    </w:p>
    <w:p w14:paraId="04C7DC5C" w14:textId="77777777" w:rsidR="009A0A63" w:rsidRPr="00792B36" w:rsidRDefault="009A0A63" w:rsidP="009A0A63">
      <w:pPr>
        <w:ind w:left="306" w:firstLine="1134"/>
        <w:rPr>
          <w:b/>
          <w:bCs/>
          <w:i/>
          <w:iCs/>
          <w:color w:val="000000" w:themeColor="text1"/>
          <w:sz w:val="24"/>
          <w:szCs w:val="24"/>
        </w:rPr>
      </w:pPr>
      <w:r w:rsidRPr="00792B36">
        <w:rPr>
          <w:b/>
          <w:bCs/>
          <w:i/>
          <w:iCs/>
          <w:color w:val="000000" w:themeColor="text1"/>
          <w:sz w:val="24"/>
          <w:szCs w:val="24"/>
        </w:rPr>
        <w:t>Extrinsic</w:t>
      </w:r>
      <w:r w:rsidRPr="00792B36">
        <w:rPr>
          <w:b/>
          <w:bCs/>
          <w:i/>
          <w:iCs/>
          <w:color w:val="000000" w:themeColor="text1"/>
          <w:sz w:val="24"/>
          <w:szCs w:val="24"/>
          <w:cs/>
        </w:rPr>
        <w:t>/</w:t>
      </w:r>
      <w:r w:rsidRPr="00792B36">
        <w:rPr>
          <w:b/>
          <w:bCs/>
          <w:i/>
          <w:iCs/>
          <w:color w:val="000000" w:themeColor="text1"/>
          <w:sz w:val="24"/>
          <w:szCs w:val="24"/>
        </w:rPr>
        <w:t>external sources of change</w:t>
      </w:r>
    </w:p>
    <w:p w14:paraId="025D78DD" w14:textId="77777777" w:rsidR="009A0A63" w:rsidRPr="00792B36" w:rsidRDefault="009A0A63" w:rsidP="009A0A63">
      <w:pPr>
        <w:jc w:val="thaiDistribute"/>
        <w:rPr>
          <w:color w:val="000000" w:themeColor="text1"/>
          <w:sz w:val="24"/>
          <w:szCs w:val="24"/>
        </w:rPr>
      </w:pPr>
      <w:r w:rsidRPr="00792B36">
        <w:rPr>
          <w:color w:val="000000" w:themeColor="text1"/>
          <w:sz w:val="24"/>
          <w:szCs w:val="24"/>
        </w:rPr>
        <w:tab/>
      </w:r>
      <w:r w:rsidRPr="00792B36">
        <w:rPr>
          <w:color w:val="000000" w:themeColor="text1"/>
          <w:sz w:val="24"/>
          <w:szCs w:val="24"/>
        </w:rPr>
        <w:tab/>
        <w:t>The assessment of extrinsic or external sources of change affecting mangrove and wetland ecosystems along the Gulf of Thailand reveals a wide spectrum of anthropogenic pressures linked to aquaculture expansion, urban development, and upstream watershed modifications. In areas such as Welu River Estuary and Bandon Bay, large-scale conversion of mangroves into shrimp ponds, combined with agricultural irrigation schemes and canal construction, has reduced freshwater inflows and altered salinity regimes. Long-term mangrove decline is evident in Pak Panang Bay, where sluice gates, flood dikes, and irrigation systems have disrupted tidal exchange and sediment dynamics. Samut Prakan Province illustrates the severe cumulative impacts of urbanization, port and industrial expansion, and wastewater discharge, compounded by multiple dams and diversions within the Chao Phraya Basin. Don Hoi Lot further highlights the pressures of pollution, aquaculture, overharvesting, and invasive species, which exacerbate ecological vulnerability. Collectively, these external drivers demonstrate how human activities at both local and watershed scales continue to undermine the resilience of mangrove and wetland ecosystems, emphasizing the urgent need for integrated, catchment-to-coast management strategies.</w:t>
      </w:r>
      <w:r w:rsidRPr="00792B36">
        <w:rPr>
          <w:color w:val="000000" w:themeColor="text1"/>
          <w:sz w:val="24"/>
          <w:szCs w:val="24"/>
          <w:cs/>
        </w:rPr>
        <w:t xml:space="preserve"> (</w:t>
      </w:r>
      <w:r w:rsidRPr="00792B36">
        <w:rPr>
          <w:color w:val="000000" w:themeColor="text1"/>
          <w:sz w:val="24"/>
          <w:szCs w:val="24"/>
        </w:rPr>
        <w:t>Table 8</w:t>
      </w:r>
      <w:r w:rsidRPr="00792B36">
        <w:rPr>
          <w:color w:val="000000" w:themeColor="text1"/>
          <w:sz w:val="24"/>
          <w:szCs w:val="24"/>
          <w:cs/>
        </w:rPr>
        <w:t>)</w:t>
      </w:r>
    </w:p>
    <w:p w14:paraId="56F255AE" w14:textId="77777777" w:rsidR="009A0A63" w:rsidRPr="00792B36" w:rsidRDefault="009A0A63" w:rsidP="009A0A63">
      <w:pPr>
        <w:jc w:val="thaiDistribute"/>
        <w:rPr>
          <w:color w:val="000000" w:themeColor="text1"/>
          <w:sz w:val="24"/>
          <w:szCs w:val="24"/>
        </w:rPr>
      </w:pPr>
    </w:p>
    <w:p w14:paraId="29CDD22D" w14:textId="77777777" w:rsidR="009A0A63" w:rsidRPr="00792B36" w:rsidRDefault="009A0A63" w:rsidP="009A0A63">
      <w:pPr>
        <w:jc w:val="thaiDistribute"/>
        <w:rPr>
          <w:color w:val="000000" w:themeColor="text1"/>
          <w:sz w:val="24"/>
          <w:szCs w:val="24"/>
        </w:rPr>
      </w:pPr>
    </w:p>
    <w:p w14:paraId="5804CA49" w14:textId="77777777" w:rsidR="009A0A63" w:rsidRPr="00792B36" w:rsidRDefault="009A0A63" w:rsidP="009A0A63">
      <w:pPr>
        <w:spacing w:after="120"/>
        <w:rPr>
          <w:color w:val="000000" w:themeColor="text1"/>
          <w:sz w:val="24"/>
          <w:szCs w:val="24"/>
        </w:rPr>
      </w:pPr>
      <w:bookmarkStart w:id="35" w:name="_Hlk203226988"/>
      <w:r w:rsidRPr="00792B36">
        <w:rPr>
          <w:b/>
          <w:bCs/>
          <w:color w:val="000000" w:themeColor="text1"/>
          <w:sz w:val="24"/>
          <w:szCs w:val="24"/>
        </w:rPr>
        <w:t>Table 8</w:t>
      </w:r>
      <w:r w:rsidRPr="00792B36">
        <w:rPr>
          <w:b/>
          <w:bCs/>
          <w:color w:val="000000" w:themeColor="text1"/>
          <w:sz w:val="24"/>
          <w:szCs w:val="24"/>
          <w:cs/>
        </w:rPr>
        <w:t xml:space="preserve">. </w:t>
      </w:r>
      <w:r w:rsidRPr="00792B36">
        <w:rPr>
          <w:b/>
          <w:bCs/>
          <w:color w:val="000000" w:themeColor="text1"/>
          <w:sz w:val="24"/>
          <w:szCs w:val="24"/>
        </w:rPr>
        <w:t>Mangroves and wetland areas in Thailand (Gulf of Thailand)</w:t>
      </w:r>
      <w:r w:rsidRPr="00792B36">
        <w:rPr>
          <w:b/>
          <w:bCs/>
          <w:color w:val="000000" w:themeColor="text1"/>
          <w:sz w:val="24"/>
          <w:szCs w:val="24"/>
          <w:cs/>
        </w:rPr>
        <w:t xml:space="preserve">: </w:t>
      </w:r>
      <w:r w:rsidRPr="00792B36">
        <w:rPr>
          <w:color w:val="000000" w:themeColor="text1"/>
          <w:sz w:val="24"/>
          <w:szCs w:val="24"/>
        </w:rPr>
        <w:t>Stress</w:t>
      </w:r>
      <w:r w:rsidRPr="00792B36">
        <w:rPr>
          <w:color w:val="000000" w:themeColor="text1"/>
          <w:sz w:val="24"/>
          <w:szCs w:val="24"/>
          <w:cs/>
        </w:rPr>
        <w:t>-</w:t>
      </w:r>
      <w:r w:rsidRPr="00792B36">
        <w:rPr>
          <w:color w:val="000000" w:themeColor="text1"/>
          <w:sz w:val="24"/>
          <w:szCs w:val="24"/>
        </w:rPr>
        <w:t>pressure information showing extrinsic</w:t>
      </w:r>
      <w:r w:rsidRPr="00792B36">
        <w:rPr>
          <w:color w:val="000000" w:themeColor="text1"/>
          <w:sz w:val="24"/>
          <w:szCs w:val="24"/>
          <w:cs/>
        </w:rPr>
        <w:t>/</w:t>
      </w:r>
      <w:r w:rsidRPr="00792B36">
        <w:rPr>
          <w:color w:val="000000" w:themeColor="text1"/>
          <w:sz w:val="24"/>
          <w:szCs w:val="24"/>
        </w:rPr>
        <w:t>external sources of change</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3419"/>
        <w:gridCol w:w="9531"/>
      </w:tblGrid>
      <w:tr w:rsidR="009A0A63" w:rsidRPr="00792B36" w14:paraId="707335DA" w14:textId="77777777" w:rsidTr="00A24459">
        <w:trPr>
          <w:trHeight w:val="728"/>
          <w:tblHeader/>
        </w:trPr>
        <w:tc>
          <w:tcPr>
            <w:tcW w:w="1320" w:type="pct"/>
            <w:vAlign w:val="center"/>
          </w:tcPr>
          <w:bookmarkEnd w:id="35"/>
          <w:p w14:paraId="4AD1265D" w14:textId="77777777" w:rsidR="009A0A63" w:rsidRPr="00792B36" w:rsidRDefault="009A0A63" w:rsidP="00A24459">
            <w:pPr>
              <w:spacing w:line="235" w:lineRule="auto"/>
              <w:jc w:val="center"/>
              <w:rPr>
                <w:rFonts w:eastAsia="Times New Roman"/>
                <w:b/>
                <w:bCs/>
                <w:color w:val="000000" w:themeColor="text1"/>
                <w:sz w:val="24"/>
                <w:szCs w:val="24"/>
              </w:rPr>
            </w:pPr>
            <w:r w:rsidRPr="00792B36">
              <w:rPr>
                <w:rFonts w:eastAsia="Times New Roman"/>
                <w:b/>
                <w:bCs/>
                <w:color w:val="000000" w:themeColor="text1"/>
                <w:sz w:val="24"/>
                <w:szCs w:val="24"/>
              </w:rPr>
              <w:lastRenderedPageBreak/>
              <w:t>Name of area</w:t>
            </w:r>
          </w:p>
        </w:tc>
        <w:tc>
          <w:tcPr>
            <w:tcW w:w="3680" w:type="pct"/>
            <w:vAlign w:val="center"/>
          </w:tcPr>
          <w:p w14:paraId="54B9A170" w14:textId="77777777" w:rsidR="009A0A63" w:rsidRPr="00792B36" w:rsidRDefault="009A0A63" w:rsidP="00A24459">
            <w:pPr>
              <w:spacing w:line="235" w:lineRule="auto"/>
              <w:jc w:val="center"/>
              <w:rPr>
                <w:rFonts w:eastAsia="Times New Roman"/>
                <w:b/>
                <w:bCs/>
                <w:color w:val="000000" w:themeColor="text1"/>
                <w:sz w:val="24"/>
                <w:szCs w:val="24"/>
              </w:rPr>
            </w:pPr>
            <w:r w:rsidRPr="00792B36">
              <w:rPr>
                <w:rFonts w:eastAsia="Times New Roman"/>
                <w:b/>
                <w:bCs/>
                <w:color w:val="000000" w:themeColor="text1"/>
                <w:sz w:val="24"/>
                <w:szCs w:val="24"/>
              </w:rPr>
              <w:t>Extrinsic</w:t>
            </w:r>
            <w:r w:rsidRPr="00792B36">
              <w:rPr>
                <w:rFonts w:eastAsia="Times New Roman"/>
                <w:b/>
                <w:bCs/>
                <w:color w:val="000000" w:themeColor="text1"/>
                <w:sz w:val="24"/>
                <w:szCs w:val="24"/>
                <w:cs/>
              </w:rPr>
              <w:t>/</w:t>
            </w:r>
            <w:r w:rsidRPr="00792B36">
              <w:rPr>
                <w:rFonts w:eastAsia="Times New Roman"/>
                <w:b/>
                <w:bCs/>
                <w:color w:val="000000" w:themeColor="text1"/>
                <w:sz w:val="24"/>
                <w:szCs w:val="24"/>
              </w:rPr>
              <w:t>external sources of change</w:t>
            </w:r>
          </w:p>
        </w:tc>
      </w:tr>
      <w:tr w:rsidR="009A0A63" w:rsidRPr="00792B36" w14:paraId="2028ADAA" w14:textId="77777777" w:rsidTr="00A24459">
        <w:trPr>
          <w:trHeight w:val="315"/>
        </w:trPr>
        <w:tc>
          <w:tcPr>
            <w:tcW w:w="1320" w:type="pct"/>
            <w:vAlign w:val="center"/>
          </w:tcPr>
          <w:p w14:paraId="0EE5E92E" w14:textId="77777777" w:rsidR="009A0A63" w:rsidRPr="00792B36" w:rsidRDefault="009A0A63" w:rsidP="00A24459">
            <w:pPr>
              <w:spacing w:line="235" w:lineRule="auto"/>
              <w:rPr>
                <w:color w:val="000000" w:themeColor="text1"/>
                <w:sz w:val="24"/>
                <w:szCs w:val="24"/>
              </w:rPr>
            </w:pPr>
            <w:r w:rsidRPr="00792B36">
              <w:rPr>
                <w:rStyle w:val="Strong"/>
                <w:rFonts w:eastAsiaTheme="minorEastAsia"/>
                <w:color w:val="000000" w:themeColor="text1"/>
                <w:sz w:val="24"/>
                <w:szCs w:val="24"/>
              </w:rPr>
              <w:t>MG1: Welu River Estuary</w:t>
            </w:r>
            <w:r w:rsidRPr="00792B36">
              <w:rPr>
                <w:b/>
                <w:bCs/>
                <w:color w:val="000000" w:themeColor="text1"/>
                <w:sz w:val="24"/>
                <w:szCs w:val="24"/>
              </w:rPr>
              <w:br/>
            </w:r>
          </w:p>
        </w:tc>
        <w:tc>
          <w:tcPr>
            <w:tcW w:w="3680" w:type="pct"/>
            <w:tcMar>
              <w:top w:w="0" w:type="dxa"/>
              <w:left w:w="45" w:type="dxa"/>
              <w:bottom w:w="0" w:type="dxa"/>
              <w:right w:w="45" w:type="dxa"/>
            </w:tcMar>
            <w:vAlign w:val="bottom"/>
          </w:tcPr>
          <w:p w14:paraId="252F3C4A" w14:textId="77777777" w:rsidR="009A0A63" w:rsidRPr="00792B36" w:rsidRDefault="009A0A63" w:rsidP="00A24459">
            <w:pPr>
              <w:spacing w:line="235" w:lineRule="auto"/>
              <w:rPr>
                <w:color w:val="000000" w:themeColor="text1"/>
                <w:sz w:val="24"/>
                <w:szCs w:val="24"/>
              </w:rPr>
            </w:pPr>
            <w:r w:rsidRPr="00792B36">
              <w:rPr>
                <w:color w:val="000000" w:themeColor="text1"/>
                <w:sz w:val="24"/>
                <w:szCs w:val="24"/>
              </w:rPr>
              <w:t>Mangrove loss of approximately 60% occurred between the 1970s and 2009, followed by slow recovery after 2010 through community-led restoration projects. Large-scale conversion of mangroves into shrimp ponds and coastal tourism facilities was the primary cause of this severe decline. In addition, agricultural expansion and the construction of irrigation canals reduced freshwater inflow and altered estuarine salinity and turbidity.</w:t>
            </w:r>
          </w:p>
        </w:tc>
      </w:tr>
      <w:tr w:rsidR="009A0A63" w:rsidRPr="00792B36" w14:paraId="6BF97A74" w14:textId="77777777" w:rsidTr="00A24459">
        <w:trPr>
          <w:trHeight w:val="315"/>
        </w:trPr>
        <w:tc>
          <w:tcPr>
            <w:tcW w:w="1320" w:type="pct"/>
            <w:vAlign w:val="center"/>
          </w:tcPr>
          <w:p w14:paraId="539B10DF" w14:textId="77777777" w:rsidR="009A0A63" w:rsidRPr="00792B36" w:rsidRDefault="009A0A63" w:rsidP="00A24459">
            <w:pPr>
              <w:spacing w:line="235" w:lineRule="auto"/>
              <w:rPr>
                <w:color w:val="000000" w:themeColor="text1"/>
                <w:sz w:val="24"/>
                <w:szCs w:val="24"/>
              </w:rPr>
            </w:pPr>
            <w:r w:rsidRPr="00792B36">
              <w:rPr>
                <w:rStyle w:val="Strong"/>
                <w:rFonts w:eastAsiaTheme="minorEastAsia"/>
                <w:color w:val="000000" w:themeColor="text1"/>
                <w:sz w:val="24"/>
                <w:szCs w:val="24"/>
              </w:rPr>
              <w:t>MG2: Bandon Bay</w:t>
            </w:r>
            <w:r w:rsidRPr="00792B36">
              <w:rPr>
                <w:b/>
                <w:bCs/>
                <w:color w:val="000000" w:themeColor="text1"/>
                <w:sz w:val="24"/>
                <w:szCs w:val="24"/>
              </w:rPr>
              <w:br/>
            </w:r>
          </w:p>
        </w:tc>
        <w:tc>
          <w:tcPr>
            <w:tcW w:w="3680" w:type="pct"/>
            <w:tcMar>
              <w:top w:w="0" w:type="dxa"/>
              <w:left w:w="45" w:type="dxa"/>
              <w:bottom w:w="0" w:type="dxa"/>
              <w:right w:w="45" w:type="dxa"/>
            </w:tcMar>
            <w:vAlign w:val="bottom"/>
          </w:tcPr>
          <w:p w14:paraId="7EE32B1A" w14:textId="77777777" w:rsidR="009A0A63" w:rsidRPr="00792B36" w:rsidRDefault="009A0A63" w:rsidP="00A24459">
            <w:pPr>
              <w:spacing w:line="235" w:lineRule="auto"/>
              <w:rPr>
                <w:color w:val="000000" w:themeColor="text1"/>
                <w:sz w:val="24"/>
                <w:szCs w:val="24"/>
              </w:rPr>
            </w:pPr>
            <w:r w:rsidRPr="00792B36">
              <w:rPr>
                <w:color w:val="000000" w:themeColor="text1"/>
                <w:sz w:val="24"/>
                <w:szCs w:val="24"/>
              </w:rPr>
              <w:t>Continuous conversion of mangroves into aquaculture occurred during the 2010s, while partial recovery has been observed since the mid-2010s through rehabilitation projects. Extensive losses from shrimp farming prompted the initiation of the “Reversing Environmental Damage – Bandon Bay” project to restore degraded mangrove ecosystems. In addition, the Tapi River Basin is regulated by dams and irrigation schemes, which have altered freshwater discharge and sediment delivery to the bay.</w:t>
            </w:r>
          </w:p>
        </w:tc>
      </w:tr>
      <w:tr w:rsidR="009A0A63" w:rsidRPr="00792B36" w14:paraId="2C3F3107" w14:textId="77777777" w:rsidTr="00A24459">
        <w:trPr>
          <w:trHeight w:val="316"/>
        </w:trPr>
        <w:tc>
          <w:tcPr>
            <w:tcW w:w="1320" w:type="pct"/>
            <w:vAlign w:val="center"/>
          </w:tcPr>
          <w:p w14:paraId="5CDBB7A3" w14:textId="77777777" w:rsidR="009A0A63" w:rsidRPr="00792B36" w:rsidRDefault="009A0A63" w:rsidP="00A24459">
            <w:pPr>
              <w:spacing w:line="235" w:lineRule="auto"/>
              <w:rPr>
                <w:color w:val="000000" w:themeColor="text1"/>
                <w:sz w:val="24"/>
                <w:szCs w:val="24"/>
              </w:rPr>
            </w:pPr>
            <w:r w:rsidRPr="00792B36">
              <w:rPr>
                <w:rStyle w:val="Strong"/>
                <w:rFonts w:eastAsiaTheme="minorEastAsia"/>
                <w:color w:val="000000" w:themeColor="text1"/>
                <w:sz w:val="24"/>
                <w:szCs w:val="24"/>
              </w:rPr>
              <w:t>MG3: Pak Panang Bay</w:t>
            </w:r>
            <w:r w:rsidRPr="00792B36">
              <w:rPr>
                <w:b/>
                <w:bCs/>
                <w:color w:val="000000" w:themeColor="text1"/>
                <w:sz w:val="24"/>
                <w:szCs w:val="24"/>
              </w:rPr>
              <w:br/>
            </w:r>
          </w:p>
        </w:tc>
        <w:tc>
          <w:tcPr>
            <w:tcW w:w="3680" w:type="pct"/>
            <w:tcMar>
              <w:top w:w="0" w:type="dxa"/>
              <w:left w:w="45" w:type="dxa"/>
              <w:bottom w:w="0" w:type="dxa"/>
              <w:right w:w="45" w:type="dxa"/>
            </w:tcMar>
            <w:vAlign w:val="bottom"/>
          </w:tcPr>
          <w:p w14:paraId="7420E006" w14:textId="77777777" w:rsidR="009A0A63" w:rsidRPr="00792B36" w:rsidRDefault="009A0A63" w:rsidP="00A24459">
            <w:pPr>
              <w:spacing w:line="235" w:lineRule="auto"/>
              <w:rPr>
                <w:color w:val="000000" w:themeColor="text1"/>
                <w:sz w:val="24"/>
                <w:szCs w:val="24"/>
              </w:rPr>
            </w:pPr>
            <w:r w:rsidRPr="00792B36">
              <w:rPr>
                <w:color w:val="000000" w:themeColor="text1"/>
                <w:sz w:val="24"/>
                <w:szCs w:val="24"/>
              </w:rPr>
              <w:t>Mangroves have experienced a long-term decline, with fragmented reforestation projects implemented since the early 2000s. Mangrove clearing has reduced fish diversity and impaired ecosystem functions, while afforestation attempts on intertidal mudflats have been recorded. Furthermore, the river basin has been modified by sluice gates, flood dikes, and irrigation systems, which have reduced tidal exchange and sediment flow and altered the salinity balance.</w:t>
            </w:r>
          </w:p>
        </w:tc>
      </w:tr>
      <w:tr w:rsidR="009A0A63" w:rsidRPr="00792B36" w14:paraId="1136E1BB" w14:textId="77777777" w:rsidTr="00A24459">
        <w:trPr>
          <w:trHeight w:val="315"/>
        </w:trPr>
        <w:tc>
          <w:tcPr>
            <w:tcW w:w="1320" w:type="pct"/>
            <w:vAlign w:val="center"/>
          </w:tcPr>
          <w:p w14:paraId="0F48B422" w14:textId="77777777" w:rsidR="009A0A63" w:rsidRPr="00792B36" w:rsidRDefault="009A0A63" w:rsidP="00A24459">
            <w:pPr>
              <w:spacing w:line="235" w:lineRule="auto"/>
              <w:rPr>
                <w:color w:val="000000" w:themeColor="text1"/>
                <w:sz w:val="24"/>
                <w:szCs w:val="24"/>
              </w:rPr>
            </w:pPr>
            <w:r w:rsidRPr="00792B36">
              <w:rPr>
                <w:rStyle w:val="Strong"/>
                <w:rFonts w:eastAsiaTheme="minorEastAsia"/>
                <w:color w:val="000000" w:themeColor="text1"/>
                <w:sz w:val="24"/>
                <w:szCs w:val="24"/>
              </w:rPr>
              <w:t>MG: Samut Prakan Province</w:t>
            </w:r>
          </w:p>
        </w:tc>
        <w:tc>
          <w:tcPr>
            <w:tcW w:w="3680" w:type="pct"/>
            <w:tcMar>
              <w:top w:w="0" w:type="dxa"/>
              <w:left w:w="45" w:type="dxa"/>
              <w:bottom w:w="0" w:type="dxa"/>
              <w:right w:w="45" w:type="dxa"/>
            </w:tcMar>
            <w:vAlign w:val="bottom"/>
          </w:tcPr>
          <w:p w14:paraId="733346FA" w14:textId="77777777" w:rsidR="009A0A63" w:rsidRPr="00792B36" w:rsidRDefault="009A0A63" w:rsidP="00A24459">
            <w:pPr>
              <w:spacing w:line="235" w:lineRule="auto"/>
              <w:rPr>
                <w:color w:val="000000" w:themeColor="text1"/>
                <w:sz w:val="24"/>
                <w:szCs w:val="24"/>
                <w:cs/>
              </w:rPr>
            </w:pPr>
            <w:r w:rsidRPr="00792B36">
              <w:rPr>
                <w:color w:val="000000" w:themeColor="text1"/>
                <w:sz w:val="24"/>
                <w:szCs w:val="24"/>
              </w:rPr>
              <w:t>There has been severe historical loss of mangroves, with only minimal remnants remaining after 2010 despite replanting efforts. Urbanization, land reclamation, and the expansion of ports and industries have driven large-scale destruction. In addition, the Chao Phraya Basin is regulated by multiple dams and diversions, and heavy urban wastewater inflows have further compounded the stress on the remaining mangroves.</w:t>
            </w:r>
          </w:p>
        </w:tc>
      </w:tr>
      <w:tr w:rsidR="009A0A63" w:rsidRPr="00792B36" w14:paraId="784705AF" w14:textId="77777777" w:rsidTr="00A24459">
        <w:trPr>
          <w:trHeight w:val="315"/>
        </w:trPr>
        <w:tc>
          <w:tcPr>
            <w:tcW w:w="1320" w:type="pct"/>
            <w:vAlign w:val="center"/>
          </w:tcPr>
          <w:p w14:paraId="017E6E9F" w14:textId="77777777" w:rsidR="009A0A63" w:rsidRPr="00792B36" w:rsidRDefault="009A0A63" w:rsidP="00A24459">
            <w:pPr>
              <w:spacing w:line="235" w:lineRule="auto"/>
              <w:rPr>
                <w:color w:val="000000" w:themeColor="text1"/>
                <w:sz w:val="24"/>
                <w:szCs w:val="24"/>
              </w:rPr>
            </w:pPr>
            <w:r w:rsidRPr="00792B36">
              <w:rPr>
                <w:rStyle w:val="Strong"/>
                <w:rFonts w:eastAsiaTheme="minorEastAsia"/>
                <w:color w:val="000000" w:themeColor="text1"/>
                <w:sz w:val="24"/>
                <w:szCs w:val="24"/>
              </w:rPr>
              <w:t>WL1: Don Hoi Lot</w:t>
            </w:r>
            <w:r w:rsidRPr="00792B36">
              <w:rPr>
                <w:b/>
                <w:bCs/>
                <w:color w:val="000000" w:themeColor="text1"/>
                <w:sz w:val="24"/>
                <w:szCs w:val="24"/>
              </w:rPr>
              <w:br/>
            </w:r>
          </w:p>
        </w:tc>
        <w:tc>
          <w:tcPr>
            <w:tcW w:w="3680" w:type="pct"/>
            <w:tcMar>
              <w:top w:w="0" w:type="dxa"/>
              <w:left w:w="45" w:type="dxa"/>
              <w:bottom w:w="0" w:type="dxa"/>
              <w:right w:w="45" w:type="dxa"/>
            </w:tcMar>
            <w:vAlign w:val="bottom"/>
          </w:tcPr>
          <w:p w14:paraId="6A667944" w14:textId="77777777" w:rsidR="009A0A63" w:rsidRPr="00792B36" w:rsidRDefault="009A0A63" w:rsidP="00A24459">
            <w:pPr>
              <w:spacing w:line="235" w:lineRule="auto"/>
              <w:rPr>
                <w:color w:val="000000" w:themeColor="text1"/>
                <w:sz w:val="24"/>
                <w:szCs w:val="24"/>
              </w:rPr>
            </w:pPr>
            <w:r w:rsidRPr="00792B36">
              <w:rPr>
                <w:color w:val="000000" w:themeColor="text1"/>
                <w:sz w:val="24"/>
                <w:szCs w:val="24"/>
              </w:rPr>
              <w:t>The area faces severe pressures from pollution, coastal development, aquaculture, overharvesting, invasive species, and altered freshwater-sediment flows, highlighting its ecological vulnerability and the need for integrated management.</w:t>
            </w:r>
          </w:p>
        </w:tc>
      </w:tr>
    </w:tbl>
    <w:p w14:paraId="57B20A07" w14:textId="77777777" w:rsidR="009A0A63" w:rsidRPr="00792B36" w:rsidRDefault="009A0A63" w:rsidP="009A0A63">
      <w:pPr>
        <w:tabs>
          <w:tab w:val="left" w:pos="1134"/>
        </w:tabs>
        <w:rPr>
          <w:b/>
          <w:bCs/>
          <w:i/>
          <w:iCs/>
          <w:color w:val="000000" w:themeColor="text1"/>
          <w:sz w:val="24"/>
          <w:szCs w:val="24"/>
        </w:rPr>
      </w:pPr>
    </w:p>
    <w:p w14:paraId="64378755" w14:textId="77777777" w:rsidR="009A0A63" w:rsidRPr="00792B36" w:rsidRDefault="009A0A63" w:rsidP="009A0A63">
      <w:pPr>
        <w:tabs>
          <w:tab w:val="left" w:pos="1134"/>
        </w:tabs>
        <w:rPr>
          <w:b/>
          <w:bCs/>
          <w:i/>
          <w:iCs/>
          <w:color w:val="000000" w:themeColor="text1"/>
          <w:sz w:val="24"/>
          <w:szCs w:val="24"/>
        </w:rPr>
      </w:pPr>
    </w:p>
    <w:p w14:paraId="414FAB16" w14:textId="77777777" w:rsidR="009A0A63" w:rsidRPr="00792B36" w:rsidRDefault="009A0A63" w:rsidP="009A0A63">
      <w:pPr>
        <w:tabs>
          <w:tab w:val="left" w:pos="1134"/>
        </w:tabs>
        <w:rPr>
          <w:b/>
          <w:bCs/>
          <w:i/>
          <w:iCs/>
          <w:color w:val="000000" w:themeColor="text1"/>
          <w:sz w:val="24"/>
          <w:szCs w:val="24"/>
        </w:rPr>
      </w:pPr>
      <w:r w:rsidRPr="00792B36">
        <w:rPr>
          <w:b/>
          <w:bCs/>
          <w:i/>
          <w:iCs/>
          <w:color w:val="000000" w:themeColor="text1"/>
          <w:sz w:val="24"/>
          <w:szCs w:val="24"/>
        </w:rPr>
        <w:t>Rates of change and historical review</w:t>
      </w:r>
    </w:p>
    <w:p w14:paraId="2863315A" w14:textId="77777777" w:rsidR="009A0A63" w:rsidRPr="00792B36" w:rsidRDefault="009A0A63" w:rsidP="009A0A63">
      <w:pPr>
        <w:tabs>
          <w:tab w:val="left" w:pos="1134"/>
        </w:tabs>
        <w:jc w:val="thaiDistribute"/>
        <w:rPr>
          <w:color w:val="000000" w:themeColor="text1"/>
          <w:sz w:val="24"/>
          <w:szCs w:val="24"/>
        </w:rPr>
      </w:pPr>
      <w:r w:rsidRPr="00792B36">
        <w:rPr>
          <w:b/>
          <w:bCs/>
          <w:color w:val="000000" w:themeColor="text1"/>
          <w:sz w:val="24"/>
          <w:szCs w:val="24"/>
        </w:rPr>
        <w:tab/>
      </w:r>
      <w:r w:rsidRPr="00792B36">
        <w:rPr>
          <w:color w:val="000000" w:themeColor="text1"/>
          <w:sz w:val="24"/>
          <w:szCs w:val="24"/>
        </w:rPr>
        <w:t xml:space="preserve">A review of historical trends and rates of change in mangrove and wetland areas along the Gulf of Thailand reveals considerable spatial variation in ecosystem trajectories. At the Welu River Estuary, mangrove cover declined by </w:t>
      </w:r>
      <w:r w:rsidRPr="00792B36">
        <w:rPr>
          <w:color w:val="000000" w:themeColor="text1"/>
          <w:sz w:val="24"/>
          <w:szCs w:val="24"/>
        </w:rPr>
        <w:lastRenderedPageBreak/>
        <w:t>nearly 60% between the 2010 and 2024 due to shrimp farming, coastal development, and agriculture, with only partial recovery achieved through community-led reforestation since 2010. In Bandon Bay, widespread conversion to aquaculture during the 2010s has resulted in only limited recovery despite rehabilitation projects, while upstream dams and irrigation continue to alter freshwater and sediment regimes. By contrast, Pak Panang Bay has shown slight increases in mangrove cover attributed to replanting initiatives, while Samut Prakan Province experienced a modest decline of around 1–2% due to land conversion and erosion. Don Hoi Lot remains highly vulnerable, with external pressures from pollution, coastal development, overharvesting, invasive species, and disrupted freshwater inflows compounding ecological stress. Collectively, these findings highlight both the long-term pressures driving mangrove degradation and the role of targeted restoration in fostering localized recovery and resilience.</w:t>
      </w:r>
      <w:r w:rsidRPr="00792B36">
        <w:rPr>
          <w:color w:val="000000" w:themeColor="text1"/>
          <w:sz w:val="24"/>
          <w:szCs w:val="24"/>
          <w:cs/>
        </w:rPr>
        <w:t xml:space="preserve"> (</w:t>
      </w:r>
      <w:r w:rsidRPr="00792B36">
        <w:rPr>
          <w:color w:val="000000" w:themeColor="text1"/>
          <w:sz w:val="24"/>
          <w:szCs w:val="24"/>
        </w:rPr>
        <w:t>Table 9</w:t>
      </w:r>
      <w:r w:rsidRPr="00792B36">
        <w:rPr>
          <w:color w:val="000000" w:themeColor="text1"/>
          <w:sz w:val="24"/>
          <w:szCs w:val="24"/>
          <w:cs/>
        </w:rPr>
        <w:t>)</w:t>
      </w:r>
    </w:p>
    <w:p w14:paraId="006912AE" w14:textId="77777777" w:rsidR="009A0A63" w:rsidRPr="00792B36" w:rsidRDefault="009A0A63" w:rsidP="009A0A63">
      <w:pPr>
        <w:rPr>
          <w:i/>
          <w:iCs/>
          <w:color w:val="000000" w:themeColor="text1"/>
          <w:sz w:val="24"/>
          <w:szCs w:val="24"/>
        </w:rPr>
      </w:pPr>
      <w:r w:rsidRPr="00792B36">
        <w:rPr>
          <w:b/>
          <w:bCs/>
          <w:color w:val="000000" w:themeColor="text1"/>
          <w:sz w:val="24"/>
          <w:szCs w:val="24"/>
        </w:rPr>
        <w:t>Table 9</w:t>
      </w:r>
      <w:r w:rsidRPr="00792B36">
        <w:rPr>
          <w:b/>
          <w:bCs/>
          <w:color w:val="000000" w:themeColor="text1"/>
          <w:sz w:val="24"/>
          <w:szCs w:val="24"/>
          <w:cs/>
        </w:rPr>
        <w:t xml:space="preserve">. </w:t>
      </w:r>
      <w:r w:rsidRPr="00792B36">
        <w:rPr>
          <w:b/>
          <w:bCs/>
          <w:color w:val="000000" w:themeColor="text1"/>
          <w:sz w:val="24"/>
          <w:szCs w:val="24"/>
        </w:rPr>
        <w:t xml:space="preserve">Mangroves and wetland areas in Thailand </w:t>
      </w:r>
      <w:r w:rsidRPr="00792B36">
        <w:rPr>
          <w:b/>
          <w:bCs/>
          <w:color w:val="000000" w:themeColor="text1"/>
          <w:sz w:val="24"/>
          <w:szCs w:val="24"/>
          <w:cs/>
        </w:rPr>
        <w:t>(</w:t>
      </w:r>
      <w:r w:rsidRPr="00792B36">
        <w:rPr>
          <w:b/>
          <w:bCs/>
          <w:color w:val="000000" w:themeColor="text1"/>
          <w:sz w:val="24"/>
          <w:szCs w:val="24"/>
        </w:rPr>
        <w:t>Gulf of Thailand</w:t>
      </w:r>
      <w:r w:rsidRPr="00792B36">
        <w:rPr>
          <w:b/>
          <w:bCs/>
          <w:color w:val="000000" w:themeColor="text1"/>
          <w:sz w:val="24"/>
          <w:szCs w:val="24"/>
          <w:cs/>
        </w:rPr>
        <w:t>):</w:t>
      </w:r>
      <w:r w:rsidRPr="00792B36">
        <w:rPr>
          <w:color w:val="000000" w:themeColor="text1"/>
          <w:sz w:val="24"/>
          <w:szCs w:val="24"/>
        </w:rPr>
        <w:t xml:space="preserve"> Stress</w:t>
      </w:r>
      <w:r w:rsidRPr="00792B36">
        <w:rPr>
          <w:color w:val="000000" w:themeColor="text1"/>
          <w:sz w:val="24"/>
          <w:szCs w:val="24"/>
          <w:cs/>
        </w:rPr>
        <w:t>-</w:t>
      </w:r>
      <w:r w:rsidRPr="00792B36">
        <w:rPr>
          <w:color w:val="000000" w:themeColor="text1"/>
          <w:sz w:val="24"/>
          <w:szCs w:val="24"/>
        </w:rPr>
        <w:t>pressure information showing rates of change and historical review</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3419"/>
        <w:gridCol w:w="9531"/>
      </w:tblGrid>
      <w:tr w:rsidR="009A0A63" w:rsidRPr="00792B36" w14:paraId="4BD6860A" w14:textId="77777777" w:rsidTr="00A24459">
        <w:trPr>
          <w:trHeight w:val="728"/>
          <w:tblHeader/>
        </w:trPr>
        <w:tc>
          <w:tcPr>
            <w:tcW w:w="1320" w:type="pct"/>
            <w:vAlign w:val="center"/>
          </w:tcPr>
          <w:p w14:paraId="59FE4D8A" w14:textId="77777777" w:rsidR="009A0A63" w:rsidRPr="00792B36" w:rsidRDefault="009A0A63" w:rsidP="00A24459">
            <w:pPr>
              <w:spacing w:line="235" w:lineRule="auto"/>
              <w:jc w:val="center"/>
              <w:rPr>
                <w:rFonts w:eastAsia="Times New Roman"/>
                <w:b/>
                <w:bCs/>
                <w:color w:val="000000" w:themeColor="text1"/>
                <w:sz w:val="24"/>
                <w:szCs w:val="24"/>
              </w:rPr>
            </w:pPr>
            <w:r w:rsidRPr="00792B36">
              <w:rPr>
                <w:rFonts w:eastAsia="Times New Roman"/>
                <w:b/>
                <w:bCs/>
                <w:color w:val="000000" w:themeColor="text1"/>
                <w:sz w:val="24"/>
                <w:szCs w:val="24"/>
              </w:rPr>
              <w:t>Name of area</w:t>
            </w:r>
          </w:p>
        </w:tc>
        <w:tc>
          <w:tcPr>
            <w:tcW w:w="3680" w:type="pct"/>
            <w:vAlign w:val="center"/>
          </w:tcPr>
          <w:p w14:paraId="0BF1870C" w14:textId="77777777" w:rsidR="009A0A63" w:rsidRPr="00792B36" w:rsidRDefault="009A0A63" w:rsidP="00A24459">
            <w:pPr>
              <w:spacing w:line="235" w:lineRule="auto"/>
              <w:jc w:val="center"/>
              <w:rPr>
                <w:rFonts w:eastAsia="Times New Roman"/>
                <w:b/>
                <w:bCs/>
                <w:color w:val="000000" w:themeColor="text1"/>
                <w:sz w:val="24"/>
                <w:szCs w:val="24"/>
              </w:rPr>
            </w:pPr>
            <w:bookmarkStart w:id="36" w:name="_Hlk203227008"/>
            <w:r w:rsidRPr="00792B36">
              <w:rPr>
                <w:rFonts w:eastAsia="Times New Roman"/>
                <w:b/>
                <w:bCs/>
                <w:color w:val="000000" w:themeColor="text1"/>
                <w:sz w:val="24"/>
                <w:szCs w:val="24"/>
              </w:rPr>
              <w:t>Rates of change, historical review</w:t>
            </w:r>
            <w:bookmarkEnd w:id="36"/>
          </w:p>
        </w:tc>
      </w:tr>
      <w:tr w:rsidR="009A0A63" w:rsidRPr="00792B36" w14:paraId="112314E2" w14:textId="77777777" w:rsidTr="00A24459">
        <w:trPr>
          <w:trHeight w:val="315"/>
        </w:trPr>
        <w:tc>
          <w:tcPr>
            <w:tcW w:w="1320" w:type="pct"/>
            <w:vAlign w:val="center"/>
          </w:tcPr>
          <w:p w14:paraId="7FE10DB0" w14:textId="77777777" w:rsidR="009A0A63" w:rsidRPr="00792B36" w:rsidRDefault="009A0A63" w:rsidP="00A24459">
            <w:pPr>
              <w:spacing w:line="235" w:lineRule="auto"/>
              <w:rPr>
                <w:b/>
                <w:bCs/>
                <w:color w:val="000000" w:themeColor="text1"/>
                <w:sz w:val="24"/>
                <w:szCs w:val="24"/>
              </w:rPr>
            </w:pPr>
            <w:r w:rsidRPr="00792B36">
              <w:rPr>
                <w:rStyle w:val="Strong"/>
                <w:rFonts w:eastAsiaTheme="minorEastAsia"/>
                <w:color w:val="000000" w:themeColor="text1"/>
                <w:sz w:val="24"/>
                <w:szCs w:val="24"/>
              </w:rPr>
              <w:t>MG1: Welu River Estuary</w:t>
            </w:r>
            <w:r w:rsidRPr="00792B36">
              <w:rPr>
                <w:b/>
                <w:bCs/>
                <w:color w:val="000000" w:themeColor="text1"/>
                <w:sz w:val="24"/>
                <w:szCs w:val="24"/>
              </w:rPr>
              <w:br/>
            </w:r>
          </w:p>
        </w:tc>
        <w:tc>
          <w:tcPr>
            <w:tcW w:w="3680" w:type="pct"/>
            <w:tcMar>
              <w:top w:w="0" w:type="dxa"/>
              <w:left w:w="45" w:type="dxa"/>
              <w:bottom w:w="0" w:type="dxa"/>
              <w:right w:w="45" w:type="dxa"/>
            </w:tcMar>
            <w:vAlign w:val="center"/>
          </w:tcPr>
          <w:p w14:paraId="77D713E4" w14:textId="77777777" w:rsidR="009A0A63" w:rsidRPr="00792B36" w:rsidRDefault="009A0A63" w:rsidP="00A24459">
            <w:pPr>
              <w:spacing w:line="235" w:lineRule="auto"/>
              <w:rPr>
                <w:color w:val="000000" w:themeColor="text1"/>
                <w:sz w:val="24"/>
                <w:szCs w:val="24"/>
              </w:rPr>
            </w:pPr>
            <w:r w:rsidRPr="00792B36">
              <w:rPr>
                <w:color w:val="000000" w:themeColor="text1"/>
                <w:sz w:val="24"/>
                <w:szCs w:val="24"/>
              </w:rPr>
              <w:t>Mangrove cover declined by ~</w:t>
            </w:r>
            <w:r w:rsidRPr="00792B36">
              <w:rPr>
                <w:color w:val="000000" w:themeColor="text1"/>
                <w:sz w:val="24"/>
                <w:szCs w:val="24"/>
                <w:cs/>
              </w:rPr>
              <w:t xml:space="preserve">60% </w:t>
            </w:r>
            <w:r w:rsidRPr="00792B36">
              <w:rPr>
                <w:color w:val="000000" w:themeColor="text1"/>
                <w:sz w:val="24"/>
                <w:szCs w:val="24"/>
              </w:rPr>
              <w:t xml:space="preserve">between the 2010 and </w:t>
            </w:r>
            <w:r w:rsidRPr="00792B36">
              <w:rPr>
                <w:color w:val="000000" w:themeColor="text1"/>
                <w:sz w:val="24"/>
                <w:szCs w:val="24"/>
                <w:cs/>
              </w:rPr>
              <w:t>20</w:t>
            </w:r>
            <w:r w:rsidRPr="00792B36">
              <w:rPr>
                <w:color w:val="000000" w:themeColor="text1"/>
                <w:sz w:val="24"/>
                <w:szCs w:val="24"/>
              </w:rPr>
              <w:t>24</w:t>
            </w:r>
            <w:r w:rsidRPr="00792B36">
              <w:rPr>
                <w:color w:val="000000" w:themeColor="text1"/>
                <w:sz w:val="24"/>
                <w:szCs w:val="24"/>
                <w:cs/>
              </w:rPr>
              <w:t xml:space="preserve"> </w:t>
            </w:r>
            <w:r w:rsidRPr="00792B36">
              <w:rPr>
                <w:color w:val="000000" w:themeColor="text1"/>
                <w:sz w:val="24"/>
                <w:szCs w:val="24"/>
              </w:rPr>
              <w:t xml:space="preserve">due to shrimp farming, tourism development, and agriculture, with only partial recovery observed since </w:t>
            </w:r>
            <w:r w:rsidRPr="00792B36">
              <w:rPr>
                <w:color w:val="000000" w:themeColor="text1"/>
                <w:sz w:val="24"/>
                <w:szCs w:val="24"/>
                <w:cs/>
              </w:rPr>
              <w:t xml:space="preserve">2010 </w:t>
            </w:r>
            <w:r w:rsidRPr="00792B36">
              <w:rPr>
                <w:color w:val="000000" w:themeColor="text1"/>
                <w:sz w:val="24"/>
                <w:szCs w:val="24"/>
              </w:rPr>
              <w:t>through community-led reforestation.</w:t>
            </w:r>
          </w:p>
        </w:tc>
      </w:tr>
      <w:tr w:rsidR="009A0A63" w:rsidRPr="00792B36" w14:paraId="3A25275A" w14:textId="77777777" w:rsidTr="00A24459">
        <w:trPr>
          <w:trHeight w:val="315"/>
        </w:trPr>
        <w:tc>
          <w:tcPr>
            <w:tcW w:w="1320" w:type="pct"/>
            <w:vAlign w:val="center"/>
          </w:tcPr>
          <w:p w14:paraId="09E4C9BE" w14:textId="77777777" w:rsidR="009A0A63" w:rsidRPr="00792B36" w:rsidRDefault="009A0A63" w:rsidP="00A24459">
            <w:pPr>
              <w:spacing w:line="235" w:lineRule="auto"/>
              <w:rPr>
                <w:b/>
                <w:bCs/>
                <w:color w:val="000000" w:themeColor="text1"/>
                <w:sz w:val="24"/>
                <w:szCs w:val="24"/>
              </w:rPr>
            </w:pPr>
            <w:r w:rsidRPr="00792B36">
              <w:rPr>
                <w:rStyle w:val="Strong"/>
                <w:rFonts w:eastAsiaTheme="minorEastAsia"/>
                <w:color w:val="000000" w:themeColor="text1"/>
                <w:sz w:val="24"/>
                <w:szCs w:val="24"/>
              </w:rPr>
              <w:t>MG2: Bandon Bay</w:t>
            </w:r>
            <w:r w:rsidRPr="00792B36">
              <w:rPr>
                <w:b/>
                <w:bCs/>
                <w:color w:val="000000" w:themeColor="text1"/>
                <w:sz w:val="24"/>
                <w:szCs w:val="24"/>
              </w:rPr>
              <w:br/>
            </w:r>
          </w:p>
        </w:tc>
        <w:tc>
          <w:tcPr>
            <w:tcW w:w="3680" w:type="pct"/>
            <w:tcMar>
              <w:top w:w="0" w:type="dxa"/>
              <w:left w:w="45" w:type="dxa"/>
              <w:bottom w:w="0" w:type="dxa"/>
              <w:right w:w="45" w:type="dxa"/>
            </w:tcMar>
            <w:vAlign w:val="center"/>
          </w:tcPr>
          <w:p w14:paraId="291C34DF" w14:textId="77777777" w:rsidR="009A0A63" w:rsidRPr="00792B36" w:rsidRDefault="009A0A63" w:rsidP="00A24459">
            <w:pPr>
              <w:spacing w:line="235" w:lineRule="auto"/>
              <w:rPr>
                <w:color w:val="000000" w:themeColor="text1"/>
                <w:sz w:val="24"/>
                <w:szCs w:val="24"/>
              </w:rPr>
            </w:pPr>
            <w:r w:rsidRPr="00792B36">
              <w:rPr>
                <w:color w:val="000000" w:themeColor="text1"/>
                <w:sz w:val="24"/>
                <w:szCs w:val="24"/>
              </w:rPr>
              <w:t>Converted to aquaculture during the 2010s, the area has shown only limited recovery since the mid-2010s. Losses from shrimp farming prompted the “Reversing Environmental Damage – Bandon Bay” project, while upstream dams and irrigation continue to alter freshwater and sediment flows</w:t>
            </w:r>
            <w:r w:rsidRPr="00792B36">
              <w:rPr>
                <w:color w:val="000000" w:themeColor="text1"/>
                <w:sz w:val="24"/>
                <w:szCs w:val="24"/>
                <w:cs/>
              </w:rPr>
              <w:t>.</w:t>
            </w:r>
          </w:p>
        </w:tc>
      </w:tr>
      <w:tr w:rsidR="009A0A63" w:rsidRPr="00792B36" w14:paraId="228913CE" w14:textId="77777777" w:rsidTr="00A24459">
        <w:trPr>
          <w:trHeight w:val="316"/>
        </w:trPr>
        <w:tc>
          <w:tcPr>
            <w:tcW w:w="1320" w:type="pct"/>
            <w:vAlign w:val="center"/>
          </w:tcPr>
          <w:p w14:paraId="3E638774" w14:textId="77777777" w:rsidR="009A0A63" w:rsidRPr="00792B36" w:rsidRDefault="009A0A63" w:rsidP="00A24459">
            <w:pPr>
              <w:spacing w:line="235" w:lineRule="auto"/>
              <w:rPr>
                <w:b/>
                <w:bCs/>
                <w:color w:val="000000" w:themeColor="text1"/>
                <w:sz w:val="24"/>
                <w:szCs w:val="24"/>
              </w:rPr>
            </w:pPr>
            <w:r w:rsidRPr="00792B36">
              <w:rPr>
                <w:rStyle w:val="Strong"/>
                <w:rFonts w:eastAsiaTheme="minorEastAsia"/>
                <w:color w:val="000000" w:themeColor="text1"/>
                <w:sz w:val="24"/>
                <w:szCs w:val="24"/>
              </w:rPr>
              <w:t>MG3: Pak Panang Bay</w:t>
            </w:r>
            <w:r w:rsidRPr="00792B36">
              <w:rPr>
                <w:b/>
                <w:bCs/>
                <w:color w:val="000000" w:themeColor="text1"/>
                <w:sz w:val="24"/>
                <w:szCs w:val="24"/>
              </w:rPr>
              <w:br/>
            </w:r>
          </w:p>
        </w:tc>
        <w:tc>
          <w:tcPr>
            <w:tcW w:w="3680" w:type="pct"/>
            <w:tcMar>
              <w:top w:w="0" w:type="dxa"/>
              <w:left w:w="45" w:type="dxa"/>
              <w:bottom w:w="0" w:type="dxa"/>
              <w:right w:w="45" w:type="dxa"/>
            </w:tcMar>
            <w:vAlign w:val="center"/>
          </w:tcPr>
          <w:p w14:paraId="0B504C3A" w14:textId="77777777" w:rsidR="009A0A63" w:rsidRPr="00792B36" w:rsidRDefault="009A0A63" w:rsidP="00A24459">
            <w:pPr>
              <w:spacing w:line="235" w:lineRule="auto"/>
              <w:rPr>
                <w:color w:val="000000" w:themeColor="text1"/>
                <w:sz w:val="24"/>
                <w:szCs w:val="24"/>
              </w:rPr>
            </w:pPr>
            <w:r w:rsidRPr="00792B36">
              <w:rPr>
                <w:color w:val="000000" w:themeColor="text1"/>
                <w:sz w:val="24"/>
                <w:szCs w:val="24"/>
              </w:rPr>
              <w:t>Slight increase in mangrove covers due to replanting projects</w:t>
            </w:r>
            <w:r w:rsidRPr="00792B36">
              <w:rPr>
                <w:color w:val="000000" w:themeColor="text1"/>
                <w:sz w:val="24"/>
                <w:szCs w:val="24"/>
                <w:cs/>
              </w:rPr>
              <w:t xml:space="preserve">. </w:t>
            </w:r>
          </w:p>
        </w:tc>
      </w:tr>
      <w:tr w:rsidR="009A0A63" w:rsidRPr="00792B36" w14:paraId="5E482272" w14:textId="77777777" w:rsidTr="00A24459">
        <w:trPr>
          <w:trHeight w:val="315"/>
        </w:trPr>
        <w:tc>
          <w:tcPr>
            <w:tcW w:w="1320" w:type="pct"/>
            <w:vAlign w:val="center"/>
          </w:tcPr>
          <w:p w14:paraId="7FC98B4A" w14:textId="77777777" w:rsidR="009A0A63" w:rsidRPr="00792B36" w:rsidRDefault="009A0A63" w:rsidP="00A24459">
            <w:pPr>
              <w:spacing w:line="235" w:lineRule="auto"/>
              <w:rPr>
                <w:b/>
                <w:bCs/>
                <w:color w:val="000000" w:themeColor="text1"/>
                <w:sz w:val="24"/>
                <w:szCs w:val="24"/>
              </w:rPr>
            </w:pPr>
            <w:r w:rsidRPr="00792B36">
              <w:rPr>
                <w:rStyle w:val="Strong"/>
                <w:rFonts w:eastAsiaTheme="minorEastAsia"/>
                <w:color w:val="000000" w:themeColor="text1"/>
                <w:sz w:val="24"/>
                <w:szCs w:val="24"/>
              </w:rPr>
              <w:t>MG: Samut Prakan Province</w:t>
            </w:r>
          </w:p>
        </w:tc>
        <w:tc>
          <w:tcPr>
            <w:tcW w:w="3680" w:type="pct"/>
            <w:tcMar>
              <w:top w:w="0" w:type="dxa"/>
              <w:left w:w="45" w:type="dxa"/>
              <w:bottom w:w="0" w:type="dxa"/>
              <w:right w:w="45" w:type="dxa"/>
            </w:tcMar>
            <w:vAlign w:val="center"/>
          </w:tcPr>
          <w:p w14:paraId="71F1A4B2" w14:textId="77777777" w:rsidR="009A0A63" w:rsidRPr="00792B36" w:rsidRDefault="009A0A63" w:rsidP="00A24459">
            <w:pPr>
              <w:spacing w:line="235" w:lineRule="auto"/>
              <w:rPr>
                <w:color w:val="000000" w:themeColor="text1"/>
                <w:sz w:val="24"/>
                <w:szCs w:val="24"/>
              </w:rPr>
            </w:pPr>
            <w:r w:rsidRPr="00792B36">
              <w:rPr>
                <w:color w:val="000000" w:themeColor="text1"/>
                <w:sz w:val="24"/>
                <w:szCs w:val="24"/>
              </w:rPr>
              <w:t>Estimated decrease of around 1</w:t>
            </w:r>
            <w:r w:rsidRPr="00792B36">
              <w:rPr>
                <w:color w:val="000000" w:themeColor="text1"/>
                <w:sz w:val="24"/>
                <w:szCs w:val="24"/>
                <w:cs/>
              </w:rPr>
              <w:t>–</w:t>
            </w:r>
            <w:r w:rsidRPr="00792B36">
              <w:rPr>
                <w:color w:val="000000" w:themeColor="text1"/>
                <w:sz w:val="24"/>
                <w:szCs w:val="24"/>
              </w:rPr>
              <w:t>2</w:t>
            </w:r>
            <w:r w:rsidRPr="00792B36">
              <w:rPr>
                <w:color w:val="000000" w:themeColor="text1"/>
                <w:sz w:val="24"/>
                <w:szCs w:val="24"/>
                <w:cs/>
              </w:rPr>
              <w:t>%</w:t>
            </w:r>
            <w:r w:rsidRPr="00792B36">
              <w:rPr>
                <w:color w:val="000000" w:themeColor="text1"/>
                <w:sz w:val="24"/>
                <w:szCs w:val="24"/>
              </w:rPr>
              <w:t xml:space="preserve"> from land conversion and erosion</w:t>
            </w:r>
            <w:r w:rsidRPr="00792B36">
              <w:rPr>
                <w:color w:val="000000" w:themeColor="text1"/>
                <w:sz w:val="24"/>
                <w:szCs w:val="24"/>
                <w:cs/>
              </w:rPr>
              <w:t>.</w:t>
            </w:r>
          </w:p>
        </w:tc>
      </w:tr>
      <w:tr w:rsidR="009A0A63" w:rsidRPr="00792B36" w14:paraId="327D2781" w14:textId="77777777" w:rsidTr="00A24459">
        <w:trPr>
          <w:trHeight w:val="315"/>
        </w:trPr>
        <w:tc>
          <w:tcPr>
            <w:tcW w:w="1320" w:type="pct"/>
            <w:vAlign w:val="center"/>
          </w:tcPr>
          <w:p w14:paraId="105E4AE8" w14:textId="77777777" w:rsidR="009A0A63" w:rsidRPr="00792B36" w:rsidRDefault="009A0A63" w:rsidP="00A24459">
            <w:pPr>
              <w:spacing w:line="235" w:lineRule="auto"/>
              <w:rPr>
                <w:rStyle w:val="Strong"/>
                <w:rFonts w:eastAsiaTheme="minorEastAsia"/>
                <w:b w:val="0"/>
                <w:bCs w:val="0"/>
                <w:color w:val="000000" w:themeColor="text1"/>
                <w:sz w:val="24"/>
                <w:szCs w:val="24"/>
              </w:rPr>
            </w:pPr>
            <w:r w:rsidRPr="00792B36">
              <w:rPr>
                <w:rStyle w:val="Strong"/>
                <w:rFonts w:eastAsiaTheme="minorEastAsia"/>
                <w:color w:val="000000" w:themeColor="text1"/>
                <w:sz w:val="24"/>
                <w:szCs w:val="24"/>
              </w:rPr>
              <w:t>WL1: Don Hoi Lot</w:t>
            </w:r>
          </w:p>
        </w:tc>
        <w:tc>
          <w:tcPr>
            <w:tcW w:w="3680" w:type="pct"/>
            <w:tcMar>
              <w:top w:w="0" w:type="dxa"/>
              <w:left w:w="45" w:type="dxa"/>
              <w:bottom w:w="0" w:type="dxa"/>
              <w:right w:w="45" w:type="dxa"/>
            </w:tcMar>
            <w:vAlign w:val="center"/>
          </w:tcPr>
          <w:p w14:paraId="0C6C5172" w14:textId="77777777" w:rsidR="009A0A63" w:rsidRPr="00792B36" w:rsidRDefault="009A0A63" w:rsidP="00A24459">
            <w:pPr>
              <w:spacing w:line="235" w:lineRule="auto"/>
              <w:rPr>
                <w:color w:val="000000" w:themeColor="text1"/>
                <w:sz w:val="24"/>
                <w:szCs w:val="24"/>
              </w:rPr>
            </w:pPr>
            <w:r w:rsidRPr="00792B36">
              <w:rPr>
                <w:color w:val="000000" w:themeColor="text1"/>
                <w:sz w:val="24"/>
                <w:szCs w:val="24"/>
              </w:rPr>
              <w:t>External pressures include pollution, coastal development, overharvesting, and invasive species, compounded by altered freshwater inflows, underscoring its ecological vulnerability.</w:t>
            </w:r>
          </w:p>
        </w:tc>
      </w:tr>
    </w:tbl>
    <w:p w14:paraId="06615656" w14:textId="77777777" w:rsidR="009A0A63" w:rsidRPr="00792B36" w:rsidRDefault="009A0A63" w:rsidP="009A0A63">
      <w:pPr>
        <w:ind w:firstLine="1134"/>
        <w:rPr>
          <w:rFonts w:eastAsia="Times New Roman"/>
          <w:b/>
          <w:bCs/>
          <w:color w:val="000000" w:themeColor="text1"/>
          <w:sz w:val="24"/>
          <w:szCs w:val="24"/>
          <w:highlight w:val="yellow"/>
        </w:rPr>
      </w:pPr>
    </w:p>
    <w:p w14:paraId="5F39C5E1" w14:textId="77777777" w:rsidR="009A0A63" w:rsidRPr="00792B36" w:rsidRDefault="009A0A63" w:rsidP="009A0A63">
      <w:pPr>
        <w:ind w:firstLine="1134"/>
        <w:rPr>
          <w:rFonts w:eastAsia="Times New Roman"/>
          <w:b/>
          <w:bCs/>
          <w:i/>
          <w:iCs/>
          <w:color w:val="000000" w:themeColor="text1"/>
          <w:sz w:val="24"/>
          <w:szCs w:val="24"/>
          <w:highlight w:val="yellow"/>
        </w:rPr>
      </w:pPr>
      <w:r w:rsidRPr="00792B36">
        <w:rPr>
          <w:rFonts w:eastAsia="Times New Roman"/>
          <w:b/>
          <w:bCs/>
          <w:i/>
          <w:iCs/>
          <w:color w:val="000000" w:themeColor="text1"/>
          <w:sz w:val="24"/>
          <w:szCs w:val="24"/>
        </w:rPr>
        <w:t>Social and Economic Drivers and Economic Valuation of Coastal Ecosystems</w:t>
      </w:r>
    </w:p>
    <w:p w14:paraId="4669421F" w14:textId="77777777" w:rsidR="009A0A63" w:rsidRPr="00792B36" w:rsidRDefault="009A0A63" w:rsidP="009A0A63">
      <w:pPr>
        <w:ind w:firstLine="1134"/>
        <w:rPr>
          <w:rFonts w:eastAsia="Times New Roman"/>
          <w:color w:val="000000" w:themeColor="text1"/>
          <w:sz w:val="24"/>
          <w:szCs w:val="24"/>
        </w:rPr>
      </w:pPr>
      <w:r w:rsidRPr="00792B36">
        <w:rPr>
          <w:rFonts w:eastAsia="Times New Roman"/>
          <w:color w:val="000000" w:themeColor="text1"/>
          <w:sz w:val="24"/>
          <w:szCs w:val="24"/>
        </w:rPr>
        <w:t>This review summarizes findings from five key coastal study sites in Thailand—Welu River Estuary, Bandon Bay, Pak Panang Bay, Samut Prakan Province, and Don Hoi Lot—focusing on social and economic drivers of environmental change and the economic valuation of coastal ecosystems following the framework of Barbier (1997).</w:t>
      </w:r>
    </w:p>
    <w:p w14:paraId="4F1A82FE" w14:textId="77777777" w:rsidR="009A0A63" w:rsidRPr="00792B36" w:rsidRDefault="009A0A63" w:rsidP="009A0A63">
      <w:pPr>
        <w:ind w:firstLine="1134"/>
        <w:rPr>
          <w:rFonts w:eastAsia="Times New Roman"/>
          <w:color w:val="000000" w:themeColor="text1"/>
          <w:sz w:val="24"/>
          <w:szCs w:val="24"/>
        </w:rPr>
      </w:pPr>
      <w:r w:rsidRPr="00792B36">
        <w:rPr>
          <w:rFonts w:eastAsia="Times New Roman"/>
          <w:color w:val="000000" w:themeColor="text1"/>
          <w:sz w:val="24"/>
          <w:szCs w:val="24"/>
        </w:rPr>
        <w:t xml:space="preserve">Across all sites, major drivers of change include population growth, aquaculture expansion, industrial development, and tourism, leading to habitat alteration, water quality decline, and reduced ecosystem resilience. Despite </w:t>
      </w:r>
      <w:r w:rsidRPr="00792B36">
        <w:rPr>
          <w:rFonts w:eastAsia="Times New Roman"/>
          <w:color w:val="000000" w:themeColor="text1"/>
          <w:sz w:val="24"/>
          <w:szCs w:val="24"/>
        </w:rPr>
        <w:lastRenderedPageBreak/>
        <w:t>these pressures, the coastal ecosystems provide high economic value through direct use services (such as fisheries, aquaculture, and mangrove products) and indirect use services (including coastal protection, nutrient cycling, and carbon sequestration).</w:t>
      </w:r>
    </w:p>
    <w:p w14:paraId="47201B0C" w14:textId="77777777" w:rsidR="009A0A63" w:rsidRPr="00792B36" w:rsidRDefault="009A0A63" w:rsidP="009A0A63">
      <w:pPr>
        <w:ind w:firstLine="1134"/>
        <w:rPr>
          <w:rFonts w:eastAsia="Times New Roman"/>
          <w:color w:val="000000" w:themeColor="text1"/>
          <w:sz w:val="24"/>
          <w:szCs w:val="24"/>
        </w:rPr>
      </w:pPr>
    </w:p>
    <w:p w14:paraId="35BA6DDB" w14:textId="77777777" w:rsidR="009A0A63" w:rsidRPr="00792B36" w:rsidRDefault="009A0A63" w:rsidP="009A0A63">
      <w:pPr>
        <w:ind w:firstLine="1134"/>
        <w:rPr>
          <w:rFonts w:eastAsia="Times New Roman"/>
          <w:color w:val="000000" w:themeColor="text1"/>
          <w:sz w:val="24"/>
          <w:szCs w:val="24"/>
        </w:rPr>
      </w:pPr>
      <w:r w:rsidRPr="00792B36">
        <w:rPr>
          <w:rFonts w:eastAsia="Times New Roman"/>
          <w:color w:val="000000" w:themeColor="text1"/>
          <w:sz w:val="24"/>
          <w:szCs w:val="24"/>
        </w:rPr>
        <w:t xml:space="preserve">Overall, the total annual economic value of these ecosystems is estimated to be between US$17 and $32 million per area, reflecting their vital contribution to local livelihoods, fisheries productivity, and national blue economy and climate resilience goals. The following table presents a comparative overview of all study areas, linking social and economic drivers with ecosystem service values to support sustainable coastal resource management and policy planning </w:t>
      </w:r>
      <w:r w:rsidRPr="00792B36">
        <w:rPr>
          <w:color w:val="000000" w:themeColor="text1"/>
          <w:sz w:val="24"/>
          <w:szCs w:val="24"/>
          <w:cs/>
        </w:rPr>
        <w:t>(</w:t>
      </w:r>
      <w:r w:rsidRPr="00792B36">
        <w:rPr>
          <w:color w:val="000000" w:themeColor="text1"/>
          <w:sz w:val="24"/>
          <w:szCs w:val="24"/>
        </w:rPr>
        <w:t>Table 10</w:t>
      </w:r>
      <w:r w:rsidRPr="00792B36">
        <w:rPr>
          <w:color w:val="000000" w:themeColor="text1"/>
          <w:sz w:val="24"/>
          <w:szCs w:val="24"/>
          <w:cs/>
        </w:rPr>
        <w:t>)</w:t>
      </w:r>
      <w:r w:rsidRPr="00792B36">
        <w:rPr>
          <w:rFonts w:eastAsia="Times New Roman"/>
          <w:color w:val="000000" w:themeColor="text1"/>
          <w:sz w:val="24"/>
          <w:szCs w:val="24"/>
        </w:rPr>
        <w:t>.</w:t>
      </w:r>
    </w:p>
    <w:p w14:paraId="4C1543DF" w14:textId="77777777" w:rsidR="009A0A63" w:rsidRPr="00792B36" w:rsidRDefault="009A0A63" w:rsidP="009A0A63">
      <w:pPr>
        <w:ind w:firstLine="1134"/>
        <w:rPr>
          <w:rFonts w:eastAsia="Times New Roman"/>
          <w:color w:val="000000" w:themeColor="text1"/>
          <w:sz w:val="24"/>
          <w:szCs w:val="24"/>
          <w:highlight w:val="yellow"/>
          <w:cs/>
        </w:rPr>
      </w:pPr>
    </w:p>
    <w:p w14:paraId="66D9AFA1" w14:textId="77777777" w:rsidR="009A0A63" w:rsidRPr="00792B36" w:rsidRDefault="009A0A63" w:rsidP="009A0A63">
      <w:pPr>
        <w:rPr>
          <w:rFonts w:eastAsia="Times New Roman"/>
          <w:b/>
          <w:bCs/>
          <w:color w:val="000000" w:themeColor="text1"/>
          <w:sz w:val="24"/>
          <w:szCs w:val="24"/>
          <w:highlight w:val="yellow"/>
          <w:cs/>
        </w:rPr>
      </w:pPr>
      <w:r w:rsidRPr="00792B36">
        <w:rPr>
          <w:b/>
          <w:bCs/>
          <w:color w:val="000000" w:themeColor="text1"/>
          <w:sz w:val="24"/>
          <w:szCs w:val="24"/>
        </w:rPr>
        <w:t>Table 10.</w:t>
      </w:r>
      <w:r w:rsidRPr="00792B36">
        <w:rPr>
          <w:sz w:val="24"/>
          <w:szCs w:val="24"/>
        </w:rPr>
        <w:t xml:space="preserve"> </w:t>
      </w:r>
      <w:r w:rsidRPr="00792B36">
        <w:rPr>
          <w:b/>
          <w:bCs/>
          <w:color w:val="000000" w:themeColor="text1"/>
          <w:sz w:val="24"/>
          <w:szCs w:val="24"/>
        </w:rPr>
        <w:t>Social and Economic Drivers and Economic Valuation of Coastal Ecosystems</w:t>
      </w:r>
    </w:p>
    <w:tbl>
      <w:tblPr>
        <w:tblStyle w:val="TableGrid"/>
        <w:tblW w:w="5000" w:type="pct"/>
        <w:tblLook w:val="04A0" w:firstRow="1" w:lastRow="0" w:firstColumn="1" w:lastColumn="0" w:noHBand="0" w:noVBand="1"/>
      </w:tblPr>
      <w:tblGrid>
        <w:gridCol w:w="4139"/>
        <w:gridCol w:w="5071"/>
        <w:gridCol w:w="3740"/>
      </w:tblGrid>
      <w:tr w:rsidR="009A0A63" w:rsidRPr="00792B36" w14:paraId="53CF5B17" w14:textId="77777777" w:rsidTr="00A24459">
        <w:tc>
          <w:tcPr>
            <w:tcW w:w="1598" w:type="pct"/>
          </w:tcPr>
          <w:p w14:paraId="4833A9BA" w14:textId="77777777" w:rsidR="009A0A63" w:rsidRPr="00792B36" w:rsidRDefault="009A0A63" w:rsidP="00A24459">
            <w:pPr>
              <w:jc w:val="center"/>
              <w:rPr>
                <w:rFonts w:eastAsia="Times New Roman"/>
                <w:b/>
                <w:bCs/>
                <w:color w:val="000000" w:themeColor="text1"/>
                <w:sz w:val="24"/>
                <w:szCs w:val="24"/>
                <w:highlight w:val="yellow"/>
              </w:rPr>
            </w:pPr>
            <w:r w:rsidRPr="00792B36">
              <w:rPr>
                <w:rFonts w:eastAsia="Times New Roman"/>
                <w:b/>
                <w:bCs/>
                <w:color w:val="000000" w:themeColor="text1"/>
                <w:sz w:val="24"/>
                <w:szCs w:val="24"/>
              </w:rPr>
              <w:t>Name of area</w:t>
            </w:r>
          </w:p>
        </w:tc>
        <w:tc>
          <w:tcPr>
            <w:tcW w:w="1958" w:type="pct"/>
          </w:tcPr>
          <w:p w14:paraId="0103102D" w14:textId="77777777" w:rsidR="009A0A63" w:rsidRPr="00792B36" w:rsidRDefault="009A0A63" w:rsidP="00A24459">
            <w:pPr>
              <w:jc w:val="center"/>
              <w:rPr>
                <w:b/>
                <w:sz w:val="24"/>
                <w:szCs w:val="24"/>
              </w:rPr>
            </w:pPr>
            <w:r w:rsidRPr="00792B36">
              <w:rPr>
                <w:b/>
                <w:sz w:val="24"/>
                <w:szCs w:val="24"/>
              </w:rPr>
              <w:t>Social and economic drivers of change in environmental state</w:t>
            </w:r>
          </w:p>
        </w:tc>
        <w:tc>
          <w:tcPr>
            <w:tcW w:w="1444" w:type="pct"/>
          </w:tcPr>
          <w:p w14:paraId="6D904C63" w14:textId="77777777" w:rsidR="009A0A63" w:rsidRPr="00792B36" w:rsidRDefault="009A0A63" w:rsidP="00A24459">
            <w:pPr>
              <w:jc w:val="center"/>
              <w:rPr>
                <w:rFonts w:eastAsia="Times New Roman"/>
                <w:b/>
                <w:bCs/>
                <w:color w:val="000000" w:themeColor="text1"/>
                <w:sz w:val="24"/>
                <w:szCs w:val="24"/>
                <w:highlight w:val="yellow"/>
              </w:rPr>
            </w:pPr>
            <w:r w:rsidRPr="00792B36">
              <w:rPr>
                <w:b/>
                <w:bCs/>
                <w:sz w:val="24"/>
                <w:szCs w:val="24"/>
              </w:rPr>
              <w:t xml:space="preserve">Economic valuation (based on </w:t>
            </w:r>
            <w:r w:rsidRPr="00792B36">
              <w:rPr>
                <w:b/>
                <w:bCs/>
                <w:iCs/>
                <w:sz w:val="24"/>
                <w:szCs w:val="24"/>
              </w:rPr>
              <w:t>Barbier, E.B. 1997)</w:t>
            </w:r>
          </w:p>
        </w:tc>
      </w:tr>
      <w:tr w:rsidR="009A0A63" w:rsidRPr="00792B36" w14:paraId="2B927316" w14:textId="77777777" w:rsidTr="00A24459">
        <w:tc>
          <w:tcPr>
            <w:tcW w:w="1598" w:type="pct"/>
            <w:vAlign w:val="center"/>
          </w:tcPr>
          <w:p w14:paraId="54E66097" w14:textId="77777777" w:rsidR="009A0A63" w:rsidRPr="00792B36" w:rsidRDefault="009A0A63" w:rsidP="00A24459">
            <w:pPr>
              <w:rPr>
                <w:rFonts w:eastAsia="Times New Roman"/>
                <w:b/>
                <w:bCs/>
                <w:color w:val="000000" w:themeColor="text1"/>
                <w:sz w:val="24"/>
                <w:szCs w:val="24"/>
                <w:highlight w:val="yellow"/>
              </w:rPr>
            </w:pPr>
            <w:r w:rsidRPr="00792B36">
              <w:rPr>
                <w:rStyle w:val="Strong"/>
                <w:rFonts w:eastAsiaTheme="minorEastAsia"/>
                <w:color w:val="000000" w:themeColor="text1"/>
                <w:sz w:val="24"/>
                <w:szCs w:val="24"/>
              </w:rPr>
              <w:t>MG1: Welu River Estuary</w:t>
            </w:r>
            <w:r w:rsidRPr="00792B36">
              <w:rPr>
                <w:b/>
                <w:bCs/>
                <w:color w:val="000000" w:themeColor="text1"/>
                <w:sz w:val="24"/>
                <w:szCs w:val="24"/>
              </w:rPr>
              <w:br/>
            </w:r>
          </w:p>
        </w:tc>
        <w:tc>
          <w:tcPr>
            <w:tcW w:w="1958" w:type="pct"/>
          </w:tcPr>
          <w:p w14:paraId="25145587" w14:textId="77777777" w:rsidR="009A0A63" w:rsidRPr="00792B36" w:rsidRDefault="009A0A63" w:rsidP="00A24459">
            <w:pPr>
              <w:rPr>
                <w:rFonts w:eastAsia="Times New Roman"/>
                <w:color w:val="000000" w:themeColor="text1"/>
                <w:sz w:val="24"/>
                <w:szCs w:val="24"/>
              </w:rPr>
            </w:pPr>
            <w:r w:rsidRPr="00792B36">
              <w:rPr>
                <w:rFonts w:eastAsia="Times New Roman"/>
                <w:color w:val="000000" w:themeColor="text1"/>
                <w:sz w:val="24"/>
                <w:szCs w:val="24"/>
              </w:rPr>
              <w:t>The environmental condition of the Welu River Estuary is driven by both social and economic pressures. Population growth and labor migration have increased local demand for coastal resources, while aquaculture expansion and commercial fisheries have transformed traditional livelihoods into more intensive practices. Rising income opportunities from shrimp and oyster farming have led to mangrove and intertidal land conversion, contributing to water pollution and habitat loss. Meanwhile, domestic seafood demand and export markets continue to intensify resource extraction.</w:t>
            </w:r>
          </w:p>
          <w:p w14:paraId="1821D943" w14:textId="77777777" w:rsidR="009A0A63" w:rsidRPr="00792B36" w:rsidRDefault="009A0A63" w:rsidP="00A24459">
            <w:pPr>
              <w:rPr>
                <w:rFonts w:eastAsia="Times New Roman"/>
                <w:b/>
                <w:bCs/>
                <w:color w:val="000000" w:themeColor="text1"/>
                <w:sz w:val="24"/>
                <w:szCs w:val="24"/>
                <w:highlight w:val="yellow"/>
              </w:rPr>
            </w:pPr>
            <w:r w:rsidRPr="00792B36">
              <w:rPr>
                <w:rFonts w:eastAsia="Times New Roman"/>
                <w:color w:val="000000" w:themeColor="text1"/>
                <w:sz w:val="24"/>
                <w:szCs w:val="24"/>
              </w:rPr>
              <w:t xml:space="preserve">Management of the estuary under the Department of Marine and Coastal Resources (DMCR) as a National Reserved Forest has promoted community-based conservation and mangrove restoration, yet enforcement challenges and conflicting land </w:t>
            </w:r>
            <w:r w:rsidRPr="00792B36">
              <w:rPr>
                <w:rFonts w:eastAsia="Times New Roman"/>
                <w:color w:val="000000" w:themeColor="text1"/>
                <w:sz w:val="24"/>
                <w:szCs w:val="24"/>
              </w:rPr>
              <w:lastRenderedPageBreak/>
              <w:t>uses persist. Overall, the combination of economic development, population dynamics, and evolving management regimes has reshaped the estuary’s environmental state, reduced ecosystem resilience and altered its natural balance.</w:t>
            </w:r>
          </w:p>
        </w:tc>
        <w:tc>
          <w:tcPr>
            <w:tcW w:w="1444" w:type="pct"/>
          </w:tcPr>
          <w:p w14:paraId="6598A22D" w14:textId="77777777" w:rsidR="009A0A63" w:rsidRPr="00792B36" w:rsidRDefault="009A0A63" w:rsidP="00A24459">
            <w:pPr>
              <w:rPr>
                <w:rFonts w:eastAsia="Times New Roman"/>
                <w:color w:val="000000" w:themeColor="text1"/>
                <w:sz w:val="24"/>
                <w:szCs w:val="24"/>
                <w:highlight w:val="yellow"/>
              </w:rPr>
            </w:pPr>
            <w:r w:rsidRPr="00792B36">
              <w:rPr>
                <w:rFonts w:eastAsia="Times New Roman"/>
                <w:color w:val="000000" w:themeColor="text1"/>
                <w:sz w:val="24"/>
                <w:szCs w:val="24"/>
              </w:rPr>
              <w:lastRenderedPageBreak/>
              <w:t xml:space="preserve">The Welu River Estuary provides substantial economic value through both direct and indirect ecosystem services. The estuary’s direct use values, such as fisheries, aquaculture, and mangrove products, are estimated at around US$6–7 million per year. Indirect use values, including coastal protection, nutrient cycling, and carbon sequestration, contribute an additional US$10–15 million per year, with mangrove carbon storage alone valued at approximately US$130–185 million in total stock. When combined, the overall annual economic value of the Welu River Estuary is estimated at </w:t>
            </w:r>
            <w:r w:rsidRPr="00792B36">
              <w:rPr>
                <w:rFonts w:eastAsia="Times New Roman"/>
                <w:color w:val="000000" w:themeColor="text1"/>
                <w:sz w:val="24"/>
                <w:szCs w:val="24"/>
              </w:rPr>
              <w:lastRenderedPageBreak/>
              <w:t>US$18–23 million, highlighting its importance for local livelihoods, biodiversity conservation, and national blue carbon objectives.</w:t>
            </w:r>
          </w:p>
        </w:tc>
      </w:tr>
      <w:tr w:rsidR="009A0A63" w:rsidRPr="00792B36" w14:paraId="41D030C9" w14:textId="77777777" w:rsidTr="00A24459">
        <w:tc>
          <w:tcPr>
            <w:tcW w:w="1598" w:type="pct"/>
            <w:vAlign w:val="center"/>
          </w:tcPr>
          <w:p w14:paraId="2C55EB8F" w14:textId="77777777" w:rsidR="009A0A63" w:rsidRPr="00792B36" w:rsidRDefault="009A0A63" w:rsidP="00A24459">
            <w:pPr>
              <w:rPr>
                <w:rFonts w:eastAsia="Times New Roman"/>
                <w:b/>
                <w:bCs/>
                <w:color w:val="000000" w:themeColor="text1"/>
                <w:sz w:val="24"/>
                <w:szCs w:val="24"/>
                <w:highlight w:val="yellow"/>
              </w:rPr>
            </w:pPr>
            <w:r w:rsidRPr="00792B36">
              <w:rPr>
                <w:rStyle w:val="Strong"/>
                <w:rFonts w:eastAsiaTheme="minorEastAsia"/>
                <w:color w:val="000000" w:themeColor="text1"/>
                <w:sz w:val="24"/>
                <w:szCs w:val="24"/>
              </w:rPr>
              <w:lastRenderedPageBreak/>
              <w:t>MG2: Bandon Bay</w:t>
            </w:r>
            <w:r w:rsidRPr="00792B36">
              <w:rPr>
                <w:b/>
                <w:bCs/>
                <w:color w:val="000000" w:themeColor="text1"/>
                <w:sz w:val="24"/>
                <w:szCs w:val="24"/>
              </w:rPr>
              <w:br/>
            </w:r>
          </w:p>
        </w:tc>
        <w:tc>
          <w:tcPr>
            <w:tcW w:w="1958" w:type="pct"/>
          </w:tcPr>
          <w:p w14:paraId="773A9B3F" w14:textId="77777777" w:rsidR="009A0A63" w:rsidRPr="00792B36" w:rsidRDefault="009A0A63" w:rsidP="00A24459">
            <w:pPr>
              <w:rPr>
                <w:rFonts w:eastAsia="Times New Roman"/>
                <w:color w:val="000000" w:themeColor="text1"/>
                <w:sz w:val="24"/>
                <w:szCs w:val="24"/>
              </w:rPr>
            </w:pPr>
            <w:r w:rsidRPr="00792B36">
              <w:rPr>
                <w:rFonts w:eastAsia="Times New Roman"/>
                <w:color w:val="000000" w:themeColor="text1"/>
                <w:sz w:val="24"/>
                <w:szCs w:val="24"/>
              </w:rPr>
              <w:t>The environmental state of Bandon Bay is shaped by significant social and economic drivers. The bay supports a dense coastal population engaged primarily in fisheries, aquaculture, and seafood processing, which form the economic backbone of Surat Thani Province. The expansion of shrimp, crab, and oyster farming, along with growing seafood demand from domestic and export markets, has led to extensive conversion of intertidal zones and mangrove areas. Population growth and in-migration of aquaculture labor have further intensified coastal resource use.</w:t>
            </w:r>
          </w:p>
          <w:p w14:paraId="1E62B8F9" w14:textId="77777777" w:rsidR="009A0A63" w:rsidRPr="00792B36" w:rsidRDefault="009A0A63" w:rsidP="00A24459">
            <w:pPr>
              <w:rPr>
                <w:rFonts w:eastAsia="Times New Roman"/>
                <w:color w:val="000000" w:themeColor="text1"/>
                <w:sz w:val="24"/>
                <w:szCs w:val="24"/>
              </w:rPr>
            </w:pPr>
            <w:r w:rsidRPr="00792B36">
              <w:rPr>
                <w:rFonts w:eastAsia="Times New Roman"/>
                <w:color w:val="000000" w:themeColor="text1"/>
                <w:sz w:val="24"/>
                <w:szCs w:val="24"/>
              </w:rPr>
              <w:t>At the same time, nutrient loading and sediment accumulation from aquaculture and land-based runoff have degraded water quality, while infrastructure development around the bay has altered natural hydrology. Management of Bandon Bay falls under the Department of Marine and Coastal Resources (DMCR) through provincial coastal management frameworks and community-based initiatives. However, enforcement challenges and competing economic priorities continue to pressure the ecosystem.</w:t>
            </w:r>
          </w:p>
          <w:p w14:paraId="4C5EF050" w14:textId="77777777" w:rsidR="009A0A63" w:rsidRPr="00792B36" w:rsidRDefault="009A0A63" w:rsidP="00A24459">
            <w:pPr>
              <w:rPr>
                <w:rFonts w:eastAsia="Times New Roman"/>
                <w:color w:val="000000" w:themeColor="text1"/>
                <w:sz w:val="24"/>
                <w:szCs w:val="24"/>
                <w:highlight w:val="yellow"/>
              </w:rPr>
            </w:pPr>
            <w:r w:rsidRPr="00792B36">
              <w:rPr>
                <w:rFonts w:eastAsia="Times New Roman"/>
                <w:color w:val="000000" w:themeColor="text1"/>
                <w:sz w:val="24"/>
                <w:szCs w:val="24"/>
              </w:rPr>
              <w:t xml:space="preserve">Overall, rapid aquaculture expansion, </w:t>
            </w:r>
            <w:r w:rsidRPr="00792B36">
              <w:rPr>
                <w:rFonts w:eastAsia="Times New Roman"/>
                <w:color w:val="000000" w:themeColor="text1"/>
                <w:sz w:val="24"/>
                <w:szCs w:val="24"/>
              </w:rPr>
              <w:lastRenderedPageBreak/>
              <w:t>population dynamics, and high market demand remain the key social and economic forces driving habitat transformation, declining water quality, and reduced ecological resilience in Bandon Bay.</w:t>
            </w:r>
          </w:p>
        </w:tc>
        <w:tc>
          <w:tcPr>
            <w:tcW w:w="1444" w:type="pct"/>
          </w:tcPr>
          <w:p w14:paraId="71360E51" w14:textId="77777777" w:rsidR="009A0A63" w:rsidRPr="00792B36" w:rsidRDefault="009A0A63" w:rsidP="00A24459">
            <w:pPr>
              <w:rPr>
                <w:rFonts w:eastAsia="Times New Roman"/>
                <w:color w:val="000000" w:themeColor="text1"/>
                <w:sz w:val="24"/>
                <w:szCs w:val="24"/>
                <w:highlight w:val="yellow"/>
              </w:rPr>
            </w:pPr>
            <w:r w:rsidRPr="00792B36">
              <w:rPr>
                <w:rFonts w:eastAsia="Times New Roman"/>
                <w:color w:val="000000" w:themeColor="text1"/>
                <w:sz w:val="24"/>
                <w:szCs w:val="24"/>
              </w:rPr>
              <w:lastRenderedPageBreak/>
              <w:t xml:space="preserve">The Bandon Bay ecosystem provides high economic value through both direct and indirect uses. The bay’s direct use values, including fisheries, aquaculture (shrimp, crab, and oyster farming), and mangrove resource utilization, are estimated at around US$10–12 million per year. The indirect use values, such as coastal protection, nutrient cycling, and carbon sequestration from mangrove ecosystems, contribute an additional US$15–20 million annually. In total, the annual economic value of Bandon Bay is estimated at approximately US$25–32 million, with mangrove forests also storing significant blue carbon value exceeding US$200 million. These values highlight the bay’s importance in supporting fisheries productivity, coastal livelihoods, and Thailand’s blue economy and climate resilience </w:t>
            </w:r>
            <w:r w:rsidRPr="00792B36">
              <w:rPr>
                <w:rFonts w:eastAsia="Times New Roman"/>
                <w:color w:val="000000" w:themeColor="text1"/>
                <w:sz w:val="24"/>
                <w:szCs w:val="24"/>
              </w:rPr>
              <w:lastRenderedPageBreak/>
              <w:t>goals.</w:t>
            </w:r>
          </w:p>
        </w:tc>
      </w:tr>
      <w:tr w:rsidR="009A0A63" w:rsidRPr="00792B36" w14:paraId="117629A7" w14:textId="77777777" w:rsidTr="00A24459">
        <w:tc>
          <w:tcPr>
            <w:tcW w:w="1598" w:type="pct"/>
            <w:vAlign w:val="center"/>
          </w:tcPr>
          <w:p w14:paraId="6AEC767E" w14:textId="77777777" w:rsidR="009A0A63" w:rsidRPr="00792B36" w:rsidRDefault="009A0A63" w:rsidP="00A24459">
            <w:pPr>
              <w:rPr>
                <w:rFonts w:eastAsia="Times New Roman"/>
                <w:b/>
                <w:bCs/>
                <w:color w:val="000000" w:themeColor="text1"/>
                <w:sz w:val="24"/>
                <w:szCs w:val="24"/>
                <w:highlight w:val="yellow"/>
              </w:rPr>
            </w:pPr>
            <w:r w:rsidRPr="00792B36">
              <w:rPr>
                <w:rStyle w:val="Strong"/>
                <w:rFonts w:eastAsiaTheme="minorEastAsia"/>
                <w:color w:val="000000" w:themeColor="text1"/>
                <w:sz w:val="24"/>
                <w:szCs w:val="24"/>
              </w:rPr>
              <w:lastRenderedPageBreak/>
              <w:t>MG3: Pak Panang Bay</w:t>
            </w:r>
            <w:r w:rsidRPr="00792B36">
              <w:rPr>
                <w:b/>
                <w:bCs/>
                <w:color w:val="000000" w:themeColor="text1"/>
                <w:sz w:val="24"/>
                <w:szCs w:val="24"/>
              </w:rPr>
              <w:br/>
            </w:r>
          </w:p>
        </w:tc>
        <w:tc>
          <w:tcPr>
            <w:tcW w:w="1958" w:type="pct"/>
          </w:tcPr>
          <w:p w14:paraId="0C8ABA0F" w14:textId="77777777" w:rsidR="009A0A63" w:rsidRPr="00792B36" w:rsidRDefault="009A0A63" w:rsidP="00A24459">
            <w:pPr>
              <w:rPr>
                <w:rFonts w:eastAsia="Times New Roman"/>
                <w:color w:val="000000" w:themeColor="text1"/>
                <w:sz w:val="24"/>
                <w:szCs w:val="24"/>
              </w:rPr>
            </w:pPr>
            <w:r w:rsidRPr="00792B36">
              <w:rPr>
                <w:rFonts w:eastAsia="Times New Roman"/>
                <w:color w:val="000000" w:themeColor="text1"/>
                <w:sz w:val="24"/>
                <w:szCs w:val="24"/>
              </w:rPr>
              <w:t>The environmental state of Pak Panang Bay is driven by multiple social and economic factors linked to population growth, livelihood dependence, and resource use. The bay supports a dense rural population whose main livelihoods include shrimp farming, coastal fisheries, and agriculture within the Pak Phanang River Delta. The rapid expansion of aquaculture—particularly shrimp ponds—has resulted in widespread mangrove clearance, land conversion, and increased nutrient discharge, contributing to habitat loss and declining water quality.</w:t>
            </w:r>
          </w:p>
          <w:p w14:paraId="411095B6" w14:textId="77777777" w:rsidR="009A0A63" w:rsidRPr="00792B36" w:rsidRDefault="009A0A63" w:rsidP="00A24459">
            <w:pPr>
              <w:rPr>
                <w:rFonts w:eastAsia="Times New Roman"/>
                <w:color w:val="000000" w:themeColor="text1"/>
                <w:sz w:val="24"/>
                <w:szCs w:val="24"/>
              </w:rPr>
            </w:pPr>
            <w:r w:rsidRPr="00792B36">
              <w:rPr>
                <w:rFonts w:eastAsia="Times New Roman"/>
                <w:color w:val="000000" w:themeColor="text1"/>
                <w:sz w:val="24"/>
                <w:szCs w:val="24"/>
              </w:rPr>
              <w:t>High market demand for seafood at both local and national levels has intensified fishing and farming pressure, while agricultural runoff from upstream areas adds sediment and pollutants to the bay. Income diversification has also shifted traditional livelihoods toward more commercialized, resource-intensive activities. On the governance side, the bay falls under the Department of Marine and Coastal Resources (DMCR) and the Royal Development Study Centre, which promote integrated delta management and mangrove restoration, yet enforcement and land-use conflicts persist.</w:t>
            </w:r>
          </w:p>
          <w:p w14:paraId="344C2CCD" w14:textId="77777777" w:rsidR="009A0A63" w:rsidRPr="00792B36" w:rsidRDefault="009A0A63" w:rsidP="00A24459">
            <w:pPr>
              <w:rPr>
                <w:rFonts w:eastAsia="Times New Roman"/>
                <w:color w:val="000000" w:themeColor="text1"/>
                <w:sz w:val="24"/>
                <w:szCs w:val="24"/>
                <w:highlight w:val="yellow"/>
              </w:rPr>
            </w:pPr>
            <w:r w:rsidRPr="00792B36">
              <w:rPr>
                <w:rFonts w:eastAsia="Times New Roman"/>
                <w:color w:val="000000" w:themeColor="text1"/>
                <w:sz w:val="24"/>
                <w:szCs w:val="24"/>
              </w:rPr>
              <w:lastRenderedPageBreak/>
              <w:t>Overall, population pressure, aquaculture expansion, and agricultural intensification, combined with weak enforcement and overlapping management, remain the major social and economic drivers of environmental degradation and reduced ecosystem resilience in Pak Panang Bay.</w:t>
            </w:r>
          </w:p>
        </w:tc>
        <w:tc>
          <w:tcPr>
            <w:tcW w:w="1444" w:type="pct"/>
          </w:tcPr>
          <w:p w14:paraId="695F8B76" w14:textId="77777777" w:rsidR="009A0A63" w:rsidRPr="00792B36" w:rsidRDefault="009A0A63" w:rsidP="00A24459">
            <w:pPr>
              <w:rPr>
                <w:rFonts w:eastAsia="Times New Roman"/>
                <w:color w:val="000000" w:themeColor="text1"/>
                <w:sz w:val="24"/>
                <w:szCs w:val="24"/>
                <w:highlight w:val="yellow"/>
              </w:rPr>
            </w:pPr>
            <w:r w:rsidRPr="00792B36">
              <w:rPr>
                <w:rFonts w:eastAsia="Times New Roman"/>
                <w:color w:val="000000" w:themeColor="text1"/>
                <w:sz w:val="24"/>
                <w:szCs w:val="24"/>
              </w:rPr>
              <w:lastRenderedPageBreak/>
              <w:t xml:space="preserve">The Pak Panang Bay ecosystem provides significant economic value through both direct and indirect uses. The direct use values, including fisheries, aquaculture (especially shrimp and crab farming), and mangrove resources, are estimated at approximately US$8–10 million per year. The indirect use values, such as coastal protection, nutrient cycling, and carbon sequestration by mangrove ecosystems, contribute an additional US$12–15 million annually. Altogether, the annual economic value of Pak Panang Bay is estimated at around US$20–25 million, with mangrove forests also representing a large blue carbon stock valued at over US$150 million. These values highlight the bay’s vital role in supporting local livelihoods, fisheries productivity, and Thailand’s blue economy and climate adaptation </w:t>
            </w:r>
            <w:r w:rsidRPr="00792B36">
              <w:rPr>
                <w:rFonts w:eastAsia="Times New Roman"/>
                <w:color w:val="000000" w:themeColor="text1"/>
                <w:sz w:val="24"/>
                <w:szCs w:val="24"/>
              </w:rPr>
              <w:lastRenderedPageBreak/>
              <w:t>objectives.</w:t>
            </w:r>
          </w:p>
        </w:tc>
      </w:tr>
      <w:tr w:rsidR="009A0A63" w:rsidRPr="00792B36" w14:paraId="4F5DDEE4" w14:textId="77777777" w:rsidTr="00A24459">
        <w:tc>
          <w:tcPr>
            <w:tcW w:w="1598" w:type="pct"/>
            <w:vAlign w:val="center"/>
          </w:tcPr>
          <w:p w14:paraId="7D28A1D6" w14:textId="77777777" w:rsidR="009A0A63" w:rsidRPr="00792B36" w:rsidRDefault="009A0A63" w:rsidP="00A24459">
            <w:pPr>
              <w:rPr>
                <w:rFonts w:eastAsia="Times New Roman"/>
                <w:b/>
                <w:bCs/>
                <w:color w:val="000000" w:themeColor="text1"/>
                <w:sz w:val="24"/>
                <w:szCs w:val="24"/>
                <w:highlight w:val="yellow"/>
              </w:rPr>
            </w:pPr>
            <w:r w:rsidRPr="00792B36">
              <w:rPr>
                <w:rStyle w:val="Strong"/>
                <w:rFonts w:eastAsiaTheme="minorEastAsia"/>
                <w:color w:val="000000" w:themeColor="text1"/>
                <w:sz w:val="24"/>
                <w:szCs w:val="24"/>
              </w:rPr>
              <w:lastRenderedPageBreak/>
              <w:t>MG: Samut Prakan Province</w:t>
            </w:r>
          </w:p>
        </w:tc>
        <w:tc>
          <w:tcPr>
            <w:tcW w:w="1958" w:type="pct"/>
          </w:tcPr>
          <w:p w14:paraId="1AD59B76" w14:textId="77777777" w:rsidR="009A0A63" w:rsidRPr="00792B36" w:rsidRDefault="009A0A63" w:rsidP="00A24459">
            <w:pPr>
              <w:rPr>
                <w:rFonts w:eastAsia="Times New Roman"/>
                <w:color w:val="000000" w:themeColor="text1"/>
                <w:sz w:val="24"/>
                <w:szCs w:val="24"/>
              </w:rPr>
            </w:pPr>
            <w:r w:rsidRPr="00792B36">
              <w:rPr>
                <w:rFonts w:eastAsia="Times New Roman"/>
                <w:color w:val="000000" w:themeColor="text1"/>
                <w:sz w:val="24"/>
                <w:szCs w:val="24"/>
              </w:rPr>
              <w:t>The environmental condition of Samut Prakan Province is strongly influenced by social and economic drivers associated with rapid urbanization, industrialization, and coastal development. The province’s proximity to Bangkok has made it a hub for manufacturing, logistics, and port activities, leading to extensive land reclamation and the loss of natural wetlands and mangrove areas. The expansion of industrial estates, residential zones, and infrastructure has increased wastewater discharge, sedimentation, and pollution in the lower Chao Phraya River estuary.</w:t>
            </w:r>
          </w:p>
          <w:p w14:paraId="0FB9B5FE" w14:textId="77777777" w:rsidR="009A0A63" w:rsidRPr="00792B36" w:rsidRDefault="009A0A63" w:rsidP="00A24459">
            <w:pPr>
              <w:rPr>
                <w:rFonts w:eastAsia="Times New Roman"/>
                <w:color w:val="000000" w:themeColor="text1"/>
                <w:sz w:val="24"/>
                <w:szCs w:val="24"/>
              </w:rPr>
            </w:pPr>
            <w:r w:rsidRPr="00792B36">
              <w:rPr>
                <w:rFonts w:eastAsia="Times New Roman"/>
                <w:color w:val="000000" w:themeColor="text1"/>
                <w:sz w:val="24"/>
                <w:szCs w:val="24"/>
              </w:rPr>
              <w:t>Population density in Samut Prakan—over 1.3 million people—has grown steadily, driven by migration for industrial and service-sector employment. This population pressure, combined with rising demand for space and resources, has intensified coastal modification and environmental degradation. Traditional livelihoods such as small-scale fishing and aquaculture persist but are declining due to pollution and limited resource access.</w:t>
            </w:r>
          </w:p>
          <w:p w14:paraId="6287869F" w14:textId="77777777" w:rsidR="009A0A63" w:rsidRPr="00792B36" w:rsidRDefault="009A0A63" w:rsidP="00A24459">
            <w:pPr>
              <w:rPr>
                <w:rFonts w:eastAsia="Times New Roman"/>
                <w:color w:val="000000" w:themeColor="text1"/>
                <w:sz w:val="24"/>
                <w:szCs w:val="24"/>
                <w:highlight w:val="yellow"/>
              </w:rPr>
            </w:pPr>
            <w:r w:rsidRPr="00792B36">
              <w:rPr>
                <w:rFonts w:eastAsia="Times New Roman"/>
                <w:color w:val="000000" w:themeColor="text1"/>
                <w:sz w:val="24"/>
                <w:szCs w:val="24"/>
              </w:rPr>
              <w:t xml:space="preserve">The province’s coastal and estuarine </w:t>
            </w:r>
            <w:r w:rsidRPr="00792B36">
              <w:rPr>
                <w:rFonts w:eastAsia="Times New Roman"/>
                <w:color w:val="000000" w:themeColor="text1"/>
                <w:sz w:val="24"/>
                <w:szCs w:val="24"/>
              </w:rPr>
              <w:lastRenderedPageBreak/>
              <w:t>management falls under the Department of Marine and Coastal Resources (DMCR), which supports community-based mangrove restoration and eco-education projects in areas like Bang Pu and Khlong Dan. However, enforcement challenges and competing land-use priorities between industrial growth and ecosystem conservation remain significant. Overall, urban expansion, population pressure, and industrial demand are the key social and economic forces driving habitat loss, pollution, and reduced ecological resilience in Samut Prakan’s coastal zone.</w:t>
            </w:r>
          </w:p>
        </w:tc>
        <w:tc>
          <w:tcPr>
            <w:tcW w:w="1444" w:type="pct"/>
          </w:tcPr>
          <w:p w14:paraId="04446831" w14:textId="77777777" w:rsidR="009A0A63" w:rsidRPr="00792B36" w:rsidRDefault="009A0A63" w:rsidP="00A24459">
            <w:pPr>
              <w:rPr>
                <w:rFonts w:eastAsia="Times New Roman"/>
                <w:color w:val="000000" w:themeColor="text1"/>
                <w:sz w:val="24"/>
                <w:szCs w:val="24"/>
                <w:highlight w:val="yellow"/>
              </w:rPr>
            </w:pPr>
            <w:r w:rsidRPr="00792B36">
              <w:rPr>
                <w:rFonts w:eastAsia="Times New Roman"/>
                <w:color w:val="000000" w:themeColor="text1"/>
                <w:sz w:val="24"/>
                <w:szCs w:val="24"/>
              </w:rPr>
              <w:lastRenderedPageBreak/>
              <w:t xml:space="preserve">The Samut Prakan coastal zone provides considerable economic value primarily through direct use services such as fisheries, aquaculture, port activities, and industrial water use, estimated at approximately US$12–15 million per year. Despite being heavily urbanized, the remaining mangrove areas contribute significant indirect values in the form of coastal protection, flood regulation, and carbon sequestration, valued at around US$8–10 million annually. Together, the total annual economic value of Samut Prakan’s coastal and estuarine ecosystems is estimated at about US$20–25 million, with the small remaining mangrove forests storing blue carbon worth more than US$100 million. These values underline the importance of conserving the province’s remaining natural </w:t>
            </w:r>
            <w:r w:rsidRPr="00792B36">
              <w:rPr>
                <w:rFonts w:eastAsia="Times New Roman"/>
                <w:color w:val="000000" w:themeColor="text1"/>
                <w:sz w:val="24"/>
                <w:szCs w:val="24"/>
              </w:rPr>
              <w:lastRenderedPageBreak/>
              <w:t>habitats, which continue to provide ecosystem services, coastal resilience, and socio-economic benefits despite intense urban and industrial development.</w:t>
            </w:r>
          </w:p>
        </w:tc>
      </w:tr>
      <w:tr w:rsidR="009A0A63" w:rsidRPr="00792B36" w14:paraId="0519B220" w14:textId="77777777" w:rsidTr="00A24459">
        <w:tc>
          <w:tcPr>
            <w:tcW w:w="1598" w:type="pct"/>
            <w:vAlign w:val="center"/>
          </w:tcPr>
          <w:p w14:paraId="5F3CA86B" w14:textId="77777777" w:rsidR="009A0A63" w:rsidRPr="00792B36" w:rsidRDefault="009A0A63" w:rsidP="00A24459">
            <w:pPr>
              <w:rPr>
                <w:rFonts w:eastAsia="Times New Roman"/>
                <w:b/>
                <w:bCs/>
                <w:color w:val="000000" w:themeColor="text1"/>
                <w:sz w:val="24"/>
                <w:szCs w:val="24"/>
                <w:highlight w:val="yellow"/>
              </w:rPr>
            </w:pPr>
            <w:r w:rsidRPr="00792B36">
              <w:rPr>
                <w:rStyle w:val="Strong"/>
                <w:rFonts w:eastAsiaTheme="minorEastAsia"/>
                <w:color w:val="000000" w:themeColor="text1"/>
                <w:sz w:val="24"/>
                <w:szCs w:val="24"/>
              </w:rPr>
              <w:lastRenderedPageBreak/>
              <w:t>WL1: Don Hoi Lot</w:t>
            </w:r>
          </w:p>
        </w:tc>
        <w:tc>
          <w:tcPr>
            <w:tcW w:w="1958" w:type="pct"/>
          </w:tcPr>
          <w:p w14:paraId="3515F7AC" w14:textId="77777777" w:rsidR="009A0A63" w:rsidRPr="00792B36" w:rsidRDefault="009A0A63" w:rsidP="00A24459">
            <w:pPr>
              <w:rPr>
                <w:rFonts w:eastAsia="Times New Roman"/>
                <w:color w:val="000000" w:themeColor="text1"/>
                <w:sz w:val="24"/>
                <w:szCs w:val="24"/>
              </w:rPr>
            </w:pPr>
            <w:r w:rsidRPr="00792B36">
              <w:rPr>
                <w:rFonts w:eastAsia="Times New Roman"/>
                <w:color w:val="000000" w:themeColor="text1"/>
                <w:sz w:val="24"/>
                <w:szCs w:val="24"/>
              </w:rPr>
              <w:t>The environmental condition of Don Hoi Lot is influenced by both social and economic factors related to resource use, tourism, and local livelihoods. The area’s economy depends heavily on shellfish harvesting, especially blood cockles (</w:t>
            </w:r>
            <w:r w:rsidRPr="00792B36">
              <w:rPr>
                <w:rFonts w:eastAsia="Times New Roman"/>
                <w:i/>
                <w:iCs/>
                <w:color w:val="000000" w:themeColor="text1"/>
                <w:sz w:val="24"/>
                <w:szCs w:val="24"/>
              </w:rPr>
              <w:t>Anadara granosa</w:t>
            </w:r>
            <w:r w:rsidRPr="00792B36">
              <w:rPr>
                <w:rFonts w:eastAsia="Times New Roman"/>
                <w:color w:val="000000" w:themeColor="text1"/>
                <w:sz w:val="24"/>
                <w:szCs w:val="24"/>
              </w:rPr>
              <w:t>), which are collected for both household consumption and commercial trade. This high demand, along with growing tourism activities, has increased human disturbance on mudflats and nearby mangrove areas. Population growth and seasonal migration for fisheries-related work have also heightened pressure on coastal resources and waste generation.</w:t>
            </w:r>
          </w:p>
          <w:p w14:paraId="26CB636B" w14:textId="77777777" w:rsidR="009A0A63" w:rsidRPr="00792B36" w:rsidRDefault="009A0A63" w:rsidP="00A24459">
            <w:pPr>
              <w:rPr>
                <w:rFonts w:eastAsia="Times New Roman"/>
                <w:color w:val="000000" w:themeColor="text1"/>
                <w:sz w:val="24"/>
                <w:szCs w:val="24"/>
              </w:rPr>
            </w:pPr>
            <w:r w:rsidRPr="00792B36">
              <w:rPr>
                <w:rFonts w:eastAsia="Times New Roman"/>
                <w:color w:val="000000" w:themeColor="text1"/>
                <w:sz w:val="24"/>
                <w:szCs w:val="24"/>
              </w:rPr>
              <w:t xml:space="preserve">At the same time, the development of seafood markets, tourism facilities, and transport infrastructure has altered land use and water circulation near the estuary. The </w:t>
            </w:r>
            <w:r w:rsidRPr="00792B36">
              <w:rPr>
                <w:rFonts w:eastAsia="Times New Roman"/>
                <w:color w:val="000000" w:themeColor="text1"/>
                <w:sz w:val="24"/>
                <w:szCs w:val="24"/>
              </w:rPr>
              <w:lastRenderedPageBreak/>
              <w:t>site is managed as a Ramsar Site and National Reserved Forest under the Department of Marine and Coastal Resources (DMCR) and the Department of National Parks (DNP), which promote sustainable shellfish harvesting, mangrove restoration, and ecotourism management. However, challenges remain due to unregulated harvesting, tourist crowding, and limited waste control.</w:t>
            </w:r>
          </w:p>
          <w:p w14:paraId="63B1C2DB" w14:textId="77777777" w:rsidR="009A0A63" w:rsidRPr="00792B36" w:rsidRDefault="009A0A63" w:rsidP="00A24459">
            <w:pPr>
              <w:rPr>
                <w:rFonts w:eastAsia="Times New Roman"/>
                <w:color w:val="000000" w:themeColor="text1"/>
                <w:sz w:val="24"/>
                <w:szCs w:val="24"/>
                <w:highlight w:val="yellow"/>
              </w:rPr>
            </w:pPr>
            <w:r w:rsidRPr="00792B36">
              <w:rPr>
                <w:rFonts w:eastAsia="Times New Roman"/>
                <w:color w:val="000000" w:themeColor="text1"/>
                <w:sz w:val="24"/>
                <w:szCs w:val="24"/>
              </w:rPr>
              <w:t>Overall, intensive resource extraction, tourism expansion, and population-driven demand are the main social and economic drivers of environmental change and habitat stress in Don Hoi Lot, affecting the long-term sustainability of this nationally and globally important wetland ecosystem.</w:t>
            </w:r>
          </w:p>
        </w:tc>
        <w:tc>
          <w:tcPr>
            <w:tcW w:w="1444" w:type="pct"/>
          </w:tcPr>
          <w:p w14:paraId="358D343C" w14:textId="77777777" w:rsidR="009A0A63" w:rsidRPr="00792B36" w:rsidRDefault="009A0A63" w:rsidP="00A24459">
            <w:pPr>
              <w:rPr>
                <w:rFonts w:eastAsia="Times New Roman"/>
                <w:color w:val="000000" w:themeColor="text1"/>
                <w:sz w:val="24"/>
                <w:szCs w:val="24"/>
                <w:highlight w:val="yellow"/>
              </w:rPr>
            </w:pPr>
            <w:r w:rsidRPr="00792B36">
              <w:rPr>
                <w:rFonts w:eastAsia="Times New Roman"/>
                <w:color w:val="000000" w:themeColor="text1"/>
                <w:sz w:val="24"/>
                <w:szCs w:val="24"/>
              </w:rPr>
              <w:lastRenderedPageBreak/>
              <w:t xml:space="preserve">The Don Hoi Lot Wetland provides high economic value through its diverse ecosystem services. The direct use values, including shellfish harvesting, small-scale fisheries, and mangrove resource utilization, are estimated at around US$7–9 million per year. The indirect use values, such as coastal protection, sediment stabilization, nutrient cycling, and carbon sequestration from mangrove ecosystems, contribute an additional US$10–12 million annually. Altogether, the total annual economic value of Don Hoi Lot is estimated at approximately US$17–21 million, </w:t>
            </w:r>
            <w:r w:rsidRPr="00792B36">
              <w:rPr>
                <w:rFonts w:eastAsia="Times New Roman"/>
                <w:color w:val="000000" w:themeColor="text1"/>
                <w:sz w:val="24"/>
                <w:szCs w:val="24"/>
              </w:rPr>
              <w:lastRenderedPageBreak/>
              <w:t>with mangrove and mudflat ecosystems also providing significant blue carbon storage worth over US$120 million. These values highlight the site’s critical role in sustaining fisheries productivity, community livelihoods, and Thailand’s commitments to blue economy and wetland conservation goals.</w:t>
            </w:r>
          </w:p>
        </w:tc>
      </w:tr>
    </w:tbl>
    <w:p w14:paraId="45D31E50" w14:textId="77777777" w:rsidR="009A0A63" w:rsidRPr="00792B36" w:rsidRDefault="009A0A63" w:rsidP="009A0A63">
      <w:pPr>
        <w:ind w:firstLine="1134"/>
        <w:rPr>
          <w:rFonts w:eastAsia="Times New Roman"/>
          <w:b/>
          <w:bCs/>
          <w:color w:val="000000" w:themeColor="text1"/>
          <w:sz w:val="24"/>
          <w:szCs w:val="24"/>
          <w:highlight w:val="yellow"/>
        </w:rPr>
      </w:pPr>
    </w:p>
    <w:p w14:paraId="4F3EAEBD" w14:textId="77777777" w:rsidR="009A0A63" w:rsidRPr="00792B36" w:rsidRDefault="009A0A63" w:rsidP="009A0A63">
      <w:pPr>
        <w:ind w:firstLine="1134"/>
        <w:rPr>
          <w:rFonts w:eastAsia="Times New Roman"/>
          <w:b/>
          <w:bCs/>
          <w:i/>
          <w:iCs/>
          <w:color w:val="000000" w:themeColor="text1"/>
          <w:sz w:val="24"/>
          <w:szCs w:val="24"/>
          <w:highlight w:val="yellow"/>
        </w:rPr>
      </w:pPr>
      <w:r w:rsidRPr="00792B36">
        <w:rPr>
          <w:rFonts w:eastAsia="Times New Roman"/>
          <w:b/>
          <w:bCs/>
          <w:i/>
          <w:iCs/>
          <w:color w:val="000000" w:themeColor="text1"/>
          <w:sz w:val="24"/>
          <w:szCs w:val="24"/>
        </w:rPr>
        <w:t>Economic Valuation of Coastal and Estuarine Ecosystem Services</w:t>
      </w:r>
    </w:p>
    <w:p w14:paraId="32C27409" w14:textId="77777777" w:rsidR="009A0A63" w:rsidRPr="00792B36" w:rsidRDefault="009A0A63" w:rsidP="009A0A63">
      <w:pPr>
        <w:ind w:firstLine="1134"/>
        <w:jc w:val="thaiDistribute"/>
        <w:rPr>
          <w:rFonts w:eastAsia="Times New Roman"/>
          <w:color w:val="000000" w:themeColor="text1"/>
          <w:sz w:val="24"/>
          <w:szCs w:val="24"/>
          <w:highlight w:val="yellow"/>
        </w:rPr>
      </w:pPr>
      <w:r w:rsidRPr="00792B36">
        <w:rPr>
          <w:rFonts w:eastAsia="Times New Roman"/>
          <w:color w:val="000000" w:themeColor="text1"/>
          <w:sz w:val="24"/>
          <w:szCs w:val="24"/>
        </w:rPr>
        <w:t xml:space="preserve">This review provides an overall summary of the economic values of coastal and estuarine ecosystems across the five study areas. It focuses on two key aspects: direct use values, which include the benefits gained from natural resource utilization such as fisheries, aquaculture, timber, and charcoal; and indirect use values, which encompass ecological services such as carbon sequestration, nursery functions for marine species, and ecotourism. These combined values highlight the essential role of Thailand’s coastal ecosystems in sustaining local livelihoods, food security, and climate resilience, while contributing significantly to the national blue economy and sustainable development goals. The following table presents a comparative overview of the estimated direct and indirect use values for each study site </w:t>
      </w:r>
      <w:r w:rsidRPr="00792B36">
        <w:rPr>
          <w:color w:val="000000" w:themeColor="text1"/>
          <w:sz w:val="24"/>
          <w:szCs w:val="24"/>
          <w:cs/>
        </w:rPr>
        <w:t>(</w:t>
      </w:r>
      <w:r w:rsidRPr="00792B36">
        <w:rPr>
          <w:color w:val="000000" w:themeColor="text1"/>
          <w:sz w:val="24"/>
          <w:szCs w:val="24"/>
        </w:rPr>
        <w:t>Table 11</w:t>
      </w:r>
      <w:r w:rsidRPr="00792B36">
        <w:rPr>
          <w:color w:val="000000" w:themeColor="text1"/>
          <w:sz w:val="24"/>
          <w:szCs w:val="24"/>
          <w:cs/>
        </w:rPr>
        <w:t>)</w:t>
      </w:r>
      <w:r w:rsidRPr="00792B36">
        <w:rPr>
          <w:rFonts w:eastAsia="Times New Roman"/>
          <w:color w:val="000000" w:themeColor="text1"/>
          <w:sz w:val="24"/>
          <w:szCs w:val="24"/>
        </w:rPr>
        <w:t>.</w:t>
      </w:r>
    </w:p>
    <w:p w14:paraId="68EA3BE8" w14:textId="77777777" w:rsidR="009A0A63" w:rsidRPr="00792B36" w:rsidRDefault="009A0A63" w:rsidP="009A0A63">
      <w:pPr>
        <w:rPr>
          <w:rFonts w:eastAsia="Times New Roman"/>
          <w:b/>
          <w:bCs/>
          <w:color w:val="000000" w:themeColor="text1"/>
          <w:sz w:val="24"/>
          <w:szCs w:val="24"/>
          <w:cs/>
        </w:rPr>
      </w:pPr>
      <w:r w:rsidRPr="00792B36">
        <w:rPr>
          <w:b/>
          <w:bCs/>
          <w:color w:val="000000" w:themeColor="text1"/>
          <w:sz w:val="24"/>
          <w:szCs w:val="24"/>
        </w:rPr>
        <w:t>Table 11</w:t>
      </w:r>
      <w:r w:rsidRPr="00792B36">
        <w:rPr>
          <w:b/>
          <w:bCs/>
          <w:color w:val="000000" w:themeColor="text1"/>
          <w:sz w:val="24"/>
          <w:szCs w:val="24"/>
          <w:cs/>
        </w:rPr>
        <w:t>.</w:t>
      </w:r>
      <w:r w:rsidRPr="00792B36">
        <w:rPr>
          <w:rFonts w:eastAsia="Times New Roman"/>
          <w:b/>
          <w:bCs/>
          <w:color w:val="000000" w:themeColor="text1"/>
          <w:sz w:val="24"/>
          <w:szCs w:val="24"/>
          <w:cs/>
        </w:rPr>
        <w:t xml:space="preserve"> </w:t>
      </w:r>
      <w:r w:rsidRPr="00792B36">
        <w:rPr>
          <w:rFonts w:eastAsia="Times New Roman"/>
          <w:b/>
          <w:bCs/>
          <w:color w:val="000000" w:themeColor="text1"/>
          <w:sz w:val="24"/>
          <w:szCs w:val="24"/>
        </w:rPr>
        <w:t>Economic Valuation of Coastal and Estuarine Ecosystem Services: Direct and Indirect Use Values</w:t>
      </w:r>
    </w:p>
    <w:tbl>
      <w:tblPr>
        <w:tblStyle w:val="TableGrid"/>
        <w:tblW w:w="5000" w:type="pct"/>
        <w:tblLook w:val="04A0" w:firstRow="1" w:lastRow="0" w:firstColumn="1" w:lastColumn="0" w:noHBand="0" w:noVBand="1"/>
      </w:tblPr>
      <w:tblGrid>
        <w:gridCol w:w="4056"/>
        <w:gridCol w:w="4504"/>
        <w:gridCol w:w="4390"/>
      </w:tblGrid>
      <w:tr w:rsidR="009A0A63" w:rsidRPr="00792B36" w14:paraId="3C204D9D" w14:textId="77777777" w:rsidTr="00A24459">
        <w:tc>
          <w:tcPr>
            <w:tcW w:w="1566" w:type="pct"/>
          </w:tcPr>
          <w:p w14:paraId="7D092DC9" w14:textId="77777777" w:rsidR="009A0A63" w:rsidRPr="00792B36" w:rsidRDefault="009A0A63" w:rsidP="00A24459">
            <w:pPr>
              <w:jc w:val="center"/>
              <w:rPr>
                <w:rFonts w:eastAsia="Times New Roman"/>
                <w:b/>
                <w:bCs/>
                <w:color w:val="000000" w:themeColor="text1"/>
                <w:sz w:val="24"/>
                <w:szCs w:val="24"/>
                <w:highlight w:val="yellow"/>
              </w:rPr>
            </w:pPr>
            <w:r w:rsidRPr="00792B36">
              <w:rPr>
                <w:rFonts w:eastAsia="Times New Roman"/>
                <w:b/>
                <w:bCs/>
                <w:color w:val="000000" w:themeColor="text1"/>
                <w:sz w:val="24"/>
                <w:szCs w:val="24"/>
              </w:rPr>
              <w:t>Name of area</w:t>
            </w:r>
          </w:p>
        </w:tc>
        <w:tc>
          <w:tcPr>
            <w:tcW w:w="1739" w:type="pct"/>
          </w:tcPr>
          <w:p w14:paraId="642E778C" w14:textId="77777777" w:rsidR="009A0A63" w:rsidRPr="00792B36" w:rsidRDefault="009A0A63" w:rsidP="00A24459">
            <w:pPr>
              <w:jc w:val="center"/>
              <w:rPr>
                <w:rFonts w:eastAsia="Times New Roman"/>
                <w:b/>
                <w:bCs/>
                <w:color w:val="000000" w:themeColor="text1"/>
                <w:sz w:val="24"/>
                <w:szCs w:val="24"/>
                <w:highlight w:val="yellow"/>
              </w:rPr>
            </w:pPr>
            <w:r w:rsidRPr="00792B36">
              <w:rPr>
                <w:rFonts w:eastAsia="Times New Roman"/>
                <w:b/>
                <w:bCs/>
                <w:color w:val="000000" w:themeColor="text1"/>
                <w:sz w:val="24"/>
                <w:szCs w:val="24"/>
              </w:rPr>
              <w:t>Values of direct use</w:t>
            </w:r>
          </w:p>
        </w:tc>
        <w:tc>
          <w:tcPr>
            <w:tcW w:w="1695" w:type="pct"/>
          </w:tcPr>
          <w:p w14:paraId="65AD158A" w14:textId="77777777" w:rsidR="009A0A63" w:rsidRPr="00792B36" w:rsidRDefault="009A0A63" w:rsidP="00A24459">
            <w:pPr>
              <w:jc w:val="center"/>
              <w:rPr>
                <w:rFonts w:eastAsia="Times New Roman"/>
                <w:b/>
                <w:color w:val="000000" w:themeColor="text1"/>
                <w:sz w:val="24"/>
                <w:szCs w:val="24"/>
                <w:highlight w:val="yellow"/>
              </w:rPr>
            </w:pPr>
            <w:r w:rsidRPr="00792B36">
              <w:rPr>
                <w:b/>
                <w:sz w:val="24"/>
                <w:szCs w:val="24"/>
              </w:rPr>
              <w:t>Values of indirect use</w:t>
            </w:r>
          </w:p>
        </w:tc>
      </w:tr>
      <w:tr w:rsidR="009A0A63" w:rsidRPr="00792B36" w14:paraId="43ED546C" w14:textId="77777777" w:rsidTr="00A24459">
        <w:tc>
          <w:tcPr>
            <w:tcW w:w="1566" w:type="pct"/>
            <w:vAlign w:val="center"/>
          </w:tcPr>
          <w:p w14:paraId="3E4E4AE4" w14:textId="77777777" w:rsidR="009A0A63" w:rsidRPr="00792B36" w:rsidRDefault="009A0A63" w:rsidP="00A24459">
            <w:pPr>
              <w:rPr>
                <w:rFonts w:eastAsia="Times New Roman"/>
                <w:b/>
                <w:bCs/>
                <w:color w:val="000000" w:themeColor="text1"/>
                <w:sz w:val="24"/>
                <w:szCs w:val="24"/>
                <w:highlight w:val="yellow"/>
              </w:rPr>
            </w:pPr>
            <w:r w:rsidRPr="00792B36">
              <w:rPr>
                <w:rStyle w:val="Strong"/>
                <w:rFonts w:eastAsiaTheme="minorEastAsia"/>
                <w:color w:val="000000" w:themeColor="text1"/>
                <w:sz w:val="24"/>
                <w:szCs w:val="24"/>
              </w:rPr>
              <w:t>MG1: Welu River Estuary</w:t>
            </w:r>
            <w:r w:rsidRPr="00792B36">
              <w:rPr>
                <w:b/>
                <w:bCs/>
                <w:color w:val="000000" w:themeColor="text1"/>
                <w:sz w:val="24"/>
                <w:szCs w:val="24"/>
              </w:rPr>
              <w:br/>
            </w:r>
          </w:p>
        </w:tc>
        <w:tc>
          <w:tcPr>
            <w:tcW w:w="1739" w:type="pct"/>
          </w:tcPr>
          <w:p w14:paraId="5C9BD1E9" w14:textId="77777777" w:rsidR="009A0A63" w:rsidRPr="00792B36" w:rsidRDefault="009A0A63" w:rsidP="00A24459">
            <w:pPr>
              <w:rPr>
                <w:rFonts w:eastAsia="Times New Roman"/>
                <w:color w:val="000000" w:themeColor="text1"/>
                <w:sz w:val="24"/>
                <w:szCs w:val="24"/>
                <w:highlight w:val="yellow"/>
              </w:rPr>
            </w:pPr>
            <w:r w:rsidRPr="00792B36">
              <w:rPr>
                <w:rFonts w:eastAsia="Times New Roman"/>
                <w:color w:val="000000" w:themeColor="text1"/>
                <w:sz w:val="24"/>
                <w:szCs w:val="24"/>
              </w:rPr>
              <w:t xml:space="preserve">The Welu River Estuary provides high direct </w:t>
            </w:r>
            <w:r w:rsidRPr="00792B36">
              <w:rPr>
                <w:rFonts w:eastAsia="Times New Roman"/>
                <w:color w:val="000000" w:themeColor="text1"/>
                <w:spacing w:val="-4"/>
                <w:sz w:val="24"/>
                <w:szCs w:val="24"/>
              </w:rPr>
              <w:t>use values from its natural resources, particularly</w:t>
            </w:r>
            <w:r w:rsidRPr="00792B36">
              <w:rPr>
                <w:rFonts w:eastAsia="Times New Roman"/>
                <w:color w:val="000000" w:themeColor="text1"/>
                <w:sz w:val="24"/>
                <w:szCs w:val="24"/>
              </w:rPr>
              <w:t xml:space="preserve"> mangrove timber, charcoal, and living marine resources. Sustainable harvesting of mangrove </w:t>
            </w:r>
            <w:r w:rsidRPr="00792B36">
              <w:rPr>
                <w:rFonts w:eastAsia="Times New Roman"/>
                <w:color w:val="000000" w:themeColor="text1"/>
                <w:sz w:val="24"/>
                <w:szCs w:val="24"/>
              </w:rPr>
              <w:lastRenderedPageBreak/>
              <w:t xml:space="preserve">wood generates about US$0.7–1.1 million per year, while fisheries and aquaculture activities contribute approximately US$5.8–7.2 million per year. Altogether, the total direct use value is estimated at US$6.5–8.0 million annually, </w:t>
            </w:r>
            <w:r w:rsidRPr="00792B36">
              <w:rPr>
                <w:rFonts w:eastAsia="Times New Roman"/>
                <w:color w:val="000000" w:themeColor="text1"/>
                <w:spacing w:val="-6"/>
                <w:sz w:val="24"/>
                <w:szCs w:val="24"/>
              </w:rPr>
              <w:t>emphasizing the estuary’s vital role in supporting</w:t>
            </w:r>
            <w:r w:rsidRPr="00792B36">
              <w:rPr>
                <w:rFonts w:eastAsia="Times New Roman"/>
                <w:color w:val="000000" w:themeColor="text1"/>
                <w:sz w:val="24"/>
                <w:szCs w:val="24"/>
              </w:rPr>
              <w:t xml:space="preserve"> local livelihoods, small-scale economies, and food security in the coastal zone.</w:t>
            </w:r>
          </w:p>
        </w:tc>
        <w:tc>
          <w:tcPr>
            <w:tcW w:w="1695" w:type="pct"/>
          </w:tcPr>
          <w:p w14:paraId="60D0C39D" w14:textId="77777777" w:rsidR="009A0A63" w:rsidRPr="00792B36" w:rsidRDefault="009A0A63" w:rsidP="00A24459">
            <w:pPr>
              <w:rPr>
                <w:rFonts w:eastAsia="Times New Roman"/>
                <w:color w:val="000000" w:themeColor="text1"/>
                <w:sz w:val="24"/>
                <w:szCs w:val="24"/>
                <w:highlight w:val="yellow"/>
              </w:rPr>
            </w:pPr>
            <w:r w:rsidRPr="00792B36">
              <w:rPr>
                <w:rFonts w:eastAsia="Times New Roman"/>
                <w:color w:val="000000" w:themeColor="text1"/>
                <w:sz w:val="24"/>
                <w:szCs w:val="24"/>
              </w:rPr>
              <w:lastRenderedPageBreak/>
              <w:t xml:space="preserve">The Welu River Estuary provides considerable indirect use values that contribute to ecological stability and local economic benefits. The mangrove forests act as major carbon </w:t>
            </w:r>
            <w:r w:rsidRPr="00792B36">
              <w:rPr>
                <w:rFonts w:eastAsia="Times New Roman"/>
                <w:color w:val="000000" w:themeColor="text1"/>
                <w:sz w:val="24"/>
                <w:szCs w:val="24"/>
              </w:rPr>
              <w:lastRenderedPageBreak/>
              <w:t>sinks, storing about 720,000–1,000,000 tonnes of carbon, valued at roughly US$9–13 million per year in blue carbon benefits. The estuary also serves as a critical nursery area for shrimp, crabs, and fish, supporting the productivity of surrounding fisheries with an estimated value of US$1–1.5 million per year. In addition, ecotourism and educational activities, such as mangrove trails and community-based conservation tours, provide around US$0.3–0.5 million annually. Overall, the total indirect use value of the Welu River Estuary is estimated at US$10–15 million per year, highlighting its importance for carbon storage, fisheries support, and sustainable community development.</w:t>
            </w:r>
          </w:p>
        </w:tc>
      </w:tr>
      <w:tr w:rsidR="009A0A63" w:rsidRPr="00792B36" w14:paraId="4FDAAB2A" w14:textId="77777777" w:rsidTr="00A24459">
        <w:tc>
          <w:tcPr>
            <w:tcW w:w="1566" w:type="pct"/>
            <w:vAlign w:val="center"/>
          </w:tcPr>
          <w:p w14:paraId="02CC8CC7" w14:textId="77777777" w:rsidR="009A0A63" w:rsidRPr="00792B36" w:rsidRDefault="009A0A63" w:rsidP="00A24459">
            <w:pPr>
              <w:rPr>
                <w:rFonts w:eastAsia="Times New Roman"/>
                <w:b/>
                <w:bCs/>
                <w:color w:val="000000" w:themeColor="text1"/>
                <w:sz w:val="24"/>
                <w:szCs w:val="24"/>
                <w:highlight w:val="yellow"/>
              </w:rPr>
            </w:pPr>
            <w:r w:rsidRPr="00792B36">
              <w:rPr>
                <w:rStyle w:val="Strong"/>
                <w:rFonts w:eastAsiaTheme="minorEastAsia"/>
                <w:color w:val="000000" w:themeColor="text1"/>
                <w:sz w:val="24"/>
                <w:szCs w:val="24"/>
              </w:rPr>
              <w:lastRenderedPageBreak/>
              <w:t>MG2: Bandon Bay</w:t>
            </w:r>
            <w:r w:rsidRPr="00792B36">
              <w:rPr>
                <w:b/>
                <w:bCs/>
                <w:color w:val="000000" w:themeColor="text1"/>
                <w:sz w:val="24"/>
                <w:szCs w:val="24"/>
              </w:rPr>
              <w:br/>
            </w:r>
          </w:p>
        </w:tc>
        <w:tc>
          <w:tcPr>
            <w:tcW w:w="1739" w:type="pct"/>
          </w:tcPr>
          <w:p w14:paraId="7C416417" w14:textId="77777777" w:rsidR="009A0A63" w:rsidRPr="00792B36" w:rsidRDefault="009A0A63" w:rsidP="00A24459">
            <w:pPr>
              <w:rPr>
                <w:rFonts w:eastAsia="Times New Roman"/>
                <w:color w:val="000000" w:themeColor="text1"/>
                <w:sz w:val="24"/>
                <w:szCs w:val="24"/>
                <w:highlight w:val="yellow"/>
              </w:rPr>
            </w:pPr>
            <w:r w:rsidRPr="00792B36">
              <w:rPr>
                <w:rFonts w:eastAsia="Times New Roman"/>
                <w:color w:val="000000" w:themeColor="text1"/>
                <w:sz w:val="24"/>
                <w:szCs w:val="24"/>
              </w:rPr>
              <w:t xml:space="preserve">The Bandon Bay ecosystem generates high direct use values from its coastal and marine resources. The bay supports extensive fisheries and aquaculture, particularly shrimp, crab, and oyster farming, which are estimated to contribute US$9–11 million per year. In addition, mangrove forests along the bay provide timber, fuelwood, and charcoal, valued at approximately US$1–1.5 million annually. Combined, the total direct use value of Bandon Bay is estimated at US$10–12 million per year, reflecting its crucial role in </w:t>
            </w:r>
            <w:r w:rsidRPr="00792B36">
              <w:rPr>
                <w:rFonts w:eastAsia="Times New Roman"/>
                <w:color w:val="000000" w:themeColor="text1"/>
                <w:sz w:val="24"/>
                <w:szCs w:val="24"/>
              </w:rPr>
              <w:lastRenderedPageBreak/>
              <w:t>sustaining local economies, livelihoods, and Thailand’s coastal fisheries productivity.</w:t>
            </w:r>
          </w:p>
        </w:tc>
        <w:tc>
          <w:tcPr>
            <w:tcW w:w="1695" w:type="pct"/>
          </w:tcPr>
          <w:p w14:paraId="73A9B03B" w14:textId="77777777" w:rsidR="009A0A63" w:rsidRPr="00792B36" w:rsidRDefault="009A0A63" w:rsidP="00A24459">
            <w:pPr>
              <w:rPr>
                <w:rFonts w:eastAsia="Times New Roman"/>
                <w:color w:val="000000" w:themeColor="text1"/>
                <w:sz w:val="24"/>
                <w:szCs w:val="24"/>
                <w:highlight w:val="yellow"/>
              </w:rPr>
            </w:pPr>
            <w:r w:rsidRPr="00792B36">
              <w:rPr>
                <w:rFonts w:eastAsia="Times New Roman"/>
                <w:color w:val="000000" w:themeColor="text1"/>
                <w:sz w:val="24"/>
                <w:szCs w:val="24"/>
              </w:rPr>
              <w:lastRenderedPageBreak/>
              <w:t xml:space="preserve">The Bandon Bay ecosystem provides high indirect use values through key ecological functions that support both biodiversity and local economies. The extensive mangrove forests act as vital carbon sinks, storing an estimated 1.5–2.0 million tonnes of carbon, valued at around US$10–14 million per year. The bay also serves as a major nursery ground for shrimp, crab, and fish populations, contributing approximately US$2–3 million annually to coastal fisheries productivity. In addition, emerging ecotourism and </w:t>
            </w:r>
            <w:r w:rsidRPr="00792B36">
              <w:rPr>
                <w:rFonts w:eastAsia="Times New Roman"/>
                <w:color w:val="000000" w:themeColor="text1"/>
                <w:sz w:val="24"/>
                <w:szCs w:val="24"/>
              </w:rPr>
              <w:lastRenderedPageBreak/>
              <w:t>educational activities associated with mangrove and aquaculture learning sites generate about US$0.5–0.8 million per year. Altogether, the total indirect use value of Bandon Bay is estimated at US$13–18 million per year, underscoring its importance in carbon sequestration, fisheries support, and sustainable coastal development within the Gulf of Thailand.</w:t>
            </w:r>
          </w:p>
        </w:tc>
      </w:tr>
      <w:tr w:rsidR="009A0A63" w:rsidRPr="00792B36" w14:paraId="12B07FD6" w14:textId="77777777" w:rsidTr="00A24459">
        <w:tc>
          <w:tcPr>
            <w:tcW w:w="1566" w:type="pct"/>
            <w:vAlign w:val="center"/>
          </w:tcPr>
          <w:p w14:paraId="12E53B1C" w14:textId="77777777" w:rsidR="009A0A63" w:rsidRPr="00792B36" w:rsidRDefault="009A0A63" w:rsidP="00A24459">
            <w:pPr>
              <w:rPr>
                <w:rFonts w:eastAsia="Times New Roman"/>
                <w:b/>
                <w:bCs/>
                <w:color w:val="000000" w:themeColor="text1"/>
                <w:sz w:val="24"/>
                <w:szCs w:val="24"/>
                <w:highlight w:val="yellow"/>
              </w:rPr>
            </w:pPr>
            <w:r w:rsidRPr="00792B36">
              <w:rPr>
                <w:rStyle w:val="Strong"/>
                <w:rFonts w:eastAsiaTheme="minorEastAsia"/>
                <w:color w:val="000000" w:themeColor="text1"/>
                <w:sz w:val="24"/>
                <w:szCs w:val="24"/>
              </w:rPr>
              <w:lastRenderedPageBreak/>
              <w:t>MG3: Pak Panang Bay</w:t>
            </w:r>
            <w:r w:rsidRPr="00792B36">
              <w:rPr>
                <w:b/>
                <w:bCs/>
                <w:color w:val="000000" w:themeColor="text1"/>
                <w:sz w:val="24"/>
                <w:szCs w:val="24"/>
              </w:rPr>
              <w:br/>
            </w:r>
          </w:p>
        </w:tc>
        <w:tc>
          <w:tcPr>
            <w:tcW w:w="1739" w:type="pct"/>
          </w:tcPr>
          <w:p w14:paraId="7F195445" w14:textId="77777777" w:rsidR="009A0A63" w:rsidRPr="00792B36" w:rsidRDefault="009A0A63" w:rsidP="00A24459">
            <w:pPr>
              <w:rPr>
                <w:rFonts w:eastAsia="Times New Roman"/>
                <w:color w:val="000000" w:themeColor="text1"/>
                <w:sz w:val="24"/>
                <w:szCs w:val="24"/>
                <w:highlight w:val="yellow"/>
              </w:rPr>
            </w:pPr>
            <w:r w:rsidRPr="00792B36">
              <w:rPr>
                <w:rFonts w:eastAsia="Times New Roman"/>
                <w:color w:val="000000" w:themeColor="text1"/>
                <w:sz w:val="24"/>
                <w:szCs w:val="24"/>
              </w:rPr>
              <w:t xml:space="preserve">The Pak Panang Bay ecosystem provides significant direct use values through its rich natural and aquatic resources. The bay supports extensive fisheries and aquaculture, especially shrimp and crab farming, which contribute an estimated US$7–9 million per year to the local economy. In addition, mangrove forests surrounding the bay supply timber, charcoal, </w:t>
            </w:r>
            <w:r w:rsidRPr="00792B36">
              <w:rPr>
                <w:rFonts w:eastAsia="Times New Roman"/>
                <w:color w:val="000000" w:themeColor="text1"/>
                <w:spacing w:val="-6"/>
                <w:sz w:val="24"/>
                <w:szCs w:val="24"/>
              </w:rPr>
              <w:t>and fuelwood, valued at around US$1–1.2 million</w:t>
            </w:r>
            <w:r w:rsidRPr="00792B36">
              <w:rPr>
                <w:rFonts w:eastAsia="Times New Roman"/>
                <w:color w:val="000000" w:themeColor="text1"/>
                <w:sz w:val="24"/>
                <w:szCs w:val="24"/>
              </w:rPr>
              <w:t xml:space="preserve"> annually. Altogether, the total direct use value </w:t>
            </w:r>
            <w:r w:rsidRPr="00792B36">
              <w:rPr>
                <w:rFonts w:eastAsia="Times New Roman"/>
                <w:color w:val="000000" w:themeColor="text1"/>
                <w:spacing w:val="-6"/>
                <w:sz w:val="24"/>
                <w:szCs w:val="24"/>
              </w:rPr>
              <w:t>of Pak Panang Bay is estimated at approximately</w:t>
            </w:r>
            <w:r w:rsidRPr="00792B36">
              <w:rPr>
                <w:rFonts w:eastAsia="Times New Roman"/>
                <w:color w:val="000000" w:themeColor="text1"/>
                <w:sz w:val="24"/>
                <w:szCs w:val="24"/>
              </w:rPr>
              <w:t xml:space="preserve"> US$8–10 million per year, underscoring its importance in sustaining coastal livelihoods, food production, and regional economic stability.</w:t>
            </w:r>
          </w:p>
        </w:tc>
        <w:tc>
          <w:tcPr>
            <w:tcW w:w="1695" w:type="pct"/>
          </w:tcPr>
          <w:p w14:paraId="09C2D6A0" w14:textId="77777777" w:rsidR="009A0A63" w:rsidRPr="00792B36" w:rsidRDefault="009A0A63" w:rsidP="00A24459">
            <w:pPr>
              <w:rPr>
                <w:rFonts w:eastAsia="Times New Roman"/>
                <w:color w:val="000000" w:themeColor="text1"/>
                <w:sz w:val="24"/>
                <w:szCs w:val="24"/>
                <w:highlight w:val="yellow"/>
              </w:rPr>
            </w:pPr>
            <w:r w:rsidRPr="00792B36">
              <w:rPr>
                <w:rFonts w:eastAsia="Times New Roman"/>
                <w:color w:val="000000" w:themeColor="text1"/>
                <w:sz w:val="24"/>
                <w:szCs w:val="24"/>
              </w:rPr>
              <w:t xml:space="preserve">The Pak Panang Bay ecosystem provides substantial indirect use values through its ecological and climate-regulating functions. The extensive mangrove forests act as major carbon sinks, storing an estimated 1.2–1.5 million tonnes of carbon, valued at approximately US$8–11 million per year in blue carbon benefits. The bay also functions as a crucial nursery ground for shrimp, crab, and finfish species, supporting local and regional fisheries with an estimated value of US$2–2.5 million annually. In addition, ecotourism and environmental education activities related to mangrove restoration and delta conservation generate about US$0.5–0.7 million per year. Overall, the total indirect use value of Pak Panang Bay is estimated at US$10–14 million per </w:t>
            </w:r>
            <w:r w:rsidRPr="00792B36">
              <w:rPr>
                <w:rFonts w:eastAsia="Times New Roman"/>
                <w:color w:val="000000" w:themeColor="text1"/>
                <w:sz w:val="24"/>
                <w:szCs w:val="24"/>
              </w:rPr>
              <w:lastRenderedPageBreak/>
              <w:t>year, emphasizing its vital role in carbon sequestration, fisheries productivity, and sustainable coastal livelihoods.</w:t>
            </w:r>
          </w:p>
        </w:tc>
      </w:tr>
      <w:tr w:rsidR="009A0A63" w:rsidRPr="00792B36" w14:paraId="0B8A430F" w14:textId="77777777" w:rsidTr="00A24459">
        <w:tc>
          <w:tcPr>
            <w:tcW w:w="1566" w:type="pct"/>
            <w:vAlign w:val="center"/>
          </w:tcPr>
          <w:p w14:paraId="1824E1B4" w14:textId="77777777" w:rsidR="009A0A63" w:rsidRPr="00792B36" w:rsidRDefault="009A0A63" w:rsidP="00A24459">
            <w:pPr>
              <w:rPr>
                <w:rFonts w:eastAsia="Times New Roman"/>
                <w:b/>
                <w:bCs/>
                <w:color w:val="000000" w:themeColor="text1"/>
                <w:sz w:val="24"/>
                <w:szCs w:val="24"/>
                <w:highlight w:val="yellow"/>
              </w:rPr>
            </w:pPr>
            <w:r w:rsidRPr="00792B36">
              <w:rPr>
                <w:rStyle w:val="Strong"/>
                <w:rFonts w:eastAsiaTheme="minorEastAsia"/>
                <w:color w:val="000000" w:themeColor="text1"/>
                <w:sz w:val="24"/>
                <w:szCs w:val="24"/>
              </w:rPr>
              <w:lastRenderedPageBreak/>
              <w:t>MG: Samut Prakan Province</w:t>
            </w:r>
          </w:p>
        </w:tc>
        <w:tc>
          <w:tcPr>
            <w:tcW w:w="1739" w:type="pct"/>
          </w:tcPr>
          <w:p w14:paraId="59F36944" w14:textId="77777777" w:rsidR="009A0A63" w:rsidRPr="00792B36" w:rsidRDefault="009A0A63" w:rsidP="00A24459">
            <w:pPr>
              <w:rPr>
                <w:rFonts w:eastAsia="Times New Roman"/>
                <w:color w:val="000000" w:themeColor="text1"/>
                <w:sz w:val="24"/>
                <w:szCs w:val="24"/>
                <w:highlight w:val="yellow"/>
              </w:rPr>
            </w:pPr>
            <w:r w:rsidRPr="00792B36">
              <w:rPr>
                <w:rFonts w:eastAsia="Times New Roman"/>
                <w:color w:val="000000" w:themeColor="text1"/>
                <w:sz w:val="24"/>
                <w:szCs w:val="24"/>
              </w:rPr>
              <w:t>The Samut Prakan coastal zone provides notable direct use values from its remaining natural and economic resources. Despite rapid urbanization, the province still supports small-scale fisheries and aquaculture, contributing approximately US$10–12 million per year through fish, shrimp, and crab production. The limited mangrove areas in Bang Pu and Khlong Dan supply timber, fuelwood, and charcoal, valued at around US$1–1.3 million annually. Altogether, the total direct use value of Samut Prakan’s coastal ecosystems is estimated at US$12–15 million per year, reflecting their continued importance in supporting local livelihoods, seafood production, and coastal community resilience amid industrial and urban expansion.</w:t>
            </w:r>
          </w:p>
        </w:tc>
        <w:tc>
          <w:tcPr>
            <w:tcW w:w="1695" w:type="pct"/>
          </w:tcPr>
          <w:p w14:paraId="6A1A3C5A" w14:textId="77777777" w:rsidR="009A0A63" w:rsidRPr="00792B36" w:rsidRDefault="009A0A63" w:rsidP="00A24459">
            <w:pPr>
              <w:rPr>
                <w:rFonts w:eastAsia="Times New Roman"/>
                <w:color w:val="000000" w:themeColor="text1"/>
                <w:sz w:val="24"/>
                <w:szCs w:val="24"/>
                <w:highlight w:val="yellow"/>
              </w:rPr>
            </w:pPr>
            <w:r w:rsidRPr="00792B36">
              <w:rPr>
                <w:rFonts w:eastAsia="Times New Roman"/>
                <w:color w:val="000000" w:themeColor="text1"/>
                <w:sz w:val="24"/>
                <w:szCs w:val="24"/>
              </w:rPr>
              <w:t xml:space="preserve">The Samut Prakan coastal zone provides significant indirect use values that support both ecological stability and human well-being within a heavily urbanized environment. The remaining mangrove forests along areas such as Bang Pu and Khlong Dan play a vital role in carbon sequestration, storing around 250,000–300,000 tonnes of carbon, valued at approximately US$2–3 million per year in blue carbon benefits. These mangroves and estuarine wetlands also function as nursery grounds for shrimp, crabs, and small fish, sustaining nearby fisheries and valued at about US$1–1.5 million annually. Furthermore, ecotourism and environmental education activities, including birdwatching and mangrove learning centers in Bang Pu, generate an estimated US$0.5 million per year. In total, the indirect use value of Samut Prakan’s coastal ecosystems is estimated at US$3.5–5 million per year, highlighting their essential contribution to carbon storage, biodiversity support, and public environmental awareness amid ongoing urban and industrial </w:t>
            </w:r>
            <w:r w:rsidRPr="00792B36">
              <w:rPr>
                <w:rFonts w:eastAsia="Times New Roman"/>
                <w:color w:val="000000" w:themeColor="text1"/>
                <w:sz w:val="24"/>
                <w:szCs w:val="24"/>
              </w:rPr>
              <w:lastRenderedPageBreak/>
              <w:t>expansion.</w:t>
            </w:r>
          </w:p>
        </w:tc>
      </w:tr>
      <w:tr w:rsidR="009A0A63" w:rsidRPr="00792B36" w14:paraId="4A4CBDB0" w14:textId="77777777" w:rsidTr="00A24459">
        <w:tc>
          <w:tcPr>
            <w:tcW w:w="1566" w:type="pct"/>
            <w:vAlign w:val="center"/>
          </w:tcPr>
          <w:p w14:paraId="523B3B50" w14:textId="77777777" w:rsidR="009A0A63" w:rsidRPr="00792B36" w:rsidRDefault="009A0A63" w:rsidP="00A24459">
            <w:pPr>
              <w:rPr>
                <w:rFonts w:eastAsia="Times New Roman"/>
                <w:b/>
                <w:bCs/>
                <w:color w:val="000000" w:themeColor="text1"/>
                <w:sz w:val="24"/>
                <w:szCs w:val="24"/>
                <w:highlight w:val="yellow"/>
              </w:rPr>
            </w:pPr>
            <w:r w:rsidRPr="00792B36">
              <w:rPr>
                <w:rStyle w:val="Strong"/>
                <w:rFonts w:eastAsiaTheme="minorEastAsia"/>
                <w:color w:val="000000" w:themeColor="text1"/>
                <w:sz w:val="24"/>
                <w:szCs w:val="24"/>
              </w:rPr>
              <w:lastRenderedPageBreak/>
              <w:t>WL1: Don Hoi Lot</w:t>
            </w:r>
          </w:p>
        </w:tc>
        <w:tc>
          <w:tcPr>
            <w:tcW w:w="1739" w:type="pct"/>
          </w:tcPr>
          <w:p w14:paraId="455F53FD" w14:textId="77777777" w:rsidR="009A0A63" w:rsidRPr="00792B36" w:rsidRDefault="009A0A63" w:rsidP="00A24459">
            <w:pPr>
              <w:rPr>
                <w:rFonts w:eastAsia="Times New Roman"/>
                <w:color w:val="000000" w:themeColor="text1"/>
                <w:sz w:val="24"/>
                <w:szCs w:val="24"/>
                <w:highlight w:val="yellow"/>
              </w:rPr>
            </w:pPr>
            <w:r w:rsidRPr="00792B36">
              <w:rPr>
                <w:rFonts w:eastAsia="Times New Roman"/>
                <w:color w:val="000000" w:themeColor="text1"/>
                <w:sz w:val="24"/>
                <w:szCs w:val="24"/>
              </w:rPr>
              <w:t>The Don Hoi Lot Wetland provides high direct use values derived from its abundant coastal and estuarine resources. The area’s main economic activity—shellfish harvesting, particularly blood cockles (Anadara granosa) and other bivalves—generates an estimated US$6–8 million per year. In addition, small-scale fisheries and mangrove resource use (timber, charcoal, and fuelwood) contribute about US$1–1.2 million annually. Combined, the total direct use value of Don Hoi Lot is estimated at approximately US$7–9 million per year, underscoring its importance as a source of income, food security, and coastal livelihoods for local communities, while also supporting Thailand’s sustainable fisheries and blue economy objectives.</w:t>
            </w:r>
          </w:p>
        </w:tc>
        <w:tc>
          <w:tcPr>
            <w:tcW w:w="1695" w:type="pct"/>
          </w:tcPr>
          <w:p w14:paraId="7525E846" w14:textId="77777777" w:rsidR="009A0A63" w:rsidRPr="00792B36" w:rsidRDefault="009A0A63" w:rsidP="00A24459">
            <w:pPr>
              <w:rPr>
                <w:rFonts w:eastAsia="Times New Roman"/>
                <w:color w:val="000000" w:themeColor="text1"/>
                <w:sz w:val="24"/>
                <w:szCs w:val="24"/>
                <w:highlight w:val="yellow"/>
              </w:rPr>
            </w:pPr>
            <w:r w:rsidRPr="00792B36">
              <w:rPr>
                <w:rFonts w:eastAsia="Times New Roman"/>
                <w:color w:val="000000" w:themeColor="text1"/>
                <w:sz w:val="24"/>
                <w:szCs w:val="24"/>
              </w:rPr>
              <w:t>The Don Hoi Lot Wetland provides high indirect use values through its ecological, climate, and socio-economic functions. The area’s mangrove forests and tidal flats play an important role in carbon sequestration, storing approximately 400,000–500,000 tonnes of carbon, with an estimated value of US$3–4 million per year in blue carbon benefits. The extensive mudflat ecosystem also serves as a crucial nursery ground for shrimp, crabs, and mollusks, supporting fisheries valued at about US$1–1.5 million annually. Moreover, ecotourism and environmental education, such as shellfish observation and mangrove learning programs, generate an additional US$0.5–0.8 million per year. Altogether, the total indirect use value of Don Hoi Lot is estimated at US$5–6 million per year, highlighting its essential role in carbon storage, fisheries sustainability, and nature-based tourism within Thailand’s upper Gulf region.</w:t>
            </w:r>
          </w:p>
        </w:tc>
      </w:tr>
    </w:tbl>
    <w:p w14:paraId="7D15F74E" w14:textId="77777777" w:rsidR="009A0A63" w:rsidRPr="00792B36" w:rsidRDefault="009A0A63" w:rsidP="009A0A63">
      <w:pPr>
        <w:ind w:firstLine="1134"/>
        <w:rPr>
          <w:rFonts w:eastAsia="Times New Roman"/>
          <w:b/>
          <w:bCs/>
          <w:color w:val="000000" w:themeColor="text1"/>
          <w:sz w:val="24"/>
          <w:szCs w:val="24"/>
          <w:highlight w:val="yellow"/>
        </w:rPr>
      </w:pPr>
    </w:p>
    <w:p w14:paraId="4EBD5A87" w14:textId="77777777" w:rsidR="009A0A63" w:rsidRPr="00792B36" w:rsidRDefault="009A0A63" w:rsidP="009A0A63">
      <w:pPr>
        <w:ind w:firstLine="1134"/>
        <w:rPr>
          <w:rFonts w:eastAsia="Times New Roman"/>
          <w:b/>
          <w:bCs/>
          <w:i/>
          <w:iCs/>
          <w:color w:val="000000" w:themeColor="text1"/>
          <w:sz w:val="24"/>
          <w:szCs w:val="24"/>
          <w:highlight w:val="yellow"/>
        </w:rPr>
      </w:pPr>
      <w:r w:rsidRPr="00792B36">
        <w:rPr>
          <w:rFonts w:eastAsia="Times New Roman"/>
          <w:b/>
          <w:bCs/>
          <w:i/>
          <w:iCs/>
          <w:color w:val="000000" w:themeColor="text1"/>
          <w:sz w:val="24"/>
          <w:szCs w:val="24"/>
        </w:rPr>
        <w:t>Environmental Service Values and Restoration Investment in Coastal and Estuarine Ecosystems</w:t>
      </w:r>
    </w:p>
    <w:p w14:paraId="5146DC29" w14:textId="77777777" w:rsidR="009A0A63" w:rsidRPr="00792B36" w:rsidRDefault="009A0A63" w:rsidP="009A0A63">
      <w:pPr>
        <w:ind w:firstLine="1134"/>
        <w:jc w:val="thaiDistribute"/>
        <w:rPr>
          <w:rFonts w:eastAsia="Times New Roman"/>
          <w:color w:val="000000" w:themeColor="text1"/>
          <w:sz w:val="24"/>
          <w:szCs w:val="24"/>
        </w:rPr>
      </w:pPr>
      <w:r w:rsidRPr="00792B36">
        <w:rPr>
          <w:rFonts w:eastAsia="Times New Roman"/>
          <w:color w:val="000000" w:themeColor="text1"/>
          <w:sz w:val="24"/>
          <w:szCs w:val="24"/>
        </w:rPr>
        <w:t xml:space="preserve">This review presents a comparative overview of the environmental service values and restoration investments across five key coastal and estuarine areas—Welu River Estuary, Bandon Bay, Pak Panang Bay, Samut Prakan Province, and Don Hoi Lot. These ecosystems provide crucial environmental functions, including coastal protection, sediment </w:t>
      </w:r>
      <w:r w:rsidRPr="00792B36">
        <w:rPr>
          <w:rFonts w:eastAsia="Times New Roman"/>
          <w:color w:val="000000" w:themeColor="text1"/>
          <w:sz w:val="24"/>
          <w:szCs w:val="24"/>
        </w:rPr>
        <w:lastRenderedPageBreak/>
        <w:t>stabilization, wave energy reduction, and water quality improvement, which help maintain ecological balance and support local communities.</w:t>
      </w:r>
    </w:p>
    <w:p w14:paraId="2678F90C" w14:textId="77777777" w:rsidR="009A0A63" w:rsidRPr="00792B36" w:rsidRDefault="009A0A63" w:rsidP="009A0A63">
      <w:pPr>
        <w:ind w:firstLine="1134"/>
        <w:rPr>
          <w:rFonts w:eastAsia="Times New Roman"/>
          <w:color w:val="000000" w:themeColor="text1"/>
          <w:sz w:val="24"/>
          <w:szCs w:val="24"/>
          <w:highlight w:val="yellow"/>
        </w:rPr>
      </w:pPr>
      <w:r w:rsidRPr="00792B36">
        <w:rPr>
          <w:rFonts w:eastAsia="Times New Roman"/>
          <w:color w:val="000000" w:themeColor="text1"/>
          <w:sz w:val="24"/>
          <w:szCs w:val="24"/>
        </w:rPr>
        <w:t>At the same time, continuous investment in mangrove restoration and replanting has been made by the Department of Marine and Coastal Resources (DMCR), local governments, and community networks to enhance coastal resilience, carbon sequestration, and habitat recovery. The following table 12 summarizes the estimated economic values derived from environmental services and the financial investments dedicated to restoration efforts in each study area, highlighting their collective contribution to Thailand’s blue economy and sustainable coastal management.</w:t>
      </w:r>
    </w:p>
    <w:p w14:paraId="09F70745" w14:textId="77777777" w:rsidR="009A0A63" w:rsidRPr="00792B36" w:rsidRDefault="009A0A63" w:rsidP="009A0A63">
      <w:pPr>
        <w:rPr>
          <w:rFonts w:eastAsia="Times New Roman"/>
          <w:b/>
          <w:bCs/>
          <w:color w:val="000000" w:themeColor="text1"/>
          <w:sz w:val="24"/>
          <w:szCs w:val="24"/>
        </w:rPr>
      </w:pPr>
      <w:r w:rsidRPr="00792B36">
        <w:rPr>
          <w:b/>
          <w:bCs/>
          <w:color w:val="000000" w:themeColor="text1"/>
          <w:sz w:val="24"/>
          <w:szCs w:val="24"/>
        </w:rPr>
        <w:t>Table 12</w:t>
      </w:r>
      <w:r w:rsidRPr="00792B36">
        <w:rPr>
          <w:b/>
          <w:bCs/>
          <w:color w:val="000000" w:themeColor="text1"/>
          <w:sz w:val="24"/>
          <w:szCs w:val="24"/>
          <w:cs/>
        </w:rPr>
        <w:t>.</w:t>
      </w:r>
      <w:r w:rsidRPr="00792B36">
        <w:rPr>
          <w:rFonts w:eastAsia="Times New Roman"/>
          <w:b/>
          <w:bCs/>
          <w:color w:val="000000" w:themeColor="text1"/>
          <w:sz w:val="24"/>
          <w:szCs w:val="24"/>
        </w:rPr>
        <w:t xml:space="preserve"> </w:t>
      </w:r>
      <w:bookmarkStart w:id="37" w:name="_Hlk213408134"/>
      <w:r w:rsidRPr="00792B36">
        <w:rPr>
          <w:rFonts w:eastAsia="Times New Roman"/>
          <w:b/>
          <w:bCs/>
          <w:color w:val="000000" w:themeColor="text1"/>
          <w:sz w:val="24"/>
          <w:szCs w:val="24"/>
        </w:rPr>
        <w:t>Environmental Service Values and Restoration Investment in Coastal and Estuarine Ecosystems</w:t>
      </w:r>
      <w:bookmarkEnd w:id="37"/>
    </w:p>
    <w:tbl>
      <w:tblPr>
        <w:tblStyle w:val="TableGrid"/>
        <w:tblW w:w="5000" w:type="pct"/>
        <w:tblLook w:val="04A0" w:firstRow="1" w:lastRow="0" w:firstColumn="1" w:lastColumn="0" w:noHBand="0" w:noVBand="1"/>
      </w:tblPr>
      <w:tblGrid>
        <w:gridCol w:w="4056"/>
        <w:gridCol w:w="4504"/>
        <w:gridCol w:w="4390"/>
      </w:tblGrid>
      <w:tr w:rsidR="009A0A63" w:rsidRPr="00792B36" w14:paraId="13C3402F" w14:textId="77777777" w:rsidTr="00A24459">
        <w:tc>
          <w:tcPr>
            <w:tcW w:w="1566" w:type="pct"/>
          </w:tcPr>
          <w:p w14:paraId="64DEA799" w14:textId="77777777" w:rsidR="009A0A63" w:rsidRPr="00792B36" w:rsidRDefault="009A0A63" w:rsidP="00A24459">
            <w:pPr>
              <w:jc w:val="center"/>
              <w:rPr>
                <w:rFonts w:eastAsia="Times New Roman"/>
                <w:b/>
                <w:bCs/>
                <w:color w:val="000000" w:themeColor="text1"/>
                <w:sz w:val="24"/>
                <w:szCs w:val="24"/>
                <w:highlight w:val="yellow"/>
              </w:rPr>
            </w:pPr>
            <w:r w:rsidRPr="00792B36">
              <w:rPr>
                <w:rFonts w:eastAsia="Times New Roman"/>
                <w:b/>
                <w:bCs/>
                <w:color w:val="000000" w:themeColor="text1"/>
                <w:sz w:val="24"/>
                <w:szCs w:val="24"/>
              </w:rPr>
              <w:t>Name of area</w:t>
            </w:r>
          </w:p>
        </w:tc>
        <w:tc>
          <w:tcPr>
            <w:tcW w:w="1739" w:type="pct"/>
          </w:tcPr>
          <w:p w14:paraId="4CD08800" w14:textId="77777777" w:rsidR="009A0A63" w:rsidRPr="00792B36" w:rsidRDefault="009A0A63" w:rsidP="00A24459">
            <w:pPr>
              <w:jc w:val="center"/>
              <w:rPr>
                <w:rFonts w:eastAsia="Times New Roman"/>
                <w:b/>
                <w:bCs/>
                <w:color w:val="000000" w:themeColor="text1"/>
                <w:sz w:val="24"/>
                <w:szCs w:val="24"/>
                <w:highlight w:val="yellow"/>
              </w:rPr>
            </w:pPr>
            <w:r w:rsidRPr="00792B36">
              <w:rPr>
                <w:rFonts w:eastAsia="Times New Roman"/>
                <w:b/>
                <w:bCs/>
                <w:color w:val="000000" w:themeColor="text1"/>
                <w:sz w:val="24"/>
                <w:szCs w:val="24"/>
              </w:rPr>
              <w:t>Values from environmental services</w:t>
            </w:r>
          </w:p>
        </w:tc>
        <w:tc>
          <w:tcPr>
            <w:tcW w:w="1695" w:type="pct"/>
          </w:tcPr>
          <w:p w14:paraId="76FE45A8" w14:textId="77777777" w:rsidR="009A0A63" w:rsidRPr="00792B36" w:rsidRDefault="009A0A63" w:rsidP="00A24459">
            <w:pPr>
              <w:jc w:val="center"/>
              <w:rPr>
                <w:rFonts w:eastAsia="Times New Roman"/>
                <w:b/>
                <w:color w:val="000000" w:themeColor="text1"/>
                <w:sz w:val="24"/>
                <w:szCs w:val="24"/>
                <w:highlight w:val="yellow"/>
              </w:rPr>
            </w:pPr>
            <w:r w:rsidRPr="00792B36">
              <w:rPr>
                <w:rFonts w:eastAsia="Times New Roman"/>
                <w:b/>
                <w:color w:val="000000" w:themeColor="text1"/>
                <w:sz w:val="24"/>
                <w:szCs w:val="24"/>
              </w:rPr>
              <w:t>Value of investment</w:t>
            </w:r>
          </w:p>
        </w:tc>
      </w:tr>
      <w:tr w:rsidR="009A0A63" w:rsidRPr="00792B36" w14:paraId="05E6717C" w14:textId="77777777" w:rsidTr="00A24459">
        <w:tc>
          <w:tcPr>
            <w:tcW w:w="1566" w:type="pct"/>
            <w:vAlign w:val="center"/>
          </w:tcPr>
          <w:p w14:paraId="4482122E" w14:textId="77777777" w:rsidR="009A0A63" w:rsidRPr="00792B36" w:rsidRDefault="009A0A63" w:rsidP="00A24459">
            <w:pPr>
              <w:rPr>
                <w:rFonts w:eastAsia="Times New Roman"/>
                <w:b/>
                <w:bCs/>
                <w:color w:val="000000" w:themeColor="text1"/>
                <w:sz w:val="24"/>
                <w:szCs w:val="24"/>
                <w:highlight w:val="yellow"/>
              </w:rPr>
            </w:pPr>
            <w:r w:rsidRPr="00792B36">
              <w:rPr>
                <w:rStyle w:val="Strong"/>
                <w:rFonts w:eastAsiaTheme="minorEastAsia"/>
                <w:color w:val="000000" w:themeColor="text1"/>
                <w:sz w:val="24"/>
                <w:szCs w:val="24"/>
              </w:rPr>
              <w:t>MG1: Welu River Estuary</w:t>
            </w:r>
            <w:r w:rsidRPr="00792B36">
              <w:rPr>
                <w:b/>
                <w:bCs/>
                <w:color w:val="000000" w:themeColor="text1"/>
                <w:sz w:val="24"/>
                <w:szCs w:val="24"/>
              </w:rPr>
              <w:br/>
            </w:r>
          </w:p>
        </w:tc>
        <w:tc>
          <w:tcPr>
            <w:tcW w:w="1739" w:type="pct"/>
          </w:tcPr>
          <w:p w14:paraId="4D005703" w14:textId="77777777" w:rsidR="009A0A63" w:rsidRPr="00792B36" w:rsidRDefault="009A0A63" w:rsidP="00A24459">
            <w:pPr>
              <w:rPr>
                <w:rFonts w:eastAsia="Times New Roman"/>
                <w:color w:val="000000" w:themeColor="text1"/>
                <w:sz w:val="24"/>
                <w:szCs w:val="24"/>
                <w:highlight w:val="yellow"/>
              </w:rPr>
            </w:pPr>
            <w:r w:rsidRPr="00792B36">
              <w:rPr>
                <w:rFonts w:eastAsia="Times New Roman"/>
                <w:color w:val="000000" w:themeColor="text1"/>
                <w:sz w:val="24"/>
                <w:szCs w:val="24"/>
              </w:rPr>
              <w:t>The Welu River Estuary provides key environmental services that protect and sustain the coastal ecosystem. The mangrove forests help reduce wave energy, prevent erosion, and stabilize sediments, while also improving water quality by filtering pollutants and trapping sediments. The combined value of these ecosystem functions is estimated at around US$</w:t>
            </w:r>
            <w:r w:rsidRPr="00792B36">
              <w:rPr>
                <w:rFonts w:eastAsia="Times New Roman"/>
                <w:color w:val="000000" w:themeColor="text1"/>
                <w:sz w:val="24"/>
                <w:szCs w:val="24"/>
                <w:cs/>
              </w:rPr>
              <w:t xml:space="preserve">4–6 </w:t>
            </w:r>
            <w:r w:rsidRPr="00792B36">
              <w:rPr>
                <w:rFonts w:eastAsia="Times New Roman"/>
                <w:color w:val="000000" w:themeColor="text1"/>
                <w:sz w:val="24"/>
                <w:szCs w:val="24"/>
              </w:rPr>
              <w:t>million per year, highlighting their importance in coastal protection and environmental resilience.</w:t>
            </w:r>
          </w:p>
        </w:tc>
        <w:tc>
          <w:tcPr>
            <w:tcW w:w="1695" w:type="pct"/>
          </w:tcPr>
          <w:p w14:paraId="2116E1F0" w14:textId="77777777" w:rsidR="009A0A63" w:rsidRPr="00792B36" w:rsidRDefault="009A0A63" w:rsidP="00A24459">
            <w:pPr>
              <w:rPr>
                <w:rFonts w:eastAsia="Times New Roman"/>
                <w:color w:val="000000" w:themeColor="text1"/>
                <w:sz w:val="24"/>
                <w:szCs w:val="24"/>
                <w:highlight w:val="yellow"/>
              </w:rPr>
            </w:pPr>
            <w:r w:rsidRPr="00792B36">
              <w:rPr>
                <w:rFonts w:eastAsia="Times New Roman"/>
                <w:color w:val="000000" w:themeColor="text1"/>
                <w:sz w:val="24"/>
                <w:szCs w:val="24"/>
              </w:rPr>
              <w:t>The Welu River Estuary has benefited from continuous mangrove restoration and replanting projects implemented by the DMCR and local communities to enhance coastal resilience. Covering about 200–300 hectares, with an average restoration cost of US$1,500–2,500 per hectare, the total investment value is estimated at US$0.3–0.6 million. These efforts strengthen coastal protection, carbon sequestration, and biodiversity recovery, supporting sustainable ecosystem management in the area.</w:t>
            </w:r>
          </w:p>
        </w:tc>
      </w:tr>
      <w:tr w:rsidR="009A0A63" w:rsidRPr="00792B36" w14:paraId="43B28BD3" w14:textId="77777777" w:rsidTr="00A24459">
        <w:tc>
          <w:tcPr>
            <w:tcW w:w="1566" w:type="pct"/>
            <w:vAlign w:val="center"/>
          </w:tcPr>
          <w:p w14:paraId="749C457C" w14:textId="77777777" w:rsidR="009A0A63" w:rsidRPr="00792B36" w:rsidRDefault="009A0A63" w:rsidP="00A24459">
            <w:pPr>
              <w:rPr>
                <w:rFonts w:eastAsia="Times New Roman"/>
                <w:b/>
                <w:bCs/>
                <w:color w:val="000000" w:themeColor="text1"/>
                <w:sz w:val="24"/>
                <w:szCs w:val="24"/>
                <w:highlight w:val="yellow"/>
              </w:rPr>
            </w:pPr>
            <w:r w:rsidRPr="00792B36">
              <w:rPr>
                <w:rStyle w:val="Strong"/>
                <w:rFonts w:eastAsiaTheme="minorEastAsia"/>
                <w:color w:val="000000" w:themeColor="text1"/>
                <w:sz w:val="24"/>
                <w:szCs w:val="24"/>
              </w:rPr>
              <w:t>MG2: Bandon Bay</w:t>
            </w:r>
            <w:r w:rsidRPr="00792B36">
              <w:rPr>
                <w:b/>
                <w:bCs/>
                <w:color w:val="000000" w:themeColor="text1"/>
                <w:sz w:val="24"/>
                <w:szCs w:val="24"/>
              </w:rPr>
              <w:br/>
            </w:r>
          </w:p>
        </w:tc>
        <w:tc>
          <w:tcPr>
            <w:tcW w:w="1739" w:type="pct"/>
          </w:tcPr>
          <w:p w14:paraId="2A22A307" w14:textId="77777777" w:rsidR="009A0A63" w:rsidRPr="00792B36" w:rsidRDefault="009A0A63" w:rsidP="00A24459">
            <w:pPr>
              <w:rPr>
                <w:rFonts w:eastAsia="Times New Roman"/>
                <w:color w:val="000000" w:themeColor="text1"/>
                <w:sz w:val="24"/>
                <w:szCs w:val="24"/>
                <w:highlight w:val="yellow"/>
              </w:rPr>
            </w:pPr>
            <w:r w:rsidRPr="00792B36">
              <w:rPr>
                <w:rFonts w:eastAsia="Times New Roman"/>
                <w:color w:val="000000" w:themeColor="text1"/>
                <w:sz w:val="24"/>
                <w:szCs w:val="24"/>
              </w:rPr>
              <w:t xml:space="preserve">The Bandon Bay ecosystem provides valuable environmental services that maintain coastal stability and ecological balance. Its extensive mangrove forests protect the shoreline by reducing wave energy, preventing erosion, and stabilizing sediments, while also enhancing water quality through nutrient absorption and pollutant filtration. The total value of these combined </w:t>
            </w:r>
            <w:r w:rsidRPr="00792B36">
              <w:rPr>
                <w:rFonts w:eastAsia="Times New Roman"/>
                <w:color w:val="000000" w:themeColor="text1"/>
                <w:sz w:val="24"/>
                <w:szCs w:val="24"/>
              </w:rPr>
              <w:lastRenderedPageBreak/>
              <w:t>environmental services is estimated at around US$5–7 million per year, underscoring the bay’s critical role in coastal protection, sediment retention, and ecosystem health in the Gulf of Thailand.</w:t>
            </w:r>
          </w:p>
        </w:tc>
        <w:tc>
          <w:tcPr>
            <w:tcW w:w="1695" w:type="pct"/>
          </w:tcPr>
          <w:p w14:paraId="0DD51C7C" w14:textId="77777777" w:rsidR="009A0A63" w:rsidRPr="00792B36" w:rsidRDefault="009A0A63" w:rsidP="00A24459">
            <w:pPr>
              <w:rPr>
                <w:rFonts w:eastAsia="Times New Roman"/>
                <w:color w:val="000000" w:themeColor="text1"/>
                <w:sz w:val="24"/>
                <w:szCs w:val="24"/>
                <w:highlight w:val="yellow"/>
              </w:rPr>
            </w:pPr>
            <w:r w:rsidRPr="00792B36">
              <w:rPr>
                <w:rFonts w:eastAsia="Times New Roman"/>
                <w:color w:val="000000" w:themeColor="text1"/>
                <w:sz w:val="24"/>
                <w:szCs w:val="24"/>
              </w:rPr>
              <w:lastRenderedPageBreak/>
              <w:t xml:space="preserve">The Bandon Bay area has received sustained investment in mangrove restoration and replanting led by the DMCR, provincial authorities, and local communities to enhance coastal protection and fisheries productivity. Restoration projects have covered approximately 300–400 hectares of degraded mangrove areas, with an average cost of US$1,500–2,500 per </w:t>
            </w:r>
            <w:r w:rsidRPr="00792B36">
              <w:rPr>
                <w:rFonts w:eastAsia="Times New Roman"/>
                <w:color w:val="000000" w:themeColor="text1"/>
                <w:sz w:val="24"/>
                <w:szCs w:val="24"/>
              </w:rPr>
              <w:lastRenderedPageBreak/>
              <w:t>hectare, resulting in a total investment value of around US$0.45–1.0 million. These efforts have improved shoreline stability, carbon sequestration capacity, and nursery habitats, reinforcing the bay’s role as a key model for sustainable coastal ecosystem recovery in southern Thailand.</w:t>
            </w:r>
          </w:p>
        </w:tc>
      </w:tr>
      <w:tr w:rsidR="009A0A63" w:rsidRPr="00792B36" w14:paraId="230CFDDB" w14:textId="77777777" w:rsidTr="00A24459">
        <w:tc>
          <w:tcPr>
            <w:tcW w:w="1566" w:type="pct"/>
            <w:vAlign w:val="center"/>
          </w:tcPr>
          <w:p w14:paraId="33AB0222" w14:textId="77777777" w:rsidR="009A0A63" w:rsidRPr="00792B36" w:rsidRDefault="009A0A63" w:rsidP="00A24459">
            <w:pPr>
              <w:rPr>
                <w:rFonts w:eastAsia="Times New Roman"/>
                <w:b/>
                <w:bCs/>
                <w:color w:val="000000" w:themeColor="text1"/>
                <w:sz w:val="24"/>
                <w:szCs w:val="24"/>
                <w:highlight w:val="yellow"/>
              </w:rPr>
            </w:pPr>
            <w:r w:rsidRPr="00792B36">
              <w:rPr>
                <w:rStyle w:val="Strong"/>
                <w:rFonts w:eastAsiaTheme="minorEastAsia"/>
                <w:color w:val="000000" w:themeColor="text1"/>
                <w:sz w:val="24"/>
                <w:szCs w:val="24"/>
              </w:rPr>
              <w:lastRenderedPageBreak/>
              <w:t>MG3: Pak Panang Bay</w:t>
            </w:r>
            <w:r w:rsidRPr="00792B36">
              <w:rPr>
                <w:b/>
                <w:bCs/>
                <w:color w:val="000000" w:themeColor="text1"/>
                <w:sz w:val="24"/>
                <w:szCs w:val="24"/>
              </w:rPr>
              <w:br/>
            </w:r>
          </w:p>
        </w:tc>
        <w:tc>
          <w:tcPr>
            <w:tcW w:w="1739" w:type="pct"/>
          </w:tcPr>
          <w:p w14:paraId="427D9C15" w14:textId="77777777" w:rsidR="009A0A63" w:rsidRPr="00792B36" w:rsidRDefault="009A0A63" w:rsidP="00A24459">
            <w:pPr>
              <w:rPr>
                <w:rFonts w:eastAsia="Times New Roman"/>
                <w:color w:val="000000" w:themeColor="text1"/>
                <w:sz w:val="24"/>
                <w:szCs w:val="24"/>
                <w:highlight w:val="yellow"/>
              </w:rPr>
            </w:pPr>
            <w:r w:rsidRPr="00792B36">
              <w:rPr>
                <w:rFonts w:eastAsia="Times New Roman"/>
                <w:color w:val="000000" w:themeColor="text1"/>
                <w:sz w:val="24"/>
                <w:szCs w:val="24"/>
              </w:rPr>
              <w:t>The Pak Panang Bay ecosystem provides essential environmental services that help maintain the stability and productivity of the deltaic coast. Its mangrove forests act as natural barriers, reducing wave energy, preventing coastal erosion, and stabilizing sediments, while also improving water quality by trapping nutrients and filtering contaminants from river runoff. The total value of these combined services is estimated at around US$4–6 million per year, highlighting the bay’s critical role in coastal protection, sediment retention, and ecological resilience for the lower Gulf of Thailand.</w:t>
            </w:r>
          </w:p>
        </w:tc>
        <w:tc>
          <w:tcPr>
            <w:tcW w:w="1695" w:type="pct"/>
          </w:tcPr>
          <w:p w14:paraId="67D9A147" w14:textId="77777777" w:rsidR="009A0A63" w:rsidRPr="00792B36" w:rsidRDefault="009A0A63" w:rsidP="00A24459">
            <w:pPr>
              <w:rPr>
                <w:rFonts w:eastAsia="Times New Roman"/>
                <w:color w:val="000000" w:themeColor="text1"/>
                <w:sz w:val="24"/>
                <w:szCs w:val="24"/>
                <w:highlight w:val="yellow"/>
              </w:rPr>
            </w:pPr>
            <w:r w:rsidRPr="00792B36">
              <w:rPr>
                <w:rFonts w:eastAsia="Times New Roman"/>
                <w:color w:val="000000" w:themeColor="text1"/>
                <w:sz w:val="24"/>
                <w:szCs w:val="24"/>
              </w:rPr>
              <w:t>The Pak Panang Bay area has seen continuous investment in mangrove restoration and replanting by the DMCR, local government, and community networks to rehabilitate degraded coastal zones and support delta stability. Restoration projects cover about 400–500 hectares, with an average cost of US$1,500–2,500 per hectare, bringing the total investment value to approximately US$0.6–1.2 million. These initiatives have enhanced coastal protection, sediment retention, and blue carbon storage, while strengthening local livelihoods and climate resilience in the lower Gulf of Thailand.</w:t>
            </w:r>
          </w:p>
        </w:tc>
      </w:tr>
      <w:tr w:rsidR="009A0A63" w:rsidRPr="00792B36" w14:paraId="690847D2" w14:textId="77777777" w:rsidTr="00A24459">
        <w:tc>
          <w:tcPr>
            <w:tcW w:w="1566" w:type="pct"/>
            <w:vAlign w:val="center"/>
          </w:tcPr>
          <w:p w14:paraId="447384F6" w14:textId="77777777" w:rsidR="009A0A63" w:rsidRPr="00792B36" w:rsidRDefault="009A0A63" w:rsidP="00A24459">
            <w:pPr>
              <w:rPr>
                <w:rFonts w:eastAsia="Times New Roman"/>
                <w:b/>
                <w:bCs/>
                <w:color w:val="000000" w:themeColor="text1"/>
                <w:sz w:val="24"/>
                <w:szCs w:val="24"/>
                <w:highlight w:val="yellow"/>
              </w:rPr>
            </w:pPr>
            <w:r w:rsidRPr="00792B36">
              <w:rPr>
                <w:rStyle w:val="Strong"/>
                <w:rFonts w:eastAsiaTheme="minorEastAsia"/>
                <w:color w:val="000000" w:themeColor="text1"/>
                <w:sz w:val="24"/>
                <w:szCs w:val="24"/>
              </w:rPr>
              <w:t>MG: Samut Prakan Province</w:t>
            </w:r>
          </w:p>
        </w:tc>
        <w:tc>
          <w:tcPr>
            <w:tcW w:w="1739" w:type="pct"/>
          </w:tcPr>
          <w:p w14:paraId="1EC0B95F" w14:textId="77777777" w:rsidR="009A0A63" w:rsidRPr="00792B36" w:rsidRDefault="009A0A63" w:rsidP="00A24459">
            <w:pPr>
              <w:rPr>
                <w:rFonts w:eastAsia="Times New Roman"/>
                <w:color w:val="000000" w:themeColor="text1"/>
                <w:sz w:val="24"/>
                <w:szCs w:val="24"/>
                <w:highlight w:val="yellow"/>
              </w:rPr>
            </w:pPr>
            <w:r w:rsidRPr="00792B36">
              <w:rPr>
                <w:rFonts w:eastAsia="Times New Roman"/>
                <w:color w:val="000000" w:themeColor="text1"/>
                <w:sz w:val="24"/>
                <w:szCs w:val="24"/>
              </w:rPr>
              <w:t xml:space="preserve">The Samut Prakan coastal zone provides important environmental services that support coastal protection and urban resilience. The remaining mangrove forests along the lower Chao Phraya estuary help reduce wave energy, prevent shoreline erosion, and </w:t>
            </w:r>
            <w:r w:rsidRPr="00792B36">
              <w:rPr>
                <w:rFonts w:eastAsia="Times New Roman"/>
                <w:color w:val="000000" w:themeColor="text1"/>
                <w:sz w:val="24"/>
                <w:szCs w:val="24"/>
              </w:rPr>
              <w:lastRenderedPageBreak/>
              <w:t>stabilize sediments, while also improving water quality by filtering urban runoff and trapping pollutants. These functions are especially vital in a highly industrialized and urbanized setting. The total value of these combined environmental services is estimated at around US$3–4 million per year, underscoring the importance of conserving remaining mangrove areas to maintain coastal stability, water quality, and climate resilience.</w:t>
            </w:r>
          </w:p>
        </w:tc>
        <w:tc>
          <w:tcPr>
            <w:tcW w:w="1695" w:type="pct"/>
          </w:tcPr>
          <w:p w14:paraId="6294297B" w14:textId="77777777" w:rsidR="009A0A63" w:rsidRPr="00792B36" w:rsidRDefault="009A0A63" w:rsidP="00A24459">
            <w:pPr>
              <w:rPr>
                <w:rFonts w:eastAsia="Times New Roman"/>
                <w:color w:val="000000" w:themeColor="text1"/>
                <w:sz w:val="24"/>
                <w:szCs w:val="24"/>
                <w:highlight w:val="yellow"/>
              </w:rPr>
            </w:pPr>
            <w:r w:rsidRPr="00792B36">
              <w:rPr>
                <w:rFonts w:eastAsia="Times New Roman"/>
                <w:color w:val="000000" w:themeColor="text1"/>
                <w:sz w:val="24"/>
                <w:szCs w:val="24"/>
              </w:rPr>
              <w:lastRenderedPageBreak/>
              <w:t xml:space="preserve">The Samut Prakan coastal zone has undergone targeted mangrove restoration and replanting efforts initiated by the DMCR, local authorities, and private sector partners to mitigate coastal erosion and improve environmental quality. </w:t>
            </w:r>
            <w:r w:rsidRPr="00792B36">
              <w:rPr>
                <w:rFonts w:eastAsia="Times New Roman"/>
                <w:color w:val="000000" w:themeColor="text1"/>
                <w:sz w:val="24"/>
                <w:szCs w:val="24"/>
              </w:rPr>
              <w:lastRenderedPageBreak/>
              <w:t xml:space="preserve">Restoration activities have focused mainly on areas such as Bang Pu and Khlong Dan, covering about </w:t>
            </w:r>
            <w:r w:rsidRPr="00792B36">
              <w:rPr>
                <w:rFonts w:eastAsia="Times New Roman"/>
                <w:color w:val="000000" w:themeColor="text1"/>
                <w:sz w:val="24"/>
                <w:szCs w:val="24"/>
                <w:cs/>
              </w:rPr>
              <w:t xml:space="preserve">100–150 </w:t>
            </w:r>
            <w:r w:rsidRPr="00792B36">
              <w:rPr>
                <w:rFonts w:eastAsia="Times New Roman"/>
                <w:color w:val="000000" w:themeColor="text1"/>
                <w:sz w:val="24"/>
                <w:szCs w:val="24"/>
              </w:rPr>
              <w:t>hectares of degraded mangroves. With an average cost of US$</w:t>
            </w:r>
            <w:r w:rsidRPr="00792B36">
              <w:rPr>
                <w:rFonts w:eastAsia="Times New Roman"/>
                <w:color w:val="000000" w:themeColor="text1"/>
                <w:sz w:val="24"/>
                <w:szCs w:val="24"/>
                <w:cs/>
              </w:rPr>
              <w:t>1</w:t>
            </w:r>
            <w:r w:rsidRPr="00792B36">
              <w:rPr>
                <w:rFonts w:eastAsia="Times New Roman"/>
                <w:color w:val="000000" w:themeColor="text1"/>
                <w:sz w:val="24"/>
                <w:szCs w:val="24"/>
              </w:rPr>
              <w:t>,</w:t>
            </w:r>
            <w:r w:rsidRPr="00792B36">
              <w:rPr>
                <w:rFonts w:eastAsia="Times New Roman"/>
                <w:color w:val="000000" w:themeColor="text1"/>
                <w:sz w:val="24"/>
                <w:szCs w:val="24"/>
                <w:cs/>
              </w:rPr>
              <w:t>500–2</w:t>
            </w:r>
            <w:r w:rsidRPr="00792B36">
              <w:rPr>
                <w:rFonts w:eastAsia="Times New Roman"/>
                <w:color w:val="000000" w:themeColor="text1"/>
                <w:sz w:val="24"/>
                <w:szCs w:val="24"/>
              </w:rPr>
              <w:t>,</w:t>
            </w:r>
            <w:r w:rsidRPr="00792B36">
              <w:rPr>
                <w:rFonts w:eastAsia="Times New Roman"/>
                <w:color w:val="000000" w:themeColor="text1"/>
                <w:sz w:val="24"/>
                <w:szCs w:val="24"/>
                <w:cs/>
              </w:rPr>
              <w:t xml:space="preserve">500 </w:t>
            </w:r>
            <w:r w:rsidRPr="00792B36">
              <w:rPr>
                <w:rFonts w:eastAsia="Times New Roman"/>
                <w:color w:val="000000" w:themeColor="text1"/>
                <w:sz w:val="24"/>
                <w:szCs w:val="24"/>
              </w:rPr>
              <w:t>per hectare, the total investment value is estimated at US$</w:t>
            </w:r>
            <w:r w:rsidRPr="00792B36">
              <w:rPr>
                <w:rFonts w:eastAsia="Times New Roman"/>
                <w:color w:val="000000" w:themeColor="text1"/>
                <w:sz w:val="24"/>
                <w:szCs w:val="24"/>
                <w:cs/>
              </w:rPr>
              <w:t xml:space="preserve">0.15–0.35 </w:t>
            </w:r>
            <w:r w:rsidRPr="00792B36">
              <w:rPr>
                <w:rFonts w:eastAsia="Times New Roman"/>
                <w:color w:val="000000" w:themeColor="text1"/>
                <w:sz w:val="24"/>
                <w:szCs w:val="24"/>
              </w:rPr>
              <w:t>million. These initiatives have strengthened coastal protection, flood mitigation, and urban ecological resilience, serving as vital green buffers for Thailand’s rapidly developing coastal zone.</w:t>
            </w:r>
          </w:p>
        </w:tc>
      </w:tr>
      <w:tr w:rsidR="009A0A63" w:rsidRPr="00792B36" w14:paraId="4499AD9D" w14:textId="77777777" w:rsidTr="00A24459">
        <w:tc>
          <w:tcPr>
            <w:tcW w:w="1566" w:type="pct"/>
            <w:vAlign w:val="center"/>
          </w:tcPr>
          <w:p w14:paraId="7DB831F4" w14:textId="77777777" w:rsidR="009A0A63" w:rsidRPr="00792B36" w:rsidRDefault="009A0A63" w:rsidP="00A24459">
            <w:pPr>
              <w:rPr>
                <w:rFonts w:eastAsia="Times New Roman"/>
                <w:b/>
                <w:bCs/>
                <w:color w:val="000000" w:themeColor="text1"/>
                <w:sz w:val="24"/>
                <w:szCs w:val="24"/>
                <w:highlight w:val="yellow"/>
              </w:rPr>
            </w:pPr>
            <w:r w:rsidRPr="00792B36">
              <w:rPr>
                <w:rStyle w:val="Strong"/>
                <w:rFonts w:eastAsiaTheme="minorEastAsia"/>
                <w:color w:val="000000" w:themeColor="text1"/>
                <w:sz w:val="24"/>
                <w:szCs w:val="24"/>
              </w:rPr>
              <w:lastRenderedPageBreak/>
              <w:t>WL1: Don Hoi Lot</w:t>
            </w:r>
          </w:p>
        </w:tc>
        <w:tc>
          <w:tcPr>
            <w:tcW w:w="1739" w:type="pct"/>
          </w:tcPr>
          <w:p w14:paraId="1E6168B6" w14:textId="77777777" w:rsidR="009A0A63" w:rsidRPr="00792B36" w:rsidRDefault="009A0A63" w:rsidP="00A24459">
            <w:pPr>
              <w:rPr>
                <w:rFonts w:eastAsia="Times New Roman"/>
                <w:color w:val="000000" w:themeColor="text1"/>
                <w:sz w:val="24"/>
                <w:szCs w:val="24"/>
                <w:highlight w:val="yellow"/>
              </w:rPr>
            </w:pPr>
            <w:r w:rsidRPr="00792B36">
              <w:rPr>
                <w:rFonts w:eastAsia="Times New Roman"/>
                <w:color w:val="000000" w:themeColor="text1"/>
                <w:sz w:val="24"/>
                <w:szCs w:val="24"/>
              </w:rPr>
              <w:t>The Don Hoi Lot Wetland provides vital environmental services that help maintain the ecological stability of the Mae Klong River estuary. The area’s mangrove forests and extensive tidal flats serve as natural barriers, reducing wave energy, preventing erosion, and stabilizing sediments, while also improving water quality by filtering nutrients and trapping contaminants from river and coastal runoff. These combined ecosystem functions are valued at approximately US$4–5 million per year, highlighting the wetland’s crucial role in coastal protection, sediment retention, and sustaining environmental health in Thailand’s upper Gulf region.</w:t>
            </w:r>
          </w:p>
        </w:tc>
        <w:tc>
          <w:tcPr>
            <w:tcW w:w="1695" w:type="pct"/>
          </w:tcPr>
          <w:p w14:paraId="19FAC664" w14:textId="77777777" w:rsidR="009A0A63" w:rsidRPr="00792B36" w:rsidRDefault="009A0A63" w:rsidP="00A24459">
            <w:pPr>
              <w:rPr>
                <w:rFonts w:eastAsia="Times New Roman"/>
                <w:color w:val="000000" w:themeColor="text1"/>
                <w:sz w:val="24"/>
                <w:szCs w:val="24"/>
                <w:highlight w:val="yellow"/>
              </w:rPr>
            </w:pPr>
            <w:r w:rsidRPr="00792B36">
              <w:rPr>
                <w:rFonts w:eastAsia="Times New Roman"/>
                <w:color w:val="000000" w:themeColor="text1"/>
                <w:sz w:val="24"/>
                <w:szCs w:val="24"/>
              </w:rPr>
              <w:t xml:space="preserve">The Don Hoi Lot Wetland has benefited from continuous mangrove restoration and replanting projects led by the DMCR and local communities to preserve coastal ecosystems and protect tidal flats. Restoration efforts have covered about </w:t>
            </w:r>
            <w:r w:rsidRPr="00792B36">
              <w:rPr>
                <w:rFonts w:eastAsia="Times New Roman"/>
                <w:color w:val="000000" w:themeColor="text1"/>
                <w:sz w:val="24"/>
                <w:szCs w:val="24"/>
                <w:cs/>
              </w:rPr>
              <w:t xml:space="preserve">150–200 </w:t>
            </w:r>
            <w:r w:rsidRPr="00792B36">
              <w:rPr>
                <w:rFonts w:eastAsia="Times New Roman"/>
                <w:color w:val="000000" w:themeColor="text1"/>
                <w:sz w:val="24"/>
                <w:szCs w:val="24"/>
              </w:rPr>
              <w:t>hectares, with an average cost of US$</w:t>
            </w:r>
            <w:r w:rsidRPr="00792B36">
              <w:rPr>
                <w:rFonts w:eastAsia="Times New Roman"/>
                <w:color w:val="000000" w:themeColor="text1"/>
                <w:sz w:val="24"/>
                <w:szCs w:val="24"/>
                <w:cs/>
              </w:rPr>
              <w:t>1</w:t>
            </w:r>
            <w:r w:rsidRPr="00792B36">
              <w:rPr>
                <w:rFonts w:eastAsia="Times New Roman"/>
                <w:color w:val="000000" w:themeColor="text1"/>
                <w:sz w:val="24"/>
                <w:szCs w:val="24"/>
              </w:rPr>
              <w:t>,</w:t>
            </w:r>
            <w:r w:rsidRPr="00792B36">
              <w:rPr>
                <w:rFonts w:eastAsia="Times New Roman"/>
                <w:color w:val="000000" w:themeColor="text1"/>
                <w:sz w:val="24"/>
                <w:szCs w:val="24"/>
                <w:cs/>
              </w:rPr>
              <w:t>500–2</w:t>
            </w:r>
            <w:r w:rsidRPr="00792B36">
              <w:rPr>
                <w:rFonts w:eastAsia="Times New Roman"/>
                <w:color w:val="000000" w:themeColor="text1"/>
                <w:sz w:val="24"/>
                <w:szCs w:val="24"/>
              </w:rPr>
              <w:t>,</w:t>
            </w:r>
            <w:r w:rsidRPr="00792B36">
              <w:rPr>
                <w:rFonts w:eastAsia="Times New Roman"/>
                <w:color w:val="000000" w:themeColor="text1"/>
                <w:sz w:val="24"/>
                <w:szCs w:val="24"/>
                <w:cs/>
              </w:rPr>
              <w:t xml:space="preserve">500 </w:t>
            </w:r>
            <w:r w:rsidRPr="00792B36">
              <w:rPr>
                <w:rFonts w:eastAsia="Times New Roman"/>
                <w:color w:val="000000" w:themeColor="text1"/>
                <w:sz w:val="24"/>
                <w:szCs w:val="24"/>
              </w:rPr>
              <w:t>per hectare, giving a total investment value of around US$</w:t>
            </w:r>
            <w:r w:rsidRPr="00792B36">
              <w:rPr>
                <w:rFonts w:eastAsia="Times New Roman"/>
                <w:color w:val="000000" w:themeColor="text1"/>
                <w:sz w:val="24"/>
                <w:szCs w:val="24"/>
                <w:cs/>
              </w:rPr>
              <w:t xml:space="preserve">0.2–0.5 </w:t>
            </w:r>
            <w:r w:rsidRPr="00792B36">
              <w:rPr>
                <w:rFonts w:eastAsia="Times New Roman"/>
                <w:color w:val="000000" w:themeColor="text1"/>
                <w:sz w:val="24"/>
                <w:szCs w:val="24"/>
              </w:rPr>
              <w:t>million. These initiatives enhance coastal protection, sediment stabilization, and biodiversity conservation, supporting the long-term sustainability of this Ramsar-designated wetland.</w:t>
            </w:r>
          </w:p>
        </w:tc>
      </w:tr>
    </w:tbl>
    <w:p w14:paraId="56A63E38" w14:textId="77777777" w:rsidR="009A0A63" w:rsidRPr="00792B36" w:rsidRDefault="009A0A63" w:rsidP="009A0A63">
      <w:pPr>
        <w:ind w:firstLine="1134"/>
        <w:rPr>
          <w:rFonts w:eastAsia="Times New Roman"/>
          <w:b/>
          <w:bCs/>
          <w:color w:val="000000" w:themeColor="text1"/>
          <w:sz w:val="24"/>
          <w:szCs w:val="24"/>
          <w:highlight w:val="yellow"/>
        </w:rPr>
      </w:pPr>
    </w:p>
    <w:p w14:paraId="42ADD08C" w14:textId="77777777" w:rsidR="009A0A63" w:rsidRPr="00792B36" w:rsidRDefault="009A0A63" w:rsidP="009A0A63">
      <w:pPr>
        <w:ind w:firstLine="1134"/>
        <w:rPr>
          <w:rFonts w:eastAsia="Times New Roman"/>
          <w:b/>
          <w:bCs/>
          <w:color w:val="000000" w:themeColor="text1"/>
          <w:sz w:val="24"/>
          <w:szCs w:val="24"/>
          <w:highlight w:val="yellow"/>
        </w:rPr>
      </w:pPr>
    </w:p>
    <w:p w14:paraId="21265B69" w14:textId="77777777" w:rsidR="009A0A63" w:rsidRPr="00792B36" w:rsidRDefault="009A0A63" w:rsidP="009A0A63">
      <w:pPr>
        <w:ind w:firstLine="1134"/>
        <w:rPr>
          <w:rFonts w:eastAsia="Times New Roman"/>
          <w:b/>
          <w:bCs/>
          <w:color w:val="000000" w:themeColor="text1"/>
          <w:sz w:val="24"/>
          <w:szCs w:val="24"/>
          <w:highlight w:val="yellow"/>
        </w:rPr>
      </w:pPr>
    </w:p>
    <w:p w14:paraId="578D88BC" w14:textId="77777777" w:rsidR="009A0A63" w:rsidRPr="00792B36" w:rsidRDefault="009A0A63" w:rsidP="009A0A63">
      <w:pPr>
        <w:ind w:firstLine="1134"/>
        <w:rPr>
          <w:rFonts w:eastAsia="Times New Roman"/>
          <w:b/>
          <w:bCs/>
          <w:i/>
          <w:iCs/>
          <w:color w:val="000000" w:themeColor="text1"/>
          <w:sz w:val="24"/>
          <w:szCs w:val="24"/>
          <w:highlight w:val="yellow"/>
        </w:rPr>
      </w:pPr>
      <w:r w:rsidRPr="00792B36">
        <w:rPr>
          <w:rFonts w:eastAsia="Times New Roman"/>
          <w:b/>
          <w:bCs/>
          <w:i/>
          <w:iCs/>
          <w:color w:val="000000" w:themeColor="text1"/>
          <w:sz w:val="24"/>
          <w:szCs w:val="24"/>
        </w:rPr>
        <w:lastRenderedPageBreak/>
        <w:t>Potential Sustainable Use Values and Total Economic Values of Coastal and Estuarine Ecosystems</w:t>
      </w:r>
    </w:p>
    <w:p w14:paraId="6BC379F9" w14:textId="77777777" w:rsidR="009A0A63" w:rsidRPr="00792B36" w:rsidRDefault="009A0A63" w:rsidP="009A0A63">
      <w:pPr>
        <w:ind w:firstLine="1134"/>
        <w:rPr>
          <w:rFonts w:eastAsia="Times New Roman"/>
          <w:color w:val="000000" w:themeColor="text1"/>
          <w:sz w:val="24"/>
          <w:szCs w:val="24"/>
        </w:rPr>
      </w:pPr>
      <w:r w:rsidRPr="00792B36">
        <w:rPr>
          <w:rFonts w:eastAsia="Times New Roman"/>
          <w:color w:val="000000" w:themeColor="text1"/>
          <w:sz w:val="24"/>
          <w:szCs w:val="24"/>
        </w:rPr>
        <w:t>This review presents a summary of the potential sustainable use values and total economic values (TEV) of five coastal and estuarine areas—Welu River Estuary, Bandon Bay, Pak Panang Bay, Samut Prakan Province, and Don Hoi Lot. These areas show high potential for eco-friendly aquaculture, community-based ecotourism, and blue carbon initiatives, generating income while conserving ecosystems. The Total Economic Value reflects the combined benefits from all ecosystem services, emphasizing their importance in supporting local livelihoods, climate resilience, and Thailand’s blue economy. The table 13 summarizes each area’s sustainable use potential and overall economic value.</w:t>
      </w:r>
    </w:p>
    <w:p w14:paraId="452B31F4" w14:textId="77777777" w:rsidR="009A0A63" w:rsidRPr="00792B36" w:rsidRDefault="009A0A63" w:rsidP="009A0A63">
      <w:pPr>
        <w:ind w:firstLine="1134"/>
        <w:rPr>
          <w:rFonts w:eastAsia="Times New Roman"/>
          <w:b/>
          <w:bCs/>
          <w:color w:val="000000" w:themeColor="text1"/>
          <w:sz w:val="24"/>
          <w:szCs w:val="24"/>
          <w:cs/>
        </w:rPr>
      </w:pPr>
    </w:p>
    <w:p w14:paraId="25283815" w14:textId="77777777" w:rsidR="009A0A63" w:rsidRPr="00792B36" w:rsidRDefault="009A0A63" w:rsidP="009A0A63">
      <w:pPr>
        <w:ind w:firstLine="1134"/>
        <w:rPr>
          <w:rFonts w:eastAsia="Times New Roman"/>
          <w:b/>
          <w:bCs/>
          <w:color w:val="000000" w:themeColor="text1"/>
          <w:sz w:val="24"/>
          <w:szCs w:val="24"/>
        </w:rPr>
      </w:pPr>
    </w:p>
    <w:p w14:paraId="12FC3A53" w14:textId="77777777" w:rsidR="009A0A63" w:rsidRPr="00792B36" w:rsidRDefault="009A0A63" w:rsidP="009A0A63">
      <w:pPr>
        <w:rPr>
          <w:rFonts w:eastAsia="Times New Roman"/>
          <w:b/>
          <w:bCs/>
          <w:color w:val="000000" w:themeColor="text1"/>
          <w:sz w:val="24"/>
          <w:szCs w:val="24"/>
        </w:rPr>
      </w:pPr>
      <w:r w:rsidRPr="00792B36">
        <w:rPr>
          <w:b/>
          <w:bCs/>
          <w:color w:val="000000" w:themeColor="text1"/>
          <w:sz w:val="24"/>
          <w:szCs w:val="24"/>
        </w:rPr>
        <w:t>Table 13</w:t>
      </w:r>
      <w:r w:rsidRPr="00792B36">
        <w:rPr>
          <w:b/>
          <w:bCs/>
          <w:color w:val="000000" w:themeColor="text1"/>
          <w:sz w:val="24"/>
          <w:szCs w:val="24"/>
          <w:cs/>
        </w:rPr>
        <w:t>.</w:t>
      </w:r>
      <w:r w:rsidRPr="00792B36">
        <w:rPr>
          <w:rFonts w:eastAsia="Times New Roman"/>
          <w:b/>
          <w:bCs/>
          <w:color w:val="000000" w:themeColor="text1"/>
          <w:sz w:val="24"/>
          <w:szCs w:val="24"/>
        </w:rPr>
        <w:t xml:space="preserve"> Potential Sustainable Use Values and Total Economic Values of Coastal and Estuarine Ecosystems</w:t>
      </w:r>
    </w:p>
    <w:tbl>
      <w:tblPr>
        <w:tblStyle w:val="TableGrid"/>
        <w:tblW w:w="5000" w:type="pct"/>
        <w:tblLook w:val="04A0" w:firstRow="1" w:lastRow="0" w:firstColumn="1" w:lastColumn="0" w:noHBand="0" w:noVBand="1"/>
      </w:tblPr>
      <w:tblGrid>
        <w:gridCol w:w="4056"/>
        <w:gridCol w:w="4504"/>
        <w:gridCol w:w="4390"/>
      </w:tblGrid>
      <w:tr w:rsidR="009A0A63" w:rsidRPr="00792B36" w14:paraId="2961647F" w14:textId="77777777" w:rsidTr="00A24459">
        <w:tc>
          <w:tcPr>
            <w:tcW w:w="1566" w:type="pct"/>
          </w:tcPr>
          <w:p w14:paraId="71563A92" w14:textId="77777777" w:rsidR="009A0A63" w:rsidRPr="00792B36" w:rsidRDefault="009A0A63" w:rsidP="00A24459">
            <w:pPr>
              <w:jc w:val="center"/>
              <w:rPr>
                <w:rFonts w:eastAsia="Times New Roman"/>
                <w:b/>
                <w:bCs/>
                <w:color w:val="000000" w:themeColor="text1"/>
                <w:sz w:val="24"/>
                <w:szCs w:val="24"/>
                <w:highlight w:val="yellow"/>
              </w:rPr>
            </w:pPr>
            <w:r w:rsidRPr="00792B36">
              <w:rPr>
                <w:rFonts w:eastAsia="Times New Roman"/>
                <w:b/>
                <w:bCs/>
                <w:color w:val="000000" w:themeColor="text1"/>
                <w:sz w:val="24"/>
                <w:szCs w:val="24"/>
              </w:rPr>
              <w:t>Name of area</w:t>
            </w:r>
          </w:p>
        </w:tc>
        <w:tc>
          <w:tcPr>
            <w:tcW w:w="1739" w:type="pct"/>
          </w:tcPr>
          <w:p w14:paraId="1411EAA1" w14:textId="77777777" w:rsidR="009A0A63" w:rsidRPr="00792B36" w:rsidRDefault="009A0A63" w:rsidP="00A24459">
            <w:pPr>
              <w:jc w:val="center"/>
              <w:rPr>
                <w:rFonts w:eastAsia="Times New Roman"/>
                <w:b/>
                <w:bCs/>
                <w:color w:val="000000" w:themeColor="text1"/>
                <w:sz w:val="24"/>
                <w:szCs w:val="24"/>
              </w:rPr>
            </w:pPr>
            <w:r w:rsidRPr="00792B36">
              <w:rPr>
                <w:rFonts w:eastAsia="Times New Roman"/>
                <w:b/>
                <w:bCs/>
                <w:color w:val="000000" w:themeColor="text1"/>
                <w:sz w:val="24"/>
                <w:szCs w:val="24"/>
              </w:rPr>
              <w:t xml:space="preserve">Values of potential </w:t>
            </w:r>
          </w:p>
          <w:p w14:paraId="0E62D212" w14:textId="77777777" w:rsidR="009A0A63" w:rsidRPr="00792B36" w:rsidRDefault="009A0A63" w:rsidP="00A24459">
            <w:pPr>
              <w:jc w:val="center"/>
              <w:rPr>
                <w:rFonts w:eastAsia="Times New Roman"/>
                <w:b/>
                <w:bCs/>
                <w:color w:val="000000" w:themeColor="text1"/>
                <w:sz w:val="24"/>
                <w:szCs w:val="24"/>
                <w:highlight w:val="yellow"/>
              </w:rPr>
            </w:pPr>
            <w:r w:rsidRPr="00792B36">
              <w:rPr>
                <w:rFonts w:eastAsia="Times New Roman"/>
                <w:b/>
                <w:bCs/>
                <w:color w:val="000000" w:themeColor="text1"/>
                <w:sz w:val="24"/>
                <w:szCs w:val="24"/>
              </w:rPr>
              <w:t>(commercial) sustainable use</w:t>
            </w:r>
          </w:p>
        </w:tc>
        <w:tc>
          <w:tcPr>
            <w:tcW w:w="1695" w:type="pct"/>
          </w:tcPr>
          <w:p w14:paraId="0021BD22" w14:textId="77777777" w:rsidR="009A0A63" w:rsidRPr="00792B36" w:rsidRDefault="009A0A63" w:rsidP="00A24459">
            <w:pPr>
              <w:jc w:val="center"/>
              <w:rPr>
                <w:rFonts w:eastAsia="Times New Roman"/>
                <w:b/>
                <w:color w:val="000000" w:themeColor="text1"/>
                <w:sz w:val="24"/>
                <w:szCs w:val="24"/>
                <w:highlight w:val="yellow"/>
              </w:rPr>
            </w:pPr>
            <w:r w:rsidRPr="00792B36">
              <w:rPr>
                <w:rFonts w:eastAsia="Times New Roman"/>
                <w:b/>
                <w:color w:val="000000" w:themeColor="text1"/>
                <w:sz w:val="24"/>
                <w:szCs w:val="24"/>
              </w:rPr>
              <w:t>Total Economic Value</w:t>
            </w:r>
          </w:p>
        </w:tc>
      </w:tr>
      <w:tr w:rsidR="009A0A63" w:rsidRPr="00792B36" w14:paraId="133E0058" w14:textId="77777777" w:rsidTr="00A24459">
        <w:tc>
          <w:tcPr>
            <w:tcW w:w="1566" w:type="pct"/>
            <w:vAlign w:val="center"/>
          </w:tcPr>
          <w:p w14:paraId="185916E2" w14:textId="77777777" w:rsidR="009A0A63" w:rsidRPr="00792B36" w:rsidRDefault="009A0A63" w:rsidP="00A24459">
            <w:pPr>
              <w:rPr>
                <w:rFonts w:eastAsia="Times New Roman"/>
                <w:b/>
                <w:bCs/>
                <w:color w:val="000000" w:themeColor="text1"/>
                <w:sz w:val="24"/>
                <w:szCs w:val="24"/>
                <w:highlight w:val="yellow"/>
              </w:rPr>
            </w:pPr>
            <w:r w:rsidRPr="00792B36">
              <w:rPr>
                <w:rStyle w:val="Strong"/>
                <w:rFonts w:eastAsiaTheme="minorEastAsia"/>
                <w:color w:val="000000" w:themeColor="text1"/>
                <w:sz w:val="24"/>
                <w:szCs w:val="24"/>
              </w:rPr>
              <w:t>MG1: Welu River Estuary</w:t>
            </w:r>
            <w:r w:rsidRPr="00792B36">
              <w:rPr>
                <w:b/>
                <w:bCs/>
                <w:color w:val="000000" w:themeColor="text1"/>
                <w:sz w:val="24"/>
                <w:szCs w:val="24"/>
              </w:rPr>
              <w:br/>
            </w:r>
          </w:p>
        </w:tc>
        <w:tc>
          <w:tcPr>
            <w:tcW w:w="1739" w:type="pct"/>
          </w:tcPr>
          <w:p w14:paraId="2CCFAD8D" w14:textId="77777777" w:rsidR="009A0A63" w:rsidRPr="00792B36" w:rsidRDefault="009A0A63" w:rsidP="00A24459">
            <w:pPr>
              <w:rPr>
                <w:rFonts w:eastAsia="Times New Roman"/>
                <w:color w:val="000000" w:themeColor="text1"/>
                <w:sz w:val="24"/>
                <w:szCs w:val="24"/>
                <w:highlight w:val="yellow"/>
              </w:rPr>
            </w:pPr>
            <w:r w:rsidRPr="00792B36">
              <w:rPr>
                <w:rFonts w:eastAsia="Times New Roman"/>
                <w:color w:val="000000" w:themeColor="text1"/>
                <w:sz w:val="24"/>
                <w:szCs w:val="24"/>
              </w:rPr>
              <w:t>The Welu River Estuary has strong potential for sustainable commercial use, particularly in eco-friendly aquaculture, community-based ecotourism, and blue carbon projects. These opportunities can generate income while conserving natural resources. The estimated potential value is around US$</w:t>
            </w:r>
            <w:r w:rsidRPr="00792B36">
              <w:rPr>
                <w:rFonts w:eastAsia="Times New Roman"/>
                <w:color w:val="000000" w:themeColor="text1"/>
                <w:sz w:val="24"/>
                <w:szCs w:val="24"/>
                <w:cs/>
              </w:rPr>
              <w:t xml:space="preserve">2–3 </w:t>
            </w:r>
            <w:r w:rsidRPr="00792B36">
              <w:rPr>
                <w:rFonts w:eastAsia="Times New Roman"/>
                <w:color w:val="000000" w:themeColor="text1"/>
                <w:sz w:val="24"/>
                <w:szCs w:val="24"/>
              </w:rPr>
              <w:t>million per year, reflecting the estuary’s capacity to support low-impact economic growth and climate-resilient livelihoods.</w:t>
            </w:r>
          </w:p>
        </w:tc>
        <w:tc>
          <w:tcPr>
            <w:tcW w:w="1695" w:type="pct"/>
          </w:tcPr>
          <w:p w14:paraId="3641BEB5" w14:textId="77777777" w:rsidR="009A0A63" w:rsidRPr="00792B36" w:rsidRDefault="009A0A63" w:rsidP="00A24459">
            <w:pPr>
              <w:jc w:val="center"/>
              <w:rPr>
                <w:rFonts w:eastAsia="Times New Roman"/>
                <w:color w:val="000000" w:themeColor="text1"/>
                <w:sz w:val="24"/>
                <w:szCs w:val="24"/>
                <w:highlight w:val="yellow"/>
              </w:rPr>
            </w:pPr>
            <w:r w:rsidRPr="00792B36">
              <w:rPr>
                <w:rFonts w:eastAsia="Times New Roman"/>
                <w:color w:val="000000" w:themeColor="text1"/>
                <w:sz w:val="24"/>
                <w:szCs w:val="24"/>
                <w:cs/>
              </w:rPr>
              <w:t xml:space="preserve">≈ </w:t>
            </w:r>
            <w:r w:rsidRPr="00792B36">
              <w:rPr>
                <w:rFonts w:eastAsia="Times New Roman"/>
                <w:color w:val="000000" w:themeColor="text1"/>
                <w:sz w:val="24"/>
                <w:szCs w:val="24"/>
              </w:rPr>
              <w:t>US$</w:t>
            </w:r>
            <w:r w:rsidRPr="00792B36">
              <w:rPr>
                <w:rFonts w:eastAsia="Times New Roman"/>
                <w:color w:val="000000" w:themeColor="text1"/>
                <w:sz w:val="24"/>
                <w:szCs w:val="24"/>
                <w:cs/>
              </w:rPr>
              <w:t xml:space="preserve">35–45 </w:t>
            </w:r>
            <w:r w:rsidRPr="00792B36">
              <w:rPr>
                <w:rFonts w:eastAsia="Times New Roman"/>
                <w:color w:val="000000" w:themeColor="text1"/>
                <w:sz w:val="24"/>
                <w:szCs w:val="24"/>
              </w:rPr>
              <w:t xml:space="preserve">million per year (approximately THB </w:t>
            </w:r>
            <w:r w:rsidRPr="00792B36">
              <w:rPr>
                <w:rFonts w:eastAsia="Times New Roman"/>
                <w:color w:val="000000" w:themeColor="text1"/>
                <w:sz w:val="24"/>
                <w:szCs w:val="24"/>
                <w:cs/>
              </w:rPr>
              <w:t xml:space="preserve">1.25–1.6 </w:t>
            </w:r>
            <w:r w:rsidRPr="00792B36">
              <w:rPr>
                <w:rFonts w:eastAsia="Times New Roman"/>
                <w:color w:val="000000" w:themeColor="text1"/>
                <w:sz w:val="24"/>
                <w:szCs w:val="24"/>
              </w:rPr>
              <w:t>billion per year)</w:t>
            </w:r>
          </w:p>
        </w:tc>
      </w:tr>
      <w:tr w:rsidR="009A0A63" w:rsidRPr="00792B36" w14:paraId="09108B7C" w14:textId="77777777" w:rsidTr="00A24459">
        <w:tc>
          <w:tcPr>
            <w:tcW w:w="1566" w:type="pct"/>
            <w:vAlign w:val="center"/>
          </w:tcPr>
          <w:p w14:paraId="4C9FFA99" w14:textId="77777777" w:rsidR="009A0A63" w:rsidRPr="00792B36" w:rsidRDefault="009A0A63" w:rsidP="00A24459">
            <w:pPr>
              <w:rPr>
                <w:rFonts w:eastAsia="Times New Roman"/>
                <w:b/>
                <w:bCs/>
                <w:color w:val="000000" w:themeColor="text1"/>
                <w:sz w:val="24"/>
                <w:szCs w:val="24"/>
                <w:highlight w:val="yellow"/>
              </w:rPr>
            </w:pPr>
            <w:r w:rsidRPr="00792B36">
              <w:rPr>
                <w:rStyle w:val="Strong"/>
                <w:rFonts w:eastAsiaTheme="minorEastAsia"/>
                <w:color w:val="000000" w:themeColor="text1"/>
                <w:sz w:val="24"/>
                <w:szCs w:val="24"/>
              </w:rPr>
              <w:t>MG2: Bandon Bay</w:t>
            </w:r>
            <w:r w:rsidRPr="00792B36">
              <w:rPr>
                <w:b/>
                <w:bCs/>
                <w:color w:val="000000" w:themeColor="text1"/>
                <w:sz w:val="24"/>
                <w:szCs w:val="24"/>
              </w:rPr>
              <w:br/>
            </w:r>
          </w:p>
        </w:tc>
        <w:tc>
          <w:tcPr>
            <w:tcW w:w="1739" w:type="pct"/>
          </w:tcPr>
          <w:p w14:paraId="305D9620" w14:textId="77777777" w:rsidR="009A0A63" w:rsidRPr="00792B36" w:rsidRDefault="009A0A63" w:rsidP="00A24459">
            <w:pPr>
              <w:rPr>
                <w:rFonts w:eastAsia="Times New Roman"/>
                <w:color w:val="000000" w:themeColor="text1"/>
                <w:sz w:val="24"/>
                <w:szCs w:val="24"/>
                <w:highlight w:val="yellow"/>
              </w:rPr>
            </w:pPr>
            <w:r w:rsidRPr="00792B36">
              <w:rPr>
                <w:rFonts w:eastAsia="Times New Roman"/>
                <w:color w:val="000000" w:themeColor="text1"/>
                <w:sz w:val="24"/>
                <w:szCs w:val="24"/>
              </w:rPr>
              <w:t xml:space="preserve">The Bandon Bay area shows strong potential for sustainable commercial use that supports both economic growth and ecosystem conservation. Opportunities include eco-friendly aquaculture such as mangrove-integrated shrimp and oyster farming, which can enhance productivity while minimizing environmental impacts. The bay also has potential for </w:t>
            </w:r>
            <w:r w:rsidRPr="00792B36">
              <w:rPr>
                <w:rFonts w:eastAsia="Times New Roman"/>
                <w:color w:val="000000" w:themeColor="text1"/>
                <w:sz w:val="24"/>
                <w:szCs w:val="24"/>
              </w:rPr>
              <w:lastRenderedPageBreak/>
              <w:t>ecotourism development, focusing on mangrove trails, oyster farming experiences, and community-based coastal tours. In addition, its extensive mangrove forests could generate income through blue carbon credit projects. The estimated potential value is around US$</w:t>
            </w:r>
            <w:r w:rsidRPr="00792B36">
              <w:rPr>
                <w:rFonts w:eastAsia="Times New Roman"/>
                <w:color w:val="000000" w:themeColor="text1"/>
                <w:sz w:val="24"/>
                <w:szCs w:val="24"/>
                <w:cs/>
              </w:rPr>
              <w:t xml:space="preserve">3–4 </w:t>
            </w:r>
            <w:r w:rsidRPr="00792B36">
              <w:rPr>
                <w:rFonts w:eastAsia="Times New Roman"/>
                <w:color w:val="000000" w:themeColor="text1"/>
                <w:sz w:val="24"/>
                <w:szCs w:val="24"/>
              </w:rPr>
              <w:t>million per year, highlighting Bandon Bay’s capacity to promote sustainable livelihoods and blue economy initiatives in southern Thailand.</w:t>
            </w:r>
          </w:p>
        </w:tc>
        <w:tc>
          <w:tcPr>
            <w:tcW w:w="1695" w:type="pct"/>
          </w:tcPr>
          <w:p w14:paraId="11551B9A" w14:textId="77777777" w:rsidR="009A0A63" w:rsidRPr="00792B36" w:rsidRDefault="009A0A63" w:rsidP="00A24459">
            <w:pPr>
              <w:rPr>
                <w:rFonts w:eastAsia="Times New Roman"/>
                <w:color w:val="000000" w:themeColor="text1"/>
                <w:sz w:val="24"/>
                <w:szCs w:val="24"/>
                <w:highlight w:val="yellow"/>
              </w:rPr>
            </w:pPr>
            <w:r w:rsidRPr="00792B36">
              <w:rPr>
                <w:rFonts w:eastAsia="Times New Roman"/>
                <w:color w:val="000000" w:themeColor="text1"/>
                <w:sz w:val="24"/>
                <w:szCs w:val="24"/>
              </w:rPr>
              <w:lastRenderedPageBreak/>
              <w:t>US$40–50 million per year (approximately THB 1.4–1.8 billion per year)</w:t>
            </w:r>
          </w:p>
        </w:tc>
      </w:tr>
      <w:tr w:rsidR="009A0A63" w:rsidRPr="00792B36" w14:paraId="0F29BD00" w14:textId="77777777" w:rsidTr="00A24459">
        <w:tc>
          <w:tcPr>
            <w:tcW w:w="1566" w:type="pct"/>
            <w:vAlign w:val="center"/>
          </w:tcPr>
          <w:p w14:paraId="5AC3D1C9" w14:textId="77777777" w:rsidR="009A0A63" w:rsidRPr="00792B36" w:rsidRDefault="009A0A63" w:rsidP="00A24459">
            <w:pPr>
              <w:rPr>
                <w:rFonts w:eastAsia="Times New Roman"/>
                <w:b/>
                <w:bCs/>
                <w:color w:val="000000" w:themeColor="text1"/>
                <w:sz w:val="24"/>
                <w:szCs w:val="24"/>
                <w:highlight w:val="yellow"/>
              </w:rPr>
            </w:pPr>
            <w:r w:rsidRPr="00792B36">
              <w:rPr>
                <w:rStyle w:val="Strong"/>
                <w:rFonts w:eastAsiaTheme="minorEastAsia"/>
                <w:color w:val="000000" w:themeColor="text1"/>
                <w:sz w:val="24"/>
                <w:szCs w:val="24"/>
              </w:rPr>
              <w:t>MG3: Pak Panang Bay</w:t>
            </w:r>
            <w:r w:rsidRPr="00792B36">
              <w:rPr>
                <w:b/>
                <w:bCs/>
                <w:color w:val="000000" w:themeColor="text1"/>
                <w:sz w:val="24"/>
                <w:szCs w:val="24"/>
              </w:rPr>
              <w:br/>
            </w:r>
          </w:p>
        </w:tc>
        <w:tc>
          <w:tcPr>
            <w:tcW w:w="1739" w:type="pct"/>
          </w:tcPr>
          <w:p w14:paraId="2553FFA3" w14:textId="77777777" w:rsidR="009A0A63" w:rsidRPr="00792B36" w:rsidRDefault="009A0A63" w:rsidP="00A24459">
            <w:pPr>
              <w:rPr>
                <w:rFonts w:eastAsia="Times New Roman"/>
                <w:color w:val="000000" w:themeColor="text1"/>
                <w:sz w:val="24"/>
                <w:szCs w:val="24"/>
                <w:highlight w:val="yellow"/>
              </w:rPr>
            </w:pPr>
            <w:r w:rsidRPr="00792B36">
              <w:rPr>
                <w:rFonts w:eastAsia="Times New Roman"/>
                <w:color w:val="000000" w:themeColor="text1"/>
                <w:sz w:val="24"/>
                <w:szCs w:val="24"/>
              </w:rPr>
              <w:t>The Pak Panang Bay area has high potential for sustainable commercial use, particularly in mangrove-friendly aquaculture, ecotourism, and blue carbon initiatives. Integrated aquaculture systems and eco-based tourism focusing on the delta’s mangrove and wetland landscapes can generate income while preserving environmental integrity. Additionally, the bay’s extensive mangrove forests offer opportunities for participation in carbon credit projects. The estimated potential value is around US$</w:t>
            </w:r>
            <w:r w:rsidRPr="00792B36">
              <w:rPr>
                <w:rFonts w:eastAsia="Times New Roman"/>
                <w:color w:val="000000" w:themeColor="text1"/>
                <w:sz w:val="24"/>
                <w:szCs w:val="24"/>
                <w:cs/>
              </w:rPr>
              <w:t xml:space="preserve">2.5–3.5 </w:t>
            </w:r>
            <w:r w:rsidRPr="00792B36">
              <w:rPr>
                <w:rFonts w:eastAsia="Times New Roman"/>
                <w:color w:val="000000" w:themeColor="text1"/>
                <w:sz w:val="24"/>
                <w:szCs w:val="24"/>
              </w:rPr>
              <w:t>million per year, highlighting its role in promoting sustainable livelihoods and nature-based economic development in the lower Gulf of Thailand.</w:t>
            </w:r>
          </w:p>
        </w:tc>
        <w:tc>
          <w:tcPr>
            <w:tcW w:w="1695" w:type="pct"/>
          </w:tcPr>
          <w:p w14:paraId="2282CE1C" w14:textId="77777777" w:rsidR="009A0A63" w:rsidRPr="00792B36" w:rsidRDefault="009A0A63" w:rsidP="00A24459">
            <w:pPr>
              <w:rPr>
                <w:rFonts w:eastAsia="Times New Roman"/>
                <w:color w:val="000000" w:themeColor="text1"/>
                <w:sz w:val="24"/>
                <w:szCs w:val="24"/>
                <w:highlight w:val="yellow"/>
              </w:rPr>
            </w:pPr>
            <w:r w:rsidRPr="00792B36">
              <w:rPr>
                <w:rFonts w:eastAsia="Times New Roman"/>
                <w:color w:val="000000" w:themeColor="text1"/>
                <w:sz w:val="24"/>
                <w:szCs w:val="24"/>
              </w:rPr>
              <w:t>≈ US$40–50 million per year (approximately THB 1.4–1.8 billion per year)</w:t>
            </w:r>
          </w:p>
        </w:tc>
      </w:tr>
      <w:tr w:rsidR="009A0A63" w:rsidRPr="00792B36" w14:paraId="1AF56FDE" w14:textId="77777777" w:rsidTr="00A24459">
        <w:tc>
          <w:tcPr>
            <w:tcW w:w="1566" w:type="pct"/>
            <w:vAlign w:val="center"/>
          </w:tcPr>
          <w:p w14:paraId="4F445EA6" w14:textId="77777777" w:rsidR="009A0A63" w:rsidRPr="00792B36" w:rsidRDefault="009A0A63" w:rsidP="00A24459">
            <w:pPr>
              <w:rPr>
                <w:rFonts w:eastAsia="Times New Roman"/>
                <w:b/>
                <w:bCs/>
                <w:color w:val="000000" w:themeColor="text1"/>
                <w:sz w:val="24"/>
                <w:szCs w:val="24"/>
                <w:highlight w:val="yellow"/>
              </w:rPr>
            </w:pPr>
            <w:r w:rsidRPr="00792B36">
              <w:rPr>
                <w:rStyle w:val="Strong"/>
                <w:rFonts w:eastAsiaTheme="minorEastAsia"/>
                <w:color w:val="000000" w:themeColor="text1"/>
                <w:sz w:val="24"/>
                <w:szCs w:val="24"/>
              </w:rPr>
              <w:t>MG: Samut Prakan Province</w:t>
            </w:r>
          </w:p>
        </w:tc>
        <w:tc>
          <w:tcPr>
            <w:tcW w:w="1739" w:type="pct"/>
          </w:tcPr>
          <w:p w14:paraId="0CEFE23F" w14:textId="77777777" w:rsidR="009A0A63" w:rsidRPr="00792B36" w:rsidRDefault="009A0A63" w:rsidP="00A24459">
            <w:pPr>
              <w:rPr>
                <w:rFonts w:eastAsia="Times New Roman"/>
                <w:color w:val="000000" w:themeColor="text1"/>
                <w:sz w:val="24"/>
                <w:szCs w:val="24"/>
                <w:highlight w:val="yellow"/>
              </w:rPr>
            </w:pPr>
            <w:r w:rsidRPr="00792B36">
              <w:rPr>
                <w:rFonts w:eastAsia="Times New Roman"/>
                <w:color w:val="000000" w:themeColor="text1"/>
                <w:sz w:val="24"/>
                <w:szCs w:val="24"/>
              </w:rPr>
              <w:t xml:space="preserve">The Samut Prakan coastal zone has potential for sustainable commercial use that integrates economic activities with </w:t>
            </w:r>
            <w:r w:rsidRPr="00792B36">
              <w:rPr>
                <w:rFonts w:eastAsia="Times New Roman"/>
                <w:color w:val="000000" w:themeColor="text1"/>
                <w:sz w:val="24"/>
                <w:szCs w:val="24"/>
              </w:rPr>
              <w:lastRenderedPageBreak/>
              <w:t>environmental restoration. Opportunities include eco-industrial tourism, mangrove-based education and recreation programs in areas like Bang Pu, and community-led blue carbon initiatives that utilize remaining mangrove forests for carbon credit generation. Sustainable aquaculture and green business models can also enhance local income while reducing environmental impacts. The estimated potential value is around US$</w:t>
            </w:r>
            <w:r w:rsidRPr="00792B36">
              <w:rPr>
                <w:rFonts w:eastAsia="Times New Roman"/>
                <w:color w:val="000000" w:themeColor="text1"/>
                <w:sz w:val="24"/>
                <w:szCs w:val="24"/>
                <w:cs/>
              </w:rPr>
              <w:t xml:space="preserve">2–3 </w:t>
            </w:r>
            <w:r w:rsidRPr="00792B36">
              <w:rPr>
                <w:rFonts w:eastAsia="Times New Roman"/>
                <w:color w:val="000000" w:themeColor="text1"/>
                <w:sz w:val="24"/>
                <w:szCs w:val="24"/>
              </w:rPr>
              <w:t>million per year, reflecting the province’s capacity to promote low-carbon urban development and coastal ecosystem rehabilitation alongside economic growth.</w:t>
            </w:r>
          </w:p>
        </w:tc>
        <w:tc>
          <w:tcPr>
            <w:tcW w:w="1695" w:type="pct"/>
          </w:tcPr>
          <w:p w14:paraId="69C7397D" w14:textId="77777777" w:rsidR="009A0A63" w:rsidRPr="00792B36" w:rsidRDefault="009A0A63" w:rsidP="00A24459">
            <w:pPr>
              <w:rPr>
                <w:rFonts w:eastAsia="Times New Roman"/>
                <w:color w:val="000000" w:themeColor="text1"/>
                <w:sz w:val="24"/>
                <w:szCs w:val="24"/>
                <w:highlight w:val="yellow"/>
              </w:rPr>
            </w:pPr>
            <w:r w:rsidRPr="00792B36">
              <w:rPr>
                <w:rFonts w:eastAsia="Times New Roman"/>
                <w:color w:val="000000" w:themeColor="text1"/>
                <w:sz w:val="24"/>
                <w:szCs w:val="24"/>
              </w:rPr>
              <w:lastRenderedPageBreak/>
              <w:t>≈ US$20–25 million per year (approximately THB 720–900 million per year)</w:t>
            </w:r>
          </w:p>
        </w:tc>
      </w:tr>
      <w:tr w:rsidR="009A0A63" w:rsidRPr="00792B36" w14:paraId="3ADC002F" w14:textId="77777777" w:rsidTr="00A24459">
        <w:tc>
          <w:tcPr>
            <w:tcW w:w="1566" w:type="pct"/>
            <w:vAlign w:val="center"/>
          </w:tcPr>
          <w:p w14:paraId="54D14A00" w14:textId="77777777" w:rsidR="009A0A63" w:rsidRPr="00792B36" w:rsidRDefault="009A0A63" w:rsidP="00A24459">
            <w:pPr>
              <w:rPr>
                <w:rFonts w:eastAsia="Times New Roman"/>
                <w:b/>
                <w:bCs/>
                <w:color w:val="000000" w:themeColor="text1"/>
                <w:sz w:val="24"/>
                <w:szCs w:val="24"/>
                <w:highlight w:val="yellow"/>
              </w:rPr>
            </w:pPr>
            <w:r w:rsidRPr="00792B36">
              <w:rPr>
                <w:rStyle w:val="Strong"/>
                <w:rFonts w:eastAsiaTheme="minorEastAsia"/>
                <w:color w:val="000000" w:themeColor="text1"/>
                <w:sz w:val="24"/>
                <w:szCs w:val="24"/>
              </w:rPr>
              <w:t>WL1: Don Hoi Lot</w:t>
            </w:r>
          </w:p>
        </w:tc>
        <w:tc>
          <w:tcPr>
            <w:tcW w:w="1739" w:type="pct"/>
          </w:tcPr>
          <w:p w14:paraId="7C10BE3C" w14:textId="77777777" w:rsidR="009A0A63" w:rsidRPr="00792B36" w:rsidRDefault="009A0A63" w:rsidP="00A24459">
            <w:pPr>
              <w:rPr>
                <w:rFonts w:eastAsia="Times New Roman"/>
                <w:color w:val="000000" w:themeColor="text1"/>
                <w:sz w:val="24"/>
                <w:szCs w:val="24"/>
                <w:highlight w:val="yellow"/>
              </w:rPr>
            </w:pPr>
            <w:r w:rsidRPr="00792B36">
              <w:rPr>
                <w:rFonts w:eastAsia="Times New Roman"/>
                <w:color w:val="000000" w:themeColor="text1"/>
                <w:sz w:val="24"/>
                <w:szCs w:val="24"/>
              </w:rPr>
              <w:t xml:space="preserve">The Don Hoi Lot Wetland holds strong potential for sustainable commercial use that balances local economic development with environmental conservation. Key opportunities include community-based shellfish aquaculture and ecotourism, such as mudflat excursions, mangrove education trails, and cultural seafood tourism, which can generate steady income while preserving ecosystem integrity. In addition, the site’s mangrove and tidal flat ecosystems offer potential for blue carbon credit projects that support climate action and community financing. The estimated potential value is around </w:t>
            </w:r>
            <w:r w:rsidRPr="00792B36">
              <w:rPr>
                <w:rFonts w:eastAsia="Times New Roman"/>
                <w:color w:val="000000" w:themeColor="text1"/>
                <w:sz w:val="24"/>
                <w:szCs w:val="24"/>
              </w:rPr>
              <w:lastRenderedPageBreak/>
              <w:t>US$2–3 million per year, underscoring Don Hoi Lot’s role as a model for nature-based sustainable livelihoods and coastal ecosystem conservation in the Upper Gulf of Thailand.</w:t>
            </w:r>
          </w:p>
        </w:tc>
        <w:tc>
          <w:tcPr>
            <w:tcW w:w="1695" w:type="pct"/>
          </w:tcPr>
          <w:p w14:paraId="295EF4A4" w14:textId="77777777" w:rsidR="009A0A63" w:rsidRPr="00792B36" w:rsidRDefault="009A0A63" w:rsidP="00A24459">
            <w:pPr>
              <w:rPr>
                <w:rFonts w:eastAsia="Times New Roman"/>
                <w:color w:val="000000" w:themeColor="text1"/>
                <w:sz w:val="24"/>
                <w:szCs w:val="24"/>
                <w:highlight w:val="yellow"/>
              </w:rPr>
            </w:pPr>
            <w:r w:rsidRPr="00792B36">
              <w:rPr>
                <w:rFonts w:eastAsia="Times New Roman"/>
                <w:color w:val="000000" w:themeColor="text1"/>
                <w:sz w:val="24"/>
                <w:szCs w:val="24"/>
              </w:rPr>
              <w:lastRenderedPageBreak/>
              <w:t>≈ US$25–30 million per year (approximately THB 900 million–1.1 billion per year)</w:t>
            </w:r>
          </w:p>
        </w:tc>
      </w:tr>
    </w:tbl>
    <w:p w14:paraId="24FFE54A" w14:textId="77777777" w:rsidR="009A0A63" w:rsidRPr="00792B36" w:rsidRDefault="009A0A63" w:rsidP="009A0A63">
      <w:pPr>
        <w:ind w:firstLine="1134"/>
        <w:rPr>
          <w:rFonts w:eastAsia="Times New Roman"/>
          <w:b/>
          <w:bCs/>
          <w:color w:val="EE0000"/>
          <w:sz w:val="24"/>
          <w:szCs w:val="24"/>
          <w:highlight w:val="yellow"/>
        </w:rPr>
      </w:pPr>
    </w:p>
    <w:p w14:paraId="080C1609" w14:textId="77777777" w:rsidR="009A0A63" w:rsidRPr="00792B36" w:rsidRDefault="009A0A63" w:rsidP="009A0A63">
      <w:pPr>
        <w:rPr>
          <w:b/>
          <w:bCs/>
          <w:color w:val="000000" w:themeColor="text1"/>
          <w:sz w:val="24"/>
          <w:szCs w:val="24"/>
        </w:rPr>
      </w:pPr>
    </w:p>
    <w:p w14:paraId="52B61C0E" w14:textId="77777777" w:rsidR="009A0A63" w:rsidRPr="00792B36" w:rsidRDefault="009A0A63" w:rsidP="009A0A63">
      <w:pPr>
        <w:rPr>
          <w:b/>
          <w:bCs/>
          <w:color w:val="000000" w:themeColor="text1"/>
          <w:sz w:val="24"/>
          <w:szCs w:val="24"/>
        </w:rPr>
      </w:pPr>
    </w:p>
    <w:p w14:paraId="2F5F1530" w14:textId="77777777" w:rsidR="009A0A63" w:rsidRPr="00792B36" w:rsidRDefault="009A0A63" w:rsidP="009A0A63">
      <w:pPr>
        <w:rPr>
          <w:b/>
          <w:bCs/>
          <w:color w:val="000000" w:themeColor="text1"/>
          <w:sz w:val="24"/>
          <w:szCs w:val="24"/>
        </w:rPr>
      </w:pPr>
    </w:p>
    <w:p w14:paraId="6DBC8C94" w14:textId="77777777" w:rsidR="009A0A63" w:rsidRPr="00792B36" w:rsidRDefault="009A0A63" w:rsidP="009A0A63">
      <w:pPr>
        <w:rPr>
          <w:b/>
          <w:bCs/>
          <w:color w:val="000000" w:themeColor="text1"/>
          <w:sz w:val="24"/>
          <w:szCs w:val="24"/>
        </w:rPr>
      </w:pPr>
    </w:p>
    <w:p w14:paraId="756A082B" w14:textId="77777777" w:rsidR="009A0A63" w:rsidRPr="00792B36" w:rsidRDefault="009A0A63" w:rsidP="009A0A63">
      <w:pPr>
        <w:rPr>
          <w:b/>
          <w:bCs/>
          <w:color w:val="000000" w:themeColor="text1"/>
          <w:sz w:val="24"/>
          <w:szCs w:val="24"/>
        </w:rPr>
      </w:pPr>
    </w:p>
    <w:p w14:paraId="7FC843F1" w14:textId="77777777" w:rsidR="009A0A63" w:rsidRPr="00792B36" w:rsidRDefault="009A0A63" w:rsidP="009A0A63">
      <w:pPr>
        <w:rPr>
          <w:b/>
          <w:bCs/>
          <w:color w:val="000000" w:themeColor="text1"/>
          <w:sz w:val="24"/>
          <w:szCs w:val="24"/>
        </w:rPr>
      </w:pPr>
    </w:p>
    <w:p w14:paraId="40E36B2A" w14:textId="77777777" w:rsidR="009A0A63" w:rsidRPr="00792B36" w:rsidRDefault="009A0A63" w:rsidP="009A0A63">
      <w:pPr>
        <w:rPr>
          <w:b/>
          <w:bCs/>
          <w:color w:val="000000" w:themeColor="text1"/>
          <w:sz w:val="24"/>
          <w:szCs w:val="24"/>
        </w:rPr>
      </w:pPr>
    </w:p>
    <w:p w14:paraId="6F92F269" w14:textId="77777777" w:rsidR="009A0A63" w:rsidRPr="00792B36" w:rsidRDefault="009A0A63" w:rsidP="009A0A63">
      <w:pPr>
        <w:rPr>
          <w:b/>
          <w:bCs/>
          <w:color w:val="000000" w:themeColor="text1"/>
          <w:sz w:val="24"/>
          <w:szCs w:val="24"/>
        </w:rPr>
        <w:sectPr w:rsidR="009A0A63" w:rsidRPr="00792B36" w:rsidSect="003332A9">
          <w:pgSz w:w="15840" w:h="12240" w:orient="landscape"/>
          <w:pgMar w:top="1440" w:right="1440" w:bottom="1440" w:left="1440" w:header="720" w:footer="720" w:gutter="0"/>
          <w:cols w:space="720"/>
          <w:docGrid w:linePitch="360"/>
        </w:sectPr>
      </w:pPr>
    </w:p>
    <w:p w14:paraId="736AA346" w14:textId="77777777" w:rsidR="009A0A63" w:rsidRPr="00792B36" w:rsidRDefault="009A0A63" w:rsidP="009A0A63">
      <w:pPr>
        <w:pStyle w:val="ListParagraph"/>
        <w:ind w:left="1134" w:hanging="425"/>
        <w:rPr>
          <w:rFonts w:cs="Arial"/>
          <w:color w:val="000000" w:themeColor="text1"/>
          <w:sz w:val="24"/>
          <w:szCs w:val="24"/>
        </w:rPr>
      </w:pPr>
      <w:r w:rsidRPr="00792B36">
        <w:rPr>
          <w:rFonts w:cs="Arial"/>
          <w:b/>
          <w:bCs/>
          <w:color w:val="000000" w:themeColor="text1"/>
          <w:sz w:val="24"/>
          <w:szCs w:val="24"/>
        </w:rPr>
        <w:lastRenderedPageBreak/>
        <w:t>Coral and seagrass areas</w:t>
      </w:r>
    </w:p>
    <w:p w14:paraId="5D069B4E" w14:textId="77777777" w:rsidR="009A0A63" w:rsidRPr="00792B36" w:rsidRDefault="009A0A63" w:rsidP="00F61B37">
      <w:pPr>
        <w:pStyle w:val="ListParagraph"/>
        <w:widowControl/>
        <w:numPr>
          <w:ilvl w:val="0"/>
          <w:numId w:val="45"/>
        </w:numPr>
        <w:tabs>
          <w:tab w:val="left" w:pos="1134"/>
        </w:tabs>
        <w:spacing w:line="259" w:lineRule="auto"/>
        <w:ind w:left="1134" w:hanging="283"/>
        <w:rPr>
          <w:rFonts w:cs="Arial"/>
          <w:b/>
          <w:bCs/>
          <w:color w:val="000000" w:themeColor="text1"/>
          <w:sz w:val="24"/>
          <w:szCs w:val="24"/>
        </w:rPr>
      </w:pPr>
      <w:r w:rsidRPr="00792B36">
        <w:rPr>
          <w:rFonts w:cs="Arial"/>
          <w:b/>
          <w:bCs/>
          <w:color w:val="000000" w:themeColor="text1"/>
          <w:sz w:val="24"/>
          <w:szCs w:val="24"/>
        </w:rPr>
        <w:t>Geographic information</w:t>
      </w:r>
    </w:p>
    <w:p w14:paraId="6180E84F" w14:textId="77777777" w:rsidR="009A0A63" w:rsidRPr="00792B36" w:rsidRDefault="009A0A63" w:rsidP="009A0A63">
      <w:pPr>
        <w:tabs>
          <w:tab w:val="left" w:pos="1134"/>
        </w:tabs>
        <w:ind w:firstLine="993"/>
        <w:rPr>
          <w:i/>
          <w:iCs/>
          <w:color w:val="000000" w:themeColor="text1"/>
          <w:sz w:val="24"/>
          <w:szCs w:val="24"/>
        </w:rPr>
      </w:pPr>
      <w:r w:rsidRPr="00792B36">
        <w:rPr>
          <w:i/>
          <w:iCs/>
          <w:color w:val="000000" w:themeColor="text1"/>
          <w:sz w:val="24"/>
          <w:szCs w:val="24"/>
        </w:rPr>
        <w:tab/>
        <w:t>Total area, areas of coral reef and reef type</w:t>
      </w:r>
    </w:p>
    <w:p w14:paraId="295D0AE6" w14:textId="77777777" w:rsidR="009A0A63" w:rsidRPr="00792B36" w:rsidRDefault="009A0A63" w:rsidP="009A0A63">
      <w:pPr>
        <w:tabs>
          <w:tab w:val="left" w:pos="1134"/>
        </w:tabs>
        <w:ind w:firstLine="851"/>
        <w:jc w:val="thaiDistribute"/>
        <w:rPr>
          <w:color w:val="000000" w:themeColor="text1"/>
          <w:sz w:val="24"/>
          <w:szCs w:val="24"/>
          <w:cs/>
        </w:rPr>
      </w:pPr>
      <w:r w:rsidRPr="00792B36">
        <w:rPr>
          <w:color w:val="000000" w:themeColor="text1"/>
          <w:sz w:val="24"/>
          <w:szCs w:val="24"/>
        </w:rPr>
        <w:tab/>
        <w:t xml:space="preserve">An assessment of coral reef and seagrass distribution across sites in the Gulf of Thailand reveals distinct spatial variability in extent and ecosystem typology. The largest coral reef area is recorded at Koh Kood (13.18 km²), followed by Koh Mak (5.04 km²), Koh Lan (1.18 km²), and Koh Tao (0.66 km²), all characterized predominantly by </w:t>
      </w:r>
      <w:r w:rsidRPr="00792B36">
        <w:rPr>
          <w:i/>
          <w:iCs/>
          <w:color w:val="000000" w:themeColor="text1"/>
          <w:sz w:val="24"/>
          <w:szCs w:val="24"/>
        </w:rPr>
        <w:t>fringing reefs</w:t>
      </w:r>
      <w:r w:rsidRPr="00792B36">
        <w:rPr>
          <w:color w:val="000000" w:themeColor="text1"/>
          <w:sz w:val="24"/>
          <w:szCs w:val="24"/>
        </w:rPr>
        <w:t xml:space="preserve"> and </w:t>
      </w:r>
      <w:r w:rsidRPr="00792B36">
        <w:rPr>
          <w:i/>
          <w:iCs/>
          <w:color w:val="000000" w:themeColor="text1"/>
          <w:sz w:val="24"/>
          <w:szCs w:val="24"/>
        </w:rPr>
        <w:t>patch reefs</w:t>
      </w:r>
      <w:r w:rsidRPr="00792B36">
        <w:rPr>
          <w:color w:val="000000" w:themeColor="text1"/>
          <w:sz w:val="24"/>
          <w:szCs w:val="24"/>
        </w:rPr>
        <w:t xml:space="preserve"> typical of island-associated formations. Smaller but ecologically important reefs occur at Koh Si Chang (0.35 km²), Koh Losin (0.35 km²), and Koh Kra (0.13 km²), where isolated fringing and patch reef complexes provide refuge for marine biodiversity. The underwater pinnacles in Chumphon Province, though lacking quantitative coral area data, represent unique offshore habitats with high ecological value.In contrast, extensive seagrass meadows dominate Ban Don Bay (12.74 km²) and Chumphon (11.64 km²), serving as critical nursery and feeding grounds for coastal fisheries and megafauna. Collectively, these patterns highlight the geomorphological diversity of reef and seagrass ecosystems in the Gulf of Thailand, emphasizing the need for site-specific conservation and monitoring to sustain their ecological and economic functions.</w:t>
      </w:r>
      <w:r w:rsidRPr="00792B36">
        <w:rPr>
          <w:color w:val="000000" w:themeColor="text1"/>
          <w:sz w:val="24"/>
          <w:szCs w:val="24"/>
          <w:cs/>
        </w:rPr>
        <w:t xml:space="preserve"> (</w:t>
      </w:r>
      <w:r w:rsidRPr="00792B36">
        <w:rPr>
          <w:color w:val="000000" w:themeColor="text1"/>
          <w:sz w:val="24"/>
          <w:szCs w:val="24"/>
        </w:rPr>
        <w:t>Table 11</w:t>
      </w:r>
      <w:r w:rsidRPr="00792B36">
        <w:rPr>
          <w:color w:val="000000" w:themeColor="text1"/>
          <w:sz w:val="24"/>
          <w:szCs w:val="24"/>
          <w:cs/>
        </w:rPr>
        <w:t>)</w:t>
      </w:r>
    </w:p>
    <w:p w14:paraId="7177D81E" w14:textId="77777777" w:rsidR="009A0A63" w:rsidRPr="00792B36" w:rsidRDefault="009A0A63" w:rsidP="009A0A63">
      <w:pPr>
        <w:rPr>
          <w:b/>
          <w:bCs/>
          <w:color w:val="000000" w:themeColor="text1"/>
          <w:sz w:val="24"/>
          <w:szCs w:val="24"/>
        </w:rPr>
      </w:pPr>
      <w:bookmarkStart w:id="38" w:name="_Hlk203233077"/>
      <w:r w:rsidRPr="00792B36">
        <w:rPr>
          <w:b/>
          <w:bCs/>
          <w:color w:val="000000" w:themeColor="text1"/>
          <w:sz w:val="24"/>
          <w:szCs w:val="24"/>
        </w:rPr>
        <w:t>Table 11</w:t>
      </w:r>
      <w:r w:rsidRPr="00792B36">
        <w:rPr>
          <w:b/>
          <w:bCs/>
          <w:color w:val="000000" w:themeColor="text1"/>
          <w:sz w:val="24"/>
          <w:szCs w:val="24"/>
          <w:cs/>
        </w:rPr>
        <w:t xml:space="preserve">. </w:t>
      </w:r>
      <w:r w:rsidRPr="00792B36">
        <w:rPr>
          <w:b/>
          <w:bCs/>
          <w:color w:val="000000" w:themeColor="text1"/>
          <w:sz w:val="24"/>
          <w:szCs w:val="24"/>
        </w:rPr>
        <w:t xml:space="preserve">Coral and seagrass areas in Thailand </w:t>
      </w:r>
      <w:r w:rsidRPr="00792B36">
        <w:rPr>
          <w:b/>
          <w:bCs/>
          <w:color w:val="000000" w:themeColor="text1"/>
          <w:sz w:val="24"/>
          <w:szCs w:val="24"/>
          <w:cs/>
        </w:rPr>
        <w:t>(</w:t>
      </w:r>
      <w:r w:rsidRPr="00792B36">
        <w:rPr>
          <w:b/>
          <w:bCs/>
          <w:color w:val="000000" w:themeColor="text1"/>
          <w:sz w:val="24"/>
          <w:szCs w:val="24"/>
        </w:rPr>
        <w:t>Gulf of Thailand</w:t>
      </w:r>
      <w:r w:rsidRPr="00792B36">
        <w:rPr>
          <w:b/>
          <w:bCs/>
          <w:color w:val="000000" w:themeColor="text1"/>
          <w:sz w:val="24"/>
          <w:szCs w:val="24"/>
          <w:cs/>
        </w:rPr>
        <w:t xml:space="preserve">): </w:t>
      </w:r>
      <w:r w:rsidRPr="00792B36">
        <w:rPr>
          <w:color w:val="000000" w:themeColor="text1"/>
          <w:sz w:val="24"/>
          <w:szCs w:val="24"/>
        </w:rPr>
        <w:t>Geographic information showing total area, areas of coral reef and reef type</w:t>
      </w:r>
    </w:p>
    <w:tbl>
      <w:tblPr>
        <w:tblStyle w:val="TableGrid"/>
        <w:tblW w:w="0" w:type="auto"/>
        <w:tblLook w:val="04A0" w:firstRow="1" w:lastRow="0" w:firstColumn="1" w:lastColumn="0" w:noHBand="0" w:noVBand="1"/>
      </w:tblPr>
      <w:tblGrid>
        <w:gridCol w:w="1697"/>
        <w:gridCol w:w="1090"/>
        <w:gridCol w:w="1258"/>
        <w:gridCol w:w="1653"/>
        <w:gridCol w:w="1620"/>
        <w:gridCol w:w="1692"/>
      </w:tblGrid>
      <w:tr w:rsidR="009A0A63" w:rsidRPr="00792B36" w14:paraId="226553A4" w14:textId="77777777" w:rsidTr="00A24459">
        <w:tc>
          <w:tcPr>
            <w:tcW w:w="2081" w:type="dxa"/>
            <w:vMerge w:val="restart"/>
            <w:vAlign w:val="center"/>
          </w:tcPr>
          <w:p w14:paraId="1DAAEA71" w14:textId="77777777" w:rsidR="009A0A63" w:rsidRPr="00792B36" w:rsidRDefault="009A0A63" w:rsidP="00A24459">
            <w:pPr>
              <w:spacing w:before="120" w:after="120"/>
              <w:jc w:val="center"/>
              <w:rPr>
                <w:b/>
                <w:bCs/>
                <w:color w:val="000000" w:themeColor="text1"/>
                <w:sz w:val="24"/>
                <w:szCs w:val="24"/>
              </w:rPr>
            </w:pPr>
            <w:r w:rsidRPr="00792B36">
              <w:rPr>
                <w:b/>
                <w:bCs/>
                <w:color w:val="000000" w:themeColor="text1"/>
                <w:sz w:val="24"/>
                <w:szCs w:val="24"/>
              </w:rPr>
              <w:t>Name of area</w:t>
            </w:r>
          </w:p>
        </w:tc>
        <w:tc>
          <w:tcPr>
            <w:tcW w:w="1589" w:type="dxa"/>
            <w:vMerge w:val="restart"/>
            <w:vAlign w:val="center"/>
          </w:tcPr>
          <w:p w14:paraId="40F0A7F9" w14:textId="77777777" w:rsidR="009A0A63" w:rsidRPr="00792B36" w:rsidRDefault="009A0A63" w:rsidP="00A24459">
            <w:pPr>
              <w:spacing w:before="120" w:after="120"/>
              <w:jc w:val="center"/>
              <w:rPr>
                <w:b/>
                <w:bCs/>
                <w:color w:val="000000" w:themeColor="text1"/>
                <w:sz w:val="24"/>
                <w:szCs w:val="24"/>
              </w:rPr>
            </w:pPr>
            <w:r w:rsidRPr="00792B36">
              <w:rPr>
                <w:b/>
                <w:bCs/>
                <w:color w:val="000000" w:themeColor="text1"/>
                <w:sz w:val="24"/>
                <w:szCs w:val="24"/>
              </w:rPr>
              <w:t xml:space="preserve">Total area </w:t>
            </w:r>
            <w:r w:rsidRPr="00792B36">
              <w:rPr>
                <w:b/>
                <w:bCs/>
                <w:color w:val="000000" w:themeColor="text1"/>
                <w:sz w:val="24"/>
                <w:szCs w:val="24"/>
                <w:cs/>
              </w:rPr>
              <w:t>(</w:t>
            </w:r>
            <w:r w:rsidRPr="00792B36">
              <w:rPr>
                <w:b/>
                <w:bCs/>
                <w:color w:val="000000" w:themeColor="text1"/>
                <w:sz w:val="24"/>
                <w:szCs w:val="24"/>
              </w:rPr>
              <w:t>km</w:t>
            </w:r>
            <w:r w:rsidRPr="00792B36">
              <w:rPr>
                <w:b/>
                <w:bCs/>
                <w:color w:val="000000" w:themeColor="text1"/>
                <w:sz w:val="24"/>
                <w:szCs w:val="24"/>
                <w:vertAlign w:val="superscript"/>
              </w:rPr>
              <w:t>2</w:t>
            </w:r>
            <w:r w:rsidRPr="00792B36">
              <w:rPr>
                <w:b/>
                <w:bCs/>
                <w:color w:val="000000" w:themeColor="text1"/>
                <w:sz w:val="24"/>
                <w:szCs w:val="24"/>
                <w:cs/>
              </w:rPr>
              <w:t>)</w:t>
            </w:r>
          </w:p>
        </w:tc>
        <w:tc>
          <w:tcPr>
            <w:tcW w:w="4284" w:type="dxa"/>
            <w:gridSpan w:val="2"/>
            <w:vAlign w:val="center"/>
          </w:tcPr>
          <w:p w14:paraId="6B68DAC3" w14:textId="77777777" w:rsidR="009A0A63" w:rsidRPr="00792B36" w:rsidRDefault="009A0A63" w:rsidP="00A24459">
            <w:pPr>
              <w:spacing w:before="120" w:after="120"/>
              <w:jc w:val="center"/>
              <w:rPr>
                <w:b/>
                <w:bCs/>
                <w:color w:val="000000" w:themeColor="text1"/>
                <w:sz w:val="24"/>
                <w:szCs w:val="24"/>
              </w:rPr>
            </w:pPr>
            <w:r w:rsidRPr="00792B36">
              <w:rPr>
                <w:b/>
                <w:bCs/>
                <w:color w:val="000000" w:themeColor="text1"/>
                <w:sz w:val="24"/>
                <w:szCs w:val="24"/>
              </w:rPr>
              <w:t xml:space="preserve">Areas of coral reef </w:t>
            </w:r>
            <w:r w:rsidRPr="00792B36">
              <w:rPr>
                <w:b/>
                <w:bCs/>
                <w:color w:val="000000" w:themeColor="text1"/>
                <w:sz w:val="24"/>
                <w:szCs w:val="24"/>
                <w:cs/>
              </w:rPr>
              <w:t>(</w:t>
            </w:r>
            <w:r w:rsidRPr="00792B36">
              <w:rPr>
                <w:b/>
                <w:bCs/>
                <w:color w:val="000000" w:themeColor="text1"/>
                <w:sz w:val="24"/>
                <w:szCs w:val="24"/>
              </w:rPr>
              <w:t>km</w:t>
            </w:r>
            <w:r w:rsidRPr="00792B36">
              <w:rPr>
                <w:b/>
                <w:bCs/>
                <w:color w:val="000000" w:themeColor="text1"/>
                <w:sz w:val="24"/>
                <w:szCs w:val="24"/>
                <w:vertAlign w:val="superscript"/>
              </w:rPr>
              <w:t>2</w:t>
            </w:r>
            <w:r w:rsidRPr="00792B36">
              <w:rPr>
                <w:b/>
                <w:bCs/>
                <w:color w:val="000000" w:themeColor="text1"/>
                <w:sz w:val="24"/>
                <w:szCs w:val="24"/>
                <w:cs/>
              </w:rPr>
              <w:t>)</w:t>
            </w:r>
          </w:p>
        </w:tc>
        <w:tc>
          <w:tcPr>
            <w:tcW w:w="4996" w:type="dxa"/>
            <w:gridSpan w:val="2"/>
            <w:vAlign w:val="center"/>
          </w:tcPr>
          <w:p w14:paraId="309D6CD7" w14:textId="77777777" w:rsidR="009A0A63" w:rsidRPr="00792B36" w:rsidRDefault="009A0A63" w:rsidP="00A24459">
            <w:pPr>
              <w:spacing w:before="120" w:after="120"/>
              <w:jc w:val="center"/>
              <w:rPr>
                <w:b/>
                <w:bCs/>
                <w:color w:val="000000" w:themeColor="text1"/>
                <w:sz w:val="24"/>
                <w:szCs w:val="24"/>
              </w:rPr>
            </w:pPr>
            <w:r w:rsidRPr="00792B36">
              <w:rPr>
                <w:b/>
                <w:bCs/>
                <w:color w:val="000000" w:themeColor="text1"/>
                <w:sz w:val="24"/>
                <w:szCs w:val="24"/>
              </w:rPr>
              <w:t>Type</w:t>
            </w:r>
          </w:p>
        </w:tc>
      </w:tr>
      <w:tr w:rsidR="009A0A63" w:rsidRPr="00792B36" w14:paraId="72F49669" w14:textId="77777777" w:rsidTr="00A24459">
        <w:trPr>
          <w:trHeight w:val="253"/>
        </w:trPr>
        <w:tc>
          <w:tcPr>
            <w:tcW w:w="2081" w:type="dxa"/>
            <w:vMerge/>
            <w:vAlign w:val="center"/>
          </w:tcPr>
          <w:p w14:paraId="244684C2" w14:textId="77777777" w:rsidR="009A0A63" w:rsidRPr="00792B36" w:rsidRDefault="009A0A63" w:rsidP="00A24459">
            <w:pPr>
              <w:spacing w:before="120" w:after="120"/>
              <w:jc w:val="center"/>
              <w:rPr>
                <w:b/>
                <w:bCs/>
                <w:color w:val="000000" w:themeColor="text1"/>
                <w:sz w:val="24"/>
                <w:szCs w:val="24"/>
              </w:rPr>
            </w:pPr>
          </w:p>
        </w:tc>
        <w:tc>
          <w:tcPr>
            <w:tcW w:w="1589" w:type="dxa"/>
            <w:vMerge/>
            <w:vAlign w:val="center"/>
          </w:tcPr>
          <w:p w14:paraId="405FD993" w14:textId="77777777" w:rsidR="009A0A63" w:rsidRPr="00792B36" w:rsidRDefault="009A0A63" w:rsidP="00A24459">
            <w:pPr>
              <w:spacing w:before="120" w:after="120"/>
              <w:jc w:val="center"/>
              <w:rPr>
                <w:b/>
                <w:bCs/>
                <w:color w:val="000000" w:themeColor="text1"/>
                <w:sz w:val="24"/>
                <w:szCs w:val="24"/>
              </w:rPr>
            </w:pPr>
          </w:p>
        </w:tc>
        <w:tc>
          <w:tcPr>
            <w:tcW w:w="1925" w:type="dxa"/>
            <w:vAlign w:val="center"/>
          </w:tcPr>
          <w:p w14:paraId="382AA0BD" w14:textId="77777777" w:rsidR="009A0A63" w:rsidRPr="00792B36" w:rsidRDefault="009A0A63" w:rsidP="00A24459">
            <w:pPr>
              <w:spacing w:before="120" w:after="120"/>
              <w:jc w:val="center"/>
              <w:rPr>
                <w:b/>
                <w:bCs/>
                <w:color w:val="000000" w:themeColor="text1"/>
                <w:sz w:val="24"/>
                <w:szCs w:val="24"/>
              </w:rPr>
            </w:pPr>
            <w:r w:rsidRPr="00792B36">
              <w:rPr>
                <w:b/>
                <w:bCs/>
                <w:color w:val="000000" w:themeColor="text1"/>
                <w:sz w:val="24"/>
                <w:szCs w:val="24"/>
              </w:rPr>
              <w:t xml:space="preserve">Areas of coral reef </w:t>
            </w:r>
            <w:r w:rsidRPr="00792B36">
              <w:rPr>
                <w:b/>
                <w:bCs/>
                <w:color w:val="000000" w:themeColor="text1"/>
                <w:sz w:val="24"/>
                <w:szCs w:val="24"/>
                <w:cs/>
              </w:rPr>
              <w:t>(</w:t>
            </w:r>
            <w:r w:rsidRPr="00792B36">
              <w:rPr>
                <w:b/>
                <w:bCs/>
                <w:color w:val="000000" w:themeColor="text1"/>
                <w:sz w:val="24"/>
                <w:szCs w:val="24"/>
              </w:rPr>
              <w:t>km</w:t>
            </w:r>
            <w:r w:rsidRPr="00792B36">
              <w:rPr>
                <w:b/>
                <w:bCs/>
                <w:color w:val="000000" w:themeColor="text1"/>
                <w:sz w:val="24"/>
                <w:szCs w:val="24"/>
                <w:vertAlign w:val="superscript"/>
              </w:rPr>
              <w:t>2</w:t>
            </w:r>
            <w:r w:rsidRPr="00792B36">
              <w:rPr>
                <w:b/>
                <w:bCs/>
                <w:color w:val="000000" w:themeColor="text1"/>
                <w:sz w:val="24"/>
                <w:szCs w:val="24"/>
                <w:cs/>
              </w:rPr>
              <w:t>)</w:t>
            </w:r>
          </w:p>
        </w:tc>
        <w:tc>
          <w:tcPr>
            <w:tcW w:w="2359" w:type="dxa"/>
            <w:vAlign w:val="center"/>
          </w:tcPr>
          <w:p w14:paraId="56653F50" w14:textId="77777777" w:rsidR="009A0A63" w:rsidRPr="00792B36" w:rsidRDefault="009A0A63" w:rsidP="00A24459">
            <w:pPr>
              <w:spacing w:before="120" w:after="120"/>
              <w:jc w:val="center"/>
              <w:rPr>
                <w:b/>
                <w:bCs/>
                <w:color w:val="000000" w:themeColor="text1"/>
                <w:sz w:val="24"/>
                <w:szCs w:val="24"/>
              </w:rPr>
            </w:pPr>
            <w:r w:rsidRPr="00792B36">
              <w:rPr>
                <w:b/>
                <w:bCs/>
                <w:color w:val="000000" w:themeColor="text1"/>
                <w:sz w:val="24"/>
                <w:szCs w:val="24"/>
              </w:rPr>
              <w:t>Areas of seagrass</w:t>
            </w:r>
            <w:r w:rsidRPr="00792B36">
              <w:rPr>
                <w:b/>
                <w:bCs/>
                <w:color w:val="000000" w:themeColor="text1"/>
                <w:sz w:val="24"/>
                <w:szCs w:val="24"/>
                <w:cs/>
              </w:rPr>
              <w:t xml:space="preserve"> (</w:t>
            </w:r>
            <w:r w:rsidRPr="00792B36">
              <w:rPr>
                <w:b/>
                <w:bCs/>
                <w:color w:val="000000" w:themeColor="text1"/>
                <w:sz w:val="24"/>
                <w:szCs w:val="24"/>
              </w:rPr>
              <w:t>km</w:t>
            </w:r>
            <w:r w:rsidRPr="00792B36">
              <w:rPr>
                <w:b/>
                <w:bCs/>
                <w:color w:val="000000" w:themeColor="text1"/>
                <w:sz w:val="24"/>
                <w:szCs w:val="24"/>
                <w:vertAlign w:val="superscript"/>
              </w:rPr>
              <w:t>2</w:t>
            </w:r>
            <w:r w:rsidRPr="00792B36">
              <w:rPr>
                <w:b/>
                <w:bCs/>
                <w:color w:val="000000" w:themeColor="text1"/>
                <w:sz w:val="24"/>
                <w:szCs w:val="24"/>
                <w:cs/>
              </w:rPr>
              <w:t>)</w:t>
            </w:r>
          </w:p>
        </w:tc>
        <w:tc>
          <w:tcPr>
            <w:tcW w:w="2576" w:type="dxa"/>
            <w:vAlign w:val="center"/>
          </w:tcPr>
          <w:p w14:paraId="053AB2F0" w14:textId="77777777" w:rsidR="009A0A63" w:rsidRPr="00792B36" w:rsidRDefault="009A0A63" w:rsidP="00A24459">
            <w:pPr>
              <w:spacing w:before="120" w:after="120"/>
              <w:jc w:val="center"/>
              <w:rPr>
                <w:b/>
                <w:bCs/>
                <w:color w:val="000000" w:themeColor="text1"/>
                <w:sz w:val="24"/>
                <w:szCs w:val="24"/>
              </w:rPr>
            </w:pPr>
            <w:r w:rsidRPr="00792B36">
              <w:rPr>
                <w:b/>
                <w:bCs/>
                <w:color w:val="000000" w:themeColor="text1"/>
                <w:sz w:val="24"/>
                <w:szCs w:val="24"/>
              </w:rPr>
              <w:t>Reef type</w:t>
            </w:r>
          </w:p>
        </w:tc>
        <w:tc>
          <w:tcPr>
            <w:tcW w:w="2420" w:type="dxa"/>
            <w:vAlign w:val="center"/>
          </w:tcPr>
          <w:p w14:paraId="37EF509E" w14:textId="77777777" w:rsidR="009A0A63" w:rsidRPr="00792B36" w:rsidRDefault="009A0A63" w:rsidP="00A24459">
            <w:pPr>
              <w:spacing w:before="120" w:after="120"/>
              <w:jc w:val="center"/>
              <w:rPr>
                <w:b/>
                <w:bCs/>
                <w:color w:val="000000" w:themeColor="text1"/>
                <w:sz w:val="24"/>
                <w:szCs w:val="24"/>
              </w:rPr>
            </w:pPr>
            <w:r w:rsidRPr="00792B36">
              <w:rPr>
                <w:b/>
                <w:bCs/>
                <w:color w:val="000000" w:themeColor="text1"/>
                <w:sz w:val="24"/>
                <w:szCs w:val="24"/>
              </w:rPr>
              <w:t>Seagrass</w:t>
            </w:r>
            <w:r w:rsidRPr="00792B36">
              <w:rPr>
                <w:b/>
                <w:bCs/>
                <w:color w:val="000000" w:themeColor="text1"/>
                <w:sz w:val="24"/>
                <w:szCs w:val="24"/>
                <w:cs/>
              </w:rPr>
              <w:t xml:space="preserve"> </w:t>
            </w:r>
            <w:r w:rsidRPr="00792B36">
              <w:rPr>
                <w:b/>
                <w:bCs/>
                <w:color w:val="000000" w:themeColor="text1"/>
                <w:sz w:val="24"/>
                <w:szCs w:val="24"/>
              </w:rPr>
              <w:t>type</w:t>
            </w:r>
          </w:p>
        </w:tc>
      </w:tr>
      <w:tr w:rsidR="009A0A63" w:rsidRPr="00792B36" w14:paraId="34E63D2A" w14:textId="77777777" w:rsidTr="00A24459">
        <w:tc>
          <w:tcPr>
            <w:tcW w:w="2081" w:type="dxa"/>
          </w:tcPr>
          <w:p w14:paraId="2C3B3242" w14:textId="77777777" w:rsidR="009A0A63" w:rsidRPr="00792B36" w:rsidRDefault="009A0A63" w:rsidP="00A24459">
            <w:pPr>
              <w:rPr>
                <w:color w:val="000000" w:themeColor="text1"/>
                <w:sz w:val="24"/>
                <w:szCs w:val="24"/>
              </w:rPr>
            </w:pPr>
            <w:r w:rsidRPr="00792B36">
              <w:rPr>
                <w:color w:val="000000" w:themeColor="text1"/>
                <w:sz w:val="24"/>
                <w:szCs w:val="24"/>
              </w:rPr>
              <w:t xml:space="preserve">CR:1 Koh Si Chang </w:t>
            </w:r>
          </w:p>
        </w:tc>
        <w:tc>
          <w:tcPr>
            <w:tcW w:w="1589" w:type="dxa"/>
            <w:vAlign w:val="center"/>
          </w:tcPr>
          <w:p w14:paraId="7603C80B" w14:textId="77777777" w:rsidR="009A0A63" w:rsidRPr="00792B36" w:rsidRDefault="009A0A63" w:rsidP="00A24459">
            <w:pPr>
              <w:jc w:val="center"/>
              <w:rPr>
                <w:color w:val="000000" w:themeColor="text1"/>
                <w:sz w:val="24"/>
                <w:szCs w:val="24"/>
                <w:cs/>
              </w:rPr>
            </w:pPr>
          </w:p>
        </w:tc>
        <w:tc>
          <w:tcPr>
            <w:tcW w:w="1925" w:type="dxa"/>
            <w:vAlign w:val="bottom"/>
          </w:tcPr>
          <w:p w14:paraId="0A1E456F" w14:textId="77777777" w:rsidR="009A0A63" w:rsidRPr="00792B36" w:rsidRDefault="009A0A63" w:rsidP="00A24459">
            <w:pPr>
              <w:jc w:val="center"/>
              <w:rPr>
                <w:color w:val="000000" w:themeColor="text1"/>
                <w:sz w:val="24"/>
                <w:szCs w:val="24"/>
                <w:cs/>
              </w:rPr>
            </w:pPr>
            <w:r w:rsidRPr="00792B36">
              <w:rPr>
                <w:color w:val="000000" w:themeColor="text1"/>
                <w:sz w:val="24"/>
                <w:szCs w:val="24"/>
              </w:rPr>
              <w:t>0.35</w:t>
            </w:r>
          </w:p>
        </w:tc>
        <w:tc>
          <w:tcPr>
            <w:tcW w:w="2359" w:type="dxa"/>
          </w:tcPr>
          <w:p w14:paraId="465A7B55" w14:textId="77777777" w:rsidR="009A0A63" w:rsidRPr="00792B36" w:rsidRDefault="009A0A63" w:rsidP="00A24459">
            <w:pPr>
              <w:jc w:val="center"/>
              <w:rPr>
                <w:color w:val="000000" w:themeColor="text1"/>
                <w:sz w:val="24"/>
                <w:szCs w:val="24"/>
              </w:rPr>
            </w:pPr>
            <w:r w:rsidRPr="00792B36">
              <w:rPr>
                <w:color w:val="000000" w:themeColor="text1"/>
                <w:sz w:val="24"/>
                <w:szCs w:val="24"/>
              </w:rPr>
              <w:t>-</w:t>
            </w:r>
          </w:p>
        </w:tc>
        <w:tc>
          <w:tcPr>
            <w:tcW w:w="2576" w:type="dxa"/>
          </w:tcPr>
          <w:p w14:paraId="183A34B6" w14:textId="77777777" w:rsidR="009A0A63" w:rsidRPr="00792B36" w:rsidRDefault="009A0A63" w:rsidP="00A24459">
            <w:pPr>
              <w:jc w:val="center"/>
              <w:rPr>
                <w:color w:val="000000" w:themeColor="text1"/>
                <w:sz w:val="24"/>
                <w:szCs w:val="24"/>
              </w:rPr>
            </w:pPr>
            <w:r w:rsidRPr="00792B36">
              <w:rPr>
                <w:color w:val="000000" w:themeColor="text1"/>
                <w:sz w:val="24"/>
                <w:szCs w:val="24"/>
              </w:rPr>
              <w:t>Fringing Reef</w:t>
            </w:r>
          </w:p>
        </w:tc>
        <w:tc>
          <w:tcPr>
            <w:tcW w:w="2420" w:type="dxa"/>
          </w:tcPr>
          <w:p w14:paraId="0C04F2E0" w14:textId="77777777" w:rsidR="009A0A63" w:rsidRPr="00792B36" w:rsidRDefault="009A0A63" w:rsidP="00A24459">
            <w:pPr>
              <w:jc w:val="center"/>
              <w:rPr>
                <w:color w:val="000000" w:themeColor="text1"/>
                <w:sz w:val="24"/>
                <w:szCs w:val="24"/>
              </w:rPr>
            </w:pPr>
            <w:r w:rsidRPr="00792B36">
              <w:rPr>
                <w:color w:val="000000" w:themeColor="text1"/>
                <w:sz w:val="24"/>
                <w:szCs w:val="24"/>
              </w:rPr>
              <w:t>-</w:t>
            </w:r>
          </w:p>
        </w:tc>
      </w:tr>
      <w:tr w:rsidR="009A0A63" w:rsidRPr="00792B36" w14:paraId="10F94F9B" w14:textId="77777777" w:rsidTr="00A24459">
        <w:tc>
          <w:tcPr>
            <w:tcW w:w="2081" w:type="dxa"/>
          </w:tcPr>
          <w:p w14:paraId="7FC53A2A" w14:textId="77777777" w:rsidR="009A0A63" w:rsidRPr="00792B36" w:rsidRDefault="009A0A63" w:rsidP="00A24459">
            <w:pPr>
              <w:rPr>
                <w:color w:val="000000" w:themeColor="text1"/>
                <w:sz w:val="24"/>
                <w:szCs w:val="24"/>
              </w:rPr>
            </w:pPr>
            <w:r w:rsidRPr="00792B36">
              <w:rPr>
                <w:color w:val="000000" w:themeColor="text1"/>
                <w:sz w:val="24"/>
                <w:szCs w:val="24"/>
              </w:rPr>
              <w:t xml:space="preserve">CR:2 Koh Lan </w:t>
            </w:r>
          </w:p>
        </w:tc>
        <w:tc>
          <w:tcPr>
            <w:tcW w:w="1589" w:type="dxa"/>
            <w:vAlign w:val="center"/>
          </w:tcPr>
          <w:p w14:paraId="4C554927" w14:textId="77777777" w:rsidR="009A0A63" w:rsidRPr="00792B36" w:rsidRDefault="009A0A63" w:rsidP="00A24459">
            <w:pPr>
              <w:jc w:val="center"/>
              <w:rPr>
                <w:color w:val="000000" w:themeColor="text1"/>
                <w:sz w:val="24"/>
                <w:szCs w:val="24"/>
              </w:rPr>
            </w:pPr>
          </w:p>
        </w:tc>
        <w:tc>
          <w:tcPr>
            <w:tcW w:w="1925" w:type="dxa"/>
            <w:vAlign w:val="bottom"/>
          </w:tcPr>
          <w:p w14:paraId="7EE44C95" w14:textId="77777777" w:rsidR="009A0A63" w:rsidRPr="00792B36" w:rsidRDefault="009A0A63" w:rsidP="00A24459">
            <w:pPr>
              <w:jc w:val="center"/>
              <w:rPr>
                <w:color w:val="000000" w:themeColor="text1"/>
                <w:sz w:val="24"/>
                <w:szCs w:val="24"/>
              </w:rPr>
            </w:pPr>
            <w:r w:rsidRPr="00792B36">
              <w:rPr>
                <w:color w:val="000000" w:themeColor="text1"/>
                <w:sz w:val="24"/>
                <w:szCs w:val="24"/>
              </w:rPr>
              <w:t>1.18</w:t>
            </w:r>
          </w:p>
        </w:tc>
        <w:tc>
          <w:tcPr>
            <w:tcW w:w="2359" w:type="dxa"/>
          </w:tcPr>
          <w:p w14:paraId="175AF428" w14:textId="77777777" w:rsidR="009A0A63" w:rsidRPr="00792B36" w:rsidRDefault="009A0A63" w:rsidP="00A24459">
            <w:pPr>
              <w:jc w:val="center"/>
              <w:rPr>
                <w:color w:val="000000" w:themeColor="text1"/>
                <w:sz w:val="24"/>
                <w:szCs w:val="24"/>
              </w:rPr>
            </w:pPr>
            <w:r w:rsidRPr="00792B36">
              <w:rPr>
                <w:color w:val="000000" w:themeColor="text1"/>
                <w:sz w:val="24"/>
                <w:szCs w:val="24"/>
              </w:rPr>
              <w:t>-</w:t>
            </w:r>
          </w:p>
        </w:tc>
        <w:tc>
          <w:tcPr>
            <w:tcW w:w="2576" w:type="dxa"/>
          </w:tcPr>
          <w:p w14:paraId="175557F5" w14:textId="77777777" w:rsidR="009A0A63" w:rsidRPr="00792B36" w:rsidRDefault="009A0A63" w:rsidP="00A24459">
            <w:pPr>
              <w:jc w:val="center"/>
              <w:rPr>
                <w:color w:val="000000" w:themeColor="text1"/>
                <w:sz w:val="24"/>
                <w:szCs w:val="24"/>
              </w:rPr>
            </w:pPr>
            <w:r w:rsidRPr="00792B36">
              <w:rPr>
                <w:color w:val="000000" w:themeColor="text1"/>
                <w:sz w:val="24"/>
                <w:szCs w:val="24"/>
              </w:rPr>
              <w:t>Fringing Reef / Patch Reef</w:t>
            </w:r>
          </w:p>
        </w:tc>
        <w:tc>
          <w:tcPr>
            <w:tcW w:w="2420" w:type="dxa"/>
          </w:tcPr>
          <w:p w14:paraId="401C1909" w14:textId="77777777" w:rsidR="009A0A63" w:rsidRPr="00792B36" w:rsidRDefault="009A0A63" w:rsidP="00A24459">
            <w:pPr>
              <w:jc w:val="center"/>
              <w:rPr>
                <w:color w:val="000000" w:themeColor="text1"/>
                <w:sz w:val="24"/>
                <w:szCs w:val="24"/>
              </w:rPr>
            </w:pPr>
            <w:r w:rsidRPr="00792B36">
              <w:rPr>
                <w:color w:val="000000" w:themeColor="text1"/>
                <w:sz w:val="24"/>
                <w:szCs w:val="24"/>
              </w:rPr>
              <w:t>-</w:t>
            </w:r>
          </w:p>
        </w:tc>
      </w:tr>
      <w:tr w:rsidR="009A0A63" w:rsidRPr="00792B36" w14:paraId="7609B1E7" w14:textId="77777777" w:rsidTr="00A24459">
        <w:tc>
          <w:tcPr>
            <w:tcW w:w="2081" w:type="dxa"/>
          </w:tcPr>
          <w:p w14:paraId="476F9EE9" w14:textId="77777777" w:rsidR="009A0A63" w:rsidRPr="00792B36" w:rsidRDefault="009A0A63" w:rsidP="00A24459">
            <w:pPr>
              <w:rPr>
                <w:color w:val="000000" w:themeColor="text1"/>
                <w:sz w:val="24"/>
                <w:szCs w:val="24"/>
              </w:rPr>
            </w:pPr>
            <w:r w:rsidRPr="00792B36">
              <w:rPr>
                <w:color w:val="000000" w:themeColor="text1"/>
                <w:sz w:val="24"/>
                <w:szCs w:val="24"/>
              </w:rPr>
              <w:t>CR:3 Koh Kood</w:t>
            </w:r>
          </w:p>
        </w:tc>
        <w:tc>
          <w:tcPr>
            <w:tcW w:w="1589" w:type="dxa"/>
            <w:vAlign w:val="center"/>
          </w:tcPr>
          <w:p w14:paraId="203033ED" w14:textId="77777777" w:rsidR="009A0A63" w:rsidRPr="00792B36" w:rsidRDefault="009A0A63" w:rsidP="00A24459">
            <w:pPr>
              <w:jc w:val="center"/>
              <w:rPr>
                <w:color w:val="000000" w:themeColor="text1"/>
                <w:sz w:val="24"/>
                <w:szCs w:val="24"/>
              </w:rPr>
            </w:pPr>
          </w:p>
        </w:tc>
        <w:tc>
          <w:tcPr>
            <w:tcW w:w="1925" w:type="dxa"/>
            <w:vAlign w:val="bottom"/>
          </w:tcPr>
          <w:p w14:paraId="7444D86C" w14:textId="77777777" w:rsidR="009A0A63" w:rsidRPr="00792B36" w:rsidRDefault="009A0A63" w:rsidP="00A24459">
            <w:pPr>
              <w:jc w:val="center"/>
              <w:rPr>
                <w:color w:val="000000" w:themeColor="text1"/>
                <w:sz w:val="24"/>
                <w:szCs w:val="24"/>
              </w:rPr>
            </w:pPr>
            <w:r w:rsidRPr="00792B36">
              <w:rPr>
                <w:color w:val="000000" w:themeColor="text1"/>
                <w:sz w:val="24"/>
                <w:szCs w:val="24"/>
              </w:rPr>
              <w:t>13.18</w:t>
            </w:r>
          </w:p>
        </w:tc>
        <w:tc>
          <w:tcPr>
            <w:tcW w:w="2359" w:type="dxa"/>
          </w:tcPr>
          <w:p w14:paraId="102F9276" w14:textId="77777777" w:rsidR="009A0A63" w:rsidRPr="00792B36" w:rsidRDefault="009A0A63" w:rsidP="00A24459">
            <w:pPr>
              <w:jc w:val="center"/>
              <w:rPr>
                <w:color w:val="000000" w:themeColor="text1"/>
                <w:sz w:val="24"/>
                <w:szCs w:val="24"/>
              </w:rPr>
            </w:pPr>
            <w:r w:rsidRPr="00792B36">
              <w:rPr>
                <w:color w:val="000000" w:themeColor="text1"/>
                <w:sz w:val="24"/>
                <w:szCs w:val="24"/>
              </w:rPr>
              <w:t>-</w:t>
            </w:r>
          </w:p>
        </w:tc>
        <w:tc>
          <w:tcPr>
            <w:tcW w:w="2576" w:type="dxa"/>
          </w:tcPr>
          <w:p w14:paraId="0C1269A6" w14:textId="77777777" w:rsidR="009A0A63" w:rsidRPr="00792B36" w:rsidRDefault="009A0A63" w:rsidP="00A24459">
            <w:pPr>
              <w:jc w:val="center"/>
              <w:rPr>
                <w:color w:val="000000" w:themeColor="text1"/>
                <w:sz w:val="24"/>
                <w:szCs w:val="24"/>
              </w:rPr>
            </w:pPr>
            <w:r w:rsidRPr="00792B36">
              <w:rPr>
                <w:color w:val="000000" w:themeColor="text1"/>
                <w:sz w:val="24"/>
                <w:szCs w:val="24"/>
              </w:rPr>
              <w:t>Fringing Reef</w:t>
            </w:r>
          </w:p>
        </w:tc>
        <w:tc>
          <w:tcPr>
            <w:tcW w:w="2420" w:type="dxa"/>
          </w:tcPr>
          <w:p w14:paraId="396BC24C" w14:textId="77777777" w:rsidR="009A0A63" w:rsidRPr="00792B36" w:rsidRDefault="009A0A63" w:rsidP="00A24459">
            <w:pPr>
              <w:jc w:val="center"/>
              <w:rPr>
                <w:color w:val="000000" w:themeColor="text1"/>
                <w:sz w:val="24"/>
                <w:szCs w:val="24"/>
              </w:rPr>
            </w:pPr>
            <w:r w:rsidRPr="00792B36">
              <w:rPr>
                <w:color w:val="000000" w:themeColor="text1"/>
                <w:sz w:val="24"/>
                <w:szCs w:val="24"/>
              </w:rPr>
              <w:t>-</w:t>
            </w:r>
          </w:p>
        </w:tc>
      </w:tr>
      <w:tr w:rsidR="009A0A63" w:rsidRPr="00792B36" w14:paraId="043DE21B" w14:textId="77777777" w:rsidTr="00A24459">
        <w:tc>
          <w:tcPr>
            <w:tcW w:w="2081" w:type="dxa"/>
          </w:tcPr>
          <w:p w14:paraId="6CFAD204" w14:textId="77777777" w:rsidR="009A0A63" w:rsidRPr="00792B36" w:rsidRDefault="009A0A63" w:rsidP="00A24459">
            <w:pPr>
              <w:rPr>
                <w:color w:val="000000" w:themeColor="text1"/>
                <w:sz w:val="24"/>
                <w:szCs w:val="24"/>
              </w:rPr>
            </w:pPr>
            <w:r w:rsidRPr="00792B36">
              <w:rPr>
                <w:color w:val="000000" w:themeColor="text1"/>
                <w:sz w:val="24"/>
                <w:szCs w:val="24"/>
              </w:rPr>
              <w:t>CR:4 Koh Mak</w:t>
            </w:r>
          </w:p>
        </w:tc>
        <w:tc>
          <w:tcPr>
            <w:tcW w:w="1589" w:type="dxa"/>
            <w:vAlign w:val="center"/>
          </w:tcPr>
          <w:p w14:paraId="6D57E141" w14:textId="77777777" w:rsidR="009A0A63" w:rsidRPr="00792B36" w:rsidRDefault="009A0A63" w:rsidP="00A24459">
            <w:pPr>
              <w:jc w:val="center"/>
              <w:rPr>
                <w:color w:val="000000" w:themeColor="text1"/>
                <w:sz w:val="24"/>
                <w:szCs w:val="24"/>
              </w:rPr>
            </w:pPr>
          </w:p>
        </w:tc>
        <w:tc>
          <w:tcPr>
            <w:tcW w:w="1925" w:type="dxa"/>
            <w:vAlign w:val="bottom"/>
          </w:tcPr>
          <w:p w14:paraId="5F6979EA" w14:textId="77777777" w:rsidR="009A0A63" w:rsidRPr="00792B36" w:rsidRDefault="009A0A63" w:rsidP="00A24459">
            <w:pPr>
              <w:jc w:val="center"/>
              <w:rPr>
                <w:color w:val="000000" w:themeColor="text1"/>
                <w:sz w:val="24"/>
                <w:szCs w:val="24"/>
              </w:rPr>
            </w:pPr>
            <w:r w:rsidRPr="00792B36">
              <w:rPr>
                <w:color w:val="000000" w:themeColor="text1"/>
                <w:sz w:val="24"/>
                <w:szCs w:val="24"/>
              </w:rPr>
              <w:t>5.04</w:t>
            </w:r>
          </w:p>
        </w:tc>
        <w:tc>
          <w:tcPr>
            <w:tcW w:w="2359" w:type="dxa"/>
          </w:tcPr>
          <w:p w14:paraId="6C76F739" w14:textId="77777777" w:rsidR="009A0A63" w:rsidRPr="00792B36" w:rsidRDefault="009A0A63" w:rsidP="00A24459">
            <w:pPr>
              <w:jc w:val="center"/>
              <w:rPr>
                <w:color w:val="000000" w:themeColor="text1"/>
                <w:sz w:val="24"/>
                <w:szCs w:val="24"/>
              </w:rPr>
            </w:pPr>
            <w:r w:rsidRPr="00792B36">
              <w:rPr>
                <w:color w:val="000000" w:themeColor="text1"/>
                <w:sz w:val="24"/>
                <w:szCs w:val="24"/>
              </w:rPr>
              <w:t>-</w:t>
            </w:r>
          </w:p>
        </w:tc>
        <w:tc>
          <w:tcPr>
            <w:tcW w:w="2576" w:type="dxa"/>
          </w:tcPr>
          <w:p w14:paraId="2AF73128" w14:textId="77777777" w:rsidR="009A0A63" w:rsidRPr="00792B36" w:rsidRDefault="009A0A63" w:rsidP="00A24459">
            <w:pPr>
              <w:jc w:val="center"/>
              <w:rPr>
                <w:color w:val="000000" w:themeColor="text1"/>
                <w:sz w:val="24"/>
                <w:szCs w:val="24"/>
              </w:rPr>
            </w:pPr>
            <w:r w:rsidRPr="00792B36">
              <w:rPr>
                <w:color w:val="000000" w:themeColor="text1"/>
                <w:sz w:val="24"/>
                <w:szCs w:val="24"/>
              </w:rPr>
              <w:t>Fringing Reef</w:t>
            </w:r>
          </w:p>
        </w:tc>
        <w:tc>
          <w:tcPr>
            <w:tcW w:w="2420" w:type="dxa"/>
          </w:tcPr>
          <w:p w14:paraId="68259123" w14:textId="77777777" w:rsidR="009A0A63" w:rsidRPr="00792B36" w:rsidRDefault="009A0A63" w:rsidP="00A24459">
            <w:pPr>
              <w:jc w:val="center"/>
              <w:rPr>
                <w:color w:val="000000" w:themeColor="text1"/>
                <w:sz w:val="24"/>
                <w:szCs w:val="24"/>
              </w:rPr>
            </w:pPr>
            <w:r w:rsidRPr="00792B36">
              <w:rPr>
                <w:color w:val="000000" w:themeColor="text1"/>
                <w:sz w:val="24"/>
                <w:szCs w:val="24"/>
              </w:rPr>
              <w:t>-</w:t>
            </w:r>
          </w:p>
        </w:tc>
      </w:tr>
      <w:tr w:rsidR="009A0A63" w:rsidRPr="00792B36" w14:paraId="7E4C8FC1" w14:textId="77777777" w:rsidTr="00A24459">
        <w:tc>
          <w:tcPr>
            <w:tcW w:w="2081" w:type="dxa"/>
          </w:tcPr>
          <w:p w14:paraId="5517D8FC" w14:textId="77777777" w:rsidR="009A0A63" w:rsidRPr="00792B36" w:rsidRDefault="009A0A63" w:rsidP="00A24459">
            <w:pPr>
              <w:rPr>
                <w:color w:val="000000" w:themeColor="text1"/>
                <w:sz w:val="24"/>
                <w:szCs w:val="24"/>
              </w:rPr>
            </w:pPr>
            <w:r w:rsidRPr="00792B36">
              <w:rPr>
                <w:color w:val="000000" w:themeColor="text1"/>
                <w:sz w:val="24"/>
                <w:szCs w:val="24"/>
              </w:rPr>
              <w:t>CR:5 Koh Tao</w:t>
            </w:r>
          </w:p>
        </w:tc>
        <w:tc>
          <w:tcPr>
            <w:tcW w:w="1589" w:type="dxa"/>
            <w:vAlign w:val="center"/>
          </w:tcPr>
          <w:p w14:paraId="0EEC17B6" w14:textId="77777777" w:rsidR="009A0A63" w:rsidRPr="00792B36" w:rsidRDefault="009A0A63" w:rsidP="00A24459">
            <w:pPr>
              <w:jc w:val="center"/>
              <w:rPr>
                <w:color w:val="000000" w:themeColor="text1"/>
                <w:sz w:val="24"/>
                <w:szCs w:val="24"/>
              </w:rPr>
            </w:pPr>
          </w:p>
        </w:tc>
        <w:tc>
          <w:tcPr>
            <w:tcW w:w="1925" w:type="dxa"/>
            <w:vAlign w:val="bottom"/>
          </w:tcPr>
          <w:p w14:paraId="125664A1" w14:textId="77777777" w:rsidR="009A0A63" w:rsidRPr="00792B36" w:rsidRDefault="009A0A63" w:rsidP="00A24459">
            <w:pPr>
              <w:jc w:val="center"/>
              <w:rPr>
                <w:color w:val="000000" w:themeColor="text1"/>
                <w:sz w:val="24"/>
                <w:szCs w:val="24"/>
              </w:rPr>
            </w:pPr>
            <w:r w:rsidRPr="00792B36">
              <w:rPr>
                <w:color w:val="000000" w:themeColor="text1"/>
                <w:sz w:val="24"/>
                <w:szCs w:val="24"/>
              </w:rPr>
              <w:t>0.66</w:t>
            </w:r>
          </w:p>
        </w:tc>
        <w:tc>
          <w:tcPr>
            <w:tcW w:w="2359" w:type="dxa"/>
          </w:tcPr>
          <w:p w14:paraId="175F4138" w14:textId="77777777" w:rsidR="009A0A63" w:rsidRPr="00792B36" w:rsidRDefault="009A0A63" w:rsidP="00A24459">
            <w:pPr>
              <w:jc w:val="center"/>
              <w:rPr>
                <w:color w:val="000000" w:themeColor="text1"/>
                <w:sz w:val="24"/>
                <w:szCs w:val="24"/>
              </w:rPr>
            </w:pPr>
            <w:r w:rsidRPr="00792B36">
              <w:rPr>
                <w:color w:val="000000" w:themeColor="text1"/>
                <w:sz w:val="24"/>
                <w:szCs w:val="24"/>
              </w:rPr>
              <w:t>-</w:t>
            </w:r>
          </w:p>
        </w:tc>
        <w:tc>
          <w:tcPr>
            <w:tcW w:w="2576" w:type="dxa"/>
          </w:tcPr>
          <w:p w14:paraId="3C55B4D2" w14:textId="77777777" w:rsidR="009A0A63" w:rsidRPr="00792B36" w:rsidRDefault="009A0A63" w:rsidP="00A24459">
            <w:pPr>
              <w:jc w:val="center"/>
              <w:rPr>
                <w:color w:val="000000" w:themeColor="text1"/>
                <w:sz w:val="24"/>
                <w:szCs w:val="24"/>
              </w:rPr>
            </w:pPr>
            <w:r w:rsidRPr="00792B36">
              <w:rPr>
                <w:color w:val="000000" w:themeColor="text1"/>
                <w:sz w:val="24"/>
                <w:szCs w:val="24"/>
              </w:rPr>
              <w:t>Fringing Reef / Patch Reef</w:t>
            </w:r>
          </w:p>
        </w:tc>
        <w:tc>
          <w:tcPr>
            <w:tcW w:w="2420" w:type="dxa"/>
          </w:tcPr>
          <w:p w14:paraId="3F06ADF6" w14:textId="77777777" w:rsidR="009A0A63" w:rsidRPr="00792B36" w:rsidRDefault="009A0A63" w:rsidP="00A24459">
            <w:pPr>
              <w:jc w:val="center"/>
              <w:rPr>
                <w:color w:val="000000" w:themeColor="text1"/>
                <w:sz w:val="24"/>
                <w:szCs w:val="24"/>
              </w:rPr>
            </w:pPr>
            <w:r w:rsidRPr="00792B36">
              <w:rPr>
                <w:color w:val="000000" w:themeColor="text1"/>
                <w:sz w:val="24"/>
                <w:szCs w:val="24"/>
              </w:rPr>
              <w:t>-</w:t>
            </w:r>
          </w:p>
        </w:tc>
      </w:tr>
      <w:tr w:rsidR="009A0A63" w:rsidRPr="00792B36" w14:paraId="2BDA4F37" w14:textId="77777777" w:rsidTr="00A24459">
        <w:tc>
          <w:tcPr>
            <w:tcW w:w="2081" w:type="dxa"/>
          </w:tcPr>
          <w:p w14:paraId="5A33D3B3" w14:textId="77777777" w:rsidR="009A0A63" w:rsidRPr="00792B36" w:rsidRDefault="009A0A63" w:rsidP="00A24459">
            <w:pPr>
              <w:rPr>
                <w:color w:val="000000" w:themeColor="text1"/>
                <w:sz w:val="24"/>
                <w:szCs w:val="24"/>
              </w:rPr>
            </w:pPr>
            <w:r w:rsidRPr="00792B36">
              <w:rPr>
                <w:color w:val="000000" w:themeColor="text1"/>
                <w:sz w:val="24"/>
                <w:szCs w:val="24"/>
              </w:rPr>
              <w:t>CR:6 Koh Kra</w:t>
            </w:r>
          </w:p>
        </w:tc>
        <w:tc>
          <w:tcPr>
            <w:tcW w:w="1589" w:type="dxa"/>
            <w:vAlign w:val="center"/>
          </w:tcPr>
          <w:p w14:paraId="114D6C25" w14:textId="77777777" w:rsidR="009A0A63" w:rsidRPr="00792B36" w:rsidRDefault="009A0A63" w:rsidP="00A24459">
            <w:pPr>
              <w:jc w:val="center"/>
              <w:rPr>
                <w:color w:val="000000" w:themeColor="text1"/>
                <w:sz w:val="24"/>
                <w:szCs w:val="24"/>
              </w:rPr>
            </w:pPr>
          </w:p>
        </w:tc>
        <w:tc>
          <w:tcPr>
            <w:tcW w:w="1925" w:type="dxa"/>
            <w:vAlign w:val="bottom"/>
          </w:tcPr>
          <w:p w14:paraId="623A936B" w14:textId="77777777" w:rsidR="009A0A63" w:rsidRPr="00792B36" w:rsidRDefault="009A0A63" w:rsidP="00A24459">
            <w:pPr>
              <w:jc w:val="center"/>
              <w:rPr>
                <w:color w:val="000000" w:themeColor="text1"/>
                <w:sz w:val="24"/>
                <w:szCs w:val="24"/>
              </w:rPr>
            </w:pPr>
            <w:r w:rsidRPr="00792B36">
              <w:rPr>
                <w:color w:val="000000" w:themeColor="text1"/>
                <w:sz w:val="24"/>
                <w:szCs w:val="24"/>
              </w:rPr>
              <w:t>0.13</w:t>
            </w:r>
          </w:p>
        </w:tc>
        <w:tc>
          <w:tcPr>
            <w:tcW w:w="2359" w:type="dxa"/>
          </w:tcPr>
          <w:p w14:paraId="7C3650C0" w14:textId="77777777" w:rsidR="009A0A63" w:rsidRPr="00792B36" w:rsidRDefault="009A0A63" w:rsidP="00A24459">
            <w:pPr>
              <w:jc w:val="center"/>
              <w:rPr>
                <w:color w:val="000000" w:themeColor="text1"/>
                <w:sz w:val="24"/>
                <w:szCs w:val="24"/>
              </w:rPr>
            </w:pPr>
            <w:r w:rsidRPr="00792B36">
              <w:rPr>
                <w:color w:val="000000" w:themeColor="text1"/>
                <w:sz w:val="24"/>
                <w:szCs w:val="24"/>
              </w:rPr>
              <w:t>-</w:t>
            </w:r>
          </w:p>
        </w:tc>
        <w:tc>
          <w:tcPr>
            <w:tcW w:w="2576" w:type="dxa"/>
          </w:tcPr>
          <w:p w14:paraId="4AC4D0A2" w14:textId="77777777" w:rsidR="009A0A63" w:rsidRPr="00792B36" w:rsidRDefault="009A0A63" w:rsidP="00A24459">
            <w:pPr>
              <w:jc w:val="center"/>
              <w:rPr>
                <w:color w:val="000000" w:themeColor="text1"/>
                <w:sz w:val="24"/>
                <w:szCs w:val="24"/>
              </w:rPr>
            </w:pPr>
            <w:r w:rsidRPr="00792B36">
              <w:rPr>
                <w:color w:val="000000" w:themeColor="text1"/>
                <w:sz w:val="24"/>
                <w:szCs w:val="24"/>
              </w:rPr>
              <w:t>Small fringing reefs, patch reefs</w:t>
            </w:r>
          </w:p>
        </w:tc>
        <w:tc>
          <w:tcPr>
            <w:tcW w:w="2420" w:type="dxa"/>
          </w:tcPr>
          <w:p w14:paraId="7B84AC7E" w14:textId="77777777" w:rsidR="009A0A63" w:rsidRPr="00792B36" w:rsidRDefault="009A0A63" w:rsidP="00A24459">
            <w:pPr>
              <w:jc w:val="center"/>
              <w:rPr>
                <w:color w:val="000000" w:themeColor="text1"/>
                <w:sz w:val="24"/>
                <w:szCs w:val="24"/>
              </w:rPr>
            </w:pPr>
            <w:r w:rsidRPr="00792B36">
              <w:rPr>
                <w:color w:val="000000" w:themeColor="text1"/>
                <w:sz w:val="24"/>
                <w:szCs w:val="24"/>
              </w:rPr>
              <w:t>-</w:t>
            </w:r>
          </w:p>
        </w:tc>
      </w:tr>
      <w:tr w:rsidR="009A0A63" w:rsidRPr="00792B36" w14:paraId="19C9F711" w14:textId="77777777" w:rsidTr="00A24459">
        <w:tc>
          <w:tcPr>
            <w:tcW w:w="2081" w:type="dxa"/>
          </w:tcPr>
          <w:p w14:paraId="711DCAF7" w14:textId="77777777" w:rsidR="009A0A63" w:rsidRPr="00792B36" w:rsidRDefault="009A0A63" w:rsidP="00A24459">
            <w:pPr>
              <w:rPr>
                <w:color w:val="000000" w:themeColor="text1"/>
                <w:sz w:val="24"/>
                <w:szCs w:val="24"/>
              </w:rPr>
            </w:pPr>
            <w:r w:rsidRPr="00792B36">
              <w:rPr>
                <w:color w:val="000000" w:themeColor="text1"/>
                <w:sz w:val="24"/>
                <w:szCs w:val="24"/>
              </w:rPr>
              <w:t>CR:7 Koh Losin</w:t>
            </w:r>
          </w:p>
        </w:tc>
        <w:tc>
          <w:tcPr>
            <w:tcW w:w="1589" w:type="dxa"/>
            <w:vAlign w:val="center"/>
          </w:tcPr>
          <w:p w14:paraId="1F006BB4" w14:textId="77777777" w:rsidR="009A0A63" w:rsidRPr="00792B36" w:rsidRDefault="009A0A63" w:rsidP="00A24459">
            <w:pPr>
              <w:jc w:val="center"/>
              <w:rPr>
                <w:color w:val="000000" w:themeColor="text1"/>
                <w:sz w:val="24"/>
                <w:szCs w:val="24"/>
              </w:rPr>
            </w:pPr>
          </w:p>
        </w:tc>
        <w:tc>
          <w:tcPr>
            <w:tcW w:w="1925" w:type="dxa"/>
            <w:vAlign w:val="bottom"/>
          </w:tcPr>
          <w:p w14:paraId="6E30A989" w14:textId="77777777" w:rsidR="009A0A63" w:rsidRPr="00792B36" w:rsidRDefault="009A0A63" w:rsidP="00A24459">
            <w:pPr>
              <w:jc w:val="center"/>
              <w:rPr>
                <w:color w:val="000000" w:themeColor="text1"/>
                <w:sz w:val="24"/>
                <w:szCs w:val="24"/>
              </w:rPr>
            </w:pPr>
            <w:r w:rsidRPr="00792B36">
              <w:rPr>
                <w:color w:val="000000" w:themeColor="text1"/>
                <w:sz w:val="24"/>
                <w:szCs w:val="24"/>
              </w:rPr>
              <w:t>0.35</w:t>
            </w:r>
          </w:p>
        </w:tc>
        <w:tc>
          <w:tcPr>
            <w:tcW w:w="2359" w:type="dxa"/>
          </w:tcPr>
          <w:p w14:paraId="5BE4E21B" w14:textId="77777777" w:rsidR="009A0A63" w:rsidRPr="00792B36" w:rsidRDefault="009A0A63" w:rsidP="00A24459">
            <w:pPr>
              <w:jc w:val="center"/>
              <w:rPr>
                <w:color w:val="000000" w:themeColor="text1"/>
                <w:sz w:val="24"/>
                <w:szCs w:val="24"/>
              </w:rPr>
            </w:pPr>
            <w:r w:rsidRPr="00792B36">
              <w:rPr>
                <w:color w:val="000000" w:themeColor="text1"/>
                <w:sz w:val="24"/>
                <w:szCs w:val="24"/>
              </w:rPr>
              <w:t>-</w:t>
            </w:r>
          </w:p>
        </w:tc>
        <w:tc>
          <w:tcPr>
            <w:tcW w:w="2576" w:type="dxa"/>
            <w:vAlign w:val="center"/>
          </w:tcPr>
          <w:p w14:paraId="76C310E1" w14:textId="77777777" w:rsidR="009A0A63" w:rsidRPr="00792B36" w:rsidRDefault="009A0A63" w:rsidP="00A24459">
            <w:pPr>
              <w:jc w:val="center"/>
              <w:rPr>
                <w:color w:val="000000" w:themeColor="text1"/>
                <w:sz w:val="24"/>
                <w:szCs w:val="24"/>
              </w:rPr>
            </w:pPr>
            <w:r w:rsidRPr="00792B36">
              <w:rPr>
                <w:color w:val="000000" w:themeColor="text1"/>
                <w:sz w:val="24"/>
                <w:szCs w:val="24"/>
              </w:rPr>
              <w:t>Fringing Reef/ Small patch reefs</w:t>
            </w:r>
          </w:p>
        </w:tc>
        <w:tc>
          <w:tcPr>
            <w:tcW w:w="2420" w:type="dxa"/>
          </w:tcPr>
          <w:p w14:paraId="346B773C" w14:textId="77777777" w:rsidR="009A0A63" w:rsidRPr="00792B36" w:rsidRDefault="009A0A63" w:rsidP="00A24459">
            <w:pPr>
              <w:jc w:val="center"/>
              <w:rPr>
                <w:color w:val="000000" w:themeColor="text1"/>
                <w:sz w:val="24"/>
                <w:szCs w:val="24"/>
              </w:rPr>
            </w:pPr>
            <w:r w:rsidRPr="00792B36">
              <w:rPr>
                <w:color w:val="000000" w:themeColor="text1"/>
                <w:sz w:val="24"/>
                <w:szCs w:val="24"/>
              </w:rPr>
              <w:t>-</w:t>
            </w:r>
          </w:p>
        </w:tc>
      </w:tr>
      <w:tr w:rsidR="009A0A63" w:rsidRPr="00792B36" w14:paraId="5FDC4571" w14:textId="77777777" w:rsidTr="00A24459">
        <w:tc>
          <w:tcPr>
            <w:tcW w:w="2081" w:type="dxa"/>
          </w:tcPr>
          <w:p w14:paraId="7417F87A" w14:textId="77777777" w:rsidR="009A0A63" w:rsidRPr="00792B36" w:rsidRDefault="009A0A63" w:rsidP="00A24459">
            <w:pPr>
              <w:rPr>
                <w:color w:val="000000" w:themeColor="text1"/>
                <w:sz w:val="24"/>
                <w:szCs w:val="24"/>
              </w:rPr>
            </w:pPr>
            <w:r w:rsidRPr="00792B36">
              <w:rPr>
                <w:color w:val="000000" w:themeColor="text1"/>
                <w:sz w:val="24"/>
                <w:szCs w:val="24"/>
              </w:rPr>
              <w:t xml:space="preserve">CR:8 Underwater pinnacle </w:t>
            </w:r>
            <w:r w:rsidRPr="00792B36">
              <w:rPr>
                <w:color w:val="000000" w:themeColor="text1"/>
                <w:sz w:val="24"/>
                <w:szCs w:val="24"/>
              </w:rPr>
              <w:lastRenderedPageBreak/>
              <w:t>Chumphon Province</w:t>
            </w:r>
          </w:p>
        </w:tc>
        <w:tc>
          <w:tcPr>
            <w:tcW w:w="1589" w:type="dxa"/>
            <w:vAlign w:val="center"/>
          </w:tcPr>
          <w:p w14:paraId="56A44E17" w14:textId="77777777" w:rsidR="009A0A63" w:rsidRPr="00792B36" w:rsidRDefault="009A0A63" w:rsidP="00A24459">
            <w:pPr>
              <w:jc w:val="center"/>
              <w:rPr>
                <w:color w:val="000000" w:themeColor="text1"/>
                <w:sz w:val="24"/>
                <w:szCs w:val="24"/>
              </w:rPr>
            </w:pPr>
          </w:p>
        </w:tc>
        <w:tc>
          <w:tcPr>
            <w:tcW w:w="1925" w:type="dxa"/>
            <w:vAlign w:val="center"/>
          </w:tcPr>
          <w:p w14:paraId="7854A63D" w14:textId="77777777" w:rsidR="009A0A63" w:rsidRPr="00792B36" w:rsidRDefault="009A0A63" w:rsidP="00A24459">
            <w:pPr>
              <w:jc w:val="center"/>
              <w:rPr>
                <w:color w:val="000000" w:themeColor="text1"/>
                <w:sz w:val="24"/>
                <w:szCs w:val="24"/>
              </w:rPr>
            </w:pPr>
          </w:p>
        </w:tc>
        <w:tc>
          <w:tcPr>
            <w:tcW w:w="2359" w:type="dxa"/>
          </w:tcPr>
          <w:p w14:paraId="627A62DA" w14:textId="77777777" w:rsidR="009A0A63" w:rsidRPr="00792B36" w:rsidRDefault="009A0A63" w:rsidP="00A24459">
            <w:pPr>
              <w:jc w:val="center"/>
              <w:rPr>
                <w:color w:val="000000" w:themeColor="text1"/>
                <w:sz w:val="24"/>
                <w:szCs w:val="24"/>
              </w:rPr>
            </w:pPr>
            <w:r w:rsidRPr="00792B36">
              <w:rPr>
                <w:color w:val="000000" w:themeColor="text1"/>
                <w:sz w:val="24"/>
                <w:szCs w:val="24"/>
              </w:rPr>
              <w:t>-</w:t>
            </w:r>
          </w:p>
        </w:tc>
        <w:tc>
          <w:tcPr>
            <w:tcW w:w="2576" w:type="dxa"/>
            <w:vAlign w:val="center"/>
          </w:tcPr>
          <w:p w14:paraId="0C2F263B" w14:textId="77777777" w:rsidR="009A0A63" w:rsidRPr="00792B36" w:rsidRDefault="009A0A63" w:rsidP="00A24459">
            <w:pPr>
              <w:jc w:val="center"/>
              <w:rPr>
                <w:color w:val="000000" w:themeColor="text1"/>
                <w:sz w:val="24"/>
                <w:szCs w:val="24"/>
              </w:rPr>
            </w:pPr>
            <w:r w:rsidRPr="00792B36">
              <w:rPr>
                <w:color w:val="000000" w:themeColor="text1"/>
                <w:sz w:val="24"/>
                <w:szCs w:val="24"/>
              </w:rPr>
              <w:t>-</w:t>
            </w:r>
          </w:p>
        </w:tc>
        <w:tc>
          <w:tcPr>
            <w:tcW w:w="2420" w:type="dxa"/>
          </w:tcPr>
          <w:p w14:paraId="07DA6188" w14:textId="77777777" w:rsidR="009A0A63" w:rsidRPr="00792B36" w:rsidRDefault="009A0A63" w:rsidP="00A24459">
            <w:pPr>
              <w:jc w:val="center"/>
              <w:rPr>
                <w:color w:val="000000" w:themeColor="text1"/>
                <w:sz w:val="24"/>
                <w:szCs w:val="24"/>
              </w:rPr>
            </w:pPr>
          </w:p>
        </w:tc>
      </w:tr>
      <w:tr w:rsidR="009A0A63" w:rsidRPr="00792B36" w14:paraId="2B1D81C9" w14:textId="77777777" w:rsidTr="00A24459">
        <w:tc>
          <w:tcPr>
            <w:tcW w:w="2081" w:type="dxa"/>
          </w:tcPr>
          <w:p w14:paraId="2060F23E" w14:textId="77777777" w:rsidR="009A0A63" w:rsidRPr="00792B36" w:rsidRDefault="009A0A63" w:rsidP="00A24459">
            <w:pPr>
              <w:rPr>
                <w:b/>
                <w:bCs/>
                <w:color w:val="000000" w:themeColor="text1"/>
                <w:sz w:val="24"/>
                <w:szCs w:val="24"/>
                <w:cs/>
              </w:rPr>
            </w:pPr>
            <w:r w:rsidRPr="00792B36">
              <w:rPr>
                <w:rStyle w:val="Strong"/>
                <w:rFonts w:eastAsiaTheme="minorEastAsia"/>
                <w:color w:val="000000" w:themeColor="text1"/>
                <w:sz w:val="24"/>
                <w:szCs w:val="24"/>
              </w:rPr>
              <w:t>SG1: Ban Don Bay</w:t>
            </w:r>
          </w:p>
        </w:tc>
        <w:tc>
          <w:tcPr>
            <w:tcW w:w="1589" w:type="dxa"/>
            <w:vAlign w:val="center"/>
          </w:tcPr>
          <w:p w14:paraId="423A0778" w14:textId="77777777" w:rsidR="009A0A63" w:rsidRPr="00792B36" w:rsidRDefault="009A0A63" w:rsidP="00A24459">
            <w:pPr>
              <w:jc w:val="center"/>
              <w:rPr>
                <w:color w:val="000000" w:themeColor="text1"/>
                <w:sz w:val="24"/>
                <w:szCs w:val="24"/>
              </w:rPr>
            </w:pPr>
          </w:p>
        </w:tc>
        <w:tc>
          <w:tcPr>
            <w:tcW w:w="1925" w:type="dxa"/>
            <w:vAlign w:val="center"/>
          </w:tcPr>
          <w:p w14:paraId="473D635B" w14:textId="77777777" w:rsidR="009A0A63" w:rsidRPr="00792B36" w:rsidRDefault="009A0A63" w:rsidP="00A24459">
            <w:pPr>
              <w:jc w:val="center"/>
              <w:rPr>
                <w:color w:val="000000" w:themeColor="text1"/>
                <w:sz w:val="24"/>
                <w:szCs w:val="24"/>
              </w:rPr>
            </w:pPr>
            <w:r w:rsidRPr="00792B36">
              <w:rPr>
                <w:color w:val="000000" w:themeColor="text1"/>
                <w:sz w:val="24"/>
                <w:szCs w:val="24"/>
              </w:rPr>
              <w:t>-</w:t>
            </w:r>
          </w:p>
        </w:tc>
        <w:tc>
          <w:tcPr>
            <w:tcW w:w="2359" w:type="dxa"/>
          </w:tcPr>
          <w:p w14:paraId="19196EF4" w14:textId="77777777" w:rsidR="009A0A63" w:rsidRPr="00792B36" w:rsidRDefault="009A0A63" w:rsidP="00A24459">
            <w:pPr>
              <w:jc w:val="center"/>
              <w:rPr>
                <w:color w:val="000000" w:themeColor="text1"/>
                <w:sz w:val="24"/>
                <w:szCs w:val="24"/>
              </w:rPr>
            </w:pPr>
            <w:r w:rsidRPr="00792B36">
              <w:rPr>
                <w:color w:val="000000" w:themeColor="text1"/>
                <w:sz w:val="24"/>
                <w:szCs w:val="24"/>
                <w:cs/>
              </w:rPr>
              <w:t>12.74</w:t>
            </w:r>
          </w:p>
        </w:tc>
        <w:tc>
          <w:tcPr>
            <w:tcW w:w="2576" w:type="dxa"/>
            <w:vAlign w:val="center"/>
          </w:tcPr>
          <w:p w14:paraId="7FC258C2" w14:textId="77777777" w:rsidR="009A0A63" w:rsidRPr="00792B36" w:rsidRDefault="009A0A63" w:rsidP="00A24459">
            <w:pPr>
              <w:jc w:val="center"/>
              <w:rPr>
                <w:color w:val="000000" w:themeColor="text1"/>
                <w:sz w:val="24"/>
                <w:szCs w:val="24"/>
              </w:rPr>
            </w:pPr>
          </w:p>
        </w:tc>
        <w:tc>
          <w:tcPr>
            <w:tcW w:w="2420" w:type="dxa"/>
          </w:tcPr>
          <w:p w14:paraId="5DD40DAD" w14:textId="77777777" w:rsidR="009A0A63" w:rsidRPr="00792B36" w:rsidRDefault="009A0A63" w:rsidP="00A24459">
            <w:pPr>
              <w:jc w:val="center"/>
              <w:rPr>
                <w:color w:val="000000" w:themeColor="text1"/>
                <w:sz w:val="24"/>
                <w:szCs w:val="24"/>
              </w:rPr>
            </w:pPr>
          </w:p>
        </w:tc>
      </w:tr>
      <w:tr w:rsidR="009A0A63" w:rsidRPr="00792B36" w14:paraId="3B79E0B1" w14:textId="77777777" w:rsidTr="00A24459">
        <w:tc>
          <w:tcPr>
            <w:tcW w:w="2081" w:type="dxa"/>
          </w:tcPr>
          <w:p w14:paraId="2608D0FD" w14:textId="77777777" w:rsidR="009A0A63" w:rsidRPr="00792B36" w:rsidRDefault="009A0A63" w:rsidP="00A24459">
            <w:pPr>
              <w:rPr>
                <w:rStyle w:val="Strong"/>
                <w:rFonts w:eastAsiaTheme="minorEastAsia"/>
                <w:b w:val="0"/>
                <w:bCs w:val="0"/>
                <w:color w:val="000000" w:themeColor="text1"/>
                <w:sz w:val="24"/>
                <w:szCs w:val="24"/>
              </w:rPr>
            </w:pPr>
            <w:r w:rsidRPr="00792B36">
              <w:rPr>
                <w:rStyle w:val="Strong"/>
                <w:rFonts w:eastAsiaTheme="minorEastAsia"/>
                <w:color w:val="000000" w:themeColor="text1"/>
                <w:sz w:val="24"/>
                <w:szCs w:val="24"/>
              </w:rPr>
              <w:t>SG2: Chumphon</w:t>
            </w:r>
          </w:p>
        </w:tc>
        <w:tc>
          <w:tcPr>
            <w:tcW w:w="1589" w:type="dxa"/>
            <w:vAlign w:val="center"/>
          </w:tcPr>
          <w:p w14:paraId="3B465300" w14:textId="77777777" w:rsidR="009A0A63" w:rsidRPr="00792B36" w:rsidRDefault="009A0A63" w:rsidP="00A24459">
            <w:pPr>
              <w:jc w:val="center"/>
              <w:rPr>
                <w:color w:val="000000" w:themeColor="text1"/>
                <w:sz w:val="24"/>
                <w:szCs w:val="24"/>
              </w:rPr>
            </w:pPr>
          </w:p>
        </w:tc>
        <w:tc>
          <w:tcPr>
            <w:tcW w:w="1925" w:type="dxa"/>
            <w:vAlign w:val="center"/>
          </w:tcPr>
          <w:p w14:paraId="13EAFFB8" w14:textId="77777777" w:rsidR="009A0A63" w:rsidRPr="00792B36" w:rsidRDefault="009A0A63" w:rsidP="00A24459">
            <w:pPr>
              <w:jc w:val="center"/>
              <w:rPr>
                <w:color w:val="000000" w:themeColor="text1"/>
                <w:sz w:val="24"/>
                <w:szCs w:val="24"/>
              </w:rPr>
            </w:pPr>
            <w:r w:rsidRPr="00792B36">
              <w:rPr>
                <w:color w:val="000000" w:themeColor="text1"/>
                <w:sz w:val="24"/>
                <w:szCs w:val="24"/>
              </w:rPr>
              <w:t>-</w:t>
            </w:r>
          </w:p>
        </w:tc>
        <w:tc>
          <w:tcPr>
            <w:tcW w:w="2359" w:type="dxa"/>
          </w:tcPr>
          <w:p w14:paraId="3960EBB8" w14:textId="77777777" w:rsidR="009A0A63" w:rsidRPr="00792B36" w:rsidRDefault="009A0A63" w:rsidP="00A24459">
            <w:pPr>
              <w:jc w:val="center"/>
              <w:rPr>
                <w:color w:val="000000" w:themeColor="text1"/>
                <w:sz w:val="24"/>
                <w:szCs w:val="24"/>
              </w:rPr>
            </w:pPr>
            <w:r w:rsidRPr="00792B36">
              <w:rPr>
                <w:color w:val="000000" w:themeColor="text1"/>
                <w:sz w:val="24"/>
                <w:szCs w:val="24"/>
                <w:cs/>
              </w:rPr>
              <w:t>11.64</w:t>
            </w:r>
          </w:p>
        </w:tc>
        <w:tc>
          <w:tcPr>
            <w:tcW w:w="2576" w:type="dxa"/>
            <w:vAlign w:val="center"/>
          </w:tcPr>
          <w:p w14:paraId="563FBC52" w14:textId="77777777" w:rsidR="009A0A63" w:rsidRPr="00792B36" w:rsidRDefault="009A0A63" w:rsidP="00A24459">
            <w:pPr>
              <w:jc w:val="center"/>
              <w:rPr>
                <w:color w:val="000000" w:themeColor="text1"/>
                <w:sz w:val="24"/>
                <w:szCs w:val="24"/>
              </w:rPr>
            </w:pPr>
          </w:p>
        </w:tc>
        <w:tc>
          <w:tcPr>
            <w:tcW w:w="2420" w:type="dxa"/>
          </w:tcPr>
          <w:p w14:paraId="662884C1" w14:textId="77777777" w:rsidR="009A0A63" w:rsidRPr="00792B36" w:rsidRDefault="009A0A63" w:rsidP="00A24459">
            <w:pPr>
              <w:jc w:val="center"/>
              <w:rPr>
                <w:color w:val="000000" w:themeColor="text1"/>
                <w:sz w:val="24"/>
                <w:szCs w:val="24"/>
              </w:rPr>
            </w:pPr>
          </w:p>
        </w:tc>
      </w:tr>
      <w:bookmarkEnd w:id="38"/>
    </w:tbl>
    <w:p w14:paraId="4DADB473" w14:textId="77777777" w:rsidR="009A0A63" w:rsidRPr="00792B36" w:rsidRDefault="009A0A63" w:rsidP="009A0A63">
      <w:pPr>
        <w:rPr>
          <w:color w:val="000000" w:themeColor="text1"/>
          <w:sz w:val="24"/>
          <w:szCs w:val="24"/>
        </w:rPr>
      </w:pPr>
    </w:p>
    <w:p w14:paraId="1BF08AED" w14:textId="77777777" w:rsidR="009A0A63" w:rsidRPr="00792B36" w:rsidRDefault="009A0A63" w:rsidP="00F61B37">
      <w:pPr>
        <w:pStyle w:val="ListParagraph"/>
        <w:widowControl/>
        <w:numPr>
          <w:ilvl w:val="0"/>
          <w:numId w:val="45"/>
        </w:numPr>
        <w:spacing w:line="259" w:lineRule="auto"/>
        <w:ind w:left="1134" w:hanging="283"/>
        <w:rPr>
          <w:rFonts w:cs="Arial"/>
          <w:b/>
          <w:bCs/>
          <w:color w:val="000000" w:themeColor="text1"/>
          <w:sz w:val="24"/>
          <w:szCs w:val="24"/>
        </w:rPr>
      </w:pPr>
      <w:r w:rsidRPr="00792B36">
        <w:rPr>
          <w:rFonts w:cs="Arial"/>
          <w:b/>
          <w:bCs/>
          <w:color w:val="000000" w:themeColor="text1"/>
          <w:sz w:val="24"/>
          <w:szCs w:val="24"/>
        </w:rPr>
        <w:t>Environmental state information</w:t>
      </w:r>
    </w:p>
    <w:p w14:paraId="760E7631" w14:textId="77777777" w:rsidR="009A0A63" w:rsidRPr="00792B36" w:rsidRDefault="009A0A63" w:rsidP="009A0A63">
      <w:pPr>
        <w:pStyle w:val="ListParagraph"/>
        <w:ind w:left="1134"/>
        <w:rPr>
          <w:rFonts w:cs="Arial"/>
          <w:b/>
          <w:bCs/>
          <w:i/>
          <w:iCs/>
          <w:color w:val="000000" w:themeColor="text1"/>
          <w:sz w:val="24"/>
          <w:szCs w:val="24"/>
        </w:rPr>
      </w:pPr>
      <w:r w:rsidRPr="00792B36">
        <w:rPr>
          <w:rFonts w:cs="Arial"/>
          <w:b/>
          <w:bCs/>
          <w:i/>
          <w:iCs/>
          <w:color w:val="000000" w:themeColor="text1"/>
          <w:sz w:val="24"/>
          <w:szCs w:val="24"/>
        </w:rPr>
        <w:t xml:space="preserve">Present status, composition of coral reefs </w:t>
      </w:r>
      <w:r w:rsidRPr="00792B36">
        <w:rPr>
          <w:rFonts w:cs="Arial"/>
          <w:b/>
          <w:bCs/>
          <w:i/>
          <w:iCs/>
          <w:color w:val="000000" w:themeColor="text1"/>
          <w:sz w:val="24"/>
          <w:szCs w:val="24"/>
          <w:cs/>
        </w:rPr>
        <w:t>(</w:t>
      </w:r>
      <w:r w:rsidRPr="00792B36">
        <w:rPr>
          <w:rFonts w:cs="Arial"/>
          <w:b/>
          <w:bCs/>
          <w:i/>
          <w:iCs/>
          <w:color w:val="000000" w:themeColor="text1"/>
          <w:sz w:val="24"/>
          <w:szCs w:val="24"/>
        </w:rPr>
        <w:t>live coral, dead coral, sand, rock and other</w:t>
      </w:r>
      <w:r w:rsidRPr="00792B36">
        <w:rPr>
          <w:rFonts w:cs="Arial"/>
          <w:b/>
          <w:bCs/>
          <w:i/>
          <w:iCs/>
          <w:color w:val="000000" w:themeColor="text1"/>
          <w:sz w:val="24"/>
          <w:szCs w:val="24"/>
          <w:cs/>
        </w:rPr>
        <w:t>)</w:t>
      </w:r>
    </w:p>
    <w:p w14:paraId="23D93CAC" w14:textId="77777777" w:rsidR="009A0A63" w:rsidRPr="00792B36" w:rsidRDefault="009A0A63" w:rsidP="009A0A63">
      <w:pPr>
        <w:pStyle w:val="ListParagraph"/>
        <w:ind w:left="0" w:firstLine="1134"/>
        <w:jc w:val="thaiDistribute"/>
        <w:rPr>
          <w:rFonts w:cs="Arial"/>
          <w:color w:val="000000" w:themeColor="text1"/>
          <w:sz w:val="24"/>
          <w:szCs w:val="24"/>
        </w:rPr>
      </w:pPr>
      <w:r w:rsidRPr="00792B36">
        <w:rPr>
          <w:rFonts w:cs="Arial"/>
          <w:color w:val="000000" w:themeColor="text1"/>
          <w:sz w:val="24"/>
          <w:szCs w:val="24"/>
        </w:rPr>
        <w:t>An assessment of coral reef conditions across sites in the Gulf of Thailand demonstrates distinct variability in reef health and substrate composition. The highest proportion of live coral cover is recorded at Koh Losin (</w:t>
      </w:r>
      <w:r w:rsidRPr="00792B36">
        <w:rPr>
          <w:rFonts w:cs="Arial"/>
          <w:color w:val="000000" w:themeColor="text1"/>
          <w:sz w:val="24"/>
          <w:szCs w:val="24"/>
          <w:cs/>
        </w:rPr>
        <w:t>69.50%)</w:t>
      </w:r>
      <w:r w:rsidRPr="00792B36">
        <w:rPr>
          <w:rFonts w:cs="Arial"/>
          <w:color w:val="000000" w:themeColor="text1"/>
          <w:sz w:val="24"/>
          <w:szCs w:val="24"/>
        </w:rPr>
        <w:t>, followed by Koh Tao (</w:t>
      </w:r>
      <w:r w:rsidRPr="00792B36">
        <w:rPr>
          <w:rFonts w:cs="Arial"/>
          <w:color w:val="000000" w:themeColor="text1"/>
          <w:sz w:val="24"/>
          <w:szCs w:val="24"/>
          <w:cs/>
        </w:rPr>
        <w:t xml:space="preserve">61.27%) </w:t>
      </w:r>
      <w:r w:rsidRPr="00792B36">
        <w:rPr>
          <w:rFonts w:cs="Arial"/>
          <w:color w:val="000000" w:themeColor="text1"/>
          <w:sz w:val="24"/>
          <w:szCs w:val="24"/>
        </w:rPr>
        <w:t>and Koh Kra (</w:t>
      </w:r>
      <w:r w:rsidRPr="00792B36">
        <w:rPr>
          <w:rFonts w:cs="Arial"/>
          <w:color w:val="000000" w:themeColor="text1"/>
          <w:sz w:val="24"/>
          <w:szCs w:val="24"/>
          <w:cs/>
        </w:rPr>
        <w:t>59.52%)</w:t>
      </w:r>
      <w:r w:rsidRPr="00792B36">
        <w:rPr>
          <w:rFonts w:cs="Arial"/>
          <w:color w:val="000000" w:themeColor="text1"/>
          <w:sz w:val="24"/>
          <w:szCs w:val="24"/>
        </w:rPr>
        <w:t>, representing healthy to remarkably healthy reef conditions characterized by high structural complexity and ecological integrity. Koh Lan (</w:t>
      </w:r>
      <w:r w:rsidRPr="00792B36">
        <w:rPr>
          <w:rFonts w:cs="Arial"/>
          <w:color w:val="000000" w:themeColor="text1"/>
          <w:sz w:val="24"/>
          <w:szCs w:val="24"/>
          <w:cs/>
        </w:rPr>
        <w:t xml:space="preserve">39.50%) </w:t>
      </w:r>
      <w:r w:rsidRPr="00792B36">
        <w:rPr>
          <w:rFonts w:cs="Arial"/>
          <w:color w:val="000000" w:themeColor="text1"/>
          <w:sz w:val="24"/>
          <w:szCs w:val="24"/>
        </w:rPr>
        <w:t>and Koh Kood (</w:t>
      </w:r>
      <w:r w:rsidRPr="00792B36">
        <w:rPr>
          <w:rFonts w:cs="Arial"/>
          <w:color w:val="000000" w:themeColor="text1"/>
          <w:sz w:val="24"/>
          <w:szCs w:val="24"/>
          <w:cs/>
        </w:rPr>
        <w:t xml:space="preserve">33.45%) </w:t>
      </w:r>
      <w:r w:rsidRPr="00792B36">
        <w:rPr>
          <w:rFonts w:cs="Arial"/>
          <w:color w:val="000000" w:themeColor="text1"/>
          <w:sz w:val="24"/>
          <w:szCs w:val="24"/>
        </w:rPr>
        <w:t>exhibit moderately healthy conditions with a balanced mix of live and dead corals, while Koh Si Chang (</w:t>
      </w:r>
      <w:r w:rsidRPr="00792B36">
        <w:rPr>
          <w:rFonts w:cs="Arial"/>
          <w:color w:val="000000" w:themeColor="text1"/>
          <w:sz w:val="24"/>
          <w:szCs w:val="24"/>
          <w:cs/>
        </w:rPr>
        <w:t xml:space="preserve">29.24%) </w:t>
      </w:r>
      <w:r w:rsidRPr="00792B36">
        <w:rPr>
          <w:rFonts w:cs="Arial"/>
          <w:color w:val="000000" w:themeColor="text1"/>
          <w:sz w:val="24"/>
          <w:szCs w:val="24"/>
        </w:rPr>
        <w:t>and Koh Mak (</w:t>
      </w:r>
      <w:r w:rsidRPr="00792B36">
        <w:rPr>
          <w:rFonts w:cs="Arial"/>
          <w:color w:val="000000" w:themeColor="text1"/>
          <w:sz w:val="24"/>
          <w:szCs w:val="24"/>
          <w:cs/>
        </w:rPr>
        <w:t xml:space="preserve">29.69%) </w:t>
      </w:r>
      <w:r w:rsidRPr="00792B36">
        <w:rPr>
          <w:rFonts w:cs="Arial"/>
          <w:color w:val="000000" w:themeColor="text1"/>
          <w:sz w:val="24"/>
          <w:szCs w:val="24"/>
        </w:rPr>
        <w:t>show degraded to moderately healthy states, marked by higher proportions of dead coral and sand, reflecting anthropogenic impacts such as sedimentation and tourism pressure.</w:t>
      </w:r>
      <w:r w:rsidRPr="00792B36">
        <w:rPr>
          <w:rFonts w:cs="Arial"/>
          <w:color w:val="000000" w:themeColor="text1"/>
          <w:sz w:val="24"/>
          <w:szCs w:val="24"/>
          <w:cs/>
        </w:rPr>
        <w:t xml:space="preserve"> </w:t>
      </w:r>
      <w:r w:rsidRPr="00792B36">
        <w:rPr>
          <w:rFonts w:cs="Arial"/>
          <w:color w:val="000000" w:themeColor="text1"/>
          <w:sz w:val="24"/>
          <w:szCs w:val="24"/>
        </w:rPr>
        <w:t xml:space="preserve">The underwater pinnacles in Chumphon Province maintain healthy reef status with </w:t>
      </w:r>
      <w:r w:rsidRPr="00792B36">
        <w:rPr>
          <w:rFonts w:cs="Arial"/>
          <w:color w:val="000000" w:themeColor="text1"/>
          <w:sz w:val="24"/>
          <w:szCs w:val="24"/>
          <w:cs/>
        </w:rPr>
        <w:t xml:space="preserve">31.11% </w:t>
      </w:r>
      <w:r w:rsidRPr="00792B36">
        <w:rPr>
          <w:rFonts w:cs="Arial"/>
          <w:color w:val="000000" w:themeColor="text1"/>
          <w:sz w:val="24"/>
          <w:szCs w:val="24"/>
        </w:rPr>
        <w:t>live coral and notable rock substrate (</w:t>
      </w:r>
      <w:r w:rsidRPr="00792B36">
        <w:rPr>
          <w:rFonts w:cs="Arial"/>
          <w:color w:val="000000" w:themeColor="text1"/>
          <w:sz w:val="24"/>
          <w:szCs w:val="24"/>
          <w:cs/>
        </w:rPr>
        <w:t>23.77%)</w:t>
      </w:r>
      <w:r w:rsidRPr="00792B36">
        <w:rPr>
          <w:rFonts w:cs="Arial"/>
          <w:color w:val="000000" w:themeColor="text1"/>
          <w:sz w:val="24"/>
          <w:szCs w:val="24"/>
        </w:rPr>
        <w:t>, suggesting resilience under moderate disturbance. In contrast, seagrass habitats are concentrated in Ban Don Bay (</w:t>
      </w:r>
      <w:r w:rsidRPr="00792B36">
        <w:rPr>
          <w:rFonts w:cs="Arial"/>
          <w:color w:val="000000" w:themeColor="text1"/>
          <w:sz w:val="24"/>
          <w:szCs w:val="24"/>
          <w:cs/>
        </w:rPr>
        <w:t xml:space="preserve">12.74%) </w:t>
      </w:r>
      <w:r w:rsidRPr="00792B36">
        <w:rPr>
          <w:rFonts w:cs="Arial"/>
          <w:color w:val="000000" w:themeColor="text1"/>
          <w:sz w:val="24"/>
          <w:szCs w:val="24"/>
        </w:rPr>
        <w:t>and Chumphon (</w:t>
      </w:r>
      <w:r w:rsidRPr="00792B36">
        <w:rPr>
          <w:rFonts w:cs="Arial"/>
          <w:color w:val="000000" w:themeColor="text1"/>
          <w:sz w:val="24"/>
          <w:szCs w:val="24"/>
          <w:cs/>
        </w:rPr>
        <w:t>11.64%)</w:t>
      </w:r>
      <w:r w:rsidRPr="00792B36">
        <w:rPr>
          <w:rFonts w:cs="Arial"/>
          <w:color w:val="000000" w:themeColor="text1"/>
          <w:sz w:val="24"/>
          <w:szCs w:val="24"/>
        </w:rPr>
        <w:t>, highlighting their ecological importance as complementary ecosystems to coral reefs. Overall, these patterns illustrate a clear spatial gradient in reef condition, emphasizing the need for targeted monitoring and adaptive management to enhance reef recovery, sustain biodiversity, and maintain ecological balance across the Gulf of Thailand.</w:t>
      </w:r>
      <w:r w:rsidRPr="00792B36">
        <w:rPr>
          <w:rFonts w:cs="Arial"/>
          <w:color w:val="000000" w:themeColor="text1"/>
          <w:sz w:val="24"/>
          <w:szCs w:val="24"/>
          <w:cs/>
        </w:rPr>
        <w:t xml:space="preserve"> (</w:t>
      </w:r>
      <w:r w:rsidRPr="00792B36">
        <w:rPr>
          <w:rFonts w:cs="Arial"/>
          <w:color w:val="000000" w:themeColor="text1"/>
          <w:sz w:val="24"/>
          <w:szCs w:val="24"/>
        </w:rPr>
        <w:t>Table 12</w:t>
      </w:r>
      <w:r w:rsidRPr="00792B36">
        <w:rPr>
          <w:rFonts w:cs="Arial"/>
          <w:color w:val="000000" w:themeColor="text1"/>
          <w:sz w:val="24"/>
          <w:szCs w:val="24"/>
          <w:cs/>
        </w:rPr>
        <w:t>)</w:t>
      </w:r>
    </w:p>
    <w:p w14:paraId="5FF96A86" w14:textId="77777777" w:rsidR="009A0A63" w:rsidRPr="00792B36" w:rsidRDefault="009A0A63" w:rsidP="009A0A63">
      <w:pPr>
        <w:pStyle w:val="ListParagraph"/>
        <w:ind w:left="0" w:firstLine="1134"/>
        <w:rPr>
          <w:rFonts w:cs="Arial"/>
          <w:color w:val="000000" w:themeColor="text1"/>
          <w:sz w:val="24"/>
          <w:szCs w:val="24"/>
        </w:rPr>
      </w:pPr>
    </w:p>
    <w:p w14:paraId="7E7880ED" w14:textId="77777777" w:rsidR="009A0A63" w:rsidRPr="00792B36" w:rsidRDefault="009A0A63" w:rsidP="009A0A63">
      <w:pPr>
        <w:rPr>
          <w:color w:val="000000" w:themeColor="text1"/>
          <w:sz w:val="24"/>
          <w:szCs w:val="24"/>
          <w:cs/>
        </w:rPr>
      </w:pPr>
      <w:bookmarkStart w:id="39" w:name="_Hlk203233423"/>
      <w:r w:rsidRPr="00792B36">
        <w:rPr>
          <w:b/>
          <w:bCs/>
          <w:color w:val="000000" w:themeColor="text1"/>
          <w:sz w:val="24"/>
          <w:szCs w:val="24"/>
        </w:rPr>
        <w:t>Table 12</w:t>
      </w:r>
      <w:r w:rsidRPr="00792B36">
        <w:rPr>
          <w:b/>
          <w:bCs/>
          <w:color w:val="000000" w:themeColor="text1"/>
          <w:sz w:val="24"/>
          <w:szCs w:val="24"/>
          <w:cs/>
        </w:rPr>
        <w:t xml:space="preserve">. </w:t>
      </w:r>
      <w:r w:rsidRPr="00792B36">
        <w:rPr>
          <w:b/>
          <w:bCs/>
          <w:color w:val="000000" w:themeColor="text1"/>
          <w:sz w:val="24"/>
          <w:szCs w:val="24"/>
        </w:rPr>
        <w:t>Coral and seagrass areas in Thailand (Gulf of Thailand)</w:t>
      </w:r>
      <w:r w:rsidRPr="00792B36">
        <w:rPr>
          <w:b/>
          <w:bCs/>
          <w:color w:val="000000" w:themeColor="text1"/>
          <w:sz w:val="24"/>
          <w:szCs w:val="24"/>
          <w:cs/>
        </w:rPr>
        <w:t xml:space="preserve">: </w:t>
      </w:r>
      <w:r w:rsidRPr="00792B36">
        <w:rPr>
          <w:color w:val="000000" w:themeColor="text1"/>
          <w:sz w:val="24"/>
          <w:szCs w:val="24"/>
        </w:rPr>
        <w:t xml:space="preserve">Environmental state information showing present status, composition of coral reefs </w:t>
      </w:r>
      <w:r w:rsidRPr="00792B36">
        <w:rPr>
          <w:color w:val="000000" w:themeColor="text1"/>
          <w:sz w:val="24"/>
          <w:szCs w:val="24"/>
          <w:cs/>
        </w:rPr>
        <w:t>(</w:t>
      </w:r>
      <w:r w:rsidRPr="00792B36">
        <w:rPr>
          <w:color w:val="000000" w:themeColor="text1"/>
          <w:sz w:val="24"/>
          <w:szCs w:val="24"/>
        </w:rPr>
        <w:t>live coral, dead coral, sand, rock and other</w:t>
      </w:r>
      <w:r w:rsidRPr="00792B36">
        <w:rPr>
          <w:color w:val="000000" w:themeColor="text1"/>
          <w:sz w:val="24"/>
          <w:szCs w:val="24"/>
          <w:cs/>
        </w:rPr>
        <w:t>)</w:t>
      </w:r>
      <w:bookmarkEnd w:id="39"/>
    </w:p>
    <w:tbl>
      <w:tblPr>
        <w:tblStyle w:val="TableGrid"/>
        <w:tblW w:w="0" w:type="auto"/>
        <w:tblLook w:val="04A0" w:firstRow="1" w:lastRow="0" w:firstColumn="1" w:lastColumn="0" w:noHBand="0" w:noVBand="1"/>
      </w:tblPr>
      <w:tblGrid>
        <w:gridCol w:w="1545"/>
        <w:gridCol w:w="1530"/>
        <w:gridCol w:w="843"/>
        <w:gridCol w:w="843"/>
        <w:gridCol w:w="843"/>
        <w:gridCol w:w="843"/>
        <w:gridCol w:w="880"/>
        <w:gridCol w:w="1683"/>
      </w:tblGrid>
      <w:tr w:rsidR="009A0A63" w:rsidRPr="00792B36" w14:paraId="3AEF35ED" w14:textId="77777777" w:rsidTr="00A24459">
        <w:trPr>
          <w:tblHeader/>
        </w:trPr>
        <w:tc>
          <w:tcPr>
            <w:tcW w:w="2689" w:type="dxa"/>
            <w:vMerge w:val="restart"/>
            <w:vAlign w:val="center"/>
          </w:tcPr>
          <w:p w14:paraId="6FF6F3AA" w14:textId="77777777" w:rsidR="009A0A63" w:rsidRPr="00792B36" w:rsidRDefault="009A0A63" w:rsidP="00A24459">
            <w:pPr>
              <w:jc w:val="center"/>
              <w:rPr>
                <w:b/>
                <w:bCs/>
                <w:color w:val="000000" w:themeColor="text1"/>
                <w:sz w:val="24"/>
                <w:szCs w:val="24"/>
              </w:rPr>
            </w:pPr>
            <w:r w:rsidRPr="00792B36">
              <w:rPr>
                <w:b/>
                <w:bCs/>
                <w:color w:val="000000" w:themeColor="text1"/>
                <w:sz w:val="24"/>
                <w:szCs w:val="24"/>
              </w:rPr>
              <w:t>Name of area</w:t>
            </w:r>
          </w:p>
        </w:tc>
        <w:tc>
          <w:tcPr>
            <w:tcW w:w="2126" w:type="dxa"/>
            <w:vMerge w:val="restart"/>
            <w:vAlign w:val="center"/>
          </w:tcPr>
          <w:p w14:paraId="6FEEAC6D" w14:textId="77777777" w:rsidR="009A0A63" w:rsidRPr="00792B36" w:rsidRDefault="009A0A63" w:rsidP="00A24459">
            <w:pPr>
              <w:jc w:val="center"/>
              <w:rPr>
                <w:b/>
                <w:bCs/>
                <w:color w:val="000000" w:themeColor="text1"/>
                <w:sz w:val="24"/>
                <w:szCs w:val="24"/>
              </w:rPr>
            </w:pPr>
            <w:r w:rsidRPr="00792B36">
              <w:rPr>
                <w:b/>
                <w:bCs/>
                <w:color w:val="000000" w:themeColor="text1"/>
                <w:sz w:val="24"/>
                <w:szCs w:val="24"/>
              </w:rPr>
              <w:t>Present status</w:t>
            </w:r>
          </w:p>
        </w:tc>
        <w:tc>
          <w:tcPr>
            <w:tcW w:w="8135" w:type="dxa"/>
            <w:gridSpan w:val="6"/>
            <w:vAlign w:val="center"/>
          </w:tcPr>
          <w:p w14:paraId="3259D28D" w14:textId="77777777" w:rsidR="009A0A63" w:rsidRPr="00792B36" w:rsidRDefault="009A0A63" w:rsidP="00A24459">
            <w:pPr>
              <w:jc w:val="center"/>
              <w:rPr>
                <w:b/>
                <w:bCs/>
                <w:color w:val="000000" w:themeColor="text1"/>
                <w:sz w:val="24"/>
                <w:szCs w:val="24"/>
              </w:rPr>
            </w:pPr>
            <w:r w:rsidRPr="00792B36">
              <w:rPr>
                <w:b/>
                <w:bCs/>
                <w:color w:val="000000" w:themeColor="text1"/>
                <w:sz w:val="24"/>
                <w:szCs w:val="24"/>
              </w:rPr>
              <w:t xml:space="preserve">Composition </w:t>
            </w:r>
            <w:r w:rsidRPr="00792B36">
              <w:rPr>
                <w:b/>
                <w:bCs/>
                <w:color w:val="000000" w:themeColor="text1"/>
                <w:sz w:val="24"/>
                <w:szCs w:val="24"/>
                <w:cs/>
              </w:rPr>
              <w:t>(%)</w:t>
            </w:r>
          </w:p>
        </w:tc>
      </w:tr>
      <w:tr w:rsidR="009A0A63" w:rsidRPr="00792B36" w14:paraId="03C5D9CC" w14:textId="77777777" w:rsidTr="00A24459">
        <w:trPr>
          <w:tblHeader/>
        </w:trPr>
        <w:tc>
          <w:tcPr>
            <w:tcW w:w="2689" w:type="dxa"/>
            <w:vMerge/>
            <w:vAlign w:val="center"/>
          </w:tcPr>
          <w:p w14:paraId="05F4A29D" w14:textId="77777777" w:rsidR="009A0A63" w:rsidRPr="00792B36" w:rsidRDefault="009A0A63" w:rsidP="00A24459">
            <w:pPr>
              <w:jc w:val="center"/>
              <w:rPr>
                <w:b/>
                <w:bCs/>
                <w:color w:val="000000" w:themeColor="text1"/>
                <w:sz w:val="24"/>
                <w:szCs w:val="24"/>
              </w:rPr>
            </w:pPr>
          </w:p>
        </w:tc>
        <w:tc>
          <w:tcPr>
            <w:tcW w:w="2126" w:type="dxa"/>
            <w:vMerge/>
            <w:vAlign w:val="center"/>
          </w:tcPr>
          <w:p w14:paraId="150F0886" w14:textId="77777777" w:rsidR="009A0A63" w:rsidRPr="00792B36" w:rsidRDefault="009A0A63" w:rsidP="00A24459">
            <w:pPr>
              <w:jc w:val="center"/>
              <w:rPr>
                <w:b/>
                <w:bCs/>
                <w:color w:val="000000" w:themeColor="text1"/>
                <w:sz w:val="24"/>
                <w:szCs w:val="24"/>
              </w:rPr>
            </w:pPr>
          </w:p>
        </w:tc>
        <w:tc>
          <w:tcPr>
            <w:tcW w:w="6520" w:type="dxa"/>
            <w:gridSpan w:val="5"/>
            <w:vAlign w:val="center"/>
          </w:tcPr>
          <w:p w14:paraId="7CC6CBF3" w14:textId="77777777" w:rsidR="009A0A63" w:rsidRPr="00792B36" w:rsidRDefault="009A0A63" w:rsidP="00A24459">
            <w:pPr>
              <w:jc w:val="center"/>
              <w:rPr>
                <w:b/>
                <w:bCs/>
                <w:color w:val="000000" w:themeColor="text1"/>
                <w:sz w:val="24"/>
                <w:szCs w:val="24"/>
              </w:rPr>
            </w:pPr>
            <w:r w:rsidRPr="00792B36">
              <w:rPr>
                <w:b/>
                <w:bCs/>
                <w:color w:val="000000" w:themeColor="text1"/>
                <w:sz w:val="24"/>
                <w:szCs w:val="24"/>
              </w:rPr>
              <w:t xml:space="preserve">Composition of coral reefs </w:t>
            </w:r>
            <w:r w:rsidRPr="00792B36">
              <w:rPr>
                <w:b/>
                <w:bCs/>
                <w:color w:val="000000" w:themeColor="text1"/>
                <w:sz w:val="24"/>
                <w:szCs w:val="24"/>
                <w:cs/>
              </w:rPr>
              <w:t>(%)</w:t>
            </w:r>
          </w:p>
        </w:tc>
        <w:tc>
          <w:tcPr>
            <w:tcW w:w="1615" w:type="dxa"/>
            <w:vMerge w:val="restart"/>
          </w:tcPr>
          <w:p w14:paraId="718B3038" w14:textId="77777777" w:rsidR="009A0A63" w:rsidRPr="00792B36" w:rsidRDefault="009A0A63" w:rsidP="00A24459">
            <w:pPr>
              <w:jc w:val="center"/>
              <w:rPr>
                <w:b/>
                <w:bCs/>
                <w:color w:val="000000" w:themeColor="text1"/>
                <w:sz w:val="24"/>
                <w:szCs w:val="24"/>
              </w:rPr>
            </w:pPr>
            <w:r w:rsidRPr="00792B36">
              <w:rPr>
                <w:b/>
                <w:bCs/>
                <w:color w:val="000000" w:themeColor="text1"/>
                <w:sz w:val="24"/>
                <w:szCs w:val="24"/>
              </w:rPr>
              <w:t xml:space="preserve">Composition of seagrass </w:t>
            </w:r>
            <w:r w:rsidRPr="00792B36">
              <w:rPr>
                <w:b/>
                <w:bCs/>
                <w:color w:val="000000" w:themeColor="text1"/>
                <w:sz w:val="24"/>
                <w:szCs w:val="24"/>
                <w:cs/>
              </w:rPr>
              <w:t>(%)</w:t>
            </w:r>
          </w:p>
        </w:tc>
      </w:tr>
      <w:tr w:rsidR="009A0A63" w:rsidRPr="00792B36" w14:paraId="19650C1D" w14:textId="77777777" w:rsidTr="00A24459">
        <w:trPr>
          <w:tblHeader/>
        </w:trPr>
        <w:tc>
          <w:tcPr>
            <w:tcW w:w="2689" w:type="dxa"/>
            <w:vMerge/>
          </w:tcPr>
          <w:p w14:paraId="5841078D" w14:textId="77777777" w:rsidR="009A0A63" w:rsidRPr="00792B36" w:rsidRDefault="009A0A63" w:rsidP="00A24459">
            <w:pPr>
              <w:rPr>
                <w:b/>
                <w:bCs/>
                <w:color w:val="000000" w:themeColor="text1"/>
                <w:sz w:val="24"/>
                <w:szCs w:val="24"/>
              </w:rPr>
            </w:pPr>
          </w:p>
        </w:tc>
        <w:tc>
          <w:tcPr>
            <w:tcW w:w="2126" w:type="dxa"/>
            <w:vMerge/>
          </w:tcPr>
          <w:p w14:paraId="51CB9F03" w14:textId="77777777" w:rsidR="009A0A63" w:rsidRPr="00792B36" w:rsidRDefault="009A0A63" w:rsidP="00A24459">
            <w:pPr>
              <w:rPr>
                <w:b/>
                <w:bCs/>
                <w:color w:val="000000" w:themeColor="text1"/>
                <w:sz w:val="24"/>
                <w:szCs w:val="24"/>
              </w:rPr>
            </w:pPr>
          </w:p>
        </w:tc>
        <w:tc>
          <w:tcPr>
            <w:tcW w:w="1304" w:type="dxa"/>
            <w:vAlign w:val="center"/>
          </w:tcPr>
          <w:p w14:paraId="0BA01A6C" w14:textId="77777777" w:rsidR="009A0A63" w:rsidRPr="00792B36" w:rsidRDefault="009A0A63" w:rsidP="00A24459">
            <w:pPr>
              <w:jc w:val="center"/>
              <w:rPr>
                <w:b/>
                <w:bCs/>
                <w:color w:val="000000" w:themeColor="text1"/>
                <w:sz w:val="24"/>
                <w:szCs w:val="24"/>
              </w:rPr>
            </w:pPr>
            <w:r w:rsidRPr="00792B36">
              <w:rPr>
                <w:b/>
                <w:bCs/>
                <w:color w:val="000000" w:themeColor="text1"/>
                <w:sz w:val="24"/>
                <w:szCs w:val="24"/>
              </w:rPr>
              <w:t xml:space="preserve">Live coral </w:t>
            </w:r>
          </w:p>
        </w:tc>
        <w:tc>
          <w:tcPr>
            <w:tcW w:w="1304" w:type="dxa"/>
            <w:vAlign w:val="center"/>
          </w:tcPr>
          <w:p w14:paraId="18225D08" w14:textId="77777777" w:rsidR="009A0A63" w:rsidRPr="00792B36" w:rsidRDefault="009A0A63" w:rsidP="00A24459">
            <w:pPr>
              <w:jc w:val="center"/>
              <w:rPr>
                <w:b/>
                <w:bCs/>
                <w:color w:val="000000" w:themeColor="text1"/>
                <w:sz w:val="24"/>
                <w:szCs w:val="24"/>
              </w:rPr>
            </w:pPr>
            <w:r w:rsidRPr="00792B36">
              <w:rPr>
                <w:b/>
                <w:bCs/>
                <w:color w:val="000000" w:themeColor="text1"/>
                <w:sz w:val="24"/>
                <w:szCs w:val="24"/>
              </w:rPr>
              <w:t xml:space="preserve">Dead coral </w:t>
            </w:r>
          </w:p>
        </w:tc>
        <w:tc>
          <w:tcPr>
            <w:tcW w:w="1304" w:type="dxa"/>
            <w:vAlign w:val="center"/>
          </w:tcPr>
          <w:p w14:paraId="7957AD6E" w14:textId="77777777" w:rsidR="009A0A63" w:rsidRPr="00792B36" w:rsidRDefault="009A0A63" w:rsidP="00A24459">
            <w:pPr>
              <w:jc w:val="center"/>
              <w:rPr>
                <w:b/>
                <w:bCs/>
                <w:color w:val="000000" w:themeColor="text1"/>
                <w:sz w:val="24"/>
                <w:szCs w:val="24"/>
              </w:rPr>
            </w:pPr>
            <w:r w:rsidRPr="00792B36">
              <w:rPr>
                <w:b/>
                <w:bCs/>
                <w:color w:val="000000" w:themeColor="text1"/>
                <w:sz w:val="24"/>
                <w:szCs w:val="24"/>
              </w:rPr>
              <w:t>Sand</w:t>
            </w:r>
          </w:p>
        </w:tc>
        <w:tc>
          <w:tcPr>
            <w:tcW w:w="1304" w:type="dxa"/>
            <w:vAlign w:val="center"/>
          </w:tcPr>
          <w:p w14:paraId="33A557A3" w14:textId="77777777" w:rsidR="009A0A63" w:rsidRPr="00792B36" w:rsidRDefault="009A0A63" w:rsidP="00A24459">
            <w:pPr>
              <w:jc w:val="center"/>
              <w:rPr>
                <w:b/>
                <w:bCs/>
                <w:color w:val="000000" w:themeColor="text1"/>
                <w:sz w:val="24"/>
                <w:szCs w:val="24"/>
              </w:rPr>
            </w:pPr>
            <w:r w:rsidRPr="00792B36">
              <w:rPr>
                <w:b/>
                <w:bCs/>
                <w:color w:val="000000" w:themeColor="text1"/>
                <w:sz w:val="24"/>
                <w:szCs w:val="24"/>
              </w:rPr>
              <w:t>Rock</w:t>
            </w:r>
          </w:p>
        </w:tc>
        <w:tc>
          <w:tcPr>
            <w:tcW w:w="1304" w:type="dxa"/>
            <w:vAlign w:val="center"/>
          </w:tcPr>
          <w:p w14:paraId="691FD9A9" w14:textId="77777777" w:rsidR="009A0A63" w:rsidRPr="00792B36" w:rsidRDefault="009A0A63" w:rsidP="00A24459">
            <w:pPr>
              <w:jc w:val="center"/>
              <w:rPr>
                <w:b/>
                <w:bCs/>
                <w:color w:val="000000" w:themeColor="text1"/>
                <w:sz w:val="24"/>
                <w:szCs w:val="24"/>
              </w:rPr>
            </w:pPr>
            <w:r w:rsidRPr="00792B36">
              <w:rPr>
                <w:b/>
                <w:bCs/>
                <w:color w:val="000000" w:themeColor="text1"/>
                <w:sz w:val="24"/>
                <w:szCs w:val="24"/>
              </w:rPr>
              <w:t>Other</w:t>
            </w:r>
          </w:p>
        </w:tc>
        <w:tc>
          <w:tcPr>
            <w:tcW w:w="1615" w:type="dxa"/>
            <w:vMerge/>
          </w:tcPr>
          <w:p w14:paraId="05EE133F" w14:textId="77777777" w:rsidR="009A0A63" w:rsidRPr="00792B36" w:rsidRDefault="009A0A63" w:rsidP="00A24459">
            <w:pPr>
              <w:jc w:val="center"/>
              <w:rPr>
                <w:b/>
                <w:bCs/>
                <w:color w:val="000000" w:themeColor="text1"/>
                <w:sz w:val="24"/>
                <w:szCs w:val="24"/>
              </w:rPr>
            </w:pPr>
          </w:p>
        </w:tc>
      </w:tr>
      <w:tr w:rsidR="009A0A63" w:rsidRPr="00792B36" w14:paraId="318915D7" w14:textId="77777777" w:rsidTr="00A24459">
        <w:tc>
          <w:tcPr>
            <w:tcW w:w="2689" w:type="dxa"/>
          </w:tcPr>
          <w:p w14:paraId="548E7F2A" w14:textId="77777777" w:rsidR="009A0A63" w:rsidRPr="00792B36" w:rsidRDefault="009A0A63" w:rsidP="00A24459">
            <w:pPr>
              <w:rPr>
                <w:b/>
                <w:bCs/>
                <w:color w:val="000000" w:themeColor="text1"/>
                <w:sz w:val="24"/>
                <w:szCs w:val="24"/>
              </w:rPr>
            </w:pPr>
            <w:r w:rsidRPr="00792B36">
              <w:rPr>
                <w:color w:val="000000" w:themeColor="text1"/>
                <w:sz w:val="24"/>
                <w:szCs w:val="24"/>
              </w:rPr>
              <w:t xml:space="preserve">CR:1 Koh Si Chang </w:t>
            </w:r>
          </w:p>
        </w:tc>
        <w:tc>
          <w:tcPr>
            <w:tcW w:w="2126" w:type="dxa"/>
            <w:vAlign w:val="center"/>
          </w:tcPr>
          <w:p w14:paraId="79B144CC" w14:textId="77777777" w:rsidR="009A0A63" w:rsidRPr="00792B36" w:rsidRDefault="009A0A63" w:rsidP="00A24459">
            <w:pPr>
              <w:jc w:val="center"/>
              <w:rPr>
                <w:b/>
                <w:bCs/>
                <w:color w:val="000000" w:themeColor="text1"/>
                <w:sz w:val="24"/>
                <w:szCs w:val="24"/>
              </w:rPr>
            </w:pPr>
            <w:r w:rsidRPr="00792B36">
              <w:rPr>
                <w:color w:val="000000" w:themeColor="text1"/>
                <w:sz w:val="24"/>
                <w:szCs w:val="24"/>
              </w:rPr>
              <w:t>Degraded condition</w:t>
            </w:r>
          </w:p>
        </w:tc>
        <w:tc>
          <w:tcPr>
            <w:tcW w:w="1304" w:type="dxa"/>
            <w:vAlign w:val="bottom"/>
          </w:tcPr>
          <w:p w14:paraId="20A93E72" w14:textId="77777777" w:rsidR="009A0A63" w:rsidRPr="00792B36" w:rsidRDefault="009A0A63" w:rsidP="00A24459">
            <w:pPr>
              <w:jc w:val="center"/>
              <w:rPr>
                <w:b/>
                <w:bCs/>
                <w:color w:val="000000" w:themeColor="text1"/>
                <w:sz w:val="24"/>
                <w:szCs w:val="24"/>
              </w:rPr>
            </w:pPr>
            <w:r w:rsidRPr="00792B36">
              <w:rPr>
                <w:color w:val="000000" w:themeColor="text1"/>
                <w:sz w:val="24"/>
                <w:szCs w:val="24"/>
              </w:rPr>
              <w:t>29.24</w:t>
            </w:r>
          </w:p>
        </w:tc>
        <w:tc>
          <w:tcPr>
            <w:tcW w:w="1304" w:type="dxa"/>
            <w:vAlign w:val="bottom"/>
          </w:tcPr>
          <w:p w14:paraId="17CD6A51" w14:textId="77777777" w:rsidR="009A0A63" w:rsidRPr="00792B36" w:rsidRDefault="009A0A63" w:rsidP="00A24459">
            <w:pPr>
              <w:jc w:val="center"/>
              <w:rPr>
                <w:b/>
                <w:bCs/>
                <w:color w:val="000000" w:themeColor="text1"/>
                <w:sz w:val="24"/>
                <w:szCs w:val="24"/>
              </w:rPr>
            </w:pPr>
            <w:r w:rsidRPr="00792B36">
              <w:rPr>
                <w:color w:val="000000" w:themeColor="text1"/>
                <w:sz w:val="24"/>
                <w:szCs w:val="24"/>
              </w:rPr>
              <w:t>12.48</w:t>
            </w:r>
          </w:p>
        </w:tc>
        <w:tc>
          <w:tcPr>
            <w:tcW w:w="1304" w:type="dxa"/>
            <w:vAlign w:val="bottom"/>
          </w:tcPr>
          <w:p w14:paraId="3E74632B" w14:textId="77777777" w:rsidR="009A0A63" w:rsidRPr="00792B36" w:rsidRDefault="009A0A63" w:rsidP="00A24459">
            <w:pPr>
              <w:jc w:val="center"/>
              <w:rPr>
                <w:b/>
                <w:bCs/>
                <w:color w:val="000000" w:themeColor="text1"/>
                <w:sz w:val="24"/>
                <w:szCs w:val="24"/>
                <w:cs/>
              </w:rPr>
            </w:pPr>
            <w:r w:rsidRPr="00792B36">
              <w:rPr>
                <w:color w:val="000000" w:themeColor="text1"/>
                <w:sz w:val="24"/>
                <w:szCs w:val="24"/>
              </w:rPr>
              <w:t>9.58</w:t>
            </w:r>
          </w:p>
        </w:tc>
        <w:tc>
          <w:tcPr>
            <w:tcW w:w="1304" w:type="dxa"/>
            <w:vAlign w:val="bottom"/>
          </w:tcPr>
          <w:p w14:paraId="120D35E0" w14:textId="77777777" w:rsidR="009A0A63" w:rsidRPr="00792B36" w:rsidRDefault="009A0A63" w:rsidP="00A24459">
            <w:pPr>
              <w:jc w:val="center"/>
              <w:rPr>
                <w:b/>
                <w:bCs/>
                <w:color w:val="000000" w:themeColor="text1"/>
                <w:sz w:val="24"/>
                <w:szCs w:val="24"/>
              </w:rPr>
            </w:pPr>
            <w:r w:rsidRPr="00792B36">
              <w:rPr>
                <w:color w:val="000000" w:themeColor="text1"/>
                <w:sz w:val="24"/>
                <w:szCs w:val="24"/>
              </w:rPr>
              <w:t>39.34</w:t>
            </w:r>
          </w:p>
        </w:tc>
        <w:tc>
          <w:tcPr>
            <w:tcW w:w="1304" w:type="dxa"/>
            <w:vAlign w:val="bottom"/>
          </w:tcPr>
          <w:p w14:paraId="1FD89045" w14:textId="77777777" w:rsidR="009A0A63" w:rsidRPr="00792B36" w:rsidRDefault="009A0A63" w:rsidP="00A24459">
            <w:pPr>
              <w:jc w:val="center"/>
              <w:rPr>
                <w:b/>
                <w:bCs/>
                <w:color w:val="000000" w:themeColor="text1"/>
                <w:sz w:val="24"/>
                <w:szCs w:val="24"/>
              </w:rPr>
            </w:pPr>
            <w:r w:rsidRPr="00792B36">
              <w:rPr>
                <w:color w:val="000000" w:themeColor="text1"/>
                <w:sz w:val="24"/>
                <w:szCs w:val="24"/>
              </w:rPr>
              <w:t>9.32</w:t>
            </w:r>
          </w:p>
        </w:tc>
        <w:tc>
          <w:tcPr>
            <w:tcW w:w="1615" w:type="dxa"/>
          </w:tcPr>
          <w:p w14:paraId="52235BE4" w14:textId="77777777" w:rsidR="009A0A63" w:rsidRPr="00792B36" w:rsidRDefault="009A0A63" w:rsidP="00A24459">
            <w:pPr>
              <w:jc w:val="center"/>
              <w:rPr>
                <w:color w:val="000000" w:themeColor="text1"/>
                <w:sz w:val="24"/>
                <w:szCs w:val="24"/>
              </w:rPr>
            </w:pPr>
            <w:r w:rsidRPr="00792B36">
              <w:rPr>
                <w:color w:val="000000" w:themeColor="text1"/>
                <w:sz w:val="24"/>
                <w:szCs w:val="24"/>
              </w:rPr>
              <w:t>-</w:t>
            </w:r>
          </w:p>
        </w:tc>
      </w:tr>
      <w:tr w:rsidR="009A0A63" w:rsidRPr="00792B36" w14:paraId="4C40BB3C" w14:textId="77777777" w:rsidTr="00A24459">
        <w:tc>
          <w:tcPr>
            <w:tcW w:w="2689" w:type="dxa"/>
          </w:tcPr>
          <w:p w14:paraId="7317B50A" w14:textId="77777777" w:rsidR="009A0A63" w:rsidRPr="00792B36" w:rsidRDefault="009A0A63" w:rsidP="00A24459">
            <w:pPr>
              <w:rPr>
                <w:b/>
                <w:bCs/>
                <w:color w:val="000000" w:themeColor="text1"/>
                <w:sz w:val="24"/>
                <w:szCs w:val="24"/>
              </w:rPr>
            </w:pPr>
            <w:r w:rsidRPr="00792B36">
              <w:rPr>
                <w:color w:val="000000" w:themeColor="text1"/>
                <w:sz w:val="24"/>
                <w:szCs w:val="24"/>
              </w:rPr>
              <w:t xml:space="preserve">CR:2 Koh Lan </w:t>
            </w:r>
          </w:p>
        </w:tc>
        <w:tc>
          <w:tcPr>
            <w:tcW w:w="2126" w:type="dxa"/>
            <w:vAlign w:val="center"/>
          </w:tcPr>
          <w:p w14:paraId="6F893BF6" w14:textId="77777777" w:rsidR="009A0A63" w:rsidRPr="00792B36" w:rsidRDefault="009A0A63" w:rsidP="00A24459">
            <w:pPr>
              <w:jc w:val="center"/>
              <w:rPr>
                <w:b/>
                <w:bCs/>
                <w:color w:val="000000" w:themeColor="text1"/>
                <w:sz w:val="24"/>
                <w:szCs w:val="24"/>
              </w:rPr>
            </w:pPr>
            <w:r w:rsidRPr="00792B36">
              <w:rPr>
                <w:color w:val="000000" w:themeColor="text1"/>
                <w:sz w:val="24"/>
                <w:szCs w:val="24"/>
              </w:rPr>
              <w:t>Degraded condition</w:t>
            </w:r>
          </w:p>
        </w:tc>
        <w:tc>
          <w:tcPr>
            <w:tcW w:w="1304" w:type="dxa"/>
            <w:vAlign w:val="bottom"/>
          </w:tcPr>
          <w:p w14:paraId="7ECE4BD1" w14:textId="77777777" w:rsidR="009A0A63" w:rsidRPr="00792B36" w:rsidRDefault="009A0A63" w:rsidP="00A24459">
            <w:pPr>
              <w:jc w:val="center"/>
              <w:rPr>
                <w:b/>
                <w:bCs/>
                <w:color w:val="000000" w:themeColor="text1"/>
                <w:sz w:val="24"/>
                <w:szCs w:val="24"/>
              </w:rPr>
            </w:pPr>
            <w:r w:rsidRPr="00792B36">
              <w:rPr>
                <w:color w:val="000000" w:themeColor="text1"/>
                <w:sz w:val="24"/>
                <w:szCs w:val="24"/>
              </w:rPr>
              <w:t>39.50</w:t>
            </w:r>
          </w:p>
        </w:tc>
        <w:tc>
          <w:tcPr>
            <w:tcW w:w="1304" w:type="dxa"/>
            <w:vAlign w:val="bottom"/>
          </w:tcPr>
          <w:p w14:paraId="4B3F9014" w14:textId="77777777" w:rsidR="009A0A63" w:rsidRPr="00792B36" w:rsidRDefault="009A0A63" w:rsidP="00A24459">
            <w:pPr>
              <w:jc w:val="center"/>
              <w:rPr>
                <w:b/>
                <w:bCs/>
                <w:color w:val="000000" w:themeColor="text1"/>
                <w:sz w:val="24"/>
                <w:szCs w:val="24"/>
              </w:rPr>
            </w:pPr>
            <w:r w:rsidRPr="00792B36">
              <w:rPr>
                <w:color w:val="000000" w:themeColor="text1"/>
                <w:sz w:val="24"/>
                <w:szCs w:val="24"/>
              </w:rPr>
              <w:t>34.68</w:t>
            </w:r>
          </w:p>
        </w:tc>
        <w:tc>
          <w:tcPr>
            <w:tcW w:w="1304" w:type="dxa"/>
            <w:vAlign w:val="bottom"/>
          </w:tcPr>
          <w:p w14:paraId="6087328B" w14:textId="77777777" w:rsidR="009A0A63" w:rsidRPr="00792B36" w:rsidRDefault="009A0A63" w:rsidP="00A24459">
            <w:pPr>
              <w:jc w:val="center"/>
              <w:rPr>
                <w:b/>
                <w:bCs/>
                <w:color w:val="000000" w:themeColor="text1"/>
                <w:sz w:val="24"/>
                <w:szCs w:val="24"/>
              </w:rPr>
            </w:pPr>
            <w:r w:rsidRPr="00792B36">
              <w:rPr>
                <w:color w:val="000000" w:themeColor="text1"/>
                <w:sz w:val="24"/>
                <w:szCs w:val="24"/>
              </w:rPr>
              <w:t>9.40</w:t>
            </w:r>
          </w:p>
        </w:tc>
        <w:tc>
          <w:tcPr>
            <w:tcW w:w="1304" w:type="dxa"/>
            <w:vAlign w:val="bottom"/>
          </w:tcPr>
          <w:p w14:paraId="3DAAF230" w14:textId="77777777" w:rsidR="009A0A63" w:rsidRPr="00792B36" w:rsidRDefault="009A0A63" w:rsidP="00A24459">
            <w:pPr>
              <w:jc w:val="center"/>
              <w:rPr>
                <w:b/>
                <w:bCs/>
                <w:color w:val="000000" w:themeColor="text1"/>
                <w:sz w:val="24"/>
                <w:szCs w:val="24"/>
              </w:rPr>
            </w:pPr>
            <w:r w:rsidRPr="00792B36">
              <w:rPr>
                <w:color w:val="000000" w:themeColor="text1"/>
                <w:sz w:val="24"/>
                <w:szCs w:val="24"/>
              </w:rPr>
              <w:t>13.90</w:t>
            </w:r>
          </w:p>
        </w:tc>
        <w:tc>
          <w:tcPr>
            <w:tcW w:w="1304" w:type="dxa"/>
            <w:vAlign w:val="bottom"/>
          </w:tcPr>
          <w:p w14:paraId="6219E04B" w14:textId="77777777" w:rsidR="009A0A63" w:rsidRPr="00792B36" w:rsidRDefault="009A0A63" w:rsidP="00A24459">
            <w:pPr>
              <w:jc w:val="center"/>
              <w:rPr>
                <w:b/>
                <w:bCs/>
                <w:color w:val="000000" w:themeColor="text1"/>
                <w:sz w:val="24"/>
                <w:szCs w:val="24"/>
              </w:rPr>
            </w:pPr>
            <w:r w:rsidRPr="00792B36">
              <w:rPr>
                <w:color w:val="000000" w:themeColor="text1"/>
                <w:sz w:val="24"/>
                <w:szCs w:val="24"/>
              </w:rPr>
              <w:t>2.55</w:t>
            </w:r>
          </w:p>
        </w:tc>
        <w:tc>
          <w:tcPr>
            <w:tcW w:w="1615" w:type="dxa"/>
          </w:tcPr>
          <w:p w14:paraId="15BE9AAE" w14:textId="77777777" w:rsidR="009A0A63" w:rsidRPr="00792B36" w:rsidRDefault="009A0A63" w:rsidP="00A24459">
            <w:pPr>
              <w:jc w:val="center"/>
              <w:rPr>
                <w:color w:val="000000" w:themeColor="text1"/>
                <w:sz w:val="24"/>
                <w:szCs w:val="24"/>
              </w:rPr>
            </w:pPr>
            <w:r w:rsidRPr="00792B36">
              <w:rPr>
                <w:color w:val="000000" w:themeColor="text1"/>
                <w:sz w:val="24"/>
                <w:szCs w:val="24"/>
              </w:rPr>
              <w:t>-</w:t>
            </w:r>
          </w:p>
        </w:tc>
      </w:tr>
      <w:tr w:rsidR="009A0A63" w:rsidRPr="00792B36" w14:paraId="3E222AC7" w14:textId="77777777" w:rsidTr="00A24459">
        <w:tc>
          <w:tcPr>
            <w:tcW w:w="2689" w:type="dxa"/>
          </w:tcPr>
          <w:p w14:paraId="6A5BC536" w14:textId="77777777" w:rsidR="009A0A63" w:rsidRPr="00792B36" w:rsidRDefault="009A0A63" w:rsidP="00A24459">
            <w:pPr>
              <w:rPr>
                <w:b/>
                <w:bCs/>
                <w:color w:val="000000" w:themeColor="text1"/>
                <w:sz w:val="24"/>
                <w:szCs w:val="24"/>
              </w:rPr>
            </w:pPr>
            <w:r w:rsidRPr="00792B36">
              <w:rPr>
                <w:color w:val="000000" w:themeColor="text1"/>
                <w:sz w:val="24"/>
                <w:szCs w:val="24"/>
              </w:rPr>
              <w:t>CR:3 Koh Kood</w:t>
            </w:r>
          </w:p>
        </w:tc>
        <w:tc>
          <w:tcPr>
            <w:tcW w:w="2126" w:type="dxa"/>
            <w:vAlign w:val="center"/>
          </w:tcPr>
          <w:p w14:paraId="5DA98F58" w14:textId="77777777" w:rsidR="009A0A63" w:rsidRPr="00792B36" w:rsidRDefault="009A0A63" w:rsidP="00A24459">
            <w:pPr>
              <w:jc w:val="center"/>
              <w:rPr>
                <w:b/>
                <w:bCs/>
                <w:color w:val="000000" w:themeColor="text1"/>
                <w:sz w:val="24"/>
                <w:szCs w:val="24"/>
              </w:rPr>
            </w:pPr>
            <w:r w:rsidRPr="00792B36">
              <w:rPr>
                <w:color w:val="000000" w:themeColor="text1"/>
                <w:sz w:val="24"/>
                <w:szCs w:val="24"/>
              </w:rPr>
              <w:t>Moderately healthy</w:t>
            </w:r>
          </w:p>
        </w:tc>
        <w:tc>
          <w:tcPr>
            <w:tcW w:w="1304" w:type="dxa"/>
            <w:vAlign w:val="bottom"/>
          </w:tcPr>
          <w:p w14:paraId="4CECFDEE" w14:textId="77777777" w:rsidR="009A0A63" w:rsidRPr="00792B36" w:rsidRDefault="009A0A63" w:rsidP="00A24459">
            <w:pPr>
              <w:jc w:val="center"/>
              <w:rPr>
                <w:b/>
                <w:bCs/>
                <w:color w:val="000000" w:themeColor="text1"/>
                <w:sz w:val="24"/>
                <w:szCs w:val="24"/>
              </w:rPr>
            </w:pPr>
            <w:r w:rsidRPr="00792B36">
              <w:rPr>
                <w:color w:val="000000" w:themeColor="text1"/>
                <w:sz w:val="24"/>
                <w:szCs w:val="24"/>
              </w:rPr>
              <w:t>33.45</w:t>
            </w:r>
          </w:p>
        </w:tc>
        <w:tc>
          <w:tcPr>
            <w:tcW w:w="1304" w:type="dxa"/>
            <w:vAlign w:val="bottom"/>
          </w:tcPr>
          <w:p w14:paraId="3AD680EF" w14:textId="77777777" w:rsidR="009A0A63" w:rsidRPr="00792B36" w:rsidRDefault="009A0A63" w:rsidP="00A24459">
            <w:pPr>
              <w:jc w:val="center"/>
              <w:rPr>
                <w:b/>
                <w:bCs/>
                <w:color w:val="000000" w:themeColor="text1"/>
                <w:sz w:val="24"/>
                <w:szCs w:val="24"/>
              </w:rPr>
            </w:pPr>
            <w:r w:rsidRPr="00792B36">
              <w:rPr>
                <w:color w:val="000000" w:themeColor="text1"/>
                <w:sz w:val="24"/>
                <w:szCs w:val="24"/>
              </w:rPr>
              <w:t>44.91</w:t>
            </w:r>
          </w:p>
        </w:tc>
        <w:tc>
          <w:tcPr>
            <w:tcW w:w="1304" w:type="dxa"/>
            <w:vAlign w:val="bottom"/>
          </w:tcPr>
          <w:p w14:paraId="521D12C3" w14:textId="77777777" w:rsidR="009A0A63" w:rsidRPr="00792B36" w:rsidRDefault="009A0A63" w:rsidP="00A24459">
            <w:pPr>
              <w:jc w:val="center"/>
              <w:rPr>
                <w:b/>
                <w:bCs/>
                <w:color w:val="000000" w:themeColor="text1"/>
                <w:sz w:val="24"/>
                <w:szCs w:val="24"/>
              </w:rPr>
            </w:pPr>
            <w:r w:rsidRPr="00792B36">
              <w:rPr>
                <w:color w:val="000000" w:themeColor="text1"/>
                <w:sz w:val="24"/>
                <w:szCs w:val="24"/>
              </w:rPr>
              <w:t>20.49</w:t>
            </w:r>
          </w:p>
        </w:tc>
        <w:tc>
          <w:tcPr>
            <w:tcW w:w="1304" w:type="dxa"/>
            <w:vAlign w:val="bottom"/>
          </w:tcPr>
          <w:p w14:paraId="406596AF" w14:textId="77777777" w:rsidR="009A0A63" w:rsidRPr="00792B36" w:rsidRDefault="009A0A63" w:rsidP="00A24459">
            <w:pPr>
              <w:jc w:val="center"/>
              <w:rPr>
                <w:b/>
                <w:bCs/>
                <w:color w:val="000000" w:themeColor="text1"/>
                <w:sz w:val="24"/>
                <w:szCs w:val="24"/>
              </w:rPr>
            </w:pPr>
            <w:r w:rsidRPr="00792B36">
              <w:rPr>
                <w:color w:val="000000" w:themeColor="text1"/>
                <w:sz w:val="24"/>
                <w:szCs w:val="24"/>
              </w:rPr>
              <w:t>0.31</w:t>
            </w:r>
          </w:p>
        </w:tc>
        <w:tc>
          <w:tcPr>
            <w:tcW w:w="1304" w:type="dxa"/>
            <w:vAlign w:val="bottom"/>
          </w:tcPr>
          <w:p w14:paraId="14529B3B" w14:textId="77777777" w:rsidR="009A0A63" w:rsidRPr="00792B36" w:rsidRDefault="009A0A63" w:rsidP="00A24459">
            <w:pPr>
              <w:jc w:val="center"/>
              <w:rPr>
                <w:b/>
                <w:bCs/>
                <w:color w:val="000000" w:themeColor="text1"/>
                <w:sz w:val="24"/>
                <w:szCs w:val="24"/>
              </w:rPr>
            </w:pPr>
            <w:r w:rsidRPr="00792B36">
              <w:rPr>
                <w:color w:val="000000" w:themeColor="text1"/>
                <w:sz w:val="24"/>
                <w:szCs w:val="24"/>
              </w:rPr>
              <w:t>0.83</w:t>
            </w:r>
          </w:p>
        </w:tc>
        <w:tc>
          <w:tcPr>
            <w:tcW w:w="1615" w:type="dxa"/>
          </w:tcPr>
          <w:p w14:paraId="4019F03D" w14:textId="77777777" w:rsidR="009A0A63" w:rsidRPr="00792B36" w:rsidRDefault="009A0A63" w:rsidP="00A24459">
            <w:pPr>
              <w:jc w:val="center"/>
              <w:rPr>
                <w:color w:val="000000" w:themeColor="text1"/>
                <w:sz w:val="24"/>
                <w:szCs w:val="24"/>
              </w:rPr>
            </w:pPr>
            <w:r w:rsidRPr="00792B36">
              <w:rPr>
                <w:color w:val="000000" w:themeColor="text1"/>
                <w:sz w:val="24"/>
                <w:szCs w:val="24"/>
              </w:rPr>
              <w:t>-</w:t>
            </w:r>
          </w:p>
        </w:tc>
      </w:tr>
      <w:tr w:rsidR="009A0A63" w:rsidRPr="00792B36" w14:paraId="4433723C" w14:textId="77777777" w:rsidTr="00A24459">
        <w:tc>
          <w:tcPr>
            <w:tcW w:w="2689" w:type="dxa"/>
          </w:tcPr>
          <w:p w14:paraId="3FCFED3C" w14:textId="77777777" w:rsidR="009A0A63" w:rsidRPr="00792B36" w:rsidRDefault="009A0A63" w:rsidP="00A24459">
            <w:pPr>
              <w:rPr>
                <w:b/>
                <w:bCs/>
                <w:color w:val="000000" w:themeColor="text1"/>
                <w:sz w:val="24"/>
                <w:szCs w:val="24"/>
              </w:rPr>
            </w:pPr>
            <w:r w:rsidRPr="00792B36">
              <w:rPr>
                <w:color w:val="000000" w:themeColor="text1"/>
                <w:sz w:val="24"/>
                <w:szCs w:val="24"/>
              </w:rPr>
              <w:t>CR:4 Koh Mak</w:t>
            </w:r>
          </w:p>
        </w:tc>
        <w:tc>
          <w:tcPr>
            <w:tcW w:w="2126" w:type="dxa"/>
            <w:vAlign w:val="center"/>
          </w:tcPr>
          <w:p w14:paraId="26CCE194" w14:textId="77777777" w:rsidR="009A0A63" w:rsidRPr="00792B36" w:rsidRDefault="009A0A63" w:rsidP="00A24459">
            <w:pPr>
              <w:jc w:val="center"/>
              <w:rPr>
                <w:b/>
                <w:bCs/>
                <w:color w:val="000000" w:themeColor="text1"/>
                <w:sz w:val="24"/>
                <w:szCs w:val="24"/>
              </w:rPr>
            </w:pPr>
            <w:r w:rsidRPr="00792B36">
              <w:rPr>
                <w:color w:val="000000" w:themeColor="text1"/>
                <w:sz w:val="24"/>
                <w:szCs w:val="24"/>
              </w:rPr>
              <w:t>Moderately healthy</w:t>
            </w:r>
          </w:p>
        </w:tc>
        <w:tc>
          <w:tcPr>
            <w:tcW w:w="1304" w:type="dxa"/>
            <w:vAlign w:val="bottom"/>
          </w:tcPr>
          <w:p w14:paraId="1CF6A8E2" w14:textId="77777777" w:rsidR="009A0A63" w:rsidRPr="00792B36" w:rsidRDefault="009A0A63" w:rsidP="00A24459">
            <w:pPr>
              <w:jc w:val="center"/>
              <w:rPr>
                <w:b/>
                <w:bCs/>
                <w:color w:val="000000" w:themeColor="text1"/>
                <w:sz w:val="24"/>
                <w:szCs w:val="24"/>
              </w:rPr>
            </w:pPr>
            <w:r w:rsidRPr="00792B36">
              <w:rPr>
                <w:color w:val="000000" w:themeColor="text1"/>
                <w:sz w:val="24"/>
                <w:szCs w:val="24"/>
              </w:rPr>
              <w:t>29.69</w:t>
            </w:r>
          </w:p>
        </w:tc>
        <w:tc>
          <w:tcPr>
            <w:tcW w:w="1304" w:type="dxa"/>
            <w:vAlign w:val="bottom"/>
          </w:tcPr>
          <w:p w14:paraId="3DB9AFD5" w14:textId="77777777" w:rsidR="009A0A63" w:rsidRPr="00792B36" w:rsidRDefault="009A0A63" w:rsidP="00A24459">
            <w:pPr>
              <w:jc w:val="center"/>
              <w:rPr>
                <w:b/>
                <w:bCs/>
                <w:color w:val="000000" w:themeColor="text1"/>
                <w:sz w:val="24"/>
                <w:szCs w:val="24"/>
              </w:rPr>
            </w:pPr>
            <w:r w:rsidRPr="00792B36">
              <w:rPr>
                <w:color w:val="000000" w:themeColor="text1"/>
                <w:sz w:val="24"/>
                <w:szCs w:val="24"/>
              </w:rPr>
              <w:t>43.33</w:t>
            </w:r>
          </w:p>
        </w:tc>
        <w:tc>
          <w:tcPr>
            <w:tcW w:w="1304" w:type="dxa"/>
            <w:vAlign w:val="bottom"/>
          </w:tcPr>
          <w:p w14:paraId="179B4E08" w14:textId="77777777" w:rsidR="009A0A63" w:rsidRPr="00792B36" w:rsidRDefault="009A0A63" w:rsidP="00A24459">
            <w:pPr>
              <w:jc w:val="center"/>
              <w:rPr>
                <w:b/>
                <w:bCs/>
                <w:color w:val="000000" w:themeColor="text1"/>
                <w:sz w:val="24"/>
                <w:szCs w:val="24"/>
              </w:rPr>
            </w:pPr>
            <w:r w:rsidRPr="00792B36">
              <w:rPr>
                <w:color w:val="000000" w:themeColor="text1"/>
                <w:sz w:val="24"/>
                <w:szCs w:val="24"/>
              </w:rPr>
              <w:t>7.04</w:t>
            </w:r>
          </w:p>
        </w:tc>
        <w:tc>
          <w:tcPr>
            <w:tcW w:w="1304" w:type="dxa"/>
            <w:vAlign w:val="bottom"/>
          </w:tcPr>
          <w:p w14:paraId="3C0D3F9B" w14:textId="77777777" w:rsidR="009A0A63" w:rsidRPr="00792B36" w:rsidRDefault="009A0A63" w:rsidP="00A24459">
            <w:pPr>
              <w:jc w:val="center"/>
              <w:rPr>
                <w:b/>
                <w:bCs/>
                <w:color w:val="000000" w:themeColor="text1"/>
                <w:sz w:val="24"/>
                <w:szCs w:val="24"/>
              </w:rPr>
            </w:pPr>
            <w:r w:rsidRPr="00792B36">
              <w:rPr>
                <w:color w:val="000000" w:themeColor="text1"/>
                <w:sz w:val="24"/>
                <w:szCs w:val="24"/>
              </w:rPr>
              <w:t>19.58</w:t>
            </w:r>
          </w:p>
        </w:tc>
        <w:tc>
          <w:tcPr>
            <w:tcW w:w="1304" w:type="dxa"/>
            <w:vAlign w:val="bottom"/>
          </w:tcPr>
          <w:p w14:paraId="634DE7B6" w14:textId="77777777" w:rsidR="009A0A63" w:rsidRPr="00792B36" w:rsidRDefault="009A0A63" w:rsidP="00A24459">
            <w:pPr>
              <w:jc w:val="center"/>
              <w:rPr>
                <w:b/>
                <w:bCs/>
                <w:color w:val="000000" w:themeColor="text1"/>
                <w:sz w:val="24"/>
                <w:szCs w:val="24"/>
              </w:rPr>
            </w:pPr>
            <w:r w:rsidRPr="00792B36">
              <w:rPr>
                <w:color w:val="000000" w:themeColor="text1"/>
                <w:sz w:val="24"/>
                <w:szCs w:val="24"/>
              </w:rPr>
              <w:t>0.36</w:t>
            </w:r>
          </w:p>
        </w:tc>
        <w:tc>
          <w:tcPr>
            <w:tcW w:w="1615" w:type="dxa"/>
          </w:tcPr>
          <w:p w14:paraId="3EBF191E" w14:textId="77777777" w:rsidR="009A0A63" w:rsidRPr="00792B36" w:rsidRDefault="009A0A63" w:rsidP="00A24459">
            <w:pPr>
              <w:jc w:val="center"/>
              <w:rPr>
                <w:color w:val="000000" w:themeColor="text1"/>
                <w:sz w:val="24"/>
                <w:szCs w:val="24"/>
              </w:rPr>
            </w:pPr>
            <w:r w:rsidRPr="00792B36">
              <w:rPr>
                <w:color w:val="000000" w:themeColor="text1"/>
                <w:sz w:val="24"/>
                <w:szCs w:val="24"/>
              </w:rPr>
              <w:t>-</w:t>
            </w:r>
          </w:p>
        </w:tc>
      </w:tr>
      <w:tr w:rsidR="009A0A63" w:rsidRPr="00792B36" w14:paraId="0C66E5DC" w14:textId="77777777" w:rsidTr="00A24459">
        <w:tc>
          <w:tcPr>
            <w:tcW w:w="2689" w:type="dxa"/>
          </w:tcPr>
          <w:p w14:paraId="04B23594" w14:textId="77777777" w:rsidR="009A0A63" w:rsidRPr="00792B36" w:rsidRDefault="009A0A63" w:rsidP="00A24459">
            <w:pPr>
              <w:rPr>
                <w:b/>
                <w:bCs/>
                <w:color w:val="000000" w:themeColor="text1"/>
                <w:sz w:val="24"/>
                <w:szCs w:val="24"/>
              </w:rPr>
            </w:pPr>
            <w:r w:rsidRPr="00792B36">
              <w:rPr>
                <w:color w:val="000000" w:themeColor="text1"/>
                <w:sz w:val="24"/>
                <w:szCs w:val="24"/>
              </w:rPr>
              <w:t>CR:5 Koh Tao</w:t>
            </w:r>
          </w:p>
        </w:tc>
        <w:tc>
          <w:tcPr>
            <w:tcW w:w="2126" w:type="dxa"/>
            <w:vAlign w:val="center"/>
          </w:tcPr>
          <w:p w14:paraId="43BE10B5" w14:textId="77777777" w:rsidR="009A0A63" w:rsidRPr="00792B36" w:rsidRDefault="009A0A63" w:rsidP="00A24459">
            <w:pPr>
              <w:jc w:val="center"/>
              <w:rPr>
                <w:b/>
                <w:bCs/>
                <w:color w:val="000000" w:themeColor="text1"/>
                <w:sz w:val="24"/>
                <w:szCs w:val="24"/>
              </w:rPr>
            </w:pPr>
            <w:r w:rsidRPr="00792B36">
              <w:rPr>
                <w:color w:val="000000" w:themeColor="text1"/>
                <w:sz w:val="24"/>
                <w:szCs w:val="24"/>
              </w:rPr>
              <w:t>Healthy condition</w:t>
            </w:r>
          </w:p>
        </w:tc>
        <w:tc>
          <w:tcPr>
            <w:tcW w:w="1304" w:type="dxa"/>
            <w:vAlign w:val="bottom"/>
          </w:tcPr>
          <w:p w14:paraId="6D93D474" w14:textId="77777777" w:rsidR="009A0A63" w:rsidRPr="00792B36" w:rsidRDefault="009A0A63" w:rsidP="00A24459">
            <w:pPr>
              <w:jc w:val="center"/>
              <w:rPr>
                <w:b/>
                <w:bCs/>
                <w:color w:val="000000" w:themeColor="text1"/>
                <w:sz w:val="24"/>
                <w:szCs w:val="24"/>
              </w:rPr>
            </w:pPr>
            <w:r w:rsidRPr="00792B36">
              <w:rPr>
                <w:color w:val="000000" w:themeColor="text1"/>
                <w:sz w:val="24"/>
                <w:szCs w:val="24"/>
              </w:rPr>
              <w:t>61.27</w:t>
            </w:r>
          </w:p>
        </w:tc>
        <w:tc>
          <w:tcPr>
            <w:tcW w:w="1304" w:type="dxa"/>
            <w:vAlign w:val="bottom"/>
          </w:tcPr>
          <w:p w14:paraId="5B4A6B23" w14:textId="77777777" w:rsidR="009A0A63" w:rsidRPr="00792B36" w:rsidRDefault="009A0A63" w:rsidP="00A24459">
            <w:pPr>
              <w:jc w:val="center"/>
              <w:rPr>
                <w:b/>
                <w:bCs/>
                <w:color w:val="000000" w:themeColor="text1"/>
                <w:sz w:val="24"/>
                <w:szCs w:val="24"/>
              </w:rPr>
            </w:pPr>
            <w:r w:rsidRPr="00792B36">
              <w:rPr>
                <w:color w:val="000000" w:themeColor="text1"/>
                <w:sz w:val="24"/>
                <w:szCs w:val="24"/>
              </w:rPr>
              <w:t>35.64</w:t>
            </w:r>
          </w:p>
        </w:tc>
        <w:tc>
          <w:tcPr>
            <w:tcW w:w="1304" w:type="dxa"/>
            <w:vAlign w:val="bottom"/>
          </w:tcPr>
          <w:p w14:paraId="50FD0770" w14:textId="77777777" w:rsidR="009A0A63" w:rsidRPr="00792B36" w:rsidRDefault="009A0A63" w:rsidP="00A24459">
            <w:pPr>
              <w:jc w:val="center"/>
              <w:rPr>
                <w:b/>
                <w:bCs/>
                <w:color w:val="000000" w:themeColor="text1"/>
                <w:sz w:val="24"/>
                <w:szCs w:val="24"/>
              </w:rPr>
            </w:pPr>
            <w:r w:rsidRPr="00792B36">
              <w:rPr>
                <w:color w:val="000000" w:themeColor="text1"/>
                <w:sz w:val="24"/>
                <w:szCs w:val="24"/>
              </w:rPr>
              <w:t>0.40</w:t>
            </w:r>
          </w:p>
        </w:tc>
        <w:tc>
          <w:tcPr>
            <w:tcW w:w="1304" w:type="dxa"/>
            <w:vAlign w:val="bottom"/>
          </w:tcPr>
          <w:p w14:paraId="161338D8" w14:textId="77777777" w:rsidR="009A0A63" w:rsidRPr="00792B36" w:rsidRDefault="009A0A63" w:rsidP="00A24459">
            <w:pPr>
              <w:jc w:val="center"/>
              <w:rPr>
                <w:b/>
                <w:bCs/>
                <w:color w:val="000000" w:themeColor="text1"/>
                <w:sz w:val="24"/>
                <w:szCs w:val="24"/>
              </w:rPr>
            </w:pPr>
            <w:r w:rsidRPr="00792B36">
              <w:rPr>
                <w:color w:val="000000" w:themeColor="text1"/>
                <w:sz w:val="24"/>
                <w:szCs w:val="24"/>
              </w:rPr>
              <w:t>1.71</w:t>
            </w:r>
          </w:p>
        </w:tc>
        <w:tc>
          <w:tcPr>
            <w:tcW w:w="1304" w:type="dxa"/>
            <w:vAlign w:val="bottom"/>
          </w:tcPr>
          <w:p w14:paraId="7A78722F" w14:textId="77777777" w:rsidR="009A0A63" w:rsidRPr="00792B36" w:rsidRDefault="009A0A63" w:rsidP="00A24459">
            <w:pPr>
              <w:jc w:val="center"/>
              <w:rPr>
                <w:b/>
                <w:bCs/>
                <w:color w:val="000000" w:themeColor="text1"/>
                <w:sz w:val="24"/>
                <w:szCs w:val="24"/>
              </w:rPr>
            </w:pPr>
            <w:r w:rsidRPr="00792B36">
              <w:rPr>
                <w:color w:val="000000" w:themeColor="text1"/>
                <w:sz w:val="24"/>
                <w:szCs w:val="24"/>
              </w:rPr>
              <w:t>0.98</w:t>
            </w:r>
          </w:p>
        </w:tc>
        <w:tc>
          <w:tcPr>
            <w:tcW w:w="1615" w:type="dxa"/>
          </w:tcPr>
          <w:p w14:paraId="79C16C5B" w14:textId="77777777" w:rsidR="009A0A63" w:rsidRPr="00792B36" w:rsidRDefault="009A0A63" w:rsidP="00A24459">
            <w:pPr>
              <w:jc w:val="center"/>
              <w:rPr>
                <w:color w:val="000000" w:themeColor="text1"/>
                <w:sz w:val="24"/>
                <w:szCs w:val="24"/>
              </w:rPr>
            </w:pPr>
            <w:r w:rsidRPr="00792B36">
              <w:rPr>
                <w:color w:val="000000" w:themeColor="text1"/>
                <w:sz w:val="24"/>
                <w:szCs w:val="24"/>
              </w:rPr>
              <w:t>-</w:t>
            </w:r>
          </w:p>
        </w:tc>
      </w:tr>
      <w:tr w:rsidR="009A0A63" w:rsidRPr="00792B36" w14:paraId="31F82FE5" w14:textId="77777777" w:rsidTr="00A24459">
        <w:tc>
          <w:tcPr>
            <w:tcW w:w="2689" w:type="dxa"/>
          </w:tcPr>
          <w:p w14:paraId="628CD3B4" w14:textId="77777777" w:rsidR="009A0A63" w:rsidRPr="00792B36" w:rsidRDefault="009A0A63" w:rsidP="00A24459">
            <w:pPr>
              <w:rPr>
                <w:b/>
                <w:bCs/>
                <w:color w:val="000000" w:themeColor="text1"/>
                <w:sz w:val="24"/>
                <w:szCs w:val="24"/>
              </w:rPr>
            </w:pPr>
            <w:r w:rsidRPr="00792B36">
              <w:rPr>
                <w:color w:val="000000" w:themeColor="text1"/>
                <w:sz w:val="24"/>
                <w:szCs w:val="24"/>
              </w:rPr>
              <w:t>CR:6 Koh Kra</w:t>
            </w:r>
          </w:p>
        </w:tc>
        <w:tc>
          <w:tcPr>
            <w:tcW w:w="2126" w:type="dxa"/>
            <w:vAlign w:val="center"/>
          </w:tcPr>
          <w:p w14:paraId="4FA295BA" w14:textId="77777777" w:rsidR="009A0A63" w:rsidRPr="00792B36" w:rsidRDefault="009A0A63" w:rsidP="00A24459">
            <w:pPr>
              <w:jc w:val="center"/>
              <w:rPr>
                <w:b/>
                <w:bCs/>
                <w:color w:val="000000" w:themeColor="text1"/>
                <w:sz w:val="24"/>
                <w:szCs w:val="24"/>
              </w:rPr>
            </w:pPr>
            <w:r w:rsidRPr="00792B36">
              <w:rPr>
                <w:color w:val="000000" w:themeColor="text1"/>
                <w:sz w:val="24"/>
                <w:szCs w:val="24"/>
              </w:rPr>
              <w:t>Remarkably healthy</w:t>
            </w:r>
          </w:p>
        </w:tc>
        <w:tc>
          <w:tcPr>
            <w:tcW w:w="1304" w:type="dxa"/>
            <w:vAlign w:val="bottom"/>
          </w:tcPr>
          <w:p w14:paraId="2B56EBA5" w14:textId="77777777" w:rsidR="009A0A63" w:rsidRPr="00792B36" w:rsidRDefault="009A0A63" w:rsidP="00A24459">
            <w:pPr>
              <w:jc w:val="center"/>
              <w:rPr>
                <w:b/>
                <w:bCs/>
                <w:color w:val="000000" w:themeColor="text1"/>
                <w:sz w:val="24"/>
                <w:szCs w:val="24"/>
              </w:rPr>
            </w:pPr>
            <w:r w:rsidRPr="00792B36">
              <w:rPr>
                <w:color w:val="000000" w:themeColor="text1"/>
                <w:sz w:val="24"/>
                <w:szCs w:val="24"/>
              </w:rPr>
              <w:t>59.52</w:t>
            </w:r>
          </w:p>
        </w:tc>
        <w:tc>
          <w:tcPr>
            <w:tcW w:w="1304" w:type="dxa"/>
            <w:vAlign w:val="bottom"/>
          </w:tcPr>
          <w:p w14:paraId="409AE212" w14:textId="77777777" w:rsidR="009A0A63" w:rsidRPr="00792B36" w:rsidRDefault="009A0A63" w:rsidP="00A24459">
            <w:pPr>
              <w:jc w:val="center"/>
              <w:rPr>
                <w:b/>
                <w:bCs/>
                <w:color w:val="000000" w:themeColor="text1"/>
                <w:sz w:val="24"/>
                <w:szCs w:val="24"/>
              </w:rPr>
            </w:pPr>
            <w:r w:rsidRPr="00792B36">
              <w:rPr>
                <w:color w:val="000000" w:themeColor="text1"/>
                <w:sz w:val="24"/>
                <w:szCs w:val="24"/>
              </w:rPr>
              <w:t>32.50</w:t>
            </w:r>
          </w:p>
        </w:tc>
        <w:tc>
          <w:tcPr>
            <w:tcW w:w="1304" w:type="dxa"/>
            <w:vAlign w:val="bottom"/>
          </w:tcPr>
          <w:p w14:paraId="10DFB12C" w14:textId="77777777" w:rsidR="009A0A63" w:rsidRPr="00792B36" w:rsidRDefault="009A0A63" w:rsidP="00A24459">
            <w:pPr>
              <w:jc w:val="center"/>
              <w:rPr>
                <w:b/>
                <w:bCs/>
                <w:color w:val="000000" w:themeColor="text1"/>
                <w:sz w:val="24"/>
                <w:szCs w:val="24"/>
              </w:rPr>
            </w:pPr>
            <w:r w:rsidRPr="00792B36">
              <w:rPr>
                <w:color w:val="000000" w:themeColor="text1"/>
                <w:sz w:val="24"/>
                <w:szCs w:val="24"/>
              </w:rPr>
              <w:t>1.80</w:t>
            </w:r>
          </w:p>
        </w:tc>
        <w:tc>
          <w:tcPr>
            <w:tcW w:w="1304" w:type="dxa"/>
            <w:vAlign w:val="bottom"/>
          </w:tcPr>
          <w:p w14:paraId="709C9649" w14:textId="77777777" w:rsidR="009A0A63" w:rsidRPr="00792B36" w:rsidRDefault="009A0A63" w:rsidP="00A24459">
            <w:pPr>
              <w:jc w:val="center"/>
              <w:rPr>
                <w:b/>
                <w:bCs/>
                <w:color w:val="000000" w:themeColor="text1"/>
                <w:sz w:val="24"/>
                <w:szCs w:val="24"/>
              </w:rPr>
            </w:pPr>
            <w:r w:rsidRPr="00792B36">
              <w:rPr>
                <w:color w:val="000000" w:themeColor="text1"/>
                <w:sz w:val="24"/>
                <w:szCs w:val="24"/>
              </w:rPr>
              <w:t>6.15</w:t>
            </w:r>
          </w:p>
        </w:tc>
        <w:tc>
          <w:tcPr>
            <w:tcW w:w="1304" w:type="dxa"/>
            <w:vAlign w:val="bottom"/>
          </w:tcPr>
          <w:p w14:paraId="423E5C4A" w14:textId="77777777" w:rsidR="009A0A63" w:rsidRPr="00792B36" w:rsidRDefault="009A0A63" w:rsidP="00A24459">
            <w:pPr>
              <w:jc w:val="center"/>
              <w:rPr>
                <w:b/>
                <w:bCs/>
                <w:color w:val="000000" w:themeColor="text1"/>
                <w:sz w:val="24"/>
                <w:szCs w:val="24"/>
              </w:rPr>
            </w:pPr>
            <w:r w:rsidRPr="00792B36">
              <w:rPr>
                <w:color w:val="000000" w:themeColor="text1"/>
                <w:sz w:val="24"/>
                <w:szCs w:val="24"/>
              </w:rPr>
              <w:t>0.00</w:t>
            </w:r>
          </w:p>
        </w:tc>
        <w:tc>
          <w:tcPr>
            <w:tcW w:w="1615" w:type="dxa"/>
          </w:tcPr>
          <w:p w14:paraId="6D6760C4" w14:textId="77777777" w:rsidR="009A0A63" w:rsidRPr="00792B36" w:rsidRDefault="009A0A63" w:rsidP="00A24459">
            <w:pPr>
              <w:jc w:val="center"/>
              <w:rPr>
                <w:color w:val="000000" w:themeColor="text1"/>
                <w:sz w:val="24"/>
                <w:szCs w:val="24"/>
              </w:rPr>
            </w:pPr>
            <w:r w:rsidRPr="00792B36">
              <w:rPr>
                <w:color w:val="000000" w:themeColor="text1"/>
                <w:sz w:val="24"/>
                <w:szCs w:val="24"/>
              </w:rPr>
              <w:t>-</w:t>
            </w:r>
          </w:p>
        </w:tc>
      </w:tr>
      <w:tr w:rsidR="009A0A63" w:rsidRPr="00792B36" w14:paraId="6AB8B40B" w14:textId="77777777" w:rsidTr="00A24459">
        <w:tc>
          <w:tcPr>
            <w:tcW w:w="2689" w:type="dxa"/>
          </w:tcPr>
          <w:p w14:paraId="1952453A" w14:textId="77777777" w:rsidR="009A0A63" w:rsidRPr="00792B36" w:rsidRDefault="009A0A63" w:rsidP="00A24459">
            <w:pPr>
              <w:rPr>
                <w:b/>
                <w:bCs/>
                <w:color w:val="000000" w:themeColor="text1"/>
                <w:sz w:val="24"/>
                <w:szCs w:val="24"/>
              </w:rPr>
            </w:pPr>
            <w:r w:rsidRPr="00792B36">
              <w:rPr>
                <w:color w:val="000000" w:themeColor="text1"/>
                <w:sz w:val="24"/>
                <w:szCs w:val="24"/>
              </w:rPr>
              <w:t>CR:7 Koh Losin</w:t>
            </w:r>
          </w:p>
        </w:tc>
        <w:tc>
          <w:tcPr>
            <w:tcW w:w="2126" w:type="dxa"/>
            <w:vAlign w:val="center"/>
          </w:tcPr>
          <w:p w14:paraId="04367E2B" w14:textId="77777777" w:rsidR="009A0A63" w:rsidRPr="00792B36" w:rsidRDefault="009A0A63" w:rsidP="00A24459">
            <w:pPr>
              <w:jc w:val="center"/>
              <w:rPr>
                <w:b/>
                <w:bCs/>
                <w:color w:val="000000" w:themeColor="text1"/>
                <w:sz w:val="24"/>
                <w:szCs w:val="24"/>
              </w:rPr>
            </w:pPr>
            <w:r w:rsidRPr="00792B36">
              <w:rPr>
                <w:color w:val="000000" w:themeColor="text1"/>
                <w:sz w:val="24"/>
                <w:szCs w:val="24"/>
              </w:rPr>
              <w:t>Healthy condition</w:t>
            </w:r>
          </w:p>
        </w:tc>
        <w:tc>
          <w:tcPr>
            <w:tcW w:w="1304" w:type="dxa"/>
          </w:tcPr>
          <w:p w14:paraId="3992DEA9" w14:textId="77777777" w:rsidR="009A0A63" w:rsidRPr="00792B36" w:rsidRDefault="009A0A63" w:rsidP="00A24459">
            <w:pPr>
              <w:jc w:val="center"/>
              <w:rPr>
                <w:b/>
                <w:bCs/>
                <w:color w:val="000000" w:themeColor="text1"/>
                <w:sz w:val="24"/>
                <w:szCs w:val="24"/>
              </w:rPr>
            </w:pPr>
            <w:r w:rsidRPr="00792B36">
              <w:rPr>
                <w:color w:val="000000" w:themeColor="text1"/>
                <w:sz w:val="24"/>
                <w:szCs w:val="24"/>
              </w:rPr>
              <w:t>69.50</w:t>
            </w:r>
          </w:p>
        </w:tc>
        <w:tc>
          <w:tcPr>
            <w:tcW w:w="1304" w:type="dxa"/>
          </w:tcPr>
          <w:p w14:paraId="5274C539" w14:textId="77777777" w:rsidR="009A0A63" w:rsidRPr="00792B36" w:rsidRDefault="009A0A63" w:rsidP="00A24459">
            <w:pPr>
              <w:jc w:val="center"/>
              <w:rPr>
                <w:b/>
                <w:bCs/>
                <w:color w:val="000000" w:themeColor="text1"/>
                <w:sz w:val="24"/>
                <w:szCs w:val="24"/>
              </w:rPr>
            </w:pPr>
            <w:r w:rsidRPr="00792B36">
              <w:rPr>
                <w:color w:val="000000" w:themeColor="text1"/>
                <w:sz w:val="24"/>
                <w:szCs w:val="24"/>
              </w:rPr>
              <w:t>29.00</w:t>
            </w:r>
          </w:p>
        </w:tc>
        <w:tc>
          <w:tcPr>
            <w:tcW w:w="1304" w:type="dxa"/>
          </w:tcPr>
          <w:p w14:paraId="64BEEEA7" w14:textId="77777777" w:rsidR="009A0A63" w:rsidRPr="00792B36" w:rsidRDefault="009A0A63" w:rsidP="00A24459">
            <w:pPr>
              <w:jc w:val="center"/>
              <w:rPr>
                <w:b/>
                <w:bCs/>
                <w:color w:val="000000" w:themeColor="text1"/>
                <w:sz w:val="24"/>
                <w:szCs w:val="24"/>
              </w:rPr>
            </w:pPr>
            <w:r w:rsidRPr="00792B36">
              <w:rPr>
                <w:color w:val="000000" w:themeColor="text1"/>
                <w:sz w:val="24"/>
                <w:szCs w:val="24"/>
              </w:rPr>
              <w:t>1.30</w:t>
            </w:r>
          </w:p>
        </w:tc>
        <w:tc>
          <w:tcPr>
            <w:tcW w:w="1304" w:type="dxa"/>
          </w:tcPr>
          <w:p w14:paraId="0BD6596F" w14:textId="77777777" w:rsidR="009A0A63" w:rsidRPr="00792B36" w:rsidRDefault="009A0A63" w:rsidP="00A24459">
            <w:pPr>
              <w:jc w:val="center"/>
              <w:rPr>
                <w:b/>
                <w:bCs/>
                <w:color w:val="000000" w:themeColor="text1"/>
                <w:sz w:val="24"/>
                <w:szCs w:val="24"/>
              </w:rPr>
            </w:pPr>
            <w:r w:rsidRPr="00792B36">
              <w:rPr>
                <w:color w:val="000000" w:themeColor="text1"/>
                <w:sz w:val="24"/>
                <w:szCs w:val="24"/>
              </w:rPr>
              <w:t>0.00</w:t>
            </w:r>
          </w:p>
        </w:tc>
        <w:tc>
          <w:tcPr>
            <w:tcW w:w="1304" w:type="dxa"/>
          </w:tcPr>
          <w:p w14:paraId="3931A5DB" w14:textId="77777777" w:rsidR="009A0A63" w:rsidRPr="00792B36" w:rsidRDefault="009A0A63" w:rsidP="00A24459">
            <w:pPr>
              <w:jc w:val="center"/>
              <w:rPr>
                <w:b/>
                <w:bCs/>
                <w:color w:val="000000" w:themeColor="text1"/>
                <w:sz w:val="24"/>
                <w:szCs w:val="24"/>
              </w:rPr>
            </w:pPr>
            <w:r w:rsidRPr="00792B36">
              <w:rPr>
                <w:color w:val="000000" w:themeColor="text1"/>
                <w:sz w:val="24"/>
                <w:szCs w:val="24"/>
              </w:rPr>
              <w:t>0.30</w:t>
            </w:r>
          </w:p>
        </w:tc>
        <w:tc>
          <w:tcPr>
            <w:tcW w:w="1615" w:type="dxa"/>
          </w:tcPr>
          <w:p w14:paraId="40B494AE" w14:textId="77777777" w:rsidR="009A0A63" w:rsidRPr="00792B36" w:rsidRDefault="009A0A63" w:rsidP="00A24459">
            <w:pPr>
              <w:jc w:val="center"/>
              <w:rPr>
                <w:color w:val="000000" w:themeColor="text1"/>
                <w:sz w:val="24"/>
                <w:szCs w:val="24"/>
              </w:rPr>
            </w:pPr>
            <w:r w:rsidRPr="00792B36">
              <w:rPr>
                <w:color w:val="000000" w:themeColor="text1"/>
                <w:sz w:val="24"/>
                <w:szCs w:val="24"/>
              </w:rPr>
              <w:t>-</w:t>
            </w:r>
          </w:p>
        </w:tc>
      </w:tr>
      <w:tr w:rsidR="009A0A63" w:rsidRPr="00792B36" w14:paraId="5813731D" w14:textId="77777777" w:rsidTr="00A24459">
        <w:tc>
          <w:tcPr>
            <w:tcW w:w="2689" w:type="dxa"/>
          </w:tcPr>
          <w:p w14:paraId="4AE00C39" w14:textId="77777777" w:rsidR="009A0A63" w:rsidRPr="00792B36" w:rsidRDefault="009A0A63" w:rsidP="00A24459">
            <w:pPr>
              <w:rPr>
                <w:b/>
                <w:bCs/>
                <w:color w:val="000000" w:themeColor="text1"/>
                <w:sz w:val="24"/>
                <w:szCs w:val="24"/>
              </w:rPr>
            </w:pPr>
            <w:r w:rsidRPr="00792B36">
              <w:rPr>
                <w:color w:val="000000" w:themeColor="text1"/>
                <w:sz w:val="24"/>
                <w:szCs w:val="24"/>
              </w:rPr>
              <w:lastRenderedPageBreak/>
              <w:t>CR:8 Underwater pinnacle Chumphon Province</w:t>
            </w:r>
          </w:p>
        </w:tc>
        <w:tc>
          <w:tcPr>
            <w:tcW w:w="2126" w:type="dxa"/>
            <w:vAlign w:val="center"/>
          </w:tcPr>
          <w:p w14:paraId="1041B4B6" w14:textId="77777777" w:rsidR="009A0A63" w:rsidRPr="00792B36" w:rsidRDefault="009A0A63" w:rsidP="00A24459">
            <w:pPr>
              <w:jc w:val="center"/>
              <w:rPr>
                <w:b/>
                <w:bCs/>
                <w:color w:val="000000" w:themeColor="text1"/>
                <w:sz w:val="24"/>
                <w:szCs w:val="24"/>
              </w:rPr>
            </w:pPr>
            <w:r w:rsidRPr="00792B36">
              <w:rPr>
                <w:color w:val="000000" w:themeColor="text1"/>
                <w:sz w:val="24"/>
                <w:szCs w:val="24"/>
              </w:rPr>
              <w:t>Healthy condition</w:t>
            </w:r>
          </w:p>
        </w:tc>
        <w:tc>
          <w:tcPr>
            <w:tcW w:w="1304" w:type="dxa"/>
            <w:vAlign w:val="center"/>
          </w:tcPr>
          <w:p w14:paraId="43BE60F7" w14:textId="77777777" w:rsidR="009A0A63" w:rsidRPr="00792B36" w:rsidRDefault="009A0A63" w:rsidP="00A24459">
            <w:pPr>
              <w:jc w:val="center"/>
              <w:rPr>
                <w:b/>
                <w:bCs/>
                <w:color w:val="000000" w:themeColor="text1"/>
                <w:sz w:val="24"/>
                <w:szCs w:val="24"/>
              </w:rPr>
            </w:pPr>
            <w:r w:rsidRPr="00792B36">
              <w:rPr>
                <w:rFonts w:eastAsia="Times New Roman"/>
                <w:color w:val="000000" w:themeColor="text1"/>
                <w:sz w:val="24"/>
                <w:szCs w:val="24"/>
              </w:rPr>
              <w:t>31.11</w:t>
            </w:r>
          </w:p>
        </w:tc>
        <w:tc>
          <w:tcPr>
            <w:tcW w:w="1304" w:type="dxa"/>
            <w:vAlign w:val="center"/>
          </w:tcPr>
          <w:p w14:paraId="799ABC11" w14:textId="77777777" w:rsidR="009A0A63" w:rsidRPr="00792B36" w:rsidRDefault="009A0A63" w:rsidP="00A24459">
            <w:pPr>
              <w:jc w:val="center"/>
              <w:rPr>
                <w:b/>
                <w:bCs/>
                <w:color w:val="000000" w:themeColor="text1"/>
                <w:sz w:val="24"/>
                <w:szCs w:val="24"/>
              </w:rPr>
            </w:pPr>
            <w:r w:rsidRPr="00792B36">
              <w:rPr>
                <w:rFonts w:eastAsia="Times New Roman"/>
                <w:color w:val="000000" w:themeColor="text1"/>
                <w:sz w:val="24"/>
                <w:szCs w:val="24"/>
              </w:rPr>
              <w:t>27.21</w:t>
            </w:r>
          </w:p>
        </w:tc>
        <w:tc>
          <w:tcPr>
            <w:tcW w:w="1304" w:type="dxa"/>
            <w:vAlign w:val="center"/>
          </w:tcPr>
          <w:p w14:paraId="402DDE4C" w14:textId="77777777" w:rsidR="009A0A63" w:rsidRPr="00792B36" w:rsidRDefault="009A0A63" w:rsidP="00A24459">
            <w:pPr>
              <w:jc w:val="center"/>
              <w:rPr>
                <w:b/>
                <w:bCs/>
                <w:color w:val="000000" w:themeColor="text1"/>
                <w:sz w:val="24"/>
                <w:szCs w:val="24"/>
              </w:rPr>
            </w:pPr>
            <w:r w:rsidRPr="00792B36">
              <w:rPr>
                <w:rFonts w:eastAsia="Times New Roman"/>
                <w:color w:val="000000" w:themeColor="text1"/>
                <w:sz w:val="24"/>
                <w:szCs w:val="24"/>
              </w:rPr>
              <w:t>16.76</w:t>
            </w:r>
          </w:p>
        </w:tc>
        <w:tc>
          <w:tcPr>
            <w:tcW w:w="1304" w:type="dxa"/>
            <w:vAlign w:val="center"/>
          </w:tcPr>
          <w:p w14:paraId="3AB5E8B2" w14:textId="77777777" w:rsidR="009A0A63" w:rsidRPr="00792B36" w:rsidRDefault="009A0A63" w:rsidP="00A24459">
            <w:pPr>
              <w:jc w:val="center"/>
              <w:rPr>
                <w:b/>
                <w:bCs/>
                <w:color w:val="000000" w:themeColor="text1"/>
                <w:sz w:val="24"/>
                <w:szCs w:val="24"/>
              </w:rPr>
            </w:pPr>
            <w:r w:rsidRPr="00792B36">
              <w:rPr>
                <w:rFonts w:eastAsia="Times New Roman"/>
                <w:color w:val="000000" w:themeColor="text1"/>
                <w:sz w:val="24"/>
                <w:szCs w:val="24"/>
              </w:rPr>
              <w:t>23.77</w:t>
            </w:r>
          </w:p>
        </w:tc>
        <w:tc>
          <w:tcPr>
            <w:tcW w:w="1304" w:type="dxa"/>
            <w:vAlign w:val="center"/>
          </w:tcPr>
          <w:p w14:paraId="6FACBB65" w14:textId="77777777" w:rsidR="009A0A63" w:rsidRPr="00792B36" w:rsidRDefault="009A0A63" w:rsidP="00A24459">
            <w:pPr>
              <w:jc w:val="center"/>
              <w:rPr>
                <w:b/>
                <w:bCs/>
                <w:color w:val="000000" w:themeColor="text1"/>
                <w:sz w:val="24"/>
                <w:szCs w:val="24"/>
              </w:rPr>
            </w:pPr>
            <w:r w:rsidRPr="00792B36">
              <w:rPr>
                <w:rFonts w:eastAsia="Times New Roman"/>
                <w:color w:val="000000" w:themeColor="text1"/>
                <w:sz w:val="24"/>
                <w:szCs w:val="24"/>
              </w:rPr>
              <w:t>1.15</w:t>
            </w:r>
          </w:p>
        </w:tc>
        <w:tc>
          <w:tcPr>
            <w:tcW w:w="1615" w:type="dxa"/>
          </w:tcPr>
          <w:p w14:paraId="509DFD83" w14:textId="77777777" w:rsidR="009A0A63" w:rsidRPr="00792B36" w:rsidRDefault="009A0A63" w:rsidP="00A24459">
            <w:pPr>
              <w:jc w:val="center"/>
              <w:rPr>
                <w:rFonts w:eastAsia="Times New Roman"/>
                <w:color w:val="000000" w:themeColor="text1"/>
                <w:sz w:val="24"/>
                <w:szCs w:val="24"/>
              </w:rPr>
            </w:pPr>
            <w:r w:rsidRPr="00792B36">
              <w:rPr>
                <w:rFonts w:eastAsia="Times New Roman"/>
                <w:color w:val="000000" w:themeColor="text1"/>
                <w:sz w:val="24"/>
                <w:szCs w:val="24"/>
              </w:rPr>
              <w:t>-</w:t>
            </w:r>
          </w:p>
        </w:tc>
      </w:tr>
      <w:tr w:rsidR="009A0A63" w:rsidRPr="00792B36" w14:paraId="471B4BED" w14:textId="77777777" w:rsidTr="00A24459">
        <w:tc>
          <w:tcPr>
            <w:tcW w:w="2689" w:type="dxa"/>
          </w:tcPr>
          <w:p w14:paraId="7D340848" w14:textId="77777777" w:rsidR="009A0A63" w:rsidRPr="00792B36" w:rsidRDefault="009A0A63" w:rsidP="00A24459">
            <w:pPr>
              <w:rPr>
                <w:color w:val="000000" w:themeColor="text1"/>
                <w:sz w:val="24"/>
                <w:szCs w:val="24"/>
              </w:rPr>
            </w:pPr>
            <w:r w:rsidRPr="00792B36">
              <w:rPr>
                <w:rStyle w:val="Strong"/>
                <w:rFonts w:eastAsiaTheme="minorEastAsia"/>
                <w:color w:val="000000" w:themeColor="text1"/>
                <w:sz w:val="24"/>
                <w:szCs w:val="24"/>
              </w:rPr>
              <w:t>SG1: Ban Don Bay</w:t>
            </w:r>
          </w:p>
        </w:tc>
        <w:tc>
          <w:tcPr>
            <w:tcW w:w="2126" w:type="dxa"/>
            <w:vAlign w:val="center"/>
          </w:tcPr>
          <w:p w14:paraId="502EAFCF" w14:textId="77777777" w:rsidR="009A0A63" w:rsidRPr="00792B36" w:rsidRDefault="009A0A63" w:rsidP="00A24459">
            <w:pPr>
              <w:jc w:val="center"/>
              <w:rPr>
                <w:color w:val="000000" w:themeColor="text1"/>
                <w:sz w:val="24"/>
                <w:szCs w:val="24"/>
              </w:rPr>
            </w:pPr>
            <w:r w:rsidRPr="00792B36">
              <w:rPr>
                <w:color w:val="000000" w:themeColor="text1"/>
                <w:sz w:val="24"/>
                <w:szCs w:val="24"/>
              </w:rPr>
              <w:t>Moderately healthy</w:t>
            </w:r>
          </w:p>
        </w:tc>
        <w:tc>
          <w:tcPr>
            <w:tcW w:w="1304" w:type="dxa"/>
            <w:vAlign w:val="center"/>
          </w:tcPr>
          <w:p w14:paraId="2A1B8991" w14:textId="77777777" w:rsidR="009A0A63" w:rsidRPr="00792B36" w:rsidRDefault="009A0A63" w:rsidP="00A24459">
            <w:pPr>
              <w:jc w:val="center"/>
              <w:rPr>
                <w:b/>
                <w:bCs/>
                <w:color w:val="000000" w:themeColor="text1"/>
                <w:sz w:val="24"/>
                <w:szCs w:val="24"/>
              </w:rPr>
            </w:pPr>
            <w:r w:rsidRPr="00792B36">
              <w:rPr>
                <w:b/>
                <w:bCs/>
                <w:color w:val="000000" w:themeColor="text1"/>
                <w:sz w:val="24"/>
                <w:szCs w:val="24"/>
              </w:rPr>
              <w:t>-</w:t>
            </w:r>
          </w:p>
        </w:tc>
        <w:tc>
          <w:tcPr>
            <w:tcW w:w="1304" w:type="dxa"/>
            <w:vAlign w:val="center"/>
          </w:tcPr>
          <w:p w14:paraId="7D7952B1" w14:textId="77777777" w:rsidR="009A0A63" w:rsidRPr="00792B36" w:rsidRDefault="009A0A63" w:rsidP="00A24459">
            <w:pPr>
              <w:jc w:val="center"/>
              <w:rPr>
                <w:b/>
                <w:bCs/>
                <w:color w:val="000000" w:themeColor="text1"/>
                <w:sz w:val="24"/>
                <w:szCs w:val="24"/>
              </w:rPr>
            </w:pPr>
            <w:r w:rsidRPr="00792B36">
              <w:rPr>
                <w:b/>
                <w:bCs/>
                <w:color w:val="000000" w:themeColor="text1"/>
                <w:sz w:val="24"/>
                <w:szCs w:val="24"/>
              </w:rPr>
              <w:t>-</w:t>
            </w:r>
          </w:p>
        </w:tc>
        <w:tc>
          <w:tcPr>
            <w:tcW w:w="1304" w:type="dxa"/>
          </w:tcPr>
          <w:p w14:paraId="32665A65" w14:textId="77777777" w:rsidR="009A0A63" w:rsidRPr="00792B36" w:rsidRDefault="009A0A63" w:rsidP="00A24459">
            <w:pPr>
              <w:jc w:val="center"/>
              <w:rPr>
                <w:b/>
                <w:bCs/>
                <w:color w:val="000000" w:themeColor="text1"/>
                <w:sz w:val="24"/>
                <w:szCs w:val="24"/>
              </w:rPr>
            </w:pPr>
            <w:r w:rsidRPr="00792B36">
              <w:rPr>
                <w:b/>
                <w:bCs/>
                <w:color w:val="000000" w:themeColor="text1"/>
                <w:sz w:val="24"/>
                <w:szCs w:val="24"/>
              </w:rPr>
              <w:t>-</w:t>
            </w:r>
          </w:p>
        </w:tc>
        <w:tc>
          <w:tcPr>
            <w:tcW w:w="1304" w:type="dxa"/>
          </w:tcPr>
          <w:p w14:paraId="1BA6A58B" w14:textId="77777777" w:rsidR="009A0A63" w:rsidRPr="00792B36" w:rsidRDefault="009A0A63" w:rsidP="00A24459">
            <w:pPr>
              <w:jc w:val="center"/>
              <w:rPr>
                <w:b/>
                <w:bCs/>
                <w:color w:val="000000" w:themeColor="text1"/>
                <w:sz w:val="24"/>
                <w:szCs w:val="24"/>
              </w:rPr>
            </w:pPr>
            <w:r w:rsidRPr="00792B36">
              <w:rPr>
                <w:b/>
                <w:bCs/>
                <w:color w:val="000000" w:themeColor="text1"/>
                <w:sz w:val="24"/>
                <w:szCs w:val="24"/>
              </w:rPr>
              <w:t>-</w:t>
            </w:r>
          </w:p>
        </w:tc>
        <w:tc>
          <w:tcPr>
            <w:tcW w:w="1304" w:type="dxa"/>
          </w:tcPr>
          <w:p w14:paraId="63297898" w14:textId="77777777" w:rsidR="009A0A63" w:rsidRPr="00792B36" w:rsidRDefault="009A0A63" w:rsidP="00A24459">
            <w:pPr>
              <w:jc w:val="center"/>
              <w:rPr>
                <w:b/>
                <w:bCs/>
                <w:color w:val="000000" w:themeColor="text1"/>
                <w:sz w:val="24"/>
                <w:szCs w:val="24"/>
              </w:rPr>
            </w:pPr>
            <w:r w:rsidRPr="00792B36">
              <w:rPr>
                <w:b/>
                <w:bCs/>
                <w:color w:val="000000" w:themeColor="text1"/>
                <w:sz w:val="24"/>
                <w:szCs w:val="24"/>
              </w:rPr>
              <w:t>-</w:t>
            </w:r>
          </w:p>
        </w:tc>
        <w:tc>
          <w:tcPr>
            <w:tcW w:w="1615" w:type="dxa"/>
          </w:tcPr>
          <w:p w14:paraId="49045AC6" w14:textId="77777777" w:rsidR="009A0A63" w:rsidRPr="00792B36" w:rsidRDefault="009A0A63" w:rsidP="00A24459">
            <w:pPr>
              <w:jc w:val="center"/>
              <w:rPr>
                <w:b/>
                <w:bCs/>
                <w:color w:val="000000" w:themeColor="text1"/>
                <w:sz w:val="24"/>
                <w:szCs w:val="24"/>
              </w:rPr>
            </w:pPr>
            <w:r w:rsidRPr="00792B36">
              <w:rPr>
                <w:color w:val="000000" w:themeColor="text1"/>
                <w:sz w:val="24"/>
                <w:szCs w:val="24"/>
                <w:cs/>
              </w:rPr>
              <w:t>12.74</w:t>
            </w:r>
          </w:p>
        </w:tc>
      </w:tr>
      <w:tr w:rsidR="009A0A63" w:rsidRPr="00792B36" w14:paraId="56FEB3F4" w14:textId="77777777" w:rsidTr="00A24459">
        <w:tc>
          <w:tcPr>
            <w:tcW w:w="2689" w:type="dxa"/>
          </w:tcPr>
          <w:p w14:paraId="7D3C8F72" w14:textId="77777777" w:rsidR="009A0A63" w:rsidRPr="00792B36" w:rsidRDefault="009A0A63" w:rsidP="00A24459">
            <w:pPr>
              <w:rPr>
                <w:color w:val="000000" w:themeColor="text1"/>
                <w:sz w:val="24"/>
                <w:szCs w:val="24"/>
              </w:rPr>
            </w:pPr>
            <w:r w:rsidRPr="00792B36">
              <w:rPr>
                <w:rStyle w:val="Strong"/>
                <w:rFonts w:eastAsiaTheme="minorEastAsia"/>
                <w:color w:val="000000" w:themeColor="text1"/>
                <w:sz w:val="24"/>
                <w:szCs w:val="24"/>
              </w:rPr>
              <w:t>SG2: Chumphon</w:t>
            </w:r>
          </w:p>
        </w:tc>
        <w:tc>
          <w:tcPr>
            <w:tcW w:w="2126" w:type="dxa"/>
            <w:vAlign w:val="center"/>
          </w:tcPr>
          <w:p w14:paraId="17580C24" w14:textId="77777777" w:rsidR="009A0A63" w:rsidRPr="00792B36" w:rsidRDefault="009A0A63" w:rsidP="00A24459">
            <w:pPr>
              <w:jc w:val="center"/>
              <w:rPr>
                <w:b/>
                <w:bCs/>
                <w:color w:val="000000" w:themeColor="text1"/>
                <w:sz w:val="24"/>
                <w:szCs w:val="24"/>
              </w:rPr>
            </w:pPr>
          </w:p>
        </w:tc>
        <w:tc>
          <w:tcPr>
            <w:tcW w:w="1304" w:type="dxa"/>
            <w:vAlign w:val="center"/>
          </w:tcPr>
          <w:p w14:paraId="27D680FE" w14:textId="77777777" w:rsidR="009A0A63" w:rsidRPr="00792B36" w:rsidRDefault="009A0A63" w:rsidP="00A24459">
            <w:pPr>
              <w:jc w:val="center"/>
              <w:rPr>
                <w:b/>
                <w:bCs/>
                <w:color w:val="000000" w:themeColor="text1"/>
                <w:sz w:val="24"/>
                <w:szCs w:val="24"/>
              </w:rPr>
            </w:pPr>
            <w:r w:rsidRPr="00792B36">
              <w:rPr>
                <w:b/>
                <w:bCs/>
                <w:color w:val="000000" w:themeColor="text1"/>
                <w:sz w:val="24"/>
                <w:szCs w:val="24"/>
              </w:rPr>
              <w:t>-</w:t>
            </w:r>
          </w:p>
        </w:tc>
        <w:tc>
          <w:tcPr>
            <w:tcW w:w="1304" w:type="dxa"/>
            <w:vAlign w:val="center"/>
          </w:tcPr>
          <w:p w14:paraId="6B1F67CA" w14:textId="77777777" w:rsidR="009A0A63" w:rsidRPr="00792B36" w:rsidRDefault="009A0A63" w:rsidP="00A24459">
            <w:pPr>
              <w:jc w:val="center"/>
              <w:rPr>
                <w:b/>
                <w:bCs/>
                <w:color w:val="000000" w:themeColor="text1"/>
                <w:sz w:val="24"/>
                <w:szCs w:val="24"/>
              </w:rPr>
            </w:pPr>
            <w:r w:rsidRPr="00792B36">
              <w:rPr>
                <w:b/>
                <w:bCs/>
                <w:color w:val="000000" w:themeColor="text1"/>
                <w:sz w:val="24"/>
                <w:szCs w:val="24"/>
              </w:rPr>
              <w:t>-</w:t>
            </w:r>
          </w:p>
        </w:tc>
        <w:tc>
          <w:tcPr>
            <w:tcW w:w="1304" w:type="dxa"/>
          </w:tcPr>
          <w:p w14:paraId="2EDD9038" w14:textId="77777777" w:rsidR="009A0A63" w:rsidRPr="00792B36" w:rsidRDefault="009A0A63" w:rsidP="00A24459">
            <w:pPr>
              <w:jc w:val="center"/>
              <w:rPr>
                <w:b/>
                <w:bCs/>
                <w:color w:val="000000" w:themeColor="text1"/>
                <w:sz w:val="24"/>
                <w:szCs w:val="24"/>
              </w:rPr>
            </w:pPr>
            <w:r w:rsidRPr="00792B36">
              <w:rPr>
                <w:b/>
                <w:bCs/>
                <w:color w:val="000000" w:themeColor="text1"/>
                <w:sz w:val="24"/>
                <w:szCs w:val="24"/>
              </w:rPr>
              <w:t>-</w:t>
            </w:r>
          </w:p>
        </w:tc>
        <w:tc>
          <w:tcPr>
            <w:tcW w:w="1304" w:type="dxa"/>
          </w:tcPr>
          <w:p w14:paraId="04F2741D" w14:textId="77777777" w:rsidR="009A0A63" w:rsidRPr="00792B36" w:rsidRDefault="009A0A63" w:rsidP="00A24459">
            <w:pPr>
              <w:jc w:val="center"/>
              <w:rPr>
                <w:b/>
                <w:bCs/>
                <w:color w:val="000000" w:themeColor="text1"/>
                <w:sz w:val="24"/>
                <w:szCs w:val="24"/>
              </w:rPr>
            </w:pPr>
            <w:r w:rsidRPr="00792B36">
              <w:rPr>
                <w:b/>
                <w:bCs/>
                <w:color w:val="000000" w:themeColor="text1"/>
                <w:sz w:val="24"/>
                <w:szCs w:val="24"/>
              </w:rPr>
              <w:t>-</w:t>
            </w:r>
          </w:p>
        </w:tc>
        <w:tc>
          <w:tcPr>
            <w:tcW w:w="1304" w:type="dxa"/>
          </w:tcPr>
          <w:p w14:paraId="645D1FC0" w14:textId="77777777" w:rsidR="009A0A63" w:rsidRPr="00792B36" w:rsidRDefault="009A0A63" w:rsidP="00A24459">
            <w:pPr>
              <w:jc w:val="center"/>
              <w:rPr>
                <w:b/>
                <w:bCs/>
                <w:color w:val="000000" w:themeColor="text1"/>
                <w:sz w:val="24"/>
                <w:szCs w:val="24"/>
              </w:rPr>
            </w:pPr>
            <w:r w:rsidRPr="00792B36">
              <w:rPr>
                <w:b/>
                <w:bCs/>
                <w:color w:val="000000" w:themeColor="text1"/>
                <w:sz w:val="24"/>
                <w:szCs w:val="24"/>
              </w:rPr>
              <w:t>-</w:t>
            </w:r>
          </w:p>
        </w:tc>
        <w:tc>
          <w:tcPr>
            <w:tcW w:w="1615" w:type="dxa"/>
          </w:tcPr>
          <w:p w14:paraId="6397F0D3" w14:textId="77777777" w:rsidR="009A0A63" w:rsidRPr="00792B36" w:rsidRDefault="009A0A63" w:rsidP="00A24459">
            <w:pPr>
              <w:jc w:val="center"/>
              <w:rPr>
                <w:b/>
                <w:bCs/>
                <w:color w:val="000000" w:themeColor="text1"/>
                <w:sz w:val="24"/>
                <w:szCs w:val="24"/>
              </w:rPr>
            </w:pPr>
            <w:r w:rsidRPr="00792B36">
              <w:rPr>
                <w:color w:val="000000" w:themeColor="text1"/>
                <w:sz w:val="24"/>
                <w:szCs w:val="24"/>
                <w:cs/>
              </w:rPr>
              <w:t>11.64</w:t>
            </w:r>
          </w:p>
        </w:tc>
      </w:tr>
    </w:tbl>
    <w:p w14:paraId="044A87AA" w14:textId="77777777" w:rsidR="009A0A63" w:rsidRPr="00792B36" w:rsidRDefault="009A0A63" w:rsidP="009A0A63">
      <w:pPr>
        <w:tabs>
          <w:tab w:val="left" w:pos="2240"/>
        </w:tabs>
        <w:rPr>
          <w:color w:val="000000" w:themeColor="text1"/>
          <w:sz w:val="24"/>
          <w:szCs w:val="24"/>
        </w:rPr>
      </w:pPr>
    </w:p>
    <w:p w14:paraId="3A432713" w14:textId="77777777" w:rsidR="009A0A63" w:rsidRPr="00792B36" w:rsidRDefault="009A0A63" w:rsidP="009A0A63">
      <w:pPr>
        <w:tabs>
          <w:tab w:val="left" w:pos="2240"/>
        </w:tabs>
        <w:rPr>
          <w:color w:val="000000" w:themeColor="text1"/>
          <w:sz w:val="24"/>
          <w:szCs w:val="24"/>
        </w:rPr>
      </w:pPr>
    </w:p>
    <w:p w14:paraId="3D3EE516" w14:textId="77777777" w:rsidR="009A0A63" w:rsidRPr="00792B36" w:rsidRDefault="009A0A63" w:rsidP="009A0A63">
      <w:pPr>
        <w:ind w:firstLine="851"/>
        <w:rPr>
          <w:b/>
          <w:bCs/>
          <w:i/>
          <w:iCs/>
          <w:color w:val="000000" w:themeColor="text1"/>
          <w:sz w:val="24"/>
          <w:szCs w:val="24"/>
        </w:rPr>
      </w:pPr>
      <w:r w:rsidRPr="00792B36">
        <w:rPr>
          <w:b/>
          <w:bCs/>
          <w:i/>
          <w:iCs/>
          <w:color w:val="000000" w:themeColor="text1"/>
          <w:sz w:val="24"/>
          <w:szCs w:val="24"/>
        </w:rPr>
        <w:t>Threats, trends of change and future threats</w:t>
      </w:r>
    </w:p>
    <w:p w14:paraId="30E74706" w14:textId="77777777" w:rsidR="009A0A63" w:rsidRPr="00792B36" w:rsidRDefault="009A0A63" w:rsidP="009A0A63">
      <w:pPr>
        <w:ind w:firstLine="851"/>
        <w:jc w:val="thaiDistribute"/>
        <w:rPr>
          <w:color w:val="000000" w:themeColor="text1"/>
          <w:sz w:val="24"/>
          <w:szCs w:val="24"/>
        </w:rPr>
      </w:pPr>
      <w:r w:rsidRPr="00792B36">
        <w:rPr>
          <w:color w:val="000000" w:themeColor="text1"/>
          <w:sz w:val="24"/>
          <w:szCs w:val="24"/>
        </w:rPr>
        <w:t>Coral reef and seagrass ecosystems across the Gulf of Thailand — including Koh Si Chang, Koh Lan, Koh Kood, Koh Mak, Koh Tao, Koh Kra, Koh Losin, and the underwater pinnacles in Chumphon Province — face diverse and interlinked environmental pressures. Current threats are dominated by sedimentation, coastal development, pollution from urban and tourism sources, coral bleaching, and thermal stress, leading to reduced coral cover and degradation of seagrass meadows. Localized impacts from anchoring, boat traffic, and wastewater discharge further contribute to ecosystem decline, especially near major coastal hubs.</w:t>
      </w:r>
    </w:p>
    <w:p w14:paraId="339C7657" w14:textId="77777777" w:rsidR="009A0A63" w:rsidRPr="00792B36" w:rsidRDefault="009A0A63" w:rsidP="009A0A63">
      <w:pPr>
        <w:ind w:firstLine="851"/>
        <w:jc w:val="thaiDistribute"/>
        <w:rPr>
          <w:color w:val="000000" w:themeColor="text1"/>
          <w:sz w:val="24"/>
          <w:szCs w:val="24"/>
        </w:rPr>
      </w:pPr>
      <w:r w:rsidRPr="00792B36">
        <w:rPr>
          <w:color w:val="000000" w:themeColor="text1"/>
          <w:sz w:val="24"/>
          <w:szCs w:val="24"/>
        </w:rPr>
        <w:t>Trends of change indicate that coral cover has declined in nearshore sites such as Koh Si Chang and Koh Lan due to chronic sedimentation and pollution, while offshore reefs like Koh Kra and Koh Losin have remained stable or improved under low human pressure. Seagrass beds in sheltered bays such as Ban Don Bay and Chumphon show fluctuating but generally declining trends due to land-based runoff and aquaculture expansion.</w:t>
      </w:r>
    </w:p>
    <w:p w14:paraId="1474B42F" w14:textId="77777777" w:rsidR="009A0A63" w:rsidRPr="00792B36" w:rsidRDefault="009A0A63" w:rsidP="009A0A63">
      <w:pPr>
        <w:ind w:firstLine="851"/>
        <w:jc w:val="thaiDistribute"/>
        <w:rPr>
          <w:color w:val="000000" w:themeColor="text1"/>
          <w:sz w:val="24"/>
          <w:szCs w:val="24"/>
        </w:rPr>
      </w:pPr>
      <w:r w:rsidRPr="00792B36">
        <w:rPr>
          <w:color w:val="000000" w:themeColor="text1"/>
          <w:sz w:val="24"/>
          <w:szCs w:val="24"/>
        </w:rPr>
        <w:t>Future threats include continued coastal development, increasing tourism pressure, climate-induced coral bleaching, and ocean acidification, which could accelerate biodiversity loss if unmanaged. Expanding ports, shipping lanes, and aquaculture zones also present new risks to water quality and habitat integrity.</w:t>
      </w:r>
    </w:p>
    <w:p w14:paraId="5C313AFA" w14:textId="77777777" w:rsidR="009A0A63" w:rsidRPr="00792B36" w:rsidRDefault="009A0A63" w:rsidP="009A0A63">
      <w:pPr>
        <w:ind w:firstLine="851"/>
        <w:jc w:val="thaiDistribute"/>
        <w:rPr>
          <w:color w:val="000000" w:themeColor="text1"/>
          <w:sz w:val="24"/>
          <w:szCs w:val="24"/>
        </w:rPr>
      </w:pPr>
      <w:r w:rsidRPr="00792B36">
        <w:rPr>
          <w:color w:val="000000" w:themeColor="text1"/>
          <w:sz w:val="24"/>
          <w:szCs w:val="24"/>
        </w:rPr>
        <w:t>Overall, these findings emphasize the urgent need for integrated coastal zone management, adaptive conservation planning, and sustainable tourism strategies to mitigate future threats and enhance the resilience of coral reef and seagrass ecosystems throughout the Gulf of Thailand.</w:t>
      </w:r>
      <w:r w:rsidRPr="00792B36">
        <w:rPr>
          <w:color w:val="000000" w:themeColor="text1"/>
          <w:sz w:val="24"/>
          <w:szCs w:val="24"/>
          <w:cs/>
        </w:rPr>
        <w:t xml:space="preserve"> (</w:t>
      </w:r>
      <w:r w:rsidRPr="00792B36">
        <w:rPr>
          <w:color w:val="000000" w:themeColor="text1"/>
          <w:sz w:val="24"/>
          <w:szCs w:val="24"/>
        </w:rPr>
        <w:t>Table 13</w:t>
      </w:r>
      <w:r w:rsidRPr="00792B36">
        <w:rPr>
          <w:color w:val="000000" w:themeColor="text1"/>
          <w:sz w:val="24"/>
          <w:szCs w:val="24"/>
          <w:cs/>
        </w:rPr>
        <w:t>)</w:t>
      </w:r>
    </w:p>
    <w:p w14:paraId="67B062BB" w14:textId="77777777" w:rsidR="009A0A63" w:rsidRPr="00792B36" w:rsidRDefault="009A0A63" w:rsidP="009A0A63">
      <w:pPr>
        <w:rPr>
          <w:color w:val="000000" w:themeColor="text1"/>
          <w:sz w:val="24"/>
          <w:szCs w:val="24"/>
        </w:rPr>
      </w:pPr>
      <w:r w:rsidRPr="00792B36">
        <w:rPr>
          <w:b/>
          <w:bCs/>
          <w:color w:val="000000" w:themeColor="text1"/>
          <w:sz w:val="24"/>
          <w:szCs w:val="24"/>
        </w:rPr>
        <w:t>Table 13</w:t>
      </w:r>
      <w:r w:rsidRPr="00792B36">
        <w:rPr>
          <w:b/>
          <w:bCs/>
          <w:color w:val="000000" w:themeColor="text1"/>
          <w:sz w:val="24"/>
          <w:szCs w:val="24"/>
          <w:cs/>
        </w:rPr>
        <w:t xml:space="preserve">. </w:t>
      </w:r>
      <w:r w:rsidRPr="00792B36">
        <w:rPr>
          <w:b/>
          <w:bCs/>
          <w:color w:val="000000" w:themeColor="text1"/>
          <w:sz w:val="24"/>
          <w:szCs w:val="24"/>
        </w:rPr>
        <w:t>Coral and seagrass areas in Thailand (Gulf of Thailand)</w:t>
      </w:r>
      <w:r w:rsidRPr="00792B36">
        <w:rPr>
          <w:b/>
          <w:bCs/>
          <w:color w:val="000000" w:themeColor="text1"/>
          <w:sz w:val="24"/>
          <w:szCs w:val="24"/>
          <w:cs/>
        </w:rPr>
        <w:t xml:space="preserve">: </w:t>
      </w:r>
      <w:bookmarkStart w:id="40" w:name="_Hlk203233713"/>
      <w:r w:rsidRPr="00792B36">
        <w:rPr>
          <w:color w:val="000000" w:themeColor="text1"/>
          <w:sz w:val="24"/>
          <w:szCs w:val="24"/>
        </w:rPr>
        <w:t xml:space="preserve">Environmental state information </w:t>
      </w:r>
      <w:bookmarkEnd w:id="40"/>
      <w:r w:rsidRPr="00792B36">
        <w:rPr>
          <w:color w:val="000000" w:themeColor="text1"/>
          <w:sz w:val="24"/>
          <w:szCs w:val="24"/>
        </w:rPr>
        <w:t>showing present threats, trends of change and future threats</w:t>
      </w:r>
    </w:p>
    <w:tbl>
      <w:tblPr>
        <w:tblStyle w:val="TableGrid"/>
        <w:tblW w:w="0" w:type="auto"/>
        <w:tblLook w:val="04A0" w:firstRow="1" w:lastRow="0" w:firstColumn="1" w:lastColumn="0" w:noHBand="0" w:noVBand="1"/>
      </w:tblPr>
      <w:tblGrid>
        <w:gridCol w:w="1750"/>
        <w:gridCol w:w="2565"/>
        <w:gridCol w:w="2281"/>
        <w:gridCol w:w="2414"/>
      </w:tblGrid>
      <w:tr w:rsidR="009A0A63" w:rsidRPr="00792B36" w14:paraId="245FAA5F" w14:textId="77777777" w:rsidTr="00A24459">
        <w:trPr>
          <w:tblHeader/>
        </w:trPr>
        <w:tc>
          <w:tcPr>
            <w:tcW w:w="2405" w:type="dxa"/>
          </w:tcPr>
          <w:p w14:paraId="74C89EEF" w14:textId="77777777" w:rsidR="009A0A63" w:rsidRPr="00792B36" w:rsidRDefault="009A0A63" w:rsidP="00A24459">
            <w:pPr>
              <w:spacing w:before="120" w:after="120"/>
              <w:jc w:val="center"/>
              <w:rPr>
                <w:b/>
                <w:bCs/>
                <w:color w:val="000000" w:themeColor="text1"/>
                <w:sz w:val="24"/>
                <w:szCs w:val="24"/>
              </w:rPr>
            </w:pPr>
            <w:r w:rsidRPr="00792B36">
              <w:rPr>
                <w:b/>
                <w:bCs/>
                <w:color w:val="000000" w:themeColor="text1"/>
                <w:sz w:val="24"/>
                <w:szCs w:val="24"/>
              </w:rPr>
              <w:t>Name of area</w:t>
            </w:r>
          </w:p>
        </w:tc>
        <w:tc>
          <w:tcPr>
            <w:tcW w:w="3515" w:type="dxa"/>
          </w:tcPr>
          <w:p w14:paraId="4F863275" w14:textId="77777777" w:rsidR="009A0A63" w:rsidRPr="00792B36" w:rsidRDefault="009A0A63" w:rsidP="00A24459">
            <w:pPr>
              <w:spacing w:before="120" w:after="120"/>
              <w:jc w:val="center"/>
              <w:rPr>
                <w:b/>
                <w:bCs/>
                <w:color w:val="000000" w:themeColor="text1"/>
                <w:sz w:val="24"/>
                <w:szCs w:val="24"/>
                <w:cs/>
              </w:rPr>
            </w:pPr>
            <w:r w:rsidRPr="00792B36">
              <w:rPr>
                <w:b/>
                <w:bCs/>
                <w:color w:val="000000" w:themeColor="text1"/>
                <w:sz w:val="24"/>
                <w:szCs w:val="24"/>
              </w:rPr>
              <w:t>Present threats</w:t>
            </w:r>
          </w:p>
        </w:tc>
        <w:tc>
          <w:tcPr>
            <w:tcW w:w="3515" w:type="dxa"/>
          </w:tcPr>
          <w:p w14:paraId="6A4A811A" w14:textId="77777777" w:rsidR="009A0A63" w:rsidRPr="00792B36" w:rsidRDefault="009A0A63" w:rsidP="00A24459">
            <w:pPr>
              <w:spacing w:before="120" w:after="120"/>
              <w:jc w:val="center"/>
              <w:rPr>
                <w:b/>
                <w:bCs/>
                <w:color w:val="000000" w:themeColor="text1"/>
                <w:sz w:val="24"/>
                <w:szCs w:val="24"/>
              </w:rPr>
            </w:pPr>
            <w:r w:rsidRPr="00792B36">
              <w:rPr>
                <w:b/>
                <w:bCs/>
                <w:color w:val="000000" w:themeColor="text1"/>
                <w:sz w:val="24"/>
                <w:szCs w:val="24"/>
              </w:rPr>
              <w:t>Trends of change</w:t>
            </w:r>
          </w:p>
        </w:tc>
        <w:tc>
          <w:tcPr>
            <w:tcW w:w="3515" w:type="dxa"/>
          </w:tcPr>
          <w:p w14:paraId="4747B10A" w14:textId="77777777" w:rsidR="009A0A63" w:rsidRPr="00792B36" w:rsidRDefault="009A0A63" w:rsidP="00A24459">
            <w:pPr>
              <w:spacing w:before="120" w:after="120"/>
              <w:jc w:val="center"/>
              <w:rPr>
                <w:b/>
                <w:bCs/>
                <w:color w:val="000000" w:themeColor="text1"/>
                <w:sz w:val="24"/>
                <w:szCs w:val="24"/>
              </w:rPr>
            </w:pPr>
            <w:r w:rsidRPr="00792B36">
              <w:rPr>
                <w:b/>
                <w:bCs/>
                <w:color w:val="000000" w:themeColor="text1"/>
                <w:sz w:val="24"/>
                <w:szCs w:val="24"/>
              </w:rPr>
              <w:t>Future threats</w:t>
            </w:r>
          </w:p>
        </w:tc>
      </w:tr>
      <w:tr w:rsidR="009A0A63" w:rsidRPr="00792B36" w14:paraId="6C00239F" w14:textId="77777777" w:rsidTr="00A24459">
        <w:tc>
          <w:tcPr>
            <w:tcW w:w="2405" w:type="dxa"/>
          </w:tcPr>
          <w:p w14:paraId="0517BAE8" w14:textId="77777777" w:rsidR="009A0A63" w:rsidRPr="00792B36" w:rsidRDefault="009A0A63" w:rsidP="00A24459">
            <w:pPr>
              <w:rPr>
                <w:color w:val="000000" w:themeColor="text1"/>
                <w:sz w:val="24"/>
                <w:szCs w:val="24"/>
              </w:rPr>
            </w:pPr>
            <w:r w:rsidRPr="00792B36">
              <w:rPr>
                <w:color w:val="000000" w:themeColor="text1"/>
                <w:sz w:val="24"/>
                <w:szCs w:val="24"/>
              </w:rPr>
              <w:t xml:space="preserve">CR:1 Koh Si Chang </w:t>
            </w:r>
          </w:p>
        </w:tc>
        <w:tc>
          <w:tcPr>
            <w:tcW w:w="3515" w:type="dxa"/>
            <w:vAlign w:val="center"/>
          </w:tcPr>
          <w:p w14:paraId="7A6A1930" w14:textId="77777777" w:rsidR="009A0A63" w:rsidRPr="00792B36" w:rsidRDefault="009A0A63" w:rsidP="00A24459">
            <w:pPr>
              <w:rPr>
                <w:color w:val="000000" w:themeColor="text1"/>
                <w:sz w:val="24"/>
                <w:szCs w:val="24"/>
              </w:rPr>
            </w:pPr>
            <w:r w:rsidRPr="00792B36">
              <w:rPr>
                <w:b/>
                <w:bCs/>
                <w:color w:val="000000" w:themeColor="text1"/>
                <w:sz w:val="24"/>
                <w:szCs w:val="24"/>
              </w:rPr>
              <w:t>Sedimentation:</w:t>
            </w:r>
            <w:r w:rsidRPr="00792B36">
              <w:rPr>
                <w:color w:val="000000" w:themeColor="text1"/>
                <w:sz w:val="24"/>
                <w:szCs w:val="24"/>
              </w:rPr>
              <w:t xml:space="preserve"> High and chronic from port, dredging, and ship anchoring around Si Racha–Laem Chabang, causing reduced coral growth </w:t>
            </w:r>
            <w:r w:rsidRPr="00792B36">
              <w:rPr>
                <w:color w:val="000000" w:themeColor="text1"/>
                <w:sz w:val="24"/>
                <w:szCs w:val="24"/>
              </w:rPr>
              <w:lastRenderedPageBreak/>
              <w:t>and water clarity.</w:t>
            </w:r>
          </w:p>
          <w:p w14:paraId="53554E82" w14:textId="77777777" w:rsidR="009A0A63" w:rsidRPr="00792B36" w:rsidRDefault="009A0A63" w:rsidP="00A24459">
            <w:pPr>
              <w:rPr>
                <w:color w:val="000000" w:themeColor="text1"/>
                <w:sz w:val="24"/>
                <w:szCs w:val="24"/>
              </w:rPr>
            </w:pPr>
            <w:r w:rsidRPr="00792B36">
              <w:rPr>
                <w:b/>
                <w:bCs/>
                <w:color w:val="000000" w:themeColor="text1"/>
                <w:sz w:val="24"/>
                <w:szCs w:val="24"/>
              </w:rPr>
              <w:t>Destructive Fishing:</w:t>
            </w:r>
            <w:r w:rsidRPr="00792B36">
              <w:rPr>
                <w:color w:val="000000" w:themeColor="text1"/>
                <w:sz w:val="24"/>
                <w:szCs w:val="24"/>
              </w:rPr>
              <w:t xml:space="preserve"> No reported bombing or cyanide cases in recent years; low current threat level.</w:t>
            </w:r>
          </w:p>
          <w:p w14:paraId="0AB1A5AD" w14:textId="77777777" w:rsidR="009A0A63" w:rsidRPr="00792B36" w:rsidRDefault="009A0A63" w:rsidP="00A24459">
            <w:pPr>
              <w:rPr>
                <w:color w:val="000000" w:themeColor="text1"/>
                <w:sz w:val="24"/>
                <w:szCs w:val="24"/>
              </w:rPr>
            </w:pPr>
            <w:r w:rsidRPr="00792B36">
              <w:rPr>
                <w:b/>
                <w:bCs/>
                <w:color w:val="000000" w:themeColor="text1"/>
                <w:sz w:val="24"/>
                <w:szCs w:val="24"/>
              </w:rPr>
              <w:t>Pollution:</w:t>
            </w:r>
            <w:r w:rsidRPr="00792B36">
              <w:rPr>
                <w:color w:val="000000" w:themeColor="text1"/>
                <w:sz w:val="24"/>
                <w:szCs w:val="24"/>
              </w:rPr>
              <w:t xml:space="preserve"> Influenced by Si Racha (~323,800 people) and Laem Chabang Port (~10 km away). Microplastic levels range </w:t>
            </w:r>
            <w:r w:rsidRPr="00792B36">
              <w:rPr>
                <w:b/>
                <w:bCs/>
                <w:color w:val="000000" w:themeColor="text1"/>
                <w:sz w:val="24"/>
                <w:szCs w:val="24"/>
              </w:rPr>
              <w:t>0.02–42.46 particles/m³</w:t>
            </w:r>
            <w:r w:rsidRPr="00792B36">
              <w:rPr>
                <w:color w:val="000000" w:themeColor="text1"/>
                <w:sz w:val="24"/>
                <w:szCs w:val="24"/>
              </w:rPr>
              <w:t xml:space="preserve"> — indicating persistent contamination.</w:t>
            </w:r>
          </w:p>
          <w:p w14:paraId="5C2D8628" w14:textId="77777777" w:rsidR="009A0A63" w:rsidRPr="00792B36" w:rsidRDefault="009A0A63" w:rsidP="00A24459">
            <w:pPr>
              <w:rPr>
                <w:color w:val="000000" w:themeColor="text1"/>
                <w:sz w:val="24"/>
                <w:szCs w:val="24"/>
              </w:rPr>
            </w:pPr>
            <w:r w:rsidRPr="00792B36">
              <w:rPr>
                <w:b/>
                <w:bCs/>
                <w:color w:val="000000" w:themeColor="text1"/>
                <w:sz w:val="24"/>
                <w:szCs w:val="24"/>
              </w:rPr>
              <w:t>Crown-of-Thorns (COT):</w:t>
            </w:r>
            <w:r w:rsidRPr="00792B36">
              <w:rPr>
                <w:color w:val="000000" w:themeColor="text1"/>
                <w:sz w:val="24"/>
                <w:szCs w:val="24"/>
              </w:rPr>
              <w:t xml:space="preserve"> No current outbreak; densities below the outbreak threshold (&gt;14 ind./1,000 m²).</w:t>
            </w:r>
          </w:p>
          <w:p w14:paraId="5980A218" w14:textId="77777777" w:rsidR="009A0A63" w:rsidRPr="00792B36" w:rsidRDefault="009A0A63" w:rsidP="00A24459">
            <w:pPr>
              <w:rPr>
                <w:color w:val="000000" w:themeColor="text1"/>
                <w:sz w:val="24"/>
                <w:szCs w:val="24"/>
              </w:rPr>
            </w:pPr>
            <w:r w:rsidRPr="00792B36">
              <w:rPr>
                <w:b/>
                <w:bCs/>
                <w:color w:val="000000" w:themeColor="text1"/>
                <w:sz w:val="24"/>
                <w:szCs w:val="24"/>
              </w:rPr>
              <w:t>Bleaching:</w:t>
            </w:r>
          </w:p>
          <w:p w14:paraId="36D74C55" w14:textId="77777777" w:rsidR="009A0A63" w:rsidRPr="00792B36" w:rsidRDefault="009A0A63" w:rsidP="00F61B37">
            <w:pPr>
              <w:widowControl/>
              <w:numPr>
                <w:ilvl w:val="0"/>
                <w:numId w:val="81"/>
              </w:numPr>
              <w:rPr>
                <w:color w:val="000000" w:themeColor="text1"/>
                <w:sz w:val="24"/>
                <w:szCs w:val="24"/>
              </w:rPr>
            </w:pPr>
            <w:r w:rsidRPr="00792B36">
              <w:rPr>
                <w:color w:val="000000" w:themeColor="text1"/>
                <w:sz w:val="24"/>
                <w:szCs w:val="24"/>
              </w:rPr>
              <w:t>2010 – Severe bleaching, high mortality.</w:t>
            </w:r>
          </w:p>
          <w:p w14:paraId="7C983C01" w14:textId="77777777" w:rsidR="009A0A63" w:rsidRPr="00792B36" w:rsidRDefault="009A0A63" w:rsidP="00F61B37">
            <w:pPr>
              <w:widowControl/>
              <w:numPr>
                <w:ilvl w:val="0"/>
                <w:numId w:val="81"/>
              </w:numPr>
              <w:rPr>
                <w:color w:val="000000" w:themeColor="text1"/>
                <w:sz w:val="24"/>
                <w:szCs w:val="24"/>
              </w:rPr>
            </w:pPr>
            <w:r w:rsidRPr="00792B36">
              <w:rPr>
                <w:color w:val="000000" w:themeColor="text1"/>
                <w:sz w:val="24"/>
                <w:szCs w:val="24"/>
              </w:rPr>
              <w:t>2014–2015 – Mild.</w:t>
            </w:r>
          </w:p>
          <w:p w14:paraId="7742FE7A" w14:textId="77777777" w:rsidR="009A0A63" w:rsidRPr="00792B36" w:rsidRDefault="009A0A63" w:rsidP="00F61B37">
            <w:pPr>
              <w:widowControl/>
              <w:numPr>
                <w:ilvl w:val="0"/>
                <w:numId w:val="81"/>
              </w:numPr>
              <w:rPr>
                <w:color w:val="000000" w:themeColor="text1"/>
                <w:sz w:val="24"/>
                <w:szCs w:val="24"/>
              </w:rPr>
            </w:pPr>
            <w:r w:rsidRPr="00792B36">
              <w:rPr>
                <w:color w:val="000000" w:themeColor="text1"/>
                <w:sz w:val="24"/>
                <w:szCs w:val="24"/>
              </w:rPr>
              <w:t>2016 – Moderate impact in the Gulf (~36% of stations affected).</w:t>
            </w:r>
          </w:p>
          <w:p w14:paraId="602981C8" w14:textId="77777777" w:rsidR="009A0A63" w:rsidRPr="00792B36" w:rsidRDefault="009A0A63" w:rsidP="00F61B37">
            <w:pPr>
              <w:widowControl/>
              <w:numPr>
                <w:ilvl w:val="0"/>
                <w:numId w:val="81"/>
              </w:numPr>
              <w:rPr>
                <w:color w:val="000000" w:themeColor="text1"/>
                <w:sz w:val="24"/>
                <w:szCs w:val="24"/>
              </w:rPr>
            </w:pPr>
            <w:r w:rsidRPr="00792B36">
              <w:rPr>
                <w:color w:val="000000" w:themeColor="text1"/>
                <w:sz w:val="24"/>
                <w:szCs w:val="24"/>
              </w:rPr>
              <w:t>2019 – Thermal stress but low mortality.</w:t>
            </w:r>
          </w:p>
          <w:p w14:paraId="3364D26A" w14:textId="77777777" w:rsidR="009A0A63" w:rsidRPr="00792B36" w:rsidRDefault="009A0A63" w:rsidP="00F61B37">
            <w:pPr>
              <w:widowControl/>
              <w:numPr>
                <w:ilvl w:val="0"/>
                <w:numId w:val="81"/>
              </w:numPr>
              <w:rPr>
                <w:color w:val="000000" w:themeColor="text1"/>
                <w:sz w:val="24"/>
                <w:szCs w:val="24"/>
              </w:rPr>
            </w:pPr>
            <w:r w:rsidRPr="00792B36">
              <w:rPr>
                <w:color w:val="000000" w:themeColor="text1"/>
                <w:sz w:val="24"/>
                <w:szCs w:val="24"/>
              </w:rPr>
              <w:t xml:space="preserve">2024 – Low bleaching (13–18%) nearby; reefs maintain </w:t>
            </w:r>
            <w:r w:rsidRPr="00792B36">
              <w:rPr>
                <w:b/>
                <w:bCs/>
                <w:color w:val="000000" w:themeColor="text1"/>
                <w:sz w:val="24"/>
                <w:szCs w:val="24"/>
              </w:rPr>
              <w:t>12–28% live cover</w:t>
            </w:r>
            <w:r w:rsidRPr="00792B36">
              <w:rPr>
                <w:color w:val="000000" w:themeColor="text1"/>
                <w:sz w:val="24"/>
                <w:szCs w:val="24"/>
              </w:rPr>
              <w:t xml:space="preserve">, dominated by </w:t>
            </w:r>
            <w:r w:rsidRPr="00792B36">
              <w:rPr>
                <w:i/>
                <w:iCs/>
                <w:color w:val="000000" w:themeColor="text1"/>
                <w:sz w:val="24"/>
                <w:szCs w:val="24"/>
              </w:rPr>
              <w:t>Porites lutea</w:t>
            </w:r>
            <w:r w:rsidRPr="00792B36">
              <w:rPr>
                <w:color w:val="000000" w:themeColor="text1"/>
                <w:sz w:val="24"/>
                <w:szCs w:val="24"/>
              </w:rPr>
              <w:t>.</w:t>
            </w:r>
          </w:p>
          <w:p w14:paraId="3DE8F08B" w14:textId="77777777" w:rsidR="009A0A63" w:rsidRPr="00792B36" w:rsidRDefault="009A0A63" w:rsidP="00A24459">
            <w:pPr>
              <w:rPr>
                <w:color w:val="000000" w:themeColor="text1"/>
                <w:sz w:val="24"/>
                <w:szCs w:val="24"/>
              </w:rPr>
            </w:pPr>
          </w:p>
        </w:tc>
        <w:tc>
          <w:tcPr>
            <w:tcW w:w="3515" w:type="dxa"/>
          </w:tcPr>
          <w:p w14:paraId="2C60DBA4" w14:textId="77777777" w:rsidR="009A0A63" w:rsidRPr="00792B36" w:rsidRDefault="009A0A63" w:rsidP="00A24459">
            <w:pPr>
              <w:rPr>
                <w:color w:val="000000" w:themeColor="text1"/>
                <w:sz w:val="24"/>
                <w:szCs w:val="24"/>
              </w:rPr>
            </w:pPr>
            <w:r w:rsidRPr="00792B36">
              <w:rPr>
                <w:color w:val="000000" w:themeColor="text1"/>
                <w:sz w:val="24"/>
                <w:szCs w:val="24"/>
              </w:rPr>
              <w:lastRenderedPageBreak/>
              <w:t xml:space="preserve">Live coral cover at Koh Si Chang has shown a gradual decrease over time due to chronic sedimentation, pollution, and </w:t>
            </w:r>
            <w:r w:rsidRPr="00792B36">
              <w:rPr>
                <w:color w:val="000000" w:themeColor="text1"/>
                <w:sz w:val="24"/>
                <w:szCs w:val="24"/>
              </w:rPr>
              <w:lastRenderedPageBreak/>
              <w:t xml:space="preserve">repeated bleaching events. Historical surveys reported coral cover of around 30–40% in the early 2000s, which has declined to approximately 12–28% in recent years. Coral density and species diversity have also decreased, with a shift toward dominance of massive, stress-tolerant species such as </w:t>
            </w:r>
            <w:r w:rsidRPr="00792B36">
              <w:rPr>
                <w:i/>
                <w:iCs/>
                <w:color w:val="000000" w:themeColor="text1"/>
                <w:sz w:val="24"/>
                <w:szCs w:val="24"/>
              </w:rPr>
              <w:t>Porites lutea</w:t>
            </w:r>
            <w:r w:rsidRPr="00792B36">
              <w:rPr>
                <w:color w:val="000000" w:themeColor="text1"/>
                <w:sz w:val="24"/>
                <w:szCs w:val="24"/>
              </w:rPr>
              <w:t xml:space="preserve"> and </w:t>
            </w:r>
            <w:r w:rsidRPr="00792B36">
              <w:rPr>
                <w:i/>
                <w:iCs/>
                <w:color w:val="000000" w:themeColor="text1"/>
                <w:sz w:val="24"/>
                <w:szCs w:val="24"/>
              </w:rPr>
              <w:t>Dipsastraea favus</w:t>
            </w:r>
            <w:r w:rsidRPr="00792B36">
              <w:rPr>
                <w:color w:val="000000" w:themeColor="text1"/>
                <w:sz w:val="24"/>
                <w:szCs w:val="24"/>
              </w:rPr>
              <w:t>.</w:t>
            </w:r>
          </w:p>
        </w:tc>
        <w:tc>
          <w:tcPr>
            <w:tcW w:w="3515" w:type="dxa"/>
          </w:tcPr>
          <w:p w14:paraId="1AD6DF93" w14:textId="77777777" w:rsidR="009A0A63" w:rsidRPr="00792B36" w:rsidRDefault="009A0A63" w:rsidP="00A24459">
            <w:pPr>
              <w:rPr>
                <w:color w:val="000000" w:themeColor="text1"/>
                <w:sz w:val="24"/>
                <w:szCs w:val="24"/>
              </w:rPr>
            </w:pPr>
            <w:r w:rsidRPr="00792B36">
              <w:rPr>
                <w:b/>
                <w:bCs/>
                <w:color w:val="000000" w:themeColor="text1"/>
                <w:sz w:val="24"/>
                <w:szCs w:val="24"/>
              </w:rPr>
              <w:lastRenderedPageBreak/>
              <w:t>Live Coral Cover and Density:</w:t>
            </w:r>
            <w:r w:rsidRPr="00792B36">
              <w:rPr>
                <w:color w:val="000000" w:themeColor="text1"/>
                <w:sz w:val="24"/>
                <w:szCs w:val="24"/>
              </w:rPr>
              <w:br/>
              <w:t xml:space="preserve">Future projections indicate a continued decline in live coral cover and density if current pressures </w:t>
            </w:r>
            <w:r w:rsidRPr="00792B36">
              <w:rPr>
                <w:color w:val="000000" w:themeColor="text1"/>
                <w:sz w:val="24"/>
                <w:szCs w:val="24"/>
              </w:rPr>
              <w:lastRenderedPageBreak/>
              <w:t>persist. Chronic sedimentation, thermal stress, and pollution from surrounding industrial and port areas are expected to limit coral recruitment and recovery. Without effective management, coral cover currently around 12–28% may continue to decrease, and reef structure could shift further toward dominance by stress-tolerant species (</w:t>
            </w:r>
            <w:r w:rsidRPr="00792B36">
              <w:rPr>
                <w:i/>
                <w:iCs/>
                <w:color w:val="000000" w:themeColor="text1"/>
                <w:sz w:val="24"/>
                <w:szCs w:val="24"/>
              </w:rPr>
              <w:t>Porites lutea</w:t>
            </w:r>
            <w:r w:rsidRPr="00792B36">
              <w:rPr>
                <w:color w:val="000000" w:themeColor="text1"/>
                <w:sz w:val="24"/>
                <w:szCs w:val="24"/>
              </w:rPr>
              <w:t xml:space="preserve">, </w:t>
            </w:r>
            <w:r w:rsidRPr="00792B36">
              <w:rPr>
                <w:i/>
                <w:iCs/>
                <w:color w:val="000000" w:themeColor="text1"/>
                <w:sz w:val="24"/>
                <w:szCs w:val="24"/>
              </w:rPr>
              <w:t>Favia</w:t>
            </w:r>
            <w:r w:rsidRPr="00792B36">
              <w:rPr>
                <w:color w:val="000000" w:themeColor="text1"/>
                <w:sz w:val="24"/>
                <w:szCs w:val="24"/>
              </w:rPr>
              <w:t xml:space="preserve"> spp.) with reduced biodiversity.</w:t>
            </w:r>
          </w:p>
          <w:p w14:paraId="404BB855" w14:textId="77777777" w:rsidR="009A0A63" w:rsidRPr="00792B36" w:rsidRDefault="009A0A63" w:rsidP="00A24459">
            <w:pPr>
              <w:rPr>
                <w:color w:val="000000" w:themeColor="text1"/>
                <w:sz w:val="24"/>
                <w:szCs w:val="24"/>
              </w:rPr>
            </w:pPr>
            <w:r w:rsidRPr="00792B36">
              <w:rPr>
                <w:b/>
                <w:bCs/>
                <w:color w:val="000000" w:themeColor="text1"/>
                <w:sz w:val="24"/>
                <w:szCs w:val="24"/>
              </w:rPr>
              <w:t>Development Plan and Distance to the Coral Reef:</w:t>
            </w:r>
            <w:r w:rsidRPr="00792B36">
              <w:rPr>
                <w:color w:val="000000" w:themeColor="text1"/>
                <w:sz w:val="24"/>
                <w:szCs w:val="24"/>
              </w:rPr>
              <w:br/>
              <w:t xml:space="preserve">Koh Si Chang lies within 10–12 km of major industrial and port development zones, including Laem Chabang Port and Si Racha coastal industries. Future expansion of shipping lanes, port infrastructure, and coastal construction poses significant risks through increased sedimentation, turbidity, wastewater discharge, and oil spills. Tourism-related infrastructure on the </w:t>
            </w:r>
            <w:r w:rsidRPr="00792B36">
              <w:rPr>
                <w:color w:val="000000" w:themeColor="text1"/>
                <w:sz w:val="24"/>
                <w:szCs w:val="24"/>
              </w:rPr>
              <w:lastRenderedPageBreak/>
              <w:t>island also contributes to localized impacts such as anchor damage and untreated wastewater.</w:t>
            </w:r>
          </w:p>
          <w:p w14:paraId="33EB7BFB" w14:textId="77777777" w:rsidR="009A0A63" w:rsidRPr="00792B36" w:rsidRDefault="009A0A63" w:rsidP="00A24459">
            <w:pPr>
              <w:rPr>
                <w:color w:val="000000" w:themeColor="text1"/>
                <w:sz w:val="24"/>
                <w:szCs w:val="24"/>
              </w:rPr>
            </w:pPr>
          </w:p>
        </w:tc>
      </w:tr>
      <w:tr w:rsidR="009A0A63" w:rsidRPr="00792B36" w14:paraId="27609888" w14:textId="77777777" w:rsidTr="00A24459">
        <w:tc>
          <w:tcPr>
            <w:tcW w:w="2405" w:type="dxa"/>
          </w:tcPr>
          <w:p w14:paraId="5C6389FD" w14:textId="77777777" w:rsidR="009A0A63" w:rsidRPr="00792B36" w:rsidRDefault="009A0A63" w:rsidP="00A24459">
            <w:pPr>
              <w:rPr>
                <w:color w:val="000000" w:themeColor="text1"/>
                <w:sz w:val="24"/>
                <w:szCs w:val="24"/>
              </w:rPr>
            </w:pPr>
            <w:r w:rsidRPr="00792B36">
              <w:rPr>
                <w:color w:val="000000" w:themeColor="text1"/>
                <w:sz w:val="24"/>
                <w:szCs w:val="24"/>
              </w:rPr>
              <w:lastRenderedPageBreak/>
              <w:t xml:space="preserve">CR:2 Koh Lan </w:t>
            </w:r>
          </w:p>
        </w:tc>
        <w:tc>
          <w:tcPr>
            <w:tcW w:w="3515" w:type="dxa"/>
            <w:vAlign w:val="center"/>
          </w:tcPr>
          <w:p w14:paraId="71B19915" w14:textId="77777777" w:rsidR="009A0A63" w:rsidRPr="00792B36" w:rsidRDefault="009A0A63" w:rsidP="00A24459">
            <w:pPr>
              <w:rPr>
                <w:color w:val="000000" w:themeColor="text1"/>
                <w:sz w:val="24"/>
                <w:szCs w:val="24"/>
              </w:rPr>
            </w:pPr>
            <w:r w:rsidRPr="00792B36">
              <w:rPr>
                <w:b/>
                <w:bCs/>
                <w:color w:val="000000" w:themeColor="text1"/>
                <w:sz w:val="24"/>
                <w:szCs w:val="24"/>
              </w:rPr>
              <w:t>Sedimentation:</w:t>
            </w:r>
            <w:r w:rsidRPr="00792B36">
              <w:rPr>
                <w:color w:val="000000" w:themeColor="text1"/>
                <w:sz w:val="24"/>
                <w:szCs w:val="24"/>
              </w:rPr>
              <w:br/>
              <w:t>High sedimentation stress from tourism, dredging, and runoff reduces coral growth and water clarity.</w:t>
            </w:r>
          </w:p>
          <w:p w14:paraId="454AA33B" w14:textId="77777777" w:rsidR="009A0A63" w:rsidRPr="00792B36" w:rsidRDefault="009A0A63" w:rsidP="00A24459">
            <w:pPr>
              <w:rPr>
                <w:color w:val="000000" w:themeColor="text1"/>
                <w:sz w:val="24"/>
                <w:szCs w:val="24"/>
              </w:rPr>
            </w:pPr>
            <w:r w:rsidRPr="00792B36">
              <w:rPr>
                <w:b/>
                <w:bCs/>
                <w:color w:val="000000" w:themeColor="text1"/>
                <w:sz w:val="24"/>
                <w:szCs w:val="24"/>
              </w:rPr>
              <w:t>Destructive Fishing:</w:t>
            </w:r>
            <w:r w:rsidRPr="00792B36">
              <w:rPr>
                <w:color w:val="000000" w:themeColor="text1"/>
                <w:sz w:val="24"/>
                <w:szCs w:val="24"/>
              </w:rPr>
              <w:br/>
              <w:t xml:space="preserve">No reported bombing or cyanide fishing cases; estimated </w:t>
            </w:r>
            <w:r w:rsidRPr="00792B36">
              <w:rPr>
                <w:b/>
                <w:bCs/>
                <w:color w:val="000000" w:themeColor="text1"/>
                <w:sz w:val="24"/>
                <w:szCs w:val="24"/>
              </w:rPr>
              <w:t>0 cases per year</w:t>
            </w:r>
            <w:r w:rsidRPr="00792B36">
              <w:rPr>
                <w:color w:val="000000" w:themeColor="text1"/>
                <w:sz w:val="24"/>
                <w:szCs w:val="24"/>
              </w:rPr>
              <w:t>.</w:t>
            </w:r>
          </w:p>
          <w:p w14:paraId="5B64D7C9" w14:textId="77777777" w:rsidR="009A0A63" w:rsidRPr="00792B36" w:rsidRDefault="009A0A63" w:rsidP="00A24459">
            <w:pPr>
              <w:rPr>
                <w:color w:val="000000" w:themeColor="text1"/>
                <w:sz w:val="24"/>
                <w:szCs w:val="24"/>
              </w:rPr>
            </w:pPr>
            <w:r w:rsidRPr="00792B36">
              <w:rPr>
                <w:b/>
                <w:bCs/>
                <w:color w:val="000000" w:themeColor="text1"/>
                <w:sz w:val="24"/>
                <w:szCs w:val="24"/>
              </w:rPr>
              <w:t>Pollution:</w:t>
            </w:r>
            <w:r w:rsidRPr="00792B36">
              <w:rPr>
                <w:color w:val="000000" w:themeColor="text1"/>
                <w:sz w:val="24"/>
                <w:szCs w:val="24"/>
              </w:rPr>
              <w:br/>
              <w:t xml:space="preserve">Main sources from </w:t>
            </w:r>
            <w:r w:rsidRPr="00792B36">
              <w:rPr>
                <w:b/>
                <w:bCs/>
                <w:color w:val="000000" w:themeColor="text1"/>
                <w:sz w:val="24"/>
                <w:szCs w:val="24"/>
              </w:rPr>
              <w:t>Pattaya City (~120,000 people, ~7 km away)</w:t>
            </w:r>
            <w:r w:rsidRPr="00792B36">
              <w:rPr>
                <w:color w:val="000000" w:themeColor="text1"/>
                <w:sz w:val="24"/>
                <w:szCs w:val="24"/>
              </w:rPr>
              <w:t xml:space="preserve">. Wastewater discharge, boat activities, and plastic waste cause chronic pollution. Microplastics range </w:t>
            </w:r>
            <w:r w:rsidRPr="00792B36">
              <w:rPr>
                <w:b/>
                <w:bCs/>
                <w:color w:val="000000" w:themeColor="text1"/>
                <w:sz w:val="24"/>
                <w:szCs w:val="24"/>
              </w:rPr>
              <w:t>0.02–45 particles/m³</w:t>
            </w:r>
            <w:r w:rsidRPr="00792B36">
              <w:rPr>
                <w:color w:val="000000" w:themeColor="text1"/>
                <w:sz w:val="24"/>
                <w:szCs w:val="24"/>
              </w:rPr>
              <w:t>.</w:t>
            </w:r>
          </w:p>
          <w:p w14:paraId="46B7338E" w14:textId="77777777" w:rsidR="009A0A63" w:rsidRPr="00792B36" w:rsidRDefault="009A0A63" w:rsidP="00A24459">
            <w:pPr>
              <w:rPr>
                <w:color w:val="000000" w:themeColor="text1"/>
                <w:sz w:val="24"/>
                <w:szCs w:val="24"/>
              </w:rPr>
            </w:pPr>
            <w:r w:rsidRPr="00792B36">
              <w:rPr>
                <w:b/>
                <w:bCs/>
                <w:color w:val="000000" w:themeColor="text1"/>
                <w:sz w:val="24"/>
                <w:szCs w:val="24"/>
              </w:rPr>
              <w:t>Crown-of-Thorns (COT):</w:t>
            </w:r>
            <w:r w:rsidRPr="00792B36">
              <w:rPr>
                <w:color w:val="000000" w:themeColor="text1"/>
                <w:sz w:val="24"/>
                <w:szCs w:val="24"/>
              </w:rPr>
              <w:br/>
              <w:t xml:space="preserve">No outbreak recorded in the past decade. Density remains </w:t>
            </w:r>
            <w:r w:rsidRPr="00792B36">
              <w:rPr>
                <w:b/>
                <w:bCs/>
                <w:color w:val="000000" w:themeColor="text1"/>
                <w:sz w:val="24"/>
                <w:szCs w:val="24"/>
              </w:rPr>
              <w:t>below 14 individuals/1,000 m²</w:t>
            </w:r>
            <w:r w:rsidRPr="00792B36">
              <w:rPr>
                <w:color w:val="000000" w:themeColor="text1"/>
                <w:sz w:val="24"/>
                <w:szCs w:val="24"/>
              </w:rPr>
              <w:t xml:space="preserve"> (non-outbreak level).</w:t>
            </w:r>
          </w:p>
          <w:p w14:paraId="7D4199E3" w14:textId="77777777" w:rsidR="009A0A63" w:rsidRPr="00792B36" w:rsidRDefault="009A0A63" w:rsidP="00A24459">
            <w:pPr>
              <w:rPr>
                <w:color w:val="000000" w:themeColor="text1"/>
                <w:sz w:val="24"/>
                <w:szCs w:val="24"/>
              </w:rPr>
            </w:pPr>
            <w:r w:rsidRPr="00792B36">
              <w:rPr>
                <w:b/>
                <w:bCs/>
                <w:color w:val="000000" w:themeColor="text1"/>
                <w:sz w:val="24"/>
                <w:szCs w:val="24"/>
              </w:rPr>
              <w:t>Bleaching:</w:t>
            </w:r>
          </w:p>
          <w:p w14:paraId="58B9885C" w14:textId="77777777" w:rsidR="009A0A63" w:rsidRPr="00792B36" w:rsidRDefault="009A0A63" w:rsidP="00F61B37">
            <w:pPr>
              <w:widowControl/>
              <w:numPr>
                <w:ilvl w:val="0"/>
                <w:numId w:val="82"/>
              </w:numPr>
              <w:rPr>
                <w:color w:val="000000" w:themeColor="text1"/>
                <w:sz w:val="24"/>
                <w:szCs w:val="24"/>
              </w:rPr>
            </w:pPr>
            <w:r w:rsidRPr="00792B36">
              <w:rPr>
                <w:b/>
                <w:bCs/>
                <w:color w:val="000000" w:themeColor="text1"/>
                <w:sz w:val="24"/>
                <w:szCs w:val="24"/>
              </w:rPr>
              <w:t>2010:</w:t>
            </w:r>
            <w:r w:rsidRPr="00792B36">
              <w:rPr>
                <w:color w:val="000000" w:themeColor="text1"/>
                <w:sz w:val="24"/>
                <w:szCs w:val="24"/>
              </w:rPr>
              <w:t xml:space="preserve"> Severe bleaching (&gt;50% mortality in shallow reefs).</w:t>
            </w:r>
          </w:p>
          <w:p w14:paraId="60B104AA" w14:textId="77777777" w:rsidR="009A0A63" w:rsidRPr="00792B36" w:rsidRDefault="009A0A63" w:rsidP="00F61B37">
            <w:pPr>
              <w:widowControl/>
              <w:numPr>
                <w:ilvl w:val="0"/>
                <w:numId w:val="82"/>
              </w:numPr>
              <w:rPr>
                <w:color w:val="000000" w:themeColor="text1"/>
                <w:sz w:val="24"/>
                <w:szCs w:val="24"/>
              </w:rPr>
            </w:pPr>
            <w:r w:rsidRPr="00792B36">
              <w:rPr>
                <w:b/>
                <w:bCs/>
                <w:color w:val="000000" w:themeColor="text1"/>
                <w:sz w:val="24"/>
                <w:szCs w:val="24"/>
              </w:rPr>
              <w:t>2014–2015:</w:t>
            </w:r>
            <w:r w:rsidRPr="00792B36">
              <w:rPr>
                <w:color w:val="000000" w:themeColor="text1"/>
                <w:sz w:val="24"/>
                <w:szCs w:val="24"/>
              </w:rPr>
              <w:t xml:space="preserve"> Mild bleaching, quick recovery.</w:t>
            </w:r>
          </w:p>
          <w:p w14:paraId="020CE665" w14:textId="77777777" w:rsidR="009A0A63" w:rsidRPr="00792B36" w:rsidRDefault="009A0A63" w:rsidP="00F61B37">
            <w:pPr>
              <w:widowControl/>
              <w:numPr>
                <w:ilvl w:val="0"/>
                <w:numId w:val="82"/>
              </w:numPr>
              <w:rPr>
                <w:color w:val="000000" w:themeColor="text1"/>
                <w:sz w:val="24"/>
                <w:szCs w:val="24"/>
              </w:rPr>
            </w:pPr>
            <w:r w:rsidRPr="00792B36">
              <w:rPr>
                <w:b/>
                <w:bCs/>
                <w:color w:val="000000" w:themeColor="text1"/>
                <w:sz w:val="24"/>
                <w:szCs w:val="24"/>
              </w:rPr>
              <w:lastRenderedPageBreak/>
              <w:t>2016:</w:t>
            </w:r>
            <w:r w:rsidRPr="00792B36">
              <w:rPr>
                <w:color w:val="000000" w:themeColor="text1"/>
                <w:sz w:val="24"/>
                <w:szCs w:val="24"/>
              </w:rPr>
              <w:t xml:space="preserve"> Moderate to severe (~30–40% bleached).</w:t>
            </w:r>
          </w:p>
          <w:p w14:paraId="43EF751A" w14:textId="77777777" w:rsidR="009A0A63" w:rsidRPr="00792B36" w:rsidRDefault="009A0A63" w:rsidP="00F61B37">
            <w:pPr>
              <w:widowControl/>
              <w:numPr>
                <w:ilvl w:val="0"/>
                <w:numId w:val="82"/>
              </w:numPr>
              <w:rPr>
                <w:color w:val="000000" w:themeColor="text1"/>
                <w:sz w:val="24"/>
                <w:szCs w:val="24"/>
              </w:rPr>
            </w:pPr>
            <w:r w:rsidRPr="00792B36">
              <w:rPr>
                <w:b/>
                <w:bCs/>
                <w:color w:val="000000" w:themeColor="text1"/>
                <w:sz w:val="24"/>
                <w:szCs w:val="24"/>
              </w:rPr>
              <w:t>2019:</w:t>
            </w:r>
            <w:r w:rsidRPr="00792B36">
              <w:rPr>
                <w:color w:val="000000" w:themeColor="text1"/>
                <w:sz w:val="24"/>
                <w:szCs w:val="24"/>
              </w:rPr>
              <w:t xml:space="preserve"> Localized bleaching, low mortality.</w:t>
            </w:r>
          </w:p>
          <w:p w14:paraId="546C3A11" w14:textId="77777777" w:rsidR="009A0A63" w:rsidRPr="00792B36" w:rsidRDefault="009A0A63" w:rsidP="00F61B37">
            <w:pPr>
              <w:widowControl/>
              <w:numPr>
                <w:ilvl w:val="0"/>
                <w:numId w:val="82"/>
              </w:numPr>
              <w:rPr>
                <w:color w:val="000000" w:themeColor="text1"/>
                <w:sz w:val="24"/>
                <w:szCs w:val="24"/>
              </w:rPr>
            </w:pPr>
            <w:r w:rsidRPr="00792B36">
              <w:rPr>
                <w:b/>
                <w:bCs/>
                <w:color w:val="000000" w:themeColor="text1"/>
                <w:sz w:val="24"/>
                <w:szCs w:val="24"/>
              </w:rPr>
              <w:t>2024:</w:t>
            </w:r>
            <w:r w:rsidRPr="00792B36">
              <w:rPr>
                <w:color w:val="000000" w:themeColor="text1"/>
                <w:sz w:val="24"/>
                <w:szCs w:val="24"/>
              </w:rPr>
              <w:t xml:space="preserve"> Low bleaching (10–20%), ongoing recovery.</w:t>
            </w:r>
          </w:p>
        </w:tc>
        <w:tc>
          <w:tcPr>
            <w:tcW w:w="3515" w:type="dxa"/>
          </w:tcPr>
          <w:p w14:paraId="56FC83ED" w14:textId="77777777" w:rsidR="009A0A63" w:rsidRPr="00792B36" w:rsidRDefault="009A0A63" w:rsidP="00A24459">
            <w:pPr>
              <w:rPr>
                <w:color w:val="000000" w:themeColor="text1"/>
                <w:sz w:val="24"/>
                <w:szCs w:val="24"/>
              </w:rPr>
            </w:pPr>
            <w:r w:rsidRPr="00792B36">
              <w:rPr>
                <w:color w:val="000000" w:themeColor="text1"/>
                <w:sz w:val="24"/>
                <w:szCs w:val="24"/>
              </w:rPr>
              <w:lastRenderedPageBreak/>
              <w:t>Live coral cover and density at Koh Lan have decreased over the past two decades due to heavy tourism pressure, sedimentation, and coastal pollution from nearby Pattaya. Historical data indicate coral cover of around 30–40% in the early 2000s, declining to 10–25% in recent years.</w:t>
            </w:r>
          </w:p>
          <w:p w14:paraId="305E0E90" w14:textId="77777777" w:rsidR="009A0A63" w:rsidRPr="00792B36" w:rsidRDefault="009A0A63" w:rsidP="00A24459">
            <w:pPr>
              <w:rPr>
                <w:color w:val="000000" w:themeColor="text1"/>
                <w:sz w:val="24"/>
                <w:szCs w:val="24"/>
              </w:rPr>
            </w:pPr>
          </w:p>
          <w:p w14:paraId="236180A2" w14:textId="77777777" w:rsidR="009A0A63" w:rsidRPr="00792B36" w:rsidRDefault="009A0A63" w:rsidP="00A24459">
            <w:pPr>
              <w:rPr>
                <w:color w:val="000000" w:themeColor="text1"/>
                <w:sz w:val="24"/>
                <w:szCs w:val="24"/>
              </w:rPr>
            </w:pPr>
            <w:r w:rsidRPr="00792B36">
              <w:rPr>
                <w:color w:val="000000" w:themeColor="text1"/>
                <w:sz w:val="24"/>
                <w:szCs w:val="24"/>
              </w:rPr>
              <w:t xml:space="preserve">The reduction is most pronounced in shallow reef zones affected by turbidity, anchor damage, and wastewater discharge. Coral density has also declined, with a shift toward dominance of massive, stress-tolerant species such as </w:t>
            </w:r>
            <w:r w:rsidRPr="00792B36">
              <w:rPr>
                <w:i/>
                <w:iCs/>
                <w:color w:val="000000" w:themeColor="text1"/>
                <w:sz w:val="24"/>
                <w:szCs w:val="24"/>
              </w:rPr>
              <w:t>Porites lutea</w:t>
            </w:r>
            <w:r w:rsidRPr="00792B36">
              <w:rPr>
                <w:color w:val="000000" w:themeColor="text1"/>
                <w:sz w:val="24"/>
                <w:szCs w:val="24"/>
              </w:rPr>
              <w:t xml:space="preserve"> and </w:t>
            </w:r>
            <w:r w:rsidRPr="00792B36">
              <w:rPr>
                <w:i/>
                <w:iCs/>
                <w:color w:val="000000" w:themeColor="text1"/>
                <w:sz w:val="24"/>
                <w:szCs w:val="24"/>
              </w:rPr>
              <w:t>Dipsastraea</w:t>
            </w:r>
            <w:r w:rsidRPr="00792B36">
              <w:rPr>
                <w:color w:val="000000" w:themeColor="text1"/>
                <w:sz w:val="24"/>
                <w:szCs w:val="24"/>
              </w:rPr>
              <w:t xml:space="preserve"> spp., replacing formerly abundant branching Acropora corals.</w:t>
            </w:r>
          </w:p>
          <w:p w14:paraId="6E9083EA" w14:textId="77777777" w:rsidR="009A0A63" w:rsidRPr="00792B36" w:rsidRDefault="009A0A63" w:rsidP="00A24459">
            <w:pPr>
              <w:rPr>
                <w:color w:val="000000" w:themeColor="text1"/>
                <w:sz w:val="24"/>
                <w:szCs w:val="24"/>
              </w:rPr>
            </w:pPr>
          </w:p>
          <w:p w14:paraId="3921A9A2" w14:textId="77777777" w:rsidR="009A0A63" w:rsidRPr="00792B36" w:rsidRDefault="009A0A63" w:rsidP="00A24459">
            <w:pPr>
              <w:rPr>
                <w:color w:val="000000" w:themeColor="text1"/>
                <w:sz w:val="24"/>
                <w:szCs w:val="24"/>
              </w:rPr>
            </w:pPr>
            <w:r w:rsidRPr="00792B36">
              <w:rPr>
                <w:color w:val="000000" w:themeColor="text1"/>
                <w:sz w:val="24"/>
                <w:szCs w:val="24"/>
              </w:rPr>
              <w:t>Although minor recovery has occurred after mild bleaching events in recent years, the overall trend remains decreasing, with reef structure and biodiversity gradually degrading. Continued pollution control and responsible tourism practices are essential to reverse the decline.</w:t>
            </w:r>
          </w:p>
        </w:tc>
        <w:tc>
          <w:tcPr>
            <w:tcW w:w="3515" w:type="dxa"/>
          </w:tcPr>
          <w:p w14:paraId="5B758ED5" w14:textId="77777777" w:rsidR="009A0A63" w:rsidRPr="00792B36" w:rsidRDefault="009A0A63" w:rsidP="00A24459">
            <w:pPr>
              <w:rPr>
                <w:b/>
                <w:bCs/>
                <w:color w:val="000000" w:themeColor="text1"/>
                <w:sz w:val="24"/>
                <w:szCs w:val="24"/>
              </w:rPr>
            </w:pPr>
            <w:r w:rsidRPr="00792B36">
              <w:rPr>
                <w:b/>
                <w:bCs/>
                <w:color w:val="000000" w:themeColor="text1"/>
                <w:sz w:val="24"/>
                <w:szCs w:val="24"/>
              </w:rPr>
              <w:lastRenderedPageBreak/>
              <w:t>Live Coral Cover and Density:</w:t>
            </w:r>
          </w:p>
          <w:p w14:paraId="47F55932" w14:textId="77777777" w:rsidR="009A0A63" w:rsidRPr="00792B36" w:rsidRDefault="009A0A63" w:rsidP="00A24459">
            <w:pPr>
              <w:rPr>
                <w:color w:val="000000" w:themeColor="text1"/>
                <w:sz w:val="24"/>
                <w:szCs w:val="24"/>
              </w:rPr>
            </w:pPr>
            <w:r w:rsidRPr="00792B36">
              <w:rPr>
                <w:color w:val="000000" w:themeColor="text1"/>
                <w:sz w:val="24"/>
                <w:szCs w:val="24"/>
              </w:rPr>
              <w:t>Live coral cover and density at Koh Lan are projected to continue decreasing without improved management. Chronic stress from tourism, sedimentation, and wastewater pollution will likely cause further coral decline, especially in shallow reef zones already dominated by stress-tolerant species (Porites lutea, Favia spp.). Without intervention, coral cover currently around 10–25% could drop below 10% in heavily visited areas within the next decade.</w:t>
            </w:r>
          </w:p>
          <w:p w14:paraId="2A6BA882" w14:textId="77777777" w:rsidR="009A0A63" w:rsidRPr="00792B36" w:rsidRDefault="009A0A63" w:rsidP="00A24459">
            <w:pPr>
              <w:rPr>
                <w:color w:val="000000" w:themeColor="text1"/>
                <w:sz w:val="24"/>
                <w:szCs w:val="24"/>
              </w:rPr>
            </w:pPr>
          </w:p>
          <w:p w14:paraId="7F2C58CB" w14:textId="77777777" w:rsidR="009A0A63" w:rsidRPr="00792B36" w:rsidRDefault="009A0A63" w:rsidP="00A24459">
            <w:pPr>
              <w:rPr>
                <w:b/>
                <w:bCs/>
                <w:color w:val="000000" w:themeColor="text1"/>
                <w:sz w:val="24"/>
                <w:szCs w:val="24"/>
              </w:rPr>
            </w:pPr>
            <w:r w:rsidRPr="00792B36">
              <w:rPr>
                <w:b/>
                <w:bCs/>
                <w:color w:val="000000" w:themeColor="text1"/>
                <w:sz w:val="24"/>
                <w:szCs w:val="24"/>
              </w:rPr>
              <w:t>Development Plan and Distance to the Coral Reef:</w:t>
            </w:r>
          </w:p>
          <w:p w14:paraId="63574E38" w14:textId="77777777" w:rsidR="009A0A63" w:rsidRPr="00792B36" w:rsidRDefault="009A0A63" w:rsidP="00A24459">
            <w:pPr>
              <w:rPr>
                <w:color w:val="000000" w:themeColor="text1"/>
                <w:sz w:val="24"/>
                <w:szCs w:val="24"/>
              </w:rPr>
            </w:pPr>
            <w:r w:rsidRPr="00792B36">
              <w:rPr>
                <w:color w:val="000000" w:themeColor="text1"/>
                <w:sz w:val="24"/>
                <w:szCs w:val="24"/>
              </w:rPr>
              <w:t xml:space="preserve">Koh Lan is located about 7 km from Pattaya City, a major tourism and urban hub with ongoing expansion of resorts, piers, and marine transport facilities. Planned </w:t>
            </w:r>
            <w:r w:rsidRPr="00792B36">
              <w:rPr>
                <w:color w:val="000000" w:themeColor="text1"/>
                <w:sz w:val="24"/>
                <w:szCs w:val="24"/>
              </w:rPr>
              <w:lastRenderedPageBreak/>
              <w:t>developments, including coastal infrastructure upgrades and increased tourist capacity, pose risks from sediment runoff, nutrient loading, and anchor damage. Many coral reefs lie within 200–500 meters of beaches and piers, making them highly vulnerable to land-based and in-water disturbances.</w:t>
            </w:r>
          </w:p>
        </w:tc>
      </w:tr>
      <w:tr w:rsidR="009A0A63" w:rsidRPr="00792B36" w14:paraId="51121FE3" w14:textId="77777777" w:rsidTr="00A24459">
        <w:tc>
          <w:tcPr>
            <w:tcW w:w="2405" w:type="dxa"/>
          </w:tcPr>
          <w:p w14:paraId="3FC8593F" w14:textId="77777777" w:rsidR="009A0A63" w:rsidRPr="00792B36" w:rsidRDefault="009A0A63" w:rsidP="00A24459">
            <w:pPr>
              <w:rPr>
                <w:color w:val="000000" w:themeColor="text1"/>
                <w:sz w:val="24"/>
                <w:szCs w:val="24"/>
              </w:rPr>
            </w:pPr>
            <w:r w:rsidRPr="00792B36">
              <w:rPr>
                <w:color w:val="000000" w:themeColor="text1"/>
                <w:sz w:val="24"/>
                <w:szCs w:val="24"/>
              </w:rPr>
              <w:lastRenderedPageBreak/>
              <w:t>CR:3 Koh Kood</w:t>
            </w:r>
          </w:p>
        </w:tc>
        <w:tc>
          <w:tcPr>
            <w:tcW w:w="3515" w:type="dxa"/>
            <w:vAlign w:val="center"/>
          </w:tcPr>
          <w:p w14:paraId="04149670" w14:textId="77777777" w:rsidR="009A0A63" w:rsidRPr="00792B36" w:rsidRDefault="009A0A63" w:rsidP="00A24459">
            <w:pPr>
              <w:rPr>
                <w:color w:val="000000" w:themeColor="text1"/>
                <w:sz w:val="24"/>
                <w:szCs w:val="24"/>
              </w:rPr>
            </w:pPr>
            <w:r w:rsidRPr="00792B36">
              <w:rPr>
                <w:b/>
                <w:bCs/>
                <w:color w:val="000000" w:themeColor="text1"/>
                <w:sz w:val="24"/>
                <w:szCs w:val="24"/>
              </w:rPr>
              <w:t>Sedimentation:</w:t>
            </w:r>
            <w:r w:rsidRPr="00792B36">
              <w:rPr>
                <w:color w:val="000000" w:themeColor="text1"/>
                <w:sz w:val="24"/>
                <w:szCs w:val="24"/>
              </w:rPr>
              <w:br/>
              <w:t>Low to moderate sedimentation. Reefs benefit from good water circulation, though localized sedimentation occurs near resorts and piers due to construction and runoff.</w:t>
            </w:r>
          </w:p>
          <w:p w14:paraId="24DC0448" w14:textId="77777777" w:rsidR="009A0A63" w:rsidRPr="00792B36" w:rsidRDefault="009A0A63" w:rsidP="00A24459">
            <w:pPr>
              <w:rPr>
                <w:color w:val="000000" w:themeColor="text1"/>
                <w:sz w:val="24"/>
                <w:szCs w:val="24"/>
              </w:rPr>
            </w:pPr>
            <w:r w:rsidRPr="00792B36">
              <w:rPr>
                <w:b/>
                <w:bCs/>
                <w:color w:val="000000" w:themeColor="text1"/>
                <w:sz w:val="24"/>
                <w:szCs w:val="24"/>
              </w:rPr>
              <w:t>Destructive Fishing:</w:t>
            </w:r>
            <w:r w:rsidRPr="00792B36">
              <w:rPr>
                <w:color w:val="000000" w:themeColor="text1"/>
                <w:sz w:val="24"/>
                <w:szCs w:val="24"/>
              </w:rPr>
              <w:br/>
              <w:t xml:space="preserve">No reported cases of bombing or cyanide fishing in recent years. Estimated </w:t>
            </w:r>
            <w:r w:rsidRPr="00792B36">
              <w:rPr>
                <w:b/>
                <w:bCs/>
                <w:color w:val="000000" w:themeColor="text1"/>
                <w:sz w:val="24"/>
                <w:szCs w:val="24"/>
              </w:rPr>
              <w:t>0 cases per year</w:t>
            </w:r>
            <w:r w:rsidRPr="00792B36">
              <w:rPr>
                <w:color w:val="000000" w:themeColor="text1"/>
                <w:sz w:val="24"/>
                <w:szCs w:val="24"/>
              </w:rPr>
              <w:t>. Local fisheries are mostly small-scale and regulated.</w:t>
            </w:r>
          </w:p>
          <w:p w14:paraId="279CFD79" w14:textId="77777777" w:rsidR="009A0A63" w:rsidRPr="00792B36" w:rsidRDefault="009A0A63" w:rsidP="00A24459">
            <w:pPr>
              <w:rPr>
                <w:color w:val="000000" w:themeColor="text1"/>
                <w:sz w:val="24"/>
                <w:szCs w:val="24"/>
              </w:rPr>
            </w:pPr>
            <w:r w:rsidRPr="00792B36">
              <w:rPr>
                <w:b/>
                <w:bCs/>
                <w:color w:val="000000" w:themeColor="text1"/>
                <w:sz w:val="24"/>
                <w:szCs w:val="24"/>
              </w:rPr>
              <w:t>Pollution:</w:t>
            </w:r>
            <w:r w:rsidRPr="00792B36">
              <w:rPr>
                <w:color w:val="000000" w:themeColor="text1"/>
                <w:sz w:val="24"/>
                <w:szCs w:val="24"/>
              </w:rPr>
              <w:br/>
              <w:t xml:space="preserve">Main sources from </w:t>
            </w:r>
            <w:r w:rsidRPr="00792B36">
              <w:rPr>
                <w:b/>
                <w:bCs/>
                <w:color w:val="000000" w:themeColor="text1"/>
                <w:sz w:val="24"/>
                <w:szCs w:val="24"/>
              </w:rPr>
              <w:t>Trat Province (population ~230,000)</w:t>
            </w:r>
            <w:r w:rsidRPr="00792B36">
              <w:rPr>
                <w:color w:val="000000" w:themeColor="text1"/>
                <w:sz w:val="24"/>
                <w:szCs w:val="24"/>
              </w:rPr>
              <w:t xml:space="preserve">, with Koh Kood located </w:t>
            </w:r>
            <w:r w:rsidRPr="00792B36">
              <w:rPr>
                <w:b/>
                <w:bCs/>
                <w:color w:val="000000" w:themeColor="text1"/>
                <w:sz w:val="24"/>
                <w:szCs w:val="24"/>
              </w:rPr>
              <w:t>~40 km offshore</w:t>
            </w:r>
            <w:r w:rsidRPr="00792B36">
              <w:rPr>
                <w:color w:val="000000" w:themeColor="text1"/>
                <w:sz w:val="24"/>
                <w:szCs w:val="24"/>
              </w:rPr>
              <w:t xml:space="preserve">. Pollution mainly from domestic wastewater and </w:t>
            </w:r>
            <w:r w:rsidRPr="00792B36">
              <w:rPr>
                <w:color w:val="000000" w:themeColor="text1"/>
                <w:sz w:val="24"/>
                <w:szCs w:val="24"/>
              </w:rPr>
              <w:lastRenderedPageBreak/>
              <w:t>tourism activities. Overall water quality remains good; low nutrient and debris levels compared to mainland bays.</w:t>
            </w:r>
          </w:p>
          <w:p w14:paraId="4CB4D117" w14:textId="77777777" w:rsidR="009A0A63" w:rsidRPr="00792B36" w:rsidRDefault="009A0A63" w:rsidP="00A24459">
            <w:pPr>
              <w:rPr>
                <w:color w:val="000000" w:themeColor="text1"/>
                <w:sz w:val="24"/>
                <w:szCs w:val="24"/>
              </w:rPr>
            </w:pPr>
            <w:r w:rsidRPr="00792B36">
              <w:rPr>
                <w:b/>
                <w:bCs/>
                <w:color w:val="000000" w:themeColor="text1"/>
                <w:sz w:val="24"/>
                <w:szCs w:val="24"/>
              </w:rPr>
              <w:t>Crown-of-Thorns (COT):</w:t>
            </w:r>
            <w:r w:rsidRPr="00792B36">
              <w:rPr>
                <w:color w:val="000000" w:themeColor="text1"/>
                <w:sz w:val="24"/>
                <w:szCs w:val="24"/>
              </w:rPr>
              <w:br/>
              <w:t xml:space="preserve">Occasional sightings but </w:t>
            </w:r>
            <w:r w:rsidRPr="00792B36">
              <w:rPr>
                <w:b/>
                <w:bCs/>
                <w:color w:val="000000" w:themeColor="text1"/>
                <w:sz w:val="24"/>
                <w:szCs w:val="24"/>
              </w:rPr>
              <w:t>no major outbreak</w:t>
            </w:r>
            <w:r w:rsidRPr="00792B36">
              <w:rPr>
                <w:color w:val="000000" w:themeColor="text1"/>
                <w:sz w:val="24"/>
                <w:szCs w:val="24"/>
              </w:rPr>
              <w:t xml:space="preserve"> reported. Densities remain </w:t>
            </w:r>
            <w:r w:rsidRPr="00792B36">
              <w:rPr>
                <w:b/>
                <w:bCs/>
                <w:color w:val="000000" w:themeColor="text1"/>
                <w:sz w:val="24"/>
                <w:szCs w:val="24"/>
              </w:rPr>
              <w:t>below 14 individuals/1,000 m²</w:t>
            </w:r>
            <w:r w:rsidRPr="00792B36">
              <w:rPr>
                <w:color w:val="000000" w:themeColor="text1"/>
                <w:sz w:val="24"/>
                <w:szCs w:val="24"/>
              </w:rPr>
              <w:t>. Regular monitoring by DMCR and local dive operators.</w:t>
            </w:r>
          </w:p>
          <w:p w14:paraId="4FC639CB" w14:textId="77777777" w:rsidR="009A0A63" w:rsidRPr="00792B36" w:rsidRDefault="009A0A63" w:rsidP="00A24459">
            <w:pPr>
              <w:rPr>
                <w:color w:val="000000" w:themeColor="text1"/>
                <w:sz w:val="24"/>
                <w:szCs w:val="24"/>
              </w:rPr>
            </w:pPr>
            <w:r w:rsidRPr="00792B36">
              <w:rPr>
                <w:b/>
                <w:bCs/>
                <w:color w:val="000000" w:themeColor="text1"/>
                <w:sz w:val="24"/>
                <w:szCs w:val="24"/>
              </w:rPr>
              <w:t>Bleaching:</w:t>
            </w:r>
          </w:p>
          <w:p w14:paraId="02A403CE" w14:textId="77777777" w:rsidR="009A0A63" w:rsidRPr="00792B36" w:rsidRDefault="009A0A63" w:rsidP="00F61B37">
            <w:pPr>
              <w:widowControl/>
              <w:numPr>
                <w:ilvl w:val="0"/>
                <w:numId w:val="83"/>
              </w:numPr>
              <w:rPr>
                <w:color w:val="000000" w:themeColor="text1"/>
                <w:sz w:val="24"/>
                <w:szCs w:val="24"/>
              </w:rPr>
            </w:pPr>
            <w:r w:rsidRPr="00792B36">
              <w:rPr>
                <w:b/>
                <w:bCs/>
                <w:color w:val="000000" w:themeColor="text1"/>
                <w:sz w:val="24"/>
                <w:szCs w:val="24"/>
              </w:rPr>
              <w:t>2010:</w:t>
            </w:r>
            <w:r w:rsidRPr="00792B36">
              <w:rPr>
                <w:color w:val="000000" w:themeColor="text1"/>
                <w:sz w:val="24"/>
                <w:szCs w:val="24"/>
              </w:rPr>
              <w:t xml:space="preserve"> Moderate bleaching; partial recovery within a year.</w:t>
            </w:r>
          </w:p>
          <w:p w14:paraId="6932AE41" w14:textId="77777777" w:rsidR="009A0A63" w:rsidRPr="00792B36" w:rsidRDefault="009A0A63" w:rsidP="00F61B37">
            <w:pPr>
              <w:widowControl/>
              <w:numPr>
                <w:ilvl w:val="0"/>
                <w:numId w:val="83"/>
              </w:numPr>
              <w:rPr>
                <w:color w:val="000000" w:themeColor="text1"/>
                <w:sz w:val="24"/>
                <w:szCs w:val="24"/>
              </w:rPr>
            </w:pPr>
            <w:r w:rsidRPr="00792B36">
              <w:rPr>
                <w:b/>
                <w:bCs/>
                <w:color w:val="000000" w:themeColor="text1"/>
                <w:sz w:val="24"/>
                <w:szCs w:val="24"/>
              </w:rPr>
              <w:t>2014–2015:</w:t>
            </w:r>
            <w:r w:rsidRPr="00792B36">
              <w:rPr>
                <w:color w:val="000000" w:themeColor="text1"/>
                <w:sz w:val="24"/>
                <w:szCs w:val="24"/>
              </w:rPr>
              <w:t xml:space="preserve"> Mild bleaching.</w:t>
            </w:r>
          </w:p>
          <w:p w14:paraId="5853EB33" w14:textId="77777777" w:rsidR="009A0A63" w:rsidRPr="00792B36" w:rsidRDefault="009A0A63" w:rsidP="00F61B37">
            <w:pPr>
              <w:widowControl/>
              <w:numPr>
                <w:ilvl w:val="0"/>
                <w:numId w:val="83"/>
              </w:numPr>
              <w:rPr>
                <w:color w:val="000000" w:themeColor="text1"/>
                <w:sz w:val="24"/>
                <w:szCs w:val="24"/>
              </w:rPr>
            </w:pPr>
            <w:r w:rsidRPr="00792B36">
              <w:rPr>
                <w:b/>
                <w:bCs/>
                <w:color w:val="000000" w:themeColor="text1"/>
                <w:sz w:val="24"/>
                <w:szCs w:val="24"/>
              </w:rPr>
              <w:t>2016:</w:t>
            </w:r>
            <w:r w:rsidRPr="00792B36">
              <w:rPr>
                <w:color w:val="000000" w:themeColor="text1"/>
                <w:sz w:val="24"/>
                <w:szCs w:val="24"/>
              </w:rPr>
              <w:t xml:space="preserve"> Moderate bleaching (~20–30% of live coral affected).</w:t>
            </w:r>
          </w:p>
          <w:p w14:paraId="2672F07A" w14:textId="77777777" w:rsidR="009A0A63" w:rsidRPr="00792B36" w:rsidRDefault="009A0A63" w:rsidP="00F61B37">
            <w:pPr>
              <w:widowControl/>
              <w:numPr>
                <w:ilvl w:val="0"/>
                <w:numId w:val="83"/>
              </w:numPr>
              <w:rPr>
                <w:color w:val="000000" w:themeColor="text1"/>
                <w:sz w:val="24"/>
                <w:szCs w:val="24"/>
              </w:rPr>
            </w:pPr>
            <w:r w:rsidRPr="00792B36">
              <w:rPr>
                <w:b/>
                <w:bCs/>
                <w:color w:val="000000" w:themeColor="text1"/>
                <w:sz w:val="24"/>
                <w:szCs w:val="24"/>
              </w:rPr>
              <w:t>2019:</w:t>
            </w:r>
            <w:r w:rsidRPr="00792B36">
              <w:rPr>
                <w:color w:val="000000" w:themeColor="text1"/>
                <w:sz w:val="24"/>
                <w:szCs w:val="24"/>
              </w:rPr>
              <w:t xml:space="preserve"> Minor bleaching, no significant mortality.</w:t>
            </w:r>
          </w:p>
          <w:p w14:paraId="22802FD8" w14:textId="77777777" w:rsidR="009A0A63" w:rsidRPr="00792B36" w:rsidRDefault="009A0A63" w:rsidP="00F61B37">
            <w:pPr>
              <w:widowControl/>
              <w:numPr>
                <w:ilvl w:val="0"/>
                <w:numId w:val="83"/>
              </w:numPr>
              <w:rPr>
                <w:color w:val="000000" w:themeColor="text1"/>
                <w:sz w:val="24"/>
                <w:szCs w:val="24"/>
                <w:cs/>
              </w:rPr>
            </w:pPr>
            <w:r w:rsidRPr="00792B36">
              <w:rPr>
                <w:b/>
                <w:bCs/>
                <w:color w:val="000000" w:themeColor="text1"/>
                <w:sz w:val="24"/>
                <w:szCs w:val="24"/>
              </w:rPr>
              <w:t>2024:</w:t>
            </w:r>
            <w:r w:rsidRPr="00792B36">
              <w:rPr>
                <w:color w:val="000000" w:themeColor="text1"/>
                <w:sz w:val="24"/>
                <w:szCs w:val="24"/>
              </w:rPr>
              <w:t xml:space="preserve"> Low bleaching (&lt;10%) and good recovery observed.</w:t>
            </w:r>
          </w:p>
        </w:tc>
        <w:tc>
          <w:tcPr>
            <w:tcW w:w="3515" w:type="dxa"/>
          </w:tcPr>
          <w:p w14:paraId="2AB83BCD" w14:textId="77777777" w:rsidR="009A0A63" w:rsidRPr="00792B36" w:rsidRDefault="009A0A63" w:rsidP="00A24459">
            <w:pPr>
              <w:rPr>
                <w:color w:val="000000" w:themeColor="text1"/>
                <w:sz w:val="24"/>
                <w:szCs w:val="24"/>
              </w:rPr>
            </w:pPr>
            <w:r w:rsidRPr="00792B36">
              <w:rPr>
                <w:color w:val="000000" w:themeColor="text1"/>
                <w:sz w:val="24"/>
                <w:szCs w:val="24"/>
              </w:rPr>
              <w:lastRenderedPageBreak/>
              <w:t>Live coral cover and density at Koh Kood have shown a stable to slightly increasing trend over the past decade. Coral cover, which declined moderately after the 2010 and 2016 bleaching events, has since recovered well, supported by clear water, low sedimentation, and limited coastal development.</w:t>
            </w:r>
          </w:p>
          <w:p w14:paraId="78DAE223" w14:textId="77777777" w:rsidR="009A0A63" w:rsidRPr="00792B36" w:rsidRDefault="009A0A63" w:rsidP="00A24459">
            <w:pPr>
              <w:rPr>
                <w:color w:val="000000" w:themeColor="text1"/>
                <w:sz w:val="24"/>
                <w:szCs w:val="24"/>
              </w:rPr>
            </w:pPr>
            <w:r w:rsidRPr="00792B36">
              <w:rPr>
                <w:color w:val="000000" w:themeColor="text1"/>
                <w:sz w:val="24"/>
                <w:szCs w:val="24"/>
              </w:rPr>
              <w:t xml:space="preserve">Recent surveys indicate coral cover of 30–50%, dominated by </w:t>
            </w:r>
            <w:r w:rsidRPr="00792B36">
              <w:rPr>
                <w:i/>
                <w:iCs/>
                <w:color w:val="000000" w:themeColor="text1"/>
                <w:sz w:val="24"/>
                <w:szCs w:val="24"/>
              </w:rPr>
              <w:t>Acropora</w:t>
            </w:r>
            <w:r w:rsidRPr="00792B36">
              <w:rPr>
                <w:color w:val="000000" w:themeColor="text1"/>
                <w:sz w:val="24"/>
                <w:szCs w:val="24"/>
              </w:rPr>
              <w:t xml:space="preserve">, </w:t>
            </w:r>
            <w:r w:rsidRPr="00792B36">
              <w:rPr>
                <w:i/>
                <w:iCs/>
                <w:color w:val="000000" w:themeColor="text1"/>
                <w:sz w:val="24"/>
                <w:szCs w:val="24"/>
              </w:rPr>
              <w:t>Porites</w:t>
            </w:r>
            <w:r w:rsidRPr="00792B36">
              <w:rPr>
                <w:color w:val="000000" w:themeColor="text1"/>
                <w:sz w:val="24"/>
                <w:szCs w:val="24"/>
              </w:rPr>
              <w:t xml:space="preserve">, and </w:t>
            </w:r>
            <w:r w:rsidRPr="00792B36">
              <w:rPr>
                <w:i/>
                <w:iCs/>
                <w:color w:val="000000" w:themeColor="text1"/>
                <w:sz w:val="24"/>
                <w:szCs w:val="24"/>
              </w:rPr>
              <w:t xml:space="preserve">Dipsastraea </w:t>
            </w:r>
            <w:r w:rsidRPr="00792B36">
              <w:rPr>
                <w:color w:val="000000" w:themeColor="text1"/>
                <w:sz w:val="24"/>
                <w:szCs w:val="24"/>
              </w:rPr>
              <w:t xml:space="preserve">species, reflecting both high diversity and good reef </w:t>
            </w:r>
            <w:r w:rsidRPr="00792B36">
              <w:rPr>
                <w:color w:val="000000" w:themeColor="text1"/>
                <w:sz w:val="24"/>
                <w:szCs w:val="24"/>
              </w:rPr>
              <w:lastRenderedPageBreak/>
              <w:t>health. Coral density has also improved in several sites, particularly in sheltered bays and offshore reef zones.</w:t>
            </w:r>
          </w:p>
          <w:p w14:paraId="0022618A" w14:textId="77777777" w:rsidR="009A0A63" w:rsidRPr="00792B36" w:rsidRDefault="009A0A63" w:rsidP="00A24459">
            <w:pPr>
              <w:rPr>
                <w:color w:val="000000" w:themeColor="text1"/>
                <w:sz w:val="24"/>
                <w:szCs w:val="24"/>
              </w:rPr>
            </w:pPr>
          </w:p>
          <w:p w14:paraId="4204922C" w14:textId="77777777" w:rsidR="009A0A63" w:rsidRPr="00792B36" w:rsidRDefault="009A0A63" w:rsidP="00A24459">
            <w:pPr>
              <w:rPr>
                <w:color w:val="000000" w:themeColor="text1"/>
                <w:sz w:val="24"/>
                <w:szCs w:val="24"/>
              </w:rPr>
            </w:pPr>
            <w:r w:rsidRPr="00792B36">
              <w:rPr>
                <w:color w:val="000000" w:themeColor="text1"/>
                <w:sz w:val="24"/>
                <w:szCs w:val="24"/>
              </w:rPr>
              <w:t>Overall, the trend at Koh Kood shows recovery and gradual increase in live coral cover and density, driven by favorable environmental conditions and relatively low human impact compared to more developed tourist islands.</w:t>
            </w:r>
          </w:p>
        </w:tc>
        <w:tc>
          <w:tcPr>
            <w:tcW w:w="3515" w:type="dxa"/>
          </w:tcPr>
          <w:p w14:paraId="44686DD0" w14:textId="77777777" w:rsidR="009A0A63" w:rsidRPr="00792B36" w:rsidRDefault="009A0A63" w:rsidP="00A24459">
            <w:pPr>
              <w:rPr>
                <w:color w:val="000000" w:themeColor="text1"/>
                <w:sz w:val="24"/>
                <w:szCs w:val="24"/>
              </w:rPr>
            </w:pPr>
            <w:r w:rsidRPr="00792B36">
              <w:rPr>
                <w:b/>
                <w:bCs/>
                <w:color w:val="000000" w:themeColor="text1"/>
                <w:sz w:val="24"/>
                <w:szCs w:val="24"/>
              </w:rPr>
              <w:lastRenderedPageBreak/>
              <w:t>Live Coral Cover and Density:</w:t>
            </w:r>
            <w:r w:rsidRPr="00792B36">
              <w:rPr>
                <w:color w:val="000000" w:themeColor="text1"/>
                <w:sz w:val="24"/>
                <w:szCs w:val="24"/>
              </w:rPr>
              <w:br/>
              <w:t>Live coral cover and density at Koh Kood are currently healthy but may face moderate decline in the future if tourism and coastal development expand without effective management. Coral cover—now around 30–50%—could decrease due to increased sedimentation, wastewater discharge, and anchor damage if visitor pressure continues to rise. Although reefs are dominated by resilient species (</w:t>
            </w:r>
            <w:r w:rsidRPr="00792B36">
              <w:rPr>
                <w:i/>
                <w:iCs/>
                <w:color w:val="000000" w:themeColor="text1"/>
                <w:sz w:val="24"/>
                <w:szCs w:val="24"/>
              </w:rPr>
              <w:t>Acropora</w:t>
            </w:r>
            <w:r w:rsidRPr="00792B36">
              <w:rPr>
                <w:color w:val="000000" w:themeColor="text1"/>
                <w:sz w:val="24"/>
                <w:szCs w:val="24"/>
              </w:rPr>
              <w:t xml:space="preserve">, </w:t>
            </w:r>
            <w:r w:rsidRPr="00792B36">
              <w:rPr>
                <w:i/>
                <w:iCs/>
                <w:color w:val="000000" w:themeColor="text1"/>
                <w:sz w:val="24"/>
                <w:szCs w:val="24"/>
              </w:rPr>
              <w:t>Porites</w:t>
            </w:r>
            <w:r w:rsidRPr="00792B36">
              <w:rPr>
                <w:color w:val="000000" w:themeColor="text1"/>
                <w:sz w:val="24"/>
                <w:szCs w:val="24"/>
              </w:rPr>
              <w:t xml:space="preserve">, </w:t>
            </w:r>
            <w:r w:rsidRPr="00792B36">
              <w:rPr>
                <w:i/>
                <w:iCs/>
                <w:color w:val="000000" w:themeColor="text1"/>
                <w:sz w:val="24"/>
                <w:szCs w:val="24"/>
              </w:rPr>
              <w:t>Favia</w:t>
            </w:r>
            <w:r w:rsidRPr="00792B36">
              <w:rPr>
                <w:color w:val="000000" w:themeColor="text1"/>
                <w:sz w:val="24"/>
                <w:szCs w:val="24"/>
              </w:rPr>
              <w:t xml:space="preserve">), they remain </w:t>
            </w:r>
            <w:r w:rsidRPr="00792B36">
              <w:rPr>
                <w:color w:val="000000" w:themeColor="text1"/>
                <w:sz w:val="24"/>
                <w:szCs w:val="24"/>
              </w:rPr>
              <w:lastRenderedPageBreak/>
              <w:t>vulnerable to climate-induced bleaching and local stressors.</w:t>
            </w:r>
          </w:p>
          <w:p w14:paraId="7549A5E4" w14:textId="77777777" w:rsidR="009A0A63" w:rsidRPr="00792B36" w:rsidRDefault="009A0A63" w:rsidP="00A24459">
            <w:pPr>
              <w:rPr>
                <w:color w:val="000000" w:themeColor="text1"/>
                <w:sz w:val="24"/>
                <w:szCs w:val="24"/>
              </w:rPr>
            </w:pPr>
          </w:p>
          <w:p w14:paraId="256E1A29" w14:textId="77777777" w:rsidR="009A0A63" w:rsidRPr="00792B36" w:rsidRDefault="009A0A63" w:rsidP="00A24459">
            <w:pPr>
              <w:rPr>
                <w:color w:val="000000" w:themeColor="text1"/>
                <w:sz w:val="24"/>
                <w:szCs w:val="24"/>
              </w:rPr>
            </w:pPr>
            <w:r w:rsidRPr="00792B36">
              <w:rPr>
                <w:b/>
                <w:bCs/>
                <w:color w:val="000000" w:themeColor="text1"/>
                <w:sz w:val="24"/>
                <w:szCs w:val="24"/>
              </w:rPr>
              <w:t>Development Plan and Distance to the Coral Reef:</w:t>
            </w:r>
            <w:r w:rsidRPr="00792B36">
              <w:rPr>
                <w:color w:val="000000" w:themeColor="text1"/>
                <w:sz w:val="24"/>
                <w:szCs w:val="24"/>
              </w:rPr>
              <w:br/>
              <w:t>Koh Kood is under ongoing development as a high-end eco-tourism destination, with new resorts and infrastructure planned along the coastline. Most coral reefs are within 100–300 meters from the shore, making them sensitive to runoff, coastal construction, and wastewater discharge. Expansion of roads, piers, and beachfront resorts increases the risk of sedimentation and nutrient input to nearshore reefs.</w:t>
            </w:r>
          </w:p>
          <w:p w14:paraId="0BEE53D1" w14:textId="77777777" w:rsidR="009A0A63" w:rsidRPr="00792B36" w:rsidRDefault="009A0A63" w:rsidP="00A24459">
            <w:pPr>
              <w:rPr>
                <w:color w:val="000000" w:themeColor="text1"/>
                <w:sz w:val="24"/>
                <w:szCs w:val="24"/>
              </w:rPr>
            </w:pPr>
          </w:p>
        </w:tc>
      </w:tr>
      <w:tr w:rsidR="009A0A63" w:rsidRPr="00792B36" w14:paraId="6520D612" w14:textId="77777777" w:rsidTr="00A24459">
        <w:tc>
          <w:tcPr>
            <w:tcW w:w="2405" w:type="dxa"/>
          </w:tcPr>
          <w:p w14:paraId="3F5E32B0" w14:textId="77777777" w:rsidR="009A0A63" w:rsidRPr="00792B36" w:rsidRDefault="009A0A63" w:rsidP="00A24459">
            <w:pPr>
              <w:rPr>
                <w:color w:val="000000" w:themeColor="text1"/>
                <w:sz w:val="24"/>
                <w:szCs w:val="24"/>
              </w:rPr>
            </w:pPr>
            <w:r w:rsidRPr="00792B36">
              <w:rPr>
                <w:color w:val="000000" w:themeColor="text1"/>
                <w:sz w:val="24"/>
                <w:szCs w:val="24"/>
              </w:rPr>
              <w:lastRenderedPageBreak/>
              <w:t>CR:4 Koh Mak</w:t>
            </w:r>
          </w:p>
        </w:tc>
        <w:tc>
          <w:tcPr>
            <w:tcW w:w="3515" w:type="dxa"/>
            <w:vAlign w:val="center"/>
          </w:tcPr>
          <w:p w14:paraId="1BCB6102" w14:textId="77777777" w:rsidR="009A0A63" w:rsidRPr="00792B36" w:rsidRDefault="009A0A63" w:rsidP="00A24459">
            <w:pPr>
              <w:rPr>
                <w:color w:val="000000" w:themeColor="text1"/>
                <w:sz w:val="24"/>
                <w:szCs w:val="24"/>
              </w:rPr>
            </w:pPr>
            <w:r w:rsidRPr="00792B36">
              <w:rPr>
                <w:b/>
                <w:bCs/>
                <w:color w:val="000000" w:themeColor="text1"/>
                <w:sz w:val="24"/>
                <w:szCs w:val="24"/>
              </w:rPr>
              <w:t>Sedimentation:</w:t>
            </w:r>
            <w:r w:rsidRPr="00792B36">
              <w:rPr>
                <w:color w:val="000000" w:themeColor="text1"/>
                <w:sz w:val="24"/>
                <w:szCs w:val="24"/>
              </w:rPr>
              <w:br/>
              <w:t xml:space="preserve">Low sedimentation overall due to clear offshore waters and limited coastal development. Minor localized sediment </w:t>
            </w:r>
            <w:r w:rsidRPr="00792B36">
              <w:rPr>
                <w:color w:val="000000" w:themeColor="text1"/>
                <w:sz w:val="24"/>
                <w:szCs w:val="24"/>
              </w:rPr>
              <w:lastRenderedPageBreak/>
              <w:t>accumulation near resorts and piers during heavy rainfall or construction.</w:t>
            </w:r>
          </w:p>
          <w:p w14:paraId="64553FBF" w14:textId="77777777" w:rsidR="009A0A63" w:rsidRPr="00792B36" w:rsidRDefault="009A0A63" w:rsidP="00A24459">
            <w:pPr>
              <w:rPr>
                <w:color w:val="000000" w:themeColor="text1"/>
                <w:sz w:val="24"/>
                <w:szCs w:val="24"/>
              </w:rPr>
            </w:pPr>
            <w:r w:rsidRPr="00792B36">
              <w:rPr>
                <w:b/>
                <w:bCs/>
                <w:color w:val="000000" w:themeColor="text1"/>
                <w:sz w:val="24"/>
                <w:szCs w:val="24"/>
              </w:rPr>
              <w:t>Destructive Fishing:</w:t>
            </w:r>
            <w:r w:rsidRPr="00792B36">
              <w:rPr>
                <w:color w:val="000000" w:themeColor="text1"/>
                <w:sz w:val="24"/>
                <w:szCs w:val="24"/>
              </w:rPr>
              <w:br/>
              <w:t xml:space="preserve">No bombing or cyanide fishing reported in recent years; estimated </w:t>
            </w:r>
            <w:r w:rsidRPr="00792B36">
              <w:rPr>
                <w:b/>
                <w:bCs/>
                <w:color w:val="000000" w:themeColor="text1"/>
                <w:sz w:val="24"/>
                <w:szCs w:val="24"/>
              </w:rPr>
              <w:t>0 cases per year</w:t>
            </w:r>
            <w:r w:rsidRPr="00792B36">
              <w:rPr>
                <w:color w:val="000000" w:themeColor="text1"/>
                <w:sz w:val="24"/>
                <w:szCs w:val="24"/>
              </w:rPr>
              <w:t>. Local fisheries are small-scale and community-managed.</w:t>
            </w:r>
          </w:p>
          <w:p w14:paraId="357B812B" w14:textId="77777777" w:rsidR="009A0A63" w:rsidRPr="00792B36" w:rsidRDefault="009A0A63" w:rsidP="00A24459">
            <w:pPr>
              <w:rPr>
                <w:color w:val="000000" w:themeColor="text1"/>
                <w:sz w:val="24"/>
                <w:szCs w:val="24"/>
              </w:rPr>
            </w:pPr>
            <w:r w:rsidRPr="00792B36">
              <w:rPr>
                <w:b/>
                <w:bCs/>
                <w:color w:val="000000" w:themeColor="text1"/>
                <w:sz w:val="24"/>
                <w:szCs w:val="24"/>
              </w:rPr>
              <w:t>Pollution:</w:t>
            </w:r>
            <w:r w:rsidRPr="00792B36">
              <w:rPr>
                <w:color w:val="000000" w:themeColor="text1"/>
                <w:sz w:val="24"/>
                <w:szCs w:val="24"/>
              </w:rPr>
              <w:br/>
              <w:t xml:space="preserve">Main pollution sources from </w:t>
            </w:r>
            <w:r w:rsidRPr="00792B36">
              <w:rPr>
                <w:b/>
                <w:bCs/>
                <w:color w:val="000000" w:themeColor="text1"/>
                <w:sz w:val="24"/>
                <w:szCs w:val="24"/>
              </w:rPr>
              <w:t>Trat Province (~230,000 population)</w:t>
            </w:r>
            <w:r w:rsidRPr="00792B36">
              <w:rPr>
                <w:color w:val="000000" w:themeColor="text1"/>
                <w:sz w:val="24"/>
                <w:szCs w:val="24"/>
              </w:rPr>
              <w:t xml:space="preserve"> and nearby </w:t>
            </w:r>
            <w:r w:rsidRPr="00792B36">
              <w:rPr>
                <w:b/>
                <w:bCs/>
                <w:color w:val="000000" w:themeColor="text1"/>
                <w:sz w:val="24"/>
                <w:szCs w:val="24"/>
              </w:rPr>
              <w:t>Laem Ngop District (~35 km away)</w:t>
            </w:r>
            <w:r w:rsidRPr="00792B36">
              <w:rPr>
                <w:color w:val="000000" w:themeColor="text1"/>
                <w:sz w:val="24"/>
                <w:szCs w:val="24"/>
              </w:rPr>
              <w:t>. Pollution mainly from domestic wastewater and tourism activities, but overall water quality remains good with low nutrient levels and minimal debris.</w:t>
            </w:r>
          </w:p>
          <w:p w14:paraId="5E170EFC" w14:textId="77777777" w:rsidR="009A0A63" w:rsidRPr="00792B36" w:rsidRDefault="009A0A63" w:rsidP="00A24459">
            <w:pPr>
              <w:rPr>
                <w:color w:val="000000" w:themeColor="text1"/>
                <w:sz w:val="24"/>
                <w:szCs w:val="24"/>
              </w:rPr>
            </w:pPr>
            <w:r w:rsidRPr="00792B36">
              <w:rPr>
                <w:b/>
                <w:bCs/>
                <w:color w:val="000000" w:themeColor="text1"/>
                <w:sz w:val="24"/>
                <w:szCs w:val="24"/>
              </w:rPr>
              <w:t>Crown-of-Thorns (COT):</w:t>
            </w:r>
            <w:r w:rsidRPr="00792B36">
              <w:rPr>
                <w:color w:val="000000" w:themeColor="text1"/>
                <w:sz w:val="24"/>
                <w:szCs w:val="24"/>
              </w:rPr>
              <w:br/>
              <w:t xml:space="preserve">No outbreak recorded. Occasional individuals found but </w:t>
            </w:r>
            <w:r w:rsidRPr="00792B36">
              <w:rPr>
                <w:b/>
                <w:bCs/>
                <w:color w:val="000000" w:themeColor="text1"/>
                <w:sz w:val="24"/>
                <w:szCs w:val="24"/>
              </w:rPr>
              <w:t>densities below outbreak threshold (&gt;14 individuals/1,000 m²)</w:t>
            </w:r>
            <w:r w:rsidRPr="00792B36">
              <w:rPr>
                <w:color w:val="000000" w:themeColor="text1"/>
                <w:sz w:val="24"/>
                <w:szCs w:val="24"/>
              </w:rPr>
              <w:t>. Regular monitoring by DMCR and local dive centers.</w:t>
            </w:r>
          </w:p>
          <w:p w14:paraId="35A6B483" w14:textId="77777777" w:rsidR="009A0A63" w:rsidRPr="00792B36" w:rsidRDefault="009A0A63" w:rsidP="00A24459">
            <w:pPr>
              <w:rPr>
                <w:color w:val="000000" w:themeColor="text1"/>
                <w:sz w:val="24"/>
                <w:szCs w:val="24"/>
              </w:rPr>
            </w:pPr>
            <w:r w:rsidRPr="00792B36">
              <w:rPr>
                <w:b/>
                <w:bCs/>
                <w:color w:val="000000" w:themeColor="text1"/>
                <w:sz w:val="24"/>
                <w:szCs w:val="24"/>
              </w:rPr>
              <w:t>Bleaching:</w:t>
            </w:r>
          </w:p>
          <w:p w14:paraId="5767CCB2" w14:textId="77777777" w:rsidR="009A0A63" w:rsidRPr="00792B36" w:rsidRDefault="009A0A63" w:rsidP="00F61B37">
            <w:pPr>
              <w:widowControl/>
              <w:numPr>
                <w:ilvl w:val="0"/>
                <w:numId w:val="84"/>
              </w:numPr>
              <w:rPr>
                <w:color w:val="000000" w:themeColor="text1"/>
                <w:sz w:val="24"/>
                <w:szCs w:val="24"/>
              </w:rPr>
            </w:pPr>
            <w:r w:rsidRPr="00792B36">
              <w:rPr>
                <w:b/>
                <w:bCs/>
                <w:color w:val="000000" w:themeColor="text1"/>
                <w:sz w:val="24"/>
                <w:szCs w:val="24"/>
              </w:rPr>
              <w:t>2010:</w:t>
            </w:r>
            <w:r w:rsidRPr="00792B36">
              <w:rPr>
                <w:color w:val="000000" w:themeColor="text1"/>
                <w:sz w:val="24"/>
                <w:szCs w:val="24"/>
              </w:rPr>
              <w:t xml:space="preserve"> Moderate bleaching, partial recovery within 1–2 years.</w:t>
            </w:r>
          </w:p>
          <w:p w14:paraId="4424B0F7" w14:textId="77777777" w:rsidR="009A0A63" w:rsidRPr="00792B36" w:rsidRDefault="009A0A63" w:rsidP="00F61B37">
            <w:pPr>
              <w:widowControl/>
              <w:numPr>
                <w:ilvl w:val="0"/>
                <w:numId w:val="84"/>
              </w:numPr>
              <w:rPr>
                <w:color w:val="000000" w:themeColor="text1"/>
                <w:sz w:val="24"/>
                <w:szCs w:val="24"/>
              </w:rPr>
            </w:pPr>
            <w:r w:rsidRPr="00792B36">
              <w:rPr>
                <w:b/>
                <w:bCs/>
                <w:color w:val="000000" w:themeColor="text1"/>
                <w:sz w:val="24"/>
                <w:szCs w:val="24"/>
              </w:rPr>
              <w:lastRenderedPageBreak/>
              <w:t>2014–2015:</w:t>
            </w:r>
            <w:r w:rsidRPr="00792B36">
              <w:rPr>
                <w:color w:val="000000" w:themeColor="text1"/>
                <w:sz w:val="24"/>
                <w:szCs w:val="24"/>
              </w:rPr>
              <w:t xml:space="preserve"> Mild bleaching.</w:t>
            </w:r>
          </w:p>
          <w:p w14:paraId="4EA5C793" w14:textId="77777777" w:rsidR="009A0A63" w:rsidRPr="00792B36" w:rsidRDefault="009A0A63" w:rsidP="00F61B37">
            <w:pPr>
              <w:widowControl/>
              <w:numPr>
                <w:ilvl w:val="0"/>
                <w:numId w:val="84"/>
              </w:numPr>
              <w:rPr>
                <w:color w:val="000000" w:themeColor="text1"/>
                <w:sz w:val="24"/>
                <w:szCs w:val="24"/>
              </w:rPr>
            </w:pPr>
            <w:r w:rsidRPr="00792B36">
              <w:rPr>
                <w:b/>
                <w:bCs/>
                <w:color w:val="000000" w:themeColor="text1"/>
                <w:sz w:val="24"/>
                <w:szCs w:val="24"/>
              </w:rPr>
              <w:t>2016:</w:t>
            </w:r>
            <w:r w:rsidRPr="00792B36">
              <w:rPr>
                <w:color w:val="000000" w:themeColor="text1"/>
                <w:sz w:val="24"/>
                <w:szCs w:val="24"/>
              </w:rPr>
              <w:t xml:space="preserve"> Moderate bleaching (~20–30% affected), limited mortality.</w:t>
            </w:r>
          </w:p>
          <w:p w14:paraId="48E6360F" w14:textId="77777777" w:rsidR="009A0A63" w:rsidRPr="00792B36" w:rsidRDefault="009A0A63" w:rsidP="00F61B37">
            <w:pPr>
              <w:widowControl/>
              <w:numPr>
                <w:ilvl w:val="0"/>
                <w:numId w:val="84"/>
              </w:numPr>
              <w:rPr>
                <w:color w:val="000000" w:themeColor="text1"/>
                <w:sz w:val="24"/>
                <w:szCs w:val="24"/>
              </w:rPr>
            </w:pPr>
            <w:r w:rsidRPr="00792B36">
              <w:rPr>
                <w:b/>
                <w:bCs/>
                <w:color w:val="000000" w:themeColor="text1"/>
                <w:sz w:val="24"/>
                <w:szCs w:val="24"/>
              </w:rPr>
              <w:t>2019:</w:t>
            </w:r>
            <w:r w:rsidRPr="00792B36">
              <w:rPr>
                <w:color w:val="000000" w:themeColor="text1"/>
                <w:sz w:val="24"/>
                <w:szCs w:val="24"/>
              </w:rPr>
              <w:t xml:space="preserve"> Minor bleaching, good recovery.</w:t>
            </w:r>
          </w:p>
          <w:p w14:paraId="42B4A741" w14:textId="77777777" w:rsidR="009A0A63" w:rsidRPr="00792B36" w:rsidRDefault="009A0A63" w:rsidP="00F61B37">
            <w:pPr>
              <w:widowControl/>
              <w:numPr>
                <w:ilvl w:val="0"/>
                <w:numId w:val="84"/>
              </w:numPr>
              <w:rPr>
                <w:color w:val="000000" w:themeColor="text1"/>
                <w:sz w:val="24"/>
                <w:szCs w:val="24"/>
              </w:rPr>
            </w:pPr>
            <w:r w:rsidRPr="00792B36">
              <w:rPr>
                <w:b/>
                <w:bCs/>
                <w:color w:val="000000" w:themeColor="text1"/>
                <w:sz w:val="24"/>
                <w:szCs w:val="24"/>
              </w:rPr>
              <w:t>2024:</w:t>
            </w:r>
            <w:r w:rsidRPr="00792B36">
              <w:rPr>
                <w:color w:val="000000" w:themeColor="text1"/>
                <w:sz w:val="24"/>
                <w:szCs w:val="24"/>
              </w:rPr>
              <w:t xml:space="preserve"> Low bleaching (&lt;10%), healthy recovery trend.</w:t>
            </w:r>
          </w:p>
        </w:tc>
        <w:tc>
          <w:tcPr>
            <w:tcW w:w="3515" w:type="dxa"/>
          </w:tcPr>
          <w:p w14:paraId="27813F3B" w14:textId="77777777" w:rsidR="009A0A63" w:rsidRPr="00792B36" w:rsidRDefault="009A0A63" w:rsidP="00A24459">
            <w:pPr>
              <w:rPr>
                <w:color w:val="000000" w:themeColor="text1"/>
                <w:sz w:val="24"/>
                <w:szCs w:val="24"/>
              </w:rPr>
            </w:pPr>
            <w:r w:rsidRPr="00792B36">
              <w:rPr>
                <w:color w:val="000000" w:themeColor="text1"/>
                <w:sz w:val="24"/>
                <w:szCs w:val="24"/>
              </w:rPr>
              <w:lastRenderedPageBreak/>
              <w:t xml:space="preserve">Live coral cover and density at Koh Mak have shown a slightly increasing trend over the past decade. After moderate declines </w:t>
            </w:r>
            <w:r w:rsidRPr="00792B36">
              <w:rPr>
                <w:color w:val="000000" w:themeColor="text1"/>
                <w:sz w:val="24"/>
                <w:szCs w:val="24"/>
              </w:rPr>
              <w:lastRenderedPageBreak/>
              <w:t>during the 2010 and 2016 bleaching events, most reef sites have recovered steadily, supported by clear waters, low sedimentation, and limited urban development.</w:t>
            </w:r>
          </w:p>
          <w:p w14:paraId="24639360" w14:textId="77777777" w:rsidR="009A0A63" w:rsidRPr="00792B36" w:rsidRDefault="009A0A63" w:rsidP="00A24459">
            <w:pPr>
              <w:rPr>
                <w:color w:val="000000" w:themeColor="text1"/>
                <w:sz w:val="24"/>
                <w:szCs w:val="24"/>
              </w:rPr>
            </w:pPr>
          </w:p>
          <w:p w14:paraId="1B1994A8" w14:textId="77777777" w:rsidR="009A0A63" w:rsidRPr="00792B36" w:rsidRDefault="009A0A63" w:rsidP="00A24459">
            <w:pPr>
              <w:rPr>
                <w:color w:val="000000" w:themeColor="text1"/>
                <w:sz w:val="24"/>
                <w:szCs w:val="24"/>
              </w:rPr>
            </w:pPr>
            <w:r w:rsidRPr="00792B36">
              <w:rPr>
                <w:color w:val="000000" w:themeColor="text1"/>
                <w:sz w:val="24"/>
                <w:szCs w:val="24"/>
              </w:rPr>
              <w:t>Current coral cover is estimated at 30–55%, with high diversity dominated by Acropora, Porites, and Favia species. Coral recruitment and density have improved in shallow and mid-depth reefs, indicating good natural regeneration.</w:t>
            </w:r>
          </w:p>
          <w:p w14:paraId="3F68AF26" w14:textId="77777777" w:rsidR="009A0A63" w:rsidRPr="00792B36" w:rsidRDefault="009A0A63" w:rsidP="00A24459">
            <w:pPr>
              <w:rPr>
                <w:color w:val="000000" w:themeColor="text1"/>
                <w:sz w:val="24"/>
                <w:szCs w:val="24"/>
              </w:rPr>
            </w:pPr>
          </w:p>
          <w:p w14:paraId="2E140E89" w14:textId="77777777" w:rsidR="009A0A63" w:rsidRPr="00792B36" w:rsidRDefault="009A0A63" w:rsidP="00A24459">
            <w:pPr>
              <w:rPr>
                <w:color w:val="000000" w:themeColor="text1"/>
                <w:sz w:val="24"/>
                <w:szCs w:val="24"/>
              </w:rPr>
            </w:pPr>
            <w:r w:rsidRPr="00792B36">
              <w:rPr>
                <w:color w:val="000000" w:themeColor="text1"/>
                <w:sz w:val="24"/>
                <w:szCs w:val="24"/>
              </w:rPr>
              <w:t>Overall, Koh Mak reefs exhibit a positive recovery trend with stable or increasing coral cover and density, reflecting effective natural resilience and low anthropogenic stress compared to other islands in the Gulf of Thailand.</w:t>
            </w:r>
          </w:p>
        </w:tc>
        <w:tc>
          <w:tcPr>
            <w:tcW w:w="3515" w:type="dxa"/>
          </w:tcPr>
          <w:p w14:paraId="527E6D6B" w14:textId="77777777" w:rsidR="009A0A63" w:rsidRPr="00792B36" w:rsidRDefault="009A0A63" w:rsidP="00A24459">
            <w:pPr>
              <w:rPr>
                <w:color w:val="000000" w:themeColor="text1"/>
                <w:sz w:val="24"/>
                <w:szCs w:val="24"/>
              </w:rPr>
            </w:pPr>
            <w:r w:rsidRPr="00792B36">
              <w:rPr>
                <w:b/>
                <w:bCs/>
                <w:color w:val="000000" w:themeColor="text1"/>
                <w:sz w:val="24"/>
                <w:szCs w:val="24"/>
              </w:rPr>
              <w:lastRenderedPageBreak/>
              <w:t>Live Coral Cover and Density:</w:t>
            </w:r>
            <w:r w:rsidRPr="00792B36">
              <w:rPr>
                <w:color w:val="000000" w:themeColor="text1"/>
                <w:sz w:val="24"/>
                <w:szCs w:val="24"/>
              </w:rPr>
              <w:br/>
              <w:t xml:space="preserve">Live coral cover and density at Koh Mak are currently stable to slightly increasing, but may </w:t>
            </w:r>
            <w:r w:rsidRPr="00792B36">
              <w:rPr>
                <w:color w:val="000000" w:themeColor="text1"/>
                <w:sz w:val="24"/>
                <w:szCs w:val="24"/>
              </w:rPr>
              <w:lastRenderedPageBreak/>
              <w:t>decline in the future if tourism expansion and coastal development intensify. Coral reefs with current cover of 30–55% could face stress from sedimentation, wastewater discharge, and anchor damage if not managed sustainably. While resilient species (</w:t>
            </w:r>
            <w:r w:rsidRPr="00792B36">
              <w:rPr>
                <w:i/>
                <w:iCs/>
                <w:color w:val="000000" w:themeColor="text1"/>
                <w:sz w:val="24"/>
                <w:szCs w:val="24"/>
              </w:rPr>
              <w:t>Acropora</w:t>
            </w:r>
            <w:r w:rsidRPr="00792B36">
              <w:rPr>
                <w:color w:val="000000" w:themeColor="text1"/>
                <w:sz w:val="24"/>
                <w:szCs w:val="24"/>
              </w:rPr>
              <w:t xml:space="preserve">, </w:t>
            </w:r>
            <w:r w:rsidRPr="00792B36">
              <w:rPr>
                <w:i/>
                <w:iCs/>
                <w:color w:val="000000" w:themeColor="text1"/>
                <w:sz w:val="24"/>
                <w:szCs w:val="24"/>
              </w:rPr>
              <w:t>Porites</w:t>
            </w:r>
            <w:r w:rsidRPr="00792B36">
              <w:rPr>
                <w:color w:val="000000" w:themeColor="text1"/>
                <w:sz w:val="24"/>
                <w:szCs w:val="24"/>
              </w:rPr>
              <w:t xml:space="preserve">, </w:t>
            </w:r>
            <w:r w:rsidRPr="00792B36">
              <w:rPr>
                <w:i/>
                <w:iCs/>
                <w:color w:val="000000" w:themeColor="text1"/>
                <w:sz w:val="24"/>
                <w:szCs w:val="24"/>
              </w:rPr>
              <w:t>Favia</w:t>
            </w:r>
            <w:r w:rsidRPr="00792B36">
              <w:rPr>
                <w:color w:val="000000" w:themeColor="text1"/>
                <w:sz w:val="24"/>
                <w:szCs w:val="24"/>
              </w:rPr>
              <w:t>) dominate, rising sea surface temperatures and potential bleaching events also pose ongoing threats.</w:t>
            </w:r>
          </w:p>
          <w:p w14:paraId="57387EEE" w14:textId="77777777" w:rsidR="009A0A63" w:rsidRPr="00792B36" w:rsidRDefault="009A0A63" w:rsidP="00A24459">
            <w:pPr>
              <w:rPr>
                <w:color w:val="000000" w:themeColor="text1"/>
                <w:sz w:val="24"/>
                <w:szCs w:val="24"/>
              </w:rPr>
            </w:pPr>
            <w:r w:rsidRPr="00792B36">
              <w:rPr>
                <w:b/>
                <w:bCs/>
                <w:color w:val="000000" w:themeColor="text1"/>
                <w:sz w:val="24"/>
                <w:szCs w:val="24"/>
              </w:rPr>
              <w:t>Development Plan and Distance to the Coral Reef:</w:t>
            </w:r>
            <w:r w:rsidRPr="00792B36">
              <w:rPr>
                <w:color w:val="000000" w:themeColor="text1"/>
                <w:sz w:val="24"/>
                <w:szCs w:val="24"/>
              </w:rPr>
              <w:br/>
              <w:t>Koh Mak is being promoted as a low-carbon and sustainable tourism island, yet small-scale resort development, pier construction, and increased boat traffic are expanding. Most coral reefs lie within 100–500 meters of the coastline, especially along Ao Kao, Ao Nid, and Ao Suan Yai, making them highly sensitive to land-based runoff and human disturbance.</w:t>
            </w:r>
          </w:p>
          <w:p w14:paraId="2D6A613B" w14:textId="77777777" w:rsidR="009A0A63" w:rsidRPr="00792B36" w:rsidRDefault="009A0A63" w:rsidP="00A24459">
            <w:pPr>
              <w:rPr>
                <w:color w:val="000000" w:themeColor="text1"/>
                <w:sz w:val="24"/>
                <w:szCs w:val="24"/>
              </w:rPr>
            </w:pPr>
          </w:p>
        </w:tc>
      </w:tr>
      <w:tr w:rsidR="009A0A63" w:rsidRPr="00792B36" w14:paraId="6CC672FC" w14:textId="77777777" w:rsidTr="00A24459">
        <w:tc>
          <w:tcPr>
            <w:tcW w:w="2405" w:type="dxa"/>
          </w:tcPr>
          <w:p w14:paraId="37C14EE0" w14:textId="77777777" w:rsidR="009A0A63" w:rsidRPr="00792B36" w:rsidRDefault="009A0A63" w:rsidP="00A24459">
            <w:pPr>
              <w:rPr>
                <w:color w:val="000000" w:themeColor="text1"/>
                <w:sz w:val="24"/>
                <w:szCs w:val="24"/>
              </w:rPr>
            </w:pPr>
            <w:r w:rsidRPr="00792B36">
              <w:rPr>
                <w:color w:val="000000" w:themeColor="text1"/>
                <w:sz w:val="24"/>
                <w:szCs w:val="24"/>
              </w:rPr>
              <w:lastRenderedPageBreak/>
              <w:t>CR:5 Koh Tao</w:t>
            </w:r>
          </w:p>
        </w:tc>
        <w:tc>
          <w:tcPr>
            <w:tcW w:w="3515" w:type="dxa"/>
            <w:vAlign w:val="center"/>
          </w:tcPr>
          <w:p w14:paraId="0DFBB527" w14:textId="77777777" w:rsidR="009A0A63" w:rsidRPr="00792B36" w:rsidRDefault="009A0A63" w:rsidP="00A24459">
            <w:pPr>
              <w:rPr>
                <w:color w:val="000000" w:themeColor="text1"/>
                <w:sz w:val="24"/>
                <w:szCs w:val="24"/>
              </w:rPr>
            </w:pPr>
            <w:r w:rsidRPr="00792B36">
              <w:rPr>
                <w:b/>
                <w:bCs/>
                <w:color w:val="000000" w:themeColor="text1"/>
                <w:sz w:val="24"/>
                <w:szCs w:val="24"/>
              </w:rPr>
              <w:t>Sedimentation:</w:t>
            </w:r>
            <w:r w:rsidRPr="00792B36">
              <w:rPr>
                <w:color w:val="000000" w:themeColor="text1"/>
                <w:sz w:val="24"/>
                <w:szCs w:val="24"/>
              </w:rPr>
              <w:br/>
              <w:t>Generally low to moderate. Water clarity remains good at most dive sites, though localized sedimentation occurs near coastal development, piers, and runoff areas, especially during monsoon periods. Sediment stress can reduce coral recruitment in nearshore reefs.</w:t>
            </w:r>
          </w:p>
          <w:p w14:paraId="0C61617A" w14:textId="77777777" w:rsidR="009A0A63" w:rsidRPr="00792B36" w:rsidRDefault="009A0A63" w:rsidP="00A24459">
            <w:pPr>
              <w:rPr>
                <w:color w:val="000000" w:themeColor="text1"/>
                <w:sz w:val="24"/>
                <w:szCs w:val="24"/>
              </w:rPr>
            </w:pPr>
            <w:r w:rsidRPr="00792B36">
              <w:rPr>
                <w:b/>
                <w:bCs/>
                <w:color w:val="000000" w:themeColor="text1"/>
                <w:sz w:val="24"/>
                <w:szCs w:val="24"/>
              </w:rPr>
              <w:t>Destructive Fishing (bombing &amp; poisoning):</w:t>
            </w:r>
            <w:r w:rsidRPr="00792B36">
              <w:rPr>
                <w:color w:val="000000" w:themeColor="text1"/>
                <w:sz w:val="24"/>
                <w:szCs w:val="24"/>
              </w:rPr>
              <w:br/>
              <w:t xml:space="preserve">No recent reports of bombing or cyanide fishing. The area is heavily managed as a marine tourism zone with </w:t>
            </w:r>
            <w:r w:rsidRPr="00792B36">
              <w:rPr>
                <w:b/>
                <w:bCs/>
                <w:color w:val="000000" w:themeColor="text1"/>
                <w:sz w:val="24"/>
                <w:szCs w:val="24"/>
              </w:rPr>
              <w:t>0 reported cases per year</w:t>
            </w:r>
            <w:r w:rsidRPr="00792B36">
              <w:rPr>
                <w:color w:val="000000" w:themeColor="text1"/>
                <w:sz w:val="24"/>
                <w:szCs w:val="24"/>
              </w:rPr>
              <w:t>. Local fishing is small-scale and regulated by community and DMCR patrols.</w:t>
            </w:r>
          </w:p>
          <w:p w14:paraId="0EE543AA" w14:textId="77777777" w:rsidR="009A0A63" w:rsidRPr="00792B36" w:rsidRDefault="009A0A63" w:rsidP="00A24459">
            <w:pPr>
              <w:rPr>
                <w:color w:val="000000" w:themeColor="text1"/>
                <w:sz w:val="24"/>
                <w:szCs w:val="24"/>
              </w:rPr>
            </w:pPr>
            <w:r w:rsidRPr="00792B36">
              <w:rPr>
                <w:b/>
                <w:bCs/>
                <w:color w:val="000000" w:themeColor="text1"/>
                <w:sz w:val="24"/>
                <w:szCs w:val="24"/>
              </w:rPr>
              <w:t xml:space="preserve">Pollution </w:t>
            </w:r>
            <w:r w:rsidRPr="00792B36">
              <w:rPr>
                <w:b/>
                <w:bCs/>
                <w:color w:val="000000" w:themeColor="text1"/>
                <w:sz w:val="24"/>
                <w:szCs w:val="24"/>
              </w:rPr>
              <w:lastRenderedPageBreak/>
              <w:t>(population &amp; distance to sources):</w:t>
            </w:r>
            <w:r w:rsidRPr="00792B36">
              <w:rPr>
                <w:color w:val="000000" w:themeColor="text1"/>
                <w:sz w:val="24"/>
                <w:szCs w:val="24"/>
              </w:rPr>
              <w:br/>
              <w:t>Koh Tao has a resident population of ~</w:t>
            </w:r>
            <w:r w:rsidRPr="00792B36">
              <w:rPr>
                <w:b/>
                <w:bCs/>
                <w:color w:val="000000" w:themeColor="text1"/>
                <w:sz w:val="24"/>
                <w:szCs w:val="24"/>
              </w:rPr>
              <w:t>2,000–3,000</w:t>
            </w:r>
            <w:r w:rsidRPr="00792B36">
              <w:rPr>
                <w:color w:val="000000" w:themeColor="text1"/>
                <w:sz w:val="24"/>
                <w:szCs w:val="24"/>
              </w:rPr>
              <w:t xml:space="preserve"> people, increasing to over </w:t>
            </w:r>
            <w:r w:rsidRPr="00792B36">
              <w:rPr>
                <w:b/>
                <w:bCs/>
                <w:color w:val="000000" w:themeColor="text1"/>
                <w:sz w:val="24"/>
                <w:szCs w:val="24"/>
              </w:rPr>
              <w:t>10,000</w:t>
            </w:r>
            <w:r w:rsidRPr="00792B36">
              <w:rPr>
                <w:color w:val="000000" w:themeColor="text1"/>
                <w:sz w:val="24"/>
                <w:szCs w:val="24"/>
              </w:rPr>
              <w:t xml:space="preserve"> during peak tourism. Main pollution sources are </w:t>
            </w:r>
            <w:r w:rsidRPr="00792B36">
              <w:rPr>
                <w:b/>
                <w:bCs/>
                <w:color w:val="000000" w:themeColor="text1"/>
                <w:sz w:val="24"/>
                <w:szCs w:val="24"/>
              </w:rPr>
              <w:t>tourism wastewater, plastic waste, and boat discharges</w:t>
            </w:r>
            <w:r w:rsidRPr="00792B36">
              <w:rPr>
                <w:color w:val="000000" w:themeColor="text1"/>
                <w:sz w:val="24"/>
                <w:szCs w:val="24"/>
              </w:rPr>
              <w:t xml:space="preserve">. The island is about </w:t>
            </w:r>
            <w:r w:rsidRPr="00792B36">
              <w:rPr>
                <w:b/>
                <w:bCs/>
                <w:color w:val="000000" w:themeColor="text1"/>
                <w:sz w:val="24"/>
                <w:szCs w:val="24"/>
              </w:rPr>
              <w:t>70 km from Chumphon mainland</w:t>
            </w:r>
            <w:r w:rsidRPr="00792B36">
              <w:rPr>
                <w:color w:val="000000" w:themeColor="text1"/>
                <w:sz w:val="24"/>
                <w:szCs w:val="24"/>
              </w:rPr>
              <w:t>, so mainland pollution impact is minimal; however, localized nutrient buildup occurs near bays.</w:t>
            </w:r>
          </w:p>
          <w:p w14:paraId="0C618908" w14:textId="77777777" w:rsidR="009A0A63" w:rsidRPr="00792B36" w:rsidRDefault="009A0A63" w:rsidP="00A24459">
            <w:pPr>
              <w:rPr>
                <w:color w:val="000000" w:themeColor="text1"/>
                <w:sz w:val="24"/>
                <w:szCs w:val="24"/>
              </w:rPr>
            </w:pPr>
            <w:r w:rsidRPr="00792B36">
              <w:rPr>
                <w:b/>
                <w:bCs/>
                <w:color w:val="000000" w:themeColor="text1"/>
                <w:sz w:val="24"/>
                <w:szCs w:val="24"/>
              </w:rPr>
              <w:t>Crown-of-Thorns (COT):</w:t>
            </w:r>
            <w:r w:rsidRPr="00792B36">
              <w:rPr>
                <w:color w:val="000000" w:themeColor="text1"/>
                <w:sz w:val="24"/>
                <w:szCs w:val="24"/>
              </w:rPr>
              <w:br/>
              <w:t xml:space="preserve">Outbreaks occurred periodically, with localized infestations in </w:t>
            </w:r>
            <w:r w:rsidRPr="00792B36">
              <w:rPr>
                <w:b/>
                <w:bCs/>
                <w:color w:val="000000" w:themeColor="text1"/>
                <w:sz w:val="24"/>
                <w:szCs w:val="24"/>
              </w:rPr>
              <w:t>2010, 2014, and 2018</w:t>
            </w:r>
            <w:r w:rsidRPr="00792B36">
              <w:rPr>
                <w:color w:val="000000" w:themeColor="text1"/>
                <w:sz w:val="24"/>
                <w:szCs w:val="24"/>
              </w:rPr>
              <w:t xml:space="preserve">, controlled through manual removal. Current density is </w:t>
            </w:r>
            <w:r w:rsidRPr="00792B36">
              <w:rPr>
                <w:b/>
                <w:bCs/>
                <w:color w:val="000000" w:themeColor="text1"/>
                <w:sz w:val="24"/>
                <w:szCs w:val="24"/>
              </w:rPr>
              <w:t>below 14 individuals/1,000 m²</w:t>
            </w:r>
            <w:r w:rsidRPr="00792B36">
              <w:rPr>
                <w:color w:val="000000" w:themeColor="text1"/>
                <w:sz w:val="24"/>
                <w:szCs w:val="24"/>
              </w:rPr>
              <w:t>, indicating no active outbreak.</w:t>
            </w:r>
          </w:p>
          <w:p w14:paraId="14D2BB32" w14:textId="77777777" w:rsidR="009A0A63" w:rsidRPr="00792B36" w:rsidRDefault="009A0A63" w:rsidP="00A24459">
            <w:pPr>
              <w:rPr>
                <w:color w:val="000000" w:themeColor="text1"/>
                <w:sz w:val="24"/>
                <w:szCs w:val="24"/>
              </w:rPr>
            </w:pPr>
            <w:r w:rsidRPr="00792B36">
              <w:rPr>
                <w:b/>
                <w:bCs/>
                <w:color w:val="000000" w:themeColor="text1"/>
                <w:sz w:val="24"/>
                <w:szCs w:val="24"/>
              </w:rPr>
              <w:t>Bleaching:</w:t>
            </w:r>
          </w:p>
          <w:p w14:paraId="736424FC" w14:textId="77777777" w:rsidR="009A0A63" w:rsidRPr="00792B36" w:rsidRDefault="009A0A63" w:rsidP="00F61B37">
            <w:pPr>
              <w:widowControl/>
              <w:numPr>
                <w:ilvl w:val="0"/>
                <w:numId w:val="85"/>
              </w:numPr>
              <w:rPr>
                <w:color w:val="000000" w:themeColor="text1"/>
                <w:sz w:val="24"/>
                <w:szCs w:val="24"/>
              </w:rPr>
            </w:pPr>
            <w:r w:rsidRPr="00792B36">
              <w:rPr>
                <w:b/>
                <w:bCs/>
                <w:color w:val="000000" w:themeColor="text1"/>
                <w:sz w:val="24"/>
                <w:szCs w:val="24"/>
              </w:rPr>
              <w:t>2010:</w:t>
            </w:r>
            <w:r w:rsidRPr="00792B36">
              <w:rPr>
                <w:color w:val="000000" w:themeColor="text1"/>
                <w:sz w:val="24"/>
                <w:szCs w:val="24"/>
              </w:rPr>
              <w:t xml:space="preserve"> Severe nationwide event; &gt;50% of corals bleached, with significant mortality at shallow sites.</w:t>
            </w:r>
          </w:p>
          <w:p w14:paraId="63EBBDBF" w14:textId="77777777" w:rsidR="009A0A63" w:rsidRPr="00792B36" w:rsidRDefault="009A0A63" w:rsidP="00F61B37">
            <w:pPr>
              <w:widowControl/>
              <w:numPr>
                <w:ilvl w:val="0"/>
                <w:numId w:val="85"/>
              </w:numPr>
              <w:rPr>
                <w:color w:val="000000" w:themeColor="text1"/>
                <w:sz w:val="24"/>
                <w:szCs w:val="24"/>
              </w:rPr>
            </w:pPr>
            <w:r w:rsidRPr="00792B36">
              <w:rPr>
                <w:b/>
                <w:bCs/>
                <w:color w:val="000000" w:themeColor="text1"/>
                <w:sz w:val="24"/>
                <w:szCs w:val="24"/>
              </w:rPr>
              <w:t>2014–2015:</w:t>
            </w:r>
            <w:r w:rsidRPr="00792B36">
              <w:rPr>
                <w:color w:val="000000" w:themeColor="text1"/>
                <w:sz w:val="24"/>
                <w:szCs w:val="24"/>
              </w:rPr>
              <w:t xml:space="preserve"> Moderate bleaching (~30%), partial </w:t>
            </w:r>
            <w:r w:rsidRPr="00792B36">
              <w:rPr>
                <w:color w:val="000000" w:themeColor="text1"/>
                <w:sz w:val="24"/>
                <w:szCs w:val="24"/>
              </w:rPr>
              <w:lastRenderedPageBreak/>
              <w:t>recovery observed.</w:t>
            </w:r>
          </w:p>
          <w:p w14:paraId="65DB3F4C" w14:textId="77777777" w:rsidR="009A0A63" w:rsidRPr="00792B36" w:rsidRDefault="009A0A63" w:rsidP="00F61B37">
            <w:pPr>
              <w:widowControl/>
              <w:numPr>
                <w:ilvl w:val="0"/>
                <w:numId w:val="85"/>
              </w:numPr>
              <w:rPr>
                <w:color w:val="000000" w:themeColor="text1"/>
                <w:sz w:val="24"/>
                <w:szCs w:val="24"/>
              </w:rPr>
            </w:pPr>
            <w:r w:rsidRPr="00792B36">
              <w:rPr>
                <w:b/>
                <w:bCs/>
                <w:color w:val="000000" w:themeColor="text1"/>
                <w:sz w:val="24"/>
                <w:szCs w:val="24"/>
              </w:rPr>
              <w:t>2016:</w:t>
            </w:r>
            <w:r w:rsidRPr="00792B36">
              <w:rPr>
                <w:color w:val="000000" w:themeColor="text1"/>
                <w:sz w:val="24"/>
                <w:szCs w:val="24"/>
              </w:rPr>
              <w:t xml:space="preserve"> Severe bleaching (&gt;50%), widespread mortality at exposed sites.</w:t>
            </w:r>
          </w:p>
          <w:p w14:paraId="27182A91" w14:textId="77777777" w:rsidR="009A0A63" w:rsidRPr="00792B36" w:rsidRDefault="009A0A63" w:rsidP="00F61B37">
            <w:pPr>
              <w:widowControl/>
              <w:numPr>
                <w:ilvl w:val="0"/>
                <w:numId w:val="85"/>
              </w:numPr>
              <w:rPr>
                <w:color w:val="000000" w:themeColor="text1"/>
                <w:sz w:val="24"/>
                <w:szCs w:val="24"/>
              </w:rPr>
            </w:pPr>
            <w:r w:rsidRPr="00792B36">
              <w:rPr>
                <w:b/>
                <w:bCs/>
                <w:color w:val="000000" w:themeColor="text1"/>
                <w:sz w:val="24"/>
                <w:szCs w:val="24"/>
              </w:rPr>
              <w:t>2019:</w:t>
            </w:r>
            <w:r w:rsidRPr="00792B36">
              <w:rPr>
                <w:color w:val="000000" w:themeColor="text1"/>
                <w:sz w:val="24"/>
                <w:szCs w:val="24"/>
              </w:rPr>
              <w:t xml:space="preserve"> Mild bleaching (&lt;20%), limited impact.</w:t>
            </w:r>
          </w:p>
          <w:p w14:paraId="6525BBFD" w14:textId="77777777" w:rsidR="009A0A63" w:rsidRPr="00792B36" w:rsidRDefault="009A0A63" w:rsidP="00F61B37">
            <w:pPr>
              <w:widowControl/>
              <w:numPr>
                <w:ilvl w:val="0"/>
                <w:numId w:val="85"/>
              </w:numPr>
              <w:rPr>
                <w:color w:val="000000" w:themeColor="text1"/>
                <w:sz w:val="24"/>
                <w:szCs w:val="24"/>
              </w:rPr>
            </w:pPr>
            <w:r w:rsidRPr="00792B36">
              <w:rPr>
                <w:b/>
                <w:bCs/>
                <w:color w:val="000000" w:themeColor="text1"/>
                <w:sz w:val="24"/>
                <w:szCs w:val="24"/>
              </w:rPr>
              <w:t>2024:</w:t>
            </w:r>
            <w:r w:rsidRPr="00792B36">
              <w:rPr>
                <w:color w:val="000000" w:themeColor="text1"/>
                <w:sz w:val="24"/>
                <w:szCs w:val="24"/>
              </w:rPr>
              <w:t xml:space="preserve"> Low bleaching (&lt;10%) and continued recovery, dominated by resilient </w:t>
            </w:r>
            <w:r w:rsidRPr="00792B36">
              <w:rPr>
                <w:i/>
                <w:iCs/>
                <w:color w:val="000000" w:themeColor="text1"/>
                <w:sz w:val="24"/>
                <w:szCs w:val="24"/>
              </w:rPr>
              <w:t>Porites</w:t>
            </w:r>
            <w:r w:rsidRPr="00792B36">
              <w:rPr>
                <w:color w:val="000000" w:themeColor="text1"/>
                <w:sz w:val="24"/>
                <w:szCs w:val="24"/>
              </w:rPr>
              <w:t xml:space="preserve"> and </w:t>
            </w:r>
            <w:r w:rsidRPr="00792B36">
              <w:rPr>
                <w:i/>
                <w:iCs/>
                <w:color w:val="000000" w:themeColor="text1"/>
                <w:sz w:val="24"/>
                <w:szCs w:val="24"/>
              </w:rPr>
              <w:t>Pocillopora</w:t>
            </w:r>
            <w:r w:rsidRPr="00792B36">
              <w:rPr>
                <w:color w:val="000000" w:themeColor="text1"/>
                <w:sz w:val="24"/>
                <w:szCs w:val="24"/>
              </w:rPr>
              <w:t xml:space="preserve"> species.</w:t>
            </w:r>
          </w:p>
        </w:tc>
        <w:tc>
          <w:tcPr>
            <w:tcW w:w="3515" w:type="dxa"/>
          </w:tcPr>
          <w:p w14:paraId="73A9C567" w14:textId="77777777" w:rsidR="009A0A63" w:rsidRPr="00792B36" w:rsidRDefault="009A0A63" w:rsidP="00A24459">
            <w:pPr>
              <w:rPr>
                <w:color w:val="000000" w:themeColor="text1"/>
                <w:sz w:val="24"/>
                <w:szCs w:val="24"/>
              </w:rPr>
            </w:pPr>
            <w:r w:rsidRPr="00792B36">
              <w:rPr>
                <w:color w:val="000000" w:themeColor="text1"/>
                <w:sz w:val="24"/>
                <w:szCs w:val="24"/>
              </w:rPr>
              <w:lastRenderedPageBreak/>
              <w:t>Live coral cover and density at Koh Tao have shown a fluctuating but generally recovering trend over the past 15 years. Severe bleaching events in 2010 and 2016 caused widespread coral mortality, reducing live coral cover to below 20% in many shallow reef areas.</w:t>
            </w:r>
          </w:p>
          <w:p w14:paraId="53070138" w14:textId="77777777" w:rsidR="009A0A63" w:rsidRPr="00792B36" w:rsidRDefault="009A0A63" w:rsidP="00A24459">
            <w:pPr>
              <w:rPr>
                <w:color w:val="000000" w:themeColor="text1"/>
                <w:sz w:val="24"/>
                <w:szCs w:val="24"/>
              </w:rPr>
            </w:pPr>
            <w:r w:rsidRPr="00792B36">
              <w:rPr>
                <w:color w:val="000000" w:themeColor="text1"/>
                <w:sz w:val="24"/>
                <w:szCs w:val="24"/>
              </w:rPr>
              <w:t xml:space="preserve">Since then, active reef restoration programs, improved coastal management, and natural recruitment have supported gradual recovery, with current coral cover reaching 25–45% at several sites. Coral density has also increased, </w:t>
            </w:r>
            <w:r w:rsidRPr="00792B36">
              <w:rPr>
                <w:color w:val="000000" w:themeColor="text1"/>
                <w:sz w:val="24"/>
                <w:szCs w:val="24"/>
              </w:rPr>
              <w:lastRenderedPageBreak/>
              <w:t>particularly in deeper reefs and protected bays.</w:t>
            </w:r>
          </w:p>
          <w:p w14:paraId="4EC6A479" w14:textId="77777777" w:rsidR="009A0A63" w:rsidRPr="00792B36" w:rsidRDefault="009A0A63" w:rsidP="00A24459">
            <w:pPr>
              <w:rPr>
                <w:color w:val="000000" w:themeColor="text1"/>
                <w:sz w:val="24"/>
                <w:szCs w:val="24"/>
              </w:rPr>
            </w:pPr>
            <w:r w:rsidRPr="00792B36">
              <w:rPr>
                <w:color w:val="000000" w:themeColor="text1"/>
                <w:sz w:val="24"/>
                <w:szCs w:val="24"/>
              </w:rPr>
              <w:t>The overall trend indicates moderate recovery and slow increase in live coral cover and density, though reefs remain vulnerable to thermal stress, sedimentation, and high tourism pressure. Continued restoration and water quality management are crucial to sustaining this positive trajectory.</w:t>
            </w:r>
          </w:p>
          <w:p w14:paraId="35A09BB6" w14:textId="77777777" w:rsidR="009A0A63" w:rsidRPr="00792B36" w:rsidRDefault="009A0A63" w:rsidP="00A24459">
            <w:pPr>
              <w:rPr>
                <w:color w:val="000000" w:themeColor="text1"/>
                <w:sz w:val="24"/>
                <w:szCs w:val="24"/>
              </w:rPr>
            </w:pPr>
          </w:p>
        </w:tc>
        <w:tc>
          <w:tcPr>
            <w:tcW w:w="3515" w:type="dxa"/>
          </w:tcPr>
          <w:p w14:paraId="6D826237" w14:textId="77777777" w:rsidR="009A0A63" w:rsidRPr="00792B36" w:rsidRDefault="009A0A63" w:rsidP="00A24459">
            <w:pPr>
              <w:rPr>
                <w:color w:val="000000" w:themeColor="text1"/>
                <w:sz w:val="24"/>
                <w:szCs w:val="24"/>
              </w:rPr>
            </w:pPr>
            <w:r w:rsidRPr="00792B36">
              <w:rPr>
                <w:b/>
                <w:bCs/>
                <w:color w:val="000000" w:themeColor="text1"/>
                <w:sz w:val="24"/>
                <w:szCs w:val="24"/>
              </w:rPr>
              <w:lastRenderedPageBreak/>
              <w:t>Live Coral Cover and Density:</w:t>
            </w:r>
            <w:r w:rsidRPr="00792B36">
              <w:rPr>
                <w:color w:val="000000" w:themeColor="text1"/>
                <w:sz w:val="24"/>
                <w:szCs w:val="24"/>
              </w:rPr>
              <w:br/>
              <w:t>Live coral cover and density at Koh Tao are currently recovering after past bleaching events, but they remain highly vulnerable to future declines. Increasing sea surface temperatures, more frequent bleaching events, and local stressors such as sedimentation and nutrient runoff could reduce coral cover—now 25–45%—in coming years. Without continued restoration and management, coral density and diversity may decline, particularly in shallow, high-use dive sites.</w:t>
            </w:r>
          </w:p>
          <w:p w14:paraId="3DFED4A9" w14:textId="77777777" w:rsidR="009A0A63" w:rsidRPr="00792B36" w:rsidRDefault="009A0A63" w:rsidP="00A24459">
            <w:pPr>
              <w:rPr>
                <w:color w:val="000000" w:themeColor="text1"/>
                <w:sz w:val="24"/>
                <w:szCs w:val="24"/>
              </w:rPr>
            </w:pPr>
          </w:p>
          <w:p w14:paraId="74313AD2" w14:textId="77777777" w:rsidR="009A0A63" w:rsidRPr="00792B36" w:rsidRDefault="009A0A63" w:rsidP="00A24459">
            <w:pPr>
              <w:rPr>
                <w:color w:val="000000" w:themeColor="text1"/>
                <w:sz w:val="24"/>
                <w:szCs w:val="24"/>
              </w:rPr>
            </w:pPr>
            <w:r w:rsidRPr="00792B36">
              <w:rPr>
                <w:b/>
                <w:bCs/>
                <w:color w:val="000000" w:themeColor="text1"/>
                <w:sz w:val="24"/>
                <w:szCs w:val="24"/>
              </w:rPr>
              <w:lastRenderedPageBreak/>
              <w:t>Development Plan and Distance to the Coral Reef:</w:t>
            </w:r>
            <w:r w:rsidRPr="00792B36">
              <w:rPr>
                <w:color w:val="000000" w:themeColor="text1"/>
                <w:sz w:val="24"/>
                <w:szCs w:val="24"/>
              </w:rPr>
              <w:br/>
              <w:t>Koh Tao is a major dive tourism destination with continuous infrastructure expansion, including resorts, piers, and waste treatment facilities. Many coral reefs are located within 50–300 meters of the shoreline, directly exposed to runoff, wastewater discharge, and anchor damage. Planned tourism growth and increasing visitor numbers may intensify these pressures if environmental capacity limits are exceeded.</w:t>
            </w:r>
          </w:p>
          <w:p w14:paraId="1FAA8BEB" w14:textId="77777777" w:rsidR="009A0A63" w:rsidRPr="00792B36" w:rsidRDefault="009A0A63" w:rsidP="00A24459">
            <w:pPr>
              <w:rPr>
                <w:color w:val="000000" w:themeColor="text1"/>
                <w:sz w:val="24"/>
                <w:szCs w:val="24"/>
              </w:rPr>
            </w:pPr>
          </w:p>
        </w:tc>
      </w:tr>
      <w:tr w:rsidR="009A0A63" w:rsidRPr="00792B36" w14:paraId="7A484D53" w14:textId="77777777" w:rsidTr="00A24459">
        <w:tc>
          <w:tcPr>
            <w:tcW w:w="2405" w:type="dxa"/>
          </w:tcPr>
          <w:p w14:paraId="14362BBB" w14:textId="77777777" w:rsidR="009A0A63" w:rsidRPr="00792B36" w:rsidRDefault="009A0A63" w:rsidP="00A24459">
            <w:pPr>
              <w:rPr>
                <w:color w:val="000000" w:themeColor="text1"/>
                <w:sz w:val="24"/>
                <w:szCs w:val="24"/>
              </w:rPr>
            </w:pPr>
            <w:r w:rsidRPr="00792B36">
              <w:rPr>
                <w:color w:val="000000" w:themeColor="text1"/>
                <w:sz w:val="24"/>
                <w:szCs w:val="24"/>
              </w:rPr>
              <w:lastRenderedPageBreak/>
              <w:t>CR:6 Koh Kra</w:t>
            </w:r>
          </w:p>
        </w:tc>
        <w:tc>
          <w:tcPr>
            <w:tcW w:w="3515" w:type="dxa"/>
            <w:vAlign w:val="center"/>
          </w:tcPr>
          <w:p w14:paraId="7D3853E9" w14:textId="77777777" w:rsidR="009A0A63" w:rsidRPr="00792B36" w:rsidRDefault="009A0A63" w:rsidP="00A24459">
            <w:pPr>
              <w:rPr>
                <w:color w:val="000000" w:themeColor="text1"/>
                <w:sz w:val="24"/>
                <w:szCs w:val="24"/>
              </w:rPr>
            </w:pPr>
            <w:r w:rsidRPr="00792B36">
              <w:rPr>
                <w:b/>
                <w:bCs/>
                <w:color w:val="000000" w:themeColor="text1"/>
                <w:sz w:val="24"/>
                <w:szCs w:val="24"/>
              </w:rPr>
              <w:t>Sedimentation:</w:t>
            </w:r>
            <w:r w:rsidRPr="00792B36">
              <w:rPr>
                <w:color w:val="000000" w:themeColor="text1"/>
                <w:sz w:val="24"/>
                <w:szCs w:val="24"/>
              </w:rPr>
              <w:br/>
              <w:t>Low sedimentation overall due to offshore location and clear oceanic waters. Minimal coastal development and limited runoff help maintain high water clarity and healthy coral growth.</w:t>
            </w:r>
          </w:p>
          <w:p w14:paraId="74F80D93" w14:textId="77777777" w:rsidR="009A0A63" w:rsidRPr="00792B36" w:rsidRDefault="009A0A63" w:rsidP="00A24459">
            <w:pPr>
              <w:rPr>
                <w:color w:val="000000" w:themeColor="text1"/>
                <w:sz w:val="24"/>
                <w:szCs w:val="24"/>
              </w:rPr>
            </w:pPr>
            <w:r w:rsidRPr="00792B36">
              <w:rPr>
                <w:b/>
                <w:bCs/>
                <w:color w:val="000000" w:themeColor="text1"/>
                <w:sz w:val="24"/>
                <w:szCs w:val="24"/>
              </w:rPr>
              <w:t>Destructive Fishing (bombing &amp; poisoning):</w:t>
            </w:r>
            <w:r w:rsidRPr="00792B36">
              <w:rPr>
                <w:color w:val="000000" w:themeColor="text1"/>
                <w:sz w:val="24"/>
                <w:szCs w:val="24"/>
              </w:rPr>
              <w:br/>
              <w:t xml:space="preserve">No bombing or cyanide fishing reported in recent years; estimated </w:t>
            </w:r>
            <w:r w:rsidRPr="00792B36">
              <w:rPr>
                <w:b/>
                <w:bCs/>
                <w:color w:val="000000" w:themeColor="text1"/>
                <w:sz w:val="24"/>
                <w:szCs w:val="24"/>
              </w:rPr>
              <w:t>0 cases per year</w:t>
            </w:r>
            <w:r w:rsidRPr="00792B36">
              <w:rPr>
                <w:color w:val="000000" w:themeColor="text1"/>
                <w:sz w:val="24"/>
                <w:szCs w:val="24"/>
              </w:rPr>
              <w:t xml:space="preserve">. The area is under </w:t>
            </w:r>
            <w:r w:rsidRPr="00792B36">
              <w:rPr>
                <w:b/>
                <w:bCs/>
                <w:color w:val="000000" w:themeColor="text1"/>
                <w:sz w:val="24"/>
                <w:szCs w:val="24"/>
              </w:rPr>
              <w:t>strict protection</w:t>
            </w:r>
            <w:r w:rsidRPr="00792B36">
              <w:rPr>
                <w:color w:val="000000" w:themeColor="text1"/>
                <w:sz w:val="24"/>
                <w:szCs w:val="24"/>
              </w:rPr>
              <w:t xml:space="preserve"> and regular patrols by DMCR and the Royal Thai Navy.</w:t>
            </w:r>
          </w:p>
          <w:p w14:paraId="6B2DAAE0" w14:textId="77777777" w:rsidR="009A0A63" w:rsidRPr="00792B36" w:rsidRDefault="009A0A63" w:rsidP="00A24459">
            <w:pPr>
              <w:rPr>
                <w:color w:val="000000" w:themeColor="text1"/>
                <w:sz w:val="24"/>
                <w:szCs w:val="24"/>
              </w:rPr>
            </w:pPr>
            <w:r w:rsidRPr="00792B36">
              <w:rPr>
                <w:b/>
                <w:bCs/>
                <w:color w:val="000000" w:themeColor="text1"/>
                <w:sz w:val="24"/>
                <w:szCs w:val="24"/>
              </w:rPr>
              <w:t xml:space="preserve">Pollution (population &amp; </w:t>
            </w:r>
            <w:r w:rsidRPr="00792B36">
              <w:rPr>
                <w:b/>
                <w:bCs/>
                <w:color w:val="000000" w:themeColor="text1"/>
                <w:sz w:val="24"/>
                <w:szCs w:val="24"/>
              </w:rPr>
              <w:lastRenderedPageBreak/>
              <w:t>distance to sources):</w:t>
            </w:r>
            <w:r w:rsidRPr="00792B36">
              <w:rPr>
                <w:color w:val="000000" w:themeColor="text1"/>
                <w:sz w:val="24"/>
                <w:szCs w:val="24"/>
              </w:rPr>
              <w:br/>
              <w:t xml:space="preserve">Koh Kra is </w:t>
            </w:r>
            <w:r w:rsidRPr="00792B36">
              <w:rPr>
                <w:b/>
                <w:bCs/>
                <w:color w:val="000000" w:themeColor="text1"/>
                <w:sz w:val="24"/>
                <w:szCs w:val="24"/>
              </w:rPr>
              <w:t>~70 km offshore from Nakhon Si Thammarat Province</w:t>
            </w:r>
            <w:r w:rsidRPr="00792B36">
              <w:rPr>
                <w:color w:val="000000" w:themeColor="text1"/>
                <w:sz w:val="24"/>
                <w:szCs w:val="24"/>
              </w:rPr>
              <w:t xml:space="preserve">, with </w:t>
            </w:r>
            <w:r w:rsidRPr="00792B36">
              <w:rPr>
                <w:b/>
                <w:bCs/>
                <w:color w:val="000000" w:themeColor="text1"/>
                <w:sz w:val="24"/>
                <w:szCs w:val="24"/>
              </w:rPr>
              <w:t>no resident population</w:t>
            </w:r>
            <w:r w:rsidRPr="00792B36">
              <w:rPr>
                <w:color w:val="000000" w:themeColor="text1"/>
                <w:sz w:val="24"/>
                <w:szCs w:val="24"/>
              </w:rPr>
              <w:t>. Pollution impact is very low, limited mainly to transient fishing and boat traffic. Water quality is generally excellent, with negligible nutrient and plastic contamination.</w:t>
            </w:r>
          </w:p>
          <w:p w14:paraId="5201318F" w14:textId="77777777" w:rsidR="009A0A63" w:rsidRPr="00792B36" w:rsidRDefault="009A0A63" w:rsidP="00A24459">
            <w:pPr>
              <w:rPr>
                <w:color w:val="000000" w:themeColor="text1"/>
                <w:sz w:val="24"/>
                <w:szCs w:val="24"/>
              </w:rPr>
            </w:pPr>
            <w:r w:rsidRPr="00792B36">
              <w:rPr>
                <w:b/>
                <w:bCs/>
                <w:color w:val="000000" w:themeColor="text1"/>
                <w:sz w:val="24"/>
                <w:szCs w:val="24"/>
              </w:rPr>
              <w:t>Crown-of-Thorns (COT):</w:t>
            </w:r>
            <w:r w:rsidRPr="00792B36">
              <w:rPr>
                <w:color w:val="000000" w:themeColor="text1"/>
                <w:sz w:val="24"/>
                <w:szCs w:val="24"/>
              </w:rPr>
              <w:br/>
              <w:t xml:space="preserve">No outbreak recorded in the past decade. Occasional sightings of individual starfish, but densities remain </w:t>
            </w:r>
            <w:r w:rsidRPr="00792B36">
              <w:rPr>
                <w:b/>
                <w:bCs/>
                <w:color w:val="000000" w:themeColor="text1"/>
                <w:sz w:val="24"/>
                <w:szCs w:val="24"/>
              </w:rPr>
              <w:t>well below 14 individuals/1,000 m²</w:t>
            </w:r>
            <w:r w:rsidRPr="00792B36">
              <w:rPr>
                <w:color w:val="000000" w:themeColor="text1"/>
                <w:sz w:val="24"/>
                <w:szCs w:val="24"/>
              </w:rPr>
              <w:t>.</w:t>
            </w:r>
          </w:p>
          <w:p w14:paraId="12D7213B" w14:textId="77777777" w:rsidR="009A0A63" w:rsidRPr="00792B36" w:rsidRDefault="009A0A63" w:rsidP="00A24459">
            <w:pPr>
              <w:rPr>
                <w:color w:val="000000" w:themeColor="text1"/>
                <w:sz w:val="24"/>
                <w:szCs w:val="24"/>
              </w:rPr>
            </w:pPr>
            <w:r w:rsidRPr="00792B36">
              <w:rPr>
                <w:b/>
                <w:bCs/>
                <w:color w:val="000000" w:themeColor="text1"/>
                <w:sz w:val="24"/>
                <w:szCs w:val="24"/>
              </w:rPr>
              <w:t>Bleaching:</w:t>
            </w:r>
          </w:p>
          <w:p w14:paraId="62228596" w14:textId="77777777" w:rsidR="009A0A63" w:rsidRPr="00792B36" w:rsidRDefault="009A0A63" w:rsidP="00F61B37">
            <w:pPr>
              <w:widowControl/>
              <w:numPr>
                <w:ilvl w:val="0"/>
                <w:numId w:val="86"/>
              </w:numPr>
              <w:rPr>
                <w:color w:val="000000" w:themeColor="text1"/>
                <w:sz w:val="24"/>
                <w:szCs w:val="24"/>
              </w:rPr>
            </w:pPr>
            <w:r w:rsidRPr="00792B36">
              <w:rPr>
                <w:b/>
                <w:bCs/>
                <w:color w:val="000000" w:themeColor="text1"/>
                <w:sz w:val="24"/>
                <w:szCs w:val="24"/>
              </w:rPr>
              <w:t>2010:</w:t>
            </w:r>
            <w:r w:rsidRPr="00792B36">
              <w:rPr>
                <w:color w:val="000000" w:themeColor="text1"/>
                <w:sz w:val="24"/>
                <w:szCs w:val="24"/>
              </w:rPr>
              <w:t xml:space="preserve"> Severe bleaching event nationwide; significant bleaching (&gt;50%) in shallow zones, with moderate mortality.</w:t>
            </w:r>
          </w:p>
          <w:p w14:paraId="616BAB53" w14:textId="77777777" w:rsidR="009A0A63" w:rsidRPr="00792B36" w:rsidRDefault="009A0A63" w:rsidP="00F61B37">
            <w:pPr>
              <w:widowControl/>
              <w:numPr>
                <w:ilvl w:val="0"/>
                <w:numId w:val="86"/>
              </w:numPr>
              <w:rPr>
                <w:color w:val="000000" w:themeColor="text1"/>
                <w:sz w:val="24"/>
                <w:szCs w:val="24"/>
              </w:rPr>
            </w:pPr>
            <w:r w:rsidRPr="00792B36">
              <w:rPr>
                <w:b/>
                <w:bCs/>
                <w:color w:val="000000" w:themeColor="text1"/>
                <w:sz w:val="24"/>
                <w:szCs w:val="24"/>
              </w:rPr>
              <w:t>2014–2015:</w:t>
            </w:r>
            <w:r w:rsidRPr="00792B36">
              <w:rPr>
                <w:color w:val="000000" w:themeColor="text1"/>
                <w:sz w:val="24"/>
                <w:szCs w:val="24"/>
              </w:rPr>
              <w:t xml:space="preserve"> Mild bleaching, full recovery within a year.</w:t>
            </w:r>
          </w:p>
          <w:p w14:paraId="7A987534" w14:textId="77777777" w:rsidR="009A0A63" w:rsidRPr="00792B36" w:rsidRDefault="009A0A63" w:rsidP="00F61B37">
            <w:pPr>
              <w:widowControl/>
              <w:numPr>
                <w:ilvl w:val="0"/>
                <w:numId w:val="86"/>
              </w:numPr>
              <w:rPr>
                <w:color w:val="000000" w:themeColor="text1"/>
                <w:sz w:val="24"/>
                <w:szCs w:val="24"/>
              </w:rPr>
            </w:pPr>
            <w:r w:rsidRPr="00792B36">
              <w:rPr>
                <w:b/>
                <w:bCs/>
                <w:color w:val="000000" w:themeColor="text1"/>
                <w:sz w:val="24"/>
                <w:szCs w:val="24"/>
              </w:rPr>
              <w:t>2016:</w:t>
            </w:r>
            <w:r w:rsidRPr="00792B36">
              <w:rPr>
                <w:color w:val="000000" w:themeColor="text1"/>
                <w:sz w:val="24"/>
                <w:szCs w:val="24"/>
              </w:rPr>
              <w:t xml:space="preserve"> Moderate bleaching (~30%), partial mortality observed.</w:t>
            </w:r>
          </w:p>
          <w:p w14:paraId="45D534DD" w14:textId="77777777" w:rsidR="009A0A63" w:rsidRPr="00792B36" w:rsidRDefault="009A0A63" w:rsidP="00F61B37">
            <w:pPr>
              <w:widowControl/>
              <w:numPr>
                <w:ilvl w:val="0"/>
                <w:numId w:val="86"/>
              </w:numPr>
              <w:rPr>
                <w:color w:val="000000" w:themeColor="text1"/>
                <w:sz w:val="24"/>
                <w:szCs w:val="24"/>
              </w:rPr>
            </w:pPr>
            <w:r w:rsidRPr="00792B36">
              <w:rPr>
                <w:b/>
                <w:bCs/>
                <w:color w:val="000000" w:themeColor="text1"/>
                <w:sz w:val="24"/>
                <w:szCs w:val="24"/>
              </w:rPr>
              <w:lastRenderedPageBreak/>
              <w:t>2019:</w:t>
            </w:r>
            <w:r w:rsidRPr="00792B36">
              <w:rPr>
                <w:color w:val="000000" w:themeColor="text1"/>
                <w:sz w:val="24"/>
                <w:szCs w:val="24"/>
              </w:rPr>
              <w:t xml:space="preserve"> Low bleaching (&lt;15%), good resilience noted.</w:t>
            </w:r>
          </w:p>
          <w:p w14:paraId="1F59EE8F" w14:textId="77777777" w:rsidR="009A0A63" w:rsidRPr="00792B36" w:rsidRDefault="009A0A63" w:rsidP="00F61B37">
            <w:pPr>
              <w:widowControl/>
              <w:numPr>
                <w:ilvl w:val="0"/>
                <w:numId w:val="86"/>
              </w:numPr>
              <w:rPr>
                <w:color w:val="000000" w:themeColor="text1"/>
                <w:sz w:val="24"/>
                <w:szCs w:val="24"/>
              </w:rPr>
            </w:pPr>
            <w:r w:rsidRPr="00792B36">
              <w:rPr>
                <w:b/>
                <w:bCs/>
                <w:color w:val="000000" w:themeColor="text1"/>
                <w:sz w:val="24"/>
                <w:szCs w:val="24"/>
              </w:rPr>
              <w:t>2024:</w:t>
            </w:r>
            <w:r w:rsidRPr="00792B36">
              <w:rPr>
                <w:color w:val="000000" w:themeColor="text1"/>
                <w:sz w:val="24"/>
                <w:szCs w:val="24"/>
              </w:rPr>
              <w:t xml:space="preserve"> Minimal bleaching (&lt;10%), high recovery and coral health maintained.</w:t>
            </w:r>
          </w:p>
          <w:p w14:paraId="5821A97B" w14:textId="77777777" w:rsidR="009A0A63" w:rsidRPr="00792B36" w:rsidRDefault="009A0A63" w:rsidP="00A24459">
            <w:pPr>
              <w:rPr>
                <w:color w:val="000000" w:themeColor="text1"/>
                <w:sz w:val="24"/>
                <w:szCs w:val="24"/>
              </w:rPr>
            </w:pPr>
          </w:p>
        </w:tc>
        <w:tc>
          <w:tcPr>
            <w:tcW w:w="3515" w:type="dxa"/>
          </w:tcPr>
          <w:p w14:paraId="1E6FC31B" w14:textId="77777777" w:rsidR="009A0A63" w:rsidRPr="00792B36" w:rsidRDefault="009A0A63" w:rsidP="00A24459">
            <w:pPr>
              <w:rPr>
                <w:color w:val="000000" w:themeColor="text1"/>
                <w:sz w:val="24"/>
                <w:szCs w:val="24"/>
              </w:rPr>
            </w:pPr>
            <w:r w:rsidRPr="00792B36">
              <w:rPr>
                <w:color w:val="000000" w:themeColor="text1"/>
                <w:sz w:val="24"/>
                <w:szCs w:val="24"/>
              </w:rPr>
              <w:lastRenderedPageBreak/>
              <w:t>Live coral cover and density at Koh Kra have shown a stable to slightly increasing trend over the past two decades. The reefs, located far offshore and free from direct land-based impacts, have largely maintained high coral cover (40–70%) with minimal degradation.</w:t>
            </w:r>
          </w:p>
          <w:p w14:paraId="409C9A1B" w14:textId="77777777" w:rsidR="009A0A63" w:rsidRPr="00792B36" w:rsidRDefault="009A0A63" w:rsidP="00A24459">
            <w:pPr>
              <w:rPr>
                <w:color w:val="000000" w:themeColor="text1"/>
                <w:sz w:val="24"/>
                <w:szCs w:val="24"/>
              </w:rPr>
            </w:pPr>
            <w:r w:rsidRPr="00792B36">
              <w:rPr>
                <w:color w:val="000000" w:themeColor="text1"/>
                <w:sz w:val="24"/>
                <w:szCs w:val="24"/>
              </w:rPr>
              <w:t xml:space="preserve">After the 2010 and 2016 bleaching events, some shallow corals experienced temporary decline, but rapid natural recovery was observed within 1–2 years. Coral </w:t>
            </w:r>
            <w:r w:rsidRPr="00792B36">
              <w:rPr>
                <w:color w:val="000000" w:themeColor="text1"/>
                <w:sz w:val="24"/>
                <w:szCs w:val="24"/>
              </w:rPr>
              <w:lastRenderedPageBreak/>
              <w:t xml:space="preserve">density remains high, dominated by diverse assemblages of </w:t>
            </w:r>
            <w:r w:rsidRPr="00792B36">
              <w:rPr>
                <w:i/>
                <w:iCs/>
                <w:color w:val="000000" w:themeColor="text1"/>
                <w:sz w:val="24"/>
                <w:szCs w:val="24"/>
              </w:rPr>
              <w:t>Acropora</w:t>
            </w:r>
            <w:r w:rsidRPr="00792B36">
              <w:rPr>
                <w:color w:val="000000" w:themeColor="text1"/>
                <w:sz w:val="24"/>
                <w:szCs w:val="24"/>
              </w:rPr>
              <w:t xml:space="preserve">, </w:t>
            </w:r>
            <w:r w:rsidRPr="00792B36">
              <w:rPr>
                <w:i/>
                <w:iCs/>
                <w:color w:val="000000" w:themeColor="text1"/>
                <w:sz w:val="24"/>
                <w:szCs w:val="24"/>
              </w:rPr>
              <w:t>Porites</w:t>
            </w:r>
            <w:r w:rsidRPr="00792B36">
              <w:rPr>
                <w:color w:val="000000" w:themeColor="text1"/>
                <w:sz w:val="24"/>
                <w:szCs w:val="24"/>
              </w:rPr>
              <w:t xml:space="preserve">, and </w:t>
            </w:r>
            <w:r w:rsidRPr="00792B36">
              <w:rPr>
                <w:i/>
                <w:iCs/>
                <w:color w:val="000000" w:themeColor="text1"/>
                <w:sz w:val="24"/>
                <w:szCs w:val="24"/>
              </w:rPr>
              <w:t>Montipora</w:t>
            </w:r>
            <w:r w:rsidRPr="00792B36">
              <w:rPr>
                <w:color w:val="000000" w:themeColor="text1"/>
                <w:sz w:val="24"/>
                <w:szCs w:val="24"/>
              </w:rPr>
              <w:t xml:space="preserve"> species.</w:t>
            </w:r>
          </w:p>
          <w:p w14:paraId="52D0D998" w14:textId="77777777" w:rsidR="009A0A63" w:rsidRPr="00792B36" w:rsidRDefault="009A0A63" w:rsidP="00A24459">
            <w:pPr>
              <w:rPr>
                <w:color w:val="000000" w:themeColor="text1"/>
                <w:sz w:val="24"/>
                <w:szCs w:val="24"/>
              </w:rPr>
            </w:pPr>
            <w:r w:rsidRPr="00792B36">
              <w:rPr>
                <w:color w:val="000000" w:themeColor="text1"/>
                <w:sz w:val="24"/>
                <w:szCs w:val="24"/>
              </w:rPr>
              <w:t>Overall, Koh Kra reefs exhibit a positive and stable trend, with healthy coral cover, strong recruitment, and minimal anthropogenic disturbance, making it one of the most pristine reef systems in the Gulf of Thailand.</w:t>
            </w:r>
          </w:p>
          <w:p w14:paraId="3138899E" w14:textId="77777777" w:rsidR="009A0A63" w:rsidRPr="00792B36" w:rsidRDefault="009A0A63" w:rsidP="00A24459">
            <w:pPr>
              <w:rPr>
                <w:color w:val="000000" w:themeColor="text1"/>
                <w:sz w:val="24"/>
                <w:szCs w:val="24"/>
              </w:rPr>
            </w:pPr>
          </w:p>
        </w:tc>
        <w:tc>
          <w:tcPr>
            <w:tcW w:w="3515" w:type="dxa"/>
          </w:tcPr>
          <w:p w14:paraId="61042D5E" w14:textId="77777777" w:rsidR="009A0A63" w:rsidRPr="00792B36" w:rsidRDefault="009A0A63" w:rsidP="00A24459">
            <w:pPr>
              <w:rPr>
                <w:color w:val="000000" w:themeColor="text1"/>
                <w:sz w:val="24"/>
                <w:szCs w:val="24"/>
              </w:rPr>
            </w:pPr>
            <w:r w:rsidRPr="00792B36">
              <w:rPr>
                <w:b/>
                <w:bCs/>
                <w:color w:val="000000" w:themeColor="text1"/>
                <w:sz w:val="24"/>
                <w:szCs w:val="24"/>
              </w:rPr>
              <w:lastRenderedPageBreak/>
              <w:t>Live Coral Cover and Density:</w:t>
            </w:r>
            <w:r w:rsidRPr="00792B36">
              <w:rPr>
                <w:color w:val="000000" w:themeColor="text1"/>
                <w:sz w:val="24"/>
                <w:szCs w:val="24"/>
              </w:rPr>
              <w:br/>
              <w:t xml:space="preserve">Coral cover and density at Koh Kra are currently high and stable, but future threats could cause localized declines if not effectively managed. Potential stressors include climate-induced bleaching, rising sea temperatures, and ocean acidification. Although coral cover is now 40–70%, increased thermal stress events could lead to temporary losses in sensitive </w:t>
            </w:r>
            <w:r w:rsidRPr="00792B36">
              <w:rPr>
                <w:i/>
                <w:iCs/>
                <w:color w:val="000000" w:themeColor="text1"/>
                <w:sz w:val="24"/>
                <w:szCs w:val="24"/>
              </w:rPr>
              <w:t>Acropora</w:t>
            </w:r>
            <w:r w:rsidRPr="00792B36">
              <w:rPr>
                <w:color w:val="000000" w:themeColor="text1"/>
                <w:sz w:val="24"/>
                <w:szCs w:val="24"/>
              </w:rPr>
              <w:t xml:space="preserve"> species, even though massive corals (</w:t>
            </w:r>
            <w:r w:rsidRPr="00792B36">
              <w:rPr>
                <w:i/>
                <w:iCs/>
                <w:color w:val="000000" w:themeColor="text1"/>
                <w:sz w:val="24"/>
                <w:szCs w:val="24"/>
              </w:rPr>
              <w:t>Porites</w:t>
            </w:r>
            <w:r w:rsidRPr="00792B36">
              <w:rPr>
                <w:color w:val="000000" w:themeColor="text1"/>
                <w:sz w:val="24"/>
                <w:szCs w:val="24"/>
              </w:rPr>
              <w:t xml:space="preserve">, </w:t>
            </w:r>
            <w:r w:rsidRPr="00792B36">
              <w:rPr>
                <w:i/>
                <w:iCs/>
                <w:color w:val="000000" w:themeColor="text1"/>
                <w:sz w:val="24"/>
                <w:szCs w:val="24"/>
              </w:rPr>
              <w:t>Montipora</w:t>
            </w:r>
            <w:r w:rsidRPr="00792B36">
              <w:rPr>
                <w:color w:val="000000" w:themeColor="text1"/>
                <w:sz w:val="24"/>
                <w:szCs w:val="24"/>
              </w:rPr>
              <w:t xml:space="preserve">) </w:t>
            </w:r>
            <w:r w:rsidRPr="00792B36">
              <w:rPr>
                <w:color w:val="000000" w:themeColor="text1"/>
                <w:sz w:val="24"/>
                <w:szCs w:val="24"/>
              </w:rPr>
              <w:lastRenderedPageBreak/>
              <w:t>are likely to persist.</w:t>
            </w:r>
          </w:p>
          <w:p w14:paraId="784D471C" w14:textId="77777777" w:rsidR="009A0A63" w:rsidRPr="00792B36" w:rsidRDefault="009A0A63" w:rsidP="00A24459">
            <w:pPr>
              <w:rPr>
                <w:color w:val="000000" w:themeColor="text1"/>
                <w:sz w:val="24"/>
                <w:szCs w:val="24"/>
              </w:rPr>
            </w:pPr>
            <w:r w:rsidRPr="00792B36">
              <w:rPr>
                <w:b/>
                <w:bCs/>
                <w:color w:val="000000" w:themeColor="text1"/>
                <w:sz w:val="24"/>
                <w:szCs w:val="24"/>
              </w:rPr>
              <w:t>Development Plan and Distance to the Coral Reef:</w:t>
            </w:r>
            <w:r w:rsidRPr="00792B36">
              <w:rPr>
                <w:color w:val="000000" w:themeColor="text1"/>
                <w:sz w:val="24"/>
                <w:szCs w:val="24"/>
              </w:rPr>
              <w:br/>
              <w:t>Koh Kra is an uninhabited offshore island, located ~70 km from Nakhon Si Thammarat Province, with no direct coastal development nearby. However, indirect threats may arise from offshore shipping routes, oil transport, and fishing activities in adjacent waters. Potential expansion of maritime routes or offshore energy infrastructure could increase risks of sedimentation, pollution, and accidental spills affecting nearby coral reefs.</w:t>
            </w:r>
          </w:p>
          <w:p w14:paraId="47AE06D1" w14:textId="77777777" w:rsidR="009A0A63" w:rsidRPr="00792B36" w:rsidRDefault="009A0A63" w:rsidP="00A24459">
            <w:pPr>
              <w:rPr>
                <w:color w:val="000000" w:themeColor="text1"/>
                <w:sz w:val="24"/>
                <w:szCs w:val="24"/>
              </w:rPr>
            </w:pPr>
          </w:p>
        </w:tc>
      </w:tr>
      <w:tr w:rsidR="009A0A63" w:rsidRPr="00792B36" w14:paraId="13368DA9" w14:textId="77777777" w:rsidTr="00A24459">
        <w:tc>
          <w:tcPr>
            <w:tcW w:w="2405" w:type="dxa"/>
          </w:tcPr>
          <w:p w14:paraId="42CB5B58" w14:textId="77777777" w:rsidR="009A0A63" w:rsidRPr="00792B36" w:rsidRDefault="009A0A63" w:rsidP="00A24459">
            <w:pPr>
              <w:rPr>
                <w:color w:val="000000" w:themeColor="text1"/>
                <w:sz w:val="24"/>
                <w:szCs w:val="24"/>
              </w:rPr>
            </w:pPr>
            <w:r w:rsidRPr="00792B36">
              <w:rPr>
                <w:color w:val="000000" w:themeColor="text1"/>
                <w:sz w:val="24"/>
                <w:szCs w:val="24"/>
              </w:rPr>
              <w:lastRenderedPageBreak/>
              <w:t>CR:7 Koh Losin</w:t>
            </w:r>
          </w:p>
        </w:tc>
        <w:tc>
          <w:tcPr>
            <w:tcW w:w="3515" w:type="dxa"/>
            <w:vAlign w:val="center"/>
          </w:tcPr>
          <w:p w14:paraId="0E7C11EB" w14:textId="77777777" w:rsidR="009A0A63" w:rsidRPr="00792B36" w:rsidRDefault="009A0A63" w:rsidP="00A24459">
            <w:pPr>
              <w:rPr>
                <w:color w:val="000000" w:themeColor="text1"/>
                <w:sz w:val="24"/>
                <w:szCs w:val="24"/>
              </w:rPr>
            </w:pPr>
            <w:r w:rsidRPr="00792B36">
              <w:rPr>
                <w:b/>
                <w:bCs/>
                <w:color w:val="000000" w:themeColor="text1"/>
                <w:sz w:val="24"/>
                <w:szCs w:val="24"/>
              </w:rPr>
              <w:t>Sedimentation:</w:t>
            </w:r>
            <w:r w:rsidRPr="00792B36">
              <w:rPr>
                <w:color w:val="000000" w:themeColor="text1"/>
                <w:sz w:val="24"/>
                <w:szCs w:val="24"/>
              </w:rPr>
              <w:br/>
              <w:t>Very low sedimentation due to its remote offshore location and absence of terrestrial runoff. The surrounding waters are clear year-round, providing excellent conditions for coral growth and high reef complexity.</w:t>
            </w:r>
          </w:p>
          <w:p w14:paraId="48C81AC5" w14:textId="77777777" w:rsidR="009A0A63" w:rsidRPr="00792B36" w:rsidRDefault="009A0A63" w:rsidP="00A24459">
            <w:pPr>
              <w:rPr>
                <w:color w:val="000000" w:themeColor="text1"/>
                <w:sz w:val="24"/>
                <w:szCs w:val="24"/>
              </w:rPr>
            </w:pPr>
            <w:r w:rsidRPr="00792B36">
              <w:rPr>
                <w:b/>
                <w:bCs/>
                <w:color w:val="000000" w:themeColor="text1"/>
                <w:sz w:val="24"/>
                <w:szCs w:val="24"/>
              </w:rPr>
              <w:t>Destructive Fishing (bombing &amp; poisoning):</w:t>
            </w:r>
            <w:r w:rsidRPr="00792B36">
              <w:rPr>
                <w:color w:val="000000" w:themeColor="text1"/>
                <w:sz w:val="24"/>
                <w:szCs w:val="24"/>
              </w:rPr>
              <w:br/>
              <w:t xml:space="preserve">No reported bombing or cyanide fishing in recent years; estimated </w:t>
            </w:r>
            <w:r w:rsidRPr="00792B36">
              <w:rPr>
                <w:b/>
                <w:bCs/>
                <w:color w:val="000000" w:themeColor="text1"/>
                <w:sz w:val="24"/>
                <w:szCs w:val="24"/>
              </w:rPr>
              <w:t>0 cases per year</w:t>
            </w:r>
            <w:r w:rsidRPr="00792B36">
              <w:rPr>
                <w:color w:val="000000" w:themeColor="text1"/>
                <w:sz w:val="24"/>
                <w:szCs w:val="24"/>
              </w:rPr>
              <w:t xml:space="preserve">. The site is </w:t>
            </w:r>
            <w:r w:rsidRPr="00792B36">
              <w:rPr>
                <w:b/>
                <w:bCs/>
                <w:color w:val="000000" w:themeColor="text1"/>
                <w:sz w:val="24"/>
                <w:szCs w:val="24"/>
              </w:rPr>
              <w:t>strictly protected</w:t>
            </w:r>
            <w:r w:rsidRPr="00792B36">
              <w:rPr>
                <w:color w:val="000000" w:themeColor="text1"/>
                <w:sz w:val="24"/>
                <w:szCs w:val="24"/>
              </w:rPr>
              <w:t xml:space="preserve"> by the Department of Marine and Coastal Resources (DMCR) and the Royal Thai Navy as part of national conservation patrols.</w:t>
            </w:r>
          </w:p>
          <w:p w14:paraId="3FB7CC76" w14:textId="77777777" w:rsidR="009A0A63" w:rsidRPr="00792B36" w:rsidRDefault="009A0A63" w:rsidP="00A24459">
            <w:pPr>
              <w:rPr>
                <w:color w:val="000000" w:themeColor="text1"/>
                <w:sz w:val="24"/>
                <w:szCs w:val="24"/>
              </w:rPr>
            </w:pPr>
            <w:r w:rsidRPr="00792B36">
              <w:rPr>
                <w:b/>
                <w:bCs/>
                <w:color w:val="000000" w:themeColor="text1"/>
                <w:sz w:val="24"/>
                <w:szCs w:val="24"/>
              </w:rPr>
              <w:t>Pollution (population &amp; distance to sources):</w:t>
            </w:r>
            <w:r w:rsidRPr="00792B36">
              <w:rPr>
                <w:color w:val="000000" w:themeColor="text1"/>
                <w:sz w:val="24"/>
                <w:szCs w:val="24"/>
              </w:rPr>
              <w:br/>
              <w:t xml:space="preserve">Koh Losin is approximately 72 km offshore from Pattani Province, with no </w:t>
            </w:r>
            <w:r w:rsidRPr="00792B36">
              <w:rPr>
                <w:color w:val="000000" w:themeColor="text1"/>
                <w:sz w:val="24"/>
                <w:szCs w:val="24"/>
              </w:rPr>
              <w:lastRenderedPageBreak/>
              <w:t>resident population or nearby settlements. Pollution levels are extremely low, with minimal influence from coastal or human sources. Occasional marine debris from distant fishing activities may occur but remains limited.</w:t>
            </w:r>
          </w:p>
          <w:p w14:paraId="092B9CFE" w14:textId="77777777" w:rsidR="009A0A63" w:rsidRPr="00792B36" w:rsidRDefault="009A0A63" w:rsidP="00A24459">
            <w:pPr>
              <w:rPr>
                <w:color w:val="000000" w:themeColor="text1"/>
                <w:sz w:val="24"/>
                <w:szCs w:val="24"/>
              </w:rPr>
            </w:pPr>
            <w:r w:rsidRPr="00792B36">
              <w:rPr>
                <w:b/>
                <w:bCs/>
                <w:color w:val="000000" w:themeColor="text1"/>
                <w:sz w:val="24"/>
                <w:szCs w:val="24"/>
              </w:rPr>
              <w:t>Crown-of-Thorns (COT):</w:t>
            </w:r>
            <w:r w:rsidRPr="00792B36">
              <w:rPr>
                <w:color w:val="000000" w:themeColor="text1"/>
                <w:sz w:val="24"/>
                <w:szCs w:val="24"/>
              </w:rPr>
              <w:br/>
              <w:t>No outbreak records. Occasional individuals observed during surveys, but densities remain far below outbreak threshold (&gt;14 individuals/1,000 m²).</w:t>
            </w:r>
          </w:p>
          <w:p w14:paraId="693272BE" w14:textId="77777777" w:rsidR="009A0A63" w:rsidRPr="00792B36" w:rsidRDefault="009A0A63" w:rsidP="00A24459">
            <w:pPr>
              <w:rPr>
                <w:color w:val="000000" w:themeColor="text1"/>
                <w:sz w:val="24"/>
                <w:szCs w:val="24"/>
              </w:rPr>
            </w:pPr>
            <w:r w:rsidRPr="00792B36">
              <w:rPr>
                <w:b/>
                <w:bCs/>
                <w:color w:val="000000" w:themeColor="text1"/>
                <w:sz w:val="24"/>
                <w:szCs w:val="24"/>
              </w:rPr>
              <w:t>Bleaching:</w:t>
            </w:r>
          </w:p>
          <w:p w14:paraId="4F68E540" w14:textId="77777777" w:rsidR="009A0A63" w:rsidRPr="00792B36" w:rsidRDefault="009A0A63" w:rsidP="00F61B37">
            <w:pPr>
              <w:widowControl/>
              <w:numPr>
                <w:ilvl w:val="0"/>
                <w:numId w:val="87"/>
              </w:numPr>
              <w:rPr>
                <w:color w:val="000000" w:themeColor="text1"/>
                <w:sz w:val="24"/>
                <w:szCs w:val="24"/>
              </w:rPr>
            </w:pPr>
            <w:r w:rsidRPr="00792B36">
              <w:rPr>
                <w:b/>
                <w:bCs/>
                <w:color w:val="000000" w:themeColor="text1"/>
                <w:sz w:val="24"/>
                <w:szCs w:val="24"/>
              </w:rPr>
              <w:t>2010:</w:t>
            </w:r>
            <w:r w:rsidRPr="00792B36">
              <w:rPr>
                <w:color w:val="000000" w:themeColor="text1"/>
                <w:sz w:val="24"/>
                <w:szCs w:val="24"/>
              </w:rPr>
              <w:t xml:space="preserve"> Severe bleaching event; ~50–60% of corals affected, moderate mortality in shallow zones.</w:t>
            </w:r>
          </w:p>
          <w:p w14:paraId="062F9641" w14:textId="77777777" w:rsidR="009A0A63" w:rsidRPr="00792B36" w:rsidRDefault="009A0A63" w:rsidP="00F61B37">
            <w:pPr>
              <w:widowControl/>
              <w:numPr>
                <w:ilvl w:val="0"/>
                <w:numId w:val="87"/>
              </w:numPr>
              <w:rPr>
                <w:color w:val="000000" w:themeColor="text1"/>
                <w:sz w:val="24"/>
                <w:szCs w:val="24"/>
              </w:rPr>
            </w:pPr>
            <w:r w:rsidRPr="00792B36">
              <w:rPr>
                <w:b/>
                <w:bCs/>
                <w:color w:val="000000" w:themeColor="text1"/>
                <w:sz w:val="24"/>
                <w:szCs w:val="24"/>
              </w:rPr>
              <w:t>2014–2015:</w:t>
            </w:r>
            <w:r w:rsidRPr="00792B36">
              <w:rPr>
                <w:color w:val="000000" w:themeColor="text1"/>
                <w:sz w:val="24"/>
                <w:szCs w:val="24"/>
              </w:rPr>
              <w:t xml:space="preserve"> Mild bleaching; most corals recovered within one year.</w:t>
            </w:r>
          </w:p>
          <w:p w14:paraId="6AA3F275" w14:textId="77777777" w:rsidR="009A0A63" w:rsidRPr="00792B36" w:rsidRDefault="009A0A63" w:rsidP="00F61B37">
            <w:pPr>
              <w:widowControl/>
              <w:numPr>
                <w:ilvl w:val="0"/>
                <w:numId w:val="87"/>
              </w:numPr>
              <w:rPr>
                <w:color w:val="000000" w:themeColor="text1"/>
                <w:sz w:val="24"/>
                <w:szCs w:val="24"/>
              </w:rPr>
            </w:pPr>
            <w:r w:rsidRPr="00792B36">
              <w:rPr>
                <w:b/>
                <w:bCs/>
                <w:color w:val="000000" w:themeColor="text1"/>
                <w:sz w:val="24"/>
                <w:szCs w:val="24"/>
              </w:rPr>
              <w:t>2016:</w:t>
            </w:r>
            <w:r w:rsidRPr="00792B36">
              <w:rPr>
                <w:color w:val="000000" w:themeColor="text1"/>
                <w:sz w:val="24"/>
                <w:szCs w:val="24"/>
              </w:rPr>
              <w:t xml:space="preserve"> Moderate bleaching (~25–35%), minor mortality.</w:t>
            </w:r>
          </w:p>
          <w:p w14:paraId="2E997136" w14:textId="77777777" w:rsidR="009A0A63" w:rsidRPr="00792B36" w:rsidRDefault="009A0A63" w:rsidP="00F61B37">
            <w:pPr>
              <w:widowControl/>
              <w:numPr>
                <w:ilvl w:val="0"/>
                <w:numId w:val="87"/>
              </w:numPr>
              <w:rPr>
                <w:color w:val="000000" w:themeColor="text1"/>
                <w:sz w:val="24"/>
                <w:szCs w:val="24"/>
              </w:rPr>
            </w:pPr>
            <w:r w:rsidRPr="00792B36">
              <w:rPr>
                <w:b/>
                <w:bCs/>
                <w:color w:val="000000" w:themeColor="text1"/>
                <w:sz w:val="24"/>
                <w:szCs w:val="24"/>
              </w:rPr>
              <w:t>2019:</w:t>
            </w:r>
            <w:r w:rsidRPr="00792B36">
              <w:rPr>
                <w:color w:val="000000" w:themeColor="text1"/>
                <w:sz w:val="24"/>
                <w:szCs w:val="24"/>
              </w:rPr>
              <w:t xml:space="preserve"> Low bleaching (&lt;15%), minimal impact.</w:t>
            </w:r>
          </w:p>
          <w:p w14:paraId="4F98DE03" w14:textId="77777777" w:rsidR="009A0A63" w:rsidRPr="00792B36" w:rsidRDefault="009A0A63" w:rsidP="00F61B37">
            <w:pPr>
              <w:widowControl/>
              <w:numPr>
                <w:ilvl w:val="0"/>
                <w:numId w:val="87"/>
              </w:numPr>
              <w:rPr>
                <w:color w:val="000000" w:themeColor="text1"/>
                <w:sz w:val="24"/>
                <w:szCs w:val="24"/>
              </w:rPr>
            </w:pPr>
            <w:r w:rsidRPr="00792B36">
              <w:rPr>
                <w:b/>
                <w:bCs/>
                <w:color w:val="000000" w:themeColor="text1"/>
                <w:sz w:val="24"/>
                <w:szCs w:val="24"/>
              </w:rPr>
              <w:lastRenderedPageBreak/>
              <w:t>2024:</w:t>
            </w:r>
            <w:r w:rsidRPr="00792B36">
              <w:rPr>
                <w:color w:val="000000" w:themeColor="text1"/>
                <w:sz w:val="24"/>
                <w:szCs w:val="24"/>
              </w:rPr>
              <w:t xml:space="preserve"> Very low bleaching (&lt;5%), indicating strong coral thermal tolerance and recovery.</w:t>
            </w:r>
          </w:p>
          <w:p w14:paraId="3689F82D" w14:textId="77777777" w:rsidR="009A0A63" w:rsidRPr="00792B36" w:rsidRDefault="009A0A63" w:rsidP="00A24459">
            <w:pPr>
              <w:rPr>
                <w:color w:val="000000" w:themeColor="text1"/>
                <w:sz w:val="24"/>
                <w:szCs w:val="24"/>
              </w:rPr>
            </w:pPr>
          </w:p>
        </w:tc>
        <w:tc>
          <w:tcPr>
            <w:tcW w:w="3515" w:type="dxa"/>
          </w:tcPr>
          <w:p w14:paraId="66029D14" w14:textId="77777777" w:rsidR="009A0A63" w:rsidRPr="00792B36" w:rsidRDefault="009A0A63" w:rsidP="00A24459">
            <w:pPr>
              <w:rPr>
                <w:color w:val="000000" w:themeColor="text1"/>
                <w:sz w:val="24"/>
                <w:szCs w:val="24"/>
              </w:rPr>
            </w:pPr>
            <w:r w:rsidRPr="00792B36">
              <w:rPr>
                <w:color w:val="000000" w:themeColor="text1"/>
                <w:sz w:val="24"/>
                <w:szCs w:val="24"/>
              </w:rPr>
              <w:lastRenderedPageBreak/>
              <w:t>Live coral cover and density at Koh Losin have remained high and stable over the past two decades. Due to its remote offshore location and lack of human settlement, the reefs are minimally disturbed and maintain exceptional water clarity and habitat quality.</w:t>
            </w:r>
          </w:p>
          <w:p w14:paraId="0D50F417" w14:textId="77777777" w:rsidR="009A0A63" w:rsidRPr="00792B36" w:rsidRDefault="009A0A63" w:rsidP="00A24459">
            <w:pPr>
              <w:rPr>
                <w:color w:val="000000" w:themeColor="text1"/>
                <w:sz w:val="24"/>
                <w:szCs w:val="24"/>
              </w:rPr>
            </w:pPr>
            <w:r w:rsidRPr="00792B36">
              <w:rPr>
                <w:color w:val="000000" w:themeColor="text1"/>
                <w:sz w:val="24"/>
                <w:szCs w:val="24"/>
              </w:rPr>
              <w:t xml:space="preserve">Although bleaching events in 2010 and 2016 caused temporary coral paling and partial mortality in shallow zones, recovery was rapid, and overall live coral cover has remained at 50–80%. Coral density and species richness continue to be among the highest in the Gulf of Thailand, dominated by </w:t>
            </w:r>
            <w:r w:rsidRPr="00792B36">
              <w:rPr>
                <w:i/>
                <w:iCs/>
                <w:color w:val="000000" w:themeColor="text1"/>
                <w:sz w:val="24"/>
                <w:szCs w:val="24"/>
              </w:rPr>
              <w:t>Acropora</w:t>
            </w:r>
            <w:r w:rsidRPr="00792B36">
              <w:rPr>
                <w:color w:val="000000" w:themeColor="text1"/>
                <w:sz w:val="24"/>
                <w:szCs w:val="24"/>
              </w:rPr>
              <w:t xml:space="preserve">, </w:t>
            </w:r>
            <w:r w:rsidRPr="00792B36">
              <w:rPr>
                <w:i/>
                <w:iCs/>
                <w:color w:val="000000" w:themeColor="text1"/>
                <w:sz w:val="24"/>
                <w:szCs w:val="24"/>
              </w:rPr>
              <w:t>Pocillopora</w:t>
            </w:r>
            <w:r w:rsidRPr="00792B36">
              <w:rPr>
                <w:color w:val="000000" w:themeColor="text1"/>
                <w:sz w:val="24"/>
                <w:szCs w:val="24"/>
              </w:rPr>
              <w:t xml:space="preserve">, </w:t>
            </w:r>
            <w:r w:rsidRPr="00792B36">
              <w:rPr>
                <w:i/>
                <w:iCs/>
                <w:color w:val="000000" w:themeColor="text1"/>
                <w:sz w:val="24"/>
                <w:szCs w:val="24"/>
              </w:rPr>
              <w:lastRenderedPageBreak/>
              <w:t>Montipora</w:t>
            </w:r>
            <w:r w:rsidRPr="00792B36">
              <w:rPr>
                <w:color w:val="000000" w:themeColor="text1"/>
                <w:sz w:val="24"/>
                <w:szCs w:val="24"/>
              </w:rPr>
              <w:t xml:space="preserve">, and </w:t>
            </w:r>
            <w:r w:rsidRPr="00792B36">
              <w:rPr>
                <w:i/>
                <w:iCs/>
                <w:color w:val="000000" w:themeColor="text1"/>
                <w:sz w:val="24"/>
                <w:szCs w:val="24"/>
              </w:rPr>
              <w:t>Porites</w:t>
            </w:r>
            <w:r w:rsidRPr="00792B36">
              <w:rPr>
                <w:color w:val="000000" w:themeColor="text1"/>
                <w:sz w:val="24"/>
                <w:szCs w:val="24"/>
              </w:rPr>
              <w:t>.</w:t>
            </w:r>
          </w:p>
          <w:p w14:paraId="75B0D870" w14:textId="77777777" w:rsidR="009A0A63" w:rsidRPr="00792B36" w:rsidRDefault="009A0A63" w:rsidP="00A24459">
            <w:pPr>
              <w:rPr>
                <w:color w:val="000000" w:themeColor="text1"/>
                <w:sz w:val="24"/>
                <w:szCs w:val="24"/>
              </w:rPr>
            </w:pPr>
            <w:r w:rsidRPr="00792B36">
              <w:rPr>
                <w:color w:val="000000" w:themeColor="text1"/>
                <w:sz w:val="24"/>
                <w:szCs w:val="24"/>
              </w:rPr>
              <w:t>Overall, Koh Losin shows a stable or slightly increasing trend in live coral cover and density, supported by strong natural resilience, limited anthropogenic pressure, and effective protection by national authorities.</w:t>
            </w:r>
          </w:p>
          <w:p w14:paraId="1C6C48D6" w14:textId="77777777" w:rsidR="009A0A63" w:rsidRPr="00792B36" w:rsidRDefault="009A0A63" w:rsidP="00A24459">
            <w:pPr>
              <w:rPr>
                <w:color w:val="000000" w:themeColor="text1"/>
                <w:sz w:val="24"/>
                <w:szCs w:val="24"/>
              </w:rPr>
            </w:pPr>
          </w:p>
        </w:tc>
        <w:tc>
          <w:tcPr>
            <w:tcW w:w="3515" w:type="dxa"/>
          </w:tcPr>
          <w:p w14:paraId="0132EEDF" w14:textId="77777777" w:rsidR="009A0A63" w:rsidRPr="00792B36" w:rsidRDefault="009A0A63" w:rsidP="00A24459">
            <w:pPr>
              <w:rPr>
                <w:color w:val="000000" w:themeColor="text1"/>
                <w:sz w:val="24"/>
                <w:szCs w:val="24"/>
              </w:rPr>
            </w:pPr>
            <w:r w:rsidRPr="00792B36">
              <w:rPr>
                <w:b/>
                <w:bCs/>
                <w:color w:val="000000" w:themeColor="text1"/>
                <w:sz w:val="24"/>
                <w:szCs w:val="24"/>
              </w:rPr>
              <w:lastRenderedPageBreak/>
              <w:t>Live Coral Cover and Density:</w:t>
            </w:r>
            <w:r w:rsidRPr="00792B36">
              <w:rPr>
                <w:color w:val="000000" w:themeColor="text1"/>
                <w:sz w:val="24"/>
                <w:szCs w:val="24"/>
              </w:rPr>
              <w:br/>
              <w:t xml:space="preserve">Coral cover and density at Koh Losin are currently high and stable (50–80%), but future threats from climate change and ocean warming could lead to periodic decreases. Intensifying bleaching events, coral disease outbreaks, and ocean acidification may cause partial mortality, especially in shallow reef zones dominated by </w:t>
            </w:r>
            <w:r w:rsidRPr="00792B36">
              <w:rPr>
                <w:i/>
                <w:iCs/>
                <w:color w:val="000000" w:themeColor="text1"/>
                <w:sz w:val="24"/>
                <w:szCs w:val="24"/>
              </w:rPr>
              <w:t>Acropora</w:t>
            </w:r>
            <w:r w:rsidRPr="00792B36">
              <w:rPr>
                <w:color w:val="000000" w:themeColor="text1"/>
                <w:sz w:val="24"/>
                <w:szCs w:val="24"/>
              </w:rPr>
              <w:t xml:space="preserve"> and </w:t>
            </w:r>
            <w:r w:rsidRPr="00792B36">
              <w:rPr>
                <w:i/>
                <w:iCs/>
                <w:color w:val="000000" w:themeColor="text1"/>
                <w:sz w:val="24"/>
                <w:szCs w:val="24"/>
              </w:rPr>
              <w:t>Pocillopora</w:t>
            </w:r>
            <w:r w:rsidRPr="00792B36">
              <w:rPr>
                <w:color w:val="000000" w:themeColor="text1"/>
                <w:sz w:val="24"/>
                <w:szCs w:val="24"/>
              </w:rPr>
              <w:t>. While recovery potential is high, repeated thermal stress could reduce coral diversity and structural complexity over time.</w:t>
            </w:r>
          </w:p>
          <w:p w14:paraId="1A028C2C" w14:textId="77777777" w:rsidR="009A0A63" w:rsidRPr="00792B36" w:rsidRDefault="009A0A63" w:rsidP="00A24459">
            <w:pPr>
              <w:rPr>
                <w:color w:val="000000" w:themeColor="text1"/>
                <w:sz w:val="24"/>
                <w:szCs w:val="24"/>
              </w:rPr>
            </w:pPr>
            <w:r w:rsidRPr="00792B36">
              <w:rPr>
                <w:b/>
                <w:bCs/>
                <w:color w:val="000000" w:themeColor="text1"/>
                <w:sz w:val="24"/>
                <w:szCs w:val="24"/>
              </w:rPr>
              <w:t>Development Plan and Distance to the Coral Reef:</w:t>
            </w:r>
            <w:r w:rsidRPr="00792B36">
              <w:rPr>
                <w:color w:val="000000" w:themeColor="text1"/>
                <w:sz w:val="24"/>
                <w:szCs w:val="24"/>
              </w:rPr>
              <w:br/>
              <w:t xml:space="preserve">Koh Losin is a remote offshore pinnacle, located </w:t>
            </w:r>
            <w:r w:rsidRPr="00792B36">
              <w:rPr>
                <w:color w:val="000000" w:themeColor="text1"/>
                <w:sz w:val="24"/>
                <w:szCs w:val="24"/>
              </w:rPr>
              <w:lastRenderedPageBreak/>
              <w:t>about 72 km from Pattani Province, with no onshore development or settlement nearby. Although direct land-based impacts are absent, indirect threats may emerge from increased shipping traffic, offshore energy exploration, and marine debris transported by ocean currents. Any future maritime development or oil transport expansion in the Gulf of Thailand could pose significant risks through sediment disturbance or pollution events.</w:t>
            </w:r>
          </w:p>
          <w:p w14:paraId="6EC83F70" w14:textId="77777777" w:rsidR="009A0A63" w:rsidRPr="00792B36" w:rsidRDefault="009A0A63" w:rsidP="00A24459">
            <w:pPr>
              <w:rPr>
                <w:color w:val="000000" w:themeColor="text1"/>
                <w:sz w:val="24"/>
                <w:szCs w:val="24"/>
              </w:rPr>
            </w:pPr>
          </w:p>
        </w:tc>
      </w:tr>
      <w:tr w:rsidR="009A0A63" w:rsidRPr="00792B36" w14:paraId="5391A4A1" w14:textId="77777777" w:rsidTr="00A24459">
        <w:tc>
          <w:tcPr>
            <w:tcW w:w="2405" w:type="dxa"/>
          </w:tcPr>
          <w:p w14:paraId="2EE53FB9" w14:textId="77777777" w:rsidR="009A0A63" w:rsidRPr="00792B36" w:rsidRDefault="009A0A63" w:rsidP="00A24459">
            <w:pPr>
              <w:rPr>
                <w:color w:val="000000" w:themeColor="text1"/>
                <w:sz w:val="24"/>
                <w:szCs w:val="24"/>
              </w:rPr>
            </w:pPr>
            <w:r w:rsidRPr="00792B36">
              <w:rPr>
                <w:color w:val="000000" w:themeColor="text1"/>
                <w:sz w:val="24"/>
                <w:szCs w:val="24"/>
              </w:rPr>
              <w:lastRenderedPageBreak/>
              <w:t>CR:8 Underwater pinnacle Chumphon Province</w:t>
            </w:r>
          </w:p>
        </w:tc>
        <w:tc>
          <w:tcPr>
            <w:tcW w:w="3515" w:type="dxa"/>
          </w:tcPr>
          <w:p w14:paraId="2BCA5FF2" w14:textId="77777777" w:rsidR="009A0A63" w:rsidRPr="00792B36" w:rsidRDefault="009A0A63" w:rsidP="00A24459">
            <w:pPr>
              <w:rPr>
                <w:color w:val="000000" w:themeColor="text1"/>
                <w:sz w:val="24"/>
                <w:szCs w:val="24"/>
              </w:rPr>
            </w:pPr>
            <w:r w:rsidRPr="00792B36">
              <w:rPr>
                <w:b/>
                <w:bCs/>
                <w:color w:val="000000" w:themeColor="text1"/>
                <w:sz w:val="24"/>
                <w:szCs w:val="24"/>
              </w:rPr>
              <w:t>Sedimentation:</w:t>
            </w:r>
            <w:r w:rsidRPr="00792B36">
              <w:rPr>
                <w:color w:val="000000" w:themeColor="text1"/>
                <w:sz w:val="24"/>
                <w:szCs w:val="24"/>
              </w:rPr>
              <w:br/>
              <w:t>Low to moderate sedimentation. The pinnacles are located offshore and benefit from good water circulation, though nearshore sites can experience increased turbidity and sedimentation during monsoon seasons and from riverine runoff. Overall sedimentation stress remains limited compared to coastal reefs.</w:t>
            </w:r>
          </w:p>
          <w:p w14:paraId="0DCF8230" w14:textId="77777777" w:rsidR="009A0A63" w:rsidRPr="00792B36" w:rsidRDefault="009A0A63" w:rsidP="00A24459">
            <w:pPr>
              <w:rPr>
                <w:color w:val="000000" w:themeColor="text1"/>
                <w:sz w:val="24"/>
                <w:szCs w:val="24"/>
              </w:rPr>
            </w:pPr>
            <w:r w:rsidRPr="00792B36">
              <w:rPr>
                <w:b/>
                <w:bCs/>
                <w:color w:val="000000" w:themeColor="text1"/>
                <w:sz w:val="24"/>
                <w:szCs w:val="24"/>
              </w:rPr>
              <w:t>Destructive Fishing (bombing &amp; poisoning):</w:t>
            </w:r>
            <w:r w:rsidRPr="00792B36">
              <w:rPr>
                <w:color w:val="000000" w:themeColor="text1"/>
                <w:sz w:val="24"/>
                <w:szCs w:val="24"/>
              </w:rPr>
              <w:br/>
              <w:t xml:space="preserve">No reported bombing or cyanide fishing in recent years; estimated </w:t>
            </w:r>
            <w:r w:rsidRPr="00792B36">
              <w:rPr>
                <w:b/>
                <w:bCs/>
                <w:color w:val="000000" w:themeColor="text1"/>
                <w:sz w:val="24"/>
                <w:szCs w:val="24"/>
              </w:rPr>
              <w:t>0 cases per year</w:t>
            </w:r>
            <w:r w:rsidRPr="00792B36">
              <w:rPr>
                <w:color w:val="000000" w:themeColor="text1"/>
                <w:sz w:val="24"/>
                <w:szCs w:val="24"/>
              </w:rPr>
              <w:t xml:space="preserve">. The area is managed under the </w:t>
            </w:r>
            <w:r w:rsidRPr="00792B36">
              <w:rPr>
                <w:b/>
                <w:bCs/>
                <w:color w:val="000000" w:themeColor="text1"/>
                <w:sz w:val="24"/>
                <w:szCs w:val="24"/>
              </w:rPr>
              <w:t>Chumphon Archipelago Marine Protected Area</w:t>
            </w:r>
            <w:r w:rsidRPr="00792B36">
              <w:rPr>
                <w:color w:val="000000" w:themeColor="text1"/>
                <w:sz w:val="24"/>
                <w:szCs w:val="24"/>
              </w:rPr>
              <w:t>, with regular patrols by DMCR and local authorities.</w:t>
            </w:r>
          </w:p>
          <w:p w14:paraId="6CC2128C" w14:textId="77777777" w:rsidR="009A0A63" w:rsidRPr="00792B36" w:rsidRDefault="009A0A63" w:rsidP="00A24459">
            <w:pPr>
              <w:rPr>
                <w:color w:val="000000" w:themeColor="text1"/>
                <w:sz w:val="24"/>
                <w:szCs w:val="24"/>
              </w:rPr>
            </w:pPr>
            <w:r w:rsidRPr="00792B36">
              <w:rPr>
                <w:b/>
                <w:bCs/>
                <w:color w:val="000000" w:themeColor="text1"/>
                <w:sz w:val="24"/>
                <w:szCs w:val="24"/>
              </w:rPr>
              <w:t>Pollution (population &amp; distance to sources):</w:t>
            </w:r>
            <w:r w:rsidRPr="00792B36">
              <w:rPr>
                <w:color w:val="000000" w:themeColor="text1"/>
                <w:sz w:val="24"/>
                <w:szCs w:val="24"/>
              </w:rPr>
              <w:br/>
              <w:t xml:space="preserve">Chumphon City has a population of </w:t>
            </w:r>
            <w:r w:rsidRPr="00792B36">
              <w:rPr>
                <w:b/>
                <w:bCs/>
                <w:color w:val="000000" w:themeColor="text1"/>
                <w:sz w:val="24"/>
                <w:szCs w:val="24"/>
              </w:rPr>
              <w:lastRenderedPageBreak/>
              <w:t>~200,000</w:t>
            </w:r>
            <w:r w:rsidRPr="00792B36">
              <w:rPr>
                <w:color w:val="000000" w:themeColor="text1"/>
                <w:sz w:val="24"/>
                <w:szCs w:val="24"/>
              </w:rPr>
              <w:t xml:space="preserve">, located approximately </w:t>
            </w:r>
            <w:r w:rsidRPr="00792B36">
              <w:rPr>
                <w:b/>
                <w:bCs/>
                <w:color w:val="000000" w:themeColor="text1"/>
                <w:sz w:val="24"/>
                <w:szCs w:val="24"/>
              </w:rPr>
              <w:t>20–25 km from the main pinnacle sites</w:t>
            </w:r>
            <w:r w:rsidRPr="00792B36">
              <w:rPr>
                <w:color w:val="000000" w:themeColor="text1"/>
                <w:sz w:val="24"/>
                <w:szCs w:val="24"/>
              </w:rPr>
              <w:t xml:space="preserve">. Pollution sources include river discharge, coastal runoff, and limited boat traffic. Offshore sites have </w:t>
            </w:r>
            <w:r w:rsidRPr="00792B36">
              <w:rPr>
                <w:b/>
                <w:bCs/>
                <w:color w:val="000000" w:themeColor="text1"/>
                <w:sz w:val="24"/>
                <w:szCs w:val="24"/>
              </w:rPr>
              <w:t>low nutrient and plastic pollution</w:t>
            </w:r>
            <w:r w:rsidRPr="00792B36">
              <w:rPr>
                <w:color w:val="000000" w:themeColor="text1"/>
                <w:sz w:val="24"/>
                <w:szCs w:val="24"/>
              </w:rPr>
              <w:t>, though localized contamination can occur near ports or fishing zones.</w:t>
            </w:r>
          </w:p>
          <w:p w14:paraId="6C4E7E04" w14:textId="77777777" w:rsidR="009A0A63" w:rsidRPr="00792B36" w:rsidRDefault="009A0A63" w:rsidP="00A24459">
            <w:pPr>
              <w:rPr>
                <w:color w:val="000000" w:themeColor="text1"/>
                <w:sz w:val="24"/>
                <w:szCs w:val="24"/>
              </w:rPr>
            </w:pPr>
            <w:r w:rsidRPr="00792B36">
              <w:rPr>
                <w:b/>
                <w:bCs/>
                <w:color w:val="000000" w:themeColor="text1"/>
                <w:sz w:val="24"/>
                <w:szCs w:val="24"/>
              </w:rPr>
              <w:t>Crown-of-Thorns (COT):</w:t>
            </w:r>
            <w:r w:rsidRPr="00792B36">
              <w:rPr>
                <w:color w:val="000000" w:themeColor="text1"/>
                <w:sz w:val="24"/>
                <w:szCs w:val="24"/>
              </w:rPr>
              <w:br/>
              <w:t xml:space="preserve">No major outbreak reported in the last decade. Occasional sightings recorded during surveys, but densities remain </w:t>
            </w:r>
            <w:r w:rsidRPr="00792B36">
              <w:rPr>
                <w:b/>
                <w:bCs/>
                <w:color w:val="000000" w:themeColor="text1"/>
                <w:sz w:val="24"/>
                <w:szCs w:val="24"/>
              </w:rPr>
              <w:t>below outbreak threshold (&gt;14 individuals/1,000 m²)</w:t>
            </w:r>
            <w:r w:rsidRPr="00792B36">
              <w:rPr>
                <w:color w:val="000000" w:themeColor="text1"/>
                <w:sz w:val="24"/>
                <w:szCs w:val="24"/>
              </w:rPr>
              <w:t>.</w:t>
            </w:r>
          </w:p>
          <w:p w14:paraId="1A4554B8" w14:textId="77777777" w:rsidR="009A0A63" w:rsidRPr="00792B36" w:rsidRDefault="009A0A63" w:rsidP="00A24459">
            <w:pPr>
              <w:rPr>
                <w:color w:val="000000" w:themeColor="text1"/>
                <w:sz w:val="24"/>
                <w:szCs w:val="24"/>
              </w:rPr>
            </w:pPr>
            <w:r w:rsidRPr="00792B36">
              <w:rPr>
                <w:b/>
                <w:bCs/>
                <w:color w:val="000000" w:themeColor="text1"/>
                <w:sz w:val="24"/>
                <w:szCs w:val="24"/>
              </w:rPr>
              <w:t>Bleaching:</w:t>
            </w:r>
          </w:p>
          <w:p w14:paraId="70CFD4A8" w14:textId="77777777" w:rsidR="009A0A63" w:rsidRPr="00792B36" w:rsidRDefault="009A0A63" w:rsidP="00F61B37">
            <w:pPr>
              <w:widowControl/>
              <w:numPr>
                <w:ilvl w:val="0"/>
                <w:numId w:val="88"/>
              </w:numPr>
              <w:rPr>
                <w:color w:val="000000" w:themeColor="text1"/>
                <w:sz w:val="24"/>
                <w:szCs w:val="24"/>
              </w:rPr>
            </w:pPr>
            <w:r w:rsidRPr="00792B36">
              <w:rPr>
                <w:b/>
                <w:bCs/>
                <w:color w:val="000000" w:themeColor="text1"/>
                <w:sz w:val="24"/>
                <w:szCs w:val="24"/>
              </w:rPr>
              <w:t>2010:</w:t>
            </w:r>
            <w:r w:rsidRPr="00792B36">
              <w:rPr>
                <w:color w:val="000000" w:themeColor="text1"/>
                <w:sz w:val="24"/>
                <w:szCs w:val="24"/>
              </w:rPr>
              <w:t xml:space="preserve"> Severe bleaching (&gt;50% of corals affected), with partial mortality.</w:t>
            </w:r>
          </w:p>
          <w:p w14:paraId="701E2B9C" w14:textId="77777777" w:rsidR="009A0A63" w:rsidRPr="00792B36" w:rsidRDefault="009A0A63" w:rsidP="00F61B37">
            <w:pPr>
              <w:widowControl/>
              <w:numPr>
                <w:ilvl w:val="0"/>
                <w:numId w:val="88"/>
              </w:numPr>
              <w:rPr>
                <w:color w:val="000000" w:themeColor="text1"/>
                <w:sz w:val="24"/>
                <w:szCs w:val="24"/>
              </w:rPr>
            </w:pPr>
            <w:r w:rsidRPr="00792B36">
              <w:rPr>
                <w:b/>
                <w:bCs/>
                <w:color w:val="000000" w:themeColor="text1"/>
                <w:sz w:val="24"/>
                <w:szCs w:val="24"/>
              </w:rPr>
              <w:t>2014–2015:</w:t>
            </w:r>
            <w:r w:rsidRPr="00792B36">
              <w:rPr>
                <w:color w:val="000000" w:themeColor="text1"/>
                <w:sz w:val="24"/>
                <w:szCs w:val="24"/>
              </w:rPr>
              <w:t xml:space="preserve"> Mild bleaching, quick recovery observed.</w:t>
            </w:r>
          </w:p>
          <w:p w14:paraId="507C062B" w14:textId="77777777" w:rsidR="009A0A63" w:rsidRPr="00792B36" w:rsidRDefault="009A0A63" w:rsidP="00F61B37">
            <w:pPr>
              <w:widowControl/>
              <w:numPr>
                <w:ilvl w:val="0"/>
                <w:numId w:val="88"/>
              </w:numPr>
              <w:rPr>
                <w:color w:val="000000" w:themeColor="text1"/>
                <w:sz w:val="24"/>
                <w:szCs w:val="24"/>
              </w:rPr>
            </w:pPr>
            <w:r w:rsidRPr="00792B36">
              <w:rPr>
                <w:b/>
                <w:bCs/>
                <w:color w:val="000000" w:themeColor="text1"/>
                <w:sz w:val="24"/>
                <w:szCs w:val="24"/>
              </w:rPr>
              <w:t>2016:</w:t>
            </w:r>
            <w:r w:rsidRPr="00792B36">
              <w:rPr>
                <w:color w:val="000000" w:themeColor="text1"/>
                <w:sz w:val="24"/>
                <w:szCs w:val="24"/>
              </w:rPr>
              <w:t xml:space="preserve"> Moderate bleaching (~30–40%), moderate mortality in shallow zones.</w:t>
            </w:r>
          </w:p>
          <w:p w14:paraId="41057B42" w14:textId="77777777" w:rsidR="009A0A63" w:rsidRPr="00792B36" w:rsidRDefault="009A0A63" w:rsidP="00F61B37">
            <w:pPr>
              <w:widowControl/>
              <w:numPr>
                <w:ilvl w:val="0"/>
                <w:numId w:val="88"/>
              </w:numPr>
              <w:rPr>
                <w:color w:val="000000" w:themeColor="text1"/>
                <w:sz w:val="24"/>
                <w:szCs w:val="24"/>
              </w:rPr>
            </w:pPr>
            <w:r w:rsidRPr="00792B36">
              <w:rPr>
                <w:b/>
                <w:bCs/>
                <w:color w:val="000000" w:themeColor="text1"/>
                <w:sz w:val="24"/>
                <w:szCs w:val="24"/>
              </w:rPr>
              <w:lastRenderedPageBreak/>
              <w:t>2019:</w:t>
            </w:r>
            <w:r w:rsidRPr="00792B36">
              <w:rPr>
                <w:color w:val="000000" w:themeColor="text1"/>
                <w:sz w:val="24"/>
                <w:szCs w:val="24"/>
              </w:rPr>
              <w:t xml:space="preserve"> Minor bleaching (&lt;20%), full recovery within a year.</w:t>
            </w:r>
          </w:p>
          <w:p w14:paraId="0A567270" w14:textId="77777777" w:rsidR="009A0A63" w:rsidRPr="00792B36" w:rsidRDefault="009A0A63" w:rsidP="00F61B37">
            <w:pPr>
              <w:widowControl/>
              <w:numPr>
                <w:ilvl w:val="0"/>
                <w:numId w:val="88"/>
              </w:numPr>
              <w:rPr>
                <w:color w:val="000000" w:themeColor="text1"/>
                <w:sz w:val="24"/>
                <w:szCs w:val="24"/>
              </w:rPr>
            </w:pPr>
            <w:r w:rsidRPr="00792B36">
              <w:rPr>
                <w:b/>
                <w:bCs/>
                <w:color w:val="000000" w:themeColor="text1"/>
                <w:sz w:val="24"/>
                <w:szCs w:val="24"/>
              </w:rPr>
              <w:t>2024:</w:t>
            </w:r>
            <w:r w:rsidRPr="00792B36">
              <w:rPr>
                <w:color w:val="000000" w:themeColor="text1"/>
                <w:sz w:val="24"/>
                <w:szCs w:val="24"/>
              </w:rPr>
              <w:t xml:space="preserve"> Low bleaching (10–15% of live coral), strong recovery and high coral health observed.</w:t>
            </w:r>
          </w:p>
          <w:p w14:paraId="3170F5E6" w14:textId="77777777" w:rsidR="009A0A63" w:rsidRPr="00792B36" w:rsidRDefault="009A0A63" w:rsidP="00A24459">
            <w:pPr>
              <w:rPr>
                <w:color w:val="000000" w:themeColor="text1"/>
                <w:sz w:val="24"/>
                <w:szCs w:val="24"/>
              </w:rPr>
            </w:pPr>
          </w:p>
        </w:tc>
        <w:tc>
          <w:tcPr>
            <w:tcW w:w="3515" w:type="dxa"/>
          </w:tcPr>
          <w:p w14:paraId="55964FC5" w14:textId="77777777" w:rsidR="009A0A63" w:rsidRPr="00792B36" w:rsidRDefault="009A0A63" w:rsidP="00A24459">
            <w:pPr>
              <w:rPr>
                <w:color w:val="000000" w:themeColor="text1"/>
                <w:sz w:val="24"/>
                <w:szCs w:val="24"/>
              </w:rPr>
            </w:pPr>
            <w:r w:rsidRPr="00792B36">
              <w:rPr>
                <w:color w:val="000000" w:themeColor="text1"/>
                <w:sz w:val="24"/>
                <w:szCs w:val="24"/>
              </w:rPr>
              <w:lastRenderedPageBreak/>
              <w:t>Live coral cover and density at Koh Losin have remained high and stable over the past two decades. Due to its remote offshore location and lack of human settlement, the reefs are minimally disturbed and maintain exceptional water clarity and habitat quality.</w:t>
            </w:r>
          </w:p>
          <w:p w14:paraId="027F22E5" w14:textId="77777777" w:rsidR="009A0A63" w:rsidRPr="00792B36" w:rsidRDefault="009A0A63" w:rsidP="00A24459">
            <w:pPr>
              <w:rPr>
                <w:color w:val="000000" w:themeColor="text1"/>
                <w:sz w:val="24"/>
                <w:szCs w:val="24"/>
              </w:rPr>
            </w:pPr>
            <w:r w:rsidRPr="00792B36">
              <w:rPr>
                <w:color w:val="000000" w:themeColor="text1"/>
                <w:sz w:val="24"/>
                <w:szCs w:val="24"/>
              </w:rPr>
              <w:t xml:space="preserve">Although bleaching events in 2010 and 2016 caused temporary coral paling and partial mortality in shallow zones, recovery was rapid, and overall live coral cover has remained at 50–80%. Coral density and species richness continue to be among the highest in the Gulf of Thailand, dominated by </w:t>
            </w:r>
            <w:r w:rsidRPr="00792B36">
              <w:rPr>
                <w:i/>
                <w:iCs/>
                <w:color w:val="000000" w:themeColor="text1"/>
                <w:sz w:val="24"/>
                <w:szCs w:val="24"/>
              </w:rPr>
              <w:t>Acropora</w:t>
            </w:r>
            <w:r w:rsidRPr="00792B36">
              <w:rPr>
                <w:color w:val="000000" w:themeColor="text1"/>
                <w:sz w:val="24"/>
                <w:szCs w:val="24"/>
              </w:rPr>
              <w:t xml:space="preserve">, </w:t>
            </w:r>
            <w:r w:rsidRPr="00792B36">
              <w:rPr>
                <w:i/>
                <w:iCs/>
                <w:color w:val="000000" w:themeColor="text1"/>
                <w:sz w:val="24"/>
                <w:szCs w:val="24"/>
              </w:rPr>
              <w:t>Pocillopora</w:t>
            </w:r>
            <w:r w:rsidRPr="00792B36">
              <w:rPr>
                <w:color w:val="000000" w:themeColor="text1"/>
                <w:sz w:val="24"/>
                <w:szCs w:val="24"/>
              </w:rPr>
              <w:t xml:space="preserve">, </w:t>
            </w:r>
            <w:r w:rsidRPr="00792B36">
              <w:rPr>
                <w:i/>
                <w:iCs/>
                <w:color w:val="000000" w:themeColor="text1"/>
                <w:sz w:val="24"/>
                <w:szCs w:val="24"/>
              </w:rPr>
              <w:t>Montipora</w:t>
            </w:r>
            <w:r w:rsidRPr="00792B36">
              <w:rPr>
                <w:color w:val="000000" w:themeColor="text1"/>
                <w:sz w:val="24"/>
                <w:szCs w:val="24"/>
              </w:rPr>
              <w:t xml:space="preserve">, and </w:t>
            </w:r>
            <w:r w:rsidRPr="00792B36">
              <w:rPr>
                <w:i/>
                <w:iCs/>
                <w:color w:val="000000" w:themeColor="text1"/>
                <w:sz w:val="24"/>
                <w:szCs w:val="24"/>
              </w:rPr>
              <w:t>Porites</w:t>
            </w:r>
            <w:r w:rsidRPr="00792B36">
              <w:rPr>
                <w:color w:val="000000" w:themeColor="text1"/>
                <w:sz w:val="24"/>
                <w:szCs w:val="24"/>
              </w:rPr>
              <w:t>.</w:t>
            </w:r>
          </w:p>
          <w:p w14:paraId="626A5500" w14:textId="77777777" w:rsidR="009A0A63" w:rsidRPr="00792B36" w:rsidRDefault="009A0A63" w:rsidP="00A24459">
            <w:pPr>
              <w:rPr>
                <w:color w:val="000000" w:themeColor="text1"/>
                <w:sz w:val="24"/>
                <w:szCs w:val="24"/>
              </w:rPr>
            </w:pPr>
            <w:r w:rsidRPr="00792B36">
              <w:rPr>
                <w:color w:val="000000" w:themeColor="text1"/>
                <w:sz w:val="24"/>
                <w:szCs w:val="24"/>
              </w:rPr>
              <w:t xml:space="preserve">Overall, Koh Losin </w:t>
            </w:r>
            <w:r w:rsidRPr="00792B36">
              <w:rPr>
                <w:color w:val="000000" w:themeColor="text1"/>
                <w:sz w:val="24"/>
                <w:szCs w:val="24"/>
              </w:rPr>
              <w:lastRenderedPageBreak/>
              <w:t>shows a stable or slightly increasing trend in live coral cover and density, supported by strong natural resilience, limited anthropogenic pressure, and effective protection by national authorities.</w:t>
            </w:r>
          </w:p>
          <w:p w14:paraId="244BC87B" w14:textId="77777777" w:rsidR="009A0A63" w:rsidRPr="00792B36" w:rsidRDefault="009A0A63" w:rsidP="00A24459">
            <w:pPr>
              <w:rPr>
                <w:color w:val="000000" w:themeColor="text1"/>
                <w:sz w:val="24"/>
                <w:szCs w:val="24"/>
              </w:rPr>
            </w:pPr>
          </w:p>
        </w:tc>
        <w:tc>
          <w:tcPr>
            <w:tcW w:w="3515" w:type="dxa"/>
          </w:tcPr>
          <w:p w14:paraId="0A56DB3F" w14:textId="77777777" w:rsidR="009A0A63" w:rsidRPr="00792B36" w:rsidRDefault="009A0A63" w:rsidP="00A24459">
            <w:pPr>
              <w:rPr>
                <w:color w:val="000000" w:themeColor="text1"/>
                <w:sz w:val="24"/>
                <w:szCs w:val="24"/>
              </w:rPr>
            </w:pPr>
            <w:r w:rsidRPr="00792B36">
              <w:rPr>
                <w:b/>
                <w:bCs/>
                <w:color w:val="000000" w:themeColor="text1"/>
                <w:sz w:val="24"/>
                <w:szCs w:val="24"/>
              </w:rPr>
              <w:lastRenderedPageBreak/>
              <w:t>Live Coral Cover and Density:</w:t>
            </w:r>
            <w:r w:rsidRPr="00792B36">
              <w:rPr>
                <w:color w:val="000000" w:themeColor="text1"/>
                <w:sz w:val="24"/>
                <w:szCs w:val="24"/>
              </w:rPr>
              <w:br/>
              <w:t>Live coral cover and density at Chumphon’s underwater pinnacles are currently moderate to good (12–28%), with stable conditions in deeper sites. However, future projections indicate a potential decrease if environmental pressures increase. Key threats include climate-induced bleaching, sedimentation from coastal runoff, and nutrient enrichment from expanding coastal aquaculture. Without effective management, coral recovery rates may slow, and overall diversity could decline.</w:t>
            </w:r>
          </w:p>
          <w:p w14:paraId="4125BB15" w14:textId="77777777" w:rsidR="009A0A63" w:rsidRPr="00792B36" w:rsidRDefault="009A0A63" w:rsidP="00A24459">
            <w:pPr>
              <w:rPr>
                <w:color w:val="000000" w:themeColor="text1"/>
                <w:sz w:val="24"/>
                <w:szCs w:val="24"/>
              </w:rPr>
            </w:pPr>
            <w:r w:rsidRPr="00792B36">
              <w:rPr>
                <w:b/>
                <w:bCs/>
                <w:color w:val="000000" w:themeColor="text1"/>
                <w:sz w:val="24"/>
                <w:szCs w:val="24"/>
              </w:rPr>
              <w:t>Development Plan and Distance to the Coral Reef:</w:t>
            </w:r>
            <w:r w:rsidRPr="00792B36">
              <w:rPr>
                <w:color w:val="000000" w:themeColor="text1"/>
                <w:sz w:val="24"/>
                <w:szCs w:val="24"/>
              </w:rPr>
              <w:br/>
              <w:t xml:space="preserve">The underwater pinnacles are located 15–25 km offshore from Chumphon City, </w:t>
            </w:r>
            <w:r w:rsidRPr="00792B36">
              <w:rPr>
                <w:color w:val="000000" w:themeColor="text1"/>
                <w:sz w:val="24"/>
                <w:szCs w:val="24"/>
              </w:rPr>
              <w:lastRenderedPageBreak/>
              <w:t>where ongoing coastal tourism and port development are expanding. Planned infrastructure improvements—such as pier extensions, increased boat traffic, and nearby aquaculture growth—could increase sedimentation and pollution reaching offshore sites via currents. Although the reefs are relatively distant from direct coastal development, cumulative impacts from inland runoff and maritime activities pose emerging risks.</w:t>
            </w:r>
          </w:p>
          <w:p w14:paraId="5F86DB23" w14:textId="77777777" w:rsidR="009A0A63" w:rsidRPr="00792B36" w:rsidRDefault="009A0A63" w:rsidP="00A24459">
            <w:pPr>
              <w:rPr>
                <w:color w:val="000000" w:themeColor="text1"/>
                <w:sz w:val="24"/>
                <w:szCs w:val="24"/>
              </w:rPr>
            </w:pPr>
          </w:p>
        </w:tc>
      </w:tr>
      <w:tr w:rsidR="009A0A63" w:rsidRPr="00792B36" w14:paraId="662CA181" w14:textId="77777777" w:rsidTr="00A24459">
        <w:tc>
          <w:tcPr>
            <w:tcW w:w="2405" w:type="dxa"/>
          </w:tcPr>
          <w:p w14:paraId="1565A94E" w14:textId="77777777" w:rsidR="009A0A63" w:rsidRPr="00792B36" w:rsidRDefault="009A0A63" w:rsidP="00A24459">
            <w:pPr>
              <w:rPr>
                <w:color w:val="000000" w:themeColor="text1"/>
                <w:sz w:val="24"/>
                <w:szCs w:val="24"/>
              </w:rPr>
            </w:pPr>
            <w:r w:rsidRPr="00792B36">
              <w:rPr>
                <w:rStyle w:val="Strong"/>
                <w:rFonts w:eastAsiaTheme="minorEastAsia"/>
                <w:color w:val="000000" w:themeColor="text1"/>
                <w:sz w:val="24"/>
                <w:szCs w:val="24"/>
              </w:rPr>
              <w:lastRenderedPageBreak/>
              <w:t>SG1: Ban Don Bay</w:t>
            </w:r>
          </w:p>
        </w:tc>
        <w:tc>
          <w:tcPr>
            <w:tcW w:w="3515" w:type="dxa"/>
          </w:tcPr>
          <w:p w14:paraId="781CCFA1" w14:textId="77777777" w:rsidR="009A0A63" w:rsidRPr="00792B36" w:rsidRDefault="009A0A63" w:rsidP="00A24459">
            <w:pPr>
              <w:rPr>
                <w:color w:val="000000" w:themeColor="text1"/>
                <w:sz w:val="24"/>
                <w:szCs w:val="24"/>
              </w:rPr>
            </w:pPr>
            <w:r w:rsidRPr="00792B36">
              <w:rPr>
                <w:b/>
                <w:bCs/>
                <w:color w:val="000000" w:themeColor="text1"/>
                <w:sz w:val="24"/>
                <w:szCs w:val="24"/>
              </w:rPr>
              <w:t>Sedimentation:</w:t>
            </w:r>
            <w:r w:rsidRPr="00792B36">
              <w:rPr>
                <w:color w:val="000000" w:themeColor="text1"/>
                <w:sz w:val="24"/>
                <w:szCs w:val="24"/>
              </w:rPr>
              <w:br/>
              <w:t xml:space="preserve">High sedimentation from river discharge (mainly Tapi and Phum Duang Rivers), aquaculture runoff, and tidal currents. Although water is highly turbid, many seagrass species tolerate low light and fine sediments, maintaining extensive coverage across the bay. Sediment deposition affects growth rates and species composition, favoring resilient taxa such as </w:t>
            </w:r>
            <w:r w:rsidRPr="00792B36">
              <w:rPr>
                <w:i/>
                <w:iCs/>
                <w:color w:val="000000" w:themeColor="text1"/>
                <w:sz w:val="24"/>
                <w:szCs w:val="24"/>
              </w:rPr>
              <w:t>Enhalus acoroides</w:t>
            </w:r>
            <w:r w:rsidRPr="00792B36">
              <w:rPr>
                <w:color w:val="000000" w:themeColor="text1"/>
                <w:sz w:val="24"/>
                <w:szCs w:val="24"/>
              </w:rPr>
              <w:t xml:space="preserve"> and </w:t>
            </w:r>
            <w:r w:rsidRPr="00792B36">
              <w:rPr>
                <w:i/>
                <w:iCs/>
                <w:color w:val="000000" w:themeColor="text1"/>
                <w:sz w:val="24"/>
                <w:szCs w:val="24"/>
              </w:rPr>
              <w:t>Halophila ovalis</w:t>
            </w:r>
            <w:r w:rsidRPr="00792B36">
              <w:rPr>
                <w:color w:val="000000" w:themeColor="text1"/>
                <w:sz w:val="24"/>
                <w:szCs w:val="24"/>
              </w:rPr>
              <w:t>.</w:t>
            </w:r>
          </w:p>
          <w:p w14:paraId="04563978" w14:textId="77777777" w:rsidR="009A0A63" w:rsidRPr="00792B36" w:rsidRDefault="009A0A63" w:rsidP="00A24459">
            <w:pPr>
              <w:rPr>
                <w:color w:val="000000" w:themeColor="text1"/>
                <w:sz w:val="24"/>
                <w:szCs w:val="24"/>
              </w:rPr>
            </w:pPr>
            <w:r w:rsidRPr="00792B36">
              <w:rPr>
                <w:b/>
                <w:bCs/>
                <w:color w:val="000000" w:themeColor="text1"/>
                <w:sz w:val="24"/>
                <w:szCs w:val="24"/>
              </w:rPr>
              <w:t>Pollution (population &amp; distance to sources):</w:t>
            </w:r>
            <w:r w:rsidRPr="00792B36">
              <w:rPr>
                <w:color w:val="000000" w:themeColor="text1"/>
                <w:sz w:val="24"/>
                <w:szCs w:val="24"/>
              </w:rPr>
              <w:br/>
              <w:t xml:space="preserve">Main pollution sources originate from Surat Thani City (~130,000 people) and coastal settlements located 5–15 km from major seagrass meadows. </w:t>
            </w:r>
            <w:r w:rsidRPr="00792B36">
              <w:rPr>
                <w:color w:val="000000" w:themeColor="text1"/>
                <w:sz w:val="24"/>
                <w:szCs w:val="24"/>
              </w:rPr>
              <w:lastRenderedPageBreak/>
              <w:t>Wastewater and nutrient runoff from shrimp farms and domestic sources contribute to moderate-to-high nutrient enrichment, promoting algal overgrowth and sediment accumulation in shallow zones.</w:t>
            </w:r>
          </w:p>
          <w:p w14:paraId="7AE76C4F" w14:textId="77777777" w:rsidR="009A0A63" w:rsidRPr="00792B36" w:rsidRDefault="009A0A63" w:rsidP="00A24459">
            <w:pPr>
              <w:rPr>
                <w:color w:val="000000" w:themeColor="text1"/>
                <w:sz w:val="24"/>
                <w:szCs w:val="24"/>
              </w:rPr>
            </w:pPr>
          </w:p>
        </w:tc>
        <w:tc>
          <w:tcPr>
            <w:tcW w:w="3515" w:type="dxa"/>
          </w:tcPr>
          <w:p w14:paraId="1B3309FD" w14:textId="77777777" w:rsidR="009A0A63" w:rsidRPr="00792B36" w:rsidRDefault="009A0A63" w:rsidP="00A24459">
            <w:pPr>
              <w:rPr>
                <w:color w:val="000000" w:themeColor="text1"/>
                <w:sz w:val="24"/>
                <w:szCs w:val="24"/>
              </w:rPr>
            </w:pPr>
            <w:r w:rsidRPr="00792B36">
              <w:rPr>
                <w:color w:val="000000" w:themeColor="text1"/>
                <w:sz w:val="24"/>
                <w:szCs w:val="24"/>
              </w:rPr>
              <w:lastRenderedPageBreak/>
              <w:t>Seagrass cover and density in Ban Don Bay have shown a gradual decline over the past two decades, mainly due to sedimentation, nutrient enrichment, and coastal development. High sediment loads from river discharge and aquaculture runoff have reduced light penetration, affecting seagrass productivity and distribution.</w:t>
            </w:r>
          </w:p>
          <w:p w14:paraId="1012E8FC" w14:textId="77777777" w:rsidR="009A0A63" w:rsidRPr="00792B36" w:rsidRDefault="009A0A63" w:rsidP="00A24459">
            <w:pPr>
              <w:rPr>
                <w:color w:val="000000" w:themeColor="text1"/>
                <w:sz w:val="24"/>
                <w:szCs w:val="24"/>
              </w:rPr>
            </w:pPr>
            <w:r w:rsidRPr="00792B36">
              <w:rPr>
                <w:color w:val="000000" w:themeColor="text1"/>
                <w:sz w:val="24"/>
                <w:szCs w:val="24"/>
              </w:rPr>
              <w:t xml:space="preserve">In the early 2000s, the bay supported over 20,000 hectares of continuous seagrass meadows. Recent assessments indicate a reduction to approximately 15,000 hectares, with lower shoot </w:t>
            </w:r>
            <w:r w:rsidRPr="00792B36">
              <w:rPr>
                <w:color w:val="000000" w:themeColor="text1"/>
                <w:sz w:val="24"/>
                <w:szCs w:val="24"/>
              </w:rPr>
              <w:lastRenderedPageBreak/>
              <w:t>density and patchier distribution in nearshore areas.</w:t>
            </w:r>
          </w:p>
          <w:p w14:paraId="4080B642" w14:textId="77777777" w:rsidR="009A0A63" w:rsidRPr="00792B36" w:rsidRDefault="009A0A63" w:rsidP="00A24459">
            <w:pPr>
              <w:rPr>
                <w:color w:val="000000" w:themeColor="text1"/>
                <w:sz w:val="24"/>
                <w:szCs w:val="24"/>
              </w:rPr>
            </w:pPr>
            <w:r w:rsidRPr="00792B36">
              <w:rPr>
                <w:color w:val="000000" w:themeColor="text1"/>
                <w:sz w:val="24"/>
                <w:szCs w:val="24"/>
              </w:rPr>
              <w:t xml:space="preserve">Despite these pressures, dominant species such as </w:t>
            </w:r>
            <w:r w:rsidRPr="00792B36">
              <w:rPr>
                <w:i/>
                <w:iCs/>
                <w:color w:val="000000" w:themeColor="text1"/>
                <w:sz w:val="24"/>
                <w:szCs w:val="24"/>
              </w:rPr>
              <w:t>Enhalus acoroides</w:t>
            </w:r>
            <w:r w:rsidRPr="00792B36">
              <w:rPr>
                <w:color w:val="000000" w:themeColor="text1"/>
                <w:sz w:val="24"/>
                <w:szCs w:val="24"/>
              </w:rPr>
              <w:t xml:space="preserve">, </w:t>
            </w:r>
            <w:r w:rsidRPr="00792B36">
              <w:rPr>
                <w:i/>
                <w:iCs/>
                <w:color w:val="000000" w:themeColor="text1"/>
                <w:sz w:val="24"/>
                <w:szCs w:val="24"/>
              </w:rPr>
              <w:t>Thalassia hemprichii</w:t>
            </w:r>
            <w:r w:rsidRPr="00792B36">
              <w:rPr>
                <w:color w:val="000000" w:themeColor="text1"/>
                <w:sz w:val="24"/>
                <w:szCs w:val="24"/>
              </w:rPr>
              <w:t xml:space="preserve">, and </w:t>
            </w:r>
            <w:r w:rsidRPr="00792B36">
              <w:rPr>
                <w:i/>
                <w:iCs/>
                <w:color w:val="000000" w:themeColor="text1"/>
                <w:sz w:val="24"/>
                <w:szCs w:val="24"/>
              </w:rPr>
              <w:t>Halodule uninervis</w:t>
            </w:r>
            <w:r w:rsidRPr="00792B36">
              <w:rPr>
                <w:color w:val="000000" w:themeColor="text1"/>
                <w:sz w:val="24"/>
                <w:szCs w:val="24"/>
              </w:rPr>
              <w:t xml:space="preserve"> persist, showing resilience in deeper and less disturbed zones. Overall, the trend indicates a slow decrease in seagrass cover and density, driven by sedimentation, nutrient loading, and physical disturbance, though the ecosystem remains a vital habitat for dugongs and coastal fisheries.</w:t>
            </w:r>
          </w:p>
          <w:p w14:paraId="24DCC9FC" w14:textId="77777777" w:rsidR="009A0A63" w:rsidRPr="00792B36" w:rsidRDefault="009A0A63" w:rsidP="00A24459">
            <w:pPr>
              <w:rPr>
                <w:color w:val="000000" w:themeColor="text1"/>
                <w:sz w:val="24"/>
                <w:szCs w:val="24"/>
              </w:rPr>
            </w:pPr>
          </w:p>
        </w:tc>
        <w:tc>
          <w:tcPr>
            <w:tcW w:w="3515" w:type="dxa"/>
          </w:tcPr>
          <w:p w14:paraId="453D9161" w14:textId="77777777" w:rsidR="009A0A63" w:rsidRPr="00792B36" w:rsidRDefault="009A0A63" w:rsidP="00A24459">
            <w:pPr>
              <w:rPr>
                <w:color w:val="000000" w:themeColor="text1"/>
                <w:sz w:val="24"/>
                <w:szCs w:val="24"/>
              </w:rPr>
            </w:pPr>
            <w:r w:rsidRPr="00792B36">
              <w:rPr>
                <w:b/>
                <w:bCs/>
                <w:color w:val="000000" w:themeColor="text1"/>
                <w:sz w:val="24"/>
                <w:szCs w:val="24"/>
              </w:rPr>
              <w:lastRenderedPageBreak/>
              <w:t>Live Seagrass Cover and Density:</w:t>
            </w:r>
            <w:r w:rsidRPr="00792B36">
              <w:rPr>
                <w:color w:val="000000" w:themeColor="text1"/>
                <w:sz w:val="24"/>
                <w:szCs w:val="24"/>
              </w:rPr>
              <w:br/>
              <w:t>Seagrass cover and density in Ban Don Bay are expected to continue decreasing in the future due to increasing sedimentation, nutrient enrichment, and physical disturbance. Current meadows—covering about 15,000 hectares—may experience further decline if sediment loads from rivers and aquaculture continue to rise. Excessive nutrient input could also promote algal blooms, reducing light availability and seagrass productivity.</w:t>
            </w:r>
          </w:p>
          <w:p w14:paraId="65FEFEFE" w14:textId="77777777" w:rsidR="009A0A63" w:rsidRPr="00792B36" w:rsidRDefault="009A0A63" w:rsidP="00A24459">
            <w:pPr>
              <w:rPr>
                <w:color w:val="000000" w:themeColor="text1"/>
                <w:sz w:val="24"/>
                <w:szCs w:val="24"/>
              </w:rPr>
            </w:pPr>
            <w:r w:rsidRPr="00792B36">
              <w:rPr>
                <w:b/>
                <w:bCs/>
                <w:color w:val="000000" w:themeColor="text1"/>
                <w:sz w:val="24"/>
                <w:szCs w:val="24"/>
              </w:rPr>
              <w:t>Development Plan and Distance to the Seagrass:</w:t>
            </w:r>
            <w:r w:rsidRPr="00792B36">
              <w:rPr>
                <w:color w:val="000000" w:themeColor="text1"/>
                <w:sz w:val="24"/>
                <w:szCs w:val="24"/>
              </w:rPr>
              <w:br/>
              <w:t xml:space="preserve">Ban Don Bay is located 5–15 km from Surat Thani City, a growing </w:t>
            </w:r>
            <w:r w:rsidRPr="00792B36">
              <w:rPr>
                <w:color w:val="000000" w:themeColor="text1"/>
                <w:sz w:val="24"/>
                <w:szCs w:val="24"/>
              </w:rPr>
              <w:lastRenderedPageBreak/>
              <w:t>urban and aquaculture hub. Future expansion of shrimp farms, coastal industry, and port facilities, along with urban wastewater discharge, will likely increase sedimentation and nutrient inflow into the bay. Planned infrastructure improvements along the bay’s shoreline may further disrupt seagrass habitats through dredging and coastal modification.</w:t>
            </w:r>
          </w:p>
          <w:p w14:paraId="02893E6E" w14:textId="77777777" w:rsidR="009A0A63" w:rsidRPr="00792B36" w:rsidRDefault="009A0A63" w:rsidP="00A24459">
            <w:pPr>
              <w:rPr>
                <w:color w:val="000000" w:themeColor="text1"/>
                <w:sz w:val="24"/>
                <w:szCs w:val="24"/>
              </w:rPr>
            </w:pPr>
          </w:p>
        </w:tc>
      </w:tr>
      <w:tr w:rsidR="009A0A63" w:rsidRPr="00792B36" w14:paraId="25944ACA" w14:textId="77777777" w:rsidTr="00A24459">
        <w:tc>
          <w:tcPr>
            <w:tcW w:w="2405" w:type="dxa"/>
          </w:tcPr>
          <w:p w14:paraId="593CBDC3" w14:textId="77777777" w:rsidR="009A0A63" w:rsidRPr="00792B36" w:rsidRDefault="009A0A63" w:rsidP="00A24459">
            <w:pPr>
              <w:rPr>
                <w:color w:val="000000" w:themeColor="text1"/>
                <w:sz w:val="24"/>
                <w:szCs w:val="24"/>
              </w:rPr>
            </w:pPr>
            <w:r w:rsidRPr="00792B36">
              <w:rPr>
                <w:rStyle w:val="Strong"/>
                <w:rFonts w:eastAsiaTheme="minorEastAsia"/>
                <w:color w:val="000000" w:themeColor="text1"/>
                <w:sz w:val="24"/>
                <w:szCs w:val="24"/>
              </w:rPr>
              <w:lastRenderedPageBreak/>
              <w:t>SG2: Chumphon</w:t>
            </w:r>
          </w:p>
        </w:tc>
        <w:tc>
          <w:tcPr>
            <w:tcW w:w="3515" w:type="dxa"/>
          </w:tcPr>
          <w:p w14:paraId="0A48C1E7" w14:textId="77777777" w:rsidR="009A0A63" w:rsidRPr="00792B36" w:rsidRDefault="009A0A63" w:rsidP="00A24459">
            <w:pPr>
              <w:rPr>
                <w:color w:val="000000" w:themeColor="text1"/>
                <w:sz w:val="24"/>
                <w:szCs w:val="24"/>
              </w:rPr>
            </w:pPr>
            <w:r w:rsidRPr="00792B36">
              <w:rPr>
                <w:b/>
                <w:bCs/>
                <w:color w:val="000000" w:themeColor="text1"/>
                <w:sz w:val="24"/>
                <w:szCs w:val="24"/>
              </w:rPr>
              <w:t>Sedimentation:</w:t>
            </w:r>
            <w:r w:rsidRPr="00792B36">
              <w:rPr>
                <w:color w:val="000000" w:themeColor="text1"/>
                <w:sz w:val="24"/>
                <w:szCs w:val="24"/>
              </w:rPr>
              <w:br/>
              <w:t xml:space="preserve">Moderate sedimentation influenced by coastal runoff, river discharge, and monsoon-driven currents. Sediment accumulation occurs mainly in nearshore and estuarine areas, such as Tha Sae and Lang Suan Districts, but most seagrass meadows remain healthy due to good </w:t>
            </w:r>
            <w:r w:rsidRPr="00792B36">
              <w:rPr>
                <w:color w:val="000000" w:themeColor="text1"/>
                <w:sz w:val="24"/>
                <w:szCs w:val="24"/>
              </w:rPr>
              <w:lastRenderedPageBreak/>
              <w:t>water circulation and natural sediment tolerance.</w:t>
            </w:r>
          </w:p>
          <w:p w14:paraId="24436927" w14:textId="77777777" w:rsidR="009A0A63" w:rsidRPr="00792B36" w:rsidRDefault="009A0A63" w:rsidP="00A24459">
            <w:pPr>
              <w:rPr>
                <w:color w:val="000000" w:themeColor="text1"/>
                <w:sz w:val="24"/>
                <w:szCs w:val="24"/>
              </w:rPr>
            </w:pPr>
            <w:r w:rsidRPr="00792B36">
              <w:rPr>
                <w:b/>
                <w:bCs/>
                <w:color w:val="000000" w:themeColor="text1"/>
                <w:sz w:val="24"/>
                <w:szCs w:val="24"/>
              </w:rPr>
              <w:t>Pollution (population &amp; distance to sources):</w:t>
            </w:r>
            <w:r w:rsidRPr="00792B36">
              <w:rPr>
                <w:color w:val="000000" w:themeColor="text1"/>
                <w:sz w:val="24"/>
                <w:szCs w:val="24"/>
              </w:rPr>
              <w:br/>
              <w:t>Main pollution sources are from Chumphon City and coastal communities (~200,000 people) located 5–20 km from major seagrass areas. Domestic wastewater, aquaculture runoff, and small-scale tourism contribute to moderate nutrient enrichment and sedimentation. Offshore sites show relatively low pollution levels with good water quality.</w:t>
            </w:r>
          </w:p>
          <w:p w14:paraId="4925B36A" w14:textId="77777777" w:rsidR="009A0A63" w:rsidRPr="00792B36" w:rsidRDefault="009A0A63" w:rsidP="00A24459">
            <w:pPr>
              <w:rPr>
                <w:color w:val="000000" w:themeColor="text1"/>
                <w:sz w:val="24"/>
                <w:szCs w:val="24"/>
              </w:rPr>
            </w:pPr>
          </w:p>
        </w:tc>
        <w:tc>
          <w:tcPr>
            <w:tcW w:w="3515" w:type="dxa"/>
          </w:tcPr>
          <w:p w14:paraId="4660D6D4" w14:textId="77777777" w:rsidR="009A0A63" w:rsidRPr="00792B36" w:rsidRDefault="009A0A63" w:rsidP="00A24459">
            <w:pPr>
              <w:rPr>
                <w:color w:val="000000" w:themeColor="text1"/>
                <w:sz w:val="24"/>
                <w:szCs w:val="24"/>
              </w:rPr>
            </w:pPr>
            <w:r w:rsidRPr="00792B36">
              <w:rPr>
                <w:color w:val="000000" w:themeColor="text1"/>
                <w:sz w:val="24"/>
                <w:szCs w:val="24"/>
              </w:rPr>
              <w:lastRenderedPageBreak/>
              <w:t xml:space="preserve">Seagrass cover and density in Chumphon have shown a stable to slightly decreasing trend over the past two decades. While extensive seagrass meadows still exist along sheltered bays and estuaries—particularly in Tha Sae, Lang Suan, and Pathio </w:t>
            </w:r>
            <w:r w:rsidRPr="00792B36">
              <w:rPr>
                <w:color w:val="000000" w:themeColor="text1"/>
                <w:sz w:val="24"/>
                <w:szCs w:val="24"/>
              </w:rPr>
              <w:lastRenderedPageBreak/>
              <w:t>Districts—localized declines have occurred near river mouths and coastal development areas.</w:t>
            </w:r>
          </w:p>
          <w:p w14:paraId="0C1E5D62" w14:textId="77777777" w:rsidR="009A0A63" w:rsidRPr="00792B36" w:rsidRDefault="009A0A63" w:rsidP="00A24459">
            <w:pPr>
              <w:rPr>
                <w:color w:val="000000" w:themeColor="text1"/>
                <w:sz w:val="24"/>
                <w:szCs w:val="24"/>
              </w:rPr>
            </w:pPr>
            <w:r w:rsidRPr="00792B36">
              <w:rPr>
                <w:color w:val="000000" w:themeColor="text1"/>
                <w:sz w:val="24"/>
                <w:szCs w:val="24"/>
              </w:rPr>
              <w:t>Earlier surveys recorded about 8,000–10,000 hectares of seagrass, but recent monitoring indicates slight reductions in both coverage and shoot density, mainly due to sedimentation, trawling disturbance, and nutrient runoff from aquaculture and agriculture.</w:t>
            </w:r>
          </w:p>
          <w:p w14:paraId="03F12E54" w14:textId="77777777" w:rsidR="009A0A63" w:rsidRPr="00792B36" w:rsidRDefault="009A0A63" w:rsidP="00A24459">
            <w:pPr>
              <w:rPr>
                <w:color w:val="000000" w:themeColor="text1"/>
                <w:sz w:val="24"/>
                <w:szCs w:val="24"/>
              </w:rPr>
            </w:pPr>
            <w:r w:rsidRPr="00792B36">
              <w:rPr>
                <w:color w:val="000000" w:themeColor="text1"/>
                <w:sz w:val="24"/>
                <w:szCs w:val="24"/>
              </w:rPr>
              <w:t xml:space="preserve">Dominant species such as </w:t>
            </w:r>
            <w:r w:rsidRPr="00792B36">
              <w:rPr>
                <w:i/>
                <w:iCs/>
                <w:color w:val="000000" w:themeColor="text1"/>
                <w:sz w:val="24"/>
                <w:szCs w:val="24"/>
              </w:rPr>
              <w:t>Enhalus acoroides</w:t>
            </w:r>
            <w:r w:rsidRPr="00792B36">
              <w:rPr>
                <w:color w:val="000000" w:themeColor="text1"/>
                <w:sz w:val="24"/>
                <w:szCs w:val="24"/>
              </w:rPr>
              <w:t xml:space="preserve">, </w:t>
            </w:r>
            <w:r w:rsidRPr="00792B36">
              <w:rPr>
                <w:i/>
                <w:iCs/>
                <w:color w:val="000000" w:themeColor="text1"/>
                <w:sz w:val="24"/>
                <w:szCs w:val="24"/>
              </w:rPr>
              <w:t>Halophila ovalis</w:t>
            </w:r>
            <w:r w:rsidRPr="00792B36">
              <w:rPr>
                <w:color w:val="000000" w:themeColor="text1"/>
                <w:sz w:val="24"/>
                <w:szCs w:val="24"/>
              </w:rPr>
              <w:t xml:space="preserve">, and </w:t>
            </w:r>
            <w:r w:rsidRPr="00792B36">
              <w:rPr>
                <w:i/>
                <w:iCs/>
                <w:color w:val="000000" w:themeColor="text1"/>
                <w:sz w:val="24"/>
                <w:szCs w:val="24"/>
              </w:rPr>
              <w:t>Halodule uninervis</w:t>
            </w:r>
            <w:r w:rsidRPr="00792B36">
              <w:rPr>
                <w:color w:val="000000" w:themeColor="text1"/>
                <w:sz w:val="24"/>
                <w:szCs w:val="24"/>
              </w:rPr>
              <w:t xml:space="preserve"> remain abundant, showing good regeneration in less disturbed zones. Overall, the trend reflects minor decreases in seagrass cover and density, but the ecosystem remains in fairly good condition and continues to provide essential nursery and feeding habitats for marine fauna.</w:t>
            </w:r>
          </w:p>
          <w:p w14:paraId="568B090E" w14:textId="77777777" w:rsidR="009A0A63" w:rsidRPr="00792B36" w:rsidRDefault="009A0A63" w:rsidP="00A24459">
            <w:pPr>
              <w:rPr>
                <w:color w:val="000000" w:themeColor="text1"/>
                <w:sz w:val="24"/>
                <w:szCs w:val="24"/>
              </w:rPr>
            </w:pPr>
          </w:p>
        </w:tc>
        <w:tc>
          <w:tcPr>
            <w:tcW w:w="3515" w:type="dxa"/>
          </w:tcPr>
          <w:p w14:paraId="2EE7554C" w14:textId="77777777" w:rsidR="009A0A63" w:rsidRPr="00792B36" w:rsidRDefault="009A0A63" w:rsidP="00A24459">
            <w:pPr>
              <w:rPr>
                <w:color w:val="000000" w:themeColor="text1"/>
                <w:sz w:val="24"/>
                <w:szCs w:val="24"/>
              </w:rPr>
            </w:pPr>
            <w:r w:rsidRPr="00792B36">
              <w:rPr>
                <w:b/>
                <w:bCs/>
                <w:color w:val="000000" w:themeColor="text1"/>
                <w:sz w:val="24"/>
                <w:szCs w:val="24"/>
              </w:rPr>
              <w:lastRenderedPageBreak/>
              <w:t>Live Seagrass Cover and Density:</w:t>
            </w:r>
            <w:r w:rsidRPr="00792B36">
              <w:rPr>
                <w:color w:val="000000" w:themeColor="text1"/>
                <w:sz w:val="24"/>
                <w:szCs w:val="24"/>
              </w:rPr>
              <w:br/>
              <w:t xml:space="preserve">Seagrass cover and density in Chumphon are projected to slightly decrease in the future due to increasing coastal activities, sedimentation, and nutrient loading. Expansion of aquaculture farms, agriculture, and tourism-related </w:t>
            </w:r>
            <w:r w:rsidRPr="00792B36">
              <w:rPr>
                <w:color w:val="000000" w:themeColor="text1"/>
                <w:sz w:val="24"/>
                <w:szCs w:val="24"/>
              </w:rPr>
              <w:lastRenderedPageBreak/>
              <w:t>facilities along the coast may increase suspended sediments and organic matter, reducing light availability and seagrass productivity. Without effective management, current meadows—covering about 8,000–10,000 hectares could decline in both extent and shoot density, particularly in nearshore and estuarine zones.</w:t>
            </w:r>
          </w:p>
          <w:p w14:paraId="7BC01E12" w14:textId="77777777" w:rsidR="009A0A63" w:rsidRPr="00792B36" w:rsidRDefault="009A0A63" w:rsidP="00A24459">
            <w:pPr>
              <w:rPr>
                <w:color w:val="000000" w:themeColor="text1"/>
                <w:sz w:val="24"/>
                <w:szCs w:val="24"/>
              </w:rPr>
            </w:pPr>
            <w:r w:rsidRPr="00792B36">
              <w:rPr>
                <w:b/>
                <w:bCs/>
                <w:color w:val="000000" w:themeColor="text1"/>
                <w:sz w:val="24"/>
                <w:szCs w:val="24"/>
              </w:rPr>
              <w:t>Development Plan and Distance to the Seagrass:</w:t>
            </w:r>
            <w:r w:rsidRPr="00792B36">
              <w:rPr>
                <w:color w:val="000000" w:themeColor="text1"/>
                <w:sz w:val="24"/>
                <w:szCs w:val="24"/>
              </w:rPr>
              <w:br/>
              <w:t>Major seagrass beds occur within 0.5–2 km from the shoreline, especially around Tha Sae, Pathio, and Lang Suan Districts. Future coastal development plans, including harbor upgrades, aquaculture expansion, and coastal road construction, could increase runoff and alter sediment dynamics. These developments pose a high risk to shallow seagrass habitats due to their proximity to shore and low tolerance to turbidity.</w:t>
            </w:r>
          </w:p>
          <w:p w14:paraId="144E9419" w14:textId="77777777" w:rsidR="009A0A63" w:rsidRPr="00792B36" w:rsidRDefault="009A0A63" w:rsidP="00A24459">
            <w:pPr>
              <w:rPr>
                <w:color w:val="000000" w:themeColor="text1"/>
                <w:sz w:val="24"/>
                <w:szCs w:val="24"/>
              </w:rPr>
            </w:pPr>
          </w:p>
        </w:tc>
      </w:tr>
    </w:tbl>
    <w:p w14:paraId="4505FAB4" w14:textId="77777777" w:rsidR="009A0A63" w:rsidRPr="00792B36" w:rsidRDefault="009A0A63" w:rsidP="009A0A63">
      <w:pPr>
        <w:rPr>
          <w:color w:val="000000" w:themeColor="text1"/>
          <w:sz w:val="24"/>
          <w:szCs w:val="24"/>
        </w:rPr>
      </w:pPr>
    </w:p>
    <w:p w14:paraId="116FA4A2" w14:textId="77777777" w:rsidR="009A0A63" w:rsidRPr="00792B36" w:rsidRDefault="009A0A63" w:rsidP="00F61B37">
      <w:pPr>
        <w:pStyle w:val="ListParagraph"/>
        <w:widowControl/>
        <w:numPr>
          <w:ilvl w:val="0"/>
          <w:numId w:val="45"/>
        </w:numPr>
        <w:spacing w:line="259" w:lineRule="auto"/>
        <w:ind w:left="1135" w:hanging="284"/>
        <w:rPr>
          <w:rFonts w:cs="Arial"/>
          <w:b/>
          <w:bCs/>
          <w:color w:val="000000" w:themeColor="text1"/>
          <w:sz w:val="24"/>
          <w:szCs w:val="24"/>
        </w:rPr>
      </w:pPr>
      <w:r w:rsidRPr="00792B36">
        <w:rPr>
          <w:rFonts w:cs="Arial"/>
          <w:b/>
          <w:bCs/>
          <w:color w:val="000000" w:themeColor="text1"/>
          <w:sz w:val="24"/>
          <w:szCs w:val="24"/>
        </w:rPr>
        <w:t>Social and use information</w:t>
      </w:r>
    </w:p>
    <w:p w14:paraId="030B9B25" w14:textId="77777777" w:rsidR="009A0A63" w:rsidRPr="00792B36" w:rsidRDefault="009A0A63" w:rsidP="009A0A63">
      <w:pPr>
        <w:pStyle w:val="ListParagraph"/>
        <w:ind w:left="1135"/>
        <w:rPr>
          <w:rFonts w:cs="Arial"/>
          <w:b/>
          <w:bCs/>
          <w:i/>
          <w:iCs/>
          <w:color w:val="000000" w:themeColor="text1"/>
          <w:sz w:val="24"/>
          <w:szCs w:val="24"/>
        </w:rPr>
      </w:pPr>
      <w:r w:rsidRPr="00792B36">
        <w:rPr>
          <w:rFonts w:cs="Arial"/>
          <w:b/>
          <w:bCs/>
          <w:i/>
          <w:iCs/>
          <w:color w:val="000000" w:themeColor="text1"/>
          <w:sz w:val="24"/>
          <w:szCs w:val="24"/>
        </w:rPr>
        <w:t>Ownership and management</w:t>
      </w:r>
    </w:p>
    <w:p w14:paraId="6F4B8812" w14:textId="77777777" w:rsidR="009A0A63" w:rsidRPr="00792B36" w:rsidRDefault="009A0A63" w:rsidP="009A0A63">
      <w:pPr>
        <w:pStyle w:val="ListParagraph"/>
        <w:ind w:left="0" w:firstLine="1855"/>
        <w:jc w:val="thaiDistribute"/>
        <w:rPr>
          <w:rFonts w:cs="Arial"/>
          <w:color w:val="000000" w:themeColor="text1"/>
          <w:sz w:val="24"/>
          <w:szCs w:val="24"/>
        </w:rPr>
      </w:pPr>
      <w:r w:rsidRPr="00792B36">
        <w:rPr>
          <w:rFonts w:cs="Arial"/>
          <w:color w:val="000000" w:themeColor="text1"/>
          <w:sz w:val="24"/>
          <w:szCs w:val="24"/>
        </w:rPr>
        <w:t>A review of ownership and management arrangements for coral reef and seagrass areas across the Gulf of Thailand reveals a consistent state-led governance framework that underscores Thailand’s commitment to sustainable marine resource stewardship. All surveyed sites are under state ownership, reflecting national policy priorities for public custodianship of ecologically significant marine habitats.</w:t>
      </w:r>
    </w:p>
    <w:p w14:paraId="3FB00C22" w14:textId="77777777" w:rsidR="009A0A63" w:rsidRPr="00792B36" w:rsidRDefault="009A0A63" w:rsidP="009A0A63">
      <w:pPr>
        <w:pStyle w:val="ListParagraph"/>
        <w:ind w:left="0" w:firstLine="1855"/>
        <w:jc w:val="thaiDistribute"/>
        <w:rPr>
          <w:rFonts w:cs="Arial"/>
          <w:color w:val="000000" w:themeColor="text1"/>
          <w:sz w:val="24"/>
          <w:szCs w:val="24"/>
        </w:rPr>
      </w:pPr>
      <w:r w:rsidRPr="00792B36">
        <w:rPr>
          <w:rFonts w:cs="Arial"/>
          <w:color w:val="000000" w:themeColor="text1"/>
          <w:sz w:val="24"/>
          <w:szCs w:val="24"/>
        </w:rPr>
        <w:t>Management regimes are guided by integrated coastal and marine resource planning, combining land-use zoning, institutional collaboration, and stakeholder engagement. The Department of Marine and Coastal Resources (DMCR) plays a central coordinating role alongside provincial authorities, local governments, and, in offshore areas, the Royal Thai Navy. Across provinces such as Chonburi, Trat, Surat Thani, and Chumphon, management systems integrate conservation, fisheries, and tourism objectives within broader coastal development frameworks.</w:t>
      </w:r>
    </w:p>
    <w:p w14:paraId="5FCE4CD7" w14:textId="77777777" w:rsidR="009A0A63" w:rsidRPr="00792B36" w:rsidRDefault="009A0A63" w:rsidP="009A0A63">
      <w:pPr>
        <w:pStyle w:val="ListParagraph"/>
        <w:ind w:left="0" w:firstLine="1855"/>
        <w:jc w:val="thaiDistribute"/>
        <w:rPr>
          <w:rFonts w:cs="Arial"/>
          <w:color w:val="000000" w:themeColor="text1"/>
          <w:sz w:val="24"/>
          <w:szCs w:val="24"/>
        </w:rPr>
      </w:pPr>
      <w:r w:rsidRPr="00792B36">
        <w:rPr>
          <w:rFonts w:cs="Arial"/>
          <w:color w:val="000000" w:themeColor="text1"/>
          <w:sz w:val="24"/>
          <w:szCs w:val="24"/>
        </w:rPr>
        <w:t>Restoration and conservation measures—including coral transplantation, seagrass rehabilitation, artificial reef installation, and marine debris management—are widely implemented through partnerships between DMCR, NGOs, universities, and local communities. Stakeholder participation is especially evident in community-based initiatives in Koh Kood, Koh Mak, and Koh Tao, where tourism operators and residents collaborate on reef monitoring, eco-tourism promotion, and waste reduction.</w:t>
      </w:r>
    </w:p>
    <w:p w14:paraId="0866C1CE" w14:textId="77777777" w:rsidR="009A0A63" w:rsidRPr="00792B36" w:rsidRDefault="009A0A63" w:rsidP="009A0A63">
      <w:pPr>
        <w:pStyle w:val="ListParagraph"/>
        <w:ind w:left="0" w:firstLine="1855"/>
        <w:jc w:val="thaiDistribute"/>
        <w:rPr>
          <w:rFonts w:cs="Arial"/>
          <w:color w:val="000000" w:themeColor="text1"/>
          <w:sz w:val="24"/>
          <w:szCs w:val="24"/>
        </w:rPr>
      </w:pPr>
      <w:r w:rsidRPr="00792B36">
        <w:rPr>
          <w:rFonts w:cs="Arial"/>
          <w:color w:val="000000" w:themeColor="text1"/>
          <w:sz w:val="24"/>
          <w:szCs w:val="24"/>
        </w:rPr>
        <w:t>This standardized governance model, spanning from Koh Si Chang and Koh Lan to Ban Don Bay and Chumphon, illustrates a unified approach that balances ecological protection with livelihood sustainability. However, the long-term success of these arrangements depends on stronger enforcement, consistent funding, and adaptive management to address site-specific challenges, particularly those linked to coastal development, tourism pressure, and climate change impacts.</w:t>
      </w:r>
      <w:r w:rsidRPr="00792B36">
        <w:rPr>
          <w:rFonts w:cs="Arial"/>
          <w:color w:val="000000" w:themeColor="text1"/>
          <w:sz w:val="24"/>
          <w:szCs w:val="24"/>
          <w:cs/>
        </w:rPr>
        <w:t xml:space="preserve"> (</w:t>
      </w:r>
      <w:r w:rsidRPr="00792B36">
        <w:rPr>
          <w:rFonts w:cs="Arial"/>
          <w:color w:val="000000" w:themeColor="text1"/>
          <w:sz w:val="24"/>
          <w:szCs w:val="24"/>
        </w:rPr>
        <w:t>Table 14</w:t>
      </w:r>
      <w:r w:rsidRPr="00792B36">
        <w:rPr>
          <w:rFonts w:cs="Arial"/>
          <w:color w:val="000000" w:themeColor="text1"/>
          <w:sz w:val="24"/>
          <w:szCs w:val="24"/>
          <w:cs/>
        </w:rPr>
        <w:t>)</w:t>
      </w:r>
    </w:p>
    <w:p w14:paraId="6925AC50" w14:textId="77777777" w:rsidR="009A0A63" w:rsidRPr="00792B36" w:rsidRDefault="009A0A63" w:rsidP="009A0A63">
      <w:pPr>
        <w:pStyle w:val="ListParagraph"/>
        <w:ind w:left="0" w:firstLine="1135"/>
        <w:rPr>
          <w:rFonts w:cs="Arial"/>
          <w:color w:val="000000" w:themeColor="text1"/>
          <w:sz w:val="24"/>
          <w:szCs w:val="24"/>
        </w:rPr>
      </w:pPr>
    </w:p>
    <w:p w14:paraId="655066E8" w14:textId="77777777" w:rsidR="009A0A63" w:rsidRPr="00792B36" w:rsidRDefault="009A0A63" w:rsidP="009A0A63">
      <w:pPr>
        <w:rPr>
          <w:color w:val="000000" w:themeColor="text1"/>
          <w:sz w:val="24"/>
          <w:szCs w:val="24"/>
        </w:rPr>
      </w:pPr>
      <w:r w:rsidRPr="00792B36">
        <w:rPr>
          <w:b/>
          <w:bCs/>
          <w:color w:val="000000" w:themeColor="text1"/>
          <w:sz w:val="24"/>
          <w:szCs w:val="24"/>
        </w:rPr>
        <w:t>Table 14</w:t>
      </w:r>
      <w:r w:rsidRPr="00792B36">
        <w:rPr>
          <w:b/>
          <w:bCs/>
          <w:color w:val="000000" w:themeColor="text1"/>
          <w:sz w:val="24"/>
          <w:szCs w:val="24"/>
          <w:cs/>
        </w:rPr>
        <w:t xml:space="preserve">. </w:t>
      </w:r>
      <w:r w:rsidRPr="00792B36">
        <w:rPr>
          <w:b/>
          <w:bCs/>
          <w:color w:val="000000" w:themeColor="text1"/>
          <w:sz w:val="24"/>
          <w:szCs w:val="24"/>
        </w:rPr>
        <w:t>Coral and seagrass areas in Thailand (Gulf of Thailand)</w:t>
      </w:r>
      <w:r w:rsidRPr="00792B36">
        <w:rPr>
          <w:b/>
          <w:bCs/>
          <w:color w:val="000000" w:themeColor="text1"/>
          <w:sz w:val="24"/>
          <w:szCs w:val="24"/>
          <w:cs/>
        </w:rPr>
        <w:t xml:space="preserve">: </w:t>
      </w:r>
      <w:r w:rsidRPr="00792B36">
        <w:rPr>
          <w:color w:val="000000" w:themeColor="text1"/>
          <w:sz w:val="24"/>
          <w:szCs w:val="24"/>
        </w:rPr>
        <w:t>Social and use information</w:t>
      </w:r>
      <w:r w:rsidRPr="00792B36">
        <w:rPr>
          <w:color w:val="000000" w:themeColor="text1"/>
          <w:sz w:val="24"/>
          <w:szCs w:val="24"/>
          <w:cs/>
        </w:rPr>
        <w:t xml:space="preserve"> </w:t>
      </w:r>
      <w:r w:rsidRPr="00792B36">
        <w:rPr>
          <w:color w:val="000000" w:themeColor="text1"/>
          <w:sz w:val="24"/>
          <w:szCs w:val="24"/>
        </w:rPr>
        <w:t xml:space="preserve">showing </w:t>
      </w:r>
      <w:bookmarkStart w:id="41" w:name="_Hlk203234353"/>
      <w:r w:rsidRPr="00792B36">
        <w:rPr>
          <w:color w:val="000000" w:themeColor="text1"/>
          <w:sz w:val="24"/>
          <w:szCs w:val="24"/>
        </w:rPr>
        <w:t xml:space="preserve">ownership and management </w:t>
      </w:r>
      <w:bookmarkEnd w:id="41"/>
      <w:r w:rsidRPr="00792B36">
        <w:rPr>
          <w:color w:val="000000" w:themeColor="text1"/>
          <w:sz w:val="24"/>
          <w:szCs w:val="24"/>
        </w:rPr>
        <w:t>regime</w:t>
      </w:r>
    </w:p>
    <w:tbl>
      <w:tblPr>
        <w:tblStyle w:val="TableGrid"/>
        <w:tblW w:w="5000" w:type="pct"/>
        <w:tblLook w:val="04A0" w:firstRow="1" w:lastRow="0" w:firstColumn="1" w:lastColumn="0" w:noHBand="0" w:noVBand="1"/>
      </w:tblPr>
      <w:tblGrid>
        <w:gridCol w:w="2483"/>
        <w:gridCol w:w="1557"/>
        <w:gridCol w:w="4970"/>
      </w:tblGrid>
      <w:tr w:rsidR="009A0A63" w:rsidRPr="00792B36" w14:paraId="0A638DD0" w14:textId="77777777" w:rsidTr="00A24459">
        <w:trPr>
          <w:tblHeader/>
        </w:trPr>
        <w:tc>
          <w:tcPr>
            <w:tcW w:w="1378" w:type="pct"/>
          </w:tcPr>
          <w:p w14:paraId="5888B70F" w14:textId="77777777" w:rsidR="009A0A63" w:rsidRPr="00792B36" w:rsidRDefault="009A0A63" w:rsidP="00A24459">
            <w:pPr>
              <w:spacing w:before="120" w:after="120"/>
              <w:jc w:val="center"/>
              <w:rPr>
                <w:b/>
                <w:bCs/>
                <w:color w:val="000000" w:themeColor="text1"/>
                <w:sz w:val="24"/>
                <w:szCs w:val="24"/>
              </w:rPr>
            </w:pPr>
            <w:r w:rsidRPr="00792B36">
              <w:rPr>
                <w:b/>
                <w:bCs/>
                <w:color w:val="000000" w:themeColor="text1"/>
                <w:sz w:val="24"/>
                <w:szCs w:val="24"/>
              </w:rPr>
              <w:t>Name of area</w:t>
            </w:r>
          </w:p>
        </w:tc>
        <w:tc>
          <w:tcPr>
            <w:tcW w:w="864" w:type="pct"/>
          </w:tcPr>
          <w:p w14:paraId="0FE3A00E" w14:textId="77777777" w:rsidR="009A0A63" w:rsidRPr="00792B36" w:rsidRDefault="009A0A63" w:rsidP="00A24459">
            <w:pPr>
              <w:spacing w:before="120" w:after="120"/>
              <w:jc w:val="center"/>
              <w:rPr>
                <w:b/>
                <w:bCs/>
                <w:color w:val="000000" w:themeColor="text1"/>
                <w:sz w:val="24"/>
                <w:szCs w:val="24"/>
              </w:rPr>
            </w:pPr>
            <w:r w:rsidRPr="00792B36">
              <w:rPr>
                <w:b/>
                <w:bCs/>
                <w:color w:val="000000" w:themeColor="text1"/>
                <w:sz w:val="24"/>
                <w:szCs w:val="24"/>
              </w:rPr>
              <w:t>Ownership</w:t>
            </w:r>
          </w:p>
        </w:tc>
        <w:tc>
          <w:tcPr>
            <w:tcW w:w="2758" w:type="pct"/>
          </w:tcPr>
          <w:p w14:paraId="2A7FF841" w14:textId="77777777" w:rsidR="009A0A63" w:rsidRPr="00792B36" w:rsidRDefault="009A0A63" w:rsidP="00A24459">
            <w:pPr>
              <w:spacing w:before="120" w:after="120"/>
              <w:jc w:val="center"/>
              <w:rPr>
                <w:b/>
                <w:bCs/>
                <w:color w:val="000000" w:themeColor="text1"/>
                <w:sz w:val="24"/>
                <w:szCs w:val="24"/>
              </w:rPr>
            </w:pPr>
            <w:r w:rsidRPr="00792B36">
              <w:rPr>
                <w:b/>
                <w:bCs/>
                <w:color w:val="000000" w:themeColor="text1"/>
                <w:sz w:val="24"/>
                <w:szCs w:val="24"/>
              </w:rPr>
              <w:t>Management regime</w:t>
            </w:r>
          </w:p>
        </w:tc>
      </w:tr>
      <w:tr w:rsidR="009A0A63" w:rsidRPr="00792B36" w14:paraId="65FC6538" w14:textId="77777777" w:rsidTr="00A24459">
        <w:tc>
          <w:tcPr>
            <w:tcW w:w="1378" w:type="pct"/>
          </w:tcPr>
          <w:p w14:paraId="284420E2" w14:textId="77777777" w:rsidR="009A0A63" w:rsidRPr="00792B36" w:rsidRDefault="009A0A63" w:rsidP="00A24459">
            <w:pPr>
              <w:rPr>
                <w:b/>
                <w:bCs/>
                <w:color w:val="000000" w:themeColor="text1"/>
                <w:sz w:val="24"/>
                <w:szCs w:val="24"/>
              </w:rPr>
            </w:pPr>
            <w:r w:rsidRPr="00792B36">
              <w:rPr>
                <w:color w:val="000000" w:themeColor="text1"/>
                <w:sz w:val="24"/>
                <w:szCs w:val="24"/>
              </w:rPr>
              <w:t xml:space="preserve">CR:1 Koh Si Chang </w:t>
            </w:r>
          </w:p>
        </w:tc>
        <w:tc>
          <w:tcPr>
            <w:tcW w:w="864" w:type="pct"/>
          </w:tcPr>
          <w:p w14:paraId="58AE3A0B" w14:textId="77777777" w:rsidR="009A0A63" w:rsidRPr="00792B36" w:rsidRDefault="009A0A63" w:rsidP="00A24459">
            <w:pPr>
              <w:jc w:val="center"/>
              <w:rPr>
                <w:color w:val="000000" w:themeColor="text1"/>
                <w:sz w:val="24"/>
                <w:szCs w:val="24"/>
              </w:rPr>
            </w:pPr>
            <w:r w:rsidRPr="00792B36">
              <w:rPr>
                <w:color w:val="000000" w:themeColor="text1"/>
                <w:sz w:val="24"/>
                <w:szCs w:val="24"/>
              </w:rPr>
              <w:t>State</w:t>
            </w:r>
          </w:p>
        </w:tc>
        <w:tc>
          <w:tcPr>
            <w:tcW w:w="2758" w:type="pct"/>
          </w:tcPr>
          <w:p w14:paraId="2EF59DD3" w14:textId="77777777" w:rsidR="009A0A63" w:rsidRPr="00792B36" w:rsidRDefault="009A0A63" w:rsidP="00A24459">
            <w:pPr>
              <w:rPr>
                <w:color w:val="000000" w:themeColor="text1"/>
                <w:sz w:val="24"/>
                <w:szCs w:val="24"/>
              </w:rPr>
            </w:pPr>
            <w:r w:rsidRPr="00792B36">
              <w:rPr>
                <w:color w:val="000000" w:themeColor="text1"/>
                <w:sz w:val="24"/>
                <w:szCs w:val="24"/>
              </w:rPr>
              <w:t>Koh Si Chang is managed under Chonburi Province’s coastal zoning plan, but enforcement is limited due to overlapping industrial, tourism, and conservation uses. The Department of Marine and Coastal Resources (DMCR) leads reef monitoring, while local authorities oversee land and tourism management. Coordination among DMCR, the Marine Department, and Laem Chabang Port Authority remains essential to address pollution and sedimentation.</w:t>
            </w:r>
          </w:p>
          <w:p w14:paraId="1FB47BB9" w14:textId="77777777" w:rsidR="009A0A63" w:rsidRPr="00792B36" w:rsidRDefault="009A0A63" w:rsidP="00A24459">
            <w:pPr>
              <w:rPr>
                <w:color w:val="000000" w:themeColor="text1"/>
                <w:sz w:val="24"/>
                <w:szCs w:val="24"/>
              </w:rPr>
            </w:pPr>
            <w:r w:rsidRPr="00792B36">
              <w:rPr>
                <w:color w:val="000000" w:themeColor="text1"/>
                <w:sz w:val="24"/>
                <w:szCs w:val="24"/>
              </w:rPr>
              <w:t xml:space="preserve">Stakeholder cooperation involves local </w:t>
            </w:r>
            <w:r w:rsidRPr="00792B36">
              <w:rPr>
                <w:color w:val="000000" w:themeColor="text1"/>
                <w:sz w:val="24"/>
                <w:szCs w:val="24"/>
              </w:rPr>
              <w:lastRenderedPageBreak/>
              <w:t>government, tourism operators, fishers, and port authorities, though co-management is still developing. Small-scale coral restoration and marine litter reduction projects are ongoing, supported by universities and dive groups.</w:t>
            </w:r>
          </w:p>
          <w:p w14:paraId="69FB3A67" w14:textId="77777777" w:rsidR="009A0A63" w:rsidRPr="00792B36" w:rsidRDefault="009A0A63" w:rsidP="00A24459">
            <w:pPr>
              <w:rPr>
                <w:color w:val="000000" w:themeColor="text1"/>
                <w:sz w:val="24"/>
                <w:szCs w:val="24"/>
              </w:rPr>
            </w:pPr>
            <w:r w:rsidRPr="00792B36">
              <w:rPr>
                <w:color w:val="000000" w:themeColor="text1"/>
                <w:sz w:val="24"/>
                <w:szCs w:val="24"/>
              </w:rPr>
              <w:t>Fishing is mostly small-scale and non-destructive, but nearshore activity still affects coral habitats. Future priorities include stronger zoning enforcement, integrated land–sea planning, sustainable tourism, and a local conservation fund to enhance reef resilience and long-term management effectiveness.</w:t>
            </w:r>
          </w:p>
        </w:tc>
      </w:tr>
      <w:tr w:rsidR="009A0A63" w:rsidRPr="00792B36" w14:paraId="4BAB1ABE" w14:textId="77777777" w:rsidTr="00A24459">
        <w:tc>
          <w:tcPr>
            <w:tcW w:w="1378" w:type="pct"/>
          </w:tcPr>
          <w:p w14:paraId="1EC41373" w14:textId="77777777" w:rsidR="009A0A63" w:rsidRPr="00792B36" w:rsidRDefault="009A0A63" w:rsidP="00A24459">
            <w:pPr>
              <w:rPr>
                <w:b/>
                <w:bCs/>
                <w:color w:val="000000" w:themeColor="text1"/>
                <w:sz w:val="24"/>
                <w:szCs w:val="24"/>
              </w:rPr>
            </w:pPr>
            <w:r w:rsidRPr="00792B36">
              <w:rPr>
                <w:color w:val="000000" w:themeColor="text1"/>
                <w:sz w:val="24"/>
                <w:szCs w:val="24"/>
              </w:rPr>
              <w:lastRenderedPageBreak/>
              <w:t xml:space="preserve">CR:2 Koh Lan </w:t>
            </w:r>
          </w:p>
        </w:tc>
        <w:tc>
          <w:tcPr>
            <w:tcW w:w="864" w:type="pct"/>
          </w:tcPr>
          <w:p w14:paraId="632AF127" w14:textId="77777777" w:rsidR="009A0A63" w:rsidRPr="00792B36" w:rsidRDefault="009A0A63" w:rsidP="00A24459">
            <w:pPr>
              <w:jc w:val="center"/>
              <w:rPr>
                <w:b/>
                <w:bCs/>
                <w:color w:val="000000" w:themeColor="text1"/>
                <w:sz w:val="24"/>
                <w:szCs w:val="24"/>
              </w:rPr>
            </w:pPr>
            <w:r w:rsidRPr="00792B36">
              <w:rPr>
                <w:color w:val="000000" w:themeColor="text1"/>
                <w:sz w:val="24"/>
                <w:szCs w:val="24"/>
              </w:rPr>
              <w:t>State</w:t>
            </w:r>
          </w:p>
        </w:tc>
        <w:tc>
          <w:tcPr>
            <w:tcW w:w="2758" w:type="pct"/>
          </w:tcPr>
          <w:p w14:paraId="01723EDC" w14:textId="77777777" w:rsidR="009A0A63" w:rsidRPr="00792B36" w:rsidRDefault="009A0A63" w:rsidP="00A24459">
            <w:pPr>
              <w:rPr>
                <w:color w:val="000000" w:themeColor="text1"/>
                <w:sz w:val="24"/>
                <w:szCs w:val="24"/>
              </w:rPr>
            </w:pPr>
            <w:r w:rsidRPr="00792B36">
              <w:rPr>
                <w:color w:val="000000" w:themeColor="text1"/>
                <w:sz w:val="24"/>
                <w:szCs w:val="24"/>
              </w:rPr>
              <w:t>Koh Lan is managed under Pattaya City and Chonburi Province’s coastal zoning plan, focusing on tourism, fisheries, and environmental protection. However, rapid tourism growth and limited zoning enforcement have led to conflicts between development and reef conservation.</w:t>
            </w:r>
          </w:p>
          <w:p w14:paraId="16E241A9" w14:textId="77777777" w:rsidR="009A0A63" w:rsidRPr="00792B36" w:rsidRDefault="009A0A63" w:rsidP="00A24459">
            <w:pPr>
              <w:rPr>
                <w:color w:val="000000" w:themeColor="text1"/>
                <w:sz w:val="24"/>
                <w:szCs w:val="24"/>
              </w:rPr>
            </w:pPr>
            <w:r w:rsidRPr="00792B36">
              <w:rPr>
                <w:color w:val="000000" w:themeColor="text1"/>
                <w:sz w:val="24"/>
                <w:szCs w:val="24"/>
              </w:rPr>
              <w:t>The Department of Marine and Coastal Resources (DMCR) and Pattaya City Municipality are the main authorities overseeing marine resource management, wastewater treatment, and tourism regulation. Coordination among agencies remains weak, particularly in managing waste, anchoring, and nearshore reef protection.</w:t>
            </w:r>
          </w:p>
          <w:p w14:paraId="00FDABAB" w14:textId="77777777" w:rsidR="009A0A63" w:rsidRPr="00792B36" w:rsidRDefault="009A0A63" w:rsidP="00A24459">
            <w:pPr>
              <w:rPr>
                <w:color w:val="000000" w:themeColor="text1"/>
                <w:sz w:val="24"/>
                <w:szCs w:val="24"/>
              </w:rPr>
            </w:pPr>
            <w:r w:rsidRPr="00792B36">
              <w:rPr>
                <w:color w:val="000000" w:themeColor="text1"/>
                <w:sz w:val="24"/>
                <w:szCs w:val="24"/>
              </w:rPr>
              <w:t>Stakeholders include local government, tourism operators, dive centers, and fishing communities. Some coral restoration and beach clean-up projects have been initiated by DMCR, local NGOs, and private tourism businesses, but sustained funding and long-term monitoring are limited.</w:t>
            </w:r>
          </w:p>
          <w:p w14:paraId="1EAF71BD" w14:textId="77777777" w:rsidR="009A0A63" w:rsidRPr="00792B36" w:rsidRDefault="009A0A63" w:rsidP="00A24459">
            <w:pPr>
              <w:rPr>
                <w:color w:val="000000" w:themeColor="text1"/>
                <w:sz w:val="24"/>
                <w:szCs w:val="24"/>
              </w:rPr>
            </w:pPr>
            <w:r w:rsidRPr="00792B36">
              <w:rPr>
                <w:color w:val="000000" w:themeColor="text1"/>
                <w:sz w:val="24"/>
                <w:szCs w:val="24"/>
              </w:rPr>
              <w:t>Fishing around Koh Lan is small-scale, mainly traps and lines, with no destructive fishing reported, though anchoring and coastal activities continue to disturb coral zones.</w:t>
            </w:r>
          </w:p>
        </w:tc>
      </w:tr>
      <w:tr w:rsidR="009A0A63" w:rsidRPr="00792B36" w14:paraId="5608D3AE" w14:textId="77777777" w:rsidTr="00A24459">
        <w:tc>
          <w:tcPr>
            <w:tcW w:w="1378" w:type="pct"/>
          </w:tcPr>
          <w:p w14:paraId="7E2DC5C2" w14:textId="77777777" w:rsidR="009A0A63" w:rsidRPr="00792B36" w:rsidRDefault="009A0A63" w:rsidP="00A24459">
            <w:pPr>
              <w:rPr>
                <w:b/>
                <w:bCs/>
                <w:color w:val="000000" w:themeColor="text1"/>
                <w:sz w:val="24"/>
                <w:szCs w:val="24"/>
              </w:rPr>
            </w:pPr>
            <w:r w:rsidRPr="00792B36">
              <w:rPr>
                <w:color w:val="000000" w:themeColor="text1"/>
                <w:sz w:val="24"/>
                <w:szCs w:val="24"/>
              </w:rPr>
              <w:t>CR:3 Koh Kood</w:t>
            </w:r>
          </w:p>
        </w:tc>
        <w:tc>
          <w:tcPr>
            <w:tcW w:w="864" w:type="pct"/>
          </w:tcPr>
          <w:p w14:paraId="3D08A268" w14:textId="77777777" w:rsidR="009A0A63" w:rsidRPr="00792B36" w:rsidRDefault="009A0A63" w:rsidP="00A24459">
            <w:pPr>
              <w:jc w:val="center"/>
              <w:rPr>
                <w:b/>
                <w:bCs/>
                <w:color w:val="000000" w:themeColor="text1"/>
                <w:sz w:val="24"/>
                <w:szCs w:val="24"/>
              </w:rPr>
            </w:pPr>
            <w:r w:rsidRPr="00792B36">
              <w:rPr>
                <w:color w:val="000000" w:themeColor="text1"/>
                <w:sz w:val="24"/>
                <w:szCs w:val="24"/>
              </w:rPr>
              <w:t>State</w:t>
            </w:r>
          </w:p>
        </w:tc>
        <w:tc>
          <w:tcPr>
            <w:tcW w:w="2758" w:type="pct"/>
          </w:tcPr>
          <w:p w14:paraId="0F4B3E16" w14:textId="77777777" w:rsidR="009A0A63" w:rsidRPr="00792B36" w:rsidRDefault="009A0A63" w:rsidP="00A24459">
            <w:pPr>
              <w:rPr>
                <w:color w:val="000000" w:themeColor="text1"/>
                <w:sz w:val="24"/>
                <w:szCs w:val="24"/>
              </w:rPr>
            </w:pPr>
            <w:r w:rsidRPr="00792B36">
              <w:rPr>
                <w:color w:val="000000" w:themeColor="text1"/>
                <w:sz w:val="24"/>
                <w:szCs w:val="24"/>
              </w:rPr>
              <w:t xml:space="preserve">Koh Kood is managed under Trat Province’s coastal and marine resource plan, emphasizing sustainable tourism, fisheries, and conservation. The Department of Marine and Coastal Resources (DMCR), Trat Provincial Office, and Koh Kood </w:t>
            </w:r>
            <w:r w:rsidRPr="00792B36">
              <w:rPr>
                <w:color w:val="000000" w:themeColor="text1"/>
                <w:sz w:val="24"/>
                <w:szCs w:val="24"/>
              </w:rPr>
              <w:lastRenderedPageBreak/>
              <w:t>Subdistrict Administrative Organization share responsibilities for reef protection, land-use control, and tourism management.</w:t>
            </w:r>
          </w:p>
          <w:p w14:paraId="54997E59" w14:textId="77777777" w:rsidR="009A0A63" w:rsidRPr="00792B36" w:rsidRDefault="009A0A63" w:rsidP="00A24459">
            <w:pPr>
              <w:rPr>
                <w:color w:val="000000" w:themeColor="text1"/>
                <w:sz w:val="24"/>
                <w:szCs w:val="24"/>
              </w:rPr>
            </w:pPr>
            <w:r w:rsidRPr="00792B36">
              <w:rPr>
                <w:color w:val="000000" w:themeColor="text1"/>
                <w:sz w:val="24"/>
                <w:szCs w:val="24"/>
              </w:rPr>
              <w:t>Land-use planning promotes eco-tourism and low-impact development, with zoning that separates resort, fishing, and conservation areas. However, as tourism expands, stronger enforcement is needed to prevent wastewater discharge, coastal construction impacts, and anchor damage to nearby coral reefs.</w:t>
            </w:r>
          </w:p>
          <w:p w14:paraId="1F910A8E" w14:textId="77777777" w:rsidR="009A0A63" w:rsidRPr="00792B36" w:rsidRDefault="009A0A63" w:rsidP="00A24459">
            <w:pPr>
              <w:rPr>
                <w:color w:val="000000" w:themeColor="text1"/>
                <w:sz w:val="24"/>
                <w:szCs w:val="24"/>
              </w:rPr>
            </w:pPr>
            <w:r w:rsidRPr="00792B36">
              <w:rPr>
                <w:color w:val="000000" w:themeColor="text1"/>
                <w:sz w:val="24"/>
                <w:szCs w:val="24"/>
              </w:rPr>
              <w:t>Stakeholder collaboration includes local authorities, tourism operators, resort owners, fishers, and community groups, working together on coral restoration, waste reduction, and sustainable tourism practices. Restoration activities, supported by DMCR and local NGOs, include small-scale coral transplantation and mooring buoy installation.</w:t>
            </w:r>
          </w:p>
          <w:p w14:paraId="1A4EA47B" w14:textId="77777777" w:rsidR="009A0A63" w:rsidRPr="00792B36" w:rsidRDefault="009A0A63" w:rsidP="00A24459">
            <w:pPr>
              <w:rPr>
                <w:color w:val="000000" w:themeColor="text1"/>
                <w:sz w:val="24"/>
                <w:szCs w:val="24"/>
              </w:rPr>
            </w:pPr>
            <w:r w:rsidRPr="00792B36">
              <w:rPr>
                <w:color w:val="000000" w:themeColor="text1"/>
                <w:sz w:val="24"/>
                <w:szCs w:val="24"/>
              </w:rPr>
              <w:t>Fishing around Koh Kood is small-scale and traditional, with no reports of destructive practices. Ongoing promotion of sustainable fishing zones and community awareness supports conservation goals.</w:t>
            </w:r>
          </w:p>
        </w:tc>
      </w:tr>
      <w:tr w:rsidR="009A0A63" w:rsidRPr="00792B36" w14:paraId="32C4535D" w14:textId="77777777" w:rsidTr="00A24459">
        <w:tc>
          <w:tcPr>
            <w:tcW w:w="1378" w:type="pct"/>
          </w:tcPr>
          <w:p w14:paraId="2BADA19D" w14:textId="77777777" w:rsidR="009A0A63" w:rsidRPr="00792B36" w:rsidRDefault="009A0A63" w:rsidP="00A24459">
            <w:pPr>
              <w:rPr>
                <w:b/>
                <w:bCs/>
                <w:color w:val="000000" w:themeColor="text1"/>
                <w:sz w:val="24"/>
                <w:szCs w:val="24"/>
              </w:rPr>
            </w:pPr>
            <w:r w:rsidRPr="00792B36">
              <w:rPr>
                <w:color w:val="000000" w:themeColor="text1"/>
                <w:sz w:val="24"/>
                <w:szCs w:val="24"/>
              </w:rPr>
              <w:lastRenderedPageBreak/>
              <w:t>CR:4 Koh Mak</w:t>
            </w:r>
          </w:p>
        </w:tc>
        <w:tc>
          <w:tcPr>
            <w:tcW w:w="864" w:type="pct"/>
          </w:tcPr>
          <w:p w14:paraId="3F1DD0FD" w14:textId="77777777" w:rsidR="009A0A63" w:rsidRPr="00792B36" w:rsidRDefault="009A0A63" w:rsidP="00A24459">
            <w:pPr>
              <w:jc w:val="center"/>
              <w:rPr>
                <w:b/>
                <w:bCs/>
                <w:color w:val="000000" w:themeColor="text1"/>
                <w:sz w:val="24"/>
                <w:szCs w:val="24"/>
              </w:rPr>
            </w:pPr>
            <w:r w:rsidRPr="00792B36">
              <w:rPr>
                <w:color w:val="000000" w:themeColor="text1"/>
                <w:sz w:val="24"/>
                <w:szCs w:val="24"/>
              </w:rPr>
              <w:t>State</w:t>
            </w:r>
          </w:p>
        </w:tc>
        <w:tc>
          <w:tcPr>
            <w:tcW w:w="2758" w:type="pct"/>
          </w:tcPr>
          <w:p w14:paraId="75E7424A" w14:textId="77777777" w:rsidR="009A0A63" w:rsidRPr="00792B36" w:rsidRDefault="009A0A63" w:rsidP="00A24459">
            <w:pPr>
              <w:rPr>
                <w:color w:val="000000" w:themeColor="text1"/>
                <w:sz w:val="24"/>
                <w:szCs w:val="24"/>
              </w:rPr>
            </w:pPr>
            <w:r w:rsidRPr="00792B36">
              <w:rPr>
                <w:color w:val="000000" w:themeColor="text1"/>
                <w:sz w:val="24"/>
                <w:szCs w:val="24"/>
              </w:rPr>
              <w:t>Koh Mak is managed under Trat Province’s coastal resource and tourism development plan, focusing on sustainable, low-impact tourism and marine ecosystem conservation. The Department of Marine and Coastal Resources (DMCR), Trat Provincial Office, and Koh Mak Subdistrict Administrative Organization coordinate management, while the Koh Mak Community Tourism Association plays a key role in local environmental stewardship.</w:t>
            </w:r>
          </w:p>
          <w:p w14:paraId="43E6FC8E" w14:textId="77777777" w:rsidR="009A0A63" w:rsidRPr="00792B36" w:rsidRDefault="009A0A63" w:rsidP="00A24459">
            <w:pPr>
              <w:rPr>
                <w:color w:val="000000" w:themeColor="text1"/>
                <w:sz w:val="24"/>
                <w:szCs w:val="24"/>
              </w:rPr>
            </w:pPr>
            <w:r w:rsidRPr="00792B36">
              <w:rPr>
                <w:color w:val="000000" w:themeColor="text1"/>
                <w:sz w:val="24"/>
                <w:szCs w:val="24"/>
              </w:rPr>
              <w:t>Land-use planning emphasizes eco-tourism zoning, with most coral reef areas located within designated conservation zones. Coastal development is regulated to limit construction near sensitive habitats, although enforcement capacity remains limited.</w:t>
            </w:r>
          </w:p>
          <w:p w14:paraId="0F73AE2D" w14:textId="77777777" w:rsidR="009A0A63" w:rsidRPr="00792B36" w:rsidRDefault="009A0A63" w:rsidP="00A24459">
            <w:pPr>
              <w:rPr>
                <w:color w:val="000000" w:themeColor="text1"/>
                <w:sz w:val="24"/>
                <w:szCs w:val="24"/>
              </w:rPr>
            </w:pPr>
            <w:r w:rsidRPr="00792B36">
              <w:rPr>
                <w:color w:val="000000" w:themeColor="text1"/>
                <w:sz w:val="24"/>
                <w:szCs w:val="24"/>
              </w:rPr>
              <w:t xml:space="preserve">Stakeholder coordination is relatively strong, involving local resorts, dive operators, DMCR, and community groups, which collaborate on coral reef monitoring, marine litter management, and environmental </w:t>
            </w:r>
            <w:r w:rsidRPr="00792B36">
              <w:rPr>
                <w:color w:val="000000" w:themeColor="text1"/>
                <w:sz w:val="24"/>
                <w:szCs w:val="24"/>
              </w:rPr>
              <w:lastRenderedPageBreak/>
              <w:t>awareness campaigns. Several coral restoration and mooring buoy projects have been initiated through community and private-sector partnerships.</w:t>
            </w:r>
          </w:p>
          <w:p w14:paraId="63EDBEF9" w14:textId="77777777" w:rsidR="009A0A63" w:rsidRPr="00792B36" w:rsidRDefault="009A0A63" w:rsidP="00A24459">
            <w:pPr>
              <w:rPr>
                <w:color w:val="000000" w:themeColor="text1"/>
                <w:sz w:val="24"/>
                <w:szCs w:val="24"/>
              </w:rPr>
            </w:pPr>
            <w:r w:rsidRPr="00792B36">
              <w:rPr>
                <w:color w:val="000000" w:themeColor="text1"/>
                <w:sz w:val="24"/>
                <w:szCs w:val="24"/>
              </w:rPr>
              <w:t>Fishing activity is small-scale and community-based, using traditional, non-destructive gear. Community regulations help restrict fishing in coral and seagrass areas, supporting reef recovery.</w:t>
            </w:r>
          </w:p>
        </w:tc>
      </w:tr>
      <w:tr w:rsidR="009A0A63" w:rsidRPr="00792B36" w14:paraId="07E1017E" w14:textId="77777777" w:rsidTr="00A24459">
        <w:tc>
          <w:tcPr>
            <w:tcW w:w="1378" w:type="pct"/>
          </w:tcPr>
          <w:p w14:paraId="30BEE8C2" w14:textId="77777777" w:rsidR="009A0A63" w:rsidRPr="00792B36" w:rsidRDefault="009A0A63" w:rsidP="00A24459">
            <w:pPr>
              <w:rPr>
                <w:color w:val="000000" w:themeColor="text1"/>
                <w:sz w:val="24"/>
                <w:szCs w:val="24"/>
              </w:rPr>
            </w:pPr>
            <w:r w:rsidRPr="00792B36">
              <w:rPr>
                <w:color w:val="000000" w:themeColor="text1"/>
                <w:sz w:val="24"/>
                <w:szCs w:val="24"/>
              </w:rPr>
              <w:lastRenderedPageBreak/>
              <w:t>CR:5 Koh Tao</w:t>
            </w:r>
          </w:p>
        </w:tc>
        <w:tc>
          <w:tcPr>
            <w:tcW w:w="864" w:type="pct"/>
          </w:tcPr>
          <w:p w14:paraId="26F42961" w14:textId="77777777" w:rsidR="009A0A63" w:rsidRPr="00792B36" w:rsidRDefault="009A0A63" w:rsidP="00A24459">
            <w:pPr>
              <w:jc w:val="center"/>
              <w:rPr>
                <w:color w:val="000000" w:themeColor="text1"/>
                <w:sz w:val="24"/>
                <w:szCs w:val="24"/>
              </w:rPr>
            </w:pPr>
            <w:r w:rsidRPr="00792B36">
              <w:rPr>
                <w:color w:val="000000" w:themeColor="text1"/>
                <w:sz w:val="24"/>
                <w:szCs w:val="24"/>
              </w:rPr>
              <w:t>State</w:t>
            </w:r>
          </w:p>
        </w:tc>
        <w:tc>
          <w:tcPr>
            <w:tcW w:w="2758" w:type="pct"/>
          </w:tcPr>
          <w:p w14:paraId="7FE42BFA" w14:textId="77777777" w:rsidR="009A0A63" w:rsidRPr="00792B36" w:rsidRDefault="009A0A63" w:rsidP="00A24459">
            <w:pPr>
              <w:rPr>
                <w:color w:val="000000" w:themeColor="text1"/>
                <w:sz w:val="24"/>
                <w:szCs w:val="24"/>
              </w:rPr>
            </w:pPr>
            <w:r w:rsidRPr="00792B36">
              <w:rPr>
                <w:color w:val="000000" w:themeColor="text1"/>
                <w:sz w:val="24"/>
                <w:szCs w:val="24"/>
              </w:rPr>
              <w:t>Koh Tao is managed under Surat Thani Province’s coastal and marine resource plan, with a focus on coral reef conservation, sustainable tourism, and community-based management. The Department of Marine and Coastal Resources (DMCR), Koh Tao Subdistrict Administrative Organization, and local tourism networks share responsibilities for environmental protection, waste management, and reef monitoring.</w:t>
            </w:r>
          </w:p>
          <w:p w14:paraId="6F78096F" w14:textId="77777777" w:rsidR="009A0A63" w:rsidRPr="00792B36" w:rsidRDefault="009A0A63" w:rsidP="00A24459">
            <w:pPr>
              <w:rPr>
                <w:color w:val="000000" w:themeColor="text1"/>
                <w:sz w:val="24"/>
                <w:szCs w:val="24"/>
              </w:rPr>
            </w:pPr>
            <w:r w:rsidRPr="00792B36">
              <w:rPr>
                <w:color w:val="000000" w:themeColor="text1"/>
                <w:sz w:val="24"/>
                <w:szCs w:val="24"/>
              </w:rPr>
              <w:t>Land-use planning promotes controlled tourism development, but continued infrastructure expansion and waste generation challenge enforcement. Most coral reefs lie within 50–300 meters of the shore, making them highly vulnerable to runoff, anchoring, and wastewater discharge from resorts and dive operations.</w:t>
            </w:r>
          </w:p>
          <w:p w14:paraId="6B0ECBA7" w14:textId="77777777" w:rsidR="009A0A63" w:rsidRPr="00792B36" w:rsidRDefault="009A0A63" w:rsidP="00A24459">
            <w:pPr>
              <w:rPr>
                <w:color w:val="000000" w:themeColor="text1"/>
                <w:sz w:val="24"/>
                <w:szCs w:val="24"/>
              </w:rPr>
            </w:pPr>
            <w:r w:rsidRPr="00792B36">
              <w:rPr>
                <w:color w:val="000000" w:themeColor="text1"/>
                <w:sz w:val="24"/>
                <w:szCs w:val="24"/>
              </w:rPr>
              <w:t>Stakeholder collaboration is strong, involving local dive operators, NGOs, universities, and community groups. Initiatives such as coral nurseries, mooring buoy installation, reef clean-ups, and citizen science monitoring are well established. Koh Tao is a national model for community-driven coral restoration and marine conservation.</w:t>
            </w:r>
          </w:p>
          <w:p w14:paraId="31A7A7E6" w14:textId="77777777" w:rsidR="009A0A63" w:rsidRPr="00792B36" w:rsidRDefault="009A0A63" w:rsidP="00A24459">
            <w:pPr>
              <w:rPr>
                <w:color w:val="000000" w:themeColor="text1"/>
                <w:sz w:val="24"/>
                <w:szCs w:val="24"/>
              </w:rPr>
            </w:pPr>
            <w:r w:rsidRPr="00792B36">
              <w:rPr>
                <w:color w:val="000000" w:themeColor="text1"/>
                <w:sz w:val="24"/>
                <w:szCs w:val="24"/>
              </w:rPr>
              <w:t>Fishing is minimal and small-scale, with strict local regulations and marine protected zones that prohibit destructive practices.</w:t>
            </w:r>
          </w:p>
        </w:tc>
      </w:tr>
      <w:tr w:rsidR="009A0A63" w:rsidRPr="00792B36" w14:paraId="2A48C233" w14:textId="77777777" w:rsidTr="00A24459">
        <w:tc>
          <w:tcPr>
            <w:tcW w:w="1378" w:type="pct"/>
          </w:tcPr>
          <w:p w14:paraId="5E02F791" w14:textId="77777777" w:rsidR="009A0A63" w:rsidRPr="00792B36" w:rsidRDefault="009A0A63" w:rsidP="00A24459">
            <w:pPr>
              <w:rPr>
                <w:color w:val="000000" w:themeColor="text1"/>
                <w:sz w:val="24"/>
                <w:szCs w:val="24"/>
              </w:rPr>
            </w:pPr>
            <w:r w:rsidRPr="00792B36">
              <w:rPr>
                <w:color w:val="000000" w:themeColor="text1"/>
                <w:sz w:val="24"/>
                <w:szCs w:val="24"/>
              </w:rPr>
              <w:t>CR:6 Koh Kra</w:t>
            </w:r>
          </w:p>
        </w:tc>
        <w:tc>
          <w:tcPr>
            <w:tcW w:w="864" w:type="pct"/>
          </w:tcPr>
          <w:p w14:paraId="32E069BE" w14:textId="77777777" w:rsidR="009A0A63" w:rsidRPr="00792B36" w:rsidRDefault="009A0A63" w:rsidP="00A24459">
            <w:pPr>
              <w:jc w:val="center"/>
              <w:rPr>
                <w:color w:val="000000" w:themeColor="text1"/>
                <w:sz w:val="24"/>
                <w:szCs w:val="24"/>
              </w:rPr>
            </w:pPr>
            <w:r w:rsidRPr="00792B36">
              <w:rPr>
                <w:color w:val="000000" w:themeColor="text1"/>
                <w:sz w:val="24"/>
                <w:szCs w:val="24"/>
              </w:rPr>
              <w:t>State</w:t>
            </w:r>
          </w:p>
        </w:tc>
        <w:tc>
          <w:tcPr>
            <w:tcW w:w="2758" w:type="pct"/>
          </w:tcPr>
          <w:p w14:paraId="66455F5C" w14:textId="77777777" w:rsidR="009A0A63" w:rsidRPr="00792B36" w:rsidRDefault="009A0A63" w:rsidP="00A24459">
            <w:pPr>
              <w:rPr>
                <w:color w:val="000000" w:themeColor="text1"/>
                <w:sz w:val="24"/>
                <w:szCs w:val="24"/>
              </w:rPr>
            </w:pPr>
            <w:r w:rsidRPr="00792B36">
              <w:rPr>
                <w:color w:val="000000" w:themeColor="text1"/>
                <w:sz w:val="24"/>
                <w:szCs w:val="24"/>
              </w:rPr>
              <w:t>Koh Kra is managed under the jurisdiction of the Department of Marine and Coastal Resources (DMCR) and the Royal Thai Navy, as part of Thailand’s national marine conservation network. The island group is uninhabited and designated as a strict conservation area, focusing on coral reef protection, biodiversity conservation, and enforcement of fishery regulations.</w:t>
            </w:r>
          </w:p>
          <w:p w14:paraId="0E683540" w14:textId="77777777" w:rsidR="009A0A63" w:rsidRPr="00792B36" w:rsidRDefault="009A0A63" w:rsidP="00A24459">
            <w:pPr>
              <w:rPr>
                <w:color w:val="000000" w:themeColor="text1"/>
                <w:sz w:val="24"/>
                <w:szCs w:val="24"/>
              </w:rPr>
            </w:pPr>
            <w:r w:rsidRPr="00792B36">
              <w:rPr>
                <w:color w:val="000000" w:themeColor="text1"/>
                <w:sz w:val="24"/>
                <w:szCs w:val="24"/>
              </w:rPr>
              <w:t xml:space="preserve">Land-use planning is minimal due to the </w:t>
            </w:r>
            <w:r w:rsidRPr="00792B36">
              <w:rPr>
                <w:color w:val="000000" w:themeColor="text1"/>
                <w:sz w:val="24"/>
                <w:szCs w:val="24"/>
              </w:rPr>
              <w:lastRenderedPageBreak/>
              <w:t>island’s remote offshore location (~70 km from Nakhon Si Thammarat). No development or tourism infrastructure is permitted, and access is strictly controlled for research, conservation, and authorized patrol missions.</w:t>
            </w:r>
          </w:p>
          <w:p w14:paraId="4ECF9025" w14:textId="77777777" w:rsidR="009A0A63" w:rsidRPr="00792B36" w:rsidRDefault="009A0A63" w:rsidP="00A24459">
            <w:pPr>
              <w:rPr>
                <w:color w:val="000000" w:themeColor="text1"/>
                <w:sz w:val="24"/>
                <w:szCs w:val="24"/>
              </w:rPr>
            </w:pPr>
            <w:r w:rsidRPr="00792B36">
              <w:rPr>
                <w:color w:val="000000" w:themeColor="text1"/>
                <w:sz w:val="24"/>
                <w:szCs w:val="24"/>
              </w:rPr>
              <w:t>Institutional coordination between the DMCR, Royal Thai Navy, and the Department of Fisheries ensures effective protection against illegal fishing and marine pollution. Regular monitoring and patrols are conducted to prevent destructive fishing and to protect coral reef habitats.</w:t>
            </w:r>
          </w:p>
          <w:p w14:paraId="0BD9C89E" w14:textId="77777777" w:rsidR="009A0A63" w:rsidRPr="00792B36" w:rsidRDefault="009A0A63" w:rsidP="00A24459">
            <w:pPr>
              <w:rPr>
                <w:color w:val="000000" w:themeColor="text1"/>
                <w:sz w:val="24"/>
                <w:szCs w:val="24"/>
              </w:rPr>
            </w:pPr>
            <w:r w:rsidRPr="00792B36">
              <w:rPr>
                <w:color w:val="000000" w:themeColor="text1"/>
                <w:sz w:val="24"/>
                <w:szCs w:val="24"/>
              </w:rPr>
              <w:t>Restoration and stakeholder involvement are limited but supported by scientific research programs and DMCR-led coral surveys. Occasional collaborative efforts with universities and conservation organizations contribute to long-term reef monitoring and biodiversity assessments.</w:t>
            </w:r>
          </w:p>
          <w:p w14:paraId="3CF1FB76" w14:textId="77777777" w:rsidR="009A0A63" w:rsidRPr="00792B36" w:rsidRDefault="009A0A63" w:rsidP="00A24459">
            <w:pPr>
              <w:rPr>
                <w:color w:val="000000" w:themeColor="text1"/>
                <w:sz w:val="24"/>
                <w:szCs w:val="24"/>
              </w:rPr>
            </w:pPr>
            <w:r w:rsidRPr="00792B36">
              <w:rPr>
                <w:color w:val="000000" w:themeColor="text1"/>
                <w:sz w:val="24"/>
                <w:szCs w:val="24"/>
              </w:rPr>
              <w:t>Fishery practices are highly restricted; commercial and destructive fishing are prohibited within the conservation boundaries. Only limited traditional or research-related fishing activities are occasionally permitted under strict supervision.</w:t>
            </w:r>
          </w:p>
        </w:tc>
      </w:tr>
      <w:tr w:rsidR="009A0A63" w:rsidRPr="00792B36" w14:paraId="166E529D" w14:textId="77777777" w:rsidTr="00A24459">
        <w:tc>
          <w:tcPr>
            <w:tcW w:w="1378" w:type="pct"/>
          </w:tcPr>
          <w:p w14:paraId="444EDA52" w14:textId="77777777" w:rsidR="009A0A63" w:rsidRPr="00792B36" w:rsidRDefault="009A0A63" w:rsidP="00A24459">
            <w:pPr>
              <w:rPr>
                <w:color w:val="000000" w:themeColor="text1"/>
                <w:sz w:val="24"/>
                <w:szCs w:val="24"/>
              </w:rPr>
            </w:pPr>
            <w:r w:rsidRPr="00792B36">
              <w:rPr>
                <w:color w:val="000000" w:themeColor="text1"/>
                <w:sz w:val="24"/>
                <w:szCs w:val="24"/>
              </w:rPr>
              <w:lastRenderedPageBreak/>
              <w:t>CR:7 Koh Losin</w:t>
            </w:r>
          </w:p>
        </w:tc>
        <w:tc>
          <w:tcPr>
            <w:tcW w:w="864" w:type="pct"/>
          </w:tcPr>
          <w:p w14:paraId="201A53AF" w14:textId="77777777" w:rsidR="009A0A63" w:rsidRPr="00792B36" w:rsidRDefault="009A0A63" w:rsidP="00A24459">
            <w:pPr>
              <w:jc w:val="center"/>
              <w:rPr>
                <w:color w:val="000000" w:themeColor="text1"/>
                <w:sz w:val="24"/>
                <w:szCs w:val="24"/>
              </w:rPr>
            </w:pPr>
            <w:r w:rsidRPr="00792B36">
              <w:rPr>
                <w:color w:val="000000" w:themeColor="text1"/>
                <w:sz w:val="24"/>
                <w:szCs w:val="24"/>
              </w:rPr>
              <w:t>State</w:t>
            </w:r>
          </w:p>
        </w:tc>
        <w:tc>
          <w:tcPr>
            <w:tcW w:w="2758" w:type="pct"/>
          </w:tcPr>
          <w:p w14:paraId="2D091686" w14:textId="77777777" w:rsidR="009A0A63" w:rsidRPr="00792B36" w:rsidRDefault="009A0A63" w:rsidP="00A24459">
            <w:pPr>
              <w:rPr>
                <w:color w:val="000000" w:themeColor="text1"/>
                <w:sz w:val="24"/>
                <w:szCs w:val="24"/>
              </w:rPr>
            </w:pPr>
            <w:r w:rsidRPr="00792B36">
              <w:rPr>
                <w:color w:val="000000" w:themeColor="text1"/>
                <w:sz w:val="24"/>
                <w:szCs w:val="24"/>
              </w:rPr>
              <w:t>Koh Losin is managed under the Department of Marine and Coastal Resources (DMCR) in coordination with the Royal Thai Navy, serving as one of Thailand’s most strictly protected offshore coral reef sites. Its remote location (~72 km from Pattani Province) and uninhabited status have kept human disturbance extremely low, allowing for high coral cover and biodiversity.</w:t>
            </w:r>
          </w:p>
          <w:p w14:paraId="50B1E420" w14:textId="77777777" w:rsidR="009A0A63" w:rsidRPr="00792B36" w:rsidRDefault="009A0A63" w:rsidP="00A24459">
            <w:pPr>
              <w:rPr>
                <w:color w:val="000000" w:themeColor="text1"/>
                <w:sz w:val="24"/>
                <w:szCs w:val="24"/>
              </w:rPr>
            </w:pPr>
            <w:r w:rsidRPr="00792B36">
              <w:rPr>
                <w:color w:val="000000" w:themeColor="text1"/>
                <w:sz w:val="24"/>
                <w:szCs w:val="24"/>
              </w:rPr>
              <w:t>Land-use planning is not applicable, as no permanent settlement or coastal infrastructure exists. The area is designated as a strict marine conservation zone, where development, tourism, and extractive activities are prohibited.</w:t>
            </w:r>
          </w:p>
          <w:p w14:paraId="53898A79" w14:textId="77777777" w:rsidR="009A0A63" w:rsidRPr="00792B36" w:rsidRDefault="009A0A63" w:rsidP="00A24459">
            <w:pPr>
              <w:rPr>
                <w:color w:val="000000" w:themeColor="text1"/>
                <w:sz w:val="24"/>
                <w:szCs w:val="24"/>
              </w:rPr>
            </w:pPr>
            <w:r w:rsidRPr="00792B36">
              <w:rPr>
                <w:color w:val="000000" w:themeColor="text1"/>
                <w:sz w:val="24"/>
                <w:szCs w:val="24"/>
              </w:rPr>
              <w:t xml:space="preserve">Institutional framework involves the DMCR overseeing reef monitoring and conservation research, while the Royal Thai Navy enforces maritime protection against illegal fishing, anchoring, or oil transport threats. </w:t>
            </w:r>
            <w:r w:rsidRPr="00792B36">
              <w:rPr>
                <w:color w:val="000000" w:themeColor="text1"/>
                <w:sz w:val="24"/>
                <w:szCs w:val="24"/>
              </w:rPr>
              <w:lastRenderedPageBreak/>
              <w:t>Collaboration between government agencies supports ongoing reef health assessments and marine biodiversity monitoring.</w:t>
            </w:r>
          </w:p>
          <w:p w14:paraId="5E921E8B" w14:textId="77777777" w:rsidR="009A0A63" w:rsidRPr="00792B36" w:rsidRDefault="009A0A63" w:rsidP="00A24459">
            <w:pPr>
              <w:rPr>
                <w:color w:val="000000" w:themeColor="text1"/>
                <w:sz w:val="24"/>
                <w:szCs w:val="24"/>
              </w:rPr>
            </w:pPr>
            <w:r w:rsidRPr="00792B36">
              <w:rPr>
                <w:color w:val="000000" w:themeColor="text1"/>
                <w:sz w:val="24"/>
                <w:szCs w:val="24"/>
              </w:rPr>
              <w:t>Stakeholder coordination is primarily inter-agency, focusing on national-level conservation policy rather than local community involvement due to the site’s isolation. Occasional partnerships with research institutes and universities support ecological studies and coral assessments.</w:t>
            </w:r>
          </w:p>
          <w:p w14:paraId="26AAAB7D" w14:textId="77777777" w:rsidR="009A0A63" w:rsidRPr="00792B36" w:rsidRDefault="009A0A63" w:rsidP="00A24459">
            <w:pPr>
              <w:rPr>
                <w:color w:val="000000" w:themeColor="text1"/>
                <w:sz w:val="24"/>
                <w:szCs w:val="24"/>
              </w:rPr>
            </w:pPr>
            <w:r w:rsidRPr="00792B36">
              <w:rPr>
                <w:color w:val="000000" w:themeColor="text1"/>
                <w:sz w:val="24"/>
                <w:szCs w:val="24"/>
              </w:rPr>
              <w:t>Restoration activities are minimal, as the reefs remain largely intact. Management efforts emphasize protection and monitoring rather than active restoration.</w:t>
            </w:r>
          </w:p>
          <w:p w14:paraId="7C81B0F3" w14:textId="77777777" w:rsidR="009A0A63" w:rsidRPr="00792B36" w:rsidRDefault="009A0A63" w:rsidP="00A24459">
            <w:pPr>
              <w:rPr>
                <w:color w:val="000000" w:themeColor="text1"/>
                <w:sz w:val="24"/>
                <w:szCs w:val="24"/>
              </w:rPr>
            </w:pPr>
            <w:r w:rsidRPr="00792B36">
              <w:rPr>
                <w:color w:val="000000" w:themeColor="text1"/>
                <w:sz w:val="24"/>
                <w:szCs w:val="24"/>
              </w:rPr>
              <w:t>Fishery practices are strictly prohibited within the conservation boundaries, with regular naval patrols ensuring compliance and preventing illegal trawling or destructive fishing.</w:t>
            </w:r>
          </w:p>
        </w:tc>
      </w:tr>
      <w:tr w:rsidR="009A0A63" w:rsidRPr="00792B36" w14:paraId="151BACD2" w14:textId="77777777" w:rsidTr="00A24459">
        <w:tc>
          <w:tcPr>
            <w:tcW w:w="1378" w:type="pct"/>
          </w:tcPr>
          <w:p w14:paraId="21641FF0" w14:textId="77777777" w:rsidR="009A0A63" w:rsidRPr="00792B36" w:rsidRDefault="009A0A63" w:rsidP="00A24459">
            <w:pPr>
              <w:rPr>
                <w:color w:val="000000" w:themeColor="text1"/>
                <w:sz w:val="24"/>
                <w:szCs w:val="24"/>
              </w:rPr>
            </w:pPr>
            <w:r w:rsidRPr="00792B36">
              <w:rPr>
                <w:color w:val="000000" w:themeColor="text1"/>
                <w:sz w:val="24"/>
                <w:szCs w:val="24"/>
              </w:rPr>
              <w:lastRenderedPageBreak/>
              <w:t>CR:8 Underwater pinnacle Chumphon Province</w:t>
            </w:r>
          </w:p>
        </w:tc>
        <w:tc>
          <w:tcPr>
            <w:tcW w:w="864" w:type="pct"/>
          </w:tcPr>
          <w:p w14:paraId="1929F7EE" w14:textId="77777777" w:rsidR="009A0A63" w:rsidRPr="00792B36" w:rsidRDefault="009A0A63" w:rsidP="00A24459">
            <w:pPr>
              <w:jc w:val="center"/>
              <w:rPr>
                <w:color w:val="000000" w:themeColor="text1"/>
                <w:sz w:val="24"/>
                <w:szCs w:val="24"/>
              </w:rPr>
            </w:pPr>
            <w:r w:rsidRPr="00792B36">
              <w:rPr>
                <w:color w:val="000000" w:themeColor="text1"/>
                <w:sz w:val="24"/>
                <w:szCs w:val="24"/>
              </w:rPr>
              <w:t>State</w:t>
            </w:r>
          </w:p>
        </w:tc>
        <w:tc>
          <w:tcPr>
            <w:tcW w:w="2758" w:type="pct"/>
          </w:tcPr>
          <w:p w14:paraId="7A1932B5" w14:textId="77777777" w:rsidR="009A0A63" w:rsidRPr="00792B36" w:rsidRDefault="009A0A63" w:rsidP="00A24459">
            <w:pPr>
              <w:rPr>
                <w:color w:val="000000" w:themeColor="text1"/>
                <w:sz w:val="24"/>
                <w:szCs w:val="24"/>
              </w:rPr>
            </w:pPr>
            <w:r w:rsidRPr="00792B36">
              <w:rPr>
                <w:color w:val="000000" w:themeColor="text1"/>
                <w:sz w:val="24"/>
                <w:szCs w:val="24"/>
              </w:rPr>
              <w:t>The underwater pinnacles of Chumphon Province are managed under the Chumphon Marine National Park and the Department of Marine and Coastal Resources (DMCR), with support from the Chumphon Provincial Office and local tourism stakeholders. The area is recognized for its high ecological and tourism value, serving as one of the Gulf of Thailand’s most popular dive destinations.</w:t>
            </w:r>
          </w:p>
          <w:p w14:paraId="33BB545F" w14:textId="77777777" w:rsidR="009A0A63" w:rsidRPr="00792B36" w:rsidRDefault="009A0A63" w:rsidP="00A24459">
            <w:pPr>
              <w:rPr>
                <w:color w:val="000000" w:themeColor="text1"/>
                <w:sz w:val="24"/>
                <w:szCs w:val="24"/>
              </w:rPr>
            </w:pPr>
            <w:r w:rsidRPr="00792B36">
              <w:rPr>
                <w:color w:val="000000" w:themeColor="text1"/>
                <w:sz w:val="24"/>
                <w:szCs w:val="24"/>
              </w:rPr>
              <w:t>Land-use planning and zoning designate the pinnacles as marine protected areas (MPAs) where extractive and destructive activities are prohibited. Zoning focuses on separating tourism, navigation, and conservation areas, with anchoring restrictions and mooring buoys installed to protect coral habitats.</w:t>
            </w:r>
          </w:p>
          <w:p w14:paraId="34A09BB3" w14:textId="77777777" w:rsidR="009A0A63" w:rsidRPr="00792B36" w:rsidRDefault="009A0A63" w:rsidP="00A24459">
            <w:pPr>
              <w:rPr>
                <w:color w:val="000000" w:themeColor="text1"/>
                <w:sz w:val="24"/>
                <w:szCs w:val="24"/>
              </w:rPr>
            </w:pPr>
            <w:r w:rsidRPr="00792B36">
              <w:rPr>
                <w:color w:val="000000" w:themeColor="text1"/>
                <w:sz w:val="24"/>
                <w:szCs w:val="24"/>
              </w:rPr>
              <w:t>Institutional framework involves collaboration between DMCR, the Department of National Parks (DNP), and local administrative bodies. These agencies jointly oversee reef monitoring, patrols, and enforcement against illegal fishing and anchoring.</w:t>
            </w:r>
          </w:p>
          <w:p w14:paraId="1081FE0B" w14:textId="77777777" w:rsidR="009A0A63" w:rsidRPr="00792B36" w:rsidRDefault="009A0A63" w:rsidP="00A24459">
            <w:pPr>
              <w:rPr>
                <w:color w:val="000000" w:themeColor="text1"/>
                <w:sz w:val="24"/>
                <w:szCs w:val="24"/>
              </w:rPr>
            </w:pPr>
            <w:r w:rsidRPr="00792B36">
              <w:rPr>
                <w:color w:val="000000" w:themeColor="text1"/>
                <w:sz w:val="24"/>
                <w:szCs w:val="24"/>
              </w:rPr>
              <w:t xml:space="preserve">Stakeholder coordination includes dive operators, local communities, NGOs, and tourism associations, who actively participate in coral restoration, reef monitoring, and awareness campaigns. Co-management initiatives between </w:t>
            </w:r>
            <w:r w:rsidRPr="00792B36">
              <w:rPr>
                <w:color w:val="000000" w:themeColor="text1"/>
                <w:sz w:val="24"/>
                <w:szCs w:val="24"/>
              </w:rPr>
              <w:lastRenderedPageBreak/>
              <w:t>government and private dive centers have improved compliance with conservation measures.</w:t>
            </w:r>
          </w:p>
          <w:p w14:paraId="65FBA191" w14:textId="77777777" w:rsidR="009A0A63" w:rsidRPr="00792B36" w:rsidRDefault="009A0A63" w:rsidP="00A24459">
            <w:pPr>
              <w:rPr>
                <w:color w:val="000000" w:themeColor="text1"/>
                <w:sz w:val="24"/>
                <w:szCs w:val="24"/>
              </w:rPr>
            </w:pPr>
            <w:r w:rsidRPr="00792B36">
              <w:rPr>
                <w:color w:val="000000" w:themeColor="text1"/>
                <w:sz w:val="24"/>
                <w:szCs w:val="24"/>
              </w:rPr>
              <w:t>Restoration efforts are ongoing, focusing on coral transplantation, artificial reef installation, and marine debris removal, led by DMCR and local dive networks.</w:t>
            </w:r>
          </w:p>
          <w:p w14:paraId="01723303" w14:textId="77777777" w:rsidR="009A0A63" w:rsidRPr="00792B36" w:rsidRDefault="009A0A63" w:rsidP="00A24459">
            <w:pPr>
              <w:rPr>
                <w:color w:val="000000" w:themeColor="text1"/>
                <w:sz w:val="24"/>
                <w:szCs w:val="24"/>
              </w:rPr>
            </w:pPr>
            <w:r w:rsidRPr="00792B36">
              <w:rPr>
                <w:color w:val="000000" w:themeColor="text1"/>
                <w:sz w:val="24"/>
                <w:szCs w:val="24"/>
              </w:rPr>
              <w:t>Fishery practices are tightly regulated within the marine park boundaries. Destructive fishing is prohibited, and only small-scale traditional fishing is allowed in designated buffer zones.</w:t>
            </w:r>
          </w:p>
        </w:tc>
      </w:tr>
      <w:tr w:rsidR="009A0A63" w:rsidRPr="00792B36" w14:paraId="00277D17" w14:textId="77777777" w:rsidTr="00A24459">
        <w:tc>
          <w:tcPr>
            <w:tcW w:w="1378" w:type="pct"/>
          </w:tcPr>
          <w:p w14:paraId="61C1A6A4" w14:textId="77777777" w:rsidR="009A0A63" w:rsidRPr="00792B36" w:rsidRDefault="009A0A63" w:rsidP="00A24459">
            <w:pPr>
              <w:rPr>
                <w:color w:val="000000" w:themeColor="text1"/>
                <w:sz w:val="24"/>
                <w:szCs w:val="24"/>
              </w:rPr>
            </w:pPr>
            <w:r w:rsidRPr="00792B36">
              <w:rPr>
                <w:rStyle w:val="Strong"/>
                <w:rFonts w:eastAsiaTheme="minorEastAsia"/>
                <w:color w:val="000000" w:themeColor="text1"/>
                <w:sz w:val="24"/>
                <w:szCs w:val="24"/>
              </w:rPr>
              <w:lastRenderedPageBreak/>
              <w:t>SG1: Ban Don Bay</w:t>
            </w:r>
          </w:p>
        </w:tc>
        <w:tc>
          <w:tcPr>
            <w:tcW w:w="864" w:type="pct"/>
          </w:tcPr>
          <w:p w14:paraId="5D22C951" w14:textId="77777777" w:rsidR="009A0A63" w:rsidRPr="00792B36" w:rsidRDefault="009A0A63" w:rsidP="00A24459">
            <w:pPr>
              <w:jc w:val="center"/>
              <w:rPr>
                <w:color w:val="000000" w:themeColor="text1"/>
                <w:sz w:val="24"/>
                <w:szCs w:val="24"/>
              </w:rPr>
            </w:pPr>
            <w:r w:rsidRPr="00792B36">
              <w:rPr>
                <w:color w:val="000000" w:themeColor="text1"/>
                <w:sz w:val="24"/>
                <w:szCs w:val="24"/>
              </w:rPr>
              <w:t>State</w:t>
            </w:r>
          </w:p>
        </w:tc>
        <w:tc>
          <w:tcPr>
            <w:tcW w:w="2758" w:type="pct"/>
          </w:tcPr>
          <w:p w14:paraId="1A920198" w14:textId="77777777" w:rsidR="009A0A63" w:rsidRPr="00792B36" w:rsidRDefault="009A0A63" w:rsidP="00A24459">
            <w:pPr>
              <w:rPr>
                <w:color w:val="000000" w:themeColor="text1"/>
                <w:sz w:val="24"/>
                <w:szCs w:val="24"/>
              </w:rPr>
            </w:pPr>
            <w:r w:rsidRPr="00792B36">
              <w:rPr>
                <w:color w:val="000000" w:themeColor="text1"/>
                <w:sz w:val="24"/>
                <w:szCs w:val="24"/>
              </w:rPr>
              <w:t>Ban Don Bay is managed under Surat Thani Province’s Integrated Coastal Resource Management Plan, focusing on sustainable fisheries, seagrass conservation, and aquaculture regulation. The Department of Marine and Coastal Resources (DMCR), Department of Fisheries, and Surat Thani Provincial Office are the main agencies responsible for management and enforcement.</w:t>
            </w:r>
          </w:p>
          <w:p w14:paraId="6E53DD89" w14:textId="77777777" w:rsidR="009A0A63" w:rsidRPr="00792B36" w:rsidRDefault="009A0A63" w:rsidP="00A24459">
            <w:pPr>
              <w:rPr>
                <w:color w:val="000000" w:themeColor="text1"/>
                <w:sz w:val="24"/>
                <w:szCs w:val="24"/>
              </w:rPr>
            </w:pPr>
            <w:r w:rsidRPr="00792B36">
              <w:rPr>
                <w:color w:val="000000" w:themeColor="text1"/>
                <w:sz w:val="24"/>
                <w:szCs w:val="24"/>
              </w:rPr>
              <w:t>Land-use planning and coastal zoning divide the bay into aquaculture, fishing, navigation, and conservation zones. However, enforcement remains limited due to overlapping uses, especially between shrimp farming, fishing, and seagrass conservation areas. Increased coordination is needed to balance economic use with ecosystem protection.</w:t>
            </w:r>
          </w:p>
          <w:p w14:paraId="2266CF40" w14:textId="77777777" w:rsidR="009A0A63" w:rsidRPr="00792B36" w:rsidRDefault="009A0A63" w:rsidP="00A24459">
            <w:pPr>
              <w:rPr>
                <w:color w:val="000000" w:themeColor="text1"/>
                <w:sz w:val="24"/>
                <w:szCs w:val="24"/>
              </w:rPr>
            </w:pPr>
            <w:r w:rsidRPr="00792B36">
              <w:rPr>
                <w:color w:val="000000" w:themeColor="text1"/>
                <w:sz w:val="24"/>
                <w:szCs w:val="24"/>
              </w:rPr>
              <w:t>Institutional framework involves collaboration between DMCR, the Department of Fisheries, local administrative organizations, and community groups. These agencies oversee seagrass monitoring, pollution control, and the management of aquaculture effluents.</w:t>
            </w:r>
          </w:p>
          <w:p w14:paraId="5D29951A" w14:textId="77777777" w:rsidR="009A0A63" w:rsidRPr="00792B36" w:rsidRDefault="009A0A63" w:rsidP="00A24459">
            <w:pPr>
              <w:rPr>
                <w:color w:val="000000" w:themeColor="text1"/>
                <w:sz w:val="24"/>
                <w:szCs w:val="24"/>
              </w:rPr>
            </w:pPr>
            <w:r w:rsidRPr="00792B36">
              <w:rPr>
                <w:color w:val="000000" w:themeColor="text1"/>
                <w:sz w:val="24"/>
                <w:szCs w:val="24"/>
              </w:rPr>
              <w:t>Stakeholder coordination includes local fishers, aquaculture operators, coastal communities, and conservation networks, though engagement is uneven. Co-management initiatives are developing to promote sustainable fishing and community-based seagrass protection.</w:t>
            </w:r>
          </w:p>
          <w:p w14:paraId="1F49F1E5" w14:textId="77777777" w:rsidR="009A0A63" w:rsidRPr="00792B36" w:rsidRDefault="009A0A63" w:rsidP="00A24459">
            <w:pPr>
              <w:rPr>
                <w:color w:val="000000" w:themeColor="text1"/>
                <w:sz w:val="24"/>
                <w:szCs w:val="24"/>
              </w:rPr>
            </w:pPr>
            <w:r w:rsidRPr="00792B36">
              <w:rPr>
                <w:color w:val="000000" w:themeColor="text1"/>
                <w:sz w:val="24"/>
                <w:szCs w:val="24"/>
              </w:rPr>
              <w:t xml:space="preserve">Restoration activities focus on seagrass replanting, mangrove rehabilitation, and water quality improvement led by DMCR, </w:t>
            </w:r>
            <w:r w:rsidRPr="00792B36">
              <w:rPr>
                <w:color w:val="000000" w:themeColor="text1"/>
                <w:sz w:val="24"/>
                <w:szCs w:val="24"/>
              </w:rPr>
              <w:lastRenderedPageBreak/>
              <w:t>universities, and local communities. These projects aim to restore degraded habitats and support dugong populations.</w:t>
            </w:r>
          </w:p>
          <w:p w14:paraId="72D1A3CC" w14:textId="77777777" w:rsidR="009A0A63" w:rsidRPr="00792B36" w:rsidRDefault="009A0A63" w:rsidP="00A24459">
            <w:pPr>
              <w:rPr>
                <w:color w:val="000000" w:themeColor="text1"/>
                <w:sz w:val="24"/>
                <w:szCs w:val="24"/>
              </w:rPr>
            </w:pPr>
            <w:r w:rsidRPr="00792B36">
              <w:rPr>
                <w:color w:val="000000" w:themeColor="text1"/>
                <w:sz w:val="24"/>
                <w:szCs w:val="24"/>
              </w:rPr>
              <w:t>Stakeholder investment is growing, with private aquaculture operators and tourism businesses supporting conservation and water treatment projects.</w:t>
            </w:r>
          </w:p>
          <w:p w14:paraId="6F85BF7E" w14:textId="77777777" w:rsidR="009A0A63" w:rsidRPr="00792B36" w:rsidRDefault="009A0A63" w:rsidP="00A24459">
            <w:pPr>
              <w:rPr>
                <w:color w:val="000000" w:themeColor="text1"/>
                <w:sz w:val="24"/>
                <w:szCs w:val="24"/>
              </w:rPr>
            </w:pPr>
            <w:r w:rsidRPr="00792B36">
              <w:rPr>
                <w:color w:val="000000" w:themeColor="text1"/>
                <w:sz w:val="24"/>
                <w:szCs w:val="24"/>
              </w:rPr>
              <w:t>Fishery practices are mostly small-scale and traditional, but illegal trawling and push nets still occur in sensitive areas, causing habitat disturbance. Strengthened enforcement and alternative livelihood programs are needed to reduce pressure on seagrass ecosystems.</w:t>
            </w:r>
          </w:p>
          <w:p w14:paraId="791044AC" w14:textId="77777777" w:rsidR="009A0A63" w:rsidRPr="00792B36" w:rsidRDefault="009A0A63" w:rsidP="00A24459">
            <w:pPr>
              <w:rPr>
                <w:color w:val="000000" w:themeColor="text1"/>
                <w:sz w:val="24"/>
                <w:szCs w:val="24"/>
              </w:rPr>
            </w:pPr>
          </w:p>
        </w:tc>
      </w:tr>
      <w:tr w:rsidR="009A0A63" w:rsidRPr="00792B36" w14:paraId="67CD2885" w14:textId="77777777" w:rsidTr="00A24459">
        <w:tc>
          <w:tcPr>
            <w:tcW w:w="1378" w:type="pct"/>
          </w:tcPr>
          <w:p w14:paraId="05F67F8D" w14:textId="77777777" w:rsidR="009A0A63" w:rsidRPr="00792B36" w:rsidRDefault="009A0A63" w:rsidP="00A24459">
            <w:pPr>
              <w:rPr>
                <w:color w:val="000000" w:themeColor="text1"/>
                <w:sz w:val="24"/>
                <w:szCs w:val="24"/>
              </w:rPr>
            </w:pPr>
            <w:r w:rsidRPr="00792B36">
              <w:rPr>
                <w:rStyle w:val="Strong"/>
                <w:rFonts w:eastAsiaTheme="minorEastAsia"/>
                <w:color w:val="000000" w:themeColor="text1"/>
                <w:sz w:val="24"/>
                <w:szCs w:val="24"/>
              </w:rPr>
              <w:lastRenderedPageBreak/>
              <w:t>SG2: Chumphon</w:t>
            </w:r>
          </w:p>
        </w:tc>
        <w:tc>
          <w:tcPr>
            <w:tcW w:w="864" w:type="pct"/>
          </w:tcPr>
          <w:p w14:paraId="5C87ED6F" w14:textId="77777777" w:rsidR="009A0A63" w:rsidRPr="00792B36" w:rsidRDefault="009A0A63" w:rsidP="00A24459">
            <w:pPr>
              <w:jc w:val="center"/>
              <w:rPr>
                <w:color w:val="000000" w:themeColor="text1"/>
                <w:sz w:val="24"/>
                <w:szCs w:val="24"/>
              </w:rPr>
            </w:pPr>
            <w:r w:rsidRPr="00792B36">
              <w:rPr>
                <w:color w:val="000000" w:themeColor="text1"/>
                <w:sz w:val="24"/>
                <w:szCs w:val="24"/>
              </w:rPr>
              <w:t>State</w:t>
            </w:r>
          </w:p>
        </w:tc>
        <w:tc>
          <w:tcPr>
            <w:tcW w:w="2758" w:type="pct"/>
          </w:tcPr>
          <w:p w14:paraId="65AC9FC9" w14:textId="77777777" w:rsidR="009A0A63" w:rsidRPr="00792B36" w:rsidRDefault="009A0A63" w:rsidP="00A24459">
            <w:pPr>
              <w:rPr>
                <w:color w:val="000000" w:themeColor="text1"/>
                <w:sz w:val="24"/>
                <w:szCs w:val="24"/>
              </w:rPr>
            </w:pPr>
            <w:r w:rsidRPr="00792B36">
              <w:rPr>
                <w:color w:val="000000" w:themeColor="text1"/>
                <w:sz w:val="24"/>
                <w:szCs w:val="24"/>
              </w:rPr>
              <w:t>Chumphon Province’s coastal and marine resources are managed under the Chumphon Marine National Park and the Department of Marine and Coastal Resources (DMCR), with support from the Chumphon Provincial Office and local administrative organizations. The area includes coral reefs, seagrass meadows, mangroves, and offshore pinnacles of high ecological value.</w:t>
            </w:r>
          </w:p>
          <w:p w14:paraId="2A7AE1A0" w14:textId="77777777" w:rsidR="009A0A63" w:rsidRPr="00792B36" w:rsidRDefault="009A0A63" w:rsidP="00A24459">
            <w:pPr>
              <w:rPr>
                <w:color w:val="000000" w:themeColor="text1"/>
                <w:sz w:val="24"/>
                <w:szCs w:val="24"/>
              </w:rPr>
            </w:pPr>
            <w:r w:rsidRPr="00792B36">
              <w:rPr>
                <w:color w:val="000000" w:themeColor="text1"/>
                <w:sz w:val="24"/>
                <w:szCs w:val="24"/>
              </w:rPr>
              <w:t>Land-use planning and zoning designate coastal and offshore areas for conservation, fishing, aquaculture, tourism, and navigation. Marine protected areas (MPAs) include underwater pinnacles and coral reef zones, where anchoring and destructive fishing are prohibited.</w:t>
            </w:r>
          </w:p>
          <w:p w14:paraId="472E776A" w14:textId="77777777" w:rsidR="009A0A63" w:rsidRPr="00792B36" w:rsidRDefault="009A0A63" w:rsidP="00A24459">
            <w:pPr>
              <w:rPr>
                <w:color w:val="000000" w:themeColor="text1"/>
                <w:sz w:val="24"/>
                <w:szCs w:val="24"/>
              </w:rPr>
            </w:pPr>
            <w:r w:rsidRPr="00792B36">
              <w:rPr>
                <w:color w:val="000000" w:themeColor="text1"/>
                <w:sz w:val="24"/>
                <w:szCs w:val="24"/>
              </w:rPr>
              <w:t>Institutional framework involves cooperation between DMCR, the Department of Fisheries, and local governments. These agencies oversee resource monitoring, enforcement, and restoration programs, ensuring alignment with national marine policies.</w:t>
            </w:r>
          </w:p>
          <w:p w14:paraId="5CA7F180" w14:textId="77777777" w:rsidR="009A0A63" w:rsidRPr="00792B36" w:rsidRDefault="009A0A63" w:rsidP="00A24459">
            <w:pPr>
              <w:rPr>
                <w:color w:val="000000" w:themeColor="text1"/>
                <w:sz w:val="24"/>
                <w:szCs w:val="24"/>
              </w:rPr>
            </w:pPr>
            <w:r w:rsidRPr="00792B36">
              <w:rPr>
                <w:color w:val="000000" w:themeColor="text1"/>
                <w:sz w:val="24"/>
                <w:szCs w:val="24"/>
              </w:rPr>
              <w:t>Stakeholder coordination is improving through participation of local fishers, dive operators, NGOs, and community networks. Co-management initiatives promote sustainable tourism, reef protection, and community-based conservation, especially in areas like Thung Wua Laen and Lang Suan.</w:t>
            </w:r>
          </w:p>
          <w:p w14:paraId="31E8AD18" w14:textId="77777777" w:rsidR="009A0A63" w:rsidRPr="00792B36" w:rsidRDefault="009A0A63" w:rsidP="00A24459">
            <w:pPr>
              <w:rPr>
                <w:color w:val="000000" w:themeColor="text1"/>
                <w:sz w:val="24"/>
                <w:szCs w:val="24"/>
              </w:rPr>
            </w:pPr>
            <w:r w:rsidRPr="00792B36">
              <w:rPr>
                <w:color w:val="000000" w:themeColor="text1"/>
                <w:sz w:val="24"/>
                <w:szCs w:val="24"/>
              </w:rPr>
              <w:t xml:space="preserve">Restoration activities include coral </w:t>
            </w:r>
            <w:r w:rsidRPr="00792B36">
              <w:rPr>
                <w:color w:val="000000" w:themeColor="text1"/>
                <w:sz w:val="24"/>
                <w:szCs w:val="24"/>
              </w:rPr>
              <w:lastRenderedPageBreak/>
              <w:t>transplantation, seagrass rehabilitation, and artificial reef installation, carried out by DMCR, local universities, and dive centers.</w:t>
            </w:r>
          </w:p>
          <w:p w14:paraId="46453348" w14:textId="77777777" w:rsidR="009A0A63" w:rsidRPr="00792B36" w:rsidRDefault="009A0A63" w:rsidP="00A24459">
            <w:pPr>
              <w:rPr>
                <w:color w:val="000000" w:themeColor="text1"/>
                <w:sz w:val="24"/>
                <w:szCs w:val="24"/>
              </w:rPr>
            </w:pPr>
            <w:r w:rsidRPr="00792B36">
              <w:rPr>
                <w:color w:val="000000" w:themeColor="text1"/>
                <w:sz w:val="24"/>
                <w:szCs w:val="24"/>
              </w:rPr>
              <w:t>Fishery practices are mostly small-scale and traditional, though illegal trawling and push nets occasionally impact seagrass and coral areas. Continuous enforcement and awareness campaigns aim to reduce habitat damage.</w:t>
            </w:r>
          </w:p>
        </w:tc>
      </w:tr>
    </w:tbl>
    <w:p w14:paraId="44986E94" w14:textId="77777777" w:rsidR="009A0A63" w:rsidRPr="00792B36" w:rsidRDefault="009A0A63" w:rsidP="009A0A63">
      <w:pPr>
        <w:ind w:firstLine="1134"/>
        <w:rPr>
          <w:b/>
          <w:bCs/>
          <w:i/>
          <w:iCs/>
          <w:color w:val="000000" w:themeColor="text1"/>
          <w:sz w:val="24"/>
          <w:szCs w:val="24"/>
        </w:rPr>
      </w:pPr>
      <w:r w:rsidRPr="00792B36">
        <w:rPr>
          <w:b/>
          <w:bCs/>
          <w:i/>
          <w:iCs/>
          <w:color w:val="000000" w:themeColor="text1"/>
          <w:sz w:val="24"/>
          <w:szCs w:val="24"/>
        </w:rPr>
        <w:lastRenderedPageBreak/>
        <w:t>Current use, traditional use and potential use</w:t>
      </w:r>
    </w:p>
    <w:p w14:paraId="26D6EBB3" w14:textId="77777777" w:rsidR="009A0A63" w:rsidRPr="00792B36" w:rsidRDefault="009A0A63" w:rsidP="009A0A63">
      <w:pPr>
        <w:ind w:firstLine="1134"/>
        <w:jc w:val="thaiDistribute"/>
        <w:rPr>
          <w:color w:val="000000" w:themeColor="text1"/>
          <w:sz w:val="24"/>
          <w:szCs w:val="24"/>
        </w:rPr>
      </w:pPr>
      <w:r w:rsidRPr="00792B36">
        <w:rPr>
          <w:color w:val="000000" w:themeColor="text1"/>
          <w:sz w:val="24"/>
          <w:szCs w:val="24"/>
        </w:rPr>
        <w:t>An overview of current, traditional, and potential uses of coral reef and seagrass areas across the Gulf of Thailand underscores the multifunctional value of these ecosystems to both local communities and broader national priorities. Current uses consistently include commercial and subsistence fisheries, critical fishing grounds, tourism, and marine protected areas (MPAs), reflecting their central role in sustaining food security, livelihoods, and economic activities. Traditional uses remain significant, with small-scale coastal fisheries employing traditional fish traps, nets, squid fishing, and seasonal harvesting of reef resources in multiple sites, including Koh Si Chang, Koh Lan, Koh Kood, Koh Mak, Koh Tao, Koh Kra, Koh Losin, the underwater pinnacles in Chumphon Province, Ban Don Bay, and Chumphon. These long-standing practices highlight community dependence on marine biodiversity and the cultural continuity of resource use. Looking forward, potential uses are strongly associated with the expansion of tourism and MPAs across nearly all sites, aligning with national policy directions toward sustainable tourism and biodiversity conservation. Collectively, these findings emphasize the need for integrated management strategies that balance traditional fisheries, emerging tourism opportunities, and conservation objectives to ensure the long-term resilience and multifunctional benefits of coral reef and seagrass ecosystems in the Gulf of Thailand.</w:t>
      </w:r>
      <w:r w:rsidRPr="00792B36">
        <w:rPr>
          <w:color w:val="000000" w:themeColor="text1"/>
          <w:sz w:val="24"/>
          <w:szCs w:val="24"/>
          <w:cs/>
        </w:rPr>
        <w:t xml:space="preserve"> (</w:t>
      </w:r>
      <w:r w:rsidRPr="00792B36">
        <w:rPr>
          <w:color w:val="000000" w:themeColor="text1"/>
          <w:sz w:val="24"/>
          <w:szCs w:val="24"/>
        </w:rPr>
        <w:t>Table 15</w:t>
      </w:r>
      <w:r w:rsidRPr="00792B36">
        <w:rPr>
          <w:color w:val="000000" w:themeColor="text1"/>
          <w:sz w:val="24"/>
          <w:szCs w:val="24"/>
          <w:cs/>
        </w:rPr>
        <w:t>)</w:t>
      </w:r>
    </w:p>
    <w:p w14:paraId="1E1CF3E4" w14:textId="77777777" w:rsidR="009A0A63" w:rsidRPr="00792B36" w:rsidRDefault="009A0A63" w:rsidP="009A0A63">
      <w:pPr>
        <w:rPr>
          <w:b/>
          <w:bCs/>
          <w:color w:val="000000" w:themeColor="text1"/>
          <w:sz w:val="24"/>
          <w:szCs w:val="24"/>
        </w:rPr>
      </w:pPr>
    </w:p>
    <w:p w14:paraId="57C53EB4" w14:textId="77777777" w:rsidR="009A0A63" w:rsidRPr="00792B36" w:rsidRDefault="009A0A63" w:rsidP="009A0A63">
      <w:pPr>
        <w:rPr>
          <w:b/>
          <w:bCs/>
          <w:color w:val="000000" w:themeColor="text1"/>
          <w:sz w:val="24"/>
          <w:szCs w:val="24"/>
          <w:cs/>
        </w:rPr>
      </w:pPr>
      <w:r w:rsidRPr="00792B36">
        <w:rPr>
          <w:b/>
          <w:bCs/>
          <w:color w:val="000000" w:themeColor="text1"/>
          <w:sz w:val="24"/>
          <w:szCs w:val="24"/>
        </w:rPr>
        <w:t>Table 15</w:t>
      </w:r>
      <w:r w:rsidRPr="00792B36">
        <w:rPr>
          <w:b/>
          <w:bCs/>
          <w:color w:val="000000" w:themeColor="text1"/>
          <w:sz w:val="24"/>
          <w:szCs w:val="24"/>
          <w:cs/>
        </w:rPr>
        <w:t xml:space="preserve">. </w:t>
      </w:r>
      <w:r w:rsidRPr="00792B36">
        <w:rPr>
          <w:b/>
          <w:bCs/>
          <w:color w:val="000000" w:themeColor="text1"/>
          <w:sz w:val="24"/>
          <w:szCs w:val="24"/>
        </w:rPr>
        <w:t>Coral and seagrass areas in Thailand (Gulf of Thailand)</w:t>
      </w:r>
      <w:r w:rsidRPr="00792B36">
        <w:rPr>
          <w:b/>
          <w:bCs/>
          <w:color w:val="000000" w:themeColor="text1"/>
          <w:sz w:val="24"/>
          <w:szCs w:val="24"/>
          <w:cs/>
        </w:rPr>
        <w:t xml:space="preserve">: </w:t>
      </w:r>
      <w:r w:rsidRPr="00792B36">
        <w:rPr>
          <w:color w:val="000000" w:themeColor="text1"/>
          <w:sz w:val="24"/>
          <w:szCs w:val="24"/>
        </w:rPr>
        <w:t>Social and use information</w:t>
      </w:r>
      <w:r w:rsidRPr="00792B36">
        <w:rPr>
          <w:color w:val="000000" w:themeColor="text1"/>
          <w:sz w:val="24"/>
          <w:szCs w:val="24"/>
          <w:cs/>
        </w:rPr>
        <w:t xml:space="preserve"> </w:t>
      </w:r>
      <w:r w:rsidRPr="00792B36">
        <w:rPr>
          <w:color w:val="000000" w:themeColor="text1"/>
          <w:sz w:val="24"/>
          <w:szCs w:val="24"/>
        </w:rPr>
        <w:t>showing current use, traditional use and potential use</w:t>
      </w:r>
    </w:p>
    <w:tbl>
      <w:tblPr>
        <w:tblStyle w:val="TableGrid"/>
        <w:tblW w:w="0" w:type="auto"/>
        <w:tblLook w:val="04A0" w:firstRow="1" w:lastRow="0" w:firstColumn="1" w:lastColumn="0" w:noHBand="0" w:noVBand="1"/>
      </w:tblPr>
      <w:tblGrid>
        <w:gridCol w:w="1792"/>
        <w:gridCol w:w="2442"/>
        <w:gridCol w:w="2074"/>
        <w:gridCol w:w="2702"/>
      </w:tblGrid>
      <w:tr w:rsidR="009A0A63" w:rsidRPr="00792B36" w14:paraId="6EB35F7F" w14:textId="77777777" w:rsidTr="00A24459">
        <w:trPr>
          <w:tblHeader/>
        </w:trPr>
        <w:tc>
          <w:tcPr>
            <w:tcW w:w="2547" w:type="dxa"/>
          </w:tcPr>
          <w:p w14:paraId="4503672B" w14:textId="77777777" w:rsidR="009A0A63" w:rsidRPr="00792B36" w:rsidRDefault="009A0A63" w:rsidP="00A24459">
            <w:pPr>
              <w:spacing w:before="120" w:after="120"/>
              <w:jc w:val="center"/>
              <w:rPr>
                <w:b/>
                <w:bCs/>
                <w:color w:val="000000" w:themeColor="text1"/>
                <w:sz w:val="24"/>
                <w:szCs w:val="24"/>
              </w:rPr>
            </w:pPr>
            <w:bookmarkStart w:id="42" w:name="_Hlk203228284"/>
            <w:r w:rsidRPr="00792B36">
              <w:rPr>
                <w:b/>
                <w:bCs/>
                <w:color w:val="000000" w:themeColor="text1"/>
                <w:sz w:val="24"/>
                <w:szCs w:val="24"/>
              </w:rPr>
              <w:t>Name of area</w:t>
            </w:r>
          </w:p>
        </w:tc>
        <w:tc>
          <w:tcPr>
            <w:tcW w:w="3467" w:type="dxa"/>
          </w:tcPr>
          <w:p w14:paraId="2E99A60D" w14:textId="77777777" w:rsidR="009A0A63" w:rsidRPr="00792B36" w:rsidRDefault="009A0A63" w:rsidP="00A24459">
            <w:pPr>
              <w:spacing w:before="120" w:after="120"/>
              <w:jc w:val="center"/>
              <w:rPr>
                <w:b/>
                <w:bCs/>
                <w:color w:val="000000" w:themeColor="text1"/>
                <w:sz w:val="24"/>
                <w:szCs w:val="24"/>
              </w:rPr>
            </w:pPr>
            <w:r w:rsidRPr="00792B36">
              <w:rPr>
                <w:b/>
                <w:bCs/>
                <w:color w:val="000000" w:themeColor="text1"/>
                <w:sz w:val="24"/>
                <w:szCs w:val="24"/>
              </w:rPr>
              <w:t>Current use</w:t>
            </w:r>
          </w:p>
        </w:tc>
        <w:tc>
          <w:tcPr>
            <w:tcW w:w="3468" w:type="dxa"/>
          </w:tcPr>
          <w:p w14:paraId="57841ADC" w14:textId="77777777" w:rsidR="009A0A63" w:rsidRPr="00792B36" w:rsidRDefault="009A0A63" w:rsidP="00A24459">
            <w:pPr>
              <w:spacing w:before="120" w:after="120"/>
              <w:jc w:val="center"/>
              <w:rPr>
                <w:b/>
                <w:bCs/>
                <w:color w:val="000000" w:themeColor="text1"/>
                <w:sz w:val="24"/>
                <w:szCs w:val="24"/>
              </w:rPr>
            </w:pPr>
            <w:r w:rsidRPr="00792B36">
              <w:rPr>
                <w:b/>
                <w:bCs/>
                <w:color w:val="000000" w:themeColor="text1"/>
                <w:sz w:val="24"/>
                <w:szCs w:val="24"/>
              </w:rPr>
              <w:t>Traditional use</w:t>
            </w:r>
          </w:p>
        </w:tc>
        <w:tc>
          <w:tcPr>
            <w:tcW w:w="3468" w:type="dxa"/>
          </w:tcPr>
          <w:p w14:paraId="02075779" w14:textId="77777777" w:rsidR="009A0A63" w:rsidRPr="00792B36" w:rsidRDefault="009A0A63" w:rsidP="00A24459">
            <w:pPr>
              <w:spacing w:before="120" w:after="120"/>
              <w:jc w:val="center"/>
              <w:rPr>
                <w:b/>
                <w:bCs/>
                <w:color w:val="000000" w:themeColor="text1"/>
                <w:sz w:val="24"/>
                <w:szCs w:val="24"/>
              </w:rPr>
            </w:pPr>
            <w:r w:rsidRPr="00792B36">
              <w:rPr>
                <w:b/>
                <w:bCs/>
                <w:color w:val="000000" w:themeColor="text1"/>
                <w:sz w:val="24"/>
                <w:szCs w:val="24"/>
              </w:rPr>
              <w:t>Potential use</w:t>
            </w:r>
          </w:p>
        </w:tc>
      </w:tr>
      <w:bookmarkEnd w:id="42"/>
      <w:tr w:rsidR="009A0A63" w:rsidRPr="00792B36" w14:paraId="2BF691BF" w14:textId="77777777" w:rsidTr="00A24459">
        <w:tc>
          <w:tcPr>
            <w:tcW w:w="2547" w:type="dxa"/>
          </w:tcPr>
          <w:p w14:paraId="72638139" w14:textId="77777777" w:rsidR="009A0A63" w:rsidRPr="00792B36" w:rsidRDefault="009A0A63" w:rsidP="00A24459">
            <w:pPr>
              <w:rPr>
                <w:b/>
                <w:bCs/>
                <w:color w:val="000000" w:themeColor="text1"/>
                <w:sz w:val="24"/>
                <w:szCs w:val="24"/>
              </w:rPr>
            </w:pPr>
            <w:r w:rsidRPr="00792B36">
              <w:rPr>
                <w:color w:val="000000" w:themeColor="text1"/>
                <w:sz w:val="24"/>
                <w:szCs w:val="24"/>
              </w:rPr>
              <w:t xml:space="preserve">CR:1 Koh Si Chang </w:t>
            </w:r>
          </w:p>
        </w:tc>
        <w:tc>
          <w:tcPr>
            <w:tcW w:w="3467" w:type="dxa"/>
          </w:tcPr>
          <w:p w14:paraId="6E6162A9" w14:textId="77777777" w:rsidR="009A0A63" w:rsidRPr="00792B36" w:rsidRDefault="009A0A63" w:rsidP="00A24459">
            <w:pPr>
              <w:rPr>
                <w:color w:val="000000" w:themeColor="text1"/>
                <w:sz w:val="24"/>
                <w:szCs w:val="24"/>
              </w:rPr>
            </w:pPr>
            <w:r w:rsidRPr="00792B36">
              <w:rPr>
                <w:b/>
                <w:bCs/>
                <w:color w:val="000000" w:themeColor="text1"/>
                <w:sz w:val="24"/>
                <w:szCs w:val="24"/>
              </w:rPr>
              <w:t>Commercial Use:</w:t>
            </w:r>
            <w:r w:rsidRPr="00792B36">
              <w:rPr>
                <w:color w:val="000000" w:themeColor="text1"/>
                <w:sz w:val="24"/>
                <w:szCs w:val="24"/>
              </w:rPr>
              <w:br/>
              <w:t xml:space="preserve">The island lies adjacent to Laem Chabang Port, one of Thailand’s busiest industrial and shipping zones. The surrounding waters are used for cargo anchorage, fuel transport, and marine logistics, contributing to regional commerce </w:t>
            </w:r>
            <w:r w:rsidRPr="00792B36">
              <w:rPr>
                <w:color w:val="000000" w:themeColor="text1"/>
                <w:sz w:val="24"/>
                <w:szCs w:val="24"/>
              </w:rPr>
              <w:lastRenderedPageBreak/>
              <w:t>but also increasing sedimentation and pollution risks.</w:t>
            </w:r>
          </w:p>
          <w:p w14:paraId="2912F072" w14:textId="77777777" w:rsidR="009A0A63" w:rsidRPr="00792B36" w:rsidRDefault="009A0A63" w:rsidP="00A24459">
            <w:pPr>
              <w:rPr>
                <w:color w:val="000000" w:themeColor="text1"/>
                <w:sz w:val="24"/>
                <w:szCs w:val="24"/>
              </w:rPr>
            </w:pPr>
            <w:r w:rsidRPr="00792B36">
              <w:rPr>
                <w:b/>
                <w:bCs/>
                <w:color w:val="000000" w:themeColor="text1"/>
                <w:sz w:val="24"/>
                <w:szCs w:val="24"/>
              </w:rPr>
              <w:t>Subsistence Use:</w:t>
            </w:r>
            <w:r w:rsidRPr="00792B36">
              <w:rPr>
                <w:color w:val="000000" w:themeColor="text1"/>
                <w:sz w:val="24"/>
                <w:szCs w:val="24"/>
              </w:rPr>
              <w:br/>
              <w:t>Local residents engage in small-scale coastal fishing, seaweed collection, and aquaculture for household consumption and local markets. These activities support community livelihoods but are constrained by industrial expansion and restricted fishing zones.</w:t>
            </w:r>
          </w:p>
          <w:p w14:paraId="569F136A" w14:textId="77777777" w:rsidR="009A0A63" w:rsidRPr="00792B36" w:rsidRDefault="009A0A63" w:rsidP="00A24459">
            <w:pPr>
              <w:rPr>
                <w:color w:val="000000" w:themeColor="text1"/>
                <w:sz w:val="24"/>
                <w:szCs w:val="24"/>
              </w:rPr>
            </w:pPr>
            <w:r w:rsidRPr="00792B36">
              <w:rPr>
                <w:b/>
                <w:bCs/>
                <w:color w:val="000000" w:themeColor="text1"/>
                <w:sz w:val="24"/>
                <w:szCs w:val="24"/>
              </w:rPr>
              <w:t>Fishing Ground:</w:t>
            </w:r>
            <w:r w:rsidRPr="00792B36">
              <w:rPr>
                <w:color w:val="000000" w:themeColor="text1"/>
                <w:sz w:val="24"/>
                <w:szCs w:val="24"/>
              </w:rPr>
              <w:br/>
              <w:t>Traditional fishing areas remain active around the island, mainly using traps and handlines targeting reef fish, squid, and crab. However, fishing zones are shrinking due to maritime traffic and port operations, creating competition for space.</w:t>
            </w:r>
          </w:p>
          <w:p w14:paraId="2FB8A6B8" w14:textId="77777777" w:rsidR="009A0A63" w:rsidRPr="00792B36" w:rsidRDefault="009A0A63" w:rsidP="00A24459">
            <w:pPr>
              <w:rPr>
                <w:color w:val="000000" w:themeColor="text1"/>
                <w:sz w:val="24"/>
                <w:szCs w:val="24"/>
              </w:rPr>
            </w:pPr>
            <w:r w:rsidRPr="00792B36">
              <w:rPr>
                <w:b/>
                <w:bCs/>
                <w:color w:val="000000" w:themeColor="text1"/>
                <w:sz w:val="24"/>
                <w:szCs w:val="24"/>
              </w:rPr>
              <w:t>Tourism:</w:t>
            </w:r>
            <w:r w:rsidRPr="00792B36">
              <w:rPr>
                <w:color w:val="000000" w:themeColor="text1"/>
                <w:sz w:val="24"/>
                <w:szCs w:val="24"/>
              </w:rPr>
              <w:br/>
              <w:t xml:space="preserve">Koh Si Chang is a domestic tourism destination, known for cultural attractions, scenic viewpoints, and limited snorkeling and diving sites. Tourism provides significant income to local communities but is affected by water quality and </w:t>
            </w:r>
            <w:r w:rsidRPr="00792B36">
              <w:rPr>
                <w:color w:val="000000" w:themeColor="text1"/>
                <w:sz w:val="24"/>
                <w:szCs w:val="24"/>
              </w:rPr>
              <w:lastRenderedPageBreak/>
              <w:t>coastal development.</w:t>
            </w:r>
          </w:p>
          <w:p w14:paraId="59E0B92F" w14:textId="77777777" w:rsidR="009A0A63" w:rsidRPr="00792B36" w:rsidRDefault="009A0A63" w:rsidP="00A24459">
            <w:pPr>
              <w:rPr>
                <w:color w:val="000000" w:themeColor="text1"/>
                <w:sz w:val="24"/>
                <w:szCs w:val="24"/>
              </w:rPr>
            </w:pPr>
            <w:r w:rsidRPr="00792B36">
              <w:rPr>
                <w:b/>
                <w:bCs/>
                <w:color w:val="000000" w:themeColor="text1"/>
                <w:sz w:val="24"/>
                <w:szCs w:val="24"/>
              </w:rPr>
              <w:t>Marine Protected Area (MPA):</w:t>
            </w:r>
            <w:r w:rsidRPr="00792B36">
              <w:rPr>
                <w:color w:val="000000" w:themeColor="text1"/>
                <w:sz w:val="24"/>
                <w:szCs w:val="24"/>
              </w:rPr>
              <w:br/>
              <w:t>Koh Si Chang is not formally designated as an MPA, but coral reef monitoring and small-scale restoration projects are conducted by the Department of Marine and Coastal Resources (DMCR). Conservation initiatives focus on reducing anchor damage, monitoring reef health, and promoting responsible tourism.</w:t>
            </w:r>
          </w:p>
        </w:tc>
        <w:tc>
          <w:tcPr>
            <w:tcW w:w="3468" w:type="dxa"/>
          </w:tcPr>
          <w:p w14:paraId="1D2D1FD6" w14:textId="77777777" w:rsidR="009A0A63" w:rsidRPr="00792B36" w:rsidRDefault="009A0A63" w:rsidP="00A24459">
            <w:pPr>
              <w:jc w:val="center"/>
              <w:rPr>
                <w:b/>
                <w:bCs/>
                <w:color w:val="000000" w:themeColor="text1"/>
                <w:sz w:val="24"/>
                <w:szCs w:val="24"/>
              </w:rPr>
            </w:pPr>
            <w:r w:rsidRPr="00792B36">
              <w:rPr>
                <w:color w:val="000000" w:themeColor="text1"/>
                <w:sz w:val="24"/>
                <w:szCs w:val="24"/>
              </w:rPr>
              <w:lastRenderedPageBreak/>
              <w:t>Small</w:t>
            </w:r>
            <w:r w:rsidRPr="00792B36">
              <w:rPr>
                <w:color w:val="000000" w:themeColor="text1"/>
                <w:sz w:val="24"/>
                <w:szCs w:val="24"/>
                <w:cs/>
              </w:rPr>
              <w:t>-</w:t>
            </w:r>
            <w:r w:rsidRPr="00792B36">
              <w:rPr>
                <w:color w:val="000000" w:themeColor="text1"/>
                <w:sz w:val="24"/>
                <w:szCs w:val="24"/>
              </w:rPr>
              <w:t>scale fisheries; squid fishing and collection of marine invertebrates</w:t>
            </w:r>
          </w:p>
        </w:tc>
        <w:tc>
          <w:tcPr>
            <w:tcW w:w="3468" w:type="dxa"/>
          </w:tcPr>
          <w:p w14:paraId="672B0D76" w14:textId="77777777" w:rsidR="009A0A63" w:rsidRPr="00792B36" w:rsidRDefault="009A0A63" w:rsidP="00A24459">
            <w:pPr>
              <w:rPr>
                <w:color w:val="000000" w:themeColor="text1"/>
                <w:sz w:val="24"/>
                <w:szCs w:val="24"/>
              </w:rPr>
            </w:pPr>
            <w:r w:rsidRPr="00792B36">
              <w:rPr>
                <w:b/>
                <w:bCs/>
                <w:color w:val="000000" w:themeColor="text1"/>
                <w:sz w:val="24"/>
                <w:szCs w:val="24"/>
              </w:rPr>
              <w:t>Tourism (Sustainable Use):</w:t>
            </w:r>
            <w:r w:rsidRPr="00792B36">
              <w:rPr>
                <w:color w:val="000000" w:themeColor="text1"/>
                <w:sz w:val="24"/>
                <w:szCs w:val="24"/>
              </w:rPr>
              <w:br/>
              <w:t xml:space="preserve">Koh Si Chang has strong potential for eco- and cultural tourism development under a sustainable management framework. Its proximity to Bangkok (about 120 km) and coastal heritage make it ideal for day-trip tourism, diving, </w:t>
            </w:r>
            <w:r w:rsidRPr="00792B36">
              <w:rPr>
                <w:color w:val="000000" w:themeColor="text1"/>
                <w:sz w:val="24"/>
                <w:szCs w:val="24"/>
              </w:rPr>
              <w:lastRenderedPageBreak/>
              <w:t>snorkeling, and cultural sightseeing. Sustainable tourism planning could focus on:</w:t>
            </w:r>
          </w:p>
          <w:p w14:paraId="79B054F6" w14:textId="77777777" w:rsidR="009A0A63" w:rsidRPr="00792B36" w:rsidRDefault="009A0A63" w:rsidP="00F61B37">
            <w:pPr>
              <w:widowControl/>
              <w:numPr>
                <w:ilvl w:val="0"/>
                <w:numId w:val="89"/>
              </w:numPr>
              <w:rPr>
                <w:color w:val="000000" w:themeColor="text1"/>
                <w:sz w:val="24"/>
                <w:szCs w:val="24"/>
              </w:rPr>
            </w:pPr>
            <w:r w:rsidRPr="00792B36">
              <w:rPr>
                <w:color w:val="000000" w:themeColor="text1"/>
                <w:sz w:val="24"/>
                <w:szCs w:val="24"/>
              </w:rPr>
              <w:t>Promoting low-impact marine recreation such as snorkeling, kayaking, and guided reef interpretation.</w:t>
            </w:r>
          </w:p>
          <w:p w14:paraId="7CB84D30" w14:textId="77777777" w:rsidR="009A0A63" w:rsidRPr="00792B36" w:rsidRDefault="009A0A63" w:rsidP="00F61B37">
            <w:pPr>
              <w:widowControl/>
              <w:numPr>
                <w:ilvl w:val="0"/>
                <w:numId w:val="89"/>
              </w:numPr>
              <w:rPr>
                <w:color w:val="000000" w:themeColor="text1"/>
                <w:sz w:val="24"/>
                <w:szCs w:val="24"/>
              </w:rPr>
            </w:pPr>
            <w:r w:rsidRPr="00792B36">
              <w:rPr>
                <w:color w:val="000000" w:themeColor="text1"/>
                <w:sz w:val="24"/>
                <w:szCs w:val="24"/>
              </w:rPr>
              <w:t>Developing community-based tourism to benefit local residents through homestays, traditional food, and eco-tours.</w:t>
            </w:r>
          </w:p>
          <w:p w14:paraId="457612F6" w14:textId="77777777" w:rsidR="009A0A63" w:rsidRPr="00792B36" w:rsidRDefault="009A0A63" w:rsidP="00F61B37">
            <w:pPr>
              <w:widowControl/>
              <w:numPr>
                <w:ilvl w:val="0"/>
                <w:numId w:val="89"/>
              </w:numPr>
              <w:rPr>
                <w:color w:val="000000" w:themeColor="text1"/>
                <w:sz w:val="24"/>
                <w:szCs w:val="24"/>
              </w:rPr>
            </w:pPr>
            <w:r w:rsidRPr="00792B36">
              <w:rPr>
                <w:color w:val="000000" w:themeColor="text1"/>
                <w:sz w:val="24"/>
                <w:szCs w:val="24"/>
              </w:rPr>
              <w:t>Establishing visitor carrying capacity limits to prevent overuse at sensitive coral sites.</w:t>
            </w:r>
          </w:p>
          <w:p w14:paraId="5DC25031" w14:textId="77777777" w:rsidR="009A0A63" w:rsidRPr="00792B36" w:rsidRDefault="009A0A63" w:rsidP="00F61B37">
            <w:pPr>
              <w:widowControl/>
              <w:numPr>
                <w:ilvl w:val="0"/>
                <w:numId w:val="89"/>
              </w:numPr>
              <w:rPr>
                <w:color w:val="000000" w:themeColor="text1"/>
                <w:sz w:val="24"/>
                <w:szCs w:val="24"/>
              </w:rPr>
            </w:pPr>
            <w:r w:rsidRPr="00792B36">
              <w:rPr>
                <w:color w:val="000000" w:themeColor="text1"/>
                <w:sz w:val="24"/>
                <w:szCs w:val="24"/>
              </w:rPr>
              <w:t>Introducing reef-safe tourism standards, including wastewater treatment and anchoring control for boats.</w:t>
            </w:r>
          </w:p>
          <w:p w14:paraId="028B4611" w14:textId="77777777" w:rsidR="009A0A63" w:rsidRPr="00792B36" w:rsidRDefault="009A0A63" w:rsidP="00A24459">
            <w:pPr>
              <w:rPr>
                <w:color w:val="000000" w:themeColor="text1"/>
                <w:sz w:val="24"/>
                <w:szCs w:val="24"/>
              </w:rPr>
            </w:pPr>
            <w:r w:rsidRPr="00792B36">
              <w:rPr>
                <w:b/>
                <w:bCs/>
                <w:color w:val="000000" w:themeColor="text1"/>
                <w:sz w:val="24"/>
                <w:szCs w:val="24"/>
              </w:rPr>
              <w:t>Marine Protected Area (MPA)  Sustainable Use:</w:t>
            </w:r>
            <w:r w:rsidRPr="00792B36">
              <w:rPr>
                <w:color w:val="000000" w:themeColor="text1"/>
                <w:sz w:val="24"/>
                <w:szCs w:val="24"/>
              </w:rPr>
              <w:br/>
              <w:t xml:space="preserve">Although Koh Si Chang is not currently a formal MPA, it could be integrated into a coastal multiple-use conservation zone under the Department of Marine and Coastal Resources (DMCR). </w:t>
            </w:r>
            <w:r w:rsidRPr="00792B36">
              <w:rPr>
                <w:color w:val="000000" w:themeColor="text1"/>
                <w:sz w:val="24"/>
                <w:szCs w:val="24"/>
              </w:rPr>
              <w:lastRenderedPageBreak/>
              <w:t>Sustainable use within such a designation could include:</w:t>
            </w:r>
          </w:p>
          <w:p w14:paraId="340B9A9F" w14:textId="77777777" w:rsidR="009A0A63" w:rsidRPr="00792B36" w:rsidRDefault="009A0A63" w:rsidP="00F61B37">
            <w:pPr>
              <w:widowControl/>
              <w:numPr>
                <w:ilvl w:val="0"/>
                <w:numId w:val="90"/>
              </w:numPr>
              <w:rPr>
                <w:color w:val="000000" w:themeColor="text1"/>
                <w:sz w:val="24"/>
                <w:szCs w:val="24"/>
              </w:rPr>
            </w:pPr>
            <w:r w:rsidRPr="00792B36">
              <w:rPr>
                <w:color w:val="000000" w:themeColor="text1"/>
                <w:sz w:val="24"/>
                <w:szCs w:val="24"/>
              </w:rPr>
              <w:t>Zoning for conservation and recreation, separating coral habitats from port and industrial zones.</w:t>
            </w:r>
          </w:p>
          <w:p w14:paraId="3C379231" w14:textId="77777777" w:rsidR="009A0A63" w:rsidRPr="00792B36" w:rsidRDefault="009A0A63" w:rsidP="00F61B37">
            <w:pPr>
              <w:widowControl/>
              <w:numPr>
                <w:ilvl w:val="0"/>
                <w:numId w:val="90"/>
              </w:numPr>
              <w:rPr>
                <w:color w:val="000000" w:themeColor="text1"/>
                <w:sz w:val="24"/>
                <w:szCs w:val="24"/>
              </w:rPr>
            </w:pPr>
            <w:r w:rsidRPr="00792B36">
              <w:rPr>
                <w:color w:val="000000" w:themeColor="text1"/>
                <w:sz w:val="24"/>
                <w:szCs w:val="24"/>
              </w:rPr>
              <w:t>Coral restoration and monitoring areas, with mooring buoys to prevent anchor damage.</w:t>
            </w:r>
          </w:p>
          <w:p w14:paraId="3AF036C5" w14:textId="77777777" w:rsidR="009A0A63" w:rsidRPr="00792B36" w:rsidRDefault="009A0A63" w:rsidP="00F61B37">
            <w:pPr>
              <w:widowControl/>
              <w:numPr>
                <w:ilvl w:val="0"/>
                <w:numId w:val="90"/>
              </w:numPr>
              <w:rPr>
                <w:color w:val="000000" w:themeColor="text1"/>
                <w:sz w:val="24"/>
                <w:szCs w:val="24"/>
              </w:rPr>
            </w:pPr>
            <w:r w:rsidRPr="00792B36">
              <w:rPr>
                <w:color w:val="000000" w:themeColor="text1"/>
                <w:sz w:val="24"/>
                <w:szCs w:val="24"/>
              </w:rPr>
              <w:t>Collaborative management involving local communities, dive operators, and Laem Chabang Port authorities.</w:t>
            </w:r>
          </w:p>
          <w:p w14:paraId="2C71FCA8" w14:textId="77777777" w:rsidR="009A0A63" w:rsidRPr="00792B36" w:rsidRDefault="009A0A63" w:rsidP="00F61B37">
            <w:pPr>
              <w:widowControl/>
              <w:numPr>
                <w:ilvl w:val="0"/>
                <w:numId w:val="90"/>
              </w:numPr>
              <w:rPr>
                <w:color w:val="000000" w:themeColor="text1"/>
                <w:sz w:val="24"/>
                <w:szCs w:val="24"/>
              </w:rPr>
            </w:pPr>
            <w:r w:rsidRPr="00792B36">
              <w:rPr>
                <w:color w:val="000000" w:themeColor="text1"/>
                <w:sz w:val="24"/>
                <w:szCs w:val="24"/>
              </w:rPr>
              <w:t>Establishing a “marine buffer zone” to protect coral reefs located approximately 300–800 meters from the coast from sedimentation and pollution.</w:t>
            </w:r>
          </w:p>
        </w:tc>
      </w:tr>
      <w:tr w:rsidR="009A0A63" w:rsidRPr="00792B36" w14:paraId="6E16E026" w14:textId="77777777" w:rsidTr="00A24459">
        <w:tc>
          <w:tcPr>
            <w:tcW w:w="2547" w:type="dxa"/>
          </w:tcPr>
          <w:p w14:paraId="2D4228A0" w14:textId="77777777" w:rsidR="009A0A63" w:rsidRPr="00792B36" w:rsidRDefault="009A0A63" w:rsidP="00A24459">
            <w:pPr>
              <w:rPr>
                <w:b/>
                <w:bCs/>
                <w:color w:val="000000" w:themeColor="text1"/>
                <w:sz w:val="24"/>
                <w:szCs w:val="24"/>
              </w:rPr>
            </w:pPr>
            <w:r w:rsidRPr="00792B36">
              <w:rPr>
                <w:b/>
                <w:bCs/>
                <w:color w:val="000000" w:themeColor="text1"/>
                <w:sz w:val="24"/>
                <w:szCs w:val="24"/>
              </w:rPr>
              <w:lastRenderedPageBreak/>
              <w:t xml:space="preserve">CR:2 Koh Lan </w:t>
            </w:r>
          </w:p>
        </w:tc>
        <w:tc>
          <w:tcPr>
            <w:tcW w:w="3467" w:type="dxa"/>
          </w:tcPr>
          <w:p w14:paraId="5E1D4C9A" w14:textId="77777777" w:rsidR="009A0A63" w:rsidRPr="00792B36" w:rsidRDefault="009A0A63" w:rsidP="00A24459">
            <w:pPr>
              <w:rPr>
                <w:color w:val="000000" w:themeColor="text1"/>
                <w:sz w:val="24"/>
                <w:szCs w:val="24"/>
              </w:rPr>
            </w:pPr>
            <w:r w:rsidRPr="00792B36">
              <w:rPr>
                <w:b/>
                <w:bCs/>
                <w:color w:val="000000" w:themeColor="text1"/>
                <w:sz w:val="24"/>
                <w:szCs w:val="24"/>
              </w:rPr>
              <w:t>Commercial Use:</w:t>
            </w:r>
            <w:r w:rsidRPr="00792B36">
              <w:rPr>
                <w:color w:val="000000" w:themeColor="text1"/>
                <w:sz w:val="24"/>
                <w:szCs w:val="24"/>
              </w:rPr>
              <w:br/>
              <w:t xml:space="preserve">The island’s economy is driven primarily by tourism-related businesses, including accommodations, restaurants, speedboat operators, and ferry services connecting to Pattaya. Indirect </w:t>
            </w:r>
            <w:r w:rsidRPr="00792B36">
              <w:rPr>
                <w:color w:val="000000" w:themeColor="text1"/>
                <w:sz w:val="24"/>
                <w:szCs w:val="24"/>
              </w:rPr>
              <w:lastRenderedPageBreak/>
              <w:t>commercial activities, such as seafood supply and souvenir trading, also contribute to the local economy.</w:t>
            </w:r>
          </w:p>
          <w:p w14:paraId="25109EEB" w14:textId="77777777" w:rsidR="009A0A63" w:rsidRPr="00792B36" w:rsidRDefault="009A0A63" w:rsidP="00A24459">
            <w:pPr>
              <w:rPr>
                <w:color w:val="000000" w:themeColor="text1"/>
                <w:sz w:val="24"/>
                <w:szCs w:val="24"/>
              </w:rPr>
            </w:pPr>
            <w:r w:rsidRPr="00792B36">
              <w:rPr>
                <w:b/>
                <w:bCs/>
                <w:color w:val="000000" w:themeColor="text1"/>
                <w:sz w:val="24"/>
                <w:szCs w:val="24"/>
              </w:rPr>
              <w:t>Subsistence Use:</w:t>
            </w:r>
            <w:r w:rsidRPr="00792B36">
              <w:rPr>
                <w:color w:val="000000" w:themeColor="text1"/>
                <w:sz w:val="24"/>
                <w:szCs w:val="24"/>
              </w:rPr>
              <w:br/>
              <w:t>Some local households engage in small-scale fishing and aquaculture, primarily for family use or local markets. Subsistence practices include crab trapping and squid fishing in nearshore areas.</w:t>
            </w:r>
          </w:p>
          <w:p w14:paraId="09AD513A" w14:textId="77777777" w:rsidR="009A0A63" w:rsidRPr="00792B36" w:rsidRDefault="009A0A63" w:rsidP="00A24459">
            <w:pPr>
              <w:rPr>
                <w:color w:val="000000" w:themeColor="text1"/>
                <w:sz w:val="24"/>
                <w:szCs w:val="24"/>
              </w:rPr>
            </w:pPr>
            <w:r w:rsidRPr="00792B36">
              <w:rPr>
                <w:b/>
                <w:bCs/>
                <w:color w:val="000000" w:themeColor="text1"/>
                <w:sz w:val="24"/>
                <w:szCs w:val="24"/>
              </w:rPr>
              <w:t>Fishing Ground:</w:t>
            </w:r>
            <w:r w:rsidRPr="00792B36">
              <w:rPr>
                <w:color w:val="000000" w:themeColor="text1"/>
                <w:sz w:val="24"/>
                <w:szCs w:val="24"/>
              </w:rPr>
              <w:br/>
              <w:t>Koh Lan’s surrounding waters serve as traditional fishing grounds, but fishing areas are shrinking due to tourism boat traffic and restricted zones around beaches and piers. Fishing is mainly done with traps and handlines, with no destructive methods reported.</w:t>
            </w:r>
          </w:p>
          <w:p w14:paraId="5911C5DB" w14:textId="77777777" w:rsidR="009A0A63" w:rsidRPr="00792B36" w:rsidRDefault="009A0A63" w:rsidP="00A24459">
            <w:pPr>
              <w:rPr>
                <w:color w:val="000000" w:themeColor="text1"/>
                <w:sz w:val="24"/>
                <w:szCs w:val="24"/>
              </w:rPr>
            </w:pPr>
            <w:r w:rsidRPr="00792B36">
              <w:rPr>
                <w:b/>
                <w:bCs/>
                <w:color w:val="000000" w:themeColor="text1"/>
                <w:sz w:val="24"/>
                <w:szCs w:val="24"/>
              </w:rPr>
              <w:t>Tourism:</w:t>
            </w:r>
            <w:r w:rsidRPr="00792B36">
              <w:rPr>
                <w:color w:val="000000" w:themeColor="text1"/>
                <w:sz w:val="24"/>
                <w:szCs w:val="24"/>
              </w:rPr>
              <w:br/>
              <w:t xml:space="preserve">Tourism is the dominant activity on Koh Lan, attracting thousands of domestic and international visitors daily. Major activities include snorkeling, diving, water sports, and beach recreation. High tourism pressure has led to localized coral degradation, </w:t>
            </w:r>
            <w:r w:rsidRPr="00792B36">
              <w:rPr>
                <w:color w:val="000000" w:themeColor="text1"/>
                <w:sz w:val="24"/>
                <w:szCs w:val="24"/>
              </w:rPr>
              <w:lastRenderedPageBreak/>
              <w:t>anchor damage, and wastewater pollution.</w:t>
            </w:r>
          </w:p>
          <w:p w14:paraId="19E04DB5" w14:textId="77777777" w:rsidR="009A0A63" w:rsidRPr="00792B36" w:rsidRDefault="009A0A63" w:rsidP="00A24459">
            <w:pPr>
              <w:rPr>
                <w:color w:val="000000" w:themeColor="text1"/>
                <w:sz w:val="24"/>
                <w:szCs w:val="24"/>
              </w:rPr>
            </w:pPr>
            <w:r w:rsidRPr="00792B36">
              <w:rPr>
                <w:b/>
                <w:bCs/>
                <w:color w:val="000000" w:themeColor="text1"/>
                <w:sz w:val="24"/>
                <w:szCs w:val="24"/>
              </w:rPr>
              <w:t>Marine Protected Area (MPA):</w:t>
            </w:r>
            <w:r w:rsidRPr="00792B36">
              <w:rPr>
                <w:color w:val="000000" w:themeColor="text1"/>
                <w:sz w:val="24"/>
                <w:szCs w:val="24"/>
              </w:rPr>
              <w:br/>
              <w:t>Koh Lan is not officially designated as an MPA, but coral reefs and coastal zones are under the monitoring and management of the Department of Marine and Coastal Resources (DMCR). Efforts include installing mooring buoys, conducting coral restoration, and promoting eco-tourism awareness.</w:t>
            </w:r>
          </w:p>
        </w:tc>
        <w:tc>
          <w:tcPr>
            <w:tcW w:w="3468" w:type="dxa"/>
          </w:tcPr>
          <w:p w14:paraId="4D11E8DA" w14:textId="77777777" w:rsidR="009A0A63" w:rsidRPr="00792B36" w:rsidRDefault="009A0A63" w:rsidP="00A24459">
            <w:pPr>
              <w:jc w:val="center"/>
              <w:rPr>
                <w:color w:val="000000" w:themeColor="text1"/>
                <w:sz w:val="24"/>
                <w:szCs w:val="24"/>
              </w:rPr>
            </w:pPr>
            <w:r w:rsidRPr="00792B36">
              <w:rPr>
                <w:color w:val="000000" w:themeColor="text1"/>
                <w:sz w:val="24"/>
                <w:szCs w:val="24"/>
              </w:rPr>
              <w:lastRenderedPageBreak/>
              <w:t>Local fisheries; use of traditional fish traps</w:t>
            </w:r>
          </w:p>
        </w:tc>
        <w:tc>
          <w:tcPr>
            <w:tcW w:w="3468" w:type="dxa"/>
          </w:tcPr>
          <w:p w14:paraId="431ED3B4" w14:textId="77777777" w:rsidR="009A0A63" w:rsidRPr="00792B36" w:rsidRDefault="009A0A63" w:rsidP="00A24459">
            <w:pPr>
              <w:rPr>
                <w:color w:val="000000" w:themeColor="text1"/>
                <w:sz w:val="24"/>
                <w:szCs w:val="24"/>
              </w:rPr>
            </w:pPr>
            <w:r w:rsidRPr="00792B36">
              <w:rPr>
                <w:b/>
                <w:bCs/>
                <w:color w:val="000000" w:themeColor="text1"/>
                <w:sz w:val="24"/>
                <w:szCs w:val="24"/>
              </w:rPr>
              <w:t>Tourism (Sustainable Use):</w:t>
            </w:r>
            <w:r w:rsidRPr="00792B36">
              <w:rPr>
                <w:color w:val="000000" w:themeColor="text1"/>
                <w:sz w:val="24"/>
                <w:szCs w:val="24"/>
              </w:rPr>
              <w:br/>
              <w:t xml:space="preserve">Koh Lan has significant potential to become a model for sustainable coastal and marine tourism in the Gulf of Thailand. With its proximity to Pattaya, the island can shift from high-volume tourism to eco-friendly </w:t>
            </w:r>
            <w:r w:rsidRPr="00792B36">
              <w:rPr>
                <w:color w:val="000000" w:themeColor="text1"/>
                <w:sz w:val="24"/>
                <w:szCs w:val="24"/>
              </w:rPr>
              <w:lastRenderedPageBreak/>
              <w:t>and low-impact tourism by:</w:t>
            </w:r>
          </w:p>
          <w:p w14:paraId="10AC786F" w14:textId="77777777" w:rsidR="009A0A63" w:rsidRPr="00792B36" w:rsidRDefault="009A0A63" w:rsidP="00F61B37">
            <w:pPr>
              <w:widowControl/>
              <w:numPr>
                <w:ilvl w:val="0"/>
                <w:numId w:val="91"/>
              </w:numPr>
              <w:rPr>
                <w:color w:val="000000" w:themeColor="text1"/>
                <w:sz w:val="24"/>
                <w:szCs w:val="24"/>
              </w:rPr>
            </w:pPr>
            <w:r w:rsidRPr="00792B36">
              <w:rPr>
                <w:color w:val="000000" w:themeColor="text1"/>
                <w:sz w:val="24"/>
                <w:szCs w:val="24"/>
              </w:rPr>
              <w:t>Developing zoned tourism areas that separate swimming, snorkeling, and boating zones to reduce reef damage.</w:t>
            </w:r>
          </w:p>
          <w:p w14:paraId="4394FE36" w14:textId="77777777" w:rsidR="009A0A63" w:rsidRPr="00792B36" w:rsidRDefault="009A0A63" w:rsidP="00F61B37">
            <w:pPr>
              <w:widowControl/>
              <w:numPr>
                <w:ilvl w:val="0"/>
                <w:numId w:val="91"/>
              </w:numPr>
              <w:rPr>
                <w:color w:val="000000" w:themeColor="text1"/>
                <w:sz w:val="24"/>
                <w:szCs w:val="24"/>
              </w:rPr>
            </w:pPr>
            <w:r w:rsidRPr="00792B36">
              <w:rPr>
                <w:color w:val="000000" w:themeColor="text1"/>
                <w:sz w:val="24"/>
                <w:szCs w:val="24"/>
              </w:rPr>
              <w:t>Promoting eco-tourism activities such as guided snorkeling, reef interpretation trails, kayaking, and environmental education for visitors.</w:t>
            </w:r>
          </w:p>
          <w:p w14:paraId="45E926D2" w14:textId="77777777" w:rsidR="009A0A63" w:rsidRPr="00792B36" w:rsidRDefault="009A0A63" w:rsidP="00F61B37">
            <w:pPr>
              <w:widowControl/>
              <w:numPr>
                <w:ilvl w:val="0"/>
                <w:numId w:val="91"/>
              </w:numPr>
              <w:rPr>
                <w:color w:val="000000" w:themeColor="text1"/>
                <w:sz w:val="24"/>
                <w:szCs w:val="24"/>
              </w:rPr>
            </w:pPr>
            <w:r w:rsidRPr="00792B36">
              <w:rPr>
                <w:color w:val="000000" w:themeColor="text1"/>
                <w:sz w:val="24"/>
                <w:szCs w:val="24"/>
              </w:rPr>
              <w:t>Implementing visitor capacity limits and reef-safe tourism guidelines to manage overcrowding and reduce pollution.</w:t>
            </w:r>
          </w:p>
          <w:p w14:paraId="1C8331E3" w14:textId="77777777" w:rsidR="009A0A63" w:rsidRPr="00792B36" w:rsidRDefault="009A0A63" w:rsidP="00F61B37">
            <w:pPr>
              <w:widowControl/>
              <w:numPr>
                <w:ilvl w:val="0"/>
                <w:numId w:val="91"/>
              </w:numPr>
              <w:rPr>
                <w:color w:val="000000" w:themeColor="text1"/>
                <w:sz w:val="24"/>
                <w:szCs w:val="24"/>
              </w:rPr>
            </w:pPr>
            <w:r w:rsidRPr="00792B36">
              <w:rPr>
                <w:color w:val="000000" w:themeColor="text1"/>
                <w:sz w:val="24"/>
                <w:szCs w:val="24"/>
              </w:rPr>
              <w:t>Encouraging community-based tourism, where local residents provide homestays, sustainable seafood, and cultural experiences to distribute benefits equitably.</w:t>
            </w:r>
          </w:p>
          <w:p w14:paraId="701DA502" w14:textId="77777777" w:rsidR="009A0A63" w:rsidRPr="00792B36" w:rsidRDefault="009A0A63" w:rsidP="00A24459">
            <w:pPr>
              <w:rPr>
                <w:color w:val="000000" w:themeColor="text1"/>
                <w:sz w:val="24"/>
                <w:szCs w:val="24"/>
              </w:rPr>
            </w:pPr>
            <w:r w:rsidRPr="00792B36">
              <w:rPr>
                <w:b/>
                <w:bCs/>
                <w:color w:val="000000" w:themeColor="text1"/>
                <w:sz w:val="24"/>
                <w:szCs w:val="24"/>
              </w:rPr>
              <w:t>Marine Protected Area (MPA) Sustainable Use:</w:t>
            </w:r>
            <w:r w:rsidRPr="00792B36">
              <w:rPr>
                <w:color w:val="000000" w:themeColor="text1"/>
                <w:sz w:val="24"/>
                <w:szCs w:val="24"/>
              </w:rPr>
              <w:br/>
            </w:r>
            <w:r w:rsidRPr="00792B36">
              <w:rPr>
                <w:color w:val="000000" w:themeColor="text1"/>
                <w:sz w:val="24"/>
                <w:szCs w:val="24"/>
              </w:rPr>
              <w:lastRenderedPageBreak/>
              <w:t>Koh Lan’s coral reef zones could be designated as a multiple-use MPA under the Department of Marine and Coastal Resources (DMCR) to ensure balanced protection and utilization. Sustainable MPA management could include:</w:t>
            </w:r>
          </w:p>
          <w:p w14:paraId="3C502BDF" w14:textId="77777777" w:rsidR="009A0A63" w:rsidRPr="00792B36" w:rsidRDefault="009A0A63" w:rsidP="00F61B37">
            <w:pPr>
              <w:widowControl/>
              <w:numPr>
                <w:ilvl w:val="0"/>
                <w:numId w:val="92"/>
              </w:numPr>
              <w:rPr>
                <w:color w:val="000000" w:themeColor="text1"/>
                <w:sz w:val="24"/>
                <w:szCs w:val="24"/>
              </w:rPr>
            </w:pPr>
            <w:r w:rsidRPr="00792B36">
              <w:rPr>
                <w:color w:val="000000" w:themeColor="text1"/>
                <w:sz w:val="24"/>
                <w:szCs w:val="24"/>
              </w:rPr>
              <w:t>Establishing zoning systems for conservation, recreation, and limited fishing areas.</w:t>
            </w:r>
          </w:p>
          <w:p w14:paraId="6AAFE44C" w14:textId="77777777" w:rsidR="009A0A63" w:rsidRPr="00792B36" w:rsidRDefault="009A0A63" w:rsidP="00F61B37">
            <w:pPr>
              <w:widowControl/>
              <w:numPr>
                <w:ilvl w:val="0"/>
                <w:numId w:val="92"/>
              </w:numPr>
              <w:rPr>
                <w:color w:val="000000" w:themeColor="text1"/>
                <w:sz w:val="24"/>
                <w:szCs w:val="24"/>
              </w:rPr>
            </w:pPr>
            <w:r w:rsidRPr="00792B36">
              <w:rPr>
                <w:color w:val="000000" w:themeColor="text1"/>
                <w:sz w:val="24"/>
                <w:szCs w:val="24"/>
              </w:rPr>
              <w:t>Installing mooring buoys to prevent anchor damage and protect coral structures.</w:t>
            </w:r>
          </w:p>
          <w:p w14:paraId="78D63317" w14:textId="77777777" w:rsidR="009A0A63" w:rsidRPr="00792B36" w:rsidRDefault="009A0A63" w:rsidP="00F61B37">
            <w:pPr>
              <w:widowControl/>
              <w:numPr>
                <w:ilvl w:val="0"/>
                <w:numId w:val="92"/>
              </w:numPr>
              <w:rPr>
                <w:color w:val="000000" w:themeColor="text1"/>
                <w:sz w:val="24"/>
                <w:szCs w:val="24"/>
              </w:rPr>
            </w:pPr>
            <w:r w:rsidRPr="00792B36">
              <w:rPr>
                <w:color w:val="000000" w:themeColor="text1"/>
                <w:sz w:val="24"/>
                <w:szCs w:val="24"/>
              </w:rPr>
              <w:t>Conducting coral restoration and monitoring programs with support from local dive centers and universities.</w:t>
            </w:r>
          </w:p>
          <w:p w14:paraId="4C72E062" w14:textId="77777777" w:rsidR="009A0A63" w:rsidRPr="00792B36" w:rsidRDefault="009A0A63" w:rsidP="00F61B37">
            <w:pPr>
              <w:widowControl/>
              <w:numPr>
                <w:ilvl w:val="0"/>
                <w:numId w:val="92"/>
              </w:numPr>
              <w:rPr>
                <w:color w:val="000000" w:themeColor="text1"/>
                <w:sz w:val="24"/>
                <w:szCs w:val="24"/>
              </w:rPr>
            </w:pPr>
            <w:r w:rsidRPr="00792B36">
              <w:rPr>
                <w:color w:val="000000" w:themeColor="text1"/>
                <w:sz w:val="24"/>
                <w:szCs w:val="24"/>
              </w:rPr>
              <w:t>Strengthening co-management between DMCR, Pattaya City, and local communities for long-term reef stewardship.</w:t>
            </w:r>
          </w:p>
        </w:tc>
      </w:tr>
      <w:tr w:rsidR="009A0A63" w:rsidRPr="00792B36" w14:paraId="21265694" w14:textId="77777777" w:rsidTr="00A24459">
        <w:tc>
          <w:tcPr>
            <w:tcW w:w="2547" w:type="dxa"/>
          </w:tcPr>
          <w:p w14:paraId="7EA1F5C1" w14:textId="77777777" w:rsidR="009A0A63" w:rsidRPr="00792B36" w:rsidRDefault="009A0A63" w:rsidP="00A24459">
            <w:pPr>
              <w:rPr>
                <w:b/>
                <w:bCs/>
                <w:color w:val="000000" w:themeColor="text1"/>
                <w:sz w:val="24"/>
                <w:szCs w:val="24"/>
              </w:rPr>
            </w:pPr>
            <w:r w:rsidRPr="00792B36">
              <w:rPr>
                <w:b/>
                <w:bCs/>
                <w:color w:val="000000" w:themeColor="text1"/>
                <w:sz w:val="24"/>
                <w:szCs w:val="24"/>
              </w:rPr>
              <w:lastRenderedPageBreak/>
              <w:t>CR:3 Koh Kood</w:t>
            </w:r>
          </w:p>
        </w:tc>
        <w:tc>
          <w:tcPr>
            <w:tcW w:w="3467" w:type="dxa"/>
          </w:tcPr>
          <w:p w14:paraId="265DF928" w14:textId="77777777" w:rsidR="009A0A63" w:rsidRPr="00792B36" w:rsidRDefault="009A0A63" w:rsidP="00A24459">
            <w:pPr>
              <w:rPr>
                <w:color w:val="000000" w:themeColor="text1"/>
                <w:sz w:val="24"/>
                <w:szCs w:val="24"/>
              </w:rPr>
            </w:pPr>
            <w:r w:rsidRPr="00792B36">
              <w:rPr>
                <w:b/>
                <w:bCs/>
                <w:color w:val="000000" w:themeColor="text1"/>
                <w:sz w:val="24"/>
                <w:szCs w:val="24"/>
              </w:rPr>
              <w:t>Commercial Use:</w:t>
            </w:r>
            <w:r w:rsidRPr="00792B36">
              <w:rPr>
                <w:color w:val="000000" w:themeColor="text1"/>
                <w:sz w:val="24"/>
                <w:szCs w:val="24"/>
              </w:rPr>
              <w:br/>
              <w:t xml:space="preserve">The island’s economy is based primarily on eco- and resort-based tourism, with numerous mid- to </w:t>
            </w:r>
            <w:r w:rsidRPr="00792B36">
              <w:rPr>
                <w:color w:val="000000" w:themeColor="text1"/>
                <w:sz w:val="24"/>
                <w:szCs w:val="24"/>
              </w:rPr>
              <w:lastRenderedPageBreak/>
              <w:t xml:space="preserve">high-end resorts and supporting services such as restaurants, transport, and diving operations. Commercial activities are regulated to maintain the island’s image as a </w:t>
            </w:r>
            <w:r w:rsidRPr="00792B36">
              <w:rPr>
                <w:b/>
                <w:bCs/>
                <w:color w:val="000000" w:themeColor="text1"/>
                <w:sz w:val="24"/>
                <w:szCs w:val="24"/>
              </w:rPr>
              <w:t>sustainable tourism destination</w:t>
            </w:r>
            <w:r w:rsidRPr="00792B36">
              <w:rPr>
                <w:color w:val="000000" w:themeColor="text1"/>
                <w:sz w:val="24"/>
                <w:szCs w:val="24"/>
              </w:rPr>
              <w:t>.</w:t>
            </w:r>
          </w:p>
          <w:p w14:paraId="7E2C39BC" w14:textId="77777777" w:rsidR="009A0A63" w:rsidRPr="00792B36" w:rsidRDefault="009A0A63" w:rsidP="00A24459">
            <w:pPr>
              <w:rPr>
                <w:color w:val="000000" w:themeColor="text1"/>
                <w:sz w:val="24"/>
                <w:szCs w:val="24"/>
              </w:rPr>
            </w:pPr>
            <w:r w:rsidRPr="00792B36">
              <w:rPr>
                <w:b/>
                <w:bCs/>
                <w:color w:val="000000" w:themeColor="text1"/>
                <w:sz w:val="24"/>
                <w:szCs w:val="24"/>
              </w:rPr>
              <w:t>Subsistence Use:</w:t>
            </w:r>
            <w:r w:rsidRPr="00792B36">
              <w:rPr>
                <w:color w:val="000000" w:themeColor="text1"/>
                <w:sz w:val="24"/>
                <w:szCs w:val="24"/>
              </w:rPr>
              <w:br/>
              <w:t>Local communities depend on small-scale fisheries, coconut and rubber plantations, and aquaculture for household income and consumption. These traditional practices remain important for local livelihoods and cultural heritage.</w:t>
            </w:r>
          </w:p>
          <w:p w14:paraId="01AFE912" w14:textId="77777777" w:rsidR="009A0A63" w:rsidRPr="00792B36" w:rsidRDefault="009A0A63" w:rsidP="00A24459">
            <w:pPr>
              <w:rPr>
                <w:color w:val="000000" w:themeColor="text1"/>
                <w:sz w:val="24"/>
                <w:szCs w:val="24"/>
              </w:rPr>
            </w:pPr>
            <w:r w:rsidRPr="00792B36">
              <w:rPr>
                <w:b/>
                <w:bCs/>
                <w:color w:val="000000" w:themeColor="text1"/>
                <w:sz w:val="24"/>
                <w:szCs w:val="24"/>
              </w:rPr>
              <w:t>Fishing Ground:</w:t>
            </w:r>
            <w:r w:rsidRPr="00792B36">
              <w:rPr>
                <w:color w:val="000000" w:themeColor="text1"/>
                <w:sz w:val="24"/>
                <w:szCs w:val="24"/>
              </w:rPr>
              <w:br/>
              <w:t>Surrounding coastal waters serve as traditional fishing grounds, supporting artisanal fishers using traps, nets, and handlines. Fishing pressure is relatively low, and destructive practices are not</w:t>
            </w:r>
            <w:r w:rsidRPr="00792B36">
              <w:rPr>
                <w:b/>
                <w:bCs/>
                <w:color w:val="000000" w:themeColor="text1"/>
                <w:sz w:val="24"/>
                <w:szCs w:val="24"/>
              </w:rPr>
              <w:t xml:space="preserve"> </w:t>
            </w:r>
            <w:r w:rsidRPr="00792B36">
              <w:rPr>
                <w:color w:val="000000" w:themeColor="text1"/>
                <w:sz w:val="24"/>
                <w:szCs w:val="24"/>
              </w:rPr>
              <w:t>reported. Some zones are informally managed as community fisheries.</w:t>
            </w:r>
          </w:p>
          <w:p w14:paraId="548D101C" w14:textId="77777777" w:rsidR="009A0A63" w:rsidRPr="00792B36" w:rsidRDefault="009A0A63" w:rsidP="00A24459">
            <w:pPr>
              <w:rPr>
                <w:color w:val="000000" w:themeColor="text1"/>
                <w:sz w:val="24"/>
                <w:szCs w:val="24"/>
              </w:rPr>
            </w:pPr>
            <w:r w:rsidRPr="00792B36">
              <w:rPr>
                <w:b/>
                <w:bCs/>
                <w:color w:val="000000" w:themeColor="text1"/>
                <w:sz w:val="24"/>
                <w:szCs w:val="24"/>
              </w:rPr>
              <w:t>Tourism:</w:t>
            </w:r>
            <w:r w:rsidRPr="00792B36">
              <w:rPr>
                <w:color w:val="000000" w:themeColor="text1"/>
                <w:sz w:val="24"/>
                <w:szCs w:val="24"/>
              </w:rPr>
              <w:br/>
              <w:t>Tourism is the main economic driver, emphasizing eco-friendly and nature-</w:t>
            </w:r>
            <w:r w:rsidRPr="00792B36">
              <w:rPr>
                <w:color w:val="000000" w:themeColor="text1"/>
                <w:sz w:val="24"/>
                <w:szCs w:val="24"/>
              </w:rPr>
              <w:lastRenderedPageBreak/>
              <w:t>based tourism such as snorkeling, diving, kayaking, and coastal sightseeing. Strict building codes and environmental standards are encouraged to preserve coral reefs and seagrass meadows close to the shore.</w:t>
            </w:r>
          </w:p>
          <w:p w14:paraId="42AFE155" w14:textId="77777777" w:rsidR="009A0A63" w:rsidRPr="00792B36" w:rsidRDefault="009A0A63" w:rsidP="00A24459">
            <w:pPr>
              <w:rPr>
                <w:color w:val="000000" w:themeColor="text1"/>
                <w:sz w:val="24"/>
                <w:szCs w:val="24"/>
              </w:rPr>
            </w:pPr>
            <w:r w:rsidRPr="00792B36">
              <w:rPr>
                <w:b/>
                <w:bCs/>
                <w:color w:val="000000" w:themeColor="text1"/>
                <w:sz w:val="24"/>
                <w:szCs w:val="24"/>
              </w:rPr>
              <w:t>Marine Protected Area (MPA):</w:t>
            </w:r>
            <w:r w:rsidRPr="00792B36">
              <w:rPr>
                <w:color w:val="000000" w:themeColor="text1"/>
                <w:sz w:val="24"/>
                <w:szCs w:val="24"/>
              </w:rPr>
              <w:br/>
              <w:t>While Koh Kood is not officially designated as an MPA, it lies within a broader marine conservation management zone under the Department of Marine and Coastal Resources (DMCR). Coral reef monitoring, mooring buoy installation, and coral restoration programs are periodically implemented in collaboration with local stakeholders.</w:t>
            </w:r>
          </w:p>
        </w:tc>
        <w:tc>
          <w:tcPr>
            <w:tcW w:w="3468" w:type="dxa"/>
          </w:tcPr>
          <w:p w14:paraId="70645E94" w14:textId="77777777" w:rsidR="009A0A63" w:rsidRPr="00792B36" w:rsidRDefault="009A0A63" w:rsidP="00A24459">
            <w:pPr>
              <w:jc w:val="center"/>
              <w:rPr>
                <w:color w:val="000000" w:themeColor="text1"/>
                <w:sz w:val="24"/>
                <w:szCs w:val="24"/>
              </w:rPr>
            </w:pPr>
            <w:r w:rsidRPr="00792B36">
              <w:rPr>
                <w:color w:val="000000" w:themeColor="text1"/>
                <w:sz w:val="24"/>
                <w:szCs w:val="24"/>
              </w:rPr>
              <w:lastRenderedPageBreak/>
              <w:t>Local fisheries; seasonal fishing and harvesting of reef resources</w:t>
            </w:r>
          </w:p>
        </w:tc>
        <w:tc>
          <w:tcPr>
            <w:tcW w:w="3468" w:type="dxa"/>
          </w:tcPr>
          <w:p w14:paraId="558D58C3" w14:textId="77777777" w:rsidR="009A0A63" w:rsidRPr="00792B36" w:rsidRDefault="009A0A63" w:rsidP="00A24459">
            <w:pPr>
              <w:rPr>
                <w:color w:val="000000" w:themeColor="text1"/>
                <w:sz w:val="24"/>
                <w:szCs w:val="24"/>
              </w:rPr>
            </w:pPr>
            <w:r w:rsidRPr="00792B36">
              <w:rPr>
                <w:b/>
                <w:bCs/>
                <w:color w:val="000000" w:themeColor="text1"/>
                <w:sz w:val="24"/>
                <w:szCs w:val="24"/>
              </w:rPr>
              <w:t>Tourism (Sustainable Use):</w:t>
            </w:r>
            <w:r w:rsidRPr="00792B36">
              <w:rPr>
                <w:b/>
                <w:bCs/>
                <w:color w:val="000000" w:themeColor="text1"/>
                <w:sz w:val="24"/>
                <w:szCs w:val="24"/>
              </w:rPr>
              <w:br/>
            </w:r>
            <w:r w:rsidRPr="00792B36">
              <w:rPr>
                <w:color w:val="000000" w:themeColor="text1"/>
                <w:sz w:val="24"/>
                <w:szCs w:val="24"/>
              </w:rPr>
              <w:t xml:space="preserve">Koh Kood has strong potential to become a flagship model for sustainable marine and coastal tourism in </w:t>
            </w:r>
            <w:r w:rsidRPr="00792B36">
              <w:rPr>
                <w:color w:val="000000" w:themeColor="text1"/>
                <w:sz w:val="24"/>
                <w:szCs w:val="24"/>
              </w:rPr>
              <w:lastRenderedPageBreak/>
              <w:t>Thailand. With its clear waters, healthy coral reefs, and low visitor density, the island is ideal for eco-tourism and nature-based recreation. Key opportunities include:</w:t>
            </w:r>
          </w:p>
          <w:p w14:paraId="2A931A91" w14:textId="77777777" w:rsidR="009A0A63" w:rsidRPr="00792B36" w:rsidRDefault="009A0A63" w:rsidP="00F61B37">
            <w:pPr>
              <w:widowControl/>
              <w:numPr>
                <w:ilvl w:val="0"/>
                <w:numId w:val="93"/>
              </w:numPr>
              <w:rPr>
                <w:color w:val="000000" w:themeColor="text1"/>
                <w:sz w:val="24"/>
                <w:szCs w:val="24"/>
              </w:rPr>
            </w:pPr>
            <w:r w:rsidRPr="00792B36">
              <w:rPr>
                <w:color w:val="000000" w:themeColor="text1"/>
                <w:sz w:val="24"/>
                <w:szCs w:val="24"/>
              </w:rPr>
              <w:t>Promoting low-impact tourism activities such as snorkeling, diving, kayaking, and mangrove exploration.</w:t>
            </w:r>
          </w:p>
          <w:p w14:paraId="686EEB77" w14:textId="77777777" w:rsidR="009A0A63" w:rsidRPr="00792B36" w:rsidRDefault="009A0A63" w:rsidP="00F61B37">
            <w:pPr>
              <w:widowControl/>
              <w:numPr>
                <w:ilvl w:val="0"/>
                <w:numId w:val="93"/>
              </w:numPr>
              <w:rPr>
                <w:color w:val="000000" w:themeColor="text1"/>
                <w:sz w:val="24"/>
                <w:szCs w:val="24"/>
              </w:rPr>
            </w:pPr>
            <w:r w:rsidRPr="00792B36">
              <w:rPr>
                <w:color w:val="000000" w:themeColor="text1"/>
                <w:sz w:val="24"/>
                <w:szCs w:val="24"/>
              </w:rPr>
              <w:t>Expanding eco-resorts and homestays with strict wastewater and waste management standards.</w:t>
            </w:r>
          </w:p>
          <w:p w14:paraId="024C1651" w14:textId="77777777" w:rsidR="009A0A63" w:rsidRPr="00792B36" w:rsidRDefault="009A0A63" w:rsidP="00F61B37">
            <w:pPr>
              <w:widowControl/>
              <w:numPr>
                <w:ilvl w:val="0"/>
                <w:numId w:val="93"/>
              </w:numPr>
              <w:rPr>
                <w:color w:val="000000" w:themeColor="text1"/>
                <w:sz w:val="24"/>
                <w:szCs w:val="24"/>
              </w:rPr>
            </w:pPr>
            <w:r w:rsidRPr="00792B36">
              <w:rPr>
                <w:color w:val="000000" w:themeColor="text1"/>
                <w:sz w:val="24"/>
                <w:szCs w:val="24"/>
              </w:rPr>
              <w:t>Encouraging community-based tourism that provides direct income for local people while protecting natural resources.</w:t>
            </w:r>
          </w:p>
          <w:p w14:paraId="3C00CBFC" w14:textId="77777777" w:rsidR="009A0A63" w:rsidRPr="00792B36" w:rsidRDefault="009A0A63" w:rsidP="00F61B37">
            <w:pPr>
              <w:widowControl/>
              <w:numPr>
                <w:ilvl w:val="0"/>
                <w:numId w:val="93"/>
              </w:numPr>
              <w:rPr>
                <w:color w:val="000000" w:themeColor="text1"/>
                <w:sz w:val="24"/>
                <w:szCs w:val="24"/>
              </w:rPr>
            </w:pPr>
            <w:r w:rsidRPr="00792B36">
              <w:rPr>
                <w:color w:val="000000" w:themeColor="text1"/>
                <w:sz w:val="24"/>
                <w:szCs w:val="24"/>
              </w:rPr>
              <w:t>Developing reef-friendly tourism certification programs for dive and tour operators.</w:t>
            </w:r>
          </w:p>
          <w:p w14:paraId="059E62FC" w14:textId="77777777" w:rsidR="009A0A63" w:rsidRPr="00792B36" w:rsidRDefault="009A0A63" w:rsidP="00A24459">
            <w:pPr>
              <w:rPr>
                <w:color w:val="000000" w:themeColor="text1"/>
                <w:sz w:val="24"/>
                <w:szCs w:val="24"/>
              </w:rPr>
            </w:pPr>
            <w:r w:rsidRPr="00792B36">
              <w:rPr>
                <w:b/>
                <w:bCs/>
                <w:color w:val="000000" w:themeColor="text1"/>
                <w:sz w:val="24"/>
                <w:szCs w:val="24"/>
              </w:rPr>
              <w:t>Marine Protected Area (MPA) Sustainable Use:</w:t>
            </w:r>
            <w:r w:rsidRPr="00792B36">
              <w:rPr>
                <w:color w:val="000000" w:themeColor="text1"/>
                <w:sz w:val="24"/>
                <w:szCs w:val="24"/>
              </w:rPr>
              <w:br/>
              <w:t xml:space="preserve">Although Koh Kood is not a formal MPA, it can be integrated into a multiple-use marine conservation zone under the Department </w:t>
            </w:r>
            <w:r w:rsidRPr="00792B36">
              <w:rPr>
                <w:color w:val="000000" w:themeColor="text1"/>
                <w:sz w:val="24"/>
                <w:szCs w:val="24"/>
              </w:rPr>
              <w:lastRenderedPageBreak/>
              <w:t>of Marine and Coastal Resources (DMCR). Sustainable management could include:</w:t>
            </w:r>
          </w:p>
          <w:p w14:paraId="28481F43" w14:textId="77777777" w:rsidR="009A0A63" w:rsidRPr="00792B36" w:rsidRDefault="009A0A63" w:rsidP="00F61B37">
            <w:pPr>
              <w:widowControl/>
              <w:numPr>
                <w:ilvl w:val="0"/>
                <w:numId w:val="94"/>
              </w:numPr>
              <w:rPr>
                <w:color w:val="000000" w:themeColor="text1"/>
                <w:sz w:val="24"/>
                <w:szCs w:val="24"/>
              </w:rPr>
            </w:pPr>
            <w:r w:rsidRPr="00792B36">
              <w:rPr>
                <w:color w:val="000000" w:themeColor="text1"/>
                <w:sz w:val="24"/>
                <w:szCs w:val="24"/>
              </w:rPr>
              <w:t>Zoning for conservation, recreation, and fishing, ensuring coral reef areas within 100–300 meters from the coast are protected.</w:t>
            </w:r>
          </w:p>
          <w:p w14:paraId="71E40C47" w14:textId="77777777" w:rsidR="009A0A63" w:rsidRPr="00792B36" w:rsidRDefault="009A0A63" w:rsidP="00F61B37">
            <w:pPr>
              <w:widowControl/>
              <w:numPr>
                <w:ilvl w:val="0"/>
                <w:numId w:val="94"/>
              </w:numPr>
              <w:rPr>
                <w:color w:val="000000" w:themeColor="text1"/>
                <w:sz w:val="24"/>
                <w:szCs w:val="24"/>
              </w:rPr>
            </w:pPr>
            <w:r w:rsidRPr="00792B36">
              <w:rPr>
                <w:color w:val="000000" w:themeColor="text1"/>
                <w:sz w:val="24"/>
                <w:szCs w:val="24"/>
              </w:rPr>
              <w:t>Establishing mooring buoys and no-anchoring zones to prevent coral damage.</w:t>
            </w:r>
          </w:p>
          <w:p w14:paraId="54B7EFCF" w14:textId="77777777" w:rsidR="009A0A63" w:rsidRPr="00792B36" w:rsidRDefault="009A0A63" w:rsidP="00F61B37">
            <w:pPr>
              <w:widowControl/>
              <w:numPr>
                <w:ilvl w:val="0"/>
                <w:numId w:val="94"/>
              </w:numPr>
              <w:rPr>
                <w:color w:val="000000" w:themeColor="text1"/>
                <w:sz w:val="24"/>
                <w:szCs w:val="24"/>
              </w:rPr>
            </w:pPr>
            <w:r w:rsidRPr="00792B36">
              <w:rPr>
                <w:color w:val="000000" w:themeColor="text1"/>
                <w:sz w:val="24"/>
                <w:szCs w:val="24"/>
              </w:rPr>
              <w:t>Implementing coral restoration and reef monitoring programs involving local schools, resorts, and NGOs.</w:t>
            </w:r>
          </w:p>
          <w:p w14:paraId="2F77C752" w14:textId="77777777" w:rsidR="009A0A63" w:rsidRPr="00792B36" w:rsidRDefault="009A0A63" w:rsidP="00F61B37">
            <w:pPr>
              <w:widowControl/>
              <w:numPr>
                <w:ilvl w:val="0"/>
                <w:numId w:val="94"/>
              </w:numPr>
              <w:rPr>
                <w:color w:val="000000" w:themeColor="text1"/>
                <w:sz w:val="24"/>
                <w:szCs w:val="24"/>
              </w:rPr>
            </w:pPr>
            <w:r w:rsidRPr="00792B36">
              <w:rPr>
                <w:color w:val="000000" w:themeColor="text1"/>
                <w:sz w:val="24"/>
                <w:szCs w:val="24"/>
              </w:rPr>
              <w:t>Enhancing co-management between DMCR, local authorities, and tourism operators to maintain water quality and control development.</w:t>
            </w:r>
          </w:p>
        </w:tc>
      </w:tr>
      <w:tr w:rsidR="009A0A63" w:rsidRPr="00792B36" w14:paraId="0840DDDB" w14:textId="77777777" w:rsidTr="00A24459">
        <w:tc>
          <w:tcPr>
            <w:tcW w:w="2547" w:type="dxa"/>
          </w:tcPr>
          <w:p w14:paraId="56D431AC" w14:textId="77777777" w:rsidR="009A0A63" w:rsidRPr="00792B36" w:rsidRDefault="009A0A63" w:rsidP="00A24459">
            <w:pPr>
              <w:rPr>
                <w:b/>
                <w:bCs/>
                <w:color w:val="000000" w:themeColor="text1"/>
                <w:sz w:val="24"/>
                <w:szCs w:val="24"/>
              </w:rPr>
            </w:pPr>
            <w:r w:rsidRPr="00792B36">
              <w:rPr>
                <w:b/>
                <w:bCs/>
                <w:color w:val="000000" w:themeColor="text1"/>
                <w:sz w:val="24"/>
                <w:szCs w:val="24"/>
              </w:rPr>
              <w:lastRenderedPageBreak/>
              <w:t>CR:4 Koh Mak</w:t>
            </w:r>
          </w:p>
        </w:tc>
        <w:tc>
          <w:tcPr>
            <w:tcW w:w="3467" w:type="dxa"/>
          </w:tcPr>
          <w:p w14:paraId="25827F62" w14:textId="77777777" w:rsidR="009A0A63" w:rsidRPr="00792B36" w:rsidRDefault="009A0A63" w:rsidP="00A24459">
            <w:pPr>
              <w:rPr>
                <w:color w:val="000000" w:themeColor="text1"/>
                <w:sz w:val="24"/>
                <w:szCs w:val="24"/>
              </w:rPr>
            </w:pPr>
            <w:r w:rsidRPr="00792B36">
              <w:rPr>
                <w:b/>
                <w:bCs/>
                <w:color w:val="000000" w:themeColor="text1"/>
                <w:sz w:val="24"/>
                <w:szCs w:val="24"/>
              </w:rPr>
              <w:t>Commercial Use:</w:t>
            </w:r>
            <w:r w:rsidRPr="00792B36">
              <w:rPr>
                <w:color w:val="000000" w:themeColor="text1"/>
                <w:sz w:val="24"/>
                <w:szCs w:val="24"/>
              </w:rPr>
              <w:br/>
              <w:t xml:space="preserve">The island’s economy is primarily tourism-based, featuring boutique resorts, restaurants, dive centers, and small-scale transport services. Koh Mak promotes itself as a </w:t>
            </w:r>
            <w:r w:rsidRPr="00792B36">
              <w:rPr>
                <w:color w:val="000000" w:themeColor="text1"/>
                <w:sz w:val="24"/>
                <w:szCs w:val="24"/>
              </w:rPr>
              <w:lastRenderedPageBreak/>
              <w:t>“low-carbon island”, limiting large-scale infrastructure and heavy industry to protect its natural environment.</w:t>
            </w:r>
          </w:p>
          <w:p w14:paraId="1A5D9BA9" w14:textId="77777777" w:rsidR="009A0A63" w:rsidRPr="00792B36" w:rsidRDefault="009A0A63" w:rsidP="00A24459">
            <w:pPr>
              <w:rPr>
                <w:color w:val="000000" w:themeColor="text1"/>
                <w:sz w:val="24"/>
                <w:szCs w:val="24"/>
              </w:rPr>
            </w:pPr>
            <w:r w:rsidRPr="00792B36">
              <w:rPr>
                <w:b/>
                <w:bCs/>
                <w:color w:val="000000" w:themeColor="text1"/>
                <w:sz w:val="24"/>
                <w:szCs w:val="24"/>
              </w:rPr>
              <w:t>Subsistence Use:</w:t>
            </w:r>
            <w:r w:rsidRPr="00792B36">
              <w:rPr>
                <w:color w:val="000000" w:themeColor="text1"/>
                <w:sz w:val="24"/>
                <w:szCs w:val="24"/>
              </w:rPr>
              <w:br/>
              <w:t>Local residents engage in small-scale fisheries, coconut farming, and limited aquaculture, mainly for household consumption and local markets. These practices support community livelihoods without major environmental impact.</w:t>
            </w:r>
          </w:p>
          <w:p w14:paraId="142959B2" w14:textId="77777777" w:rsidR="009A0A63" w:rsidRPr="00792B36" w:rsidRDefault="009A0A63" w:rsidP="00A24459">
            <w:pPr>
              <w:rPr>
                <w:color w:val="000000" w:themeColor="text1"/>
                <w:sz w:val="24"/>
                <w:szCs w:val="24"/>
              </w:rPr>
            </w:pPr>
            <w:r w:rsidRPr="00792B36">
              <w:rPr>
                <w:b/>
                <w:bCs/>
                <w:color w:val="000000" w:themeColor="text1"/>
                <w:sz w:val="24"/>
                <w:szCs w:val="24"/>
              </w:rPr>
              <w:t>Fishing Ground:</w:t>
            </w:r>
            <w:r w:rsidRPr="00792B36">
              <w:rPr>
                <w:color w:val="000000" w:themeColor="text1"/>
                <w:sz w:val="24"/>
                <w:szCs w:val="24"/>
              </w:rPr>
              <w:br/>
              <w:t>Surrounding coastal waters serve as traditional fishing areas, mainly using traps, handlines, and nets. Fishing activity is regulated by community rules to prevent habitat damage, and destructive fishing practices are prohibited.</w:t>
            </w:r>
          </w:p>
          <w:p w14:paraId="1162B717" w14:textId="77777777" w:rsidR="009A0A63" w:rsidRPr="00792B36" w:rsidRDefault="009A0A63" w:rsidP="00A24459">
            <w:pPr>
              <w:rPr>
                <w:color w:val="000000" w:themeColor="text1"/>
                <w:sz w:val="24"/>
                <w:szCs w:val="24"/>
              </w:rPr>
            </w:pPr>
            <w:r w:rsidRPr="00792B36">
              <w:rPr>
                <w:b/>
                <w:bCs/>
                <w:color w:val="000000" w:themeColor="text1"/>
                <w:sz w:val="24"/>
                <w:szCs w:val="24"/>
              </w:rPr>
              <w:t>Tourism:</w:t>
            </w:r>
            <w:r w:rsidRPr="00792B36">
              <w:rPr>
                <w:color w:val="000000" w:themeColor="text1"/>
                <w:sz w:val="24"/>
                <w:szCs w:val="24"/>
              </w:rPr>
              <w:br/>
              <w:t xml:space="preserve">Tourism is the dominant economic activity, focused on eco-tourism, snorkeling, diving, kayaking, and cultural experiences. The island’s reefs and seagrass beds are major attractions, and visitor numbers are </w:t>
            </w:r>
            <w:r w:rsidRPr="00792B36">
              <w:rPr>
                <w:color w:val="000000" w:themeColor="text1"/>
                <w:sz w:val="24"/>
                <w:szCs w:val="24"/>
              </w:rPr>
              <w:lastRenderedPageBreak/>
              <w:t>managed to minimize ecological disturbance.</w:t>
            </w:r>
          </w:p>
          <w:p w14:paraId="1316B464" w14:textId="77777777" w:rsidR="009A0A63" w:rsidRPr="00792B36" w:rsidRDefault="009A0A63" w:rsidP="00A24459">
            <w:pPr>
              <w:rPr>
                <w:color w:val="000000" w:themeColor="text1"/>
                <w:sz w:val="24"/>
                <w:szCs w:val="24"/>
                <w:cs/>
              </w:rPr>
            </w:pPr>
            <w:r w:rsidRPr="00792B36">
              <w:rPr>
                <w:b/>
                <w:bCs/>
                <w:color w:val="000000" w:themeColor="text1"/>
                <w:sz w:val="24"/>
                <w:szCs w:val="24"/>
              </w:rPr>
              <w:t>Marine Protected Area (MPA):</w:t>
            </w:r>
            <w:r w:rsidRPr="00792B36">
              <w:rPr>
                <w:color w:val="000000" w:themeColor="text1"/>
                <w:sz w:val="24"/>
                <w:szCs w:val="24"/>
              </w:rPr>
              <w:br/>
              <w:t>While Koh Mak itself is not formally declared as an MPA, its surrounding coral reefs are under the monitoring and management of the Department of Marine and Coastal Resources (DMCR). Collaborative programs with local resorts and dive operators include coral restoration, mooring buoy installation, and marine litter management.</w:t>
            </w:r>
          </w:p>
        </w:tc>
        <w:tc>
          <w:tcPr>
            <w:tcW w:w="3468" w:type="dxa"/>
          </w:tcPr>
          <w:p w14:paraId="69131B4B" w14:textId="77777777" w:rsidR="009A0A63" w:rsidRPr="00792B36" w:rsidRDefault="009A0A63" w:rsidP="00A24459">
            <w:pPr>
              <w:jc w:val="center"/>
              <w:rPr>
                <w:color w:val="000000" w:themeColor="text1"/>
                <w:sz w:val="24"/>
                <w:szCs w:val="24"/>
              </w:rPr>
            </w:pPr>
            <w:r w:rsidRPr="00792B36">
              <w:rPr>
                <w:color w:val="000000" w:themeColor="text1"/>
                <w:sz w:val="24"/>
                <w:szCs w:val="24"/>
              </w:rPr>
              <w:lastRenderedPageBreak/>
              <w:t>Local fisheries; use of traditional fish traps</w:t>
            </w:r>
          </w:p>
        </w:tc>
        <w:tc>
          <w:tcPr>
            <w:tcW w:w="3468" w:type="dxa"/>
          </w:tcPr>
          <w:p w14:paraId="1D0B0A94" w14:textId="77777777" w:rsidR="009A0A63" w:rsidRPr="00792B36" w:rsidRDefault="009A0A63" w:rsidP="00A24459">
            <w:pPr>
              <w:rPr>
                <w:color w:val="000000" w:themeColor="text1"/>
                <w:sz w:val="24"/>
                <w:szCs w:val="24"/>
              </w:rPr>
            </w:pPr>
            <w:r w:rsidRPr="00792B36">
              <w:rPr>
                <w:b/>
                <w:bCs/>
                <w:color w:val="000000" w:themeColor="text1"/>
                <w:sz w:val="24"/>
                <w:szCs w:val="24"/>
              </w:rPr>
              <w:t>Tourism (Sustainable Use):</w:t>
            </w:r>
            <w:r w:rsidRPr="00792B36">
              <w:rPr>
                <w:color w:val="000000" w:themeColor="text1"/>
                <w:sz w:val="24"/>
                <w:szCs w:val="24"/>
              </w:rPr>
              <w:br/>
              <w:t xml:space="preserve">Koh Mak has exceptional potential to strengthen its reputation as a low-carbon, eco-tourism island. With clear waters, healthy coral reefs, and active </w:t>
            </w:r>
            <w:r w:rsidRPr="00792B36">
              <w:rPr>
                <w:color w:val="000000" w:themeColor="text1"/>
                <w:sz w:val="24"/>
                <w:szCs w:val="24"/>
              </w:rPr>
              <w:lastRenderedPageBreak/>
              <w:t>community participation, it can further develop as a sustainable tourism destination by:</w:t>
            </w:r>
          </w:p>
          <w:p w14:paraId="4BA18CAF" w14:textId="77777777" w:rsidR="009A0A63" w:rsidRPr="00792B36" w:rsidRDefault="009A0A63" w:rsidP="00F61B37">
            <w:pPr>
              <w:widowControl/>
              <w:numPr>
                <w:ilvl w:val="0"/>
                <w:numId w:val="95"/>
              </w:numPr>
              <w:rPr>
                <w:color w:val="000000" w:themeColor="text1"/>
                <w:sz w:val="24"/>
                <w:szCs w:val="24"/>
              </w:rPr>
            </w:pPr>
            <w:r w:rsidRPr="00792B36">
              <w:rPr>
                <w:color w:val="000000" w:themeColor="text1"/>
                <w:sz w:val="24"/>
                <w:szCs w:val="24"/>
              </w:rPr>
              <w:t>Promoting eco-friendly marine recreation, including snorkeling, kayaking, diving, and mangrove exploration.</w:t>
            </w:r>
          </w:p>
          <w:p w14:paraId="0F9EE2E7" w14:textId="77777777" w:rsidR="009A0A63" w:rsidRPr="00792B36" w:rsidRDefault="009A0A63" w:rsidP="00F61B37">
            <w:pPr>
              <w:widowControl/>
              <w:numPr>
                <w:ilvl w:val="0"/>
                <w:numId w:val="95"/>
              </w:numPr>
              <w:rPr>
                <w:color w:val="000000" w:themeColor="text1"/>
                <w:sz w:val="24"/>
                <w:szCs w:val="24"/>
              </w:rPr>
            </w:pPr>
            <w:r w:rsidRPr="00792B36">
              <w:rPr>
                <w:color w:val="000000" w:themeColor="text1"/>
                <w:sz w:val="24"/>
                <w:szCs w:val="24"/>
              </w:rPr>
              <w:t>Expanding community-based tourism through homestays, local food experiences, and environmental education programs.</w:t>
            </w:r>
          </w:p>
          <w:p w14:paraId="5D737CC7" w14:textId="77777777" w:rsidR="009A0A63" w:rsidRPr="00792B36" w:rsidRDefault="009A0A63" w:rsidP="00F61B37">
            <w:pPr>
              <w:widowControl/>
              <w:numPr>
                <w:ilvl w:val="0"/>
                <w:numId w:val="95"/>
              </w:numPr>
              <w:rPr>
                <w:color w:val="000000" w:themeColor="text1"/>
                <w:sz w:val="24"/>
                <w:szCs w:val="24"/>
              </w:rPr>
            </w:pPr>
            <w:r w:rsidRPr="00792B36">
              <w:rPr>
                <w:color w:val="000000" w:themeColor="text1"/>
                <w:sz w:val="24"/>
                <w:szCs w:val="24"/>
              </w:rPr>
              <w:t>Strengthening wastewater and solid waste management systems to maintain the island’s “Green Island” status.</w:t>
            </w:r>
          </w:p>
          <w:p w14:paraId="3286B55C" w14:textId="77777777" w:rsidR="009A0A63" w:rsidRPr="00792B36" w:rsidRDefault="009A0A63" w:rsidP="00F61B37">
            <w:pPr>
              <w:widowControl/>
              <w:numPr>
                <w:ilvl w:val="0"/>
                <w:numId w:val="95"/>
              </w:numPr>
              <w:rPr>
                <w:color w:val="000000" w:themeColor="text1"/>
                <w:sz w:val="24"/>
                <w:szCs w:val="24"/>
              </w:rPr>
            </w:pPr>
            <w:r w:rsidRPr="00792B36">
              <w:rPr>
                <w:color w:val="000000" w:themeColor="text1"/>
                <w:sz w:val="24"/>
                <w:szCs w:val="24"/>
              </w:rPr>
              <w:t>Implementing reef-safe tourism standards and visitor limits to minimize ecological impact on coral reefs located 100–500 meters from the shore.</w:t>
            </w:r>
          </w:p>
          <w:p w14:paraId="74E866CE" w14:textId="77777777" w:rsidR="009A0A63" w:rsidRPr="00792B36" w:rsidRDefault="009A0A63" w:rsidP="00A24459">
            <w:pPr>
              <w:rPr>
                <w:color w:val="000000" w:themeColor="text1"/>
                <w:sz w:val="24"/>
                <w:szCs w:val="24"/>
              </w:rPr>
            </w:pPr>
            <w:r w:rsidRPr="00792B36">
              <w:rPr>
                <w:b/>
                <w:bCs/>
                <w:color w:val="000000" w:themeColor="text1"/>
                <w:sz w:val="24"/>
                <w:szCs w:val="24"/>
              </w:rPr>
              <w:t>Marine Protected Area (MPA)  Sustainable Use:</w:t>
            </w:r>
            <w:r w:rsidRPr="00792B36">
              <w:rPr>
                <w:color w:val="000000" w:themeColor="text1"/>
                <w:sz w:val="24"/>
                <w:szCs w:val="24"/>
              </w:rPr>
              <w:br/>
              <w:t xml:space="preserve">Koh Mak’s surrounding </w:t>
            </w:r>
            <w:r w:rsidRPr="00792B36">
              <w:rPr>
                <w:color w:val="000000" w:themeColor="text1"/>
                <w:sz w:val="24"/>
                <w:szCs w:val="24"/>
              </w:rPr>
              <w:lastRenderedPageBreak/>
              <w:t>reefs can be designated as a multiple-use marine conservation zone under the Department of Marine and Coastal Resources (DMCR) to ensure balanced ecological protection and economic use. Key sustainable actions include:</w:t>
            </w:r>
          </w:p>
          <w:p w14:paraId="12BCEB9E" w14:textId="77777777" w:rsidR="009A0A63" w:rsidRPr="00792B36" w:rsidRDefault="009A0A63" w:rsidP="00F61B37">
            <w:pPr>
              <w:widowControl/>
              <w:numPr>
                <w:ilvl w:val="0"/>
                <w:numId w:val="96"/>
              </w:numPr>
              <w:rPr>
                <w:color w:val="000000" w:themeColor="text1"/>
                <w:sz w:val="24"/>
                <w:szCs w:val="24"/>
              </w:rPr>
            </w:pPr>
            <w:r w:rsidRPr="00792B36">
              <w:rPr>
                <w:color w:val="000000" w:themeColor="text1"/>
                <w:sz w:val="24"/>
                <w:szCs w:val="24"/>
              </w:rPr>
              <w:t>Establishing zoning for coral conservation, eco-tourism, and traditional fishing to reduce user conflict.</w:t>
            </w:r>
          </w:p>
          <w:p w14:paraId="74A7CCC2" w14:textId="77777777" w:rsidR="009A0A63" w:rsidRPr="00792B36" w:rsidRDefault="009A0A63" w:rsidP="00F61B37">
            <w:pPr>
              <w:widowControl/>
              <w:numPr>
                <w:ilvl w:val="0"/>
                <w:numId w:val="96"/>
              </w:numPr>
              <w:rPr>
                <w:color w:val="000000" w:themeColor="text1"/>
                <w:sz w:val="24"/>
                <w:szCs w:val="24"/>
              </w:rPr>
            </w:pPr>
            <w:r w:rsidRPr="00792B36">
              <w:rPr>
                <w:color w:val="000000" w:themeColor="text1"/>
                <w:sz w:val="24"/>
                <w:szCs w:val="24"/>
              </w:rPr>
              <w:t>Installing mooring buoys and designating no-anchor zones to prevent coral breakage.</w:t>
            </w:r>
          </w:p>
          <w:p w14:paraId="64672FCD" w14:textId="77777777" w:rsidR="009A0A63" w:rsidRPr="00792B36" w:rsidRDefault="009A0A63" w:rsidP="00F61B37">
            <w:pPr>
              <w:widowControl/>
              <w:numPr>
                <w:ilvl w:val="0"/>
                <w:numId w:val="96"/>
              </w:numPr>
              <w:rPr>
                <w:color w:val="000000" w:themeColor="text1"/>
                <w:sz w:val="24"/>
                <w:szCs w:val="24"/>
              </w:rPr>
            </w:pPr>
            <w:r w:rsidRPr="00792B36">
              <w:rPr>
                <w:color w:val="000000" w:themeColor="text1"/>
                <w:sz w:val="24"/>
                <w:szCs w:val="24"/>
              </w:rPr>
              <w:t>Supporting community-led coral restoration and monitoring projects in partnership with local resorts and dive centers.</w:t>
            </w:r>
          </w:p>
          <w:p w14:paraId="65A1B8F1" w14:textId="77777777" w:rsidR="009A0A63" w:rsidRPr="00792B36" w:rsidRDefault="009A0A63" w:rsidP="00F61B37">
            <w:pPr>
              <w:widowControl/>
              <w:numPr>
                <w:ilvl w:val="0"/>
                <w:numId w:val="96"/>
              </w:numPr>
              <w:rPr>
                <w:color w:val="000000" w:themeColor="text1"/>
                <w:sz w:val="24"/>
                <w:szCs w:val="24"/>
              </w:rPr>
            </w:pPr>
            <w:r w:rsidRPr="00792B36">
              <w:rPr>
                <w:color w:val="000000" w:themeColor="text1"/>
                <w:sz w:val="24"/>
                <w:szCs w:val="24"/>
              </w:rPr>
              <w:t>Developing a local marine conservation fund from tourism revenues to sustain reef protection and education programs.</w:t>
            </w:r>
          </w:p>
        </w:tc>
      </w:tr>
      <w:tr w:rsidR="009A0A63" w:rsidRPr="00792B36" w14:paraId="091AE29B" w14:textId="77777777" w:rsidTr="00A24459">
        <w:tc>
          <w:tcPr>
            <w:tcW w:w="2547" w:type="dxa"/>
          </w:tcPr>
          <w:p w14:paraId="3B8BC80A" w14:textId="77777777" w:rsidR="009A0A63" w:rsidRPr="00792B36" w:rsidRDefault="009A0A63" w:rsidP="00A24459">
            <w:pPr>
              <w:rPr>
                <w:b/>
                <w:bCs/>
                <w:color w:val="000000" w:themeColor="text1"/>
                <w:sz w:val="24"/>
                <w:szCs w:val="24"/>
              </w:rPr>
            </w:pPr>
            <w:r w:rsidRPr="00792B36">
              <w:rPr>
                <w:b/>
                <w:bCs/>
                <w:color w:val="000000" w:themeColor="text1"/>
                <w:sz w:val="24"/>
                <w:szCs w:val="24"/>
              </w:rPr>
              <w:lastRenderedPageBreak/>
              <w:t>CR:5 Koh Tao</w:t>
            </w:r>
          </w:p>
        </w:tc>
        <w:tc>
          <w:tcPr>
            <w:tcW w:w="3467" w:type="dxa"/>
          </w:tcPr>
          <w:p w14:paraId="7C860B49" w14:textId="77777777" w:rsidR="009A0A63" w:rsidRPr="00792B36" w:rsidRDefault="009A0A63" w:rsidP="00A24459">
            <w:pPr>
              <w:rPr>
                <w:color w:val="000000" w:themeColor="text1"/>
                <w:sz w:val="24"/>
                <w:szCs w:val="24"/>
              </w:rPr>
            </w:pPr>
            <w:r w:rsidRPr="00792B36">
              <w:rPr>
                <w:b/>
                <w:bCs/>
                <w:color w:val="000000" w:themeColor="text1"/>
                <w:sz w:val="24"/>
                <w:szCs w:val="24"/>
              </w:rPr>
              <w:t>Commercial Use:</w:t>
            </w:r>
            <w:r w:rsidRPr="00792B36">
              <w:rPr>
                <w:color w:val="000000" w:themeColor="text1"/>
                <w:sz w:val="24"/>
                <w:szCs w:val="24"/>
              </w:rPr>
              <w:br/>
              <w:t xml:space="preserve">The island’s economy is dominated by </w:t>
            </w:r>
            <w:r w:rsidRPr="00792B36">
              <w:rPr>
                <w:color w:val="000000" w:themeColor="text1"/>
                <w:sz w:val="24"/>
                <w:szCs w:val="24"/>
              </w:rPr>
              <w:lastRenderedPageBreak/>
              <w:t>tourism and diving industries, with over 70 dive schools, resorts, restaurants, and transport services. Tourism supports local businesses and employment but also contributes to high wastewater generation and coastal infrastructure expansion.</w:t>
            </w:r>
          </w:p>
          <w:p w14:paraId="3D6BDFB0" w14:textId="77777777" w:rsidR="009A0A63" w:rsidRPr="00792B36" w:rsidRDefault="009A0A63" w:rsidP="00A24459">
            <w:pPr>
              <w:rPr>
                <w:color w:val="000000" w:themeColor="text1"/>
                <w:sz w:val="24"/>
                <w:szCs w:val="24"/>
              </w:rPr>
            </w:pPr>
            <w:r w:rsidRPr="00792B36">
              <w:rPr>
                <w:b/>
                <w:bCs/>
                <w:color w:val="000000" w:themeColor="text1"/>
                <w:sz w:val="24"/>
                <w:szCs w:val="24"/>
              </w:rPr>
              <w:t>Subsistence Use:</w:t>
            </w:r>
            <w:r w:rsidRPr="00792B36">
              <w:rPr>
                <w:color w:val="000000" w:themeColor="text1"/>
                <w:sz w:val="24"/>
                <w:szCs w:val="24"/>
              </w:rPr>
              <w:br/>
              <w:t>Some local residents maintain small-scale fishing and aquaculture for household use and local markets, though dependence on these activities has declined with tourism growth.</w:t>
            </w:r>
          </w:p>
          <w:p w14:paraId="6E7139A1" w14:textId="77777777" w:rsidR="009A0A63" w:rsidRPr="00792B36" w:rsidRDefault="009A0A63" w:rsidP="00A24459">
            <w:pPr>
              <w:rPr>
                <w:color w:val="000000" w:themeColor="text1"/>
                <w:sz w:val="24"/>
                <w:szCs w:val="24"/>
              </w:rPr>
            </w:pPr>
            <w:r w:rsidRPr="00792B36">
              <w:rPr>
                <w:b/>
                <w:bCs/>
                <w:color w:val="000000" w:themeColor="text1"/>
                <w:sz w:val="24"/>
                <w:szCs w:val="24"/>
              </w:rPr>
              <w:t>Fishing Ground:</w:t>
            </w:r>
            <w:r w:rsidRPr="00792B36">
              <w:rPr>
                <w:color w:val="000000" w:themeColor="text1"/>
                <w:sz w:val="24"/>
                <w:szCs w:val="24"/>
              </w:rPr>
              <w:br/>
              <w:t>Traditional fishing grounds surround the island, supporting artisanal fishers who use traps, hook-and-line, and gill nets. Destructive fishing (e.g., cyanide or dynamite) is not reported, and local regulations restrict fishing near coral reef areas and dive sites.</w:t>
            </w:r>
          </w:p>
          <w:p w14:paraId="08BCB566" w14:textId="77777777" w:rsidR="009A0A63" w:rsidRPr="00792B36" w:rsidRDefault="009A0A63" w:rsidP="00A24459">
            <w:pPr>
              <w:rPr>
                <w:color w:val="000000" w:themeColor="text1"/>
                <w:sz w:val="24"/>
                <w:szCs w:val="24"/>
              </w:rPr>
            </w:pPr>
            <w:r w:rsidRPr="00792B36">
              <w:rPr>
                <w:b/>
                <w:bCs/>
                <w:color w:val="000000" w:themeColor="text1"/>
                <w:sz w:val="24"/>
                <w:szCs w:val="24"/>
              </w:rPr>
              <w:t>Tourism:</w:t>
            </w:r>
            <w:r w:rsidRPr="00792B36">
              <w:rPr>
                <w:color w:val="000000" w:themeColor="text1"/>
                <w:sz w:val="24"/>
                <w:szCs w:val="24"/>
              </w:rPr>
              <w:br/>
              <w:t xml:space="preserve">Tourism is the primary use of Koh Tao’s coastal and marine environment. Activities include </w:t>
            </w:r>
            <w:r w:rsidRPr="00792B36">
              <w:rPr>
                <w:color w:val="000000" w:themeColor="text1"/>
                <w:sz w:val="24"/>
                <w:szCs w:val="24"/>
              </w:rPr>
              <w:lastRenderedPageBreak/>
              <w:t>diving, snorkeling, kayaking, and eco-tourism, attracting both domestic and international visitors. However, high tourist density has caused pressure on reef ecosystems, wastewater systems, and beach environments.</w:t>
            </w:r>
          </w:p>
          <w:p w14:paraId="4A87D0B6" w14:textId="77777777" w:rsidR="009A0A63" w:rsidRPr="00792B36" w:rsidRDefault="009A0A63" w:rsidP="00A24459">
            <w:pPr>
              <w:rPr>
                <w:color w:val="000000" w:themeColor="text1"/>
                <w:sz w:val="24"/>
                <w:szCs w:val="24"/>
                <w:cs/>
              </w:rPr>
            </w:pPr>
            <w:r w:rsidRPr="00792B36">
              <w:rPr>
                <w:b/>
                <w:bCs/>
                <w:color w:val="000000" w:themeColor="text1"/>
                <w:sz w:val="24"/>
                <w:szCs w:val="24"/>
              </w:rPr>
              <w:t>Marine Protected Area (MPA):</w:t>
            </w:r>
            <w:r w:rsidRPr="00792B36">
              <w:rPr>
                <w:color w:val="000000" w:themeColor="text1"/>
                <w:sz w:val="24"/>
                <w:szCs w:val="24"/>
              </w:rPr>
              <w:br/>
              <w:t>While Koh Tao is not officially designated as an MPA, several reef areas are under DMCR and community co-management for coral restoration, mooring buoy maintenance, and reef monitoring. Community-driven conservation programs, led by local NGOs and dive operators, function as de facto marine protection zones.</w:t>
            </w:r>
          </w:p>
        </w:tc>
        <w:tc>
          <w:tcPr>
            <w:tcW w:w="3468" w:type="dxa"/>
          </w:tcPr>
          <w:p w14:paraId="575EBAF8" w14:textId="77777777" w:rsidR="009A0A63" w:rsidRPr="00792B36" w:rsidRDefault="009A0A63" w:rsidP="00A24459">
            <w:pPr>
              <w:jc w:val="center"/>
              <w:rPr>
                <w:color w:val="000000" w:themeColor="text1"/>
                <w:sz w:val="24"/>
                <w:szCs w:val="24"/>
              </w:rPr>
            </w:pPr>
            <w:r w:rsidRPr="00792B36">
              <w:rPr>
                <w:color w:val="000000" w:themeColor="text1"/>
                <w:sz w:val="24"/>
                <w:szCs w:val="24"/>
              </w:rPr>
              <w:lastRenderedPageBreak/>
              <w:t>Some small</w:t>
            </w:r>
            <w:r w:rsidRPr="00792B36">
              <w:rPr>
                <w:color w:val="000000" w:themeColor="text1"/>
                <w:sz w:val="24"/>
                <w:szCs w:val="24"/>
                <w:cs/>
              </w:rPr>
              <w:t>-</w:t>
            </w:r>
            <w:r w:rsidRPr="00792B36">
              <w:rPr>
                <w:color w:val="000000" w:themeColor="text1"/>
                <w:sz w:val="24"/>
                <w:szCs w:val="24"/>
              </w:rPr>
              <w:t>scale coastal fishing</w:t>
            </w:r>
          </w:p>
        </w:tc>
        <w:tc>
          <w:tcPr>
            <w:tcW w:w="3468" w:type="dxa"/>
          </w:tcPr>
          <w:p w14:paraId="6837A8AA" w14:textId="77777777" w:rsidR="009A0A63" w:rsidRPr="00792B36" w:rsidRDefault="009A0A63" w:rsidP="00A24459">
            <w:pPr>
              <w:rPr>
                <w:color w:val="000000" w:themeColor="text1"/>
                <w:sz w:val="24"/>
                <w:szCs w:val="24"/>
              </w:rPr>
            </w:pPr>
            <w:r w:rsidRPr="00792B36">
              <w:rPr>
                <w:b/>
                <w:bCs/>
                <w:color w:val="000000" w:themeColor="text1"/>
                <w:sz w:val="24"/>
                <w:szCs w:val="24"/>
              </w:rPr>
              <w:t>Tourism (Sustainable Use):</w:t>
            </w:r>
            <w:r w:rsidRPr="00792B36">
              <w:rPr>
                <w:color w:val="000000" w:themeColor="text1"/>
                <w:sz w:val="24"/>
                <w:szCs w:val="24"/>
              </w:rPr>
              <w:br/>
              <w:t xml:space="preserve">Koh Tao has strong potential to enhance its </w:t>
            </w:r>
            <w:r w:rsidRPr="00792B36">
              <w:rPr>
                <w:color w:val="000000" w:themeColor="text1"/>
                <w:sz w:val="24"/>
                <w:szCs w:val="24"/>
              </w:rPr>
              <w:lastRenderedPageBreak/>
              <w:t>role as a leading sustainable dive and eco-tourism destination in the Gulf of Thailand. Its coral reefs, located within 50–300 meters of the shore, are central to its tourism economy and can be managed through responsible practices, such as:</w:t>
            </w:r>
          </w:p>
          <w:p w14:paraId="3A4E632A" w14:textId="77777777" w:rsidR="009A0A63" w:rsidRPr="00792B36" w:rsidRDefault="009A0A63" w:rsidP="00F61B37">
            <w:pPr>
              <w:widowControl/>
              <w:numPr>
                <w:ilvl w:val="0"/>
                <w:numId w:val="97"/>
              </w:numPr>
              <w:rPr>
                <w:color w:val="000000" w:themeColor="text1"/>
                <w:sz w:val="24"/>
                <w:szCs w:val="24"/>
              </w:rPr>
            </w:pPr>
            <w:r w:rsidRPr="00792B36">
              <w:rPr>
                <w:color w:val="000000" w:themeColor="text1"/>
                <w:sz w:val="24"/>
                <w:szCs w:val="24"/>
              </w:rPr>
              <w:t>Expanding eco-certification programs for dive operators and resorts (e.g., Green Fins, Blue Flag).</w:t>
            </w:r>
          </w:p>
          <w:p w14:paraId="6C3F2131" w14:textId="77777777" w:rsidR="009A0A63" w:rsidRPr="00792B36" w:rsidRDefault="009A0A63" w:rsidP="00F61B37">
            <w:pPr>
              <w:widowControl/>
              <w:numPr>
                <w:ilvl w:val="0"/>
                <w:numId w:val="97"/>
              </w:numPr>
              <w:rPr>
                <w:color w:val="000000" w:themeColor="text1"/>
                <w:sz w:val="24"/>
                <w:szCs w:val="24"/>
              </w:rPr>
            </w:pPr>
            <w:r w:rsidRPr="00792B36">
              <w:rPr>
                <w:color w:val="000000" w:themeColor="text1"/>
                <w:sz w:val="24"/>
                <w:szCs w:val="24"/>
              </w:rPr>
              <w:t>Promoting low-impact marine activities like guided snorkeling, reef restoration diving, and marine ecology education for visitors.</w:t>
            </w:r>
          </w:p>
          <w:p w14:paraId="4CE933F6" w14:textId="77777777" w:rsidR="009A0A63" w:rsidRPr="00792B36" w:rsidRDefault="009A0A63" w:rsidP="00F61B37">
            <w:pPr>
              <w:widowControl/>
              <w:numPr>
                <w:ilvl w:val="0"/>
                <w:numId w:val="97"/>
              </w:numPr>
              <w:rPr>
                <w:color w:val="000000" w:themeColor="text1"/>
                <w:sz w:val="24"/>
                <w:szCs w:val="24"/>
              </w:rPr>
            </w:pPr>
            <w:r w:rsidRPr="00792B36">
              <w:rPr>
                <w:color w:val="000000" w:themeColor="text1"/>
                <w:sz w:val="24"/>
                <w:szCs w:val="24"/>
              </w:rPr>
              <w:t>Implementing tourism carrying capacity limits and strengthening wastewater treatment to prevent nutrient pollution.</w:t>
            </w:r>
          </w:p>
          <w:p w14:paraId="297B3212" w14:textId="77777777" w:rsidR="009A0A63" w:rsidRPr="00792B36" w:rsidRDefault="009A0A63" w:rsidP="00F61B37">
            <w:pPr>
              <w:widowControl/>
              <w:numPr>
                <w:ilvl w:val="0"/>
                <w:numId w:val="97"/>
              </w:numPr>
              <w:rPr>
                <w:color w:val="000000" w:themeColor="text1"/>
                <w:sz w:val="24"/>
                <w:szCs w:val="24"/>
              </w:rPr>
            </w:pPr>
            <w:r w:rsidRPr="00792B36">
              <w:rPr>
                <w:color w:val="000000" w:themeColor="text1"/>
                <w:sz w:val="24"/>
                <w:szCs w:val="24"/>
              </w:rPr>
              <w:t>Encouraging community-based tourism that integrates conservation education, local livelihoods, and cultural heritage.</w:t>
            </w:r>
          </w:p>
          <w:p w14:paraId="763C9DE0" w14:textId="77777777" w:rsidR="009A0A63" w:rsidRPr="00792B36" w:rsidRDefault="009A0A63" w:rsidP="00A24459">
            <w:pPr>
              <w:rPr>
                <w:color w:val="000000" w:themeColor="text1"/>
                <w:sz w:val="24"/>
                <w:szCs w:val="24"/>
              </w:rPr>
            </w:pPr>
            <w:r w:rsidRPr="00792B36">
              <w:rPr>
                <w:b/>
                <w:bCs/>
                <w:color w:val="000000" w:themeColor="text1"/>
                <w:sz w:val="24"/>
                <w:szCs w:val="24"/>
              </w:rPr>
              <w:t xml:space="preserve">Marine Protected </w:t>
            </w:r>
            <w:r w:rsidRPr="00792B36">
              <w:rPr>
                <w:b/>
                <w:bCs/>
                <w:color w:val="000000" w:themeColor="text1"/>
                <w:sz w:val="24"/>
                <w:szCs w:val="24"/>
              </w:rPr>
              <w:lastRenderedPageBreak/>
              <w:t>Area (MPA) — Sustainable Use:</w:t>
            </w:r>
            <w:r w:rsidRPr="00792B36">
              <w:rPr>
                <w:color w:val="000000" w:themeColor="text1"/>
                <w:sz w:val="24"/>
                <w:szCs w:val="24"/>
              </w:rPr>
              <w:br/>
              <w:t>While Koh Tao is not yet a formal MPA, it could be designated as a community-managed multiple-use conservation area under the Department of Marine and Coastal Resources (DMCR) framework. Sustainable management actions may include:</w:t>
            </w:r>
          </w:p>
          <w:p w14:paraId="0E818334" w14:textId="77777777" w:rsidR="009A0A63" w:rsidRPr="00792B36" w:rsidRDefault="009A0A63" w:rsidP="00F61B37">
            <w:pPr>
              <w:widowControl/>
              <w:numPr>
                <w:ilvl w:val="0"/>
                <w:numId w:val="98"/>
              </w:numPr>
              <w:rPr>
                <w:color w:val="000000" w:themeColor="text1"/>
                <w:sz w:val="24"/>
                <w:szCs w:val="24"/>
              </w:rPr>
            </w:pPr>
            <w:r w:rsidRPr="00792B36">
              <w:rPr>
                <w:color w:val="000000" w:themeColor="text1"/>
                <w:sz w:val="24"/>
                <w:szCs w:val="24"/>
              </w:rPr>
              <w:t>Zoning for coral conservation, recreation, and limited fishing, ensuring reef resilience.</w:t>
            </w:r>
          </w:p>
          <w:p w14:paraId="199319DD" w14:textId="77777777" w:rsidR="009A0A63" w:rsidRPr="00792B36" w:rsidRDefault="009A0A63" w:rsidP="00F61B37">
            <w:pPr>
              <w:widowControl/>
              <w:numPr>
                <w:ilvl w:val="0"/>
                <w:numId w:val="98"/>
              </w:numPr>
              <w:rPr>
                <w:color w:val="000000" w:themeColor="text1"/>
                <w:sz w:val="24"/>
                <w:szCs w:val="24"/>
              </w:rPr>
            </w:pPr>
            <w:r w:rsidRPr="00792B36">
              <w:rPr>
                <w:color w:val="000000" w:themeColor="text1"/>
                <w:sz w:val="24"/>
                <w:szCs w:val="24"/>
              </w:rPr>
              <w:t>Installing mooring buoys and no-anchor zones to protect coral habitats.</w:t>
            </w:r>
          </w:p>
          <w:p w14:paraId="3B540110" w14:textId="77777777" w:rsidR="009A0A63" w:rsidRPr="00792B36" w:rsidRDefault="009A0A63" w:rsidP="00F61B37">
            <w:pPr>
              <w:widowControl/>
              <w:numPr>
                <w:ilvl w:val="0"/>
                <w:numId w:val="98"/>
              </w:numPr>
              <w:rPr>
                <w:color w:val="000000" w:themeColor="text1"/>
                <w:sz w:val="24"/>
                <w:szCs w:val="24"/>
              </w:rPr>
            </w:pPr>
            <w:r w:rsidRPr="00792B36">
              <w:rPr>
                <w:color w:val="000000" w:themeColor="text1"/>
                <w:sz w:val="24"/>
                <w:szCs w:val="24"/>
              </w:rPr>
              <w:t>Expanding coral nurseries, reef restoration, and citizen-science monitoring involving dive operators and NGOs.</w:t>
            </w:r>
          </w:p>
          <w:p w14:paraId="20B98B1F" w14:textId="77777777" w:rsidR="009A0A63" w:rsidRPr="00792B36" w:rsidRDefault="009A0A63" w:rsidP="00F61B37">
            <w:pPr>
              <w:widowControl/>
              <w:numPr>
                <w:ilvl w:val="0"/>
                <w:numId w:val="98"/>
              </w:numPr>
              <w:rPr>
                <w:color w:val="000000" w:themeColor="text1"/>
                <w:sz w:val="24"/>
                <w:szCs w:val="24"/>
              </w:rPr>
            </w:pPr>
            <w:r w:rsidRPr="00792B36">
              <w:rPr>
                <w:color w:val="000000" w:themeColor="text1"/>
                <w:sz w:val="24"/>
                <w:szCs w:val="24"/>
              </w:rPr>
              <w:t>Strengthening co-management between DMCR, local government, and tourism associations to balance economic use and ecological protection.</w:t>
            </w:r>
          </w:p>
        </w:tc>
      </w:tr>
      <w:tr w:rsidR="009A0A63" w:rsidRPr="00792B36" w14:paraId="5D75C763" w14:textId="77777777" w:rsidTr="00A24459">
        <w:tc>
          <w:tcPr>
            <w:tcW w:w="2547" w:type="dxa"/>
          </w:tcPr>
          <w:p w14:paraId="67740C94" w14:textId="77777777" w:rsidR="009A0A63" w:rsidRPr="00792B36" w:rsidRDefault="009A0A63" w:rsidP="00A24459">
            <w:pPr>
              <w:rPr>
                <w:b/>
                <w:bCs/>
                <w:color w:val="000000" w:themeColor="text1"/>
                <w:sz w:val="24"/>
                <w:szCs w:val="24"/>
              </w:rPr>
            </w:pPr>
            <w:r w:rsidRPr="00792B36">
              <w:rPr>
                <w:b/>
                <w:bCs/>
                <w:color w:val="000000" w:themeColor="text1"/>
                <w:sz w:val="24"/>
                <w:szCs w:val="24"/>
              </w:rPr>
              <w:lastRenderedPageBreak/>
              <w:t>CR:6 Koh Kra</w:t>
            </w:r>
          </w:p>
        </w:tc>
        <w:tc>
          <w:tcPr>
            <w:tcW w:w="3467" w:type="dxa"/>
          </w:tcPr>
          <w:p w14:paraId="6A13736A" w14:textId="77777777" w:rsidR="009A0A63" w:rsidRPr="00792B36" w:rsidRDefault="009A0A63" w:rsidP="00A24459">
            <w:pPr>
              <w:rPr>
                <w:color w:val="000000" w:themeColor="text1"/>
                <w:sz w:val="24"/>
                <w:szCs w:val="24"/>
              </w:rPr>
            </w:pPr>
            <w:r w:rsidRPr="00792B36">
              <w:rPr>
                <w:b/>
                <w:bCs/>
                <w:color w:val="000000" w:themeColor="text1"/>
                <w:sz w:val="24"/>
                <w:szCs w:val="24"/>
              </w:rPr>
              <w:t>Commercial Use:</w:t>
            </w:r>
            <w:r w:rsidRPr="00792B36">
              <w:rPr>
                <w:color w:val="000000" w:themeColor="text1"/>
                <w:sz w:val="24"/>
                <w:szCs w:val="24"/>
              </w:rPr>
              <w:br/>
              <w:t xml:space="preserve">There is no commercial or </w:t>
            </w:r>
            <w:r w:rsidRPr="00792B36">
              <w:rPr>
                <w:color w:val="000000" w:themeColor="text1"/>
                <w:sz w:val="24"/>
                <w:szCs w:val="24"/>
              </w:rPr>
              <w:lastRenderedPageBreak/>
              <w:t>industrial activity permitted at Koh Kra. The area is protected from coastal development and industrial operations due to its isolation (approximately 70 km from Nakhon Si Thammarat Province).</w:t>
            </w:r>
          </w:p>
          <w:p w14:paraId="073F87B2" w14:textId="77777777" w:rsidR="009A0A63" w:rsidRPr="00792B36" w:rsidRDefault="009A0A63" w:rsidP="00A24459">
            <w:pPr>
              <w:rPr>
                <w:color w:val="000000" w:themeColor="text1"/>
                <w:sz w:val="24"/>
                <w:szCs w:val="24"/>
              </w:rPr>
            </w:pPr>
            <w:r w:rsidRPr="00792B36">
              <w:rPr>
                <w:b/>
                <w:bCs/>
                <w:color w:val="000000" w:themeColor="text1"/>
                <w:sz w:val="24"/>
                <w:szCs w:val="24"/>
              </w:rPr>
              <w:t>Subsistence Use:</w:t>
            </w:r>
            <w:r w:rsidRPr="00792B36">
              <w:rPr>
                <w:color w:val="000000" w:themeColor="text1"/>
                <w:sz w:val="24"/>
                <w:szCs w:val="24"/>
              </w:rPr>
              <w:br/>
              <w:t>No permanent residents live on the island. Occasional visits by local fishers occur for temporary shelter or subsistence fishing under strict control, but activities are minimal and regulated by the Department of Marine and Coastal Resources (DMCR) and the Royal Thai Navy.</w:t>
            </w:r>
          </w:p>
          <w:p w14:paraId="2B457781" w14:textId="77777777" w:rsidR="009A0A63" w:rsidRPr="00792B36" w:rsidRDefault="009A0A63" w:rsidP="00A24459">
            <w:pPr>
              <w:rPr>
                <w:color w:val="000000" w:themeColor="text1"/>
                <w:sz w:val="24"/>
                <w:szCs w:val="24"/>
              </w:rPr>
            </w:pPr>
            <w:r w:rsidRPr="00792B36">
              <w:rPr>
                <w:b/>
                <w:bCs/>
                <w:color w:val="000000" w:themeColor="text1"/>
                <w:sz w:val="24"/>
                <w:szCs w:val="24"/>
              </w:rPr>
              <w:t>Fishing Ground:</w:t>
            </w:r>
            <w:r w:rsidRPr="00792B36">
              <w:rPr>
                <w:color w:val="000000" w:themeColor="text1"/>
                <w:sz w:val="24"/>
                <w:szCs w:val="24"/>
              </w:rPr>
              <w:br/>
              <w:t>The waters surrounding Koh Kra are occasionally used by small-scale traditional fishers, mainly targeting pelagic fish species using non-destructive gear. Commercial and destructive fishing practices are prohibited, with regular patrols ensuring compliance.</w:t>
            </w:r>
          </w:p>
          <w:p w14:paraId="2306606A" w14:textId="77777777" w:rsidR="009A0A63" w:rsidRPr="00792B36" w:rsidRDefault="009A0A63" w:rsidP="00A24459">
            <w:pPr>
              <w:rPr>
                <w:color w:val="000000" w:themeColor="text1"/>
                <w:sz w:val="24"/>
                <w:szCs w:val="24"/>
              </w:rPr>
            </w:pPr>
            <w:r w:rsidRPr="00792B36">
              <w:rPr>
                <w:b/>
                <w:bCs/>
                <w:color w:val="000000" w:themeColor="text1"/>
                <w:sz w:val="24"/>
                <w:szCs w:val="24"/>
              </w:rPr>
              <w:t>Tourism:</w:t>
            </w:r>
            <w:r w:rsidRPr="00792B36">
              <w:rPr>
                <w:color w:val="000000" w:themeColor="text1"/>
                <w:sz w:val="24"/>
                <w:szCs w:val="24"/>
              </w:rPr>
              <w:br/>
              <w:t xml:space="preserve">Koh Kra is not a </w:t>
            </w:r>
            <w:r w:rsidRPr="00792B36">
              <w:rPr>
                <w:color w:val="000000" w:themeColor="text1"/>
                <w:sz w:val="24"/>
                <w:szCs w:val="24"/>
              </w:rPr>
              <w:lastRenderedPageBreak/>
              <w:t>tourist destination, as access is restricted to protect its coral reefs and marine biodiversity. Only scientific researchers and authorized personnel are permitted to visit for ecological monitoring and conservation purposes.</w:t>
            </w:r>
          </w:p>
          <w:p w14:paraId="46AD8019" w14:textId="77777777" w:rsidR="009A0A63" w:rsidRPr="00792B36" w:rsidRDefault="009A0A63" w:rsidP="00A24459">
            <w:pPr>
              <w:rPr>
                <w:color w:val="000000" w:themeColor="text1"/>
                <w:sz w:val="24"/>
                <w:szCs w:val="24"/>
                <w:cs/>
              </w:rPr>
            </w:pPr>
            <w:r w:rsidRPr="00792B36">
              <w:rPr>
                <w:b/>
                <w:bCs/>
                <w:color w:val="000000" w:themeColor="text1"/>
                <w:sz w:val="24"/>
                <w:szCs w:val="24"/>
              </w:rPr>
              <w:t>Marine Protected Area (MPA):</w:t>
            </w:r>
            <w:r w:rsidRPr="00792B36">
              <w:rPr>
                <w:color w:val="000000" w:themeColor="text1"/>
                <w:sz w:val="24"/>
                <w:szCs w:val="24"/>
              </w:rPr>
              <w:br/>
              <w:t>Koh Kra is part of a strict marine conservation zone managed by the DMCR and the Royal Thai Navy. It functions as a natural reference site for coral reef health in the Gulf of Thailand, supporting high coral cover (40–70%) and rich marine biodiversity.</w:t>
            </w:r>
          </w:p>
        </w:tc>
        <w:tc>
          <w:tcPr>
            <w:tcW w:w="3468" w:type="dxa"/>
          </w:tcPr>
          <w:p w14:paraId="091824C3" w14:textId="77777777" w:rsidR="009A0A63" w:rsidRPr="00792B36" w:rsidRDefault="009A0A63" w:rsidP="00A24459">
            <w:pPr>
              <w:jc w:val="center"/>
              <w:rPr>
                <w:color w:val="000000" w:themeColor="text1"/>
                <w:sz w:val="24"/>
                <w:szCs w:val="24"/>
              </w:rPr>
            </w:pPr>
            <w:r w:rsidRPr="00792B36">
              <w:rPr>
                <w:color w:val="000000" w:themeColor="text1"/>
                <w:sz w:val="24"/>
                <w:szCs w:val="24"/>
              </w:rPr>
              <w:lastRenderedPageBreak/>
              <w:t>Coastal fisheries and small</w:t>
            </w:r>
            <w:r w:rsidRPr="00792B36">
              <w:rPr>
                <w:color w:val="000000" w:themeColor="text1"/>
                <w:sz w:val="24"/>
                <w:szCs w:val="24"/>
                <w:cs/>
              </w:rPr>
              <w:t>-</w:t>
            </w:r>
            <w:r w:rsidRPr="00792B36">
              <w:rPr>
                <w:color w:val="000000" w:themeColor="text1"/>
                <w:sz w:val="24"/>
                <w:szCs w:val="24"/>
              </w:rPr>
              <w:t>scale coastal fishing</w:t>
            </w:r>
          </w:p>
        </w:tc>
        <w:tc>
          <w:tcPr>
            <w:tcW w:w="3468" w:type="dxa"/>
          </w:tcPr>
          <w:p w14:paraId="7E4712F8" w14:textId="77777777" w:rsidR="009A0A63" w:rsidRPr="00792B36" w:rsidRDefault="009A0A63" w:rsidP="00A24459">
            <w:pPr>
              <w:rPr>
                <w:color w:val="000000" w:themeColor="text1"/>
                <w:sz w:val="24"/>
                <w:szCs w:val="24"/>
              </w:rPr>
            </w:pPr>
            <w:r w:rsidRPr="00792B36">
              <w:rPr>
                <w:b/>
                <w:bCs/>
                <w:color w:val="000000" w:themeColor="text1"/>
                <w:sz w:val="24"/>
                <w:szCs w:val="24"/>
              </w:rPr>
              <w:t>Tourism (Sustainable Use):</w:t>
            </w:r>
            <w:r w:rsidRPr="00792B36">
              <w:rPr>
                <w:color w:val="000000" w:themeColor="text1"/>
                <w:sz w:val="24"/>
                <w:szCs w:val="24"/>
              </w:rPr>
              <w:br/>
              <w:t xml:space="preserve">Koh Kra has limited but </w:t>
            </w:r>
            <w:r w:rsidRPr="00792B36">
              <w:rPr>
                <w:color w:val="000000" w:themeColor="text1"/>
                <w:sz w:val="24"/>
                <w:szCs w:val="24"/>
              </w:rPr>
              <w:lastRenderedPageBreak/>
              <w:t>valuable potential for controlled eco-tourism and scientific tourism due to its remote location and pristine coral ecosystems. Any tourism development should be strictly regulated to protect its high biodiversity and ecological integrity. Potential sustainable uses include:</w:t>
            </w:r>
          </w:p>
          <w:p w14:paraId="07AFB4E6" w14:textId="77777777" w:rsidR="009A0A63" w:rsidRPr="00792B36" w:rsidRDefault="009A0A63" w:rsidP="00F61B37">
            <w:pPr>
              <w:widowControl/>
              <w:numPr>
                <w:ilvl w:val="0"/>
                <w:numId w:val="99"/>
              </w:numPr>
              <w:rPr>
                <w:color w:val="000000" w:themeColor="text1"/>
                <w:sz w:val="24"/>
                <w:szCs w:val="24"/>
              </w:rPr>
            </w:pPr>
            <w:r w:rsidRPr="00792B36">
              <w:rPr>
                <w:color w:val="000000" w:themeColor="text1"/>
                <w:sz w:val="24"/>
                <w:szCs w:val="24"/>
              </w:rPr>
              <w:t>Allowing small-scale, research-based eco-tours under permit, emphasizing education, marine ecology, and conservation awareness.</w:t>
            </w:r>
          </w:p>
          <w:p w14:paraId="7ABB9851" w14:textId="77777777" w:rsidR="009A0A63" w:rsidRPr="00792B36" w:rsidRDefault="009A0A63" w:rsidP="00F61B37">
            <w:pPr>
              <w:widowControl/>
              <w:numPr>
                <w:ilvl w:val="0"/>
                <w:numId w:val="99"/>
              </w:numPr>
              <w:rPr>
                <w:color w:val="000000" w:themeColor="text1"/>
                <w:sz w:val="24"/>
                <w:szCs w:val="24"/>
              </w:rPr>
            </w:pPr>
            <w:r w:rsidRPr="00792B36">
              <w:rPr>
                <w:color w:val="000000" w:themeColor="text1"/>
                <w:sz w:val="24"/>
                <w:szCs w:val="24"/>
              </w:rPr>
              <w:t>Developing scientific diving and marine biodiversity observation programs led by universities or conservation groups.</w:t>
            </w:r>
          </w:p>
          <w:p w14:paraId="09CF678C" w14:textId="77777777" w:rsidR="009A0A63" w:rsidRPr="00792B36" w:rsidRDefault="009A0A63" w:rsidP="00F61B37">
            <w:pPr>
              <w:widowControl/>
              <w:numPr>
                <w:ilvl w:val="0"/>
                <w:numId w:val="99"/>
              </w:numPr>
              <w:rPr>
                <w:color w:val="000000" w:themeColor="text1"/>
                <w:sz w:val="24"/>
                <w:szCs w:val="24"/>
              </w:rPr>
            </w:pPr>
            <w:r w:rsidRPr="00792B36">
              <w:rPr>
                <w:color w:val="000000" w:themeColor="text1"/>
                <w:sz w:val="24"/>
                <w:szCs w:val="24"/>
              </w:rPr>
              <w:t>Establishing visitor restrictions and seasonal</w:t>
            </w:r>
            <w:r w:rsidRPr="00792B36">
              <w:rPr>
                <w:b/>
                <w:bCs/>
                <w:color w:val="000000" w:themeColor="text1"/>
                <w:sz w:val="24"/>
                <w:szCs w:val="24"/>
              </w:rPr>
              <w:t xml:space="preserve"> </w:t>
            </w:r>
            <w:r w:rsidRPr="00792B36">
              <w:rPr>
                <w:color w:val="000000" w:themeColor="text1"/>
                <w:sz w:val="24"/>
                <w:szCs w:val="24"/>
              </w:rPr>
              <w:t>access limits to prevent coral damage and wildlife disturbance.</w:t>
            </w:r>
          </w:p>
          <w:p w14:paraId="74C40C98" w14:textId="77777777" w:rsidR="009A0A63" w:rsidRPr="00792B36" w:rsidRDefault="009A0A63" w:rsidP="00F61B37">
            <w:pPr>
              <w:widowControl/>
              <w:numPr>
                <w:ilvl w:val="0"/>
                <w:numId w:val="99"/>
              </w:numPr>
              <w:rPr>
                <w:color w:val="000000" w:themeColor="text1"/>
                <w:sz w:val="24"/>
                <w:szCs w:val="24"/>
              </w:rPr>
            </w:pPr>
            <w:r w:rsidRPr="00792B36">
              <w:rPr>
                <w:color w:val="000000" w:themeColor="text1"/>
                <w:sz w:val="24"/>
                <w:szCs w:val="24"/>
              </w:rPr>
              <w:t xml:space="preserve">Using eco-certification and carrying capacity guidelines to ensure minimal </w:t>
            </w:r>
            <w:r w:rsidRPr="00792B36">
              <w:rPr>
                <w:color w:val="000000" w:themeColor="text1"/>
                <w:sz w:val="24"/>
                <w:szCs w:val="24"/>
              </w:rPr>
              <w:lastRenderedPageBreak/>
              <w:t>ecological footprint.</w:t>
            </w:r>
          </w:p>
          <w:p w14:paraId="20241FE7" w14:textId="77777777" w:rsidR="009A0A63" w:rsidRPr="00792B36" w:rsidRDefault="009A0A63" w:rsidP="00A24459">
            <w:pPr>
              <w:rPr>
                <w:color w:val="000000" w:themeColor="text1"/>
                <w:sz w:val="24"/>
                <w:szCs w:val="24"/>
              </w:rPr>
            </w:pPr>
            <w:r w:rsidRPr="00792B36">
              <w:rPr>
                <w:b/>
                <w:bCs/>
                <w:color w:val="000000" w:themeColor="text1"/>
                <w:sz w:val="24"/>
                <w:szCs w:val="24"/>
              </w:rPr>
              <w:t>Marine Protected Area (MPA) Sustainable Use:</w:t>
            </w:r>
            <w:r w:rsidRPr="00792B36">
              <w:rPr>
                <w:color w:val="000000" w:themeColor="text1"/>
                <w:sz w:val="24"/>
                <w:szCs w:val="24"/>
              </w:rPr>
              <w:br/>
              <w:t>Koh Kra already functions as a strict marine conservation zone under the Department of Marine and Coastal Resources (DMCR) and the Royal Thai Navy. Its potential lies in strengthening this protection through a formal multiple-use MPA framework that supports limited, sustainable research and education activities while maintaining full ecological protection. Recommended measures include:</w:t>
            </w:r>
          </w:p>
          <w:p w14:paraId="24E89DFD" w14:textId="77777777" w:rsidR="009A0A63" w:rsidRPr="00792B36" w:rsidRDefault="009A0A63" w:rsidP="00F61B37">
            <w:pPr>
              <w:widowControl/>
              <w:numPr>
                <w:ilvl w:val="0"/>
                <w:numId w:val="100"/>
              </w:numPr>
              <w:rPr>
                <w:color w:val="000000" w:themeColor="text1"/>
                <w:sz w:val="24"/>
                <w:szCs w:val="24"/>
              </w:rPr>
            </w:pPr>
            <w:r w:rsidRPr="00792B36">
              <w:rPr>
                <w:color w:val="000000" w:themeColor="text1"/>
                <w:sz w:val="24"/>
                <w:szCs w:val="24"/>
              </w:rPr>
              <w:t>Defining zoning for strict protection and scientific access only.</w:t>
            </w:r>
          </w:p>
          <w:p w14:paraId="0B01A7D0" w14:textId="77777777" w:rsidR="009A0A63" w:rsidRPr="00792B36" w:rsidRDefault="009A0A63" w:rsidP="00F61B37">
            <w:pPr>
              <w:widowControl/>
              <w:numPr>
                <w:ilvl w:val="0"/>
                <w:numId w:val="100"/>
              </w:numPr>
              <w:rPr>
                <w:color w:val="000000" w:themeColor="text1"/>
                <w:sz w:val="24"/>
                <w:szCs w:val="24"/>
              </w:rPr>
            </w:pPr>
            <w:r w:rsidRPr="00792B36">
              <w:rPr>
                <w:color w:val="000000" w:themeColor="text1"/>
                <w:sz w:val="24"/>
                <w:szCs w:val="24"/>
              </w:rPr>
              <w:t>Maintaining no-take and no-anchor zones to protect coral reefs and nesting beaches.</w:t>
            </w:r>
          </w:p>
          <w:p w14:paraId="598F932E" w14:textId="77777777" w:rsidR="009A0A63" w:rsidRPr="00792B36" w:rsidRDefault="009A0A63" w:rsidP="00F61B37">
            <w:pPr>
              <w:widowControl/>
              <w:numPr>
                <w:ilvl w:val="0"/>
                <w:numId w:val="100"/>
              </w:numPr>
              <w:rPr>
                <w:color w:val="000000" w:themeColor="text1"/>
                <w:sz w:val="24"/>
                <w:szCs w:val="24"/>
              </w:rPr>
            </w:pPr>
            <w:r w:rsidRPr="00792B36">
              <w:rPr>
                <w:color w:val="000000" w:themeColor="text1"/>
                <w:sz w:val="24"/>
                <w:szCs w:val="24"/>
              </w:rPr>
              <w:t>Enhancing long-term coral monitoring, restoration, and biodiversity assessment through national and academic partnerships.</w:t>
            </w:r>
          </w:p>
          <w:p w14:paraId="740E2386" w14:textId="77777777" w:rsidR="009A0A63" w:rsidRPr="00792B36" w:rsidRDefault="009A0A63" w:rsidP="00F61B37">
            <w:pPr>
              <w:widowControl/>
              <w:numPr>
                <w:ilvl w:val="0"/>
                <w:numId w:val="100"/>
              </w:numPr>
              <w:rPr>
                <w:color w:val="000000" w:themeColor="text1"/>
                <w:sz w:val="24"/>
                <w:szCs w:val="24"/>
              </w:rPr>
            </w:pPr>
            <w:r w:rsidRPr="00792B36">
              <w:rPr>
                <w:color w:val="000000" w:themeColor="text1"/>
                <w:sz w:val="24"/>
                <w:szCs w:val="24"/>
              </w:rPr>
              <w:lastRenderedPageBreak/>
              <w:t>Developing a national reference site for coral reef resilience and climate change studies.</w:t>
            </w:r>
          </w:p>
        </w:tc>
      </w:tr>
      <w:tr w:rsidR="009A0A63" w:rsidRPr="00792B36" w14:paraId="564069AF" w14:textId="77777777" w:rsidTr="00A24459">
        <w:tc>
          <w:tcPr>
            <w:tcW w:w="2547" w:type="dxa"/>
          </w:tcPr>
          <w:p w14:paraId="0A6EF69D" w14:textId="77777777" w:rsidR="009A0A63" w:rsidRPr="00792B36" w:rsidRDefault="009A0A63" w:rsidP="00A24459">
            <w:pPr>
              <w:rPr>
                <w:b/>
                <w:bCs/>
                <w:color w:val="000000" w:themeColor="text1"/>
                <w:sz w:val="24"/>
                <w:szCs w:val="24"/>
              </w:rPr>
            </w:pPr>
            <w:r w:rsidRPr="00792B36">
              <w:rPr>
                <w:b/>
                <w:bCs/>
                <w:color w:val="000000" w:themeColor="text1"/>
                <w:sz w:val="24"/>
                <w:szCs w:val="24"/>
              </w:rPr>
              <w:lastRenderedPageBreak/>
              <w:t>CR:7 Koh Losin</w:t>
            </w:r>
          </w:p>
        </w:tc>
        <w:tc>
          <w:tcPr>
            <w:tcW w:w="3467" w:type="dxa"/>
          </w:tcPr>
          <w:p w14:paraId="5DF789C0" w14:textId="77777777" w:rsidR="009A0A63" w:rsidRPr="00792B36" w:rsidRDefault="009A0A63" w:rsidP="00A24459">
            <w:pPr>
              <w:rPr>
                <w:color w:val="000000" w:themeColor="text1"/>
                <w:sz w:val="24"/>
                <w:szCs w:val="24"/>
              </w:rPr>
            </w:pPr>
            <w:r w:rsidRPr="00792B36">
              <w:rPr>
                <w:b/>
                <w:bCs/>
                <w:color w:val="000000" w:themeColor="text1"/>
                <w:sz w:val="24"/>
                <w:szCs w:val="24"/>
              </w:rPr>
              <w:t>Commercial Use:</w:t>
            </w:r>
            <w:r w:rsidRPr="00792B36">
              <w:rPr>
                <w:color w:val="000000" w:themeColor="text1"/>
                <w:sz w:val="24"/>
                <w:szCs w:val="24"/>
              </w:rPr>
              <w:br/>
              <w:t>There is no commercial or industrial use at Koh Losin. The site is far from coastal settlements (approximately 72 km from Pattani Province) and is protected from development and industrial exploitation.</w:t>
            </w:r>
          </w:p>
          <w:p w14:paraId="7C6C64BC" w14:textId="77777777" w:rsidR="009A0A63" w:rsidRPr="00792B36" w:rsidRDefault="009A0A63" w:rsidP="00A24459">
            <w:pPr>
              <w:rPr>
                <w:color w:val="000000" w:themeColor="text1"/>
                <w:sz w:val="24"/>
                <w:szCs w:val="24"/>
              </w:rPr>
            </w:pPr>
            <w:r w:rsidRPr="00792B36">
              <w:rPr>
                <w:b/>
                <w:bCs/>
                <w:color w:val="000000" w:themeColor="text1"/>
                <w:sz w:val="24"/>
                <w:szCs w:val="24"/>
              </w:rPr>
              <w:t>Subsistence Use:</w:t>
            </w:r>
            <w:r w:rsidRPr="00792B36">
              <w:rPr>
                <w:color w:val="000000" w:themeColor="text1"/>
                <w:sz w:val="24"/>
                <w:szCs w:val="24"/>
              </w:rPr>
              <w:br/>
              <w:t>There are no permanent inhabitants on Koh Losin. Occasional visits by small-scale traditional fishers may occur, but activities are minimal and closely monitored by the Royal Thai Navy to prevent illegal fishing or harvesting.</w:t>
            </w:r>
          </w:p>
          <w:p w14:paraId="65618644" w14:textId="77777777" w:rsidR="009A0A63" w:rsidRPr="00792B36" w:rsidRDefault="009A0A63" w:rsidP="00A24459">
            <w:pPr>
              <w:rPr>
                <w:color w:val="000000" w:themeColor="text1"/>
                <w:sz w:val="24"/>
                <w:szCs w:val="24"/>
              </w:rPr>
            </w:pPr>
            <w:r w:rsidRPr="00792B36">
              <w:rPr>
                <w:b/>
                <w:bCs/>
                <w:color w:val="000000" w:themeColor="text1"/>
                <w:sz w:val="24"/>
                <w:szCs w:val="24"/>
              </w:rPr>
              <w:t>Fishing Ground:</w:t>
            </w:r>
            <w:r w:rsidRPr="00792B36">
              <w:rPr>
                <w:color w:val="000000" w:themeColor="text1"/>
                <w:sz w:val="24"/>
                <w:szCs w:val="24"/>
              </w:rPr>
              <w:br/>
              <w:t xml:space="preserve">Surrounding waters were historically part of traditional fishing routes, but fishing is now strictly restricted or prohibited within the conservation boundary. The area serves primarily as a no-take zone for coral reef protection, </w:t>
            </w:r>
            <w:r w:rsidRPr="00792B36">
              <w:rPr>
                <w:color w:val="000000" w:themeColor="text1"/>
                <w:sz w:val="24"/>
                <w:szCs w:val="24"/>
              </w:rPr>
              <w:lastRenderedPageBreak/>
              <w:t>with occasional patrols and ecological assessments conducted by the Department of Marine and Coastal Resources (DMCR).</w:t>
            </w:r>
          </w:p>
          <w:p w14:paraId="6968D636" w14:textId="77777777" w:rsidR="009A0A63" w:rsidRPr="00792B36" w:rsidRDefault="009A0A63" w:rsidP="00A24459">
            <w:pPr>
              <w:rPr>
                <w:color w:val="000000" w:themeColor="text1"/>
                <w:sz w:val="24"/>
                <w:szCs w:val="24"/>
              </w:rPr>
            </w:pPr>
            <w:r w:rsidRPr="00792B36">
              <w:rPr>
                <w:b/>
                <w:bCs/>
                <w:color w:val="000000" w:themeColor="text1"/>
                <w:sz w:val="24"/>
                <w:szCs w:val="24"/>
              </w:rPr>
              <w:t>Tourism:</w:t>
            </w:r>
            <w:r w:rsidRPr="00792B36">
              <w:rPr>
                <w:color w:val="000000" w:themeColor="text1"/>
                <w:sz w:val="24"/>
                <w:szCs w:val="24"/>
              </w:rPr>
              <w:br/>
              <w:t>Koh Losin is not a tourist destination due to its remote location and strong currents. Access is limited to researchers, conservation teams, and authorized diving expeditions operating under special permits.</w:t>
            </w:r>
          </w:p>
          <w:p w14:paraId="75EECAF4" w14:textId="77777777" w:rsidR="009A0A63" w:rsidRPr="00792B36" w:rsidRDefault="009A0A63" w:rsidP="00A24459">
            <w:pPr>
              <w:rPr>
                <w:color w:val="000000" w:themeColor="text1"/>
                <w:sz w:val="24"/>
                <w:szCs w:val="24"/>
                <w:cs/>
              </w:rPr>
            </w:pPr>
            <w:r w:rsidRPr="00792B36">
              <w:rPr>
                <w:b/>
                <w:bCs/>
                <w:color w:val="000000" w:themeColor="text1"/>
                <w:sz w:val="24"/>
                <w:szCs w:val="24"/>
              </w:rPr>
              <w:t>Marine Protected Area (MPA):</w:t>
            </w:r>
            <w:r w:rsidRPr="00792B36">
              <w:rPr>
                <w:color w:val="000000" w:themeColor="text1"/>
                <w:sz w:val="24"/>
                <w:szCs w:val="24"/>
              </w:rPr>
              <w:br/>
              <w:t>Koh Losin functions as a strict marine conservation zone managed by the DMCR and the Royal Thai Navy, serving as a reference site for coral reef health in the Gulf of Thailand. It features high coral cover (50–80%), excellent water clarity, and diverse coral and fish assemblages.</w:t>
            </w:r>
          </w:p>
        </w:tc>
        <w:tc>
          <w:tcPr>
            <w:tcW w:w="3468" w:type="dxa"/>
          </w:tcPr>
          <w:p w14:paraId="64ECDDB6" w14:textId="77777777" w:rsidR="009A0A63" w:rsidRPr="00792B36" w:rsidRDefault="009A0A63" w:rsidP="00A24459">
            <w:pPr>
              <w:jc w:val="center"/>
              <w:rPr>
                <w:color w:val="000000" w:themeColor="text1"/>
                <w:sz w:val="24"/>
                <w:szCs w:val="24"/>
              </w:rPr>
            </w:pPr>
            <w:r w:rsidRPr="00792B36">
              <w:rPr>
                <w:color w:val="000000" w:themeColor="text1"/>
                <w:sz w:val="24"/>
                <w:szCs w:val="24"/>
              </w:rPr>
              <w:lastRenderedPageBreak/>
              <w:t>Coastal fisheries and small</w:t>
            </w:r>
            <w:r w:rsidRPr="00792B36">
              <w:rPr>
                <w:color w:val="000000" w:themeColor="text1"/>
                <w:sz w:val="24"/>
                <w:szCs w:val="24"/>
                <w:cs/>
              </w:rPr>
              <w:t>-</w:t>
            </w:r>
            <w:r w:rsidRPr="00792B36">
              <w:rPr>
                <w:color w:val="000000" w:themeColor="text1"/>
                <w:sz w:val="24"/>
                <w:szCs w:val="24"/>
              </w:rPr>
              <w:t>scale coastal fishing</w:t>
            </w:r>
          </w:p>
        </w:tc>
        <w:tc>
          <w:tcPr>
            <w:tcW w:w="3468" w:type="dxa"/>
          </w:tcPr>
          <w:p w14:paraId="6E027EAF" w14:textId="77777777" w:rsidR="009A0A63" w:rsidRPr="00792B36" w:rsidRDefault="009A0A63" w:rsidP="00A24459">
            <w:pPr>
              <w:rPr>
                <w:color w:val="000000" w:themeColor="text1"/>
                <w:sz w:val="24"/>
                <w:szCs w:val="24"/>
              </w:rPr>
            </w:pPr>
            <w:r w:rsidRPr="00792B36">
              <w:rPr>
                <w:b/>
                <w:bCs/>
                <w:color w:val="000000" w:themeColor="text1"/>
                <w:sz w:val="24"/>
                <w:szCs w:val="24"/>
              </w:rPr>
              <w:t>Tourism (Sustainable Use):</w:t>
            </w:r>
            <w:r w:rsidRPr="00792B36">
              <w:rPr>
                <w:color w:val="000000" w:themeColor="text1"/>
                <w:sz w:val="24"/>
                <w:szCs w:val="24"/>
              </w:rPr>
              <w:br/>
              <w:t>Koh Losin has exceptional potential for specialized eco-tourism and scientific diving due to its remote location, outstanding coral reef condition, and rich biodiversity. Because of strong currents and limited accessibility, tourism use must remain strictly controlled and small-scale. Potential sustainable uses include:</w:t>
            </w:r>
          </w:p>
          <w:p w14:paraId="70C2EB2B" w14:textId="77777777" w:rsidR="009A0A63" w:rsidRPr="00792B36" w:rsidRDefault="009A0A63" w:rsidP="00F61B37">
            <w:pPr>
              <w:widowControl/>
              <w:numPr>
                <w:ilvl w:val="0"/>
                <w:numId w:val="101"/>
              </w:numPr>
              <w:rPr>
                <w:color w:val="000000" w:themeColor="text1"/>
                <w:sz w:val="24"/>
                <w:szCs w:val="24"/>
              </w:rPr>
            </w:pPr>
            <w:r w:rsidRPr="00792B36">
              <w:rPr>
                <w:color w:val="000000" w:themeColor="text1"/>
                <w:sz w:val="24"/>
                <w:szCs w:val="24"/>
              </w:rPr>
              <w:t>Promoting scientific and conservation-focused diving expeditions under special permits.</w:t>
            </w:r>
          </w:p>
          <w:p w14:paraId="00C4CA89" w14:textId="77777777" w:rsidR="009A0A63" w:rsidRPr="00792B36" w:rsidRDefault="009A0A63" w:rsidP="00F61B37">
            <w:pPr>
              <w:widowControl/>
              <w:numPr>
                <w:ilvl w:val="0"/>
                <w:numId w:val="101"/>
              </w:numPr>
              <w:rPr>
                <w:color w:val="000000" w:themeColor="text1"/>
                <w:sz w:val="24"/>
                <w:szCs w:val="24"/>
              </w:rPr>
            </w:pPr>
            <w:r w:rsidRPr="00792B36">
              <w:rPr>
                <w:color w:val="000000" w:themeColor="text1"/>
                <w:sz w:val="24"/>
                <w:szCs w:val="24"/>
              </w:rPr>
              <w:t>Developing marine research tourism in partnership with universities and conservation organizations.</w:t>
            </w:r>
          </w:p>
          <w:p w14:paraId="189A8B44" w14:textId="77777777" w:rsidR="009A0A63" w:rsidRPr="00792B36" w:rsidRDefault="009A0A63" w:rsidP="00F61B37">
            <w:pPr>
              <w:widowControl/>
              <w:numPr>
                <w:ilvl w:val="0"/>
                <w:numId w:val="101"/>
              </w:numPr>
              <w:rPr>
                <w:color w:val="000000" w:themeColor="text1"/>
                <w:sz w:val="24"/>
                <w:szCs w:val="24"/>
              </w:rPr>
            </w:pPr>
            <w:r w:rsidRPr="00792B36">
              <w:rPr>
                <w:color w:val="000000" w:themeColor="text1"/>
                <w:sz w:val="24"/>
                <w:szCs w:val="24"/>
              </w:rPr>
              <w:t xml:space="preserve">Allowing limited eco-tourism visits focused on education, photography, and coral monitoring, with strict environmental </w:t>
            </w:r>
            <w:r w:rsidRPr="00792B36">
              <w:rPr>
                <w:color w:val="000000" w:themeColor="text1"/>
                <w:sz w:val="24"/>
                <w:szCs w:val="24"/>
              </w:rPr>
              <w:lastRenderedPageBreak/>
              <w:t>guidelines and carrying capacity limits.</w:t>
            </w:r>
          </w:p>
          <w:p w14:paraId="7BDD6A98" w14:textId="77777777" w:rsidR="009A0A63" w:rsidRPr="00792B36" w:rsidRDefault="009A0A63" w:rsidP="00F61B37">
            <w:pPr>
              <w:widowControl/>
              <w:numPr>
                <w:ilvl w:val="0"/>
                <w:numId w:val="101"/>
              </w:numPr>
              <w:rPr>
                <w:color w:val="000000" w:themeColor="text1"/>
                <w:sz w:val="24"/>
                <w:szCs w:val="24"/>
              </w:rPr>
            </w:pPr>
            <w:r w:rsidRPr="00792B36">
              <w:rPr>
                <w:color w:val="000000" w:themeColor="text1"/>
                <w:sz w:val="24"/>
                <w:szCs w:val="24"/>
              </w:rPr>
              <w:t>Establishing reef-safe mooring systems and waste-free regulations for all permitted vessels.</w:t>
            </w:r>
          </w:p>
          <w:p w14:paraId="784F4C14" w14:textId="77777777" w:rsidR="009A0A63" w:rsidRPr="00792B36" w:rsidRDefault="009A0A63" w:rsidP="00A24459">
            <w:pPr>
              <w:rPr>
                <w:color w:val="000000" w:themeColor="text1"/>
                <w:sz w:val="24"/>
                <w:szCs w:val="24"/>
              </w:rPr>
            </w:pPr>
            <w:r w:rsidRPr="00792B36">
              <w:rPr>
                <w:b/>
                <w:bCs/>
                <w:color w:val="000000" w:themeColor="text1"/>
                <w:sz w:val="24"/>
                <w:szCs w:val="24"/>
              </w:rPr>
              <w:t>Marine Protected Area (MPA) Sustainable Use:</w:t>
            </w:r>
            <w:r w:rsidRPr="00792B36">
              <w:rPr>
                <w:color w:val="000000" w:themeColor="text1"/>
                <w:sz w:val="24"/>
                <w:szCs w:val="24"/>
              </w:rPr>
              <w:br/>
              <w:t>Koh Losin already serves as a strict marine conservation zone under the Department of Marine and Coastal Resources (DMCR) and the Royal Thai Navy. Its potential lies in being officially designated as a no-take multiple-use MPA and a national marine research reference site. Sustainable management measures should include:</w:t>
            </w:r>
          </w:p>
          <w:p w14:paraId="15269148" w14:textId="77777777" w:rsidR="009A0A63" w:rsidRPr="00792B36" w:rsidRDefault="009A0A63" w:rsidP="00F61B37">
            <w:pPr>
              <w:widowControl/>
              <w:numPr>
                <w:ilvl w:val="0"/>
                <w:numId w:val="102"/>
              </w:numPr>
              <w:rPr>
                <w:color w:val="000000" w:themeColor="text1"/>
                <w:sz w:val="24"/>
                <w:szCs w:val="24"/>
              </w:rPr>
            </w:pPr>
            <w:r w:rsidRPr="00792B36">
              <w:rPr>
                <w:color w:val="000000" w:themeColor="text1"/>
                <w:sz w:val="24"/>
                <w:szCs w:val="24"/>
              </w:rPr>
              <w:t>Formalizing zoning for conservation, research, and controlled visitation.</w:t>
            </w:r>
          </w:p>
          <w:p w14:paraId="03A02DEF" w14:textId="77777777" w:rsidR="009A0A63" w:rsidRPr="00792B36" w:rsidRDefault="009A0A63" w:rsidP="00F61B37">
            <w:pPr>
              <w:widowControl/>
              <w:numPr>
                <w:ilvl w:val="0"/>
                <w:numId w:val="102"/>
              </w:numPr>
              <w:rPr>
                <w:color w:val="000000" w:themeColor="text1"/>
                <w:sz w:val="24"/>
                <w:szCs w:val="24"/>
              </w:rPr>
            </w:pPr>
            <w:r w:rsidRPr="00792B36">
              <w:rPr>
                <w:color w:val="000000" w:themeColor="text1"/>
                <w:sz w:val="24"/>
                <w:szCs w:val="24"/>
              </w:rPr>
              <w:t>Expanding coral reef and pelagic species monitoring programs with long-term data collection.</w:t>
            </w:r>
          </w:p>
          <w:p w14:paraId="330ED4D6" w14:textId="77777777" w:rsidR="009A0A63" w:rsidRPr="00792B36" w:rsidRDefault="009A0A63" w:rsidP="00F61B37">
            <w:pPr>
              <w:widowControl/>
              <w:numPr>
                <w:ilvl w:val="0"/>
                <w:numId w:val="102"/>
              </w:numPr>
              <w:rPr>
                <w:color w:val="000000" w:themeColor="text1"/>
                <w:sz w:val="24"/>
                <w:szCs w:val="24"/>
              </w:rPr>
            </w:pPr>
            <w:r w:rsidRPr="00792B36">
              <w:rPr>
                <w:color w:val="000000" w:themeColor="text1"/>
                <w:sz w:val="24"/>
                <w:szCs w:val="24"/>
              </w:rPr>
              <w:t xml:space="preserve">Maintaining no-anchor and no-fishing zones </w:t>
            </w:r>
            <w:r w:rsidRPr="00792B36">
              <w:rPr>
                <w:color w:val="000000" w:themeColor="text1"/>
                <w:sz w:val="24"/>
                <w:szCs w:val="24"/>
              </w:rPr>
              <w:lastRenderedPageBreak/>
              <w:t>through continuous naval patrols.</w:t>
            </w:r>
          </w:p>
          <w:p w14:paraId="5B07D342" w14:textId="77777777" w:rsidR="009A0A63" w:rsidRPr="00792B36" w:rsidRDefault="009A0A63" w:rsidP="00F61B37">
            <w:pPr>
              <w:widowControl/>
              <w:numPr>
                <w:ilvl w:val="0"/>
                <w:numId w:val="102"/>
              </w:numPr>
              <w:rPr>
                <w:color w:val="000000" w:themeColor="text1"/>
                <w:sz w:val="24"/>
                <w:szCs w:val="24"/>
              </w:rPr>
            </w:pPr>
            <w:r w:rsidRPr="00792B36">
              <w:rPr>
                <w:color w:val="000000" w:themeColor="text1"/>
                <w:sz w:val="24"/>
                <w:szCs w:val="24"/>
              </w:rPr>
              <w:t>Establishing Koh Losin as a marine biodiversity and climate resilience benchmark site for the Gulf of Thailand.</w:t>
            </w:r>
          </w:p>
        </w:tc>
      </w:tr>
      <w:tr w:rsidR="009A0A63" w:rsidRPr="00792B36" w14:paraId="49A49662" w14:textId="77777777" w:rsidTr="00A24459">
        <w:tc>
          <w:tcPr>
            <w:tcW w:w="2547" w:type="dxa"/>
          </w:tcPr>
          <w:p w14:paraId="00234F32" w14:textId="77777777" w:rsidR="009A0A63" w:rsidRPr="00792B36" w:rsidRDefault="009A0A63" w:rsidP="00A24459">
            <w:pPr>
              <w:rPr>
                <w:b/>
                <w:bCs/>
                <w:color w:val="000000" w:themeColor="text1"/>
                <w:sz w:val="24"/>
                <w:szCs w:val="24"/>
              </w:rPr>
            </w:pPr>
            <w:r w:rsidRPr="00792B36">
              <w:rPr>
                <w:b/>
                <w:bCs/>
                <w:color w:val="000000" w:themeColor="text1"/>
                <w:sz w:val="24"/>
                <w:szCs w:val="24"/>
              </w:rPr>
              <w:lastRenderedPageBreak/>
              <w:t>CR:8 Underwater pinnacle Chumphon Province</w:t>
            </w:r>
          </w:p>
        </w:tc>
        <w:tc>
          <w:tcPr>
            <w:tcW w:w="3467" w:type="dxa"/>
          </w:tcPr>
          <w:p w14:paraId="65A1E4DD" w14:textId="77777777" w:rsidR="009A0A63" w:rsidRPr="00792B36" w:rsidRDefault="009A0A63" w:rsidP="00A24459">
            <w:pPr>
              <w:rPr>
                <w:color w:val="000000" w:themeColor="text1"/>
                <w:sz w:val="24"/>
                <w:szCs w:val="24"/>
              </w:rPr>
            </w:pPr>
            <w:r w:rsidRPr="00792B36">
              <w:rPr>
                <w:b/>
                <w:bCs/>
                <w:color w:val="000000" w:themeColor="text1"/>
                <w:sz w:val="24"/>
                <w:szCs w:val="24"/>
              </w:rPr>
              <w:t>Commercial Use:</w:t>
            </w:r>
            <w:r w:rsidRPr="00792B36">
              <w:rPr>
                <w:color w:val="000000" w:themeColor="text1"/>
                <w:sz w:val="24"/>
                <w:szCs w:val="24"/>
              </w:rPr>
              <w:br/>
              <w:t>There is no large-scale commercial or industrial use at the pinnacles. However, nearby Chumphon City (about 15–25 km away) supports small ports and aquaculture operations, which can indirectly influence water quality through runoff and vessel activity.</w:t>
            </w:r>
          </w:p>
          <w:p w14:paraId="0ED5D8DE" w14:textId="77777777" w:rsidR="009A0A63" w:rsidRPr="00792B36" w:rsidRDefault="009A0A63" w:rsidP="00A24459">
            <w:pPr>
              <w:rPr>
                <w:color w:val="000000" w:themeColor="text1"/>
                <w:sz w:val="24"/>
                <w:szCs w:val="24"/>
              </w:rPr>
            </w:pPr>
            <w:r w:rsidRPr="00792B36">
              <w:rPr>
                <w:b/>
                <w:bCs/>
                <w:color w:val="000000" w:themeColor="text1"/>
                <w:sz w:val="24"/>
                <w:szCs w:val="24"/>
              </w:rPr>
              <w:t>Subsistence Use:</w:t>
            </w:r>
            <w:r w:rsidRPr="00792B36">
              <w:rPr>
                <w:color w:val="000000" w:themeColor="text1"/>
                <w:sz w:val="24"/>
                <w:szCs w:val="24"/>
              </w:rPr>
              <w:br/>
              <w:t>Local communities engage in small-scale coastal fishing around Chumphon’s nearshore waters, but fishing activity around the offshore pinnacles is minimal due to depth and distance. These sites are primarily valued for tourism and conservation rather than subsistence resource use.</w:t>
            </w:r>
          </w:p>
          <w:p w14:paraId="3CED71B3" w14:textId="77777777" w:rsidR="009A0A63" w:rsidRPr="00792B36" w:rsidRDefault="009A0A63" w:rsidP="00A24459">
            <w:pPr>
              <w:rPr>
                <w:color w:val="000000" w:themeColor="text1"/>
                <w:sz w:val="24"/>
                <w:szCs w:val="24"/>
              </w:rPr>
            </w:pPr>
            <w:r w:rsidRPr="00792B36">
              <w:rPr>
                <w:b/>
                <w:bCs/>
                <w:color w:val="000000" w:themeColor="text1"/>
                <w:sz w:val="24"/>
                <w:szCs w:val="24"/>
              </w:rPr>
              <w:t>Fishing Ground:</w:t>
            </w:r>
            <w:r w:rsidRPr="00792B36">
              <w:rPr>
                <w:color w:val="000000" w:themeColor="text1"/>
                <w:sz w:val="24"/>
                <w:szCs w:val="24"/>
              </w:rPr>
              <w:br/>
              <w:t xml:space="preserve">Fishing is restricted within the </w:t>
            </w:r>
            <w:r w:rsidRPr="00792B36">
              <w:rPr>
                <w:color w:val="000000" w:themeColor="text1"/>
                <w:sz w:val="24"/>
                <w:szCs w:val="24"/>
              </w:rPr>
              <w:lastRenderedPageBreak/>
              <w:t>designated Chumphon Marine National Park area, which includes several of the underwater pinnacles. Small-scale fishing using traps and lines may occur in buffer zones, but destructive practices such as trawling and dynamite fishing are strictly prohibited.</w:t>
            </w:r>
          </w:p>
          <w:p w14:paraId="7C2FAA94" w14:textId="77777777" w:rsidR="009A0A63" w:rsidRPr="00792B36" w:rsidRDefault="009A0A63" w:rsidP="00A24459">
            <w:pPr>
              <w:rPr>
                <w:color w:val="000000" w:themeColor="text1"/>
                <w:sz w:val="24"/>
                <w:szCs w:val="24"/>
              </w:rPr>
            </w:pPr>
            <w:r w:rsidRPr="00792B36">
              <w:rPr>
                <w:b/>
                <w:bCs/>
                <w:color w:val="000000" w:themeColor="text1"/>
                <w:sz w:val="24"/>
                <w:szCs w:val="24"/>
              </w:rPr>
              <w:t>Tourism:</w:t>
            </w:r>
            <w:r w:rsidRPr="00792B36">
              <w:rPr>
                <w:color w:val="000000" w:themeColor="text1"/>
                <w:sz w:val="24"/>
                <w:szCs w:val="24"/>
              </w:rPr>
              <w:br/>
              <w:t>Tourism is the primary activity, centered on diving and snorkeling. The pinnacles, such as Hin Lak Ngam and Hin Phae, are famous for their diverse coral reefs and abundant marine life, attracting both domestic and international dive operators. Tourism provides local economic benefits but also requires careful management to prevent anchor damage and diver-induced stress.</w:t>
            </w:r>
          </w:p>
          <w:p w14:paraId="4BAFE5B4" w14:textId="77777777" w:rsidR="009A0A63" w:rsidRPr="00792B36" w:rsidRDefault="009A0A63" w:rsidP="00A24459">
            <w:pPr>
              <w:rPr>
                <w:color w:val="000000" w:themeColor="text1"/>
                <w:sz w:val="24"/>
                <w:szCs w:val="24"/>
                <w:cs/>
              </w:rPr>
            </w:pPr>
            <w:r w:rsidRPr="00792B36">
              <w:rPr>
                <w:b/>
                <w:bCs/>
                <w:color w:val="000000" w:themeColor="text1"/>
                <w:sz w:val="24"/>
                <w:szCs w:val="24"/>
              </w:rPr>
              <w:t>Marine Protected Area (MPA):</w:t>
            </w:r>
            <w:r w:rsidRPr="00792B36">
              <w:rPr>
                <w:color w:val="000000" w:themeColor="text1"/>
                <w:sz w:val="24"/>
                <w:szCs w:val="24"/>
              </w:rPr>
              <w:br/>
              <w:t xml:space="preserve">The underwater pinnacles are located within the Chumphon Marine National Park, managed by the Department of Marine and Coastal </w:t>
            </w:r>
            <w:r w:rsidRPr="00792B36">
              <w:rPr>
                <w:color w:val="000000" w:themeColor="text1"/>
                <w:sz w:val="24"/>
                <w:szCs w:val="24"/>
              </w:rPr>
              <w:lastRenderedPageBreak/>
              <w:t>Resources (DMCR) and the Department of National Parks (DNP). These areas are under formal protection, with ongoing reef monitoring, coral restoration, and installation of mooring buoys to reduce physical damage.</w:t>
            </w:r>
          </w:p>
        </w:tc>
        <w:tc>
          <w:tcPr>
            <w:tcW w:w="3468" w:type="dxa"/>
          </w:tcPr>
          <w:p w14:paraId="360C007C" w14:textId="77777777" w:rsidR="009A0A63" w:rsidRPr="00792B36" w:rsidRDefault="009A0A63" w:rsidP="00A24459">
            <w:pPr>
              <w:jc w:val="center"/>
              <w:rPr>
                <w:color w:val="000000" w:themeColor="text1"/>
                <w:sz w:val="24"/>
                <w:szCs w:val="24"/>
              </w:rPr>
            </w:pPr>
            <w:r w:rsidRPr="00792B36">
              <w:rPr>
                <w:color w:val="000000" w:themeColor="text1"/>
                <w:sz w:val="24"/>
                <w:szCs w:val="24"/>
              </w:rPr>
              <w:lastRenderedPageBreak/>
              <w:t>Coastal fisheries and small</w:t>
            </w:r>
            <w:r w:rsidRPr="00792B36">
              <w:rPr>
                <w:color w:val="000000" w:themeColor="text1"/>
                <w:sz w:val="24"/>
                <w:szCs w:val="24"/>
                <w:cs/>
              </w:rPr>
              <w:t>-</w:t>
            </w:r>
            <w:r w:rsidRPr="00792B36">
              <w:rPr>
                <w:color w:val="000000" w:themeColor="text1"/>
                <w:sz w:val="24"/>
                <w:szCs w:val="24"/>
              </w:rPr>
              <w:t>scale coastal fishing</w:t>
            </w:r>
          </w:p>
        </w:tc>
        <w:tc>
          <w:tcPr>
            <w:tcW w:w="3468" w:type="dxa"/>
          </w:tcPr>
          <w:p w14:paraId="057B6393" w14:textId="77777777" w:rsidR="009A0A63" w:rsidRPr="00792B36" w:rsidRDefault="009A0A63" w:rsidP="00A24459">
            <w:pPr>
              <w:rPr>
                <w:color w:val="000000" w:themeColor="text1"/>
                <w:sz w:val="24"/>
                <w:szCs w:val="24"/>
              </w:rPr>
            </w:pPr>
            <w:r w:rsidRPr="00792B36">
              <w:rPr>
                <w:b/>
                <w:bCs/>
                <w:color w:val="000000" w:themeColor="text1"/>
                <w:sz w:val="24"/>
                <w:szCs w:val="24"/>
              </w:rPr>
              <w:t>Tourism (Sustainable Use):</w:t>
            </w:r>
            <w:r w:rsidRPr="00792B36">
              <w:rPr>
                <w:color w:val="000000" w:themeColor="text1"/>
                <w:sz w:val="24"/>
                <w:szCs w:val="24"/>
              </w:rPr>
              <w:br/>
              <w:t>The underwater pinnacles in Chumphon Province have outstanding potential for sustainable dive and eco-tourism, given their high coral diversity, clear waters, and accessibility. Key sustainable tourism opportunities include:</w:t>
            </w:r>
          </w:p>
          <w:p w14:paraId="69A7BFAA" w14:textId="77777777" w:rsidR="009A0A63" w:rsidRPr="00792B36" w:rsidRDefault="009A0A63" w:rsidP="00F61B37">
            <w:pPr>
              <w:widowControl/>
              <w:numPr>
                <w:ilvl w:val="0"/>
                <w:numId w:val="103"/>
              </w:numPr>
              <w:rPr>
                <w:color w:val="000000" w:themeColor="text1"/>
                <w:sz w:val="24"/>
                <w:szCs w:val="24"/>
              </w:rPr>
            </w:pPr>
            <w:r w:rsidRPr="00792B36">
              <w:rPr>
                <w:color w:val="000000" w:themeColor="text1"/>
                <w:sz w:val="24"/>
                <w:szCs w:val="24"/>
              </w:rPr>
              <w:t>Developing eco-friendly diving and snorkeling zones, with strict carrying capacity limits and reef-safe practices.</w:t>
            </w:r>
          </w:p>
          <w:p w14:paraId="6370BE9D" w14:textId="77777777" w:rsidR="009A0A63" w:rsidRPr="00792B36" w:rsidRDefault="009A0A63" w:rsidP="00F61B37">
            <w:pPr>
              <w:widowControl/>
              <w:numPr>
                <w:ilvl w:val="0"/>
                <w:numId w:val="103"/>
              </w:numPr>
              <w:rPr>
                <w:color w:val="000000" w:themeColor="text1"/>
                <w:sz w:val="24"/>
                <w:szCs w:val="24"/>
              </w:rPr>
            </w:pPr>
            <w:r w:rsidRPr="00792B36">
              <w:rPr>
                <w:color w:val="000000" w:themeColor="text1"/>
                <w:sz w:val="24"/>
                <w:szCs w:val="24"/>
              </w:rPr>
              <w:t>Promoting marine eco-tourism packages that include coral conservation education, guided reef tours, and citizen-science participation.</w:t>
            </w:r>
          </w:p>
          <w:p w14:paraId="774D6F6A" w14:textId="77777777" w:rsidR="009A0A63" w:rsidRPr="00792B36" w:rsidRDefault="009A0A63" w:rsidP="00F61B37">
            <w:pPr>
              <w:widowControl/>
              <w:numPr>
                <w:ilvl w:val="0"/>
                <w:numId w:val="103"/>
              </w:numPr>
              <w:rPr>
                <w:color w:val="000000" w:themeColor="text1"/>
                <w:sz w:val="24"/>
                <w:szCs w:val="24"/>
              </w:rPr>
            </w:pPr>
            <w:r w:rsidRPr="00792B36">
              <w:rPr>
                <w:color w:val="000000" w:themeColor="text1"/>
                <w:sz w:val="24"/>
                <w:szCs w:val="24"/>
              </w:rPr>
              <w:t xml:space="preserve">Strengthening tourism management </w:t>
            </w:r>
            <w:r w:rsidRPr="00792B36">
              <w:rPr>
                <w:color w:val="000000" w:themeColor="text1"/>
                <w:sz w:val="24"/>
                <w:szCs w:val="24"/>
              </w:rPr>
              <w:lastRenderedPageBreak/>
              <w:t>guidelines to minimize anchor damage and diver impacts.</w:t>
            </w:r>
          </w:p>
          <w:p w14:paraId="70B8224D" w14:textId="77777777" w:rsidR="009A0A63" w:rsidRPr="00792B36" w:rsidRDefault="009A0A63" w:rsidP="00F61B37">
            <w:pPr>
              <w:widowControl/>
              <w:numPr>
                <w:ilvl w:val="0"/>
                <w:numId w:val="103"/>
              </w:numPr>
              <w:rPr>
                <w:color w:val="000000" w:themeColor="text1"/>
                <w:sz w:val="24"/>
                <w:szCs w:val="24"/>
              </w:rPr>
            </w:pPr>
            <w:r w:rsidRPr="00792B36">
              <w:rPr>
                <w:color w:val="000000" w:themeColor="text1"/>
                <w:sz w:val="24"/>
                <w:szCs w:val="24"/>
              </w:rPr>
              <w:t>Expanding community-based tourism that benefits local operators, dive schools, and fishing communities.</w:t>
            </w:r>
          </w:p>
          <w:p w14:paraId="6308DA48" w14:textId="77777777" w:rsidR="009A0A63" w:rsidRPr="00792B36" w:rsidRDefault="009A0A63" w:rsidP="00A24459">
            <w:pPr>
              <w:rPr>
                <w:color w:val="000000" w:themeColor="text1"/>
                <w:sz w:val="24"/>
                <w:szCs w:val="24"/>
              </w:rPr>
            </w:pPr>
            <w:r w:rsidRPr="00792B36">
              <w:rPr>
                <w:b/>
                <w:bCs/>
                <w:color w:val="000000" w:themeColor="text1"/>
                <w:sz w:val="24"/>
                <w:szCs w:val="24"/>
              </w:rPr>
              <w:t>Marine Protected Area (MPA) Sustainable Use:</w:t>
            </w:r>
            <w:r w:rsidRPr="00792B36">
              <w:rPr>
                <w:color w:val="000000" w:themeColor="text1"/>
                <w:sz w:val="24"/>
                <w:szCs w:val="24"/>
              </w:rPr>
              <w:br/>
              <w:t>The pinnacles are already within the Chumphon Marine National Park, providing a strong foundation for sustainable multiple-use MPA management. Potential enhancements include:</w:t>
            </w:r>
          </w:p>
          <w:p w14:paraId="65AAF52A" w14:textId="77777777" w:rsidR="009A0A63" w:rsidRPr="00792B36" w:rsidRDefault="009A0A63" w:rsidP="00F61B37">
            <w:pPr>
              <w:widowControl/>
              <w:numPr>
                <w:ilvl w:val="0"/>
                <w:numId w:val="104"/>
              </w:numPr>
              <w:rPr>
                <w:color w:val="000000" w:themeColor="text1"/>
                <w:sz w:val="24"/>
                <w:szCs w:val="24"/>
              </w:rPr>
            </w:pPr>
            <w:r w:rsidRPr="00792B36">
              <w:rPr>
                <w:color w:val="000000" w:themeColor="text1"/>
                <w:sz w:val="24"/>
                <w:szCs w:val="24"/>
              </w:rPr>
              <w:t>Establishing zoning plans that balance conservation, tourism, and limited fishing.</w:t>
            </w:r>
          </w:p>
          <w:p w14:paraId="6A8C3382" w14:textId="77777777" w:rsidR="009A0A63" w:rsidRPr="00792B36" w:rsidRDefault="009A0A63" w:rsidP="00F61B37">
            <w:pPr>
              <w:widowControl/>
              <w:numPr>
                <w:ilvl w:val="0"/>
                <w:numId w:val="104"/>
              </w:numPr>
              <w:rPr>
                <w:color w:val="000000" w:themeColor="text1"/>
                <w:sz w:val="24"/>
                <w:szCs w:val="24"/>
              </w:rPr>
            </w:pPr>
            <w:r w:rsidRPr="00792B36">
              <w:rPr>
                <w:color w:val="000000" w:themeColor="text1"/>
                <w:sz w:val="24"/>
                <w:szCs w:val="24"/>
              </w:rPr>
              <w:t>Installing additional mooring buoys and no-anchor zones to protect coral structures.</w:t>
            </w:r>
          </w:p>
          <w:p w14:paraId="1FA0E79B" w14:textId="77777777" w:rsidR="009A0A63" w:rsidRPr="00792B36" w:rsidRDefault="009A0A63" w:rsidP="00F61B37">
            <w:pPr>
              <w:widowControl/>
              <w:numPr>
                <w:ilvl w:val="0"/>
                <w:numId w:val="104"/>
              </w:numPr>
              <w:rPr>
                <w:color w:val="000000" w:themeColor="text1"/>
                <w:sz w:val="24"/>
                <w:szCs w:val="24"/>
              </w:rPr>
            </w:pPr>
            <w:r w:rsidRPr="00792B36">
              <w:rPr>
                <w:color w:val="000000" w:themeColor="text1"/>
                <w:sz w:val="24"/>
                <w:szCs w:val="24"/>
              </w:rPr>
              <w:t>Expanding coral restoration programs and reef monitoring in collaboration with dive centers, DMCR, and research institutions.</w:t>
            </w:r>
          </w:p>
          <w:p w14:paraId="7AE1F5EE" w14:textId="77777777" w:rsidR="009A0A63" w:rsidRPr="00792B36" w:rsidRDefault="009A0A63" w:rsidP="00F61B37">
            <w:pPr>
              <w:widowControl/>
              <w:numPr>
                <w:ilvl w:val="0"/>
                <w:numId w:val="104"/>
              </w:numPr>
              <w:rPr>
                <w:color w:val="000000" w:themeColor="text1"/>
                <w:sz w:val="24"/>
                <w:szCs w:val="24"/>
              </w:rPr>
            </w:pPr>
            <w:r w:rsidRPr="00792B36">
              <w:rPr>
                <w:color w:val="000000" w:themeColor="text1"/>
                <w:sz w:val="24"/>
                <w:szCs w:val="24"/>
              </w:rPr>
              <w:t xml:space="preserve">Encouraging co-management </w:t>
            </w:r>
            <w:r w:rsidRPr="00792B36">
              <w:rPr>
                <w:color w:val="000000" w:themeColor="text1"/>
                <w:sz w:val="24"/>
                <w:szCs w:val="24"/>
              </w:rPr>
              <w:lastRenderedPageBreak/>
              <w:t>frameworks between local authorities, private tourism operators, and conservation organizations to ensure long-term reef protection.</w:t>
            </w:r>
          </w:p>
        </w:tc>
      </w:tr>
      <w:tr w:rsidR="009A0A63" w:rsidRPr="00792B36" w14:paraId="0CB0914C" w14:textId="77777777" w:rsidTr="00A24459">
        <w:tc>
          <w:tcPr>
            <w:tcW w:w="2547" w:type="dxa"/>
          </w:tcPr>
          <w:p w14:paraId="4A2A0F3C" w14:textId="77777777" w:rsidR="009A0A63" w:rsidRPr="00792B36" w:rsidRDefault="009A0A63" w:rsidP="00A24459">
            <w:pPr>
              <w:rPr>
                <w:b/>
                <w:bCs/>
                <w:color w:val="000000" w:themeColor="text1"/>
                <w:sz w:val="24"/>
                <w:szCs w:val="24"/>
              </w:rPr>
            </w:pPr>
            <w:r w:rsidRPr="00792B36">
              <w:rPr>
                <w:rStyle w:val="Strong"/>
                <w:rFonts w:eastAsiaTheme="minorEastAsia"/>
                <w:color w:val="000000" w:themeColor="text1"/>
                <w:sz w:val="24"/>
                <w:szCs w:val="24"/>
              </w:rPr>
              <w:lastRenderedPageBreak/>
              <w:t>SG1: Ban Don Bay</w:t>
            </w:r>
          </w:p>
        </w:tc>
        <w:tc>
          <w:tcPr>
            <w:tcW w:w="3467" w:type="dxa"/>
          </w:tcPr>
          <w:p w14:paraId="4A973E46" w14:textId="77777777" w:rsidR="009A0A63" w:rsidRPr="00792B36" w:rsidRDefault="009A0A63" w:rsidP="00A24459">
            <w:pPr>
              <w:rPr>
                <w:color w:val="000000" w:themeColor="text1"/>
                <w:sz w:val="24"/>
                <w:szCs w:val="24"/>
              </w:rPr>
            </w:pPr>
            <w:r w:rsidRPr="00792B36">
              <w:rPr>
                <w:b/>
                <w:bCs/>
                <w:color w:val="000000" w:themeColor="text1"/>
                <w:sz w:val="24"/>
                <w:szCs w:val="24"/>
              </w:rPr>
              <w:t>Commercial Use:</w:t>
            </w:r>
            <w:r w:rsidRPr="00792B36">
              <w:rPr>
                <w:color w:val="000000" w:themeColor="text1"/>
                <w:sz w:val="24"/>
                <w:szCs w:val="24"/>
              </w:rPr>
              <w:br/>
              <w:t>The bay is an important center for aquaculture and coastal fisheries, particularly shrimp, crab, and shellfish farming. Small-scale seafood processing and local transport activities also contribute to the commercial economy. Coastal industries and port facilities near Surat Thani City (about 5–15 km from the bay) influence water quality and sediment load.</w:t>
            </w:r>
          </w:p>
          <w:p w14:paraId="273CD63A" w14:textId="77777777" w:rsidR="009A0A63" w:rsidRPr="00792B36" w:rsidRDefault="009A0A63" w:rsidP="00A24459">
            <w:pPr>
              <w:rPr>
                <w:color w:val="000000" w:themeColor="text1"/>
                <w:sz w:val="24"/>
                <w:szCs w:val="24"/>
              </w:rPr>
            </w:pPr>
            <w:r w:rsidRPr="00792B36">
              <w:rPr>
                <w:b/>
                <w:bCs/>
                <w:color w:val="000000" w:themeColor="text1"/>
                <w:sz w:val="24"/>
                <w:szCs w:val="24"/>
              </w:rPr>
              <w:t>Subsistence Use:</w:t>
            </w:r>
            <w:r w:rsidRPr="00792B36">
              <w:rPr>
                <w:color w:val="000000" w:themeColor="text1"/>
                <w:sz w:val="24"/>
                <w:szCs w:val="24"/>
              </w:rPr>
              <w:br/>
              <w:t>Local communities depend heavily on small-scale fishing, aquaculture, and gleaning of shellfish and seaweed for household consumption and income. These traditional activities remain vital for local livelihoods.</w:t>
            </w:r>
          </w:p>
          <w:p w14:paraId="63F33DE5" w14:textId="77777777" w:rsidR="009A0A63" w:rsidRPr="00792B36" w:rsidRDefault="009A0A63" w:rsidP="00A24459">
            <w:pPr>
              <w:rPr>
                <w:color w:val="000000" w:themeColor="text1"/>
                <w:sz w:val="24"/>
                <w:szCs w:val="24"/>
              </w:rPr>
            </w:pPr>
            <w:r w:rsidRPr="00792B36">
              <w:rPr>
                <w:b/>
                <w:bCs/>
                <w:color w:val="000000" w:themeColor="text1"/>
                <w:sz w:val="24"/>
                <w:szCs w:val="24"/>
              </w:rPr>
              <w:t>Fishing Ground:</w:t>
            </w:r>
            <w:r w:rsidRPr="00792B36">
              <w:rPr>
                <w:color w:val="000000" w:themeColor="text1"/>
                <w:sz w:val="24"/>
                <w:szCs w:val="24"/>
              </w:rPr>
              <w:br/>
            </w:r>
            <w:r w:rsidRPr="00792B36">
              <w:rPr>
                <w:color w:val="000000" w:themeColor="text1"/>
                <w:sz w:val="24"/>
                <w:szCs w:val="24"/>
              </w:rPr>
              <w:lastRenderedPageBreak/>
              <w:t>Ban Don Bay serves as one of the most productive fishing grounds in the Gulf of Thailand, supporting a wide range of artisanal fishing practices such as traps, gill nets, and push nets. However, illegal trawling and habitat disturbance still occur in some areas, threatening seagrass and benthic habitats.</w:t>
            </w:r>
          </w:p>
          <w:p w14:paraId="059A5755" w14:textId="77777777" w:rsidR="009A0A63" w:rsidRPr="00792B36" w:rsidRDefault="009A0A63" w:rsidP="00A24459">
            <w:pPr>
              <w:rPr>
                <w:color w:val="000000" w:themeColor="text1"/>
                <w:sz w:val="24"/>
                <w:szCs w:val="24"/>
              </w:rPr>
            </w:pPr>
            <w:r w:rsidRPr="00792B36">
              <w:rPr>
                <w:b/>
                <w:bCs/>
                <w:color w:val="000000" w:themeColor="text1"/>
                <w:sz w:val="24"/>
                <w:szCs w:val="24"/>
              </w:rPr>
              <w:t>Tourism:</w:t>
            </w:r>
            <w:r w:rsidRPr="00792B36">
              <w:rPr>
                <w:color w:val="000000" w:themeColor="text1"/>
                <w:sz w:val="24"/>
                <w:szCs w:val="24"/>
              </w:rPr>
              <w:br/>
              <w:t>Tourism is limited but growing, focusing on eco-tourism and community-based activities, such as birdwatching, mangrove trails, and dugong-watching tours. Sustainable tourism initiatives aim to raise awareness of seagrass conservation.</w:t>
            </w:r>
          </w:p>
          <w:p w14:paraId="0D1502E4" w14:textId="77777777" w:rsidR="009A0A63" w:rsidRPr="00792B36" w:rsidRDefault="009A0A63" w:rsidP="00A24459">
            <w:pPr>
              <w:rPr>
                <w:color w:val="000000" w:themeColor="text1"/>
                <w:sz w:val="24"/>
                <w:szCs w:val="24"/>
                <w:cs/>
              </w:rPr>
            </w:pPr>
            <w:r w:rsidRPr="00792B36">
              <w:rPr>
                <w:b/>
                <w:bCs/>
                <w:color w:val="000000" w:themeColor="text1"/>
                <w:sz w:val="24"/>
                <w:szCs w:val="24"/>
              </w:rPr>
              <w:t>Marine Protected Area (MPA):</w:t>
            </w:r>
            <w:r w:rsidRPr="00792B36">
              <w:rPr>
                <w:color w:val="000000" w:themeColor="text1"/>
                <w:sz w:val="24"/>
                <w:szCs w:val="24"/>
              </w:rPr>
              <w:br/>
              <w:t xml:space="preserve">Although Ban Don Bay is not formally designated as a Marine Protected Area, it is recognized by the Department of Marine and Coastal Resources (DMCR) as a critical habitat for seagrass, dugongs, and coastal biodiversity. </w:t>
            </w:r>
            <w:r w:rsidRPr="00792B36">
              <w:rPr>
                <w:color w:val="000000" w:themeColor="text1"/>
                <w:sz w:val="24"/>
                <w:szCs w:val="24"/>
              </w:rPr>
              <w:lastRenderedPageBreak/>
              <w:t>Restoration and monitoring programs are ongoing in collaboration with local universities and communities.</w:t>
            </w:r>
          </w:p>
        </w:tc>
        <w:tc>
          <w:tcPr>
            <w:tcW w:w="3468" w:type="dxa"/>
          </w:tcPr>
          <w:p w14:paraId="7A1CA257" w14:textId="77777777" w:rsidR="009A0A63" w:rsidRPr="00792B36" w:rsidRDefault="009A0A63" w:rsidP="00A24459">
            <w:pPr>
              <w:jc w:val="center"/>
              <w:rPr>
                <w:color w:val="000000" w:themeColor="text1"/>
                <w:sz w:val="24"/>
                <w:szCs w:val="24"/>
              </w:rPr>
            </w:pPr>
            <w:r w:rsidRPr="00792B36">
              <w:rPr>
                <w:color w:val="000000" w:themeColor="text1"/>
                <w:sz w:val="24"/>
                <w:szCs w:val="24"/>
              </w:rPr>
              <w:lastRenderedPageBreak/>
              <w:t>Coastal fisheries and small</w:t>
            </w:r>
            <w:r w:rsidRPr="00792B36">
              <w:rPr>
                <w:color w:val="000000" w:themeColor="text1"/>
                <w:sz w:val="24"/>
                <w:szCs w:val="24"/>
                <w:cs/>
              </w:rPr>
              <w:t>-</w:t>
            </w:r>
            <w:r w:rsidRPr="00792B36">
              <w:rPr>
                <w:color w:val="000000" w:themeColor="text1"/>
                <w:sz w:val="24"/>
                <w:szCs w:val="24"/>
              </w:rPr>
              <w:t>scale coastal fishing</w:t>
            </w:r>
          </w:p>
        </w:tc>
        <w:tc>
          <w:tcPr>
            <w:tcW w:w="3468" w:type="dxa"/>
          </w:tcPr>
          <w:p w14:paraId="378CE8AE" w14:textId="77777777" w:rsidR="009A0A63" w:rsidRPr="00792B36" w:rsidRDefault="009A0A63" w:rsidP="00A24459">
            <w:pPr>
              <w:rPr>
                <w:color w:val="000000" w:themeColor="text1"/>
                <w:sz w:val="24"/>
                <w:szCs w:val="24"/>
              </w:rPr>
            </w:pPr>
            <w:r w:rsidRPr="00792B36">
              <w:rPr>
                <w:b/>
                <w:bCs/>
                <w:color w:val="000000" w:themeColor="text1"/>
                <w:sz w:val="24"/>
                <w:szCs w:val="24"/>
              </w:rPr>
              <w:t>Tourism (Sustainable Use):</w:t>
            </w:r>
            <w:r w:rsidRPr="00792B36">
              <w:rPr>
                <w:color w:val="000000" w:themeColor="text1"/>
                <w:sz w:val="24"/>
                <w:szCs w:val="24"/>
              </w:rPr>
              <w:br/>
              <w:t>Ban Don Bay has strong potential for eco-tourism and community-based nature tourism centered around its extensive seagrass meadows, mangrove forests, and dugong habitats. Sustainable tourism opportunities include:</w:t>
            </w:r>
          </w:p>
          <w:p w14:paraId="33C72577" w14:textId="77777777" w:rsidR="009A0A63" w:rsidRPr="00792B36" w:rsidRDefault="009A0A63" w:rsidP="00F61B37">
            <w:pPr>
              <w:widowControl/>
              <w:numPr>
                <w:ilvl w:val="0"/>
                <w:numId w:val="105"/>
              </w:numPr>
              <w:rPr>
                <w:color w:val="000000" w:themeColor="text1"/>
                <w:sz w:val="24"/>
                <w:szCs w:val="24"/>
              </w:rPr>
            </w:pPr>
            <w:r w:rsidRPr="00792B36">
              <w:rPr>
                <w:color w:val="000000" w:themeColor="text1"/>
                <w:sz w:val="24"/>
                <w:szCs w:val="24"/>
              </w:rPr>
              <w:t>Developing eco-tours such as birdwatching, dugong observation, and mangrove kayaking.</w:t>
            </w:r>
          </w:p>
          <w:p w14:paraId="79F5204B" w14:textId="77777777" w:rsidR="009A0A63" w:rsidRPr="00792B36" w:rsidRDefault="009A0A63" w:rsidP="00F61B37">
            <w:pPr>
              <w:widowControl/>
              <w:numPr>
                <w:ilvl w:val="0"/>
                <w:numId w:val="105"/>
              </w:numPr>
              <w:rPr>
                <w:color w:val="000000" w:themeColor="text1"/>
                <w:sz w:val="24"/>
                <w:szCs w:val="24"/>
              </w:rPr>
            </w:pPr>
            <w:r w:rsidRPr="00792B36">
              <w:rPr>
                <w:color w:val="000000" w:themeColor="text1"/>
                <w:sz w:val="24"/>
                <w:szCs w:val="24"/>
              </w:rPr>
              <w:t>Promoting community-based tourism programs that engage local fishers and aquaculture farmers as eco-guides.</w:t>
            </w:r>
          </w:p>
          <w:p w14:paraId="4BE4C3D3" w14:textId="77777777" w:rsidR="009A0A63" w:rsidRPr="00792B36" w:rsidRDefault="009A0A63" w:rsidP="00F61B37">
            <w:pPr>
              <w:widowControl/>
              <w:numPr>
                <w:ilvl w:val="0"/>
                <w:numId w:val="105"/>
              </w:numPr>
              <w:rPr>
                <w:color w:val="000000" w:themeColor="text1"/>
                <w:sz w:val="24"/>
                <w:szCs w:val="24"/>
              </w:rPr>
            </w:pPr>
            <w:r w:rsidRPr="00792B36">
              <w:rPr>
                <w:color w:val="000000" w:themeColor="text1"/>
                <w:sz w:val="24"/>
                <w:szCs w:val="24"/>
              </w:rPr>
              <w:t xml:space="preserve">Creating environmental education and interpretation centers focusing </w:t>
            </w:r>
            <w:r w:rsidRPr="00792B36">
              <w:rPr>
                <w:color w:val="000000" w:themeColor="text1"/>
                <w:sz w:val="24"/>
                <w:szCs w:val="24"/>
              </w:rPr>
              <w:lastRenderedPageBreak/>
              <w:t>on seagrass conservation and blue carbon ecosystems.</w:t>
            </w:r>
          </w:p>
          <w:p w14:paraId="223942C1" w14:textId="77777777" w:rsidR="009A0A63" w:rsidRPr="00792B36" w:rsidRDefault="009A0A63" w:rsidP="00F61B37">
            <w:pPr>
              <w:widowControl/>
              <w:numPr>
                <w:ilvl w:val="0"/>
                <w:numId w:val="105"/>
              </w:numPr>
              <w:rPr>
                <w:color w:val="000000" w:themeColor="text1"/>
                <w:sz w:val="24"/>
                <w:szCs w:val="24"/>
              </w:rPr>
            </w:pPr>
            <w:r w:rsidRPr="00792B36">
              <w:rPr>
                <w:color w:val="000000" w:themeColor="text1"/>
                <w:sz w:val="24"/>
                <w:szCs w:val="24"/>
              </w:rPr>
              <w:t>Implementing visitor capacity management and eco-certification for tour operators to ensure minimal disturbance to sensitive habitats.</w:t>
            </w:r>
          </w:p>
          <w:p w14:paraId="09C2BC6F" w14:textId="77777777" w:rsidR="009A0A63" w:rsidRPr="00792B36" w:rsidRDefault="009A0A63" w:rsidP="00A24459">
            <w:pPr>
              <w:rPr>
                <w:color w:val="000000" w:themeColor="text1"/>
                <w:sz w:val="24"/>
                <w:szCs w:val="24"/>
              </w:rPr>
            </w:pPr>
            <w:r w:rsidRPr="00792B36">
              <w:rPr>
                <w:b/>
                <w:bCs/>
                <w:color w:val="000000" w:themeColor="text1"/>
                <w:sz w:val="24"/>
                <w:szCs w:val="24"/>
              </w:rPr>
              <w:t>Marine Protected Area (MPA) Sustainable Use:</w:t>
            </w:r>
            <w:r w:rsidRPr="00792B36">
              <w:rPr>
                <w:color w:val="000000" w:themeColor="text1"/>
                <w:sz w:val="24"/>
                <w:szCs w:val="24"/>
              </w:rPr>
              <w:br/>
              <w:t>Although Ban Don Bay is not yet formally designated as an MPA, it could be established as a multiple-use coastal conservation area under the Department of Marine and Coastal Resources (DMCR) framework. Sustainable management actions could include:</w:t>
            </w:r>
          </w:p>
          <w:p w14:paraId="0EC3AB65" w14:textId="77777777" w:rsidR="009A0A63" w:rsidRPr="00792B36" w:rsidRDefault="009A0A63" w:rsidP="00F61B37">
            <w:pPr>
              <w:widowControl/>
              <w:numPr>
                <w:ilvl w:val="0"/>
                <w:numId w:val="106"/>
              </w:numPr>
              <w:rPr>
                <w:color w:val="000000" w:themeColor="text1"/>
                <w:sz w:val="24"/>
                <w:szCs w:val="24"/>
              </w:rPr>
            </w:pPr>
            <w:r w:rsidRPr="00792B36">
              <w:rPr>
                <w:color w:val="000000" w:themeColor="text1"/>
                <w:sz w:val="24"/>
                <w:szCs w:val="24"/>
              </w:rPr>
              <w:t>Zoning to separate conservation, fishing, aquaculture, and tourism areas.</w:t>
            </w:r>
          </w:p>
          <w:p w14:paraId="0392F698" w14:textId="77777777" w:rsidR="009A0A63" w:rsidRPr="00792B36" w:rsidRDefault="009A0A63" w:rsidP="00F61B37">
            <w:pPr>
              <w:widowControl/>
              <w:numPr>
                <w:ilvl w:val="0"/>
                <w:numId w:val="106"/>
              </w:numPr>
              <w:rPr>
                <w:color w:val="000000" w:themeColor="text1"/>
                <w:sz w:val="24"/>
                <w:szCs w:val="24"/>
              </w:rPr>
            </w:pPr>
            <w:r w:rsidRPr="00792B36">
              <w:rPr>
                <w:color w:val="000000" w:themeColor="text1"/>
                <w:sz w:val="24"/>
                <w:szCs w:val="24"/>
              </w:rPr>
              <w:t>Establishing no-take zones in key seagrass meadows critical for dugongs and juvenile fish.</w:t>
            </w:r>
          </w:p>
          <w:p w14:paraId="380AE1D6" w14:textId="77777777" w:rsidR="009A0A63" w:rsidRPr="00792B36" w:rsidRDefault="009A0A63" w:rsidP="00F61B37">
            <w:pPr>
              <w:widowControl/>
              <w:numPr>
                <w:ilvl w:val="0"/>
                <w:numId w:val="106"/>
              </w:numPr>
              <w:rPr>
                <w:color w:val="000000" w:themeColor="text1"/>
                <w:sz w:val="24"/>
                <w:szCs w:val="24"/>
              </w:rPr>
            </w:pPr>
            <w:r w:rsidRPr="00792B36">
              <w:rPr>
                <w:color w:val="000000" w:themeColor="text1"/>
                <w:sz w:val="24"/>
                <w:szCs w:val="24"/>
              </w:rPr>
              <w:t xml:space="preserve">Expanding seagrass and mangrove </w:t>
            </w:r>
            <w:r w:rsidRPr="00792B36">
              <w:rPr>
                <w:color w:val="000000" w:themeColor="text1"/>
                <w:sz w:val="24"/>
                <w:szCs w:val="24"/>
              </w:rPr>
              <w:lastRenderedPageBreak/>
              <w:t>restoration programs involving local communities and universities.</w:t>
            </w:r>
          </w:p>
          <w:p w14:paraId="1486A690" w14:textId="77777777" w:rsidR="009A0A63" w:rsidRPr="00792B36" w:rsidRDefault="009A0A63" w:rsidP="00F61B37">
            <w:pPr>
              <w:widowControl/>
              <w:numPr>
                <w:ilvl w:val="0"/>
                <w:numId w:val="106"/>
              </w:numPr>
              <w:rPr>
                <w:color w:val="000000" w:themeColor="text1"/>
                <w:sz w:val="24"/>
                <w:szCs w:val="24"/>
              </w:rPr>
            </w:pPr>
            <w:r w:rsidRPr="00792B36">
              <w:rPr>
                <w:color w:val="000000" w:themeColor="text1"/>
                <w:sz w:val="24"/>
                <w:szCs w:val="24"/>
              </w:rPr>
              <w:t>Strengthening co-management among DMCR, the Department of Fisheries, and local administrative</w:t>
            </w:r>
            <w:r w:rsidRPr="00792B36">
              <w:rPr>
                <w:b/>
                <w:bCs/>
                <w:color w:val="000000" w:themeColor="text1"/>
                <w:sz w:val="24"/>
                <w:szCs w:val="24"/>
              </w:rPr>
              <w:t xml:space="preserve"> </w:t>
            </w:r>
            <w:r w:rsidRPr="00792B36">
              <w:rPr>
                <w:color w:val="000000" w:themeColor="text1"/>
                <w:sz w:val="24"/>
                <w:szCs w:val="24"/>
              </w:rPr>
              <w:t>organizations to ensure integrated coastal management.</w:t>
            </w:r>
          </w:p>
        </w:tc>
      </w:tr>
      <w:tr w:rsidR="009A0A63" w:rsidRPr="00792B36" w14:paraId="464059F6" w14:textId="77777777" w:rsidTr="00A24459">
        <w:tc>
          <w:tcPr>
            <w:tcW w:w="2547" w:type="dxa"/>
          </w:tcPr>
          <w:p w14:paraId="6CC2BFD0" w14:textId="77777777" w:rsidR="009A0A63" w:rsidRPr="00792B36" w:rsidRDefault="009A0A63" w:rsidP="00A24459">
            <w:pPr>
              <w:rPr>
                <w:rStyle w:val="Strong"/>
                <w:rFonts w:eastAsiaTheme="minorEastAsia"/>
                <w:color w:val="000000" w:themeColor="text1"/>
                <w:sz w:val="24"/>
                <w:szCs w:val="24"/>
              </w:rPr>
            </w:pPr>
            <w:r w:rsidRPr="00792B36">
              <w:rPr>
                <w:rStyle w:val="Strong"/>
                <w:rFonts w:eastAsiaTheme="minorEastAsia"/>
                <w:color w:val="000000" w:themeColor="text1"/>
                <w:sz w:val="24"/>
                <w:szCs w:val="24"/>
              </w:rPr>
              <w:lastRenderedPageBreak/>
              <w:t>SG2: Chumphon</w:t>
            </w:r>
          </w:p>
        </w:tc>
        <w:tc>
          <w:tcPr>
            <w:tcW w:w="3467" w:type="dxa"/>
          </w:tcPr>
          <w:p w14:paraId="0645790A" w14:textId="77777777" w:rsidR="009A0A63" w:rsidRPr="00792B36" w:rsidRDefault="009A0A63" w:rsidP="00A24459">
            <w:pPr>
              <w:rPr>
                <w:color w:val="000000" w:themeColor="text1"/>
                <w:sz w:val="24"/>
                <w:szCs w:val="24"/>
              </w:rPr>
            </w:pPr>
            <w:r w:rsidRPr="00792B36">
              <w:rPr>
                <w:b/>
                <w:bCs/>
                <w:color w:val="000000" w:themeColor="text1"/>
                <w:sz w:val="24"/>
                <w:szCs w:val="24"/>
              </w:rPr>
              <w:t>Commercial Use:</w:t>
            </w:r>
            <w:r w:rsidRPr="00792B36">
              <w:rPr>
                <w:color w:val="000000" w:themeColor="text1"/>
                <w:sz w:val="24"/>
                <w:szCs w:val="24"/>
              </w:rPr>
              <w:br/>
              <w:t>The coastal zone supports aquaculture (shrimp, fish, and shellfish farms) and small-scale seafood processing industries. Commercial ports and fish landing sites in Chumphon City facilitate marine transport and local trade. Offshore areas, including underwater pinnacles, contribute to marine tourism and diving industries that generate significant income for the province.</w:t>
            </w:r>
          </w:p>
          <w:p w14:paraId="32412C75" w14:textId="77777777" w:rsidR="009A0A63" w:rsidRPr="00792B36" w:rsidRDefault="009A0A63" w:rsidP="00A24459">
            <w:pPr>
              <w:rPr>
                <w:color w:val="000000" w:themeColor="text1"/>
                <w:sz w:val="24"/>
                <w:szCs w:val="24"/>
              </w:rPr>
            </w:pPr>
            <w:r w:rsidRPr="00792B36">
              <w:rPr>
                <w:b/>
                <w:bCs/>
                <w:color w:val="000000" w:themeColor="text1"/>
                <w:sz w:val="24"/>
                <w:szCs w:val="24"/>
              </w:rPr>
              <w:t>Subsistence Use:</w:t>
            </w:r>
            <w:r w:rsidRPr="00792B36">
              <w:rPr>
                <w:color w:val="000000" w:themeColor="text1"/>
                <w:sz w:val="24"/>
                <w:szCs w:val="24"/>
              </w:rPr>
              <w:br/>
              <w:t xml:space="preserve">Coastal communities rely on small-scale fishing, aquaculture, and mangrove resource use for household consumption and </w:t>
            </w:r>
            <w:r w:rsidRPr="00792B36">
              <w:rPr>
                <w:color w:val="000000" w:themeColor="text1"/>
                <w:sz w:val="24"/>
                <w:szCs w:val="24"/>
              </w:rPr>
              <w:lastRenderedPageBreak/>
              <w:t>local markets. These activities are vital for food security and income, particularly in Tha Sae, Pathio, and Lang Suan Districts.</w:t>
            </w:r>
          </w:p>
          <w:p w14:paraId="09534459" w14:textId="77777777" w:rsidR="009A0A63" w:rsidRPr="00792B36" w:rsidRDefault="009A0A63" w:rsidP="00A24459">
            <w:pPr>
              <w:rPr>
                <w:color w:val="000000" w:themeColor="text1"/>
                <w:sz w:val="24"/>
                <w:szCs w:val="24"/>
              </w:rPr>
            </w:pPr>
            <w:r w:rsidRPr="00792B36">
              <w:rPr>
                <w:b/>
                <w:bCs/>
                <w:color w:val="000000" w:themeColor="text1"/>
                <w:sz w:val="24"/>
                <w:szCs w:val="24"/>
              </w:rPr>
              <w:t>Fishing Ground:</w:t>
            </w:r>
            <w:r w:rsidRPr="00792B36">
              <w:rPr>
                <w:color w:val="000000" w:themeColor="text1"/>
                <w:sz w:val="24"/>
                <w:szCs w:val="24"/>
              </w:rPr>
              <w:br/>
              <w:t>Chumphon’s coastal and offshore waters are important traditional fishing grounds, supporting trap, gill net, and handline fisheries targeting fish, squid, and crab. Some buffer zones within the Chumphon Marine National Park restrict destructive fishing practices to protect coral reefs and seagrass meadows.</w:t>
            </w:r>
          </w:p>
          <w:p w14:paraId="5A71B484" w14:textId="77777777" w:rsidR="009A0A63" w:rsidRPr="00792B36" w:rsidRDefault="009A0A63" w:rsidP="00A24459">
            <w:pPr>
              <w:rPr>
                <w:color w:val="000000" w:themeColor="text1"/>
                <w:sz w:val="24"/>
                <w:szCs w:val="24"/>
              </w:rPr>
            </w:pPr>
            <w:r w:rsidRPr="00792B36">
              <w:rPr>
                <w:b/>
                <w:bCs/>
                <w:color w:val="000000" w:themeColor="text1"/>
                <w:sz w:val="24"/>
                <w:szCs w:val="24"/>
              </w:rPr>
              <w:t>Tourism:</w:t>
            </w:r>
            <w:r w:rsidRPr="00792B36">
              <w:rPr>
                <w:color w:val="000000" w:themeColor="text1"/>
                <w:sz w:val="24"/>
                <w:szCs w:val="24"/>
              </w:rPr>
              <w:br/>
              <w:t>Tourism is a growing sector, focusing on eco-tourism, snorkeling, diving, and island visits. Sites such as Thung Wua Laen Beach, Koh Ngam Yai, Koh Ngam Noi, and the underwater pinnacles are major attractions. Tourism activities are managed to reduce anchor damage and promote sustainable marine recreation.</w:t>
            </w:r>
          </w:p>
          <w:p w14:paraId="57270FE8" w14:textId="77777777" w:rsidR="009A0A63" w:rsidRPr="00792B36" w:rsidRDefault="009A0A63" w:rsidP="00A24459">
            <w:pPr>
              <w:rPr>
                <w:color w:val="000000" w:themeColor="text1"/>
                <w:sz w:val="24"/>
                <w:szCs w:val="24"/>
                <w:cs/>
              </w:rPr>
            </w:pPr>
            <w:r w:rsidRPr="00792B36">
              <w:rPr>
                <w:b/>
                <w:bCs/>
                <w:color w:val="000000" w:themeColor="text1"/>
                <w:sz w:val="24"/>
                <w:szCs w:val="24"/>
              </w:rPr>
              <w:t>Marine Protected Area (MPA):</w:t>
            </w:r>
            <w:r w:rsidRPr="00792B36">
              <w:rPr>
                <w:color w:val="000000" w:themeColor="text1"/>
                <w:sz w:val="24"/>
                <w:szCs w:val="24"/>
              </w:rPr>
              <w:br/>
              <w:t xml:space="preserve">Several marine zones, including the Chumphon Marine </w:t>
            </w:r>
            <w:r w:rsidRPr="00792B36">
              <w:rPr>
                <w:color w:val="000000" w:themeColor="text1"/>
                <w:sz w:val="24"/>
                <w:szCs w:val="24"/>
              </w:rPr>
              <w:lastRenderedPageBreak/>
              <w:t>National Park, are under the management of the Department of Marine and Coastal Resources (DMCR) and the Department of National Parks (DNP). These MPAs protect coral reefs, seagrass beds, and mangroves through monitoring, coral restoration, and mooring buoy installation.</w:t>
            </w:r>
          </w:p>
        </w:tc>
        <w:tc>
          <w:tcPr>
            <w:tcW w:w="3468" w:type="dxa"/>
          </w:tcPr>
          <w:p w14:paraId="109A1CF6" w14:textId="77777777" w:rsidR="009A0A63" w:rsidRPr="00792B36" w:rsidRDefault="009A0A63" w:rsidP="00A24459">
            <w:pPr>
              <w:jc w:val="center"/>
              <w:rPr>
                <w:color w:val="000000" w:themeColor="text1"/>
                <w:sz w:val="24"/>
                <w:szCs w:val="24"/>
              </w:rPr>
            </w:pPr>
            <w:r w:rsidRPr="00792B36">
              <w:rPr>
                <w:color w:val="000000" w:themeColor="text1"/>
                <w:sz w:val="24"/>
                <w:szCs w:val="24"/>
              </w:rPr>
              <w:lastRenderedPageBreak/>
              <w:t>Coastal fisheries and small</w:t>
            </w:r>
            <w:r w:rsidRPr="00792B36">
              <w:rPr>
                <w:color w:val="000000" w:themeColor="text1"/>
                <w:sz w:val="24"/>
                <w:szCs w:val="24"/>
                <w:cs/>
              </w:rPr>
              <w:t>-</w:t>
            </w:r>
            <w:r w:rsidRPr="00792B36">
              <w:rPr>
                <w:color w:val="000000" w:themeColor="text1"/>
                <w:sz w:val="24"/>
                <w:szCs w:val="24"/>
              </w:rPr>
              <w:t>scale coastal fishing</w:t>
            </w:r>
          </w:p>
        </w:tc>
        <w:tc>
          <w:tcPr>
            <w:tcW w:w="3468" w:type="dxa"/>
          </w:tcPr>
          <w:p w14:paraId="0355CF81" w14:textId="77777777" w:rsidR="009A0A63" w:rsidRPr="00792B36" w:rsidRDefault="009A0A63" w:rsidP="00A24459">
            <w:pPr>
              <w:rPr>
                <w:color w:val="000000" w:themeColor="text1"/>
                <w:sz w:val="24"/>
                <w:szCs w:val="24"/>
              </w:rPr>
            </w:pPr>
            <w:r w:rsidRPr="00792B36">
              <w:rPr>
                <w:color w:val="000000" w:themeColor="text1"/>
                <w:sz w:val="24"/>
                <w:szCs w:val="24"/>
              </w:rPr>
              <w:t>Tourism (Sustainable Use):</w:t>
            </w:r>
            <w:r w:rsidRPr="00792B36">
              <w:rPr>
                <w:color w:val="000000" w:themeColor="text1"/>
                <w:sz w:val="24"/>
                <w:szCs w:val="24"/>
              </w:rPr>
              <w:br/>
              <w:t>Chumphon’s extensive seagrass meadows have potential for eco-tourism and environmental education focused on blue carbon ecosystems and coastal biodiversity. Sustainable uses include:</w:t>
            </w:r>
          </w:p>
          <w:p w14:paraId="0E063BF1" w14:textId="77777777" w:rsidR="009A0A63" w:rsidRPr="00792B36" w:rsidRDefault="009A0A63" w:rsidP="00F61B37">
            <w:pPr>
              <w:widowControl/>
              <w:numPr>
                <w:ilvl w:val="0"/>
                <w:numId w:val="107"/>
              </w:numPr>
              <w:rPr>
                <w:color w:val="000000" w:themeColor="text1"/>
                <w:sz w:val="24"/>
                <w:szCs w:val="24"/>
              </w:rPr>
            </w:pPr>
            <w:r w:rsidRPr="00792B36">
              <w:rPr>
                <w:color w:val="000000" w:themeColor="text1"/>
                <w:sz w:val="24"/>
                <w:szCs w:val="24"/>
              </w:rPr>
              <w:t>Developing eco-tours and educational trails highlighting the role of seagrass in carbon storage, fish nurseries, and dugong feeding grounds.</w:t>
            </w:r>
          </w:p>
          <w:p w14:paraId="2036493F" w14:textId="77777777" w:rsidR="009A0A63" w:rsidRPr="00792B36" w:rsidRDefault="009A0A63" w:rsidP="00F61B37">
            <w:pPr>
              <w:widowControl/>
              <w:numPr>
                <w:ilvl w:val="0"/>
                <w:numId w:val="107"/>
              </w:numPr>
              <w:rPr>
                <w:color w:val="000000" w:themeColor="text1"/>
                <w:sz w:val="24"/>
                <w:szCs w:val="24"/>
              </w:rPr>
            </w:pPr>
            <w:r w:rsidRPr="00792B36">
              <w:rPr>
                <w:color w:val="000000" w:themeColor="text1"/>
                <w:sz w:val="24"/>
                <w:szCs w:val="24"/>
              </w:rPr>
              <w:t xml:space="preserve">Promoting community-based eco-tourism such as seagrass observation by kayak, </w:t>
            </w:r>
            <w:r w:rsidRPr="00792B36">
              <w:rPr>
                <w:color w:val="000000" w:themeColor="text1"/>
                <w:sz w:val="24"/>
                <w:szCs w:val="24"/>
              </w:rPr>
              <w:lastRenderedPageBreak/>
              <w:t>birdwatching, and coastal conservation volunteering.</w:t>
            </w:r>
          </w:p>
          <w:p w14:paraId="5DA4AE4E" w14:textId="77777777" w:rsidR="009A0A63" w:rsidRPr="00792B36" w:rsidRDefault="009A0A63" w:rsidP="00F61B37">
            <w:pPr>
              <w:widowControl/>
              <w:numPr>
                <w:ilvl w:val="0"/>
                <w:numId w:val="107"/>
              </w:numPr>
              <w:rPr>
                <w:color w:val="000000" w:themeColor="text1"/>
                <w:sz w:val="24"/>
                <w:szCs w:val="24"/>
              </w:rPr>
            </w:pPr>
            <w:r w:rsidRPr="00792B36">
              <w:rPr>
                <w:color w:val="000000" w:themeColor="text1"/>
                <w:sz w:val="24"/>
                <w:szCs w:val="24"/>
              </w:rPr>
              <w:t>Establishing interpretive centers or learning hubs on seagrass ecology and blue carbon value for students and tourists.</w:t>
            </w:r>
          </w:p>
          <w:p w14:paraId="11BFDDED" w14:textId="77777777" w:rsidR="009A0A63" w:rsidRPr="00792B36" w:rsidRDefault="009A0A63" w:rsidP="00A24459">
            <w:pPr>
              <w:rPr>
                <w:color w:val="000000" w:themeColor="text1"/>
                <w:sz w:val="24"/>
                <w:szCs w:val="24"/>
              </w:rPr>
            </w:pPr>
            <w:r w:rsidRPr="00792B36">
              <w:rPr>
                <w:b/>
                <w:bCs/>
                <w:color w:val="000000" w:themeColor="text1"/>
                <w:sz w:val="24"/>
                <w:szCs w:val="24"/>
              </w:rPr>
              <w:t>Marine Protected Area (MPA) Sustainable Use:</w:t>
            </w:r>
            <w:r w:rsidRPr="00792B36">
              <w:rPr>
                <w:color w:val="000000" w:themeColor="text1"/>
                <w:sz w:val="24"/>
                <w:szCs w:val="24"/>
              </w:rPr>
              <w:br/>
              <w:t>Chumphon’s seagrass meadows can be incorporated into multiple-use conservation zones within the Chumphon Marine National Park and under DMCR management. Sustainable MPA management could include:</w:t>
            </w:r>
          </w:p>
          <w:p w14:paraId="08B17CAE" w14:textId="77777777" w:rsidR="009A0A63" w:rsidRPr="00792B36" w:rsidRDefault="009A0A63" w:rsidP="00F61B37">
            <w:pPr>
              <w:widowControl/>
              <w:numPr>
                <w:ilvl w:val="0"/>
                <w:numId w:val="108"/>
              </w:numPr>
              <w:rPr>
                <w:color w:val="000000" w:themeColor="text1"/>
                <w:sz w:val="24"/>
                <w:szCs w:val="24"/>
              </w:rPr>
            </w:pPr>
            <w:r w:rsidRPr="00792B36">
              <w:rPr>
                <w:color w:val="000000" w:themeColor="text1"/>
                <w:sz w:val="24"/>
                <w:szCs w:val="24"/>
              </w:rPr>
              <w:t>Zoning to balance seagrass conservation, small-scale fishing, and eco-tourism.</w:t>
            </w:r>
          </w:p>
          <w:p w14:paraId="1C08DFCD" w14:textId="77777777" w:rsidR="009A0A63" w:rsidRPr="00792B36" w:rsidRDefault="009A0A63" w:rsidP="00F61B37">
            <w:pPr>
              <w:widowControl/>
              <w:numPr>
                <w:ilvl w:val="0"/>
                <w:numId w:val="108"/>
              </w:numPr>
              <w:rPr>
                <w:color w:val="000000" w:themeColor="text1"/>
                <w:sz w:val="24"/>
                <w:szCs w:val="24"/>
              </w:rPr>
            </w:pPr>
            <w:r w:rsidRPr="00792B36">
              <w:rPr>
                <w:color w:val="000000" w:themeColor="text1"/>
                <w:sz w:val="24"/>
                <w:szCs w:val="24"/>
              </w:rPr>
              <w:t>Implementing no-trawl and no-anchor zones to protect fragile seagrass habitats.</w:t>
            </w:r>
          </w:p>
          <w:p w14:paraId="1B7E84FB" w14:textId="77777777" w:rsidR="009A0A63" w:rsidRPr="00792B36" w:rsidRDefault="009A0A63" w:rsidP="00F61B37">
            <w:pPr>
              <w:widowControl/>
              <w:numPr>
                <w:ilvl w:val="0"/>
                <w:numId w:val="108"/>
              </w:numPr>
              <w:rPr>
                <w:color w:val="000000" w:themeColor="text1"/>
                <w:sz w:val="24"/>
                <w:szCs w:val="24"/>
              </w:rPr>
            </w:pPr>
            <w:r w:rsidRPr="00792B36">
              <w:rPr>
                <w:color w:val="000000" w:themeColor="text1"/>
                <w:sz w:val="24"/>
                <w:szCs w:val="24"/>
              </w:rPr>
              <w:t xml:space="preserve">Expanding community-led restoration and monitoring programs with participation </w:t>
            </w:r>
            <w:r w:rsidRPr="00792B36">
              <w:rPr>
                <w:color w:val="000000" w:themeColor="text1"/>
                <w:sz w:val="24"/>
                <w:szCs w:val="24"/>
              </w:rPr>
              <w:lastRenderedPageBreak/>
              <w:t>from local schools, fishers, and conservation groups.</w:t>
            </w:r>
          </w:p>
          <w:p w14:paraId="5FC04BED" w14:textId="77777777" w:rsidR="009A0A63" w:rsidRPr="00792B36" w:rsidRDefault="009A0A63" w:rsidP="00F61B37">
            <w:pPr>
              <w:widowControl/>
              <w:numPr>
                <w:ilvl w:val="0"/>
                <w:numId w:val="108"/>
              </w:numPr>
              <w:rPr>
                <w:color w:val="000000" w:themeColor="text1"/>
                <w:sz w:val="24"/>
                <w:szCs w:val="24"/>
              </w:rPr>
            </w:pPr>
            <w:r w:rsidRPr="00792B36">
              <w:rPr>
                <w:color w:val="000000" w:themeColor="text1"/>
                <w:sz w:val="24"/>
                <w:szCs w:val="24"/>
              </w:rPr>
              <w:t>Strengthening co-management frameworks among DMCR, local government, and communities to ensure long-term protection.</w:t>
            </w:r>
          </w:p>
          <w:p w14:paraId="6F2DAC85" w14:textId="77777777" w:rsidR="009A0A63" w:rsidRPr="00792B36" w:rsidRDefault="009A0A63" w:rsidP="00A24459">
            <w:pPr>
              <w:rPr>
                <w:color w:val="000000" w:themeColor="text1"/>
                <w:sz w:val="24"/>
                <w:szCs w:val="24"/>
              </w:rPr>
            </w:pPr>
          </w:p>
        </w:tc>
      </w:tr>
    </w:tbl>
    <w:p w14:paraId="2DC7FE92" w14:textId="77777777" w:rsidR="009A0A63" w:rsidRPr="00792B36" w:rsidRDefault="009A0A63" w:rsidP="009A0A63">
      <w:pPr>
        <w:rPr>
          <w:b/>
          <w:bCs/>
          <w:color w:val="000000" w:themeColor="text1"/>
          <w:sz w:val="24"/>
          <w:szCs w:val="24"/>
        </w:rPr>
      </w:pPr>
    </w:p>
    <w:p w14:paraId="6C7DF676" w14:textId="77777777" w:rsidR="009A0A63" w:rsidRPr="00792B36" w:rsidRDefault="009A0A63" w:rsidP="009A0A63">
      <w:pPr>
        <w:ind w:firstLine="1134"/>
        <w:rPr>
          <w:b/>
          <w:bCs/>
          <w:i/>
          <w:iCs/>
          <w:color w:val="000000" w:themeColor="text1"/>
          <w:sz w:val="24"/>
          <w:szCs w:val="24"/>
        </w:rPr>
      </w:pPr>
      <w:r w:rsidRPr="00792B36">
        <w:rPr>
          <w:b/>
          <w:bCs/>
          <w:i/>
          <w:iCs/>
          <w:color w:val="000000" w:themeColor="text1"/>
          <w:sz w:val="24"/>
          <w:szCs w:val="24"/>
        </w:rPr>
        <w:t>Significance</w:t>
      </w:r>
      <w:r w:rsidRPr="00792B36">
        <w:rPr>
          <w:b/>
          <w:bCs/>
          <w:i/>
          <w:iCs/>
          <w:color w:val="000000" w:themeColor="text1"/>
          <w:sz w:val="24"/>
          <w:szCs w:val="24"/>
          <w:cs/>
        </w:rPr>
        <w:t>/</w:t>
      </w:r>
      <w:r w:rsidRPr="00792B36">
        <w:rPr>
          <w:b/>
          <w:bCs/>
          <w:i/>
          <w:iCs/>
          <w:color w:val="000000" w:themeColor="text1"/>
          <w:sz w:val="24"/>
          <w:szCs w:val="24"/>
        </w:rPr>
        <w:t>national importance and protection status</w:t>
      </w:r>
    </w:p>
    <w:p w14:paraId="3764FB63" w14:textId="77777777" w:rsidR="009A0A63" w:rsidRPr="00792B36" w:rsidRDefault="009A0A63" w:rsidP="009A0A63">
      <w:pPr>
        <w:tabs>
          <w:tab w:val="left" w:pos="1134"/>
        </w:tabs>
        <w:jc w:val="thaiDistribute"/>
        <w:rPr>
          <w:color w:val="000000" w:themeColor="text1"/>
          <w:sz w:val="24"/>
          <w:szCs w:val="24"/>
        </w:rPr>
      </w:pPr>
      <w:r w:rsidRPr="00792B36">
        <w:rPr>
          <w:color w:val="000000" w:themeColor="text1"/>
          <w:sz w:val="24"/>
          <w:szCs w:val="24"/>
        </w:rPr>
        <w:tab/>
        <w:t>All coral reef and seagrass areas in the Gulf of Thailand are under state jurisdiction and hold high national significance for biodiversity conservation, blue carbon functions, and sustainable development. Managed primarily by the Department of Marine and Coastal Resources (DMCR), with collaboration from provincial authorities, the Department of National Parks (DNP), and the Royal Thai Navy, these sites collectively represent Thailand’s key marine ecosystems and policy priorities. Koh Si Chang and Koh Lan serve as pilot sites for Marine Spatial Planning (MSP), while Koh Kood and Koh Mak are recognized as models for eco-tourism and sustainable island management within the Eastern Marine Conservation Network. Koh Tao functions as a leading site for coral reef restoration and community-based tourism, supporting Thailand’s blue economy. Offshore sites such as Koh Kra and Koh Losin possess exceptional biodiversity value and serve as reference areas for coral health monitoring and climate change studies. The underwater pinnacles in Chumphon Province are important for coral diversity and dive tourism, while Ban Don Bay and the seagrass meadows along Chumphon’s coast are vital blue carbon ecosystems that support dugongs, sea turtles, and juvenile fish. Protection designations vary across sites, ranging from formal status</w:t>
      </w:r>
      <w:r w:rsidRPr="00792B36">
        <w:rPr>
          <w:color w:val="000000" w:themeColor="text1"/>
          <w:sz w:val="24"/>
          <w:szCs w:val="24"/>
          <w:cs/>
        </w:rPr>
        <w:t xml:space="preserve"> </w:t>
      </w:r>
      <w:r w:rsidRPr="00792B36">
        <w:rPr>
          <w:color w:val="000000" w:themeColor="text1"/>
          <w:sz w:val="24"/>
          <w:szCs w:val="24"/>
        </w:rPr>
        <w:t>such as the Mu Ko Chang National Park (Koh Kood), the Ramsar Site (Koh Kra), and the Chumphon Marine National Park</w:t>
      </w:r>
      <w:r w:rsidRPr="00792B36">
        <w:rPr>
          <w:color w:val="000000" w:themeColor="text1"/>
          <w:sz w:val="24"/>
          <w:szCs w:val="24"/>
          <w:cs/>
        </w:rPr>
        <w:t xml:space="preserve"> </w:t>
      </w:r>
      <w:r w:rsidRPr="00792B36">
        <w:rPr>
          <w:color w:val="000000" w:themeColor="text1"/>
          <w:sz w:val="24"/>
          <w:szCs w:val="24"/>
        </w:rPr>
        <w:t>to local conservation frameworks under DMCR’s coastal zoning. Collectively, these areas illustrate Thailand’s integrated approach to marine resource management, combining ecosystem-based conservation, community participation, and sustainable use to enhance marine biodiversity protection, climate resilience, and long-term blue economy development.</w:t>
      </w:r>
      <w:r w:rsidRPr="00792B36">
        <w:rPr>
          <w:color w:val="000000" w:themeColor="text1"/>
          <w:sz w:val="24"/>
          <w:szCs w:val="24"/>
          <w:cs/>
        </w:rPr>
        <w:t xml:space="preserve"> (</w:t>
      </w:r>
      <w:r w:rsidRPr="00792B36">
        <w:rPr>
          <w:color w:val="000000" w:themeColor="text1"/>
          <w:sz w:val="24"/>
          <w:szCs w:val="24"/>
        </w:rPr>
        <w:t>Table 16</w:t>
      </w:r>
      <w:r w:rsidRPr="00792B36">
        <w:rPr>
          <w:color w:val="000000" w:themeColor="text1"/>
          <w:sz w:val="24"/>
          <w:szCs w:val="24"/>
          <w:cs/>
        </w:rPr>
        <w:t>)</w:t>
      </w:r>
    </w:p>
    <w:p w14:paraId="380CDBCF" w14:textId="77777777" w:rsidR="009A0A63" w:rsidRPr="00792B36" w:rsidRDefault="009A0A63" w:rsidP="009A0A63">
      <w:pPr>
        <w:rPr>
          <w:b/>
          <w:bCs/>
          <w:color w:val="000000" w:themeColor="text1"/>
          <w:sz w:val="24"/>
          <w:szCs w:val="24"/>
        </w:rPr>
      </w:pPr>
      <w:r w:rsidRPr="00792B36">
        <w:rPr>
          <w:b/>
          <w:bCs/>
          <w:color w:val="000000" w:themeColor="text1"/>
          <w:sz w:val="24"/>
          <w:szCs w:val="24"/>
        </w:rPr>
        <w:t>Table 16</w:t>
      </w:r>
      <w:r w:rsidRPr="00792B36">
        <w:rPr>
          <w:b/>
          <w:bCs/>
          <w:color w:val="000000" w:themeColor="text1"/>
          <w:sz w:val="24"/>
          <w:szCs w:val="24"/>
          <w:cs/>
        </w:rPr>
        <w:t xml:space="preserve">. </w:t>
      </w:r>
      <w:r w:rsidRPr="00792B36">
        <w:rPr>
          <w:b/>
          <w:bCs/>
          <w:color w:val="000000" w:themeColor="text1"/>
          <w:sz w:val="24"/>
          <w:szCs w:val="24"/>
        </w:rPr>
        <w:t>Coral and seagrass areas in Thailand (Gulf of Thailand)</w:t>
      </w:r>
      <w:r w:rsidRPr="00792B36">
        <w:rPr>
          <w:b/>
          <w:bCs/>
          <w:color w:val="000000" w:themeColor="text1"/>
          <w:sz w:val="24"/>
          <w:szCs w:val="24"/>
          <w:cs/>
        </w:rPr>
        <w:t xml:space="preserve">: </w:t>
      </w:r>
      <w:r w:rsidRPr="00792B36">
        <w:rPr>
          <w:color w:val="000000" w:themeColor="text1"/>
          <w:sz w:val="24"/>
          <w:szCs w:val="24"/>
        </w:rPr>
        <w:t>Social and use information</w:t>
      </w:r>
      <w:r w:rsidRPr="00792B36">
        <w:rPr>
          <w:color w:val="000000" w:themeColor="text1"/>
          <w:sz w:val="24"/>
          <w:szCs w:val="24"/>
          <w:cs/>
        </w:rPr>
        <w:t xml:space="preserve"> </w:t>
      </w:r>
      <w:r w:rsidRPr="00792B36">
        <w:rPr>
          <w:color w:val="000000" w:themeColor="text1"/>
          <w:sz w:val="24"/>
          <w:szCs w:val="24"/>
        </w:rPr>
        <w:t>showing significance</w:t>
      </w:r>
      <w:r w:rsidRPr="00792B36">
        <w:rPr>
          <w:color w:val="000000" w:themeColor="text1"/>
          <w:sz w:val="24"/>
          <w:szCs w:val="24"/>
          <w:cs/>
        </w:rPr>
        <w:t>/</w:t>
      </w:r>
      <w:r w:rsidRPr="00792B36">
        <w:rPr>
          <w:color w:val="000000" w:themeColor="text1"/>
          <w:sz w:val="24"/>
          <w:szCs w:val="24"/>
        </w:rPr>
        <w:t>national importance and protection status</w:t>
      </w:r>
    </w:p>
    <w:tbl>
      <w:tblPr>
        <w:tblStyle w:val="TableGrid"/>
        <w:tblW w:w="5000" w:type="pct"/>
        <w:tblLook w:val="04A0" w:firstRow="1" w:lastRow="0" w:firstColumn="1" w:lastColumn="0" w:noHBand="0" w:noVBand="1"/>
      </w:tblPr>
      <w:tblGrid>
        <w:gridCol w:w="2102"/>
        <w:gridCol w:w="3572"/>
        <w:gridCol w:w="3336"/>
      </w:tblGrid>
      <w:tr w:rsidR="009A0A63" w:rsidRPr="00792B36" w14:paraId="1819701F" w14:textId="77777777" w:rsidTr="00A24459">
        <w:tc>
          <w:tcPr>
            <w:tcW w:w="1167" w:type="pct"/>
            <w:vAlign w:val="center"/>
          </w:tcPr>
          <w:p w14:paraId="60595BAE" w14:textId="77777777" w:rsidR="009A0A63" w:rsidRPr="00792B36" w:rsidRDefault="009A0A63" w:rsidP="00A24459">
            <w:pPr>
              <w:spacing w:before="120" w:after="120"/>
              <w:jc w:val="center"/>
              <w:rPr>
                <w:b/>
                <w:bCs/>
                <w:color w:val="000000" w:themeColor="text1"/>
                <w:sz w:val="24"/>
                <w:szCs w:val="24"/>
              </w:rPr>
            </w:pPr>
            <w:r w:rsidRPr="00792B36">
              <w:rPr>
                <w:b/>
                <w:bCs/>
                <w:color w:val="000000" w:themeColor="text1"/>
                <w:sz w:val="24"/>
                <w:szCs w:val="24"/>
              </w:rPr>
              <w:t>Name of area</w:t>
            </w:r>
          </w:p>
        </w:tc>
        <w:tc>
          <w:tcPr>
            <w:tcW w:w="1982" w:type="pct"/>
            <w:vAlign w:val="center"/>
          </w:tcPr>
          <w:p w14:paraId="5F1F06FD" w14:textId="77777777" w:rsidR="009A0A63" w:rsidRPr="00792B36" w:rsidRDefault="009A0A63" w:rsidP="00A24459">
            <w:pPr>
              <w:spacing w:before="120" w:after="120"/>
              <w:jc w:val="center"/>
              <w:rPr>
                <w:b/>
                <w:bCs/>
                <w:color w:val="000000" w:themeColor="text1"/>
                <w:sz w:val="24"/>
                <w:szCs w:val="24"/>
              </w:rPr>
            </w:pPr>
            <w:r w:rsidRPr="00792B36">
              <w:rPr>
                <w:b/>
                <w:bCs/>
                <w:color w:val="000000" w:themeColor="text1"/>
                <w:sz w:val="24"/>
                <w:szCs w:val="24"/>
              </w:rPr>
              <w:t>Significance</w:t>
            </w:r>
            <w:r w:rsidRPr="00792B36">
              <w:rPr>
                <w:b/>
                <w:bCs/>
                <w:color w:val="000000" w:themeColor="text1"/>
                <w:sz w:val="24"/>
                <w:szCs w:val="24"/>
                <w:cs/>
              </w:rPr>
              <w:t>/</w:t>
            </w:r>
            <w:r w:rsidRPr="00792B36">
              <w:rPr>
                <w:b/>
                <w:bCs/>
                <w:color w:val="000000" w:themeColor="text1"/>
                <w:sz w:val="24"/>
                <w:szCs w:val="24"/>
              </w:rPr>
              <w:t>national importance</w:t>
            </w:r>
          </w:p>
        </w:tc>
        <w:tc>
          <w:tcPr>
            <w:tcW w:w="1851" w:type="pct"/>
            <w:vAlign w:val="center"/>
          </w:tcPr>
          <w:p w14:paraId="445BFD83" w14:textId="77777777" w:rsidR="009A0A63" w:rsidRPr="00792B36" w:rsidRDefault="009A0A63" w:rsidP="00A24459">
            <w:pPr>
              <w:spacing w:before="120" w:after="120"/>
              <w:jc w:val="center"/>
              <w:rPr>
                <w:b/>
                <w:bCs/>
                <w:color w:val="000000" w:themeColor="text1"/>
                <w:sz w:val="24"/>
                <w:szCs w:val="24"/>
              </w:rPr>
            </w:pPr>
            <w:r w:rsidRPr="00792B36">
              <w:rPr>
                <w:b/>
                <w:bCs/>
                <w:color w:val="000000" w:themeColor="text1"/>
                <w:sz w:val="24"/>
                <w:szCs w:val="24"/>
              </w:rPr>
              <w:t>Protection status</w:t>
            </w:r>
          </w:p>
        </w:tc>
      </w:tr>
      <w:tr w:rsidR="009A0A63" w:rsidRPr="00792B36" w14:paraId="3C90BC6F" w14:textId="77777777" w:rsidTr="00A24459">
        <w:tc>
          <w:tcPr>
            <w:tcW w:w="1167" w:type="pct"/>
          </w:tcPr>
          <w:p w14:paraId="22EF0D76" w14:textId="77777777" w:rsidR="009A0A63" w:rsidRPr="00792B36" w:rsidRDefault="009A0A63" w:rsidP="00A24459">
            <w:pPr>
              <w:rPr>
                <w:b/>
                <w:bCs/>
                <w:color w:val="000000" w:themeColor="text1"/>
                <w:sz w:val="24"/>
                <w:szCs w:val="24"/>
              </w:rPr>
            </w:pPr>
            <w:r w:rsidRPr="00792B36">
              <w:rPr>
                <w:b/>
                <w:bCs/>
                <w:color w:val="000000" w:themeColor="text1"/>
                <w:sz w:val="24"/>
                <w:szCs w:val="24"/>
              </w:rPr>
              <w:t xml:space="preserve">CR:1 Koh Si Chang </w:t>
            </w:r>
          </w:p>
        </w:tc>
        <w:tc>
          <w:tcPr>
            <w:tcW w:w="1982" w:type="pct"/>
            <w:vAlign w:val="center"/>
          </w:tcPr>
          <w:p w14:paraId="47E4242F" w14:textId="77777777" w:rsidR="009A0A63" w:rsidRPr="00792B36" w:rsidRDefault="009A0A63" w:rsidP="00A24459">
            <w:pPr>
              <w:rPr>
                <w:color w:val="000000" w:themeColor="text1"/>
                <w:sz w:val="24"/>
                <w:szCs w:val="24"/>
              </w:rPr>
            </w:pPr>
            <w:r w:rsidRPr="00792B36">
              <w:rPr>
                <w:color w:val="000000" w:themeColor="text1"/>
                <w:sz w:val="24"/>
                <w:szCs w:val="24"/>
              </w:rPr>
              <w:t xml:space="preserve">Koh Si Chang holds national significance as a pilot site for </w:t>
            </w:r>
            <w:r w:rsidRPr="00792B36">
              <w:rPr>
                <w:color w:val="000000" w:themeColor="text1"/>
                <w:sz w:val="24"/>
                <w:szCs w:val="24"/>
              </w:rPr>
              <w:lastRenderedPageBreak/>
              <w:t>Marine Spatial Planning (MSP) under Thailand’s coastal and marine management strategy led by the Department of Marine and Coastal Resources (DMCR). It serves as a model for integrating marine zoning, sustainable use, and stakeholder coordination within a complex multi-use area influenced by tourism, fisheries, and nearby industrial development (Laem Chabang Port).</w:t>
            </w:r>
          </w:p>
          <w:p w14:paraId="164D0162" w14:textId="77777777" w:rsidR="009A0A63" w:rsidRPr="00792B36" w:rsidRDefault="009A0A63" w:rsidP="00A24459">
            <w:pPr>
              <w:rPr>
                <w:color w:val="000000" w:themeColor="text1"/>
                <w:sz w:val="24"/>
                <w:szCs w:val="24"/>
              </w:rPr>
            </w:pPr>
            <w:r w:rsidRPr="00792B36">
              <w:rPr>
                <w:color w:val="000000" w:themeColor="text1"/>
                <w:sz w:val="24"/>
                <w:szCs w:val="24"/>
              </w:rPr>
              <w:t>In national and provincial master plans, Koh Si Chang is designated for multi-purpose use, including tourism, transport, fisheries, and environmental conservation, making it a strategic case for balancing economic development with marine ecosystem protection. Its inclusion in Thailand’s MSP framework and coastal management plans underscores its importance as a demonstration site for sustainable coastal governance and resource management in the Gulf of Thailand.</w:t>
            </w:r>
          </w:p>
        </w:tc>
        <w:tc>
          <w:tcPr>
            <w:tcW w:w="1851" w:type="pct"/>
          </w:tcPr>
          <w:p w14:paraId="233ACC11" w14:textId="77777777" w:rsidR="009A0A63" w:rsidRPr="00792B36" w:rsidRDefault="009A0A63" w:rsidP="00A24459">
            <w:pPr>
              <w:rPr>
                <w:color w:val="000000" w:themeColor="text1"/>
                <w:sz w:val="24"/>
                <w:szCs w:val="24"/>
              </w:rPr>
            </w:pPr>
            <w:r w:rsidRPr="00792B36">
              <w:rPr>
                <w:b/>
                <w:bCs/>
                <w:color w:val="000000" w:themeColor="text1"/>
                <w:sz w:val="24"/>
                <w:szCs w:val="24"/>
              </w:rPr>
              <w:lastRenderedPageBreak/>
              <w:t>Status / Protection category:</w:t>
            </w:r>
            <w:r w:rsidRPr="00792B36">
              <w:rPr>
                <w:color w:val="000000" w:themeColor="text1"/>
                <w:sz w:val="24"/>
                <w:szCs w:val="24"/>
              </w:rPr>
              <w:br/>
            </w:r>
            <w:r w:rsidRPr="00792B36">
              <w:rPr>
                <w:color w:val="000000" w:themeColor="text1"/>
                <w:sz w:val="24"/>
                <w:szCs w:val="24"/>
              </w:rPr>
              <w:lastRenderedPageBreak/>
              <w:t xml:space="preserve">Not designated as a National Park or formal MPA. Managed under DMCR coastal-marine measures and used as a pilot area for Marine Spatial Planning (MSP); local protections apply via DMCR regulatory orders. </w:t>
            </w:r>
          </w:p>
          <w:p w14:paraId="21B37C3F" w14:textId="77777777" w:rsidR="009A0A63" w:rsidRPr="00792B36" w:rsidRDefault="009A0A63" w:rsidP="00A24459">
            <w:pPr>
              <w:rPr>
                <w:color w:val="000000" w:themeColor="text1"/>
                <w:sz w:val="24"/>
                <w:szCs w:val="24"/>
              </w:rPr>
            </w:pPr>
            <w:r w:rsidRPr="00792B36">
              <w:rPr>
                <w:b/>
                <w:bCs/>
                <w:color w:val="000000" w:themeColor="text1"/>
                <w:sz w:val="24"/>
                <w:szCs w:val="24"/>
              </w:rPr>
              <w:t>Total area:</w:t>
            </w:r>
            <w:r w:rsidRPr="00792B36">
              <w:rPr>
                <w:color w:val="000000" w:themeColor="text1"/>
                <w:sz w:val="24"/>
                <w:szCs w:val="24"/>
              </w:rPr>
              <w:br/>
              <w:t xml:space="preserve">17.3 km² (Ko Sichang district, incl. main island and adjoining islets). </w:t>
            </w:r>
          </w:p>
          <w:p w14:paraId="7DB24F14" w14:textId="77777777" w:rsidR="009A0A63" w:rsidRPr="00792B36" w:rsidRDefault="009A0A63" w:rsidP="00A24459">
            <w:pPr>
              <w:rPr>
                <w:color w:val="000000" w:themeColor="text1"/>
                <w:sz w:val="24"/>
                <w:szCs w:val="24"/>
              </w:rPr>
            </w:pPr>
          </w:p>
        </w:tc>
      </w:tr>
      <w:tr w:rsidR="009A0A63" w:rsidRPr="00792B36" w14:paraId="4262632F" w14:textId="77777777" w:rsidTr="00A24459">
        <w:tc>
          <w:tcPr>
            <w:tcW w:w="1167" w:type="pct"/>
          </w:tcPr>
          <w:p w14:paraId="1799C611" w14:textId="77777777" w:rsidR="009A0A63" w:rsidRPr="00792B36" w:rsidRDefault="009A0A63" w:rsidP="00A24459">
            <w:pPr>
              <w:rPr>
                <w:b/>
                <w:bCs/>
                <w:color w:val="000000" w:themeColor="text1"/>
                <w:sz w:val="24"/>
                <w:szCs w:val="24"/>
              </w:rPr>
            </w:pPr>
            <w:r w:rsidRPr="00792B36">
              <w:rPr>
                <w:b/>
                <w:bCs/>
                <w:color w:val="000000" w:themeColor="text1"/>
                <w:sz w:val="24"/>
                <w:szCs w:val="24"/>
              </w:rPr>
              <w:lastRenderedPageBreak/>
              <w:t xml:space="preserve">CR:2 Koh Lan </w:t>
            </w:r>
          </w:p>
        </w:tc>
        <w:tc>
          <w:tcPr>
            <w:tcW w:w="1982" w:type="pct"/>
            <w:vAlign w:val="center"/>
          </w:tcPr>
          <w:p w14:paraId="0150488E" w14:textId="77777777" w:rsidR="009A0A63" w:rsidRPr="00792B36" w:rsidRDefault="009A0A63" w:rsidP="00A24459">
            <w:pPr>
              <w:rPr>
                <w:color w:val="000000" w:themeColor="text1"/>
                <w:sz w:val="24"/>
                <w:szCs w:val="24"/>
              </w:rPr>
            </w:pPr>
            <w:r w:rsidRPr="00792B36">
              <w:rPr>
                <w:color w:val="000000" w:themeColor="text1"/>
                <w:sz w:val="24"/>
                <w:szCs w:val="24"/>
              </w:rPr>
              <w:t>Koh Lan is of national and regional importance as part of Thailand’s Eastern Economic Corridor (EEC) coastal zone, identified in national and provincial development plans for tourism and coastal resource management. The island supports large-scale tourism from Pattaya and serves as a key example of balancing economic growth with marine ecosystem protection.</w:t>
            </w:r>
          </w:p>
          <w:p w14:paraId="7FFC22E9" w14:textId="77777777" w:rsidR="009A0A63" w:rsidRPr="00792B36" w:rsidRDefault="009A0A63" w:rsidP="00A24459">
            <w:pPr>
              <w:rPr>
                <w:color w:val="000000" w:themeColor="text1"/>
                <w:sz w:val="24"/>
                <w:szCs w:val="24"/>
              </w:rPr>
            </w:pPr>
            <w:r w:rsidRPr="00792B36">
              <w:rPr>
                <w:color w:val="000000" w:themeColor="text1"/>
                <w:sz w:val="24"/>
                <w:szCs w:val="24"/>
              </w:rPr>
              <w:t xml:space="preserve">In national and provincial master plans, Koh Lan is designated as a high-priority </w:t>
            </w:r>
            <w:r w:rsidRPr="00792B36">
              <w:rPr>
                <w:color w:val="000000" w:themeColor="text1"/>
                <w:sz w:val="24"/>
                <w:szCs w:val="24"/>
              </w:rPr>
              <w:lastRenderedPageBreak/>
              <w:t>tourism and environmental management area under the Chonburi Provincial Coastal Strategy and the Department of Marine and Coastal Resources (DMCR). It is recognized as a sensitive marine zone requiring strict control on wastewater, sedimentation, and coral reef conservation.</w:t>
            </w:r>
          </w:p>
        </w:tc>
        <w:tc>
          <w:tcPr>
            <w:tcW w:w="1851" w:type="pct"/>
          </w:tcPr>
          <w:p w14:paraId="06D42EBF" w14:textId="77777777" w:rsidR="009A0A63" w:rsidRPr="00792B36" w:rsidRDefault="009A0A63" w:rsidP="00A24459">
            <w:pPr>
              <w:rPr>
                <w:color w:val="000000" w:themeColor="text1"/>
                <w:sz w:val="24"/>
                <w:szCs w:val="24"/>
              </w:rPr>
            </w:pPr>
            <w:r w:rsidRPr="00792B36">
              <w:rPr>
                <w:b/>
                <w:bCs/>
                <w:color w:val="000000" w:themeColor="text1"/>
                <w:sz w:val="24"/>
                <w:szCs w:val="24"/>
              </w:rPr>
              <w:lastRenderedPageBreak/>
              <w:t>Status / Protection category:</w:t>
            </w:r>
            <w:r w:rsidRPr="00792B36">
              <w:rPr>
                <w:color w:val="000000" w:themeColor="text1"/>
                <w:sz w:val="24"/>
                <w:szCs w:val="24"/>
              </w:rPr>
              <w:br/>
              <w:t xml:space="preserve">There is no formal Marine Protected Area (MPA) or National Park status covering Koh Lan’s surrounding waters. However, the island’s marine and coastal zones have been identified under national pilot projects for marine spatial planning and protected-area zoning. For example, the island is a case study for MSP by the Department of Marine and Coastal Resources (DMCR). </w:t>
            </w:r>
          </w:p>
          <w:p w14:paraId="15121C32" w14:textId="77777777" w:rsidR="009A0A63" w:rsidRPr="00792B36" w:rsidRDefault="009A0A63" w:rsidP="00A24459">
            <w:pPr>
              <w:rPr>
                <w:color w:val="000000" w:themeColor="text1"/>
                <w:sz w:val="24"/>
                <w:szCs w:val="24"/>
              </w:rPr>
            </w:pPr>
            <w:r w:rsidRPr="00792B36">
              <w:rPr>
                <w:b/>
                <w:bCs/>
                <w:color w:val="000000" w:themeColor="text1"/>
                <w:sz w:val="24"/>
                <w:szCs w:val="24"/>
              </w:rPr>
              <w:lastRenderedPageBreak/>
              <w:t>Total area:</w:t>
            </w:r>
            <w:r w:rsidRPr="00792B36">
              <w:rPr>
                <w:color w:val="000000" w:themeColor="text1"/>
                <w:sz w:val="24"/>
                <w:szCs w:val="24"/>
              </w:rPr>
              <w:br/>
              <w:t>Approximately 5.6 km² (~560 hectares) for the island land area.</w:t>
            </w:r>
          </w:p>
          <w:p w14:paraId="72D07697" w14:textId="77777777" w:rsidR="009A0A63" w:rsidRPr="00792B36" w:rsidRDefault="009A0A63" w:rsidP="00A24459">
            <w:pPr>
              <w:rPr>
                <w:color w:val="000000" w:themeColor="text1"/>
                <w:sz w:val="24"/>
                <w:szCs w:val="24"/>
              </w:rPr>
            </w:pPr>
          </w:p>
        </w:tc>
      </w:tr>
      <w:tr w:rsidR="009A0A63" w:rsidRPr="00792B36" w14:paraId="0807B366" w14:textId="77777777" w:rsidTr="00A24459">
        <w:tc>
          <w:tcPr>
            <w:tcW w:w="1167" w:type="pct"/>
          </w:tcPr>
          <w:p w14:paraId="5383E44E" w14:textId="77777777" w:rsidR="009A0A63" w:rsidRPr="00792B36" w:rsidRDefault="009A0A63" w:rsidP="00A24459">
            <w:pPr>
              <w:rPr>
                <w:b/>
                <w:bCs/>
                <w:color w:val="000000" w:themeColor="text1"/>
                <w:sz w:val="24"/>
                <w:szCs w:val="24"/>
              </w:rPr>
            </w:pPr>
            <w:r w:rsidRPr="00792B36">
              <w:rPr>
                <w:b/>
                <w:bCs/>
                <w:color w:val="000000" w:themeColor="text1"/>
                <w:sz w:val="24"/>
                <w:szCs w:val="24"/>
              </w:rPr>
              <w:lastRenderedPageBreak/>
              <w:t>CR:3 Koh Kood</w:t>
            </w:r>
          </w:p>
        </w:tc>
        <w:tc>
          <w:tcPr>
            <w:tcW w:w="1982" w:type="pct"/>
            <w:vAlign w:val="center"/>
          </w:tcPr>
          <w:p w14:paraId="05DA6333" w14:textId="77777777" w:rsidR="009A0A63" w:rsidRPr="00792B36" w:rsidRDefault="009A0A63" w:rsidP="00A24459">
            <w:pPr>
              <w:rPr>
                <w:color w:val="000000" w:themeColor="text1"/>
                <w:sz w:val="24"/>
                <w:szCs w:val="24"/>
              </w:rPr>
            </w:pPr>
            <w:r w:rsidRPr="00792B36">
              <w:rPr>
                <w:color w:val="000000" w:themeColor="text1"/>
                <w:sz w:val="24"/>
                <w:szCs w:val="24"/>
              </w:rPr>
              <w:t>Koh Kood holds national significance as a key island within Trat Province’s coastal and marine resource management plan and Thailand’s National Marine and Coastal Resources Master Plan. It is identified as a priority site for sustainable tourism development and marine ecosystem conservation, emphasizing the protection of coral reefs, seagrass meadows, and mangroves.</w:t>
            </w:r>
          </w:p>
          <w:p w14:paraId="261C4D5B" w14:textId="77777777" w:rsidR="009A0A63" w:rsidRPr="00792B36" w:rsidRDefault="009A0A63" w:rsidP="00A24459">
            <w:pPr>
              <w:rPr>
                <w:color w:val="000000" w:themeColor="text1"/>
                <w:sz w:val="24"/>
                <w:szCs w:val="24"/>
              </w:rPr>
            </w:pPr>
            <w:r w:rsidRPr="00792B36">
              <w:rPr>
                <w:color w:val="000000" w:themeColor="text1"/>
                <w:sz w:val="24"/>
                <w:szCs w:val="24"/>
              </w:rPr>
              <w:t>The island is included in the Eastern Marine Conservation Network and aligned with national strategies promoting eco-tourism, biodiversity conservation, and blue economy development. Koh Kood’s zoning under the Department of Marine and Coastal Resources (DMCR) designates areas for tourism, small-scale fisheries, and marine conservation, making it a model for balanced, low-impact island management.</w:t>
            </w:r>
          </w:p>
        </w:tc>
        <w:tc>
          <w:tcPr>
            <w:tcW w:w="1851" w:type="pct"/>
          </w:tcPr>
          <w:p w14:paraId="26D06DE2" w14:textId="77777777" w:rsidR="009A0A63" w:rsidRPr="00792B36" w:rsidRDefault="009A0A63" w:rsidP="00A24459">
            <w:pPr>
              <w:rPr>
                <w:color w:val="000000" w:themeColor="text1"/>
                <w:sz w:val="24"/>
                <w:szCs w:val="24"/>
              </w:rPr>
            </w:pPr>
            <w:r w:rsidRPr="00792B36">
              <w:rPr>
                <w:b/>
                <w:bCs/>
                <w:color w:val="000000" w:themeColor="text1"/>
                <w:sz w:val="24"/>
                <w:szCs w:val="24"/>
              </w:rPr>
              <w:t>Status / Protection category:</w:t>
            </w:r>
            <w:r w:rsidRPr="00792B36">
              <w:rPr>
                <w:color w:val="000000" w:themeColor="text1"/>
                <w:sz w:val="24"/>
                <w:szCs w:val="24"/>
              </w:rPr>
              <w:br/>
              <w:t xml:space="preserve">Koh Kood lies within the broader management domain of the Mu Ko Chang National Park region (IUCN Category II) and is subject to oversight by the Department of Marine and Coastal Resources (DMCR). </w:t>
            </w:r>
          </w:p>
          <w:p w14:paraId="25143811" w14:textId="77777777" w:rsidR="009A0A63" w:rsidRPr="00792B36" w:rsidRDefault="009A0A63" w:rsidP="00A24459">
            <w:pPr>
              <w:rPr>
                <w:color w:val="000000" w:themeColor="text1"/>
                <w:sz w:val="24"/>
                <w:szCs w:val="24"/>
              </w:rPr>
            </w:pPr>
            <w:r w:rsidRPr="00792B36">
              <w:rPr>
                <w:b/>
                <w:bCs/>
                <w:color w:val="000000" w:themeColor="text1"/>
                <w:sz w:val="24"/>
                <w:szCs w:val="24"/>
              </w:rPr>
              <w:t>Total area:</w:t>
            </w:r>
            <w:r w:rsidRPr="00792B36">
              <w:rPr>
                <w:color w:val="000000" w:themeColor="text1"/>
                <w:sz w:val="24"/>
                <w:szCs w:val="24"/>
              </w:rPr>
              <w:br/>
              <w:t xml:space="preserve">The island of Koh Kood covers approximately </w:t>
            </w:r>
            <w:r w:rsidRPr="00792B36">
              <w:rPr>
                <w:b/>
                <w:bCs/>
                <w:color w:val="000000" w:themeColor="text1"/>
                <w:sz w:val="24"/>
                <w:szCs w:val="24"/>
              </w:rPr>
              <w:t>~</w:t>
            </w:r>
            <w:r w:rsidRPr="00792B36">
              <w:rPr>
                <w:color w:val="000000" w:themeColor="text1"/>
                <w:sz w:val="24"/>
                <w:szCs w:val="24"/>
              </w:rPr>
              <w:t xml:space="preserve">105 km² (10,500 hectares) (it is Thailand’s 5th-largest island). </w:t>
            </w:r>
          </w:p>
          <w:p w14:paraId="13B7AA29" w14:textId="77777777" w:rsidR="009A0A63" w:rsidRPr="00792B36" w:rsidRDefault="009A0A63" w:rsidP="00A24459">
            <w:pPr>
              <w:rPr>
                <w:color w:val="000000" w:themeColor="text1"/>
                <w:sz w:val="24"/>
                <w:szCs w:val="24"/>
              </w:rPr>
            </w:pPr>
          </w:p>
        </w:tc>
      </w:tr>
      <w:tr w:rsidR="009A0A63" w:rsidRPr="00792B36" w14:paraId="1E6D2E69" w14:textId="77777777" w:rsidTr="00A24459">
        <w:tc>
          <w:tcPr>
            <w:tcW w:w="1167" w:type="pct"/>
          </w:tcPr>
          <w:p w14:paraId="2A7A14FE" w14:textId="77777777" w:rsidR="009A0A63" w:rsidRPr="00792B36" w:rsidRDefault="009A0A63" w:rsidP="00A24459">
            <w:pPr>
              <w:rPr>
                <w:b/>
                <w:bCs/>
                <w:color w:val="000000" w:themeColor="text1"/>
                <w:sz w:val="24"/>
                <w:szCs w:val="24"/>
              </w:rPr>
            </w:pPr>
            <w:r w:rsidRPr="00792B36">
              <w:rPr>
                <w:b/>
                <w:bCs/>
                <w:color w:val="000000" w:themeColor="text1"/>
                <w:sz w:val="24"/>
                <w:szCs w:val="24"/>
              </w:rPr>
              <w:t>CR:4 Koh Mak</w:t>
            </w:r>
          </w:p>
        </w:tc>
        <w:tc>
          <w:tcPr>
            <w:tcW w:w="1982" w:type="pct"/>
            <w:vAlign w:val="center"/>
          </w:tcPr>
          <w:p w14:paraId="28840BF2" w14:textId="77777777" w:rsidR="009A0A63" w:rsidRPr="00792B36" w:rsidRDefault="009A0A63" w:rsidP="00A24459">
            <w:pPr>
              <w:rPr>
                <w:color w:val="000000" w:themeColor="text1"/>
                <w:sz w:val="24"/>
                <w:szCs w:val="24"/>
              </w:rPr>
            </w:pPr>
            <w:r w:rsidRPr="00792B36">
              <w:rPr>
                <w:color w:val="000000" w:themeColor="text1"/>
                <w:sz w:val="24"/>
                <w:szCs w:val="24"/>
              </w:rPr>
              <w:t xml:space="preserve">Koh Mak is nationally recognized as a model for sustainable island development and low-carbon tourism under Thailand’s National Marine and Coastal Resources Master Plan and Trat Province’s Coastal Development Strategy. It has been designated as one of Thailand’s “Low-Carbon and Sustainable Tourism Pilot </w:t>
            </w:r>
            <w:r w:rsidRPr="00792B36">
              <w:rPr>
                <w:color w:val="000000" w:themeColor="text1"/>
                <w:sz w:val="24"/>
                <w:szCs w:val="24"/>
              </w:rPr>
              <w:lastRenderedPageBreak/>
              <w:t>Islands” by the Designated Areas for Sustainable Tourism Administration (DASTA) and supported by the Department of Marine and Coastal Resources (DMCR) for marine conservation.</w:t>
            </w:r>
          </w:p>
          <w:p w14:paraId="6CCB1B2D" w14:textId="77777777" w:rsidR="009A0A63" w:rsidRPr="00792B36" w:rsidRDefault="009A0A63" w:rsidP="00A24459">
            <w:pPr>
              <w:rPr>
                <w:color w:val="000000" w:themeColor="text1"/>
                <w:sz w:val="24"/>
                <w:szCs w:val="24"/>
              </w:rPr>
            </w:pPr>
            <w:r w:rsidRPr="00792B36">
              <w:rPr>
                <w:color w:val="000000" w:themeColor="text1"/>
                <w:sz w:val="24"/>
                <w:szCs w:val="24"/>
              </w:rPr>
              <w:t>The island is part of the Eastern Marine Conservation and Tourism Network, linking conservation efforts across Koh Chang, Koh Kood, and nearby islands. Its land-use and marine zoning emphasize eco-tourism, community participation, and coral reef protection, serving as a national model for integrating tourism with environmental stewardship.</w:t>
            </w:r>
          </w:p>
        </w:tc>
        <w:tc>
          <w:tcPr>
            <w:tcW w:w="1851" w:type="pct"/>
          </w:tcPr>
          <w:p w14:paraId="46DE8C80" w14:textId="77777777" w:rsidR="009A0A63" w:rsidRPr="00792B36" w:rsidRDefault="009A0A63" w:rsidP="00A24459">
            <w:pPr>
              <w:rPr>
                <w:color w:val="000000" w:themeColor="text1"/>
                <w:sz w:val="24"/>
                <w:szCs w:val="24"/>
              </w:rPr>
            </w:pPr>
            <w:r w:rsidRPr="00792B36">
              <w:rPr>
                <w:b/>
                <w:bCs/>
                <w:color w:val="000000" w:themeColor="text1"/>
                <w:sz w:val="24"/>
                <w:szCs w:val="24"/>
              </w:rPr>
              <w:lastRenderedPageBreak/>
              <w:t>Status / Protection category:</w:t>
            </w:r>
            <w:r w:rsidRPr="00792B36">
              <w:rPr>
                <w:color w:val="000000" w:themeColor="text1"/>
                <w:sz w:val="24"/>
                <w:szCs w:val="24"/>
              </w:rPr>
              <w:br/>
              <w:t xml:space="preserve">Koh Mak is not designated as a formal Marine Protected Area (MPA) or National Park. Instead, it is managed under local sustainable tourism and conservation initiatives, including community-based low-carbon island programmes and the </w:t>
            </w:r>
            <w:r w:rsidRPr="00792B36">
              <w:rPr>
                <w:color w:val="000000" w:themeColor="text1"/>
                <w:sz w:val="24"/>
                <w:szCs w:val="24"/>
              </w:rPr>
              <w:lastRenderedPageBreak/>
              <w:t xml:space="preserve">oversight of the Department of Marine and Coastal Resources (DMCR). </w:t>
            </w:r>
          </w:p>
          <w:p w14:paraId="62C0EDC7" w14:textId="77777777" w:rsidR="009A0A63" w:rsidRPr="00792B36" w:rsidRDefault="009A0A63" w:rsidP="00A24459">
            <w:pPr>
              <w:rPr>
                <w:color w:val="000000" w:themeColor="text1"/>
                <w:sz w:val="24"/>
                <w:szCs w:val="24"/>
              </w:rPr>
            </w:pPr>
            <w:r w:rsidRPr="00792B36">
              <w:rPr>
                <w:b/>
                <w:bCs/>
                <w:color w:val="000000" w:themeColor="text1"/>
                <w:sz w:val="24"/>
                <w:szCs w:val="24"/>
              </w:rPr>
              <w:t>Total area:</w:t>
            </w:r>
            <w:r w:rsidRPr="00792B36">
              <w:rPr>
                <w:color w:val="000000" w:themeColor="text1"/>
                <w:sz w:val="24"/>
                <w:szCs w:val="24"/>
              </w:rPr>
              <w:br/>
              <w:t>The island covers approximately 12.3 km² (~1,230 hectares) according to marine tourism/ecotourism sources.</w:t>
            </w:r>
          </w:p>
          <w:p w14:paraId="1E6EDEFC" w14:textId="77777777" w:rsidR="009A0A63" w:rsidRPr="00792B36" w:rsidRDefault="009A0A63" w:rsidP="00A24459">
            <w:pPr>
              <w:rPr>
                <w:color w:val="000000" w:themeColor="text1"/>
                <w:sz w:val="24"/>
                <w:szCs w:val="24"/>
              </w:rPr>
            </w:pPr>
          </w:p>
        </w:tc>
      </w:tr>
      <w:tr w:rsidR="009A0A63" w:rsidRPr="00792B36" w14:paraId="040D1F10" w14:textId="77777777" w:rsidTr="00A24459">
        <w:tc>
          <w:tcPr>
            <w:tcW w:w="1167" w:type="pct"/>
          </w:tcPr>
          <w:p w14:paraId="5D9A22D9" w14:textId="77777777" w:rsidR="009A0A63" w:rsidRPr="00792B36" w:rsidRDefault="009A0A63" w:rsidP="00A24459">
            <w:pPr>
              <w:rPr>
                <w:b/>
                <w:bCs/>
                <w:color w:val="000000" w:themeColor="text1"/>
                <w:sz w:val="24"/>
                <w:szCs w:val="24"/>
              </w:rPr>
            </w:pPr>
            <w:r w:rsidRPr="00792B36">
              <w:rPr>
                <w:b/>
                <w:bCs/>
                <w:color w:val="000000" w:themeColor="text1"/>
                <w:sz w:val="24"/>
                <w:szCs w:val="24"/>
              </w:rPr>
              <w:lastRenderedPageBreak/>
              <w:t>CR:5 Koh Tao</w:t>
            </w:r>
          </w:p>
        </w:tc>
        <w:tc>
          <w:tcPr>
            <w:tcW w:w="1982" w:type="pct"/>
            <w:vAlign w:val="center"/>
          </w:tcPr>
          <w:p w14:paraId="7D37BB37" w14:textId="77777777" w:rsidR="009A0A63" w:rsidRPr="00792B36" w:rsidRDefault="009A0A63" w:rsidP="00A24459">
            <w:pPr>
              <w:rPr>
                <w:color w:val="000000" w:themeColor="text1"/>
                <w:sz w:val="24"/>
                <w:szCs w:val="24"/>
              </w:rPr>
            </w:pPr>
            <w:r w:rsidRPr="00792B36">
              <w:rPr>
                <w:color w:val="000000" w:themeColor="text1"/>
                <w:sz w:val="24"/>
                <w:szCs w:val="24"/>
              </w:rPr>
              <w:t>Koh Tao holds national significance as one of Thailand’s premier marine eco-tourism and coral reef conservation sites. It is recognized in the National Marine and Coastal Resources Master Plan and Surat Thani Province’s Coastal Development Strategy as a key area for sustainable tourism, coral reef restoration, and community-based resource management.</w:t>
            </w:r>
          </w:p>
          <w:p w14:paraId="5E162BC2" w14:textId="77777777" w:rsidR="009A0A63" w:rsidRPr="00792B36" w:rsidRDefault="009A0A63" w:rsidP="00A24459">
            <w:pPr>
              <w:rPr>
                <w:color w:val="000000" w:themeColor="text1"/>
                <w:sz w:val="24"/>
                <w:szCs w:val="24"/>
              </w:rPr>
            </w:pPr>
            <w:r w:rsidRPr="00792B36">
              <w:rPr>
                <w:color w:val="000000" w:themeColor="text1"/>
                <w:sz w:val="24"/>
                <w:szCs w:val="24"/>
              </w:rPr>
              <w:t>The island contributes significantly to Thailand’s blue economy and eco-tourism sector, being one of the country’s most important dive tourism destinations and a model for local participation in marine conservation. It also supports national biodiversity and climate goals through coral reef rehabilitation and environmental education programs under the Department of Marine and Coastal Resources (DMCR).</w:t>
            </w:r>
          </w:p>
        </w:tc>
        <w:tc>
          <w:tcPr>
            <w:tcW w:w="1851" w:type="pct"/>
          </w:tcPr>
          <w:p w14:paraId="13999835" w14:textId="77777777" w:rsidR="009A0A63" w:rsidRPr="00792B36" w:rsidRDefault="009A0A63" w:rsidP="00A24459">
            <w:pPr>
              <w:rPr>
                <w:color w:val="000000" w:themeColor="text1"/>
                <w:sz w:val="24"/>
                <w:szCs w:val="24"/>
              </w:rPr>
            </w:pPr>
            <w:r w:rsidRPr="00792B36">
              <w:rPr>
                <w:b/>
                <w:bCs/>
                <w:color w:val="000000" w:themeColor="text1"/>
                <w:sz w:val="24"/>
                <w:szCs w:val="24"/>
              </w:rPr>
              <w:t>Status / Protection category:</w:t>
            </w:r>
            <w:r w:rsidRPr="00792B36">
              <w:rPr>
                <w:color w:val="000000" w:themeColor="text1"/>
                <w:sz w:val="24"/>
                <w:szCs w:val="24"/>
              </w:rPr>
              <w:br/>
              <w:t xml:space="preserve">Koh Tao is </w:t>
            </w:r>
            <w:r w:rsidRPr="00792B36">
              <w:rPr>
                <w:i/>
                <w:iCs/>
                <w:color w:val="000000" w:themeColor="text1"/>
                <w:sz w:val="24"/>
                <w:szCs w:val="24"/>
              </w:rPr>
              <w:t>not</w:t>
            </w:r>
            <w:r w:rsidRPr="00792B36">
              <w:rPr>
                <w:color w:val="000000" w:themeColor="text1"/>
                <w:sz w:val="24"/>
                <w:szCs w:val="24"/>
              </w:rPr>
              <w:t xml:space="preserve"> formally designated as a national park or full MPA. However, there is a </w:t>
            </w:r>
            <w:r w:rsidRPr="00792B36">
              <w:rPr>
                <w:b/>
                <w:bCs/>
                <w:color w:val="000000" w:themeColor="text1"/>
                <w:sz w:val="24"/>
                <w:szCs w:val="24"/>
              </w:rPr>
              <w:t>local marine zoning plan</w:t>
            </w:r>
            <w:r w:rsidRPr="00792B36">
              <w:rPr>
                <w:color w:val="000000" w:themeColor="text1"/>
                <w:sz w:val="24"/>
                <w:szCs w:val="24"/>
              </w:rPr>
              <w:t xml:space="preserve"> and </w:t>
            </w:r>
            <w:r w:rsidRPr="00792B36">
              <w:rPr>
                <w:b/>
                <w:bCs/>
                <w:color w:val="000000" w:themeColor="text1"/>
                <w:sz w:val="24"/>
                <w:szCs w:val="24"/>
              </w:rPr>
              <w:t>conservation regulations</w:t>
            </w:r>
            <w:r w:rsidRPr="00792B36">
              <w:rPr>
                <w:color w:val="000000" w:themeColor="text1"/>
                <w:sz w:val="24"/>
                <w:szCs w:val="24"/>
              </w:rPr>
              <w:t xml:space="preserve"> applied under the Department of Marine and Coastal Resources (DMCR) and local municipality. </w:t>
            </w:r>
          </w:p>
          <w:p w14:paraId="0670DDDB" w14:textId="77777777" w:rsidR="009A0A63" w:rsidRPr="00792B36" w:rsidRDefault="009A0A63" w:rsidP="00A24459">
            <w:pPr>
              <w:rPr>
                <w:color w:val="000000" w:themeColor="text1"/>
                <w:sz w:val="24"/>
                <w:szCs w:val="24"/>
              </w:rPr>
            </w:pPr>
            <w:r w:rsidRPr="00792B36">
              <w:rPr>
                <w:b/>
                <w:bCs/>
                <w:color w:val="000000" w:themeColor="text1"/>
                <w:sz w:val="24"/>
                <w:szCs w:val="24"/>
              </w:rPr>
              <w:t>Total area:</w:t>
            </w:r>
            <w:r w:rsidRPr="00792B36">
              <w:rPr>
                <w:color w:val="000000" w:themeColor="text1"/>
                <w:sz w:val="24"/>
                <w:szCs w:val="24"/>
              </w:rPr>
              <w:br/>
              <w:t xml:space="preserve">The island covers approximately 21 km² (~2,100 hectares). </w:t>
            </w:r>
          </w:p>
          <w:p w14:paraId="32FBE1AB" w14:textId="77777777" w:rsidR="009A0A63" w:rsidRPr="00792B36" w:rsidRDefault="009A0A63" w:rsidP="00A24459">
            <w:pPr>
              <w:rPr>
                <w:color w:val="000000" w:themeColor="text1"/>
                <w:sz w:val="24"/>
                <w:szCs w:val="24"/>
              </w:rPr>
            </w:pPr>
          </w:p>
        </w:tc>
      </w:tr>
      <w:tr w:rsidR="009A0A63" w:rsidRPr="00792B36" w14:paraId="2D626F23" w14:textId="77777777" w:rsidTr="00A24459">
        <w:tc>
          <w:tcPr>
            <w:tcW w:w="1167" w:type="pct"/>
          </w:tcPr>
          <w:p w14:paraId="066D564C" w14:textId="77777777" w:rsidR="009A0A63" w:rsidRPr="00792B36" w:rsidRDefault="009A0A63" w:rsidP="00A24459">
            <w:pPr>
              <w:rPr>
                <w:b/>
                <w:bCs/>
                <w:color w:val="000000" w:themeColor="text1"/>
                <w:sz w:val="24"/>
                <w:szCs w:val="24"/>
              </w:rPr>
            </w:pPr>
            <w:r w:rsidRPr="00792B36">
              <w:rPr>
                <w:b/>
                <w:bCs/>
                <w:color w:val="000000" w:themeColor="text1"/>
                <w:sz w:val="24"/>
                <w:szCs w:val="24"/>
              </w:rPr>
              <w:t>CR:6 Koh Kra</w:t>
            </w:r>
          </w:p>
        </w:tc>
        <w:tc>
          <w:tcPr>
            <w:tcW w:w="1982" w:type="pct"/>
            <w:vAlign w:val="center"/>
          </w:tcPr>
          <w:p w14:paraId="2B945EE7" w14:textId="77777777" w:rsidR="009A0A63" w:rsidRPr="00792B36" w:rsidRDefault="009A0A63" w:rsidP="00A24459">
            <w:pPr>
              <w:rPr>
                <w:color w:val="000000" w:themeColor="text1"/>
                <w:sz w:val="24"/>
                <w:szCs w:val="24"/>
              </w:rPr>
            </w:pPr>
            <w:r w:rsidRPr="00792B36">
              <w:rPr>
                <w:color w:val="000000" w:themeColor="text1"/>
                <w:sz w:val="24"/>
                <w:szCs w:val="24"/>
              </w:rPr>
              <w:t xml:space="preserve">Koh Kra is nationally important </w:t>
            </w:r>
            <w:r w:rsidRPr="00792B36">
              <w:rPr>
                <w:color w:val="000000" w:themeColor="text1"/>
                <w:sz w:val="24"/>
                <w:szCs w:val="24"/>
              </w:rPr>
              <w:lastRenderedPageBreak/>
              <w:t>as a high-value conservation site, recognized under Thailand’s marine policy frameworks for its exceptional coral reef ecosystems and low</w:t>
            </w:r>
            <w:r w:rsidRPr="00792B36">
              <w:rPr>
                <w:rFonts w:ascii="Cambria Math" w:hAnsi="Cambria Math" w:cs="Cambria Math"/>
                <w:color w:val="000000" w:themeColor="text1"/>
                <w:sz w:val="24"/>
                <w:szCs w:val="24"/>
              </w:rPr>
              <w:t>‐</w:t>
            </w:r>
            <w:r w:rsidRPr="00792B36">
              <w:rPr>
                <w:color w:val="000000" w:themeColor="text1"/>
                <w:sz w:val="24"/>
                <w:szCs w:val="24"/>
              </w:rPr>
              <w:t>impact human use. It is integrated into national priorities via:</w:t>
            </w:r>
          </w:p>
          <w:p w14:paraId="76098DB8" w14:textId="77777777" w:rsidR="009A0A63" w:rsidRPr="00792B36" w:rsidRDefault="009A0A63" w:rsidP="00F61B37">
            <w:pPr>
              <w:widowControl/>
              <w:numPr>
                <w:ilvl w:val="0"/>
                <w:numId w:val="109"/>
              </w:numPr>
              <w:rPr>
                <w:color w:val="000000" w:themeColor="text1"/>
                <w:sz w:val="24"/>
                <w:szCs w:val="24"/>
              </w:rPr>
            </w:pPr>
            <w:r w:rsidRPr="00792B36">
              <w:rPr>
                <w:color w:val="000000" w:themeColor="text1"/>
                <w:sz w:val="24"/>
                <w:szCs w:val="24"/>
              </w:rPr>
              <w:t>Formal designation as a strict marine conservation zone, managed by the Department of Marine and Coastal Resources (DMCR) and the Royal Thai Navy, which underscores its role in national biodiversity protection and reef resilience.</w:t>
            </w:r>
          </w:p>
          <w:p w14:paraId="678EC8D2" w14:textId="77777777" w:rsidR="009A0A63" w:rsidRPr="00792B36" w:rsidRDefault="009A0A63" w:rsidP="00F61B37">
            <w:pPr>
              <w:widowControl/>
              <w:numPr>
                <w:ilvl w:val="0"/>
                <w:numId w:val="109"/>
              </w:numPr>
              <w:rPr>
                <w:color w:val="000000" w:themeColor="text1"/>
                <w:sz w:val="24"/>
                <w:szCs w:val="24"/>
              </w:rPr>
            </w:pPr>
            <w:r w:rsidRPr="00792B36">
              <w:rPr>
                <w:color w:val="000000" w:themeColor="text1"/>
                <w:sz w:val="24"/>
                <w:szCs w:val="24"/>
              </w:rPr>
              <w:t>Serving as a reference site for coral reef health in the Gulf of Thailand, allowing national monitoring of coral ecosystem status away from intense coastal development.</w:t>
            </w:r>
          </w:p>
          <w:p w14:paraId="6BBB1F97" w14:textId="77777777" w:rsidR="009A0A63" w:rsidRPr="00792B36" w:rsidRDefault="009A0A63" w:rsidP="00F61B37">
            <w:pPr>
              <w:widowControl/>
              <w:numPr>
                <w:ilvl w:val="0"/>
                <w:numId w:val="109"/>
              </w:numPr>
              <w:rPr>
                <w:color w:val="000000" w:themeColor="text1"/>
                <w:sz w:val="24"/>
                <w:szCs w:val="24"/>
              </w:rPr>
            </w:pPr>
            <w:r w:rsidRPr="00792B36">
              <w:rPr>
                <w:color w:val="000000" w:themeColor="text1"/>
                <w:sz w:val="24"/>
                <w:szCs w:val="24"/>
              </w:rPr>
              <w:t>Being part of Thailand’s blue-economy and coastal management vision, highlighting the value of offshore, low-impact islands for conservation and marine habitat integrity.</w:t>
            </w:r>
          </w:p>
        </w:tc>
        <w:tc>
          <w:tcPr>
            <w:tcW w:w="1851" w:type="pct"/>
          </w:tcPr>
          <w:p w14:paraId="04B7D500" w14:textId="77777777" w:rsidR="009A0A63" w:rsidRPr="00792B36" w:rsidRDefault="009A0A63" w:rsidP="00A24459">
            <w:pPr>
              <w:rPr>
                <w:color w:val="000000" w:themeColor="text1"/>
                <w:sz w:val="24"/>
                <w:szCs w:val="24"/>
              </w:rPr>
            </w:pPr>
            <w:r w:rsidRPr="00792B36">
              <w:rPr>
                <w:b/>
                <w:bCs/>
                <w:color w:val="000000" w:themeColor="text1"/>
                <w:sz w:val="24"/>
                <w:szCs w:val="24"/>
              </w:rPr>
              <w:lastRenderedPageBreak/>
              <w:t xml:space="preserve">Status / Protection </w:t>
            </w:r>
            <w:r w:rsidRPr="00792B36">
              <w:rPr>
                <w:b/>
                <w:bCs/>
                <w:color w:val="000000" w:themeColor="text1"/>
                <w:sz w:val="24"/>
                <w:szCs w:val="24"/>
              </w:rPr>
              <w:lastRenderedPageBreak/>
              <w:t>category:</w:t>
            </w:r>
            <w:r w:rsidRPr="00792B36">
              <w:rPr>
                <w:color w:val="000000" w:themeColor="text1"/>
                <w:sz w:val="24"/>
                <w:szCs w:val="24"/>
              </w:rPr>
              <w:br/>
              <w:t xml:space="preserve">The Koh Kra Archipelago is designated as a Ramsar site (Wetland of International Importance) since 12 August 2013. It is also managed as a marine conservation zone under the oversight of the Department of Marine and Coastal Resources (DMCR) and the Royal Thai Navy, with strict regulations on fishing and access. </w:t>
            </w:r>
          </w:p>
          <w:p w14:paraId="1B731F1E" w14:textId="77777777" w:rsidR="009A0A63" w:rsidRPr="00792B36" w:rsidRDefault="009A0A63" w:rsidP="00A24459">
            <w:pPr>
              <w:rPr>
                <w:color w:val="000000" w:themeColor="text1"/>
                <w:sz w:val="24"/>
                <w:szCs w:val="24"/>
              </w:rPr>
            </w:pPr>
            <w:r w:rsidRPr="00792B36">
              <w:rPr>
                <w:b/>
                <w:bCs/>
                <w:color w:val="000000" w:themeColor="text1"/>
                <w:sz w:val="24"/>
                <w:szCs w:val="24"/>
              </w:rPr>
              <w:t>Total area:</w:t>
            </w:r>
            <w:r w:rsidRPr="00792B36">
              <w:rPr>
                <w:color w:val="000000" w:themeColor="text1"/>
                <w:sz w:val="24"/>
                <w:szCs w:val="24"/>
              </w:rPr>
              <w:br/>
              <w:t xml:space="preserve">The official Ramsar site area is 374 hectares for the Koh Kra Archipelago. </w:t>
            </w:r>
          </w:p>
          <w:p w14:paraId="2A7D8BA1" w14:textId="77777777" w:rsidR="009A0A63" w:rsidRPr="00792B36" w:rsidRDefault="009A0A63" w:rsidP="00A24459">
            <w:pPr>
              <w:rPr>
                <w:color w:val="000000" w:themeColor="text1"/>
                <w:sz w:val="24"/>
                <w:szCs w:val="24"/>
              </w:rPr>
            </w:pPr>
          </w:p>
        </w:tc>
      </w:tr>
      <w:tr w:rsidR="009A0A63" w:rsidRPr="00792B36" w14:paraId="34212FC1" w14:textId="77777777" w:rsidTr="00A24459">
        <w:tc>
          <w:tcPr>
            <w:tcW w:w="1167" w:type="pct"/>
          </w:tcPr>
          <w:p w14:paraId="344E6EC7" w14:textId="77777777" w:rsidR="009A0A63" w:rsidRPr="00792B36" w:rsidRDefault="009A0A63" w:rsidP="00A24459">
            <w:pPr>
              <w:rPr>
                <w:b/>
                <w:bCs/>
                <w:color w:val="000000" w:themeColor="text1"/>
                <w:sz w:val="24"/>
                <w:szCs w:val="24"/>
              </w:rPr>
            </w:pPr>
            <w:r w:rsidRPr="00792B36">
              <w:rPr>
                <w:b/>
                <w:bCs/>
                <w:color w:val="000000" w:themeColor="text1"/>
                <w:sz w:val="24"/>
                <w:szCs w:val="24"/>
              </w:rPr>
              <w:lastRenderedPageBreak/>
              <w:t>CR:7 Koh Losin</w:t>
            </w:r>
          </w:p>
        </w:tc>
        <w:tc>
          <w:tcPr>
            <w:tcW w:w="1982" w:type="pct"/>
            <w:vAlign w:val="center"/>
          </w:tcPr>
          <w:p w14:paraId="3FFC92B2" w14:textId="77777777" w:rsidR="009A0A63" w:rsidRPr="00792B36" w:rsidRDefault="009A0A63" w:rsidP="00A24459">
            <w:pPr>
              <w:rPr>
                <w:color w:val="000000" w:themeColor="text1"/>
                <w:sz w:val="24"/>
                <w:szCs w:val="24"/>
              </w:rPr>
            </w:pPr>
            <w:r w:rsidRPr="00792B36">
              <w:rPr>
                <w:color w:val="000000" w:themeColor="text1"/>
                <w:sz w:val="24"/>
                <w:szCs w:val="24"/>
              </w:rPr>
              <w:t xml:space="preserve">Koh Losin holds national significance as one of Thailand’s most pristine offshore coral reef ecosystems and a priority marine conservation site under the Department of Marine and Coastal Resources (DMCR) and the Royal Thai Navy. It serves as a national reference site for coral reef health and biodiversity monitoring in the southern Gulf of Thailand, representing nearly </w:t>
            </w:r>
            <w:r w:rsidRPr="00792B36">
              <w:rPr>
                <w:color w:val="000000" w:themeColor="text1"/>
                <w:sz w:val="24"/>
                <w:szCs w:val="24"/>
              </w:rPr>
              <w:lastRenderedPageBreak/>
              <w:t>undisturbed marine conditions.</w:t>
            </w:r>
          </w:p>
          <w:p w14:paraId="57949EAA" w14:textId="77777777" w:rsidR="009A0A63" w:rsidRPr="00792B36" w:rsidRDefault="009A0A63" w:rsidP="00A24459">
            <w:pPr>
              <w:rPr>
                <w:color w:val="000000" w:themeColor="text1"/>
                <w:sz w:val="24"/>
                <w:szCs w:val="24"/>
              </w:rPr>
            </w:pPr>
            <w:r w:rsidRPr="00792B36">
              <w:rPr>
                <w:color w:val="000000" w:themeColor="text1"/>
                <w:sz w:val="24"/>
                <w:szCs w:val="24"/>
              </w:rPr>
              <w:t>The area is recognized in the National Marine and Coastal Resources Master Plan as a strict conservation zone due to its high coral cover (50–80%), excellent water clarity, and ecological role as a habitat for reef fish, pelagic species, and coral reef regeneration. Its remoteness and protection status make it an important site for scientific research, biodiversity assessment, and climate change monitoring.</w:t>
            </w:r>
          </w:p>
        </w:tc>
        <w:tc>
          <w:tcPr>
            <w:tcW w:w="1851" w:type="pct"/>
          </w:tcPr>
          <w:p w14:paraId="7B97BE17" w14:textId="77777777" w:rsidR="009A0A63" w:rsidRPr="00792B36" w:rsidRDefault="009A0A63" w:rsidP="00A24459">
            <w:pPr>
              <w:rPr>
                <w:color w:val="000000" w:themeColor="text1"/>
                <w:sz w:val="24"/>
                <w:szCs w:val="24"/>
              </w:rPr>
            </w:pPr>
            <w:r w:rsidRPr="00792B36">
              <w:rPr>
                <w:b/>
                <w:bCs/>
                <w:color w:val="000000" w:themeColor="text1"/>
                <w:sz w:val="24"/>
                <w:szCs w:val="24"/>
              </w:rPr>
              <w:lastRenderedPageBreak/>
              <w:t>Status / Protection category:</w:t>
            </w:r>
            <w:r w:rsidRPr="00792B36">
              <w:rPr>
                <w:color w:val="000000" w:themeColor="text1"/>
                <w:sz w:val="24"/>
                <w:szCs w:val="24"/>
              </w:rPr>
              <w:t xml:space="preserve"> The Thai government has approved a draft ministerial regulation to declare Koh Losin (in Panare District, Pattani Province) a “Marine and Coastal Resources Protected Area” under the Marine and Coastal Resources Management Act B.E. 2558. </w:t>
            </w:r>
          </w:p>
          <w:p w14:paraId="07646C80" w14:textId="77777777" w:rsidR="009A0A63" w:rsidRPr="00792B36" w:rsidRDefault="009A0A63" w:rsidP="00A24459">
            <w:pPr>
              <w:rPr>
                <w:color w:val="000000" w:themeColor="text1"/>
                <w:sz w:val="24"/>
                <w:szCs w:val="24"/>
              </w:rPr>
            </w:pPr>
            <w:r w:rsidRPr="00792B36">
              <w:rPr>
                <w:b/>
                <w:bCs/>
                <w:color w:val="000000" w:themeColor="text1"/>
                <w:sz w:val="24"/>
                <w:szCs w:val="24"/>
              </w:rPr>
              <w:t>Total area:</w:t>
            </w:r>
            <w:r w:rsidRPr="00792B36">
              <w:rPr>
                <w:color w:val="000000" w:themeColor="text1"/>
                <w:sz w:val="24"/>
                <w:szCs w:val="24"/>
              </w:rPr>
              <w:t xml:space="preserve"> A precise total area (land + marine) for the formal protected zone is not </w:t>
            </w:r>
            <w:r w:rsidRPr="00792B36">
              <w:rPr>
                <w:color w:val="000000" w:themeColor="text1"/>
                <w:sz w:val="24"/>
                <w:szCs w:val="24"/>
              </w:rPr>
              <w:lastRenderedPageBreak/>
              <w:t xml:space="preserve">yet published. Koh Losin itself is extremely small (above-water rock ~100 m²) and the surrounding reef area extends offshore. </w:t>
            </w:r>
          </w:p>
          <w:p w14:paraId="32A30C72" w14:textId="77777777" w:rsidR="009A0A63" w:rsidRPr="00792B36" w:rsidRDefault="009A0A63" w:rsidP="00A24459">
            <w:pPr>
              <w:rPr>
                <w:color w:val="000000" w:themeColor="text1"/>
                <w:sz w:val="24"/>
                <w:szCs w:val="24"/>
              </w:rPr>
            </w:pPr>
          </w:p>
        </w:tc>
      </w:tr>
      <w:tr w:rsidR="009A0A63" w:rsidRPr="00792B36" w14:paraId="4BB5423E" w14:textId="77777777" w:rsidTr="00A24459">
        <w:tc>
          <w:tcPr>
            <w:tcW w:w="1167" w:type="pct"/>
          </w:tcPr>
          <w:p w14:paraId="7831DDBF" w14:textId="77777777" w:rsidR="009A0A63" w:rsidRPr="00792B36" w:rsidRDefault="009A0A63" w:rsidP="00A24459">
            <w:pPr>
              <w:rPr>
                <w:b/>
                <w:bCs/>
                <w:color w:val="000000" w:themeColor="text1"/>
                <w:sz w:val="24"/>
                <w:szCs w:val="24"/>
              </w:rPr>
            </w:pPr>
            <w:r w:rsidRPr="00792B36">
              <w:rPr>
                <w:b/>
                <w:bCs/>
                <w:color w:val="000000" w:themeColor="text1"/>
                <w:sz w:val="24"/>
                <w:szCs w:val="24"/>
              </w:rPr>
              <w:lastRenderedPageBreak/>
              <w:t>CR:8 Underwater pinnacle Chumphon Province</w:t>
            </w:r>
          </w:p>
        </w:tc>
        <w:tc>
          <w:tcPr>
            <w:tcW w:w="1982" w:type="pct"/>
            <w:vAlign w:val="center"/>
          </w:tcPr>
          <w:p w14:paraId="2C14D20A" w14:textId="77777777" w:rsidR="009A0A63" w:rsidRPr="00792B36" w:rsidRDefault="009A0A63" w:rsidP="00A24459">
            <w:pPr>
              <w:rPr>
                <w:color w:val="000000" w:themeColor="text1"/>
                <w:sz w:val="24"/>
                <w:szCs w:val="24"/>
              </w:rPr>
            </w:pPr>
            <w:r w:rsidRPr="00792B36">
              <w:rPr>
                <w:color w:val="000000" w:themeColor="text1"/>
                <w:sz w:val="24"/>
                <w:szCs w:val="24"/>
              </w:rPr>
              <w:t>The underwater pinnacles in Chumphon Province hold national significance as part of Thailand’s Marine Protected Area (MPA) network and are managed under the Chumphon Marine National Park by the Department of National Parks (DNP) and the Department of Marine and Coastal Resources (DMCR). These sites represent some of the most biologically diverse coral reef ecosystems in the Gulf of Thailand.</w:t>
            </w:r>
          </w:p>
          <w:p w14:paraId="35CA8175" w14:textId="77777777" w:rsidR="009A0A63" w:rsidRPr="00792B36" w:rsidRDefault="009A0A63" w:rsidP="00A24459">
            <w:pPr>
              <w:rPr>
                <w:color w:val="000000" w:themeColor="text1"/>
                <w:sz w:val="24"/>
                <w:szCs w:val="24"/>
              </w:rPr>
            </w:pPr>
            <w:r w:rsidRPr="00792B36">
              <w:rPr>
                <w:color w:val="000000" w:themeColor="text1"/>
                <w:sz w:val="24"/>
                <w:szCs w:val="24"/>
              </w:rPr>
              <w:t>In Thailand’s National Marine and Coastal Resources Master Plan, the area is recognized for its dual importance:</w:t>
            </w:r>
          </w:p>
          <w:p w14:paraId="34D52558" w14:textId="77777777" w:rsidR="009A0A63" w:rsidRPr="00792B36" w:rsidRDefault="009A0A63" w:rsidP="00F61B37">
            <w:pPr>
              <w:widowControl/>
              <w:numPr>
                <w:ilvl w:val="0"/>
                <w:numId w:val="110"/>
              </w:numPr>
              <w:rPr>
                <w:color w:val="000000" w:themeColor="text1"/>
                <w:sz w:val="24"/>
                <w:szCs w:val="24"/>
              </w:rPr>
            </w:pPr>
            <w:r w:rsidRPr="00792B36">
              <w:rPr>
                <w:color w:val="000000" w:themeColor="text1"/>
                <w:sz w:val="24"/>
                <w:szCs w:val="24"/>
              </w:rPr>
              <w:t>Ecological value, serving as a key coral reef biodiversity hotspot and fish spawning ground.</w:t>
            </w:r>
          </w:p>
          <w:p w14:paraId="70067184" w14:textId="77777777" w:rsidR="009A0A63" w:rsidRPr="00792B36" w:rsidRDefault="009A0A63" w:rsidP="00F61B37">
            <w:pPr>
              <w:widowControl/>
              <w:numPr>
                <w:ilvl w:val="0"/>
                <w:numId w:val="110"/>
              </w:numPr>
              <w:rPr>
                <w:color w:val="000000" w:themeColor="text1"/>
                <w:sz w:val="24"/>
                <w:szCs w:val="24"/>
              </w:rPr>
            </w:pPr>
            <w:r w:rsidRPr="00792B36">
              <w:rPr>
                <w:color w:val="000000" w:themeColor="text1"/>
                <w:sz w:val="24"/>
                <w:szCs w:val="24"/>
              </w:rPr>
              <w:t>Economic value, as a leading eco-dive tourism destination supporting sustainable livelihoods and regional blue economy growth.</w:t>
            </w:r>
          </w:p>
          <w:p w14:paraId="423DB8E8" w14:textId="77777777" w:rsidR="009A0A63" w:rsidRPr="00792B36" w:rsidRDefault="009A0A63" w:rsidP="00A24459">
            <w:pPr>
              <w:rPr>
                <w:color w:val="000000" w:themeColor="text1"/>
                <w:sz w:val="24"/>
                <w:szCs w:val="24"/>
              </w:rPr>
            </w:pPr>
            <w:r w:rsidRPr="00792B36">
              <w:rPr>
                <w:color w:val="000000" w:themeColor="text1"/>
                <w:sz w:val="24"/>
                <w:szCs w:val="24"/>
              </w:rPr>
              <w:t xml:space="preserve">The pinnacles also serve as a national reference site for coral monitoring and reef restoration, aligned with Thailand’s strategies for marine biodiversity conservation, </w:t>
            </w:r>
            <w:r w:rsidRPr="00792B36">
              <w:rPr>
                <w:color w:val="000000" w:themeColor="text1"/>
                <w:sz w:val="24"/>
                <w:szCs w:val="24"/>
              </w:rPr>
              <w:lastRenderedPageBreak/>
              <w:t>climate adaptation, and sustainable tourism.</w:t>
            </w:r>
          </w:p>
        </w:tc>
        <w:tc>
          <w:tcPr>
            <w:tcW w:w="1851" w:type="pct"/>
          </w:tcPr>
          <w:p w14:paraId="54EB81F5" w14:textId="77777777" w:rsidR="009A0A63" w:rsidRPr="00792B36" w:rsidRDefault="009A0A63" w:rsidP="00A24459">
            <w:pPr>
              <w:rPr>
                <w:color w:val="000000" w:themeColor="text1"/>
                <w:sz w:val="24"/>
                <w:szCs w:val="24"/>
              </w:rPr>
            </w:pPr>
            <w:r w:rsidRPr="00792B36">
              <w:rPr>
                <w:b/>
                <w:bCs/>
                <w:color w:val="000000" w:themeColor="text1"/>
                <w:sz w:val="24"/>
                <w:szCs w:val="24"/>
              </w:rPr>
              <w:lastRenderedPageBreak/>
              <w:t>Status / Protection category:</w:t>
            </w:r>
            <w:r w:rsidRPr="00792B36">
              <w:rPr>
                <w:color w:val="000000" w:themeColor="text1"/>
                <w:sz w:val="24"/>
                <w:szCs w:val="24"/>
              </w:rPr>
              <w:t xml:space="preserve"> The underwater pinnacles of Chumphon Province fall within the Chumphon Marine National Park and are managed under the oversight of the Department of Marine and Coastal Resources (DMCR) and the Department of National Parks, Wildlife and Plant Conservation (DNP).</w:t>
            </w:r>
          </w:p>
          <w:p w14:paraId="69E5807F" w14:textId="77777777" w:rsidR="009A0A63" w:rsidRPr="00792B36" w:rsidRDefault="009A0A63" w:rsidP="00A24459">
            <w:pPr>
              <w:rPr>
                <w:color w:val="000000" w:themeColor="text1"/>
                <w:sz w:val="24"/>
                <w:szCs w:val="24"/>
              </w:rPr>
            </w:pPr>
            <w:r w:rsidRPr="00792B36">
              <w:rPr>
                <w:b/>
                <w:bCs/>
                <w:color w:val="000000" w:themeColor="text1"/>
                <w:sz w:val="24"/>
                <w:szCs w:val="24"/>
              </w:rPr>
              <w:t>Total area:</w:t>
            </w:r>
            <w:r w:rsidRPr="00792B36">
              <w:rPr>
                <w:color w:val="000000" w:themeColor="text1"/>
                <w:sz w:val="24"/>
                <w:szCs w:val="24"/>
              </w:rPr>
              <w:t xml:space="preserve"> Specific total area for just the pinnacles is not publicly specified; the broader marine park area covers thousands of hectares encompassing numerous islands, reefs and seascapes.</w:t>
            </w:r>
          </w:p>
          <w:p w14:paraId="247F88F1" w14:textId="77777777" w:rsidR="009A0A63" w:rsidRPr="00792B36" w:rsidRDefault="009A0A63" w:rsidP="00A24459">
            <w:pPr>
              <w:rPr>
                <w:color w:val="000000" w:themeColor="text1"/>
                <w:sz w:val="24"/>
                <w:szCs w:val="24"/>
              </w:rPr>
            </w:pPr>
          </w:p>
        </w:tc>
      </w:tr>
      <w:tr w:rsidR="009A0A63" w:rsidRPr="00792B36" w14:paraId="5432F2F5" w14:textId="77777777" w:rsidTr="00A24459">
        <w:tc>
          <w:tcPr>
            <w:tcW w:w="1167" w:type="pct"/>
          </w:tcPr>
          <w:p w14:paraId="03BB2350" w14:textId="77777777" w:rsidR="009A0A63" w:rsidRPr="00792B36" w:rsidRDefault="009A0A63" w:rsidP="00A24459">
            <w:pPr>
              <w:rPr>
                <w:color w:val="000000" w:themeColor="text1"/>
                <w:sz w:val="24"/>
                <w:szCs w:val="24"/>
              </w:rPr>
            </w:pPr>
            <w:r w:rsidRPr="00792B36">
              <w:rPr>
                <w:rStyle w:val="Strong"/>
                <w:rFonts w:eastAsiaTheme="minorEastAsia"/>
                <w:color w:val="000000" w:themeColor="text1"/>
                <w:sz w:val="24"/>
                <w:szCs w:val="24"/>
              </w:rPr>
              <w:t>SG1: Ban Don Bay</w:t>
            </w:r>
          </w:p>
        </w:tc>
        <w:tc>
          <w:tcPr>
            <w:tcW w:w="1982" w:type="pct"/>
            <w:vAlign w:val="center"/>
          </w:tcPr>
          <w:p w14:paraId="3D465EEC" w14:textId="77777777" w:rsidR="009A0A63" w:rsidRPr="00792B36" w:rsidRDefault="009A0A63" w:rsidP="00A24459">
            <w:pPr>
              <w:rPr>
                <w:color w:val="000000" w:themeColor="text1"/>
                <w:sz w:val="24"/>
                <w:szCs w:val="24"/>
              </w:rPr>
            </w:pPr>
            <w:r w:rsidRPr="00792B36">
              <w:rPr>
                <w:color w:val="000000" w:themeColor="text1"/>
                <w:sz w:val="24"/>
                <w:szCs w:val="24"/>
              </w:rPr>
              <w:t>Ban Don Bay holds high national significance as one of Thailand’s most important coastal and estuarine ecosystems, recognized in the National Marine and Coastal Resources Master Plan and the Surat Thani Provincial Coastal Management Strategy. The bay supports extensive seagrass meadows, mangrove forests, and mudflats, which serve as critical habitats for dugongs, sea turtles, and juvenile fish species.</w:t>
            </w:r>
          </w:p>
          <w:p w14:paraId="4FB459AD" w14:textId="77777777" w:rsidR="009A0A63" w:rsidRPr="00792B36" w:rsidRDefault="009A0A63" w:rsidP="00A24459">
            <w:pPr>
              <w:rPr>
                <w:color w:val="000000" w:themeColor="text1"/>
                <w:sz w:val="24"/>
                <w:szCs w:val="24"/>
              </w:rPr>
            </w:pPr>
            <w:r w:rsidRPr="00792B36">
              <w:rPr>
                <w:color w:val="000000" w:themeColor="text1"/>
                <w:sz w:val="24"/>
                <w:szCs w:val="24"/>
              </w:rPr>
              <w:t>The area is designated as a priority conservation and blue carbon site under the Department of Marine and Coastal Resources (DMCR), reflecting its importance for carbon sequestration, biodiversity conservation, and sustainable fisheries. It also contributes to Thailand’s Nationally Determined Contribution (NDC) targets for climate mitigation through coastal ecosystem restoration.</w:t>
            </w:r>
          </w:p>
          <w:p w14:paraId="54E128CC" w14:textId="77777777" w:rsidR="009A0A63" w:rsidRPr="00792B36" w:rsidRDefault="009A0A63" w:rsidP="00A24459">
            <w:pPr>
              <w:rPr>
                <w:color w:val="000000" w:themeColor="text1"/>
                <w:sz w:val="24"/>
                <w:szCs w:val="24"/>
              </w:rPr>
            </w:pPr>
            <w:r w:rsidRPr="00792B36">
              <w:rPr>
                <w:color w:val="000000" w:themeColor="text1"/>
                <w:sz w:val="24"/>
                <w:szCs w:val="24"/>
              </w:rPr>
              <w:t>In national and provincial master plans, Ban Don Bay is identified as a multi-use coastal zone—balancing fisheries, aquaculture, and conservation—and as a pilot area for community-based seagrass protection and blue economy development.</w:t>
            </w:r>
          </w:p>
        </w:tc>
        <w:tc>
          <w:tcPr>
            <w:tcW w:w="1851" w:type="pct"/>
          </w:tcPr>
          <w:p w14:paraId="5CE709FA" w14:textId="77777777" w:rsidR="009A0A63" w:rsidRPr="00792B36" w:rsidRDefault="009A0A63" w:rsidP="00A24459">
            <w:pPr>
              <w:rPr>
                <w:color w:val="000000" w:themeColor="text1"/>
                <w:sz w:val="24"/>
                <w:szCs w:val="24"/>
              </w:rPr>
            </w:pPr>
            <w:r w:rsidRPr="00792B36">
              <w:rPr>
                <w:b/>
                <w:bCs/>
                <w:color w:val="000000" w:themeColor="text1"/>
                <w:sz w:val="24"/>
                <w:szCs w:val="24"/>
              </w:rPr>
              <w:t>Status / Protection category:</w:t>
            </w:r>
            <w:r w:rsidRPr="00792B36">
              <w:rPr>
                <w:color w:val="000000" w:themeColor="text1"/>
                <w:sz w:val="24"/>
                <w:szCs w:val="24"/>
              </w:rPr>
              <w:br/>
              <w:t xml:space="preserve">Not formally declared as a full Marine Protected Area (MPA) or National Park, but recognized as a </w:t>
            </w:r>
            <w:r w:rsidRPr="00792B36">
              <w:rPr>
                <w:b/>
                <w:bCs/>
                <w:color w:val="000000" w:themeColor="text1"/>
                <w:sz w:val="24"/>
                <w:szCs w:val="24"/>
              </w:rPr>
              <w:t>priority conservation area</w:t>
            </w:r>
            <w:r w:rsidRPr="00792B36">
              <w:rPr>
                <w:color w:val="000000" w:themeColor="text1"/>
                <w:sz w:val="24"/>
                <w:szCs w:val="24"/>
              </w:rPr>
              <w:t xml:space="preserve"> under the Department of Marine and Coastal Resources (DMCR) for its extensive seagrass meadows and dugong habitat. </w:t>
            </w:r>
          </w:p>
          <w:p w14:paraId="26769CEE" w14:textId="77777777" w:rsidR="009A0A63" w:rsidRPr="00792B36" w:rsidRDefault="009A0A63" w:rsidP="00A24459">
            <w:pPr>
              <w:rPr>
                <w:color w:val="000000" w:themeColor="text1"/>
                <w:sz w:val="24"/>
                <w:szCs w:val="24"/>
              </w:rPr>
            </w:pPr>
            <w:r w:rsidRPr="00792B36">
              <w:rPr>
                <w:b/>
                <w:bCs/>
                <w:color w:val="000000" w:themeColor="text1"/>
                <w:sz w:val="24"/>
                <w:szCs w:val="24"/>
              </w:rPr>
              <w:t>Total area:</w:t>
            </w:r>
            <w:r w:rsidRPr="00792B36">
              <w:rPr>
                <w:color w:val="000000" w:themeColor="text1"/>
                <w:sz w:val="24"/>
                <w:szCs w:val="24"/>
              </w:rPr>
              <w:br/>
              <w:t xml:space="preserve">The bay extends along the Gulf of Thailand coast in Surat Thani Province, with a coastline of about 100 km and shallow bays dominated by estuaries of the Tapi and Phum Duang rivers. </w:t>
            </w:r>
          </w:p>
          <w:p w14:paraId="2F6F1986" w14:textId="77777777" w:rsidR="009A0A63" w:rsidRPr="00792B36" w:rsidRDefault="009A0A63" w:rsidP="00A24459">
            <w:pPr>
              <w:rPr>
                <w:color w:val="000000" w:themeColor="text1"/>
                <w:sz w:val="24"/>
                <w:szCs w:val="24"/>
              </w:rPr>
            </w:pPr>
          </w:p>
        </w:tc>
      </w:tr>
      <w:tr w:rsidR="009A0A63" w:rsidRPr="00792B36" w14:paraId="3922D1C0" w14:textId="77777777" w:rsidTr="00A24459">
        <w:tc>
          <w:tcPr>
            <w:tcW w:w="1167" w:type="pct"/>
          </w:tcPr>
          <w:p w14:paraId="419F9392" w14:textId="77777777" w:rsidR="009A0A63" w:rsidRPr="00792B36" w:rsidRDefault="009A0A63" w:rsidP="00A24459">
            <w:pPr>
              <w:rPr>
                <w:color w:val="000000" w:themeColor="text1"/>
                <w:sz w:val="24"/>
                <w:szCs w:val="24"/>
              </w:rPr>
            </w:pPr>
            <w:r w:rsidRPr="00792B36">
              <w:rPr>
                <w:rStyle w:val="Strong"/>
                <w:rFonts w:eastAsiaTheme="minorEastAsia"/>
                <w:color w:val="000000" w:themeColor="text1"/>
                <w:sz w:val="24"/>
                <w:szCs w:val="24"/>
              </w:rPr>
              <w:t>SG2: Chumphon</w:t>
            </w:r>
          </w:p>
        </w:tc>
        <w:tc>
          <w:tcPr>
            <w:tcW w:w="1982" w:type="pct"/>
            <w:vAlign w:val="center"/>
          </w:tcPr>
          <w:p w14:paraId="21ED1777" w14:textId="77777777" w:rsidR="009A0A63" w:rsidRPr="00792B36" w:rsidRDefault="009A0A63" w:rsidP="00A24459">
            <w:pPr>
              <w:rPr>
                <w:color w:val="000000" w:themeColor="text1"/>
                <w:sz w:val="24"/>
                <w:szCs w:val="24"/>
              </w:rPr>
            </w:pPr>
            <w:r w:rsidRPr="00792B36">
              <w:rPr>
                <w:color w:val="000000" w:themeColor="text1"/>
                <w:sz w:val="24"/>
                <w:szCs w:val="24"/>
              </w:rPr>
              <w:t xml:space="preserve">Chumphon Province holds national significance for its extensive seagrass meadows, which are recognized under Thailand’s National Marine and Coastal Resources Master Plan and managed by the Department of Marine and Coastal Resources (DMCR). The province’s coastal zones </w:t>
            </w:r>
            <w:r w:rsidRPr="00792B36">
              <w:rPr>
                <w:color w:val="000000" w:themeColor="text1"/>
                <w:sz w:val="24"/>
                <w:szCs w:val="24"/>
              </w:rPr>
              <w:lastRenderedPageBreak/>
              <w:t>especially Tha Sae, Pathio, and Lang Suan Districts contain large, productive seagrass beds that provide critical habitats for dugongs, sea turtles, and juvenile fish species.</w:t>
            </w:r>
          </w:p>
          <w:p w14:paraId="1FA9F864" w14:textId="77777777" w:rsidR="009A0A63" w:rsidRPr="00792B36" w:rsidRDefault="009A0A63" w:rsidP="00A24459">
            <w:pPr>
              <w:rPr>
                <w:color w:val="000000" w:themeColor="text1"/>
                <w:sz w:val="24"/>
                <w:szCs w:val="24"/>
              </w:rPr>
            </w:pPr>
            <w:r w:rsidRPr="00792B36">
              <w:rPr>
                <w:color w:val="000000" w:themeColor="text1"/>
                <w:sz w:val="24"/>
                <w:szCs w:val="24"/>
              </w:rPr>
              <w:t>In national and provincial frameworks, Chumphon is designated as a priority area for blue carbon conservation, contributing to Thailand’s Nationally Determined Contribution (NDC) on climate change mitigation. The seagrass meadows act as major carbon sinks and are included in national programs for blue carbon ecosystem assessment and restoration.</w:t>
            </w:r>
          </w:p>
          <w:p w14:paraId="56AAC4BB" w14:textId="77777777" w:rsidR="009A0A63" w:rsidRPr="00792B36" w:rsidRDefault="009A0A63" w:rsidP="00A24459">
            <w:pPr>
              <w:rPr>
                <w:color w:val="000000" w:themeColor="text1"/>
                <w:sz w:val="24"/>
                <w:szCs w:val="24"/>
              </w:rPr>
            </w:pPr>
            <w:r w:rsidRPr="00792B36">
              <w:rPr>
                <w:color w:val="000000" w:themeColor="text1"/>
                <w:sz w:val="24"/>
                <w:szCs w:val="24"/>
              </w:rPr>
              <w:t>Chumphon is also recognized as a key site for community-based coastal management, where local stakeholders, universities, and DMCR collaborate on seagrass monitoring, restoration, and sustainable fisheries.</w:t>
            </w:r>
          </w:p>
        </w:tc>
        <w:tc>
          <w:tcPr>
            <w:tcW w:w="1851" w:type="pct"/>
          </w:tcPr>
          <w:p w14:paraId="704A20CF" w14:textId="77777777" w:rsidR="009A0A63" w:rsidRPr="00792B36" w:rsidRDefault="009A0A63" w:rsidP="00A24459">
            <w:pPr>
              <w:rPr>
                <w:color w:val="000000" w:themeColor="text1"/>
                <w:sz w:val="24"/>
                <w:szCs w:val="24"/>
              </w:rPr>
            </w:pPr>
            <w:r w:rsidRPr="00792B36">
              <w:rPr>
                <w:b/>
                <w:bCs/>
                <w:color w:val="000000" w:themeColor="text1"/>
                <w:sz w:val="24"/>
                <w:szCs w:val="24"/>
              </w:rPr>
              <w:lastRenderedPageBreak/>
              <w:t>Status / Protection category:</w:t>
            </w:r>
            <w:r w:rsidRPr="00792B36">
              <w:rPr>
                <w:color w:val="000000" w:themeColor="text1"/>
                <w:sz w:val="24"/>
                <w:szCs w:val="24"/>
              </w:rPr>
              <w:br/>
              <w:t xml:space="preserve">The seagrass meadows along the coast of Chumphon Province fall under the jurisdiction of the Department of Marine and Coastal Resources (DMCR) and are partially located within protected zones such </w:t>
            </w:r>
            <w:r w:rsidRPr="00792B36">
              <w:rPr>
                <w:color w:val="000000" w:themeColor="text1"/>
                <w:sz w:val="24"/>
                <w:szCs w:val="24"/>
              </w:rPr>
              <w:lastRenderedPageBreak/>
              <w:t>as the Mu Ko Chumphon National Park (IUCN Category II). The status is multiple-use managed habitat rather than strictly no-take.</w:t>
            </w:r>
          </w:p>
          <w:p w14:paraId="66D98E19" w14:textId="77777777" w:rsidR="009A0A63" w:rsidRPr="00792B36" w:rsidRDefault="009A0A63" w:rsidP="00A24459">
            <w:pPr>
              <w:rPr>
                <w:color w:val="000000" w:themeColor="text1"/>
                <w:sz w:val="24"/>
                <w:szCs w:val="24"/>
              </w:rPr>
            </w:pPr>
            <w:r w:rsidRPr="00792B36">
              <w:rPr>
                <w:b/>
                <w:bCs/>
                <w:color w:val="000000" w:themeColor="text1"/>
                <w:sz w:val="24"/>
                <w:szCs w:val="24"/>
              </w:rPr>
              <w:t>Total area:</w:t>
            </w:r>
            <w:r w:rsidRPr="00792B36">
              <w:rPr>
                <w:color w:val="000000" w:themeColor="text1"/>
                <w:sz w:val="24"/>
                <w:szCs w:val="24"/>
              </w:rPr>
              <w:br/>
              <w:t>The seagrass meadows are estimated to cover ~8,000–10,000 hectares in Chumphon coastal and estuarine zones (as per regional surveys).</w:t>
            </w:r>
          </w:p>
          <w:p w14:paraId="432D3A4F" w14:textId="77777777" w:rsidR="009A0A63" w:rsidRPr="00792B36" w:rsidRDefault="009A0A63" w:rsidP="00A24459">
            <w:pPr>
              <w:rPr>
                <w:color w:val="000000" w:themeColor="text1"/>
                <w:sz w:val="24"/>
                <w:szCs w:val="24"/>
              </w:rPr>
            </w:pPr>
          </w:p>
        </w:tc>
      </w:tr>
    </w:tbl>
    <w:p w14:paraId="07D57F8E" w14:textId="77777777" w:rsidR="009A0A63" w:rsidRPr="00792B36" w:rsidRDefault="009A0A63" w:rsidP="009A0A63">
      <w:pPr>
        <w:ind w:firstLine="1134"/>
        <w:rPr>
          <w:b/>
          <w:bCs/>
          <w:i/>
          <w:iCs/>
          <w:color w:val="000000" w:themeColor="text1"/>
          <w:sz w:val="24"/>
          <w:szCs w:val="24"/>
        </w:rPr>
      </w:pPr>
    </w:p>
    <w:p w14:paraId="248B2508" w14:textId="77777777" w:rsidR="009A0A63" w:rsidRPr="00792B36" w:rsidRDefault="009A0A63" w:rsidP="009A0A63">
      <w:pPr>
        <w:rPr>
          <w:b/>
          <w:bCs/>
          <w:i/>
          <w:iCs/>
          <w:color w:val="000000" w:themeColor="text1"/>
          <w:sz w:val="24"/>
          <w:szCs w:val="24"/>
        </w:rPr>
      </w:pPr>
    </w:p>
    <w:p w14:paraId="09187176" w14:textId="77777777" w:rsidR="009A0A63" w:rsidRPr="00792B36" w:rsidRDefault="009A0A63" w:rsidP="009A0A63">
      <w:pPr>
        <w:ind w:firstLine="1134"/>
        <w:rPr>
          <w:b/>
          <w:bCs/>
          <w:i/>
          <w:iCs/>
          <w:color w:val="000000" w:themeColor="text1"/>
          <w:sz w:val="24"/>
          <w:szCs w:val="24"/>
        </w:rPr>
      </w:pPr>
      <w:r w:rsidRPr="00792B36">
        <w:rPr>
          <w:b/>
          <w:bCs/>
          <w:i/>
          <w:iCs/>
          <w:color w:val="000000" w:themeColor="text1"/>
          <w:sz w:val="24"/>
          <w:szCs w:val="24"/>
        </w:rPr>
        <w:t>Coverage of hard coral</w:t>
      </w:r>
      <w:r w:rsidRPr="00792B36">
        <w:rPr>
          <w:b/>
          <w:bCs/>
          <w:i/>
          <w:iCs/>
          <w:color w:val="000000" w:themeColor="text1"/>
          <w:sz w:val="24"/>
          <w:szCs w:val="24"/>
          <w:cs/>
        </w:rPr>
        <w:t xml:space="preserve"> </w:t>
      </w:r>
      <w:r w:rsidRPr="00792B36">
        <w:rPr>
          <w:b/>
          <w:bCs/>
          <w:i/>
          <w:iCs/>
          <w:color w:val="000000" w:themeColor="text1"/>
          <w:sz w:val="24"/>
          <w:szCs w:val="24"/>
        </w:rPr>
        <w:t>and seagrass</w:t>
      </w:r>
    </w:p>
    <w:p w14:paraId="09C56F46" w14:textId="77777777" w:rsidR="009A0A63" w:rsidRPr="00792B36" w:rsidRDefault="009A0A63" w:rsidP="009A0A63">
      <w:pPr>
        <w:ind w:firstLine="1134"/>
        <w:jc w:val="thaiDistribute"/>
        <w:rPr>
          <w:color w:val="000000" w:themeColor="text1"/>
          <w:sz w:val="24"/>
          <w:szCs w:val="24"/>
        </w:rPr>
      </w:pPr>
      <w:r w:rsidRPr="00792B36">
        <w:rPr>
          <w:color w:val="000000" w:themeColor="text1"/>
          <w:sz w:val="24"/>
          <w:szCs w:val="24"/>
        </w:rPr>
        <w:t xml:space="preserve">An assessment of hard coral and seagrass coverage across coral reef areas in the Gulf of Thailand reveals considerable spatial variation in ecosystem condition. The highest recorded hard coral cover occurs at Koh Losin (69.50%), followed by Koh Tao (61.27%) and Koh Kra (59.52%), indicating relatively well-developed and structurally complex reef communities at offshore and less disturbed sites. Moderate coral cover is reported from Koh Lan (39.50%) and Koh Kood (33.45%), while lower levels are observed at Koh Mak (29.69%) and Koh Si Chang (29.24%), reflecting signs of degradation or limited recovery capacity in nearshore areas under higher human pressure. The underwater pinnacles in Chumphon Province exhibit moderate coral cover (31.11%), suggesting developing reef communities influenced by hydrodynamic conditions and localized management practices. In contrast to coral reefs, seagrass distribution is concentrated in specific sites, with Ban Don Bay (30.00%) and Chumphon (27.00%) showing substantial meadow coverage, underscoring their role as essential habitats for fisheries, coastal protection, and biodiversity support. Other surveyed reef areas reported no significant seagrass presence, highlighting clear habitat specialization between coral- and seagrass-dominated systems. This variability in coral and seagrass coverage across the Gulf of Thailand emphasizes the importance of site-specific monitoring and targeted conservation measures to address localized threats, strengthen resilience, </w:t>
      </w:r>
      <w:r w:rsidRPr="00792B36">
        <w:rPr>
          <w:color w:val="000000" w:themeColor="text1"/>
          <w:sz w:val="24"/>
          <w:szCs w:val="24"/>
        </w:rPr>
        <w:lastRenderedPageBreak/>
        <w:t>and ensure the long-term persistence of these critical coastal ecosystems.</w:t>
      </w:r>
      <w:r w:rsidRPr="00792B36">
        <w:rPr>
          <w:color w:val="000000" w:themeColor="text1"/>
          <w:sz w:val="24"/>
          <w:szCs w:val="24"/>
          <w:cs/>
        </w:rPr>
        <w:t xml:space="preserve"> (</w:t>
      </w:r>
      <w:r w:rsidRPr="00792B36">
        <w:rPr>
          <w:color w:val="000000" w:themeColor="text1"/>
          <w:sz w:val="24"/>
          <w:szCs w:val="24"/>
        </w:rPr>
        <w:t>Table 17</w:t>
      </w:r>
      <w:r w:rsidRPr="00792B36">
        <w:rPr>
          <w:color w:val="000000" w:themeColor="text1"/>
          <w:sz w:val="24"/>
          <w:szCs w:val="24"/>
          <w:cs/>
        </w:rPr>
        <w:t>)</w:t>
      </w:r>
    </w:p>
    <w:p w14:paraId="764A74C4" w14:textId="77777777" w:rsidR="009A0A63" w:rsidRPr="00792B36" w:rsidRDefault="009A0A63" w:rsidP="009A0A63">
      <w:pPr>
        <w:rPr>
          <w:b/>
          <w:bCs/>
          <w:color w:val="000000" w:themeColor="text1"/>
          <w:sz w:val="24"/>
          <w:szCs w:val="24"/>
        </w:rPr>
      </w:pPr>
      <w:r w:rsidRPr="00792B36">
        <w:rPr>
          <w:b/>
          <w:bCs/>
          <w:color w:val="000000" w:themeColor="text1"/>
          <w:sz w:val="24"/>
          <w:szCs w:val="24"/>
        </w:rPr>
        <w:t>Table 17</w:t>
      </w:r>
      <w:r w:rsidRPr="00792B36">
        <w:rPr>
          <w:b/>
          <w:bCs/>
          <w:color w:val="000000" w:themeColor="text1"/>
          <w:sz w:val="24"/>
          <w:szCs w:val="24"/>
          <w:cs/>
        </w:rPr>
        <w:t xml:space="preserve">. </w:t>
      </w:r>
      <w:r w:rsidRPr="00792B36">
        <w:rPr>
          <w:b/>
          <w:bCs/>
          <w:color w:val="000000" w:themeColor="text1"/>
          <w:sz w:val="24"/>
          <w:szCs w:val="24"/>
        </w:rPr>
        <w:t>Coral and seagrass areas in Thailand (Gulf of Thailand)</w:t>
      </w:r>
      <w:r w:rsidRPr="00792B36">
        <w:rPr>
          <w:b/>
          <w:bCs/>
          <w:color w:val="000000" w:themeColor="text1"/>
          <w:sz w:val="24"/>
          <w:szCs w:val="24"/>
          <w:cs/>
        </w:rPr>
        <w:t xml:space="preserve">: </w:t>
      </w:r>
      <w:r w:rsidRPr="00792B36">
        <w:rPr>
          <w:color w:val="000000" w:themeColor="text1"/>
          <w:sz w:val="24"/>
          <w:szCs w:val="24"/>
        </w:rPr>
        <w:t>Biological data</w:t>
      </w:r>
      <w:r w:rsidRPr="00792B36">
        <w:rPr>
          <w:color w:val="000000" w:themeColor="text1"/>
          <w:sz w:val="24"/>
          <w:szCs w:val="24"/>
          <w:cs/>
        </w:rPr>
        <w:t xml:space="preserve"> </w:t>
      </w:r>
      <w:r w:rsidRPr="00792B36">
        <w:rPr>
          <w:color w:val="000000" w:themeColor="text1"/>
          <w:sz w:val="24"/>
          <w:szCs w:val="24"/>
        </w:rPr>
        <w:t>showing coverage of hard coral</w:t>
      </w:r>
    </w:p>
    <w:tbl>
      <w:tblPr>
        <w:tblStyle w:val="TableGrid"/>
        <w:tblW w:w="5000" w:type="pct"/>
        <w:tblLook w:val="04A0" w:firstRow="1" w:lastRow="0" w:firstColumn="1" w:lastColumn="0" w:noHBand="0" w:noVBand="1"/>
      </w:tblPr>
      <w:tblGrid>
        <w:gridCol w:w="2692"/>
        <w:gridCol w:w="3159"/>
        <w:gridCol w:w="3159"/>
      </w:tblGrid>
      <w:tr w:rsidR="009A0A63" w:rsidRPr="00792B36" w14:paraId="5AAFC62C" w14:textId="77777777" w:rsidTr="00A24459">
        <w:tc>
          <w:tcPr>
            <w:tcW w:w="1494" w:type="pct"/>
            <w:vMerge w:val="restart"/>
            <w:vAlign w:val="center"/>
          </w:tcPr>
          <w:p w14:paraId="216E8714" w14:textId="77777777" w:rsidR="009A0A63" w:rsidRPr="00792B36" w:rsidRDefault="009A0A63" w:rsidP="00A24459">
            <w:pPr>
              <w:spacing w:before="120" w:after="120"/>
              <w:jc w:val="center"/>
              <w:rPr>
                <w:b/>
                <w:bCs/>
                <w:color w:val="000000" w:themeColor="text1"/>
                <w:sz w:val="24"/>
                <w:szCs w:val="24"/>
              </w:rPr>
            </w:pPr>
            <w:r w:rsidRPr="00792B36">
              <w:rPr>
                <w:b/>
                <w:bCs/>
                <w:color w:val="000000" w:themeColor="text1"/>
                <w:sz w:val="24"/>
                <w:szCs w:val="24"/>
              </w:rPr>
              <w:t>Name of area</w:t>
            </w:r>
          </w:p>
        </w:tc>
        <w:tc>
          <w:tcPr>
            <w:tcW w:w="3506" w:type="pct"/>
            <w:gridSpan w:val="2"/>
          </w:tcPr>
          <w:p w14:paraId="2840D81E" w14:textId="77777777" w:rsidR="009A0A63" w:rsidRPr="00792B36" w:rsidRDefault="009A0A63" w:rsidP="00A24459">
            <w:pPr>
              <w:spacing w:before="120" w:after="120"/>
              <w:jc w:val="center"/>
              <w:rPr>
                <w:b/>
                <w:bCs/>
                <w:color w:val="000000" w:themeColor="text1"/>
                <w:sz w:val="24"/>
                <w:szCs w:val="24"/>
              </w:rPr>
            </w:pPr>
            <w:r w:rsidRPr="00792B36">
              <w:rPr>
                <w:b/>
                <w:bCs/>
                <w:color w:val="000000" w:themeColor="text1"/>
                <w:sz w:val="24"/>
                <w:szCs w:val="24"/>
              </w:rPr>
              <w:t>Coverage</w:t>
            </w:r>
          </w:p>
        </w:tc>
      </w:tr>
      <w:tr w:rsidR="009A0A63" w:rsidRPr="00792B36" w14:paraId="6E6324F8" w14:textId="77777777" w:rsidTr="00A24459">
        <w:tc>
          <w:tcPr>
            <w:tcW w:w="1494" w:type="pct"/>
            <w:vMerge/>
          </w:tcPr>
          <w:p w14:paraId="24526692" w14:textId="77777777" w:rsidR="009A0A63" w:rsidRPr="00792B36" w:rsidRDefault="009A0A63" w:rsidP="00A24459">
            <w:pPr>
              <w:spacing w:before="120" w:after="120"/>
              <w:jc w:val="center"/>
              <w:rPr>
                <w:b/>
                <w:bCs/>
                <w:color w:val="000000" w:themeColor="text1"/>
                <w:sz w:val="24"/>
                <w:szCs w:val="24"/>
              </w:rPr>
            </w:pPr>
          </w:p>
        </w:tc>
        <w:tc>
          <w:tcPr>
            <w:tcW w:w="1753" w:type="pct"/>
          </w:tcPr>
          <w:p w14:paraId="0835A7B0" w14:textId="77777777" w:rsidR="009A0A63" w:rsidRPr="00792B36" w:rsidRDefault="009A0A63" w:rsidP="00A24459">
            <w:pPr>
              <w:spacing w:before="120" w:after="120"/>
              <w:jc w:val="center"/>
              <w:rPr>
                <w:b/>
                <w:bCs/>
                <w:color w:val="000000" w:themeColor="text1"/>
                <w:sz w:val="24"/>
                <w:szCs w:val="24"/>
              </w:rPr>
            </w:pPr>
            <w:r w:rsidRPr="00792B36">
              <w:rPr>
                <w:b/>
                <w:bCs/>
                <w:color w:val="000000" w:themeColor="text1"/>
                <w:sz w:val="24"/>
                <w:szCs w:val="24"/>
              </w:rPr>
              <w:t xml:space="preserve">Coverage of hard coral </w:t>
            </w:r>
            <w:r w:rsidRPr="00792B36">
              <w:rPr>
                <w:b/>
                <w:bCs/>
                <w:color w:val="000000" w:themeColor="text1"/>
                <w:sz w:val="24"/>
                <w:szCs w:val="24"/>
                <w:cs/>
              </w:rPr>
              <w:t>(%)</w:t>
            </w:r>
          </w:p>
        </w:tc>
        <w:tc>
          <w:tcPr>
            <w:tcW w:w="1753" w:type="pct"/>
          </w:tcPr>
          <w:p w14:paraId="0D6ECAB4" w14:textId="77777777" w:rsidR="009A0A63" w:rsidRPr="00792B36" w:rsidRDefault="009A0A63" w:rsidP="00A24459">
            <w:pPr>
              <w:spacing w:before="120" w:after="120"/>
              <w:jc w:val="center"/>
              <w:rPr>
                <w:b/>
                <w:bCs/>
                <w:color w:val="000000" w:themeColor="text1"/>
                <w:sz w:val="24"/>
                <w:szCs w:val="24"/>
              </w:rPr>
            </w:pPr>
            <w:r w:rsidRPr="00792B36">
              <w:rPr>
                <w:b/>
                <w:bCs/>
                <w:color w:val="000000" w:themeColor="text1"/>
                <w:sz w:val="24"/>
                <w:szCs w:val="24"/>
              </w:rPr>
              <w:t xml:space="preserve">Coverage of </w:t>
            </w:r>
            <w:bookmarkStart w:id="43" w:name="_Hlk210399440"/>
            <w:r w:rsidRPr="00792B36">
              <w:rPr>
                <w:b/>
                <w:bCs/>
                <w:color w:val="000000" w:themeColor="text1"/>
                <w:sz w:val="24"/>
                <w:szCs w:val="24"/>
              </w:rPr>
              <w:t>seagrass</w:t>
            </w:r>
            <w:bookmarkEnd w:id="43"/>
            <w:r w:rsidRPr="00792B36">
              <w:rPr>
                <w:b/>
                <w:bCs/>
                <w:color w:val="000000" w:themeColor="text1"/>
                <w:sz w:val="24"/>
                <w:szCs w:val="24"/>
              </w:rPr>
              <w:t xml:space="preserve"> </w:t>
            </w:r>
            <w:r w:rsidRPr="00792B36">
              <w:rPr>
                <w:b/>
                <w:bCs/>
                <w:color w:val="000000" w:themeColor="text1"/>
                <w:sz w:val="24"/>
                <w:szCs w:val="24"/>
                <w:cs/>
              </w:rPr>
              <w:t>(%)</w:t>
            </w:r>
          </w:p>
        </w:tc>
      </w:tr>
      <w:tr w:rsidR="009A0A63" w:rsidRPr="00792B36" w14:paraId="46903B8E" w14:textId="77777777" w:rsidTr="00A24459">
        <w:tc>
          <w:tcPr>
            <w:tcW w:w="1494" w:type="pct"/>
          </w:tcPr>
          <w:p w14:paraId="6C8E262B" w14:textId="77777777" w:rsidR="009A0A63" w:rsidRPr="00792B36" w:rsidRDefault="009A0A63" w:rsidP="00A24459">
            <w:pPr>
              <w:rPr>
                <w:b/>
                <w:bCs/>
                <w:color w:val="000000" w:themeColor="text1"/>
                <w:sz w:val="24"/>
                <w:szCs w:val="24"/>
              </w:rPr>
            </w:pPr>
            <w:r w:rsidRPr="00792B36">
              <w:rPr>
                <w:b/>
                <w:bCs/>
                <w:color w:val="000000" w:themeColor="text1"/>
                <w:sz w:val="24"/>
                <w:szCs w:val="24"/>
              </w:rPr>
              <w:t xml:space="preserve">CR:1 Koh Si Chang </w:t>
            </w:r>
          </w:p>
        </w:tc>
        <w:tc>
          <w:tcPr>
            <w:tcW w:w="1753" w:type="pct"/>
            <w:vAlign w:val="bottom"/>
          </w:tcPr>
          <w:p w14:paraId="245B2500" w14:textId="77777777" w:rsidR="009A0A63" w:rsidRPr="00792B36" w:rsidRDefault="009A0A63" w:rsidP="00A24459">
            <w:pPr>
              <w:jc w:val="center"/>
              <w:rPr>
                <w:color w:val="000000" w:themeColor="text1"/>
                <w:sz w:val="24"/>
                <w:szCs w:val="24"/>
              </w:rPr>
            </w:pPr>
            <w:r w:rsidRPr="00792B36">
              <w:rPr>
                <w:color w:val="000000" w:themeColor="text1"/>
                <w:sz w:val="24"/>
                <w:szCs w:val="24"/>
              </w:rPr>
              <w:t>29.24</w:t>
            </w:r>
          </w:p>
        </w:tc>
        <w:tc>
          <w:tcPr>
            <w:tcW w:w="1753" w:type="pct"/>
          </w:tcPr>
          <w:p w14:paraId="57A741B2" w14:textId="77777777" w:rsidR="009A0A63" w:rsidRPr="00792B36" w:rsidRDefault="009A0A63" w:rsidP="00A24459">
            <w:pPr>
              <w:jc w:val="center"/>
              <w:rPr>
                <w:color w:val="000000" w:themeColor="text1"/>
                <w:sz w:val="24"/>
                <w:szCs w:val="24"/>
              </w:rPr>
            </w:pPr>
            <w:r w:rsidRPr="00792B36">
              <w:rPr>
                <w:color w:val="000000" w:themeColor="text1"/>
                <w:sz w:val="24"/>
                <w:szCs w:val="24"/>
              </w:rPr>
              <w:t>-</w:t>
            </w:r>
          </w:p>
        </w:tc>
      </w:tr>
      <w:tr w:rsidR="009A0A63" w:rsidRPr="00792B36" w14:paraId="52983F89" w14:textId="77777777" w:rsidTr="00A24459">
        <w:tc>
          <w:tcPr>
            <w:tcW w:w="1494" w:type="pct"/>
          </w:tcPr>
          <w:p w14:paraId="26499406" w14:textId="77777777" w:rsidR="009A0A63" w:rsidRPr="00792B36" w:rsidRDefault="009A0A63" w:rsidP="00A24459">
            <w:pPr>
              <w:rPr>
                <w:b/>
                <w:bCs/>
                <w:color w:val="000000" w:themeColor="text1"/>
                <w:sz w:val="24"/>
                <w:szCs w:val="24"/>
              </w:rPr>
            </w:pPr>
            <w:r w:rsidRPr="00792B36">
              <w:rPr>
                <w:b/>
                <w:bCs/>
                <w:color w:val="000000" w:themeColor="text1"/>
                <w:sz w:val="24"/>
                <w:szCs w:val="24"/>
              </w:rPr>
              <w:t xml:space="preserve">CR:2 Koh Lan </w:t>
            </w:r>
          </w:p>
        </w:tc>
        <w:tc>
          <w:tcPr>
            <w:tcW w:w="1753" w:type="pct"/>
            <w:vAlign w:val="bottom"/>
          </w:tcPr>
          <w:p w14:paraId="6FC0710F" w14:textId="77777777" w:rsidR="009A0A63" w:rsidRPr="00792B36" w:rsidRDefault="009A0A63" w:rsidP="00A24459">
            <w:pPr>
              <w:jc w:val="center"/>
              <w:rPr>
                <w:color w:val="000000" w:themeColor="text1"/>
                <w:sz w:val="24"/>
                <w:szCs w:val="24"/>
              </w:rPr>
            </w:pPr>
            <w:r w:rsidRPr="00792B36">
              <w:rPr>
                <w:color w:val="000000" w:themeColor="text1"/>
                <w:sz w:val="24"/>
                <w:szCs w:val="24"/>
              </w:rPr>
              <w:t>39.50</w:t>
            </w:r>
          </w:p>
        </w:tc>
        <w:tc>
          <w:tcPr>
            <w:tcW w:w="1753" w:type="pct"/>
          </w:tcPr>
          <w:p w14:paraId="44BE4635" w14:textId="77777777" w:rsidR="009A0A63" w:rsidRPr="00792B36" w:rsidRDefault="009A0A63" w:rsidP="00A24459">
            <w:pPr>
              <w:jc w:val="center"/>
              <w:rPr>
                <w:color w:val="000000" w:themeColor="text1"/>
                <w:sz w:val="24"/>
                <w:szCs w:val="24"/>
              </w:rPr>
            </w:pPr>
            <w:r w:rsidRPr="00792B36">
              <w:rPr>
                <w:color w:val="000000" w:themeColor="text1"/>
                <w:sz w:val="24"/>
                <w:szCs w:val="24"/>
              </w:rPr>
              <w:t>-</w:t>
            </w:r>
          </w:p>
        </w:tc>
      </w:tr>
      <w:tr w:rsidR="009A0A63" w:rsidRPr="00792B36" w14:paraId="769BED06" w14:textId="77777777" w:rsidTr="00A24459">
        <w:tc>
          <w:tcPr>
            <w:tcW w:w="1494" w:type="pct"/>
          </w:tcPr>
          <w:p w14:paraId="35CA5445" w14:textId="77777777" w:rsidR="009A0A63" w:rsidRPr="00792B36" w:rsidRDefault="009A0A63" w:rsidP="00A24459">
            <w:pPr>
              <w:rPr>
                <w:b/>
                <w:bCs/>
                <w:color w:val="000000" w:themeColor="text1"/>
                <w:sz w:val="24"/>
                <w:szCs w:val="24"/>
              </w:rPr>
            </w:pPr>
            <w:r w:rsidRPr="00792B36">
              <w:rPr>
                <w:b/>
                <w:bCs/>
                <w:color w:val="000000" w:themeColor="text1"/>
                <w:sz w:val="24"/>
                <w:szCs w:val="24"/>
              </w:rPr>
              <w:t>CR:3 Koh Kood</w:t>
            </w:r>
          </w:p>
        </w:tc>
        <w:tc>
          <w:tcPr>
            <w:tcW w:w="1753" w:type="pct"/>
            <w:vAlign w:val="bottom"/>
          </w:tcPr>
          <w:p w14:paraId="2E0FAB51" w14:textId="77777777" w:rsidR="009A0A63" w:rsidRPr="00792B36" w:rsidRDefault="009A0A63" w:rsidP="00A24459">
            <w:pPr>
              <w:jc w:val="center"/>
              <w:rPr>
                <w:color w:val="000000" w:themeColor="text1"/>
                <w:sz w:val="24"/>
                <w:szCs w:val="24"/>
              </w:rPr>
            </w:pPr>
            <w:r w:rsidRPr="00792B36">
              <w:rPr>
                <w:color w:val="000000" w:themeColor="text1"/>
                <w:sz w:val="24"/>
                <w:szCs w:val="24"/>
              </w:rPr>
              <w:t>33.45</w:t>
            </w:r>
          </w:p>
        </w:tc>
        <w:tc>
          <w:tcPr>
            <w:tcW w:w="1753" w:type="pct"/>
          </w:tcPr>
          <w:p w14:paraId="2A2C0A82" w14:textId="77777777" w:rsidR="009A0A63" w:rsidRPr="00792B36" w:rsidRDefault="009A0A63" w:rsidP="00A24459">
            <w:pPr>
              <w:jc w:val="center"/>
              <w:rPr>
                <w:color w:val="000000" w:themeColor="text1"/>
                <w:sz w:val="24"/>
                <w:szCs w:val="24"/>
              </w:rPr>
            </w:pPr>
            <w:r w:rsidRPr="00792B36">
              <w:rPr>
                <w:color w:val="000000" w:themeColor="text1"/>
                <w:sz w:val="24"/>
                <w:szCs w:val="24"/>
              </w:rPr>
              <w:t>-</w:t>
            </w:r>
          </w:p>
        </w:tc>
      </w:tr>
      <w:tr w:rsidR="009A0A63" w:rsidRPr="00792B36" w14:paraId="40801F22" w14:textId="77777777" w:rsidTr="00A24459">
        <w:tc>
          <w:tcPr>
            <w:tcW w:w="1494" w:type="pct"/>
          </w:tcPr>
          <w:p w14:paraId="56E0EA2D" w14:textId="77777777" w:rsidR="009A0A63" w:rsidRPr="00792B36" w:rsidRDefault="009A0A63" w:rsidP="00A24459">
            <w:pPr>
              <w:rPr>
                <w:b/>
                <w:bCs/>
                <w:color w:val="000000" w:themeColor="text1"/>
                <w:sz w:val="24"/>
                <w:szCs w:val="24"/>
              </w:rPr>
            </w:pPr>
            <w:r w:rsidRPr="00792B36">
              <w:rPr>
                <w:b/>
                <w:bCs/>
                <w:color w:val="000000" w:themeColor="text1"/>
                <w:sz w:val="24"/>
                <w:szCs w:val="24"/>
              </w:rPr>
              <w:t>CR:4 Koh Mak</w:t>
            </w:r>
          </w:p>
        </w:tc>
        <w:tc>
          <w:tcPr>
            <w:tcW w:w="1753" w:type="pct"/>
            <w:vAlign w:val="bottom"/>
          </w:tcPr>
          <w:p w14:paraId="0D84A8E0" w14:textId="77777777" w:rsidR="009A0A63" w:rsidRPr="00792B36" w:rsidRDefault="009A0A63" w:rsidP="00A24459">
            <w:pPr>
              <w:jc w:val="center"/>
              <w:rPr>
                <w:color w:val="000000" w:themeColor="text1"/>
                <w:sz w:val="24"/>
                <w:szCs w:val="24"/>
              </w:rPr>
            </w:pPr>
            <w:r w:rsidRPr="00792B36">
              <w:rPr>
                <w:color w:val="000000" w:themeColor="text1"/>
                <w:sz w:val="24"/>
                <w:szCs w:val="24"/>
              </w:rPr>
              <w:t>29.69</w:t>
            </w:r>
          </w:p>
        </w:tc>
        <w:tc>
          <w:tcPr>
            <w:tcW w:w="1753" w:type="pct"/>
          </w:tcPr>
          <w:p w14:paraId="354F5BC3" w14:textId="77777777" w:rsidR="009A0A63" w:rsidRPr="00792B36" w:rsidRDefault="009A0A63" w:rsidP="00A24459">
            <w:pPr>
              <w:jc w:val="center"/>
              <w:rPr>
                <w:color w:val="000000" w:themeColor="text1"/>
                <w:sz w:val="24"/>
                <w:szCs w:val="24"/>
              </w:rPr>
            </w:pPr>
            <w:r w:rsidRPr="00792B36">
              <w:rPr>
                <w:color w:val="000000" w:themeColor="text1"/>
                <w:sz w:val="24"/>
                <w:szCs w:val="24"/>
              </w:rPr>
              <w:t>-</w:t>
            </w:r>
          </w:p>
        </w:tc>
      </w:tr>
      <w:tr w:rsidR="009A0A63" w:rsidRPr="00792B36" w14:paraId="51E03535" w14:textId="77777777" w:rsidTr="00A24459">
        <w:tc>
          <w:tcPr>
            <w:tcW w:w="1494" w:type="pct"/>
          </w:tcPr>
          <w:p w14:paraId="0E372649" w14:textId="77777777" w:rsidR="009A0A63" w:rsidRPr="00792B36" w:rsidRDefault="009A0A63" w:rsidP="00A24459">
            <w:pPr>
              <w:rPr>
                <w:b/>
                <w:bCs/>
                <w:color w:val="000000" w:themeColor="text1"/>
                <w:sz w:val="24"/>
                <w:szCs w:val="24"/>
              </w:rPr>
            </w:pPr>
            <w:r w:rsidRPr="00792B36">
              <w:rPr>
                <w:b/>
                <w:bCs/>
                <w:color w:val="000000" w:themeColor="text1"/>
                <w:sz w:val="24"/>
                <w:szCs w:val="24"/>
              </w:rPr>
              <w:t>CR:5 Koh Tao</w:t>
            </w:r>
          </w:p>
        </w:tc>
        <w:tc>
          <w:tcPr>
            <w:tcW w:w="1753" w:type="pct"/>
            <w:vAlign w:val="bottom"/>
          </w:tcPr>
          <w:p w14:paraId="74C46435" w14:textId="77777777" w:rsidR="009A0A63" w:rsidRPr="00792B36" w:rsidRDefault="009A0A63" w:rsidP="00A24459">
            <w:pPr>
              <w:jc w:val="center"/>
              <w:rPr>
                <w:color w:val="000000" w:themeColor="text1"/>
                <w:sz w:val="24"/>
                <w:szCs w:val="24"/>
              </w:rPr>
            </w:pPr>
            <w:r w:rsidRPr="00792B36">
              <w:rPr>
                <w:color w:val="000000" w:themeColor="text1"/>
                <w:sz w:val="24"/>
                <w:szCs w:val="24"/>
              </w:rPr>
              <w:t>61.27</w:t>
            </w:r>
          </w:p>
        </w:tc>
        <w:tc>
          <w:tcPr>
            <w:tcW w:w="1753" w:type="pct"/>
          </w:tcPr>
          <w:p w14:paraId="2D452D1B" w14:textId="77777777" w:rsidR="009A0A63" w:rsidRPr="00792B36" w:rsidRDefault="009A0A63" w:rsidP="00A24459">
            <w:pPr>
              <w:jc w:val="center"/>
              <w:rPr>
                <w:color w:val="000000" w:themeColor="text1"/>
                <w:sz w:val="24"/>
                <w:szCs w:val="24"/>
              </w:rPr>
            </w:pPr>
            <w:r w:rsidRPr="00792B36">
              <w:rPr>
                <w:color w:val="000000" w:themeColor="text1"/>
                <w:sz w:val="24"/>
                <w:szCs w:val="24"/>
              </w:rPr>
              <w:t>-</w:t>
            </w:r>
          </w:p>
        </w:tc>
      </w:tr>
      <w:tr w:rsidR="009A0A63" w:rsidRPr="00792B36" w14:paraId="26323DBB" w14:textId="77777777" w:rsidTr="00A24459">
        <w:tc>
          <w:tcPr>
            <w:tcW w:w="1494" w:type="pct"/>
          </w:tcPr>
          <w:p w14:paraId="21660846" w14:textId="77777777" w:rsidR="009A0A63" w:rsidRPr="00792B36" w:rsidRDefault="009A0A63" w:rsidP="00A24459">
            <w:pPr>
              <w:rPr>
                <w:b/>
                <w:bCs/>
                <w:color w:val="000000" w:themeColor="text1"/>
                <w:sz w:val="24"/>
                <w:szCs w:val="24"/>
              </w:rPr>
            </w:pPr>
            <w:r w:rsidRPr="00792B36">
              <w:rPr>
                <w:b/>
                <w:bCs/>
                <w:color w:val="000000" w:themeColor="text1"/>
                <w:sz w:val="24"/>
                <w:szCs w:val="24"/>
              </w:rPr>
              <w:t>CR:6 Koh Kra</w:t>
            </w:r>
          </w:p>
        </w:tc>
        <w:tc>
          <w:tcPr>
            <w:tcW w:w="1753" w:type="pct"/>
            <w:vAlign w:val="bottom"/>
          </w:tcPr>
          <w:p w14:paraId="62582CFC" w14:textId="77777777" w:rsidR="009A0A63" w:rsidRPr="00792B36" w:rsidRDefault="009A0A63" w:rsidP="00A24459">
            <w:pPr>
              <w:jc w:val="center"/>
              <w:rPr>
                <w:color w:val="000000" w:themeColor="text1"/>
                <w:sz w:val="24"/>
                <w:szCs w:val="24"/>
              </w:rPr>
            </w:pPr>
            <w:r w:rsidRPr="00792B36">
              <w:rPr>
                <w:color w:val="000000" w:themeColor="text1"/>
                <w:sz w:val="24"/>
                <w:szCs w:val="24"/>
              </w:rPr>
              <w:t>59.52</w:t>
            </w:r>
          </w:p>
        </w:tc>
        <w:tc>
          <w:tcPr>
            <w:tcW w:w="1753" w:type="pct"/>
          </w:tcPr>
          <w:p w14:paraId="6BC2AB4B" w14:textId="77777777" w:rsidR="009A0A63" w:rsidRPr="00792B36" w:rsidRDefault="009A0A63" w:rsidP="00A24459">
            <w:pPr>
              <w:jc w:val="center"/>
              <w:rPr>
                <w:color w:val="000000" w:themeColor="text1"/>
                <w:sz w:val="24"/>
                <w:szCs w:val="24"/>
              </w:rPr>
            </w:pPr>
            <w:r w:rsidRPr="00792B36">
              <w:rPr>
                <w:color w:val="000000" w:themeColor="text1"/>
                <w:sz w:val="24"/>
                <w:szCs w:val="24"/>
              </w:rPr>
              <w:t>-</w:t>
            </w:r>
          </w:p>
        </w:tc>
      </w:tr>
      <w:tr w:rsidR="009A0A63" w:rsidRPr="00792B36" w14:paraId="08377081" w14:textId="77777777" w:rsidTr="00A24459">
        <w:tc>
          <w:tcPr>
            <w:tcW w:w="1494" w:type="pct"/>
          </w:tcPr>
          <w:p w14:paraId="7076EE8C" w14:textId="77777777" w:rsidR="009A0A63" w:rsidRPr="00792B36" w:rsidRDefault="009A0A63" w:rsidP="00A24459">
            <w:pPr>
              <w:rPr>
                <w:b/>
                <w:bCs/>
                <w:color w:val="000000" w:themeColor="text1"/>
                <w:sz w:val="24"/>
                <w:szCs w:val="24"/>
              </w:rPr>
            </w:pPr>
            <w:r w:rsidRPr="00792B36">
              <w:rPr>
                <w:b/>
                <w:bCs/>
                <w:color w:val="000000" w:themeColor="text1"/>
                <w:sz w:val="24"/>
                <w:szCs w:val="24"/>
              </w:rPr>
              <w:t>CR:7 Koh Losin</w:t>
            </w:r>
          </w:p>
        </w:tc>
        <w:tc>
          <w:tcPr>
            <w:tcW w:w="1753" w:type="pct"/>
            <w:vAlign w:val="bottom"/>
          </w:tcPr>
          <w:p w14:paraId="1DAA52DE" w14:textId="77777777" w:rsidR="009A0A63" w:rsidRPr="00792B36" w:rsidRDefault="009A0A63" w:rsidP="00A24459">
            <w:pPr>
              <w:jc w:val="center"/>
              <w:rPr>
                <w:color w:val="000000" w:themeColor="text1"/>
                <w:sz w:val="24"/>
                <w:szCs w:val="24"/>
              </w:rPr>
            </w:pPr>
            <w:r w:rsidRPr="00792B36">
              <w:rPr>
                <w:color w:val="000000" w:themeColor="text1"/>
                <w:sz w:val="24"/>
                <w:szCs w:val="24"/>
              </w:rPr>
              <w:t>69.50</w:t>
            </w:r>
          </w:p>
        </w:tc>
        <w:tc>
          <w:tcPr>
            <w:tcW w:w="1753" w:type="pct"/>
          </w:tcPr>
          <w:p w14:paraId="2A39D89B" w14:textId="77777777" w:rsidR="009A0A63" w:rsidRPr="00792B36" w:rsidRDefault="009A0A63" w:rsidP="00A24459">
            <w:pPr>
              <w:jc w:val="center"/>
              <w:rPr>
                <w:color w:val="000000" w:themeColor="text1"/>
                <w:sz w:val="24"/>
                <w:szCs w:val="24"/>
              </w:rPr>
            </w:pPr>
            <w:r w:rsidRPr="00792B36">
              <w:rPr>
                <w:color w:val="000000" w:themeColor="text1"/>
                <w:sz w:val="24"/>
                <w:szCs w:val="24"/>
              </w:rPr>
              <w:t>-</w:t>
            </w:r>
          </w:p>
        </w:tc>
      </w:tr>
      <w:tr w:rsidR="009A0A63" w:rsidRPr="00792B36" w14:paraId="48FA9490" w14:textId="77777777" w:rsidTr="00A24459">
        <w:tc>
          <w:tcPr>
            <w:tcW w:w="1494" w:type="pct"/>
          </w:tcPr>
          <w:p w14:paraId="51E3AF32" w14:textId="77777777" w:rsidR="009A0A63" w:rsidRPr="00792B36" w:rsidRDefault="009A0A63" w:rsidP="00A24459">
            <w:pPr>
              <w:rPr>
                <w:b/>
                <w:bCs/>
                <w:color w:val="000000" w:themeColor="text1"/>
                <w:sz w:val="24"/>
                <w:szCs w:val="24"/>
              </w:rPr>
            </w:pPr>
            <w:r w:rsidRPr="00792B36">
              <w:rPr>
                <w:b/>
                <w:bCs/>
                <w:color w:val="000000" w:themeColor="text1"/>
                <w:sz w:val="24"/>
                <w:szCs w:val="24"/>
              </w:rPr>
              <w:t>CR:8 Underwater pinnacle Chumphon Province</w:t>
            </w:r>
          </w:p>
        </w:tc>
        <w:tc>
          <w:tcPr>
            <w:tcW w:w="1753" w:type="pct"/>
          </w:tcPr>
          <w:p w14:paraId="26C5030F" w14:textId="77777777" w:rsidR="009A0A63" w:rsidRPr="00792B36" w:rsidRDefault="009A0A63" w:rsidP="00A24459">
            <w:pPr>
              <w:jc w:val="center"/>
              <w:rPr>
                <w:color w:val="000000" w:themeColor="text1"/>
                <w:sz w:val="24"/>
                <w:szCs w:val="24"/>
              </w:rPr>
            </w:pPr>
            <w:r w:rsidRPr="00792B36">
              <w:rPr>
                <w:color w:val="000000" w:themeColor="text1"/>
                <w:sz w:val="24"/>
                <w:szCs w:val="24"/>
                <w:cs/>
              </w:rPr>
              <w:t>31.11</w:t>
            </w:r>
          </w:p>
        </w:tc>
        <w:tc>
          <w:tcPr>
            <w:tcW w:w="1753" w:type="pct"/>
          </w:tcPr>
          <w:p w14:paraId="6F130D85" w14:textId="77777777" w:rsidR="009A0A63" w:rsidRPr="00792B36" w:rsidRDefault="009A0A63" w:rsidP="00A24459">
            <w:pPr>
              <w:jc w:val="center"/>
              <w:rPr>
                <w:color w:val="000000" w:themeColor="text1"/>
                <w:sz w:val="24"/>
                <w:szCs w:val="24"/>
              </w:rPr>
            </w:pPr>
            <w:r w:rsidRPr="00792B36">
              <w:rPr>
                <w:color w:val="000000" w:themeColor="text1"/>
                <w:sz w:val="24"/>
                <w:szCs w:val="24"/>
              </w:rPr>
              <w:t>-</w:t>
            </w:r>
          </w:p>
        </w:tc>
      </w:tr>
      <w:tr w:rsidR="009A0A63" w:rsidRPr="00792B36" w14:paraId="2C88BCED" w14:textId="77777777" w:rsidTr="00A24459">
        <w:tc>
          <w:tcPr>
            <w:tcW w:w="1494" w:type="pct"/>
          </w:tcPr>
          <w:p w14:paraId="50222BB5" w14:textId="77777777" w:rsidR="009A0A63" w:rsidRPr="00792B36" w:rsidRDefault="009A0A63" w:rsidP="00A24459">
            <w:pPr>
              <w:rPr>
                <w:color w:val="000000" w:themeColor="text1"/>
                <w:sz w:val="24"/>
                <w:szCs w:val="24"/>
              </w:rPr>
            </w:pPr>
            <w:r w:rsidRPr="00792B36">
              <w:rPr>
                <w:rStyle w:val="Strong"/>
                <w:rFonts w:eastAsiaTheme="minorEastAsia"/>
                <w:color w:val="000000" w:themeColor="text1"/>
                <w:sz w:val="24"/>
                <w:szCs w:val="24"/>
              </w:rPr>
              <w:t>SG1: Ban Don Bay</w:t>
            </w:r>
          </w:p>
        </w:tc>
        <w:tc>
          <w:tcPr>
            <w:tcW w:w="1753" w:type="pct"/>
          </w:tcPr>
          <w:p w14:paraId="49F39EF6" w14:textId="77777777" w:rsidR="009A0A63" w:rsidRPr="00792B36" w:rsidRDefault="009A0A63" w:rsidP="00A24459">
            <w:pPr>
              <w:jc w:val="center"/>
              <w:rPr>
                <w:color w:val="000000" w:themeColor="text1"/>
                <w:sz w:val="24"/>
                <w:szCs w:val="24"/>
              </w:rPr>
            </w:pPr>
            <w:r w:rsidRPr="00792B36">
              <w:rPr>
                <w:color w:val="000000" w:themeColor="text1"/>
                <w:sz w:val="24"/>
                <w:szCs w:val="24"/>
              </w:rPr>
              <w:t>-</w:t>
            </w:r>
          </w:p>
        </w:tc>
        <w:tc>
          <w:tcPr>
            <w:tcW w:w="1753" w:type="pct"/>
          </w:tcPr>
          <w:p w14:paraId="222625E6" w14:textId="77777777" w:rsidR="009A0A63" w:rsidRPr="00792B36" w:rsidRDefault="009A0A63" w:rsidP="00A24459">
            <w:pPr>
              <w:jc w:val="center"/>
              <w:rPr>
                <w:color w:val="000000" w:themeColor="text1"/>
                <w:sz w:val="24"/>
                <w:szCs w:val="24"/>
              </w:rPr>
            </w:pPr>
            <w:r w:rsidRPr="00792B36">
              <w:rPr>
                <w:color w:val="000000" w:themeColor="text1"/>
                <w:sz w:val="24"/>
                <w:szCs w:val="24"/>
              </w:rPr>
              <w:t>30.00</w:t>
            </w:r>
          </w:p>
        </w:tc>
      </w:tr>
      <w:tr w:rsidR="009A0A63" w:rsidRPr="00792B36" w14:paraId="15743C39" w14:textId="77777777" w:rsidTr="00A24459">
        <w:tc>
          <w:tcPr>
            <w:tcW w:w="1494" w:type="pct"/>
          </w:tcPr>
          <w:p w14:paraId="14C497CF" w14:textId="77777777" w:rsidR="009A0A63" w:rsidRPr="00792B36" w:rsidRDefault="009A0A63" w:rsidP="00A24459">
            <w:pPr>
              <w:rPr>
                <w:color w:val="000000" w:themeColor="text1"/>
                <w:sz w:val="24"/>
                <w:szCs w:val="24"/>
              </w:rPr>
            </w:pPr>
            <w:r w:rsidRPr="00792B36">
              <w:rPr>
                <w:rStyle w:val="Strong"/>
                <w:rFonts w:eastAsiaTheme="minorEastAsia"/>
                <w:color w:val="000000" w:themeColor="text1"/>
                <w:sz w:val="24"/>
                <w:szCs w:val="24"/>
              </w:rPr>
              <w:t>SG2: Chumphon</w:t>
            </w:r>
          </w:p>
        </w:tc>
        <w:tc>
          <w:tcPr>
            <w:tcW w:w="1753" w:type="pct"/>
          </w:tcPr>
          <w:p w14:paraId="55008D28" w14:textId="77777777" w:rsidR="009A0A63" w:rsidRPr="00792B36" w:rsidRDefault="009A0A63" w:rsidP="00A24459">
            <w:pPr>
              <w:jc w:val="center"/>
              <w:rPr>
                <w:color w:val="000000" w:themeColor="text1"/>
                <w:sz w:val="24"/>
                <w:szCs w:val="24"/>
              </w:rPr>
            </w:pPr>
            <w:r w:rsidRPr="00792B36">
              <w:rPr>
                <w:color w:val="000000" w:themeColor="text1"/>
                <w:sz w:val="24"/>
                <w:szCs w:val="24"/>
              </w:rPr>
              <w:t>-</w:t>
            </w:r>
          </w:p>
        </w:tc>
        <w:tc>
          <w:tcPr>
            <w:tcW w:w="1753" w:type="pct"/>
          </w:tcPr>
          <w:p w14:paraId="113410C6" w14:textId="77777777" w:rsidR="009A0A63" w:rsidRPr="00792B36" w:rsidRDefault="009A0A63" w:rsidP="00A24459">
            <w:pPr>
              <w:jc w:val="center"/>
              <w:rPr>
                <w:color w:val="000000" w:themeColor="text1"/>
                <w:sz w:val="24"/>
                <w:szCs w:val="24"/>
                <w:cs/>
              </w:rPr>
            </w:pPr>
            <w:r w:rsidRPr="00792B36">
              <w:rPr>
                <w:color w:val="000000" w:themeColor="text1"/>
                <w:sz w:val="24"/>
                <w:szCs w:val="24"/>
              </w:rPr>
              <w:t>27.00</w:t>
            </w:r>
          </w:p>
        </w:tc>
      </w:tr>
    </w:tbl>
    <w:p w14:paraId="27370457" w14:textId="77777777" w:rsidR="009A0A63" w:rsidRPr="00792B36" w:rsidRDefault="009A0A63" w:rsidP="009A0A63">
      <w:pPr>
        <w:rPr>
          <w:b/>
          <w:bCs/>
          <w:color w:val="000000" w:themeColor="text1"/>
          <w:sz w:val="24"/>
          <w:szCs w:val="24"/>
        </w:rPr>
      </w:pPr>
    </w:p>
    <w:p w14:paraId="04AE48D6" w14:textId="77777777" w:rsidR="009A0A63" w:rsidRPr="00792B36" w:rsidRDefault="009A0A63" w:rsidP="009A0A63">
      <w:pPr>
        <w:tabs>
          <w:tab w:val="left" w:pos="1134"/>
        </w:tabs>
        <w:rPr>
          <w:b/>
          <w:bCs/>
          <w:i/>
          <w:iCs/>
          <w:color w:val="000000" w:themeColor="text1"/>
          <w:sz w:val="24"/>
          <w:szCs w:val="24"/>
        </w:rPr>
      </w:pPr>
      <w:r w:rsidRPr="00792B36">
        <w:rPr>
          <w:b/>
          <w:bCs/>
          <w:color w:val="000000" w:themeColor="text1"/>
          <w:sz w:val="24"/>
          <w:szCs w:val="24"/>
        </w:rPr>
        <w:tab/>
      </w:r>
      <w:r w:rsidRPr="00792B36">
        <w:rPr>
          <w:b/>
          <w:bCs/>
          <w:i/>
          <w:iCs/>
          <w:color w:val="000000" w:themeColor="text1"/>
          <w:sz w:val="24"/>
          <w:szCs w:val="24"/>
        </w:rPr>
        <w:t xml:space="preserve">SCS endemic species and endangered of threatened species </w:t>
      </w:r>
      <w:r w:rsidRPr="00792B36">
        <w:rPr>
          <w:b/>
          <w:bCs/>
          <w:i/>
          <w:iCs/>
          <w:color w:val="000000" w:themeColor="text1"/>
          <w:sz w:val="24"/>
          <w:szCs w:val="24"/>
          <w:cs/>
        </w:rPr>
        <w:t>(</w:t>
      </w:r>
      <w:r w:rsidRPr="00792B36">
        <w:rPr>
          <w:b/>
          <w:bCs/>
          <w:i/>
          <w:iCs/>
          <w:color w:val="000000" w:themeColor="text1"/>
          <w:sz w:val="24"/>
          <w:szCs w:val="24"/>
        </w:rPr>
        <w:t>IUCN</w:t>
      </w:r>
      <w:r w:rsidRPr="00792B36">
        <w:rPr>
          <w:b/>
          <w:bCs/>
          <w:i/>
          <w:iCs/>
          <w:color w:val="000000" w:themeColor="text1"/>
          <w:sz w:val="24"/>
          <w:szCs w:val="24"/>
          <w:cs/>
        </w:rPr>
        <w:t>)</w:t>
      </w:r>
    </w:p>
    <w:p w14:paraId="2D2CFB4E" w14:textId="77777777" w:rsidR="009A0A63" w:rsidRPr="00792B36" w:rsidRDefault="009A0A63" w:rsidP="009A0A63">
      <w:pPr>
        <w:tabs>
          <w:tab w:val="left" w:pos="1134"/>
        </w:tabs>
        <w:jc w:val="thaiDistribute"/>
        <w:rPr>
          <w:color w:val="000000" w:themeColor="text1"/>
          <w:sz w:val="24"/>
          <w:szCs w:val="24"/>
        </w:rPr>
      </w:pPr>
      <w:r w:rsidRPr="00792B36">
        <w:rPr>
          <w:color w:val="000000" w:themeColor="text1"/>
          <w:sz w:val="24"/>
          <w:szCs w:val="24"/>
        </w:rPr>
        <w:tab/>
        <w:t xml:space="preserve">An assessment of endemic coral species and the presence of internationally recognized threatened taxa across the Gulf of Thailand highlights the exceptional conservation value of its coral reef ecosystems. The region supports a diverse assemblage of South China Sea endemic species, including </w:t>
      </w:r>
      <w:r w:rsidRPr="00792B36">
        <w:rPr>
          <w:i/>
          <w:iCs/>
          <w:color w:val="000000" w:themeColor="text1"/>
          <w:sz w:val="24"/>
          <w:szCs w:val="24"/>
        </w:rPr>
        <w:t>Pectinia lactuca</w:t>
      </w:r>
      <w:r w:rsidRPr="00792B36">
        <w:rPr>
          <w:color w:val="000000" w:themeColor="text1"/>
          <w:sz w:val="24"/>
          <w:szCs w:val="24"/>
        </w:rPr>
        <w:t xml:space="preserve">, </w:t>
      </w:r>
      <w:r w:rsidRPr="00792B36">
        <w:rPr>
          <w:i/>
          <w:iCs/>
          <w:color w:val="000000" w:themeColor="text1"/>
          <w:sz w:val="24"/>
          <w:szCs w:val="24"/>
        </w:rPr>
        <w:t>Turbinaria patula</w:t>
      </w:r>
      <w:r w:rsidRPr="00792B36">
        <w:rPr>
          <w:color w:val="000000" w:themeColor="text1"/>
          <w:sz w:val="24"/>
          <w:szCs w:val="24"/>
        </w:rPr>
        <w:t xml:space="preserve">, </w:t>
      </w:r>
      <w:r w:rsidRPr="00792B36">
        <w:rPr>
          <w:i/>
          <w:iCs/>
          <w:color w:val="000000" w:themeColor="text1"/>
          <w:sz w:val="24"/>
          <w:szCs w:val="24"/>
        </w:rPr>
        <w:t>Acropora microclados</w:t>
      </w:r>
      <w:r w:rsidRPr="00792B36">
        <w:rPr>
          <w:color w:val="000000" w:themeColor="text1"/>
          <w:sz w:val="24"/>
          <w:szCs w:val="24"/>
        </w:rPr>
        <w:t xml:space="preserve">, </w:t>
      </w:r>
      <w:r w:rsidRPr="00792B36">
        <w:rPr>
          <w:i/>
          <w:iCs/>
          <w:color w:val="000000" w:themeColor="text1"/>
          <w:sz w:val="24"/>
          <w:szCs w:val="24"/>
        </w:rPr>
        <w:t>Merulina ampliata</w:t>
      </w:r>
      <w:r w:rsidRPr="00792B36">
        <w:rPr>
          <w:color w:val="000000" w:themeColor="text1"/>
          <w:sz w:val="24"/>
          <w:szCs w:val="24"/>
        </w:rPr>
        <w:t xml:space="preserve">, </w:t>
      </w:r>
      <w:r w:rsidRPr="00792B36">
        <w:rPr>
          <w:i/>
          <w:iCs/>
          <w:color w:val="000000" w:themeColor="text1"/>
          <w:sz w:val="24"/>
          <w:szCs w:val="24"/>
        </w:rPr>
        <w:t>Echinopora lamellose</w:t>
      </w:r>
      <w:r w:rsidRPr="00792B36">
        <w:rPr>
          <w:color w:val="000000" w:themeColor="text1"/>
          <w:sz w:val="24"/>
          <w:szCs w:val="24"/>
        </w:rPr>
        <w:t xml:space="preserve">, and several </w:t>
      </w:r>
      <w:r w:rsidRPr="00792B36">
        <w:rPr>
          <w:i/>
          <w:iCs/>
          <w:color w:val="000000" w:themeColor="text1"/>
          <w:sz w:val="24"/>
          <w:szCs w:val="24"/>
        </w:rPr>
        <w:t>Pectinia</w:t>
      </w:r>
      <w:r w:rsidRPr="00792B36">
        <w:rPr>
          <w:color w:val="000000" w:themeColor="text1"/>
          <w:sz w:val="24"/>
          <w:szCs w:val="24"/>
        </w:rPr>
        <w:t xml:space="preserve"> and </w:t>
      </w:r>
      <w:r w:rsidRPr="00792B36">
        <w:rPr>
          <w:i/>
          <w:iCs/>
          <w:color w:val="000000" w:themeColor="text1"/>
          <w:sz w:val="24"/>
          <w:szCs w:val="24"/>
        </w:rPr>
        <w:t>Goniopora</w:t>
      </w:r>
      <w:r w:rsidRPr="00792B36">
        <w:rPr>
          <w:color w:val="000000" w:themeColor="text1"/>
          <w:sz w:val="24"/>
          <w:szCs w:val="24"/>
        </w:rPr>
        <w:t xml:space="preserve"> species. Coral communities also harbor numerous taxa classified under the IUCN Red List as Endangered (EN), such as </w:t>
      </w:r>
      <w:r w:rsidRPr="00792B36">
        <w:rPr>
          <w:i/>
          <w:iCs/>
          <w:color w:val="000000" w:themeColor="text1"/>
          <w:sz w:val="24"/>
          <w:szCs w:val="24"/>
        </w:rPr>
        <w:t>Pectinia lactuca</w:t>
      </w:r>
      <w:r w:rsidRPr="00792B36">
        <w:rPr>
          <w:color w:val="000000" w:themeColor="text1"/>
          <w:sz w:val="24"/>
          <w:szCs w:val="24"/>
        </w:rPr>
        <w:t xml:space="preserve">, along with multiple Vulnerable (VU) species within the genus </w:t>
      </w:r>
      <w:r w:rsidRPr="00792B36">
        <w:rPr>
          <w:i/>
          <w:iCs/>
          <w:color w:val="000000" w:themeColor="text1"/>
          <w:sz w:val="24"/>
          <w:szCs w:val="24"/>
        </w:rPr>
        <w:t>Acropora</w:t>
      </w:r>
      <w:r w:rsidRPr="00792B36">
        <w:rPr>
          <w:color w:val="000000" w:themeColor="text1"/>
          <w:sz w:val="24"/>
          <w:szCs w:val="24"/>
        </w:rPr>
        <w:t xml:space="preserve">, including </w:t>
      </w:r>
      <w:r w:rsidRPr="00792B36">
        <w:rPr>
          <w:i/>
          <w:iCs/>
          <w:color w:val="000000" w:themeColor="text1"/>
          <w:sz w:val="24"/>
          <w:szCs w:val="24"/>
        </w:rPr>
        <w:t>A. humilis</w:t>
      </w:r>
      <w:r w:rsidRPr="00792B36">
        <w:rPr>
          <w:color w:val="000000" w:themeColor="text1"/>
          <w:sz w:val="24"/>
          <w:szCs w:val="24"/>
        </w:rPr>
        <w:t xml:space="preserve">, </w:t>
      </w:r>
      <w:r w:rsidRPr="00792B36">
        <w:rPr>
          <w:i/>
          <w:iCs/>
          <w:color w:val="000000" w:themeColor="text1"/>
          <w:sz w:val="24"/>
          <w:szCs w:val="24"/>
        </w:rPr>
        <w:t>A. muricata</w:t>
      </w:r>
      <w:r w:rsidRPr="00792B36">
        <w:rPr>
          <w:color w:val="000000" w:themeColor="text1"/>
          <w:sz w:val="24"/>
          <w:szCs w:val="24"/>
        </w:rPr>
        <w:t xml:space="preserve">, </w:t>
      </w:r>
      <w:r w:rsidRPr="00792B36">
        <w:rPr>
          <w:i/>
          <w:iCs/>
          <w:color w:val="000000" w:themeColor="text1"/>
          <w:sz w:val="24"/>
          <w:szCs w:val="24"/>
        </w:rPr>
        <w:t>A. millepora</w:t>
      </w:r>
      <w:r w:rsidRPr="00792B36">
        <w:rPr>
          <w:color w:val="000000" w:themeColor="text1"/>
          <w:sz w:val="24"/>
          <w:szCs w:val="24"/>
        </w:rPr>
        <w:t xml:space="preserve">, and </w:t>
      </w:r>
      <w:r w:rsidRPr="00792B36">
        <w:rPr>
          <w:i/>
          <w:iCs/>
          <w:color w:val="000000" w:themeColor="text1"/>
          <w:sz w:val="24"/>
          <w:szCs w:val="24"/>
        </w:rPr>
        <w:t>A. hyacinthus</w:t>
      </w:r>
      <w:r w:rsidRPr="00792B36">
        <w:rPr>
          <w:color w:val="000000" w:themeColor="text1"/>
          <w:sz w:val="24"/>
          <w:szCs w:val="24"/>
        </w:rPr>
        <w:t xml:space="preserve">. Additional species are considered Near Threatened (NT), notably </w:t>
      </w:r>
      <w:r w:rsidRPr="00792B36">
        <w:rPr>
          <w:i/>
          <w:iCs/>
          <w:color w:val="000000" w:themeColor="text1"/>
          <w:sz w:val="24"/>
          <w:szCs w:val="24"/>
        </w:rPr>
        <w:t>Favia favus</w:t>
      </w:r>
      <w:r w:rsidRPr="00792B36">
        <w:rPr>
          <w:color w:val="000000" w:themeColor="text1"/>
          <w:sz w:val="24"/>
          <w:szCs w:val="24"/>
        </w:rPr>
        <w:t xml:space="preserve">, </w:t>
      </w:r>
      <w:r w:rsidRPr="00792B36">
        <w:rPr>
          <w:i/>
          <w:iCs/>
          <w:color w:val="000000" w:themeColor="text1"/>
          <w:sz w:val="24"/>
          <w:szCs w:val="24"/>
        </w:rPr>
        <w:t>Galaxea fascicularis</w:t>
      </w:r>
      <w:r w:rsidRPr="00792B36">
        <w:rPr>
          <w:color w:val="000000" w:themeColor="text1"/>
          <w:sz w:val="24"/>
          <w:szCs w:val="24"/>
        </w:rPr>
        <w:t xml:space="preserve">, </w:t>
      </w:r>
      <w:r w:rsidRPr="00792B36">
        <w:rPr>
          <w:i/>
          <w:iCs/>
          <w:color w:val="000000" w:themeColor="text1"/>
          <w:sz w:val="24"/>
          <w:szCs w:val="24"/>
        </w:rPr>
        <w:t>Porites lutea</w:t>
      </w:r>
      <w:r w:rsidRPr="00792B36">
        <w:rPr>
          <w:color w:val="000000" w:themeColor="text1"/>
          <w:sz w:val="24"/>
          <w:szCs w:val="24"/>
        </w:rPr>
        <w:t xml:space="preserve">, and </w:t>
      </w:r>
      <w:r w:rsidRPr="00792B36">
        <w:rPr>
          <w:i/>
          <w:iCs/>
          <w:color w:val="000000" w:themeColor="text1"/>
          <w:sz w:val="24"/>
          <w:szCs w:val="24"/>
        </w:rPr>
        <w:t>Heliopora coerulea</w:t>
      </w:r>
      <w:r w:rsidRPr="00792B36">
        <w:rPr>
          <w:color w:val="000000" w:themeColor="text1"/>
          <w:sz w:val="24"/>
          <w:szCs w:val="24"/>
        </w:rPr>
        <w:t xml:space="preserve"> (blue coral), reflecting broader regional declines in coral abundance and habitat integrity. The distribution of these species underscores spatial variability in biodiversity and indicates the need for continued surveys. Collectively, these findings reinforce the importance of prioritizing conservation and targeted management interventions in areas of high endemism and vulnerability to ensure the long-term persistence of ecologically and economically significant coral reef species.</w:t>
      </w:r>
      <w:r w:rsidRPr="00792B36">
        <w:rPr>
          <w:color w:val="000000" w:themeColor="text1"/>
          <w:sz w:val="24"/>
          <w:szCs w:val="24"/>
          <w:cs/>
        </w:rPr>
        <w:t xml:space="preserve"> (</w:t>
      </w:r>
      <w:r w:rsidRPr="00792B36">
        <w:rPr>
          <w:color w:val="000000" w:themeColor="text1"/>
          <w:sz w:val="24"/>
          <w:szCs w:val="24"/>
        </w:rPr>
        <w:t>Table 18</w:t>
      </w:r>
      <w:r w:rsidRPr="00792B36">
        <w:rPr>
          <w:color w:val="000000" w:themeColor="text1"/>
          <w:sz w:val="24"/>
          <w:szCs w:val="24"/>
          <w:cs/>
        </w:rPr>
        <w:t>)</w:t>
      </w:r>
    </w:p>
    <w:p w14:paraId="31B1B6B4" w14:textId="77777777" w:rsidR="009A0A63" w:rsidRPr="00792B36" w:rsidRDefault="009A0A63" w:rsidP="009A0A63">
      <w:pPr>
        <w:tabs>
          <w:tab w:val="left" w:pos="1134"/>
        </w:tabs>
        <w:jc w:val="thaiDistribute"/>
        <w:rPr>
          <w:color w:val="000000" w:themeColor="text1"/>
          <w:sz w:val="24"/>
          <w:szCs w:val="24"/>
        </w:rPr>
      </w:pPr>
    </w:p>
    <w:p w14:paraId="09BAE94A" w14:textId="77777777" w:rsidR="009A0A63" w:rsidRPr="00792B36" w:rsidRDefault="009A0A63" w:rsidP="009A0A63">
      <w:pPr>
        <w:rPr>
          <w:b/>
          <w:bCs/>
          <w:color w:val="000000" w:themeColor="text1"/>
          <w:sz w:val="24"/>
          <w:szCs w:val="24"/>
        </w:rPr>
      </w:pPr>
      <w:r w:rsidRPr="00792B36">
        <w:rPr>
          <w:b/>
          <w:bCs/>
          <w:color w:val="000000" w:themeColor="text1"/>
          <w:sz w:val="24"/>
          <w:szCs w:val="24"/>
        </w:rPr>
        <w:t>Table 18</w:t>
      </w:r>
      <w:r w:rsidRPr="00792B36">
        <w:rPr>
          <w:b/>
          <w:bCs/>
          <w:color w:val="000000" w:themeColor="text1"/>
          <w:sz w:val="24"/>
          <w:szCs w:val="24"/>
          <w:cs/>
        </w:rPr>
        <w:t xml:space="preserve">. </w:t>
      </w:r>
      <w:r w:rsidRPr="00792B36">
        <w:rPr>
          <w:b/>
          <w:bCs/>
          <w:color w:val="000000" w:themeColor="text1"/>
          <w:sz w:val="24"/>
          <w:szCs w:val="24"/>
        </w:rPr>
        <w:t>Coral and seagrass areas in Thailand (Gulf of Thailand)</w:t>
      </w:r>
      <w:r w:rsidRPr="00792B36">
        <w:rPr>
          <w:b/>
          <w:bCs/>
          <w:color w:val="000000" w:themeColor="text1"/>
          <w:sz w:val="24"/>
          <w:szCs w:val="24"/>
          <w:cs/>
        </w:rPr>
        <w:t xml:space="preserve">: </w:t>
      </w:r>
      <w:r w:rsidRPr="00792B36">
        <w:rPr>
          <w:color w:val="000000" w:themeColor="text1"/>
          <w:sz w:val="24"/>
          <w:szCs w:val="24"/>
        </w:rPr>
        <w:t>Biological data</w:t>
      </w:r>
      <w:r w:rsidRPr="00792B36">
        <w:rPr>
          <w:color w:val="000000" w:themeColor="text1"/>
          <w:sz w:val="24"/>
          <w:szCs w:val="24"/>
          <w:cs/>
        </w:rPr>
        <w:t xml:space="preserve"> </w:t>
      </w:r>
      <w:r w:rsidRPr="00792B36">
        <w:rPr>
          <w:color w:val="000000" w:themeColor="text1"/>
          <w:sz w:val="24"/>
          <w:szCs w:val="24"/>
        </w:rPr>
        <w:t xml:space="preserve">showing SCS endemic species and endangered of threatened species </w:t>
      </w:r>
      <w:r w:rsidRPr="00792B36">
        <w:rPr>
          <w:color w:val="000000" w:themeColor="text1"/>
          <w:sz w:val="24"/>
          <w:szCs w:val="24"/>
          <w:cs/>
        </w:rPr>
        <w:t>(</w:t>
      </w:r>
      <w:r w:rsidRPr="00792B36">
        <w:rPr>
          <w:color w:val="000000" w:themeColor="text1"/>
          <w:sz w:val="24"/>
          <w:szCs w:val="24"/>
        </w:rPr>
        <w:t>IUCN</w:t>
      </w:r>
      <w:r w:rsidRPr="00792B36">
        <w:rPr>
          <w:color w:val="000000" w:themeColor="text1"/>
          <w:sz w:val="24"/>
          <w:szCs w:val="24"/>
          <w:cs/>
        </w:rPr>
        <w:t>)</w:t>
      </w:r>
    </w:p>
    <w:tbl>
      <w:tblPr>
        <w:tblStyle w:val="TableGrid"/>
        <w:tblW w:w="0" w:type="auto"/>
        <w:tblLook w:val="04A0" w:firstRow="1" w:lastRow="0" w:firstColumn="1" w:lastColumn="0" w:noHBand="0" w:noVBand="1"/>
      </w:tblPr>
      <w:tblGrid>
        <w:gridCol w:w="2286"/>
        <w:gridCol w:w="2794"/>
        <w:gridCol w:w="3930"/>
      </w:tblGrid>
      <w:tr w:rsidR="009A0A63" w:rsidRPr="00792B36" w14:paraId="5748CFC0" w14:textId="77777777" w:rsidTr="00A24459">
        <w:trPr>
          <w:tblHeader/>
        </w:trPr>
        <w:tc>
          <w:tcPr>
            <w:tcW w:w="3256" w:type="dxa"/>
          </w:tcPr>
          <w:p w14:paraId="629483D0" w14:textId="77777777" w:rsidR="009A0A63" w:rsidRPr="00792B36" w:rsidRDefault="009A0A63" w:rsidP="00A24459">
            <w:pPr>
              <w:spacing w:before="120" w:after="120"/>
              <w:jc w:val="center"/>
              <w:rPr>
                <w:b/>
                <w:bCs/>
                <w:color w:val="000000" w:themeColor="text1"/>
                <w:sz w:val="24"/>
                <w:szCs w:val="24"/>
              </w:rPr>
            </w:pPr>
            <w:r w:rsidRPr="00792B36">
              <w:rPr>
                <w:b/>
                <w:bCs/>
                <w:color w:val="000000" w:themeColor="text1"/>
                <w:sz w:val="24"/>
                <w:szCs w:val="24"/>
              </w:rPr>
              <w:t>Name of area</w:t>
            </w:r>
          </w:p>
        </w:tc>
        <w:tc>
          <w:tcPr>
            <w:tcW w:w="3543" w:type="dxa"/>
          </w:tcPr>
          <w:p w14:paraId="7691AAC9" w14:textId="77777777" w:rsidR="009A0A63" w:rsidRPr="00792B36" w:rsidRDefault="009A0A63" w:rsidP="00A24459">
            <w:pPr>
              <w:spacing w:before="120" w:after="120"/>
              <w:jc w:val="center"/>
              <w:rPr>
                <w:b/>
                <w:bCs/>
                <w:color w:val="000000" w:themeColor="text1"/>
                <w:sz w:val="24"/>
                <w:szCs w:val="24"/>
              </w:rPr>
            </w:pPr>
            <w:r w:rsidRPr="00792B36">
              <w:rPr>
                <w:b/>
                <w:bCs/>
                <w:color w:val="000000" w:themeColor="text1"/>
                <w:sz w:val="24"/>
                <w:szCs w:val="24"/>
              </w:rPr>
              <w:t>SCS Endemic species</w:t>
            </w:r>
          </w:p>
        </w:tc>
        <w:tc>
          <w:tcPr>
            <w:tcW w:w="6151" w:type="dxa"/>
          </w:tcPr>
          <w:p w14:paraId="4D51D442" w14:textId="77777777" w:rsidR="009A0A63" w:rsidRPr="00792B36" w:rsidRDefault="009A0A63" w:rsidP="00A24459">
            <w:pPr>
              <w:spacing w:before="120" w:after="120"/>
              <w:jc w:val="center"/>
              <w:rPr>
                <w:b/>
                <w:bCs/>
                <w:color w:val="000000" w:themeColor="text1"/>
                <w:sz w:val="24"/>
                <w:szCs w:val="24"/>
              </w:rPr>
            </w:pPr>
            <w:r w:rsidRPr="00792B36">
              <w:rPr>
                <w:b/>
                <w:bCs/>
                <w:color w:val="000000" w:themeColor="text1"/>
                <w:sz w:val="24"/>
                <w:szCs w:val="24"/>
              </w:rPr>
              <w:t xml:space="preserve">Endangered of threatened species </w:t>
            </w:r>
            <w:r w:rsidRPr="00792B36">
              <w:rPr>
                <w:b/>
                <w:bCs/>
                <w:color w:val="000000" w:themeColor="text1"/>
                <w:sz w:val="24"/>
                <w:szCs w:val="24"/>
                <w:cs/>
              </w:rPr>
              <w:t>(</w:t>
            </w:r>
            <w:r w:rsidRPr="00792B36">
              <w:rPr>
                <w:b/>
                <w:bCs/>
                <w:color w:val="000000" w:themeColor="text1"/>
                <w:sz w:val="24"/>
                <w:szCs w:val="24"/>
              </w:rPr>
              <w:t>IUCN</w:t>
            </w:r>
            <w:r w:rsidRPr="00792B36">
              <w:rPr>
                <w:b/>
                <w:bCs/>
                <w:color w:val="000000" w:themeColor="text1"/>
                <w:sz w:val="24"/>
                <w:szCs w:val="24"/>
                <w:cs/>
              </w:rPr>
              <w:t>)</w:t>
            </w:r>
          </w:p>
        </w:tc>
      </w:tr>
      <w:tr w:rsidR="009A0A63" w:rsidRPr="00792B36" w14:paraId="20519657" w14:textId="77777777" w:rsidTr="00A24459">
        <w:tc>
          <w:tcPr>
            <w:tcW w:w="3256" w:type="dxa"/>
          </w:tcPr>
          <w:p w14:paraId="1F56E88C" w14:textId="77777777" w:rsidR="009A0A63" w:rsidRPr="00792B36" w:rsidRDefault="009A0A63" w:rsidP="00A24459">
            <w:pPr>
              <w:rPr>
                <w:b/>
                <w:bCs/>
                <w:color w:val="000000" w:themeColor="text1"/>
                <w:sz w:val="24"/>
                <w:szCs w:val="24"/>
              </w:rPr>
            </w:pPr>
            <w:r w:rsidRPr="00792B36">
              <w:rPr>
                <w:b/>
                <w:bCs/>
                <w:color w:val="000000" w:themeColor="text1"/>
                <w:sz w:val="24"/>
                <w:szCs w:val="24"/>
              </w:rPr>
              <w:t xml:space="preserve">CR:1 Koh Si Chang </w:t>
            </w:r>
          </w:p>
          <w:p w14:paraId="6423F6A2" w14:textId="77777777" w:rsidR="009A0A63" w:rsidRPr="00792B36" w:rsidRDefault="009A0A63" w:rsidP="00A24459">
            <w:pPr>
              <w:rPr>
                <w:b/>
                <w:bCs/>
                <w:color w:val="000000" w:themeColor="text1"/>
                <w:sz w:val="24"/>
                <w:szCs w:val="24"/>
              </w:rPr>
            </w:pPr>
            <w:r w:rsidRPr="00792B36">
              <w:rPr>
                <w:b/>
                <w:bCs/>
                <w:color w:val="000000" w:themeColor="text1"/>
                <w:sz w:val="24"/>
                <w:szCs w:val="24"/>
              </w:rPr>
              <w:t xml:space="preserve">CR:2 Koh Lan </w:t>
            </w:r>
          </w:p>
          <w:p w14:paraId="52B99265" w14:textId="77777777" w:rsidR="009A0A63" w:rsidRPr="00792B36" w:rsidRDefault="009A0A63" w:rsidP="00A24459">
            <w:pPr>
              <w:rPr>
                <w:b/>
                <w:bCs/>
                <w:color w:val="000000" w:themeColor="text1"/>
                <w:sz w:val="24"/>
                <w:szCs w:val="24"/>
              </w:rPr>
            </w:pPr>
            <w:r w:rsidRPr="00792B36">
              <w:rPr>
                <w:b/>
                <w:bCs/>
                <w:color w:val="000000" w:themeColor="text1"/>
                <w:sz w:val="24"/>
                <w:szCs w:val="24"/>
              </w:rPr>
              <w:t>CR:3 Koh Kood,</w:t>
            </w:r>
          </w:p>
          <w:p w14:paraId="34321BF6" w14:textId="77777777" w:rsidR="009A0A63" w:rsidRPr="00792B36" w:rsidRDefault="009A0A63" w:rsidP="00A24459">
            <w:pPr>
              <w:rPr>
                <w:b/>
                <w:bCs/>
                <w:color w:val="000000" w:themeColor="text1"/>
                <w:sz w:val="24"/>
                <w:szCs w:val="24"/>
              </w:rPr>
            </w:pPr>
            <w:r w:rsidRPr="00792B36">
              <w:rPr>
                <w:b/>
                <w:bCs/>
                <w:color w:val="000000" w:themeColor="text1"/>
                <w:sz w:val="24"/>
                <w:szCs w:val="24"/>
              </w:rPr>
              <w:t>CR:4 Koh Mak</w:t>
            </w:r>
          </w:p>
          <w:p w14:paraId="01677C18" w14:textId="77777777" w:rsidR="009A0A63" w:rsidRPr="00792B36" w:rsidRDefault="009A0A63" w:rsidP="00A24459">
            <w:pPr>
              <w:rPr>
                <w:b/>
                <w:bCs/>
                <w:color w:val="000000" w:themeColor="text1"/>
                <w:sz w:val="24"/>
                <w:szCs w:val="24"/>
              </w:rPr>
            </w:pPr>
            <w:r w:rsidRPr="00792B36">
              <w:rPr>
                <w:b/>
                <w:bCs/>
                <w:color w:val="000000" w:themeColor="text1"/>
                <w:sz w:val="24"/>
                <w:szCs w:val="24"/>
              </w:rPr>
              <w:lastRenderedPageBreak/>
              <w:t>CR:5 Koh Tao</w:t>
            </w:r>
          </w:p>
          <w:p w14:paraId="7A106262" w14:textId="77777777" w:rsidR="009A0A63" w:rsidRPr="00792B36" w:rsidRDefault="009A0A63" w:rsidP="00A24459">
            <w:pPr>
              <w:rPr>
                <w:b/>
                <w:bCs/>
                <w:color w:val="000000" w:themeColor="text1"/>
                <w:sz w:val="24"/>
                <w:szCs w:val="24"/>
              </w:rPr>
            </w:pPr>
            <w:r w:rsidRPr="00792B36">
              <w:rPr>
                <w:b/>
                <w:bCs/>
                <w:color w:val="000000" w:themeColor="text1"/>
                <w:sz w:val="24"/>
                <w:szCs w:val="24"/>
              </w:rPr>
              <w:t>CR:6 Koh Kra</w:t>
            </w:r>
          </w:p>
          <w:p w14:paraId="619B363F" w14:textId="77777777" w:rsidR="009A0A63" w:rsidRPr="00792B36" w:rsidRDefault="009A0A63" w:rsidP="00A24459">
            <w:pPr>
              <w:rPr>
                <w:b/>
                <w:bCs/>
                <w:color w:val="000000" w:themeColor="text1"/>
                <w:sz w:val="24"/>
                <w:szCs w:val="24"/>
              </w:rPr>
            </w:pPr>
            <w:r w:rsidRPr="00792B36">
              <w:rPr>
                <w:b/>
                <w:bCs/>
                <w:color w:val="000000" w:themeColor="text1"/>
                <w:sz w:val="24"/>
                <w:szCs w:val="24"/>
              </w:rPr>
              <w:t>CR:7 Koh Losin</w:t>
            </w:r>
          </w:p>
          <w:p w14:paraId="1A7D02CE" w14:textId="77777777" w:rsidR="009A0A63" w:rsidRPr="00792B36" w:rsidRDefault="009A0A63" w:rsidP="00A24459">
            <w:pPr>
              <w:rPr>
                <w:b/>
                <w:bCs/>
                <w:color w:val="000000" w:themeColor="text1"/>
                <w:sz w:val="24"/>
                <w:szCs w:val="24"/>
              </w:rPr>
            </w:pPr>
            <w:r w:rsidRPr="00792B36">
              <w:rPr>
                <w:b/>
                <w:bCs/>
                <w:color w:val="000000" w:themeColor="text1"/>
                <w:sz w:val="24"/>
                <w:szCs w:val="24"/>
              </w:rPr>
              <w:t>CR:8 Underwater pinnacle Chumphon Province</w:t>
            </w:r>
          </w:p>
          <w:p w14:paraId="48E14C3D" w14:textId="77777777" w:rsidR="009A0A63" w:rsidRPr="00792B36" w:rsidRDefault="009A0A63" w:rsidP="00A24459">
            <w:pPr>
              <w:rPr>
                <w:b/>
                <w:bCs/>
                <w:color w:val="000000" w:themeColor="text1"/>
                <w:sz w:val="24"/>
                <w:szCs w:val="24"/>
              </w:rPr>
            </w:pPr>
          </w:p>
        </w:tc>
        <w:tc>
          <w:tcPr>
            <w:tcW w:w="3543" w:type="dxa"/>
          </w:tcPr>
          <w:p w14:paraId="06368ADE" w14:textId="77777777" w:rsidR="009A0A63" w:rsidRPr="00792B36" w:rsidRDefault="009A0A63" w:rsidP="00F61B37">
            <w:pPr>
              <w:pStyle w:val="ListParagraph"/>
              <w:widowControl/>
              <w:numPr>
                <w:ilvl w:val="0"/>
                <w:numId w:val="46"/>
              </w:numPr>
              <w:rPr>
                <w:rFonts w:cs="Arial"/>
                <w:i/>
                <w:iCs/>
                <w:color w:val="000000" w:themeColor="text1"/>
                <w:sz w:val="24"/>
                <w:szCs w:val="24"/>
              </w:rPr>
            </w:pPr>
            <w:r w:rsidRPr="00792B36">
              <w:rPr>
                <w:rFonts w:cs="Arial"/>
                <w:i/>
                <w:iCs/>
                <w:color w:val="000000" w:themeColor="text1"/>
                <w:sz w:val="24"/>
                <w:szCs w:val="24"/>
              </w:rPr>
              <w:lastRenderedPageBreak/>
              <w:t>Pectinia Lactuca</w:t>
            </w:r>
          </w:p>
          <w:p w14:paraId="757A1DCB" w14:textId="77777777" w:rsidR="009A0A63" w:rsidRPr="00792B36" w:rsidRDefault="009A0A63" w:rsidP="00F61B37">
            <w:pPr>
              <w:pStyle w:val="ListParagraph"/>
              <w:widowControl/>
              <w:numPr>
                <w:ilvl w:val="0"/>
                <w:numId w:val="46"/>
              </w:numPr>
              <w:rPr>
                <w:rFonts w:cs="Arial"/>
                <w:i/>
                <w:iCs/>
                <w:color w:val="000000" w:themeColor="text1"/>
                <w:sz w:val="24"/>
                <w:szCs w:val="24"/>
              </w:rPr>
            </w:pPr>
            <w:r w:rsidRPr="00792B36">
              <w:rPr>
                <w:rFonts w:cs="Arial"/>
                <w:i/>
                <w:iCs/>
                <w:color w:val="000000" w:themeColor="text1"/>
                <w:sz w:val="24"/>
                <w:szCs w:val="24"/>
              </w:rPr>
              <w:t>Turbinaria patula</w:t>
            </w:r>
          </w:p>
          <w:p w14:paraId="68D5E8F5" w14:textId="77777777" w:rsidR="009A0A63" w:rsidRPr="00792B36" w:rsidRDefault="009A0A63" w:rsidP="00F61B37">
            <w:pPr>
              <w:pStyle w:val="ListParagraph"/>
              <w:widowControl/>
              <w:numPr>
                <w:ilvl w:val="0"/>
                <w:numId w:val="46"/>
              </w:numPr>
              <w:rPr>
                <w:rFonts w:cs="Arial"/>
                <w:i/>
                <w:iCs/>
                <w:color w:val="000000" w:themeColor="text1"/>
                <w:sz w:val="24"/>
                <w:szCs w:val="24"/>
              </w:rPr>
            </w:pPr>
            <w:r w:rsidRPr="00792B36">
              <w:rPr>
                <w:rFonts w:cs="Arial"/>
                <w:i/>
                <w:iCs/>
                <w:color w:val="000000" w:themeColor="text1"/>
                <w:sz w:val="24"/>
                <w:szCs w:val="24"/>
              </w:rPr>
              <w:t>Acropora microclados</w:t>
            </w:r>
          </w:p>
          <w:p w14:paraId="7156F4B7" w14:textId="77777777" w:rsidR="009A0A63" w:rsidRPr="00792B36" w:rsidRDefault="009A0A63" w:rsidP="00F61B37">
            <w:pPr>
              <w:pStyle w:val="ListParagraph"/>
              <w:widowControl/>
              <w:numPr>
                <w:ilvl w:val="0"/>
                <w:numId w:val="46"/>
              </w:numPr>
              <w:rPr>
                <w:rFonts w:cs="Arial"/>
                <w:i/>
                <w:iCs/>
                <w:color w:val="000000" w:themeColor="text1"/>
                <w:sz w:val="24"/>
                <w:szCs w:val="24"/>
              </w:rPr>
            </w:pPr>
            <w:r w:rsidRPr="00792B36">
              <w:rPr>
                <w:rFonts w:cs="Arial"/>
                <w:i/>
                <w:iCs/>
                <w:color w:val="000000" w:themeColor="text1"/>
                <w:sz w:val="24"/>
                <w:szCs w:val="24"/>
              </w:rPr>
              <w:lastRenderedPageBreak/>
              <w:t>Merulina ampliata</w:t>
            </w:r>
          </w:p>
          <w:p w14:paraId="2FF6F808" w14:textId="77777777" w:rsidR="009A0A63" w:rsidRPr="00792B36" w:rsidRDefault="009A0A63" w:rsidP="00F61B37">
            <w:pPr>
              <w:pStyle w:val="ListParagraph"/>
              <w:widowControl/>
              <w:numPr>
                <w:ilvl w:val="0"/>
                <w:numId w:val="46"/>
              </w:numPr>
              <w:rPr>
                <w:rFonts w:cs="Arial"/>
                <w:i/>
                <w:iCs/>
                <w:color w:val="000000" w:themeColor="text1"/>
                <w:sz w:val="24"/>
                <w:szCs w:val="24"/>
              </w:rPr>
            </w:pPr>
            <w:r w:rsidRPr="00792B36">
              <w:rPr>
                <w:rFonts w:cs="Arial"/>
                <w:i/>
                <w:iCs/>
                <w:color w:val="000000" w:themeColor="text1"/>
                <w:sz w:val="24"/>
                <w:szCs w:val="24"/>
              </w:rPr>
              <w:t>Echinopora lamellose</w:t>
            </w:r>
          </w:p>
          <w:p w14:paraId="309625CC" w14:textId="77777777" w:rsidR="009A0A63" w:rsidRPr="00792B36" w:rsidRDefault="009A0A63" w:rsidP="00F61B37">
            <w:pPr>
              <w:pStyle w:val="ListParagraph"/>
              <w:widowControl/>
              <w:numPr>
                <w:ilvl w:val="0"/>
                <w:numId w:val="46"/>
              </w:numPr>
              <w:rPr>
                <w:rFonts w:cs="Arial"/>
                <w:i/>
                <w:iCs/>
                <w:color w:val="000000" w:themeColor="text1"/>
                <w:sz w:val="24"/>
                <w:szCs w:val="24"/>
              </w:rPr>
            </w:pPr>
            <w:r w:rsidRPr="00792B36">
              <w:rPr>
                <w:rFonts w:cs="Arial"/>
                <w:i/>
                <w:iCs/>
                <w:color w:val="000000" w:themeColor="text1"/>
                <w:sz w:val="24"/>
                <w:szCs w:val="24"/>
              </w:rPr>
              <w:t>Pectinia Paeonia</w:t>
            </w:r>
          </w:p>
          <w:p w14:paraId="0B34C340" w14:textId="77777777" w:rsidR="009A0A63" w:rsidRPr="00792B36" w:rsidRDefault="009A0A63" w:rsidP="00F61B37">
            <w:pPr>
              <w:pStyle w:val="ListParagraph"/>
              <w:widowControl/>
              <w:numPr>
                <w:ilvl w:val="0"/>
                <w:numId w:val="46"/>
              </w:numPr>
              <w:rPr>
                <w:rFonts w:cs="Arial"/>
                <w:i/>
                <w:iCs/>
                <w:color w:val="000000" w:themeColor="text1"/>
                <w:sz w:val="24"/>
                <w:szCs w:val="24"/>
              </w:rPr>
            </w:pPr>
            <w:r w:rsidRPr="00792B36">
              <w:rPr>
                <w:rFonts w:cs="Arial"/>
                <w:i/>
                <w:iCs/>
                <w:color w:val="000000" w:themeColor="text1"/>
                <w:sz w:val="24"/>
                <w:szCs w:val="24"/>
              </w:rPr>
              <w:t>Pectinia maxima</w:t>
            </w:r>
          </w:p>
          <w:p w14:paraId="02333450" w14:textId="77777777" w:rsidR="009A0A63" w:rsidRPr="00792B36" w:rsidRDefault="009A0A63" w:rsidP="00F61B37">
            <w:pPr>
              <w:pStyle w:val="ListParagraph"/>
              <w:widowControl/>
              <w:numPr>
                <w:ilvl w:val="0"/>
                <w:numId w:val="46"/>
              </w:numPr>
              <w:rPr>
                <w:rFonts w:cs="Arial"/>
                <w:i/>
                <w:iCs/>
                <w:color w:val="000000" w:themeColor="text1"/>
                <w:sz w:val="24"/>
                <w:szCs w:val="24"/>
              </w:rPr>
            </w:pPr>
            <w:r w:rsidRPr="00792B36">
              <w:rPr>
                <w:rFonts w:cs="Arial"/>
                <w:i/>
                <w:iCs/>
                <w:color w:val="000000" w:themeColor="text1"/>
                <w:sz w:val="24"/>
                <w:szCs w:val="24"/>
              </w:rPr>
              <w:t>Goniopora stokesi</w:t>
            </w:r>
          </w:p>
        </w:tc>
        <w:tc>
          <w:tcPr>
            <w:tcW w:w="6151" w:type="dxa"/>
          </w:tcPr>
          <w:p w14:paraId="016A8E2C" w14:textId="77777777" w:rsidR="009A0A63" w:rsidRPr="00792B36" w:rsidRDefault="009A0A63" w:rsidP="00A24459">
            <w:pPr>
              <w:rPr>
                <w:color w:val="000000" w:themeColor="text1"/>
                <w:sz w:val="24"/>
                <w:szCs w:val="24"/>
              </w:rPr>
            </w:pPr>
            <w:r w:rsidRPr="00792B36">
              <w:rPr>
                <w:color w:val="000000" w:themeColor="text1"/>
                <w:sz w:val="24"/>
                <w:szCs w:val="24"/>
              </w:rPr>
              <w:lastRenderedPageBreak/>
              <w:t xml:space="preserve">Endangered </w:t>
            </w:r>
            <w:r w:rsidRPr="00792B36">
              <w:rPr>
                <w:color w:val="000000" w:themeColor="text1"/>
                <w:sz w:val="24"/>
                <w:szCs w:val="24"/>
                <w:cs/>
              </w:rPr>
              <w:t>(</w:t>
            </w:r>
            <w:r w:rsidRPr="00792B36">
              <w:rPr>
                <w:color w:val="000000" w:themeColor="text1"/>
                <w:sz w:val="24"/>
                <w:szCs w:val="24"/>
              </w:rPr>
              <w:t>EN</w:t>
            </w:r>
            <w:r w:rsidRPr="00792B36">
              <w:rPr>
                <w:color w:val="000000" w:themeColor="text1"/>
                <w:sz w:val="24"/>
                <w:szCs w:val="24"/>
                <w:cs/>
              </w:rPr>
              <w:t>)</w:t>
            </w:r>
          </w:p>
          <w:p w14:paraId="6FDCEECC" w14:textId="77777777" w:rsidR="009A0A63" w:rsidRPr="00792B36" w:rsidRDefault="009A0A63" w:rsidP="00A24459">
            <w:pPr>
              <w:rPr>
                <w:i/>
                <w:iCs/>
                <w:color w:val="000000" w:themeColor="text1"/>
                <w:sz w:val="24"/>
                <w:szCs w:val="24"/>
              </w:rPr>
            </w:pPr>
            <w:r w:rsidRPr="00792B36">
              <w:rPr>
                <w:i/>
                <w:iCs/>
                <w:color w:val="000000" w:themeColor="text1"/>
                <w:sz w:val="24"/>
                <w:szCs w:val="24"/>
              </w:rPr>
              <w:t>Pectinia Lactuca</w:t>
            </w:r>
          </w:p>
          <w:p w14:paraId="09C1FD85" w14:textId="77777777" w:rsidR="009A0A63" w:rsidRPr="00792B36" w:rsidRDefault="009A0A63" w:rsidP="00A24459">
            <w:pPr>
              <w:rPr>
                <w:color w:val="000000" w:themeColor="text1"/>
                <w:sz w:val="24"/>
                <w:szCs w:val="24"/>
              </w:rPr>
            </w:pPr>
            <w:r w:rsidRPr="00792B36">
              <w:rPr>
                <w:color w:val="000000" w:themeColor="text1"/>
                <w:sz w:val="24"/>
                <w:szCs w:val="24"/>
              </w:rPr>
              <w:t xml:space="preserve">Vulnerable </w:t>
            </w:r>
            <w:r w:rsidRPr="00792B36">
              <w:rPr>
                <w:color w:val="000000" w:themeColor="text1"/>
                <w:sz w:val="24"/>
                <w:szCs w:val="24"/>
                <w:cs/>
              </w:rPr>
              <w:t>(</w:t>
            </w:r>
            <w:r w:rsidRPr="00792B36">
              <w:rPr>
                <w:color w:val="000000" w:themeColor="text1"/>
                <w:sz w:val="24"/>
                <w:szCs w:val="24"/>
              </w:rPr>
              <w:t>VU</w:t>
            </w:r>
          </w:p>
          <w:p w14:paraId="72278FE2" w14:textId="77777777" w:rsidR="009A0A63" w:rsidRPr="00792B36" w:rsidRDefault="009A0A63" w:rsidP="00A24459">
            <w:pPr>
              <w:rPr>
                <w:i/>
                <w:iCs/>
                <w:color w:val="000000" w:themeColor="text1"/>
                <w:sz w:val="24"/>
                <w:szCs w:val="24"/>
              </w:rPr>
            </w:pPr>
            <w:r w:rsidRPr="00792B36">
              <w:rPr>
                <w:i/>
                <w:iCs/>
                <w:color w:val="000000" w:themeColor="text1"/>
                <w:sz w:val="24"/>
                <w:szCs w:val="24"/>
              </w:rPr>
              <w:t>Acropora humilis</w:t>
            </w:r>
            <w:r w:rsidRPr="00792B36">
              <w:rPr>
                <w:color w:val="000000" w:themeColor="text1"/>
                <w:sz w:val="24"/>
                <w:szCs w:val="24"/>
              </w:rPr>
              <w:t xml:space="preserve">, </w:t>
            </w:r>
            <w:r w:rsidRPr="00792B36">
              <w:rPr>
                <w:i/>
                <w:iCs/>
                <w:color w:val="000000" w:themeColor="text1"/>
                <w:sz w:val="24"/>
                <w:szCs w:val="24"/>
              </w:rPr>
              <w:t>Acropora muricata</w:t>
            </w:r>
            <w:r w:rsidRPr="00792B36">
              <w:rPr>
                <w:color w:val="000000" w:themeColor="text1"/>
                <w:sz w:val="24"/>
                <w:szCs w:val="24"/>
              </w:rPr>
              <w:t>,</w:t>
            </w:r>
            <w:r w:rsidRPr="00792B36">
              <w:rPr>
                <w:i/>
                <w:iCs/>
                <w:color w:val="000000" w:themeColor="text1"/>
                <w:sz w:val="24"/>
                <w:szCs w:val="24"/>
              </w:rPr>
              <w:t xml:space="preserve"> Acropora millepora, </w:t>
            </w:r>
            <w:r w:rsidRPr="00792B36">
              <w:rPr>
                <w:i/>
                <w:iCs/>
                <w:color w:val="000000" w:themeColor="text1"/>
                <w:sz w:val="24"/>
                <w:szCs w:val="24"/>
              </w:rPr>
              <w:lastRenderedPageBreak/>
              <w:t>Acropora hyacinthus</w:t>
            </w:r>
            <w:r w:rsidRPr="00792B36">
              <w:rPr>
                <w:color w:val="000000" w:themeColor="text1"/>
                <w:sz w:val="24"/>
                <w:szCs w:val="24"/>
              </w:rPr>
              <w:t xml:space="preserve">, </w:t>
            </w:r>
            <w:r w:rsidRPr="00792B36">
              <w:rPr>
                <w:i/>
                <w:iCs/>
                <w:color w:val="000000" w:themeColor="text1"/>
                <w:sz w:val="24"/>
                <w:szCs w:val="24"/>
              </w:rPr>
              <w:t>Acropora nasuta</w:t>
            </w:r>
            <w:r w:rsidRPr="00792B36">
              <w:rPr>
                <w:color w:val="000000" w:themeColor="text1"/>
                <w:sz w:val="24"/>
                <w:szCs w:val="24"/>
              </w:rPr>
              <w:t xml:space="preserve">, </w:t>
            </w:r>
            <w:r w:rsidRPr="00792B36">
              <w:rPr>
                <w:i/>
                <w:iCs/>
                <w:color w:val="000000" w:themeColor="text1"/>
                <w:sz w:val="24"/>
                <w:szCs w:val="24"/>
              </w:rPr>
              <w:t>Acropora gemmifera</w:t>
            </w:r>
            <w:r w:rsidRPr="00792B36">
              <w:rPr>
                <w:color w:val="000000" w:themeColor="text1"/>
                <w:sz w:val="24"/>
                <w:szCs w:val="24"/>
              </w:rPr>
              <w:t>,</w:t>
            </w:r>
          </w:p>
          <w:p w14:paraId="72C7D69F" w14:textId="77777777" w:rsidR="009A0A63" w:rsidRPr="00792B36" w:rsidRDefault="009A0A63" w:rsidP="00A24459">
            <w:pPr>
              <w:rPr>
                <w:i/>
                <w:iCs/>
                <w:color w:val="000000" w:themeColor="text1"/>
                <w:sz w:val="24"/>
                <w:szCs w:val="24"/>
              </w:rPr>
            </w:pPr>
            <w:r w:rsidRPr="00792B36">
              <w:rPr>
                <w:i/>
                <w:iCs/>
                <w:color w:val="000000" w:themeColor="text1"/>
                <w:sz w:val="24"/>
                <w:szCs w:val="24"/>
              </w:rPr>
              <w:t>Acropora tenuis</w:t>
            </w:r>
            <w:r w:rsidRPr="00792B36">
              <w:rPr>
                <w:color w:val="000000" w:themeColor="text1"/>
                <w:sz w:val="24"/>
                <w:szCs w:val="24"/>
              </w:rPr>
              <w:t xml:space="preserve">, </w:t>
            </w:r>
            <w:r w:rsidRPr="00792B36">
              <w:rPr>
                <w:i/>
                <w:iCs/>
                <w:color w:val="000000" w:themeColor="text1"/>
                <w:sz w:val="24"/>
                <w:szCs w:val="24"/>
              </w:rPr>
              <w:t>Acropora robusta Acropora loripes Montipora foliosa Montipora digitata</w:t>
            </w:r>
            <w:r w:rsidRPr="00792B36">
              <w:rPr>
                <w:color w:val="000000" w:themeColor="text1"/>
                <w:sz w:val="24"/>
                <w:szCs w:val="24"/>
              </w:rPr>
              <w:t>,</w:t>
            </w:r>
            <w:r w:rsidRPr="00792B36">
              <w:rPr>
                <w:i/>
                <w:iCs/>
                <w:color w:val="000000" w:themeColor="text1"/>
                <w:sz w:val="24"/>
                <w:szCs w:val="24"/>
              </w:rPr>
              <w:t xml:space="preserve"> Montipora aequituberculata</w:t>
            </w:r>
            <w:r w:rsidRPr="00792B36">
              <w:rPr>
                <w:color w:val="000000" w:themeColor="text1"/>
                <w:sz w:val="24"/>
                <w:szCs w:val="24"/>
              </w:rPr>
              <w:t>,</w:t>
            </w:r>
            <w:r w:rsidRPr="00792B36">
              <w:rPr>
                <w:i/>
                <w:iCs/>
                <w:color w:val="000000" w:themeColor="text1"/>
                <w:sz w:val="24"/>
                <w:szCs w:val="24"/>
              </w:rPr>
              <w:t xml:space="preserve"> Montipora monasteriata</w:t>
            </w:r>
            <w:r w:rsidRPr="00792B36">
              <w:rPr>
                <w:color w:val="000000" w:themeColor="text1"/>
                <w:sz w:val="24"/>
                <w:szCs w:val="24"/>
              </w:rPr>
              <w:t>,</w:t>
            </w:r>
            <w:r w:rsidRPr="00792B36">
              <w:rPr>
                <w:i/>
                <w:iCs/>
                <w:color w:val="000000" w:themeColor="text1"/>
                <w:sz w:val="24"/>
                <w:szCs w:val="24"/>
              </w:rPr>
              <w:t xml:space="preserve"> Pocillopora acuta</w:t>
            </w:r>
            <w:r w:rsidRPr="00792B36">
              <w:rPr>
                <w:color w:val="000000" w:themeColor="text1"/>
                <w:sz w:val="24"/>
                <w:szCs w:val="24"/>
              </w:rPr>
              <w:t>,</w:t>
            </w:r>
            <w:r w:rsidRPr="00792B36">
              <w:rPr>
                <w:i/>
                <w:iCs/>
                <w:color w:val="000000" w:themeColor="text1"/>
                <w:sz w:val="24"/>
                <w:szCs w:val="24"/>
              </w:rPr>
              <w:t xml:space="preserve"> Turbinaria patula</w:t>
            </w:r>
            <w:r w:rsidRPr="00792B36">
              <w:rPr>
                <w:color w:val="000000" w:themeColor="text1"/>
                <w:sz w:val="24"/>
                <w:szCs w:val="24"/>
              </w:rPr>
              <w:t>,</w:t>
            </w:r>
            <w:r w:rsidRPr="00792B36">
              <w:rPr>
                <w:i/>
                <w:iCs/>
                <w:color w:val="000000" w:themeColor="text1"/>
                <w:sz w:val="24"/>
                <w:szCs w:val="24"/>
              </w:rPr>
              <w:t xml:space="preserve"> Turbinaria mesenterina</w:t>
            </w:r>
            <w:r w:rsidRPr="00792B36">
              <w:rPr>
                <w:color w:val="000000" w:themeColor="text1"/>
                <w:sz w:val="24"/>
                <w:szCs w:val="24"/>
              </w:rPr>
              <w:t>,</w:t>
            </w:r>
            <w:r w:rsidRPr="00792B36">
              <w:rPr>
                <w:i/>
                <w:iCs/>
                <w:color w:val="000000" w:themeColor="text1"/>
                <w:sz w:val="24"/>
                <w:szCs w:val="24"/>
              </w:rPr>
              <w:t xml:space="preserve"> Hydnophora rigida</w:t>
            </w:r>
            <w:r w:rsidRPr="00792B36">
              <w:rPr>
                <w:color w:val="000000" w:themeColor="text1"/>
                <w:sz w:val="24"/>
                <w:szCs w:val="24"/>
              </w:rPr>
              <w:t>,</w:t>
            </w:r>
            <w:r w:rsidRPr="00792B36">
              <w:rPr>
                <w:i/>
                <w:iCs/>
                <w:color w:val="000000" w:themeColor="text1"/>
                <w:sz w:val="24"/>
                <w:szCs w:val="24"/>
              </w:rPr>
              <w:t xml:space="preserve"> Echinopora lamellose</w:t>
            </w:r>
            <w:r w:rsidRPr="00792B36">
              <w:rPr>
                <w:color w:val="000000" w:themeColor="text1"/>
                <w:sz w:val="24"/>
                <w:szCs w:val="24"/>
              </w:rPr>
              <w:t>,</w:t>
            </w:r>
            <w:r w:rsidRPr="00792B36">
              <w:rPr>
                <w:i/>
                <w:iCs/>
                <w:color w:val="000000" w:themeColor="text1"/>
                <w:sz w:val="24"/>
                <w:szCs w:val="24"/>
              </w:rPr>
              <w:t xml:space="preserve">Merulina ampliata </w:t>
            </w:r>
          </w:p>
          <w:p w14:paraId="778185D3" w14:textId="77777777" w:rsidR="009A0A63" w:rsidRPr="00792B36" w:rsidRDefault="009A0A63" w:rsidP="00A24459">
            <w:pPr>
              <w:rPr>
                <w:color w:val="000000" w:themeColor="text1"/>
                <w:sz w:val="24"/>
                <w:szCs w:val="24"/>
              </w:rPr>
            </w:pPr>
            <w:r w:rsidRPr="00792B36">
              <w:rPr>
                <w:color w:val="000000" w:themeColor="text1"/>
                <w:sz w:val="24"/>
                <w:szCs w:val="24"/>
              </w:rPr>
              <w:t xml:space="preserve">Near Threatened </w:t>
            </w:r>
            <w:r w:rsidRPr="00792B36">
              <w:rPr>
                <w:color w:val="000000" w:themeColor="text1"/>
                <w:sz w:val="24"/>
                <w:szCs w:val="24"/>
                <w:cs/>
              </w:rPr>
              <w:t>(</w:t>
            </w:r>
            <w:r w:rsidRPr="00792B36">
              <w:rPr>
                <w:color w:val="000000" w:themeColor="text1"/>
                <w:sz w:val="24"/>
                <w:szCs w:val="24"/>
              </w:rPr>
              <w:t>NT</w:t>
            </w:r>
            <w:r w:rsidRPr="00792B36">
              <w:rPr>
                <w:color w:val="000000" w:themeColor="text1"/>
                <w:sz w:val="24"/>
                <w:szCs w:val="24"/>
                <w:cs/>
              </w:rPr>
              <w:t>)</w:t>
            </w:r>
          </w:p>
          <w:p w14:paraId="3EF7D76E" w14:textId="77777777" w:rsidR="009A0A63" w:rsidRPr="00792B36" w:rsidRDefault="009A0A63" w:rsidP="00A24459">
            <w:pPr>
              <w:rPr>
                <w:i/>
                <w:iCs/>
                <w:color w:val="000000" w:themeColor="text1"/>
                <w:sz w:val="24"/>
                <w:szCs w:val="24"/>
              </w:rPr>
            </w:pPr>
            <w:r w:rsidRPr="00792B36">
              <w:rPr>
                <w:i/>
                <w:iCs/>
                <w:color w:val="000000" w:themeColor="text1"/>
                <w:sz w:val="24"/>
                <w:szCs w:val="24"/>
              </w:rPr>
              <w:t>Favia favus</w:t>
            </w:r>
            <w:r w:rsidRPr="00792B36">
              <w:rPr>
                <w:color w:val="000000" w:themeColor="text1"/>
                <w:sz w:val="24"/>
                <w:szCs w:val="24"/>
              </w:rPr>
              <w:t xml:space="preserve">, </w:t>
            </w:r>
            <w:r w:rsidRPr="00792B36">
              <w:rPr>
                <w:i/>
                <w:iCs/>
                <w:color w:val="000000" w:themeColor="text1"/>
                <w:sz w:val="24"/>
                <w:szCs w:val="24"/>
              </w:rPr>
              <w:t>Favites abdita</w:t>
            </w:r>
            <w:r w:rsidRPr="00792B36">
              <w:rPr>
                <w:color w:val="000000" w:themeColor="text1"/>
                <w:sz w:val="24"/>
                <w:szCs w:val="24"/>
              </w:rPr>
              <w:t xml:space="preserve">, </w:t>
            </w:r>
            <w:r w:rsidRPr="00792B36">
              <w:rPr>
                <w:i/>
                <w:iCs/>
                <w:color w:val="000000" w:themeColor="text1"/>
                <w:sz w:val="24"/>
                <w:szCs w:val="24"/>
              </w:rPr>
              <w:t>Platygyra daedalea</w:t>
            </w:r>
            <w:r w:rsidRPr="00792B36">
              <w:rPr>
                <w:color w:val="000000" w:themeColor="text1"/>
                <w:sz w:val="24"/>
                <w:szCs w:val="24"/>
              </w:rPr>
              <w:t xml:space="preserve">, </w:t>
            </w:r>
            <w:r w:rsidRPr="00792B36">
              <w:rPr>
                <w:i/>
                <w:iCs/>
                <w:color w:val="000000" w:themeColor="text1"/>
                <w:sz w:val="24"/>
                <w:szCs w:val="24"/>
              </w:rPr>
              <w:t>Goniastrea retiformis</w:t>
            </w:r>
            <w:r w:rsidRPr="00792B36">
              <w:rPr>
                <w:color w:val="000000" w:themeColor="text1"/>
                <w:sz w:val="24"/>
                <w:szCs w:val="24"/>
              </w:rPr>
              <w:t xml:space="preserve">, </w:t>
            </w:r>
            <w:r w:rsidRPr="00792B36">
              <w:rPr>
                <w:i/>
                <w:iCs/>
                <w:color w:val="000000" w:themeColor="text1"/>
                <w:sz w:val="24"/>
                <w:szCs w:val="24"/>
              </w:rPr>
              <w:t>Galaxea fascicularis</w:t>
            </w:r>
            <w:r w:rsidRPr="00792B36">
              <w:rPr>
                <w:color w:val="000000" w:themeColor="text1"/>
                <w:sz w:val="24"/>
                <w:szCs w:val="24"/>
              </w:rPr>
              <w:t xml:space="preserve">, </w:t>
            </w:r>
            <w:r w:rsidRPr="00792B36">
              <w:rPr>
                <w:i/>
                <w:iCs/>
                <w:color w:val="000000" w:themeColor="text1"/>
                <w:sz w:val="24"/>
                <w:szCs w:val="24"/>
              </w:rPr>
              <w:t>Pavona cactus</w:t>
            </w:r>
            <w:r w:rsidRPr="00792B36">
              <w:rPr>
                <w:color w:val="000000" w:themeColor="text1"/>
                <w:sz w:val="24"/>
                <w:szCs w:val="24"/>
              </w:rPr>
              <w:t xml:space="preserve">, </w:t>
            </w:r>
            <w:r w:rsidRPr="00792B36">
              <w:rPr>
                <w:i/>
                <w:iCs/>
                <w:color w:val="000000" w:themeColor="text1"/>
                <w:sz w:val="24"/>
                <w:szCs w:val="24"/>
              </w:rPr>
              <w:t>Fungia fungites</w:t>
            </w:r>
            <w:r w:rsidRPr="00792B36">
              <w:rPr>
                <w:color w:val="000000" w:themeColor="text1"/>
                <w:sz w:val="24"/>
                <w:szCs w:val="24"/>
              </w:rPr>
              <w:t>,</w:t>
            </w:r>
          </w:p>
          <w:p w14:paraId="45106077" w14:textId="77777777" w:rsidR="009A0A63" w:rsidRPr="00792B36" w:rsidRDefault="009A0A63" w:rsidP="00A24459">
            <w:pPr>
              <w:rPr>
                <w:i/>
                <w:iCs/>
                <w:color w:val="000000" w:themeColor="text1"/>
                <w:sz w:val="24"/>
                <w:szCs w:val="24"/>
              </w:rPr>
            </w:pPr>
            <w:r w:rsidRPr="00792B36">
              <w:rPr>
                <w:i/>
                <w:iCs/>
                <w:color w:val="000000" w:themeColor="text1"/>
                <w:sz w:val="24"/>
                <w:szCs w:val="24"/>
              </w:rPr>
              <w:t>Herpolitha limax</w:t>
            </w:r>
            <w:r w:rsidRPr="00792B36">
              <w:rPr>
                <w:color w:val="000000" w:themeColor="text1"/>
                <w:sz w:val="24"/>
                <w:szCs w:val="24"/>
              </w:rPr>
              <w:t xml:space="preserve">, </w:t>
            </w:r>
            <w:r w:rsidRPr="00792B36">
              <w:rPr>
                <w:i/>
                <w:iCs/>
                <w:color w:val="000000" w:themeColor="text1"/>
                <w:sz w:val="24"/>
                <w:szCs w:val="24"/>
              </w:rPr>
              <w:t>Ctenactis echinata</w:t>
            </w:r>
            <w:r w:rsidRPr="00792B36">
              <w:rPr>
                <w:color w:val="000000" w:themeColor="text1"/>
                <w:sz w:val="24"/>
                <w:szCs w:val="24"/>
              </w:rPr>
              <w:t xml:space="preserve">, </w:t>
            </w:r>
            <w:r w:rsidRPr="00792B36">
              <w:rPr>
                <w:i/>
                <w:iCs/>
                <w:color w:val="000000" w:themeColor="text1"/>
                <w:sz w:val="24"/>
                <w:szCs w:val="24"/>
              </w:rPr>
              <w:t>Porites lutea</w:t>
            </w:r>
            <w:r w:rsidRPr="00792B36">
              <w:rPr>
                <w:color w:val="000000" w:themeColor="text1"/>
                <w:sz w:val="24"/>
                <w:szCs w:val="24"/>
              </w:rPr>
              <w:t xml:space="preserve">, </w:t>
            </w:r>
            <w:r w:rsidRPr="00792B36">
              <w:rPr>
                <w:i/>
                <w:iCs/>
                <w:color w:val="000000" w:themeColor="text1"/>
                <w:sz w:val="24"/>
                <w:szCs w:val="24"/>
              </w:rPr>
              <w:t>Porites cylindrica</w:t>
            </w:r>
            <w:r w:rsidRPr="00792B36">
              <w:rPr>
                <w:color w:val="000000" w:themeColor="text1"/>
                <w:sz w:val="24"/>
                <w:szCs w:val="24"/>
              </w:rPr>
              <w:t xml:space="preserve">, </w:t>
            </w:r>
            <w:r w:rsidRPr="00792B36">
              <w:rPr>
                <w:i/>
                <w:iCs/>
                <w:color w:val="000000" w:themeColor="text1"/>
                <w:sz w:val="24"/>
                <w:szCs w:val="24"/>
              </w:rPr>
              <w:t>Goniopora stokesi</w:t>
            </w:r>
            <w:r w:rsidRPr="00792B36">
              <w:rPr>
                <w:color w:val="000000" w:themeColor="text1"/>
                <w:sz w:val="24"/>
                <w:szCs w:val="24"/>
              </w:rPr>
              <w:t xml:space="preserve">, </w:t>
            </w:r>
            <w:r w:rsidRPr="00792B36">
              <w:rPr>
                <w:i/>
                <w:iCs/>
                <w:color w:val="000000" w:themeColor="text1"/>
                <w:sz w:val="24"/>
                <w:szCs w:val="24"/>
              </w:rPr>
              <w:t xml:space="preserve">Heliopora coerulea </w:t>
            </w:r>
            <w:r w:rsidRPr="00792B36">
              <w:rPr>
                <w:color w:val="000000" w:themeColor="text1"/>
                <w:sz w:val="24"/>
                <w:szCs w:val="24"/>
                <w:cs/>
              </w:rPr>
              <w:t>(</w:t>
            </w:r>
            <w:r w:rsidRPr="00792B36">
              <w:rPr>
                <w:color w:val="000000" w:themeColor="text1"/>
                <w:sz w:val="24"/>
                <w:szCs w:val="24"/>
              </w:rPr>
              <w:t>Blue coral</w:t>
            </w:r>
            <w:r w:rsidRPr="00792B36">
              <w:rPr>
                <w:color w:val="000000" w:themeColor="text1"/>
                <w:sz w:val="24"/>
                <w:szCs w:val="24"/>
                <w:cs/>
              </w:rPr>
              <w:t>)</w:t>
            </w:r>
          </w:p>
        </w:tc>
      </w:tr>
      <w:tr w:rsidR="009A0A63" w:rsidRPr="00792B36" w14:paraId="71ABF52F" w14:textId="77777777" w:rsidTr="00A24459">
        <w:tc>
          <w:tcPr>
            <w:tcW w:w="3256" w:type="dxa"/>
          </w:tcPr>
          <w:p w14:paraId="75014AAA" w14:textId="77777777" w:rsidR="009A0A63" w:rsidRPr="00792B36" w:rsidRDefault="009A0A63" w:rsidP="00A24459">
            <w:pPr>
              <w:rPr>
                <w:color w:val="000000" w:themeColor="text1"/>
                <w:sz w:val="24"/>
                <w:szCs w:val="24"/>
              </w:rPr>
            </w:pPr>
            <w:r w:rsidRPr="00792B36">
              <w:rPr>
                <w:rStyle w:val="Strong"/>
                <w:rFonts w:eastAsiaTheme="minorEastAsia"/>
                <w:color w:val="000000" w:themeColor="text1"/>
                <w:sz w:val="24"/>
                <w:szCs w:val="24"/>
              </w:rPr>
              <w:lastRenderedPageBreak/>
              <w:t>SG1: Ban Don Bay</w:t>
            </w:r>
          </w:p>
        </w:tc>
        <w:tc>
          <w:tcPr>
            <w:tcW w:w="3543" w:type="dxa"/>
          </w:tcPr>
          <w:p w14:paraId="4D9A4B67" w14:textId="77777777" w:rsidR="009A0A63" w:rsidRPr="00792B36" w:rsidRDefault="009A0A63" w:rsidP="00F61B37">
            <w:pPr>
              <w:pStyle w:val="ListParagraph"/>
              <w:widowControl/>
              <w:numPr>
                <w:ilvl w:val="0"/>
                <w:numId w:val="46"/>
              </w:numPr>
              <w:rPr>
                <w:rFonts w:cs="Arial"/>
                <w:i/>
                <w:iCs/>
                <w:color w:val="000000" w:themeColor="text1"/>
                <w:sz w:val="24"/>
                <w:szCs w:val="24"/>
              </w:rPr>
            </w:pPr>
          </w:p>
        </w:tc>
        <w:tc>
          <w:tcPr>
            <w:tcW w:w="6151" w:type="dxa"/>
          </w:tcPr>
          <w:p w14:paraId="334B7A9F" w14:textId="77777777" w:rsidR="009A0A63" w:rsidRPr="00792B36" w:rsidRDefault="009A0A63" w:rsidP="00A24459">
            <w:pPr>
              <w:rPr>
                <w:color w:val="000000" w:themeColor="text1"/>
                <w:sz w:val="24"/>
                <w:szCs w:val="24"/>
              </w:rPr>
            </w:pPr>
          </w:p>
        </w:tc>
      </w:tr>
      <w:tr w:rsidR="009A0A63" w:rsidRPr="00792B36" w14:paraId="26CB4AE6" w14:textId="77777777" w:rsidTr="00A24459">
        <w:tc>
          <w:tcPr>
            <w:tcW w:w="3256" w:type="dxa"/>
          </w:tcPr>
          <w:p w14:paraId="6CE9FA97" w14:textId="77777777" w:rsidR="009A0A63" w:rsidRPr="00792B36" w:rsidRDefault="009A0A63" w:rsidP="00A24459">
            <w:pPr>
              <w:rPr>
                <w:rStyle w:val="Heading2Char"/>
                <w:rFonts w:eastAsiaTheme="minorEastAsia"/>
                <w:color w:val="000000" w:themeColor="text1"/>
                <w:sz w:val="24"/>
                <w:szCs w:val="24"/>
              </w:rPr>
            </w:pPr>
            <w:r w:rsidRPr="00792B36">
              <w:rPr>
                <w:rStyle w:val="Strong"/>
                <w:rFonts w:eastAsiaTheme="minorEastAsia"/>
                <w:color w:val="000000" w:themeColor="text1"/>
                <w:sz w:val="24"/>
                <w:szCs w:val="24"/>
              </w:rPr>
              <w:t>SG2: Chumphon</w:t>
            </w:r>
          </w:p>
        </w:tc>
        <w:tc>
          <w:tcPr>
            <w:tcW w:w="3543" w:type="dxa"/>
          </w:tcPr>
          <w:p w14:paraId="673F700F" w14:textId="77777777" w:rsidR="009A0A63" w:rsidRPr="00792B36" w:rsidRDefault="009A0A63" w:rsidP="00F61B37">
            <w:pPr>
              <w:pStyle w:val="ListParagraph"/>
              <w:widowControl/>
              <w:numPr>
                <w:ilvl w:val="0"/>
                <w:numId w:val="46"/>
              </w:numPr>
              <w:rPr>
                <w:rFonts w:cs="Arial"/>
                <w:i/>
                <w:iCs/>
                <w:color w:val="000000" w:themeColor="text1"/>
                <w:sz w:val="24"/>
                <w:szCs w:val="24"/>
              </w:rPr>
            </w:pPr>
          </w:p>
        </w:tc>
        <w:tc>
          <w:tcPr>
            <w:tcW w:w="6151" w:type="dxa"/>
          </w:tcPr>
          <w:p w14:paraId="07BADD5F" w14:textId="77777777" w:rsidR="009A0A63" w:rsidRPr="00792B36" w:rsidRDefault="009A0A63" w:rsidP="00A24459">
            <w:pPr>
              <w:rPr>
                <w:color w:val="000000" w:themeColor="text1"/>
                <w:sz w:val="24"/>
                <w:szCs w:val="24"/>
              </w:rPr>
            </w:pPr>
          </w:p>
        </w:tc>
      </w:tr>
    </w:tbl>
    <w:p w14:paraId="600514AC" w14:textId="77777777" w:rsidR="009A0A63" w:rsidRPr="00792B36" w:rsidRDefault="009A0A63" w:rsidP="009A0A63">
      <w:pPr>
        <w:tabs>
          <w:tab w:val="left" w:pos="1134"/>
        </w:tabs>
        <w:rPr>
          <w:b/>
          <w:bCs/>
          <w:i/>
          <w:iCs/>
          <w:color w:val="000000" w:themeColor="text1"/>
          <w:sz w:val="24"/>
          <w:szCs w:val="24"/>
        </w:rPr>
      </w:pPr>
      <w:r w:rsidRPr="00792B36">
        <w:rPr>
          <w:b/>
          <w:bCs/>
          <w:i/>
          <w:iCs/>
          <w:color w:val="000000" w:themeColor="text1"/>
          <w:sz w:val="24"/>
          <w:szCs w:val="24"/>
        </w:rPr>
        <w:tab/>
      </w:r>
    </w:p>
    <w:p w14:paraId="3DF6F063" w14:textId="77777777" w:rsidR="009A0A63" w:rsidRPr="00792B36" w:rsidRDefault="009A0A63" w:rsidP="009A0A63">
      <w:pPr>
        <w:tabs>
          <w:tab w:val="left" w:pos="1134"/>
        </w:tabs>
        <w:rPr>
          <w:b/>
          <w:bCs/>
          <w:i/>
          <w:iCs/>
          <w:color w:val="000000" w:themeColor="text1"/>
          <w:sz w:val="24"/>
          <w:szCs w:val="24"/>
        </w:rPr>
      </w:pPr>
      <w:r w:rsidRPr="00792B36">
        <w:rPr>
          <w:b/>
          <w:bCs/>
          <w:i/>
          <w:iCs/>
          <w:color w:val="000000" w:themeColor="text1"/>
          <w:sz w:val="24"/>
          <w:szCs w:val="24"/>
        </w:rPr>
        <w:t>Source &amp; sink of larvae and migratory species</w:t>
      </w:r>
    </w:p>
    <w:p w14:paraId="4570E101" w14:textId="77777777" w:rsidR="009A0A63" w:rsidRPr="00792B36" w:rsidRDefault="009A0A63" w:rsidP="009A0A63">
      <w:pPr>
        <w:tabs>
          <w:tab w:val="left" w:pos="1134"/>
        </w:tabs>
        <w:jc w:val="thaiDistribute"/>
        <w:rPr>
          <w:color w:val="000000" w:themeColor="text1"/>
          <w:sz w:val="24"/>
          <w:szCs w:val="24"/>
        </w:rPr>
      </w:pPr>
      <w:r w:rsidRPr="00792B36">
        <w:rPr>
          <w:b/>
          <w:bCs/>
          <w:color w:val="000000" w:themeColor="text1"/>
          <w:sz w:val="24"/>
          <w:szCs w:val="24"/>
        </w:rPr>
        <w:tab/>
      </w:r>
      <w:r w:rsidRPr="00792B36">
        <w:rPr>
          <w:color w:val="000000" w:themeColor="text1"/>
          <w:sz w:val="24"/>
          <w:szCs w:val="24"/>
        </w:rPr>
        <w:t>An assessment of the biological significance of coral reef areas across the Gulf of Thailand highlights their role as critical habitats for numerous migratory marine species of ecological and conservation concern. Although no sites reported specific data on the source and sink dynamics of coral reef larvae, multiple areas support important migratory taxa. Hawksbill turtles (</w:t>
      </w:r>
      <w:r w:rsidRPr="00792B36">
        <w:rPr>
          <w:i/>
          <w:iCs/>
          <w:color w:val="000000" w:themeColor="text1"/>
          <w:sz w:val="24"/>
          <w:szCs w:val="24"/>
        </w:rPr>
        <w:t>Eretmochelys imbricata</w:t>
      </w:r>
      <w:r w:rsidRPr="00792B36">
        <w:rPr>
          <w:color w:val="000000" w:themeColor="text1"/>
          <w:sz w:val="24"/>
          <w:szCs w:val="24"/>
        </w:rPr>
        <w:t>) and green turtles (</w:t>
      </w:r>
      <w:r w:rsidRPr="00792B36">
        <w:rPr>
          <w:i/>
          <w:iCs/>
          <w:color w:val="000000" w:themeColor="text1"/>
          <w:sz w:val="24"/>
          <w:szCs w:val="24"/>
        </w:rPr>
        <w:t>Chelonia mydas</w:t>
      </w:r>
      <w:r w:rsidRPr="00792B36">
        <w:rPr>
          <w:color w:val="000000" w:themeColor="text1"/>
          <w:sz w:val="24"/>
          <w:szCs w:val="24"/>
        </w:rPr>
        <w:t>) are consistently recorded from Koh Si Chang, Koh Lan, Koh Kood, Koh Mak, Koh Tao, and Koh Losin, underscoring the importance of these reef habitats as foraging and transit areas. Indian mackerel (</w:t>
      </w:r>
      <w:r w:rsidRPr="00792B36">
        <w:rPr>
          <w:i/>
          <w:iCs/>
          <w:color w:val="000000" w:themeColor="text1"/>
          <w:sz w:val="24"/>
          <w:szCs w:val="24"/>
        </w:rPr>
        <w:t>Rastrelliger kanagurta</w:t>
      </w:r>
      <w:r w:rsidRPr="00792B36">
        <w:rPr>
          <w:color w:val="000000" w:themeColor="text1"/>
          <w:sz w:val="24"/>
          <w:szCs w:val="24"/>
        </w:rPr>
        <w:t>) are observed across nearly all sites, while mackerel tuna (</w:t>
      </w:r>
      <w:r w:rsidRPr="00792B36">
        <w:rPr>
          <w:i/>
          <w:iCs/>
          <w:color w:val="000000" w:themeColor="text1"/>
          <w:sz w:val="24"/>
          <w:szCs w:val="24"/>
        </w:rPr>
        <w:t>Euthynnus affinis</w:t>
      </w:r>
      <w:r w:rsidRPr="00792B36">
        <w:rPr>
          <w:color w:val="000000" w:themeColor="text1"/>
          <w:sz w:val="24"/>
          <w:szCs w:val="24"/>
        </w:rPr>
        <w:t>) are particularly associated with Koh Tao and Koh Kra. Notably, whale sharks (</w:t>
      </w:r>
      <w:r w:rsidRPr="00792B36">
        <w:rPr>
          <w:i/>
          <w:iCs/>
          <w:color w:val="000000" w:themeColor="text1"/>
          <w:sz w:val="24"/>
          <w:szCs w:val="24"/>
        </w:rPr>
        <w:t>Rhincodon typus</w:t>
      </w:r>
      <w:r w:rsidRPr="00792B36">
        <w:rPr>
          <w:color w:val="000000" w:themeColor="text1"/>
          <w:sz w:val="24"/>
          <w:szCs w:val="24"/>
        </w:rPr>
        <w:t>) and bottlenose dolphins (</w:t>
      </w:r>
      <w:r w:rsidRPr="00792B36">
        <w:rPr>
          <w:i/>
          <w:iCs/>
          <w:color w:val="000000" w:themeColor="text1"/>
          <w:sz w:val="24"/>
          <w:szCs w:val="24"/>
        </w:rPr>
        <w:t>Tursiops truncatus</w:t>
      </w:r>
      <w:r w:rsidRPr="00792B36">
        <w:rPr>
          <w:color w:val="000000" w:themeColor="text1"/>
          <w:sz w:val="24"/>
          <w:szCs w:val="24"/>
        </w:rPr>
        <w:t>) are reported from Koh Tao, alongside records of false killer whales (</w:t>
      </w:r>
      <w:r w:rsidRPr="00792B36">
        <w:rPr>
          <w:i/>
          <w:iCs/>
          <w:color w:val="000000" w:themeColor="text1"/>
          <w:sz w:val="24"/>
          <w:szCs w:val="24"/>
        </w:rPr>
        <w:t>Pseudorca crassidens</w:t>
      </w:r>
      <w:r w:rsidRPr="00792B36">
        <w:rPr>
          <w:color w:val="000000" w:themeColor="text1"/>
          <w:sz w:val="24"/>
          <w:szCs w:val="24"/>
        </w:rPr>
        <w:t xml:space="preserve">) at Koh Mak. The occurrence of such large pelagic species illustrates the ecological productivity of these reef ecosystems and their role in sustaining higher trophic levels. The regular use of reef habitats by marine turtles further reinforces the Gulf’s contribution to global conservation priorities under international frameworks. At the same time, these ecosystems hold considerable socio-economic value, supporting fisheries and ecotourism that depend on the persistence of migratory populations. Effective management must therefore balance biodiversity protection with sustainable use by coastal communities. Strengthened monitoring of larval dispersal, migratory connectivity, and population trends is essential to inform adaptive strategies and ensure the long-term resilience of coral reef ecosystems under the combined </w:t>
      </w:r>
      <w:r w:rsidRPr="00792B36">
        <w:rPr>
          <w:color w:val="000000" w:themeColor="text1"/>
          <w:sz w:val="24"/>
          <w:szCs w:val="24"/>
        </w:rPr>
        <w:lastRenderedPageBreak/>
        <w:t>pressures of climate change and coastal development.</w:t>
      </w:r>
      <w:r w:rsidRPr="00792B36">
        <w:rPr>
          <w:color w:val="000000" w:themeColor="text1"/>
          <w:sz w:val="24"/>
          <w:szCs w:val="24"/>
          <w:cs/>
        </w:rPr>
        <w:t xml:space="preserve"> (</w:t>
      </w:r>
      <w:r w:rsidRPr="00792B36">
        <w:rPr>
          <w:color w:val="000000" w:themeColor="text1"/>
          <w:sz w:val="24"/>
          <w:szCs w:val="24"/>
        </w:rPr>
        <w:t>Table 19</w:t>
      </w:r>
      <w:r w:rsidRPr="00792B36">
        <w:rPr>
          <w:color w:val="000000" w:themeColor="text1"/>
          <w:sz w:val="24"/>
          <w:szCs w:val="24"/>
          <w:cs/>
        </w:rPr>
        <w:t>)</w:t>
      </w:r>
    </w:p>
    <w:p w14:paraId="1674B171" w14:textId="77777777" w:rsidR="009A0A63" w:rsidRPr="00792B36" w:rsidRDefault="009A0A63" w:rsidP="009A0A63">
      <w:pPr>
        <w:tabs>
          <w:tab w:val="left" w:pos="1134"/>
        </w:tabs>
        <w:jc w:val="thaiDistribute"/>
        <w:rPr>
          <w:color w:val="000000" w:themeColor="text1"/>
          <w:sz w:val="24"/>
          <w:szCs w:val="24"/>
        </w:rPr>
      </w:pPr>
    </w:p>
    <w:p w14:paraId="15C7F9DF" w14:textId="77777777" w:rsidR="009A0A63" w:rsidRPr="00792B36" w:rsidRDefault="009A0A63" w:rsidP="009A0A63">
      <w:pPr>
        <w:rPr>
          <w:b/>
          <w:bCs/>
          <w:color w:val="000000" w:themeColor="text1"/>
          <w:sz w:val="24"/>
          <w:szCs w:val="24"/>
        </w:rPr>
      </w:pPr>
      <w:r w:rsidRPr="00792B36">
        <w:rPr>
          <w:b/>
          <w:bCs/>
          <w:color w:val="000000" w:themeColor="text1"/>
          <w:sz w:val="24"/>
          <w:szCs w:val="24"/>
        </w:rPr>
        <w:t>Table 19</w:t>
      </w:r>
      <w:r w:rsidRPr="00792B36">
        <w:rPr>
          <w:b/>
          <w:bCs/>
          <w:color w:val="000000" w:themeColor="text1"/>
          <w:sz w:val="24"/>
          <w:szCs w:val="24"/>
          <w:cs/>
        </w:rPr>
        <w:t xml:space="preserve">. </w:t>
      </w:r>
      <w:r w:rsidRPr="00792B36">
        <w:rPr>
          <w:b/>
          <w:bCs/>
          <w:color w:val="000000" w:themeColor="text1"/>
          <w:sz w:val="24"/>
          <w:szCs w:val="24"/>
        </w:rPr>
        <w:t>Coral and seagrass areas in Thailand (Gulf of Thailand)</w:t>
      </w:r>
      <w:r w:rsidRPr="00792B36">
        <w:rPr>
          <w:b/>
          <w:bCs/>
          <w:color w:val="000000" w:themeColor="text1"/>
          <w:sz w:val="24"/>
          <w:szCs w:val="24"/>
          <w:cs/>
        </w:rPr>
        <w:t xml:space="preserve">: </w:t>
      </w:r>
      <w:r w:rsidRPr="00792B36">
        <w:rPr>
          <w:color w:val="000000" w:themeColor="text1"/>
          <w:sz w:val="24"/>
          <w:szCs w:val="24"/>
        </w:rPr>
        <w:t>Biological data</w:t>
      </w:r>
      <w:r w:rsidRPr="00792B36">
        <w:rPr>
          <w:color w:val="000000" w:themeColor="text1"/>
          <w:sz w:val="24"/>
          <w:szCs w:val="24"/>
          <w:cs/>
        </w:rPr>
        <w:t xml:space="preserve"> </w:t>
      </w:r>
      <w:r w:rsidRPr="00792B36">
        <w:rPr>
          <w:color w:val="000000" w:themeColor="text1"/>
          <w:sz w:val="24"/>
          <w:szCs w:val="24"/>
        </w:rPr>
        <w:t>showing source &amp; sink of larvae and migratory species</w:t>
      </w:r>
    </w:p>
    <w:tbl>
      <w:tblPr>
        <w:tblStyle w:val="TableGrid"/>
        <w:tblW w:w="0" w:type="auto"/>
        <w:tblLook w:val="04A0" w:firstRow="1" w:lastRow="0" w:firstColumn="1" w:lastColumn="0" w:noHBand="0" w:noVBand="1"/>
      </w:tblPr>
      <w:tblGrid>
        <w:gridCol w:w="3048"/>
        <w:gridCol w:w="2128"/>
        <w:gridCol w:w="3834"/>
      </w:tblGrid>
      <w:tr w:rsidR="009A0A63" w:rsidRPr="00792B36" w14:paraId="490245D5" w14:textId="77777777" w:rsidTr="00A24459">
        <w:trPr>
          <w:tblHeader/>
        </w:trPr>
        <w:tc>
          <w:tcPr>
            <w:tcW w:w="4316" w:type="dxa"/>
          </w:tcPr>
          <w:p w14:paraId="33C98DDE" w14:textId="77777777" w:rsidR="009A0A63" w:rsidRPr="00792B36" w:rsidRDefault="009A0A63" w:rsidP="00A24459">
            <w:pPr>
              <w:spacing w:before="120" w:after="120"/>
              <w:jc w:val="center"/>
              <w:rPr>
                <w:b/>
                <w:bCs/>
                <w:color w:val="000000" w:themeColor="text1"/>
                <w:sz w:val="24"/>
                <w:szCs w:val="24"/>
              </w:rPr>
            </w:pPr>
            <w:r w:rsidRPr="00792B36">
              <w:rPr>
                <w:b/>
                <w:bCs/>
                <w:color w:val="000000" w:themeColor="text1"/>
                <w:sz w:val="24"/>
                <w:szCs w:val="24"/>
              </w:rPr>
              <w:t>Name of area</w:t>
            </w:r>
          </w:p>
        </w:tc>
        <w:tc>
          <w:tcPr>
            <w:tcW w:w="3050" w:type="dxa"/>
          </w:tcPr>
          <w:p w14:paraId="56545DC8" w14:textId="77777777" w:rsidR="009A0A63" w:rsidRPr="00792B36" w:rsidRDefault="009A0A63" w:rsidP="00A24459">
            <w:pPr>
              <w:spacing w:before="120" w:after="120"/>
              <w:jc w:val="center"/>
              <w:rPr>
                <w:b/>
                <w:bCs/>
                <w:color w:val="000000" w:themeColor="text1"/>
                <w:sz w:val="24"/>
                <w:szCs w:val="24"/>
              </w:rPr>
            </w:pPr>
            <w:r w:rsidRPr="00792B36">
              <w:rPr>
                <w:b/>
                <w:bCs/>
                <w:color w:val="000000" w:themeColor="text1"/>
                <w:sz w:val="24"/>
                <w:szCs w:val="24"/>
              </w:rPr>
              <w:t>Source &amp; sink of larvae</w:t>
            </w:r>
          </w:p>
        </w:tc>
        <w:tc>
          <w:tcPr>
            <w:tcW w:w="5584" w:type="dxa"/>
          </w:tcPr>
          <w:p w14:paraId="7D9E9D37" w14:textId="77777777" w:rsidR="009A0A63" w:rsidRPr="00792B36" w:rsidRDefault="009A0A63" w:rsidP="00A24459">
            <w:pPr>
              <w:spacing w:before="120" w:after="120"/>
              <w:jc w:val="center"/>
              <w:rPr>
                <w:b/>
                <w:bCs/>
                <w:color w:val="000000" w:themeColor="text1"/>
                <w:sz w:val="24"/>
                <w:szCs w:val="24"/>
              </w:rPr>
            </w:pPr>
            <w:r w:rsidRPr="00792B36">
              <w:rPr>
                <w:b/>
                <w:bCs/>
                <w:color w:val="000000" w:themeColor="text1"/>
                <w:sz w:val="24"/>
                <w:szCs w:val="24"/>
              </w:rPr>
              <w:t>Migratory species</w:t>
            </w:r>
          </w:p>
        </w:tc>
      </w:tr>
      <w:tr w:rsidR="009A0A63" w:rsidRPr="00792B36" w14:paraId="173180A2" w14:textId="77777777" w:rsidTr="00A24459">
        <w:tc>
          <w:tcPr>
            <w:tcW w:w="4316" w:type="dxa"/>
          </w:tcPr>
          <w:p w14:paraId="773DEA25" w14:textId="77777777" w:rsidR="009A0A63" w:rsidRPr="00792B36" w:rsidRDefault="009A0A63" w:rsidP="00A24459">
            <w:pPr>
              <w:rPr>
                <w:b/>
                <w:bCs/>
                <w:color w:val="000000" w:themeColor="text1"/>
                <w:sz w:val="24"/>
                <w:szCs w:val="24"/>
              </w:rPr>
            </w:pPr>
            <w:r w:rsidRPr="00792B36">
              <w:rPr>
                <w:b/>
                <w:bCs/>
                <w:color w:val="000000" w:themeColor="text1"/>
                <w:sz w:val="24"/>
                <w:szCs w:val="24"/>
              </w:rPr>
              <w:t xml:space="preserve">CR:1 Koh Si Chang </w:t>
            </w:r>
          </w:p>
        </w:tc>
        <w:tc>
          <w:tcPr>
            <w:tcW w:w="3050" w:type="dxa"/>
          </w:tcPr>
          <w:p w14:paraId="1D4C919E" w14:textId="77777777" w:rsidR="009A0A63" w:rsidRPr="00792B36" w:rsidRDefault="009A0A63" w:rsidP="00A24459">
            <w:pPr>
              <w:jc w:val="center"/>
              <w:rPr>
                <w:b/>
                <w:bCs/>
                <w:color w:val="000000" w:themeColor="text1"/>
                <w:sz w:val="24"/>
                <w:szCs w:val="24"/>
              </w:rPr>
            </w:pPr>
            <w:r w:rsidRPr="00792B36">
              <w:rPr>
                <w:b/>
                <w:bCs/>
                <w:color w:val="000000" w:themeColor="text1"/>
                <w:sz w:val="24"/>
                <w:szCs w:val="24"/>
                <w:cs/>
              </w:rPr>
              <w:t>-</w:t>
            </w:r>
          </w:p>
        </w:tc>
        <w:tc>
          <w:tcPr>
            <w:tcW w:w="5584" w:type="dxa"/>
          </w:tcPr>
          <w:p w14:paraId="1D7B1DC3" w14:textId="77777777" w:rsidR="009A0A63" w:rsidRPr="00792B36" w:rsidRDefault="009A0A63" w:rsidP="00A24459">
            <w:pPr>
              <w:jc w:val="center"/>
              <w:rPr>
                <w:color w:val="000000" w:themeColor="text1"/>
                <w:sz w:val="24"/>
                <w:szCs w:val="24"/>
              </w:rPr>
            </w:pPr>
            <w:r w:rsidRPr="00792B36">
              <w:rPr>
                <w:color w:val="000000" w:themeColor="text1"/>
                <w:sz w:val="24"/>
                <w:szCs w:val="24"/>
              </w:rPr>
              <w:t xml:space="preserve">Hawksbill turtle </w:t>
            </w:r>
            <w:r w:rsidRPr="00792B36">
              <w:rPr>
                <w:color w:val="000000" w:themeColor="text1"/>
                <w:sz w:val="24"/>
                <w:szCs w:val="24"/>
                <w:cs/>
              </w:rPr>
              <w:t>(</w:t>
            </w:r>
            <w:r w:rsidRPr="00792B36">
              <w:rPr>
                <w:i/>
                <w:iCs/>
                <w:color w:val="000000" w:themeColor="text1"/>
                <w:sz w:val="24"/>
                <w:szCs w:val="24"/>
              </w:rPr>
              <w:t>Eretmochelys imbricata</w:t>
            </w:r>
            <w:r w:rsidRPr="00792B36">
              <w:rPr>
                <w:color w:val="000000" w:themeColor="text1"/>
                <w:sz w:val="24"/>
                <w:szCs w:val="24"/>
                <w:cs/>
              </w:rPr>
              <w:t>)</w:t>
            </w:r>
            <w:r w:rsidRPr="00792B36">
              <w:rPr>
                <w:color w:val="000000" w:themeColor="text1"/>
                <w:sz w:val="24"/>
                <w:szCs w:val="24"/>
              </w:rPr>
              <w:t xml:space="preserve">, Green turtle </w:t>
            </w:r>
            <w:r w:rsidRPr="00792B36">
              <w:rPr>
                <w:color w:val="000000" w:themeColor="text1"/>
                <w:sz w:val="24"/>
                <w:szCs w:val="24"/>
                <w:cs/>
              </w:rPr>
              <w:t>(</w:t>
            </w:r>
            <w:r w:rsidRPr="00792B36">
              <w:rPr>
                <w:i/>
                <w:iCs/>
                <w:color w:val="000000" w:themeColor="text1"/>
                <w:sz w:val="24"/>
                <w:szCs w:val="24"/>
              </w:rPr>
              <w:t>Chelonia mydas</w:t>
            </w:r>
            <w:r w:rsidRPr="00792B36">
              <w:rPr>
                <w:color w:val="000000" w:themeColor="text1"/>
                <w:sz w:val="24"/>
                <w:szCs w:val="24"/>
                <w:cs/>
              </w:rPr>
              <w:t>)</w:t>
            </w:r>
            <w:r w:rsidRPr="00792B36">
              <w:rPr>
                <w:color w:val="000000" w:themeColor="text1"/>
                <w:sz w:val="24"/>
                <w:szCs w:val="24"/>
              </w:rPr>
              <w:t>, Indian mackerel</w:t>
            </w:r>
            <w:r w:rsidRPr="00792B36">
              <w:rPr>
                <w:color w:val="000000" w:themeColor="text1"/>
                <w:sz w:val="24"/>
                <w:szCs w:val="24"/>
                <w:cs/>
              </w:rPr>
              <w:t xml:space="preserve"> (</w:t>
            </w:r>
            <w:r w:rsidRPr="00792B36">
              <w:rPr>
                <w:i/>
                <w:iCs/>
                <w:color w:val="000000" w:themeColor="text1"/>
                <w:sz w:val="24"/>
                <w:szCs w:val="24"/>
              </w:rPr>
              <w:t>Rastrelliger kanagurta</w:t>
            </w:r>
            <w:r w:rsidRPr="00792B36">
              <w:rPr>
                <w:color w:val="000000" w:themeColor="text1"/>
                <w:sz w:val="24"/>
                <w:szCs w:val="24"/>
                <w:cs/>
              </w:rPr>
              <w:t>)</w:t>
            </w:r>
          </w:p>
        </w:tc>
      </w:tr>
      <w:tr w:rsidR="009A0A63" w:rsidRPr="00792B36" w14:paraId="4967B58B" w14:textId="77777777" w:rsidTr="00A24459">
        <w:tc>
          <w:tcPr>
            <w:tcW w:w="4316" w:type="dxa"/>
          </w:tcPr>
          <w:p w14:paraId="61208291" w14:textId="77777777" w:rsidR="009A0A63" w:rsidRPr="00792B36" w:rsidRDefault="009A0A63" w:rsidP="00A24459">
            <w:pPr>
              <w:rPr>
                <w:b/>
                <w:bCs/>
                <w:color w:val="000000" w:themeColor="text1"/>
                <w:sz w:val="24"/>
                <w:szCs w:val="24"/>
              </w:rPr>
            </w:pPr>
            <w:r w:rsidRPr="00792B36">
              <w:rPr>
                <w:b/>
                <w:bCs/>
                <w:color w:val="000000" w:themeColor="text1"/>
                <w:sz w:val="24"/>
                <w:szCs w:val="24"/>
              </w:rPr>
              <w:t xml:space="preserve">CR:2 Koh Lan </w:t>
            </w:r>
          </w:p>
        </w:tc>
        <w:tc>
          <w:tcPr>
            <w:tcW w:w="3050" w:type="dxa"/>
          </w:tcPr>
          <w:p w14:paraId="373DEBF6" w14:textId="77777777" w:rsidR="009A0A63" w:rsidRPr="00792B36" w:rsidRDefault="009A0A63" w:rsidP="00A24459">
            <w:pPr>
              <w:jc w:val="center"/>
              <w:rPr>
                <w:b/>
                <w:bCs/>
                <w:color w:val="000000" w:themeColor="text1"/>
                <w:sz w:val="24"/>
                <w:szCs w:val="24"/>
                <w:cs/>
              </w:rPr>
            </w:pPr>
            <w:r w:rsidRPr="00792B36">
              <w:rPr>
                <w:b/>
                <w:bCs/>
                <w:color w:val="000000" w:themeColor="text1"/>
                <w:sz w:val="24"/>
                <w:szCs w:val="24"/>
                <w:cs/>
              </w:rPr>
              <w:t>-</w:t>
            </w:r>
          </w:p>
        </w:tc>
        <w:tc>
          <w:tcPr>
            <w:tcW w:w="5584" w:type="dxa"/>
          </w:tcPr>
          <w:p w14:paraId="5D921CCC" w14:textId="77777777" w:rsidR="009A0A63" w:rsidRPr="00792B36" w:rsidRDefault="009A0A63" w:rsidP="00A24459">
            <w:pPr>
              <w:jc w:val="center"/>
              <w:rPr>
                <w:color w:val="000000" w:themeColor="text1"/>
                <w:sz w:val="24"/>
                <w:szCs w:val="24"/>
                <w:cs/>
              </w:rPr>
            </w:pPr>
            <w:r w:rsidRPr="00792B36">
              <w:rPr>
                <w:color w:val="000000" w:themeColor="text1"/>
                <w:sz w:val="24"/>
                <w:szCs w:val="24"/>
              </w:rPr>
              <w:t xml:space="preserve">Hawksbill turtle </w:t>
            </w:r>
            <w:r w:rsidRPr="00792B36">
              <w:rPr>
                <w:color w:val="000000" w:themeColor="text1"/>
                <w:sz w:val="24"/>
                <w:szCs w:val="24"/>
                <w:cs/>
              </w:rPr>
              <w:t>(</w:t>
            </w:r>
            <w:r w:rsidRPr="00792B36">
              <w:rPr>
                <w:i/>
                <w:iCs/>
                <w:color w:val="000000" w:themeColor="text1"/>
                <w:sz w:val="24"/>
                <w:szCs w:val="24"/>
              </w:rPr>
              <w:t>Eretmochelys imbricata</w:t>
            </w:r>
            <w:r w:rsidRPr="00792B36">
              <w:rPr>
                <w:color w:val="000000" w:themeColor="text1"/>
                <w:sz w:val="24"/>
                <w:szCs w:val="24"/>
                <w:cs/>
              </w:rPr>
              <w:t>)</w:t>
            </w:r>
            <w:r w:rsidRPr="00792B36">
              <w:rPr>
                <w:color w:val="000000" w:themeColor="text1"/>
                <w:sz w:val="24"/>
                <w:szCs w:val="24"/>
              </w:rPr>
              <w:t xml:space="preserve">, Green turtle </w:t>
            </w:r>
            <w:r w:rsidRPr="00792B36">
              <w:rPr>
                <w:color w:val="000000" w:themeColor="text1"/>
                <w:sz w:val="24"/>
                <w:szCs w:val="24"/>
                <w:cs/>
              </w:rPr>
              <w:t>(</w:t>
            </w:r>
            <w:r w:rsidRPr="00792B36">
              <w:rPr>
                <w:i/>
                <w:iCs/>
                <w:color w:val="000000" w:themeColor="text1"/>
                <w:sz w:val="24"/>
                <w:szCs w:val="24"/>
              </w:rPr>
              <w:t>Chelonia mydas</w:t>
            </w:r>
            <w:r w:rsidRPr="00792B36">
              <w:rPr>
                <w:color w:val="000000" w:themeColor="text1"/>
                <w:sz w:val="24"/>
                <w:szCs w:val="24"/>
                <w:cs/>
              </w:rPr>
              <w:t>)</w:t>
            </w:r>
            <w:r w:rsidRPr="00792B36">
              <w:rPr>
                <w:color w:val="000000" w:themeColor="text1"/>
                <w:sz w:val="24"/>
                <w:szCs w:val="24"/>
              </w:rPr>
              <w:t>, Indian mackerel</w:t>
            </w:r>
            <w:r w:rsidRPr="00792B36">
              <w:rPr>
                <w:color w:val="000000" w:themeColor="text1"/>
                <w:sz w:val="24"/>
                <w:szCs w:val="24"/>
                <w:cs/>
              </w:rPr>
              <w:t xml:space="preserve"> (</w:t>
            </w:r>
            <w:r w:rsidRPr="00792B36">
              <w:rPr>
                <w:i/>
                <w:iCs/>
                <w:color w:val="000000" w:themeColor="text1"/>
                <w:sz w:val="24"/>
                <w:szCs w:val="24"/>
              </w:rPr>
              <w:t>Rastrelliger kanagurta</w:t>
            </w:r>
            <w:r w:rsidRPr="00792B36">
              <w:rPr>
                <w:color w:val="000000" w:themeColor="text1"/>
                <w:sz w:val="24"/>
                <w:szCs w:val="24"/>
                <w:cs/>
              </w:rPr>
              <w:t>)</w:t>
            </w:r>
          </w:p>
        </w:tc>
      </w:tr>
      <w:tr w:rsidR="009A0A63" w:rsidRPr="00792B36" w14:paraId="36166FD7" w14:textId="77777777" w:rsidTr="00A24459">
        <w:tc>
          <w:tcPr>
            <w:tcW w:w="4316" w:type="dxa"/>
          </w:tcPr>
          <w:p w14:paraId="2AAC83DE" w14:textId="77777777" w:rsidR="009A0A63" w:rsidRPr="00792B36" w:rsidRDefault="009A0A63" w:rsidP="00A24459">
            <w:pPr>
              <w:rPr>
                <w:b/>
                <w:bCs/>
                <w:color w:val="000000" w:themeColor="text1"/>
                <w:sz w:val="24"/>
                <w:szCs w:val="24"/>
              </w:rPr>
            </w:pPr>
            <w:r w:rsidRPr="00792B36">
              <w:rPr>
                <w:b/>
                <w:bCs/>
                <w:color w:val="000000" w:themeColor="text1"/>
                <w:sz w:val="24"/>
                <w:szCs w:val="24"/>
              </w:rPr>
              <w:t>CR:3 Koh Kood</w:t>
            </w:r>
          </w:p>
        </w:tc>
        <w:tc>
          <w:tcPr>
            <w:tcW w:w="3050" w:type="dxa"/>
          </w:tcPr>
          <w:p w14:paraId="374BA47B" w14:textId="77777777" w:rsidR="009A0A63" w:rsidRPr="00792B36" w:rsidRDefault="009A0A63" w:rsidP="00A24459">
            <w:pPr>
              <w:jc w:val="center"/>
              <w:rPr>
                <w:b/>
                <w:bCs/>
                <w:color w:val="000000" w:themeColor="text1"/>
                <w:sz w:val="24"/>
                <w:szCs w:val="24"/>
              </w:rPr>
            </w:pPr>
            <w:r w:rsidRPr="00792B36">
              <w:rPr>
                <w:b/>
                <w:bCs/>
                <w:color w:val="000000" w:themeColor="text1"/>
                <w:sz w:val="24"/>
                <w:szCs w:val="24"/>
                <w:cs/>
              </w:rPr>
              <w:t>-</w:t>
            </w:r>
          </w:p>
        </w:tc>
        <w:tc>
          <w:tcPr>
            <w:tcW w:w="5584" w:type="dxa"/>
          </w:tcPr>
          <w:p w14:paraId="6BF1CB70" w14:textId="77777777" w:rsidR="009A0A63" w:rsidRPr="00792B36" w:rsidRDefault="009A0A63" w:rsidP="00A24459">
            <w:pPr>
              <w:jc w:val="center"/>
              <w:rPr>
                <w:color w:val="000000" w:themeColor="text1"/>
                <w:sz w:val="24"/>
                <w:szCs w:val="24"/>
              </w:rPr>
            </w:pPr>
            <w:r w:rsidRPr="00792B36">
              <w:rPr>
                <w:color w:val="000000" w:themeColor="text1"/>
                <w:sz w:val="24"/>
                <w:szCs w:val="24"/>
              </w:rPr>
              <w:t xml:space="preserve">Hawksbill turtle </w:t>
            </w:r>
            <w:r w:rsidRPr="00792B36">
              <w:rPr>
                <w:color w:val="000000" w:themeColor="text1"/>
                <w:sz w:val="24"/>
                <w:szCs w:val="24"/>
                <w:cs/>
              </w:rPr>
              <w:t>(</w:t>
            </w:r>
            <w:r w:rsidRPr="00792B36">
              <w:rPr>
                <w:i/>
                <w:iCs/>
                <w:color w:val="000000" w:themeColor="text1"/>
                <w:sz w:val="24"/>
                <w:szCs w:val="24"/>
              </w:rPr>
              <w:t>Eretmochelys imbricata</w:t>
            </w:r>
            <w:r w:rsidRPr="00792B36">
              <w:rPr>
                <w:color w:val="000000" w:themeColor="text1"/>
                <w:sz w:val="24"/>
                <w:szCs w:val="24"/>
                <w:cs/>
              </w:rPr>
              <w:t>)</w:t>
            </w:r>
            <w:r w:rsidRPr="00792B36">
              <w:rPr>
                <w:color w:val="000000" w:themeColor="text1"/>
                <w:sz w:val="24"/>
                <w:szCs w:val="24"/>
              </w:rPr>
              <w:t xml:space="preserve">, Green turtle </w:t>
            </w:r>
            <w:r w:rsidRPr="00792B36">
              <w:rPr>
                <w:color w:val="000000" w:themeColor="text1"/>
                <w:sz w:val="24"/>
                <w:szCs w:val="24"/>
                <w:cs/>
              </w:rPr>
              <w:t>(</w:t>
            </w:r>
            <w:r w:rsidRPr="00792B36">
              <w:rPr>
                <w:i/>
                <w:iCs/>
                <w:color w:val="000000" w:themeColor="text1"/>
                <w:sz w:val="24"/>
                <w:szCs w:val="24"/>
              </w:rPr>
              <w:t>Chelonia mydas</w:t>
            </w:r>
            <w:r w:rsidRPr="00792B36">
              <w:rPr>
                <w:color w:val="000000" w:themeColor="text1"/>
                <w:sz w:val="24"/>
                <w:szCs w:val="24"/>
                <w:cs/>
              </w:rPr>
              <w:t>)</w:t>
            </w:r>
            <w:r w:rsidRPr="00792B36">
              <w:rPr>
                <w:color w:val="000000" w:themeColor="text1"/>
                <w:sz w:val="24"/>
                <w:szCs w:val="24"/>
              </w:rPr>
              <w:t>, Indian mackerel</w:t>
            </w:r>
            <w:r w:rsidRPr="00792B36">
              <w:rPr>
                <w:color w:val="000000" w:themeColor="text1"/>
                <w:sz w:val="24"/>
                <w:szCs w:val="24"/>
                <w:cs/>
              </w:rPr>
              <w:t xml:space="preserve"> (</w:t>
            </w:r>
            <w:r w:rsidRPr="00792B36">
              <w:rPr>
                <w:i/>
                <w:iCs/>
                <w:color w:val="000000" w:themeColor="text1"/>
                <w:sz w:val="24"/>
                <w:szCs w:val="24"/>
              </w:rPr>
              <w:t>Rastrelliger kanagurta</w:t>
            </w:r>
            <w:r w:rsidRPr="00792B36">
              <w:rPr>
                <w:color w:val="000000" w:themeColor="text1"/>
                <w:sz w:val="24"/>
                <w:szCs w:val="24"/>
                <w:cs/>
              </w:rPr>
              <w:t>)</w:t>
            </w:r>
          </w:p>
        </w:tc>
      </w:tr>
      <w:tr w:rsidR="009A0A63" w:rsidRPr="00792B36" w14:paraId="5837EE64" w14:textId="77777777" w:rsidTr="00A24459">
        <w:tc>
          <w:tcPr>
            <w:tcW w:w="4316" w:type="dxa"/>
          </w:tcPr>
          <w:p w14:paraId="15CD5104" w14:textId="77777777" w:rsidR="009A0A63" w:rsidRPr="00792B36" w:rsidRDefault="009A0A63" w:rsidP="00A24459">
            <w:pPr>
              <w:rPr>
                <w:b/>
                <w:bCs/>
                <w:color w:val="000000" w:themeColor="text1"/>
                <w:sz w:val="24"/>
                <w:szCs w:val="24"/>
              </w:rPr>
            </w:pPr>
            <w:r w:rsidRPr="00792B36">
              <w:rPr>
                <w:b/>
                <w:bCs/>
                <w:color w:val="000000" w:themeColor="text1"/>
                <w:sz w:val="24"/>
                <w:szCs w:val="24"/>
              </w:rPr>
              <w:t>CR:4 Koh Mak</w:t>
            </w:r>
          </w:p>
        </w:tc>
        <w:tc>
          <w:tcPr>
            <w:tcW w:w="3050" w:type="dxa"/>
          </w:tcPr>
          <w:p w14:paraId="00A9CBFE" w14:textId="77777777" w:rsidR="009A0A63" w:rsidRPr="00792B36" w:rsidRDefault="009A0A63" w:rsidP="00A24459">
            <w:pPr>
              <w:jc w:val="center"/>
              <w:rPr>
                <w:b/>
                <w:bCs/>
                <w:color w:val="000000" w:themeColor="text1"/>
                <w:sz w:val="24"/>
                <w:szCs w:val="24"/>
              </w:rPr>
            </w:pPr>
            <w:r w:rsidRPr="00792B36">
              <w:rPr>
                <w:b/>
                <w:bCs/>
                <w:color w:val="000000" w:themeColor="text1"/>
                <w:sz w:val="24"/>
                <w:szCs w:val="24"/>
                <w:cs/>
              </w:rPr>
              <w:t>-</w:t>
            </w:r>
          </w:p>
        </w:tc>
        <w:tc>
          <w:tcPr>
            <w:tcW w:w="5584" w:type="dxa"/>
          </w:tcPr>
          <w:p w14:paraId="0D0371F8" w14:textId="77777777" w:rsidR="009A0A63" w:rsidRPr="00792B36" w:rsidRDefault="009A0A63" w:rsidP="00A24459">
            <w:pPr>
              <w:jc w:val="center"/>
              <w:rPr>
                <w:color w:val="000000" w:themeColor="text1"/>
                <w:sz w:val="24"/>
                <w:szCs w:val="24"/>
                <w:cs/>
              </w:rPr>
            </w:pPr>
            <w:r w:rsidRPr="00792B36">
              <w:rPr>
                <w:color w:val="000000" w:themeColor="text1"/>
                <w:sz w:val="24"/>
                <w:szCs w:val="24"/>
              </w:rPr>
              <w:t xml:space="preserve">Hawksbill turtle </w:t>
            </w:r>
            <w:r w:rsidRPr="00792B36">
              <w:rPr>
                <w:color w:val="000000" w:themeColor="text1"/>
                <w:sz w:val="24"/>
                <w:szCs w:val="24"/>
                <w:cs/>
              </w:rPr>
              <w:t>(</w:t>
            </w:r>
            <w:r w:rsidRPr="00792B36">
              <w:rPr>
                <w:i/>
                <w:iCs/>
                <w:color w:val="000000" w:themeColor="text1"/>
                <w:sz w:val="24"/>
                <w:szCs w:val="24"/>
              </w:rPr>
              <w:t>Eretmochelys imbricata</w:t>
            </w:r>
            <w:r w:rsidRPr="00792B36">
              <w:rPr>
                <w:color w:val="000000" w:themeColor="text1"/>
                <w:sz w:val="24"/>
                <w:szCs w:val="24"/>
                <w:cs/>
              </w:rPr>
              <w:t>)</w:t>
            </w:r>
            <w:r w:rsidRPr="00792B36">
              <w:rPr>
                <w:color w:val="000000" w:themeColor="text1"/>
                <w:sz w:val="24"/>
                <w:szCs w:val="24"/>
              </w:rPr>
              <w:t xml:space="preserve">, Green turtle </w:t>
            </w:r>
            <w:r w:rsidRPr="00792B36">
              <w:rPr>
                <w:color w:val="000000" w:themeColor="text1"/>
                <w:sz w:val="24"/>
                <w:szCs w:val="24"/>
                <w:cs/>
              </w:rPr>
              <w:t>(</w:t>
            </w:r>
            <w:r w:rsidRPr="00792B36">
              <w:rPr>
                <w:i/>
                <w:iCs/>
                <w:color w:val="000000" w:themeColor="text1"/>
                <w:sz w:val="24"/>
                <w:szCs w:val="24"/>
              </w:rPr>
              <w:t>Chelonia mydas</w:t>
            </w:r>
            <w:r w:rsidRPr="00792B36">
              <w:rPr>
                <w:color w:val="000000" w:themeColor="text1"/>
                <w:sz w:val="24"/>
                <w:szCs w:val="24"/>
                <w:cs/>
              </w:rPr>
              <w:t>)</w:t>
            </w:r>
            <w:r w:rsidRPr="00792B36">
              <w:rPr>
                <w:color w:val="000000" w:themeColor="text1"/>
                <w:sz w:val="24"/>
                <w:szCs w:val="24"/>
              </w:rPr>
              <w:t>, Indian mackerel</w:t>
            </w:r>
            <w:r w:rsidRPr="00792B36">
              <w:rPr>
                <w:color w:val="000000" w:themeColor="text1"/>
                <w:sz w:val="24"/>
                <w:szCs w:val="24"/>
                <w:cs/>
              </w:rPr>
              <w:t xml:space="preserve"> (</w:t>
            </w:r>
            <w:r w:rsidRPr="00792B36">
              <w:rPr>
                <w:i/>
                <w:iCs/>
                <w:color w:val="000000" w:themeColor="text1"/>
                <w:sz w:val="24"/>
                <w:szCs w:val="24"/>
              </w:rPr>
              <w:t>Rastrelliger kanagurta</w:t>
            </w:r>
            <w:r w:rsidRPr="00792B36">
              <w:rPr>
                <w:color w:val="000000" w:themeColor="text1"/>
                <w:sz w:val="24"/>
                <w:szCs w:val="24"/>
                <w:cs/>
              </w:rPr>
              <w:t>)</w:t>
            </w:r>
            <w:r w:rsidRPr="00792B36">
              <w:rPr>
                <w:color w:val="000000" w:themeColor="text1"/>
                <w:sz w:val="24"/>
                <w:szCs w:val="24"/>
              </w:rPr>
              <w:t xml:space="preserve"> , False Killer Whale (</w:t>
            </w:r>
            <w:r w:rsidRPr="00792B36">
              <w:rPr>
                <w:i/>
                <w:iCs/>
                <w:color w:val="000000" w:themeColor="text1"/>
                <w:sz w:val="24"/>
                <w:szCs w:val="24"/>
              </w:rPr>
              <w:t>Pseudorca crassidens</w:t>
            </w:r>
            <w:r w:rsidRPr="00792B36">
              <w:rPr>
                <w:color w:val="000000" w:themeColor="text1"/>
                <w:sz w:val="24"/>
                <w:szCs w:val="24"/>
              </w:rPr>
              <w:t>)</w:t>
            </w:r>
          </w:p>
        </w:tc>
      </w:tr>
      <w:tr w:rsidR="009A0A63" w:rsidRPr="00792B36" w14:paraId="4215F5A4" w14:textId="77777777" w:rsidTr="00A24459">
        <w:tc>
          <w:tcPr>
            <w:tcW w:w="4316" w:type="dxa"/>
          </w:tcPr>
          <w:p w14:paraId="74C1599D" w14:textId="77777777" w:rsidR="009A0A63" w:rsidRPr="00792B36" w:rsidRDefault="009A0A63" w:rsidP="00A24459">
            <w:pPr>
              <w:rPr>
                <w:b/>
                <w:bCs/>
                <w:color w:val="000000" w:themeColor="text1"/>
                <w:sz w:val="24"/>
                <w:szCs w:val="24"/>
              </w:rPr>
            </w:pPr>
            <w:r w:rsidRPr="00792B36">
              <w:rPr>
                <w:b/>
                <w:bCs/>
                <w:color w:val="000000" w:themeColor="text1"/>
                <w:sz w:val="24"/>
                <w:szCs w:val="24"/>
              </w:rPr>
              <w:t>CR:5 Koh Tao</w:t>
            </w:r>
          </w:p>
        </w:tc>
        <w:tc>
          <w:tcPr>
            <w:tcW w:w="3050" w:type="dxa"/>
          </w:tcPr>
          <w:p w14:paraId="3897D81E" w14:textId="77777777" w:rsidR="009A0A63" w:rsidRPr="00792B36" w:rsidRDefault="009A0A63" w:rsidP="00A24459">
            <w:pPr>
              <w:jc w:val="center"/>
              <w:rPr>
                <w:b/>
                <w:bCs/>
                <w:color w:val="000000" w:themeColor="text1"/>
                <w:sz w:val="24"/>
                <w:szCs w:val="24"/>
              </w:rPr>
            </w:pPr>
            <w:r w:rsidRPr="00792B36">
              <w:rPr>
                <w:b/>
                <w:bCs/>
                <w:color w:val="000000" w:themeColor="text1"/>
                <w:sz w:val="24"/>
                <w:szCs w:val="24"/>
                <w:cs/>
              </w:rPr>
              <w:t>-</w:t>
            </w:r>
          </w:p>
        </w:tc>
        <w:tc>
          <w:tcPr>
            <w:tcW w:w="5584" w:type="dxa"/>
          </w:tcPr>
          <w:p w14:paraId="344AC8F2" w14:textId="77777777" w:rsidR="009A0A63" w:rsidRPr="00792B36" w:rsidRDefault="009A0A63" w:rsidP="00A24459">
            <w:pPr>
              <w:jc w:val="center"/>
              <w:rPr>
                <w:color w:val="000000" w:themeColor="text1"/>
                <w:sz w:val="24"/>
                <w:szCs w:val="24"/>
              </w:rPr>
            </w:pPr>
            <w:r w:rsidRPr="00792B36">
              <w:rPr>
                <w:color w:val="000000" w:themeColor="text1"/>
                <w:sz w:val="24"/>
                <w:szCs w:val="24"/>
              </w:rPr>
              <w:t xml:space="preserve">Hawksbill turtle </w:t>
            </w:r>
            <w:r w:rsidRPr="00792B36">
              <w:rPr>
                <w:color w:val="000000" w:themeColor="text1"/>
                <w:sz w:val="24"/>
                <w:szCs w:val="24"/>
                <w:cs/>
              </w:rPr>
              <w:t>(</w:t>
            </w:r>
            <w:r w:rsidRPr="00792B36">
              <w:rPr>
                <w:i/>
                <w:iCs/>
                <w:color w:val="000000" w:themeColor="text1"/>
                <w:sz w:val="24"/>
                <w:szCs w:val="24"/>
              </w:rPr>
              <w:t>Eretmochelys imbricata</w:t>
            </w:r>
            <w:r w:rsidRPr="00792B36">
              <w:rPr>
                <w:color w:val="000000" w:themeColor="text1"/>
                <w:sz w:val="24"/>
                <w:szCs w:val="24"/>
                <w:cs/>
              </w:rPr>
              <w:t>)</w:t>
            </w:r>
            <w:r w:rsidRPr="00792B36">
              <w:rPr>
                <w:color w:val="000000" w:themeColor="text1"/>
                <w:sz w:val="24"/>
                <w:szCs w:val="24"/>
              </w:rPr>
              <w:t xml:space="preserve">, Green turtle </w:t>
            </w:r>
            <w:r w:rsidRPr="00792B36">
              <w:rPr>
                <w:color w:val="000000" w:themeColor="text1"/>
                <w:sz w:val="24"/>
                <w:szCs w:val="24"/>
                <w:cs/>
              </w:rPr>
              <w:t>(</w:t>
            </w:r>
            <w:r w:rsidRPr="00792B36">
              <w:rPr>
                <w:i/>
                <w:iCs/>
                <w:color w:val="000000" w:themeColor="text1"/>
                <w:sz w:val="24"/>
                <w:szCs w:val="24"/>
              </w:rPr>
              <w:t>Chelonia mydas</w:t>
            </w:r>
            <w:r w:rsidRPr="00792B36">
              <w:rPr>
                <w:color w:val="000000" w:themeColor="text1"/>
                <w:sz w:val="24"/>
                <w:szCs w:val="24"/>
                <w:cs/>
              </w:rPr>
              <w:t>)</w:t>
            </w:r>
            <w:r w:rsidRPr="00792B36">
              <w:rPr>
                <w:color w:val="000000" w:themeColor="text1"/>
                <w:sz w:val="24"/>
                <w:szCs w:val="24"/>
              </w:rPr>
              <w:t>, Indian mackerel</w:t>
            </w:r>
            <w:r w:rsidRPr="00792B36">
              <w:rPr>
                <w:color w:val="000000" w:themeColor="text1"/>
                <w:sz w:val="24"/>
                <w:szCs w:val="24"/>
                <w:cs/>
              </w:rPr>
              <w:t xml:space="preserve"> (</w:t>
            </w:r>
            <w:r w:rsidRPr="00792B36">
              <w:rPr>
                <w:i/>
                <w:iCs/>
                <w:color w:val="000000" w:themeColor="text1"/>
                <w:sz w:val="24"/>
                <w:szCs w:val="24"/>
              </w:rPr>
              <w:t>Rastrelliger kanagurta</w:t>
            </w:r>
            <w:r w:rsidRPr="00792B36">
              <w:rPr>
                <w:color w:val="000000" w:themeColor="text1"/>
                <w:sz w:val="24"/>
                <w:szCs w:val="24"/>
                <w:cs/>
              </w:rPr>
              <w:t>)</w:t>
            </w:r>
            <w:r w:rsidRPr="00792B36">
              <w:rPr>
                <w:color w:val="000000" w:themeColor="text1"/>
                <w:sz w:val="24"/>
                <w:szCs w:val="24"/>
              </w:rPr>
              <w:t>, Mackerel tuna</w:t>
            </w:r>
            <w:r w:rsidRPr="00792B36">
              <w:rPr>
                <w:color w:val="000000" w:themeColor="text1"/>
                <w:sz w:val="24"/>
                <w:szCs w:val="24"/>
                <w:cs/>
              </w:rPr>
              <w:t xml:space="preserve"> (</w:t>
            </w:r>
            <w:r w:rsidRPr="00792B36">
              <w:rPr>
                <w:i/>
                <w:iCs/>
                <w:color w:val="000000" w:themeColor="text1"/>
                <w:sz w:val="24"/>
                <w:szCs w:val="24"/>
              </w:rPr>
              <w:t>Euthynnus affinis</w:t>
            </w:r>
            <w:r w:rsidRPr="00792B36">
              <w:rPr>
                <w:color w:val="000000" w:themeColor="text1"/>
                <w:sz w:val="24"/>
                <w:szCs w:val="24"/>
                <w:cs/>
              </w:rPr>
              <w:t>)</w:t>
            </w:r>
            <w:r w:rsidRPr="00792B36">
              <w:rPr>
                <w:color w:val="000000" w:themeColor="text1"/>
                <w:sz w:val="24"/>
                <w:szCs w:val="24"/>
              </w:rPr>
              <w:t xml:space="preserve">, </w:t>
            </w:r>
          </w:p>
          <w:p w14:paraId="340BC1C8" w14:textId="77777777" w:rsidR="009A0A63" w:rsidRPr="00792B36" w:rsidRDefault="009A0A63" w:rsidP="00A24459">
            <w:pPr>
              <w:jc w:val="center"/>
              <w:rPr>
                <w:color w:val="000000" w:themeColor="text1"/>
                <w:sz w:val="24"/>
                <w:szCs w:val="24"/>
              </w:rPr>
            </w:pPr>
            <w:r w:rsidRPr="00792B36">
              <w:rPr>
                <w:color w:val="000000" w:themeColor="text1"/>
                <w:sz w:val="24"/>
                <w:szCs w:val="24"/>
              </w:rPr>
              <w:t xml:space="preserve">Whale shark </w:t>
            </w:r>
            <w:r w:rsidRPr="00792B36">
              <w:rPr>
                <w:color w:val="000000" w:themeColor="text1"/>
                <w:sz w:val="24"/>
                <w:szCs w:val="24"/>
                <w:cs/>
              </w:rPr>
              <w:t>(</w:t>
            </w:r>
            <w:r w:rsidRPr="00792B36">
              <w:rPr>
                <w:i/>
                <w:iCs/>
                <w:color w:val="000000" w:themeColor="text1"/>
                <w:sz w:val="24"/>
                <w:szCs w:val="24"/>
              </w:rPr>
              <w:t>Rhincodon typus</w:t>
            </w:r>
            <w:r w:rsidRPr="00792B36">
              <w:rPr>
                <w:color w:val="000000" w:themeColor="text1"/>
                <w:sz w:val="24"/>
                <w:szCs w:val="24"/>
                <w:cs/>
              </w:rPr>
              <w:t>)</w:t>
            </w:r>
            <w:r w:rsidRPr="00792B36">
              <w:rPr>
                <w:color w:val="000000" w:themeColor="text1"/>
                <w:sz w:val="24"/>
                <w:szCs w:val="24"/>
              </w:rPr>
              <w:t xml:space="preserve">, Bottlenose dolphin </w:t>
            </w:r>
            <w:r w:rsidRPr="00792B36">
              <w:rPr>
                <w:color w:val="000000" w:themeColor="text1"/>
                <w:sz w:val="24"/>
                <w:szCs w:val="24"/>
                <w:cs/>
              </w:rPr>
              <w:t>(</w:t>
            </w:r>
            <w:r w:rsidRPr="00792B36">
              <w:rPr>
                <w:i/>
                <w:iCs/>
                <w:color w:val="000000" w:themeColor="text1"/>
                <w:sz w:val="24"/>
                <w:szCs w:val="24"/>
              </w:rPr>
              <w:t>Tursiops truncatus</w:t>
            </w:r>
            <w:r w:rsidRPr="00792B36">
              <w:rPr>
                <w:color w:val="000000" w:themeColor="text1"/>
                <w:sz w:val="24"/>
                <w:szCs w:val="24"/>
                <w:cs/>
              </w:rPr>
              <w:t>)-</w:t>
            </w:r>
          </w:p>
        </w:tc>
      </w:tr>
      <w:tr w:rsidR="009A0A63" w:rsidRPr="00792B36" w14:paraId="1E7DEAA4" w14:textId="77777777" w:rsidTr="00A24459">
        <w:tc>
          <w:tcPr>
            <w:tcW w:w="4316" w:type="dxa"/>
          </w:tcPr>
          <w:p w14:paraId="5F7D6234" w14:textId="77777777" w:rsidR="009A0A63" w:rsidRPr="00792B36" w:rsidRDefault="009A0A63" w:rsidP="00A24459">
            <w:pPr>
              <w:rPr>
                <w:b/>
                <w:bCs/>
                <w:color w:val="000000" w:themeColor="text1"/>
                <w:sz w:val="24"/>
                <w:szCs w:val="24"/>
              </w:rPr>
            </w:pPr>
            <w:r w:rsidRPr="00792B36">
              <w:rPr>
                <w:b/>
                <w:bCs/>
                <w:color w:val="000000" w:themeColor="text1"/>
                <w:sz w:val="24"/>
                <w:szCs w:val="24"/>
              </w:rPr>
              <w:t>CR:6 Koh Kra</w:t>
            </w:r>
          </w:p>
        </w:tc>
        <w:tc>
          <w:tcPr>
            <w:tcW w:w="3050" w:type="dxa"/>
          </w:tcPr>
          <w:p w14:paraId="682D459F" w14:textId="77777777" w:rsidR="009A0A63" w:rsidRPr="00792B36" w:rsidRDefault="009A0A63" w:rsidP="00A24459">
            <w:pPr>
              <w:jc w:val="center"/>
              <w:rPr>
                <w:b/>
                <w:bCs/>
                <w:color w:val="000000" w:themeColor="text1"/>
                <w:sz w:val="24"/>
                <w:szCs w:val="24"/>
              </w:rPr>
            </w:pPr>
            <w:r w:rsidRPr="00792B36">
              <w:rPr>
                <w:b/>
                <w:bCs/>
                <w:color w:val="000000" w:themeColor="text1"/>
                <w:sz w:val="24"/>
                <w:szCs w:val="24"/>
                <w:cs/>
              </w:rPr>
              <w:t>-</w:t>
            </w:r>
          </w:p>
        </w:tc>
        <w:tc>
          <w:tcPr>
            <w:tcW w:w="5584" w:type="dxa"/>
          </w:tcPr>
          <w:p w14:paraId="2BD4D1B6" w14:textId="77777777" w:rsidR="009A0A63" w:rsidRPr="00792B36" w:rsidRDefault="009A0A63" w:rsidP="00A24459">
            <w:pPr>
              <w:jc w:val="center"/>
              <w:rPr>
                <w:color w:val="000000" w:themeColor="text1"/>
                <w:sz w:val="24"/>
                <w:szCs w:val="24"/>
              </w:rPr>
            </w:pPr>
            <w:r w:rsidRPr="00792B36">
              <w:rPr>
                <w:color w:val="000000" w:themeColor="text1"/>
                <w:sz w:val="24"/>
                <w:szCs w:val="24"/>
              </w:rPr>
              <w:t>Indian mackerel</w:t>
            </w:r>
            <w:r w:rsidRPr="00792B36">
              <w:rPr>
                <w:color w:val="000000" w:themeColor="text1"/>
                <w:sz w:val="24"/>
                <w:szCs w:val="24"/>
                <w:cs/>
              </w:rPr>
              <w:t xml:space="preserve"> (</w:t>
            </w:r>
            <w:r w:rsidRPr="00792B36">
              <w:rPr>
                <w:i/>
                <w:iCs/>
                <w:color w:val="000000" w:themeColor="text1"/>
                <w:sz w:val="24"/>
                <w:szCs w:val="24"/>
              </w:rPr>
              <w:t>Rastrelliger kanagurta</w:t>
            </w:r>
            <w:r w:rsidRPr="00792B36">
              <w:rPr>
                <w:color w:val="000000" w:themeColor="text1"/>
                <w:sz w:val="24"/>
                <w:szCs w:val="24"/>
                <w:cs/>
              </w:rPr>
              <w:t>)</w:t>
            </w:r>
            <w:r w:rsidRPr="00792B36">
              <w:rPr>
                <w:color w:val="000000" w:themeColor="text1"/>
                <w:sz w:val="24"/>
                <w:szCs w:val="24"/>
              </w:rPr>
              <w:t>, Mackerel tuna</w:t>
            </w:r>
            <w:r w:rsidRPr="00792B36">
              <w:rPr>
                <w:color w:val="000000" w:themeColor="text1"/>
                <w:sz w:val="24"/>
                <w:szCs w:val="24"/>
                <w:cs/>
              </w:rPr>
              <w:t xml:space="preserve"> (</w:t>
            </w:r>
            <w:r w:rsidRPr="00792B36">
              <w:rPr>
                <w:i/>
                <w:iCs/>
                <w:color w:val="000000" w:themeColor="text1"/>
                <w:sz w:val="24"/>
                <w:szCs w:val="24"/>
              </w:rPr>
              <w:t>Euthynnus affinis</w:t>
            </w:r>
            <w:r w:rsidRPr="00792B36">
              <w:rPr>
                <w:color w:val="000000" w:themeColor="text1"/>
                <w:sz w:val="24"/>
                <w:szCs w:val="24"/>
                <w:cs/>
              </w:rPr>
              <w:t>)-</w:t>
            </w:r>
          </w:p>
        </w:tc>
      </w:tr>
      <w:tr w:rsidR="009A0A63" w:rsidRPr="00792B36" w14:paraId="71D226B7" w14:textId="77777777" w:rsidTr="00A24459">
        <w:tc>
          <w:tcPr>
            <w:tcW w:w="4316" w:type="dxa"/>
          </w:tcPr>
          <w:p w14:paraId="5F9F5FE8" w14:textId="77777777" w:rsidR="009A0A63" w:rsidRPr="00792B36" w:rsidRDefault="009A0A63" w:rsidP="00A24459">
            <w:pPr>
              <w:rPr>
                <w:b/>
                <w:bCs/>
                <w:color w:val="000000" w:themeColor="text1"/>
                <w:sz w:val="24"/>
                <w:szCs w:val="24"/>
              </w:rPr>
            </w:pPr>
            <w:r w:rsidRPr="00792B36">
              <w:rPr>
                <w:b/>
                <w:bCs/>
                <w:color w:val="000000" w:themeColor="text1"/>
                <w:sz w:val="24"/>
                <w:szCs w:val="24"/>
              </w:rPr>
              <w:t>CR:7 Koh Losin</w:t>
            </w:r>
          </w:p>
        </w:tc>
        <w:tc>
          <w:tcPr>
            <w:tcW w:w="3050" w:type="dxa"/>
          </w:tcPr>
          <w:p w14:paraId="002F2851" w14:textId="77777777" w:rsidR="009A0A63" w:rsidRPr="00792B36" w:rsidRDefault="009A0A63" w:rsidP="00A24459">
            <w:pPr>
              <w:jc w:val="center"/>
              <w:rPr>
                <w:b/>
                <w:bCs/>
                <w:color w:val="000000" w:themeColor="text1"/>
                <w:sz w:val="24"/>
                <w:szCs w:val="24"/>
              </w:rPr>
            </w:pPr>
            <w:r w:rsidRPr="00792B36">
              <w:rPr>
                <w:b/>
                <w:bCs/>
                <w:color w:val="000000" w:themeColor="text1"/>
                <w:sz w:val="24"/>
                <w:szCs w:val="24"/>
                <w:cs/>
              </w:rPr>
              <w:t>-</w:t>
            </w:r>
          </w:p>
        </w:tc>
        <w:tc>
          <w:tcPr>
            <w:tcW w:w="5584" w:type="dxa"/>
          </w:tcPr>
          <w:p w14:paraId="2C2A6785" w14:textId="77777777" w:rsidR="009A0A63" w:rsidRPr="00792B36" w:rsidRDefault="009A0A63" w:rsidP="00A24459">
            <w:pPr>
              <w:jc w:val="center"/>
              <w:rPr>
                <w:color w:val="000000" w:themeColor="text1"/>
                <w:sz w:val="24"/>
                <w:szCs w:val="24"/>
              </w:rPr>
            </w:pPr>
            <w:r w:rsidRPr="00792B36">
              <w:rPr>
                <w:color w:val="000000" w:themeColor="text1"/>
                <w:sz w:val="24"/>
                <w:szCs w:val="24"/>
              </w:rPr>
              <w:t xml:space="preserve">Hawksbill turtle </w:t>
            </w:r>
            <w:r w:rsidRPr="00792B36">
              <w:rPr>
                <w:color w:val="000000" w:themeColor="text1"/>
                <w:sz w:val="24"/>
                <w:szCs w:val="24"/>
                <w:cs/>
              </w:rPr>
              <w:t>(</w:t>
            </w:r>
            <w:r w:rsidRPr="00792B36">
              <w:rPr>
                <w:i/>
                <w:iCs/>
                <w:color w:val="000000" w:themeColor="text1"/>
                <w:sz w:val="24"/>
                <w:szCs w:val="24"/>
              </w:rPr>
              <w:t>Eretmochelys imbricata</w:t>
            </w:r>
            <w:r w:rsidRPr="00792B36">
              <w:rPr>
                <w:color w:val="000000" w:themeColor="text1"/>
                <w:sz w:val="24"/>
                <w:szCs w:val="24"/>
                <w:cs/>
              </w:rPr>
              <w:t>)</w:t>
            </w:r>
            <w:r w:rsidRPr="00792B36">
              <w:rPr>
                <w:color w:val="000000" w:themeColor="text1"/>
                <w:sz w:val="24"/>
                <w:szCs w:val="24"/>
              </w:rPr>
              <w:t xml:space="preserve">, Green turtle </w:t>
            </w:r>
            <w:r w:rsidRPr="00792B36">
              <w:rPr>
                <w:color w:val="000000" w:themeColor="text1"/>
                <w:sz w:val="24"/>
                <w:szCs w:val="24"/>
                <w:cs/>
              </w:rPr>
              <w:t>(</w:t>
            </w:r>
            <w:r w:rsidRPr="00792B36">
              <w:rPr>
                <w:i/>
                <w:iCs/>
                <w:color w:val="000000" w:themeColor="text1"/>
                <w:sz w:val="24"/>
                <w:szCs w:val="24"/>
              </w:rPr>
              <w:t>Chelonia mydas</w:t>
            </w:r>
            <w:r w:rsidRPr="00792B36">
              <w:rPr>
                <w:color w:val="000000" w:themeColor="text1"/>
                <w:sz w:val="24"/>
                <w:szCs w:val="24"/>
                <w:cs/>
              </w:rPr>
              <w:t>)</w:t>
            </w:r>
            <w:r w:rsidRPr="00792B36">
              <w:rPr>
                <w:color w:val="000000" w:themeColor="text1"/>
                <w:sz w:val="24"/>
                <w:szCs w:val="24"/>
              </w:rPr>
              <w:t>, Indian mackerel</w:t>
            </w:r>
            <w:r w:rsidRPr="00792B36">
              <w:rPr>
                <w:color w:val="000000" w:themeColor="text1"/>
                <w:sz w:val="24"/>
                <w:szCs w:val="24"/>
                <w:cs/>
              </w:rPr>
              <w:t xml:space="preserve"> (</w:t>
            </w:r>
            <w:r w:rsidRPr="00792B36">
              <w:rPr>
                <w:i/>
                <w:iCs/>
                <w:color w:val="000000" w:themeColor="text1"/>
                <w:sz w:val="24"/>
                <w:szCs w:val="24"/>
              </w:rPr>
              <w:t>Rastrelliger kanagurta</w:t>
            </w:r>
            <w:r w:rsidRPr="00792B36">
              <w:rPr>
                <w:color w:val="000000" w:themeColor="text1"/>
                <w:sz w:val="24"/>
                <w:szCs w:val="24"/>
                <w:cs/>
              </w:rPr>
              <w:t>)</w:t>
            </w:r>
            <w:r w:rsidRPr="00792B36">
              <w:rPr>
                <w:color w:val="000000" w:themeColor="text1"/>
                <w:sz w:val="24"/>
                <w:szCs w:val="24"/>
              </w:rPr>
              <w:t>, whale shark (</w:t>
            </w:r>
            <w:r w:rsidRPr="00792B36">
              <w:rPr>
                <w:i/>
                <w:iCs/>
                <w:color w:val="000000" w:themeColor="text1"/>
                <w:sz w:val="24"/>
                <w:szCs w:val="24"/>
              </w:rPr>
              <w:t>Rhincodon typus</w:t>
            </w:r>
            <w:r w:rsidRPr="00792B36">
              <w:rPr>
                <w:color w:val="000000" w:themeColor="text1"/>
                <w:sz w:val="24"/>
                <w:szCs w:val="24"/>
              </w:rPr>
              <w:t>)</w:t>
            </w:r>
          </w:p>
        </w:tc>
      </w:tr>
      <w:tr w:rsidR="009A0A63" w:rsidRPr="00792B36" w14:paraId="0575AA09" w14:textId="77777777" w:rsidTr="00A24459">
        <w:tc>
          <w:tcPr>
            <w:tcW w:w="4316" w:type="dxa"/>
          </w:tcPr>
          <w:p w14:paraId="26243B0F" w14:textId="77777777" w:rsidR="009A0A63" w:rsidRPr="00792B36" w:rsidRDefault="009A0A63" w:rsidP="00A24459">
            <w:pPr>
              <w:rPr>
                <w:b/>
                <w:bCs/>
                <w:color w:val="000000" w:themeColor="text1"/>
                <w:sz w:val="24"/>
                <w:szCs w:val="24"/>
              </w:rPr>
            </w:pPr>
            <w:r w:rsidRPr="00792B36">
              <w:rPr>
                <w:b/>
                <w:bCs/>
                <w:color w:val="000000" w:themeColor="text1"/>
                <w:sz w:val="24"/>
                <w:szCs w:val="24"/>
              </w:rPr>
              <w:t>CR:8 Underwater pinnacle Chumphon Province</w:t>
            </w:r>
          </w:p>
        </w:tc>
        <w:tc>
          <w:tcPr>
            <w:tcW w:w="3050" w:type="dxa"/>
          </w:tcPr>
          <w:p w14:paraId="56FA7C99" w14:textId="77777777" w:rsidR="009A0A63" w:rsidRPr="00792B36" w:rsidRDefault="009A0A63" w:rsidP="00A24459">
            <w:pPr>
              <w:jc w:val="center"/>
              <w:rPr>
                <w:b/>
                <w:bCs/>
                <w:color w:val="000000" w:themeColor="text1"/>
                <w:sz w:val="24"/>
                <w:szCs w:val="24"/>
              </w:rPr>
            </w:pPr>
            <w:r w:rsidRPr="00792B36">
              <w:rPr>
                <w:b/>
                <w:bCs/>
                <w:color w:val="000000" w:themeColor="text1"/>
                <w:sz w:val="24"/>
                <w:szCs w:val="24"/>
                <w:cs/>
              </w:rPr>
              <w:t>-</w:t>
            </w:r>
          </w:p>
        </w:tc>
        <w:tc>
          <w:tcPr>
            <w:tcW w:w="5584" w:type="dxa"/>
          </w:tcPr>
          <w:p w14:paraId="628AE4BA" w14:textId="77777777" w:rsidR="009A0A63" w:rsidRPr="00792B36" w:rsidRDefault="009A0A63" w:rsidP="00A24459">
            <w:pPr>
              <w:jc w:val="center"/>
              <w:rPr>
                <w:color w:val="000000" w:themeColor="text1"/>
                <w:sz w:val="24"/>
                <w:szCs w:val="24"/>
              </w:rPr>
            </w:pPr>
            <w:r w:rsidRPr="00792B36">
              <w:rPr>
                <w:color w:val="000000" w:themeColor="text1"/>
                <w:sz w:val="24"/>
                <w:szCs w:val="24"/>
              </w:rPr>
              <w:t xml:space="preserve">Hawksbill turtle </w:t>
            </w:r>
            <w:r w:rsidRPr="00792B36">
              <w:rPr>
                <w:color w:val="000000" w:themeColor="text1"/>
                <w:sz w:val="24"/>
                <w:szCs w:val="24"/>
                <w:cs/>
              </w:rPr>
              <w:t>(</w:t>
            </w:r>
            <w:r w:rsidRPr="00792B36">
              <w:rPr>
                <w:i/>
                <w:iCs/>
                <w:color w:val="000000" w:themeColor="text1"/>
                <w:sz w:val="24"/>
                <w:szCs w:val="24"/>
              </w:rPr>
              <w:t>Eretmochelys imbricata</w:t>
            </w:r>
            <w:r w:rsidRPr="00792B36">
              <w:rPr>
                <w:color w:val="000000" w:themeColor="text1"/>
                <w:sz w:val="24"/>
                <w:szCs w:val="24"/>
                <w:cs/>
              </w:rPr>
              <w:t>)</w:t>
            </w:r>
            <w:r w:rsidRPr="00792B36">
              <w:rPr>
                <w:color w:val="000000" w:themeColor="text1"/>
                <w:sz w:val="24"/>
                <w:szCs w:val="24"/>
              </w:rPr>
              <w:t xml:space="preserve">, Green turtle </w:t>
            </w:r>
            <w:r w:rsidRPr="00792B36">
              <w:rPr>
                <w:color w:val="000000" w:themeColor="text1"/>
                <w:sz w:val="24"/>
                <w:szCs w:val="24"/>
                <w:cs/>
              </w:rPr>
              <w:t>(</w:t>
            </w:r>
            <w:r w:rsidRPr="00792B36">
              <w:rPr>
                <w:i/>
                <w:iCs/>
                <w:color w:val="000000" w:themeColor="text1"/>
                <w:sz w:val="24"/>
                <w:szCs w:val="24"/>
              </w:rPr>
              <w:t>Chelonia mydas</w:t>
            </w:r>
            <w:r w:rsidRPr="00792B36">
              <w:rPr>
                <w:color w:val="000000" w:themeColor="text1"/>
                <w:sz w:val="24"/>
                <w:szCs w:val="24"/>
                <w:cs/>
              </w:rPr>
              <w:t>)</w:t>
            </w:r>
            <w:r w:rsidRPr="00792B36">
              <w:rPr>
                <w:color w:val="000000" w:themeColor="text1"/>
                <w:sz w:val="24"/>
                <w:szCs w:val="24"/>
              </w:rPr>
              <w:t>, Indian mackerel</w:t>
            </w:r>
            <w:r w:rsidRPr="00792B36">
              <w:rPr>
                <w:color w:val="000000" w:themeColor="text1"/>
                <w:sz w:val="24"/>
                <w:szCs w:val="24"/>
                <w:cs/>
              </w:rPr>
              <w:t xml:space="preserve"> (</w:t>
            </w:r>
            <w:r w:rsidRPr="00792B36">
              <w:rPr>
                <w:i/>
                <w:iCs/>
                <w:color w:val="000000" w:themeColor="text1"/>
                <w:sz w:val="24"/>
                <w:szCs w:val="24"/>
              </w:rPr>
              <w:t>Rastrelliger kanagurta</w:t>
            </w:r>
            <w:r w:rsidRPr="00792B36">
              <w:rPr>
                <w:color w:val="000000" w:themeColor="text1"/>
                <w:sz w:val="24"/>
                <w:szCs w:val="24"/>
                <w:cs/>
              </w:rPr>
              <w:t>)</w:t>
            </w:r>
            <w:r w:rsidRPr="00792B36">
              <w:rPr>
                <w:color w:val="000000" w:themeColor="text1"/>
                <w:sz w:val="24"/>
                <w:szCs w:val="24"/>
              </w:rPr>
              <w:t>, whale shark (</w:t>
            </w:r>
            <w:r w:rsidRPr="00792B36">
              <w:rPr>
                <w:i/>
                <w:iCs/>
                <w:color w:val="000000" w:themeColor="text1"/>
                <w:sz w:val="24"/>
                <w:szCs w:val="24"/>
              </w:rPr>
              <w:t>Rhincodon typus</w:t>
            </w:r>
            <w:r w:rsidRPr="00792B36">
              <w:rPr>
                <w:color w:val="000000" w:themeColor="text1"/>
                <w:sz w:val="24"/>
                <w:szCs w:val="24"/>
              </w:rPr>
              <w:t>)</w:t>
            </w:r>
          </w:p>
        </w:tc>
      </w:tr>
      <w:tr w:rsidR="009A0A63" w:rsidRPr="00792B36" w14:paraId="7ED35F60" w14:textId="77777777" w:rsidTr="00A24459">
        <w:tc>
          <w:tcPr>
            <w:tcW w:w="4316" w:type="dxa"/>
          </w:tcPr>
          <w:p w14:paraId="0E08D56B" w14:textId="77777777" w:rsidR="009A0A63" w:rsidRPr="00792B36" w:rsidRDefault="009A0A63" w:rsidP="00A24459">
            <w:pPr>
              <w:rPr>
                <w:color w:val="000000" w:themeColor="text1"/>
                <w:sz w:val="24"/>
                <w:szCs w:val="24"/>
              </w:rPr>
            </w:pPr>
            <w:r w:rsidRPr="00792B36">
              <w:rPr>
                <w:rStyle w:val="Strong"/>
                <w:rFonts w:eastAsiaTheme="minorEastAsia"/>
                <w:color w:val="000000" w:themeColor="text1"/>
                <w:sz w:val="24"/>
                <w:szCs w:val="24"/>
              </w:rPr>
              <w:t>SG1: Ban Don Bay</w:t>
            </w:r>
          </w:p>
        </w:tc>
        <w:tc>
          <w:tcPr>
            <w:tcW w:w="3050" w:type="dxa"/>
          </w:tcPr>
          <w:p w14:paraId="03F01B8D" w14:textId="77777777" w:rsidR="009A0A63" w:rsidRPr="00792B36" w:rsidRDefault="009A0A63" w:rsidP="00A24459">
            <w:pPr>
              <w:jc w:val="center"/>
              <w:rPr>
                <w:b/>
                <w:bCs/>
                <w:color w:val="000000" w:themeColor="text1"/>
                <w:sz w:val="24"/>
                <w:szCs w:val="24"/>
              </w:rPr>
            </w:pPr>
            <w:r w:rsidRPr="00792B36">
              <w:rPr>
                <w:b/>
                <w:bCs/>
                <w:color w:val="000000" w:themeColor="text1"/>
                <w:sz w:val="24"/>
                <w:szCs w:val="24"/>
                <w:cs/>
              </w:rPr>
              <w:t>-</w:t>
            </w:r>
          </w:p>
        </w:tc>
        <w:tc>
          <w:tcPr>
            <w:tcW w:w="5584" w:type="dxa"/>
          </w:tcPr>
          <w:p w14:paraId="2D5DB41C" w14:textId="77777777" w:rsidR="009A0A63" w:rsidRPr="00792B36" w:rsidRDefault="009A0A63" w:rsidP="00A24459">
            <w:pPr>
              <w:jc w:val="center"/>
              <w:rPr>
                <w:color w:val="000000" w:themeColor="text1"/>
                <w:sz w:val="24"/>
                <w:szCs w:val="24"/>
              </w:rPr>
            </w:pPr>
            <w:r w:rsidRPr="00792B36">
              <w:rPr>
                <w:color w:val="000000" w:themeColor="text1"/>
                <w:sz w:val="24"/>
                <w:szCs w:val="24"/>
                <w:cs/>
              </w:rPr>
              <w:t>-</w:t>
            </w:r>
          </w:p>
        </w:tc>
      </w:tr>
      <w:tr w:rsidR="009A0A63" w:rsidRPr="00792B36" w14:paraId="4769323B" w14:textId="77777777" w:rsidTr="00A24459">
        <w:tc>
          <w:tcPr>
            <w:tcW w:w="4316" w:type="dxa"/>
          </w:tcPr>
          <w:p w14:paraId="0DFED17A" w14:textId="77777777" w:rsidR="009A0A63" w:rsidRPr="00792B36" w:rsidRDefault="009A0A63" w:rsidP="00A24459">
            <w:pPr>
              <w:rPr>
                <w:color w:val="000000" w:themeColor="text1"/>
                <w:sz w:val="24"/>
                <w:szCs w:val="24"/>
              </w:rPr>
            </w:pPr>
            <w:r w:rsidRPr="00792B36">
              <w:rPr>
                <w:rStyle w:val="Strong"/>
                <w:rFonts w:eastAsiaTheme="minorEastAsia"/>
                <w:color w:val="000000" w:themeColor="text1"/>
                <w:sz w:val="24"/>
                <w:szCs w:val="24"/>
              </w:rPr>
              <w:t>SG2: Chumphon</w:t>
            </w:r>
          </w:p>
        </w:tc>
        <w:tc>
          <w:tcPr>
            <w:tcW w:w="3050" w:type="dxa"/>
          </w:tcPr>
          <w:p w14:paraId="03B6E282" w14:textId="77777777" w:rsidR="009A0A63" w:rsidRPr="00792B36" w:rsidRDefault="009A0A63" w:rsidP="00A24459">
            <w:pPr>
              <w:jc w:val="center"/>
              <w:rPr>
                <w:b/>
                <w:bCs/>
                <w:color w:val="000000" w:themeColor="text1"/>
                <w:sz w:val="24"/>
                <w:szCs w:val="24"/>
              </w:rPr>
            </w:pPr>
            <w:r w:rsidRPr="00792B36">
              <w:rPr>
                <w:b/>
                <w:bCs/>
                <w:color w:val="000000" w:themeColor="text1"/>
                <w:sz w:val="24"/>
                <w:szCs w:val="24"/>
                <w:cs/>
              </w:rPr>
              <w:t>-</w:t>
            </w:r>
          </w:p>
        </w:tc>
        <w:tc>
          <w:tcPr>
            <w:tcW w:w="5584" w:type="dxa"/>
          </w:tcPr>
          <w:p w14:paraId="1A1C36A6" w14:textId="77777777" w:rsidR="009A0A63" w:rsidRPr="00792B36" w:rsidRDefault="009A0A63" w:rsidP="00A24459">
            <w:pPr>
              <w:jc w:val="center"/>
              <w:rPr>
                <w:color w:val="000000" w:themeColor="text1"/>
                <w:sz w:val="24"/>
                <w:szCs w:val="24"/>
              </w:rPr>
            </w:pPr>
            <w:r w:rsidRPr="00792B36">
              <w:rPr>
                <w:color w:val="000000" w:themeColor="text1"/>
                <w:sz w:val="24"/>
                <w:szCs w:val="24"/>
                <w:cs/>
              </w:rPr>
              <w:t>-</w:t>
            </w:r>
          </w:p>
        </w:tc>
      </w:tr>
    </w:tbl>
    <w:p w14:paraId="29B8D68E" w14:textId="77777777" w:rsidR="009A0A63" w:rsidRPr="00792B36" w:rsidRDefault="009A0A63" w:rsidP="009A0A63">
      <w:pPr>
        <w:pStyle w:val="ListParagraph"/>
        <w:widowControl/>
        <w:spacing w:line="259" w:lineRule="auto"/>
        <w:ind w:left="1134"/>
        <w:rPr>
          <w:rFonts w:cs="Arial"/>
          <w:b/>
          <w:bCs/>
          <w:color w:val="000000" w:themeColor="text1"/>
          <w:sz w:val="24"/>
          <w:szCs w:val="24"/>
        </w:rPr>
      </w:pPr>
      <w:bookmarkStart w:id="44" w:name="_Hlk213424304"/>
    </w:p>
    <w:p w14:paraId="330BC640" w14:textId="77777777" w:rsidR="009A0A63" w:rsidRPr="00792B36" w:rsidRDefault="009A0A63" w:rsidP="00F61B37">
      <w:pPr>
        <w:pStyle w:val="ListParagraph"/>
        <w:widowControl/>
        <w:numPr>
          <w:ilvl w:val="0"/>
          <w:numId w:val="45"/>
        </w:numPr>
        <w:spacing w:line="259" w:lineRule="auto"/>
        <w:ind w:left="1134" w:hanging="283"/>
        <w:rPr>
          <w:rFonts w:cs="Arial"/>
          <w:b/>
          <w:bCs/>
          <w:color w:val="000000" w:themeColor="text1"/>
          <w:sz w:val="24"/>
          <w:szCs w:val="24"/>
        </w:rPr>
      </w:pPr>
      <w:r w:rsidRPr="00792B36">
        <w:rPr>
          <w:rFonts w:cs="Arial"/>
          <w:b/>
          <w:bCs/>
          <w:color w:val="000000" w:themeColor="text1"/>
          <w:sz w:val="24"/>
          <w:szCs w:val="24"/>
        </w:rPr>
        <w:t xml:space="preserve">Economic Valuation </w:t>
      </w:r>
      <w:r w:rsidRPr="00792B36">
        <w:rPr>
          <w:rFonts w:cs="Arial"/>
          <w:b/>
          <w:bCs/>
          <w:color w:val="000000" w:themeColor="text1"/>
          <w:sz w:val="24"/>
          <w:szCs w:val="24"/>
          <w:cs/>
        </w:rPr>
        <w:t>(</w:t>
      </w:r>
      <w:r w:rsidRPr="00792B36">
        <w:rPr>
          <w:rFonts w:cs="Arial"/>
          <w:b/>
          <w:bCs/>
          <w:color w:val="000000" w:themeColor="text1"/>
          <w:sz w:val="24"/>
          <w:szCs w:val="24"/>
        </w:rPr>
        <w:t>based on Barbier, 1997</w:t>
      </w:r>
      <w:r w:rsidRPr="00792B36">
        <w:rPr>
          <w:rFonts w:cs="Arial"/>
          <w:b/>
          <w:bCs/>
          <w:color w:val="000000" w:themeColor="text1"/>
          <w:sz w:val="24"/>
          <w:szCs w:val="24"/>
          <w:cs/>
        </w:rPr>
        <w:t xml:space="preserve">) </w:t>
      </w:r>
    </w:p>
    <w:p w14:paraId="65C155B9" w14:textId="77777777" w:rsidR="009A0A63" w:rsidRPr="00792B36" w:rsidRDefault="009A0A63" w:rsidP="009A0A63">
      <w:pPr>
        <w:tabs>
          <w:tab w:val="left" w:pos="1134"/>
        </w:tabs>
        <w:ind w:left="142" w:firstLine="709"/>
        <w:rPr>
          <w:b/>
          <w:bCs/>
          <w:i/>
          <w:iCs/>
          <w:color w:val="000000" w:themeColor="text1"/>
          <w:sz w:val="24"/>
          <w:szCs w:val="24"/>
        </w:rPr>
      </w:pPr>
      <w:r w:rsidRPr="00792B36">
        <w:rPr>
          <w:b/>
          <w:bCs/>
          <w:color w:val="000000" w:themeColor="text1"/>
          <w:sz w:val="24"/>
          <w:szCs w:val="24"/>
          <w:cs/>
        </w:rPr>
        <w:lastRenderedPageBreak/>
        <w:t xml:space="preserve"> </w:t>
      </w:r>
      <w:r w:rsidRPr="00792B36">
        <w:rPr>
          <w:b/>
          <w:bCs/>
          <w:color w:val="000000" w:themeColor="text1"/>
          <w:sz w:val="24"/>
          <w:szCs w:val="24"/>
        </w:rPr>
        <w:tab/>
      </w:r>
      <w:r w:rsidRPr="00792B36">
        <w:rPr>
          <w:b/>
          <w:bCs/>
          <w:i/>
          <w:iCs/>
          <w:color w:val="000000" w:themeColor="text1"/>
          <w:sz w:val="24"/>
          <w:szCs w:val="24"/>
        </w:rPr>
        <w:t>Economic value of coral reefs in the Gulf of Thailand</w:t>
      </w:r>
    </w:p>
    <w:p w14:paraId="45027731" w14:textId="77777777" w:rsidR="009A0A63" w:rsidRPr="00792B36" w:rsidRDefault="009A0A63" w:rsidP="009A0A63">
      <w:pPr>
        <w:tabs>
          <w:tab w:val="left" w:pos="1134"/>
          <w:tab w:val="left" w:pos="1276"/>
        </w:tabs>
        <w:ind w:firstLine="851"/>
        <w:jc w:val="thaiDistribute"/>
        <w:rPr>
          <w:color w:val="000000" w:themeColor="text1"/>
          <w:sz w:val="24"/>
          <w:szCs w:val="24"/>
        </w:rPr>
      </w:pPr>
      <w:r w:rsidRPr="00792B36">
        <w:rPr>
          <w:color w:val="000000" w:themeColor="text1"/>
          <w:sz w:val="24"/>
          <w:szCs w:val="24"/>
        </w:rPr>
        <w:tab/>
        <w:t>An economic assessment of coral reef ecosystems along the Gulf of Thailand underscores their substantial contribution to provincial economies, with considerable variability in estimated annual values across regions</w:t>
      </w:r>
      <w:r w:rsidRPr="00792B36">
        <w:rPr>
          <w:color w:val="000000" w:themeColor="text1"/>
          <w:sz w:val="24"/>
          <w:szCs w:val="24"/>
          <w:cs/>
        </w:rPr>
        <w:t xml:space="preserve">. </w:t>
      </w:r>
      <w:r w:rsidRPr="00792B36">
        <w:rPr>
          <w:color w:val="000000" w:themeColor="text1"/>
          <w:sz w:val="24"/>
          <w:szCs w:val="24"/>
        </w:rPr>
        <w:t>Surat Thani Province demonstrates the highest economic valuation, estimated between 2,500 and 3,500 million THB per year, reflecting its extensive reef resources and robust tourism and fisheries industries</w:t>
      </w:r>
      <w:r w:rsidRPr="00792B36">
        <w:rPr>
          <w:color w:val="000000" w:themeColor="text1"/>
          <w:sz w:val="24"/>
          <w:szCs w:val="24"/>
          <w:cs/>
        </w:rPr>
        <w:t xml:space="preserve">. </w:t>
      </w:r>
      <w:r w:rsidRPr="00792B36">
        <w:rPr>
          <w:color w:val="000000" w:themeColor="text1"/>
          <w:sz w:val="24"/>
          <w:szCs w:val="24"/>
        </w:rPr>
        <w:t>Chon Buri Province also generates significant economic benefits, valued at approximately 1,500 to 2,000 million THB annually</w:t>
      </w:r>
      <w:r w:rsidRPr="00792B36">
        <w:rPr>
          <w:color w:val="000000" w:themeColor="text1"/>
          <w:sz w:val="24"/>
          <w:szCs w:val="24"/>
          <w:cs/>
        </w:rPr>
        <w:t xml:space="preserve">. </w:t>
      </w:r>
      <w:r w:rsidRPr="00792B36">
        <w:rPr>
          <w:color w:val="000000" w:themeColor="text1"/>
          <w:sz w:val="24"/>
          <w:szCs w:val="24"/>
        </w:rPr>
        <w:t xml:space="preserve">Other provinces with notable contributions include Chumphon </w:t>
      </w:r>
      <w:r w:rsidRPr="00792B36">
        <w:rPr>
          <w:color w:val="000000" w:themeColor="text1"/>
          <w:sz w:val="24"/>
          <w:szCs w:val="24"/>
          <w:cs/>
        </w:rPr>
        <w:t>(</w:t>
      </w:r>
      <w:r w:rsidRPr="00792B36">
        <w:rPr>
          <w:color w:val="000000" w:themeColor="text1"/>
          <w:sz w:val="24"/>
          <w:szCs w:val="24"/>
        </w:rPr>
        <w:t>600</w:t>
      </w:r>
      <w:r w:rsidRPr="00792B36">
        <w:rPr>
          <w:color w:val="000000" w:themeColor="text1"/>
          <w:sz w:val="24"/>
          <w:szCs w:val="24"/>
          <w:cs/>
        </w:rPr>
        <w:t>–</w:t>
      </w:r>
      <w:r w:rsidRPr="00792B36">
        <w:rPr>
          <w:color w:val="000000" w:themeColor="text1"/>
          <w:sz w:val="24"/>
          <w:szCs w:val="24"/>
        </w:rPr>
        <w:t>800 million THB</w:t>
      </w:r>
      <w:r w:rsidRPr="00792B36">
        <w:rPr>
          <w:color w:val="000000" w:themeColor="text1"/>
          <w:sz w:val="24"/>
          <w:szCs w:val="24"/>
          <w:cs/>
        </w:rPr>
        <w:t>)</w:t>
      </w:r>
      <w:r w:rsidRPr="00792B36">
        <w:rPr>
          <w:color w:val="000000" w:themeColor="text1"/>
          <w:sz w:val="24"/>
          <w:szCs w:val="24"/>
        </w:rPr>
        <w:t xml:space="preserve">, Trat </w:t>
      </w:r>
      <w:r w:rsidRPr="00792B36">
        <w:rPr>
          <w:color w:val="000000" w:themeColor="text1"/>
          <w:sz w:val="24"/>
          <w:szCs w:val="24"/>
          <w:cs/>
        </w:rPr>
        <w:t>(</w:t>
      </w:r>
      <w:r w:rsidRPr="00792B36">
        <w:rPr>
          <w:color w:val="000000" w:themeColor="text1"/>
          <w:sz w:val="24"/>
          <w:szCs w:val="24"/>
        </w:rPr>
        <w:t>500</w:t>
      </w:r>
      <w:r w:rsidRPr="00792B36">
        <w:rPr>
          <w:color w:val="000000" w:themeColor="text1"/>
          <w:sz w:val="24"/>
          <w:szCs w:val="24"/>
          <w:cs/>
        </w:rPr>
        <w:t>–</w:t>
      </w:r>
      <w:r w:rsidRPr="00792B36">
        <w:rPr>
          <w:color w:val="000000" w:themeColor="text1"/>
          <w:sz w:val="24"/>
          <w:szCs w:val="24"/>
        </w:rPr>
        <w:t>700 million THB</w:t>
      </w:r>
      <w:r w:rsidRPr="00792B36">
        <w:rPr>
          <w:color w:val="000000" w:themeColor="text1"/>
          <w:sz w:val="24"/>
          <w:szCs w:val="24"/>
          <w:cs/>
        </w:rPr>
        <w:t>)</w:t>
      </w:r>
      <w:r w:rsidRPr="00792B36">
        <w:rPr>
          <w:color w:val="000000" w:themeColor="text1"/>
          <w:sz w:val="24"/>
          <w:szCs w:val="24"/>
        </w:rPr>
        <w:t xml:space="preserve">, and Rayong </w:t>
      </w:r>
      <w:r w:rsidRPr="00792B36">
        <w:rPr>
          <w:color w:val="000000" w:themeColor="text1"/>
          <w:sz w:val="24"/>
          <w:szCs w:val="24"/>
          <w:cs/>
        </w:rPr>
        <w:t>(</w:t>
      </w:r>
      <w:r w:rsidRPr="00792B36">
        <w:rPr>
          <w:color w:val="000000" w:themeColor="text1"/>
          <w:sz w:val="24"/>
          <w:szCs w:val="24"/>
        </w:rPr>
        <w:t>400</w:t>
      </w:r>
      <w:r w:rsidRPr="00792B36">
        <w:rPr>
          <w:color w:val="000000" w:themeColor="text1"/>
          <w:sz w:val="24"/>
          <w:szCs w:val="24"/>
          <w:cs/>
        </w:rPr>
        <w:t>–</w:t>
      </w:r>
      <w:r w:rsidRPr="00792B36">
        <w:rPr>
          <w:color w:val="000000" w:themeColor="text1"/>
          <w:sz w:val="24"/>
          <w:szCs w:val="24"/>
        </w:rPr>
        <w:t>600 million THB</w:t>
      </w:r>
      <w:r w:rsidRPr="00792B36">
        <w:rPr>
          <w:color w:val="000000" w:themeColor="text1"/>
          <w:sz w:val="24"/>
          <w:szCs w:val="24"/>
          <w:cs/>
        </w:rPr>
        <w:t>)</w:t>
      </w:r>
      <w:r w:rsidRPr="00792B36">
        <w:rPr>
          <w:color w:val="000000" w:themeColor="text1"/>
          <w:sz w:val="24"/>
          <w:szCs w:val="24"/>
        </w:rPr>
        <w:t>, all of which benefit from well</w:t>
      </w:r>
      <w:r w:rsidRPr="00792B36">
        <w:rPr>
          <w:color w:val="000000" w:themeColor="text1"/>
          <w:sz w:val="24"/>
          <w:szCs w:val="24"/>
          <w:cs/>
        </w:rPr>
        <w:t>-</w:t>
      </w:r>
      <w:r w:rsidRPr="00792B36">
        <w:rPr>
          <w:color w:val="000000" w:themeColor="text1"/>
          <w:sz w:val="24"/>
          <w:szCs w:val="24"/>
        </w:rPr>
        <w:t>developed reef</w:t>
      </w:r>
      <w:r w:rsidRPr="00792B36">
        <w:rPr>
          <w:color w:val="000000" w:themeColor="text1"/>
          <w:sz w:val="24"/>
          <w:szCs w:val="24"/>
          <w:cs/>
        </w:rPr>
        <w:t>-</w:t>
      </w:r>
      <w:r w:rsidRPr="00792B36">
        <w:rPr>
          <w:color w:val="000000" w:themeColor="text1"/>
          <w:sz w:val="24"/>
          <w:szCs w:val="24"/>
        </w:rPr>
        <w:t>related economic activities</w:t>
      </w:r>
      <w:r w:rsidRPr="00792B36">
        <w:rPr>
          <w:color w:val="000000" w:themeColor="text1"/>
          <w:sz w:val="24"/>
          <w:szCs w:val="24"/>
          <w:cs/>
        </w:rPr>
        <w:t xml:space="preserve">. </w:t>
      </w:r>
      <w:r w:rsidRPr="00792B36">
        <w:rPr>
          <w:color w:val="000000" w:themeColor="text1"/>
          <w:sz w:val="24"/>
          <w:szCs w:val="24"/>
        </w:rPr>
        <w:t>In contrast, Prachuap Khiri Khan and Chanthaburi provinces exhibit more moderate valuations, ranging from 200 to 400 million THB per year</w:t>
      </w:r>
      <w:r w:rsidRPr="00792B36">
        <w:rPr>
          <w:color w:val="000000" w:themeColor="text1"/>
          <w:sz w:val="24"/>
          <w:szCs w:val="24"/>
          <w:cs/>
        </w:rPr>
        <w:t xml:space="preserve">. </w:t>
      </w:r>
      <w:r w:rsidRPr="00792B36">
        <w:rPr>
          <w:color w:val="000000" w:themeColor="text1"/>
          <w:sz w:val="24"/>
          <w:szCs w:val="24"/>
        </w:rPr>
        <w:t>Southern provinces such as Nakhon Si Thammarat, Songkhla, Narathiwat, and Pattani record the lowest estimates, with annual values between 30 and 100 million THB, consistent with smaller reef areas and less intensive commercial use</w:t>
      </w:r>
      <w:r w:rsidRPr="00792B36">
        <w:rPr>
          <w:color w:val="000000" w:themeColor="text1"/>
          <w:sz w:val="24"/>
          <w:szCs w:val="24"/>
          <w:cs/>
        </w:rPr>
        <w:t xml:space="preserve">. </w:t>
      </w:r>
      <w:r w:rsidRPr="00792B36">
        <w:rPr>
          <w:color w:val="000000" w:themeColor="text1"/>
          <w:sz w:val="24"/>
          <w:szCs w:val="24"/>
        </w:rPr>
        <w:t>These findings illustrate the critical economic role of coral reef ecosystems in sustaining coastal livelihoods and regional development, while highlighting the importance of effective conservation and management to preserve their long</w:t>
      </w:r>
      <w:r w:rsidRPr="00792B36">
        <w:rPr>
          <w:color w:val="000000" w:themeColor="text1"/>
          <w:sz w:val="24"/>
          <w:szCs w:val="24"/>
          <w:cs/>
        </w:rPr>
        <w:t>-</w:t>
      </w:r>
      <w:r w:rsidRPr="00792B36">
        <w:rPr>
          <w:color w:val="000000" w:themeColor="text1"/>
          <w:sz w:val="24"/>
          <w:szCs w:val="24"/>
        </w:rPr>
        <w:t>term value</w:t>
      </w:r>
      <w:r w:rsidRPr="00792B36">
        <w:rPr>
          <w:color w:val="000000" w:themeColor="text1"/>
          <w:sz w:val="24"/>
          <w:szCs w:val="24"/>
          <w:cs/>
        </w:rPr>
        <w:t>. (</w:t>
      </w:r>
      <w:r w:rsidRPr="00792B36">
        <w:rPr>
          <w:color w:val="000000" w:themeColor="text1"/>
          <w:sz w:val="24"/>
          <w:szCs w:val="24"/>
        </w:rPr>
        <w:t>Table 20</w:t>
      </w:r>
      <w:r w:rsidRPr="00792B36">
        <w:rPr>
          <w:color w:val="000000" w:themeColor="text1"/>
          <w:sz w:val="24"/>
          <w:szCs w:val="24"/>
          <w:cs/>
        </w:rPr>
        <w:t>)</w:t>
      </w:r>
    </w:p>
    <w:p w14:paraId="0AA37C9A" w14:textId="77777777" w:rsidR="009A0A63" w:rsidRPr="00792B36" w:rsidRDefault="009A0A63" w:rsidP="009A0A63">
      <w:pPr>
        <w:tabs>
          <w:tab w:val="left" w:pos="1134"/>
          <w:tab w:val="left" w:pos="1276"/>
        </w:tabs>
        <w:ind w:firstLine="851"/>
        <w:jc w:val="thaiDistribute"/>
        <w:rPr>
          <w:color w:val="000000" w:themeColor="text1"/>
          <w:sz w:val="24"/>
          <w:szCs w:val="24"/>
        </w:rPr>
      </w:pPr>
    </w:p>
    <w:p w14:paraId="3CEFE5B4" w14:textId="77777777" w:rsidR="009A0A63" w:rsidRPr="00792B36" w:rsidRDefault="009A0A63" w:rsidP="009A0A63">
      <w:pPr>
        <w:rPr>
          <w:color w:val="000000" w:themeColor="text1"/>
          <w:sz w:val="24"/>
          <w:szCs w:val="24"/>
        </w:rPr>
      </w:pPr>
      <w:bookmarkStart w:id="45" w:name="_Hlk203237312"/>
      <w:r w:rsidRPr="00792B36">
        <w:rPr>
          <w:b/>
          <w:bCs/>
          <w:color w:val="000000" w:themeColor="text1"/>
          <w:sz w:val="24"/>
          <w:szCs w:val="24"/>
        </w:rPr>
        <w:t>Table 20</w:t>
      </w:r>
      <w:r w:rsidRPr="00792B36">
        <w:rPr>
          <w:b/>
          <w:bCs/>
          <w:color w:val="000000" w:themeColor="text1"/>
          <w:sz w:val="24"/>
          <w:szCs w:val="24"/>
          <w:cs/>
        </w:rPr>
        <w:t>.</w:t>
      </w:r>
      <w:r w:rsidRPr="00792B36">
        <w:rPr>
          <w:color w:val="000000" w:themeColor="text1"/>
          <w:sz w:val="24"/>
          <w:szCs w:val="24"/>
          <w:cs/>
        </w:rPr>
        <w:t xml:space="preserve"> </w:t>
      </w:r>
      <w:r w:rsidRPr="00792B36">
        <w:rPr>
          <w:color w:val="000000" w:themeColor="text1"/>
          <w:sz w:val="24"/>
          <w:szCs w:val="24"/>
        </w:rPr>
        <w:t>Economic value of coral reefs in the Gulf of Thailand</w:t>
      </w:r>
      <w:r w:rsidRPr="00792B36">
        <w:rPr>
          <w:color w:val="000000" w:themeColor="text1"/>
          <w:sz w:val="24"/>
          <w:szCs w:val="24"/>
          <w:cs/>
        </w:rPr>
        <w:t xml:space="preserve"> (</w:t>
      </w:r>
      <w:r w:rsidRPr="00792B36">
        <w:rPr>
          <w:color w:val="000000" w:themeColor="text1"/>
          <w:sz w:val="24"/>
          <w:szCs w:val="24"/>
        </w:rPr>
        <w:t>Million THB</w:t>
      </w:r>
      <w:r w:rsidRPr="00792B36">
        <w:rPr>
          <w:color w:val="000000" w:themeColor="text1"/>
          <w:sz w:val="24"/>
          <w:szCs w:val="24"/>
          <w:cs/>
        </w:rPr>
        <w:t>/</w:t>
      </w:r>
      <w:r w:rsidRPr="00792B36">
        <w:rPr>
          <w:color w:val="000000" w:themeColor="text1"/>
          <w:sz w:val="24"/>
          <w:szCs w:val="24"/>
        </w:rPr>
        <w:t>year</w:t>
      </w:r>
      <w:r w:rsidRPr="00792B36">
        <w:rPr>
          <w:color w:val="000000" w:themeColor="text1"/>
          <w:sz w:val="24"/>
          <w:szCs w:val="24"/>
          <w:cs/>
        </w:rPr>
        <w:t>)</w:t>
      </w:r>
    </w:p>
    <w:tbl>
      <w:tblPr>
        <w:tblStyle w:val="TableGrid"/>
        <w:tblW w:w="5000" w:type="pct"/>
        <w:tblLook w:val="04A0" w:firstRow="1" w:lastRow="0" w:firstColumn="1" w:lastColumn="0" w:noHBand="0" w:noVBand="1"/>
      </w:tblPr>
      <w:tblGrid>
        <w:gridCol w:w="4536"/>
        <w:gridCol w:w="4474"/>
      </w:tblGrid>
      <w:tr w:rsidR="009A0A63" w:rsidRPr="00792B36" w14:paraId="5AC92E2F" w14:textId="77777777" w:rsidTr="00A24459">
        <w:trPr>
          <w:tblHeader/>
        </w:trPr>
        <w:tc>
          <w:tcPr>
            <w:tcW w:w="2517" w:type="pct"/>
          </w:tcPr>
          <w:p w14:paraId="5A4C0859" w14:textId="77777777" w:rsidR="009A0A63" w:rsidRPr="00792B36" w:rsidRDefault="009A0A63" w:rsidP="00A24459">
            <w:pPr>
              <w:spacing w:before="120" w:after="120"/>
              <w:jc w:val="center"/>
              <w:rPr>
                <w:color w:val="000000" w:themeColor="text1"/>
                <w:sz w:val="24"/>
                <w:szCs w:val="24"/>
              </w:rPr>
            </w:pPr>
            <w:r w:rsidRPr="00792B36">
              <w:rPr>
                <w:color w:val="000000" w:themeColor="text1"/>
                <w:sz w:val="24"/>
                <w:szCs w:val="24"/>
              </w:rPr>
              <w:t>Name of area</w:t>
            </w:r>
          </w:p>
        </w:tc>
        <w:tc>
          <w:tcPr>
            <w:tcW w:w="2483" w:type="pct"/>
            <w:vAlign w:val="center"/>
          </w:tcPr>
          <w:p w14:paraId="31E935FE" w14:textId="77777777" w:rsidR="009A0A63" w:rsidRPr="00792B36" w:rsidRDefault="009A0A63" w:rsidP="00A24459">
            <w:pPr>
              <w:spacing w:before="120" w:after="120"/>
              <w:jc w:val="center"/>
              <w:rPr>
                <w:color w:val="000000" w:themeColor="text1"/>
                <w:sz w:val="24"/>
                <w:szCs w:val="24"/>
              </w:rPr>
            </w:pPr>
            <w:r w:rsidRPr="00792B36">
              <w:rPr>
                <w:color w:val="000000" w:themeColor="text1"/>
                <w:sz w:val="24"/>
                <w:szCs w:val="24"/>
              </w:rPr>
              <w:t>Economic valuation</w:t>
            </w:r>
            <w:r w:rsidRPr="00792B36">
              <w:rPr>
                <w:color w:val="000000" w:themeColor="text1"/>
                <w:sz w:val="24"/>
                <w:szCs w:val="24"/>
                <w:cs/>
              </w:rPr>
              <w:t xml:space="preserve"> (</w:t>
            </w:r>
            <w:r w:rsidRPr="00792B36">
              <w:rPr>
                <w:color w:val="000000" w:themeColor="text1"/>
                <w:sz w:val="24"/>
                <w:szCs w:val="24"/>
              </w:rPr>
              <w:t>Million THB</w:t>
            </w:r>
            <w:r w:rsidRPr="00792B36">
              <w:rPr>
                <w:color w:val="000000" w:themeColor="text1"/>
                <w:sz w:val="24"/>
                <w:szCs w:val="24"/>
                <w:cs/>
              </w:rPr>
              <w:t>/</w:t>
            </w:r>
            <w:r w:rsidRPr="00792B36">
              <w:rPr>
                <w:color w:val="000000" w:themeColor="text1"/>
                <w:sz w:val="24"/>
                <w:szCs w:val="24"/>
              </w:rPr>
              <w:t>year</w:t>
            </w:r>
            <w:r w:rsidRPr="00792B36">
              <w:rPr>
                <w:color w:val="000000" w:themeColor="text1"/>
                <w:sz w:val="24"/>
                <w:szCs w:val="24"/>
                <w:cs/>
              </w:rPr>
              <w:t>)</w:t>
            </w:r>
          </w:p>
        </w:tc>
      </w:tr>
      <w:tr w:rsidR="009A0A63" w:rsidRPr="00792B36" w14:paraId="31E9937B" w14:textId="77777777" w:rsidTr="00A24459">
        <w:tc>
          <w:tcPr>
            <w:tcW w:w="2517" w:type="pct"/>
          </w:tcPr>
          <w:p w14:paraId="72FDA3E7" w14:textId="77777777" w:rsidR="009A0A63" w:rsidRPr="00792B36" w:rsidRDefault="009A0A63" w:rsidP="00A24459">
            <w:pPr>
              <w:rPr>
                <w:color w:val="000000" w:themeColor="text1"/>
                <w:sz w:val="24"/>
                <w:szCs w:val="24"/>
              </w:rPr>
            </w:pPr>
            <w:r w:rsidRPr="00792B36">
              <w:rPr>
                <w:color w:val="000000" w:themeColor="text1"/>
                <w:sz w:val="24"/>
                <w:szCs w:val="24"/>
              </w:rPr>
              <w:t xml:space="preserve">CR:1 Koh Si Chang </w:t>
            </w:r>
          </w:p>
        </w:tc>
        <w:tc>
          <w:tcPr>
            <w:tcW w:w="2483" w:type="pct"/>
            <w:vAlign w:val="center"/>
          </w:tcPr>
          <w:p w14:paraId="0785C52A" w14:textId="77777777" w:rsidR="009A0A63" w:rsidRPr="00792B36" w:rsidRDefault="009A0A63" w:rsidP="00A24459">
            <w:pPr>
              <w:jc w:val="center"/>
              <w:rPr>
                <w:color w:val="000000" w:themeColor="text1"/>
                <w:sz w:val="24"/>
                <w:szCs w:val="24"/>
              </w:rPr>
            </w:pPr>
            <w:r w:rsidRPr="00792B36">
              <w:rPr>
                <w:color w:val="000000" w:themeColor="text1"/>
                <w:sz w:val="24"/>
                <w:szCs w:val="24"/>
              </w:rPr>
              <w:t>40 million THB</w:t>
            </w:r>
          </w:p>
        </w:tc>
      </w:tr>
      <w:tr w:rsidR="009A0A63" w:rsidRPr="00792B36" w14:paraId="34E39469" w14:textId="77777777" w:rsidTr="00A24459">
        <w:tc>
          <w:tcPr>
            <w:tcW w:w="2517" w:type="pct"/>
          </w:tcPr>
          <w:p w14:paraId="68CBAA80" w14:textId="77777777" w:rsidR="009A0A63" w:rsidRPr="00792B36" w:rsidRDefault="009A0A63" w:rsidP="00A24459">
            <w:pPr>
              <w:rPr>
                <w:color w:val="000000" w:themeColor="text1"/>
                <w:sz w:val="24"/>
                <w:szCs w:val="24"/>
              </w:rPr>
            </w:pPr>
            <w:r w:rsidRPr="00792B36">
              <w:rPr>
                <w:color w:val="000000" w:themeColor="text1"/>
                <w:sz w:val="24"/>
                <w:szCs w:val="24"/>
              </w:rPr>
              <w:t xml:space="preserve">CR:2 Koh Lan </w:t>
            </w:r>
          </w:p>
        </w:tc>
        <w:tc>
          <w:tcPr>
            <w:tcW w:w="2483" w:type="pct"/>
            <w:vAlign w:val="center"/>
          </w:tcPr>
          <w:p w14:paraId="6858E204" w14:textId="77777777" w:rsidR="009A0A63" w:rsidRPr="00792B36" w:rsidRDefault="009A0A63" w:rsidP="00A24459">
            <w:pPr>
              <w:jc w:val="center"/>
              <w:rPr>
                <w:color w:val="000000" w:themeColor="text1"/>
                <w:sz w:val="24"/>
                <w:szCs w:val="24"/>
              </w:rPr>
            </w:pPr>
            <w:r w:rsidRPr="00792B36">
              <w:rPr>
                <w:color w:val="000000" w:themeColor="text1"/>
                <w:sz w:val="24"/>
                <w:szCs w:val="24"/>
              </w:rPr>
              <w:t>400 million THB</w:t>
            </w:r>
          </w:p>
        </w:tc>
      </w:tr>
      <w:tr w:rsidR="009A0A63" w:rsidRPr="00792B36" w14:paraId="57245954" w14:textId="77777777" w:rsidTr="00A24459">
        <w:tc>
          <w:tcPr>
            <w:tcW w:w="2517" w:type="pct"/>
          </w:tcPr>
          <w:p w14:paraId="19C15BA2" w14:textId="77777777" w:rsidR="009A0A63" w:rsidRPr="00792B36" w:rsidRDefault="009A0A63" w:rsidP="00A24459">
            <w:pPr>
              <w:rPr>
                <w:color w:val="000000" w:themeColor="text1"/>
                <w:sz w:val="24"/>
                <w:szCs w:val="24"/>
              </w:rPr>
            </w:pPr>
            <w:r w:rsidRPr="00792B36">
              <w:rPr>
                <w:color w:val="000000" w:themeColor="text1"/>
                <w:sz w:val="24"/>
                <w:szCs w:val="24"/>
              </w:rPr>
              <w:t>CR:3 Koh Kood</w:t>
            </w:r>
          </w:p>
        </w:tc>
        <w:tc>
          <w:tcPr>
            <w:tcW w:w="2483" w:type="pct"/>
            <w:vAlign w:val="center"/>
          </w:tcPr>
          <w:p w14:paraId="29E52760" w14:textId="77777777" w:rsidR="009A0A63" w:rsidRPr="00792B36" w:rsidRDefault="009A0A63" w:rsidP="00A24459">
            <w:pPr>
              <w:jc w:val="center"/>
              <w:rPr>
                <w:color w:val="000000" w:themeColor="text1"/>
                <w:sz w:val="24"/>
                <w:szCs w:val="24"/>
              </w:rPr>
            </w:pPr>
            <w:r w:rsidRPr="00792B36">
              <w:rPr>
                <w:color w:val="000000" w:themeColor="text1"/>
                <w:sz w:val="24"/>
                <w:szCs w:val="24"/>
              </w:rPr>
              <w:t>40 million THB</w:t>
            </w:r>
          </w:p>
        </w:tc>
      </w:tr>
      <w:tr w:rsidR="009A0A63" w:rsidRPr="00792B36" w14:paraId="1183133F" w14:textId="77777777" w:rsidTr="00A24459">
        <w:tc>
          <w:tcPr>
            <w:tcW w:w="2517" w:type="pct"/>
          </w:tcPr>
          <w:p w14:paraId="2883C1FC" w14:textId="77777777" w:rsidR="009A0A63" w:rsidRPr="00792B36" w:rsidRDefault="009A0A63" w:rsidP="00A24459">
            <w:pPr>
              <w:rPr>
                <w:color w:val="000000" w:themeColor="text1"/>
                <w:sz w:val="24"/>
                <w:szCs w:val="24"/>
              </w:rPr>
            </w:pPr>
            <w:r w:rsidRPr="00792B36">
              <w:rPr>
                <w:color w:val="000000" w:themeColor="text1"/>
                <w:sz w:val="24"/>
                <w:szCs w:val="24"/>
              </w:rPr>
              <w:t>CR:4 Koh Mak</w:t>
            </w:r>
          </w:p>
        </w:tc>
        <w:tc>
          <w:tcPr>
            <w:tcW w:w="2483" w:type="pct"/>
            <w:vAlign w:val="center"/>
          </w:tcPr>
          <w:p w14:paraId="61B5AB8C" w14:textId="77777777" w:rsidR="009A0A63" w:rsidRPr="00792B36" w:rsidRDefault="009A0A63" w:rsidP="00A24459">
            <w:pPr>
              <w:jc w:val="center"/>
              <w:rPr>
                <w:color w:val="000000" w:themeColor="text1"/>
                <w:sz w:val="24"/>
                <w:szCs w:val="24"/>
              </w:rPr>
            </w:pPr>
            <w:r w:rsidRPr="00792B36">
              <w:rPr>
                <w:color w:val="000000" w:themeColor="text1"/>
                <w:sz w:val="24"/>
                <w:szCs w:val="24"/>
              </w:rPr>
              <w:t>50 million THB</w:t>
            </w:r>
          </w:p>
        </w:tc>
      </w:tr>
      <w:tr w:rsidR="009A0A63" w:rsidRPr="00792B36" w14:paraId="2928BB76" w14:textId="77777777" w:rsidTr="00A24459">
        <w:tc>
          <w:tcPr>
            <w:tcW w:w="2517" w:type="pct"/>
          </w:tcPr>
          <w:p w14:paraId="6C861540" w14:textId="77777777" w:rsidR="009A0A63" w:rsidRPr="00792B36" w:rsidRDefault="009A0A63" w:rsidP="00A24459">
            <w:pPr>
              <w:rPr>
                <w:color w:val="000000" w:themeColor="text1"/>
                <w:sz w:val="24"/>
                <w:szCs w:val="24"/>
              </w:rPr>
            </w:pPr>
            <w:r w:rsidRPr="00792B36">
              <w:rPr>
                <w:color w:val="000000" w:themeColor="text1"/>
                <w:sz w:val="24"/>
                <w:szCs w:val="24"/>
              </w:rPr>
              <w:t>CR:5 Koh Tao</w:t>
            </w:r>
          </w:p>
        </w:tc>
        <w:tc>
          <w:tcPr>
            <w:tcW w:w="2483" w:type="pct"/>
            <w:vAlign w:val="center"/>
          </w:tcPr>
          <w:p w14:paraId="6EEA2F62" w14:textId="77777777" w:rsidR="009A0A63" w:rsidRPr="00792B36" w:rsidRDefault="009A0A63" w:rsidP="00A24459">
            <w:pPr>
              <w:jc w:val="center"/>
              <w:rPr>
                <w:color w:val="000000" w:themeColor="text1"/>
                <w:sz w:val="24"/>
                <w:szCs w:val="24"/>
              </w:rPr>
            </w:pPr>
            <w:r w:rsidRPr="00792B36">
              <w:rPr>
                <w:color w:val="000000" w:themeColor="text1"/>
                <w:sz w:val="24"/>
                <w:szCs w:val="24"/>
              </w:rPr>
              <w:t>100</w:t>
            </w:r>
            <w:r w:rsidRPr="00792B36">
              <w:rPr>
                <w:color w:val="000000" w:themeColor="text1"/>
                <w:sz w:val="24"/>
                <w:szCs w:val="24"/>
                <w:cs/>
              </w:rPr>
              <w:t xml:space="preserve"> </w:t>
            </w:r>
            <w:r w:rsidRPr="00792B36">
              <w:rPr>
                <w:color w:val="000000" w:themeColor="text1"/>
                <w:sz w:val="24"/>
                <w:szCs w:val="24"/>
              </w:rPr>
              <w:t>million THB</w:t>
            </w:r>
          </w:p>
        </w:tc>
      </w:tr>
      <w:tr w:rsidR="009A0A63" w:rsidRPr="00792B36" w14:paraId="5F03AFA4" w14:textId="77777777" w:rsidTr="00A24459">
        <w:tc>
          <w:tcPr>
            <w:tcW w:w="2517" w:type="pct"/>
          </w:tcPr>
          <w:p w14:paraId="1AAC7742" w14:textId="77777777" w:rsidR="009A0A63" w:rsidRPr="00792B36" w:rsidRDefault="009A0A63" w:rsidP="00A24459">
            <w:pPr>
              <w:rPr>
                <w:color w:val="000000" w:themeColor="text1"/>
                <w:sz w:val="24"/>
                <w:szCs w:val="24"/>
              </w:rPr>
            </w:pPr>
            <w:r w:rsidRPr="00792B36">
              <w:rPr>
                <w:color w:val="000000" w:themeColor="text1"/>
                <w:sz w:val="24"/>
                <w:szCs w:val="24"/>
              </w:rPr>
              <w:t>CR:6 Koh Kra</w:t>
            </w:r>
          </w:p>
        </w:tc>
        <w:tc>
          <w:tcPr>
            <w:tcW w:w="2483" w:type="pct"/>
            <w:vAlign w:val="center"/>
          </w:tcPr>
          <w:p w14:paraId="6567ED33" w14:textId="77777777" w:rsidR="009A0A63" w:rsidRPr="00792B36" w:rsidRDefault="009A0A63" w:rsidP="00A24459">
            <w:pPr>
              <w:jc w:val="center"/>
              <w:rPr>
                <w:color w:val="000000" w:themeColor="text1"/>
                <w:sz w:val="24"/>
                <w:szCs w:val="24"/>
              </w:rPr>
            </w:pPr>
            <w:r w:rsidRPr="00792B36">
              <w:rPr>
                <w:color w:val="000000" w:themeColor="text1"/>
                <w:sz w:val="24"/>
                <w:szCs w:val="24"/>
              </w:rPr>
              <w:t>2 million THB</w:t>
            </w:r>
          </w:p>
        </w:tc>
      </w:tr>
      <w:tr w:rsidR="009A0A63" w:rsidRPr="00792B36" w14:paraId="56902222" w14:textId="77777777" w:rsidTr="00A24459">
        <w:tc>
          <w:tcPr>
            <w:tcW w:w="2517" w:type="pct"/>
          </w:tcPr>
          <w:p w14:paraId="2B7618EC" w14:textId="77777777" w:rsidR="009A0A63" w:rsidRPr="00792B36" w:rsidRDefault="009A0A63" w:rsidP="00A24459">
            <w:pPr>
              <w:rPr>
                <w:color w:val="000000" w:themeColor="text1"/>
                <w:sz w:val="24"/>
                <w:szCs w:val="24"/>
              </w:rPr>
            </w:pPr>
            <w:r w:rsidRPr="00792B36">
              <w:rPr>
                <w:color w:val="000000" w:themeColor="text1"/>
                <w:sz w:val="24"/>
                <w:szCs w:val="24"/>
              </w:rPr>
              <w:t>CR:7 Koh Losin</w:t>
            </w:r>
          </w:p>
        </w:tc>
        <w:tc>
          <w:tcPr>
            <w:tcW w:w="2483" w:type="pct"/>
            <w:vAlign w:val="center"/>
          </w:tcPr>
          <w:p w14:paraId="6CA6D040" w14:textId="77777777" w:rsidR="009A0A63" w:rsidRPr="00792B36" w:rsidRDefault="009A0A63" w:rsidP="00A24459">
            <w:pPr>
              <w:jc w:val="center"/>
              <w:rPr>
                <w:color w:val="000000" w:themeColor="text1"/>
                <w:sz w:val="24"/>
                <w:szCs w:val="24"/>
              </w:rPr>
            </w:pPr>
            <w:r w:rsidRPr="00792B36">
              <w:rPr>
                <w:color w:val="000000" w:themeColor="text1"/>
                <w:sz w:val="24"/>
                <w:szCs w:val="24"/>
              </w:rPr>
              <w:t>1 million THB</w:t>
            </w:r>
          </w:p>
        </w:tc>
      </w:tr>
      <w:tr w:rsidR="009A0A63" w:rsidRPr="00792B36" w14:paraId="30426278" w14:textId="77777777" w:rsidTr="00A24459">
        <w:tc>
          <w:tcPr>
            <w:tcW w:w="2517" w:type="pct"/>
          </w:tcPr>
          <w:p w14:paraId="727A47FE" w14:textId="77777777" w:rsidR="009A0A63" w:rsidRPr="00792B36" w:rsidRDefault="009A0A63" w:rsidP="00A24459">
            <w:pPr>
              <w:rPr>
                <w:color w:val="000000" w:themeColor="text1"/>
                <w:sz w:val="24"/>
                <w:szCs w:val="24"/>
              </w:rPr>
            </w:pPr>
            <w:r w:rsidRPr="00792B36">
              <w:rPr>
                <w:color w:val="000000" w:themeColor="text1"/>
                <w:sz w:val="24"/>
                <w:szCs w:val="24"/>
              </w:rPr>
              <w:t>CR:8 Underwater pinnacle Chumphon Province</w:t>
            </w:r>
          </w:p>
        </w:tc>
        <w:tc>
          <w:tcPr>
            <w:tcW w:w="2483" w:type="pct"/>
            <w:vAlign w:val="center"/>
          </w:tcPr>
          <w:p w14:paraId="5828CCB7" w14:textId="77777777" w:rsidR="009A0A63" w:rsidRPr="00792B36" w:rsidRDefault="009A0A63" w:rsidP="00A24459">
            <w:pPr>
              <w:jc w:val="center"/>
              <w:rPr>
                <w:color w:val="000000" w:themeColor="text1"/>
                <w:sz w:val="24"/>
                <w:szCs w:val="24"/>
              </w:rPr>
            </w:pPr>
            <w:r w:rsidRPr="00792B36">
              <w:rPr>
                <w:color w:val="000000" w:themeColor="text1"/>
                <w:sz w:val="24"/>
                <w:szCs w:val="24"/>
              </w:rPr>
              <w:t>10 million THB</w:t>
            </w:r>
          </w:p>
        </w:tc>
      </w:tr>
      <w:tr w:rsidR="009A0A63" w:rsidRPr="00792B36" w14:paraId="0C77D7B0" w14:textId="77777777" w:rsidTr="00A24459">
        <w:tc>
          <w:tcPr>
            <w:tcW w:w="2517" w:type="pct"/>
          </w:tcPr>
          <w:p w14:paraId="7DC87533" w14:textId="77777777" w:rsidR="009A0A63" w:rsidRPr="00792B36" w:rsidRDefault="009A0A63" w:rsidP="00A24459">
            <w:pPr>
              <w:rPr>
                <w:color w:val="000000" w:themeColor="text1"/>
                <w:sz w:val="24"/>
                <w:szCs w:val="24"/>
              </w:rPr>
            </w:pPr>
            <w:r w:rsidRPr="00792B36">
              <w:rPr>
                <w:rStyle w:val="Strong"/>
                <w:rFonts w:eastAsiaTheme="minorEastAsia"/>
                <w:color w:val="000000" w:themeColor="text1"/>
                <w:sz w:val="24"/>
                <w:szCs w:val="24"/>
              </w:rPr>
              <w:t>SG1: Ban Don Bay</w:t>
            </w:r>
          </w:p>
        </w:tc>
        <w:tc>
          <w:tcPr>
            <w:tcW w:w="2483" w:type="pct"/>
            <w:vAlign w:val="center"/>
          </w:tcPr>
          <w:p w14:paraId="0E451D0B" w14:textId="77777777" w:rsidR="009A0A63" w:rsidRPr="00792B36" w:rsidRDefault="009A0A63" w:rsidP="00A24459">
            <w:pPr>
              <w:jc w:val="center"/>
              <w:rPr>
                <w:color w:val="000000" w:themeColor="text1"/>
                <w:sz w:val="24"/>
                <w:szCs w:val="24"/>
              </w:rPr>
            </w:pPr>
          </w:p>
        </w:tc>
      </w:tr>
      <w:tr w:rsidR="009A0A63" w:rsidRPr="00792B36" w14:paraId="384112D7" w14:textId="77777777" w:rsidTr="00A24459">
        <w:tc>
          <w:tcPr>
            <w:tcW w:w="2517" w:type="pct"/>
          </w:tcPr>
          <w:p w14:paraId="6C9A2040" w14:textId="77777777" w:rsidR="009A0A63" w:rsidRPr="00792B36" w:rsidRDefault="009A0A63" w:rsidP="00A24459">
            <w:pPr>
              <w:rPr>
                <w:color w:val="000000" w:themeColor="text1"/>
                <w:sz w:val="24"/>
                <w:szCs w:val="24"/>
              </w:rPr>
            </w:pPr>
            <w:r w:rsidRPr="00792B36">
              <w:rPr>
                <w:rStyle w:val="Strong"/>
                <w:rFonts w:eastAsiaTheme="minorEastAsia"/>
                <w:color w:val="000000" w:themeColor="text1"/>
                <w:sz w:val="24"/>
                <w:szCs w:val="24"/>
              </w:rPr>
              <w:t>SG2: Chumphon</w:t>
            </w:r>
          </w:p>
        </w:tc>
        <w:tc>
          <w:tcPr>
            <w:tcW w:w="2483" w:type="pct"/>
            <w:vAlign w:val="center"/>
          </w:tcPr>
          <w:p w14:paraId="6FD4229F" w14:textId="77777777" w:rsidR="009A0A63" w:rsidRPr="00792B36" w:rsidRDefault="009A0A63" w:rsidP="00A24459">
            <w:pPr>
              <w:jc w:val="center"/>
              <w:rPr>
                <w:color w:val="000000" w:themeColor="text1"/>
                <w:sz w:val="24"/>
                <w:szCs w:val="24"/>
              </w:rPr>
            </w:pPr>
          </w:p>
        </w:tc>
      </w:tr>
    </w:tbl>
    <w:p w14:paraId="337C9D4B" w14:textId="77777777" w:rsidR="009A0A63" w:rsidRPr="00792B36" w:rsidRDefault="009A0A63" w:rsidP="009A0A63">
      <w:pPr>
        <w:rPr>
          <w:color w:val="000000" w:themeColor="text1"/>
          <w:sz w:val="24"/>
          <w:szCs w:val="24"/>
        </w:rPr>
      </w:pPr>
    </w:p>
    <w:bookmarkEnd w:id="44"/>
    <w:bookmarkEnd w:id="45"/>
    <w:p w14:paraId="4EAB2242" w14:textId="77777777" w:rsidR="009A0A63" w:rsidRPr="00792B36" w:rsidRDefault="009A0A63" w:rsidP="009A0A63">
      <w:pPr>
        <w:spacing w:after="100"/>
        <w:rPr>
          <w:b/>
          <w:bCs/>
          <w:i/>
          <w:iCs/>
          <w:color w:val="EE0000"/>
          <w:sz w:val="24"/>
          <w:szCs w:val="24"/>
        </w:rPr>
      </w:pPr>
    </w:p>
    <w:p w14:paraId="164E19EB" w14:textId="77777777" w:rsidR="009A0A63" w:rsidRPr="00792B36" w:rsidRDefault="009A0A63" w:rsidP="009A0A63"/>
    <w:p w14:paraId="4D44FAFA" w14:textId="77777777" w:rsidR="009A0A63" w:rsidRPr="00792B36" w:rsidRDefault="009A0A63" w:rsidP="009A0A63"/>
    <w:p w14:paraId="6A5D21E8" w14:textId="77777777" w:rsidR="009A0A63" w:rsidRPr="00792B36" w:rsidRDefault="009A0A63" w:rsidP="009A0A63">
      <w:pPr>
        <w:sectPr w:rsidR="009A0A63" w:rsidRPr="00792B36" w:rsidSect="003332A9">
          <w:pgSz w:w="11900" w:h="16840"/>
          <w:pgMar w:top="1440" w:right="1440" w:bottom="1440" w:left="1440" w:header="708" w:footer="708" w:gutter="0"/>
          <w:cols w:space="708"/>
          <w:docGrid w:linePitch="360"/>
        </w:sectPr>
      </w:pPr>
    </w:p>
    <w:p w14:paraId="11EAC05D" w14:textId="77777777" w:rsidR="009A0A63" w:rsidRPr="00792B36" w:rsidRDefault="009A0A63" w:rsidP="009A0A63"/>
    <w:p w14:paraId="75E265A8" w14:textId="77777777" w:rsidR="009A0A63" w:rsidRPr="00792B36" w:rsidRDefault="009A0A63" w:rsidP="009A0A63">
      <w:pPr>
        <w:autoSpaceDE w:val="0"/>
        <w:autoSpaceDN w:val="0"/>
        <w:adjustRightInd w:val="0"/>
        <w:ind w:left="709" w:hanging="709"/>
        <w:jc w:val="center"/>
        <w:rPr>
          <w:b/>
          <w:bCs/>
          <w:color w:val="000000" w:themeColor="text1"/>
          <w:sz w:val="28"/>
          <w:szCs w:val="28"/>
        </w:rPr>
      </w:pPr>
      <w:r w:rsidRPr="00792B36">
        <w:rPr>
          <w:b/>
          <w:bCs/>
          <w:color w:val="000000" w:themeColor="text1"/>
          <w:sz w:val="28"/>
          <w:szCs w:val="28"/>
        </w:rPr>
        <w:t>Annex III: Fisheries</w:t>
      </w:r>
    </w:p>
    <w:p w14:paraId="0962CEE0" w14:textId="77777777" w:rsidR="009A0A63" w:rsidRPr="00792B36" w:rsidRDefault="009A0A63" w:rsidP="009A0A63">
      <w:pPr>
        <w:autoSpaceDE w:val="0"/>
        <w:autoSpaceDN w:val="0"/>
        <w:adjustRightInd w:val="0"/>
        <w:ind w:left="709" w:hanging="709"/>
        <w:jc w:val="center"/>
        <w:rPr>
          <w:b/>
          <w:bCs/>
          <w:color w:val="000000" w:themeColor="text1"/>
          <w:sz w:val="28"/>
          <w:szCs w:val="28"/>
        </w:rPr>
      </w:pPr>
    </w:p>
    <w:p w14:paraId="2EA72FFB" w14:textId="77777777" w:rsidR="009A0A63" w:rsidRPr="00792B36" w:rsidRDefault="009A0A63" w:rsidP="009A0A63">
      <w:pPr>
        <w:rPr>
          <w:sz w:val="24"/>
          <w:szCs w:val="24"/>
        </w:rPr>
      </w:pPr>
      <w:r w:rsidRPr="00792B36">
        <w:rPr>
          <w:b/>
          <w:bCs/>
          <w:sz w:val="24"/>
          <w:szCs w:val="24"/>
        </w:rPr>
        <w:t>Appendix Table 1</w:t>
      </w:r>
      <w:r w:rsidRPr="00792B36">
        <w:rPr>
          <w:sz w:val="24"/>
          <w:szCs w:val="24"/>
        </w:rPr>
        <w:t xml:space="preserve"> Annual catch from marine fisheries in the Gulf of Thailand between 1971 and 2023 (unit: metric tonne)</w:t>
      </w:r>
    </w:p>
    <w:p w14:paraId="5EE88A65" w14:textId="77777777" w:rsidR="009A0A63" w:rsidRPr="00792B36" w:rsidRDefault="009A0A63" w:rsidP="009A0A63">
      <w:pPr>
        <w:rPr>
          <w:sz w:val="24"/>
          <w:szCs w:val="24"/>
        </w:rPr>
      </w:pPr>
    </w:p>
    <w:tbl>
      <w:tblPr>
        <w:tblStyle w:val="TableGrid"/>
        <w:tblW w:w="1272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955"/>
        <w:gridCol w:w="1077"/>
        <w:gridCol w:w="1077"/>
        <w:gridCol w:w="1077"/>
        <w:gridCol w:w="1077"/>
        <w:gridCol w:w="1077"/>
        <w:gridCol w:w="1077"/>
        <w:gridCol w:w="1077"/>
        <w:gridCol w:w="1077"/>
        <w:gridCol w:w="1077"/>
        <w:gridCol w:w="1077"/>
      </w:tblGrid>
      <w:tr w:rsidR="009A0A63" w:rsidRPr="00792B36" w14:paraId="0C956241" w14:textId="77777777" w:rsidTr="00A24459">
        <w:trPr>
          <w:trHeight w:val="283"/>
        </w:trPr>
        <w:tc>
          <w:tcPr>
            <w:tcW w:w="1955" w:type="dxa"/>
            <w:tcBorders>
              <w:top w:val="single" w:sz="4" w:space="0" w:color="auto"/>
              <w:bottom w:val="single" w:sz="4" w:space="0" w:color="auto"/>
            </w:tcBorders>
            <w:vAlign w:val="center"/>
          </w:tcPr>
          <w:p w14:paraId="1A123935" w14:textId="77777777" w:rsidR="009A0A63" w:rsidRPr="00792B36" w:rsidRDefault="009A0A63" w:rsidP="00A24459">
            <w:pPr>
              <w:jc w:val="center"/>
              <w:rPr>
                <w:b/>
                <w:bCs/>
                <w:sz w:val="24"/>
                <w:szCs w:val="24"/>
              </w:rPr>
            </w:pPr>
            <w:r w:rsidRPr="00792B36">
              <w:rPr>
                <w:rFonts w:eastAsia="Times New Roman"/>
                <w:b/>
                <w:bCs/>
                <w:color w:val="000000"/>
                <w:sz w:val="24"/>
                <w:szCs w:val="24"/>
              </w:rPr>
              <w:t>Species groups</w:t>
            </w:r>
          </w:p>
        </w:tc>
        <w:tc>
          <w:tcPr>
            <w:tcW w:w="1077" w:type="dxa"/>
            <w:tcBorders>
              <w:top w:val="single" w:sz="4" w:space="0" w:color="auto"/>
              <w:bottom w:val="single" w:sz="4" w:space="0" w:color="auto"/>
            </w:tcBorders>
            <w:vAlign w:val="center"/>
          </w:tcPr>
          <w:p w14:paraId="48296B0A" w14:textId="77777777" w:rsidR="009A0A63" w:rsidRPr="00792B36" w:rsidRDefault="009A0A63" w:rsidP="00A24459">
            <w:pPr>
              <w:jc w:val="center"/>
              <w:rPr>
                <w:b/>
                <w:bCs/>
                <w:sz w:val="24"/>
                <w:szCs w:val="24"/>
              </w:rPr>
            </w:pPr>
            <w:r w:rsidRPr="00792B36">
              <w:rPr>
                <w:rFonts w:eastAsia="Times New Roman"/>
                <w:b/>
                <w:bCs/>
                <w:color w:val="000000"/>
                <w:sz w:val="24"/>
                <w:szCs w:val="24"/>
              </w:rPr>
              <w:t>1971</w:t>
            </w:r>
          </w:p>
        </w:tc>
        <w:tc>
          <w:tcPr>
            <w:tcW w:w="1077" w:type="dxa"/>
            <w:tcBorders>
              <w:top w:val="single" w:sz="4" w:space="0" w:color="auto"/>
              <w:bottom w:val="single" w:sz="4" w:space="0" w:color="auto"/>
            </w:tcBorders>
            <w:vAlign w:val="center"/>
          </w:tcPr>
          <w:p w14:paraId="77FC2EBA" w14:textId="77777777" w:rsidR="009A0A63" w:rsidRPr="00792B36" w:rsidRDefault="009A0A63" w:rsidP="00A24459">
            <w:pPr>
              <w:jc w:val="center"/>
              <w:rPr>
                <w:b/>
                <w:bCs/>
                <w:sz w:val="24"/>
                <w:szCs w:val="24"/>
              </w:rPr>
            </w:pPr>
            <w:r w:rsidRPr="00792B36">
              <w:rPr>
                <w:rFonts w:eastAsia="Times New Roman"/>
                <w:b/>
                <w:bCs/>
                <w:color w:val="000000"/>
                <w:sz w:val="24"/>
                <w:szCs w:val="24"/>
              </w:rPr>
              <w:t>1972</w:t>
            </w:r>
          </w:p>
        </w:tc>
        <w:tc>
          <w:tcPr>
            <w:tcW w:w="1077" w:type="dxa"/>
            <w:tcBorders>
              <w:top w:val="single" w:sz="4" w:space="0" w:color="auto"/>
              <w:bottom w:val="single" w:sz="4" w:space="0" w:color="auto"/>
            </w:tcBorders>
            <w:vAlign w:val="center"/>
          </w:tcPr>
          <w:p w14:paraId="20999C72" w14:textId="77777777" w:rsidR="009A0A63" w:rsidRPr="00792B36" w:rsidRDefault="009A0A63" w:rsidP="00A24459">
            <w:pPr>
              <w:jc w:val="center"/>
              <w:rPr>
                <w:b/>
                <w:bCs/>
                <w:sz w:val="24"/>
                <w:szCs w:val="24"/>
              </w:rPr>
            </w:pPr>
            <w:r w:rsidRPr="00792B36">
              <w:rPr>
                <w:rFonts w:eastAsia="Times New Roman"/>
                <w:b/>
                <w:bCs/>
                <w:color w:val="000000"/>
                <w:sz w:val="24"/>
                <w:szCs w:val="24"/>
              </w:rPr>
              <w:t>1973</w:t>
            </w:r>
          </w:p>
        </w:tc>
        <w:tc>
          <w:tcPr>
            <w:tcW w:w="1077" w:type="dxa"/>
            <w:tcBorders>
              <w:top w:val="single" w:sz="4" w:space="0" w:color="auto"/>
              <w:bottom w:val="single" w:sz="4" w:space="0" w:color="auto"/>
            </w:tcBorders>
            <w:vAlign w:val="center"/>
          </w:tcPr>
          <w:p w14:paraId="40137318" w14:textId="77777777" w:rsidR="009A0A63" w:rsidRPr="00792B36" w:rsidRDefault="009A0A63" w:rsidP="00A24459">
            <w:pPr>
              <w:jc w:val="center"/>
              <w:rPr>
                <w:b/>
                <w:bCs/>
                <w:sz w:val="24"/>
                <w:szCs w:val="24"/>
              </w:rPr>
            </w:pPr>
            <w:r w:rsidRPr="00792B36">
              <w:rPr>
                <w:rFonts w:eastAsia="Times New Roman"/>
                <w:b/>
                <w:bCs/>
                <w:color w:val="000000"/>
                <w:sz w:val="24"/>
                <w:szCs w:val="24"/>
              </w:rPr>
              <w:t>1974</w:t>
            </w:r>
          </w:p>
        </w:tc>
        <w:tc>
          <w:tcPr>
            <w:tcW w:w="1077" w:type="dxa"/>
            <w:tcBorders>
              <w:top w:val="single" w:sz="4" w:space="0" w:color="auto"/>
              <w:bottom w:val="single" w:sz="4" w:space="0" w:color="auto"/>
            </w:tcBorders>
            <w:vAlign w:val="center"/>
          </w:tcPr>
          <w:p w14:paraId="4533239B" w14:textId="77777777" w:rsidR="009A0A63" w:rsidRPr="00792B36" w:rsidRDefault="009A0A63" w:rsidP="00A24459">
            <w:pPr>
              <w:jc w:val="center"/>
              <w:rPr>
                <w:b/>
                <w:bCs/>
                <w:sz w:val="24"/>
                <w:szCs w:val="24"/>
              </w:rPr>
            </w:pPr>
            <w:r w:rsidRPr="00792B36">
              <w:rPr>
                <w:rFonts w:eastAsia="Times New Roman"/>
                <w:b/>
                <w:bCs/>
                <w:color w:val="000000"/>
                <w:sz w:val="24"/>
                <w:szCs w:val="24"/>
              </w:rPr>
              <w:t>1975</w:t>
            </w:r>
          </w:p>
        </w:tc>
        <w:tc>
          <w:tcPr>
            <w:tcW w:w="1077" w:type="dxa"/>
            <w:tcBorders>
              <w:top w:val="single" w:sz="4" w:space="0" w:color="auto"/>
              <w:bottom w:val="single" w:sz="4" w:space="0" w:color="auto"/>
            </w:tcBorders>
            <w:vAlign w:val="center"/>
          </w:tcPr>
          <w:p w14:paraId="55E9BA83" w14:textId="77777777" w:rsidR="009A0A63" w:rsidRPr="00792B36" w:rsidRDefault="009A0A63" w:rsidP="00A24459">
            <w:pPr>
              <w:jc w:val="center"/>
              <w:rPr>
                <w:b/>
                <w:bCs/>
                <w:sz w:val="24"/>
                <w:szCs w:val="24"/>
              </w:rPr>
            </w:pPr>
            <w:r w:rsidRPr="00792B36">
              <w:rPr>
                <w:rFonts w:eastAsia="Times New Roman"/>
                <w:b/>
                <w:bCs/>
                <w:color w:val="000000"/>
                <w:sz w:val="24"/>
                <w:szCs w:val="24"/>
              </w:rPr>
              <w:t>1976</w:t>
            </w:r>
          </w:p>
        </w:tc>
        <w:tc>
          <w:tcPr>
            <w:tcW w:w="1077" w:type="dxa"/>
            <w:tcBorders>
              <w:top w:val="single" w:sz="4" w:space="0" w:color="auto"/>
              <w:bottom w:val="single" w:sz="4" w:space="0" w:color="auto"/>
            </w:tcBorders>
            <w:vAlign w:val="center"/>
          </w:tcPr>
          <w:p w14:paraId="02A51F31" w14:textId="77777777" w:rsidR="009A0A63" w:rsidRPr="00792B36" w:rsidRDefault="009A0A63" w:rsidP="00A24459">
            <w:pPr>
              <w:jc w:val="center"/>
              <w:rPr>
                <w:rFonts w:eastAsia="Times New Roman"/>
                <w:b/>
                <w:bCs/>
                <w:color w:val="000000"/>
                <w:sz w:val="24"/>
                <w:szCs w:val="24"/>
              </w:rPr>
            </w:pPr>
            <w:r w:rsidRPr="00792B36">
              <w:rPr>
                <w:rFonts w:eastAsia="Times New Roman"/>
                <w:b/>
                <w:bCs/>
                <w:color w:val="000000"/>
                <w:sz w:val="24"/>
                <w:szCs w:val="24"/>
              </w:rPr>
              <w:t>1977</w:t>
            </w:r>
          </w:p>
        </w:tc>
        <w:tc>
          <w:tcPr>
            <w:tcW w:w="1077" w:type="dxa"/>
            <w:tcBorders>
              <w:top w:val="single" w:sz="4" w:space="0" w:color="auto"/>
              <w:bottom w:val="single" w:sz="4" w:space="0" w:color="auto"/>
            </w:tcBorders>
            <w:vAlign w:val="center"/>
          </w:tcPr>
          <w:p w14:paraId="13AA47FC" w14:textId="77777777" w:rsidR="009A0A63" w:rsidRPr="00792B36" w:rsidRDefault="009A0A63" w:rsidP="00A24459">
            <w:pPr>
              <w:jc w:val="center"/>
              <w:rPr>
                <w:rFonts w:eastAsia="Times New Roman"/>
                <w:b/>
                <w:bCs/>
                <w:color w:val="000000"/>
                <w:sz w:val="24"/>
                <w:szCs w:val="24"/>
              </w:rPr>
            </w:pPr>
            <w:r w:rsidRPr="00792B36">
              <w:rPr>
                <w:rFonts w:eastAsia="Times New Roman"/>
                <w:b/>
                <w:bCs/>
                <w:color w:val="000000"/>
                <w:sz w:val="24"/>
                <w:szCs w:val="24"/>
              </w:rPr>
              <w:t>1978</w:t>
            </w:r>
          </w:p>
        </w:tc>
        <w:tc>
          <w:tcPr>
            <w:tcW w:w="1077" w:type="dxa"/>
            <w:tcBorders>
              <w:top w:val="single" w:sz="4" w:space="0" w:color="auto"/>
              <w:bottom w:val="single" w:sz="4" w:space="0" w:color="auto"/>
            </w:tcBorders>
            <w:vAlign w:val="center"/>
          </w:tcPr>
          <w:p w14:paraId="06985656" w14:textId="77777777" w:rsidR="009A0A63" w:rsidRPr="00792B36" w:rsidRDefault="009A0A63" w:rsidP="00A24459">
            <w:pPr>
              <w:jc w:val="center"/>
              <w:rPr>
                <w:rFonts w:eastAsia="Times New Roman"/>
                <w:b/>
                <w:bCs/>
                <w:color w:val="000000"/>
                <w:sz w:val="24"/>
                <w:szCs w:val="24"/>
              </w:rPr>
            </w:pPr>
            <w:r w:rsidRPr="00792B36">
              <w:rPr>
                <w:rFonts w:eastAsia="Times New Roman"/>
                <w:b/>
                <w:bCs/>
                <w:color w:val="000000"/>
                <w:sz w:val="24"/>
                <w:szCs w:val="24"/>
              </w:rPr>
              <w:t>1979</w:t>
            </w:r>
          </w:p>
        </w:tc>
        <w:tc>
          <w:tcPr>
            <w:tcW w:w="1077" w:type="dxa"/>
            <w:tcBorders>
              <w:top w:val="single" w:sz="4" w:space="0" w:color="auto"/>
              <w:bottom w:val="single" w:sz="4" w:space="0" w:color="auto"/>
            </w:tcBorders>
            <w:vAlign w:val="center"/>
          </w:tcPr>
          <w:p w14:paraId="1D34C5CF" w14:textId="77777777" w:rsidR="009A0A63" w:rsidRPr="00792B36" w:rsidRDefault="009A0A63" w:rsidP="00A24459">
            <w:pPr>
              <w:jc w:val="center"/>
              <w:rPr>
                <w:rFonts w:eastAsia="Times New Roman"/>
                <w:b/>
                <w:bCs/>
                <w:color w:val="000000"/>
                <w:sz w:val="24"/>
                <w:szCs w:val="24"/>
              </w:rPr>
            </w:pPr>
            <w:r w:rsidRPr="00792B36">
              <w:rPr>
                <w:rFonts w:eastAsia="Times New Roman"/>
                <w:b/>
                <w:bCs/>
                <w:color w:val="000000"/>
                <w:sz w:val="24"/>
                <w:szCs w:val="24"/>
              </w:rPr>
              <w:t>1980</w:t>
            </w:r>
          </w:p>
        </w:tc>
      </w:tr>
      <w:tr w:rsidR="009A0A63" w:rsidRPr="00792B36" w14:paraId="68D7D900" w14:textId="77777777" w:rsidTr="00A24459">
        <w:trPr>
          <w:trHeight w:val="283"/>
        </w:trPr>
        <w:tc>
          <w:tcPr>
            <w:tcW w:w="1955" w:type="dxa"/>
            <w:tcBorders>
              <w:top w:val="single" w:sz="4" w:space="0" w:color="auto"/>
            </w:tcBorders>
            <w:vAlign w:val="center"/>
          </w:tcPr>
          <w:p w14:paraId="59E71919" w14:textId="77777777" w:rsidR="009A0A63" w:rsidRPr="00792B36" w:rsidRDefault="009A0A63" w:rsidP="00A24459">
            <w:pPr>
              <w:rPr>
                <w:sz w:val="24"/>
                <w:szCs w:val="24"/>
              </w:rPr>
            </w:pPr>
            <w:r w:rsidRPr="00792B36">
              <w:rPr>
                <w:rFonts w:eastAsia="Times New Roman"/>
                <w:color w:val="000000"/>
                <w:sz w:val="24"/>
                <w:szCs w:val="24"/>
              </w:rPr>
              <w:t>Demersal fishes</w:t>
            </w:r>
          </w:p>
        </w:tc>
        <w:tc>
          <w:tcPr>
            <w:tcW w:w="1077" w:type="dxa"/>
            <w:tcBorders>
              <w:top w:val="single" w:sz="4" w:space="0" w:color="auto"/>
            </w:tcBorders>
          </w:tcPr>
          <w:p w14:paraId="11BACAD9" w14:textId="77777777" w:rsidR="009A0A63" w:rsidRPr="00792B36" w:rsidRDefault="009A0A63" w:rsidP="00A24459">
            <w:pPr>
              <w:jc w:val="center"/>
              <w:rPr>
                <w:sz w:val="24"/>
                <w:szCs w:val="24"/>
              </w:rPr>
            </w:pPr>
            <w:r w:rsidRPr="00792B36">
              <w:rPr>
                <w:rFonts w:eastAsia="Times New Roman"/>
                <w:color w:val="000000"/>
                <w:sz w:val="24"/>
                <w:szCs w:val="24"/>
              </w:rPr>
              <w:t>353,684</w:t>
            </w:r>
          </w:p>
        </w:tc>
        <w:tc>
          <w:tcPr>
            <w:tcW w:w="1077" w:type="dxa"/>
            <w:tcBorders>
              <w:top w:val="single" w:sz="4" w:space="0" w:color="auto"/>
            </w:tcBorders>
          </w:tcPr>
          <w:p w14:paraId="4604967D" w14:textId="77777777" w:rsidR="009A0A63" w:rsidRPr="00792B36" w:rsidRDefault="009A0A63" w:rsidP="00A24459">
            <w:pPr>
              <w:jc w:val="center"/>
              <w:rPr>
                <w:sz w:val="24"/>
                <w:szCs w:val="24"/>
              </w:rPr>
            </w:pPr>
            <w:r w:rsidRPr="00792B36">
              <w:rPr>
                <w:sz w:val="24"/>
                <w:szCs w:val="24"/>
              </w:rPr>
              <w:t>594,153</w:t>
            </w:r>
          </w:p>
        </w:tc>
        <w:tc>
          <w:tcPr>
            <w:tcW w:w="1077" w:type="dxa"/>
            <w:tcBorders>
              <w:top w:val="single" w:sz="4" w:space="0" w:color="auto"/>
            </w:tcBorders>
          </w:tcPr>
          <w:p w14:paraId="390E00F8" w14:textId="77777777" w:rsidR="009A0A63" w:rsidRPr="00792B36" w:rsidRDefault="009A0A63" w:rsidP="00A24459">
            <w:pPr>
              <w:jc w:val="center"/>
              <w:rPr>
                <w:sz w:val="24"/>
                <w:szCs w:val="24"/>
              </w:rPr>
            </w:pPr>
            <w:r w:rsidRPr="00792B36">
              <w:rPr>
                <w:rFonts w:eastAsia="Times New Roman"/>
                <w:color w:val="000000"/>
                <w:sz w:val="24"/>
                <w:szCs w:val="24"/>
              </w:rPr>
              <w:t>666,701</w:t>
            </w:r>
          </w:p>
        </w:tc>
        <w:tc>
          <w:tcPr>
            <w:tcW w:w="1077" w:type="dxa"/>
            <w:tcBorders>
              <w:top w:val="single" w:sz="4" w:space="0" w:color="auto"/>
            </w:tcBorders>
          </w:tcPr>
          <w:p w14:paraId="6947EF7A" w14:textId="77777777" w:rsidR="009A0A63" w:rsidRPr="00792B36" w:rsidRDefault="009A0A63" w:rsidP="00A24459">
            <w:pPr>
              <w:jc w:val="center"/>
              <w:rPr>
                <w:sz w:val="24"/>
                <w:szCs w:val="24"/>
              </w:rPr>
            </w:pPr>
            <w:r w:rsidRPr="00792B36">
              <w:rPr>
                <w:rFonts w:eastAsia="Times New Roman"/>
                <w:color w:val="000000"/>
                <w:sz w:val="24"/>
                <w:szCs w:val="24"/>
              </w:rPr>
              <w:t>464,307</w:t>
            </w:r>
          </w:p>
        </w:tc>
        <w:tc>
          <w:tcPr>
            <w:tcW w:w="1077" w:type="dxa"/>
            <w:tcBorders>
              <w:top w:val="single" w:sz="4" w:space="0" w:color="auto"/>
            </w:tcBorders>
          </w:tcPr>
          <w:p w14:paraId="07BAFCCE" w14:textId="77777777" w:rsidR="009A0A63" w:rsidRPr="00792B36" w:rsidRDefault="009A0A63" w:rsidP="00A24459">
            <w:pPr>
              <w:jc w:val="center"/>
              <w:rPr>
                <w:sz w:val="24"/>
                <w:szCs w:val="24"/>
              </w:rPr>
            </w:pPr>
            <w:r w:rsidRPr="00792B36">
              <w:rPr>
                <w:rFonts w:eastAsia="Times New Roman"/>
                <w:color w:val="000000"/>
                <w:sz w:val="24"/>
                <w:szCs w:val="24"/>
              </w:rPr>
              <w:t>596,602</w:t>
            </w:r>
          </w:p>
        </w:tc>
        <w:tc>
          <w:tcPr>
            <w:tcW w:w="1077" w:type="dxa"/>
            <w:tcBorders>
              <w:top w:val="single" w:sz="4" w:space="0" w:color="auto"/>
            </w:tcBorders>
          </w:tcPr>
          <w:p w14:paraId="2B812A60" w14:textId="77777777" w:rsidR="009A0A63" w:rsidRPr="00792B36" w:rsidRDefault="009A0A63" w:rsidP="00A24459">
            <w:pPr>
              <w:jc w:val="center"/>
              <w:rPr>
                <w:sz w:val="24"/>
                <w:szCs w:val="24"/>
              </w:rPr>
            </w:pPr>
            <w:r w:rsidRPr="00792B36">
              <w:rPr>
                <w:rFonts w:eastAsia="Times New Roman"/>
                <w:color w:val="000000"/>
                <w:sz w:val="24"/>
                <w:szCs w:val="24"/>
              </w:rPr>
              <w:t>645,500</w:t>
            </w:r>
          </w:p>
        </w:tc>
        <w:tc>
          <w:tcPr>
            <w:tcW w:w="1077" w:type="dxa"/>
            <w:tcBorders>
              <w:top w:val="single" w:sz="4" w:space="0" w:color="auto"/>
            </w:tcBorders>
          </w:tcPr>
          <w:p w14:paraId="15437FEA"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739,642</w:t>
            </w:r>
          </w:p>
        </w:tc>
        <w:tc>
          <w:tcPr>
            <w:tcW w:w="1077" w:type="dxa"/>
            <w:tcBorders>
              <w:top w:val="single" w:sz="4" w:space="0" w:color="auto"/>
            </w:tcBorders>
          </w:tcPr>
          <w:p w14:paraId="598F0215"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679,077</w:t>
            </w:r>
          </w:p>
        </w:tc>
        <w:tc>
          <w:tcPr>
            <w:tcW w:w="1077" w:type="dxa"/>
            <w:tcBorders>
              <w:top w:val="single" w:sz="4" w:space="0" w:color="auto"/>
            </w:tcBorders>
          </w:tcPr>
          <w:p w14:paraId="5E4FC3CE"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729,249</w:t>
            </w:r>
          </w:p>
        </w:tc>
        <w:tc>
          <w:tcPr>
            <w:tcW w:w="1077" w:type="dxa"/>
            <w:tcBorders>
              <w:top w:val="single" w:sz="4" w:space="0" w:color="auto"/>
            </w:tcBorders>
          </w:tcPr>
          <w:p w14:paraId="3517B06B"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714,149</w:t>
            </w:r>
          </w:p>
        </w:tc>
      </w:tr>
      <w:tr w:rsidR="009A0A63" w:rsidRPr="00792B36" w14:paraId="74054E29" w14:textId="77777777" w:rsidTr="00A24459">
        <w:trPr>
          <w:trHeight w:val="283"/>
        </w:trPr>
        <w:tc>
          <w:tcPr>
            <w:tcW w:w="1955" w:type="dxa"/>
            <w:vAlign w:val="center"/>
          </w:tcPr>
          <w:p w14:paraId="3BACD6ED" w14:textId="77777777" w:rsidR="009A0A63" w:rsidRPr="00792B36" w:rsidRDefault="009A0A63" w:rsidP="00A24459">
            <w:pPr>
              <w:rPr>
                <w:sz w:val="24"/>
                <w:szCs w:val="24"/>
              </w:rPr>
            </w:pPr>
            <w:r w:rsidRPr="00792B36">
              <w:rPr>
                <w:rFonts w:eastAsia="Times New Roman"/>
                <w:color w:val="000000"/>
                <w:sz w:val="24"/>
                <w:szCs w:val="24"/>
              </w:rPr>
              <w:t>Pelagic fishes</w:t>
            </w:r>
          </w:p>
        </w:tc>
        <w:tc>
          <w:tcPr>
            <w:tcW w:w="1077" w:type="dxa"/>
          </w:tcPr>
          <w:p w14:paraId="70BE1A96" w14:textId="77777777" w:rsidR="009A0A63" w:rsidRPr="00792B36" w:rsidRDefault="009A0A63" w:rsidP="00A24459">
            <w:pPr>
              <w:jc w:val="center"/>
              <w:rPr>
                <w:sz w:val="24"/>
                <w:szCs w:val="24"/>
              </w:rPr>
            </w:pPr>
            <w:r w:rsidRPr="00792B36">
              <w:rPr>
                <w:rFonts w:eastAsia="Times New Roman"/>
                <w:color w:val="000000"/>
                <w:sz w:val="24"/>
                <w:szCs w:val="24"/>
              </w:rPr>
              <w:t>58,775</w:t>
            </w:r>
          </w:p>
        </w:tc>
        <w:tc>
          <w:tcPr>
            <w:tcW w:w="1077" w:type="dxa"/>
          </w:tcPr>
          <w:p w14:paraId="480EDA30" w14:textId="77777777" w:rsidR="009A0A63" w:rsidRPr="00792B36" w:rsidRDefault="009A0A63" w:rsidP="00A24459">
            <w:pPr>
              <w:jc w:val="center"/>
              <w:rPr>
                <w:sz w:val="24"/>
                <w:szCs w:val="24"/>
              </w:rPr>
            </w:pPr>
            <w:r w:rsidRPr="00792B36">
              <w:rPr>
                <w:sz w:val="24"/>
                <w:szCs w:val="24"/>
              </w:rPr>
              <w:t>70,842</w:t>
            </w:r>
          </w:p>
        </w:tc>
        <w:tc>
          <w:tcPr>
            <w:tcW w:w="1077" w:type="dxa"/>
          </w:tcPr>
          <w:p w14:paraId="7CD53A47" w14:textId="77777777" w:rsidR="009A0A63" w:rsidRPr="00792B36" w:rsidRDefault="009A0A63" w:rsidP="00A24459">
            <w:pPr>
              <w:jc w:val="center"/>
              <w:rPr>
                <w:sz w:val="24"/>
                <w:szCs w:val="24"/>
              </w:rPr>
            </w:pPr>
            <w:r w:rsidRPr="00792B36">
              <w:rPr>
                <w:rFonts w:eastAsia="Times New Roman"/>
                <w:color w:val="000000"/>
                <w:sz w:val="24"/>
                <w:szCs w:val="24"/>
              </w:rPr>
              <w:t>127,596</w:t>
            </w:r>
          </w:p>
        </w:tc>
        <w:tc>
          <w:tcPr>
            <w:tcW w:w="1077" w:type="dxa"/>
          </w:tcPr>
          <w:p w14:paraId="1B29A3A4" w14:textId="77777777" w:rsidR="009A0A63" w:rsidRPr="00792B36" w:rsidRDefault="009A0A63" w:rsidP="00A24459">
            <w:pPr>
              <w:jc w:val="center"/>
              <w:rPr>
                <w:sz w:val="24"/>
                <w:szCs w:val="24"/>
              </w:rPr>
            </w:pPr>
            <w:r w:rsidRPr="00792B36">
              <w:rPr>
                <w:rFonts w:eastAsia="Times New Roman"/>
                <w:color w:val="000000"/>
                <w:sz w:val="24"/>
                <w:szCs w:val="24"/>
              </w:rPr>
              <w:t>136,463</w:t>
            </w:r>
          </w:p>
        </w:tc>
        <w:tc>
          <w:tcPr>
            <w:tcW w:w="1077" w:type="dxa"/>
          </w:tcPr>
          <w:p w14:paraId="277788FF" w14:textId="77777777" w:rsidR="009A0A63" w:rsidRPr="00792B36" w:rsidRDefault="009A0A63" w:rsidP="00A24459">
            <w:pPr>
              <w:jc w:val="center"/>
              <w:rPr>
                <w:sz w:val="24"/>
                <w:szCs w:val="24"/>
              </w:rPr>
            </w:pPr>
            <w:r w:rsidRPr="00792B36">
              <w:rPr>
                <w:rFonts w:eastAsia="Times New Roman"/>
                <w:color w:val="000000"/>
                <w:sz w:val="24"/>
                <w:szCs w:val="24"/>
              </w:rPr>
              <w:t>175,371</w:t>
            </w:r>
          </w:p>
        </w:tc>
        <w:tc>
          <w:tcPr>
            <w:tcW w:w="1077" w:type="dxa"/>
          </w:tcPr>
          <w:p w14:paraId="2FCF5DE1" w14:textId="77777777" w:rsidR="009A0A63" w:rsidRPr="00792B36" w:rsidRDefault="009A0A63" w:rsidP="00A24459">
            <w:pPr>
              <w:jc w:val="center"/>
              <w:rPr>
                <w:sz w:val="24"/>
                <w:szCs w:val="24"/>
              </w:rPr>
            </w:pPr>
            <w:r w:rsidRPr="00792B36">
              <w:rPr>
                <w:rFonts w:eastAsia="Times New Roman"/>
                <w:color w:val="000000"/>
                <w:sz w:val="24"/>
                <w:szCs w:val="24"/>
              </w:rPr>
              <w:t>296,639</w:t>
            </w:r>
          </w:p>
        </w:tc>
        <w:tc>
          <w:tcPr>
            <w:tcW w:w="1077" w:type="dxa"/>
          </w:tcPr>
          <w:p w14:paraId="41513FE7"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456,220</w:t>
            </w:r>
          </w:p>
        </w:tc>
        <w:tc>
          <w:tcPr>
            <w:tcW w:w="1077" w:type="dxa"/>
          </w:tcPr>
          <w:p w14:paraId="650D5F7A"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201,415</w:t>
            </w:r>
          </w:p>
        </w:tc>
        <w:tc>
          <w:tcPr>
            <w:tcW w:w="1077" w:type="dxa"/>
          </w:tcPr>
          <w:p w14:paraId="4D14AE00"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323,610</w:t>
            </w:r>
          </w:p>
        </w:tc>
        <w:tc>
          <w:tcPr>
            <w:tcW w:w="1077" w:type="dxa"/>
          </w:tcPr>
          <w:p w14:paraId="2D64184F"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257,577</w:t>
            </w:r>
          </w:p>
        </w:tc>
      </w:tr>
      <w:tr w:rsidR="009A0A63" w:rsidRPr="00792B36" w14:paraId="34CFB7D4" w14:textId="77777777" w:rsidTr="00A24459">
        <w:trPr>
          <w:trHeight w:val="283"/>
        </w:trPr>
        <w:tc>
          <w:tcPr>
            <w:tcW w:w="1955" w:type="dxa"/>
            <w:vAlign w:val="center"/>
          </w:tcPr>
          <w:p w14:paraId="0A947555" w14:textId="77777777" w:rsidR="009A0A63" w:rsidRPr="00792B36" w:rsidRDefault="009A0A63" w:rsidP="00A24459">
            <w:pPr>
              <w:rPr>
                <w:sz w:val="24"/>
                <w:szCs w:val="24"/>
              </w:rPr>
            </w:pPr>
            <w:r w:rsidRPr="00792B36">
              <w:rPr>
                <w:rFonts w:eastAsia="Times New Roman"/>
                <w:color w:val="000000"/>
                <w:spacing w:val="-4"/>
                <w:sz w:val="24"/>
                <w:szCs w:val="24"/>
              </w:rPr>
              <w:t>Squids, cuttlefishes,</w:t>
            </w:r>
            <w:r w:rsidRPr="00792B36">
              <w:rPr>
                <w:rFonts w:eastAsia="Times New Roman"/>
                <w:color w:val="000000"/>
                <w:sz w:val="24"/>
                <w:szCs w:val="24"/>
              </w:rPr>
              <w:t xml:space="preserve"> Octopus</w:t>
            </w:r>
          </w:p>
        </w:tc>
        <w:tc>
          <w:tcPr>
            <w:tcW w:w="1077" w:type="dxa"/>
          </w:tcPr>
          <w:p w14:paraId="7C65E9B5" w14:textId="77777777" w:rsidR="009A0A63" w:rsidRPr="00792B36" w:rsidRDefault="009A0A63" w:rsidP="00A24459">
            <w:pPr>
              <w:jc w:val="center"/>
              <w:rPr>
                <w:sz w:val="24"/>
                <w:szCs w:val="24"/>
              </w:rPr>
            </w:pPr>
            <w:r w:rsidRPr="00792B36">
              <w:rPr>
                <w:rFonts w:eastAsia="Times New Roman"/>
                <w:color w:val="000000"/>
                <w:sz w:val="24"/>
                <w:szCs w:val="24"/>
              </w:rPr>
              <w:t>27,926</w:t>
            </w:r>
          </w:p>
        </w:tc>
        <w:tc>
          <w:tcPr>
            <w:tcW w:w="1077" w:type="dxa"/>
          </w:tcPr>
          <w:p w14:paraId="6CC3CEEB" w14:textId="77777777" w:rsidR="009A0A63" w:rsidRPr="00792B36" w:rsidRDefault="009A0A63" w:rsidP="00A24459">
            <w:pPr>
              <w:jc w:val="center"/>
              <w:rPr>
                <w:sz w:val="24"/>
                <w:szCs w:val="24"/>
              </w:rPr>
            </w:pPr>
            <w:r w:rsidRPr="00792B36">
              <w:rPr>
                <w:sz w:val="24"/>
                <w:szCs w:val="24"/>
              </w:rPr>
              <w:t>56,075</w:t>
            </w:r>
          </w:p>
        </w:tc>
        <w:tc>
          <w:tcPr>
            <w:tcW w:w="1077" w:type="dxa"/>
          </w:tcPr>
          <w:p w14:paraId="2EE60B7A" w14:textId="77777777" w:rsidR="009A0A63" w:rsidRPr="00792B36" w:rsidRDefault="009A0A63" w:rsidP="00A24459">
            <w:pPr>
              <w:jc w:val="center"/>
              <w:rPr>
                <w:sz w:val="24"/>
                <w:szCs w:val="24"/>
              </w:rPr>
            </w:pPr>
            <w:r w:rsidRPr="00792B36">
              <w:rPr>
                <w:rFonts w:eastAsia="Times New Roman"/>
                <w:color w:val="000000"/>
                <w:sz w:val="24"/>
                <w:szCs w:val="24"/>
              </w:rPr>
              <w:t>49,759</w:t>
            </w:r>
          </w:p>
        </w:tc>
        <w:tc>
          <w:tcPr>
            <w:tcW w:w="1077" w:type="dxa"/>
          </w:tcPr>
          <w:p w14:paraId="4A5315C5" w14:textId="77777777" w:rsidR="009A0A63" w:rsidRPr="00792B36" w:rsidRDefault="009A0A63" w:rsidP="00A24459">
            <w:pPr>
              <w:jc w:val="center"/>
              <w:rPr>
                <w:sz w:val="24"/>
                <w:szCs w:val="24"/>
              </w:rPr>
            </w:pPr>
            <w:r w:rsidRPr="00792B36">
              <w:rPr>
                <w:rFonts w:eastAsia="Times New Roman"/>
                <w:color w:val="000000"/>
                <w:sz w:val="24"/>
                <w:szCs w:val="24"/>
              </w:rPr>
              <w:t>46,222</w:t>
            </w:r>
          </w:p>
        </w:tc>
        <w:tc>
          <w:tcPr>
            <w:tcW w:w="1077" w:type="dxa"/>
          </w:tcPr>
          <w:p w14:paraId="70770739" w14:textId="77777777" w:rsidR="009A0A63" w:rsidRPr="00792B36" w:rsidRDefault="009A0A63" w:rsidP="00A24459">
            <w:pPr>
              <w:jc w:val="center"/>
              <w:rPr>
                <w:sz w:val="24"/>
                <w:szCs w:val="24"/>
              </w:rPr>
            </w:pPr>
            <w:r w:rsidRPr="00792B36">
              <w:rPr>
                <w:rFonts w:eastAsia="Times New Roman"/>
                <w:color w:val="000000"/>
                <w:sz w:val="24"/>
                <w:szCs w:val="24"/>
              </w:rPr>
              <w:t>50,725</w:t>
            </w:r>
          </w:p>
        </w:tc>
        <w:tc>
          <w:tcPr>
            <w:tcW w:w="1077" w:type="dxa"/>
          </w:tcPr>
          <w:p w14:paraId="215CFBB0" w14:textId="77777777" w:rsidR="009A0A63" w:rsidRPr="00792B36" w:rsidRDefault="009A0A63" w:rsidP="00A24459">
            <w:pPr>
              <w:jc w:val="center"/>
              <w:rPr>
                <w:sz w:val="24"/>
                <w:szCs w:val="24"/>
              </w:rPr>
            </w:pPr>
            <w:r w:rsidRPr="00792B36">
              <w:rPr>
                <w:rFonts w:eastAsia="Times New Roman"/>
                <w:color w:val="000000"/>
                <w:sz w:val="24"/>
                <w:szCs w:val="24"/>
              </w:rPr>
              <w:t>56,386</w:t>
            </w:r>
          </w:p>
        </w:tc>
        <w:tc>
          <w:tcPr>
            <w:tcW w:w="1077" w:type="dxa"/>
          </w:tcPr>
          <w:p w14:paraId="07304AA9"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76,451</w:t>
            </w:r>
          </w:p>
        </w:tc>
        <w:tc>
          <w:tcPr>
            <w:tcW w:w="1077" w:type="dxa"/>
          </w:tcPr>
          <w:p w14:paraId="62ACDFF4"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68,703</w:t>
            </w:r>
          </w:p>
        </w:tc>
        <w:tc>
          <w:tcPr>
            <w:tcW w:w="1077" w:type="dxa"/>
          </w:tcPr>
          <w:p w14:paraId="1D187413"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64,351</w:t>
            </w:r>
          </w:p>
        </w:tc>
        <w:tc>
          <w:tcPr>
            <w:tcW w:w="1077" w:type="dxa"/>
          </w:tcPr>
          <w:p w14:paraId="4E29CDF9"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57,216</w:t>
            </w:r>
          </w:p>
        </w:tc>
      </w:tr>
      <w:tr w:rsidR="009A0A63" w:rsidRPr="00792B36" w14:paraId="6362962F" w14:textId="77777777" w:rsidTr="00A24459">
        <w:trPr>
          <w:trHeight w:val="283"/>
        </w:trPr>
        <w:tc>
          <w:tcPr>
            <w:tcW w:w="1955" w:type="dxa"/>
            <w:vAlign w:val="center"/>
          </w:tcPr>
          <w:p w14:paraId="1FCC08D9" w14:textId="77777777" w:rsidR="009A0A63" w:rsidRPr="00792B36" w:rsidRDefault="009A0A63" w:rsidP="00A24459">
            <w:pPr>
              <w:rPr>
                <w:sz w:val="24"/>
                <w:szCs w:val="24"/>
              </w:rPr>
            </w:pPr>
            <w:r w:rsidRPr="00792B36">
              <w:rPr>
                <w:rFonts w:eastAsia="Times New Roman"/>
                <w:color w:val="000000"/>
                <w:sz w:val="24"/>
                <w:szCs w:val="24"/>
              </w:rPr>
              <w:t xml:space="preserve">Crustaceans </w:t>
            </w:r>
          </w:p>
        </w:tc>
        <w:tc>
          <w:tcPr>
            <w:tcW w:w="1077" w:type="dxa"/>
            <w:vAlign w:val="center"/>
          </w:tcPr>
          <w:p w14:paraId="717C3596" w14:textId="77777777" w:rsidR="009A0A63" w:rsidRPr="00792B36" w:rsidRDefault="009A0A63" w:rsidP="00A24459">
            <w:pPr>
              <w:jc w:val="center"/>
              <w:rPr>
                <w:sz w:val="24"/>
                <w:szCs w:val="24"/>
              </w:rPr>
            </w:pPr>
            <w:r w:rsidRPr="00792B36">
              <w:rPr>
                <w:rFonts w:eastAsia="Times New Roman"/>
                <w:color w:val="000000"/>
                <w:sz w:val="24"/>
                <w:szCs w:val="24"/>
              </w:rPr>
              <w:t>31,892</w:t>
            </w:r>
          </w:p>
        </w:tc>
        <w:tc>
          <w:tcPr>
            <w:tcW w:w="1077" w:type="dxa"/>
            <w:vAlign w:val="center"/>
          </w:tcPr>
          <w:p w14:paraId="4520A3A4" w14:textId="77777777" w:rsidR="009A0A63" w:rsidRPr="00792B36" w:rsidRDefault="009A0A63" w:rsidP="00A24459">
            <w:pPr>
              <w:jc w:val="center"/>
              <w:rPr>
                <w:sz w:val="24"/>
                <w:szCs w:val="24"/>
              </w:rPr>
            </w:pPr>
            <w:r w:rsidRPr="00792B36">
              <w:rPr>
                <w:sz w:val="24"/>
                <w:szCs w:val="24"/>
              </w:rPr>
              <w:t>48,412</w:t>
            </w:r>
          </w:p>
        </w:tc>
        <w:tc>
          <w:tcPr>
            <w:tcW w:w="1077" w:type="dxa"/>
            <w:vAlign w:val="center"/>
          </w:tcPr>
          <w:p w14:paraId="1032B6DA" w14:textId="77777777" w:rsidR="009A0A63" w:rsidRPr="00792B36" w:rsidRDefault="009A0A63" w:rsidP="00A24459">
            <w:pPr>
              <w:jc w:val="center"/>
              <w:rPr>
                <w:sz w:val="24"/>
                <w:szCs w:val="24"/>
              </w:rPr>
            </w:pPr>
            <w:r w:rsidRPr="00792B36">
              <w:rPr>
                <w:rFonts w:eastAsia="Times New Roman"/>
                <w:color w:val="000000"/>
                <w:sz w:val="24"/>
                <w:szCs w:val="24"/>
              </w:rPr>
              <w:t>85,809</w:t>
            </w:r>
          </w:p>
        </w:tc>
        <w:tc>
          <w:tcPr>
            <w:tcW w:w="1077" w:type="dxa"/>
            <w:vAlign w:val="center"/>
          </w:tcPr>
          <w:p w14:paraId="049D8EBC" w14:textId="77777777" w:rsidR="009A0A63" w:rsidRPr="00792B36" w:rsidRDefault="009A0A63" w:rsidP="00A24459">
            <w:pPr>
              <w:jc w:val="center"/>
              <w:rPr>
                <w:sz w:val="24"/>
                <w:szCs w:val="24"/>
              </w:rPr>
            </w:pPr>
            <w:r w:rsidRPr="00792B36">
              <w:rPr>
                <w:rFonts w:eastAsia="Times New Roman"/>
                <w:color w:val="000000"/>
                <w:sz w:val="24"/>
                <w:szCs w:val="24"/>
              </w:rPr>
              <w:t>69,293</w:t>
            </w:r>
          </w:p>
        </w:tc>
        <w:tc>
          <w:tcPr>
            <w:tcW w:w="1077" w:type="dxa"/>
            <w:vAlign w:val="center"/>
          </w:tcPr>
          <w:p w14:paraId="2B7964FE" w14:textId="77777777" w:rsidR="009A0A63" w:rsidRPr="00792B36" w:rsidRDefault="009A0A63" w:rsidP="00A24459">
            <w:pPr>
              <w:jc w:val="center"/>
              <w:rPr>
                <w:sz w:val="24"/>
                <w:szCs w:val="24"/>
              </w:rPr>
            </w:pPr>
            <w:r w:rsidRPr="00792B36">
              <w:rPr>
                <w:rFonts w:eastAsia="Times New Roman"/>
                <w:color w:val="000000"/>
                <w:sz w:val="24"/>
                <w:szCs w:val="24"/>
              </w:rPr>
              <w:t>73,910</w:t>
            </w:r>
          </w:p>
        </w:tc>
        <w:tc>
          <w:tcPr>
            <w:tcW w:w="1077" w:type="dxa"/>
            <w:vAlign w:val="center"/>
          </w:tcPr>
          <w:p w14:paraId="6B241B91" w14:textId="77777777" w:rsidR="009A0A63" w:rsidRPr="00792B36" w:rsidRDefault="009A0A63" w:rsidP="00A24459">
            <w:pPr>
              <w:jc w:val="center"/>
              <w:rPr>
                <w:sz w:val="24"/>
                <w:szCs w:val="24"/>
              </w:rPr>
            </w:pPr>
            <w:r w:rsidRPr="00792B36">
              <w:rPr>
                <w:rFonts w:eastAsia="Times New Roman"/>
                <w:color w:val="000000"/>
                <w:sz w:val="24"/>
                <w:szCs w:val="24"/>
              </w:rPr>
              <w:t>74,114</w:t>
            </w:r>
          </w:p>
        </w:tc>
        <w:tc>
          <w:tcPr>
            <w:tcW w:w="1077" w:type="dxa"/>
          </w:tcPr>
          <w:p w14:paraId="63428BD3"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105,822</w:t>
            </w:r>
          </w:p>
        </w:tc>
        <w:tc>
          <w:tcPr>
            <w:tcW w:w="1077" w:type="dxa"/>
          </w:tcPr>
          <w:p w14:paraId="0AFB0B20"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102,182</w:t>
            </w:r>
          </w:p>
        </w:tc>
        <w:tc>
          <w:tcPr>
            <w:tcW w:w="1077" w:type="dxa"/>
          </w:tcPr>
          <w:p w14:paraId="5BE68C8F"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87,961</w:t>
            </w:r>
          </w:p>
        </w:tc>
        <w:tc>
          <w:tcPr>
            <w:tcW w:w="1077" w:type="dxa"/>
          </w:tcPr>
          <w:p w14:paraId="36AB4428"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92,562</w:t>
            </w:r>
          </w:p>
        </w:tc>
      </w:tr>
      <w:tr w:rsidR="009A0A63" w:rsidRPr="00792B36" w14:paraId="4E2DC5E0" w14:textId="77777777" w:rsidTr="00A24459">
        <w:trPr>
          <w:trHeight w:val="283"/>
        </w:trPr>
        <w:tc>
          <w:tcPr>
            <w:tcW w:w="1955" w:type="dxa"/>
            <w:vAlign w:val="center"/>
          </w:tcPr>
          <w:p w14:paraId="5828793E" w14:textId="77777777" w:rsidR="009A0A63" w:rsidRPr="00792B36" w:rsidRDefault="009A0A63" w:rsidP="00A24459">
            <w:pPr>
              <w:rPr>
                <w:sz w:val="24"/>
                <w:szCs w:val="24"/>
              </w:rPr>
            </w:pPr>
            <w:r w:rsidRPr="00792B36">
              <w:rPr>
                <w:rFonts w:eastAsia="Times New Roman"/>
                <w:color w:val="000000"/>
                <w:sz w:val="24"/>
                <w:szCs w:val="24"/>
              </w:rPr>
              <w:t>Sharks and rays</w:t>
            </w:r>
          </w:p>
        </w:tc>
        <w:tc>
          <w:tcPr>
            <w:tcW w:w="1077" w:type="dxa"/>
            <w:vAlign w:val="center"/>
          </w:tcPr>
          <w:p w14:paraId="23C01625" w14:textId="77777777" w:rsidR="009A0A63" w:rsidRPr="00792B36" w:rsidRDefault="009A0A63" w:rsidP="00A24459">
            <w:pPr>
              <w:jc w:val="center"/>
              <w:rPr>
                <w:sz w:val="24"/>
                <w:szCs w:val="24"/>
              </w:rPr>
            </w:pPr>
            <w:r w:rsidRPr="00792B36">
              <w:rPr>
                <w:rFonts w:eastAsia="Times New Roman"/>
                <w:color w:val="000000"/>
                <w:sz w:val="24"/>
                <w:szCs w:val="24"/>
              </w:rPr>
              <w:t>5,545</w:t>
            </w:r>
          </w:p>
        </w:tc>
        <w:tc>
          <w:tcPr>
            <w:tcW w:w="1077" w:type="dxa"/>
            <w:vAlign w:val="center"/>
          </w:tcPr>
          <w:p w14:paraId="1B1E3C05" w14:textId="77777777" w:rsidR="009A0A63" w:rsidRPr="00792B36" w:rsidRDefault="009A0A63" w:rsidP="00A24459">
            <w:pPr>
              <w:jc w:val="center"/>
              <w:rPr>
                <w:sz w:val="24"/>
                <w:szCs w:val="24"/>
              </w:rPr>
            </w:pPr>
            <w:r w:rsidRPr="00792B36">
              <w:rPr>
                <w:sz w:val="24"/>
                <w:szCs w:val="24"/>
              </w:rPr>
              <w:t>9,337</w:t>
            </w:r>
          </w:p>
        </w:tc>
        <w:tc>
          <w:tcPr>
            <w:tcW w:w="1077" w:type="dxa"/>
            <w:vAlign w:val="center"/>
          </w:tcPr>
          <w:p w14:paraId="71F15698" w14:textId="77777777" w:rsidR="009A0A63" w:rsidRPr="00792B36" w:rsidRDefault="009A0A63" w:rsidP="00A24459">
            <w:pPr>
              <w:jc w:val="center"/>
              <w:rPr>
                <w:sz w:val="24"/>
                <w:szCs w:val="24"/>
              </w:rPr>
            </w:pPr>
            <w:r w:rsidRPr="00792B36">
              <w:rPr>
                <w:rFonts w:eastAsia="Times New Roman"/>
                <w:color w:val="000000"/>
                <w:sz w:val="24"/>
                <w:szCs w:val="24"/>
              </w:rPr>
              <w:t>5,321</w:t>
            </w:r>
          </w:p>
        </w:tc>
        <w:tc>
          <w:tcPr>
            <w:tcW w:w="1077" w:type="dxa"/>
            <w:vAlign w:val="center"/>
          </w:tcPr>
          <w:p w14:paraId="5293E9B2" w14:textId="77777777" w:rsidR="009A0A63" w:rsidRPr="00792B36" w:rsidRDefault="009A0A63" w:rsidP="00A24459">
            <w:pPr>
              <w:jc w:val="center"/>
              <w:rPr>
                <w:sz w:val="24"/>
                <w:szCs w:val="24"/>
              </w:rPr>
            </w:pPr>
            <w:r w:rsidRPr="00792B36">
              <w:rPr>
                <w:rFonts w:eastAsia="Times New Roman"/>
                <w:color w:val="000000"/>
                <w:sz w:val="24"/>
                <w:szCs w:val="24"/>
              </w:rPr>
              <w:t>3,306</w:t>
            </w:r>
          </w:p>
        </w:tc>
        <w:tc>
          <w:tcPr>
            <w:tcW w:w="1077" w:type="dxa"/>
            <w:vAlign w:val="center"/>
          </w:tcPr>
          <w:p w14:paraId="0F7941D6" w14:textId="77777777" w:rsidR="009A0A63" w:rsidRPr="00792B36" w:rsidRDefault="009A0A63" w:rsidP="00A24459">
            <w:pPr>
              <w:jc w:val="center"/>
              <w:rPr>
                <w:sz w:val="24"/>
                <w:szCs w:val="24"/>
              </w:rPr>
            </w:pPr>
            <w:r w:rsidRPr="00792B36">
              <w:rPr>
                <w:rFonts w:eastAsia="Times New Roman"/>
                <w:color w:val="000000"/>
                <w:sz w:val="24"/>
                <w:szCs w:val="24"/>
              </w:rPr>
              <w:t>4,775</w:t>
            </w:r>
          </w:p>
        </w:tc>
        <w:tc>
          <w:tcPr>
            <w:tcW w:w="1077" w:type="dxa"/>
            <w:vAlign w:val="center"/>
          </w:tcPr>
          <w:p w14:paraId="39DF5EFF" w14:textId="77777777" w:rsidR="009A0A63" w:rsidRPr="00792B36" w:rsidRDefault="009A0A63" w:rsidP="00A24459">
            <w:pPr>
              <w:jc w:val="center"/>
              <w:rPr>
                <w:sz w:val="24"/>
                <w:szCs w:val="24"/>
              </w:rPr>
            </w:pPr>
            <w:r w:rsidRPr="00792B36">
              <w:rPr>
                <w:rFonts w:eastAsia="Times New Roman"/>
                <w:color w:val="000000"/>
                <w:sz w:val="24"/>
                <w:szCs w:val="24"/>
              </w:rPr>
              <w:t>4,432</w:t>
            </w:r>
          </w:p>
        </w:tc>
        <w:tc>
          <w:tcPr>
            <w:tcW w:w="1077" w:type="dxa"/>
          </w:tcPr>
          <w:p w14:paraId="494C3594"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5,411</w:t>
            </w:r>
          </w:p>
        </w:tc>
        <w:tc>
          <w:tcPr>
            <w:tcW w:w="1077" w:type="dxa"/>
          </w:tcPr>
          <w:p w14:paraId="0BB0398C"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3,946</w:t>
            </w:r>
          </w:p>
        </w:tc>
        <w:tc>
          <w:tcPr>
            <w:tcW w:w="1077" w:type="dxa"/>
          </w:tcPr>
          <w:p w14:paraId="029C6DFB"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4,127</w:t>
            </w:r>
          </w:p>
        </w:tc>
        <w:tc>
          <w:tcPr>
            <w:tcW w:w="1077" w:type="dxa"/>
          </w:tcPr>
          <w:p w14:paraId="4633D98D"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5,363</w:t>
            </w:r>
          </w:p>
        </w:tc>
      </w:tr>
      <w:tr w:rsidR="009A0A63" w:rsidRPr="00792B36" w14:paraId="4D57F6E7" w14:textId="77777777" w:rsidTr="00A24459">
        <w:trPr>
          <w:trHeight w:val="283"/>
        </w:trPr>
        <w:tc>
          <w:tcPr>
            <w:tcW w:w="1955" w:type="dxa"/>
            <w:vAlign w:val="center"/>
          </w:tcPr>
          <w:p w14:paraId="4D0CF013" w14:textId="77777777" w:rsidR="009A0A63" w:rsidRPr="00792B36" w:rsidRDefault="009A0A63" w:rsidP="00A24459">
            <w:pPr>
              <w:rPr>
                <w:rFonts w:eastAsia="Times New Roman"/>
                <w:color w:val="000000"/>
                <w:spacing w:val="-4"/>
                <w:sz w:val="24"/>
                <w:szCs w:val="24"/>
              </w:rPr>
            </w:pPr>
            <w:r w:rsidRPr="00792B36">
              <w:rPr>
                <w:rFonts w:eastAsia="Times New Roman"/>
                <w:color w:val="000000"/>
                <w:spacing w:val="-4"/>
                <w:sz w:val="24"/>
                <w:szCs w:val="24"/>
              </w:rPr>
              <w:t>Tunas and billfishes</w:t>
            </w:r>
          </w:p>
        </w:tc>
        <w:tc>
          <w:tcPr>
            <w:tcW w:w="1077" w:type="dxa"/>
            <w:vAlign w:val="center"/>
          </w:tcPr>
          <w:p w14:paraId="0462F09B" w14:textId="77777777" w:rsidR="009A0A63" w:rsidRPr="00792B36" w:rsidRDefault="009A0A63" w:rsidP="00A24459">
            <w:pPr>
              <w:jc w:val="center"/>
              <w:rPr>
                <w:sz w:val="24"/>
                <w:szCs w:val="24"/>
              </w:rPr>
            </w:pPr>
            <w:r w:rsidRPr="00792B36">
              <w:rPr>
                <w:rFonts w:eastAsia="Times New Roman"/>
                <w:color w:val="000000"/>
                <w:sz w:val="24"/>
                <w:szCs w:val="24"/>
              </w:rPr>
              <w:t>3,448</w:t>
            </w:r>
          </w:p>
        </w:tc>
        <w:tc>
          <w:tcPr>
            <w:tcW w:w="1077" w:type="dxa"/>
            <w:vAlign w:val="center"/>
          </w:tcPr>
          <w:p w14:paraId="62B52CC5" w14:textId="77777777" w:rsidR="009A0A63" w:rsidRPr="00792B36" w:rsidRDefault="009A0A63" w:rsidP="00A24459">
            <w:pPr>
              <w:jc w:val="center"/>
              <w:rPr>
                <w:sz w:val="24"/>
                <w:szCs w:val="24"/>
              </w:rPr>
            </w:pPr>
            <w:r w:rsidRPr="00792B36">
              <w:rPr>
                <w:sz w:val="24"/>
                <w:szCs w:val="24"/>
              </w:rPr>
              <w:t>5,722</w:t>
            </w:r>
          </w:p>
        </w:tc>
        <w:tc>
          <w:tcPr>
            <w:tcW w:w="1077" w:type="dxa"/>
            <w:vAlign w:val="center"/>
          </w:tcPr>
          <w:p w14:paraId="5B835FD3" w14:textId="77777777" w:rsidR="009A0A63" w:rsidRPr="00792B36" w:rsidRDefault="009A0A63" w:rsidP="00A24459">
            <w:pPr>
              <w:jc w:val="center"/>
              <w:rPr>
                <w:sz w:val="24"/>
                <w:szCs w:val="24"/>
              </w:rPr>
            </w:pPr>
            <w:r w:rsidRPr="00792B36">
              <w:rPr>
                <w:rFonts w:eastAsia="Times New Roman"/>
                <w:color w:val="000000"/>
                <w:sz w:val="24"/>
                <w:szCs w:val="24"/>
              </w:rPr>
              <w:t>9,567</w:t>
            </w:r>
          </w:p>
        </w:tc>
        <w:tc>
          <w:tcPr>
            <w:tcW w:w="1077" w:type="dxa"/>
            <w:vAlign w:val="center"/>
          </w:tcPr>
          <w:p w14:paraId="5A000ED2" w14:textId="77777777" w:rsidR="009A0A63" w:rsidRPr="00792B36" w:rsidRDefault="009A0A63" w:rsidP="00A24459">
            <w:pPr>
              <w:jc w:val="center"/>
              <w:rPr>
                <w:sz w:val="24"/>
                <w:szCs w:val="24"/>
              </w:rPr>
            </w:pPr>
            <w:r w:rsidRPr="00792B36">
              <w:rPr>
                <w:rFonts w:eastAsia="Times New Roman"/>
                <w:color w:val="000000"/>
                <w:sz w:val="24"/>
                <w:szCs w:val="24"/>
              </w:rPr>
              <w:t>8,874</w:t>
            </w:r>
          </w:p>
        </w:tc>
        <w:tc>
          <w:tcPr>
            <w:tcW w:w="1077" w:type="dxa"/>
            <w:vAlign w:val="center"/>
          </w:tcPr>
          <w:p w14:paraId="4F458114" w14:textId="77777777" w:rsidR="009A0A63" w:rsidRPr="00792B36" w:rsidRDefault="009A0A63" w:rsidP="00A24459">
            <w:pPr>
              <w:jc w:val="center"/>
              <w:rPr>
                <w:sz w:val="24"/>
                <w:szCs w:val="24"/>
              </w:rPr>
            </w:pPr>
            <w:r w:rsidRPr="00792B36">
              <w:rPr>
                <w:rFonts w:eastAsia="Times New Roman"/>
                <w:color w:val="000000"/>
                <w:sz w:val="24"/>
                <w:szCs w:val="24"/>
              </w:rPr>
              <w:t>12,793</w:t>
            </w:r>
          </w:p>
        </w:tc>
        <w:tc>
          <w:tcPr>
            <w:tcW w:w="1077" w:type="dxa"/>
            <w:vAlign w:val="center"/>
          </w:tcPr>
          <w:p w14:paraId="3875C098" w14:textId="77777777" w:rsidR="009A0A63" w:rsidRPr="00792B36" w:rsidRDefault="009A0A63" w:rsidP="00A24459">
            <w:pPr>
              <w:jc w:val="center"/>
              <w:rPr>
                <w:sz w:val="24"/>
                <w:szCs w:val="24"/>
              </w:rPr>
            </w:pPr>
            <w:r w:rsidRPr="00792B36">
              <w:rPr>
                <w:rFonts w:eastAsia="Times New Roman"/>
                <w:color w:val="000000"/>
                <w:sz w:val="24"/>
                <w:szCs w:val="24"/>
              </w:rPr>
              <w:t>13,180</w:t>
            </w:r>
          </w:p>
        </w:tc>
        <w:tc>
          <w:tcPr>
            <w:tcW w:w="1077" w:type="dxa"/>
          </w:tcPr>
          <w:p w14:paraId="186A6961"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19,568</w:t>
            </w:r>
          </w:p>
        </w:tc>
        <w:tc>
          <w:tcPr>
            <w:tcW w:w="1077" w:type="dxa"/>
          </w:tcPr>
          <w:p w14:paraId="45595FC4"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11,195</w:t>
            </w:r>
          </w:p>
        </w:tc>
        <w:tc>
          <w:tcPr>
            <w:tcW w:w="1077" w:type="dxa"/>
          </w:tcPr>
          <w:p w14:paraId="10BBBE85"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20,301</w:t>
            </w:r>
          </w:p>
        </w:tc>
        <w:tc>
          <w:tcPr>
            <w:tcW w:w="1077" w:type="dxa"/>
          </w:tcPr>
          <w:p w14:paraId="0D889F67"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19,860</w:t>
            </w:r>
          </w:p>
        </w:tc>
      </w:tr>
      <w:tr w:rsidR="009A0A63" w:rsidRPr="00792B36" w14:paraId="0EDEF4D6" w14:textId="77777777" w:rsidTr="00A24459">
        <w:trPr>
          <w:trHeight w:val="283"/>
        </w:trPr>
        <w:tc>
          <w:tcPr>
            <w:tcW w:w="1955" w:type="dxa"/>
            <w:tcBorders>
              <w:bottom w:val="single" w:sz="4" w:space="0" w:color="auto"/>
            </w:tcBorders>
            <w:vAlign w:val="center"/>
          </w:tcPr>
          <w:p w14:paraId="42A7D682" w14:textId="77777777" w:rsidR="009A0A63" w:rsidRPr="00792B36" w:rsidRDefault="009A0A63" w:rsidP="00A24459">
            <w:pPr>
              <w:rPr>
                <w:rFonts w:eastAsia="Times New Roman"/>
                <w:color w:val="000000"/>
                <w:sz w:val="24"/>
                <w:szCs w:val="24"/>
              </w:rPr>
            </w:pPr>
            <w:r w:rsidRPr="00792B36">
              <w:rPr>
                <w:rFonts w:eastAsia="Times New Roman"/>
                <w:color w:val="000000"/>
                <w:sz w:val="24"/>
                <w:szCs w:val="24"/>
              </w:rPr>
              <w:t xml:space="preserve">Others </w:t>
            </w:r>
          </w:p>
        </w:tc>
        <w:tc>
          <w:tcPr>
            <w:tcW w:w="1077" w:type="dxa"/>
            <w:tcBorders>
              <w:bottom w:val="single" w:sz="4" w:space="0" w:color="auto"/>
            </w:tcBorders>
            <w:vAlign w:val="center"/>
          </w:tcPr>
          <w:p w14:paraId="3BDD03DB" w14:textId="77777777" w:rsidR="009A0A63" w:rsidRPr="00792B36" w:rsidRDefault="009A0A63" w:rsidP="00A24459">
            <w:pPr>
              <w:jc w:val="center"/>
              <w:rPr>
                <w:sz w:val="24"/>
                <w:szCs w:val="24"/>
              </w:rPr>
            </w:pPr>
            <w:r w:rsidRPr="00792B36">
              <w:rPr>
                <w:rFonts w:eastAsia="Times New Roman"/>
                <w:color w:val="000000"/>
                <w:sz w:val="24"/>
                <w:szCs w:val="24"/>
              </w:rPr>
              <w:t>-</w:t>
            </w:r>
          </w:p>
        </w:tc>
        <w:tc>
          <w:tcPr>
            <w:tcW w:w="1077" w:type="dxa"/>
            <w:tcBorders>
              <w:bottom w:val="single" w:sz="4" w:space="0" w:color="auto"/>
            </w:tcBorders>
            <w:vAlign w:val="center"/>
          </w:tcPr>
          <w:p w14:paraId="28E9BF1A" w14:textId="77777777" w:rsidR="009A0A63" w:rsidRPr="00792B36" w:rsidRDefault="009A0A63" w:rsidP="00A24459">
            <w:pPr>
              <w:jc w:val="center"/>
              <w:rPr>
                <w:sz w:val="24"/>
                <w:szCs w:val="24"/>
              </w:rPr>
            </w:pPr>
            <w:r w:rsidRPr="00792B36">
              <w:rPr>
                <w:rFonts w:eastAsia="Times New Roman"/>
                <w:color w:val="000000"/>
                <w:sz w:val="24"/>
                <w:szCs w:val="24"/>
              </w:rPr>
              <w:t>-</w:t>
            </w:r>
          </w:p>
        </w:tc>
        <w:tc>
          <w:tcPr>
            <w:tcW w:w="1077" w:type="dxa"/>
            <w:tcBorders>
              <w:bottom w:val="single" w:sz="4" w:space="0" w:color="auto"/>
            </w:tcBorders>
            <w:vAlign w:val="center"/>
          </w:tcPr>
          <w:p w14:paraId="2A551A6B" w14:textId="77777777" w:rsidR="009A0A63" w:rsidRPr="00792B36" w:rsidRDefault="009A0A63" w:rsidP="00A24459">
            <w:pPr>
              <w:jc w:val="center"/>
              <w:rPr>
                <w:sz w:val="24"/>
                <w:szCs w:val="24"/>
              </w:rPr>
            </w:pPr>
            <w:r w:rsidRPr="00792B36">
              <w:rPr>
                <w:rFonts w:eastAsia="Times New Roman"/>
                <w:color w:val="000000"/>
                <w:sz w:val="24"/>
                <w:szCs w:val="24"/>
              </w:rPr>
              <w:t>-</w:t>
            </w:r>
          </w:p>
        </w:tc>
        <w:tc>
          <w:tcPr>
            <w:tcW w:w="1077" w:type="dxa"/>
            <w:tcBorders>
              <w:bottom w:val="single" w:sz="4" w:space="0" w:color="auto"/>
            </w:tcBorders>
            <w:vAlign w:val="center"/>
          </w:tcPr>
          <w:p w14:paraId="1DE349C6" w14:textId="77777777" w:rsidR="009A0A63" w:rsidRPr="00792B36" w:rsidRDefault="009A0A63" w:rsidP="00A24459">
            <w:pPr>
              <w:jc w:val="center"/>
              <w:rPr>
                <w:sz w:val="24"/>
                <w:szCs w:val="24"/>
              </w:rPr>
            </w:pPr>
            <w:r w:rsidRPr="00792B36">
              <w:rPr>
                <w:rFonts w:eastAsia="Times New Roman"/>
                <w:color w:val="000000"/>
                <w:sz w:val="24"/>
                <w:szCs w:val="24"/>
              </w:rPr>
              <w:t>-</w:t>
            </w:r>
          </w:p>
        </w:tc>
        <w:tc>
          <w:tcPr>
            <w:tcW w:w="1077" w:type="dxa"/>
            <w:tcBorders>
              <w:bottom w:val="single" w:sz="4" w:space="0" w:color="auto"/>
            </w:tcBorders>
            <w:vAlign w:val="center"/>
          </w:tcPr>
          <w:p w14:paraId="3391EEAC" w14:textId="77777777" w:rsidR="009A0A63" w:rsidRPr="00792B36" w:rsidRDefault="009A0A63" w:rsidP="00A24459">
            <w:pPr>
              <w:jc w:val="center"/>
              <w:rPr>
                <w:sz w:val="24"/>
                <w:szCs w:val="24"/>
              </w:rPr>
            </w:pPr>
            <w:r w:rsidRPr="00792B36">
              <w:rPr>
                <w:rFonts w:eastAsia="Times New Roman"/>
                <w:color w:val="000000"/>
                <w:sz w:val="24"/>
                <w:szCs w:val="24"/>
              </w:rPr>
              <w:t>127</w:t>
            </w:r>
          </w:p>
        </w:tc>
        <w:tc>
          <w:tcPr>
            <w:tcW w:w="1077" w:type="dxa"/>
            <w:tcBorders>
              <w:bottom w:val="single" w:sz="4" w:space="0" w:color="auto"/>
            </w:tcBorders>
            <w:vAlign w:val="center"/>
          </w:tcPr>
          <w:p w14:paraId="007E09BD" w14:textId="77777777" w:rsidR="009A0A63" w:rsidRPr="00792B36" w:rsidRDefault="009A0A63" w:rsidP="00A24459">
            <w:pPr>
              <w:jc w:val="center"/>
              <w:rPr>
                <w:sz w:val="24"/>
                <w:szCs w:val="24"/>
              </w:rPr>
            </w:pPr>
            <w:r w:rsidRPr="00792B36">
              <w:rPr>
                <w:rFonts w:eastAsia="Times New Roman"/>
                <w:color w:val="000000"/>
                <w:sz w:val="24"/>
                <w:szCs w:val="24"/>
              </w:rPr>
              <w:t>3,448</w:t>
            </w:r>
          </w:p>
        </w:tc>
        <w:tc>
          <w:tcPr>
            <w:tcW w:w="1077" w:type="dxa"/>
            <w:tcBorders>
              <w:bottom w:val="single" w:sz="4" w:space="0" w:color="auto"/>
            </w:tcBorders>
          </w:tcPr>
          <w:p w14:paraId="7E48558C"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13,430</w:t>
            </w:r>
          </w:p>
        </w:tc>
        <w:tc>
          <w:tcPr>
            <w:tcW w:w="1077" w:type="dxa"/>
            <w:tcBorders>
              <w:bottom w:val="single" w:sz="4" w:space="0" w:color="auto"/>
            </w:tcBorders>
          </w:tcPr>
          <w:p w14:paraId="3806DD6A"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31</w:t>
            </w:r>
          </w:p>
        </w:tc>
        <w:tc>
          <w:tcPr>
            <w:tcW w:w="1077" w:type="dxa"/>
            <w:tcBorders>
              <w:bottom w:val="single" w:sz="4" w:space="0" w:color="auto"/>
            </w:tcBorders>
          </w:tcPr>
          <w:p w14:paraId="7A68EC9E"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164</w:t>
            </w:r>
          </w:p>
        </w:tc>
        <w:tc>
          <w:tcPr>
            <w:tcW w:w="1077" w:type="dxa"/>
            <w:tcBorders>
              <w:bottom w:val="single" w:sz="4" w:space="0" w:color="auto"/>
            </w:tcBorders>
          </w:tcPr>
          <w:p w14:paraId="264A63AF"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99</w:t>
            </w:r>
          </w:p>
        </w:tc>
      </w:tr>
      <w:tr w:rsidR="009A0A63" w:rsidRPr="00792B36" w14:paraId="61BBE372" w14:textId="77777777" w:rsidTr="00A24459">
        <w:trPr>
          <w:trHeight w:val="283"/>
        </w:trPr>
        <w:tc>
          <w:tcPr>
            <w:tcW w:w="1955" w:type="dxa"/>
            <w:tcBorders>
              <w:top w:val="single" w:sz="4" w:space="0" w:color="auto"/>
              <w:bottom w:val="single" w:sz="4" w:space="0" w:color="auto"/>
            </w:tcBorders>
            <w:vAlign w:val="center"/>
          </w:tcPr>
          <w:p w14:paraId="1A637B6E" w14:textId="77777777" w:rsidR="009A0A63" w:rsidRPr="00792B36" w:rsidRDefault="009A0A63" w:rsidP="00A24459">
            <w:pPr>
              <w:rPr>
                <w:rFonts w:eastAsia="Times New Roman"/>
                <w:color w:val="000000"/>
                <w:sz w:val="24"/>
                <w:szCs w:val="24"/>
              </w:rPr>
            </w:pPr>
            <w:r w:rsidRPr="00792B36">
              <w:rPr>
                <w:rFonts w:eastAsia="Times New Roman"/>
                <w:color w:val="000000"/>
                <w:sz w:val="24"/>
                <w:szCs w:val="24"/>
              </w:rPr>
              <w:t>Total</w:t>
            </w:r>
          </w:p>
        </w:tc>
        <w:tc>
          <w:tcPr>
            <w:tcW w:w="1077" w:type="dxa"/>
            <w:tcBorders>
              <w:top w:val="single" w:sz="4" w:space="0" w:color="auto"/>
              <w:bottom w:val="single" w:sz="4" w:space="0" w:color="auto"/>
            </w:tcBorders>
            <w:vAlign w:val="center"/>
          </w:tcPr>
          <w:p w14:paraId="7582DB96" w14:textId="77777777" w:rsidR="009A0A63" w:rsidRPr="00792B36" w:rsidRDefault="009A0A63" w:rsidP="00A24459">
            <w:pPr>
              <w:jc w:val="center"/>
              <w:rPr>
                <w:sz w:val="24"/>
                <w:szCs w:val="24"/>
              </w:rPr>
            </w:pPr>
            <w:r w:rsidRPr="00792B36">
              <w:rPr>
                <w:rFonts w:eastAsia="Times New Roman"/>
                <w:color w:val="000000"/>
                <w:sz w:val="24"/>
                <w:szCs w:val="24"/>
              </w:rPr>
              <w:t>481,270</w:t>
            </w:r>
          </w:p>
        </w:tc>
        <w:tc>
          <w:tcPr>
            <w:tcW w:w="1077" w:type="dxa"/>
            <w:tcBorders>
              <w:top w:val="single" w:sz="4" w:space="0" w:color="auto"/>
              <w:bottom w:val="single" w:sz="4" w:space="0" w:color="auto"/>
            </w:tcBorders>
            <w:vAlign w:val="center"/>
          </w:tcPr>
          <w:p w14:paraId="382F0546" w14:textId="77777777" w:rsidR="009A0A63" w:rsidRPr="00792B36" w:rsidRDefault="009A0A63" w:rsidP="00A24459">
            <w:pPr>
              <w:jc w:val="center"/>
              <w:rPr>
                <w:sz w:val="24"/>
                <w:szCs w:val="24"/>
              </w:rPr>
            </w:pPr>
            <w:r w:rsidRPr="00792B36">
              <w:rPr>
                <w:sz w:val="24"/>
                <w:szCs w:val="24"/>
              </w:rPr>
              <w:t>784,541</w:t>
            </w:r>
          </w:p>
        </w:tc>
        <w:tc>
          <w:tcPr>
            <w:tcW w:w="1077" w:type="dxa"/>
            <w:tcBorders>
              <w:top w:val="single" w:sz="4" w:space="0" w:color="auto"/>
              <w:bottom w:val="single" w:sz="4" w:space="0" w:color="auto"/>
            </w:tcBorders>
            <w:vAlign w:val="center"/>
          </w:tcPr>
          <w:p w14:paraId="7EEA2AF6" w14:textId="77777777" w:rsidR="009A0A63" w:rsidRPr="00792B36" w:rsidRDefault="009A0A63" w:rsidP="00A24459">
            <w:pPr>
              <w:jc w:val="center"/>
              <w:rPr>
                <w:sz w:val="24"/>
                <w:szCs w:val="24"/>
              </w:rPr>
            </w:pPr>
            <w:r w:rsidRPr="00792B36">
              <w:rPr>
                <w:rFonts w:eastAsia="Times New Roman"/>
                <w:color w:val="000000"/>
                <w:sz w:val="24"/>
                <w:szCs w:val="24"/>
              </w:rPr>
              <w:t>944,753</w:t>
            </w:r>
          </w:p>
        </w:tc>
        <w:tc>
          <w:tcPr>
            <w:tcW w:w="1077" w:type="dxa"/>
            <w:tcBorders>
              <w:top w:val="single" w:sz="4" w:space="0" w:color="auto"/>
              <w:bottom w:val="single" w:sz="4" w:space="0" w:color="auto"/>
            </w:tcBorders>
            <w:vAlign w:val="center"/>
          </w:tcPr>
          <w:p w14:paraId="787F2C14" w14:textId="77777777" w:rsidR="009A0A63" w:rsidRPr="00792B36" w:rsidRDefault="009A0A63" w:rsidP="00A24459">
            <w:pPr>
              <w:jc w:val="center"/>
              <w:rPr>
                <w:sz w:val="24"/>
                <w:szCs w:val="24"/>
              </w:rPr>
            </w:pPr>
            <w:r w:rsidRPr="00792B36">
              <w:rPr>
                <w:rFonts w:eastAsia="Times New Roman"/>
                <w:color w:val="000000"/>
                <w:sz w:val="24"/>
                <w:szCs w:val="24"/>
              </w:rPr>
              <w:t>728,465</w:t>
            </w:r>
          </w:p>
        </w:tc>
        <w:tc>
          <w:tcPr>
            <w:tcW w:w="1077" w:type="dxa"/>
            <w:tcBorders>
              <w:top w:val="single" w:sz="4" w:space="0" w:color="auto"/>
              <w:bottom w:val="single" w:sz="4" w:space="0" w:color="auto"/>
            </w:tcBorders>
            <w:vAlign w:val="center"/>
          </w:tcPr>
          <w:p w14:paraId="41CB001D" w14:textId="77777777" w:rsidR="009A0A63" w:rsidRPr="00792B36" w:rsidRDefault="009A0A63" w:rsidP="00A24459">
            <w:pPr>
              <w:jc w:val="center"/>
              <w:rPr>
                <w:sz w:val="24"/>
                <w:szCs w:val="24"/>
              </w:rPr>
            </w:pPr>
            <w:r w:rsidRPr="00792B36">
              <w:rPr>
                <w:rFonts w:eastAsia="Times New Roman"/>
                <w:color w:val="000000"/>
                <w:sz w:val="24"/>
                <w:szCs w:val="24"/>
              </w:rPr>
              <w:t>914,303</w:t>
            </w:r>
          </w:p>
        </w:tc>
        <w:tc>
          <w:tcPr>
            <w:tcW w:w="1077" w:type="dxa"/>
            <w:tcBorders>
              <w:top w:val="single" w:sz="4" w:space="0" w:color="auto"/>
              <w:bottom w:val="single" w:sz="4" w:space="0" w:color="auto"/>
            </w:tcBorders>
            <w:vAlign w:val="center"/>
          </w:tcPr>
          <w:p w14:paraId="23D03453" w14:textId="77777777" w:rsidR="009A0A63" w:rsidRPr="00792B36" w:rsidRDefault="009A0A63" w:rsidP="00A24459">
            <w:pPr>
              <w:ind w:hanging="73"/>
              <w:jc w:val="center"/>
              <w:rPr>
                <w:sz w:val="24"/>
                <w:szCs w:val="24"/>
              </w:rPr>
            </w:pPr>
            <w:r w:rsidRPr="00792B36">
              <w:rPr>
                <w:rFonts w:eastAsia="Times New Roman"/>
                <w:color w:val="000000"/>
                <w:sz w:val="24"/>
                <w:szCs w:val="24"/>
              </w:rPr>
              <w:t>1,093,699</w:t>
            </w:r>
          </w:p>
        </w:tc>
        <w:tc>
          <w:tcPr>
            <w:tcW w:w="1077" w:type="dxa"/>
            <w:tcBorders>
              <w:top w:val="single" w:sz="4" w:space="0" w:color="auto"/>
              <w:bottom w:val="single" w:sz="4" w:space="0" w:color="auto"/>
            </w:tcBorders>
            <w:vAlign w:val="center"/>
          </w:tcPr>
          <w:p w14:paraId="05741B30" w14:textId="77777777" w:rsidR="009A0A63" w:rsidRPr="00792B36" w:rsidRDefault="009A0A63" w:rsidP="00A24459">
            <w:pPr>
              <w:ind w:hanging="65"/>
              <w:jc w:val="center"/>
              <w:rPr>
                <w:rFonts w:eastAsia="Times New Roman"/>
                <w:color w:val="000000"/>
                <w:sz w:val="24"/>
                <w:szCs w:val="24"/>
              </w:rPr>
            </w:pPr>
            <w:r w:rsidRPr="00792B36">
              <w:rPr>
                <w:rFonts w:eastAsia="Times New Roman"/>
                <w:color w:val="000000"/>
                <w:sz w:val="24"/>
                <w:szCs w:val="24"/>
              </w:rPr>
              <w:t>1,416,544</w:t>
            </w:r>
          </w:p>
        </w:tc>
        <w:tc>
          <w:tcPr>
            <w:tcW w:w="1077" w:type="dxa"/>
            <w:tcBorders>
              <w:top w:val="single" w:sz="4" w:space="0" w:color="auto"/>
              <w:bottom w:val="single" w:sz="4" w:space="0" w:color="auto"/>
            </w:tcBorders>
            <w:vAlign w:val="center"/>
          </w:tcPr>
          <w:p w14:paraId="5243BB68" w14:textId="77777777" w:rsidR="009A0A63" w:rsidRPr="00792B36" w:rsidRDefault="009A0A63" w:rsidP="00A24459">
            <w:pPr>
              <w:ind w:hanging="65"/>
              <w:jc w:val="center"/>
              <w:rPr>
                <w:rFonts w:eastAsia="Times New Roman"/>
                <w:color w:val="000000"/>
                <w:sz w:val="24"/>
                <w:szCs w:val="24"/>
              </w:rPr>
            </w:pPr>
            <w:r w:rsidRPr="00792B36">
              <w:rPr>
                <w:rFonts w:eastAsia="Times New Roman"/>
                <w:color w:val="000000"/>
                <w:spacing w:val="-4"/>
                <w:sz w:val="24"/>
                <w:szCs w:val="24"/>
              </w:rPr>
              <w:t>1,066,549</w:t>
            </w:r>
          </w:p>
        </w:tc>
        <w:tc>
          <w:tcPr>
            <w:tcW w:w="1077" w:type="dxa"/>
            <w:tcBorders>
              <w:top w:val="single" w:sz="4" w:space="0" w:color="auto"/>
              <w:bottom w:val="single" w:sz="4" w:space="0" w:color="auto"/>
            </w:tcBorders>
            <w:vAlign w:val="center"/>
          </w:tcPr>
          <w:p w14:paraId="0B795CC0" w14:textId="77777777" w:rsidR="009A0A63" w:rsidRPr="00792B36" w:rsidRDefault="009A0A63" w:rsidP="00A24459">
            <w:pPr>
              <w:ind w:hanging="65"/>
              <w:jc w:val="center"/>
              <w:rPr>
                <w:rFonts w:eastAsia="Times New Roman"/>
                <w:color w:val="000000"/>
                <w:sz w:val="24"/>
                <w:szCs w:val="24"/>
              </w:rPr>
            </w:pPr>
            <w:r w:rsidRPr="00792B36">
              <w:rPr>
                <w:rFonts w:eastAsia="Times New Roman"/>
                <w:color w:val="000000"/>
                <w:spacing w:val="-4"/>
                <w:sz w:val="24"/>
                <w:szCs w:val="24"/>
              </w:rPr>
              <w:t>1,229,763</w:t>
            </w:r>
          </w:p>
        </w:tc>
        <w:tc>
          <w:tcPr>
            <w:tcW w:w="1077" w:type="dxa"/>
            <w:tcBorders>
              <w:top w:val="single" w:sz="4" w:space="0" w:color="auto"/>
              <w:bottom w:val="single" w:sz="4" w:space="0" w:color="auto"/>
            </w:tcBorders>
            <w:vAlign w:val="center"/>
          </w:tcPr>
          <w:p w14:paraId="49E7EEAB" w14:textId="77777777" w:rsidR="009A0A63" w:rsidRPr="00792B36" w:rsidRDefault="009A0A63" w:rsidP="00A24459">
            <w:pPr>
              <w:ind w:hanging="65"/>
              <w:jc w:val="center"/>
              <w:rPr>
                <w:rFonts w:eastAsia="Times New Roman"/>
                <w:color w:val="000000"/>
                <w:sz w:val="24"/>
                <w:szCs w:val="24"/>
              </w:rPr>
            </w:pPr>
            <w:r w:rsidRPr="00792B36">
              <w:rPr>
                <w:rFonts w:eastAsia="Times New Roman"/>
                <w:color w:val="000000"/>
                <w:spacing w:val="-4"/>
                <w:sz w:val="24"/>
                <w:szCs w:val="24"/>
              </w:rPr>
              <w:t>1,146,826</w:t>
            </w:r>
          </w:p>
        </w:tc>
      </w:tr>
    </w:tbl>
    <w:p w14:paraId="001177A4" w14:textId="77777777" w:rsidR="009A0A63" w:rsidRPr="00792B36" w:rsidRDefault="009A0A63" w:rsidP="009A0A63">
      <w:pPr>
        <w:rPr>
          <w:sz w:val="24"/>
          <w:szCs w:val="24"/>
        </w:rPr>
      </w:pPr>
    </w:p>
    <w:tbl>
      <w:tblPr>
        <w:tblStyle w:val="TableGrid"/>
        <w:tblW w:w="1272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955"/>
        <w:gridCol w:w="1077"/>
        <w:gridCol w:w="1077"/>
        <w:gridCol w:w="1077"/>
        <w:gridCol w:w="1077"/>
        <w:gridCol w:w="1077"/>
        <w:gridCol w:w="1077"/>
        <w:gridCol w:w="1077"/>
        <w:gridCol w:w="1077"/>
        <w:gridCol w:w="1077"/>
        <w:gridCol w:w="1077"/>
      </w:tblGrid>
      <w:tr w:rsidR="009A0A63" w:rsidRPr="00792B36" w14:paraId="4FFC7770" w14:textId="77777777" w:rsidTr="00A24459">
        <w:trPr>
          <w:trHeight w:val="283"/>
        </w:trPr>
        <w:tc>
          <w:tcPr>
            <w:tcW w:w="1955" w:type="dxa"/>
            <w:tcBorders>
              <w:top w:val="single" w:sz="4" w:space="0" w:color="auto"/>
              <w:bottom w:val="single" w:sz="4" w:space="0" w:color="auto"/>
            </w:tcBorders>
            <w:vAlign w:val="center"/>
          </w:tcPr>
          <w:p w14:paraId="39277F48" w14:textId="77777777" w:rsidR="009A0A63" w:rsidRPr="00792B36" w:rsidRDefault="009A0A63" w:rsidP="00A24459">
            <w:pPr>
              <w:jc w:val="center"/>
              <w:rPr>
                <w:b/>
                <w:bCs/>
                <w:sz w:val="24"/>
                <w:szCs w:val="24"/>
              </w:rPr>
            </w:pPr>
            <w:r w:rsidRPr="00792B36">
              <w:rPr>
                <w:rFonts w:eastAsia="Times New Roman"/>
                <w:b/>
                <w:bCs/>
                <w:color w:val="000000"/>
                <w:sz w:val="24"/>
                <w:szCs w:val="24"/>
              </w:rPr>
              <w:t>Species groups</w:t>
            </w:r>
          </w:p>
        </w:tc>
        <w:tc>
          <w:tcPr>
            <w:tcW w:w="1077" w:type="dxa"/>
            <w:tcBorders>
              <w:top w:val="single" w:sz="4" w:space="0" w:color="auto"/>
              <w:bottom w:val="single" w:sz="4" w:space="0" w:color="auto"/>
            </w:tcBorders>
          </w:tcPr>
          <w:p w14:paraId="3B4AC98B" w14:textId="77777777" w:rsidR="009A0A63" w:rsidRPr="00792B36" w:rsidRDefault="009A0A63" w:rsidP="00A24459">
            <w:pPr>
              <w:jc w:val="center"/>
              <w:rPr>
                <w:b/>
                <w:bCs/>
                <w:sz w:val="24"/>
                <w:szCs w:val="24"/>
              </w:rPr>
            </w:pPr>
            <w:r w:rsidRPr="00792B36">
              <w:rPr>
                <w:b/>
                <w:bCs/>
                <w:sz w:val="24"/>
                <w:szCs w:val="24"/>
              </w:rPr>
              <w:t>1981</w:t>
            </w:r>
          </w:p>
        </w:tc>
        <w:tc>
          <w:tcPr>
            <w:tcW w:w="1077" w:type="dxa"/>
            <w:tcBorders>
              <w:top w:val="single" w:sz="4" w:space="0" w:color="auto"/>
              <w:bottom w:val="single" w:sz="4" w:space="0" w:color="auto"/>
            </w:tcBorders>
            <w:vAlign w:val="center"/>
          </w:tcPr>
          <w:p w14:paraId="3F22BF8C" w14:textId="77777777" w:rsidR="009A0A63" w:rsidRPr="00792B36" w:rsidRDefault="009A0A63" w:rsidP="00A24459">
            <w:pPr>
              <w:jc w:val="center"/>
              <w:rPr>
                <w:b/>
                <w:bCs/>
                <w:sz w:val="24"/>
                <w:szCs w:val="24"/>
              </w:rPr>
            </w:pPr>
            <w:r w:rsidRPr="00792B36">
              <w:rPr>
                <w:b/>
                <w:bCs/>
                <w:sz w:val="24"/>
                <w:szCs w:val="24"/>
              </w:rPr>
              <w:t>1982</w:t>
            </w:r>
          </w:p>
        </w:tc>
        <w:tc>
          <w:tcPr>
            <w:tcW w:w="1077" w:type="dxa"/>
            <w:tcBorders>
              <w:top w:val="single" w:sz="4" w:space="0" w:color="auto"/>
              <w:bottom w:val="single" w:sz="4" w:space="0" w:color="auto"/>
            </w:tcBorders>
            <w:vAlign w:val="center"/>
          </w:tcPr>
          <w:p w14:paraId="331B46D6" w14:textId="77777777" w:rsidR="009A0A63" w:rsidRPr="00792B36" w:rsidRDefault="009A0A63" w:rsidP="00A24459">
            <w:pPr>
              <w:jc w:val="center"/>
              <w:rPr>
                <w:b/>
                <w:bCs/>
                <w:sz w:val="24"/>
                <w:szCs w:val="24"/>
              </w:rPr>
            </w:pPr>
            <w:r w:rsidRPr="00792B36">
              <w:rPr>
                <w:b/>
                <w:bCs/>
                <w:sz w:val="24"/>
                <w:szCs w:val="24"/>
              </w:rPr>
              <w:t>1983</w:t>
            </w:r>
          </w:p>
        </w:tc>
        <w:tc>
          <w:tcPr>
            <w:tcW w:w="1077" w:type="dxa"/>
            <w:tcBorders>
              <w:top w:val="single" w:sz="4" w:space="0" w:color="auto"/>
              <w:bottom w:val="single" w:sz="4" w:space="0" w:color="auto"/>
            </w:tcBorders>
            <w:vAlign w:val="center"/>
          </w:tcPr>
          <w:p w14:paraId="38794593" w14:textId="77777777" w:rsidR="009A0A63" w:rsidRPr="00792B36" w:rsidRDefault="009A0A63" w:rsidP="00A24459">
            <w:pPr>
              <w:jc w:val="center"/>
              <w:rPr>
                <w:rFonts w:eastAsia="Times New Roman"/>
                <w:b/>
                <w:bCs/>
                <w:color w:val="000000"/>
                <w:sz w:val="24"/>
                <w:szCs w:val="24"/>
              </w:rPr>
            </w:pPr>
            <w:r w:rsidRPr="00792B36">
              <w:rPr>
                <w:b/>
                <w:bCs/>
                <w:sz w:val="24"/>
                <w:szCs w:val="24"/>
              </w:rPr>
              <w:t>1984</w:t>
            </w:r>
          </w:p>
        </w:tc>
        <w:tc>
          <w:tcPr>
            <w:tcW w:w="1077" w:type="dxa"/>
            <w:tcBorders>
              <w:top w:val="single" w:sz="4" w:space="0" w:color="auto"/>
              <w:bottom w:val="single" w:sz="4" w:space="0" w:color="auto"/>
            </w:tcBorders>
            <w:vAlign w:val="center"/>
          </w:tcPr>
          <w:p w14:paraId="1F6EFD55" w14:textId="77777777" w:rsidR="009A0A63" w:rsidRPr="00792B36" w:rsidRDefault="009A0A63" w:rsidP="00A24459">
            <w:pPr>
              <w:jc w:val="center"/>
              <w:rPr>
                <w:b/>
                <w:bCs/>
                <w:sz w:val="24"/>
                <w:szCs w:val="24"/>
              </w:rPr>
            </w:pPr>
            <w:r w:rsidRPr="00792B36">
              <w:rPr>
                <w:b/>
                <w:bCs/>
                <w:sz w:val="24"/>
                <w:szCs w:val="24"/>
              </w:rPr>
              <w:t>1985</w:t>
            </w:r>
          </w:p>
        </w:tc>
        <w:tc>
          <w:tcPr>
            <w:tcW w:w="1077" w:type="dxa"/>
            <w:tcBorders>
              <w:top w:val="single" w:sz="4" w:space="0" w:color="auto"/>
              <w:bottom w:val="single" w:sz="4" w:space="0" w:color="auto"/>
            </w:tcBorders>
            <w:vAlign w:val="center"/>
          </w:tcPr>
          <w:p w14:paraId="7FF9730D" w14:textId="77777777" w:rsidR="009A0A63" w:rsidRPr="00792B36" w:rsidRDefault="009A0A63" w:rsidP="00A24459">
            <w:pPr>
              <w:jc w:val="center"/>
              <w:rPr>
                <w:b/>
                <w:bCs/>
                <w:sz w:val="24"/>
                <w:szCs w:val="24"/>
              </w:rPr>
            </w:pPr>
            <w:r w:rsidRPr="00792B36">
              <w:rPr>
                <w:b/>
                <w:bCs/>
                <w:sz w:val="24"/>
                <w:szCs w:val="24"/>
              </w:rPr>
              <w:t>1986</w:t>
            </w:r>
          </w:p>
        </w:tc>
        <w:tc>
          <w:tcPr>
            <w:tcW w:w="1077" w:type="dxa"/>
            <w:tcBorders>
              <w:top w:val="single" w:sz="4" w:space="0" w:color="auto"/>
              <w:bottom w:val="single" w:sz="4" w:space="0" w:color="auto"/>
            </w:tcBorders>
            <w:vAlign w:val="center"/>
          </w:tcPr>
          <w:p w14:paraId="1FBFBD60" w14:textId="77777777" w:rsidR="009A0A63" w:rsidRPr="00792B36" w:rsidRDefault="009A0A63" w:rsidP="00A24459">
            <w:pPr>
              <w:jc w:val="center"/>
              <w:rPr>
                <w:b/>
                <w:bCs/>
                <w:sz w:val="24"/>
                <w:szCs w:val="24"/>
              </w:rPr>
            </w:pPr>
            <w:r w:rsidRPr="00792B36">
              <w:rPr>
                <w:b/>
                <w:bCs/>
                <w:sz w:val="24"/>
                <w:szCs w:val="24"/>
              </w:rPr>
              <w:t>1987</w:t>
            </w:r>
          </w:p>
        </w:tc>
        <w:tc>
          <w:tcPr>
            <w:tcW w:w="1077" w:type="dxa"/>
            <w:tcBorders>
              <w:top w:val="single" w:sz="4" w:space="0" w:color="auto"/>
              <w:bottom w:val="single" w:sz="4" w:space="0" w:color="auto"/>
            </w:tcBorders>
            <w:vAlign w:val="center"/>
          </w:tcPr>
          <w:p w14:paraId="19D0C4E6" w14:textId="77777777" w:rsidR="009A0A63" w:rsidRPr="00792B36" w:rsidRDefault="009A0A63" w:rsidP="00A24459">
            <w:pPr>
              <w:jc w:val="center"/>
              <w:rPr>
                <w:b/>
                <w:bCs/>
                <w:sz w:val="24"/>
                <w:szCs w:val="24"/>
              </w:rPr>
            </w:pPr>
            <w:r w:rsidRPr="00792B36">
              <w:rPr>
                <w:b/>
                <w:bCs/>
                <w:sz w:val="24"/>
                <w:szCs w:val="24"/>
              </w:rPr>
              <w:t>1988</w:t>
            </w:r>
          </w:p>
        </w:tc>
        <w:tc>
          <w:tcPr>
            <w:tcW w:w="1077" w:type="dxa"/>
            <w:tcBorders>
              <w:top w:val="single" w:sz="4" w:space="0" w:color="auto"/>
              <w:bottom w:val="single" w:sz="4" w:space="0" w:color="auto"/>
            </w:tcBorders>
            <w:vAlign w:val="center"/>
          </w:tcPr>
          <w:p w14:paraId="791E67CB" w14:textId="77777777" w:rsidR="009A0A63" w:rsidRPr="00792B36" w:rsidRDefault="009A0A63" w:rsidP="00A24459">
            <w:pPr>
              <w:jc w:val="center"/>
              <w:rPr>
                <w:b/>
                <w:bCs/>
                <w:sz w:val="24"/>
                <w:szCs w:val="24"/>
              </w:rPr>
            </w:pPr>
            <w:r w:rsidRPr="00792B36">
              <w:rPr>
                <w:b/>
                <w:bCs/>
                <w:sz w:val="24"/>
                <w:szCs w:val="24"/>
              </w:rPr>
              <w:t>1989</w:t>
            </w:r>
          </w:p>
        </w:tc>
        <w:tc>
          <w:tcPr>
            <w:tcW w:w="1077" w:type="dxa"/>
            <w:tcBorders>
              <w:top w:val="single" w:sz="4" w:space="0" w:color="auto"/>
              <w:bottom w:val="single" w:sz="4" w:space="0" w:color="auto"/>
            </w:tcBorders>
            <w:vAlign w:val="center"/>
          </w:tcPr>
          <w:p w14:paraId="1E80D873" w14:textId="77777777" w:rsidR="009A0A63" w:rsidRPr="00792B36" w:rsidRDefault="009A0A63" w:rsidP="00A24459">
            <w:pPr>
              <w:jc w:val="center"/>
              <w:rPr>
                <w:b/>
                <w:bCs/>
                <w:sz w:val="24"/>
                <w:szCs w:val="24"/>
              </w:rPr>
            </w:pPr>
            <w:r w:rsidRPr="00792B36">
              <w:rPr>
                <w:b/>
                <w:bCs/>
                <w:sz w:val="24"/>
                <w:szCs w:val="24"/>
              </w:rPr>
              <w:t>1990</w:t>
            </w:r>
          </w:p>
        </w:tc>
      </w:tr>
      <w:tr w:rsidR="009A0A63" w:rsidRPr="00792B36" w14:paraId="6CCCAB5A" w14:textId="77777777" w:rsidTr="00A24459">
        <w:trPr>
          <w:trHeight w:val="283"/>
        </w:trPr>
        <w:tc>
          <w:tcPr>
            <w:tcW w:w="1955" w:type="dxa"/>
            <w:tcBorders>
              <w:top w:val="single" w:sz="4" w:space="0" w:color="auto"/>
            </w:tcBorders>
            <w:vAlign w:val="center"/>
          </w:tcPr>
          <w:p w14:paraId="237EDE5A" w14:textId="77777777" w:rsidR="009A0A63" w:rsidRPr="00792B36" w:rsidRDefault="009A0A63" w:rsidP="00A24459">
            <w:pPr>
              <w:rPr>
                <w:sz w:val="24"/>
                <w:szCs w:val="24"/>
              </w:rPr>
            </w:pPr>
            <w:r w:rsidRPr="00792B36">
              <w:rPr>
                <w:rFonts w:eastAsia="Times New Roman"/>
                <w:color w:val="000000"/>
                <w:sz w:val="24"/>
                <w:szCs w:val="24"/>
              </w:rPr>
              <w:t>Demersal fishes</w:t>
            </w:r>
          </w:p>
        </w:tc>
        <w:tc>
          <w:tcPr>
            <w:tcW w:w="1077" w:type="dxa"/>
            <w:tcBorders>
              <w:top w:val="single" w:sz="4" w:space="0" w:color="auto"/>
            </w:tcBorders>
          </w:tcPr>
          <w:p w14:paraId="5524F44B" w14:textId="77777777" w:rsidR="009A0A63" w:rsidRPr="00792B36" w:rsidRDefault="009A0A63" w:rsidP="00A24459">
            <w:pPr>
              <w:jc w:val="center"/>
              <w:rPr>
                <w:sz w:val="24"/>
                <w:szCs w:val="24"/>
              </w:rPr>
            </w:pPr>
            <w:r w:rsidRPr="00792B36">
              <w:rPr>
                <w:sz w:val="24"/>
                <w:szCs w:val="24"/>
              </w:rPr>
              <w:t>733,458</w:t>
            </w:r>
          </w:p>
        </w:tc>
        <w:tc>
          <w:tcPr>
            <w:tcW w:w="1077" w:type="dxa"/>
            <w:tcBorders>
              <w:top w:val="single" w:sz="4" w:space="0" w:color="auto"/>
            </w:tcBorders>
          </w:tcPr>
          <w:p w14:paraId="05BCB3AC" w14:textId="77777777" w:rsidR="009A0A63" w:rsidRPr="00792B36" w:rsidRDefault="009A0A63" w:rsidP="00A24459">
            <w:pPr>
              <w:jc w:val="center"/>
              <w:rPr>
                <w:sz w:val="24"/>
                <w:szCs w:val="24"/>
              </w:rPr>
            </w:pPr>
            <w:r w:rsidRPr="00792B36">
              <w:rPr>
                <w:sz w:val="24"/>
                <w:szCs w:val="24"/>
              </w:rPr>
              <w:t>747,424</w:t>
            </w:r>
          </w:p>
        </w:tc>
        <w:tc>
          <w:tcPr>
            <w:tcW w:w="1077" w:type="dxa"/>
            <w:tcBorders>
              <w:top w:val="single" w:sz="4" w:space="0" w:color="auto"/>
            </w:tcBorders>
          </w:tcPr>
          <w:p w14:paraId="33457978" w14:textId="77777777" w:rsidR="009A0A63" w:rsidRPr="00792B36" w:rsidRDefault="009A0A63" w:rsidP="00A24459">
            <w:pPr>
              <w:jc w:val="center"/>
              <w:rPr>
                <w:sz w:val="24"/>
                <w:szCs w:val="24"/>
              </w:rPr>
            </w:pPr>
            <w:r w:rsidRPr="00792B36">
              <w:rPr>
                <w:sz w:val="24"/>
                <w:szCs w:val="24"/>
              </w:rPr>
              <w:t>681,064</w:t>
            </w:r>
          </w:p>
        </w:tc>
        <w:tc>
          <w:tcPr>
            <w:tcW w:w="1077" w:type="dxa"/>
            <w:tcBorders>
              <w:top w:val="single" w:sz="4" w:space="0" w:color="auto"/>
            </w:tcBorders>
          </w:tcPr>
          <w:p w14:paraId="0B51BBFA" w14:textId="77777777" w:rsidR="009A0A63" w:rsidRPr="00792B36" w:rsidRDefault="009A0A63" w:rsidP="00A24459">
            <w:pPr>
              <w:jc w:val="center"/>
              <w:rPr>
                <w:rFonts w:eastAsia="Times New Roman"/>
                <w:color w:val="000000"/>
                <w:sz w:val="24"/>
                <w:szCs w:val="24"/>
              </w:rPr>
            </w:pPr>
            <w:r w:rsidRPr="00792B36">
              <w:rPr>
                <w:sz w:val="24"/>
                <w:szCs w:val="24"/>
              </w:rPr>
              <w:t>635,445</w:t>
            </w:r>
          </w:p>
        </w:tc>
        <w:tc>
          <w:tcPr>
            <w:tcW w:w="1077" w:type="dxa"/>
            <w:tcBorders>
              <w:top w:val="single" w:sz="4" w:space="0" w:color="auto"/>
            </w:tcBorders>
          </w:tcPr>
          <w:p w14:paraId="59A50EF4" w14:textId="77777777" w:rsidR="009A0A63" w:rsidRPr="00792B36" w:rsidRDefault="009A0A63" w:rsidP="00A24459">
            <w:pPr>
              <w:jc w:val="center"/>
              <w:rPr>
                <w:sz w:val="24"/>
                <w:szCs w:val="24"/>
              </w:rPr>
            </w:pPr>
            <w:r w:rsidRPr="00792B36">
              <w:rPr>
                <w:sz w:val="24"/>
                <w:szCs w:val="24"/>
              </w:rPr>
              <w:t>643,515</w:t>
            </w:r>
          </w:p>
        </w:tc>
        <w:tc>
          <w:tcPr>
            <w:tcW w:w="1077" w:type="dxa"/>
            <w:tcBorders>
              <w:top w:val="single" w:sz="4" w:space="0" w:color="auto"/>
            </w:tcBorders>
          </w:tcPr>
          <w:p w14:paraId="2C3B9C21" w14:textId="77777777" w:rsidR="009A0A63" w:rsidRPr="00792B36" w:rsidRDefault="009A0A63" w:rsidP="00A24459">
            <w:pPr>
              <w:jc w:val="center"/>
              <w:rPr>
                <w:sz w:val="24"/>
                <w:szCs w:val="24"/>
              </w:rPr>
            </w:pPr>
            <w:r w:rsidRPr="00792B36">
              <w:rPr>
                <w:sz w:val="24"/>
                <w:szCs w:val="24"/>
              </w:rPr>
              <w:t>740,527</w:t>
            </w:r>
          </w:p>
        </w:tc>
        <w:tc>
          <w:tcPr>
            <w:tcW w:w="1077" w:type="dxa"/>
            <w:tcBorders>
              <w:top w:val="single" w:sz="4" w:space="0" w:color="auto"/>
            </w:tcBorders>
          </w:tcPr>
          <w:p w14:paraId="05E170A3" w14:textId="77777777" w:rsidR="009A0A63" w:rsidRPr="00792B36" w:rsidRDefault="009A0A63" w:rsidP="00A24459">
            <w:pPr>
              <w:jc w:val="center"/>
              <w:rPr>
                <w:sz w:val="24"/>
                <w:szCs w:val="24"/>
              </w:rPr>
            </w:pPr>
            <w:r w:rsidRPr="00792B36">
              <w:rPr>
                <w:sz w:val="24"/>
                <w:szCs w:val="24"/>
              </w:rPr>
              <w:t>893,374</w:t>
            </w:r>
          </w:p>
        </w:tc>
        <w:tc>
          <w:tcPr>
            <w:tcW w:w="1077" w:type="dxa"/>
            <w:tcBorders>
              <w:top w:val="single" w:sz="4" w:space="0" w:color="auto"/>
            </w:tcBorders>
          </w:tcPr>
          <w:p w14:paraId="34AADE1B" w14:textId="77777777" w:rsidR="009A0A63" w:rsidRPr="00792B36" w:rsidRDefault="009A0A63" w:rsidP="00A24459">
            <w:pPr>
              <w:jc w:val="center"/>
              <w:rPr>
                <w:sz w:val="24"/>
                <w:szCs w:val="24"/>
              </w:rPr>
            </w:pPr>
            <w:r w:rsidRPr="00792B36">
              <w:rPr>
                <w:sz w:val="24"/>
                <w:szCs w:val="24"/>
              </w:rPr>
              <w:t>816,404</w:t>
            </w:r>
          </w:p>
        </w:tc>
        <w:tc>
          <w:tcPr>
            <w:tcW w:w="1077" w:type="dxa"/>
            <w:tcBorders>
              <w:top w:val="single" w:sz="4" w:space="0" w:color="auto"/>
            </w:tcBorders>
          </w:tcPr>
          <w:p w14:paraId="1A1770D3" w14:textId="77777777" w:rsidR="009A0A63" w:rsidRPr="00792B36" w:rsidRDefault="009A0A63" w:rsidP="00A24459">
            <w:pPr>
              <w:jc w:val="center"/>
              <w:rPr>
                <w:sz w:val="24"/>
                <w:szCs w:val="24"/>
              </w:rPr>
            </w:pPr>
            <w:r w:rsidRPr="00792B36">
              <w:rPr>
                <w:sz w:val="24"/>
                <w:szCs w:val="24"/>
              </w:rPr>
              <w:t>802,170</w:t>
            </w:r>
          </w:p>
        </w:tc>
        <w:tc>
          <w:tcPr>
            <w:tcW w:w="1077" w:type="dxa"/>
            <w:tcBorders>
              <w:top w:val="single" w:sz="4" w:space="0" w:color="auto"/>
            </w:tcBorders>
          </w:tcPr>
          <w:p w14:paraId="10501F47" w14:textId="77777777" w:rsidR="009A0A63" w:rsidRPr="00792B36" w:rsidRDefault="009A0A63" w:rsidP="00A24459">
            <w:pPr>
              <w:jc w:val="center"/>
              <w:rPr>
                <w:sz w:val="24"/>
                <w:szCs w:val="24"/>
              </w:rPr>
            </w:pPr>
            <w:r w:rsidRPr="00792B36">
              <w:rPr>
                <w:sz w:val="24"/>
                <w:szCs w:val="24"/>
              </w:rPr>
              <w:t>811,487</w:t>
            </w:r>
          </w:p>
        </w:tc>
      </w:tr>
      <w:tr w:rsidR="009A0A63" w:rsidRPr="00792B36" w14:paraId="374F70D6" w14:textId="77777777" w:rsidTr="00A24459">
        <w:trPr>
          <w:trHeight w:val="283"/>
        </w:trPr>
        <w:tc>
          <w:tcPr>
            <w:tcW w:w="1955" w:type="dxa"/>
            <w:vAlign w:val="center"/>
          </w:tcPr>
          <w:p w14:paraId="02D67D42" w14:textId="77777777" w:rsidR="009A0A63" w:rsidRPr="00792B36" w:rsidRDefault="009A0A63" w:rsidP="00A24459">
            <w:pPr>
              <w:rPr>
                <w:sz w:val="24"/>
                <w:szCs w:val="24"/>
              </w:rPr>
            </w:pPr>
            <w:r w:rsidRPr="00792B36">
              <w:rPr>
                <w:rFonts w:eastAsia="Times New Roman"/>
                <w:color w:val="000000"/>
                <w:sz w:val="24"/>
                <w:szCs w:val="24"/>
              </w:rPr>
              <w:t>Pelagic fishes</w:t>
            </w:r>
          </w:p>
        </w:tc>
        <w:tc>
          <w:tcPr>
            <w:tcW w:w="1077" w:type="dxa"/>
          </w:tcPr>
          <w:p w14:paraId="798FED1E" w14:textId="77777777" w:rsidR="009A0A63" w:rsidRPr="00792B36" w:rsidRDefault="009A0A63" w:rsidP="00A24459">
            <w:pPr>
              <w:jc w:val="center"/>
              <w:rPr>
                <w:sz w:val="24"/>
                <w:szCs w:val="24"/>
              </w:rPr>
            </w:pPr>
            <w:r w:rsidRPr="00792B36">
              <w:rPr>
                <w:sz w:val="24"/>
                <w:szCs w:val="24"/>
              </w:rPr>
              <w:t>307,374</w:t>
            </w:r>
          </w:p>
        </w:tc>
        <w:tc>
          <w:tcPr>
            <w:tcW w:w="1077" w:type="dxa"/>
          </w:tcPr>
          <w:p w14:paraId="2188952F" w14:textId="77777777" w:rsidR="009A0A63" w:rsidRPr="00792B36" w:rsidRDefault="009A0A63" w:rsidP="00A24459">
            <w:pPr>
              <w:jc w:val="center"/>
              <w:rPr>
                <w:sz w:val="24"/>
                <w:szCs w:val="24"/>
              </w:rPr>
            </w:pPr>
            <w:r w:rsidRPr="00792B36">
              <w:rPr>
                <w:sz w:val="24"/>
                <w:szCs w:val="24"/>
              </w:rPr>
              <w:t>267,679</w:t>
            </w:r>
          </w:p>
        </w:tc>
        <w:tc>
          <w:tcPr>
            <w:tcW w:w="1077" w:type="dxa"/>
          </w:tcPr>
          <w:p w14:paraId="0FCFEB18" w14:textId="77777777" w:rsidR="009A0A63" w:rsidRPr="00792B36" w:rsidRDefault="009A0A63" w:rsidP="00A24459">
            <w:pPr>
              <w:jc w:val="center"/>
              <w:rPr>
                <w:sz w:val="24"/>
                <w:szCs w:val="24"/>
              </w:rPr>
            </w:pPr>
            <w:r w:rsidRPr="00792B36">
              <w:rPr>
                <w:sz w:val="24"/>
                <w:szCs w:val="24"/>
              </w:rPr>
              <w:t>336,313</w:t>
            </w:r>
          </w:p>
        </w:tc>
        <w:tc>
          <w:tcPr>
            <w:tcW w:w="1077" w:type="dxa"/>
          </w:tcPr>
          <w:p w14:paraId="367AA1FB" w14:textId="77777777" w:rsidR="009A0A63" w:rsidRPr="00792B36" w:rsidRDefault="009A0A63" w:rsidP="00A24459">
            <w:pPr>
              <w:jc w:val="center"/>
              <w:rPr>
                <w:rFonts w:eastAsia="Times New Roman"/>
                <w:color w:val="000000"/>
                <w:sz w:val="24"/>
                <w:szCs w:val="24"/>
              </w:rPr>
            </w:pPr>
            <w:r w:rsidRPr="00792B36">
              <w:rPr>
                <w:sz w:val="24"/>
                <w:szCs w:val="24"/>
              </w:rPr>
              <w:t>381,388</w:t>
            </w:r>
          </w:p>
        </w:tc>
        <w:tc>
          <w:tcPr>
            <w:tcW w:w="1077" w:type="dxa"/>
          </w:tcPr>
          <w:p w14:paraId="19A4DEBF" w14:textId="77777777" w:rsidR="009A0A63" w:rsidRPr="00792B36" w:rsidRDefault="009A0A63" w:rsidP="00A24459">
            <w:pPr>
              <w:jc w:val="center"/>
              <w:rPr>
                <w:sz w:val="24"/>
                <w:szCs w:val="24"/>
              </w:rPr>
            </w:pPr>
            <w:r w:rsidRPr="00792B36">
              <w:rPr>
                <w:sz w:val="24"/>
                <w:szCs w:val="24"/>
              </w:rPr>
              <w:t>398,658</w:t>
            </w:r>
          </w:p>
        </w:tc>
        <w:tc>
          <w:tcPr>
            <w:tcW w:w="1077" w:type="dxa"/>
          </w:tcPr>
          <w:p w14:paraId="65020094" w14:textId="77777777" w:rsidR="009A0A63" w:rsidRPr="00792B36" w:rsidRDefault="009A0A63" w:rsidP="00A24459">
            <w:pPr>
              <w:jc w:val="center"/>
              <w:rPr>
                <w:sz w:val="24"/>
                <w:szCs w:val="24"/>
              </w:rPr>
            </w:pPr>
            <w:r w:rsidRPr="00792B36">
              <w:rPr>
                <w:sz w:val="24"/>
                <w:szCs w:val="24"/>
              </w:rPr>
              <w:t>366,105</w:t>
            </w:r>
          </w:p>
        </w:tc>
        <w:tc>
          <w:tcPr>
            <w:tcW w:w="1077" w:type="dxa"/>
          </w:tcPr>
          <w:p w14:paraId="18DD1AA4" w14:textId="77777777" w:rsidR="009A0A63" w:rsidRPr="00792B36" w:rsidRDefault="009A0A63" w:rsidP="00A24459">
            <w:pPr>
              <w:jc w:val="center"/>
              <w:rPr>
                <w:sz w:val="24"/>
                <w:szCs w:val="24"/>
              </w:rPr>
            </w:pPr>
            <w:r w:rsidRPr="00792B36">
              <w:rPr>
                <w:sz w:val="24"/>
                <w:szCs w:val="24"/>
              </w:rPr>
              <w:t>367,749</w:t>
            </w:r>
          </w:p>
        </w:tc>
        <w:tc>
          <w:tcPr>
            <w:tcW w:w="1077" w:type="dxa"/>
          </w:tcPr>
          <w:p w14:paraId="7553B621" w14:textId="77777777" w:rsidR="009A0A63" w:rsidRPr="00792B36" w:rsidRDefault="009A0A63" w:rsidP="00A24459">
            <w:pPr>
              <w:jc w:val="center"/>
              <w:rPr>
                <w:sz w:val="24"/>
                <w:szCs w:val="24"/>
              </w:rPr>
            </w:pPr>
            <w:r w:rsidRPr="00792B36">
              <w:rPr>
                <w:sz w:val="24"/>
                <w:szCs w:val="24"/>
              </w:rPr>
              <w:t>359,949</w:t>
            </w:r>
          </w:p>
        </w:tc>
        <w:tc>
          <w:tcPr>
            <w:tcW w:w="1077" w:type="dxa"/>
          </w:tcPr>
          <w:p w14:paraId="277F04CE" w14:textId="77777777" w:rsidR="009A0A63" w:rsidRPr="00792B36" w:rsidRDefault="009A0A63" w:rsidP="00A24459">
            <w:pPr>
              <w:jc w:val="center"/>
              <w:rPr>
                <w:sz w:val="24"/>
                <w:szCs w:val="24"/>
              </w:rPr>
            </w:pPr>
            <w:r w:rsidRPr="00792B36">
              <w:rPr>
                <w:sz w:val="24"/>
                <w:szCs w:val="24"/>
              </w:rPr>
              <w:t>417,305</w:t>
            </w:r>
          </w:p>
        </w:tc>
        <w:tc>
          <w:tcPr>
            <w:tcW w:w="1077" w:type="dxa"/>
          </w:tcPr>
          <w:p w14:paraId="4EE80D34" w14:textId="77777777" w:rsidR="009A0A63" w:rsidRPr="00792B36" w:rsidRDefault="009A0A63" w:rsidP="00A24459">
            <w:pPr>
              <w:jc w:val="center"/>
              <w:rPr>
                <w:sz w:val="24"/>
                <w:szCs w:val="24"/>
              </w:rPr>
            </w:pPr>
            <w:r w:rsidRPr="00792B36">
              <w:rPr>
                <w:sz w:val="24"/>
                <w:szCs w:val="24"/>
              </w:rPr>
              <w:t>379,575</w:t>
            </w:r>
          </w:p>
        </w:tc>
      </w:tr>
      <w:tr w:rsidR="009A0A63" w:rsidRPr="00792B36" w14:paraId="4363D1D7" w14:textId="77777777" w:rsidTr="00A24459">
        <w:trPr>
          <w:trHeight w:val="283"/>
        </w:trPr>
        <w:tc>
          <w:tcPr>
            <w:tcW w:w="1955" w:type="dxa"/>
            <w:vAlign w:val="center"/>
          </w:tcPr>
          <w:p w14:paraId="7DA89FA0" w14:textId="77777777" w:rsidR="009A0A63" w:rsidRPr="00792B36" w:rsidRDefault="009A0A63" w:rsidP="00A24459">
            <w:pPr>
              <w:rPr>
                <w:sz w:val="24"/>
                <w:szCs w:val="24"/>
              </w:rPr>
            </w:pPr>
            <w:r w:rsidRPr="00792B36">
              <w:rPr>
                <w:rFonts w:eastAsia="Times New Roman"/>
                <w:color w:val="000000"/>
                <w:spacing w:val="-4"/>
                <w:sz w:val="24"/>
                <w:szCs w:val="24"/>
              </w:rPr>
              <w:t>Squids, cuttlefishes,</w:t>
            </w:r>
            <w:r w:rsidRPr="00792B36">
              <w:rPr>
                <w:rFonts w:eastAsia="Times New Roman"/>
                <w:color w:val="000000"/>
                <w:sz w:val="24"/>
                <w:szCs w:val="24"/>
              </w:rPr>
              <w:t xml:space="preserve"> Octopus</w:t>
            </w:r>
          </w:p>
        </w:tc>
        <w:tc>
          <w:tcPr>
            <w:tcW w:w="1077" w:type="dxa"/>
          </w:tcPr>
          <w:p w14:paraId="4900ADD1" w14:textId="77777777" w:rsidR="009A0A63" w:rsidRPr="00792B36" w:rsidRDefault="009A0A63" w:rsidP="00A24459">
            <w:pPr>
              <w:jc w:val="center"/>
              <w:rPr>
                <w:sz w:val="24"/>
                <w:szCs w:val="24"/>
              </w:rPr>
            </w:pPr>
            <w:r w:rsidRPr="00792B36">
              <w:rPr>
                <w:sz w:val="24"/>
                <w:szCs w:val="24"/>
              </w:rPr>
              <w:t>56,218</w:t>
            </w:r>
          </w:p>
        </w:tc>
        <w:tc>
          <w:tcPr>
            <w:tcW w:w="1077" w:type="dxa"/>
          </w:tcPr>
          <w:p w14:paraId="3A190BF5" w14:textId="77777777" w:rsidR="009A0A63" w:rsidRPr="00792B36" w:rsidRDefault="009A0A63" w:rsidP="00A24459">
            <w:pPr>
              <w:jc w:val="center"/>
              <w:rPr>
                <w:sz w:val="24"/>
                <w:szCs w:val="24"/>
              </w:rPr>
            </w:pPr>
            <w:r w:rsidRPr="00792B36">
              <w:rPr>
                <w:sz w:val="24"/>
                <w:szCs w:val="24"/>
              </w:rPr>
              <w:t>77,365</w:t>
            </w:r>
          </w:p>
        </w:tc>
        <w:tc>
          <w:tcPr>
            <w:tcW w:w="1077" w:type="dxa"/>
          </w:tcPr>
          <w:p w14:paraId="6DEC9875" w14:textId="77777777" w:rsidR="009A0A63" w:rsidRPr="00792B36" w:rsidRDefault="009A0A63" w:rsidP="00A24459">
            <w:pPr>
              <w:jc w:val="center"/>
              <w:rPr>
                <w:sz w:val="24"/>
                <w:szCs w:val="24"/>
              </w:rPr>
            </w:pPr>
            <w:r w:rsidRPr="00792B36">
              <w:rPr>
                <w:sz w:val="24"/>
                <w:szCs w:val="24"/>
              </w:rPr>
              <w:t>83,044</w:t>
            </w:r>
          </w:p>
        </w:tc>
        <w:tc>
          <w:tcPr>
            <w:tcW w:w="1077" w:type="dxa"/>
          </w:tcPr>
          <w:p w14:paraId="28A1B445" w14:textId="77777777" w:rsidR="009A0A63" w:rsidRPr="00792B36" w:rsidRDefault="009A0A63" w:rsidP="00A24459">
            <w:pPr>
              <w:jc w:val="center"/>
              <w:rPr>
                <w:rFonts w:eastAsia="Times New Roman"/>
                <w:color w:val="000000"/>
                <w:sz w:val="24"/>
                <w:szCs w:val="24"/>
              </w:rPr>
            </w:pPr>
            <w:r w:rsidRPr="00792B36">
              <w:rPr>
                <w:sz w:val="24"/>
                <w:szCs w:val="24"/>
              </w:rPr>
              <w:t>80,114</w:t>
            </w:r>
          </w:p>
        </w:tc>
        <w:tc>
          <w:tcPr>
            <w:tcW w:w="1077" w:type="dxa"/>
          </w:tcPr>
          <w:p w14:paraId="5E8D86F8" w14:textId="77777777" w:rsidR="009A0A63" w:rsidRPr="00792B36" w:rsidRDefault="009A0A63" w:rsidP="00A24459">
            <w:pPr>
              <w:jc w:val="center"/>
              <w:rPr>
                <w:sz w:val="24"/>
                <w:szCs w:val="24"/>
              </w:rPr>
            </w:pPr>
            <w:r w:rsidRPr="00792B36">
              <w:rPr>
                <w:sz w:val="24"/>
                <w:szCs w:val="24"/>
              </w:rPr>
              <w:t>64,936</w:t>
            </w:r>
          </w:p>
        </w:tc>
        <w:tc>
          <w:tcPr>
            <w:tcW w:w="1077" w:type="dxa"/>
          </w:tcPr>
          <w:p w14:paraId="767FB201" w14:textId="77777777" w:rsidR="009A0A63" w:rsidRPr="00792B36" w:rsidRDefault="009A0A63" w:rsidP="00A24459">
            <w:pPr>
              <w:jc w:val="center"/>
              <w:rPr>
                <w:sz w:val="24"/>
                <w:szCs w:val="24"/>
              </w:rPr>
            </w:pPr>
            <w:r w:rsidRPr="00792B36">
              <w:rPr>
                <w:sz w:val="24"/>
                <w:szCs w:val="24"/>
              </w:rPr>
              <w:t>78,733</w:t>
            </w:r>
          </w:p>
        </w:tc>
        <w:tc>
          <w:tcPr>
            <w:tcW w:w="1077" w:type="dxa"/>
          </w:tcPr>
          <w:p w14:paraId="1BDCCF5F" w14:textId="77777777" w:rsidR="009A0A63" w:rsidRPr="00792B36" w:rsidRDefault="009A0A63" w:rsidP="00A24459">
            <w:pPr>
              <w:jc w:val="center"/>
              <w:rPr>
                <w:sz w:val="24"/>
                <w:szCs w:val="24"/>
              </w:rPr>
            </w:pPr>
            <w:r w:rsidRPr="00792B36">
              <w:rPr>
                <w:sz w:val="24"/>
                <w:szCs w:val="24"/>
              </w:rPr>
              <w:t>77,902</w:t>
            </w:r>
          </w:p>
        </w:tc>
        <w:tc>
          <w:tcPr>
            <w:tcW w:w="1077" w:type="dxa"/>
          </w:tcPr>
          <w:p w14:paraId="010C1E7F" w14:textId="77777777" w:rsidR="009A0A63" w:rsidRPr="00792B36" w:rsidRDefault="009A0A63" w:rsidP="00A24459">
            <w:pPr>
              <w:jc w:val="center"/>
              <w:rPr>
                <w:sz w:val="24"/>
                <w:szCs w:val="24"/>
              </w:rPr>
            </w:pPr>
            <w:r w:rsidRPr="00792B36">
              <w:rPr>
                <w:sz w:val="24"/>
                <w:szCs w:val="24"/>
              </w:rPr>
              <w:t>71,641</w:t>
            </w:r>
          </w:p>
        </w:tc>
        <w:tc>
          <w:tcPr>
            <w:tcW w:w="1077" w:type="dxa"/>
          </w:tcPr>
          <w:p w14:paraId="48FA9D57" w14:textId="77777777" w:rsidR="009A0A63" w:rsidRPr="00792B36" w:rsidRDefault="009A0A63" w:rsidP="00A24459">
            <w:pPr>
              <w:jc w:val="center"/>
              <w:rPr>
                <w:sz w:val="24"/>
                <w:szCs w:val="24"/>
              </w:rPr>
            </w:pPr>
            <w:r w:rsidRPr="00792B36">
              <w:rPr>
                <w:sz w:val="24"/>
                <w:szCs w:val="24"/>
              </w:rPr>
              <w:t>112,136</w:t>
            </w:r>
          </w:p>
        </w:tc>
        <w:tc>
          <w:tcPr>
            <w:tcW w:w="1077" w:type="dxa"/>
          </w:tcPr>
          <w:p w14:paraId="5172FD14" w14:textId="77777777" w:rsidR="009A0A63" w:rsidRPr="00792B36" w:rsidRDefault="009A0A63" w:rsidP="00A24459">
            <w:pPr>
              <w:jc w:val="center"/>
              <w:rPr>
                <w:sz w:val="24"/>
                <w:szCs w:val="24"/>
              </w:rPr>
            </w:pPr>
            <w:r w:rsidRPr="00792B36">
              <w:rPr>
                <w:sz w:val="24"/>
                <w:szCs w:val="24"/>
              </w:rPr>
              <w:t>110,389</w:t>
            </w:r>
          </w:p>
        </w:tc>
      </w:tr>
      <w:tr w:rsidR="009A0A63" w:rsidRPr="00792B36" w14:paraId="537EA439" w14:textId="77777777" w:rsidTr="00A24459">
        <w:trPr>
          <w:trHeight w:val="283"/>
        </w:trPr>
        <w:tc>
          <w:tcPr>
            <w:tcW w:w="1955" w:type="dxa"/>
            <w:vAlign w:val="center"/>
          </w:tcPr>
          <w:p w14:paraId="6775FC52" w14:textId="77777777" w:rsidR="009A0A63" w:rsidRPr="00792B36" w:rsidRDefault="009A0A63" w:rsidP="00A24459">
            <w:pPr>
              <w:rPr>
                <w:sz w:val="24"/>
                <w:szCs w:val="24"/>
              </w:rPr>
            </w:pPr>
            <w:r w:rsidRPr="00792B36">
              <w:rPr>
                <w:rFonts w:eastAsia="Times New Roman"/>
                <w:color w:val="000000"/>
                <w:sz w:val="24"/>
                <w:szCs w:val="24"/>
              </w:rPr>
              <w:t xml:space="preserve">Crustaceans </w:t>
            </w:r>
          </w:p>
        </w:tc>
        <w:tc>
          <w:tcPr>
            <w:tcW w:w="1077" w:type="dxa"/>
          </w:tcPr>
          <w:p w14:paraId="345DC01D" w14:textId="77777777" w:rsidR="009A0A63" w:rsidRPr="00792B36" w:rsidRDefault="009A0A63" w:rsidP="00A24459">
            <w:pPr>
              <w:jc w:val="center"/>
              <w:rPr>
                <w:sz w:val="24"/>
                <w:szCs w:val="24"/>
              </w:rPr>
            </w:pPr>
            <w:r w:rsidRPr="00792B36">
              <w:rPr>
                <w:sz w:val="24"/>
                <w:szCs w:val="24"/>
              </w:rPr>
              <w:t>100,16</w:t>
            </w:r>
            <w:r w:rsidRPr="00792B36">
              <w:rPr>
                <w:sz w:val="24"/>
                <w:szCs w:val="24"/>
              </w:rPr>
              <w:lastRenderedPageBreak/>
              <w:t>2</w:t>
            </w:r>
          </w:p>
        </w:tc>
        <w:tc>
          <w:tcPr>
            <w:tcW w:w="1077" w:type="dxa"/>
          </w:tcPr>
          <w:p w14:paraId="0B9FE8B6" w14:textId="77777777" w:rsidR="009A0A63" w:rsidRPr="00792B36" w:rsidRDefault="009A0A63" w:rsidP="00A24459">
            <w:pPr>
              <w:jc w:val="center"/>
              <w:rPr>
                <w:sz w:val="24"/>
                <w:szCs w:val="24"/>
              </w:rPr>
            </w:pPr>
            <w:r w:rsidRPr="00792B36">
              <w:rPr>
                <w:sz w:val="24"/>
                <w:szCs w:val="24"/>
              </w:rPr>
              <w:lastRenderedPageBreak/>
              <w:t>144,70</w:t>
            </w:r>
            <w:r w:rsidRPr="00792B36">
              <w:rPr>
                <w:sz w:val="24"/>
                <w:szCs w:val="24"/>
              </w:rPr>
              <w:lastRenderedPageBreak/>
              <w:t>0</w:t>
            </w:r>
          </w:p>
        </w:tc>
        <w:tc>
          <w:tcPr>
            <w:tcW w:w="1077" w:type="dxa"/>
          </w:tcPr>
          <w:p w14:paraId="10AF4F3C" w14:textId="77777777" w:rsidR="009A0A63" w:rsidRPr="00792B36" w:rsidRDefault="009A0A63" w:rsidP="00A24459">
            <w:pPr>
              <w:jc w:val="center"/>
              <w:rPr>
                <w:sz w:val="24"/>
                <w:szCs w:val="24"/>
              </w:rPr>
            </w:pPr>
            <w:r w:rsidRPr="00792B36">
              <w:rPr>
                <w:sz w:val="24"/>
                <w:szCs w:val="24"/>
              </w:rPr>
              <w:lastRenderedPageBreak/>
              <w:t>110,50</w:t>
            </w:r>
            <w:r w:rsidRPr="00792B36">
              <w:rPr>
                <w:sz w:val="24"/>
                <w:szCs w:val="24"/>
              </w:rPr>
              <w:lastRenderedPageBreak/>
              <w:t>5</w:t>
            </w:r>
          </w:p>
        </w:tc>
        <w:tc>
          <w:tcPr>
            <w:tcW w:w="1077" w:type="dxa"/>
          </w:tcPr>
          <w:p w14:paraId="307F5E5B" w14:textId="77777777" w:rsidR="009A0A63" w:rsidRPr="00792B36" w:rsidRDefault="009A0A63" w:rsidP="00A24459">
            <w:pPr>
              <w:jc w:val="center"/>
              <w:rPr>
                <w:rFonts w:eastAsia="Times New Roman"/>
                <w:color w:val="000000"/>
                <w:sz w:val="24"/>
                <w:szCs w:val="24"/>
              </w:rPr>
            </w:pPr>
            <w:r w:rsidRPr="00792B36">
              <w:rPr>
                <w:sz w:val="24"/>
                <w:szCs w:val="24"/>
              </w:rPr>
              <w:lastRenderedPageBreak/>
              <w:t>86,617</w:t>
            </w:r>
          </w:p>
        </w:tc>
        <w:tc>
          <w:tcPr>
            <w:tcW w:w="1077" w:type="dxa"/>
          </w:tcPr>
          <w:p w14:paraId="21538D52" w14:textId="77777777" w:rsidR="009A0A63" w:rsidRPr="00792B36" w:rsidRDefault="009A0A63" w:rsidP="00A24459">
            <w:pPr>
              <w:jc w:val="center"/>
              <w:rPr>
                <w:sz w:val="24"/>
                <w:szCs w:val="24"/>
              </w:rPr>
            </w:pPr>
            <w:r w:rsidRPr="00792B36">
              <w:rPr>
                <w:sz w:val="24"/>
                <w:szCs w:val="24"/>
              </w:rPr>
              <w:t>74,651</w:t>
            </w:r>
          </w:p>
        </w:tc>
        <w:tc>
          <w:tcPr>
            <w:tcW w:w="1077" w:type="dxa"/>
          </w:tcPr>
          <w:p w14:paraId="1D61487A" w14:textId="77777777" w:rsidR="009A0A63" w:rsidRPr="00792B36" w:rsidRDefault="009A0A63" w:rsidP="00A24459">
            <w:pPr>
              <w:jc w:val="center"/>
              <w:rPr>
                <w:sz w:val="24"/>
                <w:szCs w:val="24"/>
              </w:rPr>
            </w:pPr>
            <w:r w:rsidRPr="00792B36">
              <w:rPr>
                <w:sz w:val="24"/>
                <w:szCs w:val="24"/>
              </w:rPr>
              <w:t>84,925</w:t>
            </w:r>
          </w:p>
        </w:tc>
        <w:tc>
          <w:tcPr>
            <w:tcW w:w="1077" w:type="dxa"/>
          </w:tcPr>
          <w:p w14:paraId="382620F3" w14:textId="77777777" w:rsidR="009A0A63" w:rsidRPr="00792B36" w:rsidRDefault="009A0A63" w:rsidP="00A24459">
            <w:pPr>
              <w:jc w:val="center"/>
              <w:rPr>
                <w:sz w:val="24"/>
                <w:szCs w:val="24"/>
              </w:rPr>
            </w:pPr>
            <w:r w:rsidRPr="00792B36">
              <w:rPr>
                <w:sz w:val="24"/>
                <w:szCs w:val="24"/>
              </w:rPr>
              <w:t>90,373</w:t>
            </w:r>
          </w:p>
        </w:tc>
        <w:tc>
          <w:tcPr>
            <w:tcW w:w="1077" w:type="dxa"/>
          </w:tcPr>
          <w:p w14:paraId="29CADFB3" w14:textId="77777777" w:rsidR="009A0A63" w:rsidRPr="00792B36" w:rsidRDefault="009A0A63" w:rsidP="00A24459">
            <w:pPr>
              <w:jc w:val="center"/>
              <w:rPr>
                <w:sz w:val="24"/>
                <w:szCs w:val="24"/>
              </w:rPr>
            </w:pPr>
            <w:r w:rsidRPr="00792B36">
              <w:rPr>
                <w:sz w:val="24"/>
                <w:szCs w:val="24"/>
              </w:rPr>
              <w:t>70,738</w:t>
            </w:r>
          </w:p>
        </w:tc>
        <w:tc>
          <w:tcPr>
            <w:tcW w:w="1077" w:type="dxa"/>
          </w:tcPr>
          <w:p w14:paraId="66F48C33" w14:textId="77777777" w:rsidR="009A0A63" w:rsidRPr="00792B36" w:rsidRDefault="009A0A63" w:rsidP="00A24459">
            <w:pPr>
              <w:jc w:val="center"/>
              <w:rPr>
                <w:sz w:val="24"/>
                <w:szCs w:val="24"/>
              </w:rPr>
            </w:pPr>
            <w:r w:rsidRPr="00792B36">
              <w:rPr>
                <w:sz w:val="24"/>
                <w:szCs w:val="24"/>
              </w:rPr>
              <w:t>128,38</w:t>
            </w:r>
            <w:r w:rsidRPr="00792B36">
              <w:rPr>
                <w:sz w:val="24"/>
                <w:szCs w:val="24"/>
              </w:rPr>
              <w:lastRenderedPageBreak/>
              <w:t>1</w:t>
            </w:r>
          </w:p>
        </w:tc>
        <w:tc>
          <w:tcPr>
            <w:tcW w:w="1077" w:type="dxa"/>
          </w:tcPr>
          <w:p w14:paraId="4EB366E1" w14:textId="77777777" w:rsidR="009A0A63" w:rsidRPr="00792B36" w:rsidRDefault="009A0A63" w:rsidP="00A24459">
            <w:pPr>
              <w:jc w:val="center"/>
              <w:rPr>
                <w:sz w:val="24"/>
                <w:szCs w:val="24"/>
              </w:rPr>
            </w:pPr>
            <w:r w:rsidRPr="00792B36">
              <w:rPr>
                <w:sz w:val="24"/>
                <w:szCs w:val="24"/>
              </w:rPr>
              <w:lastRenderedPageBreak/>
              <w:t>125,72</w:t>
            </w:r>
            <w:r w:rsidRPr="00792B36">
              <w:rPr>
                <w:sz w:val="24"/>
                <w:szCs w:val="24"/>
              </w:rPr>
              <w:lastRenderedPageBreak/>
              <w:t>0</w:t>
            </w:r>
          </w:p>
        </w:tc>
      </w:tr>
      <w:tr w:rsidR="009A0A63" w:rsidRPr="00792B36" w14:paraId="36B5E4B8" w14:textId="77777777" w:rsidTr="00A24459">
        <w:trPr>
          <w:trHeight w:val="283"/>
        </w:trPr>
        <w:tc>
          <w:tcPr>
            <w:tcW w:w="1955" w:type="dxa"/>
            <w:vAlign w:val="center"/>
          </w:tcPr>
          <w:p w14:paraId="3C6EFA6B" w14:textId="77777777" w:rsidR="009A0A63" w:rsidRPr="00792B36" w:rsidRDefault="009A0A63" w:rsidP="00A24459">
            <w:pPr>
              <w:rPr>
                <w:sz w:val="24"/>
                <w:szCs w:val="24"/>
              </w:rPr>
            </w:pPr>
            <w:r w:rsidRPr="00792B36">
              <w:rPr>
                <w:rFonts w:eastAsia="Times New Roman"/>
                <w:color w:val="000000"/>
                <w:sz w:val="24"/>
                <w:szCs w:val="24"/>
              </w:rPr>
              <w:lastRenderedPageBreak/>
              <w:t>Sharks and rays</w:t>
            </w:r>
          </w:p>
        </w:tc>
        <w:tc>
          <w:tcPr>
            <w:tcW w:w="1077" w:type="dxa"/>
          </w:tcPr>
          <w:p w14:paraId="0889C14D" w14:textId="77777777" w:rsidR="009A0A63" w:rsidRPr="00792B36" w:rsidRDefault="009A0A63" w:rsidP="00A24459">
            <w:pPr>
              <w:jc w:val="center"/>
              <w:rPr>
                <w:sz w:val="24"/>
                <w:szCs w:val="24"/>
              </w:rPr>
            </w:pPr>
            <w:r w:rsidRPr="00792B36">
              <w:rPr>
                <w:sz w:val="24"/>
                <w:szCs w:val="24"/>
              </w:rPr>
              <w:t>5,613</w:t>
            </w:r>
          </w:p>
        </w:tc>
        <w:tc>
          <w:tcPr>
            <w:tcW w:w="1077" w:type="dxa"/>
          </w:tcPr>
          <w:p w14:paraId="27C96610" w14:textId="77777777" w:rsidR="009A0A63" w:rsidRPr="00792B36" w:rsidRDefault="009A0A63" w:rsidP="00A24459">
            <w:pPr>
              <w:jc w:val="center"/>
              <w:rPr>
                <w:sz w:val="24"/>
                <w:szCs w:val="24"/>
              </w:rPr>
            </w:pPr>
            <w:r w:rsidRPr="00792B36">
              <w:rPr>
                <w:sz w:val="24"/>
                <w:szCs w:val="24"/>
              </w:rPr>
              <w:t>4,922</w:t>
            </w:r>
          </w:p>
        </w:tc>
        <w:tc>
          <w:tcPr>
            <w:tcW w:w="1077" w:type="dxa"/>
          </w:tcPr>
          <w:p w14:paraId="745D4B67" w14:textId="77777777" w:rsidR="009A0A63" w:rsidRPr="00792B36" w:rsidRDefault="009A0A63" w:rsidP="00A24459">
            <w:pPr>
              <w:jc w:val="center"/>
              <w:rPr>
                <w:sz w:val="24"/>
                <w:szCs w:val="24"/>
              </w:rPr>
            </w:pPr>
            <w:r w:rsidRPr="00792B36">
              <w:rPr>
                <w:sz w:val="24"/>
                <w:szCs w:val="24"/>
              </w:rPr>
              <w:t>4,611</w:t>
            </w:r>
          </w:p>
        </w:tc>
        <w:tc>
          <w:tcPr>
            <w:tcW w:w="1077" w:type="dxa"/>
          </w:tcPr>
          <w:p w14:paraId="3A229538" w14:textId="77777777" w:rsidR="009A0A63" w:rsidRPr="00792B36" w:rsidRDefault="009A0A63" w:rsidP="00A24459">
            <w:pPr>
              <w:jc w:val="center"/>
              <w:rPr>
                <w:rFonts w:eastAsia="Times New Roman"/>
                <w:color w:val="000000"/>
                <w:sz w:val="24"/>
                <w:szCs w:val="24"/>
              </w:rPr>
            </w:pPr>
            <w:r w:rsidRPr="00792B36">
              <w:rPr>
                <w:sz w:val="24"/>
                <w:szCs w:val="24"/>
              </w:rPr>
              <w:t>4,878</w:t>
            </w:r>
          </w:p>
        </w:tc>
        <w:tc>
          <w:tcPr>
            <w:tcW w:w="1077" w:type="dxa"/>
          </w:tcPr>
          <w:p w14:paraId="5BC36746" w14:textId="77777777" w:rsidR="009A0A63" w:rsidRPr="00792B36" w:rsidRDefault="009A0A63" w:rsidP="00A24459">
            <w:pPr>
              <w:jc w:val="center"/>
              <w:rPr>
                <w:sz w:val="24"/>
                <w:szCs w:val="24"/>
              </w:rPr>
            </w:pPr>
            <w:r w:rsidRPr="00792B36">
              <w:rPr>
                <w:sz w:val="24"/>
                <w:szCs w:val="24"/>
              </w:rPr>
              <w:t>5,452</w:t>
            </w:r>
          </w:p>
        </w:tc>
        <w:tc>
          <w:tcPr>
            <w:tcW w:w="1077" w:type="dxa"/>
          </w:tcPr>
          <w:p w14:paraId="725DD1C7" w14:textId="77777777" w:rsidR="009A0A63" w:rsidRPr="00792B36" w:rsidRDefault="009A0A63" w:rsidP="00A24459">
            <w:pPr>
              <w:jc w:val="center"/>
              <w:rPr>
                <w:sz w:val="24"/>
                <w:szCs w:val="24"/>
              </w:rPr>
            </w:pPr>
            <w:r w:rsidRPr="00792B36">
              <w:rPr>
                <w:sz w:val="24"/>
                <w:szCs w:val="24"/>
              </w:rPr>
              <w:t>7,252</w:t>
            </w:r>
          </w:p>
        </w:tc>
        <w:tc>
          <w:tcPr>
            <w:tcW w:w="1077" w:type="dxa"/>
          </w:tcPr>
          <w:p w14:paraId="1445A7F9" w14:textId="77777777" w:rsidR="009A0A63" w:rsidRPr="00792B36" w:rsidRDefault="009A0A63" w:rsidP="00A24459">
            <w:pPr>
              <w:jc w:val="center"/>
              <w:rPr>
                <w:sz w:val="24"/>
                <w:szCs w:val="24"/>
              </w:rPr>
            </w:pPr>
            <w:r w:rsidRPr="00792B36">
              <w:rPr>
                <w:sz w:val="24"/>
                <w:szCs w:val="24"/>
              </w:rPr>
              <w:t>8,333</w:t>
            </w:r>
          </w:p>
        </w:tc>
        <w:tc>
          <w:tcPr>
            <w:tcW w:w="1077" w:type="dxa"/>
          </w:tcPr>
          <w:p w14:paraId="4F49A57E" w14:textId="77777777" w:rsidR="009A0A63" w:rsidRPr="00792B36" w:rsidRDefault="009A0A63" w:rsidP="00A24459">
            <w:pPr>
              <w:jc w:val="center"/>
              <w:rPr>
                <w:sz w:val="24"/>
                <w:szCs w:val="24"/>
              </w:rPr>
            </w:pPr>
            <w:r w:rsidRPr="00792B36">
              <w:rPr>
                <w:sz w:val="24"/>
                <w:szCs w:val="24"/>
              </w:rPr>
              <w:t>7,054</w:t>
            </w:r>
          </w:p>
        </w:tc>
        <w:tc>
          <w:tcPr>
            <w:tcW w:w="1077" w:type="dxa"/>
          </w:tcPr>
          <w:p w14:paraId="575EA8CA" w14:textId="77777777" w:rsidR="009A0A63" w:rsidRPr="00792B36" w:rsidRDefault="009A0A63" w:rsidP="00A24459">
            <w:pPr>
              <w:jc w:val="center"/>
              <w:rPr>
                <w:sz w:val="24"/>
                <w:szCs w:val="24"/>
              </w:rPr>
            </w:pPr>
            <w:r w:rsidRPr="00792B36">
              <w:rPr>
                <w:sz w:val="24"/>
                <w:szCs w:val="24"/>
              </w:rPr>
              <w:t>7,311</w:t>
            </w:r>
          </w:p>
        </w:tc>
        <w:tc>
          <w:tcPr>
            <w:tcW w:w="1077" w:type="dxa"/>
          </w:tcPr>
          <w:p w14:paraId="657E3B4D" w14:textId="77777777" w:rsidR="009A0A63" w:rsidRPr="00792B36" w:rsidRDefault="009A0A63" w:rsidP="00A24459">
            <w:pPr>
              <w:jc w:val="center"/>
              <w:rPr>
                <w:sz w:val="24"/>
                <w:szCs w:val="24"/>
              </w:rPr>
            </w:pPr>
            <w:r w:rsidRPr="00792B36">
              <w:rPr>
                <w:sz w:val="24"/>
                <w:szCs w:val="24"/>
              </w:rPr>
              <w:t>6,219</w:t>
            </w:r>
          </w:p>
        </w:tc>
      </w:tr>
      <w:tr w:rsidR="009A0A63" w:rsidRPr="00792B36" w14:paraId="40C0F760" w14:textId="77777777" w:rsidTr="00A24459">
        <w:trPr>
          <w:trHeight w:val="283"/>
        </w:trPr>
        <w:tc>
          <w:tcPr>
            <w:tcW w:w="1955" w:type="dxa"/>
            <w:vAlign w:val="center"/>
          </w:tcPr>
          <w:p w14:paraId="7B144852" w14:textId="77777777" w:rsidR="009A0A63" w:rsidRPr="00792B36" w:rsidRDefault="009A0A63" w:rsidP="00A24459">
            <w:pPr>
              <w:rPr>
                <w:rFonts w:eastAsia="Times New Roman"/>
                <w:color w:val="000000"/>
                <w:spacing w:val="-4"/>
                <w:sz w:val="24"/>
                <w:szCs w:val="24"/>
              </w:rPr>
            </w:pPr>
            <w:r w:rsidRPr="00792B36">
              <w:rPr>
                <w:rFonts w:eastAsia="Times New Roman"/>
                <w:color w:val="000000"/>
                <w:spacing w:val="-4"/>
                <w:sz w:val="24"/>
                <w:szCs w:val="24"/>
              </w:rPr>
              <w:t>Tunas and billfishes</w:t>
            </w:r>
          </w:p>
        </w:tc>
        <w:tc>
          <w:tcPr>
            <w:tcW w:w="1077" w:type="dxa"/>
          </w:tcPr>
          <w:p w14:paraId="54277E0E" w14:textId="77777777" w:rsidR="009A0A63" w:rsidRPr="00792B36" w:rsidRDefault="009A0A63" w:rsidP="00A24459">
            <w:pPr>
              <w:jc w:val="center"/>
              <w:rPr>
                <w:sz w:val="24"/>
                <w:szCs w:val="24"/>
              </w:rPr>
            </w:pPr>
            <w:r w:rsidRPr="00792B36">
              <w:rPr>
                <w:sz w:val="24"/>
                <w:szCs w:val="24"/>
              </w:rPr>
              <w:t>29,041</w:t>
            </w:r>
          </w:p>
        </w:tc>
        <w:tc>
          <w:tcPr>
            <w:tcW w:w="1077" w:type="dxa"/>
          </w:tcPr>
          <w:p w14:paraId="0A1BBA21" w14:textId="77777777" w:rsidR="009A0A63" w:rsidRPr="00792B36" w:rsidRDefault="009A0A63" w:rsidP="00A24459">
            <w:pPr>
              <w:jc w:val="center"/>
              <w:rPr>
                <w:sz w:val="24"/>
                <w:szCs w:val="24"/>
              </w:rPr>
            </w:pPr>
            <w:r w:rsidRPr="00792B36">
              <w:rPr>
                <w:sz w:val="24"/>
                <w:szCs w:val="24"/>
              </w:rPr>
              <w:t>45,677</w:t>
            </w:r>
          </w:p>
        </w:tc>
        <w:tc>
          <w:tcPr>
            <w:tcW w:w="1077" w:type="dxa"/>
          </w:tcPr>
          <w:p w14:paraId="64C02BB3" w14:textId="77777777" w:rsidR="009A0A63" w:rsidRPr="00792B36" w:rsidRDefault="009A0A63" w:rsidP="00A24459">
            <w:pPr>
              <w:jc w:val="center"/>
              <w:rPr>
                <w:sz w:val="24"/>
                <w:szCs w:val="24"/>
              </w:rPr>
            </w:pPr>
            <w:r w:rsidRPr="00792B36">
              <w:rPr>
                <w:sz w:val="24"/>
                <w:szCs w:val="24"/>
              </w:rPr>
              <w:t>88,556</w:t>
            </w:r>
          </w:p>
        </w:tc>
        <w:tc>
          <w:tcPr>
            <w:tcW w:w="1077" w:type="dxa"/>
          </w:tcPr>
          <w:p w14:paraId="3B595635" w14:textId="77777777" w:rsidR="009A0A63" w:rsidRPr="00792B36" w:rsidRDefault="009A0A63" w:rsidP="00A24459">
            <w:pPr>
              <w:jc w:val="center"/>
              <w:rPr>
                <w:rFonts w:eastAsia="Times New Roman"/>
                <w:color w:val="000000"/>
                <w:sz w:val="24"/>
                <w:szCs w:val="24"/>
              </w:rPr>
            </w:pPr>
            <w:r w:rsidRPr="00792B36">
              <w:rPr>
                <w:sz w:val="24"/>
                <w:szCs w:val="24"/>
              </w:rPr>
              <w:t>77,021</w:t>
            </w:r>
          </w:p>
        </w:tc>
        <w:tc>
          <w:tcPr>
            <w:tcW w:w="1077" w:type="dxa"/>
          </w:tcPr>
          <w:p w14:paraId="6D4D0379" w14:textId="77777777" w:rsidR="009A0A63" w:rsidRPr="00792B36" w:rsidRDefault="009A0A63" w:rsidP="00A24459">
            <w:pPr>
              <w:jc w:val="center"/>
              <w:rPr>
                <w:sz w:val="24"/>
                <w:szCs w:val="24"/>
              </w:rPr>
            </w:pPr>
            <w:r w:rsidRPr="00792B36">
              <w:rPr>
                <w:sz w:val="24"/>
                <w:szCs w:val="24"/>
              </w:rPr>
              <w:t>88,629</w:t>
            </w:r>
          </w:p>
        </w:tc>
        <w:tc>
          <w:tcPr>
            <w:tcW w:w="1077" w:type="dxa"/>
          </w:tcPr>
          <w:p w14:paraId="3E8B1917" w14:textId="77777777" w:rsidR="009A0A63" w:rsidRPr="00792B36" w:rsidRDefault="009A0A63" w:rsidP="00A24459">
            <w:pPr>
              <w:jc w:val="center"/>
              <w:rPr>
                <w:sz w:val="24"/>
                <w:szCs w:val="24"/>
              </w:rPr>
            </w:pPr>
            <w:r w:rsidRPr="00792B36">
              <w:rPr>
                <w:sz w:val="24"/>
                <w:szCs w:val="24"/>
              </w:rPr>
              <w:t>96,401</w:t>
            </w:r>
          </w:p>
        </w:tc>
        <w:tc>
          <w:tcPr>
            <w:tcW w:w="1077" w:type="dxa"/>
          </w:tcPr>
          <w:p w14:paraId="794E62FD" w14:textId="77777777" w:rsidR="009A0A63" w:rsidRPr="00792B36" w:rsidRDefault="009A0A63" w:rsidP="00A24459">
            <w:pPr>
              <w:jc w:val="center"/>
              <w:rPr>
                <w:sz w:val="24"/>
                <w:szCs w:val="24"/>
              </w:rPr>
            </w:pPr>
            <w:r w:rsidRPr="00792B36">
              <w:rPr>
                <w:sz w:val="24"/>
                <w:szCs w:val="24"/>
              </w:rPr>
              <w:t>98,898</w:t>
            </w:r>
          </w:p>
        </w:tc>
        <w:tc>
          <w:tcPr>
            <w:tcW w:w="1077" w:type="dxa"/>
          </w:tcPr>
          <w:p w14:paraId="4F3889BB" w14:textId="77777777" w:rsidR="009A0A63" w:rsidRPr="00792B36" w:rsidRDefault="009A0A63" w:rsidP="00A24459">
            <w:pPr>
              <w:jc w:val="center"/>
              <w:rPr>
                <w:sz w:val="24"/>
                <w:szCs w:val="24"/>
              </w:rPr>
            </w:pPr>
            <w:r w:rsidRPr="00792B36">
              <w:rPr>
                <w:sz w:val="24"/>
                <w:szCs w:val="24"/>
              </w:rPr>
              <w:t>151,963</w:t>
            </w:r>
          </w:p>
        </w:tc>
        <w:tc>
          <w:tcPr>
            <w:tcW w:w="1077" w:type="dxa"/>
          </w:tcPr>
          <w:p w14:paraId="4708B482" w14:textId="77777777" w:rsidR="009A0A63" w:rsidRPr="00792B36" w:rsidRDefault="009A0A63" w:rsidP="00A24459">
            <w:pPr>
              <w:jc w:val="center"/>
              <w:rPr>
                <w:sz w:val="24"/>
                <w:szCs w:val="24"/>
              </w:rPr>
            </w:pPr>
            <w:r w:rsidRPr="00792B36">
              <w:rPr>
                <w:sz w:val="24"/>
                <w:szCs w:val="24"/>
              </w:rPr>
              <w:t>122,801</w:t>
            </w:r>
          </w:p>
        </w:tc>
        <w:tc>
          <w:tcPr>
            <w:tcW w:w="1077" w:type="dxa"/>
          </w:tcPr>
          <w:p w14:paraId="3401B672" w14:textId="77777777" w:rsidR="009A0A63" w:rsidRPr="00792B36" w:rsidRDefault="009A0A63" w:rsidP="00A24459">
            <w:pPr>
              <w:jc w:val="center"/>
              <w:rPr>
                <w:sz w:val="24"/>
                <w:szCs w:val="24"/>
              </w:rPr>
            </w:pPr>
            <w:r w:rsidRPr="00792B36">
              <w:rPr>
                <w:sz w:val="24"/>
                <w:szCs w:val="24"/>
              </w:rPr>
              <w:t>146,014</w:t>
            </w:r>
          </w:p>
        </w:tc>
      </w:tr>
      <w:tr w:rsidR="009A0A63" w:rsidRPr="00792B36" w14:paraId="11339757" w14:textId="77777777" w:rsidTr="00A24459">
        <w:trPr>
          <w:trHeight w:val="283"/>
        </w:trPr>
        <w:tc>
          <w:tcPr>
            <w:tcW w:w="1955" w:type="dxa"/>
            <w:tcBorders>
              <w:bottom w:val="single" w:sz="4" w:space="0" w:color="auto"/>
            </w:tcBorders>
            <w:vAlign w:val="center"/>
          </w:tcPr>
          <w:p w14:paraId="45DEEE0C" w14:textId="77777777" w:rsidR="009A0A63" w:rsidRPr="00792B36" w:rsidRDefault="009A0A63" w:rsidP="00A24459">
            <w:pPr>
              <w:rPr>
                <w:rFonts w:eastAsia="Times New Roman"/>
                <w:color w:val="000000"/>
                <w:sz w:val="24"/>
                <w:szCs w:val="24"/>
              </w:rPr>
            </w:pPr>
            <w:r w:rsidRPr="00792B36">
              <w:rPr>
                <w:rFonts w:eastAsia="Times New Roman"/>
                <w:color w:val="000000"/>
                <w:sz w:val="24"/>
                <w:szCs w:val="24"/>
              </w:rPr>
              <w:t xml:space="preserve">Others </w:t>
            </w:r>
          </w:p>
        </w:tc>
        <w:tc>
          <w:tcPr>
            <w:tcW w:w="1077" w:type="dxa"/>
            <w:tcBorders>
              <w:bottom w:val="single" w:sz="4" w:space="0" w:color="auto"/>
            </w:tcBorders>
          </w:tcPr>
          <w:p w14:paraId="145F29D7" w14:textId="77777777" w:rsidR="009A0A63" w:rsidRPr="00792B36" w:rsidRDefault="009A0A63" w:rsidP="00A24459">
            <w:pPr>
              <w:jc w:val="center"/>
              <w:rPr>
                <w:sz w:val="24"/>
                <w:szCs w:val="24"/>
              </w:rPr>
            </w:pPr>
            <w:r w:rsidRPr="00792B36">
              <w:rPr>
                <w:sz w:val="24"/>
                <w:szCs w:val="24"/>
              </w:rPr>
              <w:t>-</w:t>
            </w:r>
          </w:p>
        </w:tc>
        <w:tc>
          <w:tcPr>
            <w:tcW w:w="1077" w:type="dxa"/>
            <w:tcBorders>
              <w:bottom w:val="single" w:sz="4" w:space="0" w:color="auto"/>
            </w:tcBorders>
          </w:tcPr>
          <w:p w14:paraId="21D4CAAA" w14:textId="77777777" w:rsidR="009A0A63" w:rsidRPr="00792B36" w:rsidRDefault="009A0A63" w:rsidP="00A24459">
            <w:pPr>
              <w:jc w:val="center"/>
              <w:rPr>
                <w:sz w:val="24"/>
                <w:szCs w:val="24"/>
              </w:rPr>
            </w:pPr>
            <w:r w:rsidRPr="00792B36">
              <w:rPr>
                <w:rFonts w:eastAsia="Times New Roman"/>
                <w:color w:val="000000"/>
                <w:sz w:val="24"/>
                <w:szCs w:val="24"/>
              </w:rPr>
              <w:t>-</w:t>
            </w:r>
          </w:p>
        </w:tc>
        <w:tc>
          <w:tcPr>
            <w:tcW w:w="1077" w:type="dxa"/>
            <w:tcBorders>
              <w:bottom w:val="single" w:sz="4" w:space="0" w:color="auto"/>
            </w:tcBorders>
          </w:tcPr>
          <w:p w14:paraId="7B6FA004" w14:textId="77777777" w:rsidR="009A0A63" w:rsidRPr="00792B36" w:rsidRDefault="009A0A63" w:rsidP="00A24459">
            <w:pPr>
              <w:jc w:val="center"/>
              <w:rPr>
                <w:sz w:val="24"/>
                <w:szCs w:val="24"/>
              </w:rPr>
            </w:pPr>
            <w:r w:rsidRPr="00792B36">
              <w:rPr>
                <w:sz w:val="24"/>
                <w:szCs w:val="24"/>
              </w:rPr>
              <w:t>5,143</w:t>
            </w:r>
          </w:p>
        </w:tc>
        <w:tc>
          <w:tcPr>
            <w:tcW w:w="1077" w:type="dxa"/>
            <w:tcBorders>
              <w:bottom w:val="single" w:sz="4" w:space="0" w:color="auto"/>
            </w:tcBorders>
          </w:tcPr>
          <w:p w14:paraId="045AA581" w14:textId="77777777" w:rsidR="009A0A63" w:rsidRPr="00792B36" w:rsidRDefault="009A0A63" w:rsidP="00A24459">
            <w:pPr>
              <w:jc w:val="center"/>
              <w:rPr>
                <w:rFonts w:eastAsia="Times New Roman"/>
                <w:color w:val="000000"/>
                <w:sz w:val="24"/>
                <w:szCs w:val="24"/>
              </w:rPr>
            </w:pPr>
            <w:r w:rsidRPr="00792B36">
              <w:rPr>
                <w:sz w:val="24"/>
                <w:szCs w:val="24"/>
              </w:rPr>
              <w:t>118</w:t>
            </w:r>
          </w:p>
        </w:tc>
        <w:tc>
          <w:tcPr>
            <w:tcW w:w="1077" w:type="dxa"/>
            <w:tcBorders>
              <w:bottom w:val="single" w:sz="4" w:space="0" w:color="auto"/>
            </w:tcBorders>
          </w:tcPr>
          <w:p w14:paraId="248BF67E" w14:textId="77777777" w:rsidR="009A0A63" w:rsidRPr="00792B36" w:rsidRDefault="009A0A63" w:rsidP="00A24459">
            <w:pPr>
              <w:jc w:val="center"/>
              <w:rPr>
                <w:sz w:val="24"/>
                <w:szCs w:val="24"/>
              </w:rPr>
            </w:pPr>
            <w:r w:rsidRPr="00792B36">
              <w:rPr>
                <w:rFonts w:eastAsia="Times New Roman"/>
                <w:color w:val="000000"/>
                <w:sz w:val="24"/>
                <w:szCs w:val="24"/>
              </w:rPr>
              <w:t>-</w:t>
            </w:r>
          </w:p>
        </w:tc>
        <w:tc>
          <w:tcPr>
            <w:tcW w:w="1077" w:type="dxa"/>
            <w:tcBorders>
              <w:bottom w:val="single" w:sz="4" w:space="0" w:color="auto"/>
            </w:tcBorders>
          </w:tcPr>
          <w:p w14:paraId="287C1532" w14:textId="77777777" w:rsidR="009A0A63" w:rsidRPr="00792B36" w:rsidRDefault="009A0A63" w:rsidP="00A24459">
            <w:pPr>
              <w:jc w:val="center"/>
              <w:rPr>
                <w:sz w:val="24"/>
                <w:szCs w:val="24"/>
              </w:rPr>
            </w:pPr>
            <w:r w:rsidRPr="00792B36">
              <w:rPr>
                <w:rFonts w:eastAsia="Times New Roman"/>
                <w:color w:val="000000"/>
                <w:sz w:val="24"/>
                <w:szCs w:val="24"/>
              </w:rPr>
              <w:t>-</w:t>
            </w:r>
          </w:p>
        </w:tc>
        <w:tc>
          <w:tcPr>
            <w:tcW w:w="1077" w:type="dxa"/>
            <w:tcBorders>
              <w:bottom w:val="single" w:sz="4" w:space="0" w:color="auto"/>
            </w:tcBorders>
          </w:tcPr>
          <w:p w14:paraId="3B45D556" w14:textId="77777777" w:rsidR="009A0A63" w:rsidRPr="00792B36" w:rsidRDefault="009A0A63" w:rsidP="00A24459">
            <w:pPr>
              <w:jc w:val="center"/>
              <w:rPr>
                <w:sz w:val="24"/>
                <w:szCs w:val="24"/>
              </w:rPr>
            </w:pPr>
            <w:r w:rsidRPr="00792B36">
              <w:rPr>
                <w:sz w:val="24"/>
                <w:szCs w:val="24"/>
              </w:rPr>
              <w:t>3</w:t>
            </w:r>
          </w:p>
        </w:tc>
        <w:tc>
          <w:tcPr>
            <w:tcW w:w="1077" w:type="dxa"/>
            <w:tcBorders>
              <w:bottom w:val="single" w:sz="4" w:space="0" w:color="auto"/>
            </w:tcBorders>
          </w:tcPr>
          <w:p w14:paraId="01162A99" w14:textId="77777777" w:rsidR="009A0A63" w:rsidRPr="00792B36" w:rsidRDefault="009A0A63" w:rsidP="00A24459">
            <w:pPr>
              <w:jc w:val="center"/>
              <w:rPr>
                <w:sz w:val="24"/>
                <w:szCs w:val="24"/>
              </w:rPr>
            </w:pPr>
            <w:r w:rsidRPr="00792B36">
              <w:rPr>
                <w:rFonts w:eastAsia="Times New Roman"/>
                <w:color w:val="000000"/>
                <w:sz w:val="24"/>
                <w:szCs w:val="24"/>
              </w:rPr>
              <w:t>-</w:t>
            </w:r>
          </w:p>
        </w:tc>
        <w:tc>
          <w:tcPr>
            <w:tcW w:w="1077" w:type="dxa"/>
            <w:tcBorders>
              <w:bottom w:val="single" w:sz="4" w:space="0" w:color="auto"/>
            </w:tcBorders>
          </w:tcPr>
          <w:p w14:paraId="4A6CE7B4" w14:textId="77777777" w:rsidR="009A0A63" w:rsidRPr="00792B36" w:rsidRDefault="009A0A63" w:rsidP="00A24459">
            <w:pPr>
              <w:jc w:val="center"/>
              <w:rPr>
                <w:sz w:val="24"/>
                <w:szCs w:val="24"/>
              </w:rPr>
            </w:pPr>
            <w:r w:rsidRPr="00792B36">
              <w:rPr>
                <w:rFonts w:eastAsia="Times New Roman"/>
                <w:color w:val="000000"/>
                <w:sz w:val="24"/>
                <w:szCs w:val="24"/>
              </w:rPr>
              <w:t>-</w:t>
            </w:r>
          </w:p>
        </w:tc>
        <w:tc>
          <w:tcPr>
            <w:tcW w:w="1077" w:type="dxa"/>
            <w:tcBorders>
              <w:bottom w:val="single" w:sz="4" w:space="0" w:color="auto"/>
            </w:tcBorders>
          </w:tcPr>
          <w:p w14:paraId="4F01C01A" w14:textId="77777777" w:rsidR="009A0A63" w:rsidRPr="00792B36" w:rsidRDefault="009A0A63" w:rsidP="00A24459">
            <w:pPr>
              <w:jc w:val="center"/>
              <w:rPr>
                <w:sz w:val="24"/>
                <w:szCs w:val="24"/>
              </w:rPr>
            </w:pPr>
            <w:r w:rsidRPr="00792B36">
              <w:rPr>
                <w:rFonts w:eastAsia="Times New Roman"/>
                <w:color w:val="000000"/>
                <w:sz w:val="24"/>
                <w:szCs w:val="24"/>
              </w:rPr>
              <w:t>-</w:t>
            </w:r>
          </w:p>
        </w:tc>
      </w:tr>
      <w:tr w:rsidR="009A0A63" w:rsidRPr="00792B36" w14:paraId="21C60FC7" w14:textId="77777777" w:rsidTr="00A24459">
        <w:trPr>
          <w:trHeight w:val="283"/>
        </w:trPr>
        <w:tc>
          <w:tcPr>
            <w:tcW w:w="1955" w:type="dxa"/>
            <w:tcBorders>
              <w:top w:val="single" w:sz="4" w:space="0" w:color="auto"/>
              <w:bottom w:val="single" w:sz="4" w:space="0" w:color="auto"/>
            </w:tcBorders>
            <w:vAlign w:val="center"/>
          </w:tcPr>
          <w:p w14:paraId="03419BAF" w14:textId="77777777" w:rsidR="009A0A63" w:rsidRPr="00792B36" w:rsidRDefault="009A0A63" w:rsidP="00A24459">
            <w:pPr>
              <w:rPr>
                <w:rFonts w:eastAsia="Times New Roman"/>
                <w:color w:val="000000"/>
                <w:sz w:val="24"/>
                <w:szCs w:val="24"/>
              </w:rPr>
            </w:pPr>
            <w:r w:rsidRPr="00792B36">
              <w:rPr>
                <w:rFonts w:eastAsia="Times New Roman"/>
                <w:color w:val="000000"/>
                <w:sz w:val="24"/>
                <w:szCs w:val="24"/>
              </w:rPr>
              <w:t>Total</w:t>
            </w:r>
          </w:p>
        </w:tc>
        <w:tc>
          <w:tcPr>
            <w:tcW w:w="1077" w:type="dxa"/>
            <w:tcBorders>
              <w:top w:val="single" w:sz="4" w:space="0" w:color="auto"/>
              <w:bottom w:val="single" w:sz="4" w:space="0" w:color="auto"/>
            </w:tcBorders>
            <w:vAlign w:val="center"/>
          </w:tcPr>
          <w:p w14:paraId="06FE2919" w14:textId="77777777" w:rsidR="009A0A63" w:rsidRPr="00792B36" w:rsidRDefault="009A0A63" w:rsidP="00A24459">
            <w:pPr>
              <w:jc w:val="center"/>
              <w:rPr>
                <w:spacing w:val="-4"/>
                <w:sz w:val="24"/>
                <w:szCs w:val="24"/>
              </w:rPr>
            </w:pPr>
            <w:r w:rsidRPr="00792B36">
              <w:rPr>
                <w:rFonts w:eastAsia="Times New Roman"/>
                <w:color w:val="000000"/>
                <w:spacing w:val="-4"/>
                <w:sz w:val="24"/>
                <w:szCs w:val="24"/>
              </w:rPr>
              <w:t>1,066,549</w:t>
            </w:r>
          </w:p>
        </w:tc>
        <w:tc>
          <w:tcPr>
            <w:tcW w:w="1077" w:type="dxa"/>
            <w:tcBorders>
              <w:top w:val="single" w:sz="4" w:space="0" w:color="auto"/>
              <w:bottom w:val="single" w:sz="4" w:space="0" w:color="auto"/>
            </w:tcBorders>
            <w:vAlign w:val="center"/>
          </w:tcPr>
          <w:p w14:paraId="5F7B511D" w14:textId="77777777" w:rsidR="009A0A63" w:rsidRPr="00792B36" w:rsidRDefault="009A0A63" w:rsidP="00A24459">
            <w:pPr>
              <w:jc w:val="center"/>
              <w:rPr>
                <w:spacing w:val="-4"/>
                <w:sz w:val="24"/>
                <w:szCs w:val="24"/>
              </w:rPr>
            </w:pPr>
            <w:r w:rsidRPr="00792B36">
              <w:rPr>
                <w:spacing w:val="-4"/>
                <w:sz w:val="24"/>
                <w:szCs w:val="24"/>
              </w:rPr>
              <w:t>1,287,767</w:t>
            </w:r>
          </w:p>
        </w:tc>
        <w:tc>
          <w:tcPr>
            <w:tcW w:w="1077" w:type="dxa"/>
            <w:tcBorders>
              <w:top w:val="single" w:sz="4" w:space="0" w:color="auto"/>
              <w:bottom w:val="single" w:sz="4" w:space="0" w:color="auto"/>
            </w:tcBorders>
            <w:vAlign w:val="center"/>
          </w:tcPr>
          <w:p w14:paraId="18E3BCBD" w14:textId="77777777" w:rsidR="009A0A63" w:rsidRPr="00792B36" w:rsidRDefault="009A0A63" w:rsidP="00A24459">
            <w:pPr>
              <w:ind w:hanging="73"/>
              <w:jc w:val="center"/>
              <w:rPr>
                <w:sz w:val="24"/>
                <w:szCs w:val="24"/>
              </w:rPr>
            </w:pPr>
            <w:r w:rsidRPr="00792B36">
              <w:rPr>
                <w:sz w:val="24"/>
                <w:szCs w:val="24"/>
              </w:rPr>
              <w:t>1,309,236</w:t>
            </w:r>
          </w:p>
        </w:tc>
        <w:tc>
          <w:tcPr>
            <w:tcW w:w="1077" w:type="dxa"/>
            <w:tcBorders>
              <w:top w:val="single" w:sz="4" w:space="0" w:color="auto"/>
              <w:bottom w:val="single" w:sz="4" w:space="0" w:color="auto"/>
            </w:tcBorders>
            <w:vAlign w:val="center"/>
          </w:tcPr>
          <w:p w14:paraId="73CC68D6" w14:textId="77777777" w:rsidR="009A0A63" w:rsidRPr="00792B36" w:rsidRDefault="009A0A63" w:rsidP="00A24459">
            <w:pPr>
              <w:ind w:hanging="65"/>
              <w:jc w:val="center"/>
              <w:rPr>
                <w:rFonts w:eastAsia="Times New Roman"/>
                <w:color w:val="000000"/>
                <w:sz w:val="24"/>
                <w:szCs w:val="24"/>
              </w:rPr>
            </w:pPr>
            <w:r w:rsidRPr="00792B36">
              <w:rPr>
                <w:sz w:val="24"/>
                <w:szCs w:val="24"/>
              </w:rPr>
              <w:t>1,265,581</w:t>
            </w:r>
          </w:p>
        </w:tc>
        <w:tc>
          <w:tcPr>
            <w:tcW w:w="1077" w:type="dxa"/>
            <w:tcBorders>
              <w:top w:val="single" w:sz="4" w:space="0" w:color="auto"/>
              <w:bottom w:val="single" w:sz="4" w:space="0" w:color="auto"/>
            </w:tcBorders>
          </w:tcPr>
          <w:p w14:paraId="03DED334" w14:textId="77777777" w:rsidR="009A0A63" w:rsidRPr="00792B36" w:rsidRDefault="009A0A63" w:rsidP="00A24459">
            <w:pPr>
              <w:ind w:hanging="65"/>
              <w:jc w:val="center"/>
              <w:rPr>
                <w:sz w:val="24"/>
                <w:szCs w:val="24"/>
              </w:rPr>
            </w:pPr>
            <w:r w:rsidRPr="00792B36">
              <w:rPr>
                <w:spacing w:val="-4"/>
                <w:sz w:val="24"/>
                <w:szCs w:val="24"/>
              </w:rPr>
              <w:t>1,275,841</w:t>
            </w:r>
          </w:p>
        </w:tc>
        <w:tc>
          <w:tcPr>
            <w:tcW w:w="1077" w:type="dxa"/>
            <w:tcBorders>
              <w:top w:val="single" w:sz="4" w:space="0" w:color="auto"/>
              <w:bottom w:val="single" w:sz="4" w:space="0" w:color="auto"/>
            </w:tcBorders>
          </w:tcPr>
          <w:p w14:paraId="1659364E" w14:textId="77777777" w:rsidR="009A0A63" w:rsidRPr="00792B36" w:rsidRDefault="009A0A63" w:rsidP="00A24459">
            <w:pPr>
              <w:ind w:hanging="65"/>
              <w:jc w:val="center"/>
              <w:rPr>
                <w:sz w:val="24"/>
                <w:szCs w:val="24"/>
              </w:rPr>
            </w:pPr>
            <w:r w:rsidRPr="00792B36">
              <w:rPr>
                <w:spacing w:val="-4"/>
                <w:sz w:val="24"/>
                <w:szCs w:val="24"/>
              </w:rPr>
              <w:t>1,373,943</w:t>
            </w:r>
          </w:p>
        </w:tc>
        <w:tc>
          <w:tcPr>
            <w:tcW w:w="1077" w:type="dxa"/>
            <w:tcBorders>
              <w:top w:val="single" w:sz="4" w:space="0" w:color="auto"/>
              <w:bottom w:val="single" w:sz="4" w:space="0" w:color="auto"/>
            </w:tcBorders>
          </w:tcPr>
          <w:p w14:paraId="7784FB97" w14:textId="77777777" w:rsidR="009A0A63" w:rsidRPr="00792B36" w:rsidRDefault="009A0A63" w:rsidP="00A24459">
            <w:pPr>
              <w:ind w:hanging="65"/>
              <w:jc w:val="center"/>
              <w:rPr>
                <w:sz w:val="24"/>
                <w:szCs w:val="24"/>
              </w:rPr>
            </w:pPr>
            <w:r w:rsidRPr="00792B36">
              <w:rPr>
                <w:spacing w:val="-4"/>
                <w:sz w:val="24"/>
                <w:szCs w:val="24"/>
              </w:rPr>
              <w:t>1,536,632</w:t>
            </w:r>
          </w:p>
        </w:tc>
        <w:tc>
          <w:tcPr>
            <w:tcW w:w="1077" w:type="dxa"/>
            <w:tcBorders>
              <w:top w:val="single" w:sz="4" w:space="0" w:color="auto"/>
              <w:bottom w:val="single" w:sz="4" w:space="0" w:color="auto"/>
            </w:tcBorders>
          </w:tcPr>
          <w:p w14:paraId="43B4C4F8" w14:textId="77777777" w:rsidR="009A0A63" w:rsidRPr="00792B36" w:rsidRDefault="009A0A63" w:rsidP="00A24459">
            <w:pPr>
              <w:ind w:hanging="65"/>
              <w:jc w:val="center"/>
              <w:rPr>
                <w:sz w:val="24"/>
                <w:szCs w:val="24"/>
              </w:rPr>
            </w:pPr>
            <w:r w:rsidRPr="00792B36">
              <w:rPr>
                <w:spacing w:val="-4"/>
                <w:sz w:val="24"/>
                <w:szCs w:val="24"/>
              </w:rPr>
              <w:t>1,477,749</w:t>
            </w:r>
          </w:p>
        </w:tc>
        <w:tc>
          <w:tcPr>
            <w:tcW w:w="1077" w:type="dxa"/>
            <w:tcBorders>
              <w:top w:val="single" w:sz="4" w:space="0" w:color="auto"/>
              <w:bottom w:val="single" w:sz="4" w:space="0" w:color="auto"/>
            </w:tcBorders>
          </w:tcPr>
          <w:p w14:paraId="08F53457" w14:textId="77777777" w:rsidR="009A0A63" w:rsidRPr="00792B36" w:rsidRDefault="009A0A63" w:rsidP="00A24459">
            <w:pPr>
              <w:ind w:hanging="65"/>
              <w:jc w:val="center"/>
              <w:rPr>
                <w:sz w:val="24"/>
                <w:szCs w:val="24"/>
              </w:rPr>
            </w:pPr>
            <w:r w:rsidRPr="00792B36">
              <w:rPr>
                <w:spacing w:val="-4"/>
                <w:sz w:val="24"/>
                <w:szCs w:val="24"/>
              </w:rPr>
              <w:t>1,590,104</w:t>
            </w:r>
          </w:p>
        </w:tc>
        <w:tc>
          <w:tcPr>
            <w:tcW w:w="1077" w:type="dxa"/>
            <w:tcBorders>
              <w:top w:val="single" w:sz="4" w:space="0" w:color="auto"/>
              <w:bottom w:val="single" w:sz="4" w:space="0" w:color="auto"/>
            </w:tcBorders>
          </w:tcPr>
          <w:p w14:paraId="41E5A3B4" w14:textId="77777777" w:rsidR="009A0A63" w:rsidRPr="00792B36" w:rsidRDefault="009A0A63" w:rsidP="00A24459">
            <w:pPr>
              <w:ind w:hanging="65"/>
              <w:jc w:val="center"/>
              <w:rPr>
                <w:sz w:val="24"/>
                <w:szCs w:val="24"/>
              </w:rPr>
            </w:pPr>
            <w:r w:rsidRPr="00792B36">
              <w:rPr>
                <w:sz w:val="24"/>
                <w:szCs w:val="24"/>
              </w:rPr>
              <w:t>1,579,404</w:t>
            </w:r>
          </w:p>
        </w:tc>
      </w:tr>
    </w:tbl>
    <w:p w14:paraId="46580189" w14:textId="77777777" w:rsidR="009A0A63" w:rsidRPr="00792B36" w:rsidRDefault="009A0A63" w:rsidP="009A0A63">
      <w:pPr>
        <w:rPr>
          <w:sz w:val="24"/>
          <w:szCs w:val="24"/>
        </w:rPr>
      </w:pPr>
    </w:p>
    <w:p w14:paraId="393FC01C" w14:textId="77777777" w:rsidR="009A0A63" w:rsidRPr="00792B36" w:rsidRDefault="009A0A63" w:rsidP="009A0A63">
      <w:pPr>
        <w:rPr>
          <w:sz w:val="24"/>
          <w:szCs w:val="24"/>
        </w:rPr>
      </w:pPr>
    </w:p>
    <w:p w14:paraId="5DB9B5C1" w14:textId="77777777" w:rsidR="009A0A63" w:rsidRPr="00792B36" w:rsidRDefault="009A0A63" w:rsidP="009A0A63">
      <w:pPr>
        <w:rPr>
          <w:sz w:val="24"/>
          <w:szCs w:val="24"/>
        </w:rPr>
      </w:pPr>
    </w:p>
    <w:p w14:paraId="387EA72C" w14:textId="77777777" w:rsidR="009A0A63" w:rsidRPr="00792B36" w:rsidRDefault="009A0A63" w:rsidP="009A0A63">
      <w:pPr>
        <w:rPr>
          <w:sz w:val="24"/>
          <w:szCs w:val="24"/>
        </w:rPr>
      </w:pPr>
    </w:p>
    <w:p w14:paraId="6DE018B3" w14:textId="77777777" w:rsidR="009A0A63" w:rsidRPr="00792B36" w:rsidRDefault="009A0A63" w:rsidP="009A0A63">
      <w:pPr>
        <w:rPr>
          <w:sz w:val="24"/>
          <w:szCs w:val="24"/>
        </w:rPr>
      </w:pPr>
    </w:p>
    <w:p w14:paraId="49208370" w14:textId="77777777" w:rsidR="009A0A63" w:rsidRPr="00792B36" w:rsidRDefault="009A0A63" w:rsidP="009A0A63">
      <w:pPr>
        <w:rPr>
          <w:sz w:val="24"/>
          <w:szCs w:val="24"/>
        </w:rPr>
      </w:pPr>
    </w:p>
    <w:p w14:paraId="7F5F35A0" w14:textId="77777777" w:rsidR="009A0A63" w:rsidRPr="00792B36" w:rsidRDefault="009A0A63" w:rsidP="009A0A63">
      <w:pPr>
        <w:rPr>
          <w:sz w:val="24"/>
          <w:szCs w:val="24"/>
        </w:rPr>
      </w:pPr>
    </w:p>
    <w:p w14:paraId="02994872" w14:textId="77777777" w:rsidR="009A0A63" w:rsidRPr="00792B36" w:rsidRDefault="009A0A63" w:rsidP="009A0A63">
      <w:pPr>
        <w:rPr>
          <w:sz w:val="24"/>
          <w:szCs w:val="24"/>
        </w:rPr>
      </w:pPr>
    </w:p>
    <w:p w14:paraId="4D7CE08E" w14:textId="77777777" w:rsidR="009A0A63" w:rsidRPr="00792B36" w:rsidRDefault="009A0A63" w:rsidP="009A0A63">
      <w:pPr>
        <w:rPr>
          <w:sz w:val="24"/>
          <w:szCs w:val="24"/>
        </w:rPr>
      </w:pPr>
    </w:p>
    <w:p w14:paraId="4ABF88B2" w14:textId="77777777" w:rsidR="009A0A63" w:rsidRPr="00792B36" w:rsidRDefault="009A0A63" w:rsidP="009A0A63">
      <w:pPr>
        <w:rPr>
          <w:sz w:val="24"/>
          <w:szCs w:val="24"/>
        </w:rPr>
      </w:pPr>
    </w:p>
    <w:p w14:paraId="30EBEEBB" w14:textId="77777777" w:rsidR="009A0A63" w:rsidRPr="00792B36" w:rsidRDefault="009A0A63" w:rsidP="009A0A63">
      <w:pPr>
        <w:rPr>
          <w:sz w:val="24"/>
          <w:szCs w:val="24"/>
        </w:rPr>
      </w:pPr>
      <w:r w:rsidRPr="00792B36">
        <w:rPr>
          <w:b/>
          <w:bCs/>
          <w:sz w:val="24"/>
          <w:szCs w:val="24"/>
        </w:rPr>
        <w:t>Appendix Table 1</w:t>
      </w:r>
      <w:r w:rsidRPr="00792B36">
        <w:rPr>
          <w:sz w:val="24"/>
          <w:szCs w:val="24"/>
        </w:rPr>
        <w:t xml:space="preserve"> (Continue)</w:t>
      </w:r>
    </w:p>
    <w:p w14:paraId="66323C25" w14:textId="77777777" w:rsidR="009A0A63" w:rsidRPr="00792B36" w:rsidRDefault="009A0A63" w:rsidP="009A0A63">
      <w:pPr>
        <w:rPr>
          <w:sz w:val="24"/>
          <w:szCs w:val="24"/>
        </w:rPr>
      </w:pPr>
    </w:p>
    <w:tbl>
      <w:tblPr>
        <w:tblStyle w:val="TableGrid"/>
        <w:tblW w:w="1272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955"/>
        <w:gridCol w:w="1077"/>
        <w:gridCol w:w="1077"/>
        <w:gridCol w:w="1077"/>
        <w:gridCol w:w="1077"/>
        <w:gridCol w:w="1077"/>
        <w:gridCol w:w="1077"/>
        <w:gridCol w:w="1077"/>
        <w:gridCol w:w="1077"/>
        <w:gridCol w:w="1077"/>
        <w:gridCol w:w="1077"/>
      </w:tblGrid>
      <w:tr w:rsidR="009A0A63" w:rsidRPr="00792B36" w14:paraId="4DAA5BF2" w14:textId="77777777" w:rsidTr="00A24459">
        <w:trPr>
          <w:trHeight w:val="283"/>
        </w:trPr>
        <w:tc>
          <w:tcPr>
            <w:tcW w:w="1955" w:type="dxa"/>
            <w:tcBorders>
              <w:top w:val="single" w:sz="4" w:space="0" w:color="auto"/>
              <w:bottom w:val="single" w:sz="4" w:space="0" w:color="auto"/>
            </w:tcBorders>
            <w:vAlign w:val="center"/>
          </w:tcPr>
          <w:p w14:paraId="303A4AD5" w14:textId="77777777" w:rsidR="009A0A63" w:rsidRPr="00792B36" w:rsidRDefault="009A0A63" w:rsidP="00A24459">
            <w:pPr>
              <w:jc w:val="center"/>
              <w:rPr>
                <w:b/>
                <w:bCs/>
                <w:sz w:val="24"/>
                <w:szCs w:val="24"/>
              </w:rPr>
            </w:pPr>
            <w:r w:rsidRPr="00792B36">
              <w:rPr>
                <w:rFonts w:eastAsia="Times New Roman"/>
                <w:b/>
                <w:bCs/>
                <w:color w:val="000000"/>
                <w:sz w:val="24"/>
                <w:szCs w:val="24"/>
              </w:rPr>
              <w:t>Species groups</w:t>
            </w:r>
          </w:p>
        </w:tc>
        <w:tc>
          <w:tcPr>
            <w:tcW w:w="1077" w:type="dxa"/>
            <w:tcBorders>
              <w:top w:val="single" w:sz="4" w:space="0" w:color="auto"/>
              <w:bottom w:val="single" w:sz="4" w:space="0" w:color="auto"/>
            </w:tcBorders>
            <w:vAlign w:val="center"/>
          </w:tcPr>
          <w:p w14:paraId="47559CBA" w14:textId="77777777" w:rsidR="009A0A63" w:rsidRPr="00792B36" w:rsidRDefault="009A0A63" w:rsidP="00A24459">
            <w:pPr>
              <w:jc w:val="center"/>
              <w:rPr>
                <w:b/>
                <w:bCs/>
                <w:sz w:val="24"/>
                <w:szCs w:val="24"/>
              </w:rPr>
            </w:pPr>
            <w:r w:rsidRPr="00792B36">
              <w:rPr>
                <w:b/>
                <w:bCs/>
                <w:sz w:val="24"/>
                <w:szCs w:val="24"/>
              </w:rPr>
              <w:t>1991</w:t>
            </w:r>
          </w:p>
        </w:tc>
        <w:tc>
          <w:tcPr>
            <w:tcW w:w="1077" w:type="dxa"/>
            <w:tcBorders>
              <w:top w:val="single" w:sz="4" w:space="0" w:color="auto"/>
              <w:bottom w:val="single" w:sz="4" w:space="0" w:color="auto"/>
            </w:tcBorders>
          </w:tcPr>
          <w:p w14:paraId="3A6A731F" w14:textId="77777777" w:rsidR="009A0A63" w:rsidRPr="00792B36" w:rsidRDefault="009A0A63" w:rsidP="00A24459">
            <w:pPr>
              <w:jc w:val="center"/>
              <w:rPr>
                <w:b/>
                <w:bCs/>
                <w:sz w:val="24"/>
                <w:szCs w:val="24"/>
              </w:rPr>
            </w:pPr>
            <w:r w:rsidRPr="00792B36">
              <w:rPr>
                <w:b/>
                <w:bCs/>
                <w:sz w:val="24"/>
                <w:szCs w:val="24"/>
              </w:rPr>
              <w:t>1992</w:t>
            </w:r>
          </w:p>
        </w:tc>
        <w:tc>
          <w:tcPr>
            <w:tcW w:w="1077" w:type="dxa"/>
            <w:tcBorders>
              <w:top w:val="single" w:sz="4" w:space="0" w:color="auto"/>
              <w:bottom w:val="single" w:sz="4" w:space="0" w:color="auto"/>
            </w:tcBorders>
          </w:tcPr>
          <w:p w14:paraId="20CF4727" w14:textId="77777777" w:rsidR="009A0A63" w:rsidRPr="00792B36" w:rsidRDefault="009A0A63" w:rsidP="00A24459">
            <w:pPr>
              <w:jc w:val="center"/>
              <w:rPr>
                <w:b/>
                <w:bCs/>
                <w:sz w:val="24"/>
                <w:szCs w:val="24"/>
              </w:rPr>
            </w:pPr>
            <w:r w:rsidRPr="00792B36">
              <w:rPr>
                <w:b/>
                <w:bCs/>
                <w:sz w:val="24"/>
                <w:szCs w:val="24"/>
              </w:rPr>
              <w:t>1993</w:t>
            </w:r>
          </w:p>
        </w:tc>
        <w:tc>
          <w:tcPr>
            <w:tcW w:w="1077" w:type="dxa"/>
            <w:tcBorders>
              <w:top w:val="single" w:sz="4" w:space="0" w:color="auto"/>
              <w:bottom w:val="single" w:sz="4" w:space="0" w:color="auto"/>
            </w:tcBorders>
          </w:tcPr>
          <w:p w14:paraId="4AE9634E" w14:textId="77777777" w:rsidR="009A0A63" w:rsidRPr="00792B36" w:rsidRDefault="009A0A63" w:rsidP="00A24459">
            <w:pPr>
              <w:jc w:val="center"/>
              <w:rPr>
                <w:b/>
                <w:bCs/>
                <w:sz w:val="24"/>
                <w:szCs w:val="24"/>
              </w:rPr>
            </w:pPr>
            <w:r w:rsidRPr="00792B36">
              <w:rPr>
                <w:b/>
                <w:bCs/>
                <w:sz w:val="24"/>
                <w:szCs w:val="24"/>
              </w:rPr>
              <w:t>1994</w:t>
            </w:r>
          </w:p>
        </w:tc>
        <w:tc>
          <w:tcPr>
            <w:tcW w:w="1077" w:type="dxa"/>
            <w:tcBorders>
              <w:top w:val="single" w:sz="4" w:space="0" w:color="auto"/>
              <w:bottom w:val="single" w:sz="4" w:space="0" w:color="auto"/>
            </w:tcBorders>
          </w:tcPr>
          <w:p w14:paraId="769393C1" w14:textId="77777777" w:rsidR="009A0A63" w:rsidRPr="00792B36" w:rsidRDefault="009A0A63" w:rsidP="00A24459">
            <w:pPr>
              <w:jc w:val="center"/>
              <w:rPr>
                <w:b/>
                <w:bCs/>
                <w:sz w:val="24"/>
                <w:szCs w:val="24"/>
              </w:rPr>
            </w:pPr>
            <w:r w:rsidRPr="00792B36">
              <w:rPr>
                <w:b/>
                <w:bCs/>
                <w:sz w:val="24"/>
                <w:szCs w:val="24"/>
              </w:rPr>
              <w:t>1995</w:t>
            </w:r>
          </w:p>
        </w:tc>
        <w:tc>
          <w:tcPr>
            <w:tcW w:w="1077" w:type="dxa"/>
            <w:tcBorders>
              <w:top w:val="single" w:sz="4" w:space="0" w:color="auto"/>
              <w:bottom w:val="single" w:sz="4" w:space="0" w:color="auto"/>
            </w:tcBorders>
          </w:tcPr>
          <w:p w14:paraId="16984CF3" w14:textId="77777777" w:rsidR="009A0A63" w:rsidRPr="00792B36" w:rsidRDefault="009A0A63" w:rsidP="00A24459">
            <w:pPr>
              <w:jc w:val="center"/>
              <w:rPr>
                <w:b/>
                <w:bCs/>
                <w:sz w:val="24"/>
                <w:szCs w:val="24"/>
              </w:rPr>
            </w:pPr>
            <w:r w:rsidRPr="00792B36">
              <w:rPr>
                <w:b/>
                <w:bCs/>
                <w:sz w:val="24"/>
                <w:szCs w:val="24"/>
              </w:rPr>
              <w:t>1996</w:t>
            </w:r>
          </w:p>
        </w:tc>
        <w:tc>
          <w:tcPr>
            <w:tcW w:w="1077" w:type="dxa"/>
            <w:tcBorders>
              <w:top w:val="single" w:sz="4" w:space="0" w:color="auto"/>
              <w:bottom w:val="single" w:sz="4" w:space="0" w:color="auto"/>
            </w:tcBorders>
          </w:tcPr>
          <w:p w14:paraId="6BCCC717" w14:textId="77777777" w:rsidR="009A0A63" w:rsidRPr="00792B36" w:rsidRDefault="009A0A63" w:rsidP="00A24459">
            <w:pPr>
              <w:jc w:val="center"/>
              <w:rPr>
                <w:b/>
                <w:bCs/>
                <w:sz w:val="24"/>
                <w:szCs w:val="24"/>
              </w:rPr>
            </w:pPr>
            <w:r w:rsidRPr="00792B36">
              <w:rPr>
                <w:b/>
                <w:bCs/>
                <w:sz w:val="24"/>
                <w:szCs w:val="24"/>
              </w:rPr>
              <w:t>1997</w:t>
            </w:r>
          </w:p>
        </w:tc>
        <w:tc>
          <w:tcPr>
            <w:tcW w:w="1077" w:type="dxa"/>
            <w:tcBorders>
              <w:top w:val="single" w:sz="4" w:space="0" w:color="auto"/>
              <w:bottom w:val="single" w:sz="4" w:space="0" w:color="auto"/>
            </w:tcBorders>
          </w:tcPr>
          <w:p w14:paraId="29FE9BC4" w14:textId="77777777" w:rsidR="009A0A63" w:rsidRPr="00792B36" w:rsidRDefault="009A0A63" w:rsidP="00A24459">
            <w:pPr>
              <w:jc w:val="center"/>
              <w:rPr>
                <w:rFonts w:eastAsia="Times New Roman"/>
                <w:b/>
                <w:bCs/>
                <w:color w:val="000000"/>
                <w:sz w:val="24"/>
                <w:szCs w:val="24"/>
              </w:rPr>
            </w:pPr>
            <w:r w:rsidRPr="00792B36">
              <w:rPr>
                <w:b/>
                <w:bCs/>
                <w:sz w:val="24"/>
                <w:szCs w:val="24"/>
              </w:rPr>
              <w:t>1998</w:t>
            </w:r>
          </w:p>
        </w:tc>
        <w:tc>
          <w:tcPr>
            <w:tcW w:w="1077" w:type="dxa"/>
            <w:tcBorders>
              <w:top w:val="single" w:sz="4" w:space="0" w:color="auto"/>
              <w:bottom w:val="single" w:sz="4" w:space="0" w:color="auto"/>
            </w:tcBorders>
            <w:vAlign w:val="center"/>
          </w:tcPr>
          <w:p w14:paraId="27AA82F3" w14:textId="77777777" w:rsidR="009A0A63" w:rsidRPr="00792B36" w:rsidRDefault="009A0A63" w:rsidP="00A24459">
            <w:pPr>
              <w:jc w:val="center"/>
              <w:rPr>
                <w:b/>
                <w:bCs/>
                <w:sz w:val="24"/>
                <w:szCs w:val="24"/>
              </w:rPr>
            </w:pPr>
            <w:r w:rsidRPr="00792B36">
              <w:rPr>
                <w:b/>
                <w:bCs/>
                <w:sz w:val="24"/>
                <w:szCs w:val="24"/>
              </w:rPr>
              <w:t>1999</w:t>
            </w:r>
          </w:p>
        </w:tc>
        <w:tc>
          <w:tcPr>
            <w:tcW w:w="1077" w:type="dxa"/>
            <w:tcBorders>
              <w:top w:val="single" w:sz="4" w:space="0" w:color="auto"/>
              <w:bottom w:val="single" w:sz="4" w:space="0" w:color="auto"/>
            </w:tcBorders>
            <w:vAlign w:val="center"/>
          </w:tcPr>
          <w:p w14:paraId="536E6876" w14:textId="77777777" w:rsidR="009A0A63" w:rsidRPr="00792B36" w:rsidRDefault="009A0A63" w:rsidP="00A24459">
            <w:pPr>
              <w:jc w:val="center"/>
              <w:rPr>
                <w:b/>
                <w:bCs/>
                <w:sz w:val="24"/>
                <w:szCs w:val="24"/>
              </w:rPr>
            </w:pPr>
            <w:r w:rsidRPr="00792B36">
              <w:rPr>
                <w:b/>
                <w:bCs/>
                <w:sz w:val="24"/>
                <w:szCs w:val="24"/>
              </w:rPr>
              <w:t>2000</w:t>
            </w:r>
          </w:p>
        </w:tc>
      </w:tr>
      <w:tr w:rsidR="009A0A63" w:rsidRPr="00792B36" w14:paraId="6D9E34A3" w14:textId="77777777" w:rsidTr="00A24459">
        <w:trPr>
          <w:trHeight w:val="283"/>
        </w:trPr>
        <w:tc>
          <w:tcPr>
            <w:tcW w:w="1955" w:type="dxa"/>
            <w:tcBorders>
              <w:top w:val="single" w:sz="4" w:space="0" w:color="auto"/>
            </w:tcBorders>
            <w:vAlign w:val="center"/>
          </w:tcPr>
          <w:p w14:paraId="1B962E08" w14:textId="77777777" w:rsidR="009A0A63" w:rsidRPr="00792B36" w:rsidRDefault="009A0A63" w:rsidP="00A24459">
            <w:pPr>
              <w:rPr>
                <w:sz w:val="24"/>
                <w:szCs w:val="24"/>
              </w:rPr>
            </w:pPr>
            <w:r w:rsidRPr="00792B36">
              <w:rPr>
                <w:rFonts w:eastAsia="Times New Roman"/>
                <w:color w:val="000000"/>
                <w:sz w:val="24"/>
                <w:szCs w:val="24"/>
              </w:rPr>
              <w:t>Demersal fishes</w:t>
            </w:r>
          </w:p>
        </w:tc>
        <w:tc>
          <w:tcPr>
            <w:tcW w:w="1077" w:type="dxa"/>
            <w:tcBorders>
              <w:top w:val="single" w:sz="4" w:space="0" w:color="auto"/>
            </w:tcBorders>
          </w:tcPr>
          <w:p w14:paraId="6B709796" w14:textId="77777777" w:rsidR="009A0A63" w:rsidRPr="00792B36" w:rsidRDefault="009A0A63" w:rsidP="00A24459">
            <w:pPr>
              <w:jc w:val="center"/>
              <w:rPr>
                <w:sz w:val="24"/>
                <w:szCs w:val="24"/>
              </w:rPr>
            </w:pPr>
            <w:r w:rsidRPr="00792B36">
              <w:rPr>
                <w:sz w:val="24"/>
                <w:szCs w:val="24"/>
              </w:rPr>
              <w:t>782,385</w:t>
            </w:r>
          </w:p>
        </w:tc>
        <w:tc>
          <w:tcPr>
            <w:tcW w:w="1077" w:type="dxa"/>
            <w:tcBorders>
              <w:top w:val="single" w:sz="4" w:space="0" w:color="auto"/>
            </w:tcBorders>
          </w:tcPr>
          <w:p w14:paraId="5974358D" w14:textId="77777777" w:rsidR="009A0A63" w:rsidRPr="00792B36" w:rsidRDefault="009A0A63" w:rsidP="00A24459">
            <w:pPr>
              <w:jc w:val="center"/>
              <w:rPr>
                <w:sz w:val="24"/>
                <w:szCs w:val="24"/>
              </w:rPr>
            </w:pPr>
            <w:r w:rsidRPr="00792B36">
              <w:rPr>
                <w:sz w:val="24"/>
                <w:szCs w:val="24"/>
              </w:rPr>
              <w:t>655,726</w:t>
            </w:r>
          </w:p>
        </w:tc>
        <w:tc>
          <w:tcPr>
            <w:tcW w:w="1077" w:type="dxa"/>
            <w:tcBorders>
              <w:top w:val="single" w:sz="4" w:space="0" w:color="auto"/>
            </w:tcBorders>
          </w:tcPr>
          <w:p w14:paraId="5A3736D1" w14:textId="77777777" w:rsidR="009A0A63" w:rsidRPr="00792B36" w:rsidRDefault="009A0A63" w:rsidP="00A24459">
            <w:pPr>
              <w:jc w:val="center"/>
              <w:rPr>
                <w:sz w:val="24"/>
                <w:szCs w:val="24"/>
              </w:rPr>
            </w:pPr>
            <w:r w:rsidRPr="00792B36">
              <w:rPr>
                <w:sz w:val="24"/>
                <w:szCs w:val="24"/>
              </w:rPr>
              <w:t>756,758</w:t>
            </w:r>
          </w:p>
        </w:tc>
        <w:tc>
          <w:tcPr>
            <w:tcW w:w="1077" w:type="dxa"/>
            <w:tcBorders>
              <w:top w:val="single" w:sz="4" w:space="0" w:color="auto"/>
            </w:tcBorders>
          </w:tcPr>
          <w:p w14:paraId="133ECC8A" w14:textId="77777777" w:rsidR="009A0A63" w:rsidRPr="00792B36" w:rsidRDefault="009A0A63" w:rsidP="00A24459">
            <w:pPr>
              <w:jc w:val="center"/>
              <w:rPr>
                <w:sz w:val="24"/>
                <w:szCs w:val="24"/>
              </w:rPr>
            </w:pPr>
            <w:r w:rsidRPr="00792B36">
              <w:rPr>
                <w:color w:val="000000"/>
                <w:sz w:val="24"/>
                <w:szCs w:val="24"/>
              </w:rPr>
              <w:t>718,478</w:t>
            </w:r>
          </w:p>
        </w:tc>
        <w:tc>
          <w:tcPr>
            <w:tcW w:w="1077" w:type="dxa"/>
            <w:tcBorders>
              <w:top w:val="single" w:sz="4" w:space="0" w:color="auto"/>
            </w:tcBorders>
          </w:tcPr>
          <w:p w14:paraId="6B399116" w14:textId="77777777" w:rsidR="009A0A63" w:rsidRPr="00792B36" w:rsidRDefault="009A0A63" w:rsidP="00A24459">
            <w:pPr>
              <w:jc w:val="center"/>
              <w:rPr>
                <w:sz w:val="24"/>
                <w:szCs w:val="24"/>
              </w:rPr>
            </w:pPr>
            <w:r w:rsidRPr="00792B36">
              <w:rPr>
                <w:sz w:val="24"/>
                <w:szCs w:val="24"/>
              </w:rPr>
              <w:t>680,198</w:t>
            </w:r>
          </w:p>
        </w:tc>
        <w:tc>
          <w:tcPr>
            <w:tcW w:w="1077" w:type="dxa"/>
            <w:tcBorders>
              <w:top w:val="single" w:sz="4" w:space="0" w:color="auto"/>
            </w:tcBorders>
          </w:tcPr>
          <w:p w14:paraId="1A7FF9B9" w14:textId="77777777" w:rsidR="009A0A63" w:rsidRPr="00792B36" w:rsidRDefault="009A0A63" w:rsidP="00A24459">
            <w:pPr>
              <w:jc w:val="center"/>
              <w:rPr>
                <w:sz w:val="24"/>
                <w:szCs w:val="24"/>
              </w:rPr>
            </w:pPr>
            <w:r w:rsidRPr="00792B36">
              <w:rPr>
                <w:sz w:val="24"/>
                <w:szCs w:val="24"/>
              </w:rPr>
              <w:t>582,656</w:t>
            </w:r>
          </w:p>
        </w:tc>
        <w:tc>
          <w:tcPr>
            <w:tcW w:w="1077" w:type="dxa"/>
            <w:tcBorders>
              <w:top w:val="single" w:sz="4" w:space="0" w:color="auto"/>
            </w:tcBorders>
          </w:tcPr>
          <w:p w14:paraId="3A9BE3EE" w14:textId="77777777" w:rsidR="009A0A63" w:rsidRPr="00792B36" w:rsidRDefault="009A0A63" w:rsidP="00A24459">
            <w:pPr>
              <w:jc w:val="center"/>
              <w:rPr>
                <w:sz w:val="24"/>
                <w:szCs w:val="24"/>
              </w:rPr>
            </w:pPr>
            <w:r w:rsidRPr="00792B36">
              <w:rPr>
                <w:sz w:val="24"/>
                <w:szCs w:val="24"/>
              </w:rPr>
              <w:t>545,323</w:t>
            </w:r>
          </w:p>
        </w:tc>
        <w:tc>
          <w:tcPr>
            <w:tcW w:w="1077" w:type="dxa"/>
            <w:tcBorders>
              <w:top w:val="single" w:sz="4" w:space="0" w:color="auto"/>
            </w:tcBorders>
          </w:tcPr>
          <w:p w14:paraId="0984045F" w14:textId="77777777" w:rsidR="009A0A63" w:rsidRPr="00792B36" w:rsidRDefault="009A0A63" w:rsidP="00A24459">
            <w:pPr>
              <w:jc w:val="center"/>
              <w:rPr>
                <w:rFonts w:eastAsia="Times New Roman"/>
                <w:color w:val="000000"/>
                <w:sz w:val="24"/>
                <w:szCs w:val="24"/>
              </w:rPr>
            </w:pPr>
            <w:r w:rsidRPr="00792B36">
              <w:rPr>
                <w:sz w:val="24"/>
                <w:szCs w:val="24"/>
              </w:rPr>
              <w:t>494,126</w:t>
            </w:r>
          </w:p>
        </w:tc>
        <w:tc>
          <w:tcPr>
            <w:tcW w:w="1077" w:type="dxa"/>
            <w:tcBorders>
              <w:top w:val="single" w:sz="4" w:space="0" w:color="auto"/>
            </w:tcBorders>
          </w:tcPr>
          <w:p w14:paraId="28A85AFF" w14:textId="77777777" w:rsidR="009A0A63" w:rsidRPr="00792B36" w:rsidRDefault="009A0A63" w:rsidP="00A24459">
            <w:pPr>
              <w:jc w:val="center"/>
              <w:rPr>
                <w:sz w:val="24"/>
                <w:szCs w:val="24"/>
              </w:rPr>
            </w:pPr>
            <w:r w:rsidRPr="00792B36">
              <w:rPr>
                <w:sz w:val="24"/>
                <w:szCs w:val="24"/>
              </w:rPr>
              <w:t>532,183</w:t>
            </w:r>
          </w:p>
        </w:tc>
        <w:tc>
          <w:tcPr>
            <w:tcW w:w="1077" w:type="dxa"/>
            <w:tcBorders>
              <w:top w:val="single" w:sz="4" w:space="0" w:color="auto"/>
            </w:tcBorders>
          </w:tcPr>
          <w:p w14:paraId="5DB7C21A" w14:textId="77777777" w:rsidR="009A0A63" w:rsidRPr="00792B36" w:rsidRDefault="009A0A63" w:rsidP="00A24459">
            <w:pPr>
              <w:jc w:val="center"/>
              <w:rPr>
                <w:sz w:val="24"/>
                <w:szCs w:val="24"/>
              </w:rPr>
            </w:pPr>
            <w:r w:rsidRPr="00792B36">
              <w:rPr>
                <w:sz w:val="24"/>
                <w:szCs w:val="24"/>
              </w:rPr>
              <w:t>500,384</w:t>
            </w:r>
          </w:p>
        </w:tc>
      </w:tr>
      <w:tr w:rsidR="009A0A63" w:rsidRPr="00792B36" w14:paraId="1F0D95B8" w14:textId="77777777" w:rsidTr="00A24459">
        <w:trPr>
          <w:trHeight w:val="283"/>
        </w:trPr>
        <w:tc>
          <w:tcPr>
            <w:tcW w:w="1955" w:type="dxa"/>
            <w:vAlign w:val="center"/>
          </w:tcPr>
          <w:p w14:paraId="69563F35" w14:textId="77777777" w:rsidR="009A0A63" w:rsidRPr="00792B36" w:rsidRDefault="009A0A63" w:rsidP="00A24459">
            <w:pPr>
              <w:rPr>
                <w:sz w:val="24"/>
                <w:szCs w:val="24"/>
              </w:rPr>
            </w:pPr>
            <w:r w:rsidRPr="00792B36">
              <w:rPr>
                <w:rFonts w:eastAsia="Times New Roman"/>
                <w:color w:val="000000"/>
                <w:sz w:val="24"/>
                <w:szCs w:val="24"/>
              </w:rPr>
              <w:t>Pelagic fishes</w:t>
            </w:r>
          </w:p>
        </w:tc>
        <w:tc>
          <w:tcPr>
            <w:tcW w:w="1077" w:type="dxa"/>
          </w:tcPr>
          <w:p w14:paraId="2CC3C6F8" w14:textId="77777777" w:rsidR="009A0A63" w:rsidRPr="00792B36" w:rsidRDefault="009A0A63" w:rsidP="00A24459">
            <w:pPr>
              <w:jc w:val="center"/>
              <w:rPr>
                <w:sz w:val="24"/>
                <w:szCs w:val="24"/>
              </w:rPr>
            </w:pPr>
            <w:r w:rsidRPr="00792B36">
              <w:rPr>
                <w:sz w:val="24"/>
                <w:szCs w:val="24"/>
              </w:rPr>
              <w:t>322,179</w:t>
            </w:r>
          </w:p>
        </w:tc>
        <w:tc>
          <w:tcPr>
            <w:tcW w:w="1077" w:type="dxa"/>
          </w:tcPr>
          <w:p w14:paraId="6DB4F574" w14:textId="77777777" w:rsidR="009A0A63" w:rsidRPr="00792B36" w:rsidRDefault="009A0A63" w:rsidP="00A24459">
            <w:pPr>
              <w:jc w:val="center"/>
              <w:rPr>
                <w:sz w:val="24"/>
                <w:szCs w:val="24"/>
              </w:rPr>
            </w:pPr>
            <w:r w:rsidRPr="00792B36">
              <w:rPr>
                <w:sz w:val="24"/>
                <w:szCs w:val="24"/>
              </w:rPr>
              <w:t>405,750</w:t>
            </w:r>
          </w:p>
        </w:tc>
        <w:tc>
          <w:tcPr>
            <w:tcW w:w="1077" w:type="dxa"/>
          </w:tcPr>
          <w:p w14:paraId="5239496B" w14:textId="77777777" w:rsidR="009A0A63" w:rsidRPr="00792B36" w:rsidRDefault="009A0A63" w:rsidP="00A24459">
            <w:pPr>
              <w:jc w:val="center"/>
              <w:rPr>
                <w:sz w:val="24"/>
                <w:szCs w:val="24"/>
              </w:rPr>
            </w:pPr>
            <w:r w:rsidRPr="00792B36">
              <w:rPr>
                <w:sz w:val="24"/>
                <w:szCs w:val="24"/>
              </w:rPr>
              <w:t>378,446</w:t>
            </w:r>
          </w:p>
        </w:tc>
        <w:tc>
          <w:tcPr>
            <w:tcW w:w="1077" w:type="dxa"/>
          </w:tcPr>
          <w:p w14:paraId="7AC26576" w14:textId="77777777" w:rsidR="009A0A63" w:rsidRPr="00792B36" w:rsidRDefault="009A0A63" w:rsidP="00A24459">
            <w:pPr>
              <w:jc w:val="center"/>
              <w:rPr>
                <w:sz w:val="24"/>
                <w:szCs w:val="24"/>
              </w:rPr>
            </w:pPr>
            <w:r w:rsidRPr="00792B36">
              <w:rPr>
                <w:color w:val="000000"/>
                <w:sz w:val="24"/>
                <w:szCs w:val="24"/>
              </w:rPr>
              <w:t>425,316</w:t>
            </w:r>
          </w:p>
        </w:tc>
        <w:tc>
          <w:tcPr>
            <w:tcW w:w="1077" w:type="dxa"/>
          </w:tcPr>
          <w:p w14:paraId="0EBB46AC" w14:textId="77777777" w:rsidR="009A0A63" w:rsidRPr="00792B36" w:rsidRDefault="009A0A63" w:rsidP="00A24459">
            <w:pPr>
              <w:jc w:val="center"/>
              <w:rPr>
                <w:sz w:val="24"/>
                <w:szCs w:val="24"/>
              </w:rPr>
            </w:pPr>
            <w:r w:rsidRPr="00792B36">
              <w:rPr>
                <w:sz w:val="24"/>
                <w:szCs w:val="24"/>
              </w:rPr>
              <w:t>472,186</w:t>
            </w:r>
          </w:p>
        </w:tc>
        <w:tc>
          <w:tcPr>
            <w:tcW w:w="1077" w:type="dxa"/>
          </w:tcPr>
          <w:p w14:paraId="4192F00D" w14:textId="77777777" w:rsidR="009A0A63" w:rsidRPr="00792B36" w:rsidRDefault="009A0A63" w:rsidP="00A24459">
            <w:pPr>
              <w:jc w:val="center"/>
              <w:rPr>
                <w:sz w:val="24"/>
                <w:szCs w:val="24"/>
              </w:rPr>
            </w:pPr>
            <w:r w:rsidRPr="00792B36">
              <w:rPr>
                <w:sz w:val="24"/>
                <w:szCs w:val="24"/>
              </w:rPr>
              <w:t>430,480</w:t>
            </w:r>
          </w:p>
        </w:tc>
        <w:tc>
          <w:tcPr>
            <w:tcW w:w="1077" w:type="dxa"/>
          </w:tcPr>
          <w:p w14:paraId="3D100C13" w14:textId="77777777" w:rsidR="009A0A63" w:rsidRPr="00792B36" w:rsidRDefault="009A0A63" w:rsidP="00A24459">
            <w:pPr>
              <w:jc w:val="center"/>
              <w:rPr>
                <w:sz w:val="24"/>
                <w:szCs w:val="24"/>
              </w:rPr>
            </w:pPr>
            <w:r w:rsidRPr="00792B36">
              <w:rPr>
                <w:sz w:val="24"/>
                <w:szCs w:val="24"/>
              </w:rPr>
              <w:t>409,580</w:t>
            </w:r>
          </w:p>
        </w:tc>
        <w:tc>
          <w:tcPr>
            <w:tcW w:w="1077" w:type="dxa"/>
          </w:tcPr>
          <w:p w14:paraId="2BABF737" w14:textId="77777777" w:rsidR="009A0A63" w:rsidRPr="00792B36" w:rsidRDefault="009A0A63" w:rsidP="00A24459">
            <w:pPr>
              <w:jc w:val="center"/>
              <w:rPr>
                <w:rFonts w:eastAsia="Times New Roman"/>
                <w:color w:val="000000"/>
                <w:sz w:val="24"/>
                <w:szCs w:val="24"/>
              </w:rPr>
            </w:pPr>
            <w:r w:rsidRPr="00792B36">
              <w:rPr>
                <w:sz w:val="24"/>
                <w:szCs w:val="24"/>
              </w:rPr>
              <w:t>397,788</w:t>
            </w:r>
          </w:p>
        </w:tc>
        <w:tc>
          <w:tcPr>
            <w:tcW w:w="1077" w:type="dxa"/>
          </w:tcPr>
          <w:p w14:paraId="7F37C94D" w14:textId="77777777" w:rsidR="009A0A63" w:rsidRPr="00792B36" w:rsidRDefault="009A0A63" w:rsidP="00A24459">
            <w:pPr>
              <w:jc w:val="center"/>
              <w:rPr>
                <w:sz w:val="24"/>
                <w:szCs w:val="24"/>
              </w:rPr>
            </w:pPr>
            <w:r w:rsidRPr="00792B36">
              <w:rPr>
                <w:sz w:val="24"/>
                <w:szCs w:val="24"/>
              </w:rPr>
              <w:t>389,629</w:t>
            </w:r>
          </w:p>
        </w:tc>
        <w:tc>
          <w:tcPr>
            <w:tcW w:w="1077" w:type="dxa"/>
          </w:tcPr>
          <w:p w14:paraId="1A328463" w14:textId="77777777" w:rsidR="009A0A63" w:rsidRPr="00792B36" w:rsidRDefault="009A0A63" w:rsidP="00A24459">
            <w:pPr>
              <w:jc w:val="center"/>
              <w:rPr>
                <w:sz w:val="24"/>
                <w:szCs w:val="24"/>
              </w:rPr>
            </w:pPr>
            <w:r w:rsidRPr="00792B36">
              <w:rPr>
                <w:sz w:val="24"/>
                <w:szCs w:val="24"/>
              </w:rPr>
              <w:t>397,047</w:t>
            </w:r>
          </w:p>
        </w:tc>
      </w:tr>
      <w:tr w:rsidR="009A0A63" w:rsidRPr="00792B36" w14:paraId="2C7156F3" w14:textId="77777777" w:rsidTr="00A24459">
        <w:trPr>
          <w:trHeight w:val="283"/>
        </w:trPr>
        <w:tc>
          <w:tcPr>
            <w:tcW w:w="1955" w:type="dxa"/>
            <w:vAlign w:val="center"/>
          </w:tcPr>
          <w:p w14:paraId="67357FD2" w14:textId="77777777" w:rsidR="009A0A63" w:rsidRPr="00792B36" w:rsidRDefault="009A0A63" w:rsidP="00A24459">
            <w:pPr>
              <w:rPr>
                <w:sz w:val="24"/>
                <w:szCs w:val="24"/>
              </w:rPr>
            </w:pPr>
            <w:r w:rsidRPr="00792B36">
              <w:rPr>
                <w:rFonts w:eastAsia="Times New Roman"/>
                <w:color w:val="000000"/>
                <w:spacing w:val="-4"/>
                <w:sz w:val="24"/>
                <w:szCs w:val="24"/>
              </w:rPr>
              <w:t>Squids, cuttlefishes,</w:t>
            </w:r>
            <w:r w:rsidRPr="00792B36">
              <w:rPr>
                <w:rFonts w:eastAsia="Times New Roman"/>
                <w:color w:val="000000"/>
                <w:sz w:val="24"/>
                <w:szCs w:val="24"/>
              </w:rPr>
              <w:t xml:space="preserve"> Octopus</w:t>
            </w:r>
          </w:p>
        </w:tc>
        <w:tc>
          <w:tcPr>
            <w:tcW w:w="1077" w:type="dxa"/>
          </w:tcPr>
          <w:p w14:paraId="0A757C2D" w14:textId="77777777" w:rsidR="009A0A63" w:rsidRPr="00792B36" w:rsidRDefault="009A0A63" w:rsidP="00A24459">
            <w:pPr>
              <w:jc w:val="center"/>
              <w:rPr>
                <w:sz w:val="24"/>
                <w:szCs w:val="24"/>
              </w:rPr>
            </w:pPr>
            <w:r w:rsidRPr="00792B36">
              <w:rPr>
                <w:sz w:val="24"/>
                <w:szCs w:val="24"/>
              </w:rPr>
              <w:t>112,388</w:t>
            </w:r>
          </w:p>
        </w:tc>
        <w:tc>
          <w:tcPr>
            <w:tcW w:w="1077" w:type="dxa"/>
          </w:tcPr>
          <w:p w14:paraId="58297881" w14:textId="77777777" w:rsidR="009A0A63" w:rsidRPr="00792B36" w:rsidRDefault="009A0A63" w:rsidP="00A24459">
            <w:pPr>
              <w:jc w:val="center"/>
              <w:rPr>
                <w:sz w:val="24"/>
                <w:szCs w:val="24"/>
              </w:rPr>
            </w:pPr>
            <w:r w:rsidRPr="00792B36">
              <w:rPr>
                <w:sz w:val="24"/>
                <w:szCs w:val="24"/>
              </w:rPr>
              <w:t>89,521</w:t>
            </w:r>
          </w:p>
        </w:tc>
        <w:tc>
          <w:tcPr>
            <w:tcW w:w="1077" w:type="dxa"/>
          </w:tcPr>
          <w:p w14:paraId="4A00C282" w14:textId="77777777" w:rsidR="009A0A63" w:rsidRPr="00792B36" w:rsidRDefault="009A0A63" w:rsidP="00A24459">
            <w:pPr>
              <w:jc w:val="center"/>
              <w:rPr>
                <w:sz w:val="24"/>
                <w:szCs w:val="24"/>
              </w:rPr>
            </w:pPr>
            <w:r w:rsidRPr="00792B36">
              <w:rPr>
                <w:sz w:val="24"/>
                <w:szCs w:val="24"/>
              </w:rPr>
              <w:t>92,400</w:t>
            </w:r>
          </w:p>
        </w:tc>
        <w:tc>
          <w:tcPr>
            <w:tcW w:w="1077" w:type="dxa"/>
          </w:tcPr>
          <w:p w14:paraId="1A32C04F" w14:textId="77777777" w:rsidR="009A0A63" w:rsidRPr="00792B36" w:rsidRDefault="009A0A63" w:rsidP="00A24459">
            <w:pPr>
              <w:jc w:val="center"/>
              <w:rPr>
                <w:sz w:val="24"/>
                <w:szCs w:val="24"/>
              </w:rPr>
            </w:pPr>
            <w:r w:rsidRPr="00792B36">
              <w:rPr>
                <w:color w:val="000000"/>
                <w:sz w:val="24"/>
                <w:szCs w:val="24"/>
              </w:rPr>
              <w:t>87,869</w:t>
            </w:r>
          </w:p>
        </w:tc>
        <w:tc>
          <w:tcPr>
            <w:tcW w:w="1077" w:type="dxa"/>
          </w:tcPr>
          <w:p w14:paraId="28084A54" w14:textId="77777777" w:rsidR="009A0A63" w:rsidRPr="00792B36" w:rsidRDefault="009A0A63" w:rsidP="00A24459">
            <w:pPr>
              <w:jc w:val="center"/>
              <w:rPr>
                <w:sz w:val="24"/>
                <w:szCs w:val="24"/>
              </w:rPr>
            </w:pPr>
            <w:r w:rsidRPr="00792B36">
              <w:rPr>
                <w:sz w:val="24"/>
                <w:szCs w:val="24"/>
              </w:rPr>
              <w:t>83,337</w:t>
            </w:r>
          </w:p>
        </w:tc>
        <w:tc>
          <w:tcPr>
            <w:tcW w:w="1077" w:type="dxa"/>
          </w:tcPr>
          <w:p w14:paraId="611831C2" w14:textId="77777777" w:rsidR="009A0A63" w:rsidRPr="00792B36" w:rsidRDefault="009A0A63" w:rsidP="00A24459">
            <w:pPr>
              <w:jc w:val="center"/>
              <w:rPr>
                <w:sz w:val="24"/>
                <w:szCs w:val="24"/>
              </w:rPr>
            </w:pPr>
            <w:r w:rsidRPr="00792B36">
              <w:rPr>
                <w:sz w:val="24"/>
                <w:szCs w:val="24"/>
              </w:rPr>
              <w:t>72,754</w:t>
            </w:r>
          </w:p>
        </w:tc>
        <w:tc>
          <w:tcPr>
            <w:tcW w:w="1077" w:type="dxa"/>
          </w:tcPr>
          <w:p w14:paraId="7839D6FC" w14:textId="77777777" w:rsidR="009A0A63" w:rsidRPr="00792B36" w:rsidRDefault="009A0A63" w:rsidP="00A24459">
            <w:pPr>
              <w:jc w:val="center"/>
              <w:rPr>
                <w:sz w:val="24"/>
                <w:szCs w:val="24"/>
              </w:rPr>
            </w:pPr>
            <w:r w:rsidRPr="00792B36">
              <w:rPr>
                <w:sz w:val="24"/>
                <w:szCs w:val="24"/>
              </w:rPr>
              <w:t>72,094</w:t>
            </w:r>
          </w:p>
        </w:tc>
        <w:tc>
          <w:tcPr>
            <w:tcW w:w="1077" w:type="dxa"/>
          </w:tcPr>
          <w:p w14:paraId="5DF976E2" w14:textId="77777777" w:rsidR="009A0A63" w:rsidRPr="00792B36" w:rsidRDefault="009A0A63" w:rsidP="00A24459">
            <w:pPr>
              <w:jc w:val="center"/>
              <w:rPr>
                <w:rFonts w:eastAsia="Times New Roman"/>
                <w:color w:val="000000"/>
                <w:sz w:val="24"/>
                <w:szCs w:val="24"/>
              </w:rPr>
            </w:pPr>
            <w:r w:rsidRPr="00792B36">
              <w:rPr>
                <w:sz w:val="24"/>
                <w:szCs w:val="24"/>
              </w:rPr>
              <w:t>90,690</w:t>
            </w:r>
          </w:p>
        </w:tc>
        <w:tc>
          <w:tcPr>
            <w:tcW w:w="1077" w:type="dxa"/>
          </w:tcPr>
          <w:p w14:paraId="4652A72D" w14:textId="77777777" w:rsidR="009A0A63" w:rsidRPr="00792B36" w:rsidRDefault="009A0A63" w:rsidP="00A24459">
            <w:pPr>
              <w:jc w:val="center"/>
              <w:rPr>
                <w:sz w:val="24"/>
                <w:szCs w:val="24"/>
              </w:rPr>
            </w:pPr>
            <w:r w:rsidRPr="00792B36">
              <w:rPr>
                <w:sz w:val="24"/>
                <w:szCs w:val="24"/>
              </w:rPr>
              <w:t>72,531</w:t>
            </w:r>
          </w:p>
        </w:tc>
        <w:tc>
          <w:tcPr>
            <w:tcW w:w="1077" w:type="dxa"/>
          </w:tcPr>
          <w:p w14:paraId="6BE4327A" w14:textId="77777777" w:rsidR="009A0A63" w:rsidRPr="00792B36" w:rsidRDefault="009A0A63" w:rsidP="00A24459">
            <w:pPr>
              <w:jc w:val="center"/>
              <w:rPr>
                <w:sz w:val="24"/>
                <w:szCs w:val="24"/>
              </w:rPr>
            </w:pPr>
            <w:r w:rsidRPr="00792B36">
              <w:rPr>
                <w:sz w:val="24"/>
                <w:szCs w:val="24"/>
              </w:rPr>
              <w:t>70,929</w:t>
            </w:r>
          </w:p>
        </w:tc>
      </w:tr>
      <w:tr w:rsidR="009A0A63" w:rsidRPr="00792B36" w14:paraId="6C7916CD" w14:textId="77777777" w:rsidTr="00A24459">
        <w:trPr>
          <w:trHeight w:val="283"/>
        </w:trPr>
        <w:tc>
          <w:tcPr>
            <w:tcW w:w="1955" w:type="dxa"/>
            <w:vAlign w:val="center"/>
          </w:tcPr>
          <w:p w14:paraId="13218005" w14:textId="77777777" w:rsidR="009A0A63" w:rsidRPr="00792B36" w:rsidRDefault="009A0A63" w:rsidP="00A24459">
            <w:pPr>
              <w:rPr>
                <w:sz w:val="24"/>
                <w:szCs w:val="24"/>
              </w:rPr>
            </w:pPr>
            <w:r w:rsidRPr="00792B36">
              <w:rPr>
                <w:rFonts w:eastAsia="Times New Roman"/>
                <w:color w:val="000000"/>
                <w:sz w:val="24"/>
                <w:szCs w:val="24"/>
              </w:rPr>
              <w:t xml:space="preserve">Crustaceans </w:t>
            </w:r>
          </w:p>
        </w:tc>
        <w:tc>
          <w:tcPr>
            <w:tcW w:w="1077" w:type="dxa"/>
          </w:tcPr>
          <w:p w14:paraId="07390E32" w14:textId="77777777" w:rsidR="009A0A63" w:rsidRPr="00792B36" w:rsidRDefault="009A0A63" w:rsidP="00A24459">
            <w:pPr>
              <w:jc w:val="center"/>
              <w:rPr>
                <w:sz w:val="24"/>
                <w:szCs w:val="24"/>
              </w:rPr>
            </w:pPr>
            <w:r w:rsidRPr="00792B36">
              <w:rPr>
                <w:sz w:val="24"/>
                <w:szCs w:val="24"/>
              </w:rPr>
              <w:t>136,757</w:t>
            </w:r>
          </w:p>
        </w:tc>
        <w:tc>
          <w:tcPr>
            <w:tcW w:w="1077" w:type="dxa"/>
          </w:tcPr>
          <w:p w14:paraId="32E2477E" w14:textId="77777777" w:rsidR="009A0A63" w:rsidRPr="00792B36" w:rsidRDefault="009A0A63" w:rsidP="00A24459">
            <w:pPr>
              <w:jc w:val="center"/>
              <w:rPr>
                <w:sz w:val="24"/>
                <w:szCs w:val="24"/>
              </w:rPr>
            </w:pPr>
            <w:r w:rsidRPr="00792B36">
              <w:rPr>
                <w:sz w:val="24"/>
                <w:szCs w:val="24"/>
              </w:rPr>
              <w:t>126,215</w:t>
            </w:r>
          </w:p>
        </w:tc>
        <w:tc>
          <w:tcPr>
            <w:tcW w:w="1077" w:type="dxa"/>
          </w:tcPr>
          <w:p w14:paraId="2DDD7083" w14:textId="77777777" w:rsidR="009A0A63" w:rsidRPr="00792B36" w:rsidRDefault="009A0A63" w:rsidP="00A24459">
            <w:pPr>
              <w:jc w:val="center"/>
              <w:rPr>
                <w:sz w:val="24"/>
                <w:szCs w:val="24"/>
              </w:rPr>
            </w:pPr>
            <w:r w:rsidRPr="00792B36">
              <w:rPr>
                <w:sz w:val="24"/>
                <w:szCs w:val="24"/>
              </w:rPr>
              <w:t>131,691</w:t>
            </w:r>
          </w:p>
        </w:tc>
        <w:tc>
          <w:tcPr>
            <w:tcW w:w="1077" w:type="dxa"/>
          </w:tcPr>
          <w:p w14:paraId="23320CDC" w14:textId="77777777" w:rsidR="009A0A63" w:rsidRPr="00792B36" w:rsidRDefault="009A0A63" w:rsidP="00A24459">
            <w:pPr>
              <w:jc w:val="center"/>
              <w:rPr>
                <w:sz w:val="24"/>
                <w:szCs w:val="24"/>
              </w:rPr>
            </w:pPr>
            <w:r w:rsidRPr="00792B36">
              <w:rPr>
                <w:color w:val="000000"/>
                <w:sz w:val="24"/>
                <w:szCs w:val="24"/>
              </w:rPr>
              <w:t>132,638</w:t>
            </w:r>
          </w:p>
        </w:tc>
        <w:tc>
          <w:tcPr>
            <w:tcW w:w="1077" w:type="dxa"/>
          </w:tcPr>
          <w:p w14:paraId="52242166" w14:textId="77777777" w:rsidR="009A0A63" w:rsidRPr="00792B36" w:rsidRDefault="009A0A63" w:rsidP="00A24459">
            <w:pPr>
              <w:jc w:val="center"/>
              <w:rPr>
                <w:sz w:val="24"/>
                <w:szCs w:val="24"/>
              </w:rPr>
            </w:pPr>
            <w:r w:rsidRPr="00792B36">
              <w:rPr>
                <w:sz w:val="24"/>
                <w:szCs w:val="24"/>
              </w:rPr>
              <w:t>133,584</w:t>
            </w:r>
          </w:p>
        </w:tc>
        <w:tc>
          <w:tcPr>
            <w:tcW w:w="1077" w:type="dxa"/>
          </w:tcPr>
          <w:p w14:paraId="4F2218DA" w14:textId="77777777" w:rsidR="009A0A63" w:rsidRPr="00792B36" w:rsidRDefault="009A0A63" w:rsidP="00A24459">
            <w:pPr>
              <w:jc w:val="center"/>
              <w:rPr>
                <w:sz w:val="24"/>
                <w:szCs w:val="24"/>
              </w:rPr>
            </w:pPr>
            <w:r w:rsidRPr="00792B36">
              <w:rPr>
                <w:sz w:val="24"/>
                <w:szCs w:val="24"/>
              </w:rPr>
              <w:t>128,259</w:t>
            </w:r>
          </w:p>
        </w:tc>
        <w:tc>
          <w:tcPr>
            <w:tcW w:w="1077" w:type="dxa"/>
          </w:tcPr>
          <w:p w14:paraId="6A203205" w14:textId="77777777" w:rsidR="009A0A63" w:rsidRPr="00792B36" w:rsidRDefault="009A0A63" w:rsidP="00A24459">
            <w:pPr>
              <w:jc w:val="center"/>
              <w:rPr>
                <w:sz w:val="24"/>
                <w:szCs w:val="24"/>
              </w:rPr>
            </w:pPr>
            <w:r w:rsidRPr="00792B36">
              <w:rPr>
                <w:sz w:val="24"/>
                <w:szCs w:val="24"/>
              </w:rPr>
              <w:t>120,802</w:t>
            </w:r>
          </w:p>
        </w:tc>
        <w:tc>
          <w:tcPr>
            <w:tcW w:w="1077" w:type="dxa"/>
          </w:tcPr>
          <w:p w14:paraId="702BC6F3" w14:textId="77777777" w:rsidR="009A0A63" w:rsidRPr="00792B36" w:rsidRDefault="009A0A63" w:rsidP="00A24459">
            <w:pPr>
              <w:jc w:val="center"/>
              <w:rPr>
                <w:rFonts w:eastAsia="Times New Roman"/>
                <w:color w:val="000000"/>
                <w:sz w:val="24"/>
                <w:szCs w:val="24"/>
              </w:rPr>
            </w:pPr>
            <w:r w:rsidRPr="00792B36">
              <w:rPr>
                <w:sz w:val="24"/>
                <w:szCs w:val="24"/>
              </w:rPr>
              <w:t>104,043</w:t>
            </w:r>
          </w:p>
        </w:tc>
        <w:tc>
          <w:tcPr>
            <w:tcW w:w="1077" w:type="dxa"/>
          </w:tcPr>
          <w:p w14:paraId="5A7C5003" w14:textId="77777777" w:rsidR="009A0A63" w:rsidRPr="00792B36" w:rsidRDefault="009A0A63" w:rsidP="00A24459">
            <w:pPr>
              <w:jc w:val="center"/>
              <w:rPr>
                <w:sz w:val="24"/>
                <w:szCs w:val="24"/>
              </w:rPr>
            </w:pPr>
            <w:r w:rsidRPr="00792B36">
              <w:rPr>
                <w:sz w:val="24"/>
                <w:szCs w:val="24"/>
              </w:rPr>
              <w:t>94,202</w:t>
            </w:r>
          </w:p>
        </w:tc>
        <w:tc>
          <w:tcPr>
            <w:tcW w:w="1077" w:type="dxa"/>
          </w:tcPr>
          <w:p w14:paraId="6E1666F7" w14:textId="77777777" w:rsidR="009A0A63" w:rsidRPr="00792B36" w:rsidRDefault="009A0A63" w:rsidP="00A24459">
            <w:pPr>
              <w:jc w:val="center"/>
              <w:rPr>
                <w:sz w:val="24"/>
                <w:szCs w:val="24"/>
              </w:rPr>
            </w:pPr>
            <w:r w:rsidRPr="00792B36">
              <w:rPr>
                <w:sz w:val="24"/>
                <w:szCs w:val="24"/>
              </w:rPr>
              <w:t>100,563</w:t>
            </w:r>
          </w:p>
        </w:tc>
      </w:tr>
      <w:tr w:rsidR="009A0A63" w:rsidRPr="00792B36" w14:paraId="23053AA5" w14:textId="77777777" w:rsidTr="00A24459">
        <w:trPr>
          <w:trHeight w:val="283"/>
        </w:trPr>
        <w:tc>
          <w:tcPr>
            <w:tcW w:w="1955" w:type="dxa"/>
            <w:vAlign w:val="center"/>
          </w:tcPr>
          <w:p w14:paraId="7C6CA716" w14:textId="77777777" w:rsidR="009A0A63" w:rsidRPr="00792B36" w:rsidRDefault="009A0A63" w:rsidP="00A24459">
            <w:pPr>
              <w:rPr>
                <w:sz w:val="24"/>
                <w:szCs w:val="24"/>
              </w:rPr>
            </w:pPr>
            <w:r w:rsidRPr="00792B36">
              <w:rPr>
                <w:rFonts w:eastAsia="Times New Roman"/>
                <w:color w:val="000000"/>
                <w:sz w:val="24"/>
                <w:szCs w:val="24"/>
              </w:rPr>
              <w:t>Sharks and rays</w:t>
            </w:r>
          </w:p>
        </w:tc>
        <w:tc>
          <w:tcPr>
            <w:tcW w:w="1077" w:type="dxa"/>
          </w:tcPr>
          <w:p w14:paraId="6F52F77E" w14:textId="77777777" w:rsidR="009A0A63" w:rsidRPr="00792B36" w:rsidRDefault="009A0A63" w:rsidP="00A24459">
            <w:pPr>
              <w:jc w:val="center"/>
              <w:rPr>
                <w:sz w:val="24"/>
                <w:szCs w:val="24"/>
              </w:rPr>
            </w:pPr>
            <w:r w:rsidRPr="00792B36">
              <w:rPr>
                <w:sz w:val="24"/>
                <w:szCs w:val="24"/>
              </w:rPr>
              <w:t>5,626</w:t>
            </w:r>
          </w:p>
        </w:tc>
        <w:tc>
          <w:tcPr>
            <w:tcW w:w="1077" w:type="dxa"/>
          </w:tcPr>
          <w:p w14:paraId="5CED8A64" w14:textId="77777777" w:rsidR="009A0A63" w:rsidRPr="00792B36" w:rsidRDefault="009A0A63" w:rsidP="00A24459">
            <w:pPr>
              <w:jc w:val="center"/>
              <w:rPr>
                <w:sz w:val="24"/>
                <w:szCs w:val="24"/>
              </w:rPr>
            </w:pPr>
            <w:r w:rsidRPr="00792B36">
              <w:rPr>
                <w:sz w:val="24"/>
                <w:szCs w:val="24"/>
              </w:rPr>
              <w:t>3,849</w:t>
            </w:r>
          </w:p>
        </w:tc>
        <w:tc>
          <w:tcPr>
            <w:tcW w:w="1077" w:type="dxa"/>
          </w:tcPr>
          <w:p w14:paraId="1FE314A4" w14:textId="77777777" w:rsidR="009A0A63" w:rsidRPr="00792B36" w:rsidRDefault="009A0A63" w:rsidP="00A24459">
            <w:pPr>
              <w:jc w:val="center"/>
              <w:rPr>
                <w:sz w:val="24"/>
                <w:szCs w:val="24"/>
              </w:rPr>
            </w:pPr>
            <w:r w:rsidRPr="00792B36">
              <w:rPr>
                <w:sz w:val="24"/>
                <w:szCs w:val="24"/>
              </w:rPr>
              <w:t>4,323</w:t>
            </w:r>
          </w:p>
        </w:tc>
        <w:tc>
          <w:tcPr>
            <w:tcW w:w="1077" w:type="dxa"/>
          </w:tcPr>
          <w:p w14:paraId="659BAA26" w14:textId="77777777" w:rsidR="009A0A63" w:rsidRPr="00792B36" w:rsidRDefault="009A0A63" w:rsidP="00A24459">
            <w:pPr>
              <w:jc w:val="center"/>
              <w:rPr>
                <w:sz w:val="24"/>
                <w:szCs w:val="24"/>
              </w:rPr>
            </w:pPr>
            <w:r w:rsidRPr="00792B36">
              <w:rPr>
                <w:color w:val="000000"/>
                <w:sz w:val="24"/>
                <w:szCs w:val="24"/>
              </w:rPr>
              <w:t>4,703</w:t>
            </w:r>
          </w:p>
        </w:tc>
        <w:tc>
          <w:tcPr>
            <w:tcW w:w="1077" w:type="dxa"/>
          </w:tcPr>
          <w:p w14:paraId="1FDB5417" w14:textId="77777777" w:rsidR="009A0A63" w:rsidRPr="00792B36" w:rsidRDefault="009A0A63" w:rsidP="00A24459">
            <w:pPr>
              <w:jc w:val="center"/>
              <w:rPr>
                <w:sz w:val="24"/>
                <w:szCs w:val="24"/>
              </w:rPr>
            </w:pPr>
            <w:r w:rsidRPr="00792B36">
              <w:rPr>
                <w:sz w:val="24"/>
                <w:szCs w:val="24"/>
              </w:rPr>
              <w:t>5,082</w:t>
            </w:r>
          </w:p>
        </w:tc>
        <w:tc>
          <w:tcPr>
            <w:tcW w:w="1077" w:type="dxa"/>
          </w:tcPr>
          <w:p w14:paraId="3C35B97E" w14:textId="77777777" w:rsidR="009A0A63" w:rsidRPr="00792B36" w:rsidRDefault="009A0A63" w:rsidP="00A24459">
            <w:pPr>
              <w:jc w:val="center"/>
              <w:rPr>
                <w:sz w:val="24"/>
                <w:szCs w:val="24"/>
              </w:rPr>
            </w:pPr>
            <w:r w:rsidRPr="00792B36">
              <w:rPr>
                <w:sz w:val="24"/>
                <w:szCs w:val="24"/>
              </w:rPr>
              <w:t>3,102</w:t>
            </w:r>
          </w:p>
        </w:tc>
        <w:tc>
          <w:tcPr>
            <w:tcW w:w="1077" w:type="dxa"/>
          </w:tcPr>
          <w:p w14:paraId="7419E705" w14:textId="77777777" w:rsidR="009A0A63" w:rsidRPr="00792B36" w:rsidRDefault="009A0A63" w:rsidP="00A24459">
            <w:pPr>
              <w:jc w:val="center"/>
              <w:rPr>
                <w:sz w:val="24"/>
                <w:szCs w:val="24"/>
              </w:rPr>
            </w:pPr>
            <w:r w:rsidRPr="00792B36">
              <w:rPr>
                <w:sz w:val="24"/>
                <w:szCs w:val="24"/>
              </w:rPr>
              <w:t>2,702</w:t>
            </w:r>
          </w:p>
        </w:tc>
        <w:tc>
          <w:tcPr>
            <w:tcW w:w="1077" w:type="dxa"/>
          </w:tcPr>
          <w:p w14:paraId="20C09943" w14:textId="77777777" w:rsidR="009A0A63" w:rsidRPr="00792B36" w:rsidRDefault="009A0A63" w:rsidP="00A24459">
            <w:pPr>
              <w:jc w:val="center"/>
              <w:rPr>
                <w:rFonts w:eastAsia="Times New Roman"/>
                <w:color w:val="000000"/>
                <w:sz w:val="24"/>
                <w:szCs w:val="24"/>
              </w:rPr>
            </w:pPr>
            <w:r w:rsidRPr="00792B36">
              <w:rPr>
                <w:sz w:val="24"/>
                <w:szCs w:val="24"/>
              </w:rPr>
              <w:t>3,186</w:t>
            </w:r>
          </w:p>
        </w:tc>
        <w:tc>
          <w:tcPr>
            <w:tcW w:w="1077" w:type="dxa"/>
          </w:tcPr>
          <w:p w14:paraId="17C46F24" w14:textId="77777777" w:rsidR="009A0A63" w:rsidRPr="00792B36" w:rsidRDefault="009A0A63" w:rsidP="00A24459">
            <w:pPr>
              <w:jc w:val="center"/>
              <w:rPr>
                <w:sz w:val="24"/>
                <w:szCs w:val="24"/>
              </w:rPr>
            </w:pPr>
            <w:r w:rsidRPr="00792B36">
              <w:rPr>
                <w:sz w:val="24"/>
                <w:szCs w:val="24"/>
              </w:rPr>
              <w:t>4,370</w:t>
            </w:r>
          </w:p>
        </w:tc>
        <w:tc>
          <w:tcPr>
            <w:tcW w:w="1077" w:type="dxa"/>
          </w:tcPr>
          <w:p w14:paraId="65E87CB6" w14:textId="77777777" w:rsidR="009A0A63" w:rsidRPr="00792B36" w:rsidRDefault="009A0A63" w:rsidP="00A24459">
            <w:pPr>
              <w:jc w:val="center"/>
              <w:rPr>
                <w:sz w:val="24"/>
                <w:szCs w:val="24"/>
              </w:rPr>
            </w:pPr>
            <w:r w:rsidRPr="00792B36">
              <w:rPr>
                <w:sz w:val="24"/>
                <w:szCs w:val="24"/>
              </w:rPr>
              <w:t>4,322</w:t>
            </w:r>
          </w:p>
        </w:tc>
      </w:tr>
      <w:tr w:rsidR="009A0A63" w:rsidRPr="00792B36" w14:paraId="112C281E" w14:textId="77777777" w:rsidTr="00A24459">
        <w:trPr>
          <w:trHeight w:val="283"/>
        </w:trPr>
        <w:tc>
          <w:tcPr>
            <w:tcW w:w="1955" w:type="dxa"/>
            <w:vAlign w:val="center"/>
          </w:tcPr>
          <w:p w14:paraId="1AA78E55" w14:textId="77777777" w:rsidR="009A0A63" w:rsidRPr="00792B36" w:rsidRDefault="009A0A63" w:rsidP="00A24459">
            <w:pPr>
              <w:rPr>
                <w:rFonts w:eastAsia="Times New Roman"/>
                <w:color w:val="000000"/>
                <w:spacing w:val="-4"/>
                <w:sz w:val="24"/>
                <w:szCs w:val="24"/>
              </w:rPr>
            </w:pPr>
            <w:r w:rsidRPr="00792B36">
              <w:rPr>
                <w:rFonts w:eastAsia="Times New Roman"/>
                <w:color w:val="000000"/>
                <w:spacing w:val="-4"/>
                <w:sz w:val="24"/>
                <w:szCs w:val="24"/>
              </w:rPr>
              <w:t>Tunas and billfishes</w:t>
            </w:r>
          </w:p>
        </w:tc>
        <w:tc>
          <w:tcPr>
            <w:tcW w:w="1077" w:type="dxa"/>
          </w:tcPr>
          <w:p w14:paraId="290C03CF" w14:textId="77777777" w:rsidR="009A0A63" w:rsidRPr="00792B36" w:rsidRDefault="009A0A63" w:rsidP="00A24459">
            <w:pPr>
              <w:jc w:val="center"/>
              <w:rPr>
                <w:sz w:val="24"/>
                <w:szCs w:val="24"/>
              </w:rPr>
            </w:pPr>
            <w:r w:rsidRPr="00792B36">
              <w:rPr>
                <w:sz w:val="24"/>
                <w:szCs w:val="24"/>
              </w:rPr>
              <w:t>33,938</w:t>
            </w:r>
          </w:p>
        </w:tc>
        <w:tc>
          <w:tcPr>
            <w:tcW w:w="1077" w:type="dxa"/>
          </w:tcPr>
          <w:p w14:paraId="4CFAE721" w14:textId="77777777" w:rsidR="009A0A63" w:rsidRPr="00792B36" w:rsidRDefault="009A0A63" w:rsidP="00A24459">
            <w:pPr>
              <w:jc w:val="center"/>
              <w:rPr>
                <w:sz w:val="24"/>
                <w:szCs w:val="24"/>
              </w:rPr>
            </w:pPr>
            <w:r w:rsidRPr="00792B36">
              <w:rPr>
                <w:sz w:val="24"/>
                <w:szCs w:val="24"/>
              </w:rPr>
              <w:t>33,172</w:t>
            </w:r>
          </w:p>
        </w:tc>
        <w:tc>
          <w:tcPr>
            <w:tcW w:w="1077" w:type="dxa"/>
          </w:tcPr>
          <w:p w14:paraId="5081A90A" w14:textId="77777777" w:rsidR="009A0A63" w:rsidRPr="00792B36" w:rsidRDefault="009A0A63" w:rsidP="00A24459">
            <w:pPr>
              <w:jc w:val="center"/>
              <w:rPr>
                <w:sz w:val="24"/>
                <w:szCs w:val="24"/>
              </w:rPr>
            </w:pPr>
            <w:r w:rsidRPr="00792B36">
              <w:rPr>
                <w:sz w:val="24"/>
                <w:szCs w:val="24"/>
              </w:rPr>
              <w:t>36,345</w:t>
            </w:r>
          </w:p>
        </w:tc>
        <w:tc>
          <w:tcPr>
            <w:tcW w:w="1077" w:type="dxa"/>
          </w:tcPr>
          <w:p w14:paraId="193ECC7C" w14:textId="77777777" w:rsidR="009A0A63" w:rsidRPr="00792B36" w:rsidRDefault="009A0A63" w:rsidP="00A24459">
            <w:pPr>
              <w:jc w:val="center"/>
              <w:rPr>
                <w:sz w:val="24"/>
                <w:szCs w:val="24"/>
              </w:rPr>
            </w:pPr>
            <w:r w:rsidRPr="00792B36">
              <w:rPr>
                <w:color w:val="000000"/>
                <w:sz w:val="24"/>
                <w:szCs w:val="24"/>
              </w:rPr>
              <w:t>35,943</w:t>
            </w:r>
          </w:p>
        </w:tc>
        <w:tc>
          <w:tcPr>
            <w:tcW w:w="1077" w:type="dxa"/>
          </w:tcPr>
          <w:p w14:paraId="19378173" w14:textId="77777777" w:rsidR="009A0A63" w:rsidRPr="00792B36" w:rsidRDefault="009A0A63" w:rsidP="00A24459">
            <w:pPr>
              <w:jc w:val="center"/>
              <w:rPr>
                <w:sz w:val="24"/>
                <w:szCs w:val="24"/>
              </w:rPr>
            </w:pPr>
            <w:r w:rsidRPr="00792B36">
              <w:rPr>
                <w:sz w:val="24"/>
                <w:szCs w:val="24"/>
              </w:rPr>
              <w:t>35,540</w:t>
            </w:r>
          </w:p>
        </w:tc>
        <w:tc>
          <w:tcPr>
            <w:tcW w:w="1077" w:type="dxa"/>
          </w:tcPr>
          <w:p w14:paraId="016DC870" w14:textId="77777777" w:rsidR="009A0A63" w:rsidRPr="00792B36" w:rsidRDefault="009A0A63" w:rsidP="00A24459">
            <w:pPr>
              <w:jc w:val="center"/>
              <w:rPr>
                <w:sz w:val="24"/>
                <w:szCs w:val="24"/>
              </w:rPr>
            </w:pPr>
            <w:r w:rsidRPr="00792B36">
              <w:rPr>
                <w:sz w:val="24"/>
                <w:szCs w:val="24"/>
              </w:rPr>
              <w:t>26,594</w:t>
            </w:r>
          </w:p>
        </w:tc>
        <w:tc>
          <w:tcPr>
            <w:tcW w:w="1077" w:type="dxa"/>
          </w:tcPr>
          <w:p w14:paraId="6BAF11E1" w14:textId="77777777" w:rsidR="009A0A63" w:rsidRPr="00792B36" w:rsidRDefault="009A0A63" w:rsidP="00A24459">
            <w:pPr>
              <w:jc w:val="center"/>
              <w:rPr>
                <w:sz w:val="24"/>
                <w:szCs w:val="24"/>
              </w:rPr>
            </w:pPr>
            <w:r w:rsidRPr="00792B36">
              <w:rPr>
                <w:sz w:val="24"/>
                <w:szCs w:val="24"/>
              </w:rPr>
              <w:t>24,313</w:t>
            </w:r>
          </w:p>
        </w:tc>
        <w:tc>
          <w:tcPr>
            <w:tcW w:w="1077" w:type="dxa"/>
          </w:tcPr>
          <w:p w14:paraId="364DD07D" w14:textId="77777777" w:rsidR="009A0A63" w:rsidRPr="00792B36" w:rsidRDefault="009A0A63" w:rsidP="00A24459">
            <w:pPr>
              <w:jc w:val="center"/>
              <w:rPr>
                <w:rFonts w:eastAsia="Times New Roman"/>
                <w:color w:val="000000"/>
                <w:sz w:val="24"/>
                <w:szCs w:val="24"/>
              </w:rPr>
            </w:pPr>
            <w:r w:rsidRPr="00792B36">
              <w:rPr>
                <w:sz w:val="24"/>
                <w:szCs w:val="24"/>
              </w:rPr>
              <w:t>22,890</w:t>
            </w:r>
          </w:p>
        </w:tc>
        <w:tc>
          <w:tcPr>
            <w:tcW w:w="1077" w:type="dxa"/>
          </w:tcPr>
          <w:p w14:paraId="62441211" w14:textId="77777777" w:rsidR="009A0A63" w:rsidRPr="00792B36" w:rsidRDefault="009A0A63" w:rsidP="00A24459">
            <w:pPr>
              <w:jc w:val="center"/>
              <w:rPr>
                <w:sz w:val="24"/>
                <w:szCs w:val="24"/>
              </w:rPr>
            </w:pPr>
            <w:r w:rsidRPr="00792B36">
              <w:rPr>
                <w:sz w:val="24"/>
                <w:szCs w:val="24"/>
              </w:rPr>
              <w:t>18,942</w:t>
            </w:r>
          </w:p>
        </w:tc>
        <w:tc>
          <w:tcPr>
            <w:tcW w:w="1077" w:type="dxa"/>
          </w:tcPr>
          <w:p w14:paraId="6875FB07" w14:textId="77777777" w:rsidR="009A0A63" w:rsidRPr="00792B36" w:rsidRDefault="009A0A63" w:rsidP="00A24459">
            <w:pPr>
              <w:jc w:val="center"/>
              <w:rPr>
                <w:sz w:val="24"/>
                <w:szCs w:val="24"/>
              </w:rPr>
            </w:pPr>
            <w:r w:rsidRPr="00792B36">
              <w:rPr>
                <w:sz w:val="24"/>
                <w:szCs w:val="24"/>
              </w:rPr>
              <w:t>14,433</w:t>
            </w:r>
          </w:p>
        </w:tc>
      </w:tr>
      <w:tr w:rsidR="009A0A63" w:rsidRPr="00792B36" w14:paraId="5C863845" w14:textId="77777777" w:rsidTr="00A24459">
        <w:trPr>
          <w:trHeight w:val="283"/>
        </w:trPr>
        <w:tc>
          <w:tcPr>
            <w:tcW w:w="1955" w:type="dxa"/>
            <w:tcBorders>
              <w:bottom w:val="single" w:sz="4" w:space="0" w:color="auto"/>
            </w:tcBorders>
            <w:vAlign w:val="center"/>
          </w:tcPr>
          <w:p w14:paraId="660BC1F1" w14:textId="77777777" w:rsidR="009A0A63" w:rsidRPr="00792B36" w:rsidRDefault="009A0A63" w:rsidP="00A24459">
            <w:pPr>
              <w:rPr>
                <w:rFonts w:eastAsia="Times New Roman"/>
                <w:color w:val="000000"/>
                <w:sz w:val="24"/>
                <w:szCs w:val="24"/>
              </w:rPr>
            </w:pPr>
            <w:r w:rsidRPr="00792B36">
              <w:rPr>
                <w:rFonts w:eastAsia="Times New Roman"/>
                <w:color w:val="000000"/>
                <w:sz w:val="24"/>
                <w:szCs w:val="24"/>
              </w:rPr>
              <w:lastRenderedPageBreak/>
              <w:t xml:space="preserve">Others </w:t>
            </w:r>
          </w:p>
        </w:tc>
        <w:tc>
          <w:tcPr>
            <w:tcW w:w="1077" w:type="dxa"/>
            <w:tcBorders>
              <w:bottom w:val="single" w:sz="4" w:space="0" w:color="auto"/>
            </w:tcBorders>
          </w:tcPr>
          <w:p w14:paraId="6C1C197C" w14:textId="77777777" w:rsidR="009A0A63" w:rsidRPr="00792B36" w:rsidRDefault="009A0A63" w:rsidP="00A24459">
            <w:pPr>
              <w:jc w:val="center"/>
              <w:rPr>
                <w:sz w:val="24"/>
                <w:szCs w:val="24"/>
              </w:rPr>
            </w:pPr>
            <w:r w:rsidRPr="00792B36">
              <w:rPr>
                <w:sz w:val="24"/>
                <w:szCs w:val="24"/>
              </w:rPr>
              <w:t>1,325</w:t>
            </w:r>
          </w:p>
        </w:tc>
        <w:tc>
          <w:tcPr>
            <w:tcW w:w="1077" w:type="dxa"/>
            <w:tcBorders>
              <w:bottom w:val="single" w:sz="4" w:space="0" w:color="auto"/>
            </w:tcBorders>
          </w:tcPr>
          <w:p w14:paraId="0D0A8936" w14:textId="77777777" w:rsidR="009A0A63" w:rsidRPr="00792B36" w:rsidRDefault="009A0A63" w:rsidP="00A24459">
            <w:pPr>
              <w:jc w:val="center"/>
              <w:rPr>
                <w:sz w:val="24"/>
                <w:szCs w:val="24"/>
              </w:rPr>
            </w:pPr>
            <w:r w:rsidRPr="00792B36">
              <w:rPr>
                <w:sz w:val="24"/>
                <w:szCs w:val="24"/>
              </w:rPr>
              <w:t>1</w:t>
            </w:r>
          </w:p>
        </w:tc>
        <w:tc>
          <w:tcPr>
            <w:tcW w:w="1077" w:type="dxa"/>
            <w:tcBorders>
              <w:bottom w:val="single" w:sz="4" w:space="0" w:color="auto"/>
            </w:tcBorders>
          </w:tcPr>
          <w:p w14:paraId="683E83F4" w14:textId="77777777" w:rsidR="009A0A63" w:rsidRPr="00792B36" w:rsidRDefault="009A0A63" w:rsidP="00A24459">
            <w:pPr>
              <w:jc w:val="center"/>
              <w:rPr>
                <w:sz w:val="24"/>
                <w:szCs w:val="24"/>
              </w:rPr>
            </w:pPr>
            <w:r w:rsidRPr="00792B36">
              <w:rPr>
                <w:sz w:val="24"/>
                <w:szCs w:val="24"/>
              </w:rPr>
              <w:t>9,857</w:t>
            </w:r>
          </w:p>
        </w:tc>
        <w:tc>
          <w:tcPr>
            <w:tcW w:w="1077" w:type="dxa"/>
            <w:tcBorders>
              <w:bottom w:val="single" w:sz="4" w:space="0" w:color="auto"/>
            </w:tcBorders>
          </w:tcPr>
          <w:p w14:paraId="41590F57" w14:textId="77777777" w:rsidR="009A0A63" w:rsidRPr="00792B36" w:rsidRDefault="009A0A63" w:rsidP="00A24459">
            <w:pPr>
              <w:jc w:val="center"/>
              <w:rPr>
                <w:sz w:val="24"/>
                <w:szCs w:val="24"/>
              </w:rPr>
            </w:pPr>
            <w:r w:rsidRPr="00792B36">
              <w:rPr>
                <w:color w:val="000000"/>
                <w:sz w:val="24"/>
                <w:szCs w:val="24"/>
              </w:rPr>
              <w:t>13,263</w:t>
            </w:r>
          </w:p>
        </w:tc>
        <w:tc>
          <w:tcPr>
            <w:tcW w:w="1077" w:type="dxa"/>
            <w:tcBorders>
              <w:bottom w:val="single" w:sz="4" w:space="0" w:color="auto"/>
            </w:tcBorders>
          </w:tcPr>
          <w:p w14:paraId="10AE656F" w14:textId="77777777" w:rsidR="009A0A63" w:rsidRPr="00792B36" w:rsidRDefault="009A0A63" w:rsidP="00A24459">
            <w:pPr>
              <w:jc w:val="center"/>
              <w:rPr>
                <w:sz w:val="24"/>
                <w:szCs w:val="24"/>
              </w:rPr>
            </w:pPr>
            <w:r w:rsidRPr="00792B36">
              <w:rPr>
                <w:sz w:val="24"/>
                <w:szCs w:val="24"/>
              </w:rPr>
              <w:t>16,668</w:t>
            </w:r>
          </w:p>
        </w:tc>
        <w:tc>
          <w:tcPr>
            <w:tcW w:w="1077" w:type="dxa"/>
            <w:tcBorders>
              <w:bottom w:val="single" w:sz="4" w:space="0" w:color="auto"/>
            </w:tcBorders>
          </w:tcPr>
          <w:p w14:paraId="0D760B39" w14:textId="77777777" w:rsidR="009A0A63" w:rsidRPr="00792B36" w:rsidRDefault="009A0A63" w:rsidP="00A24459">
            <w:pPr>
              <w:jc w:val="center"/>
              <w:rPr>
                <w:sz w:val="24"/>
                <w:szCs w:val="24"/>
              </w:rPr>
            </w:pPr>
            <w:r w:rsidRPr="00792B36">
              <w:rPr>
                <w:sz w:val="24"/>
                <w:szCs w:val="24"/>
              </w:rPr>
              <w:t>17,956</w:t>
            </w:r>
          </w:p>
        </w:tc>
        <w:tc>
          <w:tcPr>
            <w:tcW w:w="1077" w:type="dxa"/>
            <w:tcBorders>
              <w:bottom w:val="single" w:sz="4" w:space="0" w:color="auto"/>
            </w:tcBorders>
          </w:tcPr>
          <w:p w14:paraId="04995085" w14:textId="77777777" w:rsidR="009A0A63" w:rsidRPr="00792B36" w:rsidRDefault="009A0A63" w:rsidP="00A24459">
            <w:pPr>
              <w:jc w:val="center"/>
              <w:rPr>
                <w:sz w:val="24"/>
                <w:szCs w:val="24"/>
              </w:rPr>
            </w:pPr>
            <w:r w:rsidRPr="00792B36">
              <w:rPr>
                <w:sz w:val="24"/>
                <w:szCs w:val="24"/>
              </w:rPr>
              <w:t>22,425</w:t>
            </w:r>
          </w:p>
        </w:tc>
        <w:tc>
          <w:tcPr>
            <w:tcW w:w="1077" w:type="dxa"/>
            <w:tcBorders>
              <w:bottom w:val="single" w:sz="4" w:space="0" w:color="auto"/>
            </w:tcBorders>
          </w:tcPr>
          <w:p w14:paraId="08B2A462" w14:textId="77777777" w:rsidR="009A0A63" w:rsidRPr="00792B36" w:rsidRDefault="009A0A63" w:rsidP="00A24459">
            <w:pPr>
              <w:jc w:val="center"/>
              <w:rPr>
                <w:rFonts w:eastAsia="Times New Roman"/>
                <w:color w:val="000000"/>
                <w:sz w:val="24"/>
                <w:szCs w:val="24"/>
              </w:rPr>
            </w:pPr>
            <w:r w:rsidRPr="00792B36">
              <w:rPr>
                <w:sz w:val="24"/>
                <w:szCs w:val="24"/>
              </w:rPr>
              <w:t>-</w:t>
            </w:r>
          </w:p>
        </w:tc>
        <w:tc>
          <w:tcPr>
            <w:tcW w:w="1077" w:type="dxa"/>
            <w:tcBorders>
              <w:bottom w:val="single" w:sz="4" w:space="0" w:color="auto"/>
            </w:tcBorders>
          </w:tcPr>
          <w:p w14:paraId="48590191" w14:textId="77777777" w:rsidR="009A0A63" w:rsidRPr="00792B36" w:rsidRDefault="009A0A63" w:rsidP="00A24459">
            <w:pPr>
              <w:jc w:val="center"/>
              <w:rPr>
                <w:sz w:val="24"/>
                <w:szCs w:val="24"/>
              </w:rPr>
            </w:pPr>
            <w:r w:rsidRPr="00792B36">
              <w:rPr>
                <w:sz w:val="24"/>
                <w:szCs w:val="24"/>
              </w:rPr>
              <w:t>84,554</w:t>
            </w:r>
          </w:p>
        </w:tc>
        <w:tc>
          <w:tcPr>
            <w:tcW w:w="1077" w:type="dxa"/>
            <w:tcBorders>
              <w:bottom w:val="single" w:sz="4" w:space="0" w:color="auto"/>
            </w:tcBorders>
          </w:tcPr>
          <w:p w14:paraId="199DF9D6" w14:textId="77777777" w:rsidR="009A0A63" w:rsidRPr="00792B36" w:rsidRDefault="009A0A63" w:rsidP="00A24459">
            <w:pPr>
              <w:jc w:val="center"/>
              <w:rPr>
                <w:sz w:val="24"/>
                <w:szCs w:val="24"/>
              </w:rPr>
            </w:pPr>
            <w:r w:rsidRPr="00792B36">
              <w:rPr>
                <w:sz w:val="24"/>
                <w:szCs w:val="24"/>
              </w:rPr>
              <w:t>138,855</w:t>
            </w:r>
          </w:p>
        </w:tc>
      </w:tr>
      <w:tr w:rsidR="009A0A63" w:rsidRPr="00792B36" w14:paraId="4FF6105A" w14:textId="77777777" w:rsidTr="00A24459">
        <w:trPr>
          <w:trHeight w:val="283"/>
        </w:trPr>
        <w:tc>
          <w:tcPr>
            <w:tcW w:w="1955" w:type="dxa"/>
            <w:tcBorders>
              <w:top w:val="single" w:sz="4" w:space="0" w:color="auto"/>
              <w:bottom w:val="single" w:sz="4" w:space="0" w:color="auto"/>
            </w:tcBorders>
            <w:vAlign w:val="center"/>
          </w:tcPr>
          <w:p w14:paraId="24298B61" w14:textId="77777777" w:rsidR="009A0A63" w:rsidRPr="00792B36" w:rsidRDefault="009A0A63" w:rsidP="00A24459">
            <w:pPr>
              <w:rPr>
                <w:rFonts w:eastAsia="Times New Roman"/>
                <w:color w:val="000000"/>
                <w:sz w:val="24"/>
                <w:szCs w:val="24"/>
              </w:rPr>
            </w:pPr>
            <w:r w:rsidRPr="00792B36">
              <w:rPr>
                <w:rFonts w:eastAsia="Times New Roman"/>
                <w:color w:val="000000"/>
                <w:sz w:val="24"/>
                <w:szCs w:val="24"/>
              </w:rPr>
              <w:t>Total</w:t>
            </w:r>
          </w:p>
        </w:tc>
        <w:tc>
          <w:tcPr>
            <w:tcW w:w="1077" w:type="dxa"/>
            <w:tcBorders>
              <w:top w:val="single" w:sz="4" w:space="0" w:color="auto"/>
              <w:bottom w:val="single" w:sz="4" w:space="0" w:color="auto"/>
            </w:tcBorders>
          </w:tcPr>
          <w:p w14:paraId="68D4D9AF" w14:textId="77777777" w:rsidR="009A0A63" w:rsidRPr="00792B36" w:rsidRDefault="009A0A63" w:rsidP="00A24459">
            <w:pPr>
              <w:jc w:val="center"/>
              <w:rPr>
                <w:spacing w:val="-4"/>
                <w:sz w:val="24"/>
                <w:szCs w:val="24"/>
              </w:rPr>
            </w:pPr>
            <w:r w:rsidRPr="00792B36">
              <w:rPr>
                <w:spacing w:val="-4"/>
                <w:sz w:val="24"/>
                <w:szCs w:val="24"/>
              </w:rPr>
              <w:t>1,394,598</w:t>
            </w:r>
          </w:p>
        </w:tc>
        <w:tc>
          <w:tcPr>
            <w:tcW w:w="1077" w:type="dxa"/>
            <w:tcBorders>
              <w:top w:val="single" w:sz="4" w:space="0" w:color="auto"/>
              <w:bottom w:val="single" w:sz="4" w:space="0" w:color="auto"/>
            </w:tcBorders>
          </w:tcPr>
          <w:p w14:paraId="48AFF96C" w14:textId="77777777" w:rsidR="009A0A63" w:rsidRPr="00792B36" w:rsidRDefault="009A0A63" w:rsidP="00A24459">
            <w:pPr>
              <w:jc w:val="center"/>
              <w:rPr>
                <w:spacing w:val="-4"/>
                <w:sz w:val="24"/>
                <w:szCs w:val="24"/>
              </w:rPr>
            </w:pPr>
            <w:r w:rsidRPr="00792B36">
              <w:rPr>
                <w:spacing w:val="-4"/>
                <w:sz w:val="24"/>
                <w:szCs w:val="24"/>
              </w:rPr>
              <w:t>1,314,234</w:t>
            </w:r>
          </w:p>
        </w:tc>
        <w:tc>
          <w:tcPr>
            <w:tcW w:w="1077" w:type="dxa"/>
            <w:tcBorders>
              <w:top w:val="single" w:sz="4" w:space="0" w:color="auto"/>
              <w:bottom w:val="single" w:sz="4" w:space="0" w:color="auto"/>
            </w:tcBorders>
          </w:tcPr>
          <w:p w14:paraId="22007ED3" w14:textId="77777777" w:rsidR="009A0A63" w:rsidRPr="00792B36" w:rsidRDefault="009A0A63" w:rsidP="00A24459">
            <w:pPr>
              <w:jc w:val="center"/>
              <w:rPr>
                <w:spacing w:val="-4"/>
                <w:sz w:val="24"/>
                <w:szCs w:val="24"/>
              </w:rPr>
            </w:pPr>
            <w:r w:rsidRPr="00792B36">
              <w:rPr>
                <w:spacing w:val="-4"/>
                <w:sz w:val="24"/>
                <w:szCs w:val="24"/>
              </w:rPr>
              <w:t>1,409,820</w:t>
            </w:r>
          </w:p>
        </w:tc>
        <w:tc>
          <w:tcPr>
            <w:tcW w:w="1077" w:type="dxa"/>
            <w:tcBorders>
              <w:top w:val="single" w:sz="4" w:space="0" w:color="auto"/>
              <w:bottom w:val="single" w:sz="4" w:space="0" w:color="auto"/>
            </w:tcBorders>
          </w:tcPr>
          <w:p w14:paraId="080E2F49" w14:textId="77777777" w:rsidR="009A0A63" w:rsidRPr="00792B36" w:rsidRDefault="009A0A63" w:rsidP="00A24459">
            <w:pPr>
              <w:jc w:val="center"/>
              <w:rPr>
                <w:spacing w:val="-4"/>
                <w:sz w:val="24"/>
                <w:szCs w:val="24"/>
              </w:rPr>
            </w:pPr>
            <w:r w:rsidRPr="00792B36">
              <w:rPr>
                <w:color w:val="000000"/>
                <w:spacing w:val="-4"/>
                <w:sz w:val="24"/>
                <w:szCs w:val="24"/>
              </w:rPr>
              <w:t>1,418,208</w:t>
            </w:r>
          </w:p>
        </w:tc>
        <w:tc>
          <w:tcPr>
            <w:tcW w:w="1077" w:type="dxa"/>
            <w:tcBorders>
              <w:top w:val="single" w:sz="4" w:space="0" w:color="auto"/>
              <w:bottom w:val="single" w:sz="4" w:space="0" w:color="auto"/>
            </w:tcBorders>
          </w:tcPr>
          <w:p w14:paraId="2338B3B3" w14:textId="77777777" w:rsidR="009A0A63" w:rsidRPr="00792B36" w:rsidRDefault="009A0A63" w:rsidP="00A24459">
            <w:pPr>
              <w:jc w:val="center"/>
              <w:rPr>
                <w:spacing w:val="-4"/>
                <w:sz w:val="24"/>
                <w:szCs w:val="24"/>
              </w:rPr>
            </w:pPr>
            <w:r w:rsidRPr="00792B36">
              <w:rPr>
                <w:spacing w:val="-4"/>
                <w:sz w:val="24"/>
                <w:szCs w:val="24"/>
              </w:rPr>
              <w:t>1,426,595</w:t>
            </w:r>
          </w:p>
        </w:tc>
        <w:tc>
          <w:tcPr>
            <w:tcW w:w="1077" w:type="dxa"/>
            <w:tcBorders>
              <w:top w:val="single" w:sz="4" w:space="0" w:color="auto"/>
              <w:bottom w:val="single" w:sz="4" w:space="0" w:color="auto"/>
            </w:tcBorders>
          </w:tcPr>
          <w:p w14:paraId="5152AC00" w14:textId="77777777" w:rsidR="009A0A63" w:rsidRPr="00792B36" w:rsidRDefault="009A0A63" w:rsidP="00A24459">
            <w:pPr>
              <w:jc w:val="center"/>
              <w:rPr>
                <w:spacing w:val="-4"/>
                <w:sz w:val="24"/>
                <w:szCs w:val="24"/>
              </w:rPr>
            </w:pPr>
            <w:r w:rsidRPr="00792B36">
              <w:rPr>
                <w:spacing w:val="-4"/>
                <w:sz w:val="24"/>
                <w:szCs w:val="24"/>
              </w:rPr>
              <w:t>1,261,801</w:t>
            </w:r>
          </w:p>
        </w:tc>
        <w:tc>
          <w:tcPr>
            <w:tcW w:w="1077" w:type="dxa"/>
            <w:tcBorders>
              <w:top w:val="single" w:sz="4" w:space="0" w:color="auto"/>
              <w:bottom w:val="single" w:sz="4" w:space="0" w:color="auto"/>
            </w:tcBorders>
          </w:tcPr>
          <w:p w14:paraId="6B9D4AE6" w14:textId="77777777" w:rsidR="009A0A63" w:rsidRPr="00792B36" w:rsidRDefault="009A0A63" w:rsidP="00A24459">
            <w:pPr>
              <w:ind w:hanging="73"/>
              <w:jc w:val="center"/>
              <w:rPr>
                <w:sz w:val="24"/>
                <w:szCs w:val="24"/>
              </w:rPr>
            </w:pPr>
            <w:r w:rsidRPr="00792B36">
              <w:rPr>
                <w:sz w:val="24"/>
                <w:szCs w:val="24"/>
              </w:rPr>
              <w:t>1,197,239</w:t>
            </w:r>
          </w:p>
        </w:tc>
        <w:tc>
          <w:tcPr>
            <w:tcW w:w="1077" w:type="dxa"/>
            <w:tcBorders>
              <w:top w:val="single" w:sz="4" w:space="0" w:color="auto"/>
              <w:bottom w:val="single" w:sz="4" w:space="0" w:color="auto"/>
            </w:tcBorders>
          </w:tcPr>
          <w:p w14:paraId="0C4F3DAA" w14:textId="77777777" w:rsidR="009A0A63" w:rsidRPr="00792B36" w:rsidRDefault="009A0A63" w:rsidP="00A24459">
            <w:pPr>
              <w:ind w:hanging="65"/>
              <w:jc w:val="center"/>
              <w:rPr>
                <w:rFonts w:eastAsia="Times New Roman"/>
                <w:color w:val="000000"/>
                <w:sz w:val="24"/>
                <w:szCs w:val="24"/>
              </w:rPr>
            </w:pPr>
            <w:r w:rsidRPr="00792B36">
              <w:rPr>
                <w:sz w:val="24"/>
                <w:szCs w:val="24"/>
              </w:rPr>
              <w:t>1,112,723</w:t>
            </w:r>
          </w:p>
        </w:tc>
        <w:tc>
          <w:tcPr>
            <w:tcW w:w="1077" w:type="dxa"/>
            <w:tcBorders>
              <w:top w:val="single" w:sz="4" w:space="0" w:color="auto"/>
              <w:bottom w:val="single" w:sz="4" w:space="0" w:color="auto"/>
            </w:tcBorders>
          </w:tcPr>
          <w:p w14:paraId="56FD49A5" w14:textId="77777777" w:rsidR="009A0A63" w:rsidRPr="00792B36" w:rsidRDefault="009A0A63" w:rsidP="00A24459">
            <w:pPr>
              <w:ind w:hanging="65"/>
              <w:jc w:val="center"/>
              <w:rPr>
                <w:sz w:val="24"/>
                <w:szCs w:val="24"/>
              </w:rPr>
            </w:pPr>
            <w:r w:rsidRPr="00792B36">
              <w:rPr>
                <w:spacing w:val="-4"/>
                <w:sz w:val="24"/>
                <w:szCs w:val="24"/>
              </w:rPr>
              <w:t>1,196,411</w:t>
            </w:r>
          </w:p>
        </w:tc>
        <w:tc>
          <w:tcPr>
            <w:tcW w:w="1077" w:type="dxa"/>
            <w:tcBorders>
              <w:top w:val="single" w:sz="4" w:space="0" w:color="auto"/>
              <w:bottom w:val="single" w:sz="4" w:space="0" w:color="auto"/>
            </w:tcBorders>
          </w:tcPr>
          <w:p w14:paraId="4DFF2332" w14:textId="77777777" w:rsidR="009A0A63" w:rsidRPr="00792B36" w:rsidRDefault="009A0A63" w:rsidP="00A24459">
            <w:pPr>
              <w:ind w:hanging="65"/>
              <w:jc w:val="center"/>
              <w:rPr>
                <w:sz w:val="24"/>
                <w:szCs w:val="24"/>
              </w:rPr>
            </w:pPr>
            <w:r w:rsidRPr="00792B36">
              <w:rPr>
                <w:spacing w:val="-4"/>
                <w:sz w:val="24"/>
                <w:szCs w:val="24"/>
              </w:rPr>
              <w:t>1,226,533</w:t>
            </w:r>
          </w:p>
        </w:tc>
      </w:tr>
    </w:tbl>
    <w:p w14:paraId="2DDE28B5" w14:textId="77777777" w:rsidR="009A0A63" w:rsidRPr="00792B36" w:rsidRDefault="009A0A63" w:rsidP="009A0A63">
      <w:pPr>
        <w:rPr>
          <w:sz w:val="24"/>
          <w:szCs w:val="24"/>
        </w:rPr>
      </w:pPr>
    </w:p>
    <w:tbl>
      <w:tblPr>
        <w:tblStyle w:val="TableGrid"/>
        <w:tblW w:w="1272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955"/>
        <w:gridCol w:w="1077"/>
        <w:gridCol w:w="1077"/>
        <w:gridCol w:w="1077"/>
        <w:gridCol w:w="1077"/>
        <w:gridCol w:w="1077"/>
        <w:gridCol w:w="1077"/>
        <w:gridCol w:w="1077"/>
        <w:gridCol w:w="1077"/>
        <w:gridCol w:w="1077"/>
        <w:gridCol w:w="1077"/>
      </w:tblGrid>
      <w:tr w:rsidR="009A0A63" w:rsidRPr="00792B36" w14:paraId="3AC0A518" w14:textId="77777777" w:rsidTr="00A24459">
        <w:trPr>
          <w:trHeight w:val="283"/>
        </w:trPr>
        <w:tc>
          <w:tcPr>
            <w:tcW w:w="1955" w:type="dxa"/>
            <w:tcBorders>
              <w:top w:val="single" w:sz="4" w:space="0" w:color="auto"/>
              <w:bottom w:val="single" w:sz="4" w:space="0" w:color="auto"/>
            </w:tcBorders>
            <w:vAlign w:val="center"/>
          </w:tcPr>
          <w:p w14:paraId="3ECC83B1" w14:textId="77777777" w:rsidR="009A0A63" w:rsidRPr="00792B36" w:rsidRDefault="009A0A63" w:rsidP="00A24459">
            <w:pPr>
              <w:jc w:val="center"/>
              <w:rPr>
                <w:b/>
                <w:bCs/>
                <w:sz w:val="24"/>
                <w:szCs w:val="24"/>
              </w:rPr>
            </w:pPr>
            <w:r w:rsidRPr="00792B36">
              <w:rPr>
                <w:rFonts w:eastAsia="Times New Roman"/>
                <w:b/>
                <w:bCs/>
                <w:color w:val="000000"/>
                <w:sz w:val="24"/>
                <w:szCs w:val="24"/>
              </w:rPr>
              <w:t>Species groups</w:t>
            </w:r>
          </w:p>
        </w:tc>
        <w:tc>
          <w:tcPr>
            <w:tcW w:w="1077" w:type="dxa"/>
            <w:tcBorders>
              <w:top w:val="single" w:sz="4" w:space="0" w:color="auto"/>
              <w:bottom w:val="single" w:sz="4" w:space="0" w:color="auto"/>
            </w:tcBorders>
            <w:vAlign w:val="center"/>
          </w:tcPr>
          <w:p w14:paraId="46E4F245" w14:textId="77777777" w:rsidR="009A0A63" w:rsidRPr="00792B36" w:rsidRDefault="009A0A63" w:rsidP="00A24459">
            <w:pPr>
              <w:jc w:val="center"/>
              <w:rPr>
                <w:b/>
                <w:bCs/>
                <w:sz w:val="24"/>
                <w:szCs w:val="24"/>
              </w:rPr>
            </w:pPr>
            <w:r w:rsidRPr="00792B36">
              <w:rPr>
                <w:b/>
                <w:bCs/>
                <w:sz w:val="24"/>
                <w:szCs w:val="24"/>
              </w:rPr>
              <w:t>2011</w:t>
            </w:r>
          </w:p>
        </w:tc>
        <w:tc>
          <w:tcPr>
            <w:tcW w:w="1077" w:type="dxa"/>
            <w:tcBorders>
              <w:top w:val="single" w:sz="4" w:space="0" w:color="auto"/>
              <w:bottom w:val="single" w:sz="4" w:space="0" w:color="auto"/>
            </w:tcBorders>
            <w:vAlign w:val="center"/>
          </w:tcPr>
          <w:p w14:paraId="582F1A28" w14:textId="77777777" w:rsidR="009A0A63" w:rsidRPr="00792B36" w:rsidRDefault="009A0A63" w:rsidP="00A24459">
            <w:pPr>
              <w:jc w:val="center"/>
              <w:rPr>
                <w:b/>
                <w:bCs/>
                <w:sz w:val="24"/>
                <w:szCs w:val="24"/>
              </w:rPr>
            </w:pPr>
            <w:r w:rsidRPr="00792B36">
              <w:rPr>
                <w:b/>
                <w:bCs/>
                <w:sz w:val="24"/>
                <w:szCs w:val="24"/>
              </w:rPr>
              <w:t>2012</w:t>
            </w:r>
          </w:p>
        </w:tc>
        <w:tc>
          <w:tcPr>
            <w:tcW w:w="1077" w:type="dxa"/>
            <w:tcBorders>
              <w:top w:val="single" w:sz="4" w:space="0" w:color="auto"/>
              <w:bottom w:val="single" w:sz="4" w:space="0" w:color="auto"/>
            </w:tcBorders>
            <w:vAlign w:val="center"/>
          </w:tcPr>
          <w:p w14:paraId="220B4940" w14:textId="77777777" w:rsidR="009A0A63" w:rsidRPr="00792B36" w:rsidRDefault="009A0A63" w:rsidP="00A24459">
            <w:pPr>
              <w:jc w:val="center"/>
              <w:rPr>
                <w:b/>
                <w:bCs/>
                <w:sz w:val="24"/>
                <w:szCs w:val="24"/>
              </w:rPr>
            </w:pPr>
            <w:r w:rsidRPr="00792B36">
              <w:rPr>
                <w:b/>
                <w:bCs/>
                <w:sz w:val="24"/>
                <w:szCs w:val="24"/>
              </w:rPr>
              <w:t>2013</w:t>
            </w:r>
          </w:p>
        </w:tc>
        <w:tc>
          <w:tcPr>
            <w:tcW w:w="1077" w:type="dxa"/>
            <w:tcBorders>
              <w:top w:val="single" w:sz="4" w:space="0" w:color="auto"/>
              <w:bottom w:val="single" w:sz="4" w:space="0" w:color="auto"/>
            </w:tcBorders>
            <w:vAlign w:val="center"/>
          </w:tcPr>
          <w:p w14:paraId="2605D220" w14:textId="77777777" w:rsidR="009A0A63" w:rsidRPr="00792B36" w:rsidRDefault="009A0A63" w:rsidP="00A24459">
            <w:pPr>
              <w:jc w:val="center"/>
              <w:rPr>
                <w:b/>
                <w:bCs/>
                <w:sz w:val="24"/>
                <w:szCs w:val="24"/>
              </w:rPr>
            </w:pPr>
            <w:r w:rsidRPr="00792B36">
              <w:rPr>
                <w:b/>
                <w:bCs/>
                <w:sz w:val="24"/>
                <w:szCs w:val="24"/>
              </w:rPr>
              <w:t>2014</w:t>
            </w:r>
          </w:p>
        </w:tc>
        <w:tc>
          <w:tcPr>
            <w:tcW w:w="1077" w:type="dxa"/>
            <w:tcBorders>
              <w:top w:val="single" w:sz="4" w:space="0" w:color="auto"/>
              <w:bottom w:val="single" w:sz="4" w:space="0" w:color="auto"/>
            </w:tcBorders>
            <w:vAlign w:val="center"/>
          </w:tcPr>
          <w:p w14:paraId="485AE01B" w14:textId="77777777" w:rsidR="009A0A63" w:rsidRPr="00792B36" w:rsidRDefault="009A0A63" w:rsidP="00A24459">
            <w:pPr>
              <w:jc w:val="center"/>
              <w:rPr>
                <w:b/>
                <w:bCs/>
                <w:sz w:val="24"/>
                <w:szCs w:val="24"/>
              </w:rPr>
            </w:pPr>
            <w:r w:rsidRPr="00792B36">
              <w:rPr>
                <w:b/>
                <w:bCs/>
                <w:sz w:val="24"/>
                <w:szCs w:val="24"/>
              </w:rPr>
              <w:t>2015</w:t>
            </w:r>
          </w:p>
        </w:tc>
        <w:tc>
          <w:tcPr>
            <w:tcW w:w="1077" w:type="dxa"/>
            <w:tcBorders>
              <w:top w:val="single" w:sz="4" w:space="0" w:color="auto"/>
              <w:bottom w:val="single" w:sz="4" w:space="0" w:color="auto"/>
            </w:tcBorders>
            <w:vAlign w:val="center"/>
          </w:tcPr>
          <w:p w14:paraId="6154346A" w14:textId="77777777" w:rsidR="009A0A63" w:rsidRPr="00792B36" w:rsidRDefault="009A0A63" w:rsidP="00A24459">
            <w:pPr>
              <w:jc w:val="center"/>
              <w:rPr>
                <w:b/>
                <w:bCs/>
                <w:sz w:val="24"/>
                <w:szCs w:val="24"/>
              </w:rPr>
            </w:pPr>
            <w:r w:rsidRPr="00792B36">
              <w:rPr>
                <w:b/>
                <w:bCs/>
                <w:sz w:val="24"/>
                <w:szCs w:val="24"/>
              </w:rPr>
              <w:t>2016</w:t>
            </w:r>
          </w:p>
        </w:tc>
        <w:tc>
          <w:tcPr>
            <w:tcW w:w="1077" w:type="dxa"/>
            <w:tcBorders>
              <w:top w:val="single" w:sz="4" w:space="0" w:color="auto"/>
              <w:bottom w:val="single" w:sz="4" w:space="0" w:color="auto"/>
            </w:tcBorders>
            <w:vAlign w:val="center"/>
          </w:tcPr>
          <w:p w14:paraId="766BA0B8" w14:textId="77777777" w:rsidR="009A0A63" w:rsidRPr="00792B36" w:rsidRDefault="009A0A63" w:rsidP="00A24459">
            <w:pPr>
              <w:jc w:val="center"/>
              <w:rPr>
                <w:b/>
                <w:bCs/>
                <w:sz w:val="24"/>
                <w:szCs w:val="24"/>
              </w:rPr>
            </w:pPr>
            <w:r w:rsidRPr="00792B36">
              <w:rPr>
                <w:b/>
                <w:bCs/>
                <w:sz w:val="24"/>
                <w:szCs w:val="24"/>
              </w:rPr>
              <w:t>2017</w:t>
            </w:r>
          </w:p>
        </w:tc>
        <w:tc>
          <w:tcPr>
            <w:tcW w:w="1077" w:type="dxa"/>
            <w:tcBorders>
              <w:top w:val="single" w:sz="4" w:space="0" w:color="auto"/>
              <w:bottom w:val="single" w:sz="4" w:space="0" w:color="auto"/>
            </w:tcBorders>
            <w:vAlign w:val="center"/>
          </w:tcPr>
          <w:p w14:paraId="1A01A75C" w14:textId="77777777" w:rsidR="009A0A63" w:rsidRPr="00792B36" w:rsidRDefault="009A0A63" w:rsidP="00A24459">
            <w:pPr>
              <w:jc w:val="center"/>
              <w:rPr>
                <w:b/>
                <w:bCs/>
                <w:sz w:val="24"/>
                <w:szCs w:val="24"/>
              </w:rPr>
            </w:pPr>
            <w:r w:rsidRPr="00792B36">
              <w:rPr>
                <w:b/>
                <w:bCs/>
                <w:sz w:val="24"/>
                <w:szCs w:val="24"/>
              </w:rPr>
              <w:t>2018</w:t>
            </w:r>
          </w:p>
        </w:tc>
        <w:tc>
          <w:tcPr>
            <w:tcW w:w="1077" w:type="dxa"/>
            <w:tcBorders>
              <w:top w:val="single" w:sz="4" w:space="0" w:color="auto"/>
              <w:bottom w:val="single" w:sz="4" w:space="0" w:color="auto"/>
            </w:tcBorders>
            <w:vAlign w:val="center"/>
          </w:tcPr>
          <w:p w14:paraId="4C7E3948" w14:textId="77777777" w:rsidR="009A0A63" w:rsidRPr="00792B36" w:rsidRDefault="009A0A63" w:rsidP="00A24459">
            <w:pPr>
              <w:jc w:val="center"/>
              <w:rPr>
                <w:b/>
                <w:bCs/>
                <w:sz w:val="24"/>
                <w:szCs w:val="24"/>
              </w:rPr>
            </w:pPr>
            <w:r w:rsidRPr="00792B36">
              <w:rPr>
                <w:b/>
                <w:bCs/>
                <w:sz w:val="24"/>
                <w:szCs w:val="24"/>
              </w:rPr>
              <w:t>2019</w:t>
            </w:r>
          </w:p>
        </w:tc>
        <w:tc>
          <w:tcPr>
            <w:tcW w:w="1077" w:type="dxa"/>
            <w:tcBorders>
              <w:top w:val="single" w:sz="4" w:space="0" w:color="auto"/>
              <w:bottom w:val="single" w:sz="4" w:space="0" w:color="auto"/>
            </w:tcBorders>
            <w:vAlign w:val="center"/>
          </w:tcPr>
          <w:p w14:paraId="2168563A" w14:textId="77777777" w:rsidR="009A0A63" w:rsidRPr="00792B36" w:rsidRDefault="009A0A63" w:rsidP="00A24459">
            <w:pPr>
              <w:jc w:val="center"/>
              <w:rPr>
                <w:b/>
                <w:bCs/>
                <w:sz w:val="24"/>
                <w:szCs w:val="24"/>
              </w:rPr>
            </w:pPr>
            <w:r w:rsidRPr="00792B36">
              <w:rPr>
                <w:b/>
                <w:bCs/>
                <w:sz w:val="24"/>
                <w:szCs w:val="24"/>
              </w:rPr>
              <w:t>2020</w:t>
            </w:r>
          </w:p>
        </w:tc>
      </w:tr>
      <w:tr w:rsidR="009A0A63" w:rsidRPr="00792B36" w14:paraId="63B1C7E9" w14:textId="77777777" w:rsidTr="00A24459">
        <w:trPr>
          <w:trHeight w:val="283"/>
        </w:trPr>
        <w:tc>
          <w:tcPr>
            <w:tcW w:w="1955" w:type="dxa"/>
            <w:tcBorders>
              <w:top w:val="single" w:sz="4" w:space="0" w:color="auto"/>
            </w:tcBorders>
            <w:vAlign w:val="center"/>
          </w:tcPr>
          <w:p w14:paraId="0B8A6223" w14:textId="77777777" w:rsidR="009A0A63" w:rsidRPr="00792B36" w:rsidRDefault="009A0A63" w:rsidP="00A24459">
            <w:pPr>
              <w:rPr>
                <w:sz w:val="24"/>
                <w:szCs w:val="24"/>
              </w:rPr>
            </w:pPr>
            <w:r w:rsidRPr="00792B36">
              <w:rPr>
                <w:rFonts w:eastAsia="Times New Roman"/>
                <w:color w:val="000000"/>
                <w:sz w:val="24"/>
                <w:szCs w:val="24"/>
              </w:rPr>
              <w:t>Demersal fishes</w:t>
            </w:r>
          </w:p>
        </w:tc>
        <w:tc>
          <w:tcPr>
            <w:tcW w:w="1077" w:type="dxa"/>
            <w:tcBorders>
              <w:top w:val="single" w:sz="4" w:space="0" w:color="auto"/>
            </w:tcBorders>
          </w:tcPr>
          <w:p w14:paraId="56E39914" w14:textId="77777777" w:rsidR="009A0A63" w:rsidRPr="00792B36" w:rsidRDefault="009A0A63" w:rsidP="00A24459">
            <w:pPr>
              <w:jc w:val="center"/>
              <w:rPr>
                <w:sz w:val="24"/>
                <w:szCs w:val="24"/>
              </w:rPr>
            </w:pPr>
            <w:r w:rsidRPr="00792B36">
              <w:rPr>
                <w:sz w:val="24"/>
                <w:szCs w:val="24"/>
              </w:rPr>
              <w:t>422,713</w:t>
            </w:r>
          </w:p>
        </w:tc>
        <w:tc>
          <w:tcPr>
            <w:tcW w:w="1077" w:type="dxa"/>
            <w:tcBorders>
              <w:top w:val="single" w:sz="4" w:space="0" w:color="auto"/>
            </w:tcBorders>
          </w:tcPr>
          <w:p w14:paraId="74746F3A" w14:textId="77777777" w:rsidR="009A0A63" w:rsidRPr="00792B36" w:rsidRDefault="009A0A63" w:rsidP="00A24459">
            <w:pPr>
              <w:jc w:val="center"/>
              <w:rPr>
                <w:sz w:val="24"/>
                <w:szCs w:val="24"/>
              </w:rPr>
            </w:pPr>
            <w:r w:rsidRPr="00792B36">
              <w:rPr>
                <w:sz w:val="24"/>
                <w:szCs w:val="24"/>
              </w:rPr>
              <w:t>406,863</w:t>
            </w:r>
          </w:p>
        </w:tc>
        <w:tc>
          <w:tcPr>
            <w:tcW w:w="1077" w:type="dxa"/>
            <w:tcBorders>
              <w:top w:val="single" w:sz="4" w:space="0" w:color="auto"/>
            </w:tcBorders>
          </w:tcPr>
          <w:p w14:paraId="31DBF18B" w14:textId="77777777" w:rsidR="009A0A63" w:rsidRPr="00792B36" w:rsidRDefault="009A0A63" w:rsidP="00A24459">
            <w:pPr>
              <w:jc w:val="center"/>
              <w:rPr>
                <w:sz w:val="24"/>
                <w:szCs w:val="24"/>
              </w:rPr>
            </w:pPr>
            <w:r w:rsidRPr="00792B36">
              <w:rPr>
                <w:sz w:val="24"/>
                <w:szCs w:val="24"/>
              </w:rPr>
              <w:t>456,141</w:t>
            </w:r>
          </w:p>
        </w:tc>
        <w:tc>
          <w:tcPr>
            <w:tcW w:w="1077" w:type="dxa"/>
            <w:tcBorders>
              <w:top w:val="single" w:sz="4" w:space="0" w:color="auto"/>
            </w:tcBorders>
          </w:tcPr>
          <w:p w14:paraId="5DCE2382" w14:textId="77777777" w:rsidR="009A0A63" w:rsidRPr="00792B36" w:rsidRDefault="009A0A63" w:rsidP="00A24459">
            <w:pPr>
              <w:jc w:val="center"/>
              <w:rPr>
                <w:sz w:val="24"/>
                <w:szCs w:val="24"/>
              </w:rPr>
            </w:pPr>
            <w:r w:rsidRPr="00792B36">
              <w:rPr>
                <w:sz w:val="24"/>
                <w:szCs w:val="24"/>
              </w:rPr>
              <w:t>433,929</w:t>
            </w:r>
          </w:p>
        </w:tc>
        <w:tc>
          <w:tcPr>
            <w:tcW w:w="1077" w:type="dxa"/>
            <w:tcBorders>
              <w:top w:val="single" w:sz="4" w:space="0" w:color="auto"/>
            </w:tcBorders>
          </w:tcPr>
          <w:p w14:paraId="48350D0A" w14:textId="77777777" w:rsidR="009A0A63" w:rsidRPr="00792B36" w:rsidRDefault="009A0A63" w:rsidP="00A24459">
            <w:pPr>
              <w:jc w:val="center"/>
              <w:rPr>
                <w:sz w:val="24"/>
                <w:szCs w:val="24"/>
              </w:rPr>
            </w:pPr>
            <w:r w:rsidRPr="00792B36">
              <w:rPr>
                <w:sz w:val="24"/>
                <w:szCs w:val="24"/>
              </w:rPr>
              <w:t>407,296</w:t>
            </w:r>
          </w:p>
        </w:tc>
        <w:tc>
          <w:tcPr>
            <w:tcW w:w="1077" w:type="dxa"/>
            <w:tcBorders>
              <w:top w:val="single" w:sz="4" w:space="0" w:color="auto"/>
            </w:tcBorders>
          </w:tcPr>
          <w:p w14:paraId="3642182B" w14:textId="77777777" w:rsidR="009A0A63" w:rsidRPr="00792B36" w:rsidRDefault="009A0A63" w:rsidP="00A24459">
            <w:pPr>
              <w:jc w:val="center"/>
              <w:rPr>
                <w:sz w:val="24"/>
                <w:szCs w:val="24"/>
              </w:rPr>
            </w:pPr>
            <w:r w:rsidRPr="00792B36">
              <w:rPr>
                <w:sz w:val="24"/>
                <w:szCs w:val="24"/>
              </w:rPr>
              <w:t>376,135</w:t>
            </w:r>
          </w:p>
        </w:tc>
        <w:tc>
          <w:tcPr>
            <w:tcW w:w="1077" w:type="dxa"/>
            <w:tcBorders>
              <w:top w:val="single" w:sz="4" w:space="0" w:color="auto"/>
            </w:tcBorders>
          </w:tcPr>
          <w:p w14:paraId="20A5F3CD" w14:textId="77777777" w:rsidR="009A0A63" w:rsidRPr="00792B36" w:rsidRDefault="009A0A63" w:rsidP="00A24459">
            <w:pPr>
              <w:jc w:val="center"/>
              <w:rPr>
                <w:sz w:val="24"/>
                <w:szCs w:val="24"/>
              </w:rPr>
            </w:pPr>
            <w:r w:rsidRPr="00792B36">
              <w:rPr>
                <w:sz w:val="24"/>
                <w:szCs w:val="24"/>
              </w:rPr>
              <w:t>380,032</w:t>
            </w:r>
          </w:p>
        </w:tc>
        <w:tc>
          <w:tcPr>
            <w:tcW w:w="1077" w:type="dxa"/>
            <w:tcBorders>
              <w:top w:val="single" w:sz="4" w:space="0" w:color="auto"/>
            </w:tcBorders>
          </w:tcPr>
          <w:p w14:paraId="1986D292" w14:textId="77777777" w:rsidR="009A0A63" w:rsidRPr="00792B36" w:rsidRDefault="009A0A63" w:rsidP="00A24459">
            <w:pPr>
              <w:jc w:val="center"/>
              <w:rPr>
                <w:sz w:val="24"/>
                <w:szCs w:val="24"/>
              </w:rPr>
            </w:pPr>
            <w:r w:rsidRPr="00792B36">
              <w:rPr>
                <w:sz w:val="24"/>
                <w:szCs w:val="24"/>
              </w:rPr>
              <w:t>443,334</w:t>
            </w:r>
          </w:p>
        </w:tc>
        <w:tc>
          <w:tcPr>
            <w:tcW w:w="1077" w:type="dxa"/>
            <w:tcBorders>
              <w:top w:val="single" w:sz="4" w:space="0" w:color="auto"/>
            </w:tcBorders>
          </w:tcPr>
          <w:p w14:paraId="6448EF5F" w14:textId="77777777" w:rsidR="009A0A63" w:rsidRPr="00792B36" w:rsidRDefault="009A0A63" w:rsidP="00A24459">
            <w:pPr>
              <w:jc w:val="center"/>
              <w:rPr>
                <w:sz w:val="24"/>
                <w:szCs w:val="24"/>
              </w:rPr>
            </w:pPr>
            <w:r w:rsidRPr="00792B36">
              <w:rPr>
                <w:sz w:val="24"/>
                <w:szCs w:val="24"/>
              </w:rPr>
              <w:t>457,733</w:t>
            </w:r>
          </w:p>
        </w:tc>
        <w:tc>
          <w:tcPr>
            <w:tcW w:w="1077" w:type="dxa"/>
            <w:tcBorders>
              <w:top w:val="single" w:sz="4" w:space="0" w:color="auto"/>
            </w:tcBorders>
          </w:tcPr>
          <w:p w14:paraId="5D140286" w14:textId="77777777" w:rsidR="009A0A63" w:rsidRPr="00792B36" w:rsidRDefault="009A0A63" w:rsidP="00A24459">
            <w:pPr>
              <w:jc w:val="center"/>
              <w:rPr>
                <w:sz w:val="24"/>
                <w:szCs w:val="24"/>
              </w:rPr>
            </w:pPr>
            <w:r w:rsidRPr="00792B36">
              <w:rPr>
                <w:sz w:val="24"/>
                <w:szCs w:val="24"/>
              </w:rPr>
              <w:t>392,580</w:t>
            </w:r>
          </w:p>
        </w:tc>
      </w:tr>
      <w:tr w:rsidR="009A0A63" w:rsidRPr="00792B36" w14:paraId="16B47F96" w14:textId="77777777" w:rsidTr="00A24459">
        <w:trPr>
          <w:trHeight w:val="283"/>
        </w:trPr>
        <w:tc>
          <w:tcPr>
            <w:tcW w:w="1955" w:type="dxa"/>
            <w:vAlign w:val="center"/>
          </w:tcPr>
          <w:p w14:paraId="364F31CD" w14:textId="77777777" w:rsidR="009A0A63" w:rsidRPr="00792B36" w:rsidRDefault="009A0A63" w:rsidP="00A24459">
            <w:pPr>
              <w:rPr>
                <w:sz w:val="24"/>
                <w:szCs w:val="24"/>
              </w:rPr>
            </w:pPr>
            <w:r w:rsidRPr="00792B36">
              <w:rPr>
                <w:rFonts w:eastAsia="Times New Roman"/>
                <w:color w:val="000000"/>
                <w:sz w:val="24"/>
                <w:szCs w:val="24"/>
              </w:rPr>
              <w:t>Pelagic fishes</w:t>
            </w:r>
          </w:p>
        </w:tc>
        <w:tc>
          <w:tcPr>
            <w:tcW w:w="1077" w:type="dxa"/>
          </w:tcPr>
          <w:p w14:paraId="17365E7E" w14:textId="77777777" w:rsidR="009A0A63" w:rsidRPr="00792B36" w:rsidRDefault="009A0A63" w:rsidP="00A24459">
            <w:pPr>
              <w:jc w:val="center"/>
              <w:rPr>
                <w:sz w:val="24"/>
                <w:szCs w:val="24"/>
              </w:rPr>
            </w:pPr>
            <w:r w:rsidRPr="00792B36">
              <w:rPr>
                <w:sz w:val="24"/>
                <w:szCs w:val="24"/>
              </w:rPr>
              <w:t>385,916</w:t>
            </w:r>
          </w:p>
        </w:tc>
        <w:tc>
          <w:tcPr>
            <w:tcW w:w="1077" w:type="dxa"/>
          </w:tcPr>
          <w:p w14:paraId="1BD3B329" w14:textId="77777777" w:rsidR="009A0A63" w:rsidRPr="00792B36" w:rsidRDefault="009A0A63" w:rsidP="00A24459">
            <w:pPr>
              <w:jc w:val="center"/>
              <w:rPr>
                <w:sz w:val="24"/>
                <w:szCs w:val="24"/>
              </w:rPr>
            </w:pPr>
            <w:r w:rsidRPr="00792B36">
              <w:rPr>
                <w:sz w:val="24"/>
                <w:szCs w:val="24"/>
              </w:rPr>
              <w:t>364,576</w:t>
            </w:r>
          </w:p>
        </w:tc>
        <w:tc>
          <w:tcPr>
            <w:tcW w:w="1077" w:type="dxa"/>
          </w:tcPr>
          <w:p w14:paraId="238CE5E4" w14:textId="77777777" w:rsidR="009A0A63" w:rsidRPr="00792B36" w:rsidRDefault="009A0A63" w:rsidP="00A24459">
            <w:pPr>
              <w:jc w:val="center"/>
              <w:rPr>
                <w:sz w:val="24"/>
                <w:szCs w:val="24"/>
              </w:rPr>
            </w:pPr>
            <w:r w:rsidRPr="00792B36">
              <w:rPr>
                <w:sz w:val="24"/>
                <w:szCs w:val="24"/>
              </w:rPr>
              <w:t>376,057</w:t>
            </w:r>
          </w:p>
        </w:tc>
        <w:tc>
          <w:tcPr>
            <w:tcW w:w="1077" w:type="dxa"/>
          </w:tcPr>
          <w:p w14:paraId="6F5C25EE" w14:textId="77777777" w:rsidR="009A0A63" w:rsidRPr="00792B36" w:rsidRDefault="009A0A63" w:rsidP="00A24459">
            <w:pPr>
              <w:jc w:val="center"/>
              <w:rPr>
                <w:sz w:val="24"/>
                <w:szCs w:val="24"/>
              </w:rPr>
            </w:pPr>
            <w:r w:rsidRPr="00792B36">
              <w:rPr>
                <w:sz w:val="24"/>
                <w:szCs w:val="24"/>
              </w:rPr>
              <w:t>387,359</w:t>
            </w:r>
          </w:p>
        </w:tc>
        <w:tc>
          <w:tcPr>
            <w:tcW w:w="1077" w:type="dxa"/>
          </w:tcPr>
          <w:p w14:paraId="3D280DF4" w14:textId="77777777" w:rsidR="009A0A63" w:rsidRPr="00792B36" w:rsidRDefault="009A0A63" w:rsidP="00A24459">
            <w:pPr>
              <w:jc w:val="center"/>
              <w:rPr>
                <w:sz w:val="24"/>
                <w:szCs w:val="24"/>
              </w:rPr>
            </w:pPr>
            <w:r w:rsidRPr="00792B36">
              <w:rPr>
                <w:sz w:val="24"/>
                <w:szCs w:val="24"/>
              </w:rPr>
              <w:t>334,330</w:t>
            </w:r>
          </w:p>
        </w:tc>
        <w:tc>
          <w:tcPr>
            <w:tcW w:w="1077" w:type="dxa"/>
          </w:tcPr>
          <w:p w14:paraId="44AC1219" w14:textId="77777777" w:rsidR="009A0A63" w:rsidRPr="00792B36" w:rsidRDefault="009A0A63" w:rsidP="00A24459">
            <w:pPr>
              <w:jc w:val="center"/>
              <w:rPr>
                <w:sz w:val="24"/>
                <w:szCs w:val="24"/>
              </w:rPr>
            </w:pPr>
            <w:r w:rsidRPr="00792B36">
              <w:rPr>
                <w:sz w:val="24"/>
                <w:szCs w:val="24"/>
              </w:rPr>
              <w:t>365,409</w:t>
            </w:r>
          </w:p>
        </w:tc>
        <w:tc>
          <w:tcPr>
            <w:tcW w:w="1077" w:type="dxa"/>
          </w:tcPr>
          <w:p w14:paraId="183F155D" w14:textId="77777777" w:rsidR="009A0A63" w:rsidRPr="00792B36" w:rsidRDefault="009A0A63" w:rsidP="00A24459">
            <w:pPr>
              <w:jc w:val="center"/>
              <w:rPr>
                <w:sz w:val="24"/>
                <w:szCs w:val="24"/>
              </w:rPr>
            </w:pPr>
            <w:r w:rsidRPr="00792B36">
              <w:rPr>
                <w:sz w:val="24"/>
                <w:szCs w:val="24"/>
              </w:rPr>
              <w:t>361,826</w:t>
            </w:r>
          </w:p>
        </w:tc>
        <w:tc>
          <w:tcPr>
            <w:tcW w:w="1077" w:type="dxa"/>
          </w:tcPr>
          <w:p w14:paraId="472340D0" w14:textId="77777777" w:rsidR="009A0A63" w:rsidRPr="00792B36" w:rsidRDefault="009A0A63" w:rsidP="00A24459">
            <w:pPr>
              <w:jc w:val="center"/>
              <w:rPr>
                <w:sz w:val="24"/>
                <w:szCs w:val="24"/>
              </w:rPr>
            </w:pPr>
            <w:r w:rsidRPr="00792B36">
              <w:rPr>
                <w:sz w:val="24"/>
                <w:szCs w:val="24"/>
              </w:rPr>
              <w:t>365,323</w:t>
            </w:r>
          </w:p>
        </w:tc>
        <w:tc>
          <w:tcPr>
            <w:tcW w:w="1077" w:type="dxa"/>
          </w:tcPr>
          <w:p w14:paraId="2E7A55F6" w14:textId="77777777" w:rsidR="009A0A63" w:rsidRPr="00792B36" w:rsidRDefault="009A0A63" w:rsidP="00A24459">
            <w:pPr>
              <w:jc w:val="center"/>
              <w:rPr>
                <w:sz w:val="24"/>
                <w:szCs w:val="24"/>
              </w:rPr>
            </w:pPr>
            <w:r w:rsidRPr="00792B36">
              <w:rPr>
                <w:sz w:val="24"/>
                <w:szCs w:val="24"/>
              </w:rPr>
              <w:t>369,195</w:t>
            </w:r>
          </w:p>
        </w:tc>
        <w:tc>
          <w:tcPr>
            <w:tcW w:w="1077" w:type="dxa"/>
          </w:tcPr>
          <w:p w14:paraId="26409583" w14:textId="77777777" w:rsidR="009A0A63" w:rsidRPr="00792B36" w:rsidRDefault="009A0A63" w:rsidP="00A24459">
            <w:pPr>
              <w:jc w:val="center"/>
              <w:rPr>
                <w:sz w:val="24"/>
                <w:szCs w:val="24"/>
              </w:rPr>
            </w:pPr>
            <w:r w:rsidRPr="00792B36">
              <w:rPr>
                <w:sz w:val="24"/>
                <w:szCs w:val="24"/>
              </w:rPr>
              <w:t>356,413</w:t>
            </w:r>
          </w:p>
        </w:tc>
      </w:tr>
      <w:tr w:rsidR="009A0A63" w:rsidRPr="00792B36" w14:paraId="796ADD22" w14:textId="77777777" w:rsidTr="00A24459">
        <w:trPr>
          <w:trHeight w:val="283"/>
        </w:trPr>
        <w:tc>
          <w:tcPr>
            <w:tcW w:w="1955" w:type="dxa"/>
            <w:vAlign w:val="center"/>
          </w:tcPr>
          <w:p w14:paraId="258F4B6D" w14:textId="77777777" w:rsidR="009A0A63" w:rsidRPr="00792B36" w:rsidRDefault="009A0A63" w:rsidP="00A24459">
            <w:pPr>
              <w:rPr>
                <w:sz w:val="24"/>
                <w:szCs w:val="24"/>
              </w:rPr>
            </w:pPr>
            <w:r w:rsidRPr="00792B36">
              <w:rPr>
                <w:rFonts w:eastAsia="Times New Roman"/>
                <w:color w:val="000000"/>
                <w:spacing w:val="-4"/>
                <w:sz w:val="24"/>
                <w:szCs w:val="24"/>
              </w:rPr>
              <w:t>Squids, cuttlefishes,</w:t>
            </w:r>
            <w:r w:rsidRPr="00792B36">
              <w:rPr>
                <w:rFonts w:eastAsia="Times New Roman"/>
                <w:color w:val="000000"/>
                <w:sz w:val="24"/>
                <w:szCs w:val="24"/>
              </w:rPr>
              <w:t xml:space="preserve"> Octopus</w:t>
            </w:r>
          </w:p>
        </w:tc>
        <w:tc>
          <w:tcPr>
            <w:tcW w:w="1077" w:type="dxa"/>
          </w:tcPr>
          <w:p w14:paraId="054D5557" w14:textId="77777777" w:rsidR="009A0A63" w:rsidRPr="00792B36" w:rsidRDefault="009A0A63" w:rsidP="00A24459">
            <w:pPr>
              <w:jc w:val="center"/>
              <w:rPr>
                <w:sz w:val="24"/>
                <w:szCs w:val="24"/>
              </w:rPr>
            </w:pPr>
            <w:r w:rsidRPr="00792B36">
              <w:rPr>
                <w:sz w:val="24"/>
                <w:szCs w:val="24"/>
              </w:rPr>
              <w:t>99,890</w:t>
            </w:r>
          </w:p>
        </w:tc>
        <w:tc>
          <w:tcPr>
            <w:tcW w:w="1077" w:type="dxa"/>
          </w:tcPr>
          <w:p w14:paraId="02CF9BB0" w14:textId="77777777" w:rsidR="009A0A63" w:rsidRPr="00792B36" w:rsidRDefault="009A0A63" w:rsidP="00A24459">
            <w:pPr>
              <w:jc w:val="center"/>
              <w:rPr>
                <w:sz w:val="24"/>
                <w:szCs w:val="24"/>
              </w:rPr>
            </w:pPr>
            <w:r w:rsidRPr="00792B36">
              <w:rPr>
                <w:sz w:val="24"/>
                <w:szCs w:val="24"/>
              </w:rPr>
              <w:t>90,576</w:t>
            </w:r>
          </w:p>
        </w:tc>
        <w:tc>
          <w:tcPr>
            <w:tcW w:w="1077" w:type="dxa"/>
          </w:tcPr>
          <w:p w14:paraId="71946170" w14:textId="77777777" w:rsidR="009A0A63" w:rsidRPr="00792B36" w:rsidRDefault="009A0A63" w:rsidP="00A24459">
            <w:pPr>
              <w:jc w:val="center"/>
              <w:rPr>
                <w:sz w:val="24"/>
                <w:szCs w:val="24"/>
              </w:rPr>
            </w:pPr>
            <w:r w:rsidRPr="00792B36">
              <w:rPr>
                <w:sz w:val="24"/>
                <w:szCs w:val="24"/>
              </w:rPr>
              <w:t>88,751</w:t>
            </w:r>
          </w:p>
        </w:tc>
        <w:tc>
          <w:tcPr>
            <w:tcW w:w="1077" w:type="dxa"/>
          </w:tcPr>
          <w:p w14:paraId="646AEFDD" w14:textId="77777777" w:rsidR="009A0A63" w:rsidRPr="00792B36" w:rsidRDefault="009A0A63" w:rsidP="00A24459">
            <w:pPr>
              <w:jc w:val="center"/>
              <w:rPr>
                <w:sz w:val="24"/>
                <w:szCs w:val="24"/>
              </w:rPr>
            </w:pPr>
            <w:r w:rsidRPr="00792B36">
              <w:rPr>
                <w:sz w:val="24"/>
                <w:szCs w:val="24"/>
              </w:rPr>
              <w:t>75,699</w:t>
            </w:r>
          </w:p>
        </w:tc>
        <w:tc>
          <w:tcPr>
            <w:tcW w:w="1077" w:type="dxa"/>
          </w:tcPr>
          <w:p w14:paraId="7580CA86" w14:textId="77777777" w:rsidR="009A0A63" w:rsidRPr="00792B36" w:rsidRDefault="009A0A63" w:rsidP="00A24459">
            <w:pPr>
              <w:jc w:val="center"/>
              <w:rPr>
                <w:sz w:val="24"/>
                <w:szCs w:val="24"/>
              </w:rPr>
            </w:pPr>
            <w:r w:rsidRPr="00792B36">
              <w:rPr>
                <w:sz w:val="24"/>
                <w:szCs w:val="24"/>
              </w:rPr>
              <w:t>72,362</w:t>
            </w:r>
          </w:p>
        </w:tc>
        <w:tc>
          <w:tcPr>
            <w:tcW w:w="1077" w:type="dxa"/>
          </w:tcPr>
          <w:p w14:paraId="68E65D54" w14:textId="77777777" w:rsidR="009A0A63" w:rsidRPr="00792B36" w:rsidRDefault="009A0A63" w:rsidP="00A24459">
            <w:pPr>
              <w:jc w:val="center"/>
              <w:rPr>
                <w:sz w:val="24"/>
                <w:szCs w:val="24"/>
              </w:rPr>
            </w:pPr>
            <w:r w:rsidRPr="00792B36">
              <w:rPr>
                <w:sz w:val="24"/>
                <w:szCs w:val="24"/>
              </w:rPr>
              <w:t>89,708</w:t>
            </w:r>
          </w:p>
        </w:tc>
        <w:tc>
          <w:tcPr>
            <w:tcW w:w="1077" w:type="dxa"/>
          </w:tcPr>
          <w:p w14:paraId="689759DF" w14:textId="77777777" w:rsidR="009A0A63" w:rsidRPr="00792B36" w:rsidRDefault="009A0A63" w:rsidP="00A24459">
            <w:pPr>
              <w:jc w:val="center"/>
              <w:rPr>
                <w:sz w:val="24"/>
                <w:szCs w:val="24"/>
              </w:rPr>
            </w:pPr>
            <w:r w:rsidRPr="00792B36">
              <w:rPr>
                <w:sz w:val="24"/>
                <w:szCs w:val="24"/>
              </w:rPr>
              <w:t>78,795</w:t>
            </w:r>
          </w:p>
        </w:tc>
        <w:tc>
          <w:tcPr>
            <w:tcW w:w="1077" w:type="dxa"/>
          </w:tcPr>
          <w:p w14:paraId="115FB19B" w14:textId="77777777" w:rsidR="009A0A63" w:rsidRPr="00792B36" w:rsidRDefault="009A0A63" w:rsidP="00A24459">
            <w:pPr>
              <w:jc w:val="center"/>
              <w:rPr>
                <w:sz w:val="24"/>
                <w:szCs w:val="24"/>
              </w:rPr>
            </w:pPr>
            <w:r w:rsidRPr="00792B36">
              <w:rPr>
                <w:sz w:val="24"/>
                <w:szCs w:val="24"/>
              </w:rPr>
              <w:t>92,202</w:t>
            </w:r>
          </w:p>
        </w:tc>
        <w:tc>
          <w:tcPr>
            <w:tcW w:w="1077" w:type="dxa"/>
          </w:tcPr>
          <w:p w14:paraId="1F2D48E0" w14:textId="77777777" w:rsidR="009A0A63" w:rsidRPr="00792B36" w:rsidRDefault="009A0A63" w:rsidP="00A24459">
            <w:pPr>
              <w:jc w:val="center"/>
              <w:rPr>
                <w:sz w:val="24"/>
                <w:szCs w:val="24"/>
              </w:rPr>
            </w:pPr>
            <w:r w:rsidRPr="00792B36">
              <w:rPr>
                <w:sz w:val="24"/>
                <w:szCs w:val="24"/>
              </w:rPr>
              <w:t>75,117</w:t>
            </w:r>
          </w:p>
        </w:tc>
        <w:tc>
          <w:tcPr>
            <w:tcW w:w="1077" w:type="dxa"/>
          </w:tcPr>
          <w:p w14:paraId="27516A61" w14:textId="77777777" w:rsidR="009A0A63" w:rsidRPr="00792B36" w:rsidRDefault="009A0A63" w:rsidP="00A24459">
            <w:pPr>
              <w:jc w:val="center"/>
              <w:rPr>
                <w:sz w:val="24"/>
                <w:szCs w:val="24"/>
              </w:rPr>
            </w:pPr>
            <w:r w:rsidRPr="00792B36">
              <w:rPr>
                <w:sz w:val="24"/>
                <w:szCs w:val="24"/>
              </w:rPr>
              <w:t>71,181</w:t>
            </w:r>
          </w:p>
        </w:tc>
      </w:tr>
      <w:tr w:rsidR="009A0A63" w:rsidRPr="00792B36" w14:paraId="16DBA625" w14:textId="77777777" w:rsidTr="00A24459">
        <w:trPr>
          <w:trHeight w:val="283"/>
        </w:trPr>
        <w:tc>
          <w:tcPr>
            <w:tcW w:w="1955" w:type="dxa"/>
            <w:vAlign w:val="center"/>
          </w:tcPr>
          <w:p w14:paraId="13B24FA6" w14:textId="77777777" w:rsidR="009A0A63" w:rsidRPr="00792B36" w:rsidRDefault="009A0A63" w:rsidP="00A24459">
            <w:pPr>
              <w:rPr>
                <w:sz w:val="24"/>
                <w:szCs w:val="24"/>
              </w:rPr>
            </w:pPr>
            <w:r w:rsidRPr="00792B36">
              <w:rPr>
                <w:rFonts w:eastAsia="Times New Roman"/>
                <w:color w:val="000000"/>
                <w:sz w:val="24"/>
                <w:szCs w:val="24"/>
              </w:rPr>
              <w:t xml:space="preserve">Crustaceans </w:t>
            </w:r>
          </w:p>
        </w:tc>
        <w:tc>
          <w:tcPr>
            <w:tcW w:w="1077" w:type="dxa"/>
          </w:tcPr>
          <w:p w14:paraId="3AA6552B" w14:textId="77777777" w:rsidR="009A0A63" w:rsidRPr="00792B36" w:rsidRDefault="009A0A63" w:rsidP="00A24459">
            <w:pPr>
              <w:jc w:val="center"/>
              <w:rPr>
                <w:sz w:val="24"/>
                <w:szCs w:val="24"/>
              </w:rPr>
            </w:pPr>
            <w:r w:rsidRPr="00792B36">
              <w:rPr>
                <w:sz w:val="24"/>
                <w:szCs w:val="24"/>
              </w:rPr>
              <w:t>56,798</w:t>
            </w:r>
          </w:p>
        </w:tc>
        <w:tc>
          <w:tcPr>
            <w:tcW w:w="1077" w:type="dxa"/>
          </w:tcPr>
          <w:p w14:paraId="1A1E1F80" w14:textId="77777777" w:rsidR="009A0A63" w:rsidRPr="00792B36" w:rsidRDefault="009A0A63" w:rsidP="00A24459">
            <w:pPr>
              <w:jc w:val="center"/>
              <w:rPr>
                <w:sz w:val="24"/>
                <w:szCs w:val="24"/>
              </w:rPr>
            </w:pPr>
            <w:r w:rsidRPr="00792B36">
              <w:rPr>
                <w:sz w:val="24"/>
                <w:szCs w:val="24"/>
              </w:rPr>
              <w:t>59,811</w:t>
            </w:r>
          </w:p>
        </w:tc>
        <w:tc>
          <w:tcPr>
            <w:tcW w:w="1077" w:type="dxa"/>
          </w:tcPr>
          <w:p w14:paraId="10AB32EA" w14:textId="77777777" w:rsidR="009A0A63" w:rsidRPr="00792B36" w:rsidRDefault="009A0A63" w:rsidP="00A24459">
            <w:pPr>
              <w:jc w:val="center"/>
              <w:rPr>
                <w:sz w:val="24"/>
                <w:szCs w:val="24"/>
              </w:rPr>
            </w:pPr>
            <w:r w:rsidRPr="00792B36">
              <w:rPr>
                <w:sz w:val="24"/>
                <w:szCs w:val="24"/>
              </w:rPr>
              <w:t>54,095</w:t>
            </w:r>
          </w:p>
        </w:tc>
        <w:tc>
          <w:tcPr>
            <w:tcW w:w="1077" w:type="dxa"/>
          </w:tcPr>
          <w:p w14:paraId="12CD0471" w14:textId="77777777" w:rsidR="009A0A63" w:rsidRPr="00792B36" w:rsidRDefault="009A0A63" w:rsidP="00A24459">
            <w:pPr>
              <w:jc w:val="center"/>
              <w:rPr>
                <w:sz w:val="24"/>
                <w:szCs w:val="24"/>
              </w:rPr>
            </w:pPr>
            <w:r w:rsidRPr="00792B36">
              <w:rPr>
                <w:sz w:val="24"/>
                <w:szCs w:val="24"/>
              </w:rPr>
              <w:t>54,450</w:t>
            </w:r>
          </w:p>
        </w:tc>
        <w:tc>
          <w:tcPr>
            <w:tcW w:w="1077" w:type="dxa"/>
          </w:tcPr>
          <w:p w14:paraId="5E3016D3" w14:textId="77777777" w:rsidR="009A0A63" w:rsidRPr="00792B36" w:rsidRDefault="009A0A63" w:rsidP="00A24459">
            <w:pPr>
              <w:jc w:val="center"/>
              <w:rPr>
                <w:sz w:val="24"/>
                <w:szCs w:val="24"/>
              </w:rPr>
            </w:pPr>
            <w:r w:rsidRPr="00792B36">
              <w:rPr>
                <w:sz w:val="24"/>
                <w:szCs w:val="24"/>
              </w:rPr>
              <w:t>46,797</w:t>
            </w:r>
          </w:p>
        </w:tc>
        <w:tc>
          <w:tcPr>
            <w:tcW w:w="1077" w:type="dxa"/>
          </w:tcPr>
          <w:p w14:paraId="75E88A32" w14:textId="77777777" w:rsidR="009A0A63" w:rsidRPr="00792B36" w:rsidRDefault="009A0A63" w:rsidP="00A24459">
            <w:pPr>
              <w:jc w:val="center"/>
              <w:rPr>
                <w:sz w:val="24"/>
                <w:szCs w:val="24"/>
              </w:rPr>
            </w:pPr>
            <w:r w:rsidRPr="00792B36">
              <w:rPr>
                <w:sz w:val="24"/>
                <w:szCs w:val="24"/>
              </w:rPr>
              <w:t>70,383</w:t>
            </w:r>
          </w:p>
        </w:tc>
        <w:tc>
          <w:tcPr>
            <w:tcW w:w="1077" w:type="dxa"/>
          </w:tcPr>
          <w:p w14:paraId="750A8F6E" w14:textId="77777777" w:rsidR="009A0A63" w:rsidRPr="00792B36" w:rsidRDefault="009A0A63" w:rsidP="00A24459">
            <w:pPr>
              <w:jc w:val="center"/>
              <w:rPr>
                <w:sz w:val="24"/>
                <w:szCs w:val="24"/>
              </w:rPr>
            </w:pPr>
            <w:r w:rsidRPr="00792B36">
              <w:rPr>
                <w:sz w:val="24"/>
                <w:szCs w:val="24"/>
              </w:rPr>
              <w:t>57,062</w:t>
            </w:r>
          </w:p>
        </w:tc>
        <w:tc>
          <w:tcPr>
            <w:tcW w:w="1077" w:type="dxa"/>
          </w:tcPr>
          <w:p w14:paraId="312D6520" w14:textId="77777777" w:rsidR="009A0A63" w:rsidRPr="00792B36" w:rsidRDefault="009A0A63" w:rsidP="00A24459">
            <w:pPr>
              <w:jc w:val="center"/>
              <w:rPr>
                <w:sz w:val="24"/>
                <w:szCs w:val="24"/>
              </w:rPr>
            </w:pPr>
            <w:r w:rsidRPr="00792B36">
              <w:rPr>
                <w:sz w:val="24"/>
                <w:szCs w:val="24"/>
              </w:rPr>
              <w:t>73,845</w:t>
            </w:r>
          </w:p>
        </w:tc>
        <w:tc>
          <w:tcPr>
            <w:tcW w:w="1077" w:type="dxa"/>
          </w:tcPr>
          <w:p w14:paraId="358D4156" w14:textId="77777777" w:rsidR="009A0A63" w:rsidRPr="00792B36" w:rsidRDefault="009A0A63" w:rsidP="00A24459">
            <w:pPr>
              <w:jc w:val="center"/>
              <w:rPr>
                <w:sz w:val="24"/>
                <w:szCs w:val="24"/>
              </w:rPr>
            </w:pPr>
            <w:r w:rsidRPr="00792B36">
              <w:rPr>
                <w:sz w:val="24"/>
                <w:szCs w:val="24"/>
              </w:rPr>
              <w:t>96,990</w:t>
            </w:r>
          </w:p>
        </w:tc>
        <w:tc>
          <w:tcPr>
            <w:tcW w:w="1077" w:type="dxa"/>
          </w:tcPr>
          <w:p w14:paraId="07104960" w14:textId="77777777" w:rsidR="009A0A63" w:rsidRPr="00792B36" w:rsidRDefault="009A0A63" w:rsidP="00A24459">
            <w:pPr>
              <w:jc w:val="center"/>
              <w:rPr>
                <w:sz w:val="24"/>
                <w:szCs w:val="24"/>
              </w:rPr>
            </w:pPr>
            <w:r w:rsidRPr="00792B36">
              <w:rPr>
                <w:sz w:val="24"/>
                <w:szCs w:val="24"/>
              </w:rPr>
              <w:t>74,550</w:t>
            </w:r>
          </w:p>
        </w:tc>
      </w:tr>
      <w:tr w:rsidR="009A0A63" w:rsidRPr="00792B36" w14:paraId="6FD80067" w14:textId="77777777" w:rsidTr="00A24459">
        <w:trPr>
          <w:trHeight w:val="283"/>
        </w:trPr>
        <w:tc>
          <w:tcPr>
            <w:tcW w:w="1955" w:type="dxa"/>
            <w:vAlign w:val="center"/>
          </w:tcPr>
          <w:p w14:paraId="03818AC0" w14:textId="77777777" w:rsidR="009A0A63" w:rsidRPr="00792B36" w:rsidRDefault="009A0A63" w:rsidP="00A24459">
            <w:pPr>
              <w:rPr>
                <w:sz w:val="24"/>
                <w:szCs w:val="24"/>
              </w:rPr>
            </w:pPr>
            <w:r w:rsidRPr="00792B36">
              <w:rPr>
                <w:rFonts w:eastAsia="Times New Roman"/>
                <w:color w:val="000000"/>
                <w:sz w:val="24"/>
                <w:szCs w:val="24"/>
              </w:rPr>
              <w:t>Sharks and rays</w:t>
            </w:r>
          </w:p>
        </w:tc>
        <w:tc>
          <w:tcPr>
            <w:tcW w:w="1077" w:type="dxa"/>
          </w:tcPr>
          <w:p w14:paraId="1BB488CC" w14:textId="77777777" w:rsidR="009A0A63" w:rsidRPr="00792B36" w:rsidRDefault="009A0A63" w:rsidP="00A24459">
            <w:pPr>
              <w:jc w:val="center"/>
              <w:rPr>
                <w:sz w:val="24"/>
                <w:szCs w:val="24"/>
              </w:rPr>
            </w:pPr>
            <w:r w:rsidRPr="00792B36">
              <w:rPr>
                <w:sz w:val="24"/>
                <w:szCs w:val="24"/>
              </w:rPr>
              <w:t>2,637</w:t>
            </w:r>
          </w:p>
        </w:tc>
        <w:tc>
          <w:tcPr>
            <w:tcW w:w="1077" w:type="dxa"/>
          </w:tcPr>
          <w:p w14:paraId="77F0B18E" w14:textId="77777777" w:rsidR="009A0A63" w:rsidRPr="00792B36" w:rsidRDefault="009A0A63" w:rsidP="00A24459">
            <w:pPr>
              <w:jc w:val="center"/>
              <w:rPr>
                <w:sz w:val="24"/>
                <w:szCs w:val="24"/>
              </w:rPr>
            </w:pPr>
            <w:r w:rsidRPr="00792B36">
              <w:rPr>
                <w:sz w:val="24"/>
                <w:szCs w:val="24"/>
              </w:rPr>
              <w:t>3,062</w:t>
            </w:r>
          </w:p>
        </w:tc>
        <w:tc>
          <w:tcPr>
            <w:tcW w:w="1077" w:type="dxa"/>
          </w:tcPr>
          <w:p w14:paraId="67D87E4F" w14:textId="77777777" w:rsidR="009A0A63" w:rsidRPr="00792B36" w:rsidRDefault="009A0A63" w:rsidP="00A24459">
            <w:pPr>
              <w:jc w:val="center"/>
              <w:rPr>
                <w:sz w:val="24"/>
                <w:szCs w:val="24"/>
              </w:rPr>
            </w:pPr>
            <w:r w:rsidRPr="00792B36">
              <w:rPr>
                <w:sz w:val="24"/>
                <w:szCs w:val="24"/>
              </w:rPr>
              <w:t>3,439</w:t>
            </w:r>
          </w:p>
        </w:tc>
        <w:tc>
          <w:tcPr>
            <w:tcW w:w="1077" w:type="dxa"/>
          </w:tcPr>
          <w:p w14:paraId="777281ED" w14:textId="77777777" w:rsidR="009A0A63" w:rsidRPr="00792B36" w:rsidRDefault="009A0A63" w:rsidP="00A24459">
            <w:pPr>
              <w:jc w:val="center"/>
              <w:rPr>
                <w:sz w:val="24"/>
                <w:szCs w:val="24"/>
              </w:rPr>
            </w:pPr>
            <w:r w:rsidRPr="00792B36">
              <w:rPr>
                <w:sz w:val="24"/>
                <w:szCs w:val="24"/>
              </w:rPr>
              <w:t>2,946</w:t>
            </w:r>
          </w:p>
        </w:tc>
        <w:tc>
          <w:tcPr>
            <w:tcW w:w="1077" w:type="dxa"/>
          </w:tcPr>
          <w:p w14:paraId="7EEF4A25" w14:textId="77777777" w:rsidR="009A0A63" w:rsidRPr="00792B36" w:rsidRDefault="009A0A63" w:rsidP="00A24459">
            <w:pPr>
              <w:jc w:val="center"/>
              <w:rPr>
                <w:sz w:val="24"/>
                <w:szCs w:val="24"/>
              </w:rPr>
            </w:pPr>
            <w:r w:rsidRPr="00792B36">
              <w:rPr>
                <w:sz w:val="24"/>
                <w:szCs w:val="24"/>
              </w:rPr>
              <w:t>2,387</w:t>
            </w:r>
          </w:p>
        </w:tc>
        <w:tc>
          <w:tcPr>
            <w:tcW w:w="1077" w:type="dxa"/>
          </w:tcPr>
          <w:p w14:paraId="3CFC609B" w14:textId="77777777" w:rsidR="009A0A63" w:rsidRPr="00792B36" w:rsidRDefault="009A0A63" w:rsidP="00A24459">
            <w:pPr>
              <w:jc w:val="center"/>
              <w:rPr>
                <w:sz w:val="24"/>
                <w:szCs w:val="24"/>
              </w:rPr>
            </w:pPr>
            <w:r w:rsidRPr="00792B36">
              <w:rPr>
                <w:sz w:val="24"/>
                <w:szCs w:val="24"/>
              </w:rPr>
              <w:t>3,048</w:t>
            </w:r>
          </w:p>
        </w:tc>
        <w:tc>
          <w:tcPr>
            <w:tcW w:w="1077" w:type="dxa"/>
          </w:tcPr>
          <w:p w14:paraId="3912FB31" w14:textId="77777777" w:rsidR="009A0A63" w:rsidRPr="00792B36" w:rsidRDefault="009A0A63" w:rsidP="00A24459">
            <w:pPr>
              <w:jc w:val="center"/>
              <w:rPr>
                <w:sz w:val="24"/>
                <w:szCs w:val="24"/>
              </w:rPr>
            </w:pPr>
            <w:r w:rsidRPr="00792B36">
              <w:rPr>
                <w:sz w:val="24"/>
                <w:szCs w:val="24"/>
              </w:rPr>
              <w:t>3,471</w:t>
            </w:r>
          </w:p>
        </w:tc>
        <w:tc>
          <w:tcPr>
            <w:tcW w:w="1077" w:type="dxa"/>
          </w:tcPr>
          <w:p w14:paraId="283B5B52" w14:textId="77777777" w:rsidR="009A0A63" w:rsidRPr="00792B36" w:rsidRDefault="009A0A63" w:rsidP="00A24459">
            <w:pPr>
              <w:jc w:val="center"/>
              <w:rPr>
                <w:sz w:val="24"/>
                <w:szCs w:val="24"/>
              </w:rPr>
            </w:pPr>
            <w:r w:rsidRPr="00792B36">
              <w:rPr>
                <w:sz w:val="24"/>
                <w:szCs w:val="24"/>
              </w:rPr>
              <w:t>1,921</w:t>
            </w:r>
          </w:p>
        </w:tc>
        <w:tc>
          <w:tcPr>
            <w:tcW w:w="1077" w:type="dxa"/>
          </w:tcPr>
          <w:p w14:paraId="082B2E70" w14:textId="77777777" w:rsidR="009A0A63" w:rsidRPr="00792B36" w:rsidRDefault="009A0A63" w:rsidP="00A24459">
            <w:pPr>
              <w:jc w:val="center"/>
              <w:rPr>
                <w:sz w:val="24"/>
                <w:szCs w:val="24"/>
              </w:rPr>
            </w:pPr>
            <w:r w:rsidRPr="00792B36">
              <w:rPr>
                <w:sz w:val="24"/>
                <w:szCs w:val="24"/>
              </w:rPr>
              <w:t>1,895</w:t>
            </w:r>
          </w:p>
        </w:tc>
        <w:tc>
          <w:tcPr>
            <w:tcW w:w="1077" w:type="dxa"/>
          </w:tcPr>
          <w:p w14:paraId="7BA12366" w14:textId="77777777" w:rsidR="009A0A63" w:rsidRPr="00792B36" w:rsidRDefault="009A0A63" w:rsidP="00A24459">
            <w:pPr>
              <w:jc w:val="center"/>
              <w:rPr>
                <w:sz w:val="24"/>
                <w:szCs w:val="24"/>
              </w:rPr>
            </w:pPr>
            <w:r w:rsidRPr="00792B36">
              <w:rPr>
                <w:sz w:val="24"/>
                <w:szCs w:val="24"/>
              </w:rPr>
              <w:t>1,720</w:t>
            </w:r>
          </w:p>
        </w:tc>
      </w:tr>
      <w:tr w:rsidR="009A0A63" w:rsidRPr="00792B36" w14:paraId="37817216" w14:textId="77777777" w:rsidTr="00A24459">
        <w:trPr>
          <w:trHeight w:val="283"/>
        </w:trPr>
        <w:tc>
          <w:tcPr>
            <w:tcW w:w="1955" w:type="dxa"/>
            <w:vAlign w:val="center"/>
          </w:tcPr>
          <w:p w14:paraId="4C947577" w14:textId="77777777" w:rsidR="009A0A63" w:rsidRPr="00792B36" w:rsidRDefault="009A0A63" w:rsidP="00A24459">
            <w:pPr>
              <w:rPr>
                <w:rFonts w:eastAsia="Times New Roman"/>
                <w:color w:val="000000"/>
                <w:spacing w:val="-4"/>
                <w:sz w:val="24"/>
                <w:szCs w:val="24"/>
              </w:rPr>
            </w:pPr>
            <w:r w:rsidRPr="00792B36">
              <w:rPr>
                <w:rFonts w:eastAsia="Times New Roman"/>
                <w:color w:val="000000"/>
                <w:spacing w:val="-4"/>
                <w:sz w:val="24"/>
                <w:szCs w:val="24"/>
              </w:rPr>
              <w:t>Tunas and billfishes</w:t>
            </w:r>
          </w:p>
        </w:tc>
        <w:tc>
          <w:tcPr>
            <w:tcW w:w="1077" w:type="dxa"/>
          </w:tcPr>
          <w:p w14:paraId="766B2E6B" w14:textId="77777777" w:rsidR="009A0A63" w:rsidRPr="00792B36" w:rsidRDefault="009A0A63" w:rsidP="00A24459">
            <w:pPr>
              <w:jc w:val="center"/>
              <w:rPr>
                <w:sz w:val="24"/>
                <w:szCs w:val="24"/>
              </w:rPr>
            </w:pPr>
            <w:r w:rsidRPr="00792B36">
              <w:rPr>
                <w:sz w:val="24"/>
                <w:szCs w:val="24"/>
              </w:rPr>
              <w:t>21,892</w:t>
            </w:r>
          </w:p>
        </w:tc>
        <w:tc>
          <w:tcPr>
            <w:tcW w:w="1077" w:type="dxa"/>
          </w:tcPr>
          <w:p w14:paraId="08E0B70F" w14:textId="77777777" w:rsidR="009A0A63" w:rsidRPr="00792B36" w:rsidRDefault="009A0A63" w:rsidP="00A24459">
            <w:pPr>
              <w:jc w:val="center"/>
              <w:rPr>
                <w:sz w:val="24"/>
                <w:szCs w:val="24"/>
              </w:rPr>
            </w:pPr>
            <w:r w:rsidRPr="00792B36">
              <w:rPr>
                <w:sz w:val="24"/>
                <w:szCs w:val="24"/>
              </w:rPr>
              <w:t>28,134</w:t>
            </w:r>
          </w:p>
        </w:tc>
        <w:tc>
          <w:tcPr>
            <w:tcW w:w="1077" w:type="dxa"/>
          </w:tcPr>
          <w:p w14:paraId="2FDB7B6A" w14:textId="77777777" w:rsidR="009A0A63" w:rsidRPr="00792B36" w:rsidRDefault="009A0A63" w:rsidP="00A24459">
            <w:pPr>
              <w:jc w:val="center"/>
              <w:rPr>
                <w:sz w:val="24"/>
                <w:szCs w:val="24"/>
              </w:rPr>
            </w:pPr>
            <w:r w:rsidRPr="00792B36">
              <w:rPr>
                <w:sz w:val="24"/>
                <w:szCs w:val="24"/>
              </w:rPr>
              <w:t>33,336</w:t>
            </w:r>
          </w:p>
        </w:tc>
        <w:tc>
          <w:tcPr>
            <w:tcW w:w="1077" w:type="dxa"/>
          </w:tcPr>
          <w:p w14:paraId="121A577E" w14:textId="77777777" w:rsidR="009A0A63" w:rsidRPr="00792B36" w:rsidRDefault="009A0A63" w:rsidP="00A24459">
            <w:pPr>
              <w:jc w:val="center"/>
              <w:rPr>
                <w:sz w:val="24"/>
                <w:szCs w:val="24"/>
              </w:rPr>
            </w:pPr>
            <w:r w:rsidRPr="00792B36">
              <w:rPr>
                <w:sz w:val="24"/>
                <w:szCs w:val="24"/>
              </w:rPr>
              <w:t>35,317</w:t>
            </w:r>
          </w:p>
        </w:tc>
        <w:tc>
          <w:tcPr>
            <w:tcW w:w="1077" w:type="dxa"/>
          </w:tcPr>
          <w:p w14:paraId="179B4947" w14:textId="77777777" w:rsidR="009A0A63" w:rsidRPr="00792B36" w:rsidRDefault="009A0A63" w:rsidP="00A24459">
            <w:pPr>
              <w:jc w:val="center"/>
              <w:rPr>
                <w:sz w:val="24"/>
                <w:szCs w:val="24"/>
              </w:rPr>
            </w:pPr>
            <w:r w:rsidRPr="00792B36">
              <w:rPr>
                <w:sz w:val="24"/>
                <w:szCs w:val="24"/>
              </w:rPr>
              <w:t>37,736</w:t>
            </w:r>
          </w:p>
        </w:tc>
        <w:tc>
          <w:tcPr>
            <w:tcW w:w="1077" w:type="dxa"/>
          </w:tcPr>
          <w:p w14:paraId="3B56EDBA" w14:textId="77777777" w:rsidR="009A0A63" w:rsidRPr="00792B36" w:rsidRDefault="009A0A63" w:rsidP="00A24459">
            <w:pPr>
              <w:jc w:val="center"/>
              <w:rPr>
                <w:sz w:val="24"/>
                <w:szCs w:val="24"/>
              </w:rPr>
            </w:pPr>
            <w:r w:rsidRPr="00792B36">
              <w:rPr>
                <w:sz w:val="24"/>
                <w:szCs w:val="24"/>
              </w:rPr>
              <w:t>34,609</w:t>
            </w:r>
          </w:p>
        </w:tc>
        <w:tc>
          <w:tcPr>
            <w:tcW w:w="1077" w:type="dxa"/>
          </w:tcPr>
          <w:p w14:paraId="10EAD69C" w14:textId="77777777" w:rsidR="009A0A63" w:rsidRPr="00792B36" w:rsidRDefault="009A0A63" w:rsidP="00A24459">
            <w:pPr>
              <w:jc w:val="center"/>
              <w:rPr>
                <w:sz w:val="24"/>
                <w:szCs w:val="24"/>
              </w:rPr>
            </w:pPr>
            <w:r w:rsidRPr="00792B36">
              <w:rPr>
                <w:sz w:val="24"/>
                <w:szCs w:val="24"/>
              </w:rPr>
              <w:t>38,523</w:t>
            </w:r>
          </w:p>
        </w:tc>
        <w:tc>
          <w:tcPr>
            <w:tcW w:w="1077" w:type="dxa"/>
          </w:tcPr>
          <w:p w14:paraId="1C37D094" w14:textId="77777777" w:rsidR="009A0A63" w:rsidRPr="00792B36" w:rsidRDefault="009A0A63" w:rsidP="00A24459">
            <w:pPr>
              <w:jc w:val="center"/>
              <w:rPr>
                <w:sz w:val="24"/>
                <w:szCs w:val="24"/>
              </w:rPr>
            </w:pPr>
            <w:r w:rsidRPr="00792B36">
              <w:rPr>
                <w:sz w:val="24"/>
                <w:szCs w:val="24"/>
              </w:rPr>
              <w:t>40,574</w:t>
            </w:r>
          </w:p>
        </w:tc>
        <w:tc>
          <w:tcPr>
            <w:tcW w:w="1077" w:type="dxa"/>
          </w:tcPr>
          <w:p w14:paraId="24497032" w14:textId="77777777" w:rsidR="009A0A63" w:rsidRPr="00792B36" w:rsidRDefault="009A0A63" w:rsidP="00A24459">
            <w:pPr>
              <w:jc w:val="center"/>
              <w:rPr>
                <w:sz w:val="24"/>
                <w:szCs w:val="24"/>
              </w:rPr>
            </w:pPr>
            <w:r w:rsidRPr="00792B36">
              <w:rPr>
                <w:sz w:val="24"/>
                <w:szCs w:val="24"/>
              </w:rPr>
              <w:t>36,935</w:t>
            </w:r>
          </w:p>
        </w:tc>
        <w:tc>
          <w:tcPr>
            <w:tcW w:w="1077" w:type="dxa"/>
          </w:tcPr>
          <w:p w14:paraId="3061EB02" w14:textId="77777777" w:rsidR="009A0A63" w:rsidRPr="00792B36" w:rsidRDefault="009A0A63" w:rsidP="00A24459">
            <w:pPr>
              <w:jc w:val="center"/>
              <w:rPr>
                <w:sz w:val="24"/>
                <w:szCs w:val="24"/>
              </w:rPr>
            </w:pPr>
            <w:r w:rsidRPr="00792B36">
              <w:rPr>
                <w:sz w:val="24"/>
                <w:szCs w:val="24"/>
              </w:rPr>
              <w:t>33,326</w:t>
            </w:r>
          </w:p>
        </w:tc>
      </w:tr>
      <w:tr w:rsidR="009A0A63" w:rsidRPr="00792B36" w14:paraId="58C2303A" w14:textId="77777777" w:rsidTr="00A24459">
        <w:trPr>
          <w:trHeight w:val="283"/>
        </w:trPr>
        <w:tc>
          <w:tcPr>
            <w:tcW w:w="1955" w:type="dxa"/>
            <w:tcBorders>
              <w:bottom w:val="single" w:sz="4" w:space="0" w:color="auto"/>
            </w:tcBorders>
            <w:vAlign w:val="center"/>
          </w:tcPr>
          <w:p w14:paraId="7C027EF8" w14:textId="77777777" w:rsidR="009A0A63" w:rsidRPr="00792B36" w:rsidRDefault="009A0A63" w:rsidP="00A24459">
            <w:pPr>
              <w:rPr>
                <w:rFonts w:eastAsia="Times New Roman"/>
                <w:color w:val="000000"/>
                <w:sz w:val="24"/>
                <w:szCs w:val="24"/>
              </w:rPr>
            </w:pPr>
            <w:r w:rsidRPr="00792B36">
              <w:rPr>
                <w:rFonts w:eastAsia="Times New Roman"/>
                <w:color w:val="000000"/>
                <w:sz w:val="24"/>
                <w:szCs w:val="24"/>
              </w:rPr>
              <w:t xml:space="preserve">Others </w:t>
            </w:r>
          </w:p>
        </w:tc>
        <w:tc>
          <w:tcPr>
            <w:tcW w:w="1077" w:type="dxa"/>
            <w:tcBorders>
              <w:bottom w:val="single" w:sz="4" w:space="0" w:color="auto"/>
            </w:tcBorders>
          </w:tcPr>
          <w:p w14:paraId="06CDED27" w14:textId="77777777" w:rsidR="009A0A63" w:rsidRPr="00792B36" w:rsidRDefault="009A0A63" w:rsidP="00A24459">
            <w:pPr>
              <w:jc w:val="center"/>
              <w:rPr>
                <w:sz w:val="24"/>
                <w:szCs w:val="24"/>
              </w:rPr>
            </w:pPr>
            <w:r w:rsidRPr="00792B36">
              <w:rPr>
                <w:sz w:val="24"/>
                <w:szCs w:val="24"/>
              </w:rPr>
              <w:t>4,737</w:t>
            </w:r>
          </w:p>
        </w:tc>
        <w:tc>
          <w:tcPr>
            <w:tcW w:w="1077" w:type="dxa"/>
            <w:tcBorders>
              <w:bottom w:val="single" w:sz="4" w:space="0" w:color="auto"/>
            </w:tcBorders>
          </w:tcPr>
          <w:p w14:paraId="250FAACA" w14:textId="77777777" w:rsidR="009A0A63" w:rsidRPr="00792B36" w:rsidRDefault="009A0A63" w:rsidP="00A24459">
            <w:pPr>
              <w:jc w:val="center"/>
              <w:rPr>
                <w:sz w:val="24"/>
                <w:szCs w:val="24"/>
              </w:rPr>
            </w:pPr>
            <w:r w:rsidRPr="00792B36">
              <w:rPr>
                <w:sz w:val="24"/>
                <w:szCs w:val="24"/>
              </w:rPr>
              <w:t>1,897</w:t>
            </w:r>
          </w:p>
        </w:tc>
        <w:tc>
          <w:tcPr>
            <w:tcW w:w="1077" w:type="dxa"/>
            <w:tcBorders>
              <w:bottom w:val="single" w:sz="4" w:space="0" w:color="auto"/>
            </w:tcBorders>
          </w:tcPr>
          <w:p w14:paraId="6517D502" w14:textId="77777777" w:rsidR="009A0A63" w:rsidRPr="00792B36" w:rsidRDefault="009A0A63" w:rsidP="00A24459">
            <w:pPr>
              <w:jc w:val="center"/>
              <w:rPr>
                <w:sz w:val="24"/>
                <w:szCs w:val="24"/>
              </w:rPr>
            </w:pPr>
            <w:r w:rsidRPr="00792B36">
              <w:rPr>
                <w:sz w:val="24"/>
                <w:szCs w:val="24"/>
              </w:rPr>
              <w:t>2,423</w:t>
            </w:r>
          </w:p>
        </w:tc>
        <w:tc>
          <w:tcPr>
            <w:tcW w:w="1077" w:type="dxa"/>
            <w:tcBorders>
              <w:bottom w:val="single" w:sz="4" w:space="0" w:color="auto"/>
            </w:tcBorders>
          </w:tcPr>
          <w:p w14:paraId="5E538E75" w14:textId="77777777" w:rsidR="009A0A63" w:rsidRPr="00792B36" w:rsidRDefault="009A0A63" w:rsidP="00A24459">
            <w:pPr>
              <w:jc w:val="center"/>
              <w:rPr>
                <w:sz w:val="24"/>
                <w:szCs w:val="24"/>
              </w:rPr>
            </w:pPr>
            <w:r w:rsidRPr="00792B36">
              <w:rPr>
                <w:sz w:val="24"/>
                <w:szCs w:val="24"/>
              </w:rPr>
              <w:t>7,708</w:t>
            </w:r>
          </w:p>
        </w:tc>
        <w:tc>
          <w:tcPr>
            <w:tcW w:w="1077" w:type="dxa"/>
            <w:tcBorders>
              <w:bottom w:val="single" w:sz="4" w:space="0" w:color="auto"/>
            </w:tcBorders>
          </w:tcPr>
          <w:p w14:paraId="468D0B73" w14:textId="77777777" w:rsidR="009A0A63" w:rsidRPr="00792B36" w:rsidRDefault="009A0A63" w:rsidP="00A24459">
            <w:pPr>
              <w:jc w:val="center"/>
              <w:rPr>
                <w:sz w:val="24"/>
                <w:szCs w:val="24"/>
              </w:rPr>
            </w:pPr>
            <w:r w:rsidRPr="00792B36">
              <w:rPr>
                <w:sz w:val="24"/>
                <w:szCs w:val="24"/>
              </w:rPr>
              <w:t>5,701</w:t>
            </w:r>
          </w:p>
        </w:tc>
        <w:tc>
          <w:tcPr>
            <w:tcW w:w="1077" w:type="dxa"/>
            <w:tcBorders>
              <w:bottom w:val="single" w:sz="4" w:space="0" w:color="auto"/>
            </w:tcBorders>
          </w:tcPr>
          <w:p w14:paraId="2BFD18AA" w14:textId="77777777" w:rsidR="009A0A63" w:rsidRPr="00792B36" w:rsidRDefault="009A0A63" w:rsidP="00A24459">
            <w:pPr>
              <w:jc w:val="center"/>
              <w:rPr>
                <w:sz w:val="24"/>
                <w:szCs w:val="24"/>
              </w:rPr>
            </w:pPr>
            <w:r w:rsidRPr="00792B36">
              <w:rPr>
                <w:sz w:val="24"/>
                <w:szCs w:val="24"/>
              </w:rPr>
              <w:t>10,927</w:t>
            </w:r>
          </w:p>
        </w:tc>
        <w:tc>
          <w:tcPr>
            <w:tcW w:w="1077" w:type="dxa"/>
            <w:tcBorders>
              <w:bottom w:val="single" w:sz="4" w:space="0" w:color="auto"/>
            </w:tcBorders>
          </w:tcPr>
          <w:p w14:paraId="27A7FC17" w14:textId="77777777" w:rsidR="009A0A63" w:rsidRPr="00792B36" w:rsidRDefault="009A0A63" w:rsidP="00A24459">
            <w:pPr>
              <w:jc w:val="center"/>
              <w:rPr>
                <w:sz w:val="24"/>
                <w:szCs w:val="24"/>
              </w:rPr>
            </w:pPr>
            <w:r w:rsidRPr="00792B36">
              <w:rPr>
                <w:sz w:val="24"/>
                <w:szCs w:val="24"/>
              </w:rPr>
              <w:t>4,696</w:t>
            </w:r>
          </w:p>
        </w:tc>
        <w:tc>
          <w:tcPr>
            <w:tcW w:w="1077" w:type="dxa"/>
            <w:tcBorders>
              <w:bottom w:val="single" w:sz="4" w:space="0" w:color="auto"/>
            </w:tcBorders>
          </w:tcPr>
          <w:p w14:paraId="727EB906" w14:textId="77777777" w:rsidR="009A0A63" w:rsidRPr="00792B36" w:rsidRDefault="009A0A63" w:rsidP="00A24459">
            <w:pPr>
              <w:jc w:val="center"/>
              <w:rPr>
                <w:sz w:val="24"/>
                <w:szCs w:val="24"/>
              </w:rPr>
            </w:pPr>
            <w:r w:rsidRPr="00792B36">
              <w:rPr>
                <w:sz w:val="24"/>
                <w:szCs w:val="24"/>
              </w:rPr>
              <w:t>9,516</w:t>
            </w:r>
          </w:p>
        </w:tc>
        <w:tc>
          <w:tcPr>
            <w:tcW w:w="1077" w:type="dxa"/>
            <w:tcBorders>
              <w:bottom w:val="single" w:sz="4" w:space="0" w:color="auto"/>
            </w:tcBorders>
          </w:tcPr>
          <w:p w14:paraId="028CFDA4" w14:textId="77777777" w:rsidR="009A0A63" w:rsidRPr="00792B36" w:rsidRDefault="009A0A63" w:rsidP="00A24459">
            <w:pPr>
              <w:jc w:val="center"/>
              <w:rPr>
                <w:sz w:val="24"/>
                <w:szCs w:val="24"/>
              </w:rPr>
            </w:pPr>
            <w:r w:rsidRPr="00792B36">
              <w:rPr>
                <w:sz w:val="24"/>
                <w:szCs w:val="24"/>
              </w:rPr>
              <w:t>2,193</w:t>
            </w:r>
          </w:p>
        </w:tc>
        <w:tc>
          <w:tcPr>
            <w:tcW w:w="1077" w:type="dxa"/>
            <w:tcBorders>
              <w:bottom w:val="single" w:sz="4" w:space="0" w:color="auto"/>
            </w:tcBorders>
          </w:tcPr>
          <w:p w14:paraId="75EB239D" w14:textId="77777777" w:rsidR="009A0A63" w:rsidRPr="00792B36" w:rsidRDefault="009A0A63" w:rsidP="00A24459">
            <w:pPr>
              <w:jc w:val="center"/>
              <w:rPr>
                <w:sz w:val="24"/>
                <w:szCs w:val="24"/>
              </w:rPr>
            </w:pPr>
            <w:r w:rsidRPr="00792B36">
              <w:rPr>
                <w:sz w:val="24"/>
                <w:szCs w:val="24"/>
              </w:rPr>
              <w:t>32,566</w:t>
            </w:r>
          </w:p>
        </w:tc>
      </w:tr>
      <w:tr w:rsidR="009A0A63" w:rsidRPr="00792B36" w14:paraId="1580525C" w14:textId="77777777" w:rsidTr="00A24459">
        <w:trPr>
          <w:trHeight w:val="283"/>
        </w:trPr>
        <w:tc>
          <w:tcPr>
            <w:tcW w:w="1955" w:type="dxa"/>
            <w:tcBorders>
              <w:top w:val="single" w:sz="4" w:space="0" w:color="auto"/>
              <w:bottom w:val="single" w:sz="4" w:space="0" w:color="auto"/>
            </w:tcBorders>
            <w:vAlign w:val="center"/>
          </w:tcPr>
          <w:p w14:paraId="2CC10AF2" w14:textId="77777777" w:rsidR="009A0A63" w:rsidRPr="00792B36" w:rsidRDefault="009A0A63" w:rsidP="00A24459">
            <w:pPr>
              <w:rPr>
                <w:rFonts w:eastAsia="Times New Roman"/>
                <w:color w:val="000000"/>
                <w:sz w:val="24"/>
                <w:szCs w:val="24"/>
              </w:rPr>
            </w:pPr>
            <w:r w:rsidRPr="00792B36">
              <w:rPr>
                <w:rFonts w:eastAsia="Times New Roman"/>
                <w:color w:val="000000"/>
                <w:sz w:val="24"/>
                <w:szCs w:val="24"/>
              </w:rPr>
              <w:t>Total</w:t>
            </w:r>
          </w:p>
        </w:tc>
        <w:tc>
          <w:tcPr>
            <w:tcW w:w="1077" w:type="dxa"/>
            <w:tcBorders>
              <w:top w:val="single" w:sz="4" w:space="0" w:color="auto"/>
              <w:bottom w:val="single" w:sz="4" w:space="0" w:color="auto"/>
            </w:tcBorders>
          </w:tcPr>
          <w:p w14:paraId="04CDB2A5" w14:textId="77777777" w:rsidR="009A0A63" w:rsidRPr="00792B36" w:rsidRDefault="009A0A63" w:rsidP="00A24459">
            <w:pPr>
              <w:jc w:val="center"/>
              <w:rPr>
                <w:spacing w:val="-4"/>
                <w:sz w:val="24"/>
                <w:szCs w:val="24"/>
              </w:rPr>
            </w:pPr>
            <w:r w:rsidRPr="00792B36">
              <w:rPr>
                <w:spacing w:val="-4"/>
                <w:sz w:val="24"/>
                <w:szCs w:val="24"/>
              </w:rPr>
              <w:t>994,583</w:t>
            </w:r>
          </w:p>
        </w:tc>
        <w:tc>
          <w:tcPr>
            <w:tcW w:w="1077" w:type="dxa"/>
            <w:tcBorders>
              <w:top w:val="single" w:sz="4" w:space="0" w:color="auto"/>
              <w:bottom w:val="single" w:sz="4" w:space="0" w:color="auto"/>
            </w:tcBorders>
          </w:tcPr>
          <w:p w14:paraId="624B176A" w14:textId="77777777" w:rsidR="009A0A63" w:rsidRPr="00792B36" w:rsidRDefault="009A0A63" w:rsidP="00A24459">
            <w:pPr>
              <w:jc w:val="center"/>
              <w:rPr>
                <w:spacing w:val="-4"/>
                <w:sz w:val="24"/>
                <w:szCs w:val="24"/>
              </w:rPr>
            </w:pPr>
            <w:r w:rsidRPr="00792B36">
              <w:rPr>
                <w:spacing w:val="-4"/>
                <w:sz w:val="24"/>
                <w:szCs w:val="24"/>
              </w:rPr>
              <w:t>954,919</w:t>
            </w:r>
          </w:p>
        </w:tc>
        <w:tc>
          <w:tcPr>
            <w:tcW w:w="1077" w:type="dxa"/>
            <w:tcBorders>
              <w:top w:val="single" w:sz="4" w:space="0" w:color="auto"/>
              <w:bottom w:val="single" w:sz="4" w:space="0" w:color="auto"/>
            </w:tcBorders>
          </w:tcPr>
          <w:p w14:paraId="75CE358A" w14:textId="77777777" w:rsidR="009A0A63" w:rsidRPr="00792B36" w:rsidRDefault="009A0A63" w:rsidP="00A24459">
            <w:pPr>
              <w:jc w:val="center"/>
              <w:rPr>
                <w:spacing w:val="-4"/>
                <w:sz w:val="24"/>
                <w:szCs w:val="24"/>
              </w:rPr>
            </w:pPr>
            <w:r w:rsidRPr="00792B36">
              <w:rPr>
                <w:spacing w:val="-4"/>
                <w:sz w:val="24"/>
                <w:szCs w:val="24"/>
              </w:rPr>
              <w:t>1,014,242</w:t>
            </w:r>
          </w:p>
        </w:tc>
        <w:tc>
          <w:tcPr>
            <w:tcW w:w="1077" w:type="dxa"/>
            <w:tcBorders>
              <w:top w:val="single" w:sz="4" w:space="0" w:color="auto"/>
              <w:bottom w:val="single" w:sz="4" w:space="0" w:color="auto"/>
            </w:tcBorders>
          </w:tcPr>
          <w:p w14:paraId="02E8EEE4" w14:textId="77777777" w:rsidR="009A0A63" w:rsidRPr="00792B36" w:rsidRDefault="009A0A63" w:rsidP="00A24459">
            <w:pPr>
              <w:jc w:val="center"/>
              <w:rPr>
                <w:sz w:val="24"/>
                <w:szCs w:val="24"/>
              </w:rPr>
            </w:pPr>
            <w:r w:rsidRPr="00792B36">
              <w:rPr>
                <w:sz w:val="24"/>
                <w:szCs w:val="24"/>
              </w:rPr>
              <w:t>997,408</w:t>
            </w:r>
          </w:p>
        </w:tc>
        <w:tc>
          <w:tcPr>
            <w:tcW w:w="1077" w:type="dxa"/>
            <w:tcBorders>
              <w:top w:val="single" w:sz="4" w:space="0" w:color="auto"/>
              <w:bottom w:val="single" w:sz="4" w:space="0" w:color="auto"/>
            </w:tcBorders>
          </w:tcPr>
          <w:p w14:paraId="3D2148C4" w14:textId="77777777" w:rsidR="009A0A63" w:rsidRPr="00792B36" w:rsidRDefault="009A0A63" w:rsidP="00A24459">
            <w:pPr>
              <w:jc w:val="center"/>
              <w:rPr>
                <w:sz w:val="24"/>
                <w:szCs w:val="24"/>
              </w:rPr>
            </w:pPr>
            <w:r w:rsidRPr="00792B36">
              <w:rPr>
                <w:sz w:val="24"/>
                <w:szCs w:val="24"/>
              </w:rPr>
              <w:t>906,609</w:t>
            </w:r>
          </w:p>
        </w:tc>
        <w:tc>
          <w:tcPr>
            <w:tcW w:w="1077" w:type="dxa"/>
            <w:tcBorders>
              <w:top w:val="single" w:sz="4" w:space="0" w:color="auto"/>
              <w:bottom w:val="single" w:sz="4" w:space="0" w:color="auto"/>
            </w:tcBorders>
          </w:tcPr>
          <w:p w14:paraId="40F159ED" w14:textId="77777777" w:rsidR="009A0A63" w:rsidRPr="00792B36" w:rsidRDefault="009A0A63" w:rsidP="00A24459">
            <w:pPr>
              <w:jc w:val="center"/>
              <w:rPr>
                <w:sz w:val="24"/>
                <w:szCs w:val="24"/>
              </w:rPr>
            </w:pPr>
            <w:r w:rsidRPr="00792B36">
              <w:rPr>
                <w:sz w:val="24"/>
                <w:szCs w:val="24"/>
              </w:rPr>
              <w:t>950,219</w:t>
            </w:r>
          </w:p>
        </w:tc>
        <w:tc>
          <w:tcPr>
            <w:tcW w:w="1077" w:type="dxa"/>
            <w:tcBorders>
              <w:top w:val="single" w:sz="4" w:space="0" w:color="auto"/>
              <w:bottom w:val="single" w:sz="4" w:space="0" w:color="auto"/>
            </w:tcBorders>
          </w:tcPr>
          <w:p w14:paraId="0613B7F6" w14:textId="77777777" w:rsidR="009A0A63" w:rsidRPr="00792B36" w:rsidRDefault="009A0A63" w:rsidP="00A24459">
            <w:pPr>
              <w:jc w:val="center"/>
              <w:rPr>
                <w:sz w:val="24"/>
                <w:szCs w:val="24"/>
              </w:rPr>
            </w:pPr>
            <w:r w:rsidRPr="00792B36">
              <w:rPr>
                <w:sz w:val="24"/>
                <w:szCs w:val="24"/>
              </w:rPr>
              <w:t>924,405</w:t>
            </w:r>
          </w:p>
        </w:tc>
        <w:tc>
          <w:tcPr>
            <w:tcW w:w="1077" w:type="dxa"/>
            <w:tcBorders>
              <w:top w:val="single" w:sz="4" w:space="0" w:color="auto"/>
              <w:bottom w:val="single" w:sz="4" w:space="0" w:color="auto"/>
            </w:tcBorders>
          </w:tcPr>
          <w:p w14:paraId="3D850A32" w14:textId="77777777" w:rsidR="009A0A63" w:rsidRPr="00792B36" w:rsidRDefault="009A0A63" w:rsidP="00A24459">
            <w:pPr>
              <w:jc w:val="center"/>
              <w:rPr>
                <w:sz w:val="24"/>
                <w:szCs w:val="24"/>
              </w:rPr>
            </w:pPr>
            <w:r w:rsidRPr="00792B36">
              <w:rPr>
                <w:spacing w:val="-4"/>
                <w:sz w:val="24"/>
                <w:szCs w:val="24"/>
              </w:rPr>
              <w:t>1,026,716</w:t>
            </w:r>
          </w:p>
        </w:tc>
        <w:tc>
          <w:tcPr>
            <w:tcW w:w="1077" w:type="dxa"/>
            <w:tcBorders>
              <w:top w:val="single" w:sz="4" w:space="0" w:color="auto"/>
              <w:bottom w:val="single" w:sz="4" w:space="0" w:color="auto"/>
            </w:tcBorders>
          </w:tcPr>
          <w:p w14:paraId="33E4F1FD" w14:textId="77777777" w:rsidR="009A0A63" w:rsidRPr="00792B36" w:rsidRDefault="009A0A63" w:rsidP="00A24459">
            <w:pPr>
              <w:jc w:val="center"/>
              <w:rPr>
                <w:sz w:val="24"/>
                <w:szCs w:val="24"/>
              </w:rPr>
            </w:pPr>
            <w:r w:rsidRPr="00792B36">
              <w:rPr>
                <w:spacing w:val="-4"/>
                <w:sz w:val="24"/>
                <w:szCs w:val="24"/>
              </w:rPr>
              <w:t>1,040,058</w:t>
            </w:r>
          </w:p>
        </w:tc>
        <w:tc>
          <w:tcPr>
            <w:tcW w:w="1077" w:type="dxa"/>
            <w:tcBorders>
              <w:top w:val="single" w:sz="4" w:space="0" w:color="auto"/>
              <w:bottom w:val="single" w:sz="4" w:space="0" w:color="auto"/>
            </w:tcBorders>
          </w:tcPr>
          <w:p w14:paraId="712437DF" w14:textId="77777777" w:rsidR="009A0A63" w:rsidRPr="00792B36" w:rsidRDefault="009A0A63" w:rsidP="00A24459">
            <w:pPr>
              <w:jc w:val="center"/>
              <w:rPr>
                <w:sz w:val="24"/>
                <w:szCs w:val="24"/>
              </w:rPr>
            </w:pPr>
            <w:r w:rsidRPr="00792B36">
              <w:rPr>
                <w:sz w:val="24"/>
                <w:szCs w:val="24"/>
              </w:rPr>
              <w:t>962,335</w:t>
            </w:r>
          </w:p>
        </w:tc>
      </w:tr>
    </w:tbl>
    <w:p w14:paraId="76E45FEC" w14:textId="77777777" w:rsidR="009A0A63" w:rsidRPr="00792B36" w:rsidRDefault="009A0A63" w:rsidP="009A0A63">
      <w:pPr>
        <w:rPr>
          <w:sz w:val="24"/>
          <w:szCs w:val="24"/>
        </w:rPr>
      </w:pPr>
    </w:p>
    <w:p w14:paraId="3240CC08" w14:textId="77777777" w:rsidR="009A0A63" w:rsidRPr="00792B36" w:rsidRDefault="009A0A63" w:rsidP="009A0A63">
      <w:pPr>
        <w:rPr>
          <w:sz w:val="24"/>
          <w:szCs w:val="24"/>
        </w:rPr>
      </w:pPr>
    </w:p>
    <w:p w14:paraId="7AE02CF0" w14:textId="77777777" w:rsidR="009A0A63" w:rsidRPr="00792B36" w:rsidRDefault="009A0A63" w:rsidP="009A0A63">
      <w:pPr>
        <w:rPr>
          <w:sz w:val="24"/>
          <w:szCs w:val="24"/>
        </w:rPr>
      </w:pPr>
    </w:p>
    <w:p w14:paraId="0528F1D2" w14:textId="77777777" w:rsidR="009A0A63" w:rsidRPr="00792B36" w:rsidRDefault="009A0A63" w:rsidP="009A0A63">
      <w:pPr>
        <w:rPr>
          <w:sz w:val="24"/>
          <w:szCs w:val="24"/>
        </w:rPr>
      </w:pPr>
    </w:p>
    <w:p w14:paraId="0ED1B7B8" w14:textId="77777777" w:rsidR="009A0A63" w:rsidRPr="00792B36" w:rsidRDefault="009A0A63" w:rsidP="009A0A63">
      <w:pPr>
        <w:rPr>
          <w:sz w:val="24"/>
          <w:szCs w:val="24"/>
        </w:rPr>
      </w:pPr>
    </w:p>
    <w:p w14:paraId="1E81CAB0" w14:textId="77777777" w:rsidR="009A0A63" w:rsidRPr="00792B36" w:rsidRDefault="009A0A63" w:rsidP="009A0A63">
      <w:pPr>
        <w:rPr>
          <w:sz w:val="24"/>
          <w:szCs w:val="24"/>
        </w:rPr>
      </w:pPr>
    </w:p>
    <w:p w14:paraId="7449884B" w14:textId="77777777" w:rsidR="009A0A63" w:rsidRPr="00792B36" w:rsidRDefault="009A0A63" w:rsidP="009A0A63">
      <w:pPr>
        <w:rPr>
          <w:sz w:val="24"/>
          <w:szCs w:val="24"/>
        </w:rPr>
      </w:pPr>
    </w:p>
    <w:p w14:paraId="43FE9497" w14:textId="77777777" w:rsidR="009A0A63" w:rsidRPr="00792B36" w:rsidRDefault="009A0A63" w:rsidP="009A0A63">
      <w:pPr>
        <w:rPr>
          <w:sz w:val="24"/>
          <w:szCs w:val="24"/>
        </w:rPr>
      </w:pPr>
    </w:p>
    <w:p w14:paraId="18973B8D" w14:textId="77777777" w:rsidR="009A0A63" w:rsidRPr="00792B36" w:rsidRDefault="009A0A63" w:rsidP="009A0A63">
      <w:pPr>
        <w:rPr>
          <w:sz w:val="24"/>
          <w:szCs w:val="24"/>
        </w:rPr>
      </w:pPr>
    </w:p>
    <w:p w14:paraId="7CD449C4" w14:textId="77777777" w:rsidR="009A0A63" w:rsidRPr="00792B36" w:rsidRDefault="009A0A63" w:rsidP="009A0A63">
      <w:pPr>
        <w:rPr>
          <w:sz w:val="24"/>
          <w:szCs w:val="24"/>
        </w:rPr>
      </w:pPr>
    </w:p>
    <w:p w14:paraId="771ED139" w14:textId="77777777" w:rsidR="009A0A63" w:rsidRPr="00792B36" w:rsidRDefault="009A0A63" w:rsidP="009A0A63">
      <w:pPr>
        <w:rPr>
          <w:b/>
          <w:bCs/>
          <w:sz w:val="24"/>
          <w:szCs w:val="24"/>
        </w:rPr>
      </w:pPr>
    </w:p>
    <w:p w14:paraId="744D5CA2" w14:textId="77777777" w:rsidR="009A0A63" w:rsidRPr="00792B36" w:rsidRDefault="009A0A63" w:rsidP="009A0A63">
      <w:pPr>
        <w:rPr>
          <w:b/>
          <w:bCs/>
          <w:sz w:val="24"/>
          <w:szCs w:val="24"/>
        </w:rPr>
      </w:pPr>
    </w:p>
    <w:p w14:paraId="56E7A677" w14:textId="77777777" w:rsidR="009A0A63" w:rsidRPr="00792B36" w:rsidRDefault="009A0A63" w:rsidP="009A0A63">
      <w:pPr>
        <w:rPr>
          <w:sz w:val="24"/>
          <w:szCs w:val="24"/>
        </w:rPr>
      </w:pPr>
      <w:r w:rsidRPr="00792B36">
        <w:rPr>
          <w:b/>
          <w:bCs/>
          <w:sz w:val="24"/>
          <w:szCs w:val="24"/>
        </w:rPr>
        <w:lastRenderedPageBreak/>
        <w:t>Appendix Table 1</w:t>
      </w:r>
      <w:r w:rsidRPr="00792B36">
        <w:rPr>
          <w:sz w:val="24"/>
          <w:szCs w:val="24"/>
        </w:rPr>
        <w:t xml:space="preserve"> (Continue)</w:t>
      </w:r>
    </w:p>
    <w:p w14:paraId="0FEA0790" w14:textId="77777777" w:rsidR="009A0A63" w:rsidRPr="00792B36" w:rsidRDefault="009A0A63" w:rsidP="009A0A63">
      <w:pPr>
        <w:rPr>
          <w:sz w:val="24"/>
          <w:szCs w:val="24"/>
        </w:rPr>
      </w:pPr>
    </w:p>
    <w:tbl>
      <w:tblPr>
        <w:tblStyle w:val="TableGrid"/>
        <w:tblW w:w="518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955"/>
        <w:gridCol w:w="1077"/>
        <w:gridCol w:w="1077"/>
        <w:gridCol w:w="1077"/>
      </w:tblGrid>
      <w:tr w:rsidR="009A0A63" w:rsidRPr="00792B36" w14:paraId="1AFD0D93" w14:textId="77777777" w:rsidTr="00A24459">
        <w:trPr>
          <w:trHeight w:val="283"/>
        </w:trPr>
        <w:tc>
          <w:tcPr>
            <w:tcW w:w="1955" w:type="dxa"/>
            <w:tcBorders>
              <w:top w:val="single" w:sz="4" w:space="0" w:color="auto"/>
              <w:bottom w:val="single" w:sz="4" w:space="0" w:color="auto"/>
            </w:tcBorders>
            <w:vAlign w:val="center"/>
          </w:tcPr>
          <w:p w14:paraId="2030DB1C" w14:textId="77777777" w:rsidR="009A0A63" w:rsidRPr="00792B36" w:rsidRDefault="009A0A63" w:rsidP="00A24459">
            <w:pPr>
              <w:jc w:val="center"/>
              <w:rPr>
                <w:b/>
                <w:bCs/>
                <w:sz w:val="24"/>
                <w:szCs w:val="24"/>
              </w:rPr>
            </w:pPr>
            <w:r w:rsidRPr="00792B36">
              <w:rPr>
                <w:rFonts w:eastAsia="Times New Roman"/>
                <w:b/>
                <w:bCs/>
                <w:color w:val="000000"/>
                <w:sz w:val="24"/>
                <w:szCs w:val="24"/>
              </w:rPr>
              <w:t>Species groups</w:t>
            </w:r>
          </w:p>
        </w:tc>
        <w:tc>
          <w:tcPr>
            <w:tcW w:w="1077" w:type="dxa"/>
            <w:tcBorders>
              <w:top w:val="single" w:sz="4" w:space="0" w:color="auto"/>
              <w:bottom w:val="single" w:sz="4" w:space="0" w:color="auto"/>
            </w:tcBorders>
            <w:vAlign w:val="center"/>
          </w:tcPr>
          <w:p w14:paraId="0D5272B4" w14:textId="77777777" w:rsidR="009A0A63" w:rsidRPr="00792B36" w:rsidRDefault="009A0A63" w:rsidP="00A24459">
            <w:pPr>
              <w:jc w:val="center"/>
              <w:rPr>
                <w:b/>
                <w:bCs/>
                <w:sz w:val="24"/>
                <w:szCs w:val="24"/>
              </w:rPr>
            </w:pPr>
            <w:r w:rsidRPr="00792B36">
              <w:rPr>
                <w:b/>
                <w:bCs/>
                <w:sz w:val="24"/>
                <w:szCs w:val="24"/>
              </w:rPr>
              <w:t>2021</w:t>
            </w:r>
          </w:p>
        </w:tc>
        <w:tc>
          <w:tcPr>
            <w:tcW w:w="1077" w:type="dxa"/>
            <w:tcBorders>
              <w:top w:val="single" w:sz="4" w:space="0" w:color="auto"/>
              <w:bottom w:val="single" w:sz="4" w:space="0" w:color="auto"/>
            </w:tcBorders>
            <w:vAlign w:val="center"/>
          </w:tcPr>
          <w:p w14:paraId="2F071957" w14:textId="77777777" w:rsidR="009A0A63" w:rsidRPr="00792B36" w:rsidRDefault="009A0A63" w:rsidP="00A24459">
            <w:pPr>
              <w:jc w:val="center"/>
              <w:rPr>
                <w:rFonts w:eastAsia="Times New Roman"/>
                <w:b/>
                <w:bCs/>
                <w:color w:val="000000"/>
                <w:sz w:val="24"/>
                <w:szCs w:val="24"/>
              </w:rPr>
            </w:pPr>
            <w:r w:rsidRPr="00792B36">
              <w:rPr>
                <w:b/>
                <w:bCs/>
                <w:sz w:val="24"/>
                <w:szCs w:val="24"/>
              </w:rPr>
              <w:t>2022</w:t>
            </w:r>
          </w:p>
        </w:tc>
        <w:tc>
          <w:tcPr>
            <w:tcW w:w="1077" w:type="dxa"/>
            <w:tcBorders>
              <w:top w:val="single" w:sz="4" w:space="0" w:color="auto"/>
              <w:bottom w:val="single" w:sz="4" w:space="0" w:color="auto"/>
            </w:tcBorders>
          </w:tcPr>
          <w:p w14:paraId="3E63F00E" w14:textId="77777777" w:rsidR="009A0A63" w:rsidRPr="00792B36" w:rsidRDefault="009A0A63" w:rsidP="00A24459">
            <w:pPr>
              <w:jc w:val="center"/>
              <w:rPr>
                <w:b/>
                <w:bCs/>
                <w:sz w:val="24"/>
                <w:szCs w:val="24"/>
              </w:rPr>
            </w:pPr>
            <w:r w:rsidRPr="00792B36">
              <w:rPr>
                <w:b/>
                <w:bCs/>
                <w:sz w:val="24"/>
                <w:szCs w:val="24"/>
              </w:rPr>
              <w:t>2023</w:t>
            </w:r>
          </w:p>
        </w:tc>
      </w:tr>
      <w:tr w:rsidR="009A0A63" w:rsidRPr="00792B36" w14:paraId="0F98DA15" w14:textId="77777777" w:rsidTr="00A24459">
        <w:trPr>
          <w:trHeight w:val="283"/>
        </w:trPr>
        <w:tc>
          <w:tcPr>
            <w:tcW w:w="1955" w:type="dxa"/>
            <w:tcBorders>
              <w:top w:val="single" w:sz="4" w:space="0" w:color="auto"/>
            </w:tcBorders>
            <w:vAlign w:val="center"/>
          </w:tcPr>
          <w:p w14:paraId="78FE74A0" w14:textId="77777777" w:rsidR="009A0A63" w:rsidRPr="00792B36" w:rsidRDefault="009A0A63" w:rsidP="00A24459">
            <w:pPr>
              <w:rPr>
                <w:sz w:val="24"/>
                <w:szCs w:val="24"/>
              </w:rPr>
            </w:pPr>
            <w:r w:rsidRPr="00792B36">
              <w:rPr>
                <w:rFonts w:eastAsia="Times New Roman"/>
                <w:color w:val="000000"/>
                <w:sz w:val="24"/>
                <w:szCs w:val="24"/>
              </w:rPr>
              <w:t>Demersal fishes</w:t>
            </w:r>
          </w:p>
        </w:tc>
        <w:tc>
          <w:tcPr>
            <w:tcW w:w="1077" w:type="dxa"/>
            <w:tcBorders>
              <w:top w:val="single" w:sz="4" w:space="0" w:color="auto"/>
            </w:tcBorders>
          </w:tcPr>
          <w:p w14:paraId="54CD0F1E" w14:textId="77777777" w:rsidR="009A0A63" w:rsidRPr="00792B36" w:rsidRDefault="009A0A63" w:rsidP="00A24459">
            <w:pPr>
              <w:jc w:val="center"/>
              <w:rPr>
                <w:sz w:val="24"/>
                <w:szCs w:val="24"/>
              </w:rPr>
            </w:pPr>
            <w:r w:rsidRPr="00792B36">
              <w:rPr>
                <w:sz w:val="24"/>
                <w:szCs w:val="24"/>
              </w:rPr>
              <w:t>367,707</w:t>
            </w:r>
          </w:p>
        </w:tc>
        <w:tc>
          <w:tcPr>
            <w:tcW w:w="1077" w:type="dxa"/>
            <w:tcBorders>
              <w:top w:val="single" w:sz="4" w:space="0" w:color="auto"/>
            </w:tcBorders>
          </w:tcPr>
          <w:p w14:paraId="59C9C870" w14:textId="77777777" w:rsidR="009A0A63" w:rsidRPr="00792B36" w:rsidRDefault="009A0A63" w:rsidP="00A24459">
            <w:pPr>
              <w:jc w:val="center"/>
              <w:rPr>
                <w:rFonts w:eastAsia="Times New Roman"/>
                <w:color w:val="000000"/>
                <w:sz w:val="24"/>
                <w:szCs w:val="24"/>
              </w:rPr>
            </w:pPr>
            <w:r w:rsidRPr="00792B36">
              <w:rPr>
                <w:sz w:val="24"/>
                <w:szCs w:val="24"/>
              </w:rPr>
              <w:t>376,134</w:t>
            </w:r>
          </w:p>
        </w:tc>
        <w:tc>
          <w:tcPr>
            <w:tcW w:w="1077" w:type="dxa"/>
            <w:tcBorders>
              <w:top w:val="single" w:sz="4" w:space="0" w:color="auto"/>
            </w:tcBorders>
          </w:tcPr>
          <w:p w14:paraId="2D1B6906" w14:textId="77777777" w:rsidR="009A0A63" w:rsidRPr="00792B36" w:rsidRDefault="009A0A63" w:rsidP="00A24459">
            <w:pPr>
              <w:jc w:val="center"/>
              <w:rPr>
                <w:sz w:val="24"/>
                <w:szCs w:val="24"/>
              </w:rPr>
            </w:pPr>
            <w:r w:rsidRPr="00792B36">
              <w:rPr>
                <w:sz w:val="24"/>
                <w:szCs w:val="24"/>
              </w:rPr>
              <w:t>428,562</w:t>
            </w:r>
          </w:p>
        </w:tc>
      </w:tr>
      <w:tr w:rsidR="009A0A63" w:rsidRPr="00792B36" w14:paraId="2871E830" w14:textId="77777777" w:rsidTr="00A24459">
        <w:trPr>
          <w:trHeight w:val="283"/>
        </w:trPr>
        <w:tc>
          <w:tcPr>
            <w:tcW w:w="1955" w:type="dxa"/>
            <w:vAlign w:val="center"/>
          </w:tcPr>
          <w:p w14:paraId="75F3155E" w14:textId="77777777" w:rsidR="009A0A63" w:rsidRPr="00792B36" w:rsidRDefault="009A0A63" w:rsidP="00A24459">
            <w:pPr>
              <w:rPr>
                <w:sz w:val="24"/>
                <w:szCs w:val="24"/>
              </w:rPr>
            </w:pPr>
            <w:r w:rsidRPr="00792B36">
              <w:rPr>
                <w:rFonts w:eastAsia="Times New Roman"/>
                <w:color w:val="000000"/>
                <w:sz w:val="24"/>
                <w:szCs w:val="24"/>
              </w:rPr>
              <w:t>Pelagic fishes</w:t>
            </w:r>
          </w:p>
        </w:tc>
        <w:tc>
          <w:tcPr>
            <w:tcW w:w="1077" w:type="dxa"/>
          </w:tcPr>
          <w:p w14:paraId="0987AAC4" w14:textId="77777777" w:rsidR="009A0A63" w:rsidRPr="00792B36" w:rsidRDefault="009A0A63" w:rsidP="00A24459">
            <w:pPr>
              <w:jc w:val="center"/>
              <w:rPr>
                <w:sz w:val="24"/>
                <w:szCs w:val="24"/>
              </w:rPr>
            </w:pPr>
            <w:r w:rsidRPr="00792B36">
              <w:rPr>
                <w:sz w:val="24"/>
                <w:szCs w:val="24"/>
              </w:rPr>
              <w:t>335,409</w:t>
            </w:r>
          </w:p>
        </w:tc>
        <w:tc>
          <w:tcPr>
            <w:tcW w:w="1077" w:type="dxa"/>
          </w:tcPr>
          <w:p w14:paraId="34AEDF2B" w14:textId="77777777" w:rsidR="009A0A63" w:rsidRPr="00792B36" w:rsidRDefault="009A0A63" w:rsidP="00A24459">
            <w:pPr>
              <w:jc w:val="center"/>
              <w:rPr>
                <w:rFonts w:eastAsia="Times New Roman"/>
                <w:color w:val="000000"/>
                <w:sz w:val="24"/>
                <w:szCs w:val="24"/>
              </w:rPr>
            </w:pPr>
            <w:r w:rsidRPr="00792B36">
              <w:rPr>
                <w:sz w:val="24"/>
                <w:szCs w:val="24"/>
              </w:rPr>
              <w:t>356,826</w:t>
            </w:r>
          </w:p>
        </w:tc>
        <w:tc>
          <w:tcPr>
            <w:tcW w:w="1077" w:type="dxa"/>
          </w:tcPr>
          <w:p w14:paraId="33B456C7" w14:textId="77777777" w:rsidR="009A0A63" w:rsidRPr="00792B36" w:rsidRDefault="009A0A63" w:rsidP="00A24459">
            <w:pPr>
              <w:jc w:val="center"/>
              <w:rPr>
                <w:sz w:val="24"/>
                <w:szCs w:val="24"/>
              </w:rPr>
            </w:pPr>
            <w:r w:rsidRPr="00792B36">
              <w:rPr>
                <w:sz w:val="24"/>
                <w:szCs w:val="24"/>
              </w:rPr>
              <w:t>386,623</w:t>
            </w:r>
          </w:p>
        </w:tc>
      </w:tr>
      <w:tr w:rsidR="009A0A63" w:rsidRPr="00792B36" w14:paraId="617BE2E9" w14:textId="77777777" w:rsidTr="00A24459">
        <w:trPr>
          <w:trHeight w:val="283"/>
        </w:trPr>
        <w:tc>
          <w:tcPr>
            <w:tcW w:w="1955" w:type="dxa"/>
            <w:vAlign w:val="center"/>
          </w:tcPr>
          <w:p w14:paraId="34E52F63" w14:textId="77777777" w:rsidR="009A0A63" w:rsidRPr="00792B36" w:rsidRDefault="009A0A63" w:rsidP="00A24459">
            <w:pPr>
              <w:rPr>
                <w:sz w:val="24"/>
                <w:szCs w:val="24"/>
              </w:rPr>
            </w:pPr>
            <w:r w:rsidRPr="00792B36">
              <w:rPr>
                <w:rFonts w:eastAsia="Times New Roman"/>
                <w:color w:val="000000"/>
                <w:spacing w:val="-4"/>
                <w:sz w:val="24"/>
                <w:szCs w:val="24"/>
              </w:rPr>
              <w:t>Squids, cuttlefishes,</w:t>
            </w:r>
            <w:r w:rsidRPr="00792B36">
              <w:rPr>
                <w:rFonts w:eastAsia="Times New Roman"/>
                <w:color w:val="000000"/>
                <w:sz w:val="24"/>
                <w:szCs w:val="24"/>
              </w:rPr>
              <w:t xml:space="preserve"> Octopus</w:t>
            </w:r>
          </w:p>
        </w:tc>
        <w:tc>
          <w:tcPr>
            <w:tcW w:w="1077" w:type="dxa"/>
          </w:tcPr>
          <w:p w14:paraId="5757BA69" w14:textId="77777777" w:rsidR="009A0A63" w:rsidRPr="00792B36" w:rsidRDefault="009A0A63" w:rsidP="00A24459">
            <w:pPr>
              <w:jc w:val="center"/>
              <w:rPr>
                <w:sz w:val="24"/>
                <w:szCs w:val="24"/>
              </w:rPr>
            </w:pPr>
            <w:r w:rsidRPr="00792B36">
              <w:rPr>
                <w:sz w:val="24"/>
                <w:szCs w:val="24"/>
              </w:rPr>
              <w:t>71,161</w:t>
            </w:r>
          </w:p>
        </w:tc>
        <w:tc>
          <w:tcPr>
            <w:tcW w:w="1077" w:type="dxa"/>
          </w:tcPr>
          <w:p w14:paraId="5B9738FE" w14:textId="77777777" w:rsidR="009A0A63" w:rsidRPr="00792B36" w:rsidRDefault="009A0A63" w:rsidP="00A24459">
            <w:pPr>
              <w:jc w:val="center"/>
              <w:rPr>
                <w:rFonts w:eastAsia="Times New Roman"/>
                <w:color w:val="000000"/>
                <w:sz w:val="24"/>
                <w:szCs w:val="24"/>
              </w:rPr>
            </w:pPr>
            <w:r w:rsidRPr="00792B36">
              <w:rPr>
                <w:sz w:val="24"/>
                <w:szCs w:val="24"/>
              </w:rPr>
              <w:t>82,014</w:t>
            </w:r>
          </w:p>
        </w:tc>
        <w:tc>
          <w:tcPr>
            <w:tcW w:w="1077" w:type="dxa"/>
          </w:tcPr>
          <w:p w14:paraId="537242DC" w14:textId="77777777" w:rsidR="009A0A63" w:rsidRPr="00792B36" w:rsidRDefault="009A0A63" w:rsidP="00A24459">
            <w:pPr>
              <w:jc w:val="center"/>
              <w:rPr>
                <w:sz w:val="24"/>
                <w:szCs w:val="24"/>
              </w:rPr>
            </w:pPr>
            <w:r w:rsidRPr="00792B36">
              <w:rPr>
                <w:sz w:val="24"/>
                <w:szCs w:val="24"/>
              </w:rPr>
              <w:t>69,073</w:t>
            </w:r>
          </w:p>
        </w:tc>
      </w:tr>
      <w:tr w:rsidR="009A0A63" w:rsidRPr="00792B36" w14:paraId="6B938E9F" w14:textId="77777777" w:rsidTr="00A24459">
        <w:trPr>
          <w:trHeight w:val="283"/>
        </w:trPr>
        <w:tc>
          <w:tcPr>
            <w:tcW w:w="1955" w:type="dxa"/>
            <w:vAlign w:val="center"/>
          </w:tcPr>
          <w:p w14:paraId="68BD018C" w14:textId="77777777" w:rsidR="009A0A63" w:rsidRPr="00792B36" w:rsidRDefault="009A0A63" w:rsidP="00A24459">
            <w:pPr>
              <w:rPr>
                <w:sz w:val="24"/>
                <w:szCs w:val="24"/>
              </w:rPr>
            </w:pPr>
            <w:r w:rsidRPr="00792B36">
              <w:rPr>
                <w:rFonts w:eastAsia="Times New Roman"/>
                <w:color w:val="000000"/>
                <w:sz w:val="24"/>
                <w:szCs w:val="24"/>
              </w:rPr>
              <w:t xml:space="preserve">Crustaceans </w:t>
            </w:r>
          </w:p>
        </w:tc>
        <w:tc>
          <w:tcPr>
            <w:tcW w:w="1077" w:type="dxa"/>
          </w:tcPr>
          <w:p w14:paraId="35F15032" w14:textId="77777777" w:rsidR="009A0A63" w:rsidRPr="00792B36" w:rsidRDefault="009A0A63" w:rsidP="00A24459">
            <w:pPr>
              <w:jc w:val="center"/>
              <w:rPr>
                <w:sz w:val="24"/>
                <w:szCs w:val="24"/>
              </w:rPr>
            </w:pPr>
            <w:r w:rsidRPr="00792B36">
              <w:rPr>
                <w:sz w:val="24"/>
                <w:szCs w:val="24"/>
              </w:rPr>
              <w:t>81,146</w:t>
            </w:r>
          </w:p>
        </w:tc>
        <w:tc>
          <w:tcPr>
            <w:tcW w:w="1077" w:type="dxa"/>
          </w:tcPr>
          <w:p w14:paraId="059E5D11" w14:textId="77777777" w:rsidR="009A0A63" w:rsidRPr="00792B36" w:rsidRDefault="009A0A63" w:rsidP="00A24459">
            <w:pPr>
              <w:jc w:val="center"/>
              <w:rPr>
                <w:rFonts w:eastAsia="Times New Roman"/>
                <w:color w:val="000000"/>
                <w:sz w:val="24"/>
                <w:szCs w:val="24"/>
              </w:rPr>
            </w:pPr>
            <w:r w:rsidRPr="00792B36">
              <w:rPr>
                <w:sz w:val="24"/>
                <w:szCs w:val="24"/>
              </w:rPr>
              <w:t>87,004</w:t>
            </w:r>
          </w:p>
        </w:tc>
        <w:tc>
          <w:tcPr>
            <w:tcW w:w="1077" w:type="dxa"/>
          </w:tcPr>
          <w:p w14:paraId="276512EB" w14:textId="77777777" w:rsidR="009A0A63" w:rsidRPr="00792B36" w:rsidRDefault="009A0A63" w:rsidP="00A24459">
            <w:pPr>
              <w:jc w:val="center"/>
              <w:rPr>
                <w:sz w:val="24"/>
                <w:szCs w:val="24"/>
              </w:rPr>
            </w:pPr>
            <w:r w:rsidRPr="00792B36">
              <w:rPr>
                <w:sz w:val="24"/>
                <w:szCs w:val="24"/>
              </w:rPr>
              <w:t>84,521</w:t>
            </w:r>
          </w:p>
        </w:tc>
      </w:tr>
      <w:tr w:rsidR="009A0A63" w:rsidRPr="00792B36" w14:paraId="0C9665B8" w14:textId="77777777" w:rsidTr="00A24459">
        <w:trPr>
          <w:trHeight w:val="283"/>
        </w:trPr>
        <w:tc>
          <w:tcPr>
            <w:tcW w:w="1955" w:type="dxa"/>
            <w:vAlign w:val="center"/>
          </w:tcPr>
          <w:p w14:paraId="16D34E05" w14:textId="77777777" w:rsidR="009A0A63" w:rsidRPr="00792B36" w:rsidRDefault="009A0A63" w:rsidP="00A24459">
            <w:pPr>
              <w:rPr>
                <w:sz w:val="24"/>
                <w:szCs w:val="24"/>
              </w:rPr>
            </w:pPr>
            <w:r w:rsidRPr="00792B36">
              <w:rPr>
                <w:rFonts w:eastAsia="Times New Roman"/>
                <w:color w:val="000000"/>
                <w:sz w:val="24"/>
                <w:szCs w:val="24"/>
              </w:rPr>
              <w:t>Sharks and rays</w:t>
            </w:r>
          </w:p>
        </w:tc>
        <w:tc>
          <w:tcPr>
            <w:tcW w:w="1077" w:type="dxa"/>
          </w:tcPr>
          <w:p w14:paraId="4364CAA4" w14:textId="77777777" w:rsidR="009A0A63" w:rsidRPr="00792B36" w:rsidRDefault="009A0A63" w:rsidP="00A24459">
            <w:pPr>
              <w:jc w:val="center"/>
              <w:rPr>
                <w:sz w:val="24"/>
                <w:szCs w:val="24"/>
              </w:rPr>
            </w:pPr>
            <w:r w:rsidRPr="00792B36">
              <w:rPr>
                <w:sz w:val="24"/>
                <w:szCs w:val="24"/>
              </w:rPr>
              <w:t>1,362</w:t>
            </w:r>
          </w:p>
        </w:tc>
        <w:tc>
          <w:tcPr>
            <w:tcW w:w="1077" w:type="dxa"/>
          </w:tcPr>
          <w:p w14:paraId="0CBED198" w14:textId="77777777" w:rsidR="009A0A63" w:rsidRPr="00792B36" w:rsidRDefault="009A0A63" w:rsidP="00A24459">
            <w:pPr>
              <w:jc w:val="center"/>
              <w:rPr>
                <w:rFonts w:eastAsia="Times New Roman"/>
                <w:color w:val="000000"/>
                <w:sz w:val="24"/>
                <w:szCs w:val="24"/>
              </w:rPr>
            </w:pPr>
            <w:r w:rsidRPr="00792B36">
              <w:rPr>
                <w:sz w:val="24"/>
                <w:szCs w:val="24"/>
              </w:rPr>
              <w:t>909</w:t>
            </w:r>
          </w:p>
        </w:tc>
        <w:tc>
          <w:tcPr>
            <w:tcW w:w="1077" w:type="dxa"/>
          </w:tcPr>
          <w:p w14:paraId="0F7B69CC" w14:textId="77777777" w:rsidR="009A0A63" w:rsidRPr="00792B36" w:rsidRDefault="009A0A63" w:rsidP="00A24459">
            <w:pPr>
              <w:jc w:val="center"/>
              <w:rPr>
                <w:sz w:val="24"/>
                <w:szCs w:val="24"/>
              </w:rPr>
            </w:pPr>
            <w:r w:rsidRPr="00792B36">
              <w:rPr>
                <w:sz w:val="24"/>
                <w:szCs w:val="24"/>
              </w:rPr>
              <w:t>845</w:t>
            </w:r>
          </w:p>
        </w:tc>
      </w:tr>
      <w:tr w:rsidR="009A0A63" w:rsidRPr="00792B36" w14:paraId="2297992B" w14:textId="77777777" w:rsidTr="00A24459">
        <w:trPr>
          <w:trHeight w:val="283"/>
        </w:trPr>
        <w:tc>
          <w:tcPr>
            <w:tcW w:w="1955" w:type="dxa"/>
            <w:vAlign w:val="center"/>
          </w:tcPr>
          <w:p w14:paraId="00C8F693" w14:textId="77777777" w:rsidR="009A0A63" w:rsidRPr="00792B36" w:rsidRDefault="009A0A63" w:rsidP="00A24459">
            <w:pPr>
              <w:rPr>
                <w:rFonts w:eastAsia="Times New Roman"/>
                <w:color w:val="000000"/>
                <w:spacing w:val="-4"/>
                <w:sz w:val="24"/>
                <w:szCs w:val="24"/>
              </w:rPr>
            </w:pPr>
            <w:r w:rsidRPr="00792B36">
              <w:rPr>
                <w:rFonts w:eastAsia="Times New Roman"/>
                <w:color w:val="000000"/>
                <w:spacing w:val="-4"/>
                <w:sz w:val="24"/>
                <w:szCs w:val="24"/>
              </w:rPr>
              <w:t>Tunas and billfishes</w:t>
            </w:r>
          </w:p>
        </w:tc>
        <w:tc>
          <w:tcPr>
            <w:tcW w:w="1077" w:type="dxa"/>
          </w:tcPr>
          <w:p w14:paraId="38A817C1" w14:textId="77777777" w:rsidR="009A0A63" w:rsidRPr="00792B36" w:rsidRDefault="009A0A63" w:rsidP="00A24459">
            <w:pPr>
              <w:jc w:val="center"/>
              <w:rPr>
                <w:sz w:val="24"/>
                <w:szCs w:val="24"/>
              </w:rPr>
            </w:pPr>
            <w:r w:rsidRPr="00792B36">
              <w:rPr>
                <w:sz w:val="24"/>
                <w:szCs w:val="24"/>
              </w:rPr>
              <w:t>42,338</w:t>
            </w:r>
          </w:p>
        </w:tc>
        <w:tc>
          <w:tcPr>
            <w:tcW w:w="1077" w:type="dxa"/>
          </w:tcPr>
          <w:p w14:paraId="23A4235A" w14:textId="77777777" w:rsidR="009A0A63" w:rsidRPr="00792B36" w:rsidRDefault="009A0A63" w:rsidP="00A24459">
            <w:pPr>
              <w:jc w:val="center"/>
              <w:rPr>
                <w:rFonts w:eastAsia="Times New Roman"/>
                <w:color w:val="000000"/>
                <w:sz w:val="24"/>
                <w:szCs w:val="24"/>
              </w:rPr>
            </w:pPr>
            <w:r w:rsidRPr="00792B36">
              <w:rPr>
                <w:sz w:val="24"/>
                <w:szCs w:val="24"/>
              </w:rPr>
              <w:t>43,775</w:t>
            </w:r>
          </w:p>
        </w:tc>
        <w:tc>
          <w:tcPr>
            <w:tcW w:w="1077" w:type="dxa"/>
          </w:tcPr>
          <w:p w14:paraId="6AED09A3" w14:textId="77777777" w:rsidR="009A0A63" w:rsidRPr="00792B36" w:rsidRDefault="009A0A63" w:rsidP="00A24459">
            <w:pPr>
              <w:jc w:val="center"/>
              <w:rPr>
                <w:sz w:val="24"/>
                <w:szCs w:val="24"/>
              </w:rPr>
            </w:pPr>
            <w:r w:rsidRPr="00792B36">
              <w:rPr>
                <w:sz w:val="24"/>
                <w:szCs w:val="24"/>
              </w:rPr>
              <w:t>47,769</w:t>
            </w:r>
          </w:p>
        </w:tc>
      </w:tr>
      <w:tr w:rsidR="009A0A63" w:rsidRPr="00792B36" w14:paraId="6BEEA297" w14:textId="77777777" w:rsidTr="00A24459">
        <w:trPr>
          <w:trHeight w:val="283"/>
        </w:trPr>
        <w:tc>
          <w:tcPr>
            <w:tcW w:w="1955" w:type="dxa"/>
            <w:tcBorders>
              <w:bottom w:val="single" w:sz="4" w:space="0" w:color="auto"/>
            </w:tcBorders>
            <w:vAlign w:val="center"/>
          </w:tcPr>
          <w:p w14:paraId="2CDBD021" w14:textId="77777777" w:rsidR="009A0A63" w:rsidRPr="00792B36" w:rsidRDefault="009A0A63" w:rsidP="00A24459">
            <w:pPr>
              <w:rPr>
                <w:rFonts w:eastAsia="Times New Roman"/>
                <w:color w:val="000000"/>
                <w:sz w:val="24"/>
                <w:szCs w:val="24"/>
              </w:rPr>
            </w:pPr>
            <w:r w:rsidRPr="00792B36">
              <w:rPr>
                <w:rFonts w:eastAsia="Times New Roman"/>
                <w:color w:val="000000"/>
                <w:sz w:val="24"/>
                <w:szCs w:val="24"/>
              </w:rPr>
              <w:t xml:space="preserve">Others </w:t>
            </w:r>
          </w:p>
        </w:tc>
        <w:tc>
          <w:tcPr>
            <w:tcW w:w="1077" w:type="dxa"/>
            <w:tcBorders>
              <w:bottom w:val="single" w:sz="4" w:space="0" w:color="auto"/>
            </w:tcBorders>
          </w:tcPr>
          <w:p w14:paraId="07CC3CBC" w14:textId="77777777" w:rsidR="009A0A63" w:rsidRPr="00792B36" w:rsidRDefault="009A0A63" w:rsidP="00A24459">
            <w:pPr>
              <w:jc w:val="center"/>
              <w:rPr>
                <w:sz w:val="24"/>
                <w:szCs w:val="24"/>
              </w:rPr>
            </w:pPr>
            <w:r w:rsidRPr="00792B36">
              <w:rPr>
                <w:sz w:val="24"/>
                <w:szCs w:val="24"/>
              </w:rPr>
              <w:t>4,812</w:t>
            </w:r>
          </w:p>
        </w:tc>
        <w:tc>
          <w:tcPr>
            <w:tcW w:w="1077" w:type="dxa"/>
            <w:tcBorders>
              <w:bottom w:val="single" w:sz="4" w:space="0" w:color="auto"/>
            </w:tcBorders>
          </w:tcPr>
          <w:p w14:paraId="4142BB5C" w14:textId="77777777" w:rsidR="009A0A63" w:rsidRPr="00792B36" w:rsidRDefault="009A0A63" w:rsidP="00A24459">
            <w:pPr>
              <w:jc w:val="center"/>
              <w:rPr>
                <w:rFonts w:eastAsia="Times New Roman"/>
                <w:color w:val="000000"/>
                <w:sz w:val="24"/>
                <w:szCs w:val="24"/>
              </w:rPr>
            </w:pPr>
            <w:r w:rsidRPr="00792B36">
              <w:rPr>
                <w:sz w:val="24"/>
                <w:szCs w:val="24"/>
              </w:rPr>
              <w:t>5,299</w:t>
            </w:r>
          </w:p>
        </w:tc>
        <w:tc>
          <w:tcPr>
            <w:tcW w:w="1077" w:type="dxa"/>
            <w:tcBorders>
              <w:bottom w:val="single" w:sz="4" w:space="0" w:color="auto"/>
            </w:tcBorders>
          </w:tcPr>
          <w:p w14:paraId="381A81B4" w14:textId="77777777" w:rsidR="009A0A63" w:rsidRPr="00792B36" w:rsidRDefault="009A0A63" w:rsidP="00A24459">
            <w:pPr>
              <w:jc w:val="center"/>
              <w:rPr>
                <w:sz w:val="24"/>
                <w:szCs w:val="24"/>
              </w:rPr>
            </w:pPr>
            <w:r w:rsidRPr="00792B36">
              <w:rPr>
                <w:sz w:val="24"/>
                <w:szCs w:val="24"/>
              </w:rPr>
              <w:t>5,135</w:t>
            </w:r>
          </w:p>
        </w:tc>
      </w:tr>
      <w:tr w:rsidR="009A0A63" w:rsidRPr="00792B36" w14:paraId="5D26DEA7" w14:textId="77777777" w:rsidTr="00A24459">
        <w:trPr>
          <w:trHeight w:val="283"/>
        </w:trPr>
        <w:tc>
          <w:tcPr>
            <w:tcW w:w="1955" w:type="dxa"/>
            <w:tcBorders>
              <w:top w:val="single" w:sz="4" w:space="0" w:color="auto"/>
              <w:bottom w:val="single" w:sz="4" w:space="0" w:color="auto"/>
            </w:tcBorders>
            <w:vAlign w:val="center"/>
          </w:tcPr>
          <w:p w14:paraId="3CE070A5" w14:textId="77777777" w:rsidR="009A0A63" w:rsidRPr="00792B36" w:rsidRDefault="009A0A63" w:rsidP="00A24459">
            <w:pPr>
              <w:rPr>
                <w:rFonts w:eastAsia="Times New Roman"/>
                <w:color w:val="000000"/>
                <w:sz w:val="24"/>
                <w:szCs w:val="24"/>
              </w:rPr>
            </w:pPr>
            <w:r w:rsidRPr="00792B36">
              <w:rPr>
                <w:rFonts w:eastAsia="Times New Roman"/>
                <w:color w:val="000000"/>
                <w:sz w:val="24"/>
                <w:szCs w:val="24"/>
              </w:rPr>
              <w:t>Total</w:t>
            </w:r>
          </w:p>
        </w:tc>
        <w:tc>
          <w:tcPr>
            <w:tcW w:w="1077" w:type="dxa"/>
            <w:tcBorders>
              <w:top w:val="single" w:sz="4" w:space="0" w:color="auto"/>
              <w:bottom w:val="single" w:sz="4" w:space="0" w:color="auto"/>
            </w:tcBorders>
          </w:tcPr>
          <w:p w14:paraId="094E321A" w14:textId="77777777" w:rsidR="009A0A63" w:rsidRPr="00792B36" w:rsidRDefault="009A0A63" w:rsidP="00A24459">
            <w:pPr>
              <w:ind w:hanging="73"/>
              <w:jc w:val="center"/>
              <w:rPr>
                <w:sz w:val="24"/>
                <w:szCs w:val="24"/>
              </w:rPr>
            </w:pPr>
            <w:r w:rsidRPr="00792B36">
              <w:rPr>
                <w:sz w:val="24"/>
                <w:szCs w:val="24"/>
              </w:rPr>
              <w:t>903,935</w:t>
            </w:r>
          </w:p>
        </w:tc>
        <w:tc>
          <w:tcPr>
            <w:tcW w:w="1077" w:type="dxa"/>
            <w:tcBorders>
              <w:top w:val="single" w:sz="4" w:space="0" w:color="auto"/>
              <w:bottom w:val="single" w:sz="4" w:space="0" w:color="auto"/>
            </w:tcBorders>
          </w:tcPr>
          <w:p w14:paraId="17E4BFDA" w14:textId="77777777" w:rsidR="009A0A63" w:rsidRPr="00792B36" w:rsidRDefault="009A0A63" w:rsidP="00A24459">
            <w:pPr>
              <w:ind w:hanging="65"/>
              <w:jc w:val="center"/>
              <w:rPr>
                <w:rFonts w:eastAsia="Times New Roman"/>
                <w:color w:val="000000"/>
                <w:sz w:val="24"/>
                <w:szCs w:val="24"/>
              </w:rPr>
            </w:pPr>
            <w:r w:rsidRPr="00792B36">
              <w:rPr>
                <w:sz w:val="24"/>
                <w:szCs w:val="24"/>
              </w:rPr>
              <w:t>951,961</w:t>
            </w:r>
          </w:p>
        </w:tc>
        <w:tc>
          <w:tcPr>
            <w:tcW w:w="1077" w:type="dxa"/>
            <w:tcBorders>
              <w:top w:val="single" w:sz="4" w:space="0" w:color="auto"/>
              <w:bottom w:val="single" w:sz="4" w:space="0" w:color="auto"/>
            </w:tcBorders>
          </w:tcPr>
          <w:p w14:paraId="3DA0CEB6" w14:textId="77777777" w:rsidR="009A0A63" w:rsidRPr="00792B36" w:rsidRDefault="009A0A63" w:rsidP="00A24459">
            <w:pPr>
              <w:ind w:hanging="65"/>
              <w:jc w:val="center"/>
              <w:rPr>
                <w:sz w:val="24"/>
                <w:szCs w:val="24"/>
              </w:rPr>
            </w:pPr>
            <w:r w:rsidRPr="00792B36">
              <w:rPr>
                <w:spacing w:val="-4"/>
                <w:sz w:val="24"/>
                <w:szCs w:val="24"/>
              </w:rPr>
              <w:t>1,022,529</w:t>
            </w:r>
          </w:p>
        </w:tc>
      </w:tr>
    </w:tbl>
    <w:p w14:paraId="373891E6" w14:textId="77777777" w:rsidR="009A0A63" w:rsidRPr="00792B36" w:rsidRDefault="009A0A63" w:rsidP="009A0A63">
      <w:pPr>
        <w:rPr>
          <w:sz w:val="24"/>
          <w:szCs w:val="24"/>
        </w:rPr>
      </w:pPr>
    </w:p>
    <w:p w14:paraId="1041E73E" w14:textId="77777777" w:rsidR="009A0A63" w:rsidRPr="00792B36" w:rsidRDefault="009A0A63" w:rsidP="009A0A63">
      <w:pPr>
        <w:ind w:left="851" w:hanging="851"/>
        <w:jc w:val="thaiDistribute"/>
        <w:rPr>
          <w:b/>
          <w:bCs/>
          <w:sz w:val="24"/>
          <w:szCs w:val="24"/>
        </w:rPr>
      </w:pPr>
    </w:p>
    <w:tbl>
      <w:tblPr>
        <w:tblStyle w:val="TableGrid"/>
        <w:tblW w:w="0" w:type="auto"/>
        <w:tblInd w:w="-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30"/>
        <w:gridCol w:w="10591"/>
      </w:tblGrid>
      <w:tr w:rsidR="009A0A63" w:rsidRPr="00792B36" w14:paraId="24584CEC" w14:textId="77777777" w:rsidTr="00A24459">
        <w:tc>
          <w:tcPr>
            <w:tcW w:w="2030" w:type="dxa"/>
          </w:tcPr>
          <w:p w14:paraId="4B510253" w14:textId="77777777" w:rsidR="009A0A63" w:rsidRPr="00792B36" w:rsidRDefault="009A0A63" w:rsidP="00A24459">
            <w:pPr>
              <w:rPr>
                <w:sz w:val="24"/>
                <w:szCs w:val="24"/>
              </w:rPr>
            </w:pPr>
            <w:r w:rsidRPr="00792B36">
              <w:rPr>
                <w:b/>
                <w:bCs/>
                <w:sz w:val="24"/>
                <w:szCs w:val="24"/>
              </w:rPr>
              <w:t>Appendix Table 2</w:t>
            </w:r>
          </w:p>
        </w:tc>
        <w:tc>
          <w:tcPr>
            <w:tcW w:w="10591" w:type="dxa"/>
          </w:tcPr>
          <w:p w14:paraId="7DD30AF5" w14:textId="77777777" w:rsidR="009A0A63" w:rsidRPr="00792B36" w:rsidRDefault="009A0A63" w:rsidP="00A24459">
            <w:pPr>
              <w:ind w:left="-13"/>
              <w:rPr>
                <w:sz w:val="24"/>
                <w:szCs w:val="24"/>
              </w:rPr>
            </w:pPr>
            <w:r w:rsidRPr="00792B36">
              <w:rPr>
                <w:sz w:val="24"/>
                <w:szCs w:val="24"/>
              </w:rPr>
              <w:t>Annual catch from inland fisheries in coastal provinces along the Gulf of Thailand between 2009 and 2023 (unit: metric tonne)</w:t>
            </w:r>
          </w:p>
        </w:tc>
      </w:tr>
    </w:tbl>
    <w:p w14:paraId="6A8BAD35" w14:textId="77777777" w:rsidR="009A0A63" w:rsidRPr="00792B36" w:rsidRDefault="009A0A63" w:rsidP="009A0A63">
      <w:pPr>
        <w:ind w:left="851" w:hanging="851"/>
        <w:jc w:val="thaiDistribute"/>
        <w:rPr>
          <w:sz w:val="24"/>
          <w:szCs w:val="24"/>
        </w:rPr>
      </w:pPr>
    </w:p>
    <w:tbl>
      <w:tblPr>
        <w:tblStyle w:val="TableGrid"/>
        <w:tblW w:w="11978" w:type="dxa"/>
        <w:tblInd w:w="-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450"/>
        <w:gridCol w:w="1191"/>
        <w:gridCol w:w="1191"/>
        <w:gridCol w:w="1191"/>
        <w:gridCol w:w="1191"/>
        <w:gridCol w:w="1191"/>
        <w:gridCol w:w="1191"/>
        <w:gridCol w:w="1191"/>
        <w:gridCol w:w="1191"/>
      </w:tblGrid>
      <w:tr w:rsidR="009A0A63" w:rsidRPr="00792B36" w14:paraId="176A77DC" w14:textId="77777777" w:rsidTr="00A24459">
        <w:trPr>
          <w:trHeight w:val="283"/>
        </w:trPr>
        <w:tc>
          <w:tcPr>
            <w:tcW w:w="2450" w:type="dxa"/>
            <w:tcBorders>
              <w:top w:val="single" w:sz="4" w:space="0" w:color="auto"/>
              <w:bottom w:val="single" w:sz="4" w:space="0" w:color="auto"/>
            </w:tcBorders>
          </w:tcPr>
          <w:p w14:paraId="0B80C24B" w14:textId="77777777" w:rsidR="009A0A63" w:rsidRPr="00792B36" w:rsidRDefault="009A0A63" w:rsidP="00A24459">
            <w:pPr>
              <w:jc w:val="center"/>
              <w:rPr>
                <w:sz w:val="24"/>
                <w:szCs w:val="24"/>
              </w:rPr>
            </w:pPr>
            <w:r w:rsidRPr="00792B36">
              <w:rPr>
                <w:b/>
                <w:bCs/>
                <w:sz w:val="24"/>
                <w:szCs w:val="24"/>
              </w:rPr>
              <w:t>Species groups</w:t>
            </w:r>
          </w:p>
        </w:tc>
        <w:tc>
          <w:tcPr>
            <w:tcW w:w="1191" w:type="dxa"/>
            <w:tcBorders>
              <w:top w:val="single" w:sz="4" w:space="0" w:color="auto"/>
              <w:bottom w:val="single" w:sz="4" w:space="0" w:color="auto"/>
            </w:tcBorders>
          </w:tcPr>
          <w:p w14:paraId="65AA6A45" w14:textId="77777777" w:rsidR="009A0A63" w:rsidRPr="00792B36" w:rsidRDefault="009A0A63" w:rsidP="00A24459">
            <w:pPr>
              <w:jc w:val="center"/>
              <w:rPr>
                <w:b/>
                <w:bCs/>
                <w:sz w:val="24"/>
                <w:szCs w:val="24"/>
              </w:rPr>
            </w:pPr>
            <w:r w:rsidRPr="00792B36">
              <w:rPr>
                <w:b/>
                <w:bCs/>
                <w:sz w:val="24"/>
                <w:szCs w:val="24"/>
              </w:rPr>
              <w:t>2009</w:t>
            </w:r>
          </w:p>
        </w:tc>
        <w:tc>
          <w:tcPr>
            <w:tcW w:w="1191" w:type="dxa"/>
            <w:tcBorders>
              <w:top w:val="single" w:sz="4" w:space="0" w:color="auto"/>
              <w:bottom w:val="single" w:sz="4" w:space="0" w:color="auto"/>
            </w:tcBorders>
          </w:tcPr>
          <w:p w14:paraId="55BBCDA7" w14:textId="77777777" w:rsidR="009A0A63" w:rsidRPr="00792B36" w:rsidRDefault="009A0A63" w:rsidP="00A24459">
            <w:pPr>
              <w:jc w:val="center"/>
              <w:rPr>
                <w:b/>
                <w:bCs/>
                <w:sz w:val="24"/>
                <w:szCs w:val="24"/>
              </w:rPr>
            </w:pPr>
            <w:r w:rsidRPr="00792B36">
              <w:rPr>
                <w:b/>
                <w:bCs/>
                <w:sz w:val="24"/>
                <w:szCs w:val="24"/>
              </w:rPr>
              <w:t>2010</w:t>
            </w:r>
          </w:p>
        </w:tc>
        <w:tc>
          <w:tcPr>
            <w:tcW w:w="1191" w:type="dxa"/>
            <w:tcBorders>
              <w:top w:val="single" w:sz="4" w:space="0" w:color="auto"/>
              <w:bottom w:val="single" w:sz="4" w:space="0" w:color="auto"/>
            </w:tcBorders>
          </w:tcPr>
          <w:p w14:paraId="20CD71C9" w14:textId="77777777" w:rsidR="009A0A63" w:rsidRPr="00792B36" w:rsidRDefault="009A0A63" w:rsidP="00A24459">
            <w:pPr>
              <w:jc w:val="center"/>
              <w:rPr>
                <w:b/>
                <w:bCs/>
                <w:sz w:val="24"/>
                <w:szCs w:val="24"/>
              </w:rPr>
            </w:pPr>
            <w:r w:rsidRPr="00792B36">
              <w:rPr>
                <w:b/>
                <w:bCs/>
                <w:sz w:val="24"/>
                <w:szCs w:val="24"/>
              </w:rPr>
              <w:t>2011</w:t>
            </w:r>
          </w:p>
        </w:tc>
        <w:tc>
          <w:tcPr>
            <w:tcW w:w="1191" w:type="dxa"/>
            <w:tcBorders>
              <w:top w:val="single" w:sz="4" w:space="0" w:color="auto"/>
              <w:bottom w:val="single" w:sz="4" w:space="0" w:color="auto"/>
            </w:tcBorders>
          </w:tcPr>
          <w:p w14:paraId="0492F800" w14:textId="77777777" w:rsidR="009A0A63" w:rsidRPr="00792B36" w:rsidRDefault="009A0A63" w:rsidP="00A24459">
            <w:pPr>
              <w:jc w:val="center"/>
              <w:rPr>
                <w:b/>
                <w:bCs/>
                <w:sz w:val="24"/>
                <w:szCs w:val="24"/>
              </w:rPr>
            </w:pPr>
            <w:r w:rsidRPr="00792B36">
              <w:rPr>
                <w:b/>
                <w:bCs/>
                <w:sz w:val="24"/>
                <w:szCs w:val="24"/>
              </w:rPr>
              <w:t>2012</w:t>
            </w:r>
          </w:p>
        </w:tc>
        <w:tc>
          <w:tcPr>
            <w:tcW w:w="1191" w:type="dxa"/>
            <w:tcBorders>
              <w:top w:val="single" w:sz="4" w:space="0" w:color="auto"/>
              <w:bottom w:val="single" w:sz="4" w:space="0" w:color="auto"/>
            </w:tcBorders>
          </w:tcPr>
          <w:p w14:paraId="1540D286" w14:textId="77777777" w:rsidR="009A0A63" w:rsidRPr="00792B36" w:rsidRDefault="009A0A63" w:rsidP="00A24459">
            <w:pPr>
              <w:jc w:val="center"/>
              <w:rPr>
                <w:b/>
                <w:bCs/>
                <w:sz w:val="24"/>
                <w:szCs w:val="24"/>
              </w:rPr>
            </w:pPr>
            <w:r w:rsidRPr="00792B36">
              <w:rPr>
                <w:b/>
                <w:bCs/>
                <w:sz w:val="24"/>
                <w:szCs w:val="24"/>
              </w:rPr>
              <w:t>2013</w:t>
            </w:r>
          </w:p>
        </w:tc>
        <w:tc>
          <w:tcPr>
            <w:tcW w:w="1191" w:type="dxa"/>
            <w:tcBorders>
              <w:top w:val="single" w:sz="4" w:space="0" w:color="auto"/>
              <w:bottom w:val="single" w:sz="4" w:space="0" w:color="auto"/>
            </w:tcBorders>
          </w:tcPr>
          <w:p w14:paraId="72D90CD5" w14:textId="77777777" w:rsidR="009A0A63" w:rsidRPr="00792B36" w:rsidRDefault="009A0A63" w:rsidP="00A24459">
            <w:pPr>
              <w:jc w:val="center"/>
              <w:rPr>
                <w:b/>
                <w:bCs/>
                <w:sz w:val="24"/>
                <w:szCs w:val="24"/>
              </w:rPr>
            </w:pPr>
            <w:r w:rsidRPr="00792B36">
              <w:rPr>
                <w:b/>
                <w:bCs/>
                <w:sz w:val="24"/>
                <w:szCs w:val="24"/>
              </w:rPr>
              <w:t>2014</w:t>
            </w:r>
          </w:p>
        </w:tc>
        <w:tc>
          <w:tcPr>
            <w:tcW w:w="1191" w:type="dxa"/>
            <w:tcBorders>
              <w:top w:val="single" w:sz="4" w:space="0" w:color="auto"/>
              <w:bottom w:val="single" w:sz="4" w:space="0" w:color="auto"/>
            </w:tcBorders>
          </w:tcPr>
          <w:p w14:paraId="0BCE4364" w14:textId="77777777" w:rsidR="009A0A63" w:rsidRPr="00792B36" w:rsidRDefault="009A0A63" w:rsidP="00A24459">
            <w:pPr>
              <w:jc w:val="center"/>
              <w:rPr>
                <w:b/>
                <w:bCs/>
                <w:sz w:val="24"/>
                <w:szCs w:val="24"/>
              </w:rPr>
            </w:pPr>
            <w:r w:rsidRPr="00792B36">
              <w:rPr>
                <w:b/>
                <w:bCs/>
                <w:sz w:val="24"/>
                <w:szCs w:val="24"/>
              </w:rPr>
              <w:t>2015</w:t>
            </w:r>
          </w:p>
        </w:tc>
        <w:tc>
          <w:tcPr>
            <w:tcW w:w="1191" w:type="dxa"/>
            <w:tcBorders>
              <w:top w:val="single" w:sz="4" w:space="0" w:color="auto"/>
              <w:bottom w:val="single" w:sz="4" w:space="0" w:color="auto"/>
            </w:tcBorders>
          </w:tcPr>
          <w:p w14:paraId="02FBF81F" w14:textId="77777777" w:rsidR="009A0A63" w:rsidRPr="00792B36" w:rsidRDefault="009A0A63" w:rsidP="00A24459">
            <w:pPr>
              <w:jc w:val="center"/>
              <w:rPr>
                <w:b/>
                <w:bCs/>
                <w:sz w:val="24"/>
                <w:szCs w:val="24"/>
              </w:rPr>
            </w:pPr>
            <w:r w:rsidRPr="00792B36">
              <w:rPr>
                <w:b/>
                <w:bCs/>
                <w:sz w:val="24"/>
                <w:szCs w:val="24"/>
              </w:rPr>
              <w:t>2016</w:t>
            </w:r>
          </w:p>
        </w:tc>
      </w:tr>
      <w:tr w:rsidR="009A0A63" w:rsidRPr="00792B36" w14:paraId="1E03A527" w14:textId="77777777" w:rsidTr="00A24459">
        <w:trPr>
          <w:trHeight w:val="50"/>
        </w:trPr>
        <w:tc>
          <w:tcPr>
            <w:tcW w:w="2450" w:type="dxa"/>
            <w:tcBorders>
              <w:top w:val="single" w:sz="4" w:space="0" w:color="auto"/>
            </w:tcBorders>
            <w:vAlign w:val="center"/>
          </w:tcPr>
          <w:p w14:paraId="6A84E80C" w14:textId="77777777" w:rsidR="009A0A63" w:rsidRPr="00792B36" w:rsidRDefault="009A0A63" w:rsidP="00A24459">
            <w:pPr>
              <w:rPr>
                <w:sz w:val="24"/>
                <w:szCs w:val="24"/>
              </w:rPr>
            </w:pPr>
            <w:r w:rsidRPr="00792B36">
              <w:rPr>
                <w:sz w:val="24"/>
                <w:szCs w:val="24"/>
              </w:rPr>
              <w:t>Freshwater fishes</w:t>
            </w:r>
          </w:p>
        </w:tc>
        <w:tc>
          <w:tcPr>
            <w:tcW w:w="1191" w:type="dxa"/>
            <w:tcBorders>
              <w:top w:val="single" w:sz="4" w:space="0" w:color="auto"/>
            </w:tcBorders>
            <w:vAlign w:val="center"/>
          </w:tcPr>
          <w:p w14:paraId="07C6FCE3" w14:textId="77777777" w:rsidR="009A0A63" w:rsidRPr="00792B36" w:rsidRDefault="009A0A63" w:rsidP="00A24459">
            <w:pPr>
              <w:jc w:val="center"/>
              <w:rPr>
                <w:sz w:val="24"/>
                <w:szCs w:val="24"/>
              </w:rPr>
            </w:pPr>
            <w:r w:rsidRPr="00792B36">
              <w:rPr>
                <w:sz w:val="24"/>
                <w:szCs w:val="24"/>
                <w:cs/>
              </w:rPr>
              <w:t>10,776.19</w:t>
            </w:r>
          </w:p>
        </w:tc>
        <w:tc>
          <w:tcPr>
            <w:tcW w:w="1191" w:type="dxa"/>
            <w:tcBorders>
              <w:top w:val="single" w:sz="4" w:space="0" w:color="auto"/>
            </w:tcBorders>
            <w:vAlign w:val="center"/>
          </w:tcPr>
          <w:p w14:paraId="77E052D9" w14:textId="77777777" w:rsidR="009A0A63" w:rsidRPr="00792B36" w:rsidRDefault="009A0A63" w:rsidP="00A24459">
            <w:pPr>
              <w:jc w:val="center"/>
              <w:rPr>
                <w:sz w:val="24"/>
                <w:szCs w:val="24"/>
              </w:rPr>
            </w:pPr>
            <w:r w:rsidRPr="00792B36">
              <w:rPr>
                <w:sz w:val="24"/>
                <w:szCs w:val="24"/>
                <w:cs/>
              </w:rPr>
              <w:t>10,939.93</w:t>
            </w:r>
          </w:p>
        </w:tc>
        <w:tc>
          <w:tcPr>
            <w:tcW w:w="1191" w:type="dxa"/>
            <w:tcBorders>
              <w:top w:val="single" w:sz="4" w:space="0" w:color="auto"/>
            </w:tcBorders>
            <w:vAlign w:val="center"/>
          </w:tcPr>
          <w:p w14:paraId="73D74C7C" w14:textId="77777777" w:rsidR="009A0A63" w:rsidRPr="00792B36" w:rsidRDefault="009A0A63" w:rsidP="00A24459">
            <w:pPr>
              <w:jc w:val="center"/>
              <w:rPr>
                <w:sz w:val="24"/>
                <w:szCs w:val="24"/>
              </w:rPr>
            </w:pPr>
            <w:r w:rsidRPr="00792B36">
              <w:rPr>
                <w:sz w:val="24"/>
                <w:szCs w:val="24"/>
                <w:cs/>
              </w:rPr>
              <w:t>11,902.57</w:t>
            </w:r>
          </w:p>
        </w:tc>
        <w:tc>
          <w:tcPr>
            <w:tcW w:w="1191" w:type="dxa"/>
            <w:tcBorders>
              <w:top w:val="single" w:sz="4" w:space="0" w:color="auto"/>
            </w:tcBorders>
            <w:vAlign w:val="center"/>
          </w:tcPr>
          <w:p w14:paraId="259E226A" w14:textId="77777777" w:rsidR="009A0A63" w:rsidRPr="00792B36" w:rsidRDefault="009A0A63" w:rsidP="00A24459">
            <w:pPr>
              <w:jc w:val="center"/>
              <w:rPr>
                <w:sz w:val="24"/>
                <w:szCs w:val="24"/>
              </w:rPr>
            </w:pPr>
            <w:r w:rsidRPr="00792B36">
              <w:rPr>
                <w:sz w:val="24"/>
                <w:szCs w:val="24"/>
                <w:cs/>
              </w:rPr>
              <w:t>14,359.64</w:t>
            </w:r>
          </w:p>
        </w:tc>
        <w:tc>
          <w:tcPr>
            <w:tcW w:w="1191" w:type="dxa"/>
            <w:tcBorders>
              <w:top w:val="single" w:sz="4" w:space="0" w:color="auto"/>
            </w:tcBorders>
            <w:vAlign w:val="center"/>
          </w:tcPr>
          <w:p w14:paraId="3E9B0F9B" w14:textId="77777777" w:rsidR="009A0A63" w:rsidRPr="00792B36" w:rsidRDefault="009A0A63" w:rsidP="00A24459">
            <w:pPr>
              <w:jc w:val="center"/>
              <w:rPr>
                <w:sz w:val="24"/>
                <w:szCs w:val="24"/>
              </w:rPr>
            </w:pPr>
            <w:r w:rsidRPr="00792B36">
              <w:rPr>
                <w:sz w:val="24"/>
                <w:szCs w:val="24"/>
                <w:cs/>
              </w:rPr>
              <w:t>13,999.56</w:t>
            </w:r>
          </w:p>
        </w:tc>
        <w:tc>
          <w:tcPr>
            <w:tcW w:w="1191" w:type="dxa"/>
            <w:tcBorders>
              <w:top w:val="single" w:sz="4" w:space="0" w:color="auto"/>
            </w:tcBorders>
            <w:vAlign w:val="center"/>
          </w:tcPr>
          <w:p w14:paraId="5DB271A4" w14:textId="77777777" w:rsidR="009A0A63" w:rsidRPr="00792B36" w:rsidRDefault="009A0A63" w:rsidP="00A24459">
            <w:pPr>
              <w:jc w:val="center"/>
              <w:rPr>
                <w:sz w:val="24"/>
                <w:szCs w:val="24"/>
              </w:rPr>
            </w:pPr>
            <w:r w:rsidRPr="00792B36">
              <w:rPr>
                <w:sz w:val="24"/>
                <w:szCs w:val="24"/>
                <w:cs/>
              </w:rPr>
              <w:t>11,343.42</w:t>
            </w:r>
          </w:p>
        </w:tc>
        <w:tc>
          <w:tcPr>
            <w:tcW w:w="1191" w:type="dxa"/>
            <w:tcBorders>
              <w:top w:val="single" w:sz="4" w:space="0" w:color="auto"/>
            </w:tcBorders>
            <w:vAlign w:val="center"/>
          </w:tcPr>
          <w:p w14:paraId="21BE9398" w14:textId="77777777" w:rsidR="009A0A63" w:rsidRPr="00792B36" w:rsidRDefault="009A0A63" w:rsidP="00A24459">
            <w:pPr>
              <w:jc w:val="center"/>
              <w:rPr>
                <w:sz w:val="24"/>
                <w:szCs w:val="24"/>
                <w:cs/>
              </w:rPr>
            </w:pPr>
            <w:r w:rsidRPr="00792B36">
              <w:rPr>
                <w:sz w:val="24"/>
                <w:szCs w:val="24"/>
              </w:rPr>
              <w:t>11</w:t>
            </w:r>
            <w:r w:rsidRPr="00792B36">
              <w:rPr>
                <w:sz w:val="24"/>
                <w:szCs w:val="24"/>
                <w:cs/>
              </w:rPr>
              <w:t>,</w:t>
            </w:r>
            <w:r w:rsidRPr="00792B36">
              <w:rPr>
                <w:sz w:val="24"/>
                <w:szCs w:val="24"/>
              </w:rPr>
              <w:t>526.31</w:t>
            </w:r>
          </w:p>
        </w:tc>
        <w:tc>
          <w:tcPr>
            <w:tcW w:w="1191" w:type="dxa"/>
            <w:tcBorders>
              <w:top w:val="single" w:sz="4" w:space="0" w:color="auto"/>
            </w:tcBorders>
            <w:vAlign w:val="center"/>
          </w:tcPr>
          <w:p w14:paraId="27310117" w14:textId="77777777" w:rsidR="009A0A63" w:rsidRPr="00792B36" w:rsidRDefault="009A0A63" w:rsidP="00A24459">
            <w:pPr>
              <w:jc w:val="center"/>
              <w:rPr>
                <w:sz w:val="24"/>
                <w:szCs w:val="24"/>
                <w:cs/>
              </w:rPr>
            </w:pPr>
            <w:r w:rsidRPr="00792B36">
              <w:rPr>
                <w:sz w:val="24"/>
                <w:szCs w:val="24"/>
              </w:rPr>
              <w:t>12</w:t>
            </w:r>
            <w:r w:rsidRPr="00792B36">
              <w:rPr>
                <w:sz w:val="24"/>
                <w:szCs w:val="24"/>
                <w:cs/>
              </w:rPr>
              <w:t>,</w:t>
            </w:r>
            <w:r w:rsidRPr="00792B36">
              <w:rPr>
                <w:sz w:val="24"/>
                <w:szCs w:val="24"/>
              </w:rPr>
              <w:t>230.13</w:t>
            </w:r>
          </w:p>
        </w:tc>
      </w:tr>
      <w:tr w:rsidR="009A0A63" w:rsidRPr="00792B36" w14:paraId="14996004" w14:textId="77777777" w:rsidTr="00A24459">
        <w:trPr>
          <w:trHeight w:val="283"/>
        </w:trPr>
        <w:tc>
          <w:tcPr>
            <w:tcW w:w="2450" w:type="dxa"/>
            <w:vAlign w:val="center"/>
          </w:tcPr>
          <w:p w14:paraId="0CE37BD3" w14:textId="77777777" w:rsidR="009A0A63" w:rsidRPr="00792B36" w:rsidRDefault="009A0A63" w:rsidP="00A24459">
            <w:pPr>
              <w:rPr>
                <w:sz w:val="24"/>
                <w:szCs w:val="24"/>
              </w:rPr>
            </w:pPr>
            <w:r w:rsidRPr="00792B36">
              <w:rPr>
                <w:sz w:val="24"/>
                <w:szCs w:val="24"/>
              </w:rPr>
              <w:t>Freshwater crustaceans</w:t>
            </w:r>
          </w:p>
        </w:tc>
        <w:tc>
          <w:tcPr>
            <w:tcW w:w="1191" w:type="dxa"/>
            <w:vAlign w:val="center"/>
          </w:tcPr>
          <w:p w14:paraId="0E11F90A" w14:textId="77777777" w:rsidR="009A0A63" w:rsidRPr="00792B36" w:rsidRDefault="009A0A63" w:rsidP="00A24459">
            <w:pPr>
              <w:jc w:val="center"/>
              <w:rPr>
                <w:sz w:val="24"/>
                <w:szCs w:val="24"/>
                <w:highlight w:val="yellow"/>
              </w:rPr>
            </w:pPr>
            <w:r w:rsidRPr="00792B36">
              <w:rPr>
                <w:sz w:val="24"/>
                <w:szCs w:val="24"/>
              </w:rPr>
              <w:t>384.7</w:t>
            </w:r>
          </w:p>
        </w:tc>
        <w:tc>
          <w:tcPr>
            <w:tcW w:w="1191" w:type="dxa"/>
            <w:vAlign w:val="center"/>
          </w:tcPr>
          <w:p w14:paraId="628BAEA0" w14:textId="77777777" w:rsidR="009A0A63" w:rsidRPr="00792B36" w:rsidRDefault="009A0A63" w:rsidP="00A24459">
            <w:pPr>
              <w:jc w:val="center"/>
              <w:rPr>
                <w:sz w:val="24"/>
                <w:szCs w:val="24"/>
                <w:highlight w:val="yellow"/>
              </w:rPr>
            </w:pPr>
            <w:r w:rsidRPr="00792B36">
              <w:rPr>
                <w:sz w:val="24"/>
                <w:szCs w:val="24"/>
              </w:rPr>
              <w:t>357.03</w:t>
            </w:r>
          </w:p>
        </w:tc>
        <w:tc>
          <w:tcPr>
            <w:tcW w:w="1191" w:type="dxa"/>
            <w:vAlign w:val="center"/>
          </w:tcPr>
          <w:p w14:paraId="23B72098" w14:textId="77777777" w:rsidR="009A0A63" w:rsidRPr="00792B36" w:rsidRDefault="009A0A63" w:rsidP="00A24459">
            <w:pPr>
              <w:jc w:val="center"/>
              <w:rPr>
                <w:sz w:val="24"/>
                <w:szCs w:val="24"/>
                <w:highlight w:val="yellow"/>
              </w:rPr>
            </w:pPr>
            <w:r w:rsidRPr="00792B36">
              <w:rPr>
                <w:sz w:val="24"/>
                <w:szCs w:val="24"/>
              </w:rPr>
              <w:t>396.12</w:t>
            </w:r>
          </w:p>
        </w:tc>
        <w:tc>
          <w:tcPr>
            <w:tcW w:w="1191" w:type="dxa"/>
            <w:vAlign w:val="center"/>
          </w:tcPr>
          <w:p w14:paraId="436A3359" w14:textId="77777777" w:rsidR="009A0A63" w:rsidRPr="00792B36" w:rsidRDefault="009A0A63" w:rsidP="00A24459">
            <w:pPr>
              <w:jc w:val="center"/>
              <w:rPr>
                <w:sz w:val="24"/>
                <w:szCs w:val="24"/>
                <w:highlight w:val="yellow"/>
              </w:rPr>
            </w:pPr>
            <w:r w:rsidRPr="00792B36">
              <w:rPr>
                <w:sz w:val="24"/>
                <w:szCs w:val="24"/>
              </w:rPr>
              <w:t>400.35</w:t>
            </w:r>
          </w:p>
        </w:tc>
        <w:tc>
          <w:tcPr>
            <w:tcW w:w="1191" w:type="dxa"/>
            <w:vAlign w:val="center"/>
          </w:tcPr>
          <w:p w14:paraId="5C40A5C9" w14:textId="77777777" w:rsidR="009A0A63" w:rsidRPr="00792B36" w:rsidRDefault="009A0A63" w:rsidP="00A24459">
            <w:pPr>
              <w:jc w:val="center"/>
              <w:rPr>
                <w:sz w:val="24"/>
                <w:szCs w:val="24"/>
                <w:highlight w:val="yellow"/>
              </w:rPr>
            </w:pPr>
            <w:r w:rsidRPr="00792B36">
              <w:rPr>
                <w:sz w:val="24"/>
                <w:szCs w:val="24"/>
              </w:rPr>
              <w:t>540.62</w:t>
            </w:r>
          </w:p>
        </w:tc>
        <w:tc>
          <w:tcPr>
            <w:tcW w:w="1191" w:type="dxa"/>
            <w:vAlign w:val="center"/>
          </w:tcPr>
          <w:p w14:paraId="372502A9" w14:textId="77777777" w:rsidR="009A0A63" w:rsidRPr="00792B36" w:rsidRDefault="009A0A63" w:rsidP="00A24459">
            <w:pPr>
              <w:jc w:val="center"/>
              <w:rPr>
                <w:sz w:val="24"/>
                <w:szCs w:val="24"/>
                <w:highlight w:val="yellow"/>
              </w:rPr>
            </w:pPr>
            <w:r w:rsidRPr="00792B36">
              <w:rPr>
                <w:sz w:val="24"/>
                <w:szCs w:val="24"/>
              </w:rPr>
              <w:t>478.25</w:t>
            </w:r>
          </w:p>
        </w:tc>
        <w:tc>
          <w:tcPr>
            <w:tcW w:w="1191" w:type="dxa"/>
            <w:vAlign w:val="center"/>
          </w:tcPr>
          <w:p w14:paraId="21E3E3CA" w14:textId="77777777" w:rsidR="009A0A63" w:rsidRPr="00792B36" w:rsidRDefault="009A0A63" w:rsidP="00A24459">
            <w:pPr>
              <w:jc w:val="center"/>
              <w:rPr>
                <w:sz w:val="24"/>
                <w:szCs w:val="24"/>
              </w:rPr>
            </w:pPr>
            <w:r w:rsidRPr="00792B36">
              <w:rPr>
                <w:sz w:val="24"/>
                <w:szCs w:val="24"/>
              </w:rPr>
              <w:t>488.63</w:t>
            </w:r>
          </w:p>
        </w:tc>
        <w:tc>
          <w:tcPr>
            <w:tcW w:w="1191" w:type="dxa"/>
            <w:vAlign w:val="center"/>
          </w:tcPr>
          <w:p w14:paraId="3EA6806B" w14:textId="77777777" w:rsidR="009A0A63" w:rsidRPr="00792B36" w:rsidRDefault="009A0A63" w:rsidP="00A24459">
            <w:pPr>
              <w:jc w:val="center"/>
              <w:rPr>
                <w:sz w:val="24"/>
                <w:szCs w:val="24"/>
              </w:rPr>
            </w:pPr>
            <w:r w:rsidRPr="00792B36">
              <w:rPr>
                <w:sz w:val="24"/>
                <w:szCs w:val="24"/>
              </w:rPr>
              <w:t>472.14</w:t>
            </w:r>
          </w:p>
        </w:tc>
      </w:tr>
      <w:tr w:rsidR="009A0A63" w:rsidRPr="00792B36" w14:paraId="6A1E1F89" w14:textId="77777777" w:rsidTr="00A24459">
        <w:trPr>
          <w:trHeight w:val="283"/>
        </w:trPr>
        <w:tc>
          <w:tcPr>
            <w:tcW w:w="2450" w:type="dxa"/>
            <w:vAlign w:val="center"/>
          </w:tcPr>
          <w:p w14:paraId="5B053672" w14:textId="77777777" w:rsidR="009A0A63" w:rsidRPr="00792B36" w:rsidRDefault="009A0A63" w:rsidP="00A24459">
            <w:pPr>
              <w:rPr>
                <w:sz w:val="24"/>
                <w:szCs w:val="24"/>
              </w:rPr>
            </w:pPr>
            <w:r w:rsidRPr="00792B36">
              <w:rPr>
                <w:sz w:val="24"/>
                <w:szCs w:val="24"/>
              </w:rPr>
              <w:t>Others</w:t>
            </w:r>
          </w:p>
        </w:tc>
        <w:tc>
          <w:tcPr>
            <w:tcW w:w="1191" w:type="dxa"/>
            <w:vAlign w:val="center"/>
          </w:tcPr>
          <w:p w14:paraId="720687B5" w14:textId="77777777" w:rsidR="009A0A63" w:rsidRPr="00792B36" w:rsidRDefault="009A0A63" w:rsidP="00A24459">
            <w:pPr>
              <w:jc w:val="center"/>
              <w:rPr>
                <w:sz w:val="24"/>
                <w:szCs w:val="24"/>
              </w:rPr>
            </w:pPr>
            <w:r w:rsidRPr="00792B36">
              <w:rPr>
                <w:sz w:val="24"/>
                <w:szCs w:val="24"/>
                <w:cs/>
              </w:rPr>
              <w:t>3.31</w:t>
            </w:r>
          </w:p>
        </w:tc>
        <w:tc>
          <w:tcPr>
            <w:tcW w:w="1191" w:type="dxa"/>
            <w:vAlign w:val="center"/>
          </w:tcPr>
          <w:p w14:paraId="7F9111DA" w14:textId="77777777" w:rsidR="009A0A63" w:rsidRPr="00792B36" w:rsidRDefault="009A0A63" w:rsidP="00A24459">
            <w:pPr>
              <w:jc w:val="center"/>
              <w:rPr>
                <w:sz w:val="24"/>
                <w:szCs w:val="24"/>
              </w:rPr>
            </w:pPr>
            <w:r w:rsidRPr="00792B36">
              <w:rPr>
                <w:sz w:val="24"/>
                <w:szCs w:val="24"/>
                <w:cs/>
              </w:rPr>
              <w:t>6.02</w:t>
            </w:r>
          </w:p>
        </w:tc>
        <w:tc>
          <w:tcPr>
            <w:tcW w:w="1191" w:type="dxa"/>
            <w:vAlign w:val="center"/>
          </w:tcPr>
          <w:p w14:paraId="7B66D5FF" w14:textId="77777777" w:rsidR="009A0A63" w:rsidRPr="00792B36" w:rsidRDefault="009A0A63" w:rsidP="00A24459">
            <w:pPr>
              <w:jc w:val="center"/>
              <w:rPr>
                <w:sz w:val="24"/>
                <w:szCs w:val="24"/>
              </w:rPr>
            </w:pPr>
            <w:r w:rsidRPr="00792B36">
              <w:rPr>
                <w:sz w:val="24"/>
                <w:szCs w:val="24"/>
                <w:cs/>
              </w:rPr>
              <w:t>53.79</w:t>
            </w:r>
          </w:p>
        </w:tc>
        <w:tc>
          <w:tcPr>
            <w:tcW w:w="1191" w:type="dxa"/>
            <w:vAlign w:val="center"/>
          </w:tcPr>
          <w:p w14:paraId="332C96F1" w14:textId="77777777" w:rsidR="009A0A63" w:rsidRPr="00792B36" w:rsidRDefault="009A0A63" w:rsidP="00A24459">
            <w:pPr>
              <w:jc w:val="center"/>
              <w:rPr>
                <w:sz w:val="24"/>
                <w:szCs w:val="24"/>
              </w:rPr>
            </w:pPr>
            <w:r w:rsidRPr="00792B36">
              <w:rPr>
                <w:sz w:val="24"/>
                <w:szCs w:val="24"/>
                <w:cs/>
              </w:rPr>
              <w:t>50.24</w:t>
            </w:r>
          </w:p>
        </w:tc>
        <w:tc>
          <w:tcPr>
            <w:tcW w:w="1191" w:type="dxa"/>
            <w:vAlign w:val="center"/>
          </w:tcPr>
          <w:p w14:paraId="50A76667" w14:textId="77777777" w:rsidR="009A0A63" w:rsidRPr="00792B36" w:rsidRDefault="009A0A63" w:rsidP="00A24459">
            <w:pPr>
              <w:jc w:val="center"/>
              <w:rPr>
                <w:sz w:val="24"/>
                <w:szCs w:val="24"/>
              </w:rPr>
            </w:pPr>
            <w:r w:rsidRPr="00792B36">
              <w:rPr>
                <w:sz w:val="24"/>
                <w:szCs w:val="24"/>
                <w:cs/>
              </w:rPr>
              <w:t>115.63</w:t>
            </w:r>
          </w:p>
        </w:tc>
        <w:tc>
          <w:tcPr>
            <w:tcW w:w="1191" w:type="dxa"/>
            <w:vAlign w:val="center"/>
          </w:tcPr>
          <w:p w14:paraId="411068DE" w14:textId="77777777" w:rsidR="009A0A63" w:rsidRPr="00792B36" w:rsidRDefault="009A0A63" w:rsidP="00A24459">
            <w:pPr>
              <w:jc w:val="center"/>
              <w:rPr>
                <w:sz w:val="24"/>
                <w:szCs w:val="24"/>
              </w:rPr>
            </w:pPr>
            <w:r w:rsidRPr="00792B36">
              <w:rPr>
                <w:sz w:val="24"/>
                <w:szCs w:val="24"/>
                <w:cs/>
              </w:rPr>
              <w:t>70.39</w:t>
            </w:r>
          </w:p>
        </w:tc>
        <w:tc>
          <w:tcPr>
            <w:tcW w:w="1191" w:type="dxa"/>
            <w:vAlign w:val="center"/>
          </w:tcPr>
          <w:p w14:paraId="2D93D242" w14:textId="77777777" w:rsidR="009A0A63" w:rsidRPr="00792B36" w:rsidRDefault="009A0A63" w:rsidP="00A24459">
            <w:pPr>
              <w:jc w:val="center"/>
              <w:rPr>
                <w:sz w:val="24"/>
                <w:szCs w:val="24"/>
                <w:cs/>
              </w:rPr>
            </w:pPr>
            <w:r w:rsidRPr="00792B36">
              <w:rPr>
                <w:sz w:val="24"/>
                <w:szCs w:val="24"/>
              </w:rPr>
              <w:t>67.49</w:t>
            </w:r>
          </w:p>
        </w:tc>
        <w:tc>
          <w:tcPr>
            <w:tcW w:w="1191" w:type="dxa"/>
            <w:vAlign w:val="center"/>
          </w:tcPr>
          <w:p w14:paraId="1AF5FE01" w14:textId="77777777" w:rsidR="009A0A63" w:rsidRPr="00792B36" w:rsidRDefault="009A0A63" w:rsidP="00A24459">
            <w:pPr>
              <w:jc w:val="center"/>
              <w:rPr>
                <w:sz w:val="24"/>
                <w:szCs w:val="24"/>
                <w:cs/>
              </w:rPr>
            </w:pPr>
            <w:r w:rsidRPr="00792B36">
              <w:rPr>
                <w:sz w:val="24"/>
                <w:szCs w:val="24"/>
              </w:rPr>
              <w:t>75.8</w:t>
            </w:r>
          </w:p>
        </w:tc>
      </w:tr>
      <w:tr w:rsidR="009A0A63" w:rsidRPr="00792B36" w14:paraId="77120AFE" w14:textId="77777777" w:rsidTr="00A24459">
        <w:trPr>
          <w:trHeight w:val="283"/>
        </w:trPr>
        <w:tc>
          <w:tcPr>
            <w:tcW w:w="2450" w:type="dxa"/>
            <w:tcBorders>
              <w:bottom w:val="single" w:sz="4" w:space="0" w:color="auto"/>
            </w:tcBorders>
            <w:vAlign w:val="center"/>
          </w:tcPr>
          <w:p w14:paraId="20ACCD4C" w14:textId="77777777" w:rsidR="009A0A63" w:rsidRPr="00792B36" w:rsidRDefault="009A0A63" w:rsidP="00A24459">
            <w:pPr>
              <w:rPr>
                <w:sz w:val="24"/>
                <w:szCs w:val="24"/>
              </w:rPr>
            </w:pPr>
            <w:r w:rsidRPr="00792B36">
              <w:rPr>
                <w:sz w:val="24"/>
                <w:szCs w:val="24"/>
              </w:rPr>
              <w:t>Total</w:t>
            </w:r>
          </w:p>
        </w:tc>
        <w:tc>
          <w:tcPr>
            <w:tcW w:w="1191" w:type="dxa"/>
            <w:tcBorders>
              <w:bottom w:val="single" w:sz="4" w:space="0" w:color="auto"/>
            </w:tcBorders>
            <w:vAlign w:val="center"/>
          </w:tcPr>
          <w:p w14:paraId="204CA01F" w14:textId="77777777" w:rsidR="009A0A63" w:rsidRPr="00792B36" w:rsidRDefault="009A0A63" w:rsidP="00A24459">
            <w:pPr>
              <w:jc w:val="center"/>
              <w:rPr>
                <w:b/>
                <w:bCs/>
                <w:sz w:val="24"/>
                <w:szCs w:val="24"/>
              </w:rPr>
            </w:pPr>
            <w:r w:rsidRPr="00792B36">
              <w:rPr>
                <w:b/>
                <w:bCs/>
                <w:sz w:val="24"/>
                <w:szCs w:val="24"/>
                <w:cs/>
              </w:rPr>
              <w:t>11,164.2</w:t>
            </w:r>
          </w:p>
        </w:tc>
        <w:tc>
          <w:tcPr>
            <w:tcW w:w="1191" w:type="dxa"/>
            <w:tcBorders>
              <w:bottom w:val="single" w:sz="4" w:space="0" w:color="auto"/>
            </w:tcBorders>
            <w:vAlign w:val="center"/>
          </w:tcPr>
          <w:p w14:paraId="36A791FD" w14:textId="77777777" w:rsidR="009A0A63" w:rsidRPr="00792B36" w:rsidRDefault="009A0A63" w:rsidP="00A24459">
            <w:pPr>
              <w:jc w:val="center"/>
              <w:rPr>
                <w:b/>
                <w:bCs/>
                <w:sz w:val="24"/>
                <w:szCs w:val="24"/>
              </w:rPr>
            </w:pPr>
            <w:r w:rsidRPr="00792B36">
              <w:rPr>
                <w:b/>
                <w:bCs/>
                <w:sz w:val="24"/>
                <w:szCs w:val="24"/>
                <w:cs/>
              </w:rPr>
              <w:t>11,303</w:t>
            </w:r>
          </w:p>
        </w:tc>
        <w:tc>
          <w:tcPr>
            <w:tcW w:w="1191" w:type="dxa"/>
            <w:tcBorders>
              <w:bottom w:val="single" w:sz="4" w:space="0" w:color="auto"/>
            </w:tcBorders>
            <w:vAlign w:val="center"/>
          </w:tcPr>
          <w:p w14:paraId="559870C0" w14:textId="77777777" w:rsidR="009A0A63" w:rsidRPr="00792B36" w:rsidRDefault="009A0A63" w:rsidP="00A24459">
            <w:pPr>
              <w:jc w:val="center"/>
              <w:rPr>
                <w:b/>
                <w:bCs/>
                <w:sz w:val="24"/>
                <w:szCs w:val="24"/>
              </w:rPr>
            </w:pPr>
            <w:r w:rsidRPr="00792B36">
              <w:rPr>
                <w:b/>
                <w:bCs/>
                <w:sz w:val="24"/>
                <w:szCs w:val="24"/>
                <w:cs/>
              </w:rPr>
              <w:t>12,352.5</w:t>
            </w:r>
          </w:p>
        </w:tc>
        <w:tc>
          <w:tcPr>
            <w:tcW w:w="1191" w:type="dxa"/>
            <w:tcBorders>
              <w:bottom w:val="single" w:sz="4" w:space="0" w:color="auto"/>
            </w:tcBorders>
            <w:vAlign w:val="center"/>
          </w:tcPr>
          <w:p w14:paraId="542A476C" w14:textId="77777777" w:rsidR="009A0A63" w:rsidRPr="00792B36" w:rsidRDefault="009A0A63" w:rsidP="00A24459">
            <w:pPr>
              <w:jc w:val="center"/>
              <w:rPr>
                <w:b/>
                <w:bCs/>
                <w:sz w:val="24"/>
                <w:szCs w:val="24"/>
              </w:rPr>
            </w:pPr>
            <w:r w:rsidRPr="00792B36">
              <w:rPr>
                <w:b/>
                <w:bCs/>
                <w:sz w:val="24"/>
                <w:szCs w:val="24"/>
                <w:cs/>
              </w:rPr>
              <w:t>14,810.2</w:t>
            </w:r>
          </w:p>
        </w:tc>
        <w:tc>
          <w:tcPr>
            <w:tcW w:w="1191" w:type="dxa"/>
            <w:tcBorders>
              <w:bottom w:val="single" w:sz="4" w:space="0" w:color="auto"/>
            </w:tcBorders>
            <w:vAlign w:val="center"/>
          </w:tcPr>
          <w:p w14:paraId="7502D39F" w14:textId="77777777" w:rsidR="009A0A63" w:rsidRPr="00792B36" w:rsidRDefault="009A0A63" w:rsidP="00A24459">
            <w:pPr>
              <w:jc w:val="center"/>
              <w:rPr>
                <w:b/>
                <w:bCs/>
                <w:sz w:val="24"/>
                <w:szCs w:val="24"/>
              </w:rPr>
            </w:pPr>
            <w:r w:rsidRPr="00792B36">
              <w:rPr>
                <w:b/>
                <w:bCs/>
                <w:sz w:val="24"/>
                <w:szCs w:val="24"/>
                <w:cs/>
              </w:rPr>
              <w:t>14,655.8</w:t>
            </w:r>
          </w:p>
        </w:tc>
        <w:tc>
          <w:tcPr>
            <w:tcW w:w="1191" w:type="dxa"/>
            <w:tcBorders>
              <w:bottom w:val="single" w:sz="4" w:space="0" w:color="auto"/>
            </w:tcBorders>
            <w:vAlign w:val="center"/>
          </w:tcPr>
          <w:p w14:paraId="087D6F5B" w14:textId="77777777" w:rsidR="009A0A63" w:rsidRPr="00792B36" w:rsidRDefault="009A0A63" w:rsidP="00A24459">
            <w:pPr>
              <w:jc w:val="center"/>
              <w:rPr>
                <w:b/>
                <w:bCs/>
                <w:sz w:val="24"/>
                <w:szCs w:val="24"/>
              </w:rPr>
            </w:pPr>
            <w:r w:rsidRPr="00792B36">
              <w:rPr>
                <w:b/>
                <w:bCs/>
                <w:sz w:val="24"/>
                <w:szCs w:val="24"/>
                <w:cs/>
              </w:rPr>
              <w:t>11,892.1</w:t>
            </w:r>
          </w:p>
        </w:tc>
        <w:tc>
          <w:tcPr>
            <w:tcW w:w="1191" w:type="dxa"/>
            <w:tcBorders>
              <w:bottom w:val="single" w:sz="4" w:space="0" w:color="auto"/>
            </w:tcBorders>
            <w:vAlign w:val="center"/>
          </w:tcPr>
          <w:p w14:paraId="4F259B72" w14:textId="77777777" w:rsidR="009A0A63" w:rsidRPr="00792B36" w:rsidRDefault="009A0A63" w:rsidP="00A24459">
            <w:pPr>
              <w:jc w:val="center"/>
              <w:rPr>
                <w:b/>
                <w:bCs/>
                <w:sz w:val="24"/>
                <w:szCs w:val="24"/>
                <w:cs/>
              </w:rPr>
            </w:pPr>
            <w:r w:rsidRPr="00792B36">
              <w:rPr>
                <w:b/>
                <w:bCs/>
                <w:sz w:val="24"/>
                <w:szCs w:val="24"/>
              </w:rPr>
              <w:t>12</w:t>
            </w:r>
            <w:r w:rsidRPr="00792B36">
              <w:rPr>
                <w:b/>
                <w:bCs/>
                <w:sz w:val="24"/>
                <w:szCs w:val="24"/>
                <w:cs/>
              </w:rPr>
              <w:t>,</w:t>
            </w:r>
            <w:r w:rsidRPr="00792B36">
              <w:rPr>
                <w:b/>
                <w:bCs/>
                <w:sz w:val="24"/>
                <w:szCs w:val="24"/>
              </w:rPr>
              <w:t>082.43</w:t>
            </w:r>
          </w:p>
        </w:tc>
        <w:tc>
          <w:tcPr>
            <w:tcW w:w="1191" w:type="dxa"/>
            <w:tcBorders>
              <w:bottom w:val="single" w:sz="4" w:space="0" w:color="auto"/>
            </w:tcBorders>
            <w:vAlign w:val="center"/>
          </w:tcPr>
          <w:p w14:paraId="70C956C1" w14:textId="77777777" w:rsidR="009A0A63" w:rsidRPr="00792B36" w:rsidRDefault="009A0A63" w:rsidP="00A24459">
            <w:pPr>
              <w:jc w:val="center"/>
              <w:rPr>
                <w:b/>
                <w:bCs/>
                <w:sz w:val="24"/>
                <w:szCs w:val="24"/>
                <w:cs/>
              </w:rPr>
            </w:pPr>
            <w:r w:rsidRPr="00792B36">
              <w:rPr>
                <w:b/>
                <w:bCs/>
                <w:sz w:val="24"/>
                <w:szCs w:val="24"/>
              </w:rPr>
              <w:t>12</w:t>
            </w:r>
            <w:r w:rsidRPr="00792B36">
              <w:rPr>
                <w:b/>
                <w:bCs/>
                <w:sz w:val="24"/>
                <w:szCs w:val="24"/>
                <w:cs/>
              </w:rPr>
              <w:t>,</w:t>
            </w:r>
            <w:r w:rsidRPr="00792B36">
              <w:rPr>
                <w:b/>
                <w:bCs/>
                <w:sz w:val="24"/>
                <w:szCs w:val="24"/>
              </w:rPr>
              <w:t>778.07</w:t>
            </w:r>
          </w:p>
        </w:tc>
      </w:tr>
    </w:tbl>
    <w:p w14:paraId="0A3CAD3C" w14:textId="77777777" w:rsidR="009A0A63" w:rsidRPr="00792B36" w:rsidRDefault="009A0A63" w:rsidP="009A0A63">
      <w:pPr>
        <w:ind w:left="851" w:hanging="851"/>
        <w:jc w:val="thaiDistribute"/>
        <w:rPr>
          <w:sz w:val="24"/>
          <w:szCs w:val="24"/>
        </w:rPr>
      </w:pPr>
    </w:p>
    <w:tbl>
      <w:tblPr>
        <w:tblStyle w:val="TableGrid"/>
        <w:tblW w:w="10787" w:type="dxa"/>
        <w:tblInd w:w="-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450"/>
        <w:gridCol w:w="1191"/>
        <w:gridCol w:w="1191"/>
        <w:gridCol w:w="1191"/>
        <w:gridCol w:w="1191"/>
        <w:gridCol w:w="1191"/>
        <w:gridCol w:w="1191"/>
        <w:gridCol w:w="1191"/>
      </w:tblGrid>
      <w:tr w:rsidR="009A0A63" w:rsidRPr="00792B36" w14:paraId="32BAE6C4" w14:textId="77777777" w:rsidTr="00A24459">
        <w:trPr>
          <w:trHeight w:val="283"/>
        </w:trPr>
        <w:tc>
          <w:tcPr>
            <w:tcW w:w="2450" w:type="dxa"/>
            <w:tcBorders>
              <w:top w:val="single" w:sz="4" w:space="0" w:color="auto"/>
              <w:bottom w:val="single" w:sz="4" w:space="0" w:color="auto"/>
            </w:tcBorders>
          </w:tcPr>
          <w:p w14:paraId="54CE8D1E" w14:textId="77777777" w:rsidR="009A0A63" w:rsidRPr="00792B36" w:rsidRDefault="009A0A63" w:rsidP="00A24459">
            <w:pPr>
              <w:jc w:val="center"/>
              <w:rPr>
                <w:sz w:val="24"/>
                <w:szCs w:val="24"/>
              </w:rPr>
            </w:pPr>
            <w:r w:rsidRPr="00792B36">
              <w:rPr>
                <w:b/>
                <w:bCs/>
                <w:sz w:val="24"/>
                <w:szCs w:val="24"/>
              </w:rPr>
              <w:t>Species groups</w:t>
            </w:r>
          </w:p>
        </w:tc>
        <w:tc>
          <w:tcPr>
            <w:tcW w:w="1191" w:type="dxa"/>
            <w:tcBorders>
              <w:top w:val="single" w:sz="4" w:space="0" w:color="auto"/>
              <w:bottom w:val="single" w:sz="4" w:space="0" w:color="auto"/>
            </w:tcBorders>
          </w:tcPr>
          <w:p w14:paraId="1308AC31" w14:textId="77777777" w:rsidR="009A0A63" w:rsidRPr="00792B36" w:rsidRDefault="009A0A63" w:rsidP="00A24459">
            <w:pPr>
              <w:jc w:val="center"/>
              <w:rPr>
                <w:b/>
                <w:bCs/>
                <w:sz w:val="24"/>
                <w:szCs w:val="24"/>
              </w:rPr>
            </w:pPr>
            <w:r w:rsidRPr="00792B36">
              <w:rPr>
                <w:b/>
                <w:bCs/>
                <w:sz w:val="24"/>
                <w:szCs w:val="24"/>
              </w:rPr>
              <w:t>2017</w:t>
            </w:r>
          </w:p>
        </w:tc>
        <w:tc>
          <w:tcPr>
            <w:tcW w:w="1191" w:type="dxa"/>
            <w:tcBorders>
              <w:top w:val="single" w:sz="4" w:space="0" w:color="auto"/>
              <w:bottom w:val="single" w:sz="4" w:space="0" w:color="auto"/>
            </w:tcBorders>
          </w:tcPr>
          <w:p w14:paraId="4EC283AE" w14:textId="77777777" w:rsidR="009A0A63" w:rsidRPr="00792B36" w:rsidRDefault="009A0A63" w:rsidP="00A24459">
            <w:pPr>
              <w:jc w:val="center"/>
              <w:rPr>
                <w:b/>
                <w:bCs/>
                <w:sz w:val="24"/>
                <w:szCs w:val="24"/>
              </w:rPr>
            </w:pPr>
            <w:r w:rsidRPr="00792B36">
              <w:rPr>
                <w:b/>
                <w:bCs/>
                <w:sz w:val="24"/>
                <w:szCs w:val="24"/>
              </w:rPr>
              <w:t>2018</w:t>
            </w:r>
          </w:p>
        </w:tc>
        <w:tc>
          <w:tcPr>
            <w:tcW w:w="1191" w:type="dxa"/>
            <w:tcBorders>
              <w:top w:val="single" w:sz="4" w:space="0" w:color="auto"/>
              <w:bottom w:val="single" w:sz="4" w:space="0" w:color="auto"/>
            </w:tcBorders>
          </w:tcPr>
          <w:p w14:paraId="174286AD" w14:textId="77777777" w:rsidR="009A0A63" w:rsidRPr="00792B36" w:rsidRDefault="009A0A63" w:rsidP="00A24459">
            <w:pPr>
              <w:jc w:val="center"/>
              <w:rPr>
                <w:b/>
                <w:bCs/>
                <w:sz w:val="24"/>
                <w:szCs w:val="24"/>
              </w:rPr>
            </w:pPr>
            <w:r w:rsidRPr="00792B36">
              <w:rPr>
                <w:b/>
                <w:bCs/>
                <w:sz w:val="24"/>
                <w:szCs w:val="24"/>
              </w:rPr>
              <w:t>2019</w:t>
            </w:r>
          </w:p>
        </w:tc>
        <w:tc>
          <w:tcPr>
            <w:tcW w:w="1191" w:type="dxa"/>
            <w:tcBorders>
              <w:top w:val="single" w:sz="4" w:space="0" w:color="auto"/>
              <w:bottom w:val="single" w:sz="4" w:space="0" w:color="auto"/>
            </w:tcBorders>
          </w:tcPr>
          <w:p w14:paraId="6E3553DE" w14:textId="77777777" w:rsidR="009A0A63" w:rsidRPr="00792B36" w:rsidRDefault="009A0A63" w:rsidP="00A24459">
            <w:pPr>
              <w:jc w:val="center"/>
              <w:rPr>
                <w:b/>
                <w:bCs/>
                <w:sz w:val="24"/>
                <w:szCs w:val="24"/>
              </w:rPr>
            </w:pPr>
            <w:r w:rsidRPr="00792B36">
              <w:rPr>
                <w:b/>
                <w:bCs/>
                <w:sz w:val="24"/>
                <w:szCs w:val="24"/>
              </w:rPr>
              <w:t>2020</w:t>
            </w:r>
          </w:p>
        </w:tc>
        <w:tc>
          <w:tcPr>
            <w:tcW w:w="1191" w:type="dxa"/>
            <w:tcBorders>
              <w:top w:val="single" w:sz="4" w:space="0" w:color="auto"/>
              <w:bottom w:val="single" w:sz="4" w:space="0" w:color="auto"/>
            </w:tcBorders>
            <w:vAlign w:val="center"/>
          </w:tcPr>
          <w:p w14:paraId="0EDF4E42" w14:textId="77777777" w:rsidR="009A0A63" w:rsidRPr="00792B36" w:rsidRDefault="009A0A63" w:rsidP="00A24459">
            <w:pPr>
              <w:jc w:val="center"/>
              <w:rPr>
                <w:b/>
                <w:bCs/>
                <w:sz w:val="24"/>
                <w:szCs w:val="24"/>
              </w:rPr>
            </w:pPr>
            <w:r w:rsidRPr="00792B36">
              <w:rPr>
                <w:rFonts w:eastAsia="Times New Roman"/>
                <w:b/>
                <w:bCs/>
                <w:sz w:val="24"/>
                <w:szCs w:val="24"/>
              </w:rPr>
              <w:t>2021</w:t>
            </w:r>
          </w:p>
        </w:tc>
        <w:tc>
          <w:tcPr>
            <w:tcW w:w="1191" w:type="dxa"/>
            <w:tcBorders>
              <w:top w:val="single" w:sz="4" w:space="0" w:color="auto"/>
              <w:bottom w:val="single" w:sz="4" w:space="0" w:color="auto"/>
            </w:tcBorders>
            <w:vAlign w:val="center"/>
          </w:tcPr>
          <w:p w14:paraId="27C9EEF4" w14:textId="77777777" w:rsidR="009A0A63" w:rsidRPr="00792B36" w:rsidRDefault="009A0A63" w:rsidP="00A24459">
            <w:pPr>
              <w:jc w:val="center"/>
              <w:rPr>
                <w:b/>
                <w:bCs/>
                <w:sz w:val="24"/>
                <w:szCs w:val="24"/>
              </w:rPr>
            </w:pPr>
            <w:r w:rsidRPr="00792B36">
              <w:rPr>
                <w:rFonts w:eastAsia="Times New Roman"/>
                <w:b/>
                <w:bCs/>
                <w:sz w:val="24"/>
                <w:szCs w:val="24"/>
              </w:rPr>
              <w:t>2022</w:t>
            </w:r>
          </w:p>
        </w:tc>
        <w:tc>
          <w:tcPr>
            <w:tcW w:w="1191" w:type="dxa"/>
            <w:tcBorders>
              <w:top w:val="single" w:sz="4" w:space="0" w:color="auto"/>
              <w:bottom w:val="single" w:sz="4" w:space="0" w:color="auto"/>
            </w:tcBorders>
            <w:vAlign w:val="center"/>
          </w:tcPr>
          <w:p w14:paraId="08E0CA3B" w14:textId="77777777" w:rsidR="009A0A63" w:rsidRPr="00792B36" w:rsidRDefault="009A0A63" w:rsidP="00A24459">
            <w:pPr>
              <w:jc w:val="center"/>
              <w:rPr>
                <w:b/>
                <w:bCs/>
                <w:sz w:val="24"/>
                <w:szCs w:val="24"/>
              </w:rPr>
            </w:pPr>
            <w:r w:rsidRPr="00792B36">
              <w:rPr>
                <w:rFonts w:eastAsia="Times New Roman"/>
                <w:b/>
                <w:bCs/>
                <w:sz w:val="24"/>
                <w:szCs w:val="24"/>
              </w:rPr>
              <w:t>2023</w:t>
            </w:r>
          </w:p>
        </w:tc>
      </w:tr>
      <w:tr w:rsidR="009A0A63" w:rsidRPr="00792B36" w14:paraId="380AB2D5" w14:textId="77777777" w:rsidTr="00A24459">
        <w:trPr>
          <w:trHeight w:val="299"/>
        </w:trPr>
        <w:tc>
          <w:tcPr>
            <w:tcW w:w="2450" w:type="dxa"/>
            <w:tcBorders>
              <w:top w:val="single" w:sz="4" w:space="0" w:color="auto"/>
            </w:tcBorders>
          </w:tcPr>
          <w:p w14:paraId="4733C2EC" w14:textId="77777777" w:rsidR="009A0A63" w:rsidRPr="00792B36" w:rsidRDefault="009A0A63" w:rsidP="00A24459">
            <w:pPr>
              <w:rPr>
                <w:sz w:val="24"/>
                <w:szCs w:val="24"/>
              </w:rPr>
            </w:pPr>
            <w:r w:rsidRPr="00792B36">
              <w:rPr>
                <w:sz w:val="24"/>
                <w:szCs w:val="24"/>
              </w:rPr>
              <w:lastRenderedPageBreak/>
              <w:t>Freshwater fishes</w:t>
            </w:r>
          </w:p>
        </w:tc>
        <w:tc>
          <w:tcPr>
            <w:tcW w:w="1191" w:type="dxa"/>
            <w:tcBorders>
              <w:top w:val="single" w:sz="4" w:space="0" w:color="auto"/>
            </w:tcBorders>
          </w:tcPr>
          <w:p w14:paraId="27C9A9C8" w14:textId="77777777" w:rsidR="009A0A63" w:rsidRPr="00792B36" w:rsidRDefault="009A0A63" w:rsidP="00A24459">
            <w:pPr>
              <w:jc w:val="center"/>
              <w:rPr>
                <w:sz w:val="24"/>
                <w:szCs w:val="24"/>
              </w:rPr>
            </w:pPr>
            <w:r w:rsidRPr="00792B36">
              <w:rPr>
                <w:sz w:val="24"/>
                <w:szCs w:val="24"/>
              </w:rPr>
              <w:t>11</w:t>
            </w:r>
            <w:r w:rsidRPr="00792B36">
              <w:rPr>
                <w:sz w:val="24"/>
                <w:szCs w:val="24"/>
                <w:cs/>
              </w:rPr>
              <w:t>,</w:t>
            </w:r>
            <w:r w:rsidRPr="00792B36">
              <w:rPr>
                <w:sz w:val="24"/>
                <w:szCs w:val="24"/>
              </w:rPr>
              <w:t>845.69</w:t>
            </w:r>
          </w:p>
        </w:tc>
        <w:tc>
          <w:tcPr>
            <w:tcW w:w="1191" w:type="dxa"/>
            <w:tcBorders>
              <w:top w:val="single" w:sz="4" w:space="0" w:color="auto"/>
            </w:tcBorders>
            <w:vAlign w:val="center"/>
          </w:tcPr>
          <w:p w14:paraId="7E833385" w14:textId="77777777" w:rsidR="009A0A63" w:rsidRPr="00792B36" w:rsidRDefault="009A0A63" w:rsidP="00A24459">
            <w:pPr>
              <w:jc w:val="center"/>
              <w:rPr>
                <w:sz w:val="24"/>
                <w:szCs w:val="24"/>
              </w:rPr>
            </w:pPr>
            <w:r w:rsidRPr="00792B36">
              <w:rPr>
                <w:sz w:val="24"/>
                <w:szCs w:val="24"/>
              </w:rPr>
              <w:t>7</w:t>
            </w:r>
            <w:r w:rsidRPr="00792B36">
              <w:rPr>
                <w:sz w:val="24"/>
                <w:szCs w:val="24"/>
                <w:cs/>
              </w:rPr>
              <w:t>,</w:t>
            </w:r>
            <w:r w:rsidRPr="00792B36">
              <w:rPr>
                <w:sz w:val="24"/>
                <w:szCs w:val="24"/>
              </w:rPr>
              <w:t>933.4</w:t>
            </w:r>
          </w:p>
        </w:tc>
        <w:tc>
          <w:tcPr>
            <w:tcW w:w="1191" w:type="dxa"/>
            <w:tcBorders>
              <w:top w:val="single" w:sz="4" w:space="0" w:color="auto"/>
            </w:tcBorders>
          </w:tcPr>
          <w:p w14:paraId="0A5C7BAB" w14:textId="77777777" w:rsidR="009A0A63" w:rsidRPr="00792B36" w:rsidRDefault="009A0A63" w:rsidP="00A24459">
            <w:pPr>
              <w:jc w:val="center"/>
              <w:rPr>
                <w:sz w:val="24"/>
                <w:szCs w:val="24"/>
              </w:rPr>
            </w:pPr>
            <w:r w:rsidRPr="00792B36">
              <w:rPr>
                <w:sz w:val="24"/>
                <w:szCs w:val="24"/>
              </w:rPr>
              <w:t>8</w:t>
            </w:r>
            <w:r w:rsidRPr="00792B36">
              <w:rPr>
                <w:sz w:val="24"/>
                <w:szCs w:val="24"/>
                <w:cs/>
              </w:rPr>
              <w:t>,</w:t>
            </w:r>
            <w:r w:rsidRPr="00792B36">
              <w:rPr>
                <w:sz w:val="24"/>
                <w:szCs w:val="24"/>
              </w:rPr>
              <w:t>276.66</w:t>
            </w:r>
          </w:p>
        </w:tc>
        <w:tc>
          <w:tcPr>
            <w:tcW w:w="1191" w:type="dxa"/>
            <w:tcBorders>
              <w:top w:val="single" w:sz="4" w:space="0" w:color="auto"/>
            </w:tcBorders>
          </w:tcPr>
          <w:p w14:paraId="1900F676" w14:textId="77777777" w:rsidR="009A0A63" w:rsidRPr="00792B36" w:rsidRDefault="009A0A63" w:rsidP="00A24459">
            <w:pPr>
              <w:jc w:val="center"/>
              <w:rPr>
                <w:sz w:val="24"/>
                <w:szCs w:val="24"/>
              </w:rPr>
            </w:pPr>
            <w:r w:rsidRPr="00792B36">
              <w:rPr>
                <w:sz w:val="24"/>
                <w:szCs w:val="24"/>
              </w:rPr>
              <w:t>9</w:t>
            </w:r>
            <w:r w:rsidRPr="00792B36">
              <w:rPr>
                <w:sz w:val="24"/>
                <w:szCs w:val="24"/>
                <w:cs/>
              </w:rPr>
              <w:t>,</w:t>
            </w:r>
            <w:r w:rsidRPr="00792B36">
              <w:rPr>
                <w:sz w:val="24"/>
                <w:szCs w:val="24"/>
              </w:rPr>
              <w:t>384.63</w:t>
            </w:r>
          </w:p>
        </w:tc>
        <w:tc>
          <w:tcPr>
            <w:tcW w:w="1191" w:type="dxa"/>
            <w:tcBorders>
              <w:top w:val="single" w:sz="4" w:space="0" w:color="auto"/>
            </w:tcBorders>
            <w:vAlign w:val="center"/>
          </w:tcPr>
          <w:p w14:paraId="54FBCE34" w14:textId="77777777" w:rsidR="009A0A63" w:rsidRPr="00792B36" w:rsidRDefault="009A0A63" w:rsidP="00A24459">
            <w:pPr>
              <w:jc w:val="center"/>
              <w:rPr>
                <w:sz w:val="24"/>
                <w:szCs w:val="24"/>
              </w:rPr>
            </w:pPr>
            <w:r w:rsidRPr="00792B36">
              <w:rPr>
                <w:sz w:val="24"/>
                <w:szCs w:val="24"/>
              </w:rPr>
              <w:t>6</w:t>
            </w:r>
            <w:r w:rsidRPr="00792B36">
              <w:rPr>
                <w:sz w:val="24"/>
                <w:szCs w:val="24"/>
                <w:cs/>
              </w:rPr>
              <w:t>,</w:t>
            </w:r>
            <w:r w:rsidRPr="00792B36">
              <w:rPr>
                <w:sz w:val="24"/>
                <w:szCs w:val="24"/>
              </w:rPr>
              <w:t>691.87</w:t>
            </w:r>
          </w:p>
        </w:tc>
        <w:tc>
          <w:tcPr>
            <w:tcW w:w="1191" w:type="dxa"/>
            <w:tcBorders>
              <w:top w:val="single" w:sz="4" w:space="0" w:color="auto"/>
            </w:tcBorders>
            <w:vAlign w:val="center"/>
          </w:tcPr>
          <w:p w14:paraId="5B2289B7" w14:textId="77777777" w:rsidR="009A0A63" w:rsidRPr="00792B36" w:rsidRDefault="009A0A63" w:rsidP="00A24459">
            <w:pPr>
              <w:jc w:val="center"/>
              <w:rPr>
                <w:sz w:val="24"/>
                <w:szCs w:val="24"/>
              </w:rPr>
            </w:pPr>
            <w:r w:rsidRPr="00792B36">
              <w:rPr>
                <w:sz w:val="24"/>
                <w:szCs w:val="24"/>
              </w:rPr>
              <w:t>6</w:t>
            </w:r>
            <w:r w:rsidRPr="00792B36">
              <w:rPr>
                <w:sz w:val="24"/>
                <w:szCs w:val="24"/>
                <w:cs/>
              </w:rPr>
              <w:t>,</w:t>
            </w:r>
            <w:r w:rsidRPr="00792B36">
              <w:rPr>
                <w:sz w:val="24"/>
                <w:szCs w:val="24"/>
              </w:rPr>
              <w:t>923.99</w:t>
            </w:r>
          </w:p>
        </w:tc>
        <w:tc>
          <w:tcPr>
            <w:tcW w:w="1191" w:type="dxa"/>
            <w:tcBorders>
              <w:top w:val="single" w:sz="4" w:space="0" w:color="auto"/>
            </w:tcBorders>
            <w:vAlign w:val="center"/>
          </w:tcPr>
          <w:p w14:paraId="570A0FBD" w14:textId="77777777" w:rsidR="009A0A63" w:rsidRPr="00792B36" w:rsidRDefault="009A0A63" w:rsidP="00A24459">
            <w:pPr>
              <w:jc w:val="center"/>
              <w:rPr>
                <w:sz w:val="24"/>
                <w:szCs w:val="24"/>
              </w:rPr>
            </w:pPr>
            <w:r w:rsidRPr="00792B36">
              <w:rPr>
                <w:sz w:val="24"/>
                <w:szCs w:val="24"/>
              </w:rPr>
              <w:t>7</w:t>
            </w:r>
            <w:r w:rsidRPr="00792B36">
              <w:rPr>
                <w:sz w:val="24"/>
                <w:szCs w:val="24"/>
                <w:cs/>
              </w:rPr>
              <w:t>,</w:t>
            </w:r>
            <w:r w:rsidRPr="00792B36">
              <w:rPr>
                <w:sz w:val="24"/>
                <w:szCs w:val="24"/>
              </w:rPr>
              <w:t>921.78</w:t>
            </w:r>
          </w:p>
        </w:tc>
      </w:tr>
      <w:tr w:rsidR="009A0A63" w:rsidRPr="00792B36" w14:paraId="664CB2B8" w14:textId="77777777" w:rsidTr="00A24459">
        <w:trPr>
          <w:trHeight w:val="283"/>
        </w:trPr>
        <w:tc>
          <w:tcPr>
            <w:tcW w:w="2450" w:type="dxa"/>
          </w:tcPr>
          <w:p w14:paraId="0D7B61CF" w14:textId="77777777" w:rsidR="009A0A63" w:rsidRPr="00792B36" w:rsidRDefault="009A0A63" w:rsidP="00A24459">
            <w:pPr>
              <w:rPr>
                <w:sz w:val="24"/>
                <w:szCs w:val="24"/>
              </w:rPr>
            </w:pPr>
            <w:r w:rsidRPr="00792B36">
              <w:rPr>
                <w:sz w:val="24"/>
                <w:szCs w:val="24"/>
              </w:rPr>
              <w:t>Freshwater crustaceans</w:t>
            </w:r>
          </w:p>
        </w:tc>
        <w:tc>
          <w:tcPr>
            <w:tcW w:w="1191" w:type="dxa"/>
          </w:tcPr>
          <w:p w14:paraId="5164002A" w14:textId="77777777" w:rsidR="009A0A63" w:rsidRPr="00792B36" w:rsidRDefault="009A0A63" w:rsidP="00A24459">
            <w:pPr>
              <w:jc w:val="center"/>
              <w:rPr>
                <w:sz w:val="24"/>
                <w:szCs w:val="24"/>
              </w:rPr>
            </w:pPr>
            <w:r w:rsidRPr="00792B36">
              <w:rPr>
                <w:sz w:val="24"/>
                <w:szCs w:val="24"/>
              </w:rPr>
              <w:t>562.16</w:t>
            </w:r>
          </w:p>
        </w:tc>
        <w:tc>
          <w:tcPr>
            <w:tcW w:w="1191" w:type="dxa"/>
          </w:tcPr>
          <w:p w14:paraId="04672D6B" w14:textId="77777777" w:rsidR="009A0A63" w:rsidRPr="00792B36" w:rsidRDefault="009A0A63" w:rsidP="00A24459">
            <w:pPr>
              <w:jc w:val="center"/>
              <w:rPr>
                <w:sz w:val="24"/>
                <w:szCs w:val="24"/>
              </w:rPr>
            </w:pPr>
            <w:r w:rsidRPr="00792B36">
              <w:rPr>
                <w:sz w:val="24"/>
                <w:szCs w:val="24"/>
              </w:rPr>
              <w:t>864.5</w:t>
            </w:r>
          </w:p>
        </w:tc>
        <w:tc>
          <w:tcPr>
            <w:tcW w:w="1191" w:type="dxa"/>
          </w:tcPr>
          <w:p w14:paraId="05461367" w14:textId="77777777" w:rsidR="009A0A63" w:rsidRPr="00792B36" w:rsidRDefault="009A0A63" w:rsidP="00A24459">
            <w:pPr>
              <w:jc w:val="center"/>
              <w:rPr>
                <w:sz w:val="24"/>
                <w:szCs w:val="24"/>
              </w:rPr>
            </w:pPr>
            <w:r w:rsidRPr="00792B36">
              <w:rPr>
                <w:sz w:val="24"/>
                <w:szCs w:val="24"/>
              </w:rPr>
              <w:t>787.19</w:t>
            </w:r>
          </w:p>
        </w:tc>
        <w:tc>
          <w:tcPr>
            <w:tcW w:w="1191" w:type="dxa"/>
          </w:tcPr>
          <w:p w14:paraId="6C630C5D" w14:textId="77777777" w:rsidR="009A0A63" w:rsidRPr="00792B36" w:rsidRDefault="009A0A63" w:rsidP="00A24459">
            <w:pPr>
              <w:jc w:val="center"/>
              <w:rPr>
                <w:sz w:val="24"/>
                <w:szCs w:val="24"/>
              </w:rPr>
            </w:pPr>
            <w:r w:rsidRPr="00792B36">
              <w:rPr>
                <w:sz w:val="24"/>
                <w:szCs w:val="24"/>
              </w:rPr>
              <w:t>688.33</w:t>
            </w:r>
          </w:p>
        </w:tc>
        <w:tc>
          <w:tcPr>
            <w:tcW w:w="1191" w:type="dxa"/>
            <w:vAlign w:val="center"/>
          </w:tcPr>
          <w:p w14:paraId="2EDE4399" w14:textId="77777777" w:rsidR="009A0A63" w:rsidRPr="00792B36" w:rsidRDefault="009A0A63" w:rsidP="00A24459">
            <w:pPr>
              <w:jc w:val="center"/>
              <w:rPr>
                <w:sz w:val="24"/>
                <w:szCs w:val="24"/>
              </w:rPr>
            </w:pPr>
            <w:r w:rsidRPr="00792B36">
              <w:rPr>
                <w:sz w:val="24"/>
                <w:szCs w:val="24"/>
              </w:rPr>
              <w:t>291.86</w:t>
            </w:r>
          </w:p>
        </w:tc>
        <w:tc>
          <w:tcPr>
            <w:tcW w:w="1191" w:type="dxa"/>
            <w:vAlign w:val="center"/>
          </w:tcPr>
          <w:p w14:paraId="1FD40925" w14:textId="77777777" w:rsidR="009A0A63" w:rsidRPr="00792B36" w:rsidRDefault="009A0A63" w:rsidP="00A24459">
            <w:pPr>
              <w:jc w:val="center"/>
              <w:rPr>
                <w:sz w:val="24"/>
                <w:szCs w:val="24"/>
              </w:rPr>
            </w:pPr>
            <w:r w:rsidRPr="00792B36">
              <w:rPr>
                <w:sz w:val="24"/>
                <w:szCs w:val="24"/>
              </w:rPr>
              <w:t>563.16</w:t>
            </w:r>
          </w:p>
        </w:tc>
        <w:tc>
          <w:tcPr>
            <w:tcW w:w="1191" w:type="dxa"/>
            <w:vAlign w:val="center"/>
          </w:tcPr>
          <w:p w14:paraId="246F8BA3" w14:textId="77777777" w:rsidR="009A0A63" w:rsidRPr="00792B36" w:rsidRDefault="009A0A63" w:rsidP="00A24459">
            <w:pPr>
              <w:jc w:val="center"/>
              <w:rPr>
                <w:sz w:val="24"/>
                <w:szCs w:val="24"/>
              </w:rPr>
            </w:pPr>
            <w:r w:rsidRPr="00792B36">
              <w:rPr>
                <w:sz w:val="24"/>
                <w:szCs w:val="24"/>
              </w:rPr>
              <w:t>396.97</w:t>
            </w:r>
          </w:p>
        </w:tc>
      </w:tr>
      <w:tr w:rsidR="009A0A63" w:rsidRPr="00792B36" w14:paraId="3EC946DB" w14:textId="77777777" w:rsidTr="00A24459">
        <w:trPr>
          <w:trHeight w:val="283"/>
        </w:trPr>
        <w:tc>
          <w:tcPr>
            <w:tcW w:w="2450" w:type="dxa"/>
            <w:tcBorders>
              <w:bottom w:val="single" w:sz="4" w:space="0" w:color="auto"/>
            </w:tcBorders>
          </w:tcPr>
          <w:p w14:paraId="27713A20" w14:textId="77777777" w:rsidR="009A0A63" w:rsidRPr="00792B36" w:rsidRDefault="009A0A63" w:rsidP="00A24459">
            <w:pPr>
              <w:rPr>
                <w:sz w:val="24"/>
                <w:szCs w:val="24"/>
              </w:rPr>
            </w:pPr>
            <w:r w:rsidRPr="00792B36">
              <w:rPr>
                <w:sz w:val="24"/>
                <w:szCs w:val="24"/>
              </w:rPr>
              <w:t>Others</w:t>
            </w:r>
          </w:p>
        </w:tc>
        <w:tc>
          <w:tcPr>
            <w:tcW w:w="1191" w:type="dxa"/>
            <w:tcBorders>
              <w:bottom w:val="single" w:sz="4" w:space="0" w:color="auto"/>
            </w:tcBorders>
          </w:tcPr>
          <w:p w14:paraId="3DCFAC13" w14:textId="77777777" w:rsidR="009A0A63" w:rsidRPr="00792B36" w:rsidRDefault="009A0A63" w:rsidP="00A24459">
            <w:pPr>
              <w:jc w:val="center"/>
              <w:rPr>
                <w:sz w:val="24"/>
                <w:szCs w:val="24"/>
              </w:rPr>
            </w:pPr>
            <w:r w:rsidRPr="00792B36">
              <w:rPr>
                <w:sz w:val="24"/>
                <w:szCs w:val="24"/>
              </w:rPr>
              <w:t>230.36</w:t>
            </w:r>
          </w:p>
        </w:tc>
        <w:tc>
          <w:tcPr>
            <w:tcW w:w="1191" w:type="dxa"/>
            <w:tcBorders>
              <w:bottom w:val="single" w:sz="4" w:space="0" w:color="auto"/>
            </w:tcBorders>
          </w:tcPr>
          <w:p w14:paraId="6309358F" w14:textId="77777777" w:rsidR="009A0A63" w:rsidRPr="00792B36" w:rsidRDefault="009A0A63" w:rsidP="00A24459">
            <w:pPr>
              <w:jc w:val="center"/>
              <w:rPr>
                <w:sz w:val="24"/>
                <w:szCs w:val="24"/>
              </w:rPr>
            </w:pPr>
            <w:r w:rsidRPr="00792B36">
              <w:rPr>
                <w:sz w:val="24"/>
                <w:szCs w:val="24"/>
              </w:rPr>
              <w:t>89.62</w:t>
            </w:r>
          </w:p>
        </w:tc>
        <w:tc>
          <w:tcPr>
            <w:tcW w:w="1191" w:type="dxa"/>
            <w:tcBorders>
              <w:bottom w:val="single" w:sz="4" w:space="0" w:color="auto"/>
            </w:tcBorders>
          </w:tcPr>
          <w:p w14:paraId="735894EC" w14:textId="77777777" w:rsidR="009A0A63" w:rsidRPr="00792B36" w:rsidRDefault="009A0A63" w:rsidP="00A24459">
            <w:pPr>
              <w:jc w:val="center"/>
              <w:rPr>
                <w:sz w:val="24"/>
                <w:szCs w:val="24"/>
              </w:rPr>
            </w:pPr>
            <w:r w:rsidRPr="00792B36">
              <w:rPr>
                <w:sz w:val="24"/>
                <w:szCs w:val="24"/>
              </w:rPr>
              <w:t>46.27</w:t>
            </w:r>
          </w:p>
        </w:tc>
        <w:tc>
          <w:tcPr>
            <w:tcW w:w="1191" w:type="dxa"/>
            <w:tcBorders>
              <w:bottom w:val="single" w:sz="4" w:space="0" w:color="auto"/>
            </w:tcBorders>
          </w:tcPr>
          <w:p w14:paraId="28562A1B" w14:textId="77777777" w:rsidR="009A0A63" w:rsidRPr="00792B36" w:rsidRDefault="009A0A63" w:rsidP="00A24459">
            <w:pPr>
              <w:jc w:val="center"/>
              <w:rPr>
                <w:sz w:val="24"/>
                <w:szCs w:val="24"/>
              </w:rPr>
            </w:pPr>
            <w:r w:rsidRPr="00792B36">
              <w:rPr>
                <w:sz w:val="24"/>
                <w:szCs w:val="24"/>
              </w:rPr>
              <w:t>24.53</w:t>
            </w:r>
          </w:p>
        </w:tc>
        <w:tc>
          <w:tcPr>
            <w:tcW w:w="1191" w:type="dxa"/>
            <w:tcBorders>
              <w:bottom w:val="single" w:sz="4" w:space="0" w:color="auto"/>
            </w:tcBorders>
            <w:vAlign w:val="center"/>
          </w:tcPr>
          <w:p w14:paraId="0C9A17C4" w14:textId="77777777" w:rsidR="009A0A63" w:rsidRPr="00792B36" w:rsidRDefault="009A0A63" w:rsidP="00A24459">
            <w:pPr>
              <w:jc w:val="center"/>
              <w:rPr>
                <w:sz w:val="24"/>
                <w:szCs w:val="24"/>
              </w:rPr>
            </w:pPr>
            <w:r w:rsidRPr="00792B36">
              <w:rPr>
                <w:sz w:val="24"/>
                <w:szCs w:val="24"/>
              </w:rPr>
              <w:t>27.1</w:t>
            </w:r>
          </w:p>
        </w:tc>
        <w:tc>
          <w:tcPr>
            <w:tcW w:w="1191" w:type="dxa"/>
            <w:tcBorders>
              <w:bottom w:val="single" w:sz="4" w:space="0" w:color="auto"/>
            </w:tcBorders>
            <w:vAlign w:val="center"/>
          </w:tcPr>
          <w:p w14:paraId="0E8E7866" w14:textId="77777777" w:rsidR="009A0A63" w:rsidRPr="00792B36" w:rsidRDefault="009A0A63" w:rsidP="00A24459">
            <w:pPr>
              <w:jc w:val="center"/>
              <w:rPr>
                <w:sz w:val="24"/>
                <w:szCs w:val="24"/>
              </w:rPr>
            </w:pPr>
            <w:r w:rsidRPr="00792B36">
              <w:rPr>
                <w:sz w:val="24"/>
                <w:szCs w:val="24"/>
              </w:rPr>
              <w:t>21.41</w:t>
            </w:r>
          </w:p>
        </w:tc>
        <w:tc>
          <w:tcPr>
            <w:tcW w:w="1191" w:type="dxa"/>
            <w:tcBorders>
              <w:bottom w:val="single" w:sz="4" w:space="0" w:color="auto"/>
            </w:tcBorders>
            <w:vAlign w:val="center"/>
          </w:tcPr>
          <w:p w14:paraId="0AAD8B65" w14:textId="77777777" w:rsidR="009A0A63" w:rsidRPr="00792B36" w:rsidRDefault="009A0A63" w:rsidP="00A24459">
            <w:pPr>
              <w:jc w:val="center"/>
              <w:rPr>
                <w:sz w:val="24"/>
                <w:szCs w:val="24"/>
              </w:rPr>
            </w:pPr>
            <w:r w:rsidRPr="00792B36">
              <w:rPr>
                <w:sz w:val="24"/>
                <w:szCs w:val="24"/>
              </w:rPr>
              <w:t>43.94</w:t>
            </w:r>
          </w:p>
        </w:tc>
      </w:tr>
      <w:tr w:rsidR="009A0A63" w:rsidRPr="00792B36" w14:paraId="3C19E3DE" w14:textId="77777777" w:rsidTr="00A24459">
        <w:trPr>
          <w:trHeight w:val="283"/>
        </w:trPr>
        <w:tc>
          <w:tcPr>
            <w:tcW w:w="2450" w:type="dxa"/>
            <w:tcBorders>
              <w:top w:val="single" w:sz="4" w:space="0" w:color="auto"/>
              <w:bottom w:val="single" w:sz="4" w:space="0" w:color="auto"/>
            </w:tcBorders>
          </w:tcPr>
          <w:p w14:paraId="4AB01CFE" w14:textId="77777777" w:rsidR="009A0A63" w:rsidRPr="00792B36" w:rsidRDefault="009A0A63" w:rsidP="00A24459">
            <w:pPr>
              <w:rPr>
                <w:sz w:val="24"/>
                <w:szCs w:val="24"/>
              </w:rPr>
            </w:pPr>
            <w:r w:rsidRPr="00792B36">
              <w:rPr>
                <w:sz w:val="24"/>
                <w:szCs w:val="24"/>
              </w:rPr>
              <w:t>Total</w:t>
            </w:r>
          </w:p>
        </w:tc>
        <w:tc>
          <w:tcPr>
            <w:tcW w:w="1191" w:type="dxa"/>
            <w:tcBorders>
              <w:top w:val="single" w:sz="4" w:space="0" w:color="auto"/>
              <w:bottom w:val="single" w:sz="4" w:space="0" w:color="auto"/>
            </w:tcBorders>
          </w:tcPr>
          <w:p w14:paraId="61552984" w14:textId="77777777" w:rsidR="009A0A63" w:rsidRPr="00792B36" w:rsidRDefault="009A0A63" w:rsidP="00A24459">
            <w:pPr>
              <w:jc w:val="center"/>
              <w:rPr>
                <w:b/>
                <w:bCs/>
                <w:sz w:val="24"/>
                <w:szCs w:val="24"/>
              </w:rPr>
            </w:pPr>
            <w:r w:rsidRPr="00792B36">
              <w:rPr>
                <w:b/>
                <w:bCs/>
                <w:sz w:val="24"/>
                <w:szCs w:val="24"/>
              </w:rPr>
              <w:t>12</w:t>
            </w:r>
            <w:r w:rsidRPr="00792B36">
              <w:rPr>
                <w:b/>
                <w:bCs/>
                <w:sz w:val="24"/>
                <w:szCs w:val="24"/>
                <w:cs/>
              </w:rPr>
              <w:t>,</w:t>
            </w:r>
            <w:r w:rsidRPr="00792B36">
              <w:rPr>
                <w:b/>
                <w:bCs/>
                <w:sz w:val="24"/>
                <w:szCs w:val="24"/>
              </w:rPr>
              <w:t>638.21</w:t>
            </w:r>
          </w:p>
        </w:tc>
        <w:tc>
          <w:tcPr>
            <w:tcW w:w="1191" w:type="dxa"/>
            <w:tcBorders>
              <w:top w:val="single" w:sz="4" w:space="0" w:color="auto"/>
              <w:bottom w:val="single" w:sz="4" w:space="0" w:color="auto"/>
            </w:tcBorders>
          </w:tcPr>
          <w:p w14:paraId="1B26A6B7" w14:textId="77777777" w:rsidR="009A0A63" w:rsidRPr="00792B36" w:rsidRDefault="009A0A63" w:rsidP="00A24459">
            <w:pPr>
              <w:jc w:val="center"/>
              <w:rPr>
                <w:b/>
                <w:bCs/>
                <w:sz w:val="24"/>
                <w:szCs w:val="24"/>
              </w:rPr>
            </w:pPr>
            <w:r w:rsidRPr="00792B36">
              <w:rPr>
                <w:b/>
                <w:bCs/>
                <w:sz w:val="24"/>
                <w:szCs w:val="24"/>
              </w:rPr>
              <w:t>8</w:t>
            </w:r>
            <w:r w:rsidRPr="00792B36">
              <w:rPr>
                <w:b/>
                <w:bCs/>
                <w:sz w:val="24"/>
                <w:szCs w:val="24"/>
                <w:cs/>
              </w:rPr>
              <w:t>,</w:t>
            </w:r>
            <w:r w:rsidRPr="00792B36">
              <w:rPr>
                <w:b/>
                <w:bCs/>
                <w:sz w:val="24"/>
                <w:szCs w:val="24"/>
              </w:rPr>
              <w:t>887.52</w:t>
            </w:r>
          </w:p>
        </w:tc>
        <w:tc>
          <w:tcPr>
            <w:tcW w:w="1191" w:type="dxa"/>
            <w:tcBorders>
              <w:top w:val="single" w:sz="4" w:space="0" w:color="auto"/>
              <w:bottom w:val="single" w:sz="4" w:space="0" w:color="auto"/>
            </w:tcBorders>
          </w:tcPr>
          <w:p w14:paraId="34D67453" w14:textId="77777777" w:rsidR="009A0A63" w:rsidRPr="00792B36" w:rsidRDefault="009A0A63" w:rsidP="00A24459">
            <w:pPr>
              <w:jc w:val="center"/>
              <w:rPr>
                <w:b/>
                <w:bCs/>
                <w:sz w:val="24"/>
                <w:szCs w:val="24"/>
              </w:rPr>
            </w:pPr>
            <w:r w:rsidRPr="00792B36">
              <w:rPr>
                <w:b/>
                <w:bCs/>
                <w:sz w:val="24"/>
                <w:szCs w:val="24"/>
              </w:rPr>
              <w:t>9</w:t>
            </w:r>
            <w:r w:rsidRPr="00792B36">
              <w:rPr>
                <w:b/>
                <w:bCs/>
                <w:sz w:val="24"/>
                <w:szCs w:val="24"/>
                <w:cs/>
              </w:rPr>
              <w:t>,</w:t>
            </w:r>
            <w:r w:rsidRPr="00792B36">
              <w:rPr>
                <w:b/>
                <w:bCs/>
                <w:sz w:val="24"/>
                <w:szCs w:val="24"/>
              </w:rPr>
              <w:t>110.12</w:t>
            </w:r>
          </w:p>
        </w:tc>
        <w:tc>
          <w:tcPr>
            <w:tcW w:w="1191" w:type="dxa"/>
            <w:tcBorders>
              <w:top w:val="single" w:sz="4" w:space="0" w:color="auto"/>
              <w:bottom w:val="single" w:sz="4" w:space="0" w:color="auto"/>
            </w:tcBorders>
          </w:tcPr>
          <w:p w14:paraId="223976AF" w14:textId="77777777" w:rsidR="009A0A63" w:rsidRPr="00792B36" w:rsidRDefault="009A0A63" w:rsidP="00A24459">
            <w:pPr>
              <w:jc w:val="center"/>
              <w:rPr>
                <w:b/>
                <w:bCs/>
                <w:sz w:val="24"/>
                <w:szCs w:val="24"/>
              </w:rPr>
            </w:pPr>
            <w:r w:rsidRPr="00792B36">
              <w:rPr>
                <w:b/>
                <w:bCs/>
                <w:sz w:val="24"/>
                <w:szCs w:val="24"/>
              </w:rPr>
              <w:t>10</w:t>
            </w:r>
            <w:r w:rsidRPr="00792B36">
              <w:rPr>
                <w:b/>
                <w:bCs/>
                <w:sz w:val="24"/>
                <w:szCs w:val="24"/>
                <w:cs/>
              </w:rPr>
              <w:t>,</w:t>
            </w:r>
            <w:r w:rsidRPr="00792B36">
              <w:rPr>
                <w:b/>
                <w:bCs/>
                <w:sz w:val="24"/>
                <w:szCs w:val="24"/>
              </w:rPr>
              <w:t>097.49</w:t>
            </w:r>
          </w:p>
        </w:tc>
        <w:tc>
          <w:tcPr>
            <w:tcW w:w="1191" w:type="dxa"/>
            <w:tcBorders>
              <w:top w:val="single" w:sz="4" w:space="0" w:color="auto"/>
              <w:bottom w:val="single" w:sz="4" w:space="0" w:color="auto"/>
            </w:tcBorders>
            <w:vAlign w:val="center"/>
          </w:tcPr>
          <w:p w14:paraId="118AEBF2" w14:textId="77777777" w:rsidR="009A0A63" w:rsidRPr="00792B36" w:rsidRDefault="009A0A63" w:rsidP="00A24459">
            <w:pPr>
              <w:jc w:val="center"/>
              <w:rPr>
                <w:b/>
                <w:bCs/>
                <w:sz w:val="24"/>
                <w:szCs w:val="24"/>
              </w:rPr>
            </w:pPr>
            <w:r w:rsidRPr="00792B36">
              <w:rPr>
                <w:b/>
                <w:bCs/>
                <w:sz w:val="24"/>
                <w:szCs w:val="24"/>
              </w:rPr>
              <w:t>7</w:t>
            </w:r>
            <w:r w:rsidRPr="00792B36">
              <w:rPr>
                <w:b/>
                <w:bCs/>
                <w:sz w:val="24"/>
                <w:szCs w:val="24"/>
                <w:cs/>
              </w:rPr>
              <w:t>,</w:t>
            </w:r>
            <w:r w:rsidRPr="00792B36">
              <w:rPr>
                <w:b/>
                <w:bCs/>
                <w:sz w:val="24"/>
                <w:szCs w:val="24"/>
              </w:rPr>
              <w:t>010.83</w:t>
            </w:r>
          </w:p>
        </w:tc>
        <w:tc>
          <w:tcPr>
            <w:tcW w:w="1191" w:type="dxa"/>
            <w:tcBorders>
              <w:top w:val="single" w:sz="4" w:space="0" w:color="auto"/>
              <w:bottom w:val="single" w:sz="4" w:space="0" w:color="auto"/>
            </w:tcBorders>
            <w:vAlign w:val="center"/>
          </w:tcPr>
          <w:p w14:paraId="198A6AA0" w14:textId="77777777" w:rsidR="009A0A63" w:rsidRPr="00792B36" w:rsidRDefault="009A0A63" w:rsidP="00A24459">
            <w:pPr>
              <w:jc w:val="center"/>
              <w:rPr>
                <w:b/>
                <w:bCs/>
                <w:sz w:val="24"/>
                <w:szCs w:val="24"/>
              </w:rPr>
            </w:pPr>
            <w:r w:rsidRPr="00792B36">
              <w:rPr>
                <w:b/>
                <w:bCs/>
                <w:sz w:val="24"/>
                <w:szCs w:val="24"/>
              </w:rPr>
              <w:t>7</w:t>
            </w:r>
            <w:r w:rsidRPr="00792B36">
              <w:rPr>
                <w:b/>
                <w:bCs/>
                <w:sz w:val="24"/>
                <w:szCs w:val="24"/>
                <w:cs/>
              </w:rPr>
              <w:t>,</w:t>
            </w:r>
            <w:r w:rsidRPr="00792B36">
              <w:rPr>
                <w:b/>
                <w:bCs/>
                <w:sz w:val="24"/>
                <w:szCs w:val="24"/>
              </w:rPr>
              <w:t>508.56</w:t>
            </w:r>
          </w:p>
        </w:tc>
        <w:tc>
          <w:tcPr>
            <w:tcW w:w="1191" w:type="dxa"/>
            <w:tcBorders>
              <w:top w:val="single" w:sz="4" w:space="0" w:color="auto"/>
              <w:bottom w:val="single" w:sz="4" w:space="0" w:color="auto"/>
            </w:tcBorders>
            <w:vAlign w:val="center"/>
          </w:tcPr>
          <w:p w14:paraId="6E292914" w14:textId="77777777" w:rsidR="009A0A63" w:rsidRPr="00792B36" w:rsidRDefault="009A0A63" w:rsidP="00A24459">
            <w:pPr>
              <w:jc w:val="center"/>
              <w:rPr>
                <w:b/>
                <w:bCs/>
                <w:sz w:val="24"/>
                <w:szCs w:val="24"/>
              </w:rPr>
            </w:pPr>
            <w:r w:rsidRPr="00792B36">
              <w:rPr>
                <w:b/>
                <w:bCs/>
                <w:sz w:val="24"/>
                <w:szCs w:val="24"/>
              </w:rPr>
              <w:t>8</w:t>
            </w:r>
            <w:r w:rsidRPr="00792B36">
              <w:rPr>
                <w:b/>
                <w:bCs/>
                <w:sz w:val="24"/>
                <w:szCs w:val="24"/>
                <w:cs/>
              </w:rPr>
              <w:t>,</w:t>
            </w:r>
            <w:r w:rsidRPr="00792B36">
              <w:rPr>
                <w:b/>
                <w:bCs/>
                <w:sz w:val="24"/>
                <w:szCs w:val="24"/>
              </w:rPr>
              <w:t>362.69</w:t>
            </w:r>
          </w:p>
        </w:tc>
      </w:tr>
    </w:tbl>
    <w:p w14:paraId="4847A260" w14:textId="77777777" w:rsidR="009A0A63" w:rsidRPr="00792B36" w:rsidRDefault="009A0A63" w:rsidP="009A0A63">
      <w:pPr>
        <w:jc w:val="thaiDistribute"/>
        <w:rPr>
          <w:sz w:val="24"/>
          <w:szCs w:val="24"/>
        </w:rPr>
      </w:pPr>
    </w:p>
    <w:p w14:paraId="7F2D17D6" w14:textId="77777777" w:rsidR="009A0A63" w:rsidRPr="00792B36" w:rsidRDefault="009A0A63" w:rsidP="009A0A63">
      <w:pPr>
        <w:jc w:val="thaiDistribute"/>
        <w:rPr>
          <w:sz w:val="24"/>
          <w:szCs w:val="24"/>
        </w:rPr>
      </w:pPr>
    </w:p>
    <w:p w14:paraId="7FF85A35" w14:textId="77777777" w:rsidR="009A0A63" w:rsidRPr="00792B36" w:rsidRDefault="009A0A63" w:rsidP="009A0A63">
      <w:pPr>
        <w:ind w:left="851" w:hanging="851"/>
        <w:jc w:val="thaiDistribute"/>
        <w:rPr>
          <w:b/>
          <w:bCs/>
          <w:sz w:val="24"/>
          <w:szCs w:val="24"/>
        </w:rPr>
      </w:pPr>
    </w:p>
    <w:p w14:paraId="75A9B1FD" w14:textId="77777777" w:rsidR="009A0A63" w:rsidRPr="00792B36" w:rsidRDefault="009A0A63" w:rsidP="009A0A63">
      <w:pPr>
        <w:ind w:left="851" w:hanging="851"/>
        <w:jc w:val="thaiDistribute"/>
        <w:rPr>
          <w:b/>
          <w:bCs/>
          <w:sz w:val="24"/>
          <w:szCs w:val="24"/>
        </w:rPr>
      </w:pPr>
    </w:p>
    <w:p w14:paraId="0A1E382A" w14:textId="77777777" w:rsidR="009A0A63" w:rsidRPr="00792B36" w:rsidRDefault="009A0A63" w:rsidP="009A0A63">
      <w:pPr>
        <w:ind w:left="851" w:hanging="851"/>
        <w:jc w:val="thaiDistribute"/>
        <w:rPr>
          <w:b/>
          <w:bCs/>
          <w:sz w:val="24"/>
          <w:szCs w:val="24"/>
        </w:rPr>
      </w:pPr>
    </w:p>
    <w:p w14:paraId="445D6379" w14:textId="77777777" w:rsidR="009A0A63" w:rsidRPr="00792B36" w:rsidRDefault="009A0A63" w:rsidP="009A0A63">
      <w:pPr>
        <w:ind w:left="851" w:hanging="851"/>
        <w:jc w:val="thaiDistribute"/>
        <w:rPr>
          <w:sz w:val="24"/>
          <w:szCs w:val="24"/>
        </w:rPr>
      </w:pPr>
      <w:r w:rsidRPr="00792B36">
        <w:rPr>
          <w:b/>
          <w:bCs/>
          <w:sz w:val="24"/>
          <w:szCs w:val="24"/>
        </w:rPr>
        <w:t xml:space="preserve">Appendix Table 3 </w:t>
      </w:r>
      <w:r w:rsidRPr="00792B36">
        <w:rPr>
          <w:sz w:val="24"/>
          <w:szCs w:val="24"/>
        </w:rPr>
        <w:t>Aquaculture production in coastal provinces along the Gulf of Thailand between 2016 and 2023 (unit: metric tonne)</w:t>
      </w:r>
    </w:p>
    <w:p w14:paraId="4DBDE5FC" w14:textId="77777777" w:rsidR="009A0A63" w:rsidRPr="00792B36" w:rsidRDefault="009A0A63" w:rsidP="009A0A63">
      <w:pPr>
        <w:jc w:val="thaiDistribute"/>
        <w:rPr>
          <w:sz w:val="24"/>
          <w:szCs w:val="24"/>
        </w:rPr>
      </w:pPr>
    </w:p>
    <w:tbl>
      <w:tblPr>
        <w:tblW w:w="12949" w:type="dxa"/>
        <w:jc w:val="center"/>
        <w:tblLook w:val="04A0" w:firstRow="1" w:lastRow="0" w:firstColumn="1" w:lastColumn="0" w:noHBand="0" w:noVBand="1"/>
      </w:tblPr>
      <w:tblGrid>
        <w:gridCol w:w="1800"/>
        <w:gridCol w:w="1395"/>
        <w:gridCol w:w="1395"/>
        <w:gridCol w:w="1395"/>
        <w:gridCol w:w="1395"/>
        <w:gridCol w:w="1395"/>
        <w:gridCol w:w="1395"/>
        <w:gridCol w:w="1395"/>
        <w:gridCol w:w="1395"/>
      </w:tblGrid>
      <w:tr w:rsidR="009A0A63" w:rsidRPr="00792B36" w14:paraId="04862BD0" w14:textId="77777777" w:rsidTr="00A24459">
        <w:trPr>
          <w:trHeight w:val="283"/>
          <w:jc w:val="center"/>
        </w:trPr>
        <w:tc>
          <w:tcPr>
            <w:tcW w:w="2405" w:type="dxa"/>
            <w:tcBorders>
              <w:top w:val="single" w:sz="4" w:space="0" w:color="auto"/>
              <w:bottom w:val="single" w:sz="4" w:space="0" w:color="auto"/>
            </w:tcBorders>
            <w:vAlign w:val="center"/>
            <w:hideMark/>
          </w:tcPr>
          <w:p w14:paraId="092CC3E6" w14:textId="77777777" w:rsidR="009A0A63" w:rsidRPr="00792B36" w:rsidRDefault="009A0A63" w:rsidP="00A24459">
            <w:pPr>
              <w:jc w:val="center"/>
              <w:rPr>
                <w:rFonts w:eastAsia="Times New Roman"/>
                <w:b/>
                <w:bCs/>
                <w:color w:val="000000"/>
                <w:sz w:val="24"/>
                <w:szCs w:val="24"/>
              </w:rPr>
            </w:pPr>
            <w:r w:rsidRPr="00792B36">
              <w:rPr>
                <w:rFonts w:eastAsia="Times New Roman"/>
                <w:b/>
                <w:bCs/>
                <w:color w:val="000000"/>
                <w:sz w:val="24"/>
                <w:szCs w:val="24"/>
              </w:rPr>
              <w:t>Province</w:t>
            </w:r>
          </w:p>
        </w:tc>
        <w:tc>
          <w:tcPr>
            <w:tcW w:w="1416" w:type="dxa"/>
            <w:tcBorders>
              <w:top w:val="single" w:sz="4" w:space="0" w:color="auto"/>
              <w:bottom w:val="single" w:sz="4" w:space="0" w:color="auto"/>
            </w:tcBorders>
            <w:noWrap/>
            <w:vAlign w:val="center"/>
            <w:hideMark/>
          </w:tcPr>
          <w:p w14:paraId="15640FBF" w14:textId="77777777" w:rsidR="009A0A63" w:rsidRPr="00792B36" w:rsidRDefault="009A0A63" w:rsidP="00A24459">
            <w:pPr>
              <w:jc w:val="center"/>
              <w:rPr>
                <w:rFonts w:eastAsia="Times New Roman"/>
                <w:b/>
                <w:bCs/>
                <w:color w:val="000000"/>
                <w:sz w:val="24"/>
                <w:szCs w:val="24"/>
              </w:rPr>
            </w:pPr>
            <w:r w:rsidRPr="00792B36">
              <w:rPr>
                <w:rFonts w:eastAsia="Times New Roman"/>
                <w:b/>
                <w:bCs/>
                <w:color w:val="000000"/>
                <w:sz w:val="24"/>
                <w:szCs w:val="24"/>
              </w:rPr>
              <w:t>2016</w:t>
            </w:r>
          </w:p>
          <w:p w14:paraId="3ABCC6E9" w14:textId="77777777" w:rsidR="009A0A63" w:rsidRPr="00792B36" w:rsidRDefault="009A0A63" w:rsidP="00A24459">
            <w:pPr>
              <w:jc w:val="center"/>
              <w:rPr>
                <w:rFonts w:eastAsia="Times New Roman"/>
                <w:b/>
                <w:bCs/>
                <w:color w:val="000000"/>
                <w:sz w:val="24"/>
                <w:szCs w:val="24"/>
              </w:rPr>
            </w:pPr>
          </w:p>
        </w:tc>
        <w:tc>
          <w:tcPr>
            <w:tcW w:w="1304" w:type="dxa"/>
            <w:tcBorders>
              <w:top w:val="single" w:sz="4" w:space="0" w:color="auto"/>
              <w:bottom w:val="single" w:sz="4" w:space="0" w:color="auto"/>
            </w:tcBorders>
            <w:noWrap/>
            <w:vAlign w:val="center"/>
            <w:hideMark/>
          </w:tcPr>
          <w:p w14:paraId="7727BF25" w14:textId="77777777" w:rsidR="009A0A63" w:rsidRPr="00792B36" w:rsidRDefault="009A0A63" w:rsidP="00A24459">
            <w:pPr>
              <w:jc w:val="center"/>
              <w:rPr>
                <w:rFonts w:eastAsia="Times New Roman"/>
                <w:b/>
                <w:bCs/>
                <w:color w:val="000000"/>
                <w:sz w:val="24"/>
                <w:szCs w:val="24"/>
              </w:rPr>
            </w:pPr>
            <w:r w:rsidRPr="00792B36">
              <w:rPr>
                <w:rFonts w:eastAsia="Times New Roman"/>
                <w:b/>
                <w:bCs/>
                <w:color w:val="000000"/>
                <w:sz w:val="24"/>
                <w:szCs w:val="24"/>
              </w:rPr>
              <w:t>2017</w:t>
            </w:r>
          </w:p>
          <w:p w14:paraId="4ADCDADD" w14:textId="77777777" w:rsidR="009A0A63" w:rsidRPr="00792B36" w:rsidRDefault="009A0A63" w:rsidP="00A24459">
            <w:pPr>
              <w:jc w:val="center"/>
              <w:rPr>
                <w:rFonts w:eastAsia="Times New Roman"/>
                <w:b/>
                <w:bCs/>
                <w:color w:val="000000"/>
                <w:sz w:val="24"/>
                <w:szCs w:val="24"/>
              </w:rPr>
            </w:pPr>
          </w:p>
        </w:tc>
        <w:tc>
          <w:tcPr>
            <w:tcW w:w="1304" w:type="dxa"/>
            <w:tcBorders>
              <w:top w:val="single" w:sz="4" w:space="0" w:color="auto"/>
              <w:bottom w:val="single" w:sz="4" w:space="0" w:color="auto"/>
            </w:tcBorders>
            <w:noWrap/>
            <w:vAlign w:val="center"/>
            <w:hideMark/>
          </w:tcPr>
          <w:p w14:paraId="15C523D5" w14:textId="77777777" w:rsidR="009A0A63" w:rsidRPr="00792B36" w:rsidRDefault="009A0A63" w:rsidP="00A24459">
            <w:pPr>
              <w:jc w:val="center"/>
              <w:rPr>
                <w:rFonts w:eastAsia="Times New Roman"/>
                <w:b/>
                <w:bCs/>
                <w:color w:val="000000"/>
                <w:sz w:val="24"/>
                <w:szCs w:val="24"/>
              </w:rPr>
            </w:pPr>
            <w:r w:rsidRPr="00792B36">
              <w:rPr>
                <w:rFonts w:eastAsia="Times New Roman"/>
                <w:b/>
                <w:bCs/>
                <w:color w:val="000000"/>
                <w:sz w:val="24"/>
                <w:szCs w:val="24"/>
              </w:rPr>
              <w:t>2018</w:t>
            </w:r>
          </w:p>
          <w:p w14:paraId="46FC6A29" w14:textId="77777777" w:rsidR="009A0A63" w:rsidRPr="00792B36" w:rsidRDefault="009A0A63" w:rsidP="00A24459">
            <w:pPr>
              <w:jc w:val="center"/>
              <w:rPr>
                <w:rFonts w:eastAsia="Times New Roman"/>
                <w:b/>
                <w:bCs/>
                <w:color w:val="000000"/>
                <w:sz w:val="24"/>
                <w:szCs w:val="24"/>
              </w:rPr>
            </w:pPr>
          </w:p>
        </w:tc>
        <w:tc>
          <w:tcPr>
            <w:tcW w:w="1304" w:type="dxa"/>
            <w:tcBorders>
              <w:top w:val="single" w:sz="4" w:space="0" w:color="auto"/>
              <w:bottom w:val="single" w:sz="4" w:space="0" w:color="auto"/>
            </w:tcBorders>
            <w:noWrap/>
            <w:vAlign w:val="center"/>
            <w:hideMark/>
          </w:tcPr>
          <w:p w14:paraId="5C81812F" w14:textId="77777777" w:rsidR="009A0A63" w:rsidRPr="00792B36" w:rsidRDefault="009A0A63" w:rsidP="00A24459">
            <w:pPr>
              <w:jc w:val="center"/>
              <w:rPr>
                <w:rFonts w:eastAsia="Times New Roman"/>
                <w:b/>
                <w:bCs/>
                <w:color w:val="000000"/>
                <w:sz w:val="24"/>
                <w:szCs w:val="24"/>
              </w:rPr>
            </w:pPr>
            <w:r w:rsidRPr="00792B36">
              <w:rPr>
                <w:rFonts w:eastAsia="Times New Roman"/>
                <w:b/>
                <w:bCs/>
                <w:color w:val="000000"/>
                <w:sz w:val="24"/>
                <w:szCs w:val="24"/>
              </w:rPr>
              <w:t>2019</w:t>
            </w:r>
          </w:p>
          <w:p w14:paraId="6F45BD31" w14:textId="77777777" w:rsidR="009A0A63" w:rsidRPr="00792B36" w:rsidRDefault="009A0A63" w:rsidP="00A24459">
            <w:pPr>
              <w:jc w:val="center"/>
              <w:rPr>
                <w:rFonts w:eastAsia="Times New Roman"/>
                <w:b/>
                <w:bCs/>
                <w:color w:val="000000"/>
                <w:sz w:val="24"/>
                <w:szCs w:val="24"/>
              </w:rPr>
            </w:pPr>
          </w:p>
        </w:tc>
        <w:tc>
          <w:tcPr>
            <w:tcW w:w="1304" w:type="dxa"/>
            <w:tcBorders>
              <w:top w:val="single" w:sz="4" w:space="0" w:color="auto"/>
              <w:bottom w:val="single" w:sz="4" w:space="0" w:color="auto"/>
            </w:tcBorders>
            <w:vAlign w:val="center"/>
          </w:tcPr>
          <w:p w14:paraId="6177E7D3" w14:textId="77777777" w:rsidR="009A0A63" w:rsidRPr="00792B36" w:rsidRDefault="009A0A63" w:rsidP="00A24459">
            <w:pPr>
              <w:jc w:val="center"/>
              <w:rPr>
                <w:rFonts w:eastAsia="Times New Roman"/>
                <w:b/>
                <w:bCs/>
                <w:color w:val="000000"/>
                <w:sz w:val="24"/>
                <w:szCs w:val="24"/>
              </w:rPr>
            </w:pPr>
            <w:r w:rsidRPr="00792B36">
              <w:rPr>
                <w:rFonts w:eastAsia="Times New Roman"/>
                <w:b/>
                <w:bCs/>
                <w:color w:val="000000"/>
                <w:sz w:val="24"/>
                <w:szCs w:val="24"/>
              </w:rPr>
              <w:t>2020</w:t>
            </w:r>
          </w:p>
        </w:tc>
        <w:tc>
          <w:tcPr>
            <w:tcW w:w="1304" w:type="dxa"/>
            <w:tcBorders>
              <w:top w:val="single" w:sz="4" w:space="0" w:color="auto"/>
              <w:bottom w:val="single" w:sz="4" w:space="0" w:color="auto"/>
            </w:tcBorders>
            <w:vAlign w:val="center"/>
          </w:tcPr>
          <w:p w14:paraId="50058090" w14:textId="77777777" w:rsidR="009A0A63" w:rsidRPr="00792B36" w:rsidRDefault="009A0A63" w:rsidP="00A24459">
            <w:pPr>
              <w:jc w:val="center"/>
              <w:rPr>
                <w:rFonts w:eastAsia="Times New Roman"/>
                <w:b/>
                <w:bCs/>
                <w:color w:val="000000"/>
                <w:sz w:val="24"/>
                <w:szCs w:val="24"/>
              </w:rPr>
            </w:pPr>
            <w:r w:rsidRPr="00792B36">
              <w:rPr>
                <w:rFonts w:eastAsia="Times New Roman"/>
                <w:b/>
                <w:bCs/>
                <w:color w:val="000000"/>
                <w:sz w:val="24"/>
                <w:szCs w:val="24"/>
              </w:rPr>
              <w:t>2021</w:t>
            </w:r>
          </w:p>
        </w:tc>
        <w:tc>
          <w:tcPr>
            <w:tcW w:w="1304" w:type="dxa"/>
            <w:tcBorders>
              <w:top w:val="single" w:sz="4" w:space="0" w:color="auto"/>
              <w:bottom w:val="single" w:sz="4" w:space="0" w:color="auto"/>
            </w:tcBorders>
            <w:vAlign w:val="center"/>
          </w:tcPr>
          <w:p w14:paraId="7E21F843" w14:textId="77777777" w:rsidR="009A0A63" w:rsidRPr="00792B36" w:rsidRDefault="009A0A63" w:rsidP="00A24459">
            <w:pPr>
              <w:jc w:val="center"/>
              <w:rPr>
                <w:rFonts w:eastAsia="Times New Roman"/>
                <w:b/>
                <w:bCs/>
                <w:color w:val="000000"/>
                <w:sz w:val="24"/>
                <w:szCs w:val="24"/>
              </w:rPr>
            </w:pPr>
            <w:r w:rsidRPr="00792B36">
              <w:rPr>
                <w:rFonts w:eastAsia="Times New Roman"/>
                <w:b/>
                <w:bCs/>
                <w:color w:val="000000"/>
                <w:sz w:val="24"/>
                <w:szCs w:val="24"/>
              </w:rPr>
              <w:t>2022</w:t>
            </w:r>
          </w:p>
        </w:tc>
        <w:tc>
          <w:tcPr>
            <w:tcW w:w="1304" w:type="dxa"/>
            <w:tcBorders>
              <w:top w:val="single" w:sz="4" w:space="0" w:color="auto"/>
              <w:bottom w:val="single" w:sz="4" w:space="0" w:color="auto"/>
            </w:tcBorders>
            <w:vAlign w:val="center"/>
          </w:tcPr>
          <w:p w14:paraId="783E2E61" w14:textId="77777777" w:rsidR="009A0A63" w:rsidRPr="00792B36" w:rsidRDefault="009A0A63" w:rsidP="00A24459">
            <w:pPr>
              <w:jc w:val="center"/>
              <w:rPr>
                <w:rFonts w:eastAsia="Times New Roman"/>
                <w:b/>
                <w:bCs/>
                <w:color w:val="000000"/>
                <w:sz w:val="24"/>
                <w:szCs w:val="24"/>
              </w:rPr>
            </w:pPr>
            <w:r w:rsidRPr="00792B36">
              <w:rPr>
                <w:rFonts w:eastAsia="Times New Roman"/>
                <w:b/>
                <w:bCs/>
                <w:color w:val="000000"/>
                <w:sz w:val="24"/>
                <w:szCs w:val="24"/>
              </w:rPr>
              <w:t>2023</w:t>
            </w:r>
          </w:p>
        </w:tc>
      </w:tr>
      <w:tr w:rsidR="009A0A63" w:rsidRPr="00792B36" w14:paraId="1D52480E" w14:textId="77777777" w:rsidTr="00A24459">
        <w:trPr>
          <w:trHeight w:val="283"/>
          <w:jc w:val="center"/>
        </w:trPr>
        <w:tc>
          <w:tcPr>
            <w:tcW w:w="2405" w:type="dxa"/>
            <w:tcBorders>
              <w:top w:val="single" w:sz="4" w:space="0" w:color="auto"/>
            </w:tcBorders>
            <w:vAlign w:val="center"/>
          </w:tcPr>
          <w:p w14:paraId="2A4B85AF" w14:textId="77777777" w:rsidR="009A0A63" w:rsidRPr="00792B36" w:rsidRDefault="009A0A63" w:rsidP="00A24459">
            <w:pPr>
              <w:rPr>
                <w:rFonts w:eastAsia="Times New Roman"/>
                <w:color w:val="000000"/>
                <w:sz w:val="24"/>
                <w:szCs w:val="24"/>
              </w:rPr>
            </w:pPr>
            <w:r w:rsidRPr="00792B36">
              <w:rPr>
                <w:rFonts w:eastAsia="Times New Roman"/>
                <w:color w:val="000000"/>
                <w:sz w:val="24"/>
                <w:szCs w:val="24"/>
              </w:rPr>
              <w:t>Trat</w:t>
            </w:r>
          </w:p>
        </w:tc>
        <w:tc>
          <w:tcPr>
            <w:tcW w:w="1416" w:type="dxa"/>
            <w:tcBorders>
              <w:top w:val="single" w:sz="4" w:space="0" w:color="auto"/>
            </w:tcBorders>
            <w:noWrap/>
            <w:vAlign w:val="center"/>
          </w:tcPr>
          <w:p w14:paraId="2E544A1D"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28,931.11</w:t>
            </w:r>
          </w:p>
        </w:tc>
        <w:tc>
          <w:tcPr>
            <w:tcW w:w="1304" w:type="dxa"/>
            <w:tcBorders>
              <w:top w:val="single" w:sz="4" w:space="0" w:color="auto"/>
            </w:tcBorders>
            <w:noWrap/>
            <w:vAlign w:val="center"/>
          </w:tcPr>
          <w:p w14:paraId="72AC1592"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26,461.29</w:t>
            </w:r>
          </w:p>
        </w:tc>
        <w:tc>
          <w:tcPr>
            <w:tcW w:w="1304" w:type="dxa"/>
            <w:tcBorders>
              <w:top w:val="single" w:sz="4" w:space="0" w:color="auto"/>
            </w:tcBorders>
            <w:noWrap/>
            <w:vAlign w:val="center"/>
          </w:tcPr>
          <w:p w14:paraId="4EC4767A"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28,342.28</w:t>
            </w:r>
          </w:p>
        </w:tc>
        <w:tc>
          <w:tcPr>
            <w:tcW w:w="1304" w:type="dxa"/>
            <w:tcBorders>
              <w:top w:val="single" w:sz="4" w:space="0" w:color="auto"/>
            </w:tcBorders>
            <w:noWrap/>
            <w:vAlign w:val="center"/>
          </w:tcPr>
          <w:p w14:paraId="62020A7F"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26,720.14</w:t>
            </w:r>
          </w:p>
        </w:tc>
        <w:tc>
          <w:tcPr>
            <w:tcW w:w="1304" w:type="dxa"/>
            <w:tcBorders>
              <w:top w:val="single" w:sz="4" w:space="0" w:color="auto"/>
            </w:tcBorders>
            <w:vAlign w:val="center"/>
          </w:tcPr>
          <w:p w14:paraId="0359A4B9"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27,516.93</w:t>
            </w:r>
          </w:p>
        </w:tc>
        <w:tc>
          <w:tcPr>
            <w:tcW w:w="1304" w:type="dxa"/>
            <w:tcBorders>
              <w:top w:val="single" w:sz="4" w:space="0" w:color="auto"/>
            </w:tcBorders>
            <w:vAlign w:val="center"/>
          </w:tcPr>
          <w:p w14:paraId="211106FB"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31,283.31</w:t>
            </w:r>
          </w:p>
        </w:tc>
        <w:tc>
          <w:tcPr>
            <w:tcW w:w="1304" w:type="dxa"/>
            <w:tcBorders>
              <w:top w:val="single" w:sz="4" w:space="0" w:color="auto"/>
            </w:tcBorders>
            <w:vAlign w:val="center"/>
          </w:tcPr>
          <w:p w14:paraId="25458062"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27,135.72</w:t>
            </w:r>
          </w:p>
        </w:tc>
        <w:tc>
          <w:tcPr>
            <w:tcW w:w="1304" w:type="dxa"/>
            <w:tcBorders>
              <w:top w:val="single" w:sz="4" w:space="0" w:color="auto"/>
            </w:tcBorders>
            <w:vAlign w:val="center"/>
          </w:tcPr>
          <w:p w14:paraId="765B0817"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22,925.70</w:t>
            </w:r>
          </w:p>
        </w:tc>
      </w:tr>
      <w:tr w:rsidR="009A0A63" w:rsidRPr="00792B36" w14:paraId="3ABD4BF9" w14:textId="77777777" w:rsidTr="00A24459">
        <w:trPr>
          <w:trHeight w:val="283"/>
          <w:jc w:val="center"/>
        </w:trPr>
        <w:tc>
          <w:tcPr>
            <w:tcW w:w="2405" w:type="dxa"/>
            <w:vAlign w:val="center"/>
          </w:tcPr>
          <w:p w14:paraId="78A2F190" w14:textId="77777777" w:rsidR="009A0A63" w:rsidRPr="00792B36" w:rsidRDefault="009A0A63" w:rsidP="00A24459">
            <w:pPr>
              <w:rPr>
                <w:rFonts w:eastAsia="Times New Roman"/>
                <w:sz w:val="24"/>
                <w:szCs w:val="24"/>
              </w:rPr>
            </w:pPr>
            <w:r w:rsidRPr="00792B36">
              <w:rPr>
                <w:rFonts w:eastAsia="Times New Roman"/>
                <w:color w:val="000000"/>
                <w:sz w:val="24"/>
                <w:szCs w:val="24"/>
              </w:rPr>
              <w:t>Chanthaburi</w:t>
            </w:r>
          </w:p>
        </w:tc>
        <w:tc>
          <w:tcPr>
            <w:tcW w:w="1416" w:type="dxa"/>
            <w:noWrap/>
            <w:vAlign w:val="center"/>
          </w:tcPr>
          <w:p w14:paraId="1E1A0F29"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42,310.32</w:t>
            </w:r>
          </w:p>
        </w:tc>
        <w:tc>
          <w:tcPr>
            <w:tcW w:w="1304" w:type="dxa"/>
            <w:noWrap/>
            <w:vAlign w:val="center"/>
          </w:tcPr>
          <w:p w14:paraId="68C4564F"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42,424.57</w:t>
            </w:r>
          </w:p>
        </w:tc>
        <w:tc>
          <w:tcPr>
            <w:tcW w:w="1304" w:type="dxa"/>
            <w:noWrap/>
            <w:vAlign w:val="center"/>
          </w:tcPr>
          <w:p w14:paraId="4F2FFA4D"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34,943.62</w:t>
            </w:r>
          </w:p>
        </w:tc>
        <w:tc>
          <w:tcPr>
            <w:tcW w:w="1304" w:type="dxa"/>
            <w:noWrap/>
            <w:vAlign w:val="center"/>
          </w:tcPr>
          <w:p w14:paraId="7EA2417F"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38,689.36</w:t>
            </w:r>
          </w:p>
        </w:tc>
        <w:tc>
          <w:tcPr>
            <w:tcW w:w="1304" w:type="dxa"/>
            <w:vAlign w:val="center"/>
          </w:tcPr>
          <w:p w14:paraId="31B7AA10"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33,435.86</w:t>
            </w:r>
          </w:p>
        </w:tc>
        <w:tc>
          <w:tcPr>
            <w:tcW w:w="1304" w:type="dxa"/>
            <w:vAlign w:val="center"/>
          </w:tcPr>
          <w:p w14:paraId="6E03E421"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29,801.47</w:t>
            </w:r>
          </w:p>
        </w:tc>
        <w:tc>
          <w:tcPr>
            <w:tcW w:w="1304" w:type="dxa"/>
            <w:vAlign w:val="center"/>
          </w:tcPr>
          <w:p w14:paraId="2653A84C"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30,759.71</w:t>
            </w:r>
          </w:p>
        </w:tc>
        <w:tc>
          <w:tcPr>
            <w:tcW w:w="1304" w:type="dxa"/>
            <w:vAlign w:val="center"/>
          </w:tcPr>
          <w:p w14:paraId="726C2B12"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30,455.96</w:t>
            </w:r>
          </w:p>
        </w:tc>
      </w:tr>
      <w:tr w:rsidR="009A0A63" w:rsidRPr="00792B36" w14:paraId="393F664B" w14:textId="77777777" w:rsidTr="00A24459">
        <w:trPr>
          <w:trHeight w:val="283"/>
          <w:jc w:val="center"/>
        </w:trPr>
        <w:tc>
          <w:tcPr>
            <w:tcW w:w="2405" w:type="dxa"/>
            <w:vAlign w:val="center"/>
          </w:tcPr>
          <w:p w14:paraId="0B1861A8" w14:textId="77777777" w:rsidR="009A0A63" w:rsidRPr="00792B36" w:rsidRDefault="009A0A63" w:rsidP="00A24459">
            <w:pPr>
              <w:rPr>
                <w:rFonts w:eastAsia="Times New Roman"/>
                <w:color w:val="000000"/>
                <w:sz w:val="24"/>
                <w:szCs w:val="24"/>
              </w:rPr>
            </w:pPr>
            <w:r w:rsidRPr="00792B36">
              <w:rPr>
                <w:rFonts w:eastAsia="Times New Roman"/>
                <w:color w:val="000000"/>
                <w:sz w:val="24"/>
                <w:szCs w:val="24"/>
              </w:rPr>
              <w:t>Rayong</w:t>
            </w:r>
          </w:p>
        </w:tc>
        <w:tc>
          <w:tcPr>
            <w:tcW w:w="1416" w:type="dxa"/>
            <w:noWrap/>
            <w:vAlign w:val="center"/>
          </w:tcPr>
          <w:p w14:paraId="41672779"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14,443.74</w:t>
            </w:r>
          </w:p>
        </w:tc>
        <w:tc>
          <w:tcPr>
            <w:tcW w:w="1304" w:type="dxa"/>
            <w:noWrap/>
            <w:vAlign w:val="center"/>
          </w:tcPr>
          <w:p w14:paraId="2D6224B3" w14:textId="77777777" w:rsidR="009A0A63" w:rsidRPr="00792B36" w:rsidRDefault="009A0A63" w:rsidP="00A24459">
            <w:pPr>
              <w:jc w:val="center"/>
              <w:rPr>
                <w:rFonts w:eastAsia="Times New Roman"/>
                <w:color w:val="000000"/>
                <w:sz w:val="24"/>
                <w:szCs w:val="24"/>
              </w:rPr>
            </w:pPr>
            <w:r w:rsidRPr="00792B36">
              <w:rPr>
                <w:rFonts w:eastAsia="Times New Roman"/>
                <w:color w:val="000000"/>
                <w:spacing w:val="-4"/>
                <w:sz w:val="24"/>
                <w:szCs w:val="24"/>
              </w:rPr>
              <w:t>14,300.22</w:t>
            </w:r>
          </w:p>
        </w:tc>
        <w:tc>
          <w:tcPr>
            <w:tcW w:w="1304" w:type="dxa"/>
            <w:noWrap/>
            <w:vAlign w:val="center"/>
          </w:tcPr>
          <w:p w14:paraId="2926B567"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12,856.04</w:t>
            </w:r>
          </w:p>
        </w:tc>
        <w:tc>
          <w:tcPr>
            <w:tcW w:w="1304" w:type="dxa"/>
            <w:noWrap/>
            <w:vAlign w:val="center"/>
          </w:tcPr>
          <w:p w14:paraId="4D0A0A1B"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11,792.45</w:t>
            </w:r>
          </w:p>
        </w:tc>
        <w:tc>
          <w:tcPr>
            <w:tcW w:w="1304" w:type="dxa"/>
            <w:vAlign w:val="center"/>
          </w:tcPr>
          <w:p w14:paraId="153297E9"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12,641.12</w:t>
            </w:r>
          </w:p>
        </w:tc>
        <w:tc>
          <w:tcPr>
            <w:tcW w:w="1304" w:type="dxa"/>
            <w:vAlign w:val="center"/>
          </w:tcPr>
          <w:p w14:paraId="50FA80E9"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10,962.46</w:t>
            </w:r>
          </w:p>
        </w:tc>
        <w:tc>
          <w:tcPr>
            <w:tcW w:w="1304" w:type="dxa"/>
            <w:vAlign w:val="center"/>
          </w:tcPr>
          <w:p w14:paraId="35305E7C"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10,319.53</w:t>
            </w:r>
          </w:p>
        </w:tc>
        <w:tc>
          <w:tcPr>
            <w:tcW w:w="1304" w:type="dxa"/>
            <w:vAlign w:val="center"/>
          </w:tcPr>
          <w:p w14:paraId="1BA58DD8"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10,121.49</w:t>
            </w:r>
          </w:p>
        </w:tc>
      </w:tr>
      <w:tr w:rsidR="009A0A63" w:rsidRPr="00792B36" w14:paraId="3BE90F3A" w14:textId="77777777" w:rsidTr="00A24459">
        <w:trPr>
          <w:trHeight w:val="283"/>
          <w:jc w:val="center"/>
        </w:trPr>
        <w:tc>
          <w:tcPr>
            <w:tcW w:w="2405" w:type="dxa"/>
            <w:vAlign w:val="center"/>
          </w:tcPr>
          <w:p w14:paraId="50442862" w14:textId="77777777" w:rsidR="009A0A63" w:rsidRPr="00792B36" w:rsidRDefault="009A0A63" w:rsidP="00A24459">
            <w:pPr>
              <w:rPr>
                <w:rFonts w:eastAsia="Times New Roman"/>
                <w:color w:val="000000"/>
                <w:sz w:val="24"/>
                <w:szCs w:val="24"/>
              </w:rPr>
            </w:pPr>
            <w:r w:rsidRPr="00792B36">
              <w:rPr>
                <w:rFonts w:eastAsia="Times New Roman"/>
                <w:color w:val="000000"/>
                <w:sz w:val="24"/>
                <w:szCs w:val="24"/>
              </w:rPr>
              <w:t>Chon Buri</w:t>
            </w:r>
          </w:p>
        </w:tc>
        <w:tc>
          <w:tcPr>
            <w:tcW w:w="1416" w:type="dxa"/>
            <w:noWrap/>
            <w:vAlign w:val="center"/>
          </w:tcPr>
          <w:p w14:paraId="61CE08F9"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29,597.86</w:t>
            </w:r>
          </w:p>
        </w:tc>
        <w:tc>
          <w:tcPr>
            <w:tcW w:w="1304" w:type="dxa"/>
            <w:noWrap/>
            <w:vAlign w:val="center"/>
          </w:tcPr>
          <w:p w14:paraId="383B1C56"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25,785.40</w:t>
            </w:r>
          </w:p>
        </w:tc>
        <w:tc>
          <w:tcPr>
            <w:tcW w:w="1304" w:type="dxa"/>
            <w:noWrap/>
            <w:vAlign w:val="center"/>
          </w:tcPr>
          <w:p w14:paraId="4EBAEDF3"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16,573.89</w:t>
            </w:r>
          </w:p>
        </w:tc>
        <w:tc>
          <w:tcPr>
            <w:tcW w:w="1304" w:type="dxa"/>
            <w:noWrap/>
            <w:vAlign w:val="center"/>
          </w:tcPr>
          <w:p w14:paraId="744773E4"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15,094.28</w:t>
            </w:r>
          </w:p>
        </w:tc>
        <w:tc>
          <w:tcPr>
            <w:tcW w:w="1304" w:type="dxa"/>
            <w:vAlign w:val="center"/>
          </w:tcPr>
          <w:p w14:paraId="7435F241"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11,567.86</w:t>
            </w:r>
          </w:p>
        </w:tc>
        <w:tc>
          <w:tcPr>
            <w:tcW w:w="1304" w:type="dxa"/>
            <w:vAlign w:val="center"/>
          </w:tcPr>
          <w:p w14:paraId="549B8E30"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17,208.85</w:t>
            </w:r>
          </w:p>
        </w:tc>
        <w:tc>
          <w:tcPr>
            <w:tcW w:w="1304" w:type="dxa"/>
            <w:vAlign w:val="center"/>
          </w:tcPr>
          <w:p w14:paraId="6EAABAE6"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15,000.00</w:t>
            </w:r>
          </w:p>
        </w:tc>
        <w:tc>
          <w:tcPr>
            <w:tcW w:w="1304" w:type="dxa"/>
            <w:vAlign w:val="center"/>
          </w:tcPr>
          <w:p w14:paraId="26D1063D"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16,795.10</w:t>
            </w:r>
          </w:p>
        </w:tc>
      </w:tr>
      <w:tr w:rsidR="009A0A63" w:rsidRPr="00792B36" w14:paraId="258F848A" w14:textId="77777777" w:rsidTr="00A24459">
        <w:trPr>
          <w:trHeight w:val="283"/>
          <w:jc w:val="center"/>
        </w:trPr>
        <w:tc>
          <w:tcPr>
            <w:tcW w:w="2405" w:type="dxa"/>
            <w:vAlign w:val="center"/>
          </w:tcPr>
          <w:p w14:paraId="76F9FF54" w14:textId="77777777" w:rsidR="009A0A63" w:rsidRPr="00792B36" w:rsidRDefault="009A0A63" w:rsidP="00A24459">
            <w:pPr>
              <w:rPr>
                <w:rFonts w:eastAsia="Times New Roman"/>
                <w:sz w:val="24"/>
                <w:szCs w:val="24"/>
              </w:rPr>
            </w:pPr>
            <w:r w:rsidRPr="00792B36">
              <w:rPr>
                <w:rFonts w:eastAsia="Times New Roman"/>
                <w:sz w:val="24"/>
                <w:szCs w:val="24"/>
              </w:rPr>
              <w:t>Chachoengsao</w:t>
            </w:r>
          </w:p>
        </w:tc>
        <w:tc>
          <w:tcPr>
            <w:tcW w:w="1416" w:type="dxa"/>
            <w:noWrap/>
            <w:vAlign w:val="center"/>
          </w:tcPr>
          <w:p w14:paraId="6FC542DB"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55,795.29</w:t>
            </w:r>
          </w:p>
        </w:tc>
        <w:tc>
          <w:tcPr>
            <w:tcW w:w="1304" w:type="dxa"/>
            <w:noWrap/>
            <w:vAlign w:val="center"/>
          </w:tcPr>
          <w:p w14:paraId="7DA2C9CF"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54,772.12</w:t>
            </w:r>
          </w:p>
        </w:tc>
        <w:tc>
          <w:tcPr>
            <w:tcW w:w="1304" w:type="dxa"/>
            <w:noWrap/>
            <w:vAlign w:val="center"/>
          </w:tcPr>
          <w:p w14:paraId="69250CF2"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65,576.85</w:t>
            </w:r>
          </w:p>
        </w:tc>
        <w:tc>
          <w:tcPr>
            <w:tcW w:w="1304" w:type="dxa"/>
            <w:noWrap/>
            <w:vAlign w:val="center"/>
          </w:tcPr>
          <w:p w14:paraId="4D6E9EC4"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70,438.33</w:t>
            </w:r>
          </w:p>
        </w:tc>
        <w:tc>
          <w:tcPr>
            <w:tcW w:w="1304" w:type="dxa"/>
            <w:vAlign w:val="center"/>
          </w:tcPr>
          <w:p w14:paraId="27CDB2E6"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67,622.44</w:t>
            </w:r>
          </w:p>
        </w:tc>
        <w:tc>
          <w:tcPr>
            <w:tcW w:w="1304" w:type="dxa"/>
            <w:vAlign w:val="center"/>
          </w:tcPr>
          <w:p w14:paraId="1954F866"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67,853.81</w:t>
            </w:r>
          </w:p>
        </w:tc>
        <w:tc>
          <w:tcPr>
            <w:tcW w:w="1304" w:type="dxa"/>
            <w:vAlign w:val="center"/>
          </w:tcPr>
          <w:p w14:paraId="6BCA2889"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74,772.93</w:t>
            </w:r>
          </w:p>
        </w:tc>
        <w:tc>
          <w:tcPr>
            <w:tcW w:w="1304" w:type="dxa"/>
            <w:vAlign w:val="center"/>
          </w:tcPr>
          <w:p w14:paraId="4581F48C"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80,746.78</w:t>
            </w:r>
          </w:p>
        </w:tc>
      </w:tr>
      <w:tr w:rsidR="009A0A63" w:rsidRPr="00792B36" w14:paraId="4506A43A" w14:textId="77777777" w:rsidTr="00A24459">
        <w:trPr>
          <w:trHeight w:val="283"/>
          <w:jc w:val="center"/>
        </w:trPr>
        <w:tc>
          <w:tcPr>
            <w:tcW w:w="2405" w:type="dxa"/>
            <w:vAlign w:val="center"/>
          </w:tcPr>
          <w:p w14:paraId="0DDC6845" w14:textId="77777777" w:rsidR="009A0A63" w:rsidRPr="00792B36" w:rsidRDefault="009A0A63" w:rsidP="00A24459">
            <w:pPr>
              <w:rPr>
                <w:rFonts w:eastAsia="Times New Roman"/>
                <w:sz w:val="24"/>
                <w:szCs w:val="24"/>
              </w:rPr>
            </w:pPr>
            <w:r w:rsidRPr="00792B36">
              <w:rPr>
                <w:rFonts w:eastAsia="Times New Roman"/>
                <w:sz w:val="24"/>
                <w:szCs w:val="24"/>
              </w:rPr>
              <w:t>Samut Prakan</w:t>
            </w:r>
          </w:p>
        </w:tc>
        <w:tc>
          <w:tcPr>
            <w:tcW w:w="1416" w:type="dxa"/>
            <w:noWrap/>
            <w:vAlign w:val="center"/>
          </w:tcPr>
          <w:p w14:paraId="5B98D324"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81,315.41</w:t>
            </w:r>
          </w:p>
        </w:tc>
        <w:tc>
          <w:tcPr>
            <w:tcW w:w="1304" w:type="dxa"/>
            <w:noWrap/>
            <w:vAlign w:val="center"/>
          </w:tcPr>
          <w:p w14:paraId="10E8EF23"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25,382.81</w:t>
            </w:r>
          </w:p>
        </w:tc>
        <w:tc>
          <w:tcPr>
            <w:tcW w:w="1304" w:type="dxa"/>
            <w:noWrap/>
            <w:vAlign w:val="center"/>
          </w:tcPr>
          <w:p w14:paraId="532ACA23"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25,986.65</w:t>
            </w:r>
          </w:p>
        </w:tc>
        <w:tc>
          <w:tcPr>
            <w:tcW w:w="1304" w:type="dxa"/>
            <w:noWrap/>
            <w:vAlign w:val="center"/>
          </w:tcPr>
          <w:p w14:paraId="2B9971F0"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34,522.93</w:t>
            </w:r>
          </w:p>
        </w:tc>
        <w:tc>
          <w:tcPr>
            <w:tcW w:w="1304" w:type="dxa"/>
            <w:vAlign w:val="center"/>
          </w:tcPr>
          <w:p w14:paraId="38B4DA22"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64,320.25</w:t>
            </w:r>
          </w:p>
        </w:tc>
        <w:tc>
          <w:tcPr>
            <w:tcW w:w="1304" w:type="dxa"/>
            <w:vAlign w:val="center"/>
          </w:tcPr>
          <w:p w14:paraId="0D210AF1"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46,823.28</w:t>
            </w:r>
          </w:p>
        </w:tc>
        <w:tc>
          <w:tcPr>
            <w:tcW w:w="1304" w:type="dxa"/>
            <w:vAlign w:val="center"/>
          </w:tcPr>
          <w:p w14:paraId="47AD890E"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56,307.26</w:t>
            </w:r>
          </w:p>
        </w:tc>
        <w:tc>
          <w:tcPr>
            <w:tcW w:w="1304" w:type="dxa"/>
            <w:vAlign w:val="center"/>
          </w:tcPr>
          <w:p w14:paraId="676FBF31"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55,936.93</w:t>
            </w:r>
          </w:p>
        </w:tc>
      </w:tr>
      <w:tr w:rsidR="009A0A63" w:rsidRPr="00792B36" w14:paraId="42863F61" w14:textId="77777777" w:rsidTr="00A24459">
        <w:trPr>
          <w:trHeight w:val="283"/>
          <w:jc w:val="center"/>
        </w:trPr>
        <w:tc>
          <w:tcPr>
            <w:tcW w:w="2405" w:type="dxa"/>
            <w:vAlign w:val="center"/>
          </w:tcPr>
          <w:p w14:paraId="2AD70E5A" w14:textId="77777777" w:rsidR="009A0A63" w:rsidRPr="00792B36" w:rsidRDefault="009A0A63" w:rsidP="00A24459">
            <w:pPr>
              <w:rPr>
                <w:rFonts w:eastAsia="Times New Roman"/>
                <w:sz w:val="24"/>
                <w:szCs w:val="24"/>
              </w:rPr>
            </w:pPr>
            <w:r w:rsidRPr="00792B36">
              <w:rPr>
                <w:rFonts w:eastAsia="Times New Roman"/>
                <w:sz w:val="24"/>
                <w:szCs w:val="24"/>
              </w:rPr>
              <w:t>Bangkok</w:t>
            </w:r>
          </w:p>
        </w:tc>
        <w:tc>
          <w:tcPr>
            <w:tcW w:w="1416" w:type="dxa"/>
            <w:noWrap/>
            <w:vAlign w:val="center"/>
          </w:tcPr>
          <w:p w14:paraId="174E5EE6"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7,838.90</w:t>
            </w:r>
          </w:p>
        </w:tc>
        <w:tc>
          <w:tcPr>
            <w:tcW w:w="1304" w:type="dxa"/>
            <w:noWrap/>
            <w:vAlign w:val="center"/>
          </w:tcPr>
          <w:p w14:paraId="349B6CFB"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6,196.47</w:t>
            </w:r>
          </w:p>
        </w:tc>
        <w:tc>
          <w:tcPr>
            <w:tcW w:w="1304" w:type="dxa"/>
            <w:noWrap/>
            <w:vAlign w:val="center"/>
          </w:tcPr>
          <w:p w14:paraId="49B0A157"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8,731.55</w:t>
            </w:r>
          </w:p>
        </w:tc>
        <w:tc>
          <w:tcPr>
            <w:tcW w:w="1304" w:type="dxa"/>
            <w:noWrap/>
            <w:vAlign w:val="center"/>
          </w:tcPr>
          <w:p w14:paraId="182A5D60"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5,272.65</w:t>
            </w:r>
          </w:p>
        </w:tc>
        <w:tc>
          <w:tcPr>
            <w:tcW w:w="1304" w:type="dxa"/>
            <w:vAlign w:val="center"/>
          </w:tcPr>
          <w:p w14:paraId="2C4CEC64"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7,936.10</w:t>
            </w:r>
          </w:p>
        </w:tc>
        <w:tc>
          <w:tcPr>
            <w:tcW w:w="1304" w:type="dxa"/>
            <w:vAlign w:val="center"/>
          </w:tcPr>
          <w:p w14:paraId="1E157ADE"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7,988.82</w:t>
            </w:r>
          </w:p>
        </w:tc>
        <w:tc>
          <w:tcPr>
            <w:tcW w:w="1304" w:type="dxa"/>
            <w:vAlign w:val="center"/>
          </w:tcPr>
          <w:p w14:paraId="39175584"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6,620.22</w:t>
            </w:r>
          </w:p>
        </w:tc>
        <w:tc>
          <w:tcPr>
            <w:tcW w:w="1304" w:type="dxa"/>
            <w:vAlign w:val="center"/>
          </w:tcPr>
          <w:p w14:paraId="4F386BA4"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7,093.93</w:t>
            </w:r>
          </w:p>
        </w:tc>
      </w:tr>
      <w:tr w:rsidR="009A0A63" w:rsidRPr="00792B36" w14:paraId="5B3004DB" w14:textId="77777777" w:rsidTr="00A24459">
        <w:trPr>
          <w:trHeight w:val="283"/>
          <w:jc w:val="center"/>
        </w:trPr>
        <w:tc>
          <w:tcPr>
            <w:tcW w:w="2405" w:type="dxa"/>
            <w:vAlign w:val="center"/>
            <w:hideMark/>
          </w:tcPr>
          <w:p w14:paraId="333A4D0C" w14:textId="77777777" w:rsidR="009A0A63" w:rsidRPr="00792B36" w:rsidRDefault="009A0A63" w:rsidP="00A24459">
            <w:pPr>
              <w:rPr>
                <w:rFonts w:eastAsia="Times New Roman"/>
                <w:sz w:val="24"/>
                <w:szCs w:val="24"/>
              </w:rPr>
            </w:pPr>
            <w:r w:rsidRPr="00792B36">
              <w:rPr>
                <w:rFonts w:eastAsia="Times New Roman"/>
                <w:sz w:val="24"/>
                <w:szCs w:val="24"/>
              </w:rPr>
              <w:t>Samut Sakhon</w:t>
            </w:r>
          </w:p>
        </w:tc>
        <w:tc>
          <w:tcPr>
            <w:tcW w:w="1416" w:type="dxa"/>
            <w:noWrap/>
            <w:vAlign w:val="center"/>
            <w:hideMark/>
          </w:tcPr>
          <w:p w14:paraId="5EAA92E9"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20,001.05</w:t>
            </w:r>
          </w:p>
        </w:tc>
        <w:tc>
          <w:tcPr>
            <w:tcW w:w="1304" w:type="dxa"/>
            <w:noWrap/>
            <w:vAlign w:val="center"/>
            <w:hideMark/>
          </w:tcPr>
          <w:p w14:paraId="50D2CE68"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22,757.42</w:t>
            </w:r>
          </w:p>
        </w:tc>
        <w:tc>
          <w:tcPr>
            <w:tcW w:w="1304" w:type="dxa"/>
            <w:noWrap/>
            <w:vAlign w:val="center"/>
            <w:hideMark/>
          </w:tcPr>
          <w:p w14:paraId="42455CD9"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43,485.22</w:t>
            </w:r>
          </w:p>
        </w:tc>
        <w:tc>
          <w:tcPr>
            <w:tcW w:w="1304" w:type="dxa"/>
            <w:noWrap/>
            <w:vAlign w:val="center"/>
            <w:hideMark/>
          </w:tcPr>
          <w:p w14:paraId="7A07CE57"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34,626.36</w:t>
            </w:r>
          </w:p>
        </w:tc>
        <w:tc>
          <w:tcPr>
            <w:tcW w:w="1304" w:type="dxa"/>
            <w:vAlign w:val="center"/>
          </w:tcPr>
          <w:p w14:paraId="1883D3D2"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31,799.90</w:t>
            </w:r>
          </w:p>
        </w:tc>
        <w:tc>
          <w:tcPr>
            <w:tcW w:w="1304" w:type="dxa"/>
            <w:vAlign w:val="center"/>
          </w:tcPr>
          <w:p w14:paraId="1461EEA4"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35,947.96</w:t>
            </w:r>
          </w:p>
        </w:tc>
        <w:tc>
          <w:tcPr>
            <w:tcW w:w="1304" w:type="dxa"/>
            <w:vAlign w:val="center"/>
          </w:tcPr>
          <w:p w14:paraId="0C0CCAC5"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34,548.57</w:t>
            </w:r>
          </w:p>
        </w:tc>
        <w:tc>
          <w:tcPr>
            <w:tcW w:w="1304" w:type="dxa"/>
            <w:vAlign w:val="center"/>
          </w:tcPr>
          <w:p w14:paraId="61CB9C17"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37,275.72</w:t>
            </w:r>
          </w:p>
        </w:tc>
      </w:tr>
      <w:tr w:rsidR="009A0A63" w:rsidRPr="00792B36" w14:paraId="487D4F62" w14:textId="77777777" w:rsidTr="00A24459">
        <w:trPr>
          <w:trHeight w:val="283"/>
          <w:jc w:val="center"/>
        </w:trPr>
        <w:tc>
          <w:tcPr>
            <w:tcW w:w="2405" w:type="dxa"/>
            <w:vAlign w:val="center"/>
            <w:hideMark/>
          </w:tcPr>
          <w:p w14:paraId="5C3731FA" w14:textId="77777777" w:rsidR="009A0A63" w:rsidRPr="00792B36" w:rsidRDefault="009A0A63" w:rsidP="00A24459">
            <w:pPr>
              <w:rPr>
                <w:rFonts w:eastAsia="Times New Roman"/>
                <w:sz w:val="24"/>
                <w:szCs w:val="24"/>
              </w:rPr>
            </w:pPr>
            <w:r w:rsidRPr="00792B36">
              <w:rPr>
                <w:rFonts w:eastAsia="Times New Roman"/>
                <w:sz w:val="24"/>
                <w:szCs w:val="24"/>
              </w:rPr>
              <w:t>Samut Songkhram</w:t>
            </w:r>
          </w:p>
        </w:tc>
        <w:tc>
          <w:tcPr>
            <w:tcW w:w="1416" w:type="dxa"/>
            <w:noWrap/>
            <w:vAlign w:val="center"/>
            <w:hideMark/>
          </w:tcPr>
          <w:p w14:paraId="4C853DA7"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29,105.12</w:t>
            </w:r>
          </w:p>
        </w:tc>
        <w:tc>
          <w:tcPr>
            <w:tcW w:w="1304" w:type="dxa"/>
            <w:noWrap/>
            <w:vAlign w:val="center"/>
            <w:hideMark/>
          </w:tcPr>
          <w:p w14:paraId="2E9B16D8"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27,923.77</w:t>
            </w:r>
          </w:p>
        </w:tc>
        <w:tc>
          <w:tcPr>
            <w:tcW w:w="1304" w:type="dxa"/>
            <w:noWrap/>
            <w:vAlign w:val="center"/>
            <w:hideMark/>
          </w:tcPr>
          <w:p w14:paraId="0EC83AE2"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23,413.62</w:t>
            </w:r>
          </w:p>
        </w:tc>
        <w:tc>
          <w:tcPr>
            <w:tcW w:w="1304" w:type="dxa"/>
            <w:noWrap/>
            <w:vAlign w:val="center"/>
            <w:hideMark/>
          </w:tcPr>
          <w:p w14:paraId="32879E7C"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31,831.39</w:t>
            </w:r>
          </w:p>
        </w:tc>
        <w:tc>
          <w:tcPr>
            <w:tcW w:w="1304" w:type="dxa"/>
            <w:vAlign w:val="center"/>
          </w:tcPr>
          <w:p w14:paraId="17D7BF3C"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35,798.62</w:t>
            </w:r>
          </w:p>
        </w:tc>
        <w:tc>
          <w:tcPr>
            <w:tcW w:w="1304" w:type="dxa"/>
            <w:vAlign w:val="center"/>
          </w:tcPr>
          <w:p w14:paraId="4AD01F83"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25,672.56</w:t>
            </w:r>
          </w:p>
        </w:tc>
        <w:tc>
          <w:tcPr>
            <w:tcW w:w="1304" w:type="dxa"/>
            <w:vAlign w:val="center"/>
          </w:tcPr>
          <w:p w14:paraId="2D55BFB4"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31,427.70</w:t>
            </w:r>
          </w:p>
        </w:tc>
        <w:tc>
          <w:tcPr>
            <w:tcW w:w="1304" w:type="dxa"/>
            <w:vAlign w:val="center"/>
          </w:tcPr>
          <w:p w14:paraId="4DA8316F"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43,395.14</w:t>
            </w:r>
          </w:p>
        </w:tc>
      </w:tr>
      <w:tr w:rsidR="009A0A63" w:rsidRPr="00792B36" w14:paraId="1F557077" w14:textId="77777777" w:rsidTr="00A24459">
        <w:trPr>
          <w:trHeight w:val="283"/>
          <w:jc w:val="center"/>
        </w:trPr>
        <w:tc>
          <w:tcPr>
            <w:tcW w:w="2405" w:type="dxa"/>
            <w:vAlign w:val="center"/>
            <w:hideMark/>
          </w:tcPr>
          <w:p w14:paraId="0A5B3733" w14:textId="77777777" w:rsidR="009A0A63" w:rsidRPr="00792B36" w:rsidRDefault="009A0A63" w:rsidP="00A24459">
            <w:pPr>
              <w:rPr>
                <w:rFonts w:eastAsia="Times New Roman"/>
                <w:sz w:val="24"/>
                <w:szCs w:val="24"/>
              </w:rPr>
            </w:pPr>
            <w:r w:rsidRPr="00792B36">
              <w:rPr>
                <w:rFonts w:eastAsia="Times New Roman"/>
                <w:sz w:val="24"/>
                <w:szCs w:val="24"/>
              </w:rPr>
              <w:t>Phetchaburi</w:t>
            </w:r>
          </w:p>
        </w:tc>
        <w:tc>
          <w:tcPr>
            <w:tcW w:w="1416" w:type="dxa"/>
            <w:noWrap/>
            <w:vAlign w:val="center"/>
            <w:hideMark/>
          </w:tcPr>
          <w:p w14:paraId="686155C6"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17,390.54</w:t>
            </w:r>
          </w:p>
        </w:tc>
        <w:tc>
          <w:tcPr>
            <w:tcW w:w="1304" w:type="dxa"/>
            <w:noWrap/>
            <w:vAlign w:val="center"/>
            <w:hideMark/>
          </w:tcPr>
          <w:p w14:paraId="79247A3F"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15,753.14</w:t>
            </w:r>
          </w:p>
        </w:tc>
        <w:tc>
          <w:tcPr>
            <w:tcW w:w="1304" w:type="dxa"/>
            <w:noWrap/>
            <w:vAlign w:val="center"/>
            <w:hideMark/>
          </w:tcPr>
          <w:p w14:paraId="0772C39E"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21,484.74</w:t>
            </w:r>
          </w:p>
        </w:tc>
        <w:tc>
          <w:tcPr>
            <w:tcW w:w="1304" w:type="dxa"/>
            <w:noWrap/>
            <w:vAlign w:val="center"/>
            <w:hideMark/>
          </w:tcPr>
          <w:p w14:paraId="58C73A1F"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20,550.85</w:t>
            </w:r>
          </w:p>
        </w:tc>
        <w:tc>
          <w:tcPr>
            <w:tcW w:w="1304" w:type="dxa"/>
            <w:vAlign w:val="center"/>
          </w:tcPr>
          <w:p w14:paraId="6E0D9A2A"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17,960.56</w:t>
            </w:r>
          </w:p>
        </w:tc>
        <w:tc>
          <w:tcPr>
            <w:tcW w:w="1304" w:type="dxa"/>
            <w:vAlign w:val="center"/>
          </w:tcPr>
          <w:p w14:paraId="1AE03479"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20,494.00</w:t>
            </w:r>
          </w:p>
        </w:tc>
        <w:tc>
          <w:tcPr>
            <w:tcW w:w="1304" w:type="dxa"/>
            <w:vAlign w:val="center"/>
          </w:tcPr>
          <w:p w14:paraId="2649B923"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19,162.24</w:t>
            </w:r>
          </w:p>
        </w:tc>
        <w:tc>
          <w:tcPr>
            <w:tcW w:w="1304" w:type="dxa"/>
            <w:vAlign w:val="center"/>
          </w:tcPr>
          <w:p w14:paraId="75502983"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18,787.32</w:t>
            </w:r>
          </w:p>
        </w:tc>
      </w:tr>
      <w:tr w:rsidR="009A0A63" w:rsidRPr="00792B36" w14:paraId="0D4875BF" w14:textId="77777777" w:rsidTr="00A24459">
        <w:trPr>
          <w:trHeight w:val="283"/>
          <w:jc w:val="center"/>
        </w:trPr>
        <w:tc>
          <w:tcPr>
            <w:tcW w:w="2405" w:type="dxa"/>
            <w:vAlign w:val="center"/>
            <w:hideMark/>
          </w:tcPr>
          <w:p w14:paraId="2BC85209" w14:textId="77777777" w:rsidR="009A0A63" w:rsidRPr="00792B36" w:rsidRDefault="009A0A63" w:rsidP="00A24459">
            <w:pPr>
              <w:rPr>
                <w:rFonts w:eastAsia="Times New Roman"/>
                <w:sz w:val="24"/>
                <w:szCs w:val="24"/>
              </w:rPr>
            </w:pPr>
            <w:r w:rsidRPr="00792B36">
              <w:rPr>
                <w:rFonts w:eastAsia="Times New Roman"/>
                <w:sz w:val="24"/>
                <w:szCs w:val="24"/>
              </w:rPr>
              <w:t>Prachuap Khiri Khan</w:t>
            </w:r>
          </w:p>
        </w:tc>
        <w:tc>
          <w:tcPr>
            <w:tcW w:w="1416" w:type="dxa"/>
            <w:noWrap/>
            <w:vAlign w:val="center"/>
            <w:hideMark/>
          </w:tcPr>
          <w:p w14:paraId="3EFFDDB7"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18,687.30</w:t>
            </w:r>
          </w:p>
        </w:tc>
        <w:tc>
          <w:tcPr>
            <w:tcW w:w="1304" w:type="dxa"/>
            <w:noWrap/>
            <w:vAlign w:val="center"/>
            <w:hideMark/>
          </w:tcPr>
          <w:p w14:paraId="78E98307"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21,238.59</w:t>
            </w:r>
          </w:p>
        </w:tc>
        <w:tc>
          <w:tcPr>
            <w:tcW w:w="1304" w:type="dxa"/>
            <w:noWrap/>
            <w:vAlign w:val="center"/>
            <w:hideMark/>
          </w:tcPr>
          <w:p w14:paraId="3154A3AC"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25,553.15</w:t>
            </w:r>
          </w:p>
        </w:tc>
        <w:tc>
          <w:tcPr>
            <w:tcW w:w="1304" w:type="dxa"/>
            <w:noWrap/>
            <w:vAlign w:val="center"/>
            <w:hideMark/>
          </w:tcPr>
          <w:p w14:paraId="1717C831"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28,402.94</w:t>
            </w:r>
          </w:p>
        </w:tc>
        <w:tc>
          <w:tcPr>
            <w:tcW w:w="1304" w:type="dxa"/>
            <w:vAlign w:val="center"/>
          </w:tcPr>
          <w:p w14:paraId="0667B6F4"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29,137.99</w:t>
            </w:r>
          </w:p>
        </w:tc>
        <w:tc>
          <w:tcPr>
            <w:tcW w:w="1304" w:type="dxa"/>
            <w:vAlign w:val="center"/>
          </w:tcPr>
          <w:p w14:paraId="53E25620"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27,672.66</w:t>
            </w:r>
          </w:p>
        </w:tc>
        <w:tc>
          <w:tcPr>
            <w:tcW w:w="1304" w:type="dxa"/>
            <w:vAlign w:val="center"/>
          </w:tcPr>
          <w:p w14:paraId="2D0EFF44"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23,295.58</w:t>
            </w:r>
          </w:p>
        </w:tc>
        <w:tc>
          <w:tcPr>
            <w:tcW w:w="1304" w:type="dxa"/>
            <w:vAlign w:val="center"/>
          </w:tcPr>
          <w:p w14:paraId="33638DEC"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24,001.46</w:t>
            </w:r>
          </w:p>
        </w:tc>
      </w:tr>
      <w:tr w:rsidR="009A0A63" w:rsidRPr="00792B36" w14:paraId="0F53FD8E" w14:textId="77777777" w:rsidTr="00A24459">
        <w:trPr>
          <w:trHeight w:val="283"/>
          <w:jc w:val="center"/>
        </w:trPr>
        <w:tc>
          <w:tcPr>
            <w:tcW w:w="2405" w:type="dxa"/>
            <w:vAlign w:val="center"/>
            <w:hideMark/>
          </w:tcPr>
          <w:p w14:paraId="2FD9E027" w14:textId="77777777" w:rsidR="009A0A63" w:rsidRPr="00792B36" w:rsidRDefault="009A0A63" w:rsidP="00A24459">
            <w:pPr>
              <w:rPr>
                <w:rFonts w:eastAsia="Times New Roman"/>
                <w:sz w:val="24"/>
                <w:szCs w:val="24"/>
              </w:rPr>
            </w:pPr>
            <w:r w:rsidRPr="00792B36">
              <w:rPr>
                <w:rFonts w:eastAsia="Times New Roman"/>
                <w:sz w:val="24"/>
                <w:szCs w:val="24"/>
              </w:rPr>
              <w:t>Chumphon</w:t>
            </w:r>
          </w:p>
        </w:tc>
        <w:tc>
          <w:tcPr>
            <w:tcW w:w="1416" w:type="dxa"/>
            <w:noWrap/>
            <w:vAlign w:val="center"/>
            <w:hideMark/>
          </w:tcPr>
          <w:p w14:paraId="547901BF"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23,026.87</w:t>
            </w:r>
          </w:p>
        </w:tc>
        <w:tc>
          <w:tcPr>
            <w:tcW w:w="1304" w:type="dxa"/>
            <w:noWrap/>
            <w:vAlign w:val="center"/>
            <w:hideMark/>
          </w:tcPr>
          <w:p w14:paraId="4144E476"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29,528.97</w:t>
            </w:r>
          </w:p>
        </w:tc>
        <w:tc>
          <w:tcPr>
            <w:tcW w:w="1304" w:type="dxa"/>
            <w:noWrap/>
            <w:vAlign w:val="center"/>
            <w:hideMark/>
          </w:tcPr>
          <w:p w14:paraId="0AFD682C"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18,095.27</w:t>
            </w:r>
          </w:p>
        </w:tc>
        <w:tc>
          <w:tcPr>
            <w:tcW w:w="1304" w:type="dxa"/>
            <w:noWrap/>
            <w:vAlign w:val="center"/>
            <w:hideMark/>
          </w:tcPr>
          <w:p w14:paraId="369229A4"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19,773.20</w:t>
            </w:r>
          </w:p>
        </w:tc>
        <w:tc>
          <w:tcPr>
            <w:tcW w:w="1304" w:type="dxa"/>
            <w:vAlign w:val="center"/>
          </w:tcPr>
          <w:p w14:paraId="20544143"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47,156.70</w:t>
            </w:r>
          </w:p>
        </w:tc>
        <w:tc>
          <w:tcPr>
            <w:tcW w:w="1304" w:type="dxa"/>
            <w:vAlign w:val="center"/>
          </w:tcPr>
          <w:p w14:paraId="5B586228"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36,855.61</w:t>
            </w:r>
          </w:p>
        </w:tc>
        <w:tc>
          <w:tcPr>
            <w:tcW w:w="1304" w:type="dxa"/>
            <w:vAlign w:val="center"/>
          </w:tcPr>
          <w:p w14:paraId="68BA88EC"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34,550.27</w:t>
            </w:r>
          </w:p>
        </w:tc>
        <w:tc>
          <w:tcPr>
            <w:tcW w:w="1304" w:type="dxa"/>
            <w:vAlign w:val="center"/>
          </w:tcPr>
          <w:p w14:paraId="5723B141"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20,945.81</w:t>
            </w:r>
          </w:p>
        </w:tc>
      </w:tr>
      <w:tr w:rsidR="009A0A63" w:rsidRPr="00792B36" w14:paraId="24F79379" w14:textId="77777777" w:rsidTr="00A24459">
        <w:trPr>
          <w:trHeight w:val="283"/>
          <w:jc w:val="center"/>
        </w:trPr>
        <w:tc>
          <w:tcPr>
            <w:tcW w:w="2405" w:type="dxa"/>
            <w:vAlign w:val="center"/>
            <w:hideMark/>
          </w:tcPr>
          <w:p w14:paraId="2432FC7E" w14:textId="77777777" w:rsidR="009A0A63" w:rsidRPr="00792B36" w:rsidRDefault="009A0A63" w:rsidP="00A24459">
            <w:pPr>
              <w:rPr>
                <w:rFonts w:eastAsia="Times New Roman"/>
                <w:sz w:val="24"/>
                <w:szCs w:val="24"/>
              </w:rPr>
            </w:pPr>
            <w:r w:rsidRPr="00792B36">
              <w:rPr>
                <w:rFonts w:eastAsia="Times New Roman"/>
                <w:sz w:val="24"/>
                <w:szCs w:val="24"/>
              </w:rPr>
              <w:t>Surat Thani</w:t>
            </w:r>
          </w:p>
        </w:tc>
        <w:tc>
          <w:tcPr>
            <w:tcW w:w="1416" w:type="dxa"/>
            <w:noWrap/>
            <w:vAlign w:val="center"/>
            <w:hideMark/>
          </w:tcPr>
          <w:p w14:paraId="530D2153"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74,786.76</w:t>
            </w:r>
          </w:p>
        </w:tc>
        <w:tc>
          <w:tcPr>
            <w:tcW w:w="1304" w:type="dxa"/>
            <w:noWrap/>
            <w:vAlign w:val="center"/>
            <w:hideMark/>
          </w:tcPr>
          <w:p w14:paraId="39C445CB"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59,598.66</w:t>
            </w:r>
          </w:p>
        </w:tc>
        <w:tc>
          <w:tcPr>
            <w:tcW w:w="1304" w:type="dxa"/>
            <w:noWrap/>
            <w:vAlign w:val="center"/>
            <w:hideMark/>
          </w:tcPr>
          <w:p w14:paraId="39B65204"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55,332.87</w:t>
            </w:r>
          </w:p>
        </w:tc>
        <w:tc>
          <w:tcPr>
            <w:tcW w:w="1304" w:type="dxa"/>
            <w:noWrap/>
            <w:vAlign w:val="center"/>
            <w:hideMark/>
          </w:tcPr>
          <w:p w14:paraId="2275320E"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63,294.13</w:t>
            </w:r>
          </w:p>
        </w:tc>
        <w:tc>
          <w:tcPr>
            <w:tcW w:w="1304" w:type="dxa"/>
            <w:vAlign w:val="center"/>
          </w:tcPr>
          <w:p w14:paraId="050E0B52"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55,010.56</w:t>
            </w:r>
          </w:p>
        </w:tc>
        <w:tc>
          <w:tcPr>
            <w:tcW w:w="1304" w:type="dxa"/>
            <w:vAlign w:val="center"/>
          </w:tcPr>
          <w:p w14:paraId="06D5002A"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58,396.91</w:t>
            </w:r>
          </w:p>
        </w:tc>
        <w:tc>
          <w:tcPr>
            <w:tcW w:w="1304" w:type="dxa"/>
            <w:vAlign w:val="center"/>
          </w:tcPr>
          <w:p w14:paraId="347407A7"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56,747.88</w:t>
            </w:r>
          </w:p>
        </w:tc>
        <w:tc>
          <w:tcPr>
            <w:tcW w:w="1304" w:type="dxa"/>
            <w:vAlign w:val="center"/>
          </w:tcPr>
          <w:p w14:paraId="62565494"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69,262.64</w:t>
            </w:r>
          </w:p>
        </w:tc>
      </w:tr>
      <w:tr w:rsidR="009A0A63" w:rsidRPr="00792B36" w14:paraId="330D99F3" w14:textId="77777777" w:rsidTr="00A24459">
        <w:trPr>
          <w:trHeight w:val="283"/>
          <w:jc w:val="center"/>
        </w:trPr>
        <w:tc>
          <w:tcPr>
            <w:tcW w:w="2405" w:type="dxa"/>
            <w:vAlign w:val="center"/>
            <w:hideMark/>
          </w:tcPr>
          <w:p w14:paraId="48E15D67" w14:textId="77777777" w:rsidR="009A0A63" w:rsidRPr="00792B36" w:rsidRDefault="009A0A63" w:rsidP="00A24459">
            <w:pPr>
              <w:rPr>
                <w:rFonts w:eastAsia="Times New Roman"/>
                <w:sz w:val="24"/>
                <w:szCs w:val="24"/>
              </w:rPr>
            </w:pPr>
            <w:r w:rsidRPr="00792B36">
              <w:rPr>
                <w:rFonts w:eastAsia="Times New Roman"/>
                <w:sz w:val="24"/>
                <w:szCs w:val="24"/>
              </w:rPr>
              <w:t xml:space="preserve">Nakhon Si </w:t>
            </w:r>
            <w:r w:rsidRPr="00792B36">
              <w:rPr>
                <w:rFonts w:eastAsia="Times New Roman"/>
                <w:sz w:val="24"/>
                <w:szCs w:val="24"/>
              </w:rPr>
              <w:lastRenderedPageBreak/>
              <w:t>Thammarat</w:t>
            </w:r>
          </w:p>
        </w:tc>
        <w:tc>
          <w:tcPr>
            <w:tcW w:w="1416" w:type="dxa"/>
            <w:noWrap/>
            <w:vAlign w:val="center"/>
            <w:hideMark/>
          </w:tcPr>
          <w:p w14:paraId="08C90719"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lastRenderedPageBreak/>
              <w:t>25,497.15</w:t>
            </w:r>
          </w:p>
        </w:tc>
        <w:tc>
          <w:tcPr>
            <w:tcW w:w="1304" w:type="dxa"/>
            <w:noWrap/>
            <w:vAlign w:val="center"/>
            <w:hideMark/>
          </w:tcPr>
          <w:p w14:paraId="2321F2EC"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28,114.66</w:t>
            </w:r>
          </w:p>
        </w:tc>
        <w:tc>
          <w:tcPr>
            <w:tcW w:w="1304" w:type="dxa"/>
            <w:noWrap/>
            <w:vAlign w:val="center"/>
            <w:hideMark/>
          </w:tcPr>
          <w:p w14:paraId="6870FAFC"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28,949.84</w:t>
            </w:r>
          </w:p>
        </w:tc>
        <w:tc>
          <w:tcPr>
            <w:tcW w:w="1304" w:type="dxa"/>
            <w:noWrap/>
            <w:vAlign w:val="center"/>
            <w:hideMark/>
          </w:tcPr>
          <w:p w14:paraId="515978AD"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39,190.69</w:t>
            </w:r>
          </w:p>
        </w:tc>
        <w:tc>
          <w:tcPr>
            <w:tcW w:w="1304" w:type="dxa"/>
            <w:vAlign w:val="center"/>
          </w:tcPr>
          <w:p w14:paraId="70776A99"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39,232.84</w:t>
            </w:r>
          </w:p>
        </w:tc>
        <w:tc>
          <w:tcPr>
            <w:tcW w:w="1304" w:type="dxa"/>
            <w:vAlign w:val="center"/>
          </w:tcPr>
          <w:p w14:paraId="3041630C"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38,669.65</w:t>
            </w:r>
          </w:p>
        </w:tc>
        <w:tc>
          <w:tcPr>
            <w:tcW w:w="1304" w:type="dxa"/>
            <w:vAlign w:val="center"/>
          </w:tcPr>
          <w:p w14:paraId="578199C0"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31,334.30</w:t>
            </w:r>
          </w:p>
        </w:tc>
        <w:tc>
          <w:tcPr>
            <w:tcW w:w="1304" w:type="dxa"/>
            <w:vAlign w:val="center"/>
          </w:tcPr>
          <w:p w14:paraId="21F44526"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31,290.64</w:t>
            </w:r>
          </w:p>
        </w:tc>
      </w:tr>
      <w:tr w:rsidR="009A0A63" w:rsidRPr="00792B36" w14:paraId="2AAB852A" w14:textId="77777777" w:rsidTr="00A24459">
        <w:trPr>
          <w:trHeight w:val="283"/>
          <w:jc w:val="center"/>
        </w:trPr>
        <w:tc>
          <w:tcPr>
            <w:tcW w:w="2405" w:type="dxa"/>
            <w:vAlign w:val="center"/>
            <w:hideMark/>
          </w:tcPr>
          <w:p w14:paraId="2BD7BC45" w14:textId="77777777" w:rsidR="009A0A63" w:rsidRPr="00792B36" w:rsidRDefault="009A0A63" w:rsidP="00A24459">
            <w:pPr>
              <w:rPr>
                <w:rFonts w:eastAsia="Times New Roman"/>
                <w:sz w:val="24"/>
                <w:szCs w:val="24"/>
              </w:rPr>
            </w:pPr>
            <w:r w:rsidRPr="00792B36">
              <w:rPr>
                <w:rFonts w:eastAsia="Times New Roman"/>
                <w:sz w:val="24"/>
                <w:szCs w:val="24"/>
              </w:rPr>
              <w:t>Songkhla</w:t>
            </w:r>
          </w:p>
        </w:tc>
        <w:tc>
          <w:tcPr>
            <w:tcW w:w="1416" w:type="dxa"/>
            <w:noWrap/>
            <w:vAlign w:val="center"/>
            <w:hideMark/>
          </w:tcPr>
          <w:p w14:paraId="0E5E775D"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28,217.60</w:t>
            </w:r>
          </w:p>
        </w:tc>
        <w:tc>
          <w:tcPr>
            <w:tcW w:w="1304" w:type="dxa"/>
            <w:noWrap/>
            <w:vAlign w:val="center"/>
            <w:hideMark/>
          </w:tcPr>
          <w:p w14:paraId="5915EB86"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29,194.28</w:t>
            </w:r>
          </w:p>
        </w:tc>
        <w:tc>
          <w:tcPr>
            <w:tcW w:w="1304" w:type="dxa"/>
            <w:noWrap/>
            <w:vAlign w:val="center"/>
            <w:hideMark/>
          </w:tcPr>
          <w:p w14:paraId="38F94B1F"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31,334.42</w:t>
            </w:r>
          </w:p>
        </w:tc>
        <w:tc>
          <w:tcPr>
            <w:tcW w:w="1304" w:type="dxa"/>
            <w:noWrap/>
            <w:vAlign w:val="center"/>
            <w:hideMark/>
          </w:tcPr>
          <w:p w14:paraId="4EC3BD20"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31,005.32</w:t>
            </w:r>
          </w:p>
        </w:tc>
        <w:tc>
          <w:tcPr>
            <w:tcW w:w="1304" w:type="dxa"/>
            <w:vAlign w:val="center"/>
          </w:tcPr>
          <w:p w14:paraId="463B5ECC"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25,470.58</w:t>
            </w:r>
          </w:p>
        </w:tc>
        <w:tc>
          <w:tcPr>
            <w:tcW w:w="1304" w:type="dxa"/>
            <w:vAlign w:val="center"/>
          </w:tcPr>
          <w:p w14:paraId="6EB0A0B5"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23,394.74</w:t>
            </w:r>
          </w:p>
        </w:tc>
        <w:tc>
          <w:tcPr>
            <w:tcW w:w="1304" w:type="dxa"/>
            <w:vAlign w:val="center"/>
          </w:tcPr>
          <w:p w14:paraId="09122F7A"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21,974.70</w:t>
            </w:r>
          </w:p>
        </w:tc>
        <w:tc>
          <w:tcPr>
            <w:tcW w:w="1304" w:type="dxa"/>
            <w:vAlign w:val="center"/>
          </w:tcPr>
          <w:p w14:paraId="19B40834"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21,451.70</w:t>
            </w:r>
          </w:p>
        </w:tc>
      </w:tr>
      <w:tr w:rsidR="009A0A63" w:rsidRPr="00792B36" w14:paraId="785B66FD" w14:textId="77777777" w:rsidTr="00A24459">
        <w:trPr>
          <w:trHeight w:val="283"/>
          <w:jc w:val="center"/>
        </w:trPr>
        <w:tc>
          <w:tcPr>
            <w:tcW w:w="2405" w:type="dxa"/>
            <w:vAlign w:val="center"/>
            <w:hideMark/>
          </w:tcPr>
          <w:p w14:paraId="112060AC" w14:textId="77777777" w:rsidR="009A0A63" w:rsidRPr="00792B36" w:rsidRDefault="009A0A63" w:rsidP="00A24459">
            <w:pPr>
              <w:rPr>
                <w:rFonts w:eastAsia="Times New Roman"/>
                <w:sz w:val="24"/>
                <w:szCs w:val="24"/>
              </w:rPr>
            </w:pPr>
            <w:r w:rsidRPr="00792B36">
              <w:rPr>
                <w:rFonts w:eastAsia="Times New Roman"/>
                <w:sz w:val="24"/>
                <w:szCs w:val="24"/>
              </w:rPr>
              <w:t>Pattani</w:t>
            </w:r>
          </w:p>
        </w:tc>
        <w:tc>
          <w:tcPr>
            <w:tcW w:w="1416" w:type="dxa"/>
            <w:noWrap/>
            <w:vAlign w:val="center"/>
            <w:hideMark/>
          </w:tcPr>
          <w:p w14:paraId="222953BE"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8,771.92</w:t>
            </w:r>
          </w:p>
        </w:tc>
        <w:tc>
          <w:tcPr>
            <w:tcW w:w="1304" w:type="dxa"/>
            <w:noWrap/>
            <w:vAlign w:val="center"/>
            <w:hideMark/>
          </w:tcPr>
          <w:p w14:paraId="267E6EC6"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9,919.23</w:t>
            </w:r>
          </w:p>
        </w:tc>
        <w:tc>
          <w:tcPr>
            <w:tcW w:w="1304" w:type="dxa"/>
            <w:noWrap/>
            <w:vAlign w:val="center"/>
            <w:hideMark/>
          </w:tcPr>
          <w:p w14:paraId="5B6C7819"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6,504.52</w:t>
            </w:r>
          </w:p>
        </w:tc>
        <w:tc>
          <w:tcPr>
            <w:tcW w:w="1304" w:type="dxa"/>
            <w:noWrap/>
            <w:vAlign w:val="center"/>
            <w:hideMark/>
          </w:tcPr>
          <w:p w14:paraId="6B482C93"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5,443.18</w:t>
            </w:r>
          </w:p>
        </w:tc>
        <w:tc>
          <w:tcPr>
            <w:tcW w:w="1304" w:type="dxa"/>
            <w:vAlign w:val="center"/>
          </w:tcPr>
          <w:p w14:paraId="4AE2E6E8"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5,420.88</w:t>
            </w:r>
          </w:p>
        </w:tc>
        <w:tc>
          <w:tcPr>
            <w:tcW w:w="1304" w:type="dxa"/>
            <w:vAlign w:val="center"/>
          </w:tcPr>
          <w:p w14:paraId="7DC13482"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5,209.69</w:t>
            </w:r>
          </w:p>
        </w:tc>
        <w:tc>
          <w:tcPr>
            <w:tcW w:w="1304" w:type="dxa"/>
            <w:vAlign w:val="center"/>
          </w:tcPr>
          <w:p w14:paraId="78086472"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4,170.00</w:t>
            </w:r>
          </w:p>
        </w:tc>
        <w:tc>
          <w:tcPr>
            <w:tcW w:w="1304" w:type="dxa"/>
            <w:vAlign w:val="center"/>
          </w:tcPr>
          <w:p w14:paraId="750267F7"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4,687.77</w:t>
            </w:r>
          </w:p>
        </w:tc>
      </w:tr>
      <w:tr w:rsidR="009A0A63" w:rsidRPr="00792B36" w14:paraId="3C4E7F7D" w14:textId="77777777" w:rsidTr="00A24459">
        <w:trPr>
          <w:trHeight w:val="283"/>
          <w:jc w:val="center"/>
        </w:trPr>
        <w:tc>
          <w:tcPr>
            <w:tcW w:w="2405" w:type="dxa"/>
            <w:tcBorders>
              <w:bottom w:val="single" w:sz="4" w:space="0" w:color="auto"/>
            </w:tcBorders>
            <w:vAlign w:val="center"/>
            <w:hideMark/>
          </w:tcPr>
          <w:p w14:paraId="658AE647" w14:textId="77777777" w:rsidR="009A0A63" w:rsidRPr="00792B36" w:rsidRDefault="009A0A63" w:rsidP="00A24459">
            <w:pPr>
              <w:rPr>
                <w:rFonts w:eastAsia="Times New Roman"/>
                <w:sz w:val="24"/>
                <w:szCs w:val="24"/>
              </w:rPr>
            </w:pPr>
            <w:r w:rsidRPr="00792B36">
              <w:rPr>
                <w:rFonts w:eastAsia="Times New Roman"/>
                <w:sz w:val="24"/>
                <w:szCs w:val="24"/>
              </w:rPr>
              <w:t>Narathiwat</w:t>
            </w:r>
          </w:p>
        </w:tc>
        <w:tc>
          <w:tcPr>
            <w:tcW w:w="1416" w:type="dxa"/>
            <w:tcBorders>
              <w:bottom w:val="single" w:sz="4" w:space="0" w:color="auto"/>
            </w:tcBorders>
            <w:noWrap/>
            <w:vAlign w:val="center"/>
            <w:hideMark/>
          </w:tcPr>
          <w:p w14:paraId="1CB12110"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1,409.65</w:t>
            </w:r>
          </w:p>
        </w:tc>
        <w:tc>
          <w:tcPr>
            <w:tcW w:w="1304" w:type="dxa"/>
            <w:tcBorders>
              <w:bottom w:val="single" w:sz="4" w:space="0" w:color="auto"/>
            </w:tcBorders>
            <w:noWrap/>
            <w:vAlign w:val="center"/>
            <w:hideMark/>
          </w:tcPr>
          <w:p w14:paraId="524E3289"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1,477.90</w:t>
            </w:r>
          </w:p>
        </w:tc>
        <w:tc>
          <w:tcPr>
            <w:tcW w:w="1304" w:type="dxa"/>
            <w:tcBorders>
              <w:bottom w:val="single" w:sz="4" w:space="0" w:color="auto"/>
            </w:tcBorders>
            <w:noWrap/>
            <w:vAlign w:val="center"/>
            <w:hideMark/>
          </w:tcPr>
          <w:p w14:paraId="1CF595CD"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1,509.59</w:t>
            </w:r>
          </w:p>
        </w:tc>
        <w:tc>
          <w:tcPr>
            <w:tcW w:w="1304" w:type="dxa"/>
            <w:tcBorders>
              <w:bottom w:val="single" w:sz="4" w:space="0" w:color="auto"/>
            </w:tcBorders>
            <w:noWrap/>
            <w:vAlign w:val="center"/>
            <w:hideMark/>
          </w:tcPr>
          <w:p w14:paraId="14809FC2"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1,437.94</w:t>
            </w:r>
          </w:p>
        </w:tc>
        <w:tc>
          <w:tcPr>
            <w:tcW w:w="1304" w:type="dxa"/>
            <w:tcBorders>
              <w:bottom w:val="single" w:sz="4" w:space="0" w:color="auto"/>
            </w:tcBorders>
            <w:vAlign w:val="center"/>
          </w:tcPr>
          <w:p w14:paraId="257D977E"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1,044.99</w:t>
            </w:r>
          </w:p>
        </w:tc>
        <w:tc>
          <w:tcPr>
            <w:tcW w:w="1304" w:type="dxa"/>
            <w:tcBorders>
              <w:bottom w:val="single" w:sz="4" w:space="0" w:color="auto"/>
            </w:tcBorders>
            <w:vAlign w:val="center"/>
          </w:tcPr>
          <w:p w14:paraId="5E297139"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986.34</w:t>
            </w:r>
          </w:p>
        </w:tc>
        <w:tc>
          <w:tcPr>
            <w:tcW w:w="1304" w:type="dxa"/>
            <w:tcBorders>
              <w:bottom w:val="single" w:sz="4" w:space="0" w:color="auto"/>
            </w:tcBorders>
            <w:vAlign w:val="center"/>
          </w:tcPr>
          <w:p w14:paraId="76E9773D"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1,123.38</w:t>
            </w:r>
          </w:p>
        </w:tc>
        <w:tc>
          <w:tcPr>
            <w:tcW w:w="1304" w:type="dxa"/>
            <w:tcBorders>
              <w:bottom w:val="single" w:sz="4" w:space="0" w:color="auto"/>
            </w:tcBorders>
            <w:vAlign w:val="center"/>
          </w:tcPr>
          <w:p w14:paraId="75904FB3"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1,272.55</w:t>
            </w:r>
          </w:p>
        </w:tc>
      </w:tr>
      <w:tr w:rsidR="009A0A63" w:rsidRPr="00792B36" w14:paraId="5E18DBF5" w14:textId="77777777" w:rsidTr="00A24459">
        <w:trPr>
          <w:trHeight w:val="283"/>
          <w:jc w:val="center"/>
        </w:trPr>
        <w:tc>
          <w:tcPr>
            <w:tcW w:w="2405" w:type="dxa"/>
            <w:tcBorders>
              <w:top w:val="single" w:sz="4" w:space="0" w:color="auto"/>
              <w:bottom w:val="single" w:sz="4" w:space="0" w:color="auto"/>
            </w:tcBorders>
            <w:vAlign w:val="center"/>
            <w:hideMark/>
          </w:tcPr>
          <w:p w14:paraId="2A7DA2D2" w14:textId="77777777" w:rsidR="009A0A63" w:rsidRPr="00792B36" w:rsidRDefault="009A0A63" w:rsidP="00A24459">
            <w:pPr>
              <w:rPr>
                <w:rFonts w:eastAsia="Times New Roman"/>
                <w:b/>
                <w:bCs/>
                <w:color w:val="000000"/>
                <w:sz w:val="24"/>
                <w:szCs w:val="24"/>
              </w:rPr>
            </w:pPr>
            <w:r w:rsidRPr="00792B36">
              <w:rPr>
                <w:rFonts w:eastAsia="Times New Roman"/>
                <w:b/>
                <w:bCs/>
                <w:color w:val="000000"/>
                <w:sz w:val="24"/>
                <w:szCs w:val="24"/>
              </w:rPr>
              <w:t>Total</w:t>
            </w:r>
          </w:p>
        </w:tc>
        <w:tc>
          <w:tcPr>
            <w:tcW w:w="1416" w:type="dxa"/>
            <w:tcBorders>
              <w:top w:val="single" w:sz="4" w:space="0" w:color="auto"/>
              <w:bottom w:val="single" w:sz="4" w:space="0" w:color="auto"/>
            </w:tcBorders>
            <w:noWrap/>
            <w:vAlign w:val="center"/>
            <w:hideMark/>
          </w:tcPr>
          <w:p w14:paraId="30DC25E9" w14:textId="77777777" w:rsidR="009A0A63" w:rsidRPr="00792B36" w:rsidRDefault="009A0A63" w:rsidP="00A24459">
            <w:pPr>
              <w:jc w:val="center"/>
              <w:rPr>
                <w:rFonts w:eastAsia="Times New Roman"/>
                <w:b/>
                <w:bCs/>
                <w:color w:val="000000"/>
                <w:sz w:val="24"/>
                <w:szCs w:val="24"/>
              </w:rPr>
            </w:pPr>
            <w:r w:rsidRPr="00792B36">
              <w:rPr>
                <w:rFonts w:eastAsia="Times New Roman"/>
                <w:b/>
                <w:bCs/>
                <w:color w:val="000000"/>
                <w:sz w:val="24"/>
                <w:szCs w:val="24"/>
              </w:rPr>
              <w:t>507,126.59</w:t>
            </w:r>
          </w:p>
        </w:tc>
        <w:tc>
          <w:tcPr>
            <w:tcW w:w="1304" w:type="dxa"/>
            <w:tcBorders>
              <w:top w:val="single" w:sz="4" w:space="0" w:color="auto"/>
              <w:bottom w:val="single" w:sz="4" w:space="0" w:color="auto"/>
            </w:tcBorders>
            <w:noWrap/>
            <w:vAlign w:val="center"/>
            <w:hideMark/>
          </w:tcPr>
          <w:p w14:paraId="08A72A66" w14:textId="77777777" w:rsidR="009A0A63" w:rsidRPr="00792B36" w:rsidRDefault="009A0A63" w:rsidP="00A24459">
            <w:pPr>
              <w:jc w:val="center"/>
              <w:rPr>
                <w:rFonts w:eastAsia="Times New Roman"/>
                <w:b/>
                <w:bCs/>
                <w:color w:val="000000"/>
                <w:sz w:val="24"/>
                <w:szCs w:val="24"/>
              </w:rPr>
            </w:pPr>
            <w:r w:rsidRPr="00792B36">
              <w:rPr>
                <w:rFonts w:eastAsia="Times New Roman"/>
                <w:b/>
                <w:bCs/>
                <w:color w:val="000000"/>
                <w:sz w:val="24"/>
                <w:szCs w:val="24"/>
              </w:rPr>
              <w:t>440,829.50</w:t>
            </w:r>
          </w:p>
        </w:tc>
        <w:tc>
          <w:tcPr>
            <w:tcW w:w="1304" w:type="dxa"/>
            <w:tcBorders>
              <w:top w:val="single" w:sz="4" w:space="0" w:color="auto"/>
              <w:bottom w:val="single" w:sz="4" w:space="0" w:color="auto"/>
            </w:tcBorders>
            <w:noWrap/>
            <w:vAlign w:val="center"/>
            <w:hideMark/>
          </w:tcPr>
          <w:p w14:paraId="10123ADD" w14:textId="77777777" w:rsidR="009A0A63" w:rsidRPr="00792B36" w:rsidRDefault="009A0A63" w:rsidP="00A24459">
            <w:pPr>
              <w:jc w:val="center"/>
              <w:rPr>
                <w:rFonts w:eastAsia="Times New Roman"/>
                <w:b/>
                <w:bCs/>
                <w:color w:val="000000"/>
                <w:sz w:val="24"/>
                <w:szCs w:val="24"/>
              </w:rPr>
            </w:pPr>
            <w:r w:rsidRPr="00792B36">
              <w:rPr>
                <w:rFonts w:eastAsia="Times New Roman"/>
                <w:b/>
                <w:bCs/>
                <w:color w:val="000000"/>
                <w:sz w:val="24"/>
                <w:szCs w:val="24"/>
              </w:rPr>
              <w:t>448,674.12</w:t>
            </w:r>
          </w:p>
        </w:tc>
        <w:tc>
          <w:tcPr>
            <w:tcW w:w="1304" w:type="dxa"/>
            <w:tcBorders>
              <w:top w:val="single" w:sz="4" w:space="0" w:color="auto"/>
              <w:bottom w:val="single" w:sz="4" w:space="0" w:color="auto"/>
            </w:tcBorders>
            <w:noWrap/>
            <w:vAlign w:val="center"/>
            <w:hideMark/>
          </w:tcPr>
          <w:p w14:paraId="2668DF6B" w14:textId="77777777" w:rsidR="009A0A63" w:rsidRPr="00792B36" w:rsidRDefault="009A0A63" w:rsidP="00A24459">
            <w:pPr>
              <w:jc w:val="center"/>
              <w:rPr>
                <w:rFonts w:eastAsia="Times New Roman"/>
                <w:b/>
                <w:bCs/>
                <w:color w:val="000000"/>
                <w:sz w:val="24"/>
                <w:szCs w:val="24"/>
              </w:rPr>
            </w:pPr>
            <w:r w:rsidRPr="00792B36">
              <w:rPr>
                <w:rFonts w:eastAsia="Times New Roman"/>
                <w:b/>
                <w:bCs/>
                <w:color w:val="000000"/>
                <w:sz w:val="24"/>
                <w:szCs w:val="24"/>
              </w:rPr>
              <w:t>478,086.14</w:t>
            </w:r>
          </w:p>
        </w:tc>
        <w:tc>
          <w:tcPr>
            <w:tcW w:w="1304" w:type="dxa"/>
            <w:tcBorders>
              <w:top w:val="single" w:sz="4" w:space="0" w:color="auto"/>
              <w:bottom w:val="single" w:sz="4" w:space="0" w:color="auto"/>
            </w:tcBorders>
            <w:vAlign w:val="center"/>
          </w:tcPr>
          <w:p w14:paraId="204FC904" w14:textId="77777777" w:rsidR="009A0A63" w:rsidRPr="00792B36" w:rsidRDefault="009A0A63" w:rsidP="00A24459">
            <w:pPr>
              <w:jc w:val="center"/>
              <w:rPr>
                <w:rFonts w:eastAsia="Times New Roman"/>
                <w:b/>
                <w:bCs/>
                <w:color w:val="000000"/>
                <w:sz w:val="24"/>
                <w:szCs w:val="24"/>
              </w:rPr>
            </w:pPr>
            <w:r w:rsidRPr="00792B36">
              <w:rPr>
                <w:rFonts w:eastAsia="Times New Roman"/>
                <w:b/>
                <w:bCs/>
                <w:color w:val="000000"/>
                <w:sz w:val="24"/>
                <w:szCs w:val="24"/>
              </w:rPr>
              <w:t>513,074.18</w:t>
            </w:r>
          </w:p>
        </w:tc>
        <w:tc>
          <w:tcPr>
            <w:tcW w:w="1304" w:type="dxa"/>
            <w:tcBorders>
              <w:top w:val="single" w:sz="4" w:space="0" w:color="auto"/>
              <w:bottom w:val="single" w:sz="4" w:space="0" w:color="auto"/>
            </w:tcBorders>
            <w:vAlign w:val="center"/>
          </w:tcPr>
          <w:p w14:paraId="2FDF5A52" w14:textId="77777777" w:rsidR="009A0A63" w:rsidRPr="00792B36" w:rsidRDefault="009A0A63" w:rsidP="00A24459">
            <w:pPr>
              <w:jc w:val="center"/>
              <w:rPr>
                <w:rFonts w:eastAsia="Times New Roman"/>
                <w:b/>
                <w:bCs/>
                <w:color w:val="000000"/>
                <w:sz w:val="24"/>
                <w:szCs w:val="24"/>
              </w:rPr>
            </w:pPr>
            <w:r w:rsidRPr="00792B36">
              <w:rPr>
                <w:rFonts w:eastAsia="Times New Roman"/>
                <w:b/>
                <w:bCs/>
                <w:color w:val="000000"/>
                <w:sz w:val="24"/>
                <w:szCs w:val="24"/>
              </w:rPr>
              <w:t>485,222.12</w:t>
            </w:r>
          </w:p>
        </w:tc>
        <w:tc>
          <w:tcPr>
            <w:tcW w:w="1304" w:type="dxa"/>
            <w:tcBorders>
              <w:top w:val="single" w:sz="4" w:space="0" w:color="auto"/>
              <w:bottom w:val="single" w:sz="4" w:space="0" w:color="auto"/>
            </w:tcBorders>
            <w:vAlign w:val="center"/>
          </w:tcPr>
          <w:p w14:paraId="2698DAA6" w14:textId="77777777" w:rsidR="009A0A63" w:rsidRPr="00792B36" w:rsidRDefault="009A0A63" w:rsidP="00A24459">
            <w:pPr>
              <w:jc w:val="center"/>
              <w:rPr>
                <w:rFonts w:eastAsia="Times New Roman"/>
                <w:b/>
                <w:bCs/>
                <w:color w:val="000000"/>
                <w:sz w:val="24"/>
                <w:szCs w:val="24"/>
              </w:rPr>
            </w:pPr>
            <w:r w:rsidRPr="00792B36">
              <w:rPr>
                <w:rFonts w:eastAsia="Times New Roman"/>
                <w:b/>
                <w:bCs/>
                <w:color w:val="000000"/>
                <w:sz w:val="24"/>
                <w:szCs w:val="24"/>
              </w:rPr>
              <w:t>479,249.99</w:t>
            </w:r>
          </w:p>
        </w:tc>
        <w:tc>
          <w:tcPr>
            <w:tcW w:w="1304" w:type="dxa"/>
            <w:tcBorders>
              <w:top w:val="single" w:sz="4" w:space="0" w:color="auto"/>
              <w:bottom w:val="single" w:sz="4" w:space="0" w:color="auto"/>
            </w:tcBorders>
            <w:vAlign w:val="center"/>
          </w:tcPr>
          <w:p w14:paraId="5108EA7F" w14:textId="77777777" w:rsidR="009A0A63" w:rsidRPr="00792B36" w:rsidRDefault="009A0A63" w:rsidP="00A24459">
            <w:pPr>
              <w:jc w:val="center"/>
              <w:rPr>
                <w:rFonts w:eastAsia="Times New Roman"/>
                <w:b/>
                <w:bCs/>
                <w:color w:val="000000"/>
                <w:sz w:val="24"/>
                <w:szCs w:val="24"/>
              </w:rPr>
            </w:pPr>
            <w:r w:rsidRPr="00792B36">
              <w:rPr>
                <w:rFonts w:eastAsia="Times New Roman"/>
                <w:b/>
                <w:bCs/>
                <w:color w:val="000000"/>
                <w:sz w:val="24"/>
                <w:szCs w:val="24"/>
              </w:rPr>
              <w:t>496,446.64</w:t>
            </w:r>
          </w:p>
        </w:tc>
      </w:tr>
    </w:tbl>
    <w:p w14:paraId="7ABB2D54" w14:textId="77777777" w:rsidR="009A0A63" w:rsidRPr="00792B36" w:rsidRDefault="009A0A63" w:rsidP="009A0A63">
      <w:pPr>
        <w:ind w:left="851" w:hanging="851"/>
        <w:jc w:val="thaiDistribute"/>
        <w:rPr>
          <w:b/>
          <w:bCs/>
          <w:sz w:val="24"/>
          <w:szCs w:val="24"/>
        </w:rPr>
      </w:pPr>
    </w:p>
    <w:p w14:paraId="79C6DBDC" w14:textId="77777777" w:rsidR="009A0A63" w:rsidRPr="00792B36" w:rsidRDefault="009A0A63" w:rsidP="009A0A63">
      <w:pPr>
        <w:ind w:left="851" w:hanging="851"/>
        <w:jc w:val="thaiDistribute"/>
        <w:rPr>
          <w:b/>
          <w:bCs/>
          <w:sz w:val="24"/>
          <w:szCs w:val="24"/>
        </w:rPr>
      </w:pPr>
    </w:p>
    <w:p w14:paraId="5CED79C9" w14:textId="77777777" w:rsidR="009A0A63" w:rsidRPr="00792B36" w:rsidRDefault="009A0A63" w:rsidP="009A0A63">
      <w:pPr>
        <w:ind w:left="851" w:hanging="851"/>
        <w:jc w:val="thaiDistribute"/>
        <w:rPr>
          <w:b/>
          <w:bCs/>
          <w:sz w:val="24"/>
          <w:szCs w:val="24"/>
        </w:rPr>
      </w:pPr>
    </w:p>
    <w:p w14:paraId="1D65FF65" w14:textId="77777777" w:rsidR="009A0A63" w:rsidRPr="00792B36" w:rsidRDefault="009A0A63" w:rsidP="009A0A63">
      <w:pPr>
        <w:ind w:left="851" w:hanging="851"/>
        <w:jc w:val="thaiDistribute"/>
        <w:rPr>
          <w:b/>
          <w:bCs/>
          <w:sz w:val="24"/>
          <w:szCs w:val="24"/>
        </w:rPr>
      </w:pPr>
    </w:p>
    <w:p w14:paraId="6D038454" w14:textId="77777777" w:rsidR="009A0A63" w:rsidRPr="00792B36" w:rsidRDefault="009A0A63" w:rsidP="009A0A63">
      <w:pPr>
        <w:ind w:left="851" w:hanging="851"/>
        <w:jc w:val="thaiDistribute"/>
        <w:rPr>
          <w:b/>
          <w:bCs/>
          <w:sz w:val="24"/>
          <w:szCs w:val="24"/>
        </w:rPr>
      </w:pPr>
    </w:p>
    <w:p w14:paraId="3AF88506" w14:textId="77777777" w:rsidR="009A0A63" w:rsidRPr="00792B36" w:rsidRDefault="009A0A63" w:rsidP="009A0A63">
      <w:pPr>
        <w:ind w:left="851" w:hanging="851"/>
        <w:jc w:val="thaiDistribute"/>
        <w:rPr>
          <w:b/>
          <w:bCs/>
          <w:sz w:val="24"/>
          <w:szCs w:val="24"/>
        </w:rPr>
      </w:pPr>
    </w:p>
    <w:p w14:paraId="6B14106B" w14:textId="77777777" w:rsidR="009A0A63" w:rsidRPr="00792B36" w:rsidRDefault="009A0A63" w:rsidP="009A0A63">
      <w:pPr>
        <w:ind w:left="851" w:hanging="851"/>
        <w:jc w:val="thaiDistribute"/>
        <w:rPr>
          <w:b/>
          <w:bCs/>
          <w:sz w:val="24"/>
          <w:szCs w:val="24"/>
        </w:rPr>
      </w:pPr>
    </w:p>
    <w:p w14:paraId="7BC6BF85" w14:textId="77777777" w:rsidR="009A0A63" w:rsidRPr="00792B36" w:rsidRDefault="009A0A63" w:rsidP="009A0A63">
      <w:pPr>
        <w:ind w:left="851" w:hanging="851"/>
        <w:jc w:val="thaiDistribute"/>
        <w:rPr>
          <w:b/>
          <w:bCs/>
          <w:sz w:val="24"/>
          <w:szCs w:val="24"/>
        </w:rPr>
      </w:pPr>
    </w:p>
    <w:p w14:paraId="12AE4BAD" w14:textId="77777777" w:rsidR="009A0A63" w:rsidRPr="00792B36" w:rsidRDefault="009A0A63" w:rsidP="009A0A63">
      <w:pPr>
        <w:ind w:left="851" w:hanging="851"/>
        <w:jc w:val="thaiDistribute"/>
        <w:rPr>
          <w:b/>
          <w:bCs/>
          <w:sz w:val="24"/>
          <w:szCs w:val="24"/>
        </w:rPr>
      </w:pPr>
    </w:p>
    <w:p w14:paraId="4399F727" w14:textId="77777777" w:rsidR="009A0A63" w:rsidRPr="00792B36" w:rsidRDefault="009A0A63" w:rsidP="009A0A63">
      <w:pPr>
        <w:ind w:left="851" w:hanging="851"/>
        <w:jc w:val="thaiDistribute"/>
        <w:rPr>
          <w:b/>
          <w:bCs/>
          <w:sz w:val="24"/>
          <w:szCs w:val="24"/>
        </w:rPr>
      </w:pPr>
    </w:p>
    <w:p w14:paraId="04AB5BB4" w14:textId="77777777" w:rsidR="009A0A63" w:rsidRPr="00792B36" w:rsidRDefault="009A0A63" w:rsidP="009A0A63">
      <w:pPr>
        <w:ind w:left="784" w:hanging="784"/>
        <w:jc w:val="thaiDistribute"/>
        <w:rPr>
          <w:b/>
          <w:bCs/>
          <w:sz w:val="24"/>
          <w:szCs w:val="24"/>
        </w:rPr>
      </w:pPr>
    </w:p>
    <w:tbl>
      <w:tblPr>
        <w:tblStyle w:val="TableGrid"/>
        <w:tblW w:w="0" w:type="auto"/>
        <w:tblInd w:w="-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30"/>
        <w:gridCol w:w="10875"/>
      </w:tblGrid>
      <w:tr w:rsidR="009A0A63" w:rsidRPr="00792B36" w14:paraId="51798DCD" w14:textId="77777777" w:rsidTr="00A24459">
        <w:tc>
          <w:tcPr>
            <w:tcW w:w="2030" w:type="dxa"/>
          </w:tcPr>
          <w:p w14:paraId="3CE9B546" w14:textId="77777777" w:rsidR="009A0A63" w:rsidRPr="00792B36" w:rsidRDefault="009A0A63" w:rsidP="00A24459">
            <w:pPr>
              <w:rPr>
                <w:sz w:val="24"/>
                <w:szCs w:val="24"/>
              </w:rPr>
            </w:pPr>
            <w:r w:rsidRPr="00792B36">
              <w:rPr>
                <w:b/>
                <w:bCs/>
                <w:sz w:val="24"/>
                <w:szCs w:val="24"/>
              </w:rPr>
              <w:t>Appendix Table 4</w:t>
            </w:r>
          </w:p>
        </w:tc>
        <w:tc>
          <w:tcPr>
            <w:tcW w:w="10875" w:type="dxa"/>
          </w:tcPr>
          <w:p w14:paraId="6CDC10B3" w14:textId="77777777" w:rsidR="009A0A63" w:rsidRPr="00792B36" w:rsidRDefault="009A0A63" w:rsidP="00A24459">
            <w:pPr>
              <w:ind w:left="-13"/>
              <w:rPr>
                <w:sz w:val="24"/>
                <w:szCs w:val="24"/>
              </w:rPr>
            </w:pPr>
            <w:r w:rsidRPr="00792B36">
              <w:rPr>
                <w:sz w:val="24"/>
                <w:szCs w:val="24"/>
              </w:rPr>
              <w:t xml:space="preserve">Number of fishing license by types of fishing gear issued to commercial fishing vessels </w:t>
            </w:r>
            <w:r w:rsidRPr="00792B36">
              <w:rPr>
                <w:rFonts w:eastAsia="Times New Roman"/>
                <w:spacing w:val="-2"/>
                <w:sz w:val="24"/>
                <w:szCs w:val="24"/>
              </w:rPr>
              <w:t>in the coastal provinces along</w:t>
            </w:r>
            <w:r w:rsidRPr="00792B36">
              <w:rPr>
                <w:rFonts w:eastAsia="Times New Roman"/>
                <w:sz w:val="24"/>
                <w:szCs w:val="24"/>
              </w:rPr>
              <w:t xml:space="preserve"> the Gulf of Thailand between 2016 and 2024</w:t>
            </w:r>
          </w:p>
        </w:tc>
      </w:tr>
    </w:tbl>
    <w:p w14:paraId="3F41C52B" w14:textId="77777777" w:rsidR="009A0A63" w:rsidRPr="00792B36" w:rsidRDefault="009A0A63" w:rsidP="009A0A63">
      <w:pPr>
        <w:rPr>
          <w:sz w:val="24"/>
          <w:szCs w:val="24"/>
        </w:rPr>
      </w:pPr>
    </w:p>
    <w:tbl>
      <w:tblPr>
        <w:tblStyle w:val="TableGrid"/>
        <w:tblW w:w="1277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569"/>
        <w:gridCol w:w="1134"/>
        <w:gridCol w:w="1134"/>
        <w:gridCol w:w="1134"/>
        <w:gridCol w:w="1134"/>
        <w:gridCol w:w="1134"/>
        <w:gridCol w:w="1134"/>
        <w:gridCol w:w="1134"/>
        <w:gridCol w:w="1134"/>
        <w:gridCol w:w="1134"/>
      </w:tblGrid>
      <w:tr w:rsidR="009A0A63" w:rsidRPr="00792B36" w14:paraId="01E90952" w14:textId="77777777" w:rsidTr="00A24459">
        <w:trPr>
          <w:trHeight w:val="283"/>
        </w:trPr>
        <w:tc>
          <w:tcPr>
            <w:tcW w:w="2569" w:type="dxa"/>
            <w:tcBorders>
              <w:top w:val="single" w:sz="4" w:space="0" w:color="auto"/>
              <w:bottom w:val="single" w:sz="4" w:space="0" w:color="auto"/>
            </w:tcBorders>
            <w:vAlign w:val="center"/>
          </w:tcPr>
          <w:p w14:paraId="5935D856" w14:textId="77777777" w:rsidR="009A0A63" w:rsidRPr="00792B36" w:rsidRDefault="009A0A63" w:rsidP="00A24459">
            <w:pPr>
              <w:jc w:val="center"/>
              <w:rPr>
                <w:sz w:val="24"/>
                <w:szCs w:val="24"/>
              </w:rPr>
            </w:pPr>
            <w:r w:rsidRPr="00792B36">
              <w:rPr>
                <w:rFonts w:eastAsia="Times New Roman"/>
                <w:b/>
                <w:bCs/>
                <w:color w:val="000000"/>
                <w:sz w:val="24"/>
                <w:szCs w:val="24"/>
              </w:rPr>
              <w:t>Type of fishing gear</w:t>
            </w:r>
          </w:p>
        </w:tc>
        <w:tc>
          <w:tcPr>
            <w:tcW w:w="1134" w:type="dxa"/>
            <w:tcBorders>
              <w:top w:val="single" w:sz="4" w:space="0" w:color="auto"/>
              <w:bottom w:val="single" w:sz="4" w:space="0" w:color="auto"/>
            </w:tcBorders>
            <w:vAlign w:val="bottom"/>
          </w:tcPr>
          <w:p w14:paraId="01B953A8" w14:textId="77777777" w:rsidR="009A0A63" w:rsidRPr="00792B36" w:rsidRDefault="009A0A63" w:rsidP="00A24459">
            <w:pPr>
              <w:jc w:val="center"/>
              <w:rPr>
                <w:b/>
                <w:bCs/>
                <w:sz w:val="24"/>
                <w:szCs w:val="24"/>
              </w:rPr>
            </w:pPr>
            <w:r w:rsidRPr="00792B36">
              <w:rPr>
                <w:b/>
                <w:bCs/>
                <w:color w:val="000000"/>
                <w:sz w:val="24"/>
                <w:szCs w:val="24"/>
              </w:rPr>
              <w:t>2016</w:t>
            </w:r>
          </w:p>
        </w:tc>
        <w:tc>
          <w:tcPr>
            <w:tcW w:w="1134" w:type="dxa"/>
            <w:tcBorders>
              <w:top w:val="single" w:sz="4" w:space="0" w:color="auto"/>
              <w:bottom w:val="single" w:sz="4" w:space="0" w:color="auto"/>
            </w:tcBorders>
            <w:vAlign w:val="bottom"/>
          </w:tcPr>
          <w:p w14:paraId="3DCB0389" w14:textId="77777777" w:rsidR="009A0A63" w:rsidRPr="00792B36" w:rsidRDefault="009A0A63" w:rsidP="00A24459">
            <w:pPr>
              <w:jc w:val="center"/>
              <w:rPr>
                <w:b/>
                <w:bCs/>
                <w:sz w:val="24"/>
                <w:szCs w:val="24"/>
              </w:rPr>
            </w:pPr>
            <w:r w:rsidRPr="00792B36">
              <w:rPr>
                <w:b/>
                <w:bCs/>
                <w:color w:val="000000"/>
                <w:sz w:val="24"/>
                <w:szCs w:val="24"/>
              </w:rPr>
              <w:t>2017</w:t>
            </w:r>
          </w:p>
        </w:tc>
        <w:tc>
          <w:tcPr>
            <w:tcW w:w="1134" w:type="dxa"/>
            <w:tcBorders>
              <w:top w:val="single" w:sz="4" w:space="0" w:color="auto"/>
              <w:bottom w:val="single" w:sz="4" w:space="0" w:color="auto"/>
            </w:tcBorders>
            <w:vAlign w:val="bottom"/>
          </w:tcPr>
          <w:p w14:paraId="30537EC2" w14:textId="77777777" w:rsidR="009A0A63" w:rsidRPr="00792B36" w:rsidRDefault="009A0A63" w:rsidP="00A24459">
            <w:pPr>
              <w:jc w:val="center"/>
              <w:rPr>
                <w:b/>
                <w:bCs/>
                <w:sz w:val="24"/>
                <w:szCs w:val="24"/>
              </w:rPr>
            </w:pPr>
            <w:r w:rsidRPr="00792B36">
              <w:rPr>
                <w:b/>
                <w:bCs/>
                <w:color w:val="000000"/>
                <w:sz w:val="24"/>
                <w:szCs w:val="24"/>
              </w:rPr>
              <w:t>2018</w:t>
            </w:r>
          </w:p>
        </w:tc>
        <w:tc>
          <w:tcPr>
            <w:tcW w:w="1134" w:type="dxa"/>
            <w:tcBorders>
              <w:top w:val="single" w:sz="4" w:space="0" w:color="auto"/>
              <w:bottom w:val="single" w:sz="4" w:space="0" w:color="auto"/>
            </w:tcBorders>
            <w:vAlign w:val="bottom"/>
          </w:tcPr>
          <w:p w14:paraId="0E3296BF" w14:textId="77777777" w:rsidR="009A0A63" w:rsidRPr="00792B36" w:rsidRDefault="009A0A63" w:rsidP="00A24459">
            <w:pPr>
              <w:jc w:val="center"/>
              <w:rPr>
                <w:b/>
                <w:bCs/>
                <w:sz w:val="24"/>
                <w:szCs w:val="24"/>
              </w:rPr>
            </w:pPr>
            <w:r w:rsidRPr="00792B36">
              <w:rPr>
                <w:b/>
                <w:bCs/>
                <w:color w:val="000000"/>
                <w:sz w:val="24"/>
                <w:szCs w:val="24"/>
              </w:rPr>
              <w:t>2019</w:t>
            </w:r>
          </w:p>
        </w:tc>
        <w:tc>
          <w:tcPr>
            <w:tcW w:w="1134" w:type="dxa"/>
            <w:tcBorders>
              <w:top w:val="single" w:sz="4" w:space="0" w:color="auto"/>
              <w:bottom w:val="single" w:sz="4" w:space="0" w:color="auto"/>
            </w:tcBorders>
            <w:vAlign w:val="bottom"/>
          </w:tcPr>
          <w:p w14:paraId="45CDCEB1" w14:textId="77777777" w:rsidR="009A0A63" w:rsidRPr="00792B36" w:rsidRDefault="009A0A63" w:rsidP="00A24459">
            <w:pPr>
              <w:jc w:val="center"/>
              <w:rPr>
                <w:b/>
                <w:bCs/>
                <w:sz w:val="24"/>
                <w:szCs w:val="24"/>
              </w:rPr>
            </w:pPr>
            <w:r w:rsidRPr="00792B36">
              <w:rPr>
                <w:b/>
                <w:bCs/>
                <w:color w:val="000000"/>
                <w:sz w:val="24"/>
                <w:szCs w:val="24"/>
              </w:rPr>
              <w:t>2020</w:t>
            </w:r>
          </w:p>
        </w:tc>
        <w:tc>
          <w:tcPr>
            <w:tcW w:w="1134" w:type="dxa"/>
            <w:tcBorders>
              <w:top w:val="single" w:sz="4" w:space="0" w:color="auto"/>
              <w:bottom w:val="single" w:sz="4" w:space="0" w:color="auto"/>
            </w:tcBorders>
            <w:vAlign w:val="bottom"/>
          </w:tcPr>
          <w:p w14:paraId="037F23B6" w14:textId="77777777" w:rsidR="009A0A63" w:rsidRPr="00792B36" w:rsidRDefault="009A0A63" w:rsidP="00A24459">
            <w:pPr>
              <w:jc w:val="center"/>
              <w:rPr>
                <w:b/>
                <w:bCs/>
                <w:color w:val="000000"/>
                <w:sz w:val="24"/>
                <w:szCs w:val="24"/>
              </w:rPr>
            </w:pPr>
            <w:r w:rsidRPr="00792B36">
              <w:rPr>
                <w:b/>
                <w:bCs/>
                <w:sz w:val="24"/>
                <w:szCs w:val="24"/>
              </w:rPr>
              <w:t>2021</w:t>
            </w:r>
          </w:p>
        </w:tc>
        <w:tc>
          <w:tcPr>
            <w:tcW w:w="1134" w:type="dxa"/>
            <w:tcBorders>
              <w:top w:val="single" w:sz="4" w:space="0" w:color="auto"/>
              <w:bottom w:val="single" w:sz="4" w:space="0" w:color="auto"/>
            </w:tcBorders>
            <w:vAlign w:val="bottom"/>
          </w:tcPr>
          <w:p w14:paraId="3F89B491" w14:textId="77777777" w:rsidR="009A0A63" w:rsidRPr="00792B36" w:rsidRDefault="009A0A63" w:rsidP="00A24459">
            <w:pPr>
              <w:jc w:val="center"/>
              <w:rPr>
                <w:b/>
                <w:bCs/>
                <w:color w:val="000000"/>
                <w:sz w:val="24"/>
                <w:szCs w:val="24"/>
              </w:rPr>
            </w:pPr>
            <w:r w:rsidRPr="00792B36">
              <w:rPr>
                <w:b/>
                <w:bCs/>
                <w:sz w:val="24"/>
                <w:szCs w:val="24"/>
              </w:rPr>
              <w:t>2022</w:t>
            </w:r>
          </w:p>
        </w:tc>
        <w:tc>
          <w:tcPr>
            <w:tcW w:w="1134" w:type="dxa"/>
            <w:tcBorders>
              <w:top w:val="single" w:sz="4" w:space="0" w:color="auto"/>
              <w:bottom w:val="single" w:sz="4" w:space="0" w:color="auto"/>
            </w:tcBorders>
            <w:vAlign w:val="bottom"/>
          </w:tcPr>
          <w:p w14:paraId="20E0E20A" w14:textId="77777777" w:rsidR="009A0A63" w:rsidRPr="00792B36" w:rsidRDefault="009A0A63" w:rsidP="00A24459">
            <w:pPr>
              <w:jc w:val="center"/>
              <w:rPr>
                <w:b/>
                <w:bCs/>
                <w:color w:val="000000"/>
                <w:sz w:val="24"/>
                <w:szCs w:val="24"/>
              </w:rPr>
            </w:pPr>
            <w:r w:rsidRPr="00792B36">
              <w:rPr>
                <w:b/>
                <w:bCs/>
                <w:sz w:val="24"/>
                <w:szCs w:val="24"/>
              </w:rPr>
              <w:t>2023</w:t>
            </w:r>
          </w:p>
        </w:tc>
        <w:tc>
          <w:tcPr>
            <w:tcW w:w="1134" w:type="dxa"/>
            <w:tcBorders>
              <w:top w:val="single" w:sz="4" w:space="0" w:color="auto"/>
              <w:bottom w:val="single" w:sz="4" w:space="0" w:color="auto"/>
            </w:tcBorders>
            <w:vAlign w:val="bottom"/>
          </w:tcPr>
          <w:p w14:paraId="6E4C586C" w14:textId="77777777" w:rsidR="009A0A63" w:rsidRPr="00792B36" w:rsidRDefault="009A0A63" w:rsidP="00A24459">
            <w:pPr>
              <w:jc w:val="center"/>
              <w:rPr>
                <w:b/>
                <w:bCs/>
                <w:color w:val="000000"/>
                <w:sz w:val="24"/>
                <w:szCs w:val="24"/>
              </w:rPr>
            </w:pPr>
            <w:r w:rsidRPr="00792B36">
              <w:rPr>
                <w:b/>
                <w:bCs/>
                <w:sz w:val="24"/>
                <w:szCs w:val="24"/>
              </w:rPr>
              <w:t>2024</w:t>
            </w:r>
          </w:p>
        </w:tc>
      </w:tr>
      <w:tr w:rsidR="009A0A63" w:rsidRPr="00792B36" w14:paraId="183091F0" w14:textId="77777777" w:rsidTr="00A24459">
        <w:trPr>
          <w:trHeight w:val="283"/>
        </w:trPr>
        <w:tc>
          <w:tcPr>
            <w:tcW w:w="2569" w:type="dxa"/>
            <w:tcBorders>
              <w:top w:val="single" w:sz="4" w:space="0" w:color="auto"/>
            </w:tcBorders>
            <w:vAlign w:val="center"/>
          </w:tcPr>
          <w:p w14:paraId="6417396C" w14:textId="77777777" w:rsidR="009A0A63" w:rsidRPr="00792B36" w:rsidRDefault="009A0A63" w:rsidP="00A24459">
            <w:pPr>
              <w:jc w:val="thaiDistribute"/>
              <w:rPr>
                <w:sz w:val="24"/>
                <w:szCs w:val="24"/>
              </w:rPr>
            </w:pPr>
            <w:r w:rsidRPr="00792B36">
              <w:rPr>
                <w:sz w:val="24"/>
                <w:szCs w:val="24"/>
              </w:rPr>
              <w:t>Trawls</w:t>
            </w:r>
          </w:p>
        </w:tc>
        <w:tc>
          <w:tcPr>
            <w:tcW w:w="1134" w:type="dxa"/>
            <w:tcBorders>
              <w:top w:val="single" w:sz="4" w:space="0" w:color="auto"/>
            </w:tcBorders>
          </w:tcPr>
          <w:p w14:paraId="6A02CBA3" w14:textId="77777777" w:rsidR="009A0A63" w:rsidRPr="00792B36" w:rsidRDefault="009A0A63" w:rsidP="00A24459">
            <w:pPr>
              <w:jc w:val="center"/>
              <w:rPr>
                <w:sz w:val="24"/>
                <w:szCs w:val="24"/>
              </w:rPr>
            </w:pPr>
            <w:r w:rsidRPr="00792B36">
              <w:rPr>
                <w:sz w:val="24"/>
                <w:szCs w:val="24"/>
                <w:cs/>
              </w:rPr>
              <w:t>3,087</w:t>
            </w:r>
          </w:p>
        </w:tc>
        <w:tc>
          <w:tcPr>
            <w:tcW w:w="1134" w:type="dxa"/>
            <w:tcBorders>
              <w:top w:val="single" w:sz="4" w:space="0" w:color="auto"/>
            </w:tcBorders>
          </w:tcPr>
          <w:p w14:paraId="084B102C" w14:textId="77777777" w:rsidR="009A0A63" w:rsidRPr="00792B36" w:rsidRDefault="009A0A63" w:rsidP="00A24459">
            <w:pPr>
              <w:jc w:val="center"/>
              <w:rPr>
                <w:sz w:val="24"/>
                <w:szCs w:val="24"/>
              </w:rPr>
            </w:pPr>
            <w:r w:rsidRPr="00792B36">
              <w:rPr>
                <w:sz w:val="24"/>
                <w:szCs w:val="24"/>
                <w:cs/>
              </w:rPr>
              <w:t>3,043</w:t>
            </w:r>
          </w:p>
        </w:tc>
        <w:tc>
          <w:tcPr>
            <w:tcW w:w="1134" w:type="dxa"/>
            <w:tcBorders>
              <w:top w:val="single" w:sz="4" w:space="0" w:color="auto"/>
            </w:tcBorders>
          </w:tcPr>
          <w:p w14:paraId="42B8274D" w14:textId="77777777" w:rsidR="009A0A63" w:rsidRPr="00792B36" w:rsidRDefault="009A0A63" w:rsidP="00A24459">
            <w:pPr>
              <w:jc w:val="center"/>
              <w:rPr>
                <w:sz w:val="24"/>
                <w:szCs w:val="24"/>
              </w:rPr>
            </w:pPr>
            <w:r w:rsidRPr="00792B36">
              <w:rPr>
                <w:sz w:val="24"/>
                <w:szCs w:val="24"/>
                <w:cs/>
              </w:rPr>
              <w:t>2,975</w:t>
            </w:r>
          </w:p>
        </w:tc>
        <w:tc>
          <w:tcPr>
            <w:tcW w:w="1134" w:type="dxa"/>
            <w:tcBorders>
              <w:top w:val="single" w:sz="4" w:space="0" w:color="auto"/>
            </w:tcBorders>
          </w:tcPr>
          <w:p w14:paraId="2DC87B1B" w14:textId="77777777" w:rsidR="009A0A63" w:rsidRPr="00792B36" w:rsidRDefault="009A0A63" w:rsidP="00A24459">
            <w:pPr>
              <w:jc w:val="center"/>
              <w:rPr>
                <w:sz w:val="24"/>
                <w:szCs w:val="24"/>
              </w:rPr>
            </w:pPr>
            <w:r w:rsidRPr="00792B36">
              <w:rPr>
                <w:sz w:val="24"/>
                <w:szCs w:val="24"/>
                <w:cs/>
              </w:rPr>
              <w:t>2,965</w:t>
            </w:r>
          </w:p>
        </w:tc>
        <w:tc>
          <w:tcPr>
            <w:tcW w:w="1134" w:type="dxa"/>
            <w:tcBorders>
              <w:top w:val="single" w:sz="4" w:space="0" w:color="auto"/>
            </w:tcBorders>
          </w:tcPr>
          <w:p w14:paraId="7F27953E" w14:textId="77777777" w:rsidR="009A0A63" w:rsidRPr="00792B36" w:rsidRDefault="009A0A63" w:rsidP="00A24459">
            <w:pPr>
              <w:jc w:val="center"/>
              <w:rPr>
                <w:sz w:val="24"/>
                <w:szCs w:val="24"/>
              </w:rPr>
            </w:pPr>
            <w:r w:rsidRPr="00792B36">
              <w:rPr>
                <w:sz w:val="24"/>
                <w:szCs w:val="24"/>
                <w:cs/>
              </w:rPr>
              <w:t>2,925</w:t>
            </w:r>
          </w:p>
        </w:tc>
        <w:tc>
          <w:tcPr>
            <w:tcW w:w="1134" w:type="dxa"/>
            <w:tcBorders>
              <w:top w:val="single" w:sz="4" w:space="0" w:color="auto"/>
            </w:tcBorders>
          </w:tcPr>
          <w:p w14:paraId="2C9574F2" w14:textId="77777777" w:rsidR="009A0A63" w:rsidRPr="00792B36" w:rsidRDefault="009A0A63" w:rsidP="00A24459">
            <w:pPr>
              <w:jc w:val="center"/>
              <w:rPr>
                <w:sz w:val="24"/>
                <w:szCs w:val="24"/>
                <w:cs/>
              </w:rPr>
            </w:pPr>
            <w:r w:rsidRPr="00792B36">
              <w:rPr>
                <w:sz w:val="24"/>
                <w:szCs w:val="24"/>
                <w:cs/>
              </w:rPr>
              <w:t>2,745</w:t>
            </w:r>
          </w:p>
        </w:tc>
        <w:tc>
          <w:tcPr>
            <w:tcW w:w="1134" w:type="dxa"/>
            <w:tcBorders>
              <w:top w:val="single" w:sz="4" w:space="0" w:color="auto"/>
            </w:tcBorders>
          </w:tcPr>
          <w:p w14:paraId="7CB42055" w14:textId="77777777" w:rsidR="009A0A63" w:rsidRPr="00792B36" w:rsidRDefault="009A0A63" w:rsidP="00A24459">
            <w:pPr>
              <w:jc w:val="center"/>
              <w:rPr>
                <w:sz w:val="24"/>
                <w:szCs w:val="24"/>
                <w:cs/>
              </w:rPr>
            </w:pPr>
            <w:r w:rsidRPr="00792B36">
              <w:rPr>
                <w:sz w:val="24"/>
                <w:szCs w:val="24"/>
                <w:cs/>
              </w:rPr>
              <w:t>2,592</w:t>
            </w:r>
          </w:p>
        </w:tc>
        <w:tc>
          <w:tcPr>
            <w:tcW w:w="1134" w:type="dxa"/>
            <w:tcBorders>
              <w:top w:val="single" w:sz="4" w:space="0" w:color="auto"/>
            </w:tcBorders>
          </w:tcPr>
          <w:p w14:paraId="25495477" w14:textId="77777777" w:rsidR="009A0A63" w:rsidRPr="00792B36" w:rsidRDefault="009A0A63" w:rsidP="00A24459">
            <w:pPr>
              <w:jc w:val="center"/>
              <w:rPr>
                <w:sz w:val="24"/>
                <w:szCs w:val="24"/>
                <w:cs/>
              </w:rPr>
            </w:pPr>
            <w:r w:rsidRPr="00792B36">
              <w:rPr>
                <w:sz w:val="24"/>
                <w:szCs w:val="24"/>
                <w:cs/>
              </w:rPr>
              <w:t>2,540</w:t>
            </w:r>
          </w:p>
        </w:tc>
        <w:tc>
          <w:tcPr>
            <w:tcW w:w="1134" w:type="dxa"/>
            <w:tcBorders>
              <w:top w:val="single" w:sz="4" w:space="0" w:color="auto"/>
            </w:tcBorders>
          </w:tcPr>
          <w:p w14:paraId="093A2F2D" w14:textId="77777777" w:rsidR="009A0A63" w:rsidRPr="00792B36" w:rsidRDefault="009A0A63" w:rsidP="00A24459">
            <w:pPr>
              <w:jc w:val="center"/>
              <w:rPr>
                <w:sz w:val="24"/>
                <w:szCs w:val="24"/>
                <w:cs/>
              </w:rPr>
            </w:pPr>
            <w:r w:rsidRPr="00792B36">
              <w:rPr>
                <w:sz w:val="24"/>
                <w:szCs w:val="24"/>
                <w:cs/>
              </w:rPr>
              <w:t>2,351</w:t>
            </w:r>
          </w:p>
        </w:tc>
      </w:tr>
      <w:tr w:rsidR="009A0A63" w:rsidRPr="00792B36" w14:paraId="783BB53C" w14:textId="77777777" w:rsidTr="00A24459">
        <w:trPr>
          <w:trHeight w:val="283"/>
        </w:trPr>
        <w:tc>
          <w:tcPr>
            <w:tcW w:w="2569" w:type="dxa"/>
            <w:vAlign w:val="center"/>
          </w:tcPr>
          <w:p w14:paraId="1A5B6DB2" w14:textId="77777777" w:rsidR="009A0A63" w:rsidRPr="00792B36" w:rsidRDefault="009A0A63" w:rsidP="00A24459">
            <w:pPr>
              <w:jc w:val="thaiDistribute"/>
              <w:rPr>
                <w:sz w:val="24"/>
                <w:szCs w:val="24"/>
              </w:rPr>
            </w:pPr>
            <w:r w:rsidRPr="00792B36">
              <w:rPr>
                <w:rFonts w:eastAsia="Times New Roman"/>
                <w:color w:val="000000"/>
                <w:sz w:val="24"/>
                <w:szCs w:val="24"/>
              </w:rPr>
              <w:t>Surround nets</w:t>
            </w:r>
          </w:p>
        </w:tc>
        <w:tc>
          <w:tcPr>
            <w:tcW w:w="1134" w:type="dxa"/>
            <w:vAlign w:val="center"/>
          </w:tcPr>
          <w:p w14:paraId="408C0068" w14:textId="77777777" w:rsidR="009A0A63" w:rsidRPr="00792B36" w:rsidRDefault="009A0A63" w:rsidP="00A24459">
            <w:pPr>
              <w:jc w:val="center"/>
              <w:rPr>
                <w:sz w:val="24"/>
                <w:szCs w:val="24"/>
              </w:rPr>
            </w:pPr>
            <w:r w:rsidRPr="00792B36">
              <w:rPr>
                <w:sz w:val="24"/>
                <w:szCs w:val="24"/>
                <w:cs/>
              </w:rPr>
              <w:t>956</w:t>
            </w:r>
          </w:p>
        </w:tc>
        <w:tc>
          <w:tcPr>
            <w:tcW w:w="1134" w:type="dxa"/>
            <w:vAlign w:val="center"/>
          </w:tcPr>
          <w:p w14:paraId="55F87F34" w14:textId="77777777" w:rsidR="009A0A63" w:rsidRPr="00792B36" w:rsidRDefault="009A0A63" w:rsidP="00A24459">
            <w:pPr>
              <w:jc w:val="center"/>
              <w:rPr>
                <w:sz w:val="24"/>
                <w:szCs w:val="24"/>
              </w:rPr>
            </w:pPr>
            <w:r w:rsidRPr="00792B36">
              <w:rPr>
                <w:sz w:val="24"/>
                <w:szCs w:val="24"/>
                <w:cs/>
              </w:rPr>
              <w:t>852</w:t>
            </w:r>
          </w:p>
        </w:tc>
        <w:tc>
          <w:tcPr>
            <w:tcW w:w="1134" w:type="dxa"/>
            <w:vAlign w:val="center"/>
          </w:tcPr>
          <w:p w14:paraId="3934DD89" w14:textId="77777777" w:rsidR="009A0A63" w:rsidRPr="00792B36" w:rsidRDefault="009A0A63" w:rsidP="00A24459">
            <w:pPr>
              <w:jc w:val="center"/>
              <w:rPr>
                <w:sz w:val="24"/>
                <w:szCs w:val="24"/>
              </w:rPr>
            </w:pPr>
            <w:r w:rsidRPr="00792B36">
              <w:rPr>
                <w:sz w:val="24"/>
                <w:szCs w:val="24"/>
                <w:cs/>
              </w:rPr>
              <w:t>782</w:t>
            </w:r>
          </w:p>
        </w:tc>
        <w:tc>
          <w:tcPr>
            <w:tcW w:w="1134" w:type="dxa"/>
            <w:vAlign w:val="center"/>
          </w:tcPr>
          <w:p w14:paraId="3C239CF9" w14:textId="77777777" w:rsidR="009A0A63" w:rsidRPr="00792B36" w:rsidRDefault="009A0A63" w:rsidP="00A24459">
            <w:pPr>
              <w:jc w:val="center"/>
              <w:rPr>
                <w:sz w:val="24"/>
                <w:szCs w:val="24"/>
              </w:rPr>
            </w:pPr>
            <w:r w:rsidRPr="00792B36">
              <w:rPr>
                <w:sz w:val="24"/>
                <w:szCs w:val="24"/>
                <w:cs/>
              </w:rPr>
              <w:t>767</w:t>
            </w:r>
          </w:p>
        </w:tc>
        <w:tc>
          <w:tcPr>
            <w:tcW w:w="1134" w:type="dxa"/>
            <w:vAlign w:val="center"/>
          </w:tcPr>
          <w:p w14:paraId="3D49CBE2" w14:textId="77777777" w:rsidR="009A0A63" w:rsidRPr="00792B36" w:rsidRDefault="009A0A63" w:rsidP="00A24459">
            <w:pPr>
              <w:jc w:val="center"/>
              <w:rPr>
                <w:sz w:val="24"/>
                <w:szCs w:val="24"/>
              </w:rPr>
            </w:pPr>
            <w:r w:rsidRPr="00792B36">
              <w:rPr>
                <w:sz w:val="24"/>
                <w:szCs w:val="24"/>
                <w:cs/>
              </w:rPr>
              <w:t>725</w:t>
            </w:r>
          </w:p>
        </w:tc>
        <w:tc>
          <w:tcPr>
            <w:tcW w:w="1134" w:type="dxa"/>
            <w:vAlign w:val="center"/>
          </w:tcPr>
          <w:p w14:paraId="531F6542" w14:textId="77777777" w:rsidR="009A0A63" w:rsidRPr="00792B36" w:rsidRDefault="009A0A63" w:rsidP="00A24459">
            <w:pPr>
              <w:jc w:val="center"/>
              <w:rPr>
                <w:sz w:val="24"/>
                <w:szCs w:val="24"/>
                <w:cs/>
              </w:rPr>
            </w:pPr>
            <w:r w:rsidRPr="00792B36">
              <w:rPr>
                <w:sz w:val="24"/>
                <w:szCs w:val="24"/>
                <w:cs/>
              </w:rPr>
              <w:t>713</w:t>
            </w:r>
          </w:p>
        </w:tc>
        <w:tc>
          <w:tcPr>
            <w:tcW w:w="1134" w:type="dxa"/>
            <w:vAlign w:val="center"/>
          </w:tcPr>
          <w:p w14:paraId="767C6BBE" w14:textId="77777777" w:rsidR="009A0A63" w:rsidRPr="00792B36" w:rsidRDefault="009A0A63" w:rsidP="00A24459">
            <w:pPr>
              <w:jc w:val="center"/>
              <w:rPr>
                <w:sz w:val="24"/>
                <w:szCs w:val="24"/>
                <w:cs/>
              </w:rPr>
            </w:pPr>
            <w:r w:rsidRPr="00792B36">
              <w:rPr>
                <w:sz w:val="24"/>
                <w:szCs w:val="24"/>
                <w:cs/>
              </w:rPr>
              <w:t>653</w:t>
            </w:r>
          </w:p>
        </w:tc>
        <w:tc>
          <w:tcPr>
            <w:tcW w:w="1134" w:type="dxa"/>
            <w:vAlign w:val="center"/>
          </w:tcPr>
          <w:p w14:paraId="1E3E3EE7" w14:textId="77777777" w:rsidR="009A0A63" w:rsidRPr="00792B36" w:rsidRDefault="009A0A63" w:rsidP="00A24459">
            <w:pPr>
              <w:jc w:val="center"/>
              <w:rPr>
                <w:sz w:val="24"/>
                <w:szCs w:val="24"/>
                <w:cs/>
              </w:rPr>
            </w:pPr>
            <w:r w:rsidRPr="00792B36">
              <w:rPr>
                <w:sz w:val="24"/>
                <w:szCs w:val="24"/>
                <w:cs/>
              </w:rPr>
              <w:t>638</w:t>
            </w:r>
          </w:p>
        </w:tc>
        <w:tc>
          <w:tcPr>
            <w:tcW w:w="1134" w:type="dxa"/>
            <w:vAlign w:val="center"/>
          </w:tcPr>
          <w:p w14:paraId="54FFE687" w14:textId="77777777" w:rsidR="009A0A63" w:rsidRPr="00792B36" w:rsidRDefault="009A0A63" w:rsidP="00A24459">
            <w:pPr>
              <w:jc w:val="center"/>
              <w:rPr>
                <w:sz w:val="24"/>
                <w:szCs w:val="24"/>
                <w:cs/>
              </w:rPr>
            </w:pPr>
            <w:r w:rsidRPr="00792B36">
              <w:rPr>
                <w:sz w:val="24"/>
                <w:szCs w:val="24"/>
                <w:cs/>
              </w:rPr>
              <w:t>587</w:t>
            </w:r>
          </w:p>
        </w:tc>
      </w:tr>
      <w:tr w:rsidR="009A0A63" w:rsidRPr="00792B36" w14:paraId="640DE338" w14:textId="77777777" w:rsidTr="00A24459">
        <w:trPr>
          <w:trHeight w:val="283"/>
        </w:trPr>
        <w:tc>
          <w:tcPr>
            <w:tcW w:w="2569" w:type="dxa"/>
            <w:vAlign w:val="center"/>
          </w:tcPr>
          <w:p w14:paraId="25A4CA17" w14:textId="77777777" w:rsidR="009A0A63" w:rsidRPr="00792B36" w:rsidRDefault="009A0A63" w:rsidP="00A24459">
            <w:pPr>
              <w:jc w:val="thaiDistribute"/>
              <w:rPr>
                <w:sz w:val="24"/>
                <w:szCs w:val="24"/>
              </w:rPr>
            </w:pPr>
            <w:r w:rsidRPr="00792B36">
              <w:rPr>
                <w:rFonts w:eastAsia="Times New Roman"/>
                <w:color w:val="000000"/>
                <w:sz w:val="24"/>
                <w:szCs w:val="24"/>
              </w:rPr>
              <w:t>Dredges</w:t>
            </w:r>
          </w:p>
        </w:tc>
        <w:tc>
          <w:tcPr>
            <w:tcW w:w="1134" w:type="dxa"/>
          </w:tcPr>
          <w:p w14:paraId="3DE9A19B" w14:textId="77777777" w:rsidR="009A0A63" w:rsidRPr="00792B36" w:rsidRDefault="009A0A63" w:rsidP="00A24459">
            <w:pPr>
              <w:jc w:val="center"/>
              <w:rPr>
                <w:sz w:val="24"/>
                <w:szCs w:val="24"/>
              </w:rPr>
            </w:pPr>
            <w:r w:rsidRPr="00792B36">
              <w:rPr>
                <w:sz w:val="24"/>
                <w:szCs w:val="24"/>
                <w:cs/>
              </w:rPr>
              <w:t>102</w:t>
            </w:r>
          </w:p>
        </w:tc>
        <w:tc>
          <w:tcPr>
            <w:tcW w:w="1134" w:type="dxa"/>
          </w:tcPr>
          <w:p w14:paraId="46E99B90" w14:textId="77777777" w:rsidR="009A0A63" w:rsidRPr="00792B36" w:rsidRDefault="009A0A63" w:rsidP="00A24459">
            <w:pPr>
              <w:jc w:val="center"/>
              <w:rPr>
                <w:sz w:val="24"/>
                <w:szCs w:val="24"/>
              </w:rPr>
            </w:pPr>
            <w:r w:rsidRPr="00792B36">
              <w:rPr>
                <w:sz w:val="24"/>
                <w:szCs w:val="24"/>
                <w:cs/>
              </w:rPr>
              <w:t>101</w:t>
            </w:r>
          </w:p>
        </w:tc>
        <w:tc>
          <w:tcPr>
            <w:tcW w:w="1134" w:type="dxa"/>
          </w:tcPr>
          <w:p w14:paraId="0B01BE81" w14:textId="77777777" w:rsidR="009A0A63" w:rsidRPr="00792B36" w:rsidRDefault="009A0A63" w:rsidP="00A24459">
            <w:pPr>
              <w:jc w:val="center"/>
              <w:rPr>
                <w:sz w:val="24"/>
                <w:szCs w:val="24"/>
              </w:rPr>
            </w:pPr>
            <w:r w:rsidRPr="00792B36">
              <w:rPr>
                <w:sz w:val="24"/>
                <w:szCs w:val="24"/>
                <w:cs/>
              </w:rPr>
              <w:t>371</w:t>
            </w:r>
          </w:p>
        </w:tc>
        <w:tc>
          <w:tcPr>
            <w:tcW w:w="1134" w:type="dxa"/>
          </w:tcPr>
          <w:p w14:paraId="5CF61083" w14:textId="77777777" w:rsidR="009A0A63" w:rsidRPr="00792B36" w:rsidRDefault="009A0A63" w:rsidP="00A24459">
            <w:pPr>
              <w:jc w:val="center"/>
              <w:rPr>
                <w:sz w:val="24"/>
                <w:szCs w:val="24"/>
              </w:rPr>
            </w:pPr>
            <w:r w:rsidRPr="00792B36">
              <w:rPr>
                <w:sz w:val="24"/>
                <w:szCs w:val="24"/>
                <w:cs/>
              </w:rPr>
              <w:t>368</w:t>
            </w:r>
          </w:p>
        </w:tc>
        <w:tc>
          <w:tcPr>
            <w:tcW w:w="1134" w:type="dxa"/>
          </w:tcPr>
          <w:p w14:paraId="66E44D86" w14:textId="77777777" w:rsidR="009A0A63" w:rsidRPr="00792B36" w:rsidRDefault="009A0A63" w:rsidP="00A24459">
            <w:pPr>
              <w:jc w:val="center"/>
              <w:rPr>
                <w:sz w:val="24"/>
                <w:szCs w:val="24"/>
              </w:rPr>
            </w:pPr>
            <w:r w:rsidRPr="00792B36">
              <w:rPr>
                <w:sz w:val="24"/>
                <w:szCs w:val="24"/>
                <w:cs/>
              </w:rPr>
              <w:t>291</w:t>
            </w:r>
          </w:p>
        </w:tc>
        <w:tc>
          <w:tcPr>
            <w:tcW w:w="1134" w:type="dxa"/>
          </w:tcPr>
          <w:p w14:paraId="5F7F0903" w14:textId="77777777" w:rsidR="009A0A63" w:rsidRPr="00792B36" w:rsidRDefault="009A0A63" w:rsidP="00A24459">
            <w:pPr>
              <w:jc w:val="center"/>
              <w:rPr>
                <w:sz w:val="24"/>
                <w:szCs w:val="24"/>
                <w:cs/>
              </w:rPr>
            </w:pPr>
            <w:r w:rsidRPr="00792B36">
              <w:rPr>
                <w:sz w:val="24"/>
                <w:szCs w:val="24"/>
                <w:cs/>
              </w:rPr>
              <w:t>297</w:t>
            </w:r>
          </w:p>
        </w:tc>
        <w:tc>
          <w:tcPr>
            <w:tcW w:w="1134" w:type="dxa"/>
          </w:tcPr>
          <w:p w14:paraId="2789912E" w14:textId="77777777" w:rsidR="009A0A63" w:rsidRPr="00792B36" w:rsidRDefault="009A0A63" w:rsidP="00A24459">
            <w:pPr>
              <w:jc w:val="center"/>
              <w:rPr>
                <w:sz w:val="24"/>
                <w:szCs w:val="24"/>
                <w:cs/>
              </w:rPr>
            </w:pPr>
            <w:r w:rsidRPr="00792B36">
              <w:rPr>
                <w:sz w:val="24"/>
                <w:szCs w:val="24"/>
                <w:cs/>
              </w:rPr>
              <w:t>339</w:t>
            </w:r>
          </w:p>
        </w:tc>
        <w:tc>
          <w:tcPr>
            <w:tcW w:w="1134" w:type="dxa"/>
          </w:tcPr>
          <w:p w14:paraId="63936A6D" w14:textId="77777777" w:rsidR="009A0A63" w:rsidRPr="00792B36" w:rsidRDefault="009A0A63" w:rsidP="00A24459">
            <w:pPr>
              <w:jc w:val="center"/>
              <w:rPr>
                <w:sz w:val="24"/>
                <w:szCs w:val="24"/>
                <w:cs/>
              </w:rPr>
            </w:pPr>
            <w:r w:rsidRPr="00792B36">
              <w:rPr>
                <w:sz w:val="24"/>
                <w:szCs w:val="24"/>
                <w:cs/>
              </w:rPr>
              <w:t>338</w:t>
            </w:r>
          </w:p>
        </w:tc>
        <w:tc>
          <w:tcPr>
            <w:tcW w:w="1134" w:type="dxa"/>
          </w:tcPr>
          <w:p w14:paraId="2966B3D6" w14:textId="77777777" w:rsidR="009A0A63" w:rsidRPr="00792B36" w:rsidRDefault="009A0A63" w:rsidP="00A24459">
            <w:pPr>
              <w:jc w:val="center"/>
              <w:rPr>
                <w:sz w:val="24"/>
                <w:szCs w:val="24"/>
                <w:cs/>
              </w:rPr>
            </w:pPr>
            <w:r w:rsidRPr="00792B36">
              <w:rPr>
                <w:sz w:val="24"/>
                <w:szCs w:val="24"/>
                <w:cs/>
              </w:rPr>
              <w:t>243</w:t>
            </w:r>
          </w:p>
        </w:tc>
      </w:tr>
      <w:tr w:rsidR="009A0A63" w:rsidRPr="00792B36" w14:paraId="4ECF940C" w14:textId="77777777" w:rsidTr="00A24459">
        <w:trPr>
          <w:trHeight w:val="283"/>
        </w:trPr>
        <w:tc>
          <w:tcPr>
            <w:tcW w:w="2569" w:type="dxa"/>
            <w:vAlign w:val="center"/>
          </w:tcPr>
          <w:p w14:paraId="03D2CA51" w14:textId="77777777" w:rsidR="009A0A63" w:rsidRPr="00792B36" w:rsidRDefault="009A0A63" w:rsidP="00A24459">
            <w:pPr>
              <w:jc w:val="thaiDistribute"/>
              <w:rPr>
                <w:sz w:val="24"/>
                <w:szCs w:val="24"/>
              </w:rPr>
            </w:pPr>
            <w:r w:rsidRPr="00792B36">
              <w:rPr>
                <w:rFonts w:eastAsia="Times New Roman"/>
                <w:color w:val="000000"/>
                <w:sz w:val="24"/>
                <w:szCs w:val="24"/>
              </w:rPr>
              <w:t>Lift nets</w:t>
            </w:r>
          </w:p>
        </w:tc>
        <w:tc>
          <w:tcPr>
            <w:tcW w:w="1134" w:type="dxa"/>
          </w:tcPr>
          <w:p w14:paraId="48A83947" w14:textId="77777777" w:rsidR="009A0A63" w:rsidRPr="00792B36" w:rsidRDefault="009A0A63" w:rsidP="00A24459">
            <w:pPr>
              <w:jc w:val="center"/>
              <w:rPr>
                <w:sz w:val="24"/>
                <w:szCs w:val="24"/>
              </w:rPr>
            </w:pPr>
            <w:r w:rsidRPr="00792B36">
              <w:rPr>
                <w:sz w:val="24"/>
                <w:szCs w:val="24"/>
                <w:cs/>
              </w:rPr>
              <w:t>40</w:t>
            </w:r>
          </w:p>
        </w:tc>
        <w:tc>
          <w:tcPr>
            <w:tcW w:w="1134" w:type="dxa"/>
          </w:tcPr>
          <w:p w14:paraId="78AA26F1" w14:textId="77777777" w:rsidR="009A0A63" w:rsidRPr="00792B36" w:rsidRDefault="009A0A63" w:rsidP="00A24459">
            <w:pPr>
              <w:jc w:val="center"/>
              <w:rPr>
                <w:sz w:val="24"/>
                <w:szCs w:val="24"/>
              </w:rPr>
            </w:pPr>
            <w:r w:rsidRPr="00792B36">
              <w:rPr>
                <w:sz w:val="24"/>
                <w:szCs w:val="24"/>
                <w:cs/>
              </w:rPr>
              <w:t>36</w:t>
            </w:r>
          </w:p>
        </w:tc>
        <w:tc>
          <w:tcPr>
            <w:tcW w:w="1134" w:type="dxa"/>
          </w:tcPr>
          <w:p w14:paraId="32A4D6B3" w14:textId="77777777" w:rsidR="009A0A63" w:rsidRPr="00792B36" w:rsidRDefault="009A0A63" w:rsidP="00A24459">
            <w:pPr>
              <w:jc w:val="center"/>
              <w:rPr>
                <w:sz w:val="24"/>
                <w:szCs w:val="24"/>
              </w:rPr>
            </w:pPr>
            <w:r w:rsidRPr="00792B36">
              <w:rPr>
                <w:sz w:val="24"/>
                <w:szCs w:val="24"/>
                <w:cs/>
              </w:rPr>
              <w:t>41</w:t>
            </w:r>
          </w:p>
        </w:tc>
        <w:tc>
          <w:tcPr>
            <w:tcW w:w="1134" w:type="dxa"/>
          </w:tcPr>
          <w:p w14:paraId="78CD611F" w14:textId="77777777" w:rsidR="009A0A63" w:rsidRPr="00792B36" w:rsidRDefault="009A0A63" w:rsidP="00A24459">
            <w:pPr>
              <w:jc w:val="center"/>
              <w:rPr>
                <w:sz w:val="24"/>
                <w:szCs w:val="24"/>
              </w:rPr>
            </w:pPr>
            <w:r w:rsidRPr="00792B36">
              <w:rPr>
                <w:sz w:val="24"/>
                <w:szCs w:val="24"/>
                <w:cs/>
              </w:rPr>
              <w:t>63</w:t>
            </w:r>
          </w:p>
        </w:tc>
        <w:tc>
          <w:tcPr>
            <w:tcW w:w="1134" w:type="dxa"/>
          </w:tcPr>
          <w:p w14:paraId="7A13E921" w14:textId="77777777" w:rsidR="009A0A63" w:rsidRPr="00792B36" w:rsidRDefault="009A0A63" w:rsidP="00A24459">
            <w:pPr>
              <w:jc w:val="center"/>
              <w:rPr>
                <w:sz w:val="24"/>
                <w:szCs w:val="24"/>
              </w:rPr>
            </w:pPr>
            <w:r w:rsidRPr="00792B36">
              <w:rPr>
                <w:sz w:val="24"/>
                <w:szCs w:val="24"/>
                <w:cs/>
              </w:rPr>
              <w:t>67</w:t>
            </w:r>
          </w:p>
        </w:tc>
        <w:tc>
          <w:tcPr>
            <w:tcW w:w="1134" w:type="dxa"/>
          </w:tcPr>
          <w:p w14:paraId="68E39564" w14:textId="77777777" w:rsidR="009A0A63" w:rsidRPr="00792B36" w:rsidRDefault="009A0A63" w:rsidP="00A24459">
            <w:pPr>
              <w:jc w:val="center"/>
              <w:rPr>
                <w:sz w:val="24"/>
                <w:szCs w:val="24"/>
                <w:cs/>
              </w:rPr>
            </w:pPr>
            <w:r w:rsidRPr="00792B36">
              <w:rPr>
                <w:sz w:val="24"/>
                <w:szCs w:val="24"/>
                <w:cs/>
              </w:rPr>
              <w:t>64</w:t>
            </w:r>
          </w:p>
        </w:tc>
        <w:tc>
          <w:tcPr>
            <w:tcW w:w="1134" w:type="dxa"/>
          </w:tcPr>
          <w:p w14:paraId="7DE707A6" w14:textId="77777777" w:rsidR="009A0A63" w:rsidRPr="00792B36" w:rsidRDefault="009A0A63" w:rsidP="00A24459">
            <w:pPr>
              <w:jc w:val="center"/>
              <w:rPr>
                <w:sz w:val="24"/>
                <w:szCs w:val="24"/>
                <w:cs/>
              </w:rPr>
            </w:pPr>
            <w:r w:rsidRPr="00792B36">
              <w:rPr>
                <w:sz w:val="24"/>
                <w:szCs w:val="24"/>
                <w:cs/>
              </w:rPr>
              <w:t>65</w:t>
            </w:r>
          </w:p>
        </w:tc>
        <w:tc>
          <w:tcPr>
            <w:tcW w:w="1134" w:type="dxa"/>
          </w:tcPr>
          <w:p w14:paraId="231D61D8" w14:textId="77777777" w:rsidR="009A0A63" w:rsidRPr="00792B36" w:rsidRDefault="009A0A63" w:rsidP="00A24459">
            <w:pPr>
              <w:jc w:val="center"/>
              <w:rPr>
                <w:sz w:val="24"/>
                <w:szCs w:val="24"/>
                <w:cs/>
              </w:rPr>
            </w:pPr>
            <w:r w:rsidRPr="00792B36">
              <w:rPr>
                <w:sz w:val="24"/>
                <w:szCs w:val="24"/>
                <w:cs/>
              </w:rPr>
              <w:t>62</w:t>
            </w:r>
          </w:p>
        </w:tc>
        <w:tc>
          <w:tcPr>
            <w:tcW w:w="1134" w:type="dxa"/>
          </w:tcPr>
          <w:p w14:paraId="393F5C95" w14:textId="77777777" w:rsidR="009A0A63" w:rsidRPr="00792B36" w:rsidRDefault="009A0A63" w:rsidP="00A24459">
            <w:pPr>
              <w:jc w:val="center"/>
              <w:rPr>
                <w:sz w:val="24"/>
                <w:szCs w:val="24"/>
                <w:cs/>
              </w:rPr>
            </w:pPr>
            <w:r w:rsidRPr="00792B36">
              <w:rPr>
                <w:sz w:val="24"/>
                <w:szCs w:val="24"/>
                <w:cs/>
              </w:rPr>
              <w:t>59</w:t>
            </w:r>
          </w:p>
        </w:tc>
      </w:tr>
      <w:tr w:rsidR="009A0A63" w:rsidRPr="00792B36" w14:paraId="3F06D0ED" w14:textId="77777777" w:rsidTr="00A24459">
        <w:trPr>
          <w:trHeight w:val="283"/>
        </w:trPr>
        <w:tc>
          <w:tcPr>
            <w:tcW w:w="2569" w:type="dxa"/>
            <w:vAlign w:val="center"/>
          </w:tcPr>
          <w:p w14:paraId="0C6F7AFC" w14:textId="77777777" w:rsidR="009A0A63" w:rsidRPr="00792B36" w:rsidRDefault="009A0A63" w:rsidP="00A24459">
            <w:pPr>
              <w:jc w:val="thaiDistribute"/>
              <w:rPr>
                <w:sz w:val="24"/>
                <w:szCs w:val="24"/>
              </w:rPr>
            </w:pPr>
            <w:r w:rsidRPr="00792B36">
              <w:rPr>
                <w:rFonts w:eastAsia="Times New Roman"/>
                <w:color w:val="000000"/>
                <w:sz w:val="24"/>
                <w:szCs w:val="24"/>
              </w:rPr>
              <w:t>Falling gears</w:t>
            </w:r>
          </w:p>
        </w:tc>
        <w:tc>
          <w:tcPr>
            <w:tcW w:w="1134" w:type="dxa"/>
          </w:tcPr>
          <w:p w14:paraId="2BCDDB3B" w14:textId="77777777" w:rsidR="009A0A63" w:rsidRPr="00792B36" w:rsidRDefault="009A0A63" w:rsidP="00A24459">
            <w:pPr>
              <w:jc w:val="center"/>
              <w:rPr>
                <w:sz w:val="24"/>
                <w:szCs w:val="24"/>
              </w:rPr>
            </w:pPr>
            <w:r w:rsidRPr="00792B36">
              <w:rPr>
                <w:sz w:val="24"/>
                <w:szCs w:val="24"/>
                <w:cs/>
              </w:rPr>
              <w:t>1,767</w:t>
            </w:r>
          </w:p>
        </w:tc>
        <w:tc>
          <w:tcPr>
            <w:tcW w:w="1134" w:type="dxa"/>
          </w:tcPr>
          <w:p w14:paraId="13603D6E" w14:textId="77777777" w:rsidR="009A0A63" w:rsidRPr="00792B36" w:rsidRDefault="009A0A63" w:rsidP="00A24459">
            <w:pPr>
              <w:jc w:val="center"/>
              <w:rPr>
                <w:sz w:val="24"/>
                <w:szCs w:val="24"/>
              </w:rPr>
            </w:pPr>
            <w:r w:rsidRPr="00792B36">
              <w:rPr>
                <w:sz w:val="24"/>
                <w:szCs w:val="24"/>
                <w:cs/>
              </w:rPr>
              <w:t>1,747</w:t>
            </w:r>
          </w:p>
        </w:tc>
        <w:tc>
          <w:tcPr>
            <w:tcW w:w="1134" w:type="dxa"/>
          </w:tcPr>
          <w:p w14:paraId="6E215403" w14:textId="77777777" w:rsidR="009A0A63" w:rsidRPr="00792B36" w:rsidRDefault="009A0A63" w:rsidP="00A24459">
            <w:pPr>
              <w:jc w:val="center"/>
              <w:rPr>
                <w:sz w:val="24"/>
                <w:szCs w:val="24"/>
              </w:rPr>
            </w:pPr>
            <w:r w:rsidRPr="00792B36">
              <w:rPr>
                <w:sz w:val="24"/>
                <w:szCs w:val="24"/>
                <w:cs/>
              </w:rPr>
              <w:t>1,787</w:t>
            </w:r>
          </w:p>
        </w:tc>
        <w:tc>
          <w:tcPr>
            <w:tcW w:w="1134" w:type="dxa"/>
          </w:tcPr>
          <w:p w14:paraId="0FA0F9FE" w14:textId="77777777" w:rsidR="009A0A63" w:rsidRPr="00792B36" w:rsidRDefault="009A0A63" w:rsidP="00A24459">
            <w:pPr>
              <w:jc w:val="center"/>
              <w:rPr>
                <w:sz w:val="24"/>
                <w:szCs w:val="24"/>
              </w:rPr>
            </w:pPr>
            <w:r w:rsidRPr="00792B36">
              <w:rPr>
                <w:sz w:val="24"/>
                <w:szCs w:val="24"/>
                <w:cs/>
              </w:rPr>
              <w:t>1,734</w:t>
            </w:r>
          </w:p>
        </w:tc>
        <w:tc>
          <w:tcPr>
            <w:tcW w:w="1134" w:type="dxa"/>
          </w:tcPr>
          <w:p w14:paraId="2DA34557" w14:textId="77777777" w:rsidR="009A0A63" w:rsidRPr="00792B36" w:rsidRDefault="009A0A63" w:rsidP="00A24459">
            <w:pPr>
              <w:jc w:val="center"/>
              <w:rPr>
                <w:sz w:val="24"/>
                <w:szCs w:val="24"/>
              </w:rPr>
            </w:pPr>
            <w:r w:rsidRPr="00792B36">
              <w:rPr>
                <w:sz w:val="24"/>
                <w:szCs w:val="24"/>
                <w:cs/>
              </w:rPr>
              <w:t>1,827</w:t>
            </w:r>
          </w:p>
        </w:tc>
        <w:tc>
          <w:tcPr>
            <w:tcW w:w="1134" w:type="dxa"/>
          </w:tcPr>
          <w:p w14:paraId="6BA7D9B1" w14:textId="77777777" w:rsidR="009A0A63" w:rsidRPr="00792B36" w:rsidRDefault="009A0A63" w:rsidP="00A24459">
            <w:pPr>
              <w:jc w:val="center"/>
              <w:rPr>
                <w:sz w:val="24"/>
                <w:szCs w:val="24"/>
                <w:cs/>
              </w:rPr>
            </w:pPr>
            <w:r w:rsidRPr="00792B36">
              <w:rPr>
                <w:sz w:val="24"/>
                <w:szCs w:val="24"/>
                <w:cs/>
              </w:rPr>
              <w:t>1,804</w:t>
            </w:r>
          </w:p>
        </w:tc>
        <w:tc>
          <w:tcPr>
            <w:tcW w:w="1134" w:type="dxa"/>
          </w:tcPr>
          <w:p w14:paraId="21575942" w14:textId="77777777" w:rsidR="009A0A63" w:rsidRPr="00792B36" w:rsidRDefault="009A0A63" w:rsidP="00A24459">
            <w:pPr>
              <w:jc w:val="center"/>
              <w:rPr>
                <w:sz w:val="24"/>
                <w:szCs w:val="24"/>
                <w:cs/>
              </w:rPr>
            </w:pPr>
            <w:r w:rsidRPr="00792B36">
              <w:rPr>
                <w:sz w:val="24"/>
                <w:szCs w:val="24"/>
                <w:cs/>
              </w:rPr>
              <w:t>1,687</w:t>
            </w:r>
          </w:p>
        </w:tc>
        <w:tc>
          <w:tcPr>
            <w:tcW w:w="1134" w:type="dxa"/>
          </w:tcPr>
          <w:p w14:paraId="2F07F97E" w14:textId="77777777" w:rsidR="009A0A63" w:rsidRPr="00792B36" w:rsidRDefault="009A0A63" w:rsidP="00A24459">
            <w:pPr>
              <w:jc w:val="center"/>
              <w:rPr>
                <w:sz w:val="24"/>
                <w:szCs w:val="24"/>
                <w:cs/>
              </w:rPr>
            </w:pPr>
            <w:r w:rsidRPr="00792B36">
              <w:rPr>
                <w:sz w:val="24"/>
                <w:szCs w:val="24"/>
                <w:cs/>
              </w:rPr>
              <w:t>1,672</w:t>
            </w:r>
          </w:p>
        </w:tc>
        <w:tc>
          <w:tcPr>
            <w:tcW w:w="1134" w:type="dxa"/>
          </w:tcPr>
          <w:p w14:paraId="5FFB194F" w14:textId="77777777" w:rsidR="009A0A63" w:rsidRPr="00792B36" w:rsidRDefault="009A0A63" w:rsidP="00A24459">
            <w:pPr>
              <w:jc w:val="center"/>
              <w:rPr>
                <w:sz w:val="24"/>
                <w:szCs w:val="24"/>
                <w:cs/>
              </w:rPr>
            </w:pPr>
            <w:r w:rsidRPr="00792B36">
              <w:rPr>
                <w:sz w:val="24"/>
                <w:szCs w:val="24"/>
                <w:cs/>
              </w:rPr>
              <w:t>1,572</w:t>
            </w:r>
          </w:p>
        </w:tc>
      </w:tr>
      <w:tr w:rsidR="009A0A63" w:rsidRPr="00792B36" w14:paraId="4F219C1B" w14:textId="77777777" w:rsidTr="00A24459">
        <w:trPr>
          <w:trHeight w:val="283"/>
        </w:trPr>
        <w:tc>
          <w:tcPr>
            <w:tcW w:w="2569" w:type="dxa"/>
            <w:vAlign w:val="center"/>
          </w:tcPr>
          <w:p w14:paraId="0389FD27" w14:textId="77777777" w:rsidR="009A0A63" w:rsidRPr="00792B36" w:rsidRDefault="009A0A63" w:rsidP="00A24459">
            <w:pPr>
              <w:jc w:val="thaiDistribute"/>
              <w:rPr>
                <w:sz w:val="24"/>
                <w:szCs w:val="24"/>
              </w:rPr>
            </w:pPr>
            <w:r w:rsidRPr="00792B36">
              <w:rPr>
                <w:rFonts w:eastAsia="Times New Roman"/>
                <w:color w:val="000000"/>
                <w:sz w:val="24"/>
                <w:szCs w:val="24"/>
              </w:rPr>
              <w:t>Gillnets/Entangling nets</w:t>
            </w:r>
          </w:p>
        </w:tc>
        <w:tc>
          <w:tcPr>
            <w:tcW w:w="1134" w:type="dxa"/>
          </w:tcPr>
          <w:p w14:paraId="5FC1679B" w14:textId="77777777" w:rsidR="009A0A63" w:rsidRPr="00792B36" w:rsidRDefault="009A0A63" w:rsidP="00A24459">
            <w:pPr>
              <w:jc w:val="center"/>
              <w:rPr>
                <w:sz w:val="24"/>
                <w:szCs w:val="24"/>
              </w:rPr>
            </w:pPr>
            <w:r w:rsidRPr="00792B36">
              <w:rPr>
                <w:sz w:val="24"/>
                <w:szCs w:val="24"/>
                <w:cs/>
              </w:rPr>
              <w:t>810</w:t>
            </w:r>
          </w:p>
        </w:tc>
        <w:tc>
          <w:tcPr>
            <w:tcW w:w="1134" w:type="dxa"/>
          </w:tcPr>
          <w:p w14:paraId="19B0861E" w14:textId="77777777" w:rsidR="009A0A63" w:rsidRPr="00792B36" w:rsidRDefault="009A0A63" w:rsidP="00A24459">
            <w:pPr>
              <w:jc w:val="center"/>
              <w:rPr>
                <w:sz w:val="24"/>
                <w:szCs w:val="24"/>
              </w:rPr>
            </w:pPr>
            <w:r w:rsidRPr="00792B36">
              <w:rPr>
                <w:sz w:val="24"/>
                <w:szCs w:val="24"/>
                <w:cs/>
              </w:rPr>
              <w:t>802</w:t>
            </w:r>
          </w:p>
        </w:tc>
        <w:tc>
          <w:tcPr>
            <w:tcW w:w="1134" w:type="dxa"/>
          </w:tcPr>
          <w:p w14:paraId="2415FA74" w14:textId="77777777" w:rsidR="009A0A63" w:rsidRPr="00792B36" w:rsidRDefault="009A0A63" w:rsidP="00A24459">
            <w:pPr>
              <w:jc w:val="center"/>
              <w:rPr>
                <w:sz w:val="24"/>
                <w:szCs w:val="24"/>
              </w:rPr>
            </w:pPr>
            <w:r w:rsidRPr="00792B36">
              <w:rPr>
                <w:sz w:val="24"/>
                <w:szCs w:val="24"/>
                <w:cs/>
              </w:rPr>
              <w:t>888</w:t>
            </w:r>
          </w:p>
        </w:tc>
        <w:tc>
          <w:tcPr>
            <w:tcW w:w="1134" w:type="dxa"/>
          </w:tcPr>
          <w:p w14:paraId="7A35E78A" w14:textId="77777777" w:rsidR="009A0A63" w:rsidRPr="00792B36" w:rsidRDefault="009A0A63" w:rsidP="00A24459">
            <w:pPr>
              <w:jc w:val="center"/>
              <w:rPr>
                <w:sz w:val="24"/>
                <w:szCs w:val="24"/>
              </w:rPr>
            </w:pPr>
            <w:r w:rsidRPr="00792B36">
              <w:rPr>
                <w:sz w:val="24"/>
                <w:szCs w:val="24"/>
                <w:cs/>
              </w:rPr>
              <w:t>857</w:t>
            </w:r>
          </w:p>
        </w:tc>
        <w:tc>
          <w:tcPr>
            <w:tcW w:w="1134" w:type="dxa"/>
          </w:tcPr>
          <w:p w14:paraId="01008A34" w14:textId="77777777" w:rsidR="009A0A63" w:rsidRPr="00792B36" w:rsidRDefault="009A0A63" w:rsidP="00A24459">
            <w:pPr>
              <w:jc w:val="center"/>
              <w:rPr>
                <w:sz w:val="24"/>
                <w:szCs w:val="24"/>
              </w:rPr>
            </w:pPr>
            <w:r w:rsidRPr="00792B36">
              <w:rPr>
                <w:sz w:val="24"/>
                <w:szCs w:val="24"/>
                <w:cs/>
              </w:rPr>
              <w:t>934</w:t>
            </w:r>
          </w:p>
        </w:tc>
        <w:tc>
          <w:tcPr>
            <w:tcW w:w="1134" w:type="dxa"/>
          </w:tcPr>
          <w:p w14:paraId="0CC2A41E" w14:textId="77777777" w:rsidR="009A0A63" w:rsidRPr="00792B36" w:rsidRDefault="009A0A63" w:rsidP="00A24459">
            <w:pPr>
              <w:jc w:val="center"/>
              <w:rPr>
                <w:sz w:val="24"/>
                <w:szCs w:val="24"/>
                <w:cs/>
              </w:rPr>
            </w:pPr>
            <w:r w:rsidRPr="00792B36">
              <w:rPr>
                <w:sz w:val="24"/>
                <w:szCs w:val="24"/>
                <w:cs/>
              </w:rPr>
              <w:t>916</w:t>
            </w:r>
          </w:p>
        </w:tc>
        <w:tc>
          <w:tcPr>
            <w:tcW w:w="1134" w:type="dxa"/>
          </w:tcPr>
          <w:p w14:paraId="221EC15B" w14:textId="77777777" w:rsidR="009A0A63" w:rsidRPr="00792B36" w:rsidRDefault="009A0A63" w:rsidP="00A24459">
            <w:pPr>
              <w:jc w:val="center"/>
              <w:rPr>
                <w:sz w:val="24"/>
                <w:szCs w:val="24"/>
                <w:cs/>
              </w:rPr>
            </w:pPr>
            <w:r w:rsidRPr="00792B36">
              <w:rPr>
                <w:sz w:val="24"/>
                <w:szCs w:val="24"/>
                <w:cs/>
              </w:rPr>
              <w:t>812</w:t>
            </w:r>
          </w:p>
        </w:tc>
        <w:tc>
          <w:tcPr>
            <w:tcW w:w="1134" w:type="dxa"/>
          </w:tcPr>
          <w:p w14:paraId="10EC96B7" w14:textId="77777777" w:rsidR="009A0A63" w:rsidRPr="00792B36" w:rsidRDefault="009A0A63" w:rsidP="00A24459">
            <w:pPr>
              <w:jc w:val="center"/>
              <w:rPr>
                <w:sz w:val="24"/>
                <w:szCs w:val="24"/>
                <w:cs/>
              </w:rPr>
            </w:pPr>
            <w:r w:rsidRPr="00792B36">
              <w:rPr>
                <w:sz w:val="24"/>
                <w:szCs w:val="24"/>
                <w:cs/>
              </w:rPr>
              <w:t>816</w:t>
            </w:r>
          </w:p>
        </w:tc>
        <w:tc>
          <w:tcPr>
            <w:tcW w:w="1134" w:type="dxa"/>
          </w:tcPr>
          <w:p w14:paraId="5F5EB3B9" w14:textId="77777777" w:rsidR="009A0A63" w:rsidRPr="00792B36" w:rsidRDefault="009A0A63" w:rsidP="00A24459">
            <w:pPr>
              <w:jc w:val="center"/>
              <w:rPr>
                <w:sz w:val="24"/>
                <w:szCs w:val="24"/>
                <w:cs/>
              </w:rPr>
            </w:pPr>
            <w:r w:rsidRPr="00792B36">
              <w:rPr>
                <w:sz w:val="24"/>
                <w:szCs w:val="24"/>
                <w:cs/>
              </w:rPr>
              <w:t>757</w:t>
            </w:r>
          </w:p>
        </w:tc>
      </w:tr>
      <w:tr w:rsidR="009A0A63" w:rsidRPr="00792B36" w14:paraId="00F7C3F9" w14:textId="77777777" w:rsidTr="00A24459">
        <w:trPr>
          <w:trHeight w:val="283"/>
        </w:trPr>
        <w:tc>
          <w:tcPr>
            <w:tcW w:w="2569" w:type="dxa"/>
            <w:vAlign w:val="center"/>
          </w:tcPr>
          <w:p w14:paraId="576E9C83" w14:textId="77777777" w:rsidR="009A0A63" w:rsidRPr="00792B36" w:rsidRDefault="009A0A63" w:rsidP="00A24459">
            <w:pPr>
              <w:jc w:val="thaiDistribute"/>
              <w:rPr>
                <w:sz w:val="24"/>
                <w:szCs w:val="24"/>
              </w:rPr>
            </w:pPr>
            <w:r w:rsidRPr="00792B36">
              <w:rPr>
                <w:rFonts w:eastAsia="Times New Roman"/>
                <w:color w:val="000000"/>
                <w:sz w:val="24"/>
                <w:szCs w:val="24"/>
              </w:rPr>
              <w:t>Traps</w:t>
            </w:r>
          </w:p>
        </w:tc>
        <w:tc>
          <w:tcPr>
            <w:tcW w:w="1134" w:type="dxa"/>
          </w:tcPr>
          <w:p w14:paraId="49772C39" w14:textId="77777777" w:rsidR="009A0A63" w:rsidRPr="00792B36" w:rsidRDefault="009A0A63" w:rsidP="00A24459">
            <w:pPr>
              <w:jc w:val="center"/>
              <w:rPr>
                <w:sz w:val="24"/>
                <w:szCs w:val="24"/>
              </w:rPr>
            </w:pPr>
            <w:r w:rsidRPr="00792B36">
              <w:rPr>
                <w:sz w:val="24"/>
                <w:szCs w:val="24"/>
                <w:cs/>
              </w:rPr>
              <w:t>794</w:t>
            </w:r>
          </w:p>
        </w:tc>
        <w:tc>
          <w:tcPr>
            <w:tcW w:w="1134" w:type="dxa"/>
          </w:tcPr>
          <w:p w14:paraId="7BE8705A" w14:textId="77777777" w:rsidR="009A0A63" w:rsidRPr="00792B36" w:rsidRDefault="009A0A63" w:rsidP="00A24459">
            <w:pPr>
              <w:jc w:val="center"/>
              <w:rPr>
                <w:sz w:val="24"/>
                <w:szCs w:val="24"/>
              </w:rPr>
            </w:pPr>
            <w:r w:rsidRPr="00792B36">
              <w:rPr>
                <w:sz w:val="24"/>
                <w:szCs w:val="24"/>
                <w:cs/>
              </w:rPr>
              <w:t>776</w:t>
            </w:r>
          </w:p>
        </w:tc>
        <w:tc>
          <w:tcPr>
            <w:tcW w:w="1134" w:type="dxa"/>
          </w:tcPr>
          <w:p w14:paraId="1F2B313F" w14:textId="77777777" w:rsidR="009A0A63" w:rsidRPr="00792B36" w:rsidRDefault="009A0A63" w:rsidP="00A24459">
            <w:pPr>
              <w:jc w:val="center"/>
              <w:rPr>
                <w:sz w:val="24"/>
                <w:szCs w:val="24"/>
              </w:rPr>
            </w:pPr>
            <w:r w:rsidRPr="00792B36">
              <w:rPr>
                <w:sz w:val="24"/>
                <w:szCs w:val="24"/>
                <w:cs/>
              </w:rPr>
              <w:t>903</w:t>
            </w:r>
          </w:p>
        </w:tc>
        <w:tc>
          <w:tcPr>
            <w:tcW w:w="1134" w:type="dxa"/>
          </w:tcPr>
          <w:p w14:paraId="570CFDCD" w14:textId="77777777" w:rsidR="009A0A63" w:rsidRPr="00792B36" w:rsidRDefault="009A0A63" w:rsidP="00A24459">
            <w:pPr>
              <w:jc w:val="center"/>
              <w:rPr>
                <w:sz w:val="24"/>
                <w:szCs w:val="24"/>
              </w:rPr>
            </w:pPr>
            <w:r w:rsidRPr="00792B36">
              <w:rPr>
                <w:sz w:val="24"/>
                <w:szCs w:val="24"/>
                <w:cs/>
              </w:rPr>
              <w:t>887</w:t>
            </w:r>
          </w:p>
        </w:tc>
        <w:tc>
          <w:tcPr>
            <w:tcW w:w="1134" w:type="dxa"/>
          </w:tcPr>
          <w:p w14:paraId="287178FE" w14:textId="77777777" w:rsidR="009A0A63" w:rsidRPr="00792B36" w:rsidRDefault="009A0A63" w:rsidP="00A24459">
            <w:pPr>
              <w:jc w:val="center"/>
              <w:rPr>
                <w:sz w:val="24"/>
                <w:szCs w:val="24"/>
              </w:rPr>
            </w:pPr>
            <w:r w:rsidRPr="00792B36">
              <w:rPr>
                <w:sz w:val="24"/>
                <w:szCs w:val="24"/>
                <w:cs/>
              </w:rPr>
              <w:t>1,511</w:t>
            </w:r>
          </w:p>
        </w:tc>
        <w:tc>
          <w:tcPr>
            <w:tcW w:w="1134" w:type="dxa"/>
          </w:tcPr>
          <w:p w14:paraId="243B61BF" w14:textId="77777777" w:rsidR="009A0A63" w:rsidRPr="00792B36" w:rsidRDefault="009A0A63" w:rsidP="00A24459">
            <w:pPr>
              <w:jc w:val="center"/>
              <w:rPr>
                <w:sz w:val="24"/>
                <w:szCs w:val="24"/>
                <w:cs/>
              </w:rPr>
            </w:pPr>
            <w:r w:rsidRPr="00792B36">
              <w:rPr>
                <w:sz w:val="24"/>
                <w:szCs w:val="24"/>
                <w:cs/>
              </w:rPr>
              <w:t>1,509</w:t>
            </w:r>
          </w:p>
        </w:tc>
        <w:tc>
          <w:tcPr>
            <w:tcW w:w="1134" w:type="dxa"/>
          </w:tcPr>
          <w:p w14:paraId="15219C14" w14:textId="77777777" w:rsidR="009A0A63" w:rsidRPr="00792B36" w:rsidRDefault="009A0A63" w:rsidP="00A24459">
            <w:pPr>
              <w:jc w:val="center"/>
              <w:rPr>
                <w:sz w:val="24"/>
                <w:szCs w:val="24"/>
                <w:cs/>
              </w:rPr>
            </w:pPr>
            <w:r w:rsidRPr="00792B36">
              <w:rPr>
                <w:sz w:val="24"/>
                <w:szCs w:val="24"/>
                <w:cs/>
              </w:rPr>
              <w:t>1,403</w:t>
            </w:r>
          </w:p>
        </w:tc>
        <w:tc>
          <w:tcPr>
            <w:tcW w:w="1134" w:type="dxa"/>
          </w:tcPr>
          <w:p w14:paraId="456D6DE0" w14:textId="77777777" w:rsidR="009A0A63" w:rsidRPr="00792B36" w:rsidRDefault="009A0A63" w:rsidP="00A24459">
            <w:pPr>
              <w:jc w:val="center"/>
              <w:rPr>
                <w:sz w:val="24"/>
                <w:szCs w:val="24"/>
                <w:cs/>
              </w:rPr>
            </w:pPr>
            <w:r w:rsidRPr="00792B36">
              <w:rPr>
                <w:sz w:val="24"/>
                <w:szCs w:val="24"/>
                <w:cs/>
              </w:rPr>
              <w:t>1,418</w:t>
            </w:r>
          </w:p>
        </w:tc>
        <w:tc>
          <w:tcPr>
            <w:tcW w:w="1134" w:type="dxa"/>
          </w:tcPr>
          <w:p w14:paraId="121D1693" w14:textId="77777777" w:rsidR="009A0A63" w:rsidRPr="00792B36" w:rsidRDefault="009A0A63" w:rsidP="00A24459">
            <w:pPr>
              <w:jc w:val="center"/>
              <w:rPr>
                <w:sz w:val="24"/>
                <w:szCs w:val="24"/>
                <w:cs/>
              </w:rPr>
            </w:pPr>
            <w:r w:rsidRPr="00792B36">
              <w:rPr>
                <w:sz w:val="24"/>
                <w:szCs w:val="24"/>
                <w:cs/>
              </w:rPr>
              <w:t>1,275</w:t>
            </w:r>
          </w:p>
        </w:tc>
      </w:tr>
      <w:tr w:rsidR="009A0A63" w:rsidRPr="00792B36" w14:paraId="7C8568C3" w14:textId="77777777" w:rsidTr="00A24459">
        <w:trPr>
          <w:trHeight w:val="283"/>
        </w:trPr>
        <w:tc>
          <w:tcPr>
            <w:tcW w:w="2569" w:type="dxa"/>
            <w:vAlign w:val="center"/>
          </w:tcPr>
          <w:p w14:paraId="3C25CE45" w14:textId="77777777" w:rsidR="009A0A63" w:rsidRPr="00792B36" w:rsidRDefault="009A0A63" w:rsidP="00A24459">
            <w:pPr>
              <w:jc w:val="thaiDistribute"/>
              <w:rPr>
                <w:sz w:val="24"/>
                <w:szCs w:val="24"/>
              </w:rPr>
            </w:pPr>
            <w:r w:rsidRPr="00792B36">
              <w:rPr>
                <w:rFonts w:eastAsia="Times New Roman"/>
                <w:color w:val="000000"/>
                <w:sz w:val="24"/>
                <w:szCs w:val="24"/>
              </w:rPr>
              <w:t>Hook and lines</w:t>
            </w:r>
          </w:p>
        </w:tc>
        <w:tc>
          <w:tcPr>
            <w:tcW w:w="1134" w:type="dxa"/>
          </w:tcPr>
          <w:p w14:paraId="11670A5B" w14:textId="77777777" w:rsidR="009A0A63" w:rsidRPr="00792B36" w:rsidRDefault="009A0A63" w:rsidP="00A24459">
            <w:pPr>
              <w:jc w:val="center"/>
              <w:rPr>
                <w:sz w:val="24"/>
                <w:szCs w:val="24"/>
              </w:rPr>
            </w:pPr>
            <w:r w:rsidRPr="00792B36">
              <w:rPr>
                <w:sz w:val="24"/>
                <w:szCs w:val="24"/>
                <w:cs/>
              </w:rPr>
              <w:t>80</w:t>
            </w:r>
          </w:p>
        </w:tc>
        <w:tc>
          <w:tcPr>
            <w:tcW w:w="1134" w:type="dxa"/>
          </w:tcPr>
          <w:p w14:paraId="39050978" w14:textId="77777777" w:rsidR="009A0A63" w:rsidRPr="00792B36" w:rsidRDefault="009A0A63" w:rsidP="00A24459">
            <w:pPr>
              <w:jc w:val="center"/>
              <w:rPr>
                <w:sz w:val="24"/>
                <w:szCs w:val="24"/>
              </w:rPr>
            </w:pPr>
            <w:r w:rsidRPr="00792B36">
              <w:rPr>
                <w:sz w:val="24"/>
                <w:szCs w:val="24"/>
                <w:cs/>
              </w:rPr>
              <w:t>79</w:t>
            </w:r>
          </w:p>
        </w:tc>
        <w:tc>
          <w:tcPr>
            <w:tcW w:w="1134" w:type="dxa"/>
          </w:tcPr>
          <w:p w14:paraId="11491438" w14:textId="77777777" w:rsidR="009A0A63" w:rsidRPr="00792B36" w:rsidRDefault="009A0A63" w:rsidP="00A24459">
            <w:pPr>
              <w:jc w:val="center"/>
              <w:rPr>
                <w:sz w:val="24"/>
                <w:szCs w:val="24"/>
              </w:rPr>
            </w:pPr>
            <w:r w:rsidRPr="00792B36">
              <w:rPr>
                <w:sz w:val="24"/>
                <w:szCs w:val="24"/>
                <w:cs/>
              </w:rPr>
              <w:t>7,332</w:t>
            </w:r>
          </w:p>
        </w:tc>
        <w:tc>
          <w:tcPr>
            <w:tcW w:w="1134" w:type="dxa"/>
          </w:tcPr>
          <w:p w14:paraId="3B9950BB" w14:textId="77777777" w:rsidR="009A0A63" w:rsidRPr="00792B36" w:rsidRDefault="009A0A63" w:rsidP="00A24459">
            <w:pPr>
              <w:jc w:val="center"/>
              <w:rPr>
                <w:sz w:val="24"/>
                <w:szCs w:val="24"/>
              </w:rPr>
            </w:pPr>
            <w:r w:rsidRPr="00792B36">
              <w:rPr>
                <w:sz w:val="24"/>
                <w:szCs w:val="24"/>
                <w:cs/>
              </w:rPr>
              <w:t>7,267</w:t>
            </w:r>
          </w:p>
        </w:tc>
        <w:tc>
          <w:tcPr>
            <w:tcW w:w="1134" w:type="dxa"/>
          </w:tcPr>
          <w:p w14:paraId="03BAEC1B" w14:textId="77777777" w:rsidR="009A0A63" w:rsidRPr="00792B36" w:rsidRDefault="009A0A63" w:rsidP="00A24459">
            <w:pPr>
              <w:jc w:val="center"/>
              <w:rPr>
                <w:sz w:val="24"/>
                <w:szCs w:val="24"/>
              </w:rPr>
            </w:pPr>
            <w:r w:rsidRPr="00792B36">
              <w:rPr>
                <w:sz w:val="24"/>
                <w:szCs w:val="24"/>
                <w:cs/>
              </w:rPr>
              <w:t>6,577</w:t>
            </w:r>
          </w:p>
        </w:tc>
        <w:tc>
          <w:tcPr>
            <w:tcW w:w="1134" w:type="dxa"/>
          </w:tcPr>
          <w:p w14:paraId="350076F1" w14:textId="77777777" w:rsidR="009A0A63" w:rsidRPr="00792B36" w:rsidRDefault="009A0A63" w:rsidP="00A24459">
            <w:pPr>
              <w:jc w:val="center"/>
              <w:rPr>
                <w:sz w:val="24"/>
                <w:szCs w:val="24"/>
                <w:cs/>
              </w:rPr>
            </w:pPr>
            <w:r w:rsidRPr="00792B36">
              <w:rPr>
                <w:sz w:val="24"/>
                <w:szCs w:val="24"/>
                <w:cs/>
              </w:rPr>
              <w:t>7,398</w:t>
            </w:r>
          </w:p>
        </w:tc>
        <w:tc>
          <w:tcPr>
            <w:tcW w:w="1134" w:type="dxa"/>
          </w:tcPr>
          <w:p w14:paraId="6DDFB8B1" w14:textId="77777777" w:rsidR="009A0A63" w:rsidRPr="00792B36" w:rsidRDefault="009A0A63" w:rsidP="00A24459">
            <w:pPr>
              <w:jc w:val="center"/>
              <w:rPr>
                <w:sz w:val="24"/>
                <w:szCs w:val="24"/>
                <w:cs/>
              </w:rPr>
            </w:pPr>
            <w:r w:rsidRPr="00792B36">
              <w:rPr>
                <w:sz w:val="24"/>
                <w:szCs w:val="24"/>
                <w:cs/>
              </w:rPr>
              <w:t>6,833</w:t>
            </w:r>
          </w:p>
        </w:tc>
        <w:tc>
          <w:tcPr>
            <w:tcW w:w="1134" w:type="dxa"/>
          </w:tcPr>
          <w:p w14:paraId="3ABD4088" w14:textId="77777777" w:rsidR="009A0A63" w:rsidRPr="00792B36" w:rsidRDefault="009A0A63" w:rsidP="00A24459">
            <w:pPr>
              <w:jc w:val="center"/>
              <w:rPr>
                <w:sz w:val="24"/>
                <w:szCs w:val="24"/>
                <w:cs/>
              </w:rPr>
            </w:pPr>
            <w:r w:rsidRPr="00792B36">
              <w:rPr>
                <w:sz w:val="24"/>
                <w:szCs w:val="24"/>
                <w:cs/>
              </w:rPr>
              <w:t>6,76</w:t>
            </w:r>
          </w:p>
        </w:tc>
        <w:tc>
          <w:tcPr>
            <w:tcW w:w="1134" w:type="dxa"/>
          </w:tcPr>
          <w:p w14:paraId="09618058" w14:textId="77777777" w:rsidR="009A0A63" w:rsidRPr="00792B36" w:rsidRDefault="009A0A63" w:rsidP="00A24459">
            <w:pPr>
              <w:jc w:val="center"/>
              <w:rPr>
                <w:sz w:val="24"/>
                <w:szCs w:val="24"/>
                <w:cs/>
              </w:rPr>
            </w:pPr>
            <w:r w:rsidRPr="00792B36">
              <w:rPr>
                <w:sz w:val="24"/>
                <w:szCs w:val="24"/>
                <w:cs/>
              </w:rPr>
              <w:t>6,129</w:t>
            </w:r>
          </w:p>
        </w:tc>
      </w:tr>
      <w:tr w:rsidR="009A0A63" w:rsidRPr="00792B36" w14:paraId="057FA2D5" w14:textId="77777777" w:rsidTr="00A24459">
        <w:trPr>
          <w:trHeight w:val="283"/>
        </w:trPr>
        <w:tc>
          <w:tcPr>
            <w:tcW w:w="2569" w:type="dxa"/>
            <w:tcBorders>
              <w:bottom w:val="single" w:sz="4" w:space="0" w:color="auto"/>
            </w:tcBorders>
            <w:vAlign w:val="center"/>
          </w:tcPr>
          <w:p w14:paraId="2510F4E8" w14:textId="77777777" w:rsidR="009A0A63" w:rsidRPr="00792B36" w:rsidRDefault="009A0A63" w:rsidP="00A24459">
            <w:pPr>
              <w:jc w:val="thaiDistribute"/>
              <w:rPr>
                <w:sz w:val="24"/>
                <w:szCs w:val="24"/>
              </w:rPr>
            </w:pPr>
            <w:r w:rsidRPr="00792B36">
              <w:rPr>
                <w:rFonts w:eastAsia="Times New Roman"/>
                <w:color w:val="000000"/>
                <w:sz w:val="24"/>
                <w:szCs w:val="24"/>
              </w:rPr>
              <w:t>Miscellaneous gear</w:t>
            </w:r>
          </w:p>
        </w:tc>
        <w:tc>
          <w:tcPr>
            <w:tcW w:w="1134" w:type="dxa"/>
            <w:tcBorders>
              <w:bottom w:val="single" w:sz="4" w:space="0" w:color="auto"/>
            </w:tcBorders>
          </w:tcPr>
          <w:p w14:paraId="169029B2" w14:textId="77777777" w:rsidR="009A0A63" w:rsidRPr="00792B36" w:rsidRDefault="009A0A63" w:rsidP="00A24459">
            <w:pPr>
              <w:jc w:val="center"/>
              <w:rPr>
                <w:sz w:val="24"/>
                <w:szCs w:val="24"/>
              </w:rPr>
            </w:pPr>
            <w:r w:rsidRPr="00792B36">
              <w:rPr>
                <w:sz w:val="24"/>
                <w:szCs w:val="24"/>
                <w:cs/>
              </w:rPr>
              <w:t>1,460</w:t>
            </w:r>
          </w:p>
        </w:tc>
        <w:tc>
          <w:tcPr>
            <w:tcW w:w="1134" w:type="dxa"/>
            <w:tcBorders>
              <w:bottom w:val="single" w:sz="4" w:space="0" w:color="auto"/>
            </w:tcBorders>
          </w:tcPr>
          <w:p w14:paraId="339C5B18" w14:textId="77777777" w:rsidR="009A0A63" w:rsidRPr="00792B36" w:rsidRDefault="009A0A63" w:rsidP="00A24459">
            <w:pPr>
              <w:jc w:val="center"/>
              <w:rPr>
                <w:sz w:val="24"/>
                <w:szCs w:val="24"/>
              </w:rPr>
            </w:pPr>
            <w:r w:rsidRPr="00792B36">
              <w:rPr>
                <w:sz w:val="24"/>
                <w:szCs w:val="24"/>
                <w:cs/>
              </w:rPr>
              <w:t>1,443</w:t>
            </w:r>
          </w:p>
        </w:tc>
        <w:tc>
          <w:tcPr>
            <w:tcW w:w="1134" w:type="dxa"/>
            <w:tcBorders>
              <w:bottom w:val="single" w:sz="4" w:space="0" w:color="auto"/>
            </w:tcBorders>
          </w:tcPr>
          <w:p w14:paraId="105F81DC" w14:textId="77777777" w:rsidR="009A0A63" w:rsidRPr="00792B36" w:rsidRDefault="009A0A63" w:rsidP="00A24459">
            <w:pPr>
              <w:jc w:val="center"/>
              <w:rPr>
                <w:sz w:val="24"/>
                <w:szCs w:val="24"/>
              </w:rPr>
            </w:pPr>
            <w:r w:rsidRPr="00792B36">
              <w:rPr>
                <w:sz w:val="24"/>
                <w:szCs w:val="24"/>
                <w:cs/>
              </w:rPr>
              <w:t>1,430</w:t>
            </w:r>
          </w:p>
        </w:tc>
        <w:tc>
          <w:tcPr>
            <w:tcW w:w="1134" w:type="dxa"/>
            <w:tcBorders>
              <w:bottom w:val="single" w:sz="4" w:space="0" w:color="auto"/>
            </w:tcBorders>
          </w:tcPr>
          <w:p w14:paraId="3B059C1B" w14:textId="77777777" w:rsidR="009A0A63" w:rsidRPr="00792B36" w:rsidRDefault="009A0A63" w:rsidP="00A24459">
            <w:pPr>
              <w:jc w:val="center"/>
              <w:rPr>
                <w:sz w:val="24"/>
                <w:szCs w:val="24"/>
              </w:rPr>
            </w:pPr>
            <w:r w:rsidRPr="00792B36">
              <w:rPr>
                <w:sz w:val="24"/>
                <w:szCs w:val="24"/>
                <w:cs/>
              </w:rPr>
              <w:t>1,439</w:t>
            </w:r>
          </w:p>
        </w:tc>
        <w:tc>
          <w:tcPr>
            <w:tcW w:w="1134" w:type="dxa"/>
            <w:tcBorders>
              <w:bottom w:val="single" w:sz="4" w:space="0" w:color="auto"/>
            </w:tcBorders>
          </w:tcPr>
          <w:p w14:paraId="614280B6" w14:textId="77777777" w:rsidR="009A0A63" w:rsidRPr="00792B36" w:rsidRDefault="009A0A63" w:rsidP="00A24459">
            <w:pPr>
              <w:jc w:val="center"/>
              <w:rPr>
                <w:sz w:val="24"/>
                <w:szCs w:val="24"/>
              </w:rPr>
            </w:pPr>
            <w:r w:rsidRPr="00792B36">
              <w:rPr>
                <w:sz w:val="24"/>
                <w:szCs w:val="24"/>
                <w:cs/>
              </w:rPr>
              <w:t>1,395</w:t>
            </w:r>
          </w:p>
        </w:tc>
        <w:tc>
          <w:tcPr>
            <w:tcW w:w="1134" w:type="dxa"/>
            <w:tcBorders>
              <w:bottom w:val="single" w:sz="4" w:space="0" w:color="auto"/>
            </w:tcBorders>
          </w:tcPr>
          <w:p w14:paraId="4F50BC34" w14:textId="77777777" w:rsidR="009A0A63" w:rsidRPr="00792B36" w:rsidRDefault="009A0A63" w:rsidP="00A24459">
            <w:pPr>
              <w:jc w:val="center"/>
              <w:rPr>
                <w:sz w:val="24"/>
                <w:szCs w:val="24"/>
                <w:cs/>
              </w:rPr>
            </w:pPr>
            <w:r w:rsidRPr="00792B36">
              <w:rPr>
                <w:sz w:val="24"/>
                <w:szCs w:val="24"/>
                <w:cs/>
              </w:rPr>
              <w:t>1,391</w:t>
            </w:r>
          </w:p>
        </w:tc>
        <w:tc>
          <w:tcPr>
            <w:tcW w:w="1134" w:type="dxa"/>
            <w:tcBorders>
              <w:bottom w:val="single" w:sz="4" w:space="0" w:color="auto"/>
            </w:tcBorders>
          </w:tcPr>
          <w:p w14:paraId="6750FAEB" w14:textId="77777777" w:rsidR="009A0A63" w:rsidRPr="00792B36" w:rsidRDefault="009A0A63" w:rsidP="00A24459">
            <w:pPr>
              <w:jc w:val="center"/>
              <w:rPr>
                <w:sz w:val="24"/>
                <w:szCs w:val="24"/>
                <w:cs/>
              </w:rPr>
            </w:pPr>
            <w:r w:rsidRPr="00792B36">
              <w:rPr>
                <w:sz w:val="24"/>
                <w:szCs w:val="24"/>
                <w:cs/>
              </w:rPr>
              <w:t>1,331</w:t>
            </w:r>
          </w:p>
        </w:tc>
        <w:tc>
          <w:tcPr>
            <w:tcW w:w="1134" w:type="dxa"/>
            <w:tcBorders>
              <w:bottom w:val="single" w:sz="4" w:space="0" w:color="auto"/>
            </w:tcBorders>
          </w:tcPr>
          <w:p w14:paraId="28B6F605" w14:textId="77777777" w:rsidR="009A0A63" w:rsidRPr="00792B36" w:rsidRDefault="009A0A63" w:rsidP="00A24459">
            <w:pPr>
              <w:jc w:val="center"/>
              <w:rPr>
                <w:sz w:val="24"/>
                <w:szCs w:val="24"/>
                <w:cs/>
              </w:rPr>
            </w:pPr>
            <w:r w:rsidRPr="00792B36">
              <w:rPr>
                <w:sz w:val="24"/>
                <w:szCs w:val="24"/>
                <w:cs/>
              </w:rPr>
              <w:t>1,327</w:t>
            </w:r>
          </w:p>
        </w:tc>
        <w:tc>
          <w:tcPr>
            <w:tcW w:w="1134" w:type="dxa"/>
            <w:tcBorders>
              <w:bottom w:val="single" w:sz="4" w:space="0" w:color="auto"/>
            </w:tcBorders>
          </w:tcPr>
          <w:p w14:paraId="0E08DFD5" w14:textId="77777777" w:rsidR="009A0A63" w:rsidRPr="00792B36" w:rsidRDefault="009A0A63" w:rsidP="00A24459">
            <w:pPr>
              <w:jc w:val="center"/>
              <w:rPr>
                <w:sz w:val="24"/>
                <w:szCs w:val="24"/>
                <w:cs/>
              </w:rPr>
            </w:pPr>
            <w:r w:rsidRPr="00792B36">
              <w:rPr>
                <w:sz w:val="24"/>
                <w:szCs w:val="24"/>
                <w:cs/>
              </w:rPr>
              <w:t>1,223</w:t>
            </w:r>
          </w:p>
        </w:tc>
      </w:tr>
      <w:tr w:rsidR="009A0A63" w:rsidRPr="00792B36" w14:paraId="1E19808E" w14:textId="77777777" w:rsidTr="00A24459">
        <w:trPr>
          <w:trHeight w:val="283"/>
        </w:trPr>
        <w:tc>
          <w:tcPr>
            <w:tcW w:w="2569" w:type="dxa"/>
            <w:tcBorders>
              <w:top w:val="single" w:sz="4" w:space="0" w:color="auto"/>
              <w:bottom w:val="single" w:sz="4" w:space="0" w:color="auto"/>
            </w:tcBorders>
            <w:vAlign w:val="center"/>
          </w:tcPr>
          <w:p w14:paraId="0C967E8D" w14:textId="77777777" w:rsidR="009A0A63" w:rsidRPr="00792B36" w:rsidRDefault="009A0A63" w:rsidP="00A24459">
            <w:pPr>
              <w:jc w:val="thaiDistribute"/>
              <w:rPr>
                <w:sz w:val="24"/>
                <w:szCs w:val="24"/>
              </w:rPr>
            </w:pPr>
            <w:r w:rsidRPr="00792B36">
              <w:rPr>
                <w:rFonts w:eastAsia="Times New Roman"/>
                <w:b/>
                <w:bCs/>
                <w:color w:val="000000"/>
                <w:sz w:val="24"/>
                <w:szCs w:val="24"/>
              </w:rPr>
              <w:t>Total</w:t>
            </w:r>
          </w:p>
        </w:tc>
        <w:tc>
          <w:tcPr>
            <w:tcW w:w="1134" w:type="dxa"/>
            <w:tcBorders>
              <w:top w:val="single" w:sz="4" w:space="0" w:color="auto"/>
              <w:bottom w:val="single" w:sz="4" w:space="0" w:color="auto"/>
            </w:tcBorders>
          </w:tcPr>
          <w:p w14:paraId="0481B168" w14:textId="77777777" w:rsidR="009A0A63" w:rsidRPr="00792B36" w:rsidRDefault="009A0A63" w:rsidP="00A24459">
            <w:pPr>
              <w:jc w:val="center"/>
              <w:rPr>
                <w:b/>
                <w:bCs/>
                <w:sz w:val="24"/>
                <w:szCs w:val="24"/>
              </w:rPr>
            </w:pPr>
            <w:r w:rsidRPr="00792B36">
              <w:rPr>
                <w:b/>
                <w:bCs/>
                <w:sz w:val="24"/>
                <w:szCs w:val="24"/>
                <w:cs/>
              </w:rPr>
              <w:t>9,096</w:t>
            </w:r>
          </w:p>
        </w:tc>
        <w:tc>
          <w:tcPr>
            <w:tcW w:w="1134" w:type="dxa"/>
            <w:tcBorders>
              <w:top w:val="single" w:sz="4" w:space="0" w:color="auto"/>
              <w:bottom w:val="single" w:sz="4" w:space="0" w:color="auto"/>
            </w:tcBorders>
          </w:tcPr>
          <w:p w14:paraId="7E7F8F83" w14:textId="77777777" w:rsidR="009A0A63" w:rsidRPr="00792B36" w:rsidRDefault="009A0A63" w:rsidP="00A24459">
            <w:pPr>
              <w:jc w:val="center"/>
              <w:rPr>
                <w:b/>
                <w:bCs/>
                <w:sz w:val="24"/>
                <w:szCs w:val="24"/>
              </w:rPr>
            </w:pPr>
            <w:r w:rsidRPr="00792B36">
              <w:rPr>
                <w:b/>
                <w:bCs/>
                <w:sz w:val="24"/>
                <w:szCs w:val="24"/>
                <w:cs/>
              </w:rPr>
              <w:t>8,879</w:t>
            </w:r>
          </w:p>
        </w:tc>
        <w:tc>
          <w:tcPr>
            <w:tcW w:w="1134" w:type="dxa"/>
            <w:tcBorders>
              <w:top w:val="single" w:sz="4" w:space="0" w:color="auto"/>
              <w:bottom w:val="single" w:sz="4" w:space="0" w:color="auto"/>
            </w:tcBorders>
          </w:tcPr>
          <w:p w14:paraId="7EB17F49" w14:textId="77777777" w:rsidR="009A0A63" w:rsidRPr="00792B36" w:rsidRDefault="009A0A63" w:rsidP="00A24459">
            <w:pPr>
              <w:jc w:val="center"/>
              <w:rPr>
                <w:b/>
                <w:bCs/>
                <w:sz w:val="24"/>
                <w:szCs w:val="24"/>
              </w:rPr>
            </w:pPr>
            <w:r w:rsidRPr="00792B36">
              <w:rPr>
                <w:b/>
                <w:bCs/>
                <w:sz w:val="24"/>
                <w:szCs w:val="24"/>
                <w:cs/>
              </w:rPr>
              <w:t>16,509</w:t>
            </w:r>
          </w:p>
        </w:tc>
        <w:tc>
          <w:tcPr>
            <w:tcW w:w="1134" w:type="dxa"/>
            <w:tcBorders>
              <w:top w:val="single" w:sz="4" w:space="0" w:color="auto"/>
              <w:bottom w:val="single" w:sz="4" w:space="0" w:color="auto"/>
            </w:tcBorders>
          </w:tcPr>
          <w:p w14:paraId="7A6D0688" w14:textId="77777777" w:rsidR="009A0A63" w:rsidRPr="00792B36" w:rsidRDefault="009A0A63" w:rsidP="00A24459">
            <w:pPr>
              <w:jc w:val="center"/>
              <w:rPr>
                <w:b/>
                <w:bCs/>
                <w:sz w:val="24"/>
                <w:szCs w:val="24"/>
              </w:rPr>
            </w:pPr>
            <w:r w:rsidRPr="00792B36">
              <w:rPr>
                <w:b/>
                <w:bCs/>
                <w:sz w:val="24"/>
                <w:szCs w:val="24"/>
                <w:cs/>
              </w:rPr>
              <w:t>16,347</w:t>
            </w:r>
          </w:p>
        </w:tc>
        <w:tc>
          <w:tcPr>
            <w:tcW w:w="1134" w:type="dxa"/>
            <w:tcBorders>
              <w:top w:val="single" w:sz="4" w:space="0" w:color="auto"/>
              <w:bottom w:val="single" w:sz="4" w:space="0" w:color="auto"/>
            </w:tcBorders>
          </w:tcPr>
          <w:p w14:paraId="43A088B7" w14:textId="77777777" w:rsidR="009A0A63" w:rsidRPr="00792B36" w:rsidRDefault="009A0A63" w:rsidP="00A24459">
            <w:pPr>
              <w:jc w:val="center"/>
              <w:rPr>
                <w:b/>
                <w:bCs/>
                <w:sz w:val="24"/>
                <w:szCs w:val="24"/>
              </w:rPr>
            </w:pPr>
            <w:r w:rsidRPr="00792B36">
              <w:rPr>
                <w:b/>
                <w:bCs/>
                <w:sz w:val="24"/>
                <w:szCs w:val="24"/>
                <w:cs/>
              </w:rPr>
              <w:t>16,252</w:t>
            </w:r>
          </w:p>
        </w:tc>
        <w:tc>
          <w:tcPr>
            <w:tcW w:w="1134" w:type="dxa"/>
            <w:tcBorders>
              <w:top w:val="single" w:sz="4" w:space="0" w:color="auto"/>
              <w:bottom w:val="single" w:sz="4" w:space="0" w:color="auto"/>
            </w:tcBorders>
          </w:tcPr>
          <w:p w14:paraId="00A9B152" w14:textId="77777777" w:rsidR="009A0A63" w:rsidRPr="00792B36" w:rsidRDefault="009A0A63" w:rsidP="00A24459">
            <w:pPr>
              <w:jc w:val="center"/>
              <w:rPr>
                <w:b/>
                <w:bCs/>
                <w:sz w:val="24"/>
                <w:szCs w:val="24"/>
                <w:cs/>
              </w:rPr>
            </w:pPr>
            <w:r w:rsidRPr="00792B36">
              <w:rPr>
                <w:b/>
                <w:bCs/>
                <w:sz w:val="24"/>
                <w:szCs w:val="24"/>
                <w:cs/>
              </w:rPr>
              <w:t>16,837</w:t>
            </w:r>
            <w:r w:rsidRPr="00792B36">
              <w:rPr>
                <w:b/>
                <w:bCs/>
                <w:sz w:val="24"/>
                <w:szCs w:val="24"/>
              </w:rPr>
              <w:t xml:space="preserve"> </w:t>
            </w:r>
          </w:p>
        </w:tc>
        <w:tc>
          <w:tcPr>
            <w:tcW w:w="1134" w:type="dxa"/>
            <w:tcBorders>
              <w:top w:val="single" w:sz="4" w:space="0" w:color="auto"/>
              <w:bottom w:val="single" w:sz="4" w:space="0" w:color="auto"/>
            </w:tcBorders>
          </w:tcPr>
          <w:p w14:paraId="09044C4B" w14:textId="77777777" w:rsidR="009A0A63" w:rsidRPr="00792B36" w:rsidRDefault="009A0A63" w:rsidP="00A24459">
            <w:pPr>
              <w:jc w:val="center"/>
              <w:rPr>
                <w:b/>
                <w:bCs/>
                <w:sz w:val="24"/>
                <w:szCs w:val="24"/>
                <w:cs/>
              </w:rPr>
            </w:pPr>
            <w:r w:rsidRPr="00792B36">
              <w:rPr>
                <w:b/>
                <w:bCs/>
                <w:sz w:val="24"/>
                <w:szCs w:val="24"/>
                <w:cs/>
              </w:rPr>
              <w:t>15,715</w:t>
            </w:r>
          </w:p>
        </w:tc>
        <w:tc>
          <w:tcPr>
            <w:tcW w:w="1134" w:type="dxa"/>
            <w:tcBorders>
              <w:top w:val="single" w:sz="4" w:space="0" w:color="auto"/>
              <w:bottom w:val="single" w:sz="4" w:space="0" w:color="auto"/>
            </w:tcBorders>
          </w:tcPr>
          <w:p w14:paraId="04EF80E3" w14:textId="77777777" w:rsidR="009A0A63" w:rsidRPr="00792B36" w:rsidRDefault="009A0A63" w:rsidP="00A24459">
            <w:pPr>
              <w:jc w:val="center"/>
              <w:rPr>
                <w:b/>
                <w:bCs/>
                <w:sz w:val="24"/>
                <w:szCs w:val="24"/>
                <w:cs/>
              </w:rPr>
            </w:pPr>
            <w:r w:rsidRPr="00792B36">
              <w:rPr>
                <w:b/>
                <w:bCs/>
                <w:sz w:val="24"/>
                <w:szCs w:val="24"/>
                <w:cs/>
              </w:rPr>
              <w:t>15,578</w:t>
            </w:r>
          </w:p>
        </w:tc>
        <w:tc>
          <w:tcPr>
            <w:tcW w:w="1134" w:type="dxa"/>
            <w:tcBorders>
              <w:top w:val="single" w:sz="4" w:space="0" w:color="auto"/>
              <w:bottom w:val="single" w:sz="4" w:space="0" w:color="auto"/>
            </w:tcBorders>
          </w:tcPr>
          <w:p w14:paraId="733046D0" w14:textId="77777777" w:rsidR="009A0A63" w:rsidRPr="00792B36" w:rsidRDefault="009A0A63" w:rsidP="00A24459">
            <w:pPr>
              <w:jc w:val="center"/>
              <w:rPr>
                <w:b/>
                <w:bCs/>
                <w:sz w:val="24"/>
                <w:szCs w:val="24"/>
                <w:cs/>
              </w:rPr>
            </w:pPr>
            <w:r w:rsidRPr="00792B36">
              <w:rPr>
                <w:b/>
                <w:bCs/>
                <w:sz w:val="24"/>
                <w:szCs w:val="24"/>
                <w:cs/>
              </w:rPr>
              <w:t>14,196</w:t>
            </w:r>
          </w:p>
        </w:tc>
      </w:tr>
    </w:tbl>
    <w:p w14:paraId="5365815B" w14:textId="77777777" w:rsidR="009A0A63" w:rsidRPr="00792B36" w:rsidRDefault="009A0A63" w:rsidP="009A0A63">
      <w:pPr>
        <w:jc w:val="thaiDistribute"/>
        <w:rPr>
          <w:sz w:val="24"/>
          <w:szCs w:val="24"/>
        </w:rPr>
      </w:pPr>
    </w:p>
    <w:p w14:paraId="78205B9E" w14:textId="77777777" w:rsidR="009A0A63" w:rsidRPr="00792B36" w:rsidRDefault="009A0A63" w:rsidP="009A0A63">
      <w:pPr>
        <w:jc w:val="thaiDistribute"/>
        <w:rPr>
          <w:b/>
          <w:bCs/>
          <w:sz w:val="24"/>
          <w:szCs w:val="24"/>
        </w:rPr>
      </w:pPr>
    </w:p>
    <w:p w14:paraId="0C67BB41" w14:textId="77777777" w:rsidR="009A0A63" w:rsidRPr="00792B36" w:rsidRDefault="009A0A63" w:rsidP="009A0A63">
      <w:pPr>
        <w:jc w:val="thaiDistribute"/>
        <w:rPr>
          <w:b/>
          <w:bCs/>
          <w:sz w:val="24"/>
          <w:szCs w:val="24"/>
        </w:rPr>
      </w:pPr>
    </w:p>
    <w:p w14:paraId="02877406" w14:textId="77777777" w:rsidR="009A0A63" w:rsidRPr="00792B36" w:rsidRDefault="009A0A63" w:rsidP="009A0A63">
      <w:pPr>
        <w:jc w:val="thaiDistribute"/>
        <w:rPr>
          <w:b/>
          <w:bCs/>
          <w:sz w:val="24"/>
          <w:szCs w:val="24"/>
        </w:rPr>
      </w:pPr>
    </w:p>
    <w:p w14:paraId="217AC1A1" w14:textId="77777777" w:rsidR="009A0A63" w:rsidRPr="00792B36" w:rsidRDefault="009A0A63" w:rsidP="009A0A63">
      <w:pPr>
        <w:jc w:val="thaiDistribute"/>
        <w:rPr>
          <w:b/>
          <w:bCs/>
          <w:sz w:val="24"/>
          <w:szCs w:val="24"/>
        </w:rPr>
      </w:pPr>
    </w:p>
    <w:p w14:paraId="7D6300D9" w14:textId="77777777" w:rsidR="009A0A63" w:rsidRPr="00792B36" w:rsidRDefault="009A0A63" w:rsidP="009A0A63">
      <w:pPr>
        <w:jc w:val="thaiDistribute"/>
        <w:rPr>
          <w:b/>
          <w:bCs/>
          <w:sz w:val="24"/>
          <w:szCs w:val="24"/>
        </w:rPr>
      </w:pPr>
    </w:p>
    <w:p w14:paraId="5A2480FD" w14:textId="77777777" w:rsidR="009A0A63" w:rsidRPr="00792B36" w:rsidRDefault="009A0A63" w:rsidP="009A0A63">
      <w:pPr>
        <w:jc w:val="thaiDistribute"/>
        <w:rPr>
          <w:b/>
          <w:bCs/>
          <w:sz w:val="24"/>
          <w:szCs w:val="24"/>
        </w:rPr>
      </w:pPr>
    </w:p>
    <w:p w14:paraId="45754300" w14:textId="77777777" w:rsidR="009A0A63" w:rsidRPr="00792B36" w:rsidRDefault="009A0A63" w:rsidP="009A0A63">
      <w:pPr>
        <w:jc w:val="thaiDistribute"/>
        <w:rPr>
          <w:b/>
          <w:bCs/>
          <w:sz w:val="24"/>
          <w:szCs w:val="24"/>
        </w:rPr>
      </w:pPr>
    </w:p>
    <w:p w14:paraId="3E982FB7" w14:textId="77777777" w:rsidR="009A0A63" w:rsidRPr="00792B36" w:rsidRDefault="009A0A63" w:rsidP="009A0A63">
      <w:pPr>
        <w:jc w:val="thaiDistribute"/>
        <w:rPr>
          <w:b/>
          <w:bCs/>
          <w:sz w:val="24"/>
          <w:szCs w:val="24"/>
        </w:rPr>
      </w:pPr>
    </w:p>
    <w:p w14:paraId="6F6B5BB7" w14:textId="77777777" w:rsidR="009A0A63" w:rsidRPr="00792B36" w:rsidRDefault="009A0A63" w:rsidP="009A0A63">
      <w:pPr>
        <w:jc w:val="thaiDistribute"/>
        <w:rPr>
          <w:b/>
          <w:bCs/>
          <w:sz w:val="24"/>
          <w:szCs w:val="24"/>
        </w:rPr>
      </w:pPr>
    </w:p>
    <w:p w14:paraId="04AA6C54" w14:textId="77777777" w:rsidR="009A0A63" w:rsidRPr="00792B36" w:rsidRDefault="009A0A63" w:rsidP="009A0A63">
      <w:pPr>
        <w:jc w:val="thaiDistribute"/>
        <w:rPr>
          <w:b/>
          <w:bCs/>
          <w:sz w:val="24"/>
          <w:szCs w:val="24"/>
        </w:rPr>
      </w:pPr>
    </w:p>
    <w:p w14:paraId="190A74C3" w14:textId="77777777" w:rsidR="009A0A63" w:rsidRPr="00792B36" w:rsidRDefault="009A0A63" w:rsidP="009A0A63">
      <w:pPr>
        <w:jc w:val="thaiDistribute"/>
        <w:rPr>
          <w:b/>
          <w:bCs/>
          <w:sz w:val="24"/>
          <w:szCs w:val="24"/>
        </w:rPr>
      </w:pPr>
    </w:p>
    <w:p w14:paraId="412E10B1" w14:textId="77777777" w:rsidR="009A0A63" w:rsidRPr="00792B36" w:rsidRDefault="009A0A63" w:rsidP="009A0A63">
      <w:pPr>
        <w:jc w:val="thaiDistribute"/>
        <w:rPr>
          <w:b/>
          <w:bCs/>
          <w:sz w:val="24"/>
          <w:szCs w:val="24"/>
        </w:rPr>
      </w:pPr>
    </w:p>
    <w:p w14:paraId="1F432474" w14:textId="77777777" w:rsidR="009A0A63" w:rsidRPr="00792B36" w:rsidRDefault="009A0A63" w:rsidP="009A0A63">
      <w:pPr>
        <w:jc w:val="thaiDistribute"/>
        <w:rPr>
          <w:b/>
          <w:bCs/>
          <w:sz w:val="24"/>
          <w:szCs w:val="24"/>
        </w:rPr>
      </w:pPr>
    </w:p>
    <w:p w14:paraId="6DDA3AEC" w14:textId="77777777" w:rsidR="009A0A63" w:rsidRPr="00792B36" w:rsidRDefault="009A0A63" w:rsidP="009A0A63">
      <w:pPr>
        <w:jc w:val="thaiDistribute"/>
        <w:rPr>
          <w:b/>
          <w:bCs/>
          <w:sz w:val="24"/>
          <w:szCs w:val="24"/>
        </w:rPr>
      </w:pPr>
    </w:p>
    <w:p w14:paraId="68136632" w14:textId="77777777" w:rsidR="009A0A63" w:rsidRPr="00792B36" w:rsidRDefault="009A0A63" w:rsidP="009A0A63">
      <w:pPr>
        <w:jc w:val="thaiDistribute"/>
        <w:rPr>
          <w:b/>
          <w:bCs/>
          <w:sz w:val="24"/>
          <w:szCs w:val="24"/>
        </w:rPr>
      </w:pPr>
    </w:p>
    <w:p w14:paraId="4B446CBF" w14:textId="77777777" w:rsidR="009A0A63" w:rsidRPr="00792B36" w:rsidRDefault="009A0A63" w:rsidP="009A0A63">
      <w:pPr>
        <w:jc w:val="thaiDistribute"/>
        <w:rPr>
          <w:b/>
          <w:bCs/>
          <w:sz w:val="24"/>
          <w:szCs w:val="24"/>
        </w:rPr>
      </w:pPr>
    </w:p>
    <w:p w14:paraId="1B0CBA66" w14:textId="77777777" w:rsidR="009A0A63" w:rsidRPr="00792B36" w:rsidRDefault="009A0A63" w:rsidP="009A0A63">
      <w:pPr>
        <w:jc w:val="thaiDistribute"/>
        <w:rPr>
          <w:b/>
          <w:bCs/>
          <w:sz w:val="24"/>
          <w:szCs w:val="24"/>
        </w:rPr>
      </w:pPr>
    </w:p>
    <w:p w14:paraId="52579AD1" w14:textId="77777777" w:rsidR="009A0A63" w:rsidRPr="00792B36" w:rsidRDefault="009A0A63" w:rsidP="009A0A63">
      <w:pPr>
        <w:jc w:val="thaiDistribute"/>
        <w:rPr>
          <w:b/>
          <w:bCs/>
          <w:sz w:val="24"/>
          <w:szCs w:val="24"/>
        </w:rPr>
      </w:pPr>
    </w:p>
    <w:tbl>
      <w:tblPr>
        <w:tblStyle w:val="TableGrid"/>
        <w:tblW w:w="0" w:type="auto"/>
        <w:tblInd w:w="-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30"/>
        <w:gridCol w:w="10875"/>
      </w:tblGrid>
      <w:tr w:rsidR="009A0A63" w:rsidRPr="00792B36" w14:paraId="5038A582" w14:textId="77777777" w:rsidTr="00A24459">
        <w:tc>
          <w:tcPr>
            <w:tcW w:w="2030" w:type="dxa"/>
          </w:tcPr>
          <w:p w14:paraId="05DB33DF" w14:textId="77777777" w:rsidR="009A0A63" w:rsidRPr="00792B36" w:rsidRDefault="009A0A63" w:rsidP="00A24459">
            <w:pPr>
              <w:rPr>
                <w:sz w:val="24"/>
                <w:szCs w:val="24"/>
              </w:rPr>
            </w:pPr>
            <w:r w:rsidRPr="00792B36">
              <w:rPr>
                <w:b/>
                <w:bCs/>
                <w:sz w:val="24"/>
                <w:szCs w:val="24"/>
              </w:rPr>
              <w:t>Appendix Table 5</w:t>
            </w:r>
          </w:p>
        </w:tc>
        <w:tc>
          <w:tcPr>
            <w:tcW w:w="10875" w:type="dxa"/>
          </w:tcPr>
          <w:p w14:paraId="4561B3B9" w14:textId="77777777" w:rsidR="009A0A63" w:rsidRPr="00792B36" w:rsidRDefault="009A0A63" w:rsidP="00A24459">
            <w:pPr>
              <w:ind w:left="-13"/>
              <w:rPr>
                <w:sz w:val="24"/>
                <w:szCs w:val="24"/>
              </w:rPr>
            </w:pPr>
            <w:r w:rsidRPr="00792B36">
              <w:rPr>
                <w:sz w:val="24"/>
                <w:szCs w:val="24"/>
              </w:rPr>
              <w:t>Number of fishing gear units by types of fishing gear and coastal provinces along the Gulf of Thailand in 2024</w:t>
            </w:r>
          </w:p>
        </w:tc>
      </w:tr>
    </w:tbl>
    <w:p w14:paraId="28325C3F" w14:textId="77777777" w:rsidR="009A0A63" w:rsidRPr="00792B36" w:rsidRDefault="009A0A63" w:rsidP="009A0A63">
      <w:pPr>
        <w:rPr>
          <w:sz w:val="24"/>
          <w:szCs w:val="24"/>
        </w:rPr>
      </w:pPr>
    </w:p>
    <w:tbl>
      <w:tblPr>
        <w:tblStyle w:val="TableGrid"/>
        <w:tblW w:w="9498" w:type="dxa"/>
        <w:tblInd w:w="-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75"/>
        <w:gridCol w:w="1169"/>
        <w:gridCol w:w="1559"/>
        <w:gridCol w:w="1701"/>
        <w:gridCol w:w="1276"/>
        <w:gridCol w:w="1418"/>
      </w:tblGrid>
      <w:tr w:rsidR="009A0A63" w:rsidRPr="00792B36" w14:paraId="42259DF4" w14:textId="77777777" w:rsidTr="00A24459">
        <w:trPr>
          <w:trHeight w:val="395"/>
        </w:trPr>
        <w:tc>
          <w:tcPr>
            <w:tcW w:w="2375" w:type="dxa"/>
            <w:vMerge w:val="restart"/>
            <w:tcBorders>
              <w:top w:val="single" w:sz="4" w:space="0" w:color="auto"/>
            </w:tcBorders>
          </w:tcPr>
          <w:p w14:paraId="2F09A592" w14:textId="77777777" w:rsidR="009A0A63" w:rsidRPr="00792B36" w:rsidRDefault="009A0A63" w:rsidP="00A24459">
            <w:pPr>
              <w:jc w:val="center"/>
              <w:rPr>
                <w:b/>
                <w:bCs/>
                <w:sz w:val="24"/>
                <w:szCs w:val="24"/>
              </w:rPr>
            </w:pPr>
            <w:r w:rsidRPr="00792B36">
              <w:rPr>
                <w:b/>
                <w:bCs/>
                <w:sz w:val="24"/>
                <w:szCs w:val="24"/>
              </w:rPr>
              <w:t>Province</w:t>
            </w:r>
          </w:p>
        </w:tc>
        <w:tc>
          <w:tcPr>
            <w:tcW w:w="7123" w:type="dxa"/>
            <w:gridSpan w:val="5"/>
            <w:tcBorders>
              <w:top w:val="single" w:sz="4" w:space="0" w:color="auto"/>
              <w:bottom w:val="single" w:sz="4" w:space="0" w:color="auto"/>
            </w:tcBorders>
            <w:vAlign w:val="center"/>
          </w:tcPr>
          <w:p w14:paraId="20218CDC" w14:textId="77777777" w:rsidR="009A0A63" w:rsidRPr="00792B36" w:rsidRDefault="009A0A63" w:rsidP="00A24459">
            <w:pPr>
              <w:jc w:val="center"/>
              <w:rPr>
                <w:b/>
                <w:bCs/>
                <w:sz w:val="24"/>
                <w:szCs w:val="24"/>
              </w:rPr>
            </w:pPr>
            <w:r w:rsidRPr="00792B36">
              <w:rPr>
                <w:b/>
                <w:bCs/>
                <w:sz w:val="24"/>
                <w:szCs w:val="24"/>
              </w:rPr>
              <w:t>Number of fishing gear unit</w:t>
            </w:r>
          </w:p>
        </w:tc>
      </w:tr>
      <w:tr w:rsidR="009A0A63" w:rsidRPr="00792B36" w14:paraId="263B14A1" w14:textId="77777777" w:rsidTr="00A24459">
        <w:trPr>
          <w:trHeight w:val="395"/>
        </w:trPr>
        <w:tc>
          <w:tcPr>
            <w:tcW w:w="2375" w:type="dxa"/>
            <w:vMerge/>
            <w:tcBorders>
              <w:bottom w:val="single" w:sz="4" w:space="0" w:color="auto"/>
            </w:tcBorders>
            <w:vAlign w:val="center"/>
          </w:tcPr>
          <w:p w14:paraId="38295ECD" w14:textId="77777777" w:rsidR="009A0A63" w:rsidRPr="00792B36" w:rsidRDefault="009A0A63" w:rsidP="00A24459">
            <w:pPr>
              <w:rPr>
                <w:sz w:val="24"/>
                <w:szCs w:val="24"/>
              </w:rPr>
            </w:pPr>
          </w:p>
        </w:tc>
        <w:tc>
          <w:tcPr>
            <w:tcW w:w="1169" w:type="dxa"/>
            <w:tcBorders>
              <w:top w:val="single" w:sz="4" w:space="0" w:color="auto"/>
              <w:bottom w:val="single" w:sz="4" w:space="0" w:color="auto"/>
            </w:tcBorders>
            <w:vAlign w:val="center"/>
          </w:tcPr>
          <w:p w14:paraId="2626AB0D" w14:textId="77777777" w:rsidR="009A0A63" w:rsidRPr="00792B36" w:rsidRDefault="009A0A63" w:rsidP="00A24459">
            <w:pPr>
              <w:jc w:val="center"/>
              <w:rPr>
                <w:sz w:val="24"/>
                <w:szCs w:val="24"/>
              </w:rPr>
            </w:pPr>
            <w:r w:rsidRPr="00792B36">
              <w:rPr>
                <w:b/>
                <w:bCs/>
                <w:color w:val="000000"/>
                <w:sz w:val="24"/>
                <w:szCs w:val="24"/>
              </w:rPr>
              <w:t>Trawls</w:t>
            </w:r>
          </w:p>
        </w:tc>
        <w:tc>
          <w:tcPr>
            <w:tcW w:w="1559" w:type="dxa"/>
            <w:tcBorders>
              <w:top w:val="single" w:sz="4" w:space="0" w:color="auto"/>
              <w:bottom w:val="single" w:sz="4" w:space="0" w:color="auto"/>
            </w:tcBorders>
            <w:vAlign w:val="center"/>
          </w:tcPr>
          <w:p w14:paraId="347CDDA0" w14:textId="77777777" w:rsidR="009A0A63" w:rsidRPr="00792B36" w:rsidRDefault="009A0A63" w:rsidP="00A24459">
            <w:pPr>
              <w:jc w:val="center"/>
              <w:rPr>
                <w:sz w:val="24"/>
                <w:szCs w:val="24"/>
              </w:rPr>
            </w:pPr>
            <w:r w:rsidRPr="00792B36">
              <w:rPr>
                <w:b/>
                <w:bCs/>
                <w:color w:val="000000"/>
                <w:sz w:val="24"/>
                <w:szCs w:val="24"/>
              </w:rPr>
              <w:t>Purse seines</w:t>
            </w:r>
          </w:p>
        </w:tc>
        <w:tc>
          <w:tcPr>
            <w:tcW w:w="1701" w:type="dxa"/>
            <w:tcBorders>
              <w:top w:val="single" w:sz="4" w:space="0" w:color="auto"/>
              <w:bottom w:val="single" w:sz="4" w:space="0" w:color="auto"/>
            </w:tcBorders>
            <w:vAlign w:val="center"/>
          </w:tcPr>
          <w:p w14:paraId="354F1D0A" w14:textId="77777777" w:rsidR="009A0A63" w:rsidRPr="00792B36" w:rsidRDefault="009A0A63" w:rsidP="00A24459">
            <w:pPr>
              <w:jc w:val="center"/>
              <w:rPr>
                <w:spacing w:val="-6"/>
                <w:sz w:val="24"/>
                <w:szCs w:val="24"/>
              </w:rPr>
            </w:pPr>
            <w:r w:rsidRPr="00792B36">
              <w:rPr>
                <w:b/>
                <w:bCs/>
                <w:color w:val="000000"/>
                <w:spacing w:val="-6"/>
                <w:sz w:val="24"/>
                <w:szCs w:val="24"/>
              </w:rPr>
              <w:t>Hook &amp; lines</w:t>
            </w:r>
          </w:p>
        </w:tc>
        <w:tc>
          <w:tcPr>
            <w:tcW w:w="1276" w:type="dxa"/>
            <w:tcBorders>
              <w:top w:val="single" w:sz="4" w:space="0" w:color="auto"/>
              <w:bottom w:val="single" w:sz="4" w:space="0" w:color="auto"/>
            </w:tcBorders>
            <w:vAlign w:val="center"/>
          </w:tcPr>
          <w:p w14:paraId="3719E146" w14:textId="77777777" w:rsidR="009A0A63" w:rsidRPr="00792B36" w:rsidRDefault="009A0A63" w:rsidP="00A24459">
            <w:pPr>
              <w:jc w:val="center"/>
              <w:rPr>
                <w:sz w:val="24"/>
                <w:szCs w:val="24"/>
              </w:rPr>
            </w:pPr>
            <w:r w:rsidRPr="00792B36">
              <w:rPr>
                <w:b/>
                <w:bCs/>
                <w:color w:val="000000"/>
                <w:sz w:val="24"/>
                <w:szCs w:val="24"/>
              </w:rPr>
              <w:t>Others</w:t>
            </w:r>
          </w:p>
        </w:tc>
        <w:tc>
          <w:tcPr>
            <w:tcW w:w="1418" w:type="dxa"/>
            <w:tcBorders>
              <w:top w:val="single" w:sz="4" w:space="0" w:color="auto"/>
              <w:bottom w:val="single" w:sz="4" w:space="0" w:color="auto"/>
            </w:tcBorders>
            <w:vAlign w:val="center"/>
          </w:tcPr>
          <w:p w14:paraId="76E40FB2" w14:textId="77777777" w:rsidR="009A0A63" w:rsidRPr="00792B36" w:rsidRDefault="009A0A63" w:rsidP="00A24459">
            <w:pPr>
              <w:jc w:val="center"/>
              <w:rPr>
                <w:sz w:val="24"/>
                <w:szCs w:val="24"/>
              </w:rPr>
            </w:pPr>
            <w:r w:rsidRPr="00792B36">
              <w:rPr>
                <w:b/>
                <w:bCs/>
                <w:color w:val="000000"/>
                <w:sz w:val="24"/>
                <w:szCs w:val="24"/>
              </w:rPr>
              <w:t>Total</w:t>
            </w:r>
          </w:p>
        </w:tc>
      </w:tr>
      <w:tr w:rsidR="009A0A63" w:rsidRPr="00792B36" w14:paraId="6D57052E" w14:textId="77777777" w:rsidTr="00A24459">
        <w:trPr>
          <w:trHeight w:val="283"/>
        </w:trPr>
        <w:tc>
          <w:tcPr>
            <w:tcW w:w="2375" w:type="dxa"/>
            <w:tcBorders>
              <w:top w:val="single" w:sz="4" w:space="0" w:color="auto"/>
            </w:tcBorders>
            <w:vAlign w:val="center"/>
          </w:tcPr>
          <w:p w14:paraId="43932CCB" w14:textId="77777777" w:rsidR="009A0A63" w:rsidRPr="00792B36" w:rsidRDefault="009A0A63" w:rsidP="00A24459">
            <w:pPr>
              <w:rPr>
                <w:rFonts w:eastAsia="Times New Roman"/>
                <w:sz w:val="24"/>
                <w:szCs w:val="24"/>
              </w:rPr>
            </w:pPr>
            <w:r w:rsidRPr="00792B36">
              <w:rPr>
                <w:rFonts w:eastAsia="Times New Roman"/>
                <w:color w:val="000000"/>
                <w:sz w:val="24"/>
                <w:szCs w:val="24"/>
              </w:rPr>
              <w:t>Trat</w:t>
            </w:r>
          </w:p>
        </w:tc>
        <w:tc>
          <w:tcPr>
            <w:tcW w:w="1169" w:type="dxa"/>
            <w:tcBorders>
              <w:top w:val="single" w:sz="4" w:space="0" w:color="auto"/>
            </w:tcBorders>
            <w:vAlign w:val="center"/>
          </w:tcPr>
          <w:p w14:paraId="002A4C74" w14:textId="77777777" w:rsidR="009A0A63" w:rsidRPr="00792B36" w:rsidRDefault="009A0A63" w:rsidP="00A24459">
            <w:pPr>
              <w:jc w:val="center"/>
              <w:rPr>
                <w:color w:val="EE0000"/>
                <w:sz w:val="24"/>
                <w:szCs w:val="24"/>
              </w:rPr>
            </w:pPr>
            <w:r w:rsidRPr="00792B36">
              <w:rPr>
                <w:sz w:val="24"/>
                <w:szCs w:val="24"/>
              </w:rPr>
              <w:t>82</w:t>
            </w:r>
          </w:p>
        </w:tc>
        <w:tc>
          <w:tcPr>
            <w:tcW w:w="1559" w:type="dxa"/>
            <w:tcBorders>
              <w:top w:val="single" w:sz="4" w:space="0" w:color="auto"/>
            </w:tcBorders>
            <w:vAlign w:val="center"/>
          </w:tcPr>
          <w:p w14:paraId="71C3B669" w14:textId="77777777" w:rsidR="009A0A63" w:rsidRPr="00792B36" w:rsidRDefault="009A0A63" w:rsidP="00A24459">
            <w:pPr>
              <w:jc w:val="center"/>
              <w:rPr>
                <w:color w:val="EE0000"/>
                <w:sz w:val="24"/>
                <w:szCs w:val="24"/>
              </w:rPr>
            </w:pPr>
            <w:r w:rsidRPr="00792B36">
              <w:rPr>
                <w:sz w:val="24"/>
                <w:szCs w:val="24"/>
                <w:cs/>
              </w:rPr>
              <w:t>29</w:t>
            </w:r>
          </w:p>
        </w:tc>
        <w:tc>
          <w:tcPr>
            <w:tcW w:w="1701" w:type="dxa"/>
            <w:tcBorders>
              <w:top w:val="single" w:sz="4" w:space="0" w:color="auto"/>
            </w:tcBorders>
            <w:vAlign w:val="center"/>
          </w:tcPr>
          <w:p w14:paraId="7C39C3CB" w14:textId="77777777" w:rsidR="009A0A63" w:rsidRPr="00792B36" w:rsidRDefault="009A0A63" w:rsidP="00A24459">
            <w:pPr>
              <w:jc w:val="center"/>
              <w:rPr>
                <w:color w:val="EE0000"/>
                <w:sz w:val="24"/>
                <w:szCs w:val="24"/>
              </w:rPr>
            </w:pPr>
            <w:r w:rsidRPr="00792B36">
              <w:rPr>
                <w:sz w:val="24"/>
                <w:szCs w:val="24"/>
                <w:cs/>
              </w:rPr>
              <w:t>414</w:t>
            </w:r>
          </w:p>
        </w:tc>
        <w:tc>
          <w:tcPr>
            <w:tcW w:w="1276" w:type="dxa"/>
            <w:tcBorders>
              <w:top w:val="single" w:sz="4" w:space="0" w:color="auto"/>
            </w:tcBorders>
            <w:vAlign w:val="center"/>
          </w:tcPr>
          <w:p w14:paraId="4F192F51" w14:textId="77777777" w:rsidR="009A0A63" w:rsidRPr="00792B36" w:rsidRDefault="009A0A63" w:rsidP="00A24459">
            <w:pPr>
              <w:jc w:val="center"/>
              <w:rPr>
                <w:color w:val="EE0000"/>
                <w:sz w:val="24"/>
                <w:szCs w:val="24"/>
              </w:rPr>
            </w:pPr>
            <w:r w:rsidRPr="00792B36">
              <w:rPr>
                <w:sz w:val="24"/>
                <w:szCs w:val="24"/>
                <w:cs/>
              </w:rPr>
              <w:t>438</w:t>
            </w:r>
          </w:p>
        </w:tc>
        <w:tc>
          <w:tcPr>
            <w:tcW w:w="1418" w:type="dxa"/>
            <w:tcBorders>
              <w:top w:val="single" w:sz="4" w:space="0" w:color="auto"/>
            </w:tcBorders>
            <w:vAlign w:val="center"/>
          </w:tcPr>
          <w:p w14:paraId="143917E9" w14:textId="77777777" w:rsidR="009A0A63" w:rsidRPr="00792B36" w:rsidRDefault="009A0A63" w:rsidP="00A24459">
            <w:pPr>
              <w:jc w:val="center"/>
              <w:rPr>
                <w:color w:val="EE0000"/>
                <w:sz w:val="24"/>
                <w:szCs w:val="24"/>
              </w:rPr>
            </w:pPr>
            <w:r w:rsidRPr="00792B36">
              <w:rPr>
                <w:sz w:val="24"/>
                <w:szCs w:val="24"/>
                <w:cs/>
              </w:rPr>
              <w:t>963</w:t>
            </w:r>
          </w:p>
        </w:tc>
      </w:tr>
      <w:tr w:rsidR="009A0A63" w:rsidRPr="00792B36" w14:paraId="2CB5317A" w14:textId="77777777" w:rsidTr="00A24459">
        <w:trPr>
          <w:trHeight w:val="283"/>
        </w:trPr>
        <w:tc>
          <w:tcPr>
            <w:tcW w:w="2375" w:type="dxa"/>
            <w:vAlign w:val="center"/>
          </w:tcPr>
          <w:p w14:paraId="3E6EB71D" w14:textId="77777777" w:rsidR="009A0A63" w:rsidRPr="00792B36" w:rsidRDefault="009A0A63" w:rsidP="00A24459">
            <w:pPr>
              <w:rPr>
                <w:rFonts w:eastAsia="Times New Roman"/>
                <w:sz w:val="24"/>
                <w:szCs w:val="24"/>
              </w:rPr>
            </w:pPr>
            <w:r w:rsidRPr="00792B36">
              <w:rPr>
                <w:rFonts w:eastAsia="Times New Roman"/>
                <w:color w:val="000000"/>
                <w:sz w:val="24"/>
                <w:szCs w:val="24"/>
              </w:rPr>
              <w:t>Chanthaburi</w:t>
            </w:r>
          </w:p>
        </w:tc>
        <w:tc>
          <w:tcPr>
            <w:tcW w:w="1169" w:type="dxa"/>
            <w:vAlign w:val="center"/>
          </w:tcPr>
          <w:p w14:paraId="3873A1B0" w14:textId="77777777" w:rsidR="009A0A63" w:rsidRPr="00792B36" w:rsidRDefault="009A0A63" w:rsidP="00A24459">
            <w:pPr>
              <w:jc w:val="center"/>
              <w:rPr>
                <w:color w:val="EE0000"/>
                <w:sz w:val="24"/>
                <w:szCs w:val="24"/>
              </w:rPr>
            </w:pPr>
            <w:r w:rsidRPr="00792B36">
              <w:rPr>
                <w:sz w:val="24"/>
                <w:szCs w:val="24"/>
              </w:rPr>
              <w:t>19</w:t>
            </w:r>
          </w:p>
        </w:tc>
        <w:tc>
          <w:tcPr>
            <w:tcW w:w="1559" w:type="dxa"/>
            <w:vAlign w:val="center"/>
          </w:tcPr>
          <w:p w14:paraId="470EA1B9" w14:textId="77777777" w:rsidR="009A0A63" w:rsidRPr="00792B36" w:rsidRDefault="009A0A63" w:rsidP="00A24459">
            <w:pPr>
              <w:jc w:val="center"/>
              <w:rPr>
                <w:color w:val="EE0000"/>
                <w:sz w:val="24"/>
                <w:szCs w:val="24"/>
              </w:rPr>
            </w:pPr>
            <w:r w:rsidRPr="00792B36">
              <w:rPr>
                <w:sz w:val="24"/>
                <w:szCs w:val="24"/>
                <w:cs/>
              </w:rPr>
              <w:t>2</w:t>
            </w:r>
          </w:p>
        </w:tc>
        <w:tc>
          <w:tcPr>
            <w:tcW w:w="1701" w:type="dxa"/>
            <w:vAlign w:val="center"/>
          </w:tcPr>
          <w:p w14:paraId="175F064F" w14:textId="77777777" w:rsidR="009A0A63" w:rsidRPr="00792B36" w:rsidRDefault="009A0A63" w:rsidP="00A24459">
            <w:pPr>
              <w:jc w:val="center"/>
              <w:rPr>
                <w:color w:val="EE0000"/>
                <w:sz w:val="24"/>
                <w:szCs w:val="24"/>
              </w:rPr>
            </w:pPr>
            <w:r w:rsidRPr="00792B36">
              <w:rPr>
                <w:sz w:val="24"/>
                <w:szCs w:val="24"/>
                <w:cs/>
              </w:rPr>
              <w:t>94</w:t>
            </w:r>
          </w:p>
        </w:tc>
        <w:tc>
          <w:tcPr>
            <w:tcW w:w="1276" w:type="dxa"/>
            <w:vAlign w:val="center"/>
          </w:tcPr>
          <w:p w14:paraId="3381BED8" w14:textId="77777777" w:rsidR="009A0A63" w:rsidRPr="00792B36" w:rsidRDefault="009A0A63" w:rsidP="00A24459">
            <w:pPr>
              <w:jc w:val="center"/>
              <w:rPr>
                <w:color w:val="EE0000"/>
                <w:sz w:val="24"/>
                <w:szCs w:val="24"/>
              </w:rPr>
            </w:pPr>
            <w:r w:rsidRPr="00792B36">
              <w:rPr>
                <w:sz w:val="24"/>
                <w:szCs w:val="24"/>
                <w:cs/>
              </w:rPr>
              <w:t>111</w:t>
            </w:r>
          </w:p>
        </w:tc>
        <w:tc>
          <w:tcPr>
            <w:tcW w:w="1418" w:type="dxa"/>
            <w:vAlign w:val="center"/>
          </w:tcPr>
          <w:p w14:paraId="13833C83" w14:textId="77777777" w:rsidR="009A0A63" w:rsidRPr="00792B36" w:rsidRDefault="009A0A63" w:rsidP="00A24459">
            <w:pPr>
              <w:jc w:val="center"/>
              <w:rPr>
                <w:color w:val="EE0000"/>
                <w:sz w:val="24"/>
                <w:szCs w:val="24"/>
              </w:rPr>
            </w:pPr>
            <w:r w:rsidRPr="00792B36">
              <w:rPr>
                <w:sz w:val="24"/>
                <w:szCs w:val="24"/>
                <w:cs/>
              </w:rPr>
              <w:t>226</w:t>
            </w:r>
          </w:p>
        </w:tc>
      </w:tr>
      <w:tr w:rsidR="009A0A63" w:rsidRPr="00792B36" w14:paraId="7B279989" w14:textId="77777777" w:rsidTr="00A24459">
        <w:trPr>
          <w:trHeight w:val="283"/>
        </w:trPr>
        <w:tc>
          <w:tcPr>
            <w:tcW w:w="2375" w:type="dxa"/>
            <w:vAlign w:val="center"/>
          </w:tcPr>
          <w:p w14:paraId="3E37DE87" w14:textId="77777777" w:rsidR="009A0A63" w:rsidRPr="00792B36" w:rsidRDefault="009A0A63" w:rsidP="00A24459">
            <w:pPr>
              <w:rPr>
                <w:rFonts w:eastAsia="Times New Roman"/>
                <w:sz w:val="24"/>
                <w:szCs w:val="24"/>
              </w:rPr>
            </w:pPr>
            <w:r w:rsidRPr="00792B36">
              <w:rPr>
                <w:rFonts w:eastAsia="Times New Roman"/>
                <w:color w:val="000000"/>
                <w:sz w:val="24"/>
                <w:szCs w:val="24"/>
              </w:rPr>
              <w:t>Rayong</w:t>
            </w:r>
          </w:p>
        </w:tc>
        <w:tc>
          <w:tcPr>
            <w:tcW w:w="1169" w:type="dxa"/>
            <w:vAlign w:val="center"/>
          </w:tcPr>
          <w:p w14:paraId="0060A648" w14:textId="77777777" w:rsidR="009A0A63" w:rsidRPr="00792B36" w:rsidRDefault="009A0A63" w:rsidP="00A24459">
            <w:pPr>
              <w:jc w:val="center"/>
              <w:rPr>
                <w:color w:val="EE0000"/>
                <w:sz w:val="24"/>
                <w:szCs w:val="24"/>
              </w:rPr>
            </w:pPr>
            <w:r w:rsidRPr="00792B36">
              <w:rPr>
                <w:sz w:val="24"/>
                <w:szCs w:val="24"/>
              </w:rPr>
              <w:t>8</w:t>
            </w:r>
          </w:p>
        </w:tc>
        <w:tc>
          <w:tcPr>
            <w:tcW w:w="1559" w:type="dxa"/>
            <w:vAlign w:val="center"/>
          </w:tcPr>
          <w:p w14:paraId="16D7C557" w14:textId="77777777" w:rsidR="009A0A63" w:rsidRPr="00792B36" w:rsidRDefault="009A0A63" w:rsidP="00A24459">
            <w:pPr>
              <w:jc w:val="center"/>
              <w:rPr>
                <w:color w:val="EE0000"/>
                <w:sz w:val="24"/>
                <w:szCs w:val="24"/>
              </w:rPr>
            </w:pPr>
            <w:r w:rsidRPr="00792B36">
              <w:rPr>
                <w:sz w:val="24"/>
                <w:szCs w:val="24"/>
                <w:cs/>
              </w:rPr>
              <w:t>119</w:t>
            </w:r>
          </w:p>
        </w:tc>
        <w:tc>
          <w:tcPr>
            <w:tcW w:w="1701" w:type="dxa"/>
            <w:vAlign w:val="center"/>
          </w:tcPr>
          <w:p w14:paraId="6EBA6263" w14:textId="77777777" w:rsidR="009A0A63" w:rsidRPr="00792B36" w:rsidRDefault="009A0A63" w:rsidP="00A24459">
            <w:pPr>
              <w:jc w:val="center"/>
              <w:rPr>
                <w:color w:val="EE0000"/>
                <w:sz w:val="24"/>
                <w:szCs w:val="24"/>
              </w:rPr>
            </w:pPr>
            <w:r w:rsidRPr="00792B36">
              <w:rPr>
                <w:sz w:val="24"/>
                <w:szCs w:val="24"/>
                <w:cs/>
              </w:rPr>
              <w:t>452</w:t>
            </w:r>
          </w:p>
        </w:tc>
        <w:tc>
          <w:tcPr>
            <w:tcW w:w="1276" w:type="dxa"/>
            <w:vAlign w:val="center"/>
          </w:tcPr>
          <w:p w14:paraId="7F5D589E" w14:textId="77777777" w:rsidR="009A0A63" w:rsidRPr="00792B36" w:rsidRDefault="009A0A63" w:rsidP="00A24459">
            <w:pPr>
              <w:jc w:val="center"/>
              <w:rPr>
                <w:color w:val="EE0000"/>
                <w:sz w:val="24"/>
                <w:szCs w:val="24"/>
              </w:rPr>
            </w:pPr>
            <w:r w:rsidRPr="00792B36">
              <w:rPr>
                <w:sz w:val="24"/>
                <w:szCs w:val="24"/>
                <w:cs/>
              </w:rPr>
              <w:t>641</w:t>
            </w:r>
          </w:p>
        </w:tc>
        <w:tc>
          <w:tcPr>
            <w:tcW w:w="1418" w:type="dxa"/>
            <w:vAlign w:val="center"/>
          </w:tcPr>
          <w:p w14:paraId="3B1DA3F4" w14:textId="77777777" w:rsidR="009A0A63" w:rsidRPr="00792B36" w:rsidRDefault="009A0A63" w:rsidP="00A24459">
            <w:pPr>
              <w:jc w:val="center"/>
              <w:rPr>
                <w:color w:val="EE0000"/>
                <w:sz w:val="24"/>
                <w:szCs w:val="24"/>
              </w:rPr>
            </w:pPr>
            <w:r w:rsidRPr="00792B36">
              <w:rPr>
                <w:sz w:val="24"/>
                <w:szCs w:val="24"/>
                <w:cs/>
              </w:rPr>
              <w:t>1,220</w:t>
            </w:r>
          </w:p>
        </w:tc>
      </w:tr>
      <w:tr w:rsidR="009A0A63" w:rsidRPr="00792B36" w14:paraId="4978C414" w14:textId="77777777" w:rsidTr="00A24459">
        <w:trPr>
          <w:trHeight w:val="283"/>
        </w:trPr>
        <w:tc>
          <w:tcPr>
            <w:tcW w:w="2375" w:type="dxa"/>
            <w:vAlign w:val="center"/>
          </w:tcPr>
          <w:p w14:paraId="393A0B11" w14:textId="77777777" w:rsidR="009A0A63" w:rsidRPr="00792B36" w:rsidRDefault="009A0A63" w:rsidP="00A24459">
            <w:pPr>
              <w:rPr>
                <w:rFonts w:eastAsia="Times New Roman"/>
                <w:color w:val="000000"/>
                <w:sz w:val="24"/>
                <w:szCs w:val="24"/>
              </w:rPr>
            </w:pPr>
            <w:r w:rsidRPr="00792B36">
              <w:rPr>
                <w:rFonts w:eastAsia="Times New Roman"/>
                <w:color w:val="000000"/>
                <w:sz w:val="24"/>
                <w:szCs w:val="24"/>
              </w:rPr>
              <w:t>Chon Buri</w:t>
            </w:r>
          </w:p>
        </w:tc>
        <w:tc>
          <w:tcPr>
            <w:tcW w:w="1169" w:type="dxa"/>
            <w:vAlign w:val="center"/>
          </w:tcPr>
          <w:p w14:paraId="02C74D0B" w14:textId="77777777" w:rsidR="009A0A63" w:rsidRPr="00792B36" w:rsidRDefault="009A0A63" w:rsidP="00A24459">
            <w:pPr>
              <w:jc w:val="center"/>
              <w:rPr>
                <w:color w:val="EE0000"/>
                <w:sz w:val="24"/>
                <w:szCs w:val="24"/>
              </w:rPr>
            </w:pPr>
            <w:r w:rsidRPr="00792B36">
              <w:rPr>
                <w:sz w:val="24"/>
                <w:szCs w:val="24"/>
              </w:rPr>
              <w:t>144</w:t>
            </w:r>
          </w:p>
        </w:tc>
        <w:tc>
          <w:tcPr>
            <w:tcW w:w="1559" w:type="dxa"/>
            <w:vAlign w:val="center"/>
          </w:tcPr>
          <w:p w14:paraId="32E34583" w14:textId="77777777" w:rsidR="009A0A63" w:rsidRPr="00792B36" w:rsidRDefault="009A0A63" w:rsidP="00A24459">
            <w:pPr>
              <w:jc w:val="center"/>
              <w:rPr>
                <w:color w:val="EE0000"/>
                <w:sz w:val="24"/>
                <w:szCs w:val="24"/>
              </w:rPr>
            </w:pPr>
            <w:r w:rsidRPr="00792B36">
              <w:rPr>
                <w:sz w:val="24"/>
                <w:szCs w:val="24"/>
                <w:cs/>
              </w:rPr>
              <w:t>28</w:t>
            </w:r>
          </w:p>
        </w:tc>
        <w:tc>
          <w:tcPr>
            <w:tcW w:w="1701" w:type="dxa"/>
            <w:vAlign w:val="center"/>
          </w:tcPr>
          <w:p w14:paraId="53EE7401" w14:textId="77777777" w:rsidR="009A0A63" w:rsidRPr="00792B36" w:rsidRDefault="009A0A63" w:rsidP="00A24459">
            <w:pPr>
              <w:jc w:val="center"/>
              <w:rPr>
                <w:color w:val="EE0000"/>
                <w:sz w:val="24"/>
                <w:szCs w:val="24"/>
              </w:rPr>
            </w:pPr>
            <w:r w:rsidRPr="00792B36">
              <w:rPr>
                <w:sz w:val="24"/>
                <w:szCs w:val="24"/>
                <w:cs/>
              </w:rPr>
              <w:t>379</w:t>
            </w:r>
          </w:p>
        </w:tc>
        <w:tc>
          <w:tcPr>
            <w:tcW w:w="1276" w:type="dxa"/>
            <w:vAlign w:val="center"/>
          </w:tcPr>
          <w:p w14:paraId="7DE52ACB" w14:textId="77777777" w:rsidR="009A0A63" w:rsidRPr="00792B36" w:rsidRDefault="009A0A63" w:rsidP="00A24459">
            <w:pPr>
              <w:jc w:val="center"/>
              <w:rPr>
                <w:color w:val="EE0000"/>
                <w:sz w:val="24"/>
                <w:szCs w:val="24"/>
              </w:rPr>
            </w:pPr>
            <w:r w:rsidRPr="00792B36">
              <w:rPr>
                <w:sz w:val="24"/>
                <w:szCs w:val="24"/>
                <w:cs/>
              </w:rPr>
              <w:t>307</w:t>
            </w:r>
          </w:p>
        </w:tc>
        <w:tc>
          <w:tcPr>
            <w:tcW w:w="1418" w:type="dxa"/>
            <w:vAlign w:val="center"/>
          </w:tcPr>
          <w:p w14:paraId="5BA7A52E" w14:textId="77777777" w:rsidR="009A0A63" w:rsidRPr="00792B36" w:rsidRDefault="009A0A63" w:rsidP="00A24459">
            <w:pPr>
              <w:jc w:val="center"/>
              <w:rPr>
                <w:color w:val="EE0000"/>
                <w:sz w:val="24"/>
                <w:szCs w:val="24"/>
              </w:rPr>
            </w:pPr>
            <w:r w:rsidRPr="00792B36">
              <w:rPr>
                <w:sz w:val="24"/>
                <w:szCs w:val="24"/>
                <w:cs/>
              </w:rPr>
              <w:t>858</w:t>
            </w:r>
          </w:p>
        </w:tc>
      </w:tr>
      <w:tr w:rsidR="009A0A63" w:rsidRPr="00792B36" w14:paraId="514A2BE7" w14:textId="77777777" w:rsidTr="00A24459">
        <w:trPr>
          <w:trHeight w:val="283"/>
        </w:trPr>
        <w:tc>
          <w:tcPr>
            <w:tcW w:w="2375" w:type="dxa"/>
            <w:vAlign w:val="center"/>
          </w:tcPr>
          <w:p w14:paraId="39072276" w14:textId="77777777" w:rsidR="009A0A63" w:rsidRPr="00792B36" w:rsidRDefault="009A0A63" w:rsidP="00A24459">
            <w:pPr>
              <w:rPr>
                <w:sz w:val="24"/>
                <w:szCs w:val="24"/>
              </w:rPr>
            </w:pPr>
            <w:r w:rsidRPr="00792B36">
              <w:rPr>
                <w:rFonts w:eastAsia="Times New Roman"/>
                <w:sz w:val="24"/>
                <w:szCs w:val="24"/>
              </w:rPr>
              <w:t>Chachoengsao</w:t>
            </w:r>
          </w:p>
        </w:tc>
        <w:tc>
          <w:tcPr>
            <w:tcW w:w="1169" w:type="dxa"/>
            <w:vAlign w:val="center"/>
          </w:tcPr>
          <w:p w14:paraId="61C1D19F" w14:textId="77777777" w:rsidR="009A0A63" w:rsidRPr="00792B36" w:rsidRDefault="009A0A63" w:rsidP="00A24459">
            <w:pPr>
              <w:jc w:val="center"/>
              <w:rPr>
                <w:color w:val="EE0000"/>
                <w:sz w:val="24"/>
                <w:szCs w:val="24"/>
              </w:rPr>
            </w:pPr>
            <w:r w:rsidRPr="00792B36">
              <w:rPr>
                <w:sz w:val="24"/>
                <w:szCs w:val="24"/>
              </w:rPr>
              <w:t>3</w:t>
            </w:r>
          </w:p>
        </w:tc>
        <w:tc>
          <w:tcPr>
            <w:tcW w:w="1559" w:type="dxa"/>
            <w:vAlign w:val="center"/>
          </w:tcPr>
          <w:p w14:paraId="6393A8E9" w14:textId="77777777" w:rsidR="009A0A63" w:rsidRPr="00792B36" w:rsidRDefault="009A0A63" w:rsidP="00A24459">
            <w:pPr>
              <w:jc w:val="center"/>
              <w:rPr>
                <w:color w:val="EE0000"/>
                <w:sz w:val="24"/>
                <w:szCs w:val="24"/>
              </w:rPr>
            </w:pPr>
            <w:r w:rsidRPr="00792B36">
              <w:rPr>
                <w:sz w:val="24"/>
                <w:szCs w:val="24"/>
              </w:rPr>
              <w:t>0</w:t>
            </w:r>
          </w:p>
        </w:tc>
        <w:tc>
          <w:tcPr>
            <w:tcW w:w="1701" w:type="dxa"/>
            <w:vAlign w:val="center"/>
          </w:tcPr>
          <w:p w14:paraId="32C3DEEB" w14:textId="77777777" w:rsidR="009A0A63" w:rsidRPr="00792B36" w:rsidRDefault="009A0A63" w:rsidP="00A24459">
            <w:pPr>
              <w:jc w:val="center"/>
              <w:rPr>
                <w:color w:val="EE0000"/>
                <w:sz w:val="24"/>
                <w:szCs w:val="24"/>
              </w:rPr>
            </w:pPr>
            <w:r w:rsidRPr="00792B36">
              <w:rPr>
                <w:sz w:val="24"/>
                <w:szCs w:val="24"/>
                <w:cs/>
              </w:rPr>
              <w:t>9</w:t>
            </w:r>
          </w:p>
        </w:tc>
        <w:tc>
          <w:tcPr>
            <w:tcW w:w="1276" w:type="dxa"/>
            <w:vAlign w:val="center"/>
          </w:tcPr>
          <w:p w14:paraId="1F4BA2E8" w14:textId="77777777" w:rsidR="009A0A63" w:rsidRPr="00792B36" w:rsidRDefault="009A0A63" w:rsidP="00A24459">
            <w:pPr>
              <w:jc w:val="center"/>
              <w:rPr>
                <w:color w:val="EE0000"/>
                <w:sz w:val="24"/>
                <w:szCs w:val="24"/>
              </w:rPr>
            </w:pPr>
            <w:r w:rsidRPr="00792B36">
              <w:rPr>
                <w:sz w:val="24"/>
                <w:szCs w:val="24"/>
                <w:cs/>
              </w:rPr>
              <w:t>20</w:t>
            </w:r>
          </w:p>
        </w:tc>
        <w:tc>
          <w:tcPr>
            <w:tcW w:w="1418" w:type="dxa"/>
            <w:vAlign w:val="center"/>
          </w:tcPr>
          <w:p w14:paraId="33B56756" w14:textId="77777777" w:rsidR="009A0A63" w:rsidRPr="00792B36" w:rsidRDefault="009A0A63" w:rsidP="00A24459">
            <w:pPr>
              <w:jc w:val="center"/>
              <w:rPr>
                <w:color w:val="EE0000"/>
                <w:sz w:val="24"/>
                <w:szCs w:val="24"/>
              </w:rPr>
            </w:pPr>
            <w:r w:rsidRPr="00792B36">
              <w:rPr>
                <w:sz w:val="24"/>
                <w:szCs w:val="24"/>
                <w:cs/>
              </w:rPr>
              <w:t>32</w:t>
            </w:r>
          </w:p>
        </w:tc>
      </w:tr>
      <w:tr w:rsidR="009A0A63" w:rsidRPr="00792B36" w14:paraId="43036535" w14:textId="77777777" w:rsidTr="00A24459">
        <w:trPr>
          <w:trHeight w:val="283"/>
        </w:trPr>
        <w:tc>
          <w:tcPr>
            <w:tcW w:w="2375" w:type="dxa"/>
            <w:vAlign w:val="center"/>
          </w:tcPr>
          <w:p w14:paraId="258318B5" w14:textId="77777777" w:rsidR="009A0A63" w:rsidRPr="00792B36" w:rsidRDefault="009A0A63" w:rsidP="00A24459">
            <w:pPr>
              <w:rPr>
                <w:sz w:val="24"/>
                <w:szCs w:val="24"/>
              </w:rPr>
            </w:pPr>
            <w:r w:rsidRPr="00792B36">
              <w:rPr>
                <w:rFonts w:eastAsia="Times New Roman"/>
                <w:sz w:val="24"/>
                <w:szCs w:val="24"/>
              </w:rPr>
              <w:t>Samut Prakan</w:t>
            </w:r>
          </w:p>
        </w:tc>
        <w:tc>
          <w:tcPr>
            <w:tcW w:w="1169" w:type="dxa"/>
            <w:vAlign w:val="center"/>
          </w:tcPr>
          <w:p w14:paraId="31579ECA" w14:textId="77777777" w:rsidR="009A0A63" w:rsidRPr="00792B36" w:rsidRDefault="009A0A63" w:rsidP="00A24459">
            <w:pPr>
              <w:jc w:val="center"/>
              <w:rPr>
                <w:color w:val="EE0000"/>
                <w:sz w:val="24"/>
                <w:szCs w:val="24"/>
              </w:rPr>
            </w:pPr>
            <w:r w:rsidRPr="00792B36">
              <w:rPr>
                <w:sz w:val="24"/>
                <w:szCs w:val="24"/>
              </w:rPr>
              <w:t>210</w:t>
            </w:r>
          </w:p>
        </w:tc>
        <w:tc>
          <w:tcPr>
            <w:tcW w:w="1559" w:type="dxa"/>
            <w:vAlign w:val="center"/>
          </w:tcPr>
          <w:p w14:paraId="0973665B" w14:textId="77777777" w:rsidR="009A0A63" w:rsidRPr="00792B36" w:rsidRDefault="009A0A63" w:rsidP="00A24459">
            <w:pPr>
              <w:jc w:val="center"/>
              <w:rPr>
                <w:color w:val="EE0000"/>
                <w:sz w:val="24"/>
                <w:szCs w:val="24"/>
              </w:rPr>
            </w:pPr>
            <w:r w:rsidRPr="00792B36">
              <w:rPr>
                <w:sz w:val="24"/>
                <w:szCs w:val="24"/>
                <w:cs/>
              </w:rPr>
              <w:t>11</w:t>
            </w:r>
          </w:p>
        </w:tc>
        <w:tc>
          <w:tcPr>
            <w:tcW w:w="1701" w:type="dxa"/>
            <w:vAlign w:val="center"/>
          </w:tcPr>
          <w:p w14:paraId="2B2A62AA" w14:textId="77777777" w:rsidR="009A0A63" w:rsidRPr="00792B36" w:rsidRDefault="009A0A63" w:rsidP="00A24459">
            <w:pPr>
              <w:jc w:val="center"/>
              <w:rPr>
                <w:color w:val="EE0000"/>
                <w:sz w:val="24"/>
                <w:szCs w:val="24"/>
              </w:rPr>
            </w:pPr>
            <w:r w:rsidRPr="00792B36">
              <w:rPr>
                <w:sz w:val="24"/>
                <w:szCs w:val="24"/>
                <w:cs/>
              </w:rPr>
              <w:t>92</w:t>
            </w:r>
          </w:p>
        </w:tc>
        <w:tc>
          <w:tcPr>
            <w:tcW w:w="1276" w:type="dxa"/>
            <w:vAlign w:val="center"/>
          </w:tcPr>
          <w:p w14:paraId="1417D0AD" w14:textId="77777777" w:rsidR="009A0A63" w:rsidRPr="00792B36" w:rsidRDefault="009A0A63" w:rsidP="00A24459">
            <w:pPr>
              <w:jc w:val="center"/>
              <w:rPr>
                <w:color w:val="EE0000"/>
                <w:sz w:val="24"/>
                <w:szCs w:val="24"/>
              </w:rPr>
            </w:pPr>
            <w:r w:rsidRPr="00792B36">
              <w:rPr>
                <w:sz w:val="24"/>
                <w:szCs w:val="24"/>
                <w:cs/>
              </w:rPr>
              <w:t>86</w:t>
            </w:r>
          </w:p>
        </w:tc>
        <w:tc>
          <w:tcPr>
            <w:tcW w:w="1418" w:type="dxa"/>
            <w:vAlign w:val="center"/>
          </w:tcPr>
          <w:p w14:paraId="70AD4A2C" w14:textId="77777777" w:rsidR="009A0A63" w:rsidRPr="00792B36" w:rsidRDefault="009A0A63" w:rsidP="00A24459">
            <w:pPr>
              <w:jc w:val="center"/>
              <w:rPr>
                <w:color w:val="EE0000"/>
                <w:sz w:val="24"/>
                <w:szCs w:val="24"/>
              </w:rPr>
            </w:pPr>
            <w:r w:rsidRPr="00792B36">
              <w:rPr>
                <w:sz w:val="24"/>
                <w:szCs w:val="24"/>
                <w:cs/>
              </w:rPr>
              <w:t>399</w:t>
            </w:r>
          </w:p>
        </w:tc>
      </w:tr>
      <w:tr w:rsidR="009A0A63" w:rsidRPr="00792B36" w14:paraId="35178F2F" w14:textId="77777777" w:rsidTr="00A24459">
        <w:trPr>
          <w:trHeight w:val="283"/>
        </w:trPr>
        <w:tc>
          <w:tcPr>
            <w:tcW w:w="2375" w:type="dxa"/>
            <w:vAlign w:val="center"/>
          </w:tcPr>
          <w:p w14:paraId="744E7965" w14:textId="77777777" w:rsidR="009A0A63" w:rsidRPr="00792B36" w:rsidRDefault="009A0A63" w:rsidP="00A24459">
            <w:pPr>
              <w:rPr>
                <w:sz w:val="24"/>
                <w:szCs w:val="24"/>
              </w:rPr>
            </w:pPr>
            <w:r w:rsidRPr="00792B36">
              <w:rPr>
                <w:rFonts w:eastAsia="Times New Roman"/>
                <w:sz w:val="24"/>
                <w:szCs w:val="24"/>
              </w:rPr>
              <w:t>Bangkok</w:t>
            </w:r>
          </w:p>
        </w:tc>
        <w:tc>
          <w:tcPr>
            <w:tcW w:w="1169" w:type="dxa"/>
          </w:tcPr>
          <w:p w14:paraId="0193FB0D" w14:textId="77777777" w:rsidR="009A0A63" w:rsidRPr="00792B36" w:rsidRDefault="009A0A63" w:rsidP="00A24459">
            <w:pPr>
              <w:jc w:val="center"/>
              <w:rPr>
                <w:color w:val="EE0000"/>
                <w:sz w:val="24"/>
                <w:szCs w:val="24"/>
              </w:rPr>
            </w:pPr>
            <w:r w:rsidRPr="00792B36">
              <w:rPr>
                <w:sz w:val="24"/>
                <w:szCs w:val="24"/>
              </w:rPr>
              <w:t>0</w:t>
            </w:r>
          </w:p>
        </w:tc>
        <w:tc>
          <w:tcPr>
            <w:tcW w:w="1559" w:type="dxa"/>
          </w:tcPr>
          <w:p w14:paraId="2512CFA8" w14:textId="77777777" w:rsidR="009A0A63" w:rsidRPr="00792B36" w:rsidRDefault="009A0A63" w:rsidP="00A24459">
            <w:pPr>
              <w:jc w:val="center"/>
              <w:rPr>
                <w:color w:val="EE0000"/>
                <w:sz w:val="24"/>
                <w:szCs w:val="24"/>
              </w:rPr>
            </w:pPr>
            <w:r w:rsidRPr="00792B36">
              <w:rPr>
                <w:sz w:val="24"/>
                <w:szCs w:val="24"/>
              </w:rPr>
              <w:t>0</w:t>
            </w:r>
          </w:p>
        </w:tc>
        <w:tc>
          <w:tcPr>
            <w:tcW w:w="1701" w:type="dxa"/>
            <w:vAlign w:val="center"/>
          </w:tcPr>
          <w:p w14:paraId="5DB520C5" w14:textId="77777777" w:rsidR="009A0A63" w:rsidRPr="00792B36" w:rsidRDefault="009A0A63" w:rsidP="00A24459">
            <w:pPr>
              <w:jc w:val="center"/>
              <w:rPr>
                <w:color w:val="EE0000"/>
                <w:sz w:val="24"/>
                <w:szCs w:val="24"/>
              </w:rPr>
            </w:pPr>
            <w:r w:rsidRPr="00792B36">
              <w:rPr>
                <w:sz w:val="24"/>
                <w:szCs w:val="24"/>
                <w:cs/>
              </w:rPr>
              <w:t>1</w:t>
            </w:r>
          </w:p>
        </w:tc>
        <w:tc>
          <w:tcPr>
            <w:tcW w:w="1276" w:type="dxa"/>
            <w:vAlign w:val="center"/>
          </w:tcPr>
          <w:p w14:paraId="08B70883" w14:textId="77777777" w:rsidR="009A0A63" w:rsidRPr="00792B36" w:rsidRDefault="009A0A63" w:rsidP="00A24459">
            <w:pPr>
              <w:jc w:val="center"/>
              <w:rPr>
                <w:color w:val="EE0000"/>
                <w:sz w:val="24"/>
                <w:szCs w:val="24"/>
              </w:rPr>
            </w:pPr>
            <w:r w:rsidRPr="00792B36">
              <w:rPr>
                <w:sz w:val="24"/>
                <w:szCs w:val="24"/>
                <w:cs/>
              </w:rPr>
              <w:t>1</w:t>
            </w:r>
          </w:p>
        </w:tc>
        <w:tc>
          <w:tcPr>
            <w:tcW w:w="1418" w:type="dxa"/>
            <w:vAlign w:val="center"/>
          </w:tcPr>
          <w:p w14:paraId="70CE4AC6" w14:textId="77777777" w:rsidR="009A0A63" w:rsidRPr="00792B36" w:rsidRDefault="009A0A63" w:rsidP="00A24459">
            <w:pPr>
              <w:jc w:val="center"/>
              <w:rPr>
                <w:color w:val="EE0000"/>
                <w:sz w:val="24"/>
                <w:szCs w:val="24"/>
              </w:rPr>
            </w:pPr>
            <w:r w:rsidRPr="00792B36">
              <w:rPr>
                <w:sz w:val="24"/>
                <w:szCs w:val="24"/>
                <w:cs/>
              </w:rPr>
              <w:t>2</w:t>
            </w:r>
          </w:p>
        </w:tc>
      </w:tr>
      <w:tr w:rsidR="009A0A63" w:rsidRPr="00792B36" w14:paraId="12AB8947" w14:textId="77777777" w:rsidTr="00A24459">
        <w:trPr>
          <w:trHeight w:val="283"/>
        </w:trPr>
        <w:tc>
          <w:tcPr>
            <w:tcW w:w="2375" w:type="dxa"/>
            <w:vAlign w:val="center"/>
          </w:tcPr>
          <w:p w14:paraId="63DCBE49" w14:textId="77777777" w:rsidR="009A0A63" w:rsidRPr="00792B36" w:rsidRDefault="009A0A63" w:rsidP="00A24459">
            <w:pPr>
              <w:rPr>
                <w:sz w:val="24"/>
                <w:szCs w:val="24"/>
              </w:rPr>
            </w:pPr>
            <w:r w:rsidRPr="00792B36">
              <w:rPr>
                <w:rFonts w:eastAsia="Times New Roman"/>
                <w:sz w:val="24"/>
                <w:szCs w:val="24"/>
              </w:rPr>
              <w:t>Samut Sakhon</w:t>
            </w:r>
          </w:p>
        </w:tc>
        <w:tc>
          <w:tcPr>
            <w:tcW w:w="1169" w:type="dxa"/>
            <w:vAlign w:val="center"/>
          </w:tcPr>
          <w:p w14:paraId="267CE9E9" w14:textId="77777777" w:rsidR="009A0A63" w:rsidRPr="00792B36" w:rsidRDefault="009A0A63" w:rsidP="00A24459">
            <w:pPr>
              <w:jc w:val="center"/>
              <w:rPr>
                <w:color w:val="EE0000"/>
                <w:sz w:val="24"/>
                <w:szCs w:val="24"/>
              </w:rPr>
            </w:pPr>
            <w:r w:rsidRPr="00792B36">
              <w:rPr>
                <w:sz w:val="24"/>
                <w:szCs w:val="24"/>
              </w:rPr>
              <w:t>168</w:t>
            </w:r>
          </w:p>
        </w:tc>
        <w:tc>
          <w:tcPr>
            <w:tcW w:w="1559" w:type="dxa"/>
            <w:vAlign w:val="center"/>
          </w:tcPr>
          <w:p w14:paraId="21265EFF" w14:textId="77777777" w:rsidR="009A0A63" w:rsidRPr="00792B36" w:rsidRDefault="009A0A63" w:rsidP="00A24459">
            <w:pPr>
              <w:jc w:val="center"/>
              <w:rPr>
                <w:color w:val="EE0000"/>
                <w:sz w:val="24"/>
                <w:szCs w:val="24"/>
              </w:rPr>
            </w:pPr>
            <w:r w:rsidRPr="00792B36">
              <w:rPr>
                <w:sz w:val="24"/>
                <w:szCs w:val="24"/>
                <w:cs/>
              </w:rPr>
              <w:t>51</w:t>
            </w:r>
          </w:p>
        </w:tc>
        <w:tc>
          <w:tcPr>
            <w:tcW w:w="1701" w:type="dxa"/>
            <w:vAlign w:val="center"/>
          </w:tcPr>
          <w:p w14:paraId="58171DD3" w14:textId="77777777" w:rsidR="009A0A63" w:rsidRPr="00792B36" w:rsidRDefault="009A0A63" w:rsidP="00A24459">
            <w:pPr>
              <w:jc w:val="center"/>
              <w:rPr>
                <w:color w:val="EE0000"/>
                <w:sz w:val="24"/>
                <w:szCs w:val="24"/>
              </w:rPr>
            </w:pPr>
            <w:r w:rsidRPr="00792B36">
              <w:rPr>
                <w:sz w:val="24"/>
                <w:szCs w:val="24"/>
                <w:cs/>
              </w:rPr>
              <w:t>317</w:t>
            </w:r>
          </w:p>
        </w:tc>
        <w:tc>
          <w:tcPr>
            <w:tcW w:w="1276" w:type="dxa"/>
            <w:vAlign w:val="center"/>
          </w:tcPr>
          <w:p w14:paraId="09E0028B" w14:textId="77777777" w:rsidR="009A0A63" w:rsidRPr="00792B36" w:rsidRDefault="009A0A63" w:rsidP="00A24459">
            <w:pPr>
              <w:jc w:val="center"/>
              <w:rPr>
                <w:color w:val="EE0000"/>
                <w:sz w:val="24"/>
                <w:szCs w:val="24"/>
              </w:rPr>
            </w:pPr>
            <w:r w:rsidRPr="00792B36">
              <w:rPr>
                <w:sz w:val="24"/>
                <w:szCs w:val="24"/>
                <w:cs/>
              </w:rPr>
              <w:t>228</w:t>
            </w:r>
          </w:p>
        </w:tc>
        <w:tc>
          <w:tcPr>
            <w:tcW w:w="1418" w:type="dxa"/>
            <w:vAlign w:val="center"/>
          </w:tcPr>
          <w:p w14:paraId="71CE4EA2" w14:textId="77777777" w:rsidR="009A0A63" w:rsidRPr="00792B36" w:rsidRDefault="009A0A63" w:rsidP="00A24459">
            <w:pPr>
              <w:jc w:val="center"/>
              <w:rPr>
                <w:color w:val="EE0000"/>
                <w:sz w:val="24"/>
                <w:szCs w:val="24"/>
              </w:rPr>
            </w:pPr>
            <w:r w:rsidRPr="00792B36">
              <w:rPr>
                <w:sz w:val="24"/>
                <w:szCs w:val="24"/>
                <w:cs/>
              </w:rPr>
              <w:t>764</w:t>
            </w:r>
          </w:p>
        </w:tc>
      </w:tr>
      <w:tr w:rsidR="009A0A63" w:rsidRPr="00792B36" w14:paraId="32B21E37" w14:textId="77777777" w:rsidTr="00A24459">
        <w:trPr>
          <w:trHeight w:val="283"/>
        </w:trPr>
        <w:tc>
          <w:tcPr>
            <w:tcW w:w="2375" w:type="dxa"/>
            <w:vAlign w:val="center"/>
          </w:tcPr>
          <w:p w14:paraId="59BE15F9" w14:textId="77777777" w:rsidR="009A0A63" w:rsidRPr="00792B36" w:rsidRDefault="009A0A63" w:rsidP="00A24459">
            <w:pPr>
              <w:rPr>
                <w:sz w:val="24"/>
                <w:szCs w:val="24"/>
              </w:rPr>
            </w:pPr>
            <w:r w:rsidRPr="00792B36">
              <w:rPr>
                <w:rFonts w:eastAsia="Times New Roman"/>
                <w:sz w:val="24"/>
                <w:szCs w:val="24"/>
              </w:rPr>
              <w:t>Samut Songkhram</w:t>
            </w:r>
          </w:p>
        </w:tc>
        <w:tc>
          <w:tcPr>
            <w:tcW w:w="1169" w:type="dxa"/>
            <w:vAlign w:val="center"/>
          </w:tcPr>
          <w:p w14:paraId="6C5DDF99" w14:textId="77777777" w:rsidR="009A0A63" w:rsidRPr="00792B36" w:rsidRDefault="009A0A63" w:rsidP="00A24459">
            <w:pPr>
              <w:jc w:val="center"/>
              <w:rPr>
                <w:color w:val="EE0000"/>
                <w:sz w:val="24"/>
                <w:szCs w:val="24"/>
              </w:rPr>
            </w:pPr>
            <w:r w:rsidRPr="00792B36">
              <w:rPr>
                <w:sz w:val="24"/>
                <w:szCs w:val="24"/>
              </w:rPr>
              <w:t>379</w:t>
            </w:r>
          </w:p>
        </w:tc>
        <w:tc>
          <w:tcPr>
            <w:tcW w:w="1559" w:type="dxa"/>
            <w:vAlign w:val="center"/>
          </w:tcPr>
          <w:p w14:paraId="6857F13B" w14:textId="77777777" w:rsidR="009A0A63" w:rsidRPr="00792B36" w:rsidRDefault="009A0A63" w:rsidP="00A24459">
            <w:pPr>
              <w:jc w:val="center"/>
              <w:rPr>
                <w:color w:val="EE0000"/>
                <w:sz w:val="24"/>
                <w:szCs w:val="24"/>
              </w:rPr>
            </w:pPr>
            <w:r w:rsidRPr="00792B36">
              <w:rPr>
                <w:sz w:val="24"/>
                <w:szCs w:val="24"/>
              </w:rPr>
              <w:t>0</w:t>
            </w:r>
          </w:p>
        </w:tc>
        <w:tc>
          <w:tcPr>
            <w:tcW w:w="1701" w:type="dxa"/>
            <w:vAlign w:val="center"/>
          </w:tcPr>
          <w:p w14:paraId="10CE5FFE" w14:textId="77777777" w:rsidR="009A0A63" w:rsidRPr="00792B36" w:rsidRDefault="009A0A63" w:rsidP="00A24459">
            <w:pPr>
              <w:jc w:val="center"/>
              <w:rPr>
                <w:color w:val="EE0000"/>
                <w:sz w:val="24"/>
                <w:szCs w:val="24"/>
              </w:rPr>
            </w:pPr>
            <w:r w:rsidRPr="00792B36">
              <w:rPr>
                <w:sz w:val="24"/>
                <w:szCs w:val="24"/>
                <w:cs/>
              </w:rPr>
              <w:t>404</w:t>
            </w:r>
          </w:p>
        </w:tc>
        <w:tc>
          <w:tcPr>
            <w:tcW w:w="1276" w:type="dxa"/>
            <w:vAlign w:val="center"/>
          </w:tcPr>
          <w:p w14:paraId="58455AE7" w14:textId="77777777" w:rsidR="009A0A63" w:rsidRPr="00792B36" w:rsidRDefault="009A0A63" w:rsidP="00A24459">
            <w:pPr>
              <w:jc w:val="center"/>
              <w:rPr>
                <w:color w:val="EE0000"/>
                <w:sz w:val="24"/>
                <w:szCs w:val="24"/>
              </w:rPr>
            </w:pPr>
            <w:r w:rsidRPr="00792B36">
              <w:rPr>
                <w:sz w:val="24"/>
                <w:szCs w:val="24"/>
                <w:cs/>
              </w:rPr>
              <w:t>77</w:t>
            </w:r>
          </w:p>
        </w:tc>
        <w:tc>
          <w:tcPr>
            <w:tcW w:w="1418" w:type="dxa"/>
            <w:vAlign w:val="center"/>
          </w:tcPr>
          <w:p w14:paraId="77BD42A1" w14:textId="77777777" w:rsidR="009A0A63" w:rsidRPr="00792B36" w:rsidRDefault="009A0A63" w:rsidP="00A24459">
            <w:pPr>
              <w:jc w:val="center"/>
              <w:rPr>
                <w:color w:val="EE0000"/>
                <w:sz w:val="24"/>
                <w:szCs w:val="24"/>
              </w:rPr>
            </w:pPr>
            <w:r w:rsidRPr="00792B36">
              <w:rPr>
                <w:sz w:val="24"/>
                <w:szCs w:val="24"/>
                <w:cs/>
              </w:rPr>
              <w:t>860</w:t>
            </w:r>
          </w:p>
        </w:tc>
      </w:tr>
      <w:tr w:rsidR="009A0A63" w:rsidRPr="00792B36" w14:paraId="7229BC4F" w14:textId="77777777" w:rsidTr="00A24459">
        <w:trPr>
          <w:trHeight w:val="283"/>
        </w:trPr>
        <w:tc>
          <w:tcPr>
            <w:tcW w:w="2375" w:type="dxa"/>
            <w:vAlign w:val="center"/>
          </w:tcPr>
          <w:p w14:paraId="763DE3E4" w14:textId="77777777" w:rsidR="009A0A63" w:rsidRPr="00792B36" w:rsidRDefault="009A0A63" w:rsidP="00A24459">
            <w:pPr>
              <w:rPr>
                <w:sz w:val="24"/>
                <w:szCs w:val="24"/>
              </w:rPr>
            </w:pPr>
            <w:r w:rsidRPr="00792B36">
              <w:rPr>
                <w:rFonts w:eastAsia="Times New Roman"/>
                <w:sz w:val="24"/>
                <w:szCs w:val="24"/>
              </w:rPr>
              <w:lastRenderedPageBreak/>
              <w:t>Phetchaburi</w:t>
            </w:r>
          </w:p>
        </w:tc>
        <w:tc>
          <w:tcPr>
            <w:tcW w:w="1169" w:type="dxa"/>
            <w:vAlign w:val="center"/>
          </w:tcPr>
          <w:p w14:paraId="3F5C9FB5" w14:textId="77777777" w:rsidR="009A0A63" w:rsidRPr="00792B36" w:rsidRDefault="009A0A63" w:rsidP="00A24459">
            <w:pPr>
              <w:jc w:val="center"/>
              <w:rPr>
                <w:color w:val="EE0000"/>
                <w:sz w:val="24"/>
                <w:szCs w:val="24"/>
              </w:rPr>
            </w:pPr>
            <w:r w:rsidRPr="00792B36">
              <w:rPr>
                <w:sz w:val="24"/>
                <w:szCs w:val="24"/>
              </w:rPr>
              <w:t>74</w:t>
            </w:r>
          </w:p>
        </w:tc>
        <w:tc>
          <w:tcPr>
            <w:tcW w:w="1559" w:type="dxa"/>
            <w:vAlign w:val="center"/>
          </w:tcPr>
          <w:p w14:paraId="5F67C296" w14:textId="77777777" w:rsidR="009A0A63" w:rsidRPr="00792B36" w:rsidRDefault="009A0A63" w:rsidP="00A24459">
            <w:pPr>
              <w:jc w:val="center"/>
              <w:rPr>
                <w:color w:val="EE0000"/>
                <w:sz w:val="24"/>
                <w:szCs w:val="24"/>
              </w:rPr>
            </w:pPr>
            <w:r w:rsidRPr="00792B36">
              <w:rPr>
                <w:sz w:val="24"/>
                <w:szCs w:val="24"/>
                <w:cs/>
              </w:rPr>
              <w:t>1</w:t>
            </w:r>
          </w:p>
        </w:tc>
        <w:tc>
          <w:tcPr>
            <w:tcW w:w="1701" w:type="dxa"/>
            <w:vAlign w:val="center"/>
          </w:tcPr>
          <w:p w14:paraId="2AA0DA8C" w14:textId="77777777" w:rsidR="009A0A63" w:rsidRPr="00792B36" w:rsidRDefault="009A0A63" w:rsidP="00A24459">
            <w:pPr>
              <w:jc w:val="center"/>
              <w:rPr>
                <w:color w:val="EE0000"/>
                <w:sz w:val="24"/>
                <w:szCs w:val="24"/>
              </w:rPr>
            </w:pPr>
            <w:r w:rsidRPr="00792B36">
              <w:rPr>
                <w:sz w:val="24"/>
                <w:szCs w:val="24"/>
                <w:cs/>
              </w:rPr>
              <w:t>456</w:t>
            </w:r>
          </w:p>
        </w:tc>
        <w:tc>
          <w:tcPr>
            <w:tcW w:w="1276" w:type="dxa"/>
            <w:vAlign w:val="center"/>
          </w:tcPr>
          <w:p w14:paraId="77ECEF78" w14:textId="77777777" w:rsidR="009A0A63" w:rsidRPr="00792B36" w:rsidRDefault="009A0A63" w:rsidP="00A24459">
            <w:pPr>
              <w:jc w:val="center"/>
              <w:rPr>
                <w:color w:val="EE0000"/>
                <w:sz w:val="24"/>
                <w:szCs w:val="24"/>
              </w:rPr>
            </w:pPr>
            <w:r w:rsidRPr="00792B36">
              <w:rPr>
                <w:sz w:val="24"/>
                <w:szCs w:val="24"/>
                <w:cs/>
              </w:rPr>
              <w:t>492</w:t>
            </w:r>
          </w:p>
        </w:tc>
        <w:tc>
          <w:tcPr>
            <w:tcW w:w="1418" w:type="dxa"/>
            <w:vAlign w:val="center"/>
          </w:tcPr>
          <w:p w14:paraId="57ABBACA" w14:textId="77777777" w:rsidR="009A0A63" w:rsidRPr="00792B36" w:rsidRDefault="009A0A63" w:rsidP="00A24459">
            <w:pPr>
              <w:jc w:val="center"/>
              <w:rPr>
                <w:color w:val="EE0000"/>
                <w:sz w:val="24"/>
                <w:szCs w:val="24"/>
              </w:rPr>
            </w:pPr>
            <w:r w:rsidRPr="00792B36">
              <w:rPr>
                <w:sz w:val="24"/>
                <w:szCs w:val="24"/>
                <w:cs/>
              </w:rPr>
              <w:t>1,023</w:t>
            </w:r>
          </w:p>
        </w:tc>
      </w:tr>
      <w:tr w:rsidR="009A0A63" w:rsidRPr="00792B36" w14:paraId="379C46C7" w14:textId="77777777" w:rsidTr="00A24459">
        <w:trPr>
          <w:trHeight w:val="283"/>
        </w:trPr>
        <w:tc>
          <w:tcPr>
            <w:tcW w:w="2375" w:type="dxa"/>
            <w:vAlign w:val="center"/>
          </w:tcPr>
          <w:p w14:paraId="462A163D" w14:textId="77777777" w:rsidR="009A0A63" w:rsidRPr="00792B36" w:rsidRDefault="009A0A63" w:rsidP="00A24459">
            <w:pPr>
              <w:rPr>
                <w:spacing w:val="-4"/>
                <w:sz w:val="24"/>
                <w:szCs w:val="24"/>
              </w:rPr>
            </w:pPr>
            <w:r w:rsidRPr="00792B36">
              <w:rPr>
                <w:rFonts w:eastAsia="Times New Roman"/>
                <w:spacing w:val="-4"/>
                <w:sz w:val="24"/>
                <w:szCs w:val="24"/>
              </w:rPr>
              <w:t>Prachuap Khiri Khan</w:t>
            </w:r>
          </w:p>
        </w:tc>
        <w:tc>
          <w:tcPr>
            <w:tcW w:w="1169" w:type="dxa"/>
            <w:vAlign w:val="center"/>
          </w:tcPr>
          <w:p w14:paraId="57A3FF72" w14:textId="77777777" w:rsidR="009A0A63" w:rsidRPr="00792B36" w:rsidRDefault="009A0A63" w:rsidP="00A24459">
            <w:pPr>
              <w:jc w:val="center"/>
              <w:rPr>
                <w:color w:val="EE0000"/>
                <w:sz w:val="24"/>
                <w:szCs w:val="24"/>
              </w:rPr>
            </w:pPr>
            <w:r w:rsidRPr="00792B36">
              <w:rPr>
                <w:sz w:val="24"/>
                <w:szCs w:val="24"/>
              </w:rPr>
              <w:t>85</w:t>
            </w:r>
          </w:p>
        </w:tc>
        <w:tc>
          <w:tcPr>
            <w:tcW w:w="1559" w:type="dxa"/>
            <w:vAlign w:val="center"/>
          </w:tcPr>
          <w:p w14:paraId="498B97B9" w14:textId="77777777" w:rsidR="009A0A63" w:rsidRPr="00792B36" w:rsidRDefault="009A0A63" w:rsidP="00A24459">
            <w:pPr>
              <w:jc w:val="center"/>
              <w:rPr>
                <w:color w:val="EE0000"/>
                <w:sz w:val="24"/>
                <w:szCs w:val="24"/>
              </w:rPr>
            </w:pPr>
            <w:r w:rsidRPr="00792B36">
              <w:rPr>
                <w:sz w:val="24"/>
                <w:szCs w:val="24"/>
                <w:cs/>
              </w:rPr>
              <w:t>85</w:t>
            </w:r>
          </w:p>
        </w:tc>
        <w:tc>
          <w:tcPr>
            <w:tcW w:w="1701" w:type="dxa"/>
            <w:vAlign w:val="center"/>
          </w:tcPr>
          <w:p w14:paraId="0B486FD9" w14:textId="77777777" w:rsidR="009A0A63" w:rsidRPr="00792B36" w:rsidRDefault="009A0A63" w:rsidP="00A24459">
            <w:pPr>
              <w:jc w:val="center"/>
              <w:rPr>
                <w:color w:val="EE0000"/>
                <w:sz w:val="24"/>
                <w:szCs w:val="24"/>
              </w:rPr>
            </w:pPr>
            <w:r w:rsidRPr="00792B36">
              <w:rPr>
                <w:sz w:val="24"/>
                <w:szCs w:val="24"/>
                <w:cs/>
              </w:rPr>
              <w:t>581</w:t>
            </w:r>
          </w:p>
        </w:tc>
        <w:tc>
          <w:tcPr>
            <w:tcW w:w="1276" w:type="dxa"/>
            <w:vAlign w:val="center"/>
          </w:tcPr>
          <w:p w14:paraId="74F790ED" w14:textId="77777777" w:rsidR="009A0A63" w:rsidRPr="00792B36" w:rsidRDefault="009A0A63" w:rsidP="00A24459">
            <w:pPr>
              <w:jc w:val="center"/>
              <w:rPr>
                <w:color w:val="EE0000"/>
                <w:sz w:val="24"/>
                <w:szCs w:val="24"/>
              </w:rPr>
            </w:pPr>
            <w:r w:rsidRPr="00792B36">
              <w:rPr>
                <w:sz w:val="24"/>
                <w:szCs w:val="24"/>
                <w:cs/>
              </w:rPr>
              <w:t>501</w:t>
            </w:r>
          </w:p>
        </w:tc>
        <w:tc>
          <w:tcPr>
            <w:tcW w:w="1418" w:type="dxa"/>
            <w:vAlign w:val="center"/>
          </w:tcPr>
          <w:p w14:paraId="587FBDAC" w14:textId="77777777" w:rsidR="009A0A63" w:rsidRPr="00792B36" w:rsidRDefault="009A0A63" w:rsidP="00A24459">
            <w:pPr>
              <w:jc w:val="center"/>
              <w:rPr>
                <w:color w:val="EE0000"/>
                <w:sz w:val="24"/>
                <w:szCs w:val="24"/>
              </w:rPr>
            </w:pPr>
            <w:r w:rsidRPr="00792B36">
              <w:rPr>
                <w:sz w:val="24"/>
                <w:szCs w:val="24"/>
                <w:cs/>
              </w:rPr>
              <w:t>1,252</w:t>
            </w:r>
          </w:p>
        </w:tc>
      </w:tr>
      <w:tr w:rsidR="009A0A63" w:rsidRPr="00792B36" w14:paraId="123322FA" w14:textId="77777777" w:rsidTr="00A24459">
        <w:trPr>
          <w:trHeight w:val="283"/>
        </w:trPr>
        <w:tc>
          <w:tcPr>
            <w:tcW w:w="2375" w:type="dxa"/>
            <w:vAlign w:val="center"/>
          </w:tcPr>
          <w:p w14:paraId="01540B3A" w14:textId="77777777" w:rsidR="009A0A63" w:rsidRPr="00792B36" w:rsidRDefault="009A0A63" w:rsidP="00A24459">
            <w:pPr>
              <w:rPr>
                <w:sz w:val="24"/>
                <w:szCs w:val="24"/>
              </w:rPr>
            </w:pPr>
            <w:r w:rsidRPr="00792B36">
              <w:rPr>
                <w:rFonts w:eastAsia="Times New Roman"/>
                <w:sz w:val="24"/>
                <w:szCs w:val="24"/>
              </w:rPr>
              <w:t>Chumphon</w:t>
            </w:r>
          </w:p>
        </w:tc>
        <w:tc>
          <w:tcPr>
            <w:tcW w:w="1169" w:type="dxa"/>
            <w:vAlign w:val="center"/>
          </w:tcPr>
          <w:p w14:paraId="103F55C3" w14:textId="77777777" w:rsidR="009A0A63" w:rsidRPr="00792B36" w:rsidRDefault="009A0A63" w:rsidP="00A24459">
            <w:pPr>
              <w:jc w:val="center"/>
              <w:rPr>
                <w:color w:val="EE0000"/>
                <w:sz w:val="24"/>
                <w:szCs w:val="24"/>
              </w:rPr>
            </w:pPr>
            <w:r w:rsidRPr="00792B36">
              <w:rPr>
                <w:sz w:val="24"/>
                <w:szCs w:val="24"/>
              </w:rPr>
              <w:t>153</w:t>
            </w:r>
          </w:p>
        </w:tc>
        <w:tc>
          <w:tcPr>
            <w:tcW w:w="1559" w:type="dxa"/>
            <w:vAlign w:val="center"/>
          </w:tcPr>
          <w:p w14:paraId="68C9DB54" w14:textId="77777777" w:rsidR="009A0A63" w:rsidRPr="00792B36" w:rsidRDefault="009A0A63" w:rsidP="00A24459">
            <w:pPr>
              <w:jc w:val="center"/>
              <w:rPr>
                <w:color w:val="EE0000"/>
                <w:sz w:val="24"/>
                <w:szCs w:val="24"/>
              </w:rPr>
            </w:pPr>
            <w:r w:rsidRPr="00792B36">
              <w:rPr>
                <w:sz w:val="24"/>
                <w:szCs w:val="24"/>
                <w:cs/>
              </w:rPr>
              <w:t>82</w:t>
            </w:r>
          </w:p>
        </w:tc>
        <w:tc>
          <w:tcPr>
            <w:tcW w:w="1701" w:type="dxa"/>
            <w:vAlign w:val="center"/>
          </w:tcPr>
          <w:p w14:paraId="22F0016B" w14:textId="77777777" w:rsidR="009A0A63" w:rsidRPr="00792B36" w:rsidRDefault="009A0A63" w:rsidP="00A24459">
            <w:pPr>
              <w:jc w:val="center"/>
              <w:rPr>
                <w:color w:val="EE0000"/>
                <w:sz w:val="24"/>
                <w:szCs w:val="24"/>
              </w:rPr>
            </w:pPr>
            <w:r w:rsidRPr="00792B36">
              <w:rPr>
                <w:sz w:val="24"/>
                <w:szCs w:val="24"/>
                <w:cs/>
              </w:rPr>
              <w:t>723</w:t>
            </w:r>
          </w:p>
        </w:tc>
        <w:tc>
          <w:tcPr>
            <w:tcW w:w="1276" w:type="dxa"/>
            <w:vAlign w:val="center"/>
          </w:tcPr>
          <w:p w14:paraId="6C732436" w14:textId="77777777" w:rsidR="009A0A63" w:rsidRPr="00792B36" w:rsidRDefault="009A0A63" w:rsidP="00A24459">
            <w:pPr>
              <w:jc w:val="center"/>
              <w:rPr>
                <w:color w:val="EE0000"/>
                <w:sz w:val="24"/>
                <w:szCs w:val="24"/>
              </w:rPr>
            </w:pPr>
            <w:r w:rsidRPr="00792B36">
              <w:rPr>
                <w:sz w:val="24"/>
                <w:szCs w:val="24"/>
                <w:cs/>
              </w:rPr>
              <w:t>679</w:t>
            </w:r>
          </w:p>
        </w:tc>
        <w:tc>
          <w:tcPr>
            <w:tcW w:w="1418" w:type="dxa"/>
            <w:vAlign w:val="center"/>
          </w:tcPr>
          <w:p w14:paraId="18410A41" w14:textId="77777777" w:rsidR="009A0A63" w:rsidRPr="00792B36" w:rsidRDefault="009A0A63" w:rsidP="00A24459">
            <w:pPr>
              <w:jc w:val="center"/>
              <w:rPr>
                <w:color w:val="EE0000"/>
                <w:sz w:val="24"/>
                <w:szCs w:val="24"/>
              </w:rPr>
            </w:pPr>
            <w:r w:rsidRPr="00792B36">
              <w:rPr>
                <w:sz w:val="24"/>
                <w:szCs w:val="24"/>
                <w:cs/>
              </w:rPr>
              <w:t>1,637</w:t>
            </w:r>
          </w:p>
        </w:tc>
      </w:tr>
      <w:tr w:rsidR="009A0A63" w:rsidRPr="00792B36" w14:paraId="7E800B10" w14:textId="77777777" w:rsidTr="00A24459">
        <w:trPr>
          <w:trHeight w:val="283"/>
        </w:trPr>
        <w:tc>
          <w:tcPr>
            <w:tcW w:w="2375" w:type="dxa"/>
            <w:vAlign w:val="center"/>
          </w:tcPr>
          <w:p w14:paraId="4ED18F9C" w14:textId="77777777" w:rsidR="009A0A63" w:rsidRPr="00792B36" w:rsidRDefault="009A0A63" w:rsidP="00A24459">
            <w:pPr>
              <w:rPr>
                <w:sz w:val="24"/>
                <w:szCs w:val="24"/>
              </w:rPr>
            </w:pPr>
            <w:r w:rsidRPr="00792B36">
              <w:rPr>
                <w:rFonts w:eastAsia="Times New Roman"/>
                <w:sz w:val="24"/>
                <w:szCs w:val="24"/>
              </w:rPr>
              <w:t>Surat Thani</w:t>
            </w:r>
          </w:p>
        </w:tc>
        <w:tc>
          <w:tcPr>
            <w:tcW w:w="1169" w:type="dxa"/>
            <w:vAlign w:val="center"/>
          </w:tcPr>
          <w:p w14:paraId="587F35C0" w14:textId="77777777" w:rsidR="009A0A63" w:rsidRPr="00792B36" w:rsidRDefault="009A0A63" w:rsidP="00A24459">
            <w:pPr>
              <w:jc w:val="center"/>
              <w:rPr>
                <w:color w:val="EE0000"/>
                <w:sz w:val="24"/>
                <w:szCs w:val="24"/>
              </w:rPr>
            </w:pPr>
            <w:r w:rsidRPr="00792B36">
              <w:rPr>
                <w:sz w:val="24"/>
                <w:szCs w:val="24"/>
              </w:rPr>
              <w:t>103</w:t>
            </w:r>
          </w:p>
        </w:tc>
        <w:tc>
          <w:tcPr>
            <w:tcW w:w="1559" w:type="dxa"/>
            <w:vAlign w:val="center"/>
          </w:tcPr>
          <w:p w14:paraId="233DFE0A" w14:textId="77777777" w:rsidR="009A0A63" w:rsidRPr="00792B36" w:rsidRDefault="009A0A63" w:rsidP="00A24459">
            <w:pPr>
              <w:jc w:val="center"/>
              <w:rPr>
                <w:color w:val="EE0000"/>
                <w:sz w:val="24"/>
                <w:szCs w:val="24"/>
              </w:rPr>
            </w:pPr>
            <w:r w:rsidRPr="00792B36">
              <w:rPr>
                <w:sz w:val="24"/>
                <w:szCs w:val="24"/>
                <w:cs/>
              </w:rPr>
              <w:t>10</w:t>
            </w:r>
          </w:p>
        </w:tc>
        <w:tc>
          <w:tcPr>
            <w:tcW w:w="1701" w:type="dxa"/>
            <w:vAlign w:val="center"/>
          </w:tcPr>
          <w:p w14:paraId="1C477FB4" w14:textId="77777777" w:rsidR="009A0A63" w:rsidRPr="00792B36" w:rsidRDefault="009A0A63" w:rsidP="00A24459">
            <w:pPr>
              <w:jc w:val="center"/>
              <w:rPr>
                <w:color w:val="EE0000"/>
                <w:sz w:val="24"/>
                <w:szCs w:val="24"/>
              </w:rPr>
            </w:pPr>
            <w:r w:rsidRPr="00792B36">
              <w:rPr>
                <w:sz w:val="24"/>
                <w:szCs w:val="24"/>
                <w:cs/>
              </w:rPr>
              <w:t>339</w:t>
            </w:r>
          </w:p>
        </w:tc>
        <w:tc>
          <w:tcPr>
            <w:tcW w:w="1276" w:type="dxa"/>
            <w:vAlign w:val="center"/>
          </w:tcPr>
          <w:p w14:paraId="7DFAED76" w14:textId="77777777" w:rsidR="009A0A63" w:rsidRPr="00792B36" w:rsidRDefault="009A0A63" w:rsidP="00A24459">
            <w:pPr>
              <w:jc w:val="center"/>
              <w:rPr>
                <w:color w:val="EE0000"/>
                <w:sz w:val="24"/>
                <w:szCs w:val="24"/>
              </w:rPr>
            </w:pPr>
            <w:r w:rsidRPr="00792B36">
              <w:rPr>
                <w:sz w:val="24"/>
                <w:szCs w:val="24"/>
                <w:cs/>
              </w:rPr>
              <w:t>313</w:t>
            </w:r>
          </w:p>
        </w:tc>
        <w:tc>
          <w:tcPr>
            <w:tcW w:w="1418" w:type="dxa"/>
            <w:vAlign w:val="center"/>
          </w:tcPr>
          <w:p w14:paraId="1E74B63D" w14:textId="77777777" w:rsidR="009A0A63" w:rsidRPr="00792B36" w:rsidRDefault="009A0A63" w:rsidP="00A24459">
            <w:pPr>
              <w:jc w:val="center"/>
              <w:rPr>
                <w:color w:val="EE0000"/>
                <w:sz w:val="24"/>
                <w:szCs w:val="24"/>
              </w:rPr>
            </w:pPr>
            <w:r w:rsidRPr="00792B36">
              <w:rPr>
                <w:sz w:val="24"/>
                <w:szCs w:val="24"/>
                <w:cs/>
              </w:rPr>
              <w:t>765</w:t>
            </w:r>
          </w:p>
        </w:tc>
      </w:tr>
      <w:tr w:rsidR="009A0A63" w:rsidRPr="00792B36" w14:paraId="7F3FD0C8" w14:textId="77777777" w:rsidTr="00A24459">
        <w:trPr>
          <w:trHeight w:val="283"/>
        </w:trPr>
        <w:tc>
          <w:tcPr>
            <w:tcW w:w="2375" w:type="dxa"/>
            <w:vAlign w:val="center"/>
          </w:tcPr>
          <w:p w14:paraId="11355AE7" w14:textId="77777777" w:rsidR="009A0A63" w:rsidRPr="00792B36" w:rsidRDefault="009A0A63" w:rsidP="00A24459">
            <w:pPr>
              <w:rPr>
                <w:spacing w:val="-4"/>
                <w:sz w:val="24"/>
                <w:szCs w:val="24"/>
              </w:rPr>
            </w:pPr>
            <w:r w:rsidRPr="00792B36">
              <w:rPr>
                <w:rFonts w:eastAsia="Times New Roman"/>
                <w:spacing w:val="-4"/>
                <w:sz w:val="24"/>
                <w:szCs w:val="24"/>
              </w:rPr>
              <w:t>Nakhon Si Thammarat</w:t>
            </w:r>
          </w:p>
        </w:tc>
        <w:tc>
          <w:tcPr>
            <w:tcW w:w="1169" w:type="dxa"/>
            <w:vAlign w:val="center"/>
          </w:tcPr>
          <w:p w14:paraId="46ED0D95" w14:textId="77777777" w:rsidR="009A0A63" w:rsidRPr="00792B36" w:rsidRDefault="009A0A63" w:rsidP="00A24459">
            <w:pPr>
              <w:jc w:val="center"/>
              <w:rPr>
                <w:color w:val="EE0000"/>
                <w:sz w:val="24"/>
                <w:szCs w:val="24"/>
              </w:rPr>
            </w:pPr>
            <w:r w:rsidRPr="00792B36">
              <w:rPr>
                <w:sz w:val="24"/>
                <w:szCs w:val="24"/>
              </w:rPr>
              <w:t>572</w:t>
            </w:r>
          </w:p>
        </w:tc>
        <w:tc>
          <w:tcPr>
            <w:tcW w:w="1559" w:type="dxa"/>
            <w:vAlign w:val="center"/>
          </w:tcPr>
          <w:p w14:paraId="0F2EF9C7" w14:textId="77777777" w:rsidR="009A0A63" w:rsidRPr="00792B36" w:rsidRDefault="009A0A63" w:rsidP="00A24459">
            <w:pPr>
              <w:jc w:val="center"/>
              <w:rPr>
                <w:color w:val="EE0000"/>
                <w:sz w:val="24"/>
                <w:szCs w:val="24"/>
              </w:rPr>
            </w:pPr>
            <w:r w:rsidRPr="00792B36">
              <w:rPr>
                <w:sz w:val="24"/>
                <w:szCs w:val="24"/>
                <w:cs/>
              </w:rPr>
              <w:t>7</w:t>
            </w:r>
          </w:p>
        </w:tc>
        <w:tc>
          <w:tcPr>
            <w:tcW w:w="1701" w:type="dxa"/>
            <w:vAlign w:val="center"/>
          </w:tcPr>
          <w:p w14:paraId="1831094F" w14:textId="77777777" w:rsidR="009A0A63" w:rsidRPr="00792B36" w:rsidRDefault="009A0A63" w:rsidP="00A24459">
            <w:pPr>
              <w:jc w:val="center"/>
              <w:rPr>
                <w:color w:val="EE0000"/>
                <w:sz w:val="24"/>
                <w:szCs w:val="24"/>
              </w:rPr>
            </w:pPr>
            <w:r w:rsidRPr="00792B36">
              <w:rPr>
                <w:sz w:val="24"/>
                <w:szCs w:val="24"/>
                <w:cs/>
              </w:rPr>
              <w:t>722</w:t>
            </w:r>
          </w:p>
        </w:tc>
        <w:tc>
          <w:tcPr>
            <w:tcW w:w="1276" w:type="dxa"/>
            <w:vAlign w:val="center"/>
          </w:tcPr>
          <w:p w14:paraId="2C3ED027" w14:textId="77777777" w:rsidR="009A0A63" w:rsidRPr="00792B36" w:rsidRDefault="009A0A63" w:rsidP="00A24459">
            <w:pPr>
              <w:jc w:val="center"/>
              <w:rPr>
                <w:color w:val="EE0000"/>
                <w:sz w:val="24"/>
                <w:szCs w:val="24"/>
              </w:rPr>
            </w:pPr>
            <w:r w:rsidRPr="00792B36">
              <w:rPr>
                <w:sz w:val="24"/>
                <w:szCs w:val="24"/>
                <w:cs/>
              </w:rPr>
              <w:t>192</w:t>
            </w:r>
          </w:p>
        </w:tc>
        <w:tc>
          <w:tcPr>
            <w:tcW w:w="1418" w:type="dxa"/>
            <w:vAlign w:val="center"/>
          </w:tcPr>
          <w:p w14:paraId="00C42158" w14:textId="77777777" w:rsidR="009A0A63" w:rsidRPr="00792B36" w:rsidRDefault="009A0A63" w:rsidP="00A24459">
            <w:pPr>
              <w:jc w:val="center"/>
              <w:rPr>
                <w:color w:val="EE0000"/>
                <w:sz w:val="24"/>
                <w:szCs w:val="24"/>
              </w:rPr>
            </w:pPr>
            <w:r w:rsidRPr="00792B36">
              <w:rPr>
                <w:sz w:val="24"/>
                <w:szCs w:val="24"/>
                <w:cs/>
              </w:rPr>
              <w:t>1,493</w:t>
            </w:r>
          </w:p>
        </w:tc>
      </w:tr>
      <w:tr w:rsidR="009A0A63" w:rsidRPr="00792B36" w14:paraId="78C29496" w14:textId="77777777" w:rsidTr="00A24459">
        <w:trPr>
          <w:trHeight w:val="283"/>
        </w:trPr>
        <w:tc>
          <w:tcPr>
            <w:tcW w:w="2375" w:type="dxa"/>
            <w:vAlign w:val="center"/>
          </w:tcPr>
          <w:p w14:paraId="4E39821E" w14:textId="77777777" w:rsidR="009A0A63" w:rsidRPr="00792B36" w:rsidRDefault="009A0A63" w:rsidP="00A24459">
            <w:pPr>
              <w:rPr>
                <w:sz w:val="24"/>
                <w:szCs w:val="24"/>
              </w:rPr>
            </w:pPr>
            <w:r w:rsidRPr="00792B36">
              <w:rPr>
                <w:rFonts w:eastAsia="Times New Roman"/>
                <w:sz w:val="24"/>
                <w:szCs w:val="24"/>
              </w:rPr>
              <w:t>Songkhla</w:t>
            </w:r>
          </w:p>
        </w:tc>
        <w:tc>
          <w:tcPr>
            <w:tcW w:w="1169" w:type="dxa"/>
            <w:vAlign w:val="center"/>
          </w:tcPr>
          <w:p w14:paraId="0F4188B3" w14:textId="77777777" w:rsidR="009A0A63" w:rsidRPr="00792B36" w:rsidRDefault="009A0A63" w:rsidP="00A24459">
            <w:pPr>
              <w:jc w:val="center"/>
              <w:rPr>
                <w:color w:val="EE0000"/>
                <w:sz w:val="24"/>
                <w:szCs w:val="24"/>
              </w:rPr>
            </w:pPr>
            <w:r w:rsidRPr="00792B36">
              <w:rPr>
                <w:sz w:val="24"/>
                <w:szCs w:val="24"/>
              </w:rPr>
              <w:t>195</w:t>
            </w:r>
          </w:p>
        </w:tc>
        <w:tc>
          <w:tcPr>
            <w:tcW w:w="1559" w:type="dxa"/>
            <w:vAlign w:val="center"/>
          </w:tcPr>
          <w:p w14:paraId="6025FFA9" w14:textId="77777777" w:rsidR="009A0A63" w:rsidRPr="00792B36" w:rsidRDefault="009A0A63" w:rsidP="00A24459">
            <w:pPr>
              <w:jc w:val="center"/>
              <w:rPr>
                <w:color w:val="EE0000"/>
                <w:sz w:val="24"/>
                <w:szCs w:val="24"/>
              </w:rPr>
            </w:pPr>
            <w:r w:rsidRPr="00792B36">
              <w:rPr>
                <w:sz w:val="24"/>
                <w:szCs w:val="24"/>
                <w:cs/>
              </w:rPr>
              <w:t>16</w:t>
            </w:r>
          </w:p>
        </w:tc>
        <w:tc>
          <w:tcPr>
            <w:tcW w:w="1701" w:type="dxa"/>
            <w:vAlign w:val="center"/>
          </w:tcPr>
          <w:p w14:paraId="2CCDDEEC" w14:textId="77777777" w:rsidR="009A0A63" w:rsidRPr="00792B36" w:rsidRDefault="009A0A63" w:rsidP="00A24459">
            <w:pPr>
              <w:jc w:val="center"/>
              <w:rPr>
                <w:color w:val="EE0000"/>
                <w:sz w:val="24"/>
                <w:szCs w:val="24"/>
              </w:rPr>
            </w:pPr>
            <w:r w:rsidRPr="00792B36">
              <w:rPr>
                <w:sz w:val="24"/>
                <w:szCs w:val="24"/>
                <w:cs/>
              </w:rPr>
              <w:t>339</w:t>
            </w:r>
          </w:p>
        </w:tc>
        <w:tc>
          <w:tcPr>
            <w:tcW w:w="1276" w:type="dxa"/>
            <w:vAlign w:val="center"/>
          </w:tcPr>
          <w:p w14:paraId="70EDC61E" w14:textId="77777777" w:rsidR="009A0A63" w:rsidRPr="00792B36" w:rsidRDefault="009A0A63" w:rsidP="00A24459">
            <w:pPr>
              <w:jc w:val="center"/>
              <w:rPr>
                <w:color w:val="EE0000"/>
                <w:sz w:val="24"/>
                <w:szCs w:val="24"/>
              </w:rPr>
            </w:pPr>
            <w:r w:rsidRPr="00792B36">
              <w:rPr>
                <w:sz w:val="24"/>
                <w:szCs w:val="24"/>
                <w:cs/>
              </w:rPr>
              <w:t>255</w:t>
            </w:r>
          </w:p>
        </w:tc>
        <w:tc>
          <w:tcPr>
            <w:tcW w:w="1418" w:type="dxa"/>
            <w:vAlign w:val="center"/>
          </w:tcPr>
          <w:p w14:paraId="6CD66A8D" w14:textId="77777777" w:rsidR="009A0A63" w:rsidRPr="00792B36" w:rsidRDefault="009A0A63" w:rsidP="00A24459">
            <w:pPr>
              <w:jc w:val="center"/>
              <w:rPr>
                <w:color w:val="EE0000"/>
                <w:sz w:val="24"/>
                <w:szCs w:val="24"/>
              </w:rPr>
            </w:pPr>
            <w:r w:rsidRPr="00792B36">
              <w:rPr>
                <w:sz w:val="24"/>
                <w:szCs w:val="24"/>
                <w:cs/>
              </w:rPr>
              <w:t>805</w:t>
            </w:r>
          </w:p>
        </w:tc>
      </w:tr>
      <w:tr w:rsidR="009A0A63" w:rsidRPr="00792B36" w14:paraId="2177E687" w14:textId="77777777" w:rsidTr="00A24459">
        <w:trPr>
          <w:trHeight w:val="283"/>
        </w:trPr>
        <w:tc>
          <w:tcPr>
            <w:tcW w:w="2375" w:type="dxa"/>
            <w:vAlign w:val="center"/>
          </w:tcPr>
          <w:p w14:paraId="5BCB37F3" w14:textId="77777777" w:rsidR="009A0A63" w:rsidRPr="00792B36" w:rsidRDefault="009A0A63" w:rsidP="00A24459">
            <w:pPr>
              <w:rPr>
                <w:sz w:val="24"/>
                <w:szCs w:val="24"/>
              </w:rPr>
            </w:pPr>
            <w:r w:rsidRPr="00792B36">
              <w:rPr>
                <w:rFonts w:eastAsia="Times New Roman"/>
                <w:sz w:val="24"/>
                <w:szCs w:val="24"/>
              </w:rPr>
              <w:t>Pattani</w:t>
            </w:r>
          </w:p>
        </w:tc>
        <w:tc>
          <w:tcPr>
            <w:tcW w:w="1169" w:type="dxa"/>
            <w:vAlign w:val="center"/>
          </w:tcPr>
          <w:p w14:paraId="1E2E500D" w14:textId="77777777" w:rsidR="009A0A63" w:rsidRPr="00792B36" w:rsidRDefault="009A0A63" w:rsidP="00A24459">
            <w:pPr>
              <w:jc w:val="center"/>
              <w:rPr>
                <w:color w:val="EE0000"/>
                <w:sz w:val="24"/>
                <w:szCs w:val="24"/>
              </w:rPr>
            </w:pPr>
            <w:r w:rsidRPr="00792B36">
              <w:rPr>
                <w:sz w:val="24"/>
                <w:szCs w:val="24"/>
              </w:rPr>
              <w:t>147</w:t>
            </w:r>
          </w:p>
        </w:tc>
        <w:tc>
          <w:tcPr>
            <w:tcW w:w="1559" w:type="dxa"/>
            <w:vAlign w:val="center"/>
          </w:tcPr>
          <w:p w14:paraId="71C1D657" w14:textId="77777777" w:rsidR="009A0A63" w:rsidRPr="00792B36" w:rsidRDefault="009A0A63" w:rsidP="00A24459">
            <w:pPr>
              <w:jc w:val="center"/>
              <w:rPr>
                <w:color w:val="EE0000"/>
                <w:sz w:val="24"/>
                <w:szCs w:val="24"/>
              </w:rPr>
            </w:pPr>
            <w:r w:rsidRPr="00792B36">
              <w:rPr>
                <w:sz w:val="24"/>
                <w:szCs w:val="24"/>
                <w:cs/>
              </w:rPr>
              <w:t>146</w:t>
            </w:r>
          </w:p>
        </w:tc>
        <w:tc>
          <w:tcPr>
            <w:tcW w:w="1701" w:type="dxa"/>
            <w:vAlign w:val="center"/>
          </w:tcPr>
          <w:p w14:paraId="3448BCB8" w14:textId="77777777" w:rsidR="009A0A63" w:rsidRPr="00792B36" w:rsidRDefault="009A0A63" w:rsidP="00A24459">
            <w:pPr>
              <w:jc w:val="center"/>
              <w:rPr>
                <w:color w:val="EE0000"/>
                <w:sz w:val="24"/>
                <w:szCs w:val="24"/>
              </w:rPr>
            </w:pPr>
            <w:r w:rsidRPr="00792B36">
              <w:rPr>
                <w:sz w:val="24"/>
                <w:szCs w:val="24"/>
                <w:cs/>
              </w:rPr>
              <w:t>766</w:t>
            </w:r>
          </w:p>
        </w:tc>
        <w:tc>
          <w:tcPr>
            <w:tcW w:w="1276" w:type="dxa"/>
            <w:vAlign w:val="center"/>
          </w:tcPr>
          <w:p w14:paraId="657CB516" w14:textId="77777777" w:rsidR="009A0A63" w:rsidRPr="00792B36" w:rsidRDefault="009A0A63" w:rsidP="00A24459">
            <w:pPr>
              <w:jc w:val="center"/>
              <w:rPr>
                <w:color w:val="EE0000"/>
                <w:sz w:val="24"/>
                <w:szCs w:val="24"/>
              </w:rPr>
            </w:pPr>
            <w:r w:rsidRPr="00792B36">
              <w:rPr>
                <w:sz w:val="24"/>
                <w:szCs w:val="24"/>
                <w:cs/>
              </w:rPr>
              <w:t>763</w:t>
            </w:r>
          </w:p>
        </w:tc>
        <w:tc>
          <w:tcPr>
            <w:tcW w:w="1418" w:type="dxa"/>
            <w:vAlign w:val="center"/>
          </w:tcPr>
          <w:p w14:paraId="7C3BE973" w14:textId="77777777" w:rsidR="009A0A63" w:rsidRPr="00792B36" w:rsidRDefault="009A0A63" w:rsidP="00A24459">
            <w:pPr>
              <w:jc w:val="center"/>
              <w:rPr>
                <w:color w:val="EE0000"/>
                <w:sz w:val="24"/>
                <w:szCs w:val="24"/>
              </w:rPr>
            </w:pPr>
            <w:r w:rsidRPr="00792B36">
              <w:rPr>
                <w:sz w:val="24"/>
                <w:szCs w:val="24"/>
                <w:cs/>
              </w:rPr>
              <w:t>1,822</w:t>
            </w:r>
          </w:p>
        </w:tc>
      </w:tr>
      <w:tr w:rsidR="009A0A63" w:rsidRPr="00792B36" w14:paraId="754FD375" w14:textId="77777777" w:rsidTr="00A24459">
        <w:trPr>
          <w:trHeight w:val="283"/>
        </w:trPr>
        <w:tc>
          <w:tcPr>
            <w:tcW w:w="2375" w:type="dxa"/>
            <w:tcBorders>
              <w:bottom w:val="single" w:sz="4" w:space="0" w:color="auto"/>
            </w:tcBorders>
            <w:vAlign w:val="center"/>
          </w:tcPr>
          <w:p w14:paraId="0FD3855D" w14:textId="77777777" w:rsidR="009A0A63" w:rsidRPr="00792B36" w:rsidRDefault="009A0A63" w:rsidP="00A24459">
            <w:pPr>
              <w:rPr>
                <w:sz w:val="24"/>
                <w:szCs w:val="24"/>
              </w:rPr>
            </w:pPr>
            <w:r w:rsidRPr="00792B36">
              <w:rPr>
                <w:rFonts w:eastAsia="Times New Roman"/>
                <w:sz w:val="24"/>
                <w:szCs w:val="24"/>
              </w:rPr>
              <w:t>Narathiwat</w:t>
            </w:r>
          </w:p>
        </w:tc>
        <w:tc>
          <w:tcPr>
            <w:tcW w:w="1169" w:type="dxa"/>
            <w:tcBorders>
              <w:bottom w:val="single" w:sz="4" w:space="0" w:color="auto"/>
            </w:tcBorders>
            <w:vAlign w:val="center"/>
          </w:tcPr>
          <w:p w14:paraId="40AFFCBA" w14:textId="77777777" w:rsidR="009A0A63" w:rsidRPr="00792B36" w:rsidRDefault="009A0A63" w:rsidP="00A24459">
            <w:pPr>
              <w:jc w:val="center"/>
              <w:rPr>
                <w:color w:val="EE0000"/>
                <w:sz w:val="24"/>
                <w:szCs w:val="24"/>
              </w:rPr>
            </w:pPr>
            <w:r w:rsidRPr="00792B36">
              <w:rPr>
                <w:sz w:val="24"/>
                <w:szCs w:val="24"/>
              </w:rPr>
              <w:t>9</w:t>
            </w:r>
          </w:p>
        </w:tc>
        <w:tc>
          <w:tcPr>
            <w:tcW w:w="1559" w:type="dxa"/>
            <w:tcBorders>
              <w:bottom w:val="single" w:sz="4" w:space="0" w:color="auto"/>
            </w:tcBorders>
            <w:vAlign w:val="center"/>
          </w:tcPr>
          <w:p w14:paraId="3A7F5166" w14:textId="77777777" w:rsidR="009A0A63" w:rsidRPr="00792B36" w:rsidRDefault="009A0A63" w:rsidP="00A24459">
            <w:pPr>
              <w:jc w:val="center"/>
              <w:rPr>
                <w:color w:val="EE0000"/>
                <w:sz w:val="24"/>
                <w:szCs w:val="24"/>
              </w:rPr>
            </w:pPr>
            <w:r w:rsidRPr="00792B36">
              <w:rPr>
                <w:sz w:val="24"/>
                <w:szCs w:val="24"/>
              </w:rPr>
              <w:t>0</w:t>
            </w:r>
          </w:p>
        </w:tc>
        <w:tc>
          <w:tcPr>
            <w:tcW w:w="1701" w:type="dxa"/>
            <w:tcBorders>
              <w:bottom w:val="single" w:sz="4" w:space="0" w:color="auto"/>
            </w:tcBorders>
            <w:vAlign w:val="center"/>
          </w:tcPr>
          <w:p w14:paraId="41628A20" w14:textId="77777777" w:rsidR="009A0A63" w:rsidRPr="00792B36" w:rsidRDefault="009A0A63" w:rsidP="00A24459">
            <w:pPr>
              <w:jc w:val="center"/>
              <w:rPr>
                <w:color w:val="EE0000"/>
                <w:sz w:val="24"/>
                <w:szCs w:val="24"/>
              </w:rPr>
            </w:pPr>
            <w:r w:rsidRPr="00792B36">
              <w:rPr>
                <w:sz w:val="24"/>
                <w:szCs w:val="24"/>
                <w:cs/>
              </w:rPr>
              <w:t>41</w:t>
            </w:r>
          </w:p>
        </w:tc>
        <w:tc>
          <w:tcPr>
            <w:tcW w:w="1276" w:type="dxa"/>
            <w:tcBorders>
              <w:bottom w:val="single" w:sz="4" w:space="0" w:color="auto"/>
            </w:tcBorders>
            <w:vAlign w:val="center"/>
          </w:tcPr>
          <w:p w14:paraId="7C59BFD1" w14:textId="77777777" w:rsidR="009A0A63" w:rsidRPr="00792B36" w:rsidRDefault="009A0A63" w:rsidP="00A24459">
            <w:pPr>
              <w:jc w:val="center"/>
              <w:rPr>
                <w:color w:val="EE0000"/>
                <w:sz w:val="24"/>
                <w:szCs w:val="24"/>
              </w:rPr>
            </w:pPr>
            <w:r w:rsidRPr="00792B36">
              <w:rPr>
                <w:sz w:val="24"/>
                <w:szCs w:val="24"/>
                <w:cs/>
              </w:rPr>
              <w:t>25</w:t>
            </w:r>
          </w:p>
        </w:tc>
        <w:tc>
          <w:tcPr>
            <w:tcW w:w="1418" w:type="dxa"/>
            <w:tcBorders>
              <w:bottom w:val="single" w:sz="4" w:space="0" w:color="auto"/>
            </w:tcBorders>
            <w:vAlign w:val="center"/>
          </w:tcPr>
          <w:p w14:paraId="1A20BF19" w14:textId="77777777" w:rsidR="009A0A63" w:rsidRPr="00792B36" w:rsidRDefault="009A0A63" w:rsidP="00A24459">
            <w:pPr>
              <w:jc w:val="center"/>
              <w:rPr>
                <w:color w:val="EE0000"/>
                <w:sz w:val="24"/>
                <w:szCs w:val="24"/>
              </w:rPr>
            </w:pPr>
            <w:r w:rsidRPr="00792B36">
              <w:rPr>
                <w:sz w:val="24"/>
                <w:szCs w:val="24"/>
                <w:cs/>
              </w:rPr>
              <w:t>75</w:t>
            </w:r>
          </w:p>
        </w:tc>
      </w:tr>
      <w:tr w:rsidR="009A0A63" w:rsidRPr="00792B36" w14:paraId="152CE94B" w14:textId="77777777" w:rsidTr="00A24459">
        <w:trPr>
          <w:trHeight w:val="283"/>
        </w:trPr>
        <w:tc>
          <w:tcPr>
            <w:tcW w:w="2375" w:type="dxa"/>
            <w:tcBorders>
              <w:top w:val="single" w:sz="4" w:space="0" w:color="auto"/>
              <w:bottom w:val="single" w:sz="4" w:space="0" w:color="auto"/>
            </w:tcBorders>
            <w:vAlign w:val="center"/>
          </w:tcPr>
          <w:p w14:paraId="1270243F" w14:textId="77777777" w:rsidR="009A0A63" w:rsidRPr="00792B36" w:rsidRDefault="009A0A63" w:rsidP="00A24459">
            <w:pPr>
              <w:rPr>
                <w:b/>
                <w:bCs/>
                <w:spacing w:val="-6"/>
                <w:sz w:val="24"/>
                <w:szCs w:val="24"/>
              </w:rPr>
            </w:pPr>
            <w:r w:rsidRPr="00792B36">
              <w:rPr>
                <w:b/>
                <w:bCs/>
                <w:spacing w:val="-6"/>
                <w:sz w:val="24"/>
                <w:szCs w:val="24"/>
              </w:rPr>
              <w:t>Total</w:t>
            </w:r>
          </w:p>
        </w:tc>
        <w:tc>
          <w:tcPr>
            <w:tcW w:w="1169" w:type="dxa"/>
            <w:tcBorders>
              <w:top w:val="single" w:sz="4" w:space="0" w:color="auto"/>
              <w:bottom w:val="single" w:sz="4" w:space="0" w:color="auto"/>
            </w:tcBorders>
            <w:vAlign w:val="center"/>
          </w:tcPr>
          <w:p w14:paraId="732B3836" w14:textId="77777777" w:rsidR="009A0A63" w:rsidRPr="00792B36" w:rsidRDefault="009A0A63" w:rsidP="00A24459">
            <w:pPr>
              <w:jc w:val="center"/>
              <w:rPr>
                <w:b/>
                <w:bCs/>
                <w:color w:val="EE0000"/>
                <w:sz w:val="24"/>
                <w:szCs w:val="24"/>
              </w:rPr>
            </w:pPr>
            <w:r w:rsidRPr="00792B36">
              <w:rPr>
                <w:b/>
                <w:bCs/>
                <w:sz w:val="24"/>
                <w:szCs w:val="24"/>
              </w:rPr>
              <w:t>2</w:t>
            </w:r>
            <w:r w:rsidRPr="00792B36">
              <w:rPr>
                <w:b/>
                <w:bCs/>
                <w:sz w:val="24"/>
                <w:szCs w:val="24"/>
                <w:cs/>
              </w:rPr>
              <w:t>,</w:t>
            </w:r>
            <w:r w:rsidRPr="00792B36">
              <w:rPr>
                <w:b/>
                <w:bCs/>
                <w:sz w:val="24"/>
                <w:szCs w:val="24"/>
              </w:rPr>
              <w:t>351</w:t>
            </w:r>
          </w:p>
        </w:tc>
        <w:tc>
          <w:tcPr>
            <w:tcW w:w="1559" w:type="dxa"/>
            <w:tcBorders>
              <w:top w:val="single" w:sz="4" w:space="0" w:color="auto"/>
              <w:bottom w:val="single" w:sz="4" w:space="0" w:color="auto"/>
            </w:tcBorders>
            <w:vAlign w:val="center"/>
          </w:tcPr>
          <w:p w14:paraId="5C1859B7" w14:textId="77777777" w:rsidR="009A0A63" w:rsidRPr="00792B36" w:rsidRDefault="009A0A63" w:rsidP="00A24459">
            <w:pPr>
              <w:jc w:val="center"/>
              <w:rPr>
                <w:b/>
                <w:bCs/>
                <w:color w:val="EE0000"/>
                <w:sz w:val="24"/>
                <w:szCs w:val="24"/>
              </w:rPr>
            </w:pPr>
            <w:r w:rsidRPr="00792B36">
              <w:rPr>
                <w:b/>
                <w:bCs/>
                <w:sz w:val="24"/>
                <w:szCs w:val="24"/>
                <w:cs/>
              </w:rPr>
              <w:t>587</w:t>
            </w:r>
          </w:p>
        </w:tc>
        <w:tc>
          <w:tcPr>
            <w:tcW w:w="1701" w:type="dxa"/>
            <w:tcBorders>
              <w:top w:val="single" w:sz="4" w:space="0" w:color="auto"/>
              <w:bottom w:val="single" w:sz="4" w:space="0" w:color="auto"/>
            </w:tcBorders>
            <w:vAlign w:val="center"/>
          </w:tcPr>
          <w:p w14:paraId="2D36A31D" w14:textId="77777777" w:rsidR="009A0A63" w:rsidRPr="00792B36" w:rsidRDefault="009A0A63" w:rsidP="00A24459">
            <w:pPr>
              <w:jc w:val="center"/>
              <w:rPr>
                <w:b/>
                <w:bCs/>
                <w:color w:val="EE0000"/>
                <w:sz w:val="24"/>
                <w:szCs w:val="24"/>
              </w:rPr>
            </w:pPr>
            <w:r w:rsidRPr="00792B36">
              <w:rPr>
                <w:b/>
                <w:bCs/>
                <w:sz w:val="24"/>
                <w:szCs w:val="24"/>
                <w:cs/>
              </w:rPr>
              <w:t>6,129</w:t>
            </w:r>
          </w:p>
        </w:tc>
        <w:tc>
          <w:tcPr>
            <w:tcW w:w="1276" w:type="dxa"/>
            <w:tcBorders>
              <w:top w:val="single" w:sz="4" w:space="0" w:color="auto"/>
              <w:bottom w:val="single" w:sz="4" w:space="0" w:color="auto"/>
            </w:tcBorders>
            <w:vAlign w:val="center"/>
          </w:tcPr>
          <w:p w14:paraId="241C5D03" w14:textId="77777777" w:rsidR="009A0A63" w:rsidRPr="00792B36" w:rsidRDefault="009A0A63" w:rsidP="00A24459">
            <w:pPr>
              <w:jc w:val="center"/>
              <w:rPr>
                <w:b/>
                <w:bCs/>
                <w:color w:val="EE0000"/>
                <w:sz w:val="24"/>
                <w:szCs w:val="24"/>
              </w:rPr>
            </w:pPr>
            <w:r w:rsidRPr="00792B36">
              <w:rPr>
                <w:b/>
                <w:bCs/>
                <w:sz w:val="24"/>
                <w:szCs w:val="24"/>
                <w:cs/>
              </w:rPr>
              <w:t>5,129</w:t>
            </w:r>
          </w:p>
        </w:tc>
        <w:tc>
          <w:tcPr>
            <w:tcW w:w="1418" w:type="dxa"/>
            <w:tcBorders>
              <w:top w:val="single" w:sz="4" w:space="0" w:color="auto"/>
              <w:bottom w:val="single" w:sz="4" w:space="0" w:color="auto"/>
            </w:tcBorders>
            <w:vAlign w:val="center"/>
          </w:tcPr>
          <w:p w14:paraId="6F290EE2" w14:textId="77777777" w:rsidR="009A0A63" w:rsidRPr="00792B36" w:rsidRDefault="009A0A63" w:rsidP="00A24459">
            <w:pPr>
              <w:jc w:val="center"/>
              <w:rPr>
                <w:b/>
                <w:bCs/>
                <w:color w:val="EE0000"/>
                <w:sz w:val="24"/>
                <w:szCs w:val="24"/>
              </w:rPr>
            </w:pPr>
            <w:r w:rsidRPr="00792B36">
              <w:rPr>
                <w:b/>
                <w:bCs/>
                <w:sz w:val="24"/>
                <w:szCs w:val="24"/>
                <w:cs/>
              </w:rPr>
              <w:t>14,196</w:t>
            </w:r>
          </w:p>
        </w:tc>
      </w:tr>
    </w:tbl>
    <w:p w14:paraId="76FE9904" w14:textId="77777777" w:rsidR="009A0A63" w:rsidRPr="00792B36" w:rsidRDefault="009A0A63" w:rsidP="009A0A63">
      <w:pPr>
        <w:jc w:val="thaiDistribute"/>
        <w:rPr>
          <w:b/>
          <w:bCs/>
          <w:sz w:val="24"/>
          <w:szCs w:val="24"/>
        </w:rPr>
      </w:pPr>
    </w:p>
    <w:p w14:paraId="20412631" w14:textId="77777777" w:rsidR="009A0A63" w:rsidRPr="00792B36" w:rsidRDefault="009A0A63" w:rsidP="009A0A63">
      <w:pPr>
        <w:ind w:left="851" w:hanging="851"/>
        <w:jc w:val="thaiDistribute"/>
        <w:rPr>
          <w:b/>
          <w:bCs/>
          <w:sz w:val="24"/>
          <w:szCs w:val="24"/>
        </w:rPr>
      </w:pPr>
    </w:p>
    <w:p w14:paraId="7E62E350" w14:textId="77777777" w:rsidR="009A0A63" w:rsidRPr="00792B36" w:rsidRDefault="009A0A63" w:rsidP="009A0A63">
      <w:pPr>
        <w:ind w:left="851" w:hanging="851"/>
        <w:jc w:val="thaiDistribute"/>
        <w:rPr>
          <w:b/>
          <w:bCs/>
          <w:sz w:val="24"/>
          <w:szCs w:val="24"/>
        </w:rPr>
      </w:pPr>
    </w:p>
    <w:p w14:paraId="32B77923" w14:textId="77777777" w:rsidR="009A0A63" w:rsidRPr="00792B36" w:rsidRDefault="009A0A63" w:rsidP="009A0A63">
      <w:pPr>
        <w:ind w:left="851" w:hanging="851"/>
        <w:jc w:val="thaiDistribute"/>
        <w:rPr>
          <w:b/>
          <w:bCs/>
          <w:sz w:val="24"/>
          <w:szCs w:val="24"/>
        </w:rPr>
      </w:pPr>
    </w:p>
    <w:p w14:paraId="43AEFDF8" w14:textId="77777777" w:rsidR="009A0A63" w:rsidRPr="00792B36" w:rsidRDefault="009A0A63" w:rsidP="009A0A63">
      <w:pPr>
        <w:ind w:left="851" w:hanging="851"/>
        <w:jc w:val="thaiDistribute"/>
        <w:rPr>
          <w:b/>
          <w:bCs/>
          <w:sz w:val="24"/>
          <w:szCs w:val="24"/>
        </w:rPr>
      </w:pPr>
    </w:p>
    <w:p w14:paraId="2B51ED29" w14:textId="77777777" w:rsidR="009A0A63" w:rsidRPr="00792B36" w:rsidRDefault="009A0A63" w:rsidP="009A0A63">
      <w:pPr>
        <w:ind w:left="851" w:hanging="851"/>
        <w:jc w:val="thaiDistribute"/>
        <w:rPr>
          <w:b/>
          <w:bCs/>
          <w:sz w:val="24"/>
          <w:szCs w:val="24"/>
        </w:rPr>
      </w:pPr>
    </w:p>
    <w:p w14:paraId="0103FE1D" w14:textId="77777777" w:rsidR="009A0A63" w:rsidRPr="00792B36" w:rsidRDefault="009A0A63" w:rsidP="009A0A63">
      <w:pPr>
        <w:ind w:left="851" w:hanging="851"/>
        <w:jc w:val="thaiDistribute"/>
        <w:rPr>
          <w:b/>
          <w:bCs/>
          <w:sz w:val="24"/>
          <w:szCs w:val="24"/>
        </w:rPr>
      </w:pPr>
    </w:p>
    <w:p w14:paraId="11384534" w14:textId="77777777" w:rsidR="009A0A63" w:rsidRPr="00792B36" w:rsidRDefault="009A0A63" w:rsidP="009A0A63">
      <w:pPr>
        <w:ind w:left="851" w:hanging="851"/>
        <w:jc w:val="thaiDistribute"/>
        <w:rPr>
          <w:b/>
          <w:bCs/>
          <w:sz w:val="24"/>
          <w:szCs w:val="24"/>
        </w:rPr>
      </w:pPr>
    </w:p>
    <w:p w14:paraId="36C384E1" w14:textId="77777777" w:rsidR="009A0A63" w:rsidRPr="00792B36" w:rsidRDefault="009A0A63" w:rsidP="009A0A63">
      <w:pPr>
        <w:ind w:left="851" w:hanging="851"/>
        <w:jc w:val="thaiDistribute"/>
        <w:rPr>
          <w:b/>
          <w:bCs/>
          <w:sz w:val="24"/>
          <w:szCs w:val="24"/>
        </w:rPr>
        <w:sectPr w:rsidR="009A0A63" w:rsidRPr="00792B36" w:rsidSect="003332A9">
          <w:pgSz w:w="15840" w:h="12240" w:orient="landscape"/>
          <w:pgMar w:top="1440" w:right="1440" w:bottom="1440" w:left="1440" w:header="708" w:footer="708" w:gutter="0"/>
          <w:cols w:space="708"/>
          <w:docGrid w:linePitch="360"/>
        </w:sectPr>
      </w:pPr>
    </w:p>
    <w:tbl>
      <w:tblPr>
        <w:tblStyle w:val="TableGrid"/>
        <w:tblW w:w="0" w:type="auto"/>
        <w:tblInd w:w="-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26"/>
        <w:gridCol w:w="6999"/>
      </w:tblGrid>
      <w:tr w:rsidR="009A0A63" w:rsidRPr="00792B36" w14:paraId="13F88A34" w14:textId="77777777" w:rsidTr="00A24459">
        <w:tc>
          <w:tcPr>
            <w:tcW w:w="2063" w:type="dxa"/>
          </w:tcPr>
          <w:p w14:paraId="05CD786E" w14:textId="77777777" w:rsidR="009A0A63" w:rsidRPr="00792B36" w:rsidRDefault="009A0A63" w:rsidP="00A24459">
            <w:pPr>
              <w:rPr>
                <w:sz w:val="24"/>
                <w:szCs w:val="24"/>
              </w:rPr>
            </w:pPr>
            <w:r w:rsidRPr="00792B36">
              <w:rPr>
                <w:b/>
                <w:bCs/>
                <w:sz w:val="24"/>
                <w:szCs w:val="24"/>
              </w:rPr>
              <w:lastRenderedPageBreak/>
              <w:t>Appendix Table 6</w:t>
            </w:r>
          </w:p>
        </w:tc>
        <w:tc>
          <w:tcPr>
            <w:tcW w:w="7302" w:type="dxa"/>
          </w:tcPr>
          <w:p w14:paraId="3691D72C" w14:textId="77777777" w:rsidR="009A0A63" w:rsidRPr="00792B36" w:rsidRDefault="009A0A63" w:rsidP="00A24459">
            <w:pPr>
              <w:ind w:left="-43"/>
              <w:rPr>
                <w:sz w:val="24"/>
                <w:szCs w:val="24"/>
              </w:rPr>
            </w:pPr>
            <w:r w:rsidRPr="00792B36">
              <w:rPr>
                <w:sz w:val="24"/>
                <w:szCs w:val="24"/>
              </w:rPr>
              <w:t>Catch per unit effort (kg/hr) of DOF research vessels using otter board trawl in the Gulf of Thailand between 1961 and 2024</w:t>
            </w:r>
          </w:p>
        </w:tc>
      </w:tr>
    </w:tbl>
    <w:p w14:paraId="40DAB0DA" w14:textId="77777777" w:rsidR="009A0A63" w:rsidRPr="00792B36" w:rsidRDefault="009A0A63" w:rsidP="009A0A63">
      <w:pPr>
        <w:jc w:val="thaiDistribute"/>
        <w:rPr>
          <w:b/>
          <w:bCs/>
          <w:sz w:val="24"/>
          <w:szCs w:val="24"/>
        </w:rPr>
      </w:pPr>
    </w:p>
    <w:tbl>
      <w:tblPr>
        <w:tblW w:w="8564" w:type="dxa"/>
        <w:jc w:val="center"/>
        <w:tblLook w:val="04A0" w:firstRow="1" w:lastRow="0" w:firstColumn="1" w:lastColumn="0" w:noHBand="0" w:noVBand="1"/>
      </w:tblPr>
      <w:tblGrid>
        <w:gridCol w:w="1191"/>
        <w:gridCol w:w="1361"/>
        <w:gridCol w:w="454"/>
        <w:gridCol w:w="1191"/>
        <w:gridCol w:w="1361"/>
        <w:gridCol w:w="454"/>
        <w:gridCol w:w="1191"/>
        <w:gridCol w:w="1361"/>
      </w:tblGrid>
      <w:tr w:rsidR="009A0A63" w:rsidRPr="00792B36" w14:paraId="11842B2B" w14:textId="77777777" w:rsidTr="00A24459">
        <w:trPr>
          <w:trHeight w:val="283"/>
          <w:jc w:val="center"/>
        </w:trPr>
        <w:tc>
          <w:tcPr>
            <w:tcW w:w="1191" w:type="dxa"/>
            <w:tcBorders>
              <w:top w:val="single" w:sz="4" w:space="0" w:color="auto"/>
              <w:bottom w:val="single" w:sz="4" w:space="0" w:color="auto"/>
            </w:tcBorders>
            <w:noWrap/>
            <w:vAlign w:val="bottom"/>
            <w:hideMark/>
          </w:tcPr>
          <w:p w14:paraId="20BF6B5F" w14:textId="77777777" w:rsidR="009A0A63" w:rsidRPr="00792B36" w:rsidRDefault="009A0A63" w:rsidP="00A24459">
            <w:pPr>
              <w:jc w:val="center"/>
              <w:rPr>
                <w:rFonts w:eastAsia="Times New Roman"/>
                <w:b/>
                <w:bCs/>
                <w:color w:val="000000" w:themeColor="text1"/>
                <w:sz w:val="24"/>
                <w:szCs w:val="24"/>
              </w:rPr>
            </w:pPr>
            <w:r w:rsidRPr="00792B36">
              <w:rPr>
                <w:rFonts w:eastAsia="Times New Roman"/>
                <w:b/>
                <w:bCs/>
                <w:color w:val="000000" w:themeColor="text1"/>
                <w:sz w:val="24"/>
                <w:szCs w:val="24"/>
              </w:rPr>
              <w:t>Year</w:t>
            </w:r>
          </w:p>
        </w:tc>
        <w:tc>
          <w:tcPr>
            <w:tcW w:w="1361" w:type="dxa"/>
            <w:tcBorders>
              <w:top w:val="single" w:sz="4" w:space="0" w:color="auto"/>
              <w:bottom w:val="single" w:sz="4" w:space="0" w:color="auto"/>
            </w:tcBorders>
            <w:noWrap/>
            <w:vAlign w:val="bottom"/>
            <w:hideMark/>
          </w:tcPr>
          <w:p w14:paraId="6A86DC9F" w14:textId="77777777" w:rsidR="009A0A63" w:rsidRPr="00792B36" w:rsidRDefault="009A0A63" w:rsidP="00A24459">
            <w:pPr>
              <w:jc w:val="center"/>
              <w:rPr>
                <w:rFonts w:eastAsia="Times New Roman"/>
                <w:b/>
                <w:bCs/>
                <w:color w:val="000000" w:themeColor="text1"/>
                <w:sz w:val="24"/>
                <w:szCs w:val="24"/>
              </w:rPr>
            </w:pPr>
            <w:r w:rsidRPr="00792B36">
              <w:rPr>
                <w:rFonts w:eastAsia="Times New Roman"/>
                <w:b/>
                <w:bCs/>
                <w:color w:val="000000" w:themeColor="text1"/>
                <w:sz w:val="24"/>
                <w:szCs w:val="24"/>
              </w:rPr>
              <w:t>CPUE</w:t>
            </w:r>
          </w:p>
        </w:tc>
        <w:tc>
          <w:tcPr>
            <w:tcW w:w="454" w:type="dxa"/>
          </w:tcPr>
          <w:p w14:paraId="52CABA0B" w14:textId="77777777" w:rsidR="009A0A63" w:rsidRPr="00792B36" w:rsidRDefault="009A0A63" w:rsidP="00A24459">
            <w:pPr>
              <w:jc w:val="center"/>
              <w:rPr>
                <w:rFonts w:eastAsia="Times New Roman"/>
                <w:b/>
                <w:bCs/>
                <w:color w:val="000000" w:themeColor="text1"/>
                <w:sz w:val="24"/>
                <w:szCs w:val="24"/>
              </w:rPr>
            </w:pPr>
          </w:p>
        </w:tc>
        <w:tc>
          <w:tcPr>
            <w:tcW w:w="1191" w:type="dxa"/>
            <w:tcBorders>
              <w:top w:val="single" w:sz="4" w:space="0" w:color="auto"/>
              <w:bottom w:val="single" w:sz="4" w:space="0" w:color="auto"/>
            </w:tcBorders>
            <w:vAlign w:val="bottom"/>
          </w:tcPr>
          <w:p w14:paraId="4650229E" w14:textId="77777777" w:rsidR="009A0A63" w:rsidRPr="00792B36" w:rsidRDefault="009A0A63" w:rsidP="00A24459">
            <w:pPr>
              <w:jc w:val="center"/>
              <w:rPr>
                <w:rFonts w:eastAsia="Times New Roman"/>
                <w:b/>
                <w:bCs/>
                <w:color w:val="000000" w:themeColor="text1"/>
                <w:sz w:val="24"/>
                <w:szCs w:val="24"/>
              </w:rPr>
            </w:pPr>
            <w:r w:rsidRPr="00792B36">
              <w:rPr>
                <w:rFonts w:eastAsia="Times New Roman"/>
                <w:b/>
                <w:bCs/>
                <w:color w:val="000000" w:themeColor="text1"/>
                <w:sz w:val="24"/>
                <w:szCs w:val="24"/>
              </w:rPr>
              <w:t>Year</w:t>
            </w:r>
          </w:p>
        </w:tc>
        <w:tc>
          <w:tcPr>
            <w:tcW w:w="1361" w:type="dxa"/>
            <w:tcBorders>
              <w:top w:val="single" w:sz="4" w:space="0" w:color="auto"/>
              <w:bottom w:val="single" w:sz="4" w:space="0" w:color="auto"/>
            </w:tcBorders>
            <w:vAlign w:val="bottom"/>
          </w:tcPr>
          <w:p w14:paraId="0B4CF373" w14:textId="77777777" w:rsidR="009A0A63" w:rsidRPr="00792B36" w:rsidRDefault="009A0A63" w:rsidP="00A24459">
            <w:pPr>
              <w:jc w:val="center"/>
              <w:rPr>
                <w:rFonts w:eastAsia="Times New Roman"/>
                <w:b/>
                <w:bCs/>
                <w:color w:val="000000" w:themeColor="text1"/>
                <w:sz w:val="24"/>
                <w:szCs w:val="24"/>
              </w:rPr>
            </w:pPr>
            <w:r w:rsidRPr="00792B36">
              <w:rPr>
                <w:rFonts w:eastAsia="Times New Roman"/>
                <w:b/>
                <w:bCs/>
                <w:color w:val="000000" w:themeColor="text1"/>
                <w:sz w:val="24"/>
                <w:szCs w:val="24"/>
              </w:rPr>
              <w:t>CPUE</w:t>
            </w:r>
          </w:p>
        </w:tc>
        <w:tc>
          <w:tcPr>
            <w:tcW w:w="454" w:type="dxa"/>
          </w:tcPr>
          <w:p w14:paraId="22243368" w14:textId="77777777" w:rsidR="009A0A63" w:rsidRPr="00792B36" w:rsidRDefault="009A0A63" w:rsidP="00A24459">
            <w:pPr>
              <w:jc w:val="center"/>
              <w:rPr>
                <w:rFonts w:eastAsia="Times New Roman"/>
                <w:b/>
                <w:bCs/>
                <w:color w:val="000000" w:themeColor="text1"/>
                <w:sz w:val="24"/>
                <w:szCs w:val="24"/>
              </w:rPr>
            </w:pPr>
          </w:p>
        </w:tc>
        <w:tc>
          <w:tcPr>
            <w:tcW w:w="1191" w:type="dxa"/>
            <w:tcBorders>
              <w:top w:val="single" w:sz="4" w:space="0" w:color="auto"/>
              <w:bottom w:val="single" w:sz="4" w:space="0" w:color="auto"/>
            </w:tcBorders>
            <w:vAlign w:val="bottom"/>
          </w:tcPr>
          <w:p w14:paraId="61D4F233" w14:textId="77777777" w:rsidR="009A0A63" w:rsidRPr="00792B36" w:rsidRDefault="009A0A63" w:rsidP="00A24459">
            <w:pPr>
              <w:jc w:val="center"/>
              <w:rPr>
                <w:rFonts w:eastAsia="Times New Roman"/>
                <w:b/>
                <w:bCs/>
                <w:color w:val="000000" w:themeColor="text1"/>
                <w:sz w:val="24"/>
                <w:szCs w:val="24"/>
              </w:rPr>
            </w:pPr>
            <w:r w:rsidRPr="00792B36">
              <w:rPr>
                <w:rFonts w:eastAsia="Times New Roman"/>
                <w:b/>
                <w:bCs/>
                <w:color w:val="000000" w:themeColor="text1"/>
                <w:sz w:val="24"/>
                <w:szCs w:val="24"/>
              </w:rPr>
              <w:t>Year</w:t>
            </w:r>
          </w:p>
        </w:tc>
        <w:tc>
          <w:tcPr>
            <w:tcW w:w="1361" w:type="dxa"/>
            <w:tcBorders>
              <w:top w:val="single" w:sz="4" w:space="0" w:color="auto"/>
              <w:bottom w:val="single" w:sz="4" w:space="0" w:color="auto"/>
            </w:tcBorders>
            <w:vAlign w:val="bottom"/>
          </w:tcPr>
          <w:p w14:paraId="415C6B10" w14:textId="77777777" w:rsidR="009A0A63" w:rsidRPr="00792B36" w:rsidRDefault="009A0A63" w:rsidP="00A24459">
            <w:pPr>
              <w:jc w:val="center"/>
              <w:rPr>
                <w:rFonts w:eastAsia="Times New Roman"/>
                <w:b/>
                <w:bCs/>
                <w:color w:val="000000" w:themeColor="text1"/>
                <w:sz w:val="24"/>
                <w:szCs w:val="24"/>
              </w:rPr>
            </w:pPr>
            <w:r w:rsidRPr="00792B36">
              <w:rPr>
                <w:rFonts w:eastAsia="Times New Roman"/>
                <w:b/>
                <w:bCs/>
                <w:color w:val="000000" w:themeColor="text1"/>
                <w:sz w:val="24"/>
                <w:szCs w:val="24"/>
              </w:rPr>
              <w:t>CPUE</w:t>
            </w:r>
          </w:p>
        </w:tc>
      </w:tr>
      <w:tr w:rsidR="009A0A63" w:rsidRPr="00792B36" w14:paraId="0FA3D79E" w14:textId="77777777" w:rsidTr="00A24459">
        <w:trPr>
          <w:trHeight w:val="283"/>
          <w:jc w:val="center"/>
        </w:trPr>
        <w:tc>
          <w:tcPr>
            <w:tcW w:w="1191" w:type="dxa"/>
            <w:tcBorders>
              <w:top w:val="single" w:sz="4" w:space="0" w:color="auto"/>
            </w:tcBorders>
            <w:noWrap/>
            <w:vAlign w:val="bottom"/>
            <w:hideMark/>
          </w:tcPr>
          <w:p w14:paraId="1678C8BF" w14:textId="77777777" w:rsidR="009A0A63" w:rsidRPr="00792B36" w:rsidRDefault="009A0A63" w:rsidP="00A24459">
            <w:pPr>
              <w:jc w:val="center"/>
              <w:rPr>
                <w:rFonts w:eastAsia="Times New Roman"/>
                <w:color w:val="000000" w:themeColor="text1"/>
                <w:sz w:val="24"/>
                <w:szCs w:val="24"/>
              </w:rPr>
            </w:pPr>
            <w:r w:rsidRPr="00792B36">
              <w:rPr>
                <w:rFonts w:eastAsia="Times New Roman"/>
                <w:color w:val="000000" w:themeColor="text1"/>
                <w:sz w:val="24"/>
                <w:szCs w:val="24"/>
              </w:rPr>
              <w:t>1961</w:t>
            </w:r>
          </w:p>
        </w:tc>
        <w:tc>
          <w:tcPr>
            <w:tcW w:w="1361" w:type="dxa"/>
            <w:tcBorders>
              <w:top w:val="single" w:sz="4" w:space="0" w:color="auto"/>
            </w:tcBorders>
            <w:noWrap/>
            <w:vAlign w:val="bottom"/>
            <w:hideMark/>
          </w:tcPr>
          <w:p w14:paraId="32B9FCBD" w14:textId="77777777" w:rsidR="009A0A63" w:rsidRPr="00792B36" w:rsidRDefault="009A0A63" w:rsidP="00A24459">
            <w:pPr>
              <w:jc w:val="center"/>
              <w:rPr>
                <w:rFonts w:eastAsia="Times New Roman"/>
                <w:color w:val="000000" w:themeColor="text1"/>
                <w:sz w:val="24"/>
                <w:szCs w:val="24"/>
              </w:rPr>
            </w:pPr>
            <w:r w:rsidRPr="00792B36">
              <w:rPr>
                <w:rFonts w:eastAsia="Times New Roman"/>
                <w:color w:val="000000" w:themeColor="text1"/>
                <w:sz w:val="24"/>
                <w:szCs w:val="24"/>
              </w:rPr>
              <w:t>297.80</w:t>
            </w:r>
          </w:p>
        </w:tc>
        <w:tc>
          <w:tcPr>
            <w:tcW w:w="454" w:type="dxa"/>
          </w:tcPr>
          <w:p w14:paraId="24219EBA" w14:textId="77777777" w:rsidR="009A0A63" w:rsidRPr="00792B36" w:rsidRDefault="009A0A63" w:rsidP="00A24459">
            <w:pPr>
              <w:jc w:val="center"/>
              <w:rPr>
                <w:rFonts w:eastAsia="Times New Roman"/>
                <w:color w:val="000000" w:themeColor="text1"/>
                <w:sz w:val="24"/>
                <w:szCs w:val="24"/>
              </w:rPr>
            </w:pPr>
          </w:p>
        </w:tc>
        <w:tc>
          <w:tcPr>
            <w:tcW w:w="1191" w:type="dxa"/>
            <w:tcBorders>
              <w:top w:val="single" w:sz="4" w:space="0" w:color="auto"/>
            </w:tcBorders>
            <w:vAlign w:val="bottom"/>
          </w:tcPr>
          <w:p w14:paraId="38D304A9" w14:textId="77777777" w:rsidR="009A0A63" w:rsidRPr="00792B36" w:rsidRDefault="009A0A63" w:rsidP="00A24459">
            <w:pPr>
              <w:jc w:val="center"/>
              <w:rPr>
                <w:rFonts w:eastAsia="Times New Roman"/>
                <w:color w:val="000000" w:themeColor="text1"/>
                <w:sz w:val="24"/>
                <w:szCs w:val="24"/>
              </w:rPr>
            </w:pPr>
            <w:r w:rsidRPr="00792B36">
              <w:rPr>
                <w:rFonts w:eastAsia="Times New Roman"/>
                <w:color w:val="000000" w:themeColor="text1"/>
                <w:sz w:val="24"/>
                <w:szCs w:val="24"/>
              </w:rPr>
              <w:t>1980</w:t>
            </w:r>
          </w:p>
        </w:tc>
        <w:tc>
          <w:tcPr>
            <w:tcW w:w="1361" w:type="dxa"/>
            <w:tcBorders>
              <w:top w:val="single" w:sz="4" w:space="0" w:color="auto"/>
            </w:tcBorders>
            <w:vAlign w:val="bottom"/>
          </w:tcPr>
          <w:p w14:paraId="12669EFD" w14:textId="77777777" w:rsidR="009A0A63" w:rsidRPr="00792B36" w:rsidRDefault="009A0A63" w:rsidP="00A24459">
            <w:pPr>
              <w:jc w:val="center"/>
              <w:rPr>
                <w:rFonts w:eastAsia="Times New Roman"/>
                <w:color w:val="000000" w:themeColor="text1"/>
                <w:sz w:val="24"/>
                <w:szCs w:val="24"/>
              </w:rPr>
            </w:pPr>
            <w:r w:rsidRPr="00792B36">
              <w:rPr>
                <w:rFonts w:eastAsia="Times New Roman"/>
                <w:color w:val="000000" w:themeColor="text1"/>
                <w:sz w:val="24"/>
                <w:szCs w:val="24"/>
              </w:rPr>
              <w:t>63.31</w:t>
            </w:r>
          </w:p>
        </w:tc>
        <w:tc>
          <w:tcPr>
            <w:tcW w:w="454" w:type="dxa"/>
          </w:tcPr>
          <w:p w14:paraId="05EE105A" w14:textId="77777777" w:rsidR="009A0A63" w:rsidRPr="00792B36" w:rsidRDefault="009A0A63" w:rsidP="00A24459">
            <w:pPr>
              <w:jc w:val="center"/>
              <w:rPr>
                <w:rFonts w:eastAsia="Times New Roman"/>
                <w:color w:val="000000" w:themeColor="text1"/>
                <w:sz w:val="24"/>
                <w:szCs w:val="24"/>
              </w:rPr>
            </w:pPr>
          </w:p>
        </w:tc>
        <w:tc>
          <w:tcPr>
            <w:tcW w:w="1191" w:type="dxa"/>
            <w:tcBorders>
              <w:top w:val="single" w:sz="4" w:space="0" w:color="auto"/>
            </w:tcBorders>
            <w:vAlign w:val="bottom"/>
          </w:tcPr>
          <w:p w14:paraId="18F60844" w14:textId="77777777" w:rsidR="009A0A63" w:rsidRPr="00792B36" w:rsidRDefault="009A0A63" w:rsidP="00A24459">
            <w:pPr>
              <w:jc w:val="center"/>
              <w:rPr>
                <w:rFonts w:eastAsia="Times New Roman"/>
                <w:color w:val="000000" w:themeColor="text1"/>
                <w:sz w:val="24"/>
                <w:szCs w:val="24"/>
              </w:rPr>
            </w:pPr>
            <w:r w:rsidRPr="00792B36">
              <w:rPr>
                <w:rFonts w:eastAsia="Times New Roman"/>
                <w:color w:val="000000" w:themeColor="text1"/>
                <w:sz w:val="24"/>
                <w:szCs w:val="24"/>
              </w:rPr>
              <w:t>2008</w:t>
            </w:r>
          </w:p>
        </w:tc>
        <w:tc>
          <w:tcPr>
            <w:tcW w:w="1361" w:type="dxa"/>
            <w:tcBorders>
              <w:top w:val="single" w:sz="4" w:space="0" w:color="auto"/>
            </w:tcBorders>
            <w:vAlign w:val="bottom"/>
          </w:tcPr>
          <w:p w14:paraId="31A7DBB1" w14:textId="77777777" w:rsidR="009A0A63" w:rsidRPr="00792B36" w:rsidRDefault="009A0A63" w:rsidP="00A24459">
            <w:pPr>
              <w:jc w:val="center"/>
              <w:rPr>
                <w:rFonts w:eastAsia="Times New Roman"/>
                <w:color w:val="000000" w:themeColor="text1"/>
                <w:sz w:val="24"/>
                <w:szCs w:val="24"/>
              </w:rPr>
            </w:pPr>
            <w:r w:rsidRPr="00792B36">
              <w:rPr>
                <w:rFonts w:eastAsia="Times New Roman"/>
                <w:color w:val="000000" w:themeColor="text1"/>
                <w:sz w:val="24"/>
                <w:szCs w:val="24"/>
              </w:rPr>
              <w:t>25.33</w:t>
            </w:r>
          </w:p>
        </w:tc>
      </w:tr>
      <w:tr w:rsidR="009A0A63" w:rsidRPr="00792B36" w14:paraId="43FCF242" w14:textId="77777777" w:rsidTr="00A24459">
        <w:trPr>
          <w:trHeight w:val="283"/>
          <w:jc w:val="center"/>
        </w:trPr>
        <w:tc>
          <w:tcPr>
            <w:tcW w:w="1191" w:type="dxa"/>
            <w:noWrap/>
            <w:vAlign w:val="bottom"/>
            <w:hideMark/>
          </w:tcPr>
          <w:p w14:paraId="1B93725C" w14:textId="77777777" w:rsidR="009A0A63" w:rsidRPr="00792B36" w:rsidRDefault="009A0A63" w:rsidP="00A24459">
            <w:pPr>
              <w:jc w:val="center"/>
              <w:rPr>
                <w:rFonts w:eastAsia="Times New Roman"/>
                <w:color w:val="000000" w:themeColor="text1"/>
                <w:sz w:val="24"/>
                <w:szCs w:val="24"/>
              </w:rPr>
            </w:pPr>
            <w:r w:rsidRPr="00792B36">
              <w:rPr>
                <w:rFonts w:eastAsia="Times New Roman"/>
                <w:color w:val="000000" w:themeColor="text1"/>
                <w:sz w:val="24"/>
                <w:szCs w:val="24"/>
              </w:rPr>
              <w:t>1963</w:t>
            </w:r>
          </w:p>
        </w:tc>
        <w:tc>
          <w:tcPr>
            <w:tcW w:w="1361" w:type="dxa"/>
            <w:noWrap/>
            <w:vAlign w:val="bottom"/>
            <w:hideMark/>
          </w:tcPr>
          <w:p w14:paraId="0297027A" w14:textId="77777777" w:rsidR="009A0A63" w:rsidRPr="00792B36" w:rsidRDefault="009A0A63" w:rsidP="00A24459">
            <w:pPr>
              <w:jc w:val="center"/>
              <w:rPr>
                <w:rFonts w:eastAsia="Times New Roman"/>
                <w:color w:val="000000" w:themeColor="text1"/>
                <w:sz w:val="24"/>
                <w:szCs w:val="24"/>
              </w:rPr>
            </w:pPr>
            <w:r w:rsidRPr="00792B36">
              <w:rPr>
                <w:rFonts w:eastAsia="Times New Roman"/>
                <w:color w:val="000000" w:themeColor="text1"/>
                <w:sz w:val="24"/>
                <w:szCs w:val="24"/>
              </w:rPr>
              <w:t>256.00</w:t>
            </w:r>
          </w:p>
        </w:tc>
        <w:tc>
          <w:tcPr>
            <w:tcW w:w="454" w:type="dxa"/>
          </w:tcPr>
          <w:p w14:paraId="7646A7A2" w14:textId="77777777" w:rsidR="009A0A63" w:rsidRPr="00792B36" w:rsidRDefault="009A0A63" w:rsidP="00A24459">
            <w:pPr>
              <w:jc w:val="center"/>
              <w:rPr>
                <w:rFonts w:eastAsia="Times New Roman"/>
                <w:color w:val="000000" w:themeColor="text1"/>
                <w:sz w:val="24"/>
                <w:szCs w:val="24"/>
              </w:rPr>
            </w:pPr>
          </w:p>
        </w:tc>
        <w:tc>
          <w:tcPr>
            <w:tcW w:w="1191" w:type="dxa"/>
            <w:vAlign w:val="bottom"/>
          </w:tcPr>
          <w:p w14:paraId="0F99DD3B" w14:textId="77777777" w:rsidR="009A0A63" w:rsidRPr="00792B36" w:rsidRDefault="009A0A63" w:rsidP="00A24459">
            <w:pPr>
              <w:jc w:val="center"/>
              <w:rPr>
                <w:rFonts w:eastAsia="Times New Roman"/>
                <w:color w:val="000000" w:themeColor="text1"/>
                <w:sz w:val="24"/>
                <w:szCs w:val="24"/>
              </w:rPr>
            </w:pPr>
            <w:r w:rsidRPr="00792B36">
              <w:rPr>
                <w:rFonts w:eastAsia="Times New Roman"/>
                <w:color w:val="000000" w:themeColor="text1"/>
                <w:sz w:val="24"/>
                <w:szCs w:val="24"/>
              </w:rPr>
              <w:t>1981</w:t>
            </w:r>
          </w:p>
        </w:tc>
        <w:tc>
          <w:tcPr>
            <w:tcW w:w="1361" w:type="dxa"/>
            <w:vAlign w:val="bottom"/>
          </w:tcPr>
          <w:p w14:paraId="1CC8CFB7" w14:textId="77777777" w:rsidR="009A0A63" w:rsidRPr="00792B36" w:rsidRDefault="009A0A63" w:rsidP="00A24459">
            <w:pPr>
              <w:jc w:val="center"/>
              <w:rPr>
                <w:rFonts w:eastAsia="Times New Roman"/>
                <w:color w:val="000000" w:themeColor="text1"/>
                <w:sz w:val="24"/>
                <w:szCs w:val="24"/>
              </w:rPr>
            </w:pPr>
            <w:r w:rsidRPr="00792B36">
              <w:rPr>
                <w:rFonts w:eastAsia="Times New Roman"/>
                <w:color w:val="000000" w:themeColor="text1"/>
                <w:sz w:val="24"/>
                <w:szCs w:val="24"/>
              </w:rPr>
              <w:t>51.03</w:t>
            </w:r>
          </w:p>
        </w:tc>
        <w:tc>
          <w:tcPr>
            <w:tcW w:w="454" w:type="dxa"/>
          </w:tcPr>
          <w:p w14:paraId="5ED56A8F" w14:textId="77777777" w:rsidR="009A0A63" w:rsidRPr="00792B36" w:rsidRDefault="009A0A63" w:rsidP="00A24459">
            <w:pPr>
              <w:jc w:val="center"/>
              <w:rPr>
                <w:rFonts w:eastAsia="Times New Roman"/>
                <w:color w:val="000000" w:themeColor="text1"/>
                <w:sz w:val="24"/>
                <w:szCs w:val="24"/>
              </w:rPr>
            </w:pPr>
          </w:p>
        </w:tc>
        <w:tc>
          <w:tcPr>
            <w:tcW w:w="1191" w:type="dxa"/>
            <w:vAlign w:val="bottom"/>
          </w:tcPr>
          <w:p w14:paraId="3C65C9F0" w14:textId="77777777" w:rsidR="009A0A63" w:rsidRPr="00792B36" w:rsidRDefault="009A0A63" w:rsidP="00A24459">
            <w:pPr>
              <w:jc w:val="center"/>
              <w:rPr>
                <w:rFonts w:eastAsia="Times New Roman"/>
                <w:color w:val="000000" w:themeColor="text1"/>
                <w:sz w:val="24"/>
                <w:szCs w:val="24"/>
              </w:rPr>
            </w:pPr>
            <w:r w:rsidRPr="00792B36">
              <w:rPr>
                <w:rFonts w:eastAsia="Times New Roman"/>
                <w:color w:val="000000" w:themeColor="text1"/>
                <w:sz w:val="24"/>
                <w:szCs w:val="24"/>
              </w:rPr>
              <w:t>2009</w:t>
            </w:r>
          </w:p>
        </w:tc>
        <w:tc>
          <w:tcPr>
            <w:tcW w:w="1361" w:type="dxa"/>
            <w:vAlign w:val="bottom"/>
          </w:tcPr>
          <w:p w14:paraId="2800DBCC" w14:textId="77777777" w:rsidR="009A0A63" w:rsidRPr="00792B36" w:rsidRDefault="009A0A63" w:rsidP="00A24459">
            <w:pPr>
              <w:jc w:val="center"/>
              <w:rPr>
                <w:rFonts w:eastAsia="Times New Roman"/>
                <w:color w:val="000000" w:themeColor="text1"/>
                <w:sz w:val="24"/>
                <w:szCs w:val="24"/>
              </w:rPr>
            </w:pPr>
            <w:r w:rsidRPr="00792B36">
              <w:rPr>
                <w:rFonts w:eastAsia="Times New Roman"/>
                <w:color w:val="000000" w:themeColor="text1"/>
                <w:sz w:val="24"/>
                <w:szCs w:val="24"/>
              </w:rPr>
              <w:t>17.78</w:t>
            </w:r>
          </w:p>
        </w:tc>
      </w:tr>
      <w:tr w:rsidR="009A0A63" w:rsidRPr="00792B36" w14:paraId="6FBD7E2E" w14:textId="77777777" w:rsidTr="00A24459">
        <w:trPr>
          <w:trHeight w:val="283"/>
          <w:jc w:val="center"/>
        </w:trPr>
        <w:tc>
          <w:tcPr>
            <w:tcW w:w="1191" w:type="dxa"/>
            <w:noWrap/>
            <w:vAlign w:val="bottom"/>
            <w:hideMark/>
          </w:tcPr>
          <w:p w14:paraId="59E69CF3" w14:textId="77777777" w:rsidR="009A0A63" w:rsidRPr="00792B36" w:rsidRDefault="009A0A63" w:rsidP="00A24459">
            <w:pPr>
              <w:jc w:val="center"/>
              <w:rPr>
                <w:rFonts w:eastAsia="Times New Roman"/>
                <w:color w:val="000000" w:themeColor="text1"/>
                <w:sz w:val="24"/>
                <w:szCs w:val="24"/>
              </w:rPr>
            </w:pPr>
            <w:r w:rsidRPr="00792B36">
              <w:rPr>
                <w:rFonts w:eastAsia="Times New Roman"/>
                <w:color w:val="000000" w:themeColor="text1"/>
                <w:sz w:val="24"/>
                <w:szCs w:val="24"/>
              </w:rPr>
              <w:t>1964</w:t>
            </w:r>
          </w:p>
        </w:tc>
        <w:tc>
          <w:tcPr>
            <w:tcW w:w="1361" w:type="dxa"/>
            <w:noWrap/>
            <w:vAlign w:val="bottom"/>
            <w:hideMark/>
          </w:tcPr>
          <w:p w14:paraId="7F200159" w14:textId="77777777" w:rsidR="009A0A63" w:rsidRPr="00792B36" w:rsidRDefault="009A0A63" w:rsidP="00A24459">
            <w:pPr>
              <w:jc w:val="center"/>
              <w:rPr>
                <w:rFonts w:eastAsia="Times New Roman"/>
                <w:color w:val="000000" w:themeColor="text1"/>
                <w:sz w:val="24"/>
                <w:szCs w:val="24"/>
              </w:rPr>
            </w:pPr>
            <w:r w:rsidRPr="00792B36">
              <w:rPr>
                <w:rFonts w:eastAsia="Times New Roman"/>
                <w:color w:val="000000" w:themeColor="text1"/>
                <w:sz w:val="24"/>
                <w:szCs w:val="24"/>
              </w:rPr>
              <w:t>225.60</w:t>
            </w:r>
          </w:p>
        </w:tc>
        <w:tc>
          <w:tcPr>
            <w:tcW w:w="454" w:type="dxa"/>
          </w:tcPr>
          <w:p w14:paraId="09E0A2D4" w14:textId="77777777" w:rsidR="009A0A63" w:rsidRPr="00792B36" w:rsidRDefault="009A0A63" w:rsidP="00A24459">
            <w:pPr>
              <w:jc w:val="center"/>
              <w:rPr>
                <w:rFonts w:eastAsia="Times New Roman"/>
                <w:color w:val="000000" w:themeColor="text1"/>
                <w:sz w:val="24"/>
                <w:szCs w:val="24"/>
              </w:rPr>
            </w:pPr>
          </w:p>
        </w:tc>
        <w:tc>
          <w:tcPr>
            <w:tcW w:w="1191" w:type="dxa"/>
            <w:vAlign w:val="bottom"/>
          </w:tcPr>
          <w:p w14:paraId="09D35D49" w14:textId="77777777" w:rsidR="009A0A63" w:rsidRPr="00792B36" w:rsidRDefault="009A0A63" w:rsidP="00A24459">
            <w:pPr>
              <w:jc w:val="center"/>
              <w:rPr>
                <w:rFonts w:eastAsia="Times New Roman"/>
                <w:color w:val="000000" w:themeColor="text1"/>
                <w:sz w:val="24"/>
                <w:szCs w:val="24"/>
              </w:rPr>
            </w:pPr>
            <w:r w:rsidRPr="00792B36">
              <w:rPr>
                <w:rFonts w:eastAsia="Times New Roman"/>
                <w:color w:val="000000" w:themeColor="text1"/>
                <w:sz w:val="24"/>
                <w:szCs w:val="24"/>
              </w:rPr>
              <w:t>1982</w:t>
            </w:r>
          </w:p>
        </w:tc>
        <w:tc>
          <w:tcPr>
            <w:tcW w:w="1361" w:type="dxa"/>
            <w:vAlign w:val="bottom"/>
          </w:tcPr>
          <w:p w14:paraId="0CAE6AD3" w14:textId="77777777" w:rsidR="009A0A63" w:rsidRPr="00792B36" w:rsidRDefault="009A0A63" w:rsidP="00A24459">
            <w:pPr>
              <w:jc w:val="center"/>
              <w:rPr>
                <w:rFonts w:eastAsia="Times New Roman"/>
                <w:color w:val="000000" w:themeColor="text1"/>
                <w:sz w:val="24"/>
                <w:szCs w:val="24"/>
              </w:rPr>
            </w:pPr>
            <w:r w:rsidRPr="00792B36">
              <w:rPr>
                <w:rFonts w:eastAsia="Times New Roman"/>
                <w:color w:val="000000" w:themeColor="text1"/>
                <w:sz w:val="24"/>
                <w:szCs w:val="24"/>
              </w:rPr>
              <w:t>52.95</w:t>
            </w:r>
          </w:p>
        </w:tc>
        <w:tc>
          <w:tcPr>
            <w:tcW w:w="454" w:type="dxa"/>
          </w:tcPr>
          <w:p w14:paraId="1A44E810" w14:textId="77777777" w:rsidR="009A0A63" w:rsidRPr="00792B36" w:rsidRDefault="009A0A63" w:rsidP="00A24459">
            <w:pPr>
              <w:jc w:val="center"/>
              <w:rPr>
                <w:rFonts w:eastAsia="Times New Roman"/>
                <w:color w:val="000000" w:themeColor="text1"/>
                <w:sz w:val="24"/>
                <w:szCs w:val="24"/>
              </w:rPr>
            </w:pPr>
          </w:p>
        </w:tc>
        <w:tc>
          <w:tcPr>
            <w:tcW w:w="1191" w:type="dxa"/>
            <w:vAlign w:val="bottom"/>
          </w:tcPr>
          <w:p w14:paraId="60876542" w14:textId="77777777" w:rsidR="009A0A63" w:rsidRPr="00792B36" w:rsidRDefault="009A0A63" w:rsidP="00A24459">
            <w:pPr>
              <w:jc w:val="center"/>
              <w:rPr>
                <w:rFonts w:eastAsia="Times New Roman"/>
                <w:color w:val="000000" w:themeColor="text1"/>
                <w:sz w:val="24"/>
                <w:szCs w:val="24"/>
              </w:rPr>
            </w:pPr>
            <w:r w:rsidRPr="00792B36">
              <w:rPr>
                <w:rFonts w:eastAsia="Times New Roman"/>
                <w:color w:val="000000" w:themeColor="text1"/>
                <w:sz w:val="24"/>
                <w:szCs w:val="24"/>
              </w:rPr>
              <w:t>2010</w:t>
            </w:r>
          </w:p>
        </w:tc>
        <w:tc>
          <w:tcPr>
            <w:tcW w:w="1361" w:type="dxa"/>
            <w:vAlign w:val="bottom"/>
          </w:tcPr>
          <w:p w14:paraId="45447EB3" w14:textId="77777777" w:rsidR="009A0A63" w:rsidRPr="00792B36" w:rsidRDefault="009A0A63" w:rsidP="00A24459">
            <w:pPr>
              <w:jc w:val="center"/>
              <w:rPr>
                <w:rFonts w:eastAsia="Times New Roman"/>
                <w:color w:val="000000" w:themeColor="text1"/>
                <w:sz w:val="24"/>
                <w:szCs w:val="24"/>
              </w:rPr>
            </w:pPr>
            <w:r w:rsidRPr="00792B36">
              <w:rPr>
                <w:rFonts w:eastAsia="Times New Roman"/>
                <w:color w:val="000000" w:themeColor="text1"/>
                <w:sz w:val="24"/>
                <w:szCs w:val="24"/>
              </w:rPr>
              <w:t>18.56</w:t>
            </w:r>
          </w:p>
        </w:tc>
      </w:tr>
      <w:tr w:rsidR="009A0A63" w:rsidRPr="00792B36" w14:paraId="2F9283C9" w14:textId="77777777" w:rsidTr="00A24459">
        <w:trPr>
          <w:trHeight w:val="283"/>
          <w:jc w:val="center"/>
        </w:trPr>
        <w:tc>
          <w:tcPr>
            <w:tcW w:w="1191" w:type="dxa"/>
            <w:noWrap/>
            <w:vAlign w:val="bottom"/>
            <w:hideMark/>
          </w:tcPr>
          <w:p w14:paraId="539E8CCB" w14:textId="77777777" w:rsidR="009A0A63" w:rsidRPr="00792B36" w:rsidRDefault="009A0A63" w:rsidP="00A24459">
            <w:pPr>
              <w:jc w:val="center"/>
              <w:rPr>
                <w:rFonts w:eastAsia="Times New Roman"/>
                <w:color w:val="000000" w:themeColor="text1"/>
                <w:sz w:val="24"/>
                <w:szCs w:val="24"/>
              </w:rPr>
            </w:pPr>
            <w:r w:rsidRPr="00792B36">
              <w:rPr>
                <w:rFonts w:eastAsia="Times New Roman"/>
                <w:color w:val="000000" w:themeColor="text1"/>
                <w:sz w:val="24"/>
                <w:szCs w:val="24"/>
              </w:rPr>
              <w:t>1965</w:t>
            </w:r>
          </w:p>
        </w:tc>
        <w:tc>
          <w:tcPr>
            <w:tcW w:w="1361" w:type="dxa"/>
            <w:noWrap/>
            <w:vAlign w:val="bottom"/>
            <w:hideMark/>
          </w:tcPr>
          <w:p w14:paraId="048C18BF" w14:textId="77777777" w:rsidR="009A0A63" w:rsidRPr="00792B36" w:rsidRDefault="009A0A63" w:rsidP="00A24459">
            <w:pPr>
              <w:jc w:val="center"/>
              <w:rPr>
                <w:rFonts w:eastAsia="Times New Roman"/>
                <w:color w:val="000000" w:themeColor="text1"/>
                <w:sz w:val="24"/>
                <w:szCs w:val="24"/>
              </w:rPr>
            </w:pPr>
            <w:r w:rsidRPr="00792B36">
              <w:rPr>
                <w:rFonts w:eastAsia="Times New Roman"/>
                <w:color w:val="000000" w:themeColor="text1"/>
                <w:sz w:val="24"/>
                <w:szCs w:val="24"/>
              </w:rPr>
              <w:t>179.20</w:t>
            </w:r>
          </w:p>
        </w:tc>
        <w:tc>
          <w:tcPr>
            <w:tcW w:w="454" w:type="dxa"/>
          </w:tcPr>
          <w:p w14:paraId="0D9E186E" w14:textId="77777777" w:rsidR="009A0A63" w:rsidRPr="00792B36" w:rsidRDefault="009A0A63" w:rsidP="00A24459">
            <w:pPr>
              <w:jc w:val="center"/>
              <w:rPr>
                <w:rFonts w:eastAsia="Times New Roman"/>
                <w:color w:val="000000" w:themeColor="text1"/>
                <w:sz w:val="24"/>
                <w:szCs w:val="24"/>
              </w:rPr>
            </w:pPr>
          </w:p>
        </w:tc>
        <w:tc>
          <w:tcPr>
            <w:tcW w:w="1191" w:type="dxa"/>
            <w:vAlign w:val="bottom"/>
          </w:tcPr>
          <w:p w14:paraId="051BDA8E" w14:textId="77777777" w:rsidR="009A0A63" w:rsidRPr="00792B36" w:rsidRDefault="009A0A63" w:rsidP="00A24459">
            <w:pPr>
              <w:jc w:val="center"/>
              <w:rPr>
                <w:rFonts w:eastAsia="Times New Roman"/>
                <w:color w:val="000000" w:themeColor="text1"/>
                <w:sz w:val="24"/>
                <w:szCs w:val="24"/>
              </w:rPr>
            </w:pPr>
            <w:r w:rsidRPr="00792B36">
              <w:rPr>
                <w:rFonts w:eastAsia="Times New Roman"/>
                <w:color w:val="000000" w:themeColor="text1"/>
                <w:sz w:val="24"/>
                <w:szCs w:val="24"/>
              </w:rPr>
              <w:t>1983</w:t>
            </w:r>
          </w:p>
        </w:tc>
        <w:tc>
          <w:tcPr>
            <w:tcW w:w="1361" w:type="dxa"/>
            <w:vAlign w:val="bottom"/>
          </w:tcPr>
          <w:p w14:paraId="189C1B9B" w14:textId="77777777" w:rsidR="009A0A63" w:rsidRPr="00792B36" w:rsidRDefault="009A0A63" w:rsidP="00A24459">
            <w:pPr>
              <w:jc w:val="center"/>
              <w:rPr>
                <w:rFonts w:eastAsia="Times New Roman"/>
                <w:color w:val="000000" w:themeColor="text1"/>
                <w:sz w:val="24"/>
                <w:szCs w:val="24"/>
              </w:rPr>
            </w:pPr>
            <w:r w:rsidRPr="00792B36">
              <w:rPr>
                <w:rFonts w:eastAsia="Times New Roman"/>
                <w:color w:val="000000" w:themeColor="text1"/>
                <w:sz w:val="24"/>
                <w:szCs w:val="24"/>
              </w:rPr>
              <w:t>51.08</w:t>
            </w:r>
          </w:p>
        </w:tc>
        <w:tc>
          <w:tcPr>
            <w:tcW w:w="454" w:type="dxa"/>
          </w:tcPr>
          <w:p w14:paraId="37DBCE9E" w14:textId="77777777" w:rsidR="009A0A63" w:rsidRPr="00792B36" w:rsidRDefault="009A0A63" w:rsidP="00A24459">
            <w:pPr>
              <w:jc w:val="center"/>
              <w:rPr>
                <w:rFonts w:eastAsia="Times New Roman"/>
                <w:color w:val="000000" w:themeColor="text1"/>
                <w:sz w:val="24"/>
                <w:szCs w:val="24"/>
              </w:rPr>
            </w:pPr>
          </w:p>
        </w:tc>
        <w:tc>
          <w:tcPr>
            <w:tcW w:w="1191" w:type="dxa"/>
            <w:vAlign w:val="bottom"/>
          </w:tcPr>
          <w:p w14:paraId="06925DEA" w14:textId="77777777" w:rsidR="009A0A63" w:rsidRPr="00792B36" w:rsidRDefault="009A0A63" w:rsidP="00A24459">
            <w:pPr>
              <w:jc w:val="center"/>
              <w:rPr>
                <w:rFonts w:eastAsia="Times New Roman"/>
                <w:color w:val="000000" w:themeColor="text1"/>
                <w:sz w:val="24"/>
                <w:szCs w:val="24"/>
              </w:rPr>
            </w:pPr>
            <w:r w:rsidRPr="00792B36">
              <w:rPr>
                <w:rFonts w:eastAsia="Times New Roman"/>
                <w:color w:val="000000" w:themeColor="text1"/>
                <w:sz w:val="24"/>
                <w:szCs w:val="24"/>
              </w:rPr>
              <w:t>2011</w:t>
            </w:r>
          </w:p>
        </w:tc>
        <w:tc>
          <w:tcPr>
            <w:tcW w:w="1361" w:type="dxa"/>
            <w:vAlign w:val="bottom"/>
          </w:tcPr>
          <w:p w14:paraId="38299DAB" w14:textId="77777777" w:rsidR="009A0A63" w:rsidRPr="00792B36" w:rsidRDefault="009A0A63" w:rsidP="00A24459">
            <w:pPr>
              <w:jc w:val="center"/>
              <w:rPr>
                <w:rFonts w:eastAsia="Times New Roman"/>
                <w:color w:val="000000" w:themeColor="text1"/>
                <w:sz w:val="24"/>
                <w:szCs w:val="24"/>
              </w:rPr>
            </w:pPr>
            <w:r w:rsidRPr="00792B36">
              <w:rPr>
                <w:rFonts w:eastAsia="Times New Roman"/>
                <w:color w:val="000000" w:themeColor="text1"/>
                <w:sz w:val="24"/>
                <w:szCs w:val="24"/>
              </w:rPr>
              <w:t>25.02</w:t>
            </w:r>
          </w:p>
        </w:tc>
      </w:tr>
      <w:tr w:rsidR="009A0A63" w:rsidRPr="00792B36" w14:paraId="0FEE2007" w14:textId="77777777" w:rsidTr="00A24459">
        <w:trPr>
          <w:trHeight w:val="283"/>
          <w:jc w:val="center"/>
        </w:trPr>
        <w:tc>
          <w:tcPr>
            <w:tcW w:w="1191" w:type="dxa"/>
            <w:noWrap/>
            <w:vAlign w:val="bottom"/>
            <w:hideMark/>
          </w:tcPr>
          <w:p w14:paraId="22D6879E" w14:textId="77777777" w:rsidR="009A0A63" w:rsidRPr="00792B36" w:rsidRDefault="009A0A63" w:rsidP="00A24459">
            <w:pPr>
              <w:jc w:val="center"/>
              <w:rPr>
                <w:rFonts w:eastAsia="Times New Roman"/>
                <w:color w:val="000000" w:themeColor="text1"/>
                <w:sz w:val="24"/>
                <w:szCs w:val="24"/>
              </w:rPr>
            </w:pPr>
            <w:r w:rsidRPr="00792B36">
              <w:rPr>
                <w:rFonts w:eastAsia="Times New Roman"/>
                <w:color w:val="000000" w:themeColor="text1"/>
                <w:sz w:val="24"/>
                <w:szCs w:val="24"/>
              </w:rPr>
              <w:t>1966</w:t>
            </w:r>
          </w:p>
        </w:tc>
        <w:tc>
          <w:tcPr>
            <w:tcW w:w="1361" w:type="dxa"/>
            <w:noWrap/>
            <w:vAlign w:val="bottom"/>
            <w:hideMark/>
          </w:tcPr>
          <w:p w14:paraId="1B1D8AD2" w14:textId="77777777" w:rsidR="009A0A63" w:rsidRPr="00792B36" w:rsidRDefault="009A0A63" w:rsidP="00A24459">
            <w:pPr>
              <w:jc w:val="center"/>
              <w:rPr>
                <w:rFonts w:eastAsia="Times New Roman"/>
                <w:color w:val="000000" w:themeColor="text1"/>
                <w:sz w:val="24"/>
                <w:szCs w:val="24"/>
              </w:rPr>
            </w:pPr>
            <w:r w:rsidRPr="00792B36">
              <w:rPr>
                <w:rFonts w:eastAsia="Times New Roman"/>
                <w:color w:val="000000" w:themeColor="text1"/>
                <w:sz w:val="24"/>
                <w:szCs w:val="24"/>
              </w:rPr>
              <w:t>172.94</w:t>
            </w:r>
          </w:p>
        </w:tc>
        <w:tc>
          <w:tcPr>
            <w:tcW w:w="454" w:type="dxa"/>
          </w:tcPr>
          <w:p w14:paraId="57636CA2" w14:textId="77777777" w:rsidR="009A0A63" w:rsidRPr="00792B36" w:rsidRDefault="009A0A63" w:rsidP="00A24459">
            <w:pPr>
              <w:jc w:val="center"/>
              <w:rPr>
                <w:rFonts w:eastAsia="Times New Roman"/>
                <w:color w:val="000000" w:themeColor="text1"/>
                <w:sz w:val="24"/>
                <w:szCs w:val="24"/>
              </w:rPr>
            </w:pPr>
          </w:p>
        </w:tc>
        <w:tc>
          <w:tcPr>
            <w:tcW w:w="1191" w:type="dxa"/>
            <w:vAlign w:val="bottom"/>
          </w:tcPr>
          <w:p w14:paraId="1C4B7498" w14:textId="77777777" w:rsidR="009A0A63" w:rsidRPr="00792B36" w:rsidRDefault="009A0A63" w:rsidP="00A24459">
            <w:pPr>
              <w:jc w:val="center"/>
              <w:rPr>
                <w:rFonts w:eastAsia="Times New Roman"/>
                <w:color w:val="000000" w:themeColor="text1"/>
                <w:sz w:val="24"/>
                <w:szCs w:val="24"/>
              </w:rPr>
            </w:pPr>
            <w:r w:rsidRPr="00792B36">
              <w:rPr>
                <w:rFonts w:eastAsia="Times New Roman"/>
                <w:color w:val="000000" w:themeColor="text1"/>
                <w:sz w:val="24"/>
                <w:szCs w:val="24"/>
              </w:rPr>
              <w:t>1984</w:t>
            </w:r>
          </w:p>
        </w:tc>
        <w:tc>
          <w:tcPr>
            <w:tcW w:w="1361" w:type="dxa"/>
            <w:vAlign w:val="bottom"/>
          </w:tcPr>
          <w:p w14:paraId="15C4BAB8" w14:textId="77777777" w:rsidR="009A0A63" w:rsidRPr="00792B36" w:rsidRDefault="009A0A63" w:rsidP="00A24459">
            <w:pPr>
              <w:jc w:val="center"/>
              <w:rPr>
                <w:rFonts w:eastAsia="Times New Roman"/>
                <w:color w:val="000000" w:themeColor="text1"/>
                <w:sz w:val="24"/>
                <w:szCs w:val="24"/>
              </w:rPr>
            </w:pPr>
            <w:r w:rsidRPr="00792B36">
              <w:rPr>
                <w:rFonts w:eastAsia="Times New Roman"/>
                <w:color w:val="000000" w:themeColor="text1"/>
                <w:sz w:val="24"/>
                <w:szCs w:val="24"/>
              </w:rPr>
              <w:t>62.10</w:t>
            </w:r>
          </w:p>
        </w:tc>
        <w:tc>
          <w:tcPr>
            <w:tcW w:w="454" w:type="dxa"/>
          </w:tcPr>
          <w:p w14:paraId="373BF3F8" w14:textId="77777777" w:rsidR="009A0A63" w:rsidRPr="00792B36" w:rsidRDefault="009A0A63" w:rsidP="00A24459">
            <w:pPr>
              <w:jc w:val="center"/>
              <w:rPr>
                <w:rFonts w:eastAsia="Times New Roman"/>
                <w:color w:val="000000" w:themeColor="text1"/>
                <w:sz w:val="24"/>
                <w:szCs w:val="24"/>
              </w:rPr>
            </w:pPr>
          </w:p>
        </w:tc>
        <w:tc>
          <w:tcPr>
            <w:tcW w:w="1191" w:type="dxa"/>
            <w:vAlign w:val="bottom"/>
          </w:tcPr>
          <w:p w14:paraId="120B43BE" w14:textId="77777777" w:rsidR="009A0A63" w:rsidRPr="00792B36" w:rsidRDefault="009A0A63" w:rsidP="00A24459">
            <w:pPr>
              <w:jc w:val="center"/>
              <w:rPr>
                <w:rFonts w:eastAsia="Times New Roman"/>
                <w:color w:val="000000" w:themeColor="text1"/>
                <w:sz w:val="24"/>
                <w:szCs w:val="24"/>
              </w:rPr>
            </w:pPr>
            <w:r w:rsidRPr="00792B36">
              <w:rPr>
                <w:rFonts w:eastAsia="Times New Roman"/>
                <w:color w:val="000000" w:themeColor="text1"/>
                <w:sz w:val="24"/>
                <w:szCs w:val="24"/>
              </w:rPr>
              <w:t>2012</w:t>
            </w:r>
          </w:p>
        </w:tc>
        <w:tc>
          <w:tcPr>
            <w:tcW w:w="1361" w:type="dxa"/>
            <w:vAlign w:val="bottom"/>
          </w:tcPr>
          <w:p w14:paraId="553290E9" w14:textId="77777777" w:rsidR="009A0A63" w:rsidRPr="00792B36" w:rsidRDefault="009A0A63" w:rsidP="00A24459">
            <w:pPr>
              <w:jc w:val="center"/>
              <w:rPr>
                <w:rFonts w:eastAsia="Times New Roman"/>
                <w:color w:val="000000" w:themeColor="text1"/>
                <w:sz w:val="24"/>
                <w:szCs w:val="24"/>
              </w:rPr>
            </w:pPr>
            <w:r w:rsidRPr="00792B36">
              <w:rPr>
                <w:rFonts w:eastAsia="Times New Roman"/>
                <w:color w:val="000000" w:themeColor="text1"/>
                <w:sz w:val="24"/>
                <w:szCs w:val="24"/>
              </w:rPr>
              <w:t>18.23</w:t>
            </w:r>
          </w:p>
        </w:tc>
      </w:tr>
      <w:tr w:rsidR="009A0A63" w:rsidRPr="00792B36" w14:paraId="3E14F670" w14:textId="77777777" w:rsidTr="00A24459">
        <w:trPr>
          <w:trHeight w:val="283"/>
          <w:jc w:val="center"/>
        </w:trPr>
        <w:tc>
          <w:tcPr>
            <w:tcW w:w="1191" w:type="dxa"/>
            <w:noWrap/>
            <w:vAlign w:val="bottom"/>
            <w:hideMark/>
          </w:tcPr>
          <w:p w14:paraId="3D4F56CE" w14:textId="77777777" w:rsidR="009A0A63" w:rsidRPr="00792B36" w:rsidRDefault="009A0A63" w:rsidP="00A24459">
            <w:pPr>
              <w:jc w:val="center"/>
              <w:rPr>
                <w:rFonts w:eastAsia="Times New Roman"/>
                <w:color w:val="000000" w:themeColor="text1"/>
                <w:sz w:val="24"/>
                <w:szCs w:val="24"/>
              </w:rPr>
            </w:pPr>
            <w:r w:rsidRPr="00792B36">
              <w:rPr>
                <w:rFonts w:eastAsia="Times New Roman"/>
                <w:color w:val="000000" w:themeColor="text1"/>
                <w:sz w:val="24"/>
                <w:szCs w:val="24"/>
              </w:rPr>
              <w:t>1967</w:t>
            </w:r>
          </w:p>
        </w:tc>
        <w:tc>
          <w:tcPr>
            <w:tcW w:w="1361" w:type="dxa"/>
            <w:noWrap/>
            <w:vAlign w:val="bottom"/>
            <w:hideMark/>
          </w:tcPr>
          <w:p w14:paraId="27C1E166" w14:textId="77777777" w:rsidR="009A0A63" w:rsidRPr="00792B36" w:rsidRDefault="009A0A63" w:rsidP="00A24459">
            <w:pPr>
              <w:jc w:val="center"/>
              <w:rPr>
                <w:rFonts w:eastAsia="Times New Roman"/>
                <w:color w:val="000000" w:themeColor="text1"/>
                <w:sz w:val="24"/>
                <w:szCs w:val="24"/>
              </w:rPr>
            </w:pPr>
            <w:r w:rsidRPr="00792B36">
              <w:rPr>
                <w:rFonts w:eastAsia="Times New Roman"/>
                <w:color w:val="000000" w:themeColor="text1"/>
                <w:sz w:val="24"/>
                <w:szCs w:val="24"/>
              </w:rPr>
              <w:t>151.03</w:t>
            </w:r>
          </w:p>
        </w:tc>
        <w:tc>
          <w:tcPr>
            <w:tcW w:w="454" w:type="dxa"/>
          </w:tcPr>
          <w:p w14:paraId="53F0C13F" w14:textId="77777777" w:rsidR="009A0A63" w:rsidRPr="00792B36" w:rsidRDefault="009A0A63" w:rsidP="00A24459">
            <w:pPr>
              <w:jc w:val="center"/>
              <w:rPr>
                <w:rFonts w:eastAsia="Times New Roman"/>
                <w:color w:val="000000" w:themeColor="text1"/>
                <w:sz w:val="24"/>
                <w:szCs w:val="24"/>
              </w:rPr>
            </w:pPr>
          </w:p>
        </w:tc>
        <w:tc>
          <w:tcPr>
            <w:tcW w:w="1191" w:type="dxa"/>
            <w:vAlign w:val="bottom"/>
          </w:tcPr>
          <w:p w14:paraId="56327AC2" w14:textId="77777777" w:rsidR="009A0A63" w:rsidRPr="00792B36" w:rsidRDefault="009A0A63" w:rsidP="00A24459">
            <w:pPr>
              <w:jc w:val="center"/>
              <w:rPr>
                <w:rFonts w:eastAsia="Times New Roman"/>
                <w:color w:val="000000" w:themeColor="text1"/>
                <w:sz w:val="24"/>
                <w:szCs w:val="24"/>
              </w:rPr>
            </w:pPr>
            <w:r w:rsidRPr="00792B36">
              <w:rPr>
                <w:rFonts w:eastAsia="Times New Roman"/>
                <w:color w:val="000000" w:themeColor="text1"/>
                <w:sz w:val="24"/>
                <w:szCs w:val="24"/>
              </w:rPr>
              <w:t>1985</w:t>
            </w:r>
          </w:p>
        </w:tc>
        <w:tc>
          <w:tcPr>
            <w:tcW w:w="1361" w:type="dxa"/>
            <w:vAlign w:val="bottom"/>
          </w:tcPr>
          <w:p w14:paraId="699C3B64" w14:textId="77777777" w:rsidR="009A0A63" w:rsidRPr="00792B36" w:rsidRDefault="009A0A63" w:rsidP="00A24459">
            <w:pPr>
              <w:jc w:val="center"/>
              <w:rPr>
                <w:rFonts w:eastAsia="Times New Roman"/>
                <w:color w:val="000000" w:themeColor="text1"/>
                <w:sz w:val="24"/>
                <w:szCs w:val="24"/>
              </w:rPr>
            </w:pPr>
            <w:r w:rsidRPr="00792B36">
              <w:rPr>
                <w:rFonts w:eastAsia="Times New Roman"/>
                <w:color w:val="000000" w:themeColor="text1"/>
                <w:sz w:val="24"/>
                <w:szCs w:val="24"/>
              </w:rPr>
              <w:t>57.82</w:t>
            </w:r>
          </w:p>
        </w:tc>
        <w:tc>
          <w:tcPr>
            <w:tcW w:w="454" w:type="dxa"/>
          </w:tcPr>
          <w:p w14:paraId="299F6025" w14:textId="77777777" w:rsidR="009A0A63" w:rsidRPr="00792B36" w:rsidRDefault="009A0A63" w:rsidP="00A24459">
            <w:pPr>
              <w:jc w:val="center"/>
              <w:rPr>
                <w:rFonts w:eastAsia="Times New Roman"/>
                <w:color w:val="000000" w:themeColor="text1"/>
                <w:sz w:val="24"/>
                <w:szCs w:val="24"/>
              </w:rPr>
            </w:pPr>
          </w:p>
        </w:tc>
        <w:tc>
          <w:tcPr>
            <w:tcW w:w="1191" w:type="dxa"/>
            <w:vAlign w:val="bottom"/>
          </w:tcPr>
          <w:p w14:paraId="623825BC" w14:textId="77777777" w:rsidR="009A0A63" w:rsidRPr="00792B36" w:rsidRDefault="009A0A63" w:rsidP="00A24459">
            <w:pPr>
              <w:jc w:val="center"/>
              <w:rPr>
                <w:rFonts w:eastAsia="Times New Roman"/>
                <w:color w:val="000000" w:themeColor="text1"/>
                <w:sz w:val="24"/>
                <w:szCs w:val="24"/>
              </w:rPr>
            </w:pPr>
            <w:r w:rsidRPr="00792B36">
              <w:rPr>
                <w:rFonts w:eastAsia="Times New Roman"/>
                <w:color w:val="000000" w:themeColor="text1"/>
                <w:sz w:val="24"/>
                <w:szCs w:val="24"/>
              </w:rPr>
              <w:t>2013</w:t>
            </w:r>
          </w:p>
        </w:tc>
        <w:tc>
          <w:tcPr>
            <w:tcW w:w="1361" w:type="dxa"/>
            <w:vAlign w:val="bottom"/>
          </w:tcPr>
          <w:p w14:paraId="1F0C8347" w14:textId="77777777" w:rsidR="009A0A63" w:rsidRPr="00792B36" w:rsidRDefault="009A0A63" w:rsidP="00A24459">
            <w:pPr>
              <w:jc w:val="center"/>
              <w:rPr>
                <w:rFonts w:eastAsia="Times New Roman"/>
                <w:color w:val="000000" w:themeColor="text1"/>
                <w:sz w:val="24"/>
                <w:szCs w:val="24"/>
              </w:rPr>
            </w:pPr>
            <w:r w:rsidRPr="00792B36">
              <w:rPr>
                <w:rFonts w:eastAsia="Times New Roman"/>
                <w:color w:val="000000" w:themeColor="text1"/>
                <w:sz w:val="24"/>
                <w:szCs w:val="24"/>
              </w:rPr>
              <w:t>14.69</w:t>
            </w:r>
          </w:p>
        </w:tc>
      </w:tr>
      <w:tr w:rsidR="009A0A63" w:rsidRPr="00792B36" w14:paraId="0323B07A" w14:textId="77777777" w:rsidTr="00A24459">
        <w:trPr>
          <w:trHeight w:val="283"/>
          <w:jc w:val="center"/>
        </w:trPr>
        <w:tc>
          <w:tcPr>
            <w:tcW w:w="1191" w:type="dxa"/>
            <w:noWrap/>
            <w:vAlign w:val="bottom"/>
            <w:hideMark/>
          </w:tcPr>
          <w:p w14:paraId="453EF0A4" w14:textId="77777777" w:rsidR="009A0A63" w:rsidRPr="00792B36" w:rsidRDefault="009A0A63" w:rsidP="00A24459">
            <w:pPr>
              <w:jc w:val="center"/>
              <w:rPr>
                <w:rFonts w:eastAsia="Times New Roman"/>
                <w:color w:val="000000" w:themeColor="text1"/>
                <w:sz w:val="24"/>
                <w:szCs w:val="24"/>
              </w:rPr>
            </w:pPr>
            <w:r w:rsidRPr="00792B36">
              <w:rPr>
                <w:rFonts w:eastAsia="Times New Roman"/>
                <w:color w:val="000000" w:themeColor="text1"/>
                <w:sz w:val="24"/>
                <w:szCs w:val="24"/>
              </w:rPr>
              <w:t>1968</w:t>
            </w:r>
          </w:p>
        </w:tc>
        <w:tc>
          <w:tcPr>
            <w:tcW w:w="1361" w:type="dxa"/>
            <w:noWrap/>
            <w:vAlign w:val="bottom"/>
            <w:hideMark/>
          </w:tcPr>
          <w:p w14:paraId="1AA2A822" w14:textId="77777777" w:rsidR="009A0A63" w:rsidRPr="00792B36" w:rsidRDefault="009A0A63" w:rsidP="00A24459">
            <w:pPr>
              <w:jc w:val="center"/>
              <w:rPr>
                <w:rFonts w:eastAsia="Times New Roman"/>
                <w:color w:val="000000" w:themeColor="text1"/>
                <w:sz w:val="24"/>
                <w:szCs w:val="24"/>
              </w:rPr>
            </w:pPr>
            <w:r w:rsidRPr="00792B36">
              <w:rPr>
                <w:rFonts w:eastAsia="Times New Roman"/>
                <w:color w:val="000000" w:themeColor="text1"/>
                <w:sz w:val="24"/>
                <w:szCs w:val="24"/>
              </w:rPr>
              <w:t>139.04</w:t>
            </w:r>
          </w:p>
        </w:tc>
        <w:tc>
          <w:tcPr>
            <w:tcW w:w="454" w:type="dxa"/>
          </w:tcPr>
          <w:p w14:paraId="6D18F10C" w14:textId="77777777" w:rsidR="009A0A63" w:rsidRPr="00792B36" w:rsidRDefault="009A0A63" w:rsidP="00A24459">
            <w:pPr>
              <w:jc w:val="center"/>
              <w:rPr>
                <w:rFonts w:eastAsia="Times New Roman"/>
                <w:color w:val="000000" w:themeColor="text1"/>
                <w:sz w:val="24"/>
                <w:szCs w:val="24"/>
              </w:rPr>
            </w:pPr>
          </w:p>
        </w:tc>
        <w:tc>
          <w:tcPr>
            <w:tcW w:w="1191" w:type="dxa"/>
            <w:vAlign w:val="bottom"/>
          </w:tcPr>
          <w:p w14:paraId="70E44B3F" w14:textId="77777777" w:rsidR="009A0A63" w:rsidRPr="00792B36" w:rsidRDefault="009A0A63" w:rsidP="00A24459">
            <w:pPr>
              <w:jc w:val="center"/>
              <w:rPr>
                <w:rFonts w:eastAsia="Times New Roman"/>
                <w:color w:val="000000" w:themeColor="text1"/>
                <w:sz w:val="24"/>
                <w:szCs w:val="24"/>
              </w:rPr>
            </w:pPr>
            <w:r w:rsidRPr="00792B36">
              <w:rPr>
                <w:rFonts w:eastAsia="Times New Roman"/>
                <w:color w:val="000000" w:themeColor="text1"/>
                <w:sz w:val="24"/>
                <w:szCs w:val="24"/>
              </w:rPr>
              <w:t>1986</w:t>
            </w:r>
          </w:p>
        </w:tc>
        <w:tc>
          <w:tcPr>
            <w:tcW w:w="1361" w:type="dxa"/>
            <w:vAlign w:val="bottom"/>
          </w:tcPr>
          <w:p w14:paraId="0127B3B1" w14:textId="77777777" w:rsidR="009A0A63" w:rsidRPr="00792B36" w:rsidRDefault="009A0A63" w:rsidP="00A24459">
            <w:pPr>
              <w:jc w:val="center"/>
              <w:rPr>
                <w:rFonts w:eastAsia="Times New Roman"/>
                <w:color w:val="000000" w:themeColor="text1"/>
                <w:sz w:val="24"/>
                <w:szCs w:val="24"/>
              </w:rPr>
            </w:pPr>
            <w:r w:rsidRPr="00792B36">
              <w:rPr>
                <w:rFonts w:eastAsia="Times New Roman"/>
                <w:color w:val="000000" w:themeColor="text1"/>
                <w:sz w:val="24"/>
                <w:szCs w:val="24"/>
              </w:rPr>
              <w:t>51.15</w:t>
            </w:r>
          </w:p>
        </w:tc>
        <w:tc>
          <w:tcPr>
            <w:tcW w:w="454" w:type="dxa"/>
          </w:tcPr>
          <w:p w14:paraId="6B252DE4" w14:textId="77777777" w:rsidR="009A0A63" w:rsidRPr="00792B36" w:rsidRDefault="009A0A63" w:rsidP="00A24459">
            <w:pPr>
              <w:jc w:val="center"/>
              <w:rPr>
                <w:rFonts w:eastAsia="Times New Roman"/>
                <w:color w:val="000000" w:themeColor="text1"/>
                <w:sz w:val="24"/>
                <w:szCs w:val="24"/>
              </w:rPr>
            </w:pPr>
          </w:p>
        </w:tc>
        <w:tc>
          <w:tcPr>
            <w:tcW w:w="1191" w:type="dxa"/>
            <w:vAlign w:val="bottom"/>
          </w:tcPr>
          <w:p w14:paraId="0C5E848F" w14:textId="77777777" w:rsidR="009A0A63" w:rsidRPr="00792B36" w:rsidRDefault="009A0A63" w:rsidP="00A24459">
            <w:pPr>
              <w:jc w:val="center"/>
              <w:rPr>
                <w:rFonts w:eastAsia="Times New Roman"/>
                <w:color w:val="000000" w:themeColor="text1"/>
                <w:sz w:val="24"/>
                <w:szCs w:val="24"/>
              </w:rPr>
            </w:pPr>
            <w:r w:rsidRPr="00792B36">
              <w:rPr>
                <w:rFonts w:eastAsia="Times New Roman"/>
                <w:color w:val="000000" w:themeColor="text1"/>
                <w:sz w:val="24"/>
                <w:szCs w:val="24"/>
              </w:rPr>
              <w:t>2014</w:t>
            </w:r>
          </w:p>
        </w:tc>
        <w:tc>
          <w:tcPr>
            <w:tcW w:w="1361" w:type="dxa"/>
            <w:vAlign w:val="bottom"/>
          </w:tcPr>
          <w:p w14:paraId="21102337" w14:textId="77777777" w:rsidR="009A0A63" w:rsidRPr="00792B36" w:rsidRDefault="009A0A63" w:rsidP="00A24459">
            <w:pPr>
              <w:jc w:val="center"/>
              <w:rPr>
                <w:rFonts w:eastAsia="Times New Roman"/>
                <w:color w:val="000000" w:themeColor="text1"/>
                <w:sz w:val="24"/>
                <w:szCs w:val="24"/>
              </w:rPr>
            </w:pPr>
            <w:r w:rsidRPr="00792B36">
              <w:rPr>
                <w:rFonts w:eastAsia="Times New Roman"/>
                <w:color w:val="000000" w:themeColor="text1"/>
                <w:sz w:val="24"/>
                <w:szCs w:val="24"/>
              </w:rPr>
              <w:t>21.94</w:t>
            </w:r>
          </w:p>
        </w:tc>
      </w:tr>
      <w:tr w:rsidR="009A0A63" w:rsidRPr="00792B36" w14:paraId="780F901E" w14:textId="77777777" w:rsidTr="00A24459">
        <w:trPr>
          <w:trHeight w:val="283"/>
          <w:jc w:val="center"/>
        </w:trPr>
        <w:tc>
          <w:tcPr>
            <w:tcW w:w="1191" w:type="dxa"/>
            <w:noWrap/>
            <w:vAlign w:val="bottom"/>
            <w:hideMark/>
          </w:tcPr>
          <w:p w14:paraId="0B35F457" w14:textId="77777777" w:rsidR="009A0A63" w:rsidRPr="00792B36" w:rsidRDefault="009A0A63" w:rsidP="00A24459">
            <w:pPr>
              <w:jc w:val="center"/>
              <w:rPr>
                <w:rFonts w:eastAsia="Times New Roman"/>
                <w:color w:val="000000" w:themeColor="text1"/>
                <w:sz w:val="24"/>
                <w:szCs w:val="24"/>
              </w:rPr>
            </w:pPr>
            <w:r w:rsidRPr="00792B36">
              <w:rPr>
                <w:rFonts w:eastAsia="Times New Roman"/>
                <w:color w:val="000000" w:themeColor="text1"/>
                <w:sz w:val="24"/>
                <w:szCs w:val="24"/>
              </w:rPr>
              <w:t>1969</w:t>
            </w:r>
          </w:p>
        </w:tc>
        <w:tc>
          <w:tcPr>
            <w:tcW w:w="1361" w:type="dxa"/>
            <w:noWrap/>
            <w:vAlign w:val="bottom"/>
            <w:hideMark/>
          </w:tcPr>
          <w:p w14:paraId="2FEB740B" w14:textId="77777777" w:rsidR="009A0A63" w:rsidRPr="00792B36" w:rsidRDefault="009A0A63" w:rsidP="00A24459">
            <w:pPr>
              <w:jc w:val="center"/>
              <w:rPr>
                <w:rFonts w:eastAsia="Times New Roman"/>
                <w:color w:val="000000" w:themeColor="text1"/>
                <w:sz w:val="24"/>
                <w:szCs w:val="24"/>
              </w:rPr>
            </w:pPr>
            <w:r w:rsidRPr="00792B36">
              <w:rPr>
                <w:rFonts w:eastAsia="Times New Roman"/>
                <w:color w:val="000000" w:themeColor="text1"/>
                <w:sz w:val="24"/>
                <w:szCs w:val="24"/>
              </w:rPr>
              <w:t>134.86</w:t>
            </w:r>
          </w:p>
        </w:tc>
        <w:tc>
          <w:tcPr>
            <w:tcW w:w="454" w:type="dxa"/>
          </w:tcPr>
          <w:p w14:paraId="76CF8A92" w14:textId="77777777" w:rsidR="009A0A63" w:rsidRPr="00792B36" w:rsidRDefault="009A0A63" w:rsidP="00A24459">
            <w:pPr>
              <w:jc w:val="center"/>
              <w:rPr>
                <w:rFonts w:eastAsia="Times New Roman"/>
                <w:color w:val="000000" w:themeColor="text1"/>
                <w:sz w:val="24"/>
                <w:szCs w:val="24"/>
              </w:rPr>
            </w:pPr>
          </w:p>
        </w:tc>
        <w:tc>
          <w:tcPr>
            <w:tcW w:w="1191" w:type="dxa"/>
            <w:vAlign w:val="bottom"/>
          </w:tcPr>
          <w:p w14:paraId="13040A07" w14:textId="77777777" w:rsidR="009A0A63" w:rsidRPr="00792B36" w:rsidRDefault="009A0A63" w:rsidP="00A24459">
            <w:pPr>
              <w:jc w:val="center"/>
              <w:rPr>
                <w:rFonts w:eastAsia="Times New Roman"/>
                <w:color w:val="000000" w:themeColor="text1"/>
                <w:sz w:val="24"/>
                <w:szCs w:val="24"/>
              </w:rPr>
            </w:pPr>
            <w:r w:rsidRPr="00792B36">
              <w:rPr>
                <w:rFonts w:eastAsia="Times New Roman"/>
                <w:color w:val="000000" w:themeColor="text1"/>
                <w:sz w:val="24"/>
                <w:szCs w:val="24"/>
              </w:rPr>
              <w:t>1987</w:t>
            </w:r>
          </w:p>
        </w:tc>
        <w:tc>
          <w:tcPr>
            <w:tcW w:w="1361" w:type="dxa"/>
            <w:vAlign w:val="bottom"/>
          </w:tcPr>
          <w:p w14:paraId="1D015788" w14:textId="77777777" w:rsidR="009A0A63" w:rsidRPr="00792B36" w:rsidRDefault="009A0A63" w:rsidP="00A24459">
            <w:pPr>
              <w:jc w:val="center"/>
              <w:rPr>
                <w:rFonts w:eastAsia="Times New Roman"/>
                <w:color w:val="000000" w:themeColor="text1"/>
                <w:sz w:val="24"/>
                <w:szCs w:val="24"/>
              </w:rPr>
            </w:pPr>
            <w:r w:rsidRPr="00792B36">
              <w:rPr>
                <w:rFonts w:eastAsia="Times New Roman"/>
                <w:color w:val="000000" w:themeColor="text1"/>
                <w:sz w:val="24"/>
                <w:szCs w:val="24"/>
              </w:rPr>
              <w:t>40.59</w:t>
            </w:r>
          </w:p>
        </w:tc>
        <w:tc>
          <w:tcPr>
            <w:tcW w:w="454" w:type="dxa"/>
          </w:tcPr>
          <w:p w14:paraId="5787BD98" w14:textId="77777777" w:rsidR="009A0A63" w:rsidRPr="00792B36" w:rsidRDefault="009A0A63" w:rsidP="00A24459">
            <w:pPr>
              <w:jc w:val="center"/>
              <w:rPr>
                <w:rFonts w:eastAsia="Times New Roman"/>
                <w:color w:val="000000" w:themeColor="text1"/>
                <w:sz w:val="24"/>
                <w:szCs w:val="24"/>
              </w:rPr>
            </w:pPr>
          </w:p>
        </w:tc>
        <w:tc>
          <w:tcPr>
            <w:tcW w:w="1191" w:type="dxa"/>
            <w:vAlign w:val="bottom"/>
          </w:tcPr>
          <w:p w14:paraId="0D814B1C" w14:textId="77777777" w:rsidR="009A0A63" w:rsidRPr="00792B36" w:rsidRDefault="009A0A63" w:rsidP="00A24459">
            <w:pPr>
              <w:jc w:val="center"/>
              <w:rPr>
                <w:rFonts w:eastAsia="Times New Roman"/>
                <w:color w:val="000000" w:themeColor="text1"/>
                <w:sz w:val="24"/>
                <w:szCs w:val="24"/>
              </w:rPr>
            </w:pPr>
            <w:r w:rsidRPr="00792B36">
              <w:rPr>
                <w:rFonts w:eastAsia="Times New Roman"/>
                <w:color w:val="000000" w:themeColor="text1"/>
                <w:sz w:val="24"/>
                <w:szCs w:val="24"/>
              </w:rPr>
              <w:t>2015</w:t>
            </w:r>
          </w:p>
        </w:tc>
        <w:tc>
          <w:tcPr>
            <w:tcW w:w="1361" w:type="dxa"/>
            <w:vAlign w:val="bottom"/>
          </w:tcPr>
          <w:p w14:paraId="342B3150" w14:textId="77777777" w:rsidR="009A0A63" w:rsidRPr="00792B36" w:rsidRDefault="009A0A63" w:rsidP="00A24459">
            <w:pPr>
              <w:jc w:val="center"/>
              <w:rPr>
                <w:rFonts w:eastAsia="Times New Roman"/>
                <w:color w:val="000000" w:themeColor="text1"/>
                <w:sz w:val="24"/>
                <w:szCs w:val="24"/>
              </w:rPr>
            </w:pPr>
            <w:r w:rsidRPr="00792B36">
              <w:rPr>
                <w:rFonts w:eastAsia="Times New Roman"/>
                <w:color w:val="000000" w:themeColor="text1"/>
                <w:sz w:val="24"/>
                <w:szCs w:val="24"/>
              </w:rPr>
              <w:t>22.59</w:t>
            </w:r>
          </w:p>
        </w:tc>
      </w:tr>
      <w:tr w:rsidR="009A0A63" w:rsidRPr="00792B36" w14:paraId="0A357E55" w14:textId="77777777" w:rsidTr="00A24459">
        <w:trPr>
          <w:trHeight w:val="283"/>
          <w:jc w:val="center"/>
        </w:trPr>
        <w:tc>
          <w:tcPr>
            <w:tcW w:w="1191" w:type="dxa"/>
            <w:noWrap/>
            <w:vAlign w:val="bottom"/>
            <w:hideMark/>
          </w:tcPr>
          <w:p w14:paraId="0818C8BC" w14:textId="77777777" w:rsidR="009A0A63" w:rsidRPr="00792B36" w:rsidRDefault="009A0A63" w:rsidP="00A24459">
            <w:pPr>
              <w:jc w:val="center"/>
              <w:rPr>
                <w:rFonts w:eastAsia="Times New Roman"/>
                <w:color w:val="000000" w:themeColor="text1"/>
                <w:sz w:val="24"/>
                <w:szCs w:val="24"/>
              </w:rPr>
            </w:pPr>
            <w:r w:rsidRPr="00792B36">
              <w:rPr>
                <w:rFonts w:eastAsia="Times New Roman"/>
                <w:color w:val="000000" w:themeColor="text1"/>
                <w:sz w:val="24"/>
                <w:szCs w:val="24"/>
              </w:rPr>
              <w:t>1970</w:t>
            </w:r>
          </w:p>
        </w:tc>
        <w:tc>
          <w:tcPr>
            <w:tcW w:w="1361" w:type="dxa"/>
            <w:noWrap/>
            <w:vAlign w:val="bottom"/>
            <w:hideMark/>
          </w:tcPr>
          <w:p w14:paraId="39D9951C" w14:textId="77777777" w:rsidR="009A0A63" w:rsidRPr="00792B36" w:rsidRDefault="009A0A63" w:rsidP="00A24459">
            <w:pPr>
              <w:jc w:val="center"/>
              <w:rPr>
                <w:rFonts w:eastAsia="Times New Roman"/>
                <w:color w:val="000000" w:themeColor="text1"/>
                <w:sz w:val="24"/>
                <w:szCs w:val="24"/>
              </w:rPr>
            </w:pPr>
            <w:r w:rsidRPr="00792B36">
              <w:rPr>
                <w:rFonts w:eastAsia="Times New Roman"/>
                <w:color w:val="000000" w:themeColor="text1"/>
                <w:sz w:val="24"/>
                <w:szCs w:val="24"/>
              </w:rPr>
              <w:t>127.90</w:t>
            </w:r>
          </w:p>
        </w:tc>
        <w:tc>
          <w:tcPr>
            <w:tcW w:w="454" w:type="dxa"/>
          </w:tcPr>
          <w:p w14:paraId="6B3A3194" w14:textId="77777777" w:rsidR="009A0A63" w:rsidRPr="00792B36" w:rsidRDefault="009A0A63" w:rsidP="00A24459">
            <w:pPr>
              <w:jc w:val="center"/>
              <w:rPr>
                <w:rFonts w:eastAsia="Times New Roman"/>
                <w:color w:val="000000" w:themeColor="text1"/>
                <w:sz w:val="24"/>
                <w:szCs w:val="24"/>
              </w:rPr>
            </w:pPr>
          </w:p>
        </w:tc>
        <w:tc>
          <w:tcPr>
            <w:tcW w:w="1191" w:type="dxa"/>
            <w:vAlign w:val="bottom"/>
          </w:tcPr>
          <w:p w14:paraId="328CF5E0" w14:textId="77777777" w:rsidR="009A0A63" w:rsidRPr="00792B36" w:rsidRDefault="009A0A63" w:rsidP="00A24459">
            <w:pPr>
              <w:jc w:val="center"/>
              <w:rPr>
                <w:rFonts w:eastAsia="Times New Roman"/>
                <w:color w:val="000000" w:themeColor="text1"/>
                <w:sz w:val="24"/>
                <w:szCs w:val="24"/>
              </w:rPr>
            </w:pPr>
            <w:r w:rsidRPr="00792B36">
              <w:rPr>
                <w:rFonts w:eastAsia="Times New Roman"/>
                <w:color w:val="000000" w:themeColor="text1"/>
                <w:sz w:val="24"/>
                <w:szCs w:val="24"/>
              </w:rPr>
              <w:t>1988</w:t>
            </w:r>
          </w:p>
        </w:tc>
        <w:tc>
          <w:tcPr>
            <w:tcW w:w="1361" w:type="dxa"/>
            <w:vAlign w:val="bottom"/>
          </w:tcPr>
          <w:p w14:paraId="64C156A2" w14:textId="77777777" w:rsidR="009A0A63" w:rsidRPr="00792B36" w:rsidRDefault="009A0A63" w:rsidP="00A24459">
            <w:pPr>
              <w:jc w:val="center"/>
              <w:rPr>
                <w:rFonts w:eastAsia="Times New Roman"/>
                <w:color w:val="000000" w:themeColor="text1"/>
                <w:sz w:val="24"/>
                <w:szCs w:val="24"/>
              </w:rPr>
            </w:pPr>
            <w:r w:rsidRPr="00792B36">
              <w:rPr>
                <w:rFonts w:eastAsia="Times New Roman"/>
                <w:color w:val="000000" w:themeColor="text1"/>
                <w:sz w:val="24"/>
                <w:szCs w:val="24"/>
              </w:rPr>
              <w:t>31.62</w:t>
            </w:r>
          </w:p>
        </w:tc>
        <w:tc>
          <w:tcPr>
            <w:tcW w:w="454" w:type="dxa"/>
          </w:tcPr>
          <w:p w14:paraId="682570E5" w14:textId="77777777" w:rsidR="009A0A63" w:rsidRPr="00792B36" w:rsidRDefault="009A0A63" w:rsidP="00A24459">
            <w:pPr>
              <w:jc w:val="center"/>
              <w:rPr>
                <w:rFonts w:eastAsia="Times New Roman"/>
                <w:color w:val="000000" w:themeColor="text1"/>
                <w:sz w:val="24"/>
                <w:szCs w:val="24"/>
              </w:rPr>
            </w:pPr>
          </w:p>
        </w:tc>
        <w:tc>
          <w:tcPr>
            <w:tcW w:w="1191" w:type="dxa"/>
            <w:vAlign w:val="bottom"/>
          </w:tcPr>
          <w:p w14:paraId="7F68FE8B" w14:textId="77777777" w:rsidR="009A0A63" w:rsidRPr="00792B36" w:rsidRDefault="009A0A63" w:rsidP="00A24459">
            <w:pPr>
              <w:jc w:val="center"/>
              <w:rPr>
                <w:rFonts w:eastAsia="Times New Roman"/>
                <w:color w:val="000000" w:themeColor="text1"/>
                <w:sz w:val="24"/>
                <w:szCs w:val="24"/>
              </w:rPr>
            </w:pPr>
            <w:r w:rsidRPr="00792B36">
              <w:rPr>
                <w:color w:val="000000" w:themeColor="text1"/>
                <w:sz w:val="24"/>
                <w:szCs w:val="24"/>
              </w:rPr>
              <w:t>2016</w:t>
            </w:r>
          </w:p>
        </w:tc>
        <w:tc>
          <w:tcPr>
            <w:tcW w:w="1361" w:type="dxa"/>
            <w:vAlign w:val="bottom"/>
          </w:tcPr>
          <w:p w14:paraId="79FA1646" w14:textId="77777777" w:rsidR="009A0A63" w:rsidRPr="00792B36" w:rsidRDefault="009A0A63" w:rsidP="00A24459">
            <w:pPr>
              <w:jc w:val="center"/>
              <w:rPr>
                <w:rFonts w:eastAsia="Times New Roman"/>
                <w:color w:val="000000" w:themeColor="text1"/>
                <w:sz w:val="24"/>
                <w:szCs w:val="24"/>
              </w:rPr>
            </w:pPr>
            <w:r w:rsidRPr="00792B36">
              <w:rPr>
                <w:sz w:val="24"/>
                <w:szCs w:val="24"/>
              </w:rPr>
              <w:t>12.61</w:t>
            </w:r>
          </w:p>
        </w:tc>
      </w:tr>
      <w:tr w:rsidR="009A0A63" w:rsidRPr="00792B36" w14:paraId="2A5F89B1" w14:textId="77777777" w:rsidTr="00A24459">
        <w:trPr>
          <w:trHeight w:val="283"/>
          <w:jc w:val="center"/>
        </w:trPr>
        <w:tc>
          <w:tcPr>
            <w:tcW w:w="1191" w:type="dxa"/>
            <w:noWrap/>
            <w:vAlign w:val="bottom"/>
            <w:hideMark/>
          </w:tcPr>
          <w:p w14:paraId="413C42F1" w14:textId="77777777" w:rsidR="009A0A63" w:rsidRPr="00792B36" w:rsidRDefault="009A0A63" w:rsidP="00A24459">
            <w:pPr>
              <w:jc w:val="center"/>
              <w:rPr>
                <w:rFonts w:eastAsia="Times New Roman"/>
                <w:color w:val="000000" w:themeColor="text1"/>
                <w:sz w:val="24"/>
                <w:szCs w:val="24"/>
              </w:rPr>
            </w:pPr>
            <w:r w:rsidRPr="00792B36">
              <w:rPr>
                <w:rFonts w:eastAsia="Times New Roman"/>
                <w:color w:val="000000" w:themeColor="text1"/>
                <w:sz w:val="24"/>
                <w:szCs w:val="24"/>
              </w:rPr>
              <w:t>1971</w:t>
            </w:r>
          </w:p>
        </w:tc>
        <w:tc>
          <w:tcPr>
            <w:tcW w:w="1361" w:type="dxa"/>
            <w:noWrap/>
            <w:vAlign w:val="bottom"/>
            <w:hideMark/>
          </w:tcPr>
          <w:p w14:paraId="3FE0FD01" w14:textId="77777777" w:rsidR="009A0A63" w:rsidRPr="00792B36" w:rsidRDefault="009A0A63" w:rsidP="00A24459">
            <w:pPr>
              <w:jc w:val="center"/>
              <w:rPr>
                <w:rFonts w:eastAsia="Times New Roman"/>
                <w:color w:val="000000" w:themeColor="text1"/>
                <w:sz w:val="24"/>
                <w:szCs w:val="24"/>
              </w:rPr>
            </w:pPr>
            <w:r w:rsidRPr="00792B36">
              <w:rPr>
                <w:rFonts w:eastAsia="Times New Roman"/>
                <w:color w:val="000000" w:themeColor="text1"/>
                <w:sz w:val="24"/>
                <w:szCs w:val="24"/>
              </w:rPr>
              <w:t>87.07</w:t>
            </w:r>
          </w:p>
        </w:tc>
        <w:tc>
          <w:tcPr>
            <w:tcW w:w="454" w:type="dxa"/>
          </w:tcPr>
          <w:p w14:paraId="3556E6F5" w14:textId="77777777" w:rsidR="009A0A63" w:rsidRPr="00792B36" w:rsidRDefault="009A0A63" w:rsidP="00A24459">
            <w:pPr>
              <w:jc w:val="center"/>
              <w:rPr>
                <w:rFonts w:eastAsia="Times New Roman"/>
                <w:color w:val="000000" w:themeColor="text1"/>
                <w:sz w:val="24"/>
                <w:szCs w:val="24"/>
              </w:rPr>
            </w:pPr>
          </w:p>
        </w:tc>
        <w:tc>
          <w:tcPr>
            <w:tcW w:w="1191" w:type="dxa"/>
            <w:vAlign w:val="bottom"/>
          </w:tcPr>
          <w:p w14:paraId="61E70571" w14:textId="77777777" w:rsidR="009A0A63" w:rsidRPr="00792B36" w:rsidRDefault="009A0A63" w:rsidP="00A24459">
            <w:pPr>
              <w:jc w:val="center"/>
              <w:rPr>
                <w:rFonts w:eastAsia="Times New Roman"/>
                <w:color w:val="000000" w:themeColor="text1"/>
                <w:sz w:val="24"/>
                <w:szCs w:val="24"/>
              </w:rPr>
            </w:pPr>
            <w:r w:rsidRPr="00792B36">
              <w:rPr>
                <w:rFonts w:eastAsia="Times New Roman"/>
                <w:color w:val="000000" w:themeColor="text1"/>
                <w:sz w:val="24"/>
                <w:szCs w:val="24"/>
              </w:rPr>
              <w:t>1989</w:t>
            </w:r>
          </w:p>
        </w:tc>
        <w:tc>
          <w:tcPr>
            <w:tcW w:w="1361" w:type="dxa"/>
            <w:vAlign w:val="bottom"/>
          </w:tcPr>
          <w:p w14:paraId="76C8A1FB" w14:textId="77777777" w:rsidR="009A0A63" w:rsidRPr="00792B36" w:rsidRDefault="009A0A63" w:rsidP="00A24459">
            <w:pPr>
              <w:jc w:val="center"/>
              <w:rPr>
                <w:rFonts w:eastAsia="Times New Roman"/>
                <w:color w:val="000000" w:themeColor="text1"/>
                <w:sz w:val="24"/>
                <w:szCs w:val="24"/>
              </w:rPr>
            </w:pPr>
            <w:r w:rsidRPr="00792B36">
              <w:rPr>
                <w:rFonts w:eastAsia="Times New Roman"/>
                <w:color w:val="000000" w:themeColor="text1"/>
                <w:sz w:val="24"/>
                <w:szCs w:val="24"/>
              </w:rPr>
              <w:t>22.71</w:t>
            </w:r>
          </w:p>
        </w:tc>
        <w:tc>
          <w:tcPr>
            <w:tcW w:w="454" w:type="dxa"/>
          </w:tcPr>
          <w:p w14:paraId="09FB0389" w14:textId="77777777" w:rsidR="009A0A63" w:rsidRPr="00792B36" w:rsidRDefault="009A0A63" w:rsidP="00A24459">
            <w:pPr>
              <w:jc w:val="center"/>
              <w:rPr>
                <w:rFonts w:eastAsia="Times New Roman"/>
                <w:color w:val="000000" w:themeColor="text1"/>
                <w:sz w:val="24"/>
                <w:szCs w:val="24"/>
              </w:rPr>
            </w:pPr>
          </w:p>
        </w:tc>
        <w:tc>
          <w:tcPr>
            <w:tcW w:w="1191" w:type="dxa"/>
            <w:vAlign w:val="bottom"/>
          </w:tcPr>
          <w:p w14:paraId="7DC36114" w14:textId="77777777" w:rsidR="009A0A63" w:rsidRPr="00792B36" w:rsidRDefault="009A0A63" w:rsidP="00A24459">
            <w:pPr>
              <w:jc w:val="center"/>
              <w:rPr>
                <w:rFonts w:eastAsia="Times New Roman"/>
                <w:color w:val="000000" w:themeColor="text1"/>
                <w:sz w:val="24"/>
                <w:szCs w:val="24"/>
              </w:rPr>
            </w:pPr>
            <w:r w:rsidRPr="00792B36">
              <w:rPr>
                <w:color w:val="000000" w:themeColor="text1"/>
                <w:sz w:val="24"/>
                <w:szCs w:val="24"/>
              </w:rPr>
              <w:t>2017</w:t>
            </w:r>
          </w:p>
        </w:tc>
        <w:tc>
          <w:tcPr>
            <w:tcW w:w="1361" w:type="dxa"/>
            <w:vAlign w:val="bottom"/>
          </w:tcPr>
          <w:p w14:paraId="4B7032F4" w14:textId="77777777" w:rsidR="009A0A63" w:rsidRPr="00792B36" w:rsidRDefault="009A0A63" w:rsidP="00A24459">
            <w:pPr>
              <w:jc w:val="center"/>
              <w:rPr>
                <w:rFonts w:eastAsia="Times New Roman"/>
                <w:color w:val="000000" w:themeColor="text1"/>
                <w:sz w:val="24"/>
                <w:szCs w:val="24"/>
              </w:rPr>
            </w:pPr>
            <w:r w:rsidRPr="00792B36">
              <w:rPr>
                <w:sz w:val="24"/>
                <w:szCs w:val="24"/>
              </w:rPr>
              <w:t>11.00</w:t>
            </w:r>
          </w:p>
        </w:tc>
      </w:tr>
      <w:tr w:rsidR="009A0A63" w:rsidRPr="00792B36" w14:paraId="13D8D847" w14:textId="77777777" w:rsidTr="00A24459">
        <w:trPr>
          <w:trHeight w:val="283"/>
          <w:jc w:val="center"/>
        </w:trPr>
        <w:tc>
          <w:tcPr>
            <w:tcW w:w="1191" w:type="dxa"/>
            <w:noWrap/>
            <w:vAlign w:val="bottom"/>
            <w:hideMark/>
          </w:tcPr>
          <w:p w14:paraId="2E3216FB" w14:textId="77777777" w:rsidR="009A0A63" w:rsidRPr="00792B36" w:rsidRDefault="009A0A63" w:rsidP="00A24459">
            <w:pPr>
              <w:jc w:val="center"/>
              <w:rPr>
                <w:rFonts w:eastAsia="Times New Roman"/>
                <w:color w:val="000000" w:themeColor="text1"/>
                <w:sz w:val="24"/>
                <w:szCs w:val="24"/>
              </w:rPr>
            </w:pPr>
            <w:r w:rsidRPr="00792B36">
              <w:rPr>
                <w:rFonts w:eastAsia="Times New Roman"/>
                <w:color w:val="000000" w:themeColor="text1"/>
                <w:sz w:val="24"/>
                <w:szCs w:val="24"/>
              </w:rPr>
              <w:t>1972</w:t>
            </w:r>
          </w:p>
        </w:tc>
        <w:tc>
          <w:tcPr>
            <w:tcW w:w="1361" w:type="dxa"/>
            <w:noWrap/>
            <w:vAlign w:val="bottom"/>
            <w:hideMark/>
          </w:tcPr>
          <w:p w14:paraId="52A86031" w14:textId="77777777" w:rsidR="009A0A63" w:rsidRPr="00792B36" w:rsidRDefault="009A0A63" w:rsidP="00A24459">
            <w:pPr>
              <w:jc w:val="center"/>
              <w:rPr>
                <w:rFonts w:eastAsia="Times New Roman"/>
                <w:color w:val="000000" w:themeColor="text1"/>
                <w:sz w:val="24"/>
                <w:szCs w:val="24"/>
              </w:rPr>
            </w:pPr>
            <w:r w:rsidRPr="00792B36">
              <w:rPr>
                <w:rFonts w:eastAsia="Times New Roman"/>
                <w:color w:val="000000" w:themeColor="text1"/>
                <w:sz w:val="24"/>
                <w:szCs w:val="24"/>
              </w:rPr>
              <w:t>82.90</w:t>
            </w:r>
          </w:p>
        </w:tc>
        <w:tc>
          <w:tcPr>
            <w:tcW w:w="454" w:type="dxa"/>
          </w:tcPr>
          <w:p w14:paraId="207F1CCE" w14:textId="77777777" w:rsidR="009A0A63" w:rsidRPr="00792B36" w:rsidRDefault="009A0A63" w:rsidP="00A24459">
            <w:pPr>
              <w:jc w:val="center"/>
              <w:rPr>
                <w:rFonts w:eastAsia="Times New Roman"/>
                <w:color w:val="000000" w:themeColor="text1"/>
                <w:sz w:val="24"/>
                <w:szCs w:val="24"/>
              </w:rPr>
            </w:pPr>
          </w:p>
        </w:tc>
        <w:tc>
          <w:tcPr>
            <w:tcW w:w="1191" w:type="dxa"/>
            <w:vAlign w:val="bottom"/>
          </w:tcPr>
          <w:p w14:paraId="4780DEFB" w14:textId="77777777" w:rsidR="009A0A63" w:rsidRPr="00792B36" w:rsidRDefault="009A0A63" w:rsidP="00A24459">
            <w:pPr>
              <w:jc w:val="center"/>
              <w:rPr>
                <w:rFonts w:eastAsia="Times New Roman"/>
                <w:color w:val="000000" w:themeColor="text1"/>
                <w:sz w:val="24"/>
                <w:szCs w:val="24"/>
              </w:rPr>
            </w:pPr>
            <w:r w:rsidRPr="00792B36">
              <w:rPr>
                <w:rFonts w:eastAsia="Times New Roman"/>
                <w:color w:val="000000" w:themeColor="text1"/>
                <w:sz w:val="24"/>
                <w:szCs w:val="24"/>
              </w:rPr>
              <w:t>1990</w:t>
            </w:r>
          </w:p>
        </w:tc>
        <w:tc>
          <w:tcPr>
            <w:tcW w:w="1361" w:type="dxa"/>
            <w:vAlign w:val="bottom"/>
          </w:tcPr>
          <w:p w14:paraId="35F71C59" w14:textId="77777777" w:rsidR="009A0A63" w:rsidRPr="00792B36" w:rsidRDefault="009A0A63" w:rsidP="00A24459">
            <w:pPr>
              <w:jc w:val="center"/>
              <w:rPr>
                <w:rFonts w:eastAsia="Times New Roman"/>
                <w:color w:val="000000" w:themeColor="text1"/>
                <w:sz w:val="24"/>
                <w:szCs w:val="24"/>
              </w:rPr>
            </w:pPr>
            <w:r w:rsidRPr="00792B36">
              <w:rPr>
                <w:rFonts w:eastAsia="Times New Roman"/>
                <w:color w:val="000000" w:themeColor="text1"/>
                <w:sz w:val="24"/>
                <w:szCs w:val="24"/>
              </w:rPr>
              <w:t>25.82</w:t>
            </w:r>
          </w:p>
        </w:tc>
        <w:tc>
          <w:tcPr>
            <w:tcW w:w="454" w:type="dxa"/>
          </w:tcPr>
          <w:p w14:paraId="64076203" w14:textId="77777777" w:rsidR="009A0A63" w:rsidRPr="00792B36" w:rsidRDefault="009A0A63" w:rsidP="00A24459">
            <w:pPr>
              <w:jc w:val="center"/>
              <w:rPr>
                <w:rFonts w:eastAsia="Times New Roman"/>
                <w:color w:val="000000" w:themeColor="text1"/>
                <w:sz w:val="24"/>
                <w:szCs w:val="24"/>
              </w:rPr>
            </w:pPr>
          </w:p>
        </w:tc>
        <w:tc>
          <w:tcPr>
            <w:tcW w:w="1191" w:type="dxa"/>
            <w:vAlign w:val="bottom"/>
          </w:tcPr>
          <w:p w14:paraId="0A480B93" w14:textId="77777777" w:rsidR="009A0A63" w:rsidRPr="00792B36" w:rsidRDefault="009A0A63" w:rsidP="00A24459">
            <w:pPr>
              <w:jc w:val="center"/>
              <w:rPr>
                <w:rFonts w:eastAsia="Times New Roman"/>
                <w:color w:val="000000" w:themeColor="text1"/>
                <w:sz w:val="24"/>
                <w:szCs w:val="24"/>
              </w:rPr>
            </w:pPr>
            <w:r w:rsidRPr="00792B36">
              <w:rPr>
                <w:color w:val="000000" w:themeColor="text1"/>
                <w:sz w:val="24"/>
                <w:szCs w:val="24"/>
              </w:rPr>
              <w:t>2018</w:t>
            </w:r>
          </w:p>
        </w:tc>
        <w:tc>
          <w:tcPr>
            <w:tcW w:w="1361" w:type="dxa"/>
            <w:vAlign w:val="bottom"/>
          </w:tcPr>
          <w:p w14:paraId="08F0AAE5" w14:textId="77777777" w:rsidR="009A0A63" w:rsidRPr="00792B36" w:rsidRDefault="009A0A63" w:rsidP="00A24459">
            <w:pPr>
              <w:jc w:val="center"/>
              <w:rPr>
                <w:rFonts w:eastAsia="Times New Roman"/>
                <w:color w:val="000000" w:themeColor="text1"/>
                <w:sz w:val="24"/>
                <w:szCs w:val="24"/>
              </w:rPr>
            </w:pPr>
            <w:r w:rsidRPr="00792B36">
              <w:rPr>
                <w:sz w:val="24"/>
                <w:szCs w:val="24"/>
              </w:rPr>
              <w:t>11.73</w:t>
            </w:r>
          </w:p>
        </w:tc>
      </w:tr>
      <w:tr w:rsidR="009A0A63" w:rsidRPr="00792B36" w14:paraId="61688EA7" w14:textId="77777777" w:rsidTr="00A24459">
        <w:trPr>
          <w:trHeight w:val="283"/>
          <w:jc w:val="center"/>
        </w:trPr>
        <w:tc>
          <w:tcPr>
            <w:tcW w:w="1191" w:type="dxa"/>
            <w:noWrap/>
            <w:vAlign w:val="bottom"/>
            <w:hideMark/>
          </w:tcPr>
          <w:p w14:paraId="00EDE168" w14:textId="77777777" w:rsidR="009A0A63" w:rsidRPr="00792B36" w:rsidRDefault="009A0A63" w:rsidP="00A24459">
            <w:pPr>
              <w:jc w:val="center"/>
              <w:rPr>
                <w:rFonts w:eastAsia="Times New Roman"/>
                <w:color w:val="000000" w:themeColor="text1"/>
                <w:sz w:val="24"/>
                <w:szCs w:val="24"/>
              </w:rPr>
            </w:pPr>
            <w:r w:rsidRPr="00792B36">
              <w:rPr>
                <w:rFonts w:eastAsia="Times New Roman"/>
                <w:color w:val="000000" w:themeColor="text1"/>
                <w:sz w:val="24"/>
                <w:szCs w:val="24"/>
              </w:rPr>
              <w:t>1973</w:t>
            </w:r>
          </w:p>
        </w:tc>
        <w:tc>
          <w:tcPr>
            <w:tcW w:w="1361" w:type="dxa"/>
            <w:noWrap/>
            <w:vAlign w:val="bottom"/>
            <w:hideMark/>
          </w:tcPr>
          <w:p w14:paraId="40ECFC71" w14:textId="77777777" w:rsidR="009A0A63" w:rsidRPr="00792B36" w:rsidRDefault="009A0A63" w:rsidP="00A24459">
            <w:pPr>
              <w:jc w:val="center"/>
              <w:rPr>
                <w:rFonts w:eastAsia="Times New Roman"/>
                <w:color w:val="000000" w:themeColor="text1"/>
                <w:sz w:val="24"/>
                <w:szCs w:val="24"/>
              </w:rPr>
            </w:pPr>
            <w:r w:rsidRPr="00792B36">
              <w:rPr>
                <w:rFonts w:eastAsia="Times New Roman"/>
                <w:color w:val="000000" w:themeColor="text1"/>
                <w:sz w:val="24"/>
                <w:szCs w:val="24"/>
              </w:rPr>
              <w:t>68.18</w:t>
            </w:r>
          </w:p>
        </w:tc>
        <w:tc>
          <w:tcPr>
            <w:tcW w:w="454" w:type="dxa"/>
          </w:tcPr>
          <w:p w14:paraId="5E9D5497" w14:textId="77777777" w:rsidR="009A0A63" w:rsidRPr="00792B36" w:rsidRDefault="009A0A63" w:rsidP="00A24459">
            <w:pPr>
              <w:jc w:val="center"/>
              <w:rPr>
                <w:rFonts w:eastAsia="Times New Roman"/>
                <w:color w:val="000000" w:themeColor="text1"/>
                <w:sz w:val="24"/>
                <w:szCs w:val="24"/>
              </w:rPr>
            </w:pPr>
          </w:p>
        </w:tc>
        <w:tc>
          <w:tcPr>
            <w:tcW w:w="1191" w:type="dxa"/>
            <w:vAlign w:val="bottom"/>
          </w:tcPr>
          <w:p w14:paraId="54C30C7B" w14:textId="77777777" w:rsidR="009A0A63" w:rsidRPr="00792B36" w:rsidRDefault="009A0A63" w:rsidP="00A24459">
            <w:pPr>
              <w:jc w:val="center"/>
              <w:rPr>
                <w:rFonts w:eastAsia="Times New Roman"/>
                <w:color w:val="000000" w:themeColor="text1"/>
                <w:sz w:val="24"/>
                <w:szCs w:val="24"/>
              </w:rPr>
            </w:pPr>
            <w:r w:rsidRPr="00792B36">
              <w:rPr>
                <w:rFonts w:eastAsia="Times New Roman"/>
                <w:color w:val="000000" w:themeColor="text1"/>
                <w:sz w:val="24"/>
                <w:szCs w:val="24"/>
              </w:rPr>
              <w:t>1992</w:t>
            </w:r>
          </w:p>
        </w:tc>
        <w:tc>
          <w:tcPr>
            <w:tcW w:w="1361" w:type="dxa"/>
            <w:vAlign w:val="bottom"/>
          </w:tcPr>
          <w:p w14:paraId="59C2AC8A" w14:textId="77777777" w:rsidR="009A0A63" w:rsidRPr="00792B36" w:rsidRDefault="009A0A63" w:rsidP="00A24459">
            <w:pPr>
              <w:jc w:val="center"/>
              <w:rPr>
                <w:rFonts w:eastAsia="Times New Roman"/>
                <w:color w:val="000000" w:themeColor="text1"/>
                <w:sz w:val="24"/>
                <w:szCs w:val="24"/>
              </w:rPr>
            </w:pPr>
            <w:r w:rsidRPr="00792B36">
              <w:rPr>
                <w:rFonts w:eastAsia="Times New Roman"/>
                <w:color w:val="000000" w:themeColor="text1"/>
                <w:sz w:val="24"/>
                <w:szCs w:val="24"/>
              </w:rPr>
              <w:t>37.12</w:t>
            </w:r>
          </w:p>
        </w:tc>
        <w:tc>
          <w:tcPr>
            <w:tcW w:w="454" w:type="dxa"/>
          </w:tcPr>
          <w:p w14:paraId="1C620C84" w14:textId="77777777" w:rsidR="009A0A63" w:rsidRPr="00792B36" w:rsidRDefault="009A0A63" w:rsidP="00A24459">
            <w:pPr>
              <w:jc w:val="center"/>
              <w:rPr>
                <w:rFonts w:eastAsia="Times New Roman"/>
                <w:color w:val="000000" w:themeColor="text1"/>
                <w:sz w:val="24"/>
                <w:szCs w:val="24"/>
              </w:rPr>
            </w:pPr>
          </w:p>
        </w:tc>
        <w:tc>
          <w:tcPr>
            <w:tcW w:w="1191" w:type="dxa"/>
            <w:vAlign w:val="bottom"/>
          </w:tcPr>
          <w:p w14:paraId="7886EA62" w14:textId="77777777" w:rsidR="009A0A63" w:rsidRPr="00792B36" w:rsidRDefault="009A0A63" w:rsidP="00A24459">
            <w:pPr>
              <w:jc w:val="center"/>
              <w:rPr>
                <w:rFonts w:eastAsia="Times New Roman"/>
                <w:color w:val="000000" w:themeColor="text1"/>
                <w:sz w:val="24"/>
                <w:szCs w:val="24"/>
              </w:rPr>
            </w:pPr>
            <w:r w:rsidRPr="00792B36">
              <w:rPr>
                <w:color w:val="000000" w:themeColor="text1"/>
                <w:sz w:val="24"/>
                <w:szCs w:val="24"/>
              </w:rPr>
              <w:t>2019</w:t>
            </w:r>
          </w:p>
        </w:tc>
        <w:tc>
          <w:tcPr>
            <w:tcW w:w="1361" w:type="dxa"/>
            <w:vAlign w:val="bottom"/>
          </w:tcPr>
          <w:p w14:paraId="6ADAA7E9" w14:textId="77777777" w:rsidR="009A0A63" w:rsidRPr="00792B36" w:rsidRDefault="009A0A63" w:rsidP="00A24459">
            <w:pPr>
              <w:jc w:val="center"/>
              <w:rPr>
                <w:rFonts w:eastAsia="Times New Roman"/>
                <w:color w:val="000000" w:themeColor="text1"/>
                <w:sz w:val="24"/>
                <w:szCs w:val="24"/>
              </w:rPr>
            </w:pPr>
            <w:r w:rsidRPr="00792B36">
              <w:rPr>
                <w:sz w:val="24"/>
                <w:szCs w:val="24"/>
              </w:rPr>
              <w:t>12.61</w:t>
            </w:r>
          </w:p>
        </w:tc>
      </w:tr>
      <w:tr w:rsidR="009A0A63" w:rsidRPr="00792B36" w14:paraId="73CDCC11" w14:textId="77777777" w:rsidTr="00A24459">
        <w:trPr>
          <w:trHeight w:val="283"/>
          <w:jc w:val="center"/>
        </w:trPr>
        <w:tc>
          <w:tcPr>
            <w:tcW w:w="1191" w:type="dxa"/>
            <w:noWrap/>
            <w:vAlign w:val="bottom"/>
            <w:hideMark/>
          </w:tcPr>
          <w:p w14:paraId="03358400" w14:textId="77777777" w:rsidR="009A0A63" w:rsidRPr="00792B36" w:rsidRDefault="009A0A63" w:rsidP="00A24459">
            <w:pPr>
              <w:jc w:val="center"/>
              <w:rPr>
                <w:rFonts w:eastAsia="Times New Roman"/>
                <w:color w:val="000000" w:themeColor="text1"/>
                <w:sz w:val="24"/>
                <w:szCs w:val="24"/>
              </w:rPr>
            </w:pPr>
            <w:r w:rsidRPr="00792B36">
              <w:rPr>
                <w:rFonts w:eastAsia="Times New Roman"/>
                <w:color w:val="000000" w:themeColor="text1"/>
                <w:sz w:val="24"/>
                <w:szCs w:val="24"/>
              </w:rPr>
              <w:t>1974</w:t>
            </w:r>
          </w:p>
        </w:tc>
        <w:tc>
          <w:tcPr>
            <w:tcW w:w="1361" w:type="dxa"/>
            <w:noWrap/>
            <w:vAlign w:val="bottom"/>
            <w:hideMark/>
          </w:tcPr>
          <w:p w14:paraId="3715939F" w14:textId="77777777" w:rsidR="009A0A63" w:rsidRPr="00792B36" w:rsidRDefault="009A0A63" w:rsidP="00A24459">
            <w:pPr>
              <w:jc w:val="center"/>
              <w:rPr>
                <w:rFonts w:eastAsia="Times New Roman"/>
                <w:color w:val="000000" w:themeColor="text1"/>
                <w:sz w:val="24"/>
                <w:szCs w:val="24"/>
              </w:rPr>
            </w:pPr>
            <w:r w:rsidRPr="00792B36">
              <w:rPr>
                <w:rFonts w:eastAsia="Times New Roman"/>
                <w:color w:val="000000" w:themeColor="text1"/>
                <w:sz w:val="24"/>
                <w:szCs w:val="24"/>
              </w:rPr>
              <w:t>75.75</w:t>
            </w:r>
          </w:p>
        </w:tc>
        <w:tc>
          <w:tcPr>
            <w:tcW w:w="454" w:type="dxa"/>
          </w:tcPr>
          <w:p w14:paraId="51CD0744" w14:textId="77777777" w:rsidR="009A0A63" w:rsidRPr="00792B36" w:rsidRDefault="009A0A63" w:rsidP="00A24459">
            <w:pPr>
              <w:jc w:val="center"/>
              <w:rPr>
                <w:rFonts w:eastAsia="Times New Roman"/>
                <w:color w:val="000000" w:themeColor="text1"/>
                <w:sz w:val="24"/>
                <w:szCs w:val="24"/>
              </w:rPr>
            </w:pPr>
          </w:p>
        </w:tc>
        <w:tc>
          <w:tcPr>
            <w:tcW w:w="1191" w:type="dxa"/>
            <w:vAlign w:val="bottom"/>
          </w:tcPr>
          <w:p w14:paraId="419C97A4" w14:textId="77777777" w:rsidR="009A0A63" w:rsidRPr="00792B36" w:rsidRDefault="009A0A63" w:rsidP="00A24459">
            <w:pPr>
              <w:jc w:val="center"/>
              <w:rPr>
                <w:rFonts w:eastAsia="Times New Roman"/>
                <w:color w:val="000000" w:themeColor="text1"/>
                <w:sz w:val="24"/>
                <w:szCs w:val="24"/>
              </w:rPr>
            </w:pPr>
            <w:r w:rsidRPr="00792B36">
              <w:rPr>
                <w:rFonts w:eastAsia="Times New Roman"/>
                <w:color w:val="000000" w:themeColor="text1"/>
                <w:sz w:val="24"/>
                <w:szCs w:val="24"/>
              </w:rPr>
              <w:t>1994</w:t>
            </w:r>
          </w:p>
        </w:tc>
        <w:tc>
          <w:tcPr>
            <w:tcW w:w="1361" w:type="dxa"/>
            <w:vAlign w:val="bottom"/>
          </w:tcPr>
          <w:p w14:paraId="2F72438C" w14:textId="77777777" w:rsidR="009A0A63" w:rsidRPr="00792B36" w:rsidRDefault="009A0A63" w:rsidP="00A24459">
            <w:pPr>
              <w:jc w:val="center"/>
              <w:rPr>
                <w:rFonts w:eastAsia="Times New Roman"/>
                <w:color w:val="000000" w:themeColor="text1"/>
                <w:sz w:val="24"/>
                <w:szCs w:val="24"/>
              </w:rPr>
            </w:pPr>
            <w:r w:rsidRPr="00792B36">
              <w:rPr>
                <w:rFonts w:eastAsia="Times New Roman"/>
                <w:color w:val="000000" w:themeColor="text1"/>
                <w:sz w:val="24"/>
                <w:szCs w:val="24"/>
              </w:rPr>
              <w:t>21.50</w:t>
            </w:r>
          </w:p>
        </w:tc>
        <w:tc>
          <w:tcPr>
            <w:tcW w:w="454" w:type="dxa"/>
          </w:tcPr>
          <w:p w14:paraId="4D962AF3" w14:textId="77777777" w:rsidR="009A0A63" w:rsidRPr="00792B36" w:rsidRDefault="009A0A63" w:rsidP="00A24459">
            <w:pPr>
              <w:jc w:val="center"/>
              <w:rPr>
                <w:rFonts w:eastAsia="Times New Roman"/>
                <w:color w:val="000000" w:themeColor="text1"/>
                <w:sz w:val="24"/>
                <w:szCs w:val="24"/>
              </w:rPr>
            </w:pPr>
          </w:p>
        </w:tc>
        <w:tc>
          <w:tcPr>
            <w:tcW w:w="1191" w:type="dxa"/>
            <w:vAlign w:val="bottom"/>
          </w:tcPr>
          <w:p w14:paraId="14FA84FF" w14:textId="77777777" w:rsidR="009A0A63" w:rsidRPr="00792B36" w:rsidRDefault="009A0A63" w:rsidP="00A24459">
            <w:pPr>
              <w:jc w:val="center"/>
              <w:rPr>
                <w:rFonts w:eastAsia="Times New Roman"/>
                <w:color w:val="000000" w:themeColor="text1"/>
                <w:sz w:val="24"/>
                <w:szCs w:val="24"/>
              </w:rPr>
            </w:pPr>
            <w:r w:rsidRPr="00792B36">
              <w:rPr>
                <w:color w:val="000000" w:themeColor="text1"/>
                <w:sz w:val="24"/>
                <w:szCs w:val="24"/>
              </w:rPr>
              <w:t>2020</w:t>
            </w:r>
          </w:p>
        </w:tc>
        <w:tc>
          <w:tcPr>
            <w:tcW w:w="1361" w:type="dxa"/>
            <w:vAlign w:val="bottom"/>
          </w:tcPr>
          <w:p w14:paraId="69CCE082" w14:textId="77777777" w:rsidR="009A0A63" w:rsidRPr="00792B36" w:rsidRDefault="009A0A63" w:rsidP="00A24459">
            <w:pPr>
              <w:jc w:val="center"/>
              <w:rPr>
                <w:rFonts w:eastAsia="Times New Roman"/>
                <w:color w:val="000000" w:themeColor="text1"/>
                <w:sz w:val="24"/>
                <w:szCs w:val="24"/>
              </w:rPr>
            </w:pPr>
            <w:r w:rsidRPr="00792B36">
              <w:rPr>
                <w:sz w:val="24"/>
                <w:szCs w:val="24"/>
              </w:rPr>
              <w:t>13.52</w:t>
            </w:r>
          </w:p>
        </w:tc>
      </w:tr>
      <w:tr w:rsidR="009A0A63" w:rsidRPr="00792B36" w14:paraId="0632B8DB" w14:textId="77777777" w:rsidTr="00A24459">
        <w:trPr>
          <w:trHeight w:val="283"/>
          <w:jc w:val="center"/>
        </w:trPr>
        <w:tc>
          <w:tcPr>
            <w:tcW w:w="1191" w:type="dxa"/>
            <w:noWrap/>
            <w:vAlign w:val="bottom"/>
            <w:hideMark/>
          </w:tcPr>
          <w:p w14:paraId="391A9725" w14:textId="77777777" w:rsidR="009A0A63" w:rsidRPr="00792B36" w:rsidRDefault="009A0A63" w:rsidP="00A24459">
            <w:pPr>
              <w:jc w:val="center"/>
              <w:rPr>
                <w:rFonts w:eastAsia="Times New Roman"/>
                <w:color w:val="000000" w:themeColor="text1"/>
                <w:sz w:val="24"/>
                <w:szCs w:val="24"/>
              </w:rPr>
            </w:pPr>
            <w:r w:rsidRPr="00792B36">
              <w:rPr>
                <w:rFonts w:eastAsia="Times New Roman"/>
                <w:color w:val="000000" w:themeColor="text1"/>
                <w:sz w:val="24"/>
                <w:szCs w:val="24"/>
              </w:rPr>
              <w:t>1975</w:t>
            </w:r>
          </w:p>
        </w:tc>
        <w:tc>
          <w:tcPr>
            <w:tcW w:w="1361" w:type="dxa"/>
            <w:noWrap/>
            <w:vAlign w:val="bottom"/>
            <w:hideMark/>
          </w:tcPr>
          <w:p w14:paraId="4C2540BB" w14:textId="77777777" w:rsidR="009A0A63" w:rsidRPr="00792B36" w:rsidRDefault="009A0A63" w:rsidP="00A24459">
            <w:pPr>
              <w:jc w:val="center"/>
              <w:rPr>
                <w:rFonts w:eastAsia="Times New Roman"/>
                <w:color w:val="000000" w:themeColor="text1"/>
                <w:sz w:val="24"/>
                <w:szCs w:val="24"/>
              </w:rPr>
            </w:pPr>
            <w:r w:rsidRPr="00792B36">
              <w:rPr>
                <w:rFonts w:eastAsia="Times New Roman"/>
                <w:color w:val="000000" w:themeColor="text1"/>
                <w:sz w:val="24"/>
                <w:szCs w:val="24"/>
              </w:rPr>
              <w:t>61.48</w:t>
            </w:r>
          </w:p>
        </w:tc>
        <w:tc>
          <w:tcPr>
            <w:tcW w:w="454" w:type="dxa"/>
          </w:tcPr>
          <w:p w14:paraId="4C311B0D" w14:textId="77777777" w:rsidR="009A0A63" w:rsidRPr="00792B36" w:rsidRDefault="009A0A63" w:rsidP="00A24459">
            <w:pPr>
              <w:jc w:val="center"/>
              <w:rPr>
                <w:rFonts w:eastAsia="Times New Roman"/>
                <w:color w:val="000000" w:themeColor="text1"/>
                <w:sz w:val="24"/>
                <w:szCs w:val="24"/>
              </w:rPr>
            </w:pPr>
          </w:p>
        </w:tc>
        <w:tc>
          <w:tcPr>
            <w:tcW w:w="1191" w:type="dxa"/>
            <w:vAlign w:val="bottom"/>
          </w:tcPr>
          <w:p w14:paraId="12E7A8C1" w14:textId="77777777" w:rsidR="009A0A63" w:rsidRPr="00792B36" w:rsidRDefault="009A0A63" w:rsidP="00A24459">
            <w:pPr>
              <w:jc w:val="center"/>
              <w:rPr>
                <w:rFonts w:eastAsia="Times New Roman"/>
                <w:color w:val="000000" w:themeColor="text1"/>
                <w:sz w:val="24"/>
                <w:szCs w:val="24"/>
              </w:rPr>
            </w:pPr>
            <w:r w:rsidRPr="00792B36">
              <w:rPr>
                <w:rFonts w:eastAsia="Times New Roman"/>
                <w:color w:val="000000" w:themeColor="text1"/>
                <w:sz w:val="24"/>
                <w:szCs w:val="24"/>
              </w:rPr>
              <w:t>2003</w:t>
            </w:r>
          </w:p>
        </w:tc>
        <w:tc>
          <w:tcPr>
            <w:tcW w:w="1361" w:type="dxa"/>
            <w:vAlign w:val="bottom"/>
          </w:tcPr>
          <w:p w14:paraId="5C419E39" w14:textId="77777777" w:rsidR="009A0A63" w:rsidRPr="00792B36" w:rsidRDefault="009A0A63" w:rsidP="00A24459">
            <w:pPr>
              <w:jc w:val="center"/>
              <w:rPr>
                <w:rFonts w:eastAsia="Times New Roman"/>
                <w:color w:val="000000" w:themeColor="text1"/>
                <w:sz w:val="24"/>
                <w:szCs w:val="24"/>
              </w:rPr>
            </w:pPr>
            <w:r w:rsidRPr="00792B36">
              <w:rPr>
                <w:rFonts w:eastAsia="Times New Roman"/>
                <w:color w:val="000000" w:themeColor="text1"/>
                <w:sz w:val="24"/>
                <w:szCs w:val="24"/>
              </w:rPr>
              <w:t>22.37</w:t>
            </w:r>
          </w:p>
        </w:tc>
        <w:tc>
          <w:tcPr>
            <w:tcW w:w="454" w:type="dxa"/>
          </w:tcPr>
          <w:p w14:paraId="5C5FCDB1" w14:textId="77777777" w:rsidR="009A0A63" w:rsidRPr="00792B36" w:rsidRDefault="009A0A63" w:rsidP="00A24459">
            <w:pPr>
              <w:jc w:val="center"/>
              <w:rPr>
                <w:rFonts w:eastAsia="Times New Roman"/>
                <w:color w:val="000000" w:themeColor="text1"/>
                <w:sz w:val="24"/>
                <w:szCs w:val="24"/>
              </w:rPr>
            </w:pPr>
          </w:p>
        </w:tc>
        <w:tc>
          <w:tcPr>
            <w:tcW w:w="1191" w:type="dxa"/>
            <w:vAlign w:val="bottom"/>
          </w:tcPr>
          <w:p w14:paraId="6262E919" w14:textId="77777777" w:rsidR="009A0A63" w:rsidRPr="00792B36" w:rsidRDefault="009A0A63" w:rsidP="00A24459">
            <w:pPr>
              <w:jc w:val="center"/>
              <w:rPr>
                <w:rFonts w:eastAsia="Times New Roman"/>
                <w:color w:val="000000" w:themeColor="text1"/>
                <w:sz w:val="24"/>
                <w:szCs w:val="24"/>
              </w:rPr>
            </w:pPr>
            <w:r w:rsidRPr="00792B36">
              <w:rPr>
                <w:color w:val="000000" w:themeColor="text1"/>
                <w:sz w:val="24"/>
                <w:szCs w:val="24"/>
              </w:rPr>
              <w:t>2021</w:t>
            </w:r>
          </w:p>
        </w:tc>
        <w:tc>
          <w:tcPr>
            <w:tcW w:w="1361" w:type="dxa"/>
            <w:vAlign w:val="bottom"/>
          </w:tcPr>
          <w:p w14:paraId="07955035" w14:textId="77777777" w:rsidR="009A0A63" w:rsidRPr="00792B36" w:rsidRDefault="009A0A63" w:rsidP="00A24459">
            <w:pPr>
              <w:jc w:val="center"/>
              <w:rPr>
                <w:rFonts w:eastAsia="Times New Roman"/>
                <w:color w:val="000000" w:themeColor="text1"/>
                <w:sz w:val="24"/>
                <w:szCs w:val="24"/>
              </w:rPr>
            </w:pPr>
            <w:r w:rsidRPr="00792B36">
              <w:rPr>
                <w:sz w:val="24"/>
                <w:szCs w:val="24"/>
              </w:rPr>
              <w:t>19.51</w:t>
            </w:r>
          </w:p>
        </w:tc>
      </w:tr>
      <w:tr w:rsidR="009A0A63" w:rsidRPr="00792B36" w14:paraId="6C35B874" w14:textId="77777777" w:rsidTr="00A24459">
        <w:trPr>
          <w:trHeight w:val="283"/>
          <w:jc w:val="center"/>
        </w:trPr>
        <w:tc>
          <w:tcPr>
            <w:tcW w:w="1191" w:type="dxa"/>
            <w:noWrap/>
            <w:vAlign w:val="bottom"/>
            <w:hideMark/>
          </w:tcPr>
          <w:p w14:paraId="62EA547E" w14:textId="77777777" w:rsidR="009A0A63" w:rsidRPr="00792B36" w:rsidRDefault="009A0A63" w:rsidP="00A24459">
            <w:pPr>
              <w:jc w:val="center"/>
              <w:rPr>
                <w:rFonts w:eastAsia="Times New Roman"/>
                <w:color w:val="000000" w:themeColor="text1"/>
                <w:sz w:val="24"/>
                <w:szCs w:val="24"/>
              </w:rPr>
            </w:pPr>
            <w:r w:rsidRPr="00792B36">
              <w:rPr>
                <w:rFonts w:eastAsia="Times New Roman"/>
                <w:color w:val="000000" w:themeColor="text1"/>
                <w:sz w:val="24"/>
                <w:szCs w:val="24"/>
              </w:rPr>
              <w:t>1976</w:t>
            </w:r>
          </w:p>
        </w:tc>
        <w:tc>
          <w:tcPr>
            <w:tcW w:w="1361" w:type="dxa"/>
            <w:noWrap/>
            <w:vAlign w:val="bottom"/>
            <w:hideMark/>
          </w:tcPr>
          <w:p w14:paraId="52B842AF" w14:textId="77777777" w:rsidR="009A0A63" w:rsidRPr="00792B36" w:rsidRDefault="009A0A63" w:rsidP="00A24459">
            <w:pPr>
              <w:jc w:val="center"/>
              <w:rPr>
                <w:rFonts w:eastAsia="Times New Roman"/>
                <w:color w:val="000000" w:themeColor="text1"/>
                <w:sz w:val="24"/>
                <w:szCs w:val="24"/>
              </w:rPr>
            </w:pPr>
            <w:r w:rsidRPr="00792B36">
              <w:rPr>
                <w:rFonts w:eastAsia="Times New Roman"/>
                <w:color w:val="000000" w:themeColor="text1"/>
                <w:sz w:val="24"/>
                <w:szCs w:val="24"/>
              </w:rPr>
              <w:t>75.13</w:t>
            </w:r>
          </w:p>
        </w:tc>
        <w:tc>
          <w:tcPr>
            <w:tcW w:w="454" w:type="dxa"/>
          </w:tcPr>
          <w:p w14:paraId="01E31669" w14:textId="77777777" w:rsidR="009A0A63" w:rsidRPr="00792B36" w:rsidRDefault="009A0A63" w:rsidP="00A24459">
            <w:pPr>
              <w:jc w:val="center"/>
              <w:rPr>
                <w:rFonts w:eastAsia="Times New Roman"/>
                <w:color w:val="000000" w:themeColor="text1"/>
                <w:sz w:val="24"/>
                <w:szCs w:val="24"/>
              </w:rPr>
            </w:pPr>
          </w:p>
        </w:tc>
        <w:tc>
          <w:tcPr>
            <w:tcW w:w="1191" w:type="dxa"/>
            <w:vAlign w:val="bottom"/>
          </w:tcPr>
          <w:p w14:paraId="7FDF5DA8" w14:textId="77777777" w:rsidR="009A0A63" w:rsidRPr="00792B36" w:rsidRDefault="009A0A63" w:rsidP="00A24459">
            <w:pPr>
              <w:jc w:val="center"/>
              <w:rPr>
                <w:rFonts w:eastAsia="Times New Roman"/>
                <w:color w:val="000000" w:themeColor="text1"/>
                <w:sz w:val="24"/>
                <w:szCs w:val="24"/>
              </w:rPr>
            </w:pPr>
            <w:r w:rsidRPr="00792B36">
              <w:rPr>
                <w:rFonts w:eastAsia="Times New Roman"/>
                <w:color w:val="000000" w:themeColor="text1"/>
                <w:sz w:val="24"/>
                <w:szCs w:val="24"/>
              </w:rPr>
              <w:t>2004</w:t>
            </w:r>
          </w:p>
        </w:tc>
        <w:tc>
          <w:tcPr>
            <w:tcW w:w="1361" w:type="dxa"/>
            <w:vAlign w:val="bottom"/>
          </w:tcPr>
          <w:p w14:paraId="3718F9FC" w14:textId="77777777" w:rsidR="009A0A63" w:rsidRPr="00792B36" w:rsidRDefault="009A0A63" w:rsidP="00A24459">
            <w:pPr>
              <w:jc w:val="center"/>
              <w:rPr>
                <w:rFonts w:eastAsia="Times New Roman"/>
                <w:color w:val="000000" w:themeColor="text1"/>
                <w:sz w:val="24"/>
                <w:szCs w:val="24"/>
              </w:rPr>
            </w:pPr>
            <w:r w:rsidRPr="00792B36">
              <w:rPr>
                <w:rFonts w:eastAsia="Times New Roman"/>
                <w:color w:val="000000" w:themeColor="text1"/>
                <w:sz w:val="24"/>
                <w:szCs w:val="24"/>
              </w:rPr>
              <w:t>24.94</w:t>
            </w:r>
          </w:p>
        </w:tc>
        <w:tc>
          <w:tcPr>
            <w:tcW w:w="454" w:type="dxa"/>
          </w:tcPr>
          <w:p w14:paraId="543AFE01" w14:textId="77777777" w:rsidR="009A0A63" w:rsidRPr="00792B36" w:rsidRDefault="009A0A63" w:rsidP="00A24459">
            <w:pPr>
              <w:jc w:val="center"/>
              <w:rPr>
                <w:rFonts w:eastAsia="Times New Roman"/>
                <w:color w:val="000000" w:themeColor="text1"/>
                <w:sz w:val="24"/>
                <w:szCs w:val="24"/>
              </w:rPr>
            </w:pPr>
          </w:p>
        </w:tc>
        <w:tc>
          <w:tcPr>
            <w:tcW w:w="1191" w:type="dxa"/>
            <w:vAlign w:val="bottom"/>
          </w:tcPr>
          <w:p w14:paraId="762F54CF" w14:textId="77777777" w:rsidR="009A0A63" w:rsidRPr="00792B36" w:rsidRDefault="009A0A63" w:rsidP="00A24459">
            <w:pPr>
              <w:jc w:val="center"/>
              <w:rPr>
                <w:rFonts w:eastAsia="Times New Roman"/>
                <w:color w:val="000000" w:themeColor="text1"/>
                <w:sz w:val="24"/>
                <w:szCs w:val="24"/>
              </w:rPr>
            </w:pPr>
            <w:r w:rsidRPr="00792B36">
              <w:rPr>
                <w:color w:val="000000" w:themeColor="text1"/>
                <w:sz w:val="24"/>
                <w:szCs w:val="24"/>
              </w:rPr>
              <w:t>2022</w:t>
            </w:r>
          </w:p>
        </w:tc>
        <w:tc>
          <w:tcPr>
            <w:tcW w:w="1361" w:type="dxa"/>
            <w:vAlign w:val="bottom"/>
          </w:tcPr>
          <w:p w14:paraId="10D59159" w14:textId="77777777" w:rsidR="009A0A63" w:rsidRPr="00792B36" w:rsidRDefault="009A0A63" w:rsidP="00A24459">
            <w:pPr>
              <w:jc w:val="center"/>
              <w:rPr>
                <w:rFonts w:eastAsia="Times New Roman"/>
                <w:color w:val="000000" w:themeColor="text1"/>
                <w:sz w:val="24"/>
                <w:szCs w:val="24"/>
              </w:rPr>
            </w:pPr>
            <w:r w:rsidRPr="00792B36">
              <w:rPr>
                <w:sz w:val="24"/>
                <w:szCs w:val="24"/>
              </w:rPr>
              <w:t>19.79</w:t>
            </w:r>
          </w:p>
        </w:tc>
      </w:tr>
      <w:tr w:rsidR="009A0A63" w:rsidRPr="00792B36" w14:paraId="0AEC1236" w14:textId="77777777" w:rsidTr="00A24459">
        <w:trPr>
          <w:trHeight w:val="283"/>
          <w:jc w:val="center"/>
        </w:trPr>
        <w:tc>
          <w:tcPr>
            <w:tcW w:w="1191" w:type="dxa"/>
            <w:noWrap/>
            <w:vAlign w:val="bottom"/>
            <w:hideMark/>
          </w:tcPr>
          <w:p w14:paraId="63F23206" w14:textId="77777777" w:rsidR="009A0A63" w:rsidRPr="00792B36" w:rsidRDefault="009A0A63" w:rsidP="00A24459">
            <w:pPr>
              <w:jc w:val="center"/>
              <w:rPr>
                <w:rFonts w:eastAsia="Times New Roman"/>
                <w:color w:val="000000" w:themeColor="text1"/>
                <w:sz w:val="24"/>
                <w:szCs w:val="24"/>
              </w:rPr>
            </w:pPr>
            <w:r w:rsidRPr="00792B36">
              <w:rPr>
                <w:rFonts w:eastAsia="Times New Roman"/>
                <w:color w:val="000000" w:themeColor="text1"/>
                <w:sz w:val="24"/>
                <w:szCs w:val="24"/>
              </w:rPr>
              <w:t>1977</w:t>
            </w:r>
          </w:p>
        </w:tc>
        <w:tc>
          <w:tcPr>
            <w:tcW w:w="1361" w:type="dxa"/>
            <w:noWrap/>
            <w:vAlign w:val="bottom"/>
            <w:hideMark/>
          </w:tcPr>
          <w:p w14:paraId="5D7601FF" w14:textId="77777777" w:rsidR="009A0A63" w:rsidRPr="00792B36" w:rsidRDefault="009A0A63" w:rsidP="00A24459">
            <w:pPr>
              <w:jc w:val="center"/>
              <w:rPr>
                <w:rFonts w:eastAsia="Times New Roman"/>
                <w:color w:val="000000" w:themeColor="text1"/>
                <w:sz w:val="24"/>
                <w:szCs w:val="24"/>
              </w:rPr>
            </w:pPr>
            <w:r w:rsidRPr="00792B36">
              <w:rPr>
                <w:rFonts w:eastAsia="Times New Roman"/>
                <w:color w:val="000000" w:themeColor="text1"/>
                <w:sz w:val="24"/>
                <w:szCs w:val="24"/>
              </w:rPr>
              <w:t>62.11</w:t>
            </w:r>
          </w:p>
        </w:tc>
        <w:tc>
          <w:tcPr>
            <w:tcW w:w="454" w:type="dxa"/>
          </w:tcPr>
          <w:p w14:paraId="13376A1B" w14:textId="77777777" w:rsidR="009A0A63" w:rsidRPr="00792B36" w:rsidRDefault="009A0A63" w:rsidP="00A24459">
            <w:pPr>
              <w:jc w:val="center"/>
              <w:rPr>
                <w:rFonts w:eastAsia="Times New Roman"/>
                <w:color w:val="000000" w:themeColor="text1"/>
                <w:sz w:val="24"/>
                <w:szCs w:val="24"/>
              </w:rPr>
            </w:pPr>
          </w:p>
        </w:tc>
        <w:tc>
          <w:tcPr>
            <w:tcW w:w="1191" w:type="dxa"/>
            <w:vAlign w:val="bottom"/>
          </w:tcPr>
          <w:p w14:paraId="4FEE58D0" w14:textId="77777777" w:rsidR="009A0A63" w:rsidRPr="00792B36" w:rsidRDefault="009A0A63" w:rsidP="00A24459">
            <w:pPr>
              <w:jc w:val="center"/>
              <w:rPr>
                <w:rFonts w:eastAsia="Times New Roman"/>
                <w:color w:val="000000" w:themeColor="text1"/>
                <w:sz w:val="24"/>
                <w:szCs w:val="24"/>
              </w:rPr>
            </w:pPr>
            <w:r w:rsidRPr="00792B36">
              <w:rPr>
                <w:rFonts w:eastAsia="Times New Roman"/>
                <w:color w:val="000000" w:themeColor="text1"/>
                <w:sz w:val="24"/>
                <w:szCs w:val="24"/>
              </w:rPr>
              <w:t>2005</w:t>
            </w:r>
          </w:p>
        </w:tc>
        <w:tc>
          <w:tcPr>
            <w:tcW w:w="1361" w:type="dxa"/>
            <w:vAlign w:val="bottom"/>
          </w:tcPr>
          <w:p w14:paraId="05D1F696" w14:textId="77777777" w:rsidR="009A0A63" w:rsidRPr="00792B36" w:rsidRDefault="009A0A63" w:rsidP="00A24459">
            <w:pPr>
              <w:jc w:val="center"/>
              <w:rPr>
                <w:rFonts w:eastAsia="Times New Roman"/>
                <w:color w:val="000000" w:themeColor="text1"/>
                <w:sz w:val="24"/>
                <w:szCs w:val="24"/>
              </w:rPr>
            </w:pPr>
            <w:r w:rsidRPr="00792B36">
              <w:rPr>
                <w:rFonts w:eastAsia="Times New Roman"/>
                <w:color w:val="000000" w:themeColor="text1"/>
                <w:sz w:val="24"/>
                <w:szCs w:val="24"/>
              </w:rPr>
              <w:t>24.20</w:t>
            </w:r>
          </w:p>
        </w:tc>
        <w:tc>
          <w:tcPr>
            <w:tcW w:w="454" w:type="dxa"/>
          </w:tcPr>
          <w:p w14:paraId="62ED95DB" w14:textId="77777777" w:rsidR="009A0A63" w:rsidRPr="00792B36" w:rsidRDefault="009A0A63" w:rsidP="00A24459">
            <w:pPr>
              <w:jc w:val="center"/>
              <w:rPr>
                <w:rFonts w:eastAsia="Times New Roman"/>
                <w:color w:val="000000" w:themeColor="text1"/>
                <w:sz w:val="24"/>
                <w:szCs w:val="24"/>
              </w:rPr>
            </w:pPr>
          </w:p>
        </w:tc>
        <w:tc>
          <w:tcPr>
            <w:tcW w:w="1191" w:type="dxa"/>
            <w:vAlign w:val="bottom"/>
          </w:tcPr>
          <w:p w14:paraId="4F9AE9B2" w14:textId="77777777" w:rsidR="009A0A63" w:rsidRPr="00792B36" w:rsidRDefault="009A0A63" w:rsidP="00A24459">
            <w:pPr>
              <w:jc w:val="center"/>
              <w:rPr>
                <w:rFonts w:eastAsia="Times New Roman"/>
                <w:color w:val="000000" w:themeColor="text1"/>
                <w:sz w:val="24"/>
                <w:szCs w:val="24"/>
              </w:rPr>
            </w:pPr>
            <w:r w:rsidRPr="00792B36">
              <w:rPr>
                <w:rFonts w:eastAsia="Times New Roman"/>
                <w:color w:val="000000" w:themeColor="text1"/>
                <w:sz w:val="24"/>
                <w:szCs w:val="24"/>
              </w:rPr>
              <w:t>2023</w:t>
            </w:r>
          </w:p>
        </w:tc>
        <w:tc>
          <w:tcPr>
            <w:tcW w:w="1361" w:type="dxa"/>
            <w:vAlign w:val="bottom"/>
          </w:tcPr>
          <w:p w14:paraId="0504242A" w14:textId="77777777" w:rsidR="009A0A63" w:rsidRPr="00792B36" w:rsidRDefault="009A0A63" w:rsidP="00A24459">
            <w:pPr>
              <w:jc w:val="center"/>
              <w:rPr>
                <w:rFonts w:eastAsia="Times New Roman"/>
                <w:color w:val="000000" w:themeColor="text1"/>
                <w:sz w:val="24"/>
                <w:szCs w:val="24"/>
              </w:rPr>
            </w:pPr>
            <w:r w:rsidRPr="00792B36">
              <w:rPr>
                <w:sz w:val="24"/>
                <w:szCs w:val="24"/>
              </w:rPr>
              <w:t>21.52</w:t>
            </w:r>
          </w:p>
        </w:tc>
      </w:tr>
      <w:tr w:rsidR="009A0A63" w:rsidRPr="00792B36" w14:paraId="6A948324" w14:textId="77777777" w:rsidTr="00A24459">
        <w:trPr>
          <w:trHeight w:val="283"/>
          <w:jc w:val="center"/>
        </w:trPr>
        <w:tc>
          <w:tcPr>
            <w:tcW w:w="1191" w:type="dxa"/>
            <w:noWrap/>
            <w:vAlign w:val="bottom"/>
            <w:hideMark/>
          </w:tcPr>
          <w:p w14:paraId="1D8368E0" w14:textId="77777777" w:rsidR="009A0A63" w:rsidRPr="00792B36" w:rsidRDefault="009A0A63" w:rsidP="00A24459">
            <w:pPr>
              <w:jc w:val="center"/>
              <w:rPr>
                <w:rFonts w:eastAsia="Times New Roman"/>
                <w:color w:val="000000" w:themeColor="text1"/>
                <w:sz w:val="24"/>
                <w:szCs w:val="24"/>
              </w:rPr>
            </w:pPr>
            <w:r w:rsidRPr="00792B36">
              <w:rPr>
                <w:rFonts w:eastAsia="Times New Roman"/>
                <w:color w:val="000000" w:themeColor="text1"/>
                <w:sz w:val="24"/>
                <w:szCs w:val="24"/>
              </w:rPr>
              <w:t>1978</w:t>
            </w:r>
          </w:p>
        </w:tc>
        <w:tc>
          <w:tcPr>
            <w:tcW w:w="1361" w:type="dxa"/>
            <w:noWrap/>
            <w:vAlign w:val="bottom"/>
            <w:hideMark/>
          </w:tcPr>
          <w:p w14:paraId="555B293F" w14:textId="77777777" w:rsidR="009A0A63" w:rsidRPr="00792B36" w:rsidRDefault="009A0A63" w:rsidP="00A24459">
            <w:pPr>
              <w:jc w:val="center"/>
              <w:rPr>
                <w:rFonts w:eastAsia="Times New Roman"/>
                <w:color w:val="000000" w:themeColor="text1"/>
                <w:sz w:val="24"/>
                <w:szCs w:val="24"/>
              </w:rPr>
            </w:pPr>
            <w:r w:rsidRPr="00792B36">
              <w:rPr>
                <w:rFonts w:eastAsia="Times New Roman"/>
                <w:color w:val="000000" w:themeColor="text1"/>
                <w:sz w:val="24"/>
                <w:szCs w:val="24"/>
              </w:rPr>
              <w:t>68.52</w:t>
            </w:r>
          </w:p>
        </w:tc>
        <w:tc>
          <w:tcPr>
            <w:tcW w:w="454" w:type="dxa"/>
          </w:tcPr>
          <w:p w14:paraId="254A47DB" w14:textId="77777777" w:rsidR="009A0A63" w:rsidRPr="00792B36" w:rsidRDefault="009A0A63" w:rsidP="00A24459">
            <w:pPr>
              <w:jc w:val="center"/>
              <w:rPr>
                <w:rFonts w:eastAsia="Times New Roman"/>
                <w:color w:val="000000" w:themeColor="text1"/>
                <w:sz w:val="24"/>
                <w:szCs w:val="24"/>
              </w:rPr>
            </w:pPr>
          </w:p>
        </w:tc>
        <w:tc>
          <w:tcPr>
            <w:tcW w:w="1191" w:type="dxa"/>
            <w:vAlign w:val="bottom"/>
          </w:tcPr>
          <w:p w14:paraId="2DB35A9A" w14:textId="77777777" w:rsidR="009A0A63" w:rsidRPr="00792B36" w:rsidRDefault="009A0A63" w:rsidP="00A24459">
            <w:pPr>
              <w:jc w:val="center"/>
              <w:rPr>
                <w:rFonts w:eastAsia="Times New Roman"/>
                <w:color w:val="000000" w:themeColor="text1"/>
                <w:sz w:val="24"/>
                <w:szCs w:val="24"/>
              </w:rPr>
            </w:pPr>
            <w:r w:rsidRPr="00792B36">
              <w:rPr>
                <w:rFonts w:eastAsia="Times New Roman"/>
                <w:color w:val="000000" w:themeColor="text1"/>
                <w:sz w:val="24"/>
                <w:szCs w:val="24"/>
              </w:rPr>
              <w:t>2006</w:t>
            </w:r>
          </w:p>
        </w:tc>
        <w:tc>
          <w:tcPr>
            <w:tcW w:w="1361" w:type="dxa"/>
            <w:vAlign w:val="bottom"/>
          </w:tcPr>
          <w:p w14:paraId="54A788B5" w14:textId="77777777" w:rsidR="009A0A63" w:rsidRPr="00792B36" w:rsidRDefault="009A0A63" w:rsidP="00A24459">
            <w:pPr>
              <w:jc w:val="center"/>
              <w:rPr>
                <w:rFonts w:eastAsia="Times New Roman"/>
                <w:color w:val="000000" w:themeColor="text1"/>
                <w:sz w:val="24"/>
                <w:szCs w:val="24"/>
              </w:rPr>
            </w:pPr>
            <w:r w:rsidRPr="00792B36">
              <w:rPr>
                <w:rFonts w:eastAsia="Times New Roman"/>
                <w:color w:val="000000" w:themeColor="text1"/>
                <w:sz w:val="24"/>
                <w:szCs w:val="24"/>
              </w:rPr>
              <w:t>24.68</w:t>
            </w:r>
          </w:p>
        </w:tc>
        <w:tc>
          <w:tcPr>
            <w:tcW w:w="454" w:type="dxa"/>
          </w:tcPr>
          <w:p w14:paraId="3A345B86" w14:textId="77777777" w:rsidR="009A0A63" w:rsidRPr="00792B36" w:rsidRDefault="009A0A63" w:rsidP="00A24459">
            <w:pPr>
              <w:jc w:val="center"/>
              <w:rPr>
                <w:rFonts w:eastAsia="Times New Roman"/>
                <w:color w:val="000000" w:themeColor="text1"/>
                <w:sz w:val="24"/>
                <w:szCs w:val="24"/>
              </w:rPr>
            </w:pPr>
          </w:p>
        </w:tc>
        <w:tc>
          <w:tcPr>
            <w:tcW w:w="1191" w:type="dxa"/>
            <w:tcBorders>
              <w:bottom w:val="single" w:sz="4" w:space="0" w:color="auto"/>
            </w:tcBorders>
            <w:vAlign w:val="bottom"/>
          </w:tcPr>
          <w:p w14:paraId="05A8005F" w14:textId="77777777" w:rsidR="009A0A63" w:rsidRPr="00792B36" w:rsidRDefault="009A0A63" w:rsidP="00A24459">
            <w:pPr>
              <w:jc w:val="center"/>
              <w:rPr>
                <w:rFonts w:eastAsia="Times New Roman"/>
                <w:color w:val="000000" w:themeColor="text1"/>
                <w:sz w:val="24"/>
                <w:szCs w:val="24"/>
              </w:rPr>
            </w:pPr>
            <w:r w:rsidRPr="00792B36">
              <w:rPr>
                <w:rFonts w:eastAsia="Times New Roman"/>
                <w:color w:val="000000" w:themeColor="text1"/>
                <w:sz w:val="24"/>
                <w:szCs w:val="24"/>
              </w:rPr>
              <w:t>2024</w:t>
            </w:r>
          </w:p>
        </w:tc>
        <w:tc>
          <w:tcPr>
            <w:tcW w:w="1361" w:type="dxa"/>
            <w:tcBorders>
              <w:bottom w:val="single" w:sz="4" w:space="0" w:color="auto"/>
            </w:tcBorders>
            <w:vAlign w:val="bottom"/>
          </w:tcPr>
          <w:p w14:paraId="1922E414" w14:textId="77777777" w:rsidR="009A0A63" w:rsidRPr="00792B36" w:rsidRDefault="009A0A63" w:rsidP="00A24459">
            <w:pPr>
              <w:jc w:val="center"/>
              <w:rPr>
                <w:rFonts w:eastAsia="Times New Roman"/>
                <w:color w:val="000000" w:themeColor="text1"/>
                <w:sz w:val="24"/>
                <w:szCs w:val="24"/>
              </w:rPr>
            </w:pPr>
            <w:r w:rsidRPr="00792B36">
              <w:rPr>
                <w:color w:val="000000"/>
                <w:sz w:val="24"/>
                <w:szCs w:val="24"/>
              </w:rPr>
              <w:t>16.62</w:t>
            </w:r>
          </w:p>
        </w:tc>
      </w:tr>
      <w:tr w:rsidR="009A0A63" w:rsidRPr="00792B36" w14:paraId="561898A1" w14:textId="77777777" w:rsidTr="00A24459">
        <w:trPr>
          <w:trHeight w:val="283"/>
          <w:jc w:val="center"/>
        </w:trPr>
        <w:tc>
          <w:tcPr>
            <w:tcW w:w="1191" w:type="dxa"/>
            <w:tcBorders>
              <w:bottom w:val="single" w:sz="4" w:space="0" w:color="auto"/>
            </w:tcBorders>
            <w:noWrap/>
            <w:vAlign w:val="bottom"/>
            <w:hideMark/>
          </w:tcPr>
          <w:p w14:paraId="5E77FEE7" w14:textId="77777777" w:rsidR="009A0A63" w:rsidRPr="00792B36" w:rsidRDefault="009A0A63" w:rsidP="00A24459">
            <w:pPr>
              <w:jc w:val="center"/>
              <w:rPr>
                <w:rFonts w:eastAsia="Times New Roman"/>
                <w:color w:val="000000" w:themeColor="text1"/>
                <w:sz w:val="24"/>
                <w:szCs w:val="24"/>
              </w:rPr>
            </w:pPr>
            <w:r w:rsidRPr="00792B36">
              <w:rPr>
                <w:rFonts w:eastAsia="Times New Roman"/>
                <w:color w:val="000000" w:themeColor="text1"/>
                <w:sz w:val="24"/>
                <w:szCs w:val="24"/>
              </w:rPr>
              <w:t>1979</w:t>
            </w:r>
          </w:p>
        </w:tc>
        <w:tc>
          <w:tcPr>
            <w:tcW w:w="1361" w:type="dxa"/>
            <w:tcBorders>
              <w:bottom w:val="single" w:sz="4" w:space="0" w:color="auto"/>
            </w:tcBorders>
            <w:noWrap/>
            <w:vAlign w:val="bottom"/>
            <w:hideMark/>
          </w:tcPr>
          <w:p w14:paraId="3C7AC34D" w14:textId="77777777" w:rsidR="009A0A63" w:rsidRPr="00792B36" w:rsidRDefault="009A0A63" w:rsidP="00A24459">
            <w:pPr>
              <w:jc w:val="center"/>
              <w:rPr>
                <w:rFonts w:eastAsia="Times New Roman"/>
                <w:color w:val="000000" w:themeColor="text1"/>
                <w:sz w:val="24"/>
                <w:szCs w:val="24"/>
              </w:rPr>
            </w:pPr>
            <w:r w:rsidRPr="00792B36">
              <w:rPr>
                <w:rFonts w:eastAsia="Times New Roman"/>
                <w:color w:val="000000" w:themeColor="text1"/>
                <w:sz w:val="24"/>
                <w:szCs w:val="24"/>
              </w:rPr>
              <w:t>67.81</w:t>
            </w:r>
          </w:p>
        </w:tc>
        <w:tc>
          <w:tcPr>
            <w:tcW w:w="454" w:type="dxa"/>
          </w:tcPr>
          <w:p w14:paraId="4CA34394" w14:textId="77777777" w:rsidR="009A0A63" w:rsidRPr="00792B36" w:rsidRDefault="009A0A63" w:rsidP="00A24459">
            <w:pPr>
              <w:jc w:val="center"/>
              <w:rPr>
                <w:rFonts w:eastAsia="Times New Roman"/>
                <w:color w:val="000000" w:themeColor="text1"/>
                <w:sz w:val="24"/>
                <w:szCs w:val="24"/>
              </w:rPr>
            </w:pPr>
          </w:p>
        </w:tc>
        <w:tc>
          <w:tcPr>
            <w:tcW w:w="1191" w:type="dxa"/>
            <w:tcBorders>
              <w:bottom w:val="single" w:sz="4" w:space="0" w:color="auto"/>
            </w:tcBorders>
            <w:vAlign w:val="bottom"/>
          </w:tcPr>
          <w:p w14:paraId="2E64601B" w14:textId="77777777" w:rsidR="009A0A63" w:rsidRPr="00792B36" w:rsidRDefault="009A0A63" w:rsidP="00A24459">
            <w:pPr>
              <w:jc w:val="center"/>
              <w:rPr>
                <w:rFonts w:eastAsia="Times New Roman"/>
                <w:color w:val="000000" w:themeColor="text1"/>
                <w:sz w:val="24"/>
                <w:szCs w:val="24"/>
              </w:rPr>
            </w:pPr>
            <w:r w:rsidRPr="00792B36">
              <w:rPr>
                <w:rFonts w:eastAsia="Times New Roman"/>
                <w:color w:val="000000" w:themeColor="text1"/>
                <w:sz w:val="24"/>
                <w:szCs w:val="24"/>
              </w:rPr>
              <w:t>2007</w:t>
            </w:r>
          </w:p>
        </w:tc>
        <w:tc>
          <w:tcPr>
            <w:tcW w:w="1361" w:type="dxa"/>
            <w:tcBorders>
              <w:bottom w:val="single" w:sz="4" w:space="0" w:color="auto"/>
            </w:tcBorders>
            <w:vAlign w:val="bottom"/>
          </w:tcPr>
          <w:p w14:paraId="5BC7AF64" w14:textId="77777777" w:rsidR="009A0A63" w:rsidRPr="00792B36" w:rsidRDefault="009A0A63" w:rsidP="00A24459">
            <w:pPr>
              <w:jc w:val="center"/>
              <w:rPr>
                <w:rFonts w:eastAsia="Times New Roman"/>
                <w:color w:val="000000" w:themeColor="text1"/>
                <w:sz w:val="24"/>
                <w:szCs w:val="24"/>
              </w:rPr>
            </w:pPr>
            <w:r w:rsidRPr="00792B36">
              <w:rPr>
                <w:rFonts w:eastAsia="Times New Roman"/>
                <w:color w:val="000000" w:themeColor="text1"/>
                <w:sz w:val="24"/>
                <w:szCs w:val="24"/>
              </w:rPr>
              <w:t>19.78</w:t>
            </w:r>
          </w:p>
        </w:tc>
        <w:tc>
          <w:tcPr>
            <w:tcW w:w="454" w:type="dxa"/>
          </w:tcPr>
          <w:p w14:paraId="16A08964" w14:textId="77777777" w:rsidR="009A0A63" w:rsidRPr="00792B36" w:rsidRDefault="009A0A63" w:rsidP="00A24459">
            <w:pPr>
              <w:jc w:val="center"/>
              <w:rPr>
                <w:rFonts w:eastAsia="Times New Roman"/>
                <w:color w:val="000000" w:themeColor="text1"/>
                <w:sz w:val="24"/>
                <w:szCs w:val="24"/>
              </w:rPr>
            </w:pPr>
          </w:p>
        </w:tc>
        <w:tc>
          <w:tcPr>
            <w:tcW w:w="1191" w:type="dxa"/>
            <w:tcBorders>
              <w:top w:val="single" w:sz="4" w:space="0" w:color="auto"/>
            </w:tcBorders>
            <w:vAlign w:val="bottom"/>
          </w:tcPr>
          <w:p w14:paraId="27C370AF" w14:textId="77777777" w:rsidR="009A0A63" w:rsidRPr="00792B36" w:rsidRDefault="009A0A63" w:rsidP="00A24459">
            <w:pPr>
              <w:jc w:val="center"/>
              <w:rPr>
                <w:rFonts w:eastAsia="Times New Roman"/>
                <w:color w:val="000000" w:themeColor="text1"/>
                <w:sz w:val="24"/>
                <w:szCs w:val="24"/>
              </w:rPr>
            </w:pPr>
          </w:p>
        </w:tc>
        <w:tc>
          <w:tcPr>
            <w:tcW w:w="1361" w:type="dxa"/>
            <w:tcBorders>
              <w:top w:val="single" w:sz="4" w:space="0" w:color="auto"/>
            </w:tcBorders>
          </w:tcPr>
          <w:p w14:paraId="0FC6BBA0" w14:textId="77777777" w:rsidR="009A0A63" w:rsidRPr="00792B36" w:rsidRDefault="009A0A63" w:rsidP="00A24459">
            <w:pPr>
              <w:jc w:val="center"/>
              <w:rPr>
                <w:rFonts w:eastAsia="Times New Roman"/>
                <w:color w:val="000000" w:themeColor="text1"/>
                <w:sz w:val="24"/>
                <w:szCs w:val="24"/>
              </w:rPr>
            </w:pPr>
          </w:p>
        </w:tc>
      </w:tr>
    </w:tbl>
    <w:p w14:paraId="08A4387A" w14:textId="77777777" w:rsidR="009A0A63" w:rsidRPr="00792B36" w:rsidRDefault="009A0A63" w:rsidP="009A0A63">
      <w:pPr>
        <w:jc w:val="thaiDistribute"/>
        <w:rPr>
          <w:sz w:val="24"/>
          <w:szCs w:val="24"/>
        </w:rPr>
      </w:pPr>
      <w:r w:rsidRPr="00792B36">
        <w:rPr>
          <w:sz w:val="24"/>
          <w:szCs w:val="24"/>
        </w:rPr>
        <w:t xml:space="preserve">Remark: The cod-end mesh size used between 1961 and 2015 was 2.5 cm, while the cod-end mesh size of 4.0 cm has been used since 2016. </w:t>
      </w:r>
    </w:p>
    <w:p w14:paraId="1F174796" w14:textId="77777777" w:rsidR="009A0A63" w:rsidRPr="00792B36" w:rsidRDefault="009A0A63" w:rsidP="009A0A63">
      <w:pPr>
        <w:jc w:val="thaiDistribute"/>
        <w:rPr>
          <w:sz w:val="24"/>
          <w:szCs w:val="24"/>
        </w:rPr>
      </w:pPr>
    </w:p>
    <w:p w14:paraId="5B21FFDC" w14:textId="77777777" w:rsidR="009A0A63" w:rsidRPr="00792B36" w:rsidRDefault="009A0A63" w:rsidP="009A0A63">
      <w:pPr>
        <w:rPr>
          <w:b/>
          <w:bCs/>
          <w:sz w:val="24"/>
          <w:szCs w:val="24"/>
        </w:rPr>
      </w:pPr>
    </w:p>
    <w:p w14:paraId="426187DE" w14:textId="77777777" w:rsidR="009A0A63" w:rsidRPr="00792B36" w:rsidRDefault="009A0A63" w:rsidP="009A0A63">
      <w:pPr>
        <w:rPr>
          <w:b/>
          <w:bCs/>
          <w:sz w:val="24"/>
          <w:szCs w:val="24"/>
        </w:rPr>
      </w:pPr>
    </w:p>
    <w:p w14:paraId="32A62D89" w14:textId="77777777" w:rsidR="009A0A63" w:rsidRPr="00792B36" w:rsidRDefault="009A0A63" w:rsidP="009A0A63">
      <w:pPr>
        <w:rPr>
          <w:b/>
          <w:bCs/>
          <w:sz w:val="24"/>
          <w:szCs w:val="24"/>
        </w:rPr>
      </w:pPr>
    </w:p>
    <w:p w14:paraId="2C2DAB1A" w14:textId="77777777" w:rsidR="009A0A63" w:rsidRPr="00792B36" w:rsidRDefault="009A0A63" w:rsidP="009A0A63">
      <w:pPr>
        <w:rPr>
          <w:b/>
          <w:bCs/>
          <w:sz w:val="24"/>
          <w:szCs w:val="24"/>
        </w:rPr>
      </w:pPr>
    </w:p>
    <w:p w14:paraId="6F09BF1D" w14:textId="77777777" w:rsidR="009A0A63" w:rsidRPr="00792B36" w:rsidRDefault="009A0A63" w:rsidP="009A0A63">
      <w:pPr>
        <w:rPr>
          <w:b/>
          <w:bCs/>
          <w:sz w:val="24"/>
          <w:szCs w:val="24"/>
        </w:rPr>
      </w:pPr>
    </w:p>
    <w:p w14:paraId="63F59DFD" w14:textId="77777777" w:rsidR="009A0A63" w:rsidRPr="00792B36" w:rsidRDefault="009A0A63" w:rsidP="009A0A63">
      <w:pPr>
        <w:rPr>
          <w:b/>
          <w:bCs/>
          <w:sz w:val="24"/>
          <w:szCs w:val="24"/>
        </w:rPr>
      </w:pPr>
    </w:p>
    <w:p w14:paraId="60BAE6AC" w14:textId="77777777" w:rsidR="009A0A63" w:rsidRPr="00792B36" w:rsidRDefault="009A0A63" w:rsidP="009A0A63">
      <w:pPr>
        <w:rPr>
          <w:b/>
          <w:bCs/>
          <w:sz w:val="24"/>
          <w:szCs w:val="24"/>
        </w:rPr>
      </w:pPr>
    </w:p>
    <w:p w14:paraId="7D3046AC" w14:textId="77777777" w:rsidR="009A0A63" w:rsidRPr="00792B36" w:rsidRDefault="009A0A63" w:rsidP="009A0A63">
      <w:pPr>
        <w:rPr>
          <w:b/>
          <w:bCs/>
          <w:sz w:val="24"/>
          <w:szCs w:val="24"/>
        </w:rPr>
      </w:pPr>
    </w:p>
    <w:p w14:paraId="40142DCB" w14:textId="77777777" w:rsidR="009A0A63" w:rsidRPr="00792B36" w:rsidRDefault="009A0A63" w:rsidP="009A0A63">
      <w:pPr>
        <w:rPr>
          <w:b/>
          <w:bCs/>
          <w:sz w:val="24"/>
          <w:szCs w:val="24"/>
        </w:rPr>
      </w:pPr>
    </w:p>
    <w:p w14:paraId="612DA195" w14:textId="77777777" w:rsidR="009A0A63" w:rsidRPr="00792B36" w:rsidRDefault="009A0A63" w:rsidP="009A0A63">
      <w:pPr>
        <w:rPr>
          <w:b/>
          <w:bCs/>
          <w:sz w:val="24"/>
          <w:szCs w:val="24"/>
        </w:rPr>
      </w:pPr>
    </w:p>
    <w:p w14:paraId="2E9CACFE" w14:textId="77777777" w:rsidR="009A0A63" w:rsidRPr="00792B36" w:rsidRDefault="009A0A63" w:rsidP="009A0A63">
      <w:pPr>
        <w:rPr>
          <w:b/>
          <w:bCs/>
          <w:sz w:val="24"/>
          <w:szCs w:val="24"/>
        </w:rPr>
      </w:pPr>
    </w:p>
    <w:p w14:paraId="4BA55A46" w14:textId="77777777" w:rsidR="009A0A63" w:rsidRPr="00792B36" w:rsidRDefault="009A0A63" w:rsidP="009A0A63">
      <w:pPr>
        <w:rPr>
          <w:b/>
          <w:bCs/>
          <w:sz w:val="24"/>
          <w:szCs w:val="24"/>
        </w:rPr>
      </w:pPr>
    </w:p>
    <w:tbl>
      <w:tblPr>
        <w:tblStyle w:val="TableGrid"/>
        <w:tblW w:w="9786" w:type="dxa"/>
        <w:tblInd w:w="-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63"/>
        <w:gridCol w:w="7723"/>
      </w:tblGrid>
      <w:tr w:rsidR="009A0A63" w:rsidRPr="00792B36" w14:paraId="04FC6222" w14:textId="77777777" w:rsidTr="00A24459">
        <w:tc>
          <w:tcPr>
            <w:tcW w:w="2063" w:type="dxa"/>
          </w:tcPr>
          <w:p w14:paraId="21850CA5" w14:textId="77777777" w:rsidR="009A0A63" w:rsidRPr="00792B36" w:rsidRDefault="009A0A63" w:rsidP="00A24459">
            <w:pPr>
              <w:rPr>
                <w:sz w:val="24"/>
                <w:szCs w:val="24"/>
              </w:rPr>
            </w:pPr>
            <w:r w:rsidRPr="00792B36">
              <w:rPr>
                <w:b/>
                <w:bCs/>
                <w:sz w:val="24"/>
                <w:szCs w:val="24"/>
              </w:rPr>
              <w:t>Appendix Table 7</w:t>
            </w:r>
          </w:p>
        </w:tc>
        <w:tc>
          <w:tcPr>
            <w:tcW w:w="7723" w:type="dxa"/>
          </w:tcPr>
          <w:p w14:paraId="0842C7EC" w14:textId="77777777" w:rsidR="009A0A63" w:rsidRPr="00792B36" w:rsidRDefault="009A0A63" w:rsidP="00A24459">
            <w:pPr>
              <w:ind w:left="-43"/>
              <w:rPr>
                <w:sz w:val="24"/>
                <w:szCs w:val="24"/>
              </w:rPr>
            </w:pPr>
            <w:r w:rsidRPr="00792B36">
              <w:rPr>
                <w:sz w:val="24"/>
                <w:szCs w:val="24"/>
              </w:rPr>
              <w:t>Biomass assessment of some selected species in the Gulf of Thailand in 2023</w:t>
            </w:r>
          </w:p>
        </w:tc>
      </w:tr>
    </w:tbl>
    <w:p w14:paraId="614D6B12" w14:textId="77777777" w:rsidR="009A0A63" w:rsidRPr="00792B36" w:rsidRDefault="009A0A63" w:rsidP="009A0A63">
      <w:pPr>
        <w:jc w:val="thaiDistribute"/>
        <w:rPr>
          <w:b/>
          <w:bCs/>
          <w:sz w:val="24"/>
          <w:szCs w:val="24"/>
        </w:rPr>
      </w:pPr>
    </w:p>
    <w:tbl>
      <w:tblPr>
        <w:tblStyle w:val="TableGrid"/>
        <w:tblW w:w="961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157"/>
        <w:gridCol w:w="2618"/>
        <w:gridCol w:w="2323"/>
        <w:gridCol w:w="1232"/>
        <w:gridCol w:w="1274"/>
        <w:gridCol w:w="1008"/>
      </w:tblGrid>
      <w:tr w:rsidR="009A0A63" w:rsidRPr="00792B36" w14:paraId="61A9969F" w14:textId="77777777" w:rsidTr="00A24459">
        <w:tc>
          <w:tcPr>
            <w:tcW w:w="1157" w:type="dxa"/>
            <w:tcBorders>
              <w:top w:val="single" w:sz="4" w:space="0" w:color="auto"/>
              <w:bottom w:val="single" w:sz="4" w:space="0" w:color="auto"/>
            </w:tcBorders>
          </w:tcPr>
          <w:p w14:paraId="72117EA2" w14:textId="77777777" w:rsidR="009A0A63" w:rsidRPr="00792B36" w:rsidRDefault="009A0A63" w:rsidP="00A24459">
            <w:pPr>
              <w:jc w:val="center"/>
              <w:rPr>
                <w:b/>
                <w:bCs/>
                <w:sz w:val="24"/>
                <w:szCs w:val="24"/>
              </w:rPr>
            </w:pPr>
            <w:r w:rsidRPr="00792B36">
              <w:rPr>
                <w:b/>
                <w:bCs/>
                <w:sz w:val="24"/>
                <w:szCs w:val="24"/>
              </w:rPr>
              <w:t>Species Group</w:t>
            </w:r>
          </w:p>
        </w:tc>
        <w:tc>
          <w:tcPr>
            <w:tcW w:w="2618" w:type="dxa"/>
            <w:tcBorders>
              <w:top w:val="single" w:sz="4" w:space="0" w:color="auto"/>
              <w:bottom w:val="single" w:sz="4" w:space="0" w:color="auto"/>
            </w:tcBorders>
          </w:tcPr>
          <w:p w14:paraId="2433F8AD" w14:textId="77777777" w:rsidR="009A0A63" w:rsidRPr="00792B36" w:rsidRDefault="009A0A63" w:rsidP="00A24459">
            <w:pPr>
              <w:jc w:val="center"/>
              <w:rPr>
                <w:b/>
                <w:bCs/>
                <w:sz w:val="24"/>
                <w:szCs w:val="24"/>
              </w:rPr>
            </w:pPr>
            <w:r w:rsidRPr="00792B36">
              <w:rPr>
                <w:b/>
                <w:bCs/>
                <w:sz w:val="24"/>
                <w:szCs w:val="24"/>
              </w:rPr>
              <w:t>Scientific name</w:t>
            </w:r>
          </w:p>
        </w:tc>
        <w:tc>
          <w:tcPr>
            <w:tcW w:w="2323" w:type="dxa"/>
            <w:tcBorders>
              <w:top w:val="single" w:sz="4" w:space="0" w:color="auto"/>
              <w:bottom w:val="single" w:sz="4" w:space="0" w:color="auto"/>
            </w:tcBorders>
          </w:tcPr>
          <w:p w14:paraId="78D7C702" w14:textId="77777777" w:rsidR="009A0A63" w:rsidRPr="00792B36" w:rsidRDefault="009A0A63" w:rsidP="00A24459">
            <w:pPr>
              <w:jc w:val="center"/>
              <w:rPr>
                <w:b/>
                <w:bCs/>
                <w:sz w:val="24"/>
                <w:szCs w:val="24"/>
              </w:rPr>
            </w:pPr>
            <w:r w:rsidRPr="00792B36">
              <w:rPr>
                <w:b/>
                <w:bCs/>
                <w:sz w:val="24"/>
                <w:szCs w:val="24"/>
              </w:rPr>
              <w:t>Common name</w:t>
            </w:r>
          </w:p>
        </w:tc>
        <w:tc>
          <w:tcPr>
            <w:tcW w:w="1232" w:type="dxa"/>
            <w:tcBorders>
              <w:top w:val="single" w:sz="4" w:space="0" w:color="auto"/>
              <w:bottom w:val="single" w:sz="4" w:space="0" w:color="auto"/>
            </w:tcBorders>
          </w:tcPr>
          <w:p w14:paraId="08FA807B" w14:textId="77777777" w:rsidR="009A0A63" w:rsidRPr="00792B36" w:rsidRDefault="009A0A63" w:rsidP="00A24459">
            <w:pPr>
              <w:jc w:val="center"/>
              <w:rPr>
                <w:b/>
                <w:bCs/>
                <w:sz w:val="24"/>
                <w:szCs w:val="24"/>
              </w:rPr>
            </w:pPr>
            <w:r w:rsidRPr="00792B36">
              <w:rPr>
                <w:b/>
                <w:bCs/>
                <w:sz w:val="24"/>
                <w:szCs w:val="24"/>
              </w:rPr>
              <w:t>Biomass</w:t>
            </w:r>
          </w:p>
          <w:p w14:paraId="0D1F9F9D" w14:textId="77777777" w:rsidR="009A0A63" w:rsidRPr="00792B36" w:rsidRDefault="009A0A63" w:rsidP="00A24459">
            <w:pPr>
              <w:jc w:val="center"/>
              <w:rPr>
                <w:b/>
                <w:bCs/>
                <w:sz w:val="24"/>
                <w:szCs w:val="24"/>
              </w:rPr>
            </w:pPr>
            <w:r w:rsidRPr="00792B36">
              <w:rPr>
                <w:b/>
                <w:bCs/>
                <w:sz w:val="24"/>
                <w:szCs w:val="24"/>
              </w:rPr>
              <w:t>in 2023</w:t>
            </w:r>
          </w:p>
        </w:tc>
        <w:tc>
          <w:tcPr>
            <w:tcW w:w="1274" w:type="dxa"/>
            <w:tcBorders>
              <w:top w:val="single" w:sz="4" w:space="0" w:color="auto"/>
              <w:bottom w:val="single" w:sz="4" w:space="0" w:color="auto"/>
            </w:tcBorders>
          </w:tcPr>
          <w:p w14:paraId="113B14F7" w14:textId="77777777" w:rsidR="009A0A63" w:rsidRPr="00792B36" w:rsidRDefault="009A0A63" w:rsidP="00A24459">
            <w:pPr>
              <w:jc w:val="center"/>
              <w:rPr>
                <w:b/>
                <w:bCs/>
                <w:sz w:val="24"/>
                <w:szCs w:val="24"/>
              </w:rPr>
            </w:pPr>
            <w:r w:rsidRPr="00792B36">
              <w:rPr>
                <w:b/>
                <w:bCs/>
                <w:sz w:val="24"/>
                <w:szCs w:val="24"/>
              </w:rPr>
              <w:t>Biomass</w:t>
            </w:r>
          </w:p>
          <w:p w14:paraId="22A013C9" w14:textId="77777777" w:rsidR="009A0A63" w:rsidRPr="00792B36" w:rsidRDefault="009A0A63" w:rsidP="00A24459">
            <w:pPr>
              <w:jc w:val="center"/>
              <w:rPr>
                <w:b/>
                <w:bCs/>
                <w:sz w:val="24"/>
                <w:szCs w:val="24"/>
              </w:rPr>
            </w:pPr>
            <w:r w:rsidRPr="00792B36">
              <w:rPr>
                <w:b/>
                <w:bCs/>
                <w:sz w:val="24"/>
                <w:szCs w:val="24"/>
              </w:rPr>
              <w:t>at MSY</w:t>
            </w:r>
          </w:p>
        </w:tc>
        <w:tc>
          <w:tcPr>
            <w:tcW w:w="1008" w:type="dxa"/>
            <w:tcBorders>
              <w:top w:val="single" w:sz="4" w:space="0" w:color="auto"/>
              <w:bottom w:val="single" w:sz="4" w:space="0" w:color="auto"/>
            </w:tcBorders>
          </w:tcPr>
          <w:p w14:paraId="7223C781" w14:textId="77777777" w:rsidR="009A0A63" w:rsidRPr="00792B36" w:rsidRDefault="009A0A63" w:rsidP="00A24459">
            <w:pPr>
              <w:jc w:val="center"/>
              <w:rPr>
                <w:b/>
                <w:bCs/>
                <w:sz w:val="24"/>
                <w:szCs w:val="24"/>
              </w:rPr>
            </w:pPr>
            <w:r w:rsidRPr="00792B36">
              <w:rPr>
                <w:b/>
                <w:bCs/>
                <w:sz w:val="24"/>
                <w:szCs w:val="24"/>
              </w:rPr>
              <w:t>B/B</w:t>
            </w:r>
            <w:r w:rsidRPr="00792B36">
              <w:rPr>
                <w:b/>
                <w:bCs/>
                <w:sz w:val="24"/>
                <w:szCs w:val="24"/>
                <w:vertAlign w:val="subscript"/>
              </w:rPr>
              <w:t>MSY</w:t>
            </w:r>
          </w:p>
        </w:tc>
      </w:tr>
      <w:tr w:rsidR="009A0A63" w:rsidRPr="00792B36" w14:paraId="00201185" w14:textId="77777777" w:rsidTr="00A24459">
        <w:trPr>
          <w:trHeight w:val="290"/>
        </w:trPr>
        <w:tc>
          <w:tcPr>
            <w:tcW w:w="1157" w:type="dxa"/>
            <w:vMerge w:val="restart"/>
            <w:tcBorders>
              <w:top w:val="single" w:sz="4" w:space="0" w:color="auto"/>
            </w:tcBorders>
          </w:tcPr>
          <w:p w14:paraId="42044E38" w14:textId="77777777" w:rsidR="009A0A63" w:rsidRPr="00792B36" w:rsidRDefault="009A0A63" w:rsidP="00A24459">
            <w:pPr>
              <w:rPr>
                <w:color w:val="000000" w:themeColor="text1"/>
                <w:kern w:val="24"/>
                <w:sz w:val="24"/>
                <w:szCs w:val="24"/>
              </w:rPr>
            </w:pPr>
            <w:r w:rsidRPr="00792B36">
              <w:rPr>
                <w:color w:val="000000" w:themeColor="text1"/>
                <w:kern w:val="24"/>
                <w:sz w:val="24"/>
                <w:szCs w:val="24"/>
              </w:rPr>
              <w:t>Demersal species</w:t>
            </w:r>
          </w:p>
        </w:tc>
        <w:tc>
          <w:tcPr>
            <w:tcW w:w="2618" w:type="dxa"/>
            <w:tcBorders>
              <w:top w:val="single" w:sz="4" w:space="0" w:color="auto"/>
            </w:tcBorders>
          </w:tcPr>
          <w:p w14:paraId="3A3988DF" w14:textId="77777777" w:rsidR="009A0A63" w:rsidRPr="00792B36" w:rsidRDefault="009A0A63" w:rsidP="00A24459">
            <w:pPr>
              <w:jc w:val="thaiDistribute"/>
              <w:rPr>
                <w:b/>
                <w:bCs/>
                <w:sz w:val="24"/>
                <w:szCs w:val="24"/>
              </w:rPr>
            </w:pPr>
            <w:r w:rsidRPr="00792B36">
              <w:rPr>
                <w:i/>
                <w:iCs/>
                <w:color w:val="000000" w:themeColor="text1"/>
                <w:kern w:val="24"/>
                <w:sz w:val="24"/>
                <w:szCs w:val="24"/>
              </w:rPr>
              <w:t>Nemipterus hexodon</w:t>
            </w:r>
          </w:p>
        </w:tc>
        <w:tc>
          <w:tcPr>
            <w:tcW w:w="2323" w:type="dxa"/>
            <w:tcBorders>
              <w:top w:val="single" w:sz="4" w:space="0" w:color="auto"/>
            </w:tcBorders>
          </w:tcPr>
          <w:p w14:paraId="4C449446" w14:textId="77777777" w:rsidR="009A0A63" w:rsidRPr="00792B36" w:rsidRDefault="009A0A63" w:rsidP="00A24459">
            <w:pPr>
              <w:rPr>
                <w:spacing w:val="-6"/>
                <w:sz w:val="24"/>
                <w:szCs w:val="24"/>
                <w:cs/>
              </w:rPr>
            </w:pPr>
            <w:r w:rsidRPr="00792B36">
              <w:rPr>
                <w:spacing w:val="-6"/>
                <w:sz w:val="24"/>
                <w:szCs w:val="24"/>
              </w:rPr>
              <w:t>Ornate threadfin bream</w:t>
            </w:r>
          </w:p>
        </w:tc>
        <w:tc>
          <w:tcPr>
            <w:tcW w:w="1232" w:type="dxa"/>
            <w:tcBorders>
              <w:top w:val="single" w:sz="4" w:space="0" w:color="auto"/>
            </w:tcBorders>
          </w:tcPr>
          <w:p w14:paraId="7DF92348" w14:textId="77777777" w:rsidR="009A0A63" w:rsidRPr="00792B36" w:rsidRDefault="009A0A63" w:rsidP="00A24459">
            <w:pPr>
              <w:ind w:right="35"/>
              <w:jc w:val="right"/>
              <w:rPr>
                <w:sz w:val="24"/>
                <w:szCs w:val="24"/>
              </w:rPr>
            </w:pPr>
            <w:r w:rsidRPr="00792B36">
              <w:rPr>
                <w:color w:val="000000"/>
                <w:sz w:val="24"/>
                <w:szCs w:val="24"/>
              </w:rPr>
              <w:t>2,336.79</w:t>
            </w:r>
          </w:p>
        </w:tc>
        <w:tc>
          <w:tcPr>
            <w:tcW w:w="1274" w:type="dxa"/>
            <w:tcBorders>
              <w:top w:val="single" w:sz="4" w:space="0" w:color="auto"/>
            </w:tcBorders>
          </w:tcPr>
          <w:p w14:paraId="59CB89E6" w14:textId="77777777" w:rsidR="009A0A63" w:rsidRPr="00792B36" w:rsidRDefault="009A0A63" w:rsidP="00A24459">
            <w:pPr>
              <w:ind w:right="36"/>
              <w:jc w:val="right"/>
              <w:rPr>
                <w:sz w:val="24"/>
                <w:szCs w:val="24"/>
              </w:rPr>
            </w:pPr>
            <w:r w:rsidRPr="00792B36">
              <w:rPr>
                <w:color w:val="000000"/>
                <w:sz w:val="24"/>
                <w:szCs w:val="24"/>
              </w:rPr>
              <w:t>2,155.86</w:t>
            </w:r>
          </w:p>
        </w:tc>
        <w:tc>
          <w:tcPr>
            <w:tcW w:w="1008" w:type="dxa"/>
            <w:tcBorders>
              <w:top w:val="single" w:sz="4" w:space="0" w:color="auto"/>
            </w:tcBorders>
            <w:vAlign w:val="bottom"/>
          </w:tcPr>
          <w:p w14:paraId="7076296C" w14:textId="77777777" w:rsidR="009A0A63" w:rsidRPr="00792B36" w:rsidRDefault="009A0A63" w:rsidP="00A24459">
            <w:pPr>
              <w:jc w:val="center"/>
              <w:rPr>
                <w:sz w:val="24"/>
                <w:szCs w:val="24"/>
              </w:rPr>
            </w:pPr>
            <w:r w:rsidRPr="00792B36">
              <w:rPr>
                <w:color w:val="000000"/>
                <w:sz w:val="24"/>
                <w:szCs w:val="24"/>
              </w:rPr>
              <w:t>1.08</w:t>
            </w:r>
          </w:p>
        </w:tc>
      </w:tr>
      <w:tr w:rsidR="009A0A63" w:rsidRPr="00792B36" w14:paraId="741E9970" w14:textId="77777777" w:rsidTr="00A24459">
        <w:trPr>
          <w:trHeight w:val="283"/>
        </w:trPr>
        <w:tc>
          <w:tcPr>
            <w:tcW w:w="1157" w:type="dxa"/>
            <w:vMerge/>
          </w:tcPr>
          <w:p w14:paraId="694CC367" w14:textId="77777777" w:rsidR="009A0A63" w:rsidRPr="00792B36" w:rsidRDefault="009A0A63" w:rsidP="00A24459">
            <w:pPr>
              <w:jc w:val="thaiDistribute"/>
              <w:rPr>
                <w:i/>
                <w:iCs/>
                <w:color w:val="000000" w:themeColor="text1"/>
                <w:kern w:val="24"/>
                <w:sz w:val="24"/>
                <w:szCs w:val="24"/>
              </w:rPr>
            </w:pPr>
          </w:p>
        </w:tc>
        <w:tc>
          <w:tcPr>
            <w:tcW w:w="2618" w:type="dxa"/>
          </w:tcPr>
          <w:p w14:paraId="40F12714" w14:textId="77777777" w:rsidR="009A0A63" w:rsidRPr="00792B36" w:rsidRDefault="009A0A63" w:rsidP="00A24459">
            <w:pPr>
              <w:jc w:val="thaiDistribute"/>
              <w:rPr>
                <w:b/>
                <w:bCs/>
                <w:sz w:val="24"/>
                <w:szCs w:val="24"/>
              </w:rPr>
            </w:pPr>
            <w:r w:rsidRPr="00792B36">
              <w:rPr>
                <w:i/>
                <w:iCs/>
                <w:color w:val="000000" w:themeColor="text1"/>
                <w:kern w:val="24"/>
                <w:sz w:val="24"/>
                <w:szCs w:val="24"/>
              </w:rPr>
              <w:t>Saurida elongata</w:t>
            </w:r>
          </w:p>
        </w:tc>
        <w:tc>
          <w:tcPr>
            <w:tcW w:w="2323" w:type="dxa"/>
          </w:tcPr>
          <w:p w14:paraId="7E74F843" w14:textId="77777777" w:rsidR="009A0A63" w:rsidRPr="00792B36" w:rsidRDefault="009A0A63" w:rsidP="00A24459">
            <w:pPr>
              <w:rPr>
                <w:sz w:val="24"/>
                <w:szCs w:val="24"/>
              </w:rPr>
            </w:pPr>
            <w:r w:rsidRPr="00792B36">
              <w:rPr>
                <w:sz w:val="24"/>
                <w:szCs w:val="24"/>
              </w:rPr>
              <w:t>Slender lizardfish</w:t>
            </w:r>
          </w:p>
        </w:tc>
        <w:tc>
          <w:tcPr>
            <w:tcW w:w="1232" w:type="dxa"/>
          </w:tcPr>
          <w:p w14:paraId="686525E9" w14:textId="77777777" w:rsidR="009A0A63" w:rsidRPr="00792B36" w:rsidRDefault="009A0A63" w:rsidP="00A24459">
            <w:pPr>
              <w:ind w:right="35"/>
              <w:jc w:val="right"/>
              <w:rPr>
                <w:sz w:val="24"/>
                <w:szCs w:val="24"/>
              </w:rPr>
            </w:pPr>
            <w:r w:rsidRPr="00792B36">
              <w:rPr>
                <w:color w:val="000000"/>
                <w:sz w:val="24"/>
                <w:szCs w:val="24"/>
              </w:rPr>
              <w:t>4,506.11</w:t>
            </w:r>
          </w:p>
        </w:tc>
        <w:tc>
          <w:tcPr>
            <w:tcW w:w="1274" w:type="dxa"/>
          </w:tcPr>
          <w:p w14:paraId="0B6C5A5A" w14:textId="77777777" w:rsidR="009A0A63" w:rsidRPr="00792B36" w:rsidRDefault="009A0A63" w:rsidP="00A24459">
            <w:pPr>
              <w:ind w:right="36"/>
              <w:jc w:val="right"/>
              <w:rPr>
                <w:sz w:val="24"/>
                <w:szCs w:val="24"/>
              </w:rPr>
            </w:pPr>
            <w:r w:rsidRPr="00792B36">
              <w:rPr>
                <w:color w:val="000000"/>
                <w:sz w:val="24"/>
                <w:szCs w:val="24"/>
              </w:rPr>
              <w:t>7,382.67</w:t>
            </w:r>
          </w:p>
        </w:tc>
        <w:tc>
          <w:tcPr>
            <w:tcW w:w="1008" w:type="dxa"/>
            <w:vAlign w:val="bottom"/>
          </w:tcPr>
          <w:p w14:paraId="56D2E817" w14:textId="77777777" w:rsidR="009A0A63" w:rsidRPr="00792B36" w:rsidRDefault="009A0A63" w:rsidP="00A24459">
            <w:pPr>
              <w:jc w:val="center"/>
              <w:rPr>
                <w:sz w:val="24"/>
                <w:szCs w:val="24"/>
              </w:rPr>
            </w:pPr>
            <w:r w:rsidRPr="00792B36">
              <w:rPr>
                <w:color w:val="000000"/>
                <w:sz w:val="24"/>
                <w:szCs w:val="24"/>
              </w:rPr>
              <w:t>0.61</w:t>
            </w:r>
          </w:p>
        </w:tc>
      </w:tr>
      <w:tr w:rsidR="009A0A63" w:rsidRPr="00792B36" w14:paraId="71770C1F" w14:textId="77777777" w:rsidTr="00A24459">
        <w:trPr>
          <w:trHeight w:val="283"/>
        </w:trPr>
        <w:tc>
          <w:tcPr>
            <w:tcW w:w="1157" w:type="dxa"/>
            <w:vMerge/>
          </w:tcPr>
          <w:p w14:paraId="54F14AC8" w14:textId="77777777" w:rsidR="009A0A63" w:rsidRPr="00792B36" w:rsidRDefault="009A0A63" w:rsidP="00A24459">
            <w:pPr>
              <w:jc w:val="thaiDistribute"/>
              <w:rPr>
                <w:i/>
                <w:iCs/>
                <w:color w:val="000000" w:themeColor="text1"/>
                <w:kern w:val="24"/>
                <w:sz w:val="24"/>
                <w:szCs w:val="24"/>
              </w:rPr>
            </w:pPr>
          </w:p>
        </w:tc>
        <w:tc>
          <w:tcPr>
            <w:tcW w:w="2618" w:type="dxa"/>
          </w:tcPr>
          <w:p w14:paraId="47CEC67A" w14:textId="77777777" w:rsidR="009A0A63" w:rsidRPr="00792B36" w:rsidRDefault="009A0A63" w:rsidP="00A24459">
            <w:pPr>
              <w:jc w:val="thaiDistribute"/>
              <w:rPr>
                <w:b/>
                <w:bCs/>
                <w:sz w:val="24"/>
                <w:szCs w:val="24"/>
              </w:rPr>
            </w:pPr>
            <w:r w:rsidRPr="00792B36">
              <w:rPr>
                <w:i/>
                <w:iCs/>
                <w:color w:val="000000" w:themeColor="text1"/>
                <w:kern w:val="24"/>
                <w:sz w:val="24"/>
                <w:szCs w:val="24"/>
              </w:rPr>
              <w:t>Saurida</w:t>
            </w:r>
            <w:r w:rsidRPr="00792B36">
              <w:rPr>
                <w:i/>
                <w:iCs/>
                <w:color w:val="000000" w:themeColor="text1"/>
                <w:kern w:val="24"/>
                <w:sz w:val="24"/>
                <w:szCs w:val="24"/>
                <w:cs/>
              </w:rPr>
              <w:t xml:space="preserve"> </w:t>
            </w:r>
            <w:r w:rsidRPr="00792B36">
              <w:rPr>
                <w:i/>
                <w:iCs/>
                <w:color w:val="000000" w:themeColor="text1"/>
                <w:kern w:val="24"/>
                <w:sz w:val="24"/>
                <w:szCs w:val="24"/>
              </w:rPr>
              <w:t>undosquamis</w:t>
            </w:r>
          </w:p>
        </w:tc>
        <w:tc>
          <w:tcPr>
            <w:tcW w:w="2323" w:type="dxa"/>
          </w:tcPr>
          <w:p w14:paraId="62A11EC5" w14:textId="77777777" w:rsidR="009A0A63" w:rsidRPr="00792B36" w:rsidRDefault="009A0A63" w:rsidP="00A24459">
            <w:pPr>
              <w:rPr>
                <w:sz w:val="24"/>
                <w:szCs w:val="24"/>
              </w:rPr>
            </w:pPr>
            <w:r w:rsidRPr="00792B36">
              <w:rPr>
                <w:sz w:val="24"/>
                <w:szCs w:val="24"/>
              </w:rPr>
              <w:t>Brushtooth lizardfish</w:t>
            </w:r>
          </w:p>
        </w:tc>
        <w:tc>
          <w:tcPr>
            <w:tcW w:w="1232" w:type="dxa"/>
          </w:tcPr>
          <w:p w14:paraId="5A264D59" w14:textId="77777777" w:rsidR="009A0A63" w:rsidRPr="00792B36" w:rsidRDefault="009A0A63" w:rsidP="00A24459">
            <w:pPr>
              <w:ind w:right="35"/>
              <w:jc w:val="right"/>
              <w:rPr>
                <w:sz w:val="24"/>
                <w:szCs w:val="24"/>
              </w:rPr>
            </w:pPr>
            <w:r w:rsidRPr="00792B36">
              <w:rPr>
                <w:color w:val="000000"/>
                <w:sz w:val="24"/>
                <w:szCs w:val="24"/>
              </w:rPr>
              <w:t>6,107.84</w:t>
            </w:r>
          </w:p>
        </w:tc>
        <w:tc>
          <w:tcPr>
            <w:tcW w:w="1274" w:type="dxa"/>
          </w:tcPr>
          <w:p w14:paraId="0A722AC0" w14:textId="77777777" w:rsidR="009A0A63" w:rsidRPr="00792B36" w:rsidRDefault="009A0A63" w:rsidP="00A24459">
            <w:pPr>
              <w:ind w:right="36"/>
              <w:jc w:val="right"/>
              <w:rPr>
                <w:sz w:val="24"/>
                <w:szCs w:val="24"/>
              </w:rPr>
            </w:pPr>
            <w:r w:rsidRPr="00792B36">
              <w:rPr>
                <w:color w:val="000000"/>
                <w:sz w:val="24"/>
                <w:szCs w:val="24"/>
              </w:rPr>
              <w:t>29,379.74</w:t>
            </w:r>
          </w:p>
        </w:tc>
        <w:tc>
          <w:tcPr>
            <w:tcW w:w="1008" w:type="dxa"/>
            <w:vAlign w:val="bottom"/>
          </w:tcPr>
          <w:p w14:paraId="58DEABF0" w14:textId="77777777" w:rsidR="009A0A63" w:rsidRPr="00792B36" w:rsidRDefault="009A0A63" w:rsidP="00A24459">
            <w:pPr>
              <w:jc w:val="center"/>
              <w:rPr>
                <w:sz w:val="24"/>
                <w:szCs w:val="24"/>
              </w:rPr>
            </w:pPr>
            <w:r w:rsidRPr="00792B36">
              <w:rPr>
                <w:color w:val="000000"/>
                <w:sz w:val="24"/>
                <w:szCs w:val="24"/>
              </w:rPr>
              <w:t>0.21</w:t>
            </w:r>
          </w:p>
        </w:tc>
      </w:tr>
      <w:tr w:rsidR="009A0A63" w:rsidRPr="00792B36" w14:paraId="33D70962" w14:textId="77777777" w:rsidTr="00A24459">
        <w:trPr>
          <w:trHeight w:val="283"/>
        </w:trPr>
        <w:tc>
          <w:tcPr>
            <w:tcW w:w="1157" w:type="dxa"/>
            <w:vMerge/>
          </w:tcPr>
          <w:p w14:paraId="7F18FDB7" w14:textId="77777777" w:rsidR="009A0A63" w:rsidRPr="00792B36" w:rsidRDefault="009A0A63" w:rsidP="00A24459">
            <w:pPr>
              <w:jc w:val="thaiDistribute"/>
              <w:rPr>
                <w:i/>
                <w:iCs/>
                <w:color w:val="000000" w:themeColor="text1"/>
                <w:kern w:val="24"/>
                <w:sz w:val="24"/>
                <w:szCs w:val="24"/>
              </w:rPr>
            </w:pPr>
          </w:p>
        </w:tc>
        <w:tc>
          <w:tcPr>
            <w:tcW w:w="2618" w:type="dxa"/>
          </w:tcPr>
          <w:p w14:paraId="7CCA4A71" w14:textId="77777777" w:rsidR="009A0A63" w:rsidRPr="00792B36" w:rsidRDefault="009A0A63" w:rsidP="00A24459">
            <w:pPr>
              <w:jc w:val="thaiDistribute"/>
              <w:rPr>
                <w:b/>
                <w:bCs/>
                <w:sz w:val="24"/>
                <w:szCs w:val="24"/>
              </w:rPr>
            </w:pPr>
            <w:r w:rsidRPr="00792B36">
              <w:rPr>
                <w:i/>
                <w:iCs/>
                <w:color w:val="000000" w:themeColor="text1"/>
                <w:kern w:val="24"/>
                <w:sz w:val="24"/>
                <w:szCs w:val="24"/>
              </w:rPr>
              <w:t>Priacanthus tayenus</w:t>
            </w:r>
          </w:p>
        </w:tc>
        <w:tc>
          <w:tcPr>
            <w:tcW w:w="2323" w:type="dxa"/>
          </w:tcPr>
          <w:p w14:paraId="7796BFB8" w14:textId="77777777" w:rsidR="009A0A63" w:rsidRPr="00792B36" w:rsidRDefault="009A0A63" w:rsidP="00A24459">
            <w:pPr>
              <w:rPr>
                <w:sz w:val="24"/>
                <w:szCs w:val="24"/>
              </w:rPr>
            </w:pPr>
            <w:r w:rsidRPr="00792B36">
              <w:rPr>
                <w:sz w:val="24"/>
                <w:szCs w:val="24"/>
              </w:rPr>
              <w:t>Purple-spotted bigeye</w:t>
            </w:r>
          </w:p>
        </w:tc>
        <w:tc>
          <w:tcPr>
            <w:tcW w:w="1232" w:type="dxa"/>
          </w:tcPr>
          <w:p w14:paraId="6D45DA9F" w14:textId="77777777" w:rsidR="009A0A63" w:rsidRPr="00792B36" w:rsidRDefault="009A0A63" w:rsidP="00A24459">
            <w:pPr>
              <w:ind w:right="35"/>
              <w:jc w:val="right"/>
              <w:rPr>
                <w:sz w:val="24"/>
                <w:szCs w:val="24"/>
              </w:rPr>
            </w:pPr>
            <w:r w:rsidRPr="00792B36">
              <w:rPr>
                <w:color w:val="000000"/>
                <w:sz w:val="24"/>
                <w:szCs w:val="24"/>
              </w:rPr>
              <w:t>7,432.31</w:t>
            </w:r>
          </w:p>
        </w:tc>
        <w:tc>
          <w:tcPr>
            <w:tcW w:w="1274" w:type="dxa"/>
          </w:tcPr>
          <w:p w14:paraId="2BE0EB71" w14:textId="77777777" w:rsidR="009A0A63" w:rsidRPr="00792B36" w:rsidRDefault="009A0A63" w:rsidP="00A24459">
            <w:pPr>
              <w:ind w:right="36"/>
              <w:jc w:val="right"/>
              <w:rPr>
                <w:sz w:val="24"/>
                <w:szCs w:val="24"/>
              </w:rPr>
            </w:pPr>
            <w:r w:rsidRPr="00792B36">
              <w:rPr>
                <w:color w:val="000000"/>
                <w:sz w:val="24"/>
                <w:szCs w:val="24"/>
              </w:rPr>
              <w:t>6,246.14</w:t>
            </w:r>
          </w:p>
        </w:tc>
        <w:tc>
          <w:tcPr>
            <w:tcW w:w="1008" w:type="dxa"/>
            <w:vAlign w:val="bottom"/>
          </w:tcPr>
          <w:p w14:paraId="6EB51442" w14:textId="77777777" w:rsidR="009A0A63" w:rsidRPr="00792B36" w:rsidRDefault="009A0A63" w:rsidP="00A24459">
            <w:pPr>
              <w:jc w:val="center"/>
              <w:rPr>
                <w:sz w:val="24"/>
                <w:szCs w:val="24"/>
              </w:rPr>
            </w:pPr>
            <w:r w:rsidRPr="00792B36">
              <w:rPr>
                <w:color w:val="000000"/>
                <w:sz w:val="24"/>
                <w:szCs w:val="24"/>
              </w:rPr>
              <w:t>1.19</w:t>
            </w:r>
          </w:p>
        </w:tc>
      </w:tr>
      <w:tr w:rsidR="009A0A63" w:rsidRPr="00792B36" w14:paraId="72D20BC8" w14:textId="77777777" w:rsidTr="00A24459">
        <w:trPr>
          <w:trHeight w:val="283"/>
        </w:trPr>
        <w:tc>
          <w:tcPr>
            <w:tcW w:w="1157" w:type="dxa"/>
            <w:vMerge/>
          </w:tcPr>
          <w:p w14:paraId="5B8FD389" w14:textId="77777777" w:rsidR="009A0A63" w:rsidRPr="00792B36" w:rsidRDefault="009A0A63" w:rsidP="00A24459">
            <w:pPr>
              <w:jc w:val="thaiDistribute"/>
              <w:rPr>
                <w:i/>
                <w:iCs/>
                <w:color w:val="000000" w:themeColor="text1"/>
                <w:kern w:val="24"/>
                <w:sz w:val="24"/>
                <w:szCs w:val="24"/>
              </w:rPr>
            </w:pPr>
          </w:p>
        </w:tc>
        <w:tc>
          <w:tcPr>
            <w:tcW w:w="2618" w:type="dxa"/>
          </w:tcPr>
          <w:p w14:paraId="37B30DEE" w14:textId="77777777" w:rsidR="009A0A63" w:rsidRPr="00792B36" w:rsidRDefault="009A0A63" w:rsidP="00A24459">
            <w:pPr>
              <w:jc w:val="thaiDistribute"/>
              <w:rPr>
                <w:b/>
                <w:bCs/>
                <w:sz w:val="24"/>
                <w:szCs w:val="24"/>
              </w:rPr>
            </w:pPr>
            <w:r w:rsidRPr="00792B36">
              <w:rPr>
                <w:i/>
                <w:iCs/>
                <w:color w:val="000000" w:themeColor="text1"/>
                <w:kern w:val="24"/>
                <w:sz w:val="24"/>
                <w:szCs w:val="24"/>
              </w:rPr>
              <w:t>Penaeus merguiensis</w:t>
            </w:r>
          </w:p>
        </w:tc>
        <w:tc>
          <w:tcPr>
            <w:tcW w:w="2323" w:type="dxa"/>
          </w:tcPr>
          <w:p w14:paraId="6B2A3129" w14:textId="77777777" w:rsidR="009A0A63" w:rsidRPr="00792B36" w:rsidRDefault="009A0A63" w:rsidP="00A24459">
            <w:pPr>
              <w:rPr>
                <w:sz w:val="24"/>
                <w:szCs w:val="24"/>
              </w:rPr>
            </w:pPr>
            <w:r w:rsidRPr="00792B36">
              <w:rPr>
                <w:sz w:val="24"/>
                <w:szCs w:val="24"/>
              </w:rPr>
              <w:t>Banana prawn</w:t>
            </w:r>
          </w:p>
        </w:tc>
        <w:tc>
          <w:tcPr>
            <w:tcW w:w="1232" w:type="dxa"/>
          </w:tcPr>
          <w:p w14:paraId="4CACD998" w14:textId="77777777" w:rsidR="009A0A63" w:rsidRPr="00792B36" w:rsidRDefault="009A0A63" w:rsidP="00A24459">
            <w:pPr>
              <w:ind w:right="35"/>
              <w:jc w:val="right"/>
              <w:rPr>
                <w:sz w:val="24"/>
                <w:szCs w:val="24"/>
              </w:rPr>
            </w:pPr>
            <w:r w:rsidRPr="00792B36">
              <w:rPr>
                <w:color w:val="000000"/>
                <w:sz w:val="24"/>
                <w:szCs w:val="24"/>
              </w:rPr>
              <w:t>3,423.46</w:t>
            </w:r>
          </w:p>
        </w:tc>
        <w:tc>
          <w:tcPr>
            <w:tcW w:w="1274" w:type="dxa"/>
          </w:tcPr>
          <w:p w14:paraId="1E24850C" w14:textId="77777777" w:rsidR="009A0A63" w:rsidRPr="00792B36" w:rsidRDefault="009A0A63" w:rsidP="00A24459">
            <w:pPr>
              <w:ind w:right="36"/>
              <w:jc w:val="right"/>
              <w:rPr>
                <w:sz w:val="24"/>
                <w:szCs w:val="24"/>
              </w:rPr>
            </w:pPr>
            <w:r w:rsidRPr="00792B36">
              <w:rPr>
                <w:color w:val="000000"/>
                <w:sz w:val="24"/>
                <w:szCs w:val="24"/>
              </w:rPr>
              <w:t>2,943.20</w:t>
            </w:r>
          </w:p>
        </w:tc>
        <w:tc>
          <w:tcPr>
            <w:tcW w:w="1008" w:type="dxa"/>
            <w:vAlign w:val="bottom"/>
          </w:tcPr>
          <w:p w14:paraId="7A10D541" w14:textId="77777777" w:rsidR="009A0A63" w:rsidRPr="00792B36" w:rsidRDefault="009A0A63" w:rsidP="00A24459">
            <w:pPr>
              <w:jc w:val="center"/>
              <w:rPr>
                <w:sz w:val="24"/>
                <w:szCs w:val="24"/>
              </w:rPr>
            </w:pPr>
            <w:r w:rsidRPr="00792B36">
              <w:rPr>
                <w:color w:val="000000"/>
                <w:sz w:val="24"/>
                <w:szCs w:val="24"/>
              </w:rPr>
              <w:t>1.16</w:t>
            </w:r>
          </w:p>
        </w:tc>
      </w:tr>
      <w:tr w:rsidR="009A0A63" w:rsidRPr="00792B36" w14:paraId="4EBD7B83" w14:textId="77777777" w:rsidTr="00A24459">
        <w:trPr>
          <w:trHeight w:val="283"/>
        </w:trPr>
        <w:tc>
          <w:tcPr>
            <w:tcW w:w="1157" w:type="dxa"/>
            <w:vMerge/>
          </w:tcPr>
          <w:p w14:paraId="7F1AEA85" w14:textId="77777777" w:rsidR="009A0A63" w:rsidRPr="00792B36" w:rsidRDefault="009A0A63" w:rsidP="00A24459">
            <w:pPr>
              <w:jc w:val="thaiDistribute"/>
              <w:rPr>
                <w:i/>
                <w:iCs/>
                <w:color w:val="000000" w:themeColor="text1"/>
                <w:kern w:val="24"/>
                <w:sz w:val="24"/>
                <w:szCs w:val="24"/>
              </w:rPr>
            </w:pPr>
          </w:p>
        </w:tc>
        <w:tc>
          <w:tcPr>
            <w:tcW w:w="2618" w:type="dxa"/>
          </w:tcPr>
          <w:p w14:paraId="46A3DBB0" w14:textId="77777777" w:rsidR="009A0A63" w:rsidRPr="00792B36" w:rsidRDefault="009A0A63" w:rsidP="00A24459">
            <w:pPr>
              <w:jc w:val="thaiDistribute"/>
              <w:rPr>
                <w:b/>
                <w:bCs/>
                <w:sz w:val="24"/>
                <w:szCs w:val="24"/>
              </w:rPr>
            </w:pPr>
            <w:r w:rsidRPr="00792B36">
              <w:rPr>
                <w:i/>
                <w:iCs/>
                <w:color w:val="000000" w:themeColor="text1"/>
                <w:kern w:val="24"/>
                <w:sz w:val="24"/>
                <w:szCs w:val="24"/>
              </w:rPr>
              <w:t>Penaeus</w:t>
            </w:r>
            <w:r w:rsidRPr="00792B36">
              <w:rPr>
                <w:i/>
                <w:iCs/>
                <w:color w:val="000000" w:themeColor="text1"/>
                <w:kern w:val="24"/>
                <w:sz w:val="24"/>
                <w:szCs w:val="24"/>
                <w:cs/>
              </w:rPr>
              <w:t xml:space="preserve"> </w:t>
            </w:r>
            <w:r w:rsidRPr="00792B36">
              <w:rPr>
                <w:i/>
                <w:iCs/>
                <w:color w:val="000000" w:themeColor="text1"/>
                <w:kern w:val="24"/>
                <w:sz w:val="24"/>
                <w:szCs w:val="24"/>
              </w:rPr>
              <w:t>monodon</w:t>
            </w:r>
          </w:p>
        </w:tc>
        <w:tc>
          <w:tcPr>
            <w:tcW w:w="2323" w:type="dxa"/>
          </w:tcPr>
          <w:p w14:paraId="172FD405" w14:textId="77777777" w:rsidR="009A0A63" w:rsidRPr="00792B36" w:rsidRDefault="009A0A63" w:rsidP="00A24459">
            <w:pPr>
              <w:rPr>
                <w:sz w:val="24"/>
                <w:szCs w:val="24"/>
              </w:rPr>
            </w:pPr>
            <w:r w:rsidRPr="00792B36">
              <w:rPr>
                <w:sz w:val="24"/>
                <w:szCs w:val="24"/>
              </w:rPr>
              <w:t>Giant tiger prawn</w:t>
            </w:r>
          </w:p>
        </w:tc>
        <w:tc>
          <w:tcPr>
            <w:tcW w:w="1232" w:type="dxa"/>
          </w:tcPr>
          <w:p w14:paraId="20E57891" w14:textId="77777777" w:rsidR="009A0A63" w:rsidRPr="00792B36" w:rsidRDefault="009A0A63" w:rsidP="00A24459">
            <w:pPr>
              <w:ind w:right="35"/>
              <w:jc w:val="right"/>
              <w:rPr>
                <w:sz w:val="24"/>
                <w:szCs w:val="24"/>
              </w:rPr>
            </w:pPr>
            <w:r w:rsidRPr="00792B36">
              <w:rPr>
                <w:color w:val="000000"/>
                <w:sz w:val="24"/>
                <w:szCs w:val="24"/>
              </w:rPr>
              <w:t>146.98</w:t>
            </w:r>
          </w:p>
        </w:tc>
        <w:tc>
          <w:tcPr>
            <w:tcW w:w="1274" w:type="dxa"/>
          </w:tcPr>
          <w:p w14:paraId="1E4F27B9" w14:textId="77777777" w:rsidR="009A0A63" w:rsidRPr="00792B36" w:rsidRDefault="009A0A63" w:rsidP="00A24459">
            <w:pPr>
              <w:ind w:right="36"/>
              <w:jc w:val="right"/>
              <w:rPr>
                <w:sz w:val="24"/>
                <w:szCs w:val="24"/>
              </w:rPr>
            </w:pPr>
            <w:r w:rsidRPr="00792B36">
              <w:rPr>
                <w:color w:val="000000"/>
                <w:sz w:val="24"/>
                <w:szCs w:val="24"/>
              </w:rPr>
              <w:t>117.33</w:t>
            </w:r>
          </w:p>
        </w:tc>
        <w:tc>
          <w:tcPr>
            <w:tcW w:w="1008" w:type="dxa"/>
            <w:vAlign w:val="bottom"/>
          </w:tcPr>
          <w:p w14:paraId="5DB39DE6" w14:textId="77777777" w:rsidR="009A0A63" w:rsidRPr="00792B36" w:rsidRDefault="009A0A63" w:rsidP="00A24459">
            <w:pPr>
              <w:jc w:val="center"/>
              <w:rPr>
                <w:sz w:val="24"/>
                <w:szCs w:val="24"/>
              </w:rPr>
            </w:pPr>
            <w:r w:rsidRPr="00792B36">
              <w:rPr>
                <w:color w:val="000000"/>
                <w:sz w:val="24"/>
                <w:szCs w:val="24"/>
              </w:rPr>
              <w:t>1.25</w:t>
            </w:r>
          </w:p>
        </w:tc>
      </w:tr>
      <w:tr w:rsidR="009A0A63" w:rsidRPr="00792B36" w14:paraId="36EE5E2B" w14:textId="77777777" w:rsidTr="00A24459">
        <w:trPr>
          <w:trHeight w:val="283"/>
        </w:trPr>
        <w:tc>
          <w:tcPr>
            <w:tcW w:w="1157" w:type="dxa"/>
            <w:vMerge/>
          </w:tcPr>
          <w:p w14:paraId="56382D33" w14:textId="77777777" w:rsidR="009A0A63" w:rsidRPr="00792B36" w:rsidRDefault="009A0A63" w:rsidP="00A24459">
            <w:pPr>
              <w:jc w:val="thaiDistribute"/>
              <w:rPr>
                <w:i/>
                <w:iCs/>
                <w:color w:val="000000" w:themeColor="text1"/>
                <w:kern w:val="24"/>
                <w:sz w:val="24"/>
                <w:szCs w:val="24"/>
              </w:rPr>
            </w:pPr>
          </w:p>
        </w:tc>
        <w:tc>
          <w:tcPr>
            <w:tcW w:w="2618" w:type="dxa"/>
          </w:tcPr>
          <w:p w14:paraId="442AEAD9" w14:textId="77777777" w:rsidR="009A0A63" w:rsidRPr="00792B36" w:rsidRDefault="009A0A63" w:rsidP="00A24459">
            <w:pPr>
              <w:jc w:val="thaiDistribute"/>
              <w:rPr>
                <w:b/>
                <w:bCs/>
                <w:sz w:val="24"/>
                <w:szCs w:val="24"/>
              </w:rPr>
            </w:pPr>
            <w:r w:rsidRPr="00792B36">
              <w:rPr>
                <w:i/>
                <w:iCs/>
                <w:color w:val="000000" w:themeColor="text1"/>
                <w:kern w:val="24"/>
                <w:sz w:val="24"/>
                <w:szCs w:val="24"/>
              </w:rPr>
              <w:t>Metapenaeus affinis</w:t>
            </w:r>
          </w:p>
        </w:tc>
        <w:tc>
          <w:tcPr>
            <w:tcW w:w="2323" w:type="dxa"/>
          </w:tcPr>
          <w:p w14:paraId="3D806132" w14:textId="77777777" w:rsidR="009A0A63" w:rsidRPr="00792B36" w:rsidRDefault="009A0A63" w:rsidP="00A24459">
            <w:pPr>
              <w:rPr>
                <w:sz w:val="24"/>
                <w:szCs w:val="24"/>
              </w:rPr>
            </w:pPr>
            <w:r w:rsidRPr="00792B36">
              <w:rPr>
                <w:sz w:val="24"/>
                <w:szCs w:val="24"/>
              </w:rPr>
              <w:t>Jinga shrimp</w:t>
            </w:r>
          </w:p>
        </w:tc>
        <w:tc>
          <w:tcPr>
            <w:tcW w:w="1232" w:type="dxa"/>
          </w:tcPr>
          <w:p w14:paraId="011D9741" w14:textId="77777777" w:rsidR="009A0A63" w:rsidRPr="00792B36" w:rsidRDefault="009A0A63" w:rsidP="00A24459">
            <w:pPr>
              <w:ind w:right="35"/>
              <w:jc w:val="right"/>
              <w:rPr>
                <w:sz w:val="24"/>
                <w:szCs w:val="24"/>
              </w:rPr>
            </w:pPr>
            <w:r w:rsidRPr="00792B36">
              <w:rPr>
                <w:color w:val="000000"/>
                <w:sz w:val="24"/>
                <w:szCs w:val="24"/>
              </w:rPr>
              <w:t>1,166.91</w:t>
            </w:r>
          </w:p>
        </w:tc>
        <w:tc>
          <w:tcPr>
            <w:tcW w:w="1274" w:type="dxa"/>
          </w:tcPr>
          <w:p w14:paraId="67405527" w14:textId="77777777" w:rsidR="009A0A63" w:rsidRPr="00792B36" w:rsidRDefault="009A0A63" w:rsidP="00A24459">
            <w:pPr>
              <w:ind w:right="36"/>
              <w:jc w:val="right"/>
              <w:rPr>
                <w:sz w:val="24"/>
                <w:szCs w:val="24"/>
              </w:rPr>
            </w:pPr>
            <w:r w:rsidRPr="00792B36">
              <w:rPr>
                <w:color w:val="000000"/>
                <w:sz w:val="24"/>
                <w:szCs w:val="24"/>
              </w:rPr>
              <w:t>922.44</w:t>
            </w:r>
          </w:p>
        </w:tc>
        <w:tc>
          <w:tcPr>
            <w:tcW w:w="1008" w:type="dxa"/>
            <w:vAlign w:val="bottom"/>
          </w:tcPr>
          <w:p w14:paraId="2A0FB062" w14:textId="77777777" w:rsidR="009A0A63" w:rsidRPr="00792B36" w:rsidRDefault="009A0A63" w:rsidP="00A24459">
            <w:pPr>
              <w:jc w:val="center"/>
              <w:rPr>
                <w:sz w:val="24"/>
                <w:szCs w:val="24"/>
              </w:rPr>
            </w:pPr>
            <w:r w:rsidRPr="00792B36">
              <w:rPr>
                <w:color w:val="000000"/>
                <w:sz w:val="24"/>
                <w:szCs w:val="24"/>
              </w:rPr>
              <w:t>1.27</w:t>
            </w:r>
          </w:p>
        </w:tc>
      </w:tr>
      <w:tr w:rsidR="009A0A63" w:rsidRPr="00792B36" w14:paraId="10D3D9E9" w14:textId="77777777" w:rsidTr="00A24459">
        <w:trPr>
          <w:trHeight w:val="283"/>
        </w:trPr>
        <w:tc>
          <w:tcPr>
            <w:tcW w:w="1157" w:type="dxa"/>
            <w:vMerge/>
          </w:tcPr>
          <w:p w14:paraId="719F64CB" w14:textId="77777777" w:rsidR="009A0A63" w:rsidRPr="00792B36" w:rsidRDefault="009A0A63" w:rsidP="00A24459">
            <w:pPr>
              <w:jc w:val="thaiDistribute"/>
              <w:rPr>
                <w:i/>
                <w:iCs/>
                <w:color w:val="000000" w:themeColor="text1"/>
                <w:kern w:val="24"/>
                <w:sz w:val="24"/>
                <w:szCs w:val="24"/>
              </w:rPr>
            </w:pPr>
          </w:p>
        </w:tc>
        <w:tc>
          <w:tcPr>
            <w:tcW w:w="2618" w:type="dxa"/>
          </w:tcPr>
          <w:p w14:paraId="0AEAC366" w14:textId="77777777" w:rsidR="009A0A63" w:rsidRPr="00792B36" w:rsidRDefault="009A0A63" w:rsidP="00A24459">
            <w:pPr>
              <w:jc w:val="thaiDistribute"/>
              <w:rPr>
                <w:b/>
                <w:bCs/>
                <w:sz w:val="24"/>
                <w:szCs w:val="24"/>
              </w:rPr>
            </w:pPr>
            <w:r w:rsidRPr="00792B36">
              <w:rPr>
                <w:i/>
                <w:iCs/>
                <w:color w:val="000000" w:themeColor="text1"/>
                <w:kern w:val="24"/>
                <w:sz w:val="24"/>
                <w:szCs w:val="24"/>
              </w:rPr>
              <w:t>Metapenaeus ensis</w:t>
            </w:r>
          </w:p>
        </w:tc>
        <w:tc>
          <w:tcPr>
            <w:tcW w:w="2323" w:type="dxa"/>
          </w:tcPr>
          <w:p w14:paraId="6B56D913" w14:textId="77777777" w:rsidR="009A0A63" w:rsidRPr="00792B36" w:rsidRDefault="009A0A63" w:rsidP="00A24459">
            <w:pPr>
              <w:rPr>
                <w:sz w:val="24"/>
                <w:szCs w:val="24"/>
              </w:rPr>
            </w:pPr>
            <w:r w:rsidRPr="00792B36">
              <w:rPr>
                <w:sz w:val="24"/>
                <w:szCs w:val="24"/>
              </w:rPr>
              <w:t>Greasyback shrimp</w:t>
            </w:r>
          </w:p>
        </w:tc>
        <w:tc>
          <w:tcPr>
            <w:tcW w:w="1232" w:type="dxa"/>
          </w:tcPr>
          <w:p w14:paraId="7DD29081" w14:textId="77777777" w:rsidR="009A0A63" w:rsidRPr="00792B36" w:rsidRDefault="009A0A63" w:rsidP="00A24459">
            <w:pPr>
              <w:ind w:right="35"/>
              <w:jc w:val="right"/>
              <w:rPr>
                <w:sz w:val="24"/>
                <w:szCs w:val="24"/>
              </w:rPr>
            </w:pPr>
            <w:r w:rsidRPr="00792B36">
              <w:rPr>
                <w:color w:val="000000"/>
                <w:sz w:val="24"/>
                <w:szCs w:val="24"/>
              </w:rPr>
              <w:t>622.38</w:t>
            </w:r>
          </w:p>
        </w:tc>
        <w:tc>
          <w:tcPr>
            <w:tcW w:w="1274" w:type="dxa"/>
          </w:tcPr>
          <w:p w14:paraId="11FEA691" w14:textId="77777777" w:rsidR="009A0A63" w:rsidRPr="00792B36" w:rsidRDefault="009A0A63" w:rsidP="00A24459">
            <w:pPr>
              <w:ind w:right="36"/>
              <w:jc w:val="right"/>
              <w:rPr>
                <w:sz w:val="24"/>
                <w:szCs w:val="24"/>
              </w:rPr>
            </w:pPr>
            <w:r w:rsidRPr="00792B36">
              <w:rPr>
                <w:color w:val="000000"/>
                <w:sz w:val="24"/>
                <w:szCs w:val="24"/>
              </w:rPr>
              <w:t>450.61</w:t>
            </w:r>
          </w:p>
        </w:tc>
        <w:tc>
          <w:tcPr>
            <w:tcW w:w="1008" w:type="dxa"/>
            <w:vAlign w:val="bottom"/>
          </w:tcPr>
          <w:p w14:paraId="7148CC55" w14:textId="77777777" w:rsidR="009A0A63" w:rsidRPr="00792B36" w:rsidRDefault="009A0A63" w:rsidP="00A24459">
            <w:pPr>
              <w:jc w:val="center"/>
              <w:rPr>
                <w:sz w:val="24"/>
                <w:szCs w:val="24"/>
              </w:rPr>
            </w:pPr>
            <w:r w:rsidRPr="00792B36">
              <w:rPr>
                <w:color w:val="000000"/>
                <w:sz w:val="24"/>
                <w:szCs w:val="24"/>
              </w:rPr>
              <w:t>1.38</w:t>
            </w:r>
          </w:p>
        </w:tc>
      </w:tr>
      <w:tr w:rsidR="009A0A63" w:rsidRPr="00792B36" w14:paraId="3C7AE549" w14:textId="77777777" w:rsidTr="00A24459">
        <w:trPr>
          <w:trHeight w:val="283"/>
        </w:trPr>
        <w:tc>
          <w:tcPr>
            <w:tcW w:w="1157" w:type="dxa"/>
            <w:vMerge/>
          </w:tcPr>
          <w:p w14:paraId="2A5B6AE1" w14:textId="77777777" w:rsidR="009A0A63" w:rsidRPr="00792B36" w:rsidRDefault="009A0A63" w:rsidP="00A24459">
            <w:pPr>
              <w:jc w:val="thaiDistribute"/>
              <w:rPr>
                <w:i/>
                <w:iCs/>
                <w:color w:val="000000" w:themeColor="text1"/>
                <w:kern w:val="24"/>
                <w:sz w:val="24"/>
                <w:szCs w:val="24"/>
              </w:rPr>
            </w:pPr>
          </w:p>
        </w:tc>
        <w:tc>
          <w:tcPr>
            <w:tcW w:w="2618" w:type="dxa"/>
          </w:tcPr>
          <w:p w14:paraId="10200C2A" w14:textId="77777777" w:rsidR="009A0A63" w:rsidRPr="00792B36" w:rsidRDefault="009A0A63" w:rsidP="00A24459">
            <w:pPr>
              <w:jc w:val="thaiDistribute"/>
              <w:rPr>
                <w:b/>
                <w:bCs/>
                <w:sz w:val="24"/>
                <w:szCs w:val="24"/>
              </w:rPr>
            </w:pPr>
            <w:r w:rsidRPr="00792B36">
              <w:rPr>
                <w:i/>
                <w:iCs/>
                <w:color w:val="000000" w:themeColor="text1"/>
                <w:kern w:val="24"/>
                <w:sz w:val="24"/>
                <w:szCs w:val="24"/>
              </w:rPr>
              <w:t>Portunus pelagicus</w:t>
            </w:r>
          </w:p>
        </w:tc>
        <w:tc>
          <w:tcPr>
            <w:tcW w:w="2323" w:type="dxa"/>
          </w:tcPr>
          <w:p w14:paraId="387F533E" w14:textId="77777777" w:rsidR="009A0A63" w:rsidRPr="00792B36" w:rsidRDefault="009A0A63" w:rsidP="00A24459">
            <w:pPr>
              <w:rPr>
                <w:sz w:val="24"/>
                <w:szCs w:val="24"/>
              </w:rPr>
            </w:pPr>
            <w:r w:rsidRPr="00792B36">
              <w:rPr>
                <w:sz w:val="24"/>
                <w:szCs w:val="24"/>
              </w:rPr>
              <w:t>Blue swimming crab</w:t>
            </w:r>
          </w:p>
        </w:tc>
        <w:tc>
          <w:tcPr>
            <w:tcW w:w="1232" w:type="dxa"/>
          </w:tcPr>
          <w:p w14:paraId="07A93CE8" w14:textId="77777777" w:rsidR="009A0A63" w:rsidRPr="00792B36" w:rsidRDefault="009A0A63" w:rsidP="00A24459">
            <w:pPr>
              <w:ind w:right="35"/>
              <w:jc w:val="right"/>
              <w:rPr>
                <w:sz w:val="24"/>
                <w:szCs w:val="24"/>
              </w:rPr>
            </w:pPr>
            <w:r w:rsidRPr="00792B36">
              <w:rPr>
                <w:color w:val="000000"/>
                <w:sz w:val="24"/>
                <w:szCs w:val="24"/>
              </w:rPr>
              <w:t>14,396.24</w:t>
            </w:r>
          </w:p>
        </w:tc>
        <w:tc>
          <w:tcPr>
            <w:tcW w:w="1274" w:type="dxa"/>
          </w:tcPr>
          <w:p w14:paraId="0292396C" w14:textId="77777777" w:rsidR="009A0A63" w:rsidRPr="00792B36" w:rsidRDefault="009A0A63" w:rsidP="00A24459">
            <w:pPr>
              <w:ind w:right="36"/>
              <w:jc w:val="right"/>
              <w:rPr>
                <w:sz w:val="24"/>
                <w:szCs w:val="24"/>
              </w:rPr>
            </w:pPr>
            <w:r w:rsidRPr="00792B36">
              <w:rPr>
                <w:color w:val="000000"/>
                <w:sz w:val="24"/>
                <w:szCs w:val="24"/>
              </w:rPr>
              <w:t>10,437.71</w:t>
            </w:r>
          </w:p>
        </w:tc>
        <w:tc>
          <w:tcPr>
            <w:tcW w:w="1008" w:type="dxa"/>
            <w:vAlign w:val="bottom"/>
          </w:tcPr>
          <w:p w14:paraId="3EB18CFF" w14:textId="77777777" w:rsidR="009A0A63" w:rsidRPr="00792B36" w:rsidRDefault="009A0A63" w:rsidP="00A24459">
            <w:pPr>
              <w:jc w:val="center"/>
              <w:rPr>
                <w:sz w:val="24"/>
                <w:szCs w:val="24"/>
              </w:rPr>
            </w:pPr>
            <w:r w:rsidRPr="00792B36">
              <w:rPr>
                <w:color w:val="000000"/>
                <w:sz w:val="24"/>
                <w:szCs w:val="24"/>
              </w:rPr>
              <w:t>1.38</w:t>
            </w:r>
          </w:p>
        </w:tc>
      </w:tr>
      <w:tr w:rsidR="009A0A63" w:rsidRPr="00792B36" w14:paraId="7A00D036" w14:textId="77777777" w:rsidTr="00A24459">
        <w:trPr>
          <w:trHeight w:val="283"/>
        </w:trPr>
        <w:tc>
          <w:tcPr>
            <w:tcW w:w="1157" w:type="dxa"/>
            <w:vMerge/>
          </w:tcPr>
          <w:p w14:paraId="51BAF969" w14:textId="77777777" w:rsidR="009A0A63" w:rsidRPr="00792B36" w:rsidRDefault="009A0A63" w:rsidP="00A24459">
            <w:pPr>
              <w:jc w:val="thaiDistribute"/>
              <w:rPr>
                <w:rFonts w:eastAsiaTheme="minorEastAsia"/>
                <w:i/>
                <w:iCs/>
                <w:color w:val="000000" w:themeColor="text1"/>
                <w:spacing w:val="-8"/>
                <w:kern w:val="24"/>
                <w:sz w:val="24"/>
                <w:szCs w:val="24"/>
              </w:rPr>
            </w:pPr>
          </w:p>
        </w:tc>
        <w:tc>
          <w:tcPr>
            <w:tcW w:w="2618" w:type="dxa"/>
          </w:tcPr>
          <w:p w14:paraId="0CFF0D76" w14:textId="77777777" w:rsidR="009A0A63" w:rsidRPr="00792B36" w:rsidRDefault="009A0A63" w:rsidP="00A24459">
            <w:pPr>
              <w:jc w:val="thaiDistribute"/>
              <w:rPr>
                <w:b/>
                <w:bCs/>
                <w:sz w:val="24"/>
                <w:szCs w:val="24"/>
              </w:rPr>
            </w:pPr>
            <w:r w:rsidRPr="00792B36">
              <w:rPr>
                <w:rFonts w:eastAsiaTheme="minorEastAsia"/>
                <w:i/>
                <w:iCs/>
                <w:color w:val="000000" w:themeColor="text1"/>
                <w:spacing w:val="-8"/>
                <w:kern w:val="24"/>
                <w:sz w:val="24"/>
                <w:szCs w:val="24"/>
              </w:rPr>
              <w:t>Uroteuthis duvaucelii</w:t>
            </w:r>
          </w:p>
        </w:tc>
        <w:tc>
          <w:tcPr>
            <w:tcW w:w="2323" w:type="dxa"/>
          </w:tcPr>
          <w:p w14:paraId="2FB412F4" w14:textId="77777777" w:rsidR="009A0A63" w:rsidRPr="00792B36" w:rsidRDefault="009A0A63" w:rsidP="00A24459">
            <w:pPr>
              <w:rPr>
                <w:sz w:val="24"/>
                <w:szCs w:val="24"/>
              </w:rPr>
            </w:pPr>
            <w:r w:rsidRPr="00792B36">
              <w:rPr>
                <w:sz w:val="24"/>
                <w:szCs w:val="24"/>
              </w:rPr>
              <w:t>Indian squid</w:t>
            </w:r>
          </w:p>
        </w:tc>
        <w:tc>
          <w:tcPr>
            <w:tcW w:w="1232" w:type="dxa"/>
          </w:tcPr>
          <w:p w14:paraId="2A47DF20" w14:textId="77777777" w:rsidR="009A0A63" w:rsidRPr="00792B36" w:rsidRDefault="009A0A63" w:rsidP="00A24459">
            <w:pPr>
              <w:ind w:right="35"/>
              <w:jc w:val="right"/>
              <w:rPr>
                <w:sz w:val="24"/>
                <w:szCs w:val="24"/>
              </w:rPr>
            </w:pPr>
            <w:r w:rsidRPr="00792B36">
              <w:rPr>
                <w:color w:val="000000"/>
                <w:sz w:val="24"/>
                <w:szCs w:val="24"/>
              </w:rPr>
              <w:t>4,901.00</w:t>
            </w:r>
          </w:p>
        </w:tc>
        <w:tc>
          <w:tcPr>
            <w:tcW w:w="1274" w:type="dxa"/>
          </w:tcPr>
          <w:p w14:paraId="2247A937" w14:textId="77777777" w:rsidR="009A0A63" w:rsidRPr="00792B36" w:rsidRDefault="009A0A63" w:rsidP="00A24459">
            <w:pPr>
              <w:ind w:right="36"/>
              <w:jc w:val="right"/>
              <w:rPr>
                <w:sz w:val="24"/>
                <w:szCs w:val="24"/>
              </w:rPr>
            </w:pPr>
            <w:r w:rsidRPr="00792B36">
              <w:rPr>
                <w:color w:val="000000"/>
                <w:sz w:val="24"/>
                <w:szCs w:val="24"/>
              </w:rPr>
              <w:t>5,467.00</w:t>
            </w:r>
          </w:p>
        </w:tc>
        <w:tc>
          <w:tcPr>
            <w:tcW w:w="1008" w:type="dxa"/>
            <w:vAlign w:val="bottom"/>
          </w:tcPr>
          <w:p w14:paraId="32336D9C" w14:textId="77777777" w:rsidR="009A0A63" w:rsidRPr="00792B36" w:rsidRDefault="009A0A63" w:rsidP="00A24459">
            <w:pPr>
              <w:jc w:val="center"/>
              <w:rPr>
                <w:sz w:val="24"/>
                <w:szCs w:val="24"/>
              </w:rPr>
            </w:pPr>
            <w:r w:rsidRPr="00792B36">
              <w:rPr>
                <w:color w:val="000000"/>
                <w:sz w:val="24"/>
                <w:szCs w:val="24"/>
              </w:rPr>
              <w:t>0.90</w:t>
            </w:r>
          </w:p>
        </w:tc>
      </w:tr>
      <w:tr w:rsidR="009A0A63" w:rsidRPr="00792B36" w14:paraId="73153B9C" w14:textId="77777777" w:rsidTr="00A24459">
        <w:trPr>
          <w:trHeight w:val="283"/>
        </w:trPr>
        <w:tc>
          <w:tcPr>
            <w:tcW w:w="1157" w:type="dxa"/>
            <w:vMerge/>
          </w:tcPr>
          <w:p w14:paraId="0C409FF5" w14:textId="77777777" w:rsidR="009A0A63" w:rsidRPr="00792B36" w:rsidRDefault="009A0A63" w:rsidP="00A24459">
            <w:pPr>
              <w:jc w:val="thaiDistribute"/>
              <w:rPr>
                <w:rFonts w:eastAsiaTheme="minorEastAsia"/>
                <w:i/>
                <w:iCs/>
                <w:color w:val="000000" w:themeColor="text1"/>
                <w:kern w:val="24"/>
                <w:sz w:val="24"/>
                <w:szCs w:val="24"/>
              </w:rPr>
            </w:pPr>
          </w:p>
        </w:tc>
        <w:tc>
          <w:tcPr>
            <w:tcW w:w="2618" w:type="dxa"/>
          </w:tcPr>
          <w:p w14:paraId="2645228B" w14:textId="77777777" w:rsidR="009A0A63" w:rsidRPr="00792B36" w:rsidRDefault="009A0A63" w:rsidP="00A24459">
            <w:pPr>
              <w:jc w:val="thaiDistribute"/>
              <w:rPr>
                <w:b/>
                <w:bCs/>
                <w:sz w:val="24"/>
                <w:szCs w:val="24"/>
              </w:rPr>
            </w:pPr>
            <w:r w:rsidRPr="00792B36">
              <w:rPr>
                <w:rFonts w:eastAsiaTheme="minorEastAsia"/>
                <w:i/>
                <w:iCs/>
                <w:color w:val="000000" w:themeColor="text1"/>
                <w:kern w:val="24"/>
                <w:sz w:val="24"/>
                <w:szCs w:val="24"/>
              </w:rPr>
              <w:t>Uroteuthis chinensis</w:t>
            </w:r>
          </w:p>
        </w:tc>
        <w:tc>
          <w:tcPr>
            <w:tcW w:w="2323" w:type="dxa"/>
          </w:tcPr>
          <w:p w14:paraId="454AEC3D" w14:textId="77777777" w:rsidR="009A0A63" w:rsidRPr="00792B36" w:rsidRDefault="009A0A63" w:rsidP="00A24459">
            <w:pPr>
              <w:rPr>
                <w:sz w:val="24"/>
                <w:szCs w:val="24"/>
              </w:rPr>
            </w:pPr>
            <w:r w:rsidRPr="00792B36">
              <w:rPr>
                <w:sz w:val="24"/>
                <w:szCs w:val="24"/>
              </w:rPr>
              <w:t>Mitre squid</w:t>
            </w:r>
          </w:p>
        </w:tc>
        <w:tc>
          <w:tcPr>
            <w:tcW w:w="1232" w:type="dxa"/>
          </w:tcPr>
          <w:p w14:paraId="6655AD69" w14:textId="77777777" w:rsidR="009A0A63" w:rsidRPr="00792B36" w:rsidRDefault="009A0A63" w:rsidP="00A24459">
            <w:pPr>
              <w:ind w:right="35"/>
              <w:jc w:val="right"/>
              <w:rPr>
                <w:sz w:val="24"/>
                <w:szCs w:val="24"/>
              </w:rPr>
            </w:pPr>
            <w:r w:rsidRPr="00792B36">
              <w:rPr>
                <w:color w:val="000000"/>
                <w:sz w:val="24"/>
                <w:szCs w:val="24"/>
              </w:rPr>
              <w:t>7,916.26</w:t>
            </w:r>
          </w:p>
        </w:tc>
        <w:tc>
          <w:tcPr>
            <w:tcW w:w="1274" w:type="dxa"/>
          </w:tcPr>
          <w:p w14:paraId="7FEA7965" w14:textId="77777777" w:rsidR="009A0A63" w:rsidRPr="00792B36" w:rsidRDefault="009A0A63" w:rsidP="00A24459">
            <w:pPr>
              <w:ind w:right="36"/>
              <w:jc w:val="right"/>
              <w:rPr>
                <w:sz w:val="24"/>
                <w:szCs w:val="24"/>
              </w:rPr>
            </w:pPr>
            <w:r w:rsidRPr="00792B36">
              <w:rPr>
                <w:color w:val="000000"/>
                <w:sz w:val="24"/>
                <w:szCs w:val="24"/>
              </w:rPr>
              <w:t>5,734.46</w:t>
            </w:r>
          </w:p>
        </w:tc>
        <w:tc>
          <w:tcPr>
            <w:tcW w:w="1008" w:type="dxa"/>
            <w:vAlign w:val="bottom"/>
          </w:tcPr>
          <w:p w14:paraId="6140193E" w14:textId="77777777" w:rsidR="009A0A63" w:rsidRPr="00792B36" w:rsidRDefault="009A0A63" w:rsidP="00A24459">
            <w:pPr>
              <w:jc w:val="center"/>
              <w:rPr>
                <w:sz w:val="24"/>
                <w:szCs w:val="24"/>
              </w:rPr>
            </w:pPr>
            <w:r w:rsidRPr="00792B36">
              <w:rPr>
                <w:color w:val="000000"/>
                <w:sz w:val="24"/>
                <w:szCs w:val="24"/>
              </w:rPr>
              <w:t>1.38</w:t>
            </w:r>
          </w:p>
        </w:tc>
      </w:tr>
      <w:tr w:rsidR="009A0A63" w:rsidRPr="00792B36" w14:paraId="36B7D8BB" w14:textId="77777777" w:rsidTr="00A24459">
        <w:trPr>
          <w:trHeight w:val="283"/>
        </w:trPr>
        <w:tc>
          <w:tcPr>
            <w:tcW w:w="1157" w:type="dxa"/>
            <w:vMerge/>
            <w:tcBorders>
              <w:bottom w:val="single" w:sz="4" w:space="0" w:color="auto"/>
            </w:tcBorders>
          </w:tcPr>
          <w:p w14:paraId="109CB295" w14:textId="77777777" w:rsidR="009A0A63" w:rsidRPr="00792B36" w:rsidRDefault="009A0A63" w:rsidP="00A24459">
            <w:pPr>
              <w:jc w:val="thaiDistribute"/>
              <w:rPr>
                <w:rFonts w:eastAsiaTheme="minorEastAsia"/>
                <w:i/>
                <w:iCs/>
                <w:color w:val="000000" w:themeColor="text1"/>
                <w:kern w:val="24"/>
                <w:sz w:val="24"/>
                <w:szCs w:val="24"/>
              </w:rPr>
            </w:pPr>
          </w:p>
        </w:tc>
        <w:tc>
          <w:tcPr>
            <w:tcW w:w="2618" w:type="dxa"/>
            <w:tcBorders>
              <w:bottom w:val="single" w:sz="4" w:space="0" w:color="auto"/>
            </w:tcBorders>
            <w:vAlign w:val="center"/>
          </w:tcPr>
          <w:p w14:paraId="667BA89C" w14:textId="77777777" w:rsidR="009A0A63" w:rsidRPr="00792B36" w:rsidRDefault="009A0A63" w:rsidP="00A24459">
            <w:pPr>
              <w:jc w:val="thaiDistribute"/>
              <w:rPr>
                <w:rFonts w:eastAsiaTheme="minorEastAsia"/>
                <w:i/>
                <w:iCs/>
                <w:color w:val="000000" w:themeColor="text1"/>
                <w:kern w:val="24"/>
                <w:sz w:val="24"/>
                <w:szCs w:val="24"/>
              </w:rPr>
            </w:pPr>
            <w:r w:rsidRPr="00792B36">
              <w:rPr>
                <w:rFonts w:eastAsiaTheme="minorEastAsia"/>
                <w:i/>
                <w:iCs/>
                <w:color w:val="000000" w:themeColor="text1"/>
                <w:kern w:val="24"/>
                <w:sz w:val="24"/>
                <w:szCs w:val="24"/>
              </w:rPr>
              <w:t>Sepia aculeata</w:t>
            </w:r>
          </w:p>
        </w:tc>
        <w:tc>
          <w:tcPr>
            <w:tcW w:w="2323" w:type="dxa"/>
            <w:tcBorders>
              <w:bottom w:val="single" w:sz="4" w:space="0" w:color="auto"/>
            </w:tcBorders>
          </w:tcPr>
          <w:p w14:paraId="31006880" w14:textId="77777777" w:rsidR="009A0A63" w:rsidRPr="00792B36" w:rsidRDefault="009A0A63" w:rsidP="00A24459">
            <w:pPr>
              <w:rPr>
                <w:sz w:val="24"/>
                <w:szCs w:val="24"/>
              </w:rPr>
            </w:pPr>
            <w:r w:rsidRPr="00792B36">
              <w:rPr>
                <w:sz w:val="24"/>
                <w:szCs w:val="24"/>
              </w:rPr>
              <w:t>Needle cuttlefish</w:t>
            </w:r>
          </w:p>
        </w:tc>
        <w:tc>
          <w:tcPr>
            <w:tcW w:w="1232" w:type="dxa"/>
            <w:tcBorders>
              <w:bottom w:val="single" w:sz="4" w:space="0" w:color="auto"/>
            </w:tcBorders>
          </w:tcPr>
          <w:p w14:paraId="77B5CBB1" w14:textId="77777777" w:rsidR="009A0A63" w:rsidRPr="00792B36" w:rsidRDefault="009A0A63" w:rsidP="00A24459">
            <w:pPr>
              <w:ind w:right="35"/>
              <w:jc w:val="right"/>
              <w:rPr>
                <w:sz w:val="24"/>
                <w:szCs w:val="24"/>
              </w:rPr>
            </w:pPr>
            <w:r w:rsidRPr="00792B36">
              <w:rPr>
                <w:color w:val="000000"/>
                <w:sz w:val="24"/>
                <w:szCs w:val="24"/>
              </w:rPr>
              <w:t>1,574.53</w:t>
            </w:r>
          </w:p>
        </w:tc>
        <w:tc>
          <w:tcPr>
            <w:tcW w:w="1274" w:type="dxa"/>
            <w:tcBorders>
              <w:bottom w:val="single" w:sz="4" w:space="0" w:color="auto"/>
            </w:tcBorders>
          </w:tcPr>
          <w:p w14:paraId="1454334C" w14:textId="77777777" w:rsidR="009A0A63" w:rsidRPr="00792B36" w:rsidRDefault="009A0A63" w:rsidP="00A24459">
            <w:pPr>
              <w:ind w:right="36"/>
              <w:jc w:val="right"/>
              <w:rPr>
                <w:sz w:val="24"/>
                <w:szCs w:val="24"/>
              </w:rPr>
            </w:pPr>
            <w:r w:rsidRPr="00792B36">
              <w:rPr>
                <w:color w:val="000000"/>
                <w:sz w:val="24"/>
                <w:szCs w:val="24"/>
              </w:rPr>
              <w:t>1,574.53</w:t>
            </w:r>
          </w:p>
        </w:tc>
        <w:tc>
          <w:tcPr>
            <w:tcW w:w="1008" w:type="dxa"/>
            <w:tcBorders>
              <w:bottom w:val="single" w:sz="4" w:space="0" w:color="auto"/>
            </w:tcBorders>
            <w:vAlign w:val="bottom"/>
          </w:tcPr>
          <w:p w14:paraId="7D40B6F5" w14:textId="77777777" w:rsidR="009A0A63" w:rsidRPr="00792B36" w:rsidRDefault="009A0A63" w:rsidP="00A24459">
            <w:pPr>
              <w:jc w:val="center"/>
              <w:rPr>
                <w:sz w:val="24"/>
                <w:szCs w:val="24"/>
              </w:rPr>
            </w:pPr>
            <w:r w:rsidRPr="00792B36">
              <w:rPr>
                <w:color w:val="000000"/>
                <w:sz w:val="24"/>
                <w:szCs w:val="24"/>
              </w:rPr>
              <w:t>1.00</w:t>
            </w:r>
          </w:p>
        </w:tc>
      </w:tr>
      <w:tr w:rsidR="009A0A63" w:rsidRPr="00792B36" w14:paraId="7130C523" w14:textId="77777777" w:rsidTr="00A24459">
        <w:trPr>
          <w:trHeight w:val="283"/>
        </w:trPr>
        <w:tc>
          <w:tcPr>
            <w:tcW w:w="1157" w:type="dxa"/>
            <w:vMerge w:val="restart"/>
            <w:tcBorders>
              <w:top w:val="single" w:sz="4" w:space="0" w:color="auto"/>
            </w:tcBorders>
          </w:tcPr>
          <w:p w14:paraId="46023DD9" w14:textId="77777777" w:rsidR="009A0A63" w:rsidRPr="00792B36" w:rsidRDefault="009A0A63" w:rsidP="00A24459">
            <w:pPr>
              <w:rPr>
                <w:rFonts w:eastAsiaTheme="minorEastAsia"/>
                <w:color w:val="000000" w:themeColor="text1"/>
                <w:kern w:val="24"/>
                <w:sz w:val="24"/>
                <w:szCs w:val="24"/>
              </w:rPr>
            </w:pPr>
            <w:r w:rsidRPr="00792B36">
              <w:rPr>
                <w:rFonts w:eastAsiaTheme="minorEastAsia"/>
                <w:color w:val="000000" w:themeColor="text1"/>
                <w:kern w:val="24"/>
                <w:sz w:val="24"/>
                <w:szCs w:val="24"/>
              </w:rPr>
              <w:t>Pelagic fish</w:t>
            </w:r>
          </w:p>
        </w:tc>
        <w:tc>
          <w:tcPr>
            <w:tcW w:w="2618" w:type="dxa"/>
            <w:tcBorders>
              <w:top w:val="single" w:sz="4" w:space="0" w:color="auto"/>
            </w:tcBorders>
            <w:vAlign w:val="center"/>
          </w:tcPr>
          <w:p w14:paraId="5F0B8559" w14:textId="77777777" w:rsidR="009A0A63" w:rsidRPr="00792B36" w:rsidRDefault="009A0A63" w:rsidP="00A24459">
            <w:pPr>
              <w:jc w:val="thaiDistribute"/>
              <w:rPr>
                <w:rFonts w:eastAsiaTheme="minorEastAsia"/>
                <w:i/>
                <w:iCs/>
                <w:color w:val="000000" w:themeColor="text1"/>
                <w:kern w:val="24"/>
                <w:sz w:val="24"/>
                <w:szCs w:val="24"/>
              </w:rPr>
            </w:pPr>
            <w:r w:rsidRPr="00792B36">
              <w:rPr>
                <w:rFonts w:eastAsiaTheme="minorEastAsia"/>
                <w:i/>
                <w:iCs/>
                <w:color w:val="000000" w:themeColor="text1"/>
                <w:kern w:val="24"/>
                <w:sz w:val="24"/>
                <w:szCs w:val="24"/>
              </w:rPr>
              <w:t>Rastrelliger brachysoma</w:t>
            </w:r>
          </w:p>
        </w:tc>
        <w:tc>
          <w:tcPr>
            <w:tcW w:w="2323" w:type="dxa"/>
            <w:tcBorders>
              <w:top w:val="single" w:sz="4" w:space="0" w:color="auto"/>
            </w:tcBorders>
          </w:tcPr>
          <w:p w14:paraId="5807872A" w14:textId="77777777" w:rsidR="009A0A63" w:rsidRPr="00792B36" w:rsidRDefault="009A0A63" w:rsidP="00A24459">
            <w:pPr>
              <w:rPr>
                <w:sz w:val="24"/>
                <w:szCs w:val="24"/>
              </w:rPr>
            </w:pPr>
            <w:r w:rsidRPr="00792B36">
              <w:rPr>
                <w:sz w:val="24"/>
                <w:szCs w:val="24"/>
              </w:rPr>
              <w:t>Short mackerel</w:t>
            </w:r>
          </w:p>
        </w:tc>
        <w:tc>
          <w:tcPr>
            <w:tcW w:w="1232" w:type="dxa"/>
            <w:tcBorders>
              <w:top w:val="single" w:sz="4" w:space="0" w:color="auto"/>
            </w:tcBorders>
          </w:tcPr>
          <w:p w14:paraId="33D93C50" w14:textId="77777777" w:rsidR="009A0A63" w:rsidRPr="00792B36" w:rsidRDefault="009A0A63" w:rsidP="00A24459">
            <w:pPr>
              <w:ind w:right="35"/>
              <w:jc w:val="right"/>
              <w:rPr>
                <w:sz w:val="24"/>
                <w:szCs w:val="24"/>
              </w:rPr>
            </w:pPr>
            <w:r w:rsidRPr="00792B36">
              <w:rPr>
                <w:color w:val="000000"/>
                <w:sz w:val="24"/>
                <w:szCs w:val="24"/>
              </w:rPr>
              <w:t>9,131.67</w:t>
            </w:r>
          </w:p>
        </w:tc>
        <w:tc>
          <w:tcPr>
            <w:tcW w:w="1274" w:type="dxa"/>
            <w:tcBorders>
              <w:top w:val="single" w:sz="4" w:space="0" w:color="auto"/>
            </w:tcBorders>
          </w:tcPr>
          <w:p w14:paraId="2FEB8BAD" w14:textId="77777777" w:rsidR="009A0A63" w:rsidRPr="00792B36" w:rsidRDefault="009A0A63" w:rsidP="00A24459">
            <w:pPr>
              <w:ind w:right="36"/>
              <w:jc w:val="right"/>
              <w:rPr>
                <w:sz w:val="24"/>
                <w:szCs w:val="24"/>
              </w:rPr>
            </w:pPr>
            <w:r w:rsidRPr="00792B36">
              <w:rPr>
                <w:color w:val="000000"/>
                <w:sz w:val="24"/>
                <w:szCs w:val="24"/>
              </w:rPr>
              <w:t>7,542.51</w:t>
            </w:r>
          </w:p>
        </w:tc>
        <w:tc>
          <w:tcPr>
            <w:tcW w:w="1008" w:type="dxa"/>
            <w:tcBorders>
              <w:top w:val="single" w:sz="4" w:space="0" w:color="auto"/>
            </w:tcBorders>
            <w:vAlign w:val="bottom"/>
          </w:tcPr>
          <w:p w14:paraId="7A5A31AD" w14:textId="77777777" w:rsidR="009A0A63" w:rsidRPr="00792B36" w:rsidRDefault="009A0A63" w:rsidP="00A24459">
            <w:pPr>
              <w:jc w:val="center"/>
              <w:rPr>
                <w:sz w:val="24"/>
                <w:szCs w:val="24"/>
              </w:rPr>
            </w:pPr>
            <w:r w:rsidRPr="00792B36">
              <w:rPr>
                <w:color w:val="000000"/>
                <w:sz w:val="24"/>
                <w:szCs w:val="24"/>
              </w:rPr>
              <w:t>1.21</w:t>
            </w:r>
          </w:p>
        </w:tc>
      </w:tr>
      <w:tr w:rsidR="009A0A63" w:rsidRPr="00792B36" w14:paraId="7A5196B9" w14:textId="77777777" w:rsidTr="00A24459">
        <w:trPr>
          <w:trHeight w:val="283"/>
        </w:trPr>
        <w:tc>
          <w:tcPr>
            <w:tcW w:w="1157" w:type="dxa"/>
            <w:vMerge/>
          </w:tcPr>
          <w:p w14:paraId="7707C353" w14:textId="77777777" w:rsidR="009A0A63" w:rsidRPr="00792B36" w:rsidRDefault="009A0A63" w:rsidP="00A24459">
            <w:pPr>
              <w:jc w:val="thaiDistribute"/>
              <w:rPr>
                <w:rFonts w:eastAsiaTheme="minorEastAsia"/>
                <w:i/>
                <w:iCs/>
                <w:color w:val="000000" w:themeColor="text1"/>
                <w:kern w:val="24"/>
                <w:sz w:val="24"/>
                <w:szCs w:val="24"/>
              </w:rPr>
            </w:pPr>
          </w:p>
        </w:tc>
        <w:tc>
          <w:tcPr>
            <w:tcW w:w="2618" w:type="dxa"/>
            <w:vAlign w:val="center"/>
          </w:tcPr>
          <w:p w14:paraId="7FDD51D7" w14:textId="77777777" w:rsidR="009A0A63" w:rsidRPr="00792B36" w:rsidRDefault="009A0A63" w:rsidP="00A24459">
            <w:pPr>
              <w:jc w:val="thaiDistribute"/>
              <w:rPr>
                <w:rFonts w:eastAsiaTheme="minorEastAsia"/>
                <w:i/>
                <w:iCs/>
                <w:color w:val="000000" w:themeColor="text1"/>
                <w:kern w:val="24"/>
                <w:sz w:val="24"/>
                <w:szCs w:val="24"/>
              </w:rPr>
            </w:pPr>
            <w:r w:rsidRPr="00792B36">
              <w:rPr>
                <w:rFonts w:eastAsiaTheme="minorEastAsia"/>
                <w:i/>
                <w:iCs/>
                <w:color w:val="000000" w:themeColor="text1"/>
                <w:kern w:val="24"/>
                <w:sz w:val="24"/>
                <w:szCs w:val="24"/>
              </w:rPr>
              <w:t>Rastrelliger kanagurta</w:t>
            </w:r>
          </w:p>
        </w:tc>
        <w:tc>
          <w:tcPr>
            <w:tcW w:w="2323" w:type="dxa"/>
          </w:tcPr>
          <w:p w14:paraId="6899ADB3" w14:textId="77777777" w:rsidR="009A0A63" w:rsidRPr="00792B36" w:rsidRDefault="009A0A63" w:rsidP="00A24459">
            <w:pPr>
              <w:rPr>
                <w:sz w:val="24"/>
                <w:szCs w:val="24"/>
              </w:rPr>
            </w:pPr>
            <w:r w:rsidRPr="00792B36">
              <w:rPr>
                <w:sz w:val="24"/>
                <w:szCs w:val="24"/>
              </w:rPr>
              <w:t>Indian mackerel</w:t>
            </w:r>
          </w:p>
        </w:tc>
        <w:tc>
          <w:tcPr>
            <w:tcW w:w="1232" w:type="dxa"/>
          </w:tcPr>
          <w:p w14:paraId="6AA98AF6" w14:textId="77777777" w:rsidR="009A0A63" w:rsidRPr="00792B36" w:rsidRDefault="009A0A63" w:rsidP="00A24459">
            <w:pPr>
              <w:ind w:right="35"/>
              <w:jc w:val="right"/>
              <w:rPr>
                <w:sz w:val="24"/>
                <w:szCs w:val="24"/>
              </w:rPr>
            </w:pPr>
            <w:r w:rsidRPr="00792B36">
              <w:rPr>
                <w:color w:val="000000"/>
                <w:sz w:val="24"/>
                <w:szCs w:val="24"/>
              </w:rPr>
              <w:t>18,174.25</w:t>
            </w:r>
          </w:p>
        </w:tc>
        <w:tc>
          <w:tcPr>
            <w:tcW w:w="1274" w:type="dxa"/>
          </w:tcPr>
          <w:p w14:paraId="0544DE88" w14:textId="77777777" w:rsidR="009A0A63" w:rsidRPr="00792B36" w:rsidRDefault="009A0A63" w:rsidP="00A24459">
            <w:pPr>
              <w:ind w:right="36"/>
              <w:jc w:val="right"/>
              <w:rPr>
                <w:sz w:val="24"/>
                <w:szCs w:val="24"/>
              </w:rPr>
            </w:pPr>
            <w:r w:rsidRPr="00792B36">
              <w:rPr>
                <w:color w:val="000000"/>
                <w:sz w:val="24"/>
                <w:szCs w:val="24"/>
              </w:rPr>
              <w:t>15,112.42</w:t>
            </w:r>
          </w:p>
        </w:tc>
        <w:tc>
          <w:tcPr>
            <w:tcW w:w="1008" w:type="dxa"/>
            <w:vAlign w:val="bottom"/>
          </w:tcPr>
          <w:p w14:paraId="3E19AEBE" w14:textId="77777777" w:rsidR="009A0A63" w:rsidRPr="00792B36" w:rsidRDefault="009A0A63" w:rsidP="00A24459">
            <w:pPr>
              <w:jc w:val="center"/>
              <w:rPr>
                <w:sz w:val="24"/>
                <w:szCs w:val="24"/>
              </w:rPr>
            </w:pPr>
            <w:r w:rsidRPr="00792B36">
              <w:rPr>
                <w:color w:val="000000"/>
                <w:sz w:val="24"/>
                <w:szCs w:val="24"/>
              </w:rPr>
              <w:t>1.20</w:t>
            </w:r>
          </w:p>
        </w:tc>
      </w:tr>
      <w:tr w:rsidR="009A0A63" w:rsidRPr="00792B36" w14:paraId="545D3E1B" w14:textId="77777777" w:rsidTr="00A24459">
        <w:trPr>
          <w:trHeight w:val="283"/>
        </w:trPr>
        <w:tc>
          <w:tcPr>
            <w:tcW w:w="1157" w:type="dxa"/>
            <w:vMerge/>
          </w:tcPr>
          <w:p w14:paraId="27102009" w14:textId="77777777" w:rsidR="009A0A63" w:rsidRPr="00792B36" w:rsidRDefault="009A0A63" w:rsidP="00A24459">
            <w:pPr>
              <w:jc w:val="thaiDistribute"/>
              <w:rPr>
                <w:rFonts w:eastAsiaTheme="minorEastAsia"/>
                <w:i/>
                <w:iCs/>
                <w:color w:val="000000" w:themeColor="text1"/>
                <w:kern w:val="24"/>
                <w:sz w:val="24"/>
                <w:szCs w:val="24"/>
              </w:rPr>
            </w:pPr>
          </w:p>
        </w:tc>
        <w:tc>
          <w:tcPr>
            <w:tcW w:w="2618" w:type="dxa"/>
            <w:vAlign w:val="center"/>
          </w:tcPr>
          <w:p w14:paraId="30A9B13E" w14:textId="77777777" w:rsidR="009A0A63" w:rsidRPr="00792B36" w:rsidRDefault="009A0A63" w:rsidP="00A24459">
            <w:pPr>
              <w:jc w:val="thaiDistribute"/>
              <w:rPr>
                <w:rFonts w:eastAsiaTheme="minorEastAsia"/>
                <w:i/>
                <w:iCs/>
                <w:color w:val="000000" w:themeColor="text1"/>
                <w:kern w:val="24"/>
                <w:sz w:val="24"/>
                <w:szCs w:val="24"/>
              </w:rPr>
            </w:pPr>
            <w:r w:rsidRPr="00792B36">
              <w:rPr>
                <w:rFonts w:eastAsiaTheme="minorEastAsia"/>
                <w:i/>
                <w:iCs/>
                <w:color w:val="000000" w:themeColor="text1"/>
                <w:kern w:val="24"/>
                <w:sz w:val="24"/>
                <w:szCs w:val="24"/>
              </w:rPr>
              <w:t>Sardinella gibbosa</w:t>
            </w:r>
          </w:p>
        </w:tc>
        <w:tc>
          <w:tcPr>
            <w:tcW w:w="2323" w:type="dxa"/>
          </w:tcPr>
          <w:p w14:paraId="7901654C" w14:textId="77777777" w:rsidR="009A0A63" w:rsidRPr="00792B36" w:rsidRDefault="009A0A63" w:rsidP="00A24459">
            <w:pPr>
              <w:rPr>
                <w:sz w:val="24"/>
                <w:szCs w:val="24"/>
              </w:rPr>
            </w:pPr>
            <w:r w:rsidRPr="00792B36">
              <w:rPr>
                <w:sz w:val="24"/>
                <w:szCs w:val="24"/>
              </w:rPr>
              <w:t>Goldstripe sardine</w:t>
            </w:r>
          </w:p>
        </w:tc>
        <w:tc>
          <w:tcPr>
            <w:tcW w:w="1232" w:type="dxa"/>
          </w:tcPr>
          <w:p w14:paraId="45980347" w14:textId="77777777" w:rsidR="009A0A63" w:rsidRPr="00792B36" w:rsidRDefault="009A0A63" w:rsidP="00A24459">
            <w:pPr>
              <w:ind w:right="35"/>
              <w:jc w:val="right"/>
              <w:rPr>
                <w:sz w:val="24"/>
                <w:szCs w:val="24"/>
              </w:rPr>
            </w:pPr>
            <w:r w:rsidRPr="00792B36">
              <w:rPr>
                <w:color w:val="000000"/>
                <w:sz w:val="24"/>
                <w:szCs w:val="24"/>
              </w:rPr>
              <w:t>62,781.45</w:t>
            </w:r>
          </w:p>
        </w:tc>
        <w:tc>
          <w:tcPr>
            <w:tcW w:w="1274" w:type="dxa"/>
          </w:tcPr>
          <w:p w14:paraId="73C29F92" w14:textId="77777777" w:rsidR="009A0A63" w:rsidRPr="00792B36" w:rsidRDefault="009A0A63" w:rsidP="00A24459">
            <w:pPr>
              <w:ind w:right="36"/>
              <w:jc w:val="right"/>
              <w:rPr>
                <w:spacing w:val="-6"/>
                <w:sz w:val="24"/>
                <w:szCs w:val="24"/>
              </w:rPr>
            </w:pPr>
            <w:r w:rsidRPr="00792B36">
              <w:rPr>
                <w:color w:val="000000"/>
                <w:spacing w:val="-6"/>
                <w:sz w:val="24"/>
                <w:szCs w:val="24"/>
              </w:rPr>
              <w:t>100,703.42</w:t>
            </w:r>
          </w:p>
        </w:tc>
        <w:tc>
          <w:tcPr>
            <w:tcW w:w="1008" w:type="dxa"/>
            <w:vAlign w:val="bottom"/>
          </w:tcPr>
          <w:p w14:paraId="0C7089A5" w14:textId="77777777" w:rsidR="009A0A63" w:rsidRPr="00792B36" w:rsidRDefault="009A0A63" w:rsidP="00A24459">
            <w:pPr>
              <w:jc w:val="center"/>
              <w:rPr>
                <w:sz w:val="24"/>
                <w:szCs w:val="24"/>
              </w:rPr>
            </w:pPr>
            <w:r w:rsidRPr="00792B36">
              <w:rPr>
                <w:color w:val="000000"/>
                <w:sz w:val="24"/>
                <w:szCs w:val="24"/>
              </w:rPr>
              <w:t>0.62</w:t>
            </w:r>
          </w:p>
        </w:tc>
      </w:tr>
      <w:tr w:rsidR="009A0A63" w:rsidRPr="00792B36" w14:paraId="1E31B544" w14:textId="77777777" w:rsidTr="00A24459">
        <w:trPr>
          <w:trHeight w:val="283"/>
        </w:trPr>
        <w:tc>
          <w:tcPr>
            <w:tcW w:w="1157" w:type="dxa"/>
            <w:vMerge/>
            <w:tcBorders>
              <w:bottom w:val="single" w:sz="4" w:space="0" w:color="auto"/>
            </w:tcBorders>
          </w:tcPr>
          <w:p w14:paraId="1824705F" w14:textId="77777777" w:rsidR="009A0A63" w:rsidRPr="00792B36" w:rsidRDefault="009A0A63" w:rsidP="00A24459">
            <w:pPr>
              <w:jc w:val="thaiDistribute"/>
              <w:rPr>
                <w:rFonts w:eastAsiaTheme="minorEastAsia"/>
                <w:i/>
                <w:iCs/>
                <w:color w:val="000000" w:themeColor="text1"/>
                <w:kern w:val="24"/>
                <w:sz w:val="24"/>
                <w:szCs w:val="24"/>
              </w:rPr>
            </w:pPr>
          </w:p>
        </w:tc>
        <w:tc>
          <w:tcPr>
            <w:tcW w:w="2618" w:type="dxa"/>
            <w:tcBorders>
              <w:bottom w:val="single" w:sz="4" w:space="0" w:color="auto"/>
            </w:tcBorders>
            <w:vAlign w:val="center"/>
          </w:tcPr>
          <w:p w14:paraId="48F7A8D4" w14:textId="77777777" w:rsidR="009A0A63" w:rsidRPr="00792B36" w:rsidRDefault="009A0A63" w:rsidP="00A24459">
            <w:pPr>
              <w:jc w:val="thaiDistribute"/>
              <w:rPr>
                <w:rFonts w:eastAsiaTheme="minorEastAsia"/>
                <w:i/>
                <w:iCs/>
                <w:color w:val="000000" w:themeColor="text1"/>
                <w:kern w:val="24"/>
                <w:sz w:val="24"/>
                <w:szCs w:val="24"/>
              </w:rPr>
            </w:pPr>
            <w:r w:rsidRPr="00792B36">
              <w:rPr>
                <w:rFonts w:eastAsiaTheme="minorEastAsia"/>
                <w:i/>
                <w:iCs/>
                <w:color w:val="000000" w:themeColor="text1"/>
                <w:kern w:val="24"/>
                <w:sz w:val="24"/>
                <w:szCs w:val="24"/>
              </w:rPr>
              <w:t>Selaroides leptolepis</w:t>
            </w:r>
          </w:p>
        </w:tc>
        <w:tc>
          <w:tcPr>
            <w:tcW w:w="2323" w:type="dxa"/>
            <w:tcBorders>
              <w:bottom w:val="single" w:sz="4" w:space="0" w:color="auto"/>
            </w:tcBorders>
          </w:tcPr>
          <w:p w14:paraId="6014AF52" w14:textId="77777777" w:rsidR="009A0A63" w:rsidRPr="00792B36" w:rsidRDefault="009A0A63" w:rsidP="00A24459">
            <w:pPr>
              <w:rPr>
                <w:sz w:val="24"/>
                <w:szCs w:val="24"/>
              </w:rPr>
            </w:pPr>
            <w:r w:rsidRPr="00792B36">
              <w:rPr>
                <w:sz w:val="24"/>
                <w:szCs w:val="24"/>
              </w:rPr>
              <w:t>Yellowstripe scad</w:t>
            </w:r>
          </w:p>
        </w:tc>
        <w:tc>
          <w:tcPr>
            <w:tcW w:w="1232" w:type="dxa"/>
            <w:tcBorders>
              <w:bottom w:val="single" w:sz="4" w:space="0" w:color="auto"/>
            </w:tcBorders>
          </w:tcPr>
          <w:p w14:paraId="1496C29F" w14:textId="77777777" w:rsidR="009A0A63" w:rsidRPr="00792B36" w:rsidRDefault="009A0A63" w:rsidP="00A24459">
            <w:pPr>
              <w:ind w:right="35"/>
              <w:jc w:val="right"/>
              <w:rPr>
                <w:sz w:val="24"/>
                <w:szCs w:val="24"/>
              </w:rPr>
            </w:pPr>
            <w:r w:rsidRPr="00792B36">
              <w:rPr>
                <w:color w:val="000000"/>
                <w:sz w:val="24"/>
                <w:szCs w:val="24"/>
              </w:rPr>
              <w:t>2,707.28</w:t>
            </w:r>
          </w:p>
        </w:tc>
        <w:tc>
          <w:tcPr>
            <w:tcW w:w="1274" w:type="dxa"/>
            <w:tcBorders>
              <w:bottom w:val="single" w:sz="4" w:space="0" w:color="auto"/>
            </w:tcBorders>
          </w:tcPr>
          <w:p w14:paraId="76B4FB77" w14:textId="77777777" w:rsidR="009A0A63" w:rsidRPr="00792B36" w:rsidRDefault="009A0A63" w:rsidP="00A24459">
            <w:pPr>
              <w:ind w:right="36"/>
              <w:jc w:val="right"/>
              <w:rPr>
                <w:sz w:val="24"/>
                <w:szCs w:val="24"/>
              </w:rPr>
            </w:pPr>
            <w:r w:rsidRPr="00792B36">
              <w:rPr>
                <w:color w:val="000000"/>
                <w:sz w:val="24"/>
                <w:szCs w:val="24"/>
              </w:rPr>
              <w:t>5,976.92</w:t>
            </w:r>
          </w:p>
        </w:tc>
        <w:tc>
          <w:tcPr>
            <w:tcW w:w="1008" w:type="dxa"/>
            <w:tcBorders>
              <w:bottom w:val="single" w:sz="4" w:space="0" w:color="auto"/>
            </w:tcBorders>
            <w:vAlign w:val="bottom"/>
          </w:tcPr>
          <w:p w14:paraId="181FFCCB" w14:textId="77777777" w:rsidR="009A0A63" w:rsidRPr="00792B36" w:rsidRDefault="009A0A63" w:rsidP="00A24459">
            <w:pPr>
              <w:jc w:val="center"/>
              <w:rPr>
                <w:sz w:val="24"/>
                <w:szCs w:val="24"/>
              </w:rPr>
            </w:pPr>
            <w:r w:rsidRPr="00792B36">
              <w:rPr>
                <w:color w:val="000000"/>
                <w:sz w:val="24"/>
                <w:szCs w:val="24"/>
              </w:rPr>
              <w:t>0.45</w:t>
            </w:r>
          </w:p>
        </w:tc>
      </w:tr>
      <w:tr w:rsidR="009A0A63" w:rsidRPr="00792B36" w14:paraId="362F2B26" w14:textId="77777777" w:rsidTr="00A24459">
        <w:trPr>
          <w:trHeight w:val="283"/>
        </w:trPr>
        <w:tc>
          <w:tcPr>
            <w:tcW w:w="1157" w:type="dxa"/>
            <w:tcBorders>
              <w:top w:val="single" w:sz="4" w:space="0" w:color="auto"/>
              <w:bottom w:val="single" w:sz="4" w:space="0" w:color="auto"/>
            </w:tcBorders>
          </w:tcPr>
          <w:p w14:paraId="7403AA0C" w14:textId="77777777" w:rsidR="009A0A63" w:rsidRPr="00792B36" w:rsidRDefault="009A0A63" w:rsidP="00A24459">
            <w:pPr>
              <w:jc w:val="thaiDistribute"/>
              <w:rPr>
                <w:color w:val="000000"/>
                <w:sz w:val="24"/>
                <w:szCs w:val="24"/>
              </w:rPr>
            </w:pPr>
            <w:r w:rsidRPr="00792B36">
              <w:rPr>
                <w:color w:val="000000"/>
                <w:sz w:val="24"/>
                <w:szCs w:val="24"/>
              </w:rPr>
              <w:t>Anchovy</w:t>
            </w:r>
          </w:p>
        </w:tc>
        <w:tc>
          <w:tcPr>
            <w:tcW w:w="2618" w:type="dxa"/>
            <w:tcBorders>
              <w:top w:val="single" w:sz="4" w:space="0" w:color="auto"/>
              <w:bottom w:val="single" w:sz="4" w:space="0" w:color="auto"/>
            </w:tcBorders>
            <w:vAlign w:val="center"/>
          </w:tcPr>
          <w:p w14:paraId="4B9F7EFA" w14:textId="77777777" w:rsidR="009A0A63" w:rsidRPr="00792B36" w:rsidRDefault="009A0A63" w:rsidP="00A24459">
            <w:pPr>
              <w:jc w:val="thaiDistribute"/>
              <w:rPr>
                <w:spacing w:val="-6"/>
                <w:sz w:val="24"/>
                <w:szCs w:val="24"/>
              </w:rPr>
            </w:pPr>
            <w:r w:rsidRPr="00792B36">
              <w:rPr>
                <w:i/>
                <w:iCs/>
                <w:color w:val="000000"/>
                <w:spacing w:val="-6"/>
                <w:sz w:val="24"/>
                <w:szCs w:val="24"/>
              </w:rPr>
              <w:t>Encrasicholina heteroloba</w:t>
            </w:r>
          </w:p>
        </w:tc>
        <w:tc>
          <w:tcPr>
            <w:tcW w:w="2323" w:type="dxa"/>
            <w:tcBorders>
              <w:top w:val="single" w:sz="4" w:space="0" w:color="auto"/>
              <w:bottom w:val="single" w:sz="4" w:space="0" w:color="auto"/>
            </w:tcBorders>
          </w:tcPr>
          <w:p w14:paraId="40D716F6" w14:textId="77777777" w:rsidR="009A0A63" w:rsidRPr="00792B36" w:rsidRDefault="009A0A63" w:rsidP="00A24459">
            <w:pPr>
              <w:rPr>
                <w:sz w:val="24"/>
                <w:szCs w:val="24"/>
              </w:rPr>
            </w:pPr>
            <w:r w:rsidRPr="00792B36">
              <w:rPr>
                <w:sz w:val="24"/>
                <w:szCs w:val="24"/>
              </w:rPr>
              <w:t>Shorthead anchovy</w:t>
            </w:r>
          </w:p>
        </w:tc>
        <w:tc>
          <w:tcPr>
            <w:tcW w:w="1232" w:type="dxa"/>
            <w:tcBorders>
              <w:top w:val="single" w:sz="4" w:space="0" w:color="auto"/>
              <w:bottom w:val="single" w:sz="4" w:space="0" w:color="auto"/>
            </w:tcBorders>
          </w:tcPr>
          <w:p w14:paraId="1698A28D" w14:textId="77777777" w:rsidR="009A0A63" w:rsidRPr="00792B36" w:rsidRDefault="009A0A63" w:rsidP="00A24459">
            <w:pPr>
              <w:ind w:right="35"/>
              <w:jc w:val="right"/>
              <w:rPr>
                <w:sz w:val="24"/>
                <w:szCs w:val="24"/>
              </w:rPr>
            </w:pPr>
            <w:r w:rsidRPr="00792B36">
              <w:rPr>
                <w:color w:val="000000"/>
                <w:sz w:val="24"/>
                <w:szCs w:val="24"/>
              </w:rPr>
              <w:t>17,470.37</w:t>
            </w:r>
          </w:p>
        </w:tc>
        <w:tc>
          <w:tcPr>
            <w:tcW w:w="1274" w:type="dxa"/>
            <w:tcBorders>
              <w:top w:val="single" w:sz="4" w:space="0" w:color="auto"/>
              <w:bottom w:val="single" w:sz="4" w:space="0" w:color="auto"/>
            </w:tcBorders>
          </w:tcPr>
          <w:p w14:paraId="78A0C420" w14:textId="77777777" w:rsidR="009A0A63" w:rsidRPr="00792B36" w:rsidRDefault="009A0A63" w:rsidP="00A24459">
            <w:pPr>
              <w:ind w:right="36"/>
              <w:jc w:val="right"/>
              <w:rPr>
                <w:sz w:val="24"/>
                <w:szCs w:val="24"/>
              </w:rPr>
            </w:pPr>
            <w:r w:rsidRPr="00792B36">
              <w:rPr>
                <w:color w:val="000000"/>
                <w:sz w:val="24"/>
                <w:szCs w:val="24"/>
              </w:rPr>
              <w:t>12,067.86</w:t>
            </w:r>
          </w:p>
        </w:tc>
        <w:tc>
          <w:tcPr>
            <w:tcW w:w="1008" w:type="dxa"/>
            <w:tcBorders>
              <w:top w:val="single" w:sz="4" w:space="0" w:color="auto"/>
              <w:bottom w:val="single" w:sz="4" w:space="0" w:color="auto"/>
            </w:tcBorders>
            <w:vAlign w:val="bottom"/>
          </w:tcPr>
          <w:p w14:paraId="4A90F5B6" w14:textId="77777777" w:rsidR="009A0A63" w:rsidRPr="00792B36" w:rsidRDefault="009A0A63" w:rsidP="00A24459">
            <w:pPr>
              <w:jc w:val="center"/>
              <w:rPr>
                <w:sz w:val="24"/>
                <w:szCs w:val="24"/>
              </w:rPr>
            </w:pPr>
            <w:r w:rsidRPr="00792B36">
              <w:rPr>
                <w:color w:val="000000"/>
                <w:sz w:val="24"/>
                <w:szCs w:val="24"/>
              </w:rPr>
              <w:t>1.45</w:t>
            </w:r>
          </w:p>
        </w:tc>
      </w:tr>
    </w:tbl>
    <w:p w14:paraId="4A971716" w14:textId="77777777" w:rsidR="009A0A63" w:rsidRPr="00792B36" w:rsidRDefault="009A0A63" w:rsidP="009A0A63">
      <w:pPr>
        <w:rPr>
          <w:b/>
          <w:bCs/>
          <w:sz w:val="24"/>
          <w:szCs w:val="24"/>
        </w:rPr>
      </w:pPr>
    </w:p>
    <w:tbl>
      <w:tblPr>
        <w:tblStyle w:val="TableGrid"/>
        <w:tblW w:w="0" w:type="auto"/>
        <w:tblInd w:w="-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26"/>
        <w:gridCol w:w="6999"/>
      </w:tblGrid>
      <w:tr w:rsidR="009A0A63" w:rsidRPr="00792B36" w14:paraId="69A333E6" w14:textId="77777777" w:rsidTr="00A24459">
        <w:tc>
          <w:tcPr>
            <w:tcW w:w="2063" w:type="dxa"/>
          </w:tcPr>
          <w:p w14:paraId="215D8F5F" w14:textId="77777777" w:rsidR="009A0A63" w:rsidRPr="00792B36" w:rsidRDefault="009A0A63" w:rsidP="00A24459">
            <w:pPr>
              <w:rPr>
                <w:sz w:val="24"/>
                <w:szCs w:val="24"/>
              </w:rPr>
            </w:pPr>
            <w:r w:rsidRPr="00792B36">
              <w:rPr>
                <w:b/>
                <w:bCs/>
                <w:sz w:val="24"/>
                <w:szCs w:val="24"/>
              </w:rPr>
              <w:t>Appendix Table 8</w:t>
            </w:r>
          </w:p>
        </w:tc>
        <w:tc>
          <w:tcPr>
            <w:tcW w:w="7302" w:type="dxa"/>
          </w:tcPr>
          <w:p w14:paraId="1D51E3F7" w14:textId="77777777" w:rsidR="009A0A63" w:rsidRPr="00792B36" w:rsidRDefault="009A0A63" w:rsidP="00A24459">
            <w:pPr>
              <w:ind w:left="-43"/>
              <w:rPr>
                <w:sz w:val="24"/>
                <w:szCs w:val="24"/>
              </w:rPr>
            </w:pPr>
            <w:r w:rsidRPr="00792B36">
              <w:rPr>
                <w:sz w:val="24"/>
                <w:szCs w:val="24"/>
              </w:rPr>
              <w:t>Catch by types of fishing gear (tonne) in the Gulf of Thailand between 2016 and 2024</w:t>
            </w:r>
          </w:p>
        </w:tc>
      </w:tr>
    </w:tbl>
    <w:p w14:paraId="350AEF19" w14:textId="77777777" w:rsidR="009A0A63" w:rsidRPr="00792B36" w:rsidRDefault="009A0A63" w:rsidP="009A0A63">
      <w:pPr>
        <w:rPr>
          <w:sz w:val="24"/>
          <w:szCs w:val="24"/>
        </w:rPr>
      </w:pPr>
    </w:p>
    <w:tbl>
      <w:tblPr>
        <w:tblStyle w:val="TableGrid"/>
        <w:tblW w:w="949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50"/>
        <w:gridCol w:w="1084"/>
        <w:gridCol w:w="1084"/>
        <w:gridCol w:w="951"/>
        <w:gridCol w:w="1017"/>
        <w:gridCol w:w="1084"/>
        <w:gridCol w:w="1084"/>
        <w:gridCol w:w="1284"/>
        <w:gridCol w:w="1296"/>
        <w:gridCol w:w="857"/>
      </w:tblGrid>
      <w:tr w:rsidR="009A0A63" w:rsidRPr="00792B36" w14:paraId="2E0312CD" w14:textId="77777777" w:rsidTr="00A24459">
        <w:trPr>
          <w:trHeight w:val="340"/>
        </w:trPr>
        <w:tc>
          <w:tcPr>
            <w:tcW w:w="681" w:type="dxa"/>
            <w:vMerge w:val="restart"/>
            <w:tcBorders>
              <w:top w:val="single" w:sz="4" w:space="0" w:color="auto"/>
            </w:tcBorders>
          </w:tcPr>
          <w:p w14:paraId="7F83652D" w14:textId="77777777" w:rsidR="009A0A63" w:rsidRPr="00792B36" w:rsidRDefault="009A0A63" w:rsidP="00A24459">
            <w:pPr>
              <w:jc w:val="center"/>
              <w:rPr>
                <w:b/>
                <w:bCs/>
                <w:sz w:val="24"/>
                <w:szCs w:val="24"/>
              </w:rPr>
            </w:pPr>
            <w:r w:rsidRPr="00792B36">
              <w:rPr>
                <w:b/>
                <w:bCs/>
                <w:sz w:val="24"/>
                <w:szCs w:val="24"/>
              </w:rPr>
              <w:t>Year</w:t>
            </w:r>
          </w:p>
        </w:tc>
        <w:tc>
          <w:tcPr>
            <w:tcW w:w="4481" w:type="dxa"/>
            <w:gridSpan w:val="5"/>
            <w:tcBorders>
              <w:top w:val="single" w:sz="4" w:space="0" w:color="auto"/>
              <w:bottom w:val="single" w:sz="4" w:space="0" w:color="auto"/>
            </w:tcBorders>
            <w:vAlign w:val="center"/>
          </w:tcPr>
          <w:p w14:paraId="6ECD5A0B" w14:textId="77777777" w:rsidR="009A0A63" w:rsidRPr="00792B36" w:rsidRDefault="009A0A63" w:rsidP="00A24459">
            <w:pPr>
              <w:jc w:val="center"/>
              <w:rPr>
                <w:b/>
                <w:bCs/>
                <w:sz w:val="24"/>
                <w:szCs w:val="24"/>
              </w:rPr>
            </w:pPr>
            <w:r w:rsidRPr="00792B36">
              <w:rPr>
                <w:b/>
                <w:bCs/>
                <w:sz w:val="24"/>
                <w:szCs w:val="24"/>
              </w:rPr>
              <w:t>Bottom-impacting fishing gear</w:t>
            </w:r>
          </w:p>
        </w:tc>
        <w:tc>
          <w:tcPr>
            <w:tcW w:w="931" w:type="dxa"/>
            <w:vMerge w:val="restart"/>
            <w:tcBorders>
              <w:top w:val="single" w:sz="4" w:space="0" w:color="auto"/>
            </w:tcBorders>
          </w:tcPr>
          <w:p w14:paraId="57044B03" w14:textId="77777777" w:rsidR="009A0A63" w:rsidRPr="00792B36" w:rsidRDefault="009A0A63" w:rsidP="00A24459">
            <w:pPr>
              <w:jc w:val="center"/>
              <w:rPr>
                <w:b/>
                <w:bCs/>
                <w:sz w:val="24"/>
                <w:szCs w:val="24"/>
              </w:rPr>
            </w:pPr>
            <w:r w:rsidRPr="00792B36">
              <w:rPr>
                <w:b/>
                <w:bCs/>
                <w:sz w:val="24"/>
                <w:szCs w:val="24"/>
              </w:rPr>
              <w:t>Other gear</w:t>
            </w:r>
          </w:p>
        </w:tc>
        <w:tc>
          <w:tcPr>
            <w:tcW w:w="1096" w:type="dxa"/>
            <w:vMerge w:val="restart"/>
            <w:tcBorders>
              <w:top w:val="single" w:sz="4" w:space="0" w:color="auto"/>
            </w:tcBorders>
          </w:tcPr>
          <w:p w14:paraId="5ABE8509" w14:textId="77777777" w:rsidR="009A0A63" w:rsidRPr="00792B36" w:rsidRDefault="009A0A63" w:rsidP="00A24459">
            <w:pPr>
              <w:jc w:val="center"/>
              <w:rPr>
                <w:b/>
                <w:bCs/>
                <w:sz w:val="24"/>
                <w:szCs w:val="24"/>
              </w:rPr>
            </w:pPr>
            <w:r w:rsidRPr="00792B36">
              <w:rPr>
                <w:b/>
                <w:bCs/>
                <w:sz w:val="24"/>
                <w:szCs w:val="24"/>
              </w:rPr>
              <w:t>Total</w:t>
            </w:r>
          </w:p>
        </w:tc>
        <w:tc>
          <w:tcPr>
            <w:tcW w:w="2304" w:type="dxa"/>
            <w:gridSpan w:val="2"/>
            <w:tcBorders>
              <w:top w:val="single" w:sz="4" w:space="0" w:color="auto"/>
              <w:bottom w:val="single" w:sz="4" w:space="0" w:color="auto"/>
            </w:tcBorders>
            <w:vAlign w:val="center"/>
          </w:tcPr>
          <w:p w14:paraId="5A028708" w14:textId="77777777" w:rsidR="009A0A63" w:rsidRPr="00792B36" w:rsidRDefault="009A0A63" w:rsidP="00A24459">
            <w:pPr>
              <w:jc w:val="center"/>
              <w:rPr>
                <w:b/>
                <w:bCs/>
                <w:sz w:val="24"/>
                <w:szCs w:val="24"/>
              </w:rPr>
            </w:pPr>
            <w:r w:rsidRPr="00792B36">
              <w:rPr>
                <w:b/>
                <w:bCs/>
                <w:sz w:val="24"/>
                <w:szCs w:val="24"/>
              </w:rPr>
              <w:t>Percentage of catch</w:t>
            </w:r>
          </w:p>
        </w:tc>
      </w:tr>
      <w:tr w:rsidR="009A0A63" w:rsidRPr="00792B36" w14:paraId="5AE30804" w14:textId="77777777" w:rsidTr="00A24459">
        <w:trPr>
          <w:trHeight w:val="340"/>
        </w:trPr>
        <w:tc>
          <w:tcPr>
            <w:tcW w:w="681" w:type="dxa"/>
            <w:vMerge/>
            <w:tcBorders>
              <w:bottom w:val="single" w:sz="4" w:space="0" w:color="auto"/>
            </w:tcBorders>
          </w:tcPr>
          <w:p w14:paraId="46F51498" w14:textId="77777777" w:rsidR="009A0A63" w:rsidRPr="00792B36" w:rsidRDefault="009A0A63" w:rsidP="00A24459">
            <w:pPr>
              <w:jc w:val="center"/>
              <w:rPr>
                <w:b/>
                <w:bCs/>
                <w:sz w:val="24"/>
                <w:szCs w:val="24"/>
              </w:rPr>
            </w:pPr>
          </w:p>
        </w:tc>
        <w:tc>
          <w:tcPr>
            <w:tcW w:w="931" w:type="dxa"/>
            <w:tcBorders>
              <w:top w:val="single" w:sz="4" w:space="0" w:color="auto"/>
              <w:bottom w:val="single" w:sz="4" w:space="0" w:color="auto"/>
            </w:tcBorders>
          </w:tcPr>
          <w:p w14:paraId="4323E80E" w14:textId="77777777" w:rsidR="009A0A63" w:rsidRPr="00792B36" w:rsidRDefault="009A0A63" w:rsidP="00A24459">
            <w:pPr>
              <w:jc w:val="center"/>
              <w:rPr>
                <w:b/>
                <w:bCs/>
                <w:sz w:val="24"/>
                <w:szCs w:val="24"/>
              </w:rPr>
            </w:pPr>
            <w:r w:rsidRPr="00792B36">
              <w:rPr>
                <w:b/>
                <w:bCs/>
                <w:sz w:val="24"/>
                <w:szCs w:val="24"/>
              </w:rPr>
              <w:t>Pair trawl</w:t>
            </w:r>
          </w:p>
        </w:tc>
        <w:tc>
          <w:tcPr>
            <w:tcW w:w="931" w:type="dxa"/>
            <w:tcBorders>
              <w:top w:val="single" w:sz="4" w:space="0" w:color="auto"/>
              <w:bottom w:val="single" w:sz="4" w:space="0" w:color="auto"/>
            </w:tcBorders>
          </w:tcPr>
          <w:p w14:paraId="538A3CF2" w14:textId="77777777" w:rsidR="009A0A63" w:rsidRPr="00792B36" w:rsidRDefault="009A0A63" w:rsidP="00A24459">
            <w:pPr>
              <w:jc w:val="center"/>
              <w:rPr>
                <w:b/>
                <w:bCs/>
                <w:sz w:val="24"/>
                <w:szCs w:val="24"/>
              </w:rPr>
            </w:pPr>
            <w:r w:rsidRPr="00792B36">
              <w:rPr>
                <w:b/>
                <w:bCs/>
                <w:sz w:val="24"/>
                <w:szCs w:val="24"/>
              </w:rPr>
              <w:t>Otter board trawl</w:t>
            </w:r>
          </w:p>
        </w:tc>
        <w:tc>
          <w:tcPr>
            <w:tcW w:w="821" w:type="dxa"/>
            <w:tcBorders>
              <w:top w:val="single" w:sz="4" w:space="0" w:color="auto"/>
              <w:bottom w:val="single" w:sz="4" w:space="0" w:color="auto"/>
            </w:tcBorders>
          </w:tcPr>
          <w:p w14:paraId="79510446" w14:textId="77777777" w:rsidR="009A0A63" w:rsidRPr="00792B36" w:rsidRDefault="009A0A63" w:rsidP="00A24459">
            <w:pPr>
              <w:jc w:val="center"/>
              <w:rPr>
                <w:b/>
                <w:bCs/>
                <w:sz w:val="24"/>
                <w:szCs w:val="24"/>
              </w:rPr>
            </w:pPr>
            <w:r w:rsidRPr="00792B36">
              <w:rPr>
                <w:b/>
                <w:bCs/>
                <w:sz w:val="24"/>
                <w:szCs w:val="24"/>
              </w:rPr>
              <w:t>Beam trawl</w:t>
            </w:r>
          </w:p>
        </w:tc>
        <w:tc>
          <w:tcPr>
            <w:tcW w:w="860" w:type="dxa"/>
            <w:tcBorders>
              <w:top w:val="single" w:sz="4" w:space="0" w:color="auto"/>
              <w:bottom w:val="single" w:sz="4" w:space="0" w:color="auto"/>
            </w:tcBorders>
          </w:tcPr>
          <w:p w14:paraId="341DF501" w14:textId="77777777" w:rsidR="009A0A63" w:rsidRPr="00792B36" w:rsidRDefault="009A0A63" w:rsidP="00A24459">
            <w:pPr>
              <w:jc w:val="center"/>
              <w:rPr>
                <w:b/>
                <w:bCs/>
                <w:sz w:val="24"/>
                <w:szCs w:val="24"/>
              </w:rPr>
            </w:pPr>
            <w:r w:rsidRPr="00792B36">
              <w:rPr>
                <w:b/>
                <w:bCs/>
                <w:sz w:val="24"/>
                <w:szCs w:val="24"/>
              </w:rPr>
              <w:t>Clam dredge</w:t>
            </w:r>
          </w:p>
        </w:tc>
        <w:tc>
          <w:tcPr>
            <w:tcW w:w="938" w:type="dxa"/>
            <w:tcBorders>
              <w:top w:val="single" w:sz="4" w:space="0" w:color="auto"/>
              <w:bottom w:val="single" w:sz="4" w:space="0" w:color="auto"/>
            </w:tcBorders>
          </w:tcPr>
          <w:p w14:paraId="7C4CFFB3" w14:textId="77777777" w:rsidR="009A0A63" w:rsidRPr="00792B36" w:rsidRDefault="009A0A63" w:rsidP="00A24459">
            <w:pPr>
              <w:jc w:val="center"/>
              <w:rPr>
                <w:b/>
                <w:bCs/>
                <w:sz w:val="24"/>
                <w:szCs w:val="24"/>
              </w:rPr>
            </w:pPr>
            <w:r w:rsidRPr="00792B36">
              <w:rPr>
                <w:b/>
                <w:bCs/>
                <w:sz w:val="24"/>
                <w:szCs w:val="24"/>
              </w:rPr>
              <w:t>Sub-total</w:t>
            </w:r>
          </w:p>
        </w:tc>
        <w:tc>
          <w:tcPr>
            <w:tcW w:w="931" w:type="dxa"/>
            <w:vMerge/>
            <w:tcBorders>
              <w:bottom w:val="single" w:sz="4" w:space="0" w:color="auto"/>
            </w:tcBorders>
          </w:tcPr>
          <w:p w14:paraId="30FA7C26" w14:textId="77777777" w:rsidR="009A0A63" w:rsidRPr="00792B36" w:rsidRDefault="009A0A63" w:rsidP="00A24459">
            <w:pPr>
              <w:jc w:val="center"/>
              <w:rPr>
                <w:b/>
                <w:bCs/>
                <w:sz w:val="24"/>
                <w:szCs w:val="24"/>
              </w:rPr>
            </w:pPr>
          </w:p>
        </w:tc>
        <w:tc>
          <w:tcPr>
            <w:tcW w:w="1096" w:type="dxa"/>
            <w:vMerge/>
            <w:tcBorders>
              <w:bottom w:val="single" w:sz="4" w:space="0" w:color="auto"/>
            </w:tcBorders>
          </w:tcPr>
          <w:p w14:paraId="14799CE4" w14:textId="77777777" w:rsidR="009A0A63" w:rsidRPr="00792B36" w:rsidRDefault="009A0A63" w:rsidP="00A24459">
            <w:pPr>
              <w:jc w:val="center"/>
              <w:rPr>
                <w:b/>
                <w:bCs/>
                <w:sz w:val="24"/>
                <w:szCs w:val="24"/>
              </w:rPr>
            </w:pPr>
          </w:p>
        </w:tc>
        <w:tc>
          <w:tcPr>
            <w:tcW w:w="1317" w:type="dxa"/>
            <w:tcBorders>
              <w:top w:val="single" w:sz="4" w:space="0" w:color="auto"/>
              <w:bottom w:val="single" w:sz="4" w:space="0" w:color="auto"/>
            </w:tcBorders>
          </w:tcPr>
          <w:p w14:paraId="18849D90" w14:textId="77777777" w:rsidR="009A0A63" w:rsidRPr="00792B36" w:rsidRDefault="009A0A63" w:rsidP="00A24459">
            <w:pPr>
              <w:jc w:val="center"/>
              <w:rPr>
                <w:b/>
                <w:bCs/>
                <w:spacing w:val="-6"/>
                <w:sz w:val="24"/>
                <w:szCs w:val="24"/>
              </w:rPr>
            </w:pPr>
            <w:r w:rsidRPr="00792B36">
              <w:rPr>
                <w:b/>
                <w:bCs/>
                <w:spacing w:val="-6"/>
                <w:sz w:val="24"/>
                <w:szCs w:val="24"/>
              </w:rPr>
              <w:t>Bottom-impacting fishing gear</w:t>
            </w:r>
          </w:p>
        </w:tc>
        <w:tc>
          <w:tcPr>
            <w:tcW w:w="987" w:type="dxa"/>
            <w:tcBorders>
              <w:top w:val="single" w:sz="4" w:space="0" w:color="auto"/>
              <w:bottom w:val="single" w:sz="4" w:space="0" w:color="auto"/>
            </w:tcBorders>
          </w:tcPr>
          <w:p w14:paraId="329D62C6" w14:textId="77777777" w:rsidR="009A0A63" w:rsidRPr="00792B36" w:rsidRDefault="009A0A63" w:rsidP="00A24459">
            <w:pPr>
              <w:jc w:val="center"/>
              <w:rPr>
                <w:b/>
                <w:bCs/>
                <w:sz w:val="24"/>
                <w:szCs w:val="24"/>
              </w:rPr>
            </w:pPr>
            <w:r w:rsidRPr="00792B36">
              <w:rPr>
                <w:b/>
                <w:bCs/>
                <w:sz w:val="24"/>
                <w:szCs w:val="24"/>
              </w:rPr>
              <w:t>Other gear</w:t>
            </w:r>
          </w:p>
        </w:tc>
      </w:tr>
      <w:tr w:rsidR="009A0A63" w:rsidRPr="00792B36" w14:paraId="624DA81E" w14:textId="77777777" w:rsidTr="00A24459">
        <w:trPr>
          <w:trHeight w:val="340"/>
        </w:trPr>
        <w:tc>
          <w:tcPr>
            <w:tcW w:w="681" w:type="dxa"/>
            <w:tcBorders>
              <w:top w:val="single" w:sz="4" w:space="0" w:color="auto"/>
            </w:tcBorders>
            <w:vAlign w:val="center"/>
          </w:tcPr>
          <w:p w14:paraId="52B7633C" w14:textId="77777777" w:rsidR="009A0A63" w:rsidRPr="00792B36" w:rsidRDefault="009A0A63" w:rsidP="00A24459">
            <w:pPr>
              <w:jc w:val="center"/>
              <w:rPr>
                <w:sz w:val="24"/>
                <w:szCs w:val="24"/>
              </w:rPr>
            </w:pPr>
            <w:r w:rsidRPr="00792B36">
              <w:rPr>
                <w:sz w:val="24"/>
                <w:szCs w:val="24"/>
              </w:rPr>
              <w:t>2016</w:t>
            </w:r>
          </w:p>
        </w:tc>
        <w:tc>
          <w:tcPr>
            <w:tcW w:w="931" w:type="dxa"/>
            <w:tcBorders>
              <w:top w:val="single" w:sz="4" w:space="0" w:color="auto"/>
            </w:tcBorders>
            <w:vAlign w:val="center"/>
          </w:tcPr>
          <w:p w14:paraId="6066D035" w14:textId="77777777" w:rsidR="009A0A63" w:rsidRPr="00792B36" w:rsidRDefault="009A0A63" w:rsidP="00A24459">
            <w:pPr>
              <w:jc w:val="center"/>
              <w:rPr>
                <w:sz w:val="24"/>
                <w:szCs w:val="24"/>
              </w:rPr>
            </w:pPr>
            <w:r w:rsidRPr="00792B36">
              <w:rPr>
                <w:sz w:val="24"/>
                <w:szCs w:val="24"/>
                <w:cs/>
              </w:rPr>
              <w:t>243,274</w:t>
            </w:r>
          </w:p>
        </w:tc>
        <w:tc>
          <w:tcPr>
            <w:tcW w:w="931" w:type="dxa"/>
            <w:tcBorders>
              <w:top w:val="single" w:sz="4" w:space="0" w:color="auto"/>
            </w:tcBorders>
            <w:vAlign w:val="center"/>
          </w:tcPr>
          <w:p w14:paraId="634E722B" w14:textId="77777777" w:rsidR="009A0A63" w:rsidRPr="00792B36" w:rsidRDefault="009A0A63" w:rsidP="00A24459">
            <w:pPr>
              <w:jc w:val="center"/>
              <w:rPr>
                <w:sz w:val="24"/>
                <w:szCs w:val="24"/>
              </w:rPr>
            </w:pPr>
            <w:r w:rsidRPr="00792B36">
              <w:rPr>
                <w:sz w:val="24"/>
                <w:szCs w:val="24"/>
                <w:cs/>
              </w:rPr>
              <w:t>162,728</w:t>
            </w:r>
          </w:p>
        </w:tc>
        <w:tc>
          <w:tcPr>
            <w:tcW w:w="821" w:type="dxa"/>
            <w:tcBorders>
              <w:top w:val="single" w:sz="4" w:space="0" w:color="auto"/>
            </w:tcBorders>
            <w:vAlign w:val="center"/>
          </w:tcPr>
          <w:p w14:paraId="537ED18F" w14:textId="77777777" w:rsidR="009A0A63" w:rsidRPr="00792B36" w:rsidRDefault="009A0A63" w:rsidP="00A24459">
            <w:pPr>
              <w:jc w:val="center"/>
              <w:rPr>
                <w:sz w:val="24"/>
                <w:szCs w:val="24"/>
              </w:rPr>
            </w:pPr>
            <w:r w:rsidRPr="00792B36">
              <w:rPr>
                <w:sz w:val="24"/>
                <w:szCs w:val="24"/>
                <w:cs/>
              </w:rPr>
              <w:t>16,673</w:t>
            </w:r>
          </w:p>
        </w:tc>
        <w:tc>
          <w:tcPr>
            <w:tcW w:w="860" w:type="dxa"/>
            <w:tcBorders>
              <w:top w:val="single" w:sz="4" w:space="0" w:color="auto"/>
            </w:tcBorders>
            <w:vAlign w:val="center"/>
          </w:tcPr>
          <w:p w14:paraId="433A310B" w14:textId="77777777" w:rsidR="009A0A63" w:rsidRPr="00792B36" w:rsidRDefault="009A0A63" w:rsidP="00A24459">
            <w:pPr>
              <w:jc w:val="center"/>
              <w:rPr>
                <w:sz w:val="24"/>
                <w:szCs w:val="24"/>
              </w:rPr>
            </w:pPr>
            <w:r w:rsidRPr="00792B36">
              <w:rPr>
                <w:sz w:val="24"/>
                <w:szCs w:val="24"/>
                <w:cs/>
              </w:rPr>
              <w:t>18,767</w:t>
            </w:r>
          </w:p>
        </w:tc>
        <w:tc>
          <w:tcPr>
            <w:tcW w:w="938" w:type="dxa"/>
            <w:tcBorders>
              <w:top w:val="single" w:sz="4" w:space="0" w:color="auto"/>
            </w:tcBorders>
            <w:vAlign w:val="center"/>
          </w:tcPr>
          <w:p w14:paraId="2A784186" w14:textId="77777777" w:rsidR="009A0A63" w:rsidRPr="00792B36" w:rsidRDefault="009A0A63" w:rsidP="00A24459">
            <w:pPr>
              <w:jc w:val="center"/>
              <w:rPr>
                <w:sz w:val="24"/>
                <w:szCs w:val="24"/>
                <w:cs/>
              </w:rPr>
            </w:pPr>
            <w:r w:rsidRPr="00792B36">
              <w:rPr>
                <w:color w:val="000000"/>
                <w:sz w:val="24"/>
                <w:szCs w:val="24"/>
              </w:rPr>
              <w:t>441,442</w:t>
            </w:r>
          </w:p>
        </w:tc>
        <w:tc>
          <w:tcPr>
            <w:tcW w:w="931" w:type="dxa"/>
            <w:tcBorders>
              <w:top w:val="single" w:sz="4" w:space="0" w:color="auto"/>
            </w:tcBorders>
            <w:vAlign w:val="center"/>
          </w:tcPr>
          <w:p w14:paraId="627672F1" w14:textId="77777777" w:rsidR="009A0A63" w:rsidRPr="00792B36" w:rsidRDefault="009A0A63" w:rsidP="00A24459">
            <w:pPr>
              <w:jc w:val="center"/>
              <w:rPr>
                <w:sz w:val="24"/>
                <w:szCs w:val="24"/>
                <w:cs/>
              </w:rPr>
            </w:pPr>
            <w:r w:rsidRPr="00792B36">
              <w:rPr>
                <w:sz w:val="24"/>
                <w:szCs w:val="24"/>
                <w:cs/>
              </w:rPr>
              <w:t>508,777</w:t>
            </w:r>
          </w:p>
        </w:tc>
        <w:tc>
          <w:tcPr>
            <w:tcW w:w="1096" w:type="dxa"/>
            <w:tcBorders>
              <w:top w:val="single" w:sz="4" w:space="0" w:color="auto"/>
            </w:tcBorders>
            <w:vAlign w:val="center"/>
          </w:tcPr>
          <w:p w14:paraId="75246967" w14:textId="77777777" w:rsidR="009A0A63" w:rsidRPr="00792B36" w:rsidRDefault="009A0A63" w:rsidP="00A24459">
            <w:pPr>
              <w:jc w:val="center"/>
              <w:rPr>
                <w:sz w:val="24"/>
                <w:szCs w:val="24"/>
              </w:rPr>
            </w:pPr>
            <w:r w:rsidRPr="00792B36">
              <w:rPr>
                <w:sz w:val="24"/>
                <w:szCs w:val="24"/>
                <w:cs/>
              </w:rPr>
              <w:t>950,219</w:t>
            </w:r>
          </w:p>
        </w:tc>
        <w:tc>
          <w:tcPr>
            <w:tcW w:w="1317" w:type="dxa"/>
            <w:tcBorders>
              <w:top w:val="single" w:sz="4" w:space="0" w:color="auto"/>
            </w:tcBorders>
            <w:vAlign w:val="center"/>
          </w:tcPr>
          <w:p w14:paraId="10EC9D2A" w14:textId="77777777" w:rsidR="009A0A63" w:rsidRPr="00792B36" w:rsidRDefault="009A0A63" w:rsidP="00A24459">
            <w:pPr>
              <w:jc w:val="center"/>
              <w:rPr>
                <w:sz w:val="24"/>
                <w:szCs w:val="24"/>
                <w:cs/>
              </w:rPr>
            </w:pPr>
            <w:r w:rsidRPr="00792B36">
              <w:rPr>
                <w:color w:val="000000"/>
                <w:sz w:val="24"/>
                <w:szCs w:val="24"/>
              </w:rPr>
              <w:t>46.46</w:t>
            </w:r>
          </w:p>
        </w:tc>
        <w:tc>
          <w:tcPr>
            <w:tcW w:w="987" w:type="dxa"/>
            <w:tcBorders>
              <w:top w:val="single" w:sz="4" w:space="0" w:color="auto"/>
            </w:tcBorders>
            <w:vAlign w:val="center"/>
          </w:tcPr>
          <w:p w14:paraId="60561AC4" w14:textId="77777777" w:rsidR="009A0A63" w:rsidRPr="00792B36" w:rsidRDefault="009A0A63" w:rsidP="00A24459">
            <w:pPr>
              <w:jc w:val="center"/>
              <w:rPr>
                <w:sz w:val="24"/>
                <w:szCs w:val="24"/>
                <w:cs/>
              </w:rPr>
            </w:pPr>
            <w:r w:rsidRPr="00792B36">
              <w:rPr>
                <w:color w:val="000000"/>
                <w:sz w:val="24"/>
                <w:szCs w:val="24"/>
              </w:rPr>
              <w:t>53.54</w:t>
            </w:r>
          </w:p>
        </w:tc>
      </w:tr>
      <w:tr w:rsidR="009A0A63" w:rsidRPr="00792B36" w14:paraId="479A8991" w14:textId="77777777" w:rsidTr="00A24459">
        <w:trPr>
          <w:trHeight w:val="340"/>
        </w:trPr>
        <w:tc>
          <w:tcPr>
            <w:tcW w:w="681" w:type="dxa"/>
            <w:vAlign w:val="center"/>
          </w:tcPr>
          <w:p w14:paraId="58377BB6" w14:textId="77777777" w:rsidR="009A0A63" w:rsidRPr="00792B36" w:rsidRDefault="009A0A63" w:rsidP="00A24459">
            <w:pPr>
              <w:jc w:val="center"/>
              <w:rPr>
                <w:sz w:val="24"/>
                <w:szCs w:val="24"/>
              </w:rPr>
            </w:pPr>
            <w:r w:rsidRPr="00792B36">
              <w:rPr>
                <w:sz w:val="24"/>
                <w:szCs w:val="24"/>
              </w:rPr>
              <w:t>2017</w:t>
            </w:r>
          </w:p>
        </w:tc>
        <w:tc>
          <w:tcPr>
            <w:tcW w:w="931" w:type="dxa"/>
            <w:vAlign w:val="center"/>
          </w:tcPr>
          <w:p w14:paraId="6391D5C6" w14:textId="77777777" w:rsidR="009A0A63" w:rsidRPr="00792B36" w:rsidRDefault="009A0A63" w:rsidP="00A24459">
            <w:pPr>
              <w:jc w:val="center"/>
              <w:rPr>
                <w:sz w:val="24"/>
                <w:szCs w:val="24"/>
              </w:rPr>
            </w:pPr>
            <w:r w:rsidRPr="00792B36">
              <w:rPr>
                <w:sz w:val="24"/>
                <w:szCs w:val="24"/>
                <w:cs/>
              </w:rPr>
              <w:t>267,583</w:t>
            </w:r>
          </w:p>
        </w:tc>
        <w:tc>
          <w:tcPr>
            <w:tcW w:w="931" w:type="dxa"/>
            <w:vAlign w:val="center"/>
          </w:tcPr>
          <w:p w14:paraId="6CC2F2E8" w14:textId="77777777" w:rsidR="009A0A63" w:rsidRPr="00792B36" w:rsidRDefault="009A0A63" w:rsidP="00A24459">
            <w:pPr>
              <w:jc w:val="center"/>
              <w:rPr>
                <w:sz w:val="24"/>
                <w:szCs w:val="24"/>
              </w:rPr>
            </w:pPr>
            <w:r w:rsidRPr="00792B36">
              <w:rPr>
                <w:sz w:val="24"/>
                <w:szCs w:val="24"/>
                <w:cs/>
              </w:rPr>
              <w:t>158,492</w:t>
            </w:r>
          </w:p>
        </w:tc>
        <w:tc>
          <w:tcPr>
            <w:tcW w:w="821" w:type="dxa"/>
            <w:vAlign w:val="center"/>
          </w:tcPr>
          <w:p w14:paraId="0DED904A" w14:textId="77777777" w:rsidR="009A0A63" w:rsidRPr="00792B36" w:rsidRDefault="009A0A63" w:rsidP="00A24459">
            <w:pPr>
              <w:jc w:val="center"/>
              <w:rPr>
                <w:sz w:val="24"/>
                <w:szCs w:val="24"/>
              </w:rPr>
            </w:pPr>
            <w:r w:rsidRPr="00792B36">
              <w:rPr>
                <w:sz w:val="24"/>
                <w:szCs w:val="24"/>
                <w:cs/>
              </w:rPr>
              <w:t>15,856</w:t>
            </w:r>
          </w:p>
        </w:tc>
        <w:tc>
          <w:tcPr>
            <w:tcW w:w="860" w:type="dxa"/>
            <w:vAlign w:val="center"/>
          </w:tcPr>
          <w:p w14:paraId="6DC530D6" w14:textId="77777777" w:rsidR="009A0A63" w:rsidRPr="00792B36" w:rsidRDefault="009A0A63" w:rsidP="00A24459">
            <w:pPr>
              <w:jc w:val="center"/>
              <w:rPr>
                <w:sz w:val="24"/>
                <w:szCs w:val="24"/>
              </w:rPr>
            </w:pPr>
            <w:r w:rsidRPr="00792B36">
              <w:rPr>
                <w:sz w:val="24"/>
                <w:szCs w:val="24"/>
                <w:cs/>
              </w:rPr>
              <w:t>16,913</w:t>
            </w:r>
          </w:p>
        </w:tc>
        <w:tc>
          <w:tcPr>
            <w:tcW w:w="938" w:type="dxa"/>
            <w:vAlign w:val="center"/>
          </w:tcPr>
          <w:p w14:paraId="40EF664C" w14:textId="77777777" w:rsidR="009A0A63" w:rsidRPr="00792B36" w:rsidRDefault="009A0A63" w:rsidP="00A24459">
            <w:pPr>
              <w:jc w:val="center"/>
              <w:rPr>
                <w:sz w:val="24"/>
                <w:szCs w:val="24"/>
                <w:cs/>
              </w:rPr>
            </w:pPr>
            <w:r w:rsidRPr="00792B36">
              <w:rPr>
                <w:color w:val="000000"/>
                <w:sz w:val="24"/>
                <w:szCs w:val="24"/>
              </w:rPr>
              <w:t>458,844</w:t>
            </w:r>
          </w:p>
        </w:tc>
        <w:tc>
          <w:tcPr>
            <w:tcW w:w="931" w:type="dxa"/>
            <w:vAlign w:val="center"/>
          </w:tcPr>
          <w:p w14:paraId="3B34424F" w14:textId="77777777" w:rsidR="009A0A63" w:rsidRPr="00792B36" w:rsidRDefault="009A0A63" w:rsidP="00A24459">
            <w:pPr>
              <w:jc w:val="center"/>
              <w:rPr>
                <w:sz w:val="24"/>
                <w:szCs w:val="24"/>
              </w:rPr>
            </w:pPr>
            <w:r w:rsidRPr="00792B36">
              <w:rPr>
                <w:sz w:val="24"/>
                <w:szCs w:val="24"/>
                <w:cs/>
              </w:rPr>
              <w:t>465,560</w:t>
            </w:r>
          </w:p>
        </w:tc>
        <w:tc>
          <w:tcPr>
            <w:tcW w:w="1096" w:type="dxa"/>
            <w:vAlign w:val="center"/>
          </w:tcPr>
          <w:p w14:paraId="5EE09C3A" w14:textId="77777777" w:rsidR="009A0A63" w:rsidRPr="00792B36" w:rsidRDefault="009A0A63" w:rsidP="00A24459">
            <w:pPr>
              <w:jc w:val="center"/>
              <w:rPr>
                <w:sz w:val="24"/>
                <w:szCs w:val="24"/>
              </w:rPr>
            </w:pPr>
            <w:r w:rsidRPr="00792B36">
              <w:rPr>
                <w:sz w:val="24"/>
                <w:szCs w:val="24"/>
                <w:cs/>
              </w:rPr>
              <w:t>924,404</w:t>
            </w:r>
          </w:p>
        </w:tc>
        <w:tc>
          <w:tcPr>
            <w:tcW w:w="1317" w:type="dxa"/>
            <w:vAlign w:val="center"/>
          </w:tcPr>
          <w:p w14:paraId="69D63A81" w14:textId="77777777" w:rsidR="009A0A63" w:rsidRPr="00792B36" w:rsidRDefault="009A0A63" w:rsidP="00A24459">
            <w:pPr>
              <w:jc w:val="center"/>
              <w:rPr>
                <w:sz w:val="24"/>
                <w:szCs w:val="24"/>
                <w:cs/>
              </w:rPr>
            </w:pPr>
            <w:r w:rsidRPr="00792B36">
              <w:rPr>
                <w:color w:val="000000"/>
                <w:sz w:val="24"/>
                <w:szCs w:val="24"/>
              </w:rPr>
              <w:t>49.64</w:t>
            </w:r>
          </w:p>
        </w:tc>
        <w:tc>
          <w:tcPr>
            <w:tcW w:w="987" w:type="dxa"/>
            <w:vAlign w:val="center"/>
          </w:tcPr>
          <w:p w14:paraId="5A8F541C" w14:textId="77777777" w:rsidR="009A0A63" w:rsidRPr="00792B36" w:rsidRDefault="009A0A63" w:rsidP="00A24459">
            <w:pPr>
              <w:jc w:val="center"/>
              <w:rPr>
                <w:sz w:val="24"/>
                <w:szCs w:val="24"/>
                <w:cs/>
              </w:rPr>
            </w:pPr>
            <w:r w:rsidRPr="00792B36">
              <w:rPr>
                <w:color w:val="000000"/>
                <w:sz w:val="24"/>
                <w:szCs w:val="24"/>
              </w:rPr>
              <w:t>50.36</w:t>
            </w:r>
          </w:p>
        </w:tc>
      </w:tr>
      <w:tr w:rsidR="009A0A63" w:rsidRPr="00792B36" w14:paraId="50C9B2DE" w14:textId="77777777" w:rsidTr="00A24459">
        <w:trPr>
          <w:trHeight w:val="340"/>
        </w:trPr>
        <w:tc>
          <w:tcPr>
            <w:tcW w:w="681" w:type="dxa"/>
            <w:vAlign w:val="center"/>
          </w:tcPr>
          <w:p w14:paraId="0E9C5FE3" w14:textId="77777777" w:rsidR="009A0A63" w:rsidRPr="00792B36" w:rsidRDefault="009A0A63" w:rsidP="00A24459">
            <w:pPr>
              <w:jc w:val="center"/>
              <w:rPr>
                <w:sz w:val="24"/>
                <w:szCs w:val="24"/>
              </w:rPr>
            </w:pPr>
            <w:r w:rsidRPr="00792B36">
              <w:rPr>
                <w:sz w:val="24"/>
                <w:szCs w:val="24"/>
              </w:rPr>
              <w:t>2018</w:t>
            </w:r>
          </w:p>
        </w:tc>
        <w:tc>
          <w:tcPr>
            <w:tcW w:w="931" w:type="dxa"/>
            <w:vAlign w:val="center"/>
          </w:tcPr>
          <w:p w14:paraId="201743A2" w14:textId="77777777" w:rsidR="009A0A63" w:rsidRPr="00792B36" w:rsidRDefault="009A0A63" w:rsidP="00A24459">
            <w:pPr>
              <w:jc w:val="center"/>
              <w:rPr>
                <w:sz w:val="24"/>
                <w:szCs w:val="24"/>
              </w:rPr>
            </w:pPr>
            <w:r w:rsidRPr="00792B36">
              <w:rPr>
                <w:sz w:val="24"/>
                <w:szCs w:val="24"/>
                <w:cs/>
              </w:rPr>
              <w:t>289,115</w:t>
            </w:r>
          </w:p>
        </w:tc>
        <w:tc>
          <w:tcPr>
            <w:tcW w:w="931" w:type="dxa"/>
            <w:vAlign w:val="center"/>
          </w:tcPr>
          <w:p w14:paraId="378A7239" w14:textId="77777777" w:rsidR="009A0A63" w:rsidRPr="00792B36" w:rsidRDefault="009A0A63" w:rsidP="00A24459">
            <w:pPr>
              <w:jc w:val="center"/>
              <w:rPr>
                <w:sz w:val="24"/>
                <w:szCs w:val="24"/>
              </w:rPr>
            </w:pPr>
            <w:r w:rsidRPr="00792B36">
              <w:rPr>
                <w:sz w:val="24"/>
                <w:szCs w:val="24"/>
                <w:cs/>
              </w:rPr>
              <w:t>172,341</w:t>
            </w:r>
          </w:p>
        </w:tc>
        <w:tc>
          <w:tcPr>
            <w:tcW w:w="821" w:type="dxa"/>
            <w:vAlign w:val="center"/>
          </w:tcPr>
          <w:p w14:paraId="554CBC6A" w14:textId="77777777" w:rsidR="009A0A63" w:rsidRPr="00792B36" w:rsidRDefault="009A0A63" w:rsidP="00A24459">
            <w:pPr>
              <w:jc w:val="center"/>
              <w:rPr>
                <w:sz w:val="24"/>
                <w:szCs w:val="24"/>
              </w:rPr>
            </w:pPr>
            <w:r w:rsidRPr="00792B36">
              <w:rPr>
                <w:sz w:val="24"/>
                <w:szCs w:val="24"/>
                <w:cs/>
              </w:rPr>
              <w:t>15,456</w:t>
            </w:r>
          </w:p>
        </w:tc>
        <w:tc>
          <w:tcPr>
            <w:tcW w:w="860" w:type="dxa"/>
            <w:vAlign w:val="center"/>
          </w:tcPr>
          <w:p w14:paraId="7BE501D3" w14:textId="77777777" w:rsidR="009A0A63" w:rsidRPr="00792B36" w:rsidRDefault="009A0A63" w:rsidP="00A24459">
            <w:pPr>
              <w:jc w:val="center"/>
              <w:rPr>
                <w:sz w:val="24"/>
                <w:szCs w:val="24"/>
              </w:rPr>
            </w:pPr>
            <w:r w:rsidRPr="00792B36">
              <w:rPr>
                <w:sz w:val="24"/>
                <w:szCs w:val="24"/>
                <w:cs/>
              </w:rPr>
              <w:t>19,186</w:t>
            </w:r>
          </w:p>
        </w:tc>
        <w:tc>
          <w:tcPr>
            <w:tcW w:w="938" w:type="dxa"/>
            <w:vAlign w:val="center"/>
          </w:tcPr>
          <w:p w14:paraId="1B83FB42" w14:textId="77777777" w:rsidR="009A0A63" w:rsidRPr="00792B36" w:rsidRDefault="009A0A63" w:rsidP="00A24459">
            <w:pPr>
              <w:jc w:val="center"/>
              <w:rPr>
                <w:sz w:val="24"/>
                <w:szCs w:val="24"/>
                <w:cs/>
              </w:rPr>
            </w:pPr>
            <w:r w:rsidRPr="00792B36">
              <w:rPr>
                <w:color w:val="000000"/>
                <w:sz w:val="24"/>
                <w:szCs w:val="24"/>
              </w:rPr>
              <w:t>496,098</w:t>
            </w:r>
          </w:p>
        </w:tc>
        <w:tc>
          <w:tcPr>
            <w:tcW w:w="931" w:type="dxa"/>
            <w:vAlign w:val="center"/>
          </w:tcPr>
          <w:p w14:paraId="314AD357" w14:textId="77777777" w:rsidR="009A0A63" w:rsidRPr="00792B36" w:rsidRDefault="009A0A63" w:rsidP="00A24459">
            <w:pPr>
              <w:jc w:val="center"/>
              <w:rPr>
                <w:sz w:val="24"/>
                <w:szCs w:val="24"/>
              </w:rPr>
            </w:pPr>
            <w:r w:rsidRPr="00792B36">
              <w:rPr>
                <w:sz w:val="24"/>
                <w:szCs w:val="24"/>
                <w:cs/>
              </w:rPr>
              <w:t>530,618</w:t>
            </w:r>
          </w:p>
        </w:tc>
        <w:tc>
          <w:tcPr>
            <w:tcW w:w="1096" w:type="dxa"/>
            <w:vAlign w:val="center"/>
          </w:tcPr>
          <w:p w14:paraId="1E9A8B92" w14:textId="77777777" w:rsidR="009A0A63" w:rsidRPr="00792B36" w:rsidRDefault="009A0A63" w:rsidP="00A24459">
            <w:pPr>
              <w:jc w:val="center"/>
              <w:rPr>
                <w:sz w:val="24"/>
                <w:szCs w:val="24"/>
              </w:rPr>
            </w:pPr>
            <w:r w:rsidRPr="00792B36">
              <w:rPr>
                <w:sz w:val="24"/>
                <w:szCs w:val="24"/>
                <w:cs/>
              </w:rPr>
              <w:t>1,026,716</w:t>
            </w:r>
          </w:p>
        </w:tc>
        <w:tc>
          <w:tcPr>
            <w:tcW w:w="1317" w:type="dxa"/>
            <w:vAlign w:val="center"/>
          </w:tcPr>
          <w:p w14:paraId="29E92726" w14:textId="77777777" w:rsidR="009A0A63" w:rsidRPr="00792B36" w:rsidRDefault="009A0A63" w:rsidP="00A24459">
            <w:pPr>
              <w:jc w:val="center"/>
              <w:rPr>
                <w:sz w:val="24"/>
                <w:szCs w:val="24"/>
                <w:cs/>
              </w:rPr>
            </w:pPr>
            <w:r w:rsidRPr="00792B36">
              <w:rPr>
                <w:color w:val="000000"/>
                <w:sz w:val="24"/>
                <w:szCs w:val="24"/>
              </w:rPr>
              <w:t>48.32</w:t>
            </w:r>
          </w:p>
        </w:tc>
        <w:tc>
          <w:tcPr>
            <w:tcW w:w="987" w:type="dxa"/>
            <w:vAlign w:val="center"/>
          </w:tcPr>
          <w:p w14:paraId="708F9EBD" w14:textId="77777777" w:rsidR="009A0A63" w:rsidRPr="00792B36" w:rsidRDefault="009A0A63" w:rsidP="00A24459">
            <w:pPr>
              <w:jc w:val="center"/>
              <w:rPr>
                <w:sz w:val="24"/>
                <w:szCs w:val="24"/>
                <w:cs/>
              </w:rPr>
            </w:pPr>
            <w:r w:rsidRPr="00792B36">
              <w:rPr>
                <w:color w:val="000000"/>
                <w:sz w:val="24"/>
                <w:szCs w:val="24"/>
              </w:rPr>
              <w:t>51.68</w:t>
            </w:r>
          </w:p>
        </w:tc>
      </w:tr>
      <w:tr w:rsidR="009A0A63" w:rsidRPr="00792B36" w14:paraId="151D9636" w14:textId="77777777" w:rsidTr="00A24459">
        <w:trPr>
          <w:trHeight w:val="340"/>
        </w:trPr>
        <w:tc>
          <w:tcPr>
            <w:tcW w:w="681" w:type="dxa"/>
            <w:vAlign w:val="center"/>
          </w:tcPr>
          <w:p w14:paraId="64DFD260" w14:textId="77777777" w:rsidR="009A0A63" w:rsidRPr="00792B36" w:rsidRDefault="009A0A63" w:rsidP="00A24459">
            <w:pPr>
              <w:jc w:val="center"/>
              <w:rPr>
                <w:sz w:val="24"/>
                <w:szCs w:val="24"/>
              </w:rPr>
            </w:pPr>
            <w:r w:rsidRPr="00792B36">
              <w:rPr>
                <w:sz w:val="24"/>
                <w:szCs w:val="24"/>
              </w:rPr>
              <w:t>2019</w:t>
            </w:r>
          </w:p>
        </w:tc>
        <w:tc>
          <w:tcPr>
            <w:tcW w:w="931" w:type="dxa"/>
            <w:vAlign w:val="center"/>
          </w:tcPr>
          <w:p w14:paraId="7996A402" w14:textId="77777777" w:rsidR="009A0A63" w:rsidRPr="00792B36" w:rsidRDefault="009A0A63" w:rsidP="00A24459">
            <w:pPr>
              <w:jc w:val="center"/>
              <w:rPr>
                <w:sz w:val="24"/>
                <w:szCs w:val="24"/>
              </w:rPr>
            </w:pPr>
            <w:r w:rsidRPr="00792B36">
              <w:rPr>
                <w:sz w:val="24"/>
                <w:szCs w:val="24"/>
                <w:cs/>
              </w:rPr>
              <w:t>286,943</w:t>
            </w:r>
          </w:p>
        </w:tc>
        <w:tc>
          <w:tcPr>
            <w:tcW w:w="931" w:type="dxa"/>
            <w:vAlign w:val="center"/>
          </w:tcPr>
          <w:p w14:paraId="231ED997" w14:textId="77777777" w:rsidR="009A0A63" w:rsidRPr="00792B36" w:rsidRDefault="009A0A63" w:rsidP="00A24459">
            <w:pPr>
              <w:jc w:val="center"/>
              <w:rPr>
                <w:sz w:val="24"/>
                <w:szCs w:val="24"/>
              </w:rPr>
            </w:pPr>
            <w:r w:rsidRPr="00792B36">
              <w:rPr>
                <w:sz w:val="24"/>
                <w:szCs w:val="24"/>
                <w:cs/>
              </w:rPr>
              <w:t>169,850</w:t>
            </w:r>
          </w:p>
        </w:tc>
        <w:tc>
          <w:tcPr>
            <w:tcW w:w="821" w:type="dxa"/>
            <w:vAlign w:val="center"/>
          </w:tcPr>
          <w:p w14:paraId="718E28E1" w14:textId="77777777" w:rsidR="009A0A63" w:rsidRPr="00792B36" w:rsidRDefault="009A0A63" w:rsidP="00A24459">
            <w:pPr>
              <w:jc w:val="center"/>
              <w:rPr>
                <w:sz w:val="24"/>
                <w:szCs w:val="24"/>
              </w:rPr>
            </w:pPr>
            <w:r w:rsidRPr="00792B36">
              <w:rPr>
                <w:sz w:val="24"/>
                <w:szCs w:val="24"/>
                <w:cs/>
              </w:rPr>
              <w:t>14,995</w:t>
            </w:r>
          </w:p>
        </w:tc>
        <w:tc>
          <w:tcPr>
            <w:tcW w:w="860" w:type="dxa"/>
            <w:vAlign w:val="center"/>
          </w:tcPr>
          <w:p w14:paraId="75C33453" w14:textId="77777777" w:rsidR="009A0A63" w:rsidRPr="00792B36" w:rsidRDefault="009A0A63" w:rsidP="00A24459">
            <w:pPr>
              <w:jc w:val="center"/>
              <w:rPr>
                <w:sz w:val="24"/>
                <w:szCs w:val="24"/>
              </w:rPr>
            </w:pPr>
            <w:r w:rsidRPr="00792B36">
              <w:rPr>
                <w:sz w:val="24"/>
                <w:szCs w:val="24"/>
                <w:cs/>
              </w:rPr>
              <w:t>25,005</w:t>
            </w:r>
          </w:p>
        </w:tc>
        <w:tc>
          <w:tcPr>
            <w:tcW w:w="938" w:type="dxa"/>
            <w:vAlign w:val="center"/>
          </w:tcPr>
          <w:p w14:paraId="5CBB4644" w14:textId="77777777" w:rsidR="009A0A63" w:rsidRPr="00792B36" w:rsidRDefault="009A0A63" w:rsidP="00A24459">
            <w:pPr>
              <w:jc w:val="center"/>
              <w:rPr>
                <w:sz w:val="24"/>
                <w:szCs w:val="24"/>
                <w:cs/>
              </w:rPr>
            </w:pPr>
            <w:r w:rsidRPr="00792B36">
              <w:rPr>
                <w:color w:val="000000"/>
                <w:sz w:val="24"/>
                <w:szCs w:val="24"/>
              </w:rPr>
              <w:t>496,793</w:t>
            </w:r>
          </w:p>
        </w:tc>
        <w:tc>
          <w:tcPr>
            <w:tcW w:w="931" w:type="dxa"/>
            <w:vAlign w:val="center"/>
          </w:tcPr>
          <w:p w14:paraId="1783911F" w14:textId="77777777" w:rsidR="009A0A63" w:rsidRPr="00792B36" w:rsidRDefault="009A0A63" w:rsidP="00A24459">
            <w:pPr>
              <w:jc w:val="center"/>
              <w:rPr>
                <w:sz w:val="24"/>
                <w:szCs w:val="24"/>
              </w:rPr>
            </w:pPr>
            <w:r w:rsidRPr="00792B36">
              <w:rPr>
                <w:sz w:val="24"/>
                <w:szCs w:val="24"/>
                <w:cs/>
              </w:rPr>
              <w:t>543,265</w:t>
            </w:r>
          </w:p>
        </w:tc>
        <w:tc>
          <w:tcPr>
            <w:tcW w:w="1096" w:type="dxa"/>
            <w:vAlign w:val="center"/>
          </w:tcPr>
          <w:p w14:paraId="2D6313C0" w14:textId="77777777" w:rsidR="009A0A63" w:rsidRPr="00792B36" w:rsidRDefault="009A0A63" w:rsidP="00A24459">
            <w:pPr>
              <w:jc w:val="center"/>
              <w:rPr>
                <w:sz w:val="24"/>
                <w:szCs w:val="24"/>
              </w:rPr>
            </w:pPr>
            <w:r w:rsidRPr="00792B36">
              <w:rPr>
                <w:sz w:val="24"/>
                <w:szCs w:val="24"/>
                <w:cs/>
              </w:rPr>
              <w:t>1,040,058</w:t>
            </w:r>
          </w:p>
        </w:tc>
        <w:tc>
          <w:tcPr>
            <w:tcW w:w="1317" w:type="dxa"/>
            <w:vAlign w:val="center"/>
          </w:tcPr>
          <w:p w14:paraId="4CF97D26" w14:textId="77777777" w:rsidR="009A0A63" w:rsidRPr="00792B36" w:rsidRDefault="009A0A63" w:rsidP="00A24459">
            <w:pPr>
              <w:jc w:val="center"/>
              <w:rPr>
                <w:sz w:val="24"/>
                <w:szCs w:val="24"/>
                <w:cs/>
              </w:rPr>
            </w:pPr>
            <w:r w:rsidRPr="00792B36">
              <w:rPr>
                <w:color w:val="000000"/>
                <w:sz w:val="24"/>
                <w:szCs w:val="24"/>
              </w:rPr>
              <w:t>47.77</w:t>
            </w:r>
          </w:p>
        </w:tc>
        <w:tc>
          <w:tcPr>
            <w:tcW w:w="987" w:type="dxa"/>
            <w:vAlign w:val="center"/>
          </w:tcPr>
          <w:p w14:paraId="1A42F0D3" w14:textId="77777777" w:rsidR="009A0A63" w:rsidRPr="00792B36" w:rsidRDefault="009A0A63" w:rsidP="00A24459">
            <w:pPr>
              <w:jc w:val="center"/>
              <w:rPr>
                <w:sz w:val="24"/>
                <w:szCs w:val="24"/>
                <w:cs/>
              </w:rPr>
            </w:pPr>
            <w:r w:rsidRPr="00792B36">
              <w:rPr>
                <w:color w:val="000000"/>
                <w:sz w:val="24"/>
                <w:szCs w:val="24"/>
              </w:rPr>
              <w:t>52.23</w:t>
            </w:r>
          </w:p>
        </w:tc>
      </w:tr>
      <w:tr w:rsidR="009A0A63" w:rsidRPr="00792B36" w14:paraId="3E2B2626" w14:textId="77777777" w:rsidTr="00A24459">
        <w:trPr>
          <w:trHeight w:val="340"/>
        </w:trPr>
        <w:tc>
          <w:tcPr>
            <w:tcW w:w="681" w:type="dxa"/>
            <w:vAlign w:val="center"/>
          </w:tcPr>
          <w:p w14:paraId="2B185B01" w14:textId="77777777" w:rsidR="009A0A63" w:rsidRPr="00792B36" w:rsidRDefault="009A0A63" w:rsidP="00A24459">
            <w:pPr>
              <w:jc w:val="center"/>
              <w:rPr>
                <w:sz w:val="24"/>
                <w:szCs w:val="24"/>
              </w:rPr>
            </w:pPr>
            <w:r w:rsidRPr="00792B36">
              <w:rPr>
                <w:sz w:val="24"/>
                <w:szCs w:val="24"/>
              </w:rPr>
              <w:t>2020</w:t>
            </w:r>
          </w:p>
        </w:tc>
        <w:tc>
          <w:tcPr>
            <w:tcW w:w="931" w:type="dxa"/>
            <w:vAlign w:val="center"/>
          </w:tcPr>
          <w:p w14:paraId="6067F07B" w14:textId="77777777" w:rsidR="009A0A63" w:rsidRPr="00792B36" w:rsidRDefault="009A0A63" w:rsidP="00A24459">
            <w:pPr>
              <w:jc w:val="center"/>
              <w:rPr>
                <w:sz w:val="24"/>
                <w:szCs w:val="24"/>
              </w:rPr>
            </w:pPr>
            <w:r w:rsidRPr="00792B36">
              <w:rPr>
                <w:sz w:val="24"/>
                <w:szCs w:val="24"/>
                <w:cs/>
              </w:rPr>
              <w:t>272,265</w:t>
            </w:r>
          </w:p>
        </w:tc>
        <w:tc>
          <w:tcPr>
            <w:tcW w:w="931" w:type="dxa"/>
            <w:vAlign w:val="center"/>
          </w:tcPr>
          <w:p w14:paraId="0E818497" w14:textId="77777777" w:rsidR="009A0A63" w:rsidRPr="00792B36" w:rsidRDefault="009A0A63" w:rsidP="00A24459">
            <w:pPr>
              <w:jc w:val="center"/>
              <w:rPr>
                <w:sz w:val="24"/>
                <w:szCs w:val="24"/>
              </w:rPr>
            </w:pPr>
            <w:r w:rsidRPr="00792B36">
              <w:rPr>
                <w:sz w:val="24"/>
                <w:szCs w:val="24"/>
                <w:cs/>
              </w:rPr>
              <w:t>135,532</w:t>
            </w:r>
          </w:p>
        </w:tc>
        <w:tc>
          <w:tcPr>
            <w:tcW w:w="821" w:type="dxa"/>
            <w:vAlign w:val="center"/>
          </w:tcPr>
          <w:p w14:paraId="19C84988" w14:textId="77777777" w:rsidR="009A0A63" w:rsidRPr="00792B36" w:rsidRDefault="009A0A63" w:rsidP="00A24459">
            <w:pPr>
              <w:jc w:val="center"/>
              <w:rPr>
                <w:sz w:val="24"/>
                <w:szCs w:val="24"/>
              </w:rPr>
            </w:pPr>
            <w:r w:rsidRPr="00792B36">
              <w:rPr>
                <w:sz w:val="24"/>
                <w:szCs w:val="24"/>
                <w:cs/>
              </w:rPr>
              <w:t>12,657</w:t>
            </w:r>
          </w:p>
        </w:tc>
        <w:tc>
          <w:tcPr>
            <w:tcW w:w="860" w:type="dxa"/>
            <w:vAlign w:val="center"/>
          </w:tcPr>
          <w:p w14:paraId="33B9B47C" w14:textId="77777777" w:rsidR="009A0A63" w:rsidRPr="00792B36" w:rsidRDefault="009A0A63" w:rsidP="00A24459">
            <w:pPr>
              <w:jc w:val="center"/>
              <w:rPr>
                <w:sz w:val="24"/>
                <w:szCs w:val="24"/>
              </w:rPr>
            </w:pPr>
            <w:r w:rsidRPr="00792B36">
              <w:rPr>
                <w:sz w:val="24"/>
                <w:szCs w:val="24"/>
                <w:cs/>
              </w:rPr>
              <w:t>23,743</w:t>
            </w:r>
          </w:p>
        </w:tc>
        <w:tc>
          <w:tcPr>
            <w:tcW w:w="938" w:type="dxa"/>
            <w:vAlign w:val="center"/>
          </w:tcPr>
          <w:p w14:paraId="764DB6DC" w14:textId="77777777" w:rsidR="009A0A63" w:rsidRPr="00792B36" w:rsidRDefault="009A0A63" w:rsidP="00A24459">
            <w:pPr>
              <w:jc w:val="center"/>
              <w:rPr>
                <w:sz w:val="24"/>
                <w:szCs w:val="24"/>
                <w:cs/>
              </w:rPr>
            </w:pPr>
            <w:r w:rsidRPr="00792B36">
              <w:rPr>
                <w:color w:val="000000"/>
                <w:sz w:val="24"/>
                <w:szCs w:val="24"/>
              </w:rPr>
              <w:t>444,197</w:t>
            </w:r>
          </w:p>
        </w:tc>
        <w:tc>
          <w:tcPr>
            <w:tcW w:w="931" w:type="dxa"/>
            <w:vAlign w:val="center"/>
          </w:tcPr>
          <w:p w14:paraId="1E6D1082" w14:textId="77777777" w:rsidR="009A0A63" w:rsidRPr="00792B36" w:rsidRDefault="009A0A63" w:rsidP="00A24459">
            <w:pPr>
              <w:jc w:val="center"/>
              <w:rPr>
                <w:sz w:val="24"/>
                <w:szCs w:val="24"/>
              </w:rPr>
            </w:pPr>
            <w:r w:rsidRPr="00792B36">
              <w:rPr>
                <w:sz w:val="24"/>
                <w:szCs w:val="24"/>
                <w:cs/>
              </w:rPr>
              <w:t>518,140</w:t>
            </w:r>
          </w:p>
        </w:tc>
        <w:tc>
          <w:tcPr>
            <w:tcW w:w="1096" w:type="dxa"/>
            <w:vAlign w:val="center"/>
          </w:tcPr>
          <w:p w14:paraId="591F04FF" w14:textId="77777777" w:rsidR="009A0A63" w:rsidRPr="00792B36" w:rsidRDefault="009A0A63" w:rsidP="00A24459">
            <w:pPr>
              <w:jc w:val="center"/>
              <w:rPr>
                <w:sz w:val="24"/>
                <w:szCs w:val="24"/>
              </w:rPr>
            </w:pPr>
            <w:r w:rsidRPr="00792B36">
              <w:rPr>
                <w:sz w:val="24"/>
                <w:szCs w:val="24"/>
                <w:cs/>
              </w:rPr>
              <w:t>962,337</w:t>
            </w:r>
          </w:p>
        </w:tc>
        <w:tc>
          <w:tcPr>
            <w:tcW w:w="1317" w:type="dxa"/>
            <w:vAlign w:val="center"/>
          </w:tcPr>
          <w:p w14:paraId="160F8634" w14:textId="77777777" w:rsidR="009A0A63" w:rsidRPr="00792B36" w:rsidRDefault="009A0A63" w:rsidP="00A24459">
            <w:pPr>
              <w:jc w:val="center"/>
              <w:rPr>
                <w:sz w:val="24"/>
                <w:szCs w:val="24"/>
                <w:cs/>
              </w:rPr>
            </w:pPr>
            <w:r w:rsidRPr="00792B36">
              <w:rPr>
                <w:color w:val="000000"/>
                <w:sz w:val="24"/>
                <w:szCs w:val="24"/>
              </w:rPr>
              <w:t>46.16</w:t>
            </w:r>
          </w:p>
        </w:tc>
        <w:tc>
          <w:tcPr>
            <w:tcW w:w="987" w:type="dxa"/>
            <w:vAlign w:val="center"/>
          </w:tcPr>
          <w:p w14:paraId="6C9C2B04" w14:textId="77777777" w:rsidR="009A0A63" w:rsidRPr="00792B36" w:rsidRDefault="009A0A63" w:rsidP="00A24459">
            <w:pPr>
              <w:jc w:val="center"/>
              <w:rPr>
                <w:sz w:val="24"/>
                <w:szCs w:val="24"/>
                <w:cs/>
              </w:rPr>
            </w:pPr>
            <w:r w:rsidRPr="00792B36">
              <w:rPr>
                <w:color w:val="000000"/>
                <w:sz w:val="24"/>
                <w:szCs w:val="24"/>
              </w:rPr>
              <w:t>53.84</w:t>
            </w:r>
          </w:p>
        </w:tc>
      </w:tr>
      <w:tr w:rsidR="009A0A63" w:rsidRPr="00792B36" w14:paraId="386CC644" w14:textId="77777777" w:rsidTr="00A24459">
        <w:trPr>
          <w:trHeight w:val="340"/>
        </w:trPr>
        <w:tc>
          <w:tcPr>
            <w:tcW w:w="681" w:type="dxa"/>
            <w:vAlign w:val="center"/>
          </w:tcPr>
          <w:p w14:paraId="186356A6" w14:textId="77777777" w:rsidR="009A0A63" w:rsidRPr="00792B36" w:rsidRDefault="009A0A63" w:rsidP="00A24459">
            <w:pPr>
              <w:jc w:val="center"/>
              <w:rPr>
                <w:sz w:val="24"/>
                <w:szCs w:val="24"/>
              </w:rPr>
            </w:pPr>
            <w:r w:rsidRPr="00792B36">
              <w:rPr>
                <w:sz w:val="24"/>
                <w:szCs w:val="24"/>
              </w:rPr>
              <w:t>2021</w:t>
            </w:r>
          </w:p>
        </w:tc>
        <w:tc>
          <w:tcPr>
            <w:tcW w:w="931" w:type="dxa"/>
            <w:vAlign w:val="center"/>
          </w:tcPr>
          <w:p w14:paraId="35FFE5CA" w14:textId="77777777" w:rsidR="009A0A63" w:rsidRPr="00792B36" w:rsidRDefault="009A0A63" w:rsidP="00A24459">
            <w:pPr>
              <w:jc w:val="center"/>
              <w:rPr>
                <w:sz w:val="24"/>
                <w:szCs w:val="24"/>
              </w:rPr>
            </w:pPr>
            <w:r w:rsidRPr="00792B36">
              <w:rPr>
                <w:sz w:val="24"/>
                <w:szCs w:val="24"/>
                <w:cs/>
              </w:rPr>
              <w:t>265,297</w:t>
            </w:r>
          </w:p>
        </w:tc>
        <w:tc>
          <w:tcPr>
            <w:tcW w:w="931" w:type="dxa"/>
            <w:vAlign w:val="center"/>
          </w:tcPr>
          <w:p w14:paraId="351F34CD" w14:textId="77777777" w:rsidR="009A0A63" w:rsidRPr="00792B36" w:rsidRDefault="009A0A63" w:rsidP="00A24459">
            <w:pPr>
              <w:jc w:val="center"/>
              <w:rPr>
                <w:sz w:val="24"/>
                <w:szCs w:val="24"/>
              </w:rPr>
            </w:pPr>
            <w:r w:rsidRPr="00792B36">
              <w:rPr>
                <w:sz w:val="24"/>
                <w:szCs w:val="24"/>
                <w:cs/>
              </w:rPr>
              <w:t>123,786</w:t>
            </w:r>
          </w:p>
        </w:tc>
        <w:tc>
          <w:tcPr>
            <w:tcW w:w="821" w:type="dxa"/>
            <w:vAlign w:val="center"/>
          </w:tcPr>
          <w:p w14:paraId="09395BB7" w14:textId="77777777" w:rsidR="009A0A63" w:rsidRPr="00792B36" w:rsidRDefault="009A0A63" w:rsidP="00A24459">
            <w:pPr>
              <w:jc w:val="center"/>
              <w:rPr>
                <w:sz w:val="24"/>
                <w:szCs w:val="24"/>
              </w:rPr>
            </w:pPr>
            <w:r w:rsidRPr="00792B36">
              <w:rPr>
                <w:sz w:val="24"/>
                <w:szCs w:val="24"/>
                <w:cs/>
              </w:rPr>
              <w:t>11,995</w:t>
            </w:r>
          </w:p>
        </w:tc>
        <w:tc>
          <w:tcPr>
            <w:tcW w:w="860" w:type="dxa"/>
            <w:vAlign w:val="center"/>
          </w:tcPr>
          <w:p w14:paraId="78803AA4" w14:textId="77777777" w:rsidR="009A0A63" w:rsidRPr="00792B36" w:rsidRDefault="009A0A63" w:rsidP="00A24459">
            <w:pPr>
              <w:jc w:val="center"/>
              <w:rPr>
                <w:sz w:val="24"/>
                <w:szCs w:val="24"/>
              </w:rPr>
            </w:pPr>
            <w:r w:rsidRPr="00792B36">
              <w:rPr>
                <w:sz w:val="24"/>
                <w:szCs w:val="24"/>
                <w:cs/>
              </w:rPr>
              <w:t>8,671</w:t>
            </w:r>
          </w:p>
        </w:tc>
        <w:tc>
          <w:tcPr>
            <w:tcW w:w="938" w:type="dxa"/>
            <w:vAlign w:val="center"/>
          </w:tcPr>
          <w:p w14:paraId="6A56AA80" w14:textId="77777777" w:rsidR="009A0A63" w:rsidRPr="00792B36" w:rsidRDefault="009A0A63" w:rsidP="00A24459">
            <w:pPr>
              <w:jc w:val="center"/>
              <w:rPr>
                <w:sz w:val="24"/>
                <w:szCs w:val="24"/>
                <w:cs/>
              </w:rPr>
            </w:pPr>
            <w:r w:rsidRPr="00792B36">
              <w:rPr>
                <w:color w:val="000000"/>
                <w:sz w:val="24"/>
                <w:szCs w:val="24"/>
              </w:rPr>
              <w:t>409,749</w:t>
            </w:r>
          </w:p>
        </w:tc>
        <w:tc>
          <w:tcPr>
            <w:tcW w:w="931" w:type="dxa"/>
            <w:vAlign w:val="center"/>
          </w:tcPr>
          <w:p w14:paraId="19D7D32F" w14:textId="77777777" w:rsidR="009A0A63" w:rsidRPr="00792B36" w:rsidRDefault="009A0A63" w:rsidP="00A24459">
            <w:pPr>
              <w:jc w:val="center"/>
              <w:rPr>
                <w:sz w:val="24"/>
                <w:szCs w:val="24"/>
              </w:rPr>
            </w:pPr>
            <w:r w:rsidRPr="00792B36">
              <w:rPr>
                <w:sz w:val="24"/>
                <w:szCs w:val="24"/>
                <w:cs/>
              </w:rPr>
              <w:t>494,186</w:t>
            </w:r>
          </w:p>
        </w:tc>
        <w:tc>
          <w:tcPr>
            <w:tcW w:w="1096" w:type="dxa"/>
            <w:vAlign w:val="center"/>
          </w:tcPr>
          <w:p w14:paraId="07CD6E05" w14:textId="77777777" w:rsidR="009A0A63" w:rsidRPr="00792B36" w:rsidRDefault="009A0A63" w:rsidP="00A24459">
            <w:pPr>
              <w:jc w:val="center"/>
              <w:rPr>
                <w:sz w:val="24"/>
                <w:szCs w:val="24"/>
              </w:rPr>
            </w:pPr>
            <w:r w:rsidRPr="00792B36">
              <w:rPr>
                <w:sz w:val="24"/>
                <w:szCs w:val="24"/>
                <w:cs/>
              </w:rPr>
              <w:t>903,935</w:t>
            </w:r>
          </w:p>
        </w:tc>
        <w:tc>
          <w:tcPr>
            <w:tcW w:w="1317" w:type="dxa"/>
            <w:vAlign w:val="center"/>
          </w:tcPr>
          <w:p w14:paraId="6F027547" w14:textId="77777777" w:rsidR="009A0A63" w:rsidRPr="00792B36" w:rsidRDefault="009A0A63" w:rsidP="00A24459">
            <w:pPr>
              <w:jc w:val="center"/>
              <w:rPr>
                <w:sz w:val="24"/>
                <w:szCs w:val="24"/>
                <w:cs/>
              </w:rPr>
            </w:pPr>
            <w:r w:rsidRPr="00792B36">
              <w:rPr>
                <w:color w:val="000000"/>
                <w:sz w:val="24"/>
                <w:szCs w:val="24"/>
              </w:rPr>
              <w:t>45.33</w:t>
            </w:r>
          </w:p>
        </w:tc>
        <w:tc>
          <w:tcPr>
            <w:tcW w:w="987" w:type="dxa"/>
            <w:vAlign w:val="center"/>
          </w:tcPr>
          <w:p w14:paraId="4C5A1F3A" w14:textId="77777777" w:rsidR="009A0A63" w:rsidRPr="00792B36" w:rsidRDefault="009A0A63" w:rsidP="00A24459">
            <w:pPr>
              <w:jc w:val="center"/>
              <w:rPr>
                <w:sz w:val="24"/>
                <w:szCs w:val="24"/>
                <w:cs/>
              </w:rPr>
            </w:pPr>
            <w:r w:rsidRPr="00792B36">
              <w:rPr>
                <w:color w:val="000000"/>
                <w:sz w:val="24"/>
                <w:szCs w:val="24"/>
              </w:rPr>
              <w:t>54.67</w:t>
            </w:r>
          </w:p>
        </w:tc>
      </w:tr>
      <w:tr w:rsidR="009A0A63" w:rsidRPr="00792B36" w14:paraId="5D9ED48E" w14:textId="77777777" w:rsidTr="00A24459">
        <w:trPr>
          <w:trHeight w:val="340"/>
        </w:trPr>
        <w:tc>
          <w:tcPr>
            <w:tcW w:w="681" w:type="dxa"/>
            <w:vAlign w:val="center"/>
          </w:tcPr>
          <w:p w14:paraId="3FFF0282" w14:textId="77777777" w:rsidR="009A0A63" w:rsidRPr="00792B36" w:rsidRDefault="009A0A63" w:rsidP="00A24459">
            <w:pPr>
              <w:jc w:val="center"/>
              <w:rPr>
                <w:sz w:val="24"/>
                <w:szCs w:val="24"/>
              </w:rPr>
            </w:pPr>
            <w:r w:rsidRPr="00792B36">
              <w:rPr>
                <w:sz w:val="24"/>
                <w:szCs w:val="24"/>
              </w:rPr>
              <w:t>2022</w:t>
            </w:r>
          </w:p>
        </w:tc>
        <w:tc>
          <w:tcPr>
            <w:tcW w:w="931" w:type="dxa"/>
            <w:vAlign w:val="center"/>
          </w:tcPr>
          <w:p w14:paraId="35100CF8" w14:textId="77777777" w:rsidR="009A0A63" w:rsidRPr="00792B36" w:rsidRDefault="009A0A63" w:rsidP="00A24459">
            <w:pPr>
              <w:jc w:val="center"/>
              <w:rPr>
                <w:sz w:val="24"/>
                <w:szCs w:val="24"/>
              </w:rPr>
            </w:pPr>
            <w:r w:rsidRPr="00792B36">
              <w:rPr>
                <w:sz w:val="24"/>
                <w:szCs w:val="24"/>
                <w:cs/>
              </w:rPr>
              <w:t>239,430</w:t>
            </w:r>
          </w:p>
        </w:tc>
        <w:tc>
          <w:tcPr>
            <w:tcW w:w="931" w:type="dxa"/>
            <w:vAlign w:val="center"/>
          </w:tcPr>
          <w:p w14:paraId="43CE5478" w14:textId="77777777" w:rsidR="009A0A63" w:rsidRPr="00792B36" w:rsidRDefault="009A0A63" w:rsidP="00A24459">
            <w:pPr>
              <w:jc w:val="center"/>
              <w:rPr>
                <w:sz w:val="24"/>
                <w:szCs w:val="24"/>
              </w:rPr>
            </w:pPr>
            <w:r w:rsidRPr="00792B36">
              <w:rPr>
                <w:sz w:val="24"/>
                <w:szCs w:val="24"/>
                <w:cs/>
              </w:rPr>
              <w:t>122,074</w:t>
            </w:r>
          </w:p>
        </w:tc>
        <w:tc>
          <w:tcPr>
            <w:tcW w:w="821" w:type="dxa"/>
            <w:vAlign w:val="center"/>
          </w:tcPr>
          <w:p w14:paraId="5D8B5948" w14:textId="77777777" w:rsidR="009A0A63" w:rsidRPr="00792B36" w:rsidRDefault="009A0A63" w:rsidP="00A24459">
            <w:pPr>
              <w:jc w:val="center"/>
              <w:rPr>
                <w:sz w:val="24"/>
                <w:szCs w:val="24"/>
              </w:rPr>
            </w:pPr>
            <w:r w:rsidRPr="00792B36">
              <w:rPr>
                <w:sz w:val="24"/>
                <w:szCs w:val="24"/>
                <w:cs/>
              </w:rPr>
              <w:t>12,258</w:t>
            </w:r>
          </w:p>
        </w:tc>
        <w:tc>
          <w:tcPr>
            <w:tcW w:w="860" w:type="dxa"/>
            <w:vAlign w:val="center"/>
          </w:tcPr>
          <w:p w14:paraId="45ED0941" w14:textId="77777777" w:rsidR="009A0A63" w:rsidRPr="00792B36" w:rsidRDefault="009A0A63" w:rsidP="00A24459">
            <w:pPr>
              <w:jc w:val="center"/>
              <w:rPr>
                <w:sz w:val="24"/>
                <w:szCs w:val="24"/>
              </w:rPr>
            </w:pPr>
            <w:r w:rsidRPr="00792B36">
              <w:rPr>
                <w:sz w:val="24"/>
                <w:szCs w:val="24"/>
                <w:cs/>
              </w:rPr>
              <w:t>6,906</w:t>
            </w:r>
          </w:p>
        </w:tc>
        <w:tc>
          <w:tcPr>
            <w:tcW w:w="938" w:type="dxa"/>
            <w:vAlign w:val="center"/>
          </w:tcPr>
          <w:p w14:paraId="3188E43F" w14:textId="77777777" w:rsidR="009A0A63" w:rsidRPr="00792B36" w:rsidRDefault="009A0A63" w:rsidP="00A24459">
            <w:pPr>
              <w:jc w:val="center"/>
              <w:rPr>
                <w:sz w:val="24"/>
                <w:szCs w:val="24"/>
                <w:cs/>
              </w:rPr>
            </w:pPr>
            <w:r w:rsidRPr="00792B36">
              <w:rPr>
                <w:color w:val="000000"/>
                <w:sz w:val="24"/>
                <w:szCs w:val="24"/>
              </w:rPr>
              <w:t>380,668</w:t>
            </w:r>
          </w:p>
        </w:tc>
        <w:tc>
          <w:tcPr>
            <w:tcW w:w="931" w:type="dxa"/>
            <w:vAlign w:val="center"/>
          </w:tcPr>
          <w:p w14:paraId="6BA9125C" w14:textId="77777777" w:rsidR="009A0A63" w:rsidRPr="00792B36" w:rsidRDefault="009A0A63" w:rsidP="00A24459">
            <w:pPr>
              <w:jc w:val="center"/>
              <w:rPr>
                <w:sz w:val="24"/>
                <w:szCs w:val="24"/>
              </w:rPr>
            </w:pPr>
            <w:r w:rsidRPr="00792B36">
              <w:rPr>
                <w:sz w:val="24"/>
                <w:szCs w:val="24"/>
                <w:cs/>
              </w:rPr>
              <w:t>571,258</w:t>
            </w:r>
          </w:p>
        </w:tc>
        <w:tc>
          <w:tcPr>
            <w:tcW w:w="1096" w:type="dxa"/>
            <w:vAlign w:val="center"/>
          </w:tcPr>
          <w:p w14:paraId="50324C95" w14:textId="77777777" w:rsidR="009A0A63" w:rsidRPr="00792B36" w:rsidRDefault="009A0A63" w:rsidP="00A24459">
            <w:pPr>
              <w:jc w:val="center"/>
              <w:rPr>
                <w:sz w:val="24"/>
                <w:szCs w:val="24"/>
              </w:rPr>
            </w:pPr>
            <w:r w:rsidRPr="00792B36">
              <w:rPr>
                <w:sz w:val="24"/>
                <w:szCs w:val="24"/>
                <w:cs/>
              </w:rPr>
              <w:t>951,926</w:t>
            </w:r>
          </w:p>
        </w:tc>
        <w:tc>
          <w:tcPr>
            <w:tcW w:w="1317" w:type="dxa"/>
            <w:vAlign w:val="center"/>
          </w:tcPr>
          <w:p w14:paraId="34B0BF08" w14:textId="77777777" w:rsidR="009A0A63" w:rsidRPr="00792B36" w:rsidRDefault="009A0A63" w:rsidP="00A24459">
            <w:pPr>
              <w:jc w:val="center"/>
              <w:rPr>
                <w:sz w:val="24"/>
                <w:szCs w:val="24"/>
                <w:cs/>
              </w:rPr>
            </w:pPr>
            <w:r w:rsidRPr="00792B36">
              <w:rPr>
                <w:color w:val="000000"/>
                <w:sz w:val="24"/>
                <w:szCs w:val="24"/>
              </w:rPr>
              <w:t>39.99</w:t>
            </w:r>
          </w:p>
        </w:tc>
        <w:tc>
          <w:tcPr>
            <w:tcW w:w="987" w:type="dxa"/>
            <w:vAlign w:val="center"/>
          </w:tcPr>
          <w:p w14:paraId="7B9D53A5" w14:textId="77777777" w:rsidR="009A0A63" w:rsidRPr="00792B36" w:rsidRDefault="009A0A63" w:rsidP="00A24459">
            <w:pPr>
              <w:jc w:val="center"/>
              <w:rPr>
                <w:sz w:val="24"/>
                <w:szCs w:val="24"/>
                <w:cs/>
              </w:rPr>
            </w:pPr>
            <w:r w:rsidRPr="00792B36">
              <w:rPr>
                <w:color w:val="000000"/>
                <w:sz w:val="24"/>
                <w:szCs w:val="24"/>
              </w:rPr>
              <w:t>60.01</w:t>
            </w:r>
          </w:p>
        </w:tc>
      </w:tr>
      <w:tr w:rsidR="009A0A63" w:rsidRPr="00792B36" w14:paraId="2EAA7554" w14:textId="77777777" w:rsidTr="00A24459">
        <w:trPr>
          <w:trHeight w:val="340"/>
        </w:trPr>
        <w:tc>
          <w:tcPr>
            <w:tcW w:w="681" w:type="dxa"/>
            <w:vAlign w:val="center"/>
          </w:tcPr>
          <w:p w14:paraId="314D2FEB" w14:textId="77777777" w:rsidR="009A0A63" w:rsidRPr="00792B36" w:rsidRDefault="009A0A63" w:rsidP="00A24459">
            <w:pPr>
              <w:jc w:val="center"/>
              <w:rPr>
                <w:sz w:val="24"/>
                <w:szCs w:val="24"/>
              </w:rPr>
            </w:pPr>
            <w:r w:rsidRPr="00792B36">
              <w:rPr>
                <w:sz w:val="24"/>
                <w:szCs w:val="24"/>
              </w:rPr>
              <w:t>2023</w:t>
            </w:r>
          </w:p>
        </w:tc>
        <w:tc>
          <w:tcPr>
            <w:tcW w:w="931" w:type="dxa"/>
            <w:vAlign w:val="center"/>
          </w:tcPr>
          <w:p w14:paraId="79340629" w14:textId="77777777" w:rsidR="009A0A63" w:rsidRPr="00792B36" w:rsidRDefault="009A0A63" w:rsidP="00A24459">
            <w:pPr>
              <w:jc w:val="center"/>
              <w:rPr>
                <w:sz w:val="24"/>
                <w:szCs w:val="24"/>
              </w:rPr>
            </w:pPr>
            <w:r w:rsidRPr="00792B36">
              <w:rPr>
                <w:sz w:val="24"/>
                <w:szCs w:val="24"/>
                <w:cs/>
              </w:rPr>
              <w:t>255,593</w:t>
            </w:r>
          </w:p>
        </w:tc>
        <w:tc>
          <w:tcPr>
            <w:tcW w:w="931" w:type="dxa"/>
            <w:vAlign w:val="center"/>
          </w:tcPr>
          <w:p w14:paraId="5BDD5126" w14:textId="77777777" w:rsidR="009A0A63" w:rsidRPr="00792B36" w:rsidRDefault="009A0A63" w:rsidP="00A24459">
            <w:pPr>
              <w:jc w:val="center"/>
              <w:rPr>
                <w:sz w:val="24"/>
                <w:szCs w:val="24"/>
              </w:rPr>
            </w:pPr>
            <w:r w:rsidRPr="00792B36">
              <w:rPr>
                <w:sz w:val="24"/>
                <w:szCs w:val="24"/>
                <w:cs/>
              </w:rPr>
              <w:t>119,361</w:t>
            </w:r>
          </w:p>
        </w:tc>
        <w:tc>
          <w:tcPr>
            <w:tcW w:w="821" w:type="dxa"/>
            <w:vAlign w:val="center"/>
          </w:tcPr>
          <w:p w14:paraId="547EFB31" w14:textId="77777777" w:rsidR="009A0A63" w:rsidRPr="00792B36" w:rsidRDefault="009A0A63" w:rsidP="00A24459">
            <w:pPr>
              <w:jc w:val="center"/>
              <w:rPr>
                <w:sz w:val="24"/>
                <w:szCs w:val="24"/>
              </w:rPr>
            </w:pPr>
            <w:r w:rsidRPr="00792B36">
              <w:rPr>
                <w:sz w:val="24"/>
                <w:szCs w:val="24"/>
                <w:cs/>
              </w:rPr>
              <w:t>12,775</w:t>
            </w:r>
          </w:p>
        </w:tc>
        <w:tc>
          <w:tcPr>
            <w:tcW w:w="860" w:type="dxa"/>
            <w:vAlign w:val="center"/>
          </w:tcPr>
          <w:p w14:paraId="26775F38" w14:textId="77777777" w:rsidR="009A0A63" w:rsidRPr="00792B36" w:rsidRDefault="009A0A63" w:rsidP="00A24459">
            <w:pPr>
              <w:jc w:val="center"/>
              <w:rPr>
                <w:sz w:val="24"/>
                <w:szCs w:val="24"/>
              </w:rPr>
            </w:pPr>
            <w:r w:rsidRPr="00792B36">
              <w:rPr>
                <w:sz w:val="24"/>
                <w:szCs w:val="24"/>
                <w:cs/>
              </w:rPr>
              <w:t>9,433</w:t>
            </w:r>
          </w:p>
        </w:tc>
        <w:tc>
          <w:tcPr>
            <w:tcW w:w="938" w:type="dxa"/>
            <w:vAlign w:val="center"/>
          </w:tcPr>
          <w:p w14:paraId="4C8CA7B5" w14:textId="77777777" w:rsidR="009A0A63" w:rsidRPr="00792B36" w:rsidRDefault="009A0A63" w:rsidP="00A24459">
            <w:pPr>
              <w:jc w:val="center"/>
              <w:rPr>
                <w:sz w:val="24"/>
                <w:szCs w:val="24"/>
                <w:cs/>
              </w:rPr>
            </w:pPr>
            <w:r w:rsidRPr="00792B36">
              <w:rPr>
                <w:color w:val="000000"/>
                <w:sz w:val="24"/>
                <w:szCs w:val="24"/>
              </w:rPr>
              <w:t>397,162</w:t>
            </w:r>
          </w:p>
        </w:tc>
        <w:tc>
          <w:tcPr>
            <w:tcW w:w="931" w:type="dxa"/>
            <w:vAlign w:val="center"/>
          </w:tcPr>
          <w:p w14:paraId="4B0AA5B7" w14:textId="77777777" w:rsidR="009A0A63" w:rsidRPr="00792B36" w:rsidRDefault="009A0A63" w:rsidP="00A24459">
            <w:pPr>
              <w:jc w:val="center"/>
              <w:rPr>
                <w:sz w:val="24"/>
                <w:szCs w:val="24"/>
              </w:rPr>
            </w:pPr>
            <w:r w:rsidRPr="00792B36">
              <w:rPr>
                <w:sz w:val="24"/>
                <w:szCs w:val="24"/>
                <w:cs/>
              </w:rPr>
              <w:t>625,367</w:t>
            </w:r>
          </w:p>
        </w:tc>
        <w:tc>
          <w:tcPr>
            <w:tcW w:w="1096" w:type="dxa"/>
            <w:vAlign w:val="center"/>
          </w:tcPr>
          <w:p w14:paraId="72844AF3" w14:textId="77777777" w:rsidR="009A0A63" w:rsidRPr="00792B36" w:rsidRDefault="009A0A63" w:rsidP="00A24459">
            <w:pPr>
              <w:jc w:val="center"/>
              <w:rPr>
                <w:sz w:val="24"/>
                <w:szCs w:val="24"/>
              </w:rPr>
            </w:pPr>
            <w:r w:rsidRPr="00792B36">
              <w:rPr>
                <w:sz w:val="24"/>
                <w:szCs w:val="24"/>
                <w:cs/>
              </w:rPr>
              <w:t>1,022,529</w:t>
            </w:r>
          </w:p>
        </w:tc>
        <w:tc>
          <w:tcPr>
            <w:tcW w:w="1317" w:type="dxa"/>
            <w:vAlign w:val="center"/>
          </w:tcPr>
          <w:p w14:paraId="583C3494" w14:textId="77777777" w:rsidR="009A0A63" w:rsidRPr="00792B36" w:rsidRDefault="009A0A63" w:rsidP="00A24459">
            <w:pPr>
              <w:jc w:val="center"/>
              <w:rPr>
                <w:sz w:val="24"/>
                <w:szCs w:val="24"/>
                <w:cs/>
              </w:rPr>
            </w:pPr>
            <w:r w:rsidRPr="00792B36">
              <w:rPr>
                <w:color w:val="000000"/>
                <w:sz w:val="24"/>
                <w:szCs w:val="24"/>
              </w:rPr>
              <w:t>38.84</w:t>
            </w:r>
          </w:p>
        </w:tc>
        <w:tc>
          <w:tcPr>
            <w:tcW w:w="987" w:type="dxa"/>
            <w:vAlign w:val="center"/>
          </w:tcPr>
          <w:p w14:paraId="18B9E59D" w14:textId="77777777" w:rsidR="009A0A63" w:rsidRPr="00792B36" w:rsidRDefault="009A0A63" w:rsidP="00A24459">
            <w:pPr>
              <w:jc w:val="center"/>
              <w:rPr>
                <w:sz w:val="24"/>
                <w:szCs w:val="24"/>
                <w:cs/>
              </w:rPr>
            </w:pPr>
            <w:r w:rsidRPr="00792B36">
              <w:rPr>
                <w:color w:val="000000"/>
                <w:sz w:val="24"/>
                <w:szCs w:val="24"/>
              </w:rPr>
              <w:t>61.16</w:t>
            </w:r>
          </w:p>
        </w:tc>
      </w:tr>
      <w:tr w:rsidR="009A0A63" w:rsidRPr="00792B36" w14:paraId="6F2C59A8" w14:textId="77777777" w:rsidTr="00A24459">
        <w:trPr>
          <w:trHeight w:val="340"/>
        </w:trPr>
        <w:tc>
          <w:tcPr>
            <w:tcW w:w="681" w:type="dxa"/>
            <w:tcBorders>
              <w:bottom w:val="single" w:sz="4" w:space="0" w:color="auto"/>
            </w:tcBorders>
            <w:vAlign w:val="center"/>
          </w:tcPr>
          <w:p w14:paraId="5C63E152" w14:textId="77777777" w:rsidR="009A0A63" w:rsidRPr="00792B36" w:rsidRDefault="009A0A63" w:rsidP="00A24459">
            <w:pPr>
              <w:jc w:val="center"/>
              <w:rPr>
                <w:sz w:val="24"/>
                <w:szCs w:val="24"/>
              </w:rPr>
            </w:pPr>
            <w:r w:rsidRPr="00792B36">
              <w:rPr>
                <w:sz w:val="24"/>
                <w:szCs w:val="24"/>
              </w:rPr>
              <w:t>2024</w:t>
            </w:r>
          </w:p>
        </w:tc>
        <w:tc>
          <w:tcPr>
            <w:tcW w:w="931" w:type="dxa"/>
            <w:tcBorders>
              <w:bottom w:val="single" w:sz="4" w:space="0" w:color="auto"/>
            </w:tcBorders>
            <w:vAlign w:val="center"/>
          </w:tcPr>
          <w:p w14:paraId="7EC7DD67" w14:textId="77777777" w:rsidR="009A0A63" w:rsidRPr="00792B36" w:rsidRDefault="009A0A63" w:rsidP="00A24459">
            <w:pPr>
              <w:jc w:val="center"/>
              <w:rPr>
                <w:sz w:val="24"/>
                <w:szCs w:val="24"/>
              </w:rPr>
            </w:pPr>
            <w:r w:rsidRPr="00792B36">
              <w:rPr>
                <w:sz w:val="24"/>
                <w:szCs w:val="24"/>
              </w:rPr>
              <w:t>243,775</w:t>
            </w:r>
          </w:p>
        </w:tc>
        <w:tc>
          <w:tcPr>
            <w:tcW w:w="931" w:type="dxa"/>
            <w:tcBorders>
              <w:bottom w:val="single" w:sz="4" w:space="0" w:color="auto"/>
            </w:tcBorders>
            <w:vAlign w:val="center"/>
          </w:tcPr>
          <w:p w14:paraId="5485B7B8" w14:textId="77777777" w:rsidR="009A0A63" w:rsidRPr="00792B36" w:rsidRDefault="009A0A63" w:rsidP="00A24459">
            <w:pPr>
              <w:jc w:val="center"/>
              <w:rPr>
                <w:sz w:val="24"/>
                <w:szCs w:val="24"/>
              </w:rPr>
            </w:pPr>
            <w:r w:rsidRPr="00792B36">
              <w:rPr>
                <w:sz w:val="24"/>
                <w:szCs w:val="24"/>
              </w:rPr>
              <w:t>115,856</w:t>
            </w:r>
          </w:p>
        </w:tc>
        <w:tc>
          <w:tcPr>
            <w:tcW w:w="821" w:type="dxa"/>
            <w:tcBorders>
              <w:bottom w:val="single" w:sz="4" w:space="0" w:color="auto"/>
            </w:tcBorders>
            <w:vAlign w:val="center"/>
          </w:tcPr>
          <w:p w14:paraId="28E5FF10" w14:textId="77777777" w:rsidR="009A0A63" w:rsidRPr="00792B36" w:rsidRDefault="009A0A63" w:rsidP="00A24459">
            <w:pPr>
              <w:jc w:val="center"/>
              <w:rPr>
                <w:sz w:val="24"/>
                <w:szCs w:val="24"/>
              </w:rPr>
            </w:pPr>
            <w:r w:rsidRPr="00792B36">
              <w:rPr>
                <w:sz w:val="24"/>
                <w:szCs w:val="24"/>
              </w:rPr>
              <w:t>13,901</w:t>
            </w:r>
          </w:p>
        </w:tc>
        <w:tc>
          <w:tcPr>
            <w:tcW w:w="860" w:type="dxa"/>
            <w:tcBorders>
              <w:bottom w:val="single" w:sz="4" w:space="0" w:color="auto"/>
            </w:tcBorders>
            <w:vAlign w:val="center"/>
          </w:tcPr>
          <w:p w14:paraId="1A76CDE6" w14:textId="77777777" w:rsidR="009A0A63" w:rsidRPr="00792B36" w:rsidRDefault="009A0A63" w:rsidP="00A24459">
            <w:pPr>
              <w:jc w:val="center"/>
              <w:rPr>
                <w:sz w:val="24"/>
                <w:szCs w:val="24"/>
              </w:rPr>
            </w:pPr>
            <w:r w:rsidRPr="00792B36">
              <w:rPr>
                <w:sz w:val="24"/>
                <w:szCs w:val="24"/>
              </w:rPr>
              <w:t>7,147</w:t>
            </w:r>
          </w:p>
        </w:tc>
        <w:tc>
          <w:tcPr>
            <w:tcW w:w="938" w:type="dxa"/>
            <w:tcBorders>
              <w:bottom w:val="single" w:sz="4" w:space="0" w:color="auto"/>
            </w:tcBorders>
            <w:vAlign w:val="center"/>
          </w:tcPr>
          <w:p w14:paraId="5AC5B629" w14:textId="77777777" w:rsidR="009A0A63" w:rsidRPr="00792B36" w:rsidRDefault="009A0A63" w:rsidP="00A24459">
            <w:pPr>
              <w:jc w:val="center"/>
              <w:rPr>
                <w:sz w:val="24"/>
                <w:szCs w:val="24"/>
              </w:rPr>
            </w:pPr>
            <w:r w:rsidRPr="00792B36">
              <w:rPr>
                <w:color w:val="000000"/>
                <w:sz w:val="24"/>
                <w:szCs w:val="24"/>
              </w:rPr>
              <w:t>380,679</w:t>
            </w:r>
          </w:p>
        </w:tc>
        <w:tc>
          <w:tcPr>
            <w:tcW w:w="931" w:type="dxa"/>
            <w:tcBorders>
              <w:bottom w:val="single" w:sz="4" w:space="0" w:color="auto"/>
            </w:tcBorders>
            <w:vAlign w:val="center"/>
          </w:tcPr>
          <w:p w14:paraId="6DEA3947" w14:textId="77777777" w:rsidR="009A0A63" w:rsidRPr="00792B36" w:rsidRDefault="009A0A63" w:rsidP="00A24459">
            <w:pPr>
              <w:jc w:val="center"/>
              <w:rPr>
                <w:sz w:val="24"/>
                <w:szCs w:val="24"/>
              </w:rPr>
            </w:pPr>
            <w:r w:rsidRPr="00792B36">
              <w:rPr>
                <w:sz w:val="24"/>
                <w:szCs w:val="24"/>
              </w:rPr>
              <w:t>586,276</w:t>
            </w:r>
          </w:p>
        </w:tc>
        <w:tc>
          <w:tcPr>
            <w:tcW w:w="1096" w:type="dxa"/>
            <w:tcBorders>
              <w:bottom w:val="single" w:sz="4" w:space="0" w:color="auto"/>
            </w:tcBorders>
            <w:vAlign w:val="center"/>
          </w:tcPr>
          <w:p w14:paraId="4DA458B2" w14:textId="77777777" w:rsidR="009A0A63" w:rsidRPr="00792B36" w:rsidRDefault="009A0A63" w:rsidP="00A24459">
            <w:pPr>
              <w:jc w:val="center"/>
              <w:rPr>
                <w:sz w:val="24"/>
                <w:szCs w:val="24"/>
              </w:rPr>
            </w:pPr>
            <w:r w:rsidRPr="00792B36">
              <w:rPr>
                <w:sz w:val="24"/>
                <w:szCs w:val="24"/>
              </w:rPr>
              <w:t>966,955</w:t>
            </w:r>
          </w:p>
        </w:tc>
        <w:tc>
          <w:tcPr>
            <w:tcW w:w="1317" w:type="dxa"/>
            <w:tcBorders>
              <w:bottom w:val="single" w:sz="4" w:space="0" w:color="auto"/>
            </w:tcBorders>
            <w:vAlign w:val="center"/>
          </w:tcPr>
          <w:p w14:paraId="34EB80E7" w14:textId="77777777" w:rsidR="009A0A63" w:rsidRPr="00792B36" w:rsidRDefault="009A0A63" w:rsidP="00A24459">
            <w:pPr>
              <w:jc w:val="center"/>
              <w:rPr>
                <w:sz w:val="24"/>
                <w:szCs w:val="24"/>
              </w:rPr>
            </w:pPr>
            <w:r w:rsidRPr="00792B36">
              <w:rPr>
                <w:color w:val="000000"/>
                <w:sz w:val="24"/>
                <w:szCs w:val="24"/>
              </w:rPr>
              <w:t>39.37</w:t>
            </w:r>
          </w:p>
        </w:tc>
        <w:tc>
          <w:tcPr>
            <w:tcW w:w="987" w:type="dxa"/>
            <w:tcBorders>
              <w:bottom w:val="single" w:sz="4" w:space="0" w:color="auto"/>
            </w:tcBorders>
            <w:vAlign w:val="center"/>
          </w:tcPr>
          <w:p w14:paraId="49BCE865" w14:textId="77777777" w:rsidR="009A0A63" w:rsidRPr="00792B36" w:rsidRDefault="009A0A63" w:rsidP="00A24459">
            <w:pPr>
              <w:jc w:val="center"/>
              <w:rPr>
                <w:sz w:val="24"/>
                <w:szCs w:val="24"/>
              </w:rPr>
            </w:pPr>
            <w:r w:rsidRPr="00792B36">
              <w:rPr>
                <w:color w:val="000000"/>
                <w:sz w:val="24"/>
                <w:szCs w:val="24"/>
              </w:rPr>
              <w:t>60.63</w:t>
            </w:r>
          </w:p>
        </w:tc>
      </w:tr>
    </w:tbl>
    <w:p w14:paraId="1378829C" w14:textId="77777777" w:rsidR="009A0A63" w:rsidRPr="00792B36" w:rsidRDefault="009A0A63" w:rsidP="009A0A63">
      <w:pPr>
        <w:ind w:left="966" w:hanging="966"/>
        <w:jc w:val="thaiDistribute"/>
        <w:rPr>
          <w:b/>
          <w:bCs/>
          <w:sz w:val="24"/>
          <w:szCs w:val="24"/>
        </w:rPr>
      </w:pPr>
      <w:r w:rsidRPr="00792B36">
        <w:rPr>
          <w:b/>
          <w:bCs/>
          <w:sz w:val="24"/>
          <w:szCs w:val="24"/>
        </w:rPr>
        <w:br w:type="page"/>
      </w:r>
    </w:p>
    <w:tbl>
      <w:tblPr>
        <w:tblStyle w:val="TableGrid"/>
        <w:tblW w:w="9503" w:type="dxa"/>
        <w:tblInd w:w="-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63"/>
        <w:gridCol w:w="7440"/>
      </w:tblGrid>
      <w:tr w:rsidR="009A0A63" w:rsidRPr="00792B36" w14:paraId="153837CA" w14:textId="77777777" w:rsidTr="00A24459">
        <w:tc>
          <w:tcPr>
            <w:tcW w:w="2063" w:type="dxa"/>
          </w:tcPr>
          <w:p w14:paraId="113768D3" w14:textId="77777777" w:rsidR="009A0A63" w:rsidRPr="00792B36" w:rsidRDefault="009A0A63" w:rsidP="00A24459">
            <w:pPr>
              <w:rPr>
                <w:sz w:val="24"/>
                <w:szCs w:val="24"/>
              </w:rPr>
            </w:pPr>
            <w:r w:rsidRPr="00792B36">
              <w:rPr>
                <w:b/>
                <w:bCs/>
                <w:sz w:val="24"/>
                <w:szCs w:val="24"/>
              </w:rPr>
              <w:lastRenderedPageBreak/>
              <w:t>Appendix Table 9</w:t>
            </w:r>
          </w:p>
        </w:tc>
        <w:tc>
          <w:tcPr>
            <w:tcW w:w="7440" w:type="dxa"/>
          </w:tcPr>
          <w:p w14:paraId="15BD2B70" w14:textId="77777777" w:rsidR="009A0A63" w:rsidRPr="00792B36" w:rsidRDefault="009A0A63" w:rsidP="00A24459">
            <w:pPr>
              <w:ind w:left="-44"/>
              <w:jc w:val="thaiDistribute"/>
              <w:rPr>
                <w:sz w:val="24"/>
                <w:szCs w:val="24"/>
              </w:rPr>
            </w:pPr>
            <w:r w:rsidRPr="00792B36">
              <w:rPr>
                <w:sz w:val="24"/>
                <w:szCs w:val="24"/>
              </w:rPr>
              <w:t>Species/species group and trophic level used to calculate Marine Trophic Index (MTI) in the Gulf of Thailand</w:t>
            </w:r>
          </w:p>
        </w:tc>
      </w:tr>
    </w:tbl>
    <w:p w14:paraId="28C0FA87" w14:textId="77777777" w:rsidR="009A0A63" w:rsidRPr="00792B36" w:rsidRDefault="009A0A63" w:rsidP="009A0A63">
      <w:pPr>
        <w:jc w:val="thaiDistribute"/>
        <w:rPr>
          <w:sz w:val="24"/>
          <w:szCs w:val="24"/>
        </w:rPr>
      </w:pPr>
    </w:p>
    <w:tbl>
      <w:tblPr>
        <w:tblStyle w:val="TableGrid"/>
        <w:tblW w:w="924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03"/>
        <w:gridCol w:w="2389"/>
        <w:gridCol w:w="1096"/>
        <w:gridCol w:w="452"/>
        <w:gridCol w:w="603"/>
        <w:gridCol w:w="3004"/>
        <w:gridCol w:w="1096"/>
      </w:tblGrid>
      <w:tr w:rsidR="009A0A63" w:rsidRPr="00792B36" w14:paraId="40EDA5CA" w14:textId="77777777" w:rsidTr="00A24459">
        <w:tc>
          <w:tcPr>
            <w:tcW w:w="570" w:type="dxa"/>
            <w:tcBorders>
              <w:top w:val="single" w:sz="4" w:space="0" w:color="auto"/>
              <w:bottom w:val="single" w:sz="4" w:space="0" w:color="auto"/>
            </w:tcBorders>
          </w:tcPr>
          <w:p w14:paraId="0E57E516" w14:textId="77777777" w:rsidR="009A0A63" w:rsidRPr="00792B36" w:rsidRDefault="009A0A63" w:rsidP="00A24459">
            <w:pPr>
              <w:jc w:val="center"/>
              <w:rPr>
                <w:b/>
                <w:bCs/>
                <w:sz w:val="24"/>
                <w:szCs w:val="24"/>
              </w:rPr>
            </w:pPr>
            <w:r w:rsidRPr="00792B36">
              <w:rPr>
                <w:b/>
                <w:bCs/>
                <w:sz w:val="24"/>
                <w:szCs w:val="24"/>
              </w:rPr>
              <w:t>No.</w:t>
            </w:r>
          </w:p>
        </w:tc>
        <w:tc>
          <w:tcPr>
            <w:tcW w:w="2408" w:type="dxa"/>
            <w:tcBorders>
              <w:top w:val="single" w:sz="4" w:space="0" w:color="auto"/>
              <w:bottom w:val="single" w:sz="4" w:space="0" w:color="auto"/>
            </w:tcBorders>
          </w:tcPr>
          <w:p w14:paraId="5CFC40E0" w14:textId="77777777" w:rsidR="009A0A63" w:rsidRPr="00792B36" w:rsidRDefault="009A0A63" w:rsidP="00A24459">
            <w:pPr>
              <w:jc w:val="center"/>
              <w:rPr>
                <w:b/>
                <w:bCs/>
                <w:sz w:val="24"/>
                <w:szCs w:val="24"/>
              </w:rPr>
            </w:pPr>
            <w:r w:rsidRPr="00792B36">
              <w:rPr>
                <w:b/>
                <w:bCs/>
                <w:sz w:val="24"/>
                <w:szCs w:val="24"/>
              </w:rPr>
              <w:t>Species/group</w:t>
            </w:r>
          </w:p>
        </w:tc>
        <w:tc>
          <w:tcPr>
            <w:tcW w:w="1077" w:type="dxa"/>
            <w:tcBorders>
              <w:top w:val="single" w:sz="4" w:space="0" w:color="auto"/>
              <w:bottom w:val="single" w:sz="4" w:space="0" w:color="auto"/>
            </w:tcBorders>
          </w:tcPr>
          <w:p w14:paraId="5451C0F1" w14:textId="77777777" w:rsidR="009A0A63" w:rsidRPr="00792B36" w:rsidRDefault="009A0A63" w:rsidP="00A24459">
            <w:pPr>
              <w:jc w:val="center"/>
              <w:rPr>
                <w:b/>
                <w:bCs/>
                <w:sz w:val="24"/>
                <w:szCs w:val="24"/>
              </w:rPr>
            </w:pPr>
            <w:r w:rsidRPr="00792B36">
              <w:rPr>
                <w:b/>
                <w:bCs/>
                <w:sz w:val="24"/>
                <w:szCs w:val="24"/>
              </w:rPr>
              <w:t>Trophic level</w:t>
            </w:r>
          </w:p>
        </w:tc>
        <w:tc>
          <w:tcPr>
            <w:tcW w:w="465" w:type="dxa"/>
          </w:tcPr>
          <w:p w14:paraId="5F63C925" w14:textId="77777777" w:rsidR="009A0A63" w:rsidRPr="00792B36" w:rsidRDefault="009A0A63" w:rsidP="00A24459">
            <w:pPr>
              <w:jc w:val="center"/>
              <w:rPr>
                <w:sz w:val="24"/>
                <w:szCs w:val="24"/>
              </w:rPr>
            </w:pPr>
          </w:p>
        </w:tc>
        <w:tc>
          <w:tcPr>
            <w:tcW w:w="578" w:type="dxa"/>
            <w:tcBorders>
              <w:top w:val="single" w:sz="4" w:space="0" w:color="auto"/>
              <w:bottom w:val="single" w:sz="4" w:space="0" w:color="auto"/>
            </w:tcBorders>
          </w:tcPr>
          <w:p w14:paraId="12288A5A" w14:textId="77777777" w:rsidR="009A0A63" w:rsidRPr="00792B36" w:rsidRDefault="009A0A63" w:rsidP="00A24459">
            <w:pPr>
              <w:jc w:val="center"/>
              <w:rPr>
                <w:b/>
                <w:bCs/>
                <w:sz w:val="24"/>
                <w:szCs w:val="24"/>
              </w:rPr>
            </w:pPr>
            <w:r w:rsidRPr="00792B36">
              <w:rPr>
                <w:b/>
                <w:bCs/>
                <w:sz w:val="24"/>
                <w:szCs w:val="24"/>
              </w:rPr>
              <w:t>No.</w:t>
            </w:r>
          </w:p>
        </w:tc>
        <w:tc>
          <w:tcPr>
            <w:tcW w:w="3068" w:type="dxa"/>
            <w:tcBorders>
              <w:top w:val="single" w:sz="4" w:space="0" w:color="auto"/>
              <w:bottom w:val="single" w:sz="4" w:space="0" w:color="auto"/>
            </w:tcBorders>
          </w:tcPr>
          <w:p w14:paraId="3850667A" w14:textId="77777777" w:rsidR="009A0A63" w:rsidRPr="00792B36" w:rsidRDefault="009A0A63" w:rsidP="00A24459">
            <w:pPr>
              <w:jc w:val="center"/>
              <w:rPr>
                <w:b/>
                <w:bCs/>
                <w:sz w:val="24"/>
                <w:szCs w:val="24"/>
              </w:rPr>
            </w:pPr>
            <w:r w:rsidRPr="00792B36">
              <w:rPr>
                <w:b/>
                <w:bCs/>
                <w:sz w:val="24"/>
                <w:szCs w:val="24"/>
              </w:rPr>
              <w:t>Species/group</w:t>
            </w:r>
          </w:p>
        </w:tc>
        <w:tc>
          <w:tcPr>
            <w:tcW w:w="1077" w:type="dxa"/>
            <w:tcBorders>
              <w:top w:val="single" w:sz="4" w:space="0" w:color="auto"/>
              <w:bottom w:val="single" w:sz="4" w:space="0" w:color="auto"/>
            </w:tcBorders>
          </w:tcPr>
          <w:p w14:paraId="7F78309B" w14:textId="77777777" w:rsidR="009A0A63" w:rsidRPr="00792B36" w:rsidRDefault="009A0A63" w:rsidP="00A24459">
            <w:pPr>
              <w:jc w:val="center"/>
              <w:rPr>
                <w:b/>
                <w:bCs/>
                <w:sz w:val="24"/>
                <w:szCs w:val="24"/>
              </w:rPr>
            </w:pPr>
            <w:r w:rsidRPr="00792B36">
              <w:rPr>
                <w:b/>
                <w:bCs/>
                <w:sz w:val="24"/>
                <w:szCs w:val="24"/>
              </w:rPr>
              <w:t>Trophic level</w:t>
            </w:r>
          </w:p>
        </w:tc>
      </w:tr>
      <w:tr w:rsidR="009A0A63" w:rsidRPr="00792B36" w14:paraId="5F566570" w14:textId="77777777" w:rsidTr="00A24459">
        <w:trPr>
          <w:trHeight w:val="283"/>
        </w:trPr>
        <w:tc>
          <w:tcPr>
            <w:tcW w:w="570" w:type="dxa"/>
            <w:tcBorders>
              <w:top w:val="single" w:sz="4" w:space="0" w:color="auto"/>
            </w:tcBorders>
          </w:tcPr>
          <w:p w14:paraId="77FE1D68" w14:textId="77777777" w:rsidR="009A0A63" w:rsidRPr="00792B36" w:rsidRDefault="009A0A63" w:rsidP="00A24459">
            <w:pPr>
              <w:jc w:val="thaiDistribute"/>
              <w:rPr>
                <w:sz w:val="24"/>
                <w:szCs w:val="24"/>
              </w:rPr>
            </w:pPr>
            <w:r w:rsidRPr="00792B36">
              <w:rPr>
                <w:sz w:val="24"/>
                <w:szCs w:val="24"/>
              </w:rPr>
              <w:t>1</w:t>
            </w:r>
          </w:p>
        </w:tc>
        <w:tc>
          <w:tcPr>
            <w:tcW w:w="2408" w:type="dxa"/>
            <w:tcBorders>
              <w:top w:val="single" w:sz="4" w:space="0" w:color="auto"/>
            </w:tcBorders>
            <w:vAlign w:val="center"/>
          </w:tcPr>
          <w:p w14:paraId="6ABB159E" w14:textId="77777777" w:rsidR="009A0A63" w:rsidRPr="00792B36" w:rsidRDefault="009A0A63" w:rsidP="00A24459">
            <w:pPr>
              <w:jc w:val="thaiDistribute"/>
              <w:rPr>
                <w:sz w:val="24"/>
                <w:szCs w:val="24"/>
              </w:rPr>
            </w:pPr>
            <w:r w:rsidRPr="00792B36">
              <w:rPr>
                <w:color w:val="000000"/>
                <w:sz w:val="24"/>
                <w:szCs w:val="24"/>
              </w:rPr>
              <w:t>Indian mackerel</w:t>
            </w:r>
          </w:p>
        </w:tc>
        <w:tc>
          <w:tcPr>
            <w:tcW w:w="1077" w:type="dxa"/>
            <w:tcBorders>
              <w:top w:val="single" w:sz="4" w:space="0" w:color="auto"/>
            </w:tcBorders>
            <w:vAlign w:val="center"/>
          </w:tcPr>
          <w:p w14:paraId="26392B63" w14:textId="77777777" w:rsidR="009A0A63" w:rsidRPr="00792B36" w:rsidRDefault="009A0A63" w:rsidP="00A24459">
            <w:pPr>
              <w:jc w:val="center"/>
              <w:rPr>
                <w:sz w:val="24"/>
                <w:szCs w:val="24"/>
              </w:rPr>
            </w:pPr>
            <w:r w:rsidRPr="00792B36">
              <w:rPr>
                <w:color w:val="000000"/>
                <w:sz w:val="24"/>
                <w:szCs w:val="24"/>
              </w:rPr>
              <w:t>3.1378</w:t>
            </w:r>
          </w:p>
        </w:tc>
        <w:tc>
          <w:tcPr>
            <w:tcW w:w="465" w:type="dxa"/>
          </w:tcPr>
          <w:p w14:paraId="7A423866" w14:textId="77777777" w:rsidR="009A0A63" w:rsidRPr="00792B36" w:rsidRDefault="009A0A63" w:rsidP="00A24459">
            <w:pPr>
              <w:jc w:val="thaiDistribute"/>
              <w:rPr>
                <w:sz w:val="24"/>
                <w:szCs w:val="24"/>
              </w:rPr>
            </w:pPr>
          </w:p>
        </w:tc>
        <w:tc>
          <w:tcPr>
            <w:tcW w:w="578" w:type="dxa"/>
            <w:tcBorders>
              <w:top w:val="single" w:sz="4" w:space="0" w:color="auto"/>
            </w:tcBorders>
            <w:vAlign w:val="bottom"/>
          </w:tcPr>
          <w:p w14:paraId="597A8D2D" w14:textId="77777777" w:rsidR="009A0A63" w:rsidRPr="00792B36" w:rsidRDefault="009A0A63" w:rsidP="00A24459">
            <w:pPr>
              <w:jc w:val="thaiDistribute"/>
              <w:rPr>
                <w:sz w:val="24"/>
                <w:szCs w:val="24"/>
              </w:rPr>
            </w:pPr>
            <w:r w:rsidRPr="00792B36">
              <w:rPr>
                <w:color w:val="000000"/>
                <w:sz w:val="24"/>
                <w:szCs w:val="24"/>
              </w:rPr>
              <w:t>21</w:t>
            </w:r>
          </w:p>
        </w:tc>
        <w:tc>
          <w:tcPr>
            <w:tcW w:w="3068" w:type="dxa"/>
            <w:tcBorders>
              <w:top w:val="single" w:sz="4" w:space="0" w:color="auto"/>
            </w:tcBorders>
            <w:vAlign w:val="center"/>
          </w:tcPr>
          <w:p w14:paraId="4D86D562" w14:textId="77777777" w:rsidR="009A0A63" w:rsidRPr="00792B36" w:rsidRDefault="009A0A63" w:rsidP="00A24459">
            <w:pPr>
              <w:jc w:val="thaiDistribute"/>
              <w:rPr>
                <w:sz w:val="24"/>
                <w:szCs w:val="24"/>
              </w:rPr>
            </w:pPr>
            <w:r w:rsidRPr="00792B36">
              <w:rPr>
                <w:color w:val="000000"/>
                <w:sz w:val="24"/>
                <w:szCs w:val="24"/>
              </w:rPr>
              <w:t>Juvenile Nemipterus</w:t>
            </w:r>
          </w:p>
        </w:tc>
        <w:tc>
          <w:tcPr>
            <w:tcW w:w="1077" w:type="dxa"/>
            <w:tcBorders>
              <w:top w:val="single" w:sz="4" w:space="0" w:color="auto"/>
            </w:tcBorders>
            <w:vAlign w:val="center"/>
          </w:tcPr>
          <w:p w14:paraId="48B4E8DE" w14:textId="77777777" w:rsidR="009A0A63" w:rsidRPr="00792B36" w:rsidRDefault="009A0A63" w:rsidP="00A24459">
            <w:pPr>
              <w:jc w:val="center"/>
              <w:rPr>
                <w:sz w:val="24"/>
                <w:szCs w:val="24"/>
              </w:rPr>
            </w:pPr>
            <w:r w:rsidRPr="00792B36">
              <w:rPr>
                <w:color w:val="000000"/>
                <w:sz w:val="24"/>
                <w:szCs w:val="24"/>
              </w:rPr>
              <w:t>3.0000</w:t>
            </w:r>
          </w:p>
        </w:tc>
      </w:tr>
      <w:tr w:rsidR="009A0A63" w:rsidRPr="00792B36" w14:paraId="393B1FDE" w14:textId="77777777" w:rsidTr="00A24459">
        <w:trPr>
          <w:trHeight w:val="283"/>
        </w:trPr>
        <w:tc>
          <w:tcPr>
            <w:tcW w:w="570" w:type="dxa"/>
          </w:tcPr>
          <w:p w14:paraId="107E5CE5" w14:textId="77777777" w:rsidR="009A0A63" w:rsidRPr="00792B36" w:rsidRDefault="009A0A63" w:rsidP="00A24459">
            <w:pPr>
              <w:jc w:val="thaiDistribute"/>
              <w:rPr>
                <w:sz w:val="24"/>
                <w:szCs w:val="24"/>
              </w:rPr>
            </w:pPr>
            <w:r w:rsidRPr="00792B36">
              <w:rPr>
                <w:sz w:val="24"/>
                <w:szCs w:val="24"/>
              </w:rPr>
              <w:t>2</w:t>
            </w:r>
          </w:p>
        </w:tc>
        <w:tc>
          <w:tcPr>
            <w:tcW w:w="2408" w:type="dxa"/>
            <w:vAlign w:val="center"/>
          </w:tcPr>
          <w:p w14:paraId="5ABE838C" w14:textId="77777777" w:rsidR="009A0A63" w:rsidRPr="00792B36" w:rsidRDefault="009A0A63" w:rsidP="00A24459">
            <w:pPr>
              <w:jc w:val="thaiDistribute"/>
              <w:rPr>
                <w:sz w:val="24"/>
                <w:szCs w:val="24"/>
              </w:rPr>
            </w:pPr>
            <w:r w:rsidRPr="00792B36">
              <w:rPr>
                <w:color w:val="000000"/>
                <w:sz w:val="24"/>
                <w:szCs w:val="24"/>
              </w:rPr>
              <w:t>Short mackerel</w:t>
            </w:r>
          </w:p>
        </w:tc>
        <w:tc>
          <w:tcPr>
            <w:tcW w:w="1077" w:type="dxa"/>
            <w:vAlign w:val="center"/>
          </w:tcPr>
          <w:p w14:paraId="59C98134" w14:textId="77777777" w:rsidR="009A0A63" w:rsidRPr="00792B36" w:rsidRDefault="009A0A63" w:rsidP="00A24459">
            <w:pPr>
              <w:jc w:val="center"/>
              <w:rPr>
                <w:sz w:val="24"/>
                <w:szCs w:val="24"/>
              </w:rPr>
            </w:pPr>
            <w:r w:rsidRPr="00792B36">
              <w:rPr>
                <w:color w:val="000000"/>
                <w:sz w:val="24"/>
                <w:szCs w:val="24"/>
              </w:rPr>
              <w:t>3.1379</w:t>
            </w:r>
          </w:p>
        </w:tc>
        <w:tc>
          <w:tcPr>
            <w:tcW w:w="465" w:type="dxa"/>
          </w:tcPr>
          <w:p w14:paraId="226E7E96" w14:textId="77777777" w:rsidR="009A0A63" w:rsidRPr="00792B36" w:rsidRDefault="009A0A63" w:rsidP="00A24459">
            <w:pPr>
              <w:jc w:val="thaiDistribute"/>
              <w:rPr>
                <w:sz w:val="24"/>
                <w:szCs w:val="24"/>
              </w:rPr>
            </w:pPr>
          </w:p>
        </w:tc>
        <w:tc>
          <w:tcPr>
            <w:tcW w:w="578" w:type="dxa"/>
            <w:vAlign w:val="bottom"/>
          </w:tcPr>
          <w:p w14:paraId="03FAFA0B" w14:textId="77777777" w:rsidR="009A0A63" w:rsidRPr="00792B36" w:rsidRDefault="009A0A63" w:rsidP="00A24459">
            <w:pPr>
              <w:jc w:val="thaiDistribute"/>
              <w:rPr>
                <w:sz w:val="24"/>
                <w:szCs w:val="24"/>
              </w:rPr>
            </w:pPr>
            <w:r w:rsidRPr="00792B36">
              <w:rPr>
                <w:color w:val="000000"/>
                <w:sz w:val="24"/>
                <w:szCs w:val="24"/>
              </w:rPr>
              <w:t>22</w:t>
            </w:r>
          </w:p>
        </w:tc>
        <w:tc>
          <w:tcPr>
            <w:tcW w:w="3068" w:type="dxa"/>
            <w:vAlign w:val="center"/>
          </w:tcPr>
          <w:p w14:paraId="4E57184A" w14:textId="77777777" w:rsidR="009A0A63" w:rsidRPr="00792B36" w:rsidRDefault="009A0A63" w:rsidP="00A24459">
            <w:pPr>
              <w:jc w:val="thaiDistribute"/>
              <w:rPr>
                <w:sz w:val="24"/>
                <w:szCs w:val="24"/>
              </w:rPr>
            </w:pPr>
            <w:r w:rsidRPr="00792B36">
              <w:rPr>
                <w:color w:val="000000"/>
                <w:sz w:val="24"/>
                <w:szCs w:val="24"/>
              </w:rPr>
              <w:t>Ariidae</w:t>
            </w:r>
          </w:p>
        </w:tc>
        <w:tc>
          <w:tcPr>
            <w:tcW w:w="1077" w:type="dxa"/>
            <w:vAlign w:val="center"/>
          </w:tcPr>
          <w:p w14:paraId="7E4BB3BC" w14:textId="77777777" w:rsidR="009A0A63" w:rsidRPr="00792B36" w:rsidRDefault="009A0A63" w:rsidP="00A24459">
            <w:pPr>
              <w:jc w:val="center"/>
              <w:rPr>
                <w:sz w:val="24"/>
                <w:szCs w:val="24"/>
              </w:rPr>
            </w:pPr>
            <w:r w:rsidRPr="00792B36">
              <w:rPr>
                <w:color w:val="000000"/>
                <w:sz w:val="24"/>
                <w:szCs w:val="24"/>
              </w:rPr>
              <w:t>3.2515</w:t>
            </w:r>
          </w:p>
        </w:tc>
      </w:tr>
      <w:tr w:rsidR="009A0A63" w:rsidRPr="00792B36" w14:paraId="2336A5E5" w14:textId="77777777" w:rsidTr="00A24459">
        <w:trPr>
          <w:trHeight w:val="283"/>
        </w:trPr>
        <w:tc>
          <w:tcPr>
            <w:tcW w:w="570" w:type="dxa"/>
          </w:tcPr>
          <w:p w14:paraId="2C426922" w14:textId="77777777" w:rsidR="009A0A63" w:rsidRPr="00792B36" w:rsidRDefault="009A0A63" w:rsidP="00A24459">
            <w:pPr>
              <w:jc w:val="thaiDistribute"/>
              <w:rPr>
                <w:sz w:val="24"/>
                <w:szCs w:val="24"/>
              </w:rPr>
            </w:pPr>
            <w:r w:rsidRPr="00792B36">
              <w:rPr>
                <w:sz w:val="24"/>
                <w:szCs w:val="24"/>
              </w:rPr>
              <w:t>3</w:t>
            </w:r>
          </w:p>
        </w:tc>
        <w:tc>
          <w:tcPr>
            <w:tcW w:w="2408" w:type="dxa"/>
            <w:vAlign w:val="center"/>
          </w:tcPr>
          <w:p w14:paraId="0AC7FCE5" w14:textId="77777777" w:rsidR="009A0A63" w:rsidRPr="00792B36" w:rsidRDefault="009A0A63" w:rsidP="00A24459">
            <w:pPr>
              <w:jc w:val="thaiDistribute"/>
              <w:rPr>
                <w:sz w:val="24"/>
                <w:szCs w:val="24"/>
              </w:rPr>
            </w:pPr>
            <w:r w:rsidRPr="00792B36">
              <w:rPr>
                <w:i/>
                <w:iCs/>
                <w:color w:val="000000"/>
                <w:sz w:val="24"/>
                <w:szCs w:val="24"/>
              </w:rPr>
              <w:t>Scomberomorus</w:t>
            </w:r>
            <w:r w:rsidRPr="00792B36">
              <w:rPr>
                <w:color w:val="000000"/>
                <w:sz w:val="24"/>
                <w:szCs w:val="24"/>
              </w:rPr>
              <w:t xml:space="preserve"> spp.</w:t>
            </w:r>
          </w:p>
        </w:tc>
        <w:tc>
          <w:tcPr>
            <w:tcW w:w="1077" w:type="dxa"/>
            <w:vAlign w:val="center"/>
          </w:tcPr>
          <w:p w14:paraId="353D91DE" w14:textId="77777777" w:rsidR="009A0A63" w:rsidRPr="00792B36" w:rsidRDefault="009A0A63" w:rsidP="00A24459">
            <w:pPr>
              <w:jc w:val="center"/>
              <w:rPr>
                <w:sz w:val="24"/>
                <w:szCs w:val="24"/>
              </w:rPr>
            </w:pPr>
            <w:r w:rsidRPr="00792B36">
              <w:rPr>
                <w:color w:val="000000"/>
                <w:sz w:val="24"/>
                <w:szCs w:val="24"/>
              </w:rPr>
              <w:t>3.9766</w:t>
            </w:r>
          </w:p>
        </w:tc>
        <w:tc>
          <w:tcPr>
            <w:tcW w:w="465" w:type="dxa"/>
          </w:tcPr>
          <w:p w14:paraId="1611BFBA" w14:textId="77777777" w:rsidR="009A0A63" w:rsidRPr="00792B36" w:rsidRDefault="009A0A63" w:rsidP="00A24459">
            <w:pPr>
              <w:jc w:val="thaiDistribute"/>
              <w:rPr>
                <w:sz w:val="24"/>
                <w:szCs w:val="24"/>
              </w:rPr>
            </w:pPr>
          </w:p>
        </w:tc>
        <w:tc>
          <w:tcPr>
            <w:tcW w:w="578" w:type="dxa"/>
            <w:vAlign w:val="bottom"/>
          </w:tcPr>
          <w:p w14:paraId="41F50063" w14:textId="77777777" w:rsidR="009A0A63" w:rsidRPr="00792B36" w:rsidRDefault="009A0A63" w:rsidP="00A24459">
            <w:pPr>
              <w:jc w:val="thaiDistribute"/>
              <w:rPr>
                <w:sz w:val="24"/>
                <w:szCs w:val="24"/>
              </w:rPr>
            </w:pPr>
            <w:r w:rsidRPr="00792B36">
              <w:rPr>
                <w:color w:val="000000"/>
                <w:sz w:val="24"/>
                <w:szCs w:val="24"/>
              </w:rPr>
              <w:t>23</w:t>
            </w:r>
          </w:p>
        </w:tc>
        <w:tc>
          <w:tcPr>
            <w:tcW w:w="3068" w:type="dxa"/>
            <w:vAlign w:val="center"/>
          </w:tcPr>
          <w:p w14:paraId="6F1CAA2F" w14:textId="77777777" w:rsidR="009A0A63" w:rsidRPr="00792B36" w:rsidRDefault="009A0A63" w:rsidP="00A24459">
            <w:pPr>
              <w:jc w:val="thaiDistribute"/>
              <w:rPr>
                <w:sz w:val="24"/>
                <w:szCs w:val="24"/>
              </w:rPr>
            </w:pPr>
            <w:r w:rsidRPr="00792B36">
              <w:rPr>
                <w:color w:val="000000"/>
                <w:sz w:val="24"/>
                <w:szCs w:val="24"/>
              </w:rPr>
              <w:t>Rays</w:t>
            </w:r>
          </w:p>
        </w:tc>
        <w:tc>
          <w:tcPr>
            <w:tcW w:w="1077" w:type="dxa"/>
            <w:vAlign w:val="center"/>
          </w:tcPr>
          <w:p w14:paraId="39B9AD35" w14:textId="77777777" w:rsidR="009A0A63" w:rsidRPr="00792B36" w:rsidRDefault="009A0A63" w:rsidP="00A24459">
            <w:pPr>
              <w:jc w:val="center"/>
              <w:rPr>
                <w:sz w:val="24"/>
                <w:szCs w:val="24"/>
              </w:rPr>
            </w:pPr>
            <w:r w:rsidRPr="00792B36">
              <w:rPr>
                <w:color w:val="000000"/>
                <w:sz w:val="24"/>
                <w:szCs w:val="24"/>
              </w:rPr>
              <w:t>3.1353</w:t>
            </w:r>
          </w:p>
        </w:tc>
      </w:tr>
      <w:tr w:rsidR="009A0A63" w:rsidRPr="00792B36" w14:paraId="5DCC08F2" w14:textId="77777777" w:rsidTr="00A24459">
        <w:trPr>
          <w:trHeight w:val="283"/>
        </w:trPr>
        <w:tc>
          <w:tcPr>
            <w:tcW w:w="570" w:type="dxa"/>
          </w:tcPr>
          <w:p w14:paraId="0286FB4A" w14:textId="77777777" w:rsidR="009A0A63" w:rsidRPr="00792B36" w:rsidRDefault="009A0A63" w:rsidP="00A24459">
            <w:pPr>
              <w:jc w:val="thaiDistribute"/>
              <w:rPr>
                <w:sz w:val="24"/>
                <w:szCs w:val="24"/>
              </w:rPr>
            </w:pPr>
            <w:r w:rsidRPr="00792B36">
              <w:rPr>
                <w:sz w:val="24"/>
                <w:szCs w:val="24"/>
              </w:rPr>
              <w:t>4</w:t>
            </w:r>
          </w:p>
        </w:tc>
        <w:tc>
          <w:tcPr>
            <w:tcW w:w="2408" w:type="dxa"/>
            <w:vAlign w:val="center"/>
          </w:tcPr>
          <w:p w14:paraId="0F630919" w14:textId="77777777" w:rsidR="009A0A63" w:rsidRPr="00792B36" w:rsidRDefault="009A0A63" w:rsidP="00A24459">
            <w:pPr>
              <w:jc w:val="thaiDistribute"/>
              <w:rPr>
                <w:sz w:val="24"/>
                <w:szCs w:val="24"/>
              </w:rPr>
            </w:pPr>
            <w:r w:rsidRPr="00792B36">
              <w:rPr>
                <w:color w:val="000000"/>
                <w:sz w:val="24"/>
                <w:szCs w:val="24"/>
              </w:rPr>
              <w:t>Adult caranx</w:t>
            </w:r>
          </w:p>
        </w:tc>
        <w:tc>
          <w:tcPr>
            <w:tcW w:w="1077" w:type="dxa"/>
            <w:vAlign w:val="center"/>
          </w:tcPr>
          <w:p w14:paraId="6560B4F0" w14:textId="77777777" w:rsidR="009A0A63" w:rsidRPr="00792B36" w:rsidRDefault="009A0A63" w:rsidP="00A24459">
            <w:pPr>
              <w:jc w:val="center"/>
              <w:rPr>
                <w:sz w:val="24"/>
                <w:szCs w:val="24"/>
              </w:rPr>
            </w:pPr>
            <w:r w:rsidRPr="00792B36">
              <w:rPr>
                <w:color w:val="000000"/>
                <w:sz w:val="24"/>
                <w:szCs w:val="24"/>
              </w:rPr>
              <w:t>3.5848</w:t>
            </w:r>
          </w:p>
        </w:tc>
        <w:tc>
          <w:tcPr>
            <w:tcW w:w="465" w:type="dxa"/>
          </w:tcPr>
          <w:p w14:paraId="4A0A3626" w14:textId="77777777" w:rsidR="009A0A63" w:rsidRPr="00792B36" w:rsidRDefault="009A0A63" w:rsidP="00A24459">
            <w:pPr>
              <w:jc w:val="thaiDistribute"/>
              <w:rPr>
                <w:sz w:val="24"/>
                <w:szCs w:val="24"/>
              </w:rPr>
            </w:pPr>
          </w:p>
        </w:tc>
        <w:tc>
          <w:tcPr>
            <w:tcW w:w="578" w:type="dxa"/>
            <w:vAlign w:val="bottom"/>
          </w:tcPr>
          <w:p w14:paraId="04CC3D47" w14:textId="77777777" w:rsidR="009A0A63" w:rsidRPr="00792B36" w:rsidRDefault="009A0A63" w:rsidP="00A24459">
            <w:pPr>
              <w:jc w:val="thaiDistribute"/>
              <w:rPr>
                <w:sz w:val="24"/>
                <w:szCs w:val="24"/>
              </w:rPr>
            </w:pPr>
            <w:r w:rsidRPr="00792B36">
              <w:rPr>
                <w:color w:val="000000"/>
                <w:sz w:val="24"/>
                <w:szCs w:val="24"/>
              </w:rPr>
              <w:t>24</w:t>
            </w:r>
          </w:p>
        </w:tc>
        <w:tc>
          <w:tcPr>
            <w:tcW w:w="3068" w:type="dxa"/>
            <w:vAlign w:val="center"/>
          </w:tcPr>
          <w:p w14:paraId="2A578EBB" w14:textId="77777777" w:rsidR="009A0A63" w:rsidRPr="00792B36" w:rsidRDefault="009A0A63" w:rsidP="00A24459">
            <w:pPr>
              <w:jc w:val="thaiDistribute"/>
              <w:rPr>
                <w:sz w:val="24"/>
                <w:szCs w:val="24"/>
              </w:rPr>
            </w:pPr>
            <w:r w:rsidRPr="00792B36">
              <w:rPr>
                <w:color w:val="000000"/>
                <w:sz w:val="24"/>
                <w:szCs w:val="24"/>
              </w:rPr>
              <w:t>Sharks</w:t>
            </w:r>
          </w:p>
        </w:tc>
        <w:tc>
          <w:tcPr>
            <w:tcW w:w="1077" w:type="dxa"/>
            <w:vAlign w:val="center"/>
          </w:tcPr>
          <w:p w14:paraId="7C0B6FC6" w14:textId="77777777" w:rsidR="009A0A63" w:rsidRPr="00792B36" w:rsidRDefault="009A0A63" w:rsidP="00A24459">
            <w:pPr>
              <w:jc w:val="center"/>
              <w:rPr>
                <w:sz w:val="24"/>
                <w:szCs w:val="24"/>
              </w:rPr>
            </w:pPr>
            <w:r w:rsidRPr="00792B36">
              <w:rPr>
                <w:color w:val="000000"/>
                <w:sz w:val="24"/>
                <w:szCs w:val="24"/>
              </w:rPr>
              <w:t>4.5111</w:t>
            </w:r>
          </w:p>
        </w:tc>
      </w:tr>
      <w:tr w:rsidR="009A0A63" w:rsidRPr="00792B36" w14:paraId="52F68052" w14:textId="77777777" w:rsidTr="00A24459">
        <w:trPr>
          <w:trHeight w:val="283"/>
        </w:trPr>
        <w:tc>
          <w:tcPr>
            <w:tcW w:w="570" w:type="dxa"/>
          </w:tcPr>
          <w:p w14:paraId="77801C14" w14:textId="77777777" w:rsidR="009A0A63" w:rsidRPr="00792B36" w:rsidRDefault="009A0A63" w:rsidP="00A24459">
            <w:pPr>
              <w:jc w:val="thaiDistribute"/>
              <w:rPr>
                <w:sz w:val="24"/>
                <w:szCs w:val="24"/>
              </w:rPr>
            </w:pPr>
            <w:r w:rsidRPr="00792B36">
              <w:rPr>
                <w:sz w:val="24"/>
                <w:szCs w:val="24"/>
              </w:rPr>
              <w:t>5</w:t>
            </w:r>
          </w:p>
        </w:tc>
        <w:tc>
          <w:tcPr>
            <w:tcW w:w="2408" w:type="dxa"/>
            <w:vAlign w:val="center"/>
          </w:tcPr>
          <w:p w14:paraId="08C22840" w14:textId="77777777" w:rsidR="009A0A63" w:rsidRPr="00792B36" w:rsidRDefault="009A0A63" w:rsidP="00A24459">
            <w:pPr>
              <w:jc w:val="thaiDistribute"/>
              <w:rPr>
                <w:sz w:val="24"/>
                <w:szCs w:val="24"/>
              </w:rPr>
            </w:pPr>
            <w:r w:rsidRPr="00792B36">
              <w:rPr>
                <w:color w:val="000000"/>
                <w:sz w:val="24"/>
                <w:szCs w:val="24"/>
              </w:rPr>
              <w:t>Juvenile caranx</w:t>
            </w:r>
          </w:p>
        </w:tc>
        <w:tc>
          <w:tcPr>
            <w:tcW w:w="1077" w:type="dxa"/>
            <w:vAlign w:val="center"/>
          </w:tcPr>
          <w:p w14:paraId="1B8ED1D4" w14:textId="77777777" w:rsidR="009A0A63" w:rsidRPr="00792B36" w:rsidRDefault="009A0A63" w:rsidP="00A24459">
            <w:pPr>
              <w:jc w:val="center"/>
              <w:rPr>
                <w:sz w:val="24"/>
                <w:szCs w:val="24"/>
              </w:rPr>
            </w:pPr>
            <w:r w:rsidRPr="00792B36">
              <w:rPr>
                <w:color w:val="000000"/>
                <w:sz w:val="24"/>
                <w:szCs w:val="24"/>
              </w:rPr>
              <w:t>3.0000</w:t>
            </w:r>
          </w:p>
        </w:tc>
        <w:tc>
          <w:tcPr>
            <w:tcW w:w="465" w:type="dxa"/>
          </w:tcPr>
          <w:p w14:paraId="51147CCB" w14:textId="77777777" w:rsidR="009A0A63" w:rsidRPr="00792B36" w:rsidRDefault="009A0A63" w:rsidP="00A24459">
            <w:pPr>
              <w:jc w:val="thaiDistribute"/>
              <w:rPr>
                <w:sz w:val="24"/>
                <w:szCs w:val="24"/>
              </w:rPr>
            </w:pPr>
          </w:p>
        </w:tc>
        <w:tc>
          <w:tcPr>
            <w:tcW w:w="578" w:type="dxa"/>
            <w:vAlign w:val="bottom"/>
          </w:tcPr>
          <w:p w14:paraId="1A045C3A" w14:textId="77777777" w:rsidR="009A0A63" w:rsidRPr="00792B36" w:rsidRDefault="009A0A63" w:rsidP="00A24459">
            <w:pPr>
              <w:jc w:val="thaiDistribute"/>
              <w:rPr>
                <w:sz w:val="24"/>
                <w:szCs w:val="24"/>
              </w:rPr>
            </w:pPr>
            <w:r w:rsidRPr="00792B36">
              <w:rPr>
                <w:color w:val="000000"/>
                <w:sz w:val="24"/>
                <w:szCs w:val="24"/>
              </w:rPr>
              <w:t>25</w:t>
            </w:r>
          </w:p>
        </w:tc>
        <w:tc>
          <w:tcPr>
            <w:tcW w:w="3068" w:type="dxa"/>
            <w:vAlign w:val="center"/>
          </w:tcPr>
          <w:p w14:paraId="3452E6CD" w14:textId="77777777" w:rsidR="009A0A63" w:rsidRPr="00792B36" w:rsidRDefault="009A0A63" w:rsidP="00A24459">
            <w:pPr>
              <w:jc w:val="thaiDistribute"/>
              <w:rPr>
                <w:sz w:val="24"/>
                <w:szCs w:val="24"/>
              </w:rPr>
            </w:pPr>
            <w:r w:rsidRPr="00792B36">
              <w:rPr>
                <w:color w:val="000000"/>
                <w:sz w:val="24"/>
                <w:szCs w:val="24"/>
              </w:rPr>
              <w:t>Small demersal fish</w:t>
            </w:r>
          </w:p>
        </w:tc>
        <w:tc>
          <w:tcPr>
            <w:tcW w:w="1077" w:type="dxa"/>
            <w:vAlign w:val="center"/>
          </w:tcPr>
          <w:p w14:paraId="6B6D161E" w14:textId="77777777" w:rsidR="009A0A63" w:rsidRPr="00792B36" w:rsidRDefault="009A0A63" w:rsidP="00A24459">
            <w:pPr>
              <w:jc w:val="center"/>
              <w:rPr>
                <w:sz w:val="24"/>
                <w:szCs w:val="24"/>
              </w:rPr>
            </w:pPr>
            <w:r w:rsidRPr="00792B36">
              <w:rPr>
                <w:color w:val="000000"/>
                <w:sz w:val="24"/>
                <w:szCs w:val="24"/>
              </w:rPr>
              <w:t>3.1787</w:t>
            </w:r>
          </w:p>
        </w:tc>
      </w:tr>
      <w:tr w:rsidR="009A0A63" w:rsidRPr="00792B36" w14:paraId="5041FB28" w14:textId="77777777" w:rsidTr="00A24459">
        <w:trPr>
          <w:trHeight w:val="283"/>
        </w:trPr>
        <w:tc>
          <w:tcPr>
            <w:tcW w:w="570" w:type="dxa"/>
          </w:tcPr>
          <w:p w14:paraId="55A5BA8E" w14:textId="77777777" w:rsidR="009A0A63" w:rsidRPr="00792B36" w:rsidRDefault="009A0A63" w:rsidP="00A24459">
            <w:pPr>
              <w:jc w:val="thaiDistribute"/>
              <w:rPr>
                <w:sz w:val="24"/>
                <w:szCs w:val="24"/>
              </w:rPr>
            </w:pPr>
            <w:r w:rsidRPr="00792B36">
              <w:rPr>
                <w:sz w:val="24"/>
                <w:szCs w:val="24"/>
              </w:rPr>
              <w:t>6</w:t>
            </w:r>
          </w:p>
        </w:tc>
        <w:tc>
          <w:tcPr>
            <w:tcW w:w="2408" w:type="dxa"/>
            <w:vAlign w:val="center"/>
          </w:tcPr>
          <w:p w14:paraId="51F2C196" w14:textId="77777777" w:rsidR="009A0A63" w:rsidRPr="00792B36" w:rsidRDefault="009A0A63" w:rsidP="00A24459">
            <w:pPr>
              <w:jc w:val="thaiDistribute"/>
              <w:rPr>
                <w:sz w:val="24"/>
                <w:szCs w:val="24"/>
              </w:rPr>
            </w:pPr>
            <w:r w:rsidRPr="00792B36">
              <w:rPr>
                <w:color w:val="000000"/>
                <w:sz w:val="24"/>
                <w:szCs w:val="24"/>
              </w:rPr>
              <w:t>Pomfrets</w:t>
            </w:r>
          </w:p>
        </w:tc>
        <w:tc>
          <w:tcPr>
            <w:tcW w:w="1077" w:type="dxa"/>
            <w:vAlign w:val="center"/>
          </w:tcPr>
          <w:p w14:paraId="68F975D3" w14:textId="77777777" w:rsidR="009A0A63" w:rsidRPr="00792B36" w:rsidRDefault="009A0A63" w:rsidP="00A24459">
            <w:pPr>
              <w:jc w:val="center"/>
              <w:rPr>
                <w:sz w:val="24"/>
                <w:szCs w:val="24"/>
              </w:rPr>
            </w:pPr>
            <w:r w:rsidRPr="00792B36">
              <w:rPr>
                <w:color w:val="000000"/>
                <w:sz w:val="24"/>
                <w:szCs w:val="24"/>
              </w:rPr>
              <w:t>3.5238</w:t>
            </w:r>
          </w:p>
        </w:tc>
        <w:tc>
          <w:tcPr>
            <w:tcW w:w="465" w:type="dxa"/>
          </w:tcPr>
          <w:p w14:paraId="452A13CB" w14:textId="77777777" w:rsidR="009A0A63" w:rsidRPr="00792B36" w:rsidRDefault="009A0A63" w:rsidP="00A24459">
            <w:pPr>
              <w:jc w:val="thaiDistribute"/>
              <w:rPr>
                <w:sz w:val="24"/>
                <w:szCs w:val="24"/>
              </w:rPr>
            </w:pPr>
          </w:p>
        </w:tc>
        <w:tc>
          <w:tcPr>
            <w:tcW w:w="578" w:type="dxa"/>
            <w:vAlign w:val="bottom"/>
          </w:tcPr>
          <w:p w14:paraId="7A461B0C" w14:textId="77777777" w:rsidR="009A0A63" w:rsidRPr="00792B36" w:rsidRDefault="009A0A63" w:rsidP="00A24459">
            <w:pPr>
              <w:jc w:val="thaiDistribute"/>
              <w:rPr>
                <w:sz w:val="24"/>
                <w:szCs w:val="24"/>
              </w:rPr>
            </w:pPr>
            <w:r w:rsidRPr="00792B36">
              <w:rPr>
                <w:color w:val="000000"/>
                <w:sz w:val="24"/>
                <w:szCs w:val="24"/>
              </w:rPr>
              <w:t>26</w:t>
            </w:r>
          </w:p>
        </w:tc>
        <w:tc>
          <w:tcPr>
            <w:tcW w:w="3068" w:type="dxa"/>
            <w:vAlign w:val="center"/>
          </w:tcPr>
          <w:p w14:paraId="6E88A66C" w14:textId="77777777" w:rsidR="009A0A63" w:rsidRPr="00792B36" w:rsidRDefault="009A0A63" w:rsidP="00A24459">
            <w:pPr>
              <w:jc w:val="thaiDistribute"/>
              <w:rPr>
                <w:sz w:val="24"/>
                <w:szCs w:val="24"/>
              </w:rPr>
            </w:pPr>
            <w:r w:rsidRPr="00792B36">
              <w:rPr>
                <w:color w:val="000000"/>
                <w:sz w:val="24"/>
                <w:szCs w:val="24"/>
              </w:rPr>
              <w:t>Ponyfishes</w:t>
            </w:r>
          </w:p>
        </w:tc>
        <w:tc>
          <w:tcPr>
            <w:tcW w:w="1077" w:type="dxa"/>
            <w:vAlign w:val="center"/>
          </w:tcPr>
          <w:p w14:paraId="0B65823C" w14:textId="77777777" w:rsidR="009A0A63" w:rsidRPr="00792B36" w:rsidRDefault="009A0A63" w:rsidP="00A24459">
            <w:pPr>
              <w:jc w:val="center"/>
              <w:rPr>
                <w:sz w:val="24"/>
                <w:szCs w:val="24"/>
              </w:rPr>
            </w:pPr>
            <w:r w:rsidRPr="00792B36">
              <w:rPr>
                <w:color w:val="000000"/>
                <w:sz w:val="24"/>
                <w:szCs w:val="24"/>
              </w:rPr>
              <w:t>2.6695</w:t>
            </w:r>
          </w:p>
        </w:tc>
      </w:tr>
      <w:tr w:rsidR="009A0A63" w:rsidRPr="00792B36" w14:paraId="78471896" w14:textId="77777777" w:rsidTr="00A24459">
        <w:trPr>
          <w:trHeight w:val="283"/>
        </w:trPr>
        <w:tc>
          <w:tcPr>
            <w:tcW w:w="570" w:type="dxa"/>
          </w:tcPr>
          <w:p w14:paraId="0E4D12B0" w14:textId="77777777" w:rsidR="009A0A63" w:rsidRPr="00792B36" w:rsidRDefault="009A0A63" w:rsidP="00A24459">
            <w:pPr>
              <w:jc w:val="thaiDistribute"/>
              <w:rPr>
                <w:sz w:val="24"/>
                <w:szCs w:val="24"/>
              </w:rPr>
            </w:pPr>
            <w:r w:rsidRPr="00792B36">
              <w:rPr>
                <w:sz w:val="24"/>
                <w:szCs w:val="24"/>
              </w:rPr>
              <w:t>7</w:t>
            </w:r>
          </w:p>
        </w:tc>
        <w:tc>
          <w:tcPr>
            <w:tcW w:w="2408" w:type="dxa"/>
            <w:vAlign w:val="center"/>
          </w:tcPr>
          <w:p w14:paraId="3DD2A5A8" w14:textId="77777777" w:rsidR="009A0A63" w:rsidRPr="00792B36" w:rsidRDefault="009A0A63" w:rsidP="00A24459">
            <w:pPr>
              <w:jc w:val="thaiDistribute"/>
              <w:rPr>
                <w:sz w:val="24"/>
                <w:szCs w:val="24"/>
              </w:rPr>
            </w:pPr>
            <w:r w:rsidRPr="00792B36">
              <w:rPr>
                <w:color w:val="000000"/>
                <w:sz w:val="24"/>
                <w:szCs w:val="24"/>
              </w:rPr>
              <w:t>Adult anchovies</w:t>
            </w:r>
          </w:p>
        </w:tc>
        <w:tc>
          <w:tcPr>
            <w:tcW w:w="1077" w:type="dxa"/>
            <w:vAlign w:val="center"/>
          </w:tcPr>
          <w:p w14:paraId="5529EEF4" w14:textId="77777777" w:rsidR="009A0A63" w:rsidRPr="00792B36" w:rsidRDefault="009A0A63" w:rsidP="00A24459">
            <w:pPr>
              <w:jc w:val="center"/>
              <w:rPr>
                <w:sz w:val="24"/>
                <w:szCs w:val="24"/>
              </w:rPr>
            </w:pPr>
            <w:r w:rsidRPr="00792B36">
              <w:rPr>
                <w:color w:val="000000"/>
                <w:sz w:val="24"/>
                <w:szCs w:val="24"/>
              </w:rPr>
              <w:t>2.8997</w:t>
            </w:r>
          </w:p>
        </w:tc>
        <w:tc>
          <w:tcPr>
            <w:tcW w:w="465" w:type="dxa"/>
          </w:tcPr>
          <w:p w14:paraId="44C0E713" w14:textId="77777777" w:rsidR="009A0A63" w:rsidRPr="00792B36" w:rsidRDefault="009A0A63" w:rsidP="00A24459">
            <w:pPr>
              <w:jc w:val="thaiDistribute"/>
              <w:rPr>
                <w:sz w:val="24"/>
                <w:szCs w:val="24"/>
              </w:rPr>
            </w:pPr>
          </w:p>
        </w:tc>
        <w:tc>
          <w:tcPr>
            <w:tcW w:w="578" w:type="dxa"/>
            <w:vAlign w:val="bottom"/>
          </w:tcPr>
          <w:p w14:paraId="376D94FA" w14:textId="77777777" w:rsidR="009A0A63" w:rsidRPr="00792B36" w:rsidRDefault="009A0A63" w:rsidP="00A24459">
            <w:pPr>
              <w:jc w:val="thaiDistribute"/>
              <w:rPr>
                <w:sz w:val="24"/>
                <w:szCs w:val="24"/>
              </w:rPr>
            </w:pPr>
            <w:r w:rsidRPr="00792B36">
              <w:rPr>
                <w:color w:val="000000"/>
                <w:sz w:val="24"/>
                <w:szCs w:val="24"/>
              </w:rPr>
              <w:t>27</w:t>
            </w:r>
          </w:p>
        </w:tc>
        <w:tc>
          <w:tcPr>
            <w:tcW w:w="3068" w:type="dxa"/>
            <w:vAlign w:val="center"/>
          </w:tcPr>
          <w:p w14:paraId="01F902D5" w14:textId="77777777" w:rsidR="009A0A63" w:rsidRPr="00792B36" w:rsidRDefault="009A0A63" w:rsidP="00A24459">
            <w:pPr>
              <w:jc w:val="thaiDistribute"/>
              <w:rPr>
                <w:sz w:val="24"/>
                <w:szCs w:val="24"/>
              </w:rPr>
            </w:pPr>
            <w:r w:rsidRPr="00792B36">
              <w:rPr>
                <w:color w:val="000000"/>
                <w:spacing w:val="-4"/>
                <w:sz w:val="24"/>
                <w:szCs w:val="24"/>
              </w:rPr>
              <w:t>Medium demersal piscivore</w:t>
            </w:r>
          </w:p>
        </w:tc>
        <w:tc>
          <w:tcPr>
            <w:tcW w:w="1077" w:type="dxa"/>
            <w:vAlign w:val="center"/>
          </w:tcPr>
          <w:p w14:paraId="48EE47D9" w14:textId="77777777" w:rsidR="009A0A63" w:rsidRPr="00792B36" w:rsidRDefault="009A0A63" w:rsidP="00A24459">
            <w:pPr>
              <w:jc w:val="center"/>
              <w:rPr>
                <w:sz w:val="24"/>
                <w:szCs w:val="24"/>
              </w:rPr>
            </w:pPr>
            <w:r w:rsidRPr="00792B36">
              <w:rPr>
                <w:color w:val="000000"/>
                <w:sz w:val="24"/>
                <w:szCs w:val="24"/>
              </w:rPr>
              <w:t>3.9635</w:t>
            </w:r>
          </w:p>
        </w:tc>
      </w:tr>
      <w:tr w:rsidR="009A0A63" w:rsidRPr="00792B36" w14:paraId="3E31DF71" w14:textId="77777777" w:rsidTr="00A24459">
        <w:trPr>
          <w:trHeight w:val="283"/>
        </w:trPr>
        <w:tc>
          <w:tcPr>
            <w:tcW w:w="570" w:type="dxa"/>
          </w:tcPr>
          <w:p w14:paraId="5A8731A5" w14:textId="77777777" w:rsidR="009A0A63" w:rsidRPr="00792B36" w:rsidRDefault="009A0A63" w:rsidP="00A24459">
            <w:pPr>
              <w:jc w:val="thaiDistribute"/>
              <w:rPr>
                <w:sz w:val="24"/>
                <w:szCs w:val="24"/>
              </w:rPr>
            </w:pPr>
            <w:r w:rsidRPr="00792B36">
              <w:rPr>
                <w:sz w:val="24"/>
                <w:szCs w:val="24"/>
              </w:rPr>
              <w:t>8</w:t>
            </w:r>
          </w:p>
        </w:tc>
        <w:tc>
          <w:tcPr>
            <w:tcW w:w="2408" w:type="dxa"/>
            <w:vAlign w:val="center"/>
          </w:tcPr>
          <w:p w14:paraId="0F886A3A" w14:textId="77777777" w:rsidR="009A0A63" w:rsidRPr="00792B36" w:rsidRDefault="009A0A63" w:rsidP="00A24459">
            <w:pPr>
              <w:jc w:val="thaiDistribute"/>
              <w:rPr>
                <w:sz w:val="24"/>
                <w:szCs w:val="24"/>
              </w:rPr>
            </w:pPr>
            <w:r w:rsidRPr="00792B36">
              <w:rPr>
                <w:color w:val="000000"/>
                <w:sz w:val="24"/>
                <w:szCs w:val="24"/>
              </w:rPr>
              <w:t>Juvenile anchovies</w:t>
            </w:r>
          </w:p>
        </w:tc>
        <w:tc>
          <w:tcPr>
            <w:tcW w:w="1077" w:type="dxa"/>
            <w:vAlign w:val="center"/>
          </w:tcPr>
          <w:p w14:paraId="7F5FDA08" w14:textId="77777777" w:rsidR="009A0A63" w:rsidRPr="00792B36" w:rsidRDefault="009A0A63" w:rsidP="00A24459">
            <w:pPr>
              <w:jc w:val="center"/>
              <w:rPr>
                <w:sz w:val="24"/>
                <w:szCs w:val="24"/>
              </w:rPr>
            </w:pPr>
            <w:r w:rsidRPr="00792B36">
              <w:rPr>
                <w:color w:val="000000"/>
                <w:sz w:val="24"/>
                <w:szCs w:val="24"/>
              </w:rPr>
              <w:t>2.8997</w:t>
            </w:r>
          </w:p>
        </w:tc>
        <w:tc>
          <w:tcPr>
            <w:tcW w:w="465" w:type="dxa"/>
          </w:tcPr>
          <w:p w14:paraId="1B3C5022" w14:textId="77777777" w:rsidR="009A0A63" w:rsidRPr="00792B36" w:rsidRDefault="009A0A63" w:rsidP="00A24459">
            <w:pPr>
              <w:jc w:val="thaiDistribute"/>
              <w:rPr>
                <w:sz w:val="24"/>
                <w:szCs w:val="24"/>
              </w:rPr>
            </w:pPr>
          </w:p>
        </w:tc>
        <w:tc>
          <w:tcPr>
            <w:tcW w:w="578" w:type="dxa"/>
            <w:vAlign w:val="bottom"/>
          </w:tcPr>
          <w:p w14:paraId="73DAD921" w14:textId="77777777" w:rsidR="009A0A63" w:rsidRPr="00792B36" w:rsidRDefault="009A0A63" w:rsidP="00A24459">
            <w:pPr>
              <w:jc w:val="thaiDistribute"/>
              <w:rPr>
                <w:sz w:val="24"/>
                <w:szCs w:val="24"/>
              </w:rPr>
            </w:pPr>
            <w:r w:rsidRPr="00792B36">
              <w:rPr>
                <w:color w:val="000000"/>
                <w:sz w:val="24"/>
                <w:szCs w:val="24"/>
              </w:rPr>
              <w:t>28</w:t>
            </w:r>
          </w:p>
        </w:tc>
        <w:tc>
          <w:tcPr>
            <w:tcW w:w="3068" w:type="dxa"/>
            <w:vAlign w:val="center"/>
          </w:tcPr>
          <w:p w14:paraId="2DC8AA58" w14:textId="77777777" w:rsidR="009A0A63" w:rsidRPr="00792B36" w:rsidRDefault="009A0A63" w:rsidP="00A24459">
            <w:pPr>
              <w:jc w:val="thaiDistribute"/>
              <w:rPr>
                <w:sz w:val="24"/>
                <w:szCs w:val="24"/>
              </w:rPr>
            </w:pPr>
            <w:r w:rsidRPr="00792B36">
              <w:rPr>
                <w:color w:val="000000"/>
                <w:spacing w:val="-4"/>
                <w:sz w:val="24"/>
                <w:szCs w:val="24"/>
              </w:rPr>
              <w:t>Medium demersal benthivore</w:t>
            </w:r>
          </w:p>
        </w:tc>
        <w:tc>
          <w:tcPr>
            <w:tcW w:w="1077" w:type="dxa"/>
            <w:vAlign w:val="center"/>
          </w:tcPr>
          <w:p w14:paraId="063BC644" w14:textId="77777777" w:rsidR="009A0A63" w:rsidRPr="00792B36" w:rsidRDefault="009A0A63" w:rsidP="00A24459">
            <w:pPr>
              <w:jc w:val="center"/>
              <w:rPr>
                <w:sz w:val="24"/>
                <w:szCs w:val="24"/>
              </w:rPr>
            </w:pPr>
            <w:r w:rsidRPr="00792B36">
              <w:rPr>
                <w:color w:val="000000"/>
                <w:sz w:val="24"/>
                <w:szCs w:val="24"/>
              </w:rPr>
              <w:t>3.2357</w:t>
            </w:r>
          </w:p>
        </w:tc>
      </w:tr>
      <w:tr w:rsidR="009A0A63" w:rsidRPr="00792B36" w14:paraId="10EFA593" w14:textId="77777777" w:rsidTr="00A24459">
        <w:trPr>
          <w:trHeight w:val="283"/>
        </w:trPr>
        <w:tc>
          <w:tcPr>
            <w:tcW w:w="570" w:type="dxa"/>
          </w:tcPr>
          <w:p w14:paraId="1A55C97F" w14:textId="77777777" w:rsidR="009A0A63" w:rsidRPr="00792B36" w:rsidRDefault="009A0A63" w:rsidP="00A24459">
            <w:pPr>
              <w:jc w:val="thaiDistribute"/>
              <w:rPr>
                <w:sz w:val="24"/>
                <w:szCs w:val="24"/>
              </w:rPr>
            </w:pPr>
            <w:r w:rsidRPr="00792B36">
              <w:rPr>
                <w:sz w:val="24"/>
                <w:szCs w:val="24"/>
              </w:rPr>
              <w:t>9</w:t>
            </w:r>
          </w:p>
        </w:tc>
        <w:tc>
          <w:tcPr>
            <w:tcW w:w="2408" w:type="dxa"/>
            <w:vAlign w:val="center"/>
          </w:tcPr>
          <w:p w14:paraId="681FBFA3" w14:textId="77777777" w:rsidR="009A0A63" w:rsidRPr="00792B36" w:rsidRDefault="009A0A63" w:rsidP="00A24459">
            <w:pPr>
              <w:jc w:val="thaiDistribute"/>
              <w:rPr>
                <w:sz w:val="24"/>
                <w:szCs w:val="24"/>
              </w:rPr>
            </w:pPr>
            <w:r w:rsidRPr="00792B36">
              <w:rPr>
                <w:color w:val="000000"/>
                <w:sz w:val="24"/>
                <w:szCs w:val="24"/>
              </w:rPr>
              <w:t>False trevally</w:t>
            </w:r>
          </w:p>
        </w:tc>
        <w:tc>
          <w:tcPr>
            <w:tcW w:w="1077" w:type="dxa"/>
            <w:vAlign w:val="center"/>
          </w:tcPr>
          <w:p w14:paraId="2507BA64" w14:textId="77777777" w:rsidR="009A0A63" w:rsidRPr="00792B36" w:rsidRDefault="009A0A63" w:rsidP="00A24459">
            <w:pPr>
              <w:jc w:val="center"/>
              <w:rPr>
                <w:sz w:val="24"/>
                <w:szCs w:val="24"/>
              </w:rPr>
            </w:pPr>
            <w:r w:rsidRPr="00792B36">
              <w:rPr>
                <w:color w:val="000000"/>
                <w:sz w:val="24"/>
                <w:szCs w:val="24"/>
              </w:rPr>
              <w:t>3.6511</w:t>
            </w:r>
          </w:p>
        </w:tc>
        <w:tc>
          <w:tcPr>
            <w:tcW w:w="465" w:type="dxa"/>
          </w:tcPr>
          <w:p w14:paraId="34865091" w14:textId="77777777" w:rsidR="009A0A63" w:rsidRPr="00792B36" w:rsidRDefault="009A0A63" w:rsidP="00A24459">
            <w:pPr>
              <w:jc w:val="thaiDistribute"/>
              <w:rPr>
                <w:sz w:val="24"/>
                <w:szCs w:val="24"/>
              </w:rPr>
            </w:pPr>
          </w:p>
        </w:tc>
        <w:tc>
          <w:tcPr>
            <w:tcW w:w="578" w:type="dxa"/>
            <w:vAlign w:val="bottom"/>
          </w:tcPr>
          <w:p w14:paraId="1FCD9408" w14:textId="77777777" w:rsidR="009A0A63" w:rsidRPr="00792B36" w:rsidRDefault="009A0A63" w:rsidP="00A24459">
            <w:pPr>
              <w:jc w:val="thaiDistribute"/>
              <w:rPr>
                <w:sz w:val="24"/>
                <w:szCs w:val="24"/>
              </w:rPr>
            </w:pPr>
            <w:r w:rsidRPr="00792B36">
              <w:rPr>
                <w:color w:val="000000"/>
                <w:sz w:val="24"/>
                <w:szCs w:val="24"/>
              </w:rPr>
              <w:t>29</w:t>
            </w:r>
          </w:p>
        </w:tc>
        <w:tc>
          <w:tcPr>
            <w:tcW w:w="3068" w:type="dxa"/>
            <w:vAlign w:val="center"/>
          </w:tcPr>
          <w:p w14:paraId="2CB4CA14" w14:textId="77777777" w:rsidR="009A0A63" w:rsidRPr="00792B36" w:rsidRDefault="009A0A63" w:rsidP="00A24459">
            <w:pPr>
              <w:jc w:val="thaiDistribute"/>
              <w:rPr>
                <w:sz w:val="24"/>
                <w:szCs w:val="24"/>
              </w:rPr>
            </w:pPr>
            <w:r w:rsidRPr="00792B36">
              <w:rPr>
                <w:color w:val="000000"/>
                <w:sz w:val="24"/>
                <w:szCs w:val="24"/>
              </w:rPr>
              <w:t>Trash fish</w:t>
            </w:r>
          </w:p>
        </w:tc>
        <w:tc>
          <w:tcPr>
            <w:tcW w:w="1077" w:type="dxa"/>
            <w:vAlign w:val="center"/>
          </w:tcPr>
          <w:p w14:paraId="2EB92C92" w14:textId="77777777" w:rsidR="009A0A63" w:rsidRPr="00792B36" w:rsidRDefault="009A0A63" w:rsidP="00A24459">
            <w:pPr>
              <w:jc w:val="center"/>
              <w:rPr>
                <w:sz w:val="24"/>
                <w:szCs w:val="24"/>
              </w:rPr>
            </w:pPr>
            <w:r w:rsidRPr="00792B36">
              <w:rPr>
                <w:color w:val="000000"/>
                <w:sz w:val="24"/>
                <w:szCs w:val="24"/>
              </w:rPr>
              <w:t>2.5574</w:t>
            </w:r>
          </w:p>
        </w:tc>
      </w:tr>
      <w:tr w:rsidR="009A0A63" w:rsidRPr="00792B36" w14:paraId="35211C00" w14:textId="77777777" w:rsidTr="00A24459">
        <w:trPr>
          <w:trHeight w:val="283"/>
        </w:trPr>
        <w:tc>
          <w:tcPr>
            <w:tcW w:w="570" w:type="dxa"/>
          </w:tcPr>
          <w:p w14:paraId="54AFA549" w14:textId="77777777" w:rsidR="009A0A63" w:rsidRPr="00792B36" w:rsidRDefault="009A0A63" w:rsidP="00A24459">
            <w:pPr>
              <w:jc w:val="thaiDistribute"/>
              <w:rPr>
                <w:sz w:val="24"/>
                <w:szCs w:val="24"/>
              </w:rPr>
            </w:pPr>
            <w:r w:rsidRPr="00792B36">
              <w:rPr>
                <w:sz w:val="24"/>
                <w:szCs w:val="24"/>
              </w:rPr>
              <w:t>10</w:t>
            </w:r>
          </w:p>
        </w:tc>
        <w:tc>
          <w:tcPr>
            <w:tcW w:w="2408" w:type="dxa"/>
            <w:vAlign w:val="center"/>
          </w:tcPr>
          <w:p w14:paraId="7164B3CA" w14:textId="77777777" w:rsidR="009A0A63" w:rsidRPr="00792B36" w:rsidRDefault="009A0A63" w:rsidP="00A24459">
            <w:pPr>
              <w:jc w:val="thaiDistribute"/>
              <w:rPr>
                <w:sz w:val="24"/>
                <w:szCs w:val="24"/>
              </w:rPr>
            </w:pPr>
            <w:r w:rsidRPr="00792B36">
              <w:rPr>
                <w:color w:val="000000"/>
                <w:sz w:val="24"/>
                <w:szCs w:val="24"/>
              </w:rPr>
              <w:t>Coastal tunas</w:t>
            </w:r>
          </w:p>
        </w:tc>
        <w:tc>
          <w:tcPr>
            <w:tcW w:w="1077" w:type="dxa"/>
            <w:vAlign w:val="center"/>
          </w:tcPr>
          <w:p w14:paraId="3F523728" w14:textId="77777777" w:rsidR="009A0A63" w:rsidRPr="00792B36" w:rsidRDefault="009A0A63" w:rsidP="00A24459">
            <w:pPr>
              <w:jc w:val="center"/>
              <w:rPr>
                <w:sz w:val="24"/>
                <w:szCs w:val="24"/>
              </w:rPr>
            </w:pPr>
            <w:r w:rsidRPr="00792B36">
              <w:rPr>
                <w:color w:val="000000"/>
                <w:sz w:val="24"/>
                <w:szCs w:val="24"/>
              </w:rPr>
              <w:t>4.1624</w:t>
            </w:r>
          </w:p>
        </w:tc>
        <w:tc>
          <w:tcPr>
            <w:tcW w:w="465" w:type="dxa"/>
          </w:tcPr>
          <w:p w14:paraId="501ACD3A" w14:textId="77777777" w:rsidR="009A0A63" w:rsidRPr="00792B36" w:rsidRDefault="009A0A63" w:rsidP="00A24459">
            <w:pPr>
              <w:jc w:val="thaiDistribute"/>
              <w:rPr>
                <w:sz w:val="24"/>
                <w:szCs w:val="24"/>
              </w:rPr>
            </w:pPr>
          </w:p>
        </w:tc>
        <w:tc>
          <w:tcPr>
            <w:tcW w:w="578" w:type="dxa"/>
            <w:vAlign w:val="bottom"/>
          </w:tcPr>
          <w:p w14:paraId="2F3FFFCA" w14:textId="77777777" w:rsidR="009A0A63" w:rsidRPr="00792B36" w:rsidRDefault="009A0A63" w:rsidP="00A24459">
            <w:pPr>
              <w:jc w:val="thaiDistribute"/>
              <w:rPr>
                <w:sz w:val="24"/>
                <w:szCs w:val="24"/>
              </w:rPr>
            </w:pPr>
            <w:r w:rsidRPr="00792B36">
              <w:rPr>
                <w:color w:val="000000"/>
                <w:sz w:val="24"/>
                <w:szCs w:val="24"/>
              </w:rPr>
              <w:t>30</w:t>
            </w:r>
          </w:p>
        </w:tc>
        <w:tc>
          <w:tcPr>
            <w:tcW w:w="3068" w:type="dxa"/>
            <w:vAlign w:val="center"/>
          </w:tcPr>
          <w:p w14:paraId="4544BA6E" w14:textId="77777777" w:rsidR="009A0A63" w:rsidRPr="00792B36" w:rsidRDefault="009A0A63" w:rsidP="00A24459">
            <w:pPr>
              <w:jc w:val="thaiDistribute"/>
              <w:rPr>
                <w:sz w:val="24"/>
                <w:szCs w:val="24"/>
              </w:rPr>
            </w:pPr>
            <w:r w:rsidRPr="00792B36">
              <w:rPr>
                <w:color w:val="000000"/>
                <w:sz w:val="24"/>
                <w:szCs w:val="24"/>
              </w:rPr>
              <w:t>Squids</w:t>
            </w:r>
          </w:p>
        </w:tc>
        <w:tc>
          <w:tcPr>
            <w:tcW w:w="1077" w:type="dxa"/>
            <w:vAlign w:val="center"/>
          </w:tcPr>
          <w:p w14:paraId="78B0E3D3" w14:textId="77777777" w:rsidR="009A0A63" w:rsidRPr="00792B36" w:rsidRDefault="009A0A63" w:rsidP="00A24459">
            <w:pPr>
              <w:jc w:val="center"/>
              <w:rPr>
                <w:sz w:val="24"/>
                <w:szCs w:val="24"/>
              </w:rPr>
            </w:pPr>
            <w:r w:rsidRPr="00792B36">
              <w:rPr>
                <w:color w:val="000000"/>
                <w:sz w:val="24"/>
                <w:szCs w:val="24"/>
              </w:rPr>
              <w:t>3.2671</w:t>
            </w:r>
          </w:p>
        </w:tc>
      </w:tr>
      <w:tr w:rsidR="009A0A63" w:rsidRPr="00792B36" w14:paraId="793E937F" w14:textId="77777777" w:rsidTr="00A24459">
        <w:trPr>
          <w:trHeight w:val="283"/>
        </w:trPr>
        <w:tc>
          <w:tcPr>
            <w:tcW w:w="570" w:type="dxa"/>
          </w:tcPr>
          <w:p w14:paraId="523BF9B3" w14:textId="77777777" w:rsidR="009A0A63" w:rsidRPr="00792B36" w:rsidRDefault="009A0A63" w:rsidP="00A24459">
            <w:pPr>
              <w:jc w:val="thaiDistribute"/>
              <w:rPr>
                <w:sz w:val="24"/>
                <w:szCs w:val="24"/>
              </w:rPr>
            </w:pPr>
            <w:r w:rsidRPr="00792B36">
              <w:rPr>
                <w:sz w:val="24"/>
                <w:szCs w:val="24"/>
              </w:rPr>
              <w:t>11</w:t>
            </w:r>
          </w:p>
        </w:tc>
        <w:tc>
          <w:tcPr>
            <w:tcW w:w="2408" w:type="dxa"/>
            <w:vAlign w:val="center"/>
          </w:tcPr>
          <w:p w14:paraId="61E72FBA" w14:textId="77777777" w:rsidR="009A0A63" w:rsidRPr="00792B36" w:rsidRDefault="009A0A63" w:rsidP="00A24459">
            <w:pPr>
              <w:jc w:val="thaiDistribute"/>
              <w:rPr>
                <w:sz w:val="24"/>
                <w:szCs w:val="24"/>
              </w:rPr>
            </w:pPr>
            <w:r w:rsidRPr="00792B36">
              <w:rPr>
                <w:color w:val="000000"/>
                <w:sz w:val="24"/>
                <w:szCs w:val="24"/>
              </w:rPr>
              <w:t>Other small pelagic</w:t>
            </w:r>
          </w:p>
        </w:tc>
        <w:tc>
          <w:tcPr>
            <w:tcW w:w="1077" w:type="dxa"/>
            <w:vAlign w:val="center"/>
          </w:tcPr>
          <w:p w14:paraId="7D1EDB64" w14:textId="77777777" w:rsidR="009A0A63" w:rsidRPr="00792B36" w:rsidRDefault="009A0A63" w:rsidP="00A24459">
            <w:pPr>
              <w:jc w:val="center"/>
              <w:rPr>
                <w:sz w:val="24"/>
                <w:szCs w:val="24"/>
              </w:rPr>
            </w:pPr>
            <w:r w:rsidRPr="00792B36">
              <w:rPr>
                <w:color w:val="000000"/>
                <w:sz w:val="24"/>
                <w:szCs w:val="24"/>
              </w:rPr>
              <w:t>2.8997</w:t>
            </w:r>
          </w:p>
        </w:tc>
        <w:tc>
          <w:tcPr>
            <w:tcW w:w="465" w:type="dxa"/>
          </w:tcPr>
          <w:p w14:paraId="23D38FF4" w14:textId="77777777" w:rsidR="009A0A63" w:rsidRPr="00792B36" w:rsidRDefault="009A0A63" w:rsidP="00A24459">
            <w:pPr>
              <w:jc w:val="thaiDistribute"/>
              <w:rPr>
                <w:sz w:val="24"/>
                <w:szCs w:val="24"/>
              </w:rPr>
            </w:pPr>
          </w:p>
        </w:tc>
        <w:tc>
          <w:tcPr>
            <w:tcW w:w="578" w:type="dxa"/>
            <w:vAlign w:val="bottom"/>
          </w:tcPr>
          <w:p w14:paraId="06464A74" w14:textId="77777777" w:rsidR="009A0A63" w:rsidRPr="00792B36" w:rsidRDefault="009A0A63" w:rsidP="00A24459">
            <w:pPr>
              <w:jc w:val="thaiDistribute"/>
              <w:rPr>
                <w:sz w:val="24"/>
                <w:szCs w:val="24"/>
              </w:rPr>
            </w:pPr>
            <w:r w:rsidRPr="00792B36">
              <w:rPr>
                <w:color w:val="000000"/>
                <w:sz w:val="24"/>
                <w:szCs w:val="24"/>
              </w:rPr>
              <w:t>31</w:t>
            </w:r>
          </w:p>
        </w:tc>
        <w:tc>
          <w:tcPr>
            <w:tcW w:w="3068" w:type="dxa"/>
            <w:vAlign w:val="center"/>
          </w:tcPr>
          <w:p w14:paraId="51A2EA34" w14:textId="77777777" w:rsidR="009A0A63" w:rsidRPr="00792B36" w:rsidRDefault="009A0A63" w:rsidP="00A24459">
            <w:pPr>
              <w:jc w:val="thaiDistribute"/>
              <w:rPr>
                <w:sz w:val="24"/>
                <w:szCs w:val="24"/>
              </w:rPr>
            </w:pPr>
            <w:r w:rsidRPr="00792B36">
              <w:rPr>
                <w:color w:val="000000"/>
                <w:sz w:val="24"/>
                <w:szCs w:val="24"/>
              </w:rPr>
              <w:t>Cuttlefishes</w:t>
            </w:r>
          </w:p>
        </w:tc>
        <w:tc>
          <w:tcPr>
            <w:tcW w:w="1077" w:type="dxa"/>
            <w:vAlign w:val="center"/>
          </w:tcPr>
          <w:p w14:paraId="71FFB138" w14:textId="77777777" w:rsidR="009A0A63" w:rsidRPr="00792B36" w:rsidRDefault="009A0A63" w:rsidP="00A24459">
            <w:pPr>
              <w:jc w:val="center"/>
              <w:rPr>
                <w:sz w:val="24"/>
                <w:szCs w:val="24"/>
              </w:rPr>
            </w:pPr>
            <w:r w:rsidRPr="00792B36">
              <w:rPr>
                <w:color w:val="000000"/>
                <w:sz w:val="24"/>
                <w:szCs w:val="24"/>
              </w:rPr>
              <w:t>3.2710</w:t>
            </w:r>
          </w:p>
        </w:tc>
      </w:tr>
      <w:tr w:rsidR="009A0A63" w:rsidRPr="00792B36" w14:paraId="4A30057E" w14:textId="77777777" w:rsidTr="00A24459">
        <w:trPr>
          <w:trHeight w:val="283"/>
        </w:trPr>
        <w:tc>
          <w:tcPr>
            <w:tcW w:w="570" w:type="dxa"/>
          </w:tcPr>
          <w:p w14:paraId="70AD6D63" w14:textId="77777777" w:rsidR="009A0A63" w:rsidRPr="00792B36" w:rsidRDefault="009A0A63" w:rsidP="00A24459">
            <w:pPr>
              <w:jc w:val="thaiDistribute"/>
              <w:rPr>
                <w:sz w:val="24"/>
                <w:szCs w:val="24"/>
              </w:rPr>
            </w:pPr>
            <w:r w:rsidRPr="00792B36">
              <w:rPr>
                <w:sz w:val="24"/>
                <w:szCs w:val="24"/>
              </w:rPr>
              <w:t>12</w:t>
            </w:r>
          </w:p>
        </w:tc>
        <w:tc>
          <w:tcPr>
            <w:tcW w:w="2408" w:type="dxa"/>
            <w:vAlign w:val="center"/>
          </w:tcPr>
          <w:p w14:paraId="484A71B7" w14:textId="77777777" w:rsidR="009A0A63" w:rsidRPr="00792B36" w:rsidRDefault="009A0A63" w:rsidP="00A24459">
            <w:pPr>
              <w:jc w:val="thaiDistribute"/>
              <w:rPr>
                <w:sz w:val="24"/>
                <w:szCs w:val="24"/>
              </w:rPr>
            </w:pPr>
            <w:r w:rsidRPr="00792B36">
              <w:rPr>
                <w:color w:val="000000"/>
                <w:sz w:val="24"/>
                <w:szCs w:val="24"/>
              </w:rPr>
              <w:t>Large piscivores</w:t>
            </w:r>
          </w:p>
        </w:tc>
        <w:tc>
          <w:tcPr>
            <w:tcW w:w="1077" w:type="dxa"/>
            <w:vAlign w:val="center"/>
          </w:tcPr>
          <w:p w14:paraId="6AF951F8" w14:textId="77777777" w:rsidR="009A0A63" w:rsidRPr="00792B36" w:rsidRDefault="009A0A63" w:rsidP="00A24459">
            <w:pPr>
              <w:jc w:val="center"/>
              <w:rPr>
                <w:sz w:val="24"/>
                <w:szCs w:val="24"/>
              </w:rPr>
            </w:pPr>
            <w:r w:rsidRPr="00792B36">
              <w:rPr>
                <w:color w:val="000000"/>
                <w:sz w:val="24"/>
                <w:szCs w:val="24"/>
              </w:rPr>
              <w:t>4.2391</w:t>
            </w:r>
          </w:p>
        </w:tc>
        <w:tc>
          <w:tcPr>
            <w:tcW w:w="465" w:type="dxa"/>
          </w:tcPr>
          <w:p w14:paraId="79CA84C9" w14:textId="77777777" w:rsidR="009A0A63" w:rsidRPr="00792B36" w:rsidRDefault="009A0A63" w:rsidP="00A24459">
            <w:pPr>
              <w:jc w:val="thaiDistribute"/>
              <w:rPr>
                <w:sz w:val="24"/>
                <w:szCs w:val="24"/>
              </w:rPr>
            </w:pPr>
          </w:p>
        </w:tc>
        <w:tc>
          <w:tcPr>
            <w:tcW w:w="578" w:type="dxa"/>
            <w:vAlign w:val="bottom"/>
          </w:tcPr>
          <w:p w14:paraId="69551039" w14:textId="77777777" w:rsidR="009A0A63" w:rsidRPr="00792B36" w:rsidRDefault="009A0A63" w:rsidP="00A24459">
            <w:pPr>
              <w:jc w:val="thaiDistribute"/>
              <w:rPr>
                <w:sz w:val="24"/>
                <w:szCs w:val="24"/>
              </w:rPr>
            </w:pPr>
            <w:r w:rsidRPr="00792B36">
              <w:rPr>
                <w:color w:val="000000"/>
                <w:sz w:val="24"/>
                <w:szCs w:val="24"/>
              </w:rPr>
              <w:t>32</w:t>
            </w:r>
          </w:p>
        </w:tc>
        <w:tc>
          <w:tcPr>
            <w:tcW w:w="3068" w:type="dxa"/>
            <w:vAlign w:val="center"/>
          </w:tcPr>
          <w:p w14:paraId="7F5C48A0" w14:textId="77777777" w:rsidR="009A0A63" w:rsidRPr="00792B36" w:rsidRDefault="009A0A63" w:rsidP="00A24459">
            <w:pPr>
              <w:jc w:val="thaiDistribute"/>
              <w:rPr>
                <w:sz w:val="24"/>
                <w:szCs w:val="24"/>
              </w:rPr>
            </w:pPr>
            <w:r w:rsidRPr="00792B36">
              <w:rPr>
                <w:color w:val="000000"/>
                <w:sz w:val="24"/>
                <w:szCs w:val="24"/>
              </w:rPr>
              <w:t>Octopods</w:t>
            </w:r>
          </w:p>
        </w:tc>
        <w:tc>
          <w:tcPr>
            <w:tcW w:w="1077" w:type="dxa"/>
            <w:vAlign w:val="center"/>
          </w:tcPr>
          <w:p w14:paraId="125B0DE0" w14:textId="77777777" w:rsidR="009A0A63" w:rsidRPr="00792B36" w:rsidRDefault="009A0A63" w:rsidP="00A24459">
            <w:pPr>
              <w:jc w:val="center"/>
              <w:rPr>
                <w:sz w:val="24"/>
                <w:szCs w:val="24"/>
              </w:rPr>
            </w:pPr>
            <w:r w:rsidRPr="00792B36">
              <w:rPr>
                <w:color w:val="000000"/>
                <w:sz w:val="24"/>
                <w:szCs w:val="24"/>
              </w:rPr>
              <w:t>3.2693</w:t>
            </w:r>
          </w:p>
        </w:tc>
      </w:tr>
      <w:tr w:rsidR="009A0A63" w:rsidRPr="00792B36" w14:paraId="7036E9E7" w14:textId="77777777" w:rsidTr="00A24459">
        <w:trPr>
          <w:trHeight w:val="283"/>
        </w:trPr>
        <w:tc>
          <w:tcPr>
            <w:tcW w:w="570" w:type="dxa"/>
          </w:tcPr>
          <w:p w14:paraId="2F4F98AD" w14:textId="77777777" w:rsidR="009A0A63" w:rsidRPr="00792B36" w:rsidRDefault="009A0A63" w:rsidP="00A24459">
            <w:pPr>
              <w:jc w:val="thaiDistribute"/>
              <w:rPr>
                <w:sz w:val="24"/>
                <w:szCs w:val="24"/>
              </w:rPr>
            </w:pPr>
            <w:r w:rsidRPr="00792B36">
              <w:rPr>
                <w:sz w:val="24"/>
                <w:szCs w:val="24"/>
              </w:rPr>
              <w:t>13</w:t>
            </w:r>
          </w:p>
        </w:tc>
        <w:tc>
          <w:tcPr>
            <w:tcW w:w="2408" w:type="dxa"/>
            <w:vAlign w:val="center"/>
          </w:tcPr>
          <w:p w14:paraId="1BA0FFE3" w14:textId="77777777" w:rsidR="009A0A63" w:rsidRPr="00792B36" w:rsidRDefault="009A0A63" w:rsidP="00A24459">
            <w:pPr>
              <w:jc w:val="thaiDistribute"/>
              <w:rPr>
                <w:sz w:val="24"/>
                <w:szCs w:val="24"/>
              </w:rPr>
            </w:pPr>
            <w:r w:rsidRPr="00792B36">
              <w:rPr>
                <w:color w:val="000000"/>
                <w:sz w:val="24"/>
                <w:szCs w:val="24"/>
              </w:rPr>
              <w:t>Sciaenidae</w:t>
            </w:r>
          </w:p>
        </w:tc>
        <w:tc>
          <w:tcPr>
            <w:tcW w:w="1077" w:type="dxa"/>
            <w:vAlign w:val="center"/>
          </w:tcPr>
          <w:p w14:paraId="0A85758B" w14:textId="77777777" w:rsidR="009A0A63" w:rsidRPr="00792B36" w:rsidRDefault="009A0A63" w:rsidP="00A24459">
            <w:pPr>
              <w:jc w:val="center"/>
              <w:rPr>
                <w:sz w:val="24"/>
                <w:szCs w:val="24"/>
              </w:rPr>
            </w:pPr>
            <w:r w:rsidRPr="00792B36">
              <w:rPr>
                <w:color w:val="000000"/>
                <w:sz w:val="24"/>
                <w:szCs w:val="24"/>
              </w:rPr>
              <w:t>3.4574</w:t>
            </w:r>
          </w:p>
        </w:tc>
        <w:tc>
          <w:tcPr>
            <w:tcW w:w="465" w:type="dxa"/>
          </w:tcPr>
          <w:p w14:paraId="3CFB1350" w14:textId="77777777" w:rsidR="009A0A63" w:rsidRPr="00792B36" w:rsidRDefault="009A0A63" w:rsidP="00A24459">
            <w:pPr>
              <w:jc w:val="thaiDistribute"/>
              <w:rPr>
                <w:sz w:val="24"/>
                <w:szCs w:val="24"/>
              </w:rPr>
            </w:pPr>
          </w:p>
        </w:tc>
        <w:tc>
          <w:tcPr>
            <w:tcW w:w="578" w:type="dxa"/>
            <w:vAlign w:val="bottom"/>
          </w:tcPr>
          <w:p w14:paraId="0720B849" w14:textId="77777777" w:rsidR="009A0A63" w:rsidRPr="00792B36" w:rsidRDefault="009A0A63" w:rsidP="00A24459">
            <w:pPr>
              <w:jc w:val="thaiDistribute"/>
              <w:rPr>
                <w:sz w:val="24"/>
                <w:szCs w:val="24"/>
              </w:rPr>
            </w:pPr>
            <w:r w:rsidRPr="00792B36">
              <w:rPr>
                <w:color w:val="000000"/>
                <w:sz w:val="24"/>
                <w:szCs w:val="24"/>
              </w:rPr>
              <w:t>33</w:t>
            </w:r>
          </w:p>
        </w:tc>
        <w:tc>
          <w:tcPr>
            <w:tcW w:w="3068" w:type="dxa"/>
            <w:vAlign w:val="center"/>
          </w:tcPr>
          <w:p w14:paraId="0D4A824B" w14:textId="77777777" w:rsidR="009A0A63" w:rsidRPr="00792B36" w:rsidRDefault="009A0A63" w:rsidP="00A24459">
            <w:pPr>
              <w:jc w:val="thaiDistribute"/>
              <w:rPr>
                <w:sz w:val="24"/>
                <w:szCs w:val="24"/>
              </w:rPr>
            </w:pPr>
            <w:r w:rsidRPr="00792B36">
              <w:rPr>
                <w:color w:val="000000"/>
                <w:sz w:val="24"/>
                <w:szCs w:val="24"/>
              </w:rPr>
              <w:t>Metapenaeids</w:t>
            </w:r>
          </w:p>
        </w:tc>
        <w:tc>
          <w:tcPr>
            <w:tcW w:w="1077" w:type="dxa"/>
            <w:vAlign w:val="center"/>
          </w:tcPr>
          <w:p w14:paraId="7E752C71" w14:textId="77777777" w:rsidR="009A0A63" w:rsidRPr="00792B36" w:rsidRDefault="009A0A63" w:rsidP="00A24459">
            <w:pPr>
              <w:jc w:val="center"/>
              <w:rPr>
                <w:sz w:val="24"/>
                <w:szCs w:val="24"/>
              </w:rPr>
            </w:pPr>
            <w:r w:rsidRPr="00792B36">
              <w:rPr>
                <w:color w:val="000000"/>
                <w:sz w:val="24"/>
                <w:szCs w:val="24"/>
              </w:rPr>
              <w:t>2.3454</w:t>
            </w:r>
          </w:p>
        </w:tc>
      </w:tr>
      <w:tr w:rsidR="009A0A63" w:rsidRPr="00792B36" w14:paraId="0F4BB4F8" w14:textId="77777777" w:rsidTr="00A24459">
        <w:trPr>
          <w:trHeight w:val="283"/>
        </w:trPr>
        <w:tc>
          <w:tcPr>
            <w:tcW w:w="570" w:type="dxa"/>
            <w:vAlign w:val="bottom"/>
          </w:tcPr>
          <w:p w14:paraId="05B830B1" w14:textId="77777777" w:rsidR="009A0A63" w:rsidRPr="00792B36" w:rsidRDefault="009A0A63" w:rsidP="00A24459">
            <w:pPr>
              <w:jc w:val="thaiDistribute"/>
              <w:rPr>
                <w:sz w:val="24"/>
                <w:szCs w:val="24"/>
              </w:rPr>
            </w:pPr>
            <w:r w:rsidRPr="00792B36">
              <w:rPr>
                <w:color w:val="000000"/>
                <w:sz w:val="24"/>
                <w:szCs w:val="24"/>
              </w:rPr>
              <w:t>14</w:t>
            </w:r>
          </w:p>
        </w:tc>
        <w:tc>
          <w:tcPr>
            <w:tcW w:w="2408" w:type="dxa"/>
            <w:vAlign w:val="center"/>
          </w:tcPr>
          <w:p w14:paraId="0630ADD4" w14:textId="77777777" w:rsidR="009A0A63" w:rsidRPr="00792B36" w:rsidRDefault="009A0A63" w:rsidP="00A24459">
            <w:pPr>
              <w:jc w:val="thaiDistribute"/>
              <w:rPr>
                <w:sz w:val="24"/>
                <w:szCs w:val="24"/>
              </w:rPr>
            </w:pPr>
            <w:r w:rsidRPr="00792B36">
              <w:rPr>
                <w:color w:val="000000"/>
                <w:sz w:val="24"/>
                <w:szCs w:val="24"/>
              </w:rPr>
              <w:t>Adult lizardfish</w:t>
            </w:r>
          </w:p>
        </w:tc>
        <w:tc>
          <w:tcPr>
            <w:tcW w:w="1077" w:type="dxa"/>
            <w:vAlign w:val="center"/>
          </w:tcPr>
          <w:p w14:paraId="148941FC" w14:textId="77777777" w:rsidR="009A0A63" w:rsidRPr="00792B36" w:rsidRDefault="009A0A63" w:rsidP="00A24459">
            <w:pPr>
              <w:jc w:val="center"/>
              <w:rPr>
                <w:sz w:val="24"/>
                <w:szCs w:val="24"/>
              </w:rPr>
            </w:pPr>
            <w:r w:rsidRPr="00792B36">
              <w:rPr>
                <w:color w:val="000000"/>
                <w:sz w:val="24"/>
                <w:szCs w:val="24"/>
              </w:rPr>
              <w:t>3.9547</w:t>
            </w:r>
          </w:p>
        </w:tc>
        <w:tc>
          <w:tcPr>
            <w:tcW w:w="465" w:type="dxa"/>
          </w:tcPr>
          <w:p w14:paraId="70B51B37" w14:textId="77777777" w:rsidR="009A0A63" w:rsidRPr="00792B36" w:rsidRDefault="009A0A63" w:rsidP="00A24459">
            <w:pPr>
              <w:jc w:val="thaiDistribute"/>
              <w:rPr>
                <w:sz w:val="24"/>
                <w:szCs w:val="24"/>
              </w:rPr>
            </w:pPr>
          </w:p>
        </w:tc>
        <w:tc>
          <w:tcPr>
            <w:tcW w:w="578" w:type="dxa"/>
            <w:vAlign w:val="bottom"/>
          </w:tcPr>
          <w:p w14:paraId="6EE1EF6F" w14:textId="77777777" w:rsidR="009A0A63" w:rsidRPr="00792B36" w:rsidRDefault="009A0A63" w:rsidP="00A24459">
            <w:pPr>
              <w:jc w:val="thaiDistribute"/>
              <w:rPr>
                <w:sz w:val="24"/>
                <w:szCs w:val="24"/>
              </w:rPr>
            </w:pPr>
            <w:r w:rsidRPr="00792B36">
              <w:rPr>
                <w:color w:val="000000"/>
                <w:sz w:val="24"/>
                <w:szCs w:val="24"/>
              </w:rPr>
              <w:t>34</w:t>
            </w:r>
          </w:p>
        </w:tc>
        <w:tc>
          <w:tcPr>
            <w:tcW w:w="3068" w:type="dxa"/>
            <w:vAlign w:val="center"/>
          </w:tcPr>
          <w:p w14:paraId="6CAB6916" w14:textId="77777777" w:rsidR="009A0A63" w:rsidRPr="00792B36" w:rsidRDefault="009A0A63" w:rsidP="00A24459">
            <w:pPr>
              <w:jc w:val="thaiDistribute"/>
              <w:rPr>
                <w:sz w:val="24"/>
                <w:szCs w:val="24"/>
              </w:rPr>
            </w:pPr>
            <w:r w:rsidRPr="00792B36">
              <w:rPr>
                <w:color w:val="000000"/>
                <w:sz w:val="24"/>
                <w:szCs w:val="24"/>
              </w:rPr>
              <w:t>Penaeids</w:t>
            </w:r>
          </w:p>
        </w:tc>
        <w:tc>
          <w:tcPr>
            <w:tcW w:w="1077" w:type="dxa"/>
            <w:vAlign w:val="center"/>
          </w:tcPr>
          <w:p w14:paraId="06EB6343" w14:textId="77777777" w:rsidR="009A0A63" w:rsidRPr="00792B36" w:rsidRDefault="009A0A63" w:rsidP="00A24459">
            <w:pPr>
              <w:jc w:val="center"/>
              <w:rPr>
                <w:sz w:val="24"/>
                <w:szCs w:val="24"/>
              </w:rPr>
            </w:pPr>
            <w:r w:rsidRPr="00792B36">
              <w:rPr>
                <w:color w:val="000000"/>
                <w:sz w:val="24"/>
                <w:szCs w:val="24"/>
              </w:rPr>
              <w:t>2.3458</w:t>
            </w:r>
          </w:p>
        </w:tc>
      </w:tr>
      <w:tr w:rsidR="009A0A63" w:rsidRPr="00792B36" w14:paraId="499A9F76" w14:textId="77777777" w:rsidTr="00A24459">
        <w:trPr>
          <w:trHeight w:val="283"/>
        </w:trPr>
        <w:tc>
          <w:tcPr>
            <w:tcW w:w="570" w:type="dxa"/>
            <w:vAlign w:val="bottom"/>
          </w:tcPr>
          <w:p w14:paraId="666A4756" w14:textId="77777777" w:rsidR="009A0A63" w:rsidRPr="00792B36" w:rsidRDefault="009A0A63" w:rsidP="00A24459">
            <w:pPr>
              <w:jc w:val="thaiDistribute"/>
              <w:rPr>
                <w:sz w:val="24"/>
                <w:szCs w:val="24"/>
              </w:rPr>
            </w:pPr>
            <w:r w:rsidRPr="00792B36">
              <w:rPr>
                <w:color w:val="000000"/>
                <w:sz w:val="24"/>
                <w:szCs w:val="24"/>
              </w:rPr>
              <w:t>15</w:t>
            </w:r>
          </w:p>
        </w:tc>
        <w:tc>
          <w:tcPr>
            <w:tcW w:w="2408" w:type="dxa"/>
            <w:vAlign w:val="center"/>
          </w:tcPr>
          <w:p w14:paraId="163FA5C1" w14:textId="77777777" w:rsidR="009A0A63" w:rsidRPr="00792B36" w:rsidRDefault="009A0A63" w:rsidP="00A24459">
            <w:pPr>
              <w:jc w:val="thaiDistribute"/>
              <w:rPr>
                <w:sz w:val="24"/>
                <w:szCs w:val="24"/>
              </w:rPr>
            </w:pPr>
            <w:r w:rsidRPr="00792B36">
              <w:rPr>
                <w:color w:val="000000"/>
                <w:sz w:val="24"/>
                <w:szCs w:val="24"/>
              </w:rPr>
              <w:t>Juvenile lizardfish</w:t>
            </w:r>
          </w:p>
        </w:tc>
        <w:tc>
          <w:tcPr>
            <w:tcW w:w="1077" w:type="dxa"/>
            <w:vAlign w:val="center"/>
          </w:tcPr>
          <w:p w14:paraId="22C6AC17" w14:textId="77777777" w:rsidR="009A0A63" w:rsidRPr="00792B36" w:rsidRDefault="009A0A63" w:rsidP="00A24459">
            <w:pPr>
              <w:jc w:val="center"/>
              <w:rPr>
                <w:sz w:val="24"/>
                <w:szCs w:val="24"/>
              </w:rPr>
            </w:pPr>
            <w:r w:rsidRPr="00792B36">
              <w:rPr>
                <w:color w:val="000000"/>
                <w:sz w:val="24"/>
                <w:szCs w:val="24"/>
              </w:rPr>
              <w:t>3.0000</w:t>
            </w:r>
          </w:p>
        </w:tc>
        <w:tc>
          <w:tcPr>
            <w:tcW w:w="465" w:type="dxa"/>
          </w:tcPr>
          <w:p w14:paraId="3AC4B311" w14:textId="77777777" w:rsidR="009A0A63" w:rsidRPr="00792B36" w:rsidRDefault="009A0A63" w:rsidP="00A24459">
            <w:pPr>
              <w:jc w:val="thaiDistribute"/>
              <w:rPr>
                <w:sz w:val="24"/>
                <w:szCs w:val="24"/>
              </w:rPr>
            </w:pPr>
          </w:p>
        </w:tc>
        <w:tc>
          <w:tcPr>
            <w:tcW w:w="578" w:type="dxa"/>
            <w:vAlign w:val="bottom"/>
          </w:tcPr>
          <w:p w14:paraId="27165C4F" w14:textId="77777777" w:rsidR="009A0A63" w:rsidRPr="00792B36" w:rsidRDefault="009A0A63" w:rsidP="00A24459">
            <w:pPr>
              <w:jc w:val="thaiDistribute"/>
              <w:rPr>
                <w:sz w:val="24"/>
                <w:szCs w:val="24"/>
              </w:rPr>
            </w:pPr>
            <w:r w:rsidRPr="00792B36">
              <w:rPr>
                <w:color w:val="000000"/>
                <w:sz w:val="24"/>
                <w:szCs w:val="24"/>
              </w:rPr>
              <w:t>35</w:t>
            </w:r>
          </w:p>
        </w:tc>
        <w:tc>
          <w:tcPr>
            <w:tcW w:w="3068" w:type="dxa"/>
            <w:vAlign w:val="center"/>
          </w:tcPr>
          <w:p w14:paraId="1FE000F8" w14:textId="77777777" w:rsidR="009A0A63" w:rsidRPr="00792B36" w:rsidRDefault="009A0A63" w:rsidP="00A24459">
            <w:pPr>
              <w:jc w:val="thaiDistribute"/>
              <w:rPr>
                <w:sz w:val="24"/>
                <w:szCs w:val="24"/>
              </w:rPr>
            </w:pPr>
            <w:r w:rsidRPr="00792B36">
              <w:rPr>
                <w:color w:val="000000"/>
                <w:sz w:val="24"/>
                <w:szCs w:val="24"/>
              </w:rPr>
              <w:t>Sergestid shrimp</w:t>
            </w:r>
          </w:p>
        </w:tc>
        <w:tc>
          <w:tcPr>
            <w:tcW w:w="1077" w:type="dxa"/>
            <w:vAlign w:val="center"/>
          </w:tcPr>
          <w:p w14:paraId="6F91DB65" w14:textId="77777777" w:rsidR="009A0A63" w:rsidRPr="00792B36" w:rsidRDefault="009A0A63" w:rsidP="00A24459">
            <w:pPr>
              <w:jc w:val="center"/>
              <w:rPr>
                <w:sz w:val="24"/>
                <w:szCs w:val="24"/>
              </w:rPr>
            </w:pPr>
            <w:r w:rsidRPr="00792B36">
              <w:rPr>
                <w:color w:val="000000"/>
                <w:sz w:val="24"/>
                <w:szCs w:val="24"/>
              </w:rPr>
              <w:t>2.3456</w:t>
            </w:r>
          </w:p>
        </w:tc>
      </w:tr>
      <w:tr w:rsidR="009A0A63" w:rsidRPr="00792B36" w14:paraId="33D5B82D" w14:textId="77777777" w:rsidTr="00A24459">
        <w:trPr>
          <w:trHeight w:val="283"/>
        </w:trPr>
        <w:tc>
          <w:tcPr>
            <w:tcW w:w="570" w:type="dxa"/>
            <w:vAlign w:val="bottom"/>
          </w:tcPr>
          <w:p w14:paraId="4BE44FC0" w14:textId="77777777" w:rsidR="009A0A63" w:rsidRPr="00792B36" w:rsidRDefault="009A0A63" w:rsidP="00A24459">
            <w:pPr>
              <w:jc w:val="thaiDistribute"/>
              <w:rPr>
                <w:sz w:val="24"/>
                <w:szCs w:val="24"/>
              </w:rPr>
            </w:pPr>
            <w:r w:rsidRPr="00792B36">
              <w:rPr>
                <w:color w:val="000000"/>
                <w:sz w:val="24"/>
                <w:szCs w:val="24"/>
              </w:rPr>
              <w:t>16</w:t>
            </w:r>
          </w:p>
        </w:tc>
        <w:tc>
          <w:tcPr>
            <w:tcW w:w="2408" w:type="dxa"/>
            <w:vAlign w:val="center"/>
          </w:tcPr>
          <w:p w14:paraId="10D46972" w14:textId="77777777" w:rsidR="009A0A63" w:rsidRPr="00792B36" w:rsidRDefault="009A0A63" w:rsidP="00A24459">
            <w:pPr>
              <w:jc w:val="thaiDistribute"/>
              <w:rPr>
                <w:sz w:val="24"/>
                <w:szCs w:val="24"/>
              </w:rPr>
            </w:pPr>
            <w:r w:rsidRPr="00792B36">
              <w:rPr>
                <w:color w:val="000000"/>
                <w:sz w:val="24"/>
                <w:szCs w:val="24"/>
              </w:rPr>
              <w:t>Lutjanidae</w:t>
            </w:r>
          </w:p>
        </w:tc>
        <w:tc>
          <w:tcPr>
            <w:tcW w:w="1077" w:type="dxa"/>
            <w:vAlign w:val="center"/>
          </w:tcPr>
          <w:p w14:paraId="3FDDF515" w14:textId="77777777" w:rsidR="009A0A63" w:rsidRPr="00792B36" w:rsidRDefault="009A0A63" w:rsidP="00A24459">
            <w:pPr>
              <w:jc w:val="center"/>
              <w:rPr>
                <w:sz w:val="24"/>
                <w:szCs w:val="24"/>
              </w:rPr>
            </w:pPr>
            <w:r w:rsidRPr="00792B36">
              <w:rPr>
                <w:color w:val="000000"/>
                <w:sz w:val="24"/>
                <w:szCs w:val="24"/>
              </w:rPr>
              <w:t>3.9061</w:t>
            </w:r>
          </w:p>
        </w:tc>
        <w:tc>
          <w:tcPr>
            <w:tcW w:w="465" w:type="dxa"/>
          </w:tcPr>
          <w:p w14:paraId="41100916" w14:textId="77777777" w:rsidR="009A0A63" w:rsidRPr="00792B36" w:rsidRDefault="009A0A63" w:rsidP="00A24459">
            <w:pPr>
              <w:jc w:val="thaiDistribute"/>
              <w:rPr>
                <w:sz w:val="24"/>
                <w:szCs w:val="24"/>
              </w:rPr>
            </w:pPr>
          </w:p>
        </w:tc>
        <w:tc>
          <w:tcPr>
            <w:tcW w:w="578" w:type="dxa"/>
            <w:vAlign w:val="bottom"/>
          </w:tcPr>
          <w:p w14:paraId="1F395E65" w14:textId="77777777" w:rsidR="009A0A63" w:rsidRPr="00792B36" w:rsidRDefault="009A0A63" w:rsidP="00A24459">
            <w:pPr>
              <w:jc w:val="thaiDistribute"/>
              <w:rPr>
                <w:sz w:val="24"/>
                <w:szCs w:val="24"/>
              </w:rPr>
            </w:pPr>
            <w:r w:rsidRPr="00792B36">
              <w:rPr>
                <w:color w:val="000000"/>
                <w:sz w:val="24"/>
                <w:szCs w:val="24"/>
              </w:rPr>
              <w:t>36</w:t>
            </w:r>
          </w:p>
        </w:tc>
        <w:tc>
          <w:tcPr>
            <w:tcW w:w="3068" w:type="dxa"/>
            <w:vAlign w:val="center"/>
          </w:tcPr>
          <w:p w14:paraId="76E71484" w14:textId="77777777" w:rsidR="009A0A63" w:rsidRPr="00792B36" w:rsidRDefault="009A0A63" w:rsidP="00A24459">
            <w:pPr>
              <w:jc w:val="thaiDistribute"/>
              <w:rPr>
                <w:sz w:val="24"/>
                <w:szCs w:val="24"/>
              </w:rPr>
            </w:pPr>
            <w:r w:rsidRPr="00792B36">
              <w:rPr>
                <w:color w:val="000000"/>
                <w:sz w:val="24"/>
                <w:szCs w:val="24"/>
              </w:rPr>
              <w:t>Other shrimps</w:t>
            </w:r>
          </w:p>
        </w:tc>
        <w:tc>
          <w:tcPr>
            <w:tcW w:w="1077" w:type="dxa"/>
            <w:vAlign w:val="center"/>
          </w:tcPr>
          <w:p w14:paraId="1A0B0544" w14:textId="77777777" w:rsidR="009A0A63" w:rsidRPr="00792B36" w:rsidRDefault="009A0A63" w:rsidP="00A24459">
            <w:pPr>
              <w:jc w:val="center"/>
              <w:rPr>
                <w:sz w:val="24"/>
                <w:szCs w:val="24"/>
              </w:rPr>
            </w:pPr>
            <w:r w:rsidRPr="00792B36">
              <w:rPr>
                <w:color w:val="000000"/>
                <w:sz w:val="24"/>
                <w:szCs w:val="24"/>
              </w:rPr>
              <w:t>2.3456</w:t>
            </w:r>
          </w:p>
        </w:tc>
      </w:tr>
      <w:tr w:rsidR="009A0A63" w:rsidRPr="00792B36" w14:paraId="35D54E24" w14:textId="77777777" w:rsidTr="00A24459">
        <w:trPr>
          <w:trHeight w:val="283"/>
        </w:trPr>
        <w:tc>
          <w:tcPr>
            <w:tcW w:w="570" w:type="dxa"/>
            <w:vAlign w:val="bottom"/>
          </w:tcPr>
          <w:p w14:paraId="29077236" w14:textId="77777777" w:rsidR="009A0A63" w:rsidRPr="00792B36" w:rsidRDefault="009A0A63" w:rsidP="00A24459">
            <w:pPr>
              <w:jc w:val="thaiDistribute"/>
              <w:rPr>
                <w:sz w:val="24"/>
                <w:szCs w:val="24"/>
              </w:rPr>
            </w:pPr>
            <w:r w:rsidRPr="00792B36">
              <w:rPr>
                <w:color w:val="000000"/>
                <w:sz w:val="24"/>
                <w:szCs w:val="24"/>
              </w:rPr>
              <w:t>17</w:t>
            </w:r>
          </w:p>
        </w:tc>
        <w:tc>
          <w:tcPr>
            <w:tcW w:w="2408" w:type="dxa"/>
            <w:vAlign w:val="center"/>
          </w:tcPr>
          <w:p w14:paraId="1DB54F9F" w14:textId="77777777" w:rsidR="009A0A63" w:rsidRPr="00792B36" w:rsidRDefault="009A0A63" w:rsidP="00A24459">
            <w:pPr>
              <w:jc w:val="thaiDistribute"/>
              <w:rPr>
                <w:sz w:val="24"/>
                <w:szCs w:val="24"/>
              </w:rPr>
            </w:pPr>
            <w:r w:rsidRPr="00792B36">
              <w:rPr>
                <w:color w:val="000000"/>
                <w:sz w:val="24"/>
                <w:szCs w:val="24"/>
              </w:rPr>
              <w:t>Plectorhynchidae</w:t>
            </w:r>
          </w:p>
        </w:tc>
        <w:tc>
          <w:tcPr>
            <w:tcW w:w="1077" w:type="dxa"/>
            <w:vAlign w:val="center"/>
          </w:tcPr>
          <w:p w14:paraId="4FBC3D9C" w14:textId="77777777" w:rsidR="009A0A63" w:rsidRPr="00792B36" w:rsidRDefault="009A0A63" w:rsidP="00A24459">
            <w:pPr>
              <w:jc w:val="center"/>
              <w:rPr>
                <w:sz w:val="24"/>
                <w:szCs w:val="24"/>
              </w:rPr>
            </w:pPr>
            <w:r w:rsidRPr="00792B36">
              <w:rPr>
                <w:color w:val="000000"/>
                <w:sz w:val="24"/>
                <w:szCs w:val="24"/>
              </w:rPr>
              <w:t>3.1995</w:t>
            </w:r>
          </w:p>
        </w:tc>
        <w:tc>
          <w:tcPr>
            <w:tcW w:w="465" w:type="dxa"/>
          </w:tcPr>
          <w:p w14:paraId="03946204" w14:textId="77777777" w:rsidR="009A0A63" w:rsidRPr="00792B36" w:rsidRDefault="009A0A63" w:rsidP="00A24459">
            <w:pPr>
              <w:jc w:val="thaiDistribute"/>
              <w:rPr>
                <w:sz w:val="24"/>
                <w:szCs w:val="24"/>
              </w:rPr>
            </w:pPr>
          </w:p>
        </w:tc>
        <w:tc>
          <w:tcPr>
            <w:tcW w:w="578" w:type="dxa"/>
            <w:vAlign w:val="bottom"/>
          </w:tcPr>
          <w:p w14:paraId="6E80ECD8" w14:textId="77777777" w:rsidR="009A0A63" w:rsidRPr="00792B36" w:rsidRDefault="009A0A63" w:rsidP="00A24459">
            <w:pPr>
              <w:jc w:val="thaiDistribute"/>
              <w:rPr>
                <w:sz w:val="24"/>
                <w:szCs w:val="24"/>
              </w:rPr>
            </w:pPr>
            <w:r w:rsidRPr="00792B36">
              <w:rPr>
                <w:color w:val="000000"/>
                <w:sz w:val="24"/>
                <w:szCs w:val="24"/>
              </w:rPr>
              <w:t>37</w:t>
            </w:r>
          </w:p>
        </w:tc>
        <w:tc>
          <w:tcPr>
            <w:tcW w:w="3068" w:type="dxa"/>
            <w:vAlign w:val="center"/>
          </w:tcPr>
          <w:p w14:paraId="630B1FEA" w14:textId="77777777" w:rsidR="009A0A63" w:rsidRPr="00792B36" w:rsidRDefault="009A0A63" w:rsidP="00A24459">
            <w:pPr>
              <w:jc w:val="thaiDistribute"/>
              <w:rPr>
                <w:sz w:val="24"/>
                <w:szCs w:val="24"/>
              </w:rPr>
            </w:pPr>
            <w:r w:rsidRPr="00792B36">
              <w:rPr>
                <w:color w:val="000000"/>
                <w:sz w:val="24"/>
                <w:szCs w:val="24"/>
              </w:rPr>
              <w:t>Blue swimming crab</w:t>
            </w:r>
          </w:p>
        </w:tc>
        <w:tc>
          <w:tcPr>
            <w:tcW w:w="1077" w:type="dxa"/>
            <w:vAlign w:val="center"/>
          </w:tcPr>
          <w:p w14:paraId="3CD4412E" w14:textId="77777777" w:rsidR="009A0A63" w:rsidRPr="00792B36" w:rsidRDefault="009A0A63" w:rsidP="00A24459">
            <w:pPr>
              <w:jc w:val="center"/>
              <w:rPr>
                <w:sz w:val="24"/>
                <w:szCs w:val="24"/>
              </w:rPr>
            </w:pPr>
            <w:r w:rsidRPr="00792B36">
              <w:rPr>
                <w:color w:val="000000"/>
                <w:sz w:val="24"/>
                <w:szCs w:val="24"/>
              </w:rPr>
              <w:t>2.6159</w:t>
            </w:r>
          </w:p>
        </w:tc>
      </w:tr>
      <w:tr w:rsidR="009A0A63" w:rsidRPr="00792B36" w14:paraId="2C88A24A" w14:textId="77777777" w:rsidTr="00A24459">
        <w:trPr>
          <w:trHeight w:val="283"/>
        </w:trPr>
        <w:tc>
          <w:tcPr>
            <w:tcW w:w="570" w:type="dxa"/>
            <w:vAlign w:val="bottom"/>
          </w:tcPr>
          <w:p w14:paraId="5323790B" w14:textId="77777777" w:rsidR="009A0A63" w:rsidRPr="00792B36" w:rsidRDefault="009A0A63" w:rsidP="00A24459">
            <w:pPr>
              <w:jc w:val="thaiDistribute"/>
              <w:rPr>
                <w:sz w:val="24"/>
                <w:szCs w:val="24"/>
              </w:rPr>
            </w:pPr>
            <w:r w:rsidRPr="00792B36">
              <w:rPr>
                <w:color w:val="000000"/>
                <w:sz w:val="24"/>
                <w:szCs w:val="24"/>
              </w:rPr>
              <w:t>18</w:t>
            </w:r>
          </w:p>
        </w:tc>
        <w:tc>
          <w:tcPr>
            <w:tcW w:w="2408" w:type="dxa"/>
            <w:vAlign w:val="center"/>
          </w:tcPr>
          <w:p w14:paraId="12E77D28" w14:textId="77777777" w:rsidR="009A0A63" w:rsidRPr="00792B36" w:rsidRDefault="009A0A63" w:rsidP="00A24459">
            <w:pPr>
              <w:jc w:val="thaiDistribute"/>
              <w:rPr>
                <w:sz w:val="24"/>
                <w:szCs w:val="24"/>
              </w:rPr>
            </w:pPr>
            <w:r w:rsidRPr="00792B36">
              <w:rPr>
                <w:i/>
                <w:iCs/>
                <w:color w:val="000000"/>
                <w:sz w:val="24"/>
                <w:szCs w:val="24"/>
              </w:rPr>
              <w:t>Priacanthus</w:t>
            </w:r>
            <w:r w:rsidRPr="00792B36">
              <w:rPr>
                <w:color w:val="000000"/>
                <w:sz w:val="24"/>
                <w:szCs w:val="24"/>
              </w:rPr>
              <w:t xml:space="preserve"> spp.</w:t>
            </w:r>
          </w:p>
        </w:tc>
        <w:tc>
          <w:tcPr>
            <w:tcW w:w="1077" w:type="dxa"/>
            <w:vAlign w:val="center"/>
          </w:tcPr>
          <w:p w14:paraId="55B9190F" w14:textId="77777777" w:rsidR="009A0A63" w:rsidRPr="00792B36" w:rsidRDefault="009A0A63" w:rsidP="00A24459">
            <w:pPr>
              <w:jc w:val="center"/>
              <w:rPr>
                <w:sz w:val="24"/>
                <w:szCs w:val="24"/>
              </w:rPr>
            </w:pPr>
            <w:r w:rsidRPr="00792B36">
              <w:rPr>
                <w:color w:val="000000"/>
                <w:sz w:val="24"/>
                <w:szCs w:val="24"/>
              </w:rPr>
              <w:t>3.3459</w:t>
            </w:r>
          </w:p>
        </w:tc>
        <w:tc>
          <w:tcPr>
            <w:tcW w:w="465" w:type="dxa"/>
          </w:tcPr>
          <w:p w14:paraId="390330C3" w14:textId="77777777" w:rsidR="009A0A63" w:rsidRPr="00792B36" w:rsidRDefault="009A0A63" w:rsidP="00A24459">
            <w:pPr>
              <w:jc w:val="thaiDistribute"/>
              <w:rPr>
                <w:sz w:val="24"/>
                <w:szCs w:val="24"/>
              </w:rPr>
            </w:pPr>
          </w:p>
        </w:tc>
        <w:tc>
          <w:tcPr>
            <w:tcW w:w="578" w:type="dxa"/>
            <w:vAlign w:val="bottom"/>
          </w:tcPr>
          <w:p w14:paraId="4A727A49" w14:textId="77777777" w:rsidR="009A0A63" w:rsidRPr="00792B36" w:rsidRDefault="009A0A63" w:rsidP="00A24459">
            <w:pPr>
              <w:jc w:val="thaiDistribute"/>
              <w:rPr>
                <w:sz w:val="24"/>
                <w:szCs w:val="24"/>
              </w:rPr>
            </w:pPr>
            <w:r w:rsidRPr="00792B36">
              <w:rPr>
                <w:color w:val="000000"/>
                <w:sz w:val="24"/>
                <w:szCs w:val="24"/>
              </w:rPr>
              <w:t>38</w:t>
            </w:r>
          </w:p>
        </w:tc>
        <w:tc>
          <w:tcPr>
            <w:tcW w:w="3068" w:type="dxa"/>
            <w:vAlign w:val="center"/>
          </w:tcPr>
          <w:p w14:paraId="24CA2D5F" w14:textId="77777777" w:rsidR="009A0A63" w:rsidRPr="00792B36" w:rsidRDefault="009A0A63" w:rsidP="00A24459">
            <w:pPr>
              <w:jc w:val="thaiDistribute"/>
              <w:rPr>
                <w:sz w:val="24"/>
                <w:szCs w:val="24"/>
              </w:rPr>
            </w:pPr>
            <w:r w:rsidRPr="00792B36">
              <w:rPr>
                <w:color w:val="000000"/>
                <w:sz w:val="24"/>
                <w:szCs w:val="24"/>
              </w:rPr>
              <w:t>Other crustaceans</w:t>
            </w:r>
          </w:p>
        </w:tc>
        <w:tc>
          <w:tcPr>
            <w:tcW w:w="1077" w:type="dxa"/>
            <w:vAlign w:val="center"/>
          </w:tcPr>
          <w:p w14:paraId="7B3B49BC" w14:textId="77777777" w:rsidR="009A0A63" w:rsidRPr="00792B36" w:rsidRDefault="009A0A63" w:rsidP="00A24459">
            <w:pPr>
              <w:jc w:val="center"/>
              <w:rPr>
                <w:sz w:val="24"/>
                <w:szCs w:val="24"/>
              </w:rPr>
            </w:pPr>
            <w:r w:rsidRPr="00792B36">
              <w:rPr>
                <w:color w:val="000000"/>
                <w:sz w:val="24"/>
                <w:szCs w:val="24"/>
              </w:rPr>
              <w:t>2.6159</w:t>
            </w:r>
          </w:p>
        </w:tc>
      </w:tr>
      <w:tr w:rsidR="009A0A63" w:rsidRPr="00792B36" w14:paraId="299C2CF7" w14:textId="77777777" w:rsidTr="00A24459">
        <w:trPr>
          <w:trHeight w:val="283"/>
        </w:trPr>
        <w:tc>
          <w:tcPr>
            <w:tcW w:w="570" w:type="dxa"/>
            <w:vAlign w:val="bottom"/>
          </w:tcPr>
          <w:p w14:paraId="10C6C76E" w14:textId="77777777" w:rsidR="009A0A63" w:rsidRPr="00792B36" w:rsidRDefault="009A0A63" w:rsidP="00A24459">
            <w:pPr>
              <w:jc w:val="thaiDistribute"/>
              <w:rPr>
                <w:sz w:val="24"/>
                <w:szCs w:val="24"/>
              </w:rPr>
            </w:pPr>
            <w:r w:rsidRPr="00792B36">
              <w:rPr>
                <w:color w:val="000000"/>
                <w:sz w:val="24"/>
                <w:szCs w:val="24"/>
              </w:rPr>
              <w:t>19</w:t>
            </w:r>
          </w:p>
        </w:tc>
        <w:tc>
          <w:tcPr>
            <w:tcW w:w="2408" w:type="dxa"/>
            <w:vAlign w:val="center"/>
          </w:tcPr>
          <w:p w14:paraId="34DD7292" w14:textId="77777777" w:rsidR="009A0A63" w:rsidRPr="00792B36" w:rsidRDefault="009A0A63" w:rsidP="00A24459">
            <w:pPr>
              <w:jc w:val="thaiDistribute"/>
              <w:rPr>
                <w:sz w:val="24"/>
                <w:szCs w:val="24"/>
              </w:rPr>
            </w:pPr>
            <w:r w:rsidRPr="00792B36">
              <w:rPr>
                <w:color w:val="000000"/>
                <w:sz w:val="24"/>
                <w:szCs w:val="24"/>
              </w:rPr>
              <w:t>Sillago</w:t>
            </w:r>
          </w:p>
        </w:tc>
        <w:tc>
          <w:tcPr>
            <w:tcW w:w="1077" w:type="dxa"/>
            <w:vAlign w:val="center"/>
          </w:tcPr>
          <w:p w14:paraId="2E8119F1" w14:textId="77777777" w:rsidR="009A0A63" w:rsidRPr="00792B36" w:rsidRDefault="009A0A63" w:rsidP="00A24459">
            <w:pPr>
              <w:jc w:val="center"/>
              <w:rPr>
                <w:sz w:val="24"/>
                <w:szCs w:val="24"/>
              </w:rPr>
            </w:pPr>
            <w:r w:rsidRPr="00792B36">
              <w:rPr>
                <w:color w:val="000000"/>
                <w:sz w:val="24"/>
                <w:szCs w:val="24"/>
              </w:rPr>
              <w:t>3.2726</w:t>
            </w:r>
          </w:p>
        </w:tc>
        <w:tc>
          <w:tcPr>
            <w:tcW w:w="465" w:type="dxa"/>
          </w:tcPr>
          <w:p w14:paraId="29CCF04B" w14:textId="77777777" w:rsidR="009A0A63" w:rsidRPr="00792B36" w:rsidRDefault="009A0A63" w:rsidP="00A24459">
            <w:pPr>
              <w:jc w:val="thaiDistribute"/>
              <w:rPr>
                <w:sz w:val="24"/>
                <w:szCs w:val="24"/>
              </w:rPr>
            </w:pPr>
          </w:p>
        </w:tc>
        <w:tc>
          <w:tcPr>
            <w:tcW w:w="578" w:type="dxa"/>
            <w:tcBorders>
              <w:bottom w:val="single" w:sz="4" w:space="0" w:color="auto"/>
            </w:tcBorders>
            <w:vAlign w:val="bottom"/>
          </w:tcPr>
          <w:p w14:paraId="362B3A80" w14:textId="77777777" w:rsidR="009A0A63" w:rsidRPr="00792B36" w:rsidRDefault="009A0A63" w:rsidP="00A24459">
            <w:pPr>
              <w:jc w:val="thaiDistribute"/>
              <w:rPr>
                <w:sz w:val="24"/>
                <w:szCs w:val="24"/>
              </w:rPr>
            </w:pPr>
            <w:r w:rsidRPr="00792B36">
              <w:rPr>
                <w:color w:val="000000"/>
                <w:sz w:val="24"/>
                <w:szCs w:val="24"/>
              </w:rPr>
              <w:t>39</w:t>
            </w:r>
          </w:p>
        </w:tc>
        <w:tc>
          <w:tcPr>
            <w:tcW w:w="3068" w:type="dxa"/>
            <w:tcBorders>
              <w:bottom w:val="single" w:sz="4" w:space="0" w:color="auto"/>
            </w:tcBorders>
            <w:vAlign w:val="center"/>
          </w:tcPr>
          <w:p w14:paraId="336FFE64" w14:textId="77777777" w:rsidR="009A0A63" w:rsidRPr="00792B36" w:rsidRDefault="009A0A63" w:rsidP="00A24459">
            <w:pPr>
              <w:jc w:val="thaiDistribute"/>
              <w:rPr>
                <w:sz w:val="24"/>
                <w:szCs w:val="24"/>
              </w:rPr>
            </w:pPr>
            <w:r w:rsidRPr="00792B36">
              <w:rPr>
                <w:color w:val="000000"/>
                <w:sz w:val="24"/>
                <w:szCs w:val="24"/>
              </w:rPr>
              <w:t>Shellfish</w:t>
            </w:r>
          </w:p>
        </w:tc>
        <w:tc>
          <w:tcPr>
            <w:tcW w:w="1077" w:type="dxa"/>
            <w:tcBorders>
              <w:bottom w:val="single" w:sz="4" w:space="0" w:color="auto"/>
            </w:tcBorders>
            <w:vAlign w:val="center"/>
          </w:tcPr>
          <w:p w14:paraId="6A7F1D83" w14:textId="77777777" w:rsidR="009A0A63" w:rsidRPr="00792B36" w:rsidRDefault="009A0A63" w:rsidP="00A24459">
            <w:pPr>
              <w:jc w:val="center"/>
              <w:rPr>
                <w:sz w:val="24"/>
                <w:szCs w:val="24"/>
              </w:rPr>
            </w:pPr>
            <w:r w:rsidRPr="00792B36">
              <w:rPr>
                <w:color w:val="000000"/>
                <w:sz w:val="24"/>
                <w:szCs w:val="24"/>
              </w:rPr>
              <w:t>2.1994</w:t>
            </w:r>
          </w:p>
        </w:tc>
      </w:tr>
      <w:tr w:rsidR="009A0A63" w:rsidRPr="00792B36" w14:paraId="03BC6820" w14:textId="77777777" w:rsidTr="00A24459">
        <w:trPr>
          <w:trHeight w:val="283"/>
        </w:trPr>
        <w:tc>
          <w:tcPr>
            <w:tcW w:w="570" w:type="dxa"/>
            <w:tcBorders>
              <w:bottom w:val="single" w:sz="4" w:space="0" w:color="auto"/>
            </w:tcBorders>
            <w:vAlign w:val="bottom"/>
          </w:tcPr>
          <w:p w14:paraId="6775DBAA" w14:textId="77777777" w:rsidR="009A0A63" w:rsidRPr="00792B36" w:rsidRDefault="009A0A63" w:rsidP="00A24459">
            <w:pPr>
              <w:jc w:val="thaiDistribute"/>
              <w:rPr>
                <w:color w:val="000000"/>
                <w:sz w:val="24"/>
                <w:szCs w:val="24"/>
              </w:rPr>
            </w:pPr>
            <w:r w:rsidRPr="00792B36">
              <w:rPr>
                <w:color w:val="000000"/>
                <w:sz w:val="24"/>
                <w:szCs w:val="24"/>
              </w:rPr>
              <w:t>20</w:t>
            </w:r>
          </w:p>
        </w:tc>
        <w:tc>
          <w:tcPr>
            <w:tcW w:w="2408" w:type="dxa"/>
            <w:tcBorders>
              <w:bottom w:val="single" w:sz="4" w:space="0" w:color="auto"/>
            </w:tcBorders>
            <w:vAlign w:val="center"/>
          </w:tcPr>
          <w:p w14:paraId="2F790417" w14:textId="77777777" w:rsidR="009A0A63" w:rsidRPr="00792B36" w:rsidRDefault="009A0A63" w:rsidP="00A24459">
            <w:pPr>
              <w:jc w:val="thaiDistribute"/>
              <w:rPr>
                <w:sz w:val="24"/>
                <w:szCs w:val="24"/>
              </w:rPr>
            </w:pPr>
            <w:r w:rsidRPr="00792B36">
              <w:rPr>
                <w:color w:val="000000"/>
                <w:sz w:val="24"/>
                <w:szCs w:val="24"/>
              </w:rPr>
              <w:t>Adult Nemipterus</w:t>
            </w:r>
          </w:p>
        </w:tc>
        <w:tc>
          <w:tcPr>
            <w:tcW w:w="1077" w:type="dxa"/>
            <w:tcBorders>
              <w:bottom w:val="single" w:sz="4" w:space="0" w:color="auto"/>
            </w:tcBorders>
            <w:vAlign w:val="center"/>
          </w:tcPr>
          <w:p w14:paraId="509EBF72" w14:textId="77777777" w:rsidR="009A0A63" w:rsidRPr="00792B36" w:rsidRDefault="009A0A63" w:rsidP="00A24459">
            <w:pPr>
              <w:jc w:val="center"/>
              <w:rPr>
                <w:sz w:val="24"/>
                <w:szCs w:val="24"/>
              </w:rPr>
            </w:pPr>
            <w:r w:rsidRPr="00792B36">
              <w:rPr>
                <w:color w:val="000000"/>
                <w:sz w:val="24"/>
                <w:szCs w:val="24"/>
              </w:rPr>
              <w:t>3.0759</w:t>
            </w:r>
          </w:p>
        </w:tc>
        <w:tc>
          <w:tcPr>
            <w:tcW w:w="465" w:type="dxa"/>
          </w:tcPr>
          <w:p w14:paraId="75235120" w14:textId="77777777" w:rsidR="009A0A63" w:rsidRPr="00792B36" w:rsidRDefault="009A0A63" w:rsidP="00A24459">
            <w:pPr>
              <w:jc w:val="thaiDistribute"/>
              <w:rPr>
                <w:sz w:val="24"/>
                <w:szCs w:val="24"/>
              </w:rPr>
            </w:pPr>
          </w:p>
        </w:tc>
        <w:tc>
          <w:tcPr>
            <w:tcW w:w="578" w:type="dxa"/>
            <w:tcBorders>
              <w:top w:val="single" w:sz="4" w:space="0" w:color="auto"/>
            </w:tcBorders>
          </w:tcPr>
          <w:p w14:paraId="66EC3B39" w14:textId="77777777" w:rsidR="009A0A63" w:rsidRPr="00792B36" w:rsidRDefault="009A0A63" w:rsidP="00A24459">
            <w:pPr>
              <w:jc w:val="thaiDistribute"/>
              <w:rPr>
                <w:sz w:val="24"/>
                <w:szCs w:val="24"/>
              </w:rPr>
            </w:pPr>
          </w:p>
        </w:tc>
        <w:tc>
          <w:tcPr>
            <w:tcW w:w="3068" w:type="dxa"/>
            <w:tcBorders>
              <w:top w:val="single" w:sz="4" w:space="0" w:color="auto"/>
            </w:tcBorders>
          </w:tcPr>
          <w:p w14:paraId="0FA8EAA1" w14:textId="77777777" w:rsidR="009A0A63" w:rsidRPr="00792B36" w:rsidRDefault="009A0A63" w:rsidP="00A24459">
            <w:pPr>
              <w:jc w:val="thaiDistribute"/>
              <w:rPr>
                <w:sz w:val="24"/>
                <w:szCs w:val="24"/>
              </w:rPr>
            </w:pPr>
          </w:p>
        </w:tc>
        <w:tc>
          <w:tcPr>
            <w:tcW w:w="1077" w:type="dxa"/>
            <w:tcBorders>
              <w:top w:val="single" w:sz="4" w:space="0" w:color="auto"/>
            </w:tcBorders>
          </w:tcPr>
          <w:p w14:paraId="5E3DCBB3" w14:textId="77777777" w:rsidR="009A0A63" w:rsidRPr="00792B36" w:rsidRDefault="009A0A63" w:rsidP="00A24459">
            <w:pPr>
              <w:jc w:val="thaiDistribute"/>
              <w:rPr>
                <w:sz w:val="24"/>
                <w:szCs w:val="24"/>
              </w:rPr>
            </w:pPr>
          </w:p>
        </w:tc>
      </w:tr>
    </w:tbl>
    <w:p w14:paraId="6DF33BC9" w14:textId="77777777" w:rsidR="009A0A63" w:rsidRPr="00792B36" w:rsidRDefault="009A0A63" w:rsidP="009A0A63">
      <w:pPr>
        <w:rPr>
          <w:sz w:val="24"/>
          <w:szCs w:val="24"/>
        </w:rPr>
      </w:pPr>
    </w:p>
    <w:p w14:paraId="274975A6" w14:textId="77777777" w:rsidR="009A0A63" w:rsidRPr="00792B36" w:rsidRDefault="009A0A63" w:rsidP="009A0A63">
      <w:pPr>
        <w:rPr>
          <w:sz w:val="24"/>
          <w:szCs w:val="24"/>
        </w:rPr>
      </w:pPr>
    </w:p>
    <w:p w14:paraId="48331CDF" w14:textId="77777777" w:rsidR="009A0A63" w:rsidRPr="00792B36" w:rsidRDefault="009A0A63" w:rsidP="009A0A63">
      <w:pPr>
        <w:rPr>
          <w:sz w:val="24"/>
          <w:szCs w:val="24"/>
        </w:rPr>
      </w:pPr>
    </w:p>
    <w:p w14:paraId="6BE7805C" w14:textId="77777777" w:rsidR="009A0A63" w:rsidRPr="00792B36" w:rsidRDefault="009A0A63" w:rsidP="009A0A63">
      <w:pPr>
        <w:rPr>
          <w:sz w:val="24"/>
          <w:szCs w:val="24"/>
        </w:rPr>
      </w:pPr>
    </w:p>
    <w:p w14:paraId="2B343219" w14:textId="77777777" w:rsidR="009A0A63" w:rsidRPr="00792B36" w:rsidRDefault="009A0A63" w:rsidP="009A0A63">
      <w:pPr>
        <w:rPr>
          <w:b/>
          <w:bCs/>
          <w:sz w:val="24"/>
          <w:szCs w:val="24"/>
        </w:rPr>
      </w:pPr>
      <w:r w:rsidRPr="00792B36">
        <w:rPr>
          <w:sz w:val="24"/>
          <w:szCs w:val="24"/>
        </w:rPr>
        <w:br w:type="page"/>
      </w:r>
    </w:p>
    <w:tbl>
      <w:tblPr>
        <w:tblStyle w:val="TableGrid"/>
        <w:tblW w:w="9503" w:type="dxa"/>
        <w:tblInd w:w="-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377"/>
        <w:gridCol w:w="8126"/>
      </w:tblGrid>
      <w:tr w:rsidR="009A0A63" w:rsidRPr="00792B36" w14:paraId="1943B5F3" w14:textId="77777777" w:rsidTr="00A24459">
        <w:tc>
          <w:tcPr>
            <w:tcW w:w="1377" w:type="dxa"/>
          </w:tcPr>
          <w:p w14:paraId="0C72B97C" w14:textId="77777777" w:rsidR="009A0A63" w:rsidRPr="00792B36" w:rsidRDefault="009A0A63" w:rsidP="00A24459">
            <w:pPr>
              <w:ind w:hanging="70"/>
              <w:rPr>
                <w:sz w:val="24"/>
                <w:szCs w:val="24"/>
              </w:rPr>
            </w:pPr>
            <w:r w:rsidRPr="00792B36">
              <w:rPr>
                <w:b/>
                <w:bCs/>
                <w:sz w:val="24"/>
                <w:szCs w:val="24"/>
              </w:rPr>
              <w:lastRenderedPageBreak/>
              <w:t>Appendix A</w:t>
            </w:r>
          </w:p>
        </w:tc>
        <w:tc>
          <w:tcPr>
            <w:tcW w:w="8126" w:type="dxa"/>
          </w:tcPr>
          <w:p w14:paraId="284279B4" w14:textId="77777777" w:rsidR="009A0A63" w:rsidRPr="00792B36" w:rsidRDefault="009A0A63" w:rsidP="00A24459">
            <w:pPr>
              <w:ind w:left="-44"/>
              <w:jc w:val="thaiDistribute"/>
              <w:rPr>
                <w:sz w:val="24"/>
                <w:szCs w:val="24"/>
              </w:rPr>
            </w:pPr>
            <w:r w:rsidRPr="00792B36">
              <w:rPr>
                <w:sz w:val="24"/>
                <w:szCs w:val="24"/>
              </w:rPr>
              <w:t>Maximum Sustainable Yield (MSY) and fishing effort assessment using Fox surplus production model</w:t>
            </w:r>
          </w:p>
        </w:tc>
      </w:tr>
    </w:tbl>
    <w:p w14:paraId="55A7F0A9" w14:textId="77777777" w:rsidR="009A0A63" w:rsidRPr="00792B36" w:rsidRDefault="009A0A63" w:rsidP="009A0A63">
      <w:pPr>
        <w:ind w:firstLine="720"/>
        <w:jc w:val="thaiDistribute"/>
        <w:rPr>
          <w:sz w:val="24"/>
          <w:szCs w:val="24"/>
        </w:rPr>
      </w:pPr>
    </w:p>
    <w:p w14:paraId="26C864E1" w14:textId="77777777" w:rsidR="009A0A63" w:rsidRPr="00792B36" w:rsidRDefault="009A0A63" w:rsidP="009A0A63">
      <w:pPr>
        <w:ind w:firstLine="720"/>
        <w:jc w:val="thaiDistribute"/>
        <w:rPr>
          <w:sz w:val="24"/>
          <w:szCs w:val="24"/>
        </w:rPr>
      </w:pPr>
      <w:r w:rsidRPr="00792B36">
        <w:rPr>
          <w:sz w:val="24"/>
          <w:szCs w:val="24"/>
        </w:rPr>
        <w:t>Fox surplus production model is used to calculate MSY in Thai waters. The model requires statistical data and information on catch, fishing effort, and catch per unit effort (CPUE). The catch data are collected from the main fishing gears used to catch each species group as shown in Table A.1.</w:t>
      </w:r>
    </w:p>
    <w:p w14:paraId="70D2CB46" w14:textId="77777777" w:rsidR="009A0A63" w:rsidRPr="00792B36" w:rsidRDefault="009A0A63" w:rsidP="009A0A63">
      <w:pPr>
        <w:ind w:firstLine="720"/>
        <w:jc w:val="thaiDistribute"/>
        <w:rPr>
          <w:sz w:val="24"/>
          <w:szCs w:val="24"/>
        </w:rPr>
      </w:pPr>
    </w:p>
    <w:p w14:paraId="61CD3DD4" w14:textId="77777777" w:rsidR="009A0A63" w:rsidRPr="00792B36" w:rsidRDefault="009A0A63" w:rsidP="009A0A63">
      <w:pPr>
        <w:ind w:left="826" w:hanging="826"/>
        <w:jc w:val="thaiDistribute"/>
        <w:rPr>
          <w:b/>
          <w:bCs/>
          <w:sz w:val="24"/>
          <w:szCs w:val="24"/>
        </w:rPr>
      </w:pPr>
      <w:r w:rsidRPr="00792B36">
        <w:rPr>
          <w:b/>
          <w:bCs/>
          <w:sz w:val="24"/>
          <w:szCs w:val="24"/>
        </w:rPr>
        <w:t>Table A.1</w:t>
      </w:r>
      <w:r w:rsidRPr="00792B36">
        <w:rPr>
          <w:sz w:val="24"/>
          <w:szCs w:val="24"/>
        </w:rPr>
        <w:t xml:space="preserve"> Main fishing gears of each group of species in the Gulf of Thailand. The catches from the main fishing gears are used for MSY assessment for each group of species.</w:t>
      </w:r>
      <w:r w:rsidRPr="00792B36">
        <w:rPr>
          <w:b/>
          <w:bCs/>
          <w:sz w:val="24"/>
          <w:szCs w:val="24"/>
        </w:rPr>
        <w:t xml:space="preserve"> </w:t>
      </w:r>
    </w:p>
    <w:p w14:paraId="19C9E288" w14:textId="77777777" w:rsidR="009A0A63" w:rsidRPr="00792B36" w:rsidRDefault="009A0A63" w:rsidP="009A0A63">
      <w:pPr>
        <w:jc w:val="thaiDistribute"/>
        <w:rPr>
          <w:b/>
          <w:bCs/>
          <w:sz w:val="24"/>
          <w:szCs w:val="24"/>
        </w:rPr>
      </w:pPr>
    </w:p>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39"/>
        <w:gridCol w:w="5894"/>
      </w:tblGrid>
      <w:tr w:rsidR="009A0A63" w:rsidRPr="00792B36" w14:paraId="0EE1C324" w14:textId="77777777" w:rsidTr="00A24459">
        <w:trPr>
          <w:tblHeader/>
          <w:jc w:val="center"/>
        </w:trPr>
        <w:tc>
          <w:tcPr>
            <w:tcW w:w="2039" w:type="dxa"/>
            <w:tcBorders>
              <w:top w:val="single" w:sz="4" w:space="0" w:color="auto"/>
              <w:bottom w:val="single" w:sz="4" w:space="0" w:color="auto"/>
            </w:tcBorders>
          </w:tcPr>
          <w:p w14:paraId="71044030" w14:textId="77777777" w:rsidR="009A0A63" w:rsidRPr="00792B36" w:rsidRDefault="009A0A63" w:rsidP="00A24459">
            <w:pPr>
              <w:jc w:val="center"/>
              <w:rPr>
                <w:sz w:val="24"/>
                <w:szCs w:val="24"/>
              </w:rPr>
            </w:pPr>
            <w:r w:rsidRPr="00792B36">
              <w:rPr>
                <w:rFonts w:eastAsia="Calibri"/>
                <w:b/>
                <w:bCs/>
                <w:kern w:val="24"/>
                <w:sz w:val="24"/>
                <w:szCs w:val="24"/>
              </w:rPr>
              <w:t>Species group</w:t>
            </w:r>
          </w:p>
        </w:tc>
        <w:tc>
          <w:tcPr>
            <w:tcW w:w="5894" w:type="dxa"/>
            <w:tcBorders>
              <w:top w:val="single" w:sz="4" w:space="0" w:color="auto"/>
              <w:bottom w:val="single" w:sz="4" w:space="0" w:color="auto"/>
            </w:tcBorders>
          </w:tcPr>
          <w:p w14:paraId="4B1F67E6" w14:textId="77777777" w:rsidR="009A0A63" w:rsidRPr="00792B36" w:rsidRDefault="009A0A63" w:rsidP="00A24459">
            <w:pPr>
              <w:jc w:val="center"/>
              <w:rPr>
                <w:sz w:val="24"/>
                <w:szCs w:val="24"/>
              </w:rPr>
            </w:pPr>
            <w:r w:rsidRPr="00792B36">
              <w:rPr>
                <w:rFonts w:eastAsia="Calibri"/>
                <w:b/>
                <w:bCs/>
                <w:kern w:val="24"/>
                <w:sz w:val="24"/>
                <w:szCs w:val="24"/>
              </w:rPr>
              <w:t>Main fishing gear</w:t>
            </w:r>
          </w:p>
        </w:tc>
      </w:tr>
      <w:tr w:rsidR="009A0A63" w:rsidRPr="00792B36" w14:paraId="1BB5BD65" w14:textId="77777777" w:rsidTr="00A24459">
        <w:trPr>
          <w:trHeight w:val="2447"/>
          <w:jc w:val="center"/>
        </w:trPr>
        <w:tc>
          <w:tcPr>
            <w:tcW w:w="2039" w:type="dxa"/>
            <w:tcBorders>
              <w:top w:val="single" w:sz="4" w:space="0" w:color="auto"/>
              <w:bottom w:val="single" w:sz="4" w:space="0" w:color="auto"/>
            </w:tcBorders>
          </w:tcPr>
          <w:p w14:paraId="0607F4BA" w14:textId="77777777" w:rsidR="009A0A63" w:rsidRPr="00792B36" w:rsidRDefault="009A0A63" w:rsidP="00A24459">
            <w:pPr>
              <w:rPr>
                <w:sz w:val="24"/>
                <w:szCs w:val="24"/>
              </w:rPr>
            </w:pPr>
            <w:r w:rsidRPr="00792B36">
              <w:rPr>
                <w:rFonts w:eastAsia="Calibri"/>
                <w:kern w:val="24"/>
                <w:sz w:val="24"/>
                <w:szCs w:val="24"/>
              </w:rPr>
              <w:t>Demersal species</w:t>
            </w:r>
          </w:p>
        </w:tc>
        <w:tc>
          <w:tcPr>
            <w:tcW w:w="5894" w:type="dxa"/>
            <w:tcBorders>
              <w:top w:val="single" w:sz="4" w:space="0" w:color="auto"/>
              <w:bottom w:val="single" w:sz="4" w:space="0" w:color="auto"/>
            </w:tcBorders>
          </w:tcPr>
          <w:p w14:paraId="7A444355" w14:textId="77777777" w:rsidR="009A0A63" w:rsidRPr="00792B36" w:rsidRDefault="009A0A63" w:rsidP="00A24459">
            <w:pPr>
              <w:pStyle w:val="NormalWeb"/>
              <w:spacing w:before="0" w:beforeAutospacing="0" w:after="0" w:afterAutospacing="0"/>
              <w:rPr>
                <w:rFonts w:ascii="Arial" w:hAnsi="Arial" w:cs="Arial"/>
              </w:rPr>
            </w:pPr>
            <w:r w:rsidRPr="00792B36">
              <w:rPr>
                <w:rFonts w:ascii="Arial" w:eastAsia="Calibri" w:hAnsi="Arial" w:cs="Arial"/>
                <w:kern w:val="24"/>
                <w:lang w:val="en-GB"/>
              </w:rPr>
              <w:t xml:space="preserve">- Pair trawl </w:t>
            </w:r>
          </w:p>
          <w:p w14:paraId="27D803D3" w14:textId="77777777" w:rsidR="009A0A63" w:rsidRPr="00792B36" w:rsidRDefault="009A0A63" w:rsidP="00A24459">
            <w:pPr>
              <w:pStyle w:val="NormalWeb"/>
              <w:spacing w:before="0" w:beforeAutospacing="0" w:after="0" w:afterAutospacing="0"/>
              <w:rPr>
                <w:rFonts w:ascii="Arial" w:eastAsia="Calibri" w:hAnsi="Arial" w:cs="Arial"/>
                <w:kern w:val="24"/>
                <w:lang w:val="en-GB"/>
              </w:rPr>
            </w:pPr>
            <w:r w:rsidRPr="00792B36">
              <w:rPr>
                <w:rFonts w:ascii="Arial" w:eastAsia="Calibri" w:hAnsi="Arial" w:cs="Arial"/>
                <w:kern w:val="24"/>
                <w:lang w:val="en-GB"/>
              </w:rPr>
              <w:t>- Otter board trawl</w:t>
            </w:r>
          </w:p>
          <w:p w14:paraId="2517775E" w14:textId="77777777" w:rsidR="009A0A63" w:rsidRPr="00792B36" w:rsidRDefault="009A0A63" w:rsidP="00A24459">
            <w:pPr>
              <w:pStyle w:val="NormalWeb"/>
              <w:spacing w:before="0" w:beforeAutospacing="0" w:after="0" w:afterAutospacing="0"/>
              <w:rPr>
                <w:rFonts w:ascii="Arial" w:eastAsia="Calibri" w:hAnsi="Arial" w:cs="Arial"/>
                <w:kern w:val="24"/>
                <w:lang w:val="en-GB"/>
              </w:rPr>
            </w:pPr>
            <w:r w:rsidRPr="00792B36">
              <w:rPr>
                <w:rFonts w:ascii="Arial" w:eastAsia="Calibri" w:hAnsi="Arial" w:cs="Arial"/>
                <w:kern w:val="24"/>
                <w:lang w:val="en-GB"/>
              </w:rPr>
              <w:t>- Beam trawl</w:t>
            </w:r>
          </w:p>
          <w:p w14:paraId="104B1017" w14:textId="77777777" w:rsidR="009A0A63" w:rsidRPr="00792B36" w:rsidRDefault="009A0A63" w:rsidP="00A24459">
            <w:pPr>
              <w:pStyle w:val="NormalWeb"/>
              <w:spacing w:before="0" w:beforeAutospacing="0" w:after="0" w:afterAutospacing="0"/>
              <w:rPr>
                <w:rFonts w:ascii="Arial" w:hAnsi="Arial" w:cs="Arial"/>
              </w:rPr>
            </w:pPr>
            <w:r w:rsidRPr="00792B36">
              <w:rPr>
                <w:rFonts w:ascii="Arial" w:eastAsia="Calibri" w:hAnsi="Arial" w:cs="Arial"/>
                <w:kern w:val="24"/>
                <w:lang w:val="en-GB"/>
              </w:rPr>
              <w:t xml:space="preserve">- Traps (fish trap, crab trap, squid trap, octopus trap) </w:t>
            </w:r>
          </w:p>
          <w:p w14:paraId="2AB50C03" w14:textId="77777777" w:rsidR="009A0A63" w:rsidRPr="00792B36" w:rsidRDefault="009A0A63" w:rsidP="00A24459">
            <w:pPr>
              <w:pStyle w:val="NormalWeb"/>
              <w:spacing w:before="0" w:beforeAutospacing="0" w:after="0" w:afterAutospacing="0"/>
              <w:rPr>
                <w:rFonts w:ascii="Arial" w:hAnsi="Arial" w:cs="Arial"/>
              </w:rPr>
            </w:pPr>
            <w:r w:rsidRPr="00792B36">
              <w:rPr>
                <w:rFonts w:ascii="Arial" w:eastAsia="Calibri" w:hAnsi="Arial" w:cs="Arial"/>
                <w:kern w:val="24"/>
                <w:cs/>
              </w:rPr>
              <w:t xml:space="preserve">- </w:t>
            </w:r>
            <w:r w:rsidRPr="00792B36">
              <w:rPr>
                <w:rFonts w:ascii="Arial" w:eastAsia="Calibri" w:hAnsi="Arial" w:cs="Arial"/>
                <w:kern w:val="24"/>
              </w:rPr>
              <w:t>Bottom gillnet (crab gillnet, shrimp trammel net, etc.)</w:t>
            </w:r>
          </w:p>
          <w:p w14:paraId="7E9A97C4" w14:textId="77777777" w:rsidR="009A0A63" w:rsidRPr="00792B36" w:rsidRDefault="009A0A63" w:rsidP="00A24459">
            <w:pPr>
              <w:pStyle w:val="NormalWeb"/>
              <w:spacing w:before="0" w:beforeAutospacing="0" w:after="0" w:afterAutospacing="0"/>
              <w:rPr>
                <w:rFonts w:ascii="Arial" w:hAnsi="Arial" w:cs="Arial"/>
              </w:rPr>
            </w:pPr>
            <w:r w:rsidRPr="00792B36">
              <w:rPr>
                <w:rFonts w:ascii="Arial" w:eastAsia="Calibri" w:hAnsi="Arial" w:cs="Arial"/>
                <w:kern w:val="24"/>
                <w:lang w:val="en-GB"/>
              </w:rPr>
              <w:t>- Squid falling net</w:t>
            </w:r>
          </w:p>
          <w:p w14:paraId="0BBD41C0" w14:textId="77777777" w:rsidR="009A0A63" w:rsidRPr="00792B36" w:rsidRDefault="009A0A63" w:rsidP="00A24459">
            <w:pPr>
              <w:pStyle w:val="NormalWeb"/>
              <w:spacing w:before="0" w:beforeAutospacing="0" w:after="0" w:afterAutospacing="0"/>
              <w:rPr>
                <w:rFonts w:ascii="Arial" w:hAnsi="Arial" w:cs="Arial"/>
              </w:rPr>
            </w:pPr>
            <w:r w:rsidRPr="00792B36">
              <w:rPr>
                <w:rFonts w:ascii="Arial" w:eastAsia="Calibri" w:hAnsi="Arial" w:cs="Arial"/>
                <w:kern w:val="24"/>
                <w:lang w:val="en-GB"/>
              </w:rPr>
              <w:t>- Krill push net</w:t>
            </w:r>
          </w:p>
          <w:p w14:paraId="76902CDA" w14:textId="77777777" w:rsidR="009A0A63" w:rsidRPr="00792B36" w:rsidRDefault="009A0A63" w:rsidP="00A24459">
            <w:pPr>
              <w:pStyle w:val="NormalWeb"/>
              <w:spacing w:before="0" w:beforeAutospacing="0" w:after="0" w:afterAutospacing="0"/>
              <w:rPr>
                <w:rFonts w:ascii="Arial" w:hAnsi="Arial" w:cs="Arial"/>
              </w:rPr>
            </w:pPr>
            <w:r w:rsidRPr="00792B36">
              <w:rPr>
                <w:rFonts w:ascii="Arial" w:eastAsia="Calibri" w:hAnsi="Arial" w:cs="Arial"/>
                <w:kern w:val="24"/>
                <w:lang w:val="en-GB"/>
              </w:rPr>
              <w:t>- Clam dredge</w:t>
            </w:r>
          </w:p>
          <w:p w14:paraId="141599B0" w14:textId="77777777" w:rsidR="009A0A63" w:rsidRPr="00792B36" w:rsidRDefault="009A0A63" w:rsidP="00A24459">
            <w:pPr>
              <w:pStyle w:val="NormalWeb"/>
              <w:spacing w:before="0" w:beforeAutospacing="0" w:after="0" w:afterAutospacing="0"/>
              <w:rPr>
                <w:rFonts w:ascii="Arial" w:hAnsi="Arial" w:cs="Arial"/>
              </w:rPr>
            </w:pPr>
            <w:r w:rsidRPr="00792B36">
              <w:rPr>
                <w:rFonts w:ascii="Arial" w:eastAsia="Calibri" w:hAnsi="Arial" w:cs="Arial"/>
                <w:kern w:val="24"/>
                <w:lang w:val="en-GB"/>
              </w:rPr>
              <w:t>- Longline</w:t>
            </w:r>
          </w:p>
        </w:tc>
      </w:tr>
      <w:tr w:rsidR="009A0A63" w:rsidRPr="00792B36" w14:paraId="7E1BE4F0" w14:textId="77777777" w:rsidTr="00A24459">
        <w:trPr>
          <w:jc w:val="center"/>
        </w:trPr>
        <w:tc>
          <w:tcPr>
            <w:tcW w:w="2039" w:type="dxa"/>
            <w:tcBorders>
              <w:top w:val="single" w:sz="4" w:space="0" w:color="auto"/>
              <w:bottom w:val="single" w:sz="4" w:space="0" w:color="auto"/>
            </w:tcBorders>
          </w:tcPr>
          <w:p w14:paraId="262F97F8" w14:textId="77777777" w:rsidR="009A0A63" w:rsidRPr="00792B36" w:rsidRDefault="009A0A63" w:rsidP="00A24459">
            <w:pPr>
              <w:rPr>
                <w:sz w:val="24"/>
                <w:szCs w:val="24"/>
              </w:rPr>
            </w:pPr>
            <w:r w:rsidRPr="00792B36">
              <w:rPr>
                <w:rFonts w:eastAsia="Calibri"/>
                <w:kern w:val="24"/>
                <w:sz w:val="24"/>
                <w:szCs w:val="24"/>
              </w:rPr>
              <w:t>Pelagic fish</w:t>
            </w:r>
          </w:p>
        </w:tc>
        <w:tc>
          <w:tcPr>
            <w:tcW w:w="5894" w:type="dxa"/>
            <w:tcBorders>
              <w:top w:val="single" w:sz="4" w:space="0" w:color="auto"/>
              <w:bottom w:val="single" w:sz="4" w:space="0" w:color="auto"/>
            </w:tcBorders>
          </w:tcPr>
          <w:p w14:paraId="0AE5DB7D" w14:textId="77777777" w:rsidR="009A0A63" w:rsidRPr="00792B36" w:rsidRDefault="009A0A63" w:rsidP="00A24459">
            <w:pPr>
              <w:pStyle w:val="NormalWeb"/>
              <w:spacing w:before="0" w:beforeAutospacing="0" w:after="0" w:afterAutospacing="0"/>
              <w:rPr>
                <w:rFonts w:ascii="Arial" w:hAnsi="Arial" w:cs="Arial"/>
              </w:rPr>
            </w:pPr>
            <w:r w:rsidRPr="00792B36">
              <w:rPr>
                <w:rFonts w:ascii="Arial" w:eastAsia="Calibri" w:hAnsi="Arial" w:cs="Arial"/>
                <w:kern w:val="24"/>
                <w:lang w:val="en-GB"/>
              </w:rPr>
              <w:t>- Purse seine</w:t>
            </w:r>
          </w:p>
          <w:p w14:paraId="2F220E72" w14:textId="77777777" w:rsidR="009A0A63" w:rsidRPr="00792B36" w:rsidRDefault="009A0A63" w:rsidP="00A24459">
            <w:pPr>
              <w:pStyle w:val="NormalWeb"/>
              <w:spacing w:before="0" w:beforeAutospacing="0" w:after="0" w:afterAutospacing="0"/>
              <w:rPr>
                <w:rFonts w:ascii="Arial" w:hAnsi="Arial" w:cs="Arial"/>
              </w:rPr>
            </w:pPr>
            <w:r w:rsidRPr="00792B36">
              <w:rPr>
                <w:rFonts w:ascii="Arial" w:eastAsia="Calibri" w:hAnsi="Arial" w:cs="Arial"/>
                <w:kern w:val="24"/>
                <w:lang w:val="en-GB"/>
              </w:rPr>
              <w:t>- Pelagic gillnet (mackerel gillnet, sardine gillnet, etc.)</w:t>
            </w:r>
          </w:p>
          <w:p w14:paraId="4891028E" w14:textId="77777777" w:rsidR="009A0A63" w:rsidRPr="00792B36" w:rsidRDefault="009A0A63" w:rsidP="00A24459">
            <w:pPr>
              <w:jc w:val="thaiDistribute"/>
              <w:rPr>
                <w:sz w:val="24"/>
                <w:szCs w:val="24"/>
              </w:rPr>
            </w:pPr>
            <w:r w:rsidRPr="00792B36">
              <w:rPr>
                <w:rFonts w:eastAsia="Calibri"/>
                <w:kern w:val="24"/>
                <w:sz w:val="24"/>
                <w:szCs w:val="24"/>
                <w:lang w:val="en-GB"/>
              </w:rPr>
              <w:t xml:space="preserve">- </w:t>
            </w:r>
            <w:r w:rsidRPr="00792B36">
              <w:rPr>
                <w:rFonts w:eastAsia="Calibri"/>
                <w:kern w:val="24"/>
                <w:sz w:val="24"/>
                <w:szCs w:val="24"/>
              </w:rPr>
              <w:t>Pomfret lift net</w:t>
            </w:r>
          </w:p>
        </w:tc>
      </w:tr>
      <w:tr w:rsidR="009A0A63" w:rsidRPr="00792B36" w14:paraId="5167A63C" w14:textId="77777777" w:rsidTr="00A24459">
        <w:trPr>
          <w:jc w:val="center"/>
        </w:trPr>
        <w:tc>
          <w:tcPr>
            <w:tcW w:w="2039" w:type="dxa"/>
            <w:tcBorders>
              <w:top w:val="single" w:sz="4" w:space="0" w:color="auto"/>
              <w:bottom w:val="single" w:sz="4" w:space="0" w:color="auto"/>
            </w:tcBorders>
          </w:tcPr>
          <w:p w14:paraId="0F2AC5D9" w14:textId="77777777" w:rsidR="009A0A63" w:rsidRPr="00792B36" w:rsidRDefault="009A0A63" w:rsidP="00A24459">
            <w:pPr>
              <w:rPr>
                <w:sz w:val="24"/>
                <w:szCs w:val="24"/>
              </w:rPr>
            </w:pPr>
            <w:r w:rsidRPr="00792B36">
              <w:rPr>
                <w:rFonts w:eastAsia="Calibri"/>
                <w:kern w:val="24"/>
                <w:sz w:val="24"/>
                <w:szCs w:val="24"/>
              </w:rPr>
              <w:t>Anchovy</w:t>
            </w:r>
          </w:p>
        </w:tc>
        <w:tc>
          <w:tcPr>
            <w:tcW w:w="5894" w:type="dxa"/>
            <w:tcBorders>
              <w:top w:val="single" w:sz="4" w:space="0" w:color="auto"/>
              <w:bottom w:val="single" w:sz="4" w:space="0" w:color="auto"/>
            </w:tcBorders>
          </w:tcPr>
          <w:p w14:paraId="76F4D6A4" w14:textId="77777777" w:rsidR="009A0A63" w:rsidRPr="00792B36" w:rsidRDefault="009A0A63" w:rsidP="00A24459">
            <w:pPr>
              <w:pStyle w:val="NormalWeb"/>
              <w:spacing w:before="0" w:beforeAutospacing="0" w:after="0" w:afterAutospacing="0"/>
              <w:rPr>
                <w:rFonts w:ascii="Arial" w:hAnsi="Arial" w:cs="Arial"/>
              </w:rPr>
            </w:pPr>
            <w:r w:rsidRPr="00792B36">
              <w:rPr>
                <w:rFonts w:ascii="Arial" w:eastAsia="Calibri" w:hAnsi="Arial" w:cs="Arial"/>
                <w:kern w:val="24"/>
              </w:rPr>
              <w:t>- Anchovy purse seine</w:t>
            </w:r>
          </w:p>
          <w:p w14:paraId="29DB565A" w14:textId="77777777" w:rsidR="009A0A63" w:rsidRPr="00792B36" w:rsidRDefault="009A0A63" w:rsidP="00A24459">
            <w:pPr>
              <w:pStyle w:val="NormalWeb"/>
              <w:spacing w:before="0" w:beforeAutospacing="0" w:after="0" w:afterAutospacing="0"/>
              <w:rPr>
                <w:rFonts w:ascii="Arial" w:hAnsi="Arial" w:cs="Arial"/>
              </w:rPr>
            </w:pPr>
            <w:r w:rsidRPr="00792B36">
              <w:rPr>
                <w:rFonts w:ascii="Arial" w:eastAsia="Calibri" w:hAnsi="Arial" w:cs="Arial"/>
                <w:kern w:val="24"/>
              </w:rPr>
              <w:t>- Anchovy falling net</w:t>
            </w:r>
          </w:p>
          <w:p w14:paraId="5E8C8F70" w14:textId="77777777" w:rsidR="009A0A63" w:rsidRPr="00792B36" w:rsidRDefault="009A0A63" w:rsidP="00A24459">
            <w:pPr>
              <w:jc w:val="thaiDistribute"/>
              <w:rPr>
                <w:sz w:val="24"/>
                <w:szCs w:val="24"/>
              </w:rPr>
            </w:pPr>
            <w:r w:rsidRPr="00792B36">
              <w:rPr>
                <w:rFonts w:eastAsia="Calibri"/>
                <w:kern w:val="24"/>
                <w:sz w:val="24"/>
                <w:szCs w:val="24"/>
              </w:rPr>
              <w:t>- Anchovy lift net</w:t>
            </w:r>
          </w:p>
        </w:tc>
      </w:tr>
    </w:tbl>
    <w:p w14:paraId="106130E1" w14:textId="77777777" w:rsidR="009A0A63" w:rsidRPr="00792B36" w:rsidRDefault="009A0A63" w:rsidP="009A0A63">
      <w:pPr>
        <w:ind w:firstLine="720"/>
        <w:jc w:val="thaiDistribute"/>
        <w:rPr>
          <w:sz w:val="24"/>
          <w:szCs w:val="24"/>
        </w:rPr>
      </w:pPr>
    </w:p>
    <w:p w14:paraId="7B9CDC7C" w14:textId="77777777" w:rsidR="009A0A63" w:rsidRPr="00792B36" w:rsidRDefault="009A0A63" w:rsidP="009A0A63">
      <w:pPr>
        <w:ind w:firstLine="720"/>
        <w:jc w:val="thaiDistribute"/>
        <w:rPr>
          <w:sz w:val="24"/>
          <w:szCs w:val="24"/>
        </w:rPr>
      </w:pPr>
      <w:r w:rsidRPr="00792B36">
        <w:rPr>
          <w:sz w:val="24"/>
          <w:szCs w:val="24"/>
        </w:rPr>
        <w:t xml:space="preserve"> Since the catches are obtained from different types of fishing gear, a standard fishing effort is required for each group of species to calculate the MSY. The standard fishing gear for demersal species is research vessel, for pelagic fish is the purse seine, and for anchovy is the anchovy purse seine. The CPUE of the standard fishing gear is then used to calculate the standard fishing effort as follows.</w:t>
      </w:r>
    </w:p>
    <w:p w14:paraId="4BC37C74" w14:textId="77777777" w:rsidR="009A0A63" w:rsidRPr="00792B36" w:rsidRDefault="009A0A63" w:rsidP="009A0A63">
      <w:pPr>
        <w:ind w:firstLine="720"/>
        <w:jc w:val="thaiDistribute"/>
        <w:rPr>
          <w:sz w:val="24"/>
          <w:szCs w:val="24"/>
        </w:rPr>
      </w:pPr>
    </w:p>
    <w:p w14:paraId="258A4E47" w14:textId="77777777" w:rsidR="009A0A63" w:rsidRPr="00792B36" w:rsidRDefault="00000000" w:rsidP="009A0A63">
      <w:pPr>
        <w:ind w:firstLine="720"/>
        <w:jc w:val="thaiDistribute"/>
        <w:rPr>
          <w:rFonts w:eastAsiaTheme="minorEastAsia"/>
          <w:sz w:val="24"/>
          <w:szCs w:val="24"/>
        </w:rPr>
      </w:pPr>
      <m:oMathPara>
        <m:oMath>
          <m:sSub>
            <m:sSubPr>
              <m:ctrlPr>
                <w:rPr>
                  <w:rFonts w:ascii="Cambria Math" w:hAnsi="Cambria Math"/>
                  <w:i/>
                  <w:sz w:val="24"/>
                  <w:szCs w:val="24"/>
                </w:rPr>
              </m:ctrlPr>
            </m:sSubPr>
            <m:e>
              <m:r>
                <w:rPr>
                  <w:rFonts w:ascii="Cambria Math" w:hAnsi="Cambria Math"/>
                  <w:sz w:val="24"/>
                  <w:szCs w:val="24"/>
                </w:rPr>
                <m:t>E</m:t>
              </m:r>
            </m:e>
            <m:sub>
              <m:r>
                <w:rPr>
                  <w:rFonts w:ascii="Cambria Math" w:hAnsi="Cambria Math"/>
                  <w:sz w:val="24"/>
                  <w:szCs w:val="24"/>
                </w:rPr>
                <m:t>j</m:t>
              </m:r>
            </m:sub>
          </m:sSub>
          <m:r>
            <w:rPr>
              <w:rFonts w:ascii="Cambria Math" w:hAnsi="Cambria Math"/>
              <w:sz w:val="24"/>
              <w:szCs w:val="24"/>
            </w:rPr>
            <m:t xml:space="preserve">= </m:t>
          </m:r>
          <m:f>
            <m:fPr>
              <m:type m:val="lin"/>
              <m:ctrlPr>
                <w:rPr>
                  <w:rFonts w:ascii="Cambria Math" w:hAnsi="Cambria Math"/>
                  <w:i/>
                  <w:sz w:val="24"/>
                  <w:szCs w:val="24"/>
                </w:rPr>
              </m:ctrlPr>
            </m:fPr>
            <m:num>
              <m:sSub>
                <m:sSubPr>
                  <m:ctrlPr>
                    <w:rPr>
                      <w:rFonts w:ascii="Cambria Math" w:hAnsi="Cambria Math"/>
                      <w:i/>
                      <w:sz w:val="24"/>
                      <w:szCs w:val="24"/>
                    </w:rPr>
                  </m:ctrlPr>
                </m:sSubPr>
                <m:e>
                  <m:r>
                    <w:rPr>
                      <w:rFonts w:ascii="Cambria Math" w:hAnsi="Cambria Math"/>
                      <w:sz w:val="24"/>
                      <w:szCs w:val="24"/>
                    </w:rPr>
                    <m:t>Catch</m:t>
                  </m:r>
                </m:e>
                <m:sub>
                  <m:r>
                    <w:rPr>
                      <w:rFonts w:ascii="Cambria Math" w:hAnsi="Cambria Math"/>
                      <w:sz w:val="24"/>
                      <w:szCs w:val="24"/>
                    </w:rPr>
                    <m:t>j</m:t>
                  </m:r>
                </m:sub>
              </m:sSub>
            </m:num>
            <m:den>
              <m:sSub>
                <m:sSubPr>
                  <m:ctrlPr>
                    <w:rPr>
                      <w:rFonts w:ascii="Cambria Math" w:hAnsi="Cambria Math"/>
                      <w:i/>
                      <w:sz w:val="24"/>
                      <w:szCs w:val="24"/>
                    </w:rPr>
                  </m:ctrlPr>
                </m:sSubPr>
                <m:e>
                  <m:r>
                    <w:rPr>
                      <w:rFonts w:ascii="Cambria Math" w:hAnsi="Cambria Math"/>
                      <w:sz w:val="24"/>
                      <w:szCs w:val="24"/>
                    </w:rPr>
                    <m:t>CPUE</m:t>
                  </m:r>
                </m:e>
                <m:sub>
                  <m:r>
                    <w:rPr>
                      <w:rFonts w:ascii="Cambria Math" w:hAnsi="Cambria Math"/>
                      <w:sz w:val="24"/>
                      <w:szCs w:val="24"/>
                    </w:rPr>
                    <m:t>j</m:t>
                  </m:r>
                </m:sub>
              </m:sSub>
            </m:den>
          </m:f>
        </m:oMath>
      </m:oMathPara>
    </w:p>
    <w:p w14:paraId="45E9AEFE" w14:textId="77777777" w:rsidR="009A0A63" w:rsidRPr="00792B36" w:rsidRDefault="009A0A63" w:rsidP="009A0A63">
      <w:pPr>
        <w:ind w:firstLine="720"/>
        <w:jc w:val="thaiDistribute"/>
        <w:rPr>
          <w:sz w:val="24"/>
          <w:szCs w:val="24"/>
        </w:rPr>
      </w:pPr>
    </w:p>
    <w:p w14:paraId="30EB1EC4" w14:textId="77777777" w:rsidR="009A0A63" w:rsidRPr="00792B36" w:rsidRDefault="009A0A63" w:rsidP="009A0A63">
      <w:pPr>
        <w:jc w:val="thaiDistribute"/>
        <w:rPr>
          <w:sz w:val="24"/>
          <w:szCs w:val="24"/>
        </w:rPr>
      </w:pPr>
      <w:r w:rsidRPr="00792B36">
        <w:rPr>
          <w:sz w:val="24"/>
          <w:szCs w:val="24"/>
        </w:rPr>
        <w:t xml:space="preserve">where </w:t>
      </w:r>
      <w:r w:rsidRPr="00792B36">
        <w:rPr>
          <w:i/>
          <w:iCs/>
          <w:sz w:val="24"/>
          <w:szCs w:val="24"/>
        </w:rPr>
        <w:t>E</w:t>
      </w:r>
      <w:r w:rsidRPr="00792B36">
        <w:rPr>
          <w:i/>
          <w:iCs/>
          <w:sz w:val="24"/>
          <w:szCs w:val="24"/>
          <w:vertAlign w:val="subscript"/>
        </w:rPr>
        <w:t xml:space="preserve">j </w:t>
      </w:r>
      <w:r w:rsidRPr="00792B36">
        <w:rPr>
          <w:sz w:val="24"/>
          <w:szCs w:val="24"/>
        </w:rPr>
        <w:t>is fishing effort of group</w:t>
      </w:r>
      <w:r w:rsidRPr="00792B36">
        <w:rPr>
          <w:sz w:val="24"/>
          <w:szCs w:val="24"/>
          <w:vertAlign w:val="subscript"/>
        </w:rPr>
        <w:t>j</w:t>
      </w:r>
      <w:r w:rsidRPr="00792B36">
        <w:rPr>
          <w:sz w:val="24"/>
          <w:szCs w:val="24"/>
        </w:rPr>
        <w:t xml:space="preserve">, </w:t>
      </w:r>
      <w:r w:rsidRPr="00792B36">
        <w:rPr>
          <w:i/>
          <w:iCs/>
          <w:sz w:val="24"/>
          <w:szCs w:val="24"/>
        </w:rPr>
        <w:t>catch</w:t>
      </w:r>
      <w:r w:rsidRPr="00792B36">
        <w:rPr>
          <w:i/>
          <w:iCs/>
          <w:sz w:val="24"/>
          <w:szCs w:val="24"/>
          <w:vertAlign w:val="subscript"/>
        </w:rPr>
        <w:t>j</w:t>
      </w:r>
      <w:r w:rsidRPr="00792B36">
        <w:rPr>
          <w:sz w:val="24"/>
          <w:szCs w:val="24"/>
        </w:rPr>
        <w:t xml:space="preserve"> is summation of catch of group</w:t>
      </w:r>
      <w:r w:rsidRPr="00792B36">
        <w:rPr>
          <w:sz w:val="24"/>
          <w:szCs w:val="24"/>
          <w:vertAlign w:val="subscript"/>
        </w:rPr>
        <w:t>j</w:t>
      </w:r>
      <w:r w:rsidRPr="00792B36">
        <w:rPr>
          <w:sz w:val="24"/>
          <w:szCs w:val="24"/>
        </w:rPr>
        <w:t xml:space="preserve">, and </w:t>
      </w:r>
      <w:r w:rsidRPr="00792B36">
        <w:rPr>
          <w:i/>
          <w:iCs/>
          <w:sz w:val="24"/>
          <w:szCs w:val="24"/>
        </w:rPr>
        <w:t>CPUE</w:t>
      </w:r>
      <w:r w:rsidRPr="00792B36">
        <w:rPr>
          <w:i/>
          <w:iCs/>
          <w:sz w:val="24"/>
          <w:szCs w:val="24"/>
          <w:vertAlign w:val="subscript"/>
        </w:rPr>
        <w:t>j</w:t>
      </w:r>
      <w:r w:rsidRPr="00792B36">
        <w:rPr>
          <w:sz w:val="24"/>
          <w:szCs w:val="24"/>
        </w:rPr>
        <w:t xml:space="preserve"> is the CPUE of standard gear of group</w:t>
      </w:r>
      <w:r w:rsidRPr="00792B36">
        <w:rPr>
          <w:sz w:val="24"/>
          <w:szCs w:val="24"/>
          <w:vertAlign w:val="subscript"/>
        </w:rPr>
        <w:t>j</w:t>
      </w:r>
      <w:r w:rsidRPr="00792B36">
        <w:rPr>
          <w:sz w:val="24"/>
          <w:szCs w:val="24"/>
        </w:rPr>
        <w:t>.</w:t>
      </w:r>
    </w:p>
    <w:p w14:paraId="47080C89" w14:textId="77777777" w:rsidR="009A0A63" w:rsidRPr="00792B36" w:rsidRDefault="009A0A63" w:rsidP="009A0A63">
      <w:pPr>
        <w:ind w:firstLine="720"/>
        <w:jc w:val="thaiDistribute"/>
        <w:rPr>
          <w:sz w:val="24"/>
          <w:szCs w:val="24"/>
        </w:rPr>
      </w:pPr>
    </w:p>
    <w:p w14:paraId="1AD5BA9D" w14:textId="77777777" w:rsidR="009A0A63" w:rsidRPr="00792B36" w:rsidRDefault="009A0A63" w:rsidP="009A0A63">
      <w:pPr>
        <w:ind w:firstLine="720"/>
        <w:jc w:val="thaiDistribute"/>
        <w:rPr>
          <w:sz w:val="24"/>
          <w:szCs w:val="24"/>
        </w:rPr>
      </w:pPr>
      <w:r w:rsidRPr="00792B36">
        <w:rPr>
          <w:sz w:val="24"/>
          <w:szCs w:val="24"/>
        </w:rPr>
        <w:t>The relationship between CPUE and fishing effort was assumed as,</w:t>
      </w:r>
    </w:p>
    <w:p w14:paraId="1464E085" w14:textId="77777777" w:rsidR="009A0A63" w:rsidRPr="00792B36" w:rsidRDefault="009A0A63" w:rsidP="009A0A63">
      <w:pPr>
        <w:ind w:firstLine="720"/>
        <w:jc w:val="thaiDistribute"/>
        <w:rPr>
          <w:sz w:val="24"/>
          <w:szCs w:val="24"/>
        </w:rPr>
      </w:pPr>
    </w:p>
    <w:p w14:paraId="7D060CBA" w14:textId="77777777" w:rsidR="009A0A63" w:rsidRPr="00792B36" w:rsidRDefault="00000000" w:rsidP="009A0A63">
      <w:pPr>
        <w:ind w:firstLine="720"/>
        <w:jc w:val="thaiDistribute"/>
        <w:rPr>
          <w:rFonts w:eastAsiaTheme="minorEastAsia"/>
          <w:sz w:val="24"/>
          <w:szCs w:val="24"/>
        </w:rPr>
      </w:pPr>
      <m:oMathPara>
        <m:oMath>
          <m:func>
            <m:funcPr>
              <m:ctrlPr>
                <w:rPr>
                  <w:rFonts w:ascii="Cambria Math" w:hAnsi="Cambria Math"/>
                  <w:sz w:val="24"/>
                  <w:szCs w:val="24"/>
                </w:rPr>
              </m:ctrlPr>
            </m:funcPr>
            <m:fName>
              <m:r>
                <m:rPr>
                  <m:sty m:val="p"/>
                </m:rPr>
                <w:rPr>
                  <w:rFonts w:ascii="Cambria Math" w:hAnsi="Cambria Math"/>
                  <w:sz w:val="24"/>
                  <w:szCs w:val="24"/>
                </w:rPr>
                <m:t>ln</m:t>
              </m:r>
            </m:fName>
            <m:e>
              <m:sSub>
                <m:sSubPr>
                  <m:ctrlPr>
                    <w:rPr>
                      <w:rFonts w:ascii="Cambria Math" w:hAnsi="Cambria Math"/>
                      <w:sz w:val="24"/>
                      <w:szCs w:val="24"/>
                    </w:rPr>
                  </m:ctrlPr>
                </m:sSubPr>
                <m:e>
                  <m:r>
                    <w:rPr>
                      <w:rFonts w:ascii="Cambria Math" w:hAnsi="Cambria Math"/>
                      <w:sz w:val="24"/>
                      <w:szCs w:val="24"/>
                    </w:rPr>
                    <m:t>CPUE</m:t>
                  </m:r>
                </m:e>
                <m:sub>
                  <m:r>
                    <w:rPr>
                      <w:rFonts w:ascii="Cambria Math" w:hAnsi="Cambria Math"/>
                      <w:sz w:val="24"/>
                      <w:szCs w:val="24"/>
                    </w:rPr>
                    <m:t>i</m:t>
                  </m:r>
                </m:sub>
              </m:sSub>
            </m:e>
          </m:func>
          <m:r>
            <w:rPr>
              <w:rFonts w:ascii="Cambria Math" w:hAnsi="Cambria Math"/>
              <w:sz w:val="24"/>
              <w:szCs w:val="24"/>
            </w:rPr>
            <m:t>=c+d</m:t>
          </m:r>
          <m:sSub>
            <m:sSubPr>
              <m:ctrlPr>
                <w:rPr>
                  <w:rFonts w:ascii="Cambria Math" w:hAnsi="Cambria Math"/>
                  <w:i/>
                  <w:sz w:val="24"/>
                  <w:szCs w:val="24"/>
                </w:rPr>
              </m:ctrlPr>
            </m:sSubPr>
            <m:e>
              <m:r>
                <w:rPr>
                  <w:rFonts w:ascii="Cambria Math" w:hAnsi="Cambria Math"/>
                  <w:sz w:val="24"/>
                  <w:szCs w:val="24"/>
                </w:rPr>
                <m:t>E</m:t>
              </m:r>
            </m:e>
            <m:sub>
              <m:r>
                <w:rPr>
                  <w:rFonts w:ascii="Cambria Math" w:hAnsi="Cambria Math"/>
                  <w:sz w:val="24"/>
                  <w:szCs w:val="24"/>
                </w:rPr>
                <m:t>i</m:t>
              </m:r>
            </m:sub>
          </m:sSub>
        </m:oMath>
      </m:oMathPara>
    </w:p>
    <w:p w14:paraId="6C234789" w14:textId="77777777" w:rsidR="009A0A63" w:rsidRPr="00792B36" w:rsidRDefault="009A0A63" w:rsidP="009A0A63">
      <w:pPr>
        <w:ind w:firstLine="720"/>
        <w:jc w:val="thaiDistribute"/>
        <w:rPr>
          <w:sz w:val="24"/>
          <w:szCs w:val="24"/>
        </w:rPr>
      </w:pPr>
    </w:p>
    <w:p w14:paraId="207C384D" w14:textId="77777777" w:rsidR="009A0A63" w:rsidRPr="00792B36" w:rsidRDefault="009A0A63" w:rsidP="009A0A63">
      <w:pPr>
        <w:jc w:val="thaiDistribute"/>
        <w:rPr>
          <w:sz w:val="24"/>
          <w:szCs w:val="24"/>
        </w:rPr>
      </w:pPr>
      <w:r w:rsidRPr="00792B36">
        <w:rPr>
          <w:sz w:val="24"/>
          <w:szCs w:val="24"/>
        </w:rPr>
        <w:t xml:space="preserve">where </w:t>
      </w:r>
      <w:r w:rsidRPr="00792B36">
        <w:rPr>
          <w:i/>
          <w:iCs/>
          <w:sz w:val="24"/>
          <w:szCs w:val="24"/>
        </w:rPr>
        <w:t>CPUE</w:t>
      </w:r>
      <w:r w:rsidRPr="00792B36">
        <w:rPr>
          <w:i/>
          <w:iCs/>
          <w:sz w:val="24"/>
          <w:szCs w:val="24"/>
          <w:vertAlign w:val="subscript"/>
        </w:rPr>
        <w:t>i</w:t>
      </w:r>
      <w:r w:rsidRPr="00792B36">
        <w:rPr>
          <w:sz w:val="24"/>
          <w:szCs w:val="24"/>
        </w:rPr>
        <w:t xml:space="preserve"> is catch per unit effort in year i, and </w:t>
      </w:r>
      <w:r w:rsidRPr="00792B36">
        <w:rPr>
          <w:i/>
          <w:iCs/>
          <w:sz w:val="24"/>
          <w:szCs w:val="24"/>
        </w:rPr>
        <w:t>E</w:t>
      </w:r>
      <w:r w:rsidRPr="00792B36">
        <w:rPr>
          <w:i/>
          <w:iCs/>
          <w:sz w:val="24"/>
          <w:szCs w:val="24"/>
          <w:vertAlign w:val="subscript"/>
        </w:rPr>
        <w:t>i</w:t>
      </w:r>
      <w:r w:rsidRPr="00792B36">
        <w:rPr>
          <w:sz w:val="24"/>
          <w:szCs w:val="24"/>
        </w:rPr>
        <w:t xml:space="preserve"> is fishing effort in year i. c and d are regression coefficients. </w:t>
      </w:r>
    </w:p>
    <w:p w14:paraId="58889A3E" w14:textId="77777777" w:rsidR="009A0A63" w:rsidRPr="00792B36" w:rsidRDefault="009A0A63" w:rsidP="009A0A63">
      <w:pPr>
        <w:jc w:val="thaiDistribute"/>
        <w:rPr>
          <w:sz w:val="24"/>
          <w:szCs w:val="24"/>
        </w:rPr>
      </w:pPr>
    </w:p>
    <w:p w14:paraId="0B92262D" w14:textId="77777777" w:rsidR="009A0A63" w:rsidRPr="00792B36" w:rsidRDefault="009A0A63" w:rsidP="009A0A63">
      <w:pPr>
        <w:adjustRightInd w:val="0"/>
        <w:spacing w:after="120"/>
        <w:jc w:val="thaiDistribute"/>
        <w:rPr>
          <w:sz w:val="24"/>
          <w:szCs w:val="24"/>
        </w:rPr>
      </w:pPr>
      <w:r w:rsidRPr="00792B36">
        <w:rPr>
          <w:b/>
          <w:bCs/>
          <w:sz w:val="24"/>
          <w:szCs w:val="24"/>
        </w:rPr>
        <w:tab/>
      </w:r>
      <w:r w:rsidRPr="00792B36">
        <w:rPr>
          <w:sz w:val="24"/>
          <w:szCs w:val="24"/>
        </w:rPr>
        <w:t xml:space="preserve">Since yield can be calculated as </w:t>
      </w:r>
      <m:oMath>
        <m:r>
          <w:rPr>
            <w:rFonts w:ascii="Cambria Math" w:hAnsi="Cambria Math"/>
            <w:sz w:val="24"/>
            <w:szCs w:val="24"/>
          </w:rPr>
          <m:t>CPU</m:t>
        </m:r>
        <m:sSub>
          <m:sSubPr>
            <m:ctrlPr>
              <w:rPr>
                <w:rFonts w:ascii="Cambria Math" w:hAnsi="Cambria Math"/>
                <w:i/>
                <w:sz w:val="24"/>
                <w:szCs w:val="24"/>
              </w:rPr>
            </m:ctrlPr>
          </m:sSubPr>
          <m:e>
            <m:r>
              <w:rPr>
                <w:rFonts w:ascii="Cambria Math" w:hAnsi="Cambria Math"/>
                <w:sz w:val="24"/>
                <w:szCs w:val="24"/>
              </w:rPr>
              <m:t>E</m:t>
            </m:r>
          </m:e>
          <m:sub>
            <m:r>
              <w:rPr>
                <w:rFonts w:ascii="Cambria Math" w:hAnsi="Cambria Math"/>
                <w:sz w:val="24"/>
                <w:szCs w:val="24"/>
              </w:rPr>
              <m:t>i</m:t>
            </m:r>
          </m:sub>
        </m:sSub>
        <m:r>
          <w:rPr>
            <w:rFonts w:ascii="Cambria Math" w:hAnsi="Cambria Math"/>
            <w:sz w:val="24"/>
            <w:szCs w:val="24"/>
          </w:rPr>
          <m:t>×</m:t>
        </m:r>
        <m:sSub>
          <m:sSubPr>
            <m:ctrlPr>
              <w:rPr>
                <w:rFonts w:ascii="Cambria Math" w:hAnsi="Cambria Math"/>
                <w:i/>
                <w:sz w:val="24"/>
                <w:szCs w:val="24"/>
              </w:rPr>
            </m:ctrlPr>
          </m:sSubPr>
          <m:e>
            <m:r>
              <w:rPr>
                <w:rFonts w:ascii="Cambria Math" w:hAnsi="Cambria Math"/>
                <w:sz w:val="24"/>
                <w:szCs w:val="24"/>
              </w:rPr>
              <m:t>E</m:t>
            </m:r>
          </m:e>
          <m:sub>
            <m:r>
              <w:rPr>
                <w:rFonts w:ascii="Cambria Math" w:hAnsi="Cambria Math"/>
                <w:sz w:val="24"/>
                <w:szCs w:val="24"/>
              </w:rPr>
              <m:t>i</m:t>
            </m:r>
          </m:sub>
        </m:sSub>
      </m:oMath>
      <w:r w:rsidRPr="00792B36">
        <w:rPr>
          <w:sz w:val="24"/>
          <w:szCs w:val="24"/>
        </w:rPr>
        <w:t xml:space="preserve">, MSY and fishing effort at MSY </w:t>
      </w:r>
      <m:oMath>
        <m:r>
          <w:rPr>
            <w:rFonts w:ascii="Cambria Math" w:hAnsi="Cambria Math"/>
            <w:sz w:val="24"/>
            <w:szCs w:val="24"/>
          </w:rPr>
          <m:t>(</m:t>
        </m:r>
        <m:sSub>
          <m:sSubPr>
            <m:ctrlPr>
              <w:rPr>
                <w:rFonts w:ascii="Cambria Math" w:hAnsi="Cambria Math"/>
                <w:i/>
                <w:sz w:val="24"/>
                <w:szCs w:val="24"/>
              </w:rPr>
            </m:ctrlPr>
          </m:sSubPr>
          <m:e>
            <m:r>
              <w:rPr>
                <w:rFonts w:ascii="Cambria Math" w:hAnsi="Cambria Math"/>
                <w:sz w:val="24"/>
                <w:szCs w:val="24"/>
              </w:rPr>
              <m:t>E</m:t>
            </m:r>
          </m:e>
          <m:sub>
            <m:r>
              <w:rPr>
                <w:rFonts w:ascii="Cambria Math" w:hAnsi="Cambria Math"/>
                <w:sz w:val="24"/>
                <w:szCs w:val="24"/>
              </w:rPr>
              <m:t>MSY</m:t>
            </m:r>
          </m:sub>
        </m:sSub>
        <m:r>
          <w:rPr>
            <w:rFonts w:ascii="Cambria Math" w:hAnsi="Cambria Math"/>
            <w:sz w:val="24"/>
            <w:szCs w:val="24"/>
          </w:rPr>
          <m:t>)</m:t>
        </m:r>
      </m:oMath>
      <w:r w:rsidRPr="00792B36">
        <w:rPr>
          <w:sz w:val="24"/>
          <w:szCs w:val="24"/>
        </w:rPr>
        <w:t xml:space="preserve"> can be calculated, once </w:t>
      </w:r>
      <w:r w:rsidRPr="00792B36">
        <w:rPr>
          <w:i/>
          <w:sz w:val="24"/>
          <w:szCs w:val="24"/>
        </w:rPr>
        <w:t>c</w:t>
      </w:r>
      <w:r w:rsidRPr="00792B36">
        <w:rPr>
          <w:sz w:val="24"/>
          <w:szCs w:val="24"/>
        </w:rPr>
        <w:t xml:space="preserve"> and </w:t>
      </w:r>
      <w:r w:rsidRPr="00792B36">
        <w:rPr>
          <w:i/>
          <w:sz w:val="24"/>
          <w:szCs w:val="24"/>
        </w:rPr>
        <w:t>d</w:t>
      </w:r>
      <w:r w:rsidRPr="00792B36">
        <w:rPr>
          <w:sz w:val="24"/>
          <w:szCs w:val="24"/>
        </w:rPr>
        <w:t xml:space="preserve"> are estimated from CPUE and effort data as </w:t>
      </w:r>
      <w:r w:rsidRPr="00792B36">
        <w:rPr>
          <w:sz w:val="24"/>
          <w:szCs w:val="24"/>
        </w:rPr>
        <w:lastRenderedPageBreak/>
        <w:t>the equations below.</w:t>
      </w:r>
    </w:p>
    <w:p w14:paraId="00CF442C" w14:textId="77777777" w:rsidR="009A0A63" w:rsidRPr="00792B36" w:rsidRDefault="009A0A63" w:rsidP="009A0A63">
      <w:pPr>
        <w:adjustRightInd w:val="0"/>
        <w:spacing w:after="120"/>
        <w:jc w:val="center"/>
        <w:rPr>
          <w:sz w:val="24"/>
          <w:szCs w:val="24"/>
        </w:rPr>
      </w:pPr>
      <m:oMathPara>
        <m:oMath>
          <m:r>
            <w:rPr>
              <w:rFonts w:ascii="Cambria Math" w:hAnsi="Cambria Math"/>
              <w:sz w:val="24"/>
              <w:szCs w:val="24"/>
            </w:rPr>
            <m:t>MSY=-</m:t>
          </m:r>
          <m:f>
            <m:fPr>
              <m:ctrlPr>
                <w:rPr>
                  <w:rFonts w:ascii="Cambria Math" w:hAnsi="Cambria Math"/>
                  <w:i/>
                  <w:sz w:val="24"/>
                  <w:szCs w:val="24"/>
                </w:rPr>
              </m:ctrlPr>
            </m:fPr>
            <m:num>
              <m:r>
                <w:rPr>
                  <w:rFonts w:ascii="Cambria Math" w:hAnsi="Cambria Math"/>
                  <w:sz w:val="24"/>
                  <w:szCs w:val="24"/>
                </w:rPr>
                <m:t>1</m:t>
              </m:r>
            </m:num>
            <m:den>
              <m:r>
                <w:rPr>
                  <w:rFonts w:ascii="Cambria Math" w:hAnsi="Cambria Math"/>
                  <w:sz w:val="24"/>
                  <w:szCs w:val="24"/>
                </w:rPr>
                <m:t>d</m:t>
              </m:r>
            </m:den>
          </m:f>
          <m:r>
            <w:rPr>
              <w:rFonts w:ascii="Cambria Math" w:hAnsi="Cambria Math"/>
              <w:sz w:val="24"/>
              <w:szCs w:val="24"/>
            </w:rPr>
            <m:t xml:space="preserve"> </m:t>
          </m:r>
          <m:sSup>
            <m:sSupPr>
              <m:ctrlPr>
                <w:rPr>
                  <w:rFonts w:ascii="Cambria Math" w:hAnsi="Cambria Math"/>
                  <w:i/>
                  <w:sz w:val="24"/>
                  <w:szCs w:val="24"/>
                </w:rPr>
              </m:ctrlPr>
            </m:sSupPr>
            <m:e>
              <m:r>
                <w:rPr>
                  <w:rFonts w:ascii="Cambria Math" w:hAnsi="Cambria Math"/>
                  <w:sz w:val="24"/>
                  <w:szCs w:val="24"/>
                </w:rPr>
                <m:t>e</m:t>
              </m:r>
            </m:e>
            <m:sup>
              <m:r>
                <w:rPr>
                  <w:rFonts w:ascii="Cambria Math" w:hAnsi="Cambria Math"/>
                  <w:sz w:val="24"/>
                  <w:szCs w:val="24"/>
                </w:rPr>
                <m:t>c-1</m:t>
              </m:r>
            </m:sup>
          </m:sSup>
        </m:oMath>
      </m:oMathPara>
    </w:p>
    <w:p w14:paraId="2A770BD3" w14:textId="77777777" w:rsidR="009A0A63" w:rsidRPr="00792B36" w:rsidRDefault="00000000" w:rsidP="009A0A63">
      <w:pPr>
        <w:adjustRightInd w:val="0"/>
        <w:spacing w:after="120"/>
        <w:jc w:val="center"/>
        <w:rPr>
          <w:i/>
          <w:sz w:val="24"/>
          <w:szCs w:val="24"/>
        </w:rPr>
      </w:pPr>
      <m:oMathPara>
        <m:oMath>
          <m:sSub>
            <m:sSubPr>
              <m:ctrlPr>
                <w:rPr>
                  <w:rFonts w:ascii="Cambria Math" w:hAnsi="Cambria Math"/>
                  <w:i/>
                  <w:sz w:val="24"/>
                  <w:szCs w:val="24"/>
                </w:rPr>
              </m:ctrlPr>
            </m:sSubPr>
            <m:e>
              <m:r>
                <w:rPr>
                  <w:rFonts w:ascii="Cambria Math" w:hAnsi="Cambria Math"/>
                  <w:sz w:val="24"/>
                  <w:szCs w:val="24"/>
                </w:rPr>
                <m:t>E</m:t>
              </m:r>
            </m:e>
            <m:sub>
              <m:r>
                <w:rPr>
                  <w:rFonts w:ascii="Cambria Math" w:hAnsi="Cambria Math"/>
                  <w:sz w:val="24"/>
                  <w:szCs w:val="24"/>
                </w:rPr>
                <m:t>MSY</m:t>
              </m:r>
            </m:sub>
          </m:sSub>
          <m:r>
            <w:rPr>
              <w:rFonts w:ascii="Cambria Math" w:hAnsi="Cambria Math"/>
              <w:sz w:val="24"/>
              <w:szCs w:val="24"/>
            </w:rPr>
            <m:t>=-</m:t>
          </m:r>
          <m:f>
            <m:fPr>
              <m:ctrlPr>
                <w:rPr>
                  <w:rFonts w:ascii="Cambria Math" w:hAnsi="Cambria Math"/>
                  <w:i/>
                  <w:sz w:val="24"/>
                  <w:szCs w:val="24"/>
                </w:rPr>
              </m:ctrlPr>
            </m:fPr>
            <m:num>
              <m:r>
                <w:rPr>
                  <w:rFonts w:ascii="Cambria Math" w:hAnsi="Cambria Math"/>
                  <w:sz w:val="24"/>
                  <w:szCs w:val="24"/>
                </w:rPr>
                <m:t>1</m:t>
              </m:r>
            </m:num>
            <m:den>
              <m:r>
                <w:rPr>
                  <w:rFonts w:ascii="Cambria Math" w:hAnsi="Cambria Math"/>
                  <w:sz w:val="24"/>
                  <w:szCs w:val="24"/>
                </w:rPr>
                <m:t>d</m:t>
              </m:r>
            </m:den>
          </m:f>
        </m:oMath>
      </m:oMathPara>
    </w:p>
    <w:p w14:paraId="340D6E34" w14:textId="77777777" w:rsidR="009A0A63" w:rsidRPr="00792B36" w:rsidRDefault="009A0A63" w:rsidP="009A0A63">
      <w:pPr>
        <w:ind w:left="938" w:hanging="938"/>
        <w:jc w:val="thaiDistribute"/>
        <w:rPr>
          <w:b/>
          <w:bCs/>
          <w:sz w:val="24"/>
          <w:szCs w:val="24"/>
        </w:rPr>
      </w:pPr>
      <w:r w:rsidRPr="00792B36">
        <w:rPr>
          <w:b/>
          <w:bCs/>
          <w:color w:val="7030A0"/>
          <w:sz w:val="24"/>
          <w:szCs w:val="24"/>
        </w:rPr>
        <w:tab/>
      </w:r>
    </w:p>
    <w:p w14:paraId="024989FD" w14:textId="77777777" w:rsidR="009A0A63" w:rsidRPr="00792B36" w:rsidRDefault="009A0A63" w:rsidP="009A0A63">
      <w:pPr>
        <w:ind w:left="938" w:hanging="938"/>
        <w:jc w:val="thaiDistribute"/>
        <w:rPr>
          <w:b/>
          <w:bCs/>
          <w:sz w:val="24"/>
          <w:szCs w:val="24"/>
        </w:rPr>
      </w:pPr>
    </w:p>
    <w:p w14:paraId="5A3F5682" w14:textId="77777777" w:rsidR="009A0A63" w:rsidRPr="00792B36" w:rsidRDefault="009A0A63" w:rsidP="009A0A63">
      <w:pPr>
        <w:rPr>
          <w:sz w:val="24"/>
          <w:szCs w:val="24"/>
        </w:rPr>
      </w:pPr>
      <w:r w:rsidRPr="00792B36">
        <w:rPr>
          <w:sz w:val="24"/>
          <w:szCs w:val="24"/>
        </w:rPr>
        <w:br w:type="page"/>
      </w:r>
    </w:p>
    <w:tbl>
      <w:tblPr>
        <w:tblStyle w:val="TableGrid"/>
        <w:tblW w:w="9503" w:type="dxa"/>
        <w:tblInd w:w="-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377"/>
        <w:gridCol w:w="8126"/>
      </w:tblGrid>
      <w:tr w:rsidR="009A0A63" w:rsidRPr="00792B36" w14:paraId="1291DFC3" w14:textId="77777777" w:rsidTr="00A24459">
        <w:tc>
          <w:tcPr>
            <w:tcW w:w="1377" w:type="dxa"/>
          </w:tcPr>
          <w:p w14:paraId="4AE6A623" w14:textId="77777777" w:rsidR="009A0A63" w:rsidRPr="00792B36" w:rsidRDefault="009A0A63" w:rsidP="00A24459">
            <w:pPr>
              <w:ind w:hanging="70"/>
              <w:rPr>
                <w:sz w:val="24"/>
                <w:szCs w:val="24"/>
              </w:rPr>
            </w:pPr>
            <w:r w:rsidRPr="00792B36">
              <w:rPr>
                <w:b/>
                <w:bCs/>
                <w:sz w:val="24"/>
                <w:szCs w:val="24"/>
              </w:rPr>
              <w:lastRenderedPageBreak/>
              <w:t>Appendix B</w:t>
            </w:r>
          </w:p>
        </w:tc>
        <w:tc>
          <w:tcPr>
            <w:tcW w:w="8126" w:type="dxa"/>
          </w:tcPr>
          <w:p w14:paraId="0D806AE7" w14:textId="77777777" w:rsidR="009A0A63" w:rsidRPr="00792B36" w:rsidRDefault="009A0A63" w:rsidP="00A24459">
            <w:pPr>
              <w:ind w:left="-44"/>
              <w:jc w:val="thaiDistribute"/>
              <w:rPr>
                <w:sz w:val="24"/>
                <w:szCs w:val="24"/>
              </w:rPr>
            </w:pPr>
            <w:r w:rsidRPr="00792B36">
              <w:rPr>
                <w:sz w:val="24"/>
                <w:szCs w:val="24"/>
              </w:rPr>
              <w:t>Key principles and management measures under the Royal Ordinance on Fisheries B.E. 2558 (2015) and its amendments</w:t>
            </w:r>
          </w:p>
        </w:tc>
      </w:tr>
    </w:tbl>
    <w:p w14:paraId="0141E607" w14:textId="77777777" w:rsidR="009A0A63" w:rsidRPr="00792B36" w:rsidRDefault="009A0A63" w:rsidP="009A0A63">
      <w:pPr>
        <w:rPr>
          <w:sz w:val="24"/>
          <w:szCs w:val="24"/>
        </w:rPr>
      </w:pPr>
    </w:p>
    <w:p w14:paraId="58225822" w14:textId="77777777" w:rsidR="009A0A63" w:rsidRPr="00792B36" w:rsidRDefault="009A0A63" w:rsidP="009A0A63">
      <w:pPr>
        <w:ind w:firstLine="720"/>
        <w:jc w:val="thaiDistribute"/>
        <w:rPr>
          <w:sz w:val="24"/>
          <w:szCs w:val="24"/>
        </w:rPr>
      </w:pPr>
      <w:r w:rsidRPr="00792B36">
        <w:rPr>
          <w:b/>
          <w:bCs/>
          <w:sz w:val="24"/>
          <w:szCs w:val="24"/>
        </w:rPr>
        <w:t>Section 5</w:t>
      </w:r>
      <w:r w:rsidRPr="00792B36">
        <w:rPr>
          <w:sz w:val="24"/>
          <w:szCs w:val="24"/>
        </w:rPr>
        <w:t xml:space="preserve"> defines "coastal sea" as the sea within the Kingdom</w:t>
      </w:r>
      <w:r w:rsidRPr="00792B36">
        <w:rPr>
          <w:sz w:val="24"/>
          <w:szCs w:val="24"/>
          <w:cs/>
        </w:rPr>
        <w:t xml:space="preserve"> </w:t>
      </w:r>
      <w:r w:rsidRPr="00792B36">
        <w:rPr>
          <w:sz w:val="24"/>
          <w:szCs w:val="24"/>
        </w:rPr>
        <w:t>extending up to three nautical miles from the baselines. Considering exigencies based on purposes related to aquatic resource management, a Ministerial Regulation may be issued to determine the expanse of coastal seas in any area to cover a distance starting from the baseline shorter or further than three nautical miles as appropriate.</w:t>
      </w:r>
      <w:r w:rsidRPr="00792B36">
        <w:rPr>
          <w:sz w:val="24"/>
          <w:szCs w:val="24"/>
          <w:cs/>
        </w:rPr>
        <w:t xml:space="preserve"> </w:t>
      </w:r>
      <w:r w:rsidRPr="00792B36">
        <w:rPr>
          <w:sz w:val="24"/>
          <w:szCs w:val="24"/>
        </w:rPr>
        <w:t xml:space="preserve">Any such adjustment shall not result in a distance off the baseline of less than one point five nautical miles nor of further than twelve nautical miles. </w:t>
      </w:r>
    </w:p>
    <w:p w14:paraId="389BF608" w14:textId="77777777" w:rsidR="009A0A63" w:rsidRPr="00792B36" w:rsidRDefault="009A0A63" w:rsidP="009A0A63">
      <w:pPr>
        <w:ind w:firstLine="720"/>
        <w:jc w:val="thaiDistribute"/>
        <w:rPr>
          <w:sz w:val="24"/>
          <w:szCs w:val="24"/>
        </w:rPr>
      </w:pPr>
      <w:r w:rsidRPr="00792B36">
        <w:rPr>
          <w:sz w:val="24"/>
          <w:szCs w:val="24"/>
        </w:rPr>
        <w:t>According to the provisions of Section 5, the DOF has defined coastal seas as approximately 1.5 – 10.0</w:t>
      </w:r>
      <w:r w:rsidRPr="00792B36">
        <w:rPr>
          <w:sz w:val="24"/>
          <w:szCs w:val="24"/>
          <w:cs/>
        </w:rPr>
        <w:t xml:space="preserve"> </w:t>
      </w:r>
      <w:r w:rsidRPr="00792B36">
        <w:rPr>
          <w:sz w:val="24"/>
          <w:szCs w:val="24"/>
        </w:rPr>
        <w:t xml:space="preserve">nautical miles (Figure B.1), in which only artisanal fishing is permitted, following </w:t>
      </w:r>
      <w:r w:rsidRPr="00792B36">
        <w:rPr>
          <w:b/>
          <w:bCs/>
          <w:sz w:val="24"/>
          <w:szCs w:val="24"/>
        </w:rPr>
        <w:t xml:space="preserve">Section 38 </w:t>
      </w:r>
      <w:r w:rsidRPr="00792B36">
        <w:rPr>
          <w:sz w:val="24"/>
          <w:szCs w:val="24"/>
        </w:rPr>
        <w:t xml:space="preserve">stipulating that a commercial fishing licensee must not engage in a fishing operation in coastal seas. </w:t>
      </w:r>
    </w:p>
    <w:p w14:paraId="523A6281" w14:textId="77777777" w:rsidR="009A0A63" w:rsidRPr="00792B36" w:rsidRDefault="009A0A63" w:rsidP="009A0A63">
      <w:pPr>
        <w:ind w:firstLine="720"/>
        <w:jc w:val="thaiDistribute"/>
        <w:rPr>
          <w:sz w:val="24"/>
          <w:szCs w:val="24"/>
          <w:cs/>
        </w:rPr>
      </w:pPr>
    </w:p>
    <w:p w14:paraId="24E1C149" w14:textId="77777777" w:rsidR="009A0A63" w:rsidRPr="00792B36" w:rsidRDefault="009A0A63" w:rsidP="009A0A63">
      <w:pPr>
        <w:jc w:val="center"/>
        <w:rPr>
          <w:sz w:val="24"/>
          <w:szCs w:val="24"/>
        </w:rPr>
      </w:pPr>
      <w:r w:rsidRPr="00792B36">
        <w:rPr>
          <w:noProof/>
          <w:sz w:val="24"/>
          <w:szCs w:val="24"/>
        </w:rPr>
        <mc:AlternateContent>
          <mc:Choice Requires="wps">
            <w:drawing>
              <wp:anchor distT="0" distB="0" distL="114300" distR="114300" simplePos="0" relativeHeight="251677696" behindDoc="0" locked="0" layoutInCell="1" allowOverlap="1" wp14:anchorId="48D20854" wp14:editId="3C966338">
                <wp:simplePos x="0" y="0"/>
                <wp:positionH relativeFrom="column">
                  <wp:posOffset>1504950</wp:posOffset>
                </wp:positionH>
                <wp:positionV relativeFrom="paragraph">
                  <wp:posOffset>4851400</wp:posOffset>
                </wp:positionV>
                <wp:extent cx="927100" cy="228600"/>
                <wp:effectExtent l="0" t="0" r="0" b="0"/>
                <wp:wrapNone/>
                <wp:docPr id="1376476656" name="Text Box 3"/>
                <wp:cNvGraphicFramePr/>
                <a:graphic xmlns:a="http://schemas.openxmlformats.org/drawingml/2006/main">
                  <a:graphicData uri="http://schemas.microsoft.com/office/word/2010/wordprocessingShape">
                    <wps:wsp>
                      <wps:cNvSpPr txBox="1"/>
                      <wps:spPr>
                        <a:xfrm>
                          <a:off x="0" y="0"/>
                          <a:ext cx="927100" cy="228600"/>
                        </a:xfrm>
                        <a:prstGeom prst="rect">
                          <a:avLst/>
                        </a:prstGeom>
                        <a:noFill/>
                        <a:ln w="6350">
                          <a:noFill/>
                        </a:ln>
                      </wps:spPr>
                      <wps:txbx>
                        <w:txbxContent>
                          <w:p w14:paraId="69130FED" w14:textId="77777777" w:rsidR="009A0A63" w:rsidRPr="003167E5" w:rsidRDefault="009A0A63" w:rsidP="009A0A63">
                            <w:pPr>
                              <w:rPr>
                                <w:rFonts w:ascii="Times New Roman" w:hAnsi="Times New Roman" w:cs="Times New Roman"/>
                                <w:sz w:val="20"/>
                                <w:szCs w:val="24"/>
                              </w:rPr>
                            </w:pPr>
                            <w:r w:rsidRPr="003167E5">
                              <w:rPr>
                                <w:rFonts w:ascii="Times New Roman" w:hAnsi="Times New Roman" w:cs="Times New Roman"/>
                                <w:sz w:val="20"/>
                                <w:szCs w:val="24"/>
                              </w:rPr>
                              <w:t>Coastal areas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8D20854" id="Text Box 3" o:spid="_x0000_s1030" type="#_x0000_t202" style="position:absolute;left:0;text-align:left;margin-left:118.5pt;margin-top:382pt;width:73pt;height:18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" filled="f" stroked="f" strokeweight=".5pt">
                <v:textbox>
                  <w:txbxContent>
                    <w:p w14:paraId="69130FED" w14:textId="77777777" w:rsidR="009A0A63" w:rsidRPr="003167E5" w:rsidRDefault="009A0A63" w:rsidP="009A0A63">
                      <w:pPr>
                        <w:rPr>
                          <w:rFonts w:ascii="Times New Roman" w:hAnsi="Times New Roman" w:cs="Times New Roman"/>
                          <w:sz w:val="20"/>
                          <w:szCs w:val="24"/>
                        </w:rPr>
                      </w:pPr>
                      <w:r w:rsidRPr="003167E5">
                        <w:rPr>
                          <w:rFonts w:ascii="Times New Roman" w:hAnsi="Times New Roman" w:cs="Times New Roman"/>
                          <w:sz w:val="20"/>
                          <w:szCs w:val="24"/>
                        </w:rPr>
                        <w:t>Coastal areas</w:t>
                      </w:r>
                    </w:p>
                  </w:txbxContent>
                </v:textbox>
              </v:shape>
            </w:pict>
          </mc:Fallback>
        </mc:AlternateContent>
      </w:r>
      <w:r w:rsidRPr="00792B36">
        <w:rPr>
          <w:noProof/>
          <w:sz w:val="24"/>
          <w:szCs w:val="24"/>
        </w:rPr>
        <mc:AlternateContent>
          <mc:Choice Requires="wps">
            <w:drawing>
              <wp:anchor distT="0" distB="0" distL="114300" distR="114300" simplePos="0" relativeHeight="251676672" behindDoc="0" locked="0" layoutInCell="1" allowOverlap="1" wp14:anchorId="706939FA" wp14:editId="0FE21579">
                <wp:simplePos x="0" y="0"/>
                <wp:positionH relativeFrom="column">
                  <wp:posOffset>1587500</wp:posOffset>
                </wp:positionH>
                <wp:positionV relativeFrom="paragraph">
                  <wp:posOffset>4933950</wp:posOffset>
                </wp:positionV>
                <wp:extent cx="685800" cy="95250"/>
                <wp:effectExtent l="0" t="0" r="19050" b="19050"/>
                <wp:wrapNone/>
                <wp:docPr id="946171070" name="Rectangle 4"/>
                <wp:cNvGraphicFramePr/>
                <a:graphic xmlns:a="http://schemas.openxmlformats.org/drawingml/2006/main">
                  <a:graphicData uri="http://schemas.microsoft.com/office/word/2010/wordprocessingShape">
                    <wps:wsp>
                      <wps:cNvSpPr/>
                      <wps:spPr>
                        <a:xfrm>
                          <a:off x="0" y="0"/>
                          <a:ext cx="685800" cy="95250"/>
                        </a:xfrm>
                        <a:prstGeom prst="rect">
                          <a:avLst/>
                        </a:prstGeom>
                        <a:solidFill>
                          <a:schemeClr val="bg1"/>
                        </a:solidFill>
                        <a:ln>
                          <a:solidFill>
                            <a:schemeClr val="bg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143FE955" id="Rectangle 4" o:spid="_x0000_s1026" style="position:absolute;margin-left:125pt;margin-top:388.5pt;width:54pt;height:7.5pt;z-index:25167667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" fillcolor="white [3212]" strokecolor="white [3212]" strokeweight="2pt"/>
            </w:pict>
          </mc:Fallback>
        </mc:AlternateContent>
      </w:r>
      <w:r w:rsidRPr="00792B36">
        <w:rPr>
          <w:noProof/>
          <w:sz w:val="24"/>
          <w:szCs w:val="24"/>
        </w:rPr>
        <w:drawing>
          <wp:inline distT="0" distB="0" distL="0" distR="0" wp14:anchorId="6F5E7AC7" wp14:editId="16990A7F">
            <wp:extent cx="3619500" cy="5118234"/>
            <wp:effectExtent l="0" t="0" r="0" b="6350"/>
            <wp:docPr id="374027410" name="Picture 1" descr="A map of the country&#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4027410" name="Picture 1" descr="A map of the country&#10;&#10;AI-generated content may be incorrect."/>
                    <pic:cNvPicPr/>
                  </pic:nvPicPr>
                  <pic:blipFill>
                    <a:blip r:embed="rId96"/>
                    <a:stretch>
                      <a:fillRect/>
                    </a:stretch>
                  </pic:blipFill>
                  <pic:spPr>
                    <a:xfrm>
                      <a:off x="0" y="0"/>
                      <a:ext cx="3634542" cy="5139505"/>
                    </a:xfrm>
                    <a:prstGeom prst="rect">
                      <a:avLst/>
                    </a:prstGeom>
                  </pic:spPr>
                </pic:pic>
              </a:graphicData>
            </a:graphic>
          </wp:inline>
        </w:drawing>
      </w:r>
    </w:p>
    <w:p w14:paraId="03C0DFDF" w14:textId="77777777" w:rsidR="009A0A63" w:rsidRPr="00792B36" w:rsidRDefault="009A0A63" w:rsidP="009A0A63">
      <w:pPr>
        <w:jc w:val="thaiDistribute"/>
        <w:rPr>
          <w:sz w:val="24"/>
          <w:szCs w:val="24"/>
        </w:rPr>
      </w:pPr>
    </w:p>
    <w:tbl>
      <w:tblPr>
        <w:tblStyle w:val="TableGrid"/>
        <w:tblW w:w="9349" w:type="dxa"/>
        <w:tblInd w:w="-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223"/>
        <w:gridCol w:w="8126"/>
      </w:tblGrid>
      <w:tr w:rsidR="009A0A63" w:rsidRPr="00792B36" w14:paraId="54B64C1F" w14:textId="77777777" w:rsidTr="00A24459">
        <w:tc>
          <w:tcPr>
            <w:tcW w:w="1223" w:type="dxa"/>
          </w:tcPr>
          <w:p w14:paraId="19591307" w14:textId="77777777" w:rsidR="009A0A63" w:rsidRPr="00792B36" w:rsidRDefault="009A0A63" w:rsidP="00A24459">
            <w:pPr>
              <w:ind w:hanging="70"/>
              <w:rPr>
                <w:sz w:val="24"/>
                <w:szCs w:val="24"/>
              </w:rPr>
            </w:pPr>
            <w:r w:rsidRPr="00792B36">
              <w:rPr>
                <w:b/>
                <w:bCs/>
                <w:sz w:val="24"/>
                <w:szCs w:val="24"/>
              </w:rPr>
              <w:t>Figure B.1</w:t>
            </w:r>
          </w:p>
        </w:tc>
        <w:tc>
          <w:tcPr>
            <w:tcW w:w="8126" w:type="dxa"/>
          </w:tcPr>
          <w:p w14:paraId="093BC30C" w14:textId="77777777" w:rsidR="009A0A63" w:rsidRPr="00792B36" w:rsidRDefault="009A0A63" w:rsidP="00A24459">
            <w:pPr>
              <w:ind w:left="-44"/>
              <w:jc w:val="thaiDistribute"/>
              <w:rPr>
                <w:sz w:val="24"/>
                <w:szCs w:val="24"/>
              </w:rPr>
            </w:pPr>
            <w:r w:rsidRPr="00792B36">
              <w:rPr>
                <w:sz w:val="24"/>
                <w:szCs w:val="24"/>
              </w:rPr>
              <w:t xml:space="preserve">Coastal seas in Thai waters </w:t>
            </w:r>
            <w:r w:rsidRPr="00792B36">
              <w:rPr>
                <w:rFonts w:ascii="Browallia New" w:hAnsi="Browallia New" w:cs="Browallia New" w:hint="cs"/>
                <w:sz w:val="24"/>
                <w:szCs w:val="24"/>
                <w:cs/>
              </w:rPr>
              <w:t>ประกาศตาม</w:t>
            </w:r>
            <w:r w:rsidRPr="00792B36">
              <w:rPr>
                <w:sz w:val="24"/>
                <w:szCs w:val="24"/>
                <w:cs/>
              </w:rPr>
              <w:t xml:space="preserve"> </w:t>
            </w:r>
            <w:r w:rsidRPr="00792B36">
              <w:rPr>
                <w:sz w:val="24"/>
                <w:szCs w:val="24"/>
              </w:rPr>
              <w:t>based on the Royal Ordinance</w:t>
            </w:r>
            <w:r w:rsidRPr="00792B36">
              <w:rPr>
                <w:sz w:val="24"/>
                <w:szCs w:val="24"/>
                <w:cs/>
              </w:rPr>
              <w:t xml:space="preserve"> </w:t>
            </w:r>
            <w:r w:rsidRPr="00792B36">
              <w:rPr>
                <w:sz w:val="24"/>
                <w:szCs w:val="24"/>
              </w:rPr>
              <w:t>on Fisheries B.E. 2558 (2025)</w:t>
            </w:r>
          </w:p>
        </w:tc>
      </w:tr>
    </w:tbl>
    <w:p w14:paraId="709313E8" w14:textId="77777777" w:rsidR="009A0A63" w:rsidRPr="00792B36" w:rsidRDefault="009A0A63" w:rsidP="009A0A63">
      <w:pPr>
        <w:ind w:firstLine="720"/>
        <w:jc w:val="thaiDistribute"/>
        <w:rPr>
          <w:sz w:val="24"/>
          <w:szCs w:val="24"/>
        </w:rPr>
      </w:pPr>
      <w:r w:rsidRPr="00792B36">
        <w:rPr>
          <w:b/>
          <w:bCs/>
          <w:sz w:val="24"/>
          <w:szCs w:val="24"/>
        </w:rPr>
        <w:t>Section 23</w:t>
      </w:r>
      <w:r w:rsidRPr="00792B36">
        <w:rPr>
          <w:sz w:val="24"/>
          <w:szCs w:val="24"/>
        </w:rPr>
        <w:t xml:space="preserve"> stipulates that the Fisheries Department shall take actions to develop and submit a Fisheries Management Plan to the National Fisheries Committee for deliberation. This plan shall subsequently be submitted to the cabinet </w:t>
      </w:r>
      <w:r w:rsidRPr="00792B36">
        <w:rPr>
          <w:sz w:val="24"/>
          <w:szCs w:val="24"/>
        </w:rPr>
        <w:lastRenderedPageBreak/>
        <w:t>for approval and implementation by agencies concerned.</w:t>
      </w:r>
    </w:p>
    <w:p w14:paraId="556F9288" w14:textId="77777777" w:rsidR="009A0A63" w:rsidRPr="00792B36" w:rsidRDefault="009A0A63" w:rsidP="009A0A63">
      <w:pPr>
        <w:ind w:firstLine="720"/>
        <w:jc w:val="thaiDistribute"/>
        <w:rPr>
          <w:sz w:val="24"/>
          <w:szCs w:val="24"/>
        </w:rPr>
      </w:pPr>
    </w:p>
    <w:p w14:paraId="345550C9" w14:textId="77777777" w:rsidR="009A0A63" w:rsidRPr="00792B36" w:rsidRDefault="009A0A63" w:rsidP="009A0A63">
      <w:pPr>
        <w:ind w:firstLine="720"/>
        <w:jc w:val="thaiDistribute"/>
        <w:rPr>
          <w:sz w:val="24"/>
          <w:szCs w:val="24"/>
        </w:rPr>
      </w:pPr>
      <w:r w:rsidRPr="00792B36">
        <w:rPr>
          <w:b/>
          <w:bCs/>
          <w:sz w:val="24"/>
          <w:szCs w:val="24"/>
        </w:rPr>
        <w:t>Section 24</w:t>
      </w:r>
      <w:r w:rsidRPr="00792B36">
        <w:rPr>
          <w:sz w:val="24"/>
          <w:szCs w:val="24"/>
        </w:rPr>
        <w:t xml:space="preserve"> The Fisheries Management Plan under Section 23 must cover at least 8 guidelines. The important guidelines related to marine fisheries management include:</w:t>
      </w:r>
    </w:p>
    <w:p w14:paraId="4808FFA4" w14:textId="77777777" w:rsidR="009A0A63" w:rsidRPr="00792B36" w:rsidRDefault="009A0A63" w:rsidP="00F61B37">
      <w:pPr>
        <w:pStyle w:val="ListParagraph"/>
        <w:widowControl/>
        <w:numPr>
          <w:ilvl w:val="0"/>
          <w:numId w:val="119"/>
        </w:numPr>
        <w:ind w:firstLine="54"/>
        <w:jc w:val="thaiDistribute"/>
        <w:rPr>
          <w:rFonts w:cs="Arial"/>
          <w:sz w:val="24"/>
          <w:szCs w:val="24"/>
        </w:rPr>
      </w:pPr>
      <w:r w:rsidRPr="00792B36">
        <w:rPr>
          <w:rFonts w:cs="Arial"/>
          <w:sz w:val="24"/>
          <w:szCs w:val="24"/>
        </w:rPr>
        <w:t>Guideline for issuing fishing licenses aligned with fishing capacity and maximum sustainable yield, using reference points as a basis for consideration,</w:t>
      </w:r>
    </w:p>
    <w:p w14:paraId="1C442181" w14:textId="77777777" w:rsidR="009A0A63" w:rsidRPr="00792B36" w:rsidRDefault="009A0A63" w:rsidP="00F61B37">
      <w:pPr>
        <w:pStyle w:val="ListParagraph"/>
        <w:widowControl/>
        <w:numPr>
          <w:ilvl w:val="0"/>
          <w:numId w:val="119"/>
        </w:numPr>
        <w:ind w:firstLine="54"/>
        <w:jc w:val="thaiDistribute"/>
        <w:rPr>
          <w:rFonts w:cs="Arial"/>
          <w:sz w:val="24"/>
          <w:szCs w:val="24"/>
        </w:rPr>
      </w:pPr>
      <w:r w:rsidRPr="00792B36">
        <w:rPr>
          <w:rFonts w:cs="Arial"/>
          <w:sz w:val="24"/>
          <w:szCs w:val="24"/>
        </w:rPr>
        <w:t>Guideline for reducing number of fishing vessels engaged in commercial fishing operations, and</w:t>
      </w:r>
    </w:p>
    <w:p w14:paraId="7CC60D0E" w14:textId="77777777" w:rsidR="009A0A63" w:rsidRPr="00792B36" w:rsidRDefault="009A0A63" w:rsidP="00F61B37">
      <w:pPr>
        <w:pStyle w:val="ListParagraph"/>
        <w:widowControl/>
        <w:numPr>
          <w:ilvl w:val="0"/>
          <w:numId w:val="119"/>
        </w:numPr>
        <w:ind w:firstLine="54"/>
        <w:jc w:val="thaiDistribute"/>
        <w:rPr>
          <w:rFonts w:cs="Arial"/>
          <w:sz w:val="24"/>
          <w:szCs w:val="24"/>
        </w:rPr>
      </w:pPr>
      <w:r w:rsidRPr="00792B36">
        <w:rPr>
          <w:rFonts w:cs="Arial"/>
          <w:sz w:val="24"/>
          <w:szCs w:val="24"/>
        </w:rPr>
        <w:t>Guideline for preventing the catching of aquatic animals of premature sizes.</w:t>
      </w:r>
    </w:p>
    <w:p w14:paraId="54EFBEF5" w14:textId="77777777" w:rsidR="009A0A63" w:rsidRPr="00792B36" w:rsidRDefault="009A0A63" w:rsidP="009A0A63">
      <w:pPr>
        <w:ind w:firstLine="720"/>
        <w:jc w:val="thaiDistribute"/>
        <w:rPr>
          <w:sz w:val="24"/>
          <w:szCs w:val="24"/>
        </w:rPr>
      </w:pPr>
      <w:r w:rsidRPr="00792B36">
        <w:rPr>
          <w:sz w:val="24"/>
          <w:szCs w:val="24"/>
        </w:rPr>
        <w:t>Under Section 23 and 24, the Department of Fisheries has developed the current Fisheries Management Policy and Plan for 2023 – 2027. The plan consists of five policies: marine fishery, inland fishery, overseas fishery, aquaculture, and fishery-related industry. For marine fishery, the policy states “Fisheries resources in Thai waters and aquatic habitats have become more abundant, allowing fishers to increase their catch. Marine fishing in Thai waters is free from illegal fishing practices, and labor in the fisheries sector is legal and sufficiently available.”</w:t>
      </w:r>
    </w:p>
    <w:p w14:paraId="0C7D9400" w14:textId="77777777" w:rsidR="009A0A63" w:rsidRPr="00792B36" w:rsidRDefault="009A0A63" w:rsidP="009A0A63">
      <w:pPr>
        <w:ind w:firstLine="709"/>
        <w:jc w:val="thaiDistribute"/>
        <w:rPr>
          <w:sz w:val="24"/>
          <w:szCs w:val="24"/>
        </w:rPr>
      </w:pPr>
      <w:r w:rsidRPr="00792B36">
        <w:rPr>
          <w:sz w:val="24"/>
          <w:szCs w:val="24"/>
        </w:rPr>
        <w:t>The Fisheries Management Policy and Plan outline four strategies. Each strategy contains several approaches, and each approach comprises multiple activities. All policy activities are embedded in each strategy and approach.</w:t>
      </w:r>
      <w:r w:rsidRPr="00792B36">
        <w:rPr>
          <w:sz w:val="24"/>
          <w:szCs w:val="24"/>
          <w:cs/>
        </w:rPr>
        <w:t xml:space="preserve"> </w:t>
      </w:r>
      <w:r w:rsidRPr="00792B36">
        <w:rPr>
          <w:sz w:val="24"/>
          <w:szCs w:val="24"/>
        </w:rPr>
        <w:t>The strategies and activities related to marine fisheries are presented as follows.</w:t>
      </w:r>
    </w:p>
    <w:p w14:paraId="48A3730E" w14:textId="77777777" w:rsidR="009A0A63" w:rsidRPr="00792B36" w:rsidRDefault="009A0A63" w:rsidP="009A0A63">
      <w:pPr>
        <w:jc w:val="thaiDistribute"/>
        <w:rPr>
          <w:sz w:val="24"/>
          <w:szCs w:val="24"/>
        </w:rPr>
      </w:pPr>
    </w:p>
    <w:p w14:paraId="4181BC9F" w14:textId="77777777" w:rsidR="009A0A63" w:rsidRPr="00792B36" w:rsidRDefault="009A0A63" w:rsidP="009A0A63">
      <w:pPr>
        <w:jc w:val="thaiDistribute"/>
        <w:rPr>
          <w:sz w:val="24"/>
          <w:szCs w:val="24"/>
          <w:u w:val="single"/>
        </w:rPr>
      </w:pPr>
      <w:r w:rsidRPr="00792B36">
        <w:rPr>
          <w:sz w:val="24"/>
          <w:szCs w:val="24"/>
          <w:u w:val="single"/>
        </w:rPr>
        <w:t>Strategy 1: Conserve and Restore Ecosystem, and Maintain Ecosystem Balance</w:t>
      </w:r>
    </w:p>
    <w:p w14:paraId="292E061E" w14:textId="77777777" w:rsidR="009A0A63" w:rsidRPr="00792B36" w:rsidRDefault="009A0A63" w:rsidP="009A0A63">
      <w:pPr>
        <w:ind w:firstLine="720"/>
        <w:jc w:val="thaiDistribute"/>
        <w:rPr>
          <w:spacing w:val="-4"/>
          <w:sz w:val="24"/>
          <w:szCs w:val="24"/>
        </w:rPr>
      </w:pPr>
      <w:r w:rsidRPr="00792B36">
        <w:rPr>
          <w:spacing w:val="-4"/>
          <w:sz w:val="24"/>
          <w:szCs w:val="24"/>
        </w:rPr>
        <w:t xml:space="preserve">Approach 1: Enhance the abundance of fisheries resources and aquatic habitats (16 activities) </w:t>
      </w:r>
    </w:p>
    <w:p w14:paraId="65AD6505" w14:textId="77777777" w:rsidR="009A0A63" w:rsidRPr="00792B36" w:rsidRDefault="009A0A63" w:rsidP="009A0A63">
      <w:pPr>
        <w:ind w:firstLine="720"/>
        <w:jc w:val="thaiDistribute"/>
        <w:rPr>
          <w:sz w:val="24"/>
          <w:szCs w:val="24"/>
        </w:rPr>
      </w:pPr>
      <w:r w:rsidRPr="00792B36">
        <w:rPr>
          <w:sz w:val="24"/>
          <w:szCs w:val="24"/>
        </w:rPr>
        <w:t>Marine fishery-related activities include:</w:t>
      </w:r>
    </w:p>
    <w:p w14:paraId="48094C87" w14:textId="77777777" w:rsidR="009A0A63" w:rsidRPr="00792B36" w:rsidRDefault="009A0A63" w:rsidP="009A0A63">
      <w:pPr>
        <w:pStyle w:val="ListParagraph"/>
        <w:ind w:left="1276" w:hanging="142"/>
        <w:jc w:val="thaiDistribute"/>
        <w:rPr>
          <w:rFonts w:cs="Arial"/>
          <w:sz w:val="24"/>
          <w:szCs w:val="24"/>
        </w:rPr>
      </w:pPr>
      <w:r w:rsidRPr="00792B36">
        <w:rPr>
          <w:rFonts w:cs="Arial"/>
          <w:sz w:val="24"/>
          <w:szCs w:val="24"/>
        </w:rPr>
        <w:t>- Implement mesh size regulations, fishing technique regulations, or gear specifications to reduce the catch of juvenile economic species</w:t>
      </w:r>
    </w:p>
    <w:p w14:paraId="27C9BD79" w14:textId="77777777" w:rsidR="009A0A63" w:rsidRPr="00792B36" w:rsidRDefault="009A0A63" w:rsidP="009A0A63">
      <w:pPr>
        <w:ind w:left="414" w:firstLine="720"/>
        <w:jc w:val="thaiDistribute"/>
        <w:rPr>
          <w:sz w:val="24"/>
          <w:szCs w:val="24"/>
        </w:rPr>
      </w:pPr>
      <w:r w:rsidRPr="00792B36">
        <w:rPr>
          <w:sz w:val="24"/>
          <w:szCs w:val="24"/>
        </w:rPr>
        <w:t>- Establish marine habitats (e.g., artificial reefs)</w:t>
      </w:r>
    </w:p>
    <w:p w14:paraId="01768A0D" w14:textId="77777777" w:rsidR="009A0A63" w:rsidRPr="00792B36" w:rsidRDefault="009A0A63" w:rsidP="009A0A63">
      <w:pPr>
        <w:ind w:left="414" w:firstLine="720"/>
        <w:jc w:val="thaiDistribute"/>
        <w:rPr>
          <w:sz w:val="24"/>
          <w:szCs w:val="24"/>
        </w:rPr>
      </w:pPr>
      <w:r w:rsidRPr="00792B36">
        <w:rPr>
          <w:sz w:val="24"/>
          <w:szCs w:val="24"/>
        </w:rPr>
        <w:t>- Ecosystem Approach to Fisheries Management (EAFM) for coastal communities</w:t>
      </w:r>
    </w:p>
    <w:p w14:paraId="3B9AC5F3" w14:textId="77777777" w:rsidR="009A0A63" w:rsidRPr="00792B36" w:rsidRDefault="009A0A63" w:rsidP="009A0A63">
      <w:pPr>
        <w:ind w:left="1276" w:hanging="142"/>
        <w:jc w:val="thaiDistribute"/>
        <w:rPr>
          <w:sz w:val="24"/>
          <w:szCs w:val="24"/>
        </w:rPr>
      </w:pPr>
      <w:r w:rsidRPr="00792B36">
        <w:rPr>
          <w:sz w:val="24"/>
          <w:szCs w:val="24"/>
        </w:rPr>
        <w:t>- Allocate fishing effort and issue fishing licenses do not exceed the Maximum Sustainable Yield (MSY) in deep-sea waters</w:t>
      </w:r>
    </w:p>
    <w:p w14:paraId="3BA8E215" w14:textId="77777777" w:rsidR="009A0A63" w:rsidRPr="00792B36" w:rsidRDefault="009A0A63" w:rsidP="009A0A63">
      <w:pPr>
        <w:ind w:left="414" w:firstLine="720"/>
        <w:jc w:val="thaiDistribute"/>
        <w:rPr>
          <w:sz w:val="24"/>
          <w:szCs w:val="24"/>
        </w:rPr>
      </w:pPr>
      <w:r w:rsidRPr="00792B36">
        <w:rPr>
          <w:sz w:val="24"/>
          <w:szCs w:val="24"/>
        </w:rPr>
        <w:t>- Establish conservation areas in accordance with national and international laws</w:t>
      </w:r>
    </w:p>
    <w:p w14:paraId="58F606A9" w14:textId="77777777" w:rsidR="009A0A63" w:rsidRPr="00792B36" w:rsidRDefault="009A0A63" w:rsidP="009A0A63">
      <w:pPr>
        <w:ind w:firstLine="709"/>
        <w:jc w:val="thaiDistribute"/>
        <w:rPr>
          <w:sz w:val="24"/>
          <w:szCs w:val="24"/>
        </w:rPr>
      </w:pPr>
      <w:r w:rsidRPr="00792B36">
        <w:rPr>
          <w:sz w:val="24"/>
          <w:szCs w:val="24"/>
        </w:rPr>
        <w:t>Approach 2: Increase productivity of economically important aquatic species (8 activities)</w:t>
      </w:r>
    </w:p>
    <w:p w14:paraId="716A62B9" w14:textId="77777777" w:rsidR="009A0A63" w:rsidRPr="00792B36" w:rsidRDefault="009A0A63" w:rsidP="009A0A63">
      <w:pPr>
        <w:ind w:firstLine="720"/>
        <w:jc w:val="thaiDistribute"/>
        <w:rPr>
          <w:sz w:val="24"/>
          <w:szCs w:val="24"/>
        </w:rPr>
      </w:pPr>
      <w:r w:rsidRPr="00792B36">
        <w:rPr>
          <w:sz w:val="24"/>
          <w:szCs w:val="24"/>
        </w:rPr>
        <w:t>Approach 3: Maintain the populations of rare and threatened aquatic species and preserve biodiversity (4 activities)</w:t>
      </w:r>
    </w:p>
    <w:p w14:paraId="195A518A" w14:textId="77777777" w:rsidR="009A0A63" w:rsidRPr="00792B36" w:rsidRDefault="009A0A63" w:rsidP="009A0A63">
      <w:pPr>
        <w:jc w:val="thaiDistribute"/>
        <w:rPr>
          <w:sz w:val="24"/>
          <w:szCs w:val="24"/>
        </w:rPr>
      </w:pPr>
    </w:p>
    <w:p w14:paraId="38F6D80D" w14:textId="77777777" w:rsidR="009A0A63" w:rsidRPr="00792B36" w:rsidRDefault="009A0A63" w:rsidP="009A0A63">
      <w:pPr>
        <w:rPr>
          <w:sz w:val="24"/>
          <w:szCs w:val="24"/>
          <w:u w:val="single"/>
        </w:rPr>
      </w:pPr>
      <w:r w:rsidRPr="00792B36">
        <w:rPr>
          <w:sz w:val="24"/>
          <w:szCs w:val="24"/>
          <w:u w:val="single"/>
        </w:rPr>
        <w:t>Strategy 2: Sustainable Fisheries Resource Management and Utilization</w:t>
      </w:r>
    </w:p>
    <w:p w14:paraId="70CB380C" w14:textId="77777777" w:rsidR="009A0A63" w:rsidRPr="00792B36" w:rsidRDefault="009A0A63" w:rsidP="009A0A63">
      <w:pPr>
        <w:ind w:firstLine="720"/>
        <w:jc w:val="thaiDistribute"/>
        <w:rPr>
          <w:sz w:val="24"/>
          <w:szCs w:val="24"/>
        </w:rPr>
      </w:pPr>
      <w:r w:rsidRPr="00792B36">
        <w:rPr>
          <w:sz w:val="24"/>
          <w:szCs w:val="24"/>
        </w:rPr>
        <w:t>Approach 1: Manage fisheries resources utilization based on reference points (8 activities)</w:t>
      </w:r>
    </w:p>
    <w:p w14:paraId="3F320F95" w14:textId="77777777" w:rsidR="009A0A63" w:rsidRPr="00792B36" w:rsidRDefault="009A0A63" w:rsidP="009A0A63">
      <w:pPr>
        <w:ind w:firstLine="720"/>
        <w:jc w:val="thaiDistribute"/>
        <w:rPr>
          <w:sz w:val="24"/>
          <w:szCs w:val="24"/>
        </w:rPr>
      </w:pPr>
      <w:r w:rsidRPr="00792B36">
        <w:rPr>
          <w:sz w:val="24"/>
          <w:szCs w:val="24"/>
        </w:rPr>
        <w:t>Marine fishery-related activities include:</w:t>
      </w:r>
    </w:p>
    <w:p w14:paraId="7E8C9E44" w14:textId="77777777" w:rsidR="009A0A63" w:rsidRPr="00792B36" w:rsidRDefault="009A0A63" w:rsidP="009A0A63">
      <w:pPr>
        <w:ind w:left="1276" w:hanging="142"/>
        <w:jc w:val="thaiDistribute"/>
        <w:rPr>
          <w:sz w:val="24"/>
          <w:szCs w:val="24"/>
        </w:rPr>
      </w:pPr>
      <w:r w:rsidRPr="00792B36">
        <w:rPr>
          <w:sz w:val="24"/>
          <w:szCs w:val="24"/>
        </w:rPr>
        <w:t>- Monitor resource utilization based on MSY assessments and ensure annual catch does not exceed MSY</w:t>
      </w:r>
    </w:p>
    <w:p w14:paraId="73A0A06B" w14:textId="77777777" w:rsidR="009A0A63" w:rsidRPr="00792B36" w:rsidRDefault="009A0A63" w:rsidP="009A0A63">
      <w:pPr>
        <w:ind w:left="720" w:firstLine="414"/>
        <w:jc w:val="thaiDistribute"/>
        <w:rPr>
          <w:sz w:val="24"/>
          <w:szCs w:val="24"/>
        </w:rPr>
      </w:pPr>
      <w:r w:rsidRPr="00792B36">
        <w:rPr>
          <w:sz w:val="24"/>
          <w:szCs w:val="24"/>
        </w:rPr>
        <w:t>- Allocate fishing days and monitor to ensure compliance</w:t>
      </w:r>
    </w:p>
    <w:p w14:paraId="74372387" w14:textId="77777777" w:rsidR="009A0A63" w:rsidRPr="00792B36" w:rsidRDefault="009A0A63" w:rsidP="009A0A63">
      <w:pPr>
        <w:ind w:left="720" w:firstLine="414"/>
        <w:jc w:val="thaiDistribute"/>
        <w:rPr>
          <w:sz w:val="24"/>
          <w:szCs w:val="24"/>
        </w:rPr>
      </w:pPr>
      <w:r w:rsidRPr="00792B36">
        <w:rPr>
          <w:sz w:val="24"/>
          <w:szCs w:val="24"/>
        </w:rPr>
        <w:t>- Decommission excess fishing vessels to reduce overcapacity</w:t>
      </w:r>
    </w:p>
    <w:p w14:paraId="025AD939" w14:textId="77777777" w:rsidR="009A0A63" w:rsidRPr="00792B36" w:rsidRDefault="009A0A63" w:rsidP="009A0A63">
      <w:pPr>
        <w:ind w:left="720" w:firstLine="414"/>
        <w:jc w:val="thaiDistribute"/>
        <w:rPr>
          <w:sz w:val="24"/>
          <w:szCs w:val="24"/>
        </w:rPr>
      </w:pPr>
      <w:r w:rsidRPr="00792B36">
        <w:rPr>
          <w:sz w:val="24"/>
          <w:szCs w:val="24"/>
        </w:rPr>
        <w:lastRenderedPageBreak/>
        <w:t>- Enforce fishing gear standards</w:t>
      </w:r>
    </w:p>
    <w:p w14:paraId="724C17D3" w14:textId="77777777" w:rsidR="009A0A63" w:rsidRPr="00792B36" w:rsidRDefault="009A0A63" w:rsidP="009A0A63">
      <w:pPr>
        <w:ind w:left="720" w:firstLine="414"/>
        <w:jc w:val="thaiDistribute"/>
        <w:rPr>
          <w:sz w:val="24"/>
          <w:szCs w:val="24"/>
        </w:rPr>
      </w:pPr>
      <w:r w:rsidRPr="00792B36">
        <w:rPr>
          <w:sz w:val="24"/>
          <w:szCs w:val="24"/>
        </w:rPr>
        <w:t>- Implement spatial management for specific aquatic species</w:t>
      </w:r>
    </w:p>
    <w:p w14:paraId="6C3AFBBA" w14:textId="77777777" w:rsidR="009A0A63" w:rsidRPr="00792B36" w:rsidRDefault="009A0A63" w:rsidP="009A0A63">
      <w:pPr>
        <w:ind w:left="720" w:firstLine="414"/>
        <w:jc w:val="thaiDistribute"/>
        <w:rPr>
          <w:sz w:val="24"/>
          <w:szCs w:val="24"/>
        </w:rPr>
      </w:pPr>
      <w:r w:rsidRPr="00792B36">
        <w:rPr>
          <w:sz w:val="24"/>
          <w:szCs w:val="24"/>
        </w:rPr>
        <w:t>- Combine fishing licenses</w:t>
      </w:r>
    </w:p>
    <w:p w14:paraId="2DD80BED" w14:textId="77777777" w:rsidR="009A0A63" w:rsidRPr="00792B36" w:rsidRDefault="009A0A63" w:rsidP="009A0A63">
      <w:pPr>
        <w:ind w:firstLine="720"/>
        <w:jc w:val="thaiDistribute"/>
        <w:rPr>
          <w:sz w:val="24"/>
          <w:szCs w:val="24"/>
        </w:rPr>
      </w:pPr>
      <w:r w:rsidRPr="00792B36">
        <w:rPr>
          <w:sz w:val="24"/>
          <w:szCs w:val="24"/>
        </w:rPr>
        <w:t>Approach 2: Develop and improve the MCS (Monitoring, Control, and Surveillance) system, and revise the legal framework to be suitable to current situation and to prevent IUU fishing (4 activities)</w:t>
      </w:r>
    </w:p>
    <w:p w14:paraId="544E5897" w14:textId="77777777" w:rsidR="009A0A63" w:rsidRPr="00792B36" w:rsidRDefault="009A0A63" w:rsidP="009A0A63">
      <w:pPr>
        <w:ind w:firstLine="720"/>
        <w:jc w:val="thaiDistribute"/>
        <w:rPr>
          <w:sz w:val="24"/>
          <w:szCs w:val="24"/>
        </w:rPr>
      </w:pPr>
      <w:r w:rsidRPr="00792B36">
        <w:rPr>
          <w:sz w:val="24"/>
          <w:szCs w:val="24"/>
        </w:rPr>
        <w:t>Marine fishery-related activities include:</w:t>
      </w:r>
    </w:p>
    <w:p w14:paraId="5CA97C5C" w14:textId="77777777" w:rsidR="009A0A63" w:rsidRPr="00792B36" w:rsidRDefault="009A0A63" w:rsidP="009A0A63">
      <w:pPr>
        <w:ind w:left="720" w:firstLine="414"/>
        <w:jc w:val="thaiDistribute"/>
        <w:rPr>
          <w:sz w:val="24"/>
          <w:szCs w:val="24"/>
        </w:rPr>
      </w:pPr>
      <w:r w:rsidRPr="00792B36">
        <w:rPr>
          <w:sz w:val="24"/>
          <w:szCs w:val="24"/>
        </w:rPr>
        <w:t>- Monitor and regulate fishing vessel operations in accordance with the law</w:t>
      </w:r>
    </w:p>
    <w:p w14:paraId="6D14B7A7" w14:textId="77777777" w:rsidR="009A0A63" w:rsidRPr="00792B36" w:rsidRDefault="009A0A63" w:rsidP="009A0A63">
      <w:pPr>
        <w:ind w:left="720" w:firstLine="414"/>
        <w:jc w:val="thaiDistribute"/>
        <w:rPr>
          <w:sz w:val="24"/>
          <w:szCs w:val="24"/>
        </w:rPr>
      </w:pPr>
      <w:r w:rsidRPr="00792B36">
        <w:rPr>
          <w:sz w:val="24"/>
          <w:szCs w:val="24"/>
        </w:rPr>
        <w:t>- Raise awareness and support local fishing communities to prevent IUU fishing</w:t>
      </w:r>
    </w:p>
    <w:p w14:paraId="4ED66087" w14:textId="77777777" w:rsidR="009A0A63" w:rsidRPr="00792B36" w:rsidRDefault="009A0A63" w:rsidP="009A0A63">
      <w:pPr>
        <w:ind w:firstLine="720"/>
        <w:jc w:val="thaiDistribute"/>
        <w:rPr>
          <w:sz w:val="24"/>
          <w:szCs w:val="24"/>
        </w:rPr>
      </w:pPr>
      <w:r w:rsidRPr="00792B36">
        <w:rPr>
          <w:sz w:val="24"/>
          <w:szCs w:val="24"/>
        </w:rPr>
        <w:t>Approach 3: Establish international and regional cooperation networks to combat illegal fishing (5 activities)</w:t>
      </w:r>
    </w:p>
    <w:p w14:paraId="1141F33D" w14:textId="77777777" w:rsidR="009A0A63" w:rsidRPr="00792B36" w:rsidRDefault="009A0A63" w:rsidP="009A0A63">
      <w:pPr>
        <w:ind w:firstLine="720"/>
        <w:jc w:val="thaiDistribute"/>
        <w:rPr>
          <w:sz w:val="24"/>
          <w:szCs w:val="24"/>
        </w:rPr>
      </w:pPr>
      <w:r w:rsidRPr="00792B36">
        <w:rPr>
          <w:sz w:val="24"/>
          <w:szCs w:val="24"/>
        </w:rPr>
        <w:t>Approach 4: Encourage community participation in monitoring, control, and surveillance, and assessment of aquatic resources (4 activities)</w:t>
      </w:r>
    </w:p>
    <w:p w14:paraId="2A1D169F" w14:textId="77777777" w:rsidR="009A0A63" w:rsidRPr="00792B36" w:rsidRDefault="009A0A63" w:rsidP="009A0A63">
      <w:pPr>
        <w:ind w:firstLine="720"/>
        <w:jc w:val="thaiDistribute"/>
        <w:rPr>
          <w:sz w:val="24"/>
          <w:szCs w:val="24"/>
        </w:rPr>
      </w:pPr>
      <w:r w:rsidRPr="00792B36">
        <w:rPr>
          <w:sz w:val="24"/>
          <w:szCs w:val="24"/>
        </w:rPr>
        <w:t>Approach 5: Eliminate illegal fishing gear and regulate fisheries in Songkhla Lake (3 activities)</w:t>
      </w:r>
    </w:p>
    <w:p w14:paraId="38F992BA" w14:textId="77777777" w:rsidR="009A0A63" w:rsidRPr="00792B36" w:rsidRDefault="009A0A63" w:rsidP="009A0A63">
      <w:pPr>
        <w:ind w:firstLine="720"/>
        <w:jc w:val="thaiDistribute"/>
        <w:rPr>
          <w:sz w:val="24"/>
          <w:szCs w:val="24"/>
        </w:rPr>
      </w:pPr>
    </w:p>
    <w:p w14:paraId="597EAF8D" w14:textId="77777777" w:rsidR="009A0A63" w:rsidRPr="00792B36" w:rsidRDefault="009A0A63" w:rsidP="009A0A63">
      <w:pPr>
        <w:jc w:val="thaiDistribute"/>
        <w:rPr>
          <w:spacing w:val="-2"/>
          <w:sz w:val="24"/>
          <w:szCs w:val="24"/>
          <w:u w:val="single"/>
        </w:rPr>
      </w:pPr>
      <w:r w:rsidRPr="00792B36">
        <w:rPr>
          <w:spacing w:val="-2"/>
          <w:sz w:val="24"/>
          <w:szCs w:val="24"/>
          <w:u w:val="single"/>
        </w:rPr>
        <w:t>Strategy 3: Enhance Competitiveness and Capacity of Fishers, Farmers, and Entrepreneurs</w:t>
      </w:r>
    </w:p>
    <w:p w14:paraId="6C21A716" w14:textId="77777777" w:rsidR="009A0A63" w:rsidRPr="00792B36" w:rsidRDefault="009A0A63" w:rsidP="009A0A63">
      <w:pPr>
        <w:ind w:firstLine="720"/>
        <w:jc w:val="thaiDistribute"/>
        <w:rPr>
          <w:sz w:val="24"/>
          <w:szCs w:val="24"/>
        </w:rPr>
      </w:pPr>
      <w:r w:rsidRPr="00792B36">
        <w:rPr>
          <w:sz w:val="24"/>
          <w:szCs w:val="24"/>
        </w:rPr>
        <w:t>Approach 1: Develop technology and build capacity for fishers and entrepreneurs (8 activities)</w:t>
      </w:r>
    </w:p>
    <w:p w14:paraId="6213E24A" w14:textId="77777777" w:rsidR="009A0A63" w:rsidRPr="00792B36" w:rsidRDefault="009A0A63" w:rsidP="009A0A63">
      <w:pPr>
        <w:ind w:firstLine="720"/>
        <w:jc w:val="thaiDistribute"/>
        <w:rPr>
          <w:sz w:val="24"/>
          <w:szCs w:val="24"/>
        </w:rPr>
      </w:pPr>
      <w:r w:rsidRPr="00792B36">
        <w:rPr>
          <w:sz w:val="24"/>
          <w:szCs w:val="24"/>
        </w:rPr>
        <w:t>Marine fishery-related activities include:</w:t>
      </w:r>
    </w:p>
    <w:p w14:paraId="2FDD0EEB" w14:textId="77777777" w:rsidR="009A0A63" w:rsidRPr="00792B36" w:rsidRDefault="009A0A63" w:rsidP="009A0A63">
      <w:pPr>
        <w:ind w:left="720" w:firstLine="414"/>
        <w:jc w:val="thaiDistribute"/>
        <w:rPr>
          <w:sz w:val="24"/>
          <w:szCs w:val="24"/>
        </w:rPr>
      </w:pPr>
      <w:r w:rsidRPr="00792B36">
        <w:rPr>
          <w:sz w:val="24"/>
          <w:szCs w:val="24"/>
        </w:rPr>
        <w:t>- Develop alternative energy and technology for small-scale fishing vessels</w:t>
      </w:r>
    </w:p>
    <w:p w14:paraId="4E9225A3" w14:textId="77777777" w:rsidR="009A0A63" w:rsidRPr="00792B36" w:rsidRDefault="009A0A63" w:rsidP="009A0A63">
      <w:pPr>
        <w:ind w:firstLine="720"/>
        <w:jc w:val="thaiDistribute"/>
        <w:rPr>
          <w:sz w:val="24"/>
          <w:szCs w:val="24"/>
        </w:rPr>
      </w:pPr>
      <w:r w:rsidRPr="00792B36">
        <w:rPr>
          <w:sz w:val="24"/>
          <w:szCs w:val="24"/>
        </w:rPr>
        <w:t>Approach 2: Build capacity of aquaculture farmers and entrepreneurs to meet fisheries standards (6 activities)</w:t>
      </w:r>
    </w:p>
    <w:p w14:paraId="57BAB701" w14:textId="77777777" w:rsidR="009A0A63" w:rsidRPr="00792B36" w:rsidRDefault="009A0A63" w:rsidP="009A0A63">
      <w:pPr>
        <w:ind w:firstLine="720"/>
        <w:jc w:val="thaiDistribute"/>
        <w:rPr>
          <w:sz w:val="24"/>
          <w:szCs w:val="24"/>
        </w:rPr>
      </w:pPr>
      <w:r w:rsidRPr="00792B36">
        <w:rPr>
          <w:sz w:val="24"/>
          <w:szCs w:val="24"/>
        </w:rPr>
        <w:t>Approach 3: Promote group formation and cooperation with domestic and international agencies (2 activities)</w:t>
      </w:r>
    </w:p>
    <w:p w14:paraId="310B8492" w14:textId="77777777" w:rsidR="009A0A63" w:rsidRPr="00792B36" w:rsidRDefault="009A0A63" w:rsidP="009A0A63">
      <w:pPr>
        <w:ind w:firstLine="720"/>
        <w:jc w:val="thaiDistribute"/>
        <w:rPr>
          <w:sz w:val="24"/>
          <w:szCs w:val="24"/>
        </w:rPr>
      </w:pPr>
      <w:r w:rsidRPr="00792B36">
        <w:rPr>
          <w:sz w:val="24"/>
          <w:szCs w:val="24"/>
        </w:rPr>
        <w:t>Approach 4: Promote and transfer sustainable and environmentally friendly aquaculture technologies (6 activities)</w:t>
      </w:r>
    </w:p>
    <w:p w14:paraId="21E99B66" w14:textId="77777777" w:rsidR="009A0A63" w:rsidRPr="00792B36" w:rsidRDefault="009A0A63" w:rsidP="009A0A63">
      <w:pPr>
        <w:ind w:firstLine="720"/>
        <w:jc w:val="thaiDistribute"/>
        <w:rPr>
          <w:sz w:val="24"/>
          <w:szCs w:val="24"/>
        </w:rPr>
      </w:pPr>
      <w:r w:rsidRPr="00792B36">
        <w:rPr>
          <w:sz w:val="24"/>
          <w:szCs w:val="24"/>
        </w:rPr>
        <w:t>Approach 5: Upgrade fishery products to meet quality standards with full traceability across the supply chain (8 activities)</w:t>
      </w:r>
    </w:p>
    <w:p w14:paraId="19FB610A" w14:textId="77777777" w:rsidR="009A0A63" w:rsidRPr="00792B36" w:rsidRDefault="009A0A63" w:rsidP="009A0A63">
      <w:pPr>
        <w:ind w:firstLine="720"/>
        <w:jc w:val="thaiDistribute"/>
        <w:rPr>
          <w:sz w:val="24"/>
          <w:szCs w:val="24"/>
        </w:rPr>
      </w:pPr>
      <w:r w:rsidRPr="00792B36">
        <w:rPr>
          <w:sz w:val="24"/>
          <w:szCs w:val="24"/>
        </w:rPr>
        <w:t>Marine fishery-related activities include:</w:t>
      </w:r>
    </w:p>
    <w:p w14:paraId="5BC66CF6" w14:textId="77777777" w:rsidR="009A0A63" w:rsidRPr="00792B36" w:rsidRDefault="009A0A63" w:rsidP="009A0A63">
      <w:pPr>
        <w:ind w:left="1276" w:hanging="142"/>
        <w:jc w:val="thaiDistribute"/>
        <w:rPr>
          <w:sz w:val="24"/>
          <w:szCs w:val="24"/>
        </w:rPr>
      </w:pPr>
      <w:r w:rsidRPr="00792B36">
        <w:rPr>
          <w:sz w:val="24"/>
          <w:szCs w:val="24"/>
        </w:rPr>
        <w:t>- Improve fisheries under the Fishery Improvement Project (FIP) to meet international standards</w:t>
      </w:r>
    </w:p>
    <w:p w14:paraId="664EF946" w14:textId="77777777" w:rsidR="009A0A63" w:rsidRPr="00792B36" w:rsidRDefault="009A0A63" w:rsidP="009A0A63">
      <w:pPr>
        <w:jc w:val="thaiDistribute"/>
        <w:rPr>
          <w:sz w:val="24"/>
          <w:szCs w:val="24"/>
        </w:rPr>
      </w:pPr>
    </w:p>
    <w:p w14:paraId="7EBDDF72" w14:textId="77777777" w:rsidR="009A0A63" w:rsidRPr="00792B36" w:rsidRDefault="009A0A63" w:rsidP="009A0A63">
      <w:pPr>
        <w:jc w:val="thaiDistribute"/>
        <w:rPr>
          <w:sz w:val="24"/>
          <w:szCs w:val="24"/>
          <w:u w:val="single"/>
        </w:rPr>
      </w:pPr>
      <w:r w:rsidRPr="00792B36">
        <w:rPr>
          <w:sz w:val="24"/>
          <w:szCs w:val="24"/>
          <w:u w:val="single"/>
        </w:rPr>
        <w:t>Strategy 4: Fisheries Technology and Innovation Development</w:t>
      </w:r>
    </w:p>
    <w:p w14:paraId="553223A1" w14:textId="77777777" w:rsidR="009A0A63" w:rsidRPr="00792B36" w:rsidRDefault="009A0A63" w:rsidP="009A0A63">
      <w:pPr>
        <w:ind w:firstLine="720"/>
        <w:jc w:val="thaiDistribute"/>
        <w:rPr>
          <w:sz w:val="24"/>
          <w:szCs w:val="24"/>
        </w:rPr>
      </w:pPr>
      <w:r w:rsidRPr="00792B36">
        <w:rPr>
          <w:sz w:val="24"/>
          <w:szCs w:val="24"/>
        </w:rPr>
        <w:t>Approach 1: Research and develop freshwater fisheries technology (4 activities)</w:t>
      </w:r>
    </w:p>
    <w:p w14:paraId="7F8DC40E" w14:textId="77777777" w:rsidR="009A0A63" w:rsidRPr="00792B36" w:rsidRDefault="009A0A63" w:rsidP="009A0A63">
      <w:pPr>
        <w:ind w:firstLine="720"/>
        <w:jc w:val="thaiDistribute"/>
        <w:rPr>
          <w:sz w:val="24"/>
          <w:szCs w:val="24"/>
        </w:rPr>
      </w:pPr>
      <w:r w:rsidRPr="00792B36">
        <w:rPr>
          <w:sz w:val="24"/>
          <w:szCs w:val="24"/>
        </w:rPr>
        <w:t>Approach 2: Research and develop coastal fisheries technology (2 activities)</w:t>
      </w:r>
    </w:p>
    <w:p w14:paraId="7CA754DA" w14:textId="77777777" w:rsidR="009A0A63" w:rsidRPr="00792B36" w:rsidRDefault="009A0A63" w:rsidP="009A0A63">
      <w:pPr>
        <w:ind w:firstLine="720"/>
        <w:jc w:val="thaiDistribute"/>
        <w:rPr>
          <w:sz w:val="24"/>
          <w:szCs w:val="24"/>
        </w:rPr>
      </w:pPr>
      <w:r w:rsidRPr="00792B36">
        <w:rPr>
          <w:sz w:val="24"/>
          <w:szCs w:val="24"/>
        </w:rPr>
        <w:t>Marine fishery-related activities include:</w:t>
      </w:r>
    </w:p>
    <w:p w14:paraId="3A6F347E" w14:textId="77777777" w:rsidR="009A0A63" w:rsidRPr="00792B36" w:rsidRDefault="009A0A63" w:rsidP="009A0A63">
      <w:pPr>
        <w:ind w:left="720" w:firstLine="414"/>
        <w:jc w:val="thaiDistribute"/>
        <w:rPr>
          <w:sz w:val="24"/>
          <w:szCs w:val="24"/>
        </w:rPr>
      </w:pPr>
      <w:r w:rsidRPr="00792B36">
        <w:rPr>
          <w:sz w:val="24"/>
          <w:szCs w:val="24"/>
        </w:rPr>
        <w:t>- Survey deep-sea resources and disseminate information on potential fishing areas</w:t>
      </w:r>
    </w:p>
    <w:p w14:paraId="573DA502" w14:textId="77777777" w:rsidR="009A0A63" w:rsidRPr="00792B36" w:rsidRDefault="009A0A63" w:rsidP="009A0A63">
      <w:pPr>
        <w:ind w:left="720" w:firstLine="414"/>
        <w:jc w:val="thaiDistribute"/>
        <w:rPr>
          <w:sz w:val="24"/>
          <w:szCs w:val="24"/>
        </w:rPr>
      </w:pPr>
      <w:r w:rsidRPr="00792B36">
        <w:rPr>
          <w:sz w:val="24"/>
          <w:szCs w:val="24"/>
        </w:rPr>
        <w:t>- Demonstrate deep-sea fishing gear and operations using research vessels</w:t>
      </w:r>
    </w:p>
    <w:p w14:paraId="72F01265" w14:textId="77777777" w:rsidR="009A0A63" w:rsidRPr="00792B36" w:rsidRDefault="009A0A63" w:rsidP="009A0A63">
      <w:pPr>
        <w:ind w:firstLine="720"/>
        <w:jc w:val="thaiDistribute"/>
        <w:rPr>
          <w:sz w:val="24"/>
          <w:szCs w:val="24"/>
        </w:rPr>
      </w:pPr>
      <w:r w:rsidRPr="00792B36">
        <w:rPr>
          <w:sz w:val="24"/>
          <w:szCs w:val="24"/>
        </w:rPr>
        <w:t>Approach 3: Research and develop technology for fisheries beyond national waters (2 activities)</w:t>
      </w:r>
    </w:p>
    <w:p w14:paraId="7EFE9045" w14:textId="77777777" w:rsidR="009A0A63" w:rsidRPr="00792B36" w:rsidRDefault="009A0A63" w:rsidP="009A0A63">
      <w:pPr>
        <w:ind w:firstLine="720"/>
        <w:jc w:val="thaiDistribute"/>
        <w:rPr>
          <w:sz w:val="24"/>
          <w:szCs w:val="24"/>
        </w:rPr>
      </w:pPr>
      <w:r w:rsidRPr="00792B36">
        <w:rPr>
          <w:sz w:val="24"/>
          <w:szCs w:val="24"/>
        </w:rPr>
        <w:t>Approach 4: Research and develop aquaculture technology (5 activities)</w:t>
      </w:r>
    </w:p>
    <w:p w14:paraId="06F19058" w14:textId="77777777" w:rsidR="009A0A63" w:rsidRPr="00792B36" w:rsidRDefault="009A0A63" w:rsidP="009A0A63">
      <w:pPr>
        <w:ind w:firstLine="720"/>
        <w:jc w:val="thaiDistribute"/>
        <w:rPr>
          <w:sz w:val="24"/>
          <w:szCs w:val="24"/>
        </w:rPr>
      </w:pPr>
      <w:r w:rsidRPr="00792B36">
        <w:rPr>
          <w:sz w:val="24"/>
          <w:szCs w:val="24"/>
        </w:rPr>
        <w:t>Approach 5: Research and develop technology for fishery-related industries (1 activity)</w:t>
      </w:r>
    </w:p>
    <w:p w14:paraId="7C3B3B62" w14:textId="77777777" w:rsidR="009A0A63" w:rsidRPr="00792B36" w:rsidRDefault="009A0A63" w:rsidP="009A0A63">
      <w:pPr>
        <w:jc w:val="thaiDistribute"/>
        <w:rPr>
          <w:sz w:val="24"/>
          <w:szCs w:val="24"/>
        </w:rPr>
      </w:pPr>
    </w:p>
    <w:p w14:paraId="07622062" w14:textId="77777777" w:rsidR="009A0A63" w:rsidRPr="00792B36" w:rsidRDefault="009A0A63" w:rsidP="009A0A63">
      <w:pPr>
        <w:ind w:firstLine="709"/>
        <w:jc w:val="thaiDistribute"/>
        <w:rPr>
          <w:sz w:val="24"/>
          <w:szCs w:val="24"/>
        </w:rPr>
      </w:pPr>
      <w:r w:rsidRPr="00792B36">
        <w:rPr>
          <w:b/>
          <w:bCs/>
          <w:sz w:val="24"/>
          <w:szCs w:val="24"/>
        </w:rPr>
        <w:lastRenderedPageBreak/>
        <w:t>Section 36</w:t>
      </w:r>
      <w:r w:rsidRPr="00792B36">
        <w:rPr>
          <w:sz w:val="24"/>
          <w:szCs w:val="24"/>
        </w:rPr>
        <w:t xml:space="preserve"> Any person wishing to engage in commercial fishing must obtain a commercial fishing license issued by the Department of Fisheries.</w:t>
      </w:r>
    </w:p>
    <w:p w14:paraId="5A80F3CA" w14:textId="77777777" w:rsidR="009A0A63" w:rsidRPr="00792B36" w:rsidRDefault="009A0A63" w:rsidP="009A0A63">
      <w:pPr>
        <w:ind w:firstLine="709"/>
        <w:jc w:val="thaiDistribute"/>
        <w:rPr>
          <w:sz w:val="24"/>
          <w:szCs w:val="24"/>
        </w:rPr>
      </w:pPr>
      <w:r w:rsidRPr="00792B36">
        <w:rPr>
          <w:sz w:val="24"/>
          <w:szCs w:val="24"/>
        </w:rPr>
        <w:t>The issuance of a license pursuant to paragraph one shall be executed specifically for a particular fishing vessel. The number and type of fishing gears authorized for the purposes of fishing operation, areas in which fishing operations are to be undertaken, the maximum allowable catch of aquatic animals allowed for fishing operations or the period during which fishing operations are allowed shall also be specified on the license in alignment with the fishing capacity and the MSY of aquatic animals for the purposes of sustainable fisheries stipulated in the Fisheries Management Plan.</w:t>
      </w:r>
    </w:p>
    <w:p w14:paraId="20158252" w14:textId="77777777" w:rsidR="009A0A63" w:rsidRPr="00792B36" w:rsidRDefault="009A0A63" w:rsidP="009A0A63">
      <w:pPr>
        <w:ind w:firstLine="709"/>
        <w:jc w:val="thaiDistribute"/>
        <w:rPr>
          <w:sz w:val="24"/>
          <w:szCs w:val="24"/>
        </w:rPr>
      </w:pPr>
      <w:r w:rsidRPr="00792B36">
        <w:rPr>
          <w:sz w:val="24"/>
          <w:szCs w:val="24"/>
        </w:rPr>
        <w:t>According to the regulations</w:t>
      </w:r>
      <w:r w:rsidRPr="00792B36">
        <w:rPr>
          <w:sz w:val="24"/>
          <w:szCs w:val="24"/>
          <w:cs/>
        </w:rPr>
        <w:t xml:space="preserve"> </w:t>
      </w:r>
      <w:r w:rsidRPr="00792B36">
        <w:rPr>
          <w:sz w:val="24"/>
          <w:szCs w:val="24"/>
        </w:rPr>
        <w:t>in Section 36, the Department of Fisheries has specified the size and number of fishing gear that can be licensed for all types of gear, such as otter board trawl with a ground rope length not exceeding 60</w:t>
      </w:r>
      <w:r w:rsidRPr="00792B36">
        <w:rPr>
          <w:sz w:val="24"/>
          <w:szCs w:val="24"/>
          <w:cs/>
        </w:rPr>
        <w:t xml:space="preserve"> </w:t>
      </w:r>
      <w:r w:rsidRPr="00792B36">
        <w:rPr>
          <w:sz w:val="24"/>
          <w:szCs w:val="24"/>
        </w:rPr>
        <w:t>meters, anchovy purse seine with a head rope length not exceeding 1,000</w:t>
      </w:r>
      <w:r w:rsidRPr="00792B36">
        <w:rPr>
          <w:sz w:val="24"/>
          <w:szCs w:val="24"/>
          <w:cs/>
        </w:rPr>
        <w:t xml:space="preserve"> </w:t>
      </w:r>
      <w:r w:rsidRPr="00792B36">
        <w:rPr>
          <w:sz w:val="24"/>
          <w:szCs w:val="24"/>
        </w:rPr>
        <w:t>meters, and fish trap not exceeding 300 traps, etc.</w:t>
      </w:r>
    </w:p>
    <w:p w14:paraId="743559E1" w14:textId="77777777" w:rsidR="009A0A63" w:rsidRPr="00792B36" w:rsidRDefault="009A0A63" w:rsidP="009A0A63">
      <w:pPr>
        <w:ind w:firstLine="709"/>
        <w:jc w:val="thaiDistribute"/>
        <w:rPr>
          <w:b/>
          <w:bCs/>
          <w:sz w:val="24"/>
          <w:szCs w:val="24"/>
        </w:rPr>
      </w:pPr>
    </w:p>
    <w:p w14:paraId="3DC601A0" w14:textId="77777777" w:rsidR="009A0A63" w:rsidRPr="00792B36" w:rsidRDefault="009A0A63" w:rsidP="009A0A63">
      <w:pPr>
        <w:ind w:firstLine="709"/>
        <w:jc w:val="thaiDistribute"/>
        <w:rPr>
          <w:sz w:val="24"/>
          <w:szCs w:val="24"/>
        </w:rPr>
      </w:pPr>
      <w:r w:rsidRPr="00792B36">
        <w:rPr>
          <w:b/>
          <w:bCs/>
          <w:sz w:val="24"/>
          <w:szCs w:val="24"/>
        </w:rPr>
        <w:t xml:space="preserve">Section 43 </w:t>
      </w:r>
      <w:r w:rsidRPr="00792B36">
        <w:rPr>
          <w:sz w:val="24"/>
          <w:szCs w:val="24"/>
        </w:rPr>
        <w:t>No commercial fishing licensee shall engage in a fishing operation different from that specified in the license.</w:t>
      </w:r>
    </w:p>
    <w:p w14:paraId="70393EC0" w14:textId="77777777" w:rsidR="009A0A63" w:rsidRPr="00792B36" w:rsidRDefault="009A0A63" w:rsidP="009A0A63">
      <w:pPr>
        <w:ind w:firstLine="709"/>
        <w:jc w:val="thaiDistribute"/>
        <w:rPr>
          <w:sz w:val="24"/>
          <w:szCs w:val="24"/>
        </w:rPr>
      </w:pPr>
      <w:r w:rsidRPr="00792B36">
        <w:rPr>
          <w:sz w:val="24"/>
          <w:szCs w:val="24"/>
        </w:rPr>
        <w:t>According to the requirements in Section 43, the Department of Fisheries has established the conditions for the use of fishing gear, referred to as fishing gear standards, which are specified in each type of fishing license. These include details such as the length and mesh size of trawl cover nets, the length of beams for beam trawls, and the specific characteristics of clam dredges.</w:t>
      </w:r>
    </w:p>
    <w:p w14:paraId="5F292D9B" w14:textId="77777777" w:rsidR="009A0A63" w:rsidRPr="00792B36" w:rsidRDefault="009A0A63" w:rsidP="009A0A63">
      <w:pPr>
        <w:ind w:firstLine="709"/>
        <w:jc w:val="thaiDistribute"/>
        <w:rPr>
          <w:sz w:val="24"/>
          <w:szCs w:val="24"/>
          <w:cs/>
        </w:rPr>
      </w:pPr>
    </w:p>
    <w:p w14:paraId="49C775B0" w14:textId="77777777" w:rsidR="009A0A63" w:rsidRPr="00792B36" w:rsidRDefault="009A0A63" w:rsidP="009A0A63">
      <w:pPr>
        <w:ind w:firstLine="709"/>
        <w:jc w:val="thaiDistribute"/>
        <w:rPr>
          <w:sz w:val="24"/>
          <w:szCs w:val="24"/>
        </w:rPr>
      </w:pPr>
      <w:r w:rsidRPr="00792B36">
        <w:rPr>
          <w:b/>
          <w:bCs/>
          <w:sz w:val="24"/>
          <w:szCs w:val="24"/>
        </w:rPr>
        <w:t xml:space="preserve">Section 57 </w:t>
      </w:r>
      <w:r w:rsidRPr="00792B36">
        <w:rPr>
          <w:sz w:val="24"/>
          <w:szCs w:val="24"/>
        </w:rPr>
        <w:t>No person shall be permitted to catch or bring onto a fishing vessel juvenile aquatic animals of the size and quantity specified by the Minister.</w:t>
      </w:r>
    </w:p>
    <w:p w14:paraId="03FACDBD" w14:textId="77777777" w:rsidR="009A0A63" w:rsidRPr="00792B36" w:rsidRDefault="009A0A63" w:rsidP="009A0A63">
      <w:pPr>
        <w:ind w:firstLine="709"/>
        <w:jc w:val="thaiDistribute"/>
        <w:rPr>
          <w:sz w:val="24"/>
          <w:szCs w:val="24"/>
          <w:cs/>
        </w:rPr>
      </w:pPr>
      <w:r w:rsidRPr="00792B36">
        <w:rPr>
          <w:sz w:val="24"/>
          <w:szCs w:val="24"/>
        </w:rPr>
        <w:t>The size or quantity limits for juvenile aquatic animals prohibited from being caught or brought onto a vessel may vary depending on the species of aquatic animal or may apply only to a specific area.</w:t>
      </w:r>
    </w:p>
    <w:p w14:paraId="47B3753F" w14:textId="77777777" w:rsidR="009A0A63" w:rsidRPr="00792B36" w:rsidRDefault="009A0A63" w:rsidP="009A0A63">
      <w:pPr>
        <w:ind w:firstLine="709"/>
        <w:jc w:val="thaiDistribute"/>
        <w:rPr>
          <w:sz w:val="24"/>
          <w:szCs w:val="24"/>
        </w:rPr>
      </w:pPr>
      <w:r w:rsidRPr="00792B36">
        <w:rPr>
          <w:sz w:val="24"/>
          <w:szCs w:val="24"/>
        </w:rPr>
        <w:t>In implementing this section, the Department of Fisheries has prepared information for the announcement of Section, including blue swimming crab and short mackerel. However, such announcement must first go through public hearing involving all stakeholders.</w:t>
      </w:r>
    </w:p>
    <w:p w14:paraId="4AA5C475" w14:textId="77777777" w:rsidR="009A0A63" w:rsidRPr="00792B36" w:rsidRDefault="009A0A63" w:rsidP="009A0A63">
      <w:pPr>
        <w:ind w:firstLine="709"/>
        <w:jc w:val="thaiDistribute"/>
        <w:rPr>
          <w:sz w:val="24"/>
          <w:szCs w:val="24"/>
        </w:rPr>
      </w:pPr>
    </w:p>
    <w:p w14:paraId="546E9CC9" w14:textId="77777777" w:rsidR="009A0A63" w:rsidRPr="00792B36" w:rsidRDefault="009A0A63" w:rsidP="009A0A63">
      <w:pPr>
        <w:ind w:firstLine="709"/>
        <w:jc w:val="thaiDistribute"/>
        <w:rPr>
          <w:sz w:val="24"/>
          <w:szCs w:val="24"/>
        </w:rPr>
      </w:pPr>
      <w:r w:rsidRPr="00792B36">
        <w:rPr>
          <w:b/>
          <w:bCs/>
          <w:sz w:val="24"/>
          <w:szCs w:val="24"/>
        </w:rPr>
        <w:t xml:space="preserve">Section 67 </w:t>
      </w:r>
      <w:r w:rsidRPr="00792B36">
        <w:rPr>
          <w:sz w:val="24"/>
          <w:szCs w:val="24"/>
        </w:rPr>
        <w:t>No person shall use or have in possession for the purpose of using any of the following fishing gears:</w:t>
      </w:r>
    </w:p>
    <w:p w14:paraId="3281B485" w14:textId="77777777" w:rsidR="009A0A63" w:rsidRPr="00792B36" w:rsidRDefault="009A0A63" w:rsidP="009A0A63">
      <w:pPr>
        <w:tabs>
          <w:tab w:val="left" w:pos="714"/>
        </w:tabs>
        <w:ind w:firstLine="709"/>
        <w:jc w:val="thaiDistribute"/>
        <w:rPr>
          <w:sz w:val="24"/>
          <w:szCs w:val="24"/>
        </w:rPr>
      </w:pPr>
      <w:r w:rsidRPr="00792B36">
        <w:rPr>
          <w:sz w:val="24"/>
          <w:szCs w:val="24"/>
        </w:rPr>
        <w:tab/>
      </w:r>
      <w:r w:rsidRPr="00792B36">
        <w:rPr>
          <w:sz w:val="24"/>
          <w:szCs w:val="24"/>
        </w:rPr>
        <w:tab/>
        <w:t>(1) a set bag net or any other tool exhibiting a similar character and requiring a similar method,</w:t>
      </w:r>
    </w:p>
    <w:p w14:paraId="34F72291" w14:textId="77777777" w:rsidR="009A0A63" w:rsidRPr="00792B36" w:rsidRDefault="009A0A63" w:rsidP="009A0A63">
      <w:pPr>
        <w:tabs>
          <w:tab w:val="left" w:pos="714"/>
        </w:tabs>
        <w:ind w:firstLine="709"/>
        <w:jc w:val="thaiDistribute"/>
        <w:rPr>
          <w:sz w:val="24"/>
          <w:szCs w:val="24"/>
        </w:rPr>
      </w:pPr>
      <w:r w:rsidRPr="00792B36">
        <w:rPr>
          <w:sz w:val="24"/>
          <w:szCs w:val="24"/>
        </w:rPr>
        <w:t>(2) a collapsible trap with more than two entrances or any other tool exhibiting a similar character and requiring a similar method,</w:t>
      </w:r>
    </w:p>
    <w:p w14:paraId="07F5DCC3" w14:textId="77777777" w:rsidR="009A0A63" w:rsidRPr="00792B36" w:rsidRDefault="009A0A63" w:rsidP="009A0A63">
      <w:pPr>
        <w:tabs>
          <w:tab w:val="left" w:pos="714"/>
        </w:tabs>
        <w:ind w:firstLine="709"/>
        <w:jc w:val="thaiDistribute"/>
        <w:rPr>
          <w:sz w:val="24"/>
          <w:szCs w:val="24"/>
        </w:rPr>
      </w:pPr>
      <w:r w:rsidRPr="00792B36">
        <w:rPr>
          <w:sz w:val="24"/>
          <w:szCs w:val="24"/>
        </w:rPr>
        <w:t xml:space="preserve">(3) a trawl net or any other type of fishing gear with mesh sizes smaller than those prescribed by the Minister, </w:t>
      </w:r>
    </w:p>
    <w:p w14:paraId="7E22CE46" w14:textId="77777777" w:rsidR="009A0A63" w:rsidRPr="00792B36" w:rsidRDefault="009A0A63" w:rsidP="009A0A63">
      <w:pPr>
        <w:tabs>
          <w:tab w:val="left" w:pos="714"/>
        </w:tabs>
        <w:ind w:left="709"/>
        <w:jc w:val="thaiDistribute"/>
        <w:rPr>
          <w:sz w:val="24"/>
          <w:szCs w:val="24"/>
        </w:rPr>
      </w:pPr>
      <w:r w:rsidRPr="00792B36">
        <w:rPr>
          <w:sz w:val="24"/>
          <w:szCs w:val="24"/>
        </w:rPr>
        <w:t xml:space="preserve">(4) a push net attached to a motor vessel except for krill push net, and  </w:t>
      </w:r>
    </w:p>
    <w:p w14:paraId="18503E6E" w14:textId="77777777" w:rsidR="009A0A63" w:rsidRPr="00792B36" w:rsidRDefault="009A0A63" w:rsidP="009A0A63">
      <w:pPr>
        <w:tabs>
          <w:tab w:val="left" w:pos="714"/>
        </w:tabs>
        <w:ind w:left="709"/>
        <w:jc w:val="thaiDistribute"/>
        <w:rPr>
          <w:sz w:val="24"/>
          <w:szCs w:val="24"/>
        </w:rPr>
      </w:pPr>
      <w:r w:rsidRPr="00792B36">
        <w:rPr>
          <w:sz w:val="24"/>
          <w:szCs w:val="24"/>
        </w:rPr>
        <w:t>(5) other fishing gear as announced by the Minister.</w:t>
      </w:r>
    </w:p>
    <w:p w14:paraId="5977C41F" w14:textId="77777777" w:rsidR="009A0A63" w:rsidRPr="00792B36" w:rsidRDefault="009A0A63" w:rsidP="009A0A63">
      <w:pPr>
        <w:ind w:firstLine="709"/>
        <w:jc w:val="thaiDistribute"/>
        <w:rPr>
          <w:b/>
          <w:bCs/>
          <w:sz w:val="24"/>
          <w:szCs w:val="24"/>
        </w:rPr>
      </w:pPr>
    </w:p>
    <w:p w14:paraId="62ABC202" w14:textId="77777777" w:rsidR="009A0A63" w:rsidRPr="00792B36" w:rsidRDefault="009A0A63" w:rsidP="009A0A63">
      <w:pPr>
        <w:ind w:firstLine="709"/>
        <w:jc w:val="thaiDistribute"/>
        <w:rPr>
          <w:sz w:val="24"/>
          <w:szCs w:val="24"/>
        </w:rPr>
      </w:pPr>
      <w:r w:rsidRPr="00792B36">
        <w:rPr>
          <w:b/>
          <w:bCs/>
          <w:sz w:val="24"/>
          <w:szCs w:val="24"/>
        </w:rPr>
        <w:t>Section 69</w:t>
      </w:r>
      <w:r w:rsidRPr="00792B36">
        <w:rPr>
          <w:color w:val="000000"/>
          <w:sz w:val="24"/>
          <w:szCs w:val="24"/>
        </w:rPr>
        <w:t xml:space="preserve"> </w:t>
      </w:r>
      <w:r w:rsidRPr="00792B36">
        <w:rPr>
          <w:sz w:val="24"/>
          <w:szCs w:val="24"/>
        </w:rPr>
        <w:t>No person shall use any type of surrounding net with the mesh size smaller than two point five centimeters to engage in a fishing operation at night. However, fishing operation at night outside the 12 nautical miles of the coastal waters can be permitted, subject to research supporting the fact that such fishing does not disrupt the ecological balance.</w:t>
      </w:r>
    </w:p>
    <w:p w14:paraId="723EC461" w14:textId="77777777" w:rsidR="009A0A63" w:rsidRPr="00792B36" w:rsidRDefault="009A0A63" w:rsidP="009A0A63">
      <w:pPr>
        <w:ind w:firstLine="709"/>
        <w:jc w:val="thaiDistribute"/>
        <w:rPr>
          <w:sz w:val="24"/>
          <w:szCs w:val="24"/>
        </w:rPr>
      </w:pPr>
    </w:p>
    <w:p w14:paraId="6D00AE87" w14:textId="77777777" w:rsidR="009A0A63" w:rsidRPr="00792B36" w:rsidRDefault="009A0A63" w:rsidP="009A0A63">
      <w:pPr>
        <w:ind w:firstLine="709"/>
        <w:jc w:val="thaiDistribute"/>
        <w:rPr>
          <w:sz w:val="24"/>
          <w:szCs w:val="24"/>
        </w:rPr>
      </w:pPr>
      <w:r w:rsidRPr="00792B36">
        <w:rPr>
          <w:b/>
          <w:bCs/>
          <w:sz w:val="24"/>
          <w:szCs w:val="24"/>
        </w:rPr>
        <w:t xml:space="preserve">Section 70 </w:t>
      </w:r>
      <w:r w:rsidRPr="00792B36">
        <w:rPr>
          <w:sz w:val="24"/>
          <w:szCs w:val="24"/>
        </w:rPr>
        <w:t>No person shall fish in the area and during the spawning season for aquatic animals, or larval rearing, or any other period necessary for the protection of aquatic animals as announced by the Director-General.</w:t>
      </w:r>
    </w:p>
    <w:p w14:paraId="4E346375" w14:textId="77777777" w:rsidR="009A0A63" w:rsidRPr="00792B36" w:rsidRDefault="009A0A63" w:rsidP="009A0A63">
      <w:pPr>
        <w:ind w:firstLine="709"/>
        <w:jc w:val="thaiDistribute"/>
        <w:rPr>
          <w:sz w:val="24"/>
          <w:szCs w:val="24"/>
        </w:rPr>
      </w:pPr>
      <w:r w:rsidRPr="00792B36">
        <w:rPr>
          <w:sz w:val="24"/>
          <w:szCs w:val="24"/>
        </w:rPr>
        <w:t>Under this section, the Department of Fisheries has issued three Department of Fisheries Notifications prohibiting fishing during the spawning and larval rearing seasons in the Gulf of Thailand: 1) certain areas of Prachuap Khiri Khan, Chumphon and Surat Thani provinces; 2)</w:t>
      </w:r>
      <w:r w:rsidRPr="00792B36">
        <w:rPr>
          <w:sz w:val="24"/>
          <w:szCs w:val="24"/>
          <w:cs/>
        </w:rPr>
        <w:t xml:space="preserve"> </w:t>
      </w:r>
      <w:r w:rsidRPr="00792B36">
        <w:rPr>
          <w:sz w:val="24"/>
          <w:szCs w:val="24"/>
        </w:rPr>
        <w:t>the area between Mueang and Hua Hin districts, Prachuap Khiri Khan province; and 3)</w:t>
      </w:r>
      <w:r w:rsidRPr="00792B36">
        <w:rPr>
          <w:sz w:val="24"/>
          <w:szCs w:val="24"/>
          <w:cs/>
        </w:rPr>
        <w:t xml:space="preserve"> </w:t>
      </w:r>
      <w:r w:rsidRPr="00792B36">
        <w:rPr>
          <w:sz w:val="24"/>
          <w:szCs w:val="24"/>
        </w:rPr>
        <w:t>the inner Gulf of Thailand (Figure B.2).</w:t>
      </w:r>
    </w:p>
    <w:p w14:paraId="4AD8676E" w14:textId="77777777" w:rsidR="009A0A63" w:rsidRPr="00792B36" w:rsidRDefault="009A0A63" w:rsidP="009A0A63">
      <w:pPr>
        <w:jc w:val="center"/>
        <w:rPr>
          <w:b/>
          <w:bCs/>
          <w:sz w:val="24"/>
          <w:szCs w:val="24"/>
          <w:cs/>
        </w:rPr>
      </w:pPr>
      <w:r w:rsidRPr="00792B36">
        <w:rPr>
          <w:noProof/>
          <w:sz w:val="24"/>
          <w:szCs w:val="24"/>
        </w:rPr>
        <mc:AlternateContent>
          <mc:Choice Requires="wps">
            <w:drawing>
              <wp:anchor distT="0" distB="0" distL="114300" distR="114300" simplePos="0" relativeHeight="251675648" behindDoc="0" locked="0" layoutInCell="1" allowOverlap="1" wp14:anchorId="08347AB0" wp14:editId="60536F87">
                <wp:simplePos x="0" y="0"/>
                <wp:positionH relativeFrom="column">
                  <wp:posOffset>2857500</wp:posOffset>
                </wp:positionH>
                <wp:positionV relativeFrom="paragraph">
                  <wp:posOffset>1927860</wp:posOffset>
                </wp:positionV>
                <wp:extent cx="1722120" cy="579120"/>
                <wp:effectExtent l="0" t="0" r="0" b="0"/>
                <wp:wrapNone/>
                <wp:docPr id="1085077918" name="Text Box 1"/>
                <wp:cNvGraphicFramePr/>
                <a:graphic xmlns:a="http://schemas.openxmlformats.org/drawingml/2006/main">
                  <a:graphicData uri="http://schemas.microsoft.com/office/word/2010/wordprocessingShape">
                    <wps:wsp>
                      <wps:cNvSpPr txBox="1"/>
                      <wps:spPr>
                        <a:xfrm>
                          <a:off x="0" y="0"/>
                          <a:ext cx="1722120" cy="579120"/>
                        </a:xfrm>
                        <a:prstGeom prst="rect">
                          <a:avLst/>
                        </a:prstGeom>
                        <a:solidFill>
                          <a:schemeClr val="lt1"/>
                        </a:solidFill>
                        <a:ln w="6350">
                          <a:noFill/>
                        </a:ln>
                      </wps:spPr>
                      <wps:txbx>
                        <w:txbxContent>
                          <w:p w14:paraId="1B56EBEA" w14:textId="77777777" w:rsidR="009A0A63" w:rsidRDefault="009A0A63" w:rsidP="009A0A63">
                            <w:pPr>
                              <w:rPr>
                                <w:rFonts w:ascii="Times New Roman" w:hAnsi="Times New Roman" w:cs="Times New Roman"/>
                                <w:b/>
                                <w:bCs/>
                              </w:rPr>
                            </w:pPr>
                            <w:r w:rsidRPr="00D506F4">
                              <w:rPr>
                                <w:rFonts w:ascii="Times New Roman" w:hAnsi="Times New Roman" w:cs="Times New Roman"/>
                                <w:b/>
                                <w:bCs/>
                              </w:rPr>
                              <w:t>Gulf of Thailand</w:t>
                            </w:r>
                          </w:p>
                          <w:p w14:paraId="70A52A4D" w14:textId="77777777" w:rsidR="009A0A63" w:rsidRPr="00D506F4" w:rsidRDefault="009A0A63" w:rsidP="009A0A63">
                            <w:pPr>
                              <w:rPr>
                                <w:rFonts w:ascii="Times New Roman" w:hAnsi="Times New Roman" w:cs="Times New Roman"/>
                                <w:b/>
                                <w:bCs/>
                              </w:rPr>
                            </w:pPr>
                            <w:r>
                              <w:rPr>
                                <w:rFonts w:ascii="Times New Roman" w:hAnsi="Times New Roman" w:cs="Times New Roman"/>
                                <w:b/>
                                <w:bCs/>
                              </w:rPr>
                              <w:t>Seasonal area closures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8347AB0" id="Text Box 1" o:spid="_x0000_s1031" type="#_x0000_t202" style="position:absolute;left:0;text-align:left;margin-left:225pt;margin-top:151.8pt;width:135.6pt;height:45.6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" fillcolor="white [3201]" stroked="f" strokeweight=".5pt">
                <v:textbox>
                  <w:txbxContent>
                    <w:p w14:paraId="1B56EBEA" w14:textId="77777777" w:rsidR="009A0A63" w:rsidRDefault="009A0A63" w:rsidP="009A0A63">
                      <w:pPr>
                        <w:rPr>
                          <w:rFonts w:ascii="Times New Roman" w:hAnsi="Times New Roman" w:cs="Times New Roman"/>
                          <w:b/>
                          <w:bCs/>
                        </w:rPr>
                      </w:pPr>
                      <w:r w:rsidRPr="00D506F4">
                        <w:rPr>
                          <w:rFonts w:ascii="Times New Roman" w:hAnsi="Times New Roman" w:cs="Times New Roman"/>
                          <w:b/>
                          <w:bCs/>
                        </w:rPr>
                        <w:t>Gulf of Thailand</w:t>
                      </w:r>
                    </w:p>
                    <w:p w14:paraId="70A52A4D" w14:textId="77777777" w:rsidR="009A0A63" w:rsidRPr="00D506F4" w:rsidRDefault="009A0A63" w:rsidP="009A0A63">
                      <w:pPr>
                        <w:rPr>
                          <w:rFonts w:ascii="Times New Roman" w:hAnsi="Times New Roman" w:cs="Times New Roman"/>
                          <w:b/>
                          <w:bCs/>
                        </w:rPr>
                      </w:pPr>
                      <w:r>
                        <w:rPr>
                          <w:rFonts w:ascii="Times New Roman" w:hAnsi="Times New Roman" w:cs="Times New Roman"/>
                          <w:b/>
                          <w:bCs/>
                        </w:rPr>
                        <w:t>Seasonal area closures</w:t>
                      </w:r>
                    </w:p>
                  </w:txbxContent>
                </v:textbox>
              </v:shape>
            </w:pict>
          </mc:Fallback>
        </mc:AlternateContent>
      </w:r>
      <w:r w:rsidRPr="00792B36">
        <w:rPr>
          <w:noProof/>
          <w:sz w:val="24"/>
          <w:szCs w:val="24"/>
        </w:rPr>
        <mc:AlternateContent>
          <mc:Choice Requires="wps">
            <w:drawing>
              <wp:anchor distT="0" distB="0" distL="114300" distR="114300" simplePos="0" relativeHeight="251674624" behindDoc="0" locked="0" layoutInCell="1" allowOverlap="1" wp14:anchorId="7BEA73B8" wp14:editId="6C664656">
                <wp:simplePos x="0" y="0"/>
                <wp:positionH relativeFrom="column">
                  <wp:posOffset>3299460</wp:posOffset>
                </wp:positionH>
                <wp:positionV relativeFrom="paragraph">
                  <wp:posOffset>2575560</wp:posOffset>
                </wp:positionV>
                <wp:extent cx="1553246" cy="1608389"/>
                <wp:effectExtent l="0" t="0" r="0" b="0"/>
                <wp:wrapNone/>
                <wp:docPr id="1360632127" name="TextBox 15"/>
                <wp:cNvGraphicFramePr/>
                <a:graphic xmlns:a="http://schemas.openxmlformats.org/drawingml/2006/main">
                  <a:graphicData uri="http://schemas.microsoft.com/office/word/2010/wordprocessingShape">
                    <wps:wsp>
                      <wps:cNvSpPr txBox="1"/>
                      <wps:spPr>
                        <a:xfrm>
                          <a:off x="0" y="0"/>
                          <a:ext cx="1553246" cy="1608389"/>
                        </a:xfrm>
                        <a:prstGeom prst="rect">
                          <a:avLst/>
                        </a:prstGeom>
                        <a:noFill/>
                      </wps:spPr>
                      <wps:txbx>
                        <w:txbxContent>
                          <w:p w14:paraId="0B54B1F4" w14:textId="77777777" w:rsidR="009A0A63" w:rsidRPr="00403B80" w:rsidRDefault="009A0A63" w:rsidP="009A0A63">
                            <w:pPr>
                              <w:rPr>
                                <w:rFonts w:ascii="Times New Roman" w:hAnsi="Times New Roman" w:cs="Times New Roman"/>
                                <w:color w:val="000000" w:themeColor="text1"/>
                                <w:kern w:val="24"/>
                                <w:szCs w:val="24"/>
                              </w:rPr>
                            </w:pPr>
                            <w:r w:rsidRPr="00403B80">
                              <w:rPr>
                                <w:rFonts w:ascii="Times New Roman" w:hAnsi="Times New Roman" w:cs="Times New Roman"/>
                                <w:color w:val="000000" w:themeColor="text1"/>
                                <w:kern w:val="24"/>
                                <w:szCs w:val="24"/>
                              </w:rPr>
                              <w:t>15 Feb – 15 May</w:t>
                            </w:r>
                          </w:p>
                          <w:p w14:paraId="4B3B995C" w14:textId="77777777" w:rsidR="009A0A63" w:rsidRPr="005509DF" w:rsidRDefault="009A0A63" w:rsidP="009A0A63">
                            <w:pPr>
                              <w:rPr>
                                <w:rFonts w:ascii="Times New Roman" w:hAnsi="Times New Roman" w:cs="Times New Roman"/>
                                <w:color w:val="000000" w:themeColor="text1"/>
                                <w:kern w:val="24"/>
                                <w:sz w:val="12"/>
                                <w:szCs w:val="12"/>
                              </w:rPr>
                            </w:pPr>
                          </w:p>
                          <w:p w14:paraId="48772F58" w14:textId="77777777" w:rsidR="009A0A63" w:rsidRDefault="009A0A63" w:rsidP="009A0A63">
                            <w:pPr>
                              <w:rPr>
                                <w:rFonts w:ascii="Times New Roman" w:hAnsi="Times New Roman" w:cs="Times New Roman"/>
                                <w:color w:val="000000" w:themeColor="text1"/>
                                <w:kern w:val="24"/>
                                <w:szCs w:val="24"/>
                              </w:rPr>
                            </w:pPr>
                            <w:r w:rsidRPr="00403B80">
                              <w:rPr>
                                <w:rFonts w:ascii="Times New Roman" w:hAnsi="Times New Roman" w:cs="Times New Roman"/>
                                <w:color w:val="000000" w:themeColor="text1"/>
                                <w:kern w:val="24"/>
                                <w:szCs w:val="24"/>
                              </w:rPr>
                              <w:t>1</w:t>
                            </w:r>
                            <w:r>
                              <w:rPr>
                                <w:rFonts w:ascii="Times New Roman" w:hAnsi="Times New Roman" w:cs="Times New Roman"/>
                                <w:color w:val="000000" w:themeColor="text1"/>
                                <w:kern w:val="24"/>
                                <w:szCs w:val="24"/>
                              </w:rPr>
                              <w:t>6</w:t>
                            </w:r>
                            <w:r w:rsidRPr="00403B80">
                              <w:rPr>
                                <w:rFonts w:ascii="Times New Roman" w:hAnsi="Times New Roman" w:cs="Times New Roman"/>
                                <w:color w:val="000000" w:themeColor="text1"/>
                                <w:kern w:val="24"/>
                                <w:szCs w:val="24"/>
                              </w:rPr>
                              <w:t xml:space="preserve"> May – 14 Jun</w:t>
                            </w:r>
                          </w:p>
                          <w:p w14:paraId="1F602367" w14:textId="77777777" w:rsidR="009A0A63" w:rsidRPr="00403B80" w:rsidRDefault="009A0A63" w:rsidP="009A0A63">
                            <w:pPr>
                              <w:rPr>
                                <w:rFonts w:ascii="Times New Roman" w:hAnsi="Times New Roman" w:cs="Times New Roman"/>
                                <w:color w:val="000000" w:themeColor="text1"/>
                                <w:kern w:val="24"/>
                                <w:sz w:val="12"/>
                                <w:szCs w:val="12"/>
                              </w:rPr>
                            </w:pPr>
                          </w:p>
                          <w:p w14:paraId="463AF77E" w14:textId="77777777" w:rsidR="009A0A63" w:rsidRDefault="009A0A63" w:rsidP="009A0A63">
                            <w:pPr>
                              <w:rPr>
                                <w:rFonts w:ascii="Times New Roman" w:hAnsi="Times New Roman" w:cs="Times New Roman"/>
                                <w:color w:val="000000" w:themeColor="text1"/>
                                <w:kern w:val="24"/>
                                <w:szCs w:val="24"/>
                              </w:rPr>
                            </w:pPr>
                            <w:r w:rsidRPr="00403B80">
                              <w:rPr>
                                <w:rFonts w:ascii="Times New Roman" w:hAnsi="Times New Roman" w:cs="Times New Roman"/>
                                <w:color w:val="000000" w:themeColor="text1"/>
                                <w:kern w:val="24"/>
                                <w:szCs w:val="24"/>
                              </w:rPr>
                              <w:t>15 Jun – 15 Aug</w:t>
                            </w:r>
                          </w:p>
                          <w:p w14:paraId="5F3564C7" w14:textId="77777777" w:rsidR="009A0A63" w:rsidRPr="005509DF" w:rsidRDefault="009A0A63" w:rsidP="009A0A63">
                            <w:pPr>
                              <w:rPr>
                                <w:rFonts w:ascii="Times New Roman" w:hAnsi="Times New Roman" w:cs="Times New Roman"/>
                                <w:color w:val="000000" w:themeColor="text1"/>
                                <w:kern w:val="24"/>
                                <w:sz w:val="12"/>
                                <w:szCs w:val="12"/>
                              </w:rPr>
                            </w:pPr>
                          </w:p>
                          <w:p w14:paraId="1E68157D" w14:textId="77777777" w:rsidR="009A0A63" w:rsidRDefault="009A0A63" w:rsidP="009A0A63">
                            <w:pPr>
                              <w:rPr>
                                <w:rFonts w:ascii="Times New Roman" w:hAnsi="Times New Roman" w:cs="Times New Roman"/>
                                <w:color w:val="000000" w:themeColor="text1"/>
                                <w:kern w:val="24"/>
                                <w:szCs w:val="24"/>
                              </w:rPr>
                            </w:pPr>
                            <w:r w:rsidRPr="00403B80">
                              <w:rPr>
                                <w:rFonts w:ascii="Times New Roman" w:hAnsi="Times New Roman" w:cs="Times New Roman"/>
                                <w:color w:val="000000" w:themeColor="text1"/>
                                <w:kern w:val="24"/>
                                <w:szCs w:val="24"/>
                              </w:rPr>
                              <w:t>1 Aug – 30 Sep</w:t>
                            </w:r>
                          </w:p>
                          <w:p w14:paraId="1A0D252B" w14:textId="77777777" w:rsidR="009A0A63" w:rsidRPr="005509DF" w:rsidRDefault="009A0A63" w:rsidP="009A0A63">
                            <w:pPr>
                              <w:rPr>
                                <w:rFonts w:ascii="Times New Roman" w:hAnsi="Times New Roman" w:cs="Times New Roman"/>
                                <w:color w:val="000000" w:themeColor="text1"/>
                                <w:kern w:val="24"/>
                                <w:sz w:val="10"/>
                                <w:szCs w:val="10"/>
                              </w:rPr>
                            </w:pPr>
                          </w:p>
                          <w:p w14:paraId="0557A469" w14:textId="77777777" w:rsidR="009A0A63" w:rsidRPr="00403B80" w:rsidRDefault="009A0A63" w:rsidP="009A0A63">
                            <w:pPr>
                              <w:rPr>
                                <w:rFonts w:ascii="Times New Roman" w:hAnsi="Times New Roman" w:cs="Times New Roman"/>
                                <w:color w:val="000000" w:themeColor="text1"/>
                                <w:kern w:val="24"/>
                                <w:szCs w:val="24"/>
                              </w:rPr>
                            </w:pPr>
                            <w:r w:rsidRPr="00403B80">
                              <w:rPr>
                                <w:rFonts w:ascii="Times New Roman" w:hAnsi="Times New Roman" w:cs="Times New Roman"/>
                                <w:color w:val="000000" w:themeColor="text1"/>
                                <w:kern w:val="24"/>
                                <w:szCs w:val="24"/>
                              </w:rPr>
                              <w:t xml:space="preserve">1 Jan – </w:t>
                            </w:r>
                            <w:r>
                              <w:rPr>
                                <w:rFonts w:ascii="Times New Roman" w:hAnsi="Times New Roman" w:cs="Times New Roman"/>
                                <w:color w:val="000000" w:themeColor="text1"/>
                                <w:kern w:val="24"/>
                                <w:szCs w:val="24"/>
                              </w:rPr>
                              <w:t>2</w:t>
                            </w:r>
                            <w:r w:rsidRPr="00403B80">
                              <w:rPr>
                                <w:rFonts w:ascii="Times New Roman" w:hAnsi="Times New Roman" w:cs="Times New Roman"/>
                                <w:color w:val="000000" w:themeColor="text1"/>
                                <w:kern w:val="24"/>
                                <w:szCs w:val="24"/>
                              </w:rPr>
                              <w:t>8 Feb</w:t>
                            </w:r>
                          </w:p>
                        </w:txbxContent>
                      </wps:txbx>
                      <wps:bodyPr wrap="none" rtlCol="0">
                        <a:spAutoFit/>
                      </wps:bodyPr>
                    </wps:wsp>
                  </a:graphicData>
                </a:graphic>
              </wp:anchor>
            </w:drawing>
          </mc:Choice>
          <mc:Fallback>
            <w:pict>
              <v:shape w14:anchorId="7BEA73B8" id="TextBox 15" o:spid="_x0000_s1032" type="#_x0000_t202" style="position:absolute;left:0;text-align:left;margin-left:259.8pt;margin-top:202.8pt;width:122.3pt;height:126.65pt;z-index:251674624;visibility:visible;mso-wrap-style:non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" filled="f" stroked="f">
                <v:textbox style="mso-fit-shape-to-text:t">
                  <w:txbxContent>
                    <w:p w14:paraId="0B54B1F4" w14:textId="77777777" w:rsidR="009A0A63" w:rsidRPr="00403B80" w:rsidRDefault="009A0A63" w:rsidP="009A0A63">
                      <w:pPr>
                        <w:rPr>
                          <w:rFonts w:ascii="Times New Roman" w:hAnsi="Times New Roman" w:cs="Times New Roman"/>
                          <w:color w:val="000000" w:themeColor="text1"/>
                          <w:kern w:val="24"/>
                          <w:szCs w:val="24"/>
                        </w:rPr>
                      </w:pPr>
                      <w:r w:rsidRPr="00403B80">
                        <w:rPr>
                          <w:rFonts w:ascii="Times New Roman" w:hAnsi="Times New Roman" w:cs="Times New Roman"/>
                          <w:color w:val="000000" w:themeColor="text1"/>
                          <w:kern w:val="24"/>
                          <w:szCs w:val="24"/>
                        </w:rPr>
                        <w:t>15 Feb – 15 May</w:t>
                      </w:r>
                    </w:p>
                    <w:p w14:paraId="4B3B995C" w14:textId="77777777" w:rsidR="009A0A63" w:rsidRPr="005509DF" w:rsidRDefault="009A0A63" w:rsidP="009A0A63">
                      <w:pPr>
                        <w:rPr>
                          <w:rFonts w:ascii="Times New Roman" w:hAnsi="Times New Roman" w:cs="Times New Roman"/>
                          <w:color w:val="000000" w:themeColor="text1"/>
                          <w:kern w:val="24"/>
                          <w:sz w:val="12"/>
                          <w:szCs w:val="12"/>
                        </w:rPr>
                      </w:pPr>
                    </w:p>
                    <w:p w14:paraId="48772F58" w14:textId="77777777" w:rsidR="009A0A63" w:rsidRDefault="009A0A63" w:rsidP="009A0A63">
                      <w:pPr>
                        <w:rPr>
                          <w:rFonts w:ascii="Times New Roman" w:hAnsi="Times New Roman" w:cs="Times New Roman"/>
                          <w:color w:val="000000" w:themeColor="text1"/>
                          <w:kern w:val="24"/>
                          <w:szCs w:val="24"/>
                        </w:rPr>
                      </w:pPr>
                      <w:r w:rsidRPr="00403B80">
                        <w:rPr>
                          <w:rFonts w:ascii="Times New Roman" w:hAnsi="Times New Roman" w:cs="Times New Roman"/>
                          <w:color w:val="000000" w:themeColor="text1"/>
                          <w:kern w:val="24"/>
                          <w:szCs w:val="24"/>
                        </w:rPr>
                        <w:t>1</w:t>
                      </w:r>
                      <w:r>
                        <w:rPr>
                          <w:rFonts w:ascii="Times New Roman" w:hAnsi="Times New Roman" w:cs="Times New Roman"/>
                          <w:color w:val="000000" w:themeColor="text1"/>
                          <w:kern w:val="24"/>
                          <w:szCs w:val="24"/>
                        </w:rPr>
                        <w:t>6</w:t>
                      </w:r>
                      <w:r w:rsidRPr="00403B80">
                        <w:rPr>
                          <w:rFonts w:ascii="Times New Roman" w:hAnsi="Times New Roman" w:cs="Times New Roman"/>
                          <w:color w:val="000000" w:themeColor="text1"/>
                          <w:kern w:val="24"/>
                          <w:szCs w:val="24"/>
                        </w:rPr>
                        <w:t xml:space="preserve"> May – 14 Jun</w:t>
                      </w:r>
                    </w:p>
                    <w:p w14:paraId="1F602367" w14:textId="77777777" w:rsidR="009A0A63" w:rsidRPr="00403B80" w:rsidRDefault="009A0A63" w:rsidP="009A0A63">
                      <w:pPr>
                        <w:rPr>
                          <w:rFonts w:ascii="Times New Roman" w:hAnsi="Times New Roman" w:cs="Times New Roman"/>
                          <w:color w:val="000000" w:themeColor="text1"/>
                          <w:kern w:val="24"/>
                          <w:sz w:val="12"/>
                          <w:szCs w:val="12"/>
                        </w:rPr>
                      </w:pPr>
                    </w:p>
                    <w:p w14:paraId="463AF77E" w14:textId="77777777" w:rsidR="009A0A63" w:rsidRDefault="009A0A63" w:rsidP="009A0A63">
                      <w:pPr>
                        <w:rPr>
                          <w:rFonts w:ascii="Times New Roman" w:hAnsi="Times New Roman" w:cs="Times New Roman"/>
                          <w:color w:val="000000" w:themeColor="text1"/>
                          <w:kern w:val="24"/>
                          <w:szCs w:val="24"/>
                        </w:rPr>
                      </w:pPr>
                      <w:r w:rsidRPr="00403B80">
                        <w:rPr>
                          <w:rFonts w:ascii="Times New Roman" w:hAnsi="Times New Roman" w:cs="Times New Roman"/>
                          <w:color w:val="000000" w:themeColor="text1"/>
                          <w:kern w:val="24"/>
                          <w:szCs w:val="24"/>
                        </w:rPr>
                        <w:t>15 Jun – 15 Aug</w:t>
                      </w:r>
                    </w:p>
                    <w:p w14:paraId="5F3564C7" w14:textId="77777777" w:rsidR="009A0A63" w:rsidRPr="005509DF" w:rsidRDefault="009A0A63" w:rsidP="009A0A63">
                      <w:pPr>
                        <w:rPr>
                          <w:rFonts w:ascii="Times New Roman" w:hAnsi="Times New Roman" w:cs="Times New Roman"/>
                          <w:color w:val="000000" w:themeColor="text1"/>
                          <w:kern w:val="24"/>
                          <w:sz w:val="12"/>
                          <w:szCs w:val="12"/>
                        </w:rPr>
                      </w:pPr>
                    </w:p>
                    <w:p w14:paraId="1E68157D" w14:textId="77777777" w:rsidR="009A0A63" w:rsidRDefault="009A0A63" w:rsidP="009A0A63">
                      <w:pPr>
                        <w:rPr>
                          <w:rFonts w:ascii="Times New Roman" w:hAnsi="Times New Roman" w:cs="Times New Roman"/>
                          <w:color w:val="000000" w:themeColor="text1"/>
                          <w:kern w:val="24"/>
                          <w:szCs w:val="24"/>
                        </w:rPr>
                      </w:pPr>
                      <w:r w:rsidRPr="00403B80">
                        <w:rPr>
                          <w:rFonts w:ascii="Times New Roman" w:hAnsi="Times New Roman" w:cs="Times New Roman"/>
                          <w:color w:val="000000" w:themeColor="text1"/>
                          <w:kern w:val="24"/>
                          <w:szCs w:val="24"/>
                        </w:rPr>
                        <w:t>1 Aug – 30 Sep</w:t>
                      </w:r>
                    </w:p>
                    <w:p w14:paraId="1A0D252B" w14:textId="77777777" w:rsidR="009A0A63" w:rsidRPr="005509DF" w:rsidRDefault="009A0A63" w:rsidP="009A0A63">
                      <w:pPr>
                        <w:rPr>
                          <w:rFonts w:ascii="Times New Roman" w:hAnsi="Times New Roman" w:cs="Times New Roman"/>
                          <w:color w:val="000000" w:themeColor="text1"/>
                          <w:kern w:val="24"/>
                          <w:sz w:val="10"/>
                          <w:szCs w:val="10"/>
                        </w:rPr>
                      </w:pPr>
                    </w:p>
                    <w:p w14:paraId="0557A469" w14:textId="77777777" w:rsidR="009A0A63" w:rsidRPr="00403B80" w:rsidRDefault="009A0A63" w:rsidP="009A0A63">
                      <w:pPr>
                        <w:rPr>
                          <w:rFonts w:ascii="Times New Roman" w:hAnsi="Times New Roman" w:cs="Times New Roman"/>
                          <w:color w:val="000000" w:themeColor="text1"/>
                          <w:kern w:val="24"/>
                          <w:szCs w:val="24"/>
                        </w:rPr>
                      </w:pPr>
                      <w:r w:rsidRPr="00403B80">
                        <w:rPr>
                          <w:rFonts w:ascii="Times New Roman" w:hAnsi="Times New Roman" w:cs="Times New Roman"/>
                          <w:color w:val="000000" w:themeColor="text1"/>
                          <w:kern w:val="24"/>
                          <w:szCs w:val="24"/>
                        </w:rPr>
                        <w:t xml:space="preserve">1 Jan – </w:t>
                      </w:r>
                      <w:r>
                        <w:rPr>
                          <w:rFonts w:ascii="Times New Roman" w:hAnsi="Times New Roman" w:cs="Times New Roman"/>
                          <w:color w:val="000000" w:themeColor="text1"/>
                          <w:kern w:val="24"/>
                          <w:szCs w:val="24"/>
                        </w:rPr>
                        <w:t>2</w:t>
                      </w:r>
                      <w:r w:rsidRPr="00403B80">
                        <w:rPr>
                          <w:rFonts w:ascii="Times New Roman" w:hAnsi="Times New Roman" w:cs="Times New Roman"/>
                          <w:color w:val="000000" w:themeColor="text1"/>
                          <w:kern w:val="24"/>
                          <w:szCs w:val="24"/>
                        </w:rPr>
                        <w:t>8 Feb</w:t>
                      </w:r>
                    </w:p>
                  </w:txbxContent>
                </v:textbox>
              </v:shape>
            </w:pict>
          </mc:Fallback>
        </mc:AlternateContent>
      </w:r>
      <w:r w:rsidRPr="00792B36">
        <w:rPr>
          <w:noProof/>
          <w:sz w:val="24"/>
          <w:szCs w:val="24"/>
        </w:rPr>
        <w:drawing>
          <wp:inline distT="0" distB="0" distL="0" distR="0" wp14:anchorId="2AA5520C" wp14:editId="23495321">
            <wp:extent cx="4384964" cy="5548105"/>
            <wp:effectExtent l="0" t="0" r="0" b="0"/>
            <wp:docPr id="655601090" name="Picture 1" descr="A map of the united state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55601090" name="Picture 1" descr="A map of the united states&#10;&#10;AI-generated content may be incorrect."/>
                    <pic:cNvPicPr/>
                  </pic:nvPicPr>
                  <pic:blipFill rotWithShape="1">
                    <a:blip r:embed="rId97"/>
                    <a:srcRect l="56993" t="4145" r="392"/>
                    <a:stretch>
                      <a:fillRect/>
                    </a:stretch>
                  </pic:blipFill>
                  <pic:spPr bwMode="auto">
                    <a:xfrm>
                      <a:off x="0" y="0"/>
                      <a:ext cx="4391200" cy="5555995"/>
                    </a:xfrm>
                    <a:prstGeom prst="rect">
                      <a:avLst/>
                    </a:prstGeom>
                    <a:ln>
                      <a:noFill/>
                    </a:ln>
                    <a:extLst>
                      <a:ext uri="{53640926-AAD7-44D8-BBD7-CCE9431645EC}">
                        <a14:shadowObscured xmlns:a14="http://schemas.microsoft.com/office/drawing/2010/main"/>
                      </a:ext>
                    </a:extLst>
                  </pic:spPr>
                </pic:pic>
              </a:graphicData>
            </a:graphic>
          </wp:inline>
        </w:drawing>
      </w:r>
    </w:p>
    <w:p w14:paraId="6B04BE53" w14:textId="77777777" w:rsidR="009A0A63" w:rsidRPr="00792B36" w:rsidRDefault="009A0A63" w:rsidP="009A0A63">
      <w:pPr>
        <w:ind w:firstLine="709"/>
        <w:jc w:val="thaiDistribute"/>
        <w:rPr>
          <w:sz w:val="24"/>
          <w:szCs w:val="24"/>
        </w:rPr>
      </w:pPr>
    </w:p>
    <w:p w14:paraId="30066E6A" w14:textId="77777777" w:rsidR="009A0A63" w:rsidRPr="00792B36" w:rsidRDefault="009A0A63" w:rsidP="009A0A63">
      <w:pPr>
        <w:jc w:val="thaiDistribute"/>
        <w:rPr>
          <w:b/>
          <w:bCs/>
          <w:sz w:val="24"/>
          <w:szCs w:val="24"/>
        </w:rPr>
      </w:pPr>
      <w:r w:rsidRPr="00792B36">
        <w:rPr>
          <w:b/>
          <w:bCs/>
          <w:sz w:val="24"/>
          <w:szCs w:val="24"/>
        </w:rPr>
        <w:t xml:space="preserve">Figure B.2 </w:t>
      </w:r>
      <w:r w:rsidRPr="00792B36">
        <w:rPr>
          <w:sz w:val="24"/>
          <w:szCs w:val="24"/>
        </w:rPr>
        <w:t>Seasonal area closures in the Gulf of Thailand</w:t>
      </w:r>
      <w:r w:rsidRPr="00792B36">
        <w:rPr>
          <w:b/>
          <w:bCs/>
          <w:sz w:val="24"/>
          <w:szCs w:val="24"/>
        </w:rPr>
        <w:t xml:space="preserve"> </w:t>
      </w:r>
    </w:p>
    <w:p w14:paraId="01C6A085" w14:textId="77777777" w:rsidR="009A0A63" w:rsidRPr="00792B36" w:rsidRDefault="009A0A63" w:rsidP="009A0A63">
      <w:pPr>
        <w:ind w:firstLine="709"/>
        <w:jc w:val="thaiDistribute"/>
        <w:rPr>
          <w:b/>
          <w:bCs/>
          <w:sz w:val="24"/>
          <w:szCs w:val="24"/>
        </w:rPr>
      </w:pPr>
    </w:p>
    <w:p w14:paraId="3C08B0C9" w14:textId="77777777" w:rsidR="009A0A63" w:rsidRPr="00792B36" w:rsidRDefault="009A0A63" w:rsidP="009A0A63">
      <w:pPr>
        <w:ind w:firstLine="709"/>
        <w:jc w:val="thaiDistribute"/>
        <w:rPr>
          <w:sz w:val="24"/>
          <w:szCs w:val="24"/>
        </w:rPr>
      </w:pPr>
      <w:r w:rsidRPr="00792B36">
        <w:rPr>
          <w:b/>
          <w:bCs/>
          <w:sz w:val="24"/>
          <w:szCs w:val="24"/>
        </w:rPr>
        <w:t>Section 71</w:t>
      </w:r>
      <w:r w:rsidRPr="00792B36">
        <w:rPr>
          <w:sz w:val="24"/>
          <w:szCs w:val="24"/>
        </w:rPr>
        <w:t xml:space="preserve"> The Minister or the provincial fisheries committee shall have the power to issue notifications regarding the following:</w:t>
      </w:r>
    </w:p>
    <w:p w14:paraId="3472D7C7" w14:textId="77777777" w:rsidR="009A0A63" w:rsidRPr="00792B36" w:rsidRDefault="009A0A63" w:rsidP="009A0A63">
      <w:pPr>
        <w:ind w:firstLine="709"/>
        <w:jc w:val="thaiDistribute"/>
        <w:rPr>
          <w:sz w:val="24"/>
          <w:szCs w:val="24"/>
        </w:rPr>
      </w:pPr>
      <w:r w:rsidRPr="00792B36">
        <w:rPr>
          <w:sz w:val="24"/>
          <w:szCs w:val="24"/>
        </w:rPr>
        <w:t>(1) fishing gears, fishing methods, fishing areas, the size of fishing vessels used in fishing operations and other conditions that are prohibited from fishing operations,</w:t>
      </w:r>
    </w:p>
    <w:p w14:paraId="34CCC616" w14:textId="77777777" w:rsidR="009A0A63" w:rsidRPr="00792B36" w:rsidRDefault="009A0A63" w:rsidP="009A0A63">
      <w:pPr>
        <w:ind w:firstLine="709"/>
        <w:jc w:val="thaiDistribute"/>
        <w:rPr>
          <w:sz w:val="24"/>
          <w:szCs w:val="24"/>
        </w:rPr>
      </w:pPr>
      <w:r w:rsidRPr="00792B36">
        <w:rPr>
          <w:sz w:val="24"/>
          <w:szCs w:val="24"/>
        </w:rPr>
        <w:t xml:space="preserve">(2) requirements to be complied with in relation to bycatch, </w:t>
      </w:r>
    </w:p>
    <w:p w14:paraId="2ED7F6D6" w14:textId="77777777" w:rsidR="009A0A63" w:rsidRPr="00792B36" w:rsidRDefault="009A0A63" w:rsidP="009A0A63">
      <w:pPr>
        <w:ind w:firstLine="709"/>
        <w:jc w:val="thaiDistribute"/>
        <w:rPr>
          <w:sz w:val="24"/>
          <w:szCs w:val="24"/>
        </w:rPr>
      </w:pPr>
      <w:r w:rsidRPr="00792B36">
        <w:rPr>
          <w:sz w:val="24"/>
          <w:szCs w:val="24"/>
        </w:rPr>
        <w:t xml:space="preserve">(3) an area necessitating the use of a fishing gear that requires pegging down, </w:t>
      </w:r>
      <w:r w:rsidRPr="00792B36">
        <w:rPr>
          <w:sz w:val="24"/>
          <w:szCs w:val="24"/>
        </w:rPr>
        <w:lastRenderedPageBreak/>
        <w:t>pitching, tying, stretching, pulling, sinking or any other method to keep any such tool fixed during a fishing operation.</w:t>
      </w:r>
    </w:p>
    <w:p w14:paraId="2E25361A" w14:textId="77777777" w:rsidR="009A0A63" w:rsidRPr="00792B36" w:rsidRDefault="009A0A63" w:rsidP="009A0A63">
      <w:pPr>
        <w:ind w:firstLine="709"/>
        <w:jc w:val="thaiDistribute"/>
        <w:rPr>
          <w:sz w:val="24"/>
          <w:szCs w:val="24"/>
        </w:rPr>
      </w:pPr>
      <w:r w:rsidRPr="00792B36">
        <w:rPr>
          <w:sz w:val="24"/>
          <w:szCs w:val="24"/>
        </w:rPr>
        <w:t>Under this section, the Department of Fisheries has issued a Department of Fisheries Notifications prescribing fishing gear, fishing methods, fishing areas, and conditions prohibiting fishing in certain fishing grounds in Trat province B.E. 2565 (2022) (Figure 3).</w:t>
      </w:r>
      <w:r w:rsidRPr="00792B36">
        <w:rPr>
          <w:sz w:val="24"/>
          <w:szCs w:val="24"/>
          <w:cs/>
        </w:rPr>
        <w:t xml:space="preserve"> </w:t>
      </w:r>
      <w:r w:rsidRPr="00792B36">
        <w:rPr>
          <w:sz w:val="24"/>
          <w:szCs w:val="24"/>
        </w:rPr>
        <w:t>Moreover, the Surat Thani Provincial Fisheries Committee has issued notification prohibiting the use of certain types of fishing gear in coastal waters around Koh Set, Phum Riang Subdistrict, Chaiya District, Surat Thani Province, B.E. 2565 (2022). These two areas are recognized as fisheries refugia established to protect critical habitats for short mackerel and blue swimming crab.</w:t>
      </w:r>
    </w:p>
    <w:p w14:paraId="64994C6C" w14:textId="77777777" w:rsidR="009A0A63" w:rsidRPr="00792B36" w:rsidRDefault="009A0A63" w:rsidP="009A0A63">
      <w:pPr>
        <w:ind w:firstLine="709"/>
        <w:jc w:val="thaiDistribute"/>
        <w:rPr>
          <w:sz w:val="24"/>
          <w:szCs w:val="24"/>
        </w:rPr>
      </w:pPr>
    </w:p>
    <w:p w14:paraId="6815C84A" w14:textId="77777777" w:rsidR="009A0A63" w:rsidRPr="00792B36" w:rsidRDefault="009A0A63" w:rsidP="009A0A63">
      <w:pPr>
        <w:ind w:firstLine="709"/>
        <w:jc w:val="thaiDistribute"/>
        <w:rPr>
          <w:sz w:val="24"/>
          <w:szCs w:val="24"/>
        </w:rPr>
      </w:pPr>
      <w:r w:rsidRPr="00792B36">
        <w:rPr>
          <w:sz w:val="24"/>
          <w:szCs w:val="24"/>
        </w:rPr>
        <w:t xml:space="preserve">In addition to the notifications issued under the Royal Ordinance on Fisheries 2025, there are also other notifications issued under ministerial regulations, including the Department of Fisheries Notification on the types of fishing gear eligible for transfer of fishing rights, B.E. 2558 (2025). Following the National Fisheries Committee's determination of the Total Allowable Catch (TAC), based on the MSY, which is used as a reference point, the Department of Fisheries allocates the TAC to each fishing vessel. In cases where fishing vessels using high-efficiency fishing gear are not fishing or have surplus allocated catch, these can be transferred to other fishing vessels. </w:t>
      </w:r>
    </w:p>
    <w:p w14:paraId="26B19ECB" w14:textId="77777777" w:rsidR="009A0A63" w:rsidRPr="00792B36" w:rsidRDefault="009A0A63" w:rsidP="009A0A63">
      <w:pPr>
        <w:ind w:firstLine="709"/>
        <w:jc w:val="thaiDistribute"/>
        <w:rPr>
          <w:sz w:val="24"/>
          <w:szCs w:val="24"/>
        </w:rPr>
      </w:pPr>
    </w:p>
    <w:p w14:paraId="07259868" w14:textId="77777777" w:rsidR="009A0A63" w:rsidRPr="00792B36" w:rsidRDefault="009A0A63" w:rsidP="009A0A63">
      <w:pPr>
        <w:ind w:firstLine="709"/>
        <w:jc w:val="thaiDistribute"/>
        <w:rPr>
          <w:sz w:val="24"/>
          <w:szCs w:val="24"/>
        </w:rPr>
      </w:pPr>
    </w:p>
    <w:p w14:paraId="48548C45" w14:textId="77777777" w:rsidR="009A0A63" w:rsidRPr="00792B36" w:rsidRDefault="009A0A63" w:rsidP="009A0A63">
      <w:pPr>
        <w:ind w:firstLine="709"/>
        <w:jc w:val="thaiDistribute"/>
        <w:rPr>
          <w:sz w:val="24"/>
          <w:szCs w:val="24"/>
        </w:rPr>
      </w:pPr>
    </w:p>
    <w:p w14:paraId="6E961FA3" w14:textId="77777777" w:rsidR="009A0A63" w:rsidRPr="00792B36" w:rsidRDefault="009A0A63" w:rsidP="009A0A63">
      <w:pPr>
        <w:ind w:firstLine="709"/>
        <w:jc w:val="thaiDistribute"/>
        <w:rPr>
          <w:sz w:val="24"/>
          <w:szCs w:val="24"/>
        </w:rPr>
        <w:sectPr w:rsidR="009A0A63" w:rsidRPr="00792B36" w:rsidSect="003332A9">
          <w:pgSz w:w="11900" w:h="16840"/>
          <w:pgMar w:top="1440" w:right="1440" w:bottom="1440" w:left="1440" w:header="708" w:footer="708" w:gutter="0"/>
          <w:cols w:space="708"/>
          <w:docGrid w:linePitch="360"/>
        </w:sectPr>
      </w:pPr>
    </w:p>
    <w:p w14:paraId="104891A0" w14:textId="77777777" w:rsidR="009A0A63" w:rsidRPr="00792B36" w:rsidRDefault="009A0A63" w:rsidP="009A0A63">
      <w:pPr>
        <w:pStyle w:val="ListParagraph"/>
        <w:tabs>
          <w:tab w:val="left" w:pos="450"/>
        </w:tabs>
        <w:ind w:left="0"/>
        <w:jc w:val="center"/>
        <w:rPr>
          <w:rFonts w:cs="Arial"/>
          <w:b/>
          <w:bCs/>
          <w:color w:val="000000" w:themeColor="text1"/>
          <w:sz w:val="28"/>
          <w:szCs w:val="35"/>
          <w:lang w:val="en-US"/>
        </w:rPr>
      </w:pPr>
      <w:r w:rsidRPr="00792B36">
        <w:rPr>
          <w:rFonts w:cs="Arial"/>
          <w:b/>
          <w:bCs/>
          <w:color w:val="000000" w:themeColor="text1"/>
          <w:sz w:val="28"/>
        </w:rPr>
        <w:lastRenderedPageBreak/>
        <w:t>Annex</w:t>
      </w:r>
      <w:r w:rsidRPr="00792B36">
        <w:rPr>
          <w:rFonts w:cs="Arial"/>
          <w:b/>
          <w:bCs/>
          <w:color w:val="000000" w:themeColor="text1"/>
          <w:sz w:val="28"/>
          <w:cs/>
        </w:rPr>
        <w:t xml:space="preserve"> </w:t>
      </w:r>
      <w:r w:rsidRPr="00792B36">
        <w:rPr>
          <w:rFonts w:cs="Arial"/>
          <w:b/>
          <w:bCs/>
          <w:color w:val="000000" w:themeColor="text1"/>
          <w:sz w:val="28"/>
          <w:szCs w:val="35"/>
          <w:lang w:val="en-US"/>
        </w:rPr>
        <w:t>IV: Governance</w:t>
      </w:r>
    </w:p>
    <w:p w14:paraId="4B075FB2" w14:textId="77777777" w:rsidR="009A0A63" w:rsidRPr="00792B36" w:rsidRDefault="009A0A63" w:rsidP="009A0A63">
      <w:pPr>
        <w:pStyle w:val="ListParagraph"/>
        <w:tabs>
          <w:tab w:val="left" w:pos="450"/>
        </w:tabs>
        <w:ind w:left="0"/>
        <w:rPr>
          <w:rFonts w:cs="Arial"/>
          <w:color w:val="000000" w:themeColor="text1"/>
          <w:sz w:val="24"/>
          <w:szCs w:val="24"/>
        </w:rPr>
      </w:pPr>
    </w:p>
    <w:p w14:paraId="74EF0ED2" w14:textId="77777777" w:rsidR="009A0A63" w:rsidRPr="00792B36" w:rsidRDefault="009A0A63" w:rsidP="009A0A63">
      <w:pPr>
        <w:spacing w:before="120" w:after="120"/>
        <w:contextualSpacing/>
        <w:rPr>
          <w:sz w:val="24"/>
          <w:szCs w:val="24"/>
        </w:rPr>
      </w:pPr>
      <w:r w:rsidRPr="00792B36">
        <w:rPr>
          <w:color w:val="EE0000"/>
          <w:sz w:val="24"/>
          <w:szCs w:val="24"/>
        </w:rPr>
        <w:t xml:space="preserve">Annex 1: </w:t>
      </w:r>
      <w:r w:rsidRPr="00792B36">
        <w:rPr>
          <w:sz w:val="24"/>
          <w:szCs w:val="24"/>
        </w:rPr>
        <w:t xml:space="preserve">GDP, GDP growth rate, GDP per capita, Inflation rate, Poverty headcount, and employment rate of Thailand (2000-2024) </w:t>
      </w:r>
    </w:p>
    <w:p w14:paraId="1218825B" w14:textId="77777777" w:rsidR="009A0A63" w:rsidRPr="00792B36" w:rsidRDefault="009A0A63" w:rsidP="009A0A63">
      <w:pPr>
        <w:spacing w:before="120" w:after="120"/>
        <w:contextualSpacing/>
        <w:rPr>
          <w:sz w:val="24"/>
          <w:szCs w:val="24"/>
        </w:rPr>
      </w:pPr>
    </w:p>
    <w:tbl>
      <w:tblPr>
        <w:tblW w:w="93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60"/>
        <w:gridCol w:w="1067"/>
        <w:gridCol w:w="1017"/>
        <w:gridCol w:w="1270"/>
        <w:gridCol w:w="1043"/>
        <w:gridCol w:w="1897"/>
        <w:gridCol w:w="1997"/>
      </w:tblGrid>
      <w:tr w:rsidR="009A0A63" w:rsidRPr="00792B36" w14:paraId="22115D3C" w14:textId="77777777" w:rsidTr="00A24459">
        <w:trPr>
          <w:trHeight w:val="1380"/>
          <w:tblHeader/>
        </w:trPr>
        <w:tc>
          <w:tcPr>
            <w:tcW w:w="1060" w:type="dxa"/>
            <w:noWrap/>
            <w:hideMark/>
          </w:tcPr>
          <w:p w14:paraId="514D9E78" w14:textId="77777777" w:rsidR="009A0A63" w:rsidRPr="00792B36" w:rsidRDefault="009A0A63" w:rsidP="00A24459">
            <w:pPr>
              <w:spacing w:before="120" w:after="120"/>
              <w:contextualSpacing/>
              <w:jc w:val="center"/>
              <w:rPr>
                <w:rFonts w:eastAsia="Times New Roman"/>
                <w:color w:val="000000"/>
                <w:sz w:val="24"/>
                <w:szCs w:val="24"/>
              </w:rPr>
            </w:pPr>
            <w:r w:rsidRPr="00792B36">
              <w:rPr>
                <w:rFonts w:eastAsia="Times New Roman"/>
                <w:color w:val="000000"/>
                <w:sz w:val="24"/>
                <w:szCs w:val="24"/>
              </w:rPr>
              <w:t>Year</w:t>
            </w:r>
          </w:p>
        </w:tc>
        <w:tc>
          <w:tcPr>
            <w:tcW w:w="1067" w:type="dxa"/>
            <w:hideMark/>
          </w:tcPr>
          <w:p w14:paraId="29C55163" w14:textId="77777777" w:rsidR="009A0A63" w:rsidRPr="00792B36" w:rsidRDefault="009A0A63" w:rsidP="00A24459">
            <w:pPr>
              <w:spacing w:before="120" w:after="120"/>
              <w:contextualSpacing/>
              <w:jc w:val="center"/>
              <w:rPr>
                <w:rFonts w:eastAsia="Times New Roman"/>
                <w:color w:val="000000"/>
                <w:sz w:val="24"/>
                <w:szCs w:val="24"/>
              </w:rPr>
            </w:pPr>
            <w:r w:rsidRPr="00792B36">
              <w:rPr>
                <w:rFonts w:eastAsia="Times New Roman"/>
                <w:color w:val="000000"/>
                <w:sz w:val="24"/>
                <w:szCs w:val="24"/>
              </w:rPr>
              <w:t>GDP (current million US$)</w:t>
            </w:r>
          </w:p>
        </w:tc>
        <w:tc>
          <w:tcPr>
            <w:tcW w:w="1017" w:type="dxa"/>
            <w:hideMark/>
          </w:tcPr>
          <w:p w14:paraId="11D01D1B" w14:textId="77777777" w:rsidR="009A0A63" w:rsidRPr="00792B36" w:rsidRDefault="009A0A63" w:rsidP="00A24459">
            <w:pPr>
              <w:spacing w:before="120" w:after="120"/>
              <w:contextualSpacing/>
              <w:jc w:val="center"/>
              <w:rPr>
                <w:rFonts w:eastAsia="Times New Roman"/>
                <w:color w:val="000000"/>
                <w:sz w:val="24"/>
                <w:szCs w:val="24"/>
              </w:rPr>
            </w:pPr>
            <w:r w:rsidRPr="00792B36">
              <w:rPr>
                <w:rFonts w:eastAsia="Times New Roman"/>
                <w:color w:val="000000"/>
                <w:sz w:val="24"/>
                <w:szCs w:val="24"/>
              </w:rPr>
              <w:t>GDP growth (annual %)</w:t>
            </w:r>
          </w:p>
        </w:tc>
        <w:tc>
          <w:tcPr>
            <w:tcW w:w="1270" w:type="dxa"/>
            <w:hideMark/>
          </w:tcPr>
          <w:p w14:paraId="77F95BFD" w14:textId="77777777" w:rsidR="009A0A63" w:rsidRPr="00792B36" w:rsidRDefault="009A0A63" w:rsidP="00A24459">
            <w:pPr>
              <w:spacing w:before="120" w:after="120"/>
              <w:contextualSpacing/>
              <w:jc w:val="center"/>
              <w:rPr>
                <w:rFonts w:eastAsia="Times New Roman"/>
                <w:color w:val="000000"/>
                <w:sz w:val="24"/>
                <w:szCs w:val="24"/>
              </w:rPr>
            </w:pPr>
            <w:r w:rsidRPr="00792B36">
              <w:rPr>
                <w:rFonts w:eastAsia="Times New Roman"/>
                <w:color w:val="000000"/>
                <w:sz w:val="24"/>
                <w:szCs w:val="24"/>
              </w:rPr>
              <w:t>Inflation, consumer prices (annual %)</w:t>
            </w:r>
          </w:p>
        </w:tc>
        <w:tc>
          <w:tcPr>
            <w:tcW w:w="1043" w:type="dxa"/>
            <w:hideMark/>
          </w:tcPr>
          <w:p w14:paraId="344AE82E" w14:textId="77777777" w:rsidR="009A0A63" w:rsidRPr="00792B36" w:rsidRDefault="009A0A63" w:rsidP="00A24459">
            <w:pPr>
              <w:spacing w:before="120" w:after="120"/>
              <w:contextualSpacing/>
              <w:jc w:val="center"/>
              <w:rPr>
                <w:rFonts w:eastAsia="Times New Roman"/>
                <w:color w:val="000000"/>
                <w:sz w:val="24"/>
                <w:szCs w:val="24"/>
              </w:rPr>
            </w:pPr>
            <w:r w:rsidRPr="00792B36">
              <w:rPr>
                <w:rFonts w:eastAsia="Times New Roman"/>
                <w:color w:val="000000"/>
                <w:sz w:val="24"/>
                <w:szCs w:val="24"/>
              </w:rPr>
              <w:t>GDP per capita (current US$)</w:t>
            </w:r>
          </w:p>
        </w:tc>
        <w:tc>
          <w:tcPr>
            <w:tcW w:w="1897" w:type="dxa"/>
            <w:hideMark/>
          </w:tcPr>
          <w:p w14:paraId="38B9FC83" w14:textId="77777777" w:rsidR="009A0A63" w:rsidRPr="00792B36" w:rsidRDefault="009A0A63" w:rsidP="00A24459">
            <w:pPr>
              <w:spacing w:before="120" w:after="120"/>
              <w:contextualSpacing/>
              <w:jc w:val="center"/>
              <w:rPr>
                <w:rFonts w:eastAsia="Times New Roman"/>
                <w:color w:val="000000"/>
                <w:sz w:val="24"/>
                <w:szCs w:val="24"/>
              </w:rPr>
            </w:pPr>
            <w:r w:rsidRPr="00792B36">
              <w:rPr>
                <w:rFonts w:eastAsia="Times New Roman"/>
                <w:color w:val="000000"/>
                <w:sz w:val="24"/>
                <w:szCs w:val="24"/>
              </w:rPr>
              <w:t>Unemployment rate, total (% of total labor force) (national estimate)</w:t>
            </w:r>
          </w:p>
        </w:tc>
        <w:tc>
          <w:tcPr>
            <w:tcW w:w="1997" w:type="dxa"/>
            <w:hideMark/>
          </w:tcPr>
          <w:p w14:paraId="5218F239" w14:textId="77777777" w:rsidR="009A0A63" w:rsidRPr="00792B36" w:rsidRDefault="009A0A63" w:rsidP="00A24459">
            <w:pPr>
              <w:spacing w:before="120" w:after="120"/>
              <w:contextualSpacing/>
              <w:jc w:val="center"/>
              <w:rPr>
                <w:rFonts w:eastAsia="Times New Roman"/>
                <w:color w:val="000000"/>
                <w:sz w:val="24"/>
                <w:szCs w:val="24"/>
              </w:rPr>
            </w:pPr>
            <w:r w:rsidRPr="00792B36">
              <w:rPr>
                <w:rFonts w:eastAsia="Times New Roman"/>
                <w:color w:val="000000"/>
                <w:sz w:val="24"/>
                <w:szCs w:val="24"/>
              </w:rPr>
              <w:t>Poverty headcount ratio at $8.30 a day (2021 PPP) (% of population)</w:t>
            </w:r>
          </w:p>
        </w:tc>
      </w:tr>
      <w:tr w:rsidR="009A0A63" w:rsidRPr="00792B36" w14:paraId="5F021AB7" w14:textId="77777777" w:rsidTr="00A24459">
        <w:trPr>
          <w:trHeight w:val="81"/>
        </w:trPr>
        <w:tc>
          <w:tcPr>
            <w:tcW w:w="1060" w:type="dxa"/>
            <w:noWrap/>
            <w:vAlign w:val="center"/>
            <w:hideMark/>
          </w:tcPr>
          <w:p w14:paraId="0F328930" w14:textId="77777777" w:rsidR="009A0A63" w:rsidRPr="00792B36" w:rsidRDefault="009A0A63" w:rsidP="00A24459">
            <w:pPr>
              <w:spacing w:before="120" w:after="120"/>
              <w:contextualSpacing/>
              <w:jc w:val="center"/>
              <w:rPr>
                <w:rFonts w:eastAsia="Times New Roman"/>
                <w:color w:val="000000"/>
                <w:sz w:val="24"/>
                <w:szCs w:val="24"/>
              </w:rPr>
            </w:pPr>
            <w:r w:rsidRPr="00792B36">
              <w:rPr>
                <w:rFonts w:eastAsia="Times New Roman"/>
                <w:color w:val="000000"/>
                <w:sz w:val="24"/>
                <w:szCs w:val="24"/>
              </w:rPr>
              <w:t>2000</w:t>
            </w:r>
          </w:p>
        </w:tc>
        <w:tc>
          <w:tcPr>
            <w:tcW w:w="1067" w:type="dxa"/>
            <w:noWrap/>
            <w:vAlign w:val="center"/>
            <w:hideMark/>
          </w:tcPr>
          <w:p w14:paraId="20C5A75E" w14:textId="77777777" w:rsidR="009A0A63" w:rsidRPr="00792B36" w:rsidRDefault="009A0A63" w:rsidP="00A24459">
            <w:pPr>
              <w:spacing w:before="120" w:after="120"/>
              <w:contextualSpacing/>
              <w:jc w:val="center"/>
              <w:rPr>
                <w:rFonts w:eastAsia="Times New Roman"/>
                <w:color w:val="000000"/>
                <w:sz w:val="24"/>
                <w:szCs w:val="24"/>
              </w:rPr>
            </w:pPr>
            <w:r w:rsidRPr="00792B36">
              <w:rPr>
                <w:rFonts w:eastAsia="Times New Roman"/>
                <w:color w:val="000000"/>
                <w:sz w:val="24"/>
                <w:szCs w:val="24"/>
              </w:rPr>
              <w:t>126.4</w:t>
            </w:r>
          </w:p>
        </w:tc>
        <w:tc>
          <w:tcPr>
            <w:tcW w:w="1017" w:type="dxa"/>
            <w:noWrap/>
            <w:vAlign w:val="center"/>
            <w:hideMark/>
          </w:tcPr>
          <w:p w14:paraId="59B28C13" w14:textId="77777777" w:rsidR="009A0A63" w:rsidRPr="00792B36" w:rsidRDefault="009A0A63" w:rsidP="00A24459">
            <w:pPr>
              <w:spacing w:before="120" w:after="120"/>
              <w:contextualSpacing/>
              <w:jc w:val="center"/>
              <w:rPr>
                <w:rFonts w:eastAsia="Times New Roman"/>
                <w:color w:val="000000"/>
                <w:sz w:val="24"/>
                <w:szCs w:val="24"/>
              </w:rPr>
            </w:pPr>
            <w:r w:rsidRPr="00792B36">
              <w:rPr>
                <w:rFonts w:eastAsia="Times New Roman"/>
                <w:color w:val="000000"/>
                <w:sz w:val="24"/>
                <w:szCs w:val="24"/>
              </w:rPr>
              <w:t>4.5</w:t>
            </w:r>
          </w:p>
        </w:tc>
        <w:tc>
          <w:tcPr>
            <w:tcW w:w="1270" w:type="dxa"/>
            <w:noWrap/>
            <w:vAlign w:val="center"/>
            <w:hideMark/>
          </w:tcPr>
          <w:p w14:paraId="31B4A752" w14:textId="77777777" w:rsidR="009A0A63" w:rsidRPr="00792B36" w:rsidRDefault="009A0A63" w:rsidP="00A24459">
            <w:pPr>
              <w:spacing w:before="120" w:after="120"/>
              <w:contextualSpacing/>
              <w:jc w:val="center"/>
              <w:rPr>
                <w:rFonts w:eastAsia="Times New Roman"/>
                <w:color w:val="000000"/>
                <w:sz w:val="24"/>
                <w:szCs w:val="24"/>
              </w:rPr>
            </w:pPr>
            <w:r w:rsidRPr="00792B36">
              <w:rPr>
                <w:color w:val="000000"/>
                <w:sz w:val="24"/>
                <w:szCs w:val="24"/>
              </w:rPr>
              <w:t>1.3</w:t>
            </w:r>
          </w:p>
        </w:tc>
        <w:tc>
          <w:tcPr>
            <w:tcW w:w="1043" w:type="dxa"/>
            <w:noWrap/>
            <w:vAlign w:val="center"/>
            <w:hideMark/>
          </w:tcPr>
          <w:p w14:paraId="7A83B646" w14:textId="77777777" w:rsidR="009A0A63" w:rsidRPr="00792B36" w:rsidRDefault="009A0A63" w:rsidP="00A24459">
            <w:pPr>
              <w:spacing w:before="120" w:after="120"/>
              <w:contextualSpacing/>
              <w:jc w:val="center"/>
              <w:rPr>
                <w:rFonts w:eastAsia="Times New Roman"/>
                <w:color w:val="000000"/>
                <w:sz w:val="24"/>
                <w:szCs w:val="24"/>
              </w:rPr>
            </w:pPr>
            <w:r w:rsidRPr="00792B36">
              <w:rPr>
                <w:rFonts w:eastAsia="Times New Roman"/>
                <w:color w:val="000000"/>
                <w:sz w:val="24"/>
                <w:szCs w:val="24"/>
              </w:rPr>
              <w:t>2,006.0</w:t>
            </w:r>
          </w:p>
        </w:tc>
        <w:tc>
          <w:tcPr>
            <w:tcW w:w="1897" w:type="dxa"/>
            <w:noWrap/>
            <w:vAlign w:val="center"/>
            <w:hideMark/>
          </w:tcPr>
          <w:p w14:paraId="29F49231" w14:textId="77777777" w:rsidR="009A0A63" w:rsidRPr="00792B36" w:rsidRDefault="009A0A63" w:rsidP="00A24459">
            <w:pPr>
              <w:spacing w:before="120" w:after="120"/>
              <w:contextualSpacing/>
              <w:jc w:val="center"/>
              <w:rPr>
                <w:rFonts w:eastAsia="Times New Roman"/>
                <w:color w:val="000000"/>
                <w:sz w:val="24"/>
                <w:szCs w:val="24"/>
              </w:rPr>
            </w:pPr>
            <w:r w:rsidRPr="00792B36">
              <w:rPr>
                <w:rFonts w:eastAsia="Times New Roman"/>
                <w:color w:val="000000"/>
                <w:sz w:val="24"/>
                <w:szCs w:val="24"/>
              </w:rPr>
              <w:t>2.4</w:t>
            </w:r>
          </w:p>
        </w:tc>
        <w:tc>
          <w:tcPr>
            <w:tcW w:w="1997" w:type="dxa"/>
            <w:noWrap/>
            <w:vAlign w:val="center"/>
            <w:hideMark/>
          </w:tcPr>
          <w:p w14:paraId="269937E5" w14:textId="77777777" w:rsidR="009A0A63" w:rsidRPr="00792B36" w:rsidRDefault="009A0A63" w:rsidP="00A24459">
            <w:pPr>
              <w:spacing w:before="120" w:after="120"/>
              <w:contextualSpacing/>
              <w:jc w:val="center"/>
              <w:rPr>
                <w:rFonts w:eastAsia="Times New Roman"/>
                <w:color w:val="000000"/>
                <w:sz w:val="24"/>
                <w:szCs w:val="24"/>
              </w:rPr>
            </w:pPr>
            <w:r w:rsidRPr="00792B36">
              <w:rPr>
                <w:rFonts w:eastAsia="Times New Roman"/>
                <w:color w:val="000000"/>
                <w:sz w:val="24"/>
                <w:szCs w:val="24"/>
              </w:rPr>
              <w:t>61.2</w:t>
            </w:r>
          </w:p>
        </w:tc>
      </w:tr>
      <w:tr w:rsidR="009A0A63" w:rsidRPr="00792B36" w14:paraId="0AB9FB26" w14:textId="77777777" w:rsidTr="00A24459">
        <w:trPr>
          <w:trHeight w:val="276"/>
        </w:trPr>
        <w:tc>
          <w:tcPr>
            <w:tcW w:w="1060" w:type="dxa"/>
            <w:noWrap/>
            <w:vAlign w:val="center"/>
            <w:hideMark/>
          </w:tcPr>
          <w:p w14:paraId="6EC7C61B" w14:textId="77777777" w:rsidR="009A0A63" w:rsidRPr="00792B36" w:rsidRDefault="009A0A63" w:rsidP="00A24459">
            <w:pPr>
              <w:spacing w:before="120" w:after="120"/>
              <w:contextualSpacing/>
              <w:jc w:val="center"/>
              <w:rPr>
                <w:rFonts w:eastAsia="Times New Roman"/>
                <w:color w:val="000000"/>
                <w:sz w:val="24"/>
                <w:szCs w:val="24"/>
              </w:rPr>
            </w:pPr>
            <w:r w:rsidRPr="00792B36">
              <w:rPr>
                <w:rFonts w:eastAsia="Times New Roman"/>
                <w:color w:val="000000"/>
                <w:sz w:val="24"/>
                <w:szCs w:val="24"/>
              </w:rPr>
              <w:t>2001</w:t>
            </w:r>
          </w:p>
        </w:tc>
        <w:tc>
          <w:tcPr>
            <w:tcW w:w="1067" w:type="dxa"/>
            <w:noWrap/>
            <w:vAlign w:val="center"/>
            <w:hideMark/>
          </w:tcPr>
          <w:p w14:paraId="0107DBAB" w14:textId="77777777" w:rsidR="009A0A63" w:rsidRPr="00792B36" w:rsidRDefault="009A0A63" w:rsidP="00A24459">
            <w:pPr>
              <w:spacing w:before="120" w:after="120"/>
              <w:contextualSpacing/>
              <w:jc w:val="center"/>
              <w:rPr>
                <w:rFonts w:eastAsia="Times New Roman"/>
                <w:color w:val="000000"/>
                <w:sz w:val="24"/>
                <w:szCs w:val="24"/>
              </w:rPr>
            </w:pPr>
            <w:r w:rsidRPr="00792B36">
              <w:rPr>
                <w:rFonts w:eastAsia="Times New Roman"/>
                <w:color w:val="000000"/>
                <w:sz w:val="24"/>
                <w:szCs w:val="24"/>
              </w:rPr>
              <w:t>120.3</w:t>
            </w:r>
          </w:p>
        </w:tc>
        <w:tc>
          <w:tcPr>
            <w:tcW w:w="1017" w:type="dxa"/>
            <w:noWrap/>
            <w:vAlign w:val="center"/>
            <w:hideMark/>
          </w:tcPr>
          <w:p w14:paraId="2582EB24" w14:textId="77777777" w:rsidR="009A0A63" w:rsidRPr="00792B36" w:rsidRDefault="009A0A63" w:rsidP="00A24459">
            <w:pPr>
              <w:spacing w:before="120" w:after="120"/>
              <w:contextualSpacing/>
              <w:jc w:val="center"/>
              <w:rPr>
                <w:rFonts w:eastAsia="Times New Roman"/>
                <w:color w:val="000000"/>
                <w:sz w:val="24"/>
                <w:szCs w:val="24"/>
              </w:rPr>
            </w:pPr>
            <w:r w:rsidRPr="00792B36">
              <w:rPr>
                <w:rFonts w:eastAsia="Times New Roman"/>
                <w:color w:val="000000"/>
                <w:sz w:val="24"/>
                <w:szCs w:val="24"/>
              </w:rPr>
              <w:t>3.4</w:t>
            </w:r>
          </w:p>
        </w:tc>
        <w:tc>
          <w:tcPr>
            <w:tcW w:w="1270" w:type="dxa"/>
            <w:noWrap/>
            <w:vAlign w:val="center"/>
            <w:hideMark/>
          </w:tcPr>
          <w:p w14:paraId="2A838A83" w14:textId="77777777" w:rsidR="009A0A63" w:rsidRPr="00792B36" w:rsidRDefault="009A0A63" w:rsidP="00A24459">
            <w:pPr>
              <w:spacing w:before="120" w:after="120"/>
              <w:contextualSpacing/>
              <w:jc w:val="center"/>
              <w:rPr>
                <w:rFonts w:eastAsia="Times New Roman"/>
                <w:color w:val="000000"/>
                <w:sz w:val="24"/>
                <w:szCs w:val="24"/>
              </w:rPr>
            </w:pPr>
            <w:r w:rsidRPr="00792B36">
              <w:rPr>
                <w:color w:val="000000"/>
                <w:sz w:val="24"/>
                <w:szCs w:val="24"/>
              </w:rPr>
              <w:t>2.2</w:t>
            </w:r>
          </w:p>
        </w:tc>
        <w:tc>
          <w:tcPr>
            <w:tcW w:w="1043" w:type="dxa"/>
            <w:noWrap/>
            <w:vAlign w:val="center"/>
            <w:hideMark/>
          </w:tcPr>
          <w:p w14:paraId="13659F0B" w14:textId="77777777" w:rsidR="009A0A63" w:rsidRPr="00792B36" w:rsidRDefault="009A0A63" w:rsidP="00A24459">
            <w:pPr>
              <w:spacing w:before="120" w:after="120"/>
              <w:contextualSpacing/>
              <w:jc w:val="center"/>
              <w:rPr>
                <w:rFonts w:eastAsia="Times New Roman"/>
                <w:color w:val="000000"/>
                <w:sz w:val="24"/>
                <w:szCs w:val="24"/>
              </w:rPr>
            </w:pPr>
            <w:r w:rsidRPr="00792B36">
              <w:rPr>
                <w:rFonts w:eastAsia="Times New Roman"/>
                <w:color w:val="000000"/>
                <w:sz w:val="24"/>
                <w:szCs w:val="24"/>
              </w:rPr>
              <w:t>1,889.9</w:t>
            </w:r>
          </w:p>
        </w:tc>
        <w:tc>
          <w:tcPr>
            <w:tcW w:w="1897" w:type="dxa"/>
            <w:noWrap/>
            <w:vAlign w:val="center"/>
            <w:hideMark/>
          </w:tcPr>
          <w:p w14:paraId="3C9323DA" w14:textId="77777777" w:rsidR="009A0A63" w:rsidRPr="00792B36" w:rsidRDefault="009A0A63" w:rsidP="00A24459">
            <w:pPr>
              <w:spacing w:before="120" w:after="120"/>
              <w:contextualSpacing/>
              <w:jc w:val="center"/>
              <w:rPr>
                <w:rFonts w:eastAsia="Times New Roman"/>
                <w:color w:val="000000"/>
                <w:sz w:val="24"/>
                <w:szCs w:val="24"/>
              </w:rPr>
            </w:pPr>
            <w:r w:rsidRPr="00792B36">
              <w:rPr>
                <w:rFonts w:eastAsia="Times New Roman"/>
                <w:color w:val="000000"/>
                <w:sz w:val="24"/>
                <w:szCs w:val="24"/>
              </w:rPr>
              <w:t>2.6</w:t>
            </w:r>
          </w:p>
        </w:tc>
        <w:tc>
          <w:tcPr>
            <w:tcW w:w="1997" w:type="dxa"/>
            <w:noWrap/>
            <w:vAlign w:val="center"/>
            <w:hideMark/>
          </w:tcPr>
          <w:p w14:paraId="73D342E3" w14:textId="77777777" w:rsidR="009A0A63" w:rsidRPr="00792B36" w:rsidRDefault="009A0A63" w:rsidP="00A24459">
            <w:pPr>
              <w:spacing w:before="120" w:after="120"/>
              <w:contextualSpacing/>
              <w:jc w:val="center"/>
              <w:rPr>
                <w:rFonts w:eastAsia="Times New Roman"/>
                <w:color w:val="000000"/>
                <w:sz w:val="24"/>
                <w:szCs w:val="24"/>
              </w:rPr>
            </w:pPr>
            <w:r w:rsidRPr="00792B36">
              <w:rPr>
                <w:rFonts w:eastAsia="Times New Roman"/>
                <w:color w:val="000000"/>
                <w:sz w:val="24"/>
                <w:szCs w:val="24"/>
              </w:rPr>
              <w:t>***</w:t>
            </w:r>
          </w:p>
        </w:tc>
      </w:tr>
      <w:tr w:rsidR="009A0A63" w:rsidRPr="00792B36" w14:paraId="61490578" w14:textId="77777777" w:rsidTr="00A24459">
        <w:trPr>
          <w:trHeight w:val="276"/>
        </w:trPr>
        <w:tc>
          <w:tcPr>
            <w:tcW w:w="1060" w:type="dxa"/>
            <w:noWrap/>
            <w:vAlign w:val="center"/>
            <w:hideMark/>
          </w:tcPr>
          <w:p w14:paraId="1BE49DE0" w14:textId="77777777" w:rsidR="009A0A63" w:rsidRPr="00792B36" w:rsidRDefault="009A0A63" w:rsidP="00A24459">
            <w:pPr>
              <w:spacing w:before="120" w:after="120"/>
              <w:contextualSpacing/>
              <w:jc w:val="center"/>
              <w:rPr>
                <w:rFonts w:eastAsia="Times New Roman"/>
                <w:color w:val="000000"/>
                <w:sz w:val="24"/>
                <w:szCs w:val="24"/>
              </w:rPr>
            </w:pPr>
            <w:r w:rsidRPr="00792B36">
              <w:rPr>
                <w:rFonts w:eastAsia="Times New Roman"/>
                <w:color w:val="000000"/>
                <w:sz w:val="24"/>
                <w:szCs w:val="24"/>
              </w:rPr>
              <w:t>2002</w:t>
            </w:r>
          </w:p>
        </w:tc>
        <w:tc>
          <w:tcPr>
            <w:tcW w:w="1067" w:type="dxa"/>
            <w:noWrap/>
            <w:vAlign w:val="center"/>
            <w:hideMark/>
          </w:tcPr>
          <w:p w14:paraId="2C894F47" w14:textId="77777777" w:rsidR="009A0A63" w:rsidRPr="00792B36" w:rsidRDefault="009A0A63" w:rsidP="00A24459">
            <w:pPr>
              <w:spacing w:before="120" w:after="120"/>
              <w:contextualSpacing/>
              <w:jc w:val="center"/>
              <w:rPr>
                <w:rFonts w:eastAsia="Times New Roman"/>
                <w:color w:val="000000"/>
                <w:sz w:val="24"/>
                <w:szCs w:val="24"/>
              </w:rPr>
            </w:pPr>
            <w:r w:rsidRPr="00792B36">
              <w:rPr>
                <w:rFonts w:eastAsia="Times New Roman"/>
                <w:color w:val="000000"/>
                <w:sz w:val="24"/>
                <w:szCs w:val="24"/>
              </w:rPr>
              <w:t>134.3</w:t>
            </w:r>
          </w:p>
        </w:tc>
        <w:tc>
          <w:tcPr>
            <w:tcW w:w="1017" w:type="dxa"/>
            <w:noWrap/>
            <w:vAlign w:val="center"/>
            <w:hideMark/>
          </w:tcPr>
          <w:p w14:paraId="2AB31369" w14:textId="77777777" w:rsidR="009A0A63" w:rsidRPr="00792B36" w:rsidRDefault="009A0A63" w:rsidP="00A24459">
            <w:pPr>
              <w:spacing w:before="120" w:after="120"/>
              <w:contextualSpacing/>
              <w:jc w:val="center"/>
              <w:rPr>
                <w:rFonts w:eastAsia="Times New Roman"/>
                <w:color w:val="000000"/>
                <w:sz w:val="24"/>
                <w:szCs w:val="24"/>
              </w:rPr>
            </w:pPr>
            <w:r w:rsidRPr="00792B36">
              <w:rPr>
                <w:rFonts w:eastAsia="Times New Roman"/>
                <w:color w:val="000000"/>
                <w:sz w:val="24"/>
                <w:szCs w:val="24"/>
              </w:rPr>
              <w:t>6.1</w:t>
            </w:r>
          </w:p>
        </w:tc>
        <w:tc>
          <w:tcPr>
            <w:tcW w:w="1270" w:type="dxa"/>
            <w:noWrap/>
            <w:vAlign w:val="center"/>
            <w:hideMark/>
          </w:tcPr>
          <w:p w14:paraId="32FC7AF6" w14:textId="77777777" w:rsidR="009A0A63" w:rsidRPr="00792B36" w:rsidRDefault="009A0A63" w:rsidP="00A24459">
            <w:pPr>
              <w:spacing w:before="120" w:after="120"/>
              <w:contextualSpacing/>
              <w:jc w:val="center"/>
              <w:rPr>
                <w:rFonts w:eastAsia="Times New Roman"/>
                <w:color w:val="000000"/>
                <w:sz w:val="24"/>
                <w:szCs w:val="24"/>
              </w:rPr>
            </w:pPr>
            <w:r w:rsidRPr="00792B36">
              <w:rPr>
                <w:color w:val="000000"/>
                <w:sz w:val="24"/>
                <w:szCs w:val="24"/>
              </w:rPr>
              <w:t>1.6</w:t>
            </w:r>
          </w:p>
        </w:tc>
        <w:tc>
          <w:tcPr>
            <w:tcW w:w="1043" w:type="dxa"/>
            <w:noWrap/>
            <w:vAlign w:val="center"/>
            <w:hideMark/>
          </w:tcPr>
          <w:p w14:paraId="1B0604B7" w14:textId="77777777" w:rsidR="009A0A63" w:rsidRPr="00792B36" w:rsidRDefault="009A0A63" w:rsidP="00A24459">
            <w:pPr>
              <w:spacing w:before="120" w:after="120"/>
              <w:contextualSpacing/>
              <w:jc w:val="center"/>
              <w:rPr>
                <w:rFonts w:eastAsia="Times New Roman"/>
                <w:color w:val="000000"/>
                <w:sz w:val="24"/>
                <w:szCs w:val="24"/>
              </w:rPr>
            </w:pPr>
            <w:r w:rsidRPr="00792B36">
              <w:rPr>
                <w:rFonts w:eastAsia="Times New Roman"/>
                <w:color w:val="000000"/>
                <w:sz w:val="24"/>
                <w:szCs w:val="24"/>
              </w:rPr>
              <w:t>2,089.8</w:t>
            </w:r>
          </w:p>
        </w:tc>
        <w:tc>
          <w:tcPr>
            <w:tcW w:w="1897" w:type="dxa"/>
            <w:noWrap/>
            <w:vAlign w:val="center"/>
            <w:hideMark/>
          </w:tcPr>
          <w:p w14:paraId="50EF8FAF" w14:textId="77777777" w:rsidR="009A0A63" w:rsidRPr="00792B36" w:rsidRDefault="009A0A63" w:rsidP="00A24459">
            <w:pPr>
              <w:spacing w:before="120" w:after="120"/>
              <w:contextualSpacing/>
              <w:jc w:val="center"/>
              <w:rPr>
                <w:rFonts w:eastAsia="Times New Roman"/>
                <w:color w:val="000000"/>
                <w:sz w:val="24"/>
                <w:szCs w:val="24"/>
              </w:rPr>
            </w:pPr>
            <w:r w:rsidRPr="00792B36">
              <w:rPr>
                <w:rFonts w:eastAsia="Times New Roman"/>
                <w:color w:val="000000"/>
                <w:sz w:val="24"/>
                <w:szCs w:val="24"/>
              </w:rPr>
              <w:t>***</w:t>
            </w:r>
          </w:p>
        </w:tc>
        <w:tc>
          <w:tcPr>
            <w:tcW w:w="1997" w:type="dxa"/>
            <w:noWrap/>
            <w:vAlign w:val="center"/>
            <w:hideMark/>
          </w:tcPr>
          <w:p w14:paraId="1168170D" w14:textId="77777777" w:rsidR="009A0A63" w:rsidRPr="00792B36" w:rsidRDefault="009A0A63" w:rsidP="00A24459">
            <w:pPr>
              <w:spacing w:before="120" w:after="120"/>
              <w:contextualSpacing/>
              <w:jc w:val="center"/>
              <w:rPr>
                <w:rFonts w:eastAsia="Times New Roman"/>
                <w:color w:val="000000"/>
                <w:sz w:val="24"/>
                <w:szCs w:val="24"/>
              </w:rPr>
            </w:pPr>
            <w:r w:rsidRPr="00792B36">
              <w:rPr>
                <w:rFonts w:eastAsia="Times New Roman"/>
                <w:color w:val="000000"/>
                <w:sz w:val="24"/>
                <w:szCs w:val="24"/>
              </w:rPr>
              <w:t>53.3</w:t>
            </w:r>
          </w:p>
        </w:tc>
      </w:tr>
      <w:tr w:rsidR="009A0A63" w:rsidRPr="00792B36" w14:paraId="28AB01BD" w14:textId="77777777" w:rsidTr="00A24459">
        <w:trPr>
          <w:trHeight w:val="276"/>
        </w:trPr>
        <w:tc>
          <w:tcPr>
            <w:tcW w:w="1060" w:type="dxa"/>
            <w:noWrap/>
            <w:vAlign w:val="center"/>
            <w:hideMark/>
          </w:tcPr>
          <w:p w14:paraId="4963ABD4" w14:textId="77777777" w:rsidR="009A0A63" w:rsidRPr="00792B36" w:rsidRDefault="009A0A63" w:rsidP="00A24459">
            <w:pPr>
              <w:spacing w:before="120" w:after="120"/>
              <w:contextualSpacing/>
              <w:jc w:val="center"/>
              <w:rPr>
                <w:rFonts w:eastAsia="Times New Roman"/>
                <w:color w:val="000000"/>
                <w:sz w:val="24"/>
                <w:szCs w:val="24"/>
              </w:rPr>
            </w:pPr>
            <w:r w:rsidRPr="00792B36">
              <w:rPr>
                <w:rFonts w:eastAsia="Times New Roman"/>
                <w:color w:val="000000"/>
                <w:sz w:val="24"/>
                <w:szCs w:val="24"/>
              </w:rPr>
              <w:t>2003</w:t>
            </w:r>
          </w:p>
        </w:tc>
        <w:tc>
          <w:tcPr>
            <w:tcW w:w="1067" w:type="dxa"/>
            <w:noWrap/>
            <w:vAlign w:val="center"/>
            <w:hideMark/>
          </w:tcPr>
          <w:p w14:paraId="0FC3B8B0" w14:textId="77777777" w:rsidR="009A0A63" w:rsidRPr="00792B36" w:rsidRDefault="009A0A63" w:rsidP="00A24459">
            <w:pPr>
              <w:spacing w:before="120" w:after="120"/>
              <w:contextualSpacing/>
              <w:jc w:val="center"/>
              <w:rPr>
                <w:rFonts w:eastAsia="Times New Roman"/>
                <w:color w:val="000000"/>
                <w:sz w:val="24"/>
                <w:szCs w:val="24"/>
              </w:rPr>
            </w:pPr>
            <w:r w:rsidRPr="00792B36">
              <w:rPr>
                <w:rFonts w:eastAsia="Times New Roman"/>
                <w:color w:val="000000"/>
                <w:sz w:val="24"/>
                <w:szCs w:val="24"/>
              </w:rPr>
              <w:t>152.3</w:t>
            </w:r>
          </w:p>
        </w:tc>
        <w:tc>
          <w:tcPr>
            <w:tcW w:w="1017" w:type="dxa"/>
            <w:noWrap/>
            <w:vAlign w:val="center"/>
            <w:hideMark/>
          </w:tcPr>
          <w:p w14:paraId="6290F527" w14:textId="77777777" w:rsidR="009A0A63" w:rsidRPr="00792B36" w:rsidRDefault="009A0A63" w:rsidP="00A24459">
            <w:pPr>
              <w:spacing w:before="120" w:after="120"/>
              <w:contextualSpacing/>
              <w:jc w:val="center"/>
              <w:rPr>
                <w:rFonts w:eastAsia="Times New Roman"/>
                <w:color w:val="000000"/>
                <w:sz w:val="24"/>
                <w:szCs w:val="24"/>
              </w:rPr>
            </w:pPr>
            <w:r w:rsidRPr="00792B36">
              <w:rPr>
                <w:rFonts w:eastAsia="Times New Roman"/>
                <w:color w:val="000000"/>
                <w:sz w:val="24"/>
                <w:szCs w:val="24"/>
              </w:rPr>
              <w:t>7.2</w:t>
            </w:r>
          </w:p>
        </w:tc>
        <w:tc>
          <w:tcPr>
            <w:tcW w:w="1270" w:type="dxa"/>
            <w:noWrap/>
            <w:vAlign w:val="center"/>
            <w:hideMark/>
          </w:tcPr>
          <w:p w14:paraId="6E19C25D" w14:textId="77777777" w:rsidR="009A0A63" w:rsidRPr="00792B36" w:rsidRDefault="009A0A63" w:rsidP="00A24459">
            <w:pPr>
              <w:spacing w:before="120" w:after="120"/>
              <w:contextualSpacing/>
              <w:jc w:val="center"/>
              <w:rPr>
                <w:rFonts w:eastAsia="Times New Roman"/>
                <w:color w:val="000000"/>
                <w:sz w:val="24"/>
                <w:szCs w:val="24"/>
              </w:rPr>
            </w:pPr>
            <w:r w:rsidRPr="00792B36">
              <w:rPr>
                <w:color w:val="000000"/>
                <w:sz w:val="24"/>
                <w:szCs w:val="24"/>
              </w:rPr>
              <w:t>3.3</w:t>
            </w:r>
          </w:p>
        </w:tc>
        <w:tc>
          <w:tcPr>
            <w:tcW w:w="1043" w:type="dxa"/>
            <w:noWrap/>
            <w:vAlign w:val="center"/>
            <w:hideMark/>
          </w:tcPr>
          <w:p w14:paraId="6D426AE2" w14:textId="77777777" w:rsidR="009A0A63" w:rsidRPr="00792B36" w:rsidRDefault="009A0A63" w:rsidP="00A24459">
            <w:pPr>
              <w:spacing w:before="120" w:after="120"/>
              <w:contextualSpacing/>
              <w:jc w:val="center"/>
              <w:rPr>
                <w:rFonts w:eastAsia="Times New Roman"/>
                <w:color w:val="000000"/>
                <w:sz w:val="24"/>
                <w:szCs w:val="24"/>
              </w:rPr>
            </w:pPr>
            <w:r w:rsidRPr="00792B36">
              <w:rPr>
                <w:rFonts w:eastAsia="Times New Roman"/>
                <w:color w:val="000000"/>
                <w:sz w:val="24"/>
                <w:szCs w:val="24"/>
              </w:rPr>
              <w:t>2,347.5</w:t>
            </w:r>
          </w:p>
        </w:tc>
        <w:tc>
          <w:tcPr>
            <w:tcW w:w="1897" w:type="dxa"/>
            <w:noWrap/>
            <w:vAlign w:val="center"/>
            <w:hideMark/>
          </w:tcPr>
          <w:p w14:paraId="280B5F1B" w14:textId="77777777" w:rsidR="009A0A63" w:rsidRPr="00792B36" w:rsidRDefault="009A0A63" w:rsidP="00A24459">
            <w:pPr>
              <w:spacing w:before="120" w:after="120"/>
              <w:contextualSpacing/>
              <w:jc w:val="center"/>
              <w:rPr>
                <w:rFonts w:eastAsia="Times New Roman"/>
                <w:color w:val="000000"/>
                <w:sz w:val="24"/>
                <w:szCs w:val="24"/>
              </w:rPr>
            </w:pPr>
            <w:r w:rsidRPr="00792B36">
              <w:rPr>
                <w:rFonts w:eastAsia="Times New Roman"/>
                <w:color w:val="000000"/>
                <w:sz w:val="24"/>
                <w:szCs w:val="24"/>
              </w:rPr>
              <w:t>1.5</w:t>
            </w:r>
          </w:p>
        </w:tc>
        <w:tc>
          <w:tcPr>
            <w:tcW w:w="1997" w:type="dxa"/>
            <w:noWrap/>
            <w:vAlign w:val="center"/>
            <w:hideMark/>
          </w:tcPr>
          <w:p w14:paraId="574C6427" w14:textId="77777777" w:rsidR="009A0A63" w:rsidRPr="00792B36" w:rsidRDefault="009A0A63" w:rsidP="00A24459">
            <w:pPr>
              <w:spacing w:before="120" w:after="120"/>
              <w:contextualSpacing/>
              <w:jc w:val="center"/>
              <w:rPr>
                <w:rFonts w:eastAsia="Times New Roman"/>
                <w:color w:val="000000"/>
                <w:sz w:val="24"/>
                <w:szCs w:val="24"/>
              </w:rPr>
            </w:pPr>
            <w:r w:rsidRPr="00792B36">
              <w:rPr>
                <w:rFonts w:eastAsia="Times New Roman"/>
                <w:color w:val="000000"/>
                <w:sz w:val="24"/>
                <w:szCs w:val="24"/>
              </w:rPr>
              <w:t>***</w:t>
            </w:r>
          </w:p>
        </w:tc>
      </w:tr>
      <w:tr w:rsidR="009A0A63" w:rsidRPr="00792B36" w14:paraId="3D4EE893" w14:textId="77777777" w:rsidTr="00A24459">
        <w:trPr>
          <w:trHeight w:val="276"/>
        </w:trPr>
        <w:tc>
          <w:tcPr>
            <w:tcW w:w="1060" w:type="dxa"/>
            <w:noWrap/>
            <w:vAlign w:val="center"/>
            <w:hideMark/>
          </w:tcPr>
          <w:p w14:paraId="436E73C5" w14:textId="77777777" w:rsidR="009A0A63" w:rsidRPr="00792B36" w:rsidRDefault="009A0A63" w:rsidP="00A24459">
            <w:pPr>
              <w:spacing w:before="120" w:after="120"/>
              <w:contextualSpacing/>
              <w:jc w:val="center"/>
              <w:rPr>
                <w:rFonts w:eastAsia="Times New Roman"/>
                <w:color w:val="000000"/>
                <w:sz w:val="24"/>
                <w:szCs w:val="24"/>
              </w:rPr>
            </w:pPr>
            <w:r w:rsidRPr="00792B36">
              <w:rPr>
                <w:rFonts w:eastAsia="Times New Roman"/>
                <w:color w:val="000000"/>
                <w:sz w:val="24"/>
                <w:szCs w:val="24"/>
              </w:rPr>
              <w:t>2004</w:t>
            </w:r>
          </w:p>
        </w:tc>
        <w:tc>
          <w:tcPr>
            <w:tcW w:w="1067" w:type="dxa"/>
            <w:noWrap/>
            <w:vAlign w:val="center"/>
            <w:hideMark/>
          </w:tcPr>
          <w:p w14:paraId="7F5C2AAC" w14:textId="77777777" w:rsidR="009A0A63" w:rsidRPr="00792B36" w:rsidRDefault="009A0A63" w:rsidP="00A24459">
            <w:pPr>
              <w:spacing w:before="120" w:after="120"/>
              <w:contextualSpacing/>
              <w:jc w:val="center"/>
              <w:rPr>
                <w:rFonts w:eastAsia="Times New Roman"/>
                <w:color w:val="000000"/>
                <w:sz w:val="24"/>
                <w:szCs w:val="24"/>
              </w:rPr>
            </w:pPr>
            <w:r w:rsidRPr="00792B36">
              <w:rPr>
                <w:rFonts w:eastAsia="Times New Roman"/>
                <w:color w:val="000000"/>
                <w:sz w:val="24"/>
                <w:szCs w:val="24"/>
              </w:rPr>
              <w:t>172.9</w:t>
            </w:r>
          </w:p>
        </w:tc>
        <w:tc>
          <w:tcPr>
            <w:tcW w:w="1017" w:type="dxa"/>
            <w:noWrap/>
            <w:vAlign w:val="center"/>
            <w:hideMark/>
          </w:tcPr>
          <w:p w14:paraId="0DDE0E16" w14:textId="77777777" w:rsidR="009A0A63" w:rsidRPr="00792B36" w:rsidRDefault="009A0A63" w:rsidP="00A24459">
            <w:pPr>
              <w:spacing w:before="120" w:after="120"/>
              <w:contextualSpacing/>
              <w:jc w:val="center"/>
              <w:rPr>
                <w:rFonts w:eastAsia="Times New Roman"/>
                <w:color w:val="000000"/>
                <w:sz w:val="24"/>
                <w:szCs w:val="24"/>
              </w:rPr>
            </w:pPr>
            <w:r w:rsidRPr="00792B36">
              <w:rPr>
                <w:rFonts w:eastAsia="Times New Roman"/>
                <w:color w:val="000000"/>
                <w:sz w:val="24"/>
                <w:szCs w:val="24"/>
              </w:rPr>
              <w:t>6.3</w:t>
            </w:r>
          </w:p>
        </w:tc>
        <w:tc>
          <w:tcPr>
            <w:tcW w:w="1270" w:type="dxa"/>
            <w:noWrap/>
            <w:vAlign w:val="center"/>
            <w:hideMark/>
          </w:tcPr>
          <w:p w14:paraId="1ACF1060" w14:textId="77777777" w:rsidR="009A0A63" w:rsidRPr="00792B36" w:rsidRDefault="009A0A63" w:rsidP="00A24459">
            <w:pPr>
              <w:spacing w:before="120" w:after="120"/>
              <w:contextualSpacing/>
              <w:jc w:val="center"/>
              <w:rPr>
                <w:rFonts w:eastAsia="Times New Roman"/>
                <w:color w:val="000000"/>
                <w:sz w:val="24"/>
                <w:szCs w:val="24"/>
              </w:rPr>
            </w:pPr>
            <w:r w:rsidRPr="00792B36">
              <w:rPr>
                <w:color w:val="000000"/>
                <w:sz w:val="24"/>
                <w:szCs w:val="24"/>
              </w:rPr>
              <w:t>3.2</w:t>
            </w:r>
          </w:p>
        </w:tc>
        <w:tc>
          <w:tcPr>
            <w:tcW w:w="1043" w:type="dxa"/>
            <w:noWrap/>
            <w:vAlign w:val="center"/>
            <w:hideMark/>
          </w:tcPr>
          <w:p w14:paraId="14B3F710" w14:textId="77777777" w:rsidR="009A0A63" w:rsidRPr="00792B36" w:rsidRDefault="009A0A63" w:rsidP="00A24459">
            <w:pPr>
              <w:spacing w:before="120" w:after="120"/>
              <w:contextualSpacing/>
              <w:jc w:val="center"/>
              <w:rPr>
                <w:rFonts w:eastAsia="Times New Roman"/>
                <w:color w:val="000000"/>
                <w:sz w:val="24"/>
                <w:szCs w:val="24"/>
              </w:rPr>
            </w:pPr>
            <w:r w:rsidRPr="00792B36">
              <w:rPr>
                <w:rFonts w:eastAsia="Times New Roman"/>
                <w:color w:val="000000"/>
                <w:sz w:val="24"/>
                <w:szCs w:val="24"/>
              </w:rPr>
              <w:t>2,641.6</w:t>
            </w:r>
          </w:p>
        </w:tc>
        <w:tc>
          <w:tcPr>
            <w:tcW w:w="1897" w:type="dxa"/>
            <w:noWrap/>
            <w:vAlign w:val="center"/>
            <w:hideMark/>
          </w:tcPr>
          <w:p w14:paraId="5719DF87" w14:textId="77777777" w:rsidR="009A0A63" w:rsidRPr="00792B36" w:rsidRDefault="009A0A63" w:rsidP="00A24459">
            <w:pPr>
              <w:spacing w:before="120" w:after="120"/>
              <w:contextualSpacing/>
              <w:jc w:val="center"/>
              <w:rPr>
                <w:rFonts w:eastAsia="Times New Roman"/>
                <w:color w:val="000000"/>
                <w:sz w:val="24"/>
                <w:szCs w:val="24"/>
              </w:rPr>
            </w:pPr>
            <w:r w:rsidRPr="00792B36">
              <w:rPr>
                <w:rFonts w:eastAsia="Times New Roman"/>
                <w:color w:val="000000"/>
                <w:sz w:val="24"/>
                <w:szCs w:val="24"/>
              </w:rPr>
              <w:t>1.5</w:t>
            </w:r>
          </w:p>
        </w:tc>
        <w:tc>
          <w:tcPr>
            <w:tcW w:w="1997" w:type="dxa"/>
            <w:noWrap/>
            <w:vAlign w:val="center"/>
            <w:hideMark/>
          </w:tcPr>
          <w:p w14:paraId="16A11929" w14:textId="77777777" w:rsidR="009A0A63" w:rsidRPr="00792B36" w:rsidRDefault="009A0A63" w:rsidP="00A24459">
            <w:pPr>
              <w:spacing w:before="120" w:after="120"/>
              <w:contextualSpacing/>
              <w:jc w:val="center"/>
              <w:rPr>
                <w:rFonts w:eastAsia="Times New Roman"/>
                <w:color w:val="000000"/>
                <w:sz w:val="24"/>
                <w:szCs w:val="24"/>
              </w:rPr>
            </w:pPr>
            <w:r w:rsidRPr="00792B36">
              <w:rPr>
                <w:rFonts w:eastAsia="Times New Roman"/>
                <w:color w:val="000000"/>
                <w:sz w:val="24"/>
                <w:szCs w:val="24"/>
              </w:rPr>
              <w:t>46.7</w:t>
            </w:r>
          </w:p>
        </w:tc>
      </w:tr>
      <w:tr w:rsidR="009A0A63" w:rsidRPr="00792B36" w14:paraId="08101251" w14:textId="77777777" w:rsidTr="00A24459">
        <w:trPr>
          <w:trHeight w:val="276"/>
        </w:trPr>
        <w:tc>
          <w:tcPr>
            <w:tcW w:w="1060" w:type="dxa"/>
            <w:noWrap/>
            <w:vAlign w:val="center"/>
            <w:hideMark/>
          </w:tcPr>
          <w:p w14:paraId="173D2F77" w14:textId="77777777" w:rsidR="009A0A63" w:rsidRPr="00792B36" w:rsidRDefault="009A0A63" w:rsidP="00A24459">
            <w:pPr>
              <w:spacing w:before="120" w:after="120"/>
              <w:contextualSpacing/>
              <w:jc w:val="center"/>
              <w:rPr>
                <w:rFonts w:eastAsia="Times New Roman"/>
                <w:color w:val="000000"/>
                <w:sz w:val="24"/>
                <w:szCs w:val="24"/>
              </w:rPr>
            </w:pPr>
            <w:r w:rsidRPr="00792B36">
              <w:rPr>
                <w:rFonts w:eastAsia="Times New Roman"/>
                <w:color w:val="000000"/>
                <w:sz w:val="24"/>
                <w:szCs w:val="24"/>
              </w:rPr>
              <w:t>2005</w:t>
            </w:r>
          </w:p>
        </w:tc>
        <w:tc>
          <w:tcPr>
            <w:tcW w:w="1067" w:type="dxa"/>
            <w:noWrap/>
            <w:vAlign w:val="center"/>
            <w:hideMark/>
          </w:tcPr>
          <w:p w14:paraId="21529677" w14:textId="77777777" w:rsidR="009A0A63" w:rsidRPr="00792B36" w:rsidRDefault="009A0A63" w:rsidP="00A24459">
            <w:pPr>
              <w:spacing w:before="120" w:after="120"/>
              <w:contextualSpacing/>
              <w:jc w:val="center"/>
              <w:rPr>
                <w:rFonts w:eastAsia="Times New Roman"/>
                <w:color w:val="000000"/>
                <w:sz w:val="24"/>
                <w:szCs w:val="24"/>
              </w:rPr>
            </w:pPr>
            <w:r w:rsidRPr="00792B36">
              <w:rPr>
                <w:rFonts w:eastAsia="Times New Roman"/>
                <w:color w:val="000000"/>
                <w:sz w:val="24"/>
                <w:szCs w:val="24"/>
              </w:rPr>
              <w:t>189.3</w:t>
            </w:r>
          </w:p>
        </w:tc>
        <w:tc>
          <w:tcPr>
            <w:tcW w:w="1017" w:type="dxa"/>
            <w:noWrap/>
            <w:vAlign w:val="center"/>
            <w:hideMark/>
          </w:tcPr>
          <w:p w14:paraId="7863097A" w14:textId="77777777" w:rsidR="009A0A63" w:rsidRPr="00792B36" w:rsidRDefault="009A0A63" w:rsidP="00A24459">
            <w:pPr>
              <w:spacing w:before="120" w:after="120"/>
              <w:contextualSpacing/>
              <w:jc w:val="center"/>
              <w:rPr>
                <w:rFonts w:eastAsia="Times New Roman"/>
                <w:color w:val="000000"/>
                <w:sz w:val="24"/>
                <w:szCs w:val="24"/>
              </w:rPr>
            </w:pPr>
            <w:r w:rsidRPr="00792B36">
              <w:rPr>
                <w:rFonts w:eastAsia="Times New Roman"/>
                <w:color w:val="000000"/>
                <w:sz w:val="24"/>
                <w:szCs w:val="24"/>
              </w:rPr>
              <w:t>4.2</w:t>
            </w:r>
          </w:p>
        </w:tc>
        <w:tc>
          <w:tcPr>
            <w:tcW w:w="1270" w:type="dxa"/>
            <w:noWrap/>
            <w:vAlign w:val="center"/>
            <w:hideMark/>
          </w:tcPr>
          <w:p w14:paraId="0A6F7AA5" w14:textId="77777777" w:rsidR="009A0A63" w:rsidRPr="00792B36" w:rsidRDefault="009A0A63" w:rsidP="00A24459">
            <w:pPr>
              <w:spacing w:before="120" w:after="120"/>
              <w:contextualSpacing/>
              <w:jc w:val="center"/>
              <w:rPr>
                <w:rFonts w:eastAsia="Times New Roman"/>
                <w:color w:val="000000"/>
                <w:sz w:val="24"/>
                <w:szCs w:val="24"/>
              </w:rPr>
            </w:pPr>
            <w:r w:rsidRPr="00792B36">
              <w:rPr>
                <w:color w:val="000000"/>
                <w:sz w:val="24"/>
                <w:szCs w:val="24"/>
              </w:rPr>
              <w:t>4.5</w:t>
            </w:r>
          </w:p>
        </w:tc>
        <w:tc>
          <w:tcPr>
            <w:tcW w:w="1043" w:type="dxa"/>
            <w:noWrap/>
            <w:vAlign w:val="center"/>
            <w:hideMark/>
          </w:tcPr>
          <w:p w14:paraId="71C0C004" w14:textId="77777777" w:rsidR="009A0A63" w:rsidRPr="00792B36" w:rsidRDefault="009A0A63" w:rsidP="00A24459">
            <w:pPr>
              <w:spacing w:before="120" w:after="120"/>
              <w:contextualSpacing/>
              <w:jc w:val="center"/>
              <w:rPr>
                <w:rFonts w:eastAsia="Times New Roman"/>
                <w:color w:val="000000"/>
                <w:sz w:val="24"/>
                <w:szCs w:val="24"/>
              </w:rPr>
            </w:pPr>
            <w:r w:rsidRPr="00792B36">
              <w:rPr>
                <w:rFonts w:eastAsia="Times New Roman"/>
                <w:color w:val="000000"/>
                <w:sz w:val="24"/>
                <w:szCs w:val="24"/>
              </w:rPr>
              <w:t>2,867.7</w:t>
            </w:r>
          </w:p>
        </w:tc>
        <w:tc>
          <w:tcPr>
            <w:tcW w:w="1897" w:type="dxa"/>
            <w:noWrap/>
            <w:vAlign w:val="center"/>
            <w:hideMark/>
          </w:tcPr>
          <w:p w14:paraId="0A933C83" w14:textId="77777777" w:rsidR="009A0A63" w:rsidRPr="00792B36" w:rsidRDefault="009A0A63" w:rsidP="00A24459">
            <w:pPr>
              <w:spacing w:before="120" w:after="120"/>
              <w:contextualSpacing/>
              <w:jc w:val="center"/>
              <w:rPr>
                <w:rFonts w:eastAsia="Times New Roman"/>
                <w:color w:val="000000"/>
                <w:sz w:val="24"/>
                <w:szCs w:val="24"/>
              </w:rPr>
            </w:pPr>
            <w:r w:rsidRPr="00792B36">
              <w:rPr>
                <w:rFonts w:eastAsia="Times New Roman"/>
                <w:color w:val="000000"/>
                <w:sz w:val="24"/>
                <w:szCs w:val="24"/>
              </w:rPr>
              <w:t>1.4</w:t>
            </w:r>
          </w:p>
        </w:tc>
        <w:tc>
          <w:tcPr>
            <w:tcW w:w="1997" w:type="dxa"/>
            <w:noWrap/>
            <w:vAlign w:val="center"/>
            <w:hideMark/>
          </w:tcPr>
          <w:p w14:paraId="4D852603" w14:textId="77777777" w:rsidR="009A0A63" w:rsidRPr="00792B36" w:rsidRDefault="009A0A63" w:rsidP="00A24459">
            <w:pPr>
              <w:spacing w:before="120" w:after="120"/>
              <w:contextualSpacing/>
              <w:jc w:val="center"/>
              <w:rPr>
                <w:rFonts w:eastAsia="Times New Roman"/>
                <w:color w:val="000000"/>
                <w:sz w:val="24"/>
                <w:szCs w:val="24"/>
              </w:rPr>
            </w:pPr>
            <w:r w:rsidRPr="00792B36">
              <w:rPr>
                <w:rFonts w:eastAsia="Times New Roman"/>
                <w:color w:val="000000"/>
                <w:sz w:val="24"/>
                <w:szCs w:val="24"/>
              </w:rPr>
              <w:t>***</w:t>
            </w:r>
          </w:p>
        </w:tc>
      </w:tr>
      <w:tr w:rsidR="009A0A63" w:rsidRPr="00792B36" w14:paraId="53E7495A" w14:textId="77777777" w:rsidTr="00A24459">
        <w:trPr>
          <w:trHeight w:val="276"/>
        </w:trPr>
        <w:tc>
          <w:tcPr>
            <w:tcW w:w="1060" w:type="dxa"/>
            <w:noWrap/>
            <w:vAlign w:val="center"/>
            <w:hideMark/>
          </w:tcPr>
          <w:p w14:paraId="6B9B5D01" w14:textId="77777777" w:rsidR="009A0A63" w:rsidRPr="00792B36" w:rsidRDefault="009A0A63" w:rsidP="00A24459">
            <w:pPr>
              <w:spacing w:before="120" w:after="120"/>
              <w:contextualSpacing/>
              <w:jc w:val="center"/>
              <w:rPr>
                <w:rFonts w:eastAsia="Times New Roman"/>
                <w:color w:val="000000"/>
                <w:sz w:val="24"/>
                <w:szCs w:val="24"/>
              </w:rPr>
            </w:pPr>
            <w:r w:rsidRPr="00792B36">
              <w:rPr>
                <w:rFonts w:eastAsia="Times New Roman"/>
                <w:color w:val="000000"/>
                <w:sz w:val="24"/>
                <w:szCs w:val="24"/>
              </w:rPr>
              <w:t>2006</w:t>
            </w:r>
          </w:p>
        </w:tc>
        <w:tc>
          <w:tcPr>
            <w:tcW w:w="1067" w:type="dxa"/>
            <w:noWrap/>
            <w:vAlign w:val="center"/>
            <w:hideMark/>
          </w:tcPr>
          <w:p w14:paraId="424BD651" w14:textId="77777777" w:rsidR="009A0A63" w:rsidRPr="00792B36" w:rsidRDefault="009A0A63" w:rsidP="00A24459">
            <w:pPr>
              <w:spacing w:before="120" w:after="120"/>
              <w:contextualSpacing/>
              <w:jc w:val="center"/>
              <w:rPr>
                <w:rFonts w:eastAsia="Times New Roman"/>
                <w:color w:val="000000"/>
                <w:sz w:val="24"/>
                <w:szCs w:val="24"/>
              </w:rPr>
            </w:pPr>
            <w:r w:rsidRPr="00792B36">
              <w:rPr>
                <w:rFonts w:eastAsia="Times New Roman"/>
                <w:color w:val="000000"/>
                <w:sz w:val="24"/>
                <w:szCs w:val="24"/>
              </w:rPr>
              <w:t>221.8</w:t>
            </w:r>
          </w:p>
        </w:tc>
        <w:tc>
          <w:tcPr>
            <w:tcW w:w="1017" w:type="dxa"/>
            <w:noWrap/>
            <w:vAlign w:val="center"/>
            <w:hideMark/>
          </w:tcPr>
          <w:p w14:paraId="7269AAED" w14:textId="77777777" w:rsidR="009A0A63" w:rsidRPr="00792B36" w:rsidRDefault="009A0A63" w:rsidP="00A24459">
            <w:pPr>
              <w:spacing w:before="120" w:after="120"/>
              <w:contextualSpacing/>
              <w:jc w:val="center"/>
              <w:rPr>
                <w:rFonts w:eastAsia="Times New Roman"/>
                <w:color w:val="000000"/>
                <w:sz w:val="24"/>
                <w:szCs w:val="24"/>
              </w:rPr>
            </w:pPr>
            <w:r w:rsidRPr="00792B36">
              <w:rPr>
                <w:rFonts w:eastAsia="Times New Roman"/>
                <w:color w:val="000000"/>
                <w:sz w:val="24"/>
                <w:szCs w:val="24"/>
              </w:rPr>
              <w:t>5.0</w:t>
            </w:r>
          </w:p>
        </w:tc>
        <w:tc>
          <w:tcPr>
            <w:tcW w:w="1270" w:type="dxa"/>
            <w:noWrap/>
            <w:vAlign w:val="center"/>
            <w:hideMark/>
          </w:tcPr>
          <w:p w14:paraId="5ACF4D91" w14:textId="77777777" w:rsidR="009A0A63" w:rsidRPr="00792B36" w:rsidRDefault="009A0A63" w:rsidP="00A24459">
            <w:pPr>
              <w:spacing w:before="120" w:after="120"/>
              <w:contextualSpacing/>
              <w:jc w:val="center"/>
              <w:rPr>
                <w:rFonts w:eastAsia="Times New Roman"/>
                <w:color w:val="000000"/>
                <w:sz w:val="24"/>
                <w:szCs w:val="24"/>
              </w:rPr>
            </w:pPr>
            <w:r w:rsidRPr="00792B36">
              <w:rPr>
                <w:color w:val="000000"/>
                <w:sz w:val="24"/>
                <w:szCs w:val="24"/>
              </w:rPr>
              <w:t>4.6</w:t>
            </w:r>
          </w:p>
        </w:tc>
        <w:tc>
          <w:tcPr>
            <w:tcW w:w="1043" w:type="dxa"/>
            <w:noWrap/>
            <w:vAlign w:val="center"/>
            <w:hideMark/>
          </w:tcPr>
          <w:p w14:paraId="5DDF9D19" w14:textId="77777777" w:rsidR="009A0A63" w:rsidRPr="00792B36" w:rsidRDefault="009A0A63" w:rsidP="00A24459">
            <w:pPr>
              <w:spacing w:before="120" w:after="120"/>
              <w:contextualSpacing/>
              <w:jc w:val="center"/>
              <w:rPr>
                <w:rFonts w:eastAsia="Times New Roman"/>
                <w:color w:val="000000"/>
                <w:sz w:val="24"/>
                <w:szCs w:val="24"/>
              </w:rPr>
            </w:pPr>
            <w:r w:rsidRPr="00792B36">
              <w:rPr>
                <w:rFonts w:eastAsia="Times New Roman"/>
                <w:color w:val="000000"/>
                <w:sz w:val="24"/>
                <w:szCs w:val="24"/>
              </w:rPr>
              <w:t>3,331.3</w:t>
            </w:r>
          </w:p>
        </w:tc>
        <w:tc>
          <w:tcPr>
            <w:tcW w:w="1897" w:type="dxa"/>
            <w:noWrap/>
            <w:vAlign w:val="center"/>
            <w:hideMark/>
          </w:tcPr>
          <w:p w14:paraId="669AB7B9" w14:textId="77777777" w:rsidR="009A0A63" w:rsidRPr="00792B36" w:rsidRDefault="009A0A63" w:rsidP="00A24459">
            <w:pPr>
              <w:spacing w:before="120" w:after="120"/>
              <w:contextualSpacing/>
              <w:jc w:val="center"/>
              <w:rPr>
                <w:rFonts w:eastAsia="Times New Roman"/>
                <w:color w:val="000000"/>
                <w:sz w:val="24"/>
                <w:szCs w:val="24"/>
              </w:rPr>
            </w:pPr>
            <w:r w:rsidRPr="00792B36">
              <w:rPr>
                <w:rFonts w:eastAsia="Times New Roman"/>
                <w:color w:val="000000"/>
                <w:sz w:val="24"/>
                <w:szCs w:val="24"/>
              </w:rPr>
              <w:t>1.2</w:t>
            </w:r>
          </w:p>
        </w:tc>
        <w:tc>
          <w:tcPr>
            <w:tcW w:w="1997" w:type="dxa"/>
            <w:noWrap/>
            <w:vAlign w:val="center"/>
            <w:hideMark/>
          </w:tcPr>
          <w:p w14:paraId="588726C5" w14:textId="77777777" w:rsidR="009A0A63" w:rsidRPr="00792B36" w:rsidRDefault="009A0A63" w:rsidP="00A24459">
            <w:pPr>
              <w:spacing w:before="120" w:after="120"/>
              <w:contextualSpacing/>
              <w:jc w:val="center"/>
              <w:rPr>
                <w:rFonts w:eastAsia="Times New Roman"/>
                <w:color w:val="000000"/>
                <w:sz w:val="24"/>
                <w:szCs w:val="24"/>
              </w:rPr>
            </w:pPr>
            <w:r w:rsidRPr="00792B36">
              <w:rPr>
                <w:rFonts w:eastAsia="Times New Roman"/>
                <w:color w:val="000000"/>
                <w:sz w:val="24"/>
                <w:szCs w:val="24"/>
              </w:rPr>
              <w:t>39.5</w:t>
            </w:r>
          </w:p>
        </w:tc>
      </w:tr>
      <w:tr w:rsidR="009A0A63" w:rsidRPr="00792B36" w14:paraId="27E1BCCB" w14:textId="77777777" w:rsidTr="00A24459">
        <w:trPr>
          <w:trHeight w:val="276"/>
        </w:trPr>
        <w:tc>
          <w:tcPr>
            <w:tcW w:w="1060" w:type="dxa"/>
            <w:noWrap/>
            <w:vAlign w:val="center"/>
            <w:hideMark/>
          </w:tcPr>
          <w:p w14:paraId="6AF5F036" w14:textId="77777777" w:rsidR="009A0A63" w:rsidRPr="00792B36" w:rsidRDefault="009A0A63" w:rsidP="00A24459">
            <w:pPr>
              <w:spacing w:before="120" w:after="120"/>
              <w:contextualSpacing/>
              <w:jc w:val="center"/>
              <w:rPr>
                <w:rFonts w:eastAsia="Times New Roman"/>
                <w:color w:val="000000"/>
                <w:sz w:val="24"/>
                <w:szCs w:val="24"/>
              </w:rPr>
            </w:pPr>
            <w:r w:rsidRPr="00792B36">
              <w:rPr>
                <w:rFonts w:eastAsia="Times New Roman"/>
                <w:color w:val="000000"/>
                <w:sz w:val="24"/>
                <w:szCs w:val="24"/>
              </w:rPr>
              <w:t>2007</w:t>
            </w:r>
          </w:p>
        </w:tc>
        <w:tc>
          <w:tcPr>
            <w:tcW w:w="1067" w:type="dxa"/>
            <w:noWrap/>
            <w:vAlign w:val="center"/>
            <w:hideMark/>
          </w:tcPr>
          <w:p w14:paraId="780D44BF" w14:textId="77777777" w:rsidR="009A0A63" w:rsidRPr="00792B36" w:rsidRDefault="009A0A63" w:rsidP="00A24459">
            <w:pPr>
              <w:spacing w:before="120" w:after="120"/>
              <w:contextualSpacing/>
              <w:jc w:val="center"/>
              <w:rPr>
                <w:rFonts w:eastAsia="Times New Roman"/>
                <w:color w:val="000000"/>
                <w:sz w:val="24"/>
                <w:szCs w:val="24"/>
              </w:rPr>
            </w:pPr>
            <w:r w:rsidRPr="00792B36">
              <w:rPr>
                <w:rFonts w:eastAsia="Times New Roman"/>
                <w:color w:val="000000"/>
                <w:sz w:val="24"/>
                <w:szCs w:val="24"/>
              </w:rPr>
              <w:t>262.9</w:t>
            </w:r>
          </w:p>
        </w:tc>
        <w:tc>
          <w:tcPr>
            <w:tcW w:w="1017" w:type="dxa"/>
            <w:noWrap/>
            <w:vAlign w:val="center"/>
            <w:hideMark/>
          </w:tcPr>
          <w:p w14:paraId="30133A44" w14:textId="77777777" w:rsidR="009A0A63" w:rsidRPr="00792B36" w:rsidRDefault="009A0A63" w:rsidP="00A24459">
            <w:pPr>
              <w:spacing w:before="120" w:after="120"/>
              <w:contextualSpacing/>
              <w:jc w:val="center"/>
              <w:rPr>
                <w:rFonts w:eastAsia="Times New Roman"/>
                <w:color w:val="000000"/>
                <w:sz w:val="24"/>
                <w:szCs w:val="24"/>
              </w:rPr>
            </w:pPr>
            <w:r w:rsidRPr="00792B36">
              <w:rPr>
                <w:rFonts w:eastAsia="Times New Roman"/>
                <w:color w:val="000000"/>
                <w:sz w:val="24"/>
                <w:szCs w:val="24"/>
              </w:rPr>
              <w:t>5.4</w:t>
            </w:r>
          </w:p>
        </w:tc>
        <w:tc>
          <w:tcPr>
            <w:tcW w:w="1270" w:type="dxa"/>
            <w:noWrap/>
            <w:vAlign w:val="center"/>
            <w:hideMark/>
          </w:tcPr>
          <w:p w14:paraId="6CAF0550" w14:textId="77777777" w:rsidR="009A0A63" w:rsidRPr="00792B36" w:rsidRDefault="009A0A63" w:rsidP="00A24459">
            <w:pPr>
              <w:spacing w:before="120" w:after="120"/>
              <w:contextualSpacing/>
              <w:jc w:val="center"/>
              <w:rPr>
                <w:rFonts w:eastAsia="Times New Roman"/>
                <w:color w:val="000000"/>
                <w:sz w:val="24"/>
                <w:szCs w:val="24"/>
              </w:rPr>
            </w:pPr>
            <w:r w:rsidRPr="00792B36">
              <w:rPr>
                <w:color w:val="000000"/>
                <w:sz w:val="24"/>
                <w:szCs w:val="24"/>
              </w:rPr>
              <w:t>2.2</w:t>
            </w:r>
          </w:p>
        </w:tc>
        <w:tc>
          <w:tcPr>
            <w:tcW w:w="1043" w:type="dxa"/>
            <w:noWrap/>
            <w:vAlign w:val="center"/>
            <w:hideMark/>
          </w:tcPr>
          <w:p w14:paraId="116BBA43" w14:textId="77777777" w:rsidR="009A0A63" w:rsidRPr="00792B36" w:rsidRDefault="009A0A63" w:rsidP="00A24459">
            <w:pPr>
              <w:spacing w:before="120" w:after="120"/>
              <w:contextualSpacing/>
              <w:jc w:val="center"/>
              <w:rPr>
                <w:rFonts w:eastAsia="Times New Roman"/>
                <w:color w:val="000000"/>
                <w:sz w:val="24"/>
                <w:szCs w:val="24"/>
              </w:rPr>
            </w:pPr>
            <w:r w:rsidRPr="00792B36">
              <w:rPr>
                <w:rFonts w:eastAsia="Times New Roman"/>
                <w:color w:val="000000"/>
                <w:sz w:val="24"/>
                <w:szCs w:val="24"/>
              </w:rPr>
              <w:t>3,918.5</w:t>
            </w:r>
          </w:p>
        </w:tc>
        <w:tc>
          <w:tcPr>
            <w:tcW w:w="1897" w:type="dxa"/>
            <w:noWrap/>
            <w:vAlign w:val="center"/>
            <w:hideMark/>
          </w:tcPr>
          <w:p w14:paraId="6CD55AE7" w14:textId="77777777" w:rsidR="009A0A63" w:rsidRPr="00792B36" w:rsidRDefault="009A0A63" w:rsidP="00A24459">
            <w:pPr>
              <w:spacing w:before="120" w:after="120"/>
              <w:contextualSpacing/>
              <w:jc w:val="center"/>
              <w:rPr>
                <w:rFonts w:eastAsia="Times New Roman"/>
                <w:color w:val="000000"/>
                <w:sz w:val="24"/>
                <w:szCs w:val="24"/>
              </w:rPr>
            </w:pPr>
            <w:r w:rsidRPr="00792B36">
              <w:rPr>
                <w:rFonts w:eastAsia="Times New Roman"/>
                <w:color w:val="000000"/>
                <w:sz w:val="24"/>
                <w:szCs w:val="24"/>
              </w:rPr>
              <w:t>1.2</w:t>
            </w:r>
          </w:p>
        </w:tc>
        <w:tc>
          <w:tcPr>
            <w:tcW w:w="1997" w:type="dxa"/>
            <w:noWrap/>
            <w:vAlign w:val="center"/>
            <w:hideMark/>
          </w:tcPr>
          <w:p w14:paraId="500D4375" w14:textId="77777777" w:rsidR="009A0A63" w:rsidRPr="00792B36" w:rsidRDefault="009A0A63" w:rsidP="00A24459">
            <w:pPr>
              <w:spacing w:before="120" w:after="120"/>
              <w:contextualSpacing/>
              <w:jc w:val="center"/>
              <w:rPr>
                <w:rFonts w:eastAsia="Times New Roman"/>
                <w:color w:val="000000"/>
                <w:sz w:val="24"/>
                <w:szCs w:val="24"/>
              </w:rPr>
            </w:pPr>
            <w:r w:rsidRPr="00792B36">
              <w:rPr>
                <w:rFonts w:eastAsia="Times New Roman"/>
                <w:color w:val="000000"/>
                <w:sz w:val="24"/>
                <w:szCs w:val="24"/>
              </w:rPr>
              <w:t>37.4</w:t>
            </w:r>
          </w:p>
        </w:tc>
      </w:tr>
      <w:tr w:rsidR="009A0A63" w:rsidRPr="00792B36" w14:paraId="72F82FBE" w14:textId="77777777" w:rsidTr="00A24459">
        <w:trPr>
          <w:trHeight w:val="276"/>
        </w:trPr>
        <w:tc>
          <w:tcPr>
            <w:tcW w:w="1060" w:type="dxa"/>
            <w:noWrap/>
            <w:vAlign w:val="center"/>
            <w:hideMark/>
          </w:tcPr>
          <w:p w14:paraId="1A1470B2" w14:textId="77777777" w:rsidR="009A0A63" w:rsidRPr="00792B36" w:rsidRDefault="009A0A63" w:rsidP="00A24459">
            <w:pPr>
              <w:spacing w:before="120" w:after="120"/>
              <w:contextualSpacing/>
              <w:jc w:val="center"/>
              <w:rPr>
                <w:rFonts w:eastAsia="Times New Roman"/>
                <w:color w:val="000000"/>
                <w:sz w:val="24"/>
                <w:szCs w:val="24"/>
              </w:rPr>
            </w:pPr>
            <w:r w:rsidRPr="00792B36">
              <w:rPr>
                <w:rFonts w:eastAsia="Times New Roman"/>
                <w:color w:val="000000"/>
                <w:sz w:val="24"/>
                <w:szCs w:val="24"/>
              </w:rPr>
              <w:t>2008</w:t>
            </w:r>
          </w:p>
        </w:tc>
        <w:tc>
          <w:tcPr>
            <w:tcW w:w="1067" w:type="dxa"/>
            <w:noWrap/>
            <w:vAlign w:val="center"/>
            <w:hideMark/>
          </w:tcPr>
          <w:p w14:paraId="1D3411F1" w14:textId="77777777" w:rsidR="009A0A63" w:rsidRPr="00792B36" w:rsidRDefault="009A0A63" w:rsidP="00A24459">
            <w:pPr>
              <w:spacing w:before="120" w:after="120"/>
              <w:contextualSpacing/>
              <w:jc w:val="center"/>
              <w:rPr>
                <w:rFonts w:eastAsia="Times New Roman"/>
                <w:color w:val="000000"/>
                <w:sz w:val="24"/>
                <w:szCs w:val="24"/>
              </w:rPr>
            </w:pPr>
            <w:r w:rsidRPr="00792B36">
              <w:rPr>
                <w:rFonts w:eastAsia="Times New Roman"/>
                <w:color w:val="000000"/>
                <w:sz w:val="24"/>
                <w:szCs w:val="24"/>
              </w:rPr>
              <w:t>291.4</w:t>
            </w:r>
          </w:p>
        </w:tc>
        <w:tc>
          <w:tcPr>
            <w:tcW w:w="1017" w:type="dxa"/>
            <w:noWrap/>
            <w:vAlign w:val="center"/>
            <w:hideMark/>
          </w:tcPr>
          <w:p w14:paraId="71A103A5" w14:textId="77777777" w:rsidR="009A0A63" w:rsidRPr="00792B36" w:rsidRDefault="009A0A63" w:rsidP="00A24459">
            <w:pPr>
              <w:spacing w:before="120" w:after="120"/>
              <w:contextualSpacing/>
              <w:jc w:val="center"/>
              <w:rPr>
                <w:rFonts w:eastAsia="Times New Roman"/>
                <w:color w:val="000000"/>
                <w:sz w:val="24"/>
                <w:szCs w:val="24"/>
              </w:rPr>
            </w:pPr>
            <w:r w:rsidRPr="00792B36">
              <w:rPr>
                <w:rFonts w:eastAsia="Times New Roman"/>
                <w:color w:val="000000"/>
                <w:sz w:val="24"/>
                <w:szCs w:val="24"/>
              </w:rPr>
              <w:t>1.7</w:t>
            </w:r>
          </w:p>
        </w:tc>
        <w:tc>
          <w:tcPr>
            <w:tcW w:w="1270" w:type="dxa"/>
            <w:noWrap/>
            <w:vAlign w:val="center"/>
            <w:hideMark/>
          </w:tcPr>
          <w:p w14:paraId="4915BA84" w14:textId="77777777" w:rsidR="009A0A63" w:rsidRPr="00792B36" w:rsidRDefault="009A0A63" w:rsidP="00A24459">
            <w:pPr>
              <w:spacing w:before="120" w:after="120"/>
              <w:contextualSpacing/>
              <w:jc w:val="center"/>
              <w:rPr>
                <w:rFonts w:eastAsia="Times New Roman"/>
                <w:color w:val="000000"/>
                <w:sz w:val="24"/>
                <w:szCs w:val="24"/>
              </w:rPr>
            </w:pPr>
            <w:r w:rsidRPr="00792B36">
              <w:rPr>
                <w:color w:val="000000"/>
                <w:sz w:val="24"/>
                <w:szCs w:val="24"/>
              </w:rPr>
              <w:t>5.5</w:t>
            </w:r>
          </w:p>
        </w:tc>
        <w:tc>
          <w:tcPr>
            <w:tcW w:w="1043" w:type="dxa"/>
            <w:noWrap/>
            <w:vAlign w:val="center"/>
            <w:hideMark/>
          </w:tcPr>
          <w:p w14:paraId="61A1313E" w14:textId="77777777" w:rsidR="009A0A63" w:rsidRPr="00792B36" w:rsidRDefault="009A0A63" w:rsidP="00A24459">
            <w:pPr>
              <w:spacing w:before="120" w:after="120"/>
              <w:contextualSpacing/>
              <w:jc w:val="center"/>
              <w:rPr>
                <w:rFonts w:eastAsia="Times New Roman"/>
                <w:color w:val="000000"/>
                <w:sz w:val="24"/>
                <w:szCs w:val="24"/>
              </w:rPr>
            </w:pPr>
            <w:r w:rsidRPr="00792B36">
              <w:rPr>
                <w:rFonts w:eastAsia="Times New Roman"/>
                <w:color w:val="000000"/>
                <w:sz w:val="24"/>
                <w:szCs w:val="24"/>
              </w:rPr>
              <w:t>4,309.1</w:t>
            </w:r>
          </w:p>
        </w:tc>
        <w:tc>
          <w:tcPr>
            <w:tcW w:w="1897" w:type="dxa"/>
            <w:noWrap/>
            <w:vAlign w:val="center"/>
            <w:hideMark/>
          </w:tcPr>
          <w:p w14:paraId="7FEB08D0" w14:textId="77777777" w:rsidR="009A0A63" w:rsidRPr="00792B36" w:rsidRDefault="009A0A63" w:rsidP="00A24459">
            <w:pPr>
              <w:spacing w:before="120" w:after="120"/>
              <w:contextualSpacing/>
              <w:jc w:val="center"/>
              <w:rPr>
                <w:rFonts w:eastAsia="Times New Roman"/>
                <w:color w:val="000000"/>
                <w:sz w:val="24"/>
                <w:szCs w:val="24"/>
              </w:rPr>
            </w:pPr>
            <w:r w:rsidRPr="00792B36">
              <w:rPr>
                <w:rFonts w:eastAsia="Times New Roman"/>
                <w:color w:val="000000"/>
                <w:sz w:val="24"/>
                <w:szCs w:val="24"/>
              </w:rPr>
              <w:t>1.2</w:t>
            </w:r>
          </w:p>
        </w:tc>
        <w:tc>
          <w:tcPr>
            <w:tcW w:w="1997" w:type="dxa"/>
            <w:noWrap/>
            <w:vAlign w:val="center"/>
            <w:hideMark/>
          </w:tcPr>
          <w:p w14:paraId="76BE05FA" w14:textId="77777777" w:rsidR="009A0A63" w:rsidRPr="00792B36" w:rsidRDefault="009A0A63" w:rsidP="00A24459">
            <w:pPr>
              <w:spacing w:before="120" w:after="120"/>
              <w:contextualSpacing/>
              <w:jc w:val="center"/>
              <w:rPr>
                <w:rFonts w:eastAsia="Times New Roman"/>
                <w:color w:val="000000"/>
                <w:sz w:val="24"/>
                <w:szCs w:val="24"/>
              </w:rPr>
            </w:pPr>
            <w:r w:rsidRPr="00792B36">
              <w:rPr>
                <w:rFonts w:eastAsia="Times New Roman"/>
                <w:color w:val="000000"/>
                <w:sz w:val="24"/>
                <w:szCs w:val="24"/>
              </w:rPr>
              <w:t>35.2</w:t>
            </w:r>
          </w:p>
        </w:tc>
      </w:tr>
      <w:tr w:rsidR="009A0A63" w:rsidRPr="00792B36" w14:paraId="70E906FB" w14:textId="77777777" w:rsidTr="00A24459">
        <w:trPr>
          <w:trHeight w:val="276"/>
        </w:trPr>
        <w:tc>
          <w:tcPr>
            <w:tcW w:w="1060" w:type="dxa"/>
            <w:noWrap/>
            <w:vAlign w:val="center"/>
            <w:hideMark/>
          </w:tcPr>
          <w:p w14:paraId="364C89D4" w14:textId="77777777" w:rsidR="009A0A63" w:rsidRPr="00792B36" w:rsidRDefault="009A0A63" w:rsidP="00A24459">
            <w:pPr>
              <w:spacing w:before="120" w:after="120"/>
              <w:contextualSpacing/>
              <w:jc w:val="center"/>
              <w:rPr>
                <w:rFonts w:eastAsia="Times New Roman"/>
                <w:color w:val="000000"/>
                <w:sz w:val="24"/>
                <w:szCs w:val="24"/>
              </w:rPr>
            </w:pPr>
            <w:r w:rsidRPr="00792B36">
              <w:rPr>
                <w:rFonts w:eastAsia="Times New Roman"/>
                <w:color w:val="000000"/>
                <w:sz w:val="24"/>
                <w:szCs w:val="24"/>
              </w:rPr>
              <w:t>2009</w:t>
            </w:r>
          </w:p>
        </w:tc>
        <w:tc>
          <w:tcPr>
            <w:tcW w:w="1067" w:type="dxa"/>
            <w:noWrap/>
            <w:vAlign w:val="center"/>
            <w:hideMark/>
          </w:tcPr>
          <w:p w14:paraId="315062F5" w14:textId="77777777" w:rsidR="009A0A63" w:rsidRPr="00792B36" w:rsidRDefault="009A0A63" w:rsidP="00A24459">
            <w:pPr>
              <w:spacing w:before="120" w:after="120"/>
              <w:contextualSpacing/>
              <w:jc w:val="center"/>
              <w:rPr>
                <w:rFonts w:eastAsia="Times New Roman"/>
                <w:color w:val="000000"/>
                <w:sz w:val="24"/>
                <w:szCs w:val="24"/>
              </w:rPr>
            </w:pPr>
            <w:r w:rsidRPr="00792B36">
              <w:rPr>
                <w:rFonts w:eastAsia="Times New Roman"/>
                <w:color w:val="000000"/>
                <w:sz w:val="24"/>
                <w:szCs w:val="24"/>
              </w:rPr>
              <w:t>281.7</w:t>
            </w:r>
          </w:p>
        </w:tc>
        <w:tc>
          <w:tcPr>
            <w:tcW w:w="1017" w:type="dxa"/>
            <w:noWrap/>
            <w:vAlign w:val="center"/>
            <w:hideMark/>
          </w:tcPr>
          <w:p w14:paraId="73F11BC8" w14:textId="77777777" w:rsidR="009A0A63" w:rsidRPr="00792B36" w:rsidRDefault="009A0A63" w:rsidP="00A24459">
            <w:pPr>
              <w:spacing w:before="120" w:after="120"/>
              <w:contextualSpacing/>
              <w:jc w:val="center"/>
              <w:rPr>
                <w:rFonts w:eastAsia="Times New Roman"/>
                <w:color w:val="000000"/>
                <w:sz w:val="24"/>
                <w:szCs w:val="24"/>
              </w:rPr>
            </w:pPr>
            <w:r w:rsidRPr="00792B36">
              <w:rPr>
                <w:rFonts w:eastAsia="Times New Roman"/>
                <w:color w:val="000000"/>
                <w:sz w:val="24"/>
                <w:szCs w:val="24"/>
              </w:rPr>
              <w:t>-0.7</w:t>
            </w:r>
          </w:p>
        </w:tc>
        <w:tc>
          <w:tcPr>
            <w:tcW w:w="1270" w:type="dxa"/>
            <w:noWrap/>
            <w:vAlign w:val="center"/>
            <w:hideMark/>
          </w:tcPr>
          <w:p w14:paraId="03C3AC24" w14:textId="77777777" w:rsidR="009A0A63" w:rsidRPr="00792B36" w:rsidRDefault="009A0A63" w:rsidP="00A24459">
            <w:pPr>
              <w:spacing w:before="120" w:after="120"/>
              <w:contextualSpacing/>
              <w:jc w:val="center"/>
              <w:rPr>
                <w:rFonts w:eastAsia="Times New Roman"/>
                <w:color w:val="000000"/>
                <w:sz w:val="24"/>
                <w:szCs w:val="24"/>
              </w:rPr>
            </w:pPr>
            <w:r w:rsidRPr="00792B36">
              <w:rPr>
                <w:color w:val="000000"/>
                <w:sz w:val="24"/>
                <w:szCs w:val="24"/>
              </w:rPr>
              <w:t>-0.9</w:t>
            </w:r>
          </w:p>
        </w:tc>
        <w:tc>
          <w:tcPr>
            <w:tcW w:w="1043" w:type="dxa"/>
            <w:noWrap/>
            <w:vAlign w:val="center"/>
            <w:hideMark/>
          </w:tcPr>
          <w:p w14:paraId="04AF8486" w14:textId="77777777" w:rsidR="009A0A63" w:rsidRPr="00792B36" w:rsidRDefault="009A0A63" w:rsidP="00A24459">
            <w:pPr>
              <w:spacing w:before="120" w:after="120"/>
              <w:contextualSpacing/>
              <w:jc w:val="center"/>
              <w:rPr>
                <w:rFonts w:eastAsia="Times New Roman"/>
                <w:color w:val="000000"/>
                <w:sz w:val="24"/>
                <w:szCs w:val="24"/>
              </w:rPr>
            </w:pPr>
            <w:r w:rsidRPr="00792B36">
              <w:rPr>
                <w:rFonts w:eastAsia="Times New Roman"/>
                <w:color w:val="000000"/>
                <w:sz w:val="24"/>
                <w:szCs w:val="24"/>
              </w:rPr>
              <w:t>4,135.4</w:t>
            </w:r>
          </w:p>
        </w:tc>
        <w:tc>
          <w:tcPr>
            <w:tcW w:w="1897" w:type="dxa"/>
            <w:noWrap/>
            <w:vAlign w:val="center"/>
            <w:hideMark/>
          </w:tcPr>
          <w:p w14:paraId="5C7BB8EF" w14:textId="77777777" w:rsidR="009A0A63" w:rsidRPr="00792B36" w:rsidRDefault="009A0A63" w:rsidP="00A24459">
            <w:pPr>
              <w:spacing w:before="120" w:after="120"/>
              <w:contextualSpacing/>
              <w:jc w:val="center"/>
              <w:rPr>
                <w:rFonts w:eastAsia="Times New Roman"/>
                <w:color w:val="000000"/>
                <w:sz w:val="24"/>
                <w:szCs w:val="24"/>
              </w:rPr>
            </w:pPr>
            <w:r w:rsidRPr="00792B36">
              <w:rPr>
                <w:rFonts w:eastAsia="Times New Roman"/>
                <w:color w:val="000000"/>
                <w:sz w:val="24"/>
                <w:szCs w:val="24"/>
              </w:rPr>
              <w:t>1.5</w:t>
            </w:r>
          </w:p>
        </w:tc>
        <w:tc>
          <w:tcPr>
            <w:tcW w:w="1997" w:type="dxa"/>
            <w:noWrap/>
            <w:vAlign w:val="center"/>
            <w:hideMark/>
          </w:tcPr>
          <w:p w14:paraId="117281C4" w14:textId="77777777" w:rsidR="009A0A63" w:rsidRPr="00792B36" w:rsidRDefault="009A0A63" w:rsidP="00A24459">
            <w:pPr>
              <w:spacing w:before="120" w:after="120"/>
              <w:contextualSpacing/>
              <w:jc w:val="center"/>
              <w:rPr>
                <w:rFonts w:eastAsia="Times New Roman"/>
                <w:color w:val="000000"/>
                <w:sz w:val="24"/>
                <w:szCs w:val="24"/>
              </w:rPr>
            </w:pPr>
            <w:r w:rsidRPr="00792B36">
              <w:rPr>
                <w:rFonts w:eastAsia="Times New Roman"/>
                <w:color w:val="000000"/>
                <w:sz w:val="24"/>
                <w:szCs w:val="24"/>
              </w:rPr>
              <w:t>32.2</w:t>
            </w:r>
          </w:p>
        </w:tc>
      </w:tr>
      <w:tr w:rsidR="009A0A63" w:rsidRPr="00792B36" w14:paraId="74325322" w14:textId="77777777" w:rsidTr="00A24459">
        <w:trPr>
          <w:trHeight w:val="276"/>
        </w:trPr>
        <w:tc>
          <w:tcPr>
            <w:tcW w:w="1060" w:type="dxa"/>
            <w:noWrap/>
            <w:vAlign w:val="center"/>
            <w:hideMark/>
          </w:tcPr>
          <w:p w14:paraId="36BDAFAA" w14:textId="77777777" w:rsidR="009A0A63" w:rsidRPr="00792B36" w:rsidRDefault="009A0A63" w:rsidP="00A24459">
            <w:pPr>
              <w:spacing w:before="120" w:after="120"/>
              <w:contextualSpacing/>
              <w:jc w:val="center"/>
              <w:rPr>
                <w:rFonts w:eastAsia="Times New Roman"/>
                <w:color w:val="000000"/>
                <w:sz w:val="24"/>
                <w:szCs w:val="24"/>
              </w:rPr>
            </w:pPr>
            <w:r w:rsidRPr="00792B36">
              <w:rPr>
                <w:rFonts w:eastAsia="Times New Roman"/>
                <w:color w:val="000000"/>
                <w:sz w:val="24"/>
                <w:szCs w:val="24"/>
              </w:rPr>
              <w:t>2010</w:t>
            </w:r>
          </w:p>
        </w:tc>
        <w:tc>
          <w:tcPr>
            <w:tcW w:w="1067" w:type="dxa"/>
            <w:noWrap/>
            <w:vAlign w:val="center"/>
            <w:hideMark/>
          </w:tcPr>
          <w:p w14:paraId="2608D690" w14:textId="77777777" w:rsidR="009A0A63" w:rsidRPr="00792B36" w:rsidRDefault="009A0A63" w:rsidP="00A24459">
            <w:pPr>
              <w:spacing w:before="120" w:after="120"/>
              <w:contextualSpacing/>
              <w:jc w:val="center"/>
              <w:rPr>
                <w:rFonts w:eastAsia="Times New Roman"/>
                <w:color w:val="000000"/>
                <w:sz w:val="24"/>
                <w:szCs w:val="24"/>
              </w:rPr>
            </w:pPr>
            <w:r w:rsidRPr="00792B36">
              <w:rPr>
                <w:rFonts w:eastAsia="Times New Roman"/>
                <w:color w:val="000000"/>
                <w:sz w:val="24"/>
                <w:szCs w:val="24"/>
              </w:rPr>
              <w:t>341.1</w:t>
            </w:r>
          </w:p>
        </w:tc>
        <w:tc>
          <w:tcPr>
            <w:tcW w:w="1017" w:type="dxa"/>
            <w:noWrap/>
            <w:vAlign w:val="center"/>
            <w:hideMark/>
          </w:tcPr>
          <w:p w14:paraId="3C1C28EE" w14:textId="77777777" w:rsidR="009A0A63" w:rsidRPr="00792B36" w:rsidRDefault="009A0A63" w:rsidP="00A24459">
            <w:pPr>
              <w:spacing w:before="120" w:after="120"/>
              <w:contextualSpacing/>
              <w:jc w:val="center"/>
              <w:rPr>
                <w:rFonts w:eastAsia="Times New Roman"/>
                <w:color w:val="000000"/>
                <w:sz w:val="24"/>
                <w:szCs w:val="24"/>
              </w:rPr>
            </w:pPr>
            <w:r w:rsidRPr="00792B36">
              <w:rPr>
                <w:rFonts w:eastAsia="Times New Roman"/>
                <w:color w:val="000000"/>
                <w:sz w:val="24"/>
                <w:szCs w:val="24"/>
              </w:rPr>
              <w:t>7.5</w:t>
            </w:r>
          </w:p>
        </w:tc>
        <w:tc>
          <w:tcPr>
            <w:tcW w:w="1270" w:type="dxa"/>
            <w:noWrap/>
            <w:vAlign w:val="center"/>
            <w:hideMark/>
          </w:tcPr>
          <w:p w14:paraId="1F5B0B67" w14:textId="77777777" w:rsidR="009A0A63" w:rsidRPr="00792B36" w:rsidRDefault="009A0A63" w:rsidP="00A24459">
            <w:pPr>
              <w:spacing w:before="120" w:after="120"/>
              <w:contextualSpacing/>
              <w:jc w:val="center"/>
              <w:rPr>
                <w:rFonts w:eastAsia="Times New Roman"/>
                <w:color w:val="000000"/>
                <w:sz w:val="24"/>
                <w:szCs w:val="24"/>
              </w:rPr>
            </w:pPr>
            <w:r w:rsidRPr="00792B36">
              <w:rPr>
                <w:color w:val="000000"/>
                <w:sz w:val="24"/>
                <w:szCs w:val="24"/>
              </w:rPr>
              <w:t>3.3</w:t>
            </w:r>
          </w:p>
        </w:tc>
        <w:tc>
          <w:tcPr>
            <w:tcW w:w="1043" w:type="dxa"/>
            <w:noWrap/>
            <w:vAlign w:val="center"/>
            <w:hideMark/>
          </w:tcPr>
          <w:p w14:paraId="02D13933" w14:textId="77777777" w:rsidR="009A0A63" w:rsidRPr="00792B36" w:rsidRDefault="009A0A63" w:rsidP="00A24459">
            <w:pPr>
              <w:spacing w:before="120" w:after="120"/>
              <w:contextualSpacing/>
              <w:jc w:val="center"/>
              <w:rPr>
                <w:rFonts w:eastAsia="Times New Roman"/>
                <w:color w:val="000000"/>
                <w:sz w:val="24"/>
                <w:szCs w:val="24"/>
              </w:rPr>
            </w:pPr>
            <w:r w:rsidRPr="00792B36">
              <w:rPr>
                <w:rFonts w:eastAsia="Times New Roman"/>
                <w:color w:val="000000"/>
                <w:sz w:val="24"/>
                <w:szCs w:val="24"/>
              </w:rPr>
              <w:t>4,973.9</w:t>
            </w:r>
          </w:p>
        </w:tc>
        <w:tc>
          <w:tcPr>
            <w:tcW w:w="1897" w:type="dxa"/>
            <w:noWrap/>
            <w:vAlign w:val="center"/>
            <w:hideMark/>
          </w:tcPr>
          <w:p w14:paraId="2F8C17A5" w14:textId="77777777" w:rsidR="009A0A63" w:rsidRPr="00792B36" w:rsidRDefault="009A0A63" w:rsidP="00A24459">
            <w:pPr>
              <w:spacing w:before="120" w:after="120"/>
              <w:contextualSpacing/>
              <w:jc w:val="center"/>
              <w:rPr>
                <w:rFonts w:eastAsia="Times New Roman"/>
                <w:color w:val="000000"/>
                <w:sz w:val="24"/>
                <w:szCs w:val="24"/>
              </w:rPr>
            </w:pPr>
            <w:r w:rsidRPr="00792B36">
              <w:rPr>
                <w:rFonts w:eastAsia="Times New Roman"/>
                <w:color w:val="000000"/>
                <w:sz w:val="24"/>
                <w:szCs w:val="24"/>
              </w:rPr>
              <w:t>0.6</w:t>
            </w:r>
          </w:p>
        </w:tc>
        <w:tc>
          <w:tcPr>
            <w:tcW w:w="1997" w:type="dxa"/>
            <w:noWrap/>
            <w:vAlign w:val="center"/>
            <w:hideMark/>
          </w:tcPr>
          <w:p w14:paraId="2C73DEAD" w14:textId="77777777" w:rsidR="009A0A63" w:rsidRPr="00792B36" w:rsidRDefault="009A0A63" w:rsidP="00A24459">
            <w:pPr>
              <w:spacing w:before="120" w:after="120"/>
              <w:contextualSpacing/>
              <w:jc w:val="center"/>
              <w:rPr>
                <w:rFonts w:eastAsia="Times New Roman"/>
                <w:color w:val="000000"/>
                <w:sz w:val="24"/>
                <w:szCs w:val="24"/>
              </w:rPr>
            </w:pPr>
            <w:r w:rsidRPr="00792B36">
              <w:rPr>
                <w:rFonts w:eastAsia="Times New Roman"/>
                <w:color w:val="000000"/>
                <w:sz w:val="24"/>
                <w:szCs w:val="24"/>
              </w:rPr>
              <w:t>30.0</w:t>
            </w:r>
          </w:p>
        </w:tc>
      </w:tr>
      <w:tr w:rsidR="009A0A63" w:rsidRPr="00792B36" w14:paraId="31489669" w14:textId="77777777" w:rsidTr="00A24459">
        <w:trPr>
          <w:trHeight w:val="276"/>
        </w:trPr>
        <w:tc>
          <w:tcPr>
            <w:tcW w:w="1060" w:type="dxa"/>
            <w:noWrap/>
            <w:vAlign w:val="center"/>
            <w:hideMark/>
          </w:tcPr>
          <w:p w14:paraId="49AC39B6" w14:textId="77777777" w:rsidR="009A0A63" w:rsidRPr="00792B36" w:rsidRDefault="009A0A63" w:rsidP="00A24459">
            <w:pPr>
              <w:spacing w:before="120" w:after="120"/>
              <w:contextualSpacing/>
              <w:jc w:val="center"/>
              <w:rPr>
                <w:rFonts w:eastAsia="Times New Roman"/>
                <w:color w:val="000000"/>
                <w:sz w:val="24"/>
                <w:szCs w:val="24"/>
              </w:rPr>
            </w:pPr>
            <w:r w:rsidRPr="00792B36">
              <w:rPr>
                <w:rFonts w:eastAsia="Times New Roman"/>
                <w:color w:val="000000"/>
                <w:sz w:val="24"/>
                <w:szCs w:val="24"/>
              </w:rPr>
              <w:t>2011</w:t>
            </w:r>
          </w:p>
        </w:tc>
        <w:tc>
          <w:tcPr>
            <w:tcW w:w="1067" w:type="dxa"/>
            <w:noWrap/>
            <w:vAlign w:val="center"/>
            <w:hideMark/>
          </w:tcPr>
          <w:p w14:paraId="6F2EC66B" w14:textId="77777777" w:rsidR="009A0A63" w:rsidRPr="00792B36" w:rsidRDefault="009A0A63" w:rsidP="00A24459">
            <w:pPr>
              <w:spacing w:before="120" w:after="120"/>
              <w:contextualSpacing/>
              <w:jc w:val="center"/>
              <w:rPr>
                <w:rFonts w:eastAsia="Times New Roman"/>
                <w:color w:val="000000"/>
                <w:sz w:val="24"/>
                <w:szCs w:val="24"/>
              </w:rPr>
            </w:pPr>
            <w:r w:rsidRPr="00792B36">
              <w:rPr>
                <w:rFonts w:eastAsia="Times New Roman"/>
                <w:color w:val="000000"/>
                <w:sz w:val="24"/>
                <w:szCs w:val="24"/>
              </w:rPr>
              <w:t>370.8</w:t>
            </w:r>
          </w:p>
        </w:tc>
        <w:tc>
          <w:tcPr>
            <w:tcW w:w="1017" w:type="dxa"/>
            <w:noWrap/>
            <w:vAlign w:val="center"/>
            <w:hideMark/>
          </w:tcPr>
          <w:p w14:paraId="707EE5C3" w14:textId="77777777" w:rsidR="009A0A63" w:rsidRPr="00792B36" w:rsidRDefault="009A0A63" w:rsidP="00A24459">
            <w:pPr>
              <w:spacing w:before="120" w:after="120"/>
              <w:contextualSpacing/>
              <w:jc w:val="center"/>
              <w:rPr>
                <w:rFonts w:eastAsia="Times New Roman"/>
                <w:color w:val="000000"/>
                <w:sz w:val="24"/>
                <w:szCs w:val="24"/>
              </w:rPr>
            </w:pPr>
            <w:r w:rsidRPr="00792B36">
              <w:rPr>
                <w:rFonts w:eastAsia="Times New Roman"/>
                <w:color w:val="000000"/>
                <w:sz w:val="24"/>
                <w:szCs w:val="24"/>
              </w:rPr>
              <w:t>0.8</w:t>
            </w:r>
          </w:p>
        </w:tc>
        <w:tc>
          <w:tcPr>
            <w:tcW w:w="1270" w:type="dxa"/>
            <w:noWrap/>
            <w:vAlign w:val="center"/>
            <w:hideMark/>
          </w:tcPr>
          <w:p w14:paraId="4F416373" w14:textId="77777777" w:rsidR="009A0A63" w:rsidRPr="00792B36" w:rsidRDefault="009A0A63" w:rsidP="00A24459">
            <w:pPr>
              <w:spacing w:before="120" w:after="120"/>
              <w:contextualSpacing/>
              <w:jc w:val="center"/>
              <w:rPr>
                <w:rFonts w:eastAsia="Times New Roman"/>
                <w:color w:val="000000"/>
                <w:sz w:val="24"/>
                <w:szCs w:val="24"/>
              </w:rPr>
            </w:pPr>
            <w:r w:rsidRPr="00792B36">
              <w:rPr>
                <w:rFonts w:eastAsia="Times New Roman"/>
                <w:color w:val="000000"/>
                <w:sz w:val="24"/>
                <w:szCs w:val="24"/>
              </w:rPr>
              <w:t>3.8</w:t>
            </w:r>
          </w:p>
        </w:tc>
        <w:tc>
          <w:tcPr>
            <w:tcW w:w="1043" w:type="dxa"/>
            <w:noWrap/>
            <w:vAlign w:val="center"/>
            <w:hideMark/>
          </w:tcPr>
          <w:p w14:paraId="1A910520" w14:textId="77777777" w:rsidR="009A0A63" w:rsidRPr="00792B36" w:rsidRDefault="009A0A63" w:rsidP="00A24459">
            <w:pPr>
              <w:spacing w:before="120" w:after="120"/>
              <w:contextualSpacing/>
              <w:jc w:val="center"/>
              <w:rPr>
                <w:rFonts w:eastAsia="Times New Roman"/>
                <w:color w:val="000000"/>
                <w:sz w:val="24"/>
                <w:szCs w:val="24"/>
              </w:rPr>
            </w:pPr>
            <w:r w:rsidRPr="00792B36">
              <w:rPr>
                <w:rFonts w:eastAsia="Times New Roman"/>
                <w:color w:val="000000"/>
                <w:sz w:val="24"/>
                <w:szCs w:val="24"/>
              </w:rPr>
              <w:t>5,373.6</w:t>
            </w:r>
          </w:p>
        </w:tc>
        <w:tc>
          <w:tcPr>
            <w:tcW w:w="1897" w:type="dxa"/>
            <w:noWrap/>
            <w:vAlign w:val="center"/>
            <w:hideMark/>
          </w:tcPr>
          <w:p w14:paraId="487E6801" w14:textId="77777777" w:rsidR="009A0A63" w:rsidRPr="00792B36" w:rsidRDefault="009A0A63" w:rsidP="00A24459">
            <w:pPr>
              <w:spacing w:before="120" w:after="120"/>
              <w:contextualSpacing/>
              <w:jc w:val="center"/>
              <w:rPr>
                <w:rFonts w:eastAsia="Times New Roman"/>
                <w:color w:val="000000"/>
                <w:sz w:val="24"/>
                <w:szCs w:val="24"/>
              </w:rPr>
            </w:pPr>
            <w:r w:rsidRPr="00792B36">
              <w:rPr>
                <w:rFonts w:eastAsia="Times New Roman"/>
                <w:color w:val="000000"/>
                <w:sz w:val="24"/>
                <w:szCs w:val="24"/>
              </w:rPr>
              <w:t>0.7</w:t>
            </w:r>
          </w:p>
        </w:tc>
        <w:tc>
          <w:tcPr>
            <w:tcW w:w="1997" w:type="dxa"/>
            <w:noWrap/>
            <w:vAlign w:val="center"/>
            <w:hideMark/>
          </w:tcPr>
          <w:p w14:paraId="3468BDDD" w14:textId="77777777" w:rsidR="009A0A63" w:rsidRPr="00792B36" w:rsidRDefault="009A0A63" w:rsidP="00A24459">
            <w:pPr>
              <w:spacing w:before="120" w:after="120"/>
              <w:contextualSpacing/>
              <w:jc w:val="center"/>
              <w:rPr>
                <w:rFonts w:eastAsia="Times New Roman"/>
                <w:color w:val="000000"/>
                <w:sz w:val="24"/>
                <w:szCs w:val="24"/>
              </w:rPr>
            </w:pPr>
            <w:r w:rsidRPr="00792B36">
              <w:rPr>
                <w:rFonts w:eastAsia="Times New Roman"/>
                <w:color w:val="000000"/>
                <w:sz w:val="24"/>
                <w:szCs w:val="24"/>
              </w:rPr>
              <w:t>25.5</w:t>
            </w:r>
          </w:p>
        </w:tc>
      </w:tr>
      <w:tr w:rsidR="009A0A63" w:rsidRPr="00792B36" w14:paraId="16248CF1" w14:textId="77777777" w:rsidTr="00A24459">
        <w:trPr>
          <w:trHeight w:val="276"/>
        </w:trPr>
        <w:tc>
          <w:tcPr>
            <w:tcW w:w="1060" w:type="dxa"/>
            <w:noWrap/>
            <w:vAlign w:val="center"/>
            <w:hideMark/>
          </w:tcPr>
          <w:p w14:paraId="48BF0CCA" w14:textId="77777777" w:rsidR="009A0A63" w:rsidRPr="00792B36" w:rsidRDefault="009A0A63" w:rsidP="00A24459">
            <w:pPr>
              <w:spacing w:before="120" w:after="120"/>
              <w:contextualSpacing/>
              <w:jc w:val="center"/>
              <w:rPr>
                <w:rFonts w:eastAsia="Times New Roman"/>
                <w:color w:val="000000"/>
                <w:sz w:val="24"/>
                <w:szCs w:val="24"/>
              </w:rPr>
            </w:pPr>
            <w:r w:rsidRPr="00792B36">
              <w:rPr>
                <w:rFonts w:eastAsia="Times New Roman"/>
                <w:color w:val="000000"/>
                <w:sz w:val="24"/>
                <w:szCs w:val="24"/>
              </w:rPr>
              <w:t>2012</w:t>
            </w:r>
          </w:p>
        </w:tc>
        <w:tc>
          <w:tcPr>
            <w:tcW w:w="1067" w:type="dxa"/>
            <w:noWrap/>
            <w:vAlign w:val="center"/>
            <w:hideMark/>
          </w:tcPr>
          <w:p w14:paraId="645A88A2" w14:textId="77777777" w:rsidR="009A0A63" w:rsidRPr="00792B36" w:rsidRDefault="009A0A63" w:rsidP="00A24459">
            <w:pPr>
              <w:spacing w:before="120" w:after="120"/>
              <w:contextualSpacing/>
              <w:jc w:val="center"/>
              <w:rPr>
                <w:rFonts w:eastAsia="Times New Roman"/>
                <w:color w:val="000000"/>
                <w:sz w:val="24"/>
                <w:szCs w:val="24"/>
              </w:rPr>
            </w:pPr>
            <w:r w:rsidRPr="00792B36">
              <w:rPr>
                <w:rFonts w:eastAsia="Times New Roman"/>
                <w:color w:val="000000"/>
                <w:sz w:val="24"/>
                <w:szCs w:val="24"/>
              </w:rPr>
              <w:t>397.6</w:t>
            </w:r>
          </w:p>
        </w:tc>
        <w:tc>
          <w:tcPr>
            <w:tcW w:w="1017" w:type="dxa"/>
            <w:noWrap/>
            <w:vAlign w:val="center"/>
            <w:hideMark/>
          </w:tcPr>
          <w:p w14:paraId="0038943C" w14:textId="77777777" w:rsidR="009A0A63" w:rsidRPr="00792B36" w:rsidRDefault="009A0A63" w:rsidP="00A24459">
            <w:pPr>
              <w:spacing w:before="120" w:after="120"/>
              <w:contextualSpacing/>
              <w:jc w:val="center"/>
              <w:rPr>
                <w:rFonts w:eastAsia="Times New Roman"/>
                <w:color w:val="000000"/>
                <w:sz w:val="24"/>
                <w:szCs w:val="24"/>
              </w:rPr>
            </w:pPr>
            <w:r w:rsidRPr="00792B36">
              <w:rPr>
                <w:rFonts w:eastAsia="Times New Roman"/>
                <w:color w:val="000000"/>
                <w:sz w:val="24"/>
                <w:szCs w:val="24"/>
              </w:rPr>
              <w:t>7.2</w:t>
            </w:r>
          </w:p>
        </w:tc>
        <w:tc>
          <w:tcPr>
            <w:tcW w:w="1270" w:type="dxa"/>
            <w:noWrap/>
            <w:vAlign w:val="center"/>
            <w:hideMark/>
          </w:tcPr>
          <w:p w14:paraId="159B6C0F" w14:textId="77777777" w:rsidR="009A0A63" w:rsidRPr="00792B36" w:rsidRDefault="009A0A63" w:rsidP="00A24459">
            <w:pPr>
              <w:spacing w:before="120" w:after="120"/>
              <w:contextualSpacing/>
              <w:jc w:val="center"/>
              <w:rPr>
                <w:rFonts w:eastAsia="Times New Roman"/>
                <w:color w:val="000000"/>
                <w:sz w:val="24"/>
                <w:szCs w:val="24"/>
              </w:rPr>
            </w:pPr>
            <w:r w:rsidRPr="00792B36">
              <w:rPr>
                <w:rFonts w:eastAsia="Times New Roman"/>
                <w:color w:val="000000"/>
                <w:sz w:val="24"/>
                <w:szCs w:val="24"/>
              </w:rPr>
              <w:t>3.0</w:t>
            </w:r>
          </w:p>
        </w:tc>
        <w:tc>
          <w:tcPr>
            <w:tcW w:w="1043" w:type="dxa"/>
            <w:noWrap/>
            <w:vAlign w:val="center"/>
            <w:hideMark/>
          </w:tcPr>
          <w:p w14:paraId="068D4004" w14:textId="77777777" w:rsidR="009A0A63" w:rsidRPr="00792B36" w:rsidRDefault="009A0A63" w:rsidP="00A24459">
            <w:pPr>
              <w:spacing w:before="120" w:after="120"/>
              <w:contextualSpacing/>
              <w:jc w:val="center"/>
              <w:rPr>
                <w:rFonts w:eastAsia="Times New Roman"/>
                <w:color w:val="000000"/>
                <w:sz w:val="24"/>
                <w:szCs w:val="24"/>
              </w:rPr>
            </w:pPr>
            <w:r w:rsidRPr="00792B36">
              <w:rPr>
                <w:rFonts w:eastAsia="Times New Roman"/>
                <w:color w:val="000000"/>
                <w:sz w:val="24"/>
                <w:szCs w:val="24"/>
              </w:rPr>
              <w:t>5,725.5</w:t>
            </w:r>
          </w:p>
        </w:tc>
        <w:tc>
          <w:tcPr>
            <w:tcW w:w="1897" w:type="dxa"/>
            <w:noWrap/>
            <w:vAlign w:val="center"/>
            <w:hideMark/>
          </w:tcPr>
          <w:p w14:paraId="73DD7CA6" w14:textId="77777777" w:rsidR="009A0A63" w:rsidRPr="00792B36" w:rsidRDefault="009A0A63" w:rsidP="00A24459">
            <w:pPr>
              <w:spacing w:before="120" w:after="120"/>
              <w:contextualSpacing/>
              <w:jc w:val="center"/>
              <w:rPr>
                <w:rFonts w:eastAsia="Times New Roman"/>
                <w:color w:val="000000"/>
                <w:sz w:val="24"/>
                <w:szCs w:val="24"/>
              </w:rPr>
            </w:pPr>
            <w:r w:rsidRPr="00792B36">
              <w:rPr>
                <w:rFonts w:eastAsia="Times New Roman"/>
                <w:color w:val="000000"/>
                <w:sz w:val="24"/>
                <w:szCs w:val="24"/>
              </w:rPr>
              <w:t>0.6</w:t>
            </w:r>
          </w:p>
        </w:tc>
        <w:tc>
          <w:tcPr>
            <w:tcW w:w="1997" w:type="dxa"/>
            <w:noWrap/>
            <w:vAlign w:val="center"/>
            <w:hideMark/>
          </w:tcPr>
          <w:p w14:paraId="1303DC3B" w14:textId="77777777" w:rsidR="009A0A63" w:rsidRPr="00792B36" w:rsidRDefault="009A0A63" w:rsidP="00A24459">
            <w:pPr>
              <w:spacing w:before="120" w:after="120"/>
              <w:contextualSpacing/>
              <w:jc w:val="center"/>
              <w:rPr>
                <w:rFonts w:eastAsia="Times New Roman"/>
                <w:color w:val="000000"/>
                <w:sz w:val="24"/>
                <w:szCs w:val="24"/>
              </w:rPr>
            </w:pPr>
            <w:r w:rsidRPr="00792B36">
              <w:rPr>
                <w:rFonts w:eastAsia="Times New Roman"/>
                <w:color w:val="000000"/>
                <w:sz w:val="24"/>
                <w:szCs w:val="24"/>
              </w:rPr>
              <w:t>24.9</w:t>
            </w:r>
          </w:p>
        </w:tc>
      </w:tr>
      <w:tr w:rsidR="009A0A63" w:rsidRPr="00792B36" w14:paraId="2B4B5DBA" w14:textId="77777777" w:rsidTr="00A24459">
        <w:trPr>
          <w:trHeight w:val="276"/>
        </w:trPr>
        <w:tc>
          <w:tcPr>
            <w:tcW w:w="1060" w:type="dxa"/>
            <w:noWrap/>
            <w:vAlign w:val="center"/>
            <w:hideMark/>
          </w:tcPr>
          <w:p w14:paraId="133FB44C" w14:textId="77777777" w:rsidR="009A0A63" w:rsidRPr="00792B36" w:rsidRDefault="009A0A63" w:rsidP="00A24459">
            <w:pPr>
              <w:spacing w:before="120" w:after="120"/>
              <w:contextualSpacing/>
              <w:jc w:val="center"/>
              <w:rPr>
                <w:rFonts w:eastAsia="Times New Roman"/>
                <w:color w:val="000000"/>
                <w:sz w:val="24"/>
                <w:szCs w:val="24"/>
              </w:rPr>
            </w:pPr>
            <w:r w:rsidRPr="00792B36">
              <w:rPr>
                <w:rFonts w:eastAsia="Times New Roman"/>
                <w:color w:val="000000"/>
                <w:sz w:val="24"/>
                <w:szCs w:val="24"/>
              </w:rPr>
              <w:t>2013</w:t>
            </w:r>
          </w:p>
        </w:tc>
        <w:tc>
          <w:tcPr>
            <w:tcW w:w="1067" w:type="dxa"/>
            <w:noWrap/>
            <w:vAlign w:val="center"/>
            <w:hideMark/>
          </w:tcPr>
          <w:p w14:paraId="0DF48AAC" w14:textId="77777777" w:rsidR="009A0A63" w:rsidRPr="00792B36" w:rsidRDefault="009A0A63" w:rsidP="00A24459">
            <w:pPr>
              <w:spacing w:before="120" w:after="120"/>
              <w:contextualSpacing/>
              <w:jc w:val="center"/>
              <w:rPr>
                <w:rFonts w:eastAsia="Times New Roman"/>
                <w:color w:val="000000"/>
                <w:sz w:val="24"/>
                <w:szCs w:val="24"/>
              </w:rPr>
            </w:pPr>
            <w:r w:rsidRPr="00792B36">
              <w:rPr>
                <w:rFonts w:eastAsia="Times New Roman"/>
                <w:color w:val="000000"/>
                <w:sz w:val="24"/>
                <w:szCs w:val="24"/>
              </w:rPr>
              <w:t>420.3</w:t>
            </w:r>
          </w:p>
        </w:tc>
        <w:tc>
          <w:tcPr>
            <w:tcW w:w="1017" w:type="dxa"/>
            <w:noWrap/>
            <w:vAlign w:val="center"/>
            <w:hideMark/>
          </w:tcPr>
          <w:p w14:paraId="7978B1C3" w14:textId="77777777" w:rsidR="009A0A63" w:rsidRPr="00792B36" w:rsidRDefault="009A0A63" w:rsidP="00A24459">
            <w:pPr>
              <w:spacing w:before="120" w:after="120"/>
              <w:contextualSpacing/>
              <w:jc w:val="center"/>
              <w:rPr>
                <w:rFonts w:eastAsia="Times New Roman"/>
                <w:color w:val="000000"/>
                <w:sz w:val="24"/>
                <w:szCs w:val="24"/>
              </w:rPr>
            </w:pPr>
            <w:r w:rsidRPr="00792B36">
              <w:rPr>
                <w:rFonts w:eastAsia="Times New Roman"/>
                <w:color w:val="000000"/>
                <w:sz w:val="24"/>
                <w:szCs w:val="24"/>
              </w:rPr>
              <w:t>2.7</w:t>
            </w:r>
          </w:p>
        </w:tc>
        <w:tc>
          <w:tcPr>
            <w:tcW w:w="1270" w:type="dxa"/>
            <w:noWrap/>
            <w:vAlign w:val="center"/>
            <w:hideMark/>
          </w:tcPr>
          <w:p w14:paraId="26487868" w14:textId="77777777" w:rsidR="009A0A63" w:rsidRPr="00792B36" w:rsidRDefault="009A0A63" w:rsidP="00A24459">
            <w:pPr>
              <w:spacing w:before="120" w:after="120"/>
              <w:contextualSpacing/>
              <w:jc w:val="center"/>
              <w:rPr>
                <w:rFonts w:eastAsia="Times New Roman"/>
                <w:color w:val="000000"/>
                <w:sz w:val="24"/>
                <w:szCs w:val="24"/>
              </w:rPr>
            </w:pPr>
            <w:r w:rsidRPr="00792B36">
              <w:rPr>
                <w:rFonts w:eastAsia="Times New Roman"/>
                <w:color w:val="000000"/>
                <w:sz w:val="24"/>
                <w:szCs w:val="24"/>
              </w:rPr>
              <w:t>2.2</w:t>
            </w:r>
          </w:p>
        </w:tc>
        <w:tc>
          <w:tcPr>
            <w:tcW w:w="1043" w:type="dxa"/>
            <w:noWrap/>
            <w:vAlign w:val="center"/>
            <w:hideMark/>
          </w:tcPr>
          <w:p w14:paraId="453FFD48" w14:textId="77777777" w:rsidR="009A0A63" w:rsidRPr="00792B36" w:rsidRDefault="009A0A63" w:rsidP="00A24459">
            <w:pPr>
              <w:spacing w:before="120" w:after="120"/>
              <w:contextualSpacing/>
              <w:jc w:val="center"/>
              <w:rPr>
                <w:rFonts w:eastAsia="Times New Roman"/>
                <w:color w:val="000000"/>
                <w:sz w:val="24"/>
                <w:szCs w:val="24"/>
              </w:rPr>
            </w:pPr>
            <w:r w:rsidRPr="00792B36">
              <w:rPr>
                <w:rFonts w:eastAsia="Times New Roman"/>
                <w:color w:val="000000"/>
                <w:sz w:val="24"/>
                <w:szCs w:val="24"/>
              </w:rPr>
              <w:t>6,018.1</w:t>
            </w:r>
          </w:p>
        </w:tc>
        <w:tc>
          <w:tcPr>
            <w:tcW w:w="1897" w:type="dxa"/>
            <w:noWrap/>
            <w:vAlign w:val="center"/>
            <w:hideMark/>
          </w:tcPr>
          <w:p w14:paraId="42E48248" w14:textId="77777777" w:rsidR="009A0A63" w:rsidRPr="00792B36" w:rsidRDefault="009A0A63" w:rsidP="00A24459">
            <w:pPr>
              <w:spacing w:before="120" w:after="120"/>
              <w:contextualSpacing/>
              <w:jc w:val="center"/>
              <w:rPr>
                <w:rFonts w:eastAsia="Times New Roman"/>
                <w:color w:val="000000"/>
                <w:sz w:val="24"/>
                <w:szCs w:val="24"/>
              </w:rPr>
            </w:pPr>
            <w:r w:rsidRPr="00792B36">
              <w:rPr>
                <w:rFonts w:eastAsia="Times New Roman"/>
                <w:color w:val="000000"/>
                <w:sz w:val="24"/>
                <w:szCs w:val="24"/>
              </w:rPr>
              <w:t>0.2</w:t>
            </w:r>
          </w:p>
        </w:tc>
        <w:tc>
          <w:tcPr>
            <w:tcW w:w="1997" w:type="dxa"/>
            <w:noWrap/>
            <w:vAlign w:val="center"/>
            <w:hideMark/>
          </w:tcPr>
          <w:p w14:paraId="5366D6CD" w14:textId="77777777" w:rsidR="009A0A63" w:rsidRPr="00792B36" w:rsidRDefault="009A0A63" w:rsidP="00A24459">
            <w:pPr>
              <w:spacing w:before="120" w:after="120"/>
              <w:contextualSpacing/>
              <w:jc w:val="center"/>
              <w:rPr>
                <w:rFonts w:eastAsia="Times New Roman"/>
                <w:color w:val="000000"/>
                <w:sz w:val="24"/>
                <w:szCs w:val="24"/>
              </w:rPr>
            </w:pPr>
            <w:r w:rsidRPr="00792B36">
              <w:rPr>
                <w:rFonts w:eastAsia="Times New Roman"/>
                <w:color w:val="000000"/>
                <w:sz w:val="24"/>
                <w:szCs w:val="24"/>
              </w:rPr>
              <w:t>21.8</w:t>
            </w:r>
          </w:p>
        </w:tc>
      </w:tr>
      <w:tr w:rsidR="009A0A63" w:rsidRPr="00792B36" w14:paraId="58F0748C" w14:textId="77777777" w:rsidTr="00A24459">
        <w:trPr>
          <w:trHeight w:val="276"/>
        </w:trPr>
        <w:tc>
          <w:tcPr>
            <w:tcW w:w="1060" w:type="dxa"/>
            <w:noWrap/>
            <w:vAlign w:val="center"/>
            <w:hideMark/>
          </w:tcPr>
          <w:p w14:paraId="05576797" w14:textId="77777777" w:rsidR="009A0A63" w:rsidRPr="00792B36" w:rsidRDefault="009A0A63" w:rsidP="00A24459">
            <w:pPr>
              <w:spacing w:before="120" w:after="120"/>
              <w:contextualSpacing/>
              <w:jc w:val="center"/>
              <w:rPr>
                <w:rFonts w:eastAsia="Times New Roman"/>
                <w:color w:val="000000"/>
                <w:sz w:val="24"/>
                <w:szCs w:val="24"/>
              </w:rPr>
            </w:pPr>
            <w:r w:rsidRPr="00792B36">
              <w:rPr>
                <w:rFonts w:eastAsia="Times New Roman"/>
                <w:color w:val="000000"/>
                <w:sz w:val="24"/>
                <w:szCs w:val="24"/>
              </w:rPr>
              <w:t>2014</w:t>
            </w:r>
          </w:p>
        </w:tc>
        <w:tc>
          <w:tcPr>
            <w:tcW w:w="1067" w:type="dxa"/>
            <w:noWrap/>
            <w:vAlign w:val="center"/>
            <w:hideMark/>
          </w:tcPr>
          <w:p w14:paraId="052DB61E" w14:textId="77777777" w:rsidR="009A0A63" w:rsidRPr="00792B36" w:rsidRDefault="009A0A63" w:rsidP="00A24459">
            <w:pPr>
              <w:spacing w:before="120" w:after="120"/>
              <w:contextualSpacing/>
              <w:jc w:val="center"/>
              <w:rPr>
                <w:rFonts w:eastAsia="Times New Roman"/>
                <w:color w:val="000000"/>
                <w:sz w:val="24"/>
                <w:szCs w:val="24"/>
              </w:rPr>
            </w:pPr>
            <w:r w:rsidRPr="00792B36">
              <w:rPr>
                <w:rFonts w:eastAsia="Times New Roman"/>
                <w:color w:val="000000"/>
                <w:sz w:val="24"/>
                <w:szCs w:val="24"/>
              </w:rPr>
              <w:t>407.3</w:t>
            </w:r>
          </w:p>
        </w:tc>
        <w:tc>
          <w:tcPr>
            <w:tcW w:w="1017" w:type="dxa"/>
            <w:noWrap/>
            <w:vAlign w:val="center"/>
            <w:hideMark/>
          </w:tcPr>
          <w:p w14:paraId="45B06175" w14:textId="77777777" w:rsidR="009A0A63" w:rsidRPr="00792B36" w:rsidRDefault="009A0A63" w:rsidP="00A24459">
            <w:pPr>
              <w:spacing w:before="120" w:after="120"/>
              <w:contextualSpacing/>
              <w:jc w:val="center"/>
              <w:rPr>
                <w:rFonts w:eastAsia="Times New Roman"/>
                <w:color w:val="000000"/>
                <w:sz w:val="24"/>
                <w:szCs w:val="24"/>
              </w:rPr>
            </w:pPr>
            <w:r w:rsidRPr="00792B36">
              <w:rPr>
                <w:rFonts w:eastAsia="Times New Roman"/>
                <w:color w:val="000000"/>
                <w:sz w:val="24"/>
                <w:szCs w:val="24"/>
              </w:rPr>
              <w:t>1.0</w:t>
            </w:r>
          </w:p>
        </w:tc>
        <w:tc>
          <w:tcPr>
            <w:tcW w:w="1270" w:type="dxa"/>
            <w:noWrap/>
            <w:vAlign w:val="center"/>
            <w:hideMark/>
          </w:tcPr>
          <w:p w14:paraId="1A97A710" w14:textId="77777777" w:rsidR="009A0A63" w:rsidRPr="00792B36" w:rsidRDefault="009A0A63" w:rsidP="00A24459">
            <w:pPr>
              <w:spacing w:before="120" w:after="120"/>
              <w:contextualSpacing/>
              <w:jc w:val="center"/>
              <w:rPr>
                <w:rFonts w:eastAsia="Times New Roman"/>
                <w:color w:val="000000"/>
                <w:sz w:val="24"/>
                <w:szCs w:val="24"/>
              </w:rPr>
            </w:pPr>
            <w:r w:rsidRPr="00792B36">
              <w:rPr>
                <w:rFonts w:eastAsia="Times New Roman"/>
                <w:color w:val="000000"/>
                <w:sz w:val="24"/>
                <w:szCs w:val="24"/>
              </w:rPr>
              <w:t>1.9</w:t>
            </w:r>
          </w:p>
        </w:tc>
        <w:tc>
          <w:tcPr>
            <w:tcW w:w="1043" w:type="dxa"/>
            <w:noWrap/>
            <w:vAlign w:val="center"/>
            <w:hideMark/>
          </w:tcPr>
          <w:p w14:paraId="46F0D752" w14:textId="77777777" w:rsidR="009A0A63" w:rsidRPr="00792B36" w:rsidRDefault="009A0A63" w:rsidP="00A24459">
            <w:pPr>
              <w:spacing w:before="120" w:after="120"/>
              <w:contextualSpacing/>
              <w:jc w:val="center"/>
              <w:rPr>
                <w:rFonts w:eastAsia="Times New Roman"/>
                <w:color w:val="000000"/>
                <w:sz w:val="24"/>
                <w:szCs w:val="24"/>
              </w:rPr>
            </w:pPr>
            <w:r w:rsidRPr="00792B36">
              <w:rPr>
                <w:rFonts w:eastAsia="Times New Roman"/>
                <w:color w:val="000000"/>
                <w:sz w:val="24"/>
                <w:szCs w:val="24"/>
              </w:rPr>
              <w:t>5,801.2</w:t>
            </w:r>
          </w:p>
        </w:tc>
        <w:tc>
          <w:tcPr>
            <w:tcW w:w="1897" w:type="dxa"/>
            <w:noWrap/>
            <w:vAlign w:val="center"/>
            <w:hideMark/>
          </w:tcPr>
          <w:p w14:paraId="20813BB5" w14:textId="77777777" w:rsidR="009A0A63" w:rsidRPr="00792B36" w:rsidRDefault="009A0A63" w:rsidP="00A24459">
            <w:pPr>
              <w:spacing w:before="120" w:after="120"/>
              <w:contextualSpacing/>
              <w:jc w:val="center"/>
              <w:rPr>
                <w:rFonts w:eastAsia="Times New Roman"/>
                <w:color w:val="000000"/>
                <w:sz w:val="24"/>
                <w:szCs w:val="24"/>
              </w:rPr>
            </w:pPr>
            <w:r w:rsidRPr="00792B36">
              <w:rPr>
                <w:rFonts w:eastAsia="Times New Roman"/>
                <w:color w:val="000000"/>
                <w:sz w:val="24"/>
                <w:szCs w:val="24"/>
              </w:rPr>
              <w:t>0.6</w:t>
            </w:r>
          </w:p>
        </w:tc>
        <w:tc>
          <w:tcPr>
            <w:tcW w:w="1997" w:type="dxa"/>
            <w:noWrap/>
            <w:vAlign w:val="center"/>
            <w:hideMark/>
          </w:tcPr>
          <w:p w14:paraId="18DC5D35" w14:textId="77777777" w:rsidR="009A0A63" w:rsidRPr="00792B36" w:rsidRDefault="009A0A63" w:rsidP="00A24459">
            <w:pPr>
              <w:spacing w:before="120" w:after="120"/>
              <w:contextualSpacing/>
              <w:jc w:val="center"/>
              <w:rPr>
                <w:rFonts w:eastAsia="Times New Roman"/>
                <w:color w:val="000000"/>
                <w:sz w:val="24"/>
                <w:szCs w:val="24"/>
              </w:rPr>
            </w:pPr>
            <w:r w:rsidRPr="00792B36">
              <w:rPr>
                <w:rFonts w:eastAsia="Times New Roman"/>
                <w:color w:val="000000"/>
                <w:sz w:val="24"/>
                <w:szCs w:val="24"/>
              </w:rPr>
              <w:t>20.9</w:t>
            </w:r>
          </w:p>
        </w:tc>
      </w:tr>
      <w:tr w:rsidR="009A0A63" w:rsidRPr="00792B36" w14:paraId="1C24A886" w14:textId="77777777" w:rsidTr="00A24459">
        <w:trPr>
          <w:trHeight w:val="276"/>
        </w:trPr>
        <w:tc>
          <w:tcPr>
            <w:tcW w:w="1060" w:type="dxa"/>
            <w:noWrap/>
            <w:vAlign w:val="center"/>
            <w:hideMark/>
          </w:tcPr>
          <w:p w14:paraId="1BB404D7" w14:textId="77777777" w:rsidR="009A0A63" w:rsidRPr="00792B36" w:rsidRDefault="009A0A63" w:rsidP="00A24459">
            <w:pPr>
              <w:spacing w:before="120" w:after="120"/>
              <w:contextualSpacing/>
              <w:jc w:val="center"/>
              <w:rPr>
                <w:rFonts w:eastAsia="Times New Roman"/>
                <w:color w:val="000000"/>
                <w:sz w:val="24"/>
                <w:szCs w:val="24"/>
              </w:rPr>
            </w:pPr>
            <w:r w:rsidRPr="00792B36">
              <w:rPr>
                <w:rFonts w:eastAsia="Times New Roman"/>
                <w:color w:val="000000"/>
                <w:sz w:val="24"/>
                <w:szCs w:val="24"/>
              </w:rPr>
              <w:t>2015</w:t>
            </w:r>
          </w:p>
        </w:tc>
        <w:tc>
          <w:tcPr>
            <w:tcW w:w="1067" w:type="dxa"/>
            <w:noWrap/>
            <w:vAlign w:val="center"/>
            <w:hideMark/>
          </w:tcPr>
          <w:p w14:paraId="642A67BF" w14:textId="77777777" w:rsidR="009A0A63" w:rsidRPr="00792B36" w:rsidRDefault="009A0A63" w:rsidP="00A24459">
            <w:pPr>
              <w:spacing w:before="120" w:after="120"/>
              <w:contextualSpacing/>
              <w:jc w:val="center"/>
              <w:rPr>
                <w:rFonts w:eastAsia="Times New Roman"/>
                <w:color w:val="000000"/>
                <w:sz w:val="24"/>
                <w:szCs w:val="24"/>
              </w:rPr>
            </w:pPr>
            <w:r w:rsidRPr="00792B36">
              <w:rPr>
                <w:rFonts w:eastAsia="Times New Roman"/>
                <w:color w:val="000000"/>
                <w:sz w:val="24"/>
                <w:szCs w:val="24"/>
              </w:rPr>
              <w:t>401.3</w:t>
            </w:r>
          </w:p>
        </w:tc>
        <w:tc>
          <w:tcPr>
            <w:tcW w:w="1017" w:type="dxa"/>
            <w:noWrap/>
            <w:vAlign w:val="center"/>
            <w:hideMark/>
          </w:tcPr>
          <w:p w14:paraId="49DAFAB4" w14:textId="77777777" w:rsidR="009A0A63" w:rsidRPr="00792B36" w:rsidRDefault="009A0A63" w:rsidP="00A24459">
            <w:pPr>
              <w:spacing w:before="120" w:after="120"/>
              <w:contextualSpacing/>
              <w:jc w:val="center"/>
              <w:rPr>
                <w:rFonts w:eastAsia="Times New Roman"/>
                <w:color w:val="000000"/>
                <w:sz w:val="24"/>
                <w:szCs w:val="24"/>
              </w:rPr>
            </w:pPr>
            <w:r w:rsidRPr="00792B36">
              <w:rPr>
                <w:rFonts w:eastAsia="Times New Roman"/>
                <w:color w:val="000000"/>
                <w:sz w:val="24"/>
                <w:szCs w:val="24"/>
              </w:rPr>
              <w:t>3.1</w:t>
            </w:r>
          </w:p>
        </w:tc>
        <w:tc>
          <w:tcPr>
            <w:tcW w:w="1270" w:type="dxa"/>
            <w:noWrap/>
            <w:vAlign w:val="center"/>
            <w:hideMark/>
          </w:tcPr>
          <w:p w14:paraId="70D0AFF1" w14:textId="77777777" w:rsidR="009A0A63" w:rsidRPr="00792B36" w:rsidRDefault="009A0A63" w:rsidP="00A24459">
            <w:pPr>
              <w:spacing w:before="120" w:after="120"/>
              <w:contextualSpacing/>
              <w:jc w:val="center"/>
              <w:rPr>
                <w:rFonts w:eastAsia="Times New Roman"/>
                <w:color w:val="000000"/>
                <w:sz w:val="24"/>
                <w:szCs w:val="24"/>
              </w:rPr>
            </w:pPr>
            <w:r w:rsidRPr="00792B36">
              <w:rPr>
                <w:rFonts w:eastAsia="Times New Roman"/>
                <w:color w:val="000000"/>
                <w:sz w:val="24"/>
                <w:szCs w:val="24"/>
              </w:rPr>
              <w:t>-0.9</w:t>
            </w:r>
          </w:p>
        </w:tc>
        <w:tc>
          <w:tcPr>
            <w:tcW w:w="1043" w:type="dxa"/>
            <w:noWrap/>
            <w:vAlign w:val="center"/>
            <w:hideMark/>
          </w:tcPr>
          <w:p w14:paraId="10FAA79D" w14:textId="77777777" w:rsidR="009A0A63" w:rsidRPr="00792B36" w:rsidRDefault="009A0A63" w:rsidP="00A24459">
            <w:pPr>
              <w:spacing w:before="120" w:after="120"/>
              <w:contextualSpacing/>
              <w:jc w:val="center"/>
              <w:rPr>
                <w:rFonts w:eastAsia="Times New Roman"/>
                <w:color w:val="000000"/>
                <w:sz w:val="24"/>
                <w:szCs w:val="24"/>
              </w:rPr>
            </w:pPr>
            <w:r w:rsidRPr="00792B36">
              <w:rPr>
                <w:rFonts w:eastAsia="Times New Roman"/>
                <w:color w:val="000000"/>
                <w:sz w:val="24"/>
                <w:szCs w:val="24"/>
              </w:rPr>
              <w:t>5,688.9</w:t>
            </w:r>
          </w:p>
        </w:tc>
        <w:tc>
          <w:tcPr>
            <w:tcW w:w="1897" w:type="dxa"/>
            <w:noWrap/>
            <w:vAlign w:val="center"/>
            <w:hideMark/>
          </w:tcPr>
          <w:p w14:paraId="7AFCFDA2" w14:textId="77777777" w:rsidR="009A0A63" w:rsidRPr="00792B36" w:rsidRDefault="009A0A63" w:rsidP="00A24459">
            <w:pPr>
              <w:spacing w:before="120" w:after="120"/>
              <w:contextualSpacing/>
              <w:jc w:val="center"/>
              <w:rPr>
                <w:rFonts w:eastAsia="Times New Roman"/>
                <w:color w:val="000000"/>
                <w:sz w:val="24"/>
                <w:szCs w:val="24"/>
              </w:rPr>
            </w:pPr>
            <w:r w:rsidRPr="00792B36">
              <w:rPr>
                <w:rFonts w:eastAsia="Times New Roman"/>
                <w:color w:val="000000"/>
                <w:sz w:val="24"/>
                <w:szCs w:val="24"/>
              </w:rPr>
              <w:t>0.6</w:t>
            </w:r>
          </w:p>
        </w:tc>
        <w:tc>
          <w:tcPr>
            <w:tcW w:w="1997" w:type="dxa"/>
            <w:noWrap/>
            <w:vAlign w:val="center"/>
            <w:hideMark/>
          </w:tcPr>
          <w:p w14:paraId="569B3A9E" w14:textId="77777777" w:rsidR="009A0A63" w:rsidRPr="00792B36" w:rsidRDefault="009A0A63" w:rsidP="00A24459">
            <w:pPr>
              <w:spacing w:before="120" w:after="120"/>
              <w:contextualSpacing/>
              <w:jc w:val="center"/>
              <w:rPr>
                <w:rFonts w:eastAsia="Times New Roman"/>
                <w:color w:val="000000"/>
                <w:sz w:val="24"/>
                <w:szCs w:val="24"/>
              </w:rPr>
            </w:pPr>
            <w:r w:rsidRPr="00792B36">
              <w:rPr>
                <w:rFonts w:eastAsia="Times New Roman"/>
                <w:color w:val="000000"/>
                <w:sz w:val="24"/>
                <w:szCs w:val="24"/>
              </w:rPr>
              <w:t>16.9</w:t>
            </w:r>
          </w:p>
        </w:tc>
      </w:tr>
      <w:tr w:rsidR="009A0A63" w:rsidRPr="00792B36" w14:paraId="1596BA8C" w14:textId="77777777" w:rsidTr="00A24459">
        <w:trPr>
          <w:trHeight w:val="276"/>
        </w:trPr>
        <w:tc>
          <w:tcPr>
            <w:tcW w:w="1060" w:type="dxa"/>
            <w:noWrap/>
            <w:vAlign w:val="center"/>
            <w:hideMark/>
          </w:tcPr>
          <w:p w14:paraId="4561F073" w14:textId="77777777" w:rsidR="009A0A63" w:rsidRPr="00792B36" w:rsidRDefault="009A0A63" w:rsidP="00A24459">
            <w:pPr>
              <w:spacing w:before="120" w:after="120"/>
              <w:contextualSpacing/>
              <w:jc w:val="center"/>
              <w:rPr>
                <w:rFonts w:eastAsia="Times New Roman"/>
                <w:color w:val="000000"/>
                <w:sz w:val="24"/>
                <w:szCs w:val="24"/>
              </w:rPr>
            </w:pPr>
            <w:r w:rsidRPr="00792B36">
              <w:rPr>
                <w:rFonts w:eastAsia="Times New Roman"/>
                <w:color w:val="000000"/>
                <w:sz w:val="24"/>
                <w:szCs w:val="24"/>
              </w:rPr>
              <w:t>2016</w:t>
            </w:r>
          </w:p>
        </w:tc>
        <w:tc>
          <w:tcPr>
            <w:tcW w:w="1067" w:type="dxa"/>
            <w:noWrap/>
            <w:vAlign w:val="center"/>
            <w:hideMark/>
          </w:tcPr>
          <w:p w14:paraId="59524876" w14:textId="77777777" w:rsidR="009A0A63" w:rsidRPr="00792B36" w:rsidRDefault="009A0A63" w:rsidP="00A24459">
            <w:pPr>
              <w:spacing w:before="120" w:after="120"/>
              <w:contextualSpacing/>
              <w:jc w:val="center"/>
              <w:rPr>
                <w:rFonts w:eastAsia="Times New Roman"/>
                <w:color w:val="000000"/>
                <w:sz w:val="24"/>
                <w:szCs w:val="24"/>
              </w:rPr>
            </w:pPr>
            <w:r w:rsidRPr="00792B36">
              <w:rPr>
                <w:rFonts w:eastAsia="Times New Roman"/>
                <w:color w:val="000000"/>
                <w:sz w:val="24"/>
                <w:szCs w:val="24"/>
              </w:rPr>
              <w:t>413.4</w:t>
            </w:r>
          </w:p>
        </w:tc>
        <w:tc>
          <w:tcPr>
            <w:tcW w:w="1017" w:type="dxa"/>
            <w:noWrap/>
            <w:vAlign w:val="center"/>
            <w:hideMark/>
          </w:tcPr>
          <w:p w14:paraId="44B2CB28" w14:textId="77777777" w:rsidR="009A0A63" w:rsidRPr="00792B36" w:rsidRDefault="009A0A63" w:rsidP="00A24459">
            <w:pPr>
              <w:spacing w:before="120" w:after="120"/>
              <w:contextualSpacing/>
              <w:jc w:val="center"/>
              <w:rPr>
                <w:rFonts w:eastAsia="Times New Roman"/>
                <w:color w:val="000000"/>
                <w:sz w:val="24"/>
                <w:szCs w:val="24"/>
              </w:rPr>
            </w:pPr>
            <w:r w:rsidRPr="00792B36">
              <w:rPr>
                <w:rFonts w:eastAsia="Times New Roman"/>
                <w:color w:val="000000"/>
                <w:sz w:val="24"/>
                <w:szCs w:val="24"/>
              </w:rPr>
              <w:t>3.4</w:t>
            </w:r>
          </w:p>
        </w:tc>
        <w:tc>
          <w:tcPr>
            <w:tcW w:w="1270" w:type="dxa"/>
            <w:noWrap/>
            <w:vAlign w:val="center"/>
            <w:hideMark/>
          </w:tcPr>
          <w:p w14:paraId="1A2893C7" w14:textId="77777777" w:rsidR="009A0A63" w:rsidRPr="00792B36" w:rsidRDefault="009A0A63" w:rsidP="00A24459">
            <w:pPr>
              <w:spacing w:before="120" w:after="120"/>
              <w:contextualSpacing/>
              <w:jc w:val="center"/>
              <w:rPr>
                <w:rFonts w:eastAsia="Times New Roman"/>
                <w:color w:val="000000"/>
                <w:sz w:val="24"/>
                <w:szCs w:val="24"/>
              </w:rPr>
            </w:pPr>
            <w:r w:rsidRPr="00792B36">
              <w:rPr>
                <w:rFonts w:eastAsia="Times New Roman"/>
                <w:color w:val="000000"/>
                <w:sz w:val="24"/>
                <w:szCs w:val="24"/>
              </w:rPr>
              <w:t>0.2</w:t>
            </w:r>
          </w:p>
        </w:tc>
        <w:tc>
          <w:tcPr>
            <w:tcW w:w="1043" w:type="dxa"/>
            <w:noWrap/>
            <w:vAlign w:val="center"/>
            <w:hideMark/>
          </w:tcPr>
          <w:p w14:paraId="21B9EF65" w14:textId="77777777" w:rsidR="009A0A63" w:rsidRPr="00792B36" w:rsidRDefault="009A0A63" w:rsidP="00A24459">
            <w:pPr>
              <w:spacing w:before="120" w:after="120"/>
              <w:contextualSpacing/>
              <w:jc w:val="center"/>
              <w:rPr>
                <w:rFonts w:eastAsia="Times New Roman"/>
                <w:color w:val="000000"/>
                <w:sz w:val="24"/>
                <w:szCs w:val="24"/>
              </w:rPr>
            </w:pPr>
            <w:r w:rsidRPr="00792B36">
              <w:rPr>
                <w:rFonts w:eastAsia="Times New Roman"/>
                <w:color w:val="000000"/>
                <w:sz w:val="24"/>
                <w:szCs w:val="24"/>
              </w:rPr>
              <w:t>5,833.6</w:t>
            </w:r>
          </w:p>
        </w:tc>
        <w:tc>
          <w:tcPr>
            <w:tcW w:w="1897" w:type="dxa"/>
            <w:noWrap/>
            <w:vAlign w:val="center"/>
            <w:hideMark/>
          </w:tcPr>
          <w:p w14:paraId="7521AEB5" w14:textId="77777777" w:rsidR="009A0A63" w:rsidRPr="00792B36" w:rsidRDefault="009A0A63" w:rsidP="00A24459">
            <w:pPr>
              <w:spacing w:before="120" w:after="120"/>
              <w:contextualSpacing/>
              <w:jc w:val="center"/>
              <w:rPr>
                <w:rFonts w:eastAsia="Times New Roman"/>
                <w:color w:val="000000"/>
                <w:sz w:val="24"/>
                <w:szCs w:val="24"/>
              </w:rPr>
            </w:pPr>
            <w:r w:rsidRPr="00792B36">
              <w:rPr>
                <w:rFonts w:eastAsia="Times New Roman"/>
                <w:color w:val="000000"/>
                <w:sz w:val="24"/>
                <w:szCs w:val="24"/>
              </w:rPr>
              <w:t>0.7</w:t>
            </w:r>
          </w:p>
        </w:tc>
        <w:tc>
          <w:tcPr>
            <w:tcW w:w="1997" w:type="dxa"/>
            <w:noWrap/>
            <w:vAlign w:val="center"/>
            <w:hideMark/>
          </w:tcPr>
          <w:p w14:paraId="28385EB9" w14:textId="77777777" w:rsidR="009A0A63" w:rsidRPr="00792B36" w:rsidRDefault="009A0A63" w:rsidP="00A24459">
            <w:pPr>
              <w:spacing w:before="120" w:after="120"/>
              <w:contextualSpacing/>
              <w:jc w:val="center"/>
              <w:rPr>
                <w:rFonts w:eastAsia="Times New Roman"/>
                <w:color w:val="000000"/>
                <w:sz w:val="24"/>
                <w:szCs w:val="24"/>
              </w:rPr>
            </w:pPr>
            <w:r w:rsidRPr="00792B36">
              <w:rPr>
                <w:rFonts w:eastAsia="Times New Roman"/>
                <w:color w:val="000000"/>
                <w:sz w:val="24"/>
                <w:szCs w:val="24"/>
              </w:rPr>
              <w:t>17.9</w:t>
            </w:r>
          </w:p>
        </w:tc>
      </w:tr>
      <w:tr w:rsidR="009A0A63" w:rsidRPr="00792B36" w14:paraId="5E6538ED" w14:textId="77777777" w:rsidTr="00A24459">
        <w:trPr>
          <w:trHeight w:val="276"/>
        </w:trPr>
        <w:tc>
          <w:tcPr>
            <w:tcW w:w="1060" w:type="dxa"/>
            <w:noWrap/>
            <w:vAlign w:val="center"/>
            <w:hideMark/>
          </w:tcPr>
          <w:p w14:paraId="527F5072" w14:textId="77777777" w:rsidR="009A0A63" w:rsidRPr="00792B36" w:rsidRDefault="009A0A63" w:rsidP="00A24459">
            <w:pPr>
              <w:spacing w:before="120" w:after="120"/>
              <w:contextualSpacing/>
              <w:jc w:val="center"/>
              <w:rPr>
                <w:rFonts w:eastAsia="Times New Roman"/>
                <w:color w:val="000000"/>
                <w:sz w:val="24"/>
                <w:szCs w:val="24"/>
              </w:rPr>
            </w:pPr>
            <w:r w:rsidRPr="00792B36">
              <w:rPr>
                <w:rFonts w:eastAsia="Times New Roman"/>
                <w:color w:val="000000"/>
                <w:sz w:val="24"/>
                <w:szCs w:val="24"/>
              </w:rPr>
              <w:t>2017</w:t>
            </w:r>
          </w:p>
        </w:tc>
        <w:tc>
          <w:tcPr>
            <w:tcW w:w="1067" w:type="dxa"/>
            <w:noWrap/>
            <w:vAlign w:val="center"/>
            <w:hideMark/>
          </w:tcPr>
          <w:p w14:paraId="793DF91B" w14:textId="77777777" w:rsidR="009A0A63" w:rsidRPr="00792B36" w:rsidRDefault="009A0A63" w:rsidP="00A24459">
            <w:pPr>
              <w:spacing w:before="120" w:after="120"/>
              <w:contextualSpacing/>
              <w:jc w:val="center"/>
              <w:rPr>
                <w:rFonts w:eastAsia="Times New Roman"/>
                <w:color w:val="000000"/>
                <w:sz w:val="24"/>
                <w:szCs w:val="24"/>
              </w:rPr>
            </w:pPr>
            <w:r w:rsidRPr="00792B36">
              <w:rPr>
                <w:rFonts w:eastAsia="Times New Roman"/>
                <w:color w:val="000000"/>
                <w:sz w:val="24"/>
                <w:szCs w:val="24"/>
              </w:rPr>
              <w:t>456.4</w:t>
            </w:r>
          </w:p>
        </w:tc>
        <w:tc>
          <w:tcPr>
            <w:tcW w:w="1017" w:type="dxa"/>
            <w:noWrap/>
            <w:vAlign w:val="center"/>
            <w:hideMark/>
          </w:tcPr>
          <w:p w14:paraId="598A7CE3" w14:textId="77777777" w:rsidR="009A0A63" w:rsidRPr="00792B36" w:rsidRDefault="009A0A63" w:rsidP="00A24459">
            <w:pPr>
              <w:spacing w:before="120" w:after="120"/>
              <w:contextualSpacing/>
              <w:jc w:val="center"/>
              <w:rPr>
                <w:rFonts w:eastAsia="Times New Roman"/>
                <w:color w:val="000000"/>
                <w:sz w:val="24"/>
                <w:szCs w:val="24"/>
              </w:rPr>
            </w:pPr>
            <w:r w:rsidRPr="00792B36">
              <w:rPr>
                <w:rFonts w:eastAsia="Times New Roman"/>
                <w:color w:val="000000"/>
                <w:sz w:val="24"/>
                <w:szCs w:val="24"/>
              </w:rPr>
              <w:t>4.2</w:t>
            </w:r>
          </w:p>
        </w:tc>
        <w:tc>
          <w:tcPr>
            <w:tcW w:w="1270" w:type="dxa"/>
            <w:noWrap/>
            <w:vAlign w:val="center"/>
            <w:hideMark/>
          </w:tcPr>
          <w:p w14:paraId="30E608E0" w14:textId="77777777" w:rsidR="009A0A63" w:rsidRPr="00792B36" w:rsidRDefault="009A0A63" w:rsidP="00A24459">
            <w:pPr>
              <w:spacing w:before="120" w:after="120"/>
              <w:contextualSpacing/>
              <w:jc w:val="center"/>
              <w:rPr>
                <w:rFonts w:eastAsia="Times New Roman"/>
                <w:color w:val="000000"/>
                <w:sz w:val="24"/>
                <w:szCs w:val="24"/>
              </w:rPr>
            </w:pPr>
            <w:r w:rsidRPr="00792B36">
              <w:rPr>
                <w:rFonts w:eastAsia="Times New Roman"/>
                <w:color w:val="000000"/>
                <w:sz w:val="24"/>
                <w:szCs w:val="24"/>
              </w:rPr>
              <w:t>0.7</w:t>
            </w:r>
          </w:p>
        </w:tc>
        <w:tc>
          <w:tcPr>
            <w:tcW w:w="1043" w:type="dxa"/>
            <w:noWrap/>
            <w:vAlign w:val="center"/>
            <w:hideMark/>
          </w:tcPr>
          <w:p w14:paraId="03EF4F3F" w14:textId="77777777" w:rsidR="009A0A63" w:rsidRPr="00792B36" w:rsidRDefault="009A0A63" w:rsidP="00A24459">
            <w:pPr>
              <w:spacing w:before="120" w:after="120"/>
              <w:contextualSpacing/>
              <w:jc w:val="center"/>
              <w:rPr>
                <w:rFonts w:eastAsia="Times New Roman"/>
                <w:color w:val="000000"/>
                <w:sz w:val="24"/>
                <w:szCs w:val="24"/>
              </w:rPr>
            </w:pPr>
            <w:r w:rsidRPr="00792B36">
              <w:rPr>
                <w:rFonts w:eastAsia="Times New Roman"/>
                <w:color w:val="000000"/>
                <w:sz w:val="24"/>
                <w:szCs w:val="24"/>
              </w:rPr>
              <w:t>6,413.1</w:t>
            </w:r>
          </w:p>
        </w:tc>
        <w:tc>
          <w:tcPr>
            <w:tcW w:w="1897" w:type="dxa"/>
            <w:noWrap/>
            <w:vAlign w:val="center"/>
            <w:hideMark/>
          </w:tcPr>
          <w:p w14:paraId="0EBFDD83" w14:textId="77777777" w:rsidR="009A0A63" w:rsidRPr="00792B36" w:rsidRDefault="009A0A63" w:rsidP="00A24459">
            <w:pPr>
              <w:spacing w:before="120" w:after="120"/>
              <w:contextualSpacing/>
              <w:jc w:val="center"/>
              <w:rPr>
                <w:rFonts w:eastAsia="Times New Roman"/>
                <w:color w:val="000000"/>
                <w:sz w:val="24"/>
                <w:szCs w:val="24"/>
              </w:rPr>
            </w:pPr>
            <w:r w:rsidRPr="00792B36">
              <w:rPr>
                <w:rFonts w:eastAsia="Times New Roman"/>
                <w:color w:val="000000"/>
                <w:sz w:val="24"/>
                <w:szCs w:val="24"/>
              </w:rPr>
              <w:t>0.8</w:t>
            </w:r>
          </w:p>
        </w:tc>
        <w:tc>
          <w:tcPr>
            <w:tcW w:w="1997" w:type="dxa"/>
            <w:noWrap/>
            <w:vAlign w:val="center"/>
            <w:hideMark/>
          </w:tcPr>
          <w:p w14:paraId="71A191D9" w14:textId="77777777" w:rsidR="009A0A63" w:rsidRPr="00792B36" w:rsidRDefault="009A0A63" w:rsidP="00A24459">
            <w:pPr>
              <w:spacing w:before="120" w:after="120"/>
              <w:contextualSpacing/>
              <w:jc w:val="center"/>
              <w:rPr>
                <w:rFonts w:eastAsia="Times New Roman"/>
                <w:color w:val="000000"/>
                <w:sz w:val="24"/>
                <w:szCs w:val="24"/>
              </w:rPr>
            </w:pPr>
            <w:r w:rsidRPr="00792B36">
              <w:rPr>
                <w:rFonts w:eastAsia="Times New Roman"/>
                <w:color w:val="000000"/>
                <w:sz w:val="24"/>
                <w:szCs w:val="24"/>
              </w:rPr>
              <w:t>17.2</w:t>
            </w:r>
          </w:p>
        </w:tc>
      </w:tr>
      <w:tr w:rsidR="009A0A63" w:rsidRPr="00792B36" w14:paraId="24C0804D" w14:textId="77777777" w:rsidTr="00A24459">
        <w:trPr>
          <w:trHeight w:val="276"/>
        </w:trPr>
        <w:tc>
          <w:tcPr>
            <w:tcW w:w="1060" w:type="dxa"/>
            <w:noWrap/>
            <w:vAlign w:val="center"/>
            <w:hideMark/>
          </w:tcPr>
          <w:p w14:paraId="6C45C91E" w14:textId="77777777" w:rsidR="009A0A63" w:rsidRPr="00792B36" w:rsidRDefault="009A0A63" w:rsidP="00A24459">
            <w:pPr>
              <w:spacing w:before="120" w:after="120"/>
              <w:contextualSpacing/>
              <w:jc w:val="center"/>
              <w:rPr>
                <w:rFonts w:eastAsia="Times New Roman"/>
                <w:color w:val="000000"/>
                <w:sz w:val="24"/>
                <w:szCs w:val="24"/>
              </w:rPr>
            </w:pPr>
            <w:r w:rsidRPr="00792B36">
              <w:rPr>
                <w:rFonts w:eastAsia="Times New Roman"/>
                <w:color w:val="000000"/>
                <w:sz w:val="24"/>
                <w:szCs w:val="24"/>
              </w:rPr>
              <w:t>2018</w:t>
            </w:r>
          </w:p>
        </w:tc>
        <w:tc>
          <w:tcPr>
            <w:tcW w:w="1067" w:type="dxa"/>
            <w:noWrap/>
            <w:vAlign w:val="center"/>
            <w:hideMark/>
          </w:tcPr>
          <w:p w14:paraId="4C4168C0" w14:textId="77777777" w:rsidR="009A0A63" w:rsidRPr="00792B36" w:rsidRDefault="009A0A63" w:rsidP="00A24459">
            <w:pPr>
              <w:spacing w:before="120" w:after="120"/>
              <w:contextualSpacing/>
              <w:jc w:val="center"/>
              <w:rPr>
                <w:rFonts w:eastAsia="Times New Roman"/>
                <w:color w:val="000000"/>
                <w:sz w:val="24"/>
                <w:szCs w:val="24"/>
              </w:rPr>
            </w:pPr>
            <w:r w:rsidRPr="00792B36">
              <w:rPr>
                <w:rFonts w:eastAsia="Times New Roman"/>
                <w:color w:val="000000"/>
                <w:sz w:val="24"/>
                <w:szCs w:val="24"/>
              </w:rPr>
              <w:t>506.8</w:t>
            </w:r>
          </w:p>
        </w:tc>
        <w:tc>
          <w:tcPr>
            <w:tcW w:w="1017" w:type="dxa"/>
            <w:noWrap/>
            <w:vAlign w:val="center"/>
            <w:hideMark/>
          </w:tcPr>
          <w:p w14:paraId="045C7A53" w14:textId="77777777" w:rsidR="009A0A63" w:rsidRPr="00792B36" w:rsidRDefault="009A0A63" w:rsidP="00A24459">
            <w:pPr>
              <w:spacing w:before="120" w:after="120"/>
              <w:contextualSpacing/>
              <w:jc w:val="center"/>
              <w:rPr>
                <w:rFonts w:eastAsia="Times New Roman"/>
                <w:color w:val="000000"/>
                <w:sz w:val="24"/>
                <w:szCs w:val="24"/>
              </w:rPr>
            </w:pPr>
            <w:r w:rsidRPr="00792B36">
              <w:rPr>
                <w:rFonts w:eastAsia="Times New Roman"/>
                <w:color w:val="000000"/>
                <w:sz w:val="24"/>
                <w:szCs w:val="24"/>
              </w:rPr>
              <w:t>4.2</w:t>
            </w:r>
          </w:p>
        </w:tc>
        <w:tc>
          <w:tcPr>
            <w:tcW w:w="1270" w:type="dxa"/>
            <w:noWrap/>
            <w:vAlign w:val="center"/>
            <w:hideMark/>
          </w:tcPr>
          <w:p w14:paraId="6ACD7D32" w14:textId="77777777" w:rsidR="009A0A63" w:rsidRPr="00792B36" w:rsidRDefault="009A0A63" w:rsidP="00A24459">
            <w:pPr>
              <w:spacing w:before="120" w:after="120"/>
              <w:contextualSpacing/>
              <w:jc w:val="center"/>
              <w:rPr>
                <w:rFonts w:eastAsia="Times New Roman"/>
                <w:color w:val="000000"/>
                <w:sz w:val="24"/>
                <w:szCs w:val="24"/>
              </w:rPr>
            </w:pPr>
            <w:r w:rsidRPr="00792B36">
              <w:rPr>
                <w:rFonts w:eastAsia="Times New Roman"/>
                <w:color w:val="000000"/>
                <w:sz w:val="24"/>
                <w:szCs w:val="24"/>
              </w:rPr>
              <w:t>1.1</w:t>
            </w:r>
          </w:p>
        </w:tc>
        <w:tc>
          <w:tcPr>
            <w:tcW w:w="1043" w:type="dxa"/>
            <w:noWrap/>
            <w:vAlign w:val="center"/>
            <w:hideMark/>
          </w:tcPr>
          <w:p w14:paraId="6848C619" w14:textId="77777777" w:rsidR="009A0A63" w:rsidRPr="00792B36" w:rsidRDefault="009A0A63" w:rsidP="00A24459">
            <w:pPr>
              <w:spacing w:before="120" w:after="120"/>
              <w:contextualSpacing/>
              <w:jc w:val="center"/>
              <w:rPr>
                <w:rFonts w:eastAsia="Times New Roman"/>
                <w:color w:val="000000"/>
                <w:sz w:val="24"/>
                <w:szCs w:val="24"/>
              </w:rPr>
            </w:pPr>
            <w:r w:rsidRPr="00792B36">
              <w:rPr>
                <w:rFonts w:eastAsia="Times New Roman"/>
                <w:color w:val="000000"/>
                <w:sz w:val="24"/>
                <w:szCs w:val="24"/>
              </w:rPr>
              <w:t>7,099.8</w:t>
            </w:r>
          </w:p>
        </w:tc>
        <w:tc>
          <w:tcPr>
            <w:tcW w:w="1897" w:type="dxa"/>
            <w:noWrap/>
            <w:vAlign w:val="center"/>
            <w:hideMark/>
          </w:tcPr>
          <w:p w14:paraId="4AE48C51" w14:textId="77777777" w:rsidR="009A0A63" w:rsidRPr="00792B36" w:rsidRDefault="009A0A63" w:rsidP="00A24459">
            <w:pPr>
              <w:spacing w:before="120" w:after="120"/>
              <w:contextualSpacing/>
              <w:jc w:val="center"/>
              <w:rPr>
                <w:rFonts w:eastAsia="Times New Roman"/>
                <w:color w:val="000000"/>
                <w:sz w:val="24"/>
                <w:szCs w:val="24"/>
              </w:rPr>
            </w:pPr>
            <w:r w:rsidRPr="00792B36">
              <w:rPr>
                <w:rFonts w:eastAsia="Times New Roman"/>
                <w:color w:val="000000"/>
                <w:sz w:val="24"/>
                <w:szCs w:val="24"/>
              </w:rPr>
              <w:t>0.8</w:t>
            </w:r>
          </w:p>
        </w:tc>
        <w:tc>
          <w:tcPr>
            <w:tcW w:w="1997" w:type="dxa"/>
            <w:noWrap/>
            <w:vAlign w:val="center"/>
            <w:hideMark/>
          </w:tcPr>
          <w:p w14:paraId="3CE7D418" w14:textId="77777777" w:rsidR="009A0A63" w:rsidRPr="00792B36" w:rsidRDefault="009A0A63" w:rsidP="00A24459">
            <w:pPr>
              <w:spacing w:before="120" w:after="120"/>
              <w:contextualSpacing/>
              <w:jc w:val="center"/>
              <w:rPr>
                <w:rFonts w:eastAsia="Times New Roman"/>
                <w:color w:val="000000"/>
                <w:sz w:val="24"/>
                <w:szCs w:val="24"/>
              </w:rPr>
            </w:pPr>
            <w:r w:rsidRPr="00792B36">
              <w:rPr>
                <w:rFonts w:eastAsia="Times New Roman"/>
                <w:color w:val="000000"/>
                <w:sz w:val="24"/>
                <w:szCs w:val="24"/>
              </w:rPr>
              <w:t>17.8</w:t>
            </w:r>
          </w:p>
        </w:tc>
      </w:tr>
      <w:tr w:rsidR="009A0A63" w:rsidRPr="00792B36" w14:paraId="272C409F" w14:textId="77777777" w:rsidTr="00A24459">
        <w:trPr>
          <w:trHeight w:val="276"/>
        </w:trPr>
        <w:tc>
          <w:tcPr>
            <w:tcW w:w="1060" w:type="dxa"/>
            <w:noWrap/>
            <w:vAlign w:val="center"/>
            <w:hideMark/>
          </w:tcPr>
          <w:p w14:paraId="0806CCD0" w14:textId="77777777" w:rsidR="009A0A63" w:rsidRPr="00792B36" w:rsidRDefault="009A0A63" w:rsidP="00A24459">
            <w:pPr>
              <w:spacing w:before="120" w:after="120"/>
              <w:contextualSpacing/>
              <w:jc w:val="center"/>
              <w:rPr>
                <w:rFonts w:eastAsia="Times New Roman"/>
                <w:color w:val="000000"/>
                <w:sz w:val="24"/>
                <w:szCs w:val="24"/>
              </w:rPr>
            </w:pPr>
            <w:r w:rsidRPr="00792B36">
              <w:rPr>
                <w:rFonts w:eastAsia="Times New Roman"/>
                <w:color w:val="000000"/>
                <w:sz w:val="24"/>
                <w:szCs w:val="24"/>
              </w:rPr>
              <w:t>2019</w:t>
            </w:r>
          </w:p>
        </w:tc>
        <w:tc>
          <w:tcPr>
            <w:tcW w:w="1067" w:type="dxa"/>
            <w:noWrap/>
            <w:vAlign w:val="center"/>
            <w:hideMark/>
          </w:tcPr>
          <w:p w14:paraId="07EBFBF1" w14:textId="77777777" w:rsidR="009A0A63" w:rsidRPr="00792B36" w:rsidRDefault="009A0A63" w:rsidP="00A24459">
            <w:pPr>
              <w:spacing w:before="120" w:after="120"/>
              <w:contextualSpacing/>
              <w:jc w:val="center"/>
              <w:rPr>
                <w:rFonts w:eastAsia="Times New Roman"/>
                <w:color w:val="000000"/>
                <w:sz w:val="24"/>
                <w:szCs w:val="24"/>
              </w:rPr>
            </w:pPr>
            <w:r w:rsidRPr="00792B36">
              <w:rPr>
                <w:rFonts w:eastAsia="Times New Roman"/>
                <w:color w:val="000000"/>
                <w:sz w:val="24"/>
                <w:szCs w:val="24"/>
              </w:rPr>
              <w:t>544.0</w:t>
            </w:r>
          </w:p>
        </w:tc>
        <w:tc>
          <w:tcPr>
            <w:tcW w:w="1017" w:type="dxa"/>
            <w:noWrap/>
            <w:vAlign w:val="center"/>
            <w:hideMark/>
          </w:tcPr>
          <w:p w14:paraId="032CFEC2" w14:textId="77777777" w:rsidR="009A0A63" w:rsidRPr="00792B36" w:rsidRDefault="009A0A63" w:rsidP="00A24459">
            <w:pPr>
              <w:spacing w:before="120" w:after="120"/>
              <w:contextualSpacing/>
              <w:jc w:val="center"/>
              <w:rPr>
                <w:rFonts w:eastAsia="Times New Roman"/>
                <w:color w:val="000000"/>
                <w:sz w:val="24"/>
                <w:szCs w:val="24"/>
              </w:rPr>
            </w:pPr>
            <w:r w:rsidRPr="00792B36">
              <w:rPr>
                <w:rFonts w:eastAsia="Times New Roman"/>
                <w:color w:val="000000"/>
                <w:sz w:val="24"/>
                <w:szCs w:val="24"/>
              </w:rPr>
              <w:t>2.1</w:t>
            </w:r>
          </w:p>
        </w:tc>
        <w:tc>
          <w:tcPr>
            <w:tcW w:w="1270" w:type="dxa"/>
            <w:noWrap/>
            <w:vAlign w:val="center"/>
            <w:hideMark/>
          </w:tcPr>
          <w:p w14:paraId="70360069" w14:textId="77777777" w:rsidR="009A0A63" w:rsidRPr="00792B36" w:rsidRDefault="009A0A63" w:rsidP="00A24459">
            <w:pPr>
              <w:spacing w:before="120" w:after="120"/>
              <w:contextualSpacing/>
              <w:jc w:val="center"/>
              <w:rPr>
                <w:rFonts w:eastAsia="Times New Roman"/>
                <w:color w:val="000000"/>
                <w:sz w:val="24"/>
                <w:szCs w:val="24"/>
              </w:rPr>
            </w:pPr>
            <w:r w:rsidRPr="00792B36">
              <w:rPr>
                <w:rFonts w:eastAsia="Times New Roman"/>
                <w:color w:val="000000"/>
                <w:sz w:val="24"/>
                <w:szCs w:val="24"/>
              </w:rPr>
              <w:t>0.7</w:t>
            </w:r>
          </w:p>
        </w:tc>
        <w:tc>
          <w:tcPr>
            <w:tcW w:w="1043" w:type="dxa"/>
            <w:noWrap/>
            <w:vAlign w:val="center"/>
            <w:hideMark/>
          </w:tcPr>
          <w:p w14:paraId="62BAB53B" w14:textId="77777777" w:rsidR="009A0A63" w:rsidRPr="00792B36" w:rsidRDefault="009A0A63" w:rsidP="00A24459">
            <w:pPr>
              <w:spacing w:before="120" w:after="120"/>
              <w:contextualSpacing/>
              <w:jc w:val="center"/>
              <w:rPr>
                <w:rFonts w:eastAsia="Times New Roman"/>
                <w:color w:val="000000"/>
                <w:sz w:val="24"/>
                <w:szCs w:val="24"/>
              </w:rPr>
            </w:pPr>
            <w:r w:rsidRPr="00792B36">
              <w:rPr>
                <w:rFonts w:eastAsia="Times New Roman"/>
                <w:color w:val="000000"/>
                <w:sz w:val="24"/>
                <w:szCs w:val="24"/>
              </w:rPr>
              <w:t>7,605.7</w:t>
            </w:r>
          </w:p>
        </w:tc>
        <w:tc>
          <w:tcPr>
            <w:tcW w:w="1897" w:type="dxa"/>
            <w:noWrap/>
            <w:vAlign w:val="center"/>
            <w:hideMark/>
          </w:tcPr>
          <w:p w14:paraId="2FC77738" w14:textId="77777777" w:rsidR="009A0A63" w:rsidRPr="00792B36" w:rsidRDefault="009A0A63" w:rsidP="00A24459">
            <w:pPr>
              <w:spacing w:before="120" w:after="120"/>
              <w:contextualSpacing/>
              <w:jc w:val="center"/>
              <w:rPr>
                <w:rFonts w:eastAsia="Times New Roman"/>
                <w:color w:val="000000"/>
                <w:sz w:val="24"/>
                <w:szCs w:val="24"/>
              </w:rPr>
            </w:pPr>
            <w:r w:rsidRPr="00792B36">
              <w:rPr>
                <w:rFonts w:eastAsia="Times New Roman"/>
                <w:color w:val="000000"/>
                <w:sz w:val="24"/>
                <w:szCs w:val="24"/>
              </w:rPr>
              <w:t>0.7</w:t>
            </w:r>
          </w:p>
        </w:tc>
        <w:tc>
          <w:tcPr>
            <w:tcW w:w="1997" w:type="dxa"/>
            <w:noWrap/>
            <w:vAlign w:val="center"/>
            <w:hideMark/>
          </w:tcPr>
          <w:p w14:paraId="12357092" w14:textId="77777777" w:rsidR="009A0A63" w:rsidRPr="00792B36" w:rsidRDefault="009A0A63" w:rsidP="00A24459">
            <w:pPr>
              <w:spacing w:before="120" w:after="120"/>
              <w:contextualSpacing/>
              <w:jc w:val="center"/>
              <w:rPr>
                <w:rFonts w:eastAsia="Times New Roman"/>
                <w:color w:val="000000"/>
                <w:sz w:val="24"/>
                <w:szCs w:val="24"/>
              </w:rPr>
            </w:pPr>
            <w:r w:rsidRPr="00792B36">
              <w:rPr>
                <w:rFonts w:eastAsia="Times New Roman"/>
                <w:color w:val="000000"/>
                <w:sz w:val="24"/>
                <w:szCs w:val="24"/>
              </w:rPr>
              <w:t>15.2</w:t>
            </w:r>
          </w:p>
        </w:tc>
      </w:tr>
      <w:tr w:rsidR="009A0A63" w:rsidRPr="00792B36" w14:paraId="45B68DF4" w14:textId="77777777" w:rsidTr="00A24459">
        <w:trPr>
          <w:trHeight w:val="276"/>
        </w:trPr>
        <w:tc>
          <w:tcPr>
            <w:tcW w:w="1060" w:type="dxa"/>
            <w:noWrap/>
            <w:vAlign w:val="center"/>
            <w:hideMark/>
          </w:tcPr>
          <w:p w14:paraId="67B7D459" w14:textId="77777777" w:rsidR="009A0A63" w:rsidRPr="00792B36" w:rsidRDefault="009A0A63" w:rsidP="00A24459">
            <w:pPr>
              <w:spacing w:before="120" w:after="120"/>
              <w:contextualSpacing/>
              <w:jc w:val="center"/>
              <w:rPr>
                <w:rFonts w:eastAsia="Times New Roman"/>
                <w:color w:val="000000"/>
                <w:sz w:val="24"/>
                <w:szCs w:val="24"/>
              </w:rPr>
            </w:pPr>
            <w:r w:rsidRPr="00792B36">
              <w:rPr>
                <w:rFonts w:eastAsia="Times New Roman"/>
                <w:color w:val="000000"/>
                <w:sz w:val="24"/>
                <w:szCs w:val="24"/>
              </w:rPr>
              <w:t>2020</w:t>
            </w:r>
          </w:p>
        </w:tc>
        <w:tc>
          <w:tcPr>
            <w:tcW w:w="1067" w:type="dxa"/>
            <w:noWrap/>
            <w:vAlign w:val="center"/>
            <w:hideMark/>
          </w:tcPr>
          <w:p w14:paraId="125A4A34" w14:textId="77777777" w:rsidR="009A0A63" w:rsidRPr="00792B36" w:rsidRDefault="009A0A63" w:rsidP="00A24459">
            <w:pPr>
              <w:spacing w:before="120" w:after="120"/>
              <w:contextualSpacing/>
              <w:jc w:val="center"/>
              <w:rPr>
                <w:rFonts w:eastAsia="Times New Roman"/>
                <w:color w:val="000000"/>
                <w:sz w:val="24"/>
                <w:szCs w:val="24"/>
              </w:rPr>
            </w:pPr>
            <w:r w:rsidRPr="00792B36">
              <w:rPr>
                <w:rFonts w:eastAsia="Times New Roman"/>
                <w:color w:val="000000"/>
                <w:sz w:val="24"/>
                <w:szCs w:val="24"/>
              </w:rPr>
              <w:t>500.5</w:t>
            </w:r>
          </w:p>
        </w:tc>
        <w:tc>
          <w:tcPr>
            <w:tcW w:w="1017" w:type="dxa"/>
            <w:noWrap/>
            <w:vAlign w:val="center"/>
            <w:hideMark/>
          </w:tcPr>
          <w:p w14:paraId="2CDD67A3" w14:textId="77777777" w:rsidR="009A0A63" w:rsidRPr="00792B36" w:rsidRDefault="009A0A63" w:rsidP="00A24459">
            <w:pPr>
              <w:spacing w:before="120" w:after="120"/>
              <w:contextualSpacing/>
              <w:jc w:val="center"/>
              <w:rPr>
                <w:rFonts w:eastAsia="Times New Roman"/>
                <w:color w:val="000000"/>
                <w:sz w:val="24"/>
                <w:szCs w:val="24"/>
              </w:rPr>
            </w:pPr>
            <w:r w:rsidRPr="00792B36">
              <w:rPr>
                <w:rFonts w:eastAsia="Times New Roman"/>
                <w:color w:val="000000"/>
                <w:sz w:val="24"/>
                <w:szCs w:val="24"/>
              </w:rPr>
              <w:t>-6.1</w:t>
            </w:r>
          </w:p>
        </w:tc>
        <w:tc>
          <w:tcPr>
            <w:tcW w:w="1270" w:type="dxa"/>
            <w:noWrap/>
            <w:vAlign w:val="center"/>
            <w:hideMark/>
          </w:tcPr>
          <w:p w14:paraId="44DD9B47" w14:textId="77777777" w:rsidR="009A0A63" w:rsidRPr="00792B36" w:rsidRDefault="009A0A63" w:rsidP="00A24459">
            <w:pPr>
              <w:spacing w:before="120" w:after="120"/>
              <w:contextualSpacing/>
              <w:jc w:val="center"/>
              <w:rPr>
                <w:rFonts w:eastAsia="Times New Roman"/>
                <w:color w:val="000000"/>
                <w:sz w:val="24"/>
                <w:szCs w:val="24"/>
              </w:rPr>
            </w:pPr>
            <w:r w:rsidRPr="00792B36">
              <w:rPr>
                <w:rFonts w:eastAsia="Times New Roman"/>
                <w:color w:val="000000"/>
                <w:sz w:val="24"/>
                <w:szCs w:val="24"/>
              </w:rPr>
              <w:t>-0.8</w:t>
            </w:r>
          </w:p>
        </w:tc>
        <w:tc>
          <w:tcPr>
            <w:tcW w:w="1043" w:type="dxa"/>
            <w:noWrap/>
            <w:vAlign w:val="center"/>
            <w:hideMark/>
          </w:tcPr>
          <w:p w14:paraId="049ABC14" w14:textId="77777777" w:rsidR="009A0A63" w:rsidRPr="00792B36" w:rsidRDefault="009A0A63" w:rsidP="00A24459">
            <w:pPr>
              <w:spacing w:before="120" w:after="120"/>
              <w:contextualSpacing/>
              <w:jc w:val="center"/>
              <w:rPr>
                <w:rFonts w:eastAsia="Times New Roman"/>
                <w:color w:val="000000"/>
                <w:sz w:val="24"/>
                <w:szCs w:val="24"/>
              </w:rPr>
            </w:pPr>
            <w:r w:rsidRPr="00792B36">
              <w:rPr>
                <w:rFonts w:eastAsia="Times New Roman"/>
                <w:color w:val="000000"/>
                <w:sz w:val="24"/>
                <w:szCs w:val="24"/>
              </w:rPr>
              <w:t>6,985.6</w:t>
            </w:r>
          </w:p>
        </w:tc>
        <w:tc>
          <w:tcPr>
            <w:tcW w:w="1897" w:type="dxa"/>
            <w:noWrap/>
            <w:vAlign w:val="center"/>
            <w:hideMark/>
          </w:tcPr>
          <w:p w14:paraId="3F2DF11B" w14:textId="77777777" w:rsidR="009A0A63" w:rsidRPr="00792B36" w:rsidRDefault="009A0A63" w:rsidP="00A24459">
            <w:pPr>
              <w:spacing w:before="120" w:after="120"/>
              <w:contextualSpacing/>
              <w:jc w:val="center"/>
              <w:rPr>
                <w:rFonts w:eastAsia="Times New Roman"/>
                <w:color w:val="000000"/>
                <w:sz w:val="24"/>
                <w:szCs w:val="24"/>
              </w:rPr>
            </w:pPr>
            <w:r w:rsidRPr="00792B36">
              <w:rPr>
                <w:rFonts w:eastAsia="Times New Roman"/>
                <w:color w:val="000000"/>
                <w:sz w:val="24"/>
                <w:szCs w:val="24"/>
              </w:rPr>
              <w:t>1.1</w:t>
            </w:r>
          </w:p>
        </w:tc>
        <w:tc>
          <w:tcPr>
            <w:tcW w:w="1997" w:type="dxa"/>
            <w:noWrap/>
            <w:vAlign w:val="center"/>
            <w:hideMark/>
          </w:tcPr>
          <w:p w14:paraId="6087683B" w14:textId="77777777" w:rsidR="009A0A63" w:rsidRPr="00792B36" w:rsidRDefault="009A0A63" w:rsidP="00A24459">
            <w:pPr>
              <w:spacing w:before="120" w:after="120"/>
              <w:contextualSpacing/>
              <w:jc w:val="center"/>
              <w:rPr>
                <w:rFonts w:eastAsia="Times New Roman"/>
                <w:color w:val="000000"/>
                <w:sz w:val="24"/>
                <w:szCs w:val="24"/>
              </w:rPr>
            </w:pPr>
            <w:r w:rsidRPr="00792B36">
              <w:rPr>
                <w:rFonts w:eastAsia="Times New Roman"/>
                <w:color w:val="000000"/>
                <w:sz w:val="24"/>
                <w:szCs w:val="24"/>
              </w:rPr>
              <w:t>15.1</w:t>
            </w:r>
          </w:p>
        </w:tc>
      </w:tr>
      <w:tr w:rsidR="009A0A63" w:rsidRPr="00792B36" w14:paraId="239DD9A7" w14:textId="77777777" w:rsidTr="00A24459">
        <w:trPr>
          <w:trHeight w:val="276"/>
        </w:trPr>
        <w:tc>
          <w:tcPr>
            <w:tcW w:w="1060" w:type="dxa"/>
            <w:noWrap/>
            <w:vAlign w:val="center"/>
            <w:hideMark/>
          </w:tcPr>
          <w:p w14:paraId="0770A069" w14:textId="77777777" w:rsidR="009A0A63" w:rsidRPr="00792B36" w:rsidRDefault="009A0A63" w:rsidP="00A24459">
            <w:pPr>
              <w:spacing w:before="120" w:after="120"/>
              <w:contextualSpacing/>
              <w:jc w:val="center"/>
              <w:rPr>
                <w:rFonts w:eastAsia="Times New Roman"/>
                <w:color w:val="000000"/>
                <w:sz w:val="24"/>
                <w:szCs w:val="24"/>
              </w:rPr>
            </w:pPr>
            <w:r w:rsidRPr="00792B36">
              <w:rPr>
                <w:rFonts w:eastAsia="Times New Roman"/>
                <w:color w:val="000000"/>
                <w:sz w:val="24"/>
                <w:szCs w:val="24"/>
              </w:rPr>
              <w:t>2021</w:t>
            </w:r>
          </w:p>
        </w:tc>
        <w:tc>
          <w:tcPr>
            <w:tcW w:w="1067" w:type="dxa"/>
            <w:noWrap/>
            <w:vAlign w:val="center"/>
            <w:hideMark/>
          </w:tcPr>
          <w:p w14:paraId="06C69CA9" w14:textId="77777777" w:rsidR="009A0A63" w:rsidRPr="00792B36" w:rsidRDefault="009A0A63" w:rsidP="00A24459">
            <w:pPr>
              <w:spacing w:before="120" w:after="120"/>
              <w:contextualSpacing/>
              <w:jc w:val="center"/>
              <w:rPr>
                <w:rFonts w:eastAsia="Times New Roman"/>
                <w:color w:val="000000"/>
                <w:sz w:val="24"/>
                <w:szCs w:val="24"/>
              </w:rPr>
            </w:pPr>
            <w:r w:rsidRPr="00792B36">
              <w:rPr>
                <w:rFonts w:eastAsia="Times New Roman"/>
                <w:color w:val="000000"/>
                <w:sz w:val="24"/>
                <w:szCs w:val="24"/>
              </w:rPr>
              <w:t>506.2</w:t>
            </w:r>
          </w:p>
        </w:tc>
        <w:tc>
          <w:tcPr>
            <w:tcW w:w="1017" w:type="dxa"/>
            <w:noWrap/>
            <w:vAlign w:val="center"/>
            <w:hideMark/>
          </w:tcPr>
          <w:p w14:paraId="0C74C1EF" w14:textId="77777777" w:rsidR="009A0A63" w:rsidRPr="00792B36" w:rsidRDefault="009A0A63" w:rsidP="00A24459">
            <w:pPr>
              <w:spacing w:before="120" w:after="120"/>
              <w:contextualSpacing/>
              <w:jc w:val="center"/>
              <w:rPr>
                <w:rFonts w:eastAsia="Times New Roman"/>
                <w:color w:val="000000"/>
                <w:sz w:val="24"/>
                <w:szCs w:val="24"/>
              </w:rPr>
            </w:pPr>
            <w:r w:rsidRPr="00792B36">
              <w:rPr>
                <w:rFonts w:eastAsia="Times New Roman"/>
                <w:color w:val="000000"/>
                <w:sz w:val="24"/>
                <w:szCs w:val="24"/>
              </w:rPr>
              <w:t>1.6</w:t>
            </w:r>
          </w:p>
        </w:tc>
        <w:tc>
          <w:tcPr>
            <w:tcW w:w="1270" w:type="dxa"/>
            <w:noWrap/>
            <w:vAlign w:val="center"/>
            <w:hideMark/>
          </w:tcPr>
          <w:p w14:paraId="7640ACB0" w14:textId="77777777" w:rsidR="009A0A63" w:rsidRPr="00792B36" w:rsidRDefault="009A0A63" w:rsidP="00A24459">
            <w:pPr>
              <w:spacing w:before="120" w:after="120"/>
              <w:contextualSpacing/>
              <w:jc w:val="center"/>
              <w:rPr>
                <w:rFonts w:eastAsia="Times New Roman"/>
                <w:color w:val="000000"/>
                <w:sz w:val="24"/>
                <w:szCs w:val="24"/>
              </w:rPr>
            </w:pPr>
            <w:r w:rsidRPr="00792B36">
              <w:rPr>
                <w:rFonts w:eastAsia="Times New Roman"/>
                <w:color w:val="000000"/>
                <w:sz w:val="24"/>
                <w:szCs w:val="24"/>
              </w:rPr>
              <w:t>1.2</w:t>
            </w:r>
          </w:p>
        </w:tc>
        <w:tc>
          <w:tcPr>
            <w:tcW w:w="1043" w:type="dxa"/>
            <w:noWrap/>
            <w:vAlign w:val="center"/>
            <w:hideMark/>
          </w:tcPr>
          <w:p w14:paraId="2A2DC4FD" w14:textId="77777777" w:rsidR="009A0A63" w:rsidRPr="00792B36" w:rsidRDefault="009A0A63" w:rsidP="00A24459">
            <w:pPr>
              <w:spacing w:before="120" w:after="120"/>
              <w:contextualSpacing/>
              <w:jc w:val="center"/>
              <w:rPr>
                <w:rFonts w:eastAsia="Times New Roman"/>
                <w:color w:val="000000"/>
                <w:sz w:val="24"/>
                <w:szCs w:val="24"/>
              </w:rPr>
            </w:pPr>
            <w:r w:rsidRPr="00792B36">
              <w:rPr>
                <w:rFonts w:eastAsia="Times New Roman"/>
                <w:color w:val="000000"/>
                <w:sz w:val="24"/>
                <w:szCs w:val="24"/>
              </w:rPr>
              <w:t>7,057.2</w:t>
            </w:r>
          </w:p>
        </w:tc>
        <w:tc>
          <w:tcPr>
            <w:tcW w:w="1897" w:type="dxa"/>
            <w:noWrap/>
            <w:vAlign w:val="center"/>
            <w:hideMark/>
          </w:tcPr>
          <w:p w14:paraId="38EAEAB6" w14:textId="77777777" w:rsidR="009A0A63" w:rsidRPr="00792B36" w:rsidRDefault="009A0A63" w:rsidP="00A24459">
            <w:pPr>
              <w:spacing w:before="120" w:after="120"/>
              <w:contextualSpacing/>
              <w:jc w:val="center"/>
              <w:rPr>
                <w:rFonts w:eastAsia="Times New Roman"/>
                <w:color w:val="000000"/>
                <w:sz w:val="24"/>
                <w:szCs w:val="24"/>
              </w:rPr>
            </w:pPr>
            <w:r w:rsidRPr="00792B36">
              <w:rPr>
                <w:rFonts w:eastAsia="Times New Roman"/>
                <w:color w:val="000000"/>
                <w:sz w:val="24"/>
                <w:szCs w:val="24"/>
              </w:rPr>
              <w:t>1.2</w:t>
            </w:r>
          </w:p>
        </w:tc>
        <w:tc>
          <w:tcPr>
            <w:tcW w:w="1997" w:type="dxa"/>
            <w:noWrap/>
            <w:vAlign w:val="center"/>
            <w:hideMark/>
          </w:tcPr>
          <w:p w14:paraId="273B28ED" w14:textId="77777777" w:rsidR="009A0A63" w:rsidRPr="00792B36" w:rsidRDefault="009A0A63" w:rsidP="00A24459">
            <w:pPr>
              <w:spacing w:before="120" w:after="120"/>
              <w:contextualSpacing/>
              <w:jc w:val="center"/>
              <w:rPr>
                <w:rFonts w:eastAsia="Times New Roman"/>
                <w:color w:val="000000"/>
                <w:sz w:val="24"/>
                <w:szCs w:val="24"/>
              </w:rPr>
            </w:pPr>
            <w:r w:rsidRPr="00792B36">
              <w:rPr>
                <w:rFonts w:eastAsia="Times New Roman"/>
                <w:color w:val="000000"/>
                <w:sz w:val="24"/>
                <w:szCs w:val="24"/>
              </w:rPr>
              <w:t>14.1</w:t>
            </w:r>
          </w:p>
        </w:tc>
      </w:tr>
      <w:tr w:rsidR="009A0A63" w:rsidRPr="00792B36" w14:paraId="424EC3CB" w14:textId="77777777" w:rsidTr="00A24459">
        <w:trPr>
          <w:trHeight w:val="276"/>
        </w:trPr>
        <w:tc>
          <w:tcPr>
            <w:tcW w:w="1060" w:type="dxa"/>
            <w:noWrap/>
            <w:vAlign w:val="center"/>
            <w:hideMark/>
          </w:tcPr>
          <w:p w14:paraId="79B38F11" w14:textId="77777777" w:rsidR="009A0A63" w:rsidRPr="00792B36" w:rsidRDefault="009A0A63" w:rsidP="00A24459">
            <w:pPr>
              <w:spacing w:before="120" w:after="120"/>
              <w:contextualSpacing/>
              <w:jc w:val="center"/>
              <w:rPr>
                <w:rFonts w:eastAsia="Times New Roman"/>
                <w:color w:val="000000"/>
                <w:sz w:val="24"/>
                <w:szCs w:val="24"/>
              </w:rPr>
            </w:pPr>
            <w:r w:rsidRPr="00792B36">
              <w:rPr>
                <w:rFonts w:eastAsia="Times New Roman"/>
                <w:color w:val="000000"/>
                <w:sz w:val="24"/>
                <w:szCs w:val="24"/>
              </w:rPr>
              <w:t>2022</w:t>
            </w:r>
          </w:p>
        </w:tc>
        <w:tc>
          <w:tcPr>
            <w:tcW w:w="1067" w:type="dxa"/>
            <w:noWrap/>
            <w:vAlign w:val="center"/>
            <w:hideMark/>
          </w:tcPr>
          <w:p w14:paraId="7884703D" w14:textId="77777777" w:rsidR="009A0A63" w:rsidRPr="00792B36" w:rsidRDefault="009A0A63" w:rsidP="00A24459">
            <w:pPr>
              <w:spacing w:before="120" w:after="120"/>
              <w:contextualSpacing/>
              <w:jc w:val="center"/>
              <w:rPr>
                <w:rFonts w:eastAsia="Times New Roman"/>
                <w:color w:val="000000"/>
                <w:sz w:val="24"/>
                <w:szCs w:val="24"/>
              </w:rPr>
            </w:pPr>
            <w:r w:rsidRPr="00792B36">
              <w:rPr>
                <w:rFonts w:eastAsia="Times New Roman"/>
                <w:color w:val="000000"/>
                <w:sz w:val="24"/>
                <w:szCs w:val="24"/>
              </w:rPr>
              <w:t>495.6</w:t>
            </w:r>
          </w:p>
        </w:tc>
        <w:tc>
          <w:tcPr>
            <w:tcW w:w="1017" w:type="dxa"/>
            <w:noWrap/>
            <w:vAlign w:val="center"/>
            <w:hideMark/>
          </w:tcPr>
          <w:p w14:paraId="0BD2D81D" w14:textId="77777777" w:rsidR="009A0A63" w:rsidRPr="00792B36" w:rsidRDefault="009A0A63" w:rsidP="00A24459">
            <w:pPr>
              <w:spacing w:before="120" w:after="120"/>
              <w:contextualSpacing/>
              <w:jc w:val="center"/>
              <w:rPr>
                <w:rFonts w:eastAsia="Times New Roman"/>
                <w:color w:val="000000"/>
                <w:sz w:val="24"/>
                <w:szCs w:val="24"/>
              </w:rPr>
            </w:pPr>
            <w:r w:rsidRPr="00792B36">
              <w:rPr>
                <w:rFonts w:eastAsia="Times New Roman"/>
                <w:color w:val="000000"/>
                <w:sz w:val="24"/>
                <w:szCs w:val="24"/>
              </w:rPr>
              <w:t>2.6</w:t>
            </w:r>
          </w:p>
        </w:tc>
        <w:tc>
          <w:tcPr>
            <w:tcW w:w="1270" w:type="dxa"/>
            <w:noWrap/>
            <w:vAlign w:val="center"/>
            <w:hideMark/>
          </w:tcPr>
          <w:p w14:paraId="32B97F11" w14:textId="77777777" w:rsidR="009A0A63" w:rsidRPr="00792B36" w:rsidRDefault="009A0A63" w:rsidP="00A24459">
            <w:pPr>
              <w:spacing w:before="120" w:after="120"/>
              <w:contextualSpacing/>
              <w:jc w:val="center"/>
              <w:rPr>
                <w:rFonts w:eastAsia="Times New Roman"/>
                <w:color w:val="000000"/>
                <w:sz w:val="24"/>
                <w:szCs w:val="24"/>
              </w:rPr>
            </w:pPr>
            <w:r w:rsidRPr="00792B36">
              <w:rPr>
                <w:rFonts w:eastAsia="Times New Roman"/>
                <w:color w:val="000000"/>
                <w:sz w:val="24"/>
                <w:szCs w:val="24"/>
              </w:rPr>
              <w:t>-1.6</w:t>
            </w:r>
          </w:p>
        </w:tc>
        <w:tc>
          <w:tcPr>
            <w:tcW w:w="1043" w:type="dxa"/>
            <w:noWrap/>
            <w:vAlign w:val="center"/>
            <w:hideMark/>
          </w:tcPr>
          <w:p w14:paraId="114C814D" w14:textId="77777777" w:rsidR="009A0A63" w:rsidRPr="00792B36" w:rsidRDefault="009A0A63" w:rsidP="00A24459">
            <w:pPr>
              <w:spacing w:before="120" w:after="120"/>
              <w:contextualSpacing/>
              <w:jc w:val="center"/>
              <w:rPr>
                <w:rFonts w:eastAsia="Times New Roman"/>
                <w:color w:val="000000"/>
                <w:sz w:val="24"/>
                <w:szCs w:val="24"/>
              </w:rPr>
            </w:pPr>
            <w:r w:rsidRPr="00792B36">
              <w:rPr>
                <w:rFonts w:eastAsia="Times New Roman"/>
                <w:color w:val="000000"/>
                <w:sz w:val="24"/>
                <w:szCs w:val="24"/>
              </w:rPr>
              <w:t>6,909.4</w:t>
            </w:r>
          </w:p>
        </w:tc>
        <w:tc>
          <w:tcPr>
            <w:tcW w:w="1897" w:type="dxa"/>
            <w:noWrap/>
            <w:vAlign w:val="center"/>
            <w:hideMark/>
          </w:tcPr>
          <w:p w14:paraId="3F091D72" w14:textId="77777777" w:rsidR="009A0A63" w:rsidRPr="00792B36" w:rsidRDefault="009A0A63" w:rsidP="00A24459">
            <w:pPr>
              <w:spacing w:before="120" w:after="120"/>
              <w:contextualSpacing/>
              <w:jc w:val="center"/>
              <w:rPr>
                <w:rFonts w:eastAsia="Times New Roman"/>
                <w:color w:val="000000"/>
                <w:sz w:val="24"/>
                <w:szCs w:val="24"/>
              </w:rPr>
            </w:pPr>
            <w:r w:rsidRPr="00792B36">
              <w:rPr>
                <w:rFonts w:eastAsia="Times New Roman"/>
                <w:color w:val="000000"/>
                <w:sz w:val="24"/>
                <w:szCs w:val="24"/>
              </w:rPr>
              <w:t>0.9</w:t>
            </w:r>
          </w:p>
        </w:tc>
        <w:tc>
          <w:tcPr>
            <w:tcW w:w="1997" w:type="dxa"/>
            <w:noWrap/>
            <w:vAlign w:val="center"/>
            <w:hideMark/>
          </w:tcPr>
          <w:p w14:paraId="5BBB7A46" w14:textId="77777777" w:rsidR="009A0A63" w:rsidRPr="00792B36" w:rsidRDefault="009A0A63" w:rsidP="00A24459">
            <w:pPr>
              <w:spacing w:before="120" w:after="120"/>
              <w:contextualSpacing/>
              <w:jc w:val="center"/>
              <w:rPr>
                <w:rFonts w:eastAsia="Times New Roman"/>
                <w:color w:val="000000"/>
                <w:sz w:val="24"/>
                <w:szCs w:val="24"/>
              </w:rPr>
            </w:pPr>
            <w:r w:rsidRPr="00792B36">
              <w:rPr>
                <w:rFonts w:eastAsia="Times New Roman"/>
                <w:color w:val="000000"/>
                <w:sz w:val="24"/>
                <w:szCs w:val="24"/>
              </w:rPr>
              <w:t>9.9</w:t>
            </w:r>
          </w:p>
        </w:tc>
      </w:tr>
      <w:tr w:rsidR="009A0A63" w:rsidRPr="00792B36" w14:paraId="64C83540" w14:textId="77777777" w:rsidTr="00A24459">
        <w:trPr>
          <w:trHeight w:val="276"/>
        </w:trPr>
        <w:tc>
          <w:tcPr>
            <w:tcW w:w="1060" w:type="dxa"/>
            <w:noWrap/>
            <w:vAlign w:val="center"/>
            <w:hideMark/>
          </w:tcPr>
          <w:p w14:paraId="62BA1FF5" w14:textId="77777777" w:rsidR="009A0A63" w:rsidRPr="00792B36" w:rsidRDefault="009A0A63" w:rsidP="00A24459">
            <w:pPr>
              <w:spacing w:before="120" w:after="120"/>
              <w:contextualSpacing/>
              <w:jc w:val="center"/>
              <w:rPr>
                <w:rFonts w:eastAsia="Times New Roman"/>
                <w:color w:val="000000"/>
                <w:sz w:val="24"/>
                <w:szCs w:val="24"/>
              </w:rPr>
            </w:pPr>
            <w:r w:rsidRPr="00792B36">
              <w:rPr>
                <w:rFonts w:eastAsia="Times New Roman"/>
                <w:color w:val="000000"/>
                <w:sz w:val="24"/>
                <w:szCs w:val="24"/>
              </w:rPr>
              <w:t>2023</w:t>
            </w:r>
          </w:p>
        </w:tc>
        <w:tc>
          <w:tcPr>
            <w:tcW w:w="1067" w:type="dxa"/>
            <w:noWrap/>
            <w:vAlign w:val="center"/>
            <w:hideMark/>
          </w:tcPr>
          <w:p w14:paraId="1968D259" w14:textId="77777777" w:rsidR="009A0A63" w:rsidRPr="00792B36" w:rsidRDefault="009A0A63" w:rsidP="00A24459">
            <w:pPr>
              <w:spacing w:before="120" w:after="120"/>
              <w:contextualSpacing/>
              <w:jc w:val="center"/>
              <w:rPr>
                <w:rFonts w:eastAsia="Times New Roman"/>
                <w:color w:val="000000"/>
                <w:sz w:val="24"/>
                <w:szCs w:val="24"/>
              </w:rPr>
            </w:pPr>
            <w:r w:rsidRPr="00792B36">
              <w:rPr>
                <w:rFonts w:eastAsia="Times New Roman"/>
                <w:color w:val="000000"/>
                <w:sz w:val="24"/>
                <w:szCs w:val="24"/>
              </w:rPr>
              <w:t>515.9</w:t>
            </w:r>
          </w:p>
        </w:tc>
        <w:tc>
          <w:tcPr>
            <w:tcW w:w="1017" w:type="dxa"/>
            <w:noWrap/>
            <w:vAlign w:val="center"/>
            <w:hideMark/>
          </w:tcPr>
          <w:p w14:paraId="655A59BA" w14:textId="77777777" w:rsidR="009A0A63" w:rsidRPr="00792B36" w:rsidRDefault="009A0A63" w:rsidP="00A24459">
            <w:pPr>
              <w:spacing w:before="120" w:after="120"/>
              <w:contextualSpacing/>
              <w:jc w:val="center"/>
              <w:rPr>
                <w:rFonts w:eastAsia="Times New Roman"/>
                <w:color w:val="000000"/>
                <w:sz w:val="24"/>
                <w:szCs w:val="24"/>
              </w:rPr>
            </w:pPr>
            <w:r w:rsidRPr="00792B36">
              <w:rPr>
                <w:rFonts w:eastAsia="Times New Roman"/>
                <w:color w:val="000000"/>
                <w:sz w:val="24"/>
                <w:szCs w:val="24"/>
              </w:rPr>
              <w:t>2.0</w:t>
            </w:r>
          </w:p>
        </w:tc>
        <w:tc>
          <w:tcPr>
            <w:tcW w:w="1270" w:type="dxa"/>
            <w:noWrap/>
            <w:vAlign w:val="center"/>
            <w:hideMark/>
          </w:tcPr>
          <w:p w14:paraId="563113A7" w14:textId="77777777" w:rsidR="009A0A63" w:rsidRPr="00792B36" w:rsidRDefault="009A0A63" w:rsidP="00A24459">
            <w:pPr>
              <w:spacing w:before="120" w:after="120"/>
              <w:contextualSpacing/>
              <w:jc w:val="center"/>
              <w:rPr>
                <w:rFonts w:eastAsia="Times New Roman"/>
                <w:color w:val="000000"/>
                <w:sz w:val="24"/>
                <w:szCs w:val="24"/>
              </w:rPr>
            </w:pPr>
            <w:r w:rsidRPr="00792B36">
              <w:rPr>
                <w:rFonts w:eastAsia="Times New Roman"/>
                <w:color w:val="000000"/>
                <w:sz w:val="24"/>
                <w:szCs w:val="24"/>
              </w:rPr>
              <w:t>8.5</w:t>
            </w:r>
          </w:p>
        </w:tc>
        <w:tc>
          <w:tcPr>
            <w:tcW w:w="1043" w:type="dxa"/>
            <w:noWrap/>
            <w:vAlign w:val="center"/>
            <w:hideMark/>
          </w:tcPr>
          <w:p w14:paraId="33CBDAC4" w14:textId="77777777" w:rsidR="009A0A63" w:rsidRPr="00792B36" w:rsidRDefault="009A0A63" w:rsidP="00A24459">
            <w:pPr>
              <w:spacing w:before="120" w:after="120"/>
              <w:contextualSpacing/>
              <w:jc w:val="center"/>
              <w:rPr>
                <w:rFonts w:eastAsia="Times New Roman"/>
                <w:color w:val="000000"/>
                <w:sz w:val="24"/>
                <w:szCs w:val="24"/>
              </w:rPr>
            </w:pPr>
            <w:r w:rsidRPr="00792B36">
              <w:rPr>
                <w:rFonts w:eastAsia="Times New Roman"/>
                <w:color w:val="000000"/>
                <w:sz w:val="24"/>
                <w:szCs w:val="24"/>
              </w:rPr>
              <w:t>7,195.1</w:t>
            </w:r>
          </w:p>
        </w:tc>
        <w:tc>
          <w:tcPr>
            <w:tcW w:w="1897" w:type="dxa"/>
            <w:noWrap/>
            <w:vAlign w:val="center"/>
            <w:hideMark/>
          </w:tcPr>
          <w:p w14:paraId="2E9456AA" w14:textId="77777777" w:rsidR="009A0A63" w:rsidRPr="00792B36" w:rsidRDefault="009A0A63" w:rsidP="00A24459">
            <w:pPr>
              <w:spacing w:before="120" w:after="120"/>
              <w:contextualSpacing/>
              <w:jc w:val="center"/>
              <w:rPr>
                <w:rFonts w:eastAsia="Times New Roman"/>
                <w:color w:val="000000"/>
                <w:sz w:val="24"/>
                <w:szCs w:val="24"/>
              </w:rPr>
            </w:pPr>
            <w:r w:rsidRPr="00792B36">
              <w:rPr>
                <w:rFonts w:eastAsia="Times New Roman"/>
                <w:color w:val="000000"/>
                <w:sz w:val="24"/>
                <w:szCs w:val="24"/>
              </w:rPr>
              <w:t>0.7</w:t>
            </w:r>
          </w:p>
        </w:tc>
        <w:tc>
          <w:tcPr>
            <w:tcW w:w="1997" w:type="dxa"/>
            <w:noWrap/>
            <w:vAlign w:val="center"/>
            <w:hideMark/>
          </w:tcPr>
          <w:p w14:paraId="0BCD79D9" w14:textId="77777777" w:rsidR="009A0A63" w:rsidRPr="00792B36" w:rsidRDefault="009A0A63" w:rsidP="00A24459">
            <w:pPr>
              <w:spacing w:before="120" w:after="120"/>
              <w:contextualSpacing/>
              <w:jc w:val="center"/>
              <w:rPr>
                <w:rFonts w:eastAsia="Times New Roman"/>
                <w:color w:val="000000"/>
                <w:sz w:val="24"/>
                <w:szCs w:val="24"/>
              </w:rPr>
            </w:pPr>
            <w:r w:rsidRPr="00792B36">
              <w:rPr>
                <w:rFonts w:eastAsia="Times New Roman"/>
                <w:color w:val="000000"/>
                <w:sz w:val="24"/>
                <w:szCs w:val="24"/>
              </w:rPr>
              <w:t>9.9</w:t>
            </w:r>
          </w:p>
        </w:tc>
      </w:tr>
      <w:tr w:rsidR="009A0A63" w:rsidRPr="00792B36" w14:paraId="667E5495" w14:textId="77777777" w:rsidTr="00A24459">
        <w:trPr>
          <w:trHeight w:val="276"/>
        </w:trPr>
        <w:tc>
          <w:tcPr>
            <w:tcW w:w="1060" w:type="dxa"/>
            <w:noWrap/>
            <w:vAlign w:val="center"/>
            <w:hideMark/>
          </w:tcPr>
          <w:p w14:paraId="6FAFB3A9" w14:textId="77777777" w:rsidR="009A0A63" w:rsidRPr="00792B36" w:rsidRDefault="009A0A63" w:rsidP="00A24459">
            <w:pPr>
              <w:spacing w:before="120" w:after="120"/>
              <w:contextualSpacing/>
              <w:jc w:val="center"/>
              <w:rPr>
                <w:rFonts w:eastAsia="Times New Roman"/>
                <w:color w:val="000000"/>
                <w:sz w:val="24"/>
                <w:szCs w:val="24"/>
              </w:rPr>
            </w:pPr>
            <w:r w:rsidRPr="00792B36">
              <w:rPr>
                <w:rFonts w:eastAsia="Times New Roman"/>
                <w:color w:val="000000"/>
                <w:sz w:val="24"/>
                <w:szCs w:val="24"/>
              </w:rPr>
              <w:t>2024</w:t>
            </w:r>
          </w:p>
        </w:tc>
        <w:tc>
          <w:tcPr>
            <w:tcW w:w="1067" w:type="dxa"/>
            <w:noWrap/>
            <w:vAlign w:val="center"/>
            <w:hideMark/>
          </w:tcPr>
          <w:p w14:paraId="428C4B50" w14:textId="77777777" w:rsidR="009A0A63" w:rsidRPr="00792B36" w:rsidRDefault="009A0A63" w:rsidP="00A24459">
            <w:pPr>
              <w:spacing w:before="120" w:after="120"/>
              <w:contextualSpacing/>
              <w:jc w:val="center"/>
              <w:rPr>
                <w:rFonts w:eastAsia="Times New Roman"/>
                <w:color w:val="000000"/>
                <w:sz w:val="24"/>
                <w:szCs w:val="24"/>
              </w:rPr>
            </w:pPr>
            <w:r w:rsidRPr="00792B36">
              <w:rPr>
                <w:rFonts w:eastAsia="Times New Roman"/>
                <w:color w:val="000000"/>
                <w:sz w:val="24"/>
                <w:szCs w:val="24"/>
              </w:rPr>
              <w:t>526.4</w:t>
            </w:r>
          </w:p>
        </w:tc>
        <w:tc>
          <w:tcPr>
            <w:tcW w:w="1017" w:type="dxa"/>
            <w:noWrap/>
            <w:vAlign w:val="center"/>
            <w:hideMark/>
          </w:tcPr>
          <w:p w14:paraId="1B320BB7" w14:textId="77777777" w:rsidR="009A0A63" w:rsidRPr="00792B36" w:rsidRDefault="009A0A63" w:rsidP="00A24459">
            <w:pPr>
              <w:spacing w:before="120" w:after="120"/>
              <w:contextualSpacing/>
              <w:jc w:val="center"/>
              <w:rPr>
                <w:rFonts w:eastAsia="Times New Roman"/>
                <w:color w:val="000000"/>
                <w:sz w:val="24"/>
                <w:szCs w:val="24"/>
              </w:rPr>
            </w:pPr>
            <w:r w:rsidRPr="00792B36">
              <w:rPr>
                <w:rFonts w:eastAsia="Times New Roman"/>
                <w:color w:val="000000"/>
                <w:sz w:val="24"/>
                <w:szCs w:val="24"/>
              </w:rPr>
              <w:t>2.5</w:t>
            </w:r>
          </w:p>
        </w:tc>
        <w:tc>
          <w:tcPr>
            <w:tcW w:w="1270" w:type="dxa"/>
            <w:noWrap/>
            <w:vAlign w:val="center"/>
            <w:hideMark/>
          </w:tcPr>
          <w:p w14:paraId="69F8222D" w14:textId="77777777" w:rsidR="009A0A63" w:rsidRPr="00792B36" w:rsidRDefault="009A0A63" w:rsidP="00A24459">
            <w:pPr>
              <w:spacing w:before="120" w:after="120"/>
              <w:contextualSpacing/>
              <w:jc w:val="center"/>
              <w:rPr>
                <w:rFonts w:eastAsia="Times New Roman"/>
                <w:color w:val="000000"/>
                <w:sz w:val="24"/>
                <w:szCs w:val="24"/>
              </w:rPr>
            </w:pPr>
            <w:r w:rsidRPr="00792B36">
              <w:rPr>
                <w:rFonts w:eastAsia="Times New Roman"/>
                <w:color w:val="000000"/>
                <w:sz w:val="24"/>
                <w:szCs w:val="24"/>
              </w:rPr>
              <w:t>1.4</w:t>
            </w:r>
          </w:p>
        </w:tc>
        <w:tc>
          <w:tcPr>
            <w:tcW w:w="1043" w:type="dxa"/>
            <w:noWrap/>
            <w:vAlign w:val="center"/>
            <w:hideMark/>
          </w:tcPr>
          <w:p w14:paraId="6F44091D" w14:textId="77777777" w:rsidR="009A0A63" w:rsidRPr="00792B36" w:rsidRDefault="009A0A63" w:rsidP="00A24459">
            <w:pPr>
              <w:spacing w:before="120" w:after="120"/>
              <w:contextualSpacing/>
              <w:jc w:val="center"/>
              <w:rPr>
                <w:rFonts w:eastAsia="Times New Roman"/>
                <w:color w:val="000000"/>
                <w:sz w:val="24"/>
                <w:szCs w:val="24"/>
              </w:rPr>
            </w:pPr>
            <w:r w:rsidRPr="00792B36">
              <w:rPr>
                <w:rFonts w:eastAsia="Times New Roman"/>
                <w:color w:val="000000"/>
                <w:sz w:val="24"/>
                <w:szCs w:val="24"/>
              </w:rPr>
              <w:t>7,345.1</w:t>
            </w:r>
          </w:p>
        </w:tc>
        <w:tc>
          <w:tcPr>
            <w:tcW w:w="1897" w:type="dxa"/>
            <w:noWrap/>
            <w:vAlign w:val="center"/>
            <w:hideMark/>
          </w:tcPr>
          <w:p w14:paraId="201E858A" w14:textId="77777777" w:rsidR="009A0A63" w:rsidRPr="00792B36" w:rsidRDefault="009A0A63" w:rsidP="00A24459">
            <w:pPr>
              <w:spacing w:before="120" w:after="120"/>
              <w:contextualSpacing/>
              <w:jc w:val="center"/>
              <w:rPr>
                <w:rFonts w:eastAsia="Times New Roman"/>
                <w:color w:val="000000"/>
                <w:sz w:val="24"/>
                <w:szCs w:val="24"/>
              </w:rPr>
            </w:pPr>
            <w:r w:rsidRPr="00792B36">
              <w:rPr>
                <w:rFonts w:eastAsia="Times New Roman"/>
                <w:color w:val="000000"/>
                <w:sz w:val="24"/>
                <w:szCs w:val="24"/>
              </w:rPr>
              <w:t>0.8</w:t>
            </w:r>
          </w:p>
        </w:tc>
        <w:tc>
          <w:tcPr>
            <w:tcW w:w="1997" w:type="dxa"/>
            <w:noWrap/>
            <w:vAlign w:val="center"/>
            <w:hideMark/>
          </w:tcPr>
          <w:p w14:paraId="4DF5B71B" w14:textId="77777777" w:rsidR="009A0A63" w:rsidRPr="00792B36" w:rsidRDefault="009A0A63" w:rsidP="00A24459">
            <w:pPr>
              <w:spacing w:before="120" w:after="120"/>
              <w:contextualSpacing/>
              <w:jc w:val="center"/>
              <w:rPr>
                <w:rFonts w:eastAsia="Times New Roman"/>
                <w:color w:val="000000"/>
                <w:sz w:val="24"/>
                <w:szCs w:val="24"/>
              </w:rPr>
            </w:pPr>
            <w:r w:rsidRPr="00792B36">
              <w:rPr>
                <w:rFonts w:eastAsia="Times New Roman"/>
                <w:color w:val="000000"/>
                <w:sz w:val="24"/>
                <w:szCs w:val="24"/>
              </w:rPr>
              <w:t>***</w:t>
            </w:r>
          </w:p>
        </w:tc>
      </w:tr>
    </w:tbl>
    <w:p w14:paraId="177FC6CD" w14:textId="77777777" w:rsidR="009A0A63" w:rsidRPr="00792B36" w:rsidRDefault="009A0A63" w:rsidP="009A0A63">
      <w:pPr>
        <w:spacing w:before="120" w:after="120"/>
        <w:contextualSpacing/>
        <w:rPr>
          <w:sz w:val="24"/>
          <w:szCs w:val="24"/>
        </w:rPr>
      </w:pPr>
      <w:r w:rsidRPr="00792B36">
        <w:rPr>
          <w:sz w:val="24"/>
          <w:szCs w:val="24"/>
        </w:rPr>
        <w:t xml:space="preserve">Source: </w:t>
      </w:r>
    </w:p>
    <w:p w14:paraId="1BFA64D1" w14:textId="77777777" w:rsidR="009A0A63" w:rsidRPr="00792B36" w:rsidRDefault="009A0A63" w:rsidP="009A0A63">
      <w:pPr>
        <w:spacing w:before="120" w:after="120"/>
        <w:contextualSpacing/>
        <w:rPr>
          <w:sz w:val="24"/>
          <w:szCs w:val="24"/>
        </w:rPr>
      </w:pPr>
      <w:r w:rsidRPr="00792B36">
        <w:rPr>
          <w:sz w:val="24"/>
          <w:szCs w:val="24"/>
        </w:rPr>
        <w:t xml:space="preserve">The world bank group. Databank: world development indicators. Retrieved November 5, 2025 from </w:t>
      </w:r>
      <w:r w:rsidRPr="00792B36">
        <w:rPr>
          <w:sz w:val="24"/>
          <w:szCs w:val="24"/>
        </w:rPr>
        <w:fldChar w:fldCharType="begin"/>
      </w:r>
      <w:r w:rsidRPr="00792B36">
        <w:rPr>
          <w:sz w:val="24"/>
          <w:szCs w:val="24"/>
        </w:rPr>
        <w:instrText>HYPERLINK "https://databank.worldbank.org/reports.aspx?source=2&amp;series=NY.GDP.PCAP.CD&amp;country=THA"</w:instrText>
      </w:r>
      <w:r w:rsidRPr="00792B36">
        <w:rPr>
          <w:sz w:val="24"/>
          <w:szCs w:val="24"/>
        </w:rPr>
      </w:r>
      <w:r w:rsidRPr="00792B36">
        <w:rPr>
          <w:sz w:val="24"/>
          <w:szCs w:val="24"/>
        </w:rPr>
        <w:fldChar w:fldCharType="separate"/>
      </w:r>
      <w:r w:rsidRPr="00792B36">
        <w:rPr>
          <w:rStyle w:val="Hyperlink"/>
          <w:sz w:val="24"/>
          <w:szCs w:val="24"/>
        </w:rPr>
        <w:t>https://databank.worldbank.org/reports.aspx?source=2&amp;series=NY.GDP.PCAP.CD&amp;country=THA#</w:t>
      </w:r>
      <w:r w:rsidRPr="00792B36">
        <w:rPr>
          <w:sz w:val="24"/>
          <w:szCs w:val="24"/>
        </w:rPr>
        <w:fldChar w:fldCharType="end"/>
      </w:r>
    </w:p>
    <w:p w14:paraId="6FFA5E32" w14:textId="77777777" w:rsidR="009A0A63" w:rsidRPr="00792B36" w:rsidRDefault="009A0A63" w:rsidP="009A0A63">
      <w:pPr>
        <w:pStyle w:val="ListParagraph"/>
        <w:spacing w:before="120" w:after="120"/>
        <w:ind w:left="360"/>
        <w:rPr>
          <w:rFonts w:cs="Arial"/>
          <w:sz w:val="24"/>
          <w:szCs w:val="24"/>
        </w:rPr>
      </w:pPr>
      <w:r w:rsidRPr="00792B36">
        <w:rPr>
          <w:rFonts w:cs="Arial"/>
          <w:sz w:val="24"/>
          <w:szCs w:val="24"/>
        </w:rPr>
        <w:t>*** = No data</w:t>
      </w:r>
    </w:p>
    <w:p w14:paraId="72FC8DCF" w14:textId="77777777" w:rsidR="009A0A63" w:rsidRPr="00792B36" w:rsidRDefault="009A0A63" w:rsidP="009A0A63">
      <w:pPr>
        <w:spacing w:before="120" w:after="120"/>
        <w:ind w:firstLine="1134"/>
        <w:jc w:val="thaiDistribute"/>
        <w:rPr>
          <w:sz w:val="24"/>
          <w:szCs w:val="24"/>
        </w:rPr>
      </w:pPr>
      <w:r w:rsidRPr="00792B36">
        <w:rPr>
          <w:sz w:val="24"/>
          <w:szCs w:val="24"/>
        </w:rPr>
        <w:br w:type="page"/>
      </w:r>
    </w:p>
    <w:p w14:paraId="5DD942BF" w14:textId="77777777" w:rsidR="009A0A63" w:rsidRPr="00792B36" w:rsidRDefault="009A0A63" w:rsidP="009A0A63">
      <w:pPr>
        <w:spacing w:before="120" w:after="120"/>
        <w:contextualSpacing/>
        <w:rPr>
          <w:sz w:val="24"/>
          <w:szCs w:val="24"/>
        </w:rPr>
      </w:pPr>
      <w:r w:rsidRPr="00792B36">
        <w:rPr>
          <w:sz w:val="24"/>
          <w:szCs w:val="24"/>
        </w:rPr>
        <w:lastRenderedPageBreak/>
        <w:t xml:space="preserve">The development of Thailand’s economy has varied across different periods, as detailed as follows: </w:t>
      </w:r>
    </w:p>
    <w:p w14:paraId="72E27FA9" w14:textId="77777777" w:rsidR="009A0A63" w:rsidRPr="00792B36" w:rsidRDefault="009A0A63" w:rsidP="009A0A63">
      <w:pPr>
        <w:spacing w:before="120" w:after="120"/>
        <w:contextualSpacing/>
        <w:rPr>
          <w:sz w:val="24"/>
          <w:szCs w:val="24"/>
        </w:rPr>
      </w:pPr>
    </w:p>
    <w:p w14:paraId="76487445" w14:textId="77777777" w:rsidR="009A0A63" w:rsidRPr="00792B36" w:rsidRDefault="009A0A63" w:rsidP="009A0A63">
      <w:pPr>
        <w:spacing w:before="120" w:after="120"/>
        <w:contextualSpacing/>
        <w:rPr>
          <w:sz w:val="24"/>
          <w:szCs w:val="24"/>
        </w:rPr>
      </w:pPr>
      <w:r w:rsidRPr="00792B36">
        <w:rPr>
          <w:sz w:val="24"/>
          <w:szCs w:val="24"/>
        </w:rPr>
        <w:t>• 2000–2006:</w:t>
      </w:r>
      <w:r w:rsidRPr="00792B36">
        <w:rPr>
          <w:sz w:val="24"/>
          <w:szCs w:val="24"/>
        </w:rPr>
        <w:br/>
        <w:t>During the early 2000s, the Thai economy was in a recovery phase following the Asian financial crisis of 1997–1998, which had severely affected the financial system and productive sectors. However, under expansionary economic policies and strong export performance, the economy began to stabilize and expand. GDP increased from USD 126.4 billion in 2000 to USD 221.8 billion in 2006, representing an average annual growth rate of approximately 5.2%. Notably, growth reached 7.2% in 2003, driven largely by industrial exports. Inflation remained moderate, ranging between 1.3% and 4.6%.</w:t>
      </w:r>
    </w:p>
    <w:p w14:paraId="54A18143" w14:textId="77777777" w:rsidR="009A0A63" w:rsidRPr="00792B36" w:rsidRDefault="009A0A63" w:rsidP="009A0A63">
      <w:pPr>
        <w:spacing w:before="120" w:after="120"/>
        <w:contextualSpacing/>
        <w:rPr>
          <w:sz w:val="24"/>
          <w:szCs w:val="24"/>
        </w:rPr>
      </w:pPr>
    </w:p>
    <w:p w14:paraId="52E8CD77" w14:textId="77777777" w:rsidR="009A0A63" w:rsidRPr="00792B36" w:rsidRDefault="009A0A63" w:rsidP="009A0A63">
      <w:pPr>
        <w:spacing w:before="120" w:after="120"/>
        <w:contextualSpacing/>
        <w:rPr>
          <w:sz w:val="24"/>
          <w:szCs w:val="24"/>
        </w:rPr>
      </w:pPr>
      <w:r w:rsidRPr="00792B36">
        <w:rPr>
          <w:sz w:val="24"/>
          <w:szCs w:val="24"/>
        </w:rPr>
        <w:t>• 2007–2012:</w:t>
      </w:r>
      <w:r w:rsidRPr="00792B36">
        <w:rPr>
          <w:sz w:val="24"/>
          <w:szCs w:val="24"/>
        </w:rPr>
        <w:br/>
        <w:t>Between 2007 and 2012, the Thai economy continued to grow, with GDP rising from USD 262.9 billion in 2007 to USD 397.6 billion in 2012. The average annual growth rate was around 3.7%, supported by export expansion, investment by small and medium-sized enterprises (SMEs), and sustained growth in tourism. The economy was affected by the 2008–2009 global financial crisis, resulting in growth of only 1.7% in 2008 and a contraction of –0.7% in 2009. Nonetheless, Thailand recovered quickly, achieving a strong rebound of 7.5% in 2010 due to government stimulus measures and a resurgence in exports. Inflation during this period fluctuated between –0.9% and 5.5%, influenced mainly by global oil price volatility.</w:t>
      </w:r>
    </w:p>
    <w:p w14:paraId="481F3E2C" w14:textId="77777777" w:rsidR="009A0A63" w:rsidRPr="00792B36" w:rsidRDefault="009A0A63" w:rsidP="009A0A63">
      <w:pPr>
        <w:spacing w:before="120" w:after="120"/>
        <w:contextualSpacing/>
        <w:rPr>
          <w:sz w:val="24"/>
          <w:szCs w:val="24"/>
        </w:rPr>
      </w:pPr>
    </w:p>
    <w:p w14:paraId="71A1060F" w14:textId="77777777" w:rsidR="009A0A63" w:rsidRPr="00792B36" w:rsidRDefault="009A0A63" w:rsidP="009A0A63">
      <w:pPr>
        <w:spacing w:before="120" w:after="120"/>
        <w:contextualSpacing/>
        <w:rPr>
          <w:sz w:val="24"/>
          <w:szCs w:val="24"/>
        </w:rPr>
      </w:pPr>
      <w:r w:rsidRPr="00792B36">
        <w:rPr>
          <w:sz w:val="24"/>
          <w:szCs w:val="24"/>
        </w:rPr>
        <w:t>• 2013–2015:</w:t>
      </w:r>
      <w:r w:rsidRPr="00792B36">
        <w:rPr>
          <w:sz w:val="24"/>
          <w:szCs w:val="24"/>
        </w:rPr>
        <w:br/>
        <w:t>In 2013, Thailand’s GDP reached approximately USD 420.3 billion, growing at 2.7% from the previous year, reflecting continued strength in the industrial and service sectors. However, economic momentum slowed thereafter, with GDP dropping to USD 401.3 billion in 2015, despite growth of 3.1%. This slowdown was linked to currency depreciation and heightened political uncertainty. Deflation emerged in 2015, with inflation dropping to –0.9%.</w:t>
      </w:r>
    </w:p>
    <w:p w14:paraId="497252C1" w14:textId="77777777" w:rsidR="009A0A63" w:rsidRPr="00792B36" w:rsidRDefault="009A0A63" w:rsidP="009A0A63">
      <w:pPr>
        <w:spacing w:before="120" w:after="120"/>
        <w:contextualSpacing/>
        <w:rPr>
          <w:sz w:val="24"/>
          <w:szCs w:val="24"/>
        </w:rPr>
      </w:pPr>
    </w:p>
    <w:p w14:paraId="41DD7FC5" w14:textId="77777777" w:rsidR="009A0A63" w:rsidRPr="00792B36" w:rsidRDefault="009A0A63" w:rsidP="009A0A63">
      <w:pPr>
        <w:spacing w:before="120" w:after="120"/>
        <w:contextualSpacing/>
        <w:rPr>
          <w:sz w:val="24"/>
          <w:szCs w:val="24"/>
        </w:rPr>
      </w:pPr>
      <w:r w:rsidRPr="00792B36">
        <w:rPr>
          <w:sz w:val="24"/>
          <w:szCs w:val="24"/>
        </w:rPr>
        <w:t>• 2016–2019:</w:t>
      </w:r>
      <w:r w:rsidRPr="00792B36">
        <w:rPr>
          <w:sz w:val="24"/>
          <w:szCs w:val="24"/>
        </w:rPr>
        <w:br/>
        <w:t>The economy experienced modest but consistent growth, averaging around 3.5% per year. GDP increased from USD 413.4 billion in 2016 to USD 544 billion in 2019, supported by exports, private investment, and continued expansion in tourism. Inflation remained low and stable, ranging from 0.2% to 1.1%.</w:t>
      </w:r>
    </w:p>
    <w:p w14:paraId="697B713F" w14:textId="77777777" w:rsidR="009A0A63" w:rsidRPr="00792B36" w:rsidRDefault="009A0A63" w:rsidP="009A0A63">
      <w:pPr>
        <w:spacing w:before="120" w:after="120"/>
        <w:contextualSpacing/>
        <w:rPr>
          <w:sz w:val="24"/>
          <w:szCs w:val="24"/>
        </w:rPr>
      </w:pPr>
    </w:p>
    <w:p w14:paraId="3FB45F12" w14:textId="77777777" w:rsidR="009A0A63" w:rsidRPr="00792B36" w:rsidRDefault="009A0A63" w:rsidP="009A0A63">
      <w:pPr>
        <w:spacing w:before="120" w:after="120"/>
        <w:contextualSpacing/>
        <w:rPr>
          <w:sz w:val="24"/>
          <w:szCs w:val="24"/>
        </w:rPr>
      </w:pPr>
      <w:r w:rsidRPr="00792B36">
        <w:rPr>
          <w:sz w:val="24"/>
          <w:szCs w:val="24"/>
        </w:rPr>
        <w:t>• 2020:</w:t>
      </w:r>
      <w:r w:rsidRPr="00792B36">
        <w:rPr>
          <w:sz w:val="24"/>
          <w:szCs w:val="24"/>
        </w:rPr>
        <w:br/>
        <w:t>The COVID-19 pandemic led to a severe economic contraction of –6.1% in 2020, with GDP falling to around USD 500 billion. Economic recovery remained incomplete in the following year, as tourism and service sectors—key drivers of national growth—were heavily affected. Inflation stood at –0.8%.</w:t>
      </w:r>
    </w:p>
    <w:p w14:paraId="05AFFF92" w14:textId="77777777" w:rsidR="009A0A63" w:rsidRPr="00792B36" w:rsidRDefault="009A0A63" w:rsidP="009A0A63">
      <w:pPr>
        <w:spacing w:before="120" w:after="120"/>
        <w:contextualSpacing/>
        <w:rPr>
          <w:sz w:val="24"/>
          <w:szCs w:val="24"/>
        </w:rPr>
      </w:pPr>
    </w:p>
    <w:p w14:paraId="4BEC4933" w14:textId="77777777" w:rsidR="009A0A63" w:rsidRPr="00792B36" w:rsidRDefault="009A0A63" w:rsidP="009A0A63">
      <w:pPr>
        <w:spacing w:before="120" w:after="120"/>
        <w:contextualSpacing/>
        <w:rPr>
          <w:sz w:val="24"/>
          <w:szCs w:val="24"/>
        </w:rPr>
      </w:pPr>
      <w:r w:rsidRPr="00792B36">
        <w:rPr>
          <w:sz w:val="24"/>
          <w:szCs w:val="24"/>
        </w:rPr>
        <w:t>• 2021–2024:</w:t>
      </w:r>
      <w:r w:rsidRPr="00792B36">
        <w:rPr>
          <w:sz w:val="24"/>
          <w:szCs w:val="24"/>
        </w:rPr>
        <w:br/>
        <w:t>Although the economy began to recover from the impacts of COVID-19, the rebound was slow, and growth remained below pre-pandemic levels, ranging between 1.6% and 2.6%. Political uncertainty, rising energy prices, and slowing exports contributed to growth below potential. In 2024, GDP reached USD 526.4 billion. Inflation was moderately high at 8.5% in 2023 but declined to 1.4% in 2024.</w:t>
      </w:r>
    </w:p>
    <w:p w14:paraId="42C0F61B" w14:textId="77777777" w:rsidR="009A0A63" w:rsidRPr="00792B36" w:rsidRDefault="009A0A63" w:rsidP="009A0A63">
      <w:pPr>
        <w:spacing w:before="120" w:after="120"/>
        <w:contextualSpacing/>
        <w:rPr>
          <w:sz w:val="24"/>
          <w:szCs w:val="24"/>
        </w:rPr>
      </w:pPr>
    </w:p>
    <w:p w14:paraId="7FAE35B5" w14:textId="77777777" w:rsidR="009A0A63" w:rsidRPr="00792B36" w:rsidRDefault="009A0A63" w:rsidP="009A0A63">
      <w:pPr>
        <w:spacing w:before="120" w:after="120"/>
        <w:contextualSpacing/>
        <w:rPr>
          <w:sz w:val="24"/>
          <w:szCs w:val="24"/>
        </w:rPr>
      </w:pPr>
      <w:r w:rsidRPr="00792B36">
        <w:rPr>
          <w:sz w:val="24"/>
          <w:szCs w:val="24"/>
        </w:rPr>
        <w:t>GDP per capita has shown a generally upward trend, increasing from USD 2,006 in 2000 to USD 7,605 in 2019. However, income per capita declined to around USD 7,000 during 2020–2022 due to pandemic-related impacts before recovering to USD 7,345 in 2024. This reflects a relatively slow recovery in household income associated with reduced employment in tourism, services, and the informal sector.</w:t>
      </w:r>
    </w:p>
    <w:p w14:paraId="594F6108" w14:textId="77777777" w:rsidR="009A0A63" w:rsidRPr="00792B36" w:rsidRDefault="009A0A63" w:rsidP="009A0A63">
      <w:pPr>
        <w:spacing w:before="120" w:after="120"/>
        <w:contextualSpacing/>
        <w:rPr>
          <w:sz w:val="24"/>
          <w:szCs w:val="24"/>
        </w:rPr>
      </w:pPr>
    </w:p>
    <w:p w14:paraId="554A488C" w14:textId="77777777" w:rsidR="009A0A63" w:rsidRPr="00792B36" w:rsidRDefault="009A0A63" w:rsidP="009A0A63">
      <w:pPr>
        <w:spacing w:before="120" w:after="120"/>
        <w:contextualSpacing/>
        <w:rPr>
          <w:sz w:val="24"/>
          <w:szCs w:val="24"/>
        </w:rPr>
      </w:pPr>
      <w:r w:rsidRPr="00792B36">
        <w:rPr>
          <w:sz w:val="24"/>
          <w:szCs w:val="24"/>
        </w:rPr>
        <w:t>During 2000–2002, the unemployment rate ranged between 2.4% and 2.6%. After 2004, overall unemployment remained low, between 1–2%, indicating labour market stability, although these figures may not fully capture realities due to the high number of informal workers.</w:t>
      </w:r>
    </w:p>
    <w:p w14:paraId="1DCDF821" w14:textId="77777777" w:rsidR="009A0A63" w:rsidRPr="00792B36" w:rsidRDefault="009A0A63" w:rsidP="009A0A63">
      <w:pPr>
        <w:spacing w:before="120" w:after="120"/>
        <w:ind w:firstLine="1134"/>
        <w:jc w:val="thaiDistribute"/>
        <w:rPr>
          <w:sz w:val="24"/>
          <w:szCs w:val="24"/>
        </w:rPr>
      </w:pPr>
      <w:r w:rsidRPr="00792B36">
        <w:rPr>
          <w:sz w:val="24"/>
          <w:szCs w:val="24"/>
        </w:rPr>
        <w:br w:type="page"/>
      </w:r>
    </w:p>
    <w:p w14:paraId="01B4D898" w14:textId="77777777" w:rsidR="009A0A63" w:rsidRPr="00792B36" w:rsidRDefault="009A0A63" w:rsidP="009A0A63">
      <w:pPr>
        <w:pStyle w:val="NormalWeb"/>
        <w:spacing w:before="0" w:beforeAutospacing="0" w:after="0" w:afterAutospacing="0"/>
        <w:rPr>
          <w:rFonts w:ascii="Arial" w:hAnsi="Arial" w:cs="Arial"/>
        </w:rPr>
      </w:pPr>
      <w:r w:rsidRPr="00792B36">
        <w:rPr>
          <w:rFonts w:ascii="Arial" w:hAnsi="Arial" w:cs="Arial"/>
          <w:color w:val="EE0000"/>
        </w:rPr>
        <w:lastRenderedPageBreak/>
        <w:t>Annex 2</w:t>
      </w:r>
      <w:r w:rsidRPr="00792B36">
        <w:rPr>
          <w:rFonts w:ascii="Arial" w:hAnsi="Arial" w:cs="Arial"/>
        </w:rPr>
        <w:t>: Main economic activities of coastal provinces of the Gulf of Thailand.</w:t>
      </w:r>
    </w:p>
    <w:p w14:paraId="11E5E117" w14:textId="77777777" w:rsidR="009A0A63" w:rsidRPr="00792B36" w:rsidRDefault="009A0A63" w:rsidP="009A0A63">
      <w:pPr>
        <w:pStyle w:val="NormalWeb"/>
        <w:spacing w:before="0" w:beforeAutospacing="0" w:after="0" w:afterAutospacing="0"/>
        <w:rPr>
          <w:rFonts w:ascii="Arial" w:hAnsi="Arial" w:cs="Arial"/>
        </w:rPr>
      </w:pPr>
    </w:p>
    <w:tbl>
      <w:tblPr>
        <w:tblW w:w="8789" w:type="dxa"/>
        <w:tblInd w:w="-5" w:type="dxa"/>
        <w:tblLook w:val="04A0" w:firstRow="1" w:lastRow="0" w:firstColumn="1" w:lastColumn="0" w:noHBand="0" w:noVBand="1"/>
      </w:tblPr>
      <w:tblGrid>
        <w:gridCol w:w="2410"/>
        <w:gridCol w:w="6379"/>
      </w:tblGrid>
      <w:tr w:rsidR="009A0A63" w:rsidRPr="00792B36" w14:paraId="3260E1BA" w14:textId="77777777" w:rsidTr="00A24459">
        <w:trPr>
          <w:trHeight w:val="211"/>
          <w:tblHeader/>
        </w:trPr>
        <w:tc>
          <w:tcPr>
            <w:tcW w:w="2410" w:type="dxa"/>
            <w:tcBorders>
              <w:top w:val="single" w:sz="4" w:space="0" w:color="auto"/>
              <w:left w:val="single" w:sz="4" w:space="0" w:color="auto"/>
              <w:bottom w:val="single" w:sz="4" w:space="0" w:color="auto"/>
              <w:right w:val="single" w:sz="4" w:space="0" w:color="auto"/>
            </w:tcBorders>
            <w:shd w:val="clear" w:color="auto" w:fill="A6A6A6" w:themeFill="background1" w:themeFillShade="A6"/>
            <w:noWrap/>
            <w:hideMark/>
          </w:tcPr>
          <w:p w14:paraId="3AF8E6BB" w14:textId="77777777" w:rsidR="009A0A63" w:rsidRPr="00792B36" w:rsidRDefault="009A0A63" w:rsidP="00A24459">
            <w:pPr>
              <w:rPr>
                <w:rFonts w:eastAsia="Times New Roman"/>
                <w:color w:val="000000"/>
                <w:sz w:val="24"/>
                <w:szCs w:val="24"/>
              </w:rPr>
            </w:pPr>
            <w:r w:rsidRPr="00792B36">
              <w:rPr>
                <w:rFonts w:eastAsia="Times New Roman"/>
                <w:color w:val="000000"/>
                <w:sz w:val="24"/>
                <w:szCs w:val="24"/>
              </w:rPr>
              <w:t> Province</w:t>
            </w:r>
          </w:p>
        </w:tc>
        <w:tc>
          <w:tcPr>
            <w:tcW w:w="6379" w:type="dxa"/>
            <w:tcBorders>
              <w:top w:val="single" w:sz="4" w:space="0" w:color="auto"/>
              <w:left w:val="nil"/>
              <w:bottom w:val="single" w:sz="4" w:space="0" w:color="auto"/>
              <w:right w:val="single" w:sz="4" w:space="0" w:color="auto"/>
            </w:tcBorders>
            <w:shd w:val="clear" w:color="auto" w:fill="A6A6A6" w:themeFill="background1" w:themeFillShade="A6"/>
            <w:hideMark/>
          </w:tcPr>
          <w:p w14:paraId="79B86753" w14:textId="77777777" w:rsidR="009A0A63" w:rsidRPr="00792B36" w:rsidRDefault="009A0A63" w:rsidP="00A24459">
            <w:pPr>
              <w:rPr>
                <w:rFonts w:eastAsia="Times New Roman"/>
                <w:color w:val="000000"/>
                <w:sz w:val="24"/>
                <w:szCs w:val="24"/>
              </w:rPr>
            </w:pPr>
            <w:r w:rsidRPr="00792B36">
              <w:rPr>
                <w:rFonts w:eastAsia="Times New Roman"/>
                <w:color w:val="000000"/>
                <w:sz w:val="24"/>
                <w:szCs w:val="24"/>
              </w:rPr>
              <w:t>Main economic activities</w:t>
            </w:r>
          </w:p>
        </w:tc>
      </w:tr>
      <w:tr w:rsidR="009A0A63" w:rsidRPr="00792B36" w14:paraId="25C83D9D" w14:textId="77777777" w:rsidTr="00A24459">
        <w:trPr>
          <w:trHeight w:val="534"/>
        </w:trPr>
        <w:tc>
          <w:tcPr>
            <w:tcW w:w="2410" w:type="dxa"/>
            <w:tcBorders>
              <w:top w:val="nil"/>
              <w:left w:val="single" w:sz="4" w:space="0" w:color="auto"/>
              <w:bottom w:val="single" w:sz="4" w:space="0" w:color="auto"/>
              <w:right w:val="single" w:sz="4" w:space="0" w:color="auto"/>
            </w:tcBorders>
            <w:noWrap/>
            <w:hideMark/>
          </w:tcPr>
          <w:p w14:paraId="49C058BD" w14:textId="77777777" w:rsidR="009A0A63" w:rsidRPr="00792B36" w:rsidRDefault="009A0A63" w:rsidP="00A24459">
            <w:pPr>
              <w:rPr>
                <w:rFonts w:eastAsia="Times New Roman"/>
                <w:color w:val="000000"/>
                <w:sz w:val="24"/>
                <w:szCs w:val="24"/>
              </w:rPr>
            </w:pPr>
            <w:r w:rsidRPr="00792B36">
              <w:rPr>
                <w:rFonts w:eastAsia="Times New Roman"/>
                <w:color w:val="000000"/>
                <w:sz w:val="24"/>
                <w:szCs w:val="24"/>
              </w:rPr>
              <w:t>Trat</w:t>
            </w:r>
          </w:p>
        </w:tc>
        <w:tc>
          <w:tcPr>
            <w:tcW w:w="6379" w:type="dxa"/>
            <w:tcBorders>
              <w:top w:val="nil"/>
              <w:left w:val="nil"/>
              <w:bottom w:val="single" w:sz="4" w:space="0" w:color="auto"/>
              <w:right w:val="single" w:sz="4" w:space="0" w:color="auto"/>
            </w:tcBorders>
            <w:hideMark/>
          </w:tcPr>
          <w:p w14:paraId="73191F07" w14:textId="77777777" w:rsidR="009A0A63" w:rsidRPr="00792B36" w:rsidRDefault="009A0A63" w:rsidP="00A24459">
            <w:pPr>
              <w:rPr>
                <w:rFonts w:eastAsia="Times New Roman"/>
                <w:color w:val="000000"/>
                <w:sz w:val="24"/>
                <w:szCs w:val="24"/>
              </w:rPr>
            </w:pPr>
            <w:r w:rsidRPr="00792B36">
              <w:rPr>
                <w:rFonts w:eastAsia="Times New Roman"/>
                <w:color w:val="000000"/>
                <w:sz w:val="24"/>
                <w:szCs w:val="24"/>
              </w:rPr>
              <w:t>Marine tourism (Koh Chang, Koh Kood), small-scale fisheries, and border trade</w:t>
            </w:r>
          </w:p>
        </w:tc>
      </w:tr>
      <w:tr w:rsidR="009A0A63" w:rsidRPr="00792B36" w14:paraId="0FF39B28" w14:textId="77777777" w:rsidTr="00A24459">
        <w:trPr>
          <w:trHeight w:val="286"/>
        </w:trPr>
        <w:tc>
          <w:tcPr>
            <w:tcW w:w="2410" w:type="dxa"/>
            <w:tcBorders>
              <w:top w:val="nil"/>
              <w:left w:val="single" w:sz="4" w:space="0" w:color="auto"/>
              <w:bottom w:val="single" w:sz="4" w:space="0" w:color="auto"/>
              <w:right w:val="single" w:sz="4" w:space="0" w:color="auto"/>
            </w:tcBorders>
            <w:noWrap/>
            <w:hideMark/>
          </w:tcPr>
          <w:p w14:paraId="0DF0836F" w14:textId="77777777" w:rsidR="009A0A63" w:rsidRPr="00792B36" w:rsidRDefault="009A0A63" w:rsidP="00A24459">
            <w:pPr>
              <w:rPr>
                <w:rFonts w:eastAsia="Times New Roman"/>
                <w:color w:val="000000"/>
                <w:sz w:val="24"/>
                <w:szCs w:val="24"/>
              </w:rPr>
            </w:pPr>
            <w:r w:rsidRPr="00792B36">
              <w:rPr>
                <w:rFonts w:eastAsia="Times New Roman"/>
                <w:color w:val="000000"/>
                <w:sz w:val="24"/>
                <w:szCs w:val="24"/>
              </w:rPr>
              <w:t>Chantha Buri</w:t>
            </w:r>
          </w:p>
        </w:tc>
        <w:tc>
          <w:tcPr>
            <w:tcW w:w="6379" w:type="dxa"/>
            <w:tcBorders>
              <w:top w:val="nil"/>
              <w:left w:val="nil"/>
              <w:bottom w:val="single" w:sz="4" w:space="0" w:color="auto"/>
              <w:right w:val="single" w:sz="4" w:space="0" w:color="auto"/>
            </w:tcBorders>
            <w:hideMark/>
          </w:tcPr>
          <w:p w14:paraId="5EEEF32B" w14:textId="77777777" w:rsidR="009A0A63" w:rsidRPr="00792B36" w:rsidRDefault="009A0A63" w:rsidP="00A24459">
            <w:pPr>
              <w:rPr>
                <w:rFonts w:eastAsia="Times New Roman"/>
                <w:color w:val="000000"/>
                <w:sz w:val="24"/>
                <w:szCs w:val="24"/>
              </w:rPr>
            </w:pPr>
            <w:r w:rsidRPr="00792B36">
              <w:rPr>
                <w:rFonts w:eastAsia="Times New Roman"/>
                <w:color w:val="000000"/>
                <w:sz w:val="24"/>
                <w:szCs w:val="24"/>
              </w:rPr>
              <w:t>Fruit agriculture (durian, mangosteen), food processing, fisheries</w:t>
            </w:r>
          </w:p>
        </w:tc>
      </w:tr>
      <w:tr w:rsidR="009A0A63" w:rsidRPr="00792B36" w14:paraId="2E319F6D" w14:textId="77777777" w:rsidTr="00A24459">
        <w:trPr>
          <w:trHeight w:val="495"/>
        </w:trPr>
        <w:tc>
          <w:tcPr>
            <w:tcW w:w="2410" w:type="dxa"/>
            <w:tcBorders>
              <w:top w:val="nil"/>
              <w:left w:val="single" w:sz="4" w:space="0" w:color="auto"/>
              <w:bottom w:val="single" w:sz="4" w:space="0" w:color="auto"/>
              <w:right w:val="single" w:sz="4" w:space="0" w:color="auto"/>
            </w:tcBorders>
            <w:noWrap/>
            <w:hideMark/>
          </w:tcPr>
          <w:p w14:paraId="0F93FB8A" w14:textId="77777777" w:rsidR="009A0A63" w:rsidRPr="00792B36" w:rsidRDefault="009A0A63" w:rsidP="00A24459">
            <w:pPr>
              <w:rPr>
                <w:rFonts w:eastAsia="Times New Roman"/>
                <w:color w:val="000000"/>
                <w:sz w:val="24"/>
                <w:szCs w:val="24"/>
              </w:rPr>
            </w:pPr>
            <w:r w:rsidRPr="00792B36">
              <w:rPr>
                <w:rFonts w:eastAsia="Times New Roman"/>
                <w:color w:val="000000"/>
                <w:sz w:val="24"/>
                <w:szCs w:val="24"/>
              </w:rPr>
              <w:t>Rayong</w:t>
            </w:r>
          </w:p>
        </w:tc>
        <w:tc>
          <w:tcPr>
            <w:tcW w:w="6379" w:type="dxa"/>
            <w:tcBorders>
              <w:top w:val="nil"/>
              <w:left w:val="nil"/>
              <w:bottom w:val="single" w:sz="4" w:space="0" w:color="auto"/>
              <w:right w:val="single" w:sz="4" w:space="0" w:color="auto"/>
            </w:tcBorders>
            <w:hideMark/>
          </w:tcPr>
          <w:p w14:paraId="3B25A4D7" w14:textId="77777777" w:rsidR="009A0A63" w:rsidRPr="00792B36" w:rsidRDefault="009A0A63" w:rsidP="00A24459">
            <w:pPr>
              <w:rPr>
                <w:rFonts w:eastAsia="Times New Roman"/>
                <w:color w:val="000000"/>
                <w:sz w:val="24"/>
                <w:szCs w:val="24"/>
              </w:rPr>
            </w:pPr>
            <w:r w:rsidRPr="00792B36">
              <w:rPr>
                <w:rFonts w:eastAsia="Times New Roman"/>
                <w:color w:val="000000"/>
                <w:sz w:val="24"/>
                <w:szCs w:val="24"/>
              </w:rPr>
              <w:t>Petrochemical industry, Map Ta Phut industrial port, energy production</w:t>
            </w:r>
          </w:p>
        </w:tc>
      </w:tr>
      <w:tr w:rsidR="009A0A63" w:rsidRPr="00792B36" w14:paraId="065147B1" w14:textId="77777777" w:rsidTr="00A24459">
        <w:trPr>
          <w:trHeight w:val="192"/>
        </w:trPr>
        <w:tc>
          <w:tcPr>
            <w:tcW w:w="2410" w:type="dxa"/>
            <w:tcBorders>
              <w:top w:val="nil"/>
              <w:left w:val="single" w:sz="4" w:space="0" w:color="auto"/>
              <w:bottom w:val="single" w:sz="4" w:space="0" w:color="auto"/>
              <w:right w:val="single" w:sz="4" w:space="0" w:color="auto"/>
            </w:tcBorders>
            <w:noWrap/>
            <w:hideMark/>
          </w:tcPr>
          <w:p w14:paraId="40BDF1D6" w14:textId="77777777" w:rsidR="009A0A63" w:rsidRPr="00792B36" w:rsidRDefault="009A0A63" w:rsidP="00A24459">
            <w:pPr>
              <w:rPr>
                <w:rFonts w:eastAsia="Times New Roman"/>
                <w:color w:val="000000"/>
                <w:sz w:val="24"/>
                <w:szCs w:val="24"/>
              </w:rPr>
            </w:pPr>
            <w:r w:rsidRPr="00792B36">
              <w:rPr>
                <w:rFonts w:eastAsia="Times New Roman"/>
                <w:color w:val="000000"/>
                <w:sz w:val="24"/>
                <w:szCs w:val="24"/>
              </w:rPr>
              <w:t>Chon Buri</w:t>
            </w:r>
          </w:p>
        </w:tc>
        <w:tc>
          <w:tcPr>
            <w:tcW w:w="6379" w:type="dxa"/>
            <w:tcBorders>
              <w:top w:val="nil"/>
              <w:left w:val="nil"/>
              <w:bottom w:val="single" w:sz="4" w:space="0" w:color="auto"/>
              <w:right w:val="single" w:sz="4" w:space="0" w:color="auto"/>
            </w:tcBorders>
            <w:hideMark/>
          </w:tcPr>
          <w:p w14:paraId="51F38565" w14:textId="77777777" w:rsidR="009A0A63" w:rsidRPr="00792B36" w:rsidRDefault="009A0A63" w:rsidP="00A24459">
            <w:pPr>
              <w:rPr>
                <w:rFonts w:eastAsia="Times New Roman"/>
                <w:color w:val="000000"/>
                <w:sz w:val="24"/>
                <w:szCs w:val="24"/>
              </w:rPr>
            </w:pPr>
            <w:r w:rsidRPr="00792B36">
              <w:rPr>
                <w:rFonts w:eastAsia="Times New Roman"/>
                <w:color w:val="000000"/>
                <w:sz w:val="24"/>
                <w:szCs w:val="24"/>
              </w:rPr>
              <w:t>Laem Chabang seaport, the automotive industry, and tourism (Pattaya)</w:t>
            </w:r>
          </w:p>
        </w:tc>
      </w:tr>
      <w:tr w:rsidR="009A0A63" w:rsidRPr="00792B36" w14:paraId="402D8F84" w14:textId="77777777" w:rsidTr="00A24459">
        <w:trPr>
          <w:trHeight w:val="269"/>
        </w:trPr>
        <w:tc>
          <w:tcPr>
            <w:tcW w:w="2410" w:type="dxa"/>
            <w:tcBorders>
              <w:top w:val="nil"/>
              <w:left w:val="single" w:sz="4" w:space="0" w:color="auto"/>
              <w:bottom w:val="single" w:sz="4" w:space="0" w:color="auto"/>
              <w:right w:val="single" w:sz="4" w:space="0" w:color="auto"/>
            </w:tcBorders>
            <w:noWrap/>
            <w:hideMark/>
          </w:tcPr>
          <w:p w14:paraId="7737F62A" w14:textId="77777777" w:rsidR="009A0A63" w:rsidRPr="00792B36" w:rsidRDefault="009A0A63" w:rsidP="00A24459">
            <w:pPr>
              <w:rPr>
                <w:rFonts w:eastAsia="Times New Roman"/>
                <w:color w:val="000000"/>
                <w:sz w:val="24"/>
                <w:szCs w:val="24"/>
              </w:rPr>
            </w:pPr>
            <w:r w:rsidRPr="00792B36">
              <w:rPr>
                <w:rFonts w:eastAsia="Times New Roman"/>
                <w:color w:val="000000"/>
                <w:sz w:val="24"/>
                <w:szCs w:val="24"/>
              </w:rPr>
              <w:t>Chachoengsao</w:t>
            </w:r>
          </w:p>
        </w:tc>
        <w:tc>
          <w:tcPr>
            <w:tcW w:w="6379" w:type="dxa"/>
            <w:tcBorders>
              <w:top w:val="nil"/>
              <w:left w:val="nil"/>
              <w:bottom w:val="single" w:sz="4" w:space="0" w:color="auto"/>
              <w:right w:val="single" w:sz="4" w:space="0" w:color="auto"/>
            </w:tcBorders>
            <w:hideMark/>
          </w:tcPr>
          <w:p w14:paraId="38EB912F" w14:textId="77777777" w:rsidR="009A0A63" w:rsidRPr="00792B36" w:rsidRDefault="009A0A63" w:rsidP="00A24459">
            <w:pPr>
              <w:rPr>
                <w:rFonts w:eastAsia="Times New Roman"/>
                <w:color w:val="000000"/>
                <w:sz w:val="24"/>
                <w:szCs w:val="24"/>
              </w:rPr>
            </w:pPr>
            <w:r w:rsidRPr="00792B36">
              <w:rPr>
                <w:rFonts w:eastAsia="Times New Roman"/>
                <w:color w:val="000000"/>
                <w:sz w:val="24"/>
                <w:szCs w:val="24"/>
              </w:rPr>
              <w:t>Agro-processing industry, logistics, food factories</w:t>
            </w:r>
          </w:p>
        </w:tc>
      </w:tr>
      <w:tr w:rsidR="009A0A63" w:rsidRPr="00792B36" w14:paraId="0363DEB0" w14:textId="77777777" w:rsidTr="00A24459">
        <w:trPr>
          <w:trHeight w:val="225"/>
        </w:trPr>
        <w:tc>
          <w:tcPr>
            <w:tcW w:w="2410" w:type="dxa"/>
            <w:tcBorders>
              <w:top w:val="nil"/>
              <w:left w:val="single" w:sz="4" w:space="0" w:color="auto"/>
              <w:bottom w:val="single" w:sz="4" w:space="0" w:color="auto"/>
              <w:right w:val="single" w:sz="4" w:space="0" w:color="auto"/>
            </w:tcBorders>
            <w:noWrap/>
            <w:hideMark/>
          </w:tcPr>
          <w:p w14:paraId="2EE793D2" w14:textId="77777777" w:rsidR="009A0A63" w:rsidRPr="00792B36" w:rsidRDefault="009A0A63" w:rsidP="00A24459">
            <w:pPr>
              <w:rPr>
                <w:rFonts w:eastAsia="Times New Roman"/>
                <w:color w:val="000000"/>
                <w:sz w:val="24"/>
                <w:szCs w:val="24"/>
              </w:rPr>
            </w:pPr>
            <w:r w:rsidRPr="00792B36">
              <w:rPr>
                <w:rFonts w:eastAsia="Times New Roman"/>
                <w:color w:val="000000"/>
                <w:sz w:val="24"/>
                <w:szCs w:val="24"/>
              </w:rPr>
              <w:t>Bangkok</w:t>
            </w:r>
          </w:p>
        </w:tc>
        <w:tc>
          <w:tcPr>
            <w:tcW w:w="6379" w:type="dxa"/>
            <w:tcBorders>
              <w:top w:val="nil"/>
              <w:left w:val="nil"/>
              <w:bottom w:val="single" w:sz="4" w:space="0" w:color="auto"/>
              <w:right w:val="single" w:sz="4" w:space="0" w:color="auto"/>
            </w:tcBorders>
            <w:hideMark/>
          </w:tcPr>
          <w:p w14:paraId="051EA31A" w14:textId="77777777" w:rsidR="009A0A63" w:rsidRPr="00792B36" w:rsidRDefault="009A0A63" w:rsidP="00A24459">
            <w:pPr>
              <w:rPr>
                <w:rFonts w:eastAsia="Times New Roman"/>
                <w:color w:val="000000"/>
                <w:sz w:val="24"/>
                <w:szCs w:val="24"/>
              </w:rPr>
            </w:pPr>
            <w:r w:rsidRPr="00792B36">
              <w:rPr>
                <w:rFonts w:eastAsia="Times New Roman"/>
                <w:color w:val="000000"/>
                <w:sz w:val="24"/>
                <w:szCs w:val="24"/>
              </w:rPr>
              <w:t>Services, finance, trade, transportation, Khlong Toei commercial port</w:t>
            </w:r>
          </w:p>
        </w:tc>
      </w:tr>
      <w:tr w:rsidR="009A0A63" w:rsidRPr="00792B36" w14:paraId="5ACE6327" w14:textId="77777777" w:rsidTr="00A24459">
        <w:trPr>
          <w:trHeight w:val="296"/>
        </w:trPr>
        <w:tc>
          <w:tcPr>
            <w:tcW w:w="2410" w:type="dxa"/>
            <w:tcBorders>
              <w:top w:val="nil"/>
              <w:left w:val="single" w:sz="4" w:space="0" w:color="auto"/>
              <w:bottom w:val="single" w:sz="4" w:space="0" w:color="auto"/>
              <w:right w:val="single" w:sz="4" w:space="0" w:color="auto"/>
            </w:tcBorders>
            <w:noWrap/>
            <w:hideMark/>
          </w:tcPr>
          <w:p w14:paraId="2962A8EE" w14:textId="77777777" w:rsidR="009A0A63" w:rsidRPr="00792B36" w:rsidRDefault="009A0A63" w:rsidP="00A24459">
            <w:pPr>
              <w:rPr>
                <w:rFonts w:eastAsia="Times New Roman"/>
                <w:color w:val="000000"/>
                <w:sz w:val="24"/>
                <w:szCs w:val="24"/>
              </w:rPr>
            </w:pPr>
            <w:r w:rsidRPr="00792B36">
              <w:rPr>
                <w:rFonts w:eastAsia="Times New Roman"/>
                <w:color w:val="000000"/>
                <w:sz w:val="24"/>
                <w:szCs w:val="24"/>
              </w:rPr>
              <w:t>Samut Prakarn</w:t>
            </w:r>
          </w:p>
        </w:tc>
        <w:tc>
          <w:tcPr>
            <w:tcW w:w="6379" w:type="dxa"/>
            <w:tcBorders>
              <w:top w:val="nil"/>
              <w:left w:val="nil"/>
              <w:bottom w:val="single" w:sz="4" w:space="0" w:color="auto"/>
              <w:right w:val="single" w:sz="4" w:space="0" w:color="auto"/>
            </w:tcBorders>
            <w:hideMark/>
          </w:tcPr>
          <w:p w14:paraId="48F785A2" w14:textId="77777777" w:rsidR="009A0A63" w:rsidRPr="00792B36" w:rsidRDefault="009A0A63" w:rsidP="00A24459">
            <w:pPr>
              <w:rPr>
                <w:rFonts w:eastAsia="Times New Roman"/>
                <w:color w:val="000000"/>
                <w:sz w:val="24"/>
                <w:szCs w:val="24"/>
              </w:rPr>
            </w:pPr>
            <w:r w:rsidRPr="00792B36">
              <w:rPr>
                <w:rFonts w:eastAsia="Times New Roman"/>
                <w:color w:val="000000"/>
                <w:sz w:val="24"/>
                <w:szCs w:val="24"/>
              </w:rPr>
              <w:t>Shipbuilding, electronics manufacturing, logistics, and automotive components</w:t>
            </w:r>
          </w:p>
        </w:tc>
      </w:tr>
      <w:tr w:rsidR="009A0A63" w:rsidRPr="00792B36" w14:paraId="6615F4B8" w14:textId="77777777" w:rsidTr="00A24459">
        <w:trPr>
          <w:trHeight w:val="262"/>
        </w:trPr>
        <w:tc>
          <w:tcPr>
            <w:tcW w:w="2410" w:type="dxa"/>
            <w:tcBorders>
              <w:top w:val="nil"/>
              <w:left w:val="single" w:sz="4" w:space="0" w:color="auto"/>
              <w:bottom w:val="single" w:sz="4" w:space="0" w:color="auto"/>
              <w:right w:val="single" w:sz="4" w:space="0" w:color="auto"/>
            </w:tcBorders>
            <w:noWrap/>
            <w:hideMark/>
          </w:tcPr>
          <w:p w14:paraId="3ABEBE10" w14:textId="77777777" w:rsidR="009A0A63" w:rsidRPr="00792B36" w:rsidRDefault="009A0A63" w:rsidP="00A24459">
            <w:pPr>
              <w:rPr>
                <w:rFonts w:eastAsia="Times New Roman"/>
                <w:color w:val="000000"/>
                <w:sz w:val="24"/>
                <w:szCs w:val="24"/>
              </w:rPr>
            </w:pPr>
            <w:r w:rsidRPr="00792B36">
              <w:rPr>
                <w:rFonts w:eastAsia="Times New Roman"/>
                <w:color w:val="000000"/>
                <w:sz w:val="24"/>
                <w:szCs w:val="24"/>
              </w:rPr>
              <w:t>Samut Sakhon</w:t>
            </w:r>
          </w:p>
        </w:tc>
        <w:tc>
          <w:tcPr>
            <w:tcW w:w="6379" w:type="dxa"/>
            <w:tcBorders>
              <w:top w:val="nil"/>
              <w:left w:val="nil"/>
              <w:bottom w:val="single" w:sz="4" w:space="0" w:color="auto"/>
              <w:right w:val="single" w:sz="4" w:space="0" w:color="auto"/>
            </w:tcBorders>
            <w:hideMark/>
          </w:tcPr>
          <w:p w14:paraId="428E3F0F" w14:textId="77777777" w:rsidR="009A0A63" w:rsidRPr="00792B36" w:rsidRDefault="009A0A63" w:rsidP="00A24459">
            <w:pPr>
              <w:rPr>
                <w:rFonts w:eastAsia="Times New Roman"/>
                <w:color w:val="000000"/>
                <w:sz w:val="24"/>
                <w:szCs w:val="24"/>
              </w:rPr>
            </w:pPr>
            <w:r w:rsidRPr="00792B36">
              <w:rPr>
                <w:rFonts w:eastAsia="Times New Roman"/>
                <w:color w:val="000000"/>
                <w:sz w:val="24"/>
                <w:szCs w:val="24"/>
              </w:rPr>
              <w:t>Processed seafood industry, marine fisheries, seafood export</w:t>
            </w:r>
          </w:p>
        </w:tc>
      </w:tr>
      <w:tr w:rsidR="009A0A63" w:rsidRPr="00792B36" w14:paraId="1D975492" w14:textId="77777777" w:rsidTr="00A24459">
        <w:trPr>
          <w:trHeight w:val="58"/>
        </w:trPr>
        <w:tc>
          <w:tcPr>
            <w:tcW w:w="2410" w:type="dxa"/>
            <w:tcBorders>
              <w:top w:val="nil"/>
              <w:left w:val="single" w:sz="4" w:space="0" w:color="auto"/>
              <w:bottom w:val="single" w:sz="4" w:space="0" w:color="auto"/>
              <w:right w:val="single" w:sz="4" w:space="0" w:color="auto"/>
            </w:tcBorders>
            <w:noWrap/>
            <w:hideMark/>
          </w:tcPr>
          <w:p w14:paraId="735A219D" w14:textId="77777777" w:rsidR="009A0A63" w:rsidRPr="00792B36" w:rsidRDefault="009A0A63" w:rsidP="00A24459">
            <w:pPr>
              <w:rPr>
                <w:rFonts w:eastAsia="Times New Roman"/>
                <w:color w:val="000000"/>
                <w:sz w:val="24"/>
                <w:szCs w:val="24"/>
              </w:rPr>
            </w:pPr>
            <w:r w:rsidRPr="00792B36">
              <w:rPr>
                <w:rFonts w:eastAsia="Times New Roman"/>
                <w:color w:val="000000"/>
                <w:sz w:val="24"/>
                <w:szCs w:val="24"/>
              </w:rPr>
              <w:t>Samut Songkharm</w:t>
            </w:r>
          </w:p>
        </w:tc>
        <w:tc>
          <w:tcPr>
            <w:tcW w:w="6379" w:type="dxa"/>
            <w:tcBorders>
              <w:top w:val="nil"/>
              <w:left w:val="nil"/>
              <w:bottom w:val="single" w:sz="4" w:space="0" w:color="auto"/>
              <w:right w:val="single" w:sz="4" w:space="0" w:color="auto"/>
            </w:tcBorders>
            <w:hideMark/>
          </w:tcPr>
          <w:p w14:paraId="63C87E04" w14:textId="77777777" w:rsidR="009A0A63" w:rsidRPr="00792B36" w:rsidRDefault="009A0A63" w:rsidP="00A24459">
            <w:pPr>
              <w:rPr>
                <w:rFonts w:eastAsia="Times New Roman"/>
                <w:color w:val="000000"/>
                <w:sz w:val="24"/>
                <w:szCs w:val="24"/>
              </w:rPr>
            </w:pPr>
            <w:r w:rsidRPr="00792B36">
              <w:rPr>
                <w:rFonts w:eastAsia="Times New Roman"/>
                <w:color w:val="000000"/>
                <w:sz w:val="24"/>
                <w:szCs w:val="24"/>
              </w:rPr>
              <w:t>Coastal fisheries, agriculture, and seafood processing</w:t>
            </w:r>
          </w:p>
        </w:tc>
      </w:tr>
      <w:tr w:rsidR="009A0A63" w:rsidRPr="00792B36" w14:paraId="7C36FBDE" w14:textId="77777777" w:rsidTr="00A24459">
        <w:trPr>
          <w:trHeight w:val="58"/>
        </w:trPr>
        <w:tc>
          <w:tcPr>
            <w:tcW w:w="2410" w:type="dxa"/>
            <w:tcBorders>
              <w:top w:val="nil"/>
              <w:left w:val="single" w:sz="4" w:space="0" w:color="auto"/>
              <w:bottom w:val="single" w:sz="4" w:space="0" w:color="auto"/>
              <w:right w:val="single" w:sz="4" w:space="0" w:color="auto"/>
            </w:tcBorders>
            <w:noWrap/>
            <w:hideMark/>
          </w:tcPr>
          <w:p w14:paraId="519414D8" w14:textId="77777777" w:rsidR="009A0A63" w:rsidRPr="00792B36" w:rsidRDefault="009A0A63" w:rsidP="00A24459">
            <w:pPr>
              <w:rPr>
                <w:rFonts w:eastAsia="Times New Roman"/>
                <w:color w:val="000000"/>
                <w:sz w:val="24"/>
                <w:szCs w:val="24"/>
              </w:rPr>
            </w:pPr>
            <w:r w:rsidRPr="00792B36">
              <w:rPr>
                <w:rFonts w:eastAsia="Times New Roman"/>
                <w:color w:val="000000"/>
                <w:sz w:val="24"/>
                <w:szCs w:val="24"/>
              </w:rPr>
              <w:t>Petchaburi</w:t>
            </w:r>
          </w:p>
        </w:tc>
        <w:tc>
          <w:tcPr>
            <w:tcW w:w="6379" w:type="dxa"/>
            <w:tcBorders>
              <w:top w:val="nil"/>
              <w:left w:val="nil"/>
              <w:bottom w:val="single" w:sz="4" w:space="0" w:color="auto"/>
              <w:right w:val="single" w:sz="4" w:space="0" w:color="auto"/>
            </w:tcBorders>
            <w:hideMark/>
          </w:tcPr>
          <w:p w14:paraId="38F077F6" w14:textId="77777777" w:rsidR="009A0A63" w:rsidRPr="00792B36" w:rsidRDefault="009A0A63" w:rsidP="00A24459">
            <w:pPr>
              <w:rPr>
                <w:rFonts w:eastAsia="Times New Roman"/>
                <w:color w:val="000000"/>
                <w:sz w:val="24"/>
                <w:szCs w:val="24"/>
              </w:rPr>
            </w:pPr>
            <w:r w:rsidRPr="00792B36">
              <w:rPr>
                <w:rFonts w:eastAsia="Times New Roman"/>
                <w:color w:val="000000"/>
                <w:sz w:val="24"/>
                <w:szCs w:val="24"/>
              </w:rPr>
              <w:t>Coastal tourism (Cha Am), agro-processing, fisheries, and fruit products</w:t>
            </w:r>
          </w:p>
        </w:tc>
      </w:tr>
      <w:tr w:rsidR="009A0A63" w:rsidRPr="00792B36" w14:paraId="779FA8A9" w14:textId="77777777" w:rsidTr="00A24459">
        <w:trPr>
          <w:trHeight w:val="207"/>
        </w:trPr>
        <w:tc>
          <w:tcPr>
            <w:tcW w:w="2410" w:type="dxa"/>
            <w:tcBorders>
              <w:top w:val="nil"/>
              <w:left w:val="single" w:sz="4" w:space="0" w:color="auto"/>
              <w:bottom w:val="single" w:sz="4" w:space="0" w:color="auto"/>
              <w:right w:val="single" w:sz="4" w:space="0" w:color="auto"/>
            </w:tcBorders>
            <w:noWrap/>
            <w:hideMark/>
          </w:tcPr>
          <w:p w14:paraId="64697C3E" w14:textId="77777777" w:rsidR="009A0A63" w:rsidRPr="00792B36" w:rsidRDefault="009A0A63" w:rsidP="00A24459">
            <w:pPr>
              <w:rPr>
                <w:rFonts w:eastAsia="Times New Roman"/>
                <w:color w:val="000000"/>
                <w:sz w:val="24"/>
                <w:szCs w:val="24"/>
              </w:rPr>
            </w:pPr>
            <w:r w:rsidRPr="00792B36">
              <w:rPr>
                <w:rFonts w:eastAsia="Times New Roman"/>
                <w:color w:val="000000"/>
                <w:sz w:val="24"/>
                <w:szCs w:val="24"/>
              </w:rPr>
              <w:t>Prachuap Khiri Khan</w:t>
            </w:r>
          </w:p>
        </w:tc>
        <w:tc>
          <w:tcPr>
            <w:tcW w:w="6379" w:type="dxa"/>
            <w:tcBorders>
              <w:top w:val="nil"/>
              <w:left w:val="nil"/>
              <w:bottom w:val="single" w:sz="4" w:space="0" w:color="auto"/>
              <w:right w:val="single" w:sz="4" w:space="0" w:color="auto"/>
            </w:tcBorders>
            <w:hideMark/>
          </w:tcPr>
          <w:p w14:paraId="3DD03575" w14:textId="77777777" w:rsidR="009A0A63" w:rsidRPr="00792B36" w:rsidRDefault="009A0A63" w:rsidP="00A24459">
            <w:pPr>
              <w:rPr>
                <w:rFonts w:eastAsia="Times New Roman"/>
                <w:color w:val="000000"/>
                <w:sz w:val="24"/>
                <w:szCs w:val="24"/>
              </w:rPr>
            </w:pPr>
            <w:r w:rsidRPr="00792B36">
              <w:rPr>
                <w:rFonts w:eastAsia="Times New Roman"/>
                <w:color w:val="000000"/>
                <w:sz w:val="24"/>
                <w:szCs w:val="24"/>
              </w:rPr>
              <w:t>Tourism (Hua Hin), agriculture, and coastal fisheries</w:t>
            </w:r>
          </w:p>
        </w:tc>
      </w:tr>
      <w:tr w:rsidR="009A0A63" w:rsidRPr="00792B36" w14:paraId="0F9D4A97" w14:textId="77777777" w:rsidTr="00A24459">
        <w:trPr>
          <w:trHeight w:val="512"/>
        </w:trPr>
        <w:tc>
          <w:tcPr>
            <w:tcW w:w="2410" w:type="dxa"/>
            <w:tcBorders>
              <w:top w:val="nil"/>
              <w:left w:val="single" w:sz="4" w:space="0" w:color="auto"/>
              <w:bottom w:val="single" w:sz="4" w:space="0" w:color="auto"/>
              <w:right w:val="single" w:sz="4" w:space="0" w:color="auto"/>
            </w:tcBorders>
            <w:noWrap/>
            <w:hideMark/>
          </w:tcPr>
          <w:p w14:paraId="43164F75" w14:textId="77777777" w:rsidR="009A0A63" w:rsidRPr="00792B36" w:rsidRDefault="009A0A63" w:rsidP="00A24459">
            <w:pPr>
              <w:rPr>
                <w:rFonts w:eastAsia="Times New Roman"/>
                <w:color w:val="000000"/>
                <w:sz w:val="24"/>
                <w:szCs w:val="24"/>
              </w:rPr>
            </w:pPr>
            <w:r w:rsidRPr="00792B36">
              <w:rPr>
                <w:rFonts w:eastAsia="Times New Roman"/>
                <w:color w:val="000000"/>
                <w:sz w:val="24"/>
                <w:szCs w:val="24"/>
              </w:rPr>
              <w:t>Chumpon</w:t>
            </w:r>
          </w:p>
        </w:tc>
        <w:tc>
          <w:tcPr>
            <w:tcW w:w="6379" w:type="dxa"/>
            <w:tcBorders>
              <w:top w:val="nil"/>
              <w:left w:val="nil"/>
              <w:bottom w:val="single" w:sz="4" w:space="0" w:color="auto"/>
              <w:right w:val="single" w:sz="4" w:space="0" w:color="auto"/>
            </w:tcBorders>
            <w:hideMark/>
          </w:tcPr>
          <w:p w14:paraId="49F32348" w14:textId="77777777" w:rsidR="009A0A63" w:rsidRPr="00792B36" w:rsidRDefault="009A0A63" w:rsidP="00A24459">
            <w:pPr>
              <w:rPr>
                <w:rFonts w:eastAsia="Times New Roman"/>
                <w:color w:val="000000"/>
                <w:sz w:val="24"/>
                <w:szCs w:val="24"/>
              </w:rPr>
            </w:pPr>
            <w:r w:rsidRPr="00792B36">
              <w:rPr>
                <w:rFonts w:eastAsia="Times New Roman"/>
                <w:color w:val="000000"/>
                <w:sz w:val="24"/>
                <w:szCs w:val="24"/>
              </w:rPr>
              <w:t>Marine fisheries, agriculture (coffee, oil palm), tourism, seafood processing</w:t>
            </w:r>
          </w:p>
        </w:tc>
      </w:tr>
      <w:tr w:rsidR="009A0A63" w:rsidRPr="00792B36" w14:paraId="353B9E2D" w14:textId="77777777" w:rsidTr="00A24459">
        <w:trPr>
          <w:trHeight w:val="209"/>
        </w:trPr>
        <w:tc>
          <w:tcPr>
            <w:tcW w:w="2410" w:type="dxa"/>
            <w:tcBorders>
              <w:top w:val="nil"/>
              <w:left w:val="single" w:sz="4" w:space="0" w:color="auto"/>
              <w:bottom w:val="single" w:sz="4" w:space="0" w:color="auto"/>
              <w:right w:val="single" w:sz="4" w:space="0" w:color="auto"/>
            </w:tcBorders>
            <w:noWrap/>
            <w:hideMark/>
          </w:tcPr>
          <w:p w14:paraId="204336A2" w14:textId="77777777" w:rsidR="009A0A63" w:rsidRPr="00792B36" w:rsidRDefault="009A0A63" w:rsidP="00A24459">
            <w:pPr>
              <w:rPr>
                <w:rFonts w:eastAsia="Times New Roman"/>
                <w:color w:val="000000"/>
                <w:sz w:val="24"/>
                <w:szCs w:val="24"/>
              </w:rPr>
            </w:pPr>
            <w:r w:rsidRPr="00792B36">
              <w:rPr>
                <w:rFonts w:eastAsia="Times New Roman"/>
                <w:color w:val="000000"/>
                <w:sz w:val="24"/>
                <w:szCs w:val="24"/>
              </w:rPr>
              <w:t>Surat Thani</w:t>
            </w:r>
          </w:p>
        </w:tc>
        <w:tc>
          <w:tcPr>
            <w:tcW w:w="6379" w:type="dxa"/>
            <w:tcBorders>
              <w:top w:val="nil"/>
              <w:left w:val="nil"/>
              <w:bottom w:val="single" w:sz="4" w:space="0" w:color="auto"/>
              <w:right w:val="single" w:sz="4" w:space="0" w:color="auto"/>
            </w:tcBorders>
            <w:hideMark/>
          </w:tcPr>
          <w:p w14:paraId="4D93AC08" w14:textId="77777777" w:rsidR="009A0A63" w:rsidRPr="00792B36" w:rsidRDefault="009A0A63" w:rsidP="00A24459">
            <w:pPr>
              <w:rPr>
                <w:rFonts w:eastAsia="Times New Roman"/>
                <w:color w:val="000000"/>
                <w:sz w:val="24"/>
                <w:szCs w:val="24"/>
              </w:rPr>
            </w:pPr>
            <w:r w:rsidRPr="00792B36">
              <w:rPr>
                <w:rFonts w:eastAsia="Times New Roman"/>
                <w:color w:val="000000"/>
                <w:sz w:val="24"/>
                <w:szCs w:val="24"/>
              </w:rPr>
              <w:t>Tourism (Koh Samui), passenger marine transport, fisheries, rubber production</w:t>
            </w:r>
          </w:p>
        </w:tc>
      </w:tr>
      <w:tr w:rsidR="009A0A63" w:rsidRPr="00792B36" w14:paraId="3BDAB953" w14:textId="77777777" w:rsidTr="00A24459">
        <w:trPr>
          <w:trHeight w:val="158"/>
        </w:trPr>
        <w:tc>
          <w:tcPr>
            <w:tcW w:w="2410" w:type="dxa"/>
            <w:tcBorders>
              <w:top w:val="nil"/>
              <w:left w:val="single" w:sz="4" w:space="0" w:color="auto"/>
              <w:bottom w:val="single" w:sz="4" w:space="0" w:color="auto"/>
              <w:right w:val="single" w:sz="4" w:space="0" w:color="auto"/>
            </w:tcBorders>
            <w:noWrap/>
            <w:hideMark/>
          </w:tcPr>
          <w:p w14:paraId="4B2FF412" w14:textId="77777777" w:rsidR="009A0A63" w:rsidRPr="00792B36" w:rsidRDefault="009A0A63" w:rsidP="00A24459">
            <w:pPr>
              <w:rPr>
                <w:rFonts w:eastAsia="Times New Roman"/>
                <w:color w:val="000000"/>
                <w:sz w:val="24"/>
                <w:szCs w:val="24"/>
              </w:rPr>
            </w:pPr>
            <w:r w:rsidRPr="00792B36">
              <w:rPr>
                <w:rFonts w:eastAsia="Times New Roman"/>
                <w:color w:val="000000"/>
                <w:sz w:val="24"/>
                <w:szCs w:val="24"/>
              </w:rPr>
              <w:t>Nakhon Si Thammarat</w:t>
            </w:r>
          </w:p>
        </w:tc>
        <w:tc>
          <w:tcPr>
            <w:tcW w:w="6379" w:type="dxa"/>
            <w:tcBorders>
              <w:top w:val="nil"/>
              <w:left w:val="nil"/>
              <w:bottom w:val="single" w:sz="4" w:space="0" w:color="auto"/>
              <w:right w:val="single" w:sz="4" w:space="0" w:color="auto"/>
            </w:tcBorders>
            <w:hideMark/>
          </w:tcPr>
          <w:p w14:paraId="09B33A92" w14:textId="77777777" w:rsidR="009A0A63" w:rsidRPr="00792B36" w:rsidRDefault="009A0A63" w:rsidP="00A24459">
            <w:pPr>
              <w:rPr>
                <w:rFonts w:eastAsia="Times New Roman"/>
                <w:color w:val="000000"/>
                <w:sz w:val="24"/>
                <w:szCs w:val="24"/>
              </w:rPr>
            </w:pPr>
            <w:r w:rsidRPr="00792B36">
              <w:rPr>
                <w:rFonts w:eastAsia="Times New Roman"/>
                <w:color w:val="000000"/>
                <w:sz w:val="24"/>
                <w:szCs w:val="24"/>
              </w:rPr>
              <w:t>Agriculture (oil palm, fruits), fisheries, and border trade</w:t>
            </w:r>
          </w:p>
        </w:tc>
      </w:tr>
      <w:tr w:rsidR="009A0A63" w:rsidRPr="00792B36" w14:paraId="7E283F12" w14:textId="77777777" w:rsidTr="00A24459">
        <w:trPr>
          <w:trHeight w:val="137"/>
        </w:trPr>
        <w:tc>
          <w:tcPr>
            <w:tcW w:w="2410" w:type="dxa"/>
            <w:tcBorders>
              <w:top w:val="nil"/>
              <w:left w:val="single" w:sz="4" w:space="0" w:color="auto"/>
              <w:bottom w:val="single" w:sz="4" w:space="0" w:color="auto"/>
              <w:right w:val="single" w:sz="4" w:space="0" w:color="auto"/>
            </w:tcBorders>
            <w:noWrap/>
            <w:hideMark/>
          </w:tcPr>
          <w:p w14:paraId="5104672A" w14:textId="77777777" w:rsidR="009A0A63" w:rsidRPr="00792B36" w:rsidRDefault="009A0A63" w:rsidP="00A24459">
            <w:pPr>
              <w:rPr>
                <w:rFonts w:eastAsia="Times New Roman"/>
                <w:color w:val="000000"/>
                <w:sz w:val="24"/>
                <w:szCs w:val="24"/>
              </w:rPr>
            </w:pPr>
            <w:r w:rsidRPr="00792B36">
              <w:rPr>
                <w:rFonts w:eastAsia="Times New Roman"/>
                <w:color w:val="000000"/>
                <w:sz w:val="24"/>
                <w:szCs w:val="24"/>
              </w:rPr>
              <w:t>Songkhla</w:t>
            </w:r>
          </w:p>
        </w:tc>
        <w:tc>
          <w:tcPr>
            <w:tcW w:w="6379" w:type="dxa"/>
            <w:tcBorders>
              <w:top w:val="nil"/>
              <w:left w:val="nil"/>
              <w:bottom w:val="single" w:sz="4" w:space="0" w:color="auto"/>
              <w:right w:val="single" w:sz="4" w:space="0" w:color="auto"/>
            </w:tcBorders>
            <w:hideMark/>
          </w:tcPr>
          <w:p w14:paraId="30F69112" w14:textId="77777777" w:rsidR="009A0A63" w:rsidRPr="00792B36" w:rsidRDefault="009A0A63" w:rsidP="00A24459">
            <w:pPr>
              <w:rPr>
                <w:rFonts w:eastAsia="Times New Roman"/>
                <w:color w:val="000000"/>
                <w:sz w:val="24"/>
                <w:szCs w:val="24"/>
              </w:rPr>
            </w:pPr>
            <w:r w:rsidRPr="00792B36">
              <w:rPr>
                <w:rFonts w:eastAsia="Times New Roman"/>
                <w:color w:val="000000"/>
                <w:sz w:val="24"/>
                <w:szCs w:val="24"/>
              </w:rPr>
              <w:t>Deep-sea port, higher education, border trade, food industry</w:t>
            </w:r>
          </w:p>
        </w:tc>
      </w:tr>
      <w:tr w:rsidR="009A0A63" w:rsidRPr="00792B36" w14:paraId="0B64F1E9" w14:textId="77777777" w:rsidTr="00A24459">
        <w:trPr>
          <w:trHeight w:val="255"/>
        </w:trPr>
        <w:tc>
          <w:tcPr>
            <w:tcW w:w="2410" w:type="dxa"/>
            <w:tcBorders>
              <w:top w:val="nil"/>
              <w:left w:val="single" w:sz="4" w:space="0" w:color="auto"/>
              <w:bottom w:val="single" w:sz="4" w:space="0" w:color="auto"/>
              <w:right w:val="single" w:sz="4" w:space="0" w:color="auto"/>
            </w:tcBorders>
            <w:noWrap/>
            <w:hideMark/>
          </w:tcPr>
          <w:p w14:paraId="69088614" w14:textId="77777777" w:rsidR="009A0A63" w:rsidRPr="00792B36" w:rsidRDefault="009A0A63" w:rsidP="00A24459">
            <w:pPr>
              <w:rPr>
                <w:rFonts w:eastAsia="Times New Roman"/>
                <w:color w:val="000000"/>
                <w:sz w:val="24"/>
                <w:szCs w:val="24"/>
              </w:rPr>
            </w:pPr>
            <w:r w:rsidRPr="00792B36">
              <w:rPr>
                <w:rFonts w:eastAsia="Times New Roman"/>
                <w:color w:val="000000"/>
                <w:sz w:val="24"/>
                <w:szCs w:val="24"/>
              </w:rPr>
              <w:t>Pattani</w:t>
            </w:r>
          </w:p>
        </w:tc>
        <w:tc>
          <w:tcPr>
            <w:tcW w:w="6379" w:type="dxa"/>
            <w:tcBorders>
              <w:top w:val="nil"/>
              <w:left w:val="nil"/>
              <w:bottom w:val="single" w:sz="4" w:space="0" w:color="auto"/>
              <w:right w:val="single" w:sz="4" w:space="0" w:color="auto"/>
            </w:tcBorders>
            <w:hideMark/>
          </w:tcPr>
          <w:p w14:paraId="070CA6BA" w14:textId="77777777" w:rsidR="009A0A63" w:rsidRPr="00792B36" w:rsidRDefault="009A0A63" w:rsidP="00A24459">
            <w:pPr>
              <w:rPr>
                <w:rFonts w:eastAsia="Times New Roman"/>
                <w:color w:val="000000"/>
                <w:sz w:val="24"/>
                <w:szCs w:val="24"/>
              </w:rPr>
            </w:pPr>
            <w:r w:rsidRPr="00792B36">
              <w:rPr>
                <w:rFonts w:eastAsia="Times New Roman"/>
                <w:color w:val="000000"/>
                <w:sz w:val="24"/>
                <w:szCs w:val="24"/>
              </w:rPr>
              <w:t>Small-scale fisheries, agriculture, and traditional food processing</w:t>
            </w:r>
          </w:p>
        </w:tc>
      </w:tr>
      <w:tr w:rsidR="009A0A63" w:rsidRPr="00792B36" w14:paraId="51ED7E75" w14:textId="77777777" w:rsidTr="00A24459">
        <w:trPr>
          <w:trHeight w:val="58"/>
        </w:trPr>
        <w:tc>
          <w:tcPr>
            <w:tcW w:w="2410" w:type="dxa"/>
            <w:tcBorders>
              <w:top w:val="nil"/>
              <w:left w:val="single" w:sz="4" w:space="0" w:color="auto"/>
              <w:bottom w:val="single" w:sz="4" w:space="0" w:color="auto"/>
              <w:right w:val="single" w:sz="4" w:space="0" w:color="auto"/>
            </w:tcBorders>
            <w:noWrap/>
            <w:hideMark/>
          </w:tcPr>
          <w:p w14:paraId="3AA11DEF" w14:textId="77777777" w:rsidR="009A0A63" w:rsidRPr="00792B36" w:rsidRDefault="009A0A63" w:rsidP="00A24459">
            <w:pPr>
              <w:rPr>
                <w:rFonts w:eastAsia="Times New Roman"/>
                <w:color w:val="000000"/>
                <w:sz w:val="24"/>
                <w:szCs w:val="24"/>
              </w:rPr>
            </w:pPr>
            <w:r w:rsidRPr="00792B36">
              <w:rPr>
                <w:rFonts w:eastAsia="Times New Roman"/>
                <w:color w:val="000000"/>
                <w:sz w:val="24"/>
                <w:szCs w:val="24"/>
              </w:rPr>
              <w:t>Narathiwat</w:t>
            </w:r>
          </w:p>
        </w:tc>
        <w:tc>
          <w:tcPr>
            <w:tcW w:w="6379" w:type="dxa"/>
            <w:tcBorders>
              <w:top w:val="nil"/>
              <w:left w:val="nil"/>
              <w:bottom w:val="single" w:sz="4" w:space="0" w:color="auto"/>
              <w:right w:val="single" w:sz="4" w:space="0" w:color="auto"/>
            </w:tcBorders>
            <w:hideMark/>
          </w:tcPr>
          <w:p w14:paraId="52062CB2" w14:textId="77777777" w:rsidR="009A0A63" w:rsidRPr="00792B36" w:rsidRDefault="009A0A63" w:rsidP="00A24459">
            <w:pPr>
              <w:rPr>
                <w:rFonts w:eastAsia="Times New Roman"/>
                <w:color w:val="000000"/>
                <w:sz w:val="24"/>
                <w:szCs w:val="24"/>
              </w:rPr>
            </w:pPr>
            <w:r w:rsidRPr="00792B36">
              <w:rPr>
                <w:rFonts w:eastAsia="Times New Roman"/>
                <w:color w:val="000000"/>
                <w:sz w:val="24"/>
                <w:szCs w:val="24"/>
              </w:rPr>
              <w:t>Fisheries, agriculture (rice, palm oil), and border commerce</w:t>
            </w:r>
          </w:p>
        </w:tc>
      </w:tr>
    </w:tbl>
    <w:p w14:paraId="1F192785" w14:textId="77777777" w:rsidR="009A0A63" w:rsidRPr="00792B36" w:rsidRDefault="009A0A63" w:rsidP="009A0A63">
      <w:pPr>
        <w:rPr>
          <w:sz w:val="24"/>
          <w:szCs w:val="24"/>
        </w:rPr>
      </w:pPr>
    </w:p>
    <w:p w14:paraId="230DEB11" w14:textId="77777777" w:rsidR="009A0A63" w:rsidRPr="00792B36" w:rsidRDefault="009A0A63" w:rsidP="009A0A63">
      <w:pPr>
        <w:spacing w:before="120" w:after="120"/>
        <w:ind w:firstLine="1134"/>
        <w:jc w:val="thaiDistribute"/>
        <w:rPr>
          <w:sz w:val="24"/>
          <w:szCs w:val="24"/>
        </w:rPr>
      </w:pPr>
      <w:r w:rsidRPr="00792B36">
        <w:rPr>
          <w:sz w:val="24"/>
          <w:szCs w:val="24"/>
        </w:rPr>
        <w:br w:type="page"/>
      </w:r>
    </w:p>
    <w:p w14:paraId="67FFA52B" w14:textId="77777777" w:rsidR="009A0A63" w:rsidRPr="00792B36" w:rsidRDefault="009A0A63" w:rsidP="009A0A63">
      <w:pPr>
        <w:contextualSpacing/>
        <w:rPr>
          <w:sz w:val="24"/>
          <w:szCs w:val="24"/>
        </w:rPr>
      </w:pPr>
      <w:r w:rsidRPr="00792B36">
        <w:rPr>
          <w:sz w:val="24"/>
          <w:szCs w:val="24"/>
        </w:rPr>
        <w:lastRenderedPageBreak/>
        <w:t>Annex 3: GPP, GPP per capita and Poverty headcount of the 16 coastal provinces of the Gulf of Thailand in 2023 (Office of the National Economic Social and Development Council, 2025)</w:t>
      </w:r>
    </w:p>
    <w:tbl>
      <w:tblPr>
        <w:tblStyle w:val="TableGrid"/>
        <w:tblW w:w="9067" w:type="dxa"/>
        <w:tblLayout w:type="fixed"/>
        <w:tblLook w:val="04A0" w:firstRow="1" w:lastRow="0" w:firstColumn="1" w:lastColumn="0" w:noHBand="0" w:noVBand="1"/>
      </w:tblPr>
      <w:tblGrid>
        <w:gridCol w:w="2830"/>
        <w:gridCol w:w="1843"/>
        <w:gridCol w:w="1759"/>
        <w:gridCol w:w="2635"/>
      </w:tblGrid>
      <w:tr w:rsidR="009A0A63" w:rsidRPr="00792B36" w14:paraId="34C73679" w14:textId="77777777" w:rsidTr="00A24459">
        <w:trPr>
          <w:trHeight w:val="495"/>
        </w:trPr>
        <w:tc>
          <w:tcPr>
            <w:tcW w:w="2830" w:type="dxa"/>
            <w:noWrap/>
            <w:hideMark/>
          </w:tcPr>
          <w:p w14:paraId="55705316" w14:textId="77777777" w:rsidR="009A0A63" w:rsidRPr="00792B36" w:rsidRDefault="009A0A63" w:rsidP="00A24459">
            <w:pPr>
              <w:contextualSpacing/>
              <w:rPr>
                <w:rFonts w:eastAsia="Times New Roman"/>
                <w:color w:val="000000"/>
                <w:sz w:val="24"/>
                <w:szCs w:val="24"/>
              </w:rPr>
            </w:pPr>
          </w:p>
        </w:tc>
        <w:tc>
          <w:tcPr>
            <w:tcW w:w="1843" w:type="dxa"/>
            <w:hideMark/>
          </w:tcPr>
          <w:p w14:paraId="5130657B" w14:textId="77777777" w:rsidR="009A0A63" w:rsidRPr="00792B36" w:rsidRDefault="009A0A63" w:rsidP="00A24459">
            <w:pPr>
              <w:contextualSpacing/>
              <w:jc w:val="center"/>
              <w:rPr>
                <w:rFonts w:eastAsia="Times New Roman"/>
                <w:color w:val="000000"/>
                <w:sz w:val="24"/>
                <w:szCs w:val="24"/>
              </w:rPr>
            </w:pPr>
            <w:r w:rsidRPr="00792B36">
              <w:rPr>
                <w:rFonts w:eastAsia="Times New Roman"/>
                <w:color w:val="000000"/>
                <w:sz w:val="24"/>
                <w:szCs w:val="24"/>
              </w:rPr>
              <w:t>GPP (Billion USD)</w:t>
            </w:r>
          </w:p>
        </w:tc>
        <w:tc>
          <w:tcPr>
            <w:tcW w:w="1759" w:type="dxa"/>
            <w:hideMark/>
          </w:tcPr>
          <w:p w14:paraId="48B20E81" w14:textId="77777777" w:rsidR="009A0A63" w:rsidRPr="00792B36" w:rsidRDefault="009A0A63" w:rsidP="00A24459">
            <w:pPr>
              <w:contextualSpacing/>
              <w:jc w:val="center"/>
              <w:rPr>
                <w:rFonts w:eastAsia="Times New Roman"/>
                <w:color w:val="000000"/>
                <w:sz w:val="24"/>
                <w:szCs w:val="24"/>
              </w:rPr>
            </w:pPr>
            <w:r w:rsidRPr="00792B36">
              <w:rPr>
                <w:rFonts w:eastAsia="Times New Roman"/>
                <w:color w:val="000000"/>
                <w:sz w:val="24"/>
                <w:szCs w:val="24"/>
              </w:rPr>
              <w:t>GPP per capita (USD)</w:t>
            </w:r>
          </w:p>
        </w:tc>
        <w:tc>
          <w:tcPr>
            <w:tcW w:w="2635" w:type="dxa"/>
            <w:hideMark/>
          </w:tcPr>
          <w:p w14:paraId="71E33723" w14:textId="77777777" w:rsidR="009A0A63" w:rsidRPr="00792B36" w:rsidRDefault="009A0A63" w:rsidP="00A24459">
            <w:pPr>
              <w:contextualSpacing/>
              <w:jc w:val="center"/>
              <w:rPr>
                <w:rFonts w:eastAsia="Times New Roman"/>
                <w:color w:val="000000"/>
                <w:sz w:val="24"/>
                <w:szCs w:val="24"/>
              </w:rPr>
            </w:pPr>
            <w:r w:rsidRPr="00792B36">
              <w:rPr>
                <w:rFonts w:eastAsia="Times New Roman"/>
                <w:color w:val="000000"/>
                <w:sz w:val="24"/>
                <w:szCs w:val="24"/>
              </w:rPr>
              <w:t>Poverty headcount (% of population)</w:t>
            </w:r>
          </w:p>
        </w:tc>
      </w:tr>
      <w:tr w:rsidR="009A0A63" w:rsidRPr="00792B36" w14:paraId="154FF93D" w14:textId="77777777" w:rsidTr="00A24459">
        <w:trPr>
          <w:trHeight w:val="86"/>
        </w:trPr>
        <w:tc>
          <w:tcPr>
            <w:tcW w:w="2830" w:type="dxa"/>
            <w:noWrap/>
            <w:hideMark/>
          </w:tcPr>
          <w:p w14:paraId="59818411" w14:textId="77777777" w:rsidR="009A0A63" w:rsidRPr="00792B36" w:rsidRDefault="009A0A63" w:rsidP="00A24459">
            <w:pPr>
              <w:contextualSpacing/>
              <w:rPr>
                <w:rFonts w:eastAsia="Times New Roman"/>
                <w:color w:val="000000"/>
                <w:sz w:val="24"/>
                <w:szCs w:val="24"/>
              </w:rPr>
            </w:pPr>
            <w:r w:rsidRPr="00792B36">
              <w:rPr>
                <w:rFonts w:eastAsia="Times New Roman"/>
                <w:color w:val="000000"/>
                <w:sz w:val="24"/>
                <w:szCs w:val="24"/>
              </w:rPr>
              <w:t>Whole Kingdom</w:t>
            </w:r>
          </w:p>
        </w:tc>
        <w:tc>
          <w:tcPr>
            <w:tcW w:w="1843" w:type="dxa"/>
            <w:noWrap/>
            <w:vAlign w:val="center"/>
            <w:hideMark/>
          </w:tcPr>
          <w:p w14:paraId="58B45E49" w14:textId="77777777" w:rsidR="009A0A63" w:rsidRPr="00792B36" w:rsidRDefault="009A0A63" w:rsidP="00A24459">
            <w:pPr>
              <w:contextualSpacing/>
              <w:jc w:val="center"/>
              <w:rPr>
                <w:rFonts w:eastAsia="Times New Roman"/>
                <w:color w:val="000000"/>
                <w:sz w:val="24"/>
                <w:szCs w:val="24"/>
              </w:rPr>
            </w:pPr>
            <w:r w:rsidRPr="00792B36">
              <w:rPr>
                <w:rFonts w:eastAsia="Times New Roman"/>
                <w:color w:val="000000"/>
                <w:sz w:val="24"/>
                <w:szCs w:val="24"/>
              </w:rPr>
              <w:t>515.94</w:t>
            </w:r>
          </w:p>
        </w:tc>
        <w:tc>
          <w:tcPr>
            <w:tcW w:w="1759" w:type="dxa"/>
            <w:noWrap/>
            <w:hideMark/>
          </w:tcPr>
          <w:p w14:paraId="1A91F5C2" w14:textId="77777777" w:rsidR="009A0A63" w:rsidRPr="00792B36" w:rsidRDefault="009A0A63" w:rsidP="00A24459">
            <w:pPr>
              <w:contextualSpacing/>
              <w:jc w:val="center"/>
              <w:rPr>
                <w:rFonts w:eastAsia="Times New Roman"/>
                <w:color w:val="000000"/>
                <w:sz w:val="24"/>
                <w:szCs w:val="24"/>
              </w:rPr>
            </w:pPr>
            <w:r w:rsidRPr="00792B36">
              <w:rPr>
                <w:rFonts w:eastAsia="Times New Roman"/>
                <w:color w:val="000000"/>
                <w:sz w:val="24"/>
                <w:szCs w:val="24"/>
              </w:rPr>
              <w:t>7,366.25</w:t>
            </w:r>
          </w:p>
        </w:tc>
        <w:tc>
          <w:tcPr>
            <w:tcW w:w="2635" w:type="dxa"/>
            <w:hideMark/>
          </w:tcPr>
          <w:p w14:paraId="6C8DC1C8" w14:textId="77777777" w:rsidR="009A0A63" w:rsidRPr="00792B36" w:rsidRDefault="009A0A63" w:rsidP="00A24459">
            <w:pPr>
              <w:contextualSpacing/>
              <w:jc w:val="center"/>
              <w:rPr>
                <w:rFonts w:eastAsia="Times New Roman"/>
                <w:sz w:val="24"/>
                <w:szCs w:val="24"/>
              </w:rPr>
            </w:pPr>
            <w:r w:rsidRPr="00792B36">
              <w:rPr>
                <w:rFonts w:eastAsia="Times New Roman"/>
                <w:sz w:val="24"/>
                <w:szCs w:val="24"/>
              </w:rPr>
              <w:t>3.41</w:t>
            </w:r>
          </w:p>
        </w:tc>
      </w:tr>
      <w:tr w:rsidR="009A0A63" w:rsidRPr="00792B36" w14:paraId="1E1EC2CA" w14:textId="77777777" w:rsidTr="00A24459">
        <w:trPr>
          <w:trHeight w:val="133"/>
        </w:trPr>
        <w:tc>
          <w:tcPr>
            <w:tcW w:w="2830" w:type="dxa"/>
            <w:noWrap/>
          </w:tcPr>
          <w:p w14:paraId="38195C12" w14:textId="77777777" w:rsidR="009A0A63" w:rsidRPr="00792B36" w:rsidRDefault="009A0A63" w:rsidP="00A24459">
            <w:pPr>
              <w:contextualSpacing/>
              <w:rPr>
                <w:rFonts w:eastAsia="Times New Roman"/>
                <w:color w:val="000000"/>
                <w:sz w:val="24"/>
                <w:szCs w:val="24"/>
              </w:rPr>
            </w:pPr>
            <w:r w:rsidRPr="00792B36">
              <w:rPr>
                <w:rFonts w:eastAsia="Times New Roman"/>
                <w:color w:val="000000"/>
                <w:sz w:val="24"/>
                <w:szCs w:val="24"/>
              </w:rPr>
              <w:t>Rayong</w:t>
            </w:r>
          </w:p>
        </w:tc>
        <w:tc>
          <w:tcPr>
            <w:tcW w:w="1843" w:type="dxa"/>
            <w:noWrap/>
            <w:vAlign w:val="center"/>
          </w:tcPr>
          <w:p w14:paraId="3FEE003F" w14:textId="77777777" w:rsidR="009A0A63" w:rsidRPr="00792B36" w:rsidRDefault="009A0A63" w:rsidP="00A24459">
            <w:pPr>
              <w:contextualSpacing/>
              <w:jc w:val="center"/>
              <w:rPr>
                <w:rFonts w:eastAsia="Times New Roman"/>
                <w:color w:val="000000"/>
                <w:sz w:val="24"/>
                <w:szCs w:val="24"/>
              </w:rPr>
            </w:pPr>
            <w:r w:rsidRPr="00792B36">
              <w:rPr>
                <w:rFonts w:eastAsia="Times New Roman"/>
                <w:color w:val="000000"/>
                <w:sz w:val="24"/>
                <w:szCs w:val="24"/>
              </w:rPr>
              <w:t>30.2</w:t>
            </w:r>
          </w:p>
        </w:tc>
        <w:tc>
          <w:tcPr>
            <w:tcW w:w="1759" w:type="dxa"/>
            <w:noWrap/>
          </w:tcPr>
          <w:p w14:paraId="288C4555" w14:textId="77777777" w:rsidR="009A0A63" w:rsidRPr="00792B36" w:rsidRDefault="009A0A63" w:rsidP="00A24459">
            <w:pPr>
              <w:contextualSpacing/>
              <w:jc w:val="center"/>
              <w:rPr>
                <w:rFonts w:eastAsia="Times New Roman"/>
                <w:color w:val="000000"/>
                <w:sz w:val="24"/>
                <w:szCs w:val="24"/>
              </w:rPr>
            </w:pPr>
            <w:r w:rsidRPr="00792B36">
              <w:rPr>
                <w:rFonts w:eastAsia="Times New Roman"/>
                <w:color w:val="000000"/>
                <w:sz w:val="24"/>
                <w:szCs w:val="24"/>
              </w:rPr>
              <w:t>27,074.86</w:t>
            </w:r>
          </w:p>
        </w:tc>
        <w:tc>
          <w:tcPr>
            <w:tcW w:w="2635" w:type="dxa"/>
          </w:tcPr>
          <w:p w14:paraId="284C9C8E" w14:textId="77777777" w:rsidR="009A0A63" w:rsidRPr="00792B36" w:rsidRDefault="009A0A63" w:rsidP="00A24459">
            <w:pPr>
              <w:contextualSpacing/>
              <w:jc w:val="center"/>
              <w:rPr>
                <w:rFonts w:eastAsia="Times New Roman"/>
                <w:sz w:val="24"/>
                <w:szCs w:val="24"/>
              </w:rPr>
            </w:pPr>
            <w:r w:rsidRPr="00792B36">
              <w:rPr>
                <w:rFonts w:eastAsia="Times New Roman"/>
                <w:sz w:val="24"/>
                <w:szCs w:val="24"/>
              </w:rPr>
              <w:t>0.00%</w:t>
            </w:r>
          </w:p>
        </w:tc>
      </w:tr>
      <w:tr w:rsidR="009A0A63" w:rsidRPr="00792B36" w14:paraId="03191234" w14:textId="77777777" w:rsidTr="00A24459">
        <w:trPr>
          <w:trHeight w:val="133"/>
        </w:trPr>
        <w:tc>
          <w:tcPr>
            <w:tcW w:w="2830" w:type="dxa"/>
            <w:noWrap/>
          </w:tcPr>
          <w:p w14:paraId="1D2372A3" w14:textId="77777777" w:rsidR="009A0A63" w:rsidRPr="00792B36" w:rsidRDefault="009A0A63" w:rsidP="00A24459">
            <w:pPr>
              <w:contextualSpacing/>
              <w:rPr>
                <w:rFonts w:eastAsia="Times New Roman"/>
                <w:color w:val="000000"/>
                <w:sz w:val="24"/>
                <w:szCs w:val="24"/>
              </w:rPr>
            </w:pPr>
            <w:r w:rsidRPr="00792B36">
              <w:rPr>
                <w:rFonts w:eastAsia="Times New Roman"/>
                <w:color w:val="000000"/>
                <w:sz w:val="24"/>
                <w:szCs w:val="24"/>
              </w:rPr>
              <w:t>Chon Buri</w:t>
            </w:r>
          </w:p>
        </w:tc>
        <w:tc>
          <w:tcPr>
            <w:tcW w:w="1843" w:type="dxa"/>
            <w:noWrap/>
            <w:vAlign w:val="center"/>
          </w:tcPr>
          <w:p w14:paraId="73F193FB" w14:textId="77777777" w:rsidR="009A0A63" w:rsidRPr="00792B36" w:rsidRDefault="009A0A63" w:rsidP="00A24459">
            <w:pPr>
              <w:contextualSpacing/>
              <w:jc w:val="center"/>
              <w:rPr>
                <w:rFonts w:eastAsia="Times New Roman"/>
                <w:color w:val="000000"/>
                <w:sz w:val="24"/>
                <w:szCs w:val="24"/>
              </w:rPr>
            </w:pPr>
            <w:r w:rsidRPr="00792B36">
              <w:rPr>
                <w:rFonts w:eastAsia="Times New Roman"/>
                <w:color w:val="000000"/>
                <w:sz w:val="24"/>
                <w:szCs w:val="24"/>
              </w:rPr>
              <w:t>34.14</w:t>
            </w:r>
          </w:p>
        </w:tc>
        <w:tc>
          <w:tcPr>
            <w:tcW w:w="1759" w:type="dxa"/>
            <w:noWrap/>
          </w:tcPr>
          <w:p w14:paraId="15C6E9F0" w14:textId="77777777" w:rsidR="009A0A63" w:rsidRPr="00792B36" w:rsidRDefault="009A0A63" w:rsidP="00A24459">
            <w:pPr>
              <w:contextualSpacing/>
              <w:jc w:val="center"/>
              <w:rPr>
                <w:rFonts w:eastAsia="Times New Roman"/>
                <w:color w:val="000000"/>
                <w:sz w:val="24"/>
                <w:szCs w:val="24"/>
              </w:rPr>
            </w:pPr>
            <w:r w:rsidRPr="00792B36">
              <w:rPr>
                <w:rFonts w:eastAsia="Times New Roman"/>
                <w:color w:val="000000"/>
                <w:sz w:val="24"/>
                <w:szCs w:val="24"/>
              </w:rPr>
              <w:t>17,021.13</w:t>
            </w:r>
          </w:p>
        </w:tc>
        <w:tc>
          <w:tcPr>
            <w:tcW w:w="2635" w:type="dxa"/>
          </w:tcPr>
          <w:p w14:paraId="0B09694B" w14:textId="77777777" w:rsidR="009A0A63" w:rsidRPr="00792B36" w:rsidRDefault="009A0A63" w:rsidP="00A24459">
            <w:pPr>
              <w:contextualSpacing/>
              <w:jc w:val="center"/>
              <w:rPr>
                <w:rFonts w:eastAsia="Times New Roman"/>
                <w:sz w:val="24"/>
                <w:szCs w:val="24"/>
              </w:rPr>
            </w:pPr>
            <w:r w:rsidRPr="00792B36">
              <w:rPr>
                <w:rFonts w:eastAsia="Times New Roman"/>
                <w:sz w:val="24"/>
                <w:szCs w:val="24"/>
              </w:rPr>
              <w:t>0.34%</w:t>
            </w:r>
          </w:p>
        </w:tc>
      </w:tr>
      <w:tr w:rsidR="009A0A63" w:rsidRPr="00792B36" w14:paraId="69AB3736" w14:textId="77777777" w:rsidTr="00A24459">
        <w:trPr>
          <w:trHeight w:val="133"/>
        </w:trPr>
        <w:tc>
          <w:tcPr>
            <w:tcW w:w="2830" w:type="dxa"/>
            <w:noWrap/>
          </w:tcPr>
          <w:p w14:paraId="73DC11F4" w14:textId="77777777" w:rsidR="009A0A63" w:rsidRPr="00792B36" w:rsidRDefault="009A0A63" w:rsidP="00A24459">
            <w:pPr>
              <w:contextualSpacing/>
              <w:rPr>
                <w:rFonts w:eastAsia="Times New Roman"/>
                <w:color w:val="000000"/>
                <w:sz w:val="24"/>
                <w:szCs w:val="24"/>
              </w:rPr>
            </w:pPr>
            <w:r w:rsidRPr="00792B36">
              <w:rPr>
                <w:rFonts w:eastAsia="Times New Roman"/>
                <w:color w:val="000000"/>
                <w:sz w:val="24"/>
                <w:szCs w:val="24"/>
              </w:rPr>
              <w:t>Chachoengsao</w:t>
            </w:r>
          </w:p>
        </w:tc>
        <w:tc>
          <w:tcPr>
            <w:tcW w:w="1843" w:type="dxa"/>
            <w:noWrap/>
            <w:vAlign w:val="center"/>
          </w:tcPr>
          <w:p w14:paraId="5CA9BF44" w14:textId="77777777" w:rsidR="009A0A63" w:rsidRPr="00792B36" w:rsidRDefault="009A0A63" w:rsidP="00A24459">
            <w:pPr>
              <w:contextualSpacing/>
              <w:jc w:val="center"/>
              <w:rPr>
                <w:rFonts w:eastAsia="Times New Roman"/>
                <w:color w:val="000000"/>
                <w:sz w:val="24"/>
                <w:szCs w:val="24"/>
              </w:rPr>
            </w:pPr>
            <w:r w:rsidRPr="00792B36">
              <w:rPr>
                <w:rFonts w:eastAsia="Times New Roman"/>
                <w:color w:val="000000"/>
                <w:sz w:val="24"/>
                <w:szCs w:val="24"/>
              </w:rPr>
              <w:t>12.95</w:t>
            </w:r>
          </w:p>
        </w:tc>
        <w:tc>
          <w:tcPr>
            <w:tcW w:w="1759" w:type="dxa"/>
            <w:noWrap/>
          </w:tcPr>
          <w:p w14:paraId="771B8D9C" w14:textId="77777777" w:rsidR="009A0A63" w:rsidRPr="00792B36" w:rsidRDefault="009A0A63" w:rsidP="00A24459">
            <w:pPr>
              <w:contextualSpacing/>
              <w:jc w:val="center"/>
              <w:rPr>
                <w:rFonts w:eastAsia="Times New Roman"/>
                <w:color w:val="000000"/>
                <w:sz w:val="24"/>
                <w:szCs w:val="24"/>
              </w:rPr>
            </w:pPr>
            <w:r w:rsidRPr="00792B36">
              <w:rPr>
                <w:rFonts w:eastAsia="Times New Roman"/>
                <w:color w:val="000000"/>
                <w:sz w:val="24"/>
                <w:szCs w:val="24"/>
              </w:rPr>
              <w:t>14,080.60</w:t>
            </w:r>
          </w:p>
        </w:tc>
        <w:tc>
          <w:tcPr>
            <w:tcW w:w="2635" w:type="dxa"/>
          </w:tcPr>
          <w:p w14:paraId="771487D0" w14:textId="77777777" w:rsidR="009A0A63" w:rsidRPr="00792B36" w:rsidRDefault="009A0A63" w:rsidP="00A24459">
            <w:pPr>
              <w:contextualSpacing/>
              <w:jc w:val="center"/>
              <w:rPr>
                <w:rFonts w:eastAsia="Times New Roman"/>
                <w:sz w:val="24"/>
                <w:szCs w:val="24"/>
              </w:rPr>
            </w:pPr>
            <w:r w:rsidRPr="00792B36">
              <w:rPr>
                <w:rFonts w:eastAsia="Times New Roman"/>
                <w:sz w:val="24"/>
                <w:szCs w:val="24"/>
              </w:rPr>
              <w:t>0.44%</w:t>
            </w:r>
          </w:p>
        </w:tc>
      </w:tr>
      <w:tr w:rsidR="009A0A63" w:rsidRPr="00792B36" w14:paraId="2356E137" w14:textId="77777777" w:rsidTr="00A24459">
        <w:trPr>
          <w:trHeight w:val="125"/>
        </w:trPr>
        <w:tc>
          <w:tcPr>
            <w:tcW w:w="2830" w:type="dxa"/>
            <w:noWrap/>
          </w:tcPr>
          <w:p w14:paraId="68720E2C" w14:textId="77777777" w:rsidR="009A0A63" w:rsidRPr="00792B36" w:rsidRDefault="009A0A63" w:rsidP="00A24459">
            <w:pPr>
              <w:contextualSpacing/>
              <w:rPr>
                <w:rFonts w:eastAsia="Times New Roman"/>
                <w:color w:val="000000"/>
                <w:sz w:val="24"/>
                <w:szCs w:val="24"/>
              </w:rPr>
            </w:pPr>
            <w:r w:rsidRPr="00792B36">
              <w:rPr>
                <w:rFonts w:eastAsia="Times New Roman"/>
                <w:color w:val="000000"/>
                <w:sz w:val="24"/>
                <w:szCs w:val="24"/>
              </w:rPr>
              <w:t>Samut Sakhon</w:t>
            </w:r>
          </w:p>
        </w:tc>
        <w:tc>
          <w:tcPr>
            <w:tcW w:w="1843" w:type="dxa"/>
            <w:noWrap/>
            <w:vAlign w:val="center"/>
          </w:tcPr>
          <w:p w14:paraId="7A969BFA" w14:textId="77777777" w:rsidR="009A0A63" w:rsidRPr="00792B36" w:rsidRDefault="009A0A63" w:rsidP="00A24459">
            <w:pPr>
              <w:contextualSpacing/>
              <w:jc w:val="center"/>
              <w:rPr>
                <w:rFonts w:eastAsia="Times New Roman"/>
                <w:color w:val="000000"/>
                <w:sz w:val="24"/>
                <w:szCs w:val="24"/>
              </w:rPr>
            </w:pPr>
            <w:r w:rsidRPr="00792B36">
              <w:rPr>
                <w:rFonts w:eastAsia="Times New Roman"/>
                <w:color w:val="000000"/>
                <w:sz w:val="24"/>
                <w:szCs w:val="24"/>
              </w:rPr>
              <w:t>11.8</w:t>
            </w:r>
          </w:p>
        </w:tc>
        <w:tc>
          <w:tcPr>
            <w:tcW w:w="1759" w:type="dxa"/>
            <w:noWrap/>
          </w:tcPr>
          <w:p w14:paraId="7EEAB888" w14:textId="77777777" w:rsidR="009A0A63" w:rsidRPr="00792B36" w:rsidRDefault="009A0A63" w:rsidP="00A24459">
            <w:pPr>
              <w:contextualSpacing/>
              <w:jc w:val="center"/>
              <w:rPr>
                <w:rFonts w:eastAsia="Times New Roman"/>
                <w:color w:val="000000"/>
                <w:sz w:val="24"/>
                <w:szCs w:val="24"/>
              </w:rPr>
            </w:pPr>
            <w:r w:rsidRPr="00792B36">
              <w:rPr>
                <w:rFonts w:eastAsia="Times New Roman"/>
                <w:color w:val="000000"/>
                <w:sz w:val="24"/>
                <w:szCs w:val="24"/>
              </w:rPr>
              <w:t>10,748.73</w:t>
            </w:r>
          </w:p>
        </w:tc>
        <w:tc>
          <w:tcPr>
            <w:tcW w:w="2635" w:type="dxa"/>
          </w:tcPr>
          <w:p w14:paraId="0DB63D35" w14:textId="77777777" w:rsidR="009A0A63" w:rsidRPr="00792B36" w:rsidRDefault="009A0A63" w:rsidP="00A24459">
            <w:pPr>
              <w:contextualSpacing/>
              <w:jc w:val="center"/>
              <w:rPr>
                <w:rFonts w:eastAsia="Times New Roman"/>
                <w:sz w:val="24"/>
                <w:szCs w:val="24"/>
              </w:rPr>
            </w:pPr>
            <w:r w:rsidRPr="00792B36">
              <w:rPr>
                <w:rFonts w:eastAsia="Times New Roman"/>
                <w:sz w:val="24"/>
                <w:szCs w:val="24"/>
              </w:rPr>
              <w:t>2.16%</w:t>
            </w:r>
          </w:p>
        </w:tc>
      </w:tr>
      <w:tr w:rsidR="009A0A63" w:rsidRPr="00792B36" w14:paraId="2BC3B2CD" w14:textId="77777777" w:rsidTr="00A24459">
        <w:trPr>
          <w:trHeight w:val="131"/>
        </w:trPr>
        <w:tc>
          <w:tcPr>
            <w:tcW w:w="2830" w:type="dxa"/>
            <w:noWrap/>
          </w:tcPr>
          <w:p w14:paraId="570AAEFB" w14:textId="77777777" w:rsidR="009A0A63" w:rsidRPr="00792B36" w:rsidRDefault="009A0A63" w:rsidP="00A24459">
            <w:pPr>
              <w:contextualSpacing/>
              <w:rPr>
                <w:rFonts w:eastAsia="Times New Roman"/>
                <w:color w:val="000000"/>
                <w:sz w:val="24"/>
                <w:szCs w:val="24"/>
              </w:rPr>
            </w:pPr>
            <w:r w:rsidRPr="00792B36">
              <w:rPr>
                <w:rFonts w:eastAsia="Times New Roman"/>
                <w:color w:val="000000"/>
                <w:sz w:val="24"/>
                <w:szCs w:val="24"/>
              </w:rPr>
              <w:t>Samut Prakarn</w:t>
            </w:r>
          </w:p>
        </w:tc>
        <w:tc>
          <w:tcPr>
            <w:tcW w:w="1843" w:type="dxa"/>
            <w:noWrap/>
            <w:vAlign w:val="center"/>
          </w:tcPr>
          <w:p w14:paraId="4FE7AF45" w14:textId="77777777" w:rsidR="009A0A63" w:rsidRPr="00792B36" w:rsidRDefault="009A0A63" w:rsidP="00A24459">
            <w:pPr>
              <w:contextualSpacing/>
              <w:jc w:val="center"/>
              <w:rPr>
                <w:rFonts w:eastAsia="Times New Roman"/>
                <w:color w:val="000000"/>
                <w:sz w:val="24"/>
                <w:szCs w:val="24"/>
              </w:rPr>
            </w:pPr>
            <w:r w:rsidRPr="00792B36">
              <w:rPr>
                <w:rFonts w:eastAsia="Times New Roman"/>
                <w:color w:val="000000"/>
                <w:sz w:val="24"/>
                <w:szCs w:val="24"/>
              </w:rPr>
              <w:t>21.77</w:t>
            </w:r>
          </w:p>
        </w:tc>
        <w:tc>
          <w:tcPr>
            <w:tcW w:w="1759" w:type="dxa"/>
            <w:noWrap/>
          </w:tcPr>
          <w:p w14:paraId="063BCCFA" w14:textId="77777777" w:rsidR="009A0A63" w:rsidRPr="00792B36" w:rsidRDefault="009A0A63" w:rsidP="00A24459">
            <w:pPr>
              <w:contextualSpacing/>
              <w:jc w:val="center"/>
              <w:rPr>
                <w:rFonts w:eastAsia="Times New Roman"/>
                <w:color w:val="000000"/>
                <w:sz w:val="24"/>
                <w:szCs w:val="24"/>
              </w:rPr>
            </w:pPr>
            <w:r w:rsidRPr="00792B36">
              <w:rPr>
                <w:rFonts w:eastAsia="Times New Roman"/>
                <w:color w:val="000000"/>
                <w:sz w:val="24"/>
                <w:szCs w:val="24"/>
              </w:rPr>
              <w:t>9,203.85</w:t>
            </w:r>
          </w:p>
        </w:tc>
        <w:tc>
          <w:tcPr>
            <w:tcW w:w="2635" w:type="dxa"/>
          </w:tcPr>
          <w:p w14:paraId="3F333D4E" w14:textId="77777777" w:rsidR="009A0A63" w:rsidRPr="00792B36" w:rsidRDefault="009A0A63" w:rsidP="00A24459">
            <w:pPr>
              <w:contextualSpacing/>
              <w:jc w:val="center"/>
              <w:rPr>
                <w:rFonts w:eastAsia="Times New Roman"/>
                <w:sz w:val="24"/>
                <w:szCs w:val="24"/>
              </w:rPr>
            </w:pPr>
            <w:r w:rsidRPr="00792B36">
              <w:rPr>
                <w:rFonts w:eastAsia="Times New Roman"/>
                <w:sz w:val="24"/>
                <w:szCs w:val="24"/>
              </w:rPr>
              <w:t>0.42%</w:t>
            </w:r>
          </w:p>
        </w:tc>
      </w:tr>
      <w:tr w:rsidR="009A0A63" w:rsidRPr="00792B36" w14:paraId="64B49321" w14:textId="77777777" w:rsidTr="00A24459">
        <w:trPr>
          <w:trHeight w:val="278"/>
        </w:trPr>
        <w:tc>
          <w:tcPr>
            <w:tcW w:w="2830" w:type="dxa"/>
            <w:noWrap/>
          </w:tcPr>
          <w:p w14:paraId="0DAF37AB" w14:textId="77777777" w:rsidR="009A0A63" w:rsidRPr="00792B36" w:rsidRDefault="009A0A63" w:rsidP="00A24459">
            <w:pPr>
              <w:contextualSpacing/>
              <w:rPr>
                <w:rFonts w:eastAsia="Times New Roman"/>
                <w:color w:val="000000"/>
                <w:sz w:val="24"/>
                <w:szCs w:val="24"/>
              </w:rPr>
            </w:pPr>
            <w:r w:rsidRPr="00792B36">
              <w:rPr>
                <w:rFonts w:eastAsia="Times New Roman"/>
                <w:color w:val="000000"/>
                <w:sz w:val="24"/>
                <w:szCs w:val="24"/>
              </w:rPr>
              <w:t>Chantha Buri</w:t>
            </w:r>
          </w:p>
        </w:tc>
        <w:tc>
          <w:tcPr>
            <w:tcW w:w="1843" w:type="dxa"/>
            <w:noWrap/>
            <w:vAlign w:val="center"/>
          </w:tcPr>
          <w:p w14:paraId="15F762C1" w14:textId="77777777" w:rsidR="009A0A63" w:rsidRPr="00792B36" w:rsidRDefault="009A0A63" w:rsidP="00A24459">
            <w:pPr>
              <w:contextualSpacing/>
              <w:jc w:val="center"/>
              <w:rPr>
                <w:rFonts w:eastAsia="Times New Roman"/>
                <w:color w:val="000000"/>
                <w:sz w:val="24"/>
                <w:szCs w:val="24"/>
              </w:rPr>
            </w:pPr>
            <w:r w:rsidRPr="00792B36">
              <w:rPr>
                <w:rFonts w:eastAsia="Times New Roman"/>
                <w:color w:val="000000"/>
                <w:sz w:val="24"/>
                <w:szCs w:val="24"/>
              </w:rPr>
              <w:t>4.18</w:t>
            </w:r>
          </w:p>
        </w:tc>
        <w:tc>
          <w:tcPr>
            <w:tcW w:w="1759" w:type="dxa"/>
            <w:noWrap/>
          </w:tcPr>
          <w:p w14:paraId="4E945277" w14:textId="77777777" w:rsidR="009A0A63" w:rsidRPr="00792B36" w:rsidRDefault="009A0A63" w:rsidP="00A24459">
            <w:pPr>
              <w:contextualSpacing/>
              <w:jc w:val="center"/>
              <w:rPr>
                <w:rFonts w:eastAsia="Times New Roman"/>
                <w:color w:val="000000"/>
                <w:sz w:val="24"/>
                <w:szCs w:val="24"/>
              </w:rPr>
            </w:pPr>
            <w:r w:rsidRPr="00792B36">
              <w:rPr>
                <w:rFonts w:eastAsia="Times New Roman"/>
                <w:color w:val="000000"/>
                <w:sz w:val="24"/>
                <w:szCs w:val="24"/>
              </w:rPr>
              <w:t>7,285.11</w:t>
            </w:r>
          </w:p>
        </w:tc>
        <w:tc>
          <w:tcPr>
            <w:tcW w:w="2635" w:type="dxa"/>
          </w:tcPr>
          <w:p w14:paraId="2B2C7C98" w14:textId="77777777" w:rsidR="009A0A63" w:rsidRPr="00792B36" w:rsidRDefault="009A0A63" w:rsidP="00A24459">
            <w:pPr>
              <w:contextualSpacing/>
              <w:jc w:val="center"/>
              <w:rPr>
                <w:rFonts w:eastAsia="Times New Roman"/>
                <w:sz w:val="24"/>
                <w:szCs w:val="24"/>
              </w:rPr>
            </w:pPr>
            <w:r w:rsidRPr="00792B36">
              <w:rPr>
                <w:rFonts w:eastAsia="Times New Roman"/>
                <w:sz w:val="24"/>
                <w:szCs w:val="24"/>
              </w:rPr>
              <w:t>2.39%</w:t>
            </w:r>
          </w:p>
        </w:tc>
      </w:tr>
      <w:tr w:rsidR="009A0A63" w:rsidRPr="00792B36" w14:paraId="4AF92C27" w14:textId="77777777" w:rsidTr="00A24459">
        <w:trPr>
          <w:trHeight w:val="105"/>
        </w:trPr>
        <w:tc>
          <w:tcPr>
            <w:tcW w:w="2830" w:type="dxa"/>
            <w:noWrap/>
          </w:tcPr>
          <w:p w14:paraId="7E7D56DD" w14:textId="77777777" w:rsidR="009A0A63" w:rsidRPr="00792B36" w:rsidRDefault="009A0A63" w:rsidP="00A24459">
            <w:pPr>
              <w:contextualSpacing/>
              <w:rPr>
                <w:rFonts w:eastAsia="Times New Roman"/>
                <w:color w:val="000000"/>
                <w:sz w:val="24"/>
                <w:szCs w:val="24"/>
              </w:rPr>
            </w:pPr>
            <w:r w:rsidRPr="00792B36">
              <w:rPr>
                <w:rFonts w:eastAsia="Times New Roman"/>
                <w:color w:val="000000"/>
                <w:sz w:val="24"/>
                <w:szCs w:val="24"/>
              </w:rPr>
              <w:t>Chumpon</w:t>
            </w:r>
          </w:p>
        </w:tc>
        <w:tc>
          <w:tcPr>
            <w:tcW w:w="1843" w:type="dxa"/>
            <w:noWrap/>
            <w:vAlign w:val="center"/>
          </w:tcPr>
          <w:p w14:paraId="297A627C" w14:textId="77777777" w:rsidR="009A0A63" w:rsidRPr="00792B36" w:rsidRDefault="009A0A63" w:rsidP="00A24459">
            <w:pPr>
              <w:contextualSpacing/>
              <w:jc w:val="center"/>
              <w:rPr>
                <w:rFonts w:eastAsia="Times New Roman"/>
                <w:color w:val="000000"/>
                <w:sz w:val="24"/>
                <w:szCs w:val="24"/>
              </w:rPr>
            </w:pPr>
            <w:r w:rsidRPr="00792B36">
              <w:rPr>
                <w:rFonts w:eastAsia="Times New Roman"/>
                <w:color w:val="000000"/>
                <w:sz w:val="24"/>
                <w:szCs w:val="24"/>
              </w:rPr>
              <w:t>3.32</w:t>
            </w:r>
          </w:p>
        </w:tc>
        <w:tc>
          <w:tcPr>
            <w:tcW w:w="1759" w:type="dxa"/>
            <w:noWrap/>
          </w:tcPr>
          <w:p w14:paraId="5720EECF" w14:textId="77777777" w:rsidR="009A0A63" w:rsidRPr="00792B36" w:rsidRDefault="009A0A63" w:rsidP="00A24459">
            <w:pPr>
              <w:contextualSpacing/>
              <w:jc w:val="center"/>
              <w:rPr>
                <w:rFonts w:eastAsia="Times New Roman"/>
                <w:color w:val="000000"/>
                <w:sz w:val="24"/>
                <w:szCs w:val="24"/>
              </w:rPr>
            </w:pPr>
            <w:r w:rsidRPr="00792B36">
              <w:rPr>
                <w:rFonts w:eastAsia="Times New Roman"/>
                <w:color w:val="000000"/>
                <w:sz w:val="24"/>
                <w:szCs w:val="24"/>
              </w:rPr>
              <w:t>6,618.37</w:t>
            </w:r>
          </w:p>
        </w:tc>
        <w:tc>
          <w:tcPr>
            <w:tcW w:w="2635" w:type="dxa"/>
          </w:tcPr>
          <w:p w14:paraId="25766B25" w14:textId="77777777" w:rsidR="009A0A63" w:rsidRPr="00792B36" w:rsidRDefault="009A0A63" w:rsidP="00A24459">
            <w:pPr>
              <w:contextualSpacing/>
              <w:jc w:val="center"/>
              <w:rPr>
                <w:rFonts w:eastAsia="Times New Roman"/>
                <w:sz w:val="24"/>
                <w:szCs w:val="24"/>
              </w:rPr>
            </w:pPr>
            <w:r w:rsidRPr="00792B36">
              <w:rPr>
                <w:rFonts w:eastAsia="Times New Roman"/>
                <w:sz w:val="24"/>
                <w:szCs w:val="24"/>
              </w:rPr>
              <w:t>1.30%</w:t>
            </w:r>
          </w:p>
        </w:tc>
      </w:tr>
      <w:tr w:rsidR="009A0A63" w:rsidRPr="00792B36" w14:paraId="7494E3C9" w14:textId="77777777" w:rsidTr="00A24459">
        <w:trPr>
          <w:trHeight w:val="280"/>
        </w:trPr>
        <w:tc>
          <w:tcPr>
            <w:tcW w:w="2830" w:type="dxa"/>
            <w:noWrap/>
          </w:tcPr>
          <w:p w14:paraId="541FB978" w14:textId="77777777" w:rsidR="009A0A63" w:rsidRPr="00792B36" w:rsidRDefault="009A0A63" w:rsidP="00A24459">
            <w:pPr>
              <w:contextualSpacing/>
              <w:rPr>
                <w:rFonts w:eastAsia="Times New Roman"/>
                <w:color w:val="000000"/>
                <w:sz w:val="24"/>
                <w:szCs w:val="24"/>
              </w:rPr>
            </w:pPr>
            <w:r w:rsidRPr="00792B36">
              <w:rPr>
                <w:rFonts w:eastAsia="Times New Roman"/>
                <w:color w:val="000000"/>
                <w:sz w:val="24"/>
                <w:szCs w:val="24"/>
              </w:rPr>
              <w:t>Surat Thani</w:t>
            </w:r>
          </w:p>
        </w:tc>
        <w:tc>
          <w:tcPr>
            <w:tcW w:w="1843" w:type="dxa"/>
            <w:noWrap/>
            <w:vAlign w:val="center"/>
          </w:tcPr>
          <w:p w14:paraId="601B209C" w14:textId="77777777" w:rsidR="009A0A63" w:rsidRPr="00792B36" w:rsidRDefault="009A0A63" w:rsidP="00A24459">
            <w:pPr>
              <w:contextualSpacing/>
              <w:jc w:val="center"/>
              <w:rPr>
                <w:rFonts w:eastAsia="Times New Roman"/>
                <w:color w:val="000000"/>
                <w:sz w:val="24"/>
                <w:szCs w:val="24"/>
              </w:rPr>
            </w:pPr>
            <w:r w:rsidRPr="00792B36">
              <w:rPr>
                <w:rFonts w:eastAsia="Times New Roman"/>
                <w:color w:val="000000"/>
                <w:sz w:val="24"/>
                <w:szCs w:val="24"/>
              </w:rPr>
              <w:t>6.33</w:t>
            </w:r>
          </w:p>
        </w:tc>
        <w:tc>
          <w:tcPr>
            <w:tcW w:w="1759" w:type="dxa"/>
            <w:noWrap/>
          </w:tcPr>
          <w:p w14:paraId="0BBEEFB8" w14:textId="77777777" w:rsidR="009A0A63" w:rsidRPr="00792B36" w:rsidRDefault="009A0A63" w:rsidP="00A24459">
            <w:pPr>
              <w:contextualSpacing/>
              <w:jc w:val="center"/>
              <w:rPr>
                <w:rFonts w:eastAsia="Times New Roman"/>
                <w:color w:val="000000"/>
                <w:sz w:val="24"/>
                <w:szCs w:val="24"/>
              </w:rPr>
            </w:pPr>
            <w:r w:rsidRPr="00792B36">
              <w:rPr>
                <w:rFonts w:eastAsia="Times New Roman"/>
                <w:color w:val="000000"/>
                <w:sz w:val="24"/>
                <w:szCs w:val="24"/>
              </w:rPr>
              <w:t>5,407.49</w:t>
            </w:r>
          </w:p>
        </w:tc>
        <w:tc>
          <w:tcPr>
            <w:tcW w:w="2635" w:type="dxa"/>
          </w:tcPr>
          <w:p w14:paraId="36FF20AA" w14:textId="77777777" w:rsidR="009A0A63" w:rsidRPr="00792B36" w:rsidRDefault="009A0A63" w:rsidP="00A24459">
            <w:pPr>
              <w:contextualSpacing/>
              <w:jc w:val="center"/>
              <w:rPr>
                <w:rFonts w:eastAsia="Times New Roman"/>
                <w:sz w:val="24"/>
                <w:szCs w:val="24"/>
              </w:rPr>
            </w:pPr>
            <w:r w:rsidRPr="00792B36">
              <w:rPr>
                <w:rFonts w:eastAsia="Times New Roman"/>
                <w:sz w:val="24"/>
                <w:szCs w:val="24"/>
              </w:rPr>
              <w:t>3.67%</w:t>
            </w:r>
          </w:p>
        </w:tc>
      </w:tr>
      <w:tr w:rsidR="009A0A63" w:rsidRPr="00792B36" w14:paraId="70270097" w14:textId="77777777" w:rsidTr="00A24459">
        <w:trPr>
          <w:trHeight w:val="58"/>
        </w:trPr>
        <w:tc>
          <w:tcPr>
            <w:tcW w:w="2830" w:type="dxa"/>
            <w:noWrap/>
          </w:tcPr>
          <w:p w14:paraId="0EF3818C" w14:textId="77777777" w:rsidR="009A0A63" w:rsidRPr="00792B36" w:rsidRDefault="009A0A63" w:rsidP="00A24459">
            <w:pPr>
              <w:contextualSpacing/>
              <w:rPr>
                <w:rFonts w:eastAsia="Times New Roman"/>
                <w:color w:val="000000"/>
                <w:sz w:val="24"/>
                <w:szCs w:val="24"/>
              </w:rPr>
            </w:pPr>
            <w:r w:rsidRPr="00792B36">
              <w:rPr>
                <w:rFonts w:eastAsia="Times New Roman"/>
                <w:color w:val="000000"/>
                <w:sz w:val="24"/>
                <w:szCs w:val="24"/>
              </w:rPr>
              <w:t>Samut Songkharm</w:t>
            </w:r>
          </w:p>
        </w:tc>
        <w:tc>
          <w:tcPr>
            <w:tcW w:w="1843" w:type="dxa"/>
            <w:noWrap/>
            <w:vAlign w:val="center"/>
          </w:tcPr>
          <w:p w14:paraId="2EBD7E26" w14:textId="77777777" w:rsidR="009A0A63" w:rsidRPr="00792B36" w:rsidRDefault="009A0A63" w:rsidP="00A24459">
            <w:pPr>
              <w:contextualSpacing/>
              <w:jc w:val="center"/>
              <w:rPr>
                <w:rFonts w:eastAsia="Times New Roman"/>
                <w:color w:val="000000"/>
                <w:sz w:val="24"/>
                <w:szCs w:val="24"/>
              </w:rPr>
            </w:pPr>
            <w:r w:rsidRPr="00792B36">
              <w:rPr>
                <w:rFonts w:eastAsia="Times New Roman"/>
                <w:color w:val="000000"/>
                <w:sz w:val="24"/>
                <w:szCs w:val="24"/>
              </w:rPr>
              <w:t>0.84</w:t>
            </w:r>
          </w:p>
        </w:tc>
        <w:tc>
          <w:tcPr>
            <w:tcW w:w="1759" w:type="dxa"/>
            <w:noWrap/>
          </w:tcPr>
          <w:p w14:paraId="369D4AAD" w14:textId="77777777" w:rsidR="009A0A63" w:rsidRPr="00792B36" w:rsidRDefault="009A0A63" w:rsidP="00A24459">
            <w:pPr>
              <w:contextualSpacing/>
              <w:jc w:val="center"/>
              <w:rPr>
                <w:rFonts w:eastAsia="Times New Roman"/>
                <w:color w:val="000000"/>
                <w:sz w:val="24"/>
                <w:szCs w:val="24"/>
              </w:rPr>
            </w:pPr>
            <w:r w:rsidRPr="00792B36">
              <w:rPr>
                <w:rFonts w:eastAsia="Times New Roman"/>
                <w:color w:val="000000"/>
                <w:sz w:val="24"/>
                <w:szCs w:val="24"/>
              </w:rPr>
              <w:t>4,803.57</w:t>
            </w:r>
          </w:p>
        </w:tc>
        <w:tc>
          <w:tcPr>
            <w:tcW w:w="2635" w:type="dxa"/>
          </w:tcPr>
          <w:p w14:paraId="4B46A4A4" w14:textId="77777777" w:rsidR="009A0A63" w:rsidRPr="00792B36" w:rsidRDefault="009A0A63" w:rsidP="00A24459">
            <w:pPr>
              <w:contextualSpacing/>
              <w:jc w:val="center"/>
              <w:rPr>
                <w:rFonts w:eastAsia="Times New Roman"/>
                <w:sz w:val="24"/>
                <w:szCs w:val="24"/>
              </w:rPr>
            </w:pPr>
            <w:r w:rsidRPr="00792B36">
              <w:rPr>
                <w:rFonts w:eastAsia="Times New Roman"/>
                <w:sz w:val="24"/>
                <w:szCs w:val="24"/>
              </w:rPr>
              <w:t>3.67%</w:t>
            </w:r>
          </w:p>
        </w:tc>
      </w:tr>
      <w:tr w:rsidR="009A0A63" w:rsidRPr="00792B36" w14:paraId="5F24494B" w14:textId="77777777" w:rsidTr="00A24459">
        <w:trPr>
          <w:trHeight w:val="58"/>
        </w:trPr>
        <w:tc>
          <w:tcPr>
            <w:tcW w:w="2830" w:type="dxa"/>
            <w:noWrap/>
          </w:tcPr>
          <w:p w14:paraId="234E98F8" w14:textId="77777777" w:rsidR="009A0A63" w:rsidRPr="00792B36" w:rsidRDefault="009A0A63" w:rsidP="00A24459">
            <w:pPr>
              <w:contextualSpacing/>
              <w:rPr>
                <w:rFonts w:eastAsia="Times New Roman"/>
                <w:color w:val="000000"/>
                <w:sz w:val="24"/>
                <w:szCs w:val="24"/>
              </w:rPr>
            </w:pPr>
            <w:r w:rsidRPr="00792B36">
              <w:rPr>
                <w:rFonts w:eastAsia="Times New Roman"/>
                <w:color w:val="000000"/>
                <w:sz w:val="24"/>
                <w:szCs w:val="24"/>
              </w:rPr>
              <w:t>Trat</w:t>
            </w:r>
          </w:p>
        </w:tc>
        <w:tc>
          <w:tcPr>
            <w:tcW w:w="1843" w:type="dxa"/>
            <w:noWrap/>
            <w:vAlign w:val="center"/>
          </w:tcPr>
          <w:p w14:paraId="194F1C2A" w14:textId="77777777" w:rsidR="009A0A63" w:rsidRPr="00792B36" w:rsidRDefault="009A0A63" w:rsidP="00A24459">
            <w:pPr>
              <w:contextualSpacing/>
              <w:jc w:val="center"/>
              <w:rPr>
                <w:rFonts w:eastAsia="Times New Roman"/>
                <w:color w:val="000000"/>
                <w:sz w:val="24"/>
                <w:szCs w:val="24"/>
                <w:cs/>
              </w:rPr>
            </w:pPr>
            <w:r w:rsidRPr="00792B36">
              <w:rPr>
                <w:rFonts w:eastAsia="Times New Roman"/>
                <w:color w:val="000000"/>
                <w:sz w:val="24"/>
                <w:szCs w:val="24"/>
              </w:rPr>
              <w:t>1.33</w:t>
            </w:r>
          </w:p>
        </w:tc>
        <w:tc>
          <w:tcPr>
            <w:tcW w:w="1759" w:type="dxa"/>
            <w:noWrap/>
          </w:tcPr>
          <w:p w14:paraId="0AF84855" w14:textId="77777777" w:rsidR="009A0A63" w:rsidRPr="00792B36" w:rsidRDefault="009A0A63" w:rsidP="00A24459">
            <w:pPr>
              <w:contextualSpacing/>
              <w:jc w:val="center"/>
              <w:rPr>
                <w:rFonts w:eastAsia="Times New Roman"/>
                <w:color w:val="000000"/>
                <w:sz w:val="24"/>
                <w:szCs w:val="24"/>
              </w:rPr>
            </w:pPr>
            <w:r w:rsidRPr="00792B36">
              <w:rPr>
                <w:rFonts w:eastAsia="Times New Roman"/>
                <w:color w:val="000000"/>
                <w:sz w:val="24"/>
                <w:szCs w:val="24"/>
              </w:rPr>
              <w:t>4,736.65</w:t>
            </w:r>
          </w:p>
        </w:tc>
        <w:tc>
          <w:tcPr>
            <w:tcW w:w="2635" w:type="dxa"/>
          </w:tcPr>
          <w:p w14:paraId="71FBACE2" w14:textId="77777777" w:rsidR="009A0A63" w:rsidRPr="00792B36" w:rsidRDefault="009A0A63" w:rsidP="00A24459">
            <w:pPr>
              <w:contextualSpacing/>
              <w:jc w:val="center"/>
              <w:rPr>
                <w:rFonts w:eastAsia="Times New Roman"/>
                <w:sz w:val="24"/>
                <w:szCs w:val="24"/>
              </w:rPr>
            </w:pPr>
            <w:r w:rsidRPr="00792B36">
              <w:rPr>
                <w:rFonts w:eastAsia="Times New Roman"/>
                <w:sz w:val="24"/>
                <w:szCs w:val="24"/>
              </w:rPr>
              <w:t>4.91</w:t>
            </w:r>
          </w:p>
        </w:tc>
      </w:tr>
      <w:tr w:rsidR="009A0A63" w:rsidRPr="00792B36" w14:paraId="20AE6354" w14:textId="77777777" w:rsidTr="00A24459">
        <w:trPr>
          <w:trHeight w:val="157"/>
        </w:trPr>
        <w:tc>
          <w:tcPr>
            <w:tcW w:w="2830" w:type="dxa"/>
            <w:noWrap/>
          </w:tcPr>
          <w:p w14:paraId="0E1CB15E" w14:textId="77777777" w:rsidR="009A0A63" w:rsidRPr="00792B36" w:rsidRDefault="009A0A63" w:rsidP="00A24459">
            <w:pPr>
              <w:contextualSpacing/>
              <w:rPr>
                <w:rFonts w:eastAsia="Times New Roman"/>
                <w:color w:val="000000"/>
                <w:sz w:val="24"/>
                <w:szCs w:val="24"/>
              </w:rPr>
            </w:pPr>
            <w:r w:rsidRPr="00792B36">
              <w:rPr>
                <w:rFonts w:eastAsia="Times New Roman"/>
                <w:color w:val="000000"/>
                <w:sz w:val="24"/>
                <w:szCs w:val="24"/>
              </w:rPr>
              <w:t>Petchburi</w:t>
            </w:r>
          </w:p>
        </w:tc>
        <w:tc>
          <w:tcPr>
            <w:tcW w:w="1843" w:type="dxa"/>
            <w:noWrap/>
            <w:vAlign w:val="center"/>
          </w:tcPr>
          <w:p w14:paraId="7DCD24EF" w14:textId="77777777" w:rsidR="009A0A63" w:rsidRPr="00792B36" w:rsidRDefault="009A0A63" w:rsidP="00A24459">
            <w:pPr>
              <w:contextualSpacing/>
              <w:jc w:val="center"/>
              <w:rPr>
                <w:rFonts w:eastAsia="Times New Roman"/>
                <w:color w:val="000000"/>
                <w:sz w:val="24"/>
                <w:szCs w:val="24"/>
              </w:rPr>
            </w:pPr>
            <w:r w:rsidRPr="00792B36">
              <w:rPr>
                <w:rFonts w:eastAsia="Times New Roman"/>
                <w:color w:val="000000"/>
                <w:sz w:val="24"/>
                <w:szCs w:val="24"/>
              </w:rPr>
              <w:t>2.27</w:t>
            </w:r>
          </w:p>
        </w:tc>
        <w:tc>
          <w:tcPr>
            <w:tcW w:w="1759" w:type="dxa"/>
            <w:noWrap/>
          </w:tcPr>
          <w:p w14:paraId="420ED119" w14:textId="77777777" w:rsidR="009A0A63" w:rsidRPr="00792B36" w:rsidRDefault="009A0A63" w:rsidP="00A24459">
            <w:pPr>
              <w:contextualSpacing/>
              <w:jc w:val="center"/>
              <w:rPr>
                <w:rFonts w:eastAsia="Times New Roman"/>
                <w:color w:val="000000"/>
                <w:sz w:val="24"/>
                <w:szCs w:val="24"/>
              </w:rPr>
            </w:pPr>
            <w:r w:rsidRPr="00792B36">
              <w:rPr>
                <w:rFonts w:eastAsia="Times New Roman"/>
                <w:color w:val="000000"/>
                <w:sz w:val="24"/>
                <w:szCs w:val="24"/>
              </w:rPr>
              <w:t>4,503.42</w:t>
            </w:r>
          </w:p>
        </w:tc>
        <w:tc>
          <w:tcPr>
            <w:tcW w:w="2635" w:type="dxa"/>
          </w:tcPr>
          <w:p w14:paraId="4D7871B1" w14:textId="77777777" w:rsidR="009A0A63" w:rsidRPr="00792B36" w:rsidRDefault="009A0A63" w:rsidP="00A24459">
            <w:pPr>
              <w:contextualSpacing/>
              <w:jc w:val="center"/>
              <w:rPr>
                <w:rFonts w:eastAsia="Times New Roman"/>
                <w:sz w:val="24"/>
                <w:szCs w:val="24"/>
              </w:rPr>
            </w:pPr>
            <w:r w:rsidRPr="00792B36">
              <w:rPr>
                <w:rFonts w:eastAsia="Times New Roman"/>
                <w:sz w:val="24"/>
                <w:szCs w:val="24"/>
              </w:rPr>
              <w:t>4.76%</w:t>
            </w:r>
          </w:p>
        </w:tc>
      </w:tr>
      <w:tr w:rsidR="009A0A63" w:rsidRPr="00792B36" w14:paraId="7D241275" w14:textId="77777777" w:rsidTr="00A24459">
        <w:trPr>
          <w:trHeight w:val="58"/>
        </w:trPr>
        <w:tc>
          <w:tcPr>
            <w:tcW w:w="2830" w:type="dxa"/>
            <w:noWrap/>
          </w:tcPr>
          <w:p w14:paraId="5D2540B1" w14:textId="77777777" w:rsidR="009A0A63" w:rsidRPr="00792B36" w:rsidRDefault="009A0A63" w:rsidP="00A24459">
            <w:pPr>
              <w:contextualSpacing/>
              <w:rPr>
                <w:rFonts w:eastAsia="Times New Roman"/>
                <w:color w:val="000000"/>
                <w:sz w:val="24"/>
                <w:szCs w:val="24"/>
              </w:rPr>
            </w:pPr>
            <w:r w:rsidRPr="00792B36">
              <w:rPr>
                <w:rFonts w:eastAsia="Times New Roman"/>
                <w:color w:val="000000"/>
                <w:sz w:val="24"/>
                <w:szCs w:val="24"/>
              </w:rPr>
              <w:t>Songkhla</w:t>
            </w:r>
          </w:p>
        </w:tc>
        <w:tc>
          <w:tcPr>
            <w:tcW w:w="1843" w:type="dxa"/>
            <w:noWrap/>
            <w:vAlign w:val="center"/>
          </w:tcPr>
          <w:p w14:paraId="792FA276" w14:textId="77777777" w:rsidR="009A0A63" w:rsidRPr="00792B36" w:rsidRDefault="009A0A63" w:rsidP="00A24459">
            <w:pPr>
              <w:contextualSpacing/>
              <w:jc w:val="center"/>
              <w:rPr>
                <w:rFonts w:eastAsia="Times New Roman"/>
                <w:color w:val="000000"/>
                <w:sz w:val="24"/>
                <w:szCs w:val="24"/>
              </w:rPr>
            </w:pPr>
            <w:r w:rsidRPr="00792B36">
              <w:rPr>
                <w:rFonts w:eastAsia="Times New Roman"/>
                <w:color w:val="000000"/>
                <w:sz w:val="24"/>
                <w:szCs w:val="24"/>
              </w:rPr>
              <w:t>7.23</w:t>
            </w:r>
          </w:p>
        </w:tc>
        <w:tc>
          <w:tcPr>
            <w:tcW w:w="1759" w:type="dxa"/>
            <w:noWrap/>
          </w:tcPr>
          <w:p w14:paraId="337872BE" w14:textId="77777777" w:rsidR="009A0A63" w:rsidRPr="00792B36" w:rsidRDefault="009A0A63" w:rsidP="00A24459">
            <w:pPr>
              <w:contextualSpacing/>
              <w:jc w:val="center"/>
              <w:rPr>
                <w:rFonts w:eastAsia="Times New Roman"/>
                <w:color w:val="000000"/>
                <w:sz w:val="24"/>
                <w:szCs w:val="24"/>
              </w:rPr>
            </w:pPr>
            <w:r w:rsidRPr="00792B36">
              <w:rPr>
                <w:rFonts w:eastAsia="Times New Roman"/>
                <w:color w:val="000000"/>
                <w:sz w:val="24"/>
                <w:szCs w:val="24"/>
              </w:rPr>
              <w:t>4,246.82</w:t>
            </w:r>
          </w:p>
        </w:tc>
        <w:tc>
          <w:tcPr>
            <w:tcW w:w="2635" w:type="dxa"/>
          </w:tcPr>
          <w:p w14:paraId="2ED6AFD4" w14:textId="77777777" w:rsidR="009A0A63" w:rsidRPr="00792B36" w:rsidRDefault="009A0A63" w:rsidP="00A24459">
            <w:pPr>
              <w:contextualSpacing/>
              <w:jc w:val="center"/>
              <w:rPr>
                <w:rFonts w:eastAsia="Times New Roman"/>
                <w:sz w:val="24"/>
                <w:szCs w:val="24"/>
              </w:rPr>
            </w:pPr>
            <w:r w:rsidRPr="00792B36">
              <w:rPr>
                <w:rFonts w:eastAsia="Times New Roman"/>
                <w:sz w:val="24"/>
                <w:szCs w:val="24"/>
              </w:rPr>
              <w:t>1.94%</w:t>
            </w:r>
          </w:p>
        </w:tc>
      </w:tr>
      <w:tr w:rsidR="009A0A63" w:rsidRPr="00792B36" w14:paraId="3C88290C" w14:textId="77777777" w:rsidTr="00A24459">
        <w:trPr>
          <w:trHeight w:val="58"/>
        </w:trPr>
        <w:tc>
          <w:tcPr>
            <w:tcW w:w="2830" w:type="dxa"/>
            <w:noWrap/>
          </w:tcPr>
          <w:p w14:paraId="6BE5066A" w14:textId="77777777" w:rsidR="009A0A63" w:rsidRPr="00792B36" w:rsidRDefault="009A0A63" w:rsidP="00A24459">
            <w:pPr>
              <w:contextualSpacing/>
              <w:rPr>
                <w:rFonts w:eastAsia="Times New Roman"/>
                <w:color w:val="000000"/>
                <w:sz w:val="24"/>
                <w:szCs w:val="24"/>
              </w:rPr>
            </w:pPr>
            <w:r w:rsidRPr="00792B36">
              <w:rPr>
                <w:rFonts w:eastAsia="Times New Roman"/>
                <w:color w:val="000000"/>
                <w:sz w:val="24"/>
                <w:szCs w:val="24"/>
              </w:rPr>
              <w:t>Nakhon Si Thammarat</w:t>
            </w:r>
          </w:p>
        </w:tc>
        <w:tc>
          <w:tcPr>
            <w:tcW w:w="1843" w:type="dxa"/>
            <w:noWrap/>
            <w:vAlign w:val="center"/>
          </w:tcPr>
          <w:p w14:paraId="4C3410B6" w14:textId="77777777" w:rsidR="009A0A63" w:rsidRPr="00792B36" w:rsidRDefault="009A0A63" w:rsidP="00A24459">
            <w:pPr>
              <w:contextualSpacing/>
              <w:jc w:val="center"/>
              <w:rPr>
                <w:rFonts w:eastAsia="Times New Roman"/>
                <w:color w:val="000000"/>
                <w:sz w:val="24"/>
                <w:szCs w:val="24"/>
              </w:rPr>
            </w:pPr>
            <w:r w:rsidRPr="00792B36">
              <w:rPr>
                <w:rFonts w:eastAsia="Times New Roman"/>
                <w:color w:val="000000"/>
                <w:sz w:val="24"/>
                <w:szCs w:val="24"/>
              </w:rPr>
              <w:t>5.59</w:t>
            </w:r>
          </w:p>
        </w:tc>
        <w:tc>
          <w:tcPr>
            <w:tcW w:w="1759" w:type="dxa"/>
            <w:noWrap/>
          </w:tcPr>
          <w:p w14:paraId="0471E7DE" w14:textId="77777777" w:rsidR="009A0A63" w:rsidRPr="00792B36" w:rsidRDefault="009A0A63" w:rsidP="00A24459">
            <w:pPr>
              <w:contextualSpacing/>
              <w:jc w:val="center"/>
              <w:rPr>
                <w:rFonts w:eastAsia="Times New Roman"/>
                <w:color w:val="000000"/>
                <w:sz w:val="24"/>
                <w:szCs w:val="24"/>
              </w:rPr>
            </w:pPr>
            <w:r w:rsidRPr="00792B36">
              <w:rPr>
                <w:rFonts w:eastAsia="Times New Roman"/>
                <w:color w:val="000000"/>
                <w:sz w:val="24"/>
                <w:szCs w:val="24"/>
              </w:rPr>
              <w:t>3,661.05</w:t>
            </w:r>
          </w:p>
        </w:tc>
        <w:tc>
          <w:tcPr>
            <w:tcW w:w="2635" w:type="dxa"/>
          </w:tcPr>
          <w:p w14:paraId="20D8E9A5" w14:textId="77777777" w:rsidR="009A0A63" w:rsidRPr="00792B36" w:rsidRDefault="009A0A63" w:rsidP="00A24459">
            <w:pPr>
              <w:contextualSpacing/>
              <w:jc w:val="center"/>
              <w:rPr>
                <w:rFonts w:eastAsia="Times New Roman"/>
                <w:sz w:val="24"/>
                <w:szCs w:val="24"/>
              </w:rPr>
            </w:pPr>
            <w:r w:rsidRPr="00792B36">
              <w:rPr>
                <w:rFonts w:eastAsia="Times New Roman"/>
                <w:sz w:val="24"/>
                <w:szCs w:val="24"/>
              </w:rPr>
              <w:t>8.18%</w:t>
            </w:r>
          </w:p>
        </w:tc>
      </w:tr>
      <w:tr w:rsidR="009A0A63" w:rsidRPr="00792B36" w14:paraId="6D3883CE" w14:textId="77777777" w:rsidTr="00A24459">
        <w:trPr>
          <w:trHeight w:val="58"/>
        </w:trPr>
        <w:tc>
          <w:tcPr>
            <w:tcW w:w="2830" w:type="dxa"/>
            <w:noWrap/>
          </w:tcPr>
          <w:p w14:paraId="4E9B7D7C" w14:textId="77777777" w:rsidR="009A0A63" w:rsidRPr="00792B36" w:rsidRDefault="009A0A63" w:rsidP="00A24459">
            <w:pPr>
              <w:contextualSpacing/>
              <w:rPr>
                <w:rFonts w:eastAsia="Times New Roman"/>
                <w:color w:val="000000"/>
                <w:sz w:val="24"/>
                <w:szCs w:val="24"/>
              </w:rPr>
            </w:pPr>
            <w:r w:rsidRPr="00792B36">
              <w:rPr>
                <w:rFonts w:eastAsia="Times New Roman"/>
                <w:color w:val="000000"/>
                <w:sz w:val="24"/>
                <w:szCs w:val="24"/>
              </w:rPr>
              <w:t>Prachuap Khiri Khan</w:t>
            </w:r>
          </w:p>
        </w:tc>
        <w:tc>
          <w:tcPr>
            <w:tcW w:w="1843" w:type="dxa"/>
            <w:noWrap/>
            <w:vAlign w:val="center"/>
          </w:tcPr>
          <w:p w14:paraId="3E29ECDE" w14:textId="77777777" w:rsidR="009A0A63" w:rsidRPr="00792B36" w:rsidRDefault="009A0A63" w:rsidP="00A24459">
            <w:pPr>
              <w:contextualSpacing/>
              <w:jc w:val="center"/>
              <w:rPr>
                <w:rFonts w:eastAsia="Times New Roman"/>
                <w:color w:val="000000"/>
                <w:sz w:val="24"/>
                <w:szCs w:val="24"/>
              </w:rPr>
            </w:pPr>
            <w:r w:rsidRPr="00792B36">
              <w:rPr>
                <w:rFonts w:eastAsia="Times New Roman"/>
                <w:color w:val="000000"/>
                <w:sz w:val="24"/>
                <w:szCs w:val="24"/>
              </w:rPr>
              <w:t>3.09</w:t>
            </w:r>
          </w:p>
        </w:tc>
        <w:tc>
          <w:tcPr>
            <w:tcW w:w="1759" w:type="dxa"/>
            <w:noWrap/>
          </w:tcPr>
          <w:p w14:paraId="6970CCEC" w14:textId="77777777" w:rsidR="009A0A63" w:rsidRPr="00792B36" w:rsidRDefault="009A0A63" w:rsidP="00A24459">
            <w:pPr>
              <w:contextualSpacing/>
              <w:jc w:val="center"/>
              <w:rPr>
                <w:rFonts w:eastAsia="Times New Roman"/>
                <w:color w:val="000000"/>
                <w:sz w:val="24"/>
                <w:szCs w:val="24"/>
              </w:rPr>
            </w:pPr>
            <w:r w:rsidRPr="00792B36">
              <w:rPr>
                <w:rFonts w:eastAsia="Times New Roman"/>
                <w:color w:val="000000"/>
                <w:sz w:val="24"/>
                <w:szCs w:val="24"/>
              </w:rPr>
              <w:t>3,090.84</w:t>
            </w:r>
          </w:p>
        </w:tc>
        <w:tc>
          <w:tcPr>
            <w:tcW w:w="2635" w:type="dxa"/>
          </w:tcPr>
          <w:p w14:paraId="2772767E" w14:textId="77777777" w:rsidR="009A0A63" w:rsidRPr="00792B36" w:rsidRDefault="009A0A63" w:rsidP="00A24459">
            <w:pPr>
              <w:contextualSpacing/>
              <w:jc w:val="center"/>
              <w:rPr>
                <w:rFonts w:eastAsia="Times New Roman"/>
                <w:sz w:val="24"/>
                <w:szCs w:val="24"/>
              </w:rPr>
            </w:pPr>
            <w:r w:rsidRPr="00792B36">
              <w:rPr>
                <w:rFonts w:eastAsia="Times New Roman"/>
                <w:sz w:val="24"/>
                <w:szCs w:val="24"/>
              </w:rPr>
              <w:t>9.49%</w:t>
            </w:r>
          </w:p>
        </w:tc>
      </w:tr>
      <w:tr w:rsidR="009A0A63" w:rsidRPr="00792B36" w14:paraId="0855B9C9" w14:textId="77777777" w:rsidTr="00A24459">
        <w:trPr>
          <w:trHeight w:val="58"/>
        </w:trPr>
        <w:tc>
          <w:tcPr>
            <w:tcW w:w="2830" w:type="dxa"/>
            <w:noWrap/>
          </w:tcPr>
          <w:p w14:paraId="2C257358" w14:textId="77777777" w:rsidR="009A0A63" w:rsidRPr="00792B36" w:rsidRDefault="009A0A63" w:rsidP="00A24459">
            <w:pPr>
              <w:contextualSpacing/>
              <w:rPr>
                <w:rFonts w:eastAsia="Times New Roman"/>
                <w:color w:val="000000"/>
                <w:sz w:val="24"/>
                <w:szCs w:val="24"/>
              </w:rPr>
            </w:pPr>
            <w:r w:rsidRPr="00792B36">
              <w:rPr>
                <w:rFonts w:eastAsia="Times New Roman"/>
                <w:color w:val="000000"/>
                <w:sz w:val="24"/>
                <w:szCs w:val="24"/>
              </w:rPr>
              <w:t>Pattani</w:t>
            </w:r>
          </w:p>
        </w:tc>
        <w:tc>
          <w:tcPr>
            <w:tcW w:w="1843" w:type="dxa"/>
            <w:noWrap/>
            <w:vAlign w:val="center"/>
          </w:tcPr>
          <w:p w14:paraId="33C6B409" w14:textId="77777777" w:rsidR="009A0A63" w:rsidRPr="00792B36" w:rsidRDefault="009A0A63" w:rsidP="00A24459">
            <w:pPr>
              <w:contextualSpacing/>
              <w:jc w:val="center"/>
              <w:rPr>
                <w:rFonts w:eastAsia="Times New Roman"/>
                <w:color w:val="000000"/>
                <w:sz w:val="24"/>
                <w:szCs w:val="24"/>
              </w:rPr>
            </w:pPr>
            <w:r w:rsidRPr="00792B36">
              <w:rPr>
                <w:rFonts w:eastAsia="Times New Roman"/>
                <w:color w:val="000000"/>
                <w:sz w:val="24"/>
                <w:szCs w:val="24"/>
              </w:rPr>
              <w:t>1.56</w:t>
            </w:r>
          </w:p>
        </w:tc>
        <w:tc>
          <w:tcPr>
            <w:tcW w:w="1759" w:type="dxa"/>
            <w:noWrap/>
          </w:tcPr>
          <w:p w14:paraId="68F59888" w14:textId="77777777" w:rsidR="009A0A63" w:rsidRPr="00792B36" w:rsidRDefault="009A0A63" w:rsidP="00A24459">
            <w:pPr>
              <w:contextualSpacing/>
              <w:jc w:val="center"/>
              <w:rPr>
                <w:rFonts w:eastAsia="Times New Roman"/>
                <w:color w:val="000000"/>
                <w:sz w:val="24"/>
                <w:szCs w:val="24"/>
              </w:rPr>
            </w:pPr>
            <w:r w:rsidRPr="00792B36">
              <w:rPr>
                <w:rFonts w:eastAsia="Times New Roman"/>
                <w:color w:val="000000"/>
                <w:sz w:val="24"/>
                <w:szCs w:val="24"/>
              </w:rPr>
              <w:t>2,395.66</w:t>
            </w:r>
          </w:p>
        </w:tc>
        <w:tc>
          <w:tcPr>
            <w:tcW w:w="2635" w:type="dxa"/>
          </w:tcPr>
          <w:p w14:paraId="30E97C63" w14:textId="77777777" w:rsidR="009A0A63" w:rsidRPr="00792B36" w:rsidRDefault="009A0A63" w:rsidP="00A24459">
            <w:pPr>
              <w:contextualSpacing/>
              <w:jc w:val="center"/>
              <w:rPr>
                <w:rFonts w:eastAsia="Times New Roman"/>
                <w:sz w:val="24"/>
                <w:szCs w:val="24"/>
              </w:rPr>
            </w:pPr>
            <w:r w:rsidRPr="00792B36">
              <w:rPr>
                <w:rFonts w:eastAsia="Times New Roman"/>
                <w:sz w:val="24"/>
                <w:szCs w:val="24"/>
              </w:rPr>
              <w:t>23.36%</w:t>
            </w:r>
          </w:p>
        </w:tc>
      </w:tr>
      <w:tr w:rsidR="009A0A63" w:rsidRPr="00792B36" w14:paraId="5BE10C3E" w14:textId="77777777" w:rsidTr="00A24459">
        <w:trPr>
          <w:trHeight w:val="99"/>
        </w:trPr>
        <w:tc>
          <w:tcPr>
            <w:tcW w:w="2830" w:type="dxa"/>
            <w:noWrap/>
          </w:tcPr>
          <w:p w14:paraId="5BC50300" w14:textId="77777777" w:rsidR="009A0A63" w:rsidRPr="00792B36" w:rsidRDefault="009A0A63" w:rsidP="00A24459">
            <w:pPr>
              <w:contextualSpacing/>
              <w:rPr>
                <w:rFonts w:eastAsia="Times New Roman"/>
                <w:color w:val="000000"/>
                <w:sz w:val="24"/>
                <w:szCs w:val="24"/>
              </w:rPr>
            </w:pPr>
            <w:r w:rsidRPr="00792B36">
              <w:rPr>
                <w:rFonts w:eastAsia="Times New Roman"/>
                <w:color w:val="000000"/>
                <w:sz w:val="24"/>
                <w:szCs w:val="24"/>
              </w:rPr>
              <w:t>Narathiwat</w:t>
            </w:r>
          </w:p>
        </w:tc>
        <w:tc>
          <w:tcPr>
            <w:tcW w:w="1843" w:type="dxa"/>
            <w:noWrap/>
            <w:vAlign w:val="center"/>
          </w:tcPr>
          <w:p w14:paraId="3010EC92" w14:textId="77777777" w:rsidR="009A0A63" w:rsidRPr="00792B36" w:rsidRDefault="009A0A63" w:rsidP="00A24459">
            <w:pPr>
              <w:contextualSpacing/>
              <w:jc w:val="center"/>
              <w:rPr>
                <w:rFonts w:eastAsia="Times New Roman"/>
                <w:color w:val="000000"/>
                <w:sz w:val="24"/>
                <w:szCs w:val="24"/>
              </w:rPr>
            </w:pPr>
            <w:r w:rsidRPr="00792B36">
              <w:rPr>
                <w:rFonts w:eastAsia="Times New Roman"/>
                <w:color w:val="000000"/>
                <w:sz w:val="24"/>
                <w:szCs w:val="24"/>
              </w:rPr>
              <w:t>1.36</w:t>
            </w:r>
          </w:p>
        </w:tc>
        <w:tc>
          <w:tcPr>
            <w:tcW w:w="1759" w:type="dxa"/>
            <w:noWrap/>
          </w:tcPr>
          <w:p w14:paraId="14506127" w14:textId="77777777" w:rsidR="009A0A63" w:rsidRPr="00792B36" w:rsidRDefault="009A0A63" w:rsidP="00A24459">
            <w:pPr>
              <w:contextualSpacing/>
              <w:jc w:val="center"/>
              <w:rPr>
                <w:rFonts w:eastAsia="Times New Roman"/>
                <w:color w:val="000000"/>
                <w:sz w:val="24"/>
                <w:szCs w:val="24"/>
              </w:rPr>
            </w:pPr>
            <w:r w:rsidRPr="00792B36">
              <w:rPr>
                <w:rFonts w:eastAsia="Times New Roman"/>
                <w:color w:val="000000"/>
                <w:sz w:val="24"/>
                <w:szCs w:val="24"/>
              </w:rPr>
              <w:t>1,839.23</w:t>
            </w:r>
          </w:p>
        </w:tc>
        <w:tc>
          <w:tcPr>
            <w:tcW w:w="2635" w:type="dxa"/>
          </w:tcPr>
          <w:p w14:paraId="6AABCCEA" w14:textId="77777777" w:rsidR="009A0A63" w:rsidRPr="00792B36" w:rsidRDefault="009A0A63" w:rsidP="00A24459">
            <w:pPr>
              <w:contextualSpacing/>
              <w:jc w:val="center"/>
              <w:rPr>
                <w:rFonts w:eastAsia="Times New Roman"/>
                <w:sz w:val="24"/>
                <w:szCs w:val="24"/>
              </w:rPr>
            </w:pPr>
            <w:r w:rsidRPr="00792B36">
              <w:rPr>
                <w:rFonts w:eastAsia="Times New Roman"/>
                <w:sz w:val="24"/>
                <w:szCs w:val="24"/>
              </w:rPr>
              <w:t>19.12%</w:t>
            </w:r>
          </w:p>
        </w:tc>
      </w:tr>
    </w:tbl>
    <w:p w14:paraId="639F7B31" w14:textId="77777777" w:rsidR="009A0A63" w:rsidRPr="00792B36" w:rsidRDefault="009A0A63" w:rsidP="009A0A63">
      <w:pPr>
        <w:rPr>
          <w:sz w:val="24"/>
          <w:szCs w:val="24"/>
        </w:rPr>
      </w:pPr>
    </w:p>
    <w:p w14:paraId="7845EA61" w14:textId="77777777" w:rsidR="009A0A63" w:rsidRPr="00792B36" w:rsidRDefault="009A0A63" w:rsidP="009A0A63">
      <w:pPr>
        <w:spacing w:before="120" w:after="120"/>
        <w:ind w:firstLine="1134"/>
        <w:jc w:val="thaiDistribute"/>
        <w:rPr>
          <w:iCs/>
          <w:sz w:val="24"/>
          <w:szCs w:val="24"/>
        </w:rPr>
      </w:pPr>
      <w:r w:rsidRPr="00792B36">
        <w:rPr>
          <w:iCs/>
          <w:sz w:val="24"/>
          <w:szCs w:val="24"/>
        </w:rPr>
        <w:br w:type="page"/>
      </w:r>
    </w:p>
    <w:p w14:paraId="2D3D7470" w14:textId="77777777" w:rsidR="009A0A63" w:rsidRPr="00792B36" w:rsidRDefault="009A0A63" w:rsidP="009A0A63">
      <w:pPr>
        <w:rPr>
          <w:iCs/>
          <w:sz w:val="24"/>
          <w:szCs w:val="24"/>
        </w:rPr>
      </w:pPr>
      <w:r w:rsidRPr="00792B36">
        <w:rPr>
          <w:iCs/>
          <w:sz w:val="24"/>
          <w:szCs w:val="24"/>
        </w:rPr>
        <w:lastRenderedPageBreak/>
        <w:t>Annex 4: Approved Domestic and Foreign Direct Investment Values by the Board of Investment (BOI), 2015–2024</w:t>
      </w:r>
    </w:p>
    <w:p w14:paraId="29A8C76D" w14:textId="77777777" w:rsidR="009A0A63" w:rsidRPr="00792B36" w:rsidRDefault="009A0A63" w:rsidP="009A0A63">
      <w:pPr>
        <w:contextualSpacing/>
        <w:rPr>
          <w:i/>
          <w:sz w:val="24"/>
          <w:szCs w:val="24"/>
        </w:rPr>
      </w:pPr>
    </w:p>
    <w:tbl>
      <w:tblPr>
        <w:tblW w:w="93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50"/>
        <w:gridCol w:w="1520"/>
        <w:gridCol w:w="817"/>
        <w:gridCol w:w="1520"/>
        <w:gridCol w:w="817"/>
        <w:gridCol w:w="1520"/>
        <w:gridCol w:w="886"/>
        <w:gridCol w:w="1520"/>
      </w:tblGrid>
      <w:tr w:rsidR="009A0A63" w:rsidRPr="00792B36" w14:paraId="5BB81D48" w14:textId="77777777" w:rsidTr="00A24459">
        <w:trPr>
          <w:trHeight w:val="612"/>
          <w:tblHeader/>
        </w:trPr>
        <w:tc>
          <w:tcPr>
            <w:tcW w:w="705" w:type="dxa"/>
            <w:vMerge w:val="restart"/>
            <w:shd w:val="clear" w:color="auto" w:fill="D9D9D9" w:themeFill="background1" w:themeFillShade="D9"/>
            <w:noWrap/>
            <w:hideMark/>
          </w:tcPr>
          <w:p w14:paraId="4AF7792A" w14:textId="77777777" w:rsidR="009A0A63" w:rsidRPr="00792B36" w:rsidRDefault="009A0A63" w:rsidP="00A24459">
            <w:pPr>
              <w:contextualSpacing/>
              <w:jc w:val="center"/>
              <w:rPr>
                <w:rFonts w:eastAsia="Times New Roman"/>
                <w:sz w:val="24"/>
                <w:szCs w:val="24"/>
              </w:rPr>
            </w:pPr>
            <w:r w:rsidRPr="00792B36">
              <w:rPr>
                <w:rFonts w:eastAsia="Times New Roman"/>
                <w:sz w:val="24"/>
                <w:szCs w:val="24"/>
              </w:rPr>
              <w:t>Year</w:t>
            </w:r>
          </w:p>
        </w:tc>
        <w:tc>
          <w:tcPr>
            <w:tcW w:w="2331" w:type="dxa"/>
            <w:gridSpan w:val="2"/>
            <w:shd w:val="clear" w:color="auto" w:fill="D9D9D9" w:themeFill="background1" w:themeFillShade="D9"/>
            <w:hideMark/>
          </w:tcPr>
          <w:p w14:paraId="12F00E90" w14:textId="77777777" w:rsidR="009A0A63" w:rsidRPr="00792B36" w:rsidRDefault="009A0A63" w:rsidP="00A24459">
            <w:pPr>
              <w:contextualSpacing/>
              <w:jc w:val="center"/>
              <w:rPr>
                <w:rFonts w:eastAsia="Times New Roman"/>
                <w:color w:val="000000"/>
                <w:sz w:val="24"/>
                <w:szCs w:val="24"/>
              </w:rPr>
            </w:pPr>
            <w:r w:rsidRPr="00792B36">
              <w:rPr>
                <w:rFonts w:eastAsia="Times New Roman"/>
                <w:color w:val="000000"/>
                <w:sz w:val="24"/>
                <w:szCs w:val="24"/>
              </w:rPr>
              <w:t>Domestic Direct Investment (DDI)</w:t>
            </w:r>
          </w:p>
        </w:tc>
        <w:tc>
          <w:tcPr>
            <w:tcW w:w="2331" w:type="dxa"/>
            <w:gridSpan w:val="2"/>
            <w:shd w:val="clear" w:color="auto" w:fill="D9D9D9" w:themeFill="background1" w:themeFillShade="D9"/>
            <w:hideMark/>
          </w:tcPr>
          <w:p w14:paraId="1E6B56AC" w14:textId="77777777" w:rsidR="009A0A63" w:rsidRPr="00792B36" w:rsidRDefault="009A0A63" w:rsidP="00A24459">
            <w:pPr>
              <w:contextualSpacing/>
              <w:jc w:val="center"/>
              <w:rPr>
                <w:rFonts w:eastAsia="Times New Roman"/>
                <w:color w:val="000000"/>
                <w:sz w:val="24"/>
                <w:szCs w:val="24"/>
              </w:rPr>
            </w:pPr>
            <w:r w:rsidRPr="00792B36">
              <w:rPr>
                <w:rFonts w:eastAsia="Times New Roman"/>
                <w:color w:val="000000"/>
                <w:sz w:val="24"/>
                <w:szCs w:val="24"/>
              </w:rPr>
              <w:t>Other Investment (Not specified)</w:t>
            </w:r>
          </w:p>
        </w:tc>
        <w:tc>
          <w:tcPr>
            <w:tcW w:w="2463" w:type="dxa"/>
            <w:gridSpan w:val="2"/>
            <w:shd w:val="clear" w:color="auto" w:fill="D9D9D9" w:themeFill="background1" w:themeFillShade="D9"/>
            <w:hideMark/>
          </w:tcPr>
          <w:p w14:paraId="16E8CC58" w14:textId="77777777" w:rsidR="009A0A63" w:rsidRPr="00792B36" w:rsidRDefault="009A0A63" w:rsidP="00A24459">
            <w:pPr>
              <w:contextualSpacing/>
              <w:jc w:val="center"/>
              <w:rPr>
                <w:rFonts w:eastAsia="Times New Roman"/>
                <w:color w:val="000000"/>
                <w:sz w:val="24"/>
                <w:szCs w:val="24"/>
              </w:rPr>
            </w:pPr>
            <w:r w:rsidRPr="00792B36">
              <w:rPr>
                <w:rFonts w:eastAsia="Times New Roman"/>
                <w:color w:val="000000"/>
                <w:sz w:val="24"/>
                <w:szCs w:val="24"/>
              </w:rPr>
              <w:t>Foreign Direct Investment (FDI)</w:t>
            </w:r>
          </w:p>
        </w:tc>
        <w:tc>
          <w:tcPr>
            <w:tcW w:w="1520" w:type="dxa"/>
            <w:shd w:val="clear" w:color="auto" w:fill="D9D9D9" w:themeFill="background1" w:themeFillShade="D9"/>
            <w:hideMark/>
          </w:tcPr>
          <w:p w14:paraId="7BF406DC" w14:textId="77777777" w:rsidR="009A0A63" w:rsidRPr="00792B36" w:rsidRDefault="009A0A63" w:rsidP="00A24459">
            <w:pPr>
              <w:contextualSpacing/>
              <w:jc w:val="center"/>
              <w:rPr>
                <w:rFonts w:eastAsia="Times New Roman"/>
                <w:color w:val="000000"/>
                <w:sz w:val="24"/>
                <w:szCs w:val="24"/>
              </w:rPr>
            </w:pPr>
            <w:r w:rsidRPr="00792B36">
              <w:rPr>
                <w:rFonts w:eastAsia="Times New Roman"/>
                <w:color w:val="000000"/>
                <w:sz w:val="24"/>
                <w:szCs w:val="24"/>
              </w:rPr>
              <w:t>Total Investment</w:t>
            </w:r>
          </w:p>
        </w:tc>
      </w:tr>
      <w:tr w:rsidR="009A0A63" w:rsidRPr="00792B36" w14:paraId="3A189800" w14:textId="77777777" w:rsidTr="00A24459">
        <w:trPr>
          <w:trHeight w:val="267"/>
          <w:tblHeader/>
        </w:trPr>
        <w:tc>
          <w:tcPr>
            <w:tcW w:w="705" w:type="dxa"/>
            <w:vMerge/>
            <w:shd w:val="clear" w:color="auto" w:fill="D9D9D9" w:themeFill="background1" w:themeFillShade="D9"/>
            <w:noWrap/>
          </w:tcPr>
          <w:p w14:paraId="41483AA2" w14:textId="77777777" w:rsidR="009A0A63" w:rsidRPr="00792B36" w:rsidRDefault="009A0A63" w:rsidP="00A24459">
            <w:pPr>
              <w:contextualSpacing/>
              <w:jc w:val="center"/>
              <w:rPr>
                <w:rFonts w:eastAsia="Times New Roman"/>
                <w:b/>
                <w:bCs/>
                <w:sz w:val="24"/>
                <w:szCs w:val="24"/>
              </w:rPr>
            </w:pPr>
          </w:p>
        </w:tc>
        <w:tc>
          <w:tcPr>
            <w:tcW w:w="1520" w:type="dxa"/>
            <w:shd w:val="clear" w:color="auto" w:fill="D9D9D9" w:themeFill="background1" w:themeFillShade="D9"/>
          </w:tcPr>
          <w:p w14:paraId="0AFE2CC6" w14:textId="77777777" w:rsidR="009A0A63" w:rsidRPr="00792B36" w:rsidRDefault="009A0A63" w:rsidP="00A24459">
            <w:pPr>
              <w:contextualSpacing/>
              <w:jc w:val="center"/>
              <w:rPr>
                <w:rFonts w:eastAsia="Times New Roman"/>
                <w:color w:val="000000"/>
                <w:sz w:val="24"/>
                <w:szCs w:val="24"/>
              </w:rPr>
            </w:pPr>
            <w:r w:rsidRPr="00792B36">
              <w:rPr>
                <w:rFonts w:eastAsia="Times New Roman"/>
                <w:color w:val="000000"/>
                <w:sz w:val="24"/>
                <w:szCs w:val="24"/>
              </w:rPr>
              <w:t>Million USD</w:t>
            </w:r>
          </w:p>
        </w:tc>
        <w:tc>
          <w:tcPr>
            <w:tcW w:w="811" w:type="dxa"/>
            <w:shd w:val="clear" w:color="auto" w:fill="D9D9D9" w:themeFill="background1" w:themeFillShade="D9"/>
          </w:tcPr>
          <w:p w14:paraId="54086C30" w14:textId="77777777" w:rsidR="009A0A63" w:rsidRPr="00792B36" w:rsidRDefault="009A0A63" w:rsidP="00A24459">
            <w:pPr>
              <w:contextualSpacing/>
              <w:jc w:val="center"/>
              <w:rPr>
                <w:rFonts w:eastAsia="Times New Roman"/>
                <w:color w:val="000000"/>
                <w:sz w:val="24"/>
                <w:szCs w:val="24"/>
              </w:rPr>
            </w:pPr>
            <w:r w:rsidRPr="00792B36">
              <w:rPr>
                <w:rFonts w:eastAsia="Times New Roman"/>
                <w:color w:val="000000"/>
                <w:sz w:val="24"/>
                <w:szCs w:val="24"/>
              </w:rPr>
              <w:t>%</w:t>
            </w:r>
          </w:p>
        </w:tc>
        <w:tc>
          <w:tcPr>
            <w:tcW w:w="1520" w:type="dxa"/>
            <w:shd w:val="clear" w:color="auto" w:fill="D9D9D9" w:themeFill="background1" w:themeFillShade="D9"/>
          </w:tcPr>
          <w:p w14:paraId="622B597B" w14:textId="77777777" w:rsidR="009A0A63" w:rsidRPr="00792B36" w:rsidRDefault="009A0A63" w:rsidP="00A24459">
            <w:pPr>
              <w:contextualSpacing/>
              <w:jc w:val="center"/>
              <w:rPr>
                <w:rFonts w:eastAsia="Times New Roman"/>
                <w:color w:val="000000"/>
                <w:sz w:val="24"/>
                <w:szCs w:val="24"/>
              </w:rPr>
            </w:pPr>
            <w:r w:rsidRPr="00792B36">
              <w:rPr>
                <w:rFonts w:eastAsia="Times New Roman"/>
                <w:color w:val="000000"/>
                <w:sz w:val="24"/>
                <w:szCs w:val="24"/>
              </w:rPr>
              <w:t>Million USD</w:t>
            </w:r>
          </w:p>
        </w:tc>
        <w:tc>
          <w:tcPr>
            <w:tcW w:w="811" w:type="dxa"/>
            <w:shd w:val="clear" w:color="auto" w:fill="D9D9D9" w:themeFill="background1" w:themeFillShade="D9"/>
          </w:tcPr>
          <w:p w14:paraId="3414C10A" w14:textId="77777777" w:rsidR="009A0A63" w:rsidRPr="00792B36" w:rsidRDefault="009A0A63" w:rsidP="00A24459">
            <w:pPr>
              <w:contextualSpacing/>
              <w:jc w:val="center"/>
              <w:rPr>
                <w:rFonts w:eastAsia="Times New Roman"/>
                <w:color w:val="000000"/>
                <w:sz w:val="24"/>
                <w:szCs w:val="24"/>
              </w:rPr>
            </w:pPr>
            <w:r w:rsidRPr="00792B36">
              <w:rPr>
                <w:rFonts w:eastAsia="Times New Roman"/>
                <w:color w:val="000000"/>
                <w:sz w:val="24"/>
                <w:szCs w:val="24"/>
              </w:rPr>
              <w:t>%</w:t>
            </w:r>
          </w:p>
        </w:tc>
        <w:tc>
          <w:tcPr>
            <w:tcW w:w="1520" w:type="dxa"/>
            <w:shd w:val="clear" w:color="auto" w:fill="D9D9D9" w:themeFill="background1" w:themeFillShade="D9"/>
          </w:tcPr>
          <w:p w14:paraId="1B3E720E" w14:textId="77777777" w:rsidR="009A0A63" w:rsidRPr="00792B36" w:rsidRDefault="009A0A63" w:rsidP="00A24459">
            <w:pPr>
              <w:contextualSpacing/>
              <w:jc w:val="center"/>
              <w:rPr>
                <w:rFonts w:eastAsia="Times New Roman"/>
                <w:color w:val="000000"/>
                <w:sz w:val="24"/>
                <w:szCs w:val="24"/>
              </w:rPr>
            </w:pPr>
            <w:r w:rsidRPr="00792B36">
              <w:rPr>
                <w:rFonts w:eastAsia="Times New Roman"/>
                <w:color w:val="000000"/>
                <w:sz w:val="24"/>
                <w:szCs w:val="24"/>
              </w:rPr>
              <w:t>Million USD</w:t>
            </w:r>
          </w:p>
        </w:tc>
        <w:tc>
          <w:tcPr>
            <w:tcW w:w="943" w:type="dxa"/>
            <w:shd w:val="clear" w:color="auto" w:fill="D9D9D9" w:themeFill="background1" w:themeFillShade="D9"/>
          </w:tcPr>
          <w:p w14:paraId="45AA3942" w14:textId="77777777" w:rsidR="009A0A63" w:rsidRPr="00792B36" w:rsidRDefault="009A0A63" w:rsidP="00A24459">
            <w:pPr>
              <w:contextualSpacing/>
              <w:jc w:val="center"/>
              <w:rPr>
                <w:rFonts w:eastAsia="Times New Roman"/>
                <w:color w:val="000000"/>
                <w:sz w:val="24"/>
                <w:szCs w:val="24"/>
              </w:rPr>
            </w:pPr>
            <w:r w:rsidRPr="00792B36">
              <w:rPr>
                <w:rFonts w:eastAsia="Times New Roman"/>
                <w:color w:val="000000"/>
                <w:sz w:val="24"/>
                <w:szCs w:val="24"/>
              </w:rPr>
              <w:t>%</w:t>
            </w:r>
          </w:p>
        </w:tc>
        <w:tc>
          <w:tcPr>
            <w:tcW w:w="1520" w:type="dxa"/>
            <w:shd w:val="clear" w:color="auto" w:fill="D9D9D9" w:themeFill="background1" w:themeFillShade="D9"/>
          </w:tcPr>
          <w:p w14:paraId="2E637F54" w14:textId="77777777" w:rsidR="009A0A63" w:rsidRPr="00792B36" w:rsidRDefault="009A0A63" w:rsidP="00A24459">
            <w:pPr>
              <w:contextualSpacing/>
              <w:jc w:val="center"/>
              <w:rPr>
                <w:rFonts w:eastAsia="Times New Roman"/>
                <w:color w:val="000000"/>
                <w:sz w:val="24"/>
                <w:szCs w:val="24"/>
              </w:rPr>
            </w:pPr>
            <w:r w:rsidRPr="00792B36">
              <w:rPr>
                <w:rFonts w:eastAsia="Times New Roman"/>
                <w:color w:val="000000"/>
                <w:sz w:val="24"/>
                <w:szCs w:val="24"/>
              </w:rPr>
              <w:t>Million USD</w:t>
            </w:r>
          </w:p>
        </w:tc>
      </w:tr>
      <w:tr w:rsidR="009A0A63" w:rsidRPr="00792B36" w14:paraId="5D473F79" w14:textId="77777777" w:rsidTr="00A24459">
        <w:trPr>
          <w:trHeight w:val="276"/>
        </w:trPr>
        <w:tc>
          <w:tcPr>
            <w:tcW w:w="705" w:type="dxa"/>
            <w:noWrap/>
            <w:hideMark/>
          </w:tcPr>
          <w:p w14:paraId="5C8C13B6" w14:textId="77777777" w:rsidR="009A0A63" w:rsidRPr="00792B36" w:rsidRDefault="009A0A63" w:rsidP="00A24459">
            <w:pPr>
              <w:contextualSpacing/>
              <w:jc w:val="center"/>
              <w:rPr>
                <w:rFonts w:eastAsia="Times New Roman"/>
                <w:color w:val="000000"/>
                <w:sz w:val="24"/>
                <w:szCs w:val="24"/>
              </w:rPr>
            </w:pPr>
            <w:r w:rsidRPr="00792B36">
              <w:rPr>
                <w:rFonts w:eastAsia="Times New Roman"/>
                <w:color w:val="000000"/>
                <w:sz w:val="24"/>
                <w:szCs w:val="24"/>
              </w:rPr>
              <w:t>2015</w:t>
            </w:r>
          </w:p>
        </w:tc>
        <w:tc>
          <w:tcPr>
            <w:tcW w:w="1520" w:type="dxa"/>
            <w:noWrap/>
            <w:hideMark/>
          </w:tcPr>
          <w:p w14:paraId="04DD138C" w14:textId="77777777" w:rsidR="009A0A63" w:rsidRPr="00792B36" w:rsidRDefault="009A0A63" w:rsidP="00A24459">
            <w:pPr>
              <w:contextualSpacing/>
              <w:jc w:val="center"/>
              <w:rPr>
                <w:rFonts w:eastAsia="Times New Roman"/>
                <w:color w:val="000000"/>
                <w:sz w:val="24"/>
                <w:szCs w:val="24"/>
              </w:rPr>
            </w:pPr>
            <w:r w:rsidRPr="00792B36">
              <w:rPr>
                <w:rFonts w:eastAsia="Times New Roman"/>
                <w:color w:val="000000"/>
                <w:sz w:val="24"/>
                <w:szCs w:val="24"/>
              </w:rPr>
              <w:t>7,965.68</w:t>
            </w:r>
          </w:p>
        </w:tc>
        <w:tc>
          <w:tcPr>
            <w:tcW w:w="811" w:type="dxa"/>
          </w:tcPr>
          <w:p w14:paraId="3043A0F3" w14:textId="77777777" w:rsidR="009A0A63" w:rsidRPr="00792B36" w:rsidRDefault="009A0A63" w:rsidP="00A24459">
            <w:pPr>
              <w:contextualSpacing/>
              <w:jc w:val="center"/>
              <w:rPr>
                <w:rFonts w:eastAsia="Times New Roman"/>
                <w:color w:val="000000"/>
                <w:sz w:val="24"/>
                <w:szCs w:val="24"/>
              </w:rPr>
            </w:pPr>
            <w:r w:rsidRPr="00792B36">
              <w:rPr>
                <w:color w:val="000000"/>
                <w:sz w:val="24"/>
                <w:szCs w:val="24"/>
              </w:rPr>
              <w:t>33.75</w:t>
            </w:r>
          </w:p>
        </w:tc>
        <w:tc>
          <w:tcPr>
            <w:tcW w:w="1520" w:type="dxa"/>
            <w:noWrap/>
            <w:hideMark/>
          </w:tcPr>
          <w:p w14:paraId="2D8261DF" w14:textId="77777777" w:rsidR="009A0A63" w:rsidRPr="00792B36" w:rsidRDefault="009A0A63" w:rsidP="00A24459">
            <w:pPr>
              <w:contextualSpacing/>
              <w:jc w:val="center"/>
              <w:rPr>
                <w:rFonts w:eastAsia="Times New Roman"/>
                <w:color w:val="000000"/>
                <w:sz w:val="24"/>
                <w:szCs w:val="24"/>
              </w:rPr>
            </w:pPr>
            <w:r w:rsidRPr="00792B36">
              <w:rPr>
                <w:rFonts w:eastAsia="Times New Roman"/>
                <w:color w:val="000000"/>
                <w:sz w:val="24"/>
                <w:szCs w:val="24"/>
              </w:rPr>
              <w:t>1,240.91</w:t>
            </w:r>
          </w:p>
        </w:tc>
        <w:tc>
          <w:tcPr>
            <w:tcW w:w="811" w:type="dxa"/>
          </w:tcPr>
          <w:p w14:paraId="7DF16872" w14:textId="77777777" w:rsidR="009A0A63" w:rsidRPr="00792B36" w:rsidRDefault="009A0A63" w:rsidP="00A24459">
            <w:pPr>
              <w:contextualSpacing/>
              <w:jc w:val="center"/>
              <w:rPr>
                <w:rFonts w:eastAsia="Times New Roman"/>
                <w:color w:val="000000"/>
                <w:sz w:val="24"/>
                <w:szCs w:val="24"/>
              </w:rPr>
            </w:pPr>
            <w:r w:rsidRPr="00792B36">
              <w:rPr>
                <w:color w:val="000000"/>
                <w:sz w:val="24"/>
                <w:szCs w:val="24"/>
              </w:rPr>
              <w:t>5.26</w:t>
            </w:r>
          </w:p>
        </w:tc>
        <w:tc>
          <w:tcPr>
            <w:tcW w:w="1520" w:type="dxa"/>
            <w:noWrap/>
            <w:hideMark/>
          </w:tcPr>
          <w:p w14:paraId="3140E5B6" w14:textId="77777777" w:rsidR="009A0A63" w:rsidRPr="00792B36" w:rsidRDefault="009A0A63" w:rsidP="00A24459">
            <w:pPr>
              <w:contextualSpacing/>
              <w:jc w:val="center"/>
              <w:rPr>
                <w:rFonts w:eastAsia="Times New Roman"/>
                <w:color w:val="000000"/>
                <w:sz w:val="24"/>
                <w:szCs w:val="24"/>
              </w:rPr>
            </w:pPr>
            <w:r w:rsidRPr="00792B36">
              <w:rPr>
                <w:rFonts w:eastAsia="Times New Roman"/>
                <w:color w:val="000000"/>
                <w:sz w:val="24"/>
                <w:szCs w:val="24"/>
              </w:rPr>
              <w:t>14,397.49</w:t>
            </w:r>
          </w:p>
        </w:tc>
        <w:tc>
          <w:tcPr>
            <w:tcW w:w="943" w:type="dxa"/>
          </w:tcPr>
          <w:p w14:paraId="21B93A2E" w14:textId="77777777" w:rsidR="009A0A63" w:rsidRPr="00792B36" w:rsidRDefault="009A0A63" w:rsidP="00A24459">
            <w:pPr>
              <w:contextualSpacing/>
              <w:jc w:val="center"/>
              <w:rPr>
                <w:rFonts w:eastAsia="Times New Roman"/>
                <w:color w:val="000000"/>
                <w:sz w:val="24"/>
                <w:szCs w:val="24"/>
              </w:rPr>
            </w:pPr>
            <w:r w:rsidRPr="00792B36">
              <w:rPr>
                <w:color w:val="000000"/>
                <w:sz w:val="24"/>
                <w:szCs w:val="24"/>
              </w:rPr>
              <w:t>61.00</w:t>
            </w:r>
          </w:p>
        </w:tc>
        <w:tc>
          <w:tcPr>
            <w:tcW w:w="1520" w:type="dxa"/>
            <w:noWrap/>
            <w:hideMark/>
          </w:tcPr>
          <w:p w14:paraId="59F9BFFD" w14:textId="77777777" w:rsidR="009A0A63" w:rsidRPr="00792B36" w:rsidRDefault="009A0A63" w:rsidP="00A24459">
            <w:pPr>
              <w:contextualSpacing/>
              <w:jc w:val="center"/>
              <w:rPr>
                <w:rFonts w:eastAsia="Times New Roman"/>
                <w:color w:val="000000"/>
                <w:sz w:val="24"/>
                <w:szCs w:val="24"/>
              </w:rPr>
            </w:pPr>
            <w:r w:rsidRPr="00792B36">
              <w:rPr>
                <w:rFonts w:eastAsia="Times New Roman"/>
                <w:color w:val="000000"/>
                <w:sz w:val="24"/>
                <w:szCs w:val="24"/>
              </w:rPr>
              <w:t>23,604.08</w:t>
            </w:r>
          </w:p>
        </w:tc>
      </w:tr>
      <w:tr w:rsidR="009A0A63" w:rsidRPr="00792B36" w14:paraId="3314ACAE" w14:textId="77777777" w:rsidTr="00A24459">
        <w:trPr>
          <w:trHeight w:val="276"/>
        </w:trPr>
        <w:tc>
          <w:tcPr>
            <w:tcW w:w="705" w:type="dxa"/>
            <w:noWrap/>
            <w:hideMark/>
          </w:tcPr>
          <w:p w14:paraId="115AFABF" w14:textId="77777777" w:rsidR="009A0A63" w:rsidRPr="00792B36" w:rsidRDefault="009A0A63" w:rsidP="00A24459">
            <w:pPr>
              <w:contextualSpacing/>
              <w:jc w:val="center"/>
              <w:rPr>
                <w:rFonts w:eastAsia="Times New Roman"/>
                <w:color w:val="000000"/>
                <w:sz w:val="24"/>
                <w:szCs w:val="24"/>
              </w:rPr>
            </w:pPr>
            <w:r w:rsidRPr="00792B36">
              <w:rPr>
                <w:rFonts w:eastAsia="Times New Roman"/>
                <w:color w:val="000000"/>
                <w:sz w:val="24"/>
                <w:szCs w:val="24"/>
              </w:rPr>
              <w:t>2016</w:t>
            </w:r>
          </w:p>
        </w:tc>
        <w:tc>
          <w:tcPr>
            <w:tcW w:w="1520" w:type="dxa"/>
            <w:noWrap/>
            <w:hideMark/>
          </w:tcPr>
          <w:p w14:paraId="6A52398A" w14:textId="77777777" w:rsidR="009A0A63" w:rsidRPr="00792B36" w:rsidRDefault="009A0A63" w:rsidP="00A24459">
            <w:pPr>
              <w:contextualSpacing/>
              <w:jc w:val="center"/>
              <w:rPr>
                <w:rFonts w:eastAsia="Times New Roman"/>
                <w:color w:val="000000"/>
                <w:sz w:val="24"/>
                <w:szCs w:val="24"/>
              </w:rPr>
            </w:pPr>
            <w:r w:rsidRPr="00792B36">
              <w:rPr>
                <w:rFonts w:eastAsia="Times New Roman"/>
                <w:color w:val="000000"/>
                <w:sz w:val="24"/>
                <w:szCs w:val="24"/>
              </w:rPr>
              <w:t>9,427.02</w:t>
            </w:r>
          </w:p>
        </w:tc>
        <w:tc>
          <w:tcPr>
            <w:tcW w:w="811" w:type="dxa"/>
          </w:tcPr>
          <w:p w14:paraId="6F766043" w14:textId="77777777" w:rsidR="009A0A63" w:rsidRPr="00792B36" w:rsidRDefault="009A0A63" w:rsidP="00A24459">
            <w:pPr>
              <w:contextualSpacing/>
              <w:jc w:val="center"/>
              <w:rPr>
                <w:color w:val="000000"/>
                <w:sz w:val="24"/>
                <w:szCs w:val="24"/>
              </w:rPr>
            </w:pPr>
            <w:r w:rsidRPr="00792B36">
              <w:rPr>
                <w:color w:val="000000"/>
                <w:sz w:val="24"/>
                <w:szCs w:val="24"/>
              </w:rPr>
              <w:t>37.49</w:t>
            </w:r>
          </w:p>
        </w:tc>
        <w:tc>
          <w:tcPr>
            <w:tcW w:w="1520" w:type="dxa"/>
            <w:noWrap/>
            <w:hideMark/>
          </w:tcPr>
          <w:p w14:paraId="2B57D138" w14:textId="77777777" w:rsidR="009A0A63" w:rsidRPr="00792B36" w:rsidRDefault="009A0A63" w:rsidP="00A24459">
            <w:pPr>
              <w:contextualSpacing/>
              <w:jc w:val="center"/>
              <w:rPr>
                <w:rFonts w:eastAsia="Times New Roman"/>
                <w:color w:val="000000"/>
                <w:sz w:val="24"/>
                <w:szCs w:val="24"/>
              </w:rPr>
            </w:pPr>
            <w:r w:rsidRPr="00792B36">
              <w:rPr>
                <w:rFonts w:eastAsia="Times New Roman"/>
                <w:color w:val="000000"/>
                <w:sz w:val="24"/>
                <w:szCs w:val="24"/>
              </w:rPr>
              <w:t>5,265.86</w:t>
            </w:r>
          </w:p>
        </w:tc>
        <w:tc>
          <w:tcPr>
            <w:tcW w:w="811" w:type="dxa"/>
          </w:tcPr>
          <w:p w14:paraId="630213F4" w14:textId="77777777" w:rsidR="009A0A63" w:rsidRPr="00792B36" w:rsidRDefault="009A0A63" w:rsidP="00A24459">
            <w:pPr>
              <w:contextualSpacing/>
              <w:jc w:val="center"/>
              <w:rPr>
                <w:color w:val="000000"/>
                <w:sz w:val="24"/>
                <w:szCs w:val="24"/>
              </w:rPr>
            </w:pPr>
            <w:r w:rsidRPr="00792B36">
              <w:rPr>
                <w:color w:val="000000"/>
                <w:sz w:val="24"/>
                <w:szCs w:val="24"/>
              </w:rPr>
              <w:t>20.94</w:t>
            </w:r>
          </w:p>
        </w:tc>
        <w:tc>
          <w:tcPr>
            <w:tcW w:w="1520" w:type="dxa"/>
            <w:noWrap/>
            <w:hideMark/>
          </w:tcPr>
          <w:p w14:paraId="61C463D6" w14:textId="77777777" w:rsidR="009A0A63" w:rsidRPr="00792B36" w:rsidRDefault="009A0A63" w:rsidP="00A24459">
            <w:pPr>
              <w:contextualSpacing/>
              <w:jc w:val="center"/>
              <w:rPr>
                <w:rFonts w:eastAsia="Times New Roman"/>
                <w:color w:val="000000"/>
                <w:sz w:val="24"/>
                <w:szCs w:val="24"/>
              </w:rPr>
            </w:pPr>
            <w:r w:rsidRPr="00792B36">
              <w:rPr>
                <w:rFonts w:eastAsia="Times New Roman"/>
                <w:color w:val="000000"/>
                <w:sz w:val="24"/>
                <w:szCs w:val="24"/>
              </w:rPr>
              <w:t>10,455.74</w:t>
            </w:r>
          </w:p>
        </w:tc>
        <w:tc>
          <w:tcPr>
            <w:tcW w:w="943" w:type="dxa"/>
          </w:tcPr>
          <w:p w14:paraId="4636EDAC" w14:textId="77777777" w:rsidR="009A0A63" w:rsidRPr="00792B36" w:rsidRDefault="009A0A63" w:rsidP="00A24459">
            <w:pPr>
              <w:contextualSpacing/>
              <w:jc w:val="center"/>
              <w:rPr>
                <w:color w:val="000000"/>
                <w:sz w:val="24"/>
                <w:szCs w:val="24"/>
              </w:rPr>
            </w:pPr>
            <w:r w:rsidRPr="00792B36">
              <w:rPr>
                <w:color w:val="000000"/>
                <w:sz w:val="24"/>
                <w:szCs w:val="24"/>
              </w:rPr>
              <w:t>41.58</w:t>
            </w:r>
          </w:p>
        </w:tc>
        <w:tc>
          <w:tcPr>
            <w:tcW w:w="1520" w:type="dxa"/>
            <w:noWrap/>
            <w:hideMark/>
          </w:tcPr>
          <w:p w14:paraId="4448ACA9" w14:textId="77777777" w:rsidR="009A0A63" w:rsidRPr="00792B36" w:rsidRDefault="009A0A63" w:rsidP="00A24459">
            <w:pPr>
              <w:contextualSpacing/>
              <w:jc w:val="center"/>
              <w:rPr>
                <w:rFonts w:eastAsia="Times New Roman"/>
                <w:color w:val="000000"/>
                <w:sz w:val="24"/>
                <w:szCs w:val="24"/>
              </w:rPr>
            </w:pPr>
            <w:r w:rsidRPr="00792B36">
              <w:rPr>
                <w:rFonts w:eastAsia="Times New Roman"/>
                <w:color w:val="000000"/>
                <w:sz w:val="24"/>
                <w:szCs w:val="24"/>
              </w:rPr>
              <w:t>25,148.63</w:t>
            </w:r>
          </w:p>
        </w:tc>
      </w:tr>
      <w:tr w:rsidR="009A0A63" w:rsidRPr="00792B36" w14:paraId="63C354D7" w14:textId="77777777" w:rsidTr="00A24459">
        <w:trPr>
          <w:trHeight w:val="276"/>
        </w:trPr>
        <w:tc>
          <w:tcPr>
            <w:tcW w:w="705" w:type="dxa"/>
            <w:noWrap/>
            <w:hideMark/>
          </w:tcPr>
          <w:p w14:paraId="3B316E85" w14:textId="77777777" w:rsidR="009A0A63" w:rsidRPr="00792B36" w:rsidRDefault="009A0A63" w:rsidP="00A24459">
            <w:pPr>
              <w:contextualSpacing/>
              <w:jc w:val="center"/>
              <w:rPr>
                <w:rFonts w:eastAsia="Times New Roman"/>
                <w:color w:val="000000"/>
                <w:sz w:val="24"/>
                <w:szCs w:val="24"/>
              </w:rPr>
            </w:pPr>
            <w:r w:rsidRPr="00792B36">
              <w:rPr>
                <w:rFonts w:eastAsia="Times New Roman"/>
                <w:color w:val="000000"/>
                <w:sz w:val="24"/>
                <w:szCs w:val="24"/>
              </w:rPr>
              <w:t>2017</w:t>
            </w:r>
          </w:p>
        </w:tc>
        <w:tc>
          <w:tcPr>
            <w:tcW w:w="1520" w:type="dxa"/>
            <w:noWrap/>
            <w:hideMark/>
          </w:tcPr>
          <w:p w14:paraId="7269BFF3" w14:textId="77777777" w:rsidR="009A0A63" w:rsidRPr="00792B36" w:rsidRDefault="009A0A63" w:rsidP="00A24459">
            <w:pPr>
              <w:contextualSpacing/>
              <w:jc w:val="center"/>
              <w:rPr>
                <w:rFonts w:eastAsia="Times New Roman"/>
                <w:color w:val="000000"/>
                <w:sz w:val="24"/>
                <w:szCs w:val="24"/>
              </w:rPr>
            </w:pPr>
            <w:r w:rsidRPr="00792B36">
              <w:rPr>
                <w:rFonts w:eastAsia="Times New Roman"/>
                <w:color w:val="000000"/>
                <w:sz w:val="24"/>
                <w:szCs w:val="24"/>
              </w:rPr>
              <w:t>7,492.47</w:t>
            </w:r>
          </w:p>
        </w:tc>
        <w:tc>
          <w:tcPr>
            <w:tcW w:w="811" w:type="dxa"/>
          </w:tcPr>
          <w:p w14:paraId="5DF5D319" w14:textId="77777777" w:rsidR="009A0A63" w:rsidRPr="00792B36" w:rsidRDefault="009A0A63" w:rsidP="00A24459">
            <w:pPr>
              <w:contextualSpacing/>
              <w:jc w:val="center"/>
              <w:rPr>
                <w:color w:val="000000"/>
                <w:sz w:val="24"/>
                <w:szCs w:val="24"/>
              </w:rPr>
            </w:pPr>
            <w:r w:rsidRPr="00792B36">
              <w:rPr>
                <w:color w:val="000000"/>
                <w:sz w:val="24"/>
                <w:szCs w:val="24"/>
              </w:rPr>
              <w:t>42.30</w:t>
            </w:r>
          </w:p>
        </w:tc>
        <w:tc>
          <w:tcPr>
            <w:tcW w:w="1520" w:type="dxa"/>
            <w:noWrap/>
            <w:hideMark/>
          </w:tcPr>
          <w:p w14:paraId="3AB04FA8" w14:textId="77777777" w:rsidR="009A0A63" w:rsidRPr="00792B36" w:rsidRDefault="009A0A63" w:rsidP="00A24459">
            <w:pPr>
              <w:contextualSpacing/>
              <w:jc w:val="center"/>
              <w:rPr>
                <w:rFonts w:eastAsia="Times New Roman"/>
                <w:color w:val="000000"/>
                <w:sz w:val="24"/>
                <w:szCs w:val="24"/>
              </w:rPr>
            </w:pPr>
            <w:r w:rsidRPr="00792B36">
              <w:rPr>
                <w:rFonts w:eastAsia="Times New Roman"/>
                <w:color w:val="000000"/>
                <w:sz w:val="24"/>
                <w:szCs w:val="24"/>
              </w:rPr>
              <w:t>3,786.19</w:t>
            </w:r>
          </w:p>
        </w:tc>
        <w:tc>
          <w:tcPr>
            <w:tcW w:w="811" w:type="dxa"/>
          </w:tcPr>
          <w:p w14:paraId="18ECB740" w14:textId="77777777" w:rsidR="009A0A63" w:rsidRPr="00792B36" w:rsidRDefault="009A0A63" w:rsidP="00A24459">
            <w:pPr>
              <w:contextualSpacing/>
              <w:jc w:val="center"/>
              <w:rPr>
                <w:color w:val="000000"/>
                <w:sz w:val="24"/>
                <w:szCs w:val="24"/>
              </w:rPr>
            </w:pPr>
            <w:r w:rsidRPr="00792B36">
              <w:rPr>
                <w:color w:val="000000"/>
                <w:sz w:val="24"/>
                <w:szCs w:val="24"/>
              </w:rPr>
              <w:t>21.38</w:t>
            </w:r>
          </w:p>
        </w:tc>
        <w:tc>
          <w:tcPr>
            <w:tcW w:w="1520" w:type="dxa"/>
            <w:noWrap/>
            <w:hideMark/>
          </w:tcPr>
          <w:p w14:paraId="4C3ED636" w14:textId="77777777" w:rsidR="009A0A63" w:rsidRPr="00792B36" w:rsidRDefault="009A0A63" w:rsidP="00A24459">
            <w:pPr>
              <w:contextualSpacing/>
              <w:jc w:val="center"/>
              <w:rPr>
                <w:rFonts w:eastAsia="Times New Roman"/>
                <w:color w:val="000000"/>
                <w:sz w:val="24"/>
                <w:szCs w:val="24"/>
              </w:rPr>
            </w:pPr>
            <w:r w:rsidRPr="00792B36">
              <w:rPr>
                <w:rFonts w:eastAsia="Times New Roman"/>
                <w:color w:val="000000"/>
                <w:sz w:val="24"/>
                <w:szCs w:val="24"/>
              </w:rPr>
              <w:t>6,433.92</w:t>
            </w:r>
          </w:p>
        </w:tc>
        <w:tc>
          <w:tcPr>
            <w:tcW w:w="943" w:type="dxa"/>
          </w:tcPr>
          <w:p w14:paraId="21ACA5CB" w14:textId="77777777" w:rsidR="009A0A63" w:rsidRPr="00792B36" w:rsidRDefault="009A0A63" w:rsidP="00A24459">
            <w:pPr>
              <w:contextualSpacing/>
              <w:jc w:val="center"/>
              <w:rPr>
                <w:color w:val="000000"/>
                <w:sz w:val="24"/>
                <w:szCs w:val="24"/>
              </w:rPr>
            </w:pPr>
            <w:r w:rsidRPr="00792B36">
              <w:rPr>
                <w:color w:val="000000"/>
                <w:sz w:val="24"/>
                <w:szCs w:val="24"/>
              </w:rPr>
              <w:t>36.32</w:t>
            </w:r>
          </w:p>
        </w:tc>
        <w:tc>
          <w:tcPr>
            <w:tcW w:w="1520" w:type="dxa"/>
            <w:noWrap/>
            <w:hideMark/>
          </w:tcPr>
          <w:p w14:paraId="77611DDB" w14:textId="77777777" w:rsidR="009A0A63" w:rsidRPr="00792B36" w:rsidRDefault="009A0A63" w:rsidP="00A24459">
            <w:pPr>
              <w:contextualSpacing/>
              <w:jc w:val="center"/>
              <w:rPr>
                <w:rFonts w:eastAsia="Times New Roman"/>
                <w:color w:val="000000"/>
                <w:sz w:val="24"/>
                <w:szCs w:val="24"/>
              </w:rPr>
            </w:pPr>
            <w:r w:rsidRPr="00792B36">
              <w:rPr>
                <w:rFonts w:eastAsia="Times New Roman"/>
                <w:color w:val="000000"/>
                <w:sz w:val="24"/>
                <w:szCs w:val="24"/>
              </w:rPr>
              <w:t>17,712.58</w:t>
            </w:r>
          </w:p>
        </w:tc>
      </w:tr>
      <w:tr w:rsidR="009A0A63" w:rsidRPr="00792B36" w14:paraId="35325456" w14:textId="77777777" w:rsidTr="00A24459">
        <w:trPr>
          <w:trHeight w:val="276"/>
        </w:trPr>
        <w:tc>
          <w:tcPr>
            <w:tcW w:w="705" w:type="dxa"/>
            <w:noWrap/>
            <w:hideMark/>
          </w:tcPr>
          <w:p w14:paraId="579AA6BA" w14:textId="77777777" w:rsidR="009A0A63" w:rsidRPr="00792B36" w:rsidRDefault="009A0A63" w:rsidP="00A24459">
            <w:pPr>
              <w:contextualSpacing/>
              <w:jc w:val="center"/>
              <w:rPr>
                <w:rFonts w:eastAsia="Times New Roman"/>
                <w:color w:val="000000"/>
                <w:sz w:val="24"/>
                <w:szCs w:val="24"/>
              </w:rPr>
            </w:pPr>
            <w:r w:rsidRPr="00792B36">
              <w:rPr>
                <w:rFonts w:eastAsia="Times New Roman"/>
                <w:color w:val="000000"/>
                <w:sz w:val="24"/>
                <w:szCs w:val="24"/>
              </w:rPr>
              <w:t>2018</w:t>
            </w:r>
          </w:p>
        </w:tc>
        <w:tc>
          <w:tcPr>
            <w:tcW w:w="1520" w:type="dxa"/>
            <w:noWrap/>
            <w:hideMark/>
          </w:tcPr>
          <w:p w14:paraId="62FB199D" w14:textId="77777777" w:rsidR="009A0A63" w:rsidRPr="00792B36" w:rsidRDefault="009A0A63" w:rsidP="00A24459">
            <w:pPr>
              <w:contextualSpacing/>
              <w:jc w:val="center"/>
              <w:rPr>
                <w:rFonts w:eastAsia="Times New Roman"/>
                <w:color w:val="000000"/>
                <w:sz w:val="24"/>
                <w:szCs w:val="24"/>
              </w:rPr>
            </w:pPr>
            <w:r w:rsidRPr="00792B36">
              <w:rPr>
                <w:rFonts w:eastAsia="Times New Roman"/>
                <w:color w:val="000000"/>
                <w:sz w:val="24"/>
                <w:szCs w:val="24"/>
              </w:rPr>
              <w:t>3,593.57</w:t>
            </w:r>
          </w:p>
        </w:tc>
        <w:tc>
          <w:tcPr>
            <w:tcW w:w="811" w:type="dxa"/>
          </w:tcPr>
          <w:p w14:paraId="56129964" w14:textId="77777777" w:rsidR="009A0A63" w:rsidRPr="00792B36" w:rsidRDefault="009A0A63" w:rsidP="00A24459">
            <w:pPr>
              <w:contextualSpacing/>
              <w:jc w:val="center"/>
              <w:rPr>
                <w:color w:val="000000"/>
                <w:sz w:val="24"/>
                <w:szCs w:val="24"/>
              </w:rPr>
            </w:pPr>
            <w:r w:rsidRPr="00792B36">
              <w:rPr>
                <w:color w:val="000000"/>
                <w:sz w:val="24"/>
                <w:szCs w:val="24"/>
              </w:rPr>
              <w:t>21.12</w:t>
            </w:r>
          </w:p>
        </w:tc>
        <w:tc>
          <w:tcPr>
            <w:tcW w:w="1520" w:type="dxa"/>
            <w:noWrap/>
            <w:hideMark/>
          </w:tcPr>
          <w:p w14:paraId="229366C0" w14:textId="77777777" w:rsidR="009A0A63" w:rsidRPr="00792B36" w:rsidRDefault="009A0A63" w:rsidP="00A24459">
            <w:pPr>
              <w:contextualSpacing/>
              <w:jc w:val="center"/>
              <w:rPr>
                <w:rFonts w:eastAsia="Times New Roman"/>
                <w:color w:val="000000"/>
                <w:sz w:val="24"/>
                <w:szCs w:val="24"/>
              </w:rPr>
            </w:pPr>
            <w:r w:rsidRPr="00792B36">
              <w:rPr>
                <w:rFonts w:eastAsia="Times New Roman"/>
                <w:color w:val="000000"/>
                <w:sz w:val="24"/>
                <w:szCs w:val="24"/>
              </w:rPr>
              <w:t>5,504.76</w:t>
            </w:r>
          </w:p>
        </w:tc>
        <w:tc>
          <w:tcPr>
            <w:tcW w:w="811" w:type="dxa"/>
          </w:tcPr>
          <w:p w14:paraId="0BD989ED" w14:textId="77777777" w:rsidR="009A0A63" w:rsidRPr="00792B36" w:rsidRDefault="009A0A63" w:rsidP="00A24459">
            <w:pPr>
              <w:contextualSpacing/>
              <w:jc w:val="center"/>
              <w:rPr>
                <w:color w:val="000000"/>
                <w:sz w:val="24"/>
                <w:szCs w:val="24"/>
              </w:rPr>
            </w:pPr>
            <w:r w:rsidRPr="00792B36">
              <w:rPr>
                <w:color w:val="000000"/>
                <w:sz w:val="24"/>
                <w:szCs w:val="24"/>
              </w:rPr>
              <w:t>32.36</w:t>
            </w:r>
          </w:p>
        </w:tc>
        <w:tc>
          <w:tcPr>
            <w:tcW w:w="1520" w:type="dxa"/>
            <w:noWrap/>
            <w:hideMark/>
          </w:tcPr>
          <w:p w14:paraId="338D0916" w14:textId="77777777" w:rsidR="009A0A63" w:rsidRPr="00792B36" w:rsidRDefault="009A0A63" w:rsidP="00A24459">
            <w:pPr>
              <w:contextualSpacing/>
              <w:jc w:val="center"/>
              <w:rPr>
                <w:rFonts w:eastAsia="Times New Roman"/>
                <w:color w:val="000000"/>
                <w:sz w:val="24"/>
                <w:szCs w:val="24"/>
              </w:rPr>
            </w:pPr>
            <w:r w:rsidRPr="00792B36">
              <w:rPr>
                <w:rFonts w:eastAsia="Times New Roman"/>
                <w:color w:val="000000"/>
                <w:sz w:val="24"/>
                <w:szCs w:val="24"/>
              </w:rPr>
              <w:t>7,913.47</w:t>
            </w:r>
          </w:p>
        </w:tc>
        <w:tc>
          <w:tcPr>
            <w:tcW w:w="943" w:type="dxa"/>
          </w:tcPr>
          <w:p w14:paraId="44A26F7A" w14:textId="77777777" w:rsidR="009A0A63" w:rsidRPr="00792B36" w:rsidRDefault="009A0A63" w:rsidP="00A24459">
            <w:pPr>
              <w:contextualSpacing/>
              <w:jc w:val="center"/>
              <w:rPr>
                <w:color w:val="000000"/>
                <w:sz w:val="24"/>
                <w:szCs w:val="24"/>
              </w:rPr>
            </w:pPr>
            <w:r w:rsidRPr="00792B36">
              <w:rPr>
                <w:color w:val="000000"/>
                <w:sz w:val="24"/>
                <w:szCs w:val="24"/>
              </w:rPr>
              <w:t>46.52</w:t>
            </w:r>
          </w:p>
        </w:tc>
        <w:tc>
          <w:tcPr>
            <w:tcW w:w="1520" w:type="dxa"/>
            <w:noWrap/>
            <w:hideMark/>
          </w:tcPr>
          <w:p w14:paraId="269B7709" w14:textId="77777777" w:rsidR="009A0A63" w:rsidRPr="00792B36" w:rsidRDefault="009A0A63" w:rsidP="00A24459">
            <w:pPr>
              <w:contextualSpacing/>
              <w:jc w:val="center"/>
              <w:rPr>
                <w:rFonts w:eastAsia="Times New Roman"/>
                <w:color w:val="000000"/>
                <w:sz w:val="24"/>
                <w:szCs w:val="24"/>
              </w:rPr>
            </w:pPr>
            <w:r w:rsidRPr="00792B36">
              <w:rPr>
                <w:rFonts w:eastAsia="Times New Roman"/>
                <w:color w:val="000000"/>
                <w:sz w:val="24"/>
                <w:szCs w:val="24"/>
              </w:rPr>
              <w:t>17,011.79</w:t>
            </w:r>
          </w:p>
        </w:tc>
      </w:tr>
      <w:tr w:rsidR="009A0A63" w:rsidRPr="00792B36" w14:paraId="75F7F4E1" w14:textId="77777777" w:rsidTr="00A24459">
        <w:trPr>
          <w:trHeight w:val="276"/>
        </w:trPr>
        <w:tc>
          <w:tcPr>
            <w:tcW w:w="705" w:type="dxa"/>
            <w:noWrap/>
            <w:hideMark/>
          </w:tcPr>
          <w:p w14:paraId="66DA2654" w14:textId="77777777" w:rsidR="009A0A63" w:rsidRPr="00792B36" w:rsidRDefault="009A0A63" w:rsidP="00A24459">
            <w:pPr>
              <w:contextualSpacing/>
              <w:jc w:val="center"/>
              <w:rPr>
                <w:rFonts w:eastAsia="Times New Roman"/>
                <w:color w:val="000000"/>
                <w:sz w:val="24"/>
                <w:szCs w:val="24"/>
              </w:rPr>
            </w:pPr>
            <w:r w:rsidRPr="00792B36">
              <w:rPr>
                <w:rFonts w:eastAsia="Times New Roman"/>
                <w:color w:val="000000"/>
                <w:sz w:val="24"/>
                <w:szCs w:val="24"/>
              </w:rPr>
              <w:t>2019</w:t>
            </w:r>
          </w:p>
        </w:tc>
        <w:tc>
          <w:tcPr>
            <w:tcW w:w="1520" w:type="dxa"/>
            <w:noWrap/>
            <w:hideMark/>
          </w:tcPr>
          <w:p w14:paraId="59FD6278" w14:textId="77777777" w:rsidR="009A0A63" w:rsidRPr="00792B36" w:rsidRDefault="009A0A63" w:rsidP="00A24459">
            <w:pPr>
              <w:contextualSpacing/>
              <w:jc w:val="center"/>
              <w:rPr>
                <w:rFonts w:eastAsia="Times New Roman"/>
                <w:color w:val="000000"/>
                <w:sz w:val="24"/>
                <w:szCs w:val="24"/>
              </w:rPr>
            </w:pPr>
            <w:r w:rsidRPr="00792B36">
              <w:rPr>
                <w:rFonts w:eastAsia="Times New Roman"/>
                <w:color w:val="000000"/>
                <w:sz w:val="24"/>
                <w:szCs w:val="24"/>
              </w:rPr>
              <w:t>3,763.75</w:t>
            </w:r>
          </w:p>
        </w:tc>
        <w:tc>
          <w:tcPr>
            <w:tcW w:w="811" w:type="dxa"/>
          </w:tcPr>
          <w:p w14:paraId="68B77C65" w14:textId="77777777" w:rsidR="009A0A63" w:rsidRPr="00792B36" w:rsidRDefault="009A0A63" w:rsidP="00A24459">
            <w:pPr>
              <w:contextualSpacing/>
              <w:jc w:val="center"/>
              <w:rPr>
                <w:color w:val="000000"/>
                <w:sz w:val="24"/>
                <w:szCs w:val="24"/>
              </w:rPr>
            </w:pPr>
            <w:r w:rsidRPr="00792B36">
              <w:rPr>
                <w:color w:val="000000"/>
                <w:sz w:val="24"/>
                <w:szCs w:val="24"/>
              </w:rPr>
              <w:t>26.11</w:t>
            </w:r>
          </w:p>
        </w:tc>
        <w:tc>
          <w:tcPr>
            <w:tcW w:w="1520" w:type="dxa"/>
            <w:noWrap/>
            <w:hideMark/>
          </w:tcPr>
          <w:p w14:paraId="622C109F" w14:textId="77777777" w:rsidR="009A0A63" w:rsidRPr="00792B36" w:rsidRDefault="009A0A63" w:rsidP="00A24459">
            <w:pPr>
              <w:contextualSpacing/>
              <w:jc w:val="center"/>
              <w:rPr>
                <w:rFonts w:eastAsia="Times New Roman"/>
                <w:color w:val="000000"/>
                <w:sz w:val="24"/>
                <w:szCs w:val="24"/>
              </w:rPr>
            </w:pPr>
            <w:r w:rsidRPr="00792B36">
              <w:rPr>
                <w:rFonts w:eastAsia="Times New Roman"/>
                <w:color w:val="000000"/>
                <w:sz w:val="24"/>
                <w:szCs w:val="24"/>
              </w:rPr>
              <w:t>1,567.58</w:t>
            </w:r>
          </w:p>
        </w:tc>
        <w:tc>
          <w:tcPr>
            <w:tcW w:w="811" w:type="dxa"/>
          </w:tcPr>
          <w:p w14:paraId="4F868D1C" w14:textId="77777777" w:rsidR="009A0A63" w:rsidRPr="00792B36" w:rsidRDefault="009A0A63" w:rsidP="00A24459">
            <w:pPr>
              <w:contextualSpacing/>
              <w:jc w:val="center"/>
              <w:rPr>
                <w:color w:val="000000"/>
                <w:sz w:val="24"/>
                <w:szCs w:val="24"/>
              </w:rPr>
            </w:pPr>
            <w:r w:rsidRPr="00792B36">
              <w:rPr>
                <w:color w:val="000000"/>
                <w:sz w:val="24"/>
                <w:szCs w:val="24"/>
              </w:rPr>
              <w:t>10.88</w:t>
            </w:r>
          </w:p>
        </w:tc>
        <w:tc>
          <w:tcPr>
            <w:tcW w:w="1520" w:type="dxa"/>
            <w:noWrap/>
            <w:hideMark/>
          </w:tcPr>
          <w:p w14:paraId="77E053D8" w14:textId="77777777" w:rsidR="009A0A63" w:rsidRPr="00792B36" w:rsidRDefault="009A0A63" w:rsidP="00A24459">
            <w:pPr>
              <w:contextualSpacing/>
              <w:jc w:val="center"/>
              <w:rPr>
                <w:rFonts w:eastAsia="Times New Roman"/>
                <w:color w:val="000000"/>
                <w:sz w:val="24"/>
                <w:szCs w:val="24"/>
              </w:rPr>
            </w:pPr>
            <w:r w:rsidRPr="00792B36">
              <w:rPr>
                <w:rFonts w:eastAsia="Times New Roman"/>
                <w:color w:val="000000"/>
                <w:sz w:val="24"/>
                <w:szCs w:val="24"/>
              </w:rPr>
              <w:t>9,080.95</w:t>
            </w:r>
          </w:p>
        </w:tc>
        <w:tc>
          <w:tcPr>
            <w:tcW w:w="943" w:type="dxa"/>
          </w:tcPr>
          <w:p w14:paraId="73FD7C27" w14:textId="77777777" w:rsidR="009A0A63" w:rsidRPr="00792B36" w:rsidRDefault="009A0A63" w:rsidP="00A24459">
            <w:pPr>
              <w:contextualSpacing/>
              <w:jc w:val="center"/>
              <w:rPr>
                <w:color w:val="000000"/>
                <w:sz w:val="24"/>
                <w:szCs w:val="24"/>
              </w:rPr>
            </w:pPr>
            <w:r w:rsidRPr="00792B36">
              <w:rPr>
                <w:color w:val="000000"/>
                <w:sz w:val="24"/>
                <w:szCs w:val="24"/>
              </w:rPr>
              <w:t>63.01</w:t>
            </w:r>
          </w:p>
        </w:tc>
        <w:tc>
          <w:tcPr>
            <w:tcW w:w="1520" w:type="dxa"/>
            <w:noWrap/>
            <w:hideMark/>
          </w:tcPr>
          <w:p w14:paraId="5E90D994" w14:textId="77777777" w:rsidR="009A0A63" w:rsidRPr="00792B36" w:rsidRDefault="009A0A63" w:rsidP="00A24459">
            <w:pPr>
              <w:contextualSpacing/>
              <w:jc w:val="center"/>
              <w:rPr>
                <w:rFonts w:eastAsia="Times New Roman"/>
                <w:color w:val="000000"/>
                <w:sz w:val="24"/>
                <w:szCs w:val="24"/>
              </w:rPr>
            </w:pPr>
            <w:r w:rsidRPr="00792B36">
              <w:rPr>
                <w:rFonts w:eastAsia="Times New Roman"/>
                <w:color w:val="000000"/>
                <w:sz w:val="24"/>
                <w:szCs w:val="24"/>
              </w:rPr>
              <w:t>14,412.28</w:t>
            </w:r>
          </w:p>
        </w:tc>
      </w:tr>
      <w:tr w:rsidR="009A0A63" w:rsidRPr="00792B36" w14:paraId="4738DE64" w14:textId="77777777" w:rsidTr="00A24459">
        <w:trPr>
          <w:trHeight w:val="276"/>
        </w:trPr>
        <w:tc>
          <w:tcPr>
            <w:tcW w:w="705" w:type="dxa"/>
            <w:noWrap/>
            <w:hideMark/>
          </w:tcPr>
          <w:p w14:paraId="447A4E14" w14:textId="77777777" w:rsidR="009A0A63" w:rsidRPr="00792B36" w:rsidRDefault="009A0A63" w:rsidP="00A24459">
            <w:pPr>
              <w:contextualSpacing/>
              <w:jc w:val="center"/>
              <w:rPr>
                <w:rFonts w:eastAsia="Times New Roman"/>
                <w:color w:val="000000"/>
                <w:sz w:val="24"/>
                <w:szCs w:val="24"/>
              </w:rPr>
            </w:pPr>
            <w:r w:rsidRPr="00792B36">
              <w:rPr>
                <w:rFonts w:eastAsia="Times New Roman"/>
                <w:color w:val="000000"/>
                <w:sz w:val="24"/>
                <w:szCs w:val="24"/>
              </w:rPr>
              <w:t>2020</w:t>
            </w:r>
          </w:p>
        </w:tc>
        <w:tc>
          <w:tcPr>
            <w:tcW w:w="1520" w:type="dxa"/>
            <w:noWrap/>
            <w:hideMark/>
          </w:tcPr>
          <w:p w14:paraId="23123626" w14:textId="77777777" w:rsidR="009A0A63" w:rsidRPr="00792B36" w:rsidRDefault="009A0A63" w:rsidP="00A24459">
            <w:pPr>
              <w:contextualSpacing/>
              <w:jc w:val="center"/>
              <w:rPr>
                <w:rFonts w:eastAsia="Times New Roman"/>
                <w:color w:val="000000"/>
                <w:sz w:val="24"/>
                <w:szCs w:val="24"/>
              </w:rPr>
            </w:pPr>
            <w:r w:rsidRPr="00792B36">
              <w:rPr>
                <w:rFonts w:eastAsia="Times New Roman"/>
                <w:color w:val="000000"/>
                <w:sz w:val="24"/>
                <w:szCs w:val="24"/>
              </w:rPr>
              <w:t>2,910.34</w:t>
            </w:r>
          </w:p>
        </w:tc>
        <w:tc>
          <w:tcPr>
            <w:tcW w:w="811" w:type="dxa"/>
          </w:tcPr>
          <w:p w14:paraId="0CB42454" w14:textId="77777777" w:rsidR="009A0A63" w:rsidRPr="00792B36" w:rsidRDefault="009A0A63" w:rsidP="00A24459">
            <w:pPr>
              <w:contextualSpacing/>
              <w:jc w:val="center"/>
              <w:rPr>
                <w:color w:val="000000"/>
                <w:sz w:val="24"/>
                <w:szCs w:val="24"/>
              </w:rPr>
            </w:pPr>
            <w:r w:rsidRPr="00792B36">
              <w:rPr>
                <w:color w:val="000000"/>
                <w:sz w:val="24"/>
                <w:szCs w:val="24"/>
              </w:rPr>
              <w:t>25.20</w:t>
            </w:r>
          </w:p>
        </w:tc>
        <w:tc>
          <w:tcPr>
            <w:tcW w:w="1520" w:type="dxa"/>
            <w:noWrap/>
            <w:hideMark/>
          </w:tcPr>
          <w:p w14:paraId="75E259CB" w14:textId="77777777" w:rsidR="009A0A63" w:rsidRPr="00792B36" w:rsidRDefault="009A0A63" w:rsidP="00A24459">
            <w:pPr>
              <w:contextualSpacing/>
              <w:jc w:val="center"/>
              <w:rPr>
                <w:rFonts w:eastAsia="Times New Roman"/>
                <w:color w:val="000000"/>
                <w:sz w:val="24"/>
                <w:szCs w:val="24"/>
              </w:rPr>
            </w:pPr>
            <w:r w:rsidRPr="00792B36">
              <w:rPr>
                <w:rFonts w:eastAsia="Times New Roman"/>
                <w:color w:val="000000"/>
                <w:sz w:val="24"/>
                <w:szCs w:val="24"/>
              </w:rPr>
              <w:t>578.01</w:t>
            </w:r>
          </w:p>
        </w:tc>
        <w:tc>
          <w:tcPr>
            <w:tcW w:w="811" w:type="dxa"/>
          </w:tcPr>
          <w:p w14:paraId="079BB231" w14:textId="77777777" w:rsidR="009A0A63" w:rsidRPr="00792B36" w:rsidRDefault="009A0A63" w:rsidP="00A24459">
            <w:pPr>
              <w:contextualSpacing/>
              <w:jc w:val="center"/>
              <w:rPr>
                <w:color w:val="000000"/>
                <w:sz w:val="24"/>
                <w:szCs w:val="24"/>
              </w:rPr>
            </w:pPr>
            <w:r w:rsidRPr="00792B36">
              <w:rPr>
                <w:color w:val="000000"/>
                <w:sz w:val="24"/>
                <w:szCs w:val="24"/>
              </w:rPr>
              <w:t>5.01</w:t>
            </w:r>
          </w:p>
        </w:tc>
        <w:tc>
          <w:tcPr>
            <w:tcW w:w="1520" w:type="dxa"/>
            <w:noWrap/>
            <w:hideMark/>
          </w:tcPr>
          <w:p w14:paraId="7B0FB56C" w14:textId="77777777" w:rsidR="009A0A63" w:rsidRPr="00792B36" w:rsidRDefault="009A0A63" w:rsidP="00A24459">
            <w:pPr>
              <w:contextualSpacing/>
              <w:jc w:val="center"/>
              <w:rPr>
                <w:rFonts w:eastAsia="Times New Roman"/>
                <w:color w:val="000000"/>
                <w:sz w:val="24"/>
                <w:szCs w:val="24"/>
              </w:rPr>
            </w:pPr>
            <w:r w:rsidRPr="00792B36">
              <w:rPr>
                <w:rFonts w:eastAsia="Times New Roman"/>
                <w:color w:val="000000"/>
                <w:sz w:val="24"/>
                <w:szCs w:val="24"/>
              </w:rPr>
              <w:t>8,058.37</w:t>
            </w:r>
          </w:p>
        </w:tc>
        <w:tc>
          <w:tcPr>
            <w:tcW w:w="943" w:type="dxa"/>
          </w:tcPr>
          <w:p w14:paraId="24AFF635" w14:textId="77777777" w:rsidR="009A0A63" w:rsidRPr="00792B36" w:rsidRDefault="009A0A63" w:rsidP="00A24459">
            <w:pPr>
              <w:contextualSpacing/>
              <w:jc w:val="center"/>
              <w:rPr>
                <w:color w:val="000000"/>
                <w:sz w:val="24"/>
                <w:szCs w:val="24"/>
              </w:rPr>
            </w:pPr>
            <w:r w:rsidRPr="00792B36">
              <w:rPr>
                <w:color w:val="000000"/>
                <w:sz w:val="24"/>
                <w:szCs w:val="24"/>
              </w:rPr>
              <w:t>69.79</w:t>
            </w:r>
          </w:p>
        </w:tc>
        <w:tc>
          <w:tcPr>
            <w:tcW w:w="1520" w:type="dxa"/>
            <w:noWrap/>
            <w:hideMark/>
          </w:tcPr>
          <w:p w14:paraId="0D852068" w14:textId="77777777" w:rsidR="009A0A63" w:rsidRPr="00792B36" w:rsidRDefault="009A0A63" w:rsidP="00A24459">
            <w:pPr>
              <w:contextualSpacing/>
              <w:jc w:val="center"/>
              <w:rPr>
                <w:rFonts w:eastAsia="Times New Roman"/>
                <w:color w:val="000000"/>
                <w:sz w:val="24"/>
                <w:szCs w:val="24"/>
              </w:rPr>
            </w:pPr>
            <w:r w:rsidRPr="00792B36">
              <w:rPr>
                <w:rFonts w:eastAsia="Times New Roman"/>
                <w:color w:val="000000"/>
                <w:sz w:val="24"/>
                <w:szCs w:val="24"/>
              </w:rPr>
              <w:t>11,546.72</w:t>
            </w:r>
          </w:p>
        </w:tc>
      </w:tr>
      <w:tr w:rsidR="009A0A63" w:rsidRPr="00792B36" w14:paraId="194178EB" w14:textId="77777777" w:rsidTr="00A24459">
        <w:trPr>
          <w:trHeight w:val="276"/>
        </w:trPr>
        <w:tc>
          <w:tcPr>
            <w:tcW w:w="705" w:type="dxa"/>
            <w:noWrap/>
            <w:hideMark/>
          </w:tcPr>
          <w:p w14:paraId="6BB88D66" w14:textId="77777777" w:rsidR="009A0A63" w:rsidRPr="00792B36" w:rsidRDefault="009A0A63" w:rsidP="00A24459">
            <w:pPr>
              <w:contextualSpacing/>
              <w:jc w:val="center"/>
              <w:rPr>
                <w:rFonts w:eastAsia="Times New Roman"/>
                <w:color w:val="000000"/>
                <w:sz w:val="24"/>
                <w:szCs w:val="24"/>
              </w:rPr>
            </w:pPr>
            <w:r w:rsidRPr="00792B36">
              <w:rPr>
                <w:rFonts w:eastAsia="Times New Roman"/>
                <w:color w:val="000000"/>
                <w:sz w:val="24"/>
                <w:szCs w:val="24"/>
              </w:rPr>
              <w:t>2021</w:t>
            </w:r>
          </w:p>
        </w:tc>
        <w:tc>
          <w:tcPr>
            <w:tcW w:w="1520" w:type="dxa"/>
            <w:noWrap/>
            <w:hideMark/>
          </w:tcPr>
          <w:p w14:paraId="2215718D" w14:textId="77777777" w:rsidR="009A0A63" w:rsidRPr="00792B36" w:rsidRDefault="009A0A63" w:rsidP="00A24459">
            <w:pPr>
              <w:contextualSpacing/>
              <w:jc w:val="center"/>
              <w:rPr>
                <w:rFonts w:eastAsia="Times New Roman"/>
                <w:color w:val="000000"/>
                <w:sz w:val="24"/>
                <w:szCs w:val="24"/>
              </w:rPr>
            </w:pPr>
            <w:r w:rsidRPr="00792B36">
              <w:rPr>
                <w:rFonts w:eastAsia="Times New Roman"/>
                <w:color w:val="000000"/>
                <w:sz w:val="24"/>
                <w:szCs w:val="24"/>
              </w:rPr>
              <w:t>5,676.86</w:t>
            </w:r>
          </w:p>
        </w:tc>
        <w:tc>
          <w:tcPr>
            <w:tcW w:w="811" w:type="dxa"/>
          </w:tcPr>
          <w:p w14:paraId="2BB1EC7D" w14:textId="77777777" w:rsidR="009A0A63" w:rsidRPr="00792B36" w:rsidRDefault="009A0A63" w:rsidP="00A24459">
            <w:pPr>
              <w:contextualSpacing/>
              <w:jc w:val="center"/>
              <w:rPr>
                <w:color w:val="000000"/>
                <w:sz w:val="24"/>
                <w:szCs w:val="24"/>
              </w:rPr>
            </w:pPr>
            <w:r w:rsidRPr="00792B36">
              <w:rPr>
                <w:color w:val="000000"/>
                <w:sz w:val="24"/>
                <w:szCs w:val="24"/>
              </w:rPr>
              <w:t>35.49</w:t>
            </w:r>
          </w:p>
        </w:tc>
        <w:tc>
          <w:tcPr>
            <w:tcW w:w="1520" w:type="dxa"/>
            <w:noWrap/>
            <w:hideMark/>
          </w:tcPr>
          <w:p w14:paraId="63CA4F13" w14:textId="77777777" w:rsidR="009A0A63" w:rsidRPr="00792B36" w:rsidRDefault="009A0A63" w:rsidP="00A24459">
            <w:pPr>
              <w:contextualSpacing/>
              <w:jc w:val="center"/>
              <w:rPr>
                <w:rFonts w:eastAsia="Times New Roman"/>
                <w:color w:val="000000"/>
                <w:sz w:val="24"/>
                <w:szCs w:val="24"/>
              </w:rPr>
            </w:pPr>
            <w:r w:rsidRPr="00792B36">
              <w:rPr>
                <w:rFonts w:eastAsia="Times New Roman"/>
                <w:color w:val="000000"/>
                <w:sz w:val="24"/>
                <w:szCs w:val="24"/>
              </w:rPr>
              <w:t>1,549.11</w:t>
            </w:r>
          </w:p>
        </w:tc>
        <w:tc>
          <w:tcPr>
            <w:tcW w:w="811" w:type="dxa"/>
          </w:tcPr>
          <w:p w14:paraId="634879AC" w14:textId="77777777" w:rsidR="009A0A63" w:rsidRPr="00792B36" w:rsidRDefault="009A0A63" w:rsidP="00A24459">
            <w:pPr>
              <w:contextualSpacing/>
              <w:jc w:val="center"/>
              <w:rPr>
                <w:color w:val="000000"/>
                <w:sz w:val="24"/>
                <w:szCs w:val="24"/>
              </w:rPr>
            </w:pPr>
            <w:r w:rsidRPr="00792B36">
              <w:rPr>
                <w:color w:val="000000"/>
                <w:sz w:val="24"/>
                <w:szCs w:val="24"/>
              </w:rPr>
              <w:t>9.68</w:t>
            </w:r>
          </w:p>
        </w:tc>
        <w:tc>
          <w:tcPr>
            <w:tcW w:w="1520" w:type="dxa"/>
            <w:noWrap/>
            <w:hideMark/>
          </w:tcPr>
          <w:p w14:paraId="6E70994B" w14:textId="77777777" w:rsidR="009A0A63" w:rsidRPr="00792B36" w:rsidRDefault="009A0A63" w:rsidP="00A24459">
            <w:pPr>
              <w:contextualSpacing/>
              <w:jc w:val="center"/>
              <w:rPr>
                <w:rFonts w:eastAsia="Times New Roman"/>
                <w:color w:val="000000"/>
                <w:sz w:val="24"/>
                <w:szCs w:val="24"/>
              </w:rPr>
            </w:pPr>
            <w:r w:rsidRPr="00792B36">
              <w:rPr>
                <w:rFonts w:eastAsia="Times New Roman"/>
                <w:color w:val="000000"/>
                <w:sz w:val="24"/>
                <w:szCs w:val="24"/>
              </w:rPr>
              <w:t>8,770.92</w:t>
            </w:r>
          </w:p>
        </w:tc>
        <w:tc>
          <w:tcPr>
            <w:tcW w:w="943" w:type="dxa"/>
          </w:tcPr>
          <w:p w14:paraId="70B5BBF8" w14:textId="77777777" w:rsidR="009A0A63" w:rsidRPr="00792B36" w:rsidRDefault="009A0A63" w:rsidP="00A24459">
            <w:pPr>
              <w:contextualSpacing/>
              <w:jc w:val="center"/>
              <w:rPr>
                <w:color w:val="000000"/>
                <w:sz w:val="24"/>
                <w:szCs w:val="24"/>
              </w:rPr>
            </w:pPr>
            <w:r w:rsidRPr="00792B36">
              <w:rPr>
                <w:color w:val="000000"/>
                <w:sz w:val="24"/>
                <w:szCs w:val="24"/>
              </w:rPr>
              <w:t>54.83</w:t>
            </w:r>
          </w:p>
        </w:tc>
        <w:tc>
          <w:tcPr>
            <w:tcW w:w="1520" w:type="dxa"/>
            <w:noWrap/>
            <w:hideMark/>
          </w:tcPr>
          <w:p w14:paraId="06F8FE53" w14:textId="77777777" w:rsidR="009A0A63" w:rsidRPr="00792B36" w:rsidRDefault="009A0A63" w:rsidP="00A24459">
            <w:pPr>
              <w:contextualSpacing/>
              <w:jc w:val="center"/>
              <w:rPr>
                <w:rFonts w:eastAsia="Times New Roman"/>
                <w:color w:val="000000"/>
                <w:sz w:val="24"/>
                <w:szCs w:val="24"/>
              </w:rPr>
            </w:pPr>
            <w:r w:rsidRPr="00792B36">
              <w:rPr>
                <w:rFonts w:eastAsia="Times New Roman"/>
                <w:color w:val="000000"/>
                <w:sz w:val="24"/>
                <w:szCs w:val="24"/>
              </w:rPr>
              <w:t>15,996.89</w:t>
            </w:r>
          </w:p>
        </w:tc>
      </w:tr>
      <w:tr w:rsidR="009A0A63" w:rsidRPr="00792B36" w14:paraId="06F981A2" w14:textId="77777777" w:rsidTr="00A24459">
        <w:trPr>
          <w:trHeight w:val="276"/>
        </w:trPr>
        <w:tc>
          <w:tcPr>
            <w:tcW w:w="705" w:type="dxa"/>
            <w:noWrap/>
            <w:hideMark/>
          </w:tcPr>
          <w:p w14:paraId="7FC87CC6" w14:textId="77777777" w:rsidR="009A0A63" w:rsidRPr="00792B36" w:rsidRDefault="009A0A63" w:rsidP="00A24459">
            <w:pPr>
              <w:contextualSpacing/>
              <w:jc w:val="center"/>
              <w:rPr>
                <w:rFonts w:eastAsia="Times New Roman"/>
                <w:color w:val="000000"/>
                <w:sz w:val="24"/>
                <w:szCs w:val="24"/>
              </w:rPr>
            </w:pPr>
            <w:r w:rsidRPr="00792B36">
              <w:rPr>
                <w:rFonts w:eastAsia="Times New Roman"/>
                <w:color w:val="000000"/>
                <w:sz w:val="24"/>
                <w:szCs w:val="24"/>
              </w:rPr>
              <w:t>2022</w:t>
            </w:r>
          </w:p>
        </w:tc>
        <w:tc>
          <w:tcPr>
            <w:tcW w:w="1520" w:type="dxa"/>
            <w:noWrap/>
            <w:hideMark/>
          </w:tcPr>
          <w:p w14:paraId="4967BAFB" w14:textId="77777777" w:rsidR="009A0A63" w:rsidRPr="00792B36" w:rsidRDefault="009A0A63" w:rsidP="00A24459">
            <w:pPr>
              <w:contextualSpacing/>
              <w:jc w:val="center"/>
              <w:rPr>
                <w:rFonts w:eastAsia="Times New Roman"/>
                <w:color w:val="000000"/>
                <w:sz w:val="24"/>
                <w:szCs w:val="24"/>
              </w:rPr>
            </w:pPr>
            <w:r w:rsidRPr="00792B36">
              <w:rPr>
                <w:rFonts w:eastAsia="Times New Roman"/>
                <w:color w:val="000000"/>
                <w:sz w:val="24"/>
                <w:szCs w:val="24"/>
              </w:rPr>
              <w:t>2,960.63</w:t>
            </w:r>
          </w:p>
        </w:tc>
        <w:tc>
          <w:tcPr>
            <w:tcW w:w="811" w:type="dxa"/>
          </w:tcPr>
          <w:p w14:paraId="2B7CFD2F" w14:textId="77777777" w:rsidR="009A0A63" w:rsidRPr="00792B36" w:rsidRDefault="009A0A63" w:rsidP="00A24459">
            <w:pPr>
              <w:contextualSpacing/>
              <w:jc w:val="center"/>
              <w:rPr>
                <w:color w:val="000000"/>
                <w:sz w:val="24"/>
                <w:szCs w:val="24"/>
              </w:rPr>
            </w:pPr>
            <w:r w:rsidRPr="00792B36">
              <w:rPr>
                <w:color w:val="000000"/>
                <w:sz w:val="24"/>
                <w:szCs w:val="24"/>
              </w:rPr>
              <w:t>16.80</w:t>
            </w:r>
          </w:p>
        </w:tc>
        <w:tc>
          <w:tcPr>
            <w:tcW w:w="1520" w:type="dxa"/>
            <w:noWrap/>
            <w:hideMark/>
          </w:tcPr>
          <w:p w14:paraId="7509D148" w14:textId="77777777" w:rsidR="009A0A63" w:rsidRPr="00792B36" w:rsidRDefault="009A0A63" w:rsidP="00A24459">
            <w:pPr>
              <w:contextualSpacing/>
              <w:jc w:val="center"/>
              <w:rPr>
                <w:rFonts w:eastAsia="Times New Roman"/>
                <w:color w:val="000000"/>
                <w:sz w:val="24"/>
                <w:szCs w:val="24"/>
              </w:rPr>
            </w:pPr>
            <w:r w:rsidRPr="00792B36">
              <w:rPr>
                <w:rFonts w:eastAsia="Times New Roman"/>
                <w:color w:val="000000"/>
                <w:sz w:val="24"/>
                <w:szCs w:val="24"/>
              </w:rPr>
              <w:t>5,534.25</w:t>
            </w:r>
          </w:p>
        </w:tc>
        <w:tc>
          <w:tcPr>
            <w:tcW w:w="811" w:type="dxa"/>
          </w:tcPr>
          <w:p w14:paraId="14AEB5DD" w14:textId="77777777" w:rsidR="009A0A63" w:rsidRPr="00792B36" w:rsidRDefault="009A0A63" w:rsidP="00A24459">
            <w:pPr>
              <w:contextualSpacing/>
              <w:jc w:val="center"/>
              <w:rPr>
                <w:color w:val="000000"/>
                <w:sz w:val="24"/>
                <w:szCs w:val="24"/>
              </w:rPr>
            </w:pPr>
            <w:r w:rsidRPr="00792B36">
              <w:rPr>
                <w:color w:val="000000"/>
                <w:sz w:val="24"/>
                <w:szCs w:val="24"/>
              </w:rPr>
              <w:t>31.40</w:t>
            </w:r>
          </w:p>
        </w:tc>
        <w:tc>
          <w:tcPr>
            <w:tcW w:w="1520" w:type="dxa"/>
            <w:noWrap/>
            <w:hideMark/>
          </w:tcPr>
          <w:p w14:paraId="0D8398C2" w14:textId="77777777" w:rsidR="009A0A63" w:rsidRPr="00792B36" w:rsidRDefault="009A0A63" w:rsidP="00A24459">
            <w:pPr>
              <w:contextualSpacing/>
              <w:jc w:val="center"/>
              <w:rPr>
                <w:rFonts w:eastAsia="Times New Roman"/>
                <w:color w:val="000000"/>
                <w:sz w:val="24"/>
                <w:szCs w:val="24"/>
              </w:rPr>
            </w:pPr>
            <w:r w:rsidRPr="00792B36">
              <w:rPr>
                <w:rFonts w:eastAsia="Times New Roman"/>
                <w:color w:val="000000"/>
                <w:sz w:val="24"/>
                <w:szCs w:val="24"/>
              </w:rPr>
              <w:t>9,129.49</w:t>
            </w:r>
          </w:p>
        </w:tc>
        <w:tc>
          <w:tcPr>
            <w:tcW w:w="943" w:type="dxa"/>
          </w:tcPr>
          <w:p w14:paraId="0C880A2B" w14:textId="77777777" w:rsidR="009A0A63" w:rsidRPr="00792B36" w:rsidRDefault="009A0A63" w:rsidP="00A24459">
            <w:pPr>
              <w:contextualSpacing/>
              <w:jc w:val="center"/>
              <w:rPr>
                <w:color w:val="000000"/>
                <w:sz w:val="24"/>
                <w:szCs w:val="24"/>
              </w:rPr>
            </w:pPr>
            <w:r w:rsidRPr="00792B36">
              <w:rPr>
                <w:color w:val="000000"/>
                <w:sz w:val="24"/>
                <w:szCs w:val="24"/>
              </w:rPr>
              <w:t>51.80</w:t>
            </w:r>
          </w:p>
        </w:tc>
        <w:tc>
          <w:tcPr>
            <w:tcW w:w="1520" w:type="dxa"/>
            <w:noWrap/>
            <w:hideMark/>
          </w:tcPr>
          <w:p w14:paraId="59FAD63B" w14:textId="77777777" w:rsidR="009A0A63" w:rsidRPr="00792B36" w:rsidRDefault="009A0A63" w:rsidP="00A24459">
            <w:pPr>
              <w:contextualSpacing/>
              <w:jc w:val="center"/>
              <w:rPr>
                <w:rFonts w:eastAsia="Times New Roman"/>
                <w:color w:val="000000"/>
                <w:sz w:val="24"/>
                <w:szCs w:val="24"/>
              </w:rPr>
            </w:pPr>
            <w:r w:rsidRPr="00792B36">
              <w:rPr>
                <w:rFonts w:eastAsia="Times New Roman"/>
                <w:color w:val="000000"/>
                <w:sz w:val="24"/>
                <w:szCs w:val="24"/>
              </w:rPr>
              <w:t>17,624.36</w:t>
            </w:r>
          </w:p>
        </w:tc>
      </w:tr>
      <w:tr w:rsidR="009A0A63" w:rsidRPr="00792B36" w14:paraId="53D7EA55" w14:textId="77777777" w:rsidTr="00A24459">
        <w:trPr>
          <w:trHeight w:val="276"/>
        </w:trPr>
        <w:tc>
          <w:tcPr>
            <w:tcW w:w="705" w:type="dxa"/>
            <w:noWrap/>
            <w:hideMark/>
          </w:tcPr>
          <w:p w14:paraId="2CEEE26B" w14:textId="77777777" w:rsidR="009A0A63" w:rsidRPr="00792B36" w:rsidRDefault="009A0A63" w:rsidP="00A24459">
            <w:pPr>
              <w:contextualSpacing/>
              <w:jc w:val="center"/>
              <w:rPr>
                <w:rFonts w:eastAsia="Times New Roman"/>
                <w:color w:val="000000"/>
                <w:sz w:val="24"/>
                <w:szCs w:val="24"/>
              </w:rPr>
            </w:pPr>
            <w:r w:rsidRPr="00792B36">
              <w:rPr>
                <w:rFonts w:eastAsia="Times New Roman"/>
                <w:color w:val="000000"/>
                <w:sz w:val="24"/>
                <w:szCs w:val="24"/>
              </w:rPr>
              <w:t>2023</w:t>
            </w:r>
          </w:p>
        </w:tc>
        <w:tc>
          <w:tcPr>
            <w:tcW w:w="1520" w:type="dxa"/>
            <w:noWrap/>
            <w:hideMark/>
          </w:tcPr>
          <w:p w14:paraId="6370F00C" w14:textId="77777777" w:rsidR="009A0A63" w:rsidRPr="00792B36" w:rsidRDefault="009A0A63" w:rsidP="00A24459">
            <w:pPr>
              <w:contextualSpacing/>
              <w:jc w:val="center"/>
              <w:rPr>
                <w:rFonts w:eastAsia="Times New Roman"/>
                <w:color w:val="000000"/>
                <w:sz w:val="24"/>
                <w:szCs w:val="24"/>
              </w:rPr>
            </w:pPr>
            <w:r w:rsidRPr="00792B36">
              <w:rPr>
                <w:rFonts w:eastAsia="Times New Roman"/>
                <w:color w:val="000000"/>
                <w:sz w:val="24"/>
                <w:szCs w:val="24"/>
              </w:rPr>
              <w:t>4,382.10</w:t>
            </w:r>
          </w:p>
        </w:tc>
        <w:tc>
          <w:tcPr>
            <w:tcW w:w="811" w:type="dxa"/>
          </w:tcPr>
          <w:p w14:paraId="7EB5D9A4" w14:textId="77777777" w:rsidR="009A0A63" w:rsidRPr="00792B36" w:rsidRDefault="009A0A63" w:rsidP="00A24459">
            <w:pPr>
              <w:contextualSpacing/>
              <w:jc w:val="center"/>
              <w:rPr>
                <w:color w:val="000000"/>
                <w:sz w:val="24"/>
                <w:szCs w:val="24"/>
              </w:rPr>
            </w:pPr>
            <w:r w:rsidRPr="00792B36">
              <w:rPr>
                <w:color w:val="000000"/>
                <w:sz w:val="24"/>
                <w:szCs w:val="24"/>
              </w:rPr>
              <w:t>20.33</w:t>
            </w:r>
          </w:p>
        </w:tc>
        <w:tc>
          <w:tcPr>
            <w:tcW w:w="1520" w:type="dxa"/>
            <w:noWrap/>
            <w:hideMark/>
          </w:tcPr>
          <w:p w14:paraId="216B6E41" w14:textId="77777777" w:rsidR="009A0A63" w:rsidRPr="00792B36" w:rsidRDefault="009A0A63" w:rsidP="00A24459">
            <w:pPr>
              <w:contextualSpacing/>
              <w:jc w:val="center"/>
              <w:rPr>
                <w:rFonts w:eastAsia="Times New Roman"/>
                <w:color w:val="000000"/>
                <w:sz w:val="24"/>
                <w:szCs w:val="24"/>
              </w:rPr>
            </w:pPr>
            <w:r w:rsidRPr="00792B36">
              <w:rPr>
                <w:rFonts w:eastAsia="Times New Roman"/>
                <w:color w:val="000000"/>
                <w:sz w:val="24"/>
                <w:szCs w:val="24"/>
              </w:rPr>
              <w:t>1,109.89</w:t>
            </w:r>
          </w:p>
        </w:tc>
        <w:tc>
          <w:tcPr>
            <w:tcW w:w="811" w:type="dxa"/>
          </w:tcPr>
          <w:p w14:paraId="317168E3" w14:textId="77777777" w:rsidR="009A0A63" w:rsidRPr="00792B36" w:rsidRDefault="009A0A63" w:rsidP="00A24459">
            <w:pPr>
              <w:contextualSpacing/>
              <w:jc w:val="center"/>
              <w:rPr>
                <w:color w:val="000000"/>
                <w:sz w:val="24"/>
                <w:szCs w:val="24"/>
              </w:rPr>
            </w:pPr>
            <w:r w:rsidRPr="00792B36">
              <w:rPr>
                <w:color w:val="000000"/>
                <w:sz w:val="24"/>
                <w:szCs w:val="24"/>
              </w:rPr>
              <w:t>5.15</w:t>
            </w:r>
          </w:p>
        </w:tc>
        <w:tc>
          <w:tcPr>
            <w:tcW w:w="1520" w:type="dxa"/>
            <w:noWrap/>
            <w:hideMark/>
          </w:tcPr>
          <w:p w14:paraId="66D1ABEC" w14:textId="77777777" w:rsidR="009A0A63" w:rsidRPr="00792B36" w:rsidRDefault="009A0A63" w:rsidP="00A24459">
            <w:pPr>
              <w:contextualSpacing/>
              <w:jc w:val="center"/>
              <w:rPr>
                <w:rFonts w:eastAsia="Times New Roman"/>
                <w:color w:val="000000"/>
                <w:sz w:val="24"/>
                <w:szCs w:val="24"/>
              </w:rPr>
            </w:pPr>
            <w:r w:rsidRPr="00792B36">
              <w:rPr>
                <w:rFonts w:eastAsia="Times New Roman"/>
                <w:color w:val="000000"/>
                <w:sz w:val="24"/>
                <w:szCs w:val="24"/>
              </w:rPr>
              <w:t>16,063.48</w:t>
            </w:r>
          </w:p>
        </w:tc>
        <w:tc>
          <w:tcPr>
            <w:tcW w:w="943" w:type="dxa"/>
          </w:tcPr>
          <w:p w14:paraId="14BD6650" w14:textId="77777777" w:rsidR="009A0A63" w:rsidRPr="00792B36" w:rsidRDefault="009A0A63" w:rsidP="00A24459">
            <w:pPr>
              <w:contextualSpacing/>
              <w:jc w:val="center"/>
              <w:rPr>
                <w:color w:val="000000"/>
                <w:sz w:val="24"/>
                <w:szCs w:val="24"/>
              </w:rPr>
            </w:pPr>
            <w:r w:rsidRPr="00792B36">
              <w:rPr>
                <w:color w:val="000000"/>
                <w:sz w:val="24"/>
                <w:szCs w:val="24"/>
              </w:rPr>
              <w:t>74.52</w:t>
            </w:r>
          </w:p>
        </w:tc>
        <w:tc>
          <w:tcPr>
            <w:tcW w:w="1520" w:type="dxa"/>
            <w:noWrap/>
            <w:hideMark/>
          </w:tcPr>
          <w:p w14:paraId="410ABBEA" w14:textId="77777777" w:rsidR="009A0A63" w:rsidRPr="00792B36" w:rsidRDefault="009A0A63" w:rsidP="00A24459">
            <w:pPr>
              <w:contextualSpacing/>
              <w:jc w:val="center"/>
              <w:rPr>
                <w:rFonts w:eastAsia="Times New Roman"/>
                <w:color w:val="000000"/>
                <w:sz w:val="24"/>
                <w:szCs w:val="24"/>
              </w:rPr>
            </w:pPr>
            <w:r w:rsidRPr="00792B36">
              <w:rPr>
                <w:rFonts w:eastAsia="Times New Roman"/>
                <w:color w:val="000000"/>
                <w:sz w:val="24"/>
                <w:szCs w:val="24"/>
              </w:rPr>
              <w:t>21,555.46</w:t>
            </w:r>
          </w:p>
        </w:tc>
      </w:tr>
      <w:tr w:rsidR="009A0A63" w:rsidRPr="00792B36" w14:paraId="28D3443A" w14:textId="77777777" w:rsidTr="00A24459">
        <w:trPr>
          <w:trHeight w:val="193"/>
        </w:trPr>
        <w:tc>
          <w:tcPr>
            <w:tcW w:w="705" w:type="dxa"/>
            <w:noWrap/>
            <w:hideMark/>
          </w:tcPr>
          <w:p w14:paraId="1D458F0E" w14:textId="77777777" w:rsidR="009A0A63" w:rsidRPr="00792B36" w:rsidRDefault="009A0A63" w:rsidP="00A24459">
            <w:pPr>
              <w:contextualSpacing/>
              <w:jc w:val="center"/>
              <w:rPr>
                <w:rFonts w:eastAsia="Times New Roman"/>
                <w:color w:val="000000"/>
                <w:sz w:val="24"/>
                <w:szCs w:val="24"/>
              </w:rPr>
            </w:pPr>
            <w:r w:rsidRPr="00792B36">
              <w:rPr>
                <w:rFonts w:eastAsia="Times New Roman"/>
                <w:color w:val="000000"/>
                <w:sz w:val="24"/>
                <w:szCs w:val="24"/>
              </w:rPr>
              <w:t>2024</w:t>
            </w:r>
          </w:p>
        </w:tc>
        <w:tc>
          <w:tcPr>
            <w:tcW w:w="1520" w:type="dxa"/>
            <w:noWrap/>
            <w:hideMark/>
          </w:tcPr>
          <w:p w14:paraId="108DCD34" w14:textId="77777777" w:rsidR="009A0A63" w:rsidRPr="00792B36" w:rsidRDefault="009A0A63" w:rsidP="00A24459">
            <w:pPr>
              <w:contextualSpacing/>
              <w:jc w:val="center"/>
              <w:rPr>
                <w:rFonts w:eastAsia="Times New Roman"/>
                <w:color w:val="000000"/>
                <w:sz w:val="24"/>
                <w:szCs w:val="24"/>
              </w:rPr>
            </w:pPr>
            <w:r w:rsidRPr="00792B36">
              <w:rPr>
                <w:rFonts w:eastAsia="Times New Roman"/>
                <w:color w:val="000000"/>
                <w:sz w:val="24"/>
                <w:szCs w:val="24"/>
              </w:rPr>
              <w:t>6,124.70</w:t>
            </w:r>
          </w:p>
        </w:tc>
        <w:tc>
          <w:tcPr>
            <w:tcW w:w="811" w:type="dxa"/>
          </w:tcPr>
          <w:p w14:paraId="2B05F173" w14:textId="77777777" w:rsidR="009A0A63" w:rsidRPr="00792B36" w:rsidRDefault="009A0A63" w:rsidP="00A24459">
            <w:pPr>
              <w:contextualSpacing/>
              <w:jc w:val="center"/>
              <w:rPr>
                <w:color w:val="000000"/>
                <w:sz w:val="24"/>
                <w:szCs w:val="24"/>
              </w:rPr>
            </w:pPr>
            <w:r w:rsidRPr="00792B36">
              <w:rPr>
                <w:color w:val="000000"/>
                <w:sz w:val="24"/>
                <w:szCs w:val="24"/>
              </w:rPr>
              <w:t>21.84</w:t>
            </w:r>
          </w:p>
        </w:tc>
        <w:tc>
          <w:tcPr>
            <w:tcW w:w="1520" w:type="dxa"/>
            <w:noWrap/>
            <w:hideMark/>
          </w:tcPr>
          <w:p w14:paraId="1E0C8D0A" w14:textId="77777777" w:rsidR="009A0A63" w:rsidRPr="00792B36" w:rsidRDefault="009A0A63" w:rsidP="00A24459">
            <w:pPr>
              <w:contextualSpacing/>
              <w:jc w:val="center"/>
              <w:rPr>
                <w:rFonts w:eastAsia="Times New Roman"/>
                <w:color w:val="000000"/>
                <w:sz w:val="24"/>
                <w:szCs w:val="24"/>
              </w:rPr>
            </w:pPr>
            <w:r w:rsidRPr="00792B36">
              <w:rPr>
                <w:rFonts w:eastAsia="Times New Roman"/>
                <w:color w:val="000000"/>
                <w:sz w:val="24"/>
                <w:szCs w:val="24"/>
              </w:rPr>
              <w:t>965.88</w:t>
            </w:r>
          </w:p>
        </w:tc>
        <w:tc>
          <w:tcPr>
            <w:tcW w:w="811" w:type="dxa"/>
          </w:tcPr>
          <w:p w14:paraId="628B7E50" w14:textId="77777777" w:rsidR="009A0A63" w:rsidRPr="00792B36" w:rsidRDefault="009A0A63" w:rsidP="00A24459">
            <w:pPr>
              <w:contextualSpacing/>
              <w:jc w:val="center"/>
              <w:rPr>
                <w:color w:val="000000"/>
                <w:sz w:val="24"/>
                <w:szCs w:val="24"/>
              </w:rPr>
            </w:pPr>
            <w:r w:rsidRPr="00792B36">
              <w:rPr>
                <w:color w:val="000000"/>
                <w:sz w:val="24"/>
                <w:szCs w:val="24"/>
              </w:rPr>
              <w:t>3.44</w:t>
            </w:r>
          </w:p>
        </w:tc>
        <w:tc>
          <w:tcPr>
            <w:tcW w:w="1520" w:type="dxa"/>
            <w:noWrap/>
            <w:hideMark/>
          </w:tcPr>
          <w:p w14:paraId="1C79C06C" w14:textId="77777777" w:rsidR="009A0A63" w:rsidRPr="00792B36" w:rsidRDefault="009A0A63" w:rsidP="00A24459">
            <w:pPr>
              <w:contextualSpacing/>
              <w:jc w:val="center"/>
              <w:rPr>
                <w:rFonts w:eastAsia="Times New Roman"/>
                <w:color w:val="000000"/>
                <w:sz w:val="24"/>
                <w:szCs w:val="24"/>
              </w:rPr>
            </w:pPr>
            <w:r w:rsidRPr="00792B36">
              <w:rPr>
                <w:rFonts w:eastAsia="Times New Roman"/>
                <w:color w:val="000000"/>
                <w:sz w:val="24"/>
                <w:szCs w:val="24"/>
              </w:rPr>
              <w:t>20,954.03</w:t>
            </w:r>
          </w:p>
        </w:tc>
        <w:tc>
          <w:tcPr>
            <w:tcW w:w="943" w:type="dxa"/>
          </w:tcPr>
          <w:p w14:paraId="05D79E4B" w14:textId="77777777" w:rsidR="009A0A63" w:rsidRPr="00792B36" w:rsidRDefault="009A0A63" w:rsidP="00A24459">
            <w:pPr>
              <w:contextualSpacing/>
              <w:jc w:val="center"/>
              <w:rPr>
                <w:color w:val="000000"/>
                <w:sz w:val="24"/>
                <w:szCs w:val="24"/>
              </w:rPr>
            </w:pPr>
            <w:r w:rsidRPr="00792B36">
              <w:rPr>
                <w:color w:val="000000"/>
                <w:sz w:val="24"/>
                <w:szCs w:val="24"/>
              </w:rPr>
              <w:t>74.72</w:t>
            </w:r>
          </w:p>
        </w:tc>
        <w:tc>
          <w:tcPr>
            <w:tcW w:w="1520" w:type="dxa"/>
            <w:noWrap/>
            <w:hideMark/>
          </w:tcPr>
          <w:p w14:paraId="3BE0596B" w14:textId="77777777" w:rsidR="009A0A63" w:rsidRPr="00792B36" w:rsidRDefault="009A0A63" w:rsidP="00A24459">
            <w:pPr>
              <w:contextualSpacing/>
              <w:jc w:val="center"/>
              <w:rPr>
                <w:rFonts w:eastAsia="Times New Roman"/>
                <w:color w:val="000000"/>
                <w:sz w:val="24"/>
                <w:szCs w:val="24"/>
              </w:rPr>
            </w:pPr>
            <w:r w:rsidRPr="00792B36">
              <w:rPr>
                <w:rFonts w:eastAsia="Times New Roman"/>
                <w:color w:val="000000"/>
                <w:sz w:val="24"/>
                <w:szCs w:val="24"/>
              </w:rPr>
              <w:t>28,044.61</w:t>
            </w:r>
          </w:p>
        </w:tc>
      </w:tr>
    </w:tbl>
    <w:p w14:paraId="4BED1D31" w14:textId="77777777" w:rsidR="009A0A63" w:rsidRPr="00792B36" w:rsidRDefault="009A0A63" w:rsidP="009A0A63">
      <w:pPr>
        <w:rPr>
          <w:sz w:val="24"/>
          <w:szCs w:val="24"/>
        </w:rPr>
      </w:pPr>
      <w:r w:rsidRPr="00792B36">
        <w:rPr>
          <w:sz w:val="24"/>
          <w:szCs w:val="24"/>
        </w:rPr>
        <w:t>Sources: Thailand Board of investment (BOI). (2025). BOI Data: Investment Promotion Statistical Reports (from 2015 onwards)</w:t>
      </w:r>
      <w:r w:rsidRPr="00792B36">
        <w:rPr>
          <w:sz w:val="24"/>
          <w:szCs w:val="24"/>
          <w:cs/>
        </w:rPr>
        <w:t xml:space="preserve">. </w:t>
      </w:r>
      <w:r w:rsidRPr="00792B36">
        <w:rPr>
          <w:color w:val="000000"/>
          <w:sz w:val="24"/>
          <w:szCs w:val="24"/>
        </w:rPr>
        <w:t>Retrieved September 3, 2025</w:t>
      </w:r>
      <w:r w:rsidRPr="00792B36">
        <w:rPr>
          <w:sz w:val="24"/>
          <w:szCs w:val="24"/>
        </w:rPr>
        <w:t xml:space="preserve"> from </w:t>
      </w:r>
      <w:r w:rsidRPr="00792B36">
        <w:rPr>
          <w:sz w:val="24"/>
          <w:szCs w:val="24"/>
        </w:rPr>
        <w:fldChar w:fldCharType="begin"/>
      </w:r>
      <w:r w:rsidRPr="00792B36">
        <w:rPr>
          <w:sz w:val="24"/>
          <w:szCs w:val="24"/>
        </w:rPr>
        <w:instrText>HYPERLINK "https://ipstat.boi.go.th/pubrpt/index.php"</w:instrText>
      </w:r>
      <w:r w:rsidRPr="00792B36">
        <w:rPr>
          <w:sz w:val="24"/>
          <w:szCs w:val="24"/>
        </w:rPr>
      </w:r>
      <w:r w:rsidRPr="00792B36">
        <w:rPr>
          <w:sz w:val="24"/>
          <w:szCs w:val="24"/>
        </w:rPr>
        <w:fldChar w:fldCharType="separate"/>
      </w:r>
      <w:r w:rsidRPr="00792B36">
        <w:rPr>
          <w:rStyle w:val="Hyperlink"/>
          <w:sz w:val="24"/>
          <w:szCs w:val="24"/>
        </w:rPr>
        <w:t>https://ipstat.boi.go.th/pubrpt/index.php</w:t>
      </w:r>
      <w:r w:rsidRPr="00792B36">
        <w:rPr>
          <w:sz w:val="24"/>
          <w:szCs w:val="24"/>
        </w:rPr>
        <w:fldChar w:fldCharType="end"/>
      </w:r>
    </w:p>
    <w:p w14:paraId="6285BC83" w14:textId="77777777" w:rsidR="009A0A63" w:rsidRPr="00792B36" w:rsidRDefault="009A0A63" w:rsidP="009A0A63">
      <w:pPr>
        <w:rPr>
          <w:sz w:val="24"/>
          <w:szCs w:val="24"/>
        </w:rPr>
      </w:pPr>
    </w:p>
    <w:p w14:paraId="3F9DD404" w14:textId="77777777" w:rsidR="009A0A63" w:rsidRPr="00792B36" w:rsidRDefault="009A0A63" w:rsidP="009A0A63">
      <w:pPr>
        <w:spacing w:before="120" w:after="120"/>
        <w:ind w:firstLine="1134"/>
        <w:jc w:val="thaiDistribute"/>
        <w:rPr>
          <w:sz w:val="24"/>
          <w:szCs w:val="24"/>
        </w:rPr>
      </w:pPr>
      <w:r w:rsidRPr="00792B36">
        <w:rPr>
          <w:sz w:val="24"/>
          <w:szCs w:val="24"/>
        </w:rPr>
        <w:br w:type="page"/>
      </w:r>
    </w:p>
    <w:p w14:paraId="24DB82E8" w14:textId="77777777" w:rsidR="009A0A63" w:rsidRPr="00792B36" w:rsidRDefault="009A0A63" w:rsidP="009A0A63">
      <w:pPr>
        <w:spacing w:before="120" w:after="120"/>
        <w:contextualSpacing/>
        <w:rPr>
          <w:sz w:val="24"/>
          <w:szCs w:val="24"/>
        </w:rPr>
        <w:sectPr w:rsidR="009A0A63" w:rsidRPr="00792B36" w:rsidSect="003332A9">
          <w:footerReference w:type="default" r:id="rId98"/>
          <w:pgSz w:w="11906" w:h="16838"/>
          <w:pgMar w:top="1440" w:right="1440" w:bottom="1440" w:left="1440" w:header="708" w:footer="708" w:gutter="0"/>
          <w:cols w:space="708"/>
          <w:docGrid w:linePitch="435"/>
        </w:sectPr>
      </w:pPr>
    </w:p>
    <w:p w14:paraId="1439D5E0" w14:textId="77777777" w:rsidR="009A0A63" w:rsidRPr="00792B36" w:rsidRDefault="009A0A63" w:rsidP="009A0A63">
      <w:pPr>
        <w:pStyle w:val="NormalWeb"/>
        <w:spacing w:before="0" w:beforeAutospacing="0" w:after="0" w:afterAutospacing="0"/>
        <w:contextualSpacing/>
        <w:rPr>
          <w:rFonts w:ascii="Arial" w:hAnsi="Arial" w:cs="Arial"/>
        </w:rPr>
      </w:pPr>
      <w:r w:rsidRPr="00792B36">
        <w:rPr>
          <w:rFonts w:ascii="Arial" w:hAnsi="Arial" w:cs="Arial"/>
        </w:rPr>
        <w:lastRenderedPageBreak/>
        <w:t>Annex 5: Provincial investment of the Gulf of Thailand in 2024 (1 USD = 35 Baht)</w:t>
      </w:r>
    </w:p>
    <w:p w14:paraId="09CEB2D1" w14:textId="77777777" w:rsidR="009A0A63" w:rsidRPr="00792B36" w:rsidRDefault="009A0A63" w:rsidP="009A0A63">
      <w:pPr>
        <w:pStyle w:val="NormalWeb"/>
        <w:spacing w:before="0" w:beforeAutospacing="0" w:after="0" w:afterAutospacing="0"/>
        <w:contextualSpacing/>
        <w:rPr>
          <w:rFonts w:ascii="Arial" w:hAnsi="Arial" w:cs="Arial"/>
        </w:rPr>
      </w:pPr>
    </w:p>
    <w:tbl>
      <w:tblPr>
        <w:tblW w:w="5045" w:type="pct"/>
        <w:tblLook w:val="04A0" w:firstRow="1" w:lastRow="0" w:firstColumn="1" w:lastColumn="0" w:noHBand="0" w:noVBand="1"/>
      </w:tblPr>
      <w:tblGrid>
        <w:gridCol w:w="1831"/>
        <w:gridCol w:w="963"/>
        <w:gridCol w:w="1284"/>
        <w:gridCol w:w="951"/>
        <w:gridCol w:w="1084"/>
        <w:gridCol w:w="951"/>
        <w:gridCol w:w="951"/>
        <w:gridCol w:w="951"/>
        <w:gridCol w:w="1151"/>
        <w:gridCol w:w="817"/>
        <w:gridCol w:w="583"/>
        <w:gridCol w:w="847"/>
        <w:gridCol w:w="819"/>
        <w:gridCol w:w="1152"/>
        <w:gridCol w:w="811"/>
        <w:gridCol w:w="140"/>
      </w:tblGrid>
      <w:tr w:rsidR="009A0A63" w:rsidRPr="00792B36" w14:paraId="59B5F682" w14:textId="77777777" w:rsidTr="00A24459">
        <w:trPr>
          <w:gridAfter w:val="1"/>
          <w:wAfter w:w="45" w:type="pct"/>
          <w:trHeight w:val="600"/>
        </w:trPr>
        <w:tc>
          <w:tcPr>
            <w:tcW w:w="777" w:type="pct"/>
            <w:vMerge w:val="restart"/>
            <w:tcBorders>
              <w:top w:val="single" w:sz="4" w:space="0" w:color="auto"/>
              <w:left w:val="single" w:sz="4" w:space="0" w:color="auto"/>
              <w:bottom w:val="single" w:sz="4" w:space="0" w:color="000000"/>
              <w:right w:val="single" w:sz="4" w:space="0" w:color="auto"/>
            </w:tcBorders>
            <w:hideMark/>
          </w:tcPr>
          <w:p w14:paraId="59AEB77E" w14:textId="77777777" w:rsidR="009A0A63" w:rsidRPr="00792B36" w:rsidRDefault="009A0A63" w:rsidP="00A24459">
            <w:pPr>
              <w:jc w:val="center"/>
              <w:rPr>
                <w:rFonts w:eastAsia="Times New Roman"/>
                <w:b/>
                <w:bCs/>
                <w:color w:val="000000"/>
                <w:sz w:val="24"/>
                <w:szCs w:val="24"/>
              </w:rPr>
            </w:pPr>
            <w:r w:rsidRPr="00792B36">
              <w:rPr>
                <w:rFonts w:eastAsia="Times New Roman"/>
                <w:b/>
                <w:bCs/>
                <w:color w:val="000000"/>
                <w:sz w:val="24"/>
                <w:szCs w:val="24"/>
              </w:rPr>
              <w:t>Province</w:t>
            </w:r>
          </w:p>
        </w:tc>
        <w:tc>
          <w:tcPr>
            <w:tcW w:w="2972" w:type="pct"/>
            <w:gridSpan w:val="10"/>
            <w:tcBorders>
              <w:top w:val="single" w:sz="4" w:space="0" w:color="auto"/>
              <w:left w:val="nil"/>
              <w:bottom w:val="single" w:sz="4" w:space="0" w:color="auto"/>
              <w:right w:val="single" w:sz="4" w:space="0" w:color="auto"/>
            </w:tcBorders>
            <w:vAlign w:val="center"/>
            <w:hideMark/>
          </w:tcPr>
          <w:p w14:paraId="1EC24620" w14:textId="77777777" w:rsidR="009A0A63" w:rsidRPr="00792B36" w:rsidRDefault="009A0A63" w:rsidP="00A24459">
            <w:pPr>
              <w:jc w:val="center"/>
              <w:rPr>
                <w:rFonts w:eastAsia="Times New Roman"/>
                <w:b/>
                <w:bCs/>
                <w:color w:val="000000"/>
                <w:sz w:val="24"/>
                <w:szCs w:val="24"/>
              </w:rPr>
            </w:pPr>
            <w:r w:rsidRPr="00792B36">
              <w:rPr>
                <w:rFonts w:eastAsia="Times New Roman"/>
                <w:b/>
                <w:bCs/>
                <w:color w:val="000000"/>
                <w:sz w:val="24"/>
                <w:szCs w:val="24"/>
              </w:rPr>
              <w:t>BOI (Board of Investment)</w:t>
            </w:r>
          </w:p>
        </w:tc>
        <w:tc>
          <w:tcPr>
            <w:tcW w:w="1206" w:type="pct"/>
            <w:gridSpan w:val="4"/>
            <w:tcBorders>
              <w:top w:val="single" w:sz="4" w:space="0" w:color="auto"/>
              <w:left w:val="nil"/>
              <w:bottom w:val="single" w:sz="4" w:space="0" w:color="auto"/>
              <w:right w:val="single" w:sz="4" w:space="0" w:color="auto"/>
            </w:tcBorders>
            <w:vAlign w:val="center"/>
            <w:hideMark/>
          </w:tcPr>
          <w:p w14:paraId="1E08FBF0" w14:textId="77777777" w:rsidR="009A0A63" w:rsidRPr="00792B36" w:rsidRDefault="009A0A63" w:rsidP="00A24459">
            <w:pPr>
              <w:jc w:val="center"/>
              <w:rPr>
                <w:rFonts w:eastAsia="Times New Roman"/>
                <w:b/>
                <w:bCs/>
                <w:color w:val="000000"/>
                <w:sz w:val="24"/>
                <w:szCs w:val="24"/>
              </w:rPr>
            </w:pPr>
            <w:r w:rsidRPr="00792B36">
              <w:rPr>
                <w:rFonts w:eastAsia="Times New Roman"/>
                <w:b/>
                <w:bCs/>
                <w:color w:val="000000"/>
                <w:sz w:val="24"/>
                <w:szCs w:val="24"/>
              </w:rPr>
              <w:t>DBD (Department of Business Development)</w:t>
            </w:r>
          </w:p>
        </w:tc>
      </w:tr>
      <w:tr w:rsidR="009A0A63" w:rsidRPr="00792B36" w14:paraId="4815C9CF" w14:textId="77777777" w:rsidTr="00A24459">
        <w:trPr>
          <w:trHeight w:val="264"/>
        </w:trPr>
        <w:tc>
          <w:tcPr>
            <w:tcW w:w="777" w:type="pct"/>
            <w:vMerge/>
            <w:tcBorders>
              <w:top w:val="single" w:sz="4" w:space="0" w:color="auto"/>
              <w:left w:val="single" w:sz="4" w:space="0" w:color="auto"/>
              <w:bottom w:val="single" w:sz="4" w:space="0" w:color="000000"/>
              <w:right w:val="single" w:sz="4" w:space="0" w:color="auto"/>
            </w:tcBorders>
            <w:hideMark/>
          </w:tcPr>
          <w:p w14:paraId="34BECEA4" w14:textId="77777777" w:rsidR="009A0A63" w:rsidRPr="00792B36" w:rsidRDefault="009A0A63" w:rsidP="00A24459">
            <w:pPr>
              <w:rPr>
                <w:rFonts w:eastAsia="Times New Roman"/>
                <w:b/>
                <w:bCs/>
                <w:color w:val="000000"/>
                <w:sz w:val="24"/>
                <w:szCs w:val="24"/>
              </w:rPr>
            </w:pPr>
          </w:p>
        </w:tc>
        <w:tc>
          <w:tcPr>
            <w:tcW w:w="130" w:type="pct"/>
            <w:vMerge w:val="restart"/>
            <w:tcBorders>
              <w:top w:val="nil"/>
              <w:left w:val="single" w:sz="4" w:space="0" w:color="auto"/>
              <w:bottom w:val="single" w:sz="4" w:space="0" w:color="auto"/>
              <w:right w:val="single" w:sz="4" w:space="0" w:color="auto"/>
            </w:tcBorders>
            <w:hideMark/>
          </w:tcPr>
          <w:p w14:paraId="170A3542" w14:textId="77777777" w:rsidR="009A0A63" w:rsidRPr="00792B36" w:rsidRDefault="009A0A63" w:rsidP="00A24459">
            <w:pPr>
              <w:rPr>
                <w:rFonts w:eastAsia="Times New Roman"/>
                <w:color w:val="000000"/>
                <w:sz w:val="24"/>
                <w:szCs w:val="24"/>
              </w:rPr>
            </w:pPr>
            <w:r w:rsidRPr="00792B36">
              <w:rPr>
                <w:rFonts w:eastAsia="Times New Roman"/>
                <w:color w:val="000000"/>
                <w:sz w:val="24"/>
                <w:szCs w:val="24"/>
              </w:rPr>
              <w:t>No. of Project</w:t>
            </w:r>
          </w:p>
        </w:tc>
        <w:tc>
          <w:tcPr>
            <w:tcW w:w="713" w:type="pct"/>
            <w:gridSpan w:val="2"/>
            <w:tcBorders>
              <w:top w:val="single" w:sz="4" w:space="0" w:color="auto"/>
              <w:left w:val="nil"/>
              <w:bottom w:val="single" w:sz="4" w:space="0" w:color="auto"/>
              <w:right w:val="single" w:sz="4" w:space="0" w:color="auto"/>
            </w:tcBorders>
            <w:hideMark/>
          </w:tcPr>
          <w:p w14:paraId="7DA9E9FB"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Total Investment</w:t>
            </w:r>
          </w:p>
        </w:tc>
        <w:tc>
          <w:tcPr>
            <w:tcW w:w="659" w:type="pct"/>
            <w:gridSpan w:val="2"/>
            <w:tcBorders>
              <w:top w:val="single" w:sz="4" w:space="0" w:color="auto"/>
              <w:left w:val="nil"/>
              <w:bottom w:val="single" w:sz="4" w:space="0" w:color="auto"/>
              <w:right w:val="single" w:sz="4" w:space="0" w:color="auto"/>
            </w:tcBorders>
            <w:hideMark/>
          </w:tcPr>
          <w:p w14:paraId="7A824D8C" w14:textId="77777777" w:rsidR="009A0A63" w:rsidRPr="00792B36" w:rsidRDefault="009A0A63" w:rsidP="00A24459">
            <w:pPr>
              <w:rPr>
                <w:rFonts w:eastAsia="Times New Roman"/>
                <w:color w:val="000000"/>
                <w:sz w:val="24"/>
                <w:szCs w:val="24"/>
              </w:rPr>
            </w:pPr>
            <w:r w:rsidRPr="00792B36">
              <w:rPr>
                <w:rFonts w:eastAsia="Times New Roman"/>
                <w:color w:val="000000"/>
                <w:sz w:val="24"/>
                <w:szCs w:val="24"/>
              </w:rPr>
              <w:t>Total DDI and FDI registered capital</w:t>
            </w:r>
          </w:p>
        </w:tc>
        <w:tc>
          <w:tcPr>
            <w:tcW w:w="624" w:type="pct"/>
            <w:gridSpan w:val="2"/>
            <w:tcBorders>
              <w:top w:val="single" w:sz="4" w:space="0" w:color="auto"/>
              <w:left w:val="nil"/>
              <w:bottom w:val="single" w:sz="4" w:space="0" w:color="auto"/>
              <w:right w:val="single" w:sz="4" w:space="0" w:color="auto"/>
            </w:tcBorders>
            <w:hideMark/>
          </w:tcPr>
          <w:p w14:paraId="73E5EE5D"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 xml:space="preserve">DDI registered capital </w:t>
            </w:r>
          </w:p>
        </w:tc>
        <w:tc>
          <w:tcPr>
            <w:tcW w:w="642" w:type="pct"/>
            <w:gridSpan w:val="2"/>
            <w:tcBorders>
              <w:top w:val="single" w:sz="4" w:space="0" w:color="auto"/>
              <w:left w:val="nil"/>
              <w:bottom w:val="single" w:sz="4" w:space="0" w:color="auto"/>
              <w:right w:val="single" w:sz="4" w:space="0" w:color="auto"/>
            </w:tcBorders>
            <w:hideMark/>
          </w:tcPr>
          <w:p w14:paraId="56F66563"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 xml:space="preserve">FDI registered capital </w:t>
            </w:r>
          </w:p>
        </w:tc>
        <w:tc>
          <w:tcPr>
            <w:tcW w:w="778" w:type="pct"/>
            <w:gridSpan w:val="3"/>
            <w:tcBorders>
              <w:top w:val="single" w:sz="4" w:space="0" w:color="auto"/>
              <w:left w:val="nil"/>
              <w:bottom w:val="single" w:sz="4" w:space="0" w:color="auto"/>
              <w:right w:val="single" w:sz="4" w:space="0" w:color="auto"/>
            </w:tcBorders>
            <w:hideMark/>
          </w:tcPr>
          <w:p w14:paraId="459C6DB1"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New registered companies</w:t>
            </w:r>
          </w:p>
        </w:tc>
        <w:tc>
          <w:tcPr>
            <w:tcW w:w="677" w:type="pct"/>
            <w:gridSpan w:val="3"/>
            <w:tcBorders>
              <w:top w:val="single" w:sz="4" w:space="0" w:color="auto"/>
              <w:left w:val="nil"/>
              <w:bottom w:val="single" w:sz="4" w:space="0" w:color="auto"/>
              <w:right w:val="single" w:sz="4" w:space="0" w:color="auto"/>
            </w:tcBorders>
            <w:hideMark/>
          </w:tcPr>
          <w:p w14:paraId="1D28FA44"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Registered capital</w:t>
            </w:r>
          </w:p>
        </w:tc>
      </w:tr>
      <w:tr w:rsidR="009A0A63" w:rsidRPr="00792B36" w14:paraId="168A4028" w14:textId="77777777" w:rsidTr="00A24459">
        <w:trPr>
          <w:trHeight w:val="319"/>
        </w:trPr>
        <w:tc>
          <w:tcPr>
            <w:tcW w:w="777" w:type="pct"/>
            <w:vMerge/>
            <w:tcBorders>
              <w:top w:val="single" w:sz="4" w:space="0" w:color="auto"/>
              <w:left w:val="single" w:sz="4" w:space="0" w:color="auto"/>
              <w:bottom w:val="single" w:sz="4" w:space="0" w:color="000000"/>
              <w:right w:val="single" w:sz="4" w:space="0" w:color="auto"/>
            </w:tcBorders>
            <w:hideMark/>
          </w:tcPr>
          <w:p w14:paraId="06EBF281" w14:textId="77777777" w:rsidR="009A0A63" w:rsidRPr="00792B36" w:rsidRDefault="009A0A63" w:rsidP="00A24459">
            <w:pPr>
              <w:rPr>
                <w:rFonts w:eastAsia="Times New Roman"/>
                <w:b/>
                <w:bCs/>
                <w:color w:val="000000"/>
                <w:sz w:val="24"/>
                <w:szCs w:val="24"/>
              </w:rPr>
            </w:pPr>
          </w:p>
        </w:tc>
        <w:tc>
          <w:tcPr>
            <w:tcW w:w="130" w:type="pct"/>
            <w:vMerge/>
            <w:tcBorders>
              <w:top w:val="nil"/>
              <w:left w:val="single" w:sz="4" w:space="0" w:color="auto"/>
              <w:bottom w:val="single" w:sz="4" w:space="0" w:color="auto"/>
              <w:right w:val="single" w:sz="4" w:space="0" w:color="auto"/>
            </w:tcBorders>
            <w:hideMark/>
          </w:tcPr>
          <w:p w14:paraId="24C2EC59" w14:textId="77777777" w:rsidR="009A0A63" w:rsidRPr="00792B36" w:rsidRDefault="009A0A63" w:rsidP="00A24459">
            <w:pPr>
              <w:rPr>
                <w:rFonts w:eastAsia="Times New Roman"/>
                <w:color w:val="000000"/>
                <w:sz w:val="24"/>
                <w:szCs w:val="24"/>
              </w:rPr>
            </w:pPr>
          </w:p>
        </w:tc>
        <w:tc>
          <w:tcPr>
            <w:tcW w:w="401" w:type="pct"/>
            <w:tcBorders>
              <w:top w:val="nil"/>
              <w:left w:val="nil"/>
              <w:bottom w:val="single" w:sz="4" w:space="0" w:color="auto"/>
              <w:right w:val="single" w:sz="4" w:space="0" w:color="auto"/>
            </w:tcBorders>
            <w:hideMark/>
          </w:tcPr>
          <w:p w14:paraId="64F1CF9F"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USD mil.</w:t>
            </w:r>
          </w:p>
        </w:tc>
        <w:tc>
          <w:tcPr>
            <w:tcW w:w="312" w:type="pct"/>
            <w:tcBorders>
              <w:top w:val="nil"/>
              <w:left w:val="nil"/>
              <w:bottom w:val="single" w:sz="4" w:space="0" w:color="auto"/>
              <w:right w:val="single" w:sz="4" w:space="0" w:color="auto"/>
            </w:tcBorders>
            <w:hideMark/>
          </w:tcPr>
          <w:p w14:paraId="2BB6F6EE"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w:t>
            </w:r>
          </w:p>
        </w:tc>
        <w:tc>
          <w:tcPr>
            <w:tcW w:w="347" w:type="pct"/>
            <w:tcBorders>
              <w:top w:val="nil"/>
              <w:left w:val="nil"/>
              <w:bottom w:val="single" w:sz="4" w:space="0" w:color="auto"/>
              <w:right w:val="single" w:sz="4" w:space="0" w:color="auto"/>
            </w:tcBorders>
            <w:hideMark/>
          </w:tcPr>
          <w:p w14:paraId="252BDF14"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USD mil.</w:t>
            </w:r>
          </w:p>
        </w:tc>
        <w:tc>
          <w:tcPr>
            <w:tcW w:w="312" w:type="pct"/>
            <w:tcBorders>
              <w:top w:val="nil"/>
              <w:left w:val="nil"/>
              <w:bottom w:val="single" w:sz="4" w:space="0" w:color="auto"/>
              <w:right w:val="single" w:sz="4" w:space="0" w:color="auto"/>
            </w:tcBorders>
            <w:hideMark/>
          </w:tcPr>
          <w:p w14:paraId="1F19DB35"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w:t>
            </w:r>
          </w:p>
        </w:tc>
        <w:tc>
          <w:tcPr>
            <w:tcW w:w="312" w:type="pct"/>
            <w:tcBorders>
              <w:top w:val="nil"/>
              <w:left w:val="nil"/>
              <w:bottom w:val="single" w:sz="4" w:space="0" w:color="auto"/>
              <w:right w:val="single" w:sz="4" w:space="0" w:color="auto"/>
            </w:tcBorders>
            <w:hideMark/>
          </w:tcPr>
          <w:p w14:paraId="3DFB4B08"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USD mil.</w:t>
            </w:r>
          </w:p>
        </w:tc>
        <w:tc>
          <w:tcPr>
            <w:tcW w:w="312" w:type="pct"/>
            <w:tcBorders>
              <w:top w:val="nil"/>
              <w:left w:val="nil"/>
              <w:bottom w:val="single" w:sz="4" w:space="0" w:color="auto"/>
              <w:right w:val="single" w:sz="4" w:space="0" w:color="auto"/>
            </w:tcBorders>
            <w:hideMark/>
          </w:tcPr>
          <w:p w14:paraId="6C7A5662"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w:t>
            </w:r>
          </w:p>
        </w:tc>
        <w:tc>
          <w:tcPr>
            <w:tcW w:w="365" w:type="pct"/>
            <w:tcBorders>
              <w:top w:val="nil"/>
              <w:left w:val="nil"/>
              <w:bottom w:val="single" w:sz="4" w:space="0" w:color="auto"/>
              <w:right w:val="single" w:sz="4" w:space="0" w:color="auto"/>
            </w:tcBorders>
            <w:hideMark/>
          </w:tcPr>
          <w:p w14:paraId="2C50DDB2"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USD mil.</w:t>
            </w:r>
          </w:p>
        </w:tc>
        <w:tc>
          <w:tcPr>
            <w:tcW w:w="277" w:type="pct"/>
            <w:tcBorders>
              <w:top w:val="nil"/>
              <w:left w:val="nil"/>
              <w:bottom w:val="single" w:sz="4" w:space="0" w:color="auto"/>
              <w:right w:val="single" w:sz="4" w:space="0" w:color="auto"/>
            </w:tcBorders>
            <w:hideMark/>
          </w:tcPr>
          <w:p w14:paraId="3555C550"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w:t>
            </w:r>
          </w:p>
        </w:tc>
        <w:tc>
          <w:tcPr>
            <w:tcW w:w="501" w:type="pct"/>
            <w:gridSpan w:val="2"/>
            <w:tcBorders>
              <w:top w:val="nil"/>
              <w:left w:val="nil"/>
              <w:bottom w:val="single" w:sz="4" w:space="0" w:color="auto"/>
              <w:right w:val="single" w:sz="4" w:space="0" w:color="auto"/>
            </w:tcBorders>
            <w:hideMark/>
          </w:tcPr>
          <w:p w14:paraId="367F6B20"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Companies</w:t>
            </w:r>
          </w:p>
        </w:tc>
        <w:tc>
          <w:tcPr>
            <w:tcW w:w="278" w:type="pct"/>
            <w:tcBorders>
              <w:top w:val="nil"/>
              <w:left w:val="nil"/>
              <w:bottom w:val="single" w:sz="4" w:space="0" w:color="auto"/>
              <w:right w:val="single" w:sz="4" w:space="0" w:color="auto"/>
            </w:tcBorders>
            <w:hideMark/>
          </w:tcPr>
          <w:p w14:paraId="513D7507"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w:t>
            </w:r>
          </w:p>
        </w:tc>
        <w:tc>
          <w:tcPr>
            <w:tcW w:w="365" w:type="pct"/>
            <w:tcBorders>
              <w:top w:val="nil"/>
              <w:left w:val="nil"/>
              <w:bottom w:val="single" w:sz="4" w:space="0" w:color="auto"/>
              <w:right w:val="single" w:sz="4" w:space="0" w:color="auto"/>
            </w:tcBorders>
            <w:hideMark/>
          </w:tcPr>
          <w:p w14:paraId="3DBF758B"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USD mil.</w:t>
            </w:r>
          </w:p>
        </w:tc>
        <w:tc>
          <w:tcPr>
            <w:tcW w:w="312" w:type="pct"/>
            <w:gridSpan w:val="2"/>
            <w:tcBorders>
              <w:top w:val="nil"/>
              <w:left w:val="nil"/>
              <w:bottom w:val="single" w:sz="4" w:space="0" w:color="auto"/>
              <w:right w:val="single" w:sz="4" w:space="0" w:color="auto"/>
            </w:tcBorders>
            <w:hideMark/>
          </w:tcPr>
          <w:p w14:paraId="750D33D4"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w:t>
            </w:r>
          </w:p>
        </w:tc>
      </w:tr>
      <w:tr w:rsidR="009A0A63" w:rsidRPr="00792B36" w14:paraId="64EC9F89" w14:textId="77777777" w:rsidTr="00A24459">
        <w:trPr>
          <w:trHeight w:val="264"/>
        </w:trPr>
        <w:tc>
          <w:tcPr>
            <w:tcW w:w="777" w:type="pct"/>
            <w:tcBorders>
              <w:top w:val="nil"/>
              <w:left w:val="single" w:sz="4" w:space="0" w:color="auto"/>
              <w:bottom w:val="single" w:sz="4" w:space="0" w:color="auto"/>
              <w:right w:val="single" w:sz="4" w:space="0" w:color="auto"/>
            </w:tcBorders>
            <w:hideMark/>
          </w:tcPr>
          <w:p w14:paraId="50CC06D6" w14:textId="77777777" w:rsidR="009A0A63" w:rsidRPr="00792B36" w:rsidRDefault="009A0A63" w:rsidP="00A24459">
            <w:pPr>
              <w:rPr>
                <w:rFonts w:eastAsia="Times New Roman"/>
                <w:color w:val="000000"/>
                <w:sz w:val="24"/>
                <w:szCs w:val="24"/>
              </w:rPr>
            </w:pPr>
            <w:r w:rsidRPr="00792B36">
              <w:rPr>
                <w:rFonts w:eastAsia="Times New Roman"/>
                <w:color w:val="000000"/>
                <w:sz w:val="24"/>
                <w:szCs w:val="24"/>
              </w:rPr>
              <w:t>Rayong</w:t>
            </w:r>
          </w:p>
        </w:tc>
        <w:tc>
          <w:tcPr>
            <w:tcW w:w="130" w:type="pct"/>
            <w:tcBorders>
              <w:top w:val="nil"/>
              <w:left w:val="nil"/>
              <w:bottom w:val="single" w:sz="4" w:space="0" w:color="auto"/>
              <w:right w:val="single" w:sz="4" w:space="0" w:color="auto"/>
            </w:tcBorders>
            <w:noWrap/>
            <w:hideMark/>
          </w:tcPr>
          <w:p w14:paraId="3E2F2472"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364</w:t>
            </w:r>
          </w:p>
        </w:tc>
        <w:tc>
          <w:tcPr>
            <w:tcW w:w="401" w:type="pct"/>
            <w:tcBorders>
              <w:top w:val="nil"/>
              <w:left w:val="nil"/>
              <w:bottom w:val="single" w:sz="4" w:space="0" w:color="auto"/>
              <w:right w:val="single" w:sz="4" w:space="0" w:color="auto"/>
            </w:tcBorders>
            <w:noWrap/>
            <w:hideMark/>
          </w:tcPr>
          <w:p w14:paraId="3196080D"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5,340.25</w:t>
            </w:r>
          </w:p>
        </w:tc>
        <w:tc>
          <w:tcPr>
            <w:tcW w:w="312" w:type="pct"/>
            <w:tcBorders>
              <w:top w:val="nil"/>
              <w:left w:val="nil"/>
              <w:bottom w:val="single" w:sz="4" w:space="0" w:color="auto"/>
              <w:right w:val="single" w:sz="4" w:space="0" w:color="auto"/>
            </w:tcBorders>
            <w:noWrap/>
            <w:hideMark/>
          </w:tcPr>
          <w:p w14:paraId="63BF9E02"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35.90</w:t>
            </w:r>
          </w:p>
        </w:tc>
        <w:tc>
          <w:tcPr>
            <w:tcW w:w="347" w:type="pct"/>
            <w:tcBorders>
              <w:top w:val="nil"/>
              <w:left w:val="nil"/>
              <w:bottom w:val="single" w:sz="4" w:space="0" w:color="auto"/>
              <w:right w:val="single" w:sz="4" w:space="0" w:color="auto"/>
            </w:tcBorders>
            <w:noWrap/>
            <w:hideMark/>
          </w:tcPr>
          <w:p w14:paraId="491D90E9"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704.46</w:t>
            </w:r>
          </w:p>
        </w:tc>
        <w:tc>
          <w:tcPr>
            <w:tcW w:w="312" w:type="pct"/>
            <w:tcBorders>
              <w:top w:val="nil"/>
              <w:left w:val="nil"/>
              <w:bottom w:val="single" w:sz="4" w:space="0" w:color="auto"/>
              <w:right w:val="single" w:sz="4" w:space="0" w:color="auto"/>
            </w:tcBorders>
            <w:noWrap/>
            <w:hideMark/>
          </w:tcPr>
          <w:p w14:paraId="0E4D20DA"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25.30</w:t>
            </w:r>
          </w:p>
        </w:tc>
        <w:tc>
          <w:tcPr>
            <w:tcW w:w="312" w:type="pct"/>
            <w:tcBorders>
              <w:top w:val="nil"/>
              <w:left w:val="nil"/>
              <w:bottom w:val="single" w:sz="4" w:space="0" w:color="auto"/>
              <w:right w:val="single" w:sz="4" w:space="0" w:color="auto"/>
            </w:tcBorders>
            <w:noWrap/>
            <w:hideMark/>
          </w:tcPr>
          <w:p w14:paraId="3FF1F561"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28.14</w:t>
            </w:r>
          </w:p>
        </w:tc>
        <w:tc>
          <w:tcPr>
            <w:tcW w:w="312" w:type="pct"/>
            <w:tcBorders>
              <w:top w:val="nil"/>
              <w:left w:val="nil"/>
              <w:bottom w:val="single" w:sz="4" w:space="0" w:color="auto"/>
              <w:right w:val="single" w:sz="4" w:space="0" w:color="auto"/>
            </w:tcBorders>
            <w:noWrap/>
            <w:hideMark/>
          </w:tcPr>
          <w:p w14:paraId="405F6E31"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3.99</w:t>
            </w:r>
          </w:p>
        </w:tc>
        <w:tc>
          <w:tcPr>
            <w:tcW w:w="365" w:type="pct"/>
            <w:tcBorders>
              <w:top w:val="nil"/>
              <w:left w:val="nil"/>
              <w:bottom w:val="single" w:sz="4" w:space="0" w:color="auto"/>
              <w:right w:val="single" w:sz="4" w:space="0" w:color="auto"/>
            </w:tcBorders>
            <w:noWrap/>
            <w:hideMark/>
          </w:tcPr>
          <w:p w14:paraId="2813337B"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676.31</w:t>
            </w:r>
          </w:p>
        </w:tc>
        <w:tc>
          <w:tcPr>
            <w:tcW w:w="277" w:type="pct"/>
            <w:tcBorders>
              <w:top w:val="nil"/>
              <w:left w:val="nil"/>
              <w:bottom w:val="single" w:sz="4" w:space="0" w:color="auto"/>
              <w:right w:val="single" w:sz="4" w:space="0" w:color="auto"/>
            </w:tcBorders>
            <w:noWrap/>
            <w:hideMark/>
          </w:tcPr>
          <w:p w14:paraId="03AABBD2"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96.01</w:t>
            </w:r>
          </w:p>
        </w:tc>
        <w:tc>
          <w:tcPr>
            <w:tcW w:w="501" w:type="pct"/>
            <w:gridSpan w:val="2"/>
            <w:tcBorders>
              <w:top w:val="nil"/>
              <w:left w:val="nil"/>
              <w:bottom w:val="single" w:sz="4" w:space="0" w:color="auto"/>
              <w:right w:val="single" w:sz="4" w:space="0" w:color="auto"/>
            </w:tcBorders>
            <w:noWrap/>
            <w:hideMark/>
          </w:tcPr>
          <w:p w14:paraId="47F41B5D"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1,736</w:t>
            </w:r>
          </w:p>
        </w:tc>
        <w:tc>
          <w:tcPr>
            <w:tcW w:w="278" w:type="pct"/>
            <w:tcBorders>
              <w:top w:val="nil"/>
              <w:left w:val="nil"/>
              <w:bottom w:val="single" w:sz="4" w:space="0" w:color="auto"/>
              <w:right w:val="single" w:sz="4" w:space="0" w:color="auto"/>
            </w:tcBorders>
            <w:noWrap/>
            <w:hideMark/>
          </w:tcPr>
          <w:p w14:paraId="7ACAA1D6"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10.35</w:t>
            </w:r>
          </w:p>
        </w:tc>
        <w:tc>
          <w:tcPr>
            <w:tcW w:w="365" w:type="pct"/>
            <w:tcBorders>
              <w:top w:val="nil"/>
              <w:left w:val="nil"/>
              <w:bottom w:val="single" w:sz="4" w:space="0" w:color="auto"/>
              <w:right w:val="single" w:sz="4" w:space="0" w:color="auto"/>
            </w:tcBorders>
            <w:noWrap/>
            <w:hideMark/>
          </w:tcPr>
          <w:p w14:paraId="4AAF93E4"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227.60</w:t>
            </w:r>
          </w:p>
        </w:tc>
        <w:tc>
          <w:tcPr>
            <w:tcW w:w="312" w:type="pct"/>
            <w:gridSpan w:val="2"/>
            <w:tcBorders>
              <w:top w:val="nil"/>
              <w:left w:val="nil"/>
              <w:bottom w:val="single" w:sz="4" w:space="0" w:color="auto"/>
              <w:right w:val="single" w:sz="4" w:space="0" w:color="auto"/>
            </w:tcBorders>
            <w:noWrap/>
            <w:hideMark/>
          </w:tcPr>
          <w:p w14:paraId="4CC96320"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9.58</w:t>
            </w:r>
          </w:p>
        </w:tc>
      </w:tr>
      <w:tr w:rsidR="009A0A63" w:rsidRPr="00792B36" w14:paraId="247E4C91" w14:textId="77777777" w:rsidTr="00A24459">
        <w:trPr>
          <w:trHeight w:val="264"/>
        </w:trPr>
        <w:tc>
          <w:tcPr>
            <w:tcW w:w="777" w:type="pct"/>
            <w:tcBorders>
              <w:top w:val="nil"/>
              <w:left w:val="single" w:sz="4" w:space="0" w:color="auto"/>
              <w:bottom w:val="single" w:sz="4" w:space="0" w:color="auto"/>
              <w:right w:val="single" w:sz="4" w:space="0" w:color="auto"/>
            </w:tcBorders>
            <w:hideMark/>
          </w:tcPr>
          <w:p w14:paraId="64B12D99" w14:textId="77777777" w:rsidR="009A0A63" w:rsidRPr="00792B36" w:rsidRDefault="009A0A63" w:rsidP="00A24459">
            <w:pPr>
              <w:rPr>
                <w:rFonts w:eastAsia="Times New Roman"/>
                <w:color w:val="000000"/>
                <w:sz w:val="24"/>
                <w:szCs w:val="24"/>
              </w:rPr>
            </w:pPr>
            <w:r w:rsidRPr="00792B36">
              <w:rPr>
                <w:rFonts w:eastAsia="Times New Roman"/>
                <w:color w:val="000000"/>
                <w:sz w:val="24"/>
                <w:szCs w:val="24"/>
              </w:rPr>
              <w:t>Chonburi</w:t>
            </w:r>
          </w:p>
        </w:tc>
        <w:tc>
          <w:tcPr>
            <w:tcW w:w="130" w:type="pct"/>
            <w:tcBorders>
              <w:top w:val="nil"/>
              <w:left w:val="nil"/>
              <w:bottom w:val="single" w:sz="4" w:space="0" w:color="auto"/>
              <w:right w:val="single" w:sz="4" w:space="0" w:color="auto"/>
            </w:tcBorders>
            <w:noWrap/>
            <w:hideMark/>
          </w:tcPr>
          <w:p w14:paraId="7C2F36D2"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565</w:t>
            </w:r>
          </w:p>
        </w:tc>
        <w:tc>
          <w:tcPr>
            <w:tcW w:w="401" w:type="pct"/>
            <w:tcBorders>
              <w:top w:val="nil"/>
              <w:left w:val="nil"/>
              <w:bottom w:val="single" w:sz="4" w:space="0" w:color="auto"/>
              <w:right w:val="single" w:sz="4" w:space="0" w:color="auto"/>
            </w:tcBorders>
            <w:noWrap/>
            <w:hideMark/>
          </w:tcPr>
          <w:p w14:paraId="3A571A3D"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4,321.09</w:t>
            </w:r>
          </w:p>
        </w:tc>
        <w:tc>
          <w:tcPr>
            <w:tcW w:w="312" w:type="pct"/>
            <w:tcBorders>
              <w:top w:val="nil"/>
              <w:left w:val="nil"/>
              <w:bottom w:val="single" w:sz="4" w:space="0" w:color="auto"/>
              <w:right w:val="single" w:sz="4" w:space="0" w:color="auto"/>
            </w:tcBorders>
            <w:noWrap/>
            <w:hideMark/>
          </w:tcPr>
          <w:p w14:paraId="3A966B0E"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29.05</w:t>
            </w:r>
          </w:p>
        </w:tc>
        <w:tc>
          <w:tcPr>
            <w:tcW w:w="347" w:type="pct"/>
            <w:tcBorders>
              <w:top w:val="nil"/>
              <w:left w:val="nil"/>
              <w:bottom w:val="single" w:sz="4" w:space="0" w:color="auto"/>
              <w:right w:val="single" w:sz="4" w:space="0" w:color="auto"/>
            </w:tcBorders>
            <w:noWrap/>
            <w:hideMark/>
          </w:tcPr>
          <w:p w14:paraId="3795CA35"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1247.37</w:t>
            </w:r>
          </w:p>
        </w:tc>
        <w:tc>
          <w:tcPr>
            <w:tcW w:w="312" w:type="pct"/>
            <w:tcBorders>
              <w:top w:val="nil"/>
              <w:left w:val="nil"/>
              <w:bottom w:val="single" w:sz="4" w:space="0" w:color="auto"/>
              <w:right w:val="single" w:sz="4" w:space="0" w:color="auto"/>
            </w:tcBorders>
            <w:noWrap/>
            <w:hideMark/>
          </w:tcPr>
          <w:p w14:paraId="087B3018"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44.80</w:t>
            </w:r>
          </w:p>
        </w:tc>
        <w:tc>
          <w:tcPr>
            <w:tcW w:w="312" w:type="pct"/>
            <w:tcBorders>
              <w:top w:val="nil"/>
              <w:left w:val="nil"/>
              <w:bottom w:val="single" w:sz="4" w:space="0" w:color="auto"/>
              <w:right w:val="single" w:sz="4" w:space="0" w:color="auto"/>
            </w:tcBorders>
            <w:noWrap/>
            <w:hideMark/>
          </w:tcPr>
          <w:p w14:paraId="78F0BE37"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129.80</w:t>
            </w:r>
          </w:p>
        </w:tc>
        <w:tc>
          <w:tcPr>
            <w:tcW w:w="312" w:type="pct"/>
            <w:tcBorders>
              <w:top w:val="nil"/>
              <w:left w:val="nil"/>
              <w:bottom w:val="single" w:sz="4" w:space="0" w:color="auto"/>
              <w:right w:val="single" w:sz="4" w:space="0" w:color="auto"/>
            </w:tcBorders>
            <w:noWrap/>
            <w:hideMark/>
          </w:tcPr>
          <w:p w14:paraId="46BE3858"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10.41</w:t>
            </w:r>
          </w:p>
        </w:tc>
        <w:tc>
          <w:tcPr>
            <w:tcW w:w="365" w:type="pct"/>
            <w:tcBorders>
              <w:top w:val="nil"/>
              <w:left w:val="nil"/>
              <w:bottom w:val="single" w:sz="4" w:space="0" w:color="auto"/>
              <w:right w:val="single" w:sz="4" w:space="0" w:color="auto"/>
            </w:tcBorders>
            <w:noWrap/>
            <w:hideMark/>
          </w:tcPr>
          <w:p w14:paraId="0A846542"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1,117.57</w:t>
            </w:r>
          </w:p>
        </w:tc>
        <w:tc>
          <w:tcPr>
            <w:tcW w:w="277" w:type="pct"/>
            <w:tcBorders>
              <w:top w:val="nil"/>
              <w:left w:val="nil"/>
              <w:bottom w:val="single" w:sz="4" w:space="0" w:color="auto"/>
              <w:right w:val="single" w:sz="4" w:space="0" w:color="auto"/>
            </w:tcBorders>
            <w:noWrap/>
            <w:hideMark/>
          </w:tcPr>
          <w:p w14:paraId="142D4DED"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89.59</w:t>
            </w:r>
          </w:p>
        </w:tc>
        <w:tc>
          <w:tcPr>
            <w:tcW w:w="501" w:type="pct"/>
            <w:gridSpan w:val="2"/>
            <w:tcBorders>
              <w:top w:val="nil"/>
              <w:left w:val="nil"/>
              <w:bottom w:val="single" w:sz="4" w:space="0" w:color="auto"/>
              <w:right w:val="single" w:sz="4" w:space="0" w:color="auto"/>
            </w:tcBorders>
            <w:noWrap/>
            <w:hideMark/>
          </w:tcPr>
          <w:p w14:paraId="29133260"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842</w:t>
            </w:r>
          </w:p>
        </w:tc>
        <w:tc>
          <w:tcPr>
            <w:tcW w:w="278" w:type="pct"/>
            <w:tcBorders>
              <w:top w:val="nil"/>
              <w:left w:val="nil"/>
              <w:bottom w:val="single" w:sz="4" w:space="0" w:color="auto"/>
              <w:right w:val="single" w:sz="4" w:space="0" w:color="auto"/>
            </w:tcBorders>
            <w:noWrap/>
            <w:hideMark/>
          </w:tcPr>
          <w:p w14:paraId="608045F8"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5.02</w:t>
            </w:r>
          </w:p>
        </w:tc>
        <w:tc>
          <w:tcPr>
            <w:tcW w:w="365" w:type="pct"/>
            <w:tcBorders>
              <w:top w:val="nil"/>
              <w:left w:val="nil"/>
              <w:bottom w:val="single" w:sz="4" w:space="0" w:color="auto"/>
              <w:right w:val="single" w:sz="4" w:space="0" w:color="auto"/>
            </w:tcBorders>
            <w:noWrap/>
            <w:hideMark/>
          </w:tcPr>
          <w:p w14:paraId="340924AB"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997.66</w:t>
            </w:r>
          </w:p>
        </w:tc>
        <w:tc>
          <w:tcPr>
            <w:tcW w:w="312" w:type="pct"/>
            <w:gridSpan w:val="2"/>
            <w:tcBorders>
              <w:top w:val="nil"/>
              <w:left w:val="nil"/>
              <w:bottom w:val="single" w:sz="4" w:space="0" w:color="auto"/>
              <w:right w:val="single" w:sz="4" w:space="0" w:color="auto"/>
            </w:tcBorders>
            <w:noWrap/>
            <w:hideMark/>
          </w:tcPr>
          <w:p w14:paraId="5DD08B56"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42.01</w:t>
            </w:r>
          </w:p>
        </w:tc>
      </w:tr>
      <w:tr w:rsidR="009A0A63" w:rsidRPr="00792B36" w14:paraId="449EA2B6" w14:textId="77777777" w:rsidTr="00A24459">
        <w:trPr>
          <w:trHeight w:val="264"/>
        </w:trPr>
        <w:tc>
          <w:tcPr>
            <w:tcW w:w="777" w:type="pct"/>
            <w:tcBorders>
              <w:top w:val="nil"/>
              <w:left w:val="single" w:sz="4" w:space="0" w:color="auto"/>
              <w:bottom w:val="single" w:sz="4" w:space="0" w:color="auto"/>
              <w:right w:val="single" w:sz="4" w:space="0" w:color="auto"/>
            </w:tcBorders>
            <w:hideMark/>
          </w:tcPr>
          <w:p w14:paraId="1C4C26DA" w14:textId="77777777" w:rsidR="009A0A63" w:rsidRPr="00792B36" w:rsidRDefault="009A0A63" w:rsidP="00A24459">
            <w:pPr>
              <w:rPr>
                <w:rFonts w:eastAsia="Times New Roman"/>
                <w:color w:val="000000"/>
                <w:sz w:val="24"/>
                <w:szCs w:val="24"/>
              </w:rPr>
            </w:pPr>
            <w:r w:rsidRPr="00792B36">
              <w:rPr>
                <w:rFonts w:eastAsia="Times New Roman"/>
                <w:color w:val="000000"/>
                <w:sz w:val="24"/>
                <w:szCs w:val="24"/>
              </w:rPr>
              <w:t>Samut Prakan</w:t>
            </w:r>
          </w:p>
        </w:tc>
        <w:tc>
          <w:tcPr>
            <w:tcW w:w="130" w:type="pct"/>
            <w:tcBorders>
              <w:top w:val="nil"/>
              <w:left w:val="nil"/>
              <w:bottom w:val="single" w:sz="4" w:space="0" w:color="auto"/>
              <w:right w:val="single" w:sz="4" w:space="0" w:color="auto"/>
            </w:tcBorders>
            <w:noWrap/>
            <w:hideMark/>
          </w:tcPr>
          <w:p w14:paraId="307B3A4F"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227</w:t>
            </w:r>
          </w:p>
        </w:tc>
        <w:tc>
          <w:tcPr>
            <w:tcW w:w="401" w:type="pct"/>
            <w:tcBorders>
              <w:top w:val="nil"/>
              <w:left w:val="nil"/>
              <w:bottom w:val="single" w:sz="4" w:space="0" w:color="auto"/>
              <w:right w:val="single" w:sz="4" w:space="0" w:color="auto"/>
            </w:tcBorders>
            <w:noWrap/>
            <w:hideMark/>
          </w:tcPr>
          <w:p w14:paraId="0278BC9F"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3,380.86</w:t>
            </w:r>
          </w:p>
        </w:tc>
        <w:tc>
          <w:tcPr>
            <w:tcW w:w="312" w:type="pct"/>
            <w:tcBorders>
              <w:top w:val="nil"/>
              <w:left w:val="nil"/>
              <w:bottom w:val="single" w:sz="4" w:space="0" w:color="auto"/>
              <w:right w:val="single" w:sz="4" w:space="0" w:color="auto"/>
            </w:tcBorders>
            <w:noWrap/>
            <w:hideMark/>
          </w:tcPr>
          <w:p w14:paraId="6CE8E405"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22.73</w:t>
            </w:r>
          </w:p>
        </w:tc>
        <w:tc>
          <w:tcPr>
            <w:tcW w:w="347" w:type="pct"/>
            <w:tcBorders>
              <w:top w:val="nil"/>
              <w:left w:val="nil"/>
              <w:bottom w:val="single" w:sz="4" w:space="0" w:color="auto"/>
              <w:right w:val="single" w:sz="4" w:space="0" w:color="auto"/>
            </w:tcBorders>
            <w:noWrap/>
            <w:hideMark/>
          </w:tcPr>
          <w:p w14:paraId="3D807FDE"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292.97</w:t>
            </w:r>
          </w:p>
        </w:tc>
        <w:tc>
          <w:tcPr>
            <w:tcW w:w="312" w:type="pct"/>
            <w:tcBorders>
              <w:top w:val="nil"/>
              <w:left w:val="nil"/>
              <w:bottom w:val="single" w:sz="4" w:space="0" w:color="auto"/>
              <w:right w:val="single" w:sz="4" w:space="0" w:color="auto"/>
            </w:tcBorders>
            <w:noWrap/>
            <w:hideMark/>
          </w:tcPr>
          <w:p w14:paraId="05B62F35"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10.52</w:t>
            </w:r>
          </w:p>
        </w:tc>
        <w:tc>
          <w:tcPr>
            <w:tcW w:w="312" w:type="pct"/>
            <w:tcBorders>
              <w:top w:val="nil"/>
              <w:left w:val="nil"/>
              <w:bottom w:val="single" w:sz="4" w:space="0" w:color="auto"/>
              <w:right w:val="single" w:sz="4" w:space="0" w:color="auto"/>
            </w:tcBorders>
            <w:noWrap/>
            <w:hideMark/>
          </w:tcPr>
          <w:p w14:paraId="393DC9A3"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58.60</w:t>
            </w:r>
          </w:p>
        </w:tc>
        <w:tc>
          <w:tcPr>
            <w:tcW w:w="312" w:type="pct"/>
            <w:tcBorders>
              <w:top w:val="nil"/>
              <w:left w:val="nil"/>
              <w:bottom w:val="single" w:sz="4" w:space="0" w:color="auto"/>
              <w:right w:val="single" w:sz="4" w:space="0" w:color="auto"/>
            </w:tcBorders>
            <w:noWrap/>
            <w:hideMark/>
          </w:tcPr>
          <w:p w14:paraId="126D53B3"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20.00</w:t>
            </w:r>
          </w:p>
        </w:tc>
        <w:tc>
          <w:tcPr>
            <w:tcW w:w="365" w:type="pct"/>
            <w:tcBorders>
              <w:top w:val="nil"/>
              <w:left w:val="nil"/>
              <w:bottom w:val="single" w:sz="4" w:space="0" w:color="auto"/>
              <w:right w:val="single" w:sz="4" w:space="0" w:color="auto"/>
            </w:tcBorders>
            <w:noWrap/>
            <w:hideMark/>
          </w:tcPr>
          <w:p w14:paraId="0730B992"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234.37</w:t>
            </w:r>
          </w:p>
        </w:tc>
        <w:tc>
          <w:tcPr>
            <w:tcW w:w="277" w:type="pct"/>
            <w:tcBorders>
              <w:top w:val="nil"/>
              <w:left w:val="nil"/>
              <w:bottom w:val="single" w:sz="4" w:space="0" w:color="auto"/>
              <w:right w:val="single" w:sz="4" w:space="0" w:color="auto"/>
            </w:tcBorders>
            <w:noWrap/>
            <w:hideMark/>
          </w:tcPr>
          <w:p w14:paraId="734BCAB6"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80.00</w:t>
            </w:r>
          </w:p>
        </w:tc>
        <w:tc>
          <w:tcPr>
            <w:tcW w:w="501" w:type="pct"/>
            <w:gridSpan w:val="2"/>
            <w:tcBorders>
              <w:top w:val="nil"/>
              <w:left w:val="nil"/>
              <w:bottom w:val="single" w:sz="4" w:space="0" w:color="auto"/>
              <w:right w:val="single" w:sz="4" w:space="0" w:color="auto"/>
            </w:tcBorders>
            <w:noWrap/>
            <w:hideMark/>
          </w:tcPr>
          <w:p w14:paraId="3DAC9C8E"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4,595</w:t>
            </w:r>
          </w:p>
        </w:tc>
        <w:tc>
          <w:tcPr>
            <w:tcW w:w="278" w:type="pct"/>
            <w:tcBorders>
              <w:top w:val="nil"/>
              <w:left w:val="nil"/>
              <w:bottom w:val="single" w:sz="4" w:space="0" w:color="auto"/>
              <w:right w:val="single" w:sz="4" w:space="0" w:color="auto"/>
            </w:tcBorders>
            <w:noWrap/>
            <w:hideMark/>
          </w:tcPr>
          <w:p w14:paraId="21FED7C4"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27.40</w:t>
            </w:r>
          </w:p>
        </w:tc>
        <w:tc>
          <w:tcPr>
            <w:tcW w:w="365" w:type="pct"/>
            <w:tcBorders>
              <w:top w:val="nil"/>
              <w:left w:val="nil"/>
              <w:bottom w:val="single" w:sz="4" w:space="0" w:color="auto"/>
              <w:right w:val="single" w:sz="4" w:space="0" w:color="auto"/>
            </w:tcBorders>
            <w:noWrap/>
            <w:hideMark/>
          </w:tcPr>
          <w:p w14:paraId="48A84E6C"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448.60</w:t>
            </w:r>
          </w:p>
        </w:tc>
        <w:tc>
          <w:tcPr>
            <w:tcW w:w="312" w:type="pct"/>
            <w:gridSpan w:val="2"/>
            <w:tcBorders>
              <w:top w:val="nil"/>
              <w:left w:val="nil"/>
              <w:bottom w:val="single" w:sz="4" w:space="0" w:color="auto"/>
              <w:right w:val="single" w:sz="4" w:space="0" w:color="auto"/>
            </w:tcBorders>
            <w:noWrap/>
            <w:hideMark/>
          </w:tcPr>
          <w:p w14:paraId="7BD5655D"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18.89</w:t>
            </w:r>
          </w:p>
        </w:tc>
      </w:tr>
      <w:tr w:rsidR="009A0A63" w:rsidRPr="00792B36" w14:paraId="5EC45016" w14:textId="77777777" w:rsidTr="00A24459">
        <w:trPr>
          <w:trHeight w:val="264"/>
        </w:trPr>
        <w:tc>
          <w:tcPr>
            <w:tcW w:w="777" w:type="pct"/>
            <w:tcBorders>
              <w:top w:val="nil"/>
              <w:left w:val="single" w:sz="4" w:space="0" w:color="auto"/>
              <w:bottom w:val="single" w:sz="4" w:space="0" w:color="auto"/>
              <w:right w:val="single" w:sz="4" w:space="0" w:color="auto"/>
            </w:tcBorders>
            <w:hideMark/>
          </w:tcPr>
          <w:p w14:paraId="14D4F89C" w14:textId="77777777" w:rsidR="009A0A63" w:rsidRPr="00792B36" w:rsidRDefault="009A0A63" w:rsidP="00A24459">
            <w:pPr>
              <w:rPr>
                <w:rFonts w:eastAsia="Times New Roman"/>
                <w:color w:val="000000"/>
                <w:sz w:val="24"/>
                <w:szCs w:val="24"/>
              </w:rPr>
            </w:pPr>
            <w:r w:rsidRPr="00792B36">
              <w:rPr>
                <w:rFonts w:eastAsia="Times New Roman"/>
                <w:color w:val="000000"/>
                <w:sz w:val="24"/>
                <w:szCs w:val="24"/>
              </w:rPr>
              <w:t>Chachoengsao</w:t>
            </w:r>
          </w:p>
        </w:tc>
        <w:tc>
          <w:tcPr>
            <w:tcW w:w="130" w:type="pct"/>
            <w:tcBorders>
              <w:top w:val="nil"/>
              <w:left w:val="nil"/>
              <w:bottom w:val="single" w:sz="4" w:space="0" w:color="auto"/>
              <w:right w:val="single" w:sz="4" w:space="0" w:color="auto"/>
            </w:tcBorders>
            <w:noWrap/>
            <w:hideMark/>
          </w:tcPr>
          <w:p w14:paraId="49524001"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109</w:t>
            </w:r>
          </w:p>
        </w:tc>
        <w:tc>
          <w:tcPr>
            <w:tcW w:w="401" w:type="pct"/>
            <w:tcBorders>
              <w:top w:val="nil"/>
              <w:left w:val="nil"/>
              <w:bottom w:val="single" w:sz="4" w:space="0" w:color="auto"/>
              <w:right w:val="single" w:sz="4" w:space="0" w:color="auto"/>
            </w:tcBorders>
            <w:noWrap/>
            <w:hideMark/>
          </w:tcPr>
          <w:p w14:paraId="736E3D34"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1,035.27</w:t>
            </w:r>
          </w:p>
        </w:tc>
        <w:tc>
          <w:tcPr>
            <w:tcW w:w="312" w:type="pct"/>
            <w:tcBorders>
              <w:top w:val="nil"/>
              <w:left w:val="nil"/>
              <w:bottom w:val="single" w:sz="4" w:space="0" w:color="auto"/>
              <w:right w:val="single" w:sz="4" w:space="0" w:color="auto"/>
            </w:tcBorders>
            <w:noWrap/>
            <w:hideMark/>
          </w:tcPr>
          <w:p w14:paraId="672EE1BC"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6.96</w:t>
            </w:r>
          </w:p>
        </w:tc>
        <w:tc>
          <w:tcPr>
            <w:tcW w:w="347" w:type="pct"/>
            <w:tcBorders>
              <w:top w:val="nil"/>
              <w:left w:val="nil"/>
              <w:bottom w:val="single" w:sz="4" w:space="0" w:color="auto"/>
              <w:right w:val="single" w:sz="4" w:space="0" w:color="auto"/>
            </w:tcBorders>
            <w:noWrap/>
            <w:hideMark/>
          </w:tcPr>
          <w:p w14:paraId="0C96CE14"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349.06</w:t>
            </w:r>
          </w:p>
        </w:tc>
        <w:tc>
          <w:tcPr>
            <w:tcW w:w="312" w:type="pct"/>
            <w:tcBorders>
              <w:top w:val="nil"/>
              <w:left w:val="nil"/>
              <w:bottom w:val="single" w:sz="4" w:space="0" w:color="auto"/>
              <w:right w:val="single" w:sz="4" w:space="0" w:color="auto"/>
            </w:tcBorders>
            <w:noWrap/>
            <w:hideMark/>
          </w:tcPr>
          <w:p w14:paraId="106C9482"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12.54</w:t>
            </w:r>
          </w:p>
        </w:tc>
        <w:tc>
          <w:tcPr>
            <w:tcW w:w="312" w:type="pct"/>
            <w:tcBorders>
              <w:top w:val="nil"/>
              <w:left w:val="nil"/>
              <w:bottom w:val="single" w:sz="4" w:space="0" w:color="auto"/>
              <w:right w:val="single" w:sz="4" w:space="0" w:color="auto"/>
            </w:tcBorders>
            <w:noWrap/>
            <w:hideMark/>
          </w:tcPr>
          <w:p w14:paraId="3089FE64"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22.51</w:t>
            </w:r>
          </w:p>
        </w:tc>
        <w:tc>
          <w:tcPr>
            <w:tcW w:w="312" w:type="pct"/>
            <w:tcBorders>
              <w:top w:val="nil"/>
              <w:left w:val="nil"/>
              <w:bottom w:val="single" w:sz="4" w:space="0" w:color="auto"/>
              <w:right w:val="single" w:sz="4" w:space="0" w:color="auto"/>
            </w:tcBorders>
            <w:noWrap/>
            <w:hideMark/>
          </w:tcPr>
          <w:p w14:paraId="38F120E3"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6.45</w:t>
            </w:r>
          </w:p>
        </w:tc>
        <w:tc>
          <w:tcPr>
            <w:tcW w:w="365" w:type="pct"/>
            <w:tcBorders>
              <w:top w:val="nil"/>
              <w:left w:val="nil"/>
              <w:bottom w:val="single" w:sz="4" w:space="0" w:color="auto"/>
              <w:right w:val="single" w:sz="4" w:space="0" w:color="auto"/>
            </w:tcBorders>
            <w:noWrap/>
            <w:hideMark/>
          </w:tcPr>
          <w:p w14:paraId="15878726"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326.54</w:t>
            </w:r>
          </w:p>
        </w:tc>
        <w:tc>
          <w:tcPr>
            <w:tcW w:w="277" w:type="pct"/>
            <w:tcBorders>
              <w:top w:val="nil"/>
              <w:left w:val="nil"/>
              <w:bottom w:val="single" w:sz="4" w:space="0" w:color="auto"/>
              <w:right w:val="single" w:sz="4" w:space="0" w:color="auto"/>
            </w:tcBorders>
            <w:noWrap/>
            <w:hideMark/>
          </w:tcPr>
          <w:p w14:paraId="0B5878C0"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93.55</w:t>
            </w:r>
          </w:p>
        </w:tc>
        <w:tc>
          <w:tcPr>
            <w:tcW w:w="501" w:type="pct"/>
            <w:gridSpan w:val="2"/>
            <w:tcBorders>
              <w:top w:val="nil"/>
              <w:left w:val="nil"/>
              <w:bottom w:val="single" w:sz="4" w:space="0" w:color="auto"/>
              <w:right w:val="single" w:sz="4" w:space="0" w:color="auto"/>
            </w:tcBorders>
            <w:noWrap/>
            <w:hideMark/>
          </w:tcPr>
          <w:p w14:paraId="5C1D1D36"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711</w:t>
            </w:r>
          </w:p>
        </w:tc>
        <w:tc>
          <w:tcPr>
            <w:tcW w:w="278" w:type="pct"/>
            <w:tcBorders>
              <w:top w:val="nil"/>
              <w:left w:val="nil"/>
              <w:bottom w:val="single" w:sz="4" w:space="0" w:color="auto"/>
              <w:right w:val="single" w:sz="4" w:space="0" w:color="auto"/>
            </w:tcBorders>
            <w:noWrap/>
            <w:hideMark/>
          </w:tcPr>
          <w:p w14:paraId="63F69B0C"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4.24</w:t>
            </w:r>
          </w:p>
        </w:tc>
        <w:tc>
          <w:tcPr>
            <w:tcW w:w="365" w:type="pct"/>
            <w:tcBorders>
              <w:top w:val="nil"/>
              <w:left w:val="nil"/>
              <w:bottom w:val="single" w:sz="4" w:space="0" w:color="auto"/>
              <w:right w:val="single" w:sz="4" w:space="0" w:color="auto"/>
            </w:tcBorders>
            <w:noWrap/>
            <w:hideMark/>
          </w:tcPr>
          <w:p w14:paraId="06A713EC"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61.43</w:t>
            </w:r>
          </w:p>
        </w:tc>
        <w:tc>
          <w:tcPr>
            <w:tcW w:w="312" w:type="pct"/>
            <w:gridSpan w:val="2"/>
            <w:tcBorders>
              <w:top w:val="nil"/>
              <w:left w:val="nil"/>
              <w:bottom w:val="single" w:sz="4" w:space="0" w:color="auto"/>
              <w:right w:val="single" w:sz="4" w:space="0" w:color="auto"/>
            </w:tcBorders>
            <w:noWrap/>
            <w:hideMark/>
          </w:tcPr>
          <w:p w14:paraId="52B4022D"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2.59</w:t>
            </w:r>
          </w:p>
        </w:tc>
      </w:tr>
      <w:tr w:rsidR="009A0A63" w:rsidRPr="00792B36" w14:paraId="4E27DDE6" w14:textId="77777777" w:rsidTr="00A24459">
        <w:trPr>
          <w:trHeight w:val="264"/>
        </w:trPr>
        <w:tc>
          <w:tcPr>
            <w:tcW w:w="777" w:type="pct"/>
            <w:tcBorders>
              <w:top w:val="nil"/>
              <w:left w:val="single" w:sz="4" w:space="0" w:color="auto"/>
              <w:bottom w:val="single" w:sz="4" w:space="0" w:color="auto"/>
              <w:right w:val="single" w:sz="4" w:space="0" w:color="auto"/>
            </w:tcBorders>
            <w:hideMark/>
          </w:tcPr>
          <w:p w14:paraId="2C4150BB" w14:textId="77777777" w:rsidR="009A0A63" w:rsidRPr="00792B36" w:rsidRDefault="009A0A63" w:rsidP="00A24459">
            <w:pPr>
              <w:rPr>
                <w:rFonts w:eastAsia="Times New Roman"/>
                <w:color w:val="000000"/>
                <w:sz w:val="24"/>
                <w:szCs w:val="24"/>
              </w:rPr>
            </w:pPr>
            <w:r w:rsidRPr="00792B36">
              <w:rPr>
                <w:rFonts w:eastAsia="Times New Roman"/>
                <w:color w:val="000000"/>
                <w:sz w:val="24"/>
                <w:szCs w:val="24"/>
              </w:rPr>
              <w:t>Samut Sakhon</w:t>
            </w:r>
          </w:p>
        </w:tc>
        <w:tc>
          <w:tcPr>
            <w:tcW w:w="130" w:type="pct"/>
            <w:tcBorders>
              <w:top w:val="nil"/>
              <w:left w:val="nil"/>
              <w:bottom w:val="single" w:sz="4" w:space="0" w:color="auto"/>
              <w:right w:val="single" w:sz="4" w:space="0" w:color="auto"/>
            </w:tcBorders>
            <w:noWrap/>
            <w:hideMark/>
          </w:tcPr>
          <w:p w14:paraId="60C2EF9F"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125</w:t>
            </w:r>
          </w:p>
        </w:tc>
        <w:tc>
          <w:tcPr>
            <w:tcW w:w="401" w:type="pct"/>
            <w:tcBorders>
              <w:top w:val="nil"/>
              <w:left w:val="nil"/>
              <w:bottom w:val="single" w:sz="4" w:space="0" w:color="auto"/>
              <w:right w:val="single" w:sz="4" w:space="0" w:color="auto"/>
            </w:tcBorders>
            <w:noWrap/>
            <w:hideMark/>
          </w:tcPr>
          <w:p w14:paraId="316F90DD"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393.48</w:t>
            </w:r>
          </w:p>
        </w:tc>
        <w:tc>
          <w:tcPr>
            <w:tcW w:w="312" w:type="pct"/>
            <w:tcBorders>
              <w:top w:val="nil"/>
              <w:left w:val="nil"/>
              <w:bottom w:val="single" w:sz="4" w:space="0" w:color="auto"/>
              <w:right w:val="single" w:sz="4" w:space="0" w:color="auto"/>
            </w:tcBorders>
            <w:noWrap/>
            <w:hideMark/>
          </w:tcPr>
          <w:p w14:paraId="2015298E"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2.65</w:t>
            </w:r>
          </w:p>
        </w:tc>
        <w:tc>
          <w:tcPr>
            <w:tcW w:w="347" w:type="pct"/>
            <w:tcBorders>
              <w:top w:val="nil"/>
              <w:left w:val="nil"/>
              <w:bottom w:val="single" w:sz="4" w:space="0" w:color="auto"/>
              <w:right w:val="single" w:sz="4" w:space="0" w:color="auto"/>
            </w:tcBorders>
            <w:noWrap/>
            <w:hideMark/>
          </w:tcPr>
          <w:p w14:paraId="66E7FA0F"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71.06</w:t>
            </w:r>
          </w:p>
        </w:tc>
        <w:tc>
          <w:tcPr>
            <w:tcW w:w="312" w:type="pct"/>
            <w:tcBorders>
              <w:top w:val="nil"/>
              <w:left w:val="nil"/>
              <w:bottom w:val="single" w:sz="4" w:space="0" w:color="auto"/>
              <w:right w:val="single" w:sz="4" w:space="0" w:color="auto"/>
            </w:tcBorders>
            <w:noWrap/>
            <w:hideMark/>
          </w:tcPr>
          <w:p w14:paraId="6C710A9B"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2.55</w:t>
            </w:r>
          </w:p>
        </w:tc>
        <w:tc>
          <w:tcPr>
            <w:tcW w:w="312" w:type="pct"/>
            <w:tcBorders>
              <w:top w:val="nil"/>
              <w:left w:val="nil"/>
              <w:bottom w:val="single" w:sz="4" w:space="0" w:color="auto"/>
              <w:right w:val="single" w:sz="4" w:space="0" w:color="auto"/>
            </w:tcBorders>
            <w:noWrap/>
            <w:hideMark/>
          </w:tcPr>
          <w:p w14:paraId="47B0D17F"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41.34</w:t>
            </w:r>
          </w:p>
        </w:tc>
        <w:tc>
          <w:tcPr>
            <w:tcW w:w="312" w:type="pct"/>
            <w:tcBorders>
              <w:top w:val="nil"/>
              <w:left w:val="nil"/>
              <w:bottom w:val="single" w:sz="4" w:space="0" w:color="auto"/>
              <w:right w:val="single" w:sz="4" w:space="0" w:color="auto"/>
            </w:tcBorders>
            <w:noWrap/>
            <w:hideMark/>
          </w:tcPr>
          <w:p w14:paraId="6561D245"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58.18</w:t>
            </w:r>
          </w:p>
        </w:tc>
        <w:tc>
          <w:tcPr>
            <w:tcW w:w="365" w:type="pct"/>
            <w:tcBorders>
              <w:top w:val="nil"/>
              <w:left w:val="nil"/>
              <w:bottom w:val="single" w:sz="4" w:space="0" w:color="auto"/>
              <w:right w:val="single" w:sz="4" w:space="0" w:color="auto"/>
            </w:tcBorders>
            <w:noWrap/>
            <w:hideMark/>
          </w:tcPr>
          <w:p w14:paraId="74CC98CD"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29.71</w:t>
            </w:r>
          </w:p>
        </w:tc>
        <w:tc>
          <w:tcPr>
            <w:tcW w:w="277" w:type="pct"/>
            <w:tcBorders>
              <w:top w:val="nil"/>
              <w:left w:val="nil"/>
              <w:bottom w:val="single" w:sz="4" w:space="0" w:color="auto"/>
              <w:right w:val="single" w:sz="4" w:space="0" w:color="auto"/>
            </w:tcBorders>
            <w:noWrap/>
            <w:hideMark/>
          </w:tcPr>
          <w:p w14:paraId="680ED45A"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41.82</w:t>
            </w:r>
          </w:p>
        </w:tc>
        <w:tc>
          <w:tcPr>
            <w:tcW w:w="501" w:type="pct"/>
            <w:gridSpan w:val="2"/>
            <w:tcBorders>
              <w:top w:val="nil"/>
              <w:left w:val="nil"/>
              <w:bottom w:val="single" w:sz="4" w:space="0" w:color="auto"/>
              <w:right w:val="single" w:sz="4" w:space="0" w:color="auto"/>
            </w:tcBorders>
            <w:noWrap/>
            <w:hideMark/>
          </w:tcPr>
          <w:p w14:paraId="1BF55F7B"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1,652</w:t>
            </w:r>
          </w:p>
        </w:tc>
        <w:tc>
          <w:tcPr>
            <w:tcW w:w="278" w:type="pct"/>
            <w:tcBorders>
              <w:top w:val="nil"/>
              <w:left w:val="nil"/>
              <w:bottom w:val="single" w:sz="4" w:space="0" w:color="auto"/>
              <w:right w:val="single" w:sz="4" w:space="0" w:color="auto"/>
            </w:tcBorders>
            <w:noWrap/>
            <w:hideMark/>
          </w:tcPr>
          <w:p w14:paraId="2F5CC2E8"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9.85</w:t>
            </w:r>
          </w:p>
        </w:tc>
        <w:tc>
          <w:tcPr>
            <w:tcW w:w="365" w:type="pct"/>
            <w:tcBorders>
              <w:top w:val="nil"/>
              <w:left w:val="nil"/>
              <w:bottom w:val="single" w:sz="4" w:space="0" w:color="auto"/>
              <w:right w:val="single" w:sz="4" w:space="0" w:color="auto"/>
            </w:tcBorders>
            <w:noWrap/>
            <w:hideMark/>
          </w:tcPr>
          <w:p w14:paraId="14AE143A"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192.06</w:t>
            </w:r>
          </w:p>
        </w:tc>
        <w:tc>
          <w:tcPr>
            <w:tcW w:w="312" w:type="pct"/>
            <w:gridSpan w:val="2"/>
            <w:tcBorders>
              <w:top w:val="nil"/>
              <w:left w:val="nil"/>
              <w:bottom w:val="single" w:sz="4" w:space="0" w:color="auto"/>
              <w:right w:val="single" w:sz="4" w:space="0" w:color="auto"/>
            </w:tcBorders>
            <w:noWrap/>
            <w:hideMark/>
          </w:tcPr>
          <w:p w14:paraId="754AB5A8"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8.09</w:t>
            </w:r>
          </w:p>
        </w:tc>
      </w:tr>
      <w:tr w:rsidR="009A0A63" w:rsidRPr="00792B36" w14:paraId="75D76B8E" w14:textId="77777777" w:rsidTr="00A24459">
        <w:trPr>
          <w:trHeight w:val="264"/>
        </w:trPr>
        <w:tc>
          <w:tcPr>
            <w:tcW w:w="777" w:type="pct"/>
            <w:tcBorders>
              <w:top w:val="nil"/>
              <w:left w:val="single" w:sz="4" w:space="0" w:color="auto"/>
              <w:bottom w:val="single" w:sz="4" w:space="0" w:color="auto"/>
              <w:right w:val="single" w:sz="4" w:space="0" w:color="auto"/>
            </w:tcBorders>
            <w:hideMark/>
          </w:tcPr>
          <w:p w14:paraId="6A78A1BC" w14:textId="77777777" w:rsidR="009A0A63" w:rsidRPr="00792B36" w:rsidRDefault="009A0A63" w:rsidP="00A24459">
            <w:pPr>
              <w:rPr>
                <w:rFonts w:eastAsia="Times New Roman"/>
                <w:color w:val="000000"/>
                <w:sz w:val="24"/>
                <w:szCs w:val="24"/>
              </w:rPr>
            </w:pPr>
            <w:r w:rsidRPr="00792B36">
              <w:rPr>
                <w:rFonts w:eastAsia="Times New Roman"/>
                <w:color w:val="000000"/>
                <w:sz w:val="24"/>
                <w:szCs w:val="24"/>
              </w:rPr>
              <w:t>Phetchaburi</w:t>
            </w:r>
          </w:p>
        </w:tc>
        <w:tc>
          <w:tcPr>
            <w:tcW w:w="130" w:type="pct"/>
            <w:tcBorders>
              <w:top w:val="nil"/>
              <w:left w:val="nil"/>
              <w:bottom w:val="single" w:sz="4" w:space="0" w:color="auto"/>
              <w:right w:val="single" w:sz="4" w:space="0" w:color="auto"/>
            </w:tcBorders>
            <w:noWrap/>
            <w:hideMark/>
          </w:tcPr>
          <w:p w14:paraId="30E199B1"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21</w:t>
            </w:r>
          </w:p>
        </w:tc>
        <w:tc>
          <w:tcPr>
            <w:tcW w:w="401" w:type="pct"/>
            <w:tcBorders>
              <w:top w:val="nil"/>
              <w:left w:val="nil"/>
              <w:bottom w:val="single" w:sz="4" w:space="0" w:color="auto"/>
              <w:right w:val="single" w:sz="4" w:space="0" w:color="auto"/>
            </w:tcBorders>
            <w:noWrap/>
            <w:hideMark/>
          </w:tcPr>
          <w:p w14:paraId="59D1E075"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107.10</w:t>
            </w:r>
          </w:p>
        </w:tc>
        <w:tc>
          <w:tcPr>
            <w:tcW w:w="312" w:type="pct"/>
            <w:tcBorders>
              <w:top w:val="nil"/>
              <w:left w:val="nil"/>
              <w:bottom w:val="single" w:sz="4" w:space="0" w:color="auto"/>
              <w:right w:val="single" w:sz="4" w:space="0" w:color="auto"/>
            </w:tcBorders>
            <w:noWrap/>
            <w:hideMark/>
          </w:tcPr>
          <w:p w14:paraId="639CDB71"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0.72</w:t>
            </w:r>
          </w:p>
        </w:tc>
        <w:tc>
          <w:tcPr>
            <w:tcW w:w="347" w:type="pct"/>
            <w:tcBorders>
              <w:top w:val="nil"/>
              <w:left w:val="nil"/>
              <w:bottom w:val="single" w:sz="4" w:space="0" w:color="auto"/>
              <w:right w:val="single" w:sz="4" w:space="0" w:color="auto"/>
            </w:tcBorders>
            <w:noWrap/>
            <w:hideMark/>
          </w:tcPr>
          <w:p w14:paraId="139B7052"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33.40</w:t>
            </w:r>
          </w:p>
        </w:tc>
        <w:tc>
          <w:tcPr>
            <w:tcW w:w="312" w:type="pct"/>
            <w:tcBorders>
              <w:top w:val="nil"/>
              <w:left w:val="nil"/>
              <w:bottom w:val="single" w:sz="4" w:space="0" w:color="auto"/>
              <w:right w:val="single" w:sz="4" w:space="0" w:color="auto"/>
            </w:tcBorders>
            <w:noWrap/>
            <w:hideMark/>
          </w:tcPr>
          <w:p w14:paraId="4D30AD57"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1.20</w:t>
            </w:r>
          </w:p>
        </w:tc>
        <w:tc>
          <w:tcPr>
            <w:tcW w:w="312" w:type="pct"/>
            <w:tcBorders>
              <w:top w:val="nil"/>
              <w:left w:val="nil"/>
              <w:bottom w:val="single" w:sz="4" w:space="0" w:color="auto"/>
              <w:right w:val="single" w:sz="4" w:space="0" w:color="auto"/>
            </w:tcBorders>
            <w:noWrap/>
            <w:hideMark/>
          </w:tcPr>
          <w:p w14:paraId="5F76BB3E"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8.31</w:t>
            </w:r>
          </w:p>
        </w:tc>
        <w:tc>
          <w:tcPr>
            <w:tcW w:w="312" w:type="pct"/>
            <w:tcBorders>
              <w:top w:val="nil"/>
              <w:left w:val="nil"/>
              <w:bottom w:val="single" w:sz="4" w:space="0" w:color="auto"/>
              <w:right w:val="single" w:sz="4" w:space="0" w:color="auto"/>
            </w:tcBorders>
            <w:noWrap/>
            <w:hideMark/>
          </w:tcPr>
          <w:p w14:paraId="68FA3527"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24.89</w:t>
            </w:r>
          </w:p>
        </w:tc>
        <w:tc>
          <w:tcPr>
            <w:tcW w:w="365" w:type="pct"/>
            <w:tcBorders>
              <w:top w:val="nil"/>
              <w:left w:val="nil"/>
              <w:bottom w:val="single" w:sz="4" w:space="0" w:color="auto"/>
              <w:right w:val="single" w:sz="4" w:space="0" w:color="auto"/>
            </w:tcBorders>
            <w:noWrap/>
            <w:hideMark/>
          </w:tcPr>
          <w:p w14:paraId="61D60E21"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25.09</w:t>
            </w:r>
          </w:p>
        </w:tc>
        <w:tc>
          <w:tcPr>
            <w:tcW w:w="277" w:type="pct"/>
            <w:tcBorders>
              <w:top w:val="nil"/>
              <w:left w:val="nil"/>
              <w:bottom w:val="single" w:sz="4" w:space="0" w:color="auto"/>
              <w:right w:val="single" w:sz="4" w:space="0" w:color="auto"/>
            </w:tcBorders>
            <w:noWrap/>
            <w:hideMark/>
          </w:tcPr>
          <w:p w14:paraId="6BE8F695"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75.11</w:t>
            </w:r>
          </w:p>
        </w:tc>
        <w:tc>
          <w:tcPr>
            <w:tcW w:w="501" w:type="pct"/>
            <w:gridSpan w:val="2"/>
            <w:tcBorders>
              <w:top w:val="nil"/>
              <w:left w:val="nil"/>
              <w:bottom w:val="single" w:sz="4" w:space="0" w:color="auto"/>
              <w:right w:val="single" w:sz="4" w:space="0" w:color="auto"/>
            </w:tcBorders>
            <w:noWrap/>
            <w:hideMark/>
          </w:tcPr>
          <w:p w14:paraId="63488FDD"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324</w:t>
            </w:r>
          </w:p>
        </w:tc>
        <w:tc>
          <w:tcPr>
            <w:tcW w:w="278" w:type="pct"/>
            <w:tcBorders>
              <w:top w:val="nil"/>
              <w:left w:val="nil"/>
              <w:bottom w:val="single" w:sz="4" w:space="0" w:color="auto"/>
              <w:right w:val="single" w:sz="4" w:space="0" w:color="auto"/>
            </w:tcBorders>
            <w:noWrap/>
            <w:hideMark/>
          </w:tcPr>
          <w:p w14:paraId="71C3F41D"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1.93</w:t>
            </w:r>
          </w:p>
        </w:tc>
        <w:tc>
          <w:tcPr>
            <w:tcW w:w="365" w:type="pct"/>
            <w:tcBorders>
              <w:top w:val="nil"/>
              <w:left w:val="nil"/>
              <w:bottom w:val="single" w:sz="4" w:space="0" w:color="auto"/>
              <w:right w:val="single" w:sz="4" w:space="0" w:color="auto"/>
            </w:tcBorders>
            <w:noWrap/>
            <w:hideMark/>
          </w:tcPr>
          <w:p w14:paraId="0578ECC8"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16.46</w:t>
            </w:r>
          </w:p>
        </w:tc>
        <w:tc>
          <w:tcPr>
            <w:tcW w:w="312" w:type="pct"/>
            <w:gridSpan w:val="2"/>
            <w:tcBorders>
              <w:top w:val="nil"/>
              <w:left w:val="nil"/>
              <w:bottom w:val="single" w:sz="4" w:space="0" w:color="auto"/>
              <w:right w:val="single" w:sz="4" w:space="0" w:color="auto"/>
            </w:tcBorders>
            <w:noWrap/>
            <w:hideMark/>
          </w:tcPr>
          <w:p w14:paraId="0B206BE2"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0.69</w:t>
            </w:r>
          </w:p>
        </w:tc>
      </w:tr>
      <w:tr w:rsidR="009A0A63" w:rsidRPr="00792B36" w14:paraId="7716CF98" w14:textId="77777777" w:rsidTr="00A24459">
        <w:trPr>
          <w:trHeight w:val="264"/>
        </w:trPr>
        <w:tc>
          <w:tcPr>
            <w:tcW w:w="777" w:type="pct"/>
            <w:tcBorders>
              <w:top w:val="nil"/>
              <w:left w:val="single" w:sz="4" w:space="0" w:color="auto"/>
              <w:bottom w:val="single" w:sz="4" w:space="0" w:color="auto"/>
              <w:right w:val="single" w:sz="4" w:space="0" w:color="auto"/>
            </w:tcBorders>
            <w:hideMark/>
          </w:tcPr>
          <w:p w14:paraId="6446181A" w14:textId="77777777" w:rsidR="009A0A63" w:rsidRPr="00792B36" w:rsidRDefault="009A0A63" w:rsidP="00A24459">
            <w:pPr>
              <w:rPr>
                <w:rFonts w:eastAsia="Times New Roman"/>
                <w:color w:val="000000"/>
                <w:sz w:val="24"/>
                <w:szCs w:val="24"/>
              </w:rPr>
            </w:pPr>
            <w:r w:rsidRPr="00792B36">
              <w:rPr>
                <w:rFonts w:eastAsia="Times New Roman"/>
                <w:color w:val="000000"/>
                <w:sz w:val="24"/>
                <w:szCs w:val="24"/>
              </w:rPr>
              <w:t>Songkhla</w:t>
            </w:r>
          </w:p>
        </w:tc>
        <w:tc>
          <w:tcPr>
            <w:tcW w:w="130" w:type="pct"/>
            <w:tcBorders>
              <w:top w:val="nil"/>
              <w:left w:val="nil"/>
              <w:bottom w:val="single" w:sz="4" w:space="0" w:color="auto"/>
              <w:right w:val="single" w:sz="4" w:space="0" w:color="auto"/>
            </w:tcBorders>
            <w:noWrap/>
            <w:hideMark/>
          </w:tcPr>
          <w:p w14:paraId="70177E7A"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35</w:t>
            </w:r>
          </w:p>
        </w:tc>
        <w:tc>
          <w:tcPr>
            <w:tcW w:w="401" w:type="pct"/>
            <w:tcBorders>
              <w:top w:val="nil"/>
              <w:left w:val="nil"/>
              <w:bottom w:val="single" w:sz="4" w:space="0" w:color="auto"/>
              <w:right w:val="single" w:sz="4" w:space="0" w:color="auto"/>
            </w:tcBorders>
            <w:noWrap/>
            <w:hideMark/>
          </w:tcPr>
          <w:p w14:paraId="505BF0C7"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107.07</w:t>
            </w:r>
          </w:p>
        </w:tc>
        <w:tc>
          <w:tcPr>
            <w:tcW w:w="312" w:type="pct"/>
            <w:tcBorders>
              <w:top w:val="nil"/>
              <w:left w:val="nil"/>
              <w:bottom w:val="single" w:sz="4" w:space="0" w:color="auto"/>
              <w:right w:val="single" w:sz="4" w:space="0" w:color="auto"/>
            </w:tcBorders>
            <w:noWrap/>
            <w:hideMark/>
          </w:tcPr>
          <w:p w14:paraId="7230CFB1"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0.72</w:t>
            </w:r>
          </w:p>
        </w:tc>
        <w:tc>
          <w:tcPr>
            <w:tcW w:w="347" w:type="pct"/>
            <w:tcBorders>
              <w:top w:val="nil"/>
              <w:left w:val="nil"/>
              <w:bottom w:val="single" w:sz="4" w:space="0" w:color="auto"/>
              <w:right w:val="single" w:sz="4" w:space="0" w:color="auto"/>
            </w:tcBorders>
            <w:noWrap/>
            <w:hideMark/>
          </w:tcPr>
          <w:p w14:paraId="559CAB7E"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56.29</w:t>
            </w:r>
          </w:p>
        </w:tc>
        <w:tc>
          <w:tcPr>
            <w:tcW w:w="312" w:type="pct"/>
            <w:tcBorders>
              <w:top w:val="nil"/>
              <w:left w:val="nil"/>
              <w:bottom w:val="single" w:sz="4" w:space="0" w:color="auto"/>
              <w:right w:val="single" w:sz="4" w:space="0" w:color="auto"/>
            </w:tcBorders>
            <w:noWrap/>
            <w:hideMark/>
          </w:tcPr>
          <w:p w14:paraId="766BD3B7"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2.02</w:t>
            </w:r>
          </w:p>
        </w:tc>
        <w:tc>
          <w:tcPr>
            <w:tcW w:w="312" w:type="pct"/>
            <w:tcBorders>
              <w:top w:val="nil"/>
              <w:left w:val="nil"/>
              <w:bottom w:val="single" w:sz="4" w:space="0" w:color="auto"/>
              <w:right w:val="single" w:sz="4" w:space="0" w:color="auto"/>
            </w:tcBorders>
            <w:noWrap/>
            <w:hideMark/>
          </w:tcPr>
          <w:p w14:paraId="21A6169B"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39.49</w:t>
            </w:r>
          </w:p>
        </w:tc>
        <w:tc>
          <w:tcPr>
            <w:tcW w:w="312" w:type="pct"/>
            <w:tcBorders>
              <w:top w:val="nil"/>
              <w:left w:val="nil"/>
              <w:bottom w:val="single" w:sz="4" w:space="0" w:color="auto"/>
              <w:right w:val="single" w:sz="4" w:space="0" w:color="auto"/>
            </w:tcBorders>
            <w:noWrap/>
            <w:hideMark/>
          </w:tcPr>
          <w:p w14:paraId="7BBE0D33"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70.15</w:t>
            </w:r>
          </w:p>
        </w:tc>
        <w:tc>
          <w:tcPr>
            <w:tcW w:w="365" w:type="pct"/>
            <w:tcBorders>
              <w:top w:val="nil"/>
              <w:left w:val="nil"/>
              <w:bottom w:val="single" w:sz="4" w:space="0" w:color="auto"/>
              <w:right w:val="single" w:sz="4" w:space="0" w:color="auto"/>
            </w:tcBorders>
            <w:noWrap/>
            <w:hideMark/>
          </w:tcPr>
          <w:p w14:paraId="450D5603"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16.80</w:t>
            </w:r>
          </w:p>
        </w:tc>
        <w:tc>
          <w:tcPr>
            <w:tcW w:w="277" w:type="pct"/>
            <w:tcBorders>
              <w:top w:val="nil"/>
              <w:left w:val="nil"/>
              <w:bottom w:val="single" w:sz="4" w:space="0" w:color="auto"/>
              <w:right w:val="single" w:sz="4" w:space="0" w:color="auto"/>
            </w:tcBorders>
            <w:noWrap/>
            <w:hideMark/>
          </w:tcPr>
          <w:p w14:paraId="2BA98DED"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29.85</w:t>
            </w:r>
          </w:p>
        </w:tc>
        <w:tc>
          <w:tcPr>
            <w:tcW w:w="501" w:type="pct"/>
            <w:gridSpan w:val="2"/>
            <w:tcBorders>
              <w:top w:val="nil"/>
              <w:left w:val="nil"/>
              <w:bottom w:val="single" w:sz="4" w:space="0" w:color="auto"/>
              <w:right w:val="single" w:sz="4" w:space="0" w:color="auto"/>
            </w:tcBorders>
            <w:noWrap/>
            <w:hideMark/>
          </w:tcPr>
          <w:p w14:paraId="22B698F6"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1,150</w:t>
            </w:r>
          </w:p>
        </w:tc>
        <w:tc>
          <w:tcPr>
            <w:tcW w:w="278" w:type="pct"/>
            <w:tcBorders>
              <w:top w:val="nil"/>
              <w:left w:val="nil"/>
              <w:bottom w:val="single" w:sz="4" w:space="0" w:color="auto"/>
              <w:right w:val="single" w:sz="4" w:space="0" w:color="auto"/>
            </w:tcBorders>
            <w:noWrap/>
            <w:hideMark/>
          </w:tcPr>
          <w:p w14:paraId="5216E35E"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6.86</w:t>
            </w:r>
          </w:p>
        </w:tc>
        <w:tc>
          <w:tcPr>
            <w:tcW w:w="365" w:type="pct"/>
            <w:tcBorders>
              <w:top w:val="nil"/>
              <w:left w:val="nil"/>
              <w:bottom w:val="single" w:sz="4" w:space="0" w:color="auto"/>
              <w:right w:val="single" w:sz="4" w:space="0" w:color="auto"/>
            </w:tcBorders>
            <w:noWrap/>
            <w:hideMark/>
          </w:tcPr>
          <w:p w14:paraId="531D6A5C"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63.31</w:t>
            </w:r>
          </w:p>
        </w:tc>
        <w:tc>
          <w:tcPr>
            <w:tcW w:w="312" w:type="pct"/>
            <w:gridSpan w:val="2"/>
            <w:tcBorders>
              <w:top w:val="nil"/>
              <w:left w:val="nil"/>
              <w:bottom w:val="single" w:sz="4" w:space="0" w:color="auto"/>
              <w:right w:val="single" w:sz="4" w:space="0" w:color="auto"/>
            </w:tcBorders>
            <w:noWrap/>
            <w:hideMark/>
          </w:tcPr>
          <w:p w14:paraId="2A8623C4"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2.67</w:t>
            </w:r>
          </w:p>
        </w:tc>
      </w:tr>
      <w:tr w:rsidR="009A0A63" w:rsidRPr="00792B36" w14:paraId="2DF0C7D7" w14:textId="77777777" w:rsidTr="00A24459">
        <w:trPr>
          <w:trHeight w:val="264"/>
        </w:trPr>
        <w:tc>
          <w:tcPr>
            <w:tcW w:w="777" w:type="pct"/>
            <w:tcBorders>
              <w:top w:val="nil"/>
              <w:left w:val="single" w:sz="4" w:space="0" w:color="auto"/>
              <w:bottom w:val="single" w:sz="4" w:space="0" w:color="auto"/>
              <w:right w:val="single" w:sz="4" w:space="0" w:color="auto"/>
            </w:tcBorders>
            <w:hideMark/>
          </w:tcPr>
          <w:p w14:paraId="4126FFAB" w14:textId="77777777" w:rsidR="009A0A63" w:rsidRPr="00792B36" w:rsidRDefault="009A0A63" w:rsidP="00A24459">
            <w:pPr>
              <w:rPr>
                <w:rFonts w:eastAsia="Times New Roman"/>
                <w:color w:val="000000"/>
                <w:sz w:val="24"/>
                <w:szCs w:val="24"/>
              </w:rPr>
            </w:pPr>
            <w:r w:rsidRPr="00792B36">
              <w:rPr>
                <w:rFonts w:eastAsia="Times New Roman"/>
                <w:color w:val="000000"/>
                <w:sz w:val="24"/>
                <w:szCs w:val="24"/>
              </w:rPr>
              <w:t>Nakhon Si Thammarat</w:t>
            </w:r>
          </w:p>
        </w:tc>
        <w:tc>
          <w:tcPr>
            <w:tcW w:w="130" w:type="pct"/>
            <w:tcBorders>
              <w:top w:val="nil"/>
              <w:left w:val="nil"/>
              <w:bottom w:val="single" w:sz="4" w:space="0" w:color="auto"/>
              <w:right w:val="single" w:sz="4" w:space="0" w:color="auto"/>
            </w:tcBorders>
            <w:noWrap/>
            <w:hideMark/>
          </w:tcPr>
          <w:p w14:paraId="102B09EE"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9</w:t>
            </w:r>
          </w:p>
        </w:tc>
        <w:tc>
          <w:tcPr>
            <w:tcW w:w="401" w:type="pct"/>
            <w:tcBorders>
              <w:top w:val="nil"/>
              <w:left w:val="nil"/>
              <w:bottom w:val="single" w:sz="4" w:space="0" w:color="auto"/>
              <w:right w:val="single" w:sz="4" w:space="0" w:color="auto"/>
            </w:tcBorders>
            <w:noWrap/>
            <w:hideMark/>
          </w:tcPr>
          <w:p w14:paraId="5E28BBE3"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59.28</w:t>
            </w:r>
          </w:p>
        </w:tc>
        <w:tc>
          <w:tcPr>
            <w:tcW w:w="312" w:type="pct"/>
            <w:tcBorders>
              <w:top w:val="nil"/>
              <w:left w:val="nil"/>
              <w:bottom w:val="single" w:sz="4" w:space="0" w:color="auto"/>
              <w:right w:val="single" w:sz="4" w:space="0" w:color="auto"/>
            </w:tcBorders>
            <w:noWrap/>
            <w:hideMark/>
          </w:tcPr>
          <w:p w14:paraId="5BBCD7CB"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0.40</w:t>
            </w:r>
          </w:p>
        </w:tc>
        <w:tc>
          <w:tcPr>
            <w:tcW w:w="347" w:type="pct"/>
            <w:tcBorders>
              <w:top w:val="nil"/>
              <w:left w:val="nil"/>
              <w:bottom w:val="single" w:sz="4" w:space="0" w:color="auto"/>
              <w:right w:val="single" w:sz="4" w:space="0" w:color="auto"/>
            </w:tcBorders>
            <w:noWrap/>
            <w:hideMark/>
          </w:tcPr>
          <w:p w14:paraId="76AF68E6"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0.17</w:t>
            </w:r>
          </w:p>
        </w:tc>
        <w:tc>
          <w:tcPr>
            <w:tcW w:w="312" w:type="pct"/>
            <w:tcBorders>
              <w:top w:val="nil"/>
              <w:left w:val="nil"/>
              <w:bottom w:val="single" w:sz="4" w:space="0" w:color="auto"/>
              <w:right w:val="single" w:sz="4" w:space="0" w:color="auto"/>
            </w:tcBorders>
            <w:noWrap/>
            <w:hideMark/>
          </w:tcPr>
          <w:p w14:paraId="42583DCF"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0.01</w:t>
            </w:r>
          </w:p>
        </w:tc>
        <w:tc>
          <w:tcPr>
            <w:tcW w:w="312" w:type="pct"/>
            <w:tcBorders>
              <w:top w:val="nil"/>
              <w:left w:val="nil"/>
              <w:bottom w:val="single" w:sz="4" w:space="0" w:color="auto"/>
              <w:right w:val="single" w:sz="4" w:space="0" w:color="auto"/>
            </w:tcBorders>
            <w:noWrap/>
            <w:hideMark/>
          </w:tcPr>
          <w:p w14:paraId="4E480A96"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0.17</w:t>
            </w:r>
          </w:p>
        </w:tc>
        <w:tc>
          <w:tcPr>
            <w:tcW w:w="312" w:type="pct"/>
            <w:tcBorders>
              <w:top w:val="nil"/>
              <w:left w:val="nil"/>
              <w:bottom w:val="single" w:sz="4" w:space="0" w:color="auto"/>
              <w:right w:val="single" w:sz="4" w:space="0" w:color="auto"/>
            </w:tcBorders>
            <w:noWrap/>
            <w:hideMark/>
          </w:tcPr>
          <w:p w14:paraId="3CCAF4E8"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100.00</w:t>
            </w:r>
          </w:p>
        </w:tc>
        <w:tc>
          <w:tcPr>
            <w:tcW w:w="365" w:type="pct"/>
            <w:tcBorders>
              <w:top w:val="nil"/>
              <w:left w:val="nil"/>
              <w:bottom w:val="single" w:sz="4" w:space="0" w:color="auto"/>
              <w:right w:val="single" w:sz="4" w:space="0" w:color="auto"/>
            </w:tcBorders>
            <w:noWrap/>
            <w:hideMark/>
          </w:tcPr>
          <w:p w14:paraId="51224F02"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w:t>
            </w:r>
          </w:p>
        </w:tc>
        <w:tc>
          <w:tcPr>
            <w:tcW w:w="277" w:type="pct"/>
            <w:tcBorders>
              <w:top w:val="nil"/>
              <w:left w:val="nil"/>
              <w:bottom w:val="single" w:sz="4" w:space="0" w:color="auto"/>
              <w:right w:val="single" w:sz="4" w:space="0" w:color="auto"/>
            </w:tcBorders>
            <w:noWrap/>
            <w:hideMark/>
          </w:tcPr>
          <w:p w14:paraId="2C3DDAB1"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w:t>
            </w:r>
          </w:p>
        </w:tc>
        <w:tc>
          <w:tcPr>
            <w:tcW w:w="501" w:type="pct"/>
            <w:gridSpan w:val="2"/>
            <w:tcBorders>
              <w:top w:val="nil"/>
              <w:left w:val="nil"/>
              <w:bottom w:val="single" w:sz="4" w:space="0" w:color="auto"/>
              <w:right w:val="single" w:sz="4" w:space="0" w:color="auto"/>
            </w:tcBorders>
            <w:noWrap/>
            <w:hideMark/>
          </w:tcPr>
          <w:p w14:paraId="5BFB7F68"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580</w:t>
            </w:r>
          </w:p>
        </w:tc>
        <w:tc>
          <w:tcPr>
            <w:tcW w:w="278" w:type="pct"/>
            <w:tcBorders>
              <w:top w:val="nil"/>
              <w:left w:val="nil"/>
              <w:bottom w:val="single" w:sz="4" w:space="0" w:color="auto"/>
              <w:right w:val="single" w:sz="4" w:space="0" w:color="auto"/>
            </w:tcBorders>
            <w:noWrap/>
            <w:hideMark/>
          </w:tcPr>
          <w:p w14:paraId="5A53A115"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3.46</w:t>
            </w:r>
          </w:p>
        </w:tc>
        <w:tc>
          <w:tcPr>
            <w:tcW w:w="365" w:type="pct"/>
            <w:tcBorders>
              <w:top w:val="nil"/>
              <w:left w:val="nil"/>
              <w:bottom w:val="single" w:sz="4" w:space="0" w:color="auto"/>
              <w:right w:val="single" w:sz="4" w:space="0" w:color="auto"/>
            </w:tcBorders>
            <w:noWrap/>
            <w:hideMark/>
          </w:tcPr>
          <w:p w14:paraId="55577679"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23.83</w:t>
            </w:r>
          </w:p>
        </w:tc>
        <w:tc>
          <w:tcPr>
            <w:tcW w:w="312" w:type="pct"/>
            <w:gridSpan w:val="2"/>
            <w:tcBorders>
              <w:top w:val="nil"/>
              <w:left w:val="nil"/>
              <w:bottom w:val="single" w:sz="4" w:space="0" w:color="auto"/>
              <w:right w:val="single" w:sz="4" w:space="0" w:color="auto"/>
            </w:tcBorders>
            <w:noWrap/>
            <w:hideMark/>
          </w:tcPr>
          <w:p w14:paraId="1768E39D"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1.00</w:t>
            </w:r>
          </w:p>
        </w:tc>
      </w:tr>
      <w:tr w:rsidR="009A0A63" w:rsidRPr="00792B36" w14:paraId="737BAE85" w14:textId="77777777" w:rsidTr="00A24459">
        <w:trPr>
          <w:trHeight w:val="264"/>
        </w:trPr>
        <w:tc>
          <w:tcPr>
            <w:tcW w:w="777" w:type="pct"/>
            <w:tcBorders>
              <w:top w:val="nil"/>
              <w:left w:val="single" w:sz="4" w:space="0" w:color="auto"/>
              <w:bottom w:val="single" w:sz="4" w:space="0" w:color="auto"/>
              <w:right w:val="single" w:sz="4" w:space="0" w:color="auto"/>
            </w:tcBorders>
            <w:hideMark/>
          </w:tcPr>
          <w:p w14:paraId="092F59BA" w14:textId="77777777" w:rsidR="009A0A63" w:rsidRPr="00792B36" w:rsidRDefault="009A0A63" w:rsidP="00A24459">
            <w:pPr>
              <w:rPr>
                <w:rFonts w:eastAsia="Times New Roman"/>
                <w:color w:val="000000"/>
                <w:sz w:val="24"/>
                <w:szCs w:val="24"/>
              </w:rPr>
            </w:pPr>
            <w:r w:rsidRPr="00792B36">
              <w:rPr>
                <w:rFonts w:eastAsia="Times New Roman"/>
                <w:color w:val="000000"/>
                <w:sz w:val="24"/>
                <w:szCs w:val="24"/>
              </w:rPr>
              <w:t>Chumphon</w:t>
            </w:r>
          </w:p>
        </w:tc>
        <w:tc>
          <w:tcPr>
            <w:tcW w:w="130" w:type="pct"/>
            <w:tcBorders>
              <w:top w:val="nil"/>
              <w:left w:val="nil"/>
              <w:bottom w:val="single" w:sz="4" w:space="0" w:color="auto"/>
              <w:right w:val="single" w:sz="4" w:space="0" w:color="auto"/>
            </w:tcBorders>
            <w:noWrap/>
            <w:hideMark/>
          </w:tcPr>
          <w:p w14:paraId="7891E725"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7</w:t>
            </w:r>
          </w:p>
        </w:tc>
        <w:tc>
          <w:tcPr>
            <w:tcW w:w="401" w:type="pct"/>
            <w:tcBorders>
              <w:top w:val="nil"/>
              <w:left w:val="nil"/>
              <w:bottom w:val="single" w:sz="4" w:space="0" w:color="auto"/>
              <w:right w:val="single" w:sz="4" w:space="0" w:color="auto"/>
            </w:tcBorders>
            <w:noWrap/>
            <w:hideMark/>
          </w:tcPr>
          <w:p w14:paraId="105D6796"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46.48</w:t>
            </w:r>
          </w:p>
        </w:tc>
        <w:tc>
          <w:tcPr>
            <w:tcW w:w="312" w:type="pct"/>
            <w:tcBorders>
              <w:top w:val="nil"/>
              <w:left w:val="nil"/>
              <w:bottom w:val="single" w:sz="4" w:space="0" w:color="auto"/>
              <w:right w:val="single" w:sz="4" w:space="0" w:color="auto"/>
            </w:tcBorders>
            <w:noWrap/>
            <w:hideMark/>
          </w:tcPr>
          <w:p w14:paraId="6A5BA39B"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0.31</w:t>
            </w:r>
          </w:p>
        </w:tc>
        <w:tc>
          <w:tcPr>
            <w:tcW w:w="347" w:type="pct"/>
            <w:tcBorders>
              <w:top w:val="nil"/>
              <w:left w:val="nil"/>
              <w:bottom w:val="single" w:sz="4" w:space="0" w:color="auto"/>
              <w:right w:val="single" w:sz="4" w:space="0" w:color="auto"/>
            </w:tcBorders>
            <w:noWrap/>
            <w:hideMark/>
          </w:tcPr>
          <w:p w14:paraId="58A06166"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13.46</w:t>
            </w:r>
          </w:p>
        </w:tc>
        <w:tc>
          <w:tcPr>
            <w:tcW w:w="312" w:type="pct"/>
            <w:tcBorders>
              <w:top w:val="nil"/>
              <w:left w:val="nil"/>
              <w:bottom w:val="single" w:sz="4" w:space="0" w:color="auto"/>
              <w:right w:val="single" w:sz="4" w:space="0" w:color="auto"/>
            </w:tcBorders>
            <w:noWrap/>
            <w:hideMark/>
          </w:tcPr>
          <w:p w14:paraId="1BC57C12"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0.48</w:t>
            </w:r>
          </w:p>
        </w:tc>
        <w:tc>
          <w:tcPr>
            <w:tcW w:w="312" w:type="pct"/>
            <w:tcBorders>
              <w:top w:val="nil"/>
              <w:left w:val="nil"/>
              <w:bottom w:val="single" w:sz="4" w:space="0" w:color="auto"/>
              <w:right w:val="single" w:sz="4" w:space="0" w:color="auto"/>
            </w:tcBorders>
            <w:noWrap/>
            <w:hideMark/>
          </w:tcPr>
          <w:p w14:paraId="0235753E"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13.46</w:t>
            </w:r>
          </w:p>
        </w:tc>
        <w:tc>
          <w:tcPr>
            <w:tcW w:w="312" w:type="pct"/>
            <w:tcBorders>
              <w:top w:val="nil"/>
              <w:left w:val="nil"/>
              <w:bottom w:val="single" w:sz="4" w:space="0" w:color="auto"/>
              <w:right w:val="single" w:sz="4" w:space="0" w:color="auto"/>
            </w:tcBorders>
            <w:noWrap/>
            <w:hideMark/>
          </w:tcPr>
          <w:p w14:paraId="57DF6F90"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100.00</w:t>
            </w:r>
          </w:p>
        </w:tc>
        <w:tc>
          <w:tcPr>
            <w:tcW w:w="365" w:type="pct"/>
            <w:tcBorders>
              <w:top w:val="nil"/>
              <w:left w:val="nil"/>
              <w:bottom w:val="single" w:sz="4" w:space="0" w:color="auto"/>
              <w:right w:val="single" w:sz="4" w:space="0" w:color="auto"/>
            </w:tcBorders>
            <w:noWrap/>
            <w:hideMark/>
          </w:tcPr>
          <w:p w14:paraId="31C7CF51"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w:t>
            </w:r>
          </w:p>
        </w:tc>
        <w:tc>
          <w:tcPr>
            <w:tcW w:w="277" w:type="pct"/>
            <w:tcBorders>
              <w:top w:val="nil"/>
              <w:left w:val="nil"/>
              <w:bottom w:val="single" w:sz="4" w:space="0" w:color="auto"/>
              <w:right w:val="single" w:sz="4" w:space="0" w:color="auto"/>
            </w:tcBorders>
            <w:noWrap/>
            <w:hideMark/>
          </w:tcPr>
          <w:p w14:paraId="59692566"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w:t>
            </w:r>
          </w:p>
        </w:tc>
        <w:tc>
          <w:tcPr>
            <w:tcW w:w="501" w:type="pct"/>
            <w:gridSpan w:val="2"/>
            <w:tcBorders>
              <w:top w:val="nil"/>
              <w:left w:val="nil"/>
              <w:bottom w:val="single" w:sz="4" w:space="0" w:color="auto"/>
              <w:right w:val="single" w:sz="4" w:space="0" w:color="auto"/>
            </w:tcBorders>
            <w:noWrap/>
            <w:hideMark/>
          </w:tcPr>
          <w:p w14:paraId="31CCA521"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237</w:t>
            </w:r>
          </w:p>
        </w:tc>
        <w:tc>
          <w:tcPr>
            <w:tcW w:w="278" w:type="pct"/>
            <w:tcBorders>
              <w:top w:val="nil"/>
              <w:left w:val="nil"/>
              <w:bottom w:val="single" w:sz="4" w:space="0" w:color="auto"/>
              <w:right w:val="single" w:sz="4" w:space="0" w:color="auto"/>
            </w:tcBorders>
            <w:noWrap/>
            <w:hideMark/>
          </w:tcPr>
          <w:p w14:paraId="12E7AC1F"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1.41</w:t>
            </w:r>
          </w:p>
        </w:tc>
        <w:tc>
          <w:tcPr>
            <w:tcW w:w="365" w:type="pct"/>
            <w:tcBorders>
              <w:top w:val="nil"/>
              <w:left w:val="nil"/>
              <w:bottom w:val="single" w:sz="4" w:space="0" w:color="auto"/>
              <w:right w:val="single" w:sz="4" w:space="0" w:color="auto"/>
            </w:tcBorders>
            <w:noWrap/>
            <w:hideMark/>
          </w:tcPr>
          <w:p w14:paraId="5CC2DF87"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16.94</w:t>
            </w:r>
          </w:p>
        </w:tc>
        <w:tc>
          <w:tcPr>
            <w:tcW w:w="312" w:type="pct"/>
            <w:gridSpan w:val="2"/>
            <w:tcBorders>
              <w:top w:val="nil"/>
              <w:left w:val="nil"/>
              <w:bottom w:val="single" w:sz="4" w:space="0" w:color="auto"/>
              <w:right w:val="single" w:sz="4" w:space="0" w:color="auto"/>
            </w:tcBorders>
            <w:noWrap/>
            <w:hideMark/>
          </w:tcPr>
          <w:p w14:paraId="3B0615B6"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0.71</w:t>
            </w:r>
          </w:p>
        </w:tc>
      </w:tr>
      <w:tr w:rsidR="009A0A63" w:rsidRPr="00792B36" w14:paraId="330CEF29" w14:textId="77777777" w:rsidTr="00A24459">
        <w:trPr>
          <w:trHeight w:val="264"/>
        </w:trPr>
        <w:tc>
          <w:tcPr>
            <w:tcW w:w="777" w:type="pct"/>
            <w:tcBorders>
              <w:top w:val="nil"/>
              <w:left w:val="single" w:sz="4" w:space="0" w:color="auto"/>
              <w:bottom w:val="single" w:sz="4" w:space="0" w:color="auto"/>
              <w:right w:val="single" w:sz="4" w:space="0" w:color="auto"/>
            </w:tcBorders>
            <w:hideMark/>
          </w:tcPr>
          <w:p w14:paraId="6AE3287D" w14:textId="77777777" w:rsidR="009A0A63" w:rsidRPr="00792B36" w:rsidRDefault="009A0A63" w:rsidP="00A24459">
            <w:pPr>
              <w:rPr>
                <w:rFonts w:eastAsia="Times New Roman"/>
                <w:color w:val="000000"/>
                <w:sz w:val="24"/>
                <w:szCs w:val="24"/>
              </w:rPr>
            </w:pPr>
            <w:r w:rsidRPr="00792B36">
              <w:rPr>
                <w:rFonts w:eastAsia="Times New Roman"/>
                <w:color w:val="000000"/>
                <w:sz w:val="24"/>
                <w:szCs w:val="24"/>
              </w:rPr>
              <w:t>Surat Thani</w:t>
            </w:r>
          </w:p>
        </w:tc>
        <w:tc>
          <w:tcPr>
            <w:tcW w:w="130" w:type="pct"/>
            <w:tcBorders>
              <w:top w:val="nil"/>
              <w:left w:val="nil"/>
              <w:bottom w:val="single" w:sz="4" w:space="0" w:color="auto"/>
              <w:right w:val="single" w:sz="4" w:space="0" w:color="auto"/>
            </w:tcBorders>
            <w:noWrap/>
            <w:hideMark/>
          </w:tcPr>
          <w:p w14:paraId="27952D23"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24</w:t>
            </w:r>
          </w:p>
        </w:tc>
        <w:tc>
          <w:tcPr>
            <w:tcW w:w="401" w:type="pct"/>
            <w:tcBorders>
              <w:top w:val="nil"/>
              <w:left w:val="nil"/>
              <w:bottom w:val="single" w:sz="4" w:space="0" w:color="auto"/>
              <w:right w:val="single" w:sz="4" w:space="0" w:color="auto"/>
            </w:tcBorders>
            <w:noWrap/>
            <w:hideMark/>
          </w:tcPr>
          <w:p w14:paraId="20F15695"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36.27</w:t>
            </w:r>
          </w:p>
        </w:tc>
        <w:tc>
          <w:tcPr>
            <w:tcW w:w="312" w:type="pct"/>
            <w:tcBorders>
              <w:top w:val="nil"/>
              <w:left w:val="nil"/>
              <w:bottom w:val="single" w:sz="4" w:space="0" w:color="auto"/>
              <w:right w:val="single" w:sz="4" w:space="0" w:color="auto"/>
            </w:tcBorders>
            <w:noWrap/>
            <w:hideMark/>
          </w:tcPr>
          <w:p w14:paraId="659354D0"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0.24</w:t>
            </w:r>
          </w:p>
        </w:tc>
        <w:tc>
          <w:tcPr>
            <w:tcW w:w="347" w:type="pct"/>
            <w:tcBorders>
              <w:top w:val="nil"/>
              <w:left w:val="nil"/>
              <w:bottom w:val="single" w:sz="4" w:space="0" w:color="auto"/>
              <w:right w:val="single" w:sz="4" w:space="0" w:color="auto"/>
            </w:tcBorders>
            <w:noWrap/>
            <w:hideMark/>
          </w:tcPr>
          <w:p w14:paraId="6029A2BA"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4.09</w:t>
            </w:r>
          </w:p>
        </w:tc>
        <w:tc>
          <w:tcPr>
            <w:tcW w:w="312" w:type="pct"/>
            <w:tcBorders>
              <w:top w:val="nil"/>
              <w:left w:val="nil"/>
              <w:bottom w:val="single" w:sz="4" w:space="0" w:color="auto"/>
              <w:right w:val="single" w:sz="4" w:space="0" w:color="auto"/>
            </w:tcBorders>
            <w:noWrap/>
            <w:hideMark/>
          </w:tcPr>
          <w:p w14:paraId="38549A61"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0.15</w:t>
            </w:r>
          </w:p>
        </w:tc>
        <w:tc>
          <w:tcPr>
            <w:tcW w:w="312" w:type="pct"/>
            <w:tcBorders>
              <w:top w:val="nil"/>
              <w:left w:val="nil"/>
              <w:bottom w:val="single" w:sz="4" w:space="0" w:color="auto"/>
              <w:right w:val="single" w:sz="4" w:space="0" w:color="auto"/>
            </w:tcBorders>
            <w:noWrap/>
            <w:hideMark/>
          </w:tcPr>
          <w:p w14:paraId="20B348CB"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4.03</w:t>
            </w:r>
          </w:p>
        </w:tc>
        <w:tc>
          <w:tcPr>
            <w:tcW w:w="312" w:type="pct"/>
            <w:tcBorders>
              <w:top w:val="nil"/>
              <w:left w:val="nil"/>
              <w:bottom w:val="single" w:sz="4" w:space="0" w:color="auto"/>
              <w:right w:val="single" w:sz="4" w:space="0" w:color="auto"/>
            </w:tcBorders>
            <w:noWrap/>
            <w:hideMark/>
          </w:tcPr>
          <w:p w14:paraId="18FC4726"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98.60</w:t>
            </w:r>
          </w:p>
        </w:tc>
        <w:tc>
          <w:tcPr>
            <w:tcW w:w="365" w:type="pct"/>
            <w:tcBorders>
              <w:top w:val="nil"/>
              <w:left w:val="nil"/>
              <w:bottom w:val="single" w:sz="4" w:space="0" w:color="auto"/>
              <w:right w:val="single" w:sz="4" w:space="0" w:color="auto"/>
            </w:tcBorders>
            <w:noWrap/>
            <w:hideMark/>
          </w:tcPr>
          <w:p w14:paraId="21424783"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0.06</w:t>
            </w:r>
          </w:p>
        </w:tc>
        <w:tc>
          <w:tcPr>
            <w:tcW w:w="277" w:type="pct"/>
            <w:tcBorders>
              <w:top w:val="nil"/>
              <w:left w:val="nil"/>
              <w:bottom w:val="single" w:sz="4" w:space="0" w:color="auto"/>
              <w:right w:val="single" w:sz="4" w:space="0" w:color="auto"/>
            </w:tcBorders>
            <w:noWrap/>
            <w:hideMark/>
          </w:tcPr>
          <w:p w14:paraId="06BE23BE"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1.40</w:t>
            </w:r>
          </w:p>
        </w:tc>
        <w:tc>
          <w:tcPr>
            <w:tcW w:w="501" w:type="pct"/>
            <w:gridSpan w:val="2"/>
            <w:tcBorders>
              <w:top w:val="nil"/>
              <w:left w:val="nil"/>
              <w:bottom w:val="single" w:sz="4" w:space="0" w:color="auto"/>
              <w:right w:val="single" w:sz="4" w:space="0" w:color="auto"/>
            </w:tcBorders>
            <w:noWrap/>
            <w:hideMark/>
          </w:tcPr>
          <w:p w14:paraId="476DD783"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3,468</w:t>
            </w:r>
          </w:p>
        </w:tc>
        <w:tc>
          <w:tcPr>
            <w:tcW w:w="278" w:type="pct"/>
            <w:tcBorders>
              <w:top w:val="nil"/>
              <w:left w:val="nil"/>
              <w:bottom w:val="single" w:sz="4" w:space="0" w:color="auto"/>
              <w:right w:val="single" w:sz="4" w:space="0" w:color="auto"/>
            </w:tcBorders>
            <w:noWrap/>
            <w:hideMark/>
          </w:tcPr>
          <w:p w14:paraId="5BF18BDD"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20.68</w:t>
            </w:r>
          </w:p>
        </w:tc>
        <w:tc>
          <w:tcPr>
            <w:tcW w:w="365" w:type="pct"/>
            <w:tcBorders>
              <w:top w:val="nil"/>
              <w:left w:val="nil"/>
              <w:bottom w:val="single" w:sz="4" w:space="0" w:color="auto"/>
              <w:right w:val="single" w:sz="4" w:space="0" w:color="auto"/>
            </w:tcBorders>
            <w:noWrap/>
            <w:hideMark/>
          </w:tcPr>
          <w:p w14:paraId="5C8F7DDE"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244.83</w:t>
            </w:r>
          </w:p>
        </w:tc>
        <w:tc>
          <w:tcPr>
            <w:tcW w:w="312" w:type="pct"/>
            <w:gridSpan w:val="2"/>
            <w:tcBorders>
              <w:top w:val="nil"/>
              <w:left w:val="nil"/>
              <w:bottom w:val="single" w:sz="4" w:space="0" w:color="auto"/>
              <w:right w:val="single" w:sz="4" w:space="0" w:color="auto"/>
            </w:tcBorders>
            <w:noWrap/>
            <w:hideMark/>
          </w:tcPr>
          <w:p w14:paraId="07DC8CA9"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10.31</w:t>
            </w:r>
          </w:p>
        </w:tc>
      </w:tr>
      <w:tr w:rsidR="009A0A63" w:rsidRPr="00792B36" w14:paraId="2FEC344A" w14:textId="77777777" w:rsidTr="00A24459">
        <w:trPr>
          <w:trHeight w:val="264"/>
        </w:trPr>
        <w:tc>
          <w:tcPr>
            <w:tcW w:w="777" w:type="pct"/>
            <w:tcBorders>
              <w:top w:val="nil"/>
              <w:left w:val="single" w:sz="4" w:space="0" w:color="auto"/>
              <w:bottom w:val="single" w:sz="4" w:space="0" w:color="auto"/>
              <w:right w:val="single" w:sz="4" w:space="0" w:color="auto"/>
            </w:tcBorders>
            <w:hideMark/>
          </w:tcPr>
          <w:p w14:paraId="123FC17A" w14:textId="77777777" w:rsidR="009A0A63" w:rsidRPr="00792B36" w:rsidRDefault="009A0A63" w:rsidP="00A24459">
            <w:pPr>
              <w:rPr>
                <w:rFonts w:eastAsia="Times New Roman"/>
                <w:color w:val="000000"/>
                <w:sz w:val="24"/>
                <w:szCs w:val="24"/>
              </w:rPr>
            </w:pPr>
            <w:r w:rsidRPr="00792B36">
              <w:rPr>
                <w:rFonts w:eastAsia="Times New Roman"/>
                <w:color w:val="000000"/>
                <w:sz w:val="24"/>
                <w:szCs w:val="24"/>
              </w:rPr>
              <w:t>Prachuap Khiri Khan</w:t>
            </w:r>
          </w:p>
        </w:tc>
        <w:tc>
          <w:tcPr>
            <w:tcW w:w="130" w:type="pct"/>
            <w:tcBorders>
              <w:top w:val="nil"/>
              <w:left w:val="nil"/>
              <w:bottom w:val="single" w:sz="4" w:space="0" w:color="auto"/>
              <w:right w:val="single" w:sz="4" w:space="0" w:color="auto"/>
            </w:tcBorders>
            <w:noWrap/>
            <w:hideMark/>
          </w:tcPr>
          <w:p w14:paraId="32EE2709"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7</w:t>
            </w:r>
          </w:p>
        </w:tc>
        <w:tc>
          <w:tcPr>
            <w:tcW w:w="401" w:type="pct"/>
            <w:tcBorders>
              <w:top w:val="nil"/>
              <w:left w:val="nil"/>
              <w:bottom w:val="single" w:sz="4" w:space="0" w:color="auto"/>
              <w:right w:val="single" w:sz="4" w:space="0" w:color="auto"/>
            </w:tcBorders>
            <w:noWrap/>
            <w:hideMark/>
          </w:tcPr>
          <w:p w14:paraId="755C4335"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23.91</w:t>
            </w:r>
          </w:p>
        </w:tc>
        <w:tc>
          <w:tcPr>
            <w:tcW w:w="312" w:type="pct"/>
            <w:tcBorders>
              <w:top w:val="nil"/>
              <w:left w:val="nil"/>
              <w:bottom w:val="single" w:sz="4" w:space="0" w:color="auto"/>
              <w:right w:val="single" w:sz="4" w:space="0" w:color="auto"/>
            </w:tcBorders>
            <w:noWrap/>
            <w:hideMark/>
          </w:tcPr>
          <w:p w14:paraId="6F8B3845"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0.16</w:t>
            </w:r>
          </w:p>
        </w:tc>
        <w:tc>
          <w:tcPr>
            <w:tcW w:w="347" w:type="pct"/>
            <w:tcBorders>
              <w:top w:val="nil"/>
              <w:left w:val="nil"/>
              <w:bottom w:val="single" w:sz="4" w:space="0" w:color="auto"/>
              <w:right w:val="single" w:sz="4" w:space="0" w:color="auto"/>
            </w:tcBorders>
            <w:noWrap/>
            <w:hideMark/>
          </w:tcPr>
          <w:p w14:paraId="4AFA9E2F"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0.00</w:t>
            </w:r>
          </w:p>
        </w:tc>
        <w:tc>
          <w:tcPr>
            <w:tcW w:w="312" w:type="pct"/>
            <w:tcBorders>
              <w:top w:val="nil"/>
              <w:left w:val="nil"/>
              <w:bottom w:val="single" w:sz="4" w:space="0" w:color="auto"/>
              <w:right w:val="single" w:sz="4" w:space="0" w:color="auto"/>
            </w:tcBorders>
            <w:noWrap/>
            <w:hideMark/>
          </w:tcPr>
          <w:p w14:paraId="0B93594E"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0.00</w:t>
            </w:r>
          </w:p>
        </w:tc>
        <w:tc>
          <w:tcPr>
            <w:tcW w:w="312" w:type="pct"/>
            <w:tcBorders>
              <w:top w:val="nil"/>
              <w:left w:val="nil"/>
              <w:bottom w:val="single" w:sz="4" w:space="0" w:color="auto"/>
              <w:right w:val="single" w:sz="4" w:space="0" w:color="auto"/>
            </w:tcBorders>
            <w:noWrap/>
            <w:hideMark/>
          </w:tcPr>
          <w:p w14:paraId="2ED5ABDA"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w:t>
            </w:r>
          </w:p>
        </w:tc>
        <w:tc>
          <w:tcPr>
            <w:tcW w:w="312" w:type="pct"/>
            <w:tcBorders>
              <w:top w:val="nil"/>
              <w:left w:val="nil"/>
              <w:bottom w:val="single" w:sz="4" w:space="0" w:color="auto"/>
              <w:right w:val="single" w:sz="4" w:space="0" w:color="auto"/>
            </w:tcBorders>
            <w:noWrap/>
            <w:hideMark/>
          </w:tcPr>
          <w:p w14:paraId="562E8B9B"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w:t>
            </w:r>
          </w:p>
        </w:tc>
        <w:tc>
          <w:tcPr>
            <w:tcW w:w="365" w:type="pct"/>
            <w:tcBorders>
              <w:top w:val="nil"/>
              <w:left w:val="nil"/>
              <w:bottom w:val="single" w:sz="4" w:space="0" w:color="auto"/>
              <w:right w:val="single" w:sz="4" w:space="0" w:color="auto"/>
            </w:tcBorders>
            <w:noWrap/>
            <w:hideMark/>
          </w:tcPr>
          <w:p w14:paraId="52AEA91A"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w:t>
            </w:r>
          </w:p>
        </w:tc>
        <w:tc>
          <w:tcPr>
            <w:tcW w:w="277" w:type="pct"/>
            <w:tcBorders>
              <w:top w:val="nil"/>
              <w:left w:val="nil"/>
              <w:bottom w:val="single" w:sz="4" w:space="0" w:color="auto"/>
              <w:right w:val="single" w:sz="4" w:space="0" w:color="auto"/>
            </w:tcBorders>
            <w:noWrap/>
            <w:hideMark/>
          </w:tcPr>
          <w:p w14:paraId="119A2496"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w:t>
            </w:r>
          </w:p>
        </w:tc>
        <w:tc>
          <w:tcPr>
            <w:tcW w:w="501" w:type="pct"/>
            <w:gridSpan w:val="2"/>
            <w:tcBorders>
              <w:top w:val="nil"/>
              <w:left w:val="nil"/>
              <w:bottom w:val="single" w:sz="4" w:space="0" w:color="auto"/>
              <w:right w:val="single" w:sz="4" w:space="0" w:color="auto"/>
            </w:tcBorders>
            <w:noWrap/>
            <w:hideMark/>
          </w:tcPr>
          <w:p w14:paraId="617A55AC"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626</w:t>
            </w:r>
          </w:p>
        </w:tc>
        <w:tc>
          <w:tcPr>
            <w:tcW w:w="278" w:type="pct"/>
            <w:tcBorders>
              <w:top w:val="nil"/>
              <w:left w:val="nil"/>
              <w:bottom w:val="single" w:sz="4" w:space="0" w:color="auto"/>
              <w:right w:val="single" w:sz="4" w:space="0" w:color="auto"/>
            </w:tcBorders>
            <w:noWrap/>
            <w:hideMark/>
          </w:tcPr>
          <w:p w14:paraId="2D3596C1"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3.73</w:t>
            </w:r>
          </w:p>
        </w:tc>
        <w:tc>
          <w:tcPr>
            <w:tcW w:w="365" w:type="pct"/>
            <w:tcBorders>
              <w:top w:val="nil"/>
              <w:left w:val="nil"/>
              <w:bottom w:val="single" w:sz="4" w:space="0" w:color="auto"/>
              <w:right w:val="single" w:sz="4" w:space="0" w:color="auto"/>
            </w:tcBorders>
            <w:noWrap/>
            <w:hideMark/>
          </w:tcPr>
          <w:p w14:paraId="7BE539D5"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33.43</w:t>
            </w:r>
          </w:p>
        </w:tc>
        <w:tc>
          <w:tcPr>
            <w:tcW w:w="312" w:type="pct"/>
            <w:gridSpan w:val="2"/>
            <w:tcBorders>
              <w:top w:val="nil"/>
              <w:left w:val="nil"/>
              <w:bottom w:val="single" w:sz="4" w:space="0" w:color="auto"/>
              <w:right w:val="single" w:sz="4" w:space="0" w:color="auto"/>
            </w:tcBorders>
            <w:noWrap/>
            <w:hideMark/>
          </w:tcPr>
          <w:p w14:paraId="23E8AAC6"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1.41</w:t>
            </w:r>
          </w:p>
        </w:tc>
      </w:tr>
      <w:tr w:rsidR="009A0A63" w:rsidRPr="00792B36" w14:paraId="598A70BF" w14:textId="77777777" w:rsidTr="00A24459">
        <w:trPr>
          <w:trHeight w:val="264"/>
        </w:trPr>
        <w:tc>
          <w:tcPr>
            <w:tcW w:w="777" w:type="pct"/>
            <w:tcBorders>
              <w:top w:val="nil"/>
              <w:left w:val="single" w:sz="4" w:space="0" w:color="auto"/>
              <w:bottom w:val="single" w:sz="4" w:space="0" w:color="auto"/>
              <w:right w:val="single" w:sz="4" w:space="0" w:color="auto"/>
            </w:tcBorders>
            <w:hideMark/>
          </w:tcPr>
          <w:p w14:paraId="139EC3DE" w14:textId="77777777" w:rsidR="009A0A63" w:rsidRPr="00792B36" w:rsidRDefault="009A0A63" w:rsidP="00A24459">
            <w:pPr>
              <w:rPr>
                <w:rFonts w:eastAsia="Times New Roman"/>
                <w:color w:val="000000"/>
                <w:sz w:val="24"/>
                <w:szCs w:val="24"/>
              </w:rPr>
            </w:pPr>
            <w:r w:rsidRPr="00792B36">
              <w:rPr>
                <w:rFonts w:eastAsia="Times New Roman"/>
                <w:color w:val="000000"/>
                <w:sz w:val="24"/>
                <w:szCs w:val="24"/>
              </w:rPr>
              <w:t>Trat</w:t>
            </w:r>
          </w:p>
        </w:tc>
        <w:tc>
          <w:tcPr>
            <w:tcW w:w="130" w:type="pct"/>
            <w:tcBorders>
              <w:top w:val="nil"/>
              <w:left w:val="nil"/>
              <w:bottom w:val="single" w:sz="4" w:space="0" w:color="auto"/>
              <w:right w:val="single" w:sz="4" w:space="0" w:color="auto"/>
            </w:tcBorders>
            <w:noWrap/>
            <w:hideMark/>
          </w:tcPr>
          <w:p w14:paraId="4CCCCBFA"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1</w:t>
            </w:r>
          </w:p>
        </w:tc>
        <w:tc>
          <w:tcPr>
            <w:tcW w:w="401" w:type="pct"/>
            <w:tcBorders>
              <w:top w:val="nil"/>
              <w:left w:val="nil"/>
              <w:bottom w:val="single" w:sz="4" w:space="0" w:color="auto"/>
              <w:right w:val="single" w:sz="4" w:space="0" w:color="auto"/>
            </w:tcBorders>
            <w:noWrap/>
            <w:hideMark/>
          </w:tcPr>
          <w:p w14:paraId="67BA15BA"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10.64</w:t>
            </w:r>
          </w:p>
        </w:tc>
        <w:tc>
          <w:tcPr>
            <w:tcW w:w="312" w:type="pct"/>
            <w:tcBorders>
              <w:top w:val="nil"/>
              <w:left w:val="nil"/>
              <w:bottom w:val="single" w:sz="4" w:space="0" w:color="auto"/>
              <w:right w:val="single" w:sz="4" w:space="0" w:color="auto"/>
            </w:tcBorders>
            <w:noWrap/>
            <w:hideMark/>
          </w:tcPr>
          <w:p w14:paraId="68E06D97"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0.07</w:t>
            </w:r>
          </w:p>
        </w:tc>
        <w:tc>
          <w:tcPr>
            <w:tcW w:w="347" w:type="pct"/>
            <w:tcBorders>
              <w:top w:val="nil"/>
              <w:left w:val="nil"/>
              <w:bottom w:val="single" w:sz="4" w:space="0" w:color="auto"/>
              <w:right w:val="single" w:sz="4" w:space="0" w:color="auto"/>
            </w:tcBorders>
            <w:noWrap/>
            <w:hideMark/>
          </w:tcPr>
          <w:p w14:paraId="04D91EB6"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0.00</w:t>
            </w:r>
          </w:p>
        </w:tc>
        <w:tc>
          <w:tcPr>
            <w:tcW w:w="312" w:type="pct"/>
            <w:tcBorders>
              <w:top w:val="nil"/>
              <w:left w:val="nil"/>
              <w:bottom w:val="single" w:sz="4" w:space="0" w:color="auto"/>
              <w:right w:val="single" w:sz="4" w:space="0" w:color="auto"/>
            </w:tcBorders>
            <w:noWrap/>
            <w:hideMark/>
          </w:tcPr>
          <w:p w14:paraId="187BF254"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0.00</w:t>
            </w:r>
          </w:p>
        </w:tc>
        <w:tc>
          <w:tcPr>
            <w:tcW w:w="312" w:type="pct"/>
            <w:tcBorders>
              <w:top w:val="nil"/>
              <w:left w:val="nil"/>
              <w:bottom w:val="single" w:sz="4" w:space="0" w:color="auto"/>
              <w:right w:val="single" w:sz="4" w:space="0" w:color="auto"/>
            </w:tcBorders>
            <w:noWrap/>
            <w:hideMark/>
          </w:tcPr>
          <w:p w14:paraId="660C3B8F"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w:t>
            </w:r>
          </w:p>
        </w:tc>
        <w:tc>
          <w:tcPr>
            <w:tcW w:w="312" w:type="pct"/>
            <w:tcBorders>
              <w:top w:val="nil"/>
              <w:left w:val="nil"/>
              <w:bottom w:val="single" w:sz="4" w:space="0" w:color="auto"/>
              <w:right w:val="single" w:sz="4" w:space="0" w:color="auto"/>
            </w:tcBorders>
            <w:noWrap/>
            <w:hideMark/>
          </w:tcPr>
          <w:p w14:paraId="7E55BBE1"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w:t>
            </w:r>
          </w:p>
        </w:tc>
        <w:tc>
          <w:tcPr>
            <w:tcW w:w="365" w:type="pct"/>
            <w:tcBorders>
              <w:top w:val="nil"/>
              <w:left w:val="nil"/>
              <w:bottom w:val="single" w:sz="4" w:space="0" w:color="auto"/>
              <w:right w:val="single" w:sz="4" w:space="0" w:color="auto"/>
            </w:tcBorders>
            <w:noWrap/>
            <w:hideMark/>
          </w:tcPr>
          <w:p w14:paraId="3A15AC43"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w:t>
            </w:r>
          </w:p>
        </w:tc>
        <w:tc>
          <w:tcPr>
            <w:tcW w:w="277" w:type="pct"/>
            <w:tcBorders>
              <w:top w:val="nil"/>
              <w:left w:val="nil"/>
              <w:bottom w:val="single" w:sz="4" w:space="0" w:color="auto"/>
              <w:right w:val="single" w:sz="4" w:space="0" w:color="auto"/>
            </w:tcBorders>
            <w:noWrap/>
            <w:hideMark/>
          </w:tcPr>
          <w:p w14:paraId="6C7E540A"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w:t>
            </w:r>
          </w:p>
        </w:tc>
        <w:tc>
          <w:tcPr>
            <w:tcW w:w="501" w:type="pct"/>
            <w:gridSpan w:val="2"/>
            <w:tcBorders>
              <w:top w:val="nil"/>
              <w:left w:val="nil"/>
              <w:bottom w:val="single" w:sz="4" w:space="0" w:color="auto"/>
              <w:right w:val="single" w:sz="4" w:space="0" w:color="auto"/>
            </w:tcBorders>
            <w:noWrap/>
            <w:hideMark/>
          </w:tcPr>
          <w:p w14:paraId="456AEB55"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117</w:t>
            </w:r>
          </w:p>
        </w:tc>
        <w:tc>
          <w:tcPr>
            <w:tcW w:w="278" w:type="pct"/>
            <w:tcBorders>
              <w:top w:val="nil"/>
              <w:left w:val="nil"/>
              <w:bottom w:val="single" w:sz="4" w:space="0" w:color="auto"/>
              <w:right w:val="single" w:sz="4" w:space="0" w:color="auto"/>
            </w:tcBorders>
            <w:noWrap/>
            <w:hideMark/>
          </w:tcPr>
          <w:p w14:paraId="31D304B4"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0.70</w:t>
            </w:r>
          </w:p>
        </w:tc>
        <w:tc>
          <w:tcPr>
            <w:tcW w:w="365" w:type="pct"/>
            <w:tcBorders>
              <w:top w:val="nil"/>
              <w:left w:val="nil"/>
              <w:bottom w:val="single" w:sz="4" w:space="0" w:color="auto"/>
              <w:right w:val="single" w:sz="4" w:space="0" w:color="auto"/>
            </w:tcBorders>
            <w:noWrap/>
            <w:hideMark/>
          </w:tcPr>
          <w:p w14:paraId="07684BA7"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5.40</w:t>
            </w:r>
          </w:p>
        </w:tc>
        <w:tc>
          <w:tcPr>
            <w:tcW w:w="312" w:type="pct"/>
            <w:gridSpan w:val="2"/>
            <w:tcBorders>
              <w:top w:val="nil"/>
              <w:left w:val="nil"/>
              <w:bottom w:val="single" w:sz="4" w:space="0" w:color="auto"/>
              <w:right w:val="single" w:sz="4" w:space="0" w:color="auto"/>
            </w:tcBorders>
            <w:noWrap/>
            <w:hideMark/>
          </w:tcPr>
          <w:p w14:paraId="472B0C7A"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0.23</w:t>
            </w:r>
          </w:p>
        </w:tc>
      </w:tr>
      <w:tr w:rsidR="009A0A63" w:rsidRPr="00792B36" w14:paraId="0194193A" w14:textId="77777777" w:rsidTr="00A24459">
        <w:trPr>
          <w:trHeight w:val="264"/>
        </w:trPr>
        <w:tc>
          <w:tcPr>
            <w:tcW w:w="777" w:type="pct"/>
            <w:tcBorders>
              <w:top w:val="nil"/>
              <w:left w:val="single" w:sz="4" w:space="0" w:color="auto"/>
              <w:bottom w:val="single" w:sz="4" w:space="0" w:color="auto"/>
              <w:right w:val="single" w:sz="4" w:space="0" w:color="auto"/>
            </w:tcBorders>
            <w:hideMark/>
          </w:tcPr>
          <w:p w14:paraId="2F1433B8" w14:textId="77777777" w:rsidR="009A0A63" w:rsidRPr="00792B36" w:rsidRDefault="009A0A63" w:rsidP="00A24459">
            <w:pPr>
              <w:rPr>
                <w:rFonts w:eastAsia="Times New Roman"/>
                <w:color w:val="000000"/>
                <w:sz w:val="24"/>
                <w:szCs w:val="24"/>
              </w:rPr>
            </w:pPr>
            <w:r w:rsidRPr="00792B36">
              <w:rPr>
                <w:rFonts w:eastAsia="Times New Roman"/>
                <w:color w:val="000000"/>
                <w:sz w:val="24"/>
                <w:szCs w:val="24"/>
              </w:rPr>
              <w:t>Samut Songkhram</w:t>
            </w:r>
          </w:p>
        </w:tc>
        <w:tc>
          <w:tcPr>
            <w:tcW w:w="130" w:type="pct"/>
            <w:tcBorders>
              <w:top w:val="nil"/>
              <w:left w:val="nil"/>
              <w:bottom w:val="single" w:sz="4" w:space="0" w:color="auto"/>
              <w:right w:val="single" w:sz="4" w:space="0" w:color="auto"/>
            </w:tcBorders>
            <w:noWrap/>
            <w:hideMark/>
          </w:tcPr>
          <w:p w14:paraId="3510D5A3"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2</w:t>
            </w:r>
          </w:p>
        </w:tc>
        <w:tc>
          <w:tcPr>
            <w:tcW w:w="401" w:type="pct"/>
            <w:tcBorders>
              <w:top w:val="nil"/>
              <w:left w:val="nil"/>
              <w:bottom w:val="single" w:sz="4" w:space="0" w:color="auto"/>
              <w:right w:val="single" w:sz="4" w:space="0" w:color="auto"/>
            </w:tcBorders>
            <w:noWrap/>
            <w:hideMark/>
          </w:tcPr>
          <w:p w14:paraId="61E0A61B"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6.40</w:t>
            </w:r>
          </w:p>
        </w:tc>
        <w:tc>
          <w:tcPr>
            <w:tcW w:w="312" w:type="pct"/>
            <w:tcBorders>
              <w:top w:val="nil"/>
              <w:left w:val="nil"/>
              <w:bottom w:val="single" w:sz="4" w:space="0" w:color="auto"/>
              <w:right w:val="single" w:sz="4" w:space="0" w:color="auto"/>
            </w:tcBorders>
            <w:noWrap/>
            <w:hideMark/>
          </w:tcPr>
          <w:p w14:paraId="02513620"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0.04</w:t>
            </w:r>
          </w:p>
        </w:tc>
        <w:tc>
          <w:tcPr>
            <w:tcW w:w="347" w:type="pct"/>
            <w:tcBorders>
              <w:top w:val="nil"/>
              <w:left w:val="nil"/>
              <w:bottom w:val="single" w:sz="4" w:space="0" w:color="auto"/>
              <w:right w:val="single" w:sz="4" w:space="0" w:color="auto"/>
            </w:tcBorders>
            <w:noWrap/>
            <w:hideMark/>
          </w:tcPr>
          <w:p w14:paraId="009614B7"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0.11</w:t>
            </w:r>
          </w:p>
        </w:tc>
        <w:tc>
          <w:tcPr>
            <w:tcW w:w="312" w:type="pct"/>
            <w:tcBorders>
              <w:top w:val="nil"/>
              <w:left w:val="nil"/>
              <w:bottom w:val="single" w:sz="4" w:space="0" w:color="auto"/>
              <w:right w:val="single" w:sz="4" w:space="0" w:color="auto"/>
            </w:tcBorders>
            <w:noWrap/>
            <w:hideMark/>
          </w:tcPr>
          <w:p w14:paraId="18A54E9B"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0.00</w:t>
            </w:r>
          </w:p>
        </w:tc>
        <w:tc>
          <w:tcPr>
            <w:tcW w:w="312" w:type="pct"/>
            <w:tcBorders>
              <w:top w:val="nil"/>
              <w:left w:val="nil"/>
              <w:bottom w:val="single" w:sz="4" w:space="0" w:color="auto"/>
              <w:right w:val="single" w:sz="4" w:space="0" w:color="auto"/>
            </w:tcBorders>
            <w:noWrap/>
            <w:hideMark/>
          </w:tcPr>
          <w:p w14:paraId="18C55B89"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0.11</w:t>
            </w:r>
          </w:p>
        </w:tc>
        <w:tc>
          <w:tcPr>
            <w:tcW w:w="312" w:type="pct"/>
            <w:tcBorders>
              <w:top w:val="nil"/>
              <w:left w:val="nil"/>
              <w:bottom w:val="single" w:sz="4" w:space="0" w:color="auto"/>
              <w:right w:val="single" w:sz="4" w:space="0" w:color="auto"/>
            </w:tcBorders>
            <w:noWrap/>
            <w:hideMark/>
          </w:tcPr>
          <w:p w14:paraId="66554534"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100.00</w:t>
            </w:r>
          </w:p>
        </w:tc>
        <w:tc>
          <w:tcPr>
            <w:tcW w:w="365" w:type="pct"/>
            <w:tcBorders>
              <w:top w:val="nil"/>
              <w:left w:val="nil"/>
              <w:bottom w:val="single" w:sz="4" w:space="0" w:color="auto"/>
              <w:right w:val="single" w:sz="4" w:space="0" w:color="auto"/>
            </w:tcBorders>
            <w:noWrap/>
            <w:hideMark/>
          </w:tcPr>
          <w:p w14:paraId="704CD541"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w:t>
            </w:r>
          </w:p>
        </w:tc>
        <w:tc>
          <w:tcPr>
            <w:tcW w:w="277" w:type="pct"/>
            <w:tcBorders>
              <w:top w:val="nil"/>
              <w:left w:val="nil"/>
              <w:bottom w:val="single" w:sz="4" w:space="0" w:color="auto"/>
              <w:right w:val="single" w:sz="4" w:space="0" w:color="auto"/>
            </w:tcBorders>
            <w:noWrap/>
            <w:hideMark/>
          </w:tcPr>
          <w:p w14:paraId="4E9E0A36"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w:t>
            </w:r>
          </w:p>
        </w:tc>
        <w:tc>
          <w:tcPr>
            <w:tcW w:w="501" w:type="pct"/>
            <w:gridSpan w:val="2"/>
            <w:tcBorders>
              <w:top w:val="nil"/>
              <w:left w:val="nil"/>
              <w:bottom w:val="single" w:sz="4" w:space="0" w:color="auto"/>
              <w:right w:val="single" w:sz="4" w:space="0" w:color="auto"/>
            </w:tcBorders>
            <w:noWrap/>
            <w:hideMark/>
          </w:tcPr>
          <w:p w14:paraId="1FFA8D2A"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123</w:t>
            </w:r>
          </w:p>
        </w:tc>
        <w:tc>
          <w:tcPr>
            <w:tcW w:w="278" w:type="pct"/>
            <w:tcBorders>
              <w:top w:val="nil"/>
              <w:left w:val="nil"/>
              <w:bottom w:val="single" w:sz="4" w:space="0" w:color="auto"/>
              <w:right w:val="single" w:sz="4" w:space="0" w:color="auto"/>
            </w:tcBorders>
            <w:noWrap/>
            <w:hideMark/>
          </w:tcPr>
          <w:p w14:paraId="6A064C09"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0.73</w:t>
            </w:r>
          </w:p>
        </w:tc>
        <w:tc>
          <w:tcPr>
            <w:tcW w:w="365" w:type="pct"/>
            <w:tcBorders>
              <w:top w:val="nil"/>
              <w:left w:val="nil"/>
              <w:bottom w:val="single" w:sz="4" w:space="0" w:color="auto"/>
              <w:right w:val="single" w:sz="4" w:space="0" w:color="auto"/>
            </w:tcBorders>
            <w:noWrap/>
            <w:hideMark/>
          </w:tcPr>
          <w:p w14:paraId="0E9FF5ED"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4.71</w:t>
            </w:r>
          </w:p>
        </w:tc>
        <w:tc>
          <w:tcPr>
            <w:tcW w:w="312" w:type="pct"/>
            <w:gridSpan w:val="2"/>
            <w:tcBorders>
              <w:top w:val="nil"/>
              <w:left w:val="nil"/>
              <w:bottom w:val="single" w:sz="4" w:space="0" w:color="auto"/>
              <w:right w:val="single" w:sz="4" w:space="0" w:color="auto"/>
            </w:tcBorders>
            <w:noWrap/>
            <w:hideMark/>
          </w:tcPr>
          <w:p w14:paraId="29AA33DB"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0.20</w:t>
            </w:r>
          </w:p>
        </w:tc>
      </w:tr>
      <w:tr w:rsidR="009A0A63" w:rsidRPr="00792B36" w14:paraId="34B33EC4" w14:textId="77777777" w:rsidTr="00A24459">
        <w:trPr>
          <w:trHeight w:val="264"/>
        </w:trPr>
        <w:tc>
          <w:tcPr>
            <w:tcW w:w="777" w:type="pct"/>
            <w:tcBorders>
              <w:top w:val="nil"/>
              <w:left w:val="single" w:sz="4" w:space="0" w:color="auto"/>
              <w:bottom w:val="single" w:sz="4" w:space="0" w:color="auto"/>
              <w:right w:val="single" w:sz="4" w:space="0" w:color="auto"/>
            </w:tcBorders>
            <w:hideMark/>
          </w:tcPr>
          <w:p w14:paraId="2998702F" w14:textId="77777777" w:rsidR="009A0A63" w:rsidRPr="00792B36" w:rsidRDefault="009A0A63" w:rsidP="00A24459">
            <w:pPr>
              <w:rPr>
                <w:rFonts w:eastAsia="Times New Roman"/>
                <w:color w:val="000000"/>
                <w:sz w:val="24"/>
                <w:szCs w:val="24"/>
              </w:rPr>
            </w:pPr>
            <w:r w:rsidRPr="00792B36">
              <w:rPr>
                <w:rFonts w:eastAsia="Times New Roman"/>
                <w:color w:val="000000"/>
                <w:sz w:val="24"/>
                <w:szCs w:val="24"/>
              </w:rPr>
              <w:t>Chanthaburi</w:t>
            </w:r>
          </w:p>
        </w:tc>
        <w:tc>
          <w:tcPr>
            <w:tcW w:w="130" w:type="pct"/>
            <w:tcBorders>
              <w:top w:val="nil"/>
              <w:left w:val="nil"/>
              <w:bottom w:val="single" w:sz="4" w:space="0" w:color="auto"/>
              <w:right w:val="single" w:sz="4" w:space="0" w:color="auto"/>
            </w:tcBorders>
            <w:noWrap/>
            <w:hideMark/>
          </w:tcPr>
          <w:p w14:paraId="581471B2"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5</w:t>
            </w:r>
          </w:p>
        </w:tc>
        <w:tc>
          <w:tcPr>
            <w:tcW w:w="401" w:type="pct"/>
            <w:tcBorders>
              <w:top w:val="nil"/>
              <w:left w:val="nil"/>
              <w:bottom w:val="single" w:sz="4" w:space="0" w:color="auto"/>
              <w:right w:val="single" w:sz="4" w:space="0" w:color="auto"/>
            </w:tcBorders>
            <w:noWrap/>
            <w:hideMark/>
          </w:tcPr>
          <w:p w14:paraId="235AAEF7"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5.55</w:t>
            </w:r>
          </w:p>
        </w:tc>
        <w:tc>
          <w:tcPr>
            <w:tcW w:w="312" w:type="pct"/>
            <w:tcBorders>
              <w:top w:val="nil"/>
              <w:left w:val="nil"/>
              <w:bottom w:val="single" w:sz="4" w:space="0" w:color="auto"/>
              <w:right w:val="single" w:sz="4" w:space="0" w:color="auto"/>
            </w:tcBorders>
            <w:noWrap/>
            <w:hideMark/>
          </w:tcPr>
          <w:p w14:paraId="68F70E2C"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0.04</w:t>
            </w:r>
          </w:p>
        </w:tc>
        <w:tc>
          <w:tcPr>
            <w:tcW w:w="347" w:type="pct"/>
            <w:tcBorders>
              <w:top w:val="nil"/>
              <w:left w:val="nil"/>
              <w:bottom w:val="single" w:sz="4" w:space="0" w:color="auto"/>
              <w:right w:val="single" w:sz="4" w:space="0" w:color="auto"/>
            </w:tcBorders>
            <w:noWrap/>
            <w:hideMark/>
          </w:tcPr>
          <w:p w14:paraId="68E7A305"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3.77</w:t>
            </w:r>
          </w:p>
        </w:tc>
        <w:tc>
          <w:tcPr>
            <w:tcW w:w="312" w:type="pct"/>
            <w:tcBorders>
              <w:top w:val="nil"/>
              <w:left w:val="nil"/>
              <w:bottom w:val="single" w:sz="4" w:space="0" w:color="auto"/>
              <w:right w:val="single" w:sz="4" w:space="0" w:color="auto"/>
            </w:tcBorders>
            <w:noWrap/>
            <w:hideMark/>
          </w:tcPr>
          <w:p w14:paraId="1965EC62"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0.14</w:t>
            </w:r>
          </w:p>
        </w:tc>
        <w:tc>
          <w:tcPr>
            <w:tcW w:w="312" w:type="pct"/>
            <w:tcBorders>
              <w:top w:val="nil"/>
              <w:left w:val="nil"/>
              <w:bottom w:val="single" w:sz="4" w:space="0" w:color="auto"/>
              <w:right w:val="single" w:sz="4" w:space="0" w:color="auto"/>
            </w:tcBorders>
            <w:noWrap/>
            <w:hideMark/>
          </w:tcPr>
          <w:p w14:paraId="762A1ED9"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2.89</w:t>
            </w:r>
          </w:p>
        </w:tc>
        <w:tc>
          <w:tcPr>
            <w:tcW w:w="312" w:type="pct"/>
            <w:tcBorders>
              <w:top w:val="nil"/>
              <w:left w:val="nil"/>
              <w:bottom w:val="single" w:sz="4" w:space="0" w:color="auto"/>
              <w:right w:val="single" w:sz="4" w:space="0" w:color="auto"/>
            </w:tcBorders>
            <w:noWrap/>
            <w:hideMark/>
          </w:tcPr>
          <w:p w14:paraId="48EE7453"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76.52</w:t>
            </w:r>
          </w:p>
        </w:tc>
        <w:tc>
          <w:tcPr>
            <w:tcW w:w="365" w:type="pct"/>
            <w:tcBorders>
              <w:top w:val="nil"/>
              <w:left w:val="nil"/>
              <w:bottom w:val="single" w:sz="4" w:space="0" w:color="auto"/>
              <w:right w:val="single" w:sz="4" w:space="0" w:color="auto"/>
            </w:tcBorders>
            <w:noWrap/>
            <w:hideMark/>
          </w:tcPr>
          <w:p w14:paraId="7EF179FA"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0.89</w:t>
            </w:r>
          </w:p>
        </w:tc>
        <w:tc>
          <w:tcPr>
            <w:tcW w:w="277" w:type="pct"/>
            <w:tcBorders>
              <w:top w:val="nil"/>
              <w:left w:val="nil"/>
              <w:bottom w:val="single" w:sz="4" w:space="0" w:color="auto"/>
              <w:right w:val="single" w:sz="4" w:space="0" w:color="auto"/>
            </w:tcBorders>
            <w:noWrap/>
            <w:hideMark/>
          </w:tcPr>
          <w:p w14:paraId="10E16642"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23.48</w:t>
            </w:r>
          </w:p>
        </w:tc>
        <w:tc>
          <w:tcPr>
            <w:tcW w:w="501" w:type="pct"/>
            <w:gridSpan w:val="2"/>
            <w:tcBorders>
              <w:top w:val="nil"/>
              <w:left w:val="nil"/>
              <w:bottom w:val="single" w:sz="4" w:space="0" w:color="auto"/>
              <w:right w:val="single" w:sz="4" w:space="0" w:color="auto"/>
            </w:tcBorders>
            <w:noWrap/>
            <w:hideMark/>
          </w:tcPr>
          <w:p w14:paraId="321C9DD0"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330</w:t>
            </w:r>
          </w:p>
        </w:tc>
        <w:tc>
          <w:tcPr>
            <w:tcW w:w="278" w:type="pct"/>
            <w:tcBorders>
              <w:top w:val="nil"/>
              <w:left w:val="nil"/>
              <w:bottom w:val="single" w:sz="4" w:space="0" w:color="auto"/>
              <w:right w:val="single" w:sz="4" w:space="0" w:color="auto"/>
            </w:tcBorders>
            <w:noWrap/>
            <w:hideMark/>
          </w:tcPr>
          <w:p w14:paraId="0EDEF202"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1.97</w:t>
            </w:r>
          </w:p>
        </w:tc>
        <w:tc>
          <w:tcPr>
            <w:tcW w:w="365" w:type="pct"/>
            <w:tcBorders>
              <w:top w:val="nil"/>
              <w:left w:val="nil"/>
              <w:bottom w:val="single" w:sz="4" w:space="0" w:color="auto"/>
              <w:right w:val="single" w:sz="4" w:space="0" w:color="auto"/>
            </w:tcBorders>
            <w:noWrap/>
            <w:hideMark/>
          </w:tcPr>
          <w:p w14:paraId="19F6E81B"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13.26</w:t>
            </w:r>
          </w:p>
        </w:tc>
        <w:tc>
          <w:tcPr>
            <w:tcW w:w="312" w:type="pct"/>
            <w:gridSpan w:val="2"/>
            <w:tcBorders>
              <w:top w:val="nil"/>
              <w:left w:val="nil"/>
              <w:bottom w:val="single" w:sz="4" w:space="0" w:color="auto"/>
              <w:right w:val="single" w:sz="4" w:space="0" w:color="auto"/>
            </w:tcBorders>
            <w:noWrap/>
            <w:hideMark/>
          </w:tcPr>
          <w:p w14:paraId="3033222F"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0.56</w:t>
            </w:r>
          </w:p>
        </w:tc>
      </w:tr>
      <w:tr w:rsidR="009A0A63" w:rsidRPr="00792B36" w14:paraId="7E8D1601" w14:textId="77777777" w:rsidTr="00A24459">
        <w:trPr>
          <w:trHeight w:val="264"/>
        </w:trPr>
        <w:tc>
          <w:tcPr>
            <w:tcW w:w="777" w:type="pct"/>
            <w:tcBorders>
              <w:top w:val="nil"/>
              <w:left w:val="single" w:sz="4" w:space="0" w:color="auto"/>
              <w:bottom w:val="single" w:sz="4" w:space="0" w:color="auto"/>
              <w:right w:val="single" w:sz="4" w:space="0" w:color="auto"/>
            </w:tcBorders>
            <w:hideMark/>
          </w:tcPr>
          <w:p w14:paraId="5B7BA8F0" w14:textId="77777777" w:rsidR="009A0A63" w:rsidRPr="00792B36" w:rsidRDefault="009A0A63" w:rsidP="00A24459">
            <w:pPr>
              <w:rPr>
                <w:rFonts w:eastAsia="Times New Roman"/>
                <w:color w:val="000000"/>
                <w:sz w:val="24"/>
                <w:szCs w:val="24"/>
              </w:rPr>
            </w:pPr>
            <w:r w:rsidRPr="00792B36">
              <w:rPr>
                <w:rFonts w:eastAsia="Times New Roman"/>
                <w:color w:val="000000"/>
                <w:sz w:val="24"/>
                <w:szCs w:val="24"/>
              </w:rPr>
              <w:t>Narathiwat</w:t>
            </w:r>
          </w:p>
        </w:tc>
        <w:tc>
          <w:tcPr>
            <w:tcW w:w="130" w:type="pct"/>
            <w:tcBorders>
              <w:top w:val="nil"/>
              <w:left w:val="nil"/>
              <w:bottom w:val="single" w:sz="4" w:space="0" w:color="auto"/>
              <w:right w:val="single" w:sz="4" w:space="0" w:color="auto"/>
            </w:tcBorders>
            <w:noWrap/>
            <w:hideMark/>
          </w:tcPr>
          <w:p w14:paraId="320CE0D2"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2</w:t>
            </w:r>
          </w:p>
        </w:tc>
        <w:tc>
          <w:tcPr>
            <w:tcW w:w="401" w:type="pct"/>
            <w:tcBorders>
              <w:top w:val="nil"/>
              <w:left w:val="nil"/>
              <w:bottom w:val="single" w:sz="4" w:space="0" w:color="auto"/>
              <w:right w:val="single" w:sz="4" w:space="0" w:color="auto"/>
            </w:tcBorders>
            <w:noWrap/>
            <w:hideMark/>
          </w:tcPr>
          <w:p w14:paraId="3319A5C4"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1.93</w:t>
            </w:r>
          </w:p>
        </w:tc>
        <w:tc>
          <w:tcPr>
            <w:tcW w:w="312" w:type="pct"/>
            <w:tcBorders>
              <w:top w:val="nil"/>
              <w:left w:val="nil"/>
              <w:bottom w:val="single" w:sz="4" w:space="0" w:color="auto"/>
              <w:right w:val="single" w:sz="4" w:space="0" w:color="auto"/>
            </w:tcBorders>
            <w:noWrap/>
            <w:hideMark/>
          </w:tcPr>
          <w:p w14:paraId="79F922FF"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0.01</w:t>
            </w:r>
          </w:p>
        </w:tc>
        <w:tc>
          <w:tcPr>
            <w:tcW w:w="347" w:type="pct"/>
            <w:tcBorders>
              <w:top w:val="nil"/>
              <w:left w:val="nil"/>
              <w:bottom w:val="single" w:sz="4" w:space="0" w:color="auto"/>
              <w:right w:val="single" w:sz="4" w:space="0" w:color="auto"/>
            </w:tcBorders>
            <w:noWrap/>
            <w:hideMark/>
          </w:tcPr>
          <w:p w14:paraId="65C085D3"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8.03</w:t>
            </w:r>
          </w:p>
        </w:tc>
        <w:tc>
          <w:tcPr>
            <w:tcW w:w="312" w:type="pct"/>
            <w:tcBorders>
              <w:top w:val="nil"/>
              <w:left w:val="nil"/>
              <w:bottom w:val="single" w:sz="4" w:space="0" w:color="auto"/>
              <w:right w:val="single" w:sz="4" w:space="0" w:color="auto"/>
            </w:tcBorders>
            <w:noWrap/>
            <w:hideMark/>
          </w:tcPr>
          <w:p w14:paraId="25DACCCA"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0.29</w:t>
            </w:r>
          </w:p>
        </w:tc>
        <w:tc>
          <w:tcPr>
            <w:tcW w:w="312" w:type="pct"/>
            <w:tcBorders>
              <w:top w:val="nil"/>
              <w:left w:val="nil"/>
              <w:bottom w:val="single" w:sz="4" w:space="0" w:color="auto"/>
              <w:right w:val="single" w:sz="4" w:space="0" w:color="auto"/>
            </w:tcBorders>
            <w:noWrap/>
            <w:hideMark/>
          </w:tcPr>
          <w:p w14:paraId="55EF32C1"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8.03</w:t>
            </w:r>
          </w:p>
        </w:tc>
        <w:tc>
          <w:tcPr>
            <w:tcW w:w="312" w:type="pct"/>
            <w:tcBorders>
              <w:top w:val="nil"/>
              <w:left w:val="nil"/>
              <w:bottom w:val="single" w:sz="4" w:space="0" w:color="auto"/>
              <w:right w:val="single" w:sz="4" w:space="0" w:color="auto"/>
            </w:tcBorders>
            <w:noWrap/>
            <w:hideMark/>
          </w:tcPr>
          <w:p w14:paraId="547AF9FE"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100.00</w:t>
            </w:r>
          </w:p>
        </w:tc>
        <w:tc>
          <w:tcPr>
            <w:tcW w:w="365" w:type="pct"/>
            <w:tcBorders>
              <w:top w:val="nil"/>
              <w:left w:val="nil"/>
              <w:bottom w:val="single" w:sz="4" w:space="0" w:color="auto"/>
              <w:right w:val="single" w:sz="4" w:space="0" w:color="auto"/>
            </w:tcBorders>
            <w:noWrap/>
            <w:hideMark/>
          </w:tcPr>
          <w:p w14:paraId="0CD563FC"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w:t>
            </w:r>
          </w:p>
        </w:tc>
        <w:tc>
          <w:tcPr>
            <w:tcW w:w="277" w:type="pct"/>
            <w:tcBorders>
              <w:top w:val="nil"/>
              <w:left w:val="nil"/>
              <w:bottom w:val="single" w:sz="4" w:space="0" w:color="auto"/>
              <w:right w:val="single" w:sz="4" w:space="0" w:color="auto"/>
            </w:tcBorders>
            <w:noWrap/>
            <w:hideMark/>
          </w:tcPr>
          <w:p w14:paraId="716984CC"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w:t>
            </w:r>
          </w:p>
        </w:tc>
        <w:tc>
          <w:tcPr>
            <w:tcW w:w="501" w:type="pct"/>
            <w:gridSpan w:val="2"/>
            <w:tcBorders>
              <w:top w:val="nil"/>
              <w:left w:val="nil"/>
              <w:bottom w:val="single" w:sz="4" w:space="0" w:color="auto"/>
              <w:right w:val="single" w:sz="4" w:space="0" w:color="auto"/>
            </w:tcBorders>
            <w:noWrap/>
            <w:hideMark/>
          </w:tcPr>
          <w:p w14:paraId="78188689"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135</w:t>
            </w:r>
          </w:p>
        </w:tc>
        <w:tc>
          <w:tcPr>
            <w:tcW w:w="278" w:type="pct"/>
            <w:tcBorders>
              <w:top w:val="nil"/>
              <w:left w:val="nil"/>
              <w:bottom w:val="single" w:sz="4" w:space="0" w:color="auto"/>
              <w:right w:val="single" w:sz="4" w:space="0" w:color="auto"/>
            </w:tcBorders>
            <w:noWrap/>
            <w:hideMark/>
          </w:tcPr>
          <w:p w14:paraId="5FEE1C58"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0.81</w:t>
            </w:r>
          </w:p>
        </w:tc>
        <w:tc>
          <w:tcPr>
            <w:tcW w:w="365" w:type="pct"/>
            <w:tcBorders>
              <w:top w:val="nil"/>
              <w:left w:val="nil"/>
              <w:bottom w:val="single" w:sz="4" w:space="0" w:color="auto"/>
              <w:right w:val="single" w:sz="4" w:space="0" w:color="auto"/>
            </w:tcBorders>
            <w:noWrap/>
            <w:hideMark/>
          </w:tcPr>
          <w:p w14:paraId="4CC24F6F"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15.60</w:t>
            </w:r>
          </w:p>
        </w:tc>
        <w:tc>
          <w:tcPr>
            <w:tcW w:w="312" w:type="pct"/>
            <w:gridSpan w:val="2"/>
            <w:tcBorders>
              <w:top w:val="nil"/>
              <w:left w:val="nil"/>
              <w:bottom w:val="single" w:sz="4" w:space="0" w:color="auto"/>
              <w:right w:val="single" w:sz="4" w:space="0" w:color="auto"/>
            </w:tcBorders>
            <w:noWrap/>
            <w:hideMark/>
          </w:tcPr>
          <w:p w14:paraId="556E2BA4"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0.66</w:t>
            </w:r>
          </w:p>
        </w:tc>
      </w:tr>
      <w:tr w:rsidR="009A0A63" w:rsidRPr="00792B36" w14:paraId="25DA7339" w14:textId="77777777" w:rsidTr="00A24459">
        <w:trPr>
          <w:trHeight w:val="264"/>
        </w:trPr>
        <w:tc>
          <w:tcPr>
            <w:tcW w:w="777" w:type="pct"/>
            <w:tcBorders>
              <w:top w:val="nil"/>
              <w:left w:val="single" w:sz="4" w:space="0" w:color="auto"/>
              <w:bottom w:val="single" w:sz="4" w:space="0" w:color="auto"/>
              <w:right w:val="single" w:sz="4" w:space="0" w:color="auto"/>
            </w:tcBorders>
            <w:hideMark/>
          </w:tcPr>
          <w:p w14:paraId="059225FE" w14:textId="77777777" w:rsidR="009A0A63" w:rsidRPr="00792B36" w:rsidRDefault="009A0A63" w:rsidP="00A24459">
            <w:pPr>
              <w:rPr>
                <w:rFonts w:eastAsia="Times New Roman"/>
                <w:color w:val="000000"/>
                <w:sz w:val="24"/>
                <w:szCs w:val="24"/>
              </w:rPr>
            </w:pPr>
            <w:r w:rsidRPr="00792B36">
              <w:rPr>
                <w:rFonts w:eastAsia="Times New Roman"/>
                <w:color w:val="000000"/>
                <w:sz w:val="24"/>
                <w:szCs w:val="24"/>
              </w:rPr>
              <w:t>Pattani</w:t>
            </w:r>
          </w:p>
        </w:tc>
        <w:tc>
          <w:tcPr>
            <w:tcW w:w="130" w:type="pct"/>
            <w:tcBorders>
              <w:top w:val="nil"/>
              <w:left w:val="nil"/>
              <w:bottom w:val="single" w:sz="4" w:space="0" w:color="auto"/>
              <w:right w:val="single" w:sz="4" w:space="0" w:color="auto"/>
            </w:tcBorders>
            <w:noWrap/>
            <w:hideMark/>
          </w:tcPr>
          <w:p w14:paraId="52C83DE4"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1</w:t>
            </w:r>
          </w:p>
        </w:tc>
        <w:tc>
          <w:tcPr>
            <w:tcW w:w="401" w:type="pct"/>
            <w:tcBorders>
              <w:top w:val="nil"/>
              <w:left w:val="nil"/>
              <w:bottom w:val="single" w:sz="4" w:space="0" w:color="auto"/>
              <w:right w:val="single" w:sz="4" w:space="0" w:color="auto"/>
            </w:tcBorders>
            <w:noWrap/>
            <w:hideMark/>
          </w:tcPr>
          <w:p w14:paraId="66FB2BA4"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0.62</w:t>
            </w:r>
          </w:p>
        </w:tc>
        <w:tc>
          <w:tcPr>
            <w:tcW w:w="312" w:type="pct"/>
            <w:tcBorders>
              <w:top w:val="nil"/>
              <w:left w:val="nil"/>
              <w:bottom w:val="single" w:sz="4" w:space="0" w:color="auto"/>
              <w:right w:val="single" w:sz="4" w:space="0" w:color="auto"/>
            </w:tcBorders>
            <w:noWrap/>
            <w:hideMark/>
          </w:tcPr>
          <w:p w14:paraId="4CC62E49"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0.00</w:t>
            </w:r>
          </w:p>
        </w:tc>
        <w:tc>
          <w:tcPr>
            <w:tcW w:w="347" w:type="pct"/>
            <w:tcBorders>
              <w:top w:val="nil"/>
              <w:left w:val="nil"/>
              <w:bottom w:val="single" w:sz="4" w:space="0" w:color="auto"/>
              <w:right w:val="single" w:sz="4" w:space="0" w:color="auto"/>
            </w:tcBorders>
            <w:noWrap/>
            <w:hideMark/>
          </w:tcPr>
          <w:p w14:paraId="69EA7C16"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0.00</w:t>
            </w:r>
          </w:p>
        </w:tc>
        <w:tc>
          <w:tcPr>
            <w:tcW w:w="312" w:type="pct"/>
            <w:tcBorders>
              <w:top w:val="nil"/>
              <w:left w:val="nil"/>
              <w:bottom w:val="single" w:sz="4" w:space="0" w:color="auto"/>
              <w:right w:val="single" w:sz="4" w:space="0" w:color="auto"/>
            </w:tcBorders>
            <w:noWrap/>
            <w:hideMark/>
          </w:tcPr>
          <w:p w14:paraId="63A74277"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0.00</w:t>
            </w:r>
          </w:p>
        </w:tc>
        <w:tc>
          <w:tcPr>
            <w:tcW w:w="312" w:type="pct"/>
            <w:tcBorders>
              <w:top w:val="nil"/>
              <w:left w:val="nil"/>
              <w:bottom w:val="single" w:sz="4" w:space="0" w:color="auto"/>
              <w:right w:val="single" w:sz="4" w:space="0" w:color="auto"/>
            </w:tcBorders>
            <w:noWrap/>
            <w:hideMark/>
          </w:tcPr>
          <w:p w14:paraId="22ADAD58"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w:t>
            </w:r>
          </w:p>
        </w:tc>
        <w:tc>
          <w:tcPr>
            <w:tcW w:w="312" w:type="pct"/>
            <w:tcBorders>
              <w:top w:val="nil"/>
              <w:left w:val="nil"/>
              <w:bottom w:val="single" w:sz="4" w:space="0" w:color="auto"/>
              <w:right w:val="single" w:sz="4" w:space="0" w:color="auto"/>
            </w:tcBorders>
            <w:noWrap/>
            <w:hideMark/>
          </w:tcPr>
          <w:p w14:paraId="7BDFC1D6"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w:t>
            </w:r>
          </w:p>
        </w:tc>
        <w:tc>
          <w:tcPr>
            <w:tcW w:w="365" w:type="pct"/>
            <w:tcBorders>
              <w:top w:val="nil"/>
              <w:left w:val="nil"/>
              <w:bottom w:val="single" w:sz="4" w:space="0" w:color="auto"/>
              <w:right w:val="single" w:sz="4" w:space="0" w:color="auto"/>
            </w:tcBorders>
            <w:noWrap/>
            <w:hideMark/>
          </w:tcPr>
          <w:p w14:paraId="521C29C6"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w:t>
            </w:r>
          </w:p>
        </w:tc>
        <w:tc>
          <w:tcPr>
            <w:tcW w:w="277" w:type="pct"/>
            <w:tcBorders>
              <w:top w:val="nil"/>
              <w:left w:val="nil"/>
              <w:bottom w:val="single" w:sz="4" w:space="0" w:color="auto"/>
              <w:right w:val="single" w:sz="4" w:space="0" w:color="auto"/>
            </w:tcBorders>
            <w:noWrap/>
            <w:hideMark/>
          </w:tcPr>
          <w:p w14:paraId="1D7B7483"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w:t>
            </w:r>
          </w:p>
        </w:tc>
        <w:tc>
          <w:tcPr>
            <w:tcW w:w="501" w:type="pct"/>
            <w:gridSpan w:val="2"/>
            <w:tcBorders>
              <w:top w:val="nil"/>
              <w:left w:val="nil"/>
              <w:bottom w:val="single" w:sz="4" w:space="0" w:color="auto"/>
              <w:right w:val="single" w:sz="4" w:space="0" w:color="auto"/>
            </w:tcBorders>
            <w:noWrap/>
            <w:hideMark/>
          </w:tcPr>
          <w:p w14:paraId="2431886E"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142</w:t>
            </w:r>
          </w:p>
        </w:tc>
        <w:tc>
          <w:tcPr>
            <w:tcW w:w="278" w:type="pct"/>
            <w:tcBorders>
              <w:top w:val="nil"/>
              <w:left w:val="nil"/>
              <w:bottom w:val="single" w:sz="4" w:space="0" w:color="auto"/>
              <w:right w:val="single" w:sz="4" w:space="0" w:color="auto"/>
            </w:tcBorders>
            <w:noWrap/>
            <w:hideMark/>
          </w:tcPr>
          <w:p w14:paraId="1B4B9857"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0.85</w:t>
            </w:r>
          </w:p>
        </w:tc>
        <w:tc>
          <w:tcPr>
            <w:tcW w:w="365" w:type="pct"/>
            <w:tcBorders>
              <w:top w:val="nil"/>
              <w:left w:val="nil"/>
              <w:bottom w:val="single" w:sz="4" w:space="0" w:color="auto"/>
              <w:right w:val="single" w:sz="4" w:space="0" w:color="auto"/>
            </w:tcBorders>
            <w:noWrap/>
            <w:hideMark/>
          </w:tcPr>
          <w:p w14:paraId="3E1FF3CF"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9.86</w:t>
            </w:r>
          </w:p>
        </w:tc>
        <w:tc>
          <w:tcPr>
            <w:tcW w:w="312" w:type="pct"/>
            <w:gridSpan w:val="2"/>
            <w:tcBorders>
              <w:top w:val="nil"/>
              <w:left w:val="nil"/>
              <w:bottom w:val="single" w:sz="4" w:space="0" w:color="auto"/>
              <w:right w:val="single" w:sz="4" w:space="0" w:color="auto"/>
            </w:tcBorders>
            <w:noWrap/>
            <w:hideMark/>
          </w:tcPr>
          <w:p w14:paraId="6AD91A7F"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0.42</w:t>
            </w:r>
          </w:p>
        </w:tc>
      </w:tr>
      <w:tr w:rsidR="009A0A63" w:rsidRPr="00792B36" w14:paraId="5CAEDCD2" w14:textId="77777777" w:rsidTr="00A24459">
        <w:trPr>
          <w:trHeight w:val="264"/>
        </w:trPr>
        <w:tc>
          <w:tcPr>
            <w:tcW w:w="777" w:type="pct"/>
            <w:tcBorders>
              <w:top w:val="nil"/>
              <w:left w:val="single" w:sz="4" w:space="0" w:color="auto"/>
              <w:bottom w:val="single" w:sz="4" w:space="0" w:color="auto"/>
              <w:right w:val="single" w:sz="4" w:space="0" w:color="auto"/>
            </w:tcBorders>
            <w:noWrap/>
            <w:hideMark/>
          </w:tcPr>
          <w:p w14:paraId="48831990" w14:textId="77777777" w:rsidR="009A0A63" w:rsidRPr="00792B36" w:rsidRDefault="009A0A63" w:rsidP="00A24459">
            <w:pPr>
              <w:rPr>
                <w:rFonts w:eastAsia="Times New Roman"/>
                <w:color w:val="000000"/>
                <w:sz w:val="24"/>
                <w:szCs w:val="24"/>
              </w:rPr>
            </w:pPr>
            <w:r w:rsidRPr="00792B36">
              <w:rPr>
                <w:rFonts w:eastAsia="Times New Roman"/>
                <w:color w:val="000000"/>
                <w:sz w:val="24"/>
                <w:szCs w:val="24"/>
              </w:rPr>
              <w:t>Total</w:t>
            </w:r>
          </w:p>
        </w:tc>
        <w:tc>
          <w:tcPr>
            <w:tcW w:w="130" w:type="pct"/>
            <w:tcBorders>
              <w:top w:val="nil"/>
              <w:left w:val="nil"/>
              <w:bottom w:val="single" w:sz="4" w:space="0" w:color="auto"/>
              <w:right w:val="single" w:sz="4" w:space="0" w:color="auto"/>
            </w:tcBorders>
            <w:noWrap/>
            <w:hideMark/>
          </w:tcPr>
          <w:p w14:paraId="68788A91"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1504</w:t>
            </w:r>
          </w:p>
        </w:tc>
        <w:tc>
          <w:tcPr>
            <w:tcW w:w="401" w:type="pct"/>
            <w:tcBorders>
              <w:top w:val="nil"/>
              <w:left w:val="nil"/>
              <w:bottom w:val="single" w:sz="4" w:space="0" w:color="auto"/>
              <w:right w:val="single" w:sz="4" w:space="0" w:color="auto"/>
            </w:tcBorders>
            <w:noWrap/>
            <w:hideMark/>
          </w:tcPr>
          <w:p w14:paraId="7368D409"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14,876.17</w:t>
            </w:r>
          </w:p>
        </w:tc>
        <w:tc>
          <w:tcPr>
            <w:tcW w:w="312" w:type="pct"/>
            <w:tcBorders>
              <w:top w:val="nil"/>
              <w:left w:val="nil"/>
              <w:bottom w:val="single" w:sz="4" w:space="0" w:color="auto"/>
              <w:right w:val="single" w:sz="4" w:space="0" w:color="auto"/>
            </w:tcBorders>
            <w:noWrap/>
            <w:hideMark/>
          </w:tcPr>
          <w:p w14:paraId="179B44AC"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100.00</w:t>
            </w:r>
          </w:p>
        </w:tc>
        <w:tc>
          <w:tcPr>
            <w:tcW w:w="347" w:type="pct"/>
            <w:tcBorders>
              <w:top w:val="nil"/>
              <w:left w:val="nil"/>
              <w:bottom w:val="single" w:sz="4" w:space="0" w:color="auto"/>
              <w:right w:val="single" w:sz="4" w:space="0" w:color="auto"/>
            </w:tcBorders>
            <w:noWrap/>
            <w:hideMark/>
          </w:tcPr>
          <w:p w14:paraId="3AA64770"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2784.23</w:t>
            </w:r>
          </w:p>
        </w:tc>
        <w:tc>
          <w:tcPr>
            <w:tcW w:w="312" w:type="pct"/>
            <w:tcBorders>
              <w:top w:val="nil"/>
              <w:left w:val="nil"/>
              <w:bottom w:val="single" w:sz="4" w:space="0" w:color="auto"/>
              <w:right w:val="single" w:sz="4" w:space="0" w:color="auto"/>
            </w:tcBorders>
            <w:noWrap/>
            <w:hideMark/>
          </w:tcPr>
          <w:p w14:paraId="180F5C12"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100.00</w:t>
            </w:r>
          </w:p>
        </w:tc>
        <w:tc>
          <w:tcPr>
            <w:tcW w:w="312" w:type="pct"/>
            <w:tcBorders>
              <w:top w:val="nil"/>
              <w:left w:val="nil"/>
              <w:bottom w:val="single" w:sz="4" w:space="0" w:color="auto"/>
              <w:right w:val="single" w:sz="4" w:space="0" w:color="auto"/>
            </w:tcBorders>
            <w:noWrap/>
            <w:hideMark/>
          </w:tcPr>
          <w:p w14:paraId="204BE3DA"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356.89</w:t>
            </w:r>
          </w:p>
        </w:tc>
        <w:tc>
          <w:tcPr>
            <w:tcW w:w="312" w:type="pct"/>
            <w:tcBorders>
              <w:top w:val="nil"/>
              <w:left w:val="nil"/>
              <w:bottom w:val="single" w:sz="4" w:space="0" w:color="auto"/>
              <w:right w:val="single" w:sz="4" w:space="0" w:color="auto"/>
            </w:tcBorders>
            <w:noWrap/>
            <w:hideMark/>
          </w:tcPr>
          <w:p w14:paraId="1A70D659"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12.82</w:t>
            </w:r>
          </w:p>
        </w:tc>
        <w:tc>
          <w:tcPr>
            <w:tcW w:w="365" w:type="pct"/>
            <w:tcBorders>
              <w:top w:val="nil"/>
              <w:left w:val="nil"/>
              <w:bottom w:val="single" w:sz="4" w:space="0" w:color="auto"/>
              <w:right w:val="single" w:sz="4" w:space="0" w:color="auto"/>
            </w:tcBorders>
            <w:noWrap/>
            <w:hideMark/>
          </w:tcPr>
          <w:p w14:paraId="75DBD7FD"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2,427.34</w:t>
            </w:r>
          </w:p>
        </w:tc>
        <w:tc>
          <w:tcPr>
            <w:tcW w:w="277" w:type="pct"/>
            <w:tcBorders>
              <w:top w:val="nil"/>
              <w:left w:val="nil"/>
              <w:bottom w:val="single" w:sz="4" w:space="0" w:color="auto"/>
              <w:right w:val="single" w:sz="4" w:space="0" w:color="auto"/>
            </w:tcBorders>
            <w:noWrap/>
            <w:hideMark/>
          </w:tcPr>
          <w:p w14:paraId="0DFA05F1"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87.18</w:t>
            </w:r>
          </w:p>
        </w:tc>
        <w:tc>
          <w:tcPr>
            <w:tcW w:w="501" w:type="pct"/>
            <w:gridSpan w:val="2"/>
            <w:tcBorders>
              <w:top w:val="nil"/>
              <w:left w:val="nil"/>
              <w:bottom w:val="single" w:sz="4" w:space="0" w:color="auto"/>
              <w:right w:val="single" w:sz="4" w:space="0" w:color="auto"/>
            </w:tcBorders>
            <w:noWrap/>
            <w:hideMark/>
          </w:tcPr>
          <w:p w14:paraId="4BC299C9"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16,768</w:t>
            </w:r>
          </w:p>
        </w:tc>
        <w:tc>
          <w:tcPr>
            <w:tcW w:w="278" w:type="pct"/>
            <w:tcBorders>
              <w:top w:val="nil"/>
              <w:left w:val="nil"/>
              <w:bottom w:val="single" w:sz="4" w:space="0" w:color="auto"/>
              <w:right w:val="single" w:sz="4" w:space="0" w:color="auto"/>
            </w:tcBorders>
            <w:noWrap/>
            <w:hideMark/>
          </w:tcPr>
          <w:p w14:paraId="03928672"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100</w:t>
            </w:r>
          </w:p>
        </w:tc>
        <w:tc>
          <w:tcPr>
            <w:tcW w:w="365" w:type="pct"/>
            <w:tcBorders>
              <w:top w:val="nil"/>
              <w:left w:val="nil"/>
              <w:bottom w:val="single" w:sz="4" w:space="0" w:color="auto"/>
              <w:right w:val="single" w:sz="4" w:space="0" w:color="auto"/>
            </w:tcBorders>
            <w:noWrap/>
            <w:hideMark/>
          </w:tcPr>
          <w:p w14:paraId="273C6F66"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2,374.97</w:t>
            </w:r>
          </w:p>
        </w:tc>
        <w:tc>
          <w:tcPr>
            <w:tcW w:w="312" w:type="pct"/>
            <w:gridSpan w:val="2"/>
            <w:tcBorders>
              <w:top w:val="nil"/>
              <w:left w:val="nil"/>
              <w:bottom w:val="single" w:sz="4" w:space="0" w:color="auto"/>
              <w:right w:val="single" w:sz="4" w:space="0" w:color="auto"/>
            </w:tcBorders>
            <w:noWrap/>
            <w:hideMark/>
          </w:tcPr>
          <w:p w14:paraId="548A676E" w14:textId="77777777" w:rsidR="009A0A63" w:rsidRPr="00792B36" w:rsidRDefault="009A0A63" w:rsidP="00A24459">
            <w:pPr>
              <w:jc w:val="center"/>
              <w:rPr>
                <w:rFonts w:eastAsia="Times New Roman"/>
                <w:color w:val="000000"/>
                <w:sz w:val="24"/>
                <w:szCs w:val="24"/>
              </w:rPr>
            </w:pPr>
            <w:r w:rsidRPr="00792B36">
              <w:rPr>
                <w:rFonts w:eastAsia="Times New Roman"/>
                <w:color w:val="000000"/>
                <w:sz w:val="24"/>
                <w:szCs w:val="24"/>
              </w:rPr>
              <w:t>100.00</w:t>
            </w:r>
          </w:p>
        </w:tc>
      </w:tr>
    </w:tbl>
    <w:p w14:paraId="3B5A59C7" w14:textId="77777777" w:rsidR="009A0A63" w:rsidRPr="00792B36" w:rsidRDefault="009A0A63" w:rsidP="009A0A63">
      <w:pPr>
        <w:pStyle w:val="NormalWeb"/>
        <w:spacing w:before="0" w:beforeAutospacing="0" w:after="0" w:afterAutospacing="0"/>
        <w:ind w:left="993" w:hanging="993"/>
        <w:contextualSpacing/>
        <w:rPr>
          <w:rFonts w:ascii="Arial" w:hAnsi="Arial" w:cs="Arial"/>
          <w:color w:val="000000"/>
        </w:rPr>
      </w:pPr>
      <w:r w:rsidRPr="00792B36">
        <w:rPr>
          <w:rFonts w:ascii="Arial" w:hAnsi="Arial" w:cs="Arial"/>
          <w:i/>
        </w:rPr>
        <w:t xml:space="preserve">Sources: </w:t>
      </w:r>
    </w:p>
    <w:p w14:paraId="1432F9F1" w14:textId="77777777" w:rsidR="009A0A63" w:rsidRPr="00792B36" w:rsidRDefault="009A0A63" w:rsidP="009A0A63">
      <w:pPr>
        <w:rPr>
          <w:sz w:val="24"/>
          <w:szCs w:val="24"/>
        </w:rPr>
      </w:pPr>
      <w:r w:rsidRPr="00792B36">
        <w:rPr>
          <w:color w:val="000000"/>
          <w:sz w:val="24"/>
          <w:szCs w:val="24"/>
        </w:rPr>
        <w:t>1.</w:t>
      </w:r>
      <w:r w:rsidRPr="00792B36">
        <w:rPr>
          <w:sz w:val="24"/>
          <w:szCs w:val="24"/>
        </w:rPr>
        <w:t xml:space="preserve"> Thailand Board of investment (BOI). (2025). BOI Data: Investment Promotion Statistical Reports (from 2015 onwards)</w:t>
      </w:r>
      <w:r w:rsidRPr="00792B36">
        <w:rPr>
          <w:sz w:val="24"/>
          <w:szCs w:val="24"/>
          <w:cs/>
        </w:rPr>
        <w:t xml:space="preserve">. </w:t>
      </w:r>
      <w:r w:rsidRPr="00792B36">
        <w:rPr>
          <w:color w:val="000000"/>
          <w:sz w:val="24"/>
          <w:szCs w:val="24"/>
        </w:rPr>
        <w:t>Retrieved September 3, 2025</w:t>
      </w:r>
      <w:r w:rsidRPr="00792B36">
        <w:rPr>
          <w:sz w:val="24"/>
          <w:szCs w:val="24"/>
        </w:rPr>
        <w:t xml:space="preserve"> from </w:t>
      </w:r>
      <w:r w:rsidRPr="00792B36">
        <w:rPr>
          <w:sz w:val="24"/>
          <w:szCs w:val="24"/>
        </w:rPr>
        <w:fldChar w:fldCharType="begin"/>
      </w:r>
      <w:r w:rsidRPr="00792B36">
        <w:rPr>
          <w:sz w:val="24"/>
          <w:szCs w:val="24"/>
        </w:rPr>
        <w:instrText>HYPERLINK "https://ipstat.boi.go.th/pubrpt/index.php"</w:instrText>
      </w:r>
      <w:r w:rsidRPr="00792B36">
        <w:rPr>
          <w:sz w:val="24"/>
          <w:szCs w:val="24"/>
        </w:rPr>
      </w:r>
      <w:r w:rsidRPr="00792B36">
        <w:rPr>
          <w:sz w:val="24"/>
          <w:szCs w:val="24"/>
        </w:rPr>
        <w:fldChar w:fldCharType="separate"/>
      </w:r>
      <w:r w:rsidRPr="00792B36">
        <w:rPr>
          <w:rStyle w:val="Hyperlink"/>
          <w:sz w:val="24"/>
          <w:szCs w:val="24"/>
        </w:rPr>
        <w:t>https://ipstat.boi.go.th/pubrpt/index.php</w:t>
      </w:r>
      <w:r w:rsidRPr="00792B36">
        <w:rPr>
          <w:sz w:val="24"/>
          <w:szCs w:val="24"/>
        </w:rPr>
        <w:fldChar w:fldCharType="end"/>
      </w:r>
    </w:p>
    <w:p w14:paraId="02AB5371" w14:textId="77777777" w:rsidR="009A0A63" w:rsidRPr="00792B36" w:rsidRDefault="009A0A63" w:rsidP="009A0A63">
      <w:pPr>
        <w:pStyle w:val="NormalWeb"/>
        <w:spacing w:before="0" w:beforeAutospacing="0" w:after="0" w:afterAutospacing="0"/>
        <w:ind w:left="993" w:hanging="993"/>
        <w:contextualSpacing/>
        <w:rPr>
          <w:rFonts w:ascii="Arial" w:hAnsi="Arial" w:cs="Arial"/>
          <w:iCs/>
          <w:cs/>
        </w:rPr>
      </w:pPr>
      <w:r w:rsidRPr="00792B36">
        <w:rPr>
          <w:rFonts w:ascii="Arial" w:hAnsi="Arial" w:cs="Arial"/>
          <w:iCs/>
        </w:rPr>
        <w:t xml:space="preserve">2. </w:t>
      </w:r>
      <w:r w:rsidRPr="00792B36">
        <w:rPr>
          <w:rFonts w:ascii="Arial" w:hAnsi="Arial" w:cs="Arial"/>
          <w:color w:val="000000"/>
        </w:rPr>
        <w:t>Department of Business Development (DBD)</w:t>
      </w:r>
      <w:r w:rsidRPr="00792B36">
        <w:rPr>
          <w:rFonts w:ascii="Arial" w:hAnsi="Arial" w:cs="Arial"/>
          <w:iCs/>
        </w:rPr>
        <w:t xml:space="preserve">. (2025). </w:t>
      </w:r>
      <w:r w:rsidRPr="00792B36">
        <w:rPr>
          <w:rFonts w:ascii="Arial" w:hAnsi="Arial" w:cs="Arial"/>
        </w:rPr>
        <w:t>Statistics data 2024</w:t>
      </w:r>
      <w:r w:rsidRPr="00792B36">
        <w:rPr>
          <w:rFonts w:ascii="Arial" w:hAnsi="Arial" w:cs="Arial"/>
          <w:iCs/>
        </w:rPr>
        <w:t>. Retrieved September</w:t>
      </w:r>
      <w:r w:rsidRPr="00792B36">
        <w:rPr>
          <w:rFonts w:ascii="Arial" w:hAnsi="Arial" w:cs="Arial"/>
          <w:color w:val="000000"/>
        </w:rPr>
        <w:t xml:space="preserve"> 3, 2025 </w:t>
      </w:r>
      <w:r w:rsidRPr="00792B36">
        <w:rPr>
          <w:rFonts w:ascii="Arial" w:hAnsi="Arial" w:cs="Arial"/>
          <w:iCs/>
        </w:rPr>
        <w:t>from https://www.dbd.go.th/common-article/24</w:t>
      </w:r>
    </w:p>
    <w:p w14:paraId="01ACD512" w14:textId="77777777" w:rsidR="009A0A63" w:rsidRPr="00792B36" w:rsidRDefault="009A0A63" w:rsidP="009A0A63">
      <w:pPr>
        <w:rPr>
          <w:sz w:val="24"/>
          <w:szCs w:val="24"/>
        </w:rPr>
      </w:pPr>
    </w:p>
    <w:p w14:paraId="5E76BDCD" w14:textId="77777777" w:rsidR="009A0A63" w:rsidRPr="00792B36" w:rsidRDefault="009A0A63" w:rsidP="009A0A63">
      <w:pPr>
        <w:spacing w:before="120" w:after="120"/>
        <w:contextualSpacing/>
        <w:rPr>
          <w:sz w:val="24"/>
          <w:szCs w:val="24"/>
        </w:rPr>
        <w:sectPr w:rsidR="009A0A63" w:rsidRPr="00792B36" w:rsidSect="003332A9">
          <w:type w:val="continuous"/>
          <w:pgSz w:w="11906" w:h="16838"/>
          <w:pgMar w:top="1440" w:right="1440" w:bottom="1440" w:left="1440" w:header="708" w:footer="708" w:gutter="0"/>
          <w:cols w:space="708"/>
          <w:docGrid w:linePitch="435"/>
        </w:sectPr>
      </w:pPr>
    </w:p>
    <w:p w14:paraId="0C5C3D09" w14:textId="77777777" w:rsidR="009A0A63" w:rsidRPr="00792B36" w:rsidRDefault="009A0A63" w:rsidP="009A0A63">
      <w:pPr>
        <w:rPr>
          <w:sz w:val="24"/>
          <w:szCs w:val="24"/>
        </w:rPr>
      </w:pPr>
      <w:r w:rsidRPr="00792B36">
        <w:rPr>
          <w:b/>
          <w:bCs/>
          <w:sz w:val="24"/>
          <w:szCs w:val="24"/>
          <w:lang w:val="en"/>
        </w:rPr>
        <w:lastRenderedPageBreak/>
        <w:t>Annex 6:</w:t>
      </w:r>
      <w:r w:rsidRPr="00792B36">
        <w:rPr>
          <w:sz w:val="24"/>
          <w:szCs w:val="24"/>
          <w:lang w:val="en"/>
        </w:rPr>
        <w:t xml:space="preserve"> </w:t>
      </w:r>
      <w:r w:rsidRPr="00792B36">
        <w:rPr>
          <w:sz w:val="24"/>
          <w:szCs w:val="24"/>
        </w:rPr>
        <w:t>Government agencies with roles in the marine space</w:t>
      </w:r>
    </w:p>
    <w:p w14:paraId="499E2CC1" w14:textId="77777777" w:rsidR="009A0A63" w:rsidRPr="00792B36" w:rsidRDefault="009A0A63" w:rsidP="009A0A63">
      <w:pPr>
        <w:rPr>
          <w:sz w:val="24"/>
          <w:szCs w:val="24"/>
        </w:rPr>
      </w:pPr>
    </w:p>
    <w:tbl>
      <w:tblPr>
        <w:tblStyle w:val="TableGrid"/>
        <w:tblW w:w="9209" w:type="dxa"/>
        <w:tblLook w:val="04A0" w:firstRow="1" w:lastRow="0" w:firstColumn="1" w:lastColumn="0" w:noHBand="0" w:noVBand="1"/>
      </w:tblPr>
      <w:tblGrid>
        <w:gridCol w:w="2074"/>
        <w:gridCol w:w="2260"/>
        <w:gridCol w:w="4875"/>
      </w:tblGrid>
      <w:tr w:rsidR="009A0A63" w:rsidRPr="00792B36" w14:paraId="4619145A" w14:textId="77777777" w:rsidTr="00A24459">
        <w:trPr>
          <w:tblHeader/>
        </w:trPr>
        <w:tc>
          <w:tcPr>
            <w:tcW w:w="0" w:type="auto"/>
          </w:tcPr>
          <w:p w14:paraId="5427C194" w14:textId="77777777" w:rsidR="009A0A63" w:rsidRPr="00792B36" w:rsidRDefault="009A0A63" w:rsidP="00A24459">
            <w:pPr>
              <w:rPr>
                <w:b/>
                <w:sz w:val="24"/>
                <w:szCs w:val="24"/>
              </w:rPr>
            </w:pPr>
            <w:r w:rsidRPr="00792B36">
              <w:rPr>
                <w:b/>
                <w:sz w:val="24"/>
                <w:szCs w:val="24"/>
              </w:rPr>
              <w:t>Ministry</w:t>
            </w:r>
          </w:p>
        </w:tc>
        <w:tc>
          <w:tcPr>
            <w:tcW w:w="0" w:type="auto"/>
          </w:tcPr>
          <w:p w14:paraId="143A1FF6" w14:textId="77777777" w:rsidR="009A0A63" w:rsidRPr="00792B36" w:rsidRDefault="009A0A63" w:rsidP="00A24459">
            <w:pPr>
              <w:rPr>
                <w:b/>
                <w:sz w:val="24"/>
                <w:szCs w:val="24"/>
              </w:rPr>
            </w:pPr>
            <w:r w:rsidRPr="00792B36">
              <w:rPr>
                <w:b/>
                <w:sz w:val="24"/>
                <w:szCs w:val="24"/>
              </w:rPr>
              <w:t>Agency</w:t>
            </w:r>
          </w:p>
        </w:tc>
        <w:tc>
          <w:tcPr>
            <w:tcW w:w="4875" w:type="dxa"/>
          </w:tcPr>
          <w:p w14:paraId="14E8E800" w14:textId="77777777" w:rsidR="009A0A63" w:rsidRPr="00792B36" w:rsidRDefault="009A0A63" w:rsidP="00A24459">
            <w:pPr>
              <w:rPr>
                <w:b/>
                <w:sz w:val="24"/>
                <w:szCs w:val="24"/>
              </w:rPr>
            </w:pPr>
            <w:r w:rsidRPr="00792B36">
              <w:rPr>
                <w:b/>
                <w:sz w:val="24"/>
                <w:szCs w:val="24"/>
              </w:rPr>
              <w:t>Activities</w:t>
            </w:r>
          </w:p>
        </w:tc>
      </w:tr>
      <w:tr w:rsidR="009A0A63" w:rsidRPr="00792B36" w14:paraId="1CBF01CF" w14:textId="77777777" w:rsidTr="00A24459">
        <w:tc>
          <w:tcPr>
            <w:tcW w:w="0" w:type="auto"/>
            <w:vMerge w:val="restart"/>
          </w:tcPr>
          <w:p w14:paraId="4B2E9E0E" w14:textId="77777777" w:rsidR="009A0A63" w:rsidRPr="00792B36" w:rsidRDefault="009A0A63" w:rsidP="00A24459">
            <w:pPr>
              <w:rPr>
                <w:sz w:val="24"/>
                <w:szCs w:val="24"/>
              </w:rPr>
            </w:pPr>
            <w:r w:rsidRPr="00792B36">
              <w:rPr>
                <w:sz w:val="24"/>
                <w:szCs w:val="24"/>
              </w:rPr>
              <w:t>Ministry of Natural Resources and Environment</w:t>
            </w:r>
          </w:p>
        </w:tc>
        <w:tc>
          <w:tcPr>
            <w:tcW w:w="0" w:type="auto"/>
          </w:tcPr>
          <w:p w14:paraId="5672655D" w14:textId="77777777" w:rsidR="009A0A63" w:rsidRPr="00792B36" w:rsidRDefault="009A0A63" w:rsidP="00A24459">
            <w:pPr>
              <w:rPr>
                <w:sz w:val="24"/>
                <w:szCs w:val="24"/>
              </w:rPr>
            </w:pPr>
            <w:r w:rsidRPr="00792B36">
              <w:rPr>
                <w:sz w:val="24"/>
                <w:szCs w:val="24"/>
              </w:rPr>
              <w:t>Department of Marine and Coastal Resources (DMCR)</w:t>
            </w:r>
          </w:p>
        </w:tc>
        <w:tc>
          <w:tcPr>
            <w:tcW w:w="4875" w:type="dxa"/>
          </w:tcPr>
          <w:p w14:paraId="7DA7784C" w14:textId="77777777" w:rsidR="009A0A63" w:rsidRPr="00792B36" w:rsidRDefault="009A0A63" w:rsidP="00A24459">
            <w:pPr>
              <w:rPr>
                <w:sz w:val="24"/>
                <w:szCs w:val="24"/>
              </w:rPr>
            </w:pPr>
            <w:r w:rsidRPr="00792B36">
              <w:rPr>
                <w:sz w:val="24"/>
                <w:szCs w:val="24"/>
              </w:rPr>
              <w:t>Conserving, rehabilitating, and managing Thailand’s marine and coastal resources. Its responsibilities include establishing marine and coastal protected areas, restoring ecosystems such as mangroves, seagrass, and coral reefs, promoting sustainable use of resources, and coordinating Marine Spatial Planning (MSP)</w:t>
            </w:r>
          </w:p>
        </w:tc>
      </w:tr>
      <w:tr w:rsidR="009A0A63" w:rsidRPr="00792B36" w14:paraId="6720313B" w14:textId="77777777" w:rsidTr="00A24459">
        <w:tc>
          <w:tcPr>
            <w:tcW w:w="0" w:type="auto"/>
            <w:vMerge/>
          </w:tcPr>
          <w:p w14:paraId="66B521F6" w14:textId="77777777" w:rsidR="009A0A63" w:rsidRPr="00792B36" w:rsidRDefault="009A0A63" w:rsidP="00A24459">
            <w:pPr>
              <w:rPr>
                <w:sz w:val="24"/>
                <w:szCs w:val="24"/>
              </w:rPr>
            </w:pPr>
          </w:p>
        </w:tc>
        <w:tc>
          <w:tcPr>
            <w:tcW w:w="0" w:type="auto"/>
          </w:tcPr>
          <w:p w14:paraId="4DE4CA4F" w14:textId="77777777" w:rsidR="009A0A63" w:rsidRPr="00792B36" w:rsidRDefault="009A0A63" w:rsidP="00A24459">
            <w:pPr>
              <w:rPr>
                <w:sz w:val="24"/>
                <w:szCs w:val="24"/>
              </w:rPr>
            </w:pPr>
            <w:r w:rsidRPr="00792B36">
              <w:rPr>
                <w:sz w:val="24"/>
                <w:szCs w:val="24"/>
              </w:rPr>
              <w:t>Department of Pollution Control (PCD)</w:t>
            </w:r>
          </w:p>
        </w:tc>
        <w:tc>
          <w:tcPr>
            <w:tcW w:w="4875" w:type="dxa"/>
          </w:tcPr>
          <w:p w14:paraId="5D3220C6" w14:textId="77777777" w:rsidR="009A0A63" w:rsidRPr="00792B36" w:rsidRDefault="009A0A63" w:rsidP="00A24459">
            <w:pPr>
              <w:rPr>
                <w:sz w:val="24"/>
                <w:szCs w:val="24"/>
              </w:rPr>
            </w:pPr>
            <w:r w:rsidRPr="00792B36">
              <w:rPr>
                <w:sz w:val="24"/>
                <w:szCs w:val="24"/>
              </w:rPr>
              <w:t>Preventing, controlling, and mitigating marine and coastal pollution in Thailand. Its mandate covers monitoring water quality, regulating land-based pollution sources, managing waste and hazardous materials, and coordinating oil spill responses.</w:t>
            </w:r>
          </w:p>
        </w:tc>
      </w:tr>
      <w:tr w:rsidR="009A0A63" w:rsidRPr="00792B36" w14:paraId="4A061F10" w14:textId="77777777" w:rsidTr="00A24459">
        <w:tc>
          <w:tcPr>
            <w:tcW w:w="0" w:type="auto"/>
            <w:vMerge/>
          </w:tcPr>
          <w:p w14:paraId="590D9473" w14:textId="77777777" w:rsidR="009A0A63" w:rsidRPr="00792B36" w:rsidRDefault="009A0A63" w:rsidP="00A24459">
            <w:pPr>
              <w:rPr>
                <w:sz w:val="24"/>
                <w:szCs w:val="24"/>
              </w:rPr>
            </w:pPr>
          </w:p>
        </w:tc>
        <w:tc>
          <w:tcPr>
            <w:tcW w:w="0" w:type="auto"/>
          </w:tcPr>
          <w:p w14:paraId="7904EED1" w14:textId="77777777" w:rsidR="009A0A63" w:rsidRPr="00792B36" w:rsidRDefault="009A0A63" w:rsidP="00A24459">
            <w:pPr>
              <w:rPr>
                <w:sz w:val="24"/>
                <w:szCs w:val="24"/>
              </w:rPr>
            </w:pPr>
            <w:r w:rsidRPr="00792B36">
              <w:rPr>
                <w:sz w:val="24"/>
                <w:szCs w:val="24"/>
              </w:rPr>
              <w:t>Department of National Parks, Wildlife and Plant Conservation (DNP)</w:t>
            </w:r>
          </w:p>
        </w:tc>
        <w:tc>
          <w:tcPr>
            <w:tcW w:w="4875" w:type="dxa"/>
          </w:tcPr>
          <w:p w14:paraId="4D4ACF78" w14:textId="77777777" w:rsidR="009A0A63" w:rsidRPr="00792B36" w:rsidRDefault="009A0A63" w:rsidP="00A24459">
            <w:pPr>
              <w:rPr>
                <w:sz w:val="24"/>
                <w:szCs w:val="24"/>
              </w:rPr>
            </w:pPr>
            <w:r w:rsidRPr="00792B36">
              <w:rPr>
                <w:sz w:val="24"/>
                <w:szCs w:val="24"/>
              </w:rPr>
              <w:t xml:space="preserve">Establishing and managing marine national parks in Thailand, protecting endangered marine species and coastal ecosystems. Its mandate covers law enforcement, ecological restoration, and the promotion of sustainable eco-tourism, ensuring that marine resources are conserved while supporting local livelihoods. </w:t>
            </w:r>
          </w:p>
        </w:tc>
      </w:tr>
      <w:tr w:rsidR="009A0A63" w:rsidRPr="00792B36" w14:paraId="7BC3EBC1" w14:textId="77777777" w:rsidTr="00A24459">
        <w:tc>
          <w:tcPr>
            <w:tcW w:w="0" w:type="auto"/>
            <w:vMerge/>
          </w:tcPr>
          <w:p w14:paraId="67E274F0" w14:textId="77777777" w:rsidR="009A0A63" w:rsidRPr="00792B36" w:rsidRDefault="009A0A63" w:rsidP="00A24459">
            <w:pPr>
              <w:rPr>
                <w:sz w:val="24"/>
                <w:szCs w:val="24"/>
              </w:rPr>
            </w:pPr>
          </w:p>
        </w:tc>
        <w:tc>
          <w:tcPr>
            <w:tcW w:w="0" w:type="auto"/>
          </w:tcPr>
          <w:p w14:paraId="75AD0A01" w14:textId="77777777" w:rsidR="009A0A63" w:rsidRPr="00792B36" w:rsidRDefault="009A0A63" w:rsidP="00A24459">
            <w:pPr>
              <w:rPr>
                <w:sz w:val="24"/>
                <w:szCs w:val="24"/>
              </w:rPr>
            </w:pPr>
            <w:r w:rsidRPr="00792B36">
              <w:rPr>
                <w:sz w:val="24"/>
                <w:szCs w:val="24"/>
              </w:rPr>
              <w:t>Office of Natural Resources and Environmental Policy and Planning (ONEP)</w:t>
            </w:r>
          </w:p>
        </w:tc>
        <w:tc>
          <w:tcPr>
            <w:tcW w:w="4875" w:type="dxa"/>
          </w:tcPr>
          <w:p w14:paraId="0A65BB02" w14:textId="77777777" w:rsidR="009A0A63" w:rsidRPr="00792B36" w:rsidRDefault="009A0A63" w:rsidP="00A24459">
            <w:pPr>
              <w:rPr>
                <w:sz w:val="24"/>
                <w:szCs w:val="24"/>
              </w:rPr>
            </w:pPr>
            <w:r w:rsidRPr="00792B36">
              <w:rPr>
                <w:sz w:val="24"/>
                <w:szCs w:val="24"/>
              </w:rPr>
              <w:t>Proposes policies and plans for the conservation and management of natural resources and the environment, and oversees environmental impact assessments and environmental consents.</w:t>
            </w:r>
          </w:p>
        </w:tc>
      </w:tr>
      <w:tr w:rsidR="009A0A63" w:rsidRPr="00792B36" w14:paraId="3021D12E" w14:textId="77777777" w:rsidTr="00A24459">
        <w:trPr>
          <w:trHeight w:val="1879"/>
        </w:trPr>
        <w:tc>
          <w:tcPr>
            <w:tcW w:w="0" w:type="auto"/>
            <w:vMerge/>
          </w:tcPr>
          <w:p w14:paraId="26383583" w14:textId="77777777" w:rsidR="009A0A63" w:rsidRPr="00792B36" w:rsidRDefault="009A0A63" w:rsidP="00A24459">
            <w:pPr>
              <w:rPr>
                <w:sz w:val="24"/>
                <w:szCs w:val="24"/>
              </w:rPr>
            </w:pPr>
          </w:p>
        </w:tc>
        <w:tc>
          <w:tcPr>
            <w:tcW w:w="0" w:type="auto"/>
          </w:tcPr>
          <w:p w14:paraId="5569B9BB" w14:textId="77777777" w:rsidR="009A0A63" w:rsidRPr="00792B36" w:rsidRDefault="009A0A63" w:rsidP="00A24459">
            <w:pPr>
              <w:rPr>
                <w:sz w:val="24"/>
                <w:szCs w:val="24"/>
              </w:rPr>
            </w:pPr>
            <w:r w:rsidRPr="00792B36">
              <w:rPr>
                <w:sz w:val="24"/>
                <w:szCs w:val="24"/>
              </w:rPr>
              <w:t>Department of Climate Change and Environment (DCCE)</w:t>
            </w:r>
          </w:p>
        </w:tc>
        <w:tc>
          <w:tcPr>
            <w:tcW w:w="4875" w:type="dxa"/>
          </w:tcPr>
          <w:p w14:paraId="54071E4A" w14:textId="77777777" w:rsidR="009A0A63" w:rsidRPr="00792B36" w:rsidRDefault="009A0A63" w:rsidP="00A24459">
            <w:pPr>
              <w:pStyle w:val="Heading5"/>
              <w:shd w:val="clear" w:color="auto" w:fill="FFFFFF"/>
              <w:spacing w:before="0" w:after="0"/>
              <w:rPr>
                <w:rFonts w:eastAsiaTheme="minorHAnsi"/>
                <w:color w:val="C0504D" w:themeColor="accent2"/>
                <w:sz w:val="24"/>
                <w:szCs w:val="24"/>
              </w:rPr>
            </w:pPr>
            <w:r w:rsidRPr="00792B36">
              <w:rPr>
                <w:rFonts w:eastAsiaTheme="minorHAnsi"/>
                <w:sz w:val="24"/>
                <w:szCs w:val="24"/>
              </w:rPr>
              <w:t>Recently created (announced in the Royal Gazette, Effective from 18 August 2023). central coordination agency of the country under the United Nations Framework Convention on Climate Change, and drive Thailand's climate change operations, including greenhouse gas reduction (Mitigation), adaptation (Adaptation), and enhancing management capabilities</w:t>
            </w:r>
          </w:p>
        </w:tc>
      </w:tr>
      <w:tr w:rsidR="009A0A63" w:rsidRPr="00792B36" w14:paraId="2A7AC96E" w14:textId="77777777" w:rsidTr="00A24459">
        <w:tc>
          <w:tcPr>
            <w:tcW w:w="0" w:type="auto"/>
          </w:tcPr>
          <w:p w14:paraId="1C629274" w14:textId="77777777" w:rsidR="009A0A63" w:rsidRPr="00792B36" w:rsidRDefault="009A0A63" w:rsidP="00A24459">
            <w:pPr>
              <w:rPr>
                <w:sz w:val="24"/>
                <w:szCs w:val="24"/>
              </w:rPr>
            </w:pPr>
          </w:p>
        </w:tc>
        <w:tc>
          <w:tcPr>
            <w:tcW w:w="0" w:type="auto"/>
          </w:tcPr>
          <w:p w14:paraId="0C991D39" w14:textId="77777777" w:rsidR="009A0A63" w:rsidRPr="00792B36" w:rsidRDefault="009A0A63" w:rsidP="00A24459">
            <w:pPr>
              <w:rPr>
                <w:sz w:val="24"/>
                <w:szCs w:val="24"/>
              </w:rPr>
            </w:pPr>
            <w:r w:rsidRPr="00792B36">
              <w:rPr>
                <w:sz w:val="24"/>
                <w:szCs w:val="24"/>
              </w:rPr>
              <w:t xml:space="preserve">Department of Mineral Resources (DMR) </w:t>
            </w:r>
          </w:p>
        </w:tc>
        <w:tc>
          <w:tcPr>
            <w:tcW w:w="4875" w:type="dxa"/>
          </w:tcPr>
          <w:p w14:paraId="6902C635" w14:textId="77777777" w:rsidR="009A0A63" w:rsidRPr="00792B36" w:rsidRDefault="009A0A63" w:rsidP="00A24459">
            <w:pPr>
              <w:rPr>
                <w:sz w:val="24"/>
                <w:szCs w:val="24"/>
              </w:rPr>
            </w:pPr>
            <w:r w:rsidRPr="00792B36">
              <w:rPr>
                <w:sz w:val="24"/>
                <w:szCs w:val="24"/>
              </w:rPr>
              <w:t xml:space="preserve">The DMR is responsible for the conservation, restoration, and management of geological resources, fossils, environmental geology, and geological hazards. In relation to marine management, DMR contributes through coastal geology studies, monitoring shoreline changes, managing marine mineral resources, and assessing risks such as coastal erosion, tsunamis, and other geohazards. These </w:t>
            </w:r>
            <w:r w:rsidRPr="00792B36">
              <w:rPr>
                <w:sz w:val="24"/>
                <w:szCs w:val="24"/>
              </w:rPr>
              <w:lastRenderedPageBreak/>
              <w:t>functions support sustainable coastal development and disaster risk reduction in Thailand.</w:t>
            </w:r>
          </w:p>
        </w:tc>
      </w:tr>
      <w:tr w:rsidR="009A0A63" w:rsidRPr="00792B36" w14:paraId="42F579BC" w14:textId="77777777" w:rsidTr="00A24459">
        <w:tc>
          <w:tcPr>
            <w:tcW w:w="0" w:type="auto"/>
          </w:tcPr>
          <w:p w14:paraId="438E4333" w14:textId="77777777" w:rsidR="009A0A63" w:rsidRPr="00792B36" w:rsidRDefault="009A0A63" w:rsidP="00A24459">
            <w:pPr>
              <w:rPr>
                <w:sz w:val="24"/>
                <w:szCs w:val="24"/>
              </w:rPr>
            </w:pPr>
            <w:r w:rsidRPr="00792B36">
              <w:rPr>
                <w:sz w:val="24"/>
                <w:szCs w:val="24"/>
              </w:rPr>
              <w:lastRenderedPageBreak/>
              <w:t>Ministry of Agriculture and Cooperatives</w:t>
            </w:r>
          </w:p>
        </w:tc>
        <w:tc>
          <w:tcPr>
            <w:tcW w:w="0" w:type="auto"/>
          </w:tcPr>
          <w:p w14:paraId="43B4C4E2" w14:textId="77777777" w:rsidR="009A0A63" w:rsidRPr="00792B36" w:rsidRDefault="009A0A63" w:rsidP="00A24459">
            <w:pPr>
              <w:rPr>
                <w:sz w:val="24"/>
                <w:szCs w:val="24"/>
              </w:rPr>
            </w:pPr>
            <w:r w:rsidRPr="00792B36">
              <w:rPr>
                <w:sz w:val="24"/>
                <w:szCs w:val="24"/>
              </w:rPr>
              <w:t>Department of Fisheries</w:t>
            </w:r>
          </w:p>
        </w:tc>
        <w:tc>
          <w:tcPr>
            <w:tcW w:w="4875" w:type="dxa"/>
          </w:tcPr>
          <w:p w14:paraId="08F1E547" w14:textId="77777777" w:rsidR="009A0A63" w:rsidRPr="00792B36" w:rsidRDefault="009A0A63" w:rsidP="00A24459">
            <w:pPr>
              <w:rPr>
                <w:sz w:val="24"/>
                <w:szCs w:val="24"/>
                <w:cs/>
              </w:rPr>
            </w:pPr>
            <w:r w:rsidRPr="00792B36">
              <w:rPr>
                <w:sz w:val="24"/>
                <w:szCs w:val="24"/>
              </w:rPr>
              <w:t>Carries out research and studies in all areas of fisheries. It also helps support and develop fisheries-related jobs to make sure the sector continues to grow in the future.</w:t>
            </w:r>
          </w:p>
        </w:tc>
      </w:tr>
      <w:tr w:rsidR="009A0A63" w:rsidRPr="00792B36" w14:paraId="31D91C72" w14:textId="77777777" w:rsidTr="00A24459">
        <w:tc>
          <w:tcPr>
            <w:tcW w:w="0" w:type="auto"/>
          </w:tcPr>
          <w:p w14:paraId="5E4BE9D3" w14:textId="77777777" w:rsidR="009A0A63" w:rsidRPr="00792B36" w:rsidRDefault="009A0A63" w:rsidP="00A24459">
            <w:pPr>
              <w:rPr>
                <w:sz w:val="24"/>
                <w:szCs w:val="24"/>
              </w:rPr>
            </w:pPr>
            <w:r w:rsidRPr="00792B36">
              <w:rPr>
                <w:sz w:val="24"/>
                <w:szCs w:val="24"/>
              </w:rPr>
              <w:t>Ministry of Transportation</w:t>
            </w:r>
          </w:p>
        </w:tc>
        <w:tc>
          <w:tcPr>
            <w:tcW w:w="0" w:type="auto"/>
          </w:tcPr>
          <w:p w14:paraId="21563D43" w14:textId="77777777" w:rsidR="009A0A63" w:rsidRPr="00792B36" w:rsidRDefault="009A0A63" w:rsidP="00A24459">
            <w:pPr>
              <w:rPr>
                <w:sz w:val="24"/>
                <w:szCs w:val="24"/>
              </w:rPr>
            </w:pPr>
            <w:r w:rsidRPr="00792B36">
              <w:rPr>
                <w:sz w:val="24"/>
                <w:szCs w:val="24"/>
              </w:rPr>
              <w:t>Marine Department</w:t>
            </w:r>
          </w:p>
        </w:tc>
        <w:tc>
          <w:tcPr>
            <w:tcW w:w="4875" w:type="dxa"/>
          </w:tcPr>
          <w:p w14:paraId="0479059D" w14:textId="77777777" w:rsidR="009A0A63" w:rsidRPr="00792B36" w:rsidRDefault="009A0A63" w:rsidP="00A24459">
            <w:pPr>
              <w:rPr>
                <w:sz w:val="24"/>
                <w:szCs w:val="24"/>
              </w:rPr>
            </w:pPr>
            <w:r w:rsidRPr="00792B36">
              <w:rPr>
                <w:sz w:val="24"/>
                <w:szCs w:val="24"/>
              </w:rPr>
              <w:t>Oversees and develops water transport and shipping in Thailand, making sure it connects well with other forms of transport. Its work includes ship registration, safety checks, enforcing maritime laws, and preparing navigation maps to keep water transport safe and efficient</w:t>
            </w:r>
          </w:p>
        </w:tc>
      </w:tr>
      <w:tr w:rsidR="009A0A63" w:rsidRPr="00792B36" w14:paraId="7A096AE8" w14:textId="77777777" w:rsidTr="00A24459">
        <w:tc>
          <w:tcPr>
            <w:tcW w:w="0" w:type="auto"/>
          </w:tcPr>
          <w:p w14:paraId="71251508" w14:textId="77777777" w:rsidR="009A0A63" w:rsidRPr="00792B36" w:rsidRDefault="009A0A63" w:rsidP="00A24459">
            <w:pPr>
              <w:rPr>
                <w:sz w:val="24"/>
                <w:szCs w:val="24"/>
              </w:rPr>
            </w:pPr>
            <w:r w:rsidRPr="00792B36">
              <w:rPr>
                <w:sz w:val="24"/>
                <w:szCs w:val="24"/>
              </w:rPr>
              <w:t xml:space="preserve">Royal Thai Navy </w:t>
            </w:r>
          </w:p>
        </w:tc>
        <w:tc>
          <w:tcPr>
            <w:tcW w:w="0" w:type="auto"/>
          </w:tcPr>
          <w:p w14:paraId="36A4C905" w14:textId="77777777" w:rsidR="009A0A63" w:rsidRPr="00792B36" w:rsidRDefault="009A0A63" w:rsidP="00A24459">
            <w:pPr>
              <w:rPr>
                <w:sz w:val="24"/>
                <w:szCs w:val="24"/>
              </w:rPr>
            </w:pPr>
            <w:r w:rsidRPr="00792B36">
              <w:rPr>
                <w:sz w:val="24"/>
                <w:szCs w:val="24"/>
              </w:rPr>
              <w:t>Royal Thai Navy</w:t>
            </w:r>
          </w:p>
        </w:tc>
        <w:tc>
          <w:tcPr>
            <w:tcW w:w="4875" w:type="dxa"/>
          </w:tcPr>
          <w:p w14:paraId="6AC09B0E" w14:textId="77777777" w:rsidR="009A0A63" w:rsidRPr="00792B36" w:rsidRDefault="009A0A63" w:rsidP="00A24459">
            <w:pPr>
              <w:rPr>
                <w:sz w:val="24"/>
                <w:szCs w:val="24"/>
              </w:rPr>
            </w:pPr>
            <w:r w:rsidRPr="00792B36">
              <w:rPr>
                <w:sz w:val="24"/>
                <w:szCs w:val="24"/>
              </w:rPr>
              <w:t>Maintaining maritime security and interests (in coordination with ONSC)</w:t>
            </w:r>
          </w:p>
        </w:tc>
      </w:tr>
      <w:tr w:rsidR="009A0A63" w:rsidRPr="00792B36" w14:paraId="7F7C14EA" w14:textId="77777777" w:rsidTr="00A24459">
        <w:tc>
          <w:tcPr>
            <w:tcW w:w="0" w:type="auto"/>
          </w:tcPr>
          <w:p w14:paraId="56574C07" w14:textId="77777777" w:rsidR="009A0A63" w:rsidRPr="00792B36" w:rsidRDefault="009A0A63" w:rsidP="00A24459">
            <w:pPr>
              <w:rPr>
                <w:sz w:val="24"/>
                <w:szCs w:val="24"/>
              </w:rPr>
            </w:pPr>
            <w:r w:rsidRPr="00792B36">
              <w:rPr>
                <w:sz w:val="24"/>
                <w:szCs w:val="24"/>
              </w:rPr>
              <w:t>Ministry of Energy</w:t>
            </w:r>
          </w:p>
        </w:tc>
        <w:tc>
          <w:tcPr>
            <w:tcW w:w="0" w:type="auto"/>
          </w:tcPr>
          <w:p w14:paraId="6E0C8B39" w14:textId="77777777" w:rsidR="009A0A63" w:rsidRPr="00792B36" w:rsidRDefault="009A0A63" w:rsidP="00A24459">
            <w:pPr>
              <w:rPr>
                <w:sz w:val="24"/>
                <w:szCs w:val="24"/>
              </w:rPr>
            </w:pPr>
            <w:r w:rsidRPr="00792B36">
              <w:rPr>
                <w:sz w:val="24"/>
                <w:szCs w:val="24"/>
              </w:rPr>
              <w:t>Department of Mineral Fuels (DMF)</w:t>
            </w:r>
          </w:p>
        </w:tc>
        <w:tc>
          <w:tcPr>
            <w:tcW w:w="4875" w:type="dxa"/>
          </w:tcPr>
          <w:p w14:paraId="7245EC03" w14:textId="77777777" w:rsidR="009A0A63" w:rsidRPr="00792B36" w:rsidRDefault="009A0A63" w:rsidP="00A24459">
            <w:pPr>
              <w:rPr>
                <w:sz w:val="24"/>
                <w:szCs w:val="24"/>
              </w:rPr>
            </w:pPr>
            <w:r w:rsidRPr="00792B36">
              <w:rPr>
                <w:sz w:val="24"/>
                <w:szCs w:val="24"/>
              </w:rPr>
              <w:t>Offshore oil and gas</w:t>
            </w:r>
          </w:p>
        </w:tc>
      </w:tr>
      <w:tr w:rsidR="009A0A63" w:rsidRPr="00792B36" w14:paraId="1708B023" w14:textId="77777777" w:rsidTr="00A24459">
        <w:tc>
          <w:tcPr>
            <w:tcW w:w="0" w:type="auto"/>
          </w:tcPr>
          <w:p w14:paraId="563B4F84" w14:textId="77777777" w:rsidR="009A0A63" w:rsidRPr="00792B36" w:rsidRDefault="009A0A63" w:rsidP="00A24459">
            <w:pPr>
              <w:rPr>
                <w:sz w:val="24"/>
                <w:szCs w:val="24"/>
              </w:rPr>
            </w:pPr>
            <w:r w:rsidRPr="00792B36">
              <w:rPr>
                <w:sz w:val="24"/>
                <w:szCs w:val="24"/>
              </w:rPr>
              <w:t>Ministry of Tourism and Sports</w:t>
            </w:r>
          </w:p>
        </w:tc>
        <w:tc>
          <w:tcPr>
            <w:tcW w:w="0" w:type="auto"/>
          </w:tcPr>
          <w:p w14:paraId="3C665431" w14:textId="77777777" w:rsidR="009A0A63" w:rsidRPr="00792B36" w:rsidRDefault="009A0A63" w:rsidP="00A24459">
            <w:pPr>
              <w:rPr>
                <w:sz w:val="24"/>
                <w:szCs w:val="24"/>
              </w:rPr>
            </w:pPr>
            <w:r w:rsidRPr="00792B36">
              <w:rPr>
                <w:sz w:val="24"/>
                <w:szCs w:val="24"/>
              </w:rPr>
              <w:t>Department of Tourism (DOT)</w:t>
            </w:r>
          </w:p>
        </w:tc>
        <w:tc>
          <w:tcPr>
            <w:tcW w:w="4875" w:type="dxa"/>
          </w:tcPr>
          <w:p w14:paraId="3CB8C274" w14:textId="77777777" w:rsidR="009A0A63" w:rsidRPr="00792B36" w:rsidRDefault="009A0A63" w:rsidP="00A24459">
            <w:pPr>
              <w:rPr>
                <w:sz w:val="24"/>
                <w:szCs w:val="24"/>
              </w:rPr>
            </w:pPr>
            <w:r w:rsidRPr="00792B36">
              <w:rPr>
                <w:sz w:val="24"/>
                <w:szCs w:val="24"/>
              </w:rPr>
              <w:t>Oversees marine and coastal sustainable tourism activities</w:t>
            </w:r>
          </w:p>
        </w:tc>
      </w:tr>
      <w:tr w:rsidR="009A0A63" w:rsidRPr="00792B36" w14:paraId="2F873ED6" w14:textId="77777777" w:rsidTr="00A24459">
        <w:tc>
          <w:tcPr>
            <w:tcW w:w="0" w:type="auto"/>
          </w:tcPr>
          <w:p w14:paraId="4359F9F1" w14:textId="77777777" w:rsidR="009A0A63" w:rsidRPr="00792B36" w:rsidRDefault="009A0A63" w:rsidP="00A24459">
            <w:pPr>
              <w:rPr>
                <w:sz w:val="24"/>
                <w:szCs w:val="24"/>
              </w:rPr>
            </w:pPr>
            <w:r w:rsidRPr="00792B36">
              <w:rPr>
                <w:sz w:val="24"/>
                <w:szCs w:val="24"/>
              </w:rPr>
              <w:t xml:space="preserve">Ministry of Interior </w:t>
            </w:r>
          </w:p>
        </w:tc>
        <w:tc>
          <w:tcPr>
            <w:tcW w:w="0" w:type="auto"/>
          </w:tcPr>
          <w:p w14:paraId="6DD67A79" w14:textId="77777777" w:rsidR="009A0A63" w:rsidRPr="00792B36" w:rsidRDefault="009A0A63" w:rsidP="00A24459">
            <w:pPr>
              <w:rPr>
                <w:sz w:val="24"/>
                <w:szCs w:val="24"/>
              </w:rPr>
            </w:pPr>
            <w:r w:rsidRPr="00792B36">
              <w:rPr>
                <w:sz w:val="24"/>
                <w:szCs w:val="24"/>
              </w:rPr>
              <w:t xml:space="preserve">Department of Public Works and Town Planning (DPT) </w:t>
            </w:r>
          </w:p>
        </w:tc>
        <w:tc>
          <w:tcPr>
            <w:tcW w:w="4875" w:type="dxa"/>
          </w:tcPr>
          <w:p w14:paraId="582571B0" w14:textId="77777777" w:rsidR="009A0A63" w:rsidRPr="00792B36" w:rsidRDefault="009A0A63" w:rsidP="00A24459">
            <w:pPr>
              <w:rPr>
                <w:sz w:val="24"/>
                <w:szCs w:val="24"/>
              </w:rPr>
            </w:pPr>
            <w:r w:rsidRPr="00792B36">
              <w:rPr>
                <w:sz w:val="24"/>
                <w:szCs w:val="24"/>
              </w:rPr>
              <w:t>Oversees town and country planning, public works, and building control. It supports local authorities in land use, rural development, and infrastructure, while ensuring policies align with sustainable growth. DPT also sets standards in architecture, engineering, and planning to promote safety, orderliness, and a healthy environment.</w:t>
            </w:r>
          </w:p>
        </w:tc>
      </w:tr>
      <w:tr w:rsidR="009A0A63" w:rsidRPr="00792B36" w14:paraId="0108DAED" w14:textId="77777777" w:rsidTr="00A24459">
        <w:tc>
          <w:tcPr>
            <w:tcW w:w="0" w:type="auto"/>
          </w:tcPr>
          <w:p w14:paraId="72825FAC" w14:textId="77777777" w:rsidR="009A0A63" w:rsidRPr="00792B36" w:rsidRDefault="009A0A63" w:rsidP="00A24459">
            <w:pPr>
              <w:rPr>
                <w:sz w:val="24"/>
                <w:szCs w:val="24"/>
              </w:rPr>
            </w:pPr>
          </w:p>
        </w:tc>
        <w:tc>
          <w:tcPr>
            <w:tcW w:w="0" w:type="auto"/>
          </w:tcPr>
          <w:p w14:paraId="0E9D31B7" w14:textId="77777777" w:rsidR="009A0A63" w:rsidRPr="00792B36" w:rsidRDefault="009A0A63" w:rsidP="00A24459">
            <w:pPr>
              <w:rPr>
                <w:sz w:val="24"/>
                <w:szCs w:val="24"/>
              </w:rPr>
            </w:pPr>
            <w:r w:rsidRPr="00792B36">
              <w:rPr>
                <w:sz w:val="24"/>
                <w:szCs w:val="24"/>
              </w:rPr>
              <w:t xml:space="preserve">Department of Provincial Administration (DOPA) </w:t>
            </w:r>
          </w:p>
        </w:tc>
        <w:tc>
          <w:tcPr>
            <w:tcW w:w="4875" w:type="dxa"/>
          </w:tcPr>
          <w:p w14:paraId="3F88E012" w14:textId="77777777" w:rsidR="009A0A63" w:rsidRPr="00792B36" w:rsidRDefault="009A0A63" w:rsidP="00A24459">
            <w:pPr>
              <w:rPr>
                <w:sz w:val="24"/>
                <w:szCs w:val="24"/>
              </w:rPr>
            </w:pPr>
            <w:r w:rsidRPr="00792B36">
              <w:rPr>
                <w:sz w:val="24"/>
                <w:szCs w:val="24"/>
              </w:rPr>
              <w:t>Plays a central role in coastal governance by defining provincial sea boundaries, which provide the legal basis for coastal and marine management. It coordinates with agencies such as the Marine Department, Department of Fisheries, and Department of Marine and Coastal Resources to align policies on resource use and conservation. DOPA also supports local administrative bodies in coastal development while ensuring law enforcement and public order.</w:t>
            </w:r>
          </w:p>
        </w:tc>
      </w:tr>
      <w:tr w:rsidR="009A0A63" w:rsidRPr="00792B36" w14:paraId="5DAC1820" w14:textId="77777777" w:rsidTr="00A24459">
        <w:tc>
          <w:tcPr>
            <w:tcW w:w="0" w:type="auto"/>
          </w:tcPr>
          <w:p w14:paraId="4BC3550B" w14:textId="77777777" w:rsidR="009A0A63" w:rsidRPr="00792B36" w:rsidRDefault="009A0A63" w:rsidP="00A24459">
            <w:pPr>
              <w:rPr>
                <w:sz w:val="24"/>
                <w:szCs w:val="24"/>
              </w:rPr>
            </w:pPr>
            <w:r w:rsidRPr="00792B36">
              <w:rPr>
                <w:sz w:val="24"/>
                <w:szCs w:val="24"/>
              </w:rPr>
              <w:t>Ministry of Social Development and Human Security</w:t>
            </w:r>
          </w:p>
        </w:tc>
        <w:tc>
          <w:tcPr>
            <w:tcW w:w="0" w:type="auto"/>
          </w:tcPr>
          <w:p w14:paraId="1FA26183" w14:textId="77777777" w:rsidR="009A0A63" w:rsidRPr="00792B36" w:rsidRDefault="009A0A63" w:rsidP="00A24459">
            <w:pPr>
              <w:rPr>
                <w:sz w:val="24"/>
                <w:szCs w:val="24"/>
              </w:rPr>
            </w:pPr>
            <w:r w:rsidRPr="00792B36">
              <w:rPr>
                <w:sz w:val="24"/>
                <w:szCs w:val="24"/>
              </w:rPr>
              <w:t xml:space="preserve">Department of Social Development and Welfare (DSDW), </w:t>
            </w:r>
          </w:p>
        </w:tc>
        <w:tc>
          <w:tcPr>
            <w:tcW w:w="4875" w:type="dxa"/>
          </w:tcPr>
          <w:p w14:paraId="3383ADB7" w14:textId="77777777" w:rsidR="009A0A63" w:rsidRPr="00792B36" w:rsidRDefault="009A0A63" w:rsidP="00A24459">
            <w:pPr>
              <w:rPr>
                <w:sz w:val="24"/>
                <w:szCs w:val="24"/>
              </w:rPr>
            </w:pPr>
            <w:r w:rsidRPr="00792B36">
              <w:rPr>
                <w:sz w:val="24"/>
                <w:szCs w:val="24"/>
              </w:rPr>
              <w:t xml:space="preserve">Protect and enhance the way of life for ethnic communities residing along the shore </w:t>
            </w:r>
          </w:p>
        </w:tc>
      </w:tr>
      <w:tr w:rsidR="009A0A63" w:rsidRPr="00792B36" w14:paraId="21631B39" w14:textId="77777777" w:rsidTr="00A24459">
        <w:tc>
          <w:tcPr>
            <w:tcW w:w="0" w:type="auto"/>
            <w:vMerge w:val="restart"/>
          </w:tcPr>
          <w:p w14:paraId="2E266AE1" w14:textId="77777777" w:rsidR="009A0A63" w:rsidRPr="00792B36" w:rsidRDefault="009A0A63" w:rsidP="00A24459">
            <w:pPr>
              <w:rPr>
                <w:sz w:val="24"/>
                <w:szCs w:val="24"/>
              </w:rPr>
            </w:pPr>
            <w:r w:rsidRPr="00792B36">
              <w:rPr>
                <w:sz w:val="24"/>
                <w:szCs w:val="24"/>
              </w:rPr>
              <w:t>Office of the Prime Minister</w:t>
            </w:r>
          </w:p>
        </w:tc>
        <w:tc>
          <w:tcPr>
            <w:tcW w:w="0" w:type="auto"/>
          </w:tcPr>
          <w:p w14:paraId="12DEF8C2" w14:textId="77777777" w:rsidR="009A0A63" w:rsidRPr="00792B36" w:rsidRDefault="009A0A63" w:rsidP="00A24459">
            <w:pPr>
              <w:rPr>
                <w:sz w:val="24"/>
                <w:szCs w:val="24"/>
              </w:rPr>
            </w:pPr>
            <w:r w:rsidRPr="00792B36">
              <w:rPr>
                <w:sz w:val="24"/>
                <w:szCs w:val="24"/>
              </w:rPr>
              <w:t>Office of the National Security Council (ONSC)</w:t>
            </w:r>
          </w:p>
        </w:tc>
        <w:tc>
          <w:tcPr>
            <w:tcW w:w="4875" w:type="dxa"/>
          </w:tcPr>
          <w:p w14:paraId="0EF9D4BD" w14:textId="77777777" w:rsidR="009A0A63" w:rsidRPr="00792B36" w:rsidRDefault="009A0A63" w:rsidP="00A24459">
            <w:pPr>
              <w:rPr>
                <w:sz w:val="24"/>
                <w:szCs w:val="24"/>
              </w:rPr>
            </w:pPr>
            <w:r w:rsidRPr="00792B36">
              <w:rPr>
                <w:sz w:val="24"/>
                <w:szCs w:val="24"/>
              </w:rPr>
              <w:t>Maintaining maritime security and interests</w:t>
            </w:r>
          </w:p>
        </w:tc>
      </w:tr>
      <w:tr w:rsidR="009A0A63" w:rsidRPr="00792B36" w14:paraId="40665A46" w14:textId="77777777" w:rsidTr="00A24459">
        <w:tc>
          <w:tcPr>
            <w:tcW w:w="0" w:type="auto"/>
            <w:vMerge/>
          </w:tcPr>
          <w:p w14:paraId="721814E6" w14:textId="77777777" w:rsidR="009A0A63" w:rsidRPr="00792B36" w:rsidRDefault="009A0A63" w:rsidP="00A24459">
            <w:pPr>
              <w:rPr>
                <w:sz w:val="24"/>
                <w:szCs w:val="24"/>
              </w:rPr>
            </w:pPr>
          </w:p>
        </w:tc>
        <w:tc>
          <w:tcPr>
            <w:tcW w:w="0" w:type="auto"/>
          </w:tcPr>
          <w:p w14:paraId="20E6A86D" w14:textId="77777777" w:rsidR="009A0A63" w:rsidRPr="00792B36" w:rsidRDefault="009A0A63" w:rsidP="00A24459">
            <w:pPr>
              <w:rPr>
                <w:sz w:val="24"/>
                <w:szCs w:val="24"/>
              </w:rPr>
            </w:pPr>
            <w:r w:rsidRPr="00792B36">
              <w:rPr>
                <w:sz w:val="24"/>
                <w:szCs w:val="24"/>
              </w:rPr>
              <w:t>Thai-MECC</w:t>
            </w:r>
          </w:p>
        </w:tc>
        <w:tc>
          <w:tcPr>
            <w:tcW w:w="4875" w:type="dxa"/>
          </w:tcPr>
          <w:p w14:paraId="4BD83497" w14:textId="77777777" w:rsidR="009A0A63" w:rsidRPr="00792B36" w:rsidRDefault="009A0A63" w:rsidP="00A24459">
            <w:pPr>
              <w:rPr>
                <w:sz w:val="24"/>
                <w:szCs w:val="24"/>
              </w:rPr>
            </w:pPr>
            <w:r w:rsidRPr="00792B36">
              <w:rPr>
                <w:sz w:val="24"/>
                <w:szCs w:val="24"/>
              </w:rPr>
              <w:t>Carry out surveillance and investigation into any matter deemed a threat to Thailand’s maritime interests and exercise tactical control over the Royal Thai Navy. As per the Maritime National Interests Protection Act (2019), Thai-MECC has the duty to plan, administer, coordinate, order, and support the operation of the state agencies involved in the maritime national interests.</w:t>
            </w:r>
          </w:p>
        </w:tc>
      </w:tr>
      <w:tr w:rsidR="009A0A63" w:rsidRPr="00792B36" w14:paraId="3C2F993F" w14:textId="77777777" w:rsidTr="00A24459">
        <w:tc>
          <w:tcPr>
            <w:tcW w:w="0" w:type="auto"/>
            <w:vMerge/>
          </w:tcPr>
          <w:p w14:paraId="31A20BF8" w14:textId="77777777" w:rsidR="009A0A63" w:rsidRPr="00792B36" w:rsidRDefault="009A0A63" w:rsidP="00A24459">
            <w:pPr>
              <w:rPr>
                <w:sz w:val="24"/>
                <w:szCs w:val="24"/>
              </w:rPr>
            </w:pPr>
          </w:p>
        </w:tc>
        <w:tc>
          <w:tcPr>
            <w:tcW w:w="0" w:type="auto"/>
          </w:tcPr>
          <w:p w14:paraId="30B1E915" w14:textId="77777777" w:rsidR="009A0A63" w:rsidRPr="00792B36" w:rsidRDefault="009A0A63" w:rsidP="00A24459">
            <w:pPr>
              <w:rPr>
                <w:sz w:val="24"/>
                <w:szCs w:val="24"/>
              </w:rPr>
            </w:pPr>
            <w:r w:rsidRPr="00792B36">
              <w:rPr>
                <w:sz w:val="24"/>
                <w:szCs w:val="24"/>
              </w:rPr>
              <w:t>National Economic and Social Development Board (NESDB)</w:t>
            </w:r>
          </w:p>
        </w:tc>
        <w:tc>
          <w:tcPr>
            <w:tcW w:w="4875" w:type="dxa"/>
          </w:tcPr>
          <w:p w14:paraId="3447A91D" w14:textId="77777777" w:rsidR="009A0A63" w:rsidRPr="00792B36" w:rsidRDefault="009A0A63" w:rsidP="00A24459">
            <w:pPr>
              <w:rPr>
                <w:sz w:val="24"/>
                <w:szCs w:val="24"/>
              </w:rPr>
            </w:pPr>
            <w:r w:rsidRPr="00792B36">
              <w:rPr>
                <w:sz w:val="24"/>
                <w:szCs w:val="24"/>
              </w:rPr>
              <w:t>Oversees the implementation of the thirteenth national economic and social development plan (2023-2027), including the Natural Resources and Environmental Dimension of the National Development Context, which includes marine and coastal resources. It is also responsible for setting up the coordination mechanism between the NESDB, concerned agencies, and state enterprises regarding the planning and implementation of development programs and projects.</w:t>
            </w:r>
          </w:p>
        </w:tc>
      </w:tr>
    </w:tbl>
    <w:p w14:paraId="0916EC51" w14:textId="77777777" w:rsidR="009A0A63" w:rsidRPr="00792B36" w:rsidRDefault="009A0A63" w:rsidP="009A0A63">
      <w:pPr>
        <w:rPr>
          <w:sz w:val="24"/>
          <w:szCs w:val="24"/>
        </w:rPr>
      </w:pPr>
    </w:p>
    <w:p w14:paraId="4F749E84" w14:textId="77777777" w:rsidR="009A0A63" w:rsidRPr="00792B36" w:rsidRDefault="009A0A63" w:rsidP="009A0A63">
      <w:pPr>
        <w:spacing w:before="120" w:after="120"/>
        <w:ind w:firstLine="1134"/>
        <w:jc w:val="thaiDistribute"/>
        <w:rPr>
          <w:sz w:val="24"/>
          <w:szCs w:val="24"/>
        </w:rPr>
      </w:pPr>
      <w:r w:rsidRPr="00792B36">
        <w:rPr>
          <w:sz w:val="24"/>
          <w:szCs w:val="24"/>
        </w:rPr>
        <w:br w:type="page"/>
      </w:r>
    </w:p>
    <w:p w14:paraId="47F2058B" w14:textId="77777777" w:rsidR="009A0A63" w:rsidRPr="00792B36" w:rsidRDefault="009A0A63" w:rsidP="009A0A63">
      <w:pPr>
        <w:rPr>
          <w:sz w:val="24"/>
          <w:szCs w:val="24"/>
        </w:rPr>
      </w:pPr>
      <w:r w:rsidRPr="00792B36">
        <w:rPr>
          <w:sz w:val="24"/>
          <w:szCs w:val="24"/>
        </w:rPr>
        <w:lastRenderedPageBreak/>
        <w:t xml:space="preserve">Annex 7: Institutions' roles (Policy committees) and relevance to the marine and coastal resources management </w:t>
      </w:r>
    </w:p>
    <w:p w14:paraId="2ACB8C4D" w14:textId="77777777" w:rsidR="009A0A63" w:rsidRPr="00792B36" w:rsidRDefault="009A0A63" w:rsidP="009A0A63">
      <w:pPr>
        <w:rPr>
          <w:sz w:val="24"/>
          <w:szCs w:val="24"/>
        </w:rPr>
      </w:pPr>
    </w:p>
    <w:tbl>
      <w:tblPr>
        <w:tblStyle w:val="GridTable4"/>
        <w:tblW w:w="9072" w:type="dxa"/>
        <w:tblLook w:val="04A0" w:firstRow="1" w:lastRow="0" w:firstColumn="1" w:lastColumn="0" w:noHBand="0" w:noVBand="1"/>
      </w:tblPr>
      <w:tblGrid>
        <w:gridCol w:w="2972"/>
        <w:gridCol w:w="6100"/>
      </w:tblGrid>
      <w:tr w:rsidR="009A0A63" w:rsidRPr="00792B36" w14:paraId="5E161B5B" w14:textId="77777777" w:rsidTr="00A24459">
        <w:trPr>
          <w:cnfStyle w:val="100000000000" w:firstRow="1" w:lastRow="0" w:firstColumn="0" w:lastColumn="0" w:oddVBand="0" w:evenVBand="0" w:oddHBand="0" w:evenHBand="0" w:firstRowFirstColumn="0" w:firstRowLastColumn="0" w:lastRowFirstColumn="0" w:lastRowLastColumn="0"/>
          <w:trHeight w:val="290"/>
          <w:tblHeader/>
        </w:trPr>
        <w:tc>
          <w:tcPr>
            <w:cnfStyle w:val="001000000000" w:firstRow="0" w:lastRow="0" w:firstColumn="1" w:lastColumn="0" w:oddVBand="0" w:evenVBand="0" w:oddHBand="0" w:evenHBand="0" w:firstRowFirstColumn="0" w:firstRowLastColumn="0" w:lastRowFirstColumn="0" w:lastRowLastColumn="0"/>
            <w:tcW w:w="2972" w:type="dxa"/>
            <w:hideMark/>
          </w:tcPr>
          <w:p w14:paraId="5DD2218A" w14:textId="77777777" w:rsidR="009A0A63" w:rsidRPr="00792B36" w:rsidRDefault="009A0A63" w:rsidP="00A24459">
            <w:pPr>
              <w:jc w:val="center"/>
              <w:rPr>
                <w:rFonts w:ascii="Arial" w:eastAsia="Times New Roman" w:hAnsi="Arial" w:cs="Arial"/>
                <w:color w:val="EEECE1" w:themeColor="background2"/>
                <w:sz w:val="24"/>
                <w:szCs w:val="24"/>
                <w:lang w:eastAsia="ja-JP"/>
              </w:rPr>
            </w:pPr>
            <w:r w:rsidRPr="00792B36">
              <w:rPr>
                <w:rFonts w:ascii="Arial" w:eastAsia="Times New Roman" w:hAnsi="Arial" w:cs="Arial"/>
                <w:color w:val="EEECE1" w:themeColor="background2"/>
                <w:sz w:val="24"/>
                <w:szCs w:val="24"/>
                <w:lang w:eastAsia="ja-JP"/>
              </w:rPr>
              <w:t>Institution</w:t>
            </w:r>
          </w:p>
        </w:tc>
        <w:tc>
          <w:tcPr>
            <w:tcW w:w="6100" w:type="dxa"/>
            <w:hideMark/>
          </w:tcPr>
          <w:p w14:paraId="615D947B" w14:textId="77777777" w:rsidR="009A0A63" w:rsidRPr="00792B36" w:rsidRDefault="009A0A63" w:rsidP="00A24459">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EEECE1" w:themeColor="background2"/>
                <w:sz w:val="24"/>
                <w:szCs w:val="24"/>
                <w:lang w:eastAsia="ja-JP"/>
              </w:rPr>
            </w:pPr>
            <w:r w:rsidRPr="00792B36">
              <w:rPr>
                <w:rFonts w:ascii="Arial" w:eastAsia="Times New Roman" w:hAnsi="Arial" w:cs="Arial"/>
                <w:color w:val="EEECE1" w:themeColor="background2"/>
                <w:sz w:val="24"/>
                <w:szCs w:val="24"/>
                <w:lang w:eastAsia="ja-JP"/>
              </w:rPr>
              <w:t xml:space="preserve">Relevance to marine and coastal resources management </w:t>
            </w:r>
          </w:p>
        </w:tc>
      </w:tr>
      <w:tr w:rsidR="009A0A63" w:rsidRPr="00792B36" w14:paraId="0DDC325E" w14:textId="77777777" w:rsidTr="00A24459">
        <w:trPr>
          <w:cnfStyle w:val="000000100000" w:firstRow="0" w:lastRow="0" w:firstColumn="0" w:lastColumn="0" w:oddVBand="0" w:evenVBand="0" w:oddHBand="1" w:evenHBand="0" w:firstRowFirstColumn="0" w:firstRowLastColumn="0" w:lastRowFirstColumn="0" w:lastRowLastColumn="0"/>
          <w:trHeight w:val="870"/>
        </w:trPr>
        <w:tc>
          <w:tcPr>
            <w:cnfStyle w:val="001000000000" w:firstRow="0" w:lastRow="0" w:firstColumn="1" w:lastColumn="0" w:oddVBand="0" w:evenVBand="0" w:oddHBand="0" w:evenHBand="0" w:firstRowFirstColumn="0" w:firstRowLastColumn="0" w:lastRowFirstColumn="0" w:lastRowLastColumn="0"/>
            <w:tcW w:w="2972" w:type="dxa"/>
            <w:shd w:val="clear" w:color="auto" w:fill="FFFFFF" w:themeFill="background1"/>
            <w:hideMark/>
          </w:tcPr>
          <w:p w14:paraId="112468C0" w14:textId="77777777" w:rsidR="009A0A63" w:rsidRPr="00792B36" w:rsidRDefault="009A0A63" w:rsidP="00A24459">
            <w:pPr>
              <w:rPr>
                <w:rFonts w:ascii="Arial" w:eastAsia="Times New Roman" w:hAnsi="Arial" w:cs="Arial"/>
                <w:b w:val="0"/>
                <w:bCs w:val="0"/>
                <w:color w:val="000000"/>
                <w:sz w:val="24"/>
                <w:szCs w:val="24"/>
                <w:lang w:eastAsia="ja-JP"/>
              </w:rPr>
            </w:pPr>
            <w:r w:rsidRPr="00792B36">
              <w:rPr>
                <w:rFonts w:ascii="Arial" w:eastAsia="Times New Roman" w:hAnsi="Arial" w:cs="Arial"/>
                <w:b w:val="0"/>
                <w:bCs w:val="0"/>
                <w:color w:val="000000"/>
                <w:sz w:val="24"/>
                <w:szCs w:val="24"/>
                <w:lang w:eastAsia="ja-JP"/>
              </w:rPr>
              <w:t>National Policy and Plan Committee on Marine and Coastal Resource Management (NMCRC)</w:t>
            </w:r>
          </w:p>
        </w:tc>
        <w:tc>
          <w:tcPr>
            <w:tcW w:w="6100" w:type="dxa"/>
            <w:shd w:val="clear" w:color="auto" w:fill="FFFFFF" w:themeFill="background1"/>
            <w:hideMark/>
          </w:tcPr>
          <w:p w14:paraId="3CD33670" w14:textId="77777777" w:rsidR="009A0A63" w:rsidRPr="00792B36" w:rsidRDefault="009A0A63" w:rsidP="00A24459">
            <w:pP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4"/>
                <w:szCs w:val="24"/>
                <w:lang w:eastAsia="ja-JP"/>
              </w:rPr>
            </w:pPr>
            <w:r w:rsidRPr="00792B36">
              <w:rPr>
                <w:rFonts w:ascii="Arial" w:eastAsia="Times New Roman" w:hAnsi="Arial" w:cs="Arial"/>
                <w:color w:val="000000"/>
                <w:sz w:val="24"/>
                <w:szCs w:val="24"/>
                <w:lang w:eastAsia="ja-JP"/>
              </w:rPr>
              <w:t>Oversees marine and coastal resource management policies. Supported by DMCR, it formulates policies, plans, and guidelines for sustainable use and conservation, including the designation of marine and coastal protected areas.</w:t>
            </w:r>
          </w:p>
        </w:tc>
      </w:tr>
      <w:tr w:rsidR="009A0A63" w:rsidRPr="00792B36" w14:paraId="41D1BFEA" w14:textId="77777777" w:rsidTr="00A24459">
        <w:trPr>
          <w:trHeight w:val="870"/>
        </w:trPr>
        <w:tc>
          <w:tcPr>
            <w:cnfStyle w:val="001000000000" w:firstRow="0" w:lastRow="0" w:firstColumn="1" w:lastColumn="0" w:oddVBand="0" w:evenVBand="0" w:oddHBand="0" w:evenHBand="0" w:firstRowFirstColumn="0" w:firstRowLastColumn="0" w:lastRowFirstColumn="0" w:lastRowLastColumn="0"/>
            <w:tcW w:w="2972" w:type="dxa"/>
            <w:hideMark/>
          </w:tcPr>
          <w:p w14:paraId="53850528" w14:textId="77777777" w:rsidR="009A0A63" w:rsidRPr="00792B36" w:rsidRDefault="009A0A63" w:rsidP="00A24459">
            <w:pPr>
              <w:rPr>
                <w:rFonts w:ascii="Arial" w:eastAsia="Times New Roman" w:hAnsi="Arial" w:cs="Arial"/>
                <w:b w:val="0"/>
                <w:bCs w:val="0"/>
                <w:color w:val="000000"/>
                <w:sz w:val="24"/>
                <w:szCs w:val="24"/>
                <w:lang w:eastAsia="ja-JP"/>
              </w:rPr>
            </w:pPr>
            <w:r w:rsidRPr="00792B36">
              <w:rPr>
                <w:rFonts w:ascii="Arial" w:eastAsia="Times New Roman" w:hAnsi="Arial" w:cs="Arial"/>
                <w:b w:val="0"/>
                <w:bCs w:val="0"/>
                <w:color w:val="000000"/>
                <w:sz w:val="24"/>
                <w:szCs w:val="24"/>
                <w:lang w:eastAsia="ja-JP"/>
              </w:rPr>
              <w:t>National Maritime Interests Protection Policy Committee (MIP)</w:t>
            </w:r>
          </w:p>
        </w:tc>
        <w:tc>
          <w:tcPr>
            <w:tcW w:w="6100" w:type="dxa"/>
            <w:hideMark/>
          </w:tcPr>
          <w:p w14:paraId="3123B489" w14:textId="77777777" w:rsidR="009A0A63" w:rsidRPr="00792B36" w:rsidRDefault="009A0A63" w:rsidP="00A24459">
            <w:pP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4"/>
                <w:szCs w:val="24"/>
                <w:lang w:eastAsia="ja-JP"/>
              </w:rPr>
            </w:pPr>
            <w:r w:rsidRPr="00792B36">
              <w:rPr>
                <w:rFonts w:ascii="Arial" w:eastAsia="Times New Roman" w:hAnsi="Arial" w:cs="Arial"/>
                <w:color w:val="000000"/>
                <w:sz w:val="24"/>
                <w:szCs w:val="24"/>
                <w:lang w:eastAsia="ja-JP"/>
              </w:rPr>
              <w:t xml:space="preserve">Focuses on protecting Thailand’s maritime interests. Supported by the Office of NSC, it develops policies and strategies for maritime security and sustainable use. </w:t>
            </w:r>
            <w:r w:rsidRPr="00792B36">
              <w:rPr>
                <w:rFonts w:ascii="Arial" w:hAnsi="Arial" w:cs="Arial"/>
                <w:sz w:val="24"/>
                <w:szCs w:val="24"/>
              </w:rPr>
              <w:t xml:space="preserve">Six Sub-committees are established to support its tasks. These include: </w:t>
            </w:r>
            <w:r w:rsidRPr="00792B36">
              <w:rPr>
                <w:rStyle w:val="rynqvb"/>
                <w:rFonts w:ascii="Arial" w:hAnsi="Arial" w:cs="Arial"/>
                <w:sz w:val="24"/>
                <w:szCs w:val="24"/>
              </w:rPr>
              <w:t>1)</w:t>
            </w:r>
            <w:r w:rsidRPr="00792B36">
              <w:rPr>
                <w:rFonts w:ascii="Arial" w:hAnsi="Arial" w:cs="Arial"/>
                <w:sz w:val="24"/>
                <w:szCs w:val="24"/>
              </w:rPr>
              <w:t xml:space="preserve"> Sub-committee on Advice &amp; Knowledge management for the national maritime interest (SAKM), which contain 6 working groups (Stable aspects, Prosperity and Sustainable aspects, Legal aspects, Public relation aspect, Advocacy of the Thai Ocean Health Index Evaluation, and establishing a Thai Marine Think Tank); 2) Sub-committee on evaluating the national maritime security plan; 3) Sub- committee on coordination &amp; monitoring of national maritime security plan; 4) Sub- committee on marine interests and security situation assessment; 5) Sub- committee on drafting maritime security index for the national maritime security plan; and 6) Sub- committee on Marine Use Zoning for MSP Thailand (Sub-com MSP)</w:t>
            </w:r>
            <w:r w:rsidRPr="00792B36">
              <w:rPr>
                <w:rStyle w:val="rynqvb"/>
                <w:rFonts w:ascii="Arial" w:hAnsi="Arial" w:cs="Arial"/>
                <w:sz w:val="24"/>
                <w:szCs w:val="24"/>
              </w:rPr>
              <w:t xml:space="preserve">. </w:t>
            </w:r>
          </w:p>
        </w:tc>
      </w:tr>
      <w:tr w:rsidR="009A0A63" w:rsidRPr="00792B36" w14:paraId="3694283D" w14:textId="77777777" w:rsidTr="00A24459">
        <w:trPr>
          <w:cnfStyle w:val="000000100000" w:firstRow="0" w:lastRow="0" w:firstColumn="0" w:lastColumn="0" w:oddVBand="0" w:evenVBand="0" w:oddHBand="1" w:evenHBand="0" w:firstRowFirstColumn="0" w:firstRowLastColumn="0" w:lastRowFirstColumn="0" w:lastRowLastColumn="0"/>
          <w:trHeight w:val="580"/>
        </w:trPr>
        <w:tc>
          <w:tcPr>
            <w:cnfStyle w:val="001000000000" w:firstRow="0" w:lastRow="0" w:firstColumn="1" w:lastColumn="0" w:oddVBand="0" w:evenVBand="0" w:oddHBand="0" w:evenHBand="0" w:firstRowFirstColumn="0" w:firstRowLastColumn="0" w:lastRowFirstColumn="0" w:lastRowLastColumn="0"/>
            <w:tcW w:w="2972" w:type="dxa"/>
            <w:shd w:val="clear" w:color="auto" w:fill="FFFFFF" w:themeFill="background1"/>
            <w:hideMark/>
          </w:tcPr>
          <w:p w14:paraId="26BC4D2D" w14:textId="77777777" w:rsidR="009A0A63" w:rsidRPr="00792B36" w:rsidRDefault="009A0A63" w:rsidP="00A24459">
            <w:pPr>
              <w:rPr>
                <w:rFonts w:ascii="Arial" w:eastAsia="Times New Roman" w:hAnsi="Arial" w:cs="Arial"/>
                <w:b w:val="0"/>
                <w:bCs w:val="0"/>
                <w:color w:val="000000"/>
                <w:sz w:val="24"/>
                <w:szCs w:val="24"/>
                <w:lang w:eastAsia="ja-JP"/>
              </w:rPr>
            </w:pPr>
            <w:r w:rsidRPr="00792B36">
              <w:rPr>
                <w:rFonts w:ascii="Arial" w:eastAsia="Times New Roman" w:hAnsi="Arial" w:cs="Arial"/>
                <w:b w:val="0"/>
                <w:bCs w:val="0"/>
                <w:color w:val="000000"/>
                <w:sz w:val="24"/>
                <w:szCs w:val="24"/>
                <w:lang w:eastAsia="ja-JP"/>
              </w:rPr>
              <w:t>National Environment Board (NEB)</w:t>
            </w:r>
          </w:p>
        </w:tc>
        <w:tc>
          <w:tcPr>
            <w:tcW w:w="6100" w:type="dxa"/>
            <w:shd w:val="clear" w:color="auto" w:fill="FFFFFF" w:themeFill="background1"/>
            <w:hideMark/>
          </w:tcPr>
          <w:p w14:paraId="20E970AC" w14:textId="77777777" w:rsidR="009A0A63" w:rsidRPr="00792B36" w:rsidRDefault="009A0A63" w:rsidP="00A24459">
            <w:pP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4"/>
                <w:szCs w:val="24"/>
                <w:lang w:eastAsia="ja-JP"/>
              </w:rPr>
            </w:pPr>
            <w:r w:rsidRPr="00792B36">
              <w:rPr>
                <w:rFonts w:ascii="Arial" w:eastAsia="Times New Roman" w:hAnsi="Arial" w:cs="Arial"/>
                <w:color w:val="000000"/>
                <w:sz w:val="24"/>
                <w:szCs w:val="24"/>
                <w:lang w:eastAsia="ja-JP"/>
              </w:rPr>
              <w:t>Provides policy direction on environmental management. Supported by ONEP, it integrates MSP into broader environmental conservation policies and frameworks.</w:t>
            </w:r>
          </w:p>
        </w:tc>
      </w:tr>
      <w:tr w:rsidR="009A0A63" w:rsidRPr="00792B36" w14:paraId="79C108BD" w14:textId="77777777" w:rsidTr="00A24459">
        <w:trPr>
          <w:trHeight w:val="580"/>
        </w:trPr>
        <w:tc>
          <w:tcPr>
            <w:cnfStyle w:val="001000000000" w:firstRow="0" w:lastRow="0" w:firstColumn="1" w:lastColumn="0" w:oddVBand="0" w:evenVBand="0" w:oddHBand="0" w:evenHBand="0" w:firstRowFirstColumn="0" w:firstRowLastColumn="0" w:lastRowFirstColumn="0" w:lastRowLastColumn="0"/>
            <w:tcW w:w="2972" w:type="dxa"/>
            <w:shd w:val="clear" w:color="auto" w:fill="FFFFFF" w:themeFill="background1"/>
            <w:hideMark/>
          </w:tcPr>
          <w:p w14:paraId="6CD87703" w14:textId="77777777" w:rsidR="009A0A63" w:rsidRPr="00792B36" w:rsidRDefault="009A0A63" w:rsidP="00A24459">
            <w:pPr>
              <w:rPr>
                <w:rFonts w:ascii="Arial" w:eastAsia="Times New Roman" w:hAnsi="Arial" w:cs="Arial"/>
                <w:b w:val="0"/>
                <w:bCs w:val="0"/>
                <w:color w:val="000000"/>
                <w:sz w:val="24"/>
                <w:szCs w:val="24"/>
                <w:lang w:eastAsia="ja-JP"/>
              </w:rPr>
            </w:pPr>
            <w:r w:rsidRPr="00792B36">
              <w:rPr>
                <w:rFonts w:ascii="Arial" w:eastAsia="Times New Roman" w:hAnsi="Arial" w:cs="Arial"/>
                <w:b w:val="0"/>
                <w:bCs w:val="0"/>
                <w:color w:val="000000"/>
                <w:sz w:val="24"/>
                <w:szCs w:val="24"/>
                <w:lang w:eastAsia="ja-JP"/>
              </w:rPr>
              <w:t>National Economic and Social Development Council (NESDC)</w:t>
            </w:r>
          </w:p>
        </w:tc>
        <w:tc>
          <w:tcPr>
            <w:tcW w:w="6100" w:type="dxa"/>
            <w:shd w:val="clear" w:color="auto" w:fill="FFFFFF" w:themeFill="background1"/>
            <w:hideMark/>
          </w:tcPr>
          <w:p w14:paraId="475A9989" w14:textId="77777777" w:rsidR="009A0A63" w:rsidRPr="00792B36" w:rsidRDefault="009A0A63" w:rsidP="00A24459">
            <w:pP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4"/>
                <w:szCs w:val="24"/>
                <w:lang w:eastAsia="ja-JP"/>
              </w:rPr>
            </w:pPr>
            <w:r w:rsidRPr="00792B36">
              <w:rPr>
                <w:rFonts w:ascii="Arial" w:eastAsia="Times New Roman" w:hAnsi="Arial" w:cs="Arial"/>
                <w:color w:val="000000"/>
                <w:sz w:val="24"/>
                <w:szCs w:val="24"/>
                <w:lang w:eastAsia="ja-JP"/>
              </w:rPr>
              <w:t>Coordinates Thailand’s economic and social development planning. Supports marine and coastal resources conservation by aligning it with national development plans such as the Thirteenth NESDP.</w:t>
            </w:r>
          </w:p>
        </w:tc>
      </w:tr>
      <w:tr w:rsidR="009A0A63" w:rsidRPr="00792B36" w14:paraId="2853BDCB" w14:textId="77777777" w:rsidTr="00A24459">
        <w:trPr>
          <w:cnfStyle w:val="000000100000" w:firstRow="0" w:lastRow="0" w:firstColumn="0" w:lastColumn="0" w:oddVBand="0" w:evenVBand="0" w:oddHBand="1" w:evenHBand="0" w:firstRowFirstColumn="0" w:firstRowLastColumn="0" w:lastRowFirstColumn="0" w:lastRowLastColumn="0"/>
          <w:trHeight w:val="580"/>
        </w:trPr>
        <w:tc>
          <w:tcPr>
            <w:cnfStyle w:val="001000000000" w:firstRow="0" w:lastRow="0" w:firstColumn="1" w:lastColumn="0" w:oddVBand="0" w:evenVBand="0" w:oddHBand="0" w:evenHBand="0" w:firstRowFirstColumn="0" w:firstRowLastColumn="0" w:lastRowFirstColumn="0" w:lastRowLastColumn="0"/>
            <w:tcW w:w="2972" w:type="dxa"/>
            <w:shd w:val="clear" w:color="auto" w:fill="FFFFFF" w:themeFill="background1"/>
            <w:hideMark/>
          </w:tcPr>
          <w:p w14:paraId="7D79310B" w14:textId="77777777" w:rsidR="009A0A63" w:rsidRPr="00792B36" w:rsidRDefault="009A0A63" w:rsidP="00A24459">
            <w:pPr>
              <w:rPr>
                <w:rFonts w:ascii="Arial" w:eastAsia="Times New Roman" w:hAnsi="Arial" w:cs="Arial"/>
                <w:b w:val="0"/>
                <w:bCs w:val="0"/>
                <w:color w:val="000000"/>
                <w:sz w:val="24"/>
                <w:szCs w:val="24"/>
                <w:lang w:eastAsia="ja-JP"/>
              </w:rPr>
            </w:pPr>
            <w:r w:rsidRPr="00792B36">
              <w:rPr>
                <w:rFonts w:ascii="Arial" w:eastAsia="Times New Roman" w:hAnsi="Arial" w:cs="Arial"/>
                <w:b w:val="0"/>
                <w:bCs w:val="0"/>
                <w:color w:val="000000"/>
                <w:sz w:val="24"/>
                <w:szCs w:val="24"/>
                <w:lang w:eastAsia="ja-JP"/>
              </w:rPr>
              <w:t>National Committee on Conservation and Utilization of Biodiversity (NCB)</w:t>
            </w:r>
          </w:p>
        </w:tc>
        <w:tc>
          <w:tcPr>
            <w:tcW w:w="6100" w:type="dxa"/>
            <w:shd w:val="clear" w:color="auto" w:fill="FFFFFF" w:themeFill="background1"/>
            <w:hideMark/>
          </w:tcPr>
          <w:p w14:paraId="2D5B72E6" w14:textId="77777777" w:rsidR="009A0A63" w:rsidRPr="00792B36" w:rsidRDefault="009A0A63" w:rsidP="00A24459">
            <w:pP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4"/>
                <w:szCs w:val="24"/>
                <w:lang w:eastAsia="ja-JP"/>
              </w:rPr>
            </w:pPr>
            <w:r w:rsidRPr="00792B36">
              <w:rPr>
                <w:rFonts w:ascii="Arial" w:eastAsia="Times New Roman" w:hAnsi="Arial" w:cs="Arial"/>
                <w:color w:val="000000"/>
                <w:sz w:val="24"/>
                <w:szCs w:val="24"/>
                <w:lang w:eastAsia="ja-JP"/>
              </w:rPr>
              <w:t>Oversees biodiversity conservation policies. Ensures integration of MSP with goals for protecting marine and coastal biodiversity.</w:t>
            </w:r>
          </w:p>
        </w:tc>
      </w:tr>
      <w:tr w:rsidR="009A0A63" w:rsidRPr="00792B36" w14:paraId="23FFD310" w14:textId="77777777" w:rsidTr="00A24459">
        <w:trPr>
          <w:trHeight w:val="580"/>
        </w:trPr>
        <w:tc>
          <w:tcPr>
            <w:cnfStyle w:val="001000000000" w:firstRow="0" w:lastRow="0" w:firstColumn="1" w:lastColumn="0" w:oddVBand="0" w:evenVBand="0" w:oddHBand="0" w:evenHBand="0" w:firstRowFirstColumn="0" w:firstRowLastColumn="0" w:lastRowFirstColumn="0" w:lastRowLastColumn="0"/>
            <w:tcW w:w="2972" w:type="dxa"/>
            <w:shd w:val="clear" w:color="auto" w:fill="FFFFFF" w:themeFill="background1"/>
            <w:hideMark/>
          </w:tcPr>
          <w:p w14:paraId="2FA4DF3A" w14:textId="77777777" w:rsidR="009A0A63" w:rsidRPr="00792B36" w:rsidRDefault="009A0A63" w:rsidP="00A24459">
            <w:pPr>
              <w:rPr>
                <w:rFonts w:ascii="Arial" w:eastAsia="Times New Roman" w:hAnsi="Arial" w:cs="Arial"/>
                <w:b w:val="0"/>
                <w:bCs w:val="0"/>
                <w:color w:val="000000"/>
                <w:sz w:val="24"/>
                <w:szCs w:val="24"/>
                <w:lang w:eastAsia="ja-JP"/>
              </w:rPr>
            </w:pPr>
            <w:r w:rsidRPr="00792B36">
              <w:rPr>
                <w:rFonts w:ascii="Arial" w:eastAsia="Times New Roman" w:hAnsi="Arial" w:cs="Arial"/>
                <w:b w:val="0"/>
                <w:bCs w:val="0"/>
                <w:color w:val="000000"/>
                <w:sz w:val="24"/>
                <w:szCs w:val="24"/>
                <w:lang w:eastAsia="ja-JP"/>
              </w:rPr>
              <w:t>National Committee on Climate Change Policy (NCCC)</w:t>
            </w:r>
          </w:p>
        </w:tc>
        <w:tc>
          <w:tcPr>
            <w:tcW w:w="6100" w:type="dxa"/>
            <w:shd w:val="clear" w:color="auto" w:fill="FFFFFF" w:themeFill="background1"/>
            <w:hideMark/>
          </w:tcPr>
          <w:p w14:paraId="63147CAD" w14:textId="77777777" w:rsidR="009A0A63" w:rsidRPr="00792B36" w:rsidRDefault="009A0A63" w:rsidP="00A24459">
            <w:pP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4"/>
                <w:szCs w:val="24"/>
                <w:lang w:eastAsia="ja-JP"/>
              </w:rPr>
            </w:pPr>
            <w:r w:rsidRPr="00792B36">
              <w:rPr>
                <w:rFonts w:ascii="Arial" w:eastAsia="Times New Roman" w:hAnsi="Arial" w:cs="Arial"/>
                <w:color w:val="000000"/>
                <w:sz w:val="24"/>
                <w:szCs w:val="24"/>
                <w:lang w:eastAsia="ja-JP"/>
              </w:rPr>
              <w:t>Develops climate change policies and strategies. Ensures MSP incorporates climate resilience and adaptation measures for marine and coastal areas.</w:t>
            </w:r>
          </w:p>
        </w:tc>
      </w:tr>
      <w:tr w:rsidR="009A0A63" w:rsidRPr="00792B36" w14:paraId="5E536A0D" w14:textId="77777777" w:rsidTr="00A24459">
        <w:trPr>
          <w:cnfStyle w:val="000000100000" w:firstRow="0" w:lastRow="0" w:firstColumn="0" w:lastColumn="0" w:oddVBand="0" w:evenVBand="0" w:oddHBand="1" w:evenHBand="0" w:firstRowFirstColumn="0" w:firstRowLastColumn="0" w:lastRowFirstColumn="0" w:lastRowLastColumn="0"/>
          <w:trHeight w:val="580"/>
        </w:trPr>
        <w:tc>
          <w:tcPr>
            <w:cnfStyle w:val="001000000000" w:firstRow="0" w:lastRow="0" w:firstColumn="1" w:lastColumn="0" w:oddVBand="0" w:evenVBand="0" w:oddHBand="0" w:evenHBand="0" w:firstRowFirstColumn="0" w:firstRowLastColumn="0" w:lastRowFirstColumn="0" w:lastRowLastColumn="0"/>
            <w:tcW w:w="2972" w:type="dxa"/>
            <w:shd w:val="clear" w:color="auto" w:fill="FFFFFF" w:themeFill="background1"/>
            <w:hideMark/>
          </w:tcPr>
          <w:p w14:paraId="2850DAF7" w14:textId="77777777" w:rsidR="009A0A63" w:rsidRPr="00792B36" w:rsidRDefault="009A0A63" w:rsidP="00A24459">
            <w:pPr>
              <w:rPr>
                <w:rFonts w:ascii="Arial" w:eastAsia="Times New Roman" w:hAnsi="Arial" w:cs="Arial"/>
                <w:b w:val="0"/>
                <w:bCs w:val="0"/>
                <w:color w:val="000000"/>
                <w:sz w:val="24"/>
                <w:szCs w:val="24"/>
                <w:lang w:eastAsia="ja-JP"/>
              </w:rPr>
            </w:pPr>
            <w:r w:rsidRPr="00792B36">
              <w:rPr>
                <w:rFonts w:ascii="Arial" w:eastAsia="Times New Roman" w:hAnsi="Arial" w:cs="Arial"/>
                <w:b w:val="0"/>
                <w:bCs w:val="0"/>
                <w:color w:val="000000"/>
                <w:sz w:val="24"/>
                <w:szCs w:val="24"/>
                <w:lang w:eastAsia="ja-JP"/>
              </w:rPr>
              <w:t>National Fishery Policy Committee (NFPC)</w:t>
            </w:r>
          </w:p>
        </w:tc>
        <w:tc>
          <w:tcPr>
            <w:tcW w:w="6100" w:type="dxa"/>
            <w:shd w:val="clear" w:color="auto" w:fill="FFFFFF" w:themeFill="background1"/>
            <w:hideMark/>
          </w:tcPr>
          <w:p w14:paraId="40ECFA84" w14:textId="77777777" w:rsidR="009A0A63" w:rsidRPr="00792B36" w:rsidRDefault="009A0A63" w:rsidP="00A24459">
            <w:pP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4"/>
                <w:szCs w:val="24"/>
                <w:lang w:eastAsia="ja-JP"/>
              </w:rPr>
            </w:pPr>
            <w:r w:rsidRPr="00792B36">
              <w:rPr>
                <w:rFonts w:ascii="Arial" w:eastAsia="Times New Roman" w:hAnsi="Arial" w:cs="Arial"/>
                <w:color w:val="000000"/>
                <w:sz w:val="24"/>
                <w:szCs w:val="24"/>
                <w:lang w:eastAsia="ja-JP"/>
              </w:rPr>
              <w:t>Governs fisheries policy and management. Aligns fisheries management with the objectives to ensure sustainable use of marine resources.</w:t>
            </w:r>
          </w:p>
        </w:tc>
      </w:tr>
      <w:tr w:rsidR="009A0A63" w:rsidRPr="00792B36" w14:paraId="27D55C35" w14:textId="77777777" w:rsidTr="00A24459">
        <w:trPr>
          <w:trHeight w:val="580"/>
        </w:trPr>
        <w:tc>
          <w:tcPr>
            <w:cnfStyle w:val="001000000000" w:firstRow="0" w:lastRow="0" w:firstColumn="1" w:lastColumn="0" w:oddVBand="0" w:evenVBand="0" w:oddHBand="0" w:evenHBand="0" w:firstRowFirstColumn="0" w:firstRowLastColumn="0" w:lastRowFirstColumn="0" w:lastRowLastColumn="0"/>
            <w:tcW w:w="2972" w:type="dxa"/>
            <w:shd w:val="clear" w:color="auto" w:fill="FFFFFF" w:themeFill="background1"/>
            <w:hideMark/>
          </w:tcPr>
          <w:p w14:paraId="4118553B" w14:textId="77777777" w:rsidR="009A0A63" w:rsidRPr="00792B36" w:rsidRDefault="009A0A63" w:rsidP="00A24459">
            <w:pPr>
              <w:rPr>
                <w:rFonts w:ascii="Arial" w:eastAsia="Times New Roman" w:hAnsi="Arial" w:cs="Arial"/>
                <w:b w:val="0"/>
                <w:bCs w:val="0"/>
                <w:color w:val="000000"/>
                <w:sz w:val="24"/>
                <w:szCs w:val="24"/>
                <w:lang w:eastAsia="ja-JP"/>
              </w:rPr>
            </w:pPr>
            <w:r w:rsidRPr="00792B36">
              <w:rPr>
                <w:rFonts w:ascii="Arial" w:eastAsia="Times New Roman" w:hAnsi="Arial" w:cs="Arial"/>
                <w:b w:val="0"/>
                <w:bCs w:val="0"/>
                <w:color w:val="000000"/>
                <w:sz w:val="24"/>
                <w:szCs w:val="24"/>
                <w:lang w:eastAsia="ja-JP"/>
              </w:rPr>
              <w:t>National Park Committee (NPC)</w:t>
            </w:r>
          </w:p>
        </w:tc>
        <w:tc>
          <w:tcPr>
            <w:tcW w:w="6100" w:type="dxa"/>
            <w:shd w:val="clear" w:color="auto" w:fill="FFFFFF" w:themeFill="background1"/>
            <w:hideMark/>
          </w:tcPr>
          <w:p w14:paraId="5D8A9079" w14:textId="77777777" w:rsidR="009A0A63" w:rsidRPr="00792B36" w:rsidRDefault="009A0A63" w:rsidP="00A24459">
            <w:pP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4"/>
                <w:szCs w:val="24"/>
                <w:lang w:eastAsia="ja-JP"/>
              </w:rPr>
            </w:pPr>
            <w:r w:rsidRPr="00792B36">
              <w:rPr>
                <w:rFonts w:ascii="Arial" w:eastAsia="Times New Roman" w:hAnsi="Arial" w:cs="Arial"/>
                <w:color w:val="000000"/>
                <w:sz w:val="24"/>
                <w:szCs w:val="24"/>
                <w:lang w:eastAsia="ja-JP"/>
              </w:rPr>
              <w:t>Manages national parks and protected areas. Facilitates the inclusion of marine protected areas in the marine and coastal resources.</w:t>
            </w:r>
          </w:p>
        </w:tc>
      </w:tr>
      <w:tr w:rsidR="009A0A63" w:rsidRPr="00792B36" w14:paraId="1BFBB2FE" w14:textId="77777777" w:rsidTr="00A24459">
        <w:trPr>
          <w:cnfStyle w:val="000000100000" w:firstRow="0" w:lastRow="0" w:firstColumn="0" w:lastColumn="0" w:oddVBand="0" w:evenVBand="0" w:oddHBand="1" w:evenHBand="0" w:firstRowFirstColumn="0" w:firstRowLastColumn="0" w:lastRowFirstColumn="0" w:lastRowLastColumn="0"/>
          <w:trHeight w:val="870"/>
        </w:trPr>
        <w:tc>
          <w:tcPr>
            <w:cnfStyle w:val="001000000000" w:firstRow="0" w:lastRow="0" w:firstColumn="1" w:lastColumn="0" w:oddVBand="0" w:evenVBand="0" w:oddHBand="0" w:evenHBand="0" w:firstRowFirstColumn="0" w:firstRowLastColumn="0" w:lastRowFirstColumn="0" w:lastRowLastColumn="0"/>
            <w:tcW w:w="2972" w:type="dxa"/>
            <w:shd w:val="clear" w:color="auto" w:fill="FFFFFF" w:themeFill="background1"/>
            <w:hideMark/>
          </w:tcPr>
          <w:p w14:paraId="3F3F2676" w14:textId="77777777" w:rsidR="009A0A63" w:rsidRPr="00792B36" w:rsidRDefault="009A0A63" w:rsidP="00A24459">
            <w:pPr>
              <w:rPr>
                <w:rFonts w:ascii="Arial" w:eastAsia="Times New Roman" w:hAnsi="Arial" w:cs="Arial"/>
                <w:b w:val="0"/>
                <w:bCs w:val="0"/>
                <w:color w:val="000000"/>
                <w:sz w:val="24"/>
                <w:szCs w:val="24"/>
                <w:lang w:eastAsia="ja-JP"/>
              </w:rPr>
            </w:pPr>
            <w:r w:rsidRPr="00792B36">
              <w:rPr>
                <w:rFonts w:ascii="Arial" w:eastAsia="Times New Roman" w:hAnsi="Arial" w:cs="Arial"/>
                <w:b w:val="0"/>
                <w:bCs w:val="0"/>
                <w:color w:val="000000"/>
                <w:sz w:val="24"/>
                <w:szCs w:val="24"/>
                <w:lang w:eastAsia="ja-JP"/>
              </w:rPr>
              <w:lastRenderedPageBreak/>
              <w:t>Subcommittee on Management of Marine and Coastal Resources (under NMCRC)</w:t>
            </w:r>
          </w:p>
        </w:tc>
        <w:tc>
          <w:tcPr>
            <w:tcW w:w="6100" w:type="dxa"/>
            <w:shd w:val="clear" w:color="auto" w:fill="FFFFFF" w:themeFill="background1"/>
            <w:hideMark/>
          </w:tcPr>
          <w:p w14:paraId="74B34219" w14:textId="77777777" w:rsidR="009A0A63" w:rsidRPr="00792B36" w:rsidRDefault="009A0A63" w:rsidP="00A24459">
            <w:pP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4"/>
                <w:szCs w:val="24"/>
                <w:lang w:eastAsia="ja-JP"/>
              </w:rPr>
            </w:pPr>
            <w:r w:rsidRPr="00792B36">
              <w:rPr>
                <w:rFonts w:ascii="Arial" w:eastAsia="Times New Roman" w:hAnsi="Arial" w:cs="Arial"/>
                <w:color w:val="000000"/>
                <w:sz w:val="24"/>
                <w:szCs w:val="24"/>
                <w:lang w:eastAsia="ja-JP"/>
              </w:rPr>
              <w:t xml:space="preserve">Focuses on approving policy and management plans for marine and coastal resources, and the designation and management of marine and coastal protected areas. </w:t>
            </w:r>
            <w:r w:rsidRPr="00792B36">
              <w:rPr>
                <w:rFonts w:ascii="Arial" w:hAnsi="Arial" w:cs="Arial"/>
                <w:sz w:val="24"/>
                <w:szCs w:val="24"/>
              </w:rPr>
              <w:t xml:space="preserve">Eight subcommittees are created to support the NMCRC dealing with specific issues include: 1) mangrove and beach forest, 2) coastal erosion, 3) marine environment protection, 4) annual performance report, 5) stakeholders’ participation in marine and coastal resources management, 6) managing marine and coastal resources (through designation of marine and coastal protected areas); 7) conservation of Dugong; 8) resolving coastal erosion problems around the areas of </w:t>
            </w:r>
            <w:proofErr w:type="spellStart"/>
            <w:r w:rsidRPr="00792B36">
              <w:rPr>
                <w:rFonts w:ascii="Arial" w:hAnsi="Arial" w:cs="Arial"/>
                <w:sz w:val="24"/>
                <w:szCs w:val="24"/>
              </w:rPr>
              <w:t>Mrigadayawan</w:t>
            </w:r>
            <w:proofErr w:type="spellEnd"/>
            <w:r w:rsidRPr="00792B36">
              <w:rPr>
                <w:rFonts w:ascii="Arial" w:hAnsi="Arial" w:cs="Arial"/>
                <w:sz w:val="24"/>
                <w:szCs w:val="24"/>
              </w:rPr>
              <w:t xml:space="preserve"> Palace.</w:t>
            </w:r>
          </w:p>
        </w:tc>
      </w:tr>
      <w:tr w:rsidR="009A0A63" w:rsidRPr="00792B36" w14:paraId="073FFAE3" w14:textId="77777777" w:rsidTr="00A24459">
        <w:trPr>
          <w:trHeight w:val="580"/>
        </w:trPr>
        <w:tc>
          <w:tcPr>
            <w:cnfStyle w:val="001000000000" w:firstRow="0" w:lastRow="0" w:firstColumn="1" w:lastColumn="0" w:oddVBand="0" w:evenVBand="0" w:oddHBand="0" w:evenHBand="0" w:firstRowFirstColumn="0" w:firstRowLastColumn="0" w:lastRowFirstColumn="0" w:lastRowLastColumn="0"/>
            <w:tcW w:w="2972" w:type="dxa"/>
            <w:hideMark/>
          </w:tcPr>
          <w:p w14:paraId="220E8222" w14:textId="77777777" w:rsidR="009A0A63" w:rsidRPr="00792B36" w:rsidRDefault="009A0A63" w:rsidP="00A24459">
            <w:pPr>
              <w:rPr>
                <w:rFonts w:ascii="Arial" w:eastAsia="Times New Roman" w:hAnsi="Arial" w:cs="Arial"/>
                <w:b w:val="0"/>
                <w:bCs w:val="0"/>
                <w:color w:val="000000"/>
                <w:sz w:val="24"/>
                <w:szCs w:val="24"/>
                <w:lang w:eastAsia="ja-JP"/>
              </w:rPr>
            </w:pPr>
            <w:r w:rsidRPr="00792B36">
              <w:rPr>
                <w:rFonts w:ascii="Arial" w:eastAsia="Times New Roman" w:hAnsi="Arial" w:cs="Arial"/>
                <w:b w:val="0"/>
                <w:bCs w:val="0"/>
                <w:color w:val="000000"/>
                <w:sz w:val="24"/>
                <w:szCs w:val="24"/>
                <w:lang w:eastAsia="ja-JP"/>
              </w:rPr>
              <w:t>Subcommittee on Marine Use Zoning in Thailand (under MIP)</w:t>
            </w:r>
          </w:p>
        </w:tc>
        <w:tc>
          <w:tcPr>
            <w:tcW w:w="6100" w:type="dxa"/>
            <w:hideMark/>
          </w:tcPr>
          <w:p w14:paraId="21A30D3F" w14:textId="77777777" w:rsidR="009A0A63" w:rsidRPr="00792B36" w:rsidRDefault="009A0A63" w:rsidP="00A24459">
            <w:pP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4"/>
                <w:szCs w:val="24"/>
                <w:lang w:eastAsia="ja-JP"/>
              </w:rPr>
            </w:pPr>
            <w:r w:rsidRPr="00792B36">
              <w:rPr>
                <w:rFonts w:ascii="Arial" w:eastAsia="Times New Roman" w:hAnsi="Arial" w:cs="Arial"/>
                <w:color w:val="000000"/>
                <w:sz w:val="24"/>
                <w:szCs w:val="24"/>
                <w:lang w:eastAsia="ja-JP"/>
              </w:rPr>
              <w:t xml:space="preserve">Directly responsible for MSP implementation, including zoning and maritime boundary delineation to standardize marine management zones and ensure effective spatial planning. </w:t>
            </w:r>
          </w:p>
        </w:tc>
      </w:tr>
    </w:tbl>
    <w:p w14:paraId="3C889781" w14:textId="77777777" w:rsidR="009A0A63" w:rsidRPr="00792B36" w:rsidRDefault="009A0A63" w:rsidP="009A0A63">
      <w:pPr>
        <w:spacing w:before="120" w:after="120"/>
        <w:contextualSpacing/>
        <w:rPr>
          <w:sz w:val="24"/>
          <w:szCs w:val="24"/>
        </w:rPr>
      </w:pPr>
    </w:p>
    <w:p w14:paraId="5F28FCD0" w14:textId="77777777" w:rsidR="009A0A63" w:rsidRPr="00792B36" w:rsidRDefault="009A0A63" w:rsidP="009A0A63">
      <w:pPr>
        <w:spacing w:before="120" w:after="120"/>
        <w:ind w:firstLine="1134"/>
        <w:jc w:val="thaiDistribute"/>
        <w:rPr>
          <w:sz w:val="24"/>
          <w:szCs w:val="24"/>
        </w:rPr>
      </w:pPr>
      <w:r w:rsidRPr="00792B36">
        <w:rPr>
          <w:sz w:val="24"/>
          <w:szCs w:val="24"/>
        </w:rPr>
        <w:br w:type="page"/>
      </w:r>
    </w:p>
    <w:p w14:paraId="4277A64F" w14:textId="77777777" w:rsidR="009A0A63" w:rsidRPr="00792B36" w:rsidRDefault="009A0A63" w:rsidP="009A0A63">
      <w:pPr>
        <w:spacing w:before="120" w:after="120"/>
        <w:rPr>
          <w:b/>
          <w:bCs/>
          <w:i/>
          <w:iCs/>
          <w:color w:val="000000" w:themeColor="text1"/>
          <w:sz w:val="24"/>
          <w:szCs w:val="24"/>
        </w:rPr>
      </w:pPr>
      <w:r w:rsidRPr="00792B36">
        <w:rPr>
          <w:color w:val="EE0000"/>
          <w:sz w:val="24"/>
          <w:szCs w:val="24"/>
        </w:rPr>
        <w:lastRenderedPageBreak/>
        <w:t xml:space="preserve">Annex 8: Thailand’s engagement with key global, regional, and bilateral partners </w:t>
      </w:r>
    </w:p>
    <w:p w14:paraId="0333EA03" w14:textId="77777777" w:rsidR="009A0A63" w:rsidRPr="00792B36" w:rsidRDefault="009A0A63" w:rsidP="009A0A63">
      <w:pPr>
        <w:spacing w:before="120" w:after="120"/>
        <w:rPr>
          <w:b/>
          <w:bCs/>
          <w:i/>
          <w:iCs/>
          <w:color w:val="000000" w:themeColor="text1"/>
          <w:sz w:val="24"/>
          <w:szCs w:val="24"/>
        </w:rPr>
      </w:pPr>
    </w:p>
    <w:p w14:paraId="79A5293D" w14:textId="77777777" w:rsidR="009A0A63" w:rsidRPr="00792B36" w:rsidRDefault="009A0A63" w:rsidP="009A0A63">
      <w:pPr>
        <w:spacing w:before="120" w:after="120"/>
        <w:rPr>
          <w:b/>
          <w:bCs/>
          <w:i/>
          <w:iCs/>
          <w:color w:val="000000" w:themeColor="text1"/>
          <w:sz w:val="24"/>
          <w:szCs w:val="24"/>
        </w:rPr>
      </w:pPr>
      <w:r w:rsidRPr="00792B36">
        <w:rPr>
          <w:b/>
          <w:bCs/>
          <w:i/>
          <w:iCs/>
          <w:color w:val="000000" w:themeColor="text1"/>
          <w:sz w:val="24"/>
          <w:szCs w:val="24"/>
        </w:rPr>
        <w:t>A. Global and Multilateral Engagement</w:t>
      </w:r>
    </w:p>
    <w:p w14:paraId="502BF32F" w14:textId="77777777" w:rsidR="009A0A63" w:rsidRPr="00792B36" w:rsidRDefault="009A0A63" w:rsidP="009A0A63">
      <w:pPr>
        <w:spacing w:before="120" w:after="120"/>
        <w:jc w:val="thaiDistribute"/>
        <w:rPr>
          <w:b/>
          <w:bCs/>
          <w:color w:val="000000" w:themeColor="text1"/>
          <w:sz w:val="24"/>
          <w:szCs w:val="24"/>
        </w:rPr>
      </w:pPr>
      <w:r w:rsidRPr="00792B36">
        <w:rPr>
          <w:b/>
          <w:bCs/>
          <w:color w:val="000000" w:themeColor="text1"/>
          <w:sz w:val="24"/>
          <w:szCs w:val="24"/>
        </w:rPr>
        <w:t>1) DMCR–UNESCO Collaboration</w:t>
      </w:r>
    </w:p>
    <w:p w14:paraId="411D43BE" w14:textId="77777777" w:rsidR="009A0A63" w:rsidRPr="00792B36" w:rsidRDefault="009A0A63" w:rsidP="009A0A63">
      <w:pPr>
        <w:spacing w:before="120" w:after="120"/>
        <w:jc w:val="thaiDistribute"/>
        <w:rPr>
          <w:color w:val="000000" w:themeColor="text1"/>
          <w:sz w:val="24"/>
          <w:szCs w:val="24"/>
        </w:rPr>
      </w:pPr>
      <w:r w:rsidRPr="00792B36">
        <w:rPr>
          <w:color w:val="000000" w:themeColor="text1"/>
          <w:sz w:val="24"/>
          <w:szCs w:val="24"/>
        </w:rPr>
        <w:t>DMCR collaborates with UNESCO to promote the conservation and sustainable management of marine and coastal ecosystems through science, education, and culture-based initiatives.</w:t>
      </w:r>
    </w:p>
    <w:p w14:paraId="1ABC988E" w14:textId="77777777" w:rsidR="009A0A63" w:rsidRPr="00792B36" w:rsidRDefault="009A0A63" w:rsidP="009A0A63">
      <w:pPr>
        <w:spacing w:before="120" w:after="120"/>
        <w:jc w:val="thaiDistribute"/>
        <w:rPr>
          <w:color w:val="000000" w:themeColor="text1"/>
          <w:sz w:val="24"/>
          <w:szCs w:val="24"/>
        </w:rPr>
      </w:pPr>
      <w:r w:rsidRPr="00792B36">
        <w:rPr>
          <w:color w:val="000000" w:themeColor="text1"/>
          <w:sz w:val="24"/>
          <w:szCs w:val="24"/>
        </w:rPr>
        <w:t>Thailand serves as a national focal point under UNESCO’s Intergovernmental Oceanographic Commission (IOC), IOC/WESTPAC, and Man and the Biosphere (MAB) Program. Joint activities include management of the Ranong Biosphere Reserve, the Thailand Mangrove Alliance, and ocean literacy initiatives that support global frameworks such as the UN Decade of Ocean Science (2021-2030) and the Kunming–Montreal Global Biodiversity Framework (GBF).</w:t>
      </w:r>
    </w:p>
    <w:p w14:paraId="503552D5" w14:textId="77777777" w:rsidR="009A0A63" w:rsidRPr="00792B36" w:rsidRDefault="009A0A63" w:rsidP="009A0A63">
      <w:pPr>
        <w:spacing w:before="120" w:after="120"/>
        <w:jc w:val="thaiDistribute"/>
        <w:rPr>
          <w:b/>
          <w:bCs/>
          <w:color w:val="000000" w:themeColor="text1"/>
          <w:sz w:val="24"/>
          <w:szCs w:val="24"/>
        </w:rPr>
      </w:pPr>
      <w:r w:rsidRPr="00792B36">
        <w:rPr>
          <w:b/>
          <w:bCs/>
          <w:color w:val="000000" w:themeColor="text1"/>
          <w:sz w:val="24"/>
          <w:szCs w:val="24"/>
        </w:rPr>
        <w:t>2) DMCR-IOC Collaboration</w:t>
      </w:r>
    </w:p>
    <w:p w14:paraId="28B787A7" w14:textId="77777777" w:rsidR="009A0A63" w:rsidRPr="00792B36" w:rsidRDefault="009A0A63" w:rsidP="009A0A63">
      <w:pPr>
        <w:spacing w:before="120" w:after="120"/>
        <w:rPr>
          <w:color w:val="000000" w:themeColor="text1"/>
          <w:sz w:val="24"/>
          <w:szCs w:val="24"/>
        </w:rPr>
      </w:pPr>
      <w:r w:rsidRPr="00792B36">
        <w:rPr>
          <w:color w:val="000000" w:themeColor="text1"/>
          <w:sz w:val="24"/>
          <w:szCs w:val="24"/>
        </w:rPr>
        <w:t>DMCR acts as Thailand’s national focal point for the IOC of UNESCO, which promotes international cooperation in ocean science, observation, and capacity development.</w:t>
      </w:r>
      <w:r w:rsidRPr="00792B36">
        <w:rPr>
          <w:color w:val="000000" w:themeColor="text1"/>
          <w:sz w:val="24"/>
          <w:szCs w:val="24"/>
        </w:rPr>
        <w:br/>
        <w:t>Thailand has been an active IOC member since 1960 and currently contributes to global initiatives such as the Global Ocean Observing System (GOOS) and tsunami early warning systems, enhancing regional preparedness and ocean data sharing.</w:t>
      </w:r>
    </w:p>
    <w:p w14:paraId="23DBD614" w14:textId="77777777" w:rsidR="009A0A63" w:rsidRPr="00792B36" w:rsidRDefault="009A0A63" w:rsidP="009A0A63">
      <w:pPr>
        <w:spacing w:before="120" w:after="120"/>
        <w:rPr>
          <w:color w:val="000000" w:themeColor="text1"/>
          <w:sz w:val="24"/>
          <w:szCs w:val="24"/>
        </w:rPr>
      </w:pPr>
      <w:r w:rsidRPr="00792B36">
        <w:rPr>
          <w:color w:val="000000" w:themeColor="text1"/>
          <w:sz w:val="24"/>
          <w:szCs w:val="24"/>
        </w:rPr>
        <w:t>As host of the IOC Sub-Commission for the Western Pacific (IOC/WESTPAC) Secretariat since 2005, DMCR leads regional efforts in marine scientific research, ocean observation, and capacity building among 22 member states. The collaboration also supports the Decade Coordination Office (DCO) for the UN Ocean Decade, promoting marine biodiversity research, blue carbon, MSP, and marine debris monitoring across the Western Pacific.</w:t>
      </w:r>
    </w:p>
    <w:p w14:paraId="43B090E3" w14:textId="77777777" w:rsidR="009A0A63" w:rsidRPr="00792B36" w:rsidRDefault="009A0A63" w:rsidP="009A0A63">
      <w:pPr>
        <w:spacing w:before="120" w:after="120"/>
        <w:jc w:val="thaiDistribute"/>
        <w:rPr>
          <w:b/>
          <w:bCs/>
          <w:color w:val="000000" w:themeColor="text1"/>
          <w:sz w:val="24"/>
          <w:szCs w:val="24"/>
        </w:rPr>
      </w:pPr>
      <w:r w:rsidRPr="00792B36">
        <w:rPr>
          <w:b/>
          <w:bCs/>
          <w:color w:val="000000" w:themeColor="text1"/>
          <w:sz w:val="24"/>
          <w:szCs w:val="24"/>
        </w:rPr>
        <w:t xml:space="preserve"> 3)  DMCR–UNEP Collaboration</w:t>
      </w:r>
    </w:p>
    <w:p w14:paraId="67B32336" w14:textId="77777777" w:rsidR="009A0A63" w:rsidRPr="00792B36" w:rsidRDefault="009A0A63" w:rsidP="009A0A63">
      <w:pPr>
        <w:spacing w:before="120" w:after="120"/>
        <w:rPr>
          <w:color w:val="000000" w:themeColor="text1"/>
          <w:sz w:val="24"/>
          <w:szCs w:val="24"/>
        </w:rPr>
      </w:pPr>
      <w:r w:rsidRPr="00792B36">
        <w:rPr>
          <w:color w:val="000000" w:themeColor="text1"/>
          <w:sz w:val="24"/>
          <w:szCs w:val="24"/>
        </w:rPr>
        <w:t>DMCR works closely with the United Nations Environment Programme (UNEP) to strengthen marine and coastal resource management in line with international frameworks.</w:t>
      </w:r>
    </w:p>
    <w:p w14:paraId="5E5ACB25" w14:textId="77777777" w:rsidR="009A0A63" w:rsidRPr="00792B36" w:rsidRDefault="009A0A63" w:rsidP="009A0A63">
      <w:pPr>
        <w:spacing w:before="120" w:after="120"/>
        <w:rPr>
          <w:color w:val="000000" w:themeColor="text1"/>
          <w:sz w:val="24"/>
          <w:szCs w:val="24"/>
        </w:rPr>
      </w:pPr>
      <w:r w:rsidRPr="00792B36">
        <w:rPr>
          <w:color w:val="000000" w:themeColor="text1"/>
          <w:sz w:val="24"/>
          <w:szCs w:val="24"/>
        </w:rPr>
        <w:t>As host of the UNEP Asia and Pacific Regional Office in Bangkok, Thailand, actively engages in regional initiatives such as COBSEA and the United Nations Environment Assembly (UNEA). Cooperation focuses on marine litter reduction, ecosystem-based management, coral and mangrove protection, and progress toward SDG 14 and the 30x30 global marine target.</w:t>
      </w:r>
    </w:p>
    <w:p w14:paraId="5C30464C" w14:textId="77777777" w:rsidR="009A0A63" w:rsidRPr="00792B36" w:rsidRDefault="009A0A63" w:rsidP="009A0A63">
      <w:pPr>
        <w:spacing w:before="120" w:after="120"/>
        <w:rPr>
          <w:b/>
          <w:bCs/>
          <w:color w:val="000000" w:themeColor="text1"/>
          <w:sz w:val="24"/>
          <w:szCs w:val="24"/>
        </w:rPr>
      </w:pPr>
      <w:r w:rsidRPr="00792B36">
        <w:rPr>
          <w:b/>
          <w:bCs/>
          <w:color w:val="000000" w:themeColor="text1"/>
          <w:sz w:val="24"/>
          <w:szCs w:val="24"/>
        </w:rPr>
        <w:t>4) DMCR–BBNJ Collaboration</w:t>
      </w:r>
    </w:p>
    <w:p w14:paraId="4305B51D" w14:textId="77777777" w:rsidR="009A0A63" w:rsidRPr="00792B36" w:rsidRDefault="009A0A63" w:rsidP="009A0A63">
      <w:pPr>
        <w:spacing w:before="120" w:after="120"/>
        <w:rPr>
          <w:color w:val="000000" w:themeColor="text1"/>
          <w:sz w:val="24"/>
          <w:szCs w:val="24"/>
        </w:rPr>
      </w:pPr>
      <w:r w:rsidRPr="00792B36">
        <w:rPr>
          <w:color w:val="000000" w:themeColor="text1"/>
          <w:sz w:val="24"/>
          <w:szCs w:val="24"/>
        </w:rPr>
        <w:t>DMCR supports Thailand’s commitments under the Agreement on the Conservation and Sustainable Use of Marine Biological Diversity of Areas Beyond National Jurisdiction (BBNJ Agreement), adopted under UNCLOS.  Thailand signed the Agreement on 17 April 2025 as the 113th signatory. DMCR’s involvement includes coordination on Marine Genetic Resources (MGRs), Area-Based Management Tools (ABMTs), Environmental Impact Assessments (EIAs), and capacity building, enhancing Thailand’s role in global ocean governance.</w:t>
      </w:r>
    </w:p>
    <w:p w14:paraId="4D01FBC4" w14:textId="77777777" w:rsidR="009A0A63" w:rsidRPr="00792B36" w:rsidRDefault="009A0A63" w:rsidP="009A0A63">
      <w:pPr>
        <w:spacing w:before="120" w:after="120"/>
        <w:jc w:val="thaiDistribute"/>
        <w:rPr>
          <w:b/>
          <w:bCs/>
          <w:color w:val="000000" w:themeColor="text1"/>
          <w:sz w:val="24"/>
          <w:szCs w:val="24"/>
        </w:rPr>
      </w:pPr>
      <w:r w:rsidRPr="00792B36">
        <w:rPr>
          <w:b/>
          <w:bCs/>
          <w:color w:val="000000" w:themeColor="text1"/>
          <w:sz w:val="24"/>
          <w:szCs w:val="24"/>
        </w:rPr>
        <w:t>5) DMCR–IOI Collaboration</w:t>
      </w:r>
    </w:p>
    <w:p w14:paraId="60246D10" w14:textId="77777777" w:rsidR="009A0A63" w:rsidRPr="00792B36" w:rsidRDefault="009A0A63" w:rsidP="009A0A63">
      <w:pPr>
        <w:spacing w:before="120" w:after="120"/>
        <w:rPr>
          <w:color w:val="000000" w:themeColor="text1"/>
          <w:sz w:val="24"/>
          <w:szCs w:val="24"/>
        </w:rPr>
      </w:pPr>
      <w:r w:rsidRPr="00792B36">
        <w:rPr>
          <w:color w:val="000000" w:themeColor="text1"/>
          <w:sz w:val="24"/>
          <w:szCs w:val="24"/>
        </w:rPr>
        <w:lastRenderedPageBreak/>
        <w:t>Through a Memorandum of Understanding (2022–2027), DMCR established the IOI Thailand Training Centre under the International Ocean Institute (IOI).</w:t>
      </w:r>
    </w:p>
    <w:p w14:paraId="7078D700" w14:textId="77777777" w:rsidR="009A0A63" w:rsidRPr="00792B36" w:rsidRDefault="009A0A63" w:rsidP="009A0A63">
      <w:pPr>
        <w:spacing w:before="120" w:after="120"/>
        <w:rPr>
          <w:color w:val="000000" w:themeColor="text1"/>
          <w:sz w:val="24"/>
          <w:szCs w:val="24"/>
        </w:rPr>
      </w:pPr>
      <w:r w:rsidRPr="00792B36">
        <w:rPr>
          <w:color w:val="000000" w:themeColor="text1"/>
          <w:sz w:val="24"/>
          <w:szCs w:val="24"/>
        </w:rPr>
        <w:t>The centre provides regional training on UNCLOS implementation, marine biodiversity conservation, and fisheries governance, building professional capacity and strengthening Thailand’s position in regional ocean education and policy leadership.</w:t>
      </w:r>
    </w:p>
    <w:p w14:paraId="66DD132F" w14:textId="77777777" w:rsidR="009A0A63" w:rsidRPr="00792B36" w:rsidRDefault="009A0A63" w:rsidP="009A0A63">
      <w:pPr>
        <w:spacing w:before="120" w:after="120"/>
        <w:rPr>
          <w:b/>
          <w:bCs/>
          <w:color w:val="000000" w:themeColor="text1"/>
          <w:sz w:val="24"/>
          <w:szCs w:val="24"/>
        </w:rPr>
      </w:pPr>
      <w:r w:rsidRPr="00792B36">
        <w:rPr>
          <w:b/>
          <w:bCs/>
          <w:color w:val="000000" w:themeColor="text1"/>
          <w:sz w:val="24"/>
          <w:szCs w:val="24"/>
        </w:rPr>
        <w:t>6) DMCR–IOSEA Marine Turtles MOU Collaboration</w:t>
      </w:r>
    </w:p>
    <w:p w14:paraId="4A35D966" w14:textId="77777777" w:rsidR="009A0A63" w:rsidRPr="00792B36" w:rsidRDefault="009A0A63" w:rsidP="009A0A63">
      <w:pPr>
        <w:spacing w:before="120" w:after="120"/>
        <w:rPr>
          <w:color w:val="000000" w:themeColor="text1"/>
          <w:sz w:val="24"/>
          <w:szCs w:val="24"/>
        </w:rPr>
      </w:pPr>
      <w:r w:rsidRPr="00792B36">
        <w:rPr>
          <w:color w:val="000000" w:themeColor="text1"/>
          <w:sz w:val="24"/>
          <w:szCs w:val="24"/>
        </w:rPr>
        <w:t>DMCR represents Thailand under the IOSEA Marine Turtles MOU of the Convention on Migratory Species (CMS) to conserve marine turtles and their habitats across the Indian Ocean and Southeast Asia. Through the Conservation and Management Plan (CMP), Thailand undertakes actions on nesting site protection, bycatch reduction, and community awareness, contributing to the long-term survival of endangered turtle species.</w:t>
      </w:r>
    </w:p>
    <w:p w14:paraId="0EE20A68" w14:textId="77777777" w:rsidR="009A0A63" w:rsidRPr="00792B36" w:rsidRDefault="009A0A63" w:rsidP="009A0A63">
      <w:pPr>
        <w:spacing w:before="120" w:after="120"/>
        <w:rPr>
          <w:b/>
          <w:bCs/>
          <w:color w:val="000000" w:themeColor="text1"/>
          <w:sz w:val="24"/>
          <w:szCs w:val="24"/>
        </w:rPr>
      </w:pPr>
      <w:r w:rsidRPr="00792B36">
        <w:rPr>
          <w:b/>
          <w:bCs/>
          <w:color w:val="000000" w:themeColor="text1"/>
          <w:sz w:val="24"/>
          <w:szCs w:val="24"/>
        </w:rPr>
        <w:t>7)  DMCR–Dugong MOU and Habitat Conservation Collaboration</w:t>
      </w:r>
    </w:p>
    <w:p w14:paraId="10B5DDEC" w14:textId="77777777" w:rsidR="009A0A63" w:rsidRPr="00792B36" w:rsidRDefault="009A0A63" w:rsidP="009A0A63">
      <w:pPr>
        <w:spacing w:before="120" w:after="120"/>
        <w:rPr>
          <w:color w:val="000000" w:themeColor="text1"/>
          <w:sz w:val="24"/>
          <w:szCs w:val="24"/>
        </w:rPr>
      </w:pPr>
      <w:r w:rsidRPr="00792B36">
        <w:rPr>
          <w:color w:val="000000" w:themeColor="text1"/>
          <w:sz w:val="24"/>
          <w:szCs w:val="24"/>
        </w:rPr>
        <w:t>Thailand is a signatory to the CMS Dugong MOU (2011) on the conservation of Dugong dugon and their seagrass habitats.  DMCR coordinates national and regional actions to reduce dugong mortality, protect seagrass ecosystems, and build conservation capacity. As the National Focal Point, DMCR also participates in Meetings of Signatories (MOS) to enhance international collaboration on dugong protection and habitat restoration.</w:t>
      </w:r>
    </w:p>
    <w:p w14:paraId="2C0F6BAC" w14:textId="77777777" w:rsidR="009A0A63" w:rsidRPr="00792B36" w:rsidRDefault="009A0A63" w:rsidP="009A0A63">
      <w:pPr>
        <w:spacing w:before="120" w:after="120"/>
        <w:rPr>
          <w:b/>
          <w:bCs/>
          <w:i/>
          <w:iCs/>
          <w:color w:val="000000" w:themeColor="text1"/>
          <w:sz w:val="24"/>
          <w:szCs w:val="24"/>
        </w:rPr>
      </w:pPr>
      <w:r w:rsidRPr="00792B36">
        <w:rPr>
          <w:b/>
          <w:bCs/>
          <w:i/>
          <w:iCs/>
          <w:color w:val="000000" w:themeColor="text1"/>
          <w:sz w:val="24"/>
          <w:szCs w:val="24"/>
        </w:rPr>
        <w:t>B. Regional Engagement</w:t>
      </w:r>
    </w:p>
    <w:p w14:paraId="66A25D27" w14:textId="77777777" w:rsidR="009A0A63" w:rsidRPr="00792B36" w:rsidRDefault="009A0A63" w:rsidP="009A0A63">
      <w:pPr>
        <w:spacing w:before="120" w:after="120"/>
        <w:rPr>
          <w:b/>
          <w:bCs/>
          <w:color w:val="000000" w:themeColor="text1"/>
          <w:sz w:val="24"/>
          <w:szCs w:val="24"/>
        </w:rPr>
      </w:pPr>
      <w:r w:rsidRPr="00792B36">
        <w:rPr>
          <w:b/>
          <w:bCs/>
          <w:color w:val="000000" w:themeColor="text1"/>
          <w:sz w:val="24"/>
          <w:szCs w:val="24"/>
        </w:rPr>
        <w:t>1) DMCR–COBSEA Collaboration</w:t>
      </w:r>
    </w:p>
    <w:p w14:paraId="7DDC9FCB" w14:textId="77777777" w:rsidR="009A0A63" w:rsidRPr="00792B36" w:rsidRDefault="009A0A63" w:rsidP="009A0A63">
      <w:pPr>
        <w:spacing w:before="120" w:after="120"/>
        <w:rPr>
          <w:color w:val="000000" w:themeColor="text1"/>
          <w:sz w:val="24"/>
          <w:szCs w:val="24"/>
        </w:rPr>
      </w:pPr>
      <w:r w:rsidRPr="00792B36">
        <w:rPr>
          <w:color w:val="000000" w:themeColor="text1"/>
          <w:sz w:val="24"/>
          <w:szCs w:val="24"/>
        </w:rPr>
        <w:t>DMCR serves as Thailand’s national focal point for the Coordinating Body on the Seas of East Asia (COBSEA) under UNEP. Thailand, host of the COBSEA Secretariat since 2015, contributes to the East Asian Seas Action Plan, the Regional Action Plan on Marine Litter (RAP MALI), and the South China Sea Strategic Action Programme (SCS SAP). Cooperation focuses on marine pollution control, ecosystem management, and blue economy development.</w:t>
      </w:r>
    </w:p>
    <w:p w14:paraId="13EB2DE7" w14:textId="77777777" w:rsidR="009A0A63" w:rsidRPr="00792B36" w:rsidRDefault="009A0A63" w:rsidP="009A0A63">
      <w:pPr>
        <w:spacing w:before="120" w:after="120"/>
        <w:rPr>
          <w:b/>
          <w:bCs/>
          <w:color w:val="000000" w:themeColor="text1"/>
          <w:sz w:val="24"/>
          <w:szCs w:val="24"/>
        </w:rPr>
      </w:pPr>
      <w:r w:rsidRPr="00792B36">
        <w:rPr>
          <w:b/>
          <w:bCs/>
          <w:color w:val="000000" w:themeColor="text1"/>
          <w:sz w:val="24"/>
          <w:szCs w:val="24"/>
        </w:rPr>
        <w:t>2) DMCR–ASEAN Working Group on Coastal and Marine Environment (AWGCME) Collaboration</w:t>
      </w:r>
    </w:p>
    <w:p w14:paraId="404CB3D6" w14:textId="77777777" w:rsidR="009A0A63" w:rsidRPr="00792B36" w:rsidRDefault="009A0A63" w:rsidP="009A0A63">
      <w:pPr>
        <w:spacing w:before="120" w:after="120"/>
        <w:rPr>
          <w:color w:val="000000" w:themeColor="text1"/>
          <w:sz w:val="24"/>
          <w:szCs w:val="24"/>
        </w:rPr>
      </w:pPr>
      <w:r w:rsidRPr="00792B36">
        <w:rPr>
          <w:color w:val="000000" w:themeColor="text1"/>
          <w:sz w:val="24"/>
          <w:szCs w:val="24"/>
        </w:rPr>
        <w:t>As Chair (2019–2025) and National Focal Point, DMCR leads ASEAN efforts under the AWGCME to promote regional coordination on marine debris reduction, habitat conservation, and climate change adaptation. Key achievements include the Bangkok Declaration on Combating Marine Debris (2019) and the ASEAN Regional Action Plan for Combating Marine Debris (2021–2025).</w:t>
      </w:r>
    </w:p>
    <w:p w14:paraId="599BE611" w14:textId="77777777" w:rsidR="009A0A63" w:rsidRPr="00792B36" w:rsidRDefault="009A0A63" w:rsidP="009A0A63">
      <w:pPr>
        <w:spacing w:before="120" w:after="120"/>
        <w:rPr>
          <w:color w:val="000000" w:themeColor="text1"/>
          <w:sz w:val="24"/>
          <w:szCs w:val="24"/>
        </w:rPr>
      </w:pPr>
    </w:p>
    <w:p w14:paraId="4CD60566" w14:textId="77777777" w:rsidR="009A0A63" w:rsidRPr="00792B36" w:rsidRDefault="009A0A63" w:rsidP="009A0A63">
      <w:pPr>
        <w:spacing w:before="120" w:after="120"/>
        <w:rPr>
          <w:color w:val="000000" w:themeColor="text1"/>
          <w:sz w:val="24"/>
          <w:szCs w:val="24"/>
        </w:rPr>
      </w:pPr>
    </w:p>
    <w:p w14:paraId="4999F11F" w14:textId="77777777" w:rsidR="009A0A63" w:rsidRPr="00792B36" w:rsidRDefault="009A0A63" w:rsidP="009A0A63">
      <w:pPr>
        <w:spacing w:before="120" w:after="120"/>
        <w:rPr>
          <w:b/>
          <w:bCs/>
          <w:color w:val="000000" w:themeColor="text1"/>
          <w:sz w:val="24"/>
          <w:szCs w:val="24"/>
        </w:rPr>
      </w:pPr>
      <w:r w:rsidRPr="00792B36">
        <w:rPr>
          <w:b/>
          <w:bCs/>
          <w:color w:val="000000" w:themeColor="text1"/>
          <w:sz w:val="24"/>
          <w:szCs w:val="24"/>
        </w:rPr>
        <w:t>3) DMCR–ASEAN Sub-Committee on Marine Science and Technology (SCMSAT) Collaboration</w:t>
      </w:r>
    </w:p>
    <w:p w14:paraId="31C40EA6" w14:textId="77777777" w:rsidR="009A0A63" w:rsidRPr="00792B36" w:rsidRDefault="009A0A63" w:rsidP="009A0A63">
      <w:pPr>
        <w:spacing w:before="120" w:after="120"/>
        <w:rPr>
          <w:color w:val="000000" w:themeColor="text1"/>
          <w:sz w:val="24"/>
          <w:szCs w:val="24"/>
        </w:rPr>
      </w:pPr>
      <w:r w:rsidRPr="00792B36">
        <w:rPr>
          <w:color w:val="000000" w:themeColor="text1"/>
          <w:sz w:val="24"/>
          <w:szCs w:val="24"/>
        </w:rPr>
        <w:t>DMCR represents Thailand in SCMSAT under the ASEAN Committee on Science, Technology and Innovation (COSTI). The collaboration enhances regional research, innovation, and capacity building on marine biodiversity, ocean observation, and the ASEAN Blue Economy Roadmap.</w:t>
      </w:r>
    </w:p>
    <w:p w14:paraId="4972CEB8" w14:textId="77777777" w:rsidR="009A0A63" w:rsidRPr="00792B36" w:rsidRDefault="009A0A63" w:rsidP="009A0A63">
      <w:pPr>
        <w:spacing w:before="120" w:after="120"/>
        <w:jc w:val="thaiDistribute"/>
        <w:rPr>
          <w:b/>
          <w:bCs/>
          <w:color w:val="000000" w:themeColor="text1"/>
          <w:sz w:val="24"/>
          <w:szCs w:val="24"/>
        </w:rPr>
      </w:pPr>
      <w:r w:rsidRPr="00792B36">
        <w:rPr>
          <w:b/>
          <w:bCs/>
          <w:color w:val="000000" w:themeColor="text1"/>
          <w:sz w:val="24"/>
          <w:szCs w:val="24"/>
        </w:rPr>
        <w:t>4) DMCR–Ocean and Fisheries Working Group (OFWG) Collaboration</w:t>
      </w:r>
    </w:p>
    <w:p w14:paraId="54714F92" w14:textId="77777777" w:rsidR="009A0A63" w:rsidRPr="00792B36" w:rsidRDefault="009A0A63" w:rsidP="009A0A63">
      <w:pPr>
        <w:spacing w:before="120" w:after="120"/>
        <w:rPr>
          <w:color w:val="000000" w:themeColor="text1"/>
          <w:sz w:val="24"/>
          <w:szCs w:val="24"/>
        </w:rPr>
      </w:pPr>
      <w:r w:rsidRPr="00792B36">
        <w:rPr>
          <w:color w:val="000000" w:themeColor="text1"/>
          <w:sz w:val="24"/>
          <w:szCs w:val="24"/>
        </w:rPr>
        <w:lastRenderedPageBreak/>
        <w:t>Under the APEC framework, DMCR supports the OFWG to promote sustainable ocean and fisheries management. Thailand contributes to regional initiatives on marine debris, IUU fishing prevention, and aquaculture sustainability, including the APEC Roadmaps on Marine Debris and IUU Fishing (2019).</w:t>
      </w:r>
    </w:p>
    <w:p w14:paraId="1A066F01" w14:textId="77777777" w:rsidR="009A0A63" w:rsidRPr="00792B36" w:rsidRDefault="009A0A63" w:rsidP="009A0A63">
      <w:pPr>
        <w:spacing w:before="120" w:after="120"/>
        <w:jc w:val="thaiDistribute"/>
        <w:rPr>
          <w:b/>
          <w:bCs/>
          <w:color w:val="000000" w:themeColor="text1"/>
          <w:sz w:val="24"/>
          <w:szCs w:val="24"/>
        </w:rPr>
      </w:pPr>
      <w:r w:rsidRPr="00792B36">
        <w:rPr>
          <w:b/>
          <w:bCs/>
          <w:color w:val="000000" w:themeColor="text1"/>
          <w:sz w:val="24"/>
          <w:szCs w:val="24"/>
        </w:rPr>
        <w:t>5) DMCR–Blue Economy Working Group (WGBE) Collaboration</w:t>
      </w:r>
    </w:p>
    <w:p w14:paraId="03DD4079" w14:textId="77777777" w:rsidR="009A0A63" w:rsidRPr="00792B36" w:rsidRDefault="009A0A63" w:rsidP="009A0A63">
      <w:pPr>
        <w:spacing w:before="120" w:after="120"/>
        <w:jc w:val="thaiDistribute"/>
        <w:rPr>
          <w:color w:val="000000" w:themeColor="text1"/>
          <w:sz w:val="24"/>
          <w:szCs w:val="24"/>
        </w:rPr>
      </w:pPr>
      <w:r w:rsidRPr="00792B36">
        <w:rPr>
          <w:color w:val="000000" w:themeColor="text1"/>
          <w:sz w:val="24"/>
          <w:szCs w:val="24"/>
        </w:rPr>
        <w:t>Within the Indian Ocean Rim Association (IORA), DMCR serves as Thailand’s lead focal point for the WGBE, focusing on blue carbon, marine pollution, and ocean governance.</w:t>
      </w:r>
    </w:p>
    <w:p w14:paraId="59FF23E5" w14:textId="77777777" w:rsidR="009A0A63" w:rsidRPr="00792B36" w:rsidRDefault="009A0A63" w:rsidP="009A0A63">
      <w:pPr>
        <w:spacing w:before="120" w:after="120"/>
        <w:jc w:val="thaiDistribute"/>
        <w:rPr>
          <w:color w:val="000000" w:themeColor="text1"/>
          <w:sz w:val="24"/>
          <w:szCs w:val="24"/>
        </w:rPr>
      </w:pPr>
      <w:r w:rsidRPr="00792B36">
        <w:rPr>
          <w:color w:val="000000" w:themeColor="text1"/>
          <w:sz w:val="24"/>
          <w:szCs w:val="24"/>
        </w:rPr>
        <w:t>Collaboration includes training programs, ministerial dialogues, and research on renewable energy, marine biotechnology, and coastal tourism to strengthen sustainable blue economy development.</w:t>
      </w:r>
    </w:p>
    <w:p w14:paraId="2C10DC0A" w14:textId="77777777" w:rsidR="009A0A63" w:rsidRPr="00792B36" w:rsidRDefault="009A0A63" w:rsidP="009A0A63">
      <w:pPr>
        <w:pStyle w:val="ListParagraph"/>
        <w:spacing w:before="120" w:after="120"/>
        <w:ind w:left="480" w:hanging="480"/>
        <w:contextualSpacing w:val="0"/>
        <w:rPr>
          <w:rFonts w:cs="Arial"/>
          <w:b/>
          <w:bCs/>
          <w:i/>
          <w:iCs/>
          <w:color w:val="000000" w:themeColor="text1"/>
          <w:sz w:val="24"/>
          <w:szCs w:val="24"/>
        </w:rPr>
      </w:pPr>
      <w:r w:rsidRPr="00792B36">
        <w:rPr>
          <w:rFonts w:cs="Arial"/>
          <w:b/>
          <w:bCs/>
          <w:i/>
          <w:iCs/>
          <w:color w:val="000000" w:themeColor="text1"/>
          <w:sz w:val="24"/>
          <w:szCs w:val="24"/>
        </w:rPr>
        <w:t>C. Bilateral and Innovation Partnerships</w:t>
      </w:r>
    </w:p>
    <w:p w14:paraId="1DD628ED" w14:textId="77777777" w:rsidR="009A0A63" w:rsidRPr="00792B36" w:rsidRDefault="009A0A63" w:rsidP="009A0A63">
      <w:pPr>
        <w:spacing w:before="120" w:after="120"/>
        <w:rPr>
          <w:b/>
          <w:bCs/>
          <w:color w:val="000000" w:themeColor="text1"/>
          <w:sz w:val="24"/>
          <w:szCs w:val="24"/>
        </w:rPr>
      </w:pPr>
      <w:r w:rsidRPr="00792B36">
        <w:rPr>
          <w:b/>
          <w:bCs/>
          <w:color w:val="000000" w:themeColor="text1"/>
          <w:sz w:val="24"/>
          <w:szCs w:val="24"/>
        </w:rPr>
        <w:t>1) DMCR–The Ocean Cleanup B.V. Collaboration</w:t>
      </w:r>
    </w:p>
    <w:p w14:paraId="3BECD5E7" w14:textId="77777777" w:rsidR="009A0A63" w:rsidRPr="00792B36" w:rsidRDefault="009A0A63" w:rsidP="009A0A63">
      <w:pPr>
        <w:spacing w:before="120" w:after="120"/>
        <w:rPr>
          <w:color w:val="000000" w:themeColor="text1"/>
          <w:sz w:val="24"/>
          <w:szCs w:val="24"/>
        </w:rPr>
      </w:pPr>
      <w:r w:rsidRPr="00792B36">
        <w:rPr>
          <w:color w:val="000000" w:themeColor="text1"/>
          <w:sz w:val="24"/>
          <w:szCs w:val="24"/>
        </w:rPr>
        <w:t>DMCR signed a Memorandum of Understanding (2022) with The Ocean Cleanup B.V. (Netherlands) to enhance marine debris management and plastic pollution reduction in Thailand’s rivers and coastal zones. The Interceptor Project, deployed in the Chao Phraya River, captures floating waste before it reaches the sea. This public–private partnership supports Thailand’s National Marine Debris Management Plan and advances SDG 14 (Life Below Water) through innovation and technology-based solutions.</w:t>
      </w:r>
    </w:p>
    <w:p w14:paraId="07D6D58A" w14:textId="77777777" w:rsidR="009A0A63" w:rsidRPr="00792B36" w:rsidRDefault="009A0A63" w:rsidP="009A0A63">
      <w:pPr>
        <w:spacing w:before="120" w:after="120"/>
        <w:rPr>
          <w:color w:val="EE0000"/>
          <w:sz w:val="24"/>
          <w:szCs w:val="24"/>
        </w:rPr>
      </w:pPr>
      <w:r w:rsidRPr="00792B36">
        <w:rPr>
          <w:color w:val="EE0000"/>
          <w:sz w:val="24"/>
          <w:szCs w:val="24"/>
        </w:rPr>
        <w:br w:type="page"/>
      </w:r>
    </w:p>
    <w:p w14:paraId="57CAC1B5" w14:textId="77777777" w:rsidR="009A0A63" w:rsidRPr="00792B36" w:rsidRDefault="009A0A63" w:rsidP="009A0A63">
      <w:pPr>
        <w:spacing w:before="120" w:after="120"/>
        <w:rPr>
          <w:color w:val="EE0000"/>
          <w:sz w:val="24"/>
          <w:szCs w:val="24"/>
        </w:rPr>
      </w:pPr>
      <w:r w:rsidRPr="00792B36">
        <w:rPr>
          <w:color w:val="EE0000"/>
          <w:sz w:val="24"/>
          <w:szCs w:val="24"/>
        </w:rPr>
        <w:lastRenderedPageBreak/>
        <w:t xml:space="preserve">Annex 9: International Conventions and Global Policy Framework </w:t>
      </w:r>
    </w:p>
    <w:p w14:paraId="18762DE6" w14:textId="77777777" w:rsidR="009A0A63" w:rsidRPr="00792B36" w:rsidRDefault="009A0A63" w:rsidP="009A0A63">
      <w:pPr>
        <w:spacing w:before="120" w:after="120"/>
        <w:rPr>
          <w:b/>
          <w:bCs/>
          <w:i/>
          <w:iCs/>
          <w:sz w:val="24"/>
          <w:szCs w:val="24"/>
          <w:u w:val="single"/>
        </w:rPr>
      </w:pPr>
    </w:p>
    <w:p w14:paraId="08CB8EAD" w14:textId="77777777" w:rsidR="009A0A63" w:rsidRPr="00792B36" w:rsidRDefault="009A0A63" w:rsidP="009A0A63">
      <w:pPr>
        <w:spacing w:before="120" w:after="120"/>
        <w:rPr>
          <w:b/>
          <w:bCs/>
          <w:i/>
          <w:iCs/>
          <w:sz w:val="24"/>
          <w:szCs w:val="24"/>
          <w:u w:val="single"/>
        </w:rPr>
      </w:pPr>
      <w:r w:rsidRPr="00792B36">
        <w:rPr>
          <w:b/>
          <w:bCs/>
          <w:i/>
          <w:iCs/>
          <w:sz w:val="24"/>
          <w:szCs w:val="24"/>
          <w:u w:val="single"/>
        </w:rPr>
        <w:t>Biodiversity-related Instruments</w:t>
      </w:r>
    </w:p>
    <w:p w14:paraId="042D2638" w14:textId="77777777" w:rsidR="009A0A63" w:rsidRPr="00792B36" w:rsidRDefault="009A0A63" w:rsidP="009A0A63">
      <w:pPr>
        <w:spacing w:before="120" w:after="120"/>
        <w:rPr>
          <w:sz w:val="24"/>
          <w:szCs w:val="24"/>
        </w:rPr>
      </w:pPr>
      <w:r w:rsidRPr="00792B36">
        <w:rPr>
          <w:b/>
          <w:bCs/>
          <w:sz w:val="24"/>
          <w:szCs w:val="24"/>
        </w:rPr>
        <w:t>a)  The Convention on Biological Diversity (CBD)</w:t>
      </w:r>
    </w:p>
    <w:p w14:paraId="531FDBA1" w14:textId="77777777" w:rsidR="009A0A63" w:rsidRPr="00792B36" w:rsidRDefault="009A0A63" w:rsidP="009A0A63">
      <w:pPr>
        <w:spacing w:before="120" w:after="120"/>
        <w:rPr>
          <w:sz w:val="24"/>
          <w:szCs w:val="24"/>
        </w:rPr>
      </w:pPr>
      <w:r w:rsidRPr="00792B36">
        <w:rPr>
          <w:sz w:val="24"/>
          <w:szCs w:val="24"/>
        </w:rPr>
        <w:t>The CBD promotes the conservation of biological diversity, the sustainable use of its components, and the equitable sharing of benefits arising from genetic resources. It provides a global framework for ecosystem and species protection. Thailand, as a Party to the CBD, integrates its principles into national biodiversity strategies, action plans, and coastal ecosystem management frameworks.</w:t>
      </w:r>
    </w:p>
    <w:p w14:paraId="08398C8E" w14:textId="77777777" w:rsidR="009A0A63" w:rsidRPr="00792B36" w:rsidRDefault="009A0A63" w:rsidP="009A0A63">
      <w:pPr>
        <w:spacing w:before="120" w:after="120"/>
        <w:rPr>
          <w:sz w:val="24"/>
          <w:szCs w:val="24"/>
        </w:rPr>
      </w:pPr>
      <w:r w:rsidRPr="00792B36">
        <w:rPr>
          <w:b/>
          <w:bCs/>
          <w:sz w:val="24"/>
          <w:szCs w:val="24"/>
        </w:rPr>
        <w:t>b) The Kunming–Montreal Global Biodiversity Framework (GBF)</w:t>
      </w:r>
    </w:p>
    <w:p w14:paraId="22D1C7A1" w14:textId="77777777" w:rsidR="009A0A63" w:rsidRPr="00792B36" w:rsidRDefault="009A0A63" w:rsidP="009A0A63">
      <w:pPr>
        <w:spacing w:before="120" w:after="120"/>
        <w:rPr>
          <w:sz w:val="24"/>
          <w:szCs w:val="24"/>
        </w:rPr>
      </w:pPr>
      <w:r w:rsidRPr="00792B36">
        <w:rPr>
          <w:sz w:val="24"/>
          <w:szCs w:val="24"/>
        </w:rPr>
        <w:t>Adopted in 2022 under the CBD, the GBF sets global biodiversity targets to 2030, aiming to halt and reverse biodiversity loss. It introduces key goals such as protecting at least 30% of land and sea areas (“30x30 target”), restoring degraded ecosystems, and reducing harmful subsidies. Thailand aligns its biodiversity strategies and marine conservation plans with the GBF to strengthen marine protection and sustainable resource management.</w:t>
      </w:r>
    </w:p>
    <w:p w14:paraId="64E42D20" w14:textId="77777777" w:rsidR="009A0A63" w:rsidRPr="00792B36" w:rsidRDefault="009A0A63" w:rsidP="009A0A63">
      <w:pPr>
        <w:spacing w:before="120" w:after="120"/>
        <w:rPr>
          <w:sz w:val="24"/>
          <w:szCs w:val="24"/>
        </w:rPr>
      </w:pPr>
      <w:r w:rsidRPr="00792B36">
        <w:rPr>
          <w:b/>
          <w:bCs/>
          <w:sz w:val="24"/>
          <w:szCs w:val="24"/>
        </w:rPr>
        <w:t>c)  The Ramsar Convention on Wetlands</w:t>
      </w:r>
    </w:p>
    <w:p w14:paraId="20A402F6" w14:textId="77777777" w:rsidR="009A0A63" w:rsidRPr="00792B36" w:rsidRDefault="009A0A63" w:rsidP="009A0A63">
      <w:pPr>
        <w:spacing w:before="120" w:after="120"/>
        <w:rPr>
          <w:sz w:val="24"/>
          <w:szCs w:val="24"/>
        </w:rPr>
      </w:pPr>
      <w:r w:rsidRPr="00792B36">
        <w:rPr>
          <w:sz w:val="24"/>
          <w:szCs w:val="24"/>
        </w:rPr>
        <w:t xml:space="preserve">The Ramsar Convention provides an international framework for the conservation and wise use of wetlands. Eleven coastal and marine wetlands in Thailand have been designated as </w:t>
      </w:r>
      <w:r w:rsidRPr="00792B36">
        <w:rPr>
          <w:b/>
          <w:bCs/>
          <w:sz w:val="24"/>
          <w:szCs w:val="24"/>
        </w:rPr>
        <w:t>Wetlands of International Importance</w:t>
      </w:r>
      <w:r w:rsidRPr="00792B36">
        <w:rPr>
          <w:sz w:val="24"/>
          <w:szCs w:val="24"/>
        </w:rPr>
        <w:t xml:space="preserve">, highlighting the country’s commitment to wetland and coastal ecosystem protection (Appendix xx) </w:t>
      </w:r>
    </w:p>
    <w:p w14:paraId="4F126524" w14:textId="77777777" w:rsidR="009A0A63" w:rsidRPr="00792B36" w:rsidRDefault="009A0A63" w:rsidP="009A0A63">
      <w:pPr>
        <w:spacing w:before="120" w:after="120"/>
        <w:rPr>
          <w:sz w:val="24"/>
          <w:szCs w:val="24"/>
        </w:rPr>
      </w:pPr>
      <w:r w:rsidRPr="00792B36">
        <w:rPr>
          <w:b/>
          <w:bCs/>
          <w:sz w:val="24"/>
          <w:szCs w:val="24"/>
        </w:rPr>
        <w:t>d) The Convention on International Trade in Endangered Species of Wild Fauna and Flora (CITES)</w:t>
      </w:r>
    </w:p>
    <w:p w14:paraId="0FBF04C0" w14:textId="77777777" w:rsidR="009A0A63" w:rsidRPr="00792B36" w:rsidRDefault="009A0A63" w:rsidP="009A0A63">
      <w:pPr>
        <w:spacing w:before="120" w:after="120"/>
        <w:rPr>
          <w:sz w:val="24"/>
          <w:szCs w:val="24"/>
        </w:rPr>
      </w:pPr>
      <w:r w:rsidRPr="00792B36">
        <w:rPr>
          <w:sz w:val="24"/>
          <w:szCs w:val="24"/>
        </w:rPr>
        <w:t>CITES regulates international trade in wild animals and plants to prevent threats to species survival. Thailand implements its provisions through national legislation and enforcement to combat illegal wildlife trafficking and protect endangered marine species such as corals, seahorses, and marine turtles.</w:t>
      </w:r>
    </w:p>
    <w:p w14:paraId="2E25F817" w14:textId="77777777" w:rsidR="009A0A63" w:rsidRPr="00792B36" w:rsidRDefault="009A0A63" w:rsidP="009A0A63">
      <w:pPr>
        <w:spacing w:before="120" w:after="120"/>
        <w:rPr>
          <w:sz w:val="24"/>
          <w:szCs w:val="24"/>
        </w:rPr>
      </w:pPr>
      <w:r w:rsidRPr="00792B36">
        <w:rPr>
          <w:b/>
          <w:bCs/>
          <w:sz w:val="24"/>
          <w:szCs w:val="24"/>
        </w:rPr>
        <w:t>e) The World Heritage Convention (1972)</w:t>
      </w:r>
    </w:p>
    <w:p w14:paraId="01AB68FE" w14:textId="77777777" w:rsidR="009A0A63" w:rsidRPr="00792B36" w:rsidRDefault="009A0A63" w:rsidP="009A0A63">
      <w:pPr>
        <w:spacing w:before="120" w:after="120"/>
        <w:rPr>
          <w:sz w:val="24"/>
          <w:szCs w:val="24"/>
        </w:rPr>
      </w:pPr>
      <w:r w:rsidRPr="00792B36">
        <w:rPr>
          <w:sz w:val="24"/>
          <w:szCs w:val="24"/>
        </w:rPr>
        <w:t>Administered by UNESCO in 1972, the Convention seeks to identify and preserve cultural and natural heritage sites of outstanding universal value. Thailand collaborates with UNESCO to protect and manage marine and coastal sites that represent biodiversity and cultural significance, such as mangrove and coral reef ecosystems.</w:t>
      </w:r>
    </w:p>
    <w:p w14:paraId="27E79B90" w14:textId="77777777" w:rsidR="009A0A63" w:rsidRPr="00792B36" w:rsidRDefault="009A0A63" w:rsidP="009A0A63">
      <w:pPr>
        <w:spacing w:before="120" w:after="120"/>
        <w:rPr>
          <w:sz w:val="24"/>
          <w:szCs w:val="24"/>
        </w:rPr>
      </w:pPr>
      <w:r w:rsidRPr="00792B36">
        <w:rPr>
          <w:b/>
          <w:bCs/>
          <w:sz w:val="24"/>
          <w:szCs w:val="24"/>
        </w:rPr>
        <w:t>f)  The Convention on the Conservation of Migratory Species of Wild Animals (CMS, 1979)</w:t>
      </w:r>
    </w:p>
    <w:p w14:paraId="7B479B22" w14:textId="77777777" w:rsidR="009A0A63" w:rsidRPr="00792B36" w:rsidRDefault="009A0A63" w:rsidP="009A0A63">
      <w:pPr>
        <w:spacing w:before="120" w:after="120"/>
        <w:rPr>
          <w:sz w:val="24"/>
          <w:szCs w:val="24"/>
        </w:rPr>
      </w:pPr>
      <w:r w:rsidRPr="00792B36">
        <w:rPr>
          <w:sz w:val="24"/>
          <w:szCs w:val="24"/>
        </w:rPr>
        <w:t>The CMS, or Bonn Convention, promotes international cooperation for the conservation of migratory species and their habitats. Thailand, as a Party to CMS, contributes to protecting dugongs, marine turtles, dolphins, and seabirds, and participates in regional initiatives under the IOSEA Marine Turtle MOU and Dugong MOU.</w:t>
      </w:r>
    </w:p>
    <w:p w14:paraId="05176490" w14:textId="77777777" w:rsidR="009A0A63" w:rsidRPr="00792B36" w:rsidRDefault="009A0A63" w:rsidP="009A0A63">
      <w:pPr>
        <w:spacing w:before="120" w:after="120"/>
        <w:rPr>
          <w:b/>
          <w:bCs/>
          <w:i/>
          <w:iCs/>
          <w:sz w:val="24"/>
          <w:szCs w:val="24"/>
          <w:u w:val="single"/>
        </w:rPr>
      </w:pPr>
    </w:p>
    <w:p w14:paraId="6D798981" w14:textId="77777777" w:rsidR="009A0A63" w:rsidRPr="00792B36" w:rsidRDefault="009A0A63" w:rsidP="009A0A63">
      <w:pPr>
        <w:spacing w:before="120" w:after="120"/>
        <w:rPr>
          <w:b/>
          <w:bCs/>
          <w:i/>
          <w:iCs/>
          <w:sz w:val="24"/>
          <w:szCs w:val="24"/>
          <w:u w:val="single"/>
        </w:rPr>
      </w:pPr>
    </w:p>
    <w:p w14:paraId="6A9D059C" w14:textId="77777777" w:rsidR="009A0A63" w:rsidRPr="00792B36" w:rsidRDefault="009A0A63" w:rsidP="009A0A63">
      <w:pPr>
        <w:spacing w:before="120" w:after="120"/>
        <w:rPr>
          <w:b/>
          <w:bCs/>
          <w:i/>
          <w:iCs/>
          <w:sz w:val="24"/>
          <w:szCs w:val="24"/>
          <w:u w:val="single"/>
        </w:rPr>
      </w:pPr>
      <w:r w:rsidRPr="00792B36">
        <w:rPr>
          <w:b/>
          <w:bCs/>
          <w:i/>
          <w:iCs/>
          <w:sz w:val="24"/>
          <w:szCs w:val="24"/>
          <w:u w:val="single"/>
        </w:rPr>
        <w:t>Pollution-related Instruments</w:t>
      </w:r>
    </w:p>
    <w:p w14:paraId="24ED1328" w14:textId="77777777" w:rsidR="009A0A63" w:rsidRPr="00792B36" w:rsidRDefault="009A0A63" w:rsidP="009A0A63">
      <w:pPr>
        <w:spacing w:before="120" w:after="120"/>
        <w:rPr>
          <w:sz w:val="24"/>
          <w:szCs w:val="24"/>
        </w:rPr>
      </w:pPr>
      <w:r w:rsidRPr="00792B36">
        <w:rPr>
          <w:b/>
          <w:bCs/>
          <w:sz w:val="24"/>
          <w:szCs w:val="24"/>
        </w:rPr>
        <w:lastRenderedPageBreak/>
        <w:t>a) United Nations Convention on the Law of the Sea (UNCLOS, 1982)</w:t>
      </w:r>
    </w:p>
    <w:p w14:paraId="3604A512" w14:textId="77777777" w:rsidR="009A0A63" w:rsidRPr="00792B36" w:rsidRDefault="009A0A63" w:rsidP="009A0A63">
      <w:pPr>
        <w:spacing w:before="120" w:after="120"/>
        <w:rPr>
          <w:sz w:val="24"/>
          <w:szCs w:val="24"/>
        </w:rPr>
      </w:pPr>
      <w:r w:rsidRPr="00792B36">
        <w:rPr>
          <w:sz w:val="24"/>
          <w:szCs w:val="24"/>
        </w:rPr>
        <w:t>UNCLOS establishes the comprehensive legal framework governing all ocean activities. It defines maritime zones (such as territorial sea, EEZ, and continental shelf), regulates navigation and resource use, and promotes marine environmental protection. Thailand implements its provisions through national legislation on fisheries, marine resource management, and maritime jurisdiction.</w:t>
      </w:r>
    </w:p>
    <w:p w14:paraId="6B3D7E93" w14:textId="77777777" w:rsidR="009A0A63" w:rsidRPr="00792B36" w:rsidRDefault="009A0A63" w:rsidP="009A0A63">
      <w:pPr>
        <w:spacing w:before="120" w:after="120"/>
        <w:rPr>
          <w:sz w:val="24"/>
          <w:szCs w:val="24"/>
        </w:rPr>
      </w:pPr>
      <w:r w:rsidRPr="00792B36">
        <w:rPr>
          <w:b/>
          <w:bCs/>
          <w:sz w:val="24"/>
          <w:szCs w:val="24"/>
        </w:rPr>
        <w:t>b)  Convention on the Prevention of Marine Pollution by Dumping of Wastes and Other Matter (London Convention, 1972)</w:t>
      </w:r>
    </w:p>
    <w:p w14:paraId="312DC1D8" w14:textId="77777777" w:rsidR="009A0A63" w:rsidRPr="00792B36" w:rsidRDefault="009A0A63" w:rsidP="009A0A63">
      <w:pPr>
        <w:spacing w:before="120" w:after="120"/>
        <w:rPr>
          <w:sz w:val="24"/>
          <w:szCs w:val="24"/>
        </w:rPr>
      </w:pPr>
      <w:r w:rsidRPr="00792B36">
        <w:rPr>
          <w:sz w:val="24"/>
          <w:szCs w:val="24"/>
        </w:rPr>
        <w:t>This Convention aims to prevent marine pollution caused by waste dumping and establishes a global regulatory framework for controlling harmful discharges. Thailand enforces its principles through national laws governing waste management and pollution prevention.</w:t>
      </w:r>
    </w:p>
    <w:p w14:paraId="43723949" w14:textId="77777777" w:rsidR="009A0A63" w:rsidRPr="00792B36" w:rsidRDefault="009A0A63" w:rsidP="009A0A63">
      <w:pPr>
        <w:spacing w:before="120" w:after="120"/>
        <w:rPr>
          <w:sz w:val="24"/>
          <w:szCs w:val="24"/>
        </w:rPr>
      </w:pPr>
      <w:r w:rsidRPr="00792B36">
        <w:rPr>
          <w:b/>
          <w:bCs/>
          <w:sz w:val="24"/>
          <w:szCs w:val="24"/>
        </w:rPr>
        <w:t>c)  International Convention for the Prevention of Pollution from Ships (MARPOL)</w:t>
      </w:r>
    </w:p>
    <w:p w14:paraId="100C79BE" w14:textId="77777777" w:rsidR="009A0A63" w:rsidRPr="00792B36" w:rsidRDefault="009A0A63" w:rsidP="009A0A63">
      <w:pPr>
        <w:spacing w:before="120" w:after="120"/>
        <w:rPr>
          <w:sz w:val="24"/>
          <w:szCs w:val="24"/>
        </w:rPr>
      </w:pPr>
      <w:r w:rsidRPr="00792B36">
        <w:rPr>
          <w:sz w:val="24"/>
          <w:szCs w:val="24"/>
        </w:rPr>
        <w:t>MARPOL serves as the main international treaty addressing ship-based pollution, including oil, chemicals, sewage, garbage, and air emissions. Thailand enforces MARPOL’s six technical annexes to ensure safe shipping, protect coastal and marine environments, and support sustainable maritime transport.</w:t>
      </w:r>
    </w:p>
    <w:p w14:paraId="49A727CB" w14:textId="77777777" w:rsidR="009A0A63" w:rsidRPr="00792B36" w:rsidRDefault="009A0A63" w:rsidP="009A0A63">
      <w:pPr>
        <w:spacing w:before="120" w:after="120"/>
        <w:rPr>
          <w:sz w:val="24"/>
          <w:szCs w:val="24"/>
        </w:rPr>
      </w:pPr>
      <w:r w:rsidRPr="00792B36">
        <w:rPr>
          <w:b/>
          <w:bCs/>
          <w:sz w:val="24"/>
          <w:szCs w:val="24"/>
        </w:rPr>
        <w:t>d) Basel Convention on the Control of Transboundary Movements of Hazardous Wastes and Their Disposal (1989)</w:t>
      </w:r>
    </w:p>
    <w:p w14:paraId="2CAE724F" w14:textId="77777777" w:rsidR="009A0A63" w:rsidRPr="00792B36" w:rsidRDefault="009A0A63" w:rsidP="009A0A63">
      <w:pPr>
        <w:spacing w:before="120" w:after="120"/>
        <w:rPr>
          <w:sz w:val="24"/>
          <w:szCs w:val="24"/>
        </w:rPr>
      </w:pPr>
      <w:r w:rsidRPr="00792B36">
        <w:rPr>
          <w:sz w:val="24"/>
          <w:szCs w:val="24"/>
        </w:rPr>
        <w:t>The Basel Convention regulates the transboundary movement and disposal of hazardous wastes to prevent illegal dumping and ensure environmentally sound management. Thailand implements strict controls on hazardous waste import, export, and disposal in line with sustainable development objectives.</w:t>
      </w:r>
    </w:p>
    <w:p w14:paraId="3B641931" w14:textId="77777777" w:rsidR="009A0A63" w:rsidRPr="00792B36" w:rsidRDefault="009A0A63" w:rsidP="009A0A63">
      <w:pPr>
        <w:spacing w:before="120" w:after="120"/>
        <w:rPr>
          <w:sz w:val="24"/>
          <w:szCs w:val="24"/>
        </w:rPr>
      </w:pPr>
      <w:r w:rsidRPr="00792B36">
        <w:rPr>
          <w:b/>
          <w:bCs/>
          <w:sz w:val="24"/>
          <w:szCs w:val="24"/>
        </w:rPr>
        <w:t>e) Convention on Oil Pollution Preparedness, Response and Cooperation (OPRC, 1990)</w:t>
      </w:r>
    </w:p>
    <w:p w14:paraId="0A273423" w14:textId="77777777" w:rsidR="009A0A63" w:rsidRPr="00792B36" w:rsidRDefault="009A0A63" w:rsidP="009A0A63">
      <w:pPr>
        <w:spacing w:before="120" w:after="120"/>
        <w:rPr>
          <w:sz w:val="24"/>
          <w:szCs w:val="24"/>
        </w:rPr>
      </w:pPr>
      <w:r w:rsidRPr="00792B36">
        <w:rPr>
          <w:sz w:val="24"/>
          <w:szCs w:val="24"/>
        </w:rPr>
        <w:t>The OPRC establishes a global framework for preparedness and response to oil spills. Thailand maintains national and regional oil spill contingency plans, trained response units, and cooperative mechanisms to address pollution incidents.</w:t>
      </w:r>
    </w:p>
    <w:p w14:paraId="1D07D332" w14:textId="77777777" w:rsidR="009A0A63" w:rsidRPr="00792B36" w:rsidRDefault="009A0A63" w:rsidP="009A0A63">
      <w:pPr>
        <w:spacing w:before="120" w:after="120"/>
        <w:rPr>
          <w:sz w:val="24"/>
          <w:szCs w:val="24"/>
        </w:rPr>
      </w:pPr>
      <w:r w:rsidRPr="00792B36">
        <w:rPr>
          <w:b/>
          <w:bCs/>
          <w:sz w:val="24"/>
          <w:szCs w:val="24"/>
        </w:rPr>
        <w:t>f) Rotterdam Convention (1998)</w:t>
      </w:r>
    </w:p>
    <w:p w14:paraId="503DECA5" w14:textId="77777777" w:rsidR="009A0A63" w:rsidRPr="00792B36" w:rsidRDefault="009A0A63" w:rsidP="009A0A63">
      <w:pPr>
        <w:spacing w:before="120" w:after="120"/>
        <w:rPr>
          <w:sz w:val="24"/>
          <w:szCs w:val="24"/>
        </w:rPr>
      </w:pPr>
      <w:r w:rsidRPr="00792B36">
        <w:rPr>
          <w:sz w:val="24"/>
          <w:szCs w:val="24"/>
        </w:rPr>
        <w:t>This Convention promotes shared responsibility in the trade of hazardous chemicals and pesticides. Thailand implements the Prior Informed Consent (PIC) procedure to ensure transparency and safe management of chemical substances.</w:t>
      </w:r>
    </w:p>
    <w:p w14:paraId="72AC5AB8" w14:textId="77777777" w:rsidR="009A0A63" w:rsidRPr="00792B36" w:rsidRDefault="009A0A63" w:rsidP="009A0A63">
      <w:pPr>
        <w:spacing w:before="120" w:after="120"/>
        <w:rPr>
          <w:sz w:val="24"/>
          <w:szCs w:val="24"/>
        </w:rPr>
      </w:pPr>
      <w:r w:rsidRPr="00792B36">
        <w:rPr>
          <w:b/>
          <w:bCs/>
          <w:sz w:val="24"/>
          <w:szCs w:val="24"/>
        </w:rPr>
        <w:t>g)  Stockholm Convention on Persistent Organic Pollutants (2001)</w:t>
      </w:r>
    </w:p>
    <w:p w14:paraId="59212A72" w14:textId="77777777" w:rsidR="009A0A63" w:rsidRPr="00792B36" w:rsidRDefault="009A0A63" w:rsidP="009A0A63">
      <w:pPr>
        <w:spacing w:before="120" w:after="120"/>
        <w:rPr>
          <w:sz w:val="24"/>
          <w:szCs w:val="24"/>
        </w:rPr>
      </w:pPr>
      <w:r w:rsidRPr="00792B36">
        <w:rPr>
          <w:sz w:val="24"/>
          <w:szCs w:val="24"/>
        </w:rPr>
        <w:t>The Stockholm Convention aims to eliminate or restrict persistent organic pollutants (POPs</w:t>
      </w:r>
      <w:r w:rsidRPr="00792B36">
        <w:rPr>
          <w:color w:val="0070C0"/>
          <w:sz w:val="24"/>
          <w:szCs w:val="24"/>
        </w:rPr>
        <w:t xml:space="preserve">— </w:t>
      </w:r>
      <w:r w:rsidRPr="00792B36">
        <w:rPr>
          <w:sz w:val="24"/>
          <w:szCs w:val="24"/>
        </w:rPr>
        <w:t>toxic chemicals that remain in the environment, accumulate in living organisms, and pose serious risks to humans and wildlife), harmful to human health and ecosystems. Thailand enforces regulations to phase out POPs (DDT, PCBs, and dioxins), manage contaminated sites, and promote safe waste disposal.</w:t>
      </w:r>
    </w:p>
    <w:p w14:paraId="68663CF1" w14:textId="77777777" w:rsidR="009A0A63" w:rsidRPr="00792B36" w:rsidRDefault="009A0A63" w:rsidP="009A0A63">
      <w:pPr>
        <w:spacing w:before="120" w:after="120"/>
        <w:rPr>
          <w:sz w:val="24"/>
          <w:szCs w:val="24"/>
        </w:rPr>
      </w:pPr>
    </w:p>
    <w:p w14:paraId="353CC81C" w14:textId="77777777" w:rsidR="009A0A63" w:rsidRPr="00792B36" w:rsidRDefault="009A0A63" w:rsidP="009A0A63">
      <w:pPr>
        <w:spacing w:before="120" w:after="120"/>
        <w:rPr>
          <w:b/>
          <w:bCs/>
          <w:i/>
          <w:iCs/>
          <w:sz w:val="24"/>
          <w:szCs w:val="24"/>
          <w:u w:val="single"/>
        </w:rPr>
      </w:pPr>
      <w:r w:rsidRPr="00792B36">
        <w:rPr>
          <w:b/>
          <w:bCs/>
          <w:i/>
          <w:iCs/>
          <w:sz w:val="24"/>
          <w:szCs w:val="24"/>
          <w:u w:val="single"/>
        </w:rPr>
        <w:t>Climate Change-related Instruments</w:t>
      </w:r>
    </w:p>
    <w:p w14:paraId="77D5BCD9" w14:textId="77777777" w:rsidR="009A0A63" w:rsidRPr="00792B36" w:rsidRDefault="009A0A63" w:rsidP="009A0A63">
      <w:pPr>
        <w:spacing w:before="120" w:after="120"/>
        <w:rPr>
          <w:sz w:val="24"/>
          <w:szCs w:val="24"/>
        </w:rPr>
      </w:pPr>
      <w:r w:rsidRPr="00792B36">
        <w:rPr>
          <w:b/>
          <w:bCs/>
          <w:sz w:val="24"/>
          <w:szCs w:val="24"/>
        </w:rPr>
        <w:t>a) United Nations Framework Convention on Climate Change (UNFCCC, 1992)</w:t>
      </w:r>
    </w:p>
    <w:p w14:paraId="5DBAD980" w14:textId="77777777" w:rsidR="009A0A63" w:rsidRPr="00792B36" w:rsidRDefault="009A0A63" w:rsidP="009A0A63">
      <w:pPr>
        <w:spacing w:before="120" w:after="120"/>
        <w:rPr>
          <w:sz w:val="24"/>
          <w:szCs w:val="24"/>
        </w:rPr>
      </w:pPr>
      <w:r w:rsidRPr="00792B36">
        <w:rPr>
          <w:sz w:val="24"/>
          <w:szCs w:val="24"/>
        </w:rPr>
        <w:t xml:space="preserve">The UNFCCC establishes a global framework for addressing climate change through </w:t>
      </w:r>
      <w:r w:rsidRPr="00792B36">
        <w:rPr>
          <w:sz w:val="24"/>
          <w:szCs w:val="24"/>
        </w:rPr>
        <w:lastRenderedPageBreak/>
        <w:t>mitigation, adaptation, and climate finance. Thailand integrates its commitments into national policies to reduce greenhouse gas emissions, enhance climate resilience, and protect vulnerable coastal ecosystems from climate-related impacts.</w:t>
      </w:r>
    </w:p>
    <w:p w14:paraId="6436E953" w14:textId="77777777" w:rsidR="009A0A63" w:rsidRPr="00792B36" w:rsidRDefault="009A0A63" w:rsidP="009A0A63">
      <w:pPr>
        <w:spacing w:before="120" w:after="120"/>
        <w:jc w:val="thaiDistribute"/>
        <w:rPr>
          <w:color w:val="0070C0"/>
          <w:sz w:val="24"/>
          <w:szCs w:val="24"/>
        </w:rPr>
      </w:pPr>
      <w:r w:rsidRPr="00792B36">
        <w:rPr>
          <w:b/>
          <w:bCs/>
          <w:sz w:val="24"/>
          <w:szCs w:val="24"/>
        </w:rPr>
        <w:t xml:space="preserve">b)  </w:t>
      </w:r>
      <w:r w:rsidRPr="00792B36">
        <w:rPr>
          <w:b/>
          <w:bCs/>
          <w:color w:val="000000" w:themeColor="text1"/>
          <w:sz w:val="24"/>
          <w:szCs w:val="24"/>
        </w:rPr>
        <w:t>Kyoto Protocol to the United Nations Framework Convention on Climate Change (1997</w:t>
      </w:r>
      <w:r w:rsidRPr="00792B36">
        <w:rPr>
          <w:b/>
          <w:bCs/>
          <w:color w:val="0070C0"/>
          <w:sz w:val="24"/>
          <w:szCs w:val="24"/>
        </w:rPr>
        <w:t>)</w:t>
      </w:r>
    </w:p>
    <w:p w14:paraId="29A20F96" w14:textId="77777777" w:rsidR="009A0A63" w:rsidRPr="00792B36" w:rsidRDefault="009A0A63" w:rsidP="009A0A63">
      <w:pPr>
        <w:spacing w:before="120" w:after="120"/>
        <w:rPr>
          <w:sz w:val="24"/>
          <w:szCs w:val="24"/>
        </w:rPr>
      </w:pPr>
      <w:r w:rsidRPr="00792B36">
        <w:rPr>
          <w:sz w:val="24"/>
          <w:szCs w:val="24"/>
        </w:rPr>
        <w:t xml:space="preserve">The Kyoto Protocol strengthens the UNFCCC by setting emission reduction targets for developed countries and introducing mechanisms such as the </w:t>
      </w:r>
      <w:r w:rsidRPr="00792B36">
        <w:rPr>
          <w:b/>
          <w:bCs/>
          <w:sz w:val="24"/>
          <w:szCs w:val="24"/>
        </w:rPr>
        <w:t>Clean Development Mechanism (CDM)</w:t>
      </w:r>
      <w:r w:rsidRPr="00792B36">
        <w:rPr>
          <w:sz w:val="24"/>
          <w:szCs w:val="24"/>
        </w:rPr>
        <w:t>. Thailand participates in CDM projects supporting renewable energy and low-carbon development.</w:t>
      </w:r>
    </w:p>
    <w:p w14:paraId="493CBFB0" w14:textId="77777777" w:rsidR="009A0A63" w:rsidRPr="00792B36" w:rsidRDefault="009A0A63" w:rsidP="009A0A63">
      <w:pPr>
        <w:spacing w:before="120" w:after="120"/>
        <w:rPr>
          <w:sz w:val="24"/>
          <w:szCs w:val="24"/>
        </w:rPr>
      </w:pPr>
      <w:r w:rsidRPr="00792B36">
        <w:rPr>
          <w:b/>
          <w:bCs/>
          <w:sz w:val="24"/>
          <w:szCs w:val="24"/>
        </w:rPr>
        <w:t>c)  Paris Agreement to the United Nations Framework Convention on Climate Change (2015)</w:t>
      </w:r>
    </w:p>
    <w:p w14:paraId="3A92A6BE" w14:textId="77777777" w:rsidR="009A0A63" w:rsidRPr="00792B36" w:rsidRDefault="009A0A63" w:rsidP="009A0A63">
      <w:pPr>
        <w:spacing w:before="120" w:after="120"/>
        <w:rPr>
          <w:sz w:val="24"/>
          <w:szCs w:val="24"/>
        </w:rPr>
      </w:pPr>
      <w:r w:rsidRPr="00792B36">
        <w:rPr>
          <w:sz w:val="24"/>
          <w:szCs w:val="24"/>
        </w:rPr>
        <w:t xml:space="preserve">The Paris Agreement aims to limit global warming to well below 2°C and requires Parties to submit </w:t>
      </w:r>
      <w:r w:rsidRPr="00792B36">
        <w:rPr>
          <w:b/>
          <w:bCs/>
          <w:sz w:val="24"/>
          <w:szCs w:val="24"/>
        </w:rPr>
        <w:t>Nationally Determined Contributions (NDCs)</w:t>
      </w:r>
      <w:r w:rsidRPr="00792B36">
        <w:rPr>
          <w:sz w:val="24"/>
          <w:szCs w:val="24"/>
        </w:rPr>
        <w:t>. Thailand has pledged to reduce emissions, build climate resilience, and promote sustainable, low-carbon coastal development.</w:t>
      </w:r>
    </w:p>
    <w:p w14:paraId="27139EC4" w14:textId="77777777" w:rsidR="009A0A63" w:rsidRPr="00792B36" w:rsidRDefault="009A0A63" w:rsidP="009A0A63">
      <w:pPr>
        <w:spacing w:before="120" w:after="120"/>
        <w:rPr>
          <w:sz w:val="24"/>
          <w:szCs w:val="24"/>
        </w:rPr>
      </w:pPr>
      <w:r w:rsidRPr="00792B36">
        <w:rPr>
          <w:b/>
          <w:bCs/>
          <w:sz w:val="24"/>
          <w:szCs w:val="24"/>
        </w:rPr>
        <w:t>d) Montreal Protocol (1987)</w:t>
      </w:r>
    </w:p>
    <w:p w14:paraId="36BE9394" w14:textId="77777777" w:rsidR="009A0A63" w:rsidRPr="00792B36" w:rsidRDefault="009A0A63" w:rsidP="009A0A63">
      <w:pPr>
        <w:spacing w:before="120" w:after="120"/>
        <w:rPr>
          <w:sz w:val="24"/>
          <w:szCs w:val="24"/>
        </w:rPr>
      </w:pPr>
      <w:r w:rsidRPr="00792B36">
        <w:rPr>
          <w:sz w:val="24"/>
          <w:szCs w:val="24"/>
        </w:rPr>
        <w:t>Adopted under the Vienna Convention, the Montreal Protocol seeks to phase out ozone-depleting substances (ODS). Thailand implements ODS elimination measures and promotes alternatives that support both ozone and climate protection.</w:t>
      </w:r>
    </w:p>
    <w:p w14:paraId="48306E74" w14:textId="77777777" w:rsidR="009A0A63" w:rsidRPr="00792B36" w:rsidRDefault="009A0A63" w:rsidP="009A0A63">
      <w:pPr>
        <w:spacing w:before="120" w:after="120"/>
        <w:rPr>
          <w:sz w:val="24"/>
          <w:szCs w:val="24"/>
        </w:rPr>
      </w:pPr>
    </w:p>
    <w:p w14:paraId="050A423E" w14:textId="77777777" w:rsidR="009A0A63" w:rsidRPr="00792B36" w:rsidRDefault="009A0A63" w:rsidP="009A0A63">
      <w:pPr>
        <w:spacing w:before="120" w:after="120"/>
        <w:rPr>
          <w:sz w:val="24"/>
          <w:szCs w:val="24"/>
        </w:rPr>
      </w:pPr>
      <w:r w:rsidRPr="00792B36">
        <w:rPr>
          <w:b/>
          <w:bCs/>
          <w:sz w:val="24"/>
          <w:szCs w:val="24"/>
        </w:rPr>
        <w:t>e) United Nations Convention to Combat Desertification (UNCCD, 1994)</w:t>
      </w:r>
    </w:p>
    <w:p w14:paraId="759BFFCA" w14:textId="77777777" w:rsidR="009A0A63" w:rsidRPr="00792B36" w:rsidRDefault="009A0A63" w:rsidP="009A0A63">
      <w:pPr>
        <w:spacing w:before="120" w:after="120"/>
        <w:rPr>
          <w:sz w:val="24"/>
          <w:szCs w:val="24"/>
        </w:rPr>
      </w:pPr>
      <w:r w:rsidRPr="00792B36">
        <w:rPr>
          <w:sz w:val="24"/>
          <w:szCs w:val="24"/>
        </w:rPr>
        <w:t>The UNCCD focuses on combating land degradation and promoting sustainable land and water management. Thailand’s national action plans address soil erosion, land rehabilitation, and drought mitigation, supporting broader climate resilience and sustainable development goals.</w:t>
      </w:r>
    </w:p>
    <w:p w14:paraId="7CB0DC38" w14:textId="77777777" w:rsidR="009A0A63" w:rsidRPr="00792B36" w:rsidRDefault="009A0A63" w:rsidP="009A0A63">
      <w:pPr>
        <w:spacing w:before="120" w:after="120"/>
        <w:ind w:firstLine="1134"/>
        <w:jc w:val="thaiDistribute"/>
        <w:rPr>
          <w:color w:val="EE0000"/>
          <w:sz w:val="24"/>
          <w:szCs w:val="24"/>
        </w:rPr>
      </w:pPr>
      <w:r w:rsidRPr="00792B36">
        <w:rPr>
          <w:color w:val="EE0000"/>
          <w:sz w:val="24"/>
          <w:szCs w:val="24"/>
        </w:rPr>
        <w:br w:type="page"/>
      </w:r>
    </w:p>
    <w:p w14:paraId="27FD4981" w14:textId="77777777" w:rsidR="009A0A63" w:rsidRPr="00792B36" w:rsidRDefault="009A0A63" w:rsidP="009A0A63">
      <w:pPr>
        <w:spacing w:before="120" w:after="120"/>
        <w:rPr>
          <w:color w:val="EE0000"/>
          <w:sz w:val="24"/>
          <w:szCs w:val="24"/>
        </w:rPr>
      </w:pPr>
      <w:r w:rsidRPr="00792B36">
        <w:rPr>
          <w:color w:val="EE0000"/>
          <w:sz w:val="24"/>
          <w:szCs w:val="24"/>
        </w:rPr>
        <w:lastRenderedPageBreak/>
        <w:t xml:space="preserve">Annex 10: Regional Legal and Policy Frameworks and Forums </w:t>
      </w:r>
    </w:p>
    <w:p w14:paraId="3AF9A8C3" w14:textId="77777777" w:rsidR="009A0A63" w:rsidRPr="00792B36" w:rsidRDefault="009A0A63" w:rsidP="009A0A63">
      <w:pPr>
        <w:spacing w:before="120" w:after="120"/>
        <w:rPr>
          <w:color w:val="EE0000"/>
          <w:sz w:val="24"/>
          <w:szCs w:val="24"/>
        </w:rPr>
      </w:pPr>
    </w:p>
    <w:p w14:paraId="16CC24F2" w14:textId="77777777" w:rsidR="009A0A63" w:rsidRPr="00792B36" w:rsidRDefault="009A0A63" w:rsidP="009A0A63">
      <w:pPr>
        <w:spacing w:before="120" w:after="120"/>
        <w:rPr>
          <w:b/>
          <w:bCs/>
          <w:sz w:val="24"/>
          <w:szCs w:val="24"/>
        </w:rPr>
      </w:pPr>
      <w:r w:rsidRPr="00792B36">
        <w:rPr>
          <w:b/>
          <w:bCs/>
          <w:sz w:val="24"/>
          <w:szCs w:val="24"/>
        </w:rPr>
        <w:t>a) Partnerships in Environmental Management for the Seas of East Asia (PEMSEA)</w:t>
      </w:r>
    </w:p>
    <w:p w14:paraId="30B2252B" w14:textId="77777777" w:rsidR="009A0A63" w:rsidRPr="00792B36" w:rsidRDefault="009A0A63" w:rsidP="009A0A63">
      <w:pPr>
        <w:spacing w:before="120" w:after="120"/>
        <w:rPr>
          <w:sz w:val="24"/>
          <w:szCs w:val="24"/>
        </w:rPr>
      </w:pPr>
      <w:r w:rsidRPr="00792B36">
        <w:rPr>
          <w:sz w:val="24"/>
          <w:szCs w:val="24"/>
        </w:rPr>
        <w:t>The Partnerships in Environmental Management for the Seas of East Asia (PEMSEA) is a regional partnership that promotes sustainable development and management of coastal and marine areas through the implementation of Integrated Coastal Management (ICM). It serves as a platform for governments and stakeholders to enhance marine governance, pollution control, and climate resilience. Thailand, as a participating country, collaborates with PEMSEA in advancing ICM initiatives, supporting marine spatial planning (MSP), and strengthening capacity building and policy harmonization in line with the Sustainable Development Strategy for the Seas of East Asia (SDS-SEA).</w:t>
      </w:r>
    </w:p>
    <w:p w14:paraId="3D48A083" w14:textId="77777777" w:rsidR="009A0A63" w:rsidRPr="00792B36" w:rsidRDefault="009A0A63" w:rsidP="009A0A63">
      <w:pPr>
        <w:spacing w:before="120" w:after="120"/>
        <w:rPr>
          <w:b/>
          <w:bCs/>
          <w:sz w:val="24"/>
          <w:szCs w:val="24"/>
        </w:rPr>
      </w:pPr>
      <w:r w:rsidRPr="00792B36">
        <w:rPr>
          <w:b/>
          <w:bCs/>
          <w:sz w:val="24"/>
          <w:szCs w:val="24"/>
        </w:rPr>
        <w:t>b) Coral Triangle Initiative on Coral Reefs, Fisheries, and Food Security (CTI–CFF)</w:t>
      </w:r>
    </w:p>
    <w:p w14:paraId="26429CC8" w14:textId="77777777" w:rsidR="009A0A63" w:rsidRPr="00792B36" w:rsidRDefault="009A0A63" w:rsidP="009A0A63">
      <w:pPr>
        <w:spacing w:before="120" w:after="120"/>
        <w:rPr>
          <w:sz w:val="24"/>
          <w:szCs w:val="24"/>
        </w:rPr>
      </w:pPr>
      <w:r w:rsidRPr="00792B36">
        <w:rPr>
          <w:sz w:val="24"/>
          <w:szCs w:val="24"/>
        </w:rPr>
        <w:t>The CTI–CFF is a multilateral partnership among six countries—Indonesia, Malaysia, Papua New Guinea, the Philippines, Solomon Islands, and Timor-Leste—aimed at conserving the world’s most biodiverse marine region, the Coral Triangle. Although Thailand is not a member country, it cooperates regionally through knowledge exchange, capacity building, and marine biodiversity research with CTI–CFF partners. These engagements strengthen Thailand’s contribution to ecosystem-based management, coral reef conservation, and sustainable fisheries in the wider Indo-Pacific region.</w:t>
      </w:r>
    </w:p>
    <w:p w14:paraId="64855A4E" w14:textId="77777777" w:rsidR="009A0A63" w:rsidRPr="00792B36" w:rsidRDefault="009A0A63" w:rsidP="009A0A63">
      <w:pPr>
        <w:spacing w:before="120" w:after="120"/>
        <w:rPr>
          <w:b/>
          <w:bCs/>
          <w:sz w:val="24"/>
          <w:szCs w:val="24"/>
        </w:rPr>
      </w:pPr>
      <w:r w:rsidRPr="00792B36">
        <w:rPr>
          <w:b/>
          <w:bCs/>
          <w:sz w:val="24"/>
          <w:szCs w:val="24"/>
        </w:rPr>
        <w:t>c) Indian Ocean Tuna Commission (IOTC)</w:t>
      </w:r>
    </w:p>
    <w:p w14:paraId="6AE63E45" w14:textId="77777777" w:rsidR="009A0A63" w:rsidRPr="00792B36" w:rsidRDefault="009A0A63" w:rsidP="009A0A63">
      <w:pPr>
        <w:spacing w:before="120" w:after="120"/>
        <w:rPr>
          <w:sz w:val="24"/>
          <w:szCs w:val="24"/>
        </w:rPr>
      </w:pPr>
      <w:r w:rsidRPr="00792B36">
        <w:rPr>
          <w:sz w:val="24"/>
          <w:szCs w:val="24"/>
        </w:rPr>
        <w:t>The Indian Ocean Tuna Commission (IOTC), established under the Food and Agriculture Organization (FAO), manages and conserves tuna and tuna-like species in the Indian Ocean and adjacent seas. Its objectives are to ensure the sustainable use of tuna resources, facilitate scientific data sharing, and coordinate fisheries management measures among member countries. Thailand, as a member of the IOTC, plays an influential role as one of the world’s leading tuna processing and exporting nations. The government actively participates in scientific research, data reporting, and policy development to promote sustainable tuna harvesting, combat illegal, unreported, and unregulated (IUU) fishing, and strengthen regional food security.</w:t>
      </w:r>
    </w:p>
    <w:p w14:paraId="1DEFD867" w14:textId="77777777" w:rsidR="009A0A63" w:rsidRPr="00792B36" w:rsidRDefault="009A0A63" w:rsidP="009A0A63">
      <w:pPr>
        <w:spacing w:before="120" w:after="120"/>
        <w:rPr>
          <w:b/>
          <w:bCs/>
          <w:sz w:val="24"/>
          <w:szCs w:val="24"/>
        </w:rPr>
      </w:pPr>
      <w:r w:rsidRPr="00792B36">
        <w:rPr>
          <w:b/>
          <w:bCs/>
          <w:sz w:val="24"/>
          <w:szCs w:val="24"/>
        </w:rPr>
        <w:t>d) ASEAN Agreement on the Conservation of Nature and Natural Resources (1985)</w:t>
      </w:r>
    </w:p>
    <w:p w14:paraId="154D9A26" w14:textId="77777777" w:rsidR="009A0A63" w:rsidRPr="00792B36" w:rsidRDefault="009A0A63" w:rsidP="009A0A63">
      <w:pPr>
        <w:spacing w:before="120" w:after="120"/>
        <w:rPr>
          <w:sz w:val="24"/>
          <w:szCs w:val="24"/>
        </w:rPr>
      </w:pPr>
      <w:r w:rsidRPr="00792B36">
        <w:rPr>
          <w:sz w:val="24"/>
          <w:szCs w:val="24"/>
        </w:rPr>
        <w:t>The ASEAN Agreement on the Conservation of Nature and Natural Resources (1985) is a pioneering regional legal instrument that promotes cooperation among ASEAN member states for the conservation and sustainable use of natural resources. It encompasses ecosystem and species protection, sustainable land and water management, and environmental pollution control. Although not all ASEAN member states have ratified the Agreement, Thailand upholds its principles through national policies on biodiversity conservation, sustainable development, and transboundary environmental cooperation, supporting ASEAN’s broader framework for environmental governance and sustainability.</w:t>
      </w:r>
    </w:p>
    <w:p w14:paraId="5D1F5628" w14:textId="77777777" w:rsidR="009A0A63" w:rsidRPr="00792B36" w:rsidRDefault="009A0A63" w:rsidP="009A0A63">
      <w:pPr>
        <w:spacing w:before="120" w:after="120"/>
        <w:rPr>
          <w:b/>
          <w:bCs/>
          <w:sz w:val="24"/>
          <w:szCs w:val="24"/>
        </w:rPr>
      </w:pPr>
      <w:r w:rsidRPr="00792B36">
        <w:rPr>
          <w:b/>
          <w:bCs/>
          <w:sz w:val="24"/>
          <w:szCs w:val="24"/>
        </w:rPr>
        <w:t xml:space="preserve">e) Regional Plan of Action to Promote Responsible Fishing Practices, </w:t>
      </w:r>
      <w:r w:rsidRPr="00792B36">
        <w:rPr>
          <w:b/>
          <w:bCs/>
          <w:sz w:val="24"/>
          <w:szCs w:val="24"/>
        </w:rPr>
        <w:lastRenderedPageBreak/>
        <w:t>including Combating Illegal, Unreported, and Unregulated Fishing (RPOA–IUU)</w:t>
      </w:r>
    </w:p>
    <w:p w14:paraId="163918C5" w14:textId="77777777" w:rsidR="009A0A63" w:rsidRPr="00792B36" w:rsidRDefault="009A0A63" w:rsidP="009A0A63">
      <w:pPr>
        <w:spacing w:before="120" w:after="120"/>
        <w:rPr>
          <w:sz w:val="24"/>
          <w:szCs w:val="24"/>
        </w:rPr>
      </w:pPr>
      <w:r w:rsidRPr="00792B36">
        <w:rPr>
          <w:sz w:val="24"/>
          <w:szCs w:val="24"/>
        </w:rPr>
        <w:t>The RPOA–IUU is a voluntary regional initiative established in 2007 by 11 countries in Southeast Asia and the Indian Ocean region to promote responsible fishing practices and strengthen the fight against IUU fishing. Participating countries include Thailand, Indonesia, Malaysia, and the Philippines, among others.</w:t>
      </w:r>
      <w:r w:rsidRPr="00792B36">
        <w:rPr>
          <w:sz w:val="24"/>
          <w:szCs w:val="24"/>
        </w:rPr>
        <w:br/>
        <w:t>The plan’s objectives are to:</w:t>
      </w:r>
    </w:p>
    <w:p w14:paraId="2778080C" w14:textId="77777777" w:rsidR="009A0A63" w:rsidRPr="00792B36" w:rsidRDefault="009A0A63" w:rsidP="00F61B37">
      <w:pPr>
        <w:widowControl/>
        <w:numPr>
          <w:ilvl w:val="0"/>
          <w:numId w:val="126"/>
        </w:numPr>
        <w:spacing w:before="120" w:after="120"/>
        <w:rPr>
          <w:sz w:val="24"/>
          <w:szCs w:val="24"/>
        </w:rPr>
      </w:pPr>
      <w:r w:rsidRPr="00792B36">
        <w:rPr>
          <w:sz w:val="24"/>
          <w:szCs w:val="24"/>
        </w:rPr>
        <w:t>Enhance monitoring, control, and surveillance (MCS) of fishing activities;</w:t>
      </w:r>
    </w:p>
    <w:p w14:paraId="42D97CF7" w14:textId="77777777" w:rsidR="009A0A63" w:rsidRPr="00792B36" w:rsidRDefault="009A0A63" w:rsidP="00F61B37">
      <w:pPr>
        <w:widowControl/>
        <w:numPr>
          <w:ilvl w:val="0"/>
          <w:numId w:val="126"/>
        </w:numPr>
        <w:spacing w:before="120" w:after="120"/>
        <w:rPr>
          <w:sz w:val="24"/>
          <w:szCs w:val="24"/>
        </w:rPr>
      </w:pPr>
      <w:r w:rsidRPr="00792B36">
        <w:rPr>
          <w:sz w:val="24"/>
          <w:szCs w:val="24"/>
        </w:rPr>
        <w:t>Improve information exchange and coordination among countries;</w:t>
      </w:r>
    </w:p>
    <w:p w14:paraId="2C9BE9F2" w14:textId="77777777" w:rsidR="009A0A63" w:rsidRPr="00792B36" w:rsidRDefault="009A0A63" w:rsidP="00F61B37">
      <w:pPr>
        <w:widowControl/>
        <w:numPr>
          <w:ilvl w:val="0"/>
          <w:numId w:val="126"/>
        </w:numPr>
        <w:spacing w:before="120" w:after="120"/>
        <w:rPr>
          <w:sz w:val="24"/>
          <w:szCs w:val="24"/>
        </w:rPr>
      </w:pPr>
      <w:r w:rsidRPr="00792B36">
        <w:rPr>
          <w:sz w:val="24"/>
          <w:szCs w:val="24"/>
        </w:rPr>
        <w:t>Develop national and regional action plans to eliminate IUU fishing; and</w:t>
      </w:r>
    </w:p>
    <w:p w14:paraId="746AB710" w14:textId="77777777" w:rsidR="009A0A63" w:rsidRPr="00792B36" w:rsidRDefault="009A0A63" w:rsidP="00F61B37">
      <w:pPr>
        <w:widowControl/>
        <w:numPr>
          <w:ilvl w:val="0"/>
          <w:numId w:val="126"/>
        </w:numPr>
        <w:spacing w:before="120" w:after="120"/>
        <w:rPr>
          <w:sz w:val="24"/>
          <w:szCs w:val="24"/>
        </w:rPr>
      </w:pPr>
      <w:r w:rsidRPr="00792B36">
        <w:rPr>
          <w:sz w:val="24"/>
          <w:szCs w:val="24"/>
        </w:rPr>
        <w:t>Promote sustainable fisheries management aligned with the FAO Code of Conduct for Responsible Fisheries.</w:t>
      </w:r>
      <w:r w:rsidRPr="00792B36">
        <w:rPr>
          <w:sz w:val="24"/>
          <w:szCs w:val="24"/>
        </w:rPr>
        <w:br/>
        <w:t>Thailand actively implements RPOA–IUU measures through improved vessel registration and tracking, legal reforms, and enhanced fisheries enforcement, contributing to the long-term sustainability of marine living resources.</w:t>
      </w:r>
    </w:p>
    <w:p w14:paraId="3CFDCBF6" w14:textId="77777777" w:rsidR="009A0A63" w:rsidRPr="00792B36" w:rsidRDefault="009A0A63" w:rsidP="009A0A63">
      <w:pPr>
        <w:spacing w:before="120" w:after="120"/>
        <w:ind w:firstLine="1134"/>
        <w:jc w:val="thaiDistribute"/>
        <w:rPr>
          <w:sz w:val="24"/>
          <w:szCs w:val="24"/>
        </w:rPr>
      </w:pPr>
      <w:r w:rsidRPr="00792B36">
        <w:rPr>
          <w:sz w:val="24"/>
          <w:szCs w:val="24"/>
        </w:rPr>
        <w:br w:type="page"/>
      </w:r>
    </w:p>
    <w:p w14:paraId="6F866C77" w14:textId="77777777" w:rsidR="009A0A63" w:rsidRPr="00792B36" w:rsidRDefault="009A0A63" w:rsidP="009A0A63">
      <w:pPr>
        <w:rPr>
          <w:sz w:val="24"/>
          <w:szCs w:val="24"/>
        </w:rPr>
      </w:pPr>
      <w:r w:rsidRPr="00792B36">
        <w:rPr>
          <w:sz w:val="24"/>
          <w:szCs w:val="24"/>
        </w:rPr>
        <w:lastRenderedPageBreak/>
        <w:t xml:space="preserve">Annex 11: Existing legal instruments and relevance to marine and coastal resources management   </w:t>
      </w:r>
    </w:p>
    <w:tbl>
      <w:tblPr>
        <w:tblStyle w:val="GridTable4"/>
        <w:tblW w:w="9351" w:type="dxa"/>
        <w:tblLook w:val="04A0" w:firstRow="1" w:lastRow="0" w:firstColumn="1" w:lastColumn="0" w:noHBand="0" w:noVBand="1"/>
      </w:tblPr>
      <w:tblGrid>
        <w:gridCol w:w="2972"/>
        <w:gridCol w:w="6379"/>
      </w:tblGrid>
      <w:tr w:rsidR="009A0A63" w:rsidRPr="00792B36" w14:paraId="4D153846" w14:textId="77777777" w:rsidTr="00A24459">
        <w:trPr>
          <w:cnfStyle w:val="100000000000" w:firstRow="1" w:lastRow="0" w:firstColumn="0" w:lastColumn="0" w:oddVBand="0" w:evenVBand="0" w:oddHBand="0" w:evenHBand="0" w:firstRowFirstColumn="0" w:firstRowLastColumn="0" w:lastRowFirstColumn="0" w:lastRowLastColumn="0"/>
          <w:trHeight w:val="290"/>
          <w:tblHeader/>
        </w:trPr>
        <w:tc>
          <w:tcPr>
            <w:cnfStyle w:val="001000000000" w:firstRow="0" w:lastRow="0" w:firstColumn="1" w:lastColumn="0" w:oddVBand="0" w:evenVBand="0" w:oddHBand="0" w:evenHBand="0" w:firstRowFirstColumn="0" w:firstRowLastColumn="0" w:lastRowFirstColumn="0" w:lastRowLastColumn="0"/>
            <w:tcW w:w="2972" w:type="dxa"/>
            <w:hideMark/>
          </w:tcPr>
          <w:p w14:paraId="12FBF1BE" w14:textId="77777777" w:rsidR="009A0A63" w:rsidRPr="00792B36" w:rsidRDefault="009A0A63" w:rsidP="00A24459">
            <w:pPr>
              <w:jc w:val="center"/>
              <w:rPr>
                <w:rFonts w:ascii="Arial" w:eastAsia="Times New Roman" w:hAnsi="Arial" w:cs="Arial"/>
                <w:color w:val="EEECE1" w:themeColor="background2"/>
                <w:sz w:val="24"/>
                <w:szCs w:val="24"/>
                <w:lang w:eastAsia="ja-JP"/>
              </w:rPr>
            </w:pPr>
            <w:r w:rsidRPr="00792B36">
              <w:rPr>
                <w:rFonts w:ascii="Arial" w:eastAsia="Times New Roman" w:hAnsi="Arial" w:cs="Arial"/>
                <w:color w:val="EEECE1" w:themeColor="background2"/>
                <w:sz w:val="24"/>
                <w:szCs w:val="24"/>
                <w:lang w:eastAsia="ja-JP"/>
              </w:rPr>
              <w:t>Legal Documents</w:t>
            </w:r>
          </w:p>
        </w:tc>
        <w:tc>
          <w:tcPr>
            <w:tcW w:w="6379" w:type="dxa"/>
            <w:hideMark/>
          </w:tcPr>
          <w:p w14:paraId="6675B7B3" w14:textId="77777777" w:rsidR="009A0A63" w:rsidRPr="00792B36" w:rsidRDefault="009A0A63" w:rsidP="00A24459">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EEECE1" w:themeColor="background2"/>
                <w:sz w:val="24"/>
                <w:szCs w:val="24"/>
                <w:lang w:eastAsia="ja-JP"/>
              </w:rPr>
            </w:pPr>
            <w:r w:rsidRPr="00792B36">
              <w:rPr>
                <w:rFonts w:ascii="Arial" w:eastAsia="Times New Roman" w:hAnsi="Arial" w:cs="Arial"/>
                <w:color w:val="EEECE1" w:themeColor="background2"/>
                <w:sz w:val="24"/>
                <w:szCs w:val="24"/>
                <w:lang w:eastAsia="ja-JP"/>
              </w:rPr>
              <w:t xml:space="preserve">Relevance to Marine Conservation </w:t>
            </w:r>
          </w:p>
        </w:tc>
      </w:tr>
      <w:tr w:rsidR="009A0A63" w:rsidRPr="00792B36" w14:paraId="74FF0F57" w14:textId="77777777" w:rsidTr="00A24459">
        <w:trPr>
          <w:cnfStyle w:val="000000100000" w:firstRow="0" w:lastRow="0" w:firstColumn="0" w:lastColumn="0" w:oddVBand="0" w:evenVBand="0" w:oddHBand="1" w:evenHBand="0" w:firstRowFirstColumn="0" w:firstRowLastColumn="0" w:lastRowFirstColumn="0" w:lastRowLastColumn="0"/>
          <w:trHeight w:val="870"/>
        </w:trPr>
        <w:tc>
          <w:tcPr>
            <w:cnfStyle w:val="001000000000" w:firstRow="0" w:lastRow="0" w:firstColumn="1" w:lastColumn="0" w:oddVBand="0" w:evenVBand="0" w:oddHBand="0" w:evenHBand="0" w:firstRowFirstColumn="0" w:firstRowLastColumn="0" w:lastRowFirstColumn="0" w:lastRowLastColumn="0"/>
            <w:tcW w:w="2972" w:type="dxa"/>
            <w:shd w:val="clear" w:color="auto" w:fill="FFFFFF" w:themeFill="background1"/>
            <w:hideMark/>
          </w:tcPr>
          <w:p w14:paraId="421CC500" w14:textId="77777777" w:rsidR="009A0A63" w:rsidRPr="00792B36" w:rsidRDefault="009A0A63" w:rsidP="00A24459">
            <w:pPr>
              <w:rPr>
                <w:rFonts w:ascii="Arial" w:eastAsia="Times New Roman" w:hAnsi="Arial" w:cs="Arial"/>
                <w:b w:val="0"/>
                <w:bCs w:val="0"/>
                <w:color w:val="000000"/>
                <w:sz w:val="24"/>
                <w:szCs w:val="24"/>
                <w:lang w:eastAsia="ja-JP"/>
              </w:rPr>
            </w:pPr>
            <w:r w:rsidRPr="00792B36">
              <w:rPr>
                <w:rFonts w:ascii="Arial" w:eastAsia="Times New Roman" w:hAnsi="Arial" w:cs="Arial"/>
                <w:b w:val="0"/>
                <w:bCs w:val="0"/>
                <w:color w:val="000000"/>
                <w:sz w:val="24"/>
                <w:szCs w:val="24"/>
                <w:lang w:eastAsia="ja-JP"/>
              </w:rPr>
              <w:t>Marine and Coastal Resources Management Act B.E. 2558 (2015)</w:t>
            </w:r>
          </w:p>
        </w:tc>
        <w:tc>
          <w:tcPr>
            <w:tcW w:w="6379" w:type="dxa"/>
            <w:shd w:val="clear" w:color="auto" w:fill="FFFFFF" w:themeFill="background1"/>
            <w:hideMark/>
          </w:tcPr>
          <w:p w14:paraId="64BE563B" w14:textId="757DDAE6" w:rsidR="009A0A63" w:rsidRPr="00792B36" w:rsidRDefault="009A0A63" w:rsidP="00A24459">
            <w:pP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4"/>
                <w:szCs w:val="24"/>
                <w:lang w:eastAsia="ja-JP"/>
              </w:rPr>
            </w:pPr>
            <w:r w:rsidRPr="00792B36">
              <w:rPr>
                <w:rFonts w:ascii="Arial" w:eastAsia="Times New Roman" w:hAnsi="Arial" w:cs="Arial"/>
                <w:color w:val="000000"/>
                <w:sz w:val="24"/>
                <w:szCs w:val="24"/>
                <w:lang w:eastAsia="ja-JP"/>
              </w:rPr>
              <w:t>Empowers the Ministry of Natural Resources and Environment (</w:t>
            </w:r>
            <w:proofErr w:type="spellStart"/>
            <w:r w:rsidRPr="00792B36">
              <w:rPr>
                <w:rFonts w:ascii="Arial" w:eastAsia="Times New Roman" w:hAnsi="Arial" w:cs="Arial"/>
                <w:color w:val="000000"/>
                <w:sz w:val="24"/>
                <w:szCs w:val="24"/>
                <w:lang w:eastAsia="ja-JP"/>
              </w:rPr>
              <w:t>MoNRE</w:t>
            </w:r>
            <w:proofErr w:type="spellEnd"/>
            <w:r w:rsidRPr="00792B36">
              <w:rPr>
                <w:rFonts w:ascii="Arial" w:eastAsia="Times New Roman" w:hAnsi="Arial" w:cs="Arial"/>
                <w:color w:val="000000"/>
                <w:sz w:val="24"/>
                <w:szCs w:val="24"/>
                <w:lang w:eastAsia="ja-JP"/>
              </w:rPr>
              <w:t xml:space="preserve">) to enforce the sustainable management of marine resources, coastal erosion prevention, and public participation. Establishes committees for policy coordination and the demarcation of marine protected areas, essential for the integrated and sustainable management of marine and coastal resources, thereby supporting marine and coastal resources </w:t>
            </w:r>
            <w:r w:rsidR="00792B36" w:rsidRPr="00792B36">
              <w:rPr>
                <w:rFonts w:ascii="Arial" w:eastAsia="Times New Roman" w:hAnsi="Arial" w:cs="Arial"/>
                <w:color w:val="000000"/>
                <w:sz w:val="24"/>
                <w:szCs w:val="24"/>
                <w:lang w:eastAsia="ja-JP"/>
              </w:rPr>
              <w:t>conservation</w:t>
            </w:r>
            <w:r w:rsidRPr="00792B36">
              <w:rPr>
                <w:rFonts w:ascii="Arial" w:eastAsia="Times New Roman" w:hAnsi="Arial" w:cs="Arial"/>
                <w:color w:val="000000"/>
                <w:sz w:val="24"/>
                <w:szCs w:val="24"/>
                <w:lang w:eastAsia="ja-JP"/>
              </w:rPr>
              <w:t>.</w:t>
            </w:r>
          </w:p>
        </w:tc>
      </w:tr>
      <w:tr w:rsidR="009A0A63" w:rsidRPr="00792B36" w14:paraId="4C5EAED3" w14:textId="77777777" w:rsidTr="00A24459">
        <w:trPr>
          <w:trHeight w:val="870"/>
        </w:trPr>
        <w:tc>
          <w:tcPr>
            <w:cnfStyle w:val="001000000000" w:firstRow="0" w:lastRow="0" w:firstColumn="1" w:lastColumn="0" w:oddVBand="0" w:evenVBand="0" w:oddHBand="0" w:evenHBand="0" w:firstRowFirstColumn="0" w:firstRowLastColumn="0" w:lastRowFirstColumn="0" w:lastRowLastColumn="0"/>
            <w:tcW w:w="2972" w:type="dxa"/>
            <w:shd w:val="clear" w:color="auto" w:fill="FFFFFF" w:themeFill="background1"/>
            <w:hideMark/>
          </w:tcPr>
          <w:p w14:paraId="77FC6ABF" w14:textId="77777777" w:rsidR="009A0A63" w:rsidRPr="00792B36" w:rsidRDefault="009A0A63" w:rsidP="00A24459">
            <w:pPr>
              <w:rPr>
                <w:rFonts w:ascii="Arial" w:eastAsia="Times New Roman" w:hAnsi="Arial" w:cs="Arial"/>
                <w:b w:val="0"/>
                <w:bCs w:val="0"/>
                <w:color w:val="000000"/>
                <w:sz w:val="24"/>
                <w:szCs w:val="24"/>
                <w:lang w:eastAsia="ja-JP"/>
              </w:rPr>
            </w:pPr>
            <w:r w:rsidRPr="00792B36">
              <w:rPr>
                <w:rFonts w:ascii="Arial" w:eastAsia="Times New Roman" w:hAnsi="Arial" w:cs="Arial"/>
                <w:b w:val="0"/>
                <w:bCs w:val="0"/>
                <w:color w:val="000000"/>
                <w:sz w:val="24"/>
                <w:szCs w:val="24"/>
                <w:lang w:eastAsia="ja-JP"/>
              </w:rPr>
              <w:t>National Maritime Interests Protection Act B.E. 2562 (2019)</w:t>
            </w:r>
          </w:p>
        </w:tc>
        <w:tc>
          <w:tcPr>
            <w:tcW w:w="6379" w:type="dxa"/>
            <w:shd w:val="clear" w:color="auto" w:fill="FFFFFF" w:themeFill="background1"/>
            <w:hideMark/>
          </w:tcPr>
          <w:p w14:paraId="2998220A" w14:textId="77777777" w:rsidR="009A0A63" w:rsidRPr="00792B36" w:rsidRDefault="009A0A63" w:rsidP="00A24459">
            <w:pP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4"/>
                <w:szCs w:val="24"/>
                <w:lang w:eastAsia="ja-JP"/>
              </w:rPr>
            </w:pPr>
            <w:r w:rsidRPr="00792B36">
              <w:rPr>
                <w:rFonts w:ascii="Arial" w:eastAsia="Times New Roman" w:hAnsi="Arial" w:cs="Arial"/>
                <w:color w:val="000000"/>
                <w:sz w:val="24"/>
                <w:szCs w:val="24"/>
                <w:lang w:eastAsia="ja-JP"/>
              </w:rPr>
              <w:t>Defines Thailand's maritime interests and zones, empowering the Prime Minister to execute laws. Establishes the National Maritime Interests Protection Policy Committee (MIP) and Thai-MECC to coordinate maritime security and protect national maritime interests. Supports the alignment of biodiversity and ecosystem services with national maritime strategies and security.</w:t>
            </w:r>
          </w:p>
        </w:tc>
      </w:tr>
      <w:tr w:rsidR="009A0A63" w:rsidRPr="00792B36" w14:paraId="1C7CD865" w14:textId="77777777" w:rsidTr="00A24459">
        <w:trPr>
          <w:cnfStyle w:val="000000100000" w:firstRow="0" w:lastRow="0" w:firstColumn="0" w:lastColumn="0" w:oddVBand="0" w:evenVBand="0" w:oddHBand="1" w:evenHBand="0" w:firstRowFirstColumn="0" w:firstRowLastColumn="0" w:lastRowFirstColumn="0" w:lastRowLastColumn="0"/>
          <w:trHeight w:val="580"/>
        </w:trPr>
        <w:tc>
          <w:tcPr>
            <w:cnfStyle w:val="001000000000" w:firstRow="0" w:lastRow="0" w:firstColumn="1" w:lastColumn="0" w:oddVBand="0" w:evenVBand="0" w:oddHBand="0" w:evenHBand="0" w:firstRowFirstColumn="0" w:firstRowLastColumn="0" w:lastRowFirstColumn="0" w:lastRowLastColumn="0"/>
            <w:tcW w:w="2972" w:type="dxa"/>
            <w:shd w:val="clear" w:color="auto" w:fill="FFFFFF" w:themeFill="background1"/>
            <w:hideMark/>
          </w:tcPr>
          <w:p w14:paraId="6765C2A5" w14:textId="77777777" w:rsidR="009A0A63" w:rsidRPr="00792B36" w:rsidRDefault="009A0A63" w:rsidP="00A24459">
            <w:pPr>
              <w:rPr>
                <w:rFonts w:ascii="Arial" w:eastAsia="Times New Roman" w:hAnsi="Arial" w:cs="Arial"/>
                <w:b w:val="0"/>
                <w:bCs w:val="0"/>
                <w:color w:val="000000"/>
                <w:sz w:val="24"/>
                <w:szCs w:val="24"/>
                <w:lang w:eastAsia="ja-JP"/>
              </w:rPr>
            </w:pPr>
            <w:r w:rsidRPr="00792B36">
              <w:rPr>
                <w:rFonts w:ascii="Arial" w:eastAsia="Times New Roman" w:hAnsi="Arial" w:cs="Arial"/>
                <w:b w:val="0"/>
                <w:bCs w:val="0"/>
                <w:color w:val="000000"/>
                <w:sz w:val="24"/>
                <w:szCs w:val="24"/>
                <w:lang w:eastAsia="ja-JP"/>
              </w:rPr>
              <w:t>Royal Ordinance on Fisheries B.E. 2558 (2015), amended 2560 (2017)</w:t>
            </w:r>
          </w:p>
        </w:tc>
        <w:tc>
          <w:tcPr>
            <w:tcW w:w="6379" w:type="dxa"/>
            <w:shd w:val="clear" w:color="auto" w:fill="FFFFFF" w:themeFill="background1"/>
            <w:hideMark/>
          </w:tcPr>
          <w:p w14:paraId="45E926A8" w14:textId="77777777" w:rsidR="009A0A63" w:rsidRPr="00792B36" w:rsidRDefault="009A0A63" w:rsidP="00A24459">
            <w:pP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4"/>
                <w:szCs w:val="24"/>
                <w:lang w:eastAsia="ja-JP"/>
              </w:rPr>
            </w:pPr>
            <w:r w:rsidRPr="00792B36">
              <w:rPr>
                <w:rFonts w:ascii="Arial" w:eastAsia="Times New Roman" w:hAnsi="Arial" w:cs="Arial"/>
                <w:color w:val="000000"/>
                <w:sz w:val="24"/>
                <w:szCs w:val="24"/>
                <w:lang w:eastAsia="ja-JP"/>
              </w:rPr>
              <w:t>Provides amendments for modernized fisheries management, aligning with sustainable development principles to promote long-term sustainability and support marine conservation</w:t>
            </w:r>
          </w:p>
        </w:tc>
      </w:tr>
      <w:tr w:rsidR="009A0A63" w:rsidRPr="00792B36" w14:paraId="6DBB557C" w14:textId="77777777" w:rsidTr="00A24459">
        <w:trPr>
          <w:trHeight w:val="580"/>
        </w:trPr>
        <w:tc>
          <w:tcPr>
            <w:cnfStyle w:val="001000000000" w:firstRow="0" w:lastRow="0" w:firstColumn="1" w:lastColumn="0" w:oddVBand="0" w:evenVBand="0" w:oddHBand="0" w:evenHBand="0" w:firstRowFirstColumn="0" w:firstRowLastColumn="0" w:lastRowFirstColumn="0" w:lastRowLastColumn="0"/>
            <w:tcW w:w="2972" w:type="dxa"/>
            <w:shd w:val="clear" w:color="auto" w:fill="FFFFFF" w:themeFill="background1"/>
            <w:hideMark/>
          </w:tcPr>
          <w:p w14:paraId="7C865A9A" w14:textId="77777777" w:rsidR="009A0A63" w:rsidRPr="00792B36" w:rsidRDefault="009A0A63" w:rsidP="00A24459">
            <w:pPr>
              <w:rPr>
                <w:rFonts w:ascii="Arial" w:eastAsia="Times New Roman" w:hAnsi="Arial" w:cs="Arial"/>
                <w:b w:val="0"/>
                <w:bCs w:val="0"/>
                <w:color w:val="000000"/>
                <w:sz w:val="24"/>
                <w:szCs w:val="24"/>
                <w:lang w:eastAsia="ja-JP"/>
              </w:rPr>
            </w:pPr>
            <w:r w:rsidRPr="00792B36">
              <w:rPr>
                <w:rFonts w:ascii="Arial" w:eastAsia="Times New Roman" w:hAnsi="Arial" w:cs="Arial"/>
                <w:b w:val="0"/>
                <w:bCs w:val="0"/>
                <w:color w:val="000000"/>
                <w:sz w:val="24"/>
                <w:szCs w:val="24"/>
                <w:lang w:eastAsia="ja-JP"/>
              </w:rPr>
              <w:t>Navigation in Thai Waters Act B.E. 2456 (1913)</w:t>
            </w:r>
          </w:p>
        </w:tc>
        <w:tc>
          <w:tcPr>
            <w:tcW w:w="6379" w:type="dxa"/>
            <w:shd w:val="clear" w:color="auto" w:fill="FFFFFF" w:themeFill="background1"/>
            <w:hideMark/>
          </w:tcPr>
          <w:p w14:paraId="494EC3D3" w14:textId="77777777" w:rsidR="009A0A63" w:rsidRPr="00792B36" w:rsidRDefault="009A0A63" w:rsidP="00A24459">
            <w:pP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4"/>
                <w:szCs w:val="24"/>
                <w:lang w:eastAsia="ja-JP"/>
              </w:rPr>
            </w:pPr>
            <w:r w:rsidRPr="00792B36">
              <w:rPr>
                <w:rFonts w:ascii="Arial" w:eastAsia="Times New Roman" w:hAnsi="Arial" w:cs="Arial"/>
                <w:color w:val="000000"/>
                <w:sz w:val="24"/>
                <w:szCs w:val="24"/>
                <w:lang w:eastAsia="ja-JP"/>
              </w:rPr>
              <w:t>Governs navigation in Thai waters, ensuring coordination of maritime transport and space use in ways that support marine conservation.</w:t>
            </w:r>
          </w:p>
        </w:tc>
      </w:tr>
      <w:tr w:rsidR="009A0A63" w:rsidRPr="00792B36" w14:paraId="45A34948" w14:textId="77777777" w:rsidTr="00A24459">
        <w:trPr>
          <w:cnfStyle w:val="000000100000" w:firstRow="0" w:lastRow="0" w:firstColumn="0" w:lastColumn="0" w:oddVBand="0" w:evenVBand="0" w:oddHBand="1" w:evenHBand="0" w:firstRowFirstColumn="0" w:firstRowLastColumn="0" w:lastRowFirstColumn="0" w:lastRowLastColumn="0"/>
          <w:trHeight w:val="580"/>
        </w:trPr>
        <w:tc>
          <w:tcPr>
            <w:cnfStyle w:val="001000000000" w:firstRow="0" w:lastRow="0" w:firstColumn="1" w:lastColumn="0" w:oddVBand="0" w:evenVBand="0" w:oddHBand="0" w:evenHBand="0" w:firstRowFirstColumn="0" w:firstRowLastColumn="0" w:lastRowFirstColumn="0" w:lastRowLastColumn="0"/>
            <w:tcW w:w="2972" w:type="dxa"/>
            <w:shd w:val="clear" w:color="auto" w:fill="FFFFFF" w:themeFill="background1"/>
            <w:hideMark/>
          </w:tcPr>
          <w:p w14:paraId="46CB5C19" w14:textId="77777777" w:rsidR="009A0A63" w:rsidRPr="00792B36" w:rsidRDefault="009A0A63" w:rsidP="00A24459">
            <w:pPr>
              <w:rPr>
                <w:rFonts w:ascii="Arial" w:eastAsia="Times New Roman" w:hAnsi="Arial" w:cs="Arial"/>
                <w:b w:val="0"/>
                <w:bCs w:val="0"/>
                <w:color w:val="000000"/>
                <w:sz w:val="24"/>
                <w:szCs w:val="24"/>
                <w:lang w:eastAsia="ja-JP"/>
              </w:rPr>
            </w:pPr>
            <w:r w:rsidRPr="00792B36">
              <w:rPr>
                <w:rFonts w:ascii="Arial" w:eastAsia="Times New Roman" w:hAnsi="Arial" w:cs="Arial"/>
                <w:b w:val="0"/>
                <w:bCs w:val="0"/>
                <w:color w:val="000000"/>
                <w:sz w:val="24"/>
                <w:szCs w:val="24"/>
                <w:lang w:eastAsia="ja-JP"/>
              </w:rPr>
              <w:t>Thai Vessels Act B.E. 2481 (1938), amended B.E. 2561 (2018)</w:t>
            </w:r>
          </w:p>
        </w:tc>
        <w:tc>
          <w:tcPr>
            <w:tcW w:w="6379" w:type="dxa"/>
            <w:shd w:val="clear" w:color="auto" w:fill="FFFFFF" w:themeFill="background1"/>
            <w:hideMark/>
          </w:tcPr>
          <w:p w14:paraId="02991410" w14:textId="77777777" w:rsidR="009A0A63" w:rsidRPr="00792B36" w:rsidRDefault="009A0A63" w:rsidP="00A24459">
            <w:pP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4"/>
                <w:szCs w:val="24"/>
                <w:lang w:eastAsia="ja-JP"/>
              </w:rPr>
            </w:pPr>
            <w:r w:rsidRPr="00792B36">
              <w:rPr>
                <w:rFonts w:ascii="Arial" w:eastAsia="Times New Roman" w:hAnsi="Arial" w:cs="Arial"/>
                <w:color w:val="000000"/>
                <w:sz w:val="24"/>
                <w:szCs w:val="24"/>
                <w:lang w:eastAsia="ja-JP"/>
              </w:rPr>
              <w:t>Regulates vessel registration and operations, ensuring the management of vessel activities within designated marine zones to support marine conservation.</w:t>
            </w:r>
          </w:p>
        </w:tc>
      </w:tr>
      <w:tr w:rsidR="009A0A63" w:rsidRPr="00792B36" w14:paraId="4218B034" w14:textId="77777777" w:rsidTr="00A24459">
        <w:trPr>
          <w:trHeight w:val="580"/>
        </w:trPr>
        <w:tc>
          <w:tcPr>
            <w:cnfStyle w:val="001000000000" w:firstRow="0" w:lastRow="0" w:firstColumn="1" w:lastColumn="0" w:oddVBand="0" w:evenVBand="0" w:oddHBand="0" w:evenHBand="0" w:firstRowFirstColumn="0" w:firstRowLastColumn="0" w:lastRowFirstColumn="0" w:lastRowLastColumn="0"/>
            <w:tcW w:w="2972" w:type="dxa"/>
            <w:shd w:val="clear" w:color="auto" w:fill="FFFFFF" w:themeFill="background1"/>
            <w:hideMark/>
          </w:tcPr>
          <w:p w14:paraId="243F3417" w14:textId="77777777" w:rsidR="009A0A63" w:rsidRPr="00792B36" w:rsidRDefault="009A0A63" w:rsidP="00A24459">
            <w:pPr>
              <w:rPr>
                <w:rFonts w:ascii="Arial" w:eastAsia="Times New Roman" w:hAnsi="Arial" w:cs="Arial"/>
                <w:b w:val="0"/>
                <w:bCs w:val="0"/>
                <w:color w:val="000000"/>
                <w:sz w:val="24"/>
                <w:szCs w:val="24"/>
                <w:lang w:eastAsia="ja-JP"/>
              </w:rPr>
            </w:pPr>
            <w:r w:rsidRPr="00792B36">
              <w:rPr>
                <w:rFonts w:ascii="Arial" w:eastAsia="Times New Roman" w:hAnsi="Arial" w:cs="Arial"/>
                <w:b w:val="0"/>
                <w:bCs w:val="0"/>
                <w:color w:val="000000"/>
                <w:sz w:val="24"/>
                <w:szCs w:val="24"/>
                <w:lang w:eastAsia="ja-JP"/>
              </w:rPr>
              <w:t>Petroleum Act B.E. 2514 (1971)</w:t>
            </w:r>
          </w:p>
        </w:tc>
        <w:tc>
          <w:tcPr>
            <w:tcW w:w="6379" w:type="dxa"/>
            <w:shd w:val="clear" w:color="auto" w:fill="FFFFFF" w:themeFill="background1"/>
            <w:hideMark/>
          </w:tcPr>
          <w:p w14:paraId="27BE142C" w14:textId="77777777" w:rsidR="009A0A63" w:rsidRPr="00792B36" w:rsidRDefault="009A0A63" w:rsidP="00A24459">
            <w:pP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4"/>
                <w:szCs w:val="24"/>
                <w:lang w:eastAsia="ja-JP"/>
              </w:rPr>
            </w:pPr>
            <w:r w:rsidRPr="00792B36">
              <w:rPr>
                <w:rFonts w:ascii="Arial" w:eastAsia="Times New Roman" w:hAnsi="Arial" w:cs="Arial"/>
                <w:color w:val="000000"/>
                <w:sz w:val="24"/>
                <w:szCs w:val="24"/>
                <w:lang w:eastAsia="ja-JP"/>
              </w:rPr>
              <w:t>Regulates petroleum exploration and extraction, ensuring a balance between economic use and environmental sustainability to protect biodiversity in marine areas.</w:t>
            </w:r>
          </w:p>
        </w:tc>
      </w:tr>
      <w:tr w:rsidR="009A0A63" w:rsidRPr="00792B36" w14:paraId="38432184" w14:textId="77777777" w:rsidTr="00A24459">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2972" w:type="dxa"/>
            <w:shd w:val="clear" w:color="auto" w:fill="FFFFFF" w:themeFill="background1"/>
            <w:hideMark/>
          </w:tcPr>
          <w:p w14:paraId="482C9B06" w14:textId="77777777" w:rsidR="009A0A63" w:rsidRPr="00792B36" w:rsidRDefault="009A0A63" w:rsidP="00A24459">
            <w:pPr>
              <w:rPr>
                <w:rFonts w:ascii="Arial" w:eastAsia="Times New Roman" w:hAnsi="Arial" w:cs="Arial"/>
                <w:b w:val="0"/>
                <w:bCs w:val="0"/>
                <w:color w:val="000000"/>
                <w:sz w:val="24"/>
                <w:szCs w:val="24"/>
                <w:lang w:eastAsia="ja-JP"/>
              </w:rPr>
            </w:pPr>
            <w:r w:rsidRPr="00792B36">
              <w:rPr>
                <w:rFonts w:ascii="Arial" w:eastAsia="Times New Roman" w:hAnsi="Arial" w:cs="Arial"/>
                <w:b w:val="0"/>
                <w:bCs w:val="0"/>
                <w:color w:val="000000"/>
                <w:sz w:val="24"/>
                <w:szCs w:val="24"/>
                <w:lang w:eastAsia="ja-JP"/>
              </w:rPr>
              <w:t>Minerals Act B.E. 2560 (2017)</w:t>
            </w:r>
          </w:p>
        </w:tc>
        <w:tc>
          <w:tcPr>
            <w:tcW w:w="6379" w:type="dxa"/>
            <w:shd w:val="clear" w:color="auto" w:fill="FFFFFF" w:themeFill="background1"/>
            <w:hideMark/>
          </w:tcPr>
          <w:p w14:paraId="724410BD" w14:textId="77777777" w:rsidR="009A0A63" w:rsidRPr="00792B36" w:rsidRDefault="009A0A63" w:rsidP="00A24459">
            <w:pP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4"/>
                <w:szCs w:val="24"/>
                <w:lang w:eastAsia="ja-JP"/>
              </w:rPr>
            </w:pPr>
            <w:r w:rsidRPr="00792B36">
              <w:rPr>
                <w:rFonts w:ascii="Arial" w:eastAsia="Times New Roman" w:hAnsi="Arial" w:cs="Arial"/>
                <w:color w:val="000000"/>
                <w:sz w:val="24"/>
                <w:szCs w:val="24"/>
                <w:lang w:eastAsia="ja-JP"/>
              </w:rPr>
              <w:t>Governs mineral resource extraction, ensuring zoning and environmental protection measures that support marine conservation.</w:t>
            </w:r>
          </w:p>
        </w:tc>
      </w:tr>
      <w:tr w:rsidR="009A0A63" w:rsidRPr="00792B36" w14:paraId="2DC95829" w14:textId="77777777" w:rsidTr="00A24459">
        <w:trPr>
          <w:trHeight w:val="580"/>
        </w:trPr>
        <w:tc>
          <w:tcPr>
            <w:cnfStyle w:val="001000000000" w:firstRow="0" w:lastRow="0" w:firstColumn="1" w:lastColumn="0" w:oddVBand="0" w:evenVBand="0" w:oddHBand="0" w:evenHBand="0" w:firstRowFirstColumn="0" w:firstRowLastColumn="0" w:lastRowFirstColumn="0" w:lastRowLastColumn="0"/>
            <w:tcW w:w="2972" w:type="dxa"/>
            <w:shd w:val="clear" w:color="auto" w:fill="FFFFFF" w:themeFill="background1"/>
            <w:hideMark/>
          </w:tcPr>
          <w:p w14:paraId="02698C5D" w14:textId="77777777" w:rsidR="009A0A63" w:rsidRPr="00792B36" w:rsidRDefault="009A0A63" w:rsidP="00A24459">
            <w:pPr>
              <w:rPr>
                <w:rFonts w:ascii="Arial" w:eastAsia="Times New Roman" w:hAnsi="Arial" w:cs="Arial"/>
                <w:b w:val="0"/>
                <w:bCs w:val="0"/>
                <w:color w:val="000000"/>
                <w:sz w:val="24"/>
                <w:szCs w:val="24"/>
                <w:lang w:eastAsia="ja-JP"/>
              </w:rPr>
            </w:pPr>
            <w:r w:rsidRPr="00792B36">
              <w:rPr>
                <w:rFonts w:ascii="Arial" w:eastAsia="Times New Roman" w:hAnsi="Arial" w:cs="Arial"/>
                <w:b w:val="0"/>
                <w:bCs w:val="0"/>
                <w:color w:val="000000"/>
                <w:sz w:val="24"/>
                <w:szCs w:val="24"/>
                <w:lang w:eastAsia="ja-JP"/>
              </w:rPr>
              <w:t>National Security Council Act B.E. 2559 (2016)</w:t>
            </w:r>
          </w:p>
        </w:tc>
        <w:tc>
          <w:tcPr>
            <w:tcW w:w="6379" w:type="dxa"/>
            <w:shd w:val="clear" w:color="auto" w:fill="FFFFFF" w:themeFill="background1"/>
            <w:hideMark/>
          </w:tcPr>
          <w:p w14:paraId="263A833C" w14:textId="77777777" w:rsidR="009A0A63" w:rsidRPr="00792B36" w:rsidRDefault="009A0A63" w:rsidP="00A24459">
            <w:pP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4"/>
                <w:szCs w:val="24"/>
                <w:lang w:eastAsia="ja-JP"/>
              </w:rPr>
            </w:pPr>
            <w:r w:rsidRPr="00792B36">
              <w:rPr>
                <w:rFonts w:ascii="Arial" w:eastAsia="Times New Roman" w:hAnsi="Arial" w:cs="Arial"/>
                <w:color w:val="000000"/>
                <w:sz w:val="24"/>
                <w:szCs w:val="24"/>
                <w:lang w:eastAsia="ja-JP"/>
              </w:rPr>
              <w:t>Provides a framework for addressing national security threats, including maritime security, while ensuring the integration of marine conservation with security measures.</w:t>
            </w:r>
          </w:p>
        </w:tc>
      </w:tr>
      <w:tr w:rsidR="009A0A63" w:rsidRPr="00792B36" w14:paraId="4EE7BC63" w14:textId="77777777" w:rsidTr="00A24459">
        <w:trPr>
          <w:cnfStyle w:val="000000100000" w:firstRow="0" w:lastRow="0" w:firstColumn="0" w:lastColumn="0" w:oddVBand="0" w:evenVBand="0" w:oddHBand="1" w:evenHBand="0" w:firstRowFirstColumn="0" w:firstRowLastColumn="0" w:lastRowFirstColumn="0" w:lastRowLastColumn="0"/>
          <w:trHeight w:val="796"/>
        </w:trPr>
        <w:tc>
          <w:tcPr>
            <w:cnfStyle w:val="001000000000" w:firstRow="0" w:lastRow="0" w:firstColumn="1" w:lastColumn="0" w:oddVBand="0" w:evenVBand="0" w:oddHBand="0" w:evenHBand="0" w:firstRowFirstColumn="0" w:firstRowLastColumn="0" w:lastRowFirstColumn="0" w:lastRowLastColumn="0"/>
            <w:tcW w:w="2972" w:type="dxa"/>
            <w:shd w:val="clear" w:color="auto" w:fill="FFFFFF" w:themeFill="background1"/>
            <w:hideMark/>
          </w:tcPr>
          <w:p w14:paraId="2047F2B1" w14:textId="77777777" w:rsidR="009A0A63" w:rsidRPr="00792B36" w:rsidRDefault="009A0A63" w:rsidP="00A24459">
            <w:pPr>
              <w:rPr>
                <w:rFonts w:ascii="Arial" w:eastAsia="Times New Roman" w:hAnsi="Arial" w:cs="Arial"/>
                <w:b w:val="0"/>
                <w:bCs w:val="0"/>
                <w:color w:val="000000"/>
                <w:sz w:val="24"/>
                <w:szCs w:val="24"/>
                <w:lang w:eastAsia="ja-JP"/>
              </w:rPr>
            </w:pPr>
            <w:r w:rsidRPr="00792B36">
              <w:rPr>
                <w:rFonts w:ascii="Arial" w:eastAsia="Times New Roman" w:hAnsi="Arial" w:cs="Arial"/>
                <w:b w:val="0"/>
                <w:bCs w:val="0"/>
                <w:color w:val="000000"/>
                <w:sz w:val="24"/>
                <w:szCs w:val="24"/>
                <w:lang w:eastAsia="ja-JP"/>
              </w:rPr>
              <w:t>Enhancement and Conservation of National Environmental Quality Act B.E. 2535 (1992), amended 2561 (2018)</w:t>
            </w:r>
          </w:p>
        </w:tc>
        <w:tc>
          <w:tcPr>
            <w:tcW w:w="6379" w:type="dxa"/>
            <w:shd w:val="clear" w:color="auto" w:fill="FFFFFF" w:themeFill="background1"/>
            <w:hideMark/>
          </w:tcPr>
          <w:p w14:paraId="033622F5" w14:textId="77777777" w:rsidR="009A0A63" w:rsidRPr="00792B36" w:rsidRDefault="009A0A63" w:rsidP="00A24459">
            <w:pP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4"/>
                <w:szCs w:val="24"/>
                <w:lang w:eastAsia="ja-JP"/>
              </w:rPr>
            </w:pPr>
            <w:r w:rsidRPr="00792B36">
              <w:rPr>
                <w:rFonts w:ascii="Arial" w:eastAsia="Times New Roman" w:hAnsi="Arial" w:cs="Arial"/>
                <w:color w:val="000000"/>
                <w:sz w:val="24"/>
                <w:szCs w:val="24"/>
                <w:lang w:eastAsia="ja-JP"/>
              </w:rPr>
              <w:t>Prescribes measures for environmental conservation and pollution control, supporting biodiversity by promoting the sustainable use of marine and coastal environments.</w:t>
            </w:r>
          </w:p>
        </w:tc>
      </w:tr>
      <w:tr w:rsidR="009A0A63" w:rsidRPr="00792B36" w14:paraId="46D5CC67" w14:textId="77777777" w:rsidTr="00A24459">
        <w:trPr>
          <w:trHeight w:val="580"/>
        </w:trPr>
        <w:tc>
          <w:tcPr>
            <w:cnfStyle w:val="001000000000" w:firstRow="0" w:lastRow="0" w:firstColumn="1" w:lastColumn="0" w:oddVBand="0" w:evenVBand="0" w:oddHBand="0" w:evenHBand="0" w:firstRowFirstColumn="0" w:firstRowLastColumn="0" w:lastRowFirstColumn="0" w:lastRowLastColumn="0"/>
            <w:tcW w:w="2972" w:type="dxa"/>
            <w:shd w:val="clear" w:color="auto" w:fill="FFFFFF" w:themeFill="background1"/>
            <w:hideMark/>
          </w:tcPr>
          <w:p w14:paraId="2B330254" w14:textId="77777777" w:rsidR="009A0A63" w:rsidRPr="00792B36" w:rsidRDefault="009A0A63" w:rsidP="00A24459">
            <w:pPr>
              <w:rPr>
                <w:rFonts w:ascii="Arial" w:eastAsia="Times New Roman" w:hAnsi="Arial" w:cs="Arial"/>
                <w:b w:val="0"/>
                <w:bCs w:val="0"/>
                <w:color w:val="000000"/>
                <w:sz w:val="24"/>
                <w:szCs w:val="24"/>
                <w:lang w:eastAsia="ja-JP"/>
              </w:rPr>
            </w:pPr>
            <w:r w:rsidRPr="00792B36">
              <w:rPr>
                <w:rFonts w:ascii="Arial" w:eastAsia="Times New Roman" w:hAnsi="Arial" w:cs="Arial"/>
                <w:b w:val="0"/>
                <w:bCs w:val="0"/>
                <w:color w:val="000000"/>
                <w:sz w:val="24"/>
                <w:szCs w:val="24"/>
                <w:lang w:eastAsia="ja-JP"/>
              </w:rPr>
              <w:t>National Park Act B.E. 2562 (2019)</w:t>
            </w:r>
          </w:p>
        </w:tc>
        <w:tc>
          <w:tcPr>
            <w:tcW w:w="6379" w:type="dxa"/>
            <w:shd w:val="clear" w:color="auto" w:fill="FFFFFF" w:themeFill="background1"/>
            <w:hideMark/>
          </w:tcPr>
          <w:p w14:paraId="5EED0B42" w14:textId="77777777" w:rsidR="009A0A63" w:rsidRPr="00792B36" w:rsidRDefault="009A0A63" w:rsidP="00A24459">
            <w:pP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4"/>
                <w:szCs w:val="24"/>
                <w:lang w:eastAsia="ja-JP"/>
              </w:rPr>
            </w:pPr>
            <w:r w:rsidRPr="00792B36">
              <w:rPr>
                <w:rFonts w:ascii="Arial" w:eastAsia="Times New Roman" w:hAnsi="Arial" w:cs="Arial"/>
                <w:color w:val="000000"/>
                <w:sz w:val="24"/>
                <w:szCs w:val="24"/>
                <w:lang w:eastAsia="ja-JP"/>
              </w:rPr>
              <w:t>Governs protected areas and biodiversity conservation, facilitating the integration of marine protected areas into broader conservation efforts and ecosystem sustainability, thereby supporting marine conservation.</w:t>
            </w:r>
          </w:p>
        </w:tc>
      </w:tr>
      <w:tr w:rsidR="009A0A63" w:rsidRPr="00792B36" w14:paraId="4E215DDB" w14:textId="77777777" w:rsidTr="00A24459">
        <w:trPr>
          <w:cnfStyle w:val="000000100000" w:firstRow="0" w:lastRow="0" w:firstColumn="0" w:lastColumn="0" w:oddVBand="0" w:evenVBand="0" w:oddHBand="1" w:evenHBand="0" w:firstRowFirstColumn="0" w:firstRowLastColumn="0" w:lastRowFirstColumn="0" w:lastRowLastColumn="0"/>
          <w:trHeight w:val="580"/>
        </w:trPr>
        <w:tc>
          <w:tcPr>
            <w:cnfStyle w:val="001000000000" w:firstRow="0" w:lastRow="0" w:firstColumn="1" w:lastColumn="0" w:oddVBand="0" w:evenVBand="0" w:oddHBand="0" w:evenHBand="0" w:firstRowFirstColumn="0" w:firstRowLastColumn="0" w:lastRowFirstColumn="0" w:lastRowLastColumn="0"/>
            <w:tcW w:w="2972" w:type="dxa"/>
            <w:shd w:val="clear" w:color="auto" w:fill="FFFFFF" w:themeFill="background1"/>
            <w:hideMark/>
          </w:tcPr>
          <w:p w14:paraId="130F54B3" w14:textId="77777777" w:rsidR="009A0A63" w:rsidRPr="00792B36" w:rsidRDefault="009A0A63" w:rsidP="00A24459">
            <w:pPr>
              <w:rPr>
                <w:rFonts w:ascii="Arial" w:eastAsia="Times New Roman" w:hAnsi="Arial" w:cs="Arial"/>
                <w:b w:val="0"/>
                <w:bCs w:val="0"/>
                <w:color w:val="000000"/>
                <w:sz w:val="24"/>
                <w:szCs w:val="24"/>
                <w:lang w:eastAsia="ja-JP"/>
              </w:rPr>
            </w:pPr>
            <w:r w:rsidRPr="00792B36">
              <w:rPr>
                <w:rFonts w:ascii="Arial" w:eastAsia="Times New Roman" w:hAnsi="Arial" w:cs="Arial"/>
                <w:b w:val="0"/>
                <w:bCs w:val="0"/>
                <w:color w:val="000000"/>
                <w:sz w:val="24"/>
                <w:szCs w:val="24"/>
                <w:lang w:eastAsia="ja-JP"/>
              </w:rPr>
              <w:lastRenderedPageBreak/>
              <w:t>Local Government Organization Act B.E. 2542 (1999)</w:t>
            </w:r>
          </w:p>
        </w:tc>
        <w:tc>
          <w:tcPr>
            <w:tcW w:w="6379" w:type="dxa"/>
            <w:shd w:val="clear" w:color="auto" w:fill="FFFFFF" w:themeFill="background1"/>
            <w:hideMark/>
          </w:tcPr>
          <w:p w14:paraId="4E31233B" w14:textId="77777777" w:rsidR="009A0A63" w:rsidRPr="00792B36" w:rsidRDefault="009A0A63" w:rsidP="00A24459">
            <w:pP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4"/>
                <w:szCs w:val="24"/>
                <w:lang w:eastAsia="ja-JP"/>
              </w:rPr>
            </w:pPr>
            <w:r w:rsidRPr="00792B36">
              <w:rPr>
                <w:rFonts w:ascii="Arial" w:eastAsia="Times New Roman" w:hAnsi="Arial" w:cs="Arial"/>
                <w:color w:val="000000"/>
                <w:sz w:val="24"/>
                <w:szCs w:val="24"/>
                <w:lang w:eastAsia="ja-JP"/>
              </w:rPr>
              <w:t>Defines the roles of local governments in resource management, ensuring participatory and decentralized implementation that supports marine conservation.</w:t>
            </w:r>
          </w:p>
        </w:tc>
      </w:tr>
      <w:tr w:rsidR="009A0A63" w:rsidRPr="00792B36" w14:paraId="658D68C8" w14:textId="77777777" w:rsidTr="00A24459">
        <w:trPr>
          <w:trHeight w:val="580"/>
        </w:trPr>
        <w:tc>
          <w:tcPr>
            <w:cnfStyle w:val="001000000000" w:firstRow="0" w:lastRow="0" w:firstColumn="1" w:lastColumn="0" w:oddVBand="0" w:evenVBand="0" w:oddHBand="0" w:evenHBand="0" w:firstRowFirstColumn="0" w:firstRowLastColumn="0" w:lastRowFirstColumn="0" w:lastRowLastColumn="0"/>
            <w:tcW w:w="2972" w:type="dxa"/>
            <w:shd w:val="clear" w:color="auto" w:fill="FFFFFF" w:themeFill="background1"/>
            <w:hideMark/>
          </w:tcPr>
          <w:p w14:paraId="711A8913" w14:textId="77777777" w:rsidR="009A0A63" w:rsidRPr="00792B36" w:rsidRDefault="009A0A63" w:rsidP="00A24459">
            <w:pPr>
              <w:rPr>
                <w:rFonts w:ascii="Arial" w:eastAsia="Times New Roman" w:hAnsi="Arial" w:cs="Arial"/>
                <w:b w:val="0"/>
                <w:bCs w:val="0"/>
                <w:color w:val="000000"/>
                <w:sz w:val="24"/>
                <w:szCs w:val="24"/>
                <w:lang w:eastAsia="ja-JP"/>
              </w:rPr>
            </w:pPr>
            <w:r w:rsidRPr="00792B36">
              <w:rPr>
                <w:rFonts w:ascii="Arial" w:eastAsia="Times New Roman" w:hAnsi="Arial" w:cs="Arial"/>
                <w:b w:val="0"/>
                <w:bCs w:val="0"/>
                <w:color w:val="000000"/>
                <w:sz w:val="24"/>
                <w:szCs w:val="24"/>
                <w:lang w:eastAsia="ja-JP"/>
              </w:rPr>
              <w:t>National Tourism Policy Act B.E. 2546 (2003)</w:t>
            </w:r>
          </w:p>
        </w:tc>
        <w:tc>
          <w:tcPr>
            <w:tcW w:w="6379" w:type="dxa"/>
            <w:shd w:val="clear" w:color="auto" w:fill="FFFFFF" w:themeFill="background1"/>
            <w:hideMark/>
          </w:tcPr>
          <w:p w14:paraId="22099B09" w14:textId="77777777" w:rsidR="009A0A63" w:rsidRPr="00792B36" w:rsidRDefault="009A0A63" w:rsidP="00A24459">
            <w:pP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4"/>
                <w:szCs w:val="24"/>
                <w:lang w:eastAsia="ja-JP"/>
              </w:rPr>
            </w:pPr>
            <w:r w:rsidRPr="00792B36">
              <w:rPr>
                <w:rFonts w:ascii="Arial" w:eastAsia="Times New Roman" w:hAnsi="Arial" w:cs="Arial"/>
                <w:color w:val="000000"/>
                <w:sz w:val="24"/>
                <w:szCs w:val="24"/>
                <w:lang w:eastAsia="ja-JP"/>
              </w:rPr>
              <w:t>Regulates tourism development, ensuring a balance between tourism growth and marine conservation through environmental and spatial considerations.</w:t>
            </w:r>
          </w:p>
        </w:tc>
      </w:tr>
      <w:tr w:rsidR="009A0A63" w:rsidRPr="00792B36" w14:paraId="11E8C1B1" w14:textId="77777777" w:rsidTr="00A24459">
        <w:trPr>
          <w:cnfStyle w:val="000000100000" w:firstRow="0" w:lastRow="0" w:firstColumn="0" w:lastColumn="0" w:oddVBand="0" w:evenVBand="0" w:oddHBand="1" w:evenHBand="0" w:firstRowFirstColumn="0" w:firstRowLastColumn="0" w:lastRowFirstColumn="0" w:lastRowLastColumn="0"/>
          <w:trHeight w:val="870"/>
        </w:trPr>
        <w:tc>
          <w:tcPr>
            <w:cnfStyle w:val="001000000000" w:firstRow="0" w:lastRow="0" w:firstColumn="1" w:lastColumn="0" w:oddVBand="0" w:evenVBand="0" w:oddHBand="0" w:evenHBand="0" w:firstRowFirstColumn="0" w:firstRowLastColumn="0" w:lastRowFirstColumn="0" w:lastRowLastColumn="0"/>
            <w:tcW w:w="2972" w:type="dxa"/>
            <w:shd w:val="clear" w:color="auto" w:fill="FFFFFF" w:themeFill="background1"/>
            <w:hideMark/>
          </w:tcPr>
          <w:p w14:paraId="7CF9A98D" w14:textId="77777777" w:rsidR="009A0A63" w:rsidRPr="00792B36" w:rsidRDefault="009A0A63" w:rsidP="00A24459">
            <w:pPr>
              <w:rPr>
                <w:rFonts w:ascii="Arial" w:eastAsia="Times New Roman" w:hAnsi="Arial" w:cs="Arial"/>
                <w:b w:val="0"/>
                <w:bCs w:val="0"/>
                <w:color w:val="000000"/>
                <w:sz w:val="24"/>
                <w:szCs w:val="24"/>
                <w:lang w:eastAsia="ja-JP"/>
              </w:rPr>
            </w:pPr>
            <w:r w:rsidRPr="00792B36">
              <w:rPr>
                <w:rFonts w:ascii="Arial" w:eastAsia="Times New Roman" w:hAnsi="Arial" w:cs="Arial"/>
                <w:b w:val="0"/>
                <w:bCs w:val="0"/>
                <w:color w:val="000000"/>
                <w:sz w:val="24"/>
                <w:szCs w:val="24"/>
                <w:lang w:eastAsia="ja-JP"/>
              </w:rPr>
              <w:t>National Economic and Social Development Board Act B.E. 2521 (1978)</w:t>
            </w:r>
          </w:p>
        </w:tc>
        <w:tc>
          <w:tcPr>
            <w:tcW w:w="6379" w:type="dxa"/>
            <w:shd w:val="clear" w:color="auto" w:fill="FFFFFF" w:themeFill="background1"/>
            <w:hideMark/>
          </w:tcPr>
          <w:p w14:paraId="10EA91D1" w14:textId="77777777" w:rsidR="009A0A63" w:rsidRPr="00792B36" w:rsidRDefault="009A0A63" w:rsidP="00A24459">
            <w:pP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4"/>
                <w:szCs w:val="24"/>
                <w:lang w:eastAsia="ja-JP"/>
              </w:rPr>
            </w:pPr>
            <w:r w:rsidRPr="00792B36">
              <w:rPr>
                <w:rFonts w:ascii="Arial" w:eastAsia="Times New Roman" w:hAnsi="Arial" w:cs="Arial"/>
                <w:color w:val="000000"/>
                <w:sz w:val="24"/>
                <w:szCs w:val="24"/>
                <w:lang w:eastAsia="ja-JP"/>
              </w:rPr>
              <w:t>Establishes strategic development frameworks that include both economic and environmental goals, supporting the integration of marine biodiversity into national development strategies</w:t>
            </w:r>
          </w:p>
        </w:tc>
      </w:tr>
      <w:tr w:rsidR="009A0A63" w:rsidRPr="00792B36" w14:paraId="7ACE18F9" w14:textId="77777777" w:rsidTr="00A24459">
        <w:trPr>
          <w:trHeight w:val="870"/>
        </w:trPr>
        <w:tc>
          <w:tcPr>
            <w:cnfStyle w:val="001000000000" w:firstRow="0" w:lastRow="0" w:firstColumn="1" w:lastColumn="0" w:oddVBand="0" w:evenVBand="0" w:oddHBand="0" w:evenHBand="0" w:firstRowFirstColumn="0" w:firstRowLastColumn="0" w:lastRowFirstColumn="0" w:lastRowLastColumn="0"/>
            <w:tcW w:w="2972" w:type="dxa"/>
            <w:shd w:val="clear" w:color="auto" w:fill="FFFFFF" w:themeFill="background1"/>
          </w:tcPr>
          <w:p w14:paraId="295B50B6" w14:textId="77777777" w:rsidR="009A0A63" w:rsidRPr="00792B36" w:rsidRDefault="009A0A63" w:rsidP="00A24459">
            <w:pPr>
              <w:rPr>
                <w:rStyle w:val="rynqvb"/>
                <w:rFonts w:ascii="Arial" w:hAnsi="Arial" w:cs="Arial"/>
                <w:b w:val="0"/>
                <w:bCs w:val="0"/>
                <w:sz w:val="24"/>
                <w:szCs w:val="24"/>
              </w:rPr>
            </w:pPr>
            <w:bookmarkStart w:id="46" w:name="_Hlk126400264"/>
            <w:r w:rsidRPr="00792B36">
              <w:rPr>
                <w:rStyle w:val="rynqvb"/>
                <w:rFonts w:ascii="Arial" w:hAnsi="Arial" w:cs="Arial"/>
                <w:b w:val="0"/>
                <w:bCs w:val="0"/>
                <w:sz w:val="24"/>
                <w:szCs w:val="24"/>
              </w:rPr>
              <w:t xml:space="preserve">Regulation of the Prime Minister's Office on Conservation and Utilization of Biodiversity (2020) </w:t>
            </w:r>
            <w:bookmarkEnd w:id="46"/>
          </w:p>
        </w:tc>
        <w:tc>
          <w:tcPr>
            <w:tcW w:w="6379" w:type="dxa"/>
            <w:shd w:val="clear" w:color="auto" w:fill="FFFFFF" w:themeFill="background1"/>
          </w:tcPr>
          <w:p w14:paraId="2F340C71" w14:textId="77777777" w:rsidR="009A0A63" w:rsidRPr="00792B36" w:rsidRDefault="009A0A63" w:rsidP="00A24459">
            <w:pPr>
              <w:jc w:val="both"/>
              <w:cnfStyle w:val="000000000000" w:firstRow="0" w:lastRow="0" w:firstColumn="0" w:lastColumn="0" w:oddVBand="0" w:evenVBand="0" w:oddHBand="0" w:evenHBand="0" w:firstRowFirstColumn="0" w:firstRowLastColumn="0" w:lastRowFirstColumn="0" w:lastRowLastColumn="0"/>
              <w:rPr>
                <w:rStyle w:val="jlqj4b"/>
                <w:rFonts w:ascii="Arial" w:hAnsi="Arial" w:cs="Arial"/>
                <w:sz w:val="24"/>
                <w:szCs w:val="24"/>
              </w:rPr>
            </w:pPr>
            <w:r w:rsidRPr="00792B36">
              <w:rPr>
                <w:rFonts w:ascii="Arial" w:hAnsi="Arial" w:cs="Arial"/>
                <w:sz w:val="24"/>
                <w:szCs w:val="24"/>
              </w:rPr>
              <w:t>Establishes the National Biodiversity Conservation Committee (NBC) to oversee national biodiversity policy, including approving management plans, regulatory measures, and frameworks on access to biological resources, benefit-sharing, biosafety, and technology transfer. Four subcommittees support its work: biodiversity law, integrated biodiversity management, academic and technical affairs, and international cooperation. These governance structures provide a critical foundation for advancing marine and coastal biodiversity conservation.</w:t>
            </w:r>
          </w:p>
        </w:tc>
      </w:tr>
      <w:tr w:rsidR="009A0A63" w:rsidRPr="00792B36" w14:paraId="548F23AF" w14:textId="77777777" w:rsidTr="00A24459">
        <w:trPr>
          <w:cnfStyle w:val="000000100000" w:firstRow="0" w:lastRow="0" w:firstColumn="0" w:lastColumn="0" w:oddVBand="0" w:evenVBand="0" w:oddHBand="1" w:evenHBand="0" w:firstRowFirstColumn="0" w:firstRowLastColumn="0" w:lastRowFirstColumn="0" w:lastRowLastColumn="0"/>
          <w:trHeight w:val="870"/>
        </w:trPr>
        <w:tc>
          <w:tcPr>
            <w:cnfStyle w:val="001000000000" w:firstRow="0" w:lastRow="0" w:firstColumn="1" w:lastColumn="0" w:oddVBand="0" w:evenVBand="0" w:oddHBand="0" w:evenHBand="0" w:firstRowFirstColumn="0" w:firstRowLastColumn="0" w:lastRowFirstColumn="0" w:lastRowLastColumn="0"/>
            <w:tcW w:w="2972" w:type="dxa"/>
            <w:shd w:val="clear" w:color="auto" w:fill="FFFFFF" w:themeFill="background1"/>
          </w:tcPr>
          <w:p w14:paraId="4FA10510" w14:textId="77777777" w:rsidR="009A0A63" w:rsidRPr="00792B36" w:rsidRDefault="009A0A63" w:rsidP="00A24459">
            <w:pPr>
              <w:rPr>
                <w:rFonts w:ascii="Arial" w:eastAsia="Times New Roman" w:hAnsi="Arial" w:cs="Arial"/>
                <w:b w:val="0"/>
                <w:bCs w:val="0"/>
                <w:color w:val="000000"/>
                <w:sz w:val="24"/>
                <w:szCs w:val="24"/>
                <w:lang w:eastAsia="ja-JP"/>
              </w:rPr>
            </w:pPr>
            <w:r w:rsidRPr="00792B36">
              <w:rPr>
                <w:rStyle w:val="rynqvb"/>
                <w:rFonts w:ascii="Arial" w:hAnsi="Arial" w:cs="Arial"/>
                <w:b w:val="0"/>
                <w:bCs w:val="0"/>
                <w:sz w:val="24"/>
                <w:szCs w:val="24"/>
              </w:rPr>
              <w:t>Draft National Biodiversity Act</w:t>
            </w:r>
          </w:p>
        </w:tc>
        <w:tc>
          <w:tcPr>
            <w:tcW w:w="6379" w:type="dxa"/>
            <w:shd w:val="clear" w:color="auto" w:fill="FFFFFF" w:themeFill="background1"/>
          </w:tcPr>
          <w:p w14:paraId="6F4C1359" w14:textId="77777777" w:rsidR="009A0A63" w:rsidRPr="00792B36" w:rsidRDefault="009A0A63" w:rsidP="00A24459">
            <w:pPr>
              <w:jc w:val="both"/>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792B36">
              <w:rPr>
                <w:rFonts w:ascii="Arial" w:hAnsi="Arial" w:cs="Arial"/>
                <w:sz w:val="24"/>
                <w:szCs w:val="24"/>
              </w:rPr>
              <w:t>Establishes the National Biodiversity Conservation Committee (NBCC) and defines biodiversity management across Thailand’s territory, EEZ, high seas, and continental shelf in line with international law. It introduces a national biodiversity plan and allows for biodiversity protection zones, providing a strong legal framework to support marine and coastal conservation.</w:t>
            </w:r>
          </w:p>
        </w:tc>
      </w:tr>
      <w:tr w:rsidR="009A0A63" w:rsidRPr="00792B36" w14:paraId="171F6153" w14:textId="77777777" w:rsidTr="00A24459">
        <w:trPr>
          <w:trHeight w:val="405"/>
        </w:trPr>
        <w:tc>
          <w:tcPr>
            <w:cnfStyle w:val="001000000000" w:firstRow="0" w:lastRow="0" w:firstColumn="1" w:lastColumn="0" w:oddVBand="0" w:evenVBand="0" w:oddHBand="0" w:evenHBand="0" w:firstRowFirstColumn="0" w:firstRowLastColumn="0" w:lastRowFirstColumn="0" w:lastRowLastColumn="0"/>
            <w:tcW w:w="2972" w:type="dxa"/>
            <w:shd w:val="clear" w:color="auto" w:fill="FFFFFF" w:themeFill="background1"/>
          </w:tcPr>
          <w:p w14:paraId="1258CF10" w14:textId="77777777" w:rsidR="009A0A63" w:rsidRPr="00792B36" w:rsidRDefault="009A0A63" w:rsidP="00A24459">
            <w:pPr>
              <w:rPr>
                <w:rStyle w:val="rynqvb"/>
                <w:rFonts w:ascii="Arial" w:hAnsi="Arial" w:cs="Arial"/>
                <w:b w:val="0"/>
                <w:bCs w:val="0"/>
                <w:sz w:val="24"/>
                <w:szCs w:val="24"/>
              </w:rPr>
            </w:pPr>
            <w:r w:rsidRPr="00792B36">
              <w:rPr>
                <w:rStyle w:val="rynqvb"/>
                <w:rFonts w:ascii="Arial" w:hAnsi="Arial" w:cs="Arial"/>
                <w:b w:val="0"/>
                <w:bCs w:val="0"/>
                <w:sz w:val="24"/>
                <w:szCs w:val="24"/>
              </w:rPr>
              <w:t xml:space="preserve">Draft Climate Change Act </w:t>
            </w:r>
          </w:p>
        </w:tc>
        <w:tc>
          <w:tcPr>
            <w:tcW w:w="6379" w:type="dxa"/>
            <w:shd w:val="clear" w:color="auto" w:fill="FFFFFF" w:themeFill="background1"/>
          </w:tcPr>
          <w:p w14:paraId="740C4E29" w14:textId="77777777" w:rsidR="009A0A63" w:rsidRPr="00792B36" w:rsidRDefault="009A0A63" w:rsidP="00A24459">
            <w:pPr>
              <w:jc w:val="both"/>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4"/>
                <w:szCs w:val="24"/>
                <w:lang w:eastAsia="ja-JP"/>
              </w:rPr>
            </w:pPr>
            <w:r w:rsidRPr="00792B36">
              <w:rPr>
                <w:rFonts w:ascii="Arial" w:eastAsia="Times New Roman" w:hAnsi="Arial" w:cs="Arial"/>
                <w:color w:val="000000"/>
                <w:sz w:val="24"/>
                <w:szCs w:val="24"/>
                <w:lang w:eastAsia="ja-JP"/>
              </w:rPr>
              <w:t>Establishes the National Climate Change Policy Committee (NCCP) to lead climate policy and strategy. It mandates a National Climate Change Master Plan, updated every five years, along with action plans for greenhouse gas reduction and climate adaptation. These frameworks are essential for addressing climate risks to marine and coastal biodiversity, ensuring resilience and ecosystem-based adaptation</w:t>
            </w:r>
          </w:p>
        </w:tc>
      </w:tr>
      <w:tr w:rsidR="009A0A63" w:rsidRPr="00792B36" w14:paraId="034BCF3B" w14:textId="77777777" w:rsidTr="00A24459">
        <w:trPr>
          <w:cnfStyle w:val="000000100000" w:firstRow="0" w:lastRow="0" w:firstColumn="0" w:lastColumn="0" w:oddVBand="0" w:evenVBand="0" w:oddHBand="1" w:evenHBand="0" w:firstRowFirstColumn="0" w:firstRowLastColumn="0" w:lastRowFirstColumn="0" w:lastRowLastColumn="0"/>
          <w:trHeight w:val="870"/>
        </w:trPr>
        <w:tc>
          <w:tcPr>
            <w:cnfStyle w:val="001000000000" w:firstRow="0" w:lastRow="0" w:firstColumn="1" w:lastColumn="0" w:oddVBand="0" w:evenVBand="0" w:oddHBand="0" w:evenHBand="0" w:firstRowFirstColumn="0" w:firstRowLastColumn="0" w:lastRowFirstColumn="0" w:lastRowLastColumn="0"/>
            <w:tcW w:w="2972" w:type="dxa"/>
            <w:shd w:val="clear" w:color="auto" w:fill="FFFFFF" w:themeFill="background1"/>
          </w:tcPr>
          <w:p w14:paraId="29E56C52" w14:textId="77777777" w:rsidR="009A0A63" w:rsidRPr="00792B36" w:rsidRDefault="009A0A63" w:rsidP="00A24459">
            <w:pPr>
              <w:rPr>
                <w:rStyle w:val="rynqvb"/>
                <w:rFonts w:ascii="Arial" w:hAnsi="Arial" w:cs="Arial"/>
                <w:b w:val="0"/>
                <w:bCs w:val="0"/>
                <w:sz w:val="24"/>
                <w:szCs w:val="24"/>
              </w:rPr>
            </w:pPr>
            <w:r w:rsidRPr="00792B36">
              <w:rPr>
                <w:rFonts w:ascii="Arial" w:hAnsi="Arial" w:cs="Arial"/>
                <w:b w:val="0"/>
                <w:bCs w:val="0"/>
                <w:sz w:val="24"/>
                <w:szCs w:val="24"/>
              </w:rPr>
              <w:t xml:space="preserve">Protection and Promotion of Ethnic Groups' Way of Life Act B.E. 2568 (2025) </w:t>
            </w:r>
          </w:p>
        </w:tc>
        <w:tc>
          <w:tcPr>
            <w:tcW w:w="6379" w:type="dxa"/>
            <w:shd w:val="clear" w:color="auto" w:fill="FFFFFF" w:themeFill="background1"/>
          </w:tcPr>
          <w:p w14:paraId="61793DFC" w14:textId="77777777" w:rsidR="009A0A63" w:rsidRPr="00792B36" w:rsidRDefault="009A0A63" w:rsidP="00A24459">
            <w:pPr>
              <w:jc w:val="both"/>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4"/>
                <w:szCs w:val="24"/>
                <w:lang w:eastAsia="ja-JP"/>
              </w:rPr>
            </w:pPr>
            <w:r w:rsidRPr="00792B36">
              <w:rPr>
                <w:rFonts w:ascii="Arial" w:eastAsia="Times New Roman" w:hAnsi="Arial" w:cs="Arial"/>
                <w:color w:val="000000"/>
                <w:sz w:val="24"/>
                <w:szCs w:val="24"/>
                <w:lang w:eastAsia="ja-JP"/>
              </w:rPr>
              <w:t>Supports the designation of areas to preserve ethnic cultures, promote sustainable natural resource use, and strengthen communities through traditional knowledge and customs. This approach is highly relevant to marine conservation, especially in coastal areas where ethnic communities rely on and steward marine ecosystems through customary practices.</w:t>
            </w:r>
          </w:p>
        </w:tc>
      </w:tr>
    </w:tbl>
    <w:p w14:paraId="0E59C661" w14:textId="77777777" w:rsidR="009A0A63" w:rsidRPr="00792B36" w:rsidRDefault="009A0A63" w:rsidP="009A0A63">
      <w:pPr>
        <w:rPr>
          <w:sz w:val="24"/>
          <w:szCs w:val="24"/>
        </w:rPr>
      </w:pPr>
    </w:p>
    <w:p w14:paraId="251C36B5" w14:textId="77777777" w:rsidR="009A0A63" w:rsidRPr="00792B36" w:rsidRDefault="009A0A63" w:rsidP="009A0A63">
      <w:pPr>
        <w:spacing w:before="120" w:after="120"/>
        <w:rPr>
          <w:b/>
          <w:bCs/>
          <w:sz w:val="24"/>
          <w:szCs w:val="24"/>
        </w:rPr>
      </w:pPr>
      <w:r w:rsidRPr="00792B36">
        <w:rPr>
          <w:b/>
          <w:bCs/>
          <w:color w:val="EE0000"/>
          <w:sz w:val="24"/>
          <w:szCs w:val="24"/>
        </w:rPr>
        <w:t xml:space="preserve">Annex 12: </w:t>
      </w:r>
      <w:r w:rsidRPr="00792B36">
        <w:rPr>
          <w:b/>
          <w:bCs/>
          <w:sz w:val="24"/>
          <w:szCs w:val="24"/>
        </w:rPr>
        <w:t xml:space="preserve">Policy and plan relevant to marine and coastal resources in Thailand. </w:t>
      </w:r>
    </w:p>
    <w:p w14:paraId="466B8277" w14:textId="77777777" w:rsidR="009A0A63" w:rsidRPr="00792B36" w:rsidRDefault="009A0A63" w:rsidP="009A0A63">
      <w:pPr>
        <w:spacing w:before="120" w:after="120"/>
        <w:rPr>
          <w:b/>
          <w:bCs/>
          <w:sz w:val="24"/>
          <w:szCs w:val="24"/>
        </w:rPr>
      </w:pPr>
    </w:p>
    <w:p w14:paraId="2578D85D" w14:textId="77777777" w:rsidR="009A0A63" w:rsidRPr="00792B36" w:rsidRDefault="009A0A63" w:rsidP="009A0A63">
      <w:pPr>
        <w:spacing w:before="120" w:after="120"/>
        <w:rPr>
          <w:b/>
          <w:bCs/>
          <w:sz w:val="24"/>
          <w:szCs w:val="24"/>
        </w:rPr>
      </w:pPr>
      <w:r w:rsidRPr="00792B36">
        <w:rPr>
          <w:b/>
          <w:bCs/>
          <w:sz w:val="24"/>
          <w:szCs w:val="24"/>
        </w:rPr>
        <w:t>a) Thailand’s 2030 Agenda and Sufficiency Economy Philosophy (SEP)</w:t>
      </w:r>
    </w:p>
    <w:p w14:paraId="2811260D" w14:textId="77777777" w:rsidR="009A0A63" w:rsidRPr="00792B36" w:rsidRDefault="009A0A63" w:rsidP="009A0A63">
      <w:pPr>
        <w:spacing w:before="120" w:after="120"/>
        <w:rPr>
          <w:sz w:val="24"/>
          <w:szCs w:val="24"/>
        </w:rPr>
      </w:pPr>
      <w:r w:rsidRPr="00792B36">
        <w:rPr>
          <w:sz w:val="24"/>
          <w:szCs w:val="24"/>
        </w:rPr>
        <w:lastRenderedPageBreak/>
        <w:t>Thailand’s 2030 Agenda and Sufficiency Economy Philosophy (SEP) are foundational to the country’s sustainable development efforts. Every government agency is required to integrate SEP into its missions, plans, and policies, thereby promoting a sustainable development approach. The Agenda includes 5 goals and 18 targets directly related to biodiversity management, ranking them among the top 30 national priorities.</w:t>
      </w:r>
    </w:p>
    <w:p w14:paraId="34ED9864" w14:textId="77777777" w:rsidR="009A0A63" w:rsidRPr="00792B36" w:rsidRDefault="009A0A63" w:rsidP="009A0A63">
      <w:pPr>
        <w:spacing w:before="120" w:after="120"/>
        <w:rPr>
          <w:b/>
          <w:bCs/>
          <w:sz w:val="24"/>
          <w:szCs w:val="24"/>
        </w:rPr>
      </w:pPr>
      <w:r w:rsidRPr="00792B36">
        <w:rPr>
          <w:b/>
          <w:bCs/>
          <w:sz w:val="24"/>
          <w:szCs w:val="24"/>
        </w:rPr>
        <w:t>b) The 20-Year National Strategy (2017-2036)</w:t>
      </w:r>
    </w:p>
    <w:p w14:paraId="19FBFBBD" w14:textId="77777777" w:rsidR="009A0A63" w:rsidRPr="00792B36" w:rsidRDefault="009A0A63" w:rsidP="009A0A63">
      <w:pPr>
        <w:spacing w:before="120" w:after="120"/>
        <w:rPr>
          <w:sz w:val="24"/>
          <w:szCs w:val="24"/>
        </w:rPr>
      </w:pPr>
      <w:r w:rsidRPr="00792B36">
        <w:rPr>
          <w:sz w:val="24"/>
          <w:szCs w:val="24"/>
        </w:rPr>
        <w:t>The 20-Year National Strategy (2017-2036) is Thailand's first long-term national strategy, aimed at securing the country’s sustainability, prosperity, and security in line with SEP. Strategy 5: Eco-Friendly Development and Growth focuses on the conservation and preservation of natural resources and the environment, while promoting balanced utilization and sustainable economic growth.</w:t>
      </w:r>
    </w:p>
    <w:p w14:paraId="72F5391B" w14:textId="77777777" w:rsidR="009A0A63" w:rsidRPr="00792B36" w:rsidRDefault="009A0A63" w:rsidP="009A0A63">
      <w:pPr>
        <w:spacing w:before="120" w:after="120"/>
        <w:rPr>
          <w:b/>
          <w:bCs/>
          <w:sz w:val="24"/>
          <w:szCs w:val="24"/>
        </w:rPr>
      </w:pPr>
      <w:r w:rsidRPr="00792B36">
        <w:rPr>
          <w:b/>
          <w:bCs/>
          <w:sz w:val="24"/>
          <w:szCs w:val="24"/>
        </w:rPr>
        <w:t>c) The 13th National Economic and Social Development Plan (NESDP: 2023-2027)</w:t>
      </w:r>
    </w:p>
    <w:p w14:paraId="449CAA88" w14:textId="77777777" w:rsidR="009A0A63" w:rsidRPr="00792B36" w:rsidRDefault="009A0A63" w:rsidP="009A0A63">
      <w:pPr>
        <w:spacing w:before="120" w:after="120"/>
        <w:rPr>
          <w:sz w:val="24"/>
          <w:szCs w:val="24"/>
        </w:rPr>
      </w:pPr>
      <w:r w:rsidRPr="00792B36">
        <w:rPr>
          <w:sz w:val="24"/>
          <w:szCs w:val="24"/>
        </w:rPr>
        <w:t>Aligned with the 20-Year National Strategy, the NESDP (2023-2027) is a medium-term development framework for Thailand. It incorporates the SDGs, resilience, and SEP, focusing on structural reforms, policy adjustments, and mechanisms to create a society that nurtures human potential while keeping pace with global dynamics. The NESDP comprises thirteen benchmarks, categorized into four areas:</w:t>
      </w:r>
    </w:p>
    <w:p w14:paraId="494708A2" w14:textId="77777777" w:rsidR="009A0A63" w:rsidRPr="00792B36" w:rsidRDefault="009A0A63" w:rsidP="00F61B37">
      <w:pPr>
        <w:widowControl/>
        <w:numPr>
          <w:ilvl w:val="0"/>
          <w:numId w:val="127"/>
        </w:numPr>
        <w:spacing w:before="120" w:after="120"/>
        <w:rPr>
          <w:sz w:val="24"/>
          <w:szCs w:val="24"/>
        </w:rPr>
      </w:pPr>
      <w:r w:rsidRPr="00792B36">
        <w:rPr>
          <w:sz w:val="24"/>
          <w:szCs w:val="24"/>
        </w:rPr>
        <w:t>Production and service sectors.</w:t>
      </w:r>
    </w:p>
    <w:p w14:paraId="452317E7" w14:textId="77777777" w:rsidR="009A0A63" w:rsidRPr="00792B36" w:rsidRDefault="009A0A63" w:rsidP="00F61B37">
      <w:pPr>
        <w:widowControl/>
        <w:numPr>
          <w:ilvl w:val="0"/>
          <w:numId w:val="127"/>
        </w:numPr>
        <w:spacing w:before="120" w:after="120"/>
        <w:rPr>
          <w:sz w:val="24"/>
          <w:szCs w:val="24"/>
        </w:rPr>
      </w:pPr>
      <w:r w:rsidRPr="00792B36">
        <w:rPr>
          <w:sz w:val="24"/>
          <w:szCs w:val="24"/>
        </w:rPr>
        <w:t>Economic and social opportunity and equality.</w:t>
      </w:r>
    </w:p>
    <w:p w14:paraId="6E58C5B8" w14:textId="77777777" w:rsidR="009A0A63" w:rsidRPr="00792B36" w:rsidRDefault="009A0A63" w:rsidP="00F61B37">
      <w:pPr>
        <w:widowControl/>
        <w:numPr>
          <w:ilvl w:val="0"/>
          <w:numId w:val="127"/>
        </w:numPr>
        <w:spacing w:before="120" w:after="120"/>
        <w:rPr>
          <w:sz w:val="24"/>
          <w:szCs w:val="24"/>
        </w:rPr>
      </w:pPr>
      <w:r w:rsidRPr="00792B36">
        <w:rPr>
          <w:sz w:val="24"/>
          <w:szCs w:val="24"/>
        </w:rPr>
        <w:t>Environmental sustainability and natural resource management.</w:t>
      </w:r>
    </w:p>
    <w:p w14:paraId="5EA604A6" w14:textId="77777777" w:rsidR="009A0A63" w:rsidRPr="00792B36" w:rsidRDefault="009A0A63" w:rsidP="00F61B37">
      <w:pPr>
        <w:widowControl/>
        <w:numPr>
          <w:ilvl w:val="0"/>
          <w:numId w:val="127"/>
        </w:numPr>
        <w:spacing w:before="120" w:after="120"/>
        <w:rPr>
          <w:sz w:val="24"/>
          <w:szCs w:val="24"/>
        </w:rPr>
      </w:pPr>
      <w:r w:rsidRPr="00792B36">
        <w:rPr>
          <w:sz w:val="24"/>
          <w:szCs w:val="24"/>
        </w:rPr>
        <w:t>National transformation, supported by capable human resources and effective governance.</w:t>
      </w:r>
    </w:p>
    <w:p w14:paraId="220D4839" w14:textId="77777777" w:rsidR="009A0A63" w:rsidRPr="00792B36" w:rsidRDefault="009A0A63" w:rsidP="009A0A63">
      <w:pPr>
        <w:spacing w:before="120" w:after="120"/>
        <w:rPr>
          <w:sz w:val="24"/>
          <w:szCs w:val="24"/>
        </w:rPr>
      </w:pPr>
      <w:r w:rsidRPr="00792B36">
        <w:rPr>
          <w:sz w:val="24"/>
          <w:szCs w:val="24"/>
        </w:rPr>
        <w:t>Milestones related to biodiversity and sustainability include:</w:t>
      </w:r>
    </w:p>
    <w:p w14:paraId="7298661B" w14:textId="77777777" w:rsidR="009A0A63" w:rsidRPr="00792B36" w:rsidRDefault="009A0A63" w:rsidP="00F61B37">
      <w:pPr>
        <w:widowControl/>
        <w:numPr>
          <w:ilvl w:val="0"/>
          <w:numId w:val="128"/>
        </w:numPr>
        <w:spacing w:before="120" w:after="120"/>
        <w:rPr>
          <w:sz w:val="24"/>
          <w:szCs w:val="24"/>
        </w:rPr>
      </w:pPr>
      <w:r w:rsidRPr="00792B36">
        <w:rPr>
          <w:sz w:val="24"/>
          <w:szCs w:val="24"/>
        </w:rPr>
        <w:t>Establishing Thailand as a sustainable tourism destination.</w:t>
      </w:r>
    </w:p>
    <w:p w14:paraId="5B920AE0" w14:textId="77777777" w:rsidR="009A0A63" w:rsidRPr="00792B36" w:rsidRDefault="009A0A63" w:rsidP="00F61B37">
      <w:pPr>
        <w:widowControl/>
        <w:numPr>
          <w:ilvl w:val="0"/>
          <w:numId w:val="128"/>
        </w:numPr>
        <w:spacing w:before="120" w:after="120"/>
        <w:rPr>
          <w:sz w:val="24"/>
          <w:szCs w:val="24"/>
        </w:rPr>
      </w:pPr>
      <w:r w:rsidRPr="00792B36">
        <w:rPr>
          <w:sz w:val="24"/>
          <w:szCs w:val="24"/>
        </w:rPr>
        <w:t>Transitioning to a low-carbon society with a circular economy.</w:t>
      </w:r>
    </w:p>
    <w:p w14:paraId="0CB810F7" w14:textId="77777777" w:rsidR="009A0A63" w:rsidRPr="00792B36" w:rsidRDefault="009A0A63" w:rsidP="00F61B37">
      <w:pPr>
        <w:widowControl/>
        <w:numPr>
          <w:ilvl w:val="0"/>
          <w:numId w:val="128"/>
        </w:numPr>
        <w:spacing w:before="120" w:after="120"/>
        <w:rPr>
          <w:sz w:val="24"/>
          <w:szCs w:val="24"/>
        </w:rPr>
      </w:pPr>
      <w:r w:rsidRPr="00792B36">
        <w:rPr>
          <w:sz w:val="24"/>
          <w:szCs w:val="24"/>
        </w:rPr>
        <w:t>Reducing vulnerability to natural disasters and climate change.</w:t>
      </w:r>
    </w:p>
    <w:p w14:paraId="0C6F8231" w14:textId="77777777" w:rsidR="009A0A63" w:rsidRPr="00792B36" w:rsidRDefault="009A0A63" w:rsidP="009A0A63">
      <w:pPr>
        <w:spacing w:before="120" w:after="120"/>
        <w:rPr>
          <w:b/>
          <w:bCs/>
          <w:sz w:val="24"/>
          <w:szCs w:val="24"/>
        </w:rPr>
      </w:pPr>
      <w:r w:rsidRPr="00792B36">
        <w:rPr>
          <w:b/>
          <w:bCs/>
          <w:sz w:val="24"/>
          <w:szCs w:val="24"/>
        </w:rPr>
        <w:t>d) The National Environmental Quality Management Plan (2023-2027)</w:t>
      </w:r>
    </w:p>
    <w:p w14:paraId="2CE23698" w14:textId="77777777" w:rsidR="009A0A63" w:rsidRPr="00792B36" w:rsidRDefault="009A0A63" w:rsidP="009A0A63">
      <w:pPr>
        <w:spacing w:before="120" w:after="120"/>
        <w:rPr>
          <w:sz w:val="24"/>
          <w:szCs w:val="24"/>
        </w:rPr>
      </w:pPr>
      <w:r w:rsidRPr="00792B36">
        <w:rPr>
          <w:sz w:val="24"/>
          <w:szCs w:val="24"/>
        </w:rPr>
        <w:t>Similar to the NESDP, Thailand’s Environmental Quality Management Plan (2023-2027) aims to establish an environmentally friendly society by conserving, restoring, and utilizing natural resources equitably. The Royal Gazette (2021) published this five-year plan, which outlines twelve guiding principles for environmental and resource regulation, including:</w:t>
      </w:r>
    </w:p>
    <w:p w14:paraId="7D551FCF" w14:textId="77777777" w:rsidR="009A0A63" w:rsidRPr="00792B36" w:rsidRDefault="009A0A63" w:rsidP="00F61B37">
      <w:pPr>
        <w:widowControl/>
        <w:numPr>
          <w:ilvl w:val="0"/>
          <w:numId w:val="129"/>
        </w:numPr>
        <w:spacing w:before="120" w:after="120"/>
        <w:rPr>
          <w:sz w:val="24"/>
          <w:szCs w:val="24"/>
        </w:rPr>
      </w:pPr>
      <w:r w:rsidRPr="00792B36">
        <w:rPr>
          <w:sz w:val="24"/>
          <w:szCs w:val="24"/>
        </w:rPr>
        <w:t>Sustainable development.</w:t>
      </w:r>
    </w:p>
    <w:p w14:paraId="45B24A0D" w14:textId="77777777" w:rsidR="009A0A63" w:rsidRPr="00792B36" w:rsidRDefault="009A0A63" w:rsidP="00F61B37">
      <w:pPr>
        <w:widowControl/>
        <w:numPr>
          <w:ilvl w:val="0"/>
          <w:numId w:val="129"/>
        </w:numPr>
        <w:spacing w:before="120" w:after="120"/>
        <w:rPr>
          <w:sz w:val="24"/>
          <w:szCs w:val="24"/>
        </w:rPr>
      </w:pPr>
      <w:r w:rsidRPr="00792B36">
        <w:rPr>
          <w:sz w:val="24"/>
          <w:szCs w:val="24"/>
        </w:rPr>
        <w:t>Ecosystem approach.</w:t>
      </w:r>
    </w:p>
    <w:p w14:paraId="63CFA651" w14:textId="77777777" w:rsidR="009A0A63" w:rsidRPr="00792B36" w:rsidRDefault="009A0A63" w:rsidP="00F61B37">
      <w:pPr>
        <w:widowControl/>
        <w:numPr>
          <w:ilvl w:val="0"/>
          <w:numId w:val="129"/>
        </w:numPr>
        <w:spacing w:before="120" w:after="120"/>
        <w:rPr>
          <w:sz w:val="24"/>
          <w:szCs w:val="24"/>
        </w:rPr>
      </w:pPr>
      <w:r w:rsidRPr="00792B36">
        <w:rPr>
          <w:sz w:val="24"/>
          <w:szCs w:val="24"/>
        </w:rPr>
        <w:t>Precautionary principle.</w:t>
      </w:r>
    </w:p>
    <w:p w14:paraId="302C6A36" w14:textId="77777777" w:rsidR="009A0A63" w:rsidRPr="00792B36" w:rsidRDefault="009A0A63" w:rsidP="00F61B37">
      <w:pPr>
        <w:widowControl/>
        <w:numPr>
          <w:ilvl w:val="0"/>
          <w:numId w:val="129"/>
        </w:numPr>
        <w:spacing w:before="120" w:after="120"/>
        <w:rPr>
          <w:sz w:val="24"/>
          <w:szCs w:val="24"/>
        </w:rPr>
      </w:pPr>
      <w:r w:rsidRPr="00792B36">
        <w:rPr>
          <w:sz w:val="24"/>
          <w:szCs w:val="24"/>
        </w:rPr>
        <w:t>Extended producer responsibility.</w:t>
      </w:r>
    </w:p>
    <w:p w14:paraId="32F36BF7" w14:textId="77777777" w:rsidR="009A0A63" w:rsidRPr="00792B36" w:rsidRDefault="009A0A63" w:rsidP="00F61B37">
      <w:pPr>
        <w:widowControl/>
        <w:numPr>
          <w:ilvl w:val="0"/>
          <w:numId w:val="129"/>
        </w:numPr>
        <w:spacing w:before="120" w:after="120"/>
        <w:rPr>
          <w:sz w:val="24"/>
          <w:szCs w:val="24"/>
        </w:rPr>
      </w:pPr>
      <w:r w:rsidRPr="00792B36">
        <w:rPr>
          <w:sz w:val="24"/>
          <w:szCs w:val="24"/>
        </w:rPr>
        <w:t>Polluters pay principle.</w:t>
      </w:r>
    </w:p>
    <w:p w14:paraId="3F81AE1C" w14:textId="77777777" w:rsidR="009A0A63" w:rsidRPr="00792B36" w:rsidRDefault="009A0A63" w:rsidP="00F61B37">
      <w:pPr>
        <w:widowControl/>
        <w:numPr>
          <w:ilvl w:val="0"/>
          <w:numId w:val="129"/>
        </w:numPr>
        <w:spacing w:before="120" w:after="120"/>
        <w:rPr>
          <w:sz w:val="24"/>
          <w:szCs w:val="24"/>
        </w:rPr>
      </w:pPr>
      <w:r w:rsidRPr="00792B36">
        <w:rPr>
          <w:sz w:val="24"/>
          <w:szCs w:val="24"/>
        </w:rPr>
        <w:t>Beneficiaries pay principle.</w:t>
      </w:r>
    </w:p>
    <w:p w14:paraId="6D0137AB" w14:textId="77777777" w:rsidR="009A0A63" w:rsidRPr="00792B36" w:rsidRDefault="009A0A63" w:rsidP="00F61B37">
      <w:pPr>
        <w:widowControl/>
        <w:numPr>
          <w:ilvl w:val="0"/>
          <w:numId w:val="129"/>
        </w:numPr>
        <w:spacing w:before="120" w:after="120"/>
        <w:rPr>
          <w:sz w:val="24"/>
          <w:szCs w:val="24"/>
        </w:rPr>
      </w:pPr>
      <w:r w:rsidRPr="00792B36">
        <w:rPr>
          <w:sz w:val="24"/>
          <w:szCs w:val="24"/>
        </w:rPr>
        <w:t>Public-private partnerships.</w:t>
      </w:r>
    </w:p>
    <w:p w14:paraId="62C1909B" w14:textId="77777777" w:rsidR="009A0A63" w:rsidRPr="00792B36" w:rsidRDefault="009A0A63" w:rsidP="00F61B37">
      <w:pPr>
        <w:widowControl/>
        <w:numPr>
          <w:ilvl w:val="0"/>
          <w:numId w:val="129"/>
        </w:numPr>
        <w:spacing w:before="120" w:after="120"/>
        <w:rPr>
          <w:sz w:val="24"/>
          <w:szCs w:val="24"/>
        </w:rPr>
      </w:pPr>
      <w:r w:rsidRPr="00792B36">
        <w:rPr>
          <w:sz w:val="24"/>
          <w:szCs w:val="24"/>
        </w:rPr>
        <w:lastRenderedPageBreak/>
        <w:t>Resource efficiency.</w:t>
      </w:r>
    </w:p>
    <w:p w14:paraId="36D58352" w14:textId="77777777" w:rsidR="009A0A63" w:rsidRPr="00792B36" w:rsidRDefault="009A0A63" w:rsidP="00F61B37">
      <w:pPr>
        <w:widowControl/>
        <w:numPr>
          <w:ilvl w:val="0"/>
          <w:numId w:val="129"/>
        </w:numPr>
        <w:spacing w:before="120" w:after="120"/>
        <w:rPr>
          <w:sz w:val="24"/>
          <w:szCs w:val="24"/>
        </w:rPr>
      </w:pPr>
      <w:r w:rsidRPr="00792B36">
        <w:rPr>
          <w:sz w:val="24"/>
          <w:szCs w:val="24"/>
        </w:rPr>
        <w:t>Good governance.</w:t>
      </w:r>
    </w:p>
    <w:p w14:paraId="381BA1AE" w14:textId="77777777" w:rsidR="009A0A63" w:rsidRPr="00792B36" w:rsidRDefault="009A0A63" w:rsidP="00F61B37">
      <w:pPr>
        <w:widowControl/>
        <w:numPr>
          <w:ilvl w:val="0"/>
          <w:numId w:val="129"/>
        </w:numPr>
        <w:spacing w:before="120" w:after="120"/>
        <w:rPr>
          <w:sz w:val="24"/>
          <w:szCs w:val="24"/>
        </w:rPr>
      </w:pPr>
      <w:r w:rsidRPr="00792B36">
        <w:rPr>
          <w:sz w:val="24"/>
          <w:szCs w:val="24"/>
        </w:rPr>
        <w:t>Human rights.</w:t>
      </w:r>
    </w:p>
    <w:p w14:paraId="17164F3A" w14:textId="77777777" w:rsidR="009A0A63" w:rsidRPr="00792B36" w:rsidRDefault="009A0A63" w:rsidP="00F61B37">
      <w:pPr>
        <w:widowControl/>
        <w:numPr>
          <w:ilvl w:val="0"/>
          <w:numId w:val="129"/>
        </w:numPr>
        <w:spacing w:before="120" w:after="120"/>
        <w:rPr>
          <w:sz w:val="24"/>
          <w:szCs w:val="24"/>
        </w:rPr>
      </w:pPr>
      <w:r w:rsidRPr="00792B36">
        <w:rPr>
          <w:sz w:val="24"/>
          <w:szCs w:val="24"/>
        </w:rPr>
        <w:t>Integration.</w:t>
      </w:r>
    </w:p>
    <w:p w14:paraId="4DEA34B1" w14:textId="77777777" w:rsidR="009A0A63" w:rsidRPr="00792B36" w:rsidRDefault="009A0A63" w:rsidP="00F61B37">
      <w:pPr>
        <w:widowControl/>
        <w:numPr>
          <w:ilvl w:val="0"/>
          <w:numId w:val="129"/>
        </w:numPr>
        <w:spacing w:before="120" w:after="120"/>
        <w:rPr>
          <w:sz w:val="24"/>
          <w:szCs w:val="24"/>
        </w:rPr>
      </w:pPr>
      <w:r w:rsidRPr="00792B36">
        <w:rPr>
          <w:sz w:val="24"/>
          <w:szCs w:val="24"/>
        </w:rPr>
        <w:t>Environmental justice.</w:t>
      </w:r>
    </w:p>
    <w:p w14:paraId="2CF4553A" w14:textId="77777777" w:rsidR="009A0A63" w:rsidRPr="00792B36" w:rsidRDefault="009A0A63" w:rsidP="009A0A63">
      <w:pPr>
        <w:spacing w:before="120" w:after="120"/>
        <w:rPr>
          <w:sz w:val="24"/>
          <w:szCs w:val="24"/>
        </w:rPr>
      </w:pPr>
      <w:r w:rsidRPr="00792B36">
        <w:rPr>
          <w:sz w:val="24"/>
          <w:szCs w:val="24"/>
        </w:rPr>
        <w:t>The plan also promotes five strategic goals to optimize sustainable marine resource use, including:</w:t>
      </w:r>
    </w:p>
    <w:p w14:paraId="34764D44" w14:textId="77777777" w:rsidR="009A0A63" w:rsidRPr="00792B36" w:rsidRDefault="009A0A63" w:rsidP="00F61B37">
      <w:pPr>
        <w:widowControl/>
        <w:numPr>
          <w:ilvl w:val="0"/>
          <w:numId w:val="130"/>
        </w:numPr>
        <w:spacing w:before="120" w:after="120"/>
        <w:rPr>
          <w:sz w:val="24"/>
          <w:szCs w:val="24"/>
        </w:rPr>
      </w:pPr>
      <w:r w:rsidRPr="00792B36">
        <w:rPr>
          <w:sz w:val="24"/>
          <w:szCs w:val="24"/>
        </w:rPr>
        <w:t>Managing biodiversity and terrestrial resources to maintain balance.</w:t>
      </w:r>
    </w:p>
    <w:p w14:paraId="397EF036" w14:textId="77777777" w:rsidR="009A0A63" w:rsidRPr="00792B36" w:rsidRDefault="009A0A63" w:rsidP="00F61B37">
      <w:pPr>
        <w:widowControl/>
        <w:numPr>
          <w:ilvl w:val="0"/>
          <w:numId w:val="130"/>
        </w:numPr>
        <w:spacing w:before="120" w:after="120"/>
        <w:rPr>
          <w:sz w:val="24"/>
          <w:szCs w:val="24"/>
        </w:rPr>
      </w:pPr>
      <w:r w:rsidRPr="00792B36">
        <w:rPr>
          <w:sz w:val="24"/>
          <w:szCs w:val="24"/>
        </w:rPr>
        <w:t>Restoring and conserving marine ecosystems.</w:t>
      </w:r>
    </w:p>
    <w:p w14:paraId="55D21E88" w14:textId="77777777" w:rsidR="009A0A63" w:rsidRPr="00792B36" w:rsidRDefault="009A0A63" w:rsidP="00F61B37">
      <w:pPr>
        <w:widowControl/>
        <w:numPr>
          <w:ilvl w:val="0"/>
          <w:numId w:val="130"/>
        </w:numPr>
        <w:spacing w:before="120" w:after="120"/>
        <w:rPr>
          <w:sz w:val="24"/>
          <w:szCs w:val="24"/>
        </w:rPr>
      </w:pPr>
      <w:r w:rsidRPr="00792B36">
        <w:rPr>
          <w:sz w:val="24"/>
          <w:szCs w:val="24"/>
        </w:rPr>
        <w:t>Establishing a climate-friendly society.</w:t>
      </w:r>
    </w:p>
    <w:p w14:paraId="78EA3C37" w14:textId="77777777" w:rsidR="009A0A63" w:rsidRPr="00792B36" w:rsidRDefault="009A0A63" w:rsidP="00F61B37">
      <w:pPr>
        <w:widowControl/>
        <w:numPr>
          <w:ilvl w:val="0"/>
          <w:numId w:val="130"/>
        </w:numPr>
        <w:spacing w:before="120" w:after="120"/>
        <w:rPr>
          <w:sz w:val="24"/>
          <w:szCs w:val="24"/>
        </w:rPr>
      </w:pPr>
      <w:r w:rsidRPr="00792B36">
        <w:rPr>
          <w:sz w:val="24"/>
          <w:szCs w:val="24"/>
        </w:rPr>
        <w:t>Controlling urban pollution.</w:t>
      </w:r>
    </w:p>
    <w:p w14:paraId="4D151100" w14:textId="77777777" w:rsidR="009A0A63" w:rsidRPr="00792B36" w:rsidRDefault="009A0A63" w:rsidP="00F61B37">
      <w:pPr>
        <w:widowControl/>
        <w:numPr>
          <w:ilvl w:val="0"/>
          <w:numId w:val="130"/>
        </w:numPr>
        <w:spacing w:before="120" w:after="120"/>
        <w:rPr>
          <w:sz w:val="24"/>
          <w:szCs w:val="24"/>
        </w:rPr>
      </w:pPr>
      <w:r w:rsidRPr="00792B36">
        <w:rPr>
          <w:sz w:val="24"/>
          <w:szCs w:val="24"/>
        </w:rPr>
        <w:t>Modernizing natural resource management practices.</w:t>
      </w:r>
    </w:p>
    <w:p w14:paraId="3C3A12FA" w14:textId="77777777" w:rsidR="009A0A63" w:rsidRPr="00792B36" w:rsidRDefault="009A0A63" w:rsidP="009A0A63">
      <w:pPr>
        <w:spacing w:before="120" w:after="120"/>
        <w:rPr>
          <w:b/>
          <w:bCs/>
          <w:sz w:val="24"/>
          <w:szCs w:val="24"/>
        </w:rPr>
      </w:pPr>
      <w:r w:rsidRPr="00792B36">
        <w:rPr>
          <w:b/>
          <w:bCs/>
          <w:sz w:val="24"/>
          <w:szCs w:val="24"/>
        </w:rPr>
        <w:t>e) The Climate Change Master Plan (2015-2050)</w:t>
      </w:r>
    </w:p>
    <w:p w14:paraId="1AF6E2D4" w14:textId="77777777" w:rsidR="009A0A63" w:rsidRPr="00792B36" w:rsidRDefault="009A0A63" w:rsidP="009A0A63">
      <w:pPr>
        <w:spacing w:before="120" w:after="120"/>
        <w:rPr>
          <w:sz w:val="24"/>
          <w:szCs w:val="24"/>
        </w:rPr>
      </w:pPr>
      <w:r w:rsidRPr="00792B36">
        <w:rPr>
          <w:sz w:val="24"/>
          <w:szCs w:val="24"/>
        </w:rPr>
        <w:t>The Climate Change Master Plan (2015-2050) addresses critical climate change issues, focusing on adaptation, reducing emissions, and promoting low-emission growth. It includes three main areas of action:</w:t>
      </w:r>
    </w:p>
    <w:p w14:paraId="0C68A8F9" w14:textId="77777777" w:rsidR="009A0A63" w:rsidRPr="00792B36" w:rsidRDefault="009A0A63" w:rsidP="00F61B37">
      <w:pPr>
        <w:widowControl/>
        <w:numPr>
          <w:ilvl w:val="0"/>
          <w:numId w:val="131"/>
        </w:numPr>
        <w:spacing w:before="120" w:after="120"/>
        <w:rPr>
          <w:sz w:val="24"/>
          <w:szCs w:val="24"/>
        </w:rPr>
      </w:pPr>
      <w:r w:rsidRPr="00792B36">
        <w:rPr>
          <w:sz w:val="24"/>
          <w:szCs w:val="24"/>
        </w:rPr>
        <w:t>Adapting to the impacts of climate change.</w:t>
      </w:r>
    </w:p>
    <w:p w14:paraId="262716A6" w14:textId="77777777" w:rsidR="009A0A63" w:rsidRPr="00792B36" w:rsidRDefault="009A0A63" w:rsidP="00F61B37">
      <w:pPr>
        <w:widowControl/>
        <w:numPr>
          <w:ilvl w:val="0"/>
          <w:numId w:val="131"/>
        </w:numPr>
        <w:spacing w:before="120" w:after="120"/>
        <w:rPr>
          <w:sz w:val="24"/>
          <w:szCs w:val="24"/>
        </w:rPr>
      </w:pPr>
      <w:r w:rsidRPr="00792B36">
        <w:rPr>
          <w:sz w:val="24"/>
          <w:szCs w:val="24"/>
        </w:rPr>
        <w:t>Reducing greenhouse gas emissions and promoting low-carbon growth.</w:t>
      </w:r>
    </w:p>
    <w:p w14:paraId="449CAF01" w14:textId="77777777" w:rsidR="009A0A63" w:rsidRPr="00792B36" w:rsidRDefault="009A0A63" w:rsidP="00F61B37">
      <w:pPr>
        <w:widowControl/>
        <w:numPr>
          <w:ilvl w:val="0"/>
          <w:numId w:val="131"/>
        </w:numPr>
        <w:spacing w:before="120" w:after="120"/>
        <w:rPr>
          <w:sz w:val="24"/>
          <w:szCs w:val="24"/>
        </w:rPr>
      </w:pPr>
      <w:r w:rsidRPr="00792B36">
        <w:rPr>
          <w:sz w:val="24"/>
          <w:szCs w:val="24"/>
        </w:rPr>
        <w:t>Building institutional capacity.</w:t>
      </w:r>
    </w:p>
    <w:p w14:paraId="49F284E4" w14:textId="77777777" w:rsidR="009A0A63" w:rsidRPr="00792B36" w:rsidRDefault="009A0A63" w:rsidP="009A0A63">
      <w:pPr>
        <w:spacing w:before="120" w:after="120"/>
        <w:rPr>
          <w:sz w:val="24"/>
          <w:szCs w:val="24"/>
        </w:rPr>
      </w:pPr>
      <w:r w:rsidRPr="00792B36">
        <w:rPr>
          <w:sz w:val="24"/>
          <w:szCs w:val="24"/>
        </w:rPr>
        <w:t>The plan proposes measures to mitigate coastal erosion, including changes to coastal land use patterns and expanding biodiversity conservation areas as part of short- and medium-term goals.</w:t>
      </w:r>
    </w:p>
    <w:p w14:paraId="77E0FC43" w14:textId="77777777" w:rsidR="009A0A63" w:rsidRPr="00792B36" w:rsidRDefault="009A0A63" w:rsidP="009A0A63">
      <w:pPr>
        <w:spacing w:before="120" w:after="120"/>
        <w:rPr>
          <w:b/>
          <w:bCs/>
          <w:sz w:val="24"/>
          <w:szCs w:val="24"/>
        </w:rPr>
      </w:pPr>
      <w:r w:rsidRPr="00792B36">
        <w:rPr>
          <w:b/>
          <w:bCs/>
          <w:sz w:val="24"/>
          <w:szCs w:val="24"/>
        </w:rPr>
        <w:t>f) Thailand’s National Adaptation Plan (NAP)</w:t>
      </w:r>
    </w:p>
    <w:p w14:paraId="0D3A8397" w14:textId="77777777" w:rsidR="009A0A63" w:rsidRPr="00792B36" w:rsidRDefault="009A0A63" w:rsidP="009A0A63">
      <w:pPr>
        <w:spacing w:before="120" w:after="120"/>
        <w:rPr>
          <w:sz w:val="24"/>
          <w:szCs w:val="24"/>
        </w:rPr>
      </w:pPr>
      <w:r w:rsidRPr="00792B36">
        <w:rPr>
          <w:sz w:val="24"/>
          <w:szCs w:val="24"/>
        </w:rPr>
        <w:t xml:space="preserve">Thailand’s National Adaptation Plan (NAP) provides a framework for climate change adaptation, aiming to build resilience, reduce vulnerabilities, and increase adaptive capacity. The NAP aligns with Thailand’s broader national frameworks, including the National Strategy </w:t>
      </w:r>
      <w:r w:rsidRPr="00792B36">
        <w:rPr>
          <w:sz w:val="24"/>
          <w:szCs w:val="24"/>
          <w:cs/>
        </w:rPr>
        <w:t>(</w:t>
      </w:r>
      <w:r w:rsidRPr="00792B36">
        <w:rPr>
          <w:sz w:val="24"/>
          <w:szCs w:val="24"/>
        </w:rPr>
        <w:t>2018</w:t>
      </w:r>
      <w:r w:rsidRPr="00792B36">
        <w:rPr>
          <w:sz w:val="24"/>
          <w:szCs w:val="24"/>
          <w:cs/>
        </w:rPr>
        <w:t>-</w:t>
      </w:r>
      <w:r w:rsidRPr="00792B36">
        <w:rPr>
          <w:sz w:val="24"/>
          <w:szCs w:val="24"/>
        </w:rPr>
        <w:t>2037</w:t>
      </w:r>
      <w:r w:rsidRPr="00792B36">
        <w:rPr>
          <w:sz w:val="24"/>
          <w:szCs w:val="24"/>
          <w:cs/>
        </w:rPr>
        <w:t>)</w:t>
      </w:r>
      <w:r w:rsidRPr="00792B36">
        <w:rPr>
          <w:sz w:val="24"/>
          <w:szCs w:val="24"/>
        </w:rPr>
        <w:t xml:space="preserve">, the Master Plan under the National Strategy, the National Economic and Social Development Plans, and the Climate Change Master Plan </w:t>
      </w:r>
      <w:r w:rsidRPr="00792B36">
        <w:rPr>
          <w:sz w:val="24"/>
          <w:szCs w:val="24"/>
          <w:cs/>
        </w:rPr>
        <w:t>(</w:t>
      </w:r>
      <w:r w:rsidRPr="00792B36">
        <w:rPr>
          <w:sz w:val="24"/>
          <w:szCs w:val="24"/>
        </w:rPr>
        <w:t>2015</w:t>
      </w:r>
      <w:r w:rsidRPr="00792B36">
        <w:rPr>
          <w:sz w:val="24"/>
          <w:szCs w:val="24"/>
          <w:cs/>
        </w:rPr>
        <w:t>-</w:t>
      </w:r>
      <w:r w:rsidRPr="00792B36">
        <w:rPr>
          <w:sz w:val="24"/>
          <w:szCs w:val="24"/>
        </w:rPr>
        <w:t>2050</w:t>
      </w:r>
      <w:r w:rsidRPr="00792B36">
        <w:rPr>
          <w:sz w:val="24"/>
          <w:szCs w:val="24"/>
          <w:cs/>
        </w:rPr>
        <w:t xml:space="preserve">). </w:t>
      </w:r>
      <w:r w:rsidRPr="00792B36">
        <w:rPr>
          <w:sz w:val="24"/>
          <w:szCs w:val="24"/>
        </w:rPr>
        <w:t xml:space="preserve"> It addresses six key sectors: 1) Water resource management; 2) Agriculture and food security; 3) Tourism; 4) Public health; 5) Natural resource management; and 6) Human settlements and security.</w:t>
      </w:r>
    </w:p>
    <w:p w14:paraId="18D6E4E4" w14:textId="77777777" w:rsidR="009A0A63" w:rsidRPr="00792B36" w:rsidRDefault="009A0A63" w:rsidP="009A0A63">
      <w:pPr>
        <w:spacing w:before="120" w:after="120"/>
        <w:rPr>
          <w:sz w:val="24"/>
          <w:szCs w:val="24"/>
        </w:rPr>
      </w:pPr>
      <w:r w:rsidRPr="00792B36">
        <w:rPr>
          <w:sz w:val="24"/>
          <w:szCs w:val="24"/>
        </w:rPr>
        <w:t>The NAP employs strategies to enhance resilience across these sectors, ensuring alignment with sustainable development principles.</w:t>
      </w:r>
    </w:p>
    <w:p w14:paraId="0717B8AD" w14:textId="77777777" w:rsidR="009A0A63" w:rsidRPr="00792B36" w:rsidRDefault="009A0A63" w:rsidP="009A0A63">
      <w:pPr>
        <w:shd w:val="clear" w:color="auto" w:fill="FFFFFF"/>
        <w:spacing w:before="120" w:after="120"/>
        <w:jc w:val="both"/>
        <w:rPr>
          <w:rFonts w:eastAsia="Verdana"/>
          <w:sz w:val="24"/>
          <w:szCs w:val="24"/>
        </w:rPr>
      </w:pPr>
      <w:r w:rsidRPr="00792B36">
        <w:rPr>
          <w:rFonts w:eastAsia="Verdana"/>
          <w:sz w:val="24"/>
          <w:szCs w:val="24"/>
        </w:rPr>
        <w:t>Thailand's National Adaptation Plan (NAP) presents several different areas of focus that interact with coastal communities and sustain the health of these communities in the face of climate change (</w:t>
      </w:r>
      <w:r w:rsidRPr="00792B36">
        <w:rPr>
          <w:sz w:val="24"/>
          <w:szCs w:val="24"/>
        </w:rPr>
        <w:t>Department of Climate Change and Environment</w:t>
      </w:r>
      <w:r w:rsidRPr="00792B36">
        <w:rPr>
          <w:rFonts w:eastAsia="Verdana"/>
          <w:sz w:val="24"/>
          <w:szCs w:val="24"/>
        </w:rPr>
        <w:t>, 2023). Thailand states that it seeks to achieve the following goals, through the NAP, by 2037</w:t>
      </w:r>
    </w:p>
    <w:p w14:paraId="34148104" w14:textId="77777777" w:rsidR="009A0A63" w:rsidRPr="00792B36" w:rsidRDefault="009A0A63" w:rsidP="00F61B37">
      <w:pPr>
        <w:widowControl/>
        <w:numPr>
          <w:ilvl w:val="0"/>
          <w:numId w:val="132"/>
        </w:numPr>
        <w:shd w:val="clear" w:color="auto" w:fill="FFFFFF"/>
        <w:spacing w:before="120" w:after="120"/>
        <w:jc w:val="both"/>
        <w:rPr>
          <w:rFonts w:eastAsia="Verdana"/>
          <w:sz w:val="24"/>
          <w:szCs w:val="24"/>
        </w:rPr>
      </w:pPr>
      <w:r w:rsidRPr="00792B36">
        <w:rPr>
          <w:rFonts w:eastAsia="Verdana"/>
          <w:sz w:val="24"/>
          <w:szCs w:val="24"/>
        </w:rPr>
        <w:t>2023-2027: Build a basis and instruments for policymaking and mainstreaming.</w:t>
      </w:r>
    </w:p>
    <w:p w14:paraId="11A64AD3" w14:textId="77777777" w:rsidR="009A0A63" w:rsidRPr="00792B36" w:rsidRDefault="009A0A63" w:rsidP="00F61B37">
      <w:pPr>
        <w:widowControl/>
        <w:numPr>
          <w:ilvl w:val="0"/>
          <w:numId w:val="132"/>
        </w:numPr>
        <w:shd w:val="clear" w:color="auto" w:fill="FFFFFF"/>
        <w:spacing w:before="120" w:after="120"/>
        <w:jc w:val="both"/>
        <w:rPr>
          <w:rFonts w:eastAsia="Verdana"/>
          <w:sz w:val="24"/>
          <w:szCs w:val="24"/>
        </w:rPr>
      </w:pPr>
      <w:r w:rsidRPr="00792B36">
        <w:rPr>
          <w:rFonts w:eastAsia="Verdana"/>
          <w:sz w:val="24"/>
          <w:szCs w:val="24"/>
        </w:rPr>
        <w:t>2028-2032: Strengthen policy instruments and mainstreaming across the priority sectors</w:t>
      </w:r>
    </w:p>
    <w:p w14:paraId="3391485C" w14:textId="77777777" w:rsidR="009A0A63" w:rsidRPr="00792B36" w:rsidRDefault="009A0A63" w:rsidP="00F61B37">
      <w:pPr>
        <w:widowControl/>
        <w:numPr>
          <w:ilvl w:val="0"/>
          <w:numId w:val="132"/>
        </w:numPr>
        <w:shd w:val="clear" w:color="auto" w:fill="FFFFFF"/>
        <w:spacing w:before="120" w:after="120"/>
        <w:jc w:val="both"/>
        <w:rPr>
          <w:rFonts w:eastAsia="Verdana"/>
          <w:sz w:val="24"/>
          <w:szCs w:val="24"/>
        </w:rPr>
      </w:pPr>
      <w:r w:rsidRPr="00792B36">
        <w:rPr>
          <w:rFonts w:eastAsia="Verdana"/>
          <w:sz w:val="24"/>
          <w:szCs w:val="24"/>
        </w:rPr>
        <w:lastRenderedPageBreak/>
        <w:t>2033-2037: Ensure climate resilience in the country’s development actions</w:t>
      </w:r>
    </w:p>
    <w:p w14:paraId="6791C4BD" w14:textId="77777777" w:rsidR="009A0A63" w:rsidRPr="00792B36" w:rsidRDefault="009A0A63" w:rsidP="009A0A63">
      <w:pPr>
        <w:shd w:val="clear" w:color="auto" w:fill="FFFFFF"/>
        <w:spacing w:before="120" w:after="120"/>
        <w:jc w:val="both"/>
        <w:rPr>
          <w:rFonts w:eastAsia="Verdana"/>
          <w:sz w:val="24"/>
          <w:szCs w:val="24"/>
        </w:rPr>
      </w:pPr>
      <w:r w:rsidRPr="00792B36">
        <w:rPr>
          <w:rFonts w:eastAsia="Verdana"/>
          <w:sz w:val="24"/>
          <w:szCs w:val="24"/>
        </w:rPr>
        <w:t xml:space="preserve">Table 1 presents the strategic directions, priority actions, and anticipated outcomes related to the management of marine and coastal ecosystems as outlined in Thailand’s </w:t>
      </w:r>
      <w:r w:rsidRPr="00792B36">
        <w:rPr>
          <w:rFonts w:eastAsia="Verdana"/>
          <w:b/>
          <w:bCs/>
          <w:sz w:val="24"/>
          <w:szCs w:val="24"/>
        </w:rPr>
        <w:t>National Adaptation Plan (NAP) 2023</w:t>
      </w:r>
      <w:r w:rsidRPr="00792B36">
        <w:rPr>
          <w:rFonts w:eastAsia="Verdana"/>
          <w:sz w:val="24"/>
          <w:szCs w:val="24"/>
        </w:rPr>
        <w:t>. The focus is on building ecosystem resilience, reducing vulnerability to climate change, and integrating biodiversity and ecosystem services into national development.</w:t>
      </w:r>
    </w:p>
    <w:p w14:paraId="5E358643" w14:textId="77777777" w:rsidR="009A0A63" w:rsidRPr="00792B36" w:rsidRDefault="009A0A63" w:rsidP="009A0A63">
      <w:pPr>
        <w:rPr>
          <w:rFonts w:eastAsia="Verdana"/>
          <w:sz w:val="24"/>
          <w:szCs w:val="24"/>
        </w:rPr>
      </w:pPr>
    </w:p>
    <w:p w14:paraId="466C9EFE" w14:textId="77777777" w:rsidR="009A0A63" w:rsidRPr="00792B36" w:rsidRDefault="009A0A63" w:rsidP="009A0A63">
      <w:pPr>
        <w:shd w:val="clear" w:color="auto" w:fill="FFFFFF"/>
        <w:spacing w:after="240" w:line="276" w:lineRule="auto"/>
        <w:jc w:val="both"/>
        <w:rPr>
          <w:rFonts w:eastAsia="Verdana"/>
          <w:sz w:val="24"/>
          <w:szCs w:val="24"/>
        </w:rPr>
      </w:pPr>
      <w:r w:rsidRPr="00792B36">
        <w:rPr>
          <w:rFonts w:eastAsia="Verdana"/>
          <w:sz w:val="24"/>
          <w:szCs w:val="24"/>
        </w:rPr>
        <w:t>Table 1 Strategic Guidelines and Expected Outcomes for Marine and Coastal Ecosystem Management under Thailand’s National Adaptation Plan (NAP), 2023</w:t>
      </w:r>
    </w:p>
    <w:tbl>
      <w:tblPr>
        <w:tblStyle w:val="TableGrid"/>
        <w:tblW w:w="0" w:type="auto"/>
        <w:tblLook w:val="04A0" w:firstRow="1" w:lastRow="0" w:firstColumn="1" w:lastColumn="0" w:noHBand="0" w:noVBand="1"/>
      </w:tblPr>
      <w:tblGrid>
        <w:gridCol w:w="4645"/>
        <w:gridCol w:w="4365"/>
      </w:tblGrid>
      <w:tr w:rsidR="009A0A63" w:rsidRPr="00792B36" w14:paraId="6063992C" w14:textId="77777777" w:rsidTr="00A24459">
        <w:trPr>
          <w:tblHeader/>
        </w:trPr>
        <w:tc>
          <w:tcPr>
            <w:tcW w:w="4815" w:type="dxa"/>
          </w:tcPr>
          <w:p w14:paraId="501C4A44" w14:textId="77777777" w:rsidR="009A0A63" w:rsidRPr="00792B36" w:rsidRDefault="009A0A63" w:rsidP="00A24459">
            <w:pPr>
              <w:rPr>
                <w:rFonts w:eastAsia="Verdana"/>
                <w:sz w:val="24"/>
                <w:szCs w:val="24"/>
              </w:rPr>
            </w:pPr>
            <w:r w:rsidRPr="00792B36">
              <w:rPr>
                <w:rFonts w:eastAsia="Verdana"/>
                <w:sz w:val="24"/>
                <w:szCs w:val="24"/>
              </w:rPr>
              <w:t xml:space="preserve">Guideline/ Measures </w:t>
            </w:r>
          </w:p>
        </w:tc>
        <w:tc>
          <w:tcPr>
            <w:tcW w:w="4508" w:type="dxa"/>
          </w:tcPr>
          <w:p w14:paraId="685A044B" w14:textId="77777777" w:rsidR="009A0A63" w:rsidRPr="00792B36" w:rsidRDefault="009A0A63" w:rsidP="00A24459">
            <w:pPr>
              <w:rPr>
                <w:rFonts w:eastAsia="Verdana"/>
                <w:sz w:val="24"/>
                <w:szCs w:val="24"/>
              </w:rPr>
            </w:pPr>
            <w:r w:rsidRPr="00792B36">
              <w:rPr>
                <w:rFonts w:eastAsia="Verdana"/>
                <w:sz w:val="24"/>
                <w:szCs w:val="24"/>
              </w:rPr>
              <w:t xml:space="preserve">Output </w:t>
            </w:r>
          </w:p>
        </w:tc>
      </w:tr>
      <w:tr w:rsidR="009A0A63" w:rsidRPr="00792B36" w14:paraId="13F50927" w14:textId="77777777" w:rsidTr="00A24459">
        <w:tc>
          <w:tcPr>
            <w:tcW w:w="4815" w:type="dxa"/>
          </w:tcPr>
          <w:p w14:paraId="67F80459" w14:textId="77777777" w:rsidR="009A0A63" w:rsidRPr="00792B36" w:rsidRDefault="009A0A63" w:rsidP="00A24459">
            <w:pPr>
              <w:rPr>
                <w:rFonts w:eastAsia="Verdana"/>
                <w:sz w:val="24"/>
                <w:szCs w:val="24"/>
              </w:rPr>
            </w:pPr>
            <w:r w:rsidRPr="00792B36">
              <w:rPr>
                <w:rFonts w:eastAsia="Verdana"/>
                <w:sz w:val="24"/>
                <w:szCs w:val="24"/>
              </w:rPr>
              <w:t>1) Conserve and protect marine and coastal resources, including increasing and rehabilitating mangrove areas for an ecological balance through a participatory approach.</w:t>
            </w:r>
          </w:p>
        </w:tc>
        <w:tc>
          <w:tcPr>
            <w:tcW w:w="4508" w:type="dxa"/>
          </w:tcPr>
          <w:p w14:paraId="30CBC298" w14:textId="77777777" w:rsidR="009A0A63" w:rsidRPr="00792B36" w:rsidRDefault="009A0A63" w:rsidP="00A24459">
            <w:pPr>
              <w:rPr>
                <w:rFonts w:eastAsia="Verdana"/>
                <w:sz w:val="24"/>
                <w:szCs w:val="24"/>
              </w:rPr>
            </w:pPr>
            <w:r w:rsidRPr="00792B36">
              <w:rPr>
                <w:rFonts w:eastAsia="Verdana"/>
                <w:sz w:val="24"/>
                <w:szCs w:val="24"/>
              </w:rPr>
              <w:t>Specific measures for the conservation and rehabilitation of marine and coastal resources in each marine and coastal community are developed with public participation, and integrated into the strategic plan of the area with effective implementation.</w:t>
            </w:r>
          </w:p>
        </w:tc>
      </w:tr>
      <w:tr w:rsidR="009A0A63" w:rsidRPr="00792B36" w14:paraId="24389A6F" w14:textId="77777777" w:rsidTr="00A24459">
        <w:tc>
          <w:tcPr>
            <w:tcW w:w="4815" w:type="dxa"/>
          </w:tcPr>
          <w:p w14:paraId="3A6CDF08" w14:textId="77777777" w:rsidR="009A0A63" w:rsidRPr="00792B36" w:rsidRDefault="009A0A63" w:rsidP="00A24459">
            <w:pPr>
              <w:rPr>
                <w:rFonts w:eastAsia="Verdana"/>
                <w:sz w:val="24"/>
                <w:szCs w:val="24"/>
              </w:rPr>
            </w:pPr>
            <w:r w:rsidRPr="00792B36">
              <w:rPr>
                <w:rFonts w:eastAsia="Verdana"/>
                <w:sz w:val="24"/>
                <w:szCs w:val="24"/>
              </w:rPr>
              <w:t>2)  Support the conservation of endemic and endangered species in marine and coastal ecosystems affected by climate change, as well as prevent invasive alien species, which could become widespread due to the changing climatic conditions.</w:t>
            </w:r>
          </w:p>
        </w:tc>
        <w:tc>
          <w:tcPr>
            <w:tcW w:w="4508" w:type="dxa"/>
          </w:tcPr>
          <w:p w14:paraId="7DB502C7" w14:textId="77777777" w:rsidR="009A0A63" w:rsidRPr="00792B36" w:rsidRDefault="009A0A63" w:rsidP="00A24459">
            <w:pPr>
              <w:rPr>
                <w:rFonts w:eastAsia="Verdana"/>
                <w:sz w:val="24"/>
                <w:szCs w:val="24"/>
              </w:rPr>
            </w:pPr>
            <w:r w:rsidRPr="00792B36">
              <w:rPr>
                <w:rFonts w:eastAsia="Verdana"/>
                <w:sz w:val="24"/>
                <w:szCs w:val="24"/>
              </w:rPr>
              <w:t>Research on breeding rare or endangered species are available, and regulations and measures for conserving and protecting biodiversity resources in marine and coastal ecosystems, especially threatened species, are in place.</w:t>
            </w:r>
          </w:p>
        </w:tc>
      </w:tr>
      <w:tr w:rsidR="009A0A63" w:rsidRPr="00792B36" w14:paraId="4D70E1AF" w14:textId="77777777" w:rsidTr="00A24459">
        <w:tc>
          <w:tcPr>
            <w:tcW w:w="4815" w:type="dxa"/>
          </w:tcPr>
          <w:p w14:paraId="2A895DD5" w14:textId="77777777" w:rsidR="009A0A63" w:rsidRPr="00792B36" w:rsidRDefault="009A0A63" w:rsidP="00A24459">
            <w:pPr>
              <w:rPr>
                <w:rFonts w:eastAsia="Verdana"/>
                <w:sz w:val="24"/>
                <w:szCs w:val="24"/>
              </w:rPr>
            </w:pPr>
            <w:r w:rsidRPr="00792B36">
              <w:rPr>
                <w:rFonts w:eastAsia="Verdana"/>
                <w:sz w:val="24"/>
                <w:szCs w:val="24"/>
              </w:rPr>
              <w:t>(3) Expedite the designation of the EPAs in marine and coastal areas with fragile ecosystems and threats to biodiversity resources, which are outside the PAs.</w:t>
            </w:r>
          </w:p>
        </w:tc>
        <w:tc>
          <w:tcPr>
            <w:tcW w:w="4508" w:type="dxa"/>
          </w:tcPr>
          <w:p w14:paraId="72E16F1F" w14:textId="77777777" w:rsidR="009A0A63" w:rsidRPr="00792B36" w:rsidRDefault="009A0A63" w:rsidP="00A24459">
            <w:pPr>
              <w:rPr>
                <w:rFonts w:eastAsia="Verdana"/>
                <w:sz w:val="24"/>
                <w:szCs w:val="24"/>
              </w:rPr>
            </w:pPr>
            <w:r w:rsidRPr="00792B36">
              <w:rPr>
                <w:rFonts w:eastAsia="Verdana"/>
                <w:sz w:val="24"/>
                <w:szCs w:val="24"/>
              </w:rPr>
              <w:t>Marine and coastal areas with fragile ecosystems and threats to biodiversity resources are designated as EPAs.</w:t>
            </w:r>
          </w:p>
        </w:tc>
      </w:tr>
      <w:tr w:rsidR="009A0A63" w:rsidRPr="00792B36" w14:paraId="7D3B3A2C" w14:textId="77777777" w:rsidTr="00A24459">
        <w:tc>
          <w:tcPr>
            <w:tcW w:w="4815" w:type="dxa"/>
          </w:tcPr>
          <w:p w14:paraId="7E8EE64A" w14:textId="77777777" w:rsidR="009A0A63" w:rsidRPr="00792B36" w:rsidRDefault="009A0A63" w:rsidP="00A24459">
            <w:pPr>
              <w:rPr>
                <w:rFonts w:eastAsia="Verdana"/>
                <w:sz w:val="24"/>
                <w:szCs w:val="24"/>
              </w:rPr>
            </w:pPr>
            <w:r w:rsidRPr="00792B36">
              <w:rPr>
                <w:rFonts w:eastAsia="Verdana"/>
                <w:sz w:val="24"/>
                <w:szCs w:val="24"/>
              </w:rPr>
              <w:t>4) Assessment of Thailand’s Ocean Health Index and development of surveillance and monitoring systems for changes to seawater as a result of climate change factors.</w:t>
            </w:r>
          </w:p>
        </w:tc>
        <w:tc>
          <w:tcPr>
            <w:tcW w:w="4508" w:type="dxa"/>
          </w:tcPr>
          <w:p w14:paraId="4B259E6B" w14:textId="77777777" w:rsidR="009A0A63" w:rsidRPr="00792B36" w:rsidRDefault="009A0A63" w:rsidP="00A24459">
            <w:pPr>
              <w:rPr>
                <w:rFonts w:eastAsia="Verdana"/>
                <w:sz w:val="24"/>
                <w:szCs w:val="24"/>
              </w:rPr>
            </w:pPr>
            <w:r w:rsidRPr="00792B36">
              <w:rPr>
                <w:rFonts w:eastAsia="Verdana"/>
                <w:sz w:val="24"/>
                <w:szCs w:val="24"/>
              </w:rPr>
              <w:t>Surveillance and monitoring systems for changes to seawater as a result of climate change factors are developed.</w:t>
            </w:r>
          </w:p>
        </w:tc>
      </w:tr>
      <w:tr w:rsidR="009A0A63" w:rsidRPr="00792B36" w14:paraId="0F510FD2" w14:textId="77777777" w:rsidTr="00A24459">
        <w:tc>
          <w:tcPr>
            <w:tcW w:w="4815" w:type="dxa"/>
          </w:tcPr>
          <w:p w14:paraId="643398E0" w14:textId="77777777" w:rsidR="009A0A63" w:rsidRPr="00792B36" w:rsidRDefault="009A0A63" w:rsidP="00A24459">
            <w:pPr>
              <w:rPr>
                <w:rFonts w:eastAsia="Verdana"/>
                <w:sz w:val="24"/>
                <w:szCs w:val="24"/>
              </w:rPr>
            </w:pPr>
            <w:r w:rsidRPr="00792B36">
              <w:rPr>
                <w:rFonts w:eastAsia="Verdana"/>
                <w:sz w:val="24"/>
                <w:szCs w:val="24"/>
              </w:rPr>
              <w:t>(5) Prepare an integrated plan for coastal zone management across the country to reduce the impact of coastal erosion through a participatory approach.</w:t>
            </w:r>
          </w:p>
        </w:tc>
        <w:tc>
          <w:tcPr>
            <w:tcW w:w="4508" w:type="dxa"/>
          </w:tcPr>
          <w:p w14:paraId="2A7CC2FC" w14:textId="77777777" w:rsidR="009A0A63" w:rsidRPr="00792B36" w:rsidRDefault="009A0A63" w:rsidP="00A24459">
            <w:pPr>
              <w:rPr>
                <w:rFonts w:eastAsia="Verdana"/>
                <w:sz w:val="24"/>
                <w:szCs w:val="24"/>
              </w:rPr>
            </w:pPr>
            <w:r w:rsidRPr="00792B36">
              <w:rPr>
                <w:rFonts w:eastAsia="Verdana"/>
                <w:color w:val="FF0000"/>
                <w:sz w:val="24"/>
                <w:szCs w:val="24"/>
              </w:rPr>
              <w:t xml:space="preserve">Integrated plans </w:t>
            </w:r>
            <w:r w:rsidRPr="00792B36">
              <w:rPr>
                <w:rFonts w:eastAsia="Verdana"/>
                <w:sz w:val="24"/>
                <w:szCs w:val="24"/>
              </w:rPr>
              <w:t>for coastal zone management are developed comprising protection, restoration, or rehabilitation measures of coastal areas across the country, and mainstreamed into the area-based strategic plan in each locality with effective implementation.</w:t>
            </w:r>
          </w:p>
        </w:tc>
      </w:tr>
      <w:tr w:rsidR="009A0A63" w:rsidRPr="00792B36" w14:paraId="1A85640F" w14:textId="77777777" w:rsidTr="00A24459">
        <w:tc>
          <w:tcPr>
            <w:tcW w:w="4815" w:type="dxa"/>
          </w:tcPr>
          <w:p w14:paraId="33D8AFB3" w14:textId="77777777" w:rsidR="009A0A63" w:rsidRPr="00792B36" w:rsidRDefault="009A0A63" w:rsidP="00A24459">
            <w:pPr>
              <w:rPr>
                <w:rFonts w:eastAsia="Verdana"/>
                <w:sz w:val="24"/>
                <w:szCs w:val="24"/>
              </w:rPr>
            </w:pPr>
            <w:r w:rsidRPr="00792B36">
              <w:rPr>
                <w:rFonts w:eastAsia="Verdana"/>
                <w:sz w:val="24"/>
                <w:szCs w:val="24"/>
              </w:rPr>
              <w:t>(6) Strengthen the capacity of coastal areas to respond to and prevent the impact of storm surges.</w:t>
            </w:r>
          </w:p>
        </w:tc>
        <w:tc>
          <w:tcPr>
            <w:tcW w:w="4508" w:type="dxa"/>
          </w:tcPr>
          <w:p w14:paraId="1AD939A6" w14:textId="77777777" w:rsidR="009A0A63" w:rsidRPr="00792B36" w:rsidRDefault="009A0A63" w:rsidP="00A24459">
            <w:pPr>
              <w:rPr>
                <w:rFonts w:eastAsia="Verdana"/>
                <w:sz w:val="24"/>
                <w:szCs w:val="24"/>
              </w:rPr>
            </w:pPr>
            <w:r w:rsidRPr="00792B36">
              <w:rPr>
                <w:rFonts w:eastAsia="Verdana"/>
                <w:sz w:val="24"/>
                <w:szCs w:val="24"/>
              </w:rPr>
              <w:t>Plans to mitigate the impact, establish evacuation routes in the event of storm surges in coastal areas are developed, and response manuals and drills are produced and conducted.</w:t>
            </w:r>
          </w:p>
        </w:tc>
      </w:tr>
      <w:tr w:rsidR="009A0A63" w:rsidRPr="00792B36" w14:paraId="08FDF151" w14:textId="77777777" w:rsidTr="00A24459">
        <w:tc>
          <w:tcPr>
            <w:tcW w:w="4815" w:type="dxa"/>
          </w:tcPr>
          <w:p w14:paraId="0A5C4342" w14:textId="77777777" w:rsidR="009A0A63" w:rsidRPr="00792B36" w:rsidRDefault="009A0A63" w:rsidP="00A24459">
            <w:pPr>
              <w:rPr>
                <w:rFonts w:eastAsia="Verdana"/>
                <w:sz w:val="24"/>
                <w:szCs w:val="24"/>
              </w:rPr>
            </w:pPr>
            <w:r w:rsidRPr="00792B36">
              <w:rPr>
                <w:rFonts w:eastAsia="Verdana"/>
                <w:sz w:val="24"/>
                <w:szCs w:val="24"/>
              </w:rPr>
              <w:t xml:space="preserve">(7) Enable networks of people organizations, community-based </w:t>
            </w:r>
            <w:r w:rsidRPr="00792B36">
              <w:rPr>
                <w:rFonts w:eastAsia="Verdana"/>
                <w:sz w:val="24"/>
                <w:szCs w:val="24"/>
              </w:rPr>
              <w:lastRenderedPageBreak/>
              <w:t>organizations, and LAOs along the coastal zones to conserve and rehabilitate marine and coastal resources.</w:t>
            </w:r>
          </w:p>
        </w:tc>
        <w:tc>
          <w:tcPr>
            <w:tcW w:w="4508" w:type="dxa"/>
          </w:tcPr>
          <w:p w14:paraId="108CEA1C" w14:textId="77777777" w:rsidR="009A0A63" w:rsidRPr="00792B36" w:rsidRDefault="009A0A63" w:rsidP="00A24459">
            <w:pPr>
              <w:rPr>
                <w:rFonts w:eastAsia="Verdana"/>
                <w:sz w:val="24"/>
                <w:szCs w:val="24"/>
              </w:rPr>
            </w:pPr>
            <w:r w:rsidRPr="00792B36">
              <w:rPr>
                <w:rFonts w:eastAsia="Verdana"/>
                <w:sz w:val="24"/>
                <w:szCs w:val="24"/>
              </w:rPr>
              <w:lastRenderedPageBreak/>
              <w:t xml:space="preserve">Networks of people organizations, community-based organizations, and </w:t>
            </w:r>
            <w:r w:rsidRPr="00792B36">
              <w:rPr>
                <w:rFonts w:eastAsia="Verdana"/>
                <w:sz w:val="24"/>
                <w:szCs w:val="24"/>
              </w:rPr>
              <w:lastRenderedPageBreak/>
              <w:t>LAOs collaborate to develop measures on nature-based coastal restoration and participate in regulating the utilization of mangrove areas.</w:t>
            </w:r>
          </w:p>
        </w:tc>
      </w:tr>
    </w:tbl>
    <w:p w14:paraId="111F6C4C" w14:textId="77777777" w:rsidR="009A0A63" w:rsidRPr="00792B36" w:rsidRDefault="009A0A63" w:rsidP="009A0A63">
      <w:pPr>
        <w:shd w:val="clear" w:color="auto" w:fill="FFFFFF"/>
        <w:spacing w:before="120" w:after="120"/>
        <w:jc w:val="both"/>
        <w:rPr>
          <w:rFonts w:eastAsia="Verdana"/>
          <w:sz w:val="24"/>
          <w:szCs w:val="24"/>
        </w:rPr>
      </w:pPr>
      <w:r w:rsidRPr="00792B36">
        <w:rPr>
          <w:rFonts w:eastAsia="Verdana"/>
          <w:sz w:val="24"/>
          <w:szCs w:val="24"/>
        </w:rPr>
        <w:lastRenderedPageBreak/>
        <w:t xml:space="preserve">EPAs: Environmental Protected Areas; LAO: Local Administrative Organizations; PA: Protected Areas  </w:t>
      </w:r>
    </w:p>
    <w:p w14:paraId="7D8A581A" w14:textId="77777777" w:rsidR="009A0A63" w:rsidRPr="00792B36" w:rsidRDefault="009A0A63" w:rsidP="009A0A63">
      <w:pPr>
        <w:spacing w:before="120" w:after="120"/>
        <w:rPr>
          <w:sz w:val="24"/>
          <w:szCs w:val="24"/>
        </w:rPr>
      </w:pPr>
      <w:r w:rsidRPr="00792B36">
        <w:rPr>
          <w:sz w:val="24"/>
          <w:szCs w:val="24"/>
        </w:rPr>
        <w:t>To achieve the goals outlined in Thailand’s National Adaptation Plan (NAP), the implementation of both sector-specific and cross-cutting measures is essential to ensure a synergistic and integrated approach to climate adaptation. These cross-cutting measures include the development of comprehensive databases, research, and technological innovations related to climate change adaptation. Additionally, the establishment of enabling mechanisms—such as regulatory frameworks, financial instruments, capacity-building programs, and incentives—is crucial. Strengthening the capacity, knowledge, and awareness of government officials and relevant stakeholders, including youth and the business sector, is also vital to foster a deeper understanding of climate risks and to empower all sectors to take effective adaptation actions.</w:t>
      </w:r>
    </w:p>
    <w:p w14:paraId="3F62DC00" w14:textId="77777777" w:rsidR="009A0A63" w:rsidRPr="00792B36" w:rsidRDefault="009A0A63" w:rsidP="009A0A63">
      <w:pPr>
        <w:spacing w:before="120" w:after="120"/>
        <w:rPr>
          <w:b/>
          <w:bCs/>
          <w:sz w:val="24"/>
          <w:szCs w:val="24"/>
        </w:rPr>
      </w:pPr>
      <w:r w:rsidRPr="00792B36">
        <w:rPr>
          <w:b/>
          <w:bCs/>
          <w:sz w:val="24"/>
          <w:szCs w:val="24"/>
        </w:rPr>
        <w:t>g) The National Biodiversity Strategy and Action Plans (NBSAPs)</w:t>
      </w:r>
    </w:p>
    <w:p w14:paraId="4E9EBDE5" w14:textId="77777777" w:rsidR="009A0A63" w:rsidRPr="00792B36" w:rsidRDefault="009A0A63" w:rsidP="009A0A63">
      <w:pPr>
        <w:spacing w:before="120" w:after="120"/>
        <w:jc w:val="both"/>
        <w:rPr>
          <w:sz w:val="24"/>
          <w:szCs w:val="24"/>
        </w:rPr>
      </w:pPr>
      <w:r w:rsidRPr="00792B36">
        <w:rPr>
          <w:sz w:val="24"/>
          <w:szCs w:val="24"/>
        </w:rPr>
        <w:t>Building on previous biodiversity plans (ONEP 2015: ONEP 2017) such as the Master Plan for Integrated Biodiversity Management (2015-2021) and the Biodiversity Management Action Plan (2017-2021), Thailand is currently finalizing the National Biodiversity Strategy and Action Plans (NBSAPs) for 2023-2027, alongside a Long-term Biodiversity Strategy (2024-2050). The NBSAP framework follows three primary principles: the Sufficiency Economy Philosophy, urgency and challenge, and transformational change. It introduces new approaches and modifications to earlier plans, offering eight key guidelines:</w:t>
      </w:r>
    </w:p>
    <w:p w14:paraId="3AE7E87D" w14:textId="77777777" w:rsidR="009A0A63" w:rsidRPr="00792B36" w:rsidRDefault="009A0A63" w:rsidP="00F61B37">
      <w:pPr>
        <w:widowControl/>
        <w:numPr>
          <w:ilvl w:val="0"/>
          <w:numId w:val="133"/>
        </w:numPr>
        <w:spacing w:before="120" w:after="120"/>
        <w:rPr>
          <w:sz w:val="24"/>
          <w:szCs w:val="24"/>
        </w:rPr>
      </w:pPr>
      <w:r w:rsidRPr="00792B36">
        <w:rPr>
          <w:sz w:val="24"/>
          <w:szCs w:val="24"/>
        </w:rPr>
        <w:t>A collaborative approach across all sectors of society.</w:t>
      </w:r>
    </w:p>
    <w:p w14:paraId="6DCEC545" w14:textId="77777777" w:rsidR="009A0A63" w:rsidRPr="00792B36" w:rsidRDefault="009A0A63" w:rsidP="00F61B37">
      <w:pPr>
        <w:widowControl/>
        <w:numPr>
          <w:ilvl w:val="0"/>
          <w:numId w:val="133"/>
        </w:numPr>
        <w:spacing w:before="120" w:after="120"/>
        <w:rPr>
          <w:sz w:val="24"/>
          <w:szCs w:val="24"/>
        </w:rPr>
      </w:pPr>
      <w:r w:rsidRPr="00792B36">
        <w:rPr>
          <w:sz w:val="24"/>
          <w:szCs w:val="24"/>
        </w:rPr>
        <w:t>Guidelines for achieving national biodiversity goals suited to the local context.</w:t>
      </w:r>
    </w:p>
    <w:p w14:paraId="3072DB4F" w14:textId="77777777" w:rsidR="009A0A63" w:rsidRPr="00792B36" w:rsidRDefault="009A0A63" w:rsidP="00F61B37">
      <w:pPr>
        <w:widowControl/>
        <w:numPr>
          <w:ilvl w:val="0"/>
          <w:numId w:val="133"/>
        </w:numPr>
        <w:spacing w:before="120" w:after="120"/>
        <w:rPr>
          <w:sz w:val="24"/>
          <w:szCs w:val="24"/>
        </w:rPr>
      </w:pPr>
      <w:r w:rsidRPr="00792B36">
        <w:rPr>
          <w:sz w:val="24"/>
          <w:szCs w:val="24"/>
        </w:rPr>
        <w:t>Balancing conservation with sustainable use.</w:t>
      </w:r>
    </w:p>
    <w:p w14:paraId="4154271D" w14:textId="77777777" w:rsidR="009A0A63" w:rsidRPr="00792B36" w:rsidRDefault="009A0A63" w:rsidP="00F61B37">
      <w:pPr>
        <w:widowControl/>
        <w:numPr>
          <w:ilvl w:val="0"/>
          <w:numId w:val="133"/>
        </w:numPr>
        <w:spacing w:before="120" w:after="120"/>
        <w:rPr>
          <w:sz w:val="24"/>
          <w:szCs w:val="24"/>
        </w:rPr>
      </w:pPr>
      <w:r w:rsidRPr="00792B36">
        <w:rPr>
          <w:sz w:val="24"/>
          <w:szCs w:val="24"/>
        </w:rPr>
        <w:t>Integrated ecosystem management and spatial planning.</w:t>
      </w:r>
    </w:p>
    <w:p w14:paraId="546D4CF7" w14:textId="77777777" w:rsidR="009A0A63" w:rsidRPr="00792B36" w:rsidRDefault="009A0A63" w:rsidP="00F61B37">
      <w:pPr>
        <w:widowControl/>
        <w:numPr>
          <w:ilvl w:val="0"/>
          <w:numId w:val="133"/>
        </w:numPr>
        <w:spacing w:before="120" w:after="120"/>
        <w:rPr>
          <w:sz w:val="24"/>
          <w:szCs w:val="24"/>
        </w:rPr>
      </w:pPr>
      <w:r w:rsidRPr="00792B36">
        <w:rPr>
          <w:sz w:val="24"/>
          <w:szCs w:val="24"/>
        </w:rPr>
        <w:t>Protecting the rights of stakeholders, with a focus on gender, youth, and vulnerable groups.</w:t>
      </w:r>
    </w:p>
    <w:p w14:paraId="002E79E0" w14:textId="77777777" w:rsidR="009A0A63" w:rsidRPr="00792B36" w:rsidRDefault="009A0A63" w:rsidP="00F61B37">
      <w:pPr>
        <w:widowControl/>
        <w:numPr>
          <w:ilvl w:val="0"/>
          <w:numId w:val="133"/>
        </w:numPr>
        <w:spacing w:before="120" w:after="120"/>
        <w:rPr>
          <w:sz w:val="24"/>
          <w:szCs w:val="24"/>
        </w:rPr>
      </w:pPr>
      <w:r w:rsidRPr="00792B36">
        <w:rPr>
          <w:sz w:val="24"/>
          <w:szCs w:val="24"/>
        </w:rPr>
        <w:t>Cooperation in implementing relevant international conventions.</w:t>
      </w:r>
    </w:p>
    <w:p w14:paraId="12062732" w14:textId="77777777" w:rsidR="009A0A63" w:rsidRPr="00792B36" w:rsidRDefault="009A0A63" w:rsidP="00F61B37">
      <w:pPr>
        <w:widowControl/>
        <w:numPr>
          <w:ilvl w:val="0"/>
          <w:numId w:val="133"/>
        </w:numPr>
        <w:spacing w:before="120" w:after="120"/>
        <w:rPr>
          <w:sz w:val="24"/>
          <w:szCs w:val="24"/>
        </w:rPr>
      </w:pPr>
      <w:r w:rsidRPr="00792B36">
        <w:rPr>
          <w:sz w:val="24"/>
          <w:szCs w:val="24"/>
        </w:rPr>
        <w:t>Raising awareness and promoting education on biodiversity.</w:t>
      </w:r>
    </w:p>
    <w:p w14:paraId="111A7213" w14:textId="77777777" w:rsidR="009A0A63" w:rsidRPr="00792B36" w:rsidRDefault="009A0A63" w:rsidP="00F61B37">
      <w:pPr>
        <w:widowControl/>
        <w:numPr>
          <w:ilvl w:val="0"/>
          <w:numId w:val="133"/>
        </w:numPr>
        <w:spacing w:before="120" w:after="120"/>
        <w:rPr>
          <w:sz w:val="24"/>
          <w:szCs w:val="24"/>
        </w:rPr>
      </w:pPr>
      <w:r w:rsidRPr="00792B36">
        <w:rPr>
          <w:sz w:val="24"/>
          <w:szCs w:val="24"/>
        </w:rPr>
        <w:t>Establishing financial mechanisms and securing additional funding sources.</w:t>
      </w:r>
    </w:p>
    <w:p w14:paraId="3E96FAA1" w14:textId="77777777" w:rsidR="009A0A63" w:rsidRPr="00792B36" w:rsidRDefault="009A0A63" w:rsidP="009A0A63">
      <w:pPr>
        <w:spacing w:before="120" w:after="120"/>
        <w:rPr>
          <w:sz w:val="24"/>
          <w:szCs w:val="24"/>
        </w:rPr>
      </w:pPr>
      <w:r w:rsidRPr="00792B36">
        <w:rPr>
          <w:sz w:val="24"/>
          <w:szCs w:val="24"/>
        </w:rPr>
        <w:t>The NBSAPs focus on three core strategies, each with specific goals, detailed in Table 2.</w:t>
      </w:r>
    </w:p>
    <w:p w14:paraId="4119D992" w14:textId="77777777" w:rsidR="009A0A63" w:rsidRPr="00792B36" w:rsidRDefault="009A0A63" w:rsidP="009A0A63">
      <w:pPr>
        <w:spacing w:before="120" w:after="120"/>
        <w:jc w:val="both"/>
        <w:rPr>
          <w:sz w:val="24"/>
          <w:szCs w:val="24"/>
        </w:rPr>
      </w:pPr>
      <w:r w:rsidRPr="00792B36">
        <w:rPr>
          <w:sz w:val="24"/>
          <w:szCs w:val="24"/>
        </w:rPr>
        <w:t>Moreover, ONEP (2024a) emphasizes that the success of the NBSAPs (2023-2027) relies on a robust implementation framework that integrates national biodiversity targets across all sectors. The four key mechanisms for success include:</w:t>
      </w:r>
    </w:p>
    <w:p w14:paraId="17BC955A" w14:textId="77777777" w:rsidR="009A0A63" w:rsidRPr="00792B36" w:rsidRDefault="009A0A63" w:rsidP="00F61B37">
      <w:pPr>
        <w:widowControl/>
        <w:numPr>
          <w:ilvl w:val="0"/>
          <w:numId w:val="134"/>
        </w:numPr>
        <w:spacing w:before="120" w:after="120"/>
        <w:rPr>
          <w:sz w:val="24"/>
          <w:szCs w:val="24"/>
        </w:rPr>
      </w:pPr>
      <w:r w:rsidRPr="00792B36">
        <w:rPr>
          <w:sz w:val="24"/>
          <w:szCs w:val="24"/>
        </w:rPr>
        <w:t>Integrating sectoral plans.</w:t>
      </w:r>
    </w:p>
    <w:p w14:paraId="38BA52F8" w14:textId="77777777" w:rsidR="009A0A63" w:rsidRPr="00792B36" w:rsidRDefault="009A0A63" w:rsidP="00F61B37">
      <w:pPr>
        <w:widowControl/>
        <w:numPr>
          <w:ilvl w:val="0"/>
          <w:numId w:val="134"/>
        </w:numPr>
        <w:spacing w:before="120" w:after="120"/>
        <w:rPr>
          <w:sz w:val="24"/>
          <w:szCs w:val="24"/>
        </w:rPr>
      </w:pPr>
      <w:r w:rsidRPr="00792B36">
        <w:rPr>
          <w:sz w:val="24"/>
          <w:szCs w:val="24"/>
        </w:rPr>
        <w:t>Increasing stakeholder participation and awareness.</w:t>
      </w:r>
    </w:p>
    <w:p w14:paraId="5F0DD38D" w14:textId="77777777" w:rsidR="009A0A63" w:rsidRPr="00792B36" w:rsidRDefault="009A0A63" w:rsidP="00F61B37">
      <w:pPr>
        <w:widowControl/>
        <w:numPr>
          <w:ilvl w:val="0"/>
          <w:numId w:val="134"/>
        </w:numPr>
        <w:spacing w:before="120" w:after="120"/>
        <w:rPr>
          <w:sz w:val="24"/>
          <w:szCs w:val="24"/>
        </w:rPr>
      </w:pPr>
      <w:r w:rsidRPr="00792B36">
        <w:rPr>
          <w:sz w:val="24"/>
          <w:szCs w:val="24"/>
        </w:rPr>
        <w:lastRenderedPageBreak/>
        <w:t>Leveraging financial and capital mechanisms to support implementation.</w:t>
      </w:r>
    </w:p>
    <w:p w14:paraId="3079B1CC" w14:textId="77777777" w:rsidR="009A0A63" w:rsidRPr="00792B36" w:rsidRDefault="009A0A63" w:rsidP="00F61B37">
      <w:pPr>
        <w:widowControl/>
        <w:numPr>
          <w:ilvl w:val="0"/>
          <w:numId w:val="134"/>
        </w:numPr>
        <w:spacing w:before="120" w:after="120"/>
        <w:rPr>
          <w:sz w:val="24"/>
          <w:szCs w:val="24"/>
        </w:rPr>
      </w:pPr>
      <w:r w:rsidRPr="00792B36">
        <w:rPr>
          <w:sz w:val="24"/>
          <w:szCs w:val="24"/>
        </w:rPr>
        <w:t>Monitoring and assessing plan execution.</w:t>
      </w:r>
    </w:p>
    <w:p w14:paraId="47A6B653" w14:textId="77777777" w:rsidR="009A0A63" w:rsidRPr="00792B36" w:rsidRDefault="009A0A63" w:rsidP="009A0A63">
      <w:pPr>
        <w:rPr>
          <w:sz w:val="24"/>
          <w:szCs w:val="24"/>
        </w:rPr>
      </w:pPr>
      <w:r w:rsidRPr="00792B36">
        <w:rPr>
          <w:sz w:val="24"/>
          <w:szCs w:val="24"/>
        </w:rPr>
        <w:t xml:space="preserve">Table 2: Three strategies and its targets under the NBSAPs </w:t>
      </w:r>
    </w:p>
    <w:tbl>
      <w:tblPr>
        <w:tblStyle w:val="TableGrid"/>
        <w:tblW w:w="9351" w:type="dxa"/>
        <w:tblLook w:val="04A0" w:firstRow="1" w:lastRow="0" w:firstColumn="1" w:lastColumn="0" w:noHBand="0" w:noVBand="1"/>
      </w:tblPr>
      <w:tblGrid>
        <w:gridCol w:w="4673"/>
        <w:gridCol w:w="4678"/>
      </w:tblGrid>
      <w:tr w:rsidR="009A0A63" w:rsidRPr="00792B36" w14:paraId="5DC6B93F" w14:textId="77777777" w:rsidTr="00A24459">
        <w:trPr>
          <w:tblHeader/>
        </w:trPr>
        <w:tc>
          <w:tcPr>
            <w:tcW w:w="4673" w:type="dxa"/>
          </w:tcPr>
          <w:p w14:paraId="61AD7879" w14:textId="77777777" w:rsidR="009A0A63" w:rsidRPr="00792B36" w:rsidRDefault="009A0A63" w:rsidP="00A24459">
            <w:pPr>
              <w:jc w:val="center"/>
              <w:rPr>
                <w:b/>
                <w:bCs/>
                <w:sz w:val="24"/>
                <w:szCs w:val="24"/>
                <w:lang w:val="en"/>
              </w:rPr>
            </w:pPr>
            <w:r w:rsidRPr="00792B36">
              <w:rPr>
                <w:b/>
                <w:bCs/>
                <w:sz w:val="24"/>
                <w:szCs w:val="24"/>
                <w:lang w:val="en"/>
              </w:rPr>
              <w:t>Strategy</w:t>
            </w:r>
          </w:p>
        </w:tc>
        <w:tc>
          <w:tcPr>
            <w:tcW w:w="4678" w:type="dxa"/>
          </w:tcPr>
          <w:p w14:paraId="56F3B07E" w14:textId="77777777" w:rsidR="009A0A63" w:rsidRPr="00792B36" w:rsidRDefault="009A0A63" w:rsidP="00A24459">
            <w:pPr>
              <w:jc w:val="center"/>
              <w:rPr>
                <w:b/>
                <w:bCs/>
                <w:sz w:val="24"/>
                <w:szCs w:val="24"/>
                <w:lang w:val="en"/>
              </w:rPr>
            </w:pPr>
            <w:r w:rsidRPr="00792B36">
              <w:rPr>
                <w:b/>
                <w:bCs/>
                <w:sz w:val="24"/>
                <w:szCs w:val="24"/>
                <w:lang w:val="en"/>
              </w:rPr>
              <w:t>Targets</w:t>
            </w:r>
          </w:p>
        </w:tc>
      </w:tr>
      <w:tr w:rsidR="009A0A63" w:rsidRPr="00792B36" w14:paraId="2AD6A44B" w14:textId="77777777" w:rsidTr="00A24459">
        <w:tc>
          <w:tcPr>
            <w:tcW w:w="4673" w:type="dxa"/>
          </w:tcPr>
          <w:p w14:paraId="2BBDA02C" w14:textId="77777777" w:rsidR="009A0A63" w:rsidRPr="00792B36" w:rsidRDefault="009A0A63" w:rsidP="00A24459">
            <w:pPr>
              <w:rPr>
                <w:sz w:val="24"/>
                <w:szCs w:val="24"/>
                <w:lang w:val="en"/>
              </w:rPr>
            </w:pPr>
            <w:r w:rsidRPr="00792B36">
              <w:rPr>
                <w:b/>
                <w:bCs/>
                <w:sz w:val="24"/>
                <w:szCs w:val="24"/>
                <w:lang w:val="en"/>
              </w:rPr>
              <w:t>Strategy 1</w:t>
            </w:r>
            <w:r w:rsidRPr="00792B36">
              <w:rPr>
                <w:sz w:val="24"/>
                <w:szCs w:val="24"/>
                <w:lang w:val="en"/>
              </w:rPr>
              <w:t xml:space="preserve">: Strengthen conservation efforts by increasing the protection of important habitats and species through improving management practices, expanding protected areas and developing measures to protect threatened species. The strategy aims to increase protected areas by at </w:t>
            </w:r>
            <w:r w:rsidRPr="00792B36">
              <w:rPr>
                <w:color w:val="FF0000"/>
                <w:sz w:val="24"/>
                <w:szCs w:val="24"/>
                <w:lang w:val="en"/>
              </w:rPr>
              <w:t xml:space="preserve">least 30 percent </w:t>
            </w:r>
            <w:r w:rsidRPr="00792B36">
              <w:rPr>
                <w:sz w:val="24"/>
                <w:szCs w:val="24"/>
                <w:lang w:val="en"/>
              </w:rPr>
              <w:t xml:space="preserve">of the country's total area by 2030 and to enhance conservation of important habitats and species at risk of extinction.  </w:t>
            </w:r>
          </w:p>
        </w:tc>
        <w:tc>
          <w:tcPr>
            <w:tcW w:w="4678" w:type="dxa"/>
          </w:tcPr>
          <w:p w14:paraId="24B67C3F" w14:textId="77777777" w:rsidR="009A0A63" w:rsidRPr="00792B36" w:rsidRDefault="009A0A63" w:rsidP="00A24459">
            <w:pPr>
              <w:rPr>
                <w:sz w:val="24"/>
                <w:szCs w:val="24"/>
                <w:lang w:val="en"/>
              </w:rPr>
            </w:pPr>
            <w:r w:rsidRPr="00792B36">
              <w:rPr>
                <w:sz w:val="24"/>
                <w:szCs w:val="24"/>
                <w:lang w:val="en"/>
              </w:rPr>
              <w:t xml:space="preserve">Four targets under strategy 1 include the following. </w:t>
            </w:r>
          </w:p>
          <w:p w14:paraId="07C94293" w14:textId="77777777" w:rsidR="009A0A63" w:rsidRPr="00792B36" w:rsidRDefault="009A0A63" w:rsidP="00A24459">
            <w:pPr>
              <w:rPr>
                <w:sz w:val="24"/>
                <w:szCs w:val="24"/>
                <w:lang w:val="en"/>
              </w:rPr>
            </w:pPr>
            <w:r w:rsidRPr="00792B36">
              <w:rPr>
                <w:sz w:val="24"/>
                <w:szCs w:val="24"/>
                <w:lang w:val="en"/>
              </w:rPr>
              <w:t xml:space="preserve">1) </w:t>
            </w:r>
            <w:r w:rsidRPr="00792B36">
              <w:rPr>
                <w:sz w:val="24"/>
                <w:szCs w:val="24"/>
                <w:u w:val="single"/>
                <w:lang w:val="en"/>
              </w:rPr>
              <w:t>Goal 1:</w:t>
            </w:r>
            <w:r w:rsidRPr="00792B36">
              <w:rPr>
                <w:sz w:val="24"/>
                <w:szCs w:val="24"/>
                <w:lang w:val="en"/>
              </w:rPr>
              <w:t xml:space="preserve"> To reduce the loss of important biodiversity areas through effective spatial </w:t>
            </w:r>
            <w:proofErr w:type="gramStart"/>
            <w:r w:rsidRPr="00792B36">
              <w:rPr>
                <w:sz w:val="24"/>
                <w:szCs w:val="24"/>
                <w:lang w:val="en"/>
              </w:rPr>
              <w:t>planning;</w:t>
            </w:r>
            <w:proofErr w:type="gramEnd"/>
            <w:r w:rsidRPr="00792B36">
              <w:rPr>
                <w:sz w:val="24"/>
                <w:szCs w:val="24"/>
                <w:lang w:val="en"/>
              </w:rPr>
              <w:t xml:space="preserve"> </w:t>
            </w:r>
          </w:p>
          <w:p w14:paraId="4F0BB208" w14:textId="77777777" w:rsidR="009A0A63" w:rsidRPr="00792B36" w:rsidRDefault="009A0A63" w:rsidP="00A24459">
            <w:pPr>
              <w:rPr>
                <w:sz w:val="24"/>
                <w:szCs w:val="24"/>
                <w:lang w:val="en"/>
              </w:rPr>
            </w:pPr>
            <w:r w:rsidRPr="00792B36">
              <w:rPr>
                <w:sz w:val="24"/>
                <w:szCs w:val="24"/>
                <w:lang w:val="en"/>
              </w:rPr>
              <w:t xml:space="preserve">2)  </w:t>
            </w:r>
            <w:r w:rsidRPr="00792B36">
              <w:rPr>
                <w:sz w:val="24"/>
                <w:szCs w:val="24"/>
                <w:u w:val="single"/>
                <w:lang w:val="en"/>
              </w:rPr>
              <w:t>Goal 2</w:t>
            </w:r>
            <w:r w:rsidRPr="00792B36">
              <w:rPr>
                <w:sz w:val="24"/>
                <w:szCs w:val="24"/>
                <w:lang w:val="en"/>
              </w:rPr>
              <w:t xml:space="preserve">: To increase the protection of important biodiversity areas and restore degraded ecosystems to ensure that natural areas remain healthy and can support species conservation, by increasing the area of ​​conservation for biodiversity outside protected areas </w:t>
            </w:r>
            <w:r w:rsidRPr="00792B36">
              <w:rPr>
                <w:color w:val="FF0000"/>
                <w:sz w:val="24"/>
                <w:szCs w:val="24"/>
                <w:lang w:val="en"/>
              </w:rPr>
              <w:t xml:space="preserve">(OECMs) </w:t>
            </w:r>
            <w:r w:rsidRPr="00792B36">
              <w:rPr>
                <w:sz w:val="24"/>
                <w:szCs w:val="24"/>
                <w:lang w:val="en"/>
              </w:rPr>
              <w:t xml:space="preserve">and establishing appropriate rehabilitation and management </w:t>
            </w:r>
            <w:proofErr w:type="gramStart"/>
            <w:r w:rsidRPr="00792B36">
              <w:rPr>
                <w:sz w:val="24"/>
                <w:szCs w:val="24"/>
                <w:lang w:val="en"/>
              </w:rPr>
              <w:t>measures;</w:t>
            </w:r>
            <w:proofErr w:type="gramEnd"/>
            <w:r w:rsidRPr="00792B36">
              <w:rPr>
                <w:sz w:val="24"/>
                <w:szCs w:val="24"/>
                <w:lang w:val="en"/>
              </w:rPr>
              <w:t xml:space="preserve"> </w:t>
            </w:r>
          </w:p>
          <w:p w14:paraId="0EB9B254" w14:textId="77777777" w:rsidR="009A0A63" w:rsidRPr="00792B36" w:rsidRDefault="009A0A63" w:rsidP="00A24459">
            <w:pPr>
              <w:rPr>
                <w:sz w:val="24"/>
                <w:szCs w:val="24"/>
                <w:lang w:val="en"/>
              </w:rPr>
            </w:pPr>
            <w:r w:rsidRPr="00792B36">
              <w:rPr>
                <w:sz w:val="24"/>
                <w:szCs w:val="24"/>
                <w:lang w:val="en"/>
              </w:rPr>
              <w:t xml:space="preserve">3) </w:t>
            </w:r>
            <w:r w:rsidRPr="00792B36">
              <w:rPr>
                <w:sz w:val="24"/>
                <w:szCs w:val="24"/>
                <w:u w:val="single"/>
                <w:lang w:val="en"/>
              </w:rPr>
              <w:t>Goal 3</w:t>
            </w:r>
            <w:r w:rsidRPr="00792B36">
              <w:rPr>
                <w:sz w:val="24"/>
                <w:szCs w:val="24"/>
                <w:lang w:val="en"/>
              </w:rPr>
              <w:t xml:space="preserve">: To enhance the conservation status of threatened species, by establishing appropriate protection and management measures; and </w:t>
            </w:r>
          </w:p>
          <w:p w14:paraId="04FAF6B1" w14:textId="77777777" w:rsidR="009A0A63" w:rsidRPr="00792B36" w:rsidRDefault="009A0A63" w:rsidP="00A24459">
            <w:pPr>
              <w:rPr>
                <w:sz w:val="24"/>
                <w:szCs w:val="24"/>
                <w:lang w:val="en"/>
              </w:rPr>
            </w:pPr>
            <w:r w:rsidRPr="00792B36">
              <w:rPr>
                <w:sz w:val="24"/>
                <w:szCs w:val="24"/>
                <w:lang w:val="en"/>
              </w:rPr>
              <w:t xml:space="preserve">4) </w:t>
            </w:r>
            <w:r w:rsidRPr="00792B36">
              <w:rPr>
                <w:sz w:val="24"/>
                <w:szCs w:val="24"/>
                <w:u w:val="single"/>
                <w:lang w:val="en"/>
              </w:rPr>
              <w:t>Goal 4</w:t>
            </w:r>
            <w:r w:rsidRPr="00792B36">
              <w:rPr>
                <w:sz w:val="24"/>
                <w:szCs w:val="24"/>
                <w:lang w:val="en"/>
              </w:rPr>
              <w:t>: To enhance the resilience of ecosystems to climate change and pollution, by developing appropriate adaptation and management measures</w:t>
            </w:r>
            <w:r w:rsidRPr="00792B36">
              <w:rPr>
                <w:sz w:val="24"/>
                <w:szCs w:val="24"/>
                <w:lang w:val="en"/>
              </w:rPr>
              <w:br/>
            </w:r>
          </w:p>
        </w:tc>
      </w:tr>
      <w:tr w:rsidR="009A0A63" w:rsidRPr="00792B36" w14:paraId="53672817" w14:textId="77777777" w:rsidTr="00A24459">
        <w:tc>
          <w:tcPr>
            <w:tcW w:w="4673" w:type="dxa"/>
          </w:tcPr>
          <w:p w14:paraId="0769895F" w14:textId="77777777" w:rsidR="009A0A63" w:rsidRPr="00792B36" w:rsidRDefault="009A0A63" w:rsidP="00A24459">
            <w:pPr>
              <w:rPr>
                <w:sz w:val="24"/>
                <w:szCs w:val="24"/>
                <w:lang w:val="en"/>
              </w:rPr>
            </w:pPr>
            <w:r w:rsidRPr="00792B36">
              <w:rPr>
                <w:b/>
                <w:bCs/>
                <w:sz w:val="24"/>
                <w:szCs w:val="24"/>
                <w:lang w:val="en"/>
              </w:rPr>
              <w:t>Strategy 2</w:t>
            </w:r>
            <w:r w:rsidRPr="00792B36">
              <w:rPr>
                <w:sz w:val="24"/>
                <w:szCs w:val="24"/>
                <w:lang w:val="en"/>
              </w:rPr>
              <w:t xml:space="preserve">: </w:t>
            </w:r>
            <w:r w:rsidRPr="00792B36">
              <w:rPr>
                <w:sz w:val="24"/>
                <w:szCs w:val="24"/>
              </w:rPr>
              <w:t xml:space="preserve">Promote sustainable use of biodiversity resources in a way that is fair and beneficial to local communities, including the sustainable management of agricultural, forestry, tourism, and fisheries areas to ensure balanced and non-destructive use. The strategy aims </w:t>
            </w:r>
            <w:r w:rsidRPr="00792B36">
              <w:rPr>
                <w:sz w:val="24"/>
                <w:szCs w:val="24"/>
                <w:lang w:val="en"/>
              </w:rPr>
              <w:t xml:space="preserve">to increase the value and income of local communities from goods and services from biological resources, enforce regulations on access and benefit-sharing, and promote sustainable agriculture and sustainable forest management so that natural resources are used in a balanced and sustainable manner.  </w:t>
            </w:r>
          </w:p>
          <w:p w14:paraId="76C7B6DC" w14:textId="77777777" w:rsidR="009A0A63" w:rsidRPr="00792B36" w:rsidRDefault="009A0A63" w:rsidP="00A24459">
            <w:pPr>
              <w:rPr>
                <w:sz w:val="24"/>
                <w:szCs w:val="24"/>
                <w:lang w:val="en"/>
              </w:rPr>
            </w:pPr>
          </w:p>
        </w:tc>
        <w:tc>
          <w:tcPr>
            <w:tcW w:w="4678" w:type="dxa"/>
          </w:tcPr>
          <w:p w14:paraId="66BEFC59" w14:textId="77777777" w:rsidR="009A0A63" w:rsidRPr="00792B36" w:rsidRDefault="009A0A63" w:rsidP="00A24459">
            <w:pPr>
              <w:rPr>
                <w:sz w:val="24"/>
                <w:szCs w:val="24"/>
              </w:rPr>
            </w:pPr>
            <w:r w:rsidRPr="00792B36">
              <w:rPr>
                <w:sz w:val="24"/>
                <w:szCs w:val="24"/>
              </w:rPr>
              <w:t xml:space="preserve">Three targets under strategy 2 include the following.  </w:t>
            </w:r>
          </w:p>
          <w:p w14:paraId="47E3C7DC" w14:textId="77777777" w:rsidR="009A0A63" w:rsidRPr="00792B36" w:rsidRDefault="009A0A63" w:rsidP="00A24459">
            <w:pPr>
              <w:rPr>
                <w:sz w:val="24"/>
                <w:szCs w:val="24"/>
                <w:lang w:val="en"/>
              </w:rPr>
            </w:pPr>
            <w:r w:rsidRPr="00792B36">
              <w:rPr>
                <w:sz w:val="24"/>
                <w:szCs w:val="24"/>
              </w:rPr>
              <w:t xml:space="preserve">1) </w:t>
            </w:r>
            <w:r w:rsidRPr="00792B36">
              <w:rPr>
                <w:sz w:val="24"/>
                <w:szCs w:val="24"/>
                <w:u w:val="single"/>
                <w:lang w:val="en"/>
              </w:rPr>
              <w:t>Goal 5</w:t>
            </w:r>
            <w:r w:rsidRPr="00792B36">
              <w:rPr>
                <w:sz w:val="24"/>
                <w:szCs w:val="24"/>
                <w:lang w:val="en"/>
              </w:rPr>
              <w:t xml:space="preserve">: To increase the value and income of local communities from the bioresource base, by promoting a bio-economy; </w:t>
            </w:r>
          </w:p>
          <w:p w14:paraId="0877217C" w14:textId="77777777" w:rsidR="009A0A63" w:rsidRPr="00792B36" w:rsidRDefault="009A0A63" w:rsidP="00A24459">
            <w:pPr>
              <w:rPr>
                <w:sz w:val="24"/>
                <w:szCs w:val="24"/>
              </w:rPr>
            </w:pPr>
            <w:r w:rsidRPr="00792B36">
              <w:rPr>
                <w:sz w:val="24"/>
                <w:szCs w:val="24"/>
                <w:lang w:val="en"/>
              </w:rPr>
              <w:t xml:space="preserve">2) </w:t>
            </w:r>
            <w:r w:rsidRPr="00792B36">
              <w:rPr>
                <w:sz w:val="24"/>
                <w:szCs w:val="24"/>
                <w:u w:val="single"/>
                <w:lang w:val="en"/>
              </w:rPr>
              <w:t>Goal 6:</w:t>
            </w:r>
            <w:r w:rsidRPr="00792B36">
              <w:rPr>
                <w:sz w:val="24"/>
                <w:szCs w:val="24"/>
                <w:lang w:val="en"/>
              </w:rPr>
              <w:t xml:space="preserve"> To improve the sustainable management of production and service sectors, including tourism, by establishing appropriate management measures, promoting sustainable agriculture, forestry, resource management, fisheries and tourism; </w:t>
            </w:r>
            <w:r w:rsidRPr="00792B36">
              <w:rPr>
                <w:sz w:val="24"/>
                <w:szCs w:val="24"/>
              </w:rPr>
              <w:t xml:space="preserve">and </w:t>
            </w:r>
          </w:p>
          <w:p w14:paraId="5D4C4E5D" w14:textId="77777777" w:rsidR="009A0A63" w:rsidRPr="00792B36" w:rsidRDefault="009A0A63" w:rsidP="00A24459">
            <w:pPr>
              <w:rPr>
                <w:sz w:val="24"/>
                <w:szCs w:val="24"/>
              </w:rPr>
            </w:pPr>
            <w:r w:rsidRPr="00792B36">
              <w:rPr>
                <w:sz w:val="24"/>
                <w:szCs w:val="24"/>
              </w:rPr>
              <w:t xml:space="preserve">3) </w:t>
            </w:r>
            <w:r w:rsidRPr="00792B36">
              <w:rPr>
                <w:sz w:val="24"/>
                <w:szCs w:val="24"/>
                <w:u w:val="single"/>
                <w:lang w:val="en"/>
              </w:rPr>
              <w:t>Goal 7</w:t>
            </w:r>
            <w:r w:rsidRPr="00792B36">
              <w:rPr>
                <w:sz w:val="24"/>
                <w:szCs w:val="24"/>
                <w:lang w:val="en"/>
              </w:rPr>
              <w:t>: To establish mechanisms for access and benefit-sharing from genetic resources, by promoting the implementation of mechanisms and regulations for access and benefit-sharing.</w:t>
            </w:r>
          </w:p>
        </w:tc>
      </w:tr>
      <w:tr w:rsidR="009A0A63" w:rsidRPr="00792B36" w14:paraId="2A250786" w14:textId="77777777" w:rsidTr="00A24459">
        <w:tc>
          <w:tcPr>
            <w:tcW w:w="4673" w:type="dxa"/>
          </w:tcPr>
          <w:p w14:paraId="3779E02F" w14:textId="77777777" w:rsidR="009A0A63" w:rsidRPr="00792B36" w:rsidRDefault="009A0A63" w:rsidP="00A24459">
            <w:pPr>
              <w:rPr>
                <w:sz w:val="24"/>
                <w:szCs w:val="24"/>
                <w:lang w:val="en"/>
              </w:rPr>
            </w:pPr>
            <w:r w:rsidRPr="00792B36">
              <w:rPr>
                <w:b/>
                <w:bCs/>
                <w:sz w:val="24"/>
                <w:szCs w:val="24"/>
                <w:lang w:val="en"/>
              </w:rPr>
              <w:t>Strategy 3</w:t>
            </w:r>
            <w:r w:rsidRPr="00792B36">
              <w:rPr>
                <w:sz w:val="24"/>
                <w:szCs w:val="24"/>
                <w:lang w:val="en"/>
              </w:rPr>
              <w:t xml:space="preserve">: </w:t>
            </w:r>
            <w:r w:rsidRPr="00792B36">
              <w:rPr>
                <w:sz w:val="24"/>
                <w:szCs w:val="24"/>
              </w:rPr>
              <w:t xml:space="preserve">Integrate the importance of biodiversity into national and sectoral </w:t>
            </w:r>
            <w:r w:rsidRPr="00792B36">
              <w:rPr>
                <w:sz w:val="24"/>
                <w:szCs w:val="24"/>
              </w:rPr>
              <w:lastRenderedPageBreak/>
              <w:t xml:space="preserve">policies, planning processes, and development projects, by incorporating biodiversity into policies and plans in all development. Strategy 3 </w:t>
            </w:r>
            <w:r w:rsidRPr="00792B36">
              <w:rPr>
                <w:sz w:val="24"/>
                <w:szCs w:val="24"/>
                <w:lang w:val="en"/>
              </w:rPr>
              <w:t>aims to focuses on integrating biodiversity into policies and plans of all sectors by promoting the establishment of at least five local biodiversity management plans and the disclosure of information on biodiversity of not less than 20 percent, which will enable national development and planning to coordinate and promote biodiversity conservation effectively.</w:t>
            </w:r>
          </w:p>
          <w:p w14:paraId="599A3F24" w14:textId="77777777" w:rsidR="009A0A63" w:rsidRPr="00792B36" w:rsidRDefault="009A0A63" w:rsidP="00A24459">
            <w:pPr>
              <w:rPr>
                <w:sz w:val="24"/>
                <w:szCs w:val="24"/>
                <w:lang w:val="en"/>
              </w:rPr>
            </w:pPr>
          </w:p>
        </w:tc>
        <w:tc>
          <w:tcPr>
            <w:tcW w:w="4678" w:type="dxa"/>
          </w:tcPr>
          <w:p w14:paraId="0D7540A4" w14:textId="77777777" w:rsidR="009A0A63" w:rsidRPr="00792B36" w:rsidRDefault="009A0A63" w:rsidP="00A24459">
            <w:pPr>
              <w:pStyle w:val="ListParagraph"/>
              <w:ind w:left="0"/>
              <w:rPr>
                <w:rFonts w:cs="Arial"/>
                <w:sz w:val="24"/>
                <w:szCs w:val="24"/>
                <w:lang w:val="en"/>
              </w:rPr>
            </w:pPr>
            <w:r w:rsidRPr="00792B36">
              <w:rPr>
                <w:rFonts w:cs="Arial"/>
                <w:sz w:val="24"/>
                <w:szCs w:val="24"/>
              </w:rPr>
              <w:lastRenderedPageBreak/>
              <w:t xml:space="preserve">Four targets under strategy 3 include the following.   </w:t>
            </w:r>
          </w:p>
          <w:p w14:paraId="663D9104" w14:textId="77777777" w:rsidR="009A0A63" w:rsidRPr="00792B36" w:rsidRDefault="009A0A63" w:rsidP="00A24459">
            <w:pPr>
              <w:pStyle w:val="ListParagraph"/>
              <w:ind w:left="0"/>
              <w:rPr>
                <w:rFonts w:cs="Arial"/>
                <w:sz w:val="24"/>
                <w:szCs w:val="24"/>
                <w:lang w:val="en"/>
              </w:rPr>
            </w:pPr>
            <w:r w:rsidRPr="00792B36">
              <w:rPr>
                <w:rFonts w:cs="Arial"/>
                <w:sz w:val="24"/>
                <w:szCs w:val="24"/>
                <w:lang w:val="en"/>
              </w:rPr>
              <w:lastRenderedPageBreak/>
              <w:t xml:space="preserve">1) </w:t>
            </w:r>
            <w:r w:rsidRPr="00792B36">
              <w:rPr>
                <w:rFonts w:cs="Arial"/>
                <w:sz w:val="24"/>
                <w:szCs w:val="24"/>
                <w:u w:val="single"/>
                <w:lang w:val="en"/>
              </w:rPr>
              <w:t>Goal 8</w:t>
            </w:r>
            <w:r w:rsidRPr="00792B36">
              <w:rPr>
                <w:rFonts w:cs="Arial"/>
                <w:sz w:val="24"/>
                <w:szCs w:val="24"/>
                <w:lang w:val="en"/>
              </w:rPr>
              <w:t xml:space="preserve">: To integrate biodiversity into the operations of all sectors, by developing guidelines for integrating biodiversity management into the operations of various sectors and developing local biodiversity management </w:t>
            </w:r>
            <w:proofErr w:type="gramStart"/>
            <w:r w:rsidRPr="00792B36">
              <w:rPr>
                <w:rFonts w:cs="Arial"/>
                <w:sz w:val="24"/>
                <w:szCs w:val="24"/>
                <w:lang w:val="en"/>
              </w:rPr>
              <w:t>plans;</w:t>
            </w:r>
            <w:proofErr w:type="gramEnd"/>
            <w:r w:rsidRPr="00792B36">
              <w:rPr>
                <w:rFonts w:cs="Arial"/>
                <w:sz w:val="24"/>
                <w:szCs w:val="24"/>
                <w:lang w:val="en"/>
              </w:rPr>
              <w:t xml:space="preserve"> </w:t>
            </w:r>
          </w:p>
          <w:p w14:paraId="62F1448E" w14:textId="77777777" w:rsidR="009A0A63" w:rsidRPr="00792B36" w:rsidRDefault="009A0A63" w:rsidP="00A24459">
            <w:pPr>
              <w:pStyle w:val="ListParagraph"/>
              <w:ind w:left="0"/>
              <w:rPr>
                <w:rFonts w:cs="Arial"/>
                <w:sz w:val="24"/>
                <w:szCs w:val="24"/>
                <w:lang w:val="en"/>
              </w:rPr>
            </w:pPr>
            <w:r w:rsidRPr="00792B36">
              <w:rPr>
                <w:rFonts w:cs="Arial"/>
                <w:sz w:val="24"/>
                <w:szCs w:val="24"/>
                <w:lang w:val="en"/>
              </w:rPr>
              <w:t xml:space="preserve">2) </w:t>
            </w:r>
            <w:r w:rsidRPr="00792B36">
              <w:rPr>
                <w:rFonts w:cs="Arial"/>
                <w:sz w:val="24"/>
                <w:szCs w:val="24"/>
                <w:u w:val="single"/>
                <w:lang w:val="en"/>
              </w:rPr>
              <w:t>Goal 9</w:t>
            </w:r>
            <w:r w:rsidRPr="00792B36">
              <w:rPr>
                <w:rFonts w:cs="Arial"/>
                <w:sz w:val="24"/>
                <w:szCs w:val="24"/>
                <w:lang w:val="en"/>
              </w:rPr>
              <w:t xml:space="preserve">: To mobilize </w:t>
            </w:r>
            <w:r w:rsidRPr="00792B36">
              <w:rPr>
                <w:rFonts w:cs="Arial"/>
                <w:color w:val="FF0000"/>
                <w:sz w:val="24"/>
                <w:szCs w:val="24"/>
                <w:lang w:val="en"/>
              </w:rPr>
              <w:t xml:space="preserve">financial resources </w:t>
            </w:r>
            <w:r w:rsidRPr="00792B36">
              <w:rPr>
                <w:rFonts w:cs="Arial"/>
                <w:sz w:val="24"/>
                <w:szCs w:val="24"/>
                <w:lang w:val="en"/>
              </w:rPr>
              <w:t xml:space="preserve">for biodiversity conservation, by mobilizing financial resources from domestic and international </w:t>
            </w:r>
            <w:proofErr w:type="gramStart"/>
            <w:r w:rsidRPr="00792B36">
              <w:rPr>
                <w:rFonts w:cs="Arial"/>
                <w:sz w:val="24"/>
                <w:szCs w:val="24"/>
                <w:lang w:val="en"/>
              </w:rPr>
              <w:t>sources;</w:t>
            </w:r>
            <w:proofErr w:type="gramEnd"/>
            <w:r w:rsidRPr="00792B36">
              <w:rPr>
                <w:rFonts w:cs="Arial"/>
                <w:sz w:val="24"/>
                <w:szCs w:val="24"/>
                <w:lang w:val="en"/>
              </w:rPr>
              <w:t xml:space="preserve"> </w:t>
            </w:r>
          </w:p>
          <w:p w14:paraId="5CDFF053" w14:textId="77777777" w:rsidR="009A0A63" w:rsidRPr="00792B36" w:rsidRDefault="009A0A63" w:rsidP="00A24459">
            <w:pPr>
              <w:pStyle w:val="ListParagraph"/>
              <w:ind w:left="0"/>
              <w:rPr>
                <w:rFonts w:cs="Arial"/>
                <w:sz w:val="24"/>
                <w:szCs w:val="24"/>
                <w:lang w:val="en"/>
              </w:rPr>
            </w:pPr>
            <w:r w:rsidRPr="00792B36">
              <w:rPr>
                <w:rFonts w:cs="Arial"/>
                <w:sz w:val="24"/>
                <w:szCs w:val="24"/>
                <w:lang w:val="en"/>
              </w:rPr>
              <w:t xml:space="preserve">3) </w:t>
            </w:r>
            <w:r w:rsidRPr="00792B36">
              <w:rPr>
                <w:rFonts w:cs="Arial"/>
                <w:sz w:val="24"/>
                <w:szCs w:val="24"/>
                <w:u w:val="single"/>
                <w:lang w:val="en"/>
              </w:rPr>
              <w:t>Goal 10</w:t>
            </w:r>
            <w:r w:rsidRPr="00792B36">
              <w:rPr>
                <w:rFonts w:cs="Arial"/>
                <w:sz w:val="24"/>
                <w:szCs w:val="24"/>
                <w:lang w:val="en"/>
              </w:rPr>
              <w:t xml:space="preserve">: Develop information and knowledge systems on biodiversity, including promoting awareness by developing information systems to support decision-making and raising awareness in various </w:t>
            </w:r>
            <w:proofErr w:type="gramStart"/>
            <w:r w:rsidRPr="00792B36">
              <w:rPr>
                <w:rFonts w:cs="Arial"/>
                <w:sz w:val="24"/>
                <w:szCs w:val="24"/>
                <w:lang w:val="en"/>
              </w:rPr>
              <w:t>sectors;</w:t>
            </w:r>
            <w:proofErr w:type="gramEnd"/>
            <w:r w:rsidRPr="00792B36">
              <w:rPr>
                <w:rFonts w:cs="Arial"/>
                <w:sz w:val="24"/>
                <w:szCs w:val="24"/>
                <w:lang w:val="en"/>
              </w:rPr>
              <w:t xml:space="preserve"> </w:t>
            </w:r>
          </w:p>
          <w:p w14:paraId="161379D8" w14:textId="77777777" w:rsidR="009A0A63" w:rsidRPr="00792B36" w:rsidRDefault="009A0A63" w:rsidP="00A24459">
            <w:pPr>
              <w:pStyle w:val="ListParagraph"/>
              <w:ind w:left="0"/>
              <w:rPr>
                <w:rFonts w:cs="Arial"/>
                <w:sz w:val="24"/>
                <w:szCs w:val="24"/>
                <w:lang w:val="en"/>
              </w:rPr>
            </w:pPr>
            <w:r w:rsidRPr="00792B36">
              <w:rPr>
                <w:rFonts w:cs="Arial"/>
                <w:sz w:val="24"/>
                <w:szCs w:val="24"/>
                <w:lang w:val="en"/>
              </w:rPr>
              <w:t xml:space="preserve">4) </w:t>
            </w:r>
            <w:r w:rsidRPr="00792B36">
              <w:rPr>
                <w:rFonts w:cs="Arial"/>
                <w:sz w:val="24"/>
                <w:szCs w:val="24"/>
                <w:u w:val="single"/>
                <w:lang w:val="en"/>
              </w:rPr>
              <w:t>Goal 11</w:t>
            </w:r>
            <w:r w:rsidRPr="00792B36">
              <w:rPr>
                <w:rFonts w:cs="Arial"/>
                <w:sz w:val="24"/>
                <w:szCs w:val="24"/>
                <w:lang w:val="en"/>
              </w:rPr>
              <w:t xml:space="preserve">: Develop capacity and cooperation in technology transfer, including research, by exchanging knowledge and creating academic cooperation both domestically and internationally; and </w:t>
            </w:r>
          </w:p>
          <w:p w14:paraId="04361735" w14:textId="77777777" w:rsidR="009A0A63" w:rsidRPr="00792B36" w:rsidRDefault="009A0A63" w:rsidP="00A24459">
            <w:pPr>
              <w:pStyle w:val="ListParagraph"/>
              <w:ind w:left="0"/>
              <w:rPr>
                <w:rFonts w:cs="Arial"/>
                <w:sz w:val="24"/>
                <w:szCs w:val="24"/>
                <w:lang w:val="en"/>
              </w:rPr>
            </w:pPr>
            <w:r w:rsidRPr="00792B36">
              <w:rPr>
                <w:rFonts w:cs="Arial"/>
                <w:sz w:val="24"/>
                <w:szCs w:val="24"/>
                <w:lang w:val="en"/>
              </w:rPr>
              <w:t xml:space="preserve">5) </w:t>
            </w:r>
            <w:r w:rsidRPr="00792B36">
              <w:rPr>
                <w:rFonts w:cs="Arial"/>
                <w:sz w:val="24"/>
                <w:szCs w:val="24"/>
                <w:u w:val="single"/>
                <w:lang w:val="en"/>
              </w:rPr>
              <w:t>Goal 12</w:t>
            </w:r>
            <w:r w:rsidRPr="00792B36">
              <w:rPr>
                <w:rFonts w:cs="Arial"/>
                <w:sz w:val="24"/>
                <w:szCs w:val="24"/>
                <w:lang w:val="en"/>
              </w:rPr>
              <w:t>: Strengthen policy and legal frameworks for biodiversity by developing appropriate policy and legal frameworks.</w:t>
            </w:r>
          </w:p>
        </w:tc>
      </w:tr>
    </w:tbl>
    <w:p w14:paraId="699E6D27" w14:textId="77777777" w:rsidR="009A0A63" w:rsidRPr="00792B36" w:rsidRDefault="009A0A63" w:rsidP="009A0A63">
      <w:pPr>
        <w:rPr>
          <w:sz w:val="24"/>
          <w:szCs w:val="24"/>
          <w:lang w:val="en"/>
        </w:rPr>
      </w:pPr>
    </w:p>
    <w:p w14:paraId="7DCE6A53" w14:textId="77777777" w:rsidR="009A0A63" w:rsidRPr="00792B36" w:rsidRDefault="009A0A63" w:rsidP="009A0A63">
      <w:pPr>
        <w:spacing w:before="120"/>
        <w:rPr>
          <w:b/>
          <w:bCs/>
          <w:sz w:val="24"/>
          <w:szCs w:val="24"/>
        </w:rPr>
      </w:pPr>
      <w:r w:rsidRPr="00792B36">
        <w:rPr>
          <w:b/>
          <w:bCs/>
          <w:sz w:val="24"/>
          <w:szCs w:val="24"/>
        </w:rPr>
        <w:t>h) The National Marine and Coastal Resources Management Policy (NMCRC) and Plan B.E. 2566-2570 (2023–2027)</w:t>
      </w:r>
    </w:p>
    <w:p w14:paraId="72D1E756" w14:textId="77777777" w:rsidR="009A0A63" w:rsidRPr="00792B36" w:rsidRDefault="009A0A63" w:rsidP="009A0A63">
      <w:pPr>
        <w:spacing w:before="120"/>
        <w:rPr>
          <w:sz w:val="24"/>
          <w:szCs w:val="24"/>
        </w:rPr>
      </w:pPr>
      <w:r w:rsidRPr="00792B36">
        <w:rPr>
          <w:sz w:val="24"/>
          <w:szCs w:val="24"/>
        </w:rPr>
        <w:t>The National Marine and Coastal Resources Management Policy and Plan B.E. 2566-2570 (2023–2027) emphasizes the conservation, protection, restoration, and sustainable utilization of marine and coastal resources (DMCR 2024a). It aligns with the global Sustainable Development Goals (SDGs) and Thailand’s 20-Year National Strategy, ensuring that resource use is both efficient and equitable.</w:t>
      </w:r>
    </w:p>
    <w:p w14:paraId="79A4D1BD" w14:textId="77777777" w:rsidR="009A0A63" w:rsidRPr="00792B36" w:rsidRDefault="009A0A63" w:rsidP="009A0A63">
      <w:pPr>
        <w:spacing w:before="120"/>
        <w:rPr>
          <w:sz w:val="24"/>
          <w:szCs w:val="24"/>
        </w:rPr>
      </w:pPr>
      <w:r w:rsidRPr="00792B36">
        <w:rPr>
          <w:sz w:val="24"/>
          <w:szCs w:val="24"/>
        </w:rPr>
        <w:t>The plan's vision is:</w:t>
      </w:r>
      <w:r w:rsidRPr="00792B36">
        <w:rPr>
          <w:sz w:val="24"/>
          <w:szCs w:val="24"/>
        </w:rPr>
        <w:br/>
        <w:t>"Marine and coastal resources are abundant, creating a balance between conservation and sustainable, fair utilization."</w:t>
      </w:r>
    </w:p>
    <w:p w14:paraId="430F3778" w14:textId="77777777" w:rsidR="009A0A63" w:rsidRPr="00792B36" w:rsidRDefault="009A0A63" w:rsidP="009A0A63">
      <w:pPr>
        <w:spacing w:before="120"/>
        <w:rPr>
          <w:sz w:val="24"/>
          <w:szCs w:val="24"/>
        </w:rPr>
      </w:pPr>
      <w:r w:rsidRPr="00792B36">
        <w:rPr>
          <w:sz w:val="24"/>
          <w:szCs w:val="24"/>
        </w:rPr>
        <w:t>The plan sets out four main objectives:</w:t>
      </w:r>
    </w:p>
    <w:p w14:paraId="39CFE184" w14:textId="77777777" w:rsidR="009A0A63" w:rsidRPr="00792B36" w:rsidRDefault="009A0A63" w:rsidP="00F61B37">
      <w:pPr>
        <w:widowControl/>
        <w:numPr>
          <w:ilvl w:val="0"/>
          <w:numId w:val="135"/>
        </w:numPr>
        <w:spacing w:before="120"/>
        <w:rPr>
          <w:sz w:val="24"/>
          <w:szCs w:val="24"/>
        </w:rPr>
      </w:pPr>
      <w:r w:rsidRPr="00792B36">
        <w:rPr>
          <w:sz w:val="24"/>
          <w:szCs w:val="24"/>
        </w:rPr>
        <w:t>To maintain the abundance of marine and coastal resources and achieve a balance between conservation and sustainable use.</w:t>
      </w:r>
    </w:p>
    <w:p w14:paraId="770B6682" w14:textId="77777777" w:rsidR="009A0A63" w:rsidRPr="00792B36" w:rsidRDefault="009A0A63" w:rsidP="00F61B37">
      <w:pPr>
        <w:widowControl/>
        <w:numPr>
          <w:ilvl w:val="0"/>
          <w:numId w:val="135"/>
        </w:numPr>
        <w:spacing w:before="120"/>
        <w:rPr>
          <w:sz w:val="24"/>
          <w:szCs w:val="24"/>
        </w:rPr>
      </w:pPr>
      <w:r w:rsidRPr="00792B36">
        <w:rPr>
          <w:sz w:val="24"/>
          <w:szCs w:val="24"/>
        </w:rPr>
        <w:t>To promote the sustainable and appropriate utilization of marine and coastal resources through inclusive participation from all sectors.</w:t>
      </w:r>
    </w:p>
    <w:p w14:paraId="0B68761A" w14:textId="77777777" w:rsidR="009A0A63" w:rsidRPr="00792B36" w:rsidRDefault="009A0A63" w:rsidP="00F61B37">
      <w:pPr>
        <w:widowControl/>
        <w:numPr>
          <w:ilvl w:val="0"/>
          <w:numId w:val="135"/>
        </w:numPr>
        <w:spacing w:before="120"/>
        <w:rPr>
          <w:sz w:val="24"/>
          <w:szCs w:val="24"/>
        </w:rPr>
      </w:pPr>
      <w:r w:rsidRPr="00792B36">
        <w:rPr>
          <w:sz w:val="24"/>
          <w:szCs w:val="24"/>
        </w:rPr>
        <w:t>To enhance the efficiency of management mechanisms and tools at national, regional, and international levels.</w:t>
      </w:r>
    </w:p>
    <w:p w14:paraId="41877413" w14:textId="77777777" w:rsidR="009A0A63" w:rsidRPr="00792B36" w:rsidRDefault="009A0A63" w:rsidP="00F61B37">
      <w:pPr>
        <w:widowControl/>
        <w:numPr>
          <w:ilvl w:val="0"/>
          <w:numId w:val="135"/>
        </w:numPr>
        <w:spacing w:before="120"/>
        <w:rPr>
          <w:sz w:val="24"/>
          <w:szCs w:val="24"/>
        </w:rPr>
      </w:pPr>
      <w:r w:rsidRPr="00792B36">
        <w:rPr>
          <w:sz w:val="24"/>
          <w:szCs w:val="24"/>
        </w:rPr>
        <w:lastRenderedPageBreak/>
        <w:t>To sustainably and systematically prevent and address coastal erosion problems.</w:t>
      </w:r>
    </w:p>
    <w:p w14:paraId="047CD253" w14:textId="77777777" w:rsidR="009A0A63" w:rsidRPr="00792B36" w:rsidRDefault="009A0A63" w:rsidP="009A0A63">
      <w:pPr>
        <w:spacing w:before="120"/>
        <w:rPr>
          <w:sz w:val="24"/>
          <w:szCs w:val="24"/>
        </w:rPr>
      </w:pPr>
      <w:r w:rsidRPr="00792B36">
        <w:rPr>
          <w:sz w:val="24"/>
          <w:szCs w:val="24"/>
        </w:rPr>
        <w:t>The plan identifies four key goals:</w:t>
      </w:r>
    </w:p>
    <w:p w14:paraId="439D7053" w14:textId="77777777" w:rsidR="009A0A63" w:rsidRPr="00792B36" w:rsidRDefault="009A0A63" w:rsidP="00F61B37">
      <w:pPr>
        <w:widowControl/>
        <w:numPr>
          <w:ilvl w:val="0"/>
          <w:numId w:val="136"/>
        </w:numPr>
        <w:spacing w:before="120"/>
        <w:rPr>
          <w:sz w:val="24"/>
          <w:szCs w:val="24"/>
        </w:rPr>
      </w:pPr>
      <w:r w:rsidRPr="00792B36">
        <w:rPr>
          <w:sz w:val="24"/>
          <w:szCs w:val="24"/>
        </w:rPr>
        <w:t>Coastal and marine areas are effectively and systematically managed to conserve biodiversity.</w:t>
      </w:r>
    </w:p>
    <w:p w14:paraId="09EB0682" w14:textId="77777777" w:rsidR="009A0A63" w:rsidRPr="00792B36" w:rsidRDefault="009A0A63" w:rsidP="00F61B37">
      <w:pPr>
        <w:widowControl/>
        <w:numPr>
          <w:ilvl w:val="0"/>
          <w:numId w:val="136"/>
        </w:numPr>
        <w:spacing w:before="120"/>
        <w:rPr>
          <w:sz w:val="24"/>
          <w:szCs w:val="24"/>
        </w:rPr>
      </w:pPr>
      <w:r w:rsidRPr="00792B36">
        <w:rPr>
          <w:sz w:val="24"/>
          <w:szCs w:val="24"/>
        </w:rPr>
        <w:t>Mangrove forest areas are increasing.</w:t>
      </w:r>
    </w:p>
    <w:p w14:paraId="1865615A" w14:textId="77777777" w:rsidR="009A0A63" w:rsidRPr="00792B36" w:rsidRDefault="009A0A63" w:rsidP="00F61B37">
      <w:pPr>
        <w:widowControl/>
        <w:numPr>
          <w:ilvl w:val="0"/>
          <w:numId w:val="136"/>
        </w:numPr>
        <w:spacing w:before="120"/>
        <w:rPr>
          <w:sz w:val="24"/>
          <w:szCs w:val="24"/>
        </w:rPr>
      </w:pPr>
      <w:r w:rsidRPr="00792B36">
        <w:rPr>
          <w:sz w:val="24"/>
          <w:szCs w:val="24"/>
        </w:rPr>
        <w:t>Damage, risk, and impacts from natural disasters and climate change are reduced.</w:t>
      </w:r>
    </w:p>
    <w:p w14:paraId="04546F0C" w14:textId="77777777" w:rsidR="009A0A63" w:rsidRPr="00792B36" w:rsidRDefault="009A0A63" w:rsidP="00F61B37">
      <w:pPr>
        <w:widowControl/>
        <w:numPr>
          <w:ilvl w:val="0"/>
          <w:numId w:val="136"/>
        </w:numPr>
        <w:spacing w:before="120"/>
        <w:rPr>
          <w:sz w:val="24"/>
          <w:szCs w:val="24"/>
        </w:rPr>
      </w:pPr>
      <w:r w:rsidRPr="00792B36">
        <w:rPr>
          <w:sz w:val="24"/>
          <w:szCs w:val="24"/>
        </w:rPr>
        <w:t>The quality of Thailand’s marine environment improves sustainably.</w:t>
      </w:r>
    </w:p>
    <w:p w14:paraId="3634DF6D" w14:textId="77777777" w:rsidR="009A0A63" w:rsidRPr="00792B36" w:rsidRDefault="009A0A63" w:rsidP="009A0A63">
      <w:pPr>
        <w:spacing w:before="120"/>
        <w:rPr>
          <w:sz w:val="24"/>
          <w:szCs w:val="24"/>
        </w:rPr>
      </w:pPr>
      <w:r w:rsidRPr="00792B36">
        <w:rPr>
          <w:sz w:val="24"/>
          <w:szCs w:val="24"/>
        </w:rPr>
        <w:t>To achieve these goals, the plan outlines five sub-plans and guidelines, as detailed in Table</w:t>
      </w:r>
      <w:r w:rsidRPr="00792B36">
        <w:rPr>
          <w:b/>
          <w:bCs/>
          <w:sz w:val="24"/>
          <w:szCs w:val="24"/>
        </w:rPr>
        <w:t xml:space="preserve"> 3</w:t>
      </w:r>
      <w:r w:rsidRPr="00792B36">
        <w:rPr>
          <w:sz w:val="24"/>
          <w:szCs w:val="24"/>
        </w:rPr>
        <w:t>.</w:t>
      </w:r>
    </w:p>
    <w:p w14:paraId="256C17B0" w14:textId="77777777" w:rsidR="009A0A63" w:rsidRPr="00792B36" w:rsidRDefault="009A0A63" w:rsidP="009A0A63">
      <w:pPr>
        <w:rPr>
          <w:sz w:val="24"/>
          <w:szCs w:val="24"/>
        </w:rPr>
      </w:pPr>
      <w:r w:rsidRPr="00792B36">
        <w:rPr>
          <w:sz w:val="24"/>
          <w:szCs w:val="24"/>
        </w:rPr>
        <w:br w:type="page"/>
      </w:r>
    </w:p>
    <w:p w14:paraId="3ED59287" w14:textId="77777777" w:rsidR="009A0A63" w:rsidRPr="00792B36" w:rsidRDefault="009A0A63" w:rsidP="009A0A63">
      <w:pPr>
        <w:pStyle w:val="ListParagraph"/>
        <w:ind w:left="0"/>
        <w:jc w:val="both"/>
        <w:rPr>
          <w:rFonts w:cs="Arial"/>
          <w:sz w:val="24"/>
          <w:szCs w:val="24"/>
        </w:rPr>
      </w:pPr>
      <w:r w:rsidRPr="00792B36">
        <w:rPr>
          <w:rFonts w:cs="Arial"/>
          <w:sz w:val="24"/>
          <w:szCs w:val="24"/>
        </w:rPr>
        <w:lastRenderedPageBreak/>
        <w:t xml:space="preserve">Table 3: Sub-plans and guidelines pertaining to the National Marine and Coastal Resources Management Policy and Plan (2023-2027) </w:t>
      </w:r>
    </w:p>
    <w:tbl>
      <w:tblPr>
        <w:tblStyle w:val="TableGrid"/>
        <w:tblW w:w="0" w:type="auto"/>
        <w:tblLook w:val="04A0" w:firstRow="1" w:lastRow="0" w:firstColumn="1" w:lastColumn="0" w:noHBand="0" w:noVBand="1"/>
      </w:tblPr>
      <w:tblGrid>
        <w:gridCol w:w="4505"/>
        <w:gridCol w:w="4505"/>
      </w:tblGrid>
      <w:tr w:rsidR="009A0A63" w:rsidRPr="00792B36" w14:paraId="7DA83567" w14:textId="77777777" w:rsidTr="00A24459">
        <w:trPr>
          <w:tblHeader/>
        </w:trPr>
        <w:tc>
          <w:tcPr>
            <w:tcW w:w="4508" w:type="dxa"/>
          </w:tcPr>
          <w:p w14:paraId="22632BD9" w14:textId="77777777" w:rsidR="009A0A63" w:rsidRPr="00792B36" w:rsidRDefault="009A0A63" w:rsidP="00A24459">
            <w:pPr>
              <w:pStyle w:val="ListParagraph"/>
              <w:ind w:left="0"/>
              <w:jc w:val="both"/>
              <w:rPr>
                <w:rFonts w:cs="Arial"/>
                <w:b/>
                <w:bCs/>
                <w:sz w:val="24"/>
                <w:szCs w:val="24"/>
              </w:rPr>
            </w:pPr>
            <w:r w:rsidRPr="00792B36">
              <w:rPr>
                <w:rFonts w:cs="Arial"/>
                <w:b/>
                <w:bCs/>
                <w:sz w:val="24"/>
                <w:szCs w:val="24"/>
              </w:rPr>
              <w:t xml:space="preserve">Sub-plan </w:t>
            </w:r>
          </w:p>
        </w:tc>
        <w:tc>
          <w:tcPr>
            <w:tcW w:w="4508" w:type="dxa"/>
          </w:tcPr>
          <w:p w14:paraId="5195DF66" w14:textId="77777777" w:rsidR="009A0A63" w:rsidRPr="00792B36" w:rsidRDefault="009A0A63" w:rsidP="00A24459">
            <w:pPr>
              <w:pStyle w:val="ListParagraph"/>
              <w:ind w:left="0"/>
              <w:jc w:val="both"/>
              <w:rPr>
                <w:rFonts w:cs="Arial"/>
                <w:b/>
                <w:bCs/>
                <w:sz w:val="24"/>
                <w:szCs w:val="24"/>
              </w:rPr>
            </w:pPr>
            <w:r w:rsidRPr="00792B36">
              <w:rPr>
                <w:rFonts w:cs="Arial"/>
                <w:b/>
                <w:bCs/>
                <w:sz w:val="24"/>
                <w:szCs w:val="24"/>
              </w:rPr>
              <w:t xml:space="preserve">Guidelines </w:t>
            </w:r>
          </w:p>
        </w:tc>
      </w:tr>
      <w:tr w:rsidR="009A0A63" w:rsidRPr="00792B36" w14:paraId="486A02F3" w14:textId="77777777" w:rsidTr="00A24459">
        <w:tc>
          <w:tcPr>
            <w:tcW w:w="4508" w:type="dxa"/>
          </w:tcPr>
          <w:p w14:paraId="39159918" w14:textId="77777777" w:rsidR="009A0A63" w:rsidRPr="00792B36" w:rsidRDefault="009A0A63" w:rsidP="00A24459">
            <w:pPr>
              <w:pStyle w:val="ListParagraph"/>
              <w:ind w:left="29"/>
              <w:rPr>
                <w:rFonts w:cs="Arial"/>
                <w:sz w:val="24"/>
                <w:szCs w:val="24"/>
                <w:lang w:val="en"/>
              </w:rPr>
            </w:pPr>
            <w:r w:rsidRPr="00792B36">
              <w:rPr>
                <w:rFonts w:cs="Arial"/>
                <w:sz w:val="24"/>
                <w:szCs w:val="24"/>
              </w:rPr>
              <w:t xml:space="preserve">Sub-plan one: </w:t>
            </w:r>
            <w:r w:rsidRPr="00792B36">
              <w:rPr>
                <w:rFonts w:cs="Arial"/>
                <w:sz w:val="24"/>
                <w:szCs w:val="24"/>
                <w:lang w:val="en"/>
              </w:rPr>
              <w:t>Conserve, protect, restore, and prevent marine and coastal resources with 5 guidelines</w:t>
            </w:r>
          </w:p>
        </w:tc>
        <w:tc>
          <w:tcPr>
            <w:tcW w:w="4508" w:type="dxa"/>
          </w:tcPr>
          <w:p w14:paraId="0C9EFE1F" w14:textId="77777777" w:rsidR="009A0A63" w:rsidRPr="00792B36" w:rsidRDefault="009A0A63" w:rsidP="00A24459">
            <w:pPr>
              <w:pStyle w:val="ListParagraph"/>
              <w:ind w:left="57"/>
              <w:rPr>
                <w:rFonts w:cs="Arial"/>
                <w:sz w:val="24"/>
                <w:szCs w:val="24"/>
                <w:lang w:val="en"/>
              </w:rPr>
            </w:pPr>
            <w:r w:rsidRPr="00792B36">
              <w:rPr>
                <w:rFonts w:cs="Arial"/>
                <w:sz w:val="24"/>
                <w:szCs w:val="24"/>
                <w:lang w:val="en"/>
              </w:rPr>
              <w:t xml:space="preserve">Guideline 1.1 Conserve and maintain marine and coastal resources as a basis for balanced and sustainable national </w:t>
            </w:r>
            <w:proofErr w:type="gramStart"/>
            <w:r w:rsidRPr="00792B36">
              <w:rPr>
                <w:rFonts w:cs="Arial"/>
                <w:sz w:val="24"/>
                <w:szCs w:val="24"/>
                <w:lang w:val="en"/>
              </w:rPr>
              <w:t>development;</w:t>
            </w:r>
            <w:proofErr w:type="gramEnd"/>
            <w:r w:rsidRPr="00792B36">
              <w:rPr>
                <w:rFonts w:cs="Arial"/>
                <w:sz w:val="24"/>
                <w:szCs w:val="24"/>
                <w:lang w:val="en"/>
              </w:rPr>
              <w:t xml:space="preserve"> </w:t>
            </w:r>
          </w:p>
          <w:p w14:paraId="4A879AEA" w14:textId="77777777" w:rsidR="009A0A63" w:rsidRPr="00792B36" w:rsidRDefault="009A0A63" w:rsidP="00A24459">
            <w:pPr>
              <w:pStyle w:val="ListParagraph"/>
              <w:ind w:left="57"/>
              <w:rPr>
                <w:rFonts w:cs="Arial"/>
                <w:sz w:val="24"/>
                <w:szCs w:val="24"/>
                <w:lang w:val="en"/>
              </w:rPr>
            </w:pPr>
            <w:r w:rsidRPr="00792B36">
              <w:rPr>
                <w:rFonts w:cs="Arial"/>
                <w:sz w:val="24"/>
                <w:szCs w:val="24"/>
                <w:lang w:val="en"/>
              </w:rPr>
              <w:t xml:space="preserve">Guideline 1.2 Restore and rebuild marine and coastal resource bases to reduce negative impacts from the country's social and economic </w:t>
            </w:r>
            <w:proofErr w:type="gramStart"/>
            <w:r w:rsidRPr="00792B36">
              <w:rPr>
                <w:rFonts w:cs="Arial"/>
                <w:sz w:val="24"/>
                <w:szCs w:val="24"/>
                <w:lang w:val="en"/>
              </w:rPr>
              <w:t>development;</w:t>
            </w:r>
            <w:proofErr w:type="gramEnd"/>
            <w:r w:rsidRPr="00792B36">
              <w:rPr>
                <w:rFonts w:cs="Arial"/>
                <w:sz w:val="24"/>
                <w:szCs w:val="24"/>
                <w:lang w:val="en"/>
              </w:rPr>
              <w:t xml:space="preserve"> </w:t>
            </w:r>
          </w:p>
          <w:p w14:paraId="4F4EF0ED" w14:textId="77777777" w:rsidR="009A0A63" w:rsidRPr="00792B36" w:rsidRDefault="009A0A63" w:rsidP="00A24459">
            <w:pPr>
              <w:pStyle w:val="ListParagraph"/>
              <w:ind w:left="57"/>
              <w:rPr>
                <w:rFonts w:cs="Arial"/>
                <w:color w:val="FF0000"/>
                <w:sz w:val="24"/>
                <w:szCs w:val="24"/>
                <w:lang w:val="en"/>
              </w:rPr>
            </w:pPr>
            <w:r w:rsidRPr="00792B36">
              <w:rPr>
                <w:rFonts w:cs="Arial"/>
                <w:sz w:val="24"/>
                <w:szCs w:val="24"/>
                <w:lang w:val="en"/>
              </w:rPr>
              <w:t xml:space="preserve">Guideline 1.3 </w:t>
            </w:r>
            <w:r w:rsidRPr="00792B36">
              <w:rPr>
                <w:rFonts w:cs="Arial"/>
                <w:color w:val="FF0000"/>
                <w:sz w:val="24"/>
                <w:szCs w:val="24"/>
                <w:lang w:val="en"/>
              </w:rPr>
              <w:t xml:space="preserve">Drive action to achieve the goal of protecting and conserving biodiversity by 30% by 2030 </w:t>
            </w:r>
            <w:r w:rsidRPr="00792B36">
              <w:rPr>
                <w:rStyle w:val="FootnoteReference"/>
                <w:rFonts w:cs="Arial"/>
                <w:color w:val="FF0000"/>
                <w:sz w:val="24"/>
                <w:szCs w:val="24"/>
                <w:lang w:val="en"/>
              </w:rPr>
              <w:footnoteReference w:id="1"/>
            </w:r>
            <w:r w:rsidRPr="00792B36">
              <w:rPr>
                <w:rFonts w:cs="Arial"/>
                <w:color w:val="FF0000"/>
                <w:sz w:val="24"/>
                <w:szCs w:val="24"/>
                <w:lang w:val="en"/>
              </w:rPr>
              <w:t xml:space="preserve"> </w:t>
            </w:r>
          </w:p>
          <w:p w14:paraId="227D9FD9" w14:textId="77777777" w:rsidR="009A0A63" w:rsidRPr="00792B36" w:rsidRDefault="009A0A63" w:rsidP="00A24459">
            <w:pPr>
              <w:pStyle w:val="ListParagraph"/>
              <w:ind w:left="57"/>
              <w:rPr>
                <w:rFonts w:cs="Arial"/>
                <w:sz w:val="24"/>
                <w:szCs w:val="24"/>
                <w:lang w:val="en"/>
              </w:rPr>
            </w:pPr>
            <w:r w:rsidRPr="00792B36">
              <w:rPr>
                <w:rFonts w:cs="Arial"/>
                <w:sz w:val="24"/>
                <w:szCs w:val="24"/>
                <w:lang w:val="en"/>
              </w:rPr>
              <w:t>Guideline 1.4 Restoration of aquatic animal resources and maintenance of their abundance at a level that provides maximum sustainable productivity; and Guideline 1.5 Promote and support the intelligent and sustainable management of marine mineral and energy resources.</w:t>
            </w:r>
          </w:p>
        </w:tc>
      </w:tr>
      <w:tr w:rsidR="009A0A63" w:rsidRPr="00792B36" w14:paraId="35EE1D82" w14:textId="77777777" w:rsidTr="00A24459">
        <w:tc>
          <w:tcPr>
            <w:tcW w:w="4508" w:type="dxa"/>
          </w:tcPr>
          <w:p w14:paraId="26000A2F" w14:textId="77777777" w:rsidR="009A0A63" w:rsidRPr="00792B36" w:rsidRDefault="009A0A63" w:rsidP="00A24459">
            <w:pPr>
              <w:pStyle w:val="ListParagraph"/>
              <w:ind w:left="0"/>
              <w:rPr>
                <w:rFonts w:cs="Arial"/>
                <w:sz w:val="24"/>
                <w:szCs w:val="24"/>
                <w:lang w:val="en"/>
              </w:rPr>
            </w:pPr>
            <w:r w:rsidRPr="00792B36">
              <w:rPr>
                <w:rFonts w:cs="Arial"/>
                <w:sz w:val="24"/>
                <w:szCs w:val="24"/>
                <w:lang w:val="en"/>
              </w:rPr>
              <w:t>Sub-plan two: Promote and support the development of the blue economy based on the balanced and sustainable use of marine and coastal resources with 5 guidelines</w:t>
            </w:r>
          </w:p>
        </w:tc>
        <w:tc>
          <w:tcPr>
            <w:tcW w:w="4508" w:type="dxa"/>
          </w:tcPr>
          <w:p w14:paraId="6A9361BF" w14:textId="77777777" w:rsidR="009A0A63" w:rsidRPr="00792B36" w:rsidRDefault="009A0A63" w:rsidP="00A24459">
            <w:pPr>
              <w:pStyle w:val="ListParagraph"/>
              <w:ind w:left="57"/>
              <w:rPr>
                <w:rFonts w:cs="Arial"/>
                <w:sz w:val="24"/>
                <w:szCs w:val="24"/>
                <w:lang w:val="en"/>
              </w:rPr>
            </w:pPr>
            <w:r w:rsidRPr="00792B36">
              <w:rPr>
                <w:rFonts w:cs="Arial"/>
                <w:sz w:val="24"/>
                <w:szCs w:val="24"/>
                <w:lang w:val="en"/>
              </w:rPr>
              <w:t xml:space="preserve">Guideline 2.1: Increase efficiency in marine litter management and proactive control of marine and coastal </w:t>
            </w:r>
            <w:proofErr w:type="gramStart"/>
            <w:r w:rsidRPr="00792B36">
              <w:rPr>
                <w:rFonts w:cs="Arial"/>
                <w:sz w:val="24"/>
                <w:szCs w:val="24"/>
                <w:lang w:val="en"/>
              </w:rPr>
              <w:t>pollution;</w:t>
            </w:r>
            <w:proofErr w:type="gramEnd"/>
            <w:r w:rsidRPr="00792B36">
              <w:rPr>
                <w:rFonts w:cs="Arial"/>
                <w:sz w:val="24"/>
                <w:szCs w:val="24"/>
                <w:lang w:val="en"/>
              </w:rPr>
              <w:t xml:space="preserve"> </w:t>
            </w:r>
          </w:p>
          <w:p w14:paraId="3319D0D4" w14:textId="77777777" w:rsidR="009A0A63" w:rsidRPr="00792B36" w:rsidRDefault="009A0A63" w:rsidP="00A24459">
            <w:pPr>
              <w:pStyle w:val="ListParagraph"/>
              <w:ind w:left="57"/>
              <w:rPr>
                <w:rFonts w:cs="Arial"/>
                <w:sz w:val="24"/>
                <w:szCs w:val="24"/>
                <w:lang w:val="en"/>
              </w:rPr>
            </w:pPr>
            <w:r w:rsidRPr="00792B36">
              <w:rPr>
                <w:rFonts w:cs="Arial"/>
                <w:sz w:val="24"/>
                <w:szCs w:val="24"/>
                <w:lang w:val="en"/>
              </w:rPr>
              <w:t xml:space="preserve">Guideline 2.2 Support the development of marine and coastal industries to be environmentally friendly and </w:t>
            </w:r>
            <w:proofErr w:type="gramStart"/>
            <w:r w:rsidRPr="00792B36">
              <w:rPr>
                <w:rFonts w:cs="Arial"/>
                <w:sz w:val="24"/>
                <w:szCs w:val="24"/>
                <w:lang w:val="en"/>
              </w:rPr>
              <w:t>sustainable;</w:t>
            </w:r>
            <w:proofErr w:type="gramEnd"/>
            <w:r w:rsidRPr="00792B36">
              <w:rPr>
                <w:rFonts w:cs="Arial"/>
                <w:sz w:val="24"/>
                <w:szCs w:val="24"/>
                <w:lang w:val="en"/>
              </w:rPr>
              <w:t xml:space="preserve"> </w:t>
            </w:r>
          </w:p>
          <w:p w14:paraId="006D12D6" w14:textId="77777777" w:rsidR="009A0A63" w:rsidRPr="00792B36" w:rsidRDefault="009A0A63" w:rsidP="00A24459">
            <w:pPr>
              <w:rPr>
                <w:sz w:val="24"/>
                <w:szCs w:val="24"/>
                <w:lang w:val="en"/>
              </w:rPr>
            </w:pPr>
            <w:r w:rsidRPr="00792B36">
              <w:rPr>
                <w:sz w:val="24"/>
                <w:szCs w:val="24"/>
                <w:lang w:val="en"/>
              </w:rPr>
              <w:t xml:space="preserve">Guideline 2.3 </w:t>
            </w:r>
            <w:r w:rsidRPr="00792B36">
              <w:rPr>
                <w:color w:val="FF0000"/>
                <w:sz w:val="24"/>
                <w:szCs w:val="24"/>
                <w:lang w:val="en"/>
              </w:rPr>
              <w:t xml:space="preserve">Support and promote spatial management of marine and coastal resources </w:t>
            </w:r>
            <w:r w:rsidRPr="00792B36">
              <w:rPr>
                <w:rStyle w:val="FootnoteReference"/>
                <w:color w:val="FF0000"/>
                <w:sz w:val="24"/>
                <w:szCs w:val="24"/>
                <w:lang w:val="en"/>
              </w:rPr>
              <w:footnoteReference w:id="2"/>
            </w:r>
            <w:r w:rsidRPr="00792B36">
              <w:rPr>
                <w:sz w:val="24"/>
                <w:szCs w:val="24"/>
                <w:lang w:val="en"/>
              </w:rPr>
              <w:t xml:space="preserve">; </w:t>
            </w:r>
          </w:p>
          <w:p w14:paraId="73784998" w14:textId="77777777" w:rsidR="009A0A63" w:rsidRPr="00792B36" w:rsidRDefault="009A0A63" w:rsidP="00A24459">
            <w:pPr>
              <w:rPr>
                <w:sz w:val="24"/>
                <w:szCs w:val="24"/>
                <w:lang w:val="en"/>
              </w:rPr>
            </w:pPr>
            <w:r w:rsidRPr="00792B36">
              <w:rPr>
                <w:sz w:val="24"/>
                <w:szCs w:val="24"/>
                <w:lang w:val="en"/>
              </w:rPr>
              <w:t xml:space="preserve">Guideline 2.4 Effectively control fishing operations and promote sustainable fisheries development; and  </w:t>
            </w:r>
          </w:p>
          <w:p w14:paraId="68AC52B7" w14:textId="77777777" w:rsidR="009A0A63" w:rsidRPr="00792B36" w:rsidRDefault="009A0A63" w:rsidP="00A24459">
            <w:pPr>
              <w:rPr>
                <w:sz w:val="24"/>
                <w:szCs w:val="24"/>
                <w:lang w:val="en"/>
              </w:rPr>
            </w:pPr>
            <w:r w:rsidRPr="00792B36">
              <w:rPr>
                <w:sz w:val="24"/>
                <w:szCs w:val="24"/>
                <w:lang w:val="en"/>
              </w:rPr>
              <w:t xml:space="preserve">Guideline 2.5 Promote sustainable marine and coastal tourism </w:t>
            </w:r>
            <w:r w:rsidRPr="00792B36">
              <w:rPr>
                <w:sz w:val="24"/>
                <w:szCs w:val="24"/>
                <w:lang w:val="en"/>
              </w:rPr>
              <w:lastRenderedPageBreak/>
              <w:t>development and control tourism that creates negative impacts.</w:t>
            </w:r>
          </w:p>
        </w:tc>
      </w:tr>
      <w:tr w:rsidR="009A0A63" w:rsidRPr="00792B36" w14:paraId="1434849E" w14:textId="77777777" w:rsidTr="00A24459">
        <w:tc>
          <w:tcPr>
            <w:tcW w:w="4508" w:type="dxa"/>
          </w:tcPr>
          <w:p w14:paraId="0AEED4B4" w14:textId="77777777" w:rsidR="009A0A63" w:rsidRPr="00792B36" w:rsidRDefault="009A0A63" w:rsidP="00A24459">
            <w:pPr>
              <w:pStyle w:val="ListParagraph"/>
              <w:ind w:left="0"/>
              <w:jc w:val="both"/>
              <w:rPr>
                <w:rFonts w:cs="Arial"/>
                <w:sz w:val="24"/>
                <w:szCs w:val="24"/>
                <w:lang w:val="en"/>
              </w:rPr>
            </w:pPr>
            <w:r w:rsidRPr="00792B36">
              <w:rPr>
                <w:rFonts w:cs="Arial"/>
                <w:sz w:val="24"/>
                <w:szCs w:val="24"/>
                <w:lang w:val="en"/>
              </w:rPr>
              <w:lastRenderedPageBreak/>
              <w:t>Sub-plan three: Strengthen the efficiency of tools and mechanisms to support integrated marine and coastal resource management with 7 guidelines</w:t>
            </w:r>
          </w:p>
        </w:tc>
        <w:tc>
          <w:tcPr>
            <w:tcW w:w="4508" w:type="dxa"/>
          </w:tcPr>
          <w:p w14:paraId="0762B404" w14:textId="77777777" w:rsidR="009A0A63" w:rsidRPr="00792B36" w:rsidRDefault="009A0A63" w:rsidP="00A24459">
            <w:pPr>
              <w:pStyle w:val="FootnoteText"/>
              <w:rPr>
                <w:rFonts w:ascii="Arial" w:hAnsi="Arial" w:cs="Arial"/>
                <w:sz w:val="24"/>
                <w:szCs w:val="24"/>
                <w:lang w:val="en"/>
              </w:rPr>
            </w:pPr>
            <w:r w:rsidRPr="00792B36">
              <w:rPr>
                <w:rFonts w:ascii="Arial" w:hAnsi="Arial" w:cs="Arial"/>
                <w:sz w:val="24"/>
                <w:szCs w:val="24"/>
                <w:lang w:val="en"/>
              </w:rPr>
              <w:t xml:space="preserve">Guideline 3.1 Strengthen the role and capacity of the Provincial Marine and Coastal Resources </w:t>
            </w:r>
            <w:proofErr w:type="gramStart"/>
            <w:r w:rsidRPr="00792B36">
              <w:rPr>
                <w:rFonts w:ascii="Arial" w:hAnsi="Arial" w:cs="Arial"/>
                <w:sz w:val="24"/>
                <w:szCs w:val="24"/>
                <w:lang w:val="en"/>
              </w:rPr>
              <w:t>Committee;</w:t>
            </w:r>
            <w:proofErr w:type="gramEnd"/>
            <w:r w:rsidRPr="00792B36">
              <w:rPr>
                <w:rFonts w:ascii="Arial" w:hAnsi="Arial" w:cs="Arial"/>
                <w:sz w:val="24"/>
                <w:szCs w:val="24"/>
                <w:lang w:val="en"/>
              </w:rPr>
              <w:t xml:space="preserve"> </w:t>
            </w:r>
          </w:p>
          <w:p w14:paraId="70A0C0E3" w14:textId="77777777" w:rsidR="009A0A63" w:rsidRPr="00792B36" w:rsidRDefault="009A0A63" w:rsidP="00A24459">
            <w:pPr>
              <w:pStyle w:val="FootnoteText"/>
              <w:rPr>
                <w:rFonts w:ascii="Arial" w:hAnsi="Arial" w:cs="Arial"/>
                <w:sz w:val="24"/>
                <w:szCs w:val="24"/>
                <w:lang w:val="en"/>
              </w:rPr>
            </w:pPr>
            <w:r w:rsidRPr="00792B36">
              <w:rPr>
                <w:rFonts w:ascii="Arial" w:hAnsi="Arial" w:cs="Arial"/>
                <w:sz w:val="24"/>
                <w:szCs w:val="24"/>
                <w:lang w:val="en"/>
              </w:rPr>
              <w:t xml:space="preserve">Guideline 3.2 Integrate modern marine and coastal resources information management systems that cover all dimensions and serve as standards for use in management of all sectors; Guideline 3.3: Create economic tools and promote the integration of cooperation from various sectors in the management of marine and coastal </w:t>
            </w:r>
            <w:proofErr w:type="gramStart"/>
            <w:r w:rsidRPr="00792B36">
              <w:rPr>
                <w:rFonts w:ascii="Arial" w:hAnsi="Arial" w:cs="Arial"/>
                <w:sz w:val="24"/>
                <w:szCs w:val="24"/>
                <w:lang w:val="en"/>
              </w:rPr>
              <w:t>resources;</w:t>
            </w:r>
            <w:proofErr w:type="gramEnd"/>
            <w:r w:rsidRPr="00792B36">
              <w:rPr>
                <w:rFonts w:ascii="Arial" w:hAnsi="Arial" w:cs="Arial"/>
                <w:sz w:val="24"/>
                <w:szCs w:val="24"/>
                <w:lang w:val="en"/>
              </w:rPr>
              <w:t xml:space="preserve"> </w:t>
            </w:r>
          </w:p>
          <w:p w14:paraId="6214B096" w14:textId="77777777" w:rsidR="009A0A63" w:rsidRPr="00792B36" w:rsidRDefault="009A0A63" w:rsidP="00A24459">
            <w:pPr>
              <w:pStyle w:val="FootnoteText"/>
              <w:rPr>
                <w:rFonts w:ascii="Arial" w:hAnsi="Arial" w:cs="Arial"/>
                <w:sz w:val="24"/>
                <w:szCs w:val="24"/>
                <w:lang w:val="en"/>
              </w:rPr>
            </w:pPr>
            <w:r w:rsidRPr="00792B36">
              <w:rPr>
                <w:rFonts w:ascii="Arial" w:hAnsi="Arial" w:cs="Arial"/>
                <w:sz w:val="24"/>
                <w:szCs w:val="24"/>
                <w:lang w:val="en"/>
              </w:rPr>
              <w:t xml:space="preserve">Guideline 3.4 Promote participation and support for coastal communities and local administrative organizations in terms of organization, networks, knowledge, roles, tools, and budget for </w:t>
            </w:r>
            <w:proofErr w:type="gramStart"/>
            <w:r w:rsidRPr="00792B36">
              <w:rPr>
                <w:rFonts w:ascii="Arial" w:hAnsi="Arial" w:cs="Arial"/>
                <w:sz w:val="24"/>
                <w:szCs w:val="24"/>
                <w:lang w:val="en"/>
              </w:rPr>
              <w:t>management;</w:t>
            </w:r>
            <w:proofErr w:type="gramEnd"/>
            <w:r w:rsidRPr="00792B36">
              <w:rPr>
                <w:rFonts w:ascii="Arial" w:hAnsi="Arial" w:cs="Arial"/>
                <w:sz w:val="24"/>
                <w:szCs w:val="24"/>
                <w:lang w:val="en"/>
              </w:rPr>
              <w:t xml:space="preserve"> </w:t>
            </w:r>
          </w:p>
          <w:p w14:paraId="4EC74887" w14:textId="77777777" w:rsidR="009A0A63" w:rsidRPr="00792B36" w:rsidRDefault="009A0A63" w:rsidP="00A24459">
            <w:pPr>
              <w:pStyle w:val="FootnoteText"/>
              <w:rPr>
                <w:rFonts w:ascii="Arial" w:hAnsi="Arial" w:cs="Arial"/>
                <w:sz w:val="24"/>
                <w:szCs w:val="24"/>
                <w:lang w:val="en"/>
              </w:rPr>
            </w:pPr>
            <w:r w:rsidRPr="00792B36">
              <w:rPr>
                <w:rFonts w:ascii="Arial" w:hAnsi="Arial" w:cs="Arial"/>
                <w:sz w:val="24"/>
                <w:szCs w:val="24"/>
                <w:lang w:val="en"/>
              </w:rPr>
              <w:t xml:space="preserve">Guideline 3.5: Continuously strengthen human resource potential, academic knowledge in research, and management of marine and coastal </w:t>
            </w:r>
            <w:proofErr w:type="gramStart"/>
            <w:r w:rsidRPr="00792B36">
              <w:rPr>
                <w:rFonts w:ascii="Arial" w:hAnsi="Arial" w:cs="Arial"/>
                <w:sz w:val="24"/>
                <w:szCs w:val="24"/>
                <w:lang w:val="en"/>
              </w:rPr>
              <w:t>resources;</w:t>
            </w:r>
            <w:proofErr w:type="gramEnd"/>
            <w:r w:rsidRPr="00792B36">
              <w:rPr>
                <w:rFonts w:ascii="Arial" w:hAnsi="Arial" w:cs="Arial"/>
                <w:sz w:val="24"/>
                <w:szCs w:val="24"/>
                <w:lang w:val="en"/>
              </w:rPr>
              <w:t xml:space="preserve"> </w:t>
            </w:r>
          </w:p>
          <w:p w14:paraId="4E363B4F" w14:textId="77777777" w:rsidR="009A0A63" w:rsidRPr="00792B36" w:rsidRDefault="009A0A63" w:rsidP="00A24459">
            <w:pPr>
              <w:pStyle w:val="FootnoteText"/>
              <w:rPr>
                <w:rFonts w:ascii="Arial" w:hAnsi="Arial" w:cs="Arial"/>
                <w:sz w:val="24"/>
                <w:szCs w:val="24"/>
                <w:lang w:val="en"/>
              </w:rPr>
            </w:pPr>
            <w:r w:rsidRPr="00792B36">
              <w:rPr>
                <w:rFonts w:ascii="Arial" w:hAnsi="Arial" w:cs="Arial"/>
                <w:sz w:val="24"/>
                <w:szCs w:val="24"/>
                <w:lang w:val="en"/>
              </w:rPr>
              <w:t xml:space="preserve">Guideline 3.6 Develop and promote knowledge and understanding of sustainable use of marine and coastal resources to all sectors; and </w:t>
            </w:r>
          </w:p>
          <w:p w14:paraId="118E1E7E" w14:textId="77777777" w:rsidR="009A0A63" w:rsidRPr="00792B36" w:rsidRDefault="009A0A63" w:rsidP="00A24459">
            <w:pPr>
              <w:pStyle w:val="FootnoteText"/>
              <w:rPr>
                <w:rFonts w:ascii="Arial" w:hAnsi="Arial" w:cs="Arial"/>
                <w:sz w:val="24"/>
                <w:szCs w:val="24"/>
              </w:rPr>
            </w:pPr>
            <w:r w:rsidRPr="00792B36">
              <w:rPr>
                <w:rFonts w:ascii="Arial" w:hAnsi="Arial" w:cs="Arial"/>
                <w:sz w:val="24"/>
                <w:szCs w:val="24"/>
                <w:lang w:val="en"/>
              </w:rPr>
              <w:t>Guideline 3.7 Research and develop innovations in marine and coastal resources for sustainable resource management</w:t>
            </w:r>
          </w:p>
        </w:tc>
      </w:tr>
      <w:tr w:rsidR="009A0A63" w:rsidRPr="00792B36" w14:paraId="58C22E90" w14:textId="77777777" w:rsidTr="00A24459">
        <w:tc>
          <w:tcPr>
            <w:tcW w:w="4508" w:type="dxa"/>
          </w:tcPr>
          <w:p w14:paraId="3DD067C2" w14:textId="77777777" w:rsidR="009A0A63" w:rsidRPr="00792B36" w:rsidRDefault="009A0A63" w:rsidP="00A24459">
            <w:pPr>
              <w:pStyle w:val="ListParagraph"/>
              <w:ind w:left="0"/>
              <w:jc w:val="both"/>
              <w:rPr>
                <w:rFonts w:cs="Arial"/>
                <w:sz w:val="24"/>
                <w:szCs w:val="24"/>
                <w:lang w:val="en"/>
              </w:rPr>
            </w:pPr>
            <w:r w:rsidRPr="00792B36">
              <w:rPr>
                <w:rFonts w:cs="Arial"/>
                <w:sz w:val="24"/>
                <w:szCs w:val="24"/>
                <w:lang w:val="en"/>
              </w:rPr>
              <w:t>Sub-plan four: Develop effective coastal erosion prevention management and reduce the impacts of climate change with 4 guidelines</w:t>
            </w:r>
          </w:p>
        </w:tc>
        <w:tc>
          <w:tcPr>
            <w:tcW w:w="4508" w:type="dxa"/>
          </w:tcPr>
          <w:p w14:paraId="7F294674" w14:textId="77777777" w:rsidR="009A0A63" w:rsidRPr="00792B36" w:rsidRDefault="009A0A63" w:rsidP="00A24459">
            <w:pPr>
              <w:pStyle w:val="FootnoteText"/>
              <w:rPr>
                <w:rFonts w:ascii="Arial" w:hAnsi="Arial" w:cs="Arial"/>
                <w:sz w:val="24"/>
                <w:szCs w:val="24"/>
                <w:lang w:val="en"/>
              </w:rPr>
            </w:pPr>
            <w:r w:rsidRPr="00792B36">
              <w:rPr>
                <w:rFonts w:ascii="Arial" w:hAnsi="Arial" w:cs="Arial"/>
                <w:sz w:val="24"/>
                <w:szCs w:val="24"/>
                <w:lang w:val="en"/>
              </w:rPr>
              <w:t xml:space="preserve">Guideline 4.1 Promote and support integration between agencies and develop innovations to prevent and reduce coastal erosion in critical areas and important tourism areas of the </w:t>
            </w:r>
            <w:proofErr w:type="gramStart"/>
            <w:r w:rsidRPr="00792B36">
              <w:rPr>
                <w:rFonts w:ascii="Arial" w:hAnsi="Arial" w:cs="Arial"/>
                <w:sz w:val="24"/>
                <w:szCs w:val="24"/>
                <w:lang w:val="en"/>
              </w:rPr>
              <w:t>country;</w:t>
            </w:r>
            <w:proofErr w:type="gramEnd"/>
            <w:r w:rsidRPr="00792B36">
              <w:rPr>
                <w:rFonts w:ascii="Arial" w:hAnsi="Arial" w:cs="Arial"/>
                <w:sz w:val="24"/>
                <w:szCs w:val="24"/>
                <w:lang w:val="en"/>
              </w:rPr>
              <w:t xml:space="preserve"> </w:t>
            </w:r>
          </w:p>
          <w:p w14:paraId="6D80CD32" w14:textId="77777777" w:rsidR="009A0A63" w:rsidRPr="00792B36" w:rsidRDefault="009A0A63" w:rsidP="00A24459">
            <w:pPr>
              <w:pStyle w:val="FootnoteText"/>
              <w:rPr>
                <w:rFonts w:ascii="Arial" w:hAnsi="Arial" w:cs="Arial"/>
                <w:sz w:val="24"/>
                <w:szCs w:val="24"/>
                <w:lang w:val="en"/>
              </w:rPr>
            </w:pPr>
            <w:r w:rsidRPr="00792B36">
              <w:rPr>
                <w:rFonts w:ascii="Arial" w:hAnsi="Arial" w:cs="Arial"/>
                <w:sz w:val="24"/>
                <w:szCs w:val="24"/>
                <w:lang w:val="en"/>
              </w:rPr>
              <w:t>Guideline 4.2 Develop legal tools and mechanisms for coastal erosion prevention and resolution that are comprehensive and complete in all dimensions</w:t>
            </w:r>
            <w:proofErr w:type="gramStart"/>
            <w:r w:rsidRPr="00792B36">
              <w:rPr>
                <w:rFonts w:ascii="Arial" w:hAnsi="Arial" w:cs="Arial"/>
                <w:sz w:val="24"/>
                <w:szCs w:val="24"/>
                <w:lang w:val="en"/>
              </w:rPr>
              <w:t>.;</w:t>
            </w:r>
            <w:proofErr w:type="gramEnd"/>
            <w:r w:rsidRPr="00792B36">
              <w:rPr>
                <w:rFonts w:ascii="Arial" w:hAnsi="Arial" w:cs="Arial"/>
                <w:sz w:val="24"/>
                <w:szCs w:val="24"/>
                <w:lang w:val="en"/>
              </w:rPr>
              <w:t xml:space="preserve"> </w:t>
            </w:r>
          </w:p>
          <w:p w14:paraId="014CD727" w14:textId="77777777" w:rsidR="009A0A63" w:rsidRPr="00792B36" w:rsidRDefault="009A0A63" w:rsidP="00A24459">
            <w:pPr>
              <w:pStyle w:val="FootnoteText"/>
              <w:rPr>
                <w:rFonts w:ascii="Arial" w:hAnsi="Arial" w:cs="Arial"/>
                <w:sz w:val="24"/>
                <w:szCs w:val="24"/>
                <w:lang w:val="en"/>
              </w:rPr>
            </w:pPr>
            <w:r w:rsidRPr="00792B36">
              <w:rPr>
                <w:rFonts w:ascii="Arial" w:hAnsi="Arial" w:cs="Arial"/>
                <w:sz w:val="24"/>
                <w:szCs w:val="24"/>
                <w:lang w:val="en"/>
              </w:rPr>
              <w:t xml:space="preserve">Guideline 4.3 Conserve and restore marine and coastal resources to become effective carbon sinks; and </w:t>
            </w:r>
          </w:p>
          <w:p w14:paraId="7BE69A81" w14:textId="77777777" w:rsidR="009A0A63" w:rsidRPr="00792B36" w:rsidRDefault="009A0A63" w:rsidP="00A24459">
            <w:pPr>
              <w:pStyle w:val="FootnoteText"/>
              <w:rPr>
                <w:rFonts w:ascii="Arial" w:hAnsi="Arial" w:cs="Arial"/>
                <w:sz w:val="24"/>
                <w:szCs w:val="24"/>
                <w:lang w:val="en"/>
              </w:rPr>
            </w:pPr>
            <w:r w:rsidRPr="00792B36">
              <w:rPr>
                <w:rFonts w:ascii="Arial" w:hAnsi="Arial" w:cs="Arial"/>
                <w:sz w:val="24"/>
                <w:szCs w:val="24"/>
                <w:lang w:val="en"/>
              </w:rPr>
              <w:lastRenderedPageBreak/>
              <w:t>Guideline 4.4 Prepare a risk management plan for marine and coastal resources from various threats.</w:t>
            </w:r>
          </w:p>
        </w:tc>
      </w:tr>
      <w:tr w:rsidR="009A0A63" w:rsidRPr="00792B36" w14:paraId="561B3408" w14:textId="77777777" w:rsidTr="00A24459">
        <w:tc>
          <w:tcPr>
            <w:tcW w:w="4508" w:type="dxa"/>
          </w:tcPr>
          <w:p w14:paraId="2C813EAD" w14:textId="77777777" w:rsidR="009A0A63" w:rsidRPr="00792B36" w:rsidRDefault="009A0A63" w:rsidP="00A24459">
            <w:pPr>
              <w:pStyle w:val="ListParagraph"/>
              <w:ind w:left="29" w:hanging="29"/>
              <w:rPr>
                <w:rFonts w:cs="Arial"/>
                <w:sz w:val="24"/>
                <w:szCs w:val="24"/>
                <w:lang w:val="en"/>
              </w:rPr>
            </w:pPr>
            <w:r w:rsidRPr="00792B36">
              <w:rPr>
                <w:rFonts w:cs="Arial"/>
                <w:sz w:val="24"/>
                <w:szCs w:val="24"/>
                <w:lang w:val="en"/>
              </w:rPr>
              <w:lastRenderedPageBreak/>
              <w:t>Sub-plan five: Strengthen international cooperation in the sustainable use of the oceans and marine and coastal resources with 3 guidelines</w:t>
            </w:r>
          </w:p>
        </w:tc>
        <w:tc>
          <w:tcPr>
            <w:tcW w:w="4508" w:type="dxa"/>
          </w:tcPr>
          <w:p w14:paraId="754E500E" w14:textId="77777777" w:rsidR="009A0A63" w:rsidRPr="00792B36" w:rsidRDefault="009A0A63" w:rsidP="00A24459">
            <w:pPr>
              <w:pStyle w:val="ListParagraph"/>
              <w:ind w:left="0"/>
              <w:rPr>
                <w:rFonts w:cs="Arial"/>
                <w:sz w:val="24"/>
                <w:szCs w:val="24"/>
                <w:lang w:val="en"/>
              </w:rPr>
            </w:pPr>
            <w:r w:rsidRPr="00792B36">
              <w:rPr>
                <w:rFonts w:cs="Arial"/>
                <w:sz w:val="24"/>
                <w:szCs w:val="24"/>
                <w:lang w:val="en"/>
              </w:rPr>
              <w:t>Guideline 5.1 Strengthen and support international cooperation in exploration, study, research, technology development and innovation related to sustainable management of the oceans and marine and coastal resources</w:t>
            </w:r>
            <w:proofErr w:type="gramStart"/>
            <w:r w:rsidRPr="00792B36">
              <w:rPr>
                <w:rFonts w:cs="Arial"/>
                <w:sz w:val="24"/>
                <w:szCs w:val="24"/>
                <w:lang w:val="en"/>
              </w:rPr>
              <w:t>.;</w:t>
            </w:r>
            <w:proofErr w:type="gramEnd"/>
            <w:r w:rsidRPr="00792B36">
              <w:rPr>
                <w:rFonts w:cs="Arial"/>
                <w:sz w:val="24"/>
                <w:szCs w:val="24"/>
                <w:lang w:val="en"/>
              </w:rPr>
              <w:t xml:space="preserve"> </w:t>
            </w:r>
          </w:p>
          <w:p w14:paraId="586227CA" w14:textId="77777777" w:rsidR="009A0A63" w:rsidRPr="00792B36" w:rsidRDefault="009A0A63" w:rsidP="00A24459">
            <w:pPr>
              <w:pStyle w:val="ListParagraph"/>
              <w:ind w:left="0"/>
              <w:rPr>
                <w:rFonts w:cs="Arial"/>
                <w:sz w:val="24"/>
                <w:szCs w:val="24"/>
                <w:lang w:val="en"/>
              </w:rPr>
            </w:pPr>
            <w:r w:rsidRPr="00792B36">
              <w:rPr>
                <w:rFonts w:cs="Arial"/>
                <w:sz w:val="24"/>
                <w:szCs w:val="24"/>
                <w:lang w:val="en"/>
              </w:rPr>
              <w:t>Guideline 5.2 Support international and regional cooperation to combat IUU fishing; and</w:t>
            </w:r>
          </w:p>
          <w:p w14:paraId="489D5037" w14:textId="77777777" w:rsidR="009A0A63" w:rsidRPr="00792B36" w:rsidRDefault="009A0A63" w:rsidP="00A24459">
            <w:pPr>
              <w:pStyle w:val="ListParagraph"/>
              <w:ind w:left="0"/>
              <w:rPr>
                <w:rFonts w:cs="Arial"/>
                <w:sz w:val="24"/>
                <w:szCs w:val="24"/>
                <w:lang w:val="en"/>
              </w:rPr>
            </w:pPr>
            <w:r w:rsidRPr="00792B36">
              <w:rPr>
                <w:rFonts w:cs="Arial"/>
                <w:sz w:val="24"/>
                <w:szCs w:val="24"/>
                <w:lang w:val="en"/>
              </w:rPr>
              <w:t>Guideline 5.3: Continuously strengthen the capacity of personnel and agencies responsible for international cooperation on oceans and marine and coastal resources</w:t>
            </w:r>
          </w:p>
        </w:tc>
      </w:tr>
    </w:tbl>
    <w:p w14:paraId="6CA7FFE1" w14:textId="77777777" w:rsidR="009A0A63" w:rsidRPr="00792B36" w:rsidRDefault="009A0A63" w:rsidP="009A0A63">
      <w:pPr>
        <w:rPr>
          <w:sz w:val="24"/>
          <w:szCs w:val="24"/>
        </w:rPr>
      </w:pPr>
    </w:p>
    <w:p w14:paraId="041046F0" w14:textId="77777777" w:rsidR="009A0A63" w:rsidRPr="00792B36" w:rsidRDefault="009A0A63" w:rsidP="009A0A63">
      <w:pPr>
        <w:spacing w:before="120" w:after="120"/>
        <w:ind w:firstLine="1134"/>
        <w:jc w:val="thaiDistribute"/>
        <w:rPr>
          <w:b/>
          <w:bCs/>
          <w:color w:val="EE0000"/>
          <w:sz w:val="24"/>
          <w:szCs w:val="24"/>
        </w:rPr>
      </w:pPr>
      <w:r w:rsidRPr="00792B36">
        <w:rPr>
          <w:b/>
          <w:bCs/>
          <w:color w:val="EE0000"/>
          <w:sz w:val="24"/>
          <w:szCs w:val="24"/>
        </w:rPr>
        <w:br w:type="page"/>
      </w:r>
    </w:p>
    <w:p w14:paraId="7F7E23C0" w14:textId="77777777" w:rsidR="009A0A63" w:rsidRPr="00792B36" w:rsidRDefault="009A0A63" w:rsidP="009A0A63">
      <w:pPr>
        <w:rPr>
          <w:b/>
          <w:bCs/>
          <w:sz w:val="24"/>
          <w:szCs w:val="24"/>
        </w:rPr>
      </w:pPr>
      <w:r w:rsidRPr="00792B36">
        <w:rPr>
          <w:b/>
          <w:bCs/>
          <w:color w:val="EE0000"/>
          <w:sz w:val="24"/>
          <w:szCs w:val="24"/>
        </w:rPr>
        <w:lastRenderedPageBreak/>
        <w:t xml:space="preserve">Annex 13: </w:t>
      </w:r>
      <w:r w:rsidRPr="00792B36">
        <w:rPr>
          <w:b/>
          <w:bCs/>
          <w:sz w:val="24"/>
          <w:szCs w:val="24"/>
        </w:rPr>
        <w:t>Key Sectoral Policies and Plans</w:t>
      </w:r>
    </w:p>
    <w:p w14:paraId="252E704B" w14:textId="77777777" w:rsidR="009A0A63" w:rsidRPr="00792B36" w:rsidRDefault="009A0A63" w:rsidP="009A0A63">
      <w:pPr>
        <w:rPr>
          <w:b/>
          <w:bCs/>
          <w:sz w:val="24"/>
          <w:szCs w:val="24"/>
        </w:rPr>
      </w:pPr>
    </w:p>
    <w:p w14:paraId="0196A42C" w14:textId="77777777" w:rsidR="009A0A63" w:rsidRPr="00792B36" w:rsidRDefault="009A0A63" w:rsidP="009A0A63">
      <w:pPr>
        <w:spacing w:before="120" w:after="120"/>
        <w:rPr>
          <w:sz w:val="24"/>
          <w:szCs w:val="24"/>
        </w:rPr>
      </w:pPr>
      <w:r w:rsidRPr="00792B36">
        <w:rPr>
          <w:b/>
          <w:bCs/>
          <w:sz w:val="24"/>
          <w:szCs w:val="24"/>
        </w:rPr>
        <w:t>• Marine Spatial Planning (MSP) Framework (2023)</w:t>
      </w:r>
      <w:r w:rsidRPr="00792B36">
        <w:rPr>
          <w:sz w:val="24"/>
          <w:szCs w:val="24"/>
        </w:rPr>
        <w:br/>
        <w:t>Developed under the Department of Marine and Coastal Resources (DMCR) in coordination with the Maritime Interests Protection Policy Committee (MIP), this framework provides a strategic basis for spatially managing marine and coastal zones.</w:t>
      </w:r>
      <w:r w:rsidRPr="00792B36">
        <w:rPr>
          <w:sz w:val="24"/>
          <w:szCs w:val="24"/>
        </w:rPr>
        <w:br/>
        <w:t>It promotes cross-sectoral coordination among agencies responsible for fisheries, energy, tourism, and transport, supporting the principles of ecosystem-based management and blue economy development. The MSP Framework serves as a foundation for forthcoming legislation and pilot MSP initiatives across the Gulf of Thailand and the Andaman Sea.</w:t>
      </w:r>
    </w:p>
    <w:p w14:paraId="0B24E4EF" w14:textId="77777777" w:rsidR="009A0A63" w:rsidRPr="00792B36" w:rsidRDefault="009A0A63" w:rsidP="009A0A63">
      <w:pPr>
        <w:spacing w:before="120" w:after="120"/>
        <w:rPr>
          <w:sz w:val="24"/>
          <w:szCs w:val="24"/>
        </w:rPr>
      </w:pPr>
      <w:r w:rsidRPr="00792B36">
        <w:rPr>
          <w:b/>
          <w:bCs/>
          <w:sz w:val="24"/>
          <w:szCs w:val="24"/>
        </w:rPr>
        <w:t>• National Master Plan on Waste Management (2016–2021) and Marine Debris Management Plan (2017–2021; updated 2023)</w:t>
      </w:r>
      <w:r w:rsidRPr="00792B36">
        <w:rPr>
          <w:b/>
          <w:bCs/>
          <w:sz w:val="24"/>
          <w:szCs w:val="24"/>
        </w:rPr>
        <w:br/>
      </w:r>
      <w:r w:rsidRPr="00792B36">
        <w:rPr>
          <w:sz w:val="24"/>
          <w:szCs w:val="24"/>
        </w:rPr>
        <w:t>Led by the Pollution Control Department (PCD) under the Ministry of Natural Resources and Environment (MONRE), in close cooperation with the Department of Marine and Coastal Resources (DMCR), these plans address marine pollution originating from both land- and sea-based sources. They promote integrated waste management, circular economy approaches, and the reduction of single-use plastics, in alignment with the COBSEA Regional Action Plan on Marine Litter (RAP MALI). The updated 2023 plan introduces national monitoring indicators and strengthens multi-stakeholder collaboration among government agencies, local communities, and the private sector to achieve measurable reductions in marine debris.</w:t>
      </w:r>
    </w:p>
    <w:p w14:paraId="216F5A1A" w14:textId="77777777" w:rsidR="009A0A63" w:rsidRPr="00792B36" w:rsidRDefault="009A0A63" w:rsidP="009A0A63">
      <w:pPr>
        <w:spacing w:before="120" w:after="120"/>
        <w:rPr>
          <w:b/>
          <w:bCs/>
          <w:sz w:val="24"/>
          <w:szCs w:val="24"/>
        </w:rPr>
      </w:pPr>
    </w:p>
    <w:p w14:paraId="47E05C0B" w14:textId="77777777" w:rsidR="009A0A63" w:rsidRPr="00792B36" w:rsidRDefault="009A0A63" w:rsidP="009A0A63">
      <w:pPr>
        <w:spacing w:before="120" w:after="120"/>
        <w:rPr>
          <w:sz w:val="24"/>
          <w:szCs w:val="24"/>
        </w:rPr>
      </w:pPr>
      <w:r w:rsidRPr="00792B36">
        <w:rPr>
          <w:b/>
          <w:bCs/>
          <w:sz w:val="24"/>
          <w:szCs w:val="24"/>
        </w:rPr>
        <w:t>• Thailand’s Biodiversity Master Plan (2023–2027</w:t>
      </w:r>
      <w:r w:rsidRPr="00792B36">
        <w:rPr>
          <w:sz w:val="24"/>
          <w:szCs w:val="24"/>
        </w:rPr>
        <w:t>)</w:t>
      </w:r>
      <w:r w:rsidRPr="00792B36">
        <w:rPr>
          <w:sz w:val="24"/>
          <w:szCs w:val="24"/>
        </w:rPr>
        <w:br/>
        <w:t>Implemented by the Office of Natural Resources and Environmental Policy and Planning (ONEP) under MONRE, this plan aligns with the Kunming–Montreal Global Biodiversity Framework (GBF) and builds upon the National Biodiversity Strategy and Action Plan (NBSAP). It focuses on restoring degraded habitats, expanding marine protected areas (MPAs), enhancing ecological connectivity, and mainstreaming biodiversity conservation into national and local planning. The plan also supports education, research, and awareness-raising to strengthen biodiversity knowledge and stakeholder engagement.</w:t>
      </w:r>
    </w:p>
    <w:p w14:paraId="627F964B" w14:textId="51E882F7" w:rsidR="009A0A63" w:rsidRPr="00792B36" w:rsidRDefault="009A0A63" w:rsidP="009A0A63">
      <w:pPr>
        <w:spacing w:before="120" w:after="120"/>
        <w:rPr>
          <w:sz w:val="24"/>
          <w:szCs w:val="24"/>
          <w:cs/>
          <w:lang w:val="en-US"/>
        </w:rPr>
      </w:pPr>
      <w:r w:rsidRPr="00792B36">
        <w:rPr>
          <w:b/>
          <w:bCs/>
          <w:sz w:val="24"/>
          <w:szCs w:val="24"/>
        </w:rPr>
        <w:t>• Coastal Erosion Prevention and Management Master Plan (2023–2037)</w:t>
      </w:r>
      <w:r w:rsidRPr="00792B36">
        <w:rPr>
          <w:b/>
          <w:bCs/>
          <w:sz w:val="24"/>
          <w:szCs w:val="24"/>
        </w:rPr>
        <w:br/>
      </w:r>
      <w:r w:rsidRPr="00792B36">
        <w:rPr>
          <w:sz w:val="24"/>
          <w:szCs w:val="24"/>
        </w:rPr>
        <w:t>Coordinated by the Department of Marine and Coastal Resources (DMCR) under MONRE and the Department of Public Works and Town &amp; Country Planning (DPT) under the Ministry of Interior (MOI), this long-term plan provides a comprehensive approach to managing coastal erosion. It emphasizes integrated engineering solutions and ecosystem-based approaches, including mangrove restoration, shoreline stabilization, and community participation in coastal adaptation. The plan integrates scientific data, climate modeling, and local knowledge to inform decision-making and strengthen coastal resilience.</w:t>
      </w:r>
    </w:p>
    <w:p w14:paraId="6D253025" w14:textId="77777777" w:rsidR="009A0A63" w:rsidRPr="00792B36" w:rsidRDefault="009A0A63" w:rsidP="009A0A63"/>
    <w:p w14:paraId="46B4E457" w14:textId="77777777" w:rsidR="009A0A63" w:rsidRPr="00792B36" w:rsidRDefault="009A0A63" w:rsidP="009A0A63"/>
    <w:p w14:paraId="24A8C2D6" w14:textId="77777777" w:rsidR="009A0A63" w:rsidRPr="00792B36" w:rsidRDefault="009A0A63" w:rsidP="009A0A63"/>
    <w:p w14:paraId="79474E6D" w14:textId="77777777" w:rsidR="009A0A63" w:rsidRPr="00792B36" w:rsidRDefault="009A0A63" w:rsidP="009A0A63"/>
    <w:p w14:paraId="3F989EC3" w14:textId="77777777" w:rsidR="009A0A63" w:rsidRPr="00792B36" w:rsidRDefault="009A0A63" w:rsidP="009A0A63"/>
    <w:p w14:paraId="7D320D0A" w14:textId="77777777" w:rsidR="000D11DA" w:rsidRPr="00792B36" w:rsidRDefault="000D11DA">
      <w:pPr>
        <w:pBdr>
          <w:top w:val="nil"/>
          <w:left w:val="nil"/>
          <w:bottom w:val="nil"/>
          <w:right w:val="nil"/>
          <w:between w:val="nil"/>
        </w:pBdr>
        <w:rPr>
          <w:b/>
          <w:bCs/>
          <w:color w:val="000000"/>
          <w:sz w:val="24"/>
          <w:szCs w:val="24"/>
        </w:rPr>
      </w:pPr>
    </w:p>
    <w:sectPr w:rsidR="000D11DA" w:rsidRPr="00792B36" w:rsidSect="003332A9">
      <w:pgSz w:w="11900" w:h="16840"/>
      <w:pgMar w:top="1440" w:right="1440" w:bottom="1440" w:left="1440" w:header="0" w:footer="720" w:gutter="0"/>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9970AF8" w14:textId="77777777" w:rsidR="0089401A" w:rsidRDefault="0089401A" w:rsidP="00A82FBA">
      <w:r>
        <w:separator/>
      </w:r>
    </w:p>
  </w:endnote>
  <w:endnote w:type="continuationSeparator" w:id="0">
    <w:p w14:paraId="03AD8E37" w14:textId="77777777" w:rsidR="0089401A" w:rsidRDefault="0089401A" w:rsidP="00A82FB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decorative"/>
    <w:pitch w:val="variable"/>
    <w:sig w:usb0="00000000" w:usb1="10000000" w:usb2="00000000" w:usb3="00000000" w:csb0="80000000" w:csb1="00000000"/>
    <w:embedRegular r:id="rId1" w:fontKey="{C725A28A-249F-B645-8CEA-6A511DBD4BEF}"/>
  </w:font>
  <w:font w:name="Times New Roman">
    <w:panose1 w:val="02020603050405020304"/>
    <w:charset w:val="00"/>
    <w:family w:val="roman"/>
    <w:pitch w:val="variable"/>
    <w:sig w:usb0="E0002EFF" w:usb1="C000785B" w:usb2="00000009" w:usb3="00000000" w:csb0="000001FF" w:csb1="00000000"/>
    <w:embedRegular r:id="rId2" w:fontKey="{1A0D426A-5C2A-EA46-8F6F-D50B40BC74B9}"/>
    <w:embedBold r:id="rId3" w:fontKey="{ED8E5A03-1F5E-1249-BC0E-BB33A8FA236B}"/>
    <w:embedItalic r:id="rId4" w:fontKey="{2E40AA4B-FD12-0941-A17B-7E78E2BC6810}"/>
    <w:embedBoldItalic r:id="rId5" w:fontKey="{973A7A4E-5AFB-7A42-8356-6B6A549CF991}"/>
  </w:font>
  <w:font w:name="Courier New">
    <w:panose1 w:val="02070309020205020404"/>
    <w:charset w:val="00"/>
    <w:family w:val="modern"/>
    <w:pitch w:val="fixed"/>
    <w:sig w:usb0="E0002EFF" w:usb1="C0007843" w:usb2="00000009" w:usb3="00000000" w:csb0="000001FF" w:csb1="00000000"/>
    <w:embedRegular r:id="rId6" w:fontKey="{84AB2770-5FD5-B14A-912E-F7B4AA7A3608}"/>
  </w:font>
  <w:font w:name="Wingdings">
    <w:panose1 w:val="05000000000000000000"/>
    <w:charset w:val="4D"/>
    <w:family w:val="decorative"/>
    <w:pitch w:val="variable"/>
    <w:sig w:usb0="00000003" w:usb1="00000000" w:usb2="00000000" w:usb3="00000000" w:csb0="80000001" w:csb1="00000000"/>
    <w:embedRegular r:id="rId7" w:fontKey="{0B90A2C8-1403-FB40-9528-57E9DC8EB27B}"/>
  </w:font>
  <w:font w:name="Arial">
    <w:panose1 w:val="020B0604020202020204"/>
    <w:charset w:val="00"/>
    <w:family w:val="swiss"/>
    <w:pitch w:val="variable"/>
    <w:sig w:usb0="E0002EFF" w:usb1="C000785B" w:usb2="00000009" w:usb3="00000000" w:csb0="000001FF" w:csb1="00000000"/>
    <w:embedRegular r:id="rId8" w:fontKey="{C939D6F3-D35B-CF43-B2EA-CEF6B1E48C89}"/>
    <w:embedBold r:id="rId9" w:fontKey="{D4AA5427-CD00-AE4D-BDEC-08C71CEB34E3}"/>
    <w:embedItalic r:id="rId10" w:fontKey="{74CEDFAE-8191-E447-9047-0F95465EFEF4}"/>
    <w:embedBoldItalic r:id="rId11" w:fontKey="{50F0EF26-C0B4-A443-AB0E-BBE2F598AE01}"/>
  </w:font>
  <w:font w:name="Google Sans Text">
    <w:altName w:val="Calibri"/>
    <w:panose1 w:val="020B0604020202020204"/>
    <w:charset w:val="00"/>
    <w:family w:val="auto"/>
    <w:pitch w:val="default"/>
  </w:font>
  <w:font w:name="Cordia New">
    <w:panose1 w:val="020B0304020202020204"/>
    <w:charset w:val="00"/>
    <w:family w:val="swiss"/>
    <w:pitch w:val="variable"/>
    <w:sig w:usb0="81000003" w:usb1="00000000" w:usb2="00000000" w:usb3="00000000" w:csb0="00010001" w:csb1="00000000"/>
    <w:embedRegular r:id="rId15" w:fontKey="{B96A5FF2-FF04-8649-B26B-D3E099712985}"/>
    <w:embedBold r:id="rId16" w:fontKey="{4E429036-5181-1D45-85B2-F6E10288970E}"/>
    <w:embedItalic r:id="rId17" w:fontKey="{5F60BC74-8E03-3F4F-9B32-1144D32B8A89}"/>
  </w:font>
  <w:font w:name="Cambria">
    <w:panose1 w:val="02040503050406030204"/>
    <w:charset w:val="00"/>
    <w:family w:val="roman"/>
    <w:pitch w:val="variable"/>
    <w:sig w:usb0="E00006FF" w:usb1="420024FF" w:usb2="02000000" w:usb3="00000000" w:csb0="0000019F" w:csb1="00000000"/>
    <w:embedRegular r:id="rId18" w:fontKey="{925895C6-DCDA-324B-A8F1-3182C9E190C4}"/>
    <w:embedBold r:id="rId19" w:fontKey="{637DEA89-88D1-7A4D-A21B-DAD0819921E6}"/>
    <w:embedItalic r:id="rId20" w:fontKey="{396EAFE9-E476-4147-96CA-A7D28965BF65}"/>
  </w:font>
  <w:font w:name="Angsana New">
    <w:panose1 w:val="02020603050405020304"/>
    <w:charset w:val="DE"/>
    <w:family w:val="roman"/>
    <w:pitch w:val="variable"/>
    <w:sig w:usb0="81000003" w:usb1="00000000" w:usb2="00000000" w:usb3="00000000" w:csb0="00010001" w:csb1="00000000"/>
    <w:embedRegular r:id="rId21" w:fontKey="{99D8FA2A-D305-064B-BDFC-7140A8BDEA89}"/>
    <w:embedBold r:id="rId22" w:fontKey="{75E805FE-1336-6A43-ABE1-C9C33BAA22FF}"/>
    <w:embedItalic r:id="rId23" w:fontKey="{6BE28EA4-CA4E-4F4F-880F-9DC033EADEFB}"/>
  </w:font>
  <w:font w:name="Georgia">
    <w:panose1 w:val="02040502050405020303"/>
    <w:charset w:val="00"/>
    <w:family w:val="roman"/>
    <w:pitch w:val="variable"/>
    <w:sig w:usb0="00000287" w:usb1="00000000" w:usb2="00000000" w:usb3="00000000" w:csb0="0000009F" w:csb1="00000000"/>
    <w:embedItalic r:id="rId24" w:fontKey="{FA0D8735-2593-8447-8580-639F5BF86E93}"/>
  </w:font>
  <w:font w:name="Calibri">
    <w:panose1 w:val="020F0502020204030204"/>
    <w:charset w:val="00"/>
    <w:family w:val="swiss"/>
    <w:pitch w:val="variable"/>
    <w:sig w:usb0="E4002EFF" w:usb1="C000247B" w:usb2="00000009" w:usb3="00000000" w:csb0="000001FF" w:csb1="00000000"/>
    <w:embedRegular r:id="rId25" w:fontKey="{51615B0F-3F7F-594E-9CAC-96248885B1E2}"/>
    <w:embedBold r:id="rId26" w:fontKey="{BEF4B280-192F-3E45-8B76-0F83B309A8EC}"/>
  </w:font>
  <w:font w:name="Google Sans">
    <w:altName w:val="Calibri"/>
    <w:panose1 w:val="020B0604020202020204"/>
    <w:charset w:val="00"/>
    <w:family w:val="auto"/>
    <w:pitch w:val="default"/>
  </w:font>
  <w:font w:name="Cambria Math">
    <w:panose1 w:val="02040503050406030204"/>
    <w:charset w:val="00"/>
    <w:family w:val="roman"/>
    <w:pitch w:val="variable"/>
    <w:sig w:usb0="E00002FF" w:usb1="420024FF" w:usb2="00000000" w:usb3="00000000" w:csb0="0000019F" w:csb1="00000000"/>
    <w:embedRegular r:id="rId29" w:fontKey="{8DAA3F7F-46FF-3548-AC63-E92C7B1BC35C}"/>
    <w:embedItalic r:id="rId30" w:fontKey="{7F4359EC-366D-6447-A1D6-FF34B1B7D8E8}"/>
  </w:font>
  <w:font w:name="Browallia New">
    <w:panose1 w:val="020B0604020202020204"/>
    <w:charset w:val="00"/>
    <w:family w:val="swiss"/>
    <w:pitch w:val="variable"/>
    <w:sig w:usb0="81000003" w:usb1="00000000" w:usb2="00000000" w:usb3="00000000" w:csb0="00010001" w:csb1="00000000"/>
    <w:embedRegular r:id="rId31" w:fontKey="{6B46C269-9DB8-3D4A-8A86-0C5347557BAB}"/>
  </w:font>
  <w:font w:name="Verdana">
    <w:panose1 w:val="020B0604030504040204"/>
    <w:charset w:val="00"/>
    <w:family w:val="swiss"/>
    <w:pitch w:val="variable"/>
    <w:sig w:usb0="A10006FF" w:usb1="4000205B" w:usb2="00000010" w:usb3="00000000" w:csb0="0000019F" w:csb1="00000000"/>
    <w:embedRegular r:id="rId32" w:fontKey="{B7ACCBA1-FF27-8A4E-89C3-9D3C934B2589}"/>
    <w:embedBold r:id="rId33" w:fontKey="{47068AC5-A70C-574C-8F5D-ADAC3E829B53}"/>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Style w:val="PageNumber"/>
      </w:rPr>
      <w:id w:val="1103385507"/>
      <w:docPartObj>
        <w:docPartGallery w:val="Page Numbers (Bottom of Page)"/>
        <w:docPartUnique/>
      </w:docPartObj>
    </w:sdtPr>
    <w:sdtContent>
      <w:p w14:paraId="4043B2F5" w14:textId="00FDE3FC" w:rsidR="00A82FBA" w:rsidRDefault="00A82FBA" w:rsidP="0027663B">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sidR="00B1503D">
          <w:rPr>
            <w:rStyle w:val="PageNumber"/>
            <w:noProof/>
          </w:rPr>
          <w:t>xiii</w:t>
        </w:r>
        <w:r>
          <w:rPr>
            <w:rStyle w:val="PageNumber"/>
          </w:rPr>
          <w:fldChar w:fldCharType="end"/>
        </w:r>
      </w:p>
    </w:sdtContent>
  </w:sdt>
  <w:p w14:paraId="5D0FBFF3" w14:textId="77777777" w:rsidR="00A82FBA" w:rsidRDefault="00A82FBA" w:rsidP="00A82FBA">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Style w:val="PageNumber"/>
      </w:rPr>
      <w:id w:val="-1596848341"/>
      <w:docPartObj>
        <w:docPartGallery w:val="Page Numbers (Bottom of Page)"/>
        <w:docPartUnique/>
      </w:docPartObj>
    </w:sdtPr>
    <w:sdtContent>
      <w:p w14:paraId="24B68C12" w14:textId="2BC59D18" w:rsidR="00A82FBA" w:rsidRDefault="00A82FBA" w:rsidP="0027663B">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i</w:t>
        </w:r>
        <w:r>
          <w:rPr>
            <w:rStyle w:val="PageNumber"/>
            <w:noProof/>
          </w:rPr>
          <w:t>i</w:t>
        </w:r>
        <w:r>
          <w:rPr>
            <w:rStyle w:val="PageNumber"/>
          </w:rPr>
          <w:fldChar w:fldCharType="end"/>
        </w:r>
      </w:p>
    </w:sdtContent>
  </w:sdt>
  <w:p w14:paraId="34D9DB15" w14:textId="77777777" w:rsidR="00A82FBA" w:rsidRDefault="00A82FBA" w:rsidP="00A82FBA">
    <w:pPr>
      <w:pStyle w:val="Footer"/>
      <w:ind w:right="360"/>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Style w:val="PageNumber"/>
      </w:rPr>
      <w:id w:val="-246653797"/>
      <w:docPartObj>
        <w:docPartGallery w:val="Page Numbers (Bottom of Page)"/>
        <w:docPartUnique/>
      </w:docPartObj>
    </w:sdtPr>
    <w:sdtContent>
      <w:p w14:paraId="31ACC4A5" w14:textId="3AC28965" w:rsidR="00FE3C6D" w:rsidRDefault="00FE3C6D" w:rsidP="00C53764">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18</w:t>
        </w:r>
        <w:r>
          <w:rPr>
            <w:rStyle w:val="PageNumber"/>
            <w:noProof/>
          </w:rPr>
          <w:t>3</w:t>
        </w:r>
        <w:r>
          <w:rPr>
            <w:rStyle w:val="PageNumber"/>
          </w:rPr>
          <w:fldChar w:fldCharType="end"/>
        </w:r>
      </w:p>
    </w:sdtContent>
  </w:sdt>
  <w:p w14:paraId="6C8BBED8" w14:textId="4DB985BA" w:rsidR="00495C95" w:rsidRPr="003B455A" w:rsidRDefault="00495C95" w:rsidP="00FE3C6D">
    <w:pPr>
      <w:pStyle w:val="Footer"/>
      <w:ind w:right="360"/>
      <w:jc w:val="center"/>
      <w:rPr>
        <w:rFonts w:cs="Arial"/>
        <w:sz w:val="20"/>
        <w:szCs w:val="24"/>
      </w:rP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386346088"/>
      <w:docPartObj>
        <w:docPartGallery w:val="Page Numbers (Bottom of Page)"/>
        <w:docPartUnique/>
      </w:docPartObj>
    </w:sdtPr>
    <w:sdtEndPr>
      <w:rPr>
        <w:noProof/>
      </w:rPr>
    </w:sdtEndPr>
    <w:sdtContent>
      <w:p w14:paraId="54EEE8D7" w14:textId="77777777" w:rsidR="00F77A8C" w:rsidRDefault="00F77A8C">
        <w:pPr>
          <w:pStyle w:val="Footer"/>
          <w:jc w:val="right"/>
        </w:pPr>
        <w:r>
          <w:fldChar w:fldCharType="begin"/>
        </w:r>
        <w:r>
          <w:instrText xml:space="preserve"> PAGE   \* MERGEFORMAT </w:instrText>
        </w:r>
        <w:r>
          <w:fldChar w:fldCharType="separate"/>
        </w:r>
        <w:r>
          <w:rPr>
            <w:noProof/>
          </w:rPr>
          <w:t>2</w:t>
        </w:r>
        <w:r>
          <w:rPr>
            <w:noProof/>
          </w:rPr>
          <w:fldChar w:fldCharType="end"/>
        </w:r>
      </w:p>
    </w:sdtContent>
  </w:sdt>
  <w:p w14:paraId="6C6765EE" w14:textId="77777777" w:rsidR="00F77A8C" w:rsidRDefault="00F77A8C">
    <w:pPr>
      <w:pStyle w:val="Footer"/>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248083510"/>
      <w:docPartObj>
        <w:docPartGallery w:val="Page Numbers (Bottom of Page)"/>
        <w:docPartUnique/>
      </w:docPartObj>
    </w:sdtPr>
    <w:sdtContent>
      <w:p w14:paraId="556BAAF0" w14:textId="77777777" w:rsidR="000D11DA" w:rsidRDefault="000D11DA">
        <w:pPr>
          <w:pStyle w:val="Footer"/>
          <w:jc w:val="right"/>
        </w:pPr>
        <w:r>
          <w:fldChar w:fldCharType="begin"/>
        </w:r>
        <w:r>
          <w:instrText xml:space="preserve"> PAGE   \* MERGEFORMAT </w:instrText>
        </w:r>
        <w:r>
          <w:fldChar w:fldCharType="separate"/>
        </w:r>
        <w:r>
          <w:rPr>
            <w:noProof/>
          </w:rPr>
          <w:t>2</w:t>
        </w:r>
        <w:r>
          <w:rPr>
            <w:noProof/>
          </w:rPr>
          <w:fldChar w:fldCharType="end"/>
        </w:r>
      </w:p>
    </w:sdtContent>
  </w:sdt>
  <w:p w14:paraId="1E89A0F7" w14:textId="77777777" w:rsidR="000D11DA" w:rsidRDefault="000D11DA">
    <w:pPr>
      <w:pStyle w:val="Footer"/>
    </w:pP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Style w:val="PageNumber"/>
      </w:rPr>
      <w:id w:val="-1991856371"/>
      <w:docPartObj>
        <w:docPartGallery w:val="Page Numbers (Bottom of Page)"/>
        <w:docPartUnique/>
      </w:docPartObj>
    </w:sdtPr>
    <w:sdtContent>
      <w:p w14:paraId="716AE085" w14:textId="77777777" w:rsidR="009A0A63" w:rsidRDefault="009A0A63" w:rsidP="00C53764">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18</w:t>
        </w:r>
        <w:r>
          <w:rPr>
            <w:rStyle w:val="PageNumber"/>
            <w:noProof/>
          </w:rPr>
          <w:t>3</w:t>
        </w:r>
        <w:r>
          <w:rPr>
            <w:rStyle w:val="PageNumber"/>
          </w:rPr>
          <w:fldChar w:fldCharType="end"/>
        </w:r>
      </w:p>
    </w:sdtContent>
  </w:sdt>
  <w:p w14:paraId="2C34314C" w14:textId="77777777" w:rsidR="009A0A63" w:rsidRPr="003B455A" w:rsidRDefault="009A0A63" w:rsidP="00FE3C6D">
    <w:pPr>
      <w:pStyle w:val="Footer"/>
      <w:ind w:right="360"/>
      <w:jc w:val="center"/>
      <w:rPr>
        <w:rFonts w:cs="Arial"/>
        <w:sz w:val="20"/>
        <w:szCs w:val="24"/>
      </w:rPr>
    </w:pP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347561382"/>
      <w:docPartObj>
        <w:docPartGallery w:val="Page Numbers (Bottom of Page)"/>
        <w:docPartUnique/>
      </w:docPartObj>
    </w:sdtPr>
    <w:sdtContent>
      <w:p w14:paraId="38042293" w14:textId="77777777" w:rsidR="009A0A63" w:rsidRDefault="009A0A63">
        <w:pPr>
          <w:pStyle w:val="Footer"/>
          <w:jc w:val="right"/>
        </w:pPr>
        <w:r>
          <w:fldChar w:fldCharType="begin"/>
        </w:r>
        <w:r>
          <w:instrText xml:space="preserve"> PAGE   \* MERGEFORMAT </w:instrText>
        </w:r>
        <w:r>
          <w:fldChar w:fldCharType="separate"/>
        </w:r>
        <w:r>
          <w:rPr>
            <w:noProof/>
          </w:rPr>
          <w:t>2</w:t>
        </w:r>
        <w:r>
          <w:rPr>
            <w:noProof/>
          </w:rPr>
          <w:fldChar w:fldCharType="end"/>
        </w:r>
      </w:p>
    </w:sdtContent>
  </w:sdt>
  <w:p w14:paraId="11AF3BFE" w14:textId="77777777" w:rsidR="009A0A63" w:rsidRDefault="009A0A63">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A1EA00C" w14:textId="77777777" w:rsidR="0089401A" w:rsidRDefault="0089401A" w:rsidP="00A82FBA">
      <w:r>
        <w:separator/>
      </w:r>
    </w:p>
  </w:footnote>
  <w:footnote w:type="continuationSeparator" w:id="0">
    <w:p w14:paraId="5D55803F" w14:textId="77777777" w:rsidR="0089401A" w:rsidRDefault="0089401A" w:rsidP="00A82FBA">
      <w:r>
        <w:continuationSeparator/>
      </w:r>
    </w:p>
  </w:footnote>
  <w:footnote w:id="1">
    <w:p w14:paraId="4F06D861" w14:textId="77777777" w:rsidR="009A0A63" w:rsidRPr="00CC7572" w:rsidRDefault="009A0A63" w:rsidP="009A0A63">
      <w:pPr>
        <w:pStyle w:val="FootnoteText"/>
        <w:rPr>
          <w:rFonts w:ascii="Arial" w:hAnsi="Arial" w:cs="Arial"/>
        </w:rPr>
      </w:pPr>
      <w:r w:rsidRPr="001F022B">
        <w:rPr>
          <w:rStyle w:val="FootnoteReference"/>
          <w:sz w:val="22"/>
          <w:szCs w:val="22"/>
        </w:rPr>
        <w:footnoteRef/>
      </w:r>
      <w:r>
        <w:t xml:space="preserve"> </w:t>
      </w:r>
      <w:r w:rsidRPr="00CC7572">
        <w:rPr>
          <w:rFonts w:ascii="Arial" w:hAnsi="Arial" w:cs="Arial"/>
        </w:rPr>
        <w:t xml:space="preserve">DMCR has suggested significant projects to support this guideline include: 1) </w:t>
      </w:r>
      <w:r w:rsidRPr="00CC7572">
        <w:rPr>
          <w:rFonts w:ascii="Arial" w:hAnsi="Arial" w:cs="Arial"/>
          <w:lang w:val="en"/>
        </w:rPr>
        <w:t xml:space="preserve">Project to drive the increase in protected areas and the use of other effective area-based conservation measures (Other Effective Area-based Conservation Measures or OECM); 2) Project to develop certification of protected areas of type LMMA (Locally Managed Marine Areas); 3) Monitoring and evaluation project for existing designated marine and coastal protected areas under the 2015 Promotion of Marine and Coastal Resources Management Act. </w:t>
      </w:r>
    </w:p>
  </w:footnote>
  <w:footnote w:id="2">
    <w:p w14:paraId="54A7CE57" w14:textId="77777777" w:rsidR="009A0A63" w:rsidRPr="004F496B" w:rsidRDefault="009A0A63" w:rsidP="009A0A63">
      <w:pPr>
        <w:pStyle w:val="FootnoteText"/>
        <w:rPr>
          <w:rFonts w:ascii="Arial" w:hAnsi="Arial" w:cs="Arial"/>
          <w:lang w:val="en"/>
        </w:rPr>
      </w:pPr>
      <w:r w:rsidRPr="00CC7572">
        <w:rPr>
          <w:rStyle w:val="FootnoteReference"/>
          <w:rFonts w:ascii="Arial" w:hAnsi="Arial" w:cs="Arial"/>
          <w:sz w:val="24"/>
          <w:szCs w:val="24"/>
        </w:rPr>
        <w:footnoteRef/>
      </w:r>
      <w:r w:rsidRPr="00CC7572">
        <w:rPr>
          <w:rFonts w:ascii="Arial" w:hAnsi="Arial" w:cs="Arial"/>
        </w:rPr>
        <w:t xml:space="preserve"> </w:t>
      </w:r>
      <w:r w:rsidRPr="00CC7572">
        <w:rPr>
          <w:rFonts w:ascii="Arial" w:hAnsi="Arial" w:cs="Arial"/>
          <w:lang w:val="en"/>
        </w:rPr>
        <w:t>DMCR have focused on supporting and promoting the spatial management of marine and coastal resources as a guideline for driving forward from the national reform plan on natural resources and the environment to manage marine environmental resources, conserve, protect, and restore in a balanced and sustainable manner to preserve biodiversity and ecosystems with all sectors’ participation.  This plan f</w:t>
      </w:r>
      <w:r w:rsidRPr="004F496B">
        <w:rPr>
          <w:rFonts w:ascii="Arial" w:hAnsi="Arial" w:cs="Arial"/>
          <w:lang w:val="en"/>
        </w:rPr>
        <w:t>ocuses on a project to drive the determination of marine and coastal resources areas in 23 coastal provinces to support and promote the spatial management of marine and coastal resources.</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B70DD8"/>
    <w:multiLevelType w:val="multilevel"/>
    <w:tmpl w:val="AB54644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0DF236C"/>
    <w:multiLevelType w:val="multilevel"/>
    <w:tmpl w:val="2DEAF13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00ED2148"/>
    <w:multiLevelType w:val="multilevel"/>
    <w:tmpl w:val="D9205D3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01EA1CC1"/>
    <w:multiLevelType w:val="multilevel"/>
    <w:tmpl w:val="A4CA5B62"/>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03E46759"/>
    <w:multiLevelType w:val="multilevel"/>
    <w:tmpl w:val="3CBC5C8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04BC4570"/>
    <w:multiLevelType w:val="multilevel"/>
    <w:tmpl w:val="17BCD66E"/>
    <w:lvl w:ilvl="0">
      <w:start w:val="1"/>
      <w:numFmt w:val="bullet"/>
      <w:lvlText w:val="●"/>
      <w:lvlJc w:val="left"/>
      <w:pPr>
        <w:ind w:left="465"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1">
      <w:start w:val="1"/>
      <w:numFmt w:val="bullet"/>
      <w:lvlText w:val="○"/>
      <w:lvlJc w:val="left"/>
      <w:pPr>
        <w:ind w:left="144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2">
      <w:start w:val="1"/>
      <w:numFmt w:val="bullet"/>
      <w:lvlText w:val="■"/>
      <w:lvlJc w:val="left"/>
      <w:pPr>
        <w:ind w:left="216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3">
      <w:start w:val="1"/>
      <w:numFmt w:val="bullet"/>
      <w:lvlText w:val="■"/>
      <w:lvlJc w:val="left"/>
      <w:pPr>
        <w:ind w:left="288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4">
      <w:start w:val="1"/>
      <w:numFmt w:val="bullet"/>
      <w:lvlText w:val="■"/>
      <w:lvlJc w:val="left"/>
      <w:pPr>
        <w:ind w:left="360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5">
      <w:start w:val="1"/>
      <w:numFmt w:val="bullet"/>
      <w:lvlText w:val="■"/>
      <w:lvlJc w:val="left"/>
      <w:pPr>
        <w:ind w:left="432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6">
      <w:start w:val="1"/>
      <w:numFmt w:val="bullet"/>
      <w:lvlText w:val="■"/>
      <w:lvlJc w:val="left"/>
      <w:pPr>
        <w:ind w:left="504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7">
      <w:start w:val="1"/>
      <w:numFmt w:val="bullet"/>
      <w:lvlText w:val="■"/>
      <w:lvlJc w:val="left"/>
      <w:pPr>
        <w:ind w:left="576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8">
      <w:start w:val="1"/>
      <w:numFmt w:val="bullet"/>
      <w:lvlText w:val="■"/>
      <w:lvlJc w:val="left"/>
      <w:pPr>
        <w:ind w:left="6480" w:hanging="360"/>
      </w:pPr>
      <w:rPr>
        <w:rFonts w:ascii="Arial" w:eastAsia="Arial" w:hAnsi="Arial" w:cs="Arial"/>
        <w:b w:val="0"/>
        <w:bCs w:val="0"/>
        <w:i w:val="0"/>
        <w:iCs w:val="0"/>
        <w:smallCaps w:val="0"/>
        <w:strike w:val="0"/>
        <w:color w:val="000000"/>
        <w:sz w:val="22"/>
        <w:szCs w:val="22"/>
        <w:u w:val="none"/>
        <w:shd w:val="clear" w:color="auto" w:fill="auto"/>
        <w:vertAlign w:val="baseline"/>
      </w:rPr>
    </w:lvl>
  </w:abstractNum>
  <w:abstractNum w:abstractNumId="6" w15:restartNumberingAfterBreak="0">
    <w:nsid w:val="04C9371C"/>
    <w:multiLevelType w:val="multilevel"/>
    <w:tmpl w:val="C46E6B90"/>
    <w:lvl w:ilvl="0">
      <w:start w:val="1"/>
      <w:numFmt w:val="bullet"/>
      <w:lvlText w:val="●"/>
      <w:lvlJc w:val="left"/>
      <w:pPr>
        <w:ind w:left="465"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1">
      <w:start w:val="1"/>
      <w:numFmt w:val="bullet"/>
      <w:lvlText w:val="○"/>
      <w:lvlJc w:val="left"/>
      <w:pPr>
        <w:ind w:left="144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2">
      <w:start w:val="1"/>
      <w:numFmt w:val="bullet"/>
      <w:lvlText w:val="■"/>
      <w:lvlJc w:val="left"/>
      <w:pPr>
        <w:ind w:left="216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3">
      <w:start w:val="1"/>
      <w:numFmt w:val="bullet"/>
      <w:lvlText w:val="■"/>
      <w:lvlJc w:val="left"/>
      <w:pPr>
        <w:ind w:left="288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4">
      <w:start w:val="1"/>
      <w:numFmt w:val="bullet"/>
      <w:lvlText w:val="■"/>
      <w:lvlJc w:val="left"/>
      <w:pPr>
        <w:ind w:left="360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5">
      <w:start w:val="1"/>
      <w:numFmt w:val="bullet"/>
      <w:lvlText w:val="■"/>
      <w:lvlJc w:val="left"/>
      <w:pPr>
        <w:ind w:left="432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6">
      <w:start w:val="1"/>
      <w:numFmt w:val="bullet"/>
      <w:lvlText w:val="■"/>
      <w:lvlJc w:val="left"/>
      <w:pPr>
        <w:ind w:left="504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7">
      <w:start w:val="1"/>
      <w:numFmt w:val="bullet"/>
      <w:lvlText w:val="■"/>
      <w:lvlJc w:val="left"/>
      <w:pPr>
        <w:ind w:left="576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8">
      <w:start w:val="1"/>
      <w:numFmt w:val="bullet"/>
      <w:lvlText w:val="■"/>
      <w:lvlJc w:val="left"/>
      <w:pPr>
        <w:ind w:left="6480" w:hanging="360"/>
      </w:pPr>
      <w:rPr>
        <w:rFonts w:ascii="Arial" w:eastAsia="Arial" w:hAnsi="Arial" w:cs="Arial"/>
        <w:b w:val="0"/>
        <w:bCs w:val="0"/>
        <w:i w:val="0"/>
        <w:iCs w:val="0"/>
        <w:smallCaps w:val="0"/>
        <w:strike w:val="0"/>
        <w:color w:val="000000"/>
        <w:sz w:val="22"/>
        <w:szCs w:val="22"/>
        <w:u w:val="none"/>
        <w:shd w:val="clear" w:color="auto" w:fill="auto"/>
        <w:vertAlign w:val="baseline"/>
      </w:rPr>
    </w:lvl>
  </w:abstractNum>
  <w:abstractNum w:abstractNumId="7" w15:restartNumberingAfterBreak="0">
    <w:nsid w:val="04FD7E1A"/>
    <w:multiLevelType w:val="multilevel"/>
    <w:tmpl w:val="DA16418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056B0919"/>
    <w:multiLevelType w:val="multilevel"/>
    <w:tmpl w:val="5B4008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08E5692A"/>
    <w:multiLevelType w:val="multilevel"/>
    <w:tmpl w:val="90A0B4F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09E555C7"/>
    <w:multiLevelType w:val="multilevel"/>
    <w:tmpl w:val="14BAA0E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0AB74891"/>
    <w:multiLevelType w:val="multilevel"/>
    <w:tmpl w:val="39BE8E9C"/>
    <w:lvl w:ilvl="0">
      <w:start w:val="1"/>
      <w:numFmt w:val="bullet"/>
      <w:lvlText w:val="●"/>
      <w:lvlJc w:val="left"/>
      <w:pPr>
        <w:ind w:left="465"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1">
      <w:start w:val="1"/>
      <w:numFmt w:val="bullet"/>
      <w:lvlText w:val="○"/>
      <w:lvlJc w:val="left"/>
      <w:pPr>
        <w:ind w:left="144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2">
      <w:start w:val="1"/>
      <w:numFmt w:val="bullet"/>
      <w:lvlText w:val="■"/>
      <w:lvlJc w:val="left"/>
      <w:pPr>
        <w:ind w:left="216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3">
      <w:start w:val="1"/>
      <w:numFmt w:val="bullet"/>
      <w:lvlText w:val="■"/>
      <w:lvlJc w:val="left"/>
      <w:pPr>
        <w:ind w:left="288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4">
      <w:start w:val="1"/>
      <w:numFmt w:val="bullet"/>
      <w:lvlText w:val="■"/>
      <w:lvlJc w:val="left"/>
      <w:pPr>
        <w:ind w:left="360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5">
      <w:start w:val="1"/>
      <w:numFmt w:val="bullet"/>
      <w:lvlText w:val="■"/>
      <w:lvlJc w:val="left"/>
      <w:pPr>
        <w:ind w:left="432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6">
      <w:start w:val="1"/>
      <w:numFmt w:val="bullet"/>
      <w:lvlText w:val="■"/>
      <w:lvlJc w:val="left"/>
      <w:pPr>
        <w:ind w:left="504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7">
      <w:start w:val="1"/>
      <w:numFmt w:val="bullet"/>
      <w:lvlText w:val="■"/>
      <w:lvlJc w:val="left"/>
      <w:pPr>
        <w:ind w:left="576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8">
      <w:start w:val="1"/>
      <w:numFmt w:val="bullet"/>
      <w:lvlText w:val="■"/>
      <w:lvlJc w:val="left"/>
      <w:pPr>
        <w:ind w:left="6480" w:hanging="360"/>
      </w:pPr>
      <w:rPr>
        <w:rFonts w:ascii="Arial" w:eastAsia="Arial" w:hAnsi="Arial" w:cs="Arial"/>
        <w:b w:val="0"/>
        <w:bCs w:val="0"/>
        <w:i w:val="0"/>
        <w:iCs w:val="0"/>
        <w:smallCaps w:val="0"/>
        <w:strike w:val="0"/>
        <w:color w:val="000000"/>
        <w:sz w:val="22"/>
        <w:szCs w:val="22"/>
        <w:u w:val="none"/>
        <w:shd w:val="clear" w:color="auto" w:fill="auto"/>
        <w:vertAlign w:val="baseline"/>
      </w:rPr>
    </w:lvl>
  </w:abstractNum>
  <w:abstractNum w:abstractNumId="12" w15:restartNumberingAfterBreak="0">
    <w:nsid w:val="0C250B9C"/>
    <w:multiLevelType w:val="multilevel"/>
    <w:tmpl w:val="40241B3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0C6E1987"/>
    <w:multiLevelType w:val="multilevel"/>
    <w:tmpl w:val="164246B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0CBE1903"/>
    <w:multiLevelType w:val="multilevel"/>
    <w:tmpl w:val="81BEC34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0E051A1A"/>
    <w:multiLevelType w:val="multilevel"/>
    <w:tmpl w:val="30D6CEDC"/>
    <w:lvl w:ilvl="0">
      <w:start w:val="1"/>
      <w:numFmt w:val="bullet"/>
      <w:lvlText w:val=""/>
      <w:lvlJc w:val="left"/>
      <w:pPr>
        <w:tabs>
          <w:tab w:val="num" w:pos="1080"/>
        </w:tabs>
        <w:ind w:left="1080" w:hanging="360"/>
      </w:pPr>
      <w:rPr>
        <w:rFonts w:ascii="Symbol" w:hAnsi="Symbol" w:hint="default"/>
        <w:sz w:val="20"/>
      </w:rPr>
    </w:lvl>
    <w:lvl w:ilvl="1" w:tentative="1">
      <w:start w:val="1"/>
      <w:numFmt w:val="bullet"/>
      <w:lvlText w:val="o"/>
      <w:lvlJc w:val="left"/>
      <w:pPr>
        <w:tabs>
          <w:tab w:val="num" w:pos="1800"/>
        </w:tabs>
        <w:ind w:left="1800" w:hanging="360"/>
      </w:pPr>
      <w:rPr>
        <w:rFonts w:ascii="Courier New" w:hAnsi="Courier New" w:hint="default"/>
        <w:sz w:val="20"/>
      </w:rPr>
    </w:lvl>
    <w:lvl w:ilvl="2" w:tentative="1">
      <w:start w:val="1"/>
      <w:numFmt w:val="bullet"/>
      <w:lvlText w:val=""/>
      <w:lvlJc w:val="left"/>
      <w:pPr>
        <w:tabs>
          <w:tab w:val="num" w:pos="2520"/>
        </w:tabs>
        <w:ind w:left="2520" w:hanging="360"/>
      </w:pPr>
      <w:rPr>
        <w:rFonts w:ascii="Wingdings" w:hAnsi="Wingdings" w:hint="default"/>
        <w:sz w:val="20"/>
      </w:rPr>
    </w:lvl>
    <w:lvl w:ilvl="3" w:tentative="1">
      <w:start w:val="1"/>
      <w:numFmt w:val="bullet"/>
      <w:lvlText w:val=""/>
      <w:lvlJc w:val="left"/>
      <w:pPr>
        <w:tabs>
          <w:tab w:val="num" w:pos="3240"/>
        </w:tabs>
        <w:ind w:left="3240" w:hanging="360"/>
      </w:pPr>
      <w:rPr>
        <w:rFonts w:ascii="Wingdings" w:hAnsi="Wingdings" w:hint="default"/>
        <w:sz w:val="20"/>
      </w:rPr>
    </w:lvl>
    <w:lvl w:ilvl="4" w:tentative="1">
      <w:start w:val="1"/>
      <w:numFmt w:val="bullet"/>
      <w:lvlText w:val=""/>
      <w:lvlJc w:val="left"/>
      <w:pPr>
        <w:tabs>
          <w:tab w:val="num" w:pos="3960"/>
        </w:tabs>
        <w:ind w:left="3960" w:hanging="360"/>
      </w:pPr>
      <w:rPr>
        <w:rFonts w:ascii="Wingdings" w:hAnsi="Wingdings" w:hint="default"/>
        <w:sz w:val="20"/>
      </w:rPr>
    </w:lvl>
    <w:lvl w:ilvl="5" w:tentative="1">
      <w:start w:val="1"/>
      <w:numFmt w:val="bullet"/>
      <w:lvlText w:val=""/>
      <w:lvlJc w:val="left"/>
      <w:pPr>
        <w:tabs>
          <w:tab w:val="num" w:pos="4680"/>
        </w:tabs>
        <w:ind w:left="4680" w:hanging="360"/>
      </w:pPr>
      <w:rPr>
        <w:rFonts w:ascii="Wingdings" w:hAnsi="Wingdings" w:hint="default"/>
        <w:sz w:val="20"/>
      </w:rPr>
    </w:lvl>
    <w:lvl w:ilvl="6" w:tentative="1">
      <w:start w:val="1"/>
      <w:numFmt w:val="bullet"/>
      <w:lvlText w:val=""/>
      <w:lvlJc w:val="left"/>
      <w:pPr>
        <w:tabs>
          <w:tab w:val="num" w:pos="5400"/>
        </w:tabs>
        <w:ind w:left="5400" w:hanging="360"/>
      </w:pPr>
      <w:rPr>
        <w:rFonts w:ascii="Wingdings" w:hAnsi="Wingdings" w:hint="default"/>
        <w:sz w:val="20"/>
      </w:rPr>
    </w:lvl>
    <w:lvl w:ilvl="7" w:tentative="1">
      <w:start w:val="1"/>
      <w:numFmt w:val="bullet"/>
      <w:lvlText w:val=""/>
      <w:lvlJc w:val="left"/>
      <w:pPr>
        <w:tabs>
          <w:tab w:val="num" w:pos="6120"/>
        </w:tabs>
        <w:ind w:left="6120" w:hanging="360"/>
      </w:pPr>
      <w:rPr>
        <w:rFonts w:ascii="Wingdings" w:hAnsi="Wingdings" w:hint="default"/>
        <w:sz w:val="20"/>
      </w:rPr>
    </w:lvl>
    <w:lvl w:ilvl="8" w:tentative="1">
      <w:start w:val="1"/>
      <w:numFmt w:val="bullet"/>
      <w:lvlText w:val=""/>
      <w:lvlJc w:val="left"/>
      <w:pPr>
        <w:tabs>
          <w:tab w:val="num" w:pos="6840"/>
        </w:tabs>
        <w:ind w:left="6840" w:hanging="360"/>
      </w:pPr>
      <w:rPr>
        <w:rFonts w:ascii="Wingdings" w:hAnsi="Wingdings" w:hint="default"/>
        <w:sz w:val="20"/>
      </w:rPr>
    </w:lvl>
  </w:abstractNum>
  <w:abstractNum w:abstractNumId="16" w15:restartNumberingAfterBreak="0">
    <w:nsid w:val="0EFB5868"/>
    <w:multiLevelType w:val="multilevel"/>
    <w:tmpl w:val="A1E4563E"/>
    <w:lvl w:ilvl="0">
      <w:start w:val="1"/>
      <w:numFmt w:val="bullet"/>
      <w:lvlText w:val="o"/>
      <w:lvlJc w:val="left"/>
      <w:rPr>
        <w:rFonts w:ascii="Courier New" w:hAnsi="Courier New" w:cs="Courier New" w:hint="default"/>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15:restartNumberingAfterBreak="0">
    <w:nsid w:val="0F544477"/>
    <w:multiLevelType w:val="multilevel"/>
    <w:tmpl w:val="B2B20360"/>
    <w:lvl w:ilvl="0">
      <w:start w:val="1"/>
      <w:numFmt w:val="bullet"/>
      <w:lvlText w:val="●"/>
      <w:lvlJc w:val="left"/>
      <w:pPr>
        <w:ind w:left="465"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1">
      <w:start w:val="1"/>
      <w:numFmt w:val="bullet"/>
      <w:lvlText w:val="○"/>
      <w:lvlJc w:val="left"/>
      <w:pPr>
        <w:ind w:left="144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2">
      <w:start w:val="1"/>
      <w:numFmt w:val="bullet"/>
      <w:lvlText w:val="■"/>
      <w:lvlJc w:val="left"/>
      <w:pPr>
        <w:ind w:left="216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3">
      <w:start w:val="1"/>
      <w:numFmt w:val="bullet"/>
      <w:lvlText w:val="■"/>
      <w:lvlJc w:val="left"/>
      <w:pPr>
        <w:ind w:left="288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4">
      <w:start w:val="1"/>
      <w:numFmt w:val="bullet"/>
      <w:lvlText w:val="■"/>
      <w:lvlJc w:val="left"/>
      <w:pPr>
        <w:ind w:left="360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5">
      <w:start w:val="1"/>
      <w:numFmt w:val="bullet"/>
      <w:lvlText w:val="■"/>
      <w:lvlJc w:val="left"/>
      <w:pPr>
        <w:ind w:left="432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6">
      <w:start w:val="1"/>
      <w:numFmt w:val="bullet"/>
      <w:lvlText w:val="■"/>
      <w:lvlJc w:val="left"/>
      <w:pPr>
        <w:ind w:left="504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7">
      <w:start w:val="1"/>
      <w:numFmt w:val="bullet"/>
      <w:lvlText w:val="■"/>
      <w:lvlJc w:val="left"/>
      <w:pPr>
        <w:ind w:left="576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8">
      <w:start w:val="1"/>
      <w:numFmt w:val="bullet"/>
      <w:lvlText w:val="■"/>
      <w:lvlJc w:val="left"/>
      <w:pPr>
        <w:ind w:left="6480" w:hanging="360"/>
      </w:pPr>
      <w:rPr>
        <w:rFonts w:ascii="Arial" w:eastAsia="Arial" w:hAnsi="Arial" w:cs="Arial"/>
        <w:b w:val="0"/>
        <w:bCs w:val="0"/>
        <w:i w:val="0"/>
        <w:iCs w:val="0"/>
        <w:smallCaps w:val="0"/>
        <w:strike w:val="0"/>
        <w:color w:val="000000"/>
        <w:sz w:val="22"/>
        <w:szCs w:val="22"/>
        <w:u w:val="none"/>
        <w:shd w:val="clear" w:color="auto" w:fill="auto"/>
        <w:vertAlign w:val="baseline"/>
      </w:rPr>
    </w:lvl>
  </w:abstractNum>
  <w:abstractNum w:abstractNumId="18" w15:restartNumberingAfterBreak="0">
    <w:nsid w:val="10605BD5"/>
    <w:multiLevelType w:val="multilevel"/>
    <w:tmpl w:val="7A849EE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10D20631"/>
    <w:multiLevelType w:val="multilevel"/>
    <w:tmpl w:val="85A237C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10FF29C2"/>
    <w:multiLevelType w:val="multilevel"/>
    <w:tmpl w:val="7D56B00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10FF3577"/>
    <w:multiLevelType w:val="hybridMultilevel"/>
    <w:tmpl w:val="7DBACD6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111E6B97"/>
    <w:multiLevelType w:val="multilevel"/>
    <w:tmpl w:val="A45E433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11AB1110"/>
    <w:multiLevelType w:val="multilevel"/>
    <w:tmpl w:val="AEFEDDD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11EB1ECF"/>
    <w:multiLevelType w:val="multilevel"/>
    <w:tmpl w:val="680058C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12364C98"/>
    <w:multiLevelType w:val="multilevel"/>
    <w:tmpl w:val="3C4A5608"/>
    <w:lvl w:ilvl="0">
      <w:start w:val="1"/>
      <w:numFmt w:val="bullet"/>
      <w:lvlText w:val=""/>
      <w:lvlJc w:val="left"/>
      <w:pPr>
        <w:tabs>
          <w:tab w:val="num" w:pos="1080"/>
        </w:tabs>
        <w:ind w:left="1080" w:hanging="360"/>
      </w:pPr>
      <w:rPr>
        <w:rFonts w:ascii="Symbol" w:hAnsi="Symbol" w:hint="default"/>
        <w:sz w:val="20"/>
      </w:rPr>
    </w:lvl>
    <w:lvl w:ilvl="1" w:tentative="1">
      <w:start w:val="1"/>
      <w:numFmt w:val="bullet"/>
      <w:lvlText w:val="o"/>
      <w:lvlJc w:val="left"/>
      <w:pPr>
        <w:tabs>
          <w:tab w:val="num" w:pos="1800"/>
        </w:tabs>
        <w:ind w:left="1800" w:hanging="360"/>
      </w:pPr>
      <w:rPr>
        <w:rFonts w:ascii="Courier New" w:hAnsi="Courier New" w:hint="default"/>
        <w:sz w:val="20"/>
      </w:rPr>
    </w:lvl>
    <w:lvl w:ilvl="2" w:tentative="1">
      <w:start w:val="1"/>
      <w:numFmt w:val="bullet"/>
      <w:lvlText w:val=""/>
      <w:lvlJc w:val="left"/>
      <w:pPr>
        <w:tabs>
          <w:tab w:val="num" w:pos="2520"/>
        </w:tabs>
        <w:ind w:left="2520" w:hanging="360"/>
      </w:pPr>
      <w:rPr>
        <w:rFonts w:ascii="Wingdings" w:hAnsi="Wingdings" w:hint="default"/>
        <w:sz w:val="20"/>
      </w:rPr>
    </w:lvl>
    <w:lvl w:ilvl="3" w:tentative="1">
      <w:start w:val="1"/>
      <w:numFmt w:val="bullet"/>
      <w:lvlText w:val=""/>
      <w:lvlJc w:val="left"/>
      <w:pPr>
        <w:tabs>
          <w:tab w:val="num" w:pos="3240"/>
        </w:tabs>
        <w:ind w:left="3240" w:hanging="360"/>
      </w:pPr>
      <w:rPr>
        <w:rFonts w:ascii="Wingdings" w:hAnsi="Wingdings" w:hint="default"/>
        <w:sz w:val="20"/>
      </w:rPr>
    </w:lvl>
    <w:lvl w:ilvl="4" w:tentative="1">
      <w:start w:val="1"/>
      <w:numFmt w:val="bullet"/>
      <w:lvlText w:val=""/>
      <w:lvlJc w:val="left"/>
      <w:pPr>
        <w:tabs>
          <w:tab w:val="num" w:pos="3960"/>
        </w:tabs>
        <w:ind w:left="3960" w:hanging="360"/>
      </w:pPr>
      <w:rPr>
        <w:rFonts w:ascii="Wingdings" w:hAnsi="Wingdings" w:hint="default"/>
        <w:sz w:val="20"/>
      </w:rPr>
    </w:lvl>
    <w:lvl w:ilvl="5" w:tentative="1">
      <w:start w:val="1"/>
      <w:numFmt w:val="bullet"/>
      <w:lvlText w:val=""/>
      <w:lvlJc w:val="left"/>
      <w:pPr>
        <w:tabs>
          <w:tab w:val="num" w:pos="4680"/>
        </w:tabs>
        <w:ind w:left="4680" w:hanging="360"/>
      </w:pPr>
      <w:rPr>
        <w:rFonts w:ascii="Wingdings" w:hAnsi="Wingdings" w:hint="default"/>
        <w:sz w:val="20"/>
      </w:rPr>
    </w:lvl>
    <w:lvl w:ilvl="6" w:tentative="1">
      <w:start w:val="1"/>
      <w:numFmt w:val="bullet"/>
      <w:lvlText w:val=""/>
      <w:lvlJc w:val="left"/>
      <w:pPr>
        <w:tabs>
          <w:tab w:val="num" w:pos="5400"/>
        </w:tabs>
        <w:ind w:left="5400" w:hanging="360"/>
      </w:pPr>
      <w:rPr>
        <w:rFonts w:ascii="Wingdings" w:hAnsi="Wingdings" w:hint="default"/>
        <w:sz w:val="20"/>
      </w:rPr>
    </w:lvl>
    <w:lvl w:ilvl="7" w:tentative="1">
      <w:start w:val="1"/>
      <w:numFmt w:val="bullet"/>
      <w:lvlText w:val=""/>
      <w:lvlJc w:val="left"/>
      <w:pPr>
        <w:tabs>
          <w:tab w:val="num" w:pos="6120"/>
        </w:tabs>
        <w:ind w:left="6120" w:hanging="360"/>
      </w:pPr>
      <w:rPr>
        <w:rFonts w:ascii="Wingdings" w:hAnsi="Wingdings" w:hint="default"/>
        <w:sz w:val="20"/>
      </w:rPr>
    </w:lvl>
    <w:lvl w:ilvl="8" w:tentative="1">
      <w:start w:val="1"/>
      <w:numFmt w:val="bullet"/>
      <w:lvlText w:val=""/>
      <w:lvlJc w:val="left"/>
      <w:pPr>
        <w:tabs>
          <w:tab w:val="num" w:pos="6840"/>
        </w:tabs>
        <w:ind w:left="6840" w:hanging="360"/>
      </w:pPr>
      <w:rPr>
        <w:rFonts w:ascii="Wingdings" w:hAnsi="Wingdings" w:hint="default"/>
        <w:sz w:val="20"/>
      </w:rPr>
    </w:lvl>
  </w:abstractNum>
  <w:abstractNum w:abstractNumId="26" w15:restartNumberingAfterBreak="0">
    <w:nsid w:val="12F43C83"/>
    <w:multiLevelType w:val="multilevel"/>
    <w:tmpl w:val="58508F0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13E5620A"/>
    <w:multiLevelType w:val="multilevel"/>
    <w:tmpl w:val="24EE4A46"/>
    <w:lvl w:ilvl="0">
      <w:start w:val="1"/>
      <w:numFmt w:val="decimal"/>
      <w:lvlText w:val="%1."/>
      <w:lvlJc w:val="left"/>
      <w:pPr>
        <w:ind w:left="48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1">
      <w:start w:val="1"/>
      <w:numFmt w:val="bullet"/>
      <w:lvlText w:val=""/>
      <w:lvlJc w:val="left"/>
      <w:pPr>
        <w:ind w:left="885" w:hanging="360"/>
      </w:pPr>
      <w:rPr>
        <w:rFonts w:ascii="Symbol" w:hAnsi="Symbol" w:hint="default"/>
      </w:rPr>
    </w:lvl>
    <w:lvl w:ilvl="2">
      <w:start w:val="1"/>
      <w:numFmt w:val="bullet"/>
      <w:lvlText w:val="■"/>
      <w:lvlJc w:val="left"/>
      <w:pPr>
        <w:ind w:left="216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3">
      <w:start w:val="1"/>
      <w:numFmt w:val="bullet"/>
      <w:lvlText w:val="■"/>
      <w:lvlJc w:val="left"/>
      <w:pPr>
        <w:ind w:left="288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4">
      <w:start w:val="1"/>
      <w:numFmt w:val="bullet"/>
      <w:lvlText w:val="■"/>
      <w:lvlJc w:val="left"/>
      <w:pPr>
        <w:ind w:left="360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5">
      <w:start w:val="1"/>
      <w:numFmt w:val="bullet"/>
      <w:lvlText w:val="■"/>
      <w:lvlJc w:val="left"/>
      <w:pPr>
        <w:ind w:left="432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6">
      <w:start w:val="1"/>
      <w:numFmt w:val="bullet"/>
      <w:lvlText w:val="■"/>
      <w:lvlJc w:val="left"/>
      <w:pPr>
        <w:ind w:left="504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7">
      <w:start w:val="1"/>
      <w:numFmt w:val="bullet"/>
      <w:lvlText w:val="■"/>
      <w:lvlJc w:val="left"/>
      <w:pPr>
        <w:ind w:left="576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8">
      <w:start w:val="1"/>
      <w:numFmt w:val="bullet"/>
      <w:lvlText w:val="■"/>
      <w:lvlJc w:val="left"/>
      <w:pPr>
        <w:ind w:left="6480" w:hanging="360"/>
      </w:pPr>
      <w:rPr>
        <w:rFonts w:ascii="Arial" w:eastAsia="Arial" w:hAnsi="Arial" w:cs="Arial"/>
        <w:b w:val="0"/>
        <w:bCs w:val="0"/>
        <w:i w:val="0"/>
        <w:iCs w:val="0"/>
        <w:smallCaps w:val="0"/>
        <w:strike w:val="0"/>
        <w:color w:val="000000"/>
        <w:sz w:val="22"/>
        <w:szCs w:val="22"/>
        <w:u w:val="none"/>
        <w:shd w:val="clear" w:color="auto" w:fill="auto"/>
        <w:vertAlign w:val="baseline"/>
      </w:rPr>
    </w:lvl>
  </w:abstractNum>
  <w:abstractNum w:abstractNumId="28" w15:restartNumberingAfterBreak="0">
    <w:nsid w:val="169B7A62"/>
    <w:multiLevelType w:val="multilevel"/>
    <w:tmpl w:val="9074582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15:restartNumberingAfterBreak="0">
    <w:nsid w:val="16E57614"/>
    <w:multiLevelType w:val="hybridMultilevel"/>
    <w:tmpl w:val="0606705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15:restartNumberingAfterBreak="0">
    <w:nsid w:val="17013373"/>
    <w:multiLevelType w:val="multilevel"/>
    <w:tmpl w:val="17BCEB3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15:restartNumberingAfterBreak="0">
    <w:nsid w:val="17D45AF4"/>
    <w:multiLevelType w:val="multilevel"/>
    <w:tmpl w:val="182CAA9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 w15:restartNumberingAfterBreak="0">
    <w:nsid w:val="17F9680E"/>
    <w:multiLevelType w:val="multilevel"/>
    <w:tmpl w:val="65C47A3C"/>
    <w:lvl w:ilvl="0">
      <w:start w:val="1"/>
      <w:numFmt w:val="bullet"/>
      <w:lvlText w:val=""/>
      <w:lvlJc w:val="left"/>
      <w:pPr>
        <w:tabs>
          <w:tab w:val="num" w:pos="1080"/>
        </w:tabs>
        <w:ind w:left="1080" w:hanging="360"/>
      </w:pPr>
      <w:rPr>
        <w:rFonts w:ascii="Symbol" w:hAnsi="Symbol" w:hint="default"/>
        <w:sz w:val="20"/>
      </w:rPr>
    </w:lvl>
    <w:lvl w:ilvl="1" w:tentative="1">
      <w:start w:val="1"/>
      <w:numFmt w:val="bullet"/>
      <w:lvlText w:val="o"/>
      <w:lvlJc w:val="left"/>
      <w:pPr>
        <w:tabs>
          <w:tab w:val="num" w:pos="1800"/>
        </w:tabs>
        <w:ind w:left="1800" w:hanging="360"/>
      </w:pPr>
      <w:rPr>
        <w:rFonts w:ascii="Courier New" w:hAnsi="Courier New" w:hint="default"/>
        <w:sz w:val="20"/>
      </w:rPr>
    </w:lvl>
    <w:lvl w:ilvl="2" w:tentative="1">
      <w:start w:val="1"/>
      <w:numFmt w:val="bullet"/>
      <w:lvlText w:val=""/>
      <w:lvlJc w:val="left"/>
      <w:pPr>
        <w:tabs>
          <w:tab w:val="num" w:pos="2520"/>
        </w:tabs>
        <w:ind w:left="2520" w:hanging="360"/>
      </w:pPr>
      <w:rPr>
        <w:rFonts w:ascii="Wingdings" w:hAnsi="Wingdings" w:hint="default"/>
        <w:sz w:val="20"/>
      </w:rPr>
    </w:lvl>
    <w:lvl w:ilvl="3" w:tentative="1">
      <w:start w:val="1"/>
      <w:numFmt w:val="bullet"/>
      <w:lvlText w:val=""/>
      <w:lvlJc w:val="left"/>
      <w:pPr>
        <w:tabs>
          <w:tab w:val="num" w:pos="3240"/>
        </w:tabs>
        <w:ind w:left="3240" w:hanging="360"/>
      </w:pPr>
      <w:rPr>
        <w:rFonts w:ascii="Wingdings" w:hAnsi="Wingdings" w:hint="default"/>
        <w:sz w:val="20"/>
      </w:rPr>
    </w:lvl>
    <w:lvl w:ilvl="4" w:tentative="1">
      <w:start w:val="1"/>
      <w:numFmt w:val="bullet"/>
      <w:lvlText w:val=""/>
      <w:lvlJc w:val="left"/>
      <w:pPr>
        <w:tabs>
          <w:tab w:val="num" w:pos="3960"/>
        </w:tabs>
        <w:ind w:left="3960" w:hanging="360"/>
      </w:pPr>
      <w:rPr>
        <w:rFonts w:ascii="Wingdings" w:hAnsi="Wingdings" w:hint="default"/>
        <w:sz w:val="20"/>
      </w:rPr>
    </w:lvl>
    <w:lvl w:ilvl="5" w:tentative="1">
      <w:start w:val="1"/>
      <w:numFmt w:val="bullet"/>
      <w:lvlText w:val=""/>
      <w:lvlJc w:val="left"/>
      <w:pPr>
        <w:tabs>
          <w:tab w:val="num" w:pos="4680"/>
        </w:tabs>
        <w:ind w:left="4680" w:hanging="360"/>
      </w:pPr>
      <w:rPr>
        <w:rFonts w:ascii="Wingdings" w:hAnsi="Wingdings" w:hint="default"/>
        <w:sz w:val="20"/>
      </w:rPr>
    </w:lvl>
    <w:lvl w:ilvl="6" w:tentative="1">
      <w:start w:val="1"/>
      <w:numFmt w:val="bullet"/>
      <w:lvlText w:val=""/>
      <w:lvlJc w:val="left"/>
      <w:pPr>
        <w:tabs>
          <w:tab w:val="num" w:pos="5400"/>
        </w:tabs>
        <w:ind w:left="5400" w:hanging="360"/>
      </w:pPr>
      <w:rPr>
        <w:rFonts w:ascii="Wingdings" w:hAnsi="Wingdings" w:hint="default"/>
        <w:sz w:val="20"/>
      </w:rPr>
    </w:lvl>
    <w:lvl w:ilvl="7" w:tentative="1">
      <w:start w:val="1"/>
      <w:numFmt w:val="bullet"/>
      <w:lvlText w:val=""/>
      <w:lvlJc w:val="left"/>
      <w:pPr>
        <w:tabs>
          <w:tab w:val="num" w:pos="6120"/>
        </w:tabs>
        <w:ind w:left="6120" w:hanging="360"/>
      </w:pPr>
      <w:rPr>
        <w:rFonts w:ascii="Wingdings" w:hAnsi="Wingdings" w:hint="default"/>
        <w:sz w:val="20"/>
      </w:rPr>
    </w:lvl>
    <w:lvl w:ilvl="8" w:tentative="1">
      <w:start w:val="1"/>
      <w:numFmt w:val="bullet"/>
      <w:lvlText w:val=""/>
      <w:lvlJc w:val="left"/>
      <w:pPr>
        <w:tabs>
          <w:tab w:val="num" w:pos="6840"/>
        </w:tabs>
        <w:ind w:left="6840" w:hanging="360"/>
      </w:pPr>
      <w:rPr>
        <w:rFonts w:ascii="Wingdings" w:hAnsi="Wingdings" w:hint="default"/>
        <w:sz w:val="20"/>
      </w:rPr>
    </w:lvl>
  </w:abstractNum>
  <w:abstractNum w:abstractNumId="33" w15:restartNumberingAfterBreak="0">
    <w:nsid w:val="18BE792F"/>
    <w:multiLevelType w:val="multilevel"/>
    <w:tmpl w:val="AAF87DB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4" w15:restartNumberingAfterBreak="0">
    <w:nsid w:val="197D03AC"/>
    <w:multiLevelType w:val="multilevel"/>
    <w:tmpl w:val="3CE691A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5" w15:restartNumberingAfterBreak="0">
    <w:nsid w:val="1AFD11F5"/>
    <w:multiLevelType w:val="multilevel"/>
    <w:tmpl w:val="2C8A03E4"/>
    <w:lvl w:ilvl="0">
      <w:start w:val="1"/>
      <w:numFmt w:val="bullet"/>
      <w:lvlText w:val=""/>
      <w:lvlJc w:val="left"/>
      <w:pPr>
        <w:tabs>
          <w:tab w:val="num" w:pos="1080"/>
        </w:tabs>
        <w:ind w:left="1080" w:hanging="360"/>
      </w:pPr>
      <w:rPr>
        <w:rFonts w:ascii="Symbol" w:hAnsi="Symbol" w:hint="default"/>
        <w:sz w:val="20"/>
      </w:rPr>
    </w:lvl>
    <w:lvl w:ilvl="1" w:tentative="1">
      <w:start w:val="1"/>
      <w:numFmt w:val="bullet"/>
      <w:lvlText w:val="o"/>
      <w:lvlJc w:val="left"/>
      <w:pPr>
        <w:tabs>
          <w:tab w:val="num" w:pos="1800"/>
        </w:tabs>
        <w:ind w:left="1800" w:hanging="360"/>
      </w:pPr>
      <w:rPr>
        <w:rFonts w:ascii="Courier New" w:hAnsi="Courier New" w:hint="default"/>
        <w:sz w:val="20"/>
      </w:rPr>
    </w:lvl>
    <w:lvl w:ilvl="2" w:tentative="1">
      <w:start w:val="1"/>
      <w:numFmt w:val="bullet"/>
      <w:lvlText w:val=""/>
      <w:lvlJc w:val="left"/>
      <w:pPr>
        <w:tabs>
          <w:tab w:val="num" w:pos="2520"/>
        </w:tabs>
        <w:ind w:left="2520" w:hanging="360"/>
      </w:pPr>
      <w:rPr>
        <w:rFonts w:ascii="Wingdings" w:hAnsi="Wingdings" w:hint="default"/>
        <w:sz w:val="20"/>
      </w:rPr>
    </w:lvl>
    <w:lvl w:ilvl="3" w:tentative="1">
      <w:start w:val="1"/>
      <w:numFmt w:val="bullet"/>
      <w:lvlText w:val=""/>
      <w:lvlJc w:val="left"/>
      <w:pPr>
        <w:tabs>
          <w:tab w:val="num" w:pos="3240"/>
        </w:tabs>
        <w:ind w:left="3240" w:hanging="360"/>
      </w:pPr>
      <w:rPr>
        <w:rFonts w:ascii="Wingdings" w:hAnsi="Wingdings" w:hint="default"/>
        <w:sz w:val="20"/>
      </w:rPr>
    </w:lvl>
    <w:lvl w:ilvl="4" w:tentative="1">
      <w:start w:val="1"/>
      <w:numFmt w:val="bullet"/>
      <w:lvlText w:val=""/>
      <w:lvlJc w:val="left"/>
      <w:pPr>
        <w:tabs>
          <w:tab w:val="num" w:pos="3960"/>
        </w:tabs>
        <w:ind w:left="3960" w:hanging="360"/>
      </w:pPr>
      <w:rPr>
        <w:rFonts w:ascii="Wingdings" w:hAnsi="Wingdings" w:hint="default"/>
        <w:sz w:val="20"/>
      </w:rPr>
    </w:lvl>
    <w:lvl w:ilvl="5" w:tentative="1">
      <w:start w:val="1"/>
      <w:numFmt w:val="bullet"/>
      <w:lvlText w:val=""/>
      <w:lvlJc w:val="left"/>
      <w:pPr>
        <w:tabs>
          <w:tab w:val="num" w:pos="4680"/>
        </w:tabs>
        <w:ind w:left="4680" w:hanging="360"/>
      </w:pPr>
      <w:rPr>
        <w:rFonts w:ascii="Wingdings" w:hAnsi="Wingdings" w:hint="default"/>
        <w:sz w:val="20"/>
      </w:rPr>
    </w:lvl>
    <w:lvl w:ilvl="6" w:tentative="1">
      <w:start w:val="1"/>
      <w:numFmt w:val="bullet"/>
      <w:lvlText w:val=""/>
      <w:lvlJc w:val="left"/>
      <w:pPr>
        <w:tabs>
          <w:tab w:val="num" w:pos="5400"/>
        </w:tabs>
        <w:ind w:left="5400" w:hanging="360"/>
      </w:pPr>
      <w:rPr>
        <w:rFonts w:ascii="Wingdings" w:hAnsi="Wingdings" w:hint="default"/>
        <w:sz w:val="20"/>
      </w:rPr>
    </w:lvl>
    <w:lvl w:ilvl="7" w:tentative="1">
      <w:start w:val="1"/>
      <w:numFmt w:val="bullet"/>
      <w:lvlText w:val=""/>
      <w:lvlJc w:val="left"/>
      <w:pPr>
        <w:tabs>
          <w:tab w:val="num" w:pos="6120"/>
        </w:tabs>
        <w:ind w:left="6120" w:hanging="360"/>
      </w:pPr>
      <w:rPr>
        <w:rFonts w:ascii="Wingdings" w:hAnsi="Wingdings" w:hint="default"/>
        <w:sz w:val="20"/>
      </w:rPr>
    </w:lvl>
    <w:lvl w:ilvl="8" w:tentative="1">
      <w:start w:val="1"/>
      <w:numFmt w:val="bullet"/>
      <w:lvlText w:val=""/>
      <w:lvlJc w:val="left"/>
      <w:pPr>
        <w:tabs>
          <w:tab w:val="num" w:pos="6840"/>
        </w:tabs>
        <w:ind w:left="6840" w:hanging="360"/>
      </w:pPr>
      <w:rPr>
        <w:rFonts w:ascii="Wingdings" w:hAnsi="Wingdings" w:hint="default"/>
        <w:sz w:val="20"/>
      </w:rPr>
    </w:lvl>
  </w:abstractNum>
  <w:abstractNum w:abstractNumId="36" w15:restartNumberingAfterBreak="0">
    <w:nsid w:val="1B8F6706"/>
    <w:multiLevelType w:val="multilevel"/>
    <w:tmpl w:val="51E63D6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7" w15:restartNumberingAfterBreak="0">
    <w:nsid w:val="1B972B6E"/>
    <w:multiLevelType w:val="multilevel"/>
    <w:tmpl w:val="9BDA888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8" w15:restartNumberingAfterBreak="0">
    <w:nsid w:val="1BFA6C6D"/>
    <w:multiLevelType w:val="multilevel"/>
    <w:tmpl w:val="B4D25A1A"/>
    <w:lvl w:ilvl="0">
      <w:start w:val="1"/>
      <w:numFmt w:val="bullet"/>
      <w:lvlText w:val=""/>
      <w:lvlJc w:val="left"/>
      <w:pPr>
        <w:tabs>
          <w:tab w:val="num" w:pos="1080"/>
        </w:tabs>
        <w:ind w:left="1080" w:hanging="360"/>
      </w:pPr>
      <w:rPr>
        <w:rFonts w:ascii="Symbol" w:hAnsi="Symbol" w:hint="default"/>
        <w:sz w:val="20"/>
      </w:rPr>
    </w:lvl>
    <w:lvl w:ilvl="1" w:tentative="1">
      <w:start w:val="1"/>
      <w:numFmt w:val="bullet"/>
      <w:lvlText w:val="o"/>
      <w:lvlJc w:val="left"/>
      <w:pPr>
        <w:tabs>
          <w:tab w:val="num" w:pos="1800"/>
        </w:tabs>
        <w:ind w:left="1800" w:hanging="360"/>
      </w:pPr>
      <w:rPr>
        <w:rFonts w:ascii="Courier New" w:hAnsi="Courier New" w:hint="default"/>
        <w:sz w:val="20"/>
      </w:rPr>
    </w:lvl>
    <w:lvl w:ilvl="2" w:tentative="1">
      <w:start w:val="1"/>
      <w:numFmt w:val="bullet"/>
      <w:lvlText w:val=""/>
      <w:lvlJc w:val="left"/>
      <w:pPr>
        <w:tabs>
          <w:tab w:val="num" w:pos="2520"/>
        </w:tabs>
        <w:ind w:left="2520" w:hanging="360"/>
      </w:pPr>
      <w:rPr>
        <w:rFonts w:ascii="Wingdings" w:hAnsi="Wingdings" w:hint="default"/>
        <w:sz w:val="20"/>
      </w:rPr>
    </w:lvl>
    <w:lvl w:ilvl="3" w:tentative="1">
      <w:start w:val="1"/>
      <w:numFmt w:val="bullet"/>
      <w:lvlText w:val=""/>
      <w:lvlJc w:val="left"/>
      <w:pPr>
        <w:tabs>
          <w:tab w:val="num" w:pos="3240"/>
        </w:tabs>
        <w:ind w:left="3240" w:hanging="360"/>
      </w:pPr>
      <w:rPr>
        <w:rFonts w:ascii="Wingdings" w:hAnsi="Wingdings" w:hint="default"/>
        <w:sz w:val="20"/>
      </w:rPr>
    </w:lvl>
    <w:lvl w:ilvl="4" w:tentative="1">
      <w:start w:val="1"/>
      <w:numFmt w:val="bullet"/>
      <w:lvlText w:val=""/>
      <w:lvlJc w:val="left"/>
      <w:pPr>
        <w:tabs>
          <w:tab w:val="num" w:pos="3960"/>
        </w:tabs>
        <w:ind w:left="3960" w:hanging="360"/>
      </w:pPr>
      <w:rPr>
        <w:rFonts w:ascii="Wingdings" w:hAnsi="Wingdings" w:hint="default"/>
        <w:sz w:val="20"/>
      </w:rPr>
    </w:lvl>
    <w:lvl w:ilvl="5" w:tentative="1">
      <w:start w:val="1"/>
      <w:numFmt w:val="bullet"/>
      <w:lvlText w:val=""/>
      <w:lvlJc w:val="left"/>
      <w:pPr>
        <w:tabs>
          <w:tab w:val="num" w:pos="4680"/>
        </w:tabs>
        <w:ind w:left="4680" w:hanging="360"/>
      </w:pPr>
      <w:rPr>
        <w:rFonts w:ascii="Wingdings" w:hAnsi="Wingdings" w:hint="default"/>
        <w:sz w:val="20"/>
      </w:rPr>
    </w:lvl>
    <w:lvl w:ilvl="6" w:tentative="1">
      <w:start w:val="1"/>
      <w:numFmt w:val="bullet"/>
      <w:lvlText w:val=""/>
      <w:lvlJc w:val="left"/>
      <w:pPr>
        <w:tabs>
          <w:tab w:val="num" w:pos="5400"/>
        </w:tabs>
        <w:ind w:left="5400" w:hanging="360"/>
      </w:pPr>
      <w:rPr>
        <w:rFonts w:ascii="Wingdings" w:hAnsi="Wingdings" w:hint="default"/>
        <w:sz w:val="20"/>
      </w:rPr>
    </w:lvl>
    <w:lvl w:ilvl="7" w:tentative="1">
      <w:start w:val="1"/>
      <w:numFmt w:val="bullet"/>
      <w:lvlText w:val=""/>
      <w:lvlJc w:val="left"/>
      <w:pPr>
        <w:tabs>
          <w:tab w:val="num" w:pos="6120"/>
        </w:tabs>
        <w:ind w:left="6120" w:hanging="360"/>
      </w:pPr>
      <w:rPr>
        <w:rFonts w:ascii="Wingdings" w:hAnsi="Wingdings" w:hint="default"/>
        <w:sz w:val="20"/>
      </w:rPr>
    </w:lvl>
    <w:lvl w:ilvl="8" w:tentative="1">
      <w:start w:val="1"/>
      <w:numFmt w:val="bullet"/>
      <w:lvlText w:val=""/>
      <w:lvlJc w:val="left"/>
      <w:pPr>
        <w:tabs>
          <w:tab w:val="num" w:pos="6840"/>
        </w:tabs>
        <w:ind w:left="6840" w:hanging="360"/>
      </w:pPr>
      <w:rPr>
        <w:rFonts w:ascii="Wingdings" w:hAnsi="Wingdings" w:hint="default"/>
        <w:sz w:val="20"/>
      </w:rPr>
    </w:lvl>
  </w:abstractNum>
  <w:abstractNum w:abstractNumId="39" w15:restartNumberingAfterBreak="0">
    <w:nsid w:val="1C5C39CC"/>
    <w:multiLevelType w:val="multilevel"/>
    <w:tmpl w:val="0D22447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0" w15:restartNumberingAfterBreak="0">
    <w:nsid w:val="1D0B7551"/>
    <w:multiLevelType w:val="multilevel"/>
    <w:tmpl w:val="CDB094A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1" w15:restartNumberingAfterBreak="0">
    <w:nsid w:val="1E013C9C"/>
    <w:multiLevelType w:val="multilevel"/>
    <w:tmpl w:val="BFF2482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2" w15:restartNumberingAfterBreak="0">
    <w:nsid w:val="1E7F2D33"/>
    <w:multiLevelType w:val="multilevel"/>
    <w:tmpl w:val="78A825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3" w15:restartNumberingAfterBreak="0">
    <w:nsid w:val="1FF41BF6"/>
    <w:multiLevelType w:val="multilevel"/>
    <w:tmpl w:val="B2B20360"/>
    <w:lvl w:ilvl="0">
      <w:start w:val="1"/>
      <w:numFmt w:val="bullet"/>
      <w:lvlText w:val="●"/>
      <w:lvlJc w:val="left"/>
      <w:pPr>
        <w:ind w:left="465"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1">
      <w:start w:val="1"/>
      <w:numFmt w:val="bullet"/>
      <w:lvlText w:val="○"/>
      <w:lvlJc w:val="left"/>
      <w:pPr>
        <w:ind w:left="144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2">
      <w:start w:val="1"/>
      <w:numFmt w:val="bullet"/>
      <w:lvlText w:val="■"/>
      <w:lvlJc w:val="left"/>
      <w:pPr>
        <w:ind w:left="216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3">
      <w:start w:val="1"/>
      <w:numFmt w:val="bullet"/>
      <w:lvlText w:val="■"/>
      <w:lvlJc w:val="left"/>
      <w:pPr>
        <w:ind w:left="288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4">
      <w:start w:val="1"/>
      <w:numFmt w:val="bullet"/>
      <w:lvlText w:val="■"/>
      <w:lvlJc w:val="left"/>
      <w:pPr>
        <w:ind w:left="360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5">
      <w:start w:val="1"/>
      <w:numFmt w:val="bullet"/>
      <w:lvlText w:val="■"/>
      <w:lvlJc w:val="left"/>
      <w:pPr>
        <w:ind w:left="432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6">
      <w:start w:val="1"/>
      <w:numFmt w:val="bullet"/>
      <w:lvlText w:val="■"/>
      <w:lvlJc w:val="left"/>
      <w:pPr>
        <w:ind w:left="504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7">
      <w:start w:val="1"/>
      <w:numFmt w:val="bullet"/>
      <w:lvlText w:val="■"/>
      <w:lvlJc w:val="left"/>
      <w:pPr>
        <w:ind w:left="576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8">
      <w:start w:val="1"/>
      <w:numFmt w:val="bullet"/>
      <w:lvlText w:val="■"/>
      <w:lvlJc w:val="left"/>
      <w:pPr>
        <w:ind w:left="6480" w:hanging="360"/>
      </w:pPr>
      <w:rPr>
        <w:rFonts w:ascii="Arial" w:eastAsia="Arial" w:hAnsi="Arial" w:cs="Arial"/>
        <w:b w:val="0"/>
        <w:bCs w:val="0"/>
        <w:i w:val="0"/>
        <w:iCs w:val="0"/>
        <w:smallCaps w:val="0"/>
        <w:strike w:val="0"/>
        <w:color w:val="000000"/>
        <w:sz w:val="22"/>
        <w:szCs w:val="22"/>
        <w:u w:val="none"/>
        <w:shd w:val="clear" w:color="auto" w:fill="auto"/>
        <w:vertAlign w:val="baseline"/>
      </w:rPr>
    </w:lvl>
  </w:abstractNum>
  <w:abstractNum w:abstractNumId="44" w15:restartNumberingAfterBreak="0">
    <w:nsid w:val="22D57A27"/>
    <w:multiLevelType w:val="hybridMultilevel"/>
    <w:tmpl w:val="AACCE3B4"/>
    <w:lvl w:ilvl="0" w:tplc="FE48B290">
      <w:start w:val="1"/>
      <w:numFmt w:val="decimal"/>
      <w:lvlText w:val="%1."/>
      <w:lvlJc w:val="left"/>
      <w:pPr>
        <w:ind w:left="1260" w:hanging="360"/>
      </w:pPr>
      <w:rPr>
        <w:rFonts w:hint="default"/>
      </w:rPr>
    </w:lvl>
    <w:lvl w:ilvl="1" w:tplc="04090019" w:tentative="1">
      <w:start w:val="1"/>
      <w:numFmt w:val="lowerLetter"/>
      <w:lvlText w:val="%2."/>
      <w:lvlJc w:val="left"/>
      <w:pPr>
        <w:ind w:left="1980" w:hanging="360"/>
      </w:pPr>
    </w:lvl>
    <w:lvl w:ilvl="2" w:tplc="0409001B" w:tentative="1">
      <w:start w:val="1"/>
      <w:numFmt w:val="lowerRoman"/>
      <w:lvlText w:val="%3."/>
      <w:lvlJc w:val="right"/>
      <w:pPr>
        <w:ind w:left="2700" w:hanging="180"/>
      </w:pPr>
    </w:lvl>
    <w:lvl w:ilvl="3" w:tplc="0409000F" w:tentative="1">
      <w:start w:val="1"/>
      <w:numFmt w:val="decimal"/>
      <w:lvlText w:val="%4."/>
      <w:lvlJc w:val="left"/>
      <w:pPr>
        <w:ind w:left="3420" w:hanging="360"/>
      </w:pPr>
    </w:lvl>
    <w:lvl w:ilvl="4" w:tplc="04090019" w:tentative="1">
      <w:start w:val="1"/>
      <w:numFmt w:val="lowerLetter"/>
      <w:lvlText w:val="%5."/>
      <w:lvlJc w:val="left"/>
      <w:pPr>
        <w:ind w:left="4140" w:hanging="360"/>
      </w:pPr>
    </w:lvl>
    <w:lvl w:ilvl="5" w:tplc="0409001B" w:tentative="1">
      <w:start w:val="1"/>
      <w:numFmt w:val="lowerRoman"/>
      <w:lvlText w:val="%6."/>
      <w:lvlJc w:val="right"/>
      <w:pPr>
        <w:ind w:left="4860" w:hanging="180"/>
      </w:pPr>
    </w:lvl>
    <w:lvl w:ilvl="6" w:tplc="0409000F" w:tentative="1">
      <w:start w:val="1"/>
      <w:numFmt w:val="decimal"/>
      <w:lvlText w:val="%7."/>
      <w:lvlJc w:val="left"/>
      <w:pPr>
        <w:ind w:left="5580" w:hanging="360"/>
      </w:pPr>
    </w:lvl>
    <w:lvl w:ilvl="7" w:tplc="04090019" w:tentative="1">
      <w:start w:val="1"/>
      <w:numFmt w:val="lowerLetter"/>
      <w:lvlText w:val="%8."/>
      <w:lvlJc w:val="left"/>
      <w:pPr>
        <w:ind w:left="6300" w:hanging="360"/>
      </w:pPr>
    </w:lvl>
    <w:lvl w:ilvl="8" w:tplc="0409001B" w:tentative="1">
      <w:start w:val="1"/>
      <w:numFmt w:val="lowerRoman"/>
      <w:lvlText w:val="%9."/>
      <w:lvlJc w:val="right"/>
      <w:pPr>
        <w:ind w:left="7020" w:hanging="180"/>
      </w:pPr>
    </w:lvl>
  </w:abstractNum>
  <w:abstractNum w:abstractNumId="45" w15:restartNumberingAfterBreak="0">
    <w:nsid w:val="2432385A"/>
    <w:multiLevelType w:val="multilevel"/>
    <w:tmpl w:val="424023AE"/>
    <w:lvl w:ilvl="0">
      <w:start w:val="1"/>
      <w:numFmt w:val="decimal"/>
      <w:lvlText w:val="%1."/>
      <w:lvlJc w:val="left"/>
      <w:pPr>
        <w:tabs>
          <w:tab w:val="num" w:pos="1080"/>
        </w:tabs>
        <w:ind w:left="1080" w:hanging="360"/>
      </w:pPr>
    </w:lvl>
    <w:lvl w:ilvl="1" w:tentative="1">
      <w:start w:val="1"/>
      <w:numFmt w:val="decimal"/>
      <w:lvlText w:val="%2."/>
      <w:lvlJc w:val="left"/>
      <w:pPr>
        <w:tabs>
          <w:tab w:val="num" w:pos="1800"/>
        </w:tabs>
        <w:ind w:left="1800" w:hanging="360"/>
      </w:pPr>
    </w:lvl>
    <w:lvl w:ilvl="2" w:tentative="1">
      <w:start w:val="1"/>
      <w:numFmt w:val="decimal"/>
      <w:lvlText w:val="%3."/>
      <w:lvlJc w:val="left"/>
      <w:pPr>
        <w:tabs>
          <w:tab w:val="num" w:pos="2520"/>
        </w:tabs>
        <w:ind w:left="2520" w:hanging="360"/>
      </w:pPr>
    </w:lvl>
    <w:lvl w:ilvl="3" w:tentative="1">
      <w:start w:val="1"/>
      <w:numFmt w:val="decimal"/>
      <w:lvlText w:val="%4."/>
      <w:lvlJc w:val="left"/>
      <w:pPr>
        <w:tabs>
          <w:tab w:val="num" w:pos="3240"/>
        </w:tabs>
        <w:ind w:left="3240" w:hanging="360"/>
      </w:pPr>
    </w:lvl>
    <w:lvl w:ilvl="4" w:tentative="1">
      <w:start w:val="1"/>
      <w:numFmt w:val="decimal"/>
      <w:lvlText w:val="%5."/>
      <w:lvlJc w:val="left"/>
      <w:pPr>
        <w:tabs>
          <w:tab w:val="num" w:pos="3960"/>
        </w:tabs>
        <w:ind w:left="3960" w:hanging="360"/>
      </w:pPr>
    </w:lvl>
    <w:lvl w:ilvl="5" w:tentative="1">
      <w:start w:val="1"/>
      <w:numFmt w:val="decimal"/>
      <w:lvlText w:val="%6."/>
      <w:lvlJc w:val="left"/>
      <w:pPr>
        <w:tabs>
          <w:tab w:val="num" w:pos="4680"/>
        </w:tabs>
        <w:ind w:left="4680" w:hanging="360"/>
      </w:pPr>
    </w:lvl>
    <w:lvl w:ilvl="6" w:tentative="1">
      <w:start w:val="1"/>
      <w:numFmt w:val="decimal"/>
      <w:lvlText w:val="%7."/>
      <w:lvlJc w:val="left"/>
      <w:pPr>
        <w:tabs>
          <w:tab w:val="num" w:pos="5400"/>
        </w:tabs>
        <w:ind w:left="5400" w:hanging="360"/>
      </w:pPr>
    </w:lvl>
    <w:lvl w:ilvl="7" w:tentative="1">
      <w:start w:val="1"/>
      <w:numFmt w:val="decimal"/>
      <w:lvlText w:val="%8."/>
      <w:lvlJc w:val="left"/>
      <w:pPr>
        <w:tabs>
          <w:tab w:val="num" w:pos="6120"/>
        </w:tabs>
        <w:ind w:left="6120" w:hanging="360"/>
      </w:pPr>
    </w:lvl>
    <w:lvl w:ilvl="8" w:tentative="1">
      <w:start w:val="1"/>
      <w:numFmt w:val="decimal"/>
      <w:lvlText w:val="%9."/>
      <w:lvlJc w:val="left"/>
      <w:pPr>
        <w:tabs>
          <w:tab w:val="num" w:pos="6840"/>
        </w:tabs>
        <w:ind w:left="6840" w:hanging="360"/>
      </w:pPr>
    </w:lvl>
  </w:abstractNum>
  <w:abstractNum w:abstractNumId="46" w15:restartNumberingAfterBreak="0">
    <w:nsid w:val="25CE1755"/>
    <w:multiLevelType w:val="multilevel"/>
    <w:tmpl w:val="97809F3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7" w15:restartNumberingAfterBreak="0">
    <w:nsid w:val="25E34140"/>
    <w:multiLevelType w:val="multilevel"/>
    <w:tmpl w:val="DCFEA0F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8" w15:restartNumberingAfterBreak="0">
    <w:nsid w:val="26913EDE"/>
    <w:multiLevelType w:val="hybridMultilevel"/>
    <w:tmpl w:val="AE3A8D84"/>
    <w:lvl w:ilvl="0" w:tplc="63FE93AC">
      <w:start w:val="1"/>
      <w:numFmt w:val="decimal"/>
      <w:lvlText w:val="%1)"/>
      <w:lvlJc w:val="left"/>
      <w:pPr>
        <w:ind w:left="786" w:hanging="360"/>
      </w:pPr>
      <w:rPr>
        <w:rFonts w:hint="default"/>
      </w:rPr>
    </w:lvl>
    <w:lvl w:ilvl="1" w:tplc="04090019" w:tentative="1">
      <w:start w:val="1"/>
      <w:numFmt w:val="lowerLetter"/>
      <w:lvlText w:val="%2."/>
      <w:lvlJc w:val="left"/>
      <w:pPr>
        <w:ind w:left="1506" w:hanging="360"/>
      </w:pPr>
    </w:lvl>
    <w:lvl w:ilvl="2" w:tplc="0409001B" w:tentative="1">
      <w:start w:val="1"/>
      <w:numFmt w:val="lowerRoman"/>
      <w:lvlText w:val="%3."/>
      <w:lvlJc w:val="right"/>
      <w:pPr>
        <w:ind w:left="2226" w:hanging="180"/>
      </w:pPr>
    </w:lvl>
    <w:lvl w:ilvl="3" w:tplc="0409000F" w:tentative="1">
      <w:start w:val="1"/>
      <w:numFmt w:val="decimal"/>
      <w:lvlText w:val="%4."/>
      <w:lvlJc w:val="left"/>
      <w:pPr>
        <w:ind w:left="2946" w:hanging="360"/>
      </w:pPr>
    </w:lvl>
    <w:lvl w:ilvl="4" w:tplc="04090019" w:tentative="1">
      <w:start w:val="1"/>
      <w:numFmt w:val="lowerLetter"/>
      <w:lvlText w:val="%5."/>
      <w:lvlJc w:val="left"/>
      <w:pPr>
        <w:ind w:left="3666" w:hanging="360"/>
      </w:pPr>
    </w:lvl>
    <w:lvl w:ilvl="5" w:tplc="0409001B" w:tentative="1">
      <w:start w:val="1"/>
      <w:numFmt w:val="lowerRoman"/>
      <w:lvlText w:val="%6."/>
      <w:lvlJc w:val="right"/>
      <w:pPr>
        <w:ind w:left="4386" w:hanging="180"/>
      </w:pPr>
    </w:lvl>
    <w:lvl w:ilvl="6" w:tplc="0409000F" w:tentative="1">
      <w:start w:val="1"/>
      <w:numFmt w:val="decimal"/>
      <w:lvlText w:val="%7."/>
      <w:lvlJc w:val="left"/>
      <w:pPr>
        <w:ind w:left="5106" w:hanging="360"/>
      </w:pPr>
    </w:lvl>
    <w:lvl w:ilvl="7" w:tplc="04090019" w:tentative="1">
      <w:start w:val="1"/>
      <w:numFmt w:val="lowerLetter"/>
      <w:lvlText w:val="%8."/>
      <w:lvlJc w:val="left"/>
      <w:pPr>
        <w:ind w:left="5826" w:hanging="360"/>
      </w:pPr>
    </w:lvl>
    <w:lvl w:ilvl="8" w:tplc="0409001B" w:tentative="1">
      <w:start w:val="1"/>
      <w:numFmt w:val="lowerRoman"/>
      <w:lvlText w:val="%9."/>
      <w:lvlJc w:val="right"/>
      <w:pPr>
        <w:ind w:left="6546" w:hanging="180"/>
      </w:pPr>
    </w:lvl>
  </w:abstractNum>
  <w:abstractNum w:abstractNumId="49" w15:restartNumberingAfterBreak="0">
    <w:nsid w:val="26E55827"/>
    <w:multiLevelType w:val="multilevel"/>
    <w:tmpl w:val="13446E4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0" w15:restartNumberingAfterBreak="0">
    <w:nsid w:val="28092087"/>
    <w:multiLevelType w:val="multilevel"/>
    <w:tmpl w:val="028286F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1" w15:restartNumberingAfterBreak="0">
    <w:nsid w:val="291132DD"/>
    <w:multiLevelType w:val="multilevel"/>
    <w:tmpl w:val="F072E356"/>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2" w15:restartNumberingAfterBreak="0">
    <w:nsid w:val="2A9968FE"/>
    <w:multiLevelType w:val="multilevel"/>
    <w:tmpl w:val="B2B20360"/>
    <w:lvl w:ilvl="0">
      <w:start w:val="1"/>
      <w:numFmt w:val="bullet"/>
      <w:lvlText w:val="●"/>
      <w:lvlJc w:val="left"/>
      <w:pPr>
        <w:ind w:left="465"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1">
      <w:start w:val="1"/>
      <w:numFmt w:val="bullet"/>
      <w:lvlText w:val="○"/>
      <w:lvlJc w:val="left"/>
      <w:pPr>
        <w:ind w:left="144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2">
      <w:start w:val="1"/>
      <w:numFmt w:val="bullet"/>
      <w:lvlText w:val="■"/>
      <w:lvlJc w:val="left"/>
      <w:pPr>
        <w:ind w:left="216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3">
      <w:start w:val="1"/>
      <w:numFmt w:val="bullet"/>
      <w:lvlText w:val="■"/>
      <w:lvlJc w:val="left"/>
      <w:pPr>
        <w:ind w:left="288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4">
      <w:start w:val="1"/>
      <w:numFmt w:val="bullet"/>
      <w:lvlText w:val="■"/>
      <w:lvlJc w:val="left"/>
      <w:pPr>
        <w:ind w:left="360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5">
      <w:start w:val="1"/>
      <w:numFmt w:val="bullet"/>
      <w:lvlText w:val="■"/>
      <w:lvlJc w:val="left"/>
      <w:pPr>
        <w:ind w:left="432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6">
      <w:start w:val="1"/>
      <w:numFmt w:val="bullet"/>
      <w:lvlText w:val="■"/>
      <w:lvlJc w:val="left"/>
      <w:pPr>
        <w:ind w:left="504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7">
      <w:start w:val="1"/>
      <w:numFmt w:val="bullet"/>
      <w:lvlText w:val="■"/>
      <w:lvlJc w:val="left"/>
      <w:pPr>
        <w:ind w:left="576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8">
      <w:start w:val="1"/>
      <w:numFmt w:val="bullet"/>
      <w:lvlText w:val="■"/>
      <w:lvlJc w:val="left"/>
      <w:pPr>
        <w:ind w:left="6480" w:hanging="360"/>
      </w:pPr>
      <w:rPr>
        <w:rFonts w:ascii="Arial" w:eastAsia="Arial" w:hAnsi="Arial" w:cs="Arial"/>
        <w:b w:val="0"/>
        <w:bCs w:val="0"/>
        <w:i w:val="0"/>
        <w:iCs w:val="0"/>
        <w:smallCaps w:val="0"/>
        <w:strike w:val="0"/>
        <w:color w:val="000000"/>
        <w:sz w:val="22"/>
        <w:szCs w:val="22"/>
        <w:u w:val="none"/>
        <w:shd w:val="clear" w:color="auto" w:fill="auto"/>
        <w:vertAlign w:val="baseline"/>
      </w:rPr>
    </w:lvl>
  </w:abstractNum>
  <w:abstractNum w:abstractNumId="53" w15:restartNumberingAfterBreak="0">
    <w:nsid w:val="2BA50C86"/>
    <w:multiLevelType w:val="multilevel"/>
    <w:tmpl w:val="21CCF58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4" w15:restartNumberingAfterBreak="0">
    <w:nsid w:val="2CD3502E"/>
    <w:multiLevelType w:val="multilevel"/>
    <w:tmpl w:val="7BE46EF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5" w15:restartNumberingAfterBreak="0">
    <w:nsid w:val="2D1C34CD"/>
    <w:multiLevelType w:val="multilevel"/>
    <w:tmpl w:val="CDFEFDB2"/>
    <w:lvl w:ilvl="0">
      <w:start w:val="1"/>
      <w:numFmt w:val="bullet"/>
      <w:lvlText w:val="●"/>
      <w:lvlJc w:val="left"/>
      <w:pPr>
        <w:ind w:left="465"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1">
      <w:start w:val="1"/>
      <w:numFmt w:val="bullet"/>
      <w:lvlText w:val="○"/>
      <w:lvlJc w:val="left"/>
      <w:pPr>
        <w:ind w:left="87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2">
      <w:start w:val="1"/>
      <w:numFmt w:val="bullet"/>
      <w:lvlText w:val="■"/>
      <w:lvlJc w:val="left"/>
      <w:pPr>
        <w:ind w:left="216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3">
      <w:start w:val="1"/>
      <w:numFmt w:val="bullet"/>
      <w:lvlText w:val="■"/>
      <w:lvlJc w:val="left"/>
      <w:pPr>
        <w:ind w:left="288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4">
      <w:start w:val="1"/>
      <w:numFmt w:val="bullet"/>
      <w:lvlText w:val="■"/>
      <w:lvlJc w:val="left"/>
      <w:pPr>
        <w:ind w:left="360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5">
      <w:start w:val="1"/>
      <w:numFmt w:val="bullet"/>
      <w:lvlText w:val="■"/>
      <w:lvlJc w:val="left"/>
      <w:pPr>
        <w:ind w:left="432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6">
      <w:start w:val="1"/>
      <w:numFmt w:val="bullet"/>
      <w:lvlText w:val="■"/>
      <w:lvlJc w:val="left"/>
      <w:pPr>
        <w:ind w:left="504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7">
      <w:start w:val="1"/>
      <w:numFmt w:val="bullet"/>
      <w:lvlText w:val="■"/>
      <w:lvlJc w:val="left"/>
      <w:pPr>
        <w:ind w:left="576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8">
      <w:start w:val="1"/>
      <w:numFmt w:val="bullet"/>
      <w:lvlText w:val="■"/>
      <w:lvlJc w:val="left"/>
      <w:pPr>
        <w:ind w:left="6480" w:hanging="360"/>
      </w:pPr>
      <w:rPr>
        <w:rFonts w:ascii="Arial" w:eastAsia="Arial" w:hAnsi="Arial" w:cs="Arial"/>
        <w:b w:val="0"/>
        <w:bCs w:val="0"/>
        <w:i w:val="0"/>
        <w:iCs w:val="0"/>
        <w:smallCaps w:val="0"/>
        <w:strike w:val="0"/>
        <w:color w:val="000000"/>
        <w:sz w:val="22"/>
        <w:szCs w:val="22"/>
        <w:u w:val="none"/>
        <w:shd w:val="clear" w:color="auto" w:fill="auto"/>
        <w:vertAlign w:val="baseline"/>
      </w:rPr>
    </w:lvl>
  </w:abstractNum>
  <w:abstractNum w:abstractNumId="56" w15:restartNumberingAfterBreak="0">
    <w:nsid w:val="2E7B7293"/>
    <w:multiLevelType w:val="multilevel"/>
    <w:tmpl w:val="8176130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7" w15:restartNumberingAfterBreak="0">
    <w:nsid w:val="2EA937EA"/>
    <w:multiLevelType w:val="multilevel"/>
    <w:tmpl w:val="B1664A4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8" w15:restartNumberingAfterBreak="0">
    <w:nsid w:val="2EB6477E"/>
    <w:multiLevelType w:val="hybridMultilevel"/>
    <w:tmpl w:val="E8C4625C"/>
    <w:lvl w:ilvl="0" w:tplc="04090001">
      <w:start w:val="1"/>
      <w:numFmt w:val="bullet"/>
      <w:lvlText w:val=""/>
      <w:lvlJc w:val="left"/>
      <w:pPr>
        <w:ind w:left="8299" w:hanging="360"/>
      </w:pPr>
      <w:rPr>
        <w:rFonts w:ascii="Symbol" w:hAnsi="Symbol"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59" w15:restartNumberingAfterBreak="0">
    <w:nsid w:val="2ED0143C"/>
    <w:multiLevelType w:val="multilevel"/>
    <w:tmpl w:val="E542C126"/>
    <w:lvl w:ilvl="0">
      <w:start w:val="1"/>
      <w:numFmt w:val="bullet"/>
      <w:lvlText w:val=""/>
      <w:lvlJc w:val="left"/>
      <w:pPr>
        <w:tabs>
          <w:tab w:val="num" w:pos="1080"/>
        </w:tabs>
        <w:ind w:left="1080" w:hanging="360"/>
      </w:pPr>
      <w:rPr>
        <w:rFonts w:ascii="Symbol" w:hAnsi="Symbol" w:hint="default"/>
        <w:sz w:val="20"/>
      </w:rPr>
    </w:lvl>
    <w:lvl w:ilvl="1" w:tentative="1">
      <w:start w:val="1"/>
      <w:numFmt w:val="bullet"/>
      <w:lvlText w:val="o"/>
      <w:lvlJc w:val="left"/>
      <w:pPr>
        <w:tabs>
          <w:tab w:val="num" w:pos="1800"/>
        </w:tabs>
        <w:ind w:left="1800" w:hanging="360"/>
      </w:pPr>
      <w:rPr>
        <w:rFonts w:ascii="Courier New" w:hAnsi="Courier New" w:hint="default"/>
        <w:sz w:val="20"/>
      </w:rPr>
    </w:lvl>
    <w:lvl w:ilvl="2" w:tentative="1">
      <w:start w:val="1"/>
      <w:numFmt w:val="bullet"/>
      <w:lvlText w:val=""/>
      <w:lvlJc w:val="left"/>
      <w:pPr>
        <w:tabs>
          <w:tab w:val="num" w:pos="2520"/>
        </w:tabs>
        <w:ind w:left="2520" w:hanging="360"/>
      </w:pPr>
      <w:rPr>
        <w:rFonts w:ascii="Wingdings" w:hAnsi="Wingdings" w:hint="default"/>
        <w:sz w:val="20"/>
      </w:rPr>
    </w:lvl>
    <w:lvl w:ilvl="3" w:tentative="1">
      <w:start w:val="1"/>
      <w:numFmt w:val="bullet"/>
      <w:lvlText w:val=""/>
      <w:lvlJc w:val="left"/>
      <w:pPr>
        <w:tabs>
          <w:tab w:val="num" w:pos="3240"/>
        </w:tabs>
        <w:ind w:left="3240" w:hanging="360"/>
      </w:pPr>
      <w:rPr>
        <w:rFonts w:ascii="Wingdings" w:hAnsi="Wingdings" w:hint="default"/>
        <w:sz w:val="20"/>
      </w:rPr>
    </w:lvl>
    <w:lvl w:ilvl="4" w:tentative="1">
      <w:start w:val="1"/>
      <w:numFmt w:val="bullet"/>
      <w:lvlText w:val=""/>
      <w:lvlJc w:val="left"/>
      <w:pPr>
        <w:tabs>
          <w:tab w:val="num" w:pos="3960"/>
        </w:tabs>
        <w:ind w:left="3960" w:hanging="360"/>
      </w:pPr>
      <w:rPr>
        <w:rFonts w:ascii="Wingdings" w:hAnsi="Wingdings" w:hint="default"/>
        <w:sz w:val="20"/>
      </w:rPr>
    </w:lvl>
    <w:lvl w:ilvl="5" w:tentative="1">
      <w:start w:val="1"/>
      <w:numFmt w:val="bullet"/>
      <w:lvlText w:val=""/>
      <w:lvlJc w:val="left"/>
      <w:pPr>
        <w:tabs>
          <w:tab w:val="num" w:pos="4680"/>
        </w:tabs>
        <w:ind w:left="4680" w:hanging="360"/>
      </w:pPr>
      <w:rPr>
        <w:rFonts w:ascii="Wingdings" w:hAnsi="Wingdings" w:hint="default"/>
        <w:sz w:val="20"/>
      </w:rPr>
    </w:lvl>
    <w:lvl w:ilvl="6" w:tentative="1">
      <w:start w:val="1"/>
      <w:numFmt w:val="bullet"/>
      <w:lvlText w:val=""/>
      <w:lvlJc w:val="left"/>
      <w:pPr>
        <w:tabs>
          <w:tab w:val="num" w:pos="5400"/>
        </w:tabs>
        <w:ind w:left="5400" w:hanging="360"/>
      </w:pPr>
      <w:rPr>
        <w:rFonts w:ascii="Wingdings" w:hAnsi="Wingdings" w:hint="default"/>
        <w:sz w:val="20"/>
      </w:rPr>
    </w:lvl>
    <w:lvl w:ilvl="7" w:tentative="1">
      <w:start w:val="1"/>
      <w:numFmt w:val="bullet"/>
      <w:lvlText w:val=""/>
      <w:lvlJc w:val="left"/>
      <w:pPr>
        <w:tabs>
          <w:tab w:val="num" w:pos="6120"/>
        </w:tabs>
        <w:ind w:left="6120" w:hanging="360"/>
      </w:pPr>
      <w:rPr>
        <w:rFonts w:ascii="Wingdings" w:hAnsi="Wingdings" w:hint="default"/>
        <w:sz w:val="20"/>
      </w:rPr>
    </w:lvl>
    <w:lvl w:ilvl="8" w:tentative="1">
      <w:start w:val="1"/>
      <w:numFmt w:val="bullet"/>
      <w:lvlText w:val=""/>
      <w:lvlJc w:val="left"/>
      <w:pPr>
        <w:tabs>
          <w:tab w:val="num" w:pos="6840"/>
        </w:tabs>
        <w:ind w:left="6840" w:hanging="360"/>
      </w:pPr>
      <w:rPr>
        <w:rFonts w:ascii="Wingdings" w:hAnsi="Wingdings" w:hint="default"/>
        <w:sz w:val="20"/>
      </w:rPr>
    </w:lvl>
  </w:abstractNum>
  <w:abstractNum w:abstractNumId="60" w15:restartNumberingAfterBreak="0">
    <w:nsid w:val="2EDE3163"/>
    <w:multiLevelType w:val="multilevel"/>
    <w:tmpl w:val="A1D4BDC0"/>
    <w:lvl w:ilvl="0">
      <w:start w:val="1"/>
      <w:numFmt w:val="bullet"/>
      <w:lvlText w:val="●"/>
      <w:lvlJc w:val="left"/>
      <w:pPr>
        <w:ind w:left="465"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1">
      <w:start w:val="1"/>
      <w:numFmt w:val="bullet"/>
      <w:lvlText w:val="○"/>
      <w:lvlJc w:val="left"/>
      <w:pPr>
        <w:ind w:left="87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2">
      <w:start w:val="1"/>
      <w:numFmt w:val="bullet"/>
      <w:lvlText w:val="■"/>
      <w:lvlJc w:val="left"/>
      <w:pPr>
        <w:ind w:left="216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3">
      <w:start w:val="1"/>
      <w:numFmt w:val="bullet"/>
      <w:lvlText w:val="■"/>
      <w:lvlJc w:val="left"/>
      <w:pPr>
        <w:ind w:left="288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4">
      <w:start w:val="1"/>
      <w:numFmt w:val="bullet"/>
      <w:lvlText w:val="■"/>
      <w:lvlJc w:val="left"/>
      <w:pPr>
        <w:ind w:left="360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5">
      <w:start w:val="1"/>
      <w:numFmt w:val="bullet"/>
      <w:lvlText w:val="■"/>
      <w:lvlJc w:val="left"/>
      <w:pPr>
        <w:ind w:left="432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6">
      <w:start w:val="1"/>
      <w:numFmt w:val="bullet"/>
      <w:lvlText w:val="■"/>
      <w:lvlJc w:val="left"/>
      <w:pPr>
        <w:ind w:left="504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7">
      <w:start w:val="1"/>
      <w:numFmt w:val="bullet"/>
      <w:lvlText w:val="■"/>
      <w:lvlJc w:val="left"/>
      <w:pPr>
        <w:ind w:left="576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8">
      <w:start w:val="1"/>
      <w:numFmt w:val="bullet"/>
      <w:lvlText w:val="■"/>
      <w:lvlJc w:val="left"/>
      <w:pPr>
        <w:ind w:left="6480" w:hanging="360"/>
      </w:pPr>
      <w:rPr>
        <w:rFonts w:ascii="Arial" w:eastAsia="Arial" w:hAnsi="Arial" w:cs="Arial"/>
        <w:b w:val="0"/>
        <w:bCs w:val="0"/>
        <w:i w:val="0"/>
        <w:iCs w:val="0"/>
        <w:smallCaps w:val="0"/>
        <w:strike w:val="0"/>
        <w:color w:val="000000"/>
        <w:sz w:val="22"/>
        <w:szCs w:val="22"/>
        <w:u w:val="none"/>
        <w:shd w:val="clear" w:color="auto" w:fill="auto"/>
        <w:vertAlign w:val="baseline"/>
      </w:rPr>
    </w:lvl>
  </w:abstractNum>
  <w:abstractNum w:abstractNumId="61" w15:restartNumberingAfterBreak="0">
    <w:nsid w:val="2F9A7238"/>
    <w:multiLevelType w:val="multilevel"/>
    <w:tmpl w:val="3A4CDB70"/>
    <w:lvl w:ilvl="0">
      <w:start w:val="1"/>
      <w:numFmt w:val="bullet"/>
      <w:lvlText w:val=""/>
      <w:lvlJc w:val="left"/>
      <w:pPr>
        <w:tabs>
          <w:tab w:val="num" w:pos="1080"/>
        </w:tabs>
        <w:ind w:left="1080" w:hanging="360"/>
      </w:pPr>
      <w:rPr>
        <w:rFonts w:ascii="Symbol" w:hAnsi="Symbol" w:hint="default"/>
        <w:sz w:val="20"/>
      </w:rPr>
    </w:lvl>
    <w:lvl w:ilvl="1">
      <w:start w:val="1"/>
      <w:numFmt w:val="bullet"/>
      <w:lvlText w:val="o"/>
      <w:lvlJc w:val="left"/>
      <w:pPr>
        <w:tabs>
          <w:tab w:val="num" w:pos="1800"/>
        </w:tabs>
        <w:ind w:left="1800" w:hanging="360"/>
      </w:pPr>
      <w:rPr>
        <w:rFonts w:ascii="Courier New" w:hAnsi="Courier New" w:hint="default"/>
        <w:sz w:val="20"/>
      </w:rPr>
    </w:lvl>
    <w:lvl w:ilvl="2" w:tentative="1">
      <w:start w:val="1"/>
      <w:numFmt w:val="bullet"/>
      <w:lvlText w:val=""/>
      <w:lvlJc w:val="left"/>
      <w:pPr>
        <w:tabs>
          <w:tab w:val="num" w:pos="2520"/>
        </w:tabs>
        <w:ind w:left="2520" w:hanging="360"/>
      </w:pPr>
      <w:rPr>
        <w:rFonts w:ascii="Wingdings" w:hAnsi="Wingdings" w:hint="default"/>
        <w:sz w:val="20"/>
      </w:rPr>
    </w:lvl>
    <w:lvl w:ilvl="3" w:tentative="1">
      <w:start w:val="1"/>
      <w:numFmt w:val="bullet"/>
      <w:lvlText w:val=""/>
      <w:lvlJc w:val="left"/>
      <w:pPr>
        <w:tabs>
          <w:tab w:val="num" w:pos="3240"/>
        </w:tabs>
        <w:ind w:left="3240" w:hanging="360"/>
      </w:pPr>
      <w:rPr>
        <w:rFonts w:ascii="Wingdings" w:hAnsi="Wingdings" w:hint="default"/>
        <w:sz w:val="20"/>
      </w:rPr>
    </w:lvl>
    <w:lvl w:ilvl="4" w:tentative="1">
      <w:start w:val="1"/>
      <w:numFmt w:val="bullet"/>
      <w:lvlText w:val=""/>
      <w:lvlJc w:val="left"/>
      <w:pPr>
        <w:tabs>
          <w:tab w:val="num" w:pos="3960"/>
        </w:tabs>
        <w:ind w:left="3960" w:hanging="360"/>
      </w:pPr>
      <w:rPr>
        <w:rFonts w:ascii="Wingdings" w:hAnsi="Wingdings" w:hint="default"/>
        <w:sz w:val="20"/>
      </w:rPr>
    </w:lvl>
    <w:lvl w:ilvl="5" w:tentative="1">
      <w:start w:val="1"/>
      <w:numFmt w:val="bullet"/>
      <w:lvlText w:val=""/>
      <w:lvlJc w:val="left"/>
      <w:pPr>
        <w:tabs>
          <w:tab w:val="num" w:pos="4680"/>
        </w:tabs>
        <w:ind w:left="4680" w:hanging="360"/>
      </w:pPr>
      <w:rPr>
        <w:rFonts w:ascii="Wingdings" w:hAnsi="Wingdings" w:hint="default"/>
        <w:sz w:val="20"/>
      </w:rPr>
    </w:lvl>
    <w:lvl w:ilvl="6" w:tentative="1">
      <w:start w:val="1"/>
      <w:numFmt w:val="bullet"/>
      <w:lvlText w:val=""/>
      <w:lvlJc w:val="left"/>
      <w:pPr>
        <w:tabs>
          <w:tab w:val="num" w:pos="5400"/>
        </w:tabs>
        <w:ind w:left="5400" w:hanging="360"/>
      </w:pPr>
      <w:rPr>
        <w:rFonts w:ascii="Wingdings" w:hAnsi="Wingdings" w:hint="default"/>
        <w:sz w:val="20"/>
      </w:rPr>
    </w:lvl>
    <w:lvl w:ilvl="7" w:tentative="1">
      <w:start w:val="1"/>
      <w:numFmt w:val="bullet"/>
      <w:lvlText w:val=""/>
      <w:lvlJc w:val="left"/>
      <w:pPr>
        <w:tabs>
          <w:tab w:val="num" w:pos="6120"/>
        </w:tabs>
        <w:ind w:left="6120" w:hanging="360"/>
      </w:pPr>
      <w:rPr>
        <w:rFonts w:ascii="Wingdings" w:hAnsi="Wingdings" w:hint="default"/>
        <w:sz w:val="20"/>
      </w:rPr>
    </w:lvl>
    <w:lvl w:ilvl="8" w:tentative="1">
      <w:start w:val="1"/>
      <w:numFmt w:val="bullet"/>
      <w:lvlText w:val=""/>
      <w:lvlJc w:val="left"/>
      <w:pPr>
        <w:tabs>
          <w:tab w:val="num" w:pos="6840"/>
        </w:tabs>
        <w:ind w:left="6840" w:hanging="360"/>
      </w:pPr>
      <w:rPr>
        <w:rFonts w:ascii="Wingdings" w:hAnsi="Wingdings" w:hint="default"/>
        <w:sz w:val="20"/>
      </w:rPr>
    </w:lvl>
  </w:abstractNum>
  <w:abstractNum w:abstractNumId="62" w15:restartNumberingAfterBreak="0">
    <w:nsid w:val="3077036C"/>
    <w:multiLevelType w:val="multilevel"/>
    <w:tmpl w:val="B2B20360"/>
    <w:lvl w:ilvl="0">
      <w:start w:val="1"/>
      <w:numFmt w:val="bullet"/>
      <w:lvlText w:val="●"/>
      <w:lvlJc w:val="left"/>
      <w:pPr>
        <w:ind w:left="825"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1">
      <w:start w:val="1"/>
      <w:numFmt w:val="bullet"/>
      <w:lvlText w:val="○"/>
      <w:lvlJc w:val="left"/>
      <w:pPr>
        <w:ind w:left="180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2">
      <w:start w:val="1"/>
      <w:numFmt w:val="bullet"/>
      <w:lvlText w:val="■"/>
      <w:lvlJc w:val="left"/>
      <w:pPr>
        <w:ind w:left="252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3">
      <w:start w:val="1"/>
      <w:numFmt w:val="bullet"/>
      <w:lvlText w:val="■"/>
      <w:lvlJc w:val="left"/>
      <w:pPr>
        <w:ind w:left="324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4">
      <w:start w:val="1"/>
      <w:numFmt w:val="bullet"/>
      <w:lvlText w:val="■"/>
      <w:lvlJc w:val="left"/>
      <w:pPr>
        <w:ind w:left="396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5">
      <w:start w:val="1"/>
      <w:numFmt w:val="bullet"/>
      <w:lvlText w:val="■"/>
      <w:lvlJc w:val="left"/>
      <w:pPr>
        <w:ind w:left="468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6">
      <w:start w:val="1"/>
      <w:numFmt w:val="bullet"/>
      <w:lvlText w:val="■"/>
      <w:lvlJc w:val="left"/>
      <w:pPr>
        <w:ind w:left="540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7">
      <w:start w:val="1"/>
      <w:numFmt w:val="bullet"/>
      <w:lvlText w:val="■"/>
      <w:lvlJc w:val="left"/>
      <w:pPr>
        <w:ind w:left="612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8">
      <w:start w:val="1"/>
      <w:numFmt w:val="bullet"/>
      <w:lvlText w:val="■"/>
      <w:lvlJc w:val="left"/>
      <w:pPr>
        <w:ind w:left="6840" w:hanging="360"/>
      </w:pPr>
      <w:rPr>
        <w:rFonts w:ascii="Arial" w:eastAsia="Arial" w:hAnsi="Arial" w:cs="Arial"/>
        <w:b w:val="0"/>
        <w:bCs w:val="0"/>
        <w:i w:val="0"/>
        <w:iCs w:val="0"/>
        <w:smallCaps w:val="0"/>
        <w:strike w:val="0"/>
        <w:color w:val="000000"/>
        <w:sz w:val="22"/>
        <w:szCs w:val="22"/>
        <w:u w:val="none"/>
        <w:shd w:val="clear" w:color="auto" w:fill="auto"/>
        <w:vertAlign w:val="baseline"/>
      </w:rPr>
    </w:lvl>
  </w:abstractNum>
  <w:abstractNum w:abstractNumId="63" w15:restartNumberingAfterBreak="0">
    <w:nsid w:val="315957CE"/>
    <w:multiLevelType w:val="multilevel"/>
    <w:tmpl w:val="7E88AE56"/>
    <w:lvl w:ilvl="0">
      <w:start w:val="1"/>
      <w:numFmt w:val="bullet"/>
      <w:lvlText w:val=""/>
      <w:lvlJc w:val="left"/>
      <w:pPr>
        <w:tabs>
          <w:tab w:val="num" w:pos="1440"/>
        </w:tabs>
        <w:ind w:left="1440" w:hanging="360"/>
      </w:pPr>
      <w:rPr>
        <w:rFonts w:ascii="Symbol" w:hAnsi="Symbol" w:hint="default"/>
        <w:sz w:val="20"/>
      </w:rPr>
    </w:lvl>
    <w:lvl w:ilvl="1" w:tentative="1">
      <w:start w:val="1"/>
      <w:numFmt w:val="bullet"/>
      <w:lvlText w:val="o"/>
      <w:lvlJc w:val="left"/>
      <w:pPr>
        <w:tabs>
          <w:tab w:val="num" w:pos="2160"/>
        </w:tabs>
        <w:ind w:left="2160" w:hanging="360"/>
      </w:pPr>
      <w:rPr>
        <w:rFonts w:ascii="Courier New" w:hAnsi="Courier New" w:hint="default"/>
        <w:sz w:val="20"/>
      </w:rPr>
    </w:lvl>
    <w:lvl w:ilvl="2" w:tentative="1">
      <w:start w:val="1"/>
      <w:numFmt w:val="bullet"/>
      <w:lvlText w:val=""/>
      <w:lvlJc w:val="left"/>
      <w:pPr>
        <w:tabs>
          <w:tab w:val="num" w:pos="2880"/>
        </w:tabs>
        <w:ind w:left="2880" w:hanging="360"/>
      </w:pPr>
      <w:rPr>
        <w:rFonts w:ascii="Wingdings" w:hAnsi="Wingdings" w:hint="default"/>
        <w:sz w:val="20"/>
      </w:rPr>
    </w:lvl>
    <w:lvl w:ilvl="3" w:tentative="1">
      <w:start w:val="1"/>
      <w:numFmt w:val="bullet"/>
      <w:lvlText w:val=""/>
      <w:lvlJc w:val="left"/>
      <w:pPr>
        <w:tabs>
          <w:tab w:val="num" w:pos="3600"/>
        </w:tabs>
        <w:ind w:left="3600" w:hanging="360"/>
      </w:pPr>
      <w:rPr>
        <w:rFonts w:ascii="Wingdings" w:hAnsi="Wingdings" w:hint="default"/>
        <w:sz w:val="20"/>
      </w:rPr>
    </w:lvl>
    <w:lvl w:ilvl="4" w:tentative="1">
      <w:start w:val="1"/>
      <w:numFmt w:val="bullet"/>
      <w:lvlText w:val=""/>
      <w:lvlJc w:val="left"/>
      <w:pPr>
        <w:tabs>
          <w:tab w:val="num" w:pos="4320"/>
        </w:tabs>
        <w:ind w:left="4320" w:hanging="360"/>
      </w:pPr>
      <w:rPr>
        <w:rFonts w:ascii="Wingdings" w:hAnsi="Wingdings" w:hint="default"/>
        <w:sz w:val="20"/>
      </w:rPr>
    </w:lvl>
    <w:lvl w:ilvl="5" w:tentative="1">
      <w:start w:val="1"/>
      <w:numFmt w:val="bullet"/>
      <w:lvlText w:val=""/>
      <w:lvlJc w:val="left"/>
      <w:pPr>
        <w:tabs>
          <w:tab w:val="num" w:pos="5040"/>
        </w:tabs>
        <w:ind w:left="5040" w:hanging="360"/>
      </w:pPr>
      <w:rPr>
        <w:rFonts w:ascii="Wingdings" w:hAnsi="Wingdings" w:hint="default"/>
        <w:sz w:val="20"/>
      </w:rPr>
    </w:lvl>
    <w:lvl w:ilvl="6" w:tentative="1">
      <w:start w:val="1"/>
      <w:numFmt w:val="bullet"/>
      <w:lvlText w:val=""/>
      <w:lvlJc w:val="left"/>
      <w:pPr>
        <w:tabs>
          <w:tab w:val="num" w:pos="5760"/>
        </w:tabs>
        <w:ind w:left="5760" w:hanging="360"/>
      </w:pPr>
      <w:rPr>
        <w:rFonts w:ascii="Wingdings" w:hAnsi="Wingdings" w:hint="default"/>
        <w:sz w:val="20"/>
      </w:rPr>
    </w:lvl>
    <w:lvl w:ilvl="7" w:tentative="1">
      <w:start w:val="1"/>
      <w:numFmt w:val="bullet"/>
      <w:lvlText w:val=""/>
      <w:lvlJc w:val="left"/>
      <w:pPr>
        <w:tabs>
          <w:tab w:val="num" w:pos="6480"/>
        </w:tabs>
        <w:ind w:left="6480" w:hanging="360"/>
      </w:pPr>
      <w:rPr>
        <w:rFonts w:ascii="Wingdings" w:hAnsi="Wingdings" w:hint="default"/>
        <w:sz w:val="20"/>
      </w:rPr>
    </w:lvl>
    <w:lvl w:ilvl="8" w:tentative="1">
      <w:start w:val="1"/>
      <w:numFmt w:val="bullet"/>
      <w:lvlText w:val=""/>
      <w:lvlJc w:val="left"/>
      <w:pPr>
        <w:tabs>
          <w:tab w:val="num" w:pos="7200"/>
        </w:tabs>
        <w:ind w:left="7200" w:hanging="360"/>
      </w:pPr>
      <w:rPr>
        <w:rFonts w:ascii="Wingdings" w:hAnsi="Wingdings" w:hint="default"/>
        <w:sz w:val="20"/>
      </w:rPr>
    </w:lvl>
  </w:abstractNum>
  <w:abstractNum w:abstractNumId="64" w15:restartNumberingAfterBreak="0">
    <w:nsid w:val="317E6650"/>
    <w:multiLevelType w:val="multilevel"/>
    <w:tmpl w:val="ADD2F93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5" w15:restartNumberingAfterBreak="0">
    <w:nsid w:val="31901002"/>
    <w:multiLevelType w:val="multilevel"/>
    <w:tmpl w:val="A1748ED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6" w15:restartNumberingAfterBreak="0">
    <w:nsid w:val="31D44151"/>
    <w:multiLevelType w:val="multilevel"/>
    <w:tmpl w:val="839A51D4"/>
    <w:lvl w:ilvl="0">
      <w:start w:val="1"/>
      <w:numFmt w:val="decimal"/>
      <w:lvlText w:val="%1)"/>
      <w:lvlJc w:val="left"/>
      <w:pPr>
        <w:ind w:left="480" w:hanging="360"/>
      </w:pPr>
      <w:rPr>
        <w:rFonts w:ascii="Arial" w:eastAsia="Google Sans Text" w:hAnsi="Arial" w:cs="Arial"/>
        <w:b w:val="0"/>
        <w:bCs w:val="0"/>
        <w:i w:val="0"/>
        <w:iCs w:val="0"/>
        <w:smallCaps w:val="0"/>
        <w:strike w:val="0"/>
        <w:color w:val="000000"/>
        <w:sz w:val="22"/>
        <w:szCs w:val="22"/>
        <w:u w:val="none"/>
        <w:shd w:val="clear" w:color="auto" w:fill="auto"/>
        <w:vertAlign w:val="baseline"/>
      </w:rPr>
    </w:lvl>
    <w:lvl w:ilvl="1">
      <w:start w:val="1"/>
      <w:numFmt w:val="bullet"/>
      <w:lvlText w:val="○"/>
      <w:lvlJc w:val="left"/>
      <w:pPr>
        <w:ind w:left="885"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2">
      <w:start w:val="1"/>
      <w:numFmt w:val="bullet"/>
      <w:lvlText w:val="■"/>
      <w:lvlJc w:val="left"/>
      <w:pPr>
        <w:ind w:left="216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3">
      <w:start w:val="1"/>
      <w:numFmt w:val="bullet"/>
      <w:lvlText w:val="■"/>
      <w:lvlJc w:val="left"/>
      <w:pPr>
        <w:ind w:left="288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4">
      <w:start w:val="1"/>
      <w:numFmt w:val="bullet"/>
      <w:lvlText w:val="■"/>
      <w:lvlJc w:val="left"/>
      <w:pPr>
        <w:ind w:left="360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5">
      <w:start w:val="1"/>
      <w:numFmt w:val="bullet"/>
      <w:lvlText w:val="■"/>
      <w:lvlJc w:val="left"/>
      <w:pPr>
        <w:ind w:left="432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6">
      <w:start w:val="1"/>
      <w:numFmt w:val="bullet"/>
      <w:lvlText w:val="■"/>
      <w:lvlJc w:val="left"/>
      <w:pPr>
        <w:ind w:left="504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7">
      <w:start w:val="1"/>
      <w:numFmt w:val="bullet"/>
      <w:lvlText w:val="■"/>
      <w:lvlJc w:val="left"/>
      <w:pPr>
        <w:ind w:left="576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8">
      <w:start w:val="1"/>
      <w:numFmt w:val="bullet"/>
      <w:lvlText w:val="■"/>
      <w:lvlJc w:val="left"/>
      <w:pPr>
        <w:ind w:left="6480" w:hanging="360"/>
      </w:pPr>
      <w:rPr>
        <w:rFonts w:ascii="Arial" w:eastAsia="Arial" w:hAnsi="Arial" w:cs="Arial"/>
        <w:b w:val="0"/>
        <w:bCs w:val="0"/>
        <w:i w:val="0"/>
        <w:iCs w:val="0"/>
        <w:smallCaps w:val="0"/>
        <w:strike w:val="0"/>
        <w:color w:val="000000"/>
        <w:sz w:val="22"/>
        <w:szCs w:val="22"/>
        <w:u w:val="none"/>
        <w:shd w:val="clear" w:color="auto" w:fill="auto"/>
        <w:vertAlign w:val="baseline"/>
      </w:rPr>
    </w:lvl>
  </w:abstractNum>
  <w:abstractNum w:abstractNumId="67" w15:restartNumberingAfterBreak="0">
    <w:nsid w:val="32036993"/>
    <w:multiLevelType w:val="multilevel"/>
    <w:tmpl w:val="E6421F2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8" w15:restartNumberingAfterBreak="0">
    <w:nsid w:val="330F7607"/>
    <w:multiLevelType w:val="multilevel"/>
    <w:tmpl w:val="9526749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9" w15:restartNumberingAfterBreak="0">
    <w:nsid w:val="332F411D"/>
    <w:multiLevelType w:val="multilevel"/>
    <w:tmpl w:val="8134408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0" w15:restartNumberingAfterBreak="0">
    <w:nsid w:val="33E8000F"/>
    <w:multiLevelType w:val="multilevel"/>
    <w:tmpl w:val="70AA9B82"/>
    <w:lvl w:ilvl="0">
      <w:start w:val="1"/>
      <w:numFmt w:val="decimal"/>
      <w:lvlText w:val="%1)"/>
      <w:lvlJc w:val="left"/>
      <w:pPr>
        <w:ind w:left="840" w:hanging="360"/>
      </w:pPr>
      <w:rPr>
        <w:rFonts w:ascii="Arial" w:eastAsia="Google Sans Text" w:hAnsi="Arial" w:cs="Arial"/>
        <w:b w:val="0"/>
        <w:bCs w:val="0"/>
        <w:i w:val="0"/>
        <w:iCs w:val="0"/>
        <w:smallCaps w:val="0"/>
        <w:strike w:val="0"/>
        <w:color w:val="000000"/>
        <w:sz w:val="22"/>
        <w:szCs w:val="22"/>
        <w:u w:val="none"/>
        <w:shd w:val="clear" w:color="auto" w:fill="auto"/>
        <w:vertAlign w:val="baseline"/>
      </w:rPr>
    </w:lvl>
    <w:lvl w:ilvl="1">
      <w:start w:val="1"/>
      <w:numFmt w:val="bullet"/>
      <w:lvlText w:val="○"/>
      <w:lvlJc w:val="left"/>
      <w:pPr>
        <w:ind w:left="180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2">
      <w:start w:val="1"/>
      <w:numFmt w:val="bullet"/>
      <w:lvlText w:val="■"/>
      <w:lvlJc w:val="left"/>
      <w:pPr>
        <w:ind w:left="252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3">
      <w:start w:val="1"/>
      <w:numFmt w:val="bullet"/>
      <w:lvlText w:val="■"/>
      <w:lvlJc w:val="left"/>
      <w:pPr>
        <w:ind w:left="324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4">
      <w:start w:val="1"/>
      <w:numFmt w:val="bullet"/>
      <w:lvlText w:val="■"/>
      <w:lvlJc w:val="left"/>
      <w:pPr>
        <w:ind w:left="396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5">
      <w:start w:val="1"/>
      <w:numFmt w:val="bullet"/>
      <w:lvlText w:val="■"/>
      <w:lvlJc w:val="left"/>
      <w:pPr>
        <w:ind w:left="468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6">
      <w:start w:val="1"/>
      <w:numFmt w:val="bullet"/>
      <w:lvlText w:val="■"/>
      <w:lvlJc w:val="left"/>
      <w:pPr>
        <w:ind w:left="540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7">
      <w:start w:val="1"/>
      <w:numFmt w:val="bullet"/>
      <w:lvlText w:val="■"/>
      <w:lvlJc w:val="left"/>
      <w:pPr>
        <w:ind w:left="612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8">
      <w:start w:val="1"/>
      <w:numFmt w:val="bullet"/>
      <w:lvlText w:val="■"/>
      <w:lvlJc w:val="left"/>
      <w:pPr>
        <w:ind w:left="6840" w:hanging="360"/>
      </w:pPr>
      <w:rPr>
        <w:rFonts w:ascii="Arial" w:eastAsia="Arial" w:hAnsi="Arial" w:cs="Arial"/>
        <w:b w:val="0"/>
        <w:bCs w:val="0"/>
        <w:i w:val="0"/>
        <w:iCs w:val="0"/>
        <w:smallCaps w:val="0"/>
        <w:strike w:val="0"/>
        <w:color w:val="000000"/>
        <w:sz w:val="22"/>
        <w:szCs w:val="22"/>
        <w:u w:val="none"/>
        <w:shd w:val="clear" w:color="auto" w:fill="auto"/>
        <w:vertAlign w:val="baseline"/>
      </w:rPr>
    </w:lvl>
  </w:abstractNum>
  <w:abstractNum w:abstractNumId="71" w15:restartNumberingAfterBreak="0">
    <w:nsid w:val="342123AC"/>
    <w:multiLevelType w:val="multilevel"/>
    <w:tmpl w:val="4912A50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2" w15:restartNumberingAfterBreak="0">
    <w:nsid w:val="346B3529"/>
    <w:multiLevelType w:val="multilevel"/>
    <w:tmpl w:val="3168C27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3" w15:restartNumberingAfterBreak="0">
    <w:nsid w:val="35303724"/>
    <w:multiLevelType w:val="multilevel"/>
    <w:tmpl w:val="64D6C626"/>
    <w:lvl w:ilvl="0">
      <w:start w:val="1"/>
      <w:numFmt w:val="bullet"/>
      <w:lvlText w:val="●"/>
      <w:lvlJc w:val="left"/>
      <w:pPr>
        <w:ind w:left="465"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1">
      <w:start w:val="1"/>
      <w:numFmt w:val="decimal"/>
      <w:lvlText w:val="%2)"/>
      <w:lvlJc w:val="left"/>
      <w:pPr>
        <w:ind w:left="885" w:hanging="360"/>
      </w:pPr>
    </w:lvl>
    <w:lvl w:ilvl="2">
      <w:start w:val="1"/>
      <w:numFmt w:val="bullet"/>
      <w:lvlText w:val="■"/>
      <w:lvlJc w:val="left"/>
      <w:pPr>
        <w:ind w:left="216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3">
      <w:start w:val="1"/>
      <w:numFmt w:val="bullet"/>
      <w:lvlText w:val="■"/>
      <w:lvlJc w:val="left"/>
      <w:pPr>
        <w:ind w:left="288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4">
      <w:start w:val="1"/>
      <w:numFmt w:val="bullet"/>
      <w:lvlText w:val="■"/>
      <w:lvlJc w:val="left"/>
      <w:pPr>
        <w:ind w:left="360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5">
      <w:start w:val="1"/>
      <w:numFmt w:val="bullet"/>
      <w:lvlText w:val="■"/>
      <w:lvlJc w:val="left"/>
      <w:pPr>
        <w:ind w:left="432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6">
      <w:start w:val="1"/>
      <w:numFmt w:val="bullet"/>
      <w:lvlText w:val="■"/>
      <w:lvlJc w:val="left"/>
      <w:pPr>
        <w:ind w:left="504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7">
      <w:start w:val="1"/>
      <w:numFmt w:val="bullet"/>
      <w:lvlText w:val="■"/>
      <w:lvlJc w:val="left"/>
      <w:pPr>
        <w:ind w:left="576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8">
      <w:start w:val="1"/>
      <w:numFmt w:val="bullet"/>
      <w:lvlText w:val="■"/>
      <w:lvlJc w:val="left"/>
      <w:pPr>
        <w:ind w:left="6480" w:hanging="360"/>
      </w:pPr>
      <w:rPr>
        <w:rFonts w:ascii="Arial" w:eastAsia="Arial" w:hAnsi="Arial" w:cs="Arial"/>
        <w:b w:val="0"/>
        <w:bCs w:val="0"/>
        <w:i w:val="0"/>
        <w:iCs w:val="0"/>
        <w:smallCaps w:val="0"/>
        <w:strike w:val="0"/>
        <w:color w:val="000000"/>
        <w:sz w:val="22"/>
        <w:szCs w:val="22"/>
        <w:u w:val="none"/>
        <w:shd w:val="clear" w:color="auto" w:fill="auto"/>
        <w:vertAlign w:val="baseline"/>
      </w:rPr>
    </w:lvl>
  </w:abstractNum>
  <w:abstractNum w:abstractNumId="74" w15:restartNumberingAfterBreak="0">
    <w:nsid w:val="356F2993"/>
    <w:multiLevelType w:val="multilevel"/>
    <w:tmpl w:val="4B964342"/>
    <w:lvl w:ilvl="0">
      <w:start w:val="1"/>
      <w:numFmt w:val="decimal"/>
      <w:lvlText w:val="%1."/>
      <w:lvlJc w:val="left"/>
      <w:pPr>
        <w:tabs>
          <w:tab w:val="num" w:pos="1080"/>
        </w:tabs>
        <w:ind w:left="1080" w:hanging="360"/>
      </w:pPr>
    </w:lvl>
    <w:lvl w:ilvl="1" w:tentative="1">
      <w:start w:val="1"/>
      <w:numFmt w:val="decimal"/>
      <w:lvlText w:val="%2."/>
      <w:lvlJc w:val="left"/>
      <w:pPr>
        <w:tabs>
          <w:tab w:val="num" w:pos="1800"/>
        </w:tabs>
        <w:ind w:left="1800" w:hanging="360"/>
      </w:pPr>
    </w:lvl>
    <w:lvl w:ilvl="2" w:tentative="1">
      <w:start w:val="1"/>
      <w:numFmt w:val="decimal"/>
      <w:lvlText w:val="%3."/>
      <w:lvlJc w:val="left"/>
      <w:pPr>
        <w:tabs>
          <w:tab w:val="num" w:pos="2520"/>
        </w:tabs>
        <w:ind w:left="2520" w:hanging="360"/>
      </w:pPr>
    </w:lvl>
    <w:lvl w:ilvl="3" w:tentative="1">
      <w:start w:val="1"/>
      <w:numFmt w:val="decimal"/>
      <w:lvlText w:val="%4."/>
      <w:lvlJc w:val="left"/>
      <w:pPr>
        <w:tabs>
          <w:tab w:val="num" w:pos="3240"/>
        </w:tabs>
        <w:ind w:left="3240" w:hanging="360"/>
      </w:pPr>
    </w:lvl>
    <w:lvl w:ilvl="4" w:tentative="1">
      <w:start w:val="1"/>
      <w:numFmt w:val="decimal"/>
      <w:lvlText w:val="%5."/>
      <w:lvlJc w:val="left"/>
      <w:pPr>
        <w:tabs>
          <w:tab w:val="num" w:pos="3960"/>
        </w:tabs>
        <w:ind w:left="3960" w:hanging="360"/>
      </w:pPr>
    </w:lvl>
    <w:lvl w:ilvl="5" w:tentative="1">
      <w:start w:val="1"/>
      <w:numFmt w:val="decimal"/>
      <w:lvlText w:val="%6."/>
      <w:lvlJc w:val="left"/>
      <w:pPr>
        <w:tabs>
          <w:tab w:val="num" w:pos="4680"/>
        </w:tabs>
        <w:ind w:left="4680" w:hanging="360"/>
      </w:pPr>
    </w:lvl>
    <w:lvl w:ilvl="6" w:tentative="1">
      <w:start w:val="1"/>
      <w:numFmt w:val="decimal"/>
      <w:lvlText w:val="%7."/>
      <w:lvlJc w:val="left"/>
      <w:pPr>
        <w:tabs>
          <w:tab w:val="num" w:pos="5400"/>
        </w:tabs>
        <w:ind w:left="5400" w:hanging="360"/>
      </w:pPr>
    </w:lvl>
    <w:lvl w:ilvl="7" w:tentative="1">
      <w:start w:val="1"/>
      <w:numFmt w:val="decimal"/>
      <w:lvlText w:val="%8."/>
      <w:lvlJc w:val="left"/>
      <w:pPr>
        <w:tabs>
          <w:tab w:val="num" w:pos="6120"/>
        </w:tabs>
        <w:ind w:left="6120" w:hanging="360"/>
      </w:pPr>
    </w:lvl>
    <w:lvl w:ilvl="8" w:tentative="1">
      <w:start w:val="1"/>
      <w:numFmt w:val="decimal"/>
      <w:lvlText w:val="%9."/>
      <w:lvlJc w:val="left"/>
      <w:pPr>
        <w:tabs>
          <w:tab w:val="num" w:pos="6840"/>
        </w:tabs>
        <w:ind w:left="6840" w:hanging="360"/>
      </w:pPr>
    </w:lvl>
  </w:abstractNum>
  <w:abstractNum w:abstractNumId="75" w15:restartNumberingAfterBreak="0">
    <w:nsid w:val="38350010"/>
    <w:multiLevelType w:val="multilevel"/>
    <w:tmpl w:val="257C8018"/>
    <w:lvl w:ilvl="0">
      <w:start w:val="1"/>
      <w:numFmt w:val="bullet"/>
      <w:lvlText w:val="●"/>
      <w:lvlJc w:val="left"/>
      <w:pPr>
        <w:ind w:left="465"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1">
      <w:start w:val="1"/>
      <w:numFmt w:val="bullet"/>
      <w:lvlText w:val="○"/>
      <w:lvlJc w:val="left"/>
      <w:pPr>
        <w:ind w:left="144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2">
      <w:start w:val="1"/>
      <w:numFmt w:val="bullet"/>
      <w:lvlText w:val="■"/>
      <w:lvlJc w:val="left"/>
      <w:pPr>
        <w:ind w:left="216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3">
      <w:start w:val="1"/>
      <w:numFmt w:val="bullet"/>
      <w:lvlText w:val="■"/>
      <w:lvlJc w:val="left"/>
      <w:pPr>
        <w:ind w:left="288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4">
      <w:start w:val="1"/>
      <w:numFmt w:val="bullet"/>
      <w:lvlText w:val="■"/>
      <w:lvlJc w:val="left"/>
      <w:pPr>
        <w:ind w:left="360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5">
      <w:start w:val="1"/>
      <w:numFmt w:val="bullet"/>
      <w:lvlText w:val="■"/>
      <w:lvlJc w:val="left"/>
      <w:pPr>
        <w:ind w:left="432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6">
      <w:start w:val="1"/>
      <w:numFmt w:val="bullet"/>
      <w:lvlText w:val="■"/>
      <w:lvlJc w:val="left"/>
      <w:pPr>
        <w:ind w:left="504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7">
      <w:start w:val="1"/>
      <w:numFmt w:val="bullet"/>
      <w:lvlText w:val="■"/>
      <w:lvlJc w:val="left"/>
      <w:pPr>
        <w:ind w:left="576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8">
      <w:start w:val="1"/>
      <w:numFmt w:val="bullet"/>
      <w:lvlText w:val="■"/>
      <w:lvlJc w:val="left"/>
      <w:pPr>
        <w:ind w:left="6480" w:hanging="360"/>
      </w:pPr>
      <w:rPr>
        <w:rFonts w:ascii="Arial" w:eastAsia="Arial" w:hAnsi="Arial" w:cs="Arial"/>
        <w:b w:val="0"/>
        <w:bCs w:val="0"/>
        <w:i w:val="0"/>
        <w:iCs w:val="0"/>
        <w:smallCaps w:val="0"/>
        <w:strike w:val="0"/>
        <w:color w:val="000000"/>
        <w:sz w:val="22"/>
        <w:szCs w:val="22"/>
        <w:u w:val="none"/>
        <w:shd w:val="clear" w:color="auto" w:fill="auto"/>
        <w:vertAlign w:val="baseline"/>
      </w:rPr>
    </w:lvl>
  </w:abstractNum>
  <w:abstractNum w:abstractNumId="76" w15:restartNumberingAfterBreak="0">
    <w:nsid w:val="39360634"/>
    <w:multiLevelType w:val="multilevel"/>
    <w:tmpl w:val="42482D2A"/>
    <w:lvl w:ilvl="0">
      <w:start w:val="1"/>
      <w:numFmt w:val="bullet"/>
      <w:lvlText w:val="●"/>
      <w:lvlJc w:val="left"/>
      <w:pPr>
        <w:ind w:left="465"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1">
      <w:start w:val="1"/>
      <w:numFmt w:val="bullet"/>
      <w:lvlText w:val="○"/>
      <w:lvlJc w:val="left"/>
      <w:pPr>
        <w:ind w:left="144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2">
      <w:start w:val="1"/>
      <w:numFmt w:val="bullet"/>
      <w:lvlText w:val="■"/>
      <w:lvlJc w:val="left"/>
      <w:pPr>
        <w:ind w:left="216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3">
      <w:start w:val="1"/>
      <w:numFmt w:val="bullet"/>
      <w:lvlText w:val="■"/>
      <w:lvlJc w:val="left"/>
      <w:pPr>
        <w:ind w:left="288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4">
      <w:start w:val="1"/>
      <w:numFmt w:val="bullet"/>
      <w:lvlText w:val="■"/>
      <w:lvlJc w:val="left"/>
      <w:pPr>
        <w:ind w:left="360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5">
      <w:start w:val="1"/>
      <w:numFmt w:val="bullet"/>
      <w:lvlText w:val="■"/>
      <w:lvlJc w:val="left"/>
      <w:pPr>
        <w:ind w:left="432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6">
      <w:start w:val="1"/>
      <w:numFmt w:val="bullet"/>
      <w:lvlText w:val="■"/>
      <w:lvlJc w:val="left"/>
      <w:pPr>
        <w:ind w:left="504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7">
      <w:start w:val="1"/>
      <w:numFmt w:val="bullet"/>
      <w:lvlText w:val="■"/>
      <w:lvlJc w:val="left"/>
      <w:pPr>
        <w:ind w:left="576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8">
      <w:start w:val="1"/>
      <w:numFmt w:val="bullet"/>
      <w:lvlText w:val="■"/>
      <w:lvlJc w:val="left"/>
      <w:pPr>
        <w:ind w:left="6480" w:hanging="360"/>
      </w:pPr>
      <w:rPr>
        <w:rFonts w:ascii="Arial" w:eastAsia="Arial" w:hAnsi="Arial" w:cs="Arial"/>
        <w:b w:val="0"/>
        <w:bCs w:val="0"/>
        <w:i w:val="0"/>
        <w:iCs w:val="0"/>
        <w:smallCaps w:val="0"/>
        <w:strike w:val="0"/>
        <w:color w:val="000000"/>
        <w:sz w:val="22"/>
        <w:szCs w:val="22"/>
        <w:u w:val="none"/>
        <w:shd w:val="clear" w:color="auto" w:fill="auto"/>
        <w:vertAlign w:val="baseline"/>
      </w:rPr>
    </w:lvl>
  </w:abstractNum>
  <w:abstractNum w:abstractNumId="77" w15:restartNumberingAfterBreak="0">
    <w:nsid w:val="39A23992"/>
    <w:multiLevelType w:val="multilevel"/>
    <w:tmpl w:val="C7A4911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8" w15:restartNumberingAfterBreak="0">
    <w:nsid w:val="39D14082"/>
    <w:multiLevelType w:val="multilevel"/>
    <w:tmpl w:val="F162D73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9" w15:restartNumberingAfterBreak="0">
    <w:nsid w:val="39E669A8"/>
    <w:multiLevelType w:val="multilevel"/>
    <w:tmpl w:val="2EE0BD3A"/>
    <w:lvl w:ilvl="0">
      <w:start w:val="1"/>
      <w:numFmt w:val="bullet"/>
      <w:lvlText w:val=""/>
      <w:lvlJc w:val="left"/>
      <w:pPr>
        <w:tabs>
          <w:tab w:val="num" w:pos="1080"/>
        </w:tabs>
        <w:ind w:left="1080" w:hanging="360"/>
      </w:pPr>
      <w:rPr>
        <w:rFonts w:ascii="Symbol" w:hAnsi="Symbol" w:hint="default"/>
        <w:sz w:val="20"/>
      </w:rPr>
    </w:lvl>
    <w:lvl w:ilvl="1" w:tentative="1">
      <w:start w:val="1"/>
      <w:numFmt w:val="bullet"/>
      <w:lvlText w:val="o"/>
      <w:lvlJc w:val="left"/>
      <w:pPr>
        <w:tabs>
          <w:tab w:val="num" w:pos="1800"/>
        </w:tabs>
        <w:ind w:left="1800" w:hanging="360"/>
      </w:pPr>
      <w:rPr>
        <w:rFonts w:ascii="Courier New" w:hAnsi="Courier New" w:hint="default"/>
        <w:sz w:val="20"/>
      </w:rPr>
    </w:lvl>
    <w:lvl w:ilvl="2" w:tentative="1">
      <w:start w:val="1"/>
      <w:numFmt w:val="bullet"/>
      <w:lvlText w:val=""/>
      <w:lvlJc w:val="left"/>
      <w:pPr>
        <w:tabs>
          <w:tab w:val="num" w:pos="2520"/>
        </w:tabs>
        <w:ind w:left="2520" w:hanging="360"/>
      </w:pPr>
      <w:rPr>
        <w:rFonts w:ascii="Wingdings" w:hAnsi="Wingdings" w:hint="default"/>
        <w:sz w:val="20"/>
      </w:rPr>
    </w:lvl>
    <w:lvl w:ilvl="3" w:tentative="1">
      <w:start w:val="1"/>
      <w:numFmt w:val="bullet"/>
      <w:lvlText w:val=""/>
      <w:lvlJc w:val="left"/>
      <w:pPr>
        <w:tabs>
          <w:tab w:val="num" w:pos="3240"/>
        </w:tabs>
        <w:ind w:left="3240" w:hanging="360"/>
      </w:pPr>
      <w:rPr>
        <w:rFonts w:ascii="Wingdings" w:hAnsi="Wingdings" w:hint="default"/>
        <w:sz w:val="20"/>
      </w:rPr>
    </w:lvl>
    <w:lvl w:ilvl="4" w:tentative="1">
      <w:start w:val="1"/>
      <w:numFmt w:val="bullet"/>
      <w:lvlText w:val=""/>
      <w:lvlJc w:val="left"/>
      <w:pPr>
        <w:tabs>
          <w:tab w:val="num" w:pos="3960"/>
        </w:tabs>
        <w:ind w:left="3960" w:hanging="360"/>
      </w:pPr>
      <w:rPr>
        <w:rFonts w:ascii="Wingdings" w:hAnsi="Wingdings" w:hint="default"/>
        <w:sz w:val="20"/>
      </w:rPr>
    </w:lvl>
    <w:lvl w:ilvl="5" w:tentative="1">
      <w:start w:val="1"/>
      <w:numFmt w:val="bullet"/>
      <w:lvlText w:val=""/>
      <w:lvlJc w:val="left"/>
      <w:pPr>
        <w:tabs>
          <w:tab w:val="num" w:pos="4680"/>
        </w:tabs>
        <w:ind w:left="4680" w:hanging="360"/>
      </w:pPr>
      <w:rPr>
        <w:rFonts w:ascii="Wingdings" w:hAnsi="Wingdings" w:hint="default"/>
        <w:sz w:val="20"/>
      </w:rPr>
    </w:lvl>
    <w:lvl w:ilvl="6" w:tentative="1">
      <w:start w:val="1"/>
      <w:numFmt w:val="bullet"/>
      <w:lvlText w:val=""/>
      <w:lvlJc w:val="left"/>
      <w:pPr>
        <w:tabs>
          <w:tab w:val="num" w:pos="5400"/>
        </w:tabs>
        <w:ind w:left="5400" w:hanging="360"/>
      </w:pPr>
      <w:rPr>
        <w:rFonts w:ascii="Wingdings" w:hAnsi="Wingdings" w:hint="default"/>
        <w:sz w:val="20"/>
      </w:rPr>
    </w:lvl>
    <w:lvl w:ilvl="7" w:tentative="1">
      <w:start w:val="1"/>
      <w:numFmt w:val="bullet"/>
      <w:lvlText w:val=""/>
      <w:lvlJc w:val="left"/>
      <w:pPr>
        <w:tabs>
          <w:tab w:val="num" w:pos="6120"/>
        </w:tabs>
        <w:ind w:left="6120" w:hanging="360"/>
      </w:pPr>
      <w:rPr>
        <w:rFonts w:ascii="Wingdings" w:hAnsi="Wingdings" w:hint="default"/>
        <w:sz w:val="20"/>
      </w:rPr>
    </w:lvl>
    <w:lvl w:ilvl="8" w:tentative="1">
      <w:start w:val="1"/>
      <w:numFmt w:val="bullet"/>
      <w:lvlText w:val=""/>
      <w:lvlJc w:val="left"/>
      <w:pPr>
        <w:tabs>
          <w:tab w:val="num" w:pos="6840"/>
        </w:tabs>
        <w:ind w:left="6840" w:hanging="360"/>
      </w:pPr>
      <w:rPr>
        <w:rFonts w:ascii="Wingdings" w:hAnsi="Wingdings" w:hint="default"/>
        <w:sz w:val="20"/>
      </w:rPr>
    </w:lvl>
  </w:abstractNum>
  <w:abstractNum w:abstractNumId="80" w15:restartNumberingAfterBreak="0">
    <w:nsid w:val="3A4F21C7"/>
    <w:multiLevelType w:val="multilevel"/>
    <w:tmpl w:val="06B6E4A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1" w15:restartNumberingAfterBreak="0">
    <w:nsid w:val="3AAF16AE"/>
    <w:multiLevelType w:val="multilevel"/>
    <w:tmpl w:val="730AE224"/>
    <w:lvl w:ilvl="0">
      <w:start w:val="1"/>
      <w:numFmt w:val="bullet"/>
      <w:lvlText w:val="●"/>
      <w:lvlJc w:val="left"/>
      <w:pPr>
        <w:ind w:left="3447"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1">
      <w:start w:val="1"/>
      <w:numFmt w:val="bullet"/>
      <w:lvlText w:val="○"/>
      <w:lvlJc w:val="left"/>
      <w:pPr>
        <w:ind w:left="4422"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2">
      <w:start w:val="1"/>
      <w:numFmt w:val="bullet"/>
      <w:lvlText w:val="■"/>
      <w:lvlJc w:val="left"/>
      <w:pPr>
        <w:ind w:left="5142"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3">
      <w:start w:val="1"/>
      <w:numFmt w:val="bullet"/>
      <w:lvlText w:val="■"/>
      <w:lvlJc w:val="left"/>
      <w:pPr>
        <w:ind w:left="5862"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4">
      <w:start w:val="1"/>
      <w:numFmt w:val="bullet"/>
      <w:lvlText w:val="■"/>
      <w:lvlJc w:val="left"/>
      <w:pPr>
        <w:ind w:left="6582"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5">
      <w:start w:val="1"/>
      <w:numFmt w:val="bullet"/>
      <w:lvlText w:val="■"/>
      <w:lvlJc w:val="left"/>
      <w:pPr>
        <w:ind w:left="7302"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6">
      <w:start w:val="1"/>
      <w:numFmt w:val="bullet"/>
      <w:lvlText w:val="■"/>
      <w:lvlJc w:val="left"/>
      <w:pPr>
        <w:ind w:left="8022"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7">
      <w:start w:val="1"/>
      <w:numFmt w:val="bullet"/>
      <w:lvlText w:val="■"/>
      <w:lvlJc w:val="left"/>
      <w:pPr>
        <w:ind w:left="8742"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8">
      <w:start w:val="1"/>
      <w:numFmt w:val="bullet"/>
      <w:lvlText w:val="■"/>
      <w:lvlJc w:val="left"/>
      <w:pPr>
        <w:ind w:left="9462" w:hanging="360"/>
      </w:pPr>
      <w:rPr>
        <w:rFonts w:ascii="Arial" w:eastAsia="Arial" w:hAnsi="Arial" w:cs="Arial"/>
        <w:b w:val="0"/>
        <w:bCs w:val="0"/>
        <w:i w:val="0"/>
        <w:iCs w:val="0"/>
        <w:smallCaps w:val="0"/>
        <w:strike w:val="0"/>
        <w:color w:val="000000"/>
        <w:sz w:val="22"/>
        <w:szCs w:val="22"/>
        <w:u w:val="none"/>
        <w:shd w:val="clear" w:color="auto" w:fill="auto"/>
        <w:vertAlign w:val="baseline"/>
      </w:rPr>
    </w:lvl>
  </w:abstractNum>
  <w:abstractNum w:abstractNumId="82" w15:restartNumberingAfterBreak="0">
    <w:nsid w:val="3CCC1C3D"/>
    <w:multiLevelType w:val="hybridMultilevel"/>
    <w:tmpl w:val="6E622AA4"/>
    <w:lvl w:ilvl="0" w:tplc="4F3AE7D4">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83" w15:restartNumberingAfterBreak="0">
    <w:nsid w:val="3D6506E5"/>
    <w:multiLevelType w:val="multilevel"/>
    <w:tmpl w:val="3E18965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4" w15:restartNumberingAfterBreak="0">
    <w:nsid w:val="3DF656B5"/>
    <w:multiLevelType w:val="multilevel"/>
    <w:tmpl w:val="383488AE"/>
    <w:lvl w:ilvl="0">
      <w:start w:val="1"/>
      <w:numFmt w:val="bullet"/>
      <w:lvlText w:val=""/>
      <w:lvlJc w:val="left"/>
      <w:pPr>
        <w:tabs>
          <w:tab w:val="num" w:pos="1080"/>
        </w:tabs>
        <w:ind w:left="1080" w:hanging="360"/>
      </w:pPr>
      <w:rPr>
        <w:rFonts w:ascii="Symbol" w:hAnsi="Symbol" w:hint="default"/>
        <w:sz w:val="20"/>
      </w:rPr>
    </w:lvl>
    <w:lvl w:ilvl="1" w:tentative="1">
      <w:start w:val="1"/>
      <w:numFmt w:val="bullet"/>
      <w:lvlText w:val="o"/>
      <w:lvlJc w:val="left"/>
      <w:pPr>
        <w:tabs>
          <w:tab w:val="num" w:pos="1800"/>
        </w:tabs>
        <w:ind w:left="1800" w:hanging="360"/>
      </w:pPr>
      <w:rPr>
        <w:rFonts w:ascii="Courier New" w:hAnsi="Courier New" w:hint="default"/>
        <w:sz w:val="20"/>
      </w:rPr>
    </w:lvl>
    <w:lvl w:ilvl="2" w:tentative="1">
      <w:start w:val="1"/>
      <w:numFmt w:val="bullet"/>
      <w:lvlText w:val=""/>
      <w:lvlJc w:val="left"/>
      <w:pPr>
        <w:tabs>
          <w:tab w:val="num" w:pos="2520"/>
        </w:tabs>
        <w:ind w:left="2520" w:hanging="360"/>
      </w:pPr>
      <w:rPr>
        <w:rFonts w:ascii="Wingdings" w:hAnsi="Wingdings" w:hint="default"/>
        <w:sz w:val="20"/>
      </w:rPr>
    </w:lvl>
    <w:lvl w:ilvl="3" w:tentative="1">
      <w:start w:val="1"/>
      <w:numFmt w:val="bullet"/>
      <w:lvlText w:val=""/>
      <w:lvlJc w:val="left"/>
      <w:pPr>
        <w:tabs>
          <w:tab w:val="num" w:pos="3240"/>
        </w:tabs>
        <w:ind w:left="3240" w:hanging="360"/>
      </w:pPr>
      <w:rPr>
        <w:rFonts w:ascii="Wingdings" w:hAnsi="Wingdings" w:hint="default"/>
        <w:sz w:val="20"/>
      </w:rPr>
    </w:lvl>
    <w:lvl w:ilvl="4" w:tentative="1">
      <w:start w:val="1"/>
      <w:numFmt w:val="bullet"/>
      <w:lvlText w:val=""/>
      <w:lvlJc w:val="left"/>
      <w:pPr>
        <w:tabs>
          <w:tab w:val="num" w:pos="3960"/>
        </w:tabs>
        <w:ind w:left="3960" w:hanging="360"/>
      </w:pPr>
      <w:rPr>
        <w:rFonts w:ascii="Wingdings" w:hAnsi="Wingdings" w:hint="default"/>
        <w:sz w:val="20"/>
      </w:rPr>
    </w:lvl>
    <w:lvl w:ilvl="5" w:tentative="1">
      <w:start w:val="1"/>
      <w:numFmt w:val="bullet"/>
      <w:lvlText w:val=""/>
      <w:lvlJc w:val="left"/>
      <w:pPr>
        <w:tabs>
          <w:tab w:val="num" w:pos="4680"/>
        </w:tabs>
        <w:ind w:left="4680" w:hanging="360"/>
      </w:pPr>
      <w:rPr>
        <w:rFonts w:ascii="Wingdings" w:hAnsi="Wingdings" w:hint="default"/>
        <w:sz w:val="20"/>
      </w:rPr>
    </w:lvl>
    <w:lvl w:ilvl="6" w:tentative="1">
      <w:start w:val="1"/>
      <w:numFmt w:val="bullet"/>
      <w:lvlText w:val=""/>
      <w:lvlJc w:val="left"/>
      <w:pPr>
        <w:tabs>
          <w:tab w:val="num" w:pos="5400"/>
        </w:tabs>
        <w:ind w:left="5400" w:hanging="360"/>
      </w:pPr>
      <w:rPr>
        <w:rFonts w:ascii="Wingdings" w:hAnsi="Wingdings" w:hint="default"/>
        <w:sz w:val="20"/>
      </w:rPr>
    </w:lvl>
    <w:lvl w:ilvl="7" w:tentative="1">
      <w:start w:val="1"/>
      <w:numFmt w:val="bullet"/>
      <w:lvlText w:val=""/>
      <w:lvlJc w:val="left"/>
      <w:pPr>
        <w:tabs>
          <w:tab w:val="num" w:pos="6120"/>
        </w:tabs>
        <w:ind w:left="6120" w:hanging="360"/>
      </w:pPr>
      <w:rPr>
        <w:rFonts w:ascii="Wingdings" w:hAnsi="Wingdings" w:hint="default"/>
        <w:sz w:val="20"/>
      </w:rPr>
    </w:lvl>
    <w:lvl w:ilvl="8" w:tentative="1">
      <w:start w:val="1"/>
      <w:numFmt w:val="bullet"/>
      <w:lvlText w:val=""/>
      <w:lvlJc w:val="left"/>
      <w:pPr>
        <w:tabs>
          <w:tab w:val="num" w:pos="6840"/>
        </w:tabs>
        <w:ind w:left="6840" w:hanging="360"/>
      </w:pPr>
      <w:rPr>
        <w:rFonts w:ascii="Wingdings" w:hAnsi="Wingdings" w:hint="default"/>
        <w:sz w:val="20"/>
      </w:rPr>
    </w:lvl>
  </w:abstractNum>
  <w:abstractNum w:abstractNumId="85" w15:restartNumberingAfterBreak="0">
    <w:nsid w:val="3F014BDC"/>
    <w:multiLevelType w:val="multilevel"/>
    <w:tmpl w:val="14763AB2"/>
    <w:lvl w:ilvl="0">
      <w:start w:val="1"/>
      <w:numFmt w:val="bullet"/>
      <w:lvlText w:val=""/>
      <w:lvlJc w:val="left"/>
      <w:pPr>
        <w:tabs>
          <w:tab w:val="num" w:pos="1080"/>
        </w:tabs>
        <w:ind w:left="1080" w:hanging="360"/>
      </w:pPr>
      <w:rPr>
        <w:rFonts w:ascii="Symbol" w:hAnsi="Symbol" w:hint="default"/>
        <w:sz w:val="20"/>
      </w:rPr>
    </w:lvl>
    <w:lvl w:ilvl="1" w:tentative="1">
      <w:start w:val="1"/>
      <w:numFmt w:val="bullet"/>
      <w:lvlText w:val="o"/>
      <w:lvlJc w:val="left"/>
      <w:pPr>
        <w:tabs>
          <w:tab w:val="num" w:pos="1800"/>
        </w:tabs>
        <w:ind w:left="1800" w:hanging="360"/>
      </w:pPr>
      <w:rPr>
        <w:rFonts w:ascii="Courier New" w:hAnsi="Courier New" w:hint="default"/>
        <w:sz w:val="20"/>
      </w:rPr>
    </w:lvl>
    <w:lvl w:ilvl="2" w:tentative="1">
      <w:start w:val="1"/>
      <w:numFmt w:val="bullet"/>
      <w:lvlText w:val=""/>
      <w:lvlJc w:val="left"/>
      <w:pPr>
        <w:tabs>
          <w:tab w:val="num" w:pos="2520"/>
        </w:tabs>
        <w:ind w:left="2520" w:hanging="360"/>
      </w:pPr>
      <w:rPr>
        <w:rFonts w:ascii="Wingdings" w:hAnsi="Wingdings" w:hint="default"/>
        <w:sz w:val="20"/>
      </w:rPr>
    </w:lvl>
    <w:lvl w:ilvl="3" w:tentative="1">
      <w:start w:val="1"/>
      <w:numFmt w:val="bullet"/>
      <w:lvlText w:val=""/>
      <w:lvlJc w:val="left"/>
      <w:pPr>
        <w:tabs>
          <w:tab w:val="num" w:pos="3240"/>
        </w:tabs>
        <w:ind w:left="3240" w:hanging="360"/>
      </w:pPr>
      <w:rPr>
        <w:rFonts w:ascii="Wingdings" w:hAnsi="Wingdings" w:hint="default"/>
        <w:sz w:val="20"/>
      </w:rPr>
    </w:lvl>
    <w:lvl w:ilvl="4" w:tentative="1">
      <w:start w:val="1"/>
      <w:numFmt w:val="bullet"/>
      <w:lvlText w:val=""/>
      <w:lvlJc w:val="left"/>
      <w:pPr>
        <w:tabs>
          <w:tab w:val="num" w:pos="3960"/>
        </w:tabs>
        <w:ind w:left="3960" w:hanging="360"/>
      </w:pPr>
      <w:rPr>
        <w:rFonts w:ascii="Wingdings" w:hAnsi="Wingdings" w:hint="default"/>
        <w:sz w:val="20"/>
      </w:rPr>
    </w:lvl>
    <w:lvl w:ilvl="5" w:tentative="1">
      <w:start w:val="1"/>
      <w:numFmt w:val="bullet"/>
      <w:lvlText w:val=""/>
      <w:lvlJc w:val="left"/>
      <w:pPr>
        <w:tabs>
          <w:tab w:val="num" w:pos="4680"/>
        </w:tabs>
        <w:ind w:left="4680" w:hanging="360"/>
      </w:pPr>
      <w:rPr>
        <w:rFonts w:ascii="Wingdings" w:hAnsi="Wingdings" w:hint="default"/>
        <w:sz w:val="20"/>
      </w:rPr>
    </w:lvl>
    <w:lvl w:ilvl="6" w:tentative="1">
      <w:start w:val="1"/>
      <w:numFmt w:val="bullet"/>
      <w:lvlText w:val=""/>
      <w:lvlJc w:val="left"/>
      <w:pPr>
        <w:tabs>
          <w:tab w:val="num" w:pos="5400"/>
        </w:tabs>
        <w:ind w:left="5400" w:hanging="360"/>
      </w:pPr>
      <w:rPr>
        <w:rFonts w:ascii="Wingdings" w:hAnsi="Wingdings" w:hint="default"/>
        <w:sz w:val="20"/>
      </w:rPr>
    </w:lvl>
    <w:lvl w:ilvl="7" w:tentative="1">
      <w:start w:val="1"/>
      <w:numFmt w:val="bullet"/>
      <w:lvlText w:val=""/>
      <w:lvlJc w:val="left"/>
      <w:pPr>
        <w:tabs>
          <w:tab w:val="num" w:pos="6120"/>
        </w:tabs>
        <w:ind w:left="6120" w:hanging="360"/>
      </w:pPr>
      <w:rPr>
        <w:rFonts w:ascii="Wingdings" w:hAnsi="Wingdings" w:hint="default"/>
        <w:sz w:val="20"/>
      </w:rPr>
    </w:lvl>
    <w:lvl w:ilvl="8" w:tentative="1">
      <w:start w:val="1"/>
      <w:numFmt w:val="bullet"/>
      <w:lvlText w:val=""/>
      <w:lvlJc w:val="left"/>
      <w:pPr>
        <w:tabs>
          <w:tab w:val="num" w:pos="6840"/>
        </w:tabs>
        <w:ind w:left="6840" w:hanging="360"/>
      </w:pPr>
      <w:rPr>
        <w:rFonts w:ascii="Wingdings" w:hAnsi="Wingdings" w:hint="default"/>
        <w:sz w:val="20"/>
      </w:rPr>
    </w:lvl>
  </w:abstractNum>
  <w:abstractNum w:abstractNumId="86" w15:restartNumberingAfterBreak="0">
    <w:nsid w:val="3FFB408C"/>
    <w:multiLevelType w:val="multilevel"/>
    <w:tmpl w:val="B2B20360"/>
    <w:lvl w:ilvl="0">
      <w:start w:val="1"/>
      <w:numFmt w:val="bullet"/>
      <w:lvlText w:val="●"/>
      <w:lvlJc w:val="left"/>
      <w:pPr>
        <w:ind w:left="465"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1">
      <w:start w:val="1"/>
      <w:numFmt w:val="bullet"/>
      <w:lvlText w:val="○"/>
      <w:lvlJc w:val="left"/>
      <w:pPr>
        <w:ind w:left="144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2">
      <w:start w:val="1"/>
      <w:numFmt w:val="bullet"/>
      <w:lvlText w:val="■"/>
      <w:lvlJc w:val="left"/>
      <w:pPr>
        <w:ind w:left="216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3">
      <w:start w:val="1"/>
      <w:numFmt w:val="bullet"/>
      <w:lvlText w:val="■"/>
      <w:lvlJc w:val="left"/>
      <w:pPr>
        <w:ind w:left="288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4">
      <w:start w:val="1"/>
      <w:numFmt w:val="bullet"/>
      <w:lvlText w:val="■"/>
      <w:lvlJc w:val="left"/>
      <w:pPr>
        <w:ind w:left="360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5">
      <w:start w:val="1"/>
      <w:numFmt w:val="bullet"/>
      <w:lvlText w:val="■"/>
      <w:lvlJc w:val="left"/>
      <w:pPr>
        <w:ind w:left="432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6">
      <w:start w:val="1"/>
      <w:numFmt w:val="bullet"/>
      <w:lvlText w:val="■"/>
      <w:lvlJc w:val="left"/>
      <w:pPr>
        <w:ind w:left="504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7">
      <w:start w:val="1"/>
      <w:numFmt w:val="bullet"/>
      <w:lvlText w:val="■"/>
      <w:lvlJc w:val="left"/>
      <w:pPr>
        <w:ind w:left="576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8">
      <w:start w:val="1"/>
      <w:numFmt w:val="bullet"/>
      <w:lvlText w:val="■"/>
      <w:lvlJc w:val="left"/>
      <w:pPr>
        <w:ind w:left="6480" w:hanging="360"/>
      </w:pPr>
      <w:rPr>
        <w:rFonts w:ascii="Arial" w:eastAsia="Arial" w:hAnsi="Arial" w:cs="Arial"/>
        <w:b w:val="0"/>
        <w:bCs w:val="0"/>
        <w:i w:val="0"/>
        <w:iCs w:val="0"/>
        <w:smallCaps w:val="0"/>
        <w:strike w:val="0"/>
        <w:color w:val="000000"/>
        <w:sz w:val="22"/>
        <w:szCs w:val="22"/>
        <w:u w:val="none"/>
        <w:shd w:val="clear" w:color="auto" w:fill="auto"/>
        <w:vertAlign w:val="baseline"/>
      </w:rPr>
    </w:lvl>
  </w:abstractNum>
  <w:abstractNum w:abstractNumId="87" w15:restartNumberingAfterBreak="0">
    <w:nsid w:val="44D0191B"/>
    <w:multiLevelType w:val="multilevel"/>
    <w:tmpl w:val="BB90FA04"/>
    <w:lvl w:ilvl="0">
      <w:start w:val="1"/>
      <w:numFmt w:val="bullet"/>
      <w:lvlText w:val=""/>
      <w:lvlJc w:val="left"/>
      <w:pPr>
        <w:tabs>
          <w:tab w:val="num" w:pos="1080"/>
        </w:tabs>
        <w:ind w:left="1080" w:hanging="360"/>
      </w:pPr>
      <w:rPr>
        <w:rFonts w:ascii="Symbol" w:hAnsi="Symbol" w:hint="default"/>
        <w:sz w:val="20"/>
      </w:rPr>
    </w:lvl>
    <w:lvl w:ilvl="1" w:tentative="1">
      <w:start w:val="1"/>
      <w:numFmt w:val="bullet"/>
      <w:lvlText w:val="o"/>
      <w:lvlJc w:val="left"/>
      <w:pPr>
        <w:tabs>
          <w:tab w:val="num" w:pos="1800"/>
        </w:tabs>
        <w:ind w:left="1800" w:hanging="360"/>
      </w:pPr>
      <w:rPr>
        <w:rFonts w:ascii="Courier New" w:hAnsi="Courier New" w:hint="default"/>
        <w:sz w:val="20"/>
      </w:rPr>
    </w:lvl>
    <w:lvl w:ilvl="2" w:tentative="1">
      <w:start w:val="1"/>
      <w:numFmt w:val="bullet"/>
      <w:lvlText w:val=""/>
      <w:lvlJc w:val="left"/>
      <w:pPr>
        <w:tabs>
          <w:tab w:val="num" w:pos="2520"/>
        </w:tabs>
        <w:ind w:left="2520" w:hanging="360"/>
      </w:pPr>
      <w:rPr>
        <w:rFonts w:ascii="Wingdings" w:hAnsi="Wingdings" w:hint="default"/>
        <w:sz w:val="20"/>
      </w:rPr>
    </w:lvl>
    <w:lvl w:ilvl="3" w:tentative="1">
      <w:start w:val="1"/>
      <w:numFmt w:val="bullet"/>
      <w:lvlText w:val=""/>
      <w:lvlJc w:val="left"/>
      <w:pPr>
        <w:tabs>
          <w:tab w:val="num" w:pos="3240"/>
        </w:tabs>
        <w:ind w:left="3240" w:hanging="360"/>
      </w:pPr>
      <w:rPr>
        <w:rFonts w:ascii="Wingdings" w:hAnsi="Wingdings" w:hint="default"/>
        <w:sz w:val="20"/>
      </w:rPr>
    </w:lvl>
    <w:lvl w:ilvl="4" w:tentative="1">
      <w:start w:val="1"/>
      <w:numFmt w:val="bullet"/>
      <w:lvlText w:val=""/>
      <w:lvlJc w:val="left"/>
      <w:pPr>
        <w:tabs>
          <w:tab w:val="num" w:pos="3960"/>
        </w:tabs>
        <w:ind w:left="3960" w:hanging="360"/>
      </w:pPr>
      <w:rPr>
        <w:rFonts w:ascii="Wingdings" w:hAnsi="Wingdings" w:hint="default"/>
        <w:sz w:val="20"/>
      </w:rPr>
    </w:lvl>
    <w:lvl w:ilvl="5" w:tentative="1">
      <w:start w:val="1"/>
      <w:numFmt w:val="bullet"/>
      <w:lvlText w:val=""/>
      <w:lvlJc w:val="left"/>
      <w:pPr>
        <w:tabs>
          <w:tab w:val="num" w:pos="4680"/>
        </w:tabs>
        <w:ind w:left="4680" w:hanging="360"/>
      </w:pPr>
      <w:rPr>
        <w:rFonts w:ascii="Wingdings" w:hAnsi="Wingdings" w:hint="default"/>
        <w:sz w:val="20"/>
      </w:rPr>
    </w:lvl>
    <w:lvl w:ilvl="6" w:tentative="1">
      <w:start w:val="1"/>
      <w:numFmt w:val="bullet"/>
      <w:lvlText w:val=""/>
      <w:lvlJc w:val="left"/>
      <w:pPr>
        <w:tabs>
          <w:tab w:val="num" w:pos="5400"/>
        </w:tabs>
        <w:ind w:left="5400" w:hanging="360"/>
      </w:pPr>
      <w:rPr>
        <w:rFonts w:ascii="Wingdings" w:hAnsi="Wingdings" w:hint="default"/>
        <w:sz w:val="20"/>
      </w:rPr>
    </w:lvl>
    <w:lvl w:ilvl="7" w:tentative="1">
      <w:start w:val="1"/>
      <w:numFmt w:val="bullet"/>
      <w:lvlText w:val=""/>
      <w:lvlJc w:val="left"/>
      <w:pPr>
        <w:tabs>
          <w:tab w:val="num" w:pos="6120"/>
        </w:tabs>
        <w:ind w:left="6120" w:hanging="360"/>
      </w:pPr>
      <w:rPr>
        <w:rFonts w:ascii="Wingdings" w:hAnsi="Wingdings" w:hint="default"/>
        <w:sz w:val="20"/>
      </w:rPr>
    </w:lvl>
    <w:lvl w:ilvl="8" w:tentative="1">
      <w:start w:val="1"/>
      <w:numFmt w:val="bullet"/>
      <w:lvlText w:val=""/>
      <w:lvlJc w:val="left"/>
      <w:pPr>
        <w:tabs>
          <w:tab w:val="num" w:pos="6840"/>
        </w:tabs>
        <w:ind w:left="6840" w:hanging="360"/>
      </w:pPr>
      <w:rPr>
        <w:rFonts w:ascii="Wingdings" w:hAnsi="Wingdings" w:hint="default"/>
        <w:sz w:val="20"/>
      </w:rPr>
    </w:lvl>
  </w:abstractNum>
  <w:abstractNum w:abstractNumId="88" w15:restartNumberingAfterBreak="0">
    <w:nsid w:val="45B86EFA"/>
    <w:multiLevelType w:val="multilevel"/>
    <w:tmpl w:val="92F40172"/>
    <w:lvl w:ilvl="0">
      <w:start w:val="1"/>
      <w:numFmt w:val="bullet"/>
      <w:lvlText w:val=""/>
      <w:lvlJc w:val="left"/>
      <w:pPr>
        <w:tabs>
          <w:tab w:val="num" w:pos="1080"/>
        </w:tabs>
        <w:ind w:left="1080" w:hanging="360"/>
      </w:pPr>
      <w:rPr>
        <w:rFonts w:ascii="Symbol" w:hAnsi="Symbol" w:hint="default"/>
        <w:sz w:val="20"/>
      </w:rPr>
    </w:lvl>
    <w:lvl w:ilvl="1" w:tentative="1">
      <w:start w:val="1"/>
      <w:numFmt w:val="bullet"/>
      <w:lvlText w:val="o"/>
      <w:lvlJc w:val="left"/>
      <w:pPr>
        <w:tabs>
          <w:tab w:val="num" w:pos="1800"/>
        </w:tabs>
        <w:ind w:left="1800" w:hanging="360"/>
      </w:pPr>
      <w:rPr>
        <w:rFonts w:ascii="Courier New" w:hAnsi="Courier New" w:hint="default"/>
        <w:sz w:val="20"/>
      </w:rPr>
    </w:lvl>
    <w:lvl w:ilvl="2" w:tentative="1">
      <w:start w:val="1"/>
      <w:numFmt w:val="bullet"/>
      <w:lvlText w:val=""/>
      <w:lvlJc w:val="left"/>
      <w:pPr>
        <w:tabs>
          <w:tab w:val="num" w:pos="2520"/>
        </w:tabs>
        <w:ind w:left="2520" w:hanging="360"/>
      </w:pPr>
      <w:rPr>
        <w:rFonts w:ascii="Wingdings" w:hAnsi="Wingdings" w:hint="default"/>
        <w:sz w:val="20"/>
      </w:rPr>
    </w:lvl>
    <w:lvl w:ilvl="3" w:tentative="1">
      <w:start w:val="1"/>
      <w:numFmt w:val="bullet"/>
      <w:lvlText w:val=""/>
      <w:lvlJc w:val="left"/>
      <w:pPr>
        <w:tabs>
          <w:tab w:val="num" w:pos="3240"/>
        </w:tabs>
        <w:ind w:left="3240" w:hanging="360"/>
      </w:pPr>
      <w:rPr>
        <w:rFonts w:ascii="Wingdings" w:hAnsi="Wingdings" w:hint="default"/>
        <w:sz w:val="20"/>
      </w:rPr>
    </w:lvl>
    <w:lvl w:ilvl="4" w:tentative="1">
      <w:start w:val="1"/>
      <w:numFmt w:val="bullet"/>
      <w:lvlText w:val=""/>
      <w:lvlJc w:val="left"/>
      <w:pPr>
        <w:tabs>
          <w:tab w:val="num" w:pos="3960"/>
        </w:tabs>
        <w:ind w:left="3960" w:hanging="360"/>
      </w:pPr>
      <w:rPr>
        <w:rFonts w:ascii="Wingdings" w:hAnsi="Wingdings" w:hint="default"/>
        <w:sz w:val="20"/>
      </w:rPr>
    </w:lvl>
    <w:lvl w:ilvl="5" w:tentative="1">
      <w:start w:val="1"/>
      <w:numFmt w:val="bullet"/>
      <w:lvlText w:val=""/>
      <w:lvlJc w:val="left"/>
      <w:pPr>
        <w:tabs>
          <w:tab w:val="num" w:pos="4680"/>
        </w:tabs>
        <w:ind w:left="4680" w:hanging="360"/>
      </w:pPr>
      <w:rPr>
        <w:rFonts w:ascii="Wingdings" w:hAnsi="Wingdings" w:hint="default"/>
        <w:sz w:val="20"/>
      </w:rPr>
    </w:lvl>
    <w:lvl w:ilvl="6" w:tentative="1">
      <w:start w:val="1"/>
      <w:numFmt w:val="bullet"/>
      <w:lvlText w:val=""/>
      <w:lvlJc w:val="left"/>
      <w:pPr>
        <w:tabs>
          <w:tab w:val="num" w:pos="5400"/>
        </w:tabs>
        <w:ind w:left="5400" w:hanging="360"/>
      </w:pPr>
      <w:rPr>
        <w:rFonts w:ascii="Wingdings" w:hAnsi="Wingdings" w:hint="default"/>
        <w:sz w:val="20"/>
      </w:rPr>
    </w:lvl>
    <w:lvl w:ilvl="7" w:tentative="1">
      <w:start w:val="1"/>
      <w:numFmt w:val="bullet"/>
      <w:lvlText w:val=""/>
      <w:lvlJc w:val="left"/>
      <w:pPr>
        <w:tabs>
          <w:tab w:val="num" w:pos="6120"/>
        </w:tabs>
        <w:ind w:left="6120" w:hanging="360"/>
      </w:pPr>
      <w:rPr>
        <w:rFonts w:ascii="Wingdings" w:hAnsi="Wingdings" w:hint="default"/>
        <w:sz w:val="20"/>
      </w:rPr>
    </w:lvl>
    <w:lvl w:ilvl="8" w:tentative="1">
      <w:start w:val="1"/>
      <w:numFmt w:val="bullet"/>
      <w:lvlText w:val=""/>
      <w:lvlJc w:val="left"/>
      <w:pPr>
        <w:tabs>
          <w:tab w:val="num" w:pos="6840"/>
        </w:tabs>
        <w:ind w:left="6840" w:hanging="360"/>
      </w:pPr>
      <w:rPr>
        <w:rFonts w:ascii="Wingdings" w:hAnsi="Wingdings" w:hint="default"/>
        <w:sz w:val="20"/>
      </w:rPr>
    </w:lvl>
  </w:abstractNum>
  <w:abstractNum w:abstractNumId="89" w15:restartNumberingAfterBreak="0">
    <w:nsid w:val="45BB53AF"/>
    <w:multiLevelType w:val="multilevel"/>
    <w:tmpl w:val="419C6F7E"/>
    <w:lvl w:ilvl="0">
      <w:start w:val="1"/>
      <w:numFmt w:val="bullet"/>
      <w:lvlText w:val=""/>
      <w:lvlJc w:val="left"/>
      <w:pPr>
        <w:tabs>
          <w:tab w:val="num" w:pos="1080"/>
        </w:tabs>
        <w:ind w:left="1080" w:hanging="360"/>
      </w:pPr>
      <w:rPr>
        <w:rFonts w:ascii="Symbol" w:hAnsi="Symbol" w:hint="default"/>
        <w:sz w:val="20"/>
      </w:rPr>
    </w:lvl>
    <w:lvl w:ilvl="1" w:tentative="1">
      <w:start w:val="1"/>
      <w:numFmt w:val="bullet"/>
      <w:lvlText w:val="o"/>
      <w:lvlJc w:val="left"/>
      <w:pPr>
        <w:tabs>
          <w:tab w:val="num" w:pos="1800"/>
        </w:tabs>
        <w:ind w:left="1800" w:hanging="360"/>
      </w:pPr>
      <w:rPr>
        <w:rFonts w:ascii="Courier New" w:hAnsi="Courier New" w:hint="default"/>
        <w:sz w:val="20"/>
      </w:rPr>
    </w:lvl>
    <w:lvl w:ilvl="2" w:tentative="1">
      <w:start w:val="1"/>
      <w:numFmt w:val="bullet"/>
      <w:lvlText w:val=""/>
      <w:lvlJc w:val="left"/>
      <w:pPr>
        <w:tabs>
          <w:tab w:val="num" w:pos="2520"/>
        </w:tabs>
        <w:ind w:left="2520" w:hanging="360"/>
      </w:pPr>
      <w:rPr>
        <w:rFonts w:ascii="Wingdings" w:hAnsi="Wingdings" w:hint="default"/>
        <w:sz w:val="20"/>
      </w:rPr>
    </w:lvl>
    <w:lvl w:ilvl="3" w:tentative="1">
      <w:start w:val="1"/>
      <w:numFmt w:val="bullet"/>
      <w:lvlText w:val=""/>
      <w:lvlJc w:val="left"/>
      <w:pPr>
        <w:tabs>
          <w:tab w:val="num" w:pos="3240"/>
        </w:tabs>
        <w:ind w:left="3240" w:hanging="360"/>
      </w:pPr>
      <w:rPr>
        <w:rFonts w:ascii="Wingdings" w:hAnsi="Wingdings" w:hint="default"/>
        <w:sz w:val="20"/>
      </w:rPr>
    </w:lvl>
    <w:lvl w:ilvl="4" w:tentative="1">
      <w:start w:val="1"/>
      <w:numFmt w:val="bullet"/>
      <w:lvlText w:val=""/>
      <w:lvlJc w:val="left"/>
      <w:pPr>
        <w:tabs>
          <w:tab w:val="num" w:pos="3960"/>
        </w:tabs>
        <w:ind w:left="3960" w:hanging="360"/>
      </w:pPr>
      <w:rPr>
        <w:rFonts w:ascii="Wingdings" w:hAnsi="Wingdings" w:hint="default"/>
        <w:sz w:val="20"/>
      </w:rPr>
    </w:lvl>
    <w:lvl w:ilvl="5" w:tentative="1">
      <w:start w:val="1"/>
      <w:numFmt w:val="bullet"/>
      <w:lvlText w:val=""/>
      <w:lvlJc w:val="left"/>
      <w:pPr>
        <w:tabs>
          <w:tab w:val="num" w:pos="4680"/>
        </w:tabs>
        <w:ind w:left="4680" w:hanging="360"/>
      </w:pPr>
      <w:rPr>
        <w:rFonts w:ascii="Wingdings" w:hAnsi="Wingdings" w:hint="default"/>
        <w:sz w:val="20"/>
      </w:rPr>
    </w:lvl>
    <w:lvl w:ilvl="6" w:tentative="1">
      <w:start w:val="1"/>
      <w:numFmt w:val="bullet"/>
      <w:lvlText w:val=""/>
      <w:lvlJc w:val="left"/>
      <w:pPr>
        <w:tabs>
          <w:tab w:val="num" w:pos="5400"/>
        </w:tabs>
        <w:ind w:left="5400" w:hanging="360"/>
      </w:pPr>
      <w:rPr>
        <w:rFonts w:ascii="Wingdings" w:hAnsi="Wingdings" w:hint="default"/>
        <w:sz w:val="20"/>
      </w:rPr>
    </w:lvl>
    <w:lvl w:ilvl="7" w:tentative="1">
      <w:start w:val="1"/>
      <w:numFmt w:val="bullet"/>
      <w:lvlText w:val=""/>
      <w:lvlJc w:val="left"/>
      <w:pPr>
        <w:tabs>
          <w:tab w:val="num" w:pos="6120"/>
        </w:tabs>
        <w:ind w:left="6120" w:hanging="360"/>
      </w:pPr>
      <w:rPr>
        <w:rFonts w:ascii="Wingdings" w:hAnsi="Wingdings" w:hint="default"/>
        <w:sz w:val="20"/>
      </w:rPr>
    </w:lvl>
    <w:lvl w:ilvl="8" w:tentative="1">
      <w:start w:val="1"/>
      <w:numFmt w:val="bullet"/>
      <w:lvlText w:val=""/>
      <w:lvlJc w:val="left"/>
      <w:pPr>
        <w:tabs>
          <w:tab w:val="num" w:pos="6840"/>
        </w:tabs>
        <w:ind w:left="6840" w:hanging="360"/>
      </w:pPr>
      <w:rPr>
        <w:rFonts w:ascii="Wingdings" w:hAnsi="Wingdings" w:hint="default"/>
        <w:sz w:val="20"/>
      </w:rPr>
    </w:lvl>
  </w:abstractNum>
  <w:abstractNum w:abstractNumId="90" w15:restartNumberingAfterBreak="0">
    <w:nsid w:val="45D656CD"/>
    <w:multiLevelType w:val="multilevel"/>
    <w:tmpl w:val="6BB8D0A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1" w15:restartNumberingAfterBreak="0">
    <w:nsid w:val="467E1E34"/>
    <w:multiLevelType w:val="multilevel"/>
    <w:tmpl w:val="EBB0652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2" w15:restartNumberingAfterBreak="0">
    <w:nsid w:val="46B84686"/>
    <w:multiLevelType w:val="multilevel"/>
    <w:tmpl w:val="AB22BF10"/>
    <w:lvl w:ilvl="0">
      <w:start w:val="1"/>
      <w:numFmt w:val="decimal"/>
      <w:lvlText w:val="%1."/>
      <w:lvlJc w:val="left"/>
      <w:pPr>
        <w:tabs>
          <w:tab w:val="num" w:pos="1080"/>
        </w:tabs>
        <w:ind w:left="1080" w:hanging="360"/>
      </w:pPr>
    </w:lvl>
    <w:lvl w:ilvl="1" w:tentative="1">
      <w:start w:val="1"/>
      <w:numFmt w:val="decimal"/>
      <w:lvlText w:val="%2."/>
      <w:lvlJc w:val="left"/>
      <w:pPr>
        <w:tabs>
          <w:tab w:val="num" w:pos="1800"/>
        </w:tabs>
        <w:ind w:left="1800" w:hanging="360"/>
      </w:pPr>
    </w:lvl>
    <w:lvl w:ilvl="2" w:tentative="1">
      <w:start w:val="1"/>
      <w:numFmt w:val="decimal"/>
      <w:lvlText w:val="%3."/>
      <w:lvlJc w:val="left"/>
      <w:pPr>
        <w:tabs>
          <w:tab w:val="num" w:pos="2520"/>
        </w:tabs>
        <w:ind w:left="2520" w:hanging="360"/>
      </w:pPr>
    </w:lvl>
    <w:lvl w:ilvl="3" w:tentative="1">
      <w:start w:val="1"/>
      <w:numFmt w:val="decimal"/>
      <w:lvlText w:val="%4."/>
      <w:lvlJc w:val="left"/>
      <w:pPr>
        <w:tabs>
          <w:tab w:val="num" w:pos="3240"/>
        </w:tabs>
        <w:ind w:left="3240" w:hanging="360"/>
      </w:pPr>
    </w:lvl>
    <w:lvl w:ilvl="4" w:tentative="1">
      <w:start w:val="1"/>
      <w:numFmt w:val="decimal"/>
      <w:lvlText w:val="%5."/>
      <w:lvlJc w:val="left"/>
      <w:pPr>
        <w:tabs>
          <w:tab w:val="num" w:pos="3960"/>
        </w:tabs>
        <w:ind w:left="3960" w:hanging="360"/>
      </w:pPr>
    </w:lvl>
    <w:lvl w:ilvl="5" w:tentative="1">
      <w:start w:val="1"/>
      <w:numFmt w:val="decimal"/>
      <w:lvlText w:val="%6."/>
      <w:lvlJc w:val="left"/>
      <w:pPr>
        <w:tabs>
          <w:tab w:val="num" w:pos="4680"/>
        </w:tabs>
        <w:ind w:left="4680" w:hanging="360"/>
      </w:pPr>
    </w:lvl>
    <w:lvl w:ilvl="6" w:tentative="1">
      <w:start w:val="1"/>
      <w:numFmt w:val="decimal"/>
      <w:lvlText w:val="%7."/>
      <w:lvlJc w:val="left"/>
      <w:pPr>
        <w:tabs>
          <w:tab w:val="num" w:pos="5400"/>
        </w:tabs>
        <w:ind w:left="5400" w:hanging="360"/>
      </w:pPr>
    </w:lvl>
    <w:lvl w:ilvl="7" w:tentative="1">
      <w:start w:val="1"/>
      <w:numFmt w:val="decimal"/>
      <w:lvlText w:val="%8."/>
      <w:lvlJc w:val="left"/>
      <w:pPr>
        <w:tabs>
          <w:tab w:val="num" w:pos="6120"/>
        </w:tabs>
        <w:ind w:left="6120" w:hanging="360"/>
      </w:pPr>
    </w:lvl>
    <w:lvl w:ilvl="8" w:tentative="1">
      <w:start w:val="1"/>
      <w:numFmt w:val="decimal"/>
      <w:lvlText w:val="%9."/>
      <w:lvlJc w:val="left"/>
      <w:pPr>
        <w:tabs>
          <w:tab w:val="num" w:pos="6840"/>
        </w:tabs>
        <w:ind w:left="6840" w:hanging="360"/>
      </w:pPr>
    </w:lvl>
  </w:abstractNum>
  <w:abstractNum w:abstractNumId="93" w15:restartNumberingAfterBreak="0">
    <w:nsid w:val="46EE5C62"/>
    <w:multiLevelType w:val="hybridMultilevel"/>
    <w:tmpl w:val="94DC275A"/>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94" w15:restartNumberingAfterBreak="0">
    <w:nsid w:val="49F17504"/>
    <w:multiLevelType w:val="multilevel"/>
    <w:tmpl w:val="F0A46DAE"/>
    <w:lvl w:ilvl="0">
      <w:start w:val="1"/>
      <w:numFmt w:val="bullet"/>
      <w:lvlText w:val=""/>
      <w:lvlJc w:val="left"/>
      <w:pPr>
        <w:tabs>
          <w:tab w:val="num" w:pos="1080"/>
        </w:tabs>
        <w:ind w:left="1080" w:hanging="360"/>
      </w:pPr>
      <w:rPr>
        <w:rFonts w:ascii="Symbol" w:hAnsi="Symbol" w:hint="default"/>
        <w:sz w:val="20"/>
      </w:rPr>
    </w:lvl>
    <w:lvl w:ilvl="1" w:tentative="1">
      <w:start w:val="1"/>
      <w:numFmt w:val="bullet"/>
      <w:lvlText w:val="o"/>
      <w:lvlJc w:val="left"/>
      <w:pPr>
        <w:tabs>
          <w:tab w:val="num" w:pos="1800"/>
        </w:tabs>
        <w:ind w:left="1800" w:hanging="360"/>
      </w:pPr>
      <w:rPr>
        <w:rFonts w:ascii="Courier New" w:hAnsi="Courier New" w:hint="default"/>
        <w:sz w:val="20"/>
      </w:rPr>
    </w:lvl>
    <w:lvl w:ilvl="2" w:tentative="1">
      <w:start w:val="1"/>
      <w:numFmt w:val="bullet"/>
      <w:lvlText w:val=""/>
      <w:lvlJc w:val="left"/>
      <w:pPr>
        <w:tabs>
          <w:tab w:val="num" w:pos="2520"/>
        </w:tabs>
        <w:ind w:left="2520" w:hanging="360"/>
      </w:pPr>
      <w:rPr>
        <w:rFonts w:ascii="Wingdings" w:hAnsi="Wingdings" w:hint="default"/>
        <w:sz w:val="20"/>
      </w:rPr>
    </w:lvl>
    <w:lvl w:ilvl="3" w:tentative="1">
      <w:start w:val="1"/>
      <w:numFmt w:val="bullet"/>
      <w:lvlText w:val=""/>
      <w:lvlJc w:val="left"/>
      <w:pPr>
        <w:tabs>
          <w:tab w:val="num" w:pos="3240"/>
        </w:tabs>
        <w:ind w:left="3240" w:hanging="360"/>
      </w:pPr>
      <w:rPr>
        <w:rFonts w:ascii="Wingdings" w:hAnsi="Wingdings" w:hint="default"/>
        <w:sz w:val="20"/>
      </w:rPr>
    </w:lvl>
    <w:lvl w:ilvl="4" w:tentative="1">
      <w:start w:val="1"/>
      <w:numFmt w:val="bullet"/>
      <w:lvlText w:val=""/>
      <w:lvlJc w:val="left"/>
      <w:pPr>
        <w:tabs>
          <w:tab w:val="num" w:pos="3960"/>
        </w:tabs>
        <w:ind w:left="3960" w:hanging="360"/>
      </w:pPr>
      <w:rPr>
        <w:rFonts w:ascii="Wingdings" w:hAnsi="Wingdings" w:hint="default"/>
        <w:sz w:val="20"/>
      </w:rPr>
    </w:lvl>
    <w:lvl w:ilvl="5" w:tentative="1">
      <w:start w:val="1"/>
      <w:numFmt w:val="bullet"/>
      <w:lvlText w:val=""/>
      <w:lvlJc w:val="left"/>
      <w:pPr>
        <w:tabs>
          <w:tab w:val="num" w:pos="4680"/>
        </w:tabs>
        <w:ind w:left="4680" w:hanging="360"/>
      </w:pPr>
      <w:rPr>
        <w:rFonts w:ascii="Wingdings" w:hAnsi="Wingdings" w:hint="default"/>
        <w:sz w:val="20"/>
      </w:rPr>
    </w:lvl>
    <w:lvl w:ilvl="6" w:tentative="1">
      <w:start w:val="1"/>
      <w:numFmt w:val="bullet"/>
      <w:lvlText w:val=""/>
      <w:lvlJc w:val="left"/>
      <w:pPr>
        <w:tabs>
          <w:tab w:val="num" w:pos="5400"/>
        </w:tabs>
        <w:ind w:left="5400" w:hanging="360"/>
      </w:pPr>
      <w:rPr>
        <w:rFonts w:ascii="Wingdings" w:hAnsi="Wingdings" w:hint="default"/>
        <w:sz w:val="20"/>
      </w:rPr>
    </w:lvl>
    <w:lvl w:ilvl="7" w:tentative="1">
      <w:start w:val="1"/>
      <w:numFmt w:val="bullet"/>
      <w:lvlText w:val=""/>
      <w:lvlJc w:val="left"/>
      <w:pPr>
        <w:tabs>
          <w:tab w:val="num" w:pos="6120"/>
        </w:tabs>
        <w:ind w:left="6120" w:hanging="360"/>
      </w:pPr>
      <w:rPr>
        <w:rFonts w:ascii="Wingdings" w:hAnsi="Wingdings" w:hint="default"/>
        <w:sz w:val="20"/>
      </w:rPr>
    </w:lvl>
    <w:lvl w:ilvl="8" w:tentative="1">
      <w:start w:val="1"/>
      <w:numFmt w:val="bullet"/>
      <w:lvlText w:val=""/>
      <w:lvlJc w:val="left"/>
      <w:pPr>
        <w:tabs>
          <w:tab w:val="num" w:pos="6840"/>
        </w:tabs>
        <w:ind w:left="6840" w:hanging="360"/>
      </w:pPr>
      <w:rPr>
        <w:rFonts w:ascii="Wingdings" w:hAnsi="Wingdings" w:hint="default"/>
        <w:sz w:val="20"/>
      </w:rPr>
    </w:lvl>
  </w:abstractNum>
  <w:abstractNum w:abstractNumId="95" w15:restartNumberingAfterBreak="0">
    <w:nsid w:val="4A3E6718"/>
    <w:multiLevelType w:val="multilevel"/>
    <w:tmpl w:val="B2B20360"/>
    <w:lvl w:ilvl="0">
      <w:start w:val="1"/>
      <w:numFmt w:val="bullet"/>
      <w:lvlText w:val="●"/>
      <w:lvlJc w:val="left"/>
      <w:pPr>
        <w:ind w:left="465"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1">
      <w:start w:val="1"/>
      <w:numFmt w:val="bullet"/>
      <w:lvlText w:val="○"/>
      <w:lvlJc w:val="left"/>
      <w:pPr>
        <w:ind w:left="144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2">
      <w:start w:val="1"/>
      <w:numFmt w:val="bullet"/>
      <w:lvlText w:val="■"/>
      <w:lvlJc w:val="left"/>
      <w:pPr>
        <w:ind w:left="216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3">
      <w:start w:val="1"/>
      <w:numFmt w:val="bullet"/>
      <w:lvlText w:val="■"/>
      <w:lvlJc w:val="left"/>
      <w:pPr>
        <w:ind w:left="288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4">
      <w:start w:val="1"/>
      <w:numFmt w:val="bullet"/>
      <w:lvlText w:val="■"/>
      <w:lvlJc w:val="left"/>
      <w:pPr>
        <w:ind w:left="360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5">
      <w:start w:val="1"/>
      <w:numFmt w:val="bullet"/>
      <w:lvlText w:val="■"/>
      <w:lvlJc w:val="left"/>
      <w:pPr>
        <w:ind w:left="432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6">
      <w:start w:val="1"/>
      <w:numFmt w:val="bullet"/>
      <w:lvlText w:val="■"/>
      <w:lvlJc w:val="left"/>
      <w:pPr>
        <w:ind w:left="504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7">
      <w:start w:val="1"/>
      <w:numFmt w:val="bullet"/>
      <w:lvlText w:val="■"/>
      <w:lvlJc w:val="left"/>
      <w:pPr>
        <w:ind w:left="576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8">
      <w:start w:val="1"/>
      <w:numFmt w:val="bullet"/>
      <w:lvlText w:val="■"/>
      <w:lvlJc w:val="left"/>
      <w:pPr>
        <w:ind w:left="6480" w:hanging="360"/>
      </w:pPr>
      <w:rPr>
        <w:rFonts w:ascii="Arial" w:eastAsia="Arial" w:hAnsi="Arial" w:cs="Arial"/>
        <w:b w:val="0"/>
        <w:bCs w:val="0"/>
        <w:i w:val="0"/>
        <w:iCs w:val="0"/>
        <w:smallCaps w:val="0"/>
        <w:strike w:val="0"/>
        <w:color w:val="000000"/>
        <w:sz w:val="22"/>
        <w:szCs w:val="22"/>
        <w:u w:val="none"/>
        <w:shd w:val="clear" w:color="auto" w:fill="auto"/>
        <w:vertAlign w:val="baseline"/>
      </w:rPr>
    </w:lvl>
  </w:abstractNum>
  <w:abstractNum w:abstractNumId="96" w15:restartNumberingAfterBreak="0">
    <w:nsid w:val="4C6D2B8A"/>
    <w:multiLevelType w:val="multilevel"/>
    <w:tmpl w:val="149C2054"/>
    <w:lvl w:ilvl="0">
      <w:start w:val="1"/>
      <w:numFmt w:val="bullet"/>
      <w:lvlText w:val="●"/>
      <w:lvlJc w:val="left"/>
      <w:pPr>
        <w:ind w:left="465"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1">
      <w:start w:val="1"/>
      <w:numFmt w:val="bullet"/>
      <w:lvlText w:val="○"/>
      <w:lvlJc w:val="left"/>
      <w:pPr>
        <w:ind w:left="144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2">
      <w:start w:val="1"/>
      <w:numFmt w:val="bullet"/>
      <w:lvlText w:val="■"/>
      <w:lvlJc w:val="left"/>
      <w:pPr>
        <w:ind w:left="216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3">
      <w:start w:val="1"/>
      <w:numFmt w:val="bullet"/>
      <w:lvlText w:val="■"/>
      <w:lvlJc w:val="left"/>
      <w:pPr>
        <w:ind w:left="288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4">
      <w:start w:val="1"/>
      <w:numFmt w:val="bullet"/>
      <w:lvlText w:val="■"/>
      <w:lvlJc w:val="left"/>
      <w:pPr>
        <w:ind w:left="360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5">
      <w:start w:val="1"/>
      <w:numFmt w:val="bullet"/>
      <w:lvlText w:val="■"/>
      <w:lvlJc w:val="left"/>
      <w:pPr>
        <w:ind w:left="432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6">
      <w:start w:val="1"/>
      <w:numFmt w:val="bullet"/>
      <w:lvlText w:val="■"/>
      <w:lvlJc w:val="left"/>
      <w:pPr>
        <w:ind w:left="504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7">
      <w:start w:val="1"/>
      <w:numFmt w:val="bullet"/>
      <w:lvlText w:val="■"/>
      <w:lvlJc w:val="left"/>
      <w:pPr>
        <w:ind w:left="576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8">
      <w:start w:val="1"/>
      <w:numFmt w:val="bullet"/>
      <w:lvlText w:val="■"/>
      <w:lvlJc w:val="left"/>
      <w:pPr>
        <w:ind w:left="6480" w:hanging="360"/>
      </w:pPr>
      <w:rPr>
        <w:rFonts w:ascii="Arial" w:eastAsia="Arial" w:hAnsi="Arial" w:cs="Arial"/>
        <w:b w:val="0"/>
        <w:bCs w:val="0"/>
        <w:i w:val="0"/>
        <w:iCs w:val="0"/>
        <w:smallCaps w:val="0"/>
        <w:strike w:val="0"/>
        <w:color w:val="000000"/>
        <w:sz w:val="22"/>
        <w:szCs w:val="22"/>
        <w:u w:val="none"/>
        <w:shd w:val="clear" w:color="auto" w:fill="auto"/>
        <w:vertAlign w:val="baseline"/>
      </w:rPr>
    </w:lvl>
  </w:abstractNum>
  <w:abstractNum w:abstractNumId="97" w15:restartNumberingAfterBreak="0">
    <w:nsid w:val="4CF467C3"/>
    <w:multiLevelType w:val="multilevel"/>
    <w:tmpl w:val="F508FA82"/>
    <w:lvl w:ilvl="0">
      <w:start w:val="1"/>
      <w:numFmt w:val="bullet"/>
      <w:lvlText w:val=""/>
      <w:lvlJc w:val="left"/>
      <w:pPr>
        <w:tabs>
          <w:tab w:val="num" w:pos="1080"/>
        </w:tabs>
        <w:ind w:left="1080" w:hanging="360"/>
      </w:pPr>
      <w:rPr>
        <w:rFonts w:ascii="Symbol" w:hAnsi="Symbol" w:hint="default"/>
        <w:sz w:val="20"/>
      </w:rPr>
    </w:lvl>
    <w:lvl w:ilvl="1" w:tentative="1">
      <w:start w:val="1"/>
      <w:numFmt w:val="bullet"/>
      <w:lvlText w:val="o"/>
      <w:lvlJc w:val="left"/>
      <w:pPr>
        <w:tabs>
          <w:tab w:val="num" w:pos="1800"/>
        </w:tabs>
        <w:ind w:left="1800" w:hanging="360"/>
      </w:pPr>
      <w:rPr>
        <w:rFonts w:ascii="Courier New" w:hAnsi="Courier New" w:hint="default"/>
        <w:sz w:val="20"/>
      </w:rPr>
    </w:lvl>
    <w:lvl w:ilvl="2" w:tentative="1">
      <w:start w:val="1"/>
      <w:numFmt w:val="bullet"/>
      <w:lvlText w:val=""/>
      <w:lvlJc w:val="left"/>
      <w:pPr>
        <w:tabs>
          <w:tab w:val="num" w:pos="2520"/>
        </w:tabs>
        <w:ind w:left="2520" w:hanging="360"/>
      </w:pPr>
      <w:rPr>
        <w:rFonts w:ascii="Wingdings" w:hAnsi="Wingdings" w:hint="default"/>
        <w:sz w:val="20"/>
      </w:rPr>
    </w:lvl>
    <w:lvl w:ilvl="3" w:tentative="1">
      <w:start w:val="1"/>
      <w:numFmt w:val="bullet"/>
      <w:lvlText w:val=""/>
      <w:lvlJc w:val="left"/>
      <w:pPr>
        <w:tabs>
          <w:tab w:val="num" w:pos="3240"/>
        </w:tabs>
        <w:ind w:left="3240" w:hanging="360"/>
      </w:pPr>
      <w:rPr>
        <w:rFonts w:ascii="Wingdings" w:hAnsi="Wingdings" w:hint="default"/>
        <w:sz w:val="20"/>
      </w:rPr>
    </w:lvl>
    <w:lvl w:ilvl="4" w:tentative="1">
      <w:start w:val="1"/>
      <w:numFmt w:val="bullet"/>
      <w:lvlText w:val=""/>
      <w:lvlJc w:val="left"/>
      <w:pPr>
        <w:tabs>
          <w:tab w:val="num" w:pos="3960"/>
        </w:tabs>
        <w:ind w:left="3960" w:hanging="360"/>
      </w:pPr>
      <w:rPr>
        <w:rFonts w:ascii="Wingdings" w:hAnsi="Wingdings" w:hint="default"/>
        <w:sz w:val="20"/>
      </w:rPr>
    </w:lvl>
    <w:lvl w:ilvl="5" w:tentative="1">
      <w:start w:val="1"/>
      <w:numFmt w:val="bullet"/>
      <w:lvlText w:val=""/>
      <w:lvlJc w:val="left"/>
      <w:pPr>
        <w:tabs>
          <w:tab w:val="num" w:pos="4680"/>
        </w:tabs>
        <w:ind w:left="4680" w:hanging="360"/>
      </w:pPr>
      <w:rPr>
        <w:rFonts w:ascii="Wingdings" w:hAnsi="Wingdings" w:hint="default"/>
        <w:sz w:val="20"/>
      </w:rPr>
    </w:lvl>
    <w:lvl w:ilvl="6" w:tentative="1">
      <w:start w:val="1"/>
      <w:numFmt w:val="bullet"/>
      <w:lvlText w:val=""/>
      <w:lvlJc w:val="left"/>
      <w:pPr>
        <w:tabs>
          <w:tab w:val="num" w:pos="5400"/>
        </w:tabs>
        <w:ind w:left="5400" w:hanging="360"/>
      </w:pPr>
      <w:rPr>
        <w:rFonts w:ascii="Wingdings" w:hAnsi="Wingdings" w:hint="default"/>
        <w:sz w:val="20"/>
      </w:rPr>
    </w:lvl>
    <w:lvl w:ilvl="7" w:tentative="1">
      <w:start w:val="1"/>
      <w:numFmt w:val="bullet"/>
      <w:lvlText w:val=""/>
      <w:lvlJc w:val="left"/>
      <w:pPr>
        <w:tabs>
          <w:tab w:val="num" w:pos="6120"/>
        </w:tabs>
        <w:ind w:left="6120" w:hanging="360"/>
      </w:pPr>
      <w:rPr>
        <w:rFonts w:ascii="Wingdings" w:hAnsi="Wingdings" w:hint="default"/>
        <w:sz w:val="20"/>
      </w:rPr>
    </w:lvl>
    <w:lvl w:ilvl="8" w:tentative="1">
      <w:start w:val="1"/>
      <w:numFmt w:val="bullet"/>
      <w:lvlText w:val=""/>
      <w:lvlJc w:val="left"/>
      <w:pPr>
        <w:tabs>
          <w:tab w:val="num" w:pos="6840"/>
        </w:tabs>
        <w:ind w:left="6840" w:hanging="360"/>
      </w:pPr>
      <w:rPr>
        <w:rFonts w:ascii="Wingdings" w:hAnsi="Wingdings" w:hint="default"/>
        <w:sz w:val="20"/>
      </w:rPr>
    </w:lvl>
  </w:abstractNum>
  <w:abstractNum w:abstractNumId="98" w15:restartNumberingAfterBreak="0">
    <w:nsid w:val="4EE56860"/>
    <w:multiLevelType w:val="multilevel"/>
    <w:tmpl w:val="DA7C7DD8"/>
    <w:lvl w:ilvl="0">
      <w:start w:val="1"/>
      <w:numFmt w:val="bullet"/>
      <w:lvlText w:val=""/>
      <w:lvlJc w:val="left"/>
      <w:pPr>
        <w:tabs>
          <w:tab w:val="num" w:pos="1080"/>
        </w:tabs>
        <w:ind w:left="1080" w:hanging="360"/>
      </w:pPr>
      <w:rPr>
        <w:rFonts w:ascii="Symbol" w:hAnsi="Symbol" w:hint="default"/>
        <w:sz w:val="20"/>
      </w:rPr>
    </w:lvl>
    <w:lvl w:ilvl="1" w:tentative="1">
      <w:start w:val="1"/>
      <w:numFmt w:val="bullet"/>
      <w:lvlText w:val="o"/>
      <w:lvlJc w:val="left"/>
      <w:pPr>
        <w:tabs>
          <w:tab w:val="num" w:pos="1800"/>
        </w:tabs>
        <w:ind w:left="1800" w:hanging="360"/>
      </w:pPr>
      <w:rPr>
        <w:rFonts w:ascii="Courier New" w:hAnsi="Courier New" w:hint="default"/>
        <w:sz w:val="20"/>
      </w:rPr>
    </w:lvl>
    <w:lvl w:ilvl="2" w:tentative="1">
      <w:start w:val="1"/>
      <w:numFmt w:val="bullet"/>
      <w:lvlText w:val=""/>
      <w:lvlJc w:val="left"/>
      <w:pPr>
        <w:tabs>
          <w:tab w:val="num" w:pos="2520"/>
        </w:tabs>
        <w:ind w:left="2520" w:hanging="360"/>
      </w:pPr>
      <w:rPr>
        <w:rFonts w:ascii="Wingdings" w:hAnsi="Wingdings" w:hint="default"/>
        <w:sz w:val="20"/>
      </w:rPr>
    </w:lvl>
    <w:lvl w:ilvl="3" w:tentative="1">
      <w:start w:val="1"/>
      <w:numFmt w:val="bullet"/>
      <w:lvlText w:val=""/>
      <w:lvlJc w:val="left"/>
      <w:pPr>
        <w:tabs>
          <w:tab w:val="num" w:pos="3240"/>
        </w:tabs>
        <w:ind w:left="3240" w:hanging="360"/>
      </w:pPr>
      <w:rPr>
        <w:rFonts w:ascii="Wingdings" w:hAnsi="Wingdings" w:hint="default"/>
        <w:sz w:val="20"/>
      </w:rPr>
    </w:lvl>
    <w:lvl w:ilvl="4" w:tentative="1">
      <w:start w:val="1"/>
      <w:numFmt w:val="bullet"/>
      <w:lvlText w:val=""/>
      <w:lvlJc w:val="left"/>
      <w:pPr>
        <w:tabs>
          <w:tab w:val="num" w:pos="3960"/>
        </w:tabs>
        <w:ind w:left="3960" w:hanging="360"/>
      </w:pPr>
      <w:rPr>
        <w:rFonts w:ascii="Wingdings" w:hAnsi="Wingdings" w:hint="default"/>
        <w:sz w:val="20"/>
      </w:rPr>
    </w:lvl>
    <w:lvl w:ilvl="5" w:tentative="1">
      <w:start w:val="1"/>
      <w:numFmt w:val="bullet"/>
      <w:lvlText w:val=""/>
      <w:lvlJc w:val="left"/>
      <w:pPr>
        <w:tabs>
          <w:tab w:val="num" w:pos="4680"/>
        </w:tabs>
        <w:ind w:left="4680" w:hanging="360"/>
      </w:pPr>
      <w:rPr>
        <w:rFonts w:ascii="Wingdings" w:hAnsi="Wingdings" w:hint="default"/>
        <w:sz w:val="20"/>
      </w:rPr>
    </w:lvl>
    <w:lvl w:ilvl="6" w:tentative="1">
      <w:start w:val="1"/>
      <w:numFmt w:val="bullet"/>
      <w:lvlText w:val=""/>
      <w:lvlJc w:val="left"/>
      <w:pPr>
        <w:tabs>
          <w:tab w:val="num" w:pos="5400"/>
        </w:tabs>
        <w:ind w:left="5400" w:hanging="360"/>
      </w:pPr>
      <w:rPr>
        <w:rFonts w:ascii="Wingdings" w:hAnsi="Wingdings" w:hint="default"/>
        <w:sz w:val="20"/>
      </w:rPr>
    </w:lvl>
    <w:lvl w:ilvl="7" w:tentative="1">
      <w:start w:val="1"/>
      <w:numFmt w:val="bullet"/>
      <w:lvlText w:val=""/>
      <w:lvlJc w:val="left"/>
      <w:pPr>
        <w:tabs>
          <w:tab w:val="num" w:pos="6120"/>
        </w:tabs>
        <w:ind w:left="6120" w:hanging="360"/>
      </w:pPr>
      <w:rPr>
        <w:rFonts w:ascii="Wingdings" w:hAnsi="Wingdings" w:hint="default"/>
        <w:sz w:val="20"/>
      </w:rPr>
    </w:lvl>
    <w:lvl w:ilvl="8" w:tentative="1">
      <w:start w:val="1"/>
      <w:numFmt w:val="bullet"/>
      <w:lvlText w:val=""/>
      <w:lvlJc w:val="left"/>
      <w:pPr>
        <w:tabs>
          <w:tab w:val="num" w:pos="6840"/>
        </w:tabs>
        <w:ind w:left="6840" w:hanging="360"/>
      </w:pPr>
      <w:rPr>
        <w:rFonts w:ascii="Wingdings" w:hAnsi="Wingdings" w:hint="default"/>
        <w:sz w:val="20"/>
      </w:rPr>
    </w:lvl>
  </w:abstractNum>
  <w:abstractNum w:abstractNumId="99" w15:restartNumberingAfterBreak="0">
    <w:nsid w:val="4FC61AE5"/>
    <w:multiLevelType w:val="multilevel"/>
    <w:tmpl w:val="0E0088E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0" w15:restartNumberingAfterBreak="0">
    <w:nsid w:val="50575BC0"/>
    <w:multiLevelType w:val="multilevel"/>
    <w:tmpl w:val="4716887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1" w15:restartNumberingAfterBreak="0">
    <w:nsid w:val="51834425"/>
    <w:multiLevelType w:val="hybridMultilevel"/>
    <w:tmpl w:val="84564FA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2" w15:restartNumberingAfterBreak="0">
    <w:nsid w:val="52096CAA"/>
    <w:multiLevelType w:val="multilevel"/>
    <w:tmpl w:val="F1D4DC8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3" w15:restartNumberingAfterBreak="0">
    <w:nsid w:val="53593811"/>
    <w:multiLevelType w:val="multilevel"/>
    <w:tmpl w:val="365270F2"/>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4" w15:restartNumberingAfterBreak="0">
    <w:nsid w:val="541E440A"/>
    <w:multiLevelType w:val="multilevel"/>
    <w:tmpl w:val="CEE4927A"/>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tabs>
          <w:tab w:val="num" w:pos="1440"/>
        </w:tabs>
        <w:ind w:left="1440" w:hanging="360"/>
      </w:p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5" w15:restartNumberingAfterBreak="0">
    <w:nsid w:val="542B389D"/>
    <w:multiLevelType w:val="multilevel"/>
    <w:tmpl w:val="624C73A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6" w15:restartNumberingAfterBreak="0">
    <w:nsid w:val="555F6968"/>
    <w:multiLevelType w:val="multilevel"/>
    <w:tmpl w:val="F2B4998C"/>
    <w:lvl w:ilvl="0">
      <w:start w:val="3"/>
      <w:numFmt w:val="decimal"/>
      <w:lvlText w:val="%1"/>
      <w:lvlJc w:val="left"/>
      <w:pPr>
        <w:ind w:left="360" w:hanging="360"/>
      </w:pPr>
      <w:rPr>
        <w:rFonts w:cstheme="minorBidi" w:hint="default"/>
      </w:rPr>
    </w:lvl>
    <w:lvl w:ilvl="1">
      <w:start w:val="2"/>
      <w:numFmt w:val="decimal"/>
      <w:lvlText w:val="%1.%2"/>
      <w:lvlJc w:val="left"/>
      <w:pPr>
        <w:ind w:left="360" w:hanging="360"/>
      </w:pPr>
      <w:rPr>
        <w:rFonts w:cstheme="minorBidi" w:hint="default"/>
      </w:rPr>
    </w:lvl>
    <w:lvl w:ilvl="2">
      <w:start w:val="1"/>
      <w:numFmt w:val="decimal"/>
      <w:lvlText w:val="%1.%2.%3"/>
      <w:lvlJc w:val="left"/>
      <w:pPr>
        <w:ind w:left="720" w:hanging="720"/>
      </w:pPr>
      <w:rPr>
        <w:rFonts w:cstheme="minorBidi" w:hint="default"/>
      </w:rPr>
    </w:lvl>
    <w:lvl w:ilvl="3">
      <w:start w:val="1"/>
      <w:numFmt w:val="decimal"/>
      <w:lvlText w:val="%1.%2.%3.%4"/>
      <w:lvlJc w:val="left"/>
      <w:pPr>
        <w:ind w:left="1080" w:hanging="1080"/>
      </w:pPr>
      <w:rPr>
        <w:rFonts w:cstheme="minorBidi" w:hint="default"/>
      </w:rPr>
    </w:lvl>
    <w:lvl w:ilvl="4">
      <w:start w:val="1"/>
      <w:numFmt w:val="decimal"/>
      <w:lvlText w:val="%1.%2.%3.%4.%5"/>
      <w:lvlJc w:val="left"/>
      <w:pPr>
        <w:ind w:left="1080" w:hanging="1080"/>
      </w:pPr>
      <w:rPr>
        <w:rFonts w:cstheme="minorBidi" w:hint="default"/>
      </w:rPr>
    </w:lvl>
    <w:lvl w:ilvl="5">
      <w:start w:val="1"/>
      <w:numFmt w:val="decimal"/>
      <w:lvlText w:val="%1.%2.%3.%4.%5.%6"/>
      <w:lvlJc w:val="left"/>
      <w:pPr>
        <w:ind w:left="1440" w:hanging="1440"/>
      </w:pPr>
      <w:rPr>
        <w:rFonts w:cstheme="minorBidi" w:hint="default"/>
      </w:rPr>
    </w:lvl>
    <w:lvl w:ilvl="6">
      <w:start w:val="1"/>
      <w:numFmt w:val="decimal"/>
      <w:lvlText w:val="%1.%2.%3.%4.%5.%6.%7"/>
      <w:lvlJc w:val="left"/>
      <w:pPr>
        <w:ind w:left="1440" w:hanging="1440"/>
      </w:pPr>
      <w:rPr>
        <w:rFonts w:cstheme="minorBidi" w:hint="default"/>
      </w:rPr>
    </w:lvl>
    <w:lvl w:ilvl="7">
      <w:start w:val="1"/>
      <w:numFmt w:val="decimal"/>
      <w:lvlText w:val="%1.%2.%3.%4.%5.%6.%7.%8"/>
      <w:lvlJc w:val="left"/>
      <w:pPr>
        <w:ind w:left="1800" w:hanging="1800"/>
      </w:pPr>
      <w:rPr>
        <w:rFonts w:cstheme="minorBidi" w:hint="default"/>
      </w:rPr>
    </w:lvl>
    <w:lvl w:ilvl="8">
      <w:start w:val="1"/>
      <w:numFmt w:val="decimal"/>
      <w:lvlText w:val="%1.%2.%3.%4.%5.%6.%7.%8.%9"/>
      <w:lvlJc w:val="left"/>
      <w:pPr>
        <w:ind w:left="2160" w:hanging="2160"/>
      </w:pPr>
      <w:rPr>
        <w:rFonts w:cstheme="minorBidi" w:hint="default"/>
      </w:rPr>
    </w:lvl>
  </w:abstractNum>
  <w:abstractNum w:abstractNumId="107" w15:restartNumberingAfterBreak="0">
    <w:nsid w:val="55EB555E"/>
    <w:multiLevelType w:val="multilevel"/>
    <w:tmpl w:val="75D02654"/>
    <w:lvl w:ilvl="0">
      <w:start w:val="1"/>
      <w:numFmt w:val="decimal"/>
      <w:lvlText w:val="%1."/>
      <w:lvlJc w:val="left"/>
      <w:pPr>
        <w:tabs>
          <w:tab w:val="num" w:pos="1080"/>
        </w:tabs>
        <w:ind w:left="1080" w:hanging="360"/>
      </w:pPr>
    </w:lvl>
    <w:lvl w:ilvl="1" w:tentative="1">
      <w:start w:val="1"/>
      <w:numFmt w:val="decimal"/>
      <w:lvlText w:val="%2."/>
      <w:lvlJc w:val="left"/>
      <w:pPr>
        <w:tabs>
          <w:tab w:val="num" w:pos="1800"/>
        </w:tabs>
        <w:ind w:left="1800" w:hanging="360"/>
      </w:pPr>
    </w:lvl>
    <w:lvl w:ilvl="2" w:tentative="1">
      <w:start w:val="1"/>
      <w:numFmt w:val="decimal"/>
      <w:lvlText w:val="%3."/>
      <w:lvlJc w:val="left"/>
      <w:pPr>
        <w:tabs>
          <w:tab w:val="num" w:pos="2520"/>
        </w:tabs>
        <w:ind w:left="2520" w:hanging="360"/>
      </w:pPr>
    </w:lvl>
    <w:lvl w:ilvl="3" w:tentative="1">
      <w:start w:val="1"/>
      <w:numFmt w:val="decimal"/>
      <w:lvlText w:val="%4."/>
      <w:lvlJc w:val="left"/>
      <w:pPr>
        <w:tabs>
          <w:tab w:val="num" w:pos="3240"/>
        </w:tabs>
        <w:ind w:left="3240" w:hanging="360"/>
      </w:pPr>
    </w:lvl>
    <w:lvl w:ilvl="4" w:tentative="1">
      <w:start w:val="1"/>
      <w:numFmt w:val="decimal"/>
      <w:lvlText w:val="%5."/>
      <w:lvlJc w:val="left"/>
      <w:pPr>
        <w:tabs>
          <w:tab w:val="num" w:pos="3960"/>
        </w:tabs>
        <w:ind w:left="3960" w:hanging="360"/>
      </w:pPr>
    </w:lvl>
    <w:lvl w:ilvl="5" w:tentative="1">
      <w:start w:val="1"/>
      <w:numFmt w:val="decimal"/>
      <w:lvlText w:val="%6."/>
      <w:lvlJc w:val="left"/>
      <w:pPr>
        <w:tabs>
          <w:tab w:val="num" w:pos="4680"/>
        </w:tabs>
        <w:ind w:left="4680" w:hanging="360"/>
      </w:pPr>
    </w:lvl>
    <w:lvl w:ilvl="6" w:tentative="1">
      <w:start w:val="1"/>
      <w:numFmt w:val="decimal"/>
      <w:lvlText w:val="%7."/>
      <w:lvlJc w:val="left"/>
      <w:pPr>
        <w:tabs>
          <w:tab w:val="num" w:pos="5400"/>
        </w:tabs>
        <w:ind w:left="5400" w:hanging="360"/>
      </w:pPr>
    </w:lvl>
    <w:lvl w:ilvl="7" w:tentative="1">
      <w:start w:val="1"/>
      <w:numFmt w:val="decimal"/>
      <w:lvlText w:val="%8."/>
      <w:lvlJc w:val="left"/>
      <w:pPr>
        <w:tabs>
          <w:tab w:val="num" w:pos="6120"/>
        </w:tabs>
        <w:ind w:left="6120" w:hanging="360"/>
      </w:pPr>
    </w:lvl>
    <w:lvl w:ilvl="8" w:tentative="1">
      <w:start w:val="1"/>
      <w:numFmt w:val="decimal"/>
      <w:lvlText w:val="%9."/>
      <w:lvlJc w:val="left"/>
      <w:pPr>
        <w:tabs>
          <w:tab w:val="num" w:pos="6840"/>
        </w:tabs>
        <w:ind w:left="6840" w:hanging="360"/>
      </w:pPr>
    </w:lvl>
  </w:abstractNum>
  <w:abstractNum w:abstractNumId="108" w15:restartNumberingAfterBreak="0">
    <w:nsid w:val="563578C3"/>
    <w:multiLevelType w:val="multilevel"/>
    <w:tmpl w:val="351A8C9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9" w15:restartNumberingAfterBreak="0">
    <w:nsid w:val="577B4659"/>
    <w:multiLevelType w:val="multilevel"/>
    <w:tmpl w:val="163ED17E"/>
    <w:lvl w:ilvl="0">
      <w:start w:val="1"/>
      <w:numFmt w:val="bullet"/>
      <w:lvlText w:val=""/>
      <w:lvlJc w:val="left"/>
      <w:pPr>
        <w:tabs>
          <w:tab w:val="num" w:pos="1080"/>
        </w:tabs>
        <w:ind w:left="1080" w:hanging="360"/>
      </w:pPr>
      <w:rPr>
        <w:rFonts w:ascii="Symbol" w:hAnsi="Symbol" w:hint="default"/>
        <w:sz w:val="20"/>
      </w:rPr>
    </w:lvl>
    <w:lvl w:ilvl="1" w:tentative="1">
      <w:start w:val="1"/>
      <w:numFmt w:val="bullet"/>
      <w:lvlText w:val="o"/>
      <w:lvlJc w:val="left"/>
      <w:pPr>
        <w:tabs>
          <w:tab w:val="num" w:pos="1800"/>
        </w:tabs>
        <w:ind w:left="1800" w:hanging="360"/>
      </w:pPr>
      <w:rPr>
        <w:rFonts w:ascii="Courier New" w:hAnsi="Courier New" w:hint="default"/>
        <w:sz w:val="20"/>
      </w:rPr>
    </w:lvl>
    <w:lvl w:ilvl="2" w:tentative="1">
      <w:start w:val="1"/>
      <w:numFmt w:val="bullet"/>
      <w:lvlText w:val=""/>
      <w:lvlJc w:val="left"/>
      <w:pPr>
        <w:tabs>
          <w:tab w:val="num" w:pos="2520"/>
        </w:tabs>
        <w:ind w:left="2520" w:hanging="360"/>
      </w:pPr>
      <w:rPr>
        <w:rFonts w:ascii="Wingdings" w:hAnsi="Wingdings" w:hint="default"/>
        <w:sz w:val="20"/>
      </w:rPr>
    </w:lvl>
    <w:lvl w:ilvl="3" w:tentative="1">
      <w:start w:val="1"/>
      <w:numFmt w:val="bullet"/>
      <w:lvlText w:val=""/>
      <w:lvlJc w:val="left"/>
      <w:pPr>
        <w:tabs>
          <w:tab w:val="num" w:pos="3240"/>
        </w:tabs>
        <w:ind w:left="3240" w:hanging="360"/>
      </w:pPr>
      <w:rPr>
        <w:rFonts w:ascii="Wingdings" w:hAnsi="Wingdings" w:hint="default"/>
        <w:sz w:val="20"/>
      </w:rPr>
    </w:lvl>
    <w:lvl w:ilvl="4" w:tentative="1">
      <w:start w:val="1"/>
      <w:numFmt w:val="bullet"/>
      <w:lvlText w:val=""/>
      <w:lvlJc w:val="left"/>
      <w:pPr>
        <w:tabs>
          <w:tab w:val="num" w:pos="3960"/>
        </w:tabs>
        <w:ind w:left="3960" w:hanging="360"/>
      </w:pPr>
      <w:rPr>
        <w:rFonts w:ascii="Wingdings" w:hAnsi="Wingdings" w:hint="default"/>
        <w:sz w:val="20"/>
      </w:rPr>
    </w:lvl>
    <w:lvl w:ilvl="5" w:tentative="1">
      <w:start w:val="1"/>
      <w:numFmt w:val="bullet"/>
      <w:lvlText w:val=""/>
      <w:lvlJc w:val="left"/>
      <w:pPr>
        <w:tabs>
          <w:tab w:val="num" w:pos="4680"/>
        </w:tabs>
        <w:ind w:left="4680" w:hanging="360"/>
      </w:pPr>
      <w:rPr>
        <w:rFonts w:ascii="Wingdings" w:hAnsi="Wingdings" w:hint="default"/>
        <w:sz w:val="20"/>
      </w:rPr>
    </w:lvl>
    <w:lvl w:ilvl="6" w:tentative="1">
      <w:start w:val="1"/>
      <w:numFmt w:val="bullet"/>
      <w:lvlText w:val=""/>
      <w:lvlJc w:val="left"/>
      <w:pPr>
        <w:tabs>
          <w:tab w:val="num" w:pos="5400"/>
        </w:tabs>
        <w:ind w:left="5400" w:hanging="360"/>
      </w:pPr>
      <w:rPr>
        <w:rFonts w:ascii="Wingdings" w:hAnsi="Wingdings" w:hint="default"/>
        <w:sz w:val="20"/>
      </w:rPr>
    </w:lvl>
    <w:lvl w:ilvl="7" w:tentative="1">
      <w:start w:val="1"/>
      <w:numFmt w:val="bullet"/>
      <w:lvlText w:val=""/>
      <w:lvlJc w:val="left"/>
      <w:pPr>
        <w:tabs>
          <w:tab w:val="num" w:pos="6120"/>
        </w:tabs>
        <w:ind w:left="6120" w:hanging="360"/>
      </w:pPr>
      <w:rPr>
        <w:rFonts w:ascii="Wingdings" w:hAnsi="Wingdings" w:hint="default"/>
        <w:sz w:val="20"/>
      </w:rPr>
    </w:lvl>
    <w:lvl w:ilvl="8" w:tentative="1">
      <w:start w:val="1"/>
      <w:numFmt w:val="bullet"/>
      <w:lvlText w:val=""/>
      <w:lvlJc w:val="left"/>
      <w:pPr>
        <w:tabs>
          <w:tab w:val="num" w:pos="6840"/>
        </w:tabs>
        <w:ind w:left="6840" w:hanging="360"/>
      </w:pPr>
      <w:rPr>
        <w:rFonts w:ascii="Wingdings" w:hAnsi="Wingdings" w:hint="default"/>
        <w:sz w:val="20"/>
      </w:rPr>
    </w:lvl>
  </w:abstractNum>
  <w:abstractNum w:abstractNumId="110" w15:restartNumberingAfterBreak="0">
    <w:nsid w:val="58CC5B0D"/>
    <w:multiLevelType w:val="multilevel"/>
    <w:tmpl w:val="B3FA2916"/>
    <w:lvl w:ilvl="0">
      <w:start w:val="1"/>
      <w:numFmt w:val="decimal"/>
      <w:lvlText w:val="%1."/>
      <w:lvlJc w:val="left"/>
      <w:pPr>
        <w:ind w:left="48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1">
      <w:start w:val="1"/>
      <w:numFmt w:val="bullet"/>
      <w:lvlText w:val="○"/>
      <w:lvlJc w:val="left"/>
      <w:pPr>
        <w:ind w:left="144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2">
      <w:start w:val="1"/>
      <w:numFmt w:val="bullet"/>
      <w:lvlText w:val="■"/>
      <w:lvlJc w:val="left"/>
      <w:pPr>
        <w:ind w:left="216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3">
      <w:start w:val="1"/>
      <w:numFmt w:val="bullet"/>
      <w:lvlText w:val="■"/>
      <w:lvlJc w:val="left"/>
      <w:pPr>
        <w:ind w:left="288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4">
      <w:start w:val="1"/>
      <w:numFmt w:val="bullet"/>
      <w:lvlText w:val="■"/>
      <w:lvlJc w:val="left"/>
      <w:pPr>
        <w:ind w:left="360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5">
      <w:start w:val="1"/>
      <w:numFmt w:val="bullet"/>
      <w:lvlText w:val="■"/>
      <w:lvlJc w:val="left"/>
      <w:pPr>
        <w:ind w:left="432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6">
      <w:start w:val="1"/>
      <w:numFmt w:val="bullet"/>
      <w:lvlText w:val="■"/>
      <w:lvlJc w:val="left"/>
      <w:pPr>
        <w:ind w:left="504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7">
      <w:start w:val="1"/>
      <w:numFmt w:val="bullet"/>
      <w:lvlText w:val="■"/>
      <w:lvlJc w:val="left"/>
      <w:pPr>
        <w:ind w:left="576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8">
      <w:start w:val="1"/>
      <w:numFmt w:val="bullet"/>
      <w:lvlText w:val="■"/>
      <w:lvlJc w:val="left"/>
      <w:pPr>
        <w:ind w:left="6480" w:hanging="360"/>
      </w:pPr>
      <w:rPr>
        <w:rFonts w:ascii="Arial" w:eastAsia="Arial" w:hAnsi="Arial" w:cs="Arial"/>
        <w:b w:val="0"/>
        <w:bCs w:val="0"/>
        <w:i w:val="0"/>
        <w:iCs w:val="0"/>
        <w:smallCaps w:val="0"/>
        <w:strike w:val="0"/>
        <w:color w:val="000000"/>
        <w:sz w:val="22"/>
        <w:szCs w:val="22"/>
        <w:u w:val="none"/>
        <w:shd w:val="clear" w:color="auto" w:fill="auto"/>
        <w:vertAlign w:val="baseline"/>
      </w:rPr>
    </w:lvl>
  </w:abstractNum>
  <w:abstractNum w:abstractNumId="111" w15:restartNumberingAfterBreak="0">
    <w:nsid w:val="59BB1609"/>
    <w:multiLevelType w:val="multilevel"/>
    <w:tmpl w:val="09F44D7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2" w15:restartNumberingAfterBreak="0">
    <w:nsid w:val="5A5A7E79"/>
    <w:multiLevelType w:val="multilevel"/>
    <w:tmpl w:val="DD7EC2D8"/>
    <w:lvl w:ilvl="0">
      <w:start w:val="1"/>
      <w:numFmt w:val="decimal"/>
      <w:lvlText w:val="%1."/>
      <w:lvlJc w:val="left"/>
      <w:pPr>
        <w:ind w:left="48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1">
      <w:start w:val="1"/>
      <w:numFmt w:val="bullet"/>
      <w:lvlText w:val=""/>
      <w:lvlJc w:val="left"/>
      <w:pPr>
        <w:ind w:left="885" w:hanging="360"/>
      </w:pPr>
      <w:rPr>
        <w:rFonts w:ascii="Symbol" w:hAnsi="Symbol" w:hint="default"/>
      </w:rPr>
    </w:lvl>
    <w:lvl w:ilvl="2">
      <w:start w:val="1"/>
      <w:numFmt w:val="bullet"/>
      <w:lvlText w:val="■"/>
      <w:lvlJc w:val="left"/>
      <w:pPr>
        <w:ind w:left="216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3">
      <w:start w:val="1"/>
      <w:numFmt w:val="bullet"/>
      <w:lvlText w:val="■"/>
      <w:lvlJc w:val="left"/>
      <w:pPr>
        <w:ind w:left="288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4">
      <w:start w:val="1"/>
      <w:numFmt w:val="bullet"/>
      <w:lvlText w:val="■"/>
      <w:lvlJc w:val="left"/>
      <w:pPr>
        <w:ind w:left="360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5">
      <w:start w:val="1"/>
      <w:numFmt w:val="bullet"/>
      <w:lvlText w:val="■"/>
      <w:lvlJc w:val="left"/>
      <w:pPr>
        <w:ind w:left="432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6">
      <w:start w:val="1"/>
      <w:numFmt w:val="bullet"/>
      <w:lvlText w:val="■"/>
      <w:lvlJc w:val="left"/>
      <w:pPr>
        <w:ind w:left="504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7">
      <w:start w:val="1"/>
      <w:numFmt w:val="bullet"/>
      <w:lvlText w:val="■"/>
      <w:lvlJc w:val="left"/>
      <w:pPr>
        <w:ind w:left="576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8">
      <w:start w:val="1"/>
      <w:numFmt w:val="bullet"/>
      <w:lvlText w:val="■"/>
      <w:lvlJc w:val="left"/>
      <w:pPr>
        <w:ind w:left="6480" w:hanging="360"/>
      </w:pPr>
      <w:rPr>
        <w:rFonts w:ascii="Arial" w:eastAsia="Arial" w:hAnsi="Arial" w:cs="Arial"/>
        <w:b w:val="0"/>
        <w:bCs w:val="0"/>
        <w:i w:val="0"/>
        <w:iCs w:val="0"/>
        <w:smallCaps w:val="0"/>
        <w:strike w:val="0"/>
        <w:color w:val="000000"/>
        <w:sz w:val="22"/>
        <w:szCs w:val="22"/>
        <w:u w:val="none"/>
        <w:shd w:val="clear" w:color="auto" w:fill="auto"/>
        <w:vertAlign w:val="baseline"/>
      </w:rPr>
    </w:lvl>
  </w:abstractNum>
  <w:abstractNum w:abstractNumId="113" w15:restartNumberingAfterBreak="0">
    <w:nsid w:val="5B8F3B51"/>
    <w:multiLevelType w:val="multilevel"/>
    <w:tmpl w:val="BB32E466"/>
    <w:lvl w:ilvl="0">
      <w:start w:val="1"/>
      <w:numFmt w:val="bullet"/>
      <w:lvlText w:val=""/>
      <w:lvlJc w:val="left"/>
      <w:pPr>
        <w:tabs>
          <w:tab w:val="num" w:pos="1080"/>
        </w:tabs>
        <w:ind w:left="1080" w:hanging="360"/>
      </w:pPr>
      <w:rPr>
        <w:rFonts w:ascii="Symbol" w:hAnsi="Symbol" w:hint="default"/>
        <w:sz w:val="20"/>
      </w:rPr>
    </w:lvl>
    <w:lvl w:ilvl="1">
      <w:start w:val="1"/>
      <w:numFmt w:val="bullet"/>
      <w:lvlText w:val="o"/>
      <w:lvlJc w:val="left"/>
      <w:pPr>
        <w:tabs>
          <w:tab w:val="num" w:pos="1800"/>
        </w:tabs>
        <w:ind w:left="1800" w:hanging="360"/>
      </w:pPr>
      <w:rPr>
        <w:rFonts w:ascii="Courier New" w:hAnsi="Courier New" w:hint="default"/>
        <w:sz w:val="20"/>
      </w:rPr>
    </w:lvl>
    <w:lvl w:ilvl="2" w:tentative="1">
      <w:start w:val="1"/>
      <w:numFmt w:val="bullet"/>
      <w:lvlText w:val=""/>
      <w:lvlJc w:val="left"/>
      <w:pPr>
        <w:tabs>
          <w:tab w:val="num" w:pos="2520"/>
        </w:tabs>
        <w:ind w:left="2520" w:hanging="360"/>
      </w:pPr>
      <w:rPr>
        <w:rFonts w:ascii="Wingdings" w:hAnsi="Wingdings" w:hint="default"/>
        <w:sz w:val="20"/>
      </w:rPr>
    </w:lvl>
    <w:lvl w:ilvl="3" w:tentative="1">
      <w:start w:val="1"/>
      <w:numFmt w:val="bullet"/>
      <w:lvlText w:val=""/>
      <w:lvlJc w:val="left"/>
      <w:pPr>
        <w:tabs>
          <w:tab w:val="num" w:pos="3240"/>
        </w:tabs>
        <w:ind w:left="3240" w:hanging="360"/>
      </w:pPr>
      <w:rPr>
        <w:rFonts w:ascii="Wingdings" w:hAnsi="Wingdings" w:hint="default"/>
        <w:sz w:val="20"/>
      </w:rPr>
    </w:lvl>
    <w:lvl w:ilvl="4" w:tentative="1">
      <w:start w:val="1"/>
      <w:numFmt w:val="bullet"/>
      <w:lvlText w:val=""/>
      <w:lvlJc w:val="left"/>
      <w:pPr>
        <w:tabs>
          <w:tab w:val="num" w:pos="3960"/>
        </w:tabs>
        <w:ind w:left="3960" w:hanging="360"/>
      </w:pPr>
      <w:rPr>
        <w:rFonts w:ascii="Wingdings" w:hAnsi="Wingdings" w:hint="default"/>
        <w:sz w:val="20"/>
      </w:rPr>
    </w:lvl>
    <w:lvl w:ilvl="5" w:tentative="1">
      <w:start w:val="1"/>
      <w:numFmt w:val="bullet"/>
      <w:lvlText w:val=""/>
      <w:lvlJc w:val="left"/>
      <w:pPr>
        <w:tabs>
          <w:tab w:val="num" w:pos="4680"/>
        </w:tabs>
        <w:ind w:left="4680" w:hanging="360"/>
      </w:pPr>
      <w:rPr>
        <w:rFonts w:ascii="Wingdings" w:hAnsi="Wingdings" w:hint="default"/>
        <w:sz w:val="20"/>
      </w:rPr>
    </w:lvl>
    <w:lvl w:ilvl="6" w:tentative="1">
      <w:start w:val="1"/>
      <w:numFmt w:val="bullet"/>
      <w:lvlText w:val=""/>
      <w:lvlJc w:val="left"/>
      <w:pPr>
        <w:tabs>
          <w:tab w:val="num" w:pos="5400"/>
        </w:tabs>
        <w:ind w:left="5400" w:hanging="360"/>
      </w:pPr>
      <w:rPr>
        <w:rFonts w:ascii="Wingdings" w:hAnsi="Wingdings" w:hint="default"/>
        <w:sz w:val="20"/>
      </w:rPr>
    </w:lvl>
    <w:lvl w:ilvl="7" w:tentative="1">
      <w:start w:val="1"/>
      <w:numFmt w:val="bullet"/>
      <w:lvlText w:val=""/>
      <w:lvlJc w:val="left"/>
      <w:pPr>
        <w:tabs>
          <w:tab w:val="num" w:pos="6120"/>
        </w:tabs>
        <w:ind w:left="6120" w:hanging="360"/>
      </w:pPr>
      <w:rPr>
        <w:rFonts w:ascii="Wingdings" w:hAnsi="Wingdings" w:hint="default"/>
        <w:sz w:val="20"/>
      </w:rPr>
    </w:lvl>
    <w:lvl w:ilvl="8" w:tentative="1">
      <w:start w:val="1"/>
      <w:numFmt w:val="bullet"/>
      <w:lvlText w:val=""/>
      <w:lvlJc w:val="left"/>
      <w:pPr>
        <w:tabs>
          <w:tab w:val="num" w:pos="6840"/>
        </w:tabs>
        <w:ind w:left="6840" w:hanging="360"/>
      </w:pPr>
      <w:rPr>
        <w:rFonts w:ascii="Wingdings" w:hAnsi="Wingdings" w:hint="default"/>
        <w:sz w:val="20"/>
      </w:rPr>
    </w:lvl>
  </w:abstractNum>
  <w:abstractNum w:abstractNumId="114" w15:restartNumberingAfterBreak="0">
    <w:nsid w:val="5C2003B9"/>
    <w:multiLevelType w:val="multilevel"/>
    <w:tmpl w:val="DE34FAD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5" w15:restartNumberingAfterBreak="0">
    <w:nsid w:val="5D100B42"/>
    <w:multiLevelType w:val="multilevel"/>
    <w:tmpl w:val="3A3CA210"/>
    <w:lvl w:ilvl="0">
      <w:start w:val="1"/>
      <w:numFmt w:val="bullet"/>
      <w:lvlText w:val="●"/>
      <w:lvlJc w:val="left"/>
      <w:pPr>
        <w:ind w:left="465"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1">
      <w:start w:val="1"/>
      <w:numFmt w:val="bullet"/>
      <w:lvlText w:val="○"/>
      <w:lvlJc w:val="left"/>
      <w:pPr>
        <w:ind w:left="144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2">
      <w:start w:val="1"/>
      <w:numFmt w:val="bullet"/>
      <w:lvlText w:val="■"/>
      <w:lvlJc w:val="left"/>
      <w:pPr>
        <w:ind w:left="216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3">
      <w:start w:val="1"/>
      <w:numFmt w:val="bullet"/>
      <w:lvlText w:val="■"/>
      <w:lvlJc w:val="left"/>
      <w:pPr>
        <w:ind w:left="288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4">
      <w:start w:val="1"/>
      <w:numFmt w:val="bullet"/>
      <w:lvlText w:val="■"/>
      <w:lvlJc w:val="left"/>
      <w:pPr>
        <w:ind w:left="360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5">
      <w:start w:val="1"/>
      <w:numFmt w:val="bullet"/>
      <w:lvlText w:val="■"/>
      <w:lvlJc w:val="left"/>
      <w:pPr>
        <w:ind w:left="432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6">
      <w:start w:val="1"/>
      <w:numFmt w:val="bullet"/>
      <w:lvlText w:val="■"/>
      <w:lvlJc w:val="left"/>
      <w:pPr>
        <w:ind w:left="504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7">
      <w:start w:val="1"/>
      <w:numFmt w:val="bullet"/>
      <w:lvlText w:val="■"/>
      <w:lvlJc w:val="left"/>
      <w:pPr>
        <w:ind w:left="576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8">
      <w:start w:val="1"/>
      <w:numFmt w:val="bullet"/>
      <w:lvlText w:val="■"/>
      <w:lvlJc w:val="left"/>
      <w:pPr>
        <w:ind w:left="6480" w:hanging="360"/>
      </w:pPr>
      <w:rPr>
        <w:rFonts w:ascii="Arial" w:eastAsia="Arial" w:hAnsi="Arial" w:cs="Arial"/>
        <w:b w:val="0"/>
        <w:bCs w:val="0"/>
        <w:i w:val="0"/>
        <w:iCs w:val="0"/>
        <w:smallCaps w:val="0"/>
        <w:strike w:val="0"/>
        <w:color w:val="000000"/>
        <w:sz w:val="22"/>
        <w:szCs w:val="22"/>
        <w:u w:val="none"/>
        <w:shd w:val="clear" w:color="auto" w:fill="auto"/>
        <w:vertAlign w:val="baseline"/>
      </w:rPr>
    </w:lvl>
  </w:abstractNum>
  <w:abstractNum w:abstractNumId="116" w15:restartNumberingAfterBreak="0">
    <w:nsid w:val="5E791D03"/>
    <w:multiLevelType w:val="multilevel"/>
    <w:tmpl w:val="530441E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7" w15:restartNumberingAfterBreak="0">
    <w:nsid w:val="5EDD0A3C"/>
    <w:multiLevelType w:val="multilevel"/>
    <w:tmpl w:val="804E95E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8" w15:restartNumberingAfterBreak="0">
    <w:nsid w:val="5F7E1F71"/>
    <w:multiLevelType w:val="multilevel"/>
    <w:tmpl w:val="C36A3AC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9" w15:restartNumberingAfterBreak="0">
    <w:nsid w:val="5FD669B5"/>
    <w:multiLevelType w:val="multilevel"/>
    <w:tmpl w:val="19BE0F34"/>
    <w:lvl w:ilvl="0">
      <w:start w:val="1"/>
      <w:numFmt w:val="bullet"/>
      <w:lvlText w:val=""/>
      <w:lvlJc w:val="left"/>
      <w:pPr>
        <w:tabs>
          <w:tab w:val="num" w:pos="1080"/>
        </w:tabs>
        <w:ind w:left="1080" w:hanging="360"/>
      </w:pPr>
      <w:rPr>
        <w:rFonts w:ascii="Symbol" w:hAnsi="Symbol" w:hint="default"/>
        <w:sz w:val="20"/>
      </w:rPr>
    </w:lvl>
    <w:lvl w:ilvl="1" w:tentative="1">
      <w:start w:val="1"/>
      <w:numFmt w:val="bullet"/>
      <w:lvlText w:val="o"/>
      <w:lvlJc w:val="left"/>
      <w:pPr>
        <w:tabs>
          <w:tab w:val="num" w:pos="1800"/>
        </w:tabs>
        <w:ind w:left="1800" w:hanging="360"/>
      </w:pPr>
      <w:rPr>
        <w:rFonts w:ascii="Courier New" w:hAnsi="Courier New" w:hint="default"/>
        <w:sz w:val="20"/>
      </w:rPr>
    </w:lvl>
    <w:lvl w:ilvl="2" w:tentative="1">
      <w:start w:val="1"/>
      <w:numFmt w:val="bullet"/>
      <w:lvlText w:val=""/>
      <w:lvlJc w:val="left"/>
      <w:pPr>
        <w:tabs>
          <w:tab w:val="num" w:pos="2520"/>
        </w:tabs>
        <w:ind w:left="2520" w:hanging="360"/>
      </w:pPr>
      <w:rPr>
        <w:rFonts w:ascii="Wingdings" w:hAnsi="Wingdings" w:hint="default"/>
        <w:sz w:val="20"/>
      </w:rPr>
    </w:lvl>
    <w:lvl w:ilvl="3" w:tentative="1">
      <w:start w:val="1"/>
      <w:numFmt w:val="bullet"/>
      <w:lvlText w:val=""/>
      <w:lvlJc w:val="left"/>
      <w:pPr>
        <w:tabs>
          <w:tab w:val="num" w:pos="3240"/>
        </w:tabs>
        <w:ind w:left="3240" w:hanging="360"/>
      </w:pPr>
      <w:rPr>
        <w:rFonts w:ascii="Wingdings" w:hAnsi="Wingdings" w:hint="default"/>
        <w:sz w:val="20"/>
      </w:rPr>
    </w:lvl>
    <w:lvl w:ilvl="4" w:tentative="1">
      <w:start w:val="1"/>
      <w:numFmt w:val="bullet"/>
      <w:lvlText w:val=""/>
      <w:lvlJc w:val="left"/>
      <w:pPr>
        <w:tabs>
          <w:tab w:val="num" w:pos="3960"/>
        </w:tabs>
        <w:ind w:left="3960" w:hanging="360"/>
      </w:pPr>
      <w:rPr>
        <w:rFonts w:ascii="Wingdings" w:hAnsi="Wingdings" w:hint="default"/>
        <w:sz w:val="20"/>
      </w:rPr>
    </w:lvl>
    <w:lvl w:ilvl="5" w:tentative="1">
      <w:start w:val="1"/>
      <w:numFmt w:val="bullet"/>
      <w:lvlText w:val=""/>
      <w:lvlJc w:val="left"/>
      <w:pPr>
        <w:tabs>
          <w:tab w:val="num" w:pos="4680"/>
        </w:tabs>
        <w:ind w:left="4680" w:hanging="360"/>
      </w:pPr>
      <w:rPr>
        <w:rFonts w:ascii="Wingdings" w:hAnsi="Wingdings" w:hint="default"/>
        <w:sz w:val="20"/>
      </w:rPr>
    </w:lvl>
    <w:lvl w:ilvl="6" w:tentative="1">
      <w:start w:val="1"/>
      <w:numFmt w:val="bullet"/>
      <w:lvlText w:val=""/>
      <w:lvlJc w:val="left"/>
      <w:pPr>
        <w:tabs>
          <w:tab w:val="num" w:pos="5400"/>
        </w:tabs>
        <w:ind w:left="5400" w:hanging="360"/>
      </w:pPr>
      <w:rPr>
        <w:rFonts w:ascii="Wingdings" w:hAnsi="Wingdings" w:hint="default"/>
        <w:sz w:val="20"/>
      </w:rPr>
    </w:lvl>
    <w:lvl w:ilvl="7" w:tentative="1">
      <w:start w:val="1"/>
      <w:numFmt w:val="bullet"/>
      <w:lvlText w:val=""/>
      <w:lvlJc w:val="left"/>
      <w:pPr>
        <w:tabs>
          <w:tab w:val="num" w:pos="6120"/>
        </w:tabs>
        <w:ind w:left="6120" w:hanging="360"/>
      </w:pPr>
      <w:rPr>
        <w:rFonts w:ascii="Wingdings" w:hAnsi="Wingdings" w:hint="default"/>
        <w:sz w:val="20"/>
      </w:rPr>
    </w:lvl>
    <w:lvl w:ilvl="8" w:tentative="1">
      <w:start w:val="1"/>
      <w:numFmt w:val="bullet"/>
      <w:lvlText w:val=""/>
      <w:lvlJc w:val="left"/>
      <w:pPr>
        <w:tabs>
          <w:tab w:val="num" w:pos="6840"/>
        </w:tabs>
        <w:ind w:left="6840" w:hanging="360"/>
      </w:pPr>
      <w:rPr>
        <w:rFonts w:ascii="Wingdings" w:hAnsi="Wingdings" w:hint="default"/>
        <w:sz w:val="20"/>
      </w:rPr>
    </w:lvl>
  </w:abstractNum>
  <w:abstractNum w:abstractNumId="120" w15:restartNumberingAfterBreak="0">
    <w:nsid w:val="61677E48"/>
    <w:multiLevelType w:val="multilevel"/>
    <w:tmpl w:val="CB6C62D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1" w15:restartNumberingAfterBreak="0">
    <w:nsid w:val="61816A3E"/>
    <w:multiLevelType w:val="multilevel"/>
    <w:tmpl w:val="59708D5C"/>
    <w:lvl w:ilvl="0">
      <w:start w:val="1"/>
      <w:numFmt w:val="bullet"/>
      <w:lvlText w:val=""/>
      <w:lvlJc w:val="left"/>
      <w:pPr>
        <w:tabs>
          <w:tab w:val="num" w:pos="1080"/>
        </w:tabs>
        <w:ind w:left="1080" w:hanging="360"/>
      </w:pPr>
      <w:rPr>
        <w:rFonts w:ascii="Symbol" w:hAnsi="Symbol" w:hint="default"/>
        <w:sz w:val="20"/>
      </w:rPr>
    </w:lvl>
    <w:lvl w:ilvl="1" w:tentative="1">
      <w:start w:val="1"/>
      <w:numFmt w:val="bullet"/>
      <w:lvlText w:val="o"/>
      <w:lvlJc w:val="left"/>
      <w:pPr>
        <w:tabs>
          <w:tab w:val="num" w:pos="1800"/>
        </w:tabs>
        <w:ind w:left="1800" w:hanging="360"/>
      </w:pPr>
      <w:rPr>
        <w:rFonts w:ascii="Courier New" w:hAnsi="Courier New" w:hint="default"/>
        <w:sz w:val="20"/>
      </w:rPr>
    </w:lvl>
    <w:lvl w:ilvl="2" w:tentative="1">
      <w:start w:val="1"/>
      <w:numFmt w:val="bullet"/>
      <w:lvlText w:val=""/>
      <w:lvlJc w:val="left"/>
      <w:pPr>
        <w:tabs>
          <w:tab w:val="num" w:pos="2520"/>
        </w:tabs>
        <w:ind w:left="2520" w:hanging="360"/>
      </w:pPr>
      <w:rPr>
        <w:rFonts w:ascii="Wingdings" w:hAnsi="Wingdings" w:hint="default"/>
        <w:sz w:val="20"/>
      </w:rPr>
    </w:lvl>
    <w:lvl w:ilvl="3" w:tentative="1">
      <w:start w:val="1"/>
      <w:numFmt w:val="bullet"/>
      <w:lvlText w:val=""/>
      <w:lvlJc w:val="left"/>
      <w:pPr>
        <w:tabs>
          <w:tab w:val="num" w:pos="3240"/>
        </w:tabs>
        <w:ind w:left="3240" w:hanging="360"/>
      </w:pPr>
      <w:rPr>
        <w:rFonts w:ascii="Wingdings" w:hAnsi="Wingdings" w:hint="default"/>
        <w:sz w:val="20"/>
      </w:rPr>
    </w:lvl>
    <w:lvl w:ilvl="4" w:tentative="1">
      <w:start w:val="1"/>
      <w:numFmt w:val="bullet"/>
      <w:lvlText w:val=""/>
      <w:lvlJc w:val="left"/>
      <w:pPr>
        <w:tabs>
          <w:tab w:val="num" w:pos="3960"/>
        </w:tabs>
        <w:ind w:left="3960" w:hanging="360"/>
      </w:pPr>
      <w:rPr>
        <w:rFonts w:ascii="Wingdings" w:hAnsi="Wingdings" w:hint="default"/>
        <w:sz w:val="20"/>
      </w:rPr>
    </w:lvl>
    <w:lvl w:ilvl="5" w:tentative="1">
      <w:start w:val="1"/>
      <w:numFmt w:val="bullet"/>
      <w:lvlText w:val=""/>
      <w:lvlJc w:val="left"/>
      <w:pPr>
        <w:tabs>
          <w:tab w:val="num" w:pos="4680"/>
        </w:tabs>
        <w:ind w:left="4680" w:hanging="360"/>
      </w:pPr>
      <w:rPr>
        <w:rFonts w:ascii="Wingdings" w:hAnsi="Wingdings" w:hint="default"/>
        <w:sz w:val="20"/>
      </w:rPr>
    </w:lvl>
    <w:lvl w:ilvl="6" w:tentative="1">
      <w:start w:val="1"/>
      <w:numFmt w:val="bullet"/>
      <w:lvlText w:val=""/>
      <w:lvlJc w:val="left"/>
      <w:pPr>
        <w:tabs>
          <w:tab w:val="num" w:pos="5400"/>
        </w:tabs>
        <w:ind w:left="5400" w:hanging="360"/>
      </w:pPr>
      <w:rPr>
        <w:rFonts w:ascii="Wingdings" w:hAnsi="Wingdings" w:hint="default"/>
        <w:sz w:val="20"/>
      </w:rPr>
    </w:lvl>
    <w:lvl w:ilvl="7" w:tentative="1">
      <w:start w:val="1"/>
      <w:numFmt w:val="bullet"/>
      <w:lvlText w:val=""/>
      <w:lvlJc w:val="left"/>
      <w:pPr>
        <w:tabs>
          <w:tab w:val="num" w:pos="6120"/>
        </w:tabs>
        <w:ind w:left="6120" w:hanging="360"/>
      </w:pPr>
      <w:rPr>
        <w:rFonts w:ascii="Wingdings" w:hAnsi="Wingdings" w:hint="default"/>
        <w:sz w:val="20"/>
      </w:rPr>
    </w:lvl>
    <w:lvl w:ilvl="8" w:tentative="1">
      <w:start w:val="1"/>
      <w:numFmt w:val="bullet"/>
      <w:lvlText w:val=""/>
      <w:lvlJc w:val="left"/>
      <w:pPr>
        <w:tabs>
          <w:tab w:val="num" w:pos="6840"/>
        </w:tabs>
        <w:ind w:left="6840" w:hanging="360"/>
      </w:pPr>
      <w:rPr>
        <w:rFonts w:ascii="Wingdings" w:hAnsi="Wingdings" w:hint="default"/>
        <w:sz w:val="20"/>
      </w:rPr>
    </w:lvl>
  </w:abstractNum>
  <w:abstractNum w:abstractNumId="122" w15:restartNumberingAfterBreak="0">
    <w:nsid w:val="62DB352F"/>
    <w:multiLevelType w:val="multilevel"/>
    <w:tmpl w:val="1F44C66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3" w15:restartNumberingAfterBreak="0">
    <w:nsid w:val="63632A5C"/>
    <w:multiLevelType w:val="multilevel"/>
    <w:tmpl w:val="8506A0D2"/>
    <w:lvl w:ilvl="0">
      <w:start w:val="1"/>
      <w:numFmt w:val="bullet"/>
      <w:lvlText w:val=""/>
      <w:lvlJc w:val="left"/>
      <w:pPr>
        <w:tabs>
          <w:tab w:val="num" w:pos="1080"/>
        </w:tabs>
        <w:ind w:left="1080" w:hanging="360"/>
      </w:pPr>
      <w:rPr>
        <w:rFonts w:ascii="Symbol" w:hAnsi="Symbol" w:hint="default"/>
        <w:sz w:val="20"/>
      </w:rPr>
    </w:lvl>
    <w:lvl w:ilvl="1" w:tentative="1">
      <w:start w:val="1"/>
      <w:numFmt w:val="bullet"/>
      <w:lvlText w:val="o"/>
      <w:lvlJc w:val="left"/>
      <w:pPr>
        <w:tabs>
          <w:tab w:val="num" w:pos="1800"/>
        </w:tabs>
        <w:ind w:left="1800" w:hanging="360"/>
      </w:pPr>
      <w:rPr>
        <w:rFonts w:ascii="Courier New" w:hAnsi="Courier New" w:hint="default"/>
        <w:sz w:val="20"/>
      </w:rPr>
    </w:lvl>
    <w:lvl w:ilvl="2" w:tentative="1">
      <w:start w:val="1"/>
      <w:numFmt w:val="bullet"/>
      <w:lvlText w:val=""/>
      <w:lvlJc w:val="left"/>
      <w:pPr>
        <w:tabs>
          <w:tab w:val="num" w:pos="2520"/>
        </w:tabs>
        <w:ind w:left="2520" w:hanging="360"/>
      </w:pPr>
      <w:rPr>
        <w:rFonts w:ascii="Wingdings" w:hAnsi="Wingdings" w:hint="default"/>
        <w:sz w:val="20"/>
      </w:rPr>
    </w:lvl>
    <w:lvl w:ilvl="3" w:tentative="1">
      <w:start w:val="1"/>
      <w:numFmt w:val="bullet"/>
      <w:lvlText w:val=""/>
      <w:lvlJc w:val="left"/>
      <w:pPr>
        <w:tabs>
          <w:tab w:val="num" w:pos="3240"/>
        </w:tabs>
        <w:ind w:left="3240" w:hanging="360"/>
      </w:pPr>
      <w:rPr>
        <w:rFonts w:ascii="Wingdings" w:hAnsi="Wingdings" w:hint="default"/>
        <w:sz w:val="20"/>
      </w:rPr>
    </w:lvl>
    <w:lvl w:ilvl="4" w:tentative="1">
      <w:start w:val="1"/>
      <w:numFmt w:val="bullet"/>
      <w:lvlText w:val=""/>
      <w:lvlJc w:val="left"/>
      <w:pPr>
        <w:tabs>
          <w:tab w:val="num" w:pos="3960"/>
        </w:tabs>
        <w:ind w:left="3960" w:hanging="360"/>
      </w:pPr>
      <w:rPr>
        <w:rFonts w:ascii="Wingdings" w:hAnsi="Wingdings" w:hint="default"/>
        <w:sz w:val="20"/>
      </w:rPr>
    </w:lvl>
    <w:lvl w:ilvl="5" w:tentative="1">
      <w:start w:val="1"/>
      <w:numFmt w:val="bullet"/>
      <w:lvlText w:val=""/>
      <w:lvlJc w:val="left"/>
      <w:pPr>
        <w:tabs>
          <w:tab w:val="num" w:pos="4680"/>
        </w:tabs>
        <w:ind w:left="4680" w:hanging="360"/>
      </w:pPr>
      <w:rPr>
        <w:rFonts w:ascii="Wingdings" w:hAnsi="Wingdings" w:hint="default"/>
        <w:sz w:val="20"/>
      </w:rPr>
    </w:lvl>
    <w:lvl w:ilvl="6" w:tentative="1">
      <w:start w:val="1"/>
      <w:numFmt w:val="bullet"/>
      <w:lvlText w:val=""/>
      <w:lvlJc w:val="left"/>
      <w:pPr>
        <w:tabs>
          <w:tab w:val="num" w:pos="5400"/>
        </w:tabs>
        <w:ind w:left="5400" w:hanging="360"/>
      </w:pPr>
      <w:rPr>
        <w:rFonts w:ascii="Wingdings" w:hAnsi="Wingdings" w:hint="default"/>
        <w:sz w:val="20"/>
      </w:rPr>
    </w:lvl>
    <w:lvl w:ilvl="7" w:tentative="1">
      <w:start w:val="1"/>
      <w:numFmt w:val="bullet"/>
      <w:lvlText w:val=""/>
      <w:lvlJc w:val="left"/>
      <w:pPr>
        <w:tabs>
          <w:tab w:val="num" w:pos="6120"/>
        </w:tabs>
        <w:ind w:left="6120" w:hanging="360"/>
      </w:pPr>
      <w:rPr>
        <w:rFonts w:ascii="Wingdings" w:hAnsi="Wingdings" w:hint="default"/>
        <w:sz w:val="20"/>
      </w:rPr>
    </w:lvl>
    <w:lvl w:ilvl="8" w:tentative="1">
      <w:start w:val="1"/>
      <w:numFmt w:val="bullet"/>
      <w:lvlText w:val=""/>
      <w:lvlJc w:val="left"/>
      <w:pPr>
        <w:tabs>
          <w:tab w:val="num" w:pos="6840"/>
        </w:tabs>
        <w:ind w:left="6840" w:hanging="360"/>
      </w:pPr>
      <w:rPr>
        <w:rFonts w:ascii="Wingdings" w:hAnsi="Wingdings" w:hint="default"/>
        <w:sz w:val="20"/>
      </w:rPr>
    </w:lvl>
  </w:abstractNum>
  <w:abstractNum w:abstractNumId="124" w15:restartNumberingAfterBreak="0">
    <w:nsid w:val="66192802"/>
    <w:multiLevelType w:val="multilevel"/>
    <w:tmpl w:val="3138AE6E"/>
    <w:lvl w:ilvl="0">
      <w:start w:val="1"/>
      <w:numFmt w:val="decimal"/>
      <w:lvlText w:val="%1."/>
      <w:lvlJc w:val="left"/>
      <w:pPr>
        <w:tabs>
          <w:tab w:val="num" w:pos="1080"/>
        </w:tabs>
        <w:ind w:left="1080" w:hanging="360"/>
      </w:pPr>
    </w:lvl>
    <w:lvl w:ilvl="1" w:tentative="1">
      <w:start w:val="1"/>
      <w:numFmt w:val="decimal"/>
      <w:lvlText w:val="%2."/>
      <w:lvlJc w:val="left"/>
      <w:pPr>
        <w:tabs>
          <w:tab w:val="num" w:pos="1800"/>
        </w:tabs>
        <w:ind w:left="1800" w:hanging="360"/>
      </w:pPr>
    </w:lvl>
    <w:lvl w:ilvl="2" w:tentative="1">
      <w:start w:val="1"/>
      <w:numFmt w:val="decimal"/>
      <w:lvlText w:val="%3."/>
      <w:lvlJc w:val="left"/>
      <w:pPr>
        <w:tabs>
          <w:tab w:val="num" w:pos="2520"/>
        </w:tabs>
        <w:ind w:left="2520" w:hanging="360"/>
      </w:pPr>
    </w:lvl>
    <w:lvl w:ilvl="3" w:tentative="1">
      <w:start w:val="1"/>
      <w:numFmt w:val="decimal"/>
      <w:lvlText w:val="%4."/>
      <w:lvlJc w:val="left"/>
      <w:pPr>
        <w:tabs>
          <w:tab w:val="num" w:pos="3240"/>
        </w:tabs>
        <w:ind w:left="3240" w:hanging="360"/>
      </w:pPr>
    </w:lvl>
    <w:lvl w:ilvl="4" w:tentative="1">
      <w:start w:val="1"/>
      <w:numFmt w:val="decimal"/>
      <w:lvlText w:val="%5."/>
      <w:lvlJc w:val="left"/>
      <w:pPr>
        <w:tabs>
          <w:tab w:val="num" w:pos="3960"/>
        </w:tabs>
        <w:ind w:left="3960" w:hanging="360"/>
      </w:pPr>
    </w:lvl>
    <w:lvl w:ilvl="5" w:tentative="1">
      <w:start w:val="1"/>
      <w:numFmt w:val="decimal"/>
      <w:lvlText w:val="%6."/>
      <w:lvlJc w:val="left"/>
      <w:pPr>
        <w:tabs>
          <w:tab w:val="num" w:pos="4680"/>
        </w:tabs>
        <w:ind w:left="4680" w:hanging="360"/>
      </w:pPr>
    </w:lvl>
    <w:lvl w:ilvl="6" w:tentative="1">
      <w:start w:val="1"/>
      <w:numFmt w:val="decimal"/>
      <w:lvlText w:val="%7."/>
      <w:lvlJc w:val="left"/>
      <w:pPr>
        <w:tabs>
          <w:tab w:val="num" w:pos="5400"/>
        </w:tabs>
        <w:ind w:left="5400" w:hanging="360"/>
      </w:pPr>
    </w:lvl>
    <w:lvl w:ilvl="7" w:tentative="1">
      <w:start w:val="1"/>
      <w:numFmt w:val="decimal"/>
      <w:lvlText w:val="%8."/>
      <w:lvlJc w:val="left"/>
      <w:pPr>
        <w:tabs>
          <w:tab w:val="num" w:pos="6120"/>
        </w:tabs>
        <w:ind w:left="6120" w:hanging="360"/>
      </w:pPr>
    </w:lvl>
    <w:lvl w:ilvl="8" w:tentative="1">
      <w:start w:val="1"/>
      <w:numFmt w:val="decimal"/>
      <w:lvlText w:val="%9."/>
      <w:lvlJc w:val="left"/>
      <w:pPr>
        <w:tabs>
          <w:tab w:val="num" w:pos="6840"/>
        </w:tabs>
        <w:ind w:left="6840" w:hanging="360"/>
      </w:pPr>
    </w:lvl>
  </w:abstractNum>
  <w:abstractNum w:abstractNumId="125" w15:restartNumberingAfterBreak="0">
    <w:nsid w:val="6665085F"/>
    <w:multiLevelType w:val="hybridMultilevel"/>
    <w:tmpl w:val="68E44FA8"/>
    <w:lvl w:ilvl="0" w:tplc="0B48346C">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6" w15:restartNumberingAfterBreak="0">
    <w:nsid w:val="674D3F15"/>
    <w:multiLevelType w:val="multilevel"/>
    <w:tmpl w:val="B1103908"/>
    <w:lvl w:ilvl="0">
      <w:start w:val="1"/>
      <w:numFmt w:val="bullet"/>
      <w:lvlText w:val="●"/>
      <w:lvlJc w:val="left"/>
      <w:pPr>
        <w:ind w:left="465"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1">
      <w:start w:val="1"/>
      <w:numFmt w:val="bullet"/>
      <w:lvlText w:val="○"/>
      <w:lvlJc w:val="left"/>
      <w:pPr>
        <w:ind w:left="144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2">
      <w:start w:val="1"/>
      <w:numFmt w:val="bullet"/>
      <w:lvlText w:val="■"/>
      <w:lvlJc w:val="left"/>
      <w:pPr>
        <w:ind w:left="216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3">
      <w:start w:val="1"/>
      <w:numFmt w:val="bullet"/>
      <w:lvlText w:val="■"/>
      <w:lvlJc w:val="left"/>
      <w:pPr>
        <w:ind w:left="288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4">
      <w:start w:val="1"/>
      <w:numFmt w:val="bullet"/>
      <w:lvlText w:val="■"/>
      <w:lvlJc w:val="left"/>
      <w:pPr>
        <w:ind w:left="360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5">
      <w:start w:val="1"/>
      <w:numFmt w:val="bullet"/>
      <w:lvlText w:val="■"/>
      <w:lvlJc w:val="left"/>
      <w:pPr>
        <w:ind w:left="432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6">
      <w:start w:val="1"/>
      <w:numFmt w:val="bullet"/>
      <w:lvlText w:val="■"/>
      <w:lvlJc w:val="left"/>
      <w:pPr>
        <w:ind w:left="504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7">
      <w:start w:val="1"/>
      <w:numFmt w:val="bullet"/>
      <w:lvlText w:val="■"/>
      <w:lvlJc w:val="left"/>
      <w:pPr>
        <w:ind w:left="576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8">
      <w:start w:val="1"/>
      <w:numFmt w:val="bullet"/>
      <w:lvlText w:val="■"/>
      <w:lvlJc w:val="left"/>
      <w:pPr>
        <w:ind w:left="6480" w:hanging="360"/>
      </w:pPr>
      <w:rPr>
        <w:rFonts w:ascii="Arial" w:eastAsia="Arial" w:hAnsi="Arial" w:cs="Arial"/>
        <w:b w:val="0"/>
        <w:bCs w:val="0"/>
        <w:i w:val="0"/>
        <w:iCs w:val="0"/>
        <w:smallCaps w:val="0"/>
        <w:strike w:val="0"/>
        <w:color w:val="000000"/>
        <w:sz w:val="22"/>
        <w:szCs w:val="22"/>
        <w:u w:val="none"/>
        <w:shd w:val="clear" w:color="auto" w:fill="auto"/>
        <w:vertAlign w:val="baseline"/>
      </w:rPr>
    </w:lvl>
  </w:abstractNum>
  <w:abstractNum w:abstractNumId="127" w15:restartNumberingAfterBreak="0">
    <w:nsid w:val="67C71A66"/>
    <w:multiLevelType w:val="multilevel"/>
    <w:tmpl w:val="49A00FD8"/>
    <w:lvl w:ilvl="0">
      <w:start w:val="1"/>
      <w:numFmt w:val="decimal"/>
      <w:lvlText w:val="%1)"/>
      <w:lvlJc w:val="left"/>
      <w:pPr>
        <w:ind w:left="786" w:hanging="360"/>
      </w:pPr>
      <w:rPr>
        <w:rFonts w:ascii="Arial" w:eastAsia="Google Sans Text" w:hAnsi="Arial" w:cs="Arial"/>
        <w:b w:val="0"/>
        <w:bCs w:val="0"/>
        <w:i w:val="0"/>
        <w:iCs w:val="0"/>
        <w:smallCaps w:val="0"/>
        <w:strike w:val="0"/>
        <w:color w:val="000000"/>
        <w:sz w:val="22"/>
        <w:szCs w:val="22"/>
        <w:u w:val="none"/>
        <w:shd w:val="clear" w:color="auto" w:fill="auto"/>
        <w:vertAlign w:val="baseline"/>
      </w:rPr>
    </w:lvl>
    <w:lvl w:ilvl="1">
      <w:start w:val="1"/>
      <w:numFmt w:val="bullet"/>
      <w:lvlText w:val="○"/>
      <w:lvlJc w:val="left"/>
      <w:pPr>
        <w:ind w:left="1746"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2">
      <w:start w:val="1"/>
      <w:numFmt w:val="bullet"/>
      <w:lvlText w:val="■"/>
      <w:lvlJc w:val="left"/>
      <w:pPr>
        <w:ind w:left="2466"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3">
      <w:start w:val="1"/>
      <w:numFmt w:val="bullet"/>
      <w:lvlText w:val="■"/>
      <w:lvlJc w:val="left"/>
      <w:pPr>
        <w:ind w:left="3186"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4">
      <w:start w:val="1"/>
      <w:numFmt w:val="bullet"/>
      <w:lvlText w:val="■"/>
      <w:lvlJc w:val="left"/>
      <w:pPr>
        <w:ind w:left="3906"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5">
      <w:start w:val="1"/>
      <w:numFmt w:val="bullet"/>
      <w:lvlText w:val="■"/>
      <w:lvlJc w:val="left"/>
      <w:pPr>
        <w:ind w:left="4626"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6">
      <w:start w:val="1"/>
      <w:numFmt w:val="bullet"/>
      <w:lvlText w:val="■"/>
      <w:lvlJc w:val="left"/>
      <w:pPr>
        <w:ind w:left="5346"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7">
      <w:start w:val="1"/>
      <w:numFmt w:val="bullet"/>
      <w:lvlText w:val="■"/>
      <w:lvlJc w:val="left"/>
      <w:pPr>
        <w:ind w:left="6066"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8">
      <w:start w:val="1"/>
      <w:numFmt w:val="bullet"/>
      <w:lvlText w:val="■"/>
      <w:lvlJc w:val="left"/>
      <w:pPr>
        <w:ind w:left="6786" w:hanging="360"/>
      </w:pPr>
      <w:rPr>
        <w:rFonts w:ascii="Arial" w:eastAsia="Arial" w:hAnsi="Arial" w:cs="Arial"/>
        <w:b w:val="0"/>
        <w:bCs w:val="0"/>
        <w:i w:val="0"/>
        <w:iCs w:val="0"/>
        <w:smallCaps w:val="0"/>
        <w:strike w:val="0"/>
        <w:color w:val="000000"/>
        <w:sz w:val="22"/>
        <w:szCs w:val="22"/>
        <w:u w:val="none"/>
        <w:shd w:val="clear" w:color="auto" w:fill="auto"/>
        <w:vertAlign w:val="baseline"/>
      </w:rPr>
    </w:lvl>
  </w:abstractNum>
  <w:abstractNum w:abstractNumId="128" w15:restartNumberingAfterBreak="0">
    <w:nsid w:val="691762A7"/>
    <w:multiLevelType w:val="multilevel"/>
    <w:tmpl w:val="E42E63AE"/>
    <w:lvl w:ilvl="0">
      <w:start w:val="1"/>
      <w:numFmt w:val="bullet"/>
      <w:lvlText w:val="●"/>
      <w:lvlJc w:val="left"/>
      <w:pPr>
        <w:ind w:left="465"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1">
      <w:start w:val="1"/>
      <w:numFmt w:val="bullet"/>
      <w:lvlText w:val="○"/>
      <w:lvlJc w:val="left"/>
      <w:pPr>
        <w:ind w:left="144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2">
      <w:start w:val="1"/>
      <w:numFmt w:val="bullet"/>
      <w:lvlText w:val="■"/>
      <w:lvlJc w:val="left"/>
      <w:pPr>
        <w:ind w:left="216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3">
      <w:start w:val="1"/>
      <w:numFmt w:val="bullet"/>
      <w:lvlText w:val="■"/>
      <w:lvlJc w:val="left"/>
      <w:pPr>
        <w:ind w:left="288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4">
      <w:start w:val="1"/>
      <w:numFmt w:val="bullet"/>
      <w:lvlText w:val="■"/>
      <w:lvlJc w:val="left"/>
      <w:pPr>
        <w:ind w:left="360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5">
      <w:start w:val="1"/>
      <w:numFmt w:val="bullet"/>
      <w:lvlText w:val="■"/>
      <w:lvlJc w:val="left"/>
      <w:pPr>
        <w:ind w:left="432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6">
      <w:start w:val="1"/>
      <w:numFmt w:val="bullet"/>
      <w:lvlText w:val="■"/>
      <w:lvlJc w:val="left"/>
      <w:pPr>
        <w:ind w:left="504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7">
      <w:start w:val="1"/>
      <w:numFmt w:val="bullet"/>
      <w:lvlText w:val="■"/>
      <w:lvlJc w:val="left"/>
      <w:pPr>
        <w:ind w:left="576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8">
      <w:start w:val="1"/>
      <w:numFmt w:val="bullet"/>
      <w:lvlText w:val="■"/>
      <w:lvlJc w:val="left"/>
      <w:pPr>
        <w:ind w:left="6480" w:hanging="360"/>
      </w:pPr>
      <w:rPr>
        <w:rFonts w:ascii="Arial" w:eastAsia="Arial" w:hAnsi="Arial" w:cs="Arial"/>
        <w:b w:val="0"/>
        <w:bCs w:val="0"/>
        <w:i w:val="0"/>
        <w:iCs w:val="0"/>
        <w:smallCaps w:val="0"/>
        <w:strike w:val="0"/>
        <w:color w:val="000000"/>
        <w:sz w:val="22"/>
        <w:szCs w:val="22"/>
        <w:u w:val="none"/>
        <w:shd w:val="clear" w:color="auto" w:fill="auto"/>
        <w:vertAlign w:val="baseline"/>
      </w:rPr>
    </w:lvl>
  </w:abstractNum>
  <w:abstractNum w:abstractNumId="129" w15:restartNumberingAfterBreak="0">
    <w:nsid w:val="6BCC45B9"/>
    <w:multiLevelType w:val="multilevel"/>
    <w:tmpl w:val="3D228B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0" w15:restartNumberingAfterBreak="0">
    <w:nsid w:val="6C87340E"/>
    <w:multiLevelType w:val="multilevel"/>
    <w:tmpl w:val="98CC5F6E"/>
    <w:lvl w:ilvl="0">
      <w:start w:val="6"/>
      <w:numFmt w:val="decimal"/>
      <w:lvlText w:val="%1"/>
      <w:lvlJc w:val="left"/>
      <w:pPr>
        <w:ind w:left="900" w:hanging="900"/>
      </w:pPr>
      <w:rPr>
        <w:rFonts w:ascii="Times New Roman" w:hAnsi="Times New Roman" w:cs="Times New Roman" w:hint="default"/>
        <w:b/>
      </w:rPr>
    </w:lvl>
    <w:lvl w:ilvl="1">
      <w:start w:val="2"/>
      <w:numFmt w:val="decimal"/>
      <w:lvlText w:val="%1.%2"/>
      <w:lvlJc w:val="left"/>
      <w:pPr>
        <w:ind w:left="900" w:hanging="900"/>
      </w:pPr>
      <w:rPr>
        <w:rFonts w:ascii="Arial" w:hAnsi="Arial" w:cs="Arial" w:hint="default"/>
        <w:b/>
      </w:rPr>
    </w:lvl>
    <w:lvl w:ilvl="2">
      <w:start w:val="1"/>
      <w:numFmt w:val="decimal"/>
      <w:lvlText w:val="%1.%2.%3"/>
      <w:lvlJc w:val="left"/>
      <w:pPr>
        <w:ind w:left="1080" w:hanging="1080"/>
      </w:pPr>
      <w:rPr>
        <w:rFonts w:ascii="Times New Roman" w:hAnsi="Times New Roman" w:cs="Times New Roman" w:hint="default"/>
        <w:b/>
      </w:rPr>
    </w:lvl>
    <w:lvl w:ilvl="3">
      <w:start w:val="1"/>
      <w:numFmt w:val="decimal"/>
      <w:lvlText w:val="%1.%2.%3.%4"/>
      <w:lvlJc w:val="left"/>
      <w:pPr>
        <w:ind w:left="1440" w:hanging="1440"/>
      </w:pPr>
      <w:rPr>
        <w:rFonts w:ascii="Arial" w:hAnsi="Arial" w:cs="Arial" w:hint="default"/>
        <w:b/>
      </w:rPr>
    </w:lvl>
    <w:lvl w:ilvl="4">
      <w:start w:val="1"/>
      <w:numFmt w:val="decimal"/>
      <w:lvlText w:val="%1.%2.%3.%4.%5"/>
      <w:lvlJc w:val="left"/>
      <w:pPr>
        <w:ind w:left="1800" w:hanging="1800"/>
      </w:pPr>
      <w:rPr>
        <w:rFonts w:ascii="Times New Roman" w:hAnsi="Times New Roman" w:cs="Times New Roman" w:hint="default"/>
        <w:b/>
      </w:rPr>
    </w:lvl>
    <w:lvl w:ilvl="5">
      <w:start w:val="1"/>
      <w:numFmt w:val="decimal"/>
      <w:lvlText w:val="%1.%2.%3.%4.%5.%6"/>
      <w:lvlJc w:val="left"/>
      <w:pPr>
        <w:ind w:left="2160" w:hanging="2160"/>
      </w:pPr>
      <w:rPr>
        <w:rFonts w:ascii="Times New Roman" w:hAnsi="Times New Roman" w:cs="Times New Roman" w:hint="default"/>
        <w:b/>
      </w:rPr>
    </w:lvl>
    <w:lvl w:ilvl="6">
      <w:start w:val="1"/>
      <w:numFmt w:val="decimal"/>
      <w:lvlText w:val="%1.%2.%3.%4.%5.%6.%7"/>
      <w:lvlJc w:val="left"/>
      <w:pPr>
        <w:ind w:left="2520" w:hanging="2520"/>
      </w:pPr>
      <w:rPr>
        <w:rFonts w:ascii="Times New Roman" w:hAnsi="Times New Roman" w:cs="Times New Roman" w:hint="default"/>
        <w:b/>
      </w:rPr>
    </w:lvl>
    <w:lvl w:ilvl="7">
      <w:start w:val="1"/>
      <w:numFmt w:val="decimal"/>
      <w:lvlText w:val="%1.%2.%3.%4.%5.%6.%7.%8"/>
      <w:lvlJc w:val="left"/>
      <w:pPr>
        <w:ind w:left="2880" w:hanging="2880"/>
      </w:pPr>
      <w:rPr>
        <w:rFonts w:ascii="Times New Roman" w:hAnsi="Times New Roman" w:cs="Times New Roman" w:hint="default"/>
        <w:b/>
      </w:rPr>
    </w:lvl>
    <w:lvl w:ilvl="8">
      <w:start w:val="1"/>
      <w:numFmt w:val="decimal"/>
      <w:lvlText w:val="%1.%2.%3.%4.%5.%6.%7.%8.%9"/>
      <w:lvlJc w:val="left"/>
      <w:pPr>
        <w:ind w:left="2880" w:hanging="2880"/>
      </w:pPr>
      <w:rPr>
        <w:rFonts w:ascii="Times New Roman" w:hAnsi="Times New Roman" w:cs="Times New Roman" w:hint="default"/>
        <w:b/>
      </w:rPr>
    </w:lvl>
  </w:abstractNum>
  <w:abstractNum w:abstractNumId="131" w15:restartNumberingAfterBreak="0">
    <w:nsid w:val="6D232849"/>
    <w:multiLevelType w:val="multilevel"/>
    <w:tmpl w:val="8200C31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2" w15:restartNumberingAfterBreak="0">
    <w:nsid w:val="6D9E23A1"/>
    <w:multiLevelType w:val="multilevel"/>
    <w:tmpl w:val="FDE6E2C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3" w15:restartNumberingAfterBreak="0">
    <w:nsid w:val="6DBB78E1"/>
    <w:multiLevelType w:val="multilevel"/>
    <w:tmpl w:val="38208B4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4" w15:restartNumberingAfterBreak="0">
    <w:nsid w:val="6DD13769"/>
    <w:multiLevelType w:val="multilevel"/>
    <w:tmpl w:val="DAF4820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5" w15:restartNumberingAfterBreak="0">
    <w:nsid w:val="6E173945"/>
    <w:multiLevelType w:val="multilevel"/>
    <w:tmpl w:val="BC08EFF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6" w15:restartNumberingAfterBreak="0">
    <w:nsid w:val="6E881CAB"/>
    <w:multiLevelType w:val="multilevel"/>
    <w:tmpl w:val="FEA0C68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7" w15:restartNumberingAfterBreak="0">
    <w:nsid w:val="6F166303"/>
    <w:multiLevelType w:val="multilevel"/>
    <w:tmpl w:val="66449F6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8" w15:restartNumberingAfterBreak="0">
    <w:nsid w:val="6F804086"/>
    <w:multiLevelType w:val="multilevel"/>
    <w:tmpl w:val="B0C89800"/>
    <w:lvl w:ilvl="0">
      <w:start w:val="1"/>
      <w:numFmt w:val="decimal"/>
      <w:lvlText w:val="%1)"/>
      <w:lvlJc w:val="left"/>
      <w:pPr>
        <w:ind w:left="480" w:hanging="360"/>
      </w:pPr>
      <w:rPr>
        <w:b w:val="0"/>
        <w:bCs w:val="0"/>
        <w:i w:val="0"/>
        <w:iCs w:val="0"/>
        <w:smallCaps w:val="0"/>
        <w:strike w:val="0"/>
        <w:color w:val="000000"/>
        <w:sz w:val="22"/>
        <w:szCs w:val="22"/>
        <w:u w:val="none"/>
        <w:shd w:val="clear" w:color="auto" w:fill="auto"/>
        <w:vertAlign w:val="baseline"/>
      </w:rPr>
    </w:lvl>
    <w:lvl w:ilvl="1">
      <w:start w:val="1"/>
      <w:numFmt w:val="bullet"/>
      <w:lvlText w:val="○"/>
      <w:lvlJc w:val="left"/>
      <w:pPr>
        <w:ind w:left="144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2">
      <w:start w:val="1"/>
      <w:numFmt w:val="bullet"/>
      <w:lvlText w:val="■"/>
      <w:lvlJc w:val="left"/>
      <w:pPr>
        <w:ind w:left="216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3">
      <w:start w:val="1"/>
      <w:numFmt w:val="bullet"/>
      <w:lvlText w:val="■"/>
      <w:lvlJc w:val="left"/>
      <w:pPr>
        <w:ind w:left="288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4">
      <w:start w:val="1"/>
      <w:numFmt w:val="bullet"/>
      <w:lvlText w:val="■"/>
      <w:lvlJc w:val="left"/>
      <w:pPr>
        <w:ind w:left="360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5">
      <w:start w:val="1"/>
      <w:numFmt w:val="bullet"/>
      <w:lvlText w:val="■"/>
      <w:lvlJc w:val="left"/>
      <w:pPr>
        <w:ind w:left="432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6">
      <w:start w:val="1"/>
      <w:numFmt w:val="bullet"/>
      <w:lvlText w:val="■"/>
      <w:lvlJc w:val="left"/>
      <w:pPr>
        <w:ind w:left="504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7">
      <w:start w:val="1"/>
      <w:numFmt w:val="bullet"/>
      <w:lvlText w:val="■"/>
      <w:lvlJc w:val="left"/>
      <w:pPr>
        <w:ind w:left="576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8">
      <w:start w:val="1"/>
      <w:numFmt w:val="bullet"/>
      <w:lvlText w:val="■"/>
      <w:lvlJc w:val="left"/>
      <w:pPr>
        <w:ind w:left="6480" w:hanging="360"/>
      </w:pPr>
      <w:rPr>
        <w:rFonts w:ascii="Arial" w:eastAsia="Arial" w:hAnsi="Arial" w:cs="Arial"/>
        <w:b w:val="0"/>
        <w:bCs w:val="0"/>
        <w:i w:val="0"/>
        <w:iCs w:val="0"/>
        <w:smallCaps w:val="0"/>
        <w:strike w:val="0"/>
        <w:color w:val="000000"/>
        <w:sz w:val="22"/>
        <w:szCs w:val="22"/>
        <w:u w:val="none"/>
        <w:shd w:val="clear" w:color="auto" w:fill="auto"/>
        <w:vertAlign w:val="baseline"/>
      </w:rPr>
    </w:lvl>
  </w:abstractNum>
  <w:abstractNum w:abstractNumId="139" w15:restartNumberingAfterBreak="0">
    <w:nsid w:val="7065234C"/>
    <w:multiLevelType w:val="multilevel"/>
    <w:tmpl w:val="CC5211A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0" w15:restartNumberingAfterBreak="0">
    <w:nsid w:val="739A3431"/>
    <w:multiLevelType w:val="multilevel"/>
    <w:tmpl w:val="FDA400B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1" w15:restartNumberingAfterBreak="0">
    <w:nsid w:val="74B51A51"/>
    <w:multiLevelType w:val="multilevel"/>
    <w:tmpl w:val="B2B20360"/>
    <w:lvl w:ilvl="0">
      <w:start w:val="1"/>
      <w:numFmt w:val="bullet"/>
      <w:lvlText w:val="●"/>
      <w:lvlJc w:val="left"/>
      <w:pPr>
        <w:ind w:left="465"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1">
      <w:start w:val="1"/>
      <w:numFmt w:val="bullet"/>
      <w:lvlText w:val="○"/>
      <w:lvlJc w:val="left"/>
      <w:pPr>
        <w:ind w:left="144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2">
      <w:start w:val="1"/>
      <w:numFmt w:val="bullet"/>
      <w:lvlText w:val="■"/>
      <w:lvlJc w:val="left"/>
      <w:pPr>
        <w:ind w:left="216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3">
      <w:start w:val="1"/>
      <w:numFmt w:val="bullet"/>
      <w:lvlText w:val="■"/>
      <w:lvlJc w:val="left"/>
      <w:pPr>
        <w:ind w:left="288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4">
      <w:start w:val="1"/>
      <w:numFmt w:val="bullet"/>
      <w:lvlText w:val="■"/>
      <w:lvlJc w:val="left"/>
      <w:pPr>
        <w:ind w:left="360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5">
      <w:start w:val="1"/>
      <w:numFmt w:val="bullet"/>
      <w:lvlText w:val="■"/>
      <w:lvlJc w:val="left"/>
      <w:pPr>
        <w:ind w:left="432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6">
      <w:start w:val="1"/>
      <w:numFmt w:val="bullet"/>
      <w:lvlText w:val="■"/>
      <w:lvlJc w:val="left"/>
      <w:pPr>
        <w:ind w:left="504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7">
      <w:start w:val="1"/>
      <w:numFmt w:val="bullet"/>
      <w:lvlText w:val="■"/>
      <w:lvlJc w:val="left"/>
      <w:pPr>
        <w:ind w:left="576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8">
      <w:start w:val="1"/>
      <w:numFmt w:val="bullet"/>
      <w:lvlText w:val="■"/>
      <w:lvlJc w:val="left"/>
      <w:pPr>
        <w:ind w:left="6480" w:hanging="360"/>
      </w:pPr>
      <w:rPr>
        <w:rFonts w:ascii="Arial" w:eastAsia="Arial" w:hAnsi="Arial" w:cs="Arial"/>
        <w:b w:val="0"/>
        <w:bCs w:val="0"/>
        <w:i w:val="0"/>
        <w:iCs w:val="0"/>
        <w:smallCaps w:val="0"/>
        <w:strike w:val="0"/>
        <w:color w:val="000000"/>
        <w:sz w:val="22"/>
        <w:szCs w:val="22"/>
        <w:u w:val="none"/>
        <w:shd w:val="clear" w:color="auto" w:fill="auto"/>
        <w:vertAlign w:val="baseline"/>
      </w:rPr>
    </w:lvl>
  </w:abstractNum>
  <w:abstractNum w:abstractNumId="142" w15:restartNumberingAfterBreak="0">
    <w:nsid w:val="74C86F8D"/>
    <w:multiLevelType w:val="hybridMultilevel"/>
    <w:tmpl w:val="70B0707A"/>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3" w15:restartNumberingAfterBreak="0">
    <w:nsid w:val="757C6823"/>
    <w:multiLevelType w:val="multilevel"/>
    <w:tmpl w:val="9CDAE02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4" w15:restartNumberingAfterBreak="0">
    <w:nsid w:val="78B47256"/>
    <w:multiLevelType w:val="multilevel"/>
    <w:tmpl w:val="50F06C9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5" w15:restartNumberingAfterBreak="0">
    <w:nsid w:val="79494172"/>
    <w:multiLevelType w:val="multilevel"/>
    <w:tmpl w:val="C450B216"/>
    <w:lvl w:ilvl="0">
      <w:start w:val="1"/>
      <w:numFmt w:val="bullet"/>
      <w:lvlText w:val="●"/>
      <w:lvlJc w:val="left"/>
      <w:pPr>
        <w:ind w:left="465"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1">
      <w:start w:val="1"/>
      <w:numFmt w:val="bullet"/>
      <w:lvlText w:val="○"/>
      <w:lvlJc w:val="left"/>
      <w:pPr>
        <w:ind w:left="144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2">
      <w:start w:val="1"/>
      <w:numFmt w:val="bullet"/>
      <w:lvlText w:val="■"/>
      <w:lvlJc w:val="left"/>
      <w:pPr>
        <w:ind w:left="216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3">
      <w:start w:val="1"/>
      <w:numFmt w:val="bullet"/>
      <w:lvlText w:val="■"/>
      <w:lvlJc w:val="left"/>
      <w:pPr>
        <w:ind w:left="288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4">
      <w:start w:val="1"/>
      <w:numFmt w:val="bullet"/>
      <w:lvlText w:val="■"/>
      <w:lvlJc w:val="left"/>
      <w:pPr>
        <w:ind w:left="360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5">
      <w:start w:val="1"/>
      <w:numFmt w:val="bullet"/>
      <w:lvlText w:val="■"/>
      <w:lvlJc w:val="left"/>
      <w:pPr>
        <w:ind w:left="432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6">
      <w:start w:val="1"/>
      <w:numFmt w:val="bullet"/>
      <w:lvlText w:val="■"/>
      <w:lvlJc w:val="left"/>
      <w:pPr>
        <w:ind w:left="504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7">
      <w:start w:val="1"/>
      <w:numFmt w:val="bullet"/>
      <w:lvlText w:val="■"/>
      <w:lvlJc w:val="left"/>
      <w:pPr>
        <w:ind w:left="576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8">
      <w:start w:val="1"/>
      <w:numFmt w:val="bullet"/>
      <w:lvlText w:val="■"/>
      <w:lvlJc w:val="left"/>
      <w:pPr>
        <w:ind w:left="6480" w:hanging="360"/>
      </w:pPr>
      <w:rPr>
        <w:rFonts w:ascii="Arial" w:eastAsia="Arial" w:hAnsi="Arial" w:cs="Arial"/>
        <w:b w:val="0"/>
        <w:bCs w:val="0"/>
        <w:i w:val="0"/>
        <w:iCs w:val="0"/>
        <w:smallCaps w:val="0"/>
        <w:strike w:val="0"/>
        <w:color w:val="000000"/>
        <w:sz w:val="22"/>
        <w:szCs w:val="22"/>
        <w:u w:val="none"/>
        <w:shd w:val="clear" w:color="auto" w:fill="auto"/>
        <w:vertAlign w:val="baseline"/>
      </w:rPr>
    </w:lvl>
  </w:abstractNum>
  <w:abstractNum w:abstractNumId="146" w15:restartNumberingAfterBreak="0">
    <w:nsid w:val="79520DE5"/>
    <w:multiLevelType w:val="multilevel"/>
    <w:tmpl w:val="7DAA76A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7" w15:restartNumberingAfterBreak="0">
    <w:nsid w:val="798A68ED"/>
    <w:multiLevelType w:val="multilevel"/>
    <w:tmpl w:val="1F82467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8" w15:restartNumberingAfterBreak="0">
    <w:nsid w:val="79F90600"/>
    <w:multiLevelType w:val="multilevel"/>
    <w:tmpl w:val="A370B21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9" w15:restartNumberingAfterBreak="0">
    <w:nsid w:val="7BDB4BDA"/>
    <w:multiLevelType w:val="hybridMultilevel"/>
    <w:tmpl w:val="BF88545E"/>
    <w:lvl w:ilvl="0" w:tplc="3F089FB0">
      <w:start w:val="1"/>
      <w:numFmt w:val="decimal"/>
      <w:lvlText w:val="%1)"/>
      <w:lvlJc w:val="left"/>
      <w:pPr>
        <w:ind w:left="786" w:hanging="360"/>
      </w:pPr>
      <w:rPr>
        <w:rFonts w:hint="default"/>
      </w:rPr>
    </w:lvl>
    <w:lvl w:ilvl="1" w:tplc="04090019" w:tentative="1">
      <w:start w:val="1"/>
      <w:numFmt w:val="lowerLetter"/>
      <w:lvlText w:val="%2."/>
      <w:lvlJc w:val="left"/>
      <w:pPr>
        <w:ind w:left="1506" w:hanging="360"/>
      </w:pPr>
    </w:lvl>
    <w:lvl w:ilvl="2" w:tplc="0409001B" w:tentative="1">
      <w:start w:val="1"/>
      <w:numFmt w:val="lowerRoman"/>
      <w:lvlText w:val="%3."/>
      <w:lvlJc w:val="right"/>
      <w:pPr>
        <w:ind w:left="2226" w:hanging="180"/>
      </w:pPr>
    </w:lvl>
    <w:lvl w:ilvl="3" w:tplc="0409000F" w:tentative="1">
      <w:start w:val="1"/>
      <w:numFmt w:val="decimal"/>
      <w:lvlText w:val="%4."/>
      <w:lvlJc w:val="left"/>
      <w:pPr>
        <w:ind w:left="2946" w:hanging="360"/>
      </w:pPr>
    </w:lvl>
    <w:lvl w:ilvl="4" w:tplc="04090019" w:tentative="1">
      <w:start w:val="1"/>
      <w:numFmt w:val="lowerLetter"/>
      <w:lvlText w:val="%5."/>
      <w:lvlJc w:val="left"/>
      <w:pPr>
        <w:ind w:left="3666" w:hanging="360"/>
      </w:pPr>
    </w:lvl>
    <w:lvl w:ilvl="5" w:tplc="0409001B" w:tentative="1">
      <w:start w:val="1"/>
      <w:numFmt w:val="lowerRoman"/>
      <w:lvlText w:val="%6."/>
      <w:lvlJc w:val="right"/>
      <w:pPr>
        <w:ind w:left="4386" w:hanging="180"/>
      </w:pPr>
    </w:lvl>
    <w:lvl w:ilvl="6" w:tplc="0409000F" w:tentative="1">
      <w:start w:val="1"/>
      <w:numFmt w:val="decimal"/>
      <w:lvlText w:val="%7."/>
      <w:lvlJc w:val="left"/>
      <w:pPr>
        <w:ind w:left="5106" w:hanging="360"/>
      </w:pPr>
    </w:lvl>
    <w:lvl w:ilvl="7" w:tplc="04090019" w:tentative="1">
      <w:start w:val="1"/>
      <w:numFmt w:val="lowerLetter"/>
      <w:lvlText w:val="%8."/>
      <w:lvlJc w:val="left"/>
      <w:pPr>
        <w:ind w:left="5826" w:hanging="360"/>
      </w:pPr>
    </w:lvl>
    <w:lvl w:ilvl="8" w:tplc="0409001B" w:tentative="1">
      <w:start w:val="1"/>
      <w:numFmt w:val="lowerRoman"/>
      <w:lvlText w:val="%9."/>
      <w:lvlJc w:val="right"/>
      <w:pPr>
        <w:ind w:left="6546" w:hanging="180"/>
      </w:pPr>
    </w:lvl>
  </w:abstractNum>
  <w:abstractNum w:abstractNumId="150" w15:restartNumberingAfterBreak="0">
    <w:nsid w:val="7C7558A9"/>
    <w:multiLevelType w:val="multilevel"/>
    <w:tmpl w:val="3F82E1DC"/>
    <w:lvl w:ilvl="0">
      <w:start w:val="3"/>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51" w15:restartNumberingAfterBreak="0">
    <w:nsid w:val="7CAC2114"/>
    <w:multiLevelType w:val="multilevel"/>
    <w:tmpl w:val="B2B20360"/>
    <w:lvl w:ilvl="0">
      <w:start w:val="1"/>
      <w:numFmt w:val="bullet"/>
      <w:lvlText w:val="●"/>
      <w:lvlJc w:val="left"/>
      <w:pPr>
        <w:ind w:left="465"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1">
      <w:start w:val="1"/>
      <w:numFmt w:val="bullet"/>
      <w:lvlText w:val="○"/>
      <w:lvlJc w:val="left"/>
      <w:pPr>
        <w:ind w:left="144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2">
      <w:start w:val="1"/>
      <w:numFmt w:val="bullet"/>
      <w:lvlText w:val="■"/>
      <w:lvlJc w:val="left"/>
      <w:pPr>
        <w:ind w:left="216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3">
      <w:start w:val="1"/>
      <w:numFmt w:val="bullet"/>
      <w:lvlText w:val="■"/>
      <w:lvlJc w:val="left"/>
      <w:pPr>
        <w:ind w:left="288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4">
      <w:start w:val="1"/>
      <w:numFmt w:val="bullet"/>
      <w:lvlText w:val="■"/>
      <w:lvlJc w:val="left"/>
      <w:pPr>
        <w:ind w:left="360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5">
      <w:start w:val="1"/>
      <w:numFmt w:val="bullet"/>
      <w:lvlText w:val="■"/>
      <w:lvlJc w:val="left"/>
      <w:pPr>
        <w:ind w:left="432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6">
      <w:start w:val="1"/>
      <w:numFmt w:val="bullet"/>
      <w:lvlText w:val="■"/>
      <w:lvlJc w:val="left"/>
      <w:pPr>
        <w:ind w:left="504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7">
      <w:start w:val="1"/>
      <w:numFmt w:val="bullet"/>
      <w:lvlText w:val="■"/>
      <w:lvlJc w:val="left"/>
      <w:pPr>
        <w:ind w:left="576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8">
      <w:start w:val="1"/>
      <w:numFmt w:val="bullet"/>
      <w:lvlText w:val="■"/>
      <w:lvlJc w:val="left"/>
      <w:pPr>
        <w:ind w:left="6480" w:hanging="360"/>
      </w:pPr>
      <w:rPr>
        <w:rFonts w:ascii="Arial" w:eastAsia="Arial" w:hAnsi="Arial" w:cs="Arial"/>
        <w:b w:val="0"/>
        <w:bCs w:val="0"/>
        <w:i w:val="0"/>
        <w:iCs w:val="0"/>
        <w:smallCaps w:val="0"/>
        <w:strike w:val="0"/>
        <w:color w:val="000000"/>
        <w:sz w:val="22"/>
        <w:szCs w:val="22"/>
        <w:u w:val="none"/>
        <w:shd w:val="clear" w:color="auto" w:fill="auto"/>
        <w:vertAlign w:val="baseline"/>
      </w:rPr>
    </w:lvl>
  </w:abstractNum>
  <w:abstractNum w:abstractNumId="152" w15:restartNumberingAfterBreak="0">
    <w:nsid w:val="7F246899"/>
    <w:multiLevelType w:val="multilevel"/>
    <w:tmpl w:val="02EEBC52"/>
    <w:lvl w:ilvl="0">
      <w:start w:val="1"/>
      <w:numFmt w:val="bullet"/>
      <w:lvlText w:val="●"/>
      <w:lvlJc w:val="left"/>
      <w:pPr>
        <w:ind w:left="465"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1">
      <w:start w:val="1"/>
      <w:numFmt w:val="decimal"/>
      <w:lvlText w:val="%2."/>
      <w:lvlJc w:val="left"/>
      <w:pPr>
        <w:ind w:left="885"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2">
      <w:start w:val="1"/>
      <w:numFmt w:val="bullet"/>
      <w:lvlText w:val="■"/>
      <w:lvlJc w:val="left"/>
      <w:pPr>
        <w:ind w:left="216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3">
      <w:start w:val="1"/>
      <w:numFmt w:val="bullet"/>
      <w:lvlText w:val="■"/>
      <w:lvlJc w:val="left"/>
      <w:pPr>
        <w:ind w:left="288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4">
      <w:start w:val="1"/>
      <w:numFmt w:val="bullet"/>
      <w:lvlText w:val="■"/>
      <w:lvlJc w:val="left"/>
      <w:pPr>
        <w:ind w:left="360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5">
      <w:start w:val="1"/>
      <w:numFmt w:val="bullet"/>
      <w:lvlText w:val="■"/>
      <w:lvlJc w:val="left"/>
      <w:pPr>
        <w:ind w:left="432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6">
      <w:start w:val="1"/>
      <w:numFmt w:val="bullet"/>
      <w:lvlText w:val="■"/>
      <w:lvlJc w:val="left"/>
      <w:pPr>
        <w:ind w:left="504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7">
      <w:start w:val="1"/>
      <w:numFmt w:val="bullet"/>
      <w:lvlText w:val="■"/>
      <w:lvlJc w:val="left"/>
      <w:pPr>
        <w:ind w:left="5760" w:hanging="360"/>
      </w:pPr>
      <w:rPr>
        <w:rFonts w:ascii="Arial" w:eastAsia="Arial" w:hAnsi="Arial" w:cs="Arial"/>
        <w:b w:val="0"/>
        <w:bCs w:val="0"/>
        <w:i w:val="0"/>
        <w:iCs w:val="0"/>
        <w:smallCaps w:val="0"/>
        <w:strike w:val="0"/>
        <w:color w:val="000000"/>
        <w:sz w:val="22"/>
        <w:szCs w:val="22"/>
        <w:u w:val="none"/>
        <w:shd w:val="clear" w:color="auto" w:fill="auto"/>
        <w:vertAlign w:val="baseline"/>
      </w:rPr>
    </w:lvl>
    <w:lvl w:ilvl="8">
      <w:start w:val="1"/>
      <w:numFmt w:val="bullet"/>
      <w:lvlText w:val="■"/>
      <w:lvlJc w:val="left"/>
      <w:pPr>
        <w:ind w:left="6480" w:hanging="360"/>
      </w:pPr>
      <w:rPr>
        <w:rFonts w:ascii="Arial" w:eastAsia="Arial" w:hAnsi="Arial" w:cs="Arial"/>
        <w:b w:val="0"/>
        <w:bCs w:val="0"/>
        <w:i w:val="0"/>
        <w:iCs w:val="0"/>
        <w:smallCaps w:val="0"/>
        <w:strike w:val="0"/>
        <w:color w:val="000000"/>
        <w:sz w:val="22"/>
        <w:szCs w:val="22"/>
        <w:u w:val="none"/>
        <w:shd w:val="clear" w:color="auto" w:fill="auto"/>
        <w:vertAlign w:val="baseline"/>
      </w:rPr>
    </w:lvl>
  </w:abstractNum>
  <w:num w:numId="1" w16cid:durableId="940261231">
    <w:abstractNumId w:val="17"/>
  </w:num>
  <w:num w:numId="2" w16cid:durableId="1906603149">
    <w:abstractNumId w:val="110"/>
  </w:num>
  <w:num w:numId="3" w16cid:durableId="1329401054">
    <w:abstractNumId w:val="55"/>
  </w:num>
  <w:num w:numId="4" w16cid:durableId="1315723106">
    <w:abstractNumId w:val="60"/>
  </w:num>
  <w:num w:numId="5" w16cid:durableId="5061814">
    <w:abstractNumId w:val="151"/>
  </w:num>
  <w:num w:numId="6" w16cid:durableId="468976716">
    <w:abstractNumId w:val="141"/>
  </w:num>
  <w:num w:numId="7" w16cid:durableId="2121365215">
    <w:abstractNumId w:val="52"/>
  </w:num>
  <w:num w:numId="8" w16cid:durableId="2128505766">
    <w:abstractNumId w:val="62"/>
  </w:num>
  <w:num w:numId="9" w16cid:durableId="656615877">
    <w:abstractNumId w:val="43"/>
  </w:num>
  <w:num w:numId="10" w16cid:durableId="1945111989">
    <w:abstractNumId w:val="86"/>
  </w:num>
  <w:num w:numId="11" w16cid:durableId="2066947845">
    <w:abstractNumId w:val="66"/>
  </w:num>
  <w:num w:numId="12" w16cid:durableId="1098989380">
    <w:abstractNumId w:val="112"/>
  </w:num>
  <w:num w:numId="13" w16cid:durableId="782774098">
    <w:abstractNumId w:val="27"/>
  </w:num>
  <w:num w:numId="14" w16cid:durableId="1773940038">
    <w:abstractNumId w:val="70"/>
  </w:num>
  <w:num w:numId="15" w16cid:durableId="1421559341">
    <w:abstractNumId w:val="115"/>
  </w:num>
  <w:num w:numId="16" w16cid:durableId="356469631">
    <w:abstractNumId w:val="5"/>
  </w:num>
  <w:num w:numId="17" w16cid:durableId="1799371015">
    <w:abstractNumId w:val="128"/>
  </w:num>
  <w:num w:numId="18" w16cid:durableId="1574386598">
    <w:abstractNumId w:val="11"/>
  </w:num>
  <w:num w:numId="19" w16cid:durableId="252711699">
    <w:abstractNumId w:val="145"/>
  </w:num>
  <w:num w:numId="20" w16cid:durableId="1166049170">
    <w:abstractNumId w:val="126"/>
  </w:num>
  <w:num w:numId="21" w16cid:durableId="1225683408">
    <w:abstractNumId w:val="127"/>
  </w:num>
  <w:num w:numId="22" w16cid:durableId="1064833861">
    <w:abstractNumId w:val="152"/>
  </w:num>
  <w:num w:numId="23" w16cid:durableId="1855145089">
    <w:abstractNumId w:val="73"/>
  </w:num>
  <w:num w:numId="24" w16cid:durableId="806246227">
    <w:abstractNumId w:val="81"/>
  </w:num>
  <w:num w:numId="25" w16cid:durableId="1374770828">
    <w:abstractNumId w:val="76"/>
  </w:num>
  <w:num w:numId="26" w16cid:durableId="707610980">
    <w:abstractNumId w:val="75"/>
  </w:num>
  <w:num w:numId="27" w16cid:durableId="1220899804">
    <w:abstractNumId w:val="149"/>
  </w:num>
  <w:num w:numId="28" w16cid:durableId="764115032">
    <w:abstractNumId w:val="21"/>
  </w:num>
  <w:num w:numId="29" w16cid:durableId="2041778688">
    <w:abstractNumId w:val="48"/>
  </w:num>
  <w:num w:numId="30" w16cid:durableId="1187913321">
    <w:abstractNumId w:val="24"/>
  </w:num>
  <w:num w:numId="31" w16cid:durableId="1220288814">
    <w:abstractNumId w:val="114"/>
  </w:num>
  <w:num w:numId="32" w16cid:durableId="1060782622">
    <w:abstractNumId w:val="10"/>
  </w:num>
  <w:num w:numId="33" w16cid:durableId="1589191873">
    <w:abstractNumId w:val="50"/>
  </w:num>
  <w:num w:numId="34" w16cid:durableId="338851862">
    <w:abstractNumId w:val="57"/>
  </w:num>
  <w:num w:numId="35" w16cid:durableId="1310282022">
    <w:abstractNumId w:val="26"/>
  </w:num>
  <w:num w:numId="36" w16cid:durableId="402337197">
    <w:abstractNumId w:val="106"/>
  </w:num>
  <w:num w:numId="37" w16cid:durableId="1898584617">
    <w:abstractNumId w:val="12"/>
  </w:num>
  <w:num w:numId="38" w16cid:durableId="1130588112">
    <w:abstractNumId w:val="56"/>
  </w:num>
  <w:num w:numId="39" w16cid:durableId="886918665">
    <w:abstractNumId w:val="148"/>
  </w:num>
  <w:num w:numId="40" w16cid:durableId="1734738374">
    <w:abstractNumId w:val="103"/>
  </w:num>
  <w:num w:numId="41" w16cid:durableId="1021324415">
    <w:abstractNumId w:val="99"/>
  </w:num>
  <w:num w:numId="42" w16cid:durableId="1627931544">
    <w:abstractNumId w:val="101"/>
  </w:num>
  <w:num w:numId="43" w16cid:durableId="1414279412">
    <w:abstractNumId w:val="142"/>
  </w:num>
  <w:num w:numId="44" w16cid:durableId="639924398">
    <w:abstractNumId w:val="44"/>
  </w:num>
  <w:num w:numId="45" w16cid:durableId="782384786">
    <w:abstractNumId w:val="58"/>
  </w:num>
  <w:num w:numId="46" w16cid:durableId="1481268329">
    <w:abstractNumId w:val="125"/>
  </w:num>
  <w:num w:numId="47" w16cid:durableId="1552498105">
    <w:abstractNumId w:val="29"/>
  </w:num>
  <w:num w:numId="48" w16cid:durableId="1012340100">
    <w:abstractNumId w:val="93"/>
  </w:num>
  <w:num w:numId="49" w16cid:durableId="1449815102">
    <w:abstractNumId w:val="119"/>
  </w:num>
  <w:num w:numId="50" w16cid:durableId="751780228">
    <w:abstractNumId w:val="98"/>
  </w:num>
  <w:num w:numId="51" w16cid:durableId="1828129042">
    <w:abstractNumId w:val="79"/>
  </w:num>
  <w:num w:numId="52" w16cid:durableId="1383019280">
    <w:abstractNumId w:val="74"/>
  </w:num>
  <w:num w:numId="53" w16cid:durableId="197666636">
    <w:abstractNumId w:val="38"/>
  </w:num>
  <w:num w:numId="54" w16cid:durableId="1457023837">
    <w:abstractNumId w:val="89"/>
  </w:num>
  <w:num w:numId="55" w16cid:durableId="1164777127">
    <w:abstractNumId w:val="15"/>
  </w:num>
  <w:num w:numId="56" w16cid:durableId="101731763">
    <w:abstractNumId w:val="85"/>
  </w:num>
  <w:num w:numId="57" w16cid:durableId="53241949">
    <w:abstractNumId w:val="25"/>
  </w:num>
  <w:num w:numId="58" w16cid:durableId="1844123172">
    <w:abstractNumId w:val="32"/>
  </w:num>
  <w:num w:numId="59" w16cid:durableId="632710346">
    <w:abstractNumId w:val="45"/>
  </w:num>
  <w:num w:numId="60" w16cid:durableId="261110171">
    <w:abstractNumId w:val="49"/>
  </w:num>
  <w:num w:numId="61" w16cid:durableId="374547837">
    <w:abstractNumId w:val="144"/>
  </w:num>
  <w:num w:numId="62" w16cid:durableId="1865484443">
    <w:abstractNumId w:val="68"/>
  </w:num>
  <w:num w:numId="63" w16cid:durableId="1834686646">
    <w:abstractNumId w:val="108"/>
  </w:num>
  <w:num w:numId="64" w16cid:durableId="1067533593">
    <w:abstractNumId w:val="35"/>
  </w:num>
  <w:num w:numId="65" w16cid:durableId="655308376">
    <w:abstractNumId w:val="41"/>
  </w:num>
  <w:num w:numId="66" w16cid:durableId="961496399">
    <w:abstractNumId w:val="7"/>
  </w:num>
  <w:num w:numId="67" w16cid:durableId="1607229357">
    <w:abstractNumId w:val="88"/>
  </w:num>
  <w:num w:numId="68" w16cid:durableId="247882852">
    <w:abstractNumId w:val="87"/>
  </w:num>
  <w:num w:numId="69" w16cid:durableId="962614887">
    <w:abstractNumId w:val="59"/>
  </w:num>
  <w:num w:numId="70" w16cid:durableId="402146723">
    <w:abstractNumId w:val="124"/>
  </w:num>
  <w:num w:numId="71" w16cid:durableId="300355246">
    <w:abstractNumId w:val="94"/>
  </w:num>
  <w:num w:numId="72" w16cid:durableId="1101340642">
    <w:abstractNumId w:val="121"/>
  </w:num>
  <w:num w:numId="73" w16cid:durableId="233204842">
    <w:abstractNumId w:val="123"/>
  </w:num>
  <w:num w:numId="74" w16cid:durableId="1963068558">
    <w:abstractNumId w:val="61"/>
  </w:num>
  <w:num w:numId="75" w16cid:durableId="1895314572">
    <w:abstractNumId w:val="113"/>
  </w:num>
  <w:num w:numId="76" w16cid:durableId="2016764208">
    <w:abstractNumId w:val="107"/>
  </w:num>
  <w:num w:numId="77" w16cid:durableId="109860117">
    <w:abstractNumId w:val="84"/>
  </w:num>
  <w:num w:numId="78" w16cid:durableId="688145893">
    <w:abstractNumId w:val="8"/>
  </w:num>
  <w:num w:numId="79" w16cid:durableId="1129784749">
    <w:abstractNumId w:val="63"/>
  </w:num>
  <w:num w:numId="80" w16cid:durableId="800922431">
    <w:abstractNumId w:val="71"/>
  </w:num>
  <w:num w:numId="81" w16cid:durableId="1966350701">
    <w:abstractNumId w:val="105"/>
  </w:num>
  <w:num w:numId="82" w16cid:durableId="460005427">
    <w:abstractNumId w:val="77"/>
  </w:num>
  <w:num w:numId="83" w16cid:durableId="2011250815">
    <w:abstractNumId w:val="147"/>
  </w:num>
  <w:num w:numId="84" w16cid:durableId="248539922">
    <w:abstractNumId w:val="116"/>
  </w:num>
  <w:num w:numId="85" w16cid:durableId="1897549457">
    <w:abstractNumId w:val="132"/>
  </w:num>
  <w:num w:numId="86" w16cid:durableId="1258557590">
    <w:abstractNumId w:val="46"/>
  </w:num>
  <w:num w:numId="87" w16cid:durableId="289483457">
    <w:abstractNumId w:val="72"/>
  </w:num>
  <w:num w:numId="88" w16cid:durableId="400100221">
    <w:abstractNumId w:val="100"/>
  </w:num>
  <w:num w:numId="89" w16cid:durableId="974407737">
    <w:abstractNumId w:val="31"/>
  </w:num>
  <w:num w:numId="90" w16cid:durableId="199054555">
    <w:abstractNumId w:val="129"/>
  </w:num>
  <w:num w:numId="91" w16cid:durableId="836388335">
    <w:abstractNumId w:val="0"/>
  </w:num>
  <w:num w:numId="92" w16cid:durableId="180780898">
    <w:abstractNumId w:val="54"/>
  </w:num>
  <w:num w:numId="93" w16cid:durableId="455216610">
    <w:abstractNumId w:val="91"/>
  </w:num>
  <w:num w:numId="94" w16cid:durableId="311297850">
    <w:abstractNumId w:val="90"/>
  </w:num>
  <w:num w:numId="95" w16cid:durableId="1129741253">
    <w:abstractNumId w:val="140"/>
  </w:num>
  <w:num w:numId="96" w16cid:durableId="1354189002">
    <w:abstractNumId w:val="13"/>
  </w:num>
  <w:num w:numId="97" w16cid:durableId="2081059302">
    <w:abstractNumId w:val="122"/>
  </w:num>
  <w:num w:numId="98" w16cid:durableId="1674913302">
    <w:abstractNumId w:val="118"/>
  </w:num>
  <w:num w:numId="99" w16cid:durableId="1646931077">
    <w:abstractNumId w:val="18"/>
  </w:num>
  <w:num w:numId="100" w16cid:durableId="79522432">
    <w:abstractNumId w:val="33"/>
  </w:num>
  <w:num w:numId="101" w16cid:durableId="1031497628">
    <w:abstractNumId w:val="2"/>
  </w:num>
  <w:num w:numId="102" w16cid:durableId="1945112078">
    <w:abstractNumId w:val="34"/>
  </w:num>
  <w:num w:numId="103" w16cid:durableId="738138192">
    <w:abstractNumId w:val="53"/>
  </w:num>
  <w:num w:numId="104" w16cid:durableId="1910578084">
    <w:abstractNumId w:val="143"/>
  </w:num>
  <w:num w:numId="105" w16cid:durableId="1760176462">
    <w:abstractNumId w:val="137"/>
  </w:num>
  <w:num w:numId="106" w16cid:durableId="1504009831">
    <w:abstractNumId w:val="111"/>
  </w:num>
  <w:num w:numId="107" w16cid:durableId="2122334553">
    <w:abstractNumId w:val="134"/>
  </w:num>
  <w:num w:numId="108" w16cid:durableId="931935230">
    <w:abstractNumId w:val="78"/>
  </w:num>
  <w:num w:numId="109" w16cid:durableId="2117552597">
    <w:abstractNumId w:val="14"/>
  </w:num>
  <w:num w:numId="110" w16cid:durableId="350491913">
    <w:abstractNumId w:val="120"/>
  </w:num>
  <w:num w:numId="111" w16cid:durableId="1024938469">
    <w:abstractNumId w:val="109"/>
  </w:num>
  <w:num w:numId="112" w16cid:durableId="489566262">
    <w:abstractNumId w:val="92"/>
  </w:num>
  <w:num w:numId="113" w16cid:durableId="1918709716">
    <w:abstractNumId w:val="97"/>
  </w:num>
  <w:num w:numId="114" w16cid:durableId="1408192030">
    <w:abstractNumId w:val="23"/>
  </w:num>
  <w:num w:numId="115" w16cid:durableId="637077402">
    <w:abstractNumId w:val="9"/>
  </w:num>
  <w:num w:numId="116" w16cid:durableId="198785369">
    <w:abstractNumId w:val="69"/>
  </w:num>
  <w:num w:numId="117" w16cid:durableId="1446924442">
    <w:abstractNumId w:val="40"/>
  </w:num>
  <w:num w:numId="118" w16cid:durableId="411855087">
    <w:abstractNumId w:val="67"/>
  </w:num>
  <w:num w:numId="119" w16cid:durableId="1706053037">
    <w:abstractNumId w:val="82"/>
  </w:num>
  <w:num w:numId="120" w16cid:durableId="676006761">
    <w:abstractNumId w:val="83"/>
  </w:num>
  <w:num w:numId="121" w16cid:durableId="1122773608">
    <w:abstractNumId w:val="131"/>
  </w:num>
  <w:num w:numId="122" w16cid:durableId="335153274">
    <w:abstractNumId w:val="4"/>
  </w:num>
  <w:num w:numId="123" w16cid:durableId="2089766434">
    <w:abstractNumId w:val="104"/>
  </w:num>
  <w:num w:numId="124" w16cid:durableId="1489445706">
    <w:abstractNumId w:val="130"/>
    <w:lvlOverride w:ilvl="0">
      <w:startOverride w:val="6"/>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5" w16cid:durableId="1806316290">
    <w:abstractNumId w:val="19"/>
  </w:num>
  <w:num w:numId="126" w16cid:durableId="1908804164">
    <w:abstractNumId w:val="42"/>
  </w:num>
  <w:num w:numId="127" w16cid:durableId="558177027">
    <w:abstractNumId w:val="65"/>
  </w:num>
  <w:num w:numId="128" w16cid:durableId="589393246">
    <w:abstractNumId w:val="146"/>
  </w:num>
  <w:num w:numId="129" w16cid:durableId="733743903">
    <w:abstractNumId w:val="136"/>
  </w:num>
  <w:num w:numId="130" w16cid:durableId="1435051161">
    <w:abstractNumId w:val="1"/>
  </w:num>
  <w:num w:numId="131" w16cid:durableId="472211034">
    <w:abstractNumId w:val="133"/>
  </w:num>
  <w:num w:numId="132" w16cid:durableId="1114981702">
    <w:abstractNumId w:val="36"/>
  </w:num>
  <w:num w:numId="133" w16cid:durableId="1904028267">
    <w:abstractNumId w:val="139"/>
  </w:num>
  <w:num w:numId="134" w16cid:durableId="271599224">
    <w:abstractNumId w:val="39"/>
  </w:num>
  <w:num w:numId="135" w16cid:durableId="1463572574">
    <w:abstractNumId w:val="135"/>
  </w:num>
  <w:num w:numId="136" w16cid:durableId="341470321">
    <w:abstractNumId w:val="102"/>
  </w:num>
  <w:num w:numId="137" w16cid:durableId="1253323114">
    <w:abstractNumId w:val="95"/>
  </w:num>
  <w:num w:numId="138" w16cid:durableId="534736887">
    <w:abstractNumId w:val="138"/>
  </w:num>
  <w:num w:numId="139" w16cid:durableId="1097797756">
    <w:abstractNumId w:val="96"/>
  </w:num>
  <w:num w:numId="140" w16cid:durableId="1198736285">
    <w:abstractNumId w:val="6"/>
  </w:num>
  <w:num w:numId="141" w16cid:durableId="815992159">
    <w:abstractNumId w:val="150"/>
  </w:num>
  <w:num w:numId="142" w16cid:durableId="681006657">
    <w:abstractNumId w:val="130"/>
  </w:num>
  <w:num w:numId="143" w16cid:durableId="1916207593">
    <w:abstractNumId w:val="22"/>
  </w:num>
  <w:num w:numId="144" w16cid:durableId="650717900">
    <w:abstractNumId w:val="30"/>
  </w:num>
  <w:num w:numId="145" w16cid:durableId="2135754849">
    <w:abstractNumId w:val="117"/>
  </w:num>
  <w:num w:numId="146" w16cid:durableId="756560180">
    <w:abstractNumId w:val="37"/>
  </w:num>
  <w:num w:numId="147" w16cid:durableId="12151266">
    <w:abstractNumId w:val="64"/>
  </w:num>
  <w:num w:numId="148" w16cid:durableId="892037125">
    <w:abstractNumId w:val="28"/>
  </w:num>
  <w:num w:numId="149" w16cid:durableId="947011076">
    <w:abstractNumId w:val="47"/>
  </w:num>
  <w:num w:numId="150" w16cid:durableId="700126973">
    <w:abstractNumId w:val="80"/>
  </w:num>
  <w:num w:numId="151" w16cid:durableId="1951620182">
    <w:abstractNumId w:val="51"/>
  </w:num>
  <w:num w:numId="152" w16cid:durableId="2071297595">
    <w:abstractNumId w:val="3"/>
  </w:num>
  <w:num w:numId="153" w16cid:durableId="315186515">
    <w:abstractNumId w:val="16"/>
  </w:num>
  <w:num w:numId="154" w16cid:durableId="1716343531">
    <w:abstractNumId w:val="20"/>
  </w:num>
  <w:numIdMacAtCleanup w:val="14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50"/>
  <w:embedTrueTypeFonts/>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applyBreakingRules/>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863E5"/>
    <w:rsid w:val="00037A8B"/>
    <w:rsid w:val="00053829"/>
    <w:rsid w:val="00091372"/>
    <w:rsid w:val="0009162B"/>
    <w:rsid w:val="000A613A"/>
    <w:rsid w:val="000A691F"/>
    <w:rsid w:val="000C298B"/>
    <w:rsid w:val="000C7AD0"/>
    <w:rsid w:val="000D11DA"/>
    <w:rsid w:val="000F4607"/>
    <w:rsid w:val="00143ED6"/>
    <w:rsid w:val="0017587E"/>
    <w:rsid w:val="001A51FF"/>
    <w:rsid w:val="001B2839"/>
    <w:rsid w:val="002202DB"/>
    <w:rsid w:val="002314E7"/>
    <w:rsid w:val="00240CEE"/>
    <w:rsid w:val="00242AED"/>
    <w:rsid w:val="0027663B"/>
    <w:rsid w:val="0028247C"/>
    <w:rsid w:val="002C0B27"/>
    <w:rsid w:val="002F0C4A"/>
    <w:rsid w:val="003332A9"/>
    <w:rsid w:val="00336EB7"/>
    <w:rsid w:val="00337ED1"/>
    <w:rsid w:val="00364AA9"/>
    <w:rsid w:val="003B0291"/>
    <w:rsid w:val="003E14CB"/>
    <w:rsid w:val="003E3972"/>
    <w:rsid w:val="004617B7"/>
    <w:rsid w:val="00492A7C"/>
    <w:rsid w:val="00495C95"/>
    <w:rsid w:val="004F4D2C"/>
    <w:rsid w:val="00502886"/>
    <w:rsid w:val="00533A7B"/>
    <w:rsid w:val="0053799B"/>
    <w:rsid w:val="005477A0"/>
    <w:rsid w:val="00563511"/>
    <w:rsid w:val="005A4CF2"/>
    <w:rsid w:val="005B164A"/>
    <w:rsid w:val="005C0D33"/>
    <w:rsid w:val="005D0CE8"/>
    <w:rsid w:val="00711743"/>
    <w:rsid w:val="00711ACF"/>
    <w:rsid w:val="007123E7"/>
    <w:rsid w:val="007367F4"/>
    <w:rsid w:val="00743D31"/>
    <w:rsid w:val="00792B36"/>
    <w:rsid w:val="007A5A40"/>
    <w:rsid w:val="007D1694"/>
    <w:rsid w:val="007D3A90"/>
    <w:rsid w:val="008045DF"/>
    <w:rsid w:val="00863AAD"/>
    <w:rsid w:val="008672B9"/>
    <w:rsid w:val="00891326"/>
    <w:rsid w:val="0089401A"/>
    <w:rsid w:val="008C2A6B"/>
    <w:rsid w:val="008F3BC1"/>
    <w:rsid w:val="00906DB9"/>
    <w:rsid w:val="00931A50"/>
    <w:rsid w:val="00942BB6"/>
    <w:rsid w:val="009863E5"/>
    <w:rsid w:val="009A0A63"/>
    <w:rsid w:val="009B44B1"/>
    <w:rsid w:val="009D17D7"/>
    <w:rsid w:val="009F20F7"/>
    <w:rsid w:val="00A627F3"/>
    <w:rsid w:val="00A82FBA"/>
    <w:rsid w:val="00AA3FA6"/>
    <w:rsid w:val="00AE2286"/>
    <w:rsid w:val="00AF264B"/>
    <w:rsid w:val="00B1503D"/>
    <w:rsid w:val="00B471BA"/>
    <w:rsid w:val="00B80FD9"/>
    <w:rsid w:val="00B83896"/>
    <w:rsid w:val="00B92979"/>
    <w:rsid w:val="00B9430E"/>
    <w:rsid w:val="00BA713F"/>
    <w:rsid w:val="00BC399A"/>
    <w:rsid w:val="00C25E58"/>
    <w:rsid w:val="00C3297A"/>
    <w:rsid w:val="00C41C3F"/>
    <w:rsid w:val="00C552A2"/>
    <w:rsid w:val="00CB66F6"/>
    <w:rsid w:val="00D21F73"/>
    <w:rsid w:val="00D7610C"/>
    <w:rsid w:val="00D769F1"/>
    <w:rsid w:val="00D90809"/>
    <w:rsid w:val="00D93F81"/>
    <w:rsid w:val="00DA144D"/>
    <w:rsid w:val="00DB4CBA"/>
    <w:rsid w:val="00DD40A8"/>
    <w:rsid w:val="00DE2E46"/>
    <w:rsid w:val="00E21AED"/>
    <w:rsid w:val="00E46587"/>
    <w:rsid w:val="00E75FCF"/>
    <w:rsid w:val="00EA1D8D"/>
    <w:rsid w:val="00EB267E"/>
    <w:rsid w:val="00EB604E"/>
    <w:rsid w:val="00ED4AA0"/>
    <w:rsid w:val="00F07420"/>
    <w:rsid w:val="00F54227"/>
    <w:rsid w:val="00F61B37"/>
    <w:rsid w:val="00F64698"/>
    <w:rsid w:val="00F77A8C"/>
    <w:rsid w:val="00F94A28"/>
    <w:rsid w:val="00FC29B5"/>
    <w:rsid w:val="00FD78D8"/>
    <w:rsid w:val="00FE229A"/>
    <w:rsid w:val="00FE3C6D"/>
  </w:rsids>
  <m:mathPr>
    <m:mathFont m:val="Cambria Math"/>
    <m:brkBin m:val="before"/>
    <m:brkBinSub m:val="--"/>
    <m:smallFrac m:val="0"/>
    <m:dispDef/>
    <m:lMargin m:val="0"/>
    <m:rMargin m:val="0"/>
    <m:defJc m:val="centerGroup"/>
    <m:wrapIndent m:val="1440"/>
    <m:intLim m:val="subSup"/>
    <m:naryLim m:val="undOvr"/>
  </m:mathPr>
  <w:themeFontLang w:val="en-TH" w:bidi="th-TH"/>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9B0854E"/>
  <w15:docId w15:val="{A1B9982E-A5ED-7745-981B-C367740D219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Arial" w:hAnsi="Arial" w:cs="Arial"/>
        <w:sz w:val="22"/>
        <w:szCs w:val="22"/>
        <w:lang w:val="en-TH" w:eastAsia="en-US" w:bidi="th-TH"/>
      </w:rPr>
    </w:rPrDefault>
    <w:pPrDefault>
      <w:pPr>
        <w:widowControl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pPr>
      <w:pBdr>
        <w:top w:val="nil"/>
        <w:left w:val="nil"/>
        <w:bottom w:val="nil"/>
        <w:right w:val="nil"/>
        <w:between w:val="nil"/>
      </w:pBdr>
      <w:spacing w:before="240" w:after="240"/>
      <w:outlineLvl w:val="0"/>
    </w:pPr>
    <w:rPr>
      <w:b/>
      <w:bCs/>
      <w:sz w:val="48"/>
      <w:szCs w:val="48"/>
    </w:rPr>
  </w:style>
  <w:style w:type="paragraph" w:styleId="Heading2">
    <w:name w:val="heading 2"/>
    <w:basedOn w:val="Normal"/>
    <w:next w:val="Normal"/>
    <w:link w:val="Heading2Char"/>
    <w:uiPriority w:val="9"/>
    <w:unhideWhenUsed/>
    <w:qFormat/>
    <w:pPr>
      <w:pBdr>
        <w:top w:val="nil"/>
        <w:left w:val="nil"/>
        <w:bottom w:val="nil"/>
        <w:right w:val="nil"/>
        <w:between w:val="nil"/>
      </w:pBdr>
      <w:spacing w:before="225" w:after="225"/>
      <w:outlineLvl w:val="1"/>
    </w:pPr>
    <w:rPr>
      <w:b/>
      <w:bCs/>
      <w:sz w:val="36"/>
      <w:szCs w:val="36"/>
    </w:rPr>
  </w:style>
  <w:style w:type="paragraph" w:styleId="Heading3">
    <w:name w:val="heading 3"/>
    <w:basedOn w:val="Normal"/>
    <w:next w:val="Normal"/>
    <w:link w:val="Heading3Char"/>
    <w:uiPriority w:val="9"/>
    <w:unhideWhenUsed/>
    <w:qFormat/>
    <w:pPr>
      <w:pBdr>
        <w:top w:val="nil"/>
        <w:left w:val="nil"/>
        <w:bottom w:val="nil"/>
        <w:right w:val="nil"/>
        <w:between w:val="nil"/>
      </w:pBdr>
      <w:spacing w:before="240" w:after="240"/>
      <w:outlineLvl w:val="2"/>
    </w:pPr>
    <w:rPr>
      <w:b/>
      <w:bCs/>
      <w:sz w:val="28"/>
      <w:szCs w:val="28"/>
    </w:rPr>
  </w:style>
  <w:style w:type="paragraph" w:styleId="Heading4">
    <w:name w:val="heading 4"/>
    <w:basedOn w:val="Normal"/>
    <w:next w:val="Normal"/>
    <w:link w:val="Heading4Char"/>
    <w:uiPriority w:val="9"/>
    <w:unhideWhenUsed/>
    <w:qFormat/>
    <w:pPr>
      <w:pBdr>
        <w:top w:val="nil"/>
        <w:left w:val="nil"/>
        <w:bottom w:val="nil"/>
        <w:right w:val="nil"/>
        <w:between w:val="nil"/>
      </w:pBdr>
      <w:spacing w:before="255" w:after="255"/>
      <w:outlineLvl w:val="3"/>
    </w:pPr>
    <w:rPr>
      <w:b/>
      <w:bCs/>
      <w:sz w:val="24"/>
      <w:szCs w:val="24"/>
    </w:rPr>
  </w:style>
  <w:style w:type="paragraph" w:styleId="Heading5">
    <w:name w:val="heading 5"/>
    <w:basedOn w:val="Normal"/>
    <w:next w:val="Normal"/>
    <w:link w:val="Heading5Char"/>
    <w:uiPriority w:val="9"/>
    <w:unhideWhenUsed/>
    <w:qFormat/>
    <w:pPr>
      <w:pBdr>
        <w:top w:val="nil"/>
        <w:left w:val="nil"/>
        <w:bottom w:val="nil"/>
        <w:right w:val="nil"/>
        <w:between w:val="nil"/>
      </w:pBdr>
      <w:spacing w:before="255" w:after="255"/>
      <w:outlineLvl w:val="4"/>
    </w:pPr>
    <w:rPr>
      <w:b/>
      <w:bCs/>
      <w:sz w:val="18"/>
      <w:szCs w:val="18"/>
    </w:rPr>
  </w:style>
  <w:style w:type="paragraph" w:styleId="Heading6">
    <w:name w:val="heading 6"/>
    <w:basedOn w:val="Normal"/>
    <w:next w:val="Normal"/>
    <w:link w:val="Heading6Char"/>
    <w:uiPriority w:val="9"/>
    <w:semiHidden/>
    <w:unhideWhenUsed/>
    <w:qFormat/>
    <w:pPr>
      <w:pBdr>
        <w:top w:val="nil"/>
        <w:left w:val="nil"/>
        <w:bottom w:val="nil"/>
        <w:right w:val="nil"/>
        <w:between w:val="nil"/>
      </w:pBdr>
      <w:spacing w:before="360" w:after="360"/>
      <w:outlineLvl w:val="5"/>
    </w:pPr>
    <w:rPr>
      <w:b/>
      <w:bCs/>
      <w:sz w:val="16"/>
      <w:szCs w:val="16"/>
    </w:rPr>
  </w:style>
  <w:style w:type="paragraph" w:styleId="Heading7">
    <w:name w:val="heading 7"/>
    <w:basedOn w:val="Normal"/>
    <w:next w:val="Normal"/>
    <w:link w:val="Heading7Char"/>
    <w:uiPriority w:val="9"/>
    <w:semiHidden/>
    <w:unhideWhenUsed/>
    <w:qFormat/>
    <w:rsid w:val="00BA713F"/>
    <w:pPr>
      <w:keepNext/>
      <w:keepLines/>
      <w:widowControl/>
      <w:spacing w:before="40" w:line="259" w:lineRule="auto"/>
      <w:outlineLvl w:val="6"/>
    </w:pPr>
    <w:rPr>
      <w:rFonts w:asciiTheme="minorHAnsi" w:eastAsiaTheme="majorEastAsia" w:hAnsiTheme="minorHAnsi" w:cstheme="majorBidi"/>
      <w:color w:val="595959" w:themeColor="text1" w:themeTint="A6"/>
      <w:kern w:val="2"/>
      <w:szCs w:val="28"/>
      <w:lang w:val="en-US"/>
      <w14:ligatures w14:val="standardContextual"/>
    </w:rPr>
  </w:style>
  <w:style w:type="paragraph" w:styleId="Heading8">
    <w:name w:val="heading 8"/>
    <w:basedOn w:val="Normal"/>
    <w:next w:val="Normal"/>
    <w:link w:val="Heading8Char"/>
    <w:uiPriority w:val="9"/>
    <w:semiHidden/>
    <w:unhideWhenUsed/>
    <w:qFormat/>
    <w:rsid w:val="00BA713F"/>
    <w:pPr>
      <w:keepNext/>
      <w:keepLines/>
      <w:widowControl/>
      <w:spacing w:line="259" w:lineRule="auto"/>
      <w:outlineLvl w:val="7"/>
    </w:pPr>
    <w:rPr>
      <w:rFonts w:asciiTheme="minorHAnsi" w:eastAsiaTheme="majorEastAsia" w:hAnsiTheme="minorHAnsi" w:cstheme="majorBidi"/>
      <w:i/>
      <w:iCs/>
      <w:color w:val="272727" w:themeColor="text1" w:themeTint="D8"/>
      <w:kern w:val="2"/>
      <w:szCs w:val="28"/>
      <w:lang w:val="en-US"/>
      <w14:ligatures w14:val="standardContextual"/>
    </w:rPr>
  </w:style>
  <w:style w:type="paragraph" w:styleId="Heading9">
    <w:name w:val="heading 9"/>
    <w:basedOn w:val="Normal"/>
    <w:next w:val="Normal"/>
    <w:link w:val="Heading9Char"/>
    <w:uiPriority w:val="9"/>
    <w:semiHidden/>
    <w:unhideWhenUsed/>
    <w:qFormat/>
    <w:rsid w:val="00BA713F"/>
    <w:pPr>
      <w:keepNext/>
      <w:keepLines/>
      <w:widowControl/>
      <w:spacing w:line="259" w:lineRule="auto"/>
      <w:outlineLvl w:val="8"/>
    </w:pPr>
    <w:rPr>
      <w:rFonts w:asciiTheme="minorHAnsi" w:eastAsiaTheme="majorEastAsia" w:hAnsiTheme="minorHAnsi" w:cstheme="majorBidi"/>
      <w:color w:val="272727" w:themeColor="text1" w:themeTint="D8"/>
      <w:kern w:val="2"/>
      <w:szCs w:val="28"/>
      <w:lang w:val="en-US"/>
      <w14:ligatures w14:val="standardContextua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customStyle="1" w:styleId="TableNormal0">
    <w:name w:val="TableNormal"/>
    <w:tblPr>
      <w:tblCellMar>
        <w:top w:w="100" w:type="dxa"/>
        <w:left w:w="100" w:type="dxa"/>
        <w:bottom w:w="100" w:type="dxa"/>
        <w:right w:w="100" w:type="dxa"/>
      </w:tblCellMar>
    </w:tblPr>
  </w:style>
  <w:style w:type="paragraph" w:styleId="Title">
    <w:name w:val="Title"/>
    <w:basedOn w:val="Normal"/>
    <w:next w:val="Normal"/>
    <w:link w:val="TitleChar"/>
    <w:uiPriority w:val="10"/>
    <w:qFormat/>
    <w:pPr>
      <w:keepNext/>
      <w:keepLines/>
      <w:spacing w:before="480" w:after="120"/>
    </w:pPr>
    <w:rPr>
      <w:b/>
      <w:bCs/>
      <w:sz w:val="72"/>
      <w:szCs w:val="72"/>
    </w:rPr>
  </w:style>
  <w:style w:type="paragraph" w:styleId="Subtitle">
    <w:name w:val="Subtitle"/>
    <w:basedOn w:val="Normal"/>
    <w:next w:val="Normal"/>
    <w:link w:val="SubtitleChar"/>
    <w:uiPriority w:val="11"/>
    <w:qFormat/>
    <w:pPr>
      <w:keepNext/>
      <w:keepLines/>
      <w:spacing w:before="360" w:after="80"/>
    </w:pPr>
    <w:rPr>
      <w:rFonts w:ascii="Georgia" w:eastAsia="Georgia" w:hAnsi="Georgia" w:cs="Georgia"/>
      <w:i/>
      <w:iCs/>
      <w:color w:val="666666"/>
      <w:sz w:val="48"/>
      <w:szCs w:val="48"/>
    </w:rPr>
  </w:style>
  <w:style w:type="table" w:styleId="TableGrid">
    <w:name w:val="Table Grid"/>
    <w:basedOn w:val="TableNormal"/>
    <w:uiPriority w:val="59"/>
    <w:rsid w:val="00F94A2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itation-491">
    <w:name w:val="citation-491"/>
    <w:basedOn w:val="DefaultParagraphFont"/>
    <w:rsid w:val="0009162B"/>
  </w:style>
  <w:style w:type="character" w:customStyle="1" w:styleId="citation-490">
    <w:name w:val="citation-490"/>
    <w:basedOn w:val="DefaultParagraphFont"/>
    <w:rsid w:val="0009162B"/>
  </w:style>
  <w:style w:type="character" w:customStyle="1" w:styleId="citation-489">
    <w:name w:val="citation-489"/>
    <w:basedOn w:val="DefaultParagraphFont"/>
    <w:rsid w:val="0009162B"/>
  </w:style>
  <w:style w:type="character" w:customStyle="1" w:styleId="citation-488">
    <w:name w:val="citation-488"/>
    <w:basedOn w:val="DefaultParagraphFont"/>
    <w:rsid w:val="0009162B"/>
  </w:style>
  <w:style w:type="character" w:customStyle="1" w:styleId="citation-487">
    <w:name w:val="citation-487"/>
    <w:basedOn w:val="DefaultParagraphFont"/>
    <w:rsid w:val="0009162B"/>
  </w:style>
  <w:style w:type="character" w:customStyle="1" w:styleId="citation-486">
    <w:name w:val="citation-486"/>
    <w:basedOn w:val="DefaultParagraphFont"/>
    <w:rsid w:val="0009162B"/>
  </w:style>
  <w:style w:type="character" w:customStyle="1" w:styleId="citation-485">
    <w:name w:val="citation-485"/>
    <w:basedOn w:val="DefaultParagraphFont"/>
    <w:rsid w:val="0009162B"/>
  </w:style>
  <w:style w:type="character" w:customStyle="1" w:styleId="citation-484">
    <w:name w:val="citation-484"/>
    <w:basedOn w:val="DefaultParagraphFont"/>
    <w:rsid w:val="0009162B"/>
  </w:style>
  <w:style w:type="character" w:customStyle="1" w:styleId="citation-483">
    <w:name w:val="citation-483"/>
    <w:basedOn w:val="DefaultParagraphFont"/>
    <w:rsid w:val="0009162B"/>
  </w:style>
  <w:style w:type="character" w:customStyle="1" w:styleId="citation-482">
    <w:name w:val="citation-482"/>
    <w:basedOn w:val="DefaultParagraphFont"/>
    <w:rsid w:val="0009162B"/>
  </w:style>
  <w:style w:type="character" w:customStyle="1" w:styleId="citation-493">
    <w:name w:val="citation-493"/>
    <w:basedOn w:val="DefaultParagraphFont"/>
    <w:rsid w:val="0009162B"/>
  </w:style>
  <w:style w:type="character" w:customStyle="1" w:styleId="citation-492">
    <w:name w:val="citation-492"/>
    <w:basedOn w:val="DefaultParagraphFont"/>
    <w:rsid w:val="0009162B"/>
  </w:style>
  <w:style w:type="character" w:customStyle="1" w:styleId="gd">
    <w:name w:val="gd"/>
    <w:basedOn w:val="DefaultParagraphFont"/>
    <w:rsid w:val="0009162B"/>
  </w:style>
  <w:style w:type="character" w:customStyle="1" w:styleId="Heading1Char">
    <w:name w:val="Heading 1 Char"/>
    <w:basedOn w:val="DefaultParagraphFont"/>
    <w:link w:val="Heading1"/>
    <w:uiPriority w:val="9"/>
    <w:rsid w:val="000A691F"/>
    <w:rPr>
      <w:b/>
      <w:bCs/>
      <w:sz w:val="48"/>
      <w:szCs w:val="48"/>
    </w:rPr>
  </w:style>
  <w:style w:type="character" w:customStyle="1" w:styleId="Heading3Char">
    <w:name w:val="Heading 3 Char"/>
    <w:basedOn w:val="DefaultParagraphFont"/>
    <w:link w:val="Heading3"/>
    <w:uiPriority w:val="9"/>
    <w:rsid w:val="000A691F"/>
    <w:rPr>
      <w:b/>
      <w:bCs/>
      <w:sz w:val="28"/>
      <w:szCs w:val="28"/>
    </w:rPr>
  </w:style>
  <w:style w:type="character" w:customStyle="1" w:styleId="Heading4Char">
    <w:name w:val="Heading 4 Char"/>
    <w:basedOn w:val="DefaultParagraphFont"/>
    <w:link w:val="Heading4"/>
    <w:uiPriority w:val="9"/>
    <w:rsid w:val="000A691F"/>
    <w:rPr>
      <w:b/>
      <w:bCs/>
      <w:sz w:val="24"/>
      <w:szCs w:val="24"/>
    </w:rPr>
  </w:style>
  <w:style w:type="paragraph" w:styleId="ListParagraph">
    <w:name w:val="List Paragraph"/>
    <w:aliases w:val="00 List Bull,Table Heading,Figure,(ก) List Paragraph,รายการย่อหน้า 1,Inhaltsverzeichnis,eq2"/>
    <w:basedOn w:val="Normal"/>
    <w:link w:val="ListParagraphChar"/>
    <w:uiPriority w:val="34"/>
    <w:qFormat/>
    <w:rsid w:val="000A691F"/>
    <w:pPr>
      <w:ind w:left="720"/>
      <w:contextualSpacing/>
    </w:pPr>
    <w:rPr>
      <w:rFonts w:cs="Cordia New"/>
      <w:szCs w:val="28"/>
    </w:rPr>
  </w:style>
  <w:style w:type="paragraph" w:styleId="Footer">
    <w:name w:val="footer"/>
    <w:basedOn w:val="Normal"/>
    <w:link w:val="FooterChar"/>
    <w:uiPriority w:val="99"/>
    <w:unhideWhenUsed/>
    <w:rsid w:val="00A82FBA"/>
    <w:pPr>
      <w:tabs>
        <w:tab w:val="center" w:pos="4680"/>
        <w:tab w:val="right" w:pos="9360"/>
      </w:tabs>
    </w:pPr>
    <w:rPr>
      <w:rFonts w:cs="Cordia New"/>
      <w:szCs w:val="28"/>
    </w:rPr>
  </w:style>
  <w:style w:type="character" w:customStyle="1" w:styleId="FooterChar">
    <w:name w:val="Footer Char"/>
    <w:basedOn w:val="DefaultParagraphFont"/>
    <w:link w:val="Footer"/>
    <w:uiPriority w:val="99"/>
    <w:rsid w:val="00A82FBA"/>
    <w:rPr>
      <w:rFonts w:cs="Cordia New"/>
      <w:szCs w:val="28"/>
    </w:rPr>
  </w:style>
  <w:style w:type="character" w:styleId="PageNumber">
    <w:name w:val="page number"/>
    <w:basedOn w:val="DefaultParagraphFont"/>
    <w:uiPriority w:val="99"/>
    <w:semiHidden/>
    <w:unhideWhenUsed/>
    <w:rsid w:val="00A82FBA"/>
  </w:style>
  <w:style w:type="paragraph" w:styleId="NormalWeb">
    <w:name w:val="Normal (Web)"/>
    <w:basedOn w:val="Normal"/>
    <w:uiPriority w:val="99"/>
    <w:unhideWhenUsed/>
    <w:rsid w:val="00931A50"/>
    <w:pPr>
      <w:widowControl/>
      <w:spacing w:before="100" w:beforeAutospacing="1" w:after="100" w:afterAutospacing="1"/>
    </w:pPr>
    <w:rPr>
      <w:rFonts w:ascii="Times New Roman" w:eastAsia="Times New Roman" w:hAnsi="Times New Roman" w:cs="Times New Roman"/>
      <w:sz w:val="24"/>
      <w:szCs w:val="24"/>
    </w:rPr>
  </w:style>
  <w:style w:type="character" w:styleId="CommentReference">
    <w:name w:val="annotation reference"/>
    <w:basedOn w:val="DefaultParagraphFont"/>
    <w:uiPriority w:val="99"/>
    <w:semiHidden/>
    <w:unhideWhenUsed/>
    <w:rsid w:val="00931A50"/>
    <w:rPr>
      <w:sz w:val="16"/>
      <w:szCs w:val="16"/>
    </w:rPr>
  </w:style>
  <w:style w:type="paragraph" w:styleId="CommentText">
    <w:name w:val="annotation text"/>
    <w:basedOn w:val="Normal"/>
    <w:link w:val="CommentTextChar"/>
    <w:uiPriority w:val="99"/>
    <w:unhideWhenUsed/>
    <w:rsid w:val="00931A50"/>
    <w:rPr>
      <w:rFonts w:cs="Cordia New"/>
      <w:sz w:val="20"/>
      <w:szCs w:val="25"/>
    </w:rPr>
  </w:style>
  <w:style w:type="character" w:customStyle="1" w:styleId="CommentTextChar">
    <w:name w:val="Comment Text Char"/>
    <w:basedOn w:val="DefaultParagraphFont"/>
    <w:link w:val="CommentText"/>
    <w:uiPriority w:val="99"/>
    <w:rsid w:val="00931A50"/>
    <w:rPr>
      <w:rFonts w:cs="Cordia New"/>
      <w:sz w:val="20"/>
      <w:szCs w:val="25"/>
    </w:rPr>
  </w:style>
  <w:style w:type="character" w:customStyle="1" w:styleId="Heading7Char">
    <w:name w:val="Heading 7 Char"/>
    <w:basedOn w:val="DefaultParagraphFont"/>
    <w:link w:val="Heading7"/>
    <w:uiPriority w:val="9"/>
    <w:semiHidden/>
    <w:rsid w:val="00BA713F"/>
    <w:rPr>
      <w:rFonts w:asciiTheme="minorHAnsi" w:eastAsiaTheme="majorEastAsia" w:hAnsiTheme="minorHAnsi" w:cstheme="majorBidi"/>
      <w:color w:val="595959" w:themeColor="text1" w:themeTint="A6"/>
      <w:kern w:val="2"/>
      <w:szCs w:val="28"/>
      <w:lang w:val="en-US"/>
      <w14:ligatures w14:val="standardContextual"/>
    </w:rPr>
  </w:style>
  <w:style w:type="character" w:customStyle="1" w:styleId="Heading8Char">
    <w:name w:val="Heading 8 Char"/>
    <w:basedOn w:val="DefaultParagraphFont"/>
    <w:link w:val="Heading8"/>
    <w:uiPriority w:val="9"/>
    <w:semiHidden/>
    <w:rsid w:val="00BA713F"/>
    <w:rPr>
      <w:rFonts w:asciiTheme="minorHAnsi" w:eastAsiaTheme="majorEastAsia" w:hAnsiTheme="minorHAnsi" w:cstheme="majorBidi"/>
      <w:i/>
      <w:iCs/>
      <w:color w:val="272727" w:themeColor="text1" w:themeTint="D8"/>
      <w:kern w:val="2"/>
      <w:szCs w:val="28"/>
      <w:lang w:val="en-US"/>
      <w14:ligatures w14:val="standardContextual"/>
    </w:rPr>
  </w:style>
  <w:style w:type="character" w:customStyle="1" w:styleId="Heading9Char">
    <w:name w:val="Heading 9 Char"/>
    <w:basedOn w:val="DefaultParagraphFont"/>
    <w:link w:val="Heading9"/>
    <w:uiPriority w:val="9"/>
    <w:semiHidden/>
    <w:rsid w:val="00BA713F"/>
    <w:rPr>
      <w:rFonts w:asciiTheme="minorHAnsi" w:eastAsiaTheme="majorEastAsia" w:hAnsiTheme="minorHAnsi" w:cstheme="majorBidi"/>
      <w:color w:val="272727" w:themeColor="text1" w:themeTint="D8"/>
      <w:kern w:val="2"/>
      <w:szCs w:val="28"/>
      <w:lang w:val="en-US"/>
      <w14:ligatures w14:val="standardContextual"/>
    </w:rPr>
  </w:style>
  <w:style w:type="character" w:customStyle="1" w:styleId="Heading2Char">
    <w:name w:val="Heading 2 Char"/>
    <w:basedOn w:val="DefaultParagraphFont"/>
    <w:link w:val="Heading2"/>
    <w:uiPriority w:val="9"/>
    <w:rsid w:val="00BA713F"/>
    <w:rPr>
      <w:b/>
      <w:bCs/>
      <w:sz w:val="36"/>
      <w:szCs w:val="36"/>
    </w:rPr>
  </w:style>
  <w:style w:type="character" w:customStyle="1" w:styleId="Heading5Char">
    <w:name w:val="Heading 5 Char"/>
    <w:basedOn w:val="DefaultParagraphFont"/>
    <w:link w:val="Heading5"/>
    <w:uiPriority w:val="9"/>
    <w:rsid w:val="00BA713F"/>
    <w:rPr>
      <w:b/>
      <w:bCs/>
      <w:sz w:val="18"/>
      <w:szCs w:val="18"/>
    </w:rPr>
  </w:style>
  <w:style w:type="character" w:customStyle="1" w:styleId="Heading6Char">
    <w:name w:val="Heading 6 Char"/>
    <w:basedOn w:val="DefaultParagraphFont"/>
    <w:link w:val="Heading6"/>
    <w:uiPriority w:val="9"/>
    <w:semiHidden/>
    <w:rsid w:val="00BA713F"/>
    <w:rPr>
      <w:b/>
      <w:bCs/>
      <w:sz w:val="16"/>
      <w:szCs w:val="16"/>
    </w:rPr>
  </w:style>
  <w:style w:type="character" w:customStyle="1" w:styleId="TitleChar">
    <w:name w:val="Title Char"/>
    <w:basedOn w:val="DefaultParagraphFont"/>
    <w:link w:val="Title"/>
    <w:uiPriority w:val="10"/>
    <w:rsid w:val="00BA713F"/>
    <w:rPr>
      <w:b/>
      <w:bCs/>
      <w:sz w:val="72"/>
      <w:szCs w:val="72"/>
    </w:rPr>
  </w:style>
  <w:style w:type="character" w:customStyle="1" w:styleId="SubtitleChar">
    <w:name w:val="Subtitle Char"/>
    <w:basedOn w:val="DefaultParagraphFont"/>
    <w:link w:val="Subtitle"/>
    <w:uiPriority w:val="11"/>
    <w:rsid w:val="00BA713F"/>
    <w:rPr>
      <w:rFonts w:ascii="Georgia" w:eastAsia="Georgia" w:hAnsi="Georgia" w:cs="Georgia"/>
      <w:i/>
      <w:iCs/>
      <w:color w:val="666666"/>
      <w:sz w:val="48"/>
      <w:szCs w:val="48"/>
    </w:rPr>
  </w:style>
  <w:style w:type="paragraph" w:styleId="Quote">
    <w:name w:val="Quote"/>
    <w:basedOn w:val="Normal"/>
    <w:next w:val="Normal"/>
    <w:link w:val="QuoteChar"/>
    <w:uiPriority w:val="29"/>
    <w:qFormat/>
    <w:rsid w:val="00BA713F"/>
    <w:pPr>
      <w:widowControl/>
      <w:spacing w:before="160" w:after="160" w:line="259" w:lineRule="auto"/>
      <w:jc w:val="center"/>
    </w:pPr>
    <w:rPr>
      <w:rFonts w:asciiTheme="minorHAnsi" w:eastAsiaTheme="minorHAnsi" w:hAnsiTheme="minorHAnsi" w:cstheme="minorBidi"/>
      <w:i/>
      <w:iCs/>
      <w:color w:val="404040" w:themeColor="text1" w:themeTint="BF"/>
      <w:kern w:val="2"/>
      <w:szCs w:val="28"/>
      <w:lang w:val="en-US"/>
      <w14:ligatures w14:val="standardContextual"/>
    </w:rPr>
  </w:style>
  <w:style w:type="character" w:customStyle="1" w:styleId="QuoteChar">
    <w:name w:val="Quote Char"/>
    <w:basedOn w:val="DefaultParagraphFont"/>
    <w:link w:val="Quote"/>
    <w:uiPriority w:val="29"/>
    <w:rsid w:val="00BA713F"/>
    <w:rPr>
      <w:rFonts w:asciiTheme="minorHAnsi" w:eastAsiaTheme="minorHAnsi" w:hAnsiTheme="minorHAnsi" w:cstheme="minorBidi"/>
      <w:i/>
      <w:iCs/>
      <w:color w:val="404040" w:themeColor="text1" w:themeTint="BF"/>
      <w:kern w:val="2"/>
      <w:szCs w:val="28"/>
      <w:lang w:val="en-US"/>
      <w14:ligatures w14:val="standardContextual"/>
    </w:rPr>
  </w:style>
  <w:style w:type="character" w:styleId="IntenseEmphasis">
    <w:name w:val="Intense Emphasis"/>
    <w:basedOn w:val="DefaultParagraphFont"/>
    <w:uiPriority w:val="21"/>
    <w:qFormat/>
    <w:rsid w:val="00BA713F"/>
    <w:rPr>
      <w:i/>
      <w:iCs/>
      <w:color w:val="365F91" w:themeColor="accent1" w:themeShade="BF"/>
    </w:rPr>
  </w:style>
  <w:style w:type="paragraph" w:styleId="IntenseQuote">
    <w:name w:val="Intense Quote"/>
    <w:basedOn w:val="Normal"/>
    <w:next w:val="Normal"/>
    <w:link w:val="IntenseQuoteChar"/>
    <w:uiPriority w:val="30"/>
    <w:qFormat/>
    <w:rsid w:val="00BA713F"/>
    <w:pPr>
      <w:widowControl/>
      <w:pBdr>
        <w:top w:val="single" w:sz="4" w:space="10" w:color="365F91" w:themeColor="accent1" w:themeShade="BF"/>
        <w:bottom w:val="single" w:sz="4" w:space="10" w:color="365F91" w:themeColor="accent1" w:themeShade="BF"/>
      </w:pBdr>
      <w:spacing w:before="360" w:after="360" w:line="259" w:lineRule="auto"/>
      <w:ind w:left="864" w:right="864"/>
      <w:jc w:val="center"/>
    </w:pPr>
    <w:rPr>
      <w:rFonts w:asciiTheme="minorHAnsi" w:eastAsiaTheme="minorHAnsi" w:hAnsiTheme="minorHAnsi" w:cstheme="minorBidi"/>
      <w:i/>
      <w:iCs/>
      <w:color w:val="365F91" w:themeColor="accent1" w:themeShade="BF"/>
      <w:kern w:val="2"/>
      <w:szCs w:val="28"/>
      <w:lang w:val="en-US"/>
      <w14:ligatures w14:val="standardContextual"/>
    </w:rPr>
  </w:style>
  <w:style w:type="character" w:customStyle="1" w:styleId="IntenseQuoteChar">
    <w:name w:val="Intense Quote Char"/>
    <w:basedOn w:val="DefaultParagraphFont"/>
    <w:link w:val="IntenseQuote"/>
    <w:uiPriority w:val="30"/>
    <w:rsid w:val="00BA713F"/>
    <w:rPr>
      <w:rFonts w:asciiTheme="minorHAnsi" w:eastAsiaTheme="minorHAnsi" w:hAnsiTheme="minorHAnsi" w:cstheme="minorBidi"/>
      <w:i/>
      <w:iCs/>
      <w:color w:val="365F91" w:themeColor="accent1" w:themeShade="BF"/>
      <w:kern w:val="2"/>
      <w:szCs w:val="28"/>
      <w:lang w:val="en-US"/>
      <w14:ligatures w14:val="standardContextual"/>
    </w:rPr>
  </w:style>
  <w:style w:type="character" w:styleId="IntenseReference">
    <w:name w:val="Intense Reference"/>
    <w:basedOn w:val="DefaultParagraphFont"/>
    <w:uiPriority w:val="32"/>
    <w:qFormat/>
    <w:rsid w:val="00BA713F"/>
    <w:rPr>
      <w:b/>
      <w:bCs/>
      <w:smallCaps/>
      <w:color w:val="365F91" w:themeColor="accent1" w:themeShade="BF"/>
      <w:spacing w:val="5"/>
    </w:rPr>
  </w:style>
  <w:style w:type="character" w:styleId="Hyperlink">
    <w:name w:val="Hyperlink"/>
    <w:basedOn w:val="DefaultParagraphFont"/>
    <w:uiPriority w:val="99"/>
    <w:unhideWhenUsed/>
    <w:rsid w:val="00BA713F"/>
    <w:rPr>
      <w:color w:val="0000FF" w:themeColor="hyperlink"/>
      <w:u w:val="single"/>
    </w:rPr>
  </w:style>
  <w:style w:type="character" w:styleId="UnresolvedMention">
    <w:name w:val="Unresolved Mention"/>
    <w:basedOn w:val="DefaultParagraphFont"/>
    <w:uiPriority w:val="99"/>
    <w:semiHidden/>
    <w:unhideWhenUsed/>
    <w:rsid w:val="00BA713F"/>
    <w:rPr>
      <w:color w:val="605E5C"/>
      <w:shd w:val="clear" w:color="auto" w:fill="E1DFDD"/>
    </w:rPr>
  </w:style>
  <w:style w:type="character" w:styleId="FollowedHyperlink">
    <w:name w:val="FollowedHyperlink"/>
    <w:basedOn w:val="DefaultParagraphFont"/>
    <w:uiPriority w:val="99"/>
    <w:semiHidden/>
    <w:unhideWhenUsed/>
    <w:rsid w:val="00BA713F"/>
    <w:rPr>
      <w:color w:val="800080" w:themeColor="followedHyperlink"/>
      <w:u w:val="single"/>
    </w:rPr>
  </w:style>
  <w:style w:type="paragraph" w:styleId="Header">
    <w:name w:val="header"/>
    <w:basedOn w:val="Normal"/>
    <w:link w:val="HeaderChar"/>
    <w:uiPriority w:val="99"/>
    <w:unhideWhenUsed/>
    <w:rsid w:val="00BA713F"/>
    <w:pPr>
      <w:widowControl/>
      <w:tabs>
        <w:tab w:val="center" w:pos="4680"/>
        <w:tab w:val="right" w:pos="9360"/>
      </w:tabs>
    </w:pPr>
    <w:rPr>
      <w:rFonts w:asciiTheme="minorHAnsi" w:eastAsiaTheme="minorHAnsi" w:hAnsiTheme="minorHAnsi" w:cstheme="minorBidi"/>
      <w:kern w:val="2"/>
      <w:szCs w:val="28"/>
      <w:lang w:val="en-US"/>
      <w14:ligatures w14:val="standardContextual"/>
    </w:rPr>
  </w:style>
  <w:style w:type="character" w:customStyle="1" w:styleId="HeaderChar">
    <w:name w:val="Header Char"/>
    <w:basedOn w:val="DefaultParagraphFont"/>
    <w:link w:val="Header"/>
    <w:uiPriority w:val="99"/>
    <w:rsid w:val="00BA713F"/>
    <w:rPr>
      <w:rFonts w:asciiTheme="minorHAnsi" w:eastAsiaTheme="minorHAnsi" w:hAnsiTheme="minorHAnsi" w:cstheme="minorBidi"/>
      <w:kern w:val="2"/>
      <w:szCs w:val="28"/>
      <w:lang w:val="en-US"/>
      <w14:ligatures w14:val="standardContextual"/>
    </w:rPr>
  </w:style>
  <w:style w:type="character" w:styleId="Strong">
    <w:name w:val="Strong"/>
    <w:basedOn w:val="DefaultParagraphFont"/>
    <w:uiPriority w:val="22"/>
    <w:qFormat/>
    <w:rsid w:val="00BA713F"/>
    <w:rPr>
      <w:b/>
      <w:bCs/>
    </w:rPr>
  </w:style>
  <w:style w:type="paragraph" w:styleId="CommentSubject">
    <w:name w:val="annotation subject"/>
    <w:basedOn w:val="CommentText"/>
    <w:next w:val="CommentText"/>
    <w:link w:val="CommentSubjectChar"/>
    <w:uiPriority w:val="99"/>
    <w:semiHidden/>
    <w:unhideWhenUsed/>
    <w:rsid w:val="00BA713F"/>
    <w:pPr>
      <w:widowControl/>
      <w:spacing w:after="160"/>
    </w:pPr>
    <w:rPr>
      <w:rFonts w:asciiTheme="minorHAnsi" w:eastAsiaTheme="minorHAnsi" w:hAnsiTheme="minorHAnsi" w:cstheme="minorBidi"/>
      <w:b/>
      <w:bCs/>
      <w:kern w:val="2"/>
      <w:lang w:val="en-US"/>
      <w14:ligatures w14:val="standardContextual"/>
    </w:rPr>
  </w:style>
  <w:style w:type="character" w:customStyle="1" w:styleId="CommentSubjectChar">
    <w:name w:val="Comment Subject Char"/>
    <w:basedOn w:val="CommentTextChar"/>
    <w:link w:val="CommentSubject"/>
    <w:uiPriority w:val="99"/>
    <w:semiHidden/>
    <w:rsid w:val="00BA713F"/>
    <w:rPr>
      <w:rFonts w:asciiTheme="minorHAnsi" w:eastAsiaTheme="minorHAnsi" w:hAnsiTheme="minorHAnsi" w:cstheme="minorBidi"/>
      <w:b/>
      <w:bCs/>
      <w:kern w:val="2"/>
      <w:sz w:val="20"/>
      <w:szCs w:val="25"/>
      <w:lang w:val="en-US"/>
      <w14:ligatures w14:val="standardContextual"/>
    </w:rPr>
  </w:style>
  <w:style w:type="paragraph" w:customStyle="1" w:styleId="whitespace-normal">
    <w:name w:val="whitespace-normal"/>
    <w:basedOn w:val="Normal"/>
    <w:rsid w:val="007D1694"/>
    <w:pPr>
      <w:widowControl/>
      <w:spacing w:before="100" w:beforeAutospacing="1" w:after="100" w:afterAutospacing="1"/>
    </w:pPr>
    <w:rPr>
      <w:rFonts w:ascii="Times New Roman" w:eastAsia="Times New Roman" w:hAnsi="Times New Roman" w:cs="Times New Roman"/>
      <w:sz w:val="24"/>
      <w:szCs w:val="24"/>
      <w:lang w:val="en-US"/>
    </w:rPr>
  </w:style>
  <w:style w:type="paragraph" w:customStyle="1" w:styleId="HeaderSA">
    <w:name w:val="Header_SA"/>
    <w:basedOn w:val="Normal"/>
    <w:link w:val="HeaderSA0"/>
    <w:rsid w:val="00BC399A"/>
    <w:pPr>
      <w:widowControl/>
      <w:spacing w:after="40"/>
    </w:pPr>
    <w:rPr>
      <w:rFonts w:ascii="Times New Roman" w:eastAsia="Times New Roman" w:hAnsi="Times New Roman" w:cs="Angsana New"/>
      <w:b/>
      <w:sz w:val="24"/>
      <w:szCs w:val="24"/>
      <w:lang w:val="en-US"/>
    </w:rPr>
  </w:style>
  <w:style w:type="character" w:customStyle="1" w:styleId="HeaderSA0">
    <w:name w:val="Header_SA อักขระ"/>
    <w:basedOn w:val="DefaultParagraphFont"/>
    <w:link w:val="HeaderSA"/>
    <w:rsid w:val="00BC399A"/>
    <w:rPr>
      <w:rFonts w:ascii="Times New Roman" w:eastAsia="Times New Roman" w:hAnsi="Times New Roman" w:cs="Angsana New"/>
      <w:b/>
      <w:sz w:val="24"/>
      <w:szCs w:val="24"/>
      <w:lang w:val="en-US"/>
    </w:rPr>
  </w:style>
  <w:style w:type="character" w:styleId="Emphasis">
    <w:name w:val="Emphasis"/>
    <w:basedOn w:val="DefaultParagraphFont"/>
    <w:uiPriority w:val="20"/>
    <w:qFormat/>
    <w:rsid w:val="00BC399A"/>
    <w:rPr>
      <w:i/>
      <w:iCs/>
    </w:rPr>
  </w:style>
  <w:style w:type="character" w:styleId="PlaceholderText">
    <w:name w:val="Placeholder Text"/>
    <w:basedOn w:val="DefaultParagraphFont"/>
    <w:uiPriority w:val="99"/>
    <w:semiHidden/>
    <w:rsid w:val="00495C95"/>
    <w:rPr>
      <w:color w:val="666666"/>
    </w:rPr>
  </w:style>
  <w:style w:type="character" w:customStyle="1" w:styleId="y2iqfc">
    <w:name w:val="y2iqfc"/>
    <w:basedOn w:val="DefaultParagraphFont"/>
    <w:rsid w:val="00037A8B"/>
  </w:style>
  <w:style w:type="paragraph" w:styleId="Caption">
    <w:name w:val="caption"/>
    <w:basedOn w:val="Normal"/>
    <w:next w:val="Normal"/>
    <w:qFormat/>
    <w:rsid w:val="00037A8B"/>
    <w:pPr>
      <w:widowControl/>
    </w:pPr>
    <w:rPr>
      <w:rFonts w:ascii="Cordia New" w:eastAsiaTheme="minorEastAsia" w:hAnsi="Cordia New" w:cs="Cordia New"/>
      <w:sz w:val="28"/>
      <w:szCs w:val="24"/>
      <w:lang w:val="en-US"/>
    </w:rPr>
  </w:style>
  <w:style w:type="character" w:customStyle="1" w:styleId="citation-820">
    <w:name w:val="citation-820"/>
    <w:basedOn w:val="DefaultParagraphFont"/>
    <w:rsid w:val="00B471BA"/>
  </w:style>
  <w:style w:type="table" w:styleId="GridTable4">
    <w:name w:val="Grid Table 4"/>
    <w:basedOn w:val="TableNormal"/>
    <w:uiPriority w:val="49"/>
    <w:rsid w:val="000D11DA"/>
    <w:pPr>
      <w:widowControl/>
    </w:pPr>
    <w:rPr>
      <w:rFonts w:asciiTheme="minorHAnsi" w:eastAsiaTheme="minorHAnsi" w:hAnsiTheme="minorHAnsi" w:cstheme="minorBidi"/>
      <w:sz w:val="20"/>
      <w:szCs w:val="20"/>
      <w:lang w:val="en-US" w:bidi="ar-SA"/>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character" w:customStyle="1" w:styleId="rynqvb">
    <w:name w:val="rynqvb"/>
    <w:basedOn w:val="DefaultParagraphFont"/>
    <w:rsid w:val="000D11DA"/>
  </w:style>
  <w:style w:type="character" w:customStyle="1" w:styleId="jlqj4b">
    <w:name w:val="jlqj4b"/>
    <w:basedOn w:val="DefaultParagraphFont"/>
    <w:rsid w:val="000D11DA"/>
  </w:style>
  <w:style w:type="character" w:customStyle="1" w:styleId="ListParagraphChar">
    <w:name w:val="List Paragraph Char"/>
    <w:aliases w:val="00 List Bull Char,Table Heading Char,Figure Char,(ก) List Paragraph Char,รายการย่อหน้า 1 Char,Inhaltsverzeichnis Char,eq2 Char"/>
    <w:link w:val="ListParagraph"/>
    <w:uiPriority w:val="34"/>
    <w:rsid w:val="000D11DA"/>
    <w:rPr>
      <w:rFonts w:cs="Cordia New"/>
      <w:szCs w:val="28"/>
    </w:rPr>
  </w:style>
  <w:style w:type="character" w:styleId="FootnoteReference">
    <w:name w:val="footnote reference"/>
    <w:semiHidden/>
    <w:rsid w:val="000D11DA"/>
    <w:rPr>
      <w:sz w:val="32"/>
      <w:szCs w:val="32"/>
      <w:vertAlign w:val="superscript"/>
    </w:rPr>
  </w:style>
  <w:style w:type="paragraph" w:styleId="FootnoteText">
    <w:name w:val="footnote text"/>
    <w:basedOn w:val="Normal"/>
    <w:link w:val="FootnoteTextChar"/>
    <w:uiPriority w:val="99"/>
    <w:unhideWhenUsed/>
    <w:rsid w:val="000D11DA"/>
    <w:pPr>
      <w:widowControl/>
    </w:pPr>
    <w:rPr>
      <w:rFonts w:ascii="Times New Roman" w:eastAsiaTheme="majorEastAsia" w:hAnsi="Times New Roman" w:cs="Angsana New"/>
      <w:sz w:val="20"/>
      <w:szCs w:val="25"/>
      <w:lang w:val="en-US"/>
    </w:rPr>
  </w:style>
  <w:style w:type="character" w:customStyle="1" w:styleId="FootnoteTextChar">
    <w:name w:val="Footnote Text Char"/>
    <w:basedOn w:val="DefaultParagraphFont"/>
    <w:link w:val="FootnoteText"/>
    <w:uiPriority w:val="99"/>
    <w:rsid w:val="000D11DA"/>
    <w:rPr>
      <w:rFonts w:ascii="Times New Roman" w:eastAsiaTheme="majorEastAsia" w:hAnsi="Times New Roman" w:cs="Angsana New"/>
      <w:sz w:val="20"/>
      <w:szCs w:val="25"/>
      <w:lang w:val="en-US"/>
    </w:rPr>
  </w:style>
  <w:style w:type="paragraph" w:styleId="TOCHeading">
    <w:name w:val="TOC Heading"/>
    <w:basedOn w:val="Heading1"/>
    <w:next w:val="Normal"/>
    <w:uiPriority w:val="39"/>
    <w:unhideWhenUsed/>
    <w:qFormat/>
    <w:rsid w:val="00F64698"/>
    <w:pPr>
      <w:keepNext/>
      <w:keepLines/>
      <w:widowControl/>
      <w:pBdr>
        <w:top w:val="none" w:sz="0" w:space="0" w:color="auto"/>
        <w:left w:val="none" w:sz="0" w:space="0" w:color="auto"/>
        <w:bottom w:val="none" w:sz="0" w:space="0" w:color="auto"/>
        <w:right w:val="none" w:sz="0" w:space="0" w:color="auto"/>
        <w:between w:val="none" w:sz="0" w:space="0" w:color="auto"/>
      </w:pBdr>
      <w:spacing w:before="480" w:after="0" w:line="276" w:lineRule="auto"/>
      <w:outlineLvl w:val="9"/>
    </w:pPr>
    <w:rPr>
      <w:rFonts w:asciiTheme="majorHAnsi" w:eastAsiaTheme="majorEastAsia" w:hAnsiTheme="majorHAnsi" w:cstheme="majorBidi"/>
      <w:color w:val="365F91" w:themeColor="accent1" w:themeShade="BF"/>
      <w:sz w:val="28"/>
      <w:szCs w:val="28"/>
      <w:lang w:val="en-US" w:bidi="ar-SA"/>
    </w:rPr>
  </w:style>
  <w:style w:type="paragraph" w:styleId="TOC3">
    <w:name w:val="toc 3"/>
    <w:basedOn w:val="Normal"/>
    <w:next w:val="Normal"/>
    <w:autoRedefine/>
    <w:uiPriority w:val="39"/>
    <w:unhideWhenUsed/>
    <w:rsid w:val="00F64698"/>
    <w:pPr>
      <w:ind w:left="440"/>
    </w:pPr>
    <w:rPr>
      <w:rFonts w:asciiTheme="minorHAnsi" w:hAnsiTheme="minorHAnsi" w:cstheme="majorBidi"/>
      <w:i/>
      <w:iCs/>
      <w:sz w:val="20"/>
      <w:szCs w:val="23"/>
    </w:rPr>
  </w:style>
  <w:style w:type="paragraph" w:styleId="TOC1">
    <w:name w:val="toc 1"/>
    <w:basedOn w:val="Normal"/>
    <w:next w:val="Normal"/>
    <w:autoRedefine/>
    <w:uiPriority w:val="39"/>
    <w:unhideWhenUsed/>
    <w:rsid w:val="00F64698"/>
    <w:pPr>
      <w:spacing w:before="120" w:after="120"/>
    </w:pPr>
    <w:rPr>
      <w:rFonts w:asciiTheme="minorHAnsi" w:hAnsiTheme="minorHAnsi" w:cstheme="majorBidi"/>
      <w:b/>
      <w:bCs/>
      <w:caps/>
      <w:sz w:val="20"/>
      <w:szCs w:val="23"/>
    </w:rPr>
  </w:style>
  <w:style w:type="paragraph" w:styleId="TOC2">
    <w:name w:val="toc 2"/>
    <w:basedOn w:val="Normal"/>
    <w:next w:val="Normal"/>
    <w:autoRedefine/>
    <w:uiPriority w:val="39"/>
    <w:unhideWhenUsed/>
    <w:rsid w:val="00F64698"/>
    <w:pPr>
      <w:ind w:left="220"/>
    </w:pPr>
    <w:rPr>
      <w:rFonts w:asciiTheme="minorHAnsi" w:hAnsiTheme="minorHAnsi" w:cstheme="majorBidi"/>
      <w:smallCaps/>
      <w:sz w:val="20"/>
      <w:szCs w:val="23"/>
    </w:rPr>
  </w:style>
  <w:style w:type="paragraph" w:styleId="TOC4">
    <w:name w:val="toc 4"/>
    <w:basedOn w:val="Normal"/>
    <w:next w:val="Normal"/>
    <w:autoRedefine/>
    <w:uiPriority w:val="39"/>
    <w:unhideWhenUsed/>
    <w:rsid w:val="00F64698"/>
    <w:pPr>
      <w:ind w:left="660"/>
    </w:pPr>
    <w:rPr>
      <w:rFonts w:asciiTheme="minorHAnsi" w:hAnsiTheme="minorHAnsi" w:cstheme="majorBidi"/>
      <w:sz w:val="18"/>
      <w:szCs w:val="21"/>
    </w:rPr>
  </w:style>
  <w:style w:type="paragraph" w:styleId="TOC5">
    <w:name w:val="toc 5"/>
    <w:basedOn w:val="Normal"/>
    <w:next w:val="Normal"/>
    <w:autoRedefine/>
    <w:uiPriority w:val="39"/>
    <w:unhideWhenUsed/>
    <w:rsid w:val="00F64698"/>
    <w:pPr>
      <w:ind w:left="880"/>
    </w:pPr>
    <w:rPr>
      <w:rFonts w:asciiTheme="minorHAnsi" w:hAnsiTheme="minorHAnsi" w:cstheme="majorBidi"/>
      <w:sz w:val="18"/>
      <w:szCs w:val="21"/>
    </w:rPr>
  </w:style>
  <w:style w:type="paragraph" w:styleId="TOC6">
    <w:name w:val="toc 6"/>
    <w:basedOn w:val="Normal"/>
    <w:next w:val="Normal"/>
    <w:autoRedefine/>
    <w:uiPriority w:val="39"/>
    <w:unhideWhenUsed/>
    <w:rsid w:val="00F64698"/>
    <w:pPr>
      <w:ind w:left="1100"/>
    </w:pPr>
    <w:rPr>
      <w:rFonts w:asciiTheme="minorHAnsi" w:hAnsiTheme="minorHAnsi" w:cstheme="majorBidi"/>
      <w:sz w:val="18"/>
      <w:szCs w:val="21"/>
    </w:rPr>
  </w:style>
  <w:style w:type="paragraph" w:styleId="TOC7">
    <w:name w:val="toc 7"/>
    <w:basedOn w:val="Normal"/>
    <w:next w:val="Normal"/>
    <w:autoRedefine/>
    <w:uiPriority w:val="39"/>
    <w:unhideWhenUsed/>
    <w:rsid w:val="00F64698"/>
    <w:pPr>
      <w:ind w:left="1320"/>
    </w:pPr>
    <w:rPr>
      <w:rFonts w:asciiTheme="minorHAnsi" w:hAnsiTheme="minorHAnsi" w:cstheme="majorBidi"/>
      <w:sz w:val="18"/>
      <w:szCs w:val="21"/>
    </w:rPr>
  </w:style>
  <w:style w:type="paragraph" w:styleId="TOC8">
    <w:name w:val="toc 8"/>
    <w:basedOn w:val="Normal"/>
    <w:next w:val="Normal"/>
    <w:autoRedefine/>
    <w:uiPriority w:val="39"/>
    <w:unhideWhenUsed/>
    <w:rsid w:val="00F64698"/>
    <w:pPr>
      <w:ind w:left="1540"/>
    </w:pPr>
    <w:rPr>
      <w:rFonts w:asciiTheme="minorHAnsi" w:hAnsiTheme="minorHAnsi" w:cstheme="majorBidi"/>
      <w:sz w:val="18"/>
      <w:szCs w:val="21"/>
    </w:rPr>
  </w:style>
  <w:style w:type="paragraph" w:styleId="TOC9">
    <w:name w:val="toc 9"/>
    <w:basedOn w:val="Normal"/>
    <w:next w:val="Normal"/>
    <w:autoRedefine/>
    <w:uiPriority w:val="39"/>
    <w:unhideWhenUsed/>
    <w:rsid w:val="00F64698"/>
    <w:pPr>
      <w:ind w:left="1760"/>
    </w:pPr>
    <w:rPr>
      <w:rFonts w:asciiTheme="minorHAnsi" w:hAnsiTheme="minorHAnsi" w:cstheme="majorBidi"/>
      <w:sz w:val="18"/>
      <w:szCs w:val="21"/>
    </w:rPr>
  </w:style>
  <w:style w:type="table" w:styleId="TableGridLight">
    <w:name w:val="Grid Table Light"/>
    <w:basedOn w:val="TableNormal"/>
    <w:uiPriority w:val="40"/>
    <w:rsid w:val="00DA144D"/>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styleId="Revision">
    <w:name w:val="Revision"/>
    <w:hidden/>
    <w:uiPriority w:val="99"/>
    <w:semiHidden/>
    <w:rsid w:val="007123E7"/>
    <w:pPr>
      <w:widowControl/>
    </w:pPr>
    <w:rPr>
      <w:rFonts w:asciiTheme="minorHAnsi" w:eastAsiaTheme="minorHAnsi" w:hAnsiTheme="minorHAnsi" w:cstheme="minorBidi"/>
      <w:kern w:val="2"/>
      <w:szCs w:val="28"/>
      <w:lang w:val="en-US"/>
      <w14:ligatures w14:val="standardContextu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26" Type="http://schemas.openxmlformats.org/officeDocument/2006/relationships/image" Target="media/image11.png"/><Relationship Id="rId21" Type="http://schemas.openxmlformats.org/officeDocument/2006/relationships/customXml" Target="ink/ink1.xml"/><Relationship Id="rId42" Type="http://schemas.openxmlformats.org/officeDocument/2006/relationships/image" Target="media/image27.png"/><Relationship Id="rId47" Type="http://schemas.openxmlformats.org/officeDocument/2006/relationships/image" Target="media/image32.png"/><Relationship Id="rId63" Type="http://schemas.openxmlformats.org/officeDocument/2006/relationships/image" Target="media/image48.png"/><Relationship Id="rId68" Type="http://schemas.openxmlformats.org/officeDocument/2006/relationships/image" Target="media/image53.png"/><Relationship Id="rId84" Type="http://schemas.openxmlformats.org/officeDocument/2006/relationships/chart" Target="charts/chart4.xml"/><Relationship Id="rId89" Type="http://schemas.openxmlformats.org/officeDocument/2006/relationships/chart" Target="charts/chart8.xml"/><Relationship Id="rId16" Type="http://schemas.openxmlformats.org/officeDocument/2006/relationships/hyperlink" Target="mailto:thamasakyeemin@hotmail.com" TargetMode="External"/><Relationship Id="rId11" Type="http://schemas.openxmlformats.org/officeDocument/2006/relationships/image" Target="media/image4.png"/><Relationship Id="rId32" Type="http://schemas.openxmlformats.org/officeDocument/2006/relationships/image" Target="media/image17.png"/><Relationship Id="rId37" Type="http://schemas.openxmlformats.org/officeDocument/2006/relationships/image" Target="media/image22.png"/><Relationship Id="rId53" Type="http://schemas.openxmlformats.org/officeDocument/2006/relationships/image" Target="media/image38.png"/><Relationship Id="rId58" Type="http://schemas.openxmlformats.org/officeDocument/2006/relationships/image" Target="media/image43.png"/><Relationship Id="rId74" Type="http://schemas.openxmlformats.org/officeDocument/2006/relationships/chart" Target="charts/chart1.xml"/><Relationship Id="rId79" Type="http://schemas.openxmlformats.org/officeDocument/2006/relationships/chart" Target="charts/chart2.xml"/><Relationship Id="rId5" Type="http://schemas.openxmlformats.org/officeDocument/2006/relationships/webSettings" Target="webSettings.xml"/><Relationship Id="rId90" Type="http://schemas.openxmlformats.org/officeDocument/2006/relationships/image" Target="media/image63.png"/><Relationship Id="rId95" Type="http://schemas.openxmlformats.org/officeDocument/2006/relationships/hyperlink" Target="https://www.nesdc.go.th/main.php?filename=social" TargetMode="External"/><Relationship Id="rId22" Type="http://schemas.openxmlformats.org/officeDocument/2006/relationships/image" Target="media/image7.png"/><Relationship Id="rId27" Type="http://schemas.openxmlformats.org/officeDocument/2006/relationships/image" Target="media/image12.png"/><Relationship Id="rId43" Type="http://schemas.openxmlformats.org/officeDocument/2006/relationships/image" Target="media/image28.png"/><Relationship Id="rId48" Type="http://schemas.openxmlformats.org/officeDocument/2006/relationships/image" Target="media/image33.png"/><Relationship Id="rId64" Type="http://schemas.openxmlformats.org/officeDocument/2006/relationships/image" Target="media/image49.png"/><Relationship Id="rId69" Type="http://schemas.openxmlformats.org/officeDocument/2006/relationships/image" Target="media/image54.png"/><Relationship Id="rId80" Type="http://schemas.openxmlformats.org/officeDocument/2006/relationships/image" Target="media/image60.png"/><Relationship Id="rId85" Type="http://schemas.openxmlformats.org/officeDocument/2006/relationships/chart" Target="charts/chart5.xml"/><Relationship Id="rId3" Type="http://schemas.openxmlformats.org/officeDocument/2006/relationships/styles" Target="styles.xml"/><Relationship Id="rId12" Type="http://schemas.openxmlformats.org/officeDocument/2006/relationships/image" Target="media/image5.png"/><Relationship Id="rId17" Type="http://schemas.openxmlformats.org/officeDocument/2006/relationships/hyperlink" Target="mailto:pavarotn@gmail.com" TargetMode="External"/><Relationship Id="rId25" Type="http://schemas.openxmlformats.org/officeDocument/2006/relationships/image" Target="media/image10.png"/><Relationship Id="rId33" Type="http://schemas.openxmlformats.org/officeDocument/2006/relationships/image" Target="media/image18.png"/><Relationship Id="rId38" Type="http://schemas.openxmlformats.org/officeDocument/2006/relationships/image" Target="media/image23.png"/><Relationship Id="rId46" Type="http://schemas.openxmlformats.org/officeDocument/2006/relationships/image" Target="media/image31.png"/><Relationship Id="rId59" Type="http://schemas.openxmlformats.org/officeDocument/2006/relationships/image" Target="media/image44.png"/><Relationship Id="rId67" Type="http://schemas.openxmlformats.org/officeDocument/2006/relationships/image" Target="media/image52.png"/><Relationship Id="rId20" Type="http://schemas.openxmlformats.org/officeDocument/2006/relationships/footer" Target="footer2.xml"/><Relationship Id="rId41" Type="http://schemas.openxmlformats.org/officeDocument/2006/relationships/image" Target="media/image26.png"/><Relationship Id="rId54" Type="http://schemas.openxmlformats.org/officeDocument/2006/relationships/image" Target="media/image39.png"/><Relationship Id="rId62" Type="http://schemas.openxmlformats.org/officeDocument/2006/relationships/image" Target="media/image47.png"/><Relationship Id="rId70" Type="http://schemas.openxmlformats.org/officeDocument/2006/relationships/image" Target="media/image55.png"/><Relationship Id="rId75" Type="http://schemas.openxmlformats.org/officeDocument/2006/relationships/image" Target="media/image56.png"/><Relationship Id="rId83" Type="http://schemas.openxmlformats.org/officeDocument/2006/relationships/image" Target="media/image62.jpeg"/><Relationship Id="rId88" Type="http://schemas.openxmlformats.org/officeDocument/2006/relationships/chart" Target="charts/chart7.xml"/><Relationship Id="rId91" Type="http://schemas.openxmlformats.org/officeDocument/2006/relationships/image" Target="media/image64.png"/><Relationship Id="rId96" Type="http://schemas.openxmlformats.org/officeDocument/2006/relationships/image" Target="media/image65.png"/><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mailto:aristrotle@gmail.com" TargetMode="External"/><Relationship Id="rId23" Type="http://schemas.openxmlformats.org/officeDocument/2006/relationships/image" Target="media/image8.png"/><Relationship Id="rId28" Type="http://schemas.openxmlformats.org/officeDocument/2006/relationships/image" Target="media/image13.png"/><Relationship Id="rId36" Type="http://schemas.openxmlformats.org/officeDocument/2006/relationships/image" Target="media/image21.png"/><Relationship Id="rId49" Type="http://schemas.openxmlformats.org/officeDocument/2006/relationships/image" Target="media/image34.png"/><Relationship Id="rId57" Type="http://schemas.openxmlformats.org/officeDocument/2006/relationships/image" Target="media/image42.png"/><Relationship Id="rId10" Type="http://schemas.openxmlformats.org/officeDocument/2006/relationships/image" Target="media/image3.png"/><Relationship Id="rId31" Type="http://schemas.openxmlformats.org/officeDocument/2006/relationships/image" Target="media/image16.png"/><Relationship Id="rId44" Type="http://schemas.openxmlformats.org/officeDocument/2006/relationships/image" Target="media/image29.png"/><Relationship Id="rId52" Type="http://schemas.openxmlformats.org/officeDocument/2006/relationships/image" Target="media/image37.png"/><Relationship Id="rId60" Type="http://schemas.openxmlformats.org/officeDocument/2006/relationships/image" Target="media/image45.png"/><Relationship Id="rId65" Type="http://schemas.openxmlformats.org/officeDocument/2006/relationships/image" Target="media/image50.png"/><Relationship Id="rId73" Type="http://schemas.openxmlformats.org/officeDocument/2006/relationships/footer" Target="footer3.xml"/><Relationship Id="rId78" Type="http://schemas.openxmlformats.org/officeDocument/2006/relationships/image" Target="media/image59.png"/><Relationship Id="rId81" Type="http://schemas.openxmlformats.org/officeDocument/2006/relationships/image" Target="media/image61.png"/><Relationship Id="rId86" Type="http://schemas.openxmlformats.org/officeDocument/2006/relationships/footer" Target="footer4.xml"/><Relationship Id="rId94" Type="http://schemas.openxmlformats.org/officeDocument/2006/relationships/hyperlink" Target="https://stat.bora.dopa.go.th/stat/statnew/statMenu/newStat/home.php" TargetMode="External"/><Relationship Id="rId9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2.png"/><Relationship Id="rId13" Type="http://schemas.openxmlformats.org/officeDocument/2006/relationships/image" Target="media/image6.png"/><Relationship Id="rId18" Type="http://schemas.openxmlformats.org/officeDocument/2006/relationships/hyperlink" Target="mailto:suvaluck.nat@mahidol.ac.th" TargetMode="External"/><Relationship Id="rId39" Type="http://schemas.openxmlformats.org/officeDocument/2006/relationships/image" Target="media/image24.png"/><Relationship Id="rId34" Type="http://schemas.openxmlformats.org/officeDocument/2006/relationships/image" Target="media/image19.png"/><Relationship Id="rId50" Type="http://schemas.openxmlformats.org/officeDocument/2006/relationships/image" Target="media/image35.png"/><Relationship Id="rId55" Type="http://schemas.openxmlformats.org/officeDocument/2006/relationships/image" Target="media/image40.png"/><Relationship Id="rId76" Type="http://schemas.openxmlformats.org/officeDocument/2006/relationships/image" Target="media/image57.png"/><Relationship Id="rId97" Type="http://schemas.openxmlformats.org/officeDocument/2006/relationships/image" Target="media/image66.png"/><Relationship Id="rId7" Type="http://schemas.openxmlformats.org/officeDocument/2006/relationships/endnotes" Target="endnotes.xml"/><Relationship Id="rId71" Type="http://schemas.openxmlformats.org/officeDocument/2006/relationships/hyperlink" Target="https://www.nesdc.go.th/main.php?filename=social" TargetMode="External"/><Relationship Id="rId92" Type="http://schemas.openxmlformats.org/officeDocument/2006/relationships/footer" Target="footer5.xml"/><Relationship Id="rId2" Type="http://schemas.openxmlformats.org/officeDocument/2006/relationships/numbering" Target="numbering.xml"/><Relationship Id="rId29" Type="http://schemas.openxmlformats.org/officeDocument/2006/relationships/image" Target="media/image14.png"/><Relationship Id="rId24" Type="http://schemas.openxmlformats.org/officeDocument/2006/relationships/image" Target="media/image9.png"/><Relationship Id="rId40" Type="http://schemas.openxmlformats.org/officeDocument/2006/relationships/image" Target="media/image25.png"/><Relationship Id="rId45" Type="http://schemas.openxmlformats.org/officeDocument/2006/relationships/image" Target="media/image30.png"/><Relationship Id="rId66" Type="http://schemas.openxmlformats.org/officeDocument/2006/relationships/image" Target="media/image51.png"/><Relationship Id="rId87" Type="http://schemas.openxmlformats.org/officeDocument/2006/relationships/chart" Target="charts/chart6.xml"/><Relationship Id="rId61" Type="http://schemas.openxmlformats.org/officeDocument/2006/relationships/image" Target="media/image46.png"/><Relationship Id="rId82" Type="http://schemas.openxmlformats.org/officeDocument/2006/relationships/chart" Target="charts/chart3.xml"/><Relationship Id="rId19" Type="http://schemas.openxmlformats.org/officeDocument/2006/relationships/footer" Target="footer1.xml"/><Relationship Id="rId14" Type="http://schemas.openxmlformats.org/officeDocument/2006/relationships/hyperlink" Target="mailto:ffisjts@ku.ac.th" TargetMode="External"/><Relationship Id="rId30" Type="http://schemas.openxmlformats.org/officeDocument/2006/relationships/image" Target="media/image15.png"/><Relationship Id="rId35" Type="http://schemas.openxmlformats.org/officeDocument/2006/relationships/image" Target="media/image20.png"/><Relationship Id="rId56" Type="http://schemas.openxmlformats.org/officeDocument/2006/relationships/image" Target="media/image41.png"/><Relationship Id="rId77" Type="http://schemas.openxmlformats.org/officeDocument/2006/relationships/image" Target="media/image58.png"/><Relationship Id="rId100" Type="http://schemas.openxmlformats.org/officeDocument/2006/relationships/theme" Target="theme/theme1.xml"/><Relationship Id="rId8" Type="http://schemas.openxmlformats.org/officeDocument/2006/relationships/image" Target="media/image1.png"/><Relationship Id="rId51" Type="http://schemas.openxmlformats.org/officeDocument/2006/relationships/image" Target="media/image36.png"/><Relationship Id="rId72" Type="http://schemas.openxmlformats.org/officeDocument/2006/relationships/hyperlink" Target="https://hdr.undp.org/data-center/documentation-and-downloads" TargetMode="External"/><Relationship Id="rId93" Type="http://schemas.openxmlformats.org/officeDocument/2006/relationships/footer" Target="footer6.xml"/><Relationship Id="rId98" Type="http://schemas.openxmlformats.org/officeDocument/2006/relationships/footer" Target="footer7.xml"/></Relationships>
</file>

<file path=word/_rels/fontTable.xml.rels><?xml version="1.0" encoding="UTF-8" standalone="yes"?>
<Relationships xmlns="http://schemas.openxmlformats.org/package/2006/relationships"><Relationship Id="rId13" Type="http://schemas.openxmlformats.org/officeDocument/2006/relationships/font" Target="fonts/font13.odttf"/><Relationship Id="rId18" Type="http://schemas.openxmlformats.org/officeDocument/2006/relationships/font" Target="fonts/font18.odttf"/><Relationship Id="rId26" Type="http://schemas.openxmlformats.org/officeDocument/2006/relationships/font" Target="fonts/font26.odttf"/><Relationship Id="rId3" Type="http://schemas.openxmlformats.org/officeDocument/2006/relationships/font" Target="fonts/font3.odttf"/><Relationship Id="rId21" Type="http://schemas.openxmlformats.org/officeDocument/2006/relationships/font" Target="fonts/font21.odttf"/><Relationship Id="rId7" Type="http://schemas.openxmlformats.org/officeDocument/2006/relationships/font" Target="fonts/font7.odttf"/><Relationship Id="rId12" Type="http://schemas.openxmlformats.org/officeDocument/2006/relationships/font" Target="fonts/font12.odttf"/><Relationship Id="rId17" Type="http://schemas.openxmlformats.org/officeDocument/2006/relationships/font" Target="fonts/font17.odttf"/><Relationship Id="rId25" Type="http://schemas.openxmlformats.org/officeDocument/2006/relationships/font" Target="fonts/font25.odttf"/><Relationship Id="rId33" Type="http://schemas.openxmlformats.org/officeDocument/2006/relationships/font" Target="fonts/font33.odttf"/><Relationship Id="rId2" Type="http://schemas.openxmlformats.org/officeDocument/2006/relationships/font" Target="fonts/font2.odttf"/><Relationship Id="rId16" Type="http://schemas.openxmlformats.org/officeDocument/2006/relationships/font" Target="fonts/font16.odttf"/><Relationship Id="rId20" Type="http://schemas.openxmlformats.org/officeDocument/2006/relationships/font" Target="fonts/font20.odttf"/><Relationship Id="rId29" Type="http://schemas.openxmlformats.org/officeDocument/2006/relationships/font" Target="fonts/font29.odttf"/><Relationship Id="rId1" Type="http://schemas.openxmlformats.org/officeDocument/2006/relationships/font" Target="fonts/font1.odttf"/><Relationship Id="rId6" Type="http://schemas.openxmlformats.org/officeDocument/2006/relationships/font" Target="fonts/font6.odttf"/><Relationship Id="rId11" Type="http://schemas.openxmlformats.org/officeDocument/2006/relationships/font" Target="fonts/font11.odttf"/><Relationship Id="rId24" Type="http://schemas.openxmlformats.org/officeDocument/2006/relationships/font" Target="fonts/font24.odttf"/><Relationship Id="rId32" Type="http://schemas.openxmlformats.org/officeDocument/2006/relationships/font" Target="fonts/font32.odttf"/><Relationship Id="rId5" Type="http://schemas.openxmlformats.org/officeDocument/2006/relationships/font" Target="fonts/font5.odttf"/><Relationship Id="rId15" Type="http://schemas.openxmlformats.org/officeDocument/2006/relationships/font" Target="fonts/font15.odttf"/><Relationship Id="rId23" Type="http://schemas.openxmlformats.org/officeDocument/2006/relationships/font" Target="fonts/font23.odttf"/><Relationship Id="rId28" Type="http://schemas.openxmlformats.org/officeDocument/2006/relationships/font" Target="fonts/font28.odttf"/><Relationship Id="rId10" Type="http://schemas.openxmlformats.org/officeDocument/2006/relationships/font" Target="fonts/font10.odttf"/><Relationship Id="rId19" Type="http://schemas.openxmlformats.org/officeDocument/2006/relationships/font" Target="fonts/font19.odttf"/><Relationship Id="rId31" Type="http://schemas.openxmlformats.org/officeDocument/2006/relationships/font" Target="fonts/font31.odttf"/><Relationship Id="rId4" Type="http://schemas.openxmlformats.org/officeDocument/2006/relationships/font" Target="fonts/font4.odttf"/><Relationship Id="rId9" Type="http://schemas.openxmlformats.org/officeDocument/2006/relationships/font" Target="fonts/font9.odttf"/><Relationship Id="rId14" Type="http://schemas.openxmlformats.org/officeDocument/2006/relationships/font" Target="fonts/font14.odttf"/><Relationship Id="rId22" Type="http://schemas.openxmlformats.org/officeDocument/2006/relationships/font" Target="fonts/font22.odttf"/><Relationship Id="rId27" Type="http://schemas.openxmlformats.org/officeDocument/2006/relationships/font" Target="fonts/font27.odttf"/><Relationship Id="rId30" Type="http://schemas.openxmlformats.org/officeDocument/2006/relationships/font" Target="fonts/font30.odttf"/><Relationship Id="rId8" Type="http://schemas.openxmlformats.org/officeDocument/2006/relationships/font" Target="fonts/font8.odttf"/></Relationships>
</file>

<file path=word/charts/_rels/chart1.xml.rels><?xml version="1.0" encoding="UTF-8" standalone="yes"?>
<Relationships xmlns="http://schemas.openxmlformats.org/package/2006/relationships"><Relationship Id="rId3" Type="http://schemas.openxmlformats.org/officeDocument/2006/relationships/oleObject" Target="file:///D:\1%20&#3591;&#3634;&#3609;&#3612;&#3641;&#3657;&#3648;&#3594;&#3637;&#3656;&#3618;&#3623;&#3594;&#3634;&#3597;\TDA%20Transboundary%20Diagnosis%20Analysis\TDA-Fish_Annex%201-6(1).xlsx" TargetMode="External"/><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oleObject" Target="file:///D:\1%20&#3591;&#3634;&#3609;&#3612;&#3641;&#3657;&#3648;&#3594;&#3637;&#3656;&#3618;&#3623;&#3594;&#3634;&#3597;\TDA%20Transboundary%20Diagnosis%20Analysis\Bottom%20gear%20catch.xlsx" TargetMode="External"/><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oleObject" Target="file:///D:\1%20&#3591;&#3634;&#3609;&#3612;&#3641;&#3657;&#3648;&#3594;&#3637;&#3656;&#3618;&#3623;&#3594;&#3634;&#3597;\TDA%20Transboundary%20Diagnosis%20Analysis\Bottom%20gear%20catch.xlsx" TargetMode="External"/><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oleObject" Target="file:///C:\Users\JumboA\Downloads\World%20development%20indocator%20for%20SCS.xlsx" TargetMode="External"/><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oleObject" Target="file:///C:\Users\JumboA\Downloads\World%20development%20indocator%20for%20SCS.xlsx" TargetMode="External"/><Relationship Id="rId2" Type="http://schemas.microsoft.com/office/2011/relationships/chartColorStyle" Target="colors5.xml"/><Relationship Id="rId1" Type="http://schemas.microsoft.com/office/2011/relationships/chartStyle" Target="style5.xml"/></Relationships>
</file>

<file path=word/charts/_rels/chart6.xml.rels><?xml version="1.0" encoding="UTF-8" standalone="yes"?>
<Relationships xmlns="http://schemas.openxmlformats.org/package/2006/relationships"><Relationship Id="rId3" Type="http://schemas.openxmlformats.org/officeDocument/2006/relationships/oleObject" Target="file:///C:\Users\JumboA\Desktop\south%20china%20seas%20indicators\GPP.xlsx" TargetMode="External"/><Relationship Id="rId2" Type="http://schemas.microsoft.com/office/2011/relationships/chartColorStyle" Target="colors6.xml"/><Relationship Id="rId1" Type="http://schemas.microsoft.com/office/2011/relationships/chartStyle" Target="style6.xml"/></Relationships>
</file>

<file path=word/charts/_rels/chart7.xml.rels><?xml version="1.0" encoding="UTF-8" standalone="yes"?>
<Relationships xmlns="http://schemas.openxmlformats.org/package/2006/relationships"><Relationship Id="rId3" Type="http://schemas.openxmlformats.org/officeDocument/2006/relationships/oleObject" Target="file:///C:\Users\JumboA\Downloads\World%20development%20indocator%20for%20SCS.xlsx" TargetMode="External"/><Relationship Id="rId2" Type="http://schemas.microsoft.com/office/2011/relationships/chartColorStyle" Target="colors7.xml"/><Relationship Id="rId1" Type="http://schemas.microsoft.com/office/2011/relationships/chartStyle" Target="style7.xml"/></Relationships>
</file>

<file path=word/charts/_rels/chart8.xml.rels><?xml version="1.0" encoding="UTF-8" standalone="yes"?>
<Relationships xmlns="http://schemas.openxmlformats.org/package/2006/relationships"><Relationship Id="rId3" Type="http://schemas.openxmlformats.org/officeDocument/2006/relationships/oleObject" Target="file:///C:\Users\JumboA\Desktop\south%20china%20seas%20indicators\&#3591;&#3610;&#3611;&#3619;&#3632;&#3617;&#3634;&#3603;%20DMCR.xlsx" TargetMode="External"/><Relationship Id="rId2" Type="http://schemas.microsoft.com/office/2011/relationships/chartColorStyle" Target="colors8.xml"/><Relationship Id="rId1" Type="http://schemas.microsoft.com/office/2011/relationships/chartStyle" Target="style8.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areaChart>
        <c:grouping val="stacked"/>
        <c:varyColors val="0"/>
        <c:ser>
          <c:idx val="0"/>
          <c:order val="0"/>
          <c:tx>
            <c:strRef>
              <c:f>'Annex 2_Species Groups'!$B$4</c:f>
              <c:strCache>
                <c:ptCount val="1"/>
                <c:pt idx="0">
                  <c:v>Demersal fishes</c:v>
                </c:pt>
              </c:strCache>
            </c:strRef>
          </c:tx>
          <c:spPr>
            <a:solidFill>
              <a:schemeClr val="accent1"/>
            </a:solidFill>
            <a:ln>
              <a:noFill/>
            </a:ln>
            <a:effectLst/>
          </c:spPr>
          <c:cat>
            <c:numRef>
              <c:f>'Annex 2_Species Groups'!$C$3:$BN$3</c:f>
              <c:numCache>
                <c:formatCode>General</c:formatCode>
                <c:ptCount val="53"/>
                <c:pt idx="0">
                  <c:v>1971</c:v>
                </c:pt>
                <c:pt idx="1">
                  <c:v>1972</c:v>
                </c:pt>
                <c:pt idx="2">
                  <c:v>1973</c:v>
                </c:pt>
                <c:pt idx="3">
                  <c:v>1974</c:v>
                </c:pt>
                <c:pt idx="4">
                  <c:v>1975</c:v>
                </c:pt>
                <c:pt idx="5">
                  <c:v>1976</c:v>
                </c:pt>
                <c:pt idx="6">
                  <c:v>1977</c:v>
                </c:pt>
                <c:pt idx="7">
                  <c:v>1978</c:v>
                </c:pt>
                <c:pt idx="8">
                  <c:v>1979</c:v>
                </c:pt>
                <c:pt idx="9">
                  <c:v>1980</c:v>
                </c:pt>
                <c:pt idx="10">
                  <c:v>1981</c:v>
                </c:pt>
                <c:pt idx="11">
                  <c:v>1982</c:v>
                </c:pt>
                <c:pt idx="12">
                  <c:v>1983</c:v>
                </c:pt>
                <c:pt idx="13">
                  <c:v>1984</c:v>
                </c:pt>
                <c:pt idx="14">
                  <c:v>1985</c:v>
                </c:pt>
                <c:pt idx="15">
                  <c:v>1986</c:v>
                </c:pt>
                <c:pt idx="16">
                  <c:v>1987</c:v>
                </c:pt>
                <c:pt idx="17">
                  <c:v>1988</c:v>
                </c:pt>
                <c:pt idx="18">
                  <c:v>1989</c:v>
                </c:pt>
                <c:pt idx="19">
                  <c:v>1990</c:v>
                </c:pt>
                <c:pt idx="20">
                  <c:v>1991</c:v>
                </c:pt>
                <c:pt idx="21">
                  <c:v>1992</c:v>
                </c:pt>
                <c:pt idx="22">
                  <c:v>1993</c:v>
                </c:pt>
                <c:pt idx="23">
                  <c:v>1994</c:v>
                </c:pt>
                <c:pt idx="24">
                  <c:v>1995</c:v>
                </c:pt>
                <c:pt idx="25">
                  <c:v>1996</c:v>
                </c:pt>
                <c:pt idx="26">
                  <c:v>1997</c:v>
                </c:pt>
                <c:pt idx="27">
                  <c:v>1998</c:v>
                </c:pt>
                <c:pt idx="28">
                  <c:v>1999</c:v>
                </c:pt>
                <c:pt idx="29">
                  <c:v>2000</c:v>
                </c:pt>
                <c:pt idx="30">
                  <c:v>2001</c:v>
                </c:pt>
                <c:pt idx="31">
                  <c:v>2002</c:v>
                </c:pt>
                <c:pt idx="32">
                  <c:v>2003</c:v>
                </c:pt>
                <c:pt idx="33">
                  <c:v>2004</c:v>
                </c:pt>
                <c:pt idx="34">
                  <c:v>2005</c:v>
                </c:pt>
                <c:pt idx="35">
                  <c:v>2006</c:v>
                </c:pt>
                <c:pt idx="36">
                  <c:v>2007</c:v>
                </c:pt>
                <c:pt idx="37">
                  <c:v>2008</c:v>
                </c:pt>
                <c:pt idx="38">
                  <c:v>2009</c:v>
                </c:pt>
                <c:pt idx="39">
                  <c:v>2010</c:v>
                </c:pt>
                <c:pt idx="40">
                  <c:v>2011</c:v>
                </c:pt>
                <c:pt idx="41">
                  <c:v>2012</c:v>
                </c:pt>
                <c:pt idx="42">
                  <c:v>2013</c:v>
                </c:pt>
                <c:pt idx="43">
                  <c:v>2014</c:v>
                </c:pt>
                <c:pt idx="44">
                  <c:v>2015</c:v>
                </c:pt>
                <c:pt idx="45">
                  <c:v>2016</c:v>
                </c:pt>
                <c:pt idx="46">
                  <c:v>2017</c:v>
                </c:pt>
                <c:pt idx="47">
                  <c:v>2018</c:v>
                </c:pt>
                <c:pt idx="48">
                  <c:v>2019</c:v>
                </c:pt>
                <c:pt idx="49">
                  <c:v>2020</c:v>
                </c:pt>
                <c:pt idx="50">
                  <c:v>2021</c:v>
                </c:pt>
                <c:pt idx="51">
                  <c:v>2022</c:v>
                </c:pt>
                <c:pt idx="52">
                  <c:v>2023</c:v>
                </c:pt>
              </c:numCache>
            </c:numRef>
          </c:cat>
          <c:val>
            <c:numRef>
              <c:f>'Annex 2_Species Groups'!$C$4:$BN$4</c:f>
              <c:numCache>
                <c:formatCode>_(* #,##0.00_);_(* \(#,##0.00\);_(* "-"??_);_(@_)</c:formatCode>
                <c:ptCount val="53"/>
                <c:pt idx="0" formatCode="_(* #,##0_);_(* \(#,##0\);_(* &quot;-&quot;_);_(@_)">
                  <c:v>353684</c:v>
                </c:pt>
                <c:pt idx="1">
                  <c:v>594153</c:v>
                </c:pt>
                <c:pt idx="2" formatCode="_(* #,##0_);_(* \(#,##0\);_(* &quot;-&quot;_);_(@_)">
                  <c:v>666701</c:v>
                </c:pt>
                <c:pt idx="3" formatCode="_(* #,##0_);_(* \(#,##0\);_(* &quot;-&quot;_);_(@_)">
                  <c:v>464307</c:v>
                </c:pt>
                <c:pt idx="4" formatCode="_(* #,##0_);_(* \(#,##0\);_(* &quot;-&quot;_);_(@_)">
                  <c:v>596602</c:v>
                </c:pt>
                <c:pt idx="5" formatCode="_(* #,##0_);_(* \(#,##0\);_(* &quot;-&quot;_);_(@_)">
                  <c:v>645500</c:v>
                </c:pt>
                <c:pt idx="6" formatCode="_(* #,##0_);_(* \(#,##0\);_(* &quot;-&quot;_);_(@_)">
                  <c:v>739642</c:v>
                </c:pt>
                <c:pt idx="7" formatCode="_(* #,##0_);_(* \(#,##0\);_(* &quot;-&quot;_);_(@_)">
                  <c:v>679077</c:v>
                </c:pt>
                <c:pt idx="8" formatCode="_(* #,##0_);_(* \(#,##0\);_(* &quot;-&quot;_);_(@_)">
                  <c:v>729249</c:v>
                </c:pt>
                <c:pt idx="9" formatCode="_(* #,##0_);_(* \(#,##0\);_(* &quot;-&quot;_);_(@_)">
                  <c:v>714149</c:v>
                </c:pt>
                <c:pt idx="10" formatCode="_(* #,##0_);_(* \(#,##0\);_(* &quot;-&quot;_);_(@_)">
                  <c:v>733458</c:v>
                </c:pt>
                <c:pt idx="11" formatCode="_(* #,##0_);_(* \(#,##0\);_(* &quot;-&quot;_);_(@_)">
                  <c:v>747424</c:v>
                </c:pt>
                <c:pt idx="12" formatCode="_(* #,##0_);_(* \(#,##0\);_(* &quot;-&quot;_);_(@_)">
                  <c:v>681064</c:v>
                </c:pt>
                <c:pt idx="13" formatCode="_(* #,##0_);_(* \(#,##0\);_(* &quot;-&quot;_);_(@_)">
                  <c:v>635445</c:v>
                </c:pt>
                <c:pt idx="14" formatCode="_(* #,##0_);_(* \(#,##0\);_(* &quot;-&quot;_);_(@_)">
                  <c:v>643515</c:v>
                </c:pt>
                <c:pt idx="15" formatCode="_(* #,##0_);_(* \(#,##0\);_(* &quot;-&quot;_);_(@_)">
                  <c:v>740527</c:v>
                </c:pt>
                <c:pt idx="16" formatCode="_(* #,##0_);_(* \(#,##0\);_(* &quot;-&quot;_);_(@_)">
                  <c:v>893374</c:v>
                </c:pt>
                <c:pt idx="17" formatCode="_(* #,##0_);_(* \(#,##0\);_(* &quot;-&quot;_);_(@_)">
                  <c:v>816404</c:v>
                </c:pt>
                <c:pt idx="18" formatCode="_(* #,##0_);_(* \(#,##0\);_(* &quot;-&quot;_);_(@_)">
                  <c:v>802170</c:v>
                </c:pt>
                <c:pt idx="19" formatCode="_(* #,##0_);_(* \(#,##0\);_(* &quot;-&quot;_);_(@_)">
                  <c:v>811487</c:v>
                </c:pt>
                <c:pt idx="20" formatCode="_(* #,##0_);_(* \(#,##0\);_(* &quot;-&quot;_);_(@_)">
                  <c:v>782385</c:v>
                </c:pt>
                <c:pt idx="21" formatCode="_(* #,##0_);_(* \(#,##0\);_(* &quot;-&quot;_);_(@_)">
                  <c:v>655726</c:v>
                </c:pt>
                <c:pt idx="22" formatCode="_(* #,##0_);_(* \(#,##0\);_(* &quot;-&quot;_);_(@_)">
                  <c:v>756758</c:v>
                </c:pt>
                <c:pt idx="23" formatCode="_(* #,##0_);_(* \(#,##0\);_(* &quot;-&quot;_);_(@_)">
                  <c:v>718478</c:v>
                </c:pt>
                <c:pt idx="24" formatCode="_(* #,##0_);_(* \(#,##0\);_(* &quot;-&quot;_);_(@_)">
                  <c:v>680198</c:v>
                </c:pt>
                <c:pt idx="25" formatCode="_(* #,##0_);_(* \(#,##0\);_(* &quot;-&quot;_);_(@_)">
                  <c:v>582656</c:v>
                </c:pt>
                <c:pt idx="26" formatCode="_(* #,##0_);_(* \(#,##0\);_(* &quot;-&quot;_);_(@_)">
                  <c:v>545323</c:v>
                </c:pt>
                <c:pt idx="27" formatCode="_(* #,##0_);_(* \(#,##0\);_(* &quot;-&quot;_);_(@_)">
                  <c:v>494126.3</c:v>
                </c:pt>
                <c:pt idx="28" formatCode="_(* #,##0_);_(* \(#,##0\);_(* &quot;-&quot;_);_(@_)">
                  <c:v>532183</c:v>
                </c:pt>
                <c:pt idx="29" formatCode="_(* #,##0_);_(* \(#,##0\);_(* &quot;-&quot;_);_(@_)">
                  <c:v>500384</c:v>
                </c:pt>
                <c:pt idx="30" formatCode="_(* #,##0_);_(* \(#,##0\);_(* &quot;-&quot;_);_(@_)">
                  <c:v>538634</c:v>
                </c:pt>
                <c:pt idx="31" formatCode="_(* #,##0_);_(* \(#,##0\);_(* &quot;-&quot;_);_(@_)">
                  <c:v>527238</c:v>
                </c:pt>
                <c:pt idx="32" formatCode="_(* #,##0_);_(* \(#,##0\);_(* &quot;-&quot;_);_(@_)">
                  <c:v>538002</c:v>
                </c:pt>
                <c:pt idx="33" formatCode="_(* #,##0_);_(* \(#,##0\);_(* &quot;-&quot;_);_(@_)">
                  <c:v>506582</c:v>
                </c:pt>
                <c:pt idx="34" formatCode="_(* #,##0_);_(* \(#,##0\);_(* &quot;-&quot;_);_(@_)">
                  <c:v>508872</c:v>
                </c:pt>
                <c:pt idx="35" formatCode="_(* #,##0_);_(* \(#,##0\);_(* &quot;-&quot;_);_(@_)">
                  <c:v>462228</c:v>
                </c:pt>
                <c:pt idx="36" formatCode="_(* #,##0_);_(* \(#,##0\);_(* &quot;-&quot;_);_(@_)">
                  <c:v>413492</c:v>
                </c:pt>
                <c:pt idx="37" formatCode="_(* #,##0_);_(* \(#,##0\);_(* &quot;-&quot;_);_(@_)">
                  <c:v>397918</c:v>
                </c:pt>
                <c:pt idx="38" formatCode="_(* #,##0_);_(* \(#,##0\);_(* &quot;-&quot;_);_(@_)">
                  <c:v>430647</c:v>
                </c:pt>
                <c:pt idx="39" formatCode="_(* #,##0_);_(* \(#,##0\);_(* &quot;-&quot;_);_(@_)">
                  <c:v>420333</c:v>
                </c:pt>
                <c:pt idx="40" formatCode="_(* #,##0_);_(* \(#,##0\);_(* &quot;-&quot;_);_(@_)">
                  <c:v>422713</c:v>
                </c:pt>
                <c:pt idx="41" formatCode="_(* #,##0_);_(* \(#,##0\);_(* &quot;-&quot;_);_(@_)">
                  <c:v>406863</c:v>
                </c:pt>
                <c:pt idx="42" formatCode="_(* #,##0_);_(* \(#,##0\);_(* &quot;-&quot;_);_(@_)">
                  <c:v>456141</c:v>
                </c:pt>
                <c:pt idx="43" formatCode="_(* #,##0_);_(* \(#,##0\);_(* &quot;-&quot;_);_(@_)">
                  <c:v>433929</c:v>
                </c:pt>
                <c:pt idx="44" formatCode="_(* #,##0_);_(* \(#,##0\);_(* &quot;-&quot;_);_(@_)">
                  <c:v>407296</c:v>
                </c:pt>
                <c:pt idx="45" formatCode="_(* #,##0_);_(* \(#,##0\);_(* &quot;-&quot;_);_(@_)">
                  <c:v>376135.39</c:v>
                </c:pt>
                <c:pt idx="46" formatCode="_(* #,##0_);_(* \(#,##0\);_(* &quot;-&quot;_);_(@_)">
                  <c:v>380031.78</c:v>
                </c:pt>
                <c:pt idx="47" formatCode="_(* #,##0_);_(* \(#,##0\);_(* &quot;-&quot;_);_(@_)">
                  <c:v>443334.32</c:v>
                </c:pt>
                <c:pt idx="48" formatCode="_(* #,##0_);_(* \(#,##0\);_(* &quot;-&quot;_);_(@_)">
                  <c:v>457732.73</c:v>
                </c:pt>
                <c:pt idx="49" formatCode="_(* #,##0_);_(* \(#,##0\);_(* &quot;-&quot;_);_(@_)">
                  <c:v>392579.56</c:v>
                </c:pt>
                <c:pt idx="50" formatCode="_(* #,##0_);_(* \(#,##0\);_(* &quot;-&quot;_);_(@_)">
                  <c:v>367707.08</c:v>
                </c:pt>
                <c:pt idx="51" formatCode="_(* #,##0_);_(* \(#,##0\);_(* &quot;-&quot;_);_(@_)">
                  <c:v>376133.87</c:v>
                </c:pt>
                <c:pt idx="52" formatCode="_(* #,##0_);_(* \(#,##0\);_(* &quot;-&quot;_);_(@_)">
                  <c:v>428562.43</c:v>
                </c:pt>
              </c:numCache>
            </c:numRef>
          </c:val>
          <c:extLst>
            <c:ext xmlns:c16="http://schemas.microsoft.com/office/drawing/2014/chart" uri="{C3380CC4-5D6E-409C-BE32-E72D297353CC}">
              <c16:uniqueId val="{00000000-5DDD-B243-9CC3-C8AD63357775}"/>
            </c:ext>
          </c:extLst>
        </c:ser>
        <c:ser>
          <c:idx val="1"/>
          <c:order val="1"/>
          <c:tx>
            <c:strRef>
              <c:f>'Annex 2_Species Groups'!$B$5</c:f>
              <c:strCache>
                <c:ptCount val="1"/>
                <c:pt idx="0">
                  <c:v>Pelagic fishes</c:v>
                </c:pt>
              </c:strCache>
            </c:strRef>
          </c:tx>
          <c:spPr>
            <a:solidFill>
              <a:schemeClr val="accent2"/>
            </a:solidFill>
            <a:ln>
              <a:noFill/>
            </a:ln>
            <a:effectLst/>
          </c:spPr>
          <c:cat>
            <c:numRef>
              <c:f>'Annex 2_Species Groups'!$C$3:$BN$3</c:f>
              <c:numCache>
                <c:formatCode>General</c:formatCode>
                <c:ptCount val="53"/>
                <c:pt idx="0">
                  <c:v>1971</c:v>
                </c:pt>
                <c:pt idx="1">
                  <c:v>1972</c:v>
                </c:pt>
                <c:pt idx="2">
                  <c:v>1973</c:v>
                </c:pt>
                <c:pt idx="3">
                  <c:v>1974</c:v>
                </c:pt>
                <c:pt idx="4">
                  <c:v>1975</c:v>
                </c:pt>
                <c:pt idx="5">
                  <c:v>1976</c:v>
                </c:pt>
                <c:pt idx="6">
                  <c:v>1977</c:v>
                </c:pt>
                <c:pt idx="7">
                  <c:v>1978</c:v>
                </c:pt>
                <c:pt idx="8">
                  <c:v>1979</c:v>
                </c:pt>
                <c:pt idx="9">
                  <c:v>1980</c:v>
                </c:pt>
                <c:pt idx="10">
                  <c:v>1981</c:v>
                </c:pt>
                <c:pt idx="11">
                  <c:v>1982</c:v>
                </c:pt>
                <c:pt idx="12">
                  <c:v>1983</c:v>
                </c:pt>
                <c:pt idx="13">
                  <c:v>1984</c:v>
                </c:pt>
                <c:pt idx="14">
                  <c:v>1985</c:v>
                </c:pt>
                <c:pt idx="15">
                  <c:v>1986</c:v>
                </c:pt>
                <c:pt idx="16">
                  <c:v>1987</c:v>
                </c:pt>
                <c:pt idx="17">
                  <c:v>1988</c:v>
                </c:pt>
                <c:pt idx="18">
                  <c:v>1989</c:v>
                </c:pt>
                <c:pt idx="19">
                  <c:v>1990</c:v>
                </c:pt>
                <c:pt idx="20">
                  <c:v>1991</c:v>
                </c:pt>
                <c:pt idx="21">
                  <c:v>1992</c:v>
                </c:pt>
                <c:pt idx="22">
                  <c:v>1993</c:v>
                </c:pt>
                <c:pt idx="23">
                  <c:v>1994</c:v>
                </c:pt>
                <c:pt idx="24">
                  <c:v>1995</c:v>
                </c:pt>
                <c:pt idx="25">
                  <c:v>1996</c:v>
                </c:pt>
                <c:pt idx="26">
                  <c:v>1997</c:v>
                </c:pt>
                <c:pt idx="27">
                  <c:v>1998</c:v>
                </c:pt>
                <c:pt idx="28">
                  <c:v>1999</c:v>
                </c:pt>
                <c:pt idx="29">
                  <c:v>2000</c:v>
                </c:pt>
                <c:pt idx="30">
                  <c:v>2001</c:v>
                </c:pt>
                <c:pt idx="31">
                  <c:v>2002</c:v>
                </c:pt>
                <c:pt idx="32">
                  <c:v>2003</c:v>
                </c:pt>
                <c:pt idx="33">
                  <c:v>2004</c:v>
                </c:pt>
                <c:pt idx="34">
                  <c:v>2005</c:v>
                </c:pt>
                <c:pt idx="35">
                  <c:v>2006</c:v>
                </c:pt>
                <c:pt idx="36">
                  <c:v>2007</c:v>
                </c:pt>
                <c:pt idx="37">
                  <c:v>2008</c:v>
                </c:pt>
                <c:pt idx="38">
                  <c:v>2009</c:v>
                </c:pt>
                <c:pt idx="39">
                  <c:v>2010</c:v>
                </c:pt>
                <c:pt idx="40">
                  <c:v>2011</c:v>
                </c:pt>
                <c:pt idx="41">
                  <c:v>2012</c:v>
                </c:pt>
                <c:pt idx="42">
                  <c:v>2013</c:v>
                </c:pt>
                <c:pt idx="43">
                  <c:v>2014</c:v>
                </c:pt>
                <c:pt idx="44">
                  <c:v>2015</c:v>
                </c:pt>
                <c:pt idx="45">
                  <c:v>2016</c:v>
                </c:pt>
                <c:pt idx="46">
                  <c:v>2017</c:v>
                </c:pt>
                <c:pt idx="47">
                  <c:v>2018</c:v>
                </c:pt>
                <c:pt idx="48">
                  <c:v>2019</c:v>
                </c:pt>
                <c:pt idx="49">
                  <c:v>2020</c:v>
                </c:pt>
                <c:pt idx="50">
                  <c:v>2021</c:v>
                </c:pt>
                <c:pt idx="51">
                  <c:v>2022</c:v>
                </c:pt>
                <c:pt idx="52">
                  <c:v>2023</c:v>
                </c:pt>
              </c:numCache>
            </c:numRef>
          </c:cat>
          <c:val>
            <c:numRef>
              <c:f>'Annex 2_Species Groups'!$C$5:$BN$5</c:f>
              <c:numCache>
                <c:formatCode>_(* #,##0_);_(* \(#,##0\);_(* "-"_);_(@_)</c:formatCode>
                <c:ptCount val="53"/>
                <c:pt idx="0">
                  <c:v>58775</c:v>
                </c:pt>
                <c:pt idx="1">
                  <c:v>70842</c:v>
                </c:pt>
                <c:pt idx="2">
                  <c:v>127596</c:v>
                </c:pt>
                <c:pt idx="3">
                  <c:v>136463</c:v>
                </c:pt>
                <c:pt idx="4">
                  <c:v>175371</c:v>
                </c:pt>
                <c:pt idx="5">
                  <c:v>296639</c:v>
                </c:pt>
                <c:pt idx="6">
                  <c:v>456220</c:v>
                </c:pt>
                <c:pt idx="7">
                  <c:v>201415</c:v>
                </c:pt>
                <c:pt idx="8">
                  <c:v>323610</c:v>
                </c:pt>
                <c:pt idx="9">
                  <c:v>257577</c:v>
                </c:pt>
                <c:pt idx="10">
                  <c:v>307374</c:v>
                </c:pt>
                <c:pt idx="11">
                  <c:v>267679</c:v>
                </c:pt>
                <c:pt idx="12">
                  <c:v>336313</c:v>
                </c:pt>
                <c:pt idx="13">
                  <c:v>381388</c:v>
                </c:pt>
                <c:pt idx="14">
                  <c:v>398658</c:v>
                </c:pt>
                <c:pt idx="15">
                  <c:v>366105</c:v>
                </c:pt>
                <c:pt idx="16">
                  <c:v>367749</c:v>
                </c:pt>
                <c:pt idx="17">
                  <c:v>359949</c:v>
                </c:pt>
                <c:pt idx="18">
                  <c:v>417305</c:v>
                </c:pt>
                <c:pt idx="19">
                  <c:v>379575</c:v>
                </c:pt>
                <c:pt idx="20">
                  <c:v>322179</c:v>
                </c:pt>
                <c:pt idx="21">
                  <c:v>405750</c:v>
                </c:pt>
                <c:pt idx="22">
                  <c:v>378446</c:v>
                </c:pt>
                <c:pt idx="23">
                  <c:v>425316</c:v>
                </c:pt>
                <c:pt idx="24">
                  <c:v>472186</c:v>
                </c:pt>
                <c:pt idx="25">
                  <c:v>430480</c:v>
                </c:pt>
                <c:pt idx="26">
                  <c:v>409580</c:v>
                </c:pt>
                <c:pt idx="27">
                  <c:v>397788</c:v>
                </c:pt>
                <c:pt idx="28">
                  <c:v>389629</c:v>
                </c:pt>
                <c:pt idx="29">
                  <c:v>397047</c:v>
                </c:pt>
                <c:pt idx="30">
                  <c:v>400009</c:v>
                </c:pt>
                <c:pt idx="31">
                  <c:v>390690</c:v>
                </c:pt>
                <c:pt idx="32">
                  <c:v>419654</c:v>
                </c:pt>
                <c:pt idx="33">
                  <c:v>426643</c:v>
                </c:pt>
                <c:pt idx="34">
                  <c:v>400952</c:v>
                </c:pt>
                <c:pt idx="35">
                  <c:v>365573</c:v>
                </c:pt>
                <c:pt idx="36">
                  <c:v>341925</c:v>
                </c:pt>
                <c:pt idx="37">
                  <c:v>356491</c:v>
                </c:pt>
                <c:pt idx="38">
                  <c:v>346574</c:v>
                </c:pt>
                <c:pt idx="39">
                  <c:v>367931</c:v>
                </c:pt>
                <c:pt idx="40">
                  <c:v>385916</c:v>
                </c:pt>
                <c:pt idx="41">
                  <c:v>364576</c:v>
                </c:pt>
                <c:pt idx="42">
                  <c:v>376057</c:v>
                </c:pt>
                <c:pt idx="43">
                  <c:v>387359</c:v>
                </c:pt>
                <c:pt idx="44">
                  <c:v>334330</c:v>
                </c:pt>
                <c:pt idx="45">
                  <c:v>365408.69</c:v>
                </c:pt>
                <c:pt idx="46">
                  <c:v>361825.7</c:v>
                </c:pt>
                <c:pt idx="47">
                  <c:v>365322.57999999996</c:v>
                </c:pt>
                <c:pt idx="48">
                  <c:v>369195.15</c:v>
                </c:pt>
                <c:pt idx="49">
                  <c:v>356413.36</c:v>
                </c:pt>
                <c:pt idx="50">
                  <c:v>335408.84000000003</c:v>
                </c:pt>
                <c:pt idx="51">
                  <c:v>356825.91000000003</c:v>
                </c:pt>
                <c:pt idx="52">
                  <c:v>386622.52</c:v>
                </c:pt>
              </c:numCache>
            </c:numRef>
          </c:val>
          <c:extLst>
            <c:ext xmlns:c16="http://schemas.microsoft.com/office/drawing/2014/chart" uri="{C3380CC4-5D6E-409C-BE32-E72D297353CC}">
              <c16:uniqueId val="{00000001-5DDD-B243-9CC3-C8AD63357775}"/>
            </c:ext>
          </c:extLst>
        </c:ser>
        <c:ser>
          <c:idx val="2"/>
          <c:order val="2"/>
          <c:tx>
            <c:strRef>
              <c:f>'Annex 2_Species Groups'!$B$6</c:f>
              <c:strCache>
                <c:ptCount val="1"/>
                <c:pt idx="0">
                  <c:v>Squids, cuttlefishes, Octopus</c:v>
                </c:pt>
              </c:strCache>
            </c:strRef>
          </c:tx>
          <c:spPr>
            <a:solidFill>
              <a:schemeClr val="accent3"/>
            </a:solidFill>
            <a:ln>
              <a:noFill/>
            </a:ln>
            <a:effectLst/>
          </c:spPr>
          <c:cat>
            <c:numRef>
              <c:f>'Annex 2_Species Groups'!$C$3:$BN$3</c:f>
              <c:numCache>
                <c:formatCode>General</c:formatCode>
                <c:ptCount val="53"/>
                <c:pt idx="0">
                  <c:v>1971</c:v>
                </c:pt>
                <c:pt idx="1">
                  <c:v>1972</c:v>
                </c:pt>
                <c:pt idx="2">
                  <c:v>1973</c:v>
                </c:pt>
                <c:pt idx="3">
                  <c:v>1974</c:v>
                </c:pt>
                <c:pt idx="4">
                  <c:v>1975</c:v>
                </c:pt>
                <c:pt idx="5">
                  <c:v>1976</c:v>
                </c:pt>
                <c:pt idx="6">
                  <c:v>1977</c:v>
                </c:pt>
                <c:pt idx="7">
                  <c:v>1978</c:v>
                </c:pt>
                <c:pt idx="8">
                  <c:v>1979</c:v>
                </c:pt>
                <c:pt idx="9">
                  <c:v>1980</c:v>
                </c:pt>
                <c:pt idx="10">
                  <c:v>1981</c:v>
                </c:pt>
                <c:pt idx="11">
                  <c:v>1982</c:v>
                </c:pt>
                <c:pt idx="12">
                  <c:v>1983</c:v>
                </c:pt>
                <c:pt idx="13">
                  <c:v>1984</c:v>
                </c:pt>
                <c:pt idx="14">
                  <c:v>1985</c:v>
                </c:pt>
                <c:pt idx="15">
                  <c:v>1986</c:v>
                </c:pt>
                <c:pt idx="16">
                  <c:v>1987</c:v>
                </c:pt>
                <c:pt idx="17">
                  <c:v>1988</c:v>
                </c:pt>
                <c:pt idx="18">
                  <c:v>1989</c:v>
                </c:pt>
                <c:pt idx="19">
                  <c:v>1990</c:v>
                </c:pt>
                <c:pt idx="20">
                  <c:v>1991</c:v>
                </c:pt>
                <c:pt idx="21">
                  <c:v>1992</c:v>
                </c:pt>
                <c:pt idx="22">
                  <c:v>1993</c:v>
                </c:pt>
                <c:pt idx="23">
                  <c:v>1994</c:v>
                </c:pt>
                <c:pt idx="24">
                  <c:v>1995</c:v>
                </c:pt>
                <c:pt idx="25">
                  <c:v>1996</c:v>
                </c:pt>
                <c:pt idx="26">
                  <c:v>1997</c:v>
                </c:pt>
                <c:pt idx="27">
                  <c:v>1998</c:v>
                </c:pt>
                <c:pt idx="28">
                  <c:v>1999</c:v>
                </c:pt>
                <c:pt idx="29">
                  <c:v>2000</c:v>
                </c:pt>
                <c:pt idx="30">
                  <c:v>2001</c:v>
                </c:pt>
                <c:pt idx="31">
                  <c:v>2002</c:v>
                </c:pt>
                <c:pt idx="32">
                  <c:v>2003</c:v>
                </c:pt>
                <c:pt idx="33">
                  <c:v>2004</c:v>
                </c:pt>
                <c:pt idx="34">
                  <c:v>2005</c:v>
                </c:pt>
                <c:pt idx="35">
                  <c:v>2006</c:v>
                </c:pt>
                <c:pt idx="36">
                  <c:v>2007</c:v>
                </c:pt>
                <c:pt idx="37">
                  <c:v>2008</c:v>
                </c:pt>
                <c:pt idx="38">
                  <c:v>2009</c:v>
                </c:pt>
                <c:pt idx="39">
                  <c:v>2010</c:v>
                </c:pt>
                <c:pt idx="40">
                  <c:v>2011</c:v>
                </c:pt>
                <c:pt idx="41">
                  <c:v>2012</c:v>
                </c:pt>
                <c:pt idx="42">
                  <c:v>2013</c:v>
                </c:pt>
                <c:pt idx="43">
                  <c:v>2014</c:v>
                </c:pt>
                <c:pt idx="44">
                  <c:v>2015</c:v>
                </c:pt>
                <c:pt idx="45">
                  <c:v>2016</c:v>
                </c:pt>
                <c:pt idx="46">
                  <c:v>2017</c:v>
                </c:pt>
                <c:pt idx="47">
                  <c:v>2018</c:v>
                </c:pt>
                <c:pt idx="48">
                  <c:v>2019</c:v>
                </c:pt>
                <c:pt idx="49">
                  <c:v>2020</c:v>
                </c:pt>
                <c:pt idx="50">
                  <c:v>2021</c:v>
                </c:pt>
                <c:pt idx="51">
                  <c:v>2022</c:v>
                </c:pt>
                <c:pt idx="52">
                  <c:v>2023</c:v>
                </c:pt>
              </c:numCache>
            </c:numRef>
          </c:cat>
          <c:val>
            <c:numRef>
              <c:f>'Annex 2_Species Groups'!$C$6:$BN$6</c:f>
              <c:numCache>
                <c:formatCode>_(* #,##0_);_(* \(#,##0\);_(* "-"_);_(@_)</c:formatCode>
                <c:ptCount val="53"/>
                <c:pt idx="0">
                  <c:v>27926</c:v>
                </c:pt>
                <c:pt idx="1">
                  <c:v>56075</c:v>
                </c:pt>
                <c:pt idx="2">
                  <c:v>49759</c:v>
                </c:pt>
                <c:pt idx="3">
                  <c:v>46222</c:v>
                </c:pt>
                <c:pt idx="4">
                  <c:v>50725</c:v>
                </c:pt>
                <c:pt idx="5">
                  <c:v>56386</c:v>
                </c:pt>
                <c:pt idx="6">
                  <c:v>76451</c:v>
                </c:pt>
                <c:pt idx="7">
                  <c:v>68703</c:v>
                </c:pt>
                <c:pt idx="8">
                  <c:v>64351</c:v>
                </c:pt>
                <c:pt idx="9">
                  <c:v>57216</c:v>
                </c:pt>
                <c:pt idx="10">
                  <c:v>56218</c:v>
                </c:pt>
                <c:pt idx="11">
                  <c:v>77365</c:v>
                </c:pt>
                <c:pt idx="12">
                  <c:v>83044</c:v>
                </c:pt>
                <c:pt idx="13">
                  <c:v>80114</c:v>
                </c:pt>
                <c:pt idx="14">
                  <c:v>64936</c:v>
                </c:pt>
                <c:pt idx="15">
                  <c:v>78733</c:v>
                </c:pt>
                <c:pt idx="16">
                  <c:v>77902</c:v>
                </c:pt>
                <c:pt idx="17">
                  <c:v>71641</c:v>
                </c:pt>
                <c:pt idx="18">
                  <c:v>112136</c:v>
                </c:pt>
                <c:pt idx="19">
                  <c:v>110389</c:v>
                </c:pt>
                <c:pt idx="20">
                  <c:v>112388</c:v>
                </c:pt>
                <c:pt idx="21">
                  <c:v>89521</c:v>
                </c:pt>
                <c:pt idx="22">
                  <c:v>92400</c:v>
                </c:pt>
                <c:pt idx="23">
                  <c:v>87868.5</c:v>
                </c:pt>
                <c:pt idx="24">
                  <c:v>83337</c:v>
                </c:pt>
                <c:pt idx="25">
                  <c:v>72754</c:v>
                </c:pt>
                <c:pt idx="26">
                  <c:v>72094</c:v>
                </c:pt>
                <c:pt idx="27">
                  <c:v>90690</c:v>
                </c:pt>
                <c:pt idx="28">
                  <c:v>72531</c:v>
                </c:pt>
                <c:pt idx="29">
                  <c:v>70929</c:v>
                </c:pt>
                <c:pt idx="30">
                  <c:v>70606</c:v>
                </c:pt>
                <c:pt idx="31">
                  <c:v>69582</c:v>
                </c:pt>
                <c:pt idx="32">
                  <c:v>73092</c:v>
                </c:pt>
                <c:pt idx="33">
                  <c:v>64246</c:v>
                </c:pt>
                <c:pt idx="34">
                  <c:v>72422</c:v>
                </c:pt>
                <c:pt idx="35">
                  <c:v>73846</c:v>
                </c:pt>
                <c:pt idx="36">
                  <c:v>60697</c:v>
                </c:pt>
                <c:pt idx="37">
                  <c:v>78124</c:v>
                </c:pt>
                <c:pt idx="38">
                  <c:v>76905</c:v>
                </c:pt>
                <c:pt idx="39">
                  <c:v>93961</c:v>
                </c:pt>
                <c:pt idx="40">
                  <c:v>99890</c:v>
                </c:pt>
                <c:pt idx="41">
                  <c:v>90576</c:v>
                </c:pt>
                <c:pt idx="42">
                  <c:v>88751</c:v>
                </c:pt>
                <c:pt idx="43">
                  <c:v>75699</c:v>
                </c:pt>
                <c:pt idx="44">
                  <c:v>72362</c:v>
                </c:pt>
                <c:pt idx="45">
                  <c:v>89707.760000000009</c:v>
                </c:pt>
                <c:pt idx="46">
                  <c:v>78795.039999999994</c:v>
                </c:pt>
                <c:pt idx="47">
                  <c:v>92202.33</c:v>
                </c:pt>
                <c:pt idx="48">
                  <c:v>75117.13</c:v>
                </c:pt>
                <c:pt idx="49">
                  <c:v>71180.87000000001</c:v>
                </c:pt>
                <c:pt idx="50">
                  <c:v>71161.19</c:v>
                </c:pt>
                <c:pt idx="51">
                  <c:v>82014.209999999992</c:v>
                </c:pt>
                <c:pt idx="52">
                  <c:v>69073.239999999991</c:v>
                </c:pt>
              </c:numCache>
            </c:numRef>
          </c:val>
          <c:extLst>
            <c:ext xmlns:c16="http://schemas.microsoft.com/office/drawing/2014/chart" uri="{C3380CC4-5D6E-409C-BE32-E72D297353CC}">
              <c16:uniqueId val="{00000002-5DDD-B243-9CC3-C8AD63357775}"/>
            </c:ext>
          </c:extLst>
        </c:ser>
        <c:ser>
          <c:idx val="3"/>
          <c:order val="3"/>
          <c:tx>
            <c:strRef>
              <c:f>'Annex 2_Species Groups'!$B$7</c:f>
              <c:strCache>
                <c:ptCount val="1"/>
                <c:pt idx="0">
                  <c:v>Crustaceans </c:v>
                </c:pt>
              </c:strCache>
            </c:strRef>
          </c:tx>
          <c:spPr>
            <a:solidFill>
              <a:schemeClr val="accent4"/>
            </a:solidFill>
            <a:ln>
              <a:noFill/>
            </a:ln>
            <a:effectLst/>
          </c:spPr>
          <c:cat>
            <c:numRef>
              <c:f>'Annex 2_Species Groups'!$C$3:$BN$3</c:f>
              <c:numCache>
                <c:formatCode>General</c:formatCode>
                <c:ptCount val="53"/>
                <c:pt idx="0">
                  <c:v>1971</c:v>
                </c:pt>
                <c:pt idx="1">
                  <c:v>1972</c:v>
                </c:pt>
                <c:pt idx="2">
                  <c:v>1973</c:v>
                </c:pt>
                <c:pt idx="3">
                  <c:v>1974</c:v>
                </c:pt>
                <c:pt idx="4">
                  <c:v>1975</c:v>
                </c:pt>
                <c:pt idx="5">
                  <c:v>1976</c:v>
                </c:pt>
                <c:pt idx="6">
                  <c:v>1977</c:v>
                </c:pt>
                <c:pt idx="7">
                  <c:v>1978</c:v>
                </c:pt>
                <c:pt idx="8">
                  <c:v>1979</c:v>
                </c:pt>
                <c:pt idx="9">
                  <c:v>1980</c:v>
                </c:pt>
                <c:pt idx="10">
                  <c:v>1981</c:v>
                </c:pt>
                <c:pt idx="11">
                  <c:v>1982</c:v>
                </c:pt>
                <c:pt idx="12">
                  <c:v>1983</c:v>
                </c:pt>
                <c:pt idx="13">
                  <c:v>1984</c:v>
                </c:pt>
                <c:pt idx="14">
                  <c:v>1985</c:v>
                </c:pt>
                <c:pt idx="15">
                  <c:v>1986</c:v>
                </c:pt>
                <c:pt idx="16">
                  <c:v>1987</c:v>
                </c:pt>
                <c:pt idx="17">
                  <c:v>1988</c:v>
                </c:pt>
                <c:pt idx="18">
                  <c:v>1989</c:v>
                </c:pt>
                <c:pt idx="19">
                  <c:v>1990</c:v>
                </c:pt>
                <c:pt idx="20">
                  <c:v>1991</c:v>
                </c:pt>
                <c:pt idx="21">
                  <c:v>1992</c:v>
                </c:pt>
                <c:pt idx="22">
                  <c:v>1993</c:v>
                </c:pt>
                <c:pt idx="23">
                  <c:v>1994</c:v>
                </c:pt>
                <c:pt idx="24">
                  <c:v>1995</c:v>
                </c:pt>
                <c:pt idx="25">
                  <c:v>1996</c:v>
                </c:pt>
                <c:pt idx="26">
                  <c:v>1997</c:v>
                </c:pt>
                <c:pt idx="27">
                  <c:v>1998</c:v>
                </c:pt>
                <c:pt idx="28">
                  <c:v>1999</c:v>
                </c:pt>
                <c:pt idx="29">
                  <c:v>2000</c:v>
                </c:pt>
                <c:pt idx="30">
                  <c:v>2001</c:v>
                </c:pt>
                <c:pt idx="31">
                  <c:v>2002</c:v>
                </c:pt>
                <c:pt idx="32">
                  <c:v>2003</c:v>
                </c:pt>
                <c:pt idx="33">
                  <c:v>2004</c:v>
                </c:pt>
                <c:pt idx="34">
                  <c:v>2005</c:v>
                </c:pt>
                <c:pt idx="35">
                  <c:v>2006</c:v>
                </c:pt>
                <c:pt idx="36">
                  <c:v>2007</c:v>
                </c:pt>
                <c:pt idx="37">
                  <c:v>2008</c:v>
                </c:pt>
                <c:pt idx="38">
                  <c:v>2009</c:v>
                </c:pt>
                <c:pt idx="39">
                  <c:v>2010</c:v>
                </c:pt>
                <c:pt idx="40">
                  <c:v>2011</c:v>
                </c:pt>
                <c:pt idx="41">
                  <c:v>2012</c:v>
                </c:pt>
                <c:pt idx="42">
                  <c:v>2013</c:v>
                </c:pt>
                <c:pt idx="43">
                  <c:v>2014</c:v>
                </c:pt>
                <c:pt idx="44">
                  <c:v>2015</c:v>
                </c:pt>
                <c:pt idx="45">
                  <c:v>2016</c:v>
                </c:pt>
                <c:pt idx="46">
                  <c:v>2017</c:v>
                </c:pt>
                <c:pt idx="47">
                  <c:v>2018</c:v>
                </c:pt>
                <c:pt idx="48">
                  <c:v>2019</c:v>
                </c:pt>
                <c:pt idx="49">
                  <c:v>2020</c:v>
                </c:pt>
                <c:pt idx="50">
                  <c:v>2021</c:v>
                </c:pt>
                <c:pt idx="51">
                  <c:v>2022</c:v>
                </c:pt>
                <c:pt idx="52">
                  <c:v>2023</c:v>
                </c:pt>
              </c:numCache>
            </c:numRef>
          </c:cat>
          <c:val>
            <c:numRef>
              <c:f>'Annex 2_Species Groups'!$C$7:$BN$7</c:f>
              <c:numCache>
                <c:formatCode>_(* #,##0_);_(* \(#,##0\);_(* "-"_);_(@_)</c:formatCode>
                <c:ptCount val="53"/>
                <c:pt idx="0">
                  <c:v>31892</c:v>
                </c:pt>
                <c:pt idx="1">
                  <c:v>48412</c:v>
                </c:pt>
                <c:pt idx="2">
                  <c:v>85809</c:v>
                </c:pt>
                <c:pt idx="3">
                  <c:v>69293</c:v>
                </c:pt>
                <c:pt idx="4">
                  <c:v>73910</c:v>
                </c:pt>
                <c:pt idx="5">
                  <c:v>74114</c:v>
                </c:pt>
                <c:pt idx="6">
                  <c:v>105822</c:v>
                </c:pt>
                <c:pt idx="7">
                  <c:v>102182</c:v>
                </c:pt>
                <c:pt idx="8">
                  <c:v>87961</c:v>
                </c:pt>
                <c:pt idx="9">
                  <c:v>92562</c:v>
                </c:pt>
                <c:pt idx="10">
                  <c:v>100162</c:v>
                </c:pt>
                <c:pt idx="11">
                  <c:v>144700</c:v>
                </c:pt>
                <c:pt idx="12">
                  <c:v>110505</c:v>
                </c:pt>
                <c:pt idx="13">
                  <c:v>86617</c:v>
                </c:pt>
                <c:pt idx="14">
                  <c:v>74651</c:v>
                </c:pt>
                <c:pt idx="15">
                  <c:v>84925</c:v>
                </c:pt>
                <c:pt idx="16">
                  <c:v>90373</c:v>
                </c:pt>
                <c:pt idx="17">
                  <c:v>70738</c:v>
                </c:pt>
                <c:pt idx="18">
                  <c:v>128381</c:v>
                </c:pt>
                <c:pt idx="19">
                  <c:v>125720</c:v>
                </c:pt>
                <c:pt idx="20">
                  <c:v>136757</c:v>
                </c:pt>
                <c:pt idx="21">
                  <c:v>126215</c:v>
                </c:pt>
                <c:pt idx="22">
                  <c:v>131691</c:v>
                </c:pt>
                <c:pt idx="23">
                  <c:v>132637.5</c:v>
                </c:pt>
                <c:pt idx="24">
                  <c:v>133584</c:v>
                </c:pt>
                <c:pt idx="25">
                  <c:v>128259</c:v>
                </c:pt>
                <c:pt idx="26">
                  <c:v>120802</c:v>
                </c:pt>
                <c:pt idx="27">
                  <c:v>104043</c:v>
                </c:pt>
                <c:pt idx="28">
                  <c:v>94202</c:v>
                </c:pt>
                <c:pt idx="29">
                  <c:v>100563</c:v>
                </c:pt>
                <c:pt idx="30">
                  <c:v>91165</c:v>
                </c:pt>
                <c:pt idx="31">
                  <c:v>78234</c:v>
                </c:pt>
                <c:pt idx="32">
                  <c:v>72804</c:v>
                </c:pt>
                <c:pt idx="33">
                  <c:v>74998</c:v>
                </c:pt>
                <c:pt idx="34">
                  <c:v>75896</c:v>
                </c:pt>
                <c:pt idx="35">
                  <c:v>78401</c:v>
                </c:pt>
                <c:pt idx="36">
                  <c:v>61402</c:v>
                </c:pt>
                <c:pt idx="37">
                  <c:v>58295</c:v>
                </c:pt>
                <c:pt idx="38">
                  <c:v>56246</c:v>
                </c:pt>
                <c:pt idx="39">
                  <c:v>55812</c:v>
                </c:pt>
                <c:pt idx="40">
                  <c:v>56798</c:v>
                </c:pt>
                <c:pt idx="41">
                  <c:v>59811</c:v>
                </c:pt>
                <c:pt idx="42">
                  <c:v>54095</c:v>
                </c:pt>
                <c:pt idx="43">
                  <c:v>54450</c:v>
                </c:pt>
                <c:pt idx="44">
                  <c:v>46797</c:v>
                </c:pt>
                <c:pt idx="45">
                  <c:v>70382.64</c:v>
                </c:pt>
                <c:pt idx="46">
                  <c:v>57062</c:v>
                </c:pt>
                <c:pt idx="47">
                  <c:v>73844.84</c:v>
                </c:pt>
                <c:pt idx="48">
                  <c:v>96989.91</c:v>
                </c:pt>
                <c:pt idx="49">
                  <c:v>74549.709999999992</c:v>
                </c:pt>
                <c:pt idx="50">
                  <c:v>81146.2</c:v>
                </c:pt>
                <c:pt idx="51">
                  <c:v>87003.829999999987</c:v>
                </c:pt>
                <c:pt idx="52">
                  <c:v>84521.23</c:v>
                </c:pt>
              </c:numCache>
            </c:numRef>
          </c:val>
          <c:extLst>
            <c:ext xmlns:c16="http://schemas.microsoft.com/office/drawing/2014/chart" uri="{C3380CC4-5D6E-409C-BE32-E72D297353CC}">
              <c16:uniqueId val="{00000003-5DDD-B243-9CC3-C8AD63357775}"/>
            </c:ext>
          </c:extLst>
        </c:ser>
        <c:ser>
          <c:idx val="4"/>
          <c:order val="4"/>
          <c:tx>
            <c:strRef>
              <c:f>'Annex 2_Species Groups'!$B$8</c:f>
              <c:strCache>
                <c:ptCount val="1"/>
                <c:pt idx="0">
                  <c:v>Sharks and rays</c:v>
                </c:pt>
              </c:strCache>
            </c:strRef>
          </c:tx>
          <c:spPr>
            <a:solidFill>
              <a:srgbClr val="FF0000"/>
            </a:solidFill>
            <a:ln>
              <a:noFill/>
            </a:ln>
            <a:effectLst/>
          </c:spPr>
          <c:cat>
            <c:numRef>
              <c:f>'Annex 2_Species Groups'!$C$3:$BN$3</c:f>
              <c:numCache>
                <c:formatCode>General</c:formatCode>
                <c:ptCount val="53"/>
                <c:pt idx="0">
                  <c:v>1971</c:v>
                </c:pt>
                <c:pt idx="1">
                  <c:v>1972</c:v>
                </c:pt>
                <c:pt idx="2">
                  <c:v>1973</c:v>
                </c:pt>
                <c:pt idx="3">
                  <c:v>1974</c:v>
                </c:pt>
                <c:pt idx="4">
                  <c:v>1975</c:v>
                </c:pt>
                <c:pt idx="5">
                  <c:v>1976</c:v>
                </c:pt>
                <c:pt idx="6">
                  <c:v>1977</c:v>
                </c:pt>
                <c:pt idx="7">
                  <c:v>1978</c:v>
                </c:pt>
                <c:pt idx="8">
                  <c:v>1979</c:v>
                </c:pt>
                <c:pt idx="9">
                  <c:v>1980</c:v>
                </c:pt>
                <c:pt idx="10">
                  <c:v>1981</c:v>
                </c:pt>
                <c:pt idx="11">
                  <c:v>1982</c:v>
                </c:pt>
                <c:pt idx="12">
                  <c:v>1983</c:v>
                </c:pt>
                <c:pt idx="13">
                  <c:v>1984</c:v>
                </c:pt>
                <c:pt idx="14">
                  <c:v>1985</c:v>
                </c:pt>
                <c:pt idx="15">
                  <c:v>1986</c:v>
                </c:pt>
                <c:pt idx="16">
                  <c:v>1987</c:v>
                </c:pt>
                <c:pt idx="17">
                  <c:v>1988</c:v>
                </c:pt>
                <c:pt idx="18">
                  <c:v>1989</c:v>
                </c:pt>
                <c:pt idx="19">
                  <c:v>1990</c:v>
                </c:pt>
                <c:pt idx="20">
                  <c:v>1991</c:v>
                </c:pt>
                <c:pt idx="21">
                  <c:v>1992</c:v>
                </c:pt>
                <c:pt idx="22">
                  <c:v>1993</c:v>
                </c:pt>
                <c:pt idx="23">
                  <c:v>1994</c:v>
                </c:pt>
                <c:pt idx="24">
                  <c:v>1995</c:v>
                </c:pt>
                <c:pt idx="25">
                  <c:v>1996</c:v>
                </c:pt>
                <c:pt idx="26">
                  <c:v>1997</c:v>
                </c:pt>
                <c:pt idx="27">
                  <c:v>1998</c:v>
                </c:pt>
                <c:pt idx="28">
                  <c:v>1999</c:v>
                </c:pt>
                <c:pt idx="29">
                  <c:v>2000</c:v>
                </c:pt>
                <c:pt idx="30">
                  <c:v>2001</c:v>
                </c:pt>
                <c:pt idx="31">
                  <c:v>2002</c:v>
                </c:pt>
                <c:pt idx="32">
                  <c:v>2003</c:v>
                </c:pt>
                <c:pt idx="33">
                  <c:v>2004</c:v>
                </c:pt>
                <c:pt idx="34">
                  <c:v>2005</c:v>
                </c:pt>
                <c:pt idx="35">
                  <c:v>2006</c:v>
                </c:pt>
                <c:pt idx="36">
                  <c:v>2007</c:v>
                </c:pt>
                <c:pt idx="37">
                  <c:v>2008</c:v>
                </c:pt>
                <c:pt idx="38">
                  <c:v>2009</c:v>
                </c:pt>
                <c:pt idx="39">
                  <c:v>2010</c:v>
                </c:pt>
                <c:pt idx="40">
                  <c:v>2011</c:v>
                </c:pt>
                <c:pt idx="41">
                  <c:v>2012</c:v>
                </c:pt>
                <c:pt idx="42">
                  <c:v>2013</c:v>
                </c:pt>
                <c:pt idx="43">
                  <c:v>2014</c:v>
                </c:pt>
                <c:pt idx="44">
                  <c:v>2015</c:v>
                </c:pt>
                <c:pt idx="45">
                  <c:v>2016</c:v>
                </c:pt>
                <c:pt idx="46">
                  <c:v>2017</c:v>
                </c:pt>
                <c:pt idx="47">
                  <c:v>2018</c:v>
                </c:pt>
                <c:pt idx="48">
                  <c:v>2019</c:v>
                </c:pt>
                <c:pt idx="49">
                  <c:v>2020</c:v>
                </c:pt>
                <c:pt idx="50">
                  <c:v>2021</c:v>
                </c:pt>
                <c:pt idx="51">
                  <c:v>2022</c:v>
                </c:pt>
                <c:pt idx="52">
                  <c:v>2023</c:v>
                </c:pt>
              </c:numCache>
            </c:numRef>
          </c:cat>
          <c:val>
            <c:numRef>
              <c:f>'Annex 2_Species Groups'!$C$8:$BN$8</c:f>
              <c:numCache>
                <c:formatCode>_(* #,##0_);_(* \(#,##0\);_(* "-"_);_(@_)</c:formatCode>
                <c:ptCount val="53"/>
                <c:pt idx="0">
                  <c:v>5545</c:v>
                </c:pt>
                <c:pt idx="1">
                  <c:v>9337</c:v>
                </c:pt>
                <c:pt idx="2">
                  <c:v>5321</c:v>
                </c:pt>
                <c:pt idx="3">
                  <c:v>3306</c:v>
                </c:pt>
                <c:pt idx="4">
                  <c:v>4775</c:v>
                </c:pt>
                <c:pt idx="5">
                  <c:v>4432</c:v>
                </c:pt>
                <c:pt idx="6">
                  <c:v>5411</c:v>
                </c:pt>
                <c:pt idx="7">
                  <c:v>3946</c:v>
                </c:pt>
                <c:pt idx="8">
                  <c:v>4127</c:v>
                </c:pt>
                <c:pt idx="9">
                  <c:v>5363</c:v>
                </c:pt>
                <c:pt idx="10">
                  <c:v>5613</c:v>
                </c:pt>
                <c:pt idx="11">
                  <c:v>4922</c:v>
                </c:pt>
                <c:pt idx="12">
                  <c:v>4611</c:v>
                </c:pt>
                <c:pt idx="13">
                  <c:v>4878</c:v>
                </c:pt>
                <c:pt idx="14">
                  <c:v>5452</c:v>
                </c:pt>
                <c:pt idx="15">
                  <c:v>7252</c:v>
                </c:pt>
                <c:pt idx="16">
                  <c:v>8333</c:v>
                </c:pt>
                <c:pt idx="17">
                  <c:v>7054</c:v>
                </c:pt>
                <c:pt idx="18">
                  <c:v>7311</c:v>
                </c:pt>
                <c:pt idx="19">
                  <c:v>6219</c:v>
                </c:pt>
                <c:pt idx="20">
                  <c:v>5626</c:v>
                </c:pt>
                <c:pt idx="21">
                  <c:v>3849</c:v>
                </c:pt>
                <c:pt idx="22">
                  <c:v>4323</c:v>
                </c:pt>
                <c:pt idx="23">
                  <c:v>4702.5</c:v>
                </c:pt>
                <c:pt idx="24">
                  <c:v>5082</c:v>
                </c:pt>
                <c:pt idx="25">
                  <c:v>3102</c:v>
                </c:pt>
                <c:pt idx="26">
                  <c:v>2702</c:v>
                </c:pt>
                <c:pt idx="27">
                  <c:v>3186</c:v>
                </c:pt>
                <c:pt idx="28">
                  <c:v>4370</c:v>
                </c:pt>
                <c:pt idx="29">
                  <c:v>4322</c:v>
                </c:pt>
                <c:pt idx="30">
                  <c:v>5779</c:v>
                </c:pt>
                <c:pt idx="31">
                  <c:v>5186</c:v>
                </c:pt>
                <c:pt idx="32">
                  <c:v>8602</c:v>
                </c:pt>
                <c:pt idx="33">
                  <c:v>5877</c:v>
                </c:pt>
                <c:pt idx="34">
                  <c:v>4653</c:v>
                </c:pt>
                <c:pt idx="35">
                  <c:v>4087</c:v>
                </c:pt>
                <c:pt idx="36">
                  <c:v>3897</c:v>
                </c:pt>
                <c:pt idx="37">
                  <c:v>4015</c:v>
                </c:pt>
                <c:pt idx="38">
                  <c:v>4098</c:v>
                </c:pt>
                <c:pt idx="39">
                  <c:v>3569</c:v>
                </c:pt>
                <c:pt idx="40">
                  <c:v>2637</c:v>
                </c:pt>
                <c:pt idx="41">
                  <c:v>3062</c:v>
                </c:pt>
                <c:pt idx="42">
                  <c:v>3439</c:v>
                </c:pt>
                <c:pt idx="43">
                  <c:v>2946</c:v>
                </c:pt>
                <c:pt idx="44">
                  <c:v>2387</c:v>
                </c:pt>
                <c:pt idx="45">
                  <c:v>3047.72</c:v>
                </c:pt>
                <c:pt idx="46">
                  <c:v>3470.67</c:v>
                </c:pt>
                <c:pt idx="47">
                  <c:v>1921.2</c:v>
                </c:pt>
                <c:pt idx="48">
                  <c:v>1895.1</c:v>
                </c:pt>
                <c:pt idx="49">
                  <c:v>1719.87</c:v>
                </c:pt>
                <c:pt idx="50">
                  <c:v>1362.33</c:v>
                </c:pt>
                <c:pt idx="51">
                  <c:v>908.78</c:v>
                </c:pt>
                <c:pt idx="52">
                  <c:v>844.90000000000009</c:v>
                </c:pt>
              </c:numCache>
            </c:numRef>
          </c:val>
          <c:extLst>
            <c:ext xmlns:c16="http://schemas.microsoft.com/office/drawing/2014/chart" uri="{C3380CC4-5D6E-409C-BE32-E72D297353CC}">
              <c16:uniqueId val="{00000004-5DDD-B243-9CC3-C8AD63357775}"/>
            </c:ext>
          </c:extLst>
        </c:ser>
        <c:ser>
          <c:idx val="5"/>
          <c:order val="5"/>
          <c:tx>
            <c:strRef>
              <c:f>'Annex 2_Species Groups'!$B$9</c:f>
              <c:strCache>
                <c:ptCount val="1"/>
                <c:pt idx="0">
                  <c:v>Tunas and billfishes</c:v>
                </c:pt>
              </c:strCache>
            </c:strRef>
          </c:tx>
          <c:spPr>
            <a:solidFill>
              <a:srgbClr val="FFC000"/>
            </a:solidFill>
            <a:ln>
              <a:noFill/>
            </a:ln>
            <a:effectLst/>
          </c:spPr>
          <c:cat>
            <c:numRef>
              <c:f>'Annex 2_Species Groups'!$C$3:$BN$3</c:f>
              <c:numCache>
                <c:formatCode>General</c:formatCode>
                <c:ptCount val="53"/>
                <c:pt idx="0">
                  <c:v>1971</c:v>
                </c:pt>
                <c:pt idx="1">
                  <c:v>1972</c:v>
                </c:pt>
                <c:pt idx="2">
                  <c:v>1973</c:v>
                </c:pt>
                <c:pt idx="3">
                  <c:v>1974</c:v>
                </c:pt>
                <c:pt idx="4">
                  <c:v>1975</c:v>
                </c:pt>
                <c:pt idx="5">
                  <c:v>1976</c:v>
                </c:pt>
                <c:pt idx="6">
                  <c:v>1977</c:v>
                </c:pt>
                <c:pt idx="7">
                  <c:v>1978</c:v>
                </c:pt>
                <c:pt idx="8">
                  <c:v>1979</c:v>
                </c:pt>
                <c:pt idx="9">
                  <c:v>1980</c:v>
                </c:pt>
                <c:pt idx="10">
                  <c:v>1981</c:v>
                </c:pt>
                <c:pt idx="11">
                  <c:v>1982</c:v>
                </c:pt>
                <c:pt idx="12">
                  <c:v>1983</c:v>
                </c:pt>
                <c:pt idx="13">
                  <c:v>1984</c:v>
                </c:pt>
                <c:pt idx="14">
                  <c:v>1985</c:v>
                </c:pt>
                <c:pt idx="15">
                  <c:v>1986</c:v>
                </c:pt>
                <c:pt idx="16">
                  <c:v>1987</c:v>
                </c:pt>
                <c:pt idx="17">
                  <c:v>1988</c:v>
                </c:pt>
                <c:pt idx="18">
                  <c:v>1989</c:v>
                </c:pt>
                <c:pt idx="19">
                  <c:v>1990</c:v>
                </c:pt>
                <c:pt idx="20">
                  <c:v>1991</c:v>
                </c:pt>
                <c:pt idx="21">
                  <c:v>1992</c:v>
                </c:pt>
                <c:pt idx="22">
                  <c:v>1993</c:v>
                </c:pt>
                <c:pt idx="23">
                  <c:v>1994</c:v>
                </c:pt>
                <c:pt idx="24">
                  <c:v>1995</c:v>
                </c:pt>
                <c:pt idx="25">
                  <c:v>1996</c:v>
                </c:pt>
                <c:pt idx="26">
                  <c:v>1997</c:v>
                </c:pt>
                <c:pt idx="27">
                  <c:v>1998</c:v>
                </c:pt>
                <c:pt idx="28">
                  <c:v>1999</c:v>
                </c:pt>
                <c:pt idx="29">
                  <c:v>2000</c:v>
                </c:pt>
                <c:pt idx="30">
                  <c:v>2001</c:v>
                </c:pt>
                <c:pt idx="31">
                  <c:v>2002</c:v>
                </c:pt>
                <c:pt idx="32">
                  <c:v>2003</c:v>
                </c:pt>
                <c:pt idx="33">
                  <c:v>2004</c:v>
                </c:pt>
                <c:pt idx="34">
                  <c:v>2005</c:v>
                </c:pt>
                <c:pt idx="35">
                  <c:v>2006</c:v>
                </c:pt>
                <c:pt idx="36">
                  <c:v>2007</c:v>
                </c:pt>
                <c:pt idx="37">
                  <c:v>2008</c:v>
                </c:pt>
                <c:pt idx="38">
                  <c:v>2009</c:v>
                </c:pt>
                <c:pt idx="39">
                  <c:v>2010</c:v>
                </c:pt>
                <c:pt idx="40">
                  <c:v>2011</c:v>
                </c:pt>
                <c:pt idx="41">
                  <c:v>2012</c:v>
                </c:pt>
                <c:pt idx="42">
                  <c:v>2013</c:v>
                </c:pt>
                <c:pt idx="43">
                  <c:v>2014</c:v>
                </c:pt>
                <c:pt idx="44">
                  <c:v>2015</c:v>
                </c:pt>
                <c:pt idx="45">
                  <c:v>2016</c:v>
                </c:pt>
                <c:pt idx="46">
                  <c:v>2017</c:v>
                </c:pt>
                <c:pt idx="47">
                  <c:v>2018</c:v>
                </c:pt>
                <c:pt idx="48">
                  <c:v>2019</c:v>
                </c:pt>
                <c:pt idx="49">
                  <c:v>2020</c:v>
                </c:pt>
                <c:pt idx="50">
                  <c:v>2021</c:v>
                </c:pt>
                <c:pt idx="51">
                  <c:v>2022</c:v>
                </c:pt>
                <c:pt idx="52">
                  <c:v>2023</c:v>
                </c:pt>
              </c:numCache>
            </c:numRef>
          </c:cat>
          <c:val>
            <c:numRef>
              <c:f>'Annex 2_Species Groups'!$C$9:$BN$9</c:f>
              <c:numCache>
                <c:formatCode>_(* #,##0_);_(* \(#,##0\);_(* "-"_);_(@_)</c:formatCode>
                <c:ptCount val="53"/>
                <c:pt idx="0">
                  <c:v>3448</c:v>
                </c:pt>
                <c:pt idx="1">
                  <c:v>5722</c:v>
                </c:pt>
                <c:pt idx="2">
                  <c:v>9567</c:v>
                </c:pt>
                <c:pt idx="3">
                  <c:v>8874</c:v>
                </c:pt>
                <c:pt idx="4">
                  <c:v>12793</c:v>
                </c:pt>
                <c:pt idx="5">
                  <c:v>13180</c:v>
                </c:pt>
                <c:pt idx="6">
                  <c:v>19568</c:v>
                </c:pt>
                <c:pt idx="7">
                  <c:v>11195</c:v>
                </c:pt>
                <c:pt idx="8">
                  <c:v>20301</c:v>
                </c:pt>
                <c:pt idx="9">
                  <c:v>19860</c:v>
                </c:pt>
                <c:pt idx="10">
                  <c:v>29041</c:v>
                </c:pt>
                <c:pt idx="11">
                  <c:v>45677</c:v>
                </c:pt>
                <c:pt idx="12">
                  <c:v>88556</c:v>
                </c:pt>
                <c:pt idx="13">
                  <c:v>77021</c:v>
                </c:pt>
                <c:pt idx="14">
                  <c:v>88629</c:v>
                </c:pt>
                <c:pt idx="15">
                  <c:v>96401</c:v>
                </c:pt>
                <c:pt idx="16">
                  <c:v>98898</c:v>
                </c:pt>
                <c:pt idx="17">
                  <c:v>151963</c:v>
                </c:pt>
                <c:pt idx="18">
                  <c:v>122801</c:v>
                </c:pt>
                <c:pt idx="19">
                  <c:v>146014</c:v>
                </c:pt>
                <c:pt idx="20">
                  <c:v>33938</c:v>
                </c:pt>
                <c:pt idx="21">
                  <c:v>33172</c:v>
                </c:pt>
                <c:pt idx="22">
                  <c:v>36345</c:v>
                </c:pt>
                <c:pt idx="23">
                  <c:v>35942.5</c:v>
                </c:pt>
                <c:pt idx="24">
                  <c:v>35540</c:v>
                </c:pt>
                <c:pt idx="25">
                  <c:v>26594</c:v>
                </c:pt>
                <c:pt idx="26">
                  <c:v>24313</c:v>
                </c:pt>
                <c:pt idx="27">
                  <c:v>22890</c:v>
                </c:pt>
                <c:pt idx="28">
                  <c:v>18942</c:v>
                </c:pt>
                <c:pt idx="29">
                  <c:v>14433</c:v>
                </c:pt>
                <c:pt idx="30">
                  <c:v>13524</c:v>
                </c:pt>
                <c:pt idx="31">
                  <c:v>16398</c:v>
                </c:pt>
                <c:pt idx="32">
                  <c:v>26460</c:v>
                </c:pt>
                <c:pt idx="33">
                  <c:v>21435</c:v>
                </c:pt>
                <c:pt idx="34">
                  <c:v>22564</c:v>
                </c:pt>
                <c:pt idx="35">
                  <c:v>17280</c:v>
                </c:pt>
                <c:pt idx="36">
                  <c:v>17045</c:v>
                </c:pt>
                <c:pt idx="37">
                  <c:v>23687</c:v>
                </c:pt>
                <c:pt idx="38">
                  <c:v>23195</c:v>
                </c:pt>
                <c:pt idx="39">
                  <c:v>24003</c:v>
                </c:pt>
                <c:pt idx="40">
                  <c:v>21892</c:v>
                </c:pt>
                <c:pt idx="41">
                  <c:v>28134</c:v>
                </c:pt>
                <c:pt idx="42">
                  <c:v>33336</c:v>
                </c:pt>
                <c:pt idx="43">
                  <c:v>35317</c:v>
                </c:pt>
                <c:pt idx="44">
                  <c:v>37736</c:v>
                </c:pt>
                <c:pt idx="45">
                  <c:v>34609.1</c:v>
                </c:pt>
                <c:pt idx="46">
                  <c:v>38523.31</c:v>
                </c:pt>
                <c:pt idx="47">
                  <c:v>40574.46</c:v>
                </c:pt>
                <c:pt idx="48">
                  <c:v>36934.75</c:v>
                </c:pt>
                <c:pt idx="49">
                  <c:v>33325.54</c:v>
                </c:pt>
                <c:pt idx="50">
                  <c:v>42337.56</c:v>
                </c:pt>
                <c:pt idx="51">
                  <c:v>43775.490000000005</c:v>
                </c:pt>
                <c:pt idx="52">
                  <c:v>47769</c:v>
                </c:pt>
              </c:numCache>
            </c:numRef>
          </c:val>
          <c:extLst>
            <c:ext xmlns:c16="http://schemas.microsoft.com/office/drawing/2014/chart" uri="{C3380CC4-5D6E-409C-BE32-E72D297353CC}">
              <c16:uniqueId val="{00000005-5DDD-B243-9CC3-C8AD63357775}"/>
            </c:ext>
          </c:extLst>
        </c:ser>
        <c:ser>
          <c:idx val="6"/>
          <c:order val="6"/>
          <c:tx>
            <c:strRef>
              <c:f>'Annex 2_Species Groups'!$B$10</c:f>
              <c:strCache>
                <c:ptCount val="1"/>
                <c:pt idx="0">
                  <c:v>Others</c:v>
                </c:pt>
              </c:strCache>
            </c:strRef>
          </c:tx>
          <c:spPr>
            <a:solidFill>
              <a:schemeClr val="accent5">
                <a:lumMod val="50000"/>
              </a:schemeClr>
            </a:solidFill>
            <a:ln>
              <a:noFill/>
            </a:ln>
            <a:effectLst/>
          </c:spPr>
          <c:cat>
            <c:numRef>
              <c:f>'Annex 2_Species Groups'!$C$3:$BN$3</c:f>
              <c:numCache>
                <c:formatCode>General</c:formatCode>
                <c:ptCount val="53"/>
                <c:pt idx="0">
                  <c:v>1971</c:v>
                </c:pt>
                <c:pt idx="1">
                  <c:v>1972</c:v>
                </c:pt>
                <c:pt idx="2">
                  <c:v>1973</c:v>
                </c:pt>
                <c:pt idx="3">
                  <c:v>1974</c:v>
                </c:pt>
                <c:pt idx="4">
                  <c:v>1975</c:v>
                </c:pt>
                <c:pt idx="5">
                  <c:v>1976</c:v>
                </c:pt>
                <c:pt idx="6">
                  <c:v>1977</c:v>
                </c:pt>
                <c:pt idx="7">
                  <c:v>1978</c:v>
                </c:pt>
                <c:pt idx="8">
                  <c:v>1979</c:v>
                </c:pt>
                <c:pt idx="9">
                  <c:v>1980</c:v>
                </c:pt>
                <c:pt idx="10">
                  <c:v>1981</c:v>
                </c:pt>
                <c:pt idx="11">
                  <c:v>1982</c:v>
                </c:pt>
                <c:pt idx="12">
                  <c:v>1983</c:v>
                </c:pt>
                <c:pt idx="13">
                  <c:v>1984</c:v>
                </c:pt>
                <c:pt idx="14">
                  <c:v>1985</c:v>
                </c:pt>
                <c:pt idx="15">
                  <c:v>1986</c:v>
                </c:pt>
                <c:pt idx="16">
                  <c:v>1987</c:v>
                </c:pt>
                <c:pt idx="17">
                  <c:v>1988</c:v>
                </c:pt>
                <c:pt idx="18">
                  <c:v>1989</c:v>
                </c:pt>
                <c:pt idx="19">
                  <c:v>1990</c:v>
                </c:pt>
                <c:pt idx="20">
                  <c:v>1991</c:v>
                </c:pt>
                <c:pt idx="21">
                  <c:v>1992</c:v>
                </c:pt>
                <c:pt idx="22">
                  <c:v>1993</c:v>
                </c:pt>
                <c:pt idx="23">
                  <c:v>1994</c:v>
                </c:pt>
                <c:pt idx="24">
                  <c:v>1995</c:v>
                </c:pt>
                <c:pt idx="25">
                  <c:v>1996</c:v>
                </c:pt>
                <c:pt idx="26">
                  <c:v>1997</c:v>
                </c:pt>
                <c:pt idx="27">
                  <c:v>1998</c:v>
                </c:pt>
                <c:pt idx="28">
                  <c:v>1999</c:v>
                </c:pt>
                <c:pt idx="29">
                  <c:v>2000</c:v>
                </c:pt>
                <c:pt idx="30">
                  <c:v>2001</c:v>
                </c:pt>
                <c:pt idx="31">
                  <c:v>2002</c:v>
                </c:pt>
                <c:pt idx="32">
                  <c:v>2003</c:v>
                </c:pt>
                <c:pt idx="33">
                  <c:v>2004</c:v>
                </c:pt>
                <c:pt idx="34">
                  <c:v>2005</c:v>
                </c:pt>
                <c:pt idx="35">
                  <c:v>2006</c:v>
                </c:pt>
                <c:pt idx="36">
                  <c:v>2007</c:v>
                </c:pt>
                <c:pt idx="37">
                  <c:v>2008</c:v>
                </c:pt>
                <c:pt idx="38">
                  <c:v>2009</c:v>
                </c:pt>
                <c:pt idx="39">
                  <c:v>2010</c:v>
                </c:pt>
                <c:pt idx="40">
                  <c:v>2011</c:v>
                </c:pt>
                <c:pt idx="41">
                  <c:v>2012</c:v>
                </c:pt>
                <c:pt idx="42">
                  <c:v>2013</c:v>
                </c:pt>
                <c:pt idx="43">
                  <c:v>2014</c:v>
                </c:pt>
                <c:pt idx="44">
                  <c:v>2015</c:v>
                </c:pt>
                <c:pt idx="45">
                  <c:v>2016</c:v>
                </c:pt>
                <c:pt idx="46">
                  <c:v>2017</c:v>
                </c:pt>
                <c:pt idx="47">
                  <c:v>2018</c:v>
                </c:pt>
                <c:pt idx="48">
                  <c:v>2019</c:v>
                </c:pt>
                <c:pt idx="49">
                  <c:v>2020</c:v>
                </c:pt>
                <c:pt idx="50">
                  <c:v>2021</c:v>
                </c:pt>
                <c:pt idx="51">
                  <c:v>2022</c:v>
                </c:pt>
                <c:pt idx="52">
                  <c:v>2023</c:v>
                </c:pt>
              </c:numCache>
            </c:numRef>
          </c:cat>
          <c:val>
            <c:numRef>
              <c:f>'Annex 2_Species Groups'!$C$10:$BN$10</c:f>
              <c:numCache>
                <c:formatCode>General</c:formatCode>
                <c:ptCount val="53"/>
                <c:pt idx="4" formatCode="_(* #,##0_);_(* \(#,##0\);_(* &quot;-&quot;_);_(@_)">
                  <c:v>127</c:v>
                </c:pt>
                <c:pt idx="5" formatCode="_(* #,##0_);_(* \(#,##0\);_(* &quot;-&quot;_);_(@_)">
                  <c:v>3448</c:v>
                </c:pt>
                <c:pt idx="6" formatCode="_(* #,##0_);_(* \(#,##0\);_(* &quot;-&quot;_);_(@_)">
                  <c:v>13430</c:v>
                </c:pt>
                <c:pt idx="7" formatCode="_(* #,##0_);_(* \(#,##0\);_(* &quot;-&quot;_);_(@_)">
                  <c:v>31</c:v>
                </c:pt>
                <c:pt idx="8" formatCode="_(* #,##0_);_(* \(#,##0\);_(* &quot;-&quot;_);_(@_)">
                  <c:v>164</c:v>
                </c:pt>
                <c:pt idx="9" formatCode="_(* #,##0_);_(* \(#,##0\);_(* &quot;-&quot;_);_(@_)">
                  <c:v>99</c:v>
                </c:pt>
                <c:pt idx="12" formatCode="_(* #,##0_);_(* \(#,##0\);_(* &quot;-&quot;_);_(@_)">
                  <c:v>5143</c:v>
                </c:pt>
                <c:pt idx="13" formatCode="_(* #,##0_);_(* \(#,##0\);_(* &quot;-&quot;_);_(@_)">
                  <c:v>118</c:v>
                </c:pt>
                <c:pt idx="16" formatCode="_(* #,##0_);_(* \(#,##0\);_(* &quot;-&quot;_);_(@_)">
                  <c:v>3</c:v>
                </c:pt>
                <c:pt idx="20" formatCode="_(* #,##0_);_(* \(#,##0\);_(* &quot;-&quot;_);_(@_)">
                  <c:v>1325</c:v>
                </c:pt>
                <c:pt idx="21" formatCode="_(* #,##0_);_(* \(#,##0\);_(* &quot;-&quot;_);_(@_)">
                  <c:v>1</c:v>
                </c:pt>
                <c:pt idx="22" formatCode="_(* #,##0_);_(* \(#,##0\);_(* &quot;-&quot;_);_(@_)">
                  <c:v>9857</c:v>
                </c:pt>
                <c:pt idx="23" formatCode="_(* #,##0_);_(* \(#,##0\);_(* &quot;-&quot;_);_(@_)">
                  <c:v>13262.5</c:v>
                </c:pt>
                <c:pt idx="24" formatCode="_(* #,##0_);_(* \(#,##0\);_(* &quot;-&quot;_);_(@_)">
                  <c:v>16668</c:v>
                </c:pt>
                <c:pt idx="25" formatCode="_(* #,##0_);_(* \(#,##0\);_(* &quot;-&quot;_);_(@_)">
                  <c:v>17956</c:v>
                </c:pt>
                <c:pt idx="26" formatCode="_(* #,##0_);_(* \(#,##0\);_(* &quot;-&quot;_);_(@_)">
                  <c:v>22425</c:v>
                </c:pt>
                <c:pt idx="27" formatCode="_(* #,##0_);_(* \(#,##0\);_(* &quot;-&quot;_);_(@_)">
                  <c:v>0</c:v>
                </c:pt>
                <c:pt idx="28" formatCode="_(* #,##0_);_(* \(#,##0\);_(* &quot;-&quot;_);_(@_)">
                  <c:v>84554</c:v>
                </c:pt>
                <c:pt idx="29" formatCode="_(* #,##0_);_(* \(#,##0\);_(* &quot;-&quot;_);_(@_)">
                  <c:v>138855</c:v>
                </c:pt>
                <c:pt idx="30" formatCode="_(* #,##0_);_(* \(#,##0\);_(* &quot;-&quot;_);_(@_)">
                  <c:v>48481</c:v>
                </c:pt>
                <c:pt idx="31" formatCode="_(* #,##0_);_(* \(#,##0\);_(* &quot;-&quot;_);_(@_)">
                  <c:v>29286</c:v>
                </c:pt>
                <c:pt idx="32" formatCode="_(* #,##0_);_(* \(#,##0\);_(* &quot;-&quot;_);_(@_)">
                  <c:v>9280</c:v>
                </c:pt>
                <c:pt idx="33" formatCode="_(* #,##0_);_(* \(#,##0\);_(* &quot;-&quot;_);_(@_)">
                  <c:v>1802</c:v>
                </c:pt>
                <c:pt idx="34" formatCode="_(* #,##0_);_(* \(#,##0\);_(* &quot;-&quot;_);_(@_)">
                  <c:v>6782</c:v>
                </c:pt>
                <c:pt idx="35" formatCode="_(* #,##0_);_(* \(#,##0\);_(* &quot;-&quot;_);_(@_)">
                  <c:v>5244</c:v>
                </c:pt>
                <c:pt idx="36" formatCode="_(* #,##0_);_(* \(#,##0\);_(* &quot;-&quot;_);_(@_)">
                  <c:v>8323</c:v>
                </c:pt>
                <c:pt idx="37" formatCode="_(* #,##0_);_(* \(#,##0\);_(* &quot;-&quot;_);_(@_)">
                  <c:v>2873</c:v>
                </c:pt>
                <c:pt idx="38" formatCode="_(* #,##0_);_(* \(#,##0\);_(* &quot;-&quot;_);_(@_)">
                  <c:v>3761</c:v>
                </c:pt>
                <c:pt idx="39" formatCode="_(* #,##0_);_(* \(#,##0\);_(* &quot;-&quot;_);_(@_)">
                  <c:v>4788</c:v>
                </c:pt>
                <c:pt idx="40" formatCode="_(* #,##0_);_(* \(#,##0\);_(* &quot;-&quot;_);_(@_)">
                  <c:v>4737</c:v>
                </c:pt>
                <c:pt idx="41" formatCode="_(* #,##0_);_(* \(#,##0\);_(* &quot;-&quot;_);_(@_)">
                  <c:v>1897</c:v>
                </c:pt>
                <c:pt idx="42" formatCode="_(* #,##0_);_(* \(#,##0\);_(* &quot;-&quot;_);_(@_)">
                  <c:v>2423</c:v>
                </c:pt>
                <c:pt idx="43" formatCode="_(* #,##0_);_(* \(#,##0\);_(* &quot;-&quot;_);_(@_)">
                  <c:v>7708</c:v>
                </c:pt>
                <c:pt idx="44" formatCode="_(* #,##0_);_(* \(#,##0\);_(* &quot;-&quot;_);_(@_)">
                  <c:v>5701</c:v>
                </c:pt>
                <c:pt idx="45" formatCode="_(* #,##0_);_(* \(#,##0\);_(* &quot;-&quot;_);_(@_)">
                  <c:v>10927.33</c:v>
                </c:pt>
                <c:pt idx="46" formatCode="_(* #,##0_);_(* \(#,##0\);_(* &quot;-&quot;_);_(@_)">
                  <c:v>4696.079999999999</c:v>
                </c:pt>
                <c:pt idx="47" formatCode="_(* #,##0_);_(* \(#,##0\);_(* &quot;-&quot;_);_(@_)">
                  <c:v>9516.14</c:v>
                </c:pt>
                <c:pt idx="48" formatCode="_(* #,##0_);_(* \(#,##0\);_(* &quot;-&quot;_);_(@_)">
                  <c:v>2193.4199999999996</c:v>
                </c:pt>
                <c:pt idx="49" formatCode="_(* #,##0_);_(* \(#,##0\);_(* &quot;-&quot;_);_(@_)">
                  <c:v>32565.810000000005</c:v>
                </c:pt>
                <c:pt idx="50" formatCode="_(* #,##0_);_(* \(#,##0\);_(* &quot;-&quot;_);_(@_)">
                  <c:v>4811.7300000000005</c:v>
                </c:pt>
                <c:pt idx="51" formatCode="_(* #,##0_);_(* \(#,##0\);_(* &quot;-&quot;_);_(@_)">
                  <c:v>5298.83</c:v>
                </c:pt>
                <c:pt idx="52" formatCode="_(* #,##0_);_(* \(#,##0\);_(* &quot;-&quot;_);_(@_)">
                  <c:v>5135.4400000000005</c:v>
                </c:pt>
              </c:numCache>
            </c:numRef>
          </c:val>
          <c:extLst>
            <c:ext xmlns:c16="http://schemas.microsoft.com/office/drawing/2014/chart" uri="{C3380CC4-5D6E-409C-BE32-E72D297353CC}">
              <c16:uniqueId val="{00000006-5DDD-B243-9CC3-C8AD63357775}"/>
            </c:ext>
          </c:extLst>
        </c:ser>
        <c:dLbls>
          <c:showLegendKey val="0"/>
          <c:showVal val="0"/>
          <c:showCatName val="0"/>
          <c:showSerName val="0"/>
          <c:showPercent val="0"/>
          <c:showBubbleSize val="0"/>
        </c:dLbls>
        <c:axId val="1421406112"/>
        <c:axId val="1421396512"/>
      </c:areaChart>
      <c:catAx>
        <c:axId val="1421406112"/>
        <c:scaling>
          <c:orientation val="minMax"/>
        </c:scaling>
        <c:delete val="0"/>
        <c:axPos val="b"/>
        <c:numFmt formatCode="General" sourceLinked="1"/>
        <c:majorTickMark val="out"/>
        <c:minorTickMark val="none"/>
        <c:tickLblPos val="nextTo"/>
        <c:spPr>
          <a:noFill/>
          <a:ln w="9525" cap="flat" cmpd="sng" algn="ctr">
            <a:solidFill>
              <a:schemeClr val="tx1"/>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1421396512"/>
        <c:crosses val="autoZero"/>
        <c:auto val="1"/>
        <c:lblAlgn val="ctr"/>
        <c:lblOffset val="100"/>
        <c:noMultiLvlLbl val="0"/>
      </c:catAx>
      <c:valAx>
        <c:axId val="1421396512"/>
        <c:scaling>
          <c:orientation val="minMax"/>
          <c:max val="1600000"/>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a:latin typeface="Times New Roman" panose="02020603050405020304" pitchFamily="18" charset="0"/>
                    <a:cs typeface="Times New Roman" panose="02020603050405020304" pitchFamily="18" charset="0"/>
                  </a:rPr>
                  <a:t>Catch</a:t>
                </a:r>
                <a:r>
                  <a:rPr lang="en-US" baseline="0">
                    <a:latin typeface="Times New Roman" panose="02020603050405020304" pitchFamily="18" charset="0"/>
                    <a:cs typeface="Times New Roman" panose="02020603050405020304" pitchFamily="18" charset="0"/>
                  </a:rPr>
                  <a:t> (tonne)</a:t>
                </a:r>
                <a:endParaRPr lang="en-US">
                  <a:latin typeface="Times New Roman" panose="02020603050405020304" pitchFamily="18" charset="0"/>
                  <a:cs typeface="Times New Roman" panose="02020603050405020304" pitchFamily="18" charset="0"/>
                </a:endParaRP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title>
        <c:numFmt formatCode="_(* #,##0_);_(* \(#,##0\);_(* &quot;-&quot;_);_(@_)" sourceLinked="1"/>
        <c:majorTickMark val="out"/>
        <c:minorTickMark val="none"/>
        <c:tickLblPos val="nextTo"/>
        <c:spPr>
          <a:noFill/>
          <a:ln>
            <a:solidFill>
              <a:schemeClr val="tx1"/>
            </a:solid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1421406112"/>
        <c:crosses val="autoZero"/>
        <c:crossBetween val="midCat"/>
      </c:valAx>
      <c:spPr>
        <a:noFill/>
        <a:ln>
          <a:noFill/>
        </a:ln>
        <a:effectLst/>
      </c:spPr>
    </c:plotArea>
    <c:legend>
      <c:legendPos val="b"/>
      <c:layout>
        <c:manualLayout>
          <c:xMode val="edge"/>
          <c:yMode val="edge"/>
          <c:x val="0.11727303317854501"/>
          <c:y val="0.80517353710471806"/>
          <c:w val="0.84024025842923478"/>
          <c:h val="0.17064266603917558"/>
        </c:manualLayout>
      </c:layout>
      <c:overlay val="0"/>
      <c:spPr>
        <a:noFill/>
        <a:ln>
          <a:noFill/>
        </a:ln>
        <a:effectLst/>
      </c:spPr>
      <c:txPr>
        <a:bodyPr rot="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legend>
    <c:plotVisOnly val="1"/>
    <c:dispBlanksAs val="zero"/>
    <c:showDLblsOverMax val="0"/>
  </c:chart>
  <c:spPr>
    <a:solidFill>
      <a:schemeClr val="bg1"/>
    </a:solidFill>
    <a:ln w="9525" cap="flat" cmpd="sng" algn="ctr">
      <a:noFill/>
      <a:round/>
    </a:ln>
    <a:effectLst/>
  </c:spPr>
  <c:txPr>
    <a:bodyPr/>
    <a:lstStyle/>
    <a:p>
      <a:pPr>
        <a:defRPr/>
      </a:pPr>
      <a:endParaRPr lang="en-U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areaChart>
        <c:grouping val="stacked"/>
        <c:varyColors val="0"/>
        <c:ser>
          <c:idx val="0"/>
          <c:order val="0"/>
          <c:tx>
            <c:strRef>
              <c:f>Sheet1!$B$1</c:f>
              <c:strCache>
                <c:ptCount val="1"/>
                <c:pt idx="0">
                  <c:v>Pair trawl</c:v>
                </c:pt>
              </c:strCache>
            </c:strRef>
          </c:tx>
          <c:spPr>
            <a:solidFill>
              <a:srgbClr val="0070C0"/>
            </a:solidFill>
            <a:ln>
              <a:noFill/>
            </a:ln>
            <a:effectLst/>
          </c:spPr>
          <c:cat>
            <c:numRef>
              <c:f>Sheet1!$A$2:$A$10</c:f>
              <c:numCache>
                <c:formatCode>General</c:formatCode>
                <c:ptCount val="9"/>
                <c:pt idx="0">
                  <c:v>2016</c:v>
                </c:pt>
                <c:pt idx="1">
                  <c:v>2017</c:v>
                </c:pt>
                <c:pt idx="2">
                  <c:v>2018</c:v>
                </c:pt>
                <c:pt idx="3">
                  <c:v>2019</c:v>
                </c:pt>
                <c:pt idx="4">
                  <c:v>2020</c:v>
                </c:pt>
                <c:pt idx="5">
                  <c:v>2021</c:v>
                </c:pt>
                <c:pt idx="6">
                  <c:v>2022</c:v>
                </c:pt>
                <c:pt idx="7">
                  <c:v>2023</c:v>
                </c:pt>
                <c:pt idx="8">
                  <c:v>2024</c:v>
                </c:pt>
              </c:numCache>
            </c:numRef>
          </c:cat>
          <c:val>
            <c:numRef>
              <c:f>Sheet1!$B$2:$B$10</c:f>
              <c:numCache>
                <c:formatCode>#,##0</c:formatCode>
                <c:ptCount val="9"/>
                <c:pt idx="0">
                  <c:v>243274</c:v>
                </c:pt>
                <c:pt idx="1">
                  <c:v>267583</c:v>
                </c:pt>
                <c:pt idx="2">
                  <c:v>289115</c:v>
                </c:pt>
                <c:pt idx="3">
                  <c:v>286943</c:v>
                </c:pt>
                <c:pt idx="4">
                  <c:v>272265</c:v>
                </c:pt>
                <c:pt idx="5">
                  <c:v>265297</c:v>
                </c:pt>
                <c:pt idx="6">
                  <c:v>239430</c:v>
                </c:pt>
                <c:pt idx="7">
                  <c:v>255593</c:v>
                </c:pt>
                <c:pt idx="8">
                  <c:v>243775</c:v>
                </c:pt>
              </c:numCache>
            </c:numRef>
          </c:val>
          <c:extLst>
            <c:ext xmlns:c16="http://schemas.microsoft.com/office/drawing/2014/chart" uri="{C3380CC4-5D6E-409C-BE32-E72D297353CC}">
              <c16:uniqueId val="{00000000-5CFE-7343-8150-23B4A89586D5}"/>
            </c:ext>
          </c:extLst>
        </c:ser>
        <c:ser>
          <c:idx val="1"/>
          <c:order val="1"/>
          <c:tx>
            <c:strRef>
              <c:f>Sheet1!$C$1</c:f>
              <c:strCache>
                <c:ptCount val="1"/>
                <c:pt idx="0">
                  <c:v>Otter board trawl</c:v>
                </c:pt>
              </c:strCache>
            </c:strRef>
          </c:tx>
          <c:spPr>
            <a:solidFill>
              <a:schemeClr val="accent2"/>
            </a:solidFill>
            <a:ln>
              <a:noFill/>
            </a:ln>
            <a:effectLst/>
          </c:spPr>
          <c:cat>
            <c:numRef>
              <c:f>Sheet1!$A$2:$A$10</c:f>
              <c:numCache>
                <c:formatCode>General</c:formatCode>
                <c:ptCount val="9"/>
                <c:pt idx="0">
                  <c:v>2016</c:v>
                </c:pt>
                <c:pt idx="1">
                  <c:v>2017</c:v>
                </c:pt>
                <c:pt idx="2">
                  <c:v>2018</c:v>
                </c:pt>
                <c:pt idx="3">
                  <c:v>2019</c:v>
                </c:pt>
                <c:pt idx="4">
                  <c:v>2020</c:v>
                </c:pt>
                <c:pt idx="5">
                  <c:v>2021</c:v>
                </c:pt>
                <c:pt idx="6">
                  <c:v>2022</c:v>
                </c:pt>
                <c:pt idx="7">
                  <c:v>2023</c:v>
                </c:pt>
                <c:pt idx="8">
                  <c:v>2024</c:v>
                </c:pt>
              </c:numCache>
            </c:numRef>
          </c:cat>
          <c:val>
            <c:numRef>
              <c:f>Sheet1!$C$2:$C$10</c:f>
              <c:numCache>
                <c:formatCode>#,##0</c:formatCode>
                <c:ptCount val="9"/>
                <c:pt idx="0">
                  <c:v>162728</c:v>
                </c:pt>
                <c:pt idx="1">
                  <c:v>158492</c:v>
                </c:pt>
                <c:pt idx="2">
                  <c:v>172341</c:v>
                </c:pt>
                <c:pt idx="3">
                  <c:v>169850</c:v>
                </c:pt>
                <c:pt idx="4">
                  <c:v>135532</c:v>
                </c:pt>
                <c:pt idx="5">
                  <c:v>123786</c:v>
                </c:pt>
                <c:pt idx="6">
                  <c:v>122074</c:v>
                </c:pt>
                <c:pt idx="7">
                  <c:v>119361</c:v>
                </c:pt>
                <c:pt idx="8">
                  <c:v>115856</c:v>
                </c:pt>
              </c:numCache>
            </c:numRef>
          </c:val>
          <c:extLst>
            <c:ext xmlns:c16="http://schemas.microsoft.com/office/drawing/2014/chart" uri="{C3380CC4-5D6E-409C-BE32-E72D297353CC}">
              <c16:uniqueId val="{00000001-5CFE-7343-8150-23B4A89586D5}"/>
            </c:ext>
          </c:extLst>
        </c:ser>
        <c:ser>
          <c:idx val="2"/>
          <c:order val="2"/>
          <c:tx>
            <c:strRef>
              <c:f>Sheet1!$D$1</c:f>
              <c:strCache>
                <c:ptCount val="1"/>
                <c:pt idx="0">
                  <c:v>Beam trawl</c:v>
                </c:pt>
              </c:strCache>
            </c:strRef>
          </c:tx>
          <c:spPr>
            <a:solidFill>
              <a:schemeClr val="accent6">
                <a:lumMod val="75000"/>
              </a:schemeClr>
            </a:solidFill>
            <a:ln>
              <a:noFill/>
            </a:ln>
            <a:effectLst/>
          </c:spPr>
          <c:cat>
            <c:numRef>
              <c:f>Sheet1!$A$2:$A$10</c:f>
              <c:numCache>
                <c:formatCode>General</c:formatCode>
                <c:ptCount val="9"/>
                <c:pt idx="0">
                  <c:v>2016</c:v>
                </c:pt>
                <c:pt idx="1">
                  <c:v>2017</c:v>
                </c:pt>
                <c:pt idx="2">
                  <c:v>2018</c:v>
                </c:pt>
                <c:pt idx="3">
                  <c:v>2019</c:v>
                </c:pt>
                <c:pt idx="4">
                  <c:v>2020</c:v>
                </c:pt>
                <c:pt idx="5">
                  <c:v>2021</c:v>
                </c:pt>
                <c:pt idx="6">
                  <c:v>2022</c:v>
                </c:pt>
                <c:pt idx="7">
                  <c:v>2023</c:v>
                </c:pt>
                <c:pt idx="8">
                  <c:v>2024</c:v>
                </c:pt>
              </c:numCache>
            </c:numRef>
          </c:cat>
          <c:val>
            <c:numRef>
              <c:f>Sheet1!$D$2:$D$10</c:f>
              <c:numCache>
                <c:formatCode>#,##0</c:formatCode>
                <c:ptCount val="9"/>
                <c:pt idx="0">
                  <c:v>16673</c:v>
                </c:pt>
                <c:pt idx="1">
                  <c:v>15856</c:v>
                </c:pt>
                <c:pt idx="2">
                  <c:v>15456</c:v>
                </c:pt>
                <c:pt idx="3">
                  <c:v>14995</c:v>
                </c:pt>
                <c:pt idx="4">
                  <c:v>12657</c:v>
                </c:pt>
                <c:pt idx="5">
                  <c:v>11995</c:v>
                </c:pt>
                <c:pt idx="6">
                  <c:v>12258</c:v>
                </c:pt>
                <c:pt idx="7">
                  <c:v>12775</c:v>
                </c:pt>
                <c:pt idx="8">
                  <c:v>13901</c:v>
                </c:pt>
              </c:numCache>
            </c:numRef>
          </c:val>
          <c:extLst>
            <c:ext xmlns:c16="http://schemas.microsoft.com/office/drawing/2014/chart" uri="{C3380CC4-5D6E-409C-BE32-E72D297353CC}">
              <c16:uniqueId val="{00000002-5CFE-7343-8150-23B4A89586D5}"/>
            </c:ext>
          </c:extLst>
        </c:ser>
        <c:ser>
          <c:idx val="3"/>
          <c:order val="3"/>
          <c:tx>
            <c:strRef>
              <c:f>Sheet1!$E$1</c:f>
              <c:strCache>
                <c:ptCount val="1"/>
                <c:pt idx="0">
                  <c:v>Clam dredge</c:v>
                </c:pt>
              </c:strCache>
            </c:strRef>
          </c:tx>
          <c:spPr>
            <a:solidFill>
              <a:srgbClr val="FFFF00"/>
            </a:solidFill>
            <a:ln>
              <a:noFill/>
            </a:ln>
            <a:effectLst/>
          </c:spPr>
          <c:cat>
            <c:numRef>
              <c:f>Sheet1!$A$2:$A$10</c:f>
              <c:numCache>
                <c:formatCode>General</c:formatCode>
                <c:ptCount val="9"/>
                <c:pt idx="0">
                  <c:v>2016</c:v>
                </c:pt>
                <c:pt idx="1">
                  <c:v>2017</c:v>
                </c:pt>
                <c:pt idx="2">
                  <c:v>2018</c:v>
                </c:pt>
                <c:pt idx="3">
                  <c:v>2019</c:v>
                </c:pt>
                <c:pt idx="4">
                  <c:v>2020</c:v>
                </c:pt>
                <c:pt idx="5">
                  <c:v>2021</c:v>
                </c:pt>
                <c:pt idx="6">
                  <c:v>2022</c:v>
                </c:pt>
                <c:pt idx="7">
                  <c:v>2023</c:v>
                </c:pt>
                <c:pt idx="8">
                  <c:v>2024</c:v>
                </c:pt>
              </c:numCache>
            </c:numRef>
          </c:cat>
          <c:val>
            <c:numRef>
              <c:f>Sheet1!$E$2:$E$10</c:f>
              <c:numCache>
                <c:formatCode>#,##0</c:formatCode>
                <c:ptCount val="9"/>
                <c:pt idx="0">
                  <c:v>18767</c:v>
                </c:pt>
                <c:pt idx="1">
                  <c:v>16913</c:v>
                </c:pt>
                <c:pt idx="2">
                  <c:v>19186</c:v>
                </c:pt>
                <c:pt idx="3">
                  <c:v>25005</c:v>
                </c:pt>
                <c:pt idx="4">
                  <c:v>23743</c:v>
                </c:pt>
                <c:pt idx="5">
                  <c:v>8671</c:v>
                </c:pt>
                <c:pt idx="6">
                  <c:v>6906</c:v>
                </c:pt>
                <c:pt idx="7">
                  <c:v>9433</c:v>
                </c:pt>
                <c:pt idx="8">
                  <c:v>7147</c:v>
                </c:pt>
              </c:numCache>
            </c:numRef>
          </c:val>
          <c:extLst>
            <c:ext xmlns:c16="http://schemas.microsoft.com/office/drawing/2014/chart" uri="{C3380CC4-5D6E-409C-BE32-E72D297353CC}">
              <c16:uniqueId val="{00000003-5CFE-7343-8150-23B4A89586D5}"/>
            </c:ext>
          </c:extLst>
        </c:ser>
        <c:ser>
          <c:idx val="4"/>
          <c:order val="4"/>
          <c:tx>
            <c:strRef>
              <c:f>Sheet1!$F$1</c:f>
              <c:strCache>
                <c:ptCount val="1"/>
                <c:pt idx="0">
                  <c:v>Other gear</c:v>
                </c:pt>
              </c:strCache>
            </c:strRef>
          </c:tx>
          <c:spPr>
            <a:solidFill>
              <a:schemeClr val="accent5"/>
            </a:solidFill>
            <a:ln>
              <a:noFill/>
            </a:ln>
            <a:effectLst/>
          </c:spPr>
          <c:cat>
            <c:numRef>
              <c:f>Sheet1!$A$2:$A$10</c:f>
              <c:numCache>
                <c:formatCode>General</c:formatCode>
                <c:ptCount val="9"/>
                <c:pt idx="0">
                  <c:v>2016</c:v>
                </c:pt>
                <c:pt idx="1">
                  <c:v>2017</c:v>
                </c:pt>
                <c:pt idx="2">
                  <c:v>2018</c:v>
                </c:pt>
                <c:pt idx="3">
                  <c:v>2019</c:v>
                </c:pt>
                <c:pt idx="4">
                  <c:v>2020</c:v>
                </c:pt>
                <c:pt idx="5">
                  <c:v>2021</c:v>
                </c:pt>
                <c:pt idx="6">
                  <c:v>2022</c:v>
                </c:pt>
                <c:pt idx="7">
                  <c:v>2023</c:v>
                </c:pt>
                <c:pt idx="8">
                  <c:v>2024</c:v>
                </c:pt>
              </c:numCache>
            </c:numRef>
          </c:cat>
          <c:val>
            <c:numRef>
              <c:f>Sheet1!$F$2:$F$10</c:f>
              <c:numCache>
                <c:formatCode>#,##0</c:formatCode>
                <c:ptCount val="9"/>
                <c:pt idx="0">
                  <c:v>508777</c:v>
                </c:pt>
                <c:pt idx="1">
                  <c:v>465560</c:v>
                </c:pt>
                <c:pt idx="2">
                  <c:v>530618</c:v>
                </c:pt>
                <c:pt idx="3">
                  <c:v>543265</c:v>
                </c:pt>
                <c:pt idx="4">
                  <c:v>518140</c:v>
                </c:pt>
                <c:pt idx="5">
                  <c:v>494186</c:v>
                </c:pt>
                <c:pt idx="6">
                  <c:v>571258</c:v>
                </c:pt>
                <c:pt idx="7">
                  <c:v>625367</c:v>
                </c:pt>
                <c:pt idx="8">
                  <c:v>586276</c:v>
                </c:pt>
              </c:numCache>
            </c:numRef>
          </c:val>
          <c:extLst>
            <c:ext xmlns:c16="http://schemas.microsoft.com/office/drawing/2014/chart" uri="{C3380CC4-5D6E-409C-BE32-E72D297353CC}">
              <c16:uniqueId val="{00000004-5CFE-7343-8150-23B4A89586D5}"/>
            </c:ext>
          </c:extLst>
        </c:ser>
        <c:dLbls>
          <c:showLegendKey val="0"/>
          <c:showVal val="0"/>
          <c:showCatName val="0"/>
          <c:showSerName val="0"/>
          <c:showPercent val="0"/>
          <c:showBubbleSize val="0"/>
        </c:dLbls>
        <c:axId val="1608697488"/>
        <c:axId val="1608685968"/>
      </c:areaChart>
      <c:catAx>
        <c:axId val="1608697488"/>
        <c:scaling>
          <c:orientation val="minMax"/>
        </c:scaling>
        <c:delete val="0"/>
        <c:axPos val="b"/>
        <c:numFmt formatCode="General" sourceLinked="1"/>
        <c:majorTickMark val="out"/>
        <c:minorTickMark val="none"/>
        <c:tickLblPos val="nextTo"/>
        <c:spPr>
          <a:noFill/>
          <a:ln w="9525" cap="flat" cmpd="sng" algn="ctr">
            <a:solidFill>
              <a:schemeClr val="tx1"/>
            </a:solidFill>
            <a:round/>
          </a:ln>
          <a:effectLst/>
        </c:spPr>
        <c:txPr>
          <a:bodyPr rot="-6000000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1608685968"/>
        <c:crosses val="autoZero"/>
        <c:auto val="1"/>
        <c:lblAlgn val="ctr"/>
        <c:lblOffset val="100"/>
        <c:noMultiLvlLbl val="0"/>
      </c:catAx>
      <c:valAx>
        <c:axId val="1608685968"/>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5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en-US" sz="1050">
                    <a:solidFill>
                      <a:sysClr val="windowText" lastClr="000000"/>
                    </a:solidFill>
                    <a:latin typeface="Times New Roman" panose="02020603050405020304" pitchFamily="18" charset="0"/>
                    <a:cs typeface="Times New Roman" panose="02020603050405020304" pitchFamily="18" charset="0"/>
                  </a:rPr>
                  <a:t>Catch (tonne)</a:t>
                </a:r>
              </a:p>
            </c:rich>
          </c:tx>
          <c:overlay val="0"/>
          <c:spPr>
            <a:noFill/>
            <a:ln>
              <a:noFill/>
            </a:ln>
            <a:effectLst/>
          </c:spPr>
          <c:txPr>
            <a:bodyPr rot="-5400000" spcFirstLastPara="1" vertOverflow="ellipsis" vert="horz" wrap="square" anchor="ctr" anchorCtr="1"/>
            <a:lstStyle/>
            <a:p>
              <a:pPr>
                <a:defRPr sz="105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title>
        <c:numFmt formatCode="#,##0" sourceLinked="1"/>
        <c:majorTickMark val="out"/>
        <c:minorTickMark val="none"/>
        <c:tickLblPos val="nextTo"/>
        <c:spPr>
          <a:noFill/>
          <a:ln>
            <a:solidFill>
              <a:schemeClr val="tx1"/>
            </a:solidFill>
          </a:ln>
          <a:effectLst/>
        </c:spPr>
        <c:txPr>
          <a:bodyPr rot="-6000000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1608697488"/>
        <c:crosses val="autoZero"/>
        <c:crossBetween val="midCat"/>
      </c:valAx>
      <c:spPr>
        <a:noFill/>
        <a:ln>
          <a:noFill/>
        </a:ln>
        <a:effectLst/>
      </c:spPr>
    </c:plotArea>
    <c:legend>
      <c:legendPos val="b"/>
      <c:overlay val="0"/>
      <c:spPr>
        <a:noFill/>
        <a:ln>
          <a:noFill/>
        </a:ln>
        <a:effectLst/>
      </c:spPr>
      <c:txPr>
        <a:bodyPr rot="0" spcFirstLastPara="1" vertOverflow="ellipsis" vert="horz" wrap="square" anchor="ctr" anchorCtr="1"/>
        <a:lstStyle/>
        <a:p>
          <a:pPr>
            <a:defRPr sz="11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legend>
    <c:plotVisOnly val="1"/>
    <c:dispBlanksAs val="zero"/>
    <c:showDLblsOverMax val="0"/>
  </c:chart>
  <c:spPr>
    <a:solidFill>
      <a:schemeClr val="bg1"/>
    </a:solidFill>
    <a:ln w="9525" cap="flat" cmpd="sng" algn="ctr">
      <a:noFill/>
      <a:round/>
    </a:ln>
    <a:effectLst/>
  </c:spPr>
  <c:txPr>
    <a:bodyPr/>
    <a:lstStyle/>
    <a:p>
      <a:pPr>
        <a:defRPr/>
      </a:pPr>
      <a:endParaRPr lang="en-US"/>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1"/>
          <c:order val="0"/>
          <c:tx>
            <c:strRef>
              <c:f>Sheet2!$B$1</c:f>
              <c:strCache>
                <c:ptCount val="1"/>
                <c:pt idx="0">
                  <c:v>MTI</c:v>
                </c:pt>
              </c:strCache>
            </c:strRef>
          </c:tx>
          <c:spPr>
            <a:ln w="28575" cap="rnd">
              <a:solidFill>
                <a:srgbClr val="0070C0"/>
              </a:solidFill>
              <a:round/>
            </a:ln>
            <a:effectLst/>
          </c:spPr>
          <c:marker>
            <c:symbol val="none"/>
          </c:marker>
          <c:cat>
            <c:numRef>
              <c:f>Sheet2!$A$2:$A$35</c:f>
              <c:numCache>
                <c:formatCode>General</c:formatCode>
                <c:ptCount val="34"/>
                <c:pt idx="0">
                  <c:v>1990</c:v>
                </c:pt>
                <c:pt idx="1">
                  <c:v>1991</c:v>
                </c:pt>
                <c:pt idx="2">
                  <c:v>1992</c:v>
                </c:pt>
                <c:pt idx="3">
                  <c:v>1993</c:v>
                </c:pt>
                <c:pt idx="4">
                  <c:v>1994</c:v>
                </c:pt>
                <c:pt idx="5">
                  <c:v>1995</c:v>
                </c:pt>
                <c:pt idx="6">
                  <c:v>1996</c:v>
                </c:pt>
                <c:pt idx="7">
                  <c:v>1997</c:v>
                </c:pt>
                <c:pt idx="8">
                  <c:v>1998</c:v>
                </c:pt>
                <c:pt idx="9">
                  <c:v>1999</c:v>
                </c:pt>
                <c:pt idx="10">
                  <c:v>2000</c:v>
                </c:pt>
                <c:pt idx="11">
                  <c:v>2001</c:v>
                </c:pt>
                <c:pt idx="12">
                  <c:v>2002</c:v>
                </c:pt>
                <c:pt idx="13">
                  <c:v>2003</c:v>
                </c:pt>
                <c:pt idx="14">
                  <c:v>2004</c:v>
                </c:pt>
                <c:pt idx="15">
                  <c:v>2005</c:v>
                </c:pt>
                <c:pt idx="16">
                  <c:v>2006</c:v>
                </c:pt>
                <c:pt idx="17">
                  <c:v>2007</c:v>
                </c:pt>
                <c:pt idx="18">
                  <c:v>2008</c:v>
                </c:pt>
                <c:pt idx="19">
                  <c:v>2009</c:v>
                </c:pt>
                <c:pt idx="20">
                  <c:v>2010</c:v>
                </c:pt>
                <c:pt idx="21">
                  <c:v>2011</c:v>
                </c:pt>
                <c:pt idx="22">
                  <c:v>2012</c:v>
                </c:pt>
                <c:pt idx="23">
                  <c:v>2013</c:v>
                </c:pt>
                <c:pt idx="24">
                  <c:v>2014</c:v>
                </c:pt>
                <c:pt idx="25">
                  <c:v>2015</c:v>
                </c:pt>
                <c:pt idx="26">
                  <c:v>2016</c:v>
                </c:pt>
                <c:pt idx="27">
                  <c:v>2017</c:v>
                </c:pt>
                <c:pt idx="28">
                  <c:v>2018</c:v>
                </c:pt>
                <c:pt idx="29">
                  <c:v>2019</c:v>
                </c:pt>
                <c:pt idx="30">
                  <c:v>2020</c:v>
                </c:pt>
                <c:pt idx="31">
                  <c:v>2021</c:v>
                </c:pt>
                <c:pt idx="32">
                  <c:v>2022</c:v>
                </c:pt>
                <c:pt idx="33">
                  <c:v>2023</c:v>
                </c:pt>
              </c:numCache>
            </c:numRef>
          </c:cat>
          <c:val>
            <c:numRef>
              <c:f>Sheet2!$B$2:$B$35</c:f>
              <c:numCache>
                <c:formatCode>General</c:formatCode>
                <c:ptCount val="34"/>
                <c:pt idx="0">
                  <c:v>3.7890000000000001</c:v>
                </c:pt>
                <c:pt idx="1">
                  <c:v>3.7883</c:v>
                </c:pt>
                <c:pt idx="2">
                  <c:v>3.7911000000000001</c:v>
                </c:pt>
                <c:pt idx="3">
                  <c:v>3.8088000000000002</c:v>
                </c:pt>
                <c:pt idx="4">
                  <c:v>3.7682000000000002</c:v>
                </c:pt>
                <c:pt idx="5">
                  <c:v>3.8109999999999999</c:v>
                </c:pt>
                <c:pt idx="6">
                  <c:v>3.8119000000000001</c:v>
                </c:pt>
                <c:pt idx="7">
                  <c:v>3.8462000000000001</c:v>
                </c:pt>
                <c:pt idx="8">
                  <c:v>3.7967</c:v>
                </c:pt>
                <c:pt idx="9">
                  <c:v>3.8386</c:v>
                </c:pt>
                <c:pt idx="10">
                  <c:v>3.7115999999999998</c:v>
                </c:pt>
                <c:pt idx="11">
                  <c:v>3.7521</c:v>
                </c:pt>
                <c:pt idx="12">
                  <c:v>3.7595000000000001</c:v>
                </c:pt>
                <c:pt idx="13">
                  <c:v>3.7467000000000001</c:v>
                </c:pt>
                <c:pt idx="14">
                  <c:v>3.7246999999999999</c:v>
                </c:pt>
                <c:pt idx="15">
                  <c:v>3.6962999999999999</c:v>
                </c:pt>
                <c:pt idx="16">
                  <c:v>3.6968999999999999</c:v>
                </c:pt>
                <c:pt idx="17">
                  <c:v>3.7153999999999998</c:v>
                </c:pt>
                <c:pt idx="18">
                  <c:v>3.7414000000000001</c:v>
                </c:pt>
                <c:pt idx="19">
                  <c:v>3.6959</c:v>
                </c:pt>
                <c:pt idx="20">
                  <c:v>3.7307999999999999</c:v>
                </c:pt>
                <c:pt idx="21">
                  <c:v>3.7589999999999999</c:v>
                </c:pt>
                <c:pt idx="22">
                  <c:v>3.7614000000000001</c:v>
                </c:pt>
                <c:pt idx="23">
                  <c:v>3.7610999999999999</c:v>
                </c:pt>
                <c:pt idx="24">
                  <c:v>3.7353000000000001</c:v>
                </c:pt>
                <c:pt idx="25">
                  <c:v>3.7218</c:v>
                </c:pt>
                <c:pt idx="26">
                  <c:v>3.7256999999999998</c:v>
                </c:pt>
                <c:pt idx="27">
                  <c:v>3.7284999999999999</c:v>
                </c:pt>
                <c:pt idx="28">
                  <c:v>3.7328999999999999</c:v>
                </c:pt>
                <c:pt idx="29">
                  <c:v>3.7389999999999999</c:v>
                </c:pt>
                <c:pt idx="30">
                  <c:v>3.7481</c:v>
                </c:pt>
                <c:pt idx="31">
                  <c:v>3.7421000000000002</c:v>
                </c:pt>
                <c:pt idx="32">
                  <c:v>3.7532000000000001</c:v>
                </c:pt>
                <c:pt idx="33">
                  <c:v>3.7650999999999999</c:v>
                </c:pt>
              </c:numCache>
            </c:numRef>
          </c:val>
          <c:smooth val="0"/>
          <c:extLst>
            <c:ext xmlns:c16="http://schemas.microsoft.com/office/drawing/2014/chart" uri="{C3380CC4-5D6E-409C-BE32-E72D297353CC}">
              <c16:uniqueId val="{00000000-E83D-914C-BE8D-9F831F8E3EEE}"/>
            </c:ext>
          </c:extLst>
        </c:ser>
        <c:dLbls>
          <c:showLegendKey val="0"/>
          <c:showVal val="0"/>
          <c:showCatName val="0"/>
          <c:showSerName val="0"/>
          <c:showPercent val="0"/>
          <c:showBubbleSize val="0"/>
        </c:dLbls>
        <c:smooth val="0"/>
        <c:axId val="796181535"/>
        <c:axId val="796182495"/>
      </c:lineChart>
      <c:catAx>
        <c:axId val="796181535"/>
        <c:scaling>
          <c:orientation val="minMax"/>
        </c:scaling>
        <c:delete val="0"/>
        <c:axPos val="b"/>
        <c:numFmt formatCode="General" sourceLinked="1"/>
        <c:majorTickMark val="out"/>
        <c:minorTickMark val="none"/>
        <c:tickLblPos val="nextTo"/>
        <c:spPr>
          <a:noFill/>
          <a:ln w="9525" cap="flat" cmpd="sng" algn="ctr">
            <a:solidFill>
              <a:schemeClr val="tx1"/>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796182495"/>
        <c:crosses val="autoZero"/>
        <c:auto val="1"/>
        <c:lblAlgn val="ctr"/>
        <c:lblOffset val="100"/>
        <c:noMultiLvlLbl val="0"/>
      </c:catAx>
      <c:valAx>
        <c:axId val="796182495"/>
        <c:scaling>
          <c:orientation val="minMax"/>
        </c:scaling>
        <c:delete val="0"/>
        <c:axPos val="l"/>
        <c:majorGridlines>
          <c:spPr>
            <a:ln w="9525" cap="flat" cmpd="sng" algn="ctr">
              <a:solidFill>
                <a:schemeClr val="tx1">
                  <a:lumMod val="15000"/>
                  <a:lumOff val="85000"/>
                </a:schemeClr>
              </a:solidFill>
              <a:round/>
            </a:ln>
            <a:effectLst/>
          </c:spPr>
        </c:majorGridlines>
        <c:numFmt formatCode="#,##0.00" sourceLinked="0"/>
        <c:majorTickMark val="out"/>
        <c:minorTickMark val="none"/>
        <c:tickLblPos val="nextTo"/>
        <c:spPr>
          <a:noFill/>
          <a:ln>
            <a:solidFill>
              <a:schemeClr val="tx1"/>
            </a:solid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796181535"/>
        <c:crosses val="autoZero"/>
        <c:crossBetween val="between"/>
      </c:valAx>
      <c:spPr>
        <a:noFill/>
        <a:ln>
          <a:noFill/>
        </a:ln>
        <a:effectLst/>
      </c:spPr>
    </c:plotArea>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noFill/>
      <a:round/>
    </a:ln>
    <a:effectLst/>
  </c:spPr>
  <c:txPr>
    <a:bodyPr/>
    <a:lstStyle/>
    <a:p>
      <a:pPr>
        <a:defRPr/>
      </a:pPr>
      <a:endParaRPr lang="en-US"/>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6.9577115232259207E-2"/>
          <c:y val="7.0303030303030298E-2"/>
          <c:w val="0.88487054492931705"/>
          <c:h val="0.87994750656167975"/>
        </c:manualLayout>
      </c:layout>
      <c:barChart>
        <c:barDir val="col"/>
        <c:grouping val="clustered"/>
        <c:varyColors val="0"/>
        <c:ser>
          <c:idx val="0"/>
          <c:order val="1"/>
          <c:tx>
            <c:strRef>
              <c:f>Sheet1!$B$1</c:f>
              <c:strCache>
                <c:ptCount val="1"/>
                <c:pt idx="0">
                  <c:v>GDP (current million US$)</c:v>
                </c:pt>
              </c:strCache>
            </c:strRef>
          </c:tx>
          <c:spPr>
            <a:solidFill>
              <a:schemeClr val="accent1"/>
            </a:solidFill>
            <a:ln>
              <a:noFill/>
            </a:ln>
            <a:effectLst/>
          </c:spPr>
          <c:invertIfNegative val="0"/>
          <c:dLbls>
            <c:spPr>
              <a:noFill/>
              <a:ln>
                <a:noFill/>
              </a:ln>
              <a:effectLst/>
            </c:spPr>
            <c:txPr>
              <a:bodyPr rot="0" spcFirstLastPara="1" vertOverflow="ellipsis" vert="horz" wrap="square" anchor="ctr" anchorCtr="1"/>
              <a:lstStyle/>
              <a:p>
                <a:pPr>
                  <a:defRPr sz="700" b="1" i="0" u="none" strike="noStrike" kern="1200" baseline="0">
                    <a:solidFill>
                      <a:schemeClr val="tx1">
                        <a:lumMod val="75000"/>
                        <a:lumOff val="25000"/>
                      </a:schemeClr>
                    </a:solidFill>
                    <a:latin typeface="Arial" panose="020B0604020202020204" pitchFamily="34" charset="0"/>
                    <a:ea typeface="+mn-ea"/>
                    <a:cs typeface="Arial" panose="020B0604020202020204" pitchFamily="34" charset="0"/>
                  </a:defRPr>
                </a:pPr>
                <a:endParaRPr lang="th-TH"/>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Sheet1!$A$2:$A$26</c:f>
              <c:numCache>
                <c:formatCode>General</c:formatCode>
                <c:ptCount val="25"/>
                <c:pt idx="0">
                  <c:v>2000</c:v>
                </c:pt>
                <c:pt idx="1">
                  <c:v>2001</c:v>
                </c:pt>
                <c:pt idx="2">
                  <c:v>2002</c:v>
                </c:pt>
                <c:pt idx="3">
                  <c:v>2003</c:v>
                </c:pt>
                <c:pt idx="4">
                  <c:v>2004</c:v>
                </c:pt>
                <c:pt idx="5">
                  <c:v>2005</c:v>
                </c:pt>
                <c:pt idx="6">
                  <c:v>2006</c:v>
                </c:pt>
                <c:pt idx="7">
                  <c:v>2007</c:v>
                </c:pt>
                <c:pt idx="8">
                  <c:v>2008</c:v>
                </c:pt>
                <c:pt idx="9">
                  <c:v>2009</c:v>
                </c:pt>
                <c:pt idx="10">
                  <c:v>2010</c:v>
                </c:pt>
                <c:pt idx="11">
                  <c:v>2011</c:v>
                </c:pt>
                <c:pt idx="12">
                  <c:v>2012</c:v>
                </c:pt>
                <c:pt idx="13">
                  <c:v>2013</c:v>
                </c:pt>
                <c:pt idx="14">
                  <c:v>2014</c:v>
                </c:pt>
                <c:pt idx="15">
                  <c:v>2015</c:v>
                </c:pt>
                <c:pt idx="16">
                  <c:v>2016</c:v>
                </c:pt>
                <c:pt idx="17">
                  <c:v>2017</c:v>
                </c:pt>
                <c:pt idx="18">
                  <c:v>2018</c:v>
                </c:pt>
                <c:pt idx="19">
                  <c:v>2019</c:v>
                </c:pt>
                <c:pt idx="20">
                  <c:v>2020</c:v>
                </c:pt>
                <c:pt idx="21">
                  <c:v>2021</c:v>
                </c:pt>
                <c:pt idx="22">
                  <c:v>2022</c:v>
                </c:pt>
                <c:pt idx="23">
                  <c:v>2023</c:v>
                </c:pt>
                <c:pt idx="24">
                  <c:v>2024</c:v>
                </c:pt>
              </c:numCache>
            </c:numRef>
          </c:cat>
          <c:val>
            <c:numRef>
              <c:f>Sheet1!$B$2:$B$26</c:f>
              <c:numCache>
                <c:formatCode>0.0</c:formatCode>
                <c:ptCount val="25"/>
                <c:pt idx="0">
                  <c:v>126.39222425379383</c:v>
                </c:pt>
                <c:pt idx="1">
                  <c:v>120.29647618040192</c:v>
                </c:pt>
                <c:pt idx="2">
                  <c:v>134.30090440002175</c:v>
                </c:pt>
                <c:pt idx="3">
                  <c:v>152.28061524588742</c:v>
                </c:pt>
                <c:pt idx="4">
                  <c:v>172.89568515465817</c:v>
                </c:pt>
                <c:pt idx="5">
                  <c:v>189.31840846859521</c:v>
                </c:pt>
                <c:pt idx="6">
                  <c:v>221.75829602162062</c:v>
                </c:pt>
                <c:pt idx="7">
                  <c:v>262.94262145505292</c:v>
                </c:pt>
                <c:pt idx="8">
                  <c:v>291.38298243095147</c:v>
                </c:pt>
                <c:pt idx="9">
                  <c:v>281.71063018731911</c:v>
                </c:pt>
                <c:pt idx="10">
                  <c:v>341.10476632916965</c:v>
                </c:pt>
                <c:pt idx="11">
                  <c:v>370.81873962362192</c:v>
                </c:pt>
                <c:pt idx="12">
                  <c:v>397.5583252785791</c:v>
                </c:pt>
                <c:pt idx="13">
                  <c:v>420.33365459254708</c:v>
                </c:pt>
                <c:pt idx="14">
                  <c:v>407.33904019765129</c:v>
                </c:pt>
                <c:pt idx="15">
                  <c:v>401.29623822808389</c:v>
                </c:pt>
                <c:pt idx="16">
                  <c:v>413.36634974750808</c:v>
                </c:pt>
                <c:pt idx="17">
                  <c:v>456.3568135367637</c:v>
                </c:pt>
                <c:pt idx="18">
                  <c:v>506.7542084044847</c:v>
                </c:pt>
                <c:pt idx="19">
                  <c:v>543.97669179388583</c:v>
                </c:pt>
                <c:pt idx="20">
                  <c:v>500.46189848024551</c:v>
                </c:pt>
                <c:pt idx="21">
                  <c:v>506.1946687899366</c:v>
                </c:pt>
                <c:pt idx="22">
                  <c:v>495.64469758766057</c:v>
                </c:pt>
                <c:pt idx="23">
                  <c:v>515.90628394093267</c:v>
                </c:pt>
                <c:pt idx="24">
                  <c:v>526.41126542768257</c:v>
                </c:pt>
              </c:numCache>
            </c:numRef>
          </c:val>
          <c:extLst>
            <c:ext xmlns:c16="http://schemas.microsoft.com/office/drawing/2014/chart" uri="{C3380CC4-5D6E-409C-BE32-E72D297353CC}">
              <c16:uniqueId val="{00000000-F6D7-D547-AD21-39E09B2E744B}"/>
            </c:ext>
          </c:extLst>
        </c:ser>
        <c:dLbls>
          <c:showLegendKey val="0"/>
          <c:showVal val="0"/>
          <c:showCatName val="0"/>
          <c:showSerName val="0"/>
          <c:showPercent val="0"/>
          <c:showBubbleSize val="0"/>
        </c:dLbls>
        <c:gapWidth val="150"/>
        <c:axId val="173240207"/>
        <c:axId val="76897055"/>
      </c:barChart>
      <c:lineChart>
        <c:grouping val="standard"/>
        <c:varyColors val="0"/>
        <c:ser>
          <c:idx val="1"/>
          <c:order val="0"/>
          <c:tx>
            <c:strRef>
              <c:f>Sheet1!$C$1</c:f>
              <c:strCache>
                <c:ptCount val="1"/>
                <c:pt idx="0">
                  <c:v>GDP growth (annual %)</c:v>
                </c:pt>
              </c:strCache>
            </c:strRef>
          </c:tx>
          <c:spPr>
            <a:ln w="28575" cap="rnd">
              <a:solidFill>
                <a:schemeClr val="accent2"/>
              </a:solidFill>
              <a:round/>
            </a:ln>
            <a:effectLst/>
          </c:spPr>
          <c:marker>
            <c:symbol val="square"/>
            <c:size val="5"/>
            <c:spPr>
              <a:solidFill>
                <a:schemeClr val="accent2"/>
              </a:solidFill>
              <a:ln w="9525">
                <a:solidFill>
                  <a:schemeClr val="accent2"/>
                </a:solidFill>
              </a:ln>
              <a:effectLst/>
            </c:spPr>
          </c:marker>
          <c:dLbls>
            <c:dLbl>
              <c:idx val="9"/>
              <c:layout>
                <c:manualLayout>
                  <c:x val="-2.4029616480285593E-2"/>
                  <c:y val="-5.5798020746956528E-2"/>
                </c:manualLayout>
              </c:layout>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F6D7-D547-AD21-39E09B2E744B}"/>
                </c:ext>
              </c:extLst>
            </c:dLbl>
            <c:dLbl>
              <c:idx val="11"/>
              <c:layout>
                <c:manualLayout>
                  <c:x val="-1.4065316018344128E-2"/>
                  <c:y val="1.605304624950684E-2"/>
                </c:manualLayout>
              </c:layout>
              <c:dLblPos val="r"/>
              <c:showLegendKey val="0"/>
              <c:showVal val="1"/>
              <c:showCatName val="0"/>
              <c:showSerName val="0"/>
              <c:showPercent val="0"/>
              <c:showBubbleSize val="0"/>
              <c:extLst>
                <c:ext xmlns:c15="http://schemas.microsoft.com/office/drawing/2012/chart" uri="{CE6537A1-D6FC-4f65-9D91-7224C49458BB}">
                  <c15:layout>
                    <c:manualLayout>
                      <c:w val="3.6686257390310811E-2"/>
                      <c:h val="5.7590837508947744E-2"/>
                    </c:manualLayout>
                  </c15:layout>
                </c:ext>
                <c:ext xmlns:c16="http://schemas.microsoft.com/office/drawing/2014/chart" uri="{C3380CC4-5D6E-409C-BE32-E72D297353CC}">
                  <c16:uniqueId val="{00000002-F6D7-D547-AD21-39E09B2E744B}"/>
                </c:ext>
              </c:extLst>
            </c:dLbl>
            <c:dLbl>
              <c:idx val="20"/>
              <c:layout>
                <c:manualLayout>
                  <c:x val="-2.5018863145186934E-2"/>
                  <c:y val="-6.779918873777141E-2"/>
                </c:manualLayout>
              </c:layout>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F6D7-D547-AD21-39E09B2E744B}"/>
                </c:ext>
              </c:extLst>
            </c:dLbl>
            <c:spPr>
              <a:noFill/>
              <a:ln>
                <a:noFill/>
              </a:ln>
              <a:effectLst/>
            </c:spPr>
            <c:txPr>
              <a:bodyPr rot="0" spcFirstLastPara="1" vertOverflow="ellipsis" vert="horz" wrap="square" anchor="ctr" anchorCtr="1"/>
              <a:lstStyle/>
              <a:p>
                <a:pPr>
                  <a:defRPr sz="700" b="1" i="0" u="none" strike="noStrike" kern="1200" baseline="0">
                    <a:solidFill>
                      <a:schemeClr val="tx1">
                        <a:lumMod val="75000"/>
                        <a:lumOff val="25000"/>
                      </a:schemeClr>
                    </a:solidFill>
                    <a:latin typeface="Arial" panose="020B0604020202020204" pitchFamily="34" charset="0"/>
                    <a:ea typeface="+mn-ea"/>
                    <a:cs typeface="Arial" panose="020B0604020202020204" pitchFamily="34" charset="0"/>
                  </a:defRPr>
                </a:pPr>
                <a:endParaRPr lang="th-TH"/>
              </a:p>
            </c:txPr>
            <c:dLblPos val="t"/>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Sheet1!$A$2:$A$26</c:f>
              <c:numCache>
                <c:formatCode>General</c:formatCode>
                <c:ptCount val="25"/>
                <c:pt idx="0">
                  <c:v>2000</c:v>
                </c:pt>
                <c:pt idx="1">
                  <c:v>2001</c:v>
                </c:pt>
                <c:pt idx="2">
                  <c:v>2002</c:v>
                </c:pt>
                <c:pt idx="3">
                  <c:v>2003</c:v>
                </c:pt>
                <c:pt idx="4">
                  <c:v>2004</c:v>
                </c:pt>
                <c:pt idx="5">
                  <c:v>2005</c:v>
                </c:pt>
                <c:pt idx="6">
                  <c:v>2006</c:v>
                </c:pt>
                <c:pt idx="7">
                  <c:v>2007</c:v>
                </c:pt>
                <c:pt idx="8">
                  <c:v>2008</c:v>
                </c:pt>
                <c:pt idx="9">
                  <c:v>2009</c:v>
                </c:pt>
                <c:pt idx="10">
                  <c:v>2010</c:v>
                </c:pt>
                <c:pt idx="11">
                  <c:v>2011</c:v>
                </c:pt>
                <c:pt idx="12">
                  <c:v>2012</c:v>
                </c:pt>
                <c:pt idx="13">
                  <c:v>2013</c:v>
                </c:pt>
                <c:pt idx="14">
                  <c:v>2014</c:v>
                </c:pt>
                <c:pt idx="15">
                  <c:v>2015</c:v>
                </c:pt>
                <c:pt idx="16">
                  <c:v>2016</c:v>
                </c:pt>
                <c:pt idx="17">
                  <c:v>2017</c:v>
                </c:pt>
                <c:pt idx="18">
                  <c:v>2018</c:v>
                </c:pt>
                <c:pt idx="19">
                  <c:v>2019</c:v>
                </c:pt>
                <c:pt idx="20">
                  <c:v>2020</c:v>
                </c:pt>
                <c:pt idx="21">
                  <c:v>2021</c:v>
                </c:pt>
                <c:pt idx="22">
                  <c:v>2022</c:v>
                </c:pt>
                <c:pt idx="23">
                  <c:v>2023</c:v>
                </c:pt>
                <c:pt idx="24">
                  <c:v>2024</c:v>
                </c:pt>
              </c:numCache>
            </c:numRef>
          </c:cat>
          <c:val>
            <c:numRef>
              <c:f>Sheet1!$C$2:$C$26</c:f>
              <c:numCache>
                <c:formatCode>0.0</c:formatCode>
                <c:ptCount val="25"/>
                <c:pt idx="0">
                  <c:v>4.4552470433501412</c:v>
                </c:pt>
                <c:pt idx="1">
                  <c:v>3.4442490096837162</c:v>
                </c:pt>
                <c:pt idx="2">
                  <c:v>6.1490360521003566</c:v>
                </c:pt>
                <c:pt idx="3">
                  <c:v>7.189243303409711</c:v>
                </c:pt>
                <c:pt idx="4">
                  <c:v>6.2893421428579472</c:v>
                </c:pt>
                <c:pt idx="5">
                  <c:v>4.1876384288433712</c:v>
                </c:pt>
                <c:pt idx="6">
                  <c:v>4.967810892461074</c:v>
                </c:pt>
                <c:pt idx="7">
                  <c:v>5.4351516905080928</c:v>
                </c:pt>
                <c:pt idx="8">
                  <c:v>1.7256988486633418</c:v>
                </c:pt>
                <c:pt idx="9">
                  <c:v>-0.69061823230057939</c:v>
                </c:pt>
                <c:pt idx="10">
                  <c:v>7.513390532616242</c:v>
                </c:pt>
                <c:pt idx="11">
                  <c:v>0.84013208305333364</c:v>
                </c:pt>
                <c:pt idx="12">
                  <c:v>7.2427962024964216</c:v>
                </c:pt>
                <c:pt idx="13">
                  <c:v>2.6874955632055588</c:v>
                </c:pt>
                <c:pt idx="14">
                  <c:v>0.98446886361942632</c:v>
                </c:pt>
                <c:pt idx="15">
                  <c:v>3.1340472491163496</c:v>
                </c:pt>
                <c:pt idx="16">
                  <c:v>3.4351577169218217</c:v>
                </c:pt>
                <c:pt idx="17">
                  <c:v>4.1776810321000966</c:v>
                </c:pt>
                <c:pt idx="18">
                  <c:v>4.222870287460708</c:v>
                </c:pt>
                <c:pt idx="19">
                  <c:v>2.1145577962827815</c:v>
                </c:pt>
                <c:pt idx="20">
                  <c:v>-6.0500384685162203</c:v>
                </c:pt>
                <c:pt idx="21">
                  <c:v>1.5521660842664744</c:v>
                </c:pt>
                <c:pt idx="22">
                  <c:v>2.5803787470982655</c:v>
                </c:pt>
                <c:pt idx="23">
                  <c:v>2.0177509532832687</c:v>
                </c:pt>
                <c:pt idx="24">
                  <c:v>2.5259617577149527</c:v>
                </c:pt>
              </c:numCache>
            </c:numRef>
          </c:val>
          <c:smooth val="0"/>
          <c:extLst>
            <c:ext xmlns:c16="http://schemas.microsoft.com/office/drawing/2014/chart" uri="{C3380CC4-5D6E-409C-BE32-E72D297353CC}">
              <c16:uniqueId val="{00000004-F6D7-D547-AD21-39E09B2E744B}"/>
            </c:ext>
          </c:extLst>
        </c:ser>
        <c:ser>
          <c:idx val="2"/>
          <c:order val="2"/>
          <c:tx>
            <c:strRef>
              <c:f>Sheet1!$D$1</c:f>
              <c:strCache>
                <c:ptCount val="1"/>
                <c:pt idx="0">
                  <c:v>Inflation, consumer prices (annual %)</c:v>
                </c:pt>
              </c:strCache>
            </c:strRef>
          </c:tx>
          <c:spPr>
            <a:ln w="28575" cap="rnd">
              <a:solidFill>
                <a:schemeClr val="tx1"/>
              </a:solidFill>
              <a:round/>
            </a:ln>
            <a:effectLst/>
          </c:spPr>
          <c:marker>
            <c:symbol val="square"/>
            <c:size val="5"/>
            <c:spPr>
              <a:solidFill>
                <a:schemeClr val="tx1"/>
              </a:solidFill>
              <a:ln w="9525">
                <a:solidFill>
                  <a:schemeClr val="accent3"/>
                </a:solidFill>
              </a:ln>
              <a:effectLst/>
            </c:spPr>
          </c:marker>
          <c:dLbls>
            <c:dLbl>
              <c:idx val="11"/>
              <c:layout>
                <c:manualLayout>
                  <c:x val="-1.9426052887193495E-2"/>
                  <c:y val="-2.8210143849030572E-2"/>
                </c:manualLayout>
              </c:layout>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5-F6D7-D547-AD21-39E09B2E744B}"/>
                </c:ext>
              </c:extLst>
            </c:dLbl>
            <c:spPr>
              <a:noFill/>
              <a:ln>
                <a:noFill/>
              </a:ln>
              <a:effectLst/>
            </c:spPr>
            <c:txPr>
              <a:bodyPr rot="0" spcFirstLastPara="1" vertOverflow="ellipsis" vert="horz" wrap="square" anchor="ctr" anchorCtr="1"/>
              <a:lstStyle/>
              <a:p>
                <a:pPr>
                  <a:defRPr sz="700" b="1" i="0" u="none" strike="noStrike" kern="1200" baseline="0">
                    <a:solidFill>
                      <a:schemeClr val="tx1">
                        <a:lumMod val="75000"/>
                        <a:lumOff val="25000"/>
                      </a:schemeClr>
                    </a:solidFill>
                    <a:latin typeface="Arial" panose="020B0604020202020204" pitchFamily="34" charset="0"/>
                    <a:ea typeface="+mn-ea"/>
                    <a:cs typeface="Arial" panose="020B0604020202020204" pitchFamily="34" charset="0"/>
                  </a:defRPr>
                </a:pPr>
                <a:endParaRPr lang="th-TH"/>
              </a:p>
            </c:txPr>
            <c:dLblPos val="b"/>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Sheet1!$A$2:$A$26</c:f>
              <c:numCache>
                <c:formatCode>General</c:formatCode>
                <c:ptCount val="25"/>
                <c:pt idx="0">
                  <c:v>2000</c:v>
                </c:pt>
                <c:pt idx="1">
                  <c:v>2001</c:v>
                </c:pt>
                <c:pt idx="2">
                  <c:v>2002</c:v>
                </c:pt>
                <c:pt idx="3">
                  <c:v>2003</c:v>
                </c:pt>
                <c:pt idx="4">
                  <c:v>2004</c:v>
                </c:pt>
                <c:pt idx="5">
                  <c:v>2005</c:v>
                </c:pt>
                <c:pt idx="6">
                  <c:v>2006</c:v>
                </c:pt>
                <c:pt idx="7">
                  <c:v>2007</c:v>
                </c:pt>
                <c:pt idx="8">
                  <c:v>2008</c:v>
                </c:pt>
                <c:pt idx="9">
                  <c:v>2009</c:v>
                </c:pt>
                <c:pt idx="10">
                  <c:v>2010</c:v>
                </c:pt>
                <c:pt idx="11">
                  <c:v>2011</c:v>
                </c:pt>
                <c:pt idx="12">
                  <c:v>2012</c:v>
                </c:pt>
                <c:pt idx="13">
                  <c:v>2013</c:v>
                </c:pt>
                <c:pt idx="14">
                  <c:v>2014</c:v>
                </c:pt>
                <c:pt idx="15">
                  <c:v>2015</c:v>
                </c:pt>
                <c:pt idx="16">
                  <c:v>2016</c:v>
                </c:pt>
                <c:pt idx="17">
                  <c:v>2017</c:v>
                </c:pt>
                <c:pt idx="18">
                  <c:v>2018</c:v>
                </c:pt>
                <c:pt idx="19">
                  <c:v>2019</c:v>
                </c:pt>
                <c:pt idx="20">
                  <c:v>2020</c:v>
                </c:pt>
                <c:pt idx="21">
                  <c:v>2021</c:v>
                </c:pt>
                <c:pt idx="22">
                  <c:v>2022</c:v>
                </c:pt>
                <c:pt idx="23">
                  <c:v>2023</c:v>
                </c:pt>
                <c:pt idx="24">
                  <c:v>2024</c:v>
                </c:pt>
              </c:numCache>
            </c:numRef>
          </c:cat>
          <c:val>
            <c:numRef>
              <c:f>Sheet1!$D$2:$D$26</c:f>
              <c:numCache>
                <c:formatCode>General</c:formatCode>
                <c:ptCount val="25"/>
                <c:pt idx="0">
                  <c:v>1.3</c:v>
                </c:pt>
                <c:pt idx="1">
                  <c:v>2.2000000000000002</c:v>
                </c:pt>
                <c:pt idx="2">
                  <c:v>1.6</c:v>
                </c:pt>
                <c:pt idx="3">
                  <c:v>3.3</c:v>
                </c:pt>
                <c:pt idx="4">
                  <c:v>3.2</c:v>
                </c:pt>
                <c:pt idx="5">
                  <c:v>4.5</c:v>
                </c:pt>
                <c:pt idx="6">
                  <c:v>4.5999999999999996</c:v>
                </c:pt>
                <c:pt idx="7">
                  <c:v>2.2000000000000002</c:v>
                </c:pt>
                <c:pt idx="8">
                  <c:v>5.5</c:v>
                </c:pt>
                <c:pt idx="9">
                  <c:v>-0.9</c:v>
                </c:pt>
                <c:pt idx="10">
                  <c:v>3.3</c:v>
                </c:pt>
                <c:pt idx="11" formatCode="0.0">
                  <c:v>3.8087905813963281</c:v>
                </c:pt>
                <c:pt idx="12" formatCode="0.0">
                  <c:v>3.014899503349882</c:v>
                </c:pt>
                <c:pt idx="13" formatCode="0.0">
                  <c:v>2.1848861853068109</c:v>
                </c:pt>
                <c:pt idx="14" formatCode="0.0">
                  <c:v>1.8951418189878471</c:v>
                </c:pt>
                <c:pt idx="15" formatCode="0.0">
                  <c:v>-0.90042496329157995</c:v>
                </c:pt>
                <c:pt idx="16" formatCode="0.0">
                  <c:v>0.18814970444817589</c:v>
                </c:pt>
                <c:pt idx="17" formatCode="0.0">
                  <c:v>0.66563189313511029</c:v>
                </c:pt>
                <c:pt idx="18" formatCode="0.0">
                  <c:v>1.0638975418302501</c:v>
                </c:pt>
                <c:pt idx="19" formatCode="0.0">
                  <c:v>0.70672860131427506</c:v>
                </c:pt>
                <c:pt idx="20" formatCode="0.0">
                  <c:v>-0.84593714735706427</c:v>
                </c:pt>
                <c:pt idx="21" formatCode="0.0">
                  <c:v>1.230395413183839</c:v>
                </c:pt>
                <c:pt idx="22" formatCode="0.0">
                  <c:v>-1.6106803048669029</c:v>
                </c:pt>
                <c:pt idx="23" formatCode="0.0">
                  <c:v>8.4780517442154579</c:v>
                </c:pt>
                <c:pt idx="24" formatCode="0.0">
                  <c:v>1.365805407980397</c:v>
                </c:pt>
              </c:numCache>
            </c:numRef>
          </c:val>
          <c:smooth val="0"/>
          <c:extLst>
            <c:ext xmlns:c16="http://schemas.microsoft.com/office/drawing/2014/chart" uri="{C3380CC4-5D6E-409C-BE32-E72D297353CC}">
              <c16:uniqueId val="{00000006-F6D7-D547-AD21-39E09B2E744B}"/>
            </c:ext>
          </c:extLst>
        </c:ser>
        <c:dLbls>
          <c:showLegendKey val="0"/>
          <c:showVal val="0"/>
          <c:showCatName val="0"/>
          <c:showSerName val="0"/>
          <c:showPercent val="0"/>
          <c:showBubbleSize val="0"/>
        </c:dLbls>
        <c:marker val="1"/>
        <c:smooth val="0"/>
        <c:axId val="786371839"/>
        <c:axId val="382204287"/>
      </c:lineChart>
      <c:catAx>
        <c:axId val="173240207"/>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700" b="1"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th-TH"/>
          </a:p>
        </c:txPr>
        <c:crossAx val="76897055"/>
        <c:crosses val="autoZero"/>
        <c:auto val="1"/>
        <c:lblAlgn val="ctr"/>
        <c:lblOffset val="100"/>
        <c:noMultiLvlLbl val="0"/>
      </c:catAx>
      <c:valAx>
        <c:axId val="76897055"/>
        <c:scaling>
          <c:orientation val="minMax"/>
          <c:max val="2000"/>
        </c:scaling>
        <c:delete val="0"/>
        <c:axPos val="l"/>
        <c:majorGridlines>
          <c:spPr>
            <a:ln w="9525" cap="flat" cmpd="sng" algn="ctr">
              <a:solidFill>
                <a:schemeClr val="tx1">
                  <a:lumMod val="15000"/>
                  <a:lumOff val="85000"/>
                </a:schemeClr>
              </a:solidFill>
              <a:round/>
            </a:ln>
            <a:effectLst/>
          </c:spPr>
        </c:majorGridlines>
        <c:title>
          <c:tx>
            <c:rich>
              <a:bodyPr rot="0" spcFirstLastPara="1" vertOverflow="ellipsis" wrap="square" anchor="ctr" anchorCtr="1"/>
              <a:lstStyle/>
              <a:p>
                <a:pPr>
                  <a:defRPr sz="700" b="1"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r>
                  <a:rPr lang="en-US"/>
                  <a:t>GDP (million US$)</a:t>
                </a:r>
              </a:p>
            </c:rich>
          </c:tx>
          <c:layout>
            <c:manualLayout>
              <c:xMode val="edge"/>
              <c:yMode val="edge"/>
              <c:x val="5.0597692228923118E-3"/>
              <c:y val="1.0529420186113095E-2"/>
            </c:manualLayout>
          </c:layout>
          <c:overlay val="0"/>
          <c:spPr>
            <a:noFill/>
            <a:ln>
              <a:noFill/>
            </a:ln>
            <a:effectLst/>
          </c:spPr>
          <c:txPr>
            <a:bodyPr rot="0" spcFirstLastPara="1" vertOverflow="ellipsis" wrap="square" anchor="ctr" anchorCtr="1"/>
            <a:lstStyle/>
            <a:p>
              <a:pPr>
                <a:defRPr sz="700" b="1"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th-TH"/>
            </a:p>
          </c:txPr>
        </c:title>
        <c:numFmt formatCode="0.0" sourceLinked="1"/>
        <c:majorTickMark val="none"/>
        <c:minorTickMark val="none"/>
        <c:tickLblPos val="nextTo"/>
        <c:spPr>
          <a:noFill/>
          <a:ln>
            <a:noFill/>
          </a:ln>
          <a:effectLst/>
        </c:spPr>
        <c:txPr>
          <a:bodyPr rot="-60000000" spcFirstLastPara="1" vertOverflow="ellipsis" vert="horz" wrap="square" anchor="ctr" anchorCtr="1"/>
          <a:lstStyle/>
          <a:p>
            <a:pPr>
              <a:defRPr sz="700" b="1"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th-TH"/>
          </a:p>
        </c:txPr>
        <c:crossAx val="173240207"/>
        <c:crosses val="autoZero"/>
        <c:crossBetween val="between"/>
      </c:valAx>
      <c:valAx>
        <c:axId val="382204287"/>
        <c:scaling>
          <c:orientation val="minMax"/>
          <c:max val="15"/>
          <c:min val="-20"/>
        </c:scaling>
        <c:delete val="0"/>
        <c:axPos val="r"/>
        <c:title>
          <c:tx>
            <c:rich>
              <a:bodyPr rot="0" spcFirstLastPara="1" vertOverflow="ellipsis" wrap="square" anchor="ctr" anchorCtr="1"/>
              <a:lstStyle/>
              <a:p>
                <a:pPr>
                  <a:defRPr sz="700" b="1"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r>
                  <a:rPr lang="en-US"/>
                  <a:t>GDP Growth  and Inflation (annual %)</a:t>
                </a:r>
              </a:p>
            </c:rich>
          </c:tx>
          <c:layout>
            <c:manualLayout>
              <c:xMode val="edge"/>
              <c:yMode val="edge"/>
              <c:x val="0.81951785357297169"/>
              <c:y val="4.4643655202249101E-4"/>
            </c:manualLayout>
          </c:layout>
          <c:overlay val="0"/>
          <c:spPr>
            <a:noFill/>
            <a:ln>
              <a:noFill/>
            </a:ln>
            <a:effectLst/>
          </c:spPr>
          <c:txPr>
            <a:bodyPr rot="0" spcFirstLastPara="1" vertOverflow="ellipsis" wrap="square" anchor="ctr" anchorCtr="1"/>
            <a:lstStyle/>
            <a:p>
              <a:pPr>
                <a:defRPr sz="700" b="1"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th-TH"/>
            </a:p>
          </c:txPr>
        </c:title>
        <c:numFmt formatCode="0.0" sourceLinked="1"/>
        <c:majorTickMark val="out"/>
        <c:minorTickMark val="none"/>
        <c:tickLblPos val="nextTo"/>
        <c:spPr>
          <a:noFill/>
          <a:ln>
            <a:noFill/>
          </a:ln>
          <a:effectLst/>
        </c:spPr>
        <c:txPr>
          <a:bodyPr rot="-60000000" spcFirstLastPara="1" vertOverflow="ellipsis" vert="horz" wrap="square" anchor="ctr" anchorCtr="1"/>
          <a:lstStyle/>
          <a:p>
            <a:pPr>
              <a:defRPr sz="700" b="1"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th-TH"/>
          </a:p>
        </c:txPr>
        <c:crossAx val="786371839"/>
        <c:crosses val="max"/>
        <c:crossBetween val="between"/>
      </c:valAx>
      <c:catAx>
        <c:axId val="786371839"/>
        <c:scaling>
          <c:orientation val="minMax"/>
        </c:scaling>
        <c:delete val="1"/>
        <c:axPos val="b"/>
        <c:numFmt formatCode="General" sourceLinked="1"/>
        <c:majorTickMark val="out"/>
        <c:minorTickMark val="none"/>
        <c:tickLblPos val="nextTo"/>
        <c:crossAx val="382204287"/>
        <c:crosses val="autoZero"/>
        <c:auto val="1"/>
        <c:lblAlgn val="ctr"/>
        <c:lblOffset val="100"/>
        <c:noMultiLvlLbl val="0"/>
      </c:catAx>
      <c:spPr>
        <a:noFill/>
        <a:ln>
          <a:noFill/>
        </a:ln>
        <a:effectLst/>
      </c:spPr>
    </c:plotArea>
    <c:legend>
      <c:legendPos val="r"/>
      <c:layout>
        <c:manualLayout>
          <c:xMode val="edge"/>
          <c:yMode val="edge"/>
          <c:x val="0.10546055664223215"/>
          <c:y val="0.55510684800763554"/>
          <c:w val="0.46503918995152121"/>
          <c:h val="0.10796793128131711"/>
        </c:manualLayout>
      </c:layout>
      <c:overlay val="0"/>
      <c:spPr>
        <a:noFill/>
        <a:ln>
          <a:noFill/>
        </a:ln>
        <a:effectLst/>
      </c:spPr>
      <c:txPr>
        <a:bodyPr rot="0" spcFirstLastPara="1" vertOverflow="ellipsis" vert="horz" wrap="square" anchor="ctr" anchorCtr="1"/>
        <a:lstStyle/>
        <a:p>
          <a:pPr>
            <a:defRPr sz="700" b="1"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th-TH"/>
        </a:p>
      </c:txPr>
    </c:legend>
    <c:plotVisOnly val="1"/>
    <c:dispBlanksAs val="gap"/>
    <c:showDLblsOverMax val="0"/>
  </c:chart>
  <c:spPr>
    <a:solidFill>
      <a:schemeClr val="bg1"/>
    </a:solidFill>
    <a:ln w="9525" cap="flat" cmpd="sng" algn="ctr">
      <a:noFill/>
      <a:round/>
    </a:ln>
    <a:effectLst/>
  </c:spPr>
  <c:txPr>
    <a:bodyPr/>
    <a:lstStyle/>
    <a:p>
      <a:pPr>
        <a:defRPr sz="700" b="1">
          <a:latin typeface="Arial" panose="020B0604020202020204" pitchFamily="34" charset="0"/>
          <a:cs typeface="Arial" panose="020B0604020202020204" pitchFamily="34" charset="0"/>
        </a:defRPr>
      </a:pPr>
      <a:endParaRPr lang="th-TH"/>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8.1628696073679105E-2"/>
          <c:y val="7.8926598263614839E-2"/>
          <c:w val="0.87433343129733587"/>
          <c:h val="0.85311453761390477"/>
        </c:manualLayout>
      </c:layout>
      <c:lineChart>
        <c:grouping val="standard"/>
        <c:varyColors val="0"/>
        <c:ser>
          <c:idx val="0"/>
          <c:order val="0"/>
          <c:tx>
            <c:strRef>
              <c:f>Sheet1!$E$1</c:f>
              <c:strCache>
                <c:ptCount val="1"/>
                <c:pt idx="0">
                  <c:v>GDP per capita (current US$)</c:v>
                </c:pt>
              </c:strCache>
            </c:strRef>
          </c:tx>
          <c:spPr>
            <a:ln w="28575" cap="rnd">
              <a:solidFill>
                <a:schemeClr val="accent1"/>
              </a:solidFill>
              <a:round/>
            </a:ln>
            <a:effectLst/>
          </c:spPr>
          <c:marker>
            <c:symbol val="circle"/>
            <c:size val="7"/>
            <c:spPr>
              <a:solidFill>
                <a:schemeClr val="accent1"/>
              </a:solidFill>
              <a:ln w="9525">
                <a:solidFill>
                  <a:schemeClr val="accent1"/>
                </a:solidFill>
              </a:ln>
              <a:effectLst/>
            </c:spPr>
          </c:marker>
          <c:dLbls>
            <c:spPr>
              <a:noFill/>
              <a:ln>
                <a:noFill/>
              </a:ln>
              <a:effectLst/>
            </c:spPr>
            <c:txPr>
              <a:bodyPr rot="0" spcFirstLastPara="1" vertOverflow="ellipsis" vert="horz" wrap="square" anchor="ctr" anchorCtr="1"/>
              <a:lstStyle/>
              <a:p>
                <a:pPr>
                  <a:defRPr sz="800" b="0" i="0" u="none" strike="noStrike" kern="1200" baseline="0">
                    <a:solidFill>
                      <a:schemeClr val="tx1">
                        <a:lumMod val="75000"/>
                        <a:lumOff val="25000"/>
                      </a:schemeClr>
                    </a:solidFill>
                    <a:latin typeface="Arial" panose="020B0604020202020204" pitchFamily="34" charset="0"/>
                    <a:ea typeface="+mn-ea"/>
                    <a:cs typeface="Arial" panose="020B0604020202020204" pitchFamily="34" charset="0"/>
                  </a:defRPr>
                </a:pPr>
                <a:endParaRPr lang="th-TH"/>
              </a:p>
            </c:txPr>
            <c:dLblPos val="b"/>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Sheet1!$A$2:$A$26</c:f>
              <c:numCache>
                <c:formatCode>General</c:formatCode>
                <c:ptCount val="25"/>
                <c:pt idx="0">
                  <c:v>2000</c:v>
                </c:pt>
                <c:pt idx="1">
                  <c:v>2001</c:v>
                </c:pt>
                <c:pt idx="2">
                  <c:v>2002</c:v>
                </c:pt>
                <c:pt idx="3">
                  <c:v>2003</c:v>
                </c:pt>
                <c:pt idx="4">
                  <c:v>2004</c:v>
                </c:pt>
                <c:pt idx="5">
                  <c:v>2005</c:v>
                </c:pt>
                <c:pt idx="6">
                  <c:v>2006</c:v>
                </c:pt>
                <c:pt idx="7">
                  <c:v>2007</c:v>
                </c:pt>
                <c:pt idx="8">
                  <c:v>2008</c:v>
                </c:pt>
                <c:pt idx="9">
                  <c:v>2009</c:v>
                </c:pt>
                <c:pt idx="10">
                  <c:v>2010</c:v>
                </c:pt>
                <c:pt idx="11">
                  <c:v>2011</c:v>
                </c:pt>
                <c:pt idx="12">
                  <c:v>2012</c:v>
                </c:pt>
                <c:pt idx="13">
                  <c:v>2013</c:v>
                </c:pt>
                <c:pt idx="14">
                  <c:v>2014</c:v>
                </c:pt>
                <c:pt idx="15">
                  <c:v>2015</c:v>
                </c:pt>
                <c:pt idx="16">
                  <c:v>2016</c:v>
                </c:pt>
                <c:pt idx="17">
                  <c:v>2017</c:v>
                </c:pt>
                <c:pt idx="18">
                  <c:v>2018</c:v>
                </c:pt>
                <c:pt idx="19">
                  <c:v>2019</c:v>
                </c:pt>
                <c:pt idx="20">
                  <c:v>2020</c:v>
                </c:pt>
                <c:pt idx="21">
                  <c:v>2021</c:v>
                </c:pt>
                <c:pt idx="22">
                  <c:v>2022</c:v>
                </c:pt>
                <c:pt idx="23">
                  <c:v>2023</c:v>
                </c:pt>
                <c:pt idx="24">
                  <c:v>2024</c:v>
                </c:pt>
              </c:numCache>
            </c:numRef>
          </c:cat>
          <c:val>
            <c:numRef>
              <c:f>Sheet1!$E$2:$E$26</c:f>
              <c:numCache>
                <c:formatCode>_-* #,##0.0_-;\-* #,##0.0_-;_-* "-"??_-;_-@_-</c:formatCode>
                <c:ptCount val="25"/>
                <c:pt idx="0">
                  <c:v>2005.9769451423419</c:v>
                </c:pt>
                <c:pt idx="1">
                  <c:v>1889.934324671445</c:v>
                </c:pt>
                <c:pt idx="2">
                  <c:v>2089.7518311155445</c:v>
                </c:pt>
                <c:pt idx="3">
                  <c:v>2347.5400128606598</c:v>
                </c:pt>
                <c:pt idx="4">
                  <c:v>2641.5626871785717</c:v>
                </c:pt>
                <c:pt idx="5">
                  <c:v>2867.7038343606159</c:v>
                </c:pt>
                <c:pt idx="6">
                  <c:v>3331.3204351177264</c:v>
                </c:pt>
                <c:pt idx="7">
                  <c:v>3918.5281743458054</c:v>
                </c:pt>
                <c:pt idx="8">
                  <c:v>4309.1350929298624</c:v>
                </c:pt>
                <c:pt idx="9">
                  <c:v>4135.4398695281852</c:v>
                </c:pt>
                <c:pt idx="10">
                  <c:v>4973.862888237778</c:v>
                </c:pt>
                <c:pt idx="11">
                  <c:v>5373.6232832897967</c:v>
                </c:pt>
                <c:pt idx="12">
                  <c:v>5725.5280283546335</c:v>
                </c:pt>
                <c:pt idx="13">
                  <c:v>6018.0824472925487</c:v>
                </c:pt>
                <c:pt idx="14">
                  <c:v>5801.1978916204998</c:v>
                </c:pt>
                <c:pt idx="15">
                  <c:v>5688.8533539788423</c:v>
                </c:pt>
                <c:pt idx="16">
                  <c:v>5833.5771561709844</c:v>
                </c:pt>
                <c:pt idx="17">
                  <c:v>6413.0918253034333</c:v>
                </c:pt>
                <c:pt idx="18">
                  <c:v>7099.7765008145752</c:v>
                </c:pt>
                <c:pt idx="19">
                  <c:v>7605.696577977591</c:v>
                </c:pt>
                <c:pt idx="20">
                  <c:v>6985.6439389257421</c:v>
                </c:pt>
                <c:pt idx="21">
                  <c:v>7057.2075480227895</c:v>
                </c:pt>
                <c:pt idx="22">
                  <c:v>6909.3528181582678</c:v>
                </c:pt>
                <c:pt idx="23">
                  <c:v>7195.1013091944869</c:v>
                </c:pt>
                <c:pt idx="24">
                  <c:v>7345.1356900037672</c:v>
                </c:pt>
              </c:numCache>
            </c:numRef>
          </c:val>
          <c:smooth val="0"/>
          <c:extLst>
            <c:ext xmlns:c16="http://schemas.microsoft.com/office/drawing/2014/chart" uri="{C3380CC4-5D6E-409C-BE32-E72D297353CC}">
              <c16:uniqueId val="{00000000-E91F-0B48-B873-DA7A1C03061C}"/>
            </c:ext>
          </c:extLst>
        </c:ser>
        <c:dLbls>
          <c:showLegendKey val="0"/>
          <c:showVal val="0"/>
          <c:showCatName val="0"/>
          <c:showSerName val="0"/>
          <c:showPercent val="0"/>
          <c:showBubbleSize val="0"/>
        </c:dLbls>
        <c:marker val="1"/>
        <c:smooth val="0"/>
        <c:axId val="815643631"/>
        <c:axId val="391698639"/>
      </c:lineChart>
      <c:lineChart>
        <c:grouping val="standard"/>
        <c:varyColors val="0"/>
        <c:ser>
          <c:idx val="1"/>
          <c:order val="1"/>
          <c:tx>
            <c:strRef>
              <c:f>Sheet1!$F$1</c:f>
              <c:strCache>
                <c:ptCount val="1"/>
                <c:pt idx="0">
                  <c:v>Unemployment, total (% of total labor force) (national estimate)</c:v>
                </c:pt>
              </c:strCache>
            </c:strRef>
          </c:tx>
          <c:spPr>
            <a:ln w="28575" cap="rnd">
              <a:solidFill>
                <a:schemeClr val="accent2"/>
              </a:solidFill>
              <a:round/>
            </a:ln>
            <a:effectLst/>
          </c:spPr>
          <c:marker>
            <c:symbol val="circle"/>
            <c:size val="6"/>
            <c:spPr>
              <a:solidFill>
                <a:schemeClr val="accent2"/>
              </a:solidFill>
              <a:ln w="9525">
                <a:solidFill>
                  <a:schemeClr val="accent2"/>
                </a:solidFill>
              </a:ln>
              <a:effectLst/>
            </c:spPr>
          </c:marker>
          <c:dLbls>
            <c:spPr>
              <a:noFill/>
              <a:ln>
                <a:noFill/>
              </a:ln>
              <a:effectLst/>
            </c:spPr>
            <c:txPr>
              <a:bodyPr rot="0" spcFirstLastPara="1" vertOverflow="ellipsis" vert="horz" wrap="square" anchor="ctr" anchorCtr="1"/>
              <a:lstStyle/>
              <a:p>
                <a:pPr>
                  <a:defRPr sz="800" b="0" i="0" u="none" strike="noStrike" kern="1200" baseline="0">
                    <a:solidFill>
                      <a:schemeClr val="tx1">
                        <a:lumMod val="75000"/>
                        <a:lumOff val="25000"/>
                      </a:schemeClr>
                    </a:solidFill>
                    <a:latin typeface="Arial" panose="020B0604020202020204" pitchFamily="34" charset="0"/>
                    <a:ea typeface="+mn-ea"/>
                    <a:cs typeface="Arial" panose="020B0604020202020204" pitchFamily="34" charset="0"/>
                  </a:defRPr>
                </a:pPr>
                <a:endParaRPr lang="th-TH"/>
              </a:p>
            </c:txPr>
            <c:dLblPos val="t"/>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Sheet1!$F$2:$F$26</c:f>
              <c:numCache>
                <c:formatCode>0.0</c:formatCode>
                <c:ptCount val="25"/>
                <c:pt idx="0">
                  <c:v>2.3889999999999998</c:v>
                </c:pt>
                <c:pt idx="1">
                  <c:v>2.6</c:v>
                </c:pt>
                <c:pt idx="2">
                  <c:v>0</c:v>
                </c:pt>
                <c:pt idx="3">
                  <c:v>1.54</c:v>
                </c:pt>
                <c:pt idx="4">
                  <c:v>1.51</c:v>
                </c:pt>
                <c:pt idx="5">
                  <c:v>1.35</c:v>
                </c:pt>
                <c:pt idx="6">
                  <c:v>1.22</c:v>
                </c:pt>
                <c:pt idx="7">
                  <c:v>1.18</c:v>
                </c:pt>
                <c:pt idx="8">
                  <c:v>1.18</c:v>
                </c:pt>
                <c:pt idx="9">
                  <c:v>1.49</c:v>
                </c:pt>
                <c:pt idx="10">
                  <c:v>0.622</c:v>
                </c:pt>
                <c:pt idx="11">
                  <c:v>0.66</c:v>
                </c:pt>
                <c:pt idx="12">
                  <c:v>0.57999999999999996</c:v>
                </c:pt>
                <c:pt idx="13">
                  <c:v>0.249</c:v>
                </c:pt>
                <c:pt idx="14">
                  <c:v>0.57599999999999996</c:v>
                </c:pt>
                <c:pt idx="15">
                  <c:v>0.59699999999999998</c:v>
                </c:pt>
                <c:pt idx="16">
                  <c:v>0.68799999999999994</c:v>
                </c:pt>
                <c:pt idx="17">
                  <c:v>0.83</c:v>
                </c:pt>
                <c:pt idx="18">
                  <c:v>0.76500000000000001</c:v>
                </c:pt>
                <c:pt idx="19">
                  <c:v>0.71599999999999997</c:v>
                </c:pt>
                <c:pt idx="20">
                  <c:v>1.099</c:v>
                </c:pt>
                <c:pt idx="21">
                  <c:v>1.2150000000000001</c:v>
                </c:pt>
                <c:pt idx="22">
                  <c:v>0.94</c:v>
                </c:pt>
                <c:pt idx="23">
                  <c:v>0.73299999999999998</c:v>
                </c:pt>
                <c:pt idx="24">
                  <c:v>0.78100000000000003</c:v>
                </c:pt>
              </c:numCache>
            </c:numRef>
          </c:val>
          <c:smooth val="0"/>
          <c:extLst>
            <c:ext xmlns:c16="http://schemas.microsoft.com/office/drawing/2014/chart" uri="{C3380CC4-5D6E-409C-BE32-E72D297353CC}">
              <c16:uniqueId val="{00000001-E91F-0B48-B873-DA7A1C03061C}"/>
            </c:ext>
          </c:extLst>
        </c:ser>
        <c:ser>
          <c:idx val="2"/>
          <c:order val="2"/>
          <c:tx>
            <c:strRef>
              <c:f>Sheet1!$G$1</c:f>
              <c:strCache>
                <c:ptCount val="1"/>
                <c:pt idx="0">
                  <c:v>Poverty headcount ratio at $8.30 a day (2021 PPP) (% of population)</c:v>
                </c:pt>
              </c:strCache>
            </c:strRef>
          </c:tx>
          <c:spPr>
            <a:ln w="28575" cap="rnd">
              <a:solidFill>
                <a:schemeClr val="tx1"/>
              </a:solidFill>
              <a:prstDash val="sysDash"/>
              <a:round/>
            </a:ln>
            <a:effectLst/>
          </c:spPr>
          <c:marker>
            <c:symbol val="circle"/>
            <c:size val="6"/>
            <c:spPr>
              <a:solidFill>
                <a:schemeClr val="tx1"/>
              </a:solidFill>
              <a:ln w="9525">
                <a:solidFill>
                  <a:schemeClr val="accent3"/>
                </a:solidFill>
              </a:ln>
              <a:effectLst/>
            </c:spPr>
          </c:marker>
          <c:dLbls>
            <c:spPr>
              <a:noFill/>
              <a:ln>
                <a:noFill/>
              </a:ln>
              <a:effectLst/>
            </c:spPr>
            <c:txPr>
              <a:bodyPr rot="0" spcFirstLastPara="1" vertOverflow="ellipsis" vert="horz" wrap="square" anchor="ctr" anchorCtr="1"/>
              <a:lstStyle/>
              <a:p>
                <a:pPr>
                  <a:defRPr sz="800" b="0" i="0" u="none" strike="noStrike" kern="1200" baseline="0">
                    <a:solidFill>
                      <a:schemeClr val="tx1">
                        <a:lumMod val="75000"/>
                        <a:lumOff val="25000"/>
                      </a:schemeClr>
                    </a:solidFill>
                    <a:latin typeface="Arial" panose="020B0604020202020204" pitchFamily="34" charset="0"/>
                    <a:ea typeface="+mn-ea"/>
                    <a:cs typeface="Arial" panose="020B0604020202020204" pitchFamily="34" charset="0"/>
                  </a:defRPr>
                </a:pPr>
                <a:endParaRPr lang="th-TH"/>
              </a:p>
            </c:txPr>
            <c:dLblPos val="t"/>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Sheet1!$G$2:$G$26</c:f>
              <c:numCache>
                <c:formatCode>General</c:formatCode>
                <c:ptCount val="25"/>
                <c:pt idx="0" formatCode="0.0">
                  <c:v>61.2</c:v>
                </c:pt>
                <c:pt idx="2" formatCode="0.0">
                  <c:v>53.3</c:v>
                </c:pt>
                <c:pt idx="4" formatCode="0.0">
                  <c:v>46.7</c:v>
                </c:pt>
                <c:pt idx="6" formatCode="0.0">
                  <c:v>39.5</c:v>
                </c:pt>
                <c:pt idx="7" formatCode="0.0">
                  <c:v>37.4</c:v>
                </c:pt>
                <c:pt idx="8" formatCode="0.0">
                  <c:v>35.200000000000003</c:v>
                </c:pt>
                <c:pt idx="9" formatCode="0.0">
                  <c:v>32.200000000000003</c:v>
                </c:pt>
                <c:pt idx="10" formatCode="0.0">
                  <c:v>30</c:v>
                </c:pt>
                <c:pt idx="11" formatCode="0.0">
                  <c:v>25.5</c:v>
                </c:pt>
                <c:pt idx="12" formatCode="0.0">
                  <c:v>24.9</c:v>
                </c:pt>
                <c:pt idx="13" formatCode="0.0">
                  <c:v>21.8</c:v>
                </c:pt>
                <c:pt idx="14" formatCode="0.0">
                  <c:v>20.9</c:v>
                </c:pt>
                <c:pt idx="15" formatCode="0.0">
                  <c:v>16.899999999999999</c:v>
                </c:pt>
                <c:pt idx="16" formatCode="0.0">
                  <c:v>17.899999999999999</c:v>
                </c:pt>
                <c:pt idx="17" formatCode="0.0">
                  <c:v>17.2</c:v>
                </c:pt>
                <c:pt idx="18" formatCode="0.0">
                  <c:v>17.8</c:v>
                </c:pt>
                <c:pt idx="19" formatCode="0.0">
                  <c:v>15.2</c:v>
                </c:pt>
                <c:pt idx="20" formatCode="0.0">
                  <c:v>15.1</c:v>
                </c:pt>
                <c:pt idx="21" formatCode="0.0">
                  <c:v>14.1</c:v>
                </c:pt>
                <c:pt idx="22" formatCode="0.0">
                  <c:v>9.9</c:v>
                </c:pt>
                <c:pt idx="23" formatCode="0.0">
                  <c:v>9.9</c:v>
                </c:pt>
              </c:numCache>
            </c:numRef>
          </c:val>
          <c:smooth val="0"/>
          <c:extLst>
            <c:ext xmlns:c16="http://schemas.microsoft.com/office/drawing/2014/chart" uri="{C3380CC4-5D6E-409C-BE32-E72D297353CC}">
              <c16:uniqueId val="{00000002-E91F-0B48-B873-DA7A1C03061C}"/>
            </c:ext>
          </c:extLst>
        </c:ser>
        <c:dLbls>
          <c:showLegendKey val="0"/>
          <c:showVal val="0"/>
          <c:showCatName val="0"/>
          <c:showSerName val="0"/>
          <c:showPercent val="0"/>
          <c:showBubbleSize val="0"/>
        </c:dLbls>
        <c:marker val="1"/>
        <c:smooth val="0"/>
        <c:axId val="316501519"/>
        <c:axId val="603535135"/>
      </c:lineChart>
      <c:catAx>
        <c:axId val="815643631"/>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8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th-TH"/>
          </a:p>
        </c:txPr>
        <c:crossAx val="391698639"/>
        <c:crosses val="autoZero"/>
        <c:auto val="1"/>
        <c:lblAlgn val="ctr"/>
        <c:lblOffset val="100"/>
        <c:noMultiLvlLbl val="0"/>
      </c:catAx>
      <c:valAx>
        <c:axId val="391698639"/>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0" spcFirstLastPara="1" vertOverflow="ellipsis" wrap="square" anchor="ctr" anchorCtr="1"/>
              <a:lstStyle/>
              <a:p>
                <a:pPr>
                  <a:defRPr sz="8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r>
                  <a:rPr lang="en-US"/>
                  <a:t>GDP per capita (US$)</a:t>
                </a:r>
              </a:p>
            </c:rich>
          </c:tx>
          <c:layout>
            <c:manualLayout>
              <c:xMode val="edge"/>
              <c:yMode val="edge"/>
              <c:x val="1.1310389400549362E-2"/>
              <c:y val="1.3615148935112372E-2"/>
            </c:manualLayout>
          </c:layout>
          <c:overlay val="0"/>
          <c:spPr>
            <a:noFill/>
            <a:ln>
              <a:noFill/>
            </a:ln>
            <a:effectLst/>
          </c:spPr>
          <c:txPr>
            <a:bodyPr rot="0" spcFirstLastPara="1" vertOverflow="ellipsis" wrap="square" anchor="ctr" anchorCtr="1"/>
            <a:lstStyle/>
            <a:p>
              <a:pPr>
                <a:defRPr sz="8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th-TH"/>
            </a:p>
          </c:txPr>
        </c:title>
        <c:numFmt formatCode="_-* #,##0.0_-;\-* #,##0.0_-;_-* &quot;-&quot;??_-;_-@_-" sourceLinked="1"/>
        <c:majorTickMark val="none"/>
        <c:minorTickMark val="none"/>
        <c:tickLblPos val="nextTo"/>
        <c:spPr>
          <a:noFill/>
          <a:ln>
            <a:noFill/>
          </a:ln>
          <a:effectLst/>
        </c:spPr>
        <c:txPr>
          <a:bodyPr rot="-60000000" spcFirstLastPara="1" vertOverflow="ellipsis" vert="horz" wrap="square" anchor="ctr" anchorCtr="1"/>
          <a:lstStyle/>
          <a:p>
            <a:pPr>
              <a:defRPr sz="8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th-TH"/>
          </a:p>
        </c:txPr>
        <c:crossAx val="815643631"/>
        <c:crosses val="autoZero"/>
        <c:crossBetween val="between"/>
      </c:valAx>
      <c:valAx>
        <c:axId val="603535135"/>
        <c:scaling>
          <c:orientation val="minMax"/>
        </c:scaling>
        <c:delete val="0"/>
        <c:axPos val="r"/>
        <c:title>
          <c:tx>
            <c:rich>
              <a:bodyPr rot="0" spcFirstLastPara="1" vertOverflow="ellipsis" wrap="square" anchor="ctr" anchorCtr="1"/>
              <a:lstStyle/>
              <a:p>
                <a:pPr>
                  <a:defRPr sz="8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r>
                  <a:rPr lang="en-US"/>
                  <a:t>Unemployment rate and Poverty headcount ratio (%)</a:t>
                </a:r>
              </a:p>
            </c:rich>
          </c:tx>
          <c:layout>
            <c:manualLayout>
              <c:xMode val="edge"/>
              <c:yMode val="edge"/>
              <c:x val="0.78072386492163515"/>
              <c:y val="1.7761591955701671E-3"/>
            </c:manualLayout>
          </c:layout>
          <c:overlay val="0"/>
          <c:spPr>
            <a:noFill/>
            <a:ln>
              <a:noFill/>
            </a:ln>
            <a:effectLst/>
          </c:spPr>
          <c:txPr>
            <a:bodyPr rot="0" spcFirstLastPara="1" vertOverflow="ellipsis" wrap="square" anchor="ctr" anchorCtr="1"/>
            <a:lstStyle/>
            <a:p>
              <a:pPr>
                <a:defRPr sz="8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th-TH"/>
            </a:p>
          </c:txPr>
        </c:title>
        <c:numFmt formatCode="0.0" sourceLinked="1"/>
        <c:majorTickMark val="out"/>
        <c:minorTickMark val="none"/>
        <c:tickLblPos val="nextTo"/>
        <c:spPr>
          <a:noFill/>
          <a:ln>
            <a:noFill/>
          </a:ln>
          <a:effectLst/>
        </c:spPr>
        <c:txPr>
          <a:bodyPr rot="-60000000" spcFirstLastPara="1" vertOverflow="ellipsis" vert="horz" wrap="square" anchor="ctr" anchorCtr="1"/>
          <a:lstStyle/>
          <a:p>
            <a:pPr>
              <a:defRPr sz="8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th-TH"/>
          </a:p>
        </c:txPr>
        <c:crossAx val="316501519"/>
        <c:crosses val="max"/>
        <c:crossBetween val="between"/>
      </c:valAx>
      <c:catAx>
        <c:axId val="316501519"/>
        <c:scaling>
          <c:orientation val="minMax"/>
        </c:scaling>
        <c:delete val="1"/>
        <c:axPos val="b"/>
        <c:majorTickMark val="out"/>
        <c:minorTickMark val="none"/>
        <c:tickLblPos val="nextTo"/>
        <c:crossAx val="603535135"/>
        <c:crosses val="autoZero"/>
        <c:auto val="1"/>
        <c:lblAlgn val="ctr"/>
        <c:lblOffset val="100"/>
        <c:noMultiLvlLbl val="0"/>
      </c:catAx>
      <c:spPr>
        <a:noFill/>
        <a:ln>
          <a:noFill/>
        </a:ln>
        <a:effectLst/>
      </c:spPr>
    </c:plotArea>
    <c:legend>
      <c:legendPos val="b"/>
      <c:layout>
        <c:manualLayout>
          <c:xMode val="edge"/>
          <c:yMode val="edge"/>
          <c:x val="0.19752727445213927"/>
          <c:y val="9.4480791675570844E-2"/>
          <c:w val="0.48283812415014393"/>
          <c:h val="0.15028438511991846"/>
        </c:manualLayout>
      </c:layout>
      <c:overlay val="0"/>
      <c:spPr>
        <a:noFill/>
        <a:ln>
          <a:noFill/>
        </a:ln>
        <a:effectLst/>
      </c:spPr>
      <c:txPr>
        <a:bodyPr rot="0" spcFirstLastPara="1" vertOverflow="ellipsis" vert="horz" wrap="square" anchor="ctr" anchorCtr="1"/>
        <a:lstStyle/>
        <a:p>
          <a:pPr>
            <a:defRPr sz="8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th-TH"/>
        </a:p>
      </c:txPr>
    </c:legend>
    <c:plotVisOnly val="1"/>
    <c:dispBlanksAs val="gap"/>
    <c:showDLblsOverMax val="0"/>
  </c:chart>
  <c:spPr>
    <a:solidFill>
      <a:schemeClr val="bg1"/>
    </a:solidFill>
    <a:ln w="9525" cap="flat" cmpd="sng" algn="ctr">
      <a:noFill/>
      <a:round/>
    </a:ln>
    <a:effectLst/>
  </c:spPr>
  <c:txPr>
    <a:bodyPr/>
    <a:lstStyle/>
    <a:p>
      <a:pPr>
        <a:defRPr sz="800">
          <a:latin typeface="Arial" panose="020B0604020202020204" pitchFamily="34" charset="0"/>
          <a:cs typeface="Arial" panose="020B0604020202020204" pitchFamily="34" charset="0"/>
        </a:defRPr>
      </a:pPr>
      <a:endParaRPr lang="th-TH"/>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Sheet9!$B$11:$B$12</c:f>
              <c:strCache>
                <c:ptCount val="2"/>
                <c:pt idx="0">
                  <c:v>Whole Kingdom</c:v>
                </c:pt>
              </c:strCache>
            </c:strRef>
          </c:tx>
          <c:spPr>
            <a:solidFill>
              <a:schemeClr val="accent2">
                <a:lumMod val="40000"/>
                <a:lumOff val="60000"/>
              </a:schemeClr>
            </a:solidFill>
            <a:ln>
              <a:noFill/>
            </a:ln>
            <a:effectLst/>
          </c:spPr>
          <c:invertIfNegative val="0"/>
          <c:dLbls>
            <c:delete val="1"/>
          </c:dLbls>
          <c:cat>
            <c:numRef>
              <c:f>Sheet9!$A$13:$A$36</c:f>
              <c:numCache>
                <c:formatCode>General</c:formatCode>
                <c:ptCount val="24"/>
                <c:pt idx="0">
                  <c:v>2000</c:v>
                </c:pt>
                <c:pt idx="1">
                  <c:v>2001</c:v>
                </c:pt>
                <c:pt idx="2">
                  <c:v>2002</c:v>
                </c:pt>
                <c:pt idx="3">
                  <c:v>2003</c:v>
                </c:pt>
                <c:pt idx="4">
                  <c:v>2004</c:v>
                </c:pt>
                <c:pt idx="5">
                  <c:v>2005</c:v>
                </c:pt>
                <c:pt idx="6">
                  <c:v>2006</c:v>
                </c:pt>
                <c:pt idx="7">
                  <c:v>2007</c:v>
                </c:pt>
                <c:pt idx="8">
                  <c:v>2008</c:v>
                </c:pt>
                <c:pt idx="9">
                  <c:v>2009</c:v>
                </c:pt>
                <c:pt idx="10">
                  <c:v>2010</c:v>
                </c:pt>
                <c:pt idx="11">
                  <c:v>2011</c:v>
                </c:pt>
                <c:pt idx="12">
                  <c:v>2012</c:v>
                </c:pt>
                <c:pt idx="13">
                  <c:v>2013</c:v>
                </c:pt>
                <c:pt idx="14">
                  <c:v>2014</c:v>
                </c:pt>
                <c:pt idx="15">
                  <c:v>2015</c:v>
                </c:pt>
                <c:pt idx="16">
                  <c:v>2016</c:v>
                </c:pt>
                <c:pt idx="17">
                  <c:v>2017</c:v>
                </c:pt>
                <c:pt idx="18">
                  <c:v>2018</c:v>
                </c:pt>
                <c:pt idx="19">
                  <c:v>2019</c:v>
                </c:pt>
                <c:pt idx="20">
                  <c:v>2020</c:v>
                </c:pt>
                <c:pt idx="21">
                  <c:v>2021</c:v>
                </c:pt>
                <c:pt idx="22">
                  <c:v>2022</c:v>
                </c:pt>
                <c:pt idx="23">
                  <c:v>2023</c:v>
                </c:pt>
              </c:numCache>
            </c:numRef>
          </c:cat>
          <c:val>
            <c:numRef>
              <c:f>Sheet9!$B$13:$B$36</c:f>
              <c:numCache>
                <c:formatCode>0.00</c:formatCode>
                <c:ptCount val="24"/>
                <c:pt idx="0">
                  <c:v>126.24056274449703</c:v>
                </c:pt>
                <c:pt idx="1">
                  <c:v>120.16645682879948</c:v>
                </c:pt>
                <c:pt idx="2">
                  <c:v>134.17620929458141</c:v>
                </c:pt>
                <c:pt idx="3">
                  <c:v>152.11420659024802</c:v>
                </c:pt>
                <c:pt idx="4">
                  <c:v>172.69135832061085</c:v>
                </c:pt>
                <c:pt idx="5">
                  <c:v>189.08400792135583</c:v>
                </c:pt>
                <c:pt idx="6">
                  <c:v>210.38434760090155</c:v>
                </c:pt>
                <c:pt idx="7">
                  <c:v>262.62450808535885</c:v>
                </c:pt>
                <c:pt idx="8">
                  <c:v>290.9750898976319</c:v>
                </c:pt>
                <c:pt idx="9">
                  <c:v>281.2656959504659</c:v>
                </c:pt>
                <c:pt idx="10">
                  <c:v>340.62849035660258</c:v>
                </c:pt>
                <c:pt idx="11">
                  <c:v>370.83984910587077</c:v>
                </c:pt>
                <c:pt idx="12">
                  <c:v>397.59794076702065</c:v>
                </c:pt>
                <c:pt idx="13" formatCode="General">
                  <c:v>420.69</c:v>
                </c:pt>
                <c:pt idx="14" formatCode="General">
                  <c:v>407.34</c:v>
                </c:pt>
                <c:pt idx="15" formatCode="General">
                  <c:v>400.8</c:v>
                </c:pt>
                <c:pt idx="16" formatCode="General">
                  <c:v>426</c:v>
                </c:pt>
                <c:pt idx="17" formatCode="General">
                  <c:v>438.9</c:v>
                </c:pt>
                <c:pt idx="18" formatCode="General">
                  <c:v>506.91</c:v>
                </c:pt>
                <c:pt idx="19" formatCode="General">
                  <c:v>544.11</c:v>
                </c:pt>
                <c:pt idx="20" formatCode="General">
                  <c:v>500.36</c:v>
                </c:pt>
                <c:pt idx="21" formatCode="General">
                  <c:v>505.83</c:v>
                </c:pt>
                <c:pt idx="22" formatCode="General">
                  <c:v>495.1</c:v>
                </c:pt>
                <c:pt idx="23" formatCode="General">
                  <c:v>515.94000000000005</c:v>
                </c:pt>
              </c:numCache>
            </c:numRef>
          </c:val>
          <c:extLst>
            <c:ext xmlns:c16="http://schemas.microsoft.com/office/drawing/2014/chart" uri="{C3380CC4-5D6E-409C-BE32-E72D297353CC}">
              <c16:uniqueId val="{00000000-5EF7-AB46-8B1C-8027BC448D92}"/>
            </c:ext>
          </c:extLst>
        </c:ser>
        <c:ser>
          <c:idx val="1"/>
          <c:order val="1"/>
          <c:tx>
            <c:strRef>
              <c:f>Sheet9!$C$11:$C$12</c:f>
              <c:strCache>
                <c:ptCount val="2"/>
                <c:pt idx="0">
                  <c:v>Bangkok</c:v>
                </c:pt>
              </c:strCache>
            </c:strRef>
          </c:tx>
          <c:spPr>
            <a:solidFill>
              <a:schemeClr val="accent6">
                <a:lumMod val="60000"/>
                <a:lumOff val="40000"/>
              </a:schemeClr>
            </a:solidFill>
            <a:ln>
              <a:noFill/>
            </a:ln>
            <a:effectLst/>
          </c:spPr>
          <c:invertIfNegative val="0"/>
          <c:dLbls>
            <c:dLbl>
              <c:idx val="0"/>
              <c:tx>
                <c:rich>
                  <a:bodyPr/>
                  <a:lstStyle/>
                  <a:p>
                    <a:fld id="{18AD162B-72F0-074D-A67B-681219B5C3F2}" type="CELLRANGE">
                      <a:rPr lang="en-US"/>
                      <a:pPr/>
                      <a:t>[CELLRANGE]</a:t>
                    </a:fld>
                    <a:endParaRPr lang="en-US"/>
                  </a:p>
                </c:rich>
              </c:tx>
              <c:dLblPos val="outEnd"/>
              <c:showLegendKey val="0"/>
              <c:showVal val="0"/>
              <c:showCatName val="0"/>
              <c:showSerName val="0"/>
              <c:showPercent val="0"/>
              <c:showBubbleSize val="0"/>
              <c:extLst>
                <c:ext xmlns:c15="http://schemas.microsoft.com/office/drawing/2012/chart" uri="{CE6537A1-D6FC-4f65-9D91-7224C49458BB}">
                  <c15:dlblFieldTable/>
                  <c15:showDataLabelsRange val="1"/>
                </c:ext>
                <c:ext xmlns:c16="http://schemas.microsoft.com/office/drawing/2014/chart" uri="{C3380CC4-5D6E-409C-BE32-E72D297353CC}">
                  <c16:uniqueId val="{00000001-5EF7-AB46-8B1C-8027BC448D92}"/>
                </c:ext>
              </c:extLst>
            </c:dLbl>
            <c:dLbl>
              <c:idx val="1"/>
              <c:tx>
                <c:rich>
                  <a:bodyPr/>
                  <a:lstStyle/>
                  <a:p>
                    <a:fld id="{3AAD8CB0-9E8D-0148-BC0B-B81C0893775C}" type="CELLRANGE">
                      <a:rPr lang="en-US"/>
                      <a:pPr/>
                      <a:t>[CELLRANGE]</a:t>
                    </a:fld>
                    <a:endParaRPr lang="en-US"/>
                  </a:p>
                </c:rich>
              </c:tx>
              <c:dLblPos val="outEnd"/>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02-5EF7-AB46-8B1C-8027BC448D92}"/>
                </c:ext>
              </c:extLst>
            </c:dLbl>
            <c:dLbl>
              <c:idx val="2"/>
              <c:tx>
                <c:rich>
                  <a:bodyPr/>
                  <a:lstStyle/>
                  <a:p>
                    <a:fld id="{A27E44FC-0291-BE49-B8DD-3F683914635F}" type="CELLRANGE">
                      <a:rPr lang="en-US"/>
                      <a:pPr/>
                      <a:t>[CELLRANGE]</a:t>
                    </a:fld>
                    <a:endParaRPr lang="en-US"/>
                  </a:p>
                </c:rich>
              </c:tx>
              <c:dLblPos val="outEnd"/>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03-5EF7-AB46-8B1C-8027BC448D92}"/>
                </c:ext>
              </c:extLst>
            </c:dLbl>
            <c:dLbl>
              <c:idx val="3"/>
              <c:tx>
                <c:rich>
                  <a:bodyPr/>
                  <a:lstStyle/>
                  <a:p>
                    <a:fld id="{7DCB9791-A582-A64B-8EB5-F6CE68C2A339}" type="CELLRANGE">
                      <a:rPr lang="en-US"/>
                      <a:pPr/>
                      <a:t>[CELLRANGE]</a:t>
                    </a:fld>
                    <a:endParaRPr lang="en-US"/>
                  </a:p>
                </c:rich>
              </c:tx>
              <c:dLblPos val="outEnd"/>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04-5EF7-AB46-8B1C-8027BC448D92}"/>
                </c:ext>
              </c:extLst>
            </c:dLbl>
            <c:dLbl>
              <c:idx val="4"/>
              <c:tx>
                <c:rich>
                  <a:bodyPr/>
                  <a:lstStyle/>
                  <a:p>
                    <a:fld id="{7F55124E-181A-BD45-9F11-F30F73D9214A}" type="CELLRANGE">
                      <a:rPr lang="en-US"/>
                      <a:pPr/>
                      <a:t>[CELLRANGE]</a:t>
                    </a:fld>
                    <a:endParaRPr lang="en-US"/>
                  </a:p>
                </c:rich>
              </c:tx>
              <c:dLblPos val="outEnd"/>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05-5EF7-AB46-8B1C-8027BC448D92}"/>
                </c:ext>
              </c:extLst>
            </c:dLbl>
            <c:dLbl>
              <c:idx val="5"/>
              <c:tx>
                <c:rich>
                  <a:bodyPr/>
                  <a:lstStyle/>
                  <a:p>
                    <a:fld id="{1FADBEB9-1C81-8142-B7BF-E26B3B778CE1}" type="CELLRANGE">
                      <a:rPr lang="en-US"/>
                      <a:pPr/>
                      <a:t>[CELLRANGE]</a:t>
                    </a:fld>
                    <a:endParaRPr lang="en-US"/>
                  </a:p>
                </c:rich>
              </c:tx>
              <c:dLblPos val="outEnd"/>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06-5EF7-AB46-8B1C-8027BC448D92}"/>
                </c:ext>
              </c:extLst>
            </c:dLbl>
            <c:dLbl>
              <c:idx val="6"/>
              <c:tx>
                <c:rich>
                  <a:bodyPr/>
                  <a:lstStyle/>
                  <a:p>
                    <a:fld id="{5FADE350-694F-1345-AFF5-185A73E44272}" type="CELLRANGE">
                      <a:rPr lang="en-US"/>
                      <a:pPr/>
                      <a:t>[CELLRANGE]</a:t>
                    </a:fld>
                    <a:endParaRPr lang="en-US"/>
                  </a:p>
                </c:rich>
              </c:tx>
              <c:dLblPos val="outEnd"/>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07-5EF7-AB46-8B1C-8027BC448D92}"/>
                </c:ext>
              </c:extLst>
            </c:dLbl>
            <c:dLbl>
              <c:idx val="7"/>
              <c:tx>
                <c:rich>
                  <a:bodyPr/>
                  <a:lstStyle/>
                  <a:p>
                    <a:fld id="{A1FC1CD2-5CE2-B148-BCC0-26080AE8C820}" type="CELLRANGE">
                      <a:rPr lang="en-US"/>
                      <a:pPr/>
                      <a:t>[CELLRANGE]</a:t>
                    </a:fld>
                    <a:endParaRPr lang="en-US"/>
                  </a:p>
                </c:rich>
              </c:tx>
              <c:dLblPos val="outEnd"/>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08-5EF7-AB46-8B1C-8027BC448D92}"/>
                </c:ext>
              </c:extLst>
            </c:dLbl>
            <c:dLbl>
              <c:idx val="8"/>
              <c:tx>
                <c:rich>
                  <a:bodyPr/>
                  <a:lstStyle/>
                  <a:p>
                    <a:fld id="{F7CF1AA5-4E08-F247-9529-78E971DFC0E2}" type="CELLRANGE">
                      <a:rPr lang="en-US"/>
                      <a:pPr/>
                      <a:t>[CELLRANGE]</a:t>
                    </a:fld>
                    <a:endParaRPr lang="en-US"/>
                  </a:p>
                </c:rich>
              </c:tx>
              <c:dLblPos val="outEnd"/>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09-5EF7-AB46-8B1C-8027BC448D92}"/>
                </c:ext>
              </c:extLst>
            </c:dLbl>
            <c:dLbl>
              <c:idx val="9"/>
              <c:tx>
                <c:rich>
                  <a:bodyPr/>
                  <a:lstStyle/>
                  <a:p>
                    <a:fld id="{F3BEC326-ABBD-0940-BFB5-1078EB9BCF88}" type="CELLRANGE">
                      <a:rPr lang="en-US"/>
                      <a:pPr/>
                      <a:t>[CELLRANGE]</a:t>
                    </a:fld>
                    <a:endParaRPr lang="en-US"/>
                  </a:p>
                </c:rich>
              </c:tx>
              <c:dLblPos val="outEnd"/>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0A-5EF7-AB46-8B1C-8027BC448D92}"/>
                </c:ext>
              </c:extLst>
            </c:dLbl>
            <c:dLbl>
              <c:idx val="10"/>
              <c:tx>
                <c:rich>
                  <a:bodyPr/>
                  <a:lstStyle/>
                  <a:p>
                    <a:fld id="{6BFEADF5-E082-B645-9901-FA03C930996B}" type="CELLRANGE">
                      <a:rPr lang="en-US"/>
                      <a:pPr/>
                      <a:t>[CELLRANGE]</a:t>
                    </a:fld>
                    <a:endParaRPr lang="en-US"/>
                  </a:p>
                </c:rich>
              </c:tx>
              <c:dLblPos val="outEnd"/>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0B-5EF7-AB46-8B1C-8027BC448D92}"/>
                </c:ext>
              </c:extLst>
            </c:dLbl>
            <c:dLbl>
              <c:idx val="11"/>
              <c:tx>
                <c:rich>
                  <a:bodyPr/>
                  <a:lstStyle/>
                  <a:p>
                    <a:fld id="{E067266A-CF74-BD42-8698-170F38099EF4}" type="CELLRANGE">
                      <a:rPr lang="en-US"/>
                      <a:pPr/>
                      <a:t>[CELLRANGE]</a:t>
                    </a:fld>
                    <a:endParaRPr lang="en-US"/>
                  </a:p>
                </c:rich>
              </c:tx>
              <c:dLblPos val="outEnd"/>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0C-5EF7-AB46-8B1C-8027BC448D92}"/>
                </c:ext>
              </c:extLst>
            </c:dLbl>
            <c:dLbl>
              <c:idx val="12"/>
              <c:tx>
                <c:rich>
                  <a:bodyPr/>
                  <a:lstStyle/>
                  <a:p>
                    <a:fld id="{C89B1049-8B06-A34C-948C-329D73FE3173}" type="CELLRANGE">
                      <a:rPr lang="en-US"/>
                      <a:pPr/>
                      <a:t>[CELLRANGE]</a:t>
                    </a:fld>
                    <a:endParaRPr lang="en-US"/>
                  </a:p>
                </c:rich>
              </c:tx>
              <c:dLblPos val="outEnd"/>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0D-5EF7-AB46-8B1C-8027BC448D92}"/>
                </c:ext>
              </c:extLst>
            </c:dLbl>
            <c:dLbl>
              <c:idx val="13"/>
              <c:tx>
                <c:rich>
                  <a:bodyPr/>
                  <a:lstStyle/>
                  <a:p>
                    <a:fld id="{BDF4B1F7-47A4-0F4C-ADA1-D6D0C5E66790}" type="CELLRANGE">
                      <a:rPr lang="en-US"/>
                      <a:pPr/>
                      <a:t>[CELLRANGE]</a:t>
                    </a:fld>
                    <a:endParaRPr lang="en-US"/>
                  </a:p>
                </c:rich>
              </c:tx>
              <c:dLblPos val="outEnd"/>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0E-5EF7-AB46-8B1C-8027BC448D92}"/>
                </c:ext>
              </c:extLst>
            </c:dLbl>
            <c:dLbl>
              <c:idx val="14"/>
              <c:tx>
                <c:rich>
                  <a:bodyPr/>
                  <a:lstStyle/>
                  <a:p>
                    <a:fld id="{334BB837-BFEB-4D4E-A331-0C18EAB8B090}" type="CELLRANGE">
                      <a:rPr lang="en-US"/>
                      <a:pPr/>
                      <a:t>[CELLRANGE]</a:t>
                    </a:fld>
                    <a:endParaRPr lang="en-US"/>
                  </a:p>
                </c:rich>
              </c:tx>
              <c:dLblPos val="outEnd"/>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0F-5EF7-AB46-8B1C-8027BC448D92}"/>
                </c:ext>
              </c:extLst>
            </c:dLbl>
            <c:dLbl>
              <c:idx val="15"/>
              <c:tx>
                <c:rich>
                  <a:bodyPr/>
                  <a:lstStyle/>
                  <a:p>
                    <a:fld id="{27C73611-D518-7D46-BAAE-50B53ACC6690}" type="CELLRANGE">
                      <a:rPr lang="en-US"/>
                      <a:pPr/>
                      <a:t>[CELLRANGE]</a:t>
                    </a:fld>
                    <a:endParaRPr lang="en-US"/>
                  </a:p>
                </c:rich>
              </c:tx>
              <c:dLblPos val="outEnd"/>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10-5EF7-AB46-8B1C-8027BC448D92}"/>
                </c:ext>
              </c:extLst>
            </c:dLbl>
            <c:dLbl>
              <c:idx val="16"/>
              <c:tx>
                <c:rich>
                  <a:bodyPr/>
                  <a:lstStyle/>
                  <a:p>
                    <a:fld id="{F56C1971-7B4F-A142-A30D-2909204ECC71}" type="CELLRANGE">
                      <a:rPr lang="en-US"/>
                      <a:pPr/>
                      <a:t>[CELLRANGE]</a:t>
                    </a:fld>
                    <a:endParaRPr lang="en-US"/>
                  </a:p>
                </c:rich>
              </c:tx>
              <c:dLblPos val="outEnd"/>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11-5EF7-AB46-8B1C-8027BC448D92}"/>
                </c:ext>
              </c:extLst>
            </c:dLbl>
            <c:dLbl>
              <c:idx val="17"/>
              <c:tx>
                <c:rich>
                  <a:bodyPr/>
                  <a:lstStyle/>
                  <a:p>
                    <a:fld id="{98D291F8-8F4A-8143-A553-BDD711AB2DBA}" type="CELLRANGE">
                      <a:rPr lang="en-US"/>
                      <a:pPr/>
                      <a:t>[CELLRANGE]</a:t>
                    </a:fld>
                    <a:endParaRPr lang="en-US"/>
                  </a:p>
                </c:rich>
              </c:tx>
              <c:dLblPos val="outEnd"/>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12-5EF7-AB46-8B1C-8027BC448D92}"/>
                </c:ext>
              </c:extLst>
            </c:dLbl>
            <c:dLbl>
              <c:idx val="18"/>
              <c:tx>
                <c:rich>
                  <a:bodyPr/>
                  <a:lstStyle/>
                  <a:p>
                    <a:fld id="{6CC24484-9ECD-084B-9085-D60796491CCA}" type="CELLRANGE">
                      <a:rPr lang="en-US"/>
                      <a:pPr/>
                      <a:t>[CELLRANGE]</a:t>
                    </a:fld>
                    <a:endParaRPr lang="en-US"/>
                  </a:p>
                </c:rich>
              </c:tx>
              <c:dLblPos val="outEnd"/>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13-5EF7-AB46-8B1C-8027BC448D92}"/>
                </c:ext>
              </c:extLst>
            </c:dLbl>
            <c:dLbl>
              <c:idx val="19"/>
              <c:tx>
                <c:rich>
                  <a:bodyPr/>
                  <a:lstStyle/>
                  <a:p>
                    <a:fld id="{CB385372-9121-3C46-8389-2415A876301E}" type="CELLRANGE">
                      <a:rPr lang="en-US"/>
                      <a:pPr/>
                      <a:t>[CELLRANGE]</a:t>
                    </a:fld>
                    <a:endParaRPr lang="en-US"/>
                  </a:p>
                </c:rich>
              </c:tx>
              <c:dLblPos val="outEnd"/>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14-5EF7-AB46-8B1C-8027BC448D92}"/>
                </c:ext>
              </c:extLst>
            </c:dLbl>
            <c:dLbl>
              <c:idx val="20"/>
              <c:tx>
                <c:rich>
                  <a:bodyPr/>
                  <a:lstStyle/>
                  <a:p>
                    <a:fld id="{1B8E7865-A85B-DA46-B2DD-38F6FA36971D}" type="CELLRANGE">
                      <a:rPr lang="en-US"/>
                      <a:pPr/>
                      <a:t>[CELLRANGE]</a:t>
                    </a:fld>
                    <a:endParaRPr lang="en-US"/>
                  </a:p>
                </c:rich>
              </c:tx>
              <c:dLblPos val="outEnd"/>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15-5EF7-AB46-8B1C-8027BC448D92}"/>
                </c:ext>
              </c:extLst>
            </c:dLbl>
            <c:dLbl>
              <c:idx val="21"/>
              <c:tx>
                <c:rich>
                  <a:bodyPr/>
                  <a:lstStyle/>
                  <a:p>
                    <a:fld id="{68EC6A46-0A39-EA4E-9629-CCD7CD4C9E68}" type="CELLRANGE">
                      <a:rPr lang="en-US"/>
                      <a:pPr/>
                      <a:t>[CELLRANGE]</a:t>
                    </a:fld>
                    <a:endParaRPr lang="en-US"/>
                  </a:p>
                </c:rich>
              </c:tx>
              <c:dLblPos val="outEnd"/>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16-5EF7-AB46-8B1C-8027BC448D92}"/>
                </c:ext>
              </c:extLst>
            </c:dLbl>
            <c:dLbl>
              <c:idx val="22"/>
              <c:tx>
                <c:rich>
                  <a:bodyPr/>
                  <a:lstStyle/>
                  <a:p>
                    <a:fld id="{ED0142B5-3A02-9A4E-AB40-879F0ED992BC}" type="CELLRANGE">
                      <a:rPr lang="en-US"/>
                      <a:pPr/>
                      <a:t>[CELLRANGE]</a:t>
                    </a:fld>
                    <a:endParaRPr lang="en-US"/>
                  </a:p>
                </c:rich>
              </c:tx>
              <c:dLblPos val="outEnd"/>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17-5EF7-AB46-8B1C-8027BC448D92}"/>
                </c:ext>
              </c:extLst>
            </c:dLbl>
            <c:dLbl>
              <c:idx val="23"/>
              <c:tx>
                <c:rich>
                  <a:bodyPr/>
                  <a:lstStyle/>
                  <a:p>
                    <a:fld id="{177B99CE-B2BA-4F41-8086-1F1882B852EF}" type="CELLRANGE">
                      <a:rPr lang="en-US"/>
                      <a:pPr/>
                      <a:t>[CELLRANGE]</a:t>
                    </a:fld>
                    <a:endParaRPr lang="en-US"/>
                  </a:p>
                </c:rich>
              </c:tx>
              <c:dLblPos val="outEnd"/>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18-5EF7-AB46-8B1C-8027BC448D92}"/>
                </c:ext>
              </c:extLst>
            </c:dLbl>
            <c:spPr>
              <a:noFill/>
              <a:ln>
                <a:noFill/>
              </a:ln>
              <a:effectLst/>
            </c:spPr>
            <c:txPr>
              <a:bodyPr rot="0" spcFirstLastPara="1" vertOverflow="ellipsis" vert="horz" wrap="square" anchor="ctr" anchorCtr="1"/>
              <a:lstStyle/>
              <a:p>
                <a:pPr>
                  <a:defRPr sz="700" b="0" i="0" u="none" strike="noStrike" kern="1200" baseline="0">
                    <a:solidFill>
                      <a:schemeClr val="tx1">
                        <a:lumMod val="75000"/>
                        <a:lumOff val="25000"/>
                      </a:schemeClr>
                    </a:solidFill>
                    <a:latin typeface="Arial" panose="020B0604020202020204" pitchFamily="34" charset="0"/>
                    <a:ea typeface="+mn-ea"/>
                    <a:cs typeface="Arial" panose="020B0604020202020204" pitchFamily="34" charset="0"/>
                  </a:defRPr>
                </a:pPr>
                <a:endParaRPr lang="th-TH"/>
              </a:p>
            </c:txPr>
            <c:dLblPos val="outEnd"/>
            <c:showLegendKey val="0"/>
            <c:showVal val="0"/>
            <c:showCatName val="0"/>
            <c:showSerName val="0"/>
            <c:showPercent val="0"/>
            <c:showBubbleSize val="0"/>
            <c:showLeaderLines val="0"/>
            <c:extLst>
              <c:ext xmlns:c15="http://schemas.microsoft.com/office/drawing/2012/chart" uri="{CE6537A1-D6FC-4f65-9D91-7224C49458BB}">
                <c15:showDataLabelsRange val="1"/>
                <c15:showLeaderLines val="1"/>
                <c15:leaderLines>
                  <c:spPr>
                    <a:ln w="9525" cap="flat" cmpd="sng" algn="ctr">
                      <a:solidFill>
                        <a:schemeClr val="tx1">
                          <a:lumMod val="35000"/>
                          <a:lumOff val="65000"/>
                        </a:schemeClr>
                      </a:solidFill>
                      <a:round/>
                    </a:ln>
                    <a:effectLst/>
                  </c:spPr>
                </c15:leaderLines>
              </c:ext>
            </c:extLst>
          </c:dLbls>
          <c:cat>
            <c:numRef>
              <c:f>Sheet9!$A$13:$A$36</c:f>
              <c:numCache>
                <c:formatCode>General</c:formatCode>
                <c:ptCount val="24"/>
                <c:pt idx="0">
                  <c:v>2000</c:v>
                </c:pt>
                <c:pt idx="1">
                  <c:v>2001</c:v>
                </c:pt>
                <c:pt idx="2">
                  <c:v>2002</c:v>
                </c:pt>
                <c:pt idx="3">
                  <c:v>2003</c:v>
                </c:pt>
                <c:pt idx="4">
                  <c:v>2004</c:v>
                </c:pt>
                <c:pt idx="5">
                  <c:v>2005</c:v>
                </c:pt>
                <c:pt idx="6">
                  <c:v>2006</c:v>
                </c:pt>
                <c:pt idx="7">
                  <c:v>2007</c:v>
                </c:pt>
                <c:pt idx="8">
                  <c:v>2008</c:v>
                </c:pt>
                <c:pt idx="9">
                  <c:v>2009</c:v>
                </c:pt>
                <c:pt idx="10">
                  <c:v>2010</c:v>
                </c:pt>
                <c:pt idx="11">
                  <c:v>2011</c:v>
                </c:pt>
                <c:pt idx="12">
                  <c:v>2012</c:v>
                </c:pt>
                <c:pt idx="13">
                  <c:v>2013</c:v>
                </c:pt>
                <c:pt idx="14">
                  <c:v>2014</c:v>
                </c:pt>
                <c:pt idx="15">
                  <c:v>2015</c:v>
                </c:pt>
                <c:pt idx="16">
                  <c:v>2016</c:v>
                </c:pt>
                <c:pt idx="17">
                  <c:v>2017</c:v>
                </c:pt>
                <c:pt idx="18">
                  <c:v>2018</c:v>
                </c:pt>
                <c:pt idx="19">
                  <c:v>2019</c:v>
                </c:pt>
                <c:pt idx="20">
                  <c:v>2020</c:v>
                </c:pt>
                <c:pt idx="21">
                  <c:v>2021</c:v>
                </c:pt>
                <c:pt idx="22">
                  <c:v>2022</c:v>
                </c:pt>
                <c:pt idx="23">
                  <c:v>2023</c:v>
                </c:pt>
              </c:numCache>
            </c:numRef>
          </c:cat>
          <c:val>
            <c:numRef>
              <c:f>Sheet9!$C$13:$C$36</c:f>
              <c:numCache>
                <c:formatCode>0.00</c:formatCode>
                <c:ptCount val="24"/>
                <c:pt idx="0">
                  <c:v>44.522677219945223</c:v>
                </c:pt>
                <c:pt idx="1">
                  <c:v>43.255938457036869</c:v>
                </c:pt>
                <c:pt idx="2">
                  <c:v>46.625137484</c:v>
                </c:pt>
                <c:pt idx="3">
                  <c:v>51.463052130580294</c:v>
                </c:pt>
                <c:pt idx="4">
                  <c:v>58.085208828259248</c:v>
                </c:pt>
                <c:pt idx="5">
                  <c:v>63.066512164365527</c:v>
                </c:pt>
                <c:pt idx="6">
                  <c:v>67.549241753944401</c:v>
                </c:pt>
                <c:pt idx="7">
                  <c:v>81.433890688830999</c:v>
                </c:pt>
                <c:pt idx="8">
                  <c:v>87.797446234172668</c:v>
                </c:pt>
                <c:pt idx="9">
                  <c:v>85.063569482731495</c:v>
                </c:pt>
                <c:pt idx="10">
                  <c:v>97.817009015694936</c:v>
                </c:pt>
                <c:pt idx="11">
                  <c:v>109.94669488570024</c:v>
                </c:pt>
                <c:pt idx="12">
                  <c:v>117.76240458474905</c:v>
                </c:pt>
                <c:pt idx="13" formatCode="General">
                  <c:v>128.86000000000001</c:v>
                </c:pt>
                <c:pt idx="14" formatCode="General">
                  <c:v>129.44</c:v>
                </c:pt>
                <c:pt idx="15" formatCode="General">
                  <c:v>130.29</c:v>
                </c:pt>
                <c:pt idx="16" formatCode="General">
                  <c:v>139.59</c:v>
                </c:pt>
                <c:pt idx="17" formatCode="General">
                  <c:v>143.72</c:v>
                </c:pt>
                <c:pt idx="18" formatCode="General">
                  <c:v>167.46</c:v>
                </c:pt>
                <c:pt idx="19" formatCode="General">
                  <c:v>184.01</c:v>
                </c:pt>
                <c:pt idx="20" formatCode="General">
                  <c:v>169.63</c:v>
                </c:pt>
                <c:pt idx="21" formatCode="General">
                  <c:v>167.67</c:v>
                </c:pt>
                <c:pt idx="22" formatCode="General">
                  <c:v>163.72999999999999</c:v>
                </c:pt>
                <c:pt idx="23" formatCode="General">
                  <c:v>176.52</c:v>
                </c:pt>
              </c:numCache>
            </c:numRef>
          </c:val>
          <c:extLst>
            <c:ext xmlns:c15="http://schemas.microsoft.com/office/drawing/2012/chart" uri="{02D57815-91ED-43cb-92C2-25804820EDAC}">
              <c15:datalabelsRange>
                <c15:f>Sheet9!$J$13:$J$36</c15:f>
                <c15:dlblRangeCache>
                  <c:ptCount val="24"/>
                  <c:pt idx="0">
                    <c:v>35.3%</c:v>
                  </c:pt>
                  <c:pt idx="1">
                    <c:v>36.0%</c:v>
                  </c:pt>
                  <c:pt idx="2">
                    <c:v>34.8%</c:v>
                  </c:pt>
                  <c:pt idx="3">
                    <c:v>33.8%</c:v>
                  </c:pt>
                  <c:pt idx="4">
                    <c:v>33.5%</c:v>
                  </c:pt>
                  <c:pt idx="5">
                    <c:v>33.4%</c:v>
                  </c:pt>
                  <c:pt idx="6">
                    <c:v>32.1%</c:v>
                  </c:pt>
                  <c:pt idx="7">
                    <c:v>31.0%</c:v>
                  </c:pt>
                  <c:pt idx="8">
                    <c:v>30.2%</c:v>
                  </c:pt>
                  <c:pt idx="9">
                    <c:v>30.2%</c:v>
                  </c:pt>
                  <c:pt idx="10">
                    <c:v>28.7%</c:v>
                  </c:pt>
                  <c:pt idx="11">
                    <c:v>29.7%</c:v>
                  </c:pt>
                  <c:pt idx="12">
                    <c:v>29.6%</c:v>
                  </c:pt>
                  <c:pt idx="13">
                    <c:v>30.6%</c:v>
                  </c:pt>
                  <c:pt idx="14">
                    <c:v>31.8%</c:v>
                  </c:pt>
                  <c:pt idx="15">
                    <c:v>32.5%</c:v>
                  </c:pt>
                  <c:pt idx="16">
                    <c:v>32.8%</c:v>
                  </c:pt>
                  <c:pt idx="17">
                    <c:v>32.7%</c:v>
                  </c:pt>
                  <c:pt idx="18">
                    <c:v>33.0%</c:v>
                  </c:pt>
                  <c:pt idx="19">
                    <c:v>33.8%</c:v>
                  </c:pt>
                  <c:pt idx="20">
                    <c:v>33.9%</c:v>
                  </c:pt>
                  <c:pt idx="21">
                    <c:v>33.2%</c:v>
                  </c:pt>
                  <c:pt idx="22">
                    <c:v>33.1%</c:v>
                  </c:pt>
                  <c:pt idx="23">
                    <c:v>34.2%</c:v>
                  </c:pt>
                </c15:dlblRangeCache>
              </c15:datalabelsRange>
            </c:ext>
            <c:ext xmlns:c16="http://schemas.microsoft.com/office/drawing/2014/chart" uri="{C3380CC4-5D6E-409C-BE32-E72D297353CC}">
              <c16:uniqueId val="{00000019-5EF7-AB46-8B1C-8027BC448D92}"/>
            </c:ext>
          </c:extLst>
        </c:ser>
        <c:ser>
          <c:idx val="3"/>
          <c:order val="2"/>
          <c:tx>
            <c:strRef>
              <c:f>Sheet9!$E$11:$E$12</c:f>
              <c:strCache>
                <c:ptCount val="2"/>
                <c:pt idx="0">
                  <c:v>16 Others provinces</c:v>
                </c:pt>
              </c:strCache>
            </c:strRef>
          </c:tx>
          <c:spPr>
            <a:solidFill>
              <a:schemeClr val="accent4"/>
            </a:solidFill>
            <a:ln>
              <a:noFill/>
            </a:ln>
            <a:effectLst/>
          </c:spPr>
          <c:invertIfNegative val="0"/>
          <c:dLbls>
            <c:dLbl>
              <c:idx val="0"/>
              <c:tx>
                <c:rich>
                  <a:bodyPr/>
                  <a:lstStyle/>
                  <a:p>
                    <a:fld id="{911DF3AA-946F-9D44-A800-749DADEA5B51}" type="CELLRANGE">
                      <a:rPr lang="en-US"/>
                      <a:pPr/>
                      <a:t>[CELLRANGE]</a:t>
                    </a:fld>
                    <a:endParaRPr lang="en-US"/>
                  </a:p>
                </c:rich>
              </c:tx>
              <c:dLblPos val="inEnd"/>
              <c:showLegendKey val="0"/>
              <c:showVal val="0"/>
              <c:showCatName val="0"/>
              <c:showSerName val="0"/>
              <c:showPercent val="0"/>
              <c:showBubbleSize val="0"/>
              <c:extLst>
                <c:ext xmlns:c15="http://schemas.microsoft.com/office/drawing/2012/chart" uri="{CE6537A1-D6FC-4f65-9D91-7224C49458BB}">
                  <c15:dlblFieldTable/>
                  <c15:showDataLabelsRange val="1"/>
                </c:ext>
                <c:ext xmlns:c16="http://schemas.microsoft.com/office/drawing/2014/chart" uri="{C3380CC4-5D6E-409C-BE32-E72D297353CC}">
                  <c16:uniqueId val="{0000001A-5EF7-AB46-8B1C-8027BC448D92}"/>
                </c:ext>
              </c:extLst>
            </c:dLbl>
            <c:dLbl>
              <c:idx val="1"/>
              <c:tx>
                <c:rich>
                  <a:bodyPr/>
                  <a:lstStyle/>
                  <a:p>
                    <a:fld id="{632392C3-57E0-C74A-A621-9C8F1C3F11B3}" type="CELLRANGE">
                      <a:rPr lang="en-US"/>
                      <a:pPr/>
                      <a:t>[CELLRANGE]</a:t>
                    </a:fld>
                    <a:endParaRPr lang="en-US"/>
                  </a:p>
                </c:rich>
              </c:tx>
              <c:dLblPos val="inEnd"/>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1B-5EF7-AB46-8B1C-8027BC448D92}"/>
                </c:ext>
              </c:extLst>
            </c:dLbl>
            <c:dLbl>
              <c:idx val="2"/>
              <c:tx>
                <c:rich>
                  <a:bodyPr/>
                  <a:lstStyle/>
                  <a:p>
                    <a:fld id="{A57FBB53-B971-B34E-B2A0-C8A27B9CD1FB}" type="CELLRANGE">
                      <a:rPr lang="en-US"/>
                      <a:pPr/>
                      <a:t>[CELLRANGE]</a:t>
                    </a:fld>
                    <a:endParaRPr lang="en-US"/>
                  </a:p>
                </c:rich>
              </c:tx>
              <c:dLblPos val="inEnd"/>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1C-5EF7-AB46-8B1C-8027BC448D92}"/>
                </c:ext>
              </c:extLst>
            </c:dLbl>
            <c:dLbl>
              <c:idx val="3"/>
              <c:tx>
                <c:rich>
                  <a:bodyPr/>
                  <a:lstStyle/>
                  <a:p>
                    <a:fld id="{56140C95-BEDE-8044-8B55-DB2869657A52}" type="CELLRANGE">
                      <a:rPr lang="en-US"/>
                      <a:pPr/>
                      <a:t>[CELLRANGE]</a:t>
                    </a:fld>
                    <a:endParaRPr lang="en-US"/>
                  </a:p>
                </c:rich>
              </c:tx>
              <c:dLblPos val="inEnd"/>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1D-5EF7-AB46-8B1C-8027BC448D92}"/>
                </c:ext>
              </c:extLst>
            </c:dLbl>
            <c:dLbl>
              <c:idx val="4"/>
              <c:tx>
                <c:rich>
                  <a:bodyPr/>
                  <a:lstStyle/>
                  <a:p>
                    <a:fld id="{ABD69D40-885F-034E-9DC0-2D766B828B43}" type="CELLRANGE">
                      <a:rPr lang="en-US"/>
                      <a:pPr/>
                      <a:t>[CELLRANGE]</a:t>
                    </a:fld>
                    <a:endParaRPr lang="en-US"/>
                  </a:p>
                </c:rich>
              </c:tx>
              <c:dLblPos val="inEnd"/>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1E-5EF7-AB46-8B1C-8027BC448D92}"/>
                </c:ext>
              </c:extLst>
            </c:dLbl>
            <c:dLbl>
              <c:idx val="5"/>
              <c:tx>
                <c:rich>
                  <a:bodyPr/>
                  <a:lstStyle/>
                  <a:p>
                    <a:fld id="{772EBCEF-4616-1F4C-BA75-1C2A4E95D19C}" type="CELLRANGE">
                      <a:rPr lang="en-US"/>
                      <a:pPr/>
                      <a:t>[CELLRANGE]</a:t>
                    </a:fld>
                    <a:endParaRPr lang="en-US"/>
                  </a:p>
                </c:rich>
              </c:tx>
              <c:dLblPos val="inEnd"/>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1F-5EF7-AB46-8B1C-8027BC448D92}"/>
                </c:ext>
              </c:extLst>
            </c:dLbl>
            <c:dLbl>
              <c:idx val="6"/>
              <c:tx>
                <c:rich>
                  <a:bodyPr/>
                  <a:lstStyle/>
                  <a:p>
                    <a:fld id="{220AF7A5-1E28-514B-B176-C516E26293F0}" type="CELLRANGE">
                      <a:rPr lang="en-US"/>
                      <a:pPr/>
                      <a:t>[CELLRANGE]</a:t>
                    </a:fld>
                    <a:endParaRPr lang="en-US"/>
                  </a:p>
                </c:rich>
              </c:tx>
              <c:dLblPos val="inEnd"/>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20-5EF7-AB46-8B1C-8027BC448D92}"/>
                </c:ext>
              </c:extLst>
            </c:dLbl>
            <c:dLbl>
              <c:idx val="7"/>
              <c:tx>
                <c:rich>
                  <a:bodyPr/>
                  <a:lstStyle/>
                  <a:p>
                    <a:fld id="{044BB8F8-44B3-8246-8EE4-9BC9C7A7CFDC}" type="CELLRANGE">
                      <a:rPr lang="en-US"/>
                      <a:pPr/>
                      <a:t>[CELLRANGE]</a:t>
                    </a:fld>
                    <a:endParaRPr lang="en-US"/>
                  </a:p>
                </c:rich>
              </c:tx>
              <c:dLblPos val="inEnd"/>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21-5EF7-AB46-8B1C-8027BC448D92}"/>
                </c:ext>
              </c:extLst>
            </c:dLbl>
            <c:dLbl>
              <c:idx val="8"/>
              <c:tx>
                <c:rich>
                  <a:bodyPr/>
                  <a:lstStyle/>
                  <a:p>
                    <a:fld id="{F9E6A239-FDE9-BE4E-9928-45504045DF34}" type="CELLRANGE">
                      <a:rPr lang="en-US"/>
                      <a:pPr/>
                      <a:t>[CELLRANGE]</a:t>
                    </a:fld>
                    <a:endParaRPr lang="en-US"/>
                  </a:p>
                </c:rich>
              </c:tx>
              <c:dLblPos val="inEnd"/>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22-5EF7-AB46-8B1C-8027BC448D92}"/>
                </c:ext>
              </c:extLst>
            </c:dLbl>
            <c:dLbl>
              <c:idx val="9"/>
              <c:tx>
                <c:rich>
                  <a:bodyPr/>
                  <a:lstStyle/>
                  <a:p>
                    <a:fld id="{8C449D5C-CB9B-B746-97C7-490D15A4260E}" type="CELLRANGE">
                      <a:rPr lang="en-US"/>
                      <a:pPr/>
                      <a:t>[CELLRANGE]</a:t>
                    </a:fld>
                    <a:endParaRPr lang="en-US"/>
                  </a:p>
                </c:rich>
              </c:tx>
              <c:dLblPos val="inEnd"/>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23-5EF7-AB46-8B1C-8027BC448D92}"/>
                </c:ext>
              </c:extLst>
            </c:dLbl>
            <c:dLbl>
              <c:idx val="10"/>
              <c:tx>
                <c:rich>
                  <a:bodyPr/>
                  <a:lstStyle/>
                  <a:p>
                    <a:fld id="{375BBF9A-CA2D-0340-A05F-3948E0429FC4}" type="CELLRANGE">
                      <a:rPr lang="en-US"/>
                      <a:pPr/>
                      <a:t>[CELLRANGE]</a:t>
                    </a:fld>
                    <a:endParaRPr lang="en-US"/>
                  </a:p>
                </c:rich>
              </c:tx>
              <c:dLblPos val="inEnd"/>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24-5EF7-AB46-8B1C-8027BC448D92}"/>
                </c:ext>
              </c:extLst>
            </c:dLbl>
            <c:dLbl>
              <c:idx val="11"/>
              <c:tx>
                <c:rich>
                  <a:bodyPr/>
                  <a:lstStyle/>
                  <a:p>
                    <a:fld id="{F5861D47-00B0-E347-93BC-EB972757E2BC}" type="CELLRANGE">
                      <a:rPr lang="en-US"/>
                      <a:pPr/>
                      <a:t>[CELLRANGE]</a:t>
                    </a:fld>
                    <a:endParaRPr lang="en-US"/>
                  </a:p>
                </c:rich>
              </c:tx>
              <c:dLblPos val="inEnd"/>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25-5EF7-AB46-8B1C-8027BC448D92}"/>
                </c:ext>
              </c:extLst>
            </c:dLbl>
            <c:dLbl>
              <c:idx val="12"/>
              <c:tx>
                <c:rich>
                  <a:bodyPr/>
                  <a:lstStyle/>
                  <a:p>
                    <a:fld id="{E406964A-FE02-1F4C-9D98-7E124766512F}" type="CELLRANGE">
                      <a:rPr lang="en-US"/>
                      <a:pPr/>
                      <a:t>[CELLRANGE]</a:t>
                    </a:fld>
                    <a:endParaRPr lang="en-US"/>
                  </a:p>
                </c:rich>
              </c:tx>
              <c:dLblPos val="inEnd"/>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26-5EF7-AB46-8B1C-8027BC448D92}"/>
                </c:ext>
              </c:extLst>
            </c:dLbl>
            <c:dLbl>
              <c:idx val="13"/>
              <c:tx>
                <c:rich>
                  <a:bodyPr/>
                  <a:lstStyle/>
                  <a:p>
                    <a:fld id="{B2D2CBD6-10DD-6441-9A0A-E80A0E9C90F9}" type="CELLRANGE">
                      <a:rPr lang="en-US"/>
                      <a:pPr/>
                      <a:t>[CELLRANGE]</a:t>
                    </a:fld>
                    <a:endParaRPr lang="en-US"/>
                  </a:p>
                </c:rich>
              </c:tx>
              <c:dLblPos val="inEnd"/>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27-5EF7-AB46-8B1C-8027BC448D92}"/>
                </c:ext>
              </c:extLst>
            </c:dLbl>
            <c:dLbl>
              <c:idx val="14"/>
              <c:tx>
                <c:rich>
                  <a:bodyPr/>
                  <a:lstStyle/>
                  <a:p>
                    <a:fld id="{C966E869-94B6-9E48-ACAC-903385493D58}" type="CELLRANGE">
                      <a:rPr lang="en-US"/>
                      <a:pPr/>
                      <a:t>[CELLRANGE]</a:t>
                    </a:fld>
                    <a:endParaRPr lang="en-US"/>
                  </a:p>
                </c:rich>
              </c:tx>
              <c:dLblPos val="inEnd"/>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28-5EF7-AB46-8B1C-8027BC448D92}"/>
                </c:ext>
              </c:extLst>
            </c:dLbl>
            <c:dLbl>
              <c:idx val="15"/>
              <c:tx>
                <c:rich>
                  <a:bodyPr/>
                  <a:lstStyle/>
                  <a:p>
                    <a:fld id="{5624CE40-8532-D343-8B19-C5ACC40981DA}" type="CELLRANGE">
                      <a:rPr lang="en-US"/>
                      <a:pPr/>
                      <a:t>[CELLRANGE]</a:t>
                    </a:fld>
                    <a:endParaRPr lang="en-US"/>
                  </a:p>
                </c:rich>
              </c:tx>
              <c:dLblPos val="inEnd"/>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29-5EF7-AB46-8B1C-8027BC448D92}"/>
                </c:ext>
              </c:extLst>
            </c:dLbl>
            <c:dLbl>
              <c:idx val="16"/>
              <c:tx>
                <c:rich>
                  <a:bodyPr/>
                  <a:lstStyle/>
                  <a:p>
                    <a:fld id="{DA4C0C4F-2A31-9940-B837-80961877329F}" type="CELLRANGE">
                      <a:rPr lang="en-US"/>
                      <a:pPr/>
                      <a:t>[CELLRANGE]</a:t>
                    </a:fld>
                    <a:endParaRPr lang="en-US"/>
                  </a:p>
                </c:rich>
              </c:tx>
              <c:dLblPos val="inEnd"/>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2A-5EF7-AB46-8B1C-8027BC448D92}"/>
                </c:ext>
              </c:extLst>
            </c:dLbl>
            <c:dLbl>
              <c:idx val="17"/>
              <c:tx>
                <c:rich>
                  <a:bodyPr/>
                  <a:lstStyle/>
                  <a:p>
                    <a:fld id="{F9265239-E4B2-AB47-996A-8A4BD51D443B}" type="CELLRANGE">
                      <a:rPr lang="en-US"/>
                      <a:pPr/>
                      <a:t>[CELLRANGE]</a:t>
                    </a:fld>
                    <a:endParaRPr lang="en-US"/>
                  </a:p>
                </c:rich>
              </c:tx>
              <c:dLblPos val="inEnd"/>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2B-5EF7-AB46-8B1C-8027BC448D92}"/>
                </c:ext>
              </c:extLst>
            </c:dLbl>
            <c:dLbl>
              <c:idx val="18"/>
              <c:tx>
                <c:rich>
                  <a:bodyPr/>
                  <a:lstStyle/>
                  <a:p>
                    <a:fld id="{8CAB8321-46AC-414D-97F0-13AAD85E199A}" type="CELLRANGE">
                      <a:rPr lang="en-US"/>
                      <a:pPr/>
                      <a:t>[CELLRANGE]</a:t>
                    </a:fld>
                    <a:endParaRPr lang="en-US"/>
                  </a:p>
                </c:rich>
              </c:tx>
              <c:dLblPos val="inEnd"/>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2C-5EF7-AB46-8B1C-8027BC448D92}"/>
                </c:ext>
              </c:extLst>
            </c:dLbl>
            <c:dLbl>
              <c:idx val="19"/>
              <c:tx>
                <c:rich>
                  <a:bodyPr/>
                  <a:lstStyle/>
                  <a:p>
                    <a:fld id="{6E2ACEF7-5206-1545-9355-DD181DBB4F91}" type="CELLRANGE">
                      <a:rPr lang="en-US"/>
                      <a:pPr/>
                      <a:t>[CELLRANGE]</a:t>
                    </a:fld>
                    <a:endParaRPr lang="en-US"/>
                  </a:p>
                </c:rich>
              </c:tx>
              <c:dLblPos val="inEnd"/>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2D-5EF7-AB46-8B1C-8027BC448D92}"/>
                </c:ext>
              </c:extLst>
            </c:dLbl>
            <c:dLbl>
              <c:idx val="20"/>
              <c:tx>
                <c:rich>
                  <a:bodyPr/>
                  <a:lstStyle/>
                  <a:p>
                    <a:fld id="{7ABDE9E5-F60A-5348-8D10-B47569FCB734}" type="CELLRANGE">
                      <a:rPr lang="en-US"/>
                      <a:pPr/>
                      <a:t>[CELLRANGE]</a:t>
                    </a:fld>
                    <a:endParaRPr lang="en-US"/>
                  </a:p>
                </c:rich>
              </c:tx>
              <c:dLblPos val="inEnd"/>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2E-5EF7-AB46-8B1C-8027BC448D92}"/>
                </c:ext>
              </c:extLst>
            </c:dLbl>
            <c:dLbl>
              <c:idx val="21"/>
              <c:tx>
                <c:rich>
                  <a:bodyPr/>
                  <a:lstStyle/>
                  <a:p>
                    <a:fld id="{A7C850BD-CCC9-2741-B692-98B95EC7D93A}" type="CELLRANGE">
                      <a:rPr lang="en-US"/>
                      <a:pPr/>
                      <a:t>[CELLRANGE]</a:t>
                    </a:fld>
                    <a:endParaRPr lang="en-US"/>
                  </a:p>
                </c:rich>
              </c:tx>
              <c:dLblPos val="inEnd"/>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2F-5EF7-AB46-8B1C-8027BC448D92}"/>
                </c:ext>
              </c:extLst>
            </c:dLbl>
            <c:dLbl>
              <c:idx val="22"/>
              <c:tx>
                <c:rich>
                  <a:bodyPr/>
                  <a:lstStyle/>
                  <a:p>
                    <a:fld id="{02931801-C16C-8B4C-B8F4-7AD1F9B998EA}" type="CELLRANGE">
                      <a:rPr lang="en-US"/>
                      <a:pPr/>
                      <a:t>[CELLRANGE]</a:t>
                    </a:fld>
                    <a:endParaRPr lang="en-US"/>
                  </a:p>
                </c:rich>
              </c:tx>
              <c:dLblPos val="inEnd"/>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30-5EF7-AB46-8B1C-8027BC448D92}"/>
                </c:ext>
              </c:extLst>
            </c:dLbl>
            <c:dLbl>
              <c:idx val="23"/>
              <c:tx>
                <c:rich>
                  <a:bodyPr/>
                  <a:lstStyle/>
                  <a:p>
                    <a:fld id="{E718DB22-04B1-2849-8275-C83CF70751CB}" type="CELLRANGE">
                      <a:rPr lang="en-US"/>
                      <a:pPr/>
                      <a:t>[CELLRANGE]</a:t>
                    </a:fld>
                    <a:endParaRPr lang="en-US"/>
                  </a:p>
                </c:rich>
              </c:tx>
              <c:dLblPos val="inEnd"/>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31-5EF7-AB46-8B1C-8027BC448D92}"/>
                </c:ext>
              </c:extLst>
            </c:dLbl>
            <c:spPr>
              <a:noFill/>
              <a:ln>
                <a:noFill/>
              </a:ln>
              <a:effectLst/>
            </c:spPr>
            <c:txPr>
              <a:bodyPr rot="0" spcFirstLastPara="1" vertOverflow="ellipsis" vert="horz" wrap="square" anchor="ctr" anchorCtr="1"/>
              <a:lstStyle/>
              <a:p>
                <a:pPr>
                  <a:defRPr sz="700" b="0" i="0" u="none" strike="noStrike" kern="1200" baseline="0">
                    <a:solidFill>
                      <a:schemeClr val="tx1">
                        <a:lumMod val="75000"/>
                        <a:lumOff val="25000"/>
                      </a:schemeClr>
                    </a:solidFill>
                    <a:latin typeface="Arial" panose="020B0604020202020204" pitchFamily="34" charset="0"/>
                    <a:ea typeface="+mn-ea"/>
                    <a:cs typeface="Arial" panose="020B0604020202020204" pitchFamily="34" charset="0"/>
                  </a:defRPr>
                </a:pPr>
                <a:endParaRPr lang="th-TH"/>
              </a:p>
            </c:txPr>
            <c:dLblPos val="inEnd"/>
            <c:showLegendKey val="0"/>
            <c:showVal val="0"/>
            <c:showCatName val="0"/>
            <c:showSerName val="0"/>
            <c:showPercent val="0"/>
            <c:showBubbleSize val="0"/>
            <c:showLeaderLines val="0"/>
            <c:extLst>
              <c:ext xmlns:c15="http://schemas.microsoft.com/office/drawing/2012/chart" uri="{CE6537A1-D6FC-4f65-9D91-7224C49458BB}">
                <c15:showDataLabelsRange val="1"/>
                <c15:showLeaderLines val="1"/>
                <c15:leaderLines>
                  <c:spPr>
                    <a:ln w="9525" cap="flat" cmpd="sng" algn="ctr">
                      <a:solidFill>
                        <a:schemeClr val="tx1">
                          <a:lumMod val="35000"/>
                          <a:lumOff val="65000"/>
                        </a:schemeClr>
                      </a:solidFill>
                      <a:round/>
                    </a:ln>
                    <a:effectLst/>
                  </c:spPr>
                </c15:leaderLines>
              </c:ext>
            </c:extLst>
          </c:dLbls>
          <c:cat>
            <c:numRef>
              <c:f>Sheet9!$A$13:$A$36</c:f>
              <c:numCache>
                <c:formatCode>General</c:formatCode>
                <c:ptCount val="24"/>
                <c:pt idx="0">
                  <c:v>2000</c:v>
                </c:pt>
                <c:pt idx="1">
                  <c:v>2001</c:v>
                </c:pt>
                <c:pt idx="2">
                  <c:v>2002</c:v>
                </c:pt>
                <c:pt idx="3">
                  <c:v>2003</c:v>
                </c:pt>
                <c:pt idx="4">
                  <c:v>2004</c:v>
                </c:pt>
                <c:pt idx="5">
                  <c:v>2005</c:v>
                </c:pt>
                <c:pt idx="6">
                  <c:v>2006</c:v>
                </c:pt>
                <c:pt idx="7">
                  <c:v>2007</c:v>
                </c:pt>
                <c:pt idx="8">
                  <c:v>2008</c:v>
                </c:pt>
                <c:pt idx="9">
                  <c:v>2009</c:v>
                </c:pt>
                <c:pt idx="10">
                  <c:v>2010</c:v>
                </c:pt>
                <c:pt idx="11">
                  <c:v>2011</c:v>
                </c:pt>
                <c:pt idx="12">
                  <c:v>2012</c:v>
                </c:pt>
                <c:pt idx="13">
                  <c:v>2013</c:v>
                </c:pt>
                <c:pt idx="14">
                  <c:v>2014</c:v>
                </c:pt>
                <c:pt idx="15">
                  <c:v>2015</c:v>
                </c:pt>
                <c:pt idx="16">
                  <c:v>2016</c:v>
                </c:pt>
                <c:pt idx="17">
                  <c:v>2017</c:v>
                </c:pt>
                <c:pt idx="18">
                  <c:v>2018</c:v>
                </c:pt>
                <c:pt idx="19">
                  <c:v>2019</c:v>
                </c:pt>
                <c:pt idx="20">
                  <c:v>2020</c:v>
                </c:pt>
                <c:pt idx="21">
                  <c:v>2021</c:v>
                </c:pt>
                <c:pt idx="22">
                  <c:v>2022</c:v>
                </c:pt>
                <c:pt idx="23">
                  <c:v>2023</c:v>
                </c:pt>
              </c:numCache>
            </c:numRef>
          </c:cat>
          <c:val>
            <c:numRef>
              <c:f>Sheet9!$E$13:$E$36</c:f>
              <c:numCache>
                <c:formatCode>0.00</c:formatCode>
                <c:ptCount val="24"/>
                <c:pt idx="0">
                  <c:v>35.729419443675312</c:v>
                </c:pt>
                <c:pt idx="1">
                  <c:v>33.704027255508116</c:v>
                </c:pt>
                <c:pt idx="2">
                  <c:v>38.724959472395348</c:v>
                </c:pt>
                <c:pt idx="3">
                  <c:v>44.188673718564885</c:v>
                </c:pt>
                <c:pt idx="4">
                  <c:v>50.972329932679393</c:v>
                </c:pt>
                <c:pt idx="5">
                  <c:v>57.326860459970156</c:v>
                </c:pt>
                <c:pt idx="6">
                  <c:v>65.857503343050368</c:v>
                </c:pt>
                <c:pt idx="7">
                  <c:v>85.665632487760391</c:v>
                </c:pt>
                <c:pt idx="8">
                  <c:v>93.541168376798538</c:v>
                </c:pt>
                <c:pt idx="9">
                  <c:v>85.912826242050116</c:v>
                </c:pt>
                <c:pt idx="10">
                  <c:v>109.43018874175863</c:v>
                </c:pt>
                <c:pt idx="11">
                  <c:v>117.27182039081661</c:v>
                </c:pt>
                <c:pt idx="12">
                  <c:v>122.30312912229732</c:v>
                </c:pt>
                <c:pt idx="13" formatCode="General">
                  <c:v>125</c:v>
                </c:pt>
                <c:pt idx="14" formatCode="General">
                  <c:v>120.52</c:v>
                </c:pt>
                <c:pt idx="15" formatCode="General">
                  <c:v>116.49</c:v>
                </c:pt>
                <c:pt idx="16" formatCode="General">
                  <c:v>124.15</c:v>
                </c:pt>
                <c:pt idx="17" formatCode="General">
                  <c:v>128.26</c:v>
                </c:pt>
                <c:pt idx="18" formatCode="General">
                  <c:v>147.84</c:v>
                </c:pt>
                <c:pt idx="19" formatCode="General">
                  <c:v>155.66</c:v>
                </c:pt>
                <c:pt idx="20" formatCode="General">
                  <c:v>137.88</c:v>
                </c:pt>
                <c:pt idx="21" formatCode="General">
                  <c:v>145.54</c:v>
                </c:pt>
                <c:pt idx="22" formatCode="General">
                  <c:v>146.82</c:v>
                </c:pt>
                <c:pt idx="23" formatCode="General">
                  <c:v>147.97</c:v>
                </c:pt>
              </c:numCache>
            </c:numRef>
          </c:val>
          <c:extLst>
            <c:ext xmlns:c15="http://schemas.microsoft.com/office/drawing/2012/chart" uri="{02D57815-91ED-43cb-92C2-25804820EDAC}">
              <c15:datalabelsRange>
                <c15:f>Sheet9!$K$13:$K$36</c15:f>
                <c15:dlblRangeCache>
                  <c:ptCount val="24"/>
                  <c:pt idx="0">
                    <c:v>28.3%</c:v>
                  </c:pt>
                  <c:pt idx="1">
                    <c:v>28.1%</c:v>
                  </c:pt>
                  <c:pt idx="2">
                    <c:v>28.9%</c:v>
                  </c:pt>
                  <c:pt idx="3">
                    <c:v>29.1%</c:v>
                  </c:pt>
                  <c:pt idx="4">
                    <c:v>29.5%</c:v>
                  </c:pt>
                  <c:pt idx="5">
                    <c:v>30.3%</c:v>
                  </c:pt>
                  <c:pt idx="6">
                    <c:v>31.3%</c:v>
                  </c:pt>
                  <c:pt idx="7">
                    <c:v>32.6%</c:v>
                  </c:pt>
                  <c:pt idx="8">
                    <c:v>32.2%</c:v>
                  </c:pt>
                  <c:pt idx="9">
                    <c:v>30.6%</c:v>
                  </c:pt>
                  <c:pt idx="10">
                    <c:v>32.1%</c:v>
                  </c:pt>
                  <c:pt idx="11">
                    <c:v>31.6%</c:v>
                  </c:pt>
                  <c:pt idx="12">
                    <c:v>30.8%</c:v>
                  </c:pt>
                  <c:pt idx="13">
                    <c:v>29.7%</c:v>
                  </c:pt>
                  <c:pt idx="14">
                    <c:v>29.6%</c:v>
                  </c:pt>
                  <c:pt idx="15">
                    <c:v>29.0%</c:v>
                  </c:pt>
                  <c:pt idx="16">
                    <c:v>29.1%</c:v>
                  </c:pt>
                  <c:pt idx="17">
                    <c:v>29.2%</c:v>
                  </c:pt>
                  <c:pt idx="18">
                    <c:v>29.2%</c:v>
                  </c:pt>
                  <c:pt idx="19">
                    <c:v>28.6%</c:v>
                  </c:pt>
                  <c:pt idx="20">
                    <c:v>27.6%</c:v>
                  </c:pt>
                  <c:pt idx="21">
                    <c:v>28.8%</c:v>
                  </c:pt>
                  <c:pt idx="22">
                    <c:v>29.7%</c:v>
                  </c:pt>
                  <c:pt idx="23">
                    <c:v>28.7%</c:v>
                  </c:pt>
                </c15:dlblRangeCache>
              </c15:datalabelsRange>
            </c:ext>
            <c:ext xmlns:c16="http://schemas.microsoft.com/office/drawing/2014/chart" uri="{C3380CC4-5D6E-409C-BE32-E72D297353CC}">
              <c16:uniqueId val="{00000032-5EF7-AB46-8B1C-8027BC448D92}"/>
            </c:ext>
          </c:extLst>
        </c:ser>
        <c:dLbls>
          <c:dLblPos val="outEnd"/>
          <c:showLegendKey val="0"/>
          <c:showVal val="1"/>
          <c:showCatName val="0"/>
          <c:showSerName val="0"/>
          <c:showPercent val="0"/>
          <c:showBubbleSize val="0"/>
        </c:dLbls>
        <c:gapWidth val="0"/>
        <c:overlap val="5"/>
        <c:axId val="316420719"/>
        <c:axId val="382201791"/>
      </c:barChart>
      <c:catAx>
        <c:axId val="316420719"/>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7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th-TH"/>
          </a:p>
        </c:txPr>
        <c:crossAx val="382201791"/>
        <c:crosses val="autoZero"/>
        <c:auto val="1"/>
        <c:lblAlgn val="ctr"/>
        <c:lblOffset val="100"/>
        <c:noMultiLvlLbl val="0"/>
      </c:catAx>
      <c:valAx>
        <c:axId val="382201791"/>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7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r>
                  <a:rPr lang="en-US"/>
                  <a:t>Billion USD</a:t>
                </a:r>
              </a:p>
            </c:rich>
          </c:tx>
          <c:layout>
            <c:manualLayout>
              <c:xMode val="edge"/>
              <c:yMode val="edge"/>
              <c:x val="7.2872590503055945E-2"/>
              <c:y val="0.33286414419436511"/>
            </c:manualLayout>
          </c:layout>
          <c:overlay val="0"/>
          <c:spPr>
            <a:noFill/>
            <a:ln>
              <a:noFill/>
            </a:ln>
            <a:effectLst/>
          </c:spPr>
          <c:txPr>
            <a:bodyPr rot="-5400000" spcFirstLastPara="1" vertOverflow="ellipsis" vert="horz" wrap="square" anchor="ctr" anchorCtr="1"/>
            <a:lstStyle/>
            <a:p>
              <a:pPr>
                <a:defRPr sz="7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th-TH"/>
            </a:p>
          </c:txPr>
        </c:title>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7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th-TH"/>
          </a:p>
        </c:txPr>
        <c:crossAx val="316420719"/>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1" vertOverflow="ellipsis" vert="horz" wrap="square" anchor="ctr" anchorCtr="1"/>
          <a:lstStyle/>
          <a:p>
            <a:pPr rtl="0">
              <a:defRPr sz="7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th-TH"/>
          </a:p>
        </c:txPr>
      </c:dTable>
      <c:spPr>
        <a:noFill/>
        <a:ln>
          <a:solidFill>
            <a:schemeClr val="tx1"/>
          </a:solidFill>
        </a:ln>
        <a:effectLst/>
      </c:spPr>
    </c:plotArea>
    <c:plotVisOnly val="1"/>
    <c:dispBlanksAs val="gap"/>
    <c:showDLblsOverMax val="0"/>
  </c:chart>
  <c:spPr>
    <a:solidFill>
      <a:schemeClr val="bg1"/>
    </a:solidFill>
    <a:ln w="9525" cap="flat" cmpd="sng" algn="ctr">
      <a:noFill/>
      <a:round/>
    </a:ln>
    <a:effectLst/>
  </c:spPr>
  <c:txPr>
    <a:bodyPr/>
    <a:lstStyle/>
    <a:p>
      <a:pPr>
        <a:defRPr sz="700">
          <a:latin typeface="Arial" panose="020B0604020202020204" pitchFamily="34" charset="0"/>
          <a:cs typeface="Arial" panose="020B0604020202020204" pitchFamily="34" charset="0"/>
        </a:defRPr>
      </a:pPr>
      <a:endParaRPr lang="th-TH"/>
    </a:p>
  </c:txPr>
  <c:externalData r:id="rId3">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6.0934376402431552E-2"/>
          <c:y val="9.3243428760561839E-2"/>
          <c:w val="0.91693155624005551"/>
          <c:h val="0.85490704139775264"/>
        </c:manualLayout>
      </c:layout>
      <c:lineChart>
        <c:grouping val="standard"/>
        <c:varyColors val="0"/>
        <c:ser>
          <c:idx val="1"/>
          <c:order val="0"/>
          <c:tx>
            <c:strRef>
              <c:f>Sheet1!$L$1</c:f>
              <c:strCache>
                <c:ptCount val="1"/>
                <c:pt idx="0">
                  <c:v>General government balance (% of GDP) </c:v>
                </c:pt>
              </c:strCache>
            </c:strRef>
          </c:tx>
          <c:spPr>
            <a:ln w="28575" cap="rnd">
              <a:solidFill>
                <a:schemeClr val="accent2"/>
              </a:solidFill>
              <a:round/>
            </a:ln>
            <a:effectLst/>
          </c:spPr>
          <c:marker>
            <c:symbol val="circle"/>
            <c:size val="6"/>
            <c:spPr>
              <a:solidFill>
                <a:schemeClr val="accent2"/>
              </a:solidFill>
              <a:ln w="9525">
                <a:solidFill>
                  <a:schemeClr val="accent2"/>
                </a:solidFill>
              </a:ln>
              <a:effectLst/>
            </c:spPr>
          </c:marker>
          <c:dLbls>
            <c:dLbl>
              <c:idx val="5"/>
              <c:layout>
                <c:manualLayout>
                  <c:x val="-2.1540166286297159E-2"/>
                  <c:y val="2.0360734105752815E-2"/>
                </c:manualLayout>
              </c:layout>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1BE2-ED4C-BDB4-03A087DD61EF}"/>
                </c:ext>
              </c:extLst>
            </c:dLbl>
            <c:dLbl>
              <c:idx val="6"/>
              <c:layout>
                <c:manualLayout>
                  <c:x val="-2.1539982828334716E-2"/>
                  <c:y val="1.9166467637926916E-2"/>
                </c:manualLayout>
              </c:layout>
              <c:spPr>
                <a:noFill/>
                <a:ln>
                  <a:noFill/>
                </a:ln>
                <a:effectLst/>
              </c:spPr>
              <c:txPr>
                <a:bodyPr rot="0" spcFirstLastPara="1" vertOverflow="ellipsis" vert="horz" wrap="square" lIns="38100" tIns="19050" rIns="38100" bIns="19050" anchor="ctr" anchorCtr="1">
                  <a:noAutofit/>
                </a:bodyPr>
                <a:lstStyle/>
                <a:p>
                  <a:pPr>
                    <a:defRPr sz="700" b="0" i="0" u="none" strike="noStrike" kern="1200" baseline="0">
                      <a:solidFill>
                        <a:srgbClr val="FF0000"/>
                      </a:solidFill>
                      <a:latin typeface="Arial" panose="020B0604020202020204" pitchFamily="34" charset="0"/>
                      <a:ea typeface="+mn-ea"/>
                      <a:cs typeface="Arial" panose="020B0604020202020204" pitchFamily="34" charset="0"/>
                    </a:defRPr>
                  </a:pPr>
                  <a:endParaRPr lang="th-TH"/>
                </a:p>
              </c:txPr>
              <c:dLblPos val="r"/>
              <c:showLegendKey val="0"/>
              <c:showVal val="1"/>
              <c:showCatName val="0"/>
              <c:showSerName val="0"/>
              <c:showPercent val="0"/>
              <c:showBubbleSize val="0"/>
              <c:extLst>
                <c:ext xmlns:c15="http://schemas.microsoft.com/office/drawing/2012/chart" uri="{CE6537A1-D6FC-4f65-9D91-7224C49458BB}">
                  <c15:layout>
                    <c:manualLayout>
                      <c:w val="2.4440881283129448E-2"/>
                      <c:h val="3.8332935275853824E-2"/>
                    </c:manualLayout>
                  </c15:layout>
                </c:ext>
                <c:ext xmlns:c16="http://schemas.microsoft.com/office/drawing/2014/chart" uri="{C3380CC4-5D6E-409C-BE32-E72D297353CC}">
                  <c16:uniqueId val="{00000001-1BE2-ED4C-BDB4-03A087DD61EF}"/>
                </c:ext>
              </c:extLst>
            </c:dLbl>
            <c:dLbl>
              <c:idx val="8"/>
              <c:layout>
                <c:manualLayout>
                  <c:x val="-2.1320529558157563E-2"/>
                  <c:y val="4.047661584695026E-2"/>
                </c:manualLayout>
              </c:layout>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1BE2-ED4C-BDB4-03A087DD61EF}"/>
                </c:ext>
              </c:extLst>
            </c:dLbl>
            <c:spPr>
              <a:noFill/>
              <a:ln>
                <a:noFill/>
              </a:ln>
              <a:effectLst/>
            </c:spPr>
            <c:txPr>
              <a:bodyPr rot="0" spcFirstLastPara="1" vertOverflow="ellipsis" vert="horz" wrap="square" lIns="38100" tIns="19050" rIns="38100" bIns="19050" anchor="ctr" anchorCtr="1">
                <a:spAutoFit/>
              </a:bodyPr>
              <a:lstStyle/>
              <a:p>
                <a:pPr>
                  <a:defRPr sz="700" b="0" i="0" u="none" strike="noStrike" kern="1200" baseline="0">
                    <a:solidFill>
                      <a:srgbClr val="FF0000"/>
                    </a:solidFill>
                    <a:latin typeface="Arial" panose="020B0604020202020204" pitchFamily="34" charset="0"/>
                    <a:ea typeface="+mn-ea"/>
                    <a:cs typeface="Arial" panose="020B0604020202020204" pitchFamily="34" charset="0"/>
                  </a:defRPr>
                </a:pPr>
                <a:endParaRPr lang="th-TH"/>
              </a:p>
            </c:txPr>
            <c:dLblPos val="b"/>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Sheet1!$K$2:$K$26</c:f>
              <c:numCache>
                <c:formatCode>General</c:formatCode>
                <c:ptCount val="25"/>
                <c:pt idx="0">
                  <c:v>2000</c:v>
                </c:pt>
                <c:pt idx="1">
                  <c:v>2001</c:v>
                </c:pt>
                <c:pt idx="2">
                  <c:v>2002</c:v>
                </c:pt>
                <c:pt idx="3">
                  <c:v>2003</c:v>
                </c:pt>
                <c:pt idx="4">
                  <c:v>2004</c:v>
                </c:pt>
                <c:pt idx="5">
                  <c:v>2005</c:v>
                </c:pt>
                <c:pt idx="6">
                  <c:v>2006</c:v>
                </c:pt>
                <c:pt idx="7">
                  <c:v>2007</c:v>
                </c:pt>
                <c:pt idx="8">
                  <c:v>2008</c:v>
                </c:pt>
                <c:pt idx="9">
                  <c:v>2009</c:v>
                </c:pt>
                <c:pt idx="10">
                  <c:v>2010</c:v>
                </c:pt>
                <c:pt idx="11">
                  <c:v>2011</c:v>
                </c:pt>
                <c:pt idx="12">
                  <c:v>2012</c:v>
                </c:pt>
                <c:pt idx="13">
                  <c:v>2013</c:v>
                </c:pt>
                <c:pt idx="14">
                  <c:v>2014</c:v>
                </c:pt>
                <c:pt idx="15">
                  <c:v>2015</c:v>
                </c:pt>
                <c:pt idx="16">
                  <c:v>2016</c:v>
                </c:pt>
                <c:pt idx="17">
                  <c:v>2017</c:v>
                </c:pt>
                <c:pt idx="18">
                  <c:v>2018</c:v>
                </c:pt>
                <c:pt idx="19">
                  <c:v>2019</c:v>
                </c:pt>
                <c:pt idx="20">
                  <c:v>2020</c:v>
                </c:pt>
                <c:pt idx="21">
                  <c:v>2021</c:v>
                </c:pt>
                <c:pt idx="22">
                  <c:v>2022</c:v>
                </c:pt>
                <c:pt idx="23">
                  <c:v>2023</c:v>
                </c:pt>
                <c:pt idx="24">
                  <c:v>2024</c:v>
                </c:pt>
              </c:numCache>
            </c:numRef>
          </c:cat>
          <c:val>
            <c:numRef>
              <c:f>Sheet1!$L$2:$L$26</c:f>
              <c:numCache>
                <c:formatCode>0.0</c:formatCode>
                <c:ptCount val="25"/>
                <c:pt idx="0">
                  <c:v>-1.8080030454730149</c:v>
                </c:pt>
                <c:pt idx="1">
                  <c:v>-2.1074301239606874</c:v>
                </c:pt>
                <c:pt idx="2">
                  <c:v>-6.7846280820871128</c:v>
                </c:pt>
                <c:pt idx="3">
                  <c:v>1.3851694749064594</c:v>
                </c:pt>
                <c:pt idx="4">
                  <c:v>1.0531271130110915</c:v>
                </c:pt>
                <c:pt idx="5">
                  <c:v>2.3242844245607444</c:v>
                </c:pt>
                <c:pt idx="6">
                  <c:v>1.7800023368496514</c:v>
                </c:pt>
                <c:pt idx="7">
                  <c:v>0.12362203018123792</c:v>
                </c:pt>
                <c:pt idx="8">
                  <c:v>0.46564675604405881</c:v>
                </c:pt>
                <c:pt idx="9">
                  <c:v>-2.8507594267407708</c:v>
                </c:pt>
                <c:pt idx="10">
                  <c:v>-0.58222064933436779</c:v>
                </c:pt>
                <c:pt idx="11">
                  <c:v>-1.060949261530608</c:v>
                </c:pt>
                <c:pt idx="12">
                  <c:v>-1.1743510553942749</c:v>
                </c:pt>
                <c:pt idx="13">
                  <c:v>0.30479491244942575</c:v>
                </c:pt>
                <c:pt idx="14">
                  <c:v>-0.85324992019194712</c:v>
                </c:pt>
                <c:pt idx="15">
                  <c:v>-4.6707516117533543E-2</c:v>
                </c:pt>
                <c:pt idx="16">
                  <c:v>0.28079973308049017</c:v>
                </c:pt>
                <c:pt idx="17">
                  <c:v>-0.75017055443854286</c:v>
                </c:pt>
                <c:pt idx="18">
                  <c:v>-0.38220728842555857</c:v>
                </c:pt>
                <c:pt idx="19">
                  <c:v>1.8888292072187781E-2</c:v>
                </c:pt>
                <c:pt idx="20">
                  <c:v>-4.4952018169547445</c:v>
                </c:pt>
                <c:pt idx="21">
                  <c:v>-7.0527505386361984</c:v>
                </c:pt>
                <c:pt idx="22">
                  <c:v>-4.8611386912151033</c:v>
                </c:pt>
                <c:pt idx="23">
                  <c:v>-2.2643194258743073</c:v>
                </c:pt>
              </c:numCache>
            </c:numRef>
          </c:val>
          <c:smooth val="0"/>
          <c:extLst>
            <c:ext xmlns:c16="http://schemas.microsoft.com/office/drawing/2014/chart" uri="{C3380CC4-5D6E-409C-BE32-E72D297353CC}">
              <c16:uniqueId val="{00000003-1BE2-ED4C-BDB4-03A087DD61EF}"/>
            </c:ext>
          </c:extLst>
        </c:ser>
        <c:ser>
          <c:idx val="2"/>
          <c:order val="1"/>
          <c:tx>
            <c:strRef>
              <c:f>Sheet1!$M$1</c:f>
              <c:strCache>
                <c:ptCount val="1"/>
                <c:pt idx="0">
                  <c:v>General government gross debt (% of GDP)</c:v>
                </c:pt>
              </c:strCache>
            </c:strRef>
          </c:tx>
          <c:spPr>
            <a:ln w="28575" cap="rnd">
              <a:solidFill>
                <a:schemeClr val="accent3"/>
              </a:solidFill>
              <a:round/>
            </a:ln>
            <a:effectLst/>
          </c:spPr>
          <c:marker>
            <c:symbol val="circle"/>
            <c:size val="6"/>
            <c:spPr>
              <a:solidFill>
                <a:schemeClr val="accent3"/>
              </a:solidFill>
              <a:ln w="9525">
                <a:solidFill>
                  <a:schemeClr val="accent3"/>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700" b="0" i="0" u="none" strike="noStrike" kern="1200" baseline="0">
                    <a:solidFill>
                      <a:schemeClr val="tx1">
                        <a:lumMod val="75000"/>
                        <a:lumOff val="25000"/>
                      </a:schemeClr>
                    </a:solidFill>
                    <a:latin typeface="Arial" panose="020B0604020202020204" pitchFamily="34" charset="0"/>
                    <a:ea typeface="+mn-ea"/>
                    <a:cs typeface="Arial" panose="020B0604020202020204" pitchFamily="34" charset="0"/>
                  </a:defRPr>
                </a:pPr>
                <a:endParaRPr lang="th-TH"/>
              </a:p>
            </c:txPr>
            <c:dLblPos val="t"/>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Sheet1!$K$2:$K$26</c:f>
              <c:numCache>
                <c:formatCode>General</c:formatCode>
                <c:ptCount val="25"/>
                <c:pt idx="0">
                  <c:v>2000</c:v>
                </c:pt>
                <c:pt idx="1">
                  <c:v>2001</c:v>
                </c:pt>
                <c:pt idx="2">
                  <c:v>2002</c:v>
                </c:pt>
                <c:pt idx="3">
                  <c:v>2003</c:v>
                </c:pt>
                <c:pt idx="4">
                  <c:v>2004</c:v>
                </c:pt>
                <c:pt idx="5">
                  <c:v>2005</c:v>
                </c:pt>
                <c:pt idx="6">
                  <c:v>2006</c:v>
                </c:pt>
                <c:pt idx="7">
                  <c:v>2007</c:v>
                </c:pt>
                <c:pt idx="8">
                  <c:v>2008</c:v>
                </c:pt>
                <c:pt idx="9">
                  <c:v>2009</c:v>
                </c:pt>
                <c:pt idx="10">
                  <c:v>2010</c:v>
                </c:pt>
                <c:pt idx="11">
                  <c:v>2011</c:v>
                </c:pt>
                <c:pt idx="12">
                  <c:v>2012</c:v>
                </c:pt>
                <c:pt idx="13">
                  <c:v>2013</c:v>
                </c:pt>
                <c:pt idx="14">
                  <c:v>2014</c:v>
                </c:pt>
                <c:pt idx="15">
                  <c:v>2015</c:v>
                </c:pt>
                <c:pt idx="16">
                  <c:v>2016</c:v>
                </c:pt>
                <c:pt idx="17">
                  <c:v>2017</c:v>
                </c:pt>
                <c:pt idx="18">
                  <c:v>2018</c:v>
                </c:pt>
                <c:pt idx="19">
                  <c:v>2019</c:v>
                </c:pt>
                <c:pt idx="20">
                  <c:v>2020</c:v>
                </c:pt>
                <c:pt idx="21">
                  <c:v>2021</c:v>
                </c:pt>
                <c:pt idx="22">
                  <c:v>2022</c:v>
                </c:pt>
                <c:pt idx="23">
                  <c:v>2023</c:v>
                </c:pt>
                <c:pt idx="24">
                  <c:v>2024</c:v>
                </c:pt>
              </c:numCache>
            </c:numRef>
          </c:cat>
          <c:val>
            <c:numRef>
              <c:f>Sheet1!$M$2:$M$26</c:f>
              <c:numCache>
                <c:formatCode>0.0</c:formatCode>
                <c:ptCount val="25"/>
                <c:pt idx="0">
                  <c:v>21.964586513919627</c:v>
                </c:pt>
                <c:pt idx="1">
                  <c:v>24.578334035858926</c:v>
                </c:pt>
                <c:pt idx="2">
                  <c:v>30.070356272157166</c:v>
                </c:pt>
                <c:pt idx="3">
                  <c:v>27.046018372080617</c:v>
                </c:pt>
                <c:pt idx="4">
                  <c:v>24.396399800870888</c:v>
                </c:pt>
                <c:pt idx="5">
                  <c:v>25.458128278076924</c:v>
                </c:pt>
                <c:pt idx="6">
                  <c:v>24.38065914946521</c:v>
                </c:pt>
                <c:pt idx="7">
                  <c:v>22.993466831917537</c:v>
                </c:pt>
                <c:pt idx="8">
                  <c:v>22.450217262328795</c:v>
                </c:pt>
                <c:pt idx="9">
                  <c:v>26.779195203644562</c:v>
                </c:pt>
                <c:pt idx="10">
                  <c:v>26.900845543726515</c:v>
                </c:pt>
                <c:pt idx="11">
                  <c:v>28.131976300687384</c:v>
                </c:pt>
                <c:pt idx="12">
                  <c:v>28.444716023882805</c:v>
                </c:pt>
                <c:pt idx="13">
                  <c:v>38.166695057079444</c:v>
                </c:pt>
                <c:pt idx="14">
                  <c:v>35.390473945269889</c:v>
                </c:pt>
                <c:pt idx="15">
                  <c:v>36.670569535517934</c:v>
                </c:pt>
                <c:pt idx="16">
                  <c:v>37.306520404566392</c:v>
                </c:pt>
                <c:pt idx="18">
                  <c:v>37.910418843604511</c:v>
                </c:pt>
                <c:pt idx="19">
                  <c:v>38.627705594127931</c:v>
                </c:pt>
                <c:pt idx="20">
                  <c:v>50.322781499941485</c:v>
                </c:pt>
                <c:pt idx="21">
                  <c:v>58.51145420351137</c:v>
                </c:pt>
                <c:pt idx="22">
                  <c:v>60.349920189306047</c:v>
                </c:pt>
                <c:pt idx="23">
                  <c:v>61.124361363852564</c:v>
                </c:pt>
              </c:numCache>
            </c:numRef>
          </c:val>
          <c:smooth val="0"/>
          <c:extLst>
            <c:ext xmlns:c16="http://schemas.microsoft.com/office/drawing/2014/chart" uri="{C3380CC4-5D6E-409C-BE32-E72D297353CC}">
              <c16:uniqueId val="{00000004-1BE2-ED4C-BDB4-03A087DD61EF}"/>
            </c:ext>
          </c:extLst>
        </c:ser>
        <c:ser>
          <c:idx val="3"/>
          <c:order val="2"/>
          <c:tx>
            <c:strRef>
              <c:f>Sheet1!$N$1</c:f>
              <c:strCache>
                <c:ptCount val="1"/>
                <c:pt idx="0">
                  <c:v>Current account balance (% of GDP)</c:v>
                </c:pt>
              </c:strCache>
            </c:strRef>
          </c:tx>
          <c:spPr>
            <a:ln w="28575" cap="rnd">
              <a:solidFill>
                <a:schemeClr val="accent4"/>
              </a:solidFill>
              <a:round/>
            </a:ln>
            <a:effectLst/>
          </c:spPr>
          <c:marker>
            <c:symbol val="circle"/>
            <c:size val="6"/>
            <c:spPr>
              <a:solidFill>
                <a:schemeClr val="accent4"/>
              </a:solidFill>
              <a:ln w="9525">
                <a:solidFill>
                  <a:schemeClr val="accent4"/>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700" b="0" i="0" u="none" strike="noStrike" kern="1200" baseline="0">
                    <a:solidFill>
                      <a:schemeClr val="tx1">
                        <a:lumMod val="75000"/>
                        <a:lumOff val="25000"/>
                      </a:schemeClr>
                    </a:solidFill>
                    <a:latin typeface="Arial" panose="020B0604020202020204" pitchFamily="34" charset="0"/>
                    <a:ea typeface="+mn-ea"/>
                    <a:cs typeface="Arial" panose="020B0604020202020204" pitchFamily="34" charset="0"/>
                  </a:defRPr>
                </a:pPr>
                <a:endParaRPr lang="th-TH"/>
              </a:p>
            </c:txPr>
            <c:dLblPos val="t"/>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Sheet1!$K$2:$K$26</c:f>
              <c:numCache>
                <c:formatCode>General</c:formatCode>
                <c:ptCount val="25"/>
                <c:pt idx="0">
                  <c:v>2000</c:v>
                </c:pt>
                <c:pt idx="1">
                  <c:v>2001</c:v>
                </c:pt>
                <c:pt idx="2">
                  <c:v>2002</c:v>
                </c:pt>
                <c:pt idx="3">
                  <c:v>2003</c:v>
                </c:pt>
                <c:pt idx="4">
                  <c:v>2004</c:v>
                </c:pt>
                <c:pt idx="5">
                  <c:v>2005</c:v>
                </c:pt>
                <c:pt idx="6">
                  <c:v>2006</c:v>
                </c:pt>
                <c:pt idx="7">
                  <c:v>2007</c:v>
                </c:pt>
                <c:pt idx="8">
                  <c:v>2008</c:v>
                </c:pt>
                <c:pt idx="9">
                  <c:v>2009</c:v>
                </c:pt>
                <c:pt idx="10">
                  <c:v>2010</c:v>
                </c:pt>
                <c:pt idx="11">
                  <c:v>2011</c:v>
                </c:pt>
                <c:pt idx="12">
                  <c:v>2012</c:v>
                </c:pt>
                <c:pt idx="13">
                  <c:v>2013</c:v>
                </c:pt>
                <c:pt idx="14">
                  <c:v>2014</c:v>
                </c:pt>
                <c:pt idx="15">
                  <c:v>2015</c:v>
                </c:pt>
                <c:pt idx="16">
                  <c:v>2016</c:v>
                </c:pt>
                <c:pt idx="17">
                  <c:v>2017</c:v>
                </c:pt>
                <c:pt idx="18">
                  <c:v>2018</c:v>
                </c:pt>
                <c:pt idx="19">
                  <c:v>2019</c:v>
                </c:pt>
                <c:pt idx="20">
                  <c:v>2020</c:v>
                </c:pt>
                <c:pt idx="21">
                  <c:v>2021</c:v>
                </c:pt>
                <c:pt idx="22">
                  <c:v>2022</c:v>
                </c:pt>
                <c:pt idx="23">
                  <c:v>2023</c:v>
                </c:pt>
                <c:pt idx="24">
                  <c:v>2024</c:v>
                </c:pt>
              </c:numCache>
            </c:numRef>
          </c:cat>
          <c:val>
            <c:numRef>
              <c:f>Sheet1!$N$2:$N$26</c:f>
              <c:numCache>
                <c:formatCode>0.0</c:formatCode>
                <c:ptCount val="25"/>
                <c:pt idx="0">
                  <c:v>7.3684524026066525</c:v>
                </c:pt>
                <c:pt idx="1">
                  <c:v>4.240272330439991</c:v>
                </c:pt>
                <c:pt idx="2">
                  <c:v>3.4655051681766857</c:v>
                </c:pt>
                <c:pt idx="3">
                  <c:v>3.1335640015455808</c:v>
                </c:pt>
                <c:pt idx="4">
                  <c:v>1.5959733899378634</c:v>
                </c:pt>
                <c:pt idx="5">
                  <c:v>-4.0364643152320019</c:v>
                </c:pt>
                <c:pt idx="6">
                  <c:v>1.0438076236725364</c:v>
                </c:pt>
                <c:pt idx="7">
                  <c:v>5.9266542311642123</c:v>
                </c:pt>
                <c:pt idx="8">
                  <c:v>0.3194661514663481</c:v>
                </c:pt>
                <c:pt idx="9">
                  <c:v>7.8765595025475932</c:v>
                </c:pt>
                <c:pt idx="10">
                  <c:v>3.3673246721925225</c:v>
                </c:pt>
                <c:pt idx="11">
                  <c:v>2.5421709632834077</c:v>
                </c:pt>
                <c:pt idx="12">
                  <c:v>-1.2323363795765321</c:v>
                </c:pt>
                <c:pt idx="13">
                  <c:v>-2.1015345894223163</c:v>
                </c:pt>
                <c:pt idx="14">
                  <c:v>2.8582840987004059</c:v>
                </c:pt>
                <c:pt idx="15">
                  <c:v>6.9158151716862264</c:v>
                </c:pt>
                <c:pt idx="16">
                  <c:v>10.508354393208574</c:v>
                </c:pt>
                <c:pt idx="17">
                  <c:v>9.631030191821413</c:v>
                </c:pt>
                <c:pt idx="18">
                  <c:v>5.6198631459897248</c:v>
                </c:pt>
                <c:pt idx="19">
                  <c:v>7.0327264032829833</c:v>
                </c:pt>
                <c:pt idx="20">
                  <c:v>4.1828286145466773</c:v>
                </c:pt>
                <c:pt idx="21">
                  <c:v>-2.118253127265012</c:v>
                </c:pt>
                <c:pt idx="22">
                  <c:v>-3.4625237527297896</c:v>
                </c:pt>
                <c:pt idx="23">
                  <c:v>1.4366190825120795</c:v>
                </c:pt>
                <c:pt idx="24">
                  <c:v>2.1533902440040897</c:v>
                </c:pt>
              </c:numCache>
            </c:numRef>
          </c:val>
          <c:smooth val="0"/>
          <c:extLst>
            <c:ext xmlns:c16="http://schemas.microsoft.com/office/drawing/2014/chart" uri="{C3380CC4-5D6E-409C-BE32-E72D297353CC}">
              <c16:uniqueId val="{00000005-1BE2-ED4C-BDB4-03A087DD61EF}"/>
            </c:ext>
          </c:extLst>
        </c:ser>
        <c:dLbls>
          <c:dLblPos val="t"/>
          <c:showLegendKey val="0"/>
          <c:showVal val="1"/>
          <c:showCatName val="0"/>
          <c:showSerName val="0"/>
          <c:showPercent val="0"/>
          <c:showBubbleSize val="0"/>
        </c:dLbls>
        <c:marker val="1"/>
        <c:smooth val="0"/>
        <c:axId val="109340735"/>
        <c:axId val="181600575"/>
      </c:lineChart>
      <c:catAx>
        <c:axId val="109340735"/>
        <c:scaling>
          <c:orientation val="minMax"/>
        </c:scaling>
        <c:delete val="0"/>
        <c:axPos val="b"/>
        <c:numFmt formatCode="General"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0"/>
          <a:lstStyle/>
          <a:p>
            <a:pPr>
              <a:defRPr sz="6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th-TH"/>
          </a:p>
        </c:txPr>
        <c:crossAx val="181600575"/>
        <c:crosses val="autoZero"/>
        <c:auto val="1"/>
        <c:lblAlgn val="ctr"/>
        <c:lblOffset val="100"/>
        <c:noMultiLvlLbl val="0"/>
      </c:catAx>
      <c:valAx>
        <c:axId val="181600575"/>
        <c:scaling>
          <c:orientation val="minMax"/>
          <c:min val="-20"/>
        </c:scaling>
        <c:delete val="0"/>
        <c:axPos val="l"/>
        <c:title>
          <c:tx>
            <c:rich>
              <a:bodyPr rot="0" spcFirstLastPara="1" vertOverflow="ellipsis" wrap="square" anchor="ctr" anchorCtr="1"/>
              <a:lstStyle/>
              <a:p>
                <a:pPr>
                  <a:defRPr sz="11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r>
                  <a:rPr lang="en-US" sz="1100"/>
                  <a:t>% of GDP</a:t>
                </a:r>
              </a:p>
            </c:rich>
          </c:tx>
          <c:layout>
            <c:manualLayout>
              <c:xMode val="edge"/>
              <c:yMode val="edge"/>
              <c:x val="2.3582141691485453E-2"/>
              <c:y val="3.1819899990409017E-2"/>
            </c:manualLayout>
          </c:layout>
          <c:overlay val="0"/>
          <c:spPr>
            <a:noFill/>
            <a:ln>
              <a:noFill/>
            </a:ln>
            <a:effectLst/>
          </c:spPr>
          <c:txPr>
            <a:bodyPr rot="0" spcFirstLastPara="1" vertOverflow="ellipsis" wrap="square" anchor="ctr" anchorCtr="1"/>
            <a:lstStyle/>
            <a:p>
              <a:pPr>
                <a:defRPr sz="11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th-TH"/>
            </a:p>
          </c:txPr>
        </c:title>
        <c:numFmt formatCode="0.0" sourceLinked="1"/>
        <c:majorTickMark val="out"/>
        <c:minorTickMark val="none"/>
        <c:tickLblPos val="nextTo"/>
        <c:spPr>
          <a:noFill/>
          <a:ln>
            <a:solidFill>
              <a:schemeClr val="tx1"/>
            </a:solidFill>
          </a:ln>
          <a:effectLst/>
        </c:spPr>
        <c:txPr>
          <a:bodyPr rot="-60000000" spcFirstLastPara="1" vertOverflow="ellipsis" vert="horz" wrap="square" anchor="ctr" anchorCtr="1"/>
          <a:lstStyle/>
          <a:p>
            <a:pPr>
              <a:defRPr sz="8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th-TH"/>
          </a:p>
        </c:txPr>
        <c:crossAx val="109340735"/>
        <c:crosses val="autoZero"/>
        <c:crossBetween val="midCat"/>
      </c:valAx>
      <c:spPr>
        <a:noFill/>
        <a:ln>
          <a:noFill/>
        </a:ln>
        <a:effectLst/>
      </c:spPr>
    </c:plotArea>
    <c:legend>
      <c:legendPos val="r"/>
      <c:layout>
        <c:manualLayout>
          <c:xMode val="edge"/>
          <c:yMode val="edge"/>
          <c:x val="0.42329872302231653"/>
          <c:y val="0.1873870942869662"/>
          <c:w val="0.37368732405858596"/>
          <c:h val="9.7030003602490866E-2"/>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th-TH"/>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noFill/>
      <a:round/>
    </a:ln>
    <a:effectLst/>
  </c:spPr>
  <c:txPr>
    <a:bodyPr/>
    <a:lstStyle/>
    <a:p>
      <a:pPr>
        <a:defRPr sz="600">
          <a:latin typeface="Arial" panose="020B0604020202020204" pitchFamily="34" charset="0"/>
          <a:cs typeface="Arial" panose="020B0604020202020204" pitchFamily="34" charset="0"/>
        </a:defRPr>
      </a:pPr>
      <a:endParaRPr lang="th-TH"/>
    </a:p>
  </c:txPr>
  <c:externalData r:id="rId3">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strRef>
              <c:f>Sheet1!$C$17</c:f>
              <c:strCache>
                <c:ptCount val="1"/>
                <c:pt idx="0">
                  <c:v>DMCR </c:v>
                </c:pt>
              </c:strCache>
            </c:strRef>
          </c:tx>
          <c:spPr>
            <a:ln w="28575" cap="rnd">
              <a:solidFill>
                <a:schemeClr val="accent1"/>
              </a:solidFill>
              <a:round/>
            </a:ln>
            <a:effectLst/>
          </c:spPr>
          <c:marker>
            <c:symbol val="circle"/>
            <c:size val="5"/>
            <c:spPr>
              <a:solidFill>
                <a:schemeClr val="accent1"/>
              </a:solidFill>
              <a:ln w="9525">
                <a:solidFill>
                  <a:schemeClr val="accent1"/>
                </a:solidFill>
              </a:ln>
              <a:effectLst/>
            </c:spPr>
          </c:marker>
          <c:dLbls>
            <c:spPr>
              <a:noFill/>
              <a:ln>
                <a:noFill/>
              </a:ln>
              <a:effectLst/>
            </c:spPr>
            <c:txPr>
              <a:bodyPr rot="0" spcFirstLastPara="1" vertOverflow="ellipsis" vert="horz" wrap="square" anchor="ctr" anchorCtr="1"/>
              <a:lstStyle/>
              <a:p>
                <a:pPr>
                  <a:defRPr sz="1000" b="0" i="0" u="none" strike="noStrike" kern="1200" baseline="0">
                    <a:solidFill>
                      <a:schemeClr val="tx1"/>
                    </a:solidFill>
                    <a:latin typeface="Arial" panose="020B0604020202020204" pitchFamily="34" charset="0"/>
                    <a:ea typeface="Tahoma" panose="020B0604030504040204" pitchFamily="34" charset="0"/>
                    <a:cs typeface="Arial" panose="020B0604020202020204" pitchFamily="34" charset="0"/>
                  </a:defRPr>
                </a:pPr>
                <a:endParaRPr lang="th-TH"/>
              </a:p>
            </c:txPr>
            <c:dLblPos val="t"/>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Sheet1!$B$18:$B$29</c:f>
              <c:numCache>
                <c:formatCode>General</c:formatCode>
                <c:ptCount val="12"/>
                <c:pt idx="0">
                  <c:v>2013</c:v>
                </c:pt>
                <c:pt idx="1">
                  <c:v>2014</c:v>
                </c:pt>
                <c:pt idx="2">
                  <c:v>2015</c:v>
                </c:pt>
                <c:pt idx="3">
                  <c:v>2016</c:v>
                </c:pt>
                <c:pt idx="4">
                  <c:v>2017</c:v>
                </c:pt>
                <c:pt idx="5">
                  <c:v>2018</c:v>
                </c:pt>
                <c:pt idx="6">
                  <c:v>2019</c:v>
                </c:pt>
                <c:pt idx="7">
                  <c:v>2020</c:v>
                </c:pt>
                <c:pt idx="8">
                  <c:v>2021</c:v>
                </c:pt>
                <c:pt idx="9">
                  <c:v>2022</c:v>
                </c:pt>
                <c:pt idx="10">
                  <c:v>2023</c:v>
                </c:pt>
                <c:pt idx="11">
                  <c:v>2024</c:v>
                </c:pt>
              </c:numCache>
            </c:numRef>
          </c:cat>
          <c:val>
            <c:numRef>
              <c:f>Sheet1!$C$18:$C$29</c:f>
              <c:numCache>
                <c:formatCode>_(* #,##0.00_);_(* \(#,##0.00\);_(* "-"??_);_(@_)</c:formatCode>
                <c:ptCount val="12"/>
                <c:pt idx="0">
                  <c:v>36.300807817589579</c:v>
                </c:pt>
                <c:pt idx="1">
                  <c:v>37.229045566502464</c:v>
                </c:pt>
                <c:pt idx="2">
                  <c:v>36.20233887430738</c:v>
                </c:pt>
                <c:pt idx="3">
                  <c:v>39.992867153284671</c:v>
                </c:pt>
                <c:pt idx="4">
                  <c:v>37.210235194105984</c:v>
                </c:pt>
                <c:pt idx="5">
                  <c:v>46.35870588235295</c:v>
                </c:pt>
                <c:pt idx="6">
                  <c:v>45.51718427835052</c:v>
                </c:pt>
                <c:pt idx="7">
                  <c:v>46.379447284345048</c:v>
                </c:pt>
                <c:pt idx="8">
                  <c:v>45.25175625</c:v>
                </c:pt>
                <c:pt idx="9">
                  <c:v>38.066532763532763</c:v>
                </c:pt>
                <c:pt idx="10">
                  <c:v>38.743074712643683</c:v>
                </c:pt>
                <c:pt idx="11">
                  <c:v>51.160922190201724</c:v>
                </c:pt>
              </c:numCache>
            </c:numRef>
          </c:val>
          <c:smooth val="0"/>
          <c:extLst>
            <c:ext xmlns:c16="http://schemas.microsoft.com/office/drawing/2014/chart" uri="{C3380CC4-5D6E-409C-BE32-E72D297353CC}">
              <c16:uniqueId val="{00000000-CC5D-DA49-B513-4BC29FBF5D0F}"/>
            </c:ext>
          </c:extLst>
        </c:ser>
        <c:ser>
          <c:idx val="1"/>
          <c:order val="1"/>
          <c:tx>
            <c:strRef>
              <c:f>Sheet1!$D$17</c:f>
              <c:strCache>
                <c:ptCount val="1"/>
                <c:pt idx="0">
                  <c:v>DNP</c:v>
                </c:pt>
              </c:strCache>
            </c:strRef>
          </c:tx>
          <c:spPr>
            <a:ln w="28575" cap="rnd">
              <a:solidFill>
                <a:schemeClr val="accent2"/>
              </a:solidFill>
              <a:round/>
            </a:ln>
            <a:effectLst/>
          </c:spPr>
          <c:marker>
            <c:symbol val="circle"/>
            <c:size val="5"/>
            <c:spPr>
              <a:solidFill>
                <a:schemeClr val="accent2"/>
              </a:solidFill>
              <a:ln w="9525">
                <a:solidFill>
                  <a:schemeClr val="accent2"/>
                </a:solidFill>
              </a:ln>
              <a:effectLst/>
            </c:spPr>
          </c:marker>
          <c:dLbls>
            <c:spPr>
              <a:noFill/>
              <a:ln>
                <a:noFill/>
              </a:ln>
              <a:effectLst/>
            </c:spPr>
            <c:txPr>
              <a:bodyPr rot="0" spcFirstLastPara="1" vertOverflow="ellipsis" vert="horz" wrap="square" anchor="ctr" anchorCtr="1"/>
              <a:lstStyle/>
              <a:p>
                <a:pPr>
                  <a:defRPr sz="1000" b="0" i="0" u="none" strike="noStrike" kern="1200" baseline="0">
                    <a:solidFill>
                      <a:schemeClr val="tx1"/>
                    </a:solidFill>
                    <a:latin typeface="Arial" panose="020B0604020202020204" pitchFamily="34" charset="0"/>
                    <a:ea typeface="Tahoma" panose="020B0604030504040204" pitchFamily="34" charset="0"/>
                    <a:cs typeface="Arial" panose="020B0604020202020204" pitchFamily="34" charset="0"/>
                  </a:defRPr>
                </a:pPr>
                <a:endParaRPr lang="th-TH"/>
              </a:p>
            </c:txPr>
            <c:dLblPos val="t"/>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Sheet1!$B$18:$B$29</c:f>
              <c:numCache>
                <c:formatCode>General</c:formatCode>
                <c:ptCount val="12"/>
                <c:pt idx="0">
                  <c:v>2013</c:v>
                </c:pt>
                <c:pt idx="1">
                  <c:v>2014</c:v>
                </c:pt>
                <c:pt idx="2">
                  <c:v>2015</c:v>
                </c:pt>
                <c:pt idx="3">
                  <c:v>2016</c:v>
                </c:pt>
                <c:pt idx="4">
                  <c:v>2017</c:v>
                </c:pt>
                <c:pt idx="5">
                  <c:v>2018</c:v>
                </c:pt>
                <c:pt idx="6">
                  <c:v>2019</c:v>
                </c:pt>
                <c:pt idx="7">
                  <c:v>2020</c:v>
                </c:pt>
                <c:pt idx="8">
                  <c:v>2021</c:v>
                </c:pt>
                <c:pt idx="9">
                  <c:v>2022</c:v>
                </c:pt>
                <c:pt idx="10">
                  <c:v>2023</c:v>
                </c:pt>
                <c:pt idx="11">
                  <c:v>2024</c:v>
                </c:pt>
              </c:numCache>
            </c:numRef>
          </c:cat>
          <c:val>
            <c:numRef>
              <c:f>Sheet1!$D$18:$D$29</c:f>
              <c:numCache>
                <c:formatCode>_(* #,##0.00_);_(* \(#,##0.00\);_(* "-"??_);_(@_)</c:formatCode>
                <c:ptCount val="12"/>
                <c:pt idx="0">
                  <c:v>360.35848534201955</c:v>
                </c:pt>
                <c:pt idx="1">
                  <c:v>316.29206280788185</c:v>
                </c:pt>
                <c:pt idx="2">
                  <c:v>304.8109886264217</c:v>
                </c:pt>
                <c:pt idx="3">
                  <c:v>319.07527299270077</c:v>
                </c:pt>
                <c:pt idx="4">
                  <c:v>306.71258146783794</c:v>
                </c:pt>
                <c:pt idx="5">
                  <c:v>360.54980804953561</c:v>
                </c:pt>
                <c:pt idx="6">
                  <c:v>382.04065721649488</c:v>
                </c:pt>
                <c:pt idx="7">
                  <c:v>367.20434185303515</c:v>
                </c:pt>
                <c:pt idx="8">
                  <c:v>341.10776874999999</c:v>
                </c:pt>
                <c:pt idx="9">
                  <c:v>283.90219943019946</c:v>
                </c:pt>
                <c:pt idx="10">
                  <c:v>317.38521551724142</c:v>
                </c:pt>
                <c:pt idx="11">
                  <c:v>315.37359654178675</c:v>
                </c:pt>
              </c:numCache>
            </c:numRef>
          </c:val>
          <c:smooth val="0"/>
          <c:extLst>
            <c:ext xmlns:c16="http://schemas.microsoft.com/office/drawing/2014/chart" uri="{C3380CC4-5D6E-409C-BE32-E72D297353CC}">
              <c16:uniqueId val="{00000001-CC5D-DA49-B513-4BC29FBF5D0F}"/>
            </c:ext>
          </c:extLst>
        </c:ser>
        <c:ser>
          <c:idx val="2"/>
          <c:order val="2"/>
          <c:tx>
            <c:strRef>
              <c:f>Sheet1!$E$17</c:f>
              <c:strCache>
                <c:ptCount val="1"/>
                <c:pt idx="0">
                  <c:v>DOF</c:v>
                </c:pt>
              </c:strCache>
            </c:strRef>
          </c:tx>
          <c:spPr>
            <a:ln w="28575" cap="rnd">
              <a:solidFill>
                <a:schemeClr val="accent3"/>
              </a:solidFill>
              <a:round/>
            </a:ln>
            <a:effectLst/>
          </c:spPr>
          <c:marker>
            <c:symbol val="circle"/>
            <c:size val="5"/>
            <c:spPr>
              <a:solidFill>
                <a:schemeClr val="accent3"/>
              </a:solidFill>
              <a:ln w="9525">
                <a:solidFill>
                  <a:schemeClr val="accent3"/>
                </a:solidFill>
              </a:ln>
              <a:effectLst/>
            </c:spPr>
          </c:marker>
          <c:dLbls>
            <c:spPr>
              <a:noFill/>
              <a:ln>
                <a:noFill/>
              </a:ln>
              <a:effectLst/>
            </c:spPr>
            <c:txPr>
              <a:bodyPr rot="0" spcFirstLastPara="1" vertOverflow="ellipsis" vert="horz" wrap="square" anchor="ctr" anchorCtr="1"/>
              <a:lstStyle/>
              <a:p>
                <a:pPr>
                  <a:defRPr sz="1000" b="0" i="0" u="none" strike="noStrike" kern="1200" baseline="0">
                    <a:solidFill>
                      <a:schemeClr val="tx1"/>
                    </a:solidFill>
                    <a:latin typeface="Arial" panose="020B0604020202020204" pitchFamily="34" charset="0"/>
                    <a:ea typeface="Tahoma" panose="020B0604030504040204" pitchFamily="34" charset="0"/>
                    <a:cs typeface="Arial" panose="020B0604020202020204" pitchFamily="34" charset="0"/>
                  </a:defRPr>
                </a:pPr>
                <a:endParaRPr lang="th-TH"/>
              </a:p>
            </c:txPr>
            <c:dLblPos val="t"/>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Sheet1!$B$18:$B$29</c:f>
              <c:numCache>
                <c:formatCode>General</c:formatCode>
                <c:ptCount val="12"/>
                <c:pt idx="0">
                  <c:v>2013</c:v>
                </c:pt>
                <c:pt idx="1">
                  <c:v>2014</c:v>
                </c:pt>
                <c:pt idx="2">
                  <c:v>2015</c:v>
                </c:pt>
                <c:pt idx="3">
                  <c:v>2016</c:v>
                </c:pt>
                <c:pt idx="4">
                  <c:v>2017</c:v>
                </c:pt>
                <c:pt idx="5">
                  <c:v>2018</c:v>
                </c:pt>
                <c:pt idx="6">
                  <c:v>2019</c:v>
                </c:pt>
                <c:pt idx="7">
                  <c:v>2020</c:v>
                </c:pt>
                <c:pt idx="8">
                  <c:v>2021</c:v>
                </c:pt>
                <c:pt idx="9">
                  <c:v>2022</c:v>
                </c:pt>
                <c:pt idx="10">
                  <c:v>2023</c:v>
                </c:pt>
                <c:pt idx="11">
                  <c:v>2024</c:v>
                </c:pt>
              </c:numCache>
            </c:numRef>
          </c:cat>
          <c:val>
            <c:numRef>
              <c:f>Sheet1!$E$18:$E$29</c:f>
              <c:numCache>
                <c:formatCode>_(* #,##0.00_);_(* \(#,##0.00\);_(* "-"??_);_(@_)</c:formatCode>
                <c:ptCount val="12"/>
                <c:pt idx="0">
                  <c:v>116.78588925081434</c:v>
                </c:pt>
                <c:pt idx="1">
                  <c:v>112.4786853448276</c:v>
                </c:pt>
                <c:pt idx="2">
                  <c:v>110.86670749489647</c:v>
                </c:pt>
                <c:pt idx="3">
                  <c:v>118.40870072992701</c:v>
                </c:pt>
                <c:pt idx="4">
                  <c:v>113.4839302918674</c:v>
                </c:pt>
                <c:pt idx="5">
                  <c:v>137.99639009287927</c:v>
                </c:pt>
                <c:pt idx="6">
                  <c:v>131.88316043814433</c:v>
                </c:pt>
                <c:pt idx="7">
                  <c:v>140.76358785942492</c:v>
                </c:pt>
                <c:pt idx="8">
                  <c:v>124.56849687499999</c:v>
                </c:pt>
                <c:pt idx="9">
                  <c:v>98.331247863247853</c:v>
                </c:pt>
                <c:pt idx="10">
                  <c:v>100.22687931034483</c:v>
                </c:pt>
                <c:pt idx="11">
                  <c:v>104.48799423631122</c:v>
                </c:pt>
              </c:numCache>
            </c:numRef>
          </c:val>
          <c:smooth val="0"/>
          <c:extLst>
            <c:ext xmlns:c16="http://schemas.microsoft.com/office/drawing/2014/chart" uri="{C3380CC4-5D6E-409C-BE32-E72D297353CC}">
              <c16:uniqueId val="{00000002-CC5D-DA49-B513-4BC29FBF5D0F}"/>
            </c:ext>
          </c:extLst>
        </c:ser>
        <c:dLbls>
          <c:showLegendKey val="0"/>
          <c:showVal val="0"/>
          <c:showCatName val="0"/>
          <c:showSerName val="0"/>
          <c:showPercent val="0"/>
          <c:showBubbleSize val="0"/>
        </c:dLbls>
        <c:marker val="1"/>
        <c:smooth val="0"/>
        <c:axId val="753329887"/>
        <c:axId val="632959967"/>
      </c:lineChart>
      <c:catAx>
        <c:axId val="753329887"/>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000" b="0" i="0" u="none" strike="noStrike" kern="1200" baseline="0">
                <a:solidFill>
                  <a:schemeClr val="tx1"/>
                </a:solidFill>
                <a:latin typeface="Arial" panose="020B0604020202020204" pitchFamily="34" charset="0"/>
                <a:ea typeface="Tahoma" panose="020B0604030504040204" pitchFamily="34" charset="0"/>
                <a:cs typeface="Arial" panose="020B0604020202020204" pitchFamily="34" charset="0"/>
              </a:defRPr>
            </a:pPr>
            <a:endParaRPr lang="th-TH"/>
          </a:p>
        </c:txPr>
        <c:crossAx val="632959967"/>
        <c:crosses val="autoZero"/>
        <c:auto val="1"/>
        <c:lblAlgn val="ctr"/>
        <c:lblOffset val="100"/>
        <c:noMultiLvlLbl val="0"/>
      </c:catAx>
      <c:valAx>
        <c:axId val="632959967"/>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solidFill>
                    <a:latin typeface="Arial" panose="020B0604020202020204" pitchFamily="34" charset="0"/>
                    <a:ea typeface="Tahoma" panose="020B0604030504040204" pitchFamily="34" charset="0"/>
                    <a:cs typeface="Arial" panose="020B0604020202020204" pitchFamily="34" charset="0"/>
                  </a:defRPr>
                </a:pPr>
                <a:r>
                  <a:rPr lang="en-US"/>
                  <a:t>Million USD</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solidFill>
                  <a:latin typeface="Arial" panose="020B0604020202020204" pitchFamily="34" charset="0"/>
                  <a:ea typeface="Tahoma" panose="020B0604030504040204" pitchFamily="34" charset="0"/>
                  <a:cs typeface="Arial" panose="020B0604020202020204" pitchFamily="34" charset="0"/>
                </a:defRPr>
              </a:pPr>
              <a:endParaRPr lang="th-TH"/>
            </a:p>
          </c:txPr>
        </c:title>
        <c:numFmt formatCode="_(* #,##0.00_);_(* \(#,##0.00\);_(* &quot;-&quot;??_);_(@_)" sourceLinked="1"/>
        <c:majorTickMark val="none"/>
        <c:minorTickMark val="none"/>
        <c:tickLblPos val="nextTo"/>
        <c:spPr>
          <a:noFill/>
          <a:ln>
            <a:noFill/>
          </a:ln>
          <a:effectLst/>
        </c:spPr>
        <c:txPr>
          <a:bodyPr rot="-60000000" spcFirstLastPara="1" vertOverflow="ellipsis" vert="horz" wrap="square" anchor="ctr" anchorCtr="1"/>
          <a:lstStyle/>
          <a:p>
            <a:pPr>
              <a:defRPr sz="1000" b="0" i="0" u="none" strike="noStrike" kern="1200" baseline="0">
                <a:solidFill>
                  <a:schemeClr val="tx1"/>
                </a:solidFill>
                <a:latin typeface="Arial" panose="020B0604020202020204" pitchFamily="34" charset="0"/>
                <a:ea typeface="Tahoma" panose="020B0604030504040204" pitchFamily="34" charset="0"/>
                <a:cs typeface="Arial" panose="020B0604020202020204" pitchFamily="34" charset="0"/>
              </a:defRPr>
            </a:pPr>
            <a:endParaRPr lang="th-TH"/>
          </a:p>
        </c:txPr>
        <c:crossAx val="753329887"/>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000" b="0" i="0" u="none" strike="noStrike" kern="1200" baseline="0">
              <a:solidFill>
                <a:schemeClr val="tx1"/>
              </a:solidFill>
              <a:latin typeface="Arial" panose="020B0604020202020204" pitchFamily="34" charset="0"/>
              <a:ea typeface="Tahoma" panose="020B0604030504040204" pitchFamily="34" charset="0"/>
              <a:cs typeface="Arial" panose="020B0604020202020204" pitchFamily="34" charset="0"/>
            </a:defRPr>
          </a:pPr>
          <a:endParaRPr lang="th-TH"/>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sz="1000">
          <a:solidFill>
            <a:schemeClr val="tx1"/>
          </a:solidFill>
          <a:latin typeface="Arial" panose="020B0604020202020204" pitchFamily="34" charset="0"/>
          <a:ea typeface="Tahoma" panose="020B0604030504040204" pitchFamily="34" charset="0"/>
          <a:cs typeface="Arial" panose="020B0604020202020204" pitchFamily="34" charset="0"/>
        </a:defRPr>
      </a:pPr>
      <a:endParaRPr lang="th-TH"/>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7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ln w="9525" cap="flat" cmpd="sng" algn="ctr">
        <a:solidFill>
          <a:schemeClr val="tx1">
            <a:lumMod val="15000"/>
            <a:lumOff val="85000"/>
          </a:schemeClr>
        </a:solidFill>
        <a:round/>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7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ln w="9525" cap="flat" cmpd="sng" algn="ctr">
        <a:solidFill>
          <a:schemeClr val="tx1">
            <a:lumMod val="15000"/>
            <a:lumOff val="85000"/>
          </a:schemeClr>
        </a:solidFill>
        <a:round/>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7.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8.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ink/ink1.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5-10-12T02:34:17.616"/>
    </inkml:context>
    <inkml:brush xml:id="br0">
      <inkml:brushProperty name="width" value="0.05" units="cm"/>
      <inkml:brushProperty name="height" value="0.05" units="cm"/>
      <inkml:brushProperty name="color" value="#CEFEF2"/>
    </inkml:brush>
  </inkml:definitions>
  <inkml:trace contextRef="#ctx0" brushRef="#br0">0 0 24575</inkml:trace>
</inkml:ink>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38B2579-F952-4A40-AF0F-475B7E2FFEA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14</TotalTime>
  <Pages>353</Pages>
  <Words>102715</Words>
  <Characters>585479</Characters>
  <Application>Microsoft Office Word</Application>
  <DocSecurity>0</DocSecurity>
  <Lines>4878</Lines>
  <Paragraphs>1373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686821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Suwimol Sereepaowong</cp:lastModifiedBy>
  <cp:revision>11</cp:revision>
  <dcterms:created xsi:type="dcterms:W3CDTF">2025-12-22T05:39:00Z</dcterms:created>
  <dcterms:modified xsi:type="dcterms:W3CDTF">2025-12-22T08:43:00Z</dcterms:modified>
</cp:coreProperties>
</file>